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14:paraId="35E438DA">
      <w:pPr>
        <w:spacing w:before="78"/>
        <w:rPr>
          <w:sz w:val="52"/>
          <w:szCs w:val="52"/>
        </w:rPr>
      </w:pPr>
      <w:bookmarkStart w:id="0" w:name="_Hlk58851949"/>
      <w:bookmarkStart w:id="711" w:name="_GoBack"/>
      <w:bookmarkEnd w:id="711"/>
    </w:p>
    <w:p w14:paraId="0F65C19D">
      <w:pPr>
        <w:spacing w:before="78"/>
        <w:rPr>
          <w:sz w:val="52"/>
          <w:szCs w:val="52"/>
        </w:rPr>
      </w:pPr>
    </w:p>
    <w:p w14:paraId="4DC16346">
      <w:pPr>
        <w:spacing w:before="312" w:beforeLines="100" w:after="156" w:line="480" w:lineRule="auto"/>
        <w:jc w:val="center"/>
        <w:rPr>
          <w:b/>
          <w:sz w:val="72"/>
          <w:szCs w:val="72"/>
        </w:rPr>
      </w:pPr>
      <w:bookmarkStart w:id="1" w:name="_Hlk43192282"/>
    </w:p>
    <w:bookmarkEnd w:id="1"/>
    <w:p w14:paraId="0F0A59F6">
      <w:pPr>
        <w:snapToGrid w:val="0"/>
        <w:spacing w:before="0" w:beforeLines="0" w:line="360" w:lineRule="auto"/>
        <w:jc w:val="center"/>
        <w:rPr>
          <w:b/>
          <w:sz w:val="52"/>
          <w:szCs w:val="52"/>
        </w:rPr>
      </w:pPr>
      <w:bookmarkStart w:id="2" w:name="_Hlk54253481"/>
      <w:r>
        <w:rPr>
          <w:rFonts w:hint="eastAsia"/>
          <w:b/>
          <w:sz w:val="52"/>
          <w:szCs w:val="52"/>
        </w:rPr>
        <w:t>鸿泽废旧资源利用</w:t>
      </w:r>
      <w:r>
        <w:rPr>
          <w:b/>
          <w:sz w:val="52"/>
          <w:szCs w:val="52"/>
        </w:rPr>
        <w:t>有限公司</w:t>
      </w:r>
    </w:p>
    <w:p w14:paraId="1B29EA91">
      <w:pPr>
        <w:snapToGrid w:val="0"/>
        <w:spacing w:before="0" w:beforeLines="0" w:line="360" w:lineRule="auto"/>
        <w:jc w:val="center"/>
        <w:rPr>
          <w:b/>
          <w:sz w:val="52"/>
          <w:szCs w:val="52"/>
        </w:rPr>
      </w:pPr>
      <w:r>
        <w:rPr>
          <w:rFonts w:hint="eastAsia"/>
          <w:b/>
          <w:sz w:val="52"/>
          <w:szCs w:val="52"/>
        </w:rPr>
        <w:t>矿山</w:t>
      </w:r>
      <w:r>
        <w:rPr>
          <w:b/>
          <w:sz w:val="52"/>
          <w:szCs w:val="52"/>
        </w:rPr>
        <w:t>废弃尾矿综合利用项目</w:t>
      </w:r>
    </w:p>
    <w:p w14:paraId="321878FF">
      <w:pPr>
        <w:snapToGrid w:val="0"/>
        <w:spacing w:before="0" w:beforeLines="0" w:line="360" w:lineRule="auto"/>
        <w:jc w:val="center"/>
        <w:rPr>
          <w:spacing w:val="62"/>
          <w:sz w:val="52"/>
          <w:szCs w:val="52"/>
        </w:rPr>
      </w:pPr>
      <w:r>
        <w:rPr>
          <w:rFonts w:hint="eastAsia"/>
          <w:b/>
          <w:sz w:val="52"/>
          <w:szCs w:val="52"/>
        </w:rPr>
        <w:t>生态</w:t>
      </w:r>
      <w:r>
        <w:rPr>
          <w:b/>
          <w:sz w:val="52"/>
          <w:szCs w:val="52"/>
        </w:rPr>
        <w:t>环境影响报告书</w:t>
      </w:r>
    </w:p>
    <w:bookmarkEnd w:id="2"/>
    <w:p w14:paraId="6FE68A94">
      <w:pPr>
        <w:adjustRightInd w:val="0"/>
        <w:snapToGrid w:val="0"/>
        <w:spacing w:before="78"/>
        <w:jc w:val="center"/>
        <w:rPr>
          <w:b/>
          <w:bCs/>
          <w:spacing w:val="62"/>
          <w:sz w:val="36"/>
          <w:szCs w:val="36"/>
        </w:rPr>
      </w:pPr>
      <w:r>
        <w:rPr>
          <w:rFonts w:hint="eastAsia"/>
          <w:b/>
          <w:bCs/>
          <w:spacing w:val="62"/>
          <w:sz w:val="36"/>
          <w:szCs w:val="36"/>
        </w:rPr>
        <w:t>（报批稿）</w:t>
      </w:r>
    </w:p>
    <w:p w14:paraId="7A5F3597">
      <w:pPr>
        <w:adjustRightInd w:val="0"/>
        <w:snapToGrid w:val="0"/>
        <w:spacing w:before="78"/>
        <w:jc w:val="center"/>
        <w:rPr>
          <w:spacing w:val="62"/>
          <w:sz w:val="48"/>
        </w:rPr>
      </w:pPr>
    </w:p>
    <w:p w14:paraId="3197DC5D">
      <w:pPr>
        <w:adjustRightInd w:val="0"/>
        <w:snapToGrid w:val="0"/>
        <w:spacing w:before="78"/>
        <w:jc w:val="center"/>
        <w:rPr>
          <w:spacing w:val="62"/>
          <w:sz w:val="48"/>
        </w:rPr>
      </w:pPr>
    </w:p>
    <w:p w14:paraId="29EDB507">
      <w:pPr>
        <w:adjustRightInd w:val="0"/>
        <w:snapToGrid w:val="0"/>
        <w:spacing w:before="78"/>
        <w:jc w:val="center"/>
        <w:rPr>
          <w:spacing w:val="62"/>
          <w:sz w:val="48"/>
        </w:rPr>
      </w:pPr>
    </w:p>
    <w:p w14:paraId="1F468DD5">
      <w:pPr>
        <w:adjustRightInd w:val="0"/>
        <w:snapToGrid w:val="0"/>
        <w:spacing w:before="78"/>
        <w:jc w:val="center"/>
        <w:rPr>
          <w:spacing w:val="62"/>
          <w:sz w:val="48"/>
        </w:rPr>
      </w:pPr>
    </w:p>
    <w:p w14:paraId="70BBF85F">
      <w:pPr>
        <w:adjustRightInd w:val="0"/>
        <w:snapToGrid w:val="0"/>
        <w:spacing w:before="78"/>
        <w:jc w:val="center"/>
        <w:rPr>
          <w:spacing w:val="62"/>
          <w:sz w:val="48"/>
        </w:rPr>
      </w:pPr>
    </w:p>
    <w:p w14:paraId="7634461A">
      <w:pPr>
        <w:spacing w:before="78" w:line="640" w:lineRule="exact"/>
        <w:jc w:val="center"/>
        <w:rPr>
          <w:b/>
          <w:sz w:val="32"/>
          <w:szCs w:val="32"/>
        </w:rPr>
      </w:pPr>
    </w:p>
    <w:p w14:paraId="4E723B5F">
      <w:pPr>
        <w:spacing w:before="78" w:line="640" w:lineRule="exact"/>
        <w:jc w:val="center"/>
        <w:rPr>
          <w:b/>
          <w:sz w:val="32"/>
          <w:szCs w:val="32"/>
        </w:rPr>
      </w:pPr>
    </w:p>
    <w:p w14:paraId="0F5C82F5">
      <w:pPr>
        <w:spacing w:before="78" w:line="640" w:lineRule="exact"/>
        <w:jc w:val="center"/>
        <w:rPr>
          <w:b/>
          <w:sz w:val="32"/>
          <w:szCs w:val="32"/>
        </w:rPr>
      </w:pPr>
      <w:r>
        <w:rPr>
          <w:b/>
          <w:sz w:val="32"/>
          <w:szCs w:val="32"/>
        </w:rPr>
        <w:t>委托单位：</w:t>
      </w:r>
      <w:r>
        <w:rPr>
          <w:rFonts w:hint="eastAsia"/>
          <w:b/>
          <w:sz w:val="32"/>
          <w:szCs w:val="32"/>
        </w:rPr>
        <w:t>阜新鸿泽废旧资源利用有限公司</w:t>
      </w:r>
    </w:p>
    <w:p w14:paraId="6B18A381">
      <w:pPr>
        <w:spacing w:before="78" w:line="640" w:lineRule="exact"/>
        <w:jc w:val="center"/>
        <w:rPr>
          <w:b/>
          <w:sz w:val="32"/>
          <w:szCs w:val="32"/>
        </w:rPr>
      </w:pPr>
      <w:r>
        <w:rPr>
          <w:b/>
          <w:sz w:val="32"/>
          <w:szCs w:val="32"/>
        </w:rPr>
        <w:t>编制单位：辽宁诚亿环保科技有限公司</w:t>
      </w:r>
    </w:p>
    <w:p w14:paraId="2B45760A">
      <w:pPr>
        <w:spacing w:before="78" w:line="640" w:lineRule="exact"/>
        <w:ind w:firstLine="643"/>
        <w:jc w:val="center"/>
        <w:rPr>
          <w:b/>
          <w:sz w:val="32"/>
          <w:szCs w:val="32"/>
        </w:rPr>
      </w:pPr>
      <w:r>
        <w:rPr>
          <w:b/>
          <w:sz w:val="32"/>
          <w:szCs w:val="32"/>
        </w:rPr>
        <w:t>二〇二</w:t>
      </w:r>
      <w:r>
        <w:rPr>
          <w:rFonts w:hint="eastAsia"/>
          <w:b/>
          <w:sz w:val="32"/>
          <w:szCs w:val="32"/>
        </w:rPr>
        <w:t>六</w:t>
      </w:r>
      <w:r>
        <w:rPr>
          <w:b/>
          <w:sz w:val="32"/>
          <w:szCs w:val="32"/>
        </w:rPr>
        <w:t>年</w:t>
      </w:r>
      <w:r>
        <w:rPr>
          <w:rFonts w:hint="eastAsia"/>
          <w:b/>
          <w:sz w:val="32"/>
          <w:szCs w:val="32"/>
        </w:rPr>
        <w:t>九</w:t>
      </w:r>
      <w:r>
        <w:rPr>
          <w:b/>
          <w:sz w:val="32"/>
          <w:szCs w:val="32"/>
        </w:rPr>
        <w:t>月</w:t>
      </w:r>
    </w:p>
    <w:p w14:paraId="22CE1FF2">
      <w:pPr>
        <w:spacing w:before="78" w:line="640" w:lineRule="exact"/>
        <w:ind w:firstLine="643"/>
        <w:jc w:val="center"/>
        <w:rPr>
          <w:b/>
          <w:sz w:val="32"/>
          <w:szCs w:val="32"/>
        </w:rPr>
      </w:pPr>
    </w:p>
    <w:p w14:paraId="58AC573C">
      <w:pPr>
        <w:spacing w:before="78" w:line="640" w:lineRule="exact"/>
        <w:ind w:firstLine="643"/>
        <w:jc w:val="center"/>
        <w:rPr>
          <w:b/>
          <w:sz w:val="32"/>
          <w:szCs w:val="32"/>
        </w:rPr>
      </w:pPr>
    </w:p>
    <w:p w14:paraId="4F1CBBB5">
      <w:pPr>
        <w:spacing w:before="78" w:line="640" w:lineRule="exact"/>
        <w:ind w:firstLine="643"/>
        <w:jc w:val="center"/>
        <w:rPr>
          <w:b/>
          <w:sz w:val="32"/>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0" w:footer="964" w:gutter="0"/>
          <w:cols w:space="720" w:num="1"/>
          <w:docGrid w:type="lines" w:linePitch="312" w:charSpace="0"/>
        </w:sectPr>
      </w:pPr>
    </w:p>
    <w:p w14:paraId="1C5A001F">
      <w:pPr>
        <w:spacing w:before="78" w:line="640" w:lineRule="exact"/>
        <w:ind w:firstLine="643"/>
        <w:jc w:val="center"/>
        <w:rPr>
          <w:b/>
          <w:sz w:val="32"/>
          <w:szCs w:val="32"/>
        </w:rPr>
        <w:sectPr>
          <w:pgSz w:w="11906" w:h="16838"/>
          <w:pgMar w:top="1440" w:right="1800" w:bottom="1440" w:left="1800" w:header="850" w:footer="964" w:gutter="0"/>
          <w:cols w:space="720" w:num="1"/>
          <w:docGrid w:type="lines" w:linePitch="312" w:charSpace="0"/>
        </w:sectPr>
      </w:pPr>
    </w:p>
    <w:p w14:paraId="43C37848">
      <w:pPr>
        <w:spacing w:before="78" w:line="640" w:lineRule="exact"/>
        <w:ind w:firstLine="643"/>
        <w:jc w:val="center"/>
        <w:rPr>
          <w:b/>
          <w:sz w:val="32"/>
          <w:szCs w:val="32"/>
        </w:rPr>
        <w:sectPr>
          <w:pgSz w:w="11906" w:h="16838"/>
          <w:pgMar w:top="1440" w:right="1800" w:bottom="1440" w:left="1800" w:header="850" w:footer="964" w:gutter="0"/>
          <w:cols w:space="720" w:num="1"/>
          <w:docGrid w:type="lines" w:linePitch="312" w:charSpace="0"/>
        </w:sectPr>
      </w:pPr>
      <w:r>
        <w:rPr>
          <w:b/>
          <w:sz w:val="32"/>
          <w:szCs w:val="32"/>
        </w:rPr>
        <w:drawing>
          <wp:anchor distT="0" distB="0" distL="114300" distR="114300" simplePos="0" relativeHeight="251697152" behindDoc="0" locked="0" layoutInCell="1" allowOverlap="1">
            <wp:simplePos x="0" y="0"/>
            <wp:positionH relativeFrom="margin">
              <wp:align>right</wp:align>
            </wp:positionH>
            <wp:positionV relativeFrom="paragraph">
              <wp:posOffset>152400</wp:posOffset>
            </wp:positionV>
            <wp:extent cx="5295900" cy="8032750"/>
            <wp:effectExtent l="0" t="0" r="0" b="6350"/>
            <wp:wrapSquare wrapText="bothSides"/>
            <wp:docPr id="869172616"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172616" name="图片 50"/>
                    <pic:cNvPicPr>
                      <a:picLocks noChangeAspect="1" noChangeArrowheads="1"/>
                    </pic:cNvPicPr>
                  </pic:nvPicPr>
                  <pic:blipFill>
                    <a:blip r:embed="rId27"/>
                    <a:srcRect l="11934" r="7595" b="13683"/>
                    <a:stretch>
                      <a:fillRect/>
                    </a:stretch>
                  </pic:blipFill>
                  <pic:spPr>
                    <a:xfrm>
                      <a:off x="0" y="0"/>
                      <a:ext cx="5295900" cy="8032750"/>
                    </a:xfrm>
                    <a:prstGeom prst="rect">
                      <a:avLst/>
                    </a:prstGeom>
                    <a:noFill/>
                    <a:ln>
                      <a:noFill/>
                    </a:ln>
                  </pic:spPr>
                </pic:pic>
              </a:graphicData>
            </a:graphic>
          </wp:anchor>
        </w:drawing>
      </w:r>
    </w:p>
    <w:p w14:paraId="0C7D3C02">
      <w:pPr>
        <w:spacing w:before="78" w:line="640" w:lineRule="exact"/>
        <w:ind w:firstLine="643"/>
        <w:jc w:val="center"/>
        <w:rPr>
          <w:b/>
          <w:sz w:val="32"/>
          <w:szCs w:val="32"/>
        </w:rPr>
        <w:sectPr>
          <w:pgSz w:w="11906" w:h="16838"/>
          <w:pgMar w:top="1440" w:right="1800" w:bottom="1440" w:left="1800" w:header="850" w:footer="964" w:gutter="0"/>
          <w:cols w:space="720" w:num="1"/>
          <w:docGrid w:type="lines" w:linePitch="312" w:charSpace="0"/>
        </w:sectPr>
      </w:pPr>
    </w:p>
    <w:p w14:paraId="78AB794B">
      <w:pPr>
        <w:tabs>
          <w:tab w:val="left" w:pos="420"/>
          <w:tab w:val="right" w:leader="dot" w:pos="8720"/>
        </w:tabs>
        <w:spacing w:before="78"/>
        <w:jc w:val="center"/>
        <w:rPr>
          <w:b/>
          <w:kern w:val="0"/>
          <w:sz w:val="32"/>
          <w:szCs w:val="32"/>
        </w:rPr>
      </w:pPr>
      <w:r>
        <w:rPr>
          <w:b/>
          <w:kern w:val="0"/>
          <w:sz w:val="32"/>
          <w:szCs w:val="32"/>
        </w:rPr>
        <w:t>目</w:t>
      </w:r>
      <w:r>
        <w:rPr>
          <w:rFonts w:hint="eastAsia"/>
          <w:b/>
          <w:kern w:val="0"/>
          <w:sz w:val="32"/>
          <w:szCs w:val="32"/>
        </w:rPr>
        <w:t xml:space="preserve">  </w:t>
      </w:r>
      <w:r>
        <w:rPr>
          <w:b/>
          <w:kern w:val="0"/>
          <w:sz w:val="32"/>
          <w:szCs w:val="32"/>
        </w:rPr>
        <w:t>录</w:t>
      </w:r>
    </w:p>
    <w:p w14:paraId="283A8AFB">
      <w:pPr>
        <w:pStyle w:val="61"/>
        <w:tabs>
          <w:tab w:val="right" w:leader="dot" w:pos="8296"/>
        </w:tabs>
        <w:spacing w:before="78"/>
        <w:rPr>
          <w:rFonts w:hint="eastAsia" w:asciiTheme="minorHAnsi" w:hAnsiTheme="minorHAnsi" w:eastAsiaTheme="minorEastAsia" w:cstheme="minorBidi"/>
          <w:sz w:val="22"/>
          <w14:ligatures w14:val="standardContextual"/>
        </w:rPr>
      </w:pPr>
      <w:r>
        <w:rPr>
          <w:kern w:val="0"/>
        </w:rPr>
        <w:fldChar w:fldCharType="begin"/>
      </w:r>
      <w:r>
        <w:rPr>
          <w:kern w:val="0"/>
        </w:rPr>
        <w:instrText xml:space="preserve">TOC \o "1-2" \h \u </w:instrText>
      </w:r>
      <w:r>
        <w:rPr>
          <w:kern w:val="0"/>
        </w:rPr>
        <w:fldChar w:fldCharType="separate"/>
      </w:r>
      <w:r>
        <w:fldChar w:fldCharType="begin"/>
      </w:r>
      <w:r>
        <w:instrText xml:space="preserve"> HYPERLINK \l "_Toc239274254" </w:instrText>
      </w:r>
      <w:r>
        <w:fldChar w:fldCharType="separate"/>
      </w:r>
      <w:r>
        <w:rPr>
          <w:rStyle w:val="128"/>
        </w:rPr>
        <w:t>1.概述</w:t>
      </w:r>
      <w:r>
        <w:rPr>
          <w:rFonts w:hint="eastAsia"/>
        </w:rPr>
        <w:tab/>
      </w:r>
      <w:r>
        <w:rPr>
          <w:rFonts w:hint="eastAsia"/>
        </w:rPr>
        <w:fldChar w:fldCharType="begin"/>
      </w:r>
      <w:r>
        <w:rPr>
          <w:rFonts w:hint="eastAsia"/>
        </w:rPr>
        <w:instrText xml:space="preserve"> </w:instrText>
      </w:r>
      <w:r>
        <w:instrText xml:space="preserve">PAGEREF _Toc239274254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68F28697">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"_Toc239274255" </w:instrText>
      </w:r>
      <w:r>
        <w:fldChar w:fldCharType="separate"/>
      </w:r>
      <w:r>
        <w:rPr>
          <w:rStyle w:val="128"/>
        </w:rPr>
        <w:t>1.1项目建设背景</w:t>
      </w:r>
      <w:r>
        <w:rPr>
          <w:rFonts w:hint="eastAsia"/>
        </w:rPr>
        <w:tab/>
      </w:r>
      <w:r>
        <w:rPr>
          <w:rFonts w:hint="eastAsia"/>
        </w:rPr>
        <w:fldChar w:fldCharType="begin"/>
      </w:r>
      <w:r>
        <w:rPr>
          <w:rFonts w:hint="eastAsia"/>
        </w:rPr>
        <w:instrText xml:space="preserve"> </w:instrText>
      </w:r>
      <w:r>
        <w:instrText xml:space="preserve">PAGEREF _Toc239274255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3B222CAB">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"_Toc239274256" </w:instrText>
      </w:r>
      <w:r>
        <w:fldChar w:fldCharType="separate"/>
      </w:r>
      <w:r>
        <w:rPr>
          <w:rStyle w:val="128"/>
        </w:rPr>
        <w:t>1.2生态环境影响评价工作过程</w:t>
      </w:r>
      <w:r>
        <w:rPr>
          <w:rFonts w:hint="eastAsia"/>
        </w:rPr>
        <w:tab/>
      </w:r>
      <w:r>
        <w:rPr>
          <w:rFonts w:hint="eastAsia"/>
        </w:rPr>
        <w:fldChar w:fldCharType="begin"/>
      </w:r>
      <w:r>
        <w:rPr>
          <w:rFonts w:hint="eastAsia"/>
        </w:rPr>
        <w:instrText xml:space="preserve"> </w:instrText>
      </w:r>
      <w:r>
        <w:instrText xml:space="preserve">PAGEREF _Toc239274256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29185F7C">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"_Toc239274257" </w:instrText>
      </w:r>
      <w:r>
        <w:fldChar w:fldCharType="separate"/>
      </w:r>
      <w:r>
        <w:rPr>
          <w:rStyle w:val="128"/>
        </w:rPr>
        <w:t>1.3分析判定相关情况</w:t>
      </w:r>
      <w:r>
        <w:rPr>
          <w:rFonts w:hint="eastAsia"/>
        </w:rPr>
        <w:tab/>
      </w:r>
      <w:r>
        <w:rPr>
          <w:rFonts w:hint="eastAsia"/>
        </w:rPr>
        <w:fldChar w:fldCharType="begin"/>
      </w:r>
      <w:r>
        <w:rPr>
          <w:rFonts w:hint="eastAsia"/>
        </w:rPr>
        <w:instrText xml:space="preserve"> </w:instrText>
      </w:r>
      <w:r>
        <w:instrText xml:space="preserve">PAGEREF _Toc239274257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2713D6D7">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"_Toc239274258" </w:instrText>
      </w:r>
      <w:r>
        <w:fldChar w:fldCharType="separate"/>
      </w:r>
      <w:r>
        <w:rPr>
          <w:rStyle w:val="128"/>
        </w:rPr>
        <w:t>1.4关注的主要环境问题及环境影响</w:t>
      </w:r>
      <w:r>
        <w:rPr>
          <w:rFonts w:hint="eastAsia"/>
        </w:rPr>
        <w:tab/>
      </w:r>
      <w:r>
        <w:rPr>
          <w:rFonts w:hint="eastAsia"/>
        </w:rPr>
        <w:fldChar w:fldCharType="begin"/>
      </w:r>
      <w:r>
        <w:rPr>
          <w:rFonts w:hint="eastAsia"/>
        </w:rPr>
        <w:instrText xml:space="preserve"> </w:instrText>
      </w:r>
      <w:r>
        <w:instrText xml:space="preserve">PAGEREF _Toc239274258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3F25B1D3">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"_Toc239274259" </w:instrText>
      </w:r>
      <w:r>
        <w:fldChar w:fldCharType="separate"/>
      </w:r>
      <w:r>
        <w:rPr>
          <w:rStyle w:val="128"/>
        </w:rPr>
        <w:t>1.5生态环境影响评价的主要结论</w:t>
      </w:r>
      <w:r>
        <w:rPr>
          <w:rFonts w:hint="eastAsia"/>
        </w:rPr>
        <w:tab/>
      </w:r>
      <w:r>
        <w:rPr>
          <w:rFonts w:hint="eastAsia"/>
        </w:rPr>
        <w:fldChar w:fldCharType="begin"/>
      </w:r>
      <w:r>
        <w:rPr>
          <w:rFonts w:hint="eastAsia"/>
        </w:rPr>
        <w:instrText xml:space="preserve"> </w:instrText>
      </w:r>
      <w:r>
        <w:instrText xml:space="preserve">PAGEREF _Toc239274259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2423BC94">
      <w:pPr>
        <w:pStyle w:val="61"/>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"_Toc239274260" </w:instrText>
      </w:r>
      <w:r>
        <w:fldChar w:fldCharType="separate"/>
      </w:r>
      <w:r>
        <w:rPr>
          <w:rStyle w:val="128"/>
        </w:rPr>
        <w:t>2.总则</w:t>
      </w:r>
      <w:r>
        <w:rPr>
          <w:rFonts w:hint="eastAsia"/>
        </w:rPr>
        <w:tab/>
      </w:r>
      <w:r>
        <w:rPr>
          <w:rFonts w:hint="eastAsia"/>
        </w:rPr>
        <w:fldChar w:fldCharType="begin"/>
      </w:r>
      <w:r>
        <w:rPr>
          <w:rFonts w:hint="eastAsia"/>
        </w:rPr>
        <w:instrText xml:space="preserve"> </w:instrText>
      </w:r>
      <w:r>
        <w:instrText xml:space="preserve">PAGEREF _Toc239274260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0A0633D7">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"_Toc239274261" </w:instrText>
      </w:r>
      <w:r>
        <w:fldChar w:fldCharType="separate"/>
      </w:r>
      <w:r>
        <w:rPr>
          <w:rStyle w:val="128"/>
        </w:rPr>
        <w:t>2.1编制依据</w:t>
      </w:r>
      <w:r>
        <w:rPr>
          <w:rFonts w:hint="eastAsia"/>
        </w:rPr>
        <w:tab/>
      </w:r>
      <w:r>
        <w:rPr>
          <w:rFonts w:hint="eastAsia"/>
        </w:rPr>
        <w:fldChar w:fldCharType="begin"/>
      </w:r>
      <w:r>
        <w:rPr>
          <w:rFonts w:hint="eastAsia"/>
        </w:rPr>
        <w:instrText xml:space="preserve"> </w:instrText>
      </w:r>
      <w:r>
        <w:instrText xml:space="preserve">PAGEREF _Toc239274261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2AFF69D1">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"_Toc239274262" </w:instrText>
      </w:r>
      <w:r>
        <w:fldChar w:fldCharType="separate"/>
      </w:r>
      <w:r>
        <w:rPr>
          <w:rStyle w:val="128"/>
        </w:rPr>
        <w:t>2.2环境影响识别与评价因子筛选</w:t>
      </w:r>
      <w:r>
        <w:rPr>
          <w:rFonts w:hint="eastAsia"/>
        </w:rPr>
        <w:tab/>
      </w:r>
      <w:r>
        <w:rPr>
          <w:rFonts w:hint="eastAsia"/>
        </w:rPr>
        <w:fldChar w:fldCharType="begin"/>
      </w:r>
      <w:r>
        <w:rPr>
          <w:rFonts w:hint="eastAsia"/>
        </w:rPr>
        <w:instrText xml:space="preserve"> </w:instrText>
      </w:r>
      <w:r>
        <w:instrText xml:space="preserve">PAGEREF _Toc239274262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238B3EEF">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"_Toc239274263" </w:instrText>
      </w:r>
      <w:r>
        <w:fldChar w:fldCharType="separate"/>
      </w:r>
      <w:r>
        <w:rPr>
          <w:rStyle w:val="128"/>
        </w:rPr>
        <w:t>2.3评价标准</w:t>
      </w:r>
      <w:r>
        <w:rPr>
          <w:rFonts w:hint="eastAsia"/>
        </w:rPr>
        <w:tab/>
      </w:r>
      <w:r>
        <w:rPr>
          <w:rFonts w:hint="eastAsia"/>
        </w:rPr>
        <w:fldChar w:fldCharType="begin"/>
      </w:r>
      <w:r>
        <w:rPr>
          <w:rFonts w:hint="eastAsia"/>
        </w:rPr>
        <w:instrText xml:space="preserve"> </w:instrText>
      </w:r>
      <w:r>
        <w:instrText xml:space="preserve">PAGEREF _Toc239274263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14:paraId="2FFA1FA8">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"_Toc239274264" </w:instrText>
      </w:r>
      <w:r>
        <w:fldChar w:fldCharType="separate"/>
      </w:r>
      <w:r>
        <w:rPr>
          <w:rStyle w:val="128"/>
        </w:rPr>
        <w:t>2.4评价等级与评价范围</w:t>
      </w:r>
      <w:r>
        <w:rPr>
          <w:rFonts w:hint="eastAsia"/>
        </w:rPr>
        <w:tab/>
      </w:r>
      <w:r>
        <w:rPr>
          <w:rFonts w:hint="eastAsia"/>
        </w:rPr>
        <w:fldChar w:fldCharType="begin"/>
      </w:r>
      <w:r>
        <w:rPr>
          <w:rFonts w:hint="eastAsia"/>
        </w:rPr>
        <w:instrText xml:space="preserve"> </w:instrText>
      </w:r>
      <w:r>
        <w:instrText xml:space="preserve">PAGEREF _Toc239274264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14:paraId="299D38CA">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"_Toc239274265" </w:instrText>
      </w:r>
      <w:r>
        <w:fldChar w:fldCharType="separate"/>
      </w:r>
      <w:r>
        <w:rPr>
          <w:rStyle w:val="128"/>
        </w:rPr>
        <w:t>2.5政策规划符合性分析</w:t>
      </w:r>
      <w:r>
        <w:rPr>
          <w:rFonts w:hint="eastAsia"/>
        </w:rPr>
        <w:tab/>
      </w:r>
      <w:r>
        <w:rPr>
          <w:rFonts w:hint="eastAsia"/>
        </w:rPr>
        <w:fldChar w:fldCharType="begin"/>
      </w:r>
      <w:r>
        <w:rPr>
          <w:rFonts w:hint="eastAsia"/>
        </w:rPr>
        <w:instrText xml:space="preserve"> </w:instrText>
      </w:r>
      <w:r>
        <w:instrText xml:space="preserve">PAGEREF _Toc239274265 \h</w:instrText>
      </w:r>
      <w:r>
        <w:rPr>
          <w:rFonts w:hint="eastAsia"/>
        </w:rPr>
        <w:instrText xml:space="preserve"> </w:instrText>
      </w:r>
      <w:r>
        <w:rPr>
          <w:rFonts w:hint="eastAsia"/>
        </w:rPr>
        <w:fldChar w:fldCharType="separate"/>
      </w:r>
      <w:r>
        <w:t>25</w:t>
      </w:r>
      <w:r>
        <w:rPr>
          <w:rFonts w:hint="eastAsia"/>
        </w:rPr>
        <w:fldChar w:fldCharType="end"/>
      </w:r>
      <w:r>
        <w:rPr>
          <w:rFonts w:hint="eastAsia"/>
        </w:rPr>
        <w:fldChar w:fldCharType="end"/>
      </w:r>
    </w:p>
    <w:p w14:paraId="0F985F2C">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"_Toc239274266" </w:instrText>
      </w:r>
      <w:r>
        <w:fldChar w:fldCharType="separate"/>
      </w:r>
      <w:r>
        <w:rPr>
          <w:rStyle w:val="128"/>
        </w:rPr>
        <w:t>2.6主要环境保护目标</w:t>
      </w:r>
      <w:r>
        <w:rPr>
          <w:rFonts w:hint="eastAsia"/>
        </w:rPr>
        <w:tab/>
      </w:r>
      <w:r>
        <w:rPr>
          <w:rFonts w:hint="eastAsia"/>
        </w:rPr>
        <w:fldChar w:fldCharType="begin"/>
      </w:r>
      <w:r>
        <w:rPr>
          <w:rFonts w:hint="eastAsia"/>
        </w:rPr>
        <w:instrText xml:space="preserve"> </w:instrText>
      </w:r>
      <w:r>
        <w:instrText xml:space="preserve">PAGEREF _Toc239274266 \h</w:instrText>
      </w:r>
      <w:r>
        <w:rPr>
          <w:rFonts w:hint="eastAsia"/>
        </w:rPr>
        <w:instrText xml:space="preserve"> </w:instrText>
      </w:r>
      <w:r>
        <w:rPr>
          <w:rFonts w:hint="eastAsia"/>
        </w:rPr>
        <w:fldChar w:fldCharType="separate"/>
      </w:r>
      <w:r>
        <w:t>34</w:t>
      </w:r>
      <w:r>
        <w:rPr>
          <w:rFonts w:hint="eastAsia"/>
        </w:rPr>
        <w:fldChar w:fldCharType="end"/>
      </w:r>
      <w:r>
        <w:rPr>
          <w:rFonts w:hint="eastAsia"/>
        </w:rPr>
        <w:fldChar w:fldCharType="end"/>
      </w:r>
    </w:p>
    <w:p w14:paraId="6387E0E4">
      <w:pPr>
        <w:pStyle w:val="61"/>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"_Toc239274267" </w:instrText>
      </w:r>
      <w:r>
        <w:fldChar w:fldCharType="separate"/>
      </w:r>
      <w:r>
        <w:rPr>
          <w:rStyle w:val="128"/>
        </w:rPr>
        <w:t>3.建设项目工程概况及工程分析</w:t>
      </w:r>
      <w:r>
        <w:rPr>
          <w:rFonts w:hint="eastAsia"/>
        </w:rPr>
        <w:tab/>
      </w:r>
      <w:r>
        <w:rPr>
          <w:rFonts w:hint="eastAsia"/>
        </w:rPr>
        <w:fldChar w:fldCharType="begin"/>
      </w:r>
      <w:r>
        <w:rPr>
          <w:rFonts w:hint="eastAsia"/>
        </w:rPr>
        <w:instrText xml:space="preserve"> </w:instrText>
      </w:r>
      <w:r>
        <w:instrText xml:space="preserve">PAGEREF _Toc239274267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14:paraId="6ECB76B9">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"_Toc239274268" </w:instrText>
      </w:r>
      <w:r>
        <w:fldChar w:fldCharType="separate"/>
      </w:r>
      <w:r>
        <w:rPr>
          <w:rStyle w:val="128"/>
        </w:rPr>
        <w:t>3.1本项目工程概况</w:t>
      </w:r>
      <w:r>
        <w:rPr>
          <w:rFonts w:hint="eastAsia"/>
        </w:rPr>
        <w:tab/>
      </w:r>
      <w:r>
        <w:rPr>
          <w:rFonts w:hint="eastAsia"/>
        </w:rPr>
        <w:fldChar w:fldCharType="begin"/>
      </w:r>
      <w:r>
        <w:rPr>
          <w:rFonts w:hint="eastAsia"/>
        </w:rPr>
        <w:instrText xml:space="preserve"> </w:instrText>
      </w:r>
      <w:r>
        <w:instrText xml:space="preserve">PAGEREF _Toc239274268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14:paraId="0E9686A1">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"_Toc239274269" </w:instrText>
      </w:r>
      <w:r>
        <w:fldChar w:fldCharType="separate"/>
      </w:r>
      <w:r>
        <w:rPr>
          <w:rStyle w:val="128"/>
        </w:rPr>
        <w:t>3.2项目工艺流程及产排污节点</w:t>
      </w:r>
      <w:r>
        <w:rPr>
          <w:rFonts w:hint="eastAsia"/>
        </w:rPr>
        <w:tab/>
      </w:r>
      <w:r>
        <w:rPr>
          <w:rFonts w:hint="eastAsia"/>
        </w:rPr>
        <w:fldChar w:fldCharType="begin"/>
      </w:r>
      <w:r>
        <w:rPr>
          <w:rFonts w:hint="eastAsia"/>
        </w:rPr>
        <w:instrText xml:space="preserve"> </w:instrText>
      </w:r>
      <w:r>
        <w:instrText xml:space="preserve">PAGEREF _Toc239274269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3FB785DC">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"_Toc239274270" </w:instrText>
      </w:r>
      <w:r>
        <w:fldChar w:fldCharType="separate"/>
      </w:r>
      <w:r>
        <w:rPr>
          <w:rStyle w:val="128"/>
        </w:rPr>
        <w:t>3.3本项目污染源源强核算</w:t>
      </w:r>
      <w:r>
        <w:rPr>
          <w:rFonts w:hint="eastAsia"/>
        </w:rPr>
        <w:tab/>
      </w:r>
      <w:r>
        <w:rPr>
          <w:rFonts w:hint="eastAsia"/>
        </w:rPr>
        <w:fldChar w:fldCharType="begin"/>
      </w:r>
      <w:r>
        <w:rPr>
          <w:rFonts w:hint="eastAsia"/>
        </w:rPr>
        <w:instrText xml:space="preserve"> </w:instrText>
      </w:r>
      <w:r>
        <w:instrText xml:space="preserve">PAGEREF _Toc239274270 \h</w:instrText>
      </w:r>
      <w:r>
        <w:rPr>
          <w:rFonts w:hint="eastAsia"/>
        </w:rPr>
        <w:instrText xml:space="preserve"> </w:instrText>
      </w:r>
      <w:r>
        <w:rPr>
          <w:rFonts w:hint="eastAsia"/>
        </w:rPr>
        <w:fldChar w:fldCharType="separate"/>
      </w:r>
      <w:r>
        <w:t>59</w:t>
      </w:r>
      <w:r>
        <w:rPr>
          <w:rFonts w:hint="eastAsia"/>
        </w:rPr>
        <w:fldChar w:fldCharType="end"/>
      </w:r>
      <w:r>
        <w:rPr>
          <w:rFonts w:hint="eastAsia"/>
        </w:rPr>
        <w:fldChar w:fldCharType="end"/>
      </w:r>
    </w:p>
    <w:p w14:paraId="7E972BAD">
      <w:pPr>
        <w:pStyle w:val="61"/>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"_Toc239274271" </w:instrText>
      </w:r>
      <w:r>
        <w:fldChar w:fldCharType="separate"/>
      </w:r>
      <w:r>
        <w:rPr>
          <w:rStyle w:val="128"/>
        </w:rPr>
        <w:t>4.环境现状调查与评价</w:t>
      </w:r>
      <w:r>
        <w:rPr>
          <w:rFonts w:hint="eastAsia"/>
        </w:rPr>
        <w:tab/>
      </w:r>
      <w:r>
        <w:rPr>
          <w:rFonts w:hint="eastAsia"/>
        </w:rPr>
        <w:fldChar w:fldCharType="begin"/>
      </w:r>
      <w:r>
        <w:rPr>
          <w:rFonts w:hint="eastAsia"/>
        </w:rPr>
        <w:instrText xml:space="preserve"> </w:instrText>
      </w:r>
      <w:r>
        <w:instrText xml:space="preserve">PAGEREF _Toc239274271 \h</w:instrText>
      </w:r>
      <w:r>
        <w:rPr>
          <w:rFonts w:hint="eastAsia"/>
        </w:rPr>
        <w:instrText xml:space="preserve"> </w:instrText>
      </w:r>
      <w:r>
        <w:rPr>
          <w:rFonts w:hint="eastAsia"/>
        </w:rPr>
        <w:fldChar w:fldCharType="separate"/>
      </w:r>
      <w:r>
        <w:t>76</w:t>
      </w:r>
      <w:r>
        <w:rPr>
          <w:rFonts w:hint="eastAsia"/>
        </w:rPr>
        <w:fldChar w:fldCharType="end"/>
      </w:r>
      <w:r>
        <w:rPr>
          <w:rFonts w:hint="eastAsia"/>
        </w:rPr>
        <w:fldChar w:fldCharType="end"/>
      </w:r>
    </w:p>
    <w:p w14:paraId="08737520">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"_Toc239274272" </w:instrText>
      </w:r>
      <w:r>
        <w:fldChar w:fldCharType="separate"/>
      </w:r>
      <w:r>
        <w:rPr>
          <w:rStyle w:val="128"/>
        </w:rPr>
        <w:t>4.1自然环境现状调查与评价</w:t>
      </w:r>
      <w:r>
        <w:rPr>
          <w:rFonts w:hint="eastAsia"/>
        </w:rPr>
        <w:tab/>
      </w:r>
      <w:r>
        <w:rPr>
          <w:rFonts w:hint="eastAsia"/>
        </w:rPr>
        <w:fldChar w:fldCharType="begin"/>
      </w:r>
      <w:r>
        <w:rPr>
          <w:rFonts w:hint="eastAsia"/>
        </w:rPr>
        <w:instrText xml:space="preserve"> </w:instrText>
      </w:r>
      <w:r>
        <w:instrText xml:space="preserve">PAGEREF _Toc239274272 \h</w:instrText>
      </w:r>
      <w:r>
        <w:rPr>
          <w:rFonts w:hint="eastAsia"/>
        </w:rPr>
        <w:instrText xml:space="preserve"> </w:instrText>
      </w:r>
      <w:r>
        <w:rPr>
          <w:rFonts w:hint="eastAsia"/>
        </w:rPr>
        <w:fldChar w:fldCharType="separate"/>
      </w:r>
      <w:r>
        <w:t>76</w:t>
      </w:r>
      <w:r>
        <w:rPr>
          <w:rFonts w:hint="eastAsia"/>
        </w:rPr>
        <w:fldChar w:fldCharType="end"/>
      </w:r>
      <w:r>
        <w:rPr>
          <w:rFonts w:hint="eastAsia"/>
        </w:rPr>
        <w:fldChar w:fldCharType="end"/>
      </w:r>
    </w:p>
    <w:p w14:paraId="5061080B">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"_Toc239274273" </w:instrText>
      </w:r>
      <w:r>
        <w:fldChar w:fldCharType="separate"/>
      </w:r>
      <w:r>
        <w:rPr>
          <w:rStyle w:val="128"/>
        </w:rPr>
        <w:t>4.2环境质量现状监测与评价</w:t>
      </w:r>
      <w:r>
        <w:rPr>
          <w:rFonts w:hint="eastAsia"/>
        </w:rPr>
        <w:tab/>
      </w:r>
      <w:r>
        <w:rPr>
          <w:rFonts w:hint="eastAsia"/>
        </w:rPr>
        <w:fldChar w:fldCharType="begin"/>
      </w:r>
      <w:r>
        <w:rPr>
          <w:rFonts w:hint="eastAsia"/>
        </w:rPr>
        <w:instrText xml:space="preserve"> </w:instrText>
      </w:r>
      <w:r>
        <w:instrText xml:space="preserve">PAGEREF _Toc239274273 \h</w:instrText>
      </w:r>
      <w:r>
        <w:rPr>
          <w:rFonts w:hint="eastAsia"/>
        </w:rPr>
        <w:instrText xml:space="preserve"> </w:instrText>
      </w:r>
      <w:r>
        <w:rPr>
          <w:rFonts w:hint="eastAsia"/>
        </w:rPr>
        <w:fldChar w:fldCharType="separate"/>
      </w:r>
      <w:r>
        <w:t>92</w:t>
      </w:r>
      <w:r>
        <w:rPr>
          <w:rFonts w:hint="eastAsia"/>
        </w:rPr>
        <w:fldChar w:fldCharType="end"/>
      </w:r>
      <w:r>
        <w:rPr>
          <w:rFonts w:hint="eastAsia"/>
        </w:rPr>
        <w:fldChar w:fldCharType="end"/>
      </w:r>
    </w:p>
    <w:p w14:paraId="357E6969">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"_Toc239274274" </w:instrText>
      </w:r>
      <w:r>
        <w:fldChar w:fldCharType="separate"/>
      </w:r>
      <w:r>
        <w:rPr>
          <w:rStyle w:val="128"/>
        </w:rPr>
        <w:t>4.3 区域污染源调查</w:t>
      </w:r>
      <w:r>
        <w:rPr>
          <w:rFonts w:hint="eastAsia"/>
        </w:rPr>
        <w:tab/>
      </w:r>
      <w:r>
        <w:rPr>
          <w:rFonts w:hint="eastAsia"/>
        </w:rPr>
        <w:fldChar w:fldCharType="begin"/>
      </w:r>
      <w:r>
        <w:rPr>
          <w:rFonts w:hint="eastAsia"/>
        </w:rPr>
        <w:instrText xml:space="preserve"> </w:instrText>
      </w:r>
      <w:r>
        <w:instrText xml:space="preserve">PAGEREF _Toc239274274 \h</w:instrText>
      </w:r>
      <w:r>
        <w:rPr>
          <w:rFonts w:hint="eastAsia"/>
        </w:rPr>
        <w:instrText xml:space="preserve"> </w:instrText>
      </w:r>
      <w:r>
        <w:rPr>
          <w:rFonts w:hint="eastAsia"/>
        </w:rPr>
        <w:fldChar w:fldCharType="separate"/>
      </w:r>
      <w:r>
        <w:t>111</w:t>
      </w:r>
      <w:r>
        <w:rPr>
          <w:rFonts w:hint="eastAsia"/>
        </w:rPr>
        <w:fldChar w:fldCharType="end"/>
      </w:r>
      <w:r>
        <w:rPr>
          <w:rFonts w:hint="eastAsia"/>
        </w:rPr>
        <w:fldChar w:fldCharType="end"/>
      </w:r>
    </w:p>
    <w:p w14:paraId="4D9EABB3">
      <w:pPr>
        <w:pStyle w:val="61"/>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"_Toc239274275" </w:instrText>
      </w:r>
      <w:r>
        <w:fldChar w:fldCharType="separate"/>
      </w:r>
      <w:r>
        <w:rPr>
          <w:rStyle w:val="128"/>
        </w:rPr>
        <w:t>5.生态环境影响预测与评价</w:t>
      </w:r>
      <w:r>
        <w:rPr>
          <w:rFonts w:hint="eastAsia"/>
        </w:rPr>
        <w:tab/>
      </w:r>
      <w:r>
        <w:rPr>
          <w:rFonts w:hint="eastAsia"/>
        </w:rPr>
        <w:fldChar w:fldCharType="begin"/>
      </w:r>
      <w:r>
        <w:rPr>
          <w:rFonts w:hint="eastAsia"/>
        </w:rPr>
        <w:instrText xml:space="preserve"> </w:instrText>
      </w:r>
      <w:r>
        <w:instrText xml:space="preserve">PAGEREF _Toc239274275 \h</w:instrText>
      </w:r>
      <w:r>
        <w:rPr>
          <w:rFonts w:hint="eastAsia"/>
        </w:rPr>
        <w:instrText xml:space="preserve"> </w:instrText>
      </w:r>
      <w:r>
        <w:rPr>
          <w:rFonts w:hint="eastAsia"/>
        </w:rPr>
        <w:fldChar w:fldCharType="separate"/>
      </w:r>
      <w:r>
        <w:t>112</w:t>
      </w:r>
      <w:r>
        <w:rPr>
          <w:rFonts w:hint="eastAsia"/>
        </w:rPr>
        <w:fldChar w:fldCharType="end"/>
      </w:r>
      <w:r>
        <w:rPr>
          <w:rFonts w:hint="eastAsia"/>
        </w:rPr>
        <w:fldChar w:fldCharType="end"/>
      </w:r>
    </w:p>
    <w:p w14:paraId="5B2DC19A">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"_Toc239274276" </w:instrText>
      </w:r>
      <w:r>
        <w:fldChar w:fldCharType="separate"/>
      </w:r>
      <w:r>
        <w:rPr>
          <w:rStyle w:val="128"/>
        </w:rPr>
        <w:t>5.1施工期生态环境影响预测与评价</w:t>
      </w:r>
      <w:r>
        <w:rPr>
          <w:rFonts w:hint="eastAsia"/>
        </w:rPr>
        <w:tab/>
      </w:r>
      <w:r>
        <w:rPr>
          <w:rFonts w:hint="eastAsia"/>
        </w:rPr>
        <w:fldChar w:fldCharType="begin"/>
      </w:r>
      <w:r>
        <w:rPr>
          <w:rFonts w:hint="eastAsia"/>
        </w:rPr>
        <w:instrText xml:space="preserve"> </w:instrText>
      </w:r>
      <w:r>
        <w:instrText xml:space="preserve">PAGEREF _Toc239274276 \h</w:instrText>
      </w:r>
      <w:r>
        <w:rPr>
          <w:rFonts w:hint="eastAsia"/>
        </w:rPr>
        <w:instrText xml:space="preserve"> </w:instrText>
      </w:r>
      <w:r>
        <w:rPr>
          <w:rFonts w:hint="eastAsia"/>
        </w:rPr>
        <w:fldChar w:fldCharType="separate"/>
      </w:r>
      <w:r>
        <w:t>112</w:t>
      </w:r>
      <w:r>
        <w:rPr>
          <w:rFonts w:hint="eastAsia"/>
        </w:rPr>
        <w:fldChar w:fldCharType="end"/>
      </w:r>
      <w:r>
        <w:rPr>
          <w:rFonts w:hint="eastAsia"/>
        </w:rPr>
        <w:fldChar w:fldCharType="end"/>
      </w:r>
    </w:p>
    <w:p w14:paraId="0569070B">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"_Toc239274277" </w:instrText>
      </w:r>
      <w:r>
        <w:fldChar w:fldCharType="separate"/>
      </w:r>
      <w:r>
        <w:rPr>
          <w:rStyle w:val="128"/>
        </w:rPr>
        <w:t>5.2环境空气影响预测与评价</w:t>
      </w:r>
      <w:r>
        <w:rPr>
          <w:rFonts w:hint="eastAsia"/>
        </w:rPr>
        <w:tab/>
      </w:r>
      <w:r>
        <w:rPr>
          <w:rFonts w:hint="eastAsia"/>
        </w:rPr>
        <w:fldChar w:fldCharType="begin"/>
      </w:r>
      <w:r>
        <w:rPr>
          <w:rFonts w:hint="eastAsia"/>
        </w:rPr>
        <w:instrText xml:space="preserve"> </w:instrText>
      </w:r>
      <w:r>
        <w:instrText xml:space="preserve">PAGEREF _Toc239274277 \h</w:instrText>
      </w:r>
      <w:r>
        <w:rPr>
          <w:rFonts w:hint="eastAsia"/>
        </w:rPr>
        <w:instrText xml:space="preserve"> </w:instrText>
      </w:r>
      <w:r>
        <w:rPr>
          <w:rFonts w:hint="eastAsia"/>
        </w:rPr>
        <w:fldChar w:fldCharType="separate"/>
      </w:r>
      <w:r>
        <w:t>114</w:t>
      </w:r>
      <w:r>
        <w:rPr>
          <w:rFonts w:hint="eastAsia"/>
        </w:rPr>
        <w:fldChar w:fldCharType="end"/>
      </w:r>
      <w:r>
        <w:rPr>
          <w:rFonts w:hint="eastAsia"/>
        </w:rPr>
        <w:fldChar w:fldCharType="end"/>
      </w:r>
    </w:p>
    <w:p w14:paraId="293FD929">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"_Toc239274278" </w:instrText>
      </w:r>
      <w:r>
        <w:fldChar w:fldCharType="separate"/>
      </w:r>
      <w:r>
        <w:rPr>
          <w:rStyle w:val="128"/>
        </w:rPr>
        <w:t>5.3地表水环境影响分析</w:t>
      </w:r>
      <w:r>
        <w:rPr>
          <w:rFonts w:hint="eastAsia"/>
        </w:rPr>
        <w:tab/>
      </w:r>
      <w:r>
        <w:rPr>
          <w:rFonts w:hint="eastAsia"/>
        </w:rPr>
        <w:fldChar w:fldCharType="begin"/>
      </w:r>
      <w:r>
        <w:rPr>
          <w:rFonts w:hint="eastAsia"/>
        </w:rPr>
        <w:instrText xml:space="preserve"> </w:instrText>
      </w:r>
      <w:r>
        <w:instrText xml:space="preserve">PAGEREF _Toc239274278 \h</w:instrText>
      </w:r>
      <w:r>
        <w:rPr>
          <w:rFonts w:hint="eastAsia"/>
        </w:rPr>
        <w:instrText xml:space="preserve"> </w:instrText>
      </w:r>
      <w:r>
        <w:rPr>
          <w:rFonts w:hint="eastAsia"/>
        </w:rPr>
        <w:fldChar w:fldCharType="separate"/>
      </w:r>
      <w:r>
        <w:t>135</w:t>
      </w:r>
      <w:r>
        <w:rPr>
          <w:rFonts w:hint="eastAsia"/>
        </w:rPr>
        <w:fldChar w:fldCharType="end"/>
      </w:r>
      <w:r>
        <w:rPr>
          <w:rFonts w:hint="eastAsia"/>
        </w:rPr>
        <w:fldChar w:fldCharType="end"/>
      </w:r>
    </w:p>
    <w:p w14:paraId="117ABB29">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"_Toc239274279" </w:instrText>
      </w:r>
      <w:r>
        <w:fldChar w:fldCharType="separate"/>
      </w:r>
      <w:r>
        <w:rPr>
          <w:rStyle w:val="128"/>
        </w:rPr>
        <w:t>5.4声环境影响评价</w:t>
      </w:r>
      <w:r>
        <w:rPr>
          <w:rFonts w:hint="eastAsia"/>
        </w:rPr>
        <w:tab/>
      </w:r>
      <w:r>
        <w:rPr>
          <w:rFonts w:hint="eastAsia"/>
        </w:rPr>
        <w:fldChar w:fldCharType="begin"/>
      </w:r>
      <w:r>
        <w:rPr>
          <w:rFonts w:hint="eastAsia"/>
        </w:rPr>
        <w:instrText xml:space="preserve"> </w:instrText>
      </w:r>
      <w:r>
        <w:instrText xml:space="preserve">PAGEREF _Toc239274279 \h</w:instrText>
      </w:r>
      <w:r>
        <w:rPr>
          <w:rFonts w:hint="eastAsia"/>
        </w:rPr>
        <w:instrText xml:space="preserve"> </w:instrText>
      </w:r>
      <w:r>
        <w:rPr>
          <w:rFonts w:hint="eastAsia"/>
        </w:rPr>
        <w:fldChar w:fldCharType="separate"/>
      </w:r>
      <w:r>
        <w:t>136</w:t>
      </w:r>
      <w:r>
        <w:rPr>
          <w:rFonts w:hint="eastAsia"/>
        </w:rPr>
        <w:fldChar w:fldCharType="end"/>
      </w:r>
      <w:r>
        <w:rPr>
          <w:rFonts w:hint="eastAsia"/>
        </w:rPr>
        <w:fldChar w:fldCharType="end"/>
      </w:r>
    </w:p>
    <w:p w14:paraId="2C6ACF64">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"_Toc239274280" </w:instrText>
      </w:r>
      <w:r>
        <w:fldChar w:fldCharType="separate"/>
      </w:r>
      <w:r>
        <w:rPr>
          <w:rStyle w:val="128"/>
        </w:rPr>
        <w:t>5.5土壤环境影响评价</w:t>
      </w:r>
      <w:r>
        <w:rPr>
          <w:rFonts w:hint="eastAsia"/>
        </w:rPr>
        <w:tab/>
      </w:r>
      <w:r>
        <w:rPr>
          <w:rFonts w:hint="eastAsia"/>
        </w:rPr>
        <w:fldChar w:fldCharType="begin"/>
      </w:r>
      <w:r>
        <w:rPr>
          <w:rFonts w:hint="eastAsia"/>
        </w:rPr>
        <w:instrText xml:space="preserve"> </w:instrText>
      </w:r>
      <w:r>
        <w:instrText xml:space="preserve">PAGEREF _Toc239274280 \h</w:instrText>
      </w:r>
      <w:r>
        <w:rPr>
          <w:rFonts w:hint="eastAsia"/>
        </w:rPr>
        <w:instrText xml:space="preserve"> </w:instrText>
      </w:r>
      <w:r>
        <w:rPr>
          <w:rFonts w:hint="eastAsia"/>
        </w:rPr>
        <w:fldChar w:fldCharType="separate"/>
      </w:r>
      <w:r>
        <w:t>139</w:t>
      </w:r>
      <w:r>
        <w:rPr>
          <w:rFonts w:hint="eastAsia"/>
        </w:rPr>
        <w:fldChar w:fldCharType="end"/>
      </w:r>
      <w:r>
        <w:rPr>
          <w:rFonts w:hint="eastAsia"/>
        </w:rPr>
        <w:fldChar w:fldCharType="end"/>
      </w:r>
    </w:p>
    <w:p w14:paraId="18A2EB59">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"_Toc239274281" </w:instrText>
      </w:r>
      <w:r>
        <w:fldChar w:fldCharType="separate"/>
      </w:r>
      <w:r>
        <w:rPr>
          <w:rStyle w:val="128"/>
        </w:rPr>
        <w:t>5.6固体废物环境影响评价</w:t>
      </w:r>
      <w:r>
        <w:rPr>
          <w:rFonts w:hint="eastAsia"/>
        </w:rPr>
        <w:tab/>
      </w:r>
      <w:r>
        <w:rPr>
          <w:rFonts w:hint="eastAsia"/>
        </w:rPr>
        <w:fldChar w:fldCharType="begin"/>
      </w:r>
      <w:r>
        <w:rPr>
          <w:rFonts w:hint="eastAsia"/>
        </w:rPr>
        <w:instrText xml:space="preserve"> </w:instrText>
      </w:r>
      <w:r>
        <w:instrText xml:space="preserve">PAGEREF _Toc239274281 \h</w:instrText>
      </w:r>
      <w:r>
        <w:rPr>
          <w:rFonts w:hint="eastAsia"/>
        </w:rPr>
        <w:instrText xml:space="preserve"> </w:instrText>
      </w:r>
      <w:r>
        <w:rPr>
          <w:rFonts w:hint="eastAsia"/>
        </w:rPr>
        <w:fldChar w:fldCharType="separate"/>
      </w:r>
      <w:r>
        <w:t>143</w:t>
      </w:r>
      <w:r>
        <w:rPr>
          <w:rFonts w:hint="eastAsia"/>
        </w:rPr>
        <w:fldChar w:fldCharType="end"/>
      </w:r>
      <w:r>
        <w:rPr>
          <w:rFonts w:hint="eastAsia"/>
        </w:rPr>
        <w:fldChar w:fldCharType="end"/>
      </w:r>
    </w:p>
    <w:p w14:paraId="3D2B7BC4">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"_Toc239274282" </w:instrText>
      </w:r>
      <w:r>
        <w:fldChar w:fldCharType="separate"/>
      </w:r>
      <w:r>
        <w:rPr>
          <w:rStyle w:val="128"/>
        </w:rPr>
        <w:t>5.7地下水环境影响评价</w:t>
      </w:r>
      <w:r>
        <w:rPr>
          <w:rFonts w:hint="eastAsia"/>
        </w:rPr>
        <w:tab/>
      </w:r>
      <w:r>
        <w:rPr>
          <w:rFonts w:hint="eastAsia"/>
        </w:rPr>
        <w:fldChar w:fldCharType="begin"/>
      </w:r>
      <w:r>
        <w:rPr>
          <w:rFonts w:hint="eastAsia"/>
        </w:rPr>
        <w:instrText xml:space="preserve"> </w:instrText>
      </w:r>
      <w:r>
        <w:instrText xml:space="preserve">PAGEREF _Toc239274282 \h</w:instrText>
      </w:r>
      <w:r>
        <w:rPr>
          <w:rFonts w:hint="eastAsia"/>
        </w:rPr>
        <w:instrText xml:space="preserve"> </w:instrText>
      </w:r>
      <w:r>
        <w:rPr>
          <w:rFonts w:hint="eastAsia"/>
        </w:rPr>
        <w:fldChar w:fldCharType="separate"/>
      </w:r>
      <w:r>
        <w:t>146</w:t>
      </w:r>
      <w:r>
        <w:rPr>
          <w:rFonts w:hint="eastAsia"/>
        </w:rPr>
        <w:fldChar w:fldCharType="end"/>
      </w:r>
      <w:r>
        <w:rPr>
          <w:rFonts w:hint="eastAsia"/>
        </w:rPr>
        <w:fldChar w:fldCharType="end"/>
      </w:r>
    </w:p>
    <w:p w14:paraId="4837DE27">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"_Toc239274283" </w:instrText>
      </w:r>
      <w:r>
        <w:fldChar w:fldCharType="separate"/>
      </w:r>
      <w:r>
        <w:rPr>
          <w:rStyle w:val="128"/>
        </w:rPr>
        <w:t>5.8生态环境影响分析</w:t>
      </w:r>
      <w:r>
        <w:rPr>
          <w:rFonts w:hint="eastAsia"/>
        </w:rPr>
        <w:tab/>
      </w:r>
      <w:r>
        <w:rPr>
          <w:rFonts w:hint="eastAsia"/>
        </w:rPr>
        <w:fldChar w:fldCharType="begin"/>
      </w:r>
      <w:r>
        <w:rPr>
          <w:rFonts w:hint="eastAsia"/>
        </w:rPr>
        <w:instrText xml:space="preserve"> </w:instrText>
      </w:r>
      <w:r>
        <w:instrText xml:space="preserve">PAGEREF _Toc239274283 \h</w:instrText>
      </w:r>
      <w:r>
        <w:rPr>
          <w:rFonts w:hint="eastAsia"/>
        </w:rPr>
        <w:instrText xml:space="preserve"> </w:instrText>
      </w:r>
      <w:r>
        <w:rPr>
          <w:rFonts w:hint="eastAsia"/>
        </w:rPr>
        <w:fldChar w:fldCharType="separate"/>
      </w:r>
      <w:r>
        <w:t>170</w:t>
      </w:r>
      <w:r>
        <w:rPr>
          <w:rFonts w:hint="eastAsia"/>
        </w:rPr>
        <w:fldChar w:fldCharType="end"/>
      </w:r>
      <w:r>
        <w:rPr>
          <w:rFonts w:hint="eastAsia"/>
        </w:rPr>
        <w:fldChar w:fldCharType="end"/>
      </w:r>
    </w:p>
    <w:p w14:paraId="225250BE">
      <w:pPr>
        <w:pStyle w:val="61"/>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"_Toc239274284" </w:instrText>
      </w:r>
      <w:r>
        <w:fldChar w:fldCharType="separate"/>
      </w:r>
      <w:r>
        <w:rPr>
          <w:rStyle w:val="128"/>
        </w:rPr>
        <w:t>6.环境保护措施及其可行性论证</w:t>
      </w:r>
      <w:r>
        <w:rPr>
          <w:rFonts w:hint="eastAsia"/>
        </w:rPr>
        <w:tab/>
      </w:r>
      <w:r>
        <w:rPr>
          <w:rFonts w:hint="eastAsia"/>
        </w:rPr>
        <w:fldChar w:fldCharType="begin"/>
      </w:r>
      <w:r>
        <w:rPr>
          <w:rFonts w:hint="eastAsia"/>
        </w:rPr>
        <w:instrText xml:space="preserve"> </w:instrText>
      </w:r>
      <w:r>
        <w:instrText xml:space="preserve">PAGEREF _Toc239274284 \h</w:instrText>
      </w:r>
      <w:r>
        <w:rPr>
          <w:rFonts w:hint="eastAsia"/>
        </w:rPr>
        <w:instrText xml:space="preserve"> </w:instrText>
      </w:r>
      <w:r>
        <w:rPr>
          <w:rFonts w:hint="eastAsia"/>
        </w:rPr>
        <w:fldChar w:fldCharType="separate"/>
      </w:r>
      <w:r>
        <w:t>173</w:t>
      </w:r>
      <w:r>
        <w:rPr>
          <w:rFonts w:hint="eastAsia"/>
        </w:rPr>
        <w:fldChar w:fldCharType="end"/>
      </w:r>
      <w:r>
        <w:rPr>
          <w:rFonts w:hint="eastAsia"/>
        </w:rPr>
        <w:fldChar w:fldCharType="end"/>
      </w:r>
    </w:p>
    <w:p w14:paraId="4AF042F1">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"_Toc239274285" </w:instrText>
      </w:r>
      <w:r>
        <w:fldChar w:fldCharType="separate"/>
      </w:r>
      <w:r>
        <w:rPr>
          <w:rStyle w:val="128"/>
          <w:kern w:val="0"/>
        </w:rPr>
        <w:t>6.1建设期环境保护措施</w:t>
      </w:r>
      <w:r>
        <w:rPr>
          <w:rFonts w:hint="eastAsia"/>
        </w:rPr>
        <w:tab/>
      </w:r>
      <w:r>
        <w:rPr>
          <w:rFonts w:hint="eastAsia"/>
        </w:rPr>
        <w:fldChar w:fldCharType="begin"/>
      </w:r>
      <w:r>
        <w:rPr>
          <w:rFonts w:hint="eastAsia"/>
        </w:rPr>
        <w:instrText xml:space="preserve"> </w:instrText>
      </w:r>
      <w:r>
        <w:instrText xml:space="preserve">PAGEREF _Toc239274285 \h</w:instrText>
      </w:r>
      <w:r>
        <w:rPr>
          <w:rFonts w:hint="eastAsia"/>
        </w:rPr>
        <w:instrText xml:space="preserve"> </w:instrText>
      </w:r>
      <w:r>
        <w:rPr>
          <w:rFonts w:hint="eastAsia"/>
        </w:rPr>
        <w:fldChar w:fldCharType="separate"/>
      </w:r>
      <w:r>
        <w:t>173</w:t>
      </w:r>
      <w:r>
        <w:rPr>
          <w:rFonts w:hint="eastAsia"/>
        </w:rPr>
        <w:fldChar w:fldCharType="end"/>
      </w:r>
      <w:r>
        <w:rPr>
          <w:rFonts w:hint="eastAsia"/>
        </w:rPr>
        <w:fldChar w:fldCharType="end"/>
      </w:r>
    </w:p>
    <w:p w14:paraId="7E45010C">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"_Toc239274286" </w:instrText>
      </w:r>
      <w:r>
        <w:fldChar w:fldCharType="separate"/>
      </w:r>
      <w:r>
        <w:rPr>
          <w:rStyle w:val="128"/>
          <w:kern w:val="0"/>
        </w:rPr>
        <w:t>6.2运营期环境保护措施及其可行性论证</w:t>
      </w:r>
      <w:r>
        <w:rPr>
          <w:rFonts w:hint="eastAsia"/>
        </w:rPr>
        <w:tab/>
      </w:r>
      <w:r>
        <w:rPr>
          <w:rFonts w:hint="eastAsia"/>
        </w:rPr>
        <w:fldChar w:fldCharType="begin"/>
      </w:r>
      <w:r>
        <w:rPr>
          <w:rFonts w:hint="eastAsia"/>
        </w:rPr>
        <w:instrText xml:space="preserve"> </w:instrText>
      </w:r>
      <w:r>
        <w:instrText xml:space="preserve">PAGEREF _Toc239274286 \h</w:instrText>
      </w:r>
      <w:r>
        <w:rPr>
          <w:rFonts w:hint="eastAsia"/>
        </w:rPr>
        <w:instrText xml:space="preserve"> </w:instrText>
      </w:r>
      <w:r>
        <w:rPr>
          <w:rFonts w:hint="eastAsia"/>
        </w:rPr>
        <w:fldChar w:fldCharType="separate"/>
      </w:r>
      <w:r>
        <w:t>175</w:t>
      </w:r>
      <w:r>
        <w:rPr>
          <w:rFonts w:hint="eastAsia"/>
        </w:rPr>
        <w:fldChar w:fldCharType="end"/>
      </w:r>
      <w:r>
        <w:rPr>
          <w:rFonts w:hint="eastAsia"/>
        </w:rPr>
        <w:fldChar w:fldCharType="end"/>
      </w:r>
    </w:p>
    <w:p w14:paraId="38461FF9">
      <w:pPr>
        <w:pStyle w:val="61"/>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"_Toc239274287" </w:instrText>
      </w:r>
      <w:r>
        <w:fldChar w:fldCharType="separate"/>
      </w:r>
      <w:r>
        <w:rPr>
          <w:rStyle w:val="128"/>
        </w:rPr>
        <w:t>7.环境风险评价</w:t>
      </w:r>
      <w:r>
        <w:rPr>
          <w:rFonts w:hint="eastAsia"/>
        </w:rPr>
        <w:tab/>
      </w:r>
      <w:r>
        <w:rPr>
          <w:rFonts w:hint="eastAsia"/>
        </w:rPr>
        <w:fldChar w:fldCharType="begin"/>
      </w:r>
      <w:r>
        <w:rPr>
          <w:rFonts w:hint="eastAsia"/>
        </w:rPr>
        <w:instrText xml:space="preserve"> </w:instrText>
      </w:r>
      <w:r>
        <w:instrText xml:space="preserve">PAGEREF _Toc239274287 \h</w:instrText>
      </w:r>
      <w:r>
        <w:rPr>
          <w:rFonts w:hint="eastAsia"/>
        </w:rPr>
        <w:instrText xml:space="preserve"> </w:instrText>
      </w:r>
      <w:r>
        <w:rPr>
          <w:rFonts w:hint="eastAsia"/>
        </w:rPr>
        <w:fldChar w:fldCharType="separate"/>
      </w:r>
      <w:r>
        <w:t>193</w:t>
      </w:r>
      <w:r>
        <w:rPr>
          <w:rFonts w:hint="eastAsia"/>
        </w:rPr>
        <w:fldChar w:fldCharType="end"/>
      </w:r>
      <w:r>
        <w:rPr>
          <w:rFonts w:hint="eastAsia"/>
        </w:rPr>
        <w:fldChar w:fldCharType="end"/>
      </w:r>
    </w:p>
    <w:p w14:paraId="75455B9C">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"_Toc239274288" </w:instrText>
      </w:r>
      <w:r>
        <w:fldChar w:fldCharType="separate"/>
      </w:r>
      <w:r>
        <w:rPr>
          <w:rStyle w:val="128"/>
          <w:kern w:val="0"/>
        </w:rPr>
        <w:t>7.1风险源</w:t>
      </w:r>
      <w:r>
        <w:rPr>
          <w:rFonts w:hint="eastAsia"/>
        </w:rPr>
        <w:tab/>
      </w:r>
      <w:r>
        <w:rPr>
          <w:rFonts w:hint="eastAsia"/>
        </w:rPr>
        <w:fldChar w:fldCharType="begin"/>
      </w:r>
      <w:r>
        <w:rPr>
          <w:rFonts w:hint="eastAsia"/>
        </w:rPr>
        <w:instrText xml:space="preserve"> </w:instrText>
      </w:r>
      <w:r>
        <w:instrText xml:space="preserve">PAGEREF _Toc239274288 \h</w:instrText>
      </w:r>
      <w:r>
        <w:rPr>
          <w:rFonts w:hint="eastAsia"/>
        </w:rPr>
        <w:instrText xml:space="preserve"> </w:instrText>
      </w:r>
      <w:r>
        <w:rPr>
          <w:rFonts w:hint="eastAsia"/>
        </w:rPr>
        <w:fldChar w:fldCharType="separate"/>
      </w:r>
      <w:r>
        <w:t>193</w:t>
      </w:r>
      <w:r>
        <w:rPr>
          <w:rFonts w:hint="eastAsia"/>
        </w:rPr>
        <w:fldChar w:fldCharType="end"/>
      </w:r>
      <w:r>
        <w:rPr>
          <w:rFonts w:hint="eastAsia"/>
        </w:rPr>
        <w:fldChar w:fldCharType="end"/>
      </w:r>
    </w:p>
    <w:p w14:paraId="00D86CCE">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"_Toc239274289" </w:instrText>
      </w:r>
      <w:r>
        <w:fldChar w:fldCharType="separate"/>
      </w:r>
      <w:r>
        <w:rPr>
          <w:rStyle w:val="128"/>
          <w:kern w:val="0"/>
        </w:rPr>
        <w:t>7.2环境敏感目标概况</w:t>
      </w:r>
      <w:r>
        <w:rPr>
          <w:rFonts w:hint="eastAsia"/>
        </w:rPr>
        <w:tab/>
      </w:r>
      <w:r>
        <w:rPr>
          <w:rFonts w:hint="eastAsia"/>
        </w:rPr>
        <w:fldChar w:fldCharType="begin"/>
      </w:r>
      <w:r>
        <w:rPr>
          <w:rFonts w:hint="eastAsia"/>
        </w:rPr>
        <w:instrText xml:space="preserve"> </w:instrText>
      </w:r>
      <w:r>
        <w:instrText xml:space="preserve">PAGEREF _Toc239274289 \h</w:instrText>
      </w:r>
      <w:r>
        <w:rPr>
          <w:rFonts w:hint="eastAsia"/>
        </w:rPr>
        <w:instrText xml:space="preserve"> </w:instrText>
      </w:r>
      <w:r>
        <w:rPr>
          <w:rFonts w:hint="eastAsia"/>
        </w:rPr>
        <w:fldChar w:fldCharType="separate"/>
      </w:r>
      <w:r>
        <w:t>195</w:t>
      </w:r>
      <w:r>
        <w:rPr>
          <w:rFonts w:hint="eastAsia"/>
        </w:rPr>
        <w:fldChar w:fldCharType="end"/>
      </w:r>
      <w:r>
        <w:rPr>
          <w:rFonts w:hint="eastAsia"/>
        </w:rPr>
        <w:fldChar w:fldCharType="end"/>
      </w:r>
    </w:p>
    <w:p w14:paraId="09D2DB81">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"_Toc239274290" </w:instrText>
      </w:r>
      <w:r>
        <w:fldChar w:fldCharType="separate"/>
      </w:r>
      <w:r>
        <w:rPr>
          <w:rStyle w:val="128"/>
          <w:kern w:val="0"/>
        </w:rPr>
        <w:t>7.3环境风险识别</w:t>
      </w:r>
      <w:r>
        <w:rPr>
          <w:rFonts w:hint="eastAsia"/>
        </w:rPr>
        <w:tab/>
      </w:r>
      <w:r>
        <w:rPr>
          <w:rFonts w:hint="eastAsia"/>
        </w:rPr>
        <w:fldChar w:fldCharType="begin"/>
      </w:r>
      <w:r>
        <w:rPr>
          <w:rFonts w:hint="eastAsia"/>
        </w:rPr>
        <w:instrText xml:space="preserve"> </w:instrText>
      </w:r>
      <w:r>
        <w:instrText xml:space="preserve">PAGEREF _Toc239274290 \h</w:instrText>
      </w:r>
      <w:r>
        <w:rPr>
          <w:rFonts w:hint="eastAsia"/>
        </w:rPr>
        <w:instrText xml:space="preserve"> </w:instrText>
      </w:r>
      <w:r>
        <w:rPr>
          <w:rFonts w:hint="eastAsia"/>
        </w:rPr>
        <w:fldChar w:fldCharType="separate"/>
      </w:r>
      <w:r>
        <w:t>195</w:t>
      </w:r>
      <w:r>
        <w:rPr>
          <w:rFonts w:hint="eastAsia"/>
        </w:rPr>
        <w:fldChar w:fldCharType="end"/>
      </w:r>
      <w:r>
        <w:rPr>
          <w:rFonts w:hint="eastAsia"/>
        </w:rPr>
        <w:fldChar w:fldCharType="end"/>
      </w:r>
    </w:p>
    <w:p w14:paraId="793B8DF9">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"_Toc239274291" </w:instrText>
      </w:r>
      <w:r>
        <w:fldChar w:fldCharType="separate"/>
      </w:r>
      <w:r>
        <w:rPr>
          <w:rStyle w:val="128"/>
          <w:kern w:val="0"/>
        </w:rPr>
        <w:t>7.4环境风险分析</w:t>
      </w:r>
      <w:r>
        <w:rPr>
          <w:rFonts w:hint="eastAsia"/>
        </w:rPr>
        <w:tab/>
      </w:r>
      <w:r>
        <w:rPr>
          <w:rFonts w:hint="eastAsia"/>
        </w:rPr>
        <w:fldChar w:fldCharType="begin"/>
      </w:r>
      <w:r>
        <w:rPr>
          <w:rFonts w:hint="eastAsia"/>
        </w:rPr>
        <w:instrText xml:space="preserve"> </w:instrText>
      </w:r>
      <w:r>
        <w:instrText xml:space="preserve">PAGEREF _Toc239274291 \h</w:instrText>
      </w:r>
      <w:r>
        <w:rPr>
          <w:rFonts w:hint="eastAsia"/>
        </w:rPr>
        <w:instrText xml:space="preserve"> </w:instrText>
      </w:r>
      <w:r>
        <w:rPr>
          <w:rFonts w:hint="eastAsia"/>
        </w:rPr>
        <w:fldChar w:fldCharType="separate"/>
      </w:r>
      <w:r>
        <w:t>195</w:t>
      </w:r>
      <w:r>
        <w:rPr>
          <w:rFonts w:hint="eastAsia"/>
        </w:rPr>
        <w:fldChar w:fldCharType="end"/>
      </w:r>
      <w:r>
        <w:rPr>
          <w:rFonts w:hint="eastAsia"/>
        </w:rPr>
        <w:fldChar w:fldCharType="end"/>
      </w:r>
    </w:p>
    <w:p w14:paraId="7CC271F1">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"_Toc239274292" </w:instrText>
      </w:r>
      <w:r>
        <w:fldChar w:fldCharType="separate"/>
      </w:r>
      <w:r>
        <w:rPr>
          <w:rStyle w:val="128"/>
          <w:kern w:val="0"/>
        </w:rPr>
        <w:t>7.5环境风险防范措施及应急要求</w:t>
      </w:r>
      <w:r>
        <w:rPr>
          <w:rFonts w:hint="eastAsia"/>
        </w:rPr>
        <w:tab/>
      </w:r>
      <w:r>
        <w:rPr>
          <w:rFonts w:hint="eastAsia"/>
        </w:rPr>
        <w:fldChar w:fldCharType="begin"/>
      </w:r>
      <w:r>
        <w:rPr>
          <w:rFonts w:hint="eastAsia"/>
        </w:rPr>
        <w:instrText xml:space="preserve"> </w:instrText>
      </w:r>
      <w:r>
        <w:instrText xml:space="preserve">PAGEREF _Toc239274292 \h</w:instrText>
      </w:r>
      <w:r>
        <w:rPr>
          <w:rFonts w:hint="eastAsia"/>
        </w:rPr>
        <w:instrText xml:space="preserve"> </w:instrText>
      </w:r>
      <w:r>
        <w:rPr>
          <w:rFonts w:hint="eastAsia"/>
        </w:rPr>
        <w:fldChar w:fldCharType="separate"/>
      </w:r>
      <w:r>
        <w:t>196</w:t>
      </w:r>
      <w:r>
        <w:rPr>
          <w:rFonts w:hint="eastAsia"/>
        </w:rPr>
        <w:fldChar w:fldCharType="end"/>
      </w:r>
      <w:r>
        <w:rPr>
          <w:rFonts w:hint="eastAsia"/>
        </w:rPr>
        <w:fldChar w:fldCharType="end"/>
      </w:r>
    </w:p>
    <w:p w14:paraId="4A9A231C">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"_Toc239274293" </w:instrText>
      </w:r>
      <w:r>
        <w:fldChar w:fldCharType="separate"/>
      </w:r>
      <w:r>
        <w:rPr>
          <w:rStyle w:val="128"/>
          <w:kern w:val="0"/>
        </w:rPr>
        <w:t>7.6环境风险分析结论</w:t>
      </w:r>
      <w:r>
        <w:rPr>
          <w:rFonts w:hint="eastAsia"/>
        </w:rPr>
        <w:tab/>
      </w:r>
      <w:r>
        <w:rPr>
          <w:rFonts w:hint="eastAsia"/>
        </w:rPr>
        <w:fldChar w:fldCharType="begin"/>
      </w:r>
      <w:r>
        <w:rPr>
          <w:rFonts w:hint="eastAsia"/>
        </w:rPr>
        <w:instrText xml:space="preserve"> </w:instrText>
      </w:r>
      <w:r>
        <w:instrText xml:space="preserve">PAGEREF _Toc239274293 \h</w:instrText>
      </w:r>
      <w:r>
        <w:rPr>
          <w:rFonts w:hint="eastAsia"/>
        </w:rPr>
        <w:instrText xml:space="preserve"> </w:instrText>
      </w:r>
      <w:r>
        <w:rPr>
          <w:rFonts w:hint="eastAsia"/>
        </w:rPr>
        <w:fldChar w:fldCharType="separate"/>
      </w:r>
      <w:r>
        <w:t>198</w:t>
      </w:r>
      <w:r>
        <w:rPr>
          <w:rFonts w:hint="eastAsia"/>
        </w:rPr>
        <w:fldChar w:fldCharType="end"/>
      </w:r>
      <w:r>
        <w:rPr>
          <w:rFonts w:hint="eastAsia"/>
        </w:rPr>
        <w:fldChar w:fldCharType="end"/>
      </w:r>
    </w:p>
    <w:p w14:paraId="1641CD0E">
      <w:pPr>
        <w:pStyle w:val="61"/>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"_Toc239274294" </w:instrText>
      </w:r>
      <w:r>
        <w:fldChar w:fldCharType="separate"/>
      </w:r>
      <w:r>
        <w:rPr>
          <w:rStyle w:val="128"/>
        </w:rPr>
        <w:t>8.环境影响经济损益分析</w:t>
      </w:r>
      <w:r>
        <w:rPr>
          <w:rFonts w:hint="eastAsia"/>
        </w:rPr>
        <w:tab/>
      </w:r>
      <w:r>
        <w:rPr>
          <w:rFonts w:hint="eastAsia"/>
        </w:rPr>
        <w:fldChar w:fldCharType="begin"/>
      </w:r>
      <w:r>
        <w:rPr>
          <w:rFonts w:hint="eastAsia"/>
        </w:rPr>
        <w:instrText xml:space="preserve"> </w:instrText>
      </w:r>
      <w:r>
        <w:instrText xml:space="preserve">PAGEREF _Toc239274294 \h</w:instrText>
      </w:r>
      <w:r>
        <w:rPr>
          <w:rFonts w:hint="eastAsia"/>
        </w:rPr>
        <w:instrText xml:space="preserve"> </w:instrText>
      </w:r>
      <w:r>
        <w:rPr>
          <w:rFonts w:hint="eastAsia"/>
        </w:rPr>
        <w:fldChar w:fldCharType="separate"/>
      </w:r>
      <w:r>
        <w:t>199</w:t>
      </w:r>
      <w:r>
        <w:rPr>
          <w:rFonts w:hint="eastAsia"/>
        </w:rPr>
        <w:fldChar w:fldCharType="end"/>
      </w:r>
      <w:r>
        <w:rPr>
          <w:rFonts w:hint="eastAsia"/>
        </w:rPr>
        <w:fldChar w:fldCharType="end"/>
      </w:r>
    </w:p>
    <w:p w14:paraId="75644A6E">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"_Toc239274295" </w:instrText>
      </w:r>
      <w:r>
        <w:fldChar w:fldCharType="separate"/>
      </w:r>
      <w:r>
        <w:rPr>
          <w:rStyle w:val="128"/>
          <w:kern w:val="0"/>
        </w:rPr>
        <w:t>8.1经济效益分析</w:t>
      </w:r>
      <w:r>
        <w:rPr>
          <w:rFonts w:hint="eastAsia"/>
        </w:rPr>
        <w:tab/>
      </w:r>
      <w:r>
        <w:rPr>
          <w:rFonts w:hint="eastAsia"/>
        </w:rPr>
        <w:fldChar w:fldCharType="begin"/>
      </w:r>
      <w:r>
        <w:rPr>
          <w:rFonts w:hint="eastAsia"/>
        </w:rPr>
        <w:instrText xml:space="preserve"> </w:instrText>
      </w:r>
      <w:r>
        <w:instrText xml:space="preserve">PAGEREF _Toc239274295 \h</w:instrText>
      </w:r>
      <w:r>
        <w:rPr>
          <w:rFonts w:hint="eastAsia"/>
        </w:rPr>
        <w:instrText xml:space="preserve"> </w:instrText>
      </w:r>
      <w:r>
        <w:rPr>
          <w:rFonts w:hint="eastAsia"/>
        </w:rPr>
        <w:fldChar w:fldCharType="separate"/>
      </w:r>
      <w:r>
        <w:t>199</w:t>
      </w:r>
      <w:r>
        <w:rPr>
          <w:rFonts w:hint="eastAsia"/>
        </w:rPr>
        <w:fldChar w:fldCharType="end"/>
      </w:r>
      <w:r>
        <w:rPr>
          <w:rFonts w:hint="eastAsia"/>
        </w:rPr>
        <w:fldChar w:fldCharType="end"/>
      </w:r>
    </w:p>
    <w:p w14:paraId="23884E95">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"_Toc239274296" </w:instrText>
      </w:r>
      <w:r>
        <w:fldChar w:fldCharType="separate"/>
      </w:r>
      <w:r>
        <w:rPr>
          <w:rStyle w:val="128"/>
          <w:kern w:val="0"/>
        </w:rPr>
        <w:t>8.2社会效益分析</w:t>
      </w:r>
      <w:r>
        <w:rPr>
          <w:rFonts w:hint="eastAsia"/>
        </w:rPr>
        <w:tab/>
      </w:r>
      <w:r>
        <w:rPr>
          <w:rFonts w:hint="eastAsia"/>
        </w:rPr>
        <w:fldChar w:fldCharType="begin"/>
      </w:r>
      <w:r>
        <w:rPr>
          <w:rFonts w:hint="eastAsia"/>
        </w:rPr>
        <w:instrText xml:space="preserve"> </w:instrText>
      </w:r>
      <w:r>
        <w:instrText xml:space="preserve">PAGEREF _Toc239274296 \h</w:instrText>
      </w:r>
      <w:r>
        <w:rPr>
          <w:rFonts w:hint="eastAsia"/>
        </w:rPr>
        <w:instrText xml:space="preserve"> </w:instrText>
      </w:r>
      <w:r>
        <w:rPr>
          <w:rFonts w:hint="eastAsia"/>
        </w:rPr>
        <w:fldChar w:fldCharType="separate"/>
      </w:r>
      <w:r>
        <w:t>199</w:t>
      </w:r>
      <w:r>
        <w:rPr>
          <w:rFonts w:hint="eastAsia"/>
        </w:rPr>
        <w:fldChar w:fldCharType="end"/>
      </w:r>
      <w:r>
        <w:rPr>
          <w:rFonts w:hint="eastAsia"/>
        </w:rPr>
        <w:fldChar w:fldCharType="end"/>
      </w:r>
    </w:p>
    <w:p w14:paraId="3F3B5DE8">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"_Toc239274297" </w:instrText>
      </w:r>
      <w:r>
        <w:fldChar w:fldCharType="separate"/>
      </w:r>
      <w:r>
        <w:rPr>
          <w:rStyle w:val="128"/>
          <w:kern w:val="0"/>
        </w:rPr>
        <w:t>8.3环境效益分析</w:t>
      </w:r>
      <w:r>
        <w:rPr>
          <w:rFonts w:hint="eastAsia"/>
        </w:rPr>
        <w:tab/>
      </w:r>
      <w:r>
        <w:rPr>
          <w:rFonts w:hint="eastAsia"/>
        </w:rPr>
        <w:fldChar w:fldCharType="begin"/>
      </w:r>
      <w:r>
        <w:rPr>
          <w:rFonts w:hint="eastAsia"/>
        </w:rPr>
        <w:instrText xml:space="preserve"> </w:instrText>
      </w:r>
      <w:r>
        <w:instrText xml:space="preserve">PAGEREF _Toc239274297 \h</w:instrText>
      </w:r>
      <w:r>
        <w:rPr>
          <w:rFonts w:hint="eastAsia"/>
        </w:rPr>
        <w:instrText xml:space="preserve"> </w:instrText>
      </w:r>
      <w:r>
        <w:rPr>
          <w:rFonts w:hint="eastAsia"/>
        </w:rPr>
        <w:fldChar w:fldCharType="separate"/>
      </w:r>
      <w:r>
        <w:t>200</w:t>
      </w:r>
      <w:r>
        <w:rPr>
          <w:rFonts w:hint="eastAsia"/>
        </w:rPr>
        <w:fldChar w:fldCharType="end"/>
      </w:r>
      <w:r>
        <w:rPr>
          <w:rFonts w:hint="eastAsia"/>
        </w:rPr>
        <w:fldChar w:fldCharType="end"/>
      </w:r>
    </w:p>
    <w:p w14:paraId="638E5476">
      <w:pPr>
        <w:pStyle w:val="61"/>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"_Toc239274298" </w:instrText>
      </w:r>
      <w:r>
        <w:fldChar w:fldCharType="separate"/>
      </w:r>
      <w:r>
        <w:rPr>
          <w:rStyle w:val="128"/>
        </w:rPr>
        <w:t>9.环境管理与监测计划</w:t>
      </w:r>
      <w:r>
        <w:rPr>
          <w:rFonts w:hint="eastAsia"/>
        </w:rPr>
        <w:tab/>
      </w:r>
      <w:r>
        <w:rPr>
          <w:rFonts w:hint="eastAsia"/>
        </w:rPr>
        <w:fldChar w:fldCharType="begin"/>
      </w:r>
      <w:r>
        <w:rPr>
          <w:rFonts w:hint="eastAsia"/>
        </w:rPr>
        <w:instrText xml:space="preserve"> </w:instrText>
      </w:r>
      <w:r>
        <w:instrText xml:space="preserve">PAGEREF _Toc239274298 \h</w:instrText>
      </w:r>
      <w:r>
        <w:rPr>
          <w:rFonts w:hint="eastAsia"/>
        </w:rPr>
        <w:instrText xml:space="preserve"> </w:instrText>
      </w:r>
      <w:r>
        <w:rPr>
          <w:rFonts w:hint="eastAsia"/>
        </w:rPr>
        <w:fldChar w:fldCharType="separate"/>
      </w:r>
      <w:r>
        <w:t>201</w:t>
      </w:r>
      <w:r>
        <w:rPr>
          <w:rFonts w:hint="eastAsia"/>
        </w:rPr>
        <w:fldChar w:fldCharType="end"/>
      </w:r>
      <w:r>
        <w:rPr>
          <w:rFonts w:hint="eastAsia"/>
        </w:rPr>
        <w:fldChar w:fldCharType="end"/>
      </w:r>
    </w:p>
    <w:p w14:paraId="664B2222">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"_Toc239274299" </w:instrText>
      </w:r>
      <w:r>
        <w:fldChar w:fldCharType="separate"/>
      </w:r>
      <w:r>
        <w:rPr>
          <w:rStyle w:val="128"/>
          <w:kern w:val="0"/>
        </w:rPr>
        <w:t>9.1环境管理</w:t>
      </w:r>
      <w:r>
        <w:rPr>
          <w:rFonts w:hint="eastAsia"/>
        </w:rPr>
        <w:tab/>
      </w:r>
      <w:r>
        <w:rPr>
          <w:rFonts w:hint="eastAsia"/>
        </w:rPr>
        <w:fldChar w:fldCharType="begin"/>
      </w:r>
      <w:r>
        <w:rPr>
          <w:rFonts w:hint="eastAsia"/>
        </w:rPr>
        <w:instrText xml:space="preserve"> </w:instrText>
      </w:r>
      <w:r>
        <w:instrText xml:space="preserve">PAGEREF _Toc239274299 \h</w:instrText>
      </w:r>
      <w:r>
        <w:rPr>
          <w:rFonts w:hint="eastAsia"/>
        </w:rPr>
        <w:instrText xml:space="preserve"> </w:instrText>
      </w:r>
      <w:r>
        <w:rPr>
          <w:rFonts w:hint="eastAsia"/>
        </w:rPr>
        <w:fldChar w:fldCharType="separate"/>
      </w:r>
      <w:r>
        <w:t>201</w:t>
      </w:r>
      <w:r>
        <w:rPr>
          <w:rFonts w:hint="eastAsia"/>
        </w:rPr>
        <w:fldChar w:fldCharType="end"/>
      </w:r>
      <w:r>
        <w:rPr>
          <w:rFonts w:hint="eastAsia"/>
        </w:rPr>
        <w:fldChar w:fldCharType="end"/>
      </w:r>
    </w:p>
    <w:p w14:paraId="6B696870">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"_Toc239274300" </w:instrText>
      </w:r>
      <w:r>
        <w:fldChar w:fldCharType="separate"/>
      </w:r>
      <w:r>
        <w:rPr>
          <w:rStyle w:val="128"/>
        </w:rPr>
        <w:t>9.2环境监测</w:t>
      </w:r>
      <w:r>
        <w:rPr>
          <w:rFonts w:hint="eastAsia"/>
        </w:rPr>
        <w:tab/>
      </w:r>
      <w:r>
        <w:rPr>
          <w:rFonts w:hint="eastAsia"/>
        </w:rPr>
        <w:fldChar w:fldCharType="begin"/>
      </w:r>
      <w:r>
        <w:rPr>
          <w:rFonts w:hint="eastAsia"/>
        </w:rPr>
        <w:instrText xml:space="preserve"> </w:instrText>
      </w:r>
      <w:r>
        <w:instrText xml:space="preserve">PAGEREF _Toc239274300 \h</w:instrText>
      </w:r>
      <w:r>
        <w:rPr>
          <w:rFonts w:hint="eastAsia"/>
        </w:rPr>
        <w:instrText xml:space="preserve"> </w:instrText>
      </w:r>
      <w:r>
        <w:rPr>
          <w:rFonts w:hint="eastAsia"/>
        </w:rPr>
        <w:fldChar w:fldCharType="separate"/>
      </w:r>
      <w:r>
        <w:t>203</w:t>
      </w:r>
      <w:r>
        <w:rPr>
          <w:rFonts w:hint="eastAsia"/>
        </w:rPr>
        <w:fldChar w:fldCharType="end"/>
      </w:r>
      <w:r>
        <w:rPr>
          <w:rFonts w:hint="eastAsia"/>
        </w:rPr>
        <w:fldChar w:fldCharType="end"/>
      </w:r>
    </w:p>
    <w:p w14:paraId="45D874B7">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"_Toc239274301" </w:instrText>
      </w:r>
      <w:r>
        <w:fldChar w:fldCharType="separate"/>
      </w:r>
      <w:r>
        <w:rPr>
          <w:rStyle w:val="128"/>
        </w:rPr>
        <w:t>9.3排污口规范化建设</w:t>
      </w:r>
      <w:r>
        <w:rPr>
          <w:rFonts w:hint="eastAsia"/>
        </w:rPr>
        <w:tab/>
      </w:r>
      <w:r>
        <w:rPr>
          <w:rFonts w:hint="eastAsia"/>
        </w:rPr>
        <w:fldChar w:fldCharType="begin"/>
      </w:r>
      <w:r>
        <w:rPr>
          <w:rFonts w:hint="eastAsia"/>
        </w:rPr>
        <w:instrText xml:space="preserve"> </w:instrText>
      </w:r>
      <w:r>
        <w:instrText xml:space="preserve">PAGEREF _Toc239274301 \h</w:instrText>
      </w:r>
      <w:r>
        <w:rPr>
          <w:rFonts w:hint="eastAsia"/>
        </w:rPr>
        <w:instrText xml:space="preserve"> </w:instrText>
      </w:r>
      <w:r>
        <w:rPr>
          <w:rFonts w:hint="eastAsia"/>
        </w:rPr>
        <w:fldChar w:fldCharType="separate"/>
      </w:r>
      <w:r>
        <w:t>205</w:t>
      </w:r>
      <w:r>
        <w:rPr>
          <w:rFonts w:hint="eastAsia"/>
        </w:rPr>
        <w:fldChar w:fldCharType="end"/>
      </w:r>
      <w:r>
        <w:rPr>
          <w:rFonts w:hint="eastAsia"/>
        </w:rPr>
        <w:fldChar w:fldCharType="end"/>
      </w:r>
    </w:p>
    <w:p w14:paraId="1C027D34">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"_Toc239274302" </w:instrText>
      </w:r>
      <w:r>
        <w:fldChar w:fldCharType="separate"/>
      </w:r>
      <w:r>
        <w:rPr>
          <w:rStyle w:val="128"/>
        </w:rPr>
        <w:t>9.4排污许可证及环境保护竣工验收</w:t>
      </w:r>
      <w:r>
        <w:rPr>
          <w:rFonts w:hint="eastAsia"/>
        </w:rPr>
        <w:tab/>
      </w:r>
      <w:r>
        <w:rPr>
          <w:rFonts w:hint="eastAsia"/>
        </w:rPr>
        <w:fldChar w:fldCharType="begin"/>
      </w:r>
      <w:r>
        <w:rPr>
          <w:rFonts w:hint="eastAsia"/>
        </w:rPr>
        <w:instrText xml:space="preserve"> </w:instrText>
      </w:r>
      <w:r>
        <w:instrText xml:space="preserve">PAGEREF _Toc239274302 \h</w:instrText>
      </w:r>
      <w:r>
        <w:rPr>
          <w:rFonts w:hint="eastAsia"/>
        </w:rPr>
        <w:instrText xml:space="preserve"> </w:instrText>
      </w:r>
      <w:r>
        <w:rPr>
          <w:rFonts w:hint="eastAsia"/>
        </w:rPr>
        <w:fldChar w:fldCharType="separate"/>
      </w:r>
      <w:r>
        <w:t>206</w:t>
      </w:r>
      <w:r>
        <w:rPr>
          <w:rFonts w:hint="eastAsia"/>
        </w:rPr>
        <w:fldChar w:fldCharType="end"/>
      </w:r>
      <w:r>
        <w:rPr>
          <w:rFonts w:hint="eastAsia"/>
        </w:rPr>
        <w:fldChar w:fldCharType="end"/>
      </w:r>
    </w:p>
    <w:p w14:paraId="2689FCDF">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"_Toc239274303" </w:instrText>
      </w:r>
      <w:r>
        <w:fldChar w:fldCharType="separate"/>
      </w:r>
      <w:r>
        <w:rPr>
          <w:rStyle w:val="128"/>
        </w:rPr>
        <w:t>9.5污染物排放清单</w:t>
      </w:r>
      <w:r>
        <w:rPr>
          <w:rFonts w:hint="eastAsia"/>
        </w:rPr>
        <w:tab/>
      </w:r>
      <w:r>
        <w:rPr>
          <w:rFonts w:hint="eastAsia"/>
        </w:rPr>
        <w:fldChar w:fldCharType="begin"/>
      </w:r>
      <w:r>
        <w:rPr>
          <w:rFonts w:hint="eastAsia"/>
        </w:rPr>
        <w:instrText xml:space="preserve"> </w:instrText>
      </w:r>
      <w:r>
        <w:instrText xml:space="preserve">PAGEREF _Toc239274303 \h</w:instrText>
      </w:r>
      <w:r>
        <w:rPr>
          <w:rFonts w:hint="eastAsia"/>
        </w:rPr>
        <w:instrText xml:space="preserve"> </w:instrText>
      </w:r>
      <w:r>
        <w:rPr>
          <w:rFonts w:hint="eastAsia"/>
        </w:rPr>
        <w:fldChar w:fldCharType="separate"/>
      </w:r>
      <w:r>
        <w:t>207</w:t>
      </w:r>
      <w:r>
        <w:rPr>
          <w:rFonts w:hint="eastAsia"/>
        </w:rPr>
        <w:fldChar w:fldCharType="end"/>
      </w:r>
      <w:r>
        <w:rPr>
          <w:rFonts w:hint="eastAsia"/>
        </w:rPr>
        <w:fldChar w:fldCharType="end"/>
      </w:r>
    </w:p>
    <w:p w14:paraId="16B6CDB5">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"_Toc239274304" </w:instrText>
      </w:r>
      <w:r>
        <w:fldChar w:fldCharType="separate"/>
      </w:r>
      <w:r>
        <w:rPr>
          <w:rStyle w:val="128"/>
        </w:rPr>
        <w:t>9.6总量控制</w:t>
      </w:r>
      <w:r>
        <w:rPr>
          <w:rFonts w:hint="eastAsia"/>
        </w:rPr>
        <w:tab/>
      </w:r>
      <w:r>
        <w:rPr>
          <w:rFonts w:hint="eastAsia"/>
        </w:rPr>
        <w:fldChar w:fldCharType="begin"/>
      </w:r>
      <w:r>
        <w:rPr>
          <w:rFonts w:hint="eastAsia"/>
        </w:rPr>
        <w:instrText xml:space="preserve"> </w:instrText>
      </w:r>
      <w:r>
        <w:instrText xml:space="preserve">PAGEREF _Toc239274304 \h</w:instrText>
      </w:r>
      <w:r>
        <w:rPr>
          <w:rFonts w:hint="eastAsia"/>
        </w:rPr>
        <w:instrText xml:space="preserve"> </w:instrText>
      </w:r>
      <w:r>
        <w:rPr>
          <w:rFonts w:hint="eastAsia"/>
        </w:rPr>
        <w:fldChar w:fldCharType="separate"/>
      </w:r>
      <w:r>
        <w:t>208</w:t>
      </w:r>
      <w:r>
        <w:rPr>
          <w:rFonts w:hint="eastAsia"/>
        </w:rPr>
        <w:fldChar w:fldCharType="end"/>
      </w:r>
      <w:r>
        <w:rPr>
          <w:rFonts w:hint="eastAsia"/>
        </w:rPr>
        <w:fldChar w:fldCharType="end"/>
      </w:r>
    </w:p>
    <w:p w14:paraId="7DFE524C">
      <w:pPr>
        <w:pStyle w:val="61"/>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"_Toc239274305" </w:instrText>
      </w:r>
      <w:r>
        <w:fldChar w:fldCharType="separate"/>
      </w:r>
      <w:r>
        <w:rPr>
          <w:rStyle w:val="128"/>
        </w:rPr>
        <w:t>10.生态环境影响评价结论</w:t>
      </w:r>
      <w:r>
        <w:rPr>
          <w:rFonts w:hint="eastAsia"/>
        </w:rPr>
        <w:tab/>
      </w:r>
      <w:r>
        <w:rPr>
          <w:rFonts w:hint="eastAsia"/>
        </w:rPr>
        <w:fldChar w:fldCharType="begin"/>
      </w:r>
      <w:r>
        <w:rPr>
          <w:rFonts w:hint="eastAsia"/>
        </w:rPr>
        <w:instrText xml:space="preserve"> </w:instrText>
      </w:r>
      <w:r>
        <w:instrText xml:space="preserve">PAGEREF _Toc239274305 \h</w:instrText>
      </w:r>
      <w:r>
        <w:rPr>
          <w:rFonts w:hint="eastAsia"/>
        </w:rPr>
        <w:instrText xml:space="preserve"> </w:instrText>
      </w:r>
      <w:r>
        <w:rPr>
          <w:rFonts w:hint="eastAsia"/>
        </w:rPr>
        <w:fldChar w:fldCharType="separate"/>
      </w:r>
      <w:r>
        <w:t>210</w:t>
      </w:r>
      <w:r>
        <w:rPr>
          <w:rFonts w:hint="eastAsia"/>
        </w:rPr>
        <w:fldChar w:fldCharType="end"/>
      </w:r>
      <w:r>
        <w:rPr>
          <w:rFonts w:hint="eastAsia"/>
        </w:rPr>
        <w:fldChar w:fldCharType="end"/>
      </w:r>
    </w:p>
    <w:p w14:paraId="20A81AA2">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"_Toc239274306" </w:instrText>
      </w:r>
      <w:r>
        <w:fldChar w:fldCharType="separate"/>
      </w:r>
      <w:r>
        <w:rPr>
          <w:rStyle w:val="128"/>
        </w:rPr>
        <w:t>10.1建设项目概况</w:t>
      </w:r>
      <w:r>
        <w:rPr>
          <w:rFonts w:hint="eastAsia"/>
        </w:rPr>
        <w:tab/>
      </w:r>
      <w:r>
        <w:rPr>
          <w:rFonts w:hint="eastAsia"/>
        </w:rPr>
        <w:fldChar w:fldCharType="begin"/>
      </w:r>
      <w:r>
        <w:rPr>
          <w:rFonts w:hint="eastAsia"/>
        </w:rPr>
        <w:instrText xml:space="preserve"> </w:instrText>
      </w:r>
      <w:r>
        <w:instrText xml:space="preserve">PAGEREF _Toc239274306 \h</w:instrText>
      </w:r>
      <w:r>
        <w:rPr>
          <w:rFonts w:hint="eastAsia"/>
        </w:rPr>
        <w:instrText xml:space="preserve"> </w:instrText>
      </w:r>
      <w:r>
        <w:rPr>
          <w:rFonts w:hint="eastAsia"/>
        </w:rPr>
        <w:fldChar w:fldCharType="separate"/>
      </w:r>
      <w:r>
        <w:t>210</w:t>
      </w:r>
      <w:r>
        <w:rPr>
          <w:rFonts w:hint="eastAsia"/>
        </w:rPr>
        <w:fldChar w:fldCharType="end"/>
      </w:r>
      <w:r>
        <w:rPr>
          <w:rFonts w:hint="eastAsia"/>
        </w:rPr>
        <w:fldChar w:fldCharType="end"/>
      </w:r>
    </w:p>
    <w:p w14:paraId="6C12776A">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"_Toc239274307" </w:instrText>
      </w:r>
      <w:r>
        <w:fldChar w:fldCharType="separate"/>
      </w:r>
      <w:r>
        <w:rPr>
          <w:rStyle w:val="128"/>
        </w:rPr>
        <w:t>10.2环境质量现状</w:t>
      </w:r>
      <w:r>
        <w:rPr>
          <w:rFonts w:hint="eastAsia"/>
        </w:rPr>
        <w:tab/>
      </w:r>
      <w:r>
        <w:rPr>
          <w:rFonts w:hint="eastAsia"/>
        </w:rPr>
        <w:fldChar w:fldCharType="begin"/>
      </w:r>
      <w:r>
        <w:rPr>
          <w:rFonts w:hint="eastAsia"/>
        </w:rPr>
        <w:instrText xml:space="preserve"> </w:instrText>
      </w:r>
      <w:r>
        <w:instrText xml:space="preserve">PAGEREF _Toc239274307 \h</w:instrText>
      </w:r>
      <w:r>
        <w:rPr>
          <w:rFonts w:hint="eastAsia"/>
        </w:rPr>
        <w:instrText xml:space="preserve"> </w:instrText>
      </w:r>
      <w:r>
        <w:rPr>
          <w:rFonts w:hint="eastAsia"/>
        </w:rPr>
        <w:fldChar w:fldCharType="separate"/>
      </w:r>
      <w:r>
        <w:t>210</w:t>
      </w:r>
      <w:r>
        <w:rPr>
          <w:rFonts w:hint="eastAsia"/>
        </w:rPr>
        <w:fldChar w:fldCharType="end"/>
      </w:r>
      <w:r>
        <w:rPr>
          <w:rFonts w:hint="eastAsia"/>
        </w:rPr>
        <w:fldChar w:fldCharType="end"/>
      </w:r>
    </w:p>
    <w:p w14:paraId="1B7C110D">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"_Toc239274308" </w:instrText>
      </w:r>
      <w:r>
        <w:fldChar w:fldCharType="separate"/>
      </w:r>
      <w:r>
        <w:rPr>
          <w:rStyle w:val="128"/>
        </w:rPr>
        <w:t>10.3生态环境影响评价</w:t>
      </w:r>
      <w:r>
        <w:rPr>
          <w:rFonts w:hint="eastAsia"/>
        </w:rPr>
        <w:tab/>
      </w:r>
      <w:r>
        <w:rPr>
          <w:rFonts w:hint="eastAsia"/>
        </w:rPr>
        <w:fldChar w:fldCharType="begin"/>
      </w:r>
      <w:r>
        <w:rPr>
          <w:rFonts w:hint="eastAsia"/>
        </w:rPr>
        <w:instrText xml:space="preserve"> </w:instrText>
      </w:r>
      <w:r>
        <w:instrText xml:space="preserve">PAGEREF _Toc239274308 \h</w:instrText>
      </w:r>
      <w:r>
        <w:rPr>
          <w:rFonts w:hint="eastAsia"/>
        </w:rPr>
        <w:instrText xml:space="preserve"> </w:instrText>
      </w:r>
      <w:r>
        <w:rPr>
          <w:rFonts w:hint="eastAsia"/>
        </w:rPr>
        <w:fldChar w:fldCharType="separate"/>
      </w:r>
      <w:r>
        <w:t>210</w:t>
      </w:r>
      <w:r>
        <w:rPr>
          <w:rFonts w:hint="eastAsia"/>
        </w:rPr>
        <w:fldChar w:fldCharType="end"/>
      </w:r>
      <w:r>
        <w:rPr>
          <w:rFonts w:hint="eastAsia"/>
        </w:rPr>
        <w:fldChar w:fldCharType="end"/>
      </w:r>
    </w:p>
    <w:p w14:paraId="01A6D6CD">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"_Toc239274309" </w:instrText>
      </w:r>
      <w:r>
        <w:fldChar w:fldCharType="separate"/>
      </w:r>
      <w:r>
        <w:rPr>
          <w:rStyle w:val="128"/>
        </w:rPr>
        <w:t>10.4环境保护措施</w:t>
      </w:r>
      <w:r>
        <w:rPr>
          <w:rFonts w:hint="eastAsia"/>
        </w:rPr>
        <w:tab/>
      </w:r>
      <w:r>
        <w:rPr>
          <w:rFonts w:hint="eastAsia"/>
        </w:rPr>
        <w:fldChar w:fldCharType="begin"/>
      </w:r>
      <w:r>
        <w:rPr>
          <w:rFonts w:hint="eastAsia"/>
        </w:rPr>
        <w:instrText xml:space="preserve"> </w:instrText>
      </w:r>
      <w:r>
        <w:instrText xml:space="preserve">PAGEREF _Toc239274309 \h</w:instrText>
      </w:r>
      <w:r>
        <w:rPr>
          <w:rFonts w:hint="eastAsia"/>
        </w:rPr>
        <w:instrText xml:space="preserve"> </w:instrText>
      </w:r>
      <w:r>
        <w:rPr>
          <w:rFonts w:hint="eastAsia"/>
        </w:rPr>
        <w:fldChar w:fldCharType="separate"/>
      </w:r>
      <w:r>
        <w:t>212</w:t>
      </w:r>
      <w:r>
        <w:rPr>
          <w:rFonts w:hint="eastAsia"/>
        </w:rPr>
        <w:fldChar w:fldCharType="end"/>
      </w:r>
      <w:r>
        <w:rPr>
          <w:rFonts w:hint="eastAsia"/>
        </w:rPr>
        <w:fldChar w:fldCharType="end"/>
      </w:r>
    </w:p>
    <w:p w14:paraId="788B16FD">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"_Toc239274310" </w:instrText>
      </w:r>
      <w:r>
        <w:fldChar w:fldCharType="separate"/>
      </w:r>
      <w:r>
        <w:rPr>
          <w:rStyle w:val="128"/>
        </w:rPr>
        <w:t>10.5环境影响经济损益分析</w:t>
      </w:r>
      <w:r>
        <w:rPr>
          <w:rFonts w:hint="eastAsia"/>
        </w:rPr>
        <w:tab/>
      </w:r>
      <w:r>
        <w:rPr>
          <w:rFonts w:hint="eastAsia"/>
        </w:rPr>
        <w:fldChar w:fldCharType="begin"/>
      </w:r>
      <w:r>
        <w:rPr>
          <w:rFonts w:hint="eastAsia"/>
        </w:rPr>
        <w:instrText xml:space="preserve"> </w:instrText>
      </w:r>
      <w:r>
        <w:instrText xml:space="preserve">PAGEREF _Toc239274310 \h</w:instrText>
      </w:r>
      <w:r>
        <w:rPr>
          <w:rFonts w:hint="eastAsia"/>
        </w:rPr>
        <w:instrText xml:space="preserve"> </w:instrText>
      </w:r>
      <w:r>
        <w:rPr>
          <w:rFonts w:hint="eastAsia"/>
        </w:rPr>
        <w:fldChar w:fldCharType="separate"/>
      </w:r>
      <w:r>
        <w:t>212</w:t>
      </w:r>
      <w:r>
        <w:rPr>
          <w:rFonts w:hint="eastAsia"/>
        </w:rPr>
        <w:fldChar w:fldCharType="end"/>
      </w:r>
      <w:r>
        <w:rPr>
          <w:rFonts w:hint="eastAsia"/>
        </w:rPr>
        <w:fldChar w:fldCharType="end"/>
      </w:r>
    </w:p>
    <w:p w14:paraId="0AFDE1AC">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"_Toc239274311" </w:instrText>
      </w:r>
      <w:r>
        <w:fldChar w:fldCharType="separate"/>
      </w:r>
      <w:r>
        <w:rPr>
          <w:rStyle w:val="128"/>
        </w:rPr>
        <w:t>10.6环境管理与监控计划</w:t>
      </w:r>
      <w:r>
        <w:rPr>
          <w:rFonts w:hint="eastAsia"/>
        </w:rPr>
        <w:tab/>
      </w:r>
      <w:r>
        <w:rPr>
          <w:rFonts w:hint="eastAsia"/>
        </w:rPr>
        <w:fldChar w:fldCharType="begin"/>
      </w:r>
      <w:r>
        <w:rPr>
          <w:rFonts w:hint="eastAsia"/>
        </w:rPr>
        <w:instrText xml:space="preserve"> </w:instrText>
      </w:r>
      <w:r>
        <w:instrText xml:space="preserve">PAGEREF _Toc239274311 \h</w:instrText>
      </w:r>
      <w:r>
        <w:rPr>
          <w:rFonts w:hint="eastAsia"/>
        </w:rPr>
        <w:instrText xml:space="preserve"> </w:instrText>
      </w:r>
      <w:r>
        <w:rPr>
          <w:rFonts w:hint="eastAsia"/>
        </w:rPr>
        <w:fldChar w:fldCharType="separate"/>
      </w:r>
      <w:r>
        <w:t>212</w:t>
      </w:r>
      <w:r>
        <w:rPr>
          <w:rFonts w:hint="eastAsia"/>
        </w:rPr>
        <w:fldChar w:fldCharType="end"/>
      </w:r>
      <w:r>
        <w:rPr>
          <w:rFonts w:hint="eastAsia"/>
        </w:rPr>
        <w:fldChar w:fldCharType="end"/>
      </w:r>
    </w:p>
    <w:p w14:paraId="48C748F1">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"_Toc239274312" </w:instrText>
      </w:r>
      <w:r>
        <w:fldChar w:fldCharType="separate"/>
      </w:r>
      <w:r>
        <w:rPr>
          <w:rStyle w:val="128"/>
        </w:rPr>
        <w:t>10.7公众参与</w:t>
      </w:r>
      <w:r>
        <w:rPr>
          <w:rFonts w:hint="eastAsia"/>
        </w:rPr>
        <w:tab/>
      </w:r>
      <w:r>
        <w:rPr>
          <w:rFonts w:hint="eastAsia"/>
        </w:rPr>
        <w:fldChar w:fldCharType="begin"/>
      </w:r>
      <w:r>
        <w:rPr>
          <w:rFonts w:hint="eastAsia"/>
        </w:rPr>
        <w:instrText xml:space="preserve"> </w:instrText>
      </w:r>
      <w:r>
        <w:instrText xml:space="preserve">PAGEREF _Toc239274312 \h</w:instrText>
      </w:r>
      <w:r>
        <w:rPr>
          <w:rFonts w:hint="eastAsia"/>
        </w:rPr>
        <w:instrText xml:space="preserve"> </w:instrText>
      </w:r>
      <w:r>
        <w:rPr>
          <w:rFonts w:hint="eastAsia"/>
        </w:rPr>
        <w:fldChar w:fldCharType="separate"/>
      </w:r>
      <w:r>
        <w:t>213</w:t>
      </w:r>
      <w:r>
        <w:rPr>
          <w:rFonts w:hint="eastAsia"/>
        </w:rPr>
        <w:fldChar w:fldCharType="end"/>
      </w:r>
      <w:r>
        <w:rPr>
          <w:rFonts w:hint="eastAsia"/>
        </w:rPr>
        <w:fldChar w:fldCharType="end"/>
      </w:r>
    </w:p>
    <w:p w14:paraId="20462E01">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"_Toc239274313" </w:instrText>
      </w:r>
      <w:r>
        <w:fldChar w:fldCharType="separate"/>
      </w:r>
      <w:r>
        <w:rPr>
          <w:rStyle w:val="128"/>
        </w:rPr>
        <w:t>10.8环境影响可行性结论</w:t>
      </w:r>
      <w:r>
        <w:rPr>
          <w:rFonts w:hint="eastAsia"/>
        </w:rPr>
        <w:tab/>
      </w:r>
      <w:r>
        <w:rPr>
          <w:rFonts w:hint="eastAsia"/>
        </w:rPr>
        <w:fldChar w:fldCharType="begin"/>
      </w:r>
      <w:r>
        <w:rPr>
          <w:rFonts w:hint="eastAsia"/>
        </w:rPr>
        <w:instrText xml:space="preserve"> </w:instrText>
      </w:r>
      <w:r>
        <w:instrText xml:space="preserve">PAGEREF _Toc239274313 \h</w:instrText>
      </w:r>
      <w:r>
        <w:rPr>
          <w:rFonts w:hint="eastAsia"/>
        </w:rPr>
        <w:instrText xml:space="preserve"> </w:instrText>
      </w:r>
      <w:r>
        <w:rPr>
          <w:rFonts w:hint="eastAsia"/>
        </w:rPr>
        <w:fldChar w:fldCharType="separate"/>
      </w:r>
      <w:r>
        <w:t>213</w:t>
      </w:r>
      <w:r>
        <w:rPr>
          <w:rFonts w:hint="eastAsia"/>
        </w:rPr>
        <w:fldChar w:fldCharType="end"/>
      </w:r>
      <w:r>
        <w:rPr>
          <w:rFonts w:hint="eastAsia"/>
        </w:rPr>
        <w:fldChar w:fldCharType="end"/>
      </w:r>
    </w:p>
    <w:p w14:paraId="3F5F97C8">
      <w:pPr>
        <w:pStyle w:val="61"/>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"_Toc239274314" </w:instrText>
      </w:r>
      <w:r>
        <w:fldChar w:fldCharType="separate"/>
      </w:r>
      <w:r>
        <w:rPr>
          <w:rStyle w:val="128"/>
        </w:rPr>
        <w:t>附表</w:t>
      </w:r>
      <w:r>
        <w:rPr>
          <w:rFonts w:hint="eastAsia"/>
        </w:rPr>
        <w:tab/>
      </w:r>
      <w:r>
        <w:rPr>
          <w:rFonts w:hint="eastAsia"/>
        </w:rPr>
        <w:fldChar w:fldCharType="begin"/>
      </w:r>
      <w:r>
        <w:rPr>
          <w:rFonts w:hint="eastAsia"/>
        </w:rPr>
        <w:instrText xml:space="preserve"> </w:instrText>
      </w:r>
      <w:r>
        <w:instrText xml:space="preserve">PAGEREF _Toc239274314 \h</w:instrText>
      </w:r>
      <w:r>
        <w:rPr>
          <w:rFonts w:hint="eastAsia"/>
        </w:rPr>
        <w:instrText xml:space="preserve"> </w:instrText>
      </w:r>
      <w:r>
        <w:rPr>
          <w:rFonts w:hint="eastAsia"/>
        </w:rPr>
        <w:fldChar w:fldCharType="separate"/>
      </w:r>
      <w:r>
        <w:t>214</w:t>
      </w:r>
      <w:r>
        <w:rPr>
          <w:rFonts w:hint="eastAsia"/>
        </w:rPr>
        <w:fldChar w:fldCharType="end"/>
      </w:r>
      <w:r>
        <w:rPr>
          <w:rFonts w:hint="eastAsia"/>
        </w:rPr>
        <w:fldChar w:fldCharType="end"/>
      </w:r>
    </w:p>
    <w:p w14:paraId="514EAF11">
      <w:pPr>
        <w:pStyle w:val="61"/>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"_Toc239274315" </w:instrText>
      </w:r>
      <w:r>
        <w:fldChar w:fldCharType="separate"/>
      </w:r>
      <w:r>
        <w:rPr>
          <w:rStyle w:val="128"/>
        </w:rPr>
        <w:t>附件</w:t>
      </w:r>
      <w:r>
        <w:rPr>
          <w:rFonts w:hint="eastAsia"/>
        </w:rPr>
        <w:tab/>
      </w:r>
      <w:r>
        <w:rPr>
          <w:rFonts w:hint="eastAsia"/>
        </w:rPr>
        <w:fldChar w:fldCharType="begin"/>
      </w:r>
      <w:r>
        <w:rPr>
          <w:rFonts w:hint="eastAsia"/>
        </w:rPr>
        <w:instrText xml:space="preserve"> </w:instrText>
      </w:r>
      <w:r>
        <w:instrText xml:space="preserve">PAGEREF _Toc239274315 \h</w:instrText>
      </w:r>
      <w:r>
        <w:rPr>
          <w:rFonts w:hint="eastAsia"/>
        </w:rPr>
        <w:instrText xml:space="preserve"> </w:instrText>
      </w:r>
      <w:r>
        <w:rPr>
          <w:rFonts w:hint="eastAsia"/>
        </w:rPr>
        <w:fldChar w:fldCharType="separate"/>
      </w:r>
      <w:r>
        <w:t>219</w:t>
      </w:r>
      <w:r>
        <w:rPr>
          <w:rFonts w:hint="eastAsia"/>
        </w:rPr>
        <w:fldChar w:fldCharType="end"/>
      </w:r>
      <w:r>
        <w:rPr>
          <w:rFonts w:hint="eastAsia"/>
        </w:rPr>
        <w:fldChar w:fldCharType="end"/>
      </w:r>
    </w:p>
    <w:p w14:paraId="529F1018">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"_Toc239274316" </w:instrText>
      </w:r>
      <w:r>
        <w:fldChar w:fldCharType="separate"/>
      </w:r>
      <w:r>
        <w:rPr>
          <w:rStyle w:val="128"/>
        </w:rPr>
        <w:t>附件1环评委托书</w:t>
      </w:r>
      <w:r>
        <w:rPr>
          <w:rFonts w:hint="eastAsia"/>
        </w:rPr>
        <w:tab/>
      </w:r>
      <w:r>
        <w:rPr>
          <w:rFonts w:hint="eastAsia"/>
        </w:rPr>
        <w:fldChar w:fldCharType="begin"/>
      </w:r>
      <w:r>
        <w:rPr>
          <w:rFonts w:hint="eastAsia"/>
        </w:rPr>
        <w:instrText xml:space="preserve"> </w:instrText>
      </w:r>
      <w:r>
        <w:instrText xml:space="preserve">PAGEREF _Toc239274316 \h</w:instrText>
      </w:r>
      <w:r>
        <w:rPr>
          <w:rFonts w:hint="eastAsia"/>
        </w:rPr>
        <w:instrText xml:space="preserve"> </w:instrText>
      </w:r>
      <w:r>
        <w:rPr>
          <w:rFonts w:hint="eastAsia"/>
        </w:rPr>
        <w:fldChar w:fldCharType="separate"/>
      </w:r>
      <w:r>
        <w:t>219</w:t>
      </w:r>
      <w:r>
        <w:rPr>
          <w:rFonts w:hint="eastAsia"/>
        </w:rPr>
        <w:fldChar w:fldCharType="end"/>
      </w:r>
      <w:r>
        <w:rPr>
          <w:rFonts w:hint="eastAsia"/>
        </w:rPr>
        <w:fldChar w:fldCharType="end"/>
      </w:r>
    </w:p>
    <w:p w14:paraId="3B39384B">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"_Toc239274317" </w:instrText>
      </w:r>
      <w:r>
        <w:fldChar w:fldCharType="separate"/>
      </w:r>
      <w:r>
        <w:rPr>
          <w:rStyle w:val="128"/>
        </w:rPr>
        <w:t>附件2营业执照</w:t>
      </w:r>
      <w:r>
        <w:rPr>
          <w:rFonts w:hint="eastAsia"/>
        </w:rPr>
        <w:tab/>
      </w:r>
      <w:r>
        <w:rPr>
          <w:rFonts w:hint="eastAsia"/>
        </w:rPr>
        <w:fldChar w:fldCharType="begin"/>
      </w:r>
      <w:r>
        <w:rPr>
          <w:rFonts w:hint="eastAsia"/>
        </w:rPr>
        <w:instrText xml:space="preserve"> </w:instrText>
      </w:r>
      <w:r>
        <w:instrText xml:space="preserve">PAGEREF _Toc239274317 \h</w:instrText>
      </w:r>
      <w:r>
        <w:rPr>
          <w:rFonts w:hint="eastAsia"/>
        </w:rPr>
        <w:instrText xml:space="preserve"> </w:instrText>
      </w:r>
      <w:r>
        <w:rPr>
          <w:rFonts w:hint="eastAsia"/>
        </w:rPr>
        <w:fldChar w:fldCharType="separate"/>
      </w:r>
      <w:r>
        <w:t>220</w:t>
      </w:r>
      <w:r>
        <w:rPr>
          <w:rFonts w:hint="eastAsia"/>
        </w:rPr>
        <w:fldChar w:fldCharType="end"/>
      </w:r>
      <w:r>
        <w:rPr>
          <w:rFonts w:hint="eastAsia"/>
        </w:rPr>
        <w:fldChar w:fldCharType="end"/>
      </w:r>
    </w:p>
    <w:p w14:paraId="1D316B57">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"_Toc239274318" </w:instrText>
      </w:r>
      <w:r>
        <w:fldChar w:fldCharType="separate"/>
      </w:r>
      <w:r>
        <w:rPr>
          <w:rStyle w:val="128"/>
        </w:rPr>
        <w:t>附件3项目备案证明</w:t>
      </w:r>
      <w:r>
        <w:rPr>
          <w:rFonts w:hint="eastAsia"/>
        </w:rPr>
        <w:tab/>
      </w:r>
      <w:r>
        <w:rPr>
          <w:rFonts w:hint="eastAsia"/>
        </w:rPr>
        <w:fldChar w:fldCharType="begin"/>
      </w:r>
      <w:r>
        <w:rPr>
          <w:rFonts w:hint="eastAsia"/>
        </w:rPr>
        <w:instrText xml:space="preserve"> </w:instrText>
      </w:r>
      <w:r>
        <w:instrText xml:space="preserve">PAGEREF _Toc239274318 \h</w:instrText>
      </w:r>
      <w:r>
        <w:rPr>
          <w:rFonts w:hint="eastAsia"/>
        </w:rPr>
        <w:instrText xml:space="preserve"> </w:instrText>
      </w:r>
      <w:r>
        <w:rPr>
          <w:rFonts w:hint="eastAsia"/>
        </w:rPr>
        <w:fldChar w:fldCharType="separate"/>
      </w:r>
      <w:r>
        <w:t>221</w:t>
      </w:r>
      <w:r>
        <w:rPr>
          <w:rFonts w:hint="eastAsia"/>
        </w:rPr>
        <w:fldChar w:fldCharType="end"/>
      </w:r>
      <w:r>
        <w:rPr>
          <w:rFonts w:hint="eastAsia"/>
        </w:rPr>
        <w:fldChar w:fldCharType="end"/>
      </w:r>
    </w:p>
    <w:p w14:paraId="0BEFB722">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"_Toc239274319" </w:instrText>
      </w:r>
      <w:r>
        <w:fldChar w:fldCharType="separate"/>
      </w:r>
      <w:r>
        <w:rPr>
          <w:rStyle w:val="128"/>
        </w:rPr>
        <w:t>附件4项目不涉及林草地证明</w:t>
      </w:r>
      <w:r>
        <w:rPr>
          <w:rFonts w:hint="eastAsia"/>
        </w:rPr>
        <w:tab/>
      </w:r>
      <w:r>
        <w:rPr>
          <w:rFonts w:hint="eastAsia"/>
        </w:rPr>
        <w:fldChar w:fldCharType="begin"/>
      </w:r>
      <w:r>
        <w:rPr>
          <w:rFonts w:hint="eastAsia"/>
        </w:rPr>
        <w:instrText xml:space="preserve"> </w:instrText>
      </w:r>
      <w:r>
        <w:instrText xml:space="preserve">PAGEREF _Toc239274319 \h</w:instrText>
      </w:r>
      <w:r>
        <w:rPr>
          <w:rFonts w:hint="eastAsia"/>
        </w:rPr>
        <w:instrText xml:space="preserve"> </w:instrText>
      </w:r>
      <w:r>
        <w:rPr>
          <w:rFonts w:hint="eastAsia"/>
        </w:rPr>
        <w:fldChar w:fldCharType="separate"/>
      </w:r>
      <w:r>
        <w:t>222</w:t>
      </w:r>
      <w:r>
        <w:rPr>
          <w:rFonts w:hint="eastAsia"/>
        </w:rPr>
        <w:fldChar w:fldCharType="end"/>
      </w:r>
      <w:r>
        <w:rPr>
          <w:rFonts w:hint="eastAsia"/>
        </w:rPr>
        <w:fldChar w:fldCharType="end"/>
      </w:r>
    </w:p>
    <w:p w14:paraId="0651549E">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"_Toc239274320" </w:instrText>
      </w:r>
      <w:r>
        <w:fldChar w:fldCharType="separate"/>
      </w:r>
      <w:r>
        <w:rPr>
          <w:rStyle w:val="128"/>
        </w:rPr>
        <w:t>附件5土地租赁协议</w:t>
      </w:r>
      <w:r>
        <w:rPr>
          <w:rFonts w:hint="eastAsia"/>
        </w:rPr>
        <w:tab/>
      </w:r>
      <w:r>
        <w:rPr>
          <w:rFonts w:hint="eastAsia"/>
        </w:rPr>
        <w:fldChar w:fldCharType="begin"/>
      </w:r>
      <w:r>
        <w:rPr>
          <w:rFonts w:hint="eastAsia"/>
        </w:rPr>
        <w:instrText xml:space="preserve"> </w:instrText>
      </w:r>
      <w:r>
        <w:instrText xml:space="preserve">PAGEREF _Toc239274320 \h</w:instrText>
      </w:r>
      <w:r>
        <w:rPr>
          <w:rFonts w:hint="eastAsia"/>
        </w:rPr>
        <w:instrText xml:space="preserve"> </w:instrText>
      </w:r>
      <w:r>
        <w:rPr>
          <w:rFonts w:hint="eastAsia"/>
        </w:rPr>
        <w:fldChar w:fldCharType="separate"/>
      </w:r>
      <w:r>
        <w:t>225</w:t>
      </w:r>
      <w:r>
        <w:rPr>
          <w:rFonts w:hint="eastAsia"/>
        </w:rPr>
        <w:fldChar w:fldCharType="end"/>
      </w:r>
      <w:r>
        <w:rPr>
          <w:rFonts w:hint="eastAsia"/>
        </w:rPr>
        <w:fldChar w:fldCharType="end"/>
      </w:r>
    </w:p>
    <w:p w14:paraId="7927ECE3">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"_Toc239274321" </w:instrText>
      </w:r>
      <w:r>
        <w:fldChar w:fldCharType="separate"/>
      </w:r>
      <w:r>
        <w:rPr>
          <w:rStyle w:val="128"/>
        </w:rPr>
        <w:t>附件6用地规划说明</w:t>
      </w:r>
      <w:r>
        <w:rPr>
          <w:rFonts w:hint="eastAsia"/>
        </w:rPr>
        <w:tab/>
      </w:r>
      <w:r>
        <w:rPr>
          <w:rFonts w:hint="eastAsia"/>
        </w:rPr>
        <w:fldChar w:fldCharType="begin"/>
      </w:r>
      <w:r>
        <w:rPr>
          <w:rFonts w:hint="eastAsia"/>
        </w:rPr>
        <w:instrText xml:space="preserve"> </w:instrText>
      </w:r>
      <w:r>
        <w:instrText xml:space="preserve">PAGEREF _Toc239274321 \h</w:instrText>
      </w:r>
      <w:r>
        <w:rPr>
          <w:rFonts w:hint="eastAsia"/>
        </w:rPr>
        <w:instrText xml:space="preserve"> </w:instrText>
      </w:r>
      <w:r>
        <w:rPr>
          <w:rFonts w:hint="eastAsia"/>
        </w:rPr>
        <w:fldChar w:fldCharType="separate"/>
      </w:r>
      <w:r>
        <w:t>226</w:t>
      </w:r>
      <w:r>
        <w:rPr>
          <w:rFonts w:hint="eastAsia"/>
        </w:rPr>
        <w:fldChar w:fldCharType="end"/>
      </w:r>
      <w:r>
        <w:rPr>
          <w:rFonts w:hint="eastAsia"/>
        </w:rPr>
        <w:fldChar w:fldCharType="end"/>
      </w:r>
    </w:p>
    <w:p w14:paraId="0BB7C936">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"_Toc239274322" </w:instrText>
      </w:r>
      <w:r>
        <w:fldChar w:fldCharType="separate"/>
      </w:r>
      <w:r>
        <w:rPr>
          <w:rStyle w:val="128"/>
        </w:rPr>
        <w:t>附件7阜新亿升达铁选厂采矿许可证</w:t>
      </w:r>
      <w:r>
        <w:rPr>
          <w:rFonts w:hint="eastAsia"/>
        </w:rPr>
        <w:tab/>
      </w:r>
      <w:r>
        <w:rPr>
          <w:rFonts w:hint="eastAsia"/>
        </w:rPr>
        <w:fldChar w:fldCharType="begin"/>
      </w:r>
      <w:r>
        <w:rPr>
          <w:rFonts w:hint="eastAsia"/>
        </w:rPr>
        <w:instrText xml:space="preserve"> </w:instrText>
      </w:r>
      <w:r>
        <w:instrText xml:space="preserve">PAGEREF _Toc239274322 \h</w:instrText>
      </w:r>
      <w:r>
        <w:rPr>
          <w:rFonts w:hint="eastAsia"/>
        </w:rPr>
        <w:instrText xml:space="preserve"> </w:instrText>
      </w:r>
      <w:r>
        <w:rPr>
          <w:rFonts w:hint="eastAsia"/>
        </w:rPr>
        <w:fldChar w:fldCharType="separate"/>
      </w:r>
      <w:r>
        <w:t>228</w:t>
      </w:r>
      <w:r>
        <w:rPr>
          <w:rFonts w:hint="eastAsia"/>
        </w:rPr>
        <w:fldChar w:fldCharType="end"/>
      </w:r>
      <w:r>
        <w:rPr>
          <w:rFonts w:hint="eastAsia"/>
        </w:rPr>
        <w:fldChar w:fldCharType="end"/>
      </w:r>
    </w:p>
    <w:p w14:paraId="24AEE320">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"_Toc239274323" </w:instrText>
      </w:r>
      <w:r>
        <w:fldChar w:fldCharType="separate"/>
      </w:r>
      <w:r>
        <w:rPr>
          <w:rStyle w:val="128"/>
        </w:rPr>
        <w:t>附件8尾矿及废石成分检测报告</w:t>
      </w:r>
      <w:r>
        <w:rPr>
          <w:rFonts w:hint="eastAsia"/>
        </w:rPr>
        <w:tab/>
      </w:r>
      <w:r>
        <w:rPr>
          <w:rFonts w:hint="eastAsia"/>
        </w:rPr>
        <w:fldChar w:fldCharType="begin"/>
      </w:r>
      <w:r>
        <w:rPr>
          <w:rFonts w:hint="eastAsia"/>
        </w:rPr>
        <w:instrText xml:space="preserve"> </w:instrText>
      </w:r>
      <w:r>
        <w:instrText xml:space="preserve">PAGEREF _Toc239274323 \h</w:instrText>
      </w:r>
      <w:r>
        <w:rPr>
          <w:rFonts w:hint="eastAsia"/>
        </w:rPr>
        <w:instrText xml:space="preserve"> </w:instrText>
      </w:r>
      <w:r>
        <w:rPr>
          <w:rFonts w:hint="eastAsia"/>
        </w:rPr>
        <w:fldChar w:fldCharType="separate"/>
      </w:r>
      <w:r>
        <w:t>230</w:t>
      </w:r>
      <w:r>
        <w:rPr>
          <w:rFonts w:hint="eastAsia"/>
        </w:rPr>
        <w:fldChar w:fldCharType="end"/>
      </w:r>
      <w:r>
        <w:rPr>
          <w:rFonts w:hint="eastAsia"/>
        </w:rPr>
        <w:fldChar w:fldCharType="end"/>
      </w:r>
    </w:p>
    <w:p w14:paraId="644C198A">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"_Toc239274324" </w:instrText>
      </w:r>
      <w:r>
        <w:fldChar w:fldCharType="separate"/>
      </w:r>
      <w:r>
        <w:rPr>
          <w:rStyle w:val="128"/>
        </w:rPr>
        <w:t>附件9 废石及尾矿辐射检测报告</w:t>
      </w:r>
      <w:r>
        <w:rPr>
          <w:rFonts w:hint="eastAsia"/>
        </w:rPr>
        <w:tab/>
      </w:r>
      <w:r>
        <w:rPr>
          <w:rFonts w:hint="eastAsia"/>
        </w:rPr>
        <w:fldChar w:fldCharType="begin"/>
      </w:r>
      <w:r>
        <w:rPr>
          <w:rFonts w:hint="eastAsia"/>
        </w:rPr>
        <w:instrText xml:space="preserve"> </w:instrText>
      </w:r>
      <w:r>
        <w:instrText xml:space="preserve">PAGEREF _Toc239274324 \h</w:instrText>
      </w:r>
      <w:r>
        <w:rPr>
          <w:rFonts w:hint="eastAsia"/>
        </w:rPr>
        <w:instrText xml:space="preserve"> </w:instrText>
      </w:r>
      <w:r>
        <w:rPr>
          <w:rFonts w:hint="eastAsia"/>
        </w:rPr>
        <w:fldChar w:fldCharType="separate"/>
      </w:r>
      <w:r>
        <w:t>233</w:t>
      </w:r>
      <w:r>
        <w:rPr>
          <w:rFonts w:hint="eastAsia"/>
        </w:rPr>
        <w:fldChar w:fldCharType="end"/>
      </w:r>
      <w:r>
        <w:rPr>
          <w:rFonts w:hint="eastAsia"/>
        </w:rPr>
        <w:fldChar w:fldCharType="end"/>
      </w:r>
    </w:p>
    <w:p w14:paraId="567CB7F2">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"_Toc239274325" </w:instrText>
      </w:r>
      <w:r>
        <w:fldChar w:fldCharType="separate"/>
      </w:r>
      <w:r>
        <w:rPr>
          <w:rStyle w:val="128"/>
        </w:rPr>
        <w:t>附件10 泥饼浸出液监测报告</w:t>
      </w:r>
      <w:r>
        <w:rPr>
          <w:rFonts w:hint="eastAsia"/>
        </w:rPr>
        <w:tab/>
      </w:r>
      <w:r>
        <w:rPr>
          <w:rFonts w:hint="eastAsia"/>
        </w:rPr>
        <w:fldChar w:fldCharType="begin"/>
      </w:r>
      <w:r>
        <w:rPr>
          <w:rFonts w:hint="eastAsia"/>
        </w:rPr>
        <w:instrText xml:space="preserve"> </w:instrText>
      </w:r>
      <w:r>
        <w:instrText xml:space="preserve">PAGEREF _Toc239274325 \h</w:instrText>
      </w:r>
      <w:r>
        <w:rPr>
          <w:rFonts w:hint="eastAsia"/>
        </w:rPr>
        <w:instrText xml:space="preserve"> </w:instrText>
      </w:r>
      <w:r>
        <w:rPr>
          <w:rFonts w:hint="eastAsia"/>
        </w:rPr>
        <w:fldChar w:fldCharType="separate"/>
      </w:r>
      <w:r>
        <w:t>236</w:t>
      </w:r>
      <w:r>
        <w:rPr>
          <w:rFonts w:hint="eastAsia"/>
        </w:rPr>
        <w:fldChar w:fldCharType="end"/>
      </w:r>
      <w:r>
        <w:rPr>
          <w:rFonts w:hint="eastAsia"/>
        </w:rPr>
        <w:fldChar w:fldCharType="end"/>
      </w:r>
    </w:p>
    <w:p w14:paraId="09A99F93">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"_Toc239274326" </w:instrText>
      </w:r>
      <w:r>
        <w:fldChar w:fldCharType="separate"/>
      </w:r>
      <w:r>
        <w:rPr>
          <w:rStyle w:val="128"/>
        </w:rPr>
        <w:t>附件11 泥饼处置的说明</w:t>
      </w:r>
      <w:r>
        <w:rPr>
          <w:rFonts w:hint="eastAsia"/>
        </w:rPr>
        <w:tab/>
      </w:r>
      <w:r>
        <w:rPr>
          <w:rFonts w:hint="eastAsia"/>
        </w:rPr>
        <w:fldChar w:fldCharType="begin"/>
      </w:r>
      <w:r>
        <w:rPr>
          <w:rFonts w:hint="eastAsia"/>
        </w:rPr>
        <w:instrText xml:space="preserve"> </w:instrText>
      </w:r>
      <w:r>
        <w:instrText xml:space="preserve">PAGEREF _Toc239274326 \h</w:instrText>
      </w:r>
      <w:r>
        <w:rPr>
          <w:rFonts w:hint="eastAsia"/>
        </w:rPr>
        <w:instrText xml:space="preserve"> </w:instrText>
      </w:r>
      <w:r>
        <w:rPr>
          <w:rFonts w:hint="eastAsia"/>
        </w:rPr>
        <w:fldChar w:fldCharType="separate"/>
      </w:r>
      <w:r>
        <w:t>241</w:t>
      </w:r>
      <w:r>
        <w:rPr>
          <w:rFonts w:hint="eastAsia"/>
        </w:rPr>
        <w:fldChar w:fldCharType="end"/>
      </w:r>
      <w:r>
        <w:rPr>
          <w:rFonts w:hint="eastAsia"/>
        </w:rPr>
        <w:fldChar w:fldCharType="end"/>
      </w:r>
    </w:p>
    <w:p w14:paraId="4B5B8A04">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"_Toc239274327" </w:instrText>
      </w:r>
      <w:r>
        <w:fldChar w:fldCharType="separate"/>
      </w:r>
      <w:r>
        <w:rPr>
          <w:rStyle w:val="128"/>
        </w:rPr>
        <w:t>附件12原料来源协议</w:t>
      </w:r>
      <w:r>
        <w:rPr>
          <w:rFonts w:hint="eastAsia"/>
        </w:rPr>
        <w:tab/>
      </w:r>
      <w:r>
        <w:rPr>
          <w:rFonts w:hint="eastAsia"/>
        </w:rPr>
        <w:fldChar w:fldCharType="begin"/>
      </w:r>
      <w:r>
        <w:rPr>
          <w:rFonts w:hint="eastAsia"/>
        </w:rPr>
        <w:instrText xml:space="preserve"> </w:instrText>
      </w:r>
      <w:r>
        <w:instrText xml:space="preserve">PAGEREF _Toc239274327 \h</w:instrText>
      </w:r>
      <w:r>
        <w:rPr>
          <w:rFonts w:hint="eastAsia"/>
        </w:rPr>
        <w:instrText xml:space="preserve"> </w:instrText>
      </w:r>
      <w:r>
        <w:rPr>
          <w:rFonts w:hint="eastAsia"/>
        </w:rPr>
        <w:fldChar w:fldCharType="separate"/>
      </w:r>
      <w:r>
        <w:t>242</w:t>
      </w:r>
      <w:r>
        <w:rPr>
          <w:rFonts w:hint="eastAsia"/>
        </w:rPr>
        <w:fldChar w:fldCharType="end"/>
      </w:r>
      <w:r>
        <w:rPr>
          <w:rFonts w:hint="eastAsia"/>
        </w:rPr>
        <w:fldChar w:fldCharType="end"/>
      </w:r>
    </w:p>
    <w:p w14:paraId="11CA9D76">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"_Toc239274328" </w:instrText>
      </w:r>
      <w:r>
        <w:fldChar w:fldCharType="separate"/>
      </w:r>
      <w:r>
        <w:rPr>
          <w:rStyle w:val="128"/>
        </w:rPr>
        <w:t>附件13用水协议及取水证</w:t>
      </w:r>
      <w:r>
        <w:rPr>
          <w:rFonts w:hint="eastAsia"/>
        </w:rPr>
        <w:tab/>
      </w:r>
      <w:r>
        <w:rPr>
          <w:rFonts w:hint="eastAsia"/>
        </w:rPr>
        <w:fldChar w:fldCharType="begin"/>
      </w:r>
      <w:r>
        <w:rPr>
          <w:rFonts w:hint="eastAsia"/>
        </w:rPr>
        <w:instrText xml:space="preserve"> </w:instrText>
      </w:r>
      <w:r>
        <w:instrText xml:space="preserve">PAGEREF _Toc239274328 \h</w:instrText>
      </w:r>
      <w:r>
        <w:rPr>
          <w:rFonts w:hint="eastAsia"/>
        </w:rPr>
        <w:instrText xml:space="preserve"> </w:instrText>
      </w:r>
      <w:r>
        <w:rPr>
          <w:rFonts w:hint="eastAsia"/>
        </w:rPr>
        <w:fldChar w:fldCharType="separate"/>
      </w:r>
      <w:r>
        <w:t>243</w:t>
      </w:r>
      <w:r>
        <w:rPr>
          <w:rFonts w:hint="eastAsia"/>
        </w:rPr>
        <w:fldChar w:fldCharType="end"/>
      </w:r>
      <w:r>
        <w:rPr>
          <w:rFonts w:hint="eastAsia"/>
        </w:rPr>
        <w:fldChar w:fldCharType="end"/>
      </w:r>
    </w:p>
    <w:p w14:paraId="250781D3">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"_Toc239274329" </w:instrText>
      </w:r>
      <w:r>
        <w:fldChar w:fldCharType="separate"/>
      </w:r>
      <w:r>
        <w:rPr>
          <w:rStyle w:val="128"/>
        </w:rPr>
        <w:t>附件14监测报告</w:t>
      </w:r>
      <w:r>
        <w:rPr>
          <w:rFonts w:hint="eastAsia"/>
        </w:rPr>
        <w:tab/>
      </w:r>
      <w:r>
        <w:rPr>
          <w:rFonts w:hint="eastAsia"/>
        </w:rPr>
        <w:fldChar w:fldCharType="begin"/>
      </w:r>
      <w:r>
        <w:rPr>
          <w:rFonts w:hint="eastAsia"/>
        </w:rPr>
        <w:instrText xml:space="preserve"> </w:instrText>
      </w:r>
      <w:r>
        <w:instrText xml:space="preserve">PAGEREF _Toc239274329 \h</w:instrText>
      </w:r>
      <w:r>
        <w:rPr>
          <w:rFonts w:hint="eastAsia"/>
        </w:rPr>
        <w:instrText xml:space="preserve"> </w:instrText>
      </w:r>
      <w:r>
        <w:rPr>
          <w:rFonts w:hint="eastAsia"/>
        </w:rPr>
        <w:fldChar w:fldCharType="separate"/>
      </w:r>
      <w:r>
        <w:t>245</w:t>
      </w:r>
      <w:r>
        <w:rPr>
          <w:rFonts w:hint="eastAsia"/>
        </w:rPr>
        <w:fldChar w:fldCharType="end"/>
      </w:r>
      <w:r>
        <w:rPr>
          <w:rFonts w:hint="eastAsia"/>
        </w:rPr>
        <w:fldChar w:fldCharType="end"/>
      </w:r>
    </w:p>
    <w:p w14:paraId="2C0C39D8">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"_Toc239274330" </w:instrText>
      </w:r>
      <w:r>
        <w:fldChar w:fldCharType="separate"/>
      </w:r>
      <w:r>
        <w:rPr>
          <w:rStyle w:val="128"/>
        </w:rPr>
        <w:t>附件15分区管控查询</w:t>
      </w:r>
      <w:r>
        <w:rPr>
          <w:rFonts w:hint="eastAsia"/>
        </w:rPr>
        <w:tab/>
      </w:r>
      <w:r>
        <w:rPr>
          <w:rFonts w:hint="eastAsia"/>
        </w:rPr>
        <w:fldChar w:fldCharType="begin"/>
      </w:r>
      <w:r>
        <w:rPr>
          <w:rFonts w:hint="eastAsia"/>
        </w:rPr>
        <w:instrText xml:space="preserve"> </w:instrText>
      </w:r>
      <w:r>
        <w:instrText xml:space="preserve">PAGEREF _Toc239274330 \h</w:instrText>
      </w:r>
      <w:r>
        <w:rPr>
          <w:rFonts w:hint="eastAsia"/>
        </w:rPr>
        <w:instrText xml:space="preserve"> </w:instrText>
      </w:r>
      <w:r>
        <w:rPr>
          <w:rFonts w:hint="eastAsia"/>
        </w:rPr>
        <w:fldChar w:fldCharType="separate"/>
      </w:r>
      <w:r>
        <w:t>280</w:t>
      </w:r>
      <w:r>
        <w:rPr>
          <w:rFonts w:hint="eastAsia"/>
        </w:rPr>
        <w:fldChar w:fldCharType="end"/>
      </w:r>
      <w:r>
        <w:rPr>
          <w:rFonts w:hint="eastAsia"/>
        </w:rPr>
        <w:fldChar w:fldCharType="end"/>
      </w:r>
    </w:p>
    <w:p w14:paraId="76E60979">
      <w:pPr>
        <w:snapToGrid w:val="0"/>
        <w:spacing w:before="0" w:beforeLines="0" w:line="240" w:lineRule="auto"/>
        <w:jc w:val="left"/>
        <w:rPr>
          <w:kern w:val="0"/>
        </w:rPr>
      </w:pPr>
      <w:r>
        <w:rPr>
          <w:kern w:val="0"/>
        </w:rPr>
        <w:fldChar w:fldCharType="end"/>
      </w:r>
    </w:p>
    <w:p w14:paraId="72F3FD8A">
      <w:pPr>
        <w:snapToGrid w:val="0"/>
        <w:spacing w:before="0" w:beforeLines="0" w:line="240" w:lineRule="auto"/>
        <w:jc w:val="left"/>
        <w:rPr>
          <w:kern w:val="0"/>
        </w:rPr>
      </w:pPr>
    </w:p>
    <w:p w14:paraId="1BB87919">
      <w:pPr>
        <w:snapToGrid w:val="0"/>
        <w:spacing w:before="0" w:beforeLines="0" w:line="240" w:lineRule="auto"/>
        <w:jc w:val="left"/>
        <w:rPr>
          <w:kern w:val="0"/>
        </w:rPr>
      </w:pPr>
    </w:p>
    <w:p w14:paraId="20BD21E3">
      <w:pPr>
        <w:snapToGrid w:val="0"/>
        <w:spacing w:before="0" w:beforeLines="0" w:line="240" w:lineRule="auto"/>
        <w:jc w:val="left"/>
        <w:rPr>
          <w:kern w:val="0"/>
        </w:rPr>
      </w:pPr>
    </w:p>
    <w:p w14:paraId="600CA943">
      <w:pPr>
        <w:snapToGrid w:val="0"/>
        <w:spacing w:before="0" w:beforeLines="0" w:line="240" w:lineRule="auto"/>
        <w:jc w:val="left"/>
        <w:rPr>
          <w:kern w:val="0"/>
        </w:rPr>
      </w:pPr>
    </w:p>
    <w:p w14:paraId="36112BEC">
      <w:pPr>
        <w:snapToGrid w:val="0"/>
        <w:spacing w:before="0" w:beforeLines="0" w:line="240" w:lineRule="auto"/>
        <w:jc w:val="left"/>
        <w:rPr>
          <w:kern w:val="0"/>
        </w:rPr>
      </w:pPr>
    </w:p>
    <w:p w14:paraId="568993EA">
      <w:pPr>
        <w:snapToGrid w:val="0"/>
        <w:spacing w:before="0" w:beforeLines="0" w:line="240" w:lineRule="auto"/>
        <w:jc w:val="left"/>
        <w:rPr>
          <w:kern w:val="0"/>
        </w:rPr>
      </w:pPr>
    </w:p>
    <w:p w14:paraId="48896741">
      <w:pPr>
        <w:snapToGrid w:val="0"/>
        <w:spacing w:before="0" w:beforeLines="0" w:line="240" w:lineRule="auto"/>
        <w:jc w:val="left"/>
        <w:rPr>
          <w:kern w:val="0"/>
        </w:rPr>
      </w:pPr>
    </w:p>
    <w:p w14:paraId="0B4526D5">
      <w:pPr>
        <w:snapToGrid w:val="0"/>
        <w:spacing w:before="0" w:beforeLines="0" w:line="240" w:lineRule="auto"/>
        <w:jc w:val="left"/>
        <w:rPr>
          <w:kern w:val="0"/>
        </w:rPr>
      </w:pPr>
    </w:p>
    <w:p w14:paraId="5B43D2D0">
      <w:pPr>
        <w:snapToGrid w:val="0"/>
        <w:spacing w:before="0" w:beforeLines="0" w:line="240" w:lineRule="auto"/>
        <w:jc w:val="left"/>
        <w:rPr>
          <w:kern w:val="0"/>
        </w:rPr>
      </w:pPr>
    </w:p>
    <w:p w14:paraId="6F0A4715">
      <w:pPr>
        <w:snapToGrid w:val="0"/>
        <w:spacing w:before="0" w:beforeLines="0" w:line="240" w:lineRule="auto"/>
        <w:jc w:val="left"/>
        <w:rPr>
          <w:kern w:val="0"/>
        </w:rPr>
      </w:pPr>
    </w:p>
    <w:p w14:paraId="11C04741">
      <w:pPr>
        <w:snapToGrid w:val="0"/>
        <w:spacing w:before="0" w:beforeLines="0" w:line="240" w:lineRule="auto"/>
        <w:jc w:val="left"/>
        <w:rPr>
          <w:kern w:val="0"/>
        </w:rPr>
      </w:pPr>
    </w:p>
    <w:p w14:paraId="23A25891">
      <w:pPr>
        <w:snapToGrid w:val="0"/>
        <w:spacing w:before="0" w:beforeLines="0" w:line="240" w:lineRule="auto"/>
        <w:jc w:val="left"/>
        <w:rPr>
          <w:kern w:val="0"/>
        </w:rPr>
      </w:pPr>
    </w:p>
    <w:p w14:paraId="10CAB2AC">
      <w:pPr>
        <w:snapToGrid w:val="0"/>
        <w:spacing w:before="0" w:beforeLines="0" w:line="240" w:lineRule="auto"/>
        <w:jc w:val="left"/>
        <w:rPr>
          <w:kern w:val="0"/>
        </w:rPr>
      </w:pPr>
    </w:p>
    <w:p w14:paraId="4EEB3A79">
      <w:pPr>
        <w:snapToGrid w:val="0"/>
        <w:spacing w:before="0" w:beforeLines="0" w:line="240" w:lineRule="auto"/>
        <w:jc w:val="left"/>
        <w:rPr>
          <w:kern w:val="0"/>
        </w:rPr>
      </w:pPr>
    </w:p>
    <w:p w14:paraId="74F79F5D">
      <w:pPr>
        <w:snapToGrid w:val="0"/>
        <w:spacing w:before="0" w:beforeLines="0" w:line="240" w:lineRule="auto"/>
        <w:jc w:val="left"/>
        <w:rPr>
          <w:kern w:val="0"/>
        </w:rPr>
      </w:pPr>
    </w:p>
    <w:p w14:paraId="55BFB1B2">
      <w:pPr>
        <w:snapToGrid w:val="0"/>
        <w:spacing w:before="0" w:beforeLines="0" w:line="240" w:lineRule="auto"/>
        <w:jc w:val="left"/>
        <w:rPr>
          <w:kern w:val="0"/>
        </w:rPr>
        <w:sectPr>
          <w:headerReference r:id="rId11" w:type="default"/>
          <w:footerReference r:id="rId13" w:type="default"/>
          <w:headerReference r:id="rId12" w:type="even"/>
          <w:footerReference r:id="rId14" w:type="even"/>
          <w:pgSz w:w="11906" w:h="16838"/>
          <w:pgMar w:top="1440" w:right="1800" w:bottom="1440" w:left="1800" w:header="850" w:footer="964" w:gutter="0"/>
          <w:pgNumType w:fmt="upperRoman" w:start="1"/>
          <w:cols w:space="720" w:num="1"/>
          <w:docGrid w:type="lines" w:linePitch="312" w:charSpace="0"/>
        </w:sectPr>
      </w:pPr>
    </w:p>
    <w:p w14:paraId="2EEBCB04">
      <w:pPr>
        <w:pStyle w:val="3"/>
        <w:rPr>
          <w:color w:val="auto"/>
          <w:sz w:val="36"/>
          <w:szCs w:val="36"/>
        </w:rPr>
      </w:pPr>
      <w:bookmarkStart w:id="3" w:name="_Toc239274254"/>
      <w:bookmarkStart w:id="4" w:name="_Toc17475940"/>
      <w:r>
        <w:rPr>
          <w:color w:val="auto"/>
          <w:sz w:val="36"/>
          <w:szCs w:val="36"/>
        </w:rPr>
        <w:t>1.概述</w:t>
      </w:r>
      <w:bookmarkEnd w:id="3"/>
      <w:bookmarkEnd w:id="4"/>
    </w:p>
    <w:p w14:paraId="26D81D2A">
      <w:pPr>
        <w:pStyle w:val="4"/>
        <w:rPr>
          <w:rFonts w:ascii="Times New Roman" w:hAnsi="Times New Roman" w:eastAsia="宋体"/>
          <w:color w:val="auto"/>
        </w:rPr>
      </w:pPr>
      <w:bookmarkStart w:id="5" w:name="_Toc239274255"/>
      <w:bookmarkStart w:id="6" w:name="_Toc17475941"/>
      <w:r>
        <w:rPr>
          <w:rFonts w:ascii="Times New Roman" w:hAnsi="Times New Roman" w:eastAsia="宋体"/>
          <w:color w:val="auto"/>
        </w:rPr>
        <w:t>1.1项目建设背景</w:t>
      </w:r>
      <w:bookmarkEnd w:id="5"/>
      <w:bookmarkEnd w:id="6"/>
    </w:p>
    <w:p w14:paraId="6D5AF857">
      <w:pPr>
        <w:pStyle w:val="212"/>
        <w:spacing w:before="0" w:beforeLines="0"/>
        <w:ind w:firstLine="480"/>
      </w:pPr>
      <w:bookmarkStart w:id="7" w:name="_Hlk192340288"/>
      <w:r>
        <w:t>阜新蒙古族自治县位于阜新市西北部，是阜新市乃至辽宁省重要的能源、贵金属生产基地，是辽宁省新能源开发利用较好的地区之一。凭借自身的地缘优势和工业基础，矿业经济始终在阜蒙县国民经济发展中具有十分重要的作用。阜蒙县矿产资源丰富，截至 2020年底，已探明储量的各类矿产 16 种，占阜新市探明储量的各类矿产26 种的 61.54%，开发利用矿产地 59 处，主要矿产资源有煤、油页岩、金、铁、磷矿、膨润土、萤石、水泥用大理岩等</w:t>
      </w:r>
      <w:r>
        <w:rPr>
          <w:rFonts w:hint="eastAsia"/>
        </w:rPr>
        <w:t>，其中铁矿主要分布于</w:t>
      </w:r>
      <w:bookmarkStart w:id="8" w:name="_Hlk193101703"/>
      <w:r>
        <w:rPr>
          <w:rFonts w:hint="eastAsia"/>
        </w:rPr>
        <w:t>太平——大五家子——福兴地——平安地成矿带上</w:t>
      </w:r>
      <w:bookmarkEnd w:id="8"/>
      <w:r>
        <w:rPr>
          <w:rFonts w:hint="eastAsia"/>
        </w:rPr>
        <w:t>。该地区铁矿含铁地层为海力板单元闪长岩，铁矿体的产状与原岩产状基本一致，规模较大，地表向地下埋藏浅，闪长岩（超贫磁铁矿）为矿体，基本采用露天开采。目前，该矿带周边存在20余家铁矿企业，均有几十年开采历史，在开采过程中形成大量露天采坑、废石堆场以及尾矿堆等。根据对当地矿石调查，该地区矿石中钒钛含量较高，因此尾矿及废石仍含有大量钒钛成分，具有较高的回收利用价值。</w:t>
      </w:r>
    </w:p>
    <w:p w14:paraId="5FCE2F84">
      <w:pPr>
        <w:pStyle w:val="212"/>
        <w:spacing w:before="0" w:beforeLines="0"/>
        <w:ind w:firstLine="480"/>
      </w:pPr>
      <w:r>
        <w:t>阜新鸿泽废旧资源利用有限公司2024年4月3日注册成立，注册地址为阜新</w:t>
      </w:r>
      <w:r>
        <w:rPr>
          <w:rFonts w:hint="eastAsia"/>
          <w:lang w:val="en-US" w:eastAsia="zh-CN"/>
        </w:rPr>
        <w:t>蒙古族自治县</w:t>
      </w:r>
      <w:r>
        <w:t>旧庙镇。阜新蒙古族自治县旧庙镇地处阜蒙县北部、距县城43公里，北与内蒙古自治区库伦旗接壤。旧庙镇</w:t>
      </w:r>
      <w:r>
        <w:rPr>
          <w:rFonts w:hint="eastAsia"/>
        </w:rPr>
        <w:t>位于阜新铁矿“太平——大五家子——福兴地——平安地”矿带上，因此铁矿</w:t>
      </w:r>
      <w:r>
        <w:t>矿产资源丰富。企业所在</w:t>
      </w:r>
      <w:r>
        <w:rPr>
          <w:rFonts w:hint="eastAsia"/>
        </w:rPr>
        <w:t>地</w:t>
      </w:r>
      <w:r>
        <w:t>有辽宁鑫岳矿业有限公司（以下简称</w:t>
      </w:r>
      <w:r>
        <w:rPr>
          <w:rFonts w:hint="eastAsia"/>
        </w:rPr>
        <w:t>“</w:t>
      </w:r>
      <w:r>
        <w:t>鑫岳矿业</w:t>
      </w:r>
      <w:r>
        <w:rPr>
          <w:rFonts w:hint="eastAsia"/>
        </w:rPr>
        <w:t>”</w:t>
      </w:r>
      <w:r>
        <w:t>）和阜新亿升达铁选厂（以下简称</w:t>
      </w:r>
      <w:r>
        <w:rPr>
          <w:rFonts w:hint="eastAsia"/>
        </w:rPr>
        <w:t>“</w:t>
      </w:r>
      <w:r>
        <w:t>亿升达矿业</w:t>
      </w:r>
      <w:r>
        <w:rPr>
          <w:rFonts w:hint="eastAsia"/>
        </w:rPr>
        <w:t>”</w:t>
      </w:r>
      <w:r>
        <w:t>）两家铁矿企业</w:t>
      </w:r>
      <w:r>
        <w:rPr>
          <w:rFonts w:hint="eastAsia"/>
        </w:rPr>
        <w:t>，主要开采矿种为</w:t>
      </w:r>
      <w:r>
        <w:t>闪长岩（超贫磁铁矿）</w:t>
      </w:r>
      <w:r>
        <w:rPr>
          <w:rFonts w:hint="eastAsia"/>
        </w:rPr>
        <w:t>，</w:t>
      </w:r>
      <w:r>
        <w:t>均采用露天开采。鑫岳矿业和亿升达矿业两家企业自上世纪八九十年代均已有开采活动，两家企业在露天开采过程中，形成多处露天采坑、废石堆场以及尾矿堆等</w:t>
      </w:r>
      <w:r>
        <w:rPr>
          <w:rFonts w:hint="eastAsia"/>
        </w:rPr>
        <w:t>，严重破坏当地生态环境。</w:t>
      </w:r>
    </w:p>
    <w:p w14:paraId="797BD6CE">
      <w:pPr>
        <w:spacing w:before="0" w:beforeLines="0" w:line="360" w:lineRule="auto"/>
        <w:ind w:firstLine="480" w:firstLineChars="200"/>
        <w:rPr>
          <w:sz w:val="24"/>
        </w:rPr>
      </w:pPr>
      <w:r>
        <w:rPr>
          <w:sz w:val="24"/>
        </w:rPr>
        <w:t>为了避免资源的严重浪费</w:t>
      </w:r>
      <w:r>
        <w:rPr>
          <w:rFonts w:hint="eastAsia"/>
          <w:sz w:val="24"/>
        </w:rPr>
        <w:t>，同时</w:t>
      </w:r>
      <w:r>
        <w:rPr>
          <w:sz w:val="24"/>
        </w:rPr>
        <w:t>改善现有废弃尾矿</w:t>
      </w:r>
      <w:r>
        <w:rPr>
          <w:rFonts w:hint="eastAsia"/>
          <w:sz w:val="24"/>
        </w:rPr>
        <w:t>堆存</w:t>
      </w:r>
      <w:r>
        <w:rPr>
          <w:sz w:val="24"/>
        </w:rPr>
        <w:t>对周边环境的不利影响，阜新鸿泽废旧资源利用有限公司决定投资9800万元，建设鸿泽废旧资源利用有限公司矿山废弃尾矿综合利用项目，新建尾矿综合利用生产线，主要建设主体包括破碎车间1座、抛砂车间1座、球磨车间1座、重选车间1座及公辅设施等，主要设备包括破碎机、振动筛、磁选机、球磨机及配套环保设施等，项目实施后年处理</w:t>
      </w:r>
      <w:r>
        <w:rPr>
          <w:rFonts w:hint="eastAsia"/>
          <w:sz w:val="24"/>
        </w:rPr>
        <w:t>亿升达矿业历史遗留废石和尾矿</w:t>
      </w:r>
      <w:r>
        <w:rPr>
          <w:sz w:val="24"/>
        </w:rPr>
        <w:t>300万吨。</w:t>
      </w:r>
    </w:p>
    <w:p w14:paraId="7D81E359">
      <w:pPr>
        <w:pStyle w:val="212"/>
        <w:spacing w:before="0" w:beforeLines="0"/>
        <w:ind w:firstLine="480"/>
      </w:pPr>
      <w:bookmarkStart w:id="9" w:name="OLE_LINK30"/>
      <w:r>
        <w:t>项目的实施，可以回收废弃尾矿及废石中钒钛金属，具有很高资源综合利用价值。</w:t>
      </w:r>
      <w:bookmarkEnd w:id="9"/>
      <w:r>
        <w:t>并且尾矿及废石堆存占用大量土地，给周边环境和自然景观带来了严重负面影响，对现有矿山堆存尾矿和废石的综合利用，可大大减少尾矿及废石占用土地面积，尾矿及废石综合利用后土地进行生态恢复，可恢复矿山生态环境、恢复土地使用功能，解决区域生态环境问题，践行</w:t>
      </w:r>
      <w:r>
        <w:rPr>
          <w:rFonts w:hint="eastAsia"/>
        </w:rPr>
        <w:t>“</w:t>
      </w:r>
      <w:r>
        <w:t>绿水青山就是金山银山</w:t>
      </w:r>
      <w:r>
        <w:rPr>
          <w:rFonts w:hint="eastAsia"/>
        </w:rPr>
        <w:t>”</w:t>
      </w:r>
      <w:r>
        <w:t>理论，并推动地区经济发展。</w:t>
      </w:r>
    </w:p>
    <w:bookmarkEnd w:id="7"/>
    <w:p w14:paraId="557175E2">
      <w:pPr>
        <w:pStyle w:val="4"/>
        <w:rPr>
          <w:rFonts w:ascii="Times New Roman" w:hAnsi="Times New Roman" w:eastAsia="宋体"/>
          <w:color w:val="auto"/>
        </w:rPr>
      </w:pPr>
      <w:bookmarkStart w:id="10" w:name="_Toc17475942"/>
      <w:bookmarkStart w:id="11" w:name="_Toc239274256"/>
      <w:r>
        <w:rPr>
          <w:rFonts w:ascii="Times New Roman" w:hAnsi="Times New Roman" w:eastAsia="宋体"/>
          <w:color w:val="auto"/>
        </w:rPr>
        <w:t>1.2</w:t>
      </w:r>
      <w:r>
        <w:rPr>
          <w:rFonts w:hint="eastAsia" w:ascii="Times New Roman" w:hAnsi="Times New Roman" w:eastAsia="宋体"/>
          <w:color w:val="auto"/>
        </w:rPr>
        <w:t>生态</w:t>
      </w:r>
      <w:r>
        <w:rPr>
          <w:rFonts w:ascii="Times New Roman" w:hAnsi="Times New Roman" w:eastAsia="宋体"/>
          <w:color w:val="auto"/>
        </w:rPr>
        <w:t>环境影响评价工作过程</w:t>
      </w:r>
      <w:bookmarkEnd w:id="10"/>
      <w:bookmarkEnd w:id="11"/>
    </w:p>
    <w:p w14:paraId="7CC44D05">
      <w:pPr>
        <w:snapToGrid w:val="0"/>
        <w:spacing w:before="78" w:line="360" w:lineRule="auto"/>
        <w:ind w:firstLine="480" w:firstLineChars="200"/>
        <w:rPr>
          <w:kern w:val="0"/>
          <w:sz w:val="24"/>
        </w:rPr>
      </w:pPr>
      <w:r>
        <w:rPr>
          <w:kern w:val="0"/>
          <w:sz w:val="24"/>
        </w:rPr>
        <w:t>根据《中华人民共和国</w:t>
      </w:r>
      <w:r>
        <w:rPr>
          <w:rFonts w:hint="eastAsia"/>
          <w:kern w:val="0"/>
          <w:sz w:val="24"/>
        </w:rPr>
        <w:t>生态环境法典</w:t>
      </w:r>
      <w:r>
        <w:rPr>
          <w:kern w:val="0"/>
          <w:sz w:val="24"/>
        </w:rPr>
        <w:t>》，</w:t>
      </w:r>
      <w:r>
        <w:rPr>
          <w:sz w:val="24"/>
        </w:rPr>
        <w:t>鸿泽废旧资源利用有限公司</w:t>
      </w:r>
      <w:r>
        <w:rPr>
          <w:rFonts w:hint="eastAsia"/>
          <w:sz w:val="24"/>
        </w:rPr>
        <w:t>矿山</w:t>
      </w:r>
      <w:r>
        <w:rPr>
          <w:sz w:val="24"/>
        </w:rPr>
        <w:t>废弃尾矿综合利用项目</w:t>
      </w:r>
      <w:r>
        <w:rPr>
          <w:kern w:val="0"/>
          <w:sz w:val="24"/>
        </w:rPr>
        <w:t>应进行</w:t>
      </w:r>
      <w:r>
        <w:rPr>
          <w:rFonts w:hint="eastAsia"/>
          <w:kern w:val="0"/>
          <w:sz w:val="24"/>
        </w:rPr>
        <w:t>生态</w:t>
      </w:r>
      <w:r>
        <w:rPr>
          <w:kern w:val="0"/>
          <w:sz w:val="24"/>
        </w:rPr>
        <w:t>环境影响评价，根据《建设项目环境影响评价分类管理名录》，项目类别属于六、黑色金属矿采选业08中“铁矿采选081”，应编制</w:t>
      </w:r>
      <w:r>
        <w:rPr>
          <w:rFonts w:hint="eastAsia"/>
          <w:kern w:val="0"/>
          <w:sz w:val="24"/>
        </w:rPr>
        <w:t>生态</w:t>
      </w:r>
      <w:r>
        <w:rPr>
          <w:kern w:val="0"/>
          <w:sz w:val="24"/>
        </w:rPr>
        <w:t>环境影响报告书。</w:t>
      </w:r>
    </w:p>
    <w:p w14:paraId="11CBA491">
      <w:pPr>
        <w:adjustRightInd w:val="0"/>
        <w:snapToGrid w:val="0"/>
        <w:spacing w:before="78" w:line="360" w:lineRule="auto"/>
        <w:ind w:firstLine="480" w:firstLineChars="200"/>
        <w:textAlignment w:val="baseline"/>
        <w:rPr>
          <w:kern w:val="0"/>
          <w:sz w:val="24"/>
          <w:szCs w:val="28"/>
        </w:rPr>
      </w:pPr>
      <w:bookmarkStart w:id="12" w:name="_Toc17475943"/>
      <w:r>
        <w:rPr>
          <w:kern w:val="0"/>
          <w:sz w:val="24"/>
          <w:szCs w:val="28"/>
        </w:rPr>
        <w:t>受</w:t>
      </w:r>
      <w:r>
        <w:rPr>
          <w:kern w:val="0"/>
          <w:sz w:val="24"/>
        </w:rPr>
        <w:t>阜新鸿泽废旧资源利用有限</w:t>
      </w:r>
      <w:bookmarkStart w:id="13" w:name="_Hlk170723446"/>
      <w:r>
        <w:rPr>
          <w:kern w:val="0"/>
          <w:sz w:val="24"/>
        </w:rPr>
        <w:t>公司</w:t>
      </w:r>
      <w:r>
        <w:rPr>
          <w:kern w:val="0"/>
          <w:sz w:val="24"/>
          <w:szCs w:val="28"/>
        </w:rPr>
        <w:t>委托，辽宁诚亿环保科技有限公司承担本项目的</w:t>
      </w:r>
      <w:r>
        <w:rPr>
          <w:rFonts w:hint="eastAsia"/>
          <w:kern w:val="0"/>
          <w:sz w:val="24"/>
          <w:szCs w:val="28"/>
        </w:rPr>
        <w:t>生态</w:t>
      </w:r>
      <w:r>
        <w:rPr>
          <w:kern w:val="0"/>
          <w:sz w:val="24"/>
          <w:szCs w:val="28"/>
        </w:rPr>
        <w:t>环境影响评价工作，接受委托后我公司在现场调查、环境质量现状监测的基础上，通过工程分析，识别项目主要环境影响因素和污染因子，预测评价项目建设对周围环境的影响范围和程度，论证项目建设环境可行性，提出减轻和防治污染的具体对策及建议，为工程设计、环保决策提供科学依据。最终根据环境影响评价技术导则和国家、地方现行的法律法规要求，结合项目特点，编制完成了本项目</w:t>
      </w:r>
      <w:r>
        <w:rPr>
          <w:rFonts w:hint="eastAsia"/>
          <w:kern w:val="0"/>
          <w:sz w:val="24"/>
          <w:szCs w:val="28"/>
        </w:rPr>
        <w:t>的</w:t>
      </w:r>
      <w:r>
        <w:rPr>
          <w:kern w:val="0"/>
          <w:sz w:val="24"/>
          <w:szCs w:val="28"/>
        </w:rPr>
        <w:t>环评报告</w:t>
      </w:r>
      <w:bookmarkEnd w:id="13"/>
      <w:r>
        <w:rPr>
          <w:kern w:val="0"/>
          <w:sz w:val="24"/>
          <w:szCs w:val="28"/>
        </w:rPr>
        <w:t>。</w:t>
      </w:r>
    </w:p>
    <w:p w14:paraId="4D17089F">
      <w:pPr>
        <w:tabs>
          <w:tab w:val="left" w:pos="1265"/>
        </w:tabs>
        <w:autoSpaceDE w:val="0"/>
        <w:autoSpaceDN w:val="0"/>
        <w:adjustRightInd w:val="0"/>
        <w:spacing w:before="0" w:beforeLines="0" w:line="360" w:lineRule="auto"/>
        <w:ind w:firstLine="480" w:firstLineChars="200"/>
        <w:rPr>
          <w:sz w:val="24"/>
        </w:rPr>
      </w:pPr>
      <w:r>
        <w:rPr>
          <w:sz w:val="24"/>
        </w:rPr>
        <w:t>生态环境影响评价工作</w:t>
      </w:r>
      <w:r>
        <w:rPr>
          <w:rFonts w:hint="eastAsia"/>
          <w:sz w:val="24"/>
        </w:rPr>
        <w:t>程序见图</w:t>
      </w:r>
      <w:r>
        <w:rPr>
          <w:sz w:val="24"/>
        </w:rPr>
        <w:t>1。</w:t>
      </w:r>
    </w:p>
    <w:p w14:paraId="30B44786">
      <w:pPr>
        <w:adjustRightInd w:val="0"/>
        <w:snapToGrid w:val="0"/>
        <w:spacing w:before="78" w:line="360" w:lineRule="auto"/>
        <w:jc w:val="center"/>
        <w:textAlignment w:val="baseline"/>
        <w:rPr>
          <w:kern w:val="0"/>
          <w:sz w:val="24"/>
          <w:szCs w:val="28"/>
        </w:rPr>
      </w:pPr>
      <w:r>
        <w:rPr>
          <w:kern w:val="0"/>
          <w:sz w:val="24"/>
          <w:szCs w:val="28"/>
        </w:rPr>
        <w:drawing>
          <wp:inline distT="0" distB="0" distL="0" distR="0">
            <wp:extent cx="5177155" cy="5905500"/>
            <wp:effectExtent l="0" t="0" r="4445" b="0"/>
            <wp:docPr id="1255420272"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420272" name="图片 49"/>
                    <pic:cNvPicPr>
                      <a:picLocks noChangeAspect="1" noChangeArrowheads="1"/>
                    </pic:cNvPicPr>
                  </pic:nvPicPr>
                  <pic:blipFill>
                    <a:blip r:embed="rId28"/>
                    <a:srcRect/>
                    <a:stretch>
                      <a:fillRect/>
                    </a:stretch>
                  </pic:blipFill>
                  <pic:spPr>
                    <a:xfrm>
                      <a:off x="0" y="0"/>
                      <a:ext cx="5185991" cy="5914864"/>
                    </a:xfrm>
                    <a:prstGeom prst="rect">
                      <a:avLst/>
                    </a:prstGeom>
                    <a:noFill/>
                  </pic:spPr>
                </pic:pic>
              </a:graphicData>
            </a:graphic>
          </wp:inline>
        </w:drawing>
      </w:r>
    </w:p>
    <w:p w14:paraId="28FBF1BD">
      <w:pPr>
        <w:adjustRightInd w:val="0"/>
        <w:snapToGrid w:val="0"/>
        <w:spacing w:before="78" w:line="360" w:lineRule="auto"/>
        <w:jc w:val="center"/>
        <w:textAlignment w:val="baseline"/>
        <w:rPr>
          <w:b/>
          <w:bCs/>
          <w:kern w:val="0"/>
          <w:sz w:val="24"/>
          <w:szCs w:val="28"/>
        </w:rPr>
      </w:pPr>
      <w:r>
        <w:rPr>
          <w:rFonts w:hint="eastAsia"/>
          <w:b/>
          <w:bCs/>
          <w:kern w:val="0"/>
          <w:sz w:val="24"/>
          <w:szCs w:val="28"/>
        </w:rPr>
        <w:t>图1     项目生态环境影响评价工作程序图</w:t>
      </w:r>
    </w:p>
    <w:p w14:paraId="4C7509F2">
      <w:pPr>
        <w:pStyle w:val="4"/>
        <w:rPr>
          <w:rFonts w:ascii="Times New Roman" w:hAnsi="Times New Roman"/>
          <w:color w:val="auto"/>
          <w:kern w:val="0"/>
          <w:sz w:val="24"/>
        </w:rPr>
      </w:pPr>
      <w:bookmarkStart w:id="14" w:name="_Toc239274257"/>
      <w:r>
        <w:rPr>
          <w:rFonts w:ascii="Times New Roman" w:hAnsi="Times New Roman" w:eastAsia="宋体"/>
          <w:color w:val="auto"/>
        </w:rPr>
        <w:t>1.3</w:t>
      </w:r>
      <w:bookmarkEnd w:id="12"/>
      <w:r>
        <w:rPr>
          <w:rFonts w:ascii="Times New Roman" w:hAnsi="Times New Roman" w:eastAsia="宋体"/>
          <w:color w:val="auto"/>
        </w:rPr>
        <w:t>分析判定相关情况</w:t>
      </w:r>
      <w:bookmarkEnd w:id="14"/>
    </w:p>
    <w:p w14:paraId="410B5664">
      <w:pPr>
        <w:pStyle w:val="5"/>
        <w:rPr>
          <w:color w:val="auto"/>
        </w:rPr>
      </w:pPr>
      <w:r>
        <w:rPr>
          <w:color w:val="auto"/>
        </w:rPr>
        <w:t>1.3.1产业政策符合性分析</w:t>
      </w:r>
    </w:p>
    <w:p w14:paraId="6AFE0D1F">
      <w:pPr>
        <w:snapToGrid w:val="0"/>
        <w:spacing w:before="78" w:line="360" w:lineRule="auto"/>
        <w:ind w:firstLine="480" w:firstLineChars="200"/>
        <w:rPr>
          <w:kern w:val="0"/>
          <w:sz w:val="24"/>
        </w:rPr>
      </w:pPr>
      <w:r>
        <w:rPr>
          <w:kern w:val="0"/>
          <w:sz w:val="24"/>
        </w:rPr>
        <w:t>根据《产业结构调整指导目录（2024年本）》，本项目属于</w:t>
      </w:r>
      <w:r>
        <w:rPr>
          <w:rFonts w:hint="eastAsia"/>
          <w:kern w:val="0"/>
          <w:sz w:val="24"/>
        </w:rPr>
        <w:t>“</w:t>
      </w:r>
      <w:r>
        <w:rPr>
          <w:kern w:val="0"/>
          <w:sz w:val="24"/>
        </w:rPr>
        <w:t>鼓励类</w:t>
      </w:r>
      <w:r>
        <w:rPr>
          <w:rFonts w:hint="eastAsia"/>
          <w:kern w:val="0"/>
          <w:sz w:val="24"/>
        </w:rPr>
        <w:t>”</w:t>
      </w:r>
      <w:r>
        <w:rPr>
          <w:kern w:val="0"/>
          <w:sz w:val="24"/>
        </w:rPr>
        <w:t>四十</w:t>
      </w:r>
      <w:r>
        <w:rPr>
          <w:rFonts w:hint="eastAsia"/>
          <w:kern w:val="0"/>
          <w:sz w:val="24"/>
        </w:rPr>
        <w:t>二</w:t>
      </w:r>
      <w:r>
        <w:rPr>
          <w:kern w:val="0"/>
          <w:sz w:val="24"/>
        </w:rPr>
        <w:t>、环境保护与资源节约综合利用</w:t>
      </w:r>
      <w:r>
        <w:rPr>
          <w:rFonts w:hint="eastAsia"/>
          <w:kern w:val="0"/>
          <w:sz w:val="24"/>
        </w:rPr>
        <w:t>12．低品位、复杂、难处理矿开发及综合利用技术与设备，共生、伴生矿产提取有价元素及资源综合利用技术，矿产资源节约和综合利用先进适用技术的开发和应用</w:t>
      </w:r>
      <w:r>
        <w:rPr>
          <w:kern w:val="0"/>
          <w:sz w:val="24"/>
        </w:rPr>
        <w:t>，符合国家相关产业政策。</w:t>
      </w:r>
    </w:p>
    <w:p w14:paraId="51703FEA">
      <w:pPr>
        <w:pStyle w:val="5"/>
        <w:rPr>
          <w:color w:val="auto"/>
        </w:rPr>
      </w:pPr>
      <w:r>
        <w:rPr>
          <w:color w:val="auto"/>
        </w:rPr>
        <w:t>1.3.2</w:t>
      </w:r>
      <w:r>
        <w:rPr>
          <w:rFonts w:hint="eastAsia"/>
          <w:color w:val="auto"/>
        </w:rPr>
        <w:t>选址</w:t>
      </w:r>
      <w:r>
        <w:rPr>
          <w:color w:val="auto"/>
        </w:rPr>
        <w:t>符合性分析</w:t>
      </w:r>
    </w:p>
    <w:p w14:paraId="4ADAA48E">
      <w:pPr>
        <w:pStyle w:val="135"/>
        <w:spacing w:before="78" w:line="360" w:lineRule="auto"/>
        <w:ind w:firstLine="480" w:firstLineChars="200"/>
        <w:rPr>
          <w:kern w:val="0"/>
          <w:sz w:val="24"/>
        </w:rPr>
      </w:pPr>
      <w:r>
        <w:rPr>
          <w:sz w:val="24"/>
        </w:rPr>
        <w:t>鸿泽废旧资源利用有限公司</w:t>
      </w:r>
      <w:r>
        <w:rPr>
          <w:rFonts w:hint="eastAsia"/>
          <w:sz w:val="24"/>
        </w:rPr>
        <w:t>矿山</w:t>
      </w:r>
      <w:r>
        <w:rPr>
          <w:sz w:val="24"/>
        </w:rPr>
        <w:t>废弃尾矿综合利用项目</w:t>
      </w:r>
      <w:r>
        <w:rPr>
          <w:kern w:val="0"/>
          <w:sz w:val="24"/>
        </w:rPr>
        <w:t>位于阜新市阜蒙县旧庙镇，</w:t>
      </w:r>
      <w:r>
        <w:rPr>
          <w:rFonts w:hint="eastAsia"/>
          <w:sz w:val="24"/>
        </w:rPr>
        <w:t>租用阜新亿升达铁选厂矿区内用地，</w:t>
      </w:r>
      <w:r>
        <w:rPr>
          <w:kern w:val="0"/>
          <w:sz w:val="24"/>
        </w:rPr>
        <w:t>分两个厂区建设，两个厂区距离约</w:t>
      </w:r>
      <w:r>
        <w:rPr>
          <w:rFonts w:hint="eastAsia"/>
          <w:kern w:val="0"/>
          <w:sz w:val="24"/>
        </w:rPr>
        <w:t>160</w:t>
      </w:r>
      <w:r>
        <w:rPr>
          <w:kern w:val="0"/>
          <w:sz w:val="24"/>
        </w:rPr>
        <w:t>m，1#厂区占地面积</w:t>
      </w:r>
      <w:r>
        <w:rPr>
          <w:rFonts w:hint="eastAsia"/>
          <w:kern w:val="0"/>
          <w:sz w:val="24"/>
        </w:rPr>
        <w:t>18712.71</w:t>
      </w:r>
      <w:r>
        <w:rPr>
          <w:kern w:val="0"/>
          <w:sz w:val="24"/>
        </w:rPr>
        <w:t>m</w:t>
      </w:r>
      <w:r>
        <w:rPr>
          <w:kern w:val="0"/>
          <w:sz w:val="24"/>
          <w:vertAlign w:val="superscript"/>
        </w:rPr>
        <w:t>2</w:t>
      </w:r>
      <w:r>
        <w:rPr>
          <w:kern w:val="0"/>
          <w:sz w:val="24"/>
        </w:rPr>
        <w:t>，2#厂区占地面积为</w:t>
      </w:r>
      <w:r>
        <w:rPr>
          <w:rFonts w:hint="eastAsia"/>
          <w:kern w:val="0"/>
          <w:sz w:val="24"/>
        </w:rPr>
        <w:t>22318.56</w:t>
      </w:r>
      <w:r>
        <w:rPr>
          <w:kern w:val="0"/>
          <w:sz w:val="24"/>
        </w:rPr>
        <w:t>m</w:t>
      </w:r>
      <w:r>
        <w:rPr>
          <w:kern w:val="0"/>
          <w:sz w:val="24"/>
          <w:vertAlign w:val="superscript"/>
        </w:rPr>
        <w:t>2</w:t>
      </w:r>
      <w:r>
        <w:rPr>
          <w:kern w:val="0"/>
          <w:sz w:val="24"/>
        </w:rPr>
        <w:t>，总占地面积41031m</w:t>
      </w:r>
      <w:r>
        <w:rPr>
          <w:kern w:val="0"/>
          <w:sz w:val="24"/>
          <w:vertAlign w:val="superscript"/>
        </w:rPr>
        <w:t>2</w:t>
      </w:r>
      <w:r>
        <w:rPr>
          <w:rFonts w:hint="eastAsia"/>
          <w:kern w:val="0"/>
          <w:sz w:val="24"/>
        </w:rPr>
        <w:t>。</w:t>
      </w:r>
    </w:p>
    <w:p w14:paraId="5A50C561">
      <w:pPr>
        <w:pStyle w:val="135"/>
        <w:spacing w:before="78" w:line="360" w:lineRule="auto"/>
        <w:ind w:firstLine="480" w:firstLineChars="200"/>
        <w:rPr>
          <w:kern w:val="0"/>
          <w:sz w:val="24"/>
        </w:rPr>
      </w:pPr>
      <w:r>
        <w:rPr>
          <w:kern w:val="0"/>
          <w:sz w:val="24"/>
        </w:rPr>
        <w:t>本项目土地</w:t>
      </w:r>
      <w:r>
        <w:rPr>
          <w:rFonts w:hint="eastAsia"/>
          <w:kern w:val="0"/>
          <w:sz w:val="24"/>
        </w:rPr>
        <w:t>位于</w:t>
      </w:r>
      <w:r>
        <w:rPr>
          <w:rFonts w:hint="eastAsia"/>
          <w:sz w:val="24"/>
        </w:rPr>
        <w:t>阜新亿升达铁选厂矿区范围内，现状用地为</w:t>
      </w:r>
      <w:r>
        <w:rPr>
          <w:kern w:val="0"/>
          <w:sz w:val="24"/>
        </w:rPr>
        <w:t>采矿用地，</w:t>
      </w:r>
      <w:r>
        <w:rPr>
          <w:rFonts w:hint="eastAsia"/>
          <w:kern w:val="0"/>
          <w:sz w:val="24"/>
        </w:rPr>
        <w:t>根据阜新蒙古族自治县用地规划说明，该用地已纳入阜新蒙古族自治县国土空间规划的零星城镇建设用地布局，调整后为工业用地。</w:t>
      </w:r>
      <w:r>
        <w:rPr>
          <w:kern w:val="0"/>
          <w:sz w:val="24"/>
        </w:rPr>
        <w:t>厂区不在阜新市生态保护红线范围内，</w:t>
      </w:r>
      <w:r>
        <w:rPr>
          <w:rFonts w:hint="eastAsia"/>
          <w:kern w:val="0"/>
          <w:sz w:val="24"/>
        </w:rPr>
        <w:t>项目占地不涉及国家公益林地、不涉及草原、不涉及自然保护区等生态环境敏感区域</w:t>
      </w:r>
      <w:r>
        <w:rPr>
          <w:kern w:val="0"/>
          <w:sz w:val="24"/>
        </w:rPr>
        <w:t>。</w:t>
      </w:r>
      <w:r>
        <w:rPr>
          <w:rFonts w:hint="eastAsia"/>
          <w:kern w:val="0"/>
          <w:sz w:val="24"/>
        </w:rPr>
        <w:t>项目周边距离居民区较远，最近居民区1km以上。项目主要污染物为原料破碎、筛分、磁选等过程产生的粉尘，全部生产位于封闭车间内，原料、产品储存也位于库房（筒仓）内，无露天堆存及生产；全部产尘点均设置废气收集装置，废气收集后经布袋除尘器处理后达标排放，对周边环境空气影响较小。项目废水全部回用不外排，不会对地表水环境造成影响。项目厂界噪声达标，周边无居民区，因此噪声影响较小。项目生产过程中产生的固体废物全部得到有效处置。</w:t>
      </w:r>
    </w:p>
    <w:p w14:paraId="78CF3410">
      <w:pPr>
        <w:pStyle w:val="135"/>
        <w:spacing w:before="78" w:line="360" w:lineRule="auto"/>
        <w:ind w:firstLine="480" w:firstLineChars="200"/>
        <w:rPr>
          <w:kern w:val="0"/>
          <w:sz w:val="24"/>
        </w:rPr>
      </w:pPr>
      <w:r>
        <w:rPr>
          <w:kern w:val="0"/>
          <w:sz w:val="24"/>
        </w:rPr>
        <w:t>未完成调规及合法取得用地手续前应严禁开工建设。</w:t>
      </w:r>
      <w:r>
        <w:rPr>
          <w:rFonts w:hint="eastAsia"/>
          <w:kern w:val="0"/>
          <w:sz w:val="24"/>
        </w:rPr>
        <w:t>综上，</w:t>
      </w:r>
      <w:r>
        <w:rPr>
          <w:kern w:val="0"/>
          <w:sz w:val="24"/>
        </w:rPr>
        <w:t>在项目用地性质获批调整为工业用地，并合规取得用地相关手续后，本项目选址可行。</w:t>
      </w:r>
    </w:p>
    <w:p w14:paraId="52F20131">
      <w:pPr>
        <w:pStyle w:val="5"/>
        <w:rPr>
          <w:color w:val="auto"/>
        </w:rPr>
      </w:pPr>
      <w:r>
        <w:rPr>
          <w:color w:val="auto"/>
        </w:rPr>
        <w:t>1.3.</w:t>
      </w:r>
      <w:r>
        <w:rPr>
          <w:rFonts w:hint="eastAsia"/>
          <w:color w:val="auto"/>
        </w:rPr>
        <w:t>3生态环境分区管控符合性分析</w:t>
      </w:r>
    </w:p>
    <w:p w14:paraId="4F3E5F32">
      <w:pPr>
        <w:snapToGrid w:val="0"/>
        <w:spacing w:before="0" w:beforeLines="0" w:line="360" w:lineRule="auto"/>
        <w:ind w:firstLine="480" w:firstLineChars="200"/>
        <w:jc w:val="left"/>
        <w:rPr>
          <w:b/>
          <w:bCs/>
          <w:sz w:val="28"/>
          <w:szCs w:val="28"/>
        </w:rPr>
      </w:pPr>
      <w:r>
        <w:rPr>
          <w:rFonts w:hint="eastAsia"/>
          <w:kern w:val="0"/>
          <w:sz w:val="24"/>
        </w:rPr>
        <w:t>根据《关于发布阜新市生态环境分区管控动态更新成果的通知》，项目位于阜新蒙古族自治县优先保护区ZH21092110033，对照管控单元具体管控要求，项目建设符合该单元空间布局约束、 资源开发效率等要求，因此项目建设满足生态环境分区管控要求。</w:t>
      </w:r>
    </w:p>
    <w:p w14:paraId="5A82DE05">
      <w:pPr>
        <w:pStyle w:val="5"/>
        <w:rPr>
          <w:color w:val="auto"/>
        </w:rPr>
      </w:pPr>
      <w:r>
        <w:rPr>
          <w:color w:val="auto"/>
        </w:rPr>
        <w:t>1.3.</w:t>
      </w:r>
      <w:r>
        <w:rPr>
          <w:rFonts w:hint="eastAsia"/>
          <w:color w:val="auto"/>
        </w:rPr>
        <w:t>4相关政策符合性分析</w:t>
      </w:r>
    </w:p>
    <w:p w14:paraId="26D3E7CD">
      <w:pPr>
        <w:pStyle w:val="135"/>
        <w:spacing w:before="78" w:line="360" w:lineRule="auto"/>
        <w:ind w:firstLine="480" w:firstLineChars="200"/>
        <w:rPr>
          <w:kern w:val="0"/>
          <w:sz w:val="24"/>
        </w:rPr>
      </w:pPr>
      <w:r>
        <w:rPr>
          <w:rFonts w:hint="eastAsia"/>
          <w:kern w:val="0"/>
          <w:sz w:val="24"/>
        </w:rPr>
        <w:t>本项目建设符合《辽宁省空气质量持续改善行动实施方案》、《辽宁省深入打好污染防治攻坚战实施方案》、《辽宁省“十四五”生态环境保护规划》、《阜新市国民经济和社会发展第十四个五年规划和二〇三五年远景目标纲要》（阜政发</w:t>
      </w:r>
      <w:r>
        <w:rPr>
          <w:kern w:val="0"/>
          <w:sz w:val="24"/>
        </w:rPr>
        <w:t>[2021] 3</w:t>
      </w:r>
      <w:r>
        <w:rPr>
          <w:rFonts w:hint="eastAsia"/>
          <w:kern w:val="0"/>
          <w:sz w:val="24"/>
        </w:rPr>
        <w:t>号）、《阜新市“十四五”生态环境保护规划》（阜政办发</w:t>
      </w:r>
      <w:r>
        <w:rPr>
          <w:kern w:val="0"/>
          <w:sz w:val="24"/>
        </w:rPr>
        <w:t>[2023]8</w:t>
      </w:r>
      <w:r>
        <w:rPr>
          <w:rFonts w:hint="eastAsia"/>
          <w:kern w:val="0"/>
          <w:sz w:val="24"/>
        </w:rPr>
        <w:t>号）等环境管理政策相关要求；符合《关于“十四五”大宗固体废弃物综合利用的指导意见》（发改环资〔2021〕381号）、《固体废物再生利用污染防治技术导则》（HJ1091-2020）、《钢铁行业采选矿工艺污染防治最佳可行技术指南(试行)》（公告2010年第38号）、《关于促进砂石行业健康有序发展的指导意见》、《十部门关于推进机制砂石行业高质量发展的若干意见》等相关固体废物综合利用、选矿行业等政策要求。因此，项目建设与国家现行环境管理、行业政策相符。</w:t>
      </w:r>
    </w:p>
    <w:p w14:paraId="41903478">
      <w:pPr>
        <w:pStyle w:val="5"/>
        <w:rPr>
          <w:color w:val="auto"/>
        </w:rPr>
      </w:pPr>
      <w:r>
        <w:rPr>
          <w:color w:val="auto"/>
        </w:rPr>
        <w:t>1.3.</w:t>
      </w:r>
      <w:r>
        <w:rPr>
          <w:rFonts w:hint="eastAsia"/>
          <w:color w:val="auto"/>
        </w:rPr>
        <w:t>5环境影响</w:t>
      </w:r>
      <w:r>
        <w:rPr>
          <w:color w:val="auto"/>
        </w:rPr>
        <w:t>分析</w:t>
      </w:r>
    </w:p>
    <w:p w14:paraId="6E90907C">
      <w:pPr>
        <w:adjustRightInd w:val="0"/>
        <w:spacing w:before="78" w:line="360" w:lineRule="auto"/>
        <w:ind w:firstLine="480" w:firstLineChars="200"/>
        <w:textAlignment w:val="baseline"/>
        <w:rPr>
          <w:kern w:val="0"/>
          <w:sz w:val="24"/>
          <w:szCs w:val="28"/>
        </w:rPr>
      </w:pPr>
      <w:r>
        <w:rPr>
          <w:kern w:val="0"/>
          <w:sz w:val="24"/>
          <w:szCs w:val="28"/>
        </w:rPr>
        <w:t>本项目正常生产情况下，对评价区环境敏感目标影响较小；根据环境影响预测结论，在落实好环评报告提出的各项措施前提下，本项目建成投产后不会对周边环境造成影响；本项目产生的各类污染物均能得到有效的处置，在落实好环评报告提出的各项措施前提下，本项目建成投产后对环境的影响较小。</w:t>
      </w:r>
    </w:p>
    <w:p w14:paraId="67B0FE1E">
      <w:pPr>
        <w:pStyle w:val="4"/>
        <w:rPr>
          <w:rFonts w:ascii="Times New Roman" w:hAnsi="Times New Roman" w:eastAsia="宋体"/>
          <w:color w:val="auto"/>
        </w:rPr>
      </w:pPr>
      <w:bookmarkStart w:id="15" w:name="_Toc17475944"/>
      <w:bookmarkStart w:id="16" w:name="_Toc239274258"/>
      <w:r>
        <w:rPr>
          <w:rFonts w:ascii="Times New Roman" w:hAnsi="Times New Roman" w:eastAsia="宋体"/>
          <w:color w:val="auto"/>
        </w:rPr>
        <w:t>1.4关注的主要环境问题及环境影响</w:t>
      </w:r>
      <w:bookmarkEnd w:id="15"/>
      <w:bookmarkEnd w:id="16"/>
    </w:p>
    <w:p w14:paraId="0C11A39C">
      <w:pPr>
        <w:snapToGrid w:val="0"/>
        <w:spacing w:before="78" w:line="360" w:lineRule="auto"/>
        <w:ind w:firstLine="480" w:firstLineChars="200"/>
        <w:rPr>
          <w:kern w:val="0"/>
          <w:sz w:val="24"/>
        </w:rPr>
      </w:pPr>
      <w:bookmarkStart w:id="17" w:name="_Hlk170724029"/>
      <w:r>
        <w:rPr>
          <w:sz w:val="24"/>
        </w:rPr>
        <w:t>本项目主要关注环境问题为：</w:t>
      </w:r>
      <w:bookmarkEnd w:id="17"/>
      <w:r>
        <w:rPr>
          <w:sz w:val="24"/>
        </w:rPr>
        <w:t>选矿工艺、物料装卸等废气对周围大气环境的影响；选矿废水回用的可行性；产噪设备对周围声环境的影响；泥饼回填至现有露天采坑合理性</w:t>
      </w:r>
      <w:r>
        <w:rPr>
          <w:rFonts w:hint="eastAsia"/>
          <w:sz w:val="24"/>
        </w:rPr>
        <w:t>及可行性</w:t>
      </w:r>
      <w:r>
        <w:rPr>
          <w:sz w:val="24"/>
        </w:rPr>
        <w:t>等</w:t>
      </w:r>
      <w:r>
        <w:rPr>
          <w:kern w:val="0"/>
          <w:sz w:val="24"/>
        </w:rPr>
        <w:t>。</w:t>
      </w:r>
    </w:p>
    <w:p w14:paraId="1BBE61EE">
      <w:pPr>
        <w:pStyle w:val="4"/>
        <w:rPr>
          <w:rFonts w:ascii="Times New Roman" w:hAnsi="Times New Roman" w:eastAsia="宋体"/>
          <w:color w:val="auto"/>
        </w:rPr>
      </w:pPr>
      <w:bookmarkStart w:id="18" w:name="_Toc239274259"/>
      <w:bookmarkStart w:id="19" w:name="_Toc17475947"/>
      <w:r>
        <w:rPr>
          <w:rFonts w:ascii="Times New Roman" w:hAnsi="Times New Roman" w:eastAsia="宋体"/>
          <w:color w:val="auto"/>
        </w:rPr>
        <w:t>1.5生态环境影响评价的主要结论</w:t>
      </w:r>
      <w:bookmarkEnd w:id="18"/>
      <w:bookmarkEnd w:id="19"/>
    </w:p>
    <w:p w14:paraId="1E7A9AD0">
      <w:pPr>
        <w:snapToGrid w:val="0"/>
        <w:spacing w:before="78" w:line="360" w:lineRule="auto"/>
        <w:ind w:firstLine="480" w:firstLineChars="200"/>
        <w:rPr>
          <w:kern w:val="0"/>
          <w:sz w:val="24"/>
        </w:rPr>
      </w:pPr>
      <w:r>
        <w:rPr>
          <w:kern w:val="0"/>
          <w:sz w:val="24"/>
        </w:rPr>
        <w:t>鸿泽废旧资源利用有限公司</w:t>
      </w:r>
      <w:r>
        <w:rPr>
          <w:rFonts w:hint="eastAsia"/>
          <w:kern w:val="0"/>
          <w:sz w:val="24"/>
        </w:rPr>
        <w:t>矿山</w:t>
      </w:r>
      <w:r>
        <w:rPr>
          <w:kern w:val="0"/>
          <w:sz w:val="24"/>
        </w:rPr>
        <w:t>废弃尾矿综合利用项目符合国家相关产业政策要求</w:t>
      </w:r>
      <w:r>
        <w:rPr>
          <w:rFonts w:hint="eastAsia"/>
          <w:kern w:val="0"/>
          <w:sz w:val="24"/>
        </w:rPr>
        <w:t>；</w:t>
      </w:r>
      <w:r>
        <w:rPr>
          <w:kern w:val="0"/>
          <w:sz w:val="24"/>
        </w:rPr>
        <w:t>项目区域环境质量</w:t>
      </w:r>
      <w:r>
        <w:rPr>
          <w:rFonts w:hint="eastAsia"/>
          <w:kern w:val="0"/>
          <w:sz w:val="24"/>
        </w:rPr>
        <w:t>满足相关标准要求</w:t>
      </w:r>
      <w:r>
        <w:rPr>
          <w:kern w:val="0"/>
          <w:sz w:val="24"/>
        </w:rPr>
        <w:t>，项目</w:t>
      </w:r>
      <w:r>
        <w:rPr>
          <w:rFonts w:hint="eastAsia"/>
          <w:kern w:val="0"/>
          <w:sz w:val="24"/>
        </w:rPr>
        <w:t>实施后</w:t>
      </w:r>
      <w:r>
        <w:rPr>
          <w:kern w:val="0"/>
          <w:sz w:val="24"/>
        </w:rPr>
        <w:t>严格落实设计和本</w:t>
      </w:r>
      <w:r>
        <w:rPr>
          <w:rFonts w:hint="eastAsia"/>
          <w:kern w:val="0"/>
          <w:sz w:val="24"/>
        </w:rPr>
        <w:t>生态</w:t>
      </w:r>
      <w:r>
        <w:rPr>
          <w:kern w:val="0"/>
          <w:sz w:val="24"/>
        </w:rPr>
        <w:t>环境影响报告书所提出的各项环境保护措施，并加强环保设施的运行维护和管理，保证各环保设施的正常运行和污染物长期稳定达标排放的前提下，项目对环境的不利影响可以得到有效控制，并能为环境所接受</w:t>
      </w:r>
      <w:r>
        <w:rPr>
          <w:rFonts w:hint="eastAsia"/>
          <w:kern w:val="0"/>
          <w:sz w:val="24"/>
        </w:rPr>
        <w:t>；项目实施后，可对当地废弃尾矿、废石进行综合利用，减少尾矿及废石占用土地面积，同时对生态环境进行恢复，保护区域生态环境。</w:t>
      </w:r>
      <w:r>
        <w:rPr>
          <w:kern w:val="0"/>
          <w:sz w:val="24"/>
        </w:rPr>
        <w:t>因此，建设单位认真落实各项污染治理措施，切实做好环保</w:t>
      </w:r>
      <w:r>
        <w:rPr>
          <w:rFonts w:hint="eastAsia"/>
          <w:kern w:val="0"/>
          <w:sz w:val="24"/>
        </w:rPr>
        <w:t>“</w:t>
      </w:r>
      <w:r>
        <w:rPr>
          <w:kern w:val="0"/>
          <w:sz w:val="24"/>
        </w:rPr>
        <w:t>三同时</w:t>
      </w:r>
      <w:r>
        <w:rPr>
          <w:rFonts w:hint="eastAsia"/>
          <w:kern w:val="0"/>
          <w:sz w:val="24"/>
        </w:rPr>
        <w:t>”</w:t>
      </w:r>
      <w:r>
        <w:rPr>
          <w:kern w:val="0"/>
          <w:sz w:val="24"/>
        </w:rPr>
        <w:t>及日常环保管理工作</w:t>
      </w:r>
      <w:r>
        <w:rPr>
          <w:rFonts w:hint="eastAsia"/>
          <w:kern w:val="0"/>
          <w:sz w:val="24"/>
        </w:rPr>
        <w:t>的前提下</w:t>
      </w:r>
      <w:r>
        <w:rPr>
          <w:kern w:val="0"/>
          <w:sz w:val="24"/>
        </w:rPr>
        <w:t>，本项目的建设从环保的角度分析是可行的。</w:t>
      </w:r>
    </w:p>
    <w:p w14:paraId="6CCB9E56">
      <w:pPr>
        <w:snapToGrid w:val="0"/>
        <w:spacing w:before="78" w:line="360" w:lineRule="auto"/>
        <w:ind w:firstLine="480" w:firstLineChars="200"/>
        <w:rPr>
          <w:kern w:val="0"/>
          <w:sz w:val="24"/>
        </w:rPr>
      </w:pPr>
    </w:p>
    <w:p w14:paraId="1215826B">
      <w:pPr>
        <w:pStyle w:val="135"/>
        <w:spacing w:before="78"/>
        <w:rPr>
          <w:kern w:val="0"/>
        </w:rPr>
        <w:sectPr>
          <w:headerReference r:id="rId15" w:type="first"/>
          <w:footerReference r:id="rId18" w:type="first"/>
          <w:footerReference r:id="rId16" w:type="default"/>
          <w:footerReference r:id="rId17" w:type="even"/>
          <w:pgSz w:w="11906" w:h="16838"/>
          <w:pgMar w:top="1440" w:right="1797" w:bottom="1440" w:left="1797" w:header="851" w:footer="992" w:gutter="0"/>
          <w:pgNumType w:start="1"/>
          <w:cols w:space="720" w:num="1"/>
          <w:docGrid w:type="lines" w:linePitch="312" w:charSpace="0"/>
        </w:sectPr>
      </w:pPr>
    </w:p>
    <w:p w14:paraId="3DAE92C4">
      <w:pPr>
        <w:pStyle w:val="3"/>
        <w:rPr>
          <w:color w:val="auto"/>
        </w:rPr>
      </w:pPr>
      <w:bookmarkStart w:id="20" w:name="_Toc239274260"/>
      <w:bookmarkStart w:id="21" w:name="_Toc17475948"/>
      <w:r>
        <w:rPr>
          <w:color w:val="auto"/>
        </w:rPr>
        <w:t>2.总则</w:t>
      </w:r>
      <w:bookmarkEnd w:id="20"/>
      <w:bookmarkEnd w:id="21"/>
    </w:p>
    <w:p w14:paraId="6D414CA1">
      <w:pPr>
        <w:pStyle w:val="4"/>
        <w:rPr>
          <w:rFonts w:ascii="Times New Roman" w:hAnsi="Times New Roman" w:eastAsia="宋体"/>
          <w:color w:val="auto"/>
        </w:rPr>
      </w:pPr>
      <w:bookmarkStart w:id="22" w:name="_Toc17475949"/>
      <w:bookmarkStart w:id="23" w:name="_Toc239274261"/>
      <w:r>
        <w:rPr>
          <w:rFonts w:ascii="Times New Roman" w:hAnsi="Times New Roman" w:eastAsia="宋体"/>
          <w:color w:val="auto"/>
        </w:rPr>
        <w:t>2.1编制依据</w:t>
      </w:r>
      <w:bookmarkEnd w:id="22"/>
      <w:bookmarkEnd w:id="23"/>
    </w:p>
    <w:p w14:paraId="7D25BE1C">
      <w:pPr>
        <w:pStyle w:val="5"/>
        <w:rPr>
          <w:color w:val="auto"/>
        </w:rPr>
      </w:pPr>
      <w:r>
        <w:rPr>
          <w:color w:val="auto"/>
        </w:rPr>
        <w:t>2.1.1国家相关法律</w:t>
      </w:r>
    </w:p>
    <w:p w14:paraId="2170ECB8">
      <w:pPr>
        <w:numPr>
          <w:ilvl w:val="0"/>
          <w:numId w:val="58"/>
        </w:numPr>
        <w:adjustRightInd w:val="0"/>
        <w:snapToGrid w:val="0"/>
        <w:spacing w:before="0" w:beforeLines="0" w:line="360" w:lineRule="auto"/>
        <w:ind w:left="0" w:firstLine="0"/>
        <w:jc w:val="left"/>
        <w:rPr>
          <w:sz w:val="24"/>
        </w:rPr>
      </w:pPr>
      <w:bookmarkStart w:id="24" w:name="OLE_LINK51"/>
      <w:r>
        <w:rPr>
          <w:sz w:val="24"/>
        </w:rPr>
        <w:t>《中华人民共和国</w:t>
      </w:r>
      <w:r>
        <w:rPr>
          <w:rFonts w:hint="eastAsia"/>
          <w:sz w:val="24"/>
        </w:rPr>
        <w:t>生态环境法典</w:t>
      </w:r>
      <w:r>
        <w:rPr>
          <w:sz w:val="24"/>
        </w:rPr>
        <w:t>》</w:t>
      </w:r>
      <w:bookmarkEnd w:id="24"/>
      <w:r>
        <w:rPr>
          <w:rFonts w:hint="eastAsia"/>
          <w:sz w:val="24"/>
        </w:rPr>
        <w:t>（2026年3月12日第十四届全国人民代表大会第四次会议通过</w:t>
      </w:r>
      <w:r>
        <w:rPr>
          <w:sz w:val="24"/>
        </w:rPr>
        <w:t>，20</w:t>
      </w:r>
      <w:r>
        <w:rPr>
          <w:rFonts w:hint="eastAsia"/>
          <w:sz w:val="24"/>
        </w:rPr>
        <w:t>26</w:t>
      </w:r>
      <w:r>
        <w:rPr>
          <w:sz w:val="24"/>
        </w:rPr>
        <w:t>年</w:t>
      </w:r>
      <w:r>
        <w:rPr>
          <w:rFonts w:hint="eastAsia"/>
          <w:sz w:val="24"/>
        </w:rPr>
        <w:t>8</w:t>
      </w:r>
      <w:r>
        <w:rPr>
          <w:sz w:val="24"/>
        </w:rPr>
        <w:t>月</w:t>
      </w:r>
      <w:r>
        <w:rPr>
          <w:rFonts w:hint="eastAsia"/>
          <w:sz w:val="24"/>
        </w:rPr>
        <w:t>15</w:t>
      </w:r>
      <w:r>
        <w:rPr>
          <w:sz w:val="24"/>
        </w:rPr>
        <w:t>日</w:t>
      </w:r>
      <w:r>
        <w:rPr>
          <w:rFonts w:hint="eastAsia"/>
          <w:sz w:val="24"/>
        </w:rPr>
        <w:t>实施）；</w:t>
      </w:r>
    </w:p>
    <w:p w14:paraId="4073748B">
      <w:pPr>
        <w:numPr>
          <w:ilvl w:val="0"/>
          <w:numId w:val="58"/>
        </w:numPr>
        <w:adjustRightInd w:val="0"/>
        <w:snapToGrid w:val="0"/>
        <w:spacing w:before="0" w:beforeLines="0" w:line="360" w:lineRule="auto"/>
        <w:ind w:left="0" w:firstLine="0"/>
        <w:jc w:val="left"/>
        <w:rPr>
          <w:sz w:val="24"/>
        </w:rPr>
      </w:pPr>
      <w:r>
        <w:rPr>
          <w:rFonts w:hint="eastAsia"/>
          <w:sz w:val="24"/>
        </w:rPr>
        <w:t>《中华人民共和国水法》（2016年7月修订）；</w:t>
      </w:r>
    </w:p>
    <w:p w14:paraId="600934A7">
      <w:pPr>
        <w:numPr>
          <w:ilvl w:val="0"/>
          <w:numId w:val="58"/>
        </w:numPr>
        <w:adjustRightInd w:val="0"/>
        <w:snapToGrid w:val="0"/>
        <w:spacing w:before="0" w:beforeLines="0" w:line="360" w:lineRule="auto"/>
        <w:ind w:left="0" w:firstLine="0"/>
        <w:jc w:val="left"/>
        <w:rPr>
          <w:sz w:val="24"/>
        </w:rPr>
      </w:pPr>
      <w:r>
        <w:rPr>
          <w:sz w:val="24"/>
        </w:rPr>
        <w:t>《中华人民共和国循环经济促进法》（2018年10月修订，2018年10月26日起施行）；</w:t>
      </w:r>
    </w:p>
    <w:p w14:paraId="5C35CC4C">
      <w:pPr>
        <w:numPr>
          <w:ilvl w:val="0"/>
          <w:numId w:val="58"/>
        </w:numPr>
        <w:adjustRightInd w:val="0"/>
        <w:snapToGrid w:val="0"/>
        <w:spacing w:before="0" w:beforeLines="0" w:line="360" w:lineRule="auto"/>
        <w:ind w:left="0" w:firstLine="0"/>
        <w:jc w:val="left"/>
        <w:rPr>
          <w:sz w:val="24"/>
        </w:rPr>
      </w:pPr>
      <w:r>
        <w:rPr>
          <w:sz w:val="24"/>
        </w:rPr>
        <w:t>《中华人民共和国节约能源法》（2018年10月修订，2018年10月26日起施行）；</w:t>
      </w:r>
    </w:p>
    <w:p w14:paraId="16EB7374">
      <w:pPr>
        <w:numPr>
          <w:ilvl w:val="0"/>
          <w:numId w:val="58"/>
        </w:numPr>
        <w:adjustRightInd w:val="0"/>
        <w:snapToGrid w:val="0"/>
        <w:spacing w:before="0" w:beforeLines="0" w:line="360" w:lineRule="auto"/>
        <w:ind w:left="0" w:firstLine="0"/>
        <w:jc w:val="left"/>
        <w:rPr>
          <w:sz w:val="24"/>
        </w:rPr>
      </w:pPr>
      <w:r>
        <w:rPr>
          <w:sz w:val="24"/>
        </w:rPr>
        <w:t>《中华人民共和国环境保护税法》（2018年1月1日起施行）；</w:t>
      </w:r>
    </w:p>
    <w:p w14:paraId="0EBD407E">
      <w:pPr>
        <w:pStyle w:val="5"/>
        <w:rPr>
          <w:color w:val="auto"/>
        </w:rPr>
      </w:pPr>
      <w:bookmarkStart w:id="25" w:name="OLE_LINK19"/>
      <w:r>
        <w:rPr>
          <w:rFonts w:hint="eastAsia"/>
          <w:color w:val="auto"/>
        </w:rPr>
        <w:t>2.1.2</w:t>
      </w:r>
      <w:r>
        <w:rPr>
          <w:color w:val="auto"/>
        </w:rPr>
        <w:t>法规及部门规章</w:t>
      </w:r>
    </w:p>
    <w:bookmarkEnd w:id="25"/>
    <w:p w14:paraId="61B8D592">
      <w:pPr>
        <w:numPr>
          <w:ilvl w:val="0"/>
          <w:numId w:val="59"/>
        </w:numPr>
        <w:snapToGrid w:val="0"/>
        <w:spacing w:before="0" w:beforeLines="0" w:line="360" w:lineRule="auto"/>
        <w:ind w:left="0" w:firstLine="0"/>
        <w:jc w:val="left"/>
        <w:rPr>
          <w:sz w:val="24"/>
        </w:rPr>
      </w:pPr>
      <w:bookmarkStart w:id="26" w:name="_Hlk195000205"/>
      <w:r>
        <w:rPr>
          <w:sz w:val="24"/>
        </w:rPr>
        <w:t>《建设项目环境保护管理条例》（国务院令第682号）；</w:t>
      </w:r>
    </w:p>
    <w:p w14:paraId="0AE6373B">
      <w:pPr>
        <w:numPr>
          <w:ilvl w:val="0"/>
          <w:numId w:val="59"/>
        </w:numPr>
        <w:snapToGrid w:val="0"/>
        <w:spacing w:before="78" w:line="360" w:lineRule="auto"/>
        <w:ind w:left="426"/>
        <w:jc w:val="left"/>
        <w:rPr>
          <w:sz w:val="24"/>
        </w:rPr>
      </w:pPr>
      <w:r>
        <w:rPr>
          <w:sz w:val="24"/>
        </w:rPr>
        <w:t>《国务院关于印发</w:t>
      </w:r>
      <w:r>
        <w:rPr>
          <w:bCs/>
          <w:sz w:val="24"/>
        </w:rPr>
        <w:t>＜</w:t>
      </w:r>
      <w:r>
        <w:rPr>
          <w:sz w:val="24"/>
        </w:rPr>
        <w:t>水污染防治行动计划</w:t>
      </w:r>
      <w:r>
        <w:rPr>
          <w:bCs/>
          <w:sz w:val="24"/>
        </w:rPr>
        <w:t>＞的通知</w:t>
      </w:r>
      <w:r>
        <w:rPr>
          <w:sz w:val="24"/>
        </w:rPr>
        <w:t>》（国发[2015]17号）；</w:t>
      </w:r>
    </w:p>
    <w:p w14:paraId="3CE18935">
      <w:pPr>
        <w:numPr>
          <w:ilvl w:val="0"/>
          <w:numId w:val="59"/>
        </w:numPr>
        <w:snapToGrid w:val="0"/>
        <w:spacing w:before="78" w:line="360" w:lineRule="auto"/>
        <w:ind w:left="426"/>
        <w:jc w:val="left"/>
        <w:rPr>
          <w:sz w:val="24"/>
        </w:rPr>
      </w:pPr>
      <w:r>
        <w:rPr>
          <w:sz w:val="24"/>
        </w:rPr>
        <w:t>《</w:t>
      </w:r>
      <w:r>
        <w:rPr>
          <w:bCs/>
          <w:sz w:val="24"/>
        </w:rPr>
        <w:t>国务院关于印发＜土壤污染防治行动计划＞的通知</w:t>
      </w:r>
      <w:r>
        <w:rPr>
          <w:sz w:val="24"/>
        </w:rPr>
        <w:t>》（国发[2016]31号）；</w:t>
      </w:r>
    </w:p>
    <w:p w14:paraId="335987A1">
      <w:pPr>
        <w:numPr>
          <w:ilvl w:val="0"/>
          <w:numId w:val="59"/>
        </w:numPr>
        <w:snapToGrid w:val="0"/>
        <w:spacing w:before="78" w:line="360" w:lineRule="auto"/>
        <w:ind w:left="426"/>
        <w:jc w:val="left"/>
        <w:rPr>
          <w:sz w:val="24"/>
        </w:rPr>
      </w:pPr>
      <w:r>
        <w:rPr>
          <w:sz w:val="24"/>
        </w:rPr>
        <w:t>《空气质量持续改善行动计划》 (国发[2023]24号)；</w:t>
      </w:r>
    </w:p>
    <w:p w14:paraId="41CA6CBE">
      <w:pPr>
        <w:numPr>
          <w:ilvl w:val="0"/>
          <w:numId w:val="59"/>
        </w:numPr>
        <w:snapToGrid w:val="0"/>
        <w:spacing w:before="78" w:line="360" w:lineRule="auto"/>
        <w:ind w:left="426"/>
        <w:jc w:val="left"/>
        <w:rPr>
          <w:sz w:val="24"/>
        </w:rPr>
      </w:pPr>
      <w:r>
        <w:rPr>
          <w:rFonts w:hint="eastAsia"/>
          <w:sz w:val="24"/>
        </w:rPr>
        <w:t>《关于印发“十四五”噪声污染防治行动计划的通知》（环大气[2023]1号）；</w:t>
      </w:r>
    </w:p>
    <w:p w14:paraId="372FE2CF">
      <w:pPr>
        <w:numPr>
          <w:ilvl w:val="0"/>
          <w:numId w:val="59"/>
        </w:numPr>
        <w:snapToGrid w:val="0"/>
        <w:spacing w:before="78" w:line="360" w:lineRule="auto"/>
        <w:ind w:left="426"/>
        <w:jc w:val="left"/>
        <w:rPr>
          <w:sz w:val="24"/>
        </w:rPr>
      </w:pPr>
      <w:r>
        <w:rPr>
          <w:sz w:val="24"/>
        </w:rPr>
        <w:t>《关于以改善环境质量为核心加强环境影响评价管理的通知》(环环评[2016]150号)；</w:t>
      </w:r>
    </w:p>
    <w:p w14:paraId="00531689">
      <w:pPr>
        <w:numPr>
          <w:ilvl w:val="0"/>
          <w:numId w:val="59"/>
        </w:numPr>
        <w:snapToGrid w:val="0"/>
        <w:spacing w:before="78" w:line="360" w:lineRule="auto"/>
        <w:ind w:left="426"/>
        <w:jc w:val="left"/>
        <w:rPr>
          <w:sz w:val="24"/>
        </w:rPr>
      </w:pPr>
      <w:r>
        <w:rPr>
          <w:rFonts w:hint="eastAsia"/>
          <w:sz w:val="24"/>
        </w:rPr>
        <w:t>《中共中央、国务院关于深入打好污染防治攻坚战的意见》（中发〔2021〕40号）；</w:t>
      </w:r>
    </w:p>
    <w:p w14:paraId="135BAA13">
      <w:pPr>
        <w:numPr>
          <w:ilvl w:val="0"/>
          <w:numId w:val="59"/>
        </w:numPr>
        <w:snapToGrid w:val="0"/>
        <w:spacing w:before="78" w:line="360" w:lineRule="auto"/>
        <w:ind w:left="426"/>
        <w:jc w:val="left"/>
        <w:rPr>
          <w:sz w:val="24"/>
        </w:rPr>
      </w:pPr>
      <w:r>
        <w:rPr>
          <w:sz w:val="24"/>
        </w:rPr>
        <w:t>《产业结构调整指导目录（2024年本）》</w:t>
      </w:r>
      <w:r>
        <w:rPr>
          <w:rFonts w:hint="eastAsia"/>
          <w:sz w:val="24"/>
        </w:rPr>
        <w:t>（2024年02月01日施行）</w:t>
      </w:r>
      <w:r>
        <w:rPr>
          <w:sz w:val="24"/>
        </w:rPr>
        <w:t>；</w:t>
      </w:r>
    </w:p>
    <w:p w14:paraId="3E986528">
      <w:pPr>
        <w:numPr>
          <w:ilvl w:val="0"/>
          <w:numId w:val="59"/>
        </w:numPr>
        <w:snapToGrid w:val="0"/>
        <w:spacing w:before="78" w:line="360" w:lineRule="auto"/>
        <w:ind w:left="426"/>
        <w:jc w:val="left"/>
        <w:rPr>
          <w:sz w:val="24"/>
        </w:rPr>
      </w:pPr>
      <w:r>
        <w:rPr>
          <w:sz w:val="24"/>
        </w:rPr>
        <w:t>《建设项目环境影响评价分类管理名录（2021年版）》（环境保护部令第16号）；</w:t>
      </w:r>
    </w:p>
    <w:p w14:paraId="776D8998">
      <w:pPr>
        <w:numPr>
          <w:ilvl w:val="0"/>
          <w:numId w:val="59"/>
        </w:numPr>
        <w:snapToGrid w:val="0"/>
        <w:spacing w:before="78" w:line="360" w:lineRule="auto"/>
        <w:ind w:left="426"/>
        <w:jc w:val="left"/>
        <w:rPr>
          <w:spacing w:val="-4"/>
          <w:sz w:val="24"/>
        </w:rPr>
      </w:pPr>
      <w:r>
        <w:rPr>
          <w:spacing w:val="-4"/>
          <w:sz w:val="24"/>
        </w:rPr>
        <w:t>《关于进一步加强环境影响评价管理防范环境风险的通知》（环发[2012]77号）；</w:t>
      </w:r>
    </w:p>
    <w:p w14:paraId="404472CC">
      <w:pPr>
        <w:numPr>
          <w:ilvl w:val="0"/>
          <w:numId w:val="59"/>
        </w:numPr>
        <w:snapToGrid w:val="0"/>
        <w:spacing w:before="78" w:line="360" w:lineRule="auto"/>
        <w:ind w:left="426"/>
        <w:jc w:val="left"/>
        <w:rPr>
          <w:sz w:val="24"/>
        </w:rPr>
      </w:pPr>
      <w:r>
        <w:rPr>
          <w:sz w:val="24"/>
        </w:rPr>
        <w:t>《关于切实加强风险防范严格环境影响评价管理的通知》（环发[2012]98号）；</w:t>
      </w:r>
    </w:p>
    <w:p w14:paraId="1CF4C937">
      <w:pPr>
        <w:numPr>
          <w:ilvl w:val="0"/>
          <w:numId w:val="59"/>
        </w:numPr>
        <w:snapToGrid w:val="0"/>
        <w:spacing w:before="78" w:line="360" w:lineRule="auto"/>
        <w:ind w:left="426"/>
        <w:jc w:val="left"/>
        <w:rPr>
          <w:sz w:val="24"/>
        </w:rPr>
      </w:pPr>
      <w:r>
        <w:rPr>
          <w:sz w:val="24"/>
        </w:rPr>
        <w:t>《关于印发&lt;建设项目主要污染物排放总量指标审核及管理暂行办法&gt;的通知》（环发[2014]197号）；</w:t>
      </w:r>
    </w:p>
    <w:p w14:paraId="588AE1C6">
      <w:pPr>
        <w:numPr>
          <w:ilvl w:val="0"/>
          <w:numId w:val="59"/>
        </w:numPr>
        <w:snapToGrid w:val="0"/>
        <w:spacing w:before="78" w:line="360" w:lineRule="auto"/>
        <w:ind w:left="426"/>
        <w:jc w:val="left"/>
        <w:rPr>
          <w:sz w:val="24"/>
        </w:rPr>
      </w:pPr>
      <w:r>
        <w:rPr>
          <w:rFonts w:hint="eastAsia"/>
          <w:sz w:val="24"/>
        </w:rPr>
        <w:t>《“</w:t>
      </w:r>
      <w:r>
        <w:rPr>
          <w:sz w:val="24"/>
        </w:rPr>
        <w:t>十五五</w:t>
      </w:r>
      <w:r>
        <w:rPr>
          <w:rFonts w:hint="eastAsia"/>
          <w:sz w:val="24"/>
        </w:rPr>
        <w:t>”</w:t>
      </w:r>
      <w:r>
        <w:rPr>
          <w:sz w:val="24"/>
        </w:rPr>
        <w:t>污染减排工作方案编制技术指南</w:t>
      </w:r>
      <w:r>
        <w:rPr>
          <w:rFonts w:hint="eastAsia"/>
          <w:sz w:val="24"/>
        </w:rPr>
        <w:t>》（环办综合函[2025]184号）；</w:t>
      </w:r>
    </w:p>
    <w:p w14:paraId="75D7F2EE">
      <w:pPr>
        <w:numPr>
          <w:ilvl w:val="0"/>
          <w:numId w:val="59"/>
        </w:numPr>
        <w:snapToGrid w:val="0"/>
        <w:spacing w:before="78" w:line="360" w:lineRule="auto"/>
        <w:ind w:left="426"/>
        <w:jc w:val="left"/>
        <w:rPr>
          <w:sz w:val="24"/>
        </w:rPr>
      </w:pPr>
      <w:r>
        <w:rPr>
          <w:sz w:val="24"/>
        </w:rPr>
        <w:t>《建设项目危险废物环境影响评价指南》（环境保护部公告2017年第43号）；</w:t>
      </w:r>
    </w:p>
    <w:p w14:paraId="6C5DC068">
      <w:pPr>
        <w:numPr>
          <w:ilvl w:val="0"/>
          <w:numId w:val="59"/>
        </w:numPr>
        <w:snapToGrid w:val="0"/>
        <w:spacing w:before="78" w:line="360" w:lineRule="auto"/>
        <w:ind w:left="426"/>
        <w:jc w:val="left"/>
        <w:rPr>
          <w:sz w:val="24"/>
        </w:rPr>
      </w:pPr>
      <w:r>
        <w:rPr>
          <w:sz w:val="24"/>
        </w:rPr>
        <w:t>《关于做好环境影响评价制度与排污许可制衔接相关工作的通知》（环办环评[2017]84号）；</w:t>
      </w:r>
    </w:p>
    <w:p w14:paraId="7A38DD6C">
      <w:pPr>
        <w:numPr>
          <w:ilvl w:val="0"/>
          <w:numId w:val="59"/>
        </w:numPr>
        <w:snapToGrid w:val="0"/>
        <w:spacing w:before="78" w:line="360" w:lineRule="auto"/>
        <w:ind w:left="426"/>
        <w:jc w:val="left"/>
        <w:rPr>
          <w:sz w:val="24"/>
        </w:rPr>
      </w:pPr>
      <w:r>
        <w:rPr>
          <w:rFonts w:hint="eastAsia"/>
          <w:sz w:val="24"/>
        </w:rPr>
        <w:t>《排污许可管理条例》（国务院令第736号）；</w:t>
      </w:r>
    </w:p>
    <w:p w14:paraId="71B30FAA">
      <w:pPr>
        <w:numPr>
          <w:ilvl w:val="0"/>
          <w:numId w:val="59"/>
        </w:numPr>
        <w:snapToGrid w:val="0"/>
        <w:spacing w:before="78" w:line="360" w:lineRule="auto"/>
        <w:ind w:left="426"/>
        <w:jc w:val="left"/>
        <w:rPr>
          <w:sz w:val="24"/>
        </w:rPr>
      </w:pPr>
      <w:r>
        <w:rPr>
          <w:rFonts w:hint="eastAsia"/>
          <w:sz w:val="24"/>
        </w:rPr>
        <w:t>《排污许可管理办法》（部令第32号）；</w:t>
      </w:r>
    </w:p>
    <w:p w14:paraId="5329621B">
      <w:pPr>
        <w:numPr>
          <w:ilvl w:val="0"/>
          <w:numId w:val="59"/>
        </w:numPr>
        <w:snapToGrid w:val="0"/>
        <w:spacing w:before="78" w:line="360" w:lineRule="auto"/>
        <w:ind w:left="426"/>
        <w:jc w:val="left"/>
        <w:rPr>
          <w:sz w:val="24"/>
        </w:rPr>
      </w:pPr>
      <w:r>
        <w:rPr>
          <w:rFonts w:hint="eastAsia"/>
          <w:sz w:val="24"/>
        </w:rPr>
        <w:t>《环境影响评价公众参与办法》（国家生态环境部令</w:t>
      </w:r>
      <w:r>
        <w:rPr>
          <w:sz w:val="24"/>
        </w:rPr>
        <w:t xml:space="preserve"> </w:t>
      </w:r>
      <w:r>
        <w:rPr>
          <w:rFonts w:hint="eastAsia"/>
          <w:sz w:val="24"/>
        </w:rPr>
        <w:t>第4号）；</w:t>
      </w:r>
    </w:p>
    <w:p w14:paraId="0E5E0881">
      <w:pPr>
        <w:numPr>
          <w:ilvl w:val="0"/>
          <w:numId w:val="59"/>
        </w:numPr>
        <w:snapToGrid w:val="0"/>
        <w:spacing w:before="78" w:line="360" w:lineRule="auto"/>
        <w:ind w:left="426"/>
        <w:jc w:val="left"/>
        <w:rPr>
          <w:sz w:val="24"/>
        </w:rPr>
      </w:pPr>
      <w:r>
        <w:rPr>
          <w:rFonts w:hint="eastAsia"/>
          <w:sz w:val="24"/>
        </w:rPr>
        <w:t>《关于强化建设项目环境影响评价事中事后监管的实施意见》（环环评 [2018]11号）；</w:t>
      </w:r>
    </w:p>
    <w:p w14:paraId="5701FB00">
      <w:pPr>
        <w:numPr>
          <w:ilvl w:val="0"/>
          <w:numId w:val="59"/>
        </w:numPr>
        <w:snapToGrid w:val="0"/>
        <w:spacing w:before="78" w:line="360" w:lineRule="auto"/>
        <w:ind w:left="426"/>
        <w:jc w:val="left"/>
        <w:rPr>
          <w:sz w:val="24"/>
        </w:rPr>
      </w:pPr>
      <w:r>
        <w:rPr>
          <w:rFonts w:hint="eastAsia"/>
          <w:sz w:val="24"/>
        </w:rPr>
        <w:t>《关于加强高耗能、高排放建设项目生态环境源头防控的指导意见》（环环评〔2021〕45号）；</w:t>
      </w:r>
    </w:p>
    <w:p w14:paraId="5F5F9A4D">
      <w:pPr>
        <w:numPr>
          <w:ilvl w:val="0"/>
          <w:numId w:val="59"/>
        </w:numPr>
        <w:snapToGrid w:val="0"/>
        <w:spacing w:before="78" w:line="360" w:lineRule="auto"/>
        <w:ind w:left="426"/>
        <w:jc w:val="left"/>
        <w:rPr>
          <w:sz w:val="24"/>
        </w:rPr>
      </w:pPr>
      <w:r>
        <w:rPr>
          <w:rFonts w:hint="eastAsia"/>
          <w:sz w:val="24"/>
        </w:rPr>
        <w:t>《关于加快推动工业资源综合利用的方案》（工信部联节[2022]9号）；</w:t>
      </w:r>
    </w:p>
    <w:p w14:paraId="43F4F93D">
      <w:pPr>
        <w:numPr>
          <w:ilvl w:val="0"/>
          <w:numId w:val="59"/>
        </w:numPr>
        <w:snapToGrid w:val="0"/>
        <w:spacing w:before="78" w:line="360" w:lineRule="auto"/>
        <w:ind w:left="426"/>
        <w:jc w:val="left"/>
        <w:rPr>
          <w:sz w:val="24"/>
        </w:rPr>
      </w:pPr>
      <w:r>
        <w:rPr>
          <w:rFonts w:hint="eastAsia"/>
          <w:sz w:val="24"/>
        </w:rPr>
        <w:t>《关于“十四</w:t>
      </w:r>
      <w:r>
        <w:rPr>
          <w:sz w:val="24"/>
        </w:rPr>
        <w:t>五</w:t>
      </w:r>
      <w:r>
        <w:rPr>
          <w:rFonts w:hint="eastAsia"/>
          <w:sz w:val="24"/>
        </w:rPr>
        <w:t>”</w:t>
      </w:r>
      <w:r>
        <w:rPr>
          <w:sz w:val="24"/>
        </w:rPr>
        <w:t>大宗固体废弃物综合利用的指导意见》（发改环资〔2021〕381号）</w:t>
      </w:r>
      <w:r>
        <w:rPr>
          <w:rFonts w:hint="eastAsia"/>
          <w:sz w:val="24"/>
        </w:rPr>
        <w:t>；</w:t>
      </w:r>
    </w:p>
    <w:p w14:paraId="295D0CD2">
      <w:pPr>
        <w:numPr>
          <w:ilvl w:val="0"/>
          <w:numId w:val="59"/>
        </w:numPr>
        <w:snapToGrid w:val="0"/>
        <w:spacing w:before="78" w:line="360" w:lineRule="auto"/>
        <w:ind w:left="426"/>
        <w:jc w:val="left"/>
        <w:rPr>
          <w:sz w:val="24"/>
        </w:rPr>
      </w:pPr>
      <w:r>
        <w:rPr>
          <w:rFonts w:hint="eastAsia"/>
          <w:sz w:val="24"/>
        </w:rPr>
        <w:t>《关于促进砂石行业健康有序发展的指导意见》（发改价格[2020]473号）；</w:t>
      </w:r>
    </w:p>
    <w:p w14:paraId="71AF56A2">
      <w:pPr>
        <w:numPr>
          <w:ilvl w:val="0"/>
          <w:numId w:val="59"/>
        </w:numPr>
        <w:snapToGrid w:val="0"/>
        <w:spacing w:before="78" w:line="360" w:lineRule="auto"/>
        <w:ind w:left="426"/>
        <w:jc w:val="left"/>
        <w:rPr>
          <w:sz w:val="24"/>
        </w:rPr>
      </w:pPr>
      <w:r>
        <w:rPr>
          <w:rFonts w:hint="eastAsia"/>
          <w:sz w:val="24"/>
        </w:rPr>
        <w:t>《十部门关于推进机制砂石行业高质量发展的若干意见》（工信部联原[2019]239号）。</w:t>
      </w:r>
    </w:p>
    <w:bookmarkEnd w:id="26"/>
    <w:p w14:paraId="6E9B7CCF">
      <w:pPr>
        <w:pStyle w:val="5"/>
        <w:rPr>
          <w:color w:val="auto"/>
        </w:rPr>
      </w:pPr>
      <w:r>
        <w:rPr>
          <w:color w:val="auto"/>
        </w:rPr>
        <w:t>2.1.</w:t>
      </w:r>
      <w:r>
        <w:rPr>
          <w:rFonts w:hint="eastAsia"/>
          <w:color w:val="auto"/>
        </w:rPr>
        <w:t>3</w:t>
      </w:r>
      <w:r>
        <w:rPr>
          <w:color w:val="auto"/>
        </w:rPr>
        <w:t>地方法规</w:t>
      </w:r>
    </w:p>
    <w:p w14:paraId="6AFCCE5A">
      <w:pPr>
        <w:numPr>
          <w:ilvl w:val="0"/>
          <w:numId w:val="59"/>
        </w:numPr>
        <w:snapToGrid w:val="0"/>
        <w:spacing w:before="78" w:line="360" w:lineRule="auto"/>
        <w:ind w:left="426"/>
        <w:jc w:val="left"/>
        <w:rPr>
          <w:sz w:val="24"/>
        </w:rPr>
      </w:pPr>
      <w:bookmarkStart w:id="27" w:name="OLE_LINK41"/>
      <w:bookmarkStart w:id="28" w:name="_Hlk195000647"/>
      <w:r>
        <w:rPr>
          <w:sz w:val="24"/>
        </w:rPr>
        <w:t>《辽宁省环境保护条例》，2022年4月21日</w:t>
      </w:r>
      <w:r>
        <w:rPr>
          <w:rFonts w:hint="eastAsia"/>
          <w:sz w:val="24"/>
        </w:rPr>
        <w:t>修订</w:t>
      </w:r>
      <w:r>
        <w:rPr>
          <w:sz w:val="24"/>
        </w:rPr>
        <w:t>；</w:t>
      </w:r>
    </w:p>
    <w:p w14:paraId="30AF690E">
      <w:pPr>
        <w:numPr>
          <w:ilvl w:val="0"/>
          <w:numId w:val="59"/>
        </w:numPr>
        <w:snapToGrid w:val="0"/>
        <w:spacing w:before="78" w:line="360" w:lineRule="auto"/>
        <w:ind w:left="426"/>
        <w:jc w:val="left"/>
        <w:rPr>
          <w:sz w:val="24"/>
        </w:rPr>
      </w:pPr>
      <w:r>
        <w:rPr>
          <w:sz w:val="24"/>
        </w:rPr>
        <w:t xml:space="preserve"> 《辽宁省大气污染防治条例》，2022年</w:t>
      </w:r>
      <w:r>
        <w:rPr>
          <w:rFonts w:hint="eastAsia"/>
          <w:sz w:val="24"/>
        </w:rPr>
        <w:t>04月21日</w:t>
      </w:r>
      <w:r>
        <w:rPr>
          <w:sz w:val="24"/>
        </w:rPr>
        <w:t>修订；</w:t>
      </w:r>
    </w:p>
    <w:p w14:paraId="02C42DEE">
      <w:pPr>
        <w:numPr>
          <w:ilvl w:val="0"/>
          <w:numId w:val="59"/>
        </w:numPr>
        <w:snapToGrid w:val="0"/>
        <w:spacing w:before="78" w:line="360" w:lineRule="auto"/>
        <w:ind w:left="426"/>
        <w:jc w:val="left"/>
        <w:rPr>
          <w:sz w:val="24"/>
        </w:rPr>
      </w:pPr>
      <w:r>
        <w:rPr>
          <w:sz w:val="24"/>
        </w:rPr>
        <w:t>《辽宁省水污染防治条例》，2022</w:t>
      </w:r>
      <w:r>
        <w:rPr>
          <w:rFonts w:hint="eastAsia"/>
          <w:sz w:val="24"/>
          <w:lang w:eastAsia="zh-CN"/>
        </w:rPr>
        <w:t>年</w:t>
      </w:r>
      <w:r>
        <w:rPr>
          <w:rFonts w:hint="eastAsia"/>
          <w:sz w:val="24"/>
        </w:rPr>
        <w:t>04月21日</w:t>
      </w:r>
      <w:r>
        <w:rPr>
          <w:sz w:val="24"/>
        </w:rPr>
        <w:t>修订；</w:t>
      </w:r>
    </w:p>
    <w:p w14:paraId="5E100A0F">
      <w:pPr>
        <w:numPr>
          <w:ilvl w:val="0"/>
          <w:numId w:val="59"/>
        </w:numPr>
        <w:snapToGrid w:val="0"/>
        <w:spacing w:before="78" w:line="360" w:lineRule="auto"/>
        <w:ind w:left="426"/>
        <w:jc w:val="left"/>
        <w:rPr>
          <w:sz w:val="24"/>
        </w:rPr>
      </w:pPr>
      <w:r>
        <w:rPr>
          <w:rFonts w:hint="eastAsia"/>
          <w:sz w:val="24"/>
        </w:rPr>
        <w:t>《辽宁省地下水资源保护条例》，2020年3月30日修订；</w:t>
      </w:r>
    </w:p>
    <w:p w14:paraId="7DF20EBC">
      <w:pPr>
        <w:numPr>
          <w:ilvl w:val="0"/>
          <w:numId w:val="59"/>
        </w:numPr>
        <w:snapToGrid w:val="0"/>
        <w:spacing w:before="78" w:line="360" w:lineRule="auto"/>
        <w:ind w:left="426"/>
        <w:jc w:val="left"/>
        <w:rPr>
          <w:sz w:val="24"/>
        </w:rPr>
      </w:pPr>
      <w:r>
        <w:rPr>
          <w:rFonts w:hint="eastAsia"/>
          <w:sz w:val="24"/>
        </w:rPr>
        <w:t>《辽宁省固体废物污染环境防治条例》，</w:t>
      </w:r>
      <w:r>
        <w:rPr>
          <w:sz w:val="24"/>
        </w:rPr>
        <w:t>2024</w:t>
      </w:r>
      <w:r>
        <w:rPr>
          <w:rFonts w:hint="eastAsia"/>
          <w:sz w:val="24"/>
        </w:rPr>
        <w:t>年</w:t>
      </w:r>
      <w:r>
        <w:rPr>
          <w:sz w:val="24"/>
        </w:rPr>
        <w:t>12</w:t>
      </w:r>
      <w:r>
        <w:rPr>
          <w:rFonts w:hint="eastAsia"/>
          <w:sz w:val="24"/>
        </w:rPr>
        <w:t>月</w:t>
      </w:r>
      <w:r>
        <w:rPr>
          <w:sz w:val="24"/>
        </w:rPr>
        <w:t>01</w:t>
      </w:r>
      <w:r>
        <w:rPr>
          <w:rFonts w:hint="eastAsia"/>
          <w:sz w:val="24"/>
        </w:rPr>
        <w:t>日实施；</w:t>
      </w:r>
    </w:p>
    <w:p w14:paraId="64C4809B">
      <w:pPr>
        <w:numPr>
          <w:ilvl w:val="0"/>
          <w:numId w:val="59"/>
        </w:numPr>
        <w:snapToGrid w:val="0"/>
        <w:spacing w:before="78" w:line="360" w:lineRule="auto"/>
        <w:ind w:left="426"/>
        <w:jc w:val="left"/>
        <w:rPr>
          <w:sz w:val="24"/>
        </w:rPr>
      </w:pPr>
      <w:r>
        <w:rPr>
          <w:rFonts w:hint="eastAsia"/>
          <w:sz w:val="24"/>
        </w:rPr>
        <w:t>《辽宁省深入打好污染防治攻坚战实施方案》（辽委发[2022]8号），2022年5月16日</w:t>
      </w:r>
    </w:p>
    <w:p w14:paraId="01C6CECE">
      <w:pPr>
        <w:numPr>
          <w:ilvl w:val="0"/>
          <w:numId w:val="59"/>
        </w:numPr>
        <w:snapToGrid w:val="0"/>
        <w:spacing w:before="78" w:line="360" w:lineRule="auto"/>
        <w:ind w:left="426"/>
        <w:jc w:val="left"/>
        <w:rPr>
          <w:sz w:val="24"/>
        </w:rPr>
      </w:pPr>
      <w:r>
        <w:rPr>
          <w:rFonts w:hint="eastAsia"/>
          <w:sz w:val="24"/>
        </w:rPr>
        <w:t>《辽宁省空气质量持续改善行动实施方案》（辽政发〔2024〕11号），2024年7月1日；</w:t>
      </w:r>
    </w:p>
    <w:p w14:paraId="32751E5F">
      <w:pPr>
        <w:numPr>
          <w:ilvl w:val="0"/>
          <w:numId w:val="59"/>
        </w:numPr>
        <w:snapToGrid w:val="0"/>
        <w:spacing w:before="78" w:line="360" w:lineRule="auto"/>
        <w:ind w:left="426"/>
        <w:jc w:val="left"/>
        <w:rPr>
          <w:sz w:val="24"/>
        </w:rPr>
      </w:pPr>
      <w:r>
        <w:rPr>
          <w:sz w:val="24"/>
        </w:rPr>
        <w:t>《辽宁省人民政府关于印发辽宁省水污染防治工作方案的通知》（辽政发〔2015〕79号），2015年12月1日；</w:t>
      </w:r>
    </w:p>
    <w:p w14:paraId="285EBAD7">
      <w:pPr>
        <w:numPr>
          <w:ilvl w:val="0"/>
          <w:numId w:val="59"/>
        </w:numPr>
        <w:snapToGrid w:val="0"/>
        <w:spacing w:before="78" w:line="360" w:lineRule="auto"/>
        <w:ind w:left="426"/>
        <w:jc w:val="left"/>
        <w:rPr>
          <w:sz w:val="24"/>
        </w:rPr>
      </w:pPr>
      <w:r>
        <w:rPr>
          <w:sz w:val="24"/>
        </w:rPr>
        <w:t>《辽宁省人民政府关于印发辽宁省土壤污染防治工作方案的通知》（辽政发〔2016〕58号），2016年8月24日；</w:t>
      </w:r>
    </w:p>
    <w:p w14:paraId="7A65BD6C">
      <w:pPr>
        <w:numPr>
          <w:ilvl w:val="0"/>
          <w:numId w:val="59"/>
        </w:numPr>
        <w:snapToGrid w:val="0"/>
        <w:spacing w:before="78" w:line="360" w:lineRule="auto"/>
        <w:ind w:left="426"/>
        <w:jc w:val="left"/>
        <w:rPr>
          <w:sz w:val="24"/>
        </w:rPr>
      </w:pPr>
      <w:r>
        <w:rPr>
          <w:rFonts w:hint="eastAsia"/>
          <w:sz w:val="24"/>
        </w:rPr>
        <w:t>《辽宁省固体废物污染环境防治办法（2017修订）》（辽宁省人民政府令第311号），2017年11月29日；</w:t>
      </w:r>
    </w:p>
    <w:p w14:paraId="7A0AF4B8">
      <w:pPr>
        <w:numPr>
          <w:ilvl w:val="0"/>
          <w:numId w:val="59"/>
        </w:numPr>
        <w:snapToGrid w:val="0"/>
        <w:spacing w:before="78" w:line="360" w:lineRule="auto"/>
        <w:ind w:left="426"/>
        <w:jc w:val="left"/>
        <w:rPr>
          <w:sz w:val="24"/>
        </w:rPr>
      </w:pPr>
      <w:r>
        <w:rPr>
          <w:rFonts w:hint="eastAsia"/>
          <w:sz w:val="24"/>
        </w:rPr>
        <w:t>《辽宁省噪声污染防治行动方案 （2023-2025年）》，2023.08.16；</w:t>
      </w:r>
    </w:p>
    <w:bookmarkEnd w:id="27"/>
    <w:p w14:paraId="6C00C622">
      <w:pPr>
        <w:numPr>
          <w:ilvl w:val="0"/>
          <w:numId w:val="59"/>
        </w:numPr>
        <w:snapToGrid w:val="0"/>
        <w:spacing w:before="78" w:line="360" w:lineRule="auto"/>
        <w:ind w:left="426"/>
        <w:jc w:val="left"/>
        <w:rPr>
          <w:sz w:val="24"/>
        </w:rPr>
      </w:pPr>
      <w:r>
        <w:rPr>
          <w:rFonts w:hint="eastAsia"/>
          <w:sz w:val="24"/>
        </w:rPr>
        <w:t>《辽宁省防范化解尾矿库安全风险工作方案》（辽应急发〔2020〕23号）；</w:t>
      </w:r>
    </w:p>
    <w:p w14:paraId="110AC0A2">
      <w:pPr>
        <w:numPr>
          <w:ilvl w:val="0"/>
          <w:numId w:val="59"/>
        </w:numPr>
        <w:snapToGrid w:val="0"/>
        <w:spacing w:before="78" w:line="360" w:lineRule="auto"/>
        <w:ind w:left="426"/>
        <w:jc w:val="left"/>
        <w:rPr>
          <w:sz w:val="24"/>
        </w:rPr>
      </w:pPr>
      <w:r>
        <w:rPr>
          <w:sz w:val="24"/>
        </w:rPr>
        <w:t>《辽宁省禁止提取地下水规定》（辽宁省人民政府令第255号），2011年4月1日；</w:t>
      </w:r>
    </w:p>
    <w:p w14:paraId="32801F13">
      <w:pPr>
        <w:numPr>
          <w:ilvl w:val="0"/>
          <w:numId w:val="59"/>
        </w:numPr>
        <w:snapToGrid w:val="0"/>
        <w:spacing w:before="78" w:line="360" w:lineRule="auto"/>
        <w:ind w:left="426"/>
        <w:jc w:val="left"/>
        <w:rPr>
          <w:sz w:val="24"/>
        </w:rPr>
      </w:pPr>
      <w:r>
        <w:rPr>
          <w:sz w:val="24"/>
        </w:rPr>
        <w:t>辽宁省生态环境厅《进一步加强建设项目主要污染物排放总量指标审核和管理的通知》（辽环综〔2020〕380号），2020年6月23日；</w:t>
      </w:r>
    </w:p>
    <w:p w14:paraId="7834F18B">
      <w:pPr>
        <w:numPr>
          <w:ilvl w:val="0"/>
          <w:numId w:val="59"/>
        </w:numPr>
        <w:snapToGrid w:val="0"/>
        <w:spacing w:before="78" w:line="360" w:lineRule="auto"/>
        <w:ind w:left="426"/>
        <w:jc w:val="left"/>
        <w:rPr>
          <w:sz w:val="24"/>
        </w:rPr>
      </w:pPr>
      <w:r>
        <w:rPr>
          <w:sz w:val="24"/>
        </w:rPr>
        <w:t>《关于加强全省高耗能高排放项目准入管理的意见》（辽政办发〔2021〕6号），2021年2月26日；</w:t>
      </w:r>
    </w:p>
    <w:p w14:paraId="531536EA">
      <w:pPr>
        <w:numPr>
          <w:ilvl w:val="0"/>
          <w:numId w:val="59"/>
        </w:numPr>
        <w:snapToGrid w:val="0"/>
        <w:spacing w:before="78" w:line="360" w:lineRule="auto"/>
        <w:ind w:left="426"/>
        <w:jc w:val="left"/>
        <w:rPr>
          <w:sz w:val="24"/>
        </w:rPr>
      </w:pPr>
      <w:r>
        <w:rPr>
          <w:rFonts w:hint="eastAsia"/>
          <w:sz w:val="24"/>
        </w:rPr>
        <w:t>《辽宁省防沙治沙条例》（2009年5月27日辽宁省第十一届人民代表大会常务委员会第九次会议通过）；</w:t>
      </w:r>
    </w:p>
    <w:p w14:paraId="6F52C74E">
      <w:pPr>
        <w:numPr>
          <w:ilvl w:val="0"/>
          <w:numId w:val="59"/>
        </w:numPr>
        <w:snapToGrid w:val="0"/>
        <w:spacing w:before="78" w:line="360" w:lineRule="auto"/>
        <w:ind w:left="426"/>
        <w:jc w:val="left"/>
        <w:rPr>
          <w:sz w:val="24"/>
        </w:rPr>
      </w:pPr>
      <w:r>
        <w:rPr>
          <w:rFonts w:hint="eastAsia"/>
          <w:sz w:val="24"/>
        </w:rPr>
        <w:t>《辽宁省排污单位自行监测管理办法（试行）》（辽宁省生态环境厅公告2023第4号）；</w:t>
      </w:r>
    </w:p>
    <w:p w14:paraId="291CB783">
      <w:pPr>
        <w:numPr>
          <w:ilvl w:val="0"/>
          <w:numId w:val="59"/>
        </w:numPr>
        <w:snapToGrid w:val="0"/>
        <w:spacing w:before="78" w:line="360" w:lineRule="auto"/>
        <w:ind w:left="426"/>
        <w:jc w:val="left"/>
        <w:rPr>
          <w:sz w:val="24"/>
        </w:rPr>
      </w:pPr>
      <w:r>
        <w:rPr>
          <w:rFonts w:hint="eastAsia"/>
          <w:sz w:val="24"/>
        </w:rPr>
        <w:t>《中共辽宁省委办公厅 辽宁省人民政府办公厅关于加强生态环境分区管控的实施意见》，2024.12.14；</w:t>
      </w:r>
    </w:p>
    <w:p w14:paraId="4A846287">
      <w:pPr>
        <w:numPr>
          <w:ilvl w:val="0"/>
          <w:numId w:val="59"/>
        </w:numPr>
        <w:snapToGrid w:val="0"/>
        <w:spacing w:before="78" w:line="360" w:lineRule="auto"/>
        <w:ind w:left="426"/>
        <w:jc w:val="left"/>
        <w:rPr>
          <w:sz w:val="24"/>
        </w:rPr>
      </w:pPr>
      <w:r>
        <w:rPr>
          <w:rFonts w:hint="eastAsia"/>
          <w:sz w:val="24"/>
        </w:rPr>
        <w:t>《</w:t>
      </w:r>
      <w:r>
        <w:rPr>
          <w:sz w:val="24"/>
        </w:rPr>
        <w:t>辽宁省一般工业固体废物用于矿山露天采坑回填修复环境管理规定</w:t>
      </w:r>
      <w:r>
        <w:rPr>
          <w:rFonts w:hint="eastAsia"/>
          <w:sz w:val="24"/>
        </w:rPr>
        <w:t>（</w:t>
      </w:r>
      <w:r>
        <w:rPr>
          <w:sz w:val="24"/>
        </w:rPr>
        <w:t>试行</w:t>
      </w:r>
      <w:r>
        <w:rPr>
          <w:rFonts w:hint="eastAsia"/>
          <w:sz w:val="24"/>
        </w:rPr>
        <w:t>）》（辽环发[2025]16号）；</w:t>
      </w:r>
    </w:p>
    <w:p w14:paraId="02720EAD">
      <w:pPr>
        <w:numPr>
          <w:ilvl w:val="0"/>
          <w:numId w:val="59"/>
        </w:numPr>
        <w:snapToGrid w:val="0"/>
        <w:spacing w:before="78" w:line="360" w:lineRule="auto"/>
        <w:ind w:left="426"/>
        <w:jc w:val="left"/>
        <w:rPr>
          <w:sz w:val="24"/>
        </w:rPr>
      </w:pPr>
      <w:r>
        <w:rPr>
          <w:rFonts w:hint="eastAsia"/>
          <w:sz w:val="24"/>
        </w:rPr>
        <w:t>《关于发布阜新市生态环境分区管控动态更新成果的通知》（2024-12-13）；</w:t>
      </w:r>
    </w:p>
    <w:p w14:paraId="40319B54">
      <w:pPr>
        <w:numPr>
          <w:ilvl w:val="0"/>
          <w:numId w:val="59"/>
        </w:numPr>
        <w:snapToGrid w:val="0"/>
        <w:spacing w:before="78" w:line="360" w:lineRule="auto"/>
        <w:ind w:left="426"/>
        <w:jc w:val="left"/>
        <w:rPr>
          <w:sz w:val="24"/>
        </w:rPr>
      </w:pPr>
      <w:r>
        <w:rPr>
          <w:sz w:val="24"/>
        </w:rPr>
        <w:t>阜新市人民政府《关于印发阜新市水污染防治工作方案的通知》（阜政发[2016]26号）；</w:t>
      </w:r>
    </w:p>
    <w:p w14:paraId="4A20ACB2">
      <w:pPr>
        <w:numPr>
          <w:ilvl w:val="0"/>
          <w:numId w:val="59"/>
        </w:numPr>
        <w:snapToGrid w:val="0"/>
        <w:spacing w:before="78" w:line="360" w:lineRule="auto"/>
        <w:ind w:left="426"/>
        <w:jc w:val="left"/>
        <w:rPr>
          <w:sz w:val="24"/>
        </w:rPr>
      </w:pPr>
      <w:r>
        <w:rPr>
          <w:sz w:val="24"/>
        </w:rPr>
        <w:t>阜新市人民政府《关于印发阜新市大气污染防治实施方案的通知》（阜政发[2016]68号）；</w:t>
      </w:r>
    </w:p>
    <w:p w14:paraId="1566D22A">
      <w:pPr>
        <w:numPr>
          <w:ilvl w:val="0"/>
          <w:numId w:val="59"/>
        </w:numPr>
        <w:snapToGrid w:val="0"/>
        <w:spacing w:before="78" w:line="360" w:lineRule="auto"/>
        <w:ind w:left="426"/>
        <w:jc w:val="left"/>
        <w:rPr>
          <w:sz w:val="24"/>
        </w:rPr>
      </w:pPr>
      <w:r>
        <w:rPr>
          <w:sz w:val="24"/>
        </w:rPr>
        <w:t>阜新市人民政府《关于印发阜新市土壤污染防治工作方案的通知》（阜政发[2017]10号）</w:t>
      </w:r>
      <w:r>
        <w:rPr>
          <w:rFonts w:hint="eastAsia"/>
          <w:sz w:val="24"/>
        </w:rPr>
        <w:t>；</w:t>
      </w:r>
    </w:p>
    <w:p w14:paraId="628E17EE">
      <w:pPr>
        <w:numPr>
          <w:ilvl w:val="0"/>
          <w:numId w:val="59"/>
        </w:numPr>
        <w:snapToGrid w:val="0"/>
        <w:spacing w:before="78" w:line="360" w:lineRule="auto"/>
        <w:ind w:left="426"/>
        <w:jc w:val="left"/>
        <w:rPr>
          <w:sz w:val="24"/>
        </w:rPr>
      </w:pPr>
      <w:r>
        <w:rPr>
          <w:rFonts w:hint="eastAsia"/>
          <w:sz w:val="24"/>
        </w:rPr>
        <w:t>《阜新市防沙治沙条例》（2020年4月26日阜新市第十六届人民代表大会常务委员会第二十次会议通过 2020年5月11日辽宁省第十三届人民代表大会常务委员会第十八次会议批准）</w:t>
      </w:r>
      <w:r>
        <w:rPr>
          <w:sz w:val="24"/>
        </w:rPr>
        <w:t>。</w:t>
      </w:r>
    </w:p>
    <w:bookmarkEnd w:id="28"/>
    <w:p w14:paraId="0038FB8D">
      <w:pPr>
        <w:pStyle w:val="5"/>
        <w:rPr>
          <w:color w:val="auto"/>
        </w:rPr>
      </w:pPr>
      <w:r>
        <w:rPr>
          <w:color w:val="auto"/>
        </w:rPr>
        <w:t>2.1.</w:t>
      </w:r>
      <w:r>
        <w:rPr>
          <w:rFonts w:hint="eastAsia"/>
          <w:color w:val="auto"/>
        </w:rPr>
        <w:t>4</w:t>
      </w:r>
      <w:r>
        <w:rPr>
          <w:color w:val="auto"/>
        </w:rPr>
        <w:t>相关规划</w:t>
      </w:r>
    </w:p>
    <w:p w14:paraId="25170DE4">
      <w:pPr>
        <w:numPr>
          <w:ilvl w:val="0"/>
          <w:numId w:val="58"/>
        </w:numPr>
        <w:adjustRightInd w:val="0"/>
        <w:snapToGrid w:val="0"/>
        <w:spacing w:before="78" w:line="360" w:lineRule="auto"/>
        <w:rPr>
          <w:sz w:val="24"/>
        </w:rPr>
      </w:pPr>
      <w:bookmarkStart w:id="29" w:name="_Hlk195001031"/>
      <w:r>
        <w:rPr>
          <w:sz w:val="24"/>
        </w:rPr>
        <w:t>《辽宁省国民经济和社会发展第十四个五年规划和二〇三五年远景目标纲要》；</w:t>
      </w:r>
    </w:p>
    <w:p w14:paraId="007CAA1E">
      <w:pPr>
        <w:numPr>
          <w:ilvl w:val="0"/>
          <w:numId w:val="58"/>
        </w:numPr>
        <w:adjustRightInd w:val="0"/>
        <w:snapToGrid w:val="0"/>
        <w:spacing w:before="78" w:line="360" w:lineRule="auto"/>
        <w:rPr>
          <w:sz w:val="24"/>
        </w:rPr>
      </w:pPr>
      <w:r>
        <w:rPr>
          <w:sz w:val="24"/>
        </w:rPr>
        <w:t>《辽宁省</w:t>
      </w:r>
      <w:r>
        <w:rPr>
          <w:rFonts w:hint="eastAsia"/>
          <w:sz w:val="24"/>
        </w:rPr>
        <w:t>“</w:t>
      </w:r>
      <w:r>
        <w:rPr>
          <w:sz w:val="24"/>
        </w:rPr>
        <w:t>十四五</w:t>
      </w:r>
      <w:r>
        <w:rPr>
          <w:rFonts w:hint="eastAsia"/>
          <w:sz w:val="24"/>
        </w:rPr>
        <w:t>”</w:t>
      </w:r>
      <w:r>
        <w:rPr>
          <w:sz w:val="24"/>
        </w:rPr>
        <w:t>生态环境保护规划》；</w:t>
      </w:r>
    </w:p>
    <w:p w14:paraId="5F67951C">
      <w:pPr>
        <w:numPr>
          <w:ilvl w:val="0"/>
          <w:numId w:val="58"/>
        </w:numPr>
        <w:adjustRightInd w:val="0"/>
        <w:snapToGrid w:val="0"/>
        <w:spacing w:before="78" w:line="360" w:lineRule="auto"/>
        <w:rPr>
          <w:sz w:val="24"/>
        </w:rPr>
      </w:pPr>
      <w:r>
        <w:rPr>
          <w:rFonts w:hint="eastAsia"/>
          <w:sz w:val="24"/>
        </w:rPr>
        <w:t>《阜新市国民经济和社会发展第十四个五年规划和二〇三五年远景目标纲要》（阜政发[2021] 3号）；</w:t>
      </w:r>
    </w:p>
    <w:p w14:paraId="23D032EF">
      <w:pPr>
        <w:numPr>
          <w:ilvl w:val="0"/>
          <w:numId w:val="58"/>
        </w:numPr>
        <w:adjustRightInd w:val="0"/>
        <w:snapToGrid w:val="0"/>
        <w:spacing w:before="78" w:line="360" w:lineRule="auto"/>
        <w:rPr>
          <w:sz w:val="24"/>
        </w:rPr>
      </w:pPr>
      <w:r>
        <w:rPr>
          <w:rFonts w:hint="eastAsia"/>
          <w:sz w:val="24"/>
        </w:rPr>
        <w:t>《阜新市“十四五”生态环境保护规划》（阜政办发[2023]8号）；</w:t>
      </w:r>
    </w:p>
    <w:p w14:paraId="7FC9A6AB">
      <w:pPr>
        <w:numPr>
          <w:ilvl w:val="0"/>
          <w:numId w:val="58"/>
        </w:numPr>
        <w:adjustRightInd w:val="0"/>
        <w:snapToGrid w:val="0"/>
        <w:spacing w:before="78" w:line="360" w:lineRule="auto"/>
        <w:rPr>
          <w:sz w:val="24"/>
        </w:rPr>
      </w:pPr>
      <w:r>
        <w:rPr>
          <w:sz w:val="24"/>
        </w:rPr>
        <w:t>《阜新市国土空间总体规划》（2021-2035年）</w:t>
      </w:r>
      <w:r>
        <w:rPr>
          <w:rFonts w:hint="eastAsia"/>
          <w:sz w:val="24"/>
        </w:rPr>
        <w:t>；</w:t>
      </w:r>
    </w:p>
    <w:p w14:paraId="44C540D3">
      <w:pPr>
        <w:numPr>
          <w:ilvl w:val="0"/>
          <w:numId w:val="58"/>
        </w:numPr>
        <w:adjustRightInd w:val="0"/>
        <w:snapToGrid w:val="0"/>
        <w:spacing w:before="78" w:line="360" w:lineRule="auto"/>
        <w:rPr>
          <w:sz w:val="24"/>
        </w:rPr>
      </w:pPr>
      <w:r>
        <w:rPr>
          <w:rFonts w:hint="eastAsia"/>
          <w:sz w:val="24"/>
        </w:rPr>
        <w:t>《</w:t>
      </w:r>
      <w:r>
        <w:rPr>
          <w:sz w:val="24"/>
        </w:rPr>
        <w:t>阜新蒙古族自治县国土空间总体规划</w:t>
      </w:r>
      <w:r>
        <w:rPr>
          <w:rFonts w:hint="eastAsia"/>
          <w:sz w:val="24"/>
        </w:rPr>
        <w:t>》（2021-2035年）；</w:t>
      </w:r>
    </w:p>
    <w:p w14:paraId="4996EAEF">
      <w:pPr>
        <w:numPr>
          <w:ilvl w:val="0"/>
          <w:numId w:val="58"/>
        </w:numPr>
        <w:adjustRightInd w:val="0"/>
        <w:snapToGrid w:val="0"/>
        <w:spacing w:before="78" w:line="360" w:lineRule="auto"/>
        <w:rPr>
          <w:sz w:val="24"/>
        </w:rPr>
      </w:pPr>
      <w:r>
        <w:rPr>
          <w:sz w:val="24"/>
        </w:rPr>
        <w:t>《辽宁省生态功能区划》（2004年4月）；</w:t>
      </w:r>
    </w:p>
    <w:p w14:paraId="3DBFA8D8">
      <w:pPr>
        <w:numPr>
          <w:ilvl w:val="0"/>
          <w:numId w:val="58"/>
        </w:numPr>
        <w:adjustRightInd w:val="0"/>
        <w:snapToGrid w:val="0"/>
        <w:spacing w:before="78" w:line="360" w:lineRule="auto"/>
        <w:rPr>
          <w:sz w:val="24"/>
        </w:rPr>
      </w:pPr>
      <w:r>
        <w:rPr>
          <w:sz w:val="24"/>
        </w:rPr>
        <w:t>《辽宁省主体功能区规划》（2014年5月）。</w:t>
      </w:r>
    </w:p>
    <w:bookmarkEnd w:id="29"/>
    <w:p w14:paraId="7CBD397C">
      <w:pPr>
        <w:pStyle w:val="5"/>
        <w:rPr>
          <w:color w:val="auto"/>
        </w:rPr>
      </w:pPr>
      <w:r>
        <w:rPr>
          <w:color w:val="auto"/>
        </w:rPr>
        <w:t>2.1.</w:t>
      </w:r>
      <w:r>
        <w:rPr>
          <w:rFonts w:hint="eastAsia"/>
          <w:color w:val="auto"/>
        </w:rPr>
        <w:t>5</w:t>
      </w:r>
      <w:r>
        <w:rPr>
          <w:color w:val="auto"/>
        </w:rPr>
        <w:t>技术导则与规范</w:t>
      </w:r>
    </w:p>
    <w:p w14:paraId="02535425">
      <w:pPr>
        <w:numPr>
          <w:ilvl w:val="0"/>
          <w:numId w:val="58"/>
        </w:numPr>
        <w:adjustRightInd w:val="0"/>
        <w:snapToGrid w:val="0"/>
        <w:spacing w:before="78" w:line="360" w:lineRule="auto"/>
        <w:rPr>
          <w:sz w:val="24"/>
        </w:rPr>
      </w:pPr>
      <w:r>
        <w:rPr>
          <w:sz w:val="24"/>
        </w:rPr>
        <w:t>《建设项目环境影响评价技术导则  总纲》（HJ2.1-2016）；</w:t>
      </w:r>
    </w:p>
    <w:p w14:paraId="51CFB9ED">
      <w:pPr>
        <w:numPr>
          <w:ilvl w:val="0"/>
          <w:numId w:val="58"/>
        </w:numPr>
        <w:adjustRightInd w:val="0"/>
        <w:snapToGrid w:val="0"/>
        <w:spacing w:before="78" w:line="360" w:lineRule="auto"/>
        <w:rPr>
          <w:sz w:val="24"/>
        </w:rPr>
      </w:pPr>
      <w:r>
        <w:rPr>
          <w:sz w:val="24"/>
        </w:rPr>
        <w:t>《环境影响评价技术导则  大气环境》（HJ2.2-2018）；</w:t>
      </w:r>
    </w:p>
    <w:p w14:paraId="291C9291">
      <w:pPr>
        <w:numPr>
          <w:ilvl w:val="0"/>
          <w:numId w:val="58"/>
        </w:numPr>
        <w:adjustRightInd w:val="0"/>
        <w:snapToGrid w:val="0"/>
        <w:spacing w:before="78" w:line="360" w:lineRule="auto"/>
        <w:rPr>
          <w:sz w:val="24"/>
        </w:rPr>
      </w:pPr>
      <w:r>
        <w:rPr>
          <w:sz w:val="24"/>
        </w:rPr>
        <w:t>《环境影响评价技术导则  地表水环境》（HJ2.3-2018）；</w:t>
      </w:r>
    </w:p>
    <w:p w14:paraId="482F8A82">
      <w:pPr>
        <w:numPr>
          <w:ilvl w:val="0"/>
          <w:numId w:val="58"/>
        </w:numPr>
        <w:adjustRightInd w:val="0"/>
        <w:snapToGrid w:val="0"/>
        <w:spacing w:before="78" w:line="360" w:lineRule="auto"/>
        <w:rPr>
          <w:sz w:val="24"/>
        </w:rPr>
      </w:pPr>
      <w:r>
        <w:rPr>
          <w:sz w:val="24"/>
        </w:rPr>
        <w:t>《环境影响评价技术导则  声环境》（HJ2.4-2021）；</w:t>
      </w:r>
    </w:p>
    <w:p w14:paraId="62E18227">
      <w:pPr>
        <w:numPr>
          <w:ilvl w:val="0"/>
          <w:numId w:val="58"/>
        </w:numPr>
        <w:adjustRightInd w:val="0"/>
        <w:snapToGrid w:val="0"/>
        <w:spacing w:before="78" w:line="360" w:lineRule="auto"/>
        <w:rPr>
          <w:sz w:val="24"/>
        </w:rPr>
      </w:pPr>
      <w:r>
        <w:rPr>
          <w:sz w:val="24"/>
        </w:rPr>
        <w:t>《环境影响评价技术导则  地下水环境》（HJ610-2016）；</w:t>
      </w:r>
    </w:p>
    <w:p w14:paraId="004B05B6">
      <w:pPr>
        <w:numPr>
          <w:ilvl w:val="0"/>
          <w:numId w:val="58"/>
        </w:numPr>
        <w:adjustRightInd w:val="0"/>
        <w:snapToGrid w:val="0"/>
        <w:spacing w:before="78" w:line="360" w:lineRule="auto"/>
        <w:rPr>
          <w:sz w:val="24"/>
        </w:rPr>
      </w:pPr>
      <w:r>
        <w:rPr>
          <w:sz w:val="24"/>
        </w:rPr>
        <w:t>《环境影响评价技术导则  生态环境》（HJ19-2022）；</w:t>
      </w:r>
    </w:p>
    <w:p w14:paraId="5926CE0A">
      <w:pPr>
        <w:numPr>
          <w:ilvl w:val="0"/>
          <w:numId w:val="58"/>
        </w:numPr>
        <w:adjustRightInd w:val="0"/>
        <w:snapToGrid w:val="0"/>
        <w:spacing w:before="78" w:line="360" w:lineRule="auto"/>
        <w:rPr>
          <w:sz w:val="24"/>
        </w:rPr>
      </w:pPr>
      <w:r>
        <w:rPr>
          <w:sz w:val="24"/>
        </w:rPr>
        <w:t>《环境影响评价技术导则  土壤环境（试行）》（HJ964-2018）；</w:t>
      </w:r>
    </w:p>
    <w:p w14:paraId="40BB34F1">
      <w:pPr>
        <w:numPr>
          <w:ilvl w:val="0"/>
          <w:numId w:val="58"/>
        </w:numPr>
        <w:adjustRightInd w:val="0"/>
        <w:snapToGrid w:val="0"/>
        <w:spacing w:before="78" w:line="360" w:lineRule="auto"/>
        <w:rPr>
          <w:sz w:val="24"/>
        </w:rPr>
      </w:pPr>
      <w:r>
        <w:rPr>
          <w:sz w:val="24"/>
        </w:rPr>
        <w:t>《建设项目环境风险评价技术导则》（HJ169-2018）；</w:t>
      </w:r>
    </w:p>
    <w:p w14:paraId="4938FAC6">
      <w:pPr>
        <w:numPr>
          <w:ilvl w:val="0"/>
          <w:numId w:val="58"/>
        </w:numPr>
        <w:adjustRightInd w:val="0"/>
        <w:snapToGrid w:val="0"/>
        <w:spacing w:before="78" w:line="360" w:lineRule="auto"/>
        <w:rPr>
          <w:sz w:val="24"/>
        </w:rPr>
      </w:pPr>
      <w:r>
        <w:rPr>
          <w:sz w:val="24"/>
        </w:rPr>
        <w:t>《钢铁行业采选矿工艺污染防治最佳可行性技术指南（试行）》（HJ-BAT-003）；</w:t>
      </w:r>
    </w:p>
    <w:p w14:paraId="29F9505A">
      <w:pPr>
        <w:numPr>
          <w:ilvl w:val="0"/>
          <w:numId w:val="58"/>
        </w:numPr>
        <w:adjustRightInd w:val="0"/>
        <w:snapToGrid w:val="0"/>
        <w:spacing w:before="78" w:line="360" w:lineRule="auto"/>
        <w:rPr>
          <w:sz w:val="24"/>
        </w:rPr>
      </w:pPr>
      <w:r>
        <w:rPr>
          <w:sz w:val="24"/>
        </w:rPr>
        <w:t>《铁矿石采选企业污水处理技术规范》（GB∕T 33815-2017）；</w:t>
      </w:r>
    </w:p>
    <w:p w14:paraId="5C8C5F0A">
      <w:pPr>
        <w:numPr>
          <w:ilvl w:val="0"/>
          <w:numId w:val="58"/>
        </w:numPr>
        <w:adjustRightInd w:val="0"/>
        <w:snapToGrid w:val="0"/>
        <w:spacing w:before="78" w:line="360" w:lineRule="auto"/>
        <w:rPr>
          <w:sz w:val="24"/>
        </w:rPr>
      </w:pPr>
      <w:r>
        <w:rPr>
          <w:sz w:val="24"/>
        </w:rPr>
        <w:t>《排污单位自行监测技术指南 总则》（HJ819-2017）；</w:t>
      </w:r>
    </w:p>
    <w:p w14:paraId="1026F461">
      <w:pPr>
        <w:numPr>
          <w:ilvl w:val="0"/>
          <w:numId w:val="58"/>
        </w:numPr>
        <w:adjustRightInd w:val="0"/>
        <w:snapToGrid w:val="0"/>
        <w:spacing w:before="78" w:line="360" w:lineRule="auto"/>
        <w:rPr>
          <w:sz w:val="24"/>
        </w:rPr>
      </w:pPr>
      <w:bookmarkStart w:id="30" w:name="_Hlk149305380"/>
      <w:bookmarkStart w:id="31" w:name="_Hlk195001101"/>
      <w:r>
        <w:rPr>
          <w:sz w:val="24"/>
        </w:rPr>
        <w:t>《固体废物再生利用污染防治技术导则》（HJ1091-2020）；</w:t>
      </w:r>
    </w:p>
    <w:bookmarkEnd w:id="30"/>
    <w:p w14:paraId="4179D660">
      <w:pPr>
        <w:numPr>
          <w:ilvl w:val="0"/>
          <w:numId w:val="58"/>
        </w:numPr>
        <w:adjustRightInd w:val="0"/>
        <w:snapToGrid w:val="0"/>
        <w:spacing w:before="78" w:line="360" w:lineRule="auto"/>
        <w:rPr>
          <w:sz w:val="24"/>
        </w:rPr>
      </w:pPr>
      <w:r>
        <w:rPr>
          <w:sz w:val="24"/>
        </w:rPr>
        <w:t>《固体废物处理处置工程技术导则》（HJ 2035-2013）；</w:t>
      </w:r>
    </w:p>
    <w:p w14:paraId="2ED99E61">
      <w:pPr>
        <w:numPr>
          <w:ilvl w:val="0"/>
          <w:numId w:val="58"/>
        </w:numPr>
        <w:adjustRightInd w:val="0"/>
        <w:snapToGrid w:val="0"/>
        <w:spacing w:before="78" w:line="360" w:lineRule="auto"/>
        <w:rPr>
          <w:sz w:val="24"/>
        </w:rPr>
      </w:pPr>
      <w:r>
        <w:rPr>
          <w:rFonts w:hint="eastAsia"/>
          <w:sz w:val="24"/>
        </w:rPr>
        <w:t>《固体废物鉴别标准  通则》（GB34330-2025）；</w:t>
      </w:r>
    </w:p>
    <w:p w14:paraId="7A21EFFF">
      <w:pPr>
        <w:numPr>
          <w:ilvl w:val="0"/>
          <w:numId w:val="58"/>
        </w:numPr>
        <w:adjustRightInd w:val="0"/>
        <w:snapToGrid w:val="0"/>
        <w:spacing w:before="78" w:line="360" w:lineRule="auto"/>
        <w:rPr>
          <w:sz w:val="24"/>
        </w:rPr>
      </w:pPr>
      <w:bookmarkStart w:id="32" w:name="OLE_LINK46"/>
      <w:r>
        <w:rPr>
          <w:rFonts w:hint="eastAsia"/>
          <w:sz w:val="24"/>
        </w:rPr>
        <w:t>《固体废物分类与代码目录》（生态环境部公告2024年第4号）</w:t>
      </w:r>
      <w:bookmarkEnd w:id="32"/>
      <w:r>
        <w:rPr>
          <w:rFonts w:hint="eastAsia"/>
          <w:sz w:val="24"/>
        </w:rPr>
        <w:t>；</w:t>
      </w:r>
    </w:p>
    <w:p w14:paraId="63EE9C24">
      <w:pPr>
        <w:numPr>
          <w:ilvl w:val="0"/>
          <w:numId w:val="58"/>
        </w:numPr>
        <w:adjustRightInd w:val="0"/>
        <w:snapToGrid w:val="0"/>
        <w:spacing w:before="78" w:line="360" w:lineRule="auto"/>
        <w:rPr>
          <w:sz w:val="24"/>
        </w:rPr>
      </w:pPr>
      <w:r>
        <w:rPr>
          <w:rFonts w:hint="eastAsia"/>
          <w:sz w:val="24"/>
        </w:rPr>
        <w:t>《</w:t>
      </w:r>
      <w:r>
        <w:rPr>
          <w:sz w:val="24"/>
        </w:rPr>
        <w:t>危险废物管理计划和管理台账制定技术导则</w:t>
      </w:r>
      <w:r>
        <w:rPr>
          <w:rFonts w:hint="eastAsia"/>
          <w:sz w:val="24"/>
        </w:rPr>
        <w:t>》（HJ1259-2022）；</w:t>
      </w:r>
    </w:p>
    <w:p w14:paraId="030102A6">
      <w:pPr>
        <w:numPr>
          <w:ilvl w:val="0"/>
          <w:numId w:val="58"/>
        </w:numPr>
        <w:adjustRightInd w:val="0"/>
        <w:snapToGrid w:val="0"/>
        <w:spacing w:before="78" w:line="360" w:lineRule="auto"/>
        <w:rPr>
          <w:sz w:val="24"/>
        </w:rPr>
      </w:pPr>
      <w:r>
        <w:rPr>
          <w:sz w:val="24"/>
        </w:rPr>
        <w:t>《一般固体废物分类与代码 》（GB</w:t>
      </w:r>
      <w:r>
        <w:rPr>
          <w:rFonts w:hint="eastAsia"/>
          <w:sz w:val="24"/>
        </w:rPr>
        <w:t>/</w:t>
      </w:r>
      <w:r>
        <w:rPr>
          <w:sz w:val="24"/>
        </w:rPr>
        <w:t>T39198-2020）；</w:t>
      </w:r>
    </w:p>
    <w:p w14:paraId="58CF5B44">
      <w:pPr>
        <w:numPr>
          <w:ilvl w:val="0"/>
          <w:numId w:val="58"/>
        </w:numPr>
        <w:adjustRightInd w:val="0"/>
        <w:snapToGrid w:val="0"/>
        <w:spacing w:before="78" w:line="360" w:lineRule="auto"/>
        <w:rPr>
          <w:sz w:val="24"/>
        </w:rPr>
      </w:pPr>
      <w:r>
        <w:rPr>
          <w:sz w:val="24"/>
        </w:rPr>
        <w:t>《一般工业固体废物管理台账制定指南（试行）》公告2021年第82号</w:t>
      </w:r>
      <w:r>
        <w:rPr>
          <w:rFonts w:hint="eastAsia"/>
          <w:sz w:val="24"/>
        </w:rPr>
        <w:t>。</w:t>
      </w:r>
    </w:p>
    <w:bookmarkEnd w:id="31"/>
    <w:p w14:paraId="25ED2C0E">
      <w:pPr>
        <w:pStyle w:val="5"/>
        <w:rPr>
          <w:color w:val="auto"/>
        </w:rPr>
      </w:pPr>
      <w:r>
        <w:rPr>
          <w:color w:val="auto"/>
        </w:rPr>
        <w:t>2.1.</w:t>
      </w:r>
      <w:r>
        <w:rPr>
          <w:rFonts w:hint="eastAsia"/>
          <w:color w:val="auto"/>
        </w:rPr>
        <w:t>6</w:t>
      </w:r>
      <w:r>
        <w:rPr>
          <w:color w:val="auto"/>
        </w:rPr>
        <w:t>技术文件</w:t>
      </w:r>
    </w:p>
    <w:p w14:paraId="16BFD23B">
      <w:pPr>
        <w:numPr>
          <w:ilvl w:val="0"/>
          <w:numId w:val="58"/>
        </w:numPr>
        <w:wordWrap w:val="0"/>
        <w:adjustRightInd w:val="0"/>
        <w:snapToGrid w:val="0"/>
        <w:spacing w:before="78" w:line="360" w:lineRule="auto"/>
        <w:rPr>
          <w:sz w:val="24"/>
        </w:rPr>
      </w:pPr>
      <w:r>
        <w:rPr>
          <w:sz w:val="24"/>
        </w:rPr>
        <w:t>《环评委托书》，阜新鸿泽废旧资源利用有限公司，202</w:t>
      </w:r>
      <w:r>
        <w:rPr>
          <w:rFonts w:hint="eastAsia"/>
          <w:sz w:val="24"/>
        </w:rPr>
        <w:t>4</w:t>
      </w:r>
      <w:r>
        <w:rPr>
          <w:sz w:val="24"/>
        </w:rPr>
        <w:t>年0</w:t>
      </w:r>
      <w:r>
        <w:rPr>
          <w:rFonts w:hint="eastAsia"/>
          <w:sz w:val="24"/>
        </w:rPr>
        <w:t>4</w:t>
      </w:r>
      <w:r>
        <w:rPr>
          <w:sz w:val="24"/>
        </w:rPr>
        <w:t>月。</w:t>
      </w:r>
    </w:p>
    <w:p w14:paraId="57F0DD4D">
      <w:pPr>
        <w:numPr>
          <w:ilvl w:val="0"/>
          <w:numId w:val="58"/>
        </w:numPr>
        <w:wordWrap w:val="0"/>
        <w:adjustRightInd w:val="0"/>
        <w:snapToGrid w:val="0"/>
        <w:spacing w:before="78" w:line="360" w:lineRule="auto"/>
        <w:rPr>
          <w:sz w:val="24"/>
        </w:rPr>
      </w:pPr>
      <w:r>
        <w:rPr>
          <w:sz w:val="24"/>
        </w:rPr>
        <w:t>阜新鸿泽废旧资源利用有限公司提供的</w:t>
      </w:r>
      <w:r>
        <w:rPr>
          <w:rFonts w:hint="eastAsia"/>
          <w:sz w:val="24"/>
          <w:lang w:eastAsia="zh-CN"/>
        </w:rPr>
        <w:t>其他</w:t>
      </w:r>
      <w:r>
        <w:rPr>
          <w:sz w:val="24"/>
        </w:rPr>
        <w:t>相关资料；</w:t>
      </w:r>
    </w:p>
    <w:p w14:paraId="4E66B1D5">
      <w:pPr>
        <w:pStyle w:val="4"/>
        <w:rPr>
          <w:rFonts w:ascii="Times New Roman" w:hAnsi="Times New Roman" w:eastAsia="宋体"/>
          <w:color w:val="auto"/>
        </w:rPr>
      </w:pPr>
      <w:bookmarkStart w:id="33" w:name="_Toc17475950"/>
      <w:bookmarkStart w:id="34" w:name="_Toc239274262"/>
      <w:r>
        <w:rPr>
          <w:rFonts w:ascii="Times New Roman" w:hAnsi="Times New Roman" w:eastAsia="宋体"/>
          <w:color w:val="auto"/>
        </w:rPr>
        <w:t>2.2环境影响识别与评价因子筛选</w:t>
      </w:r>
      <w:bookmarkEnd w:id="33"/>
      <w:bookmarkEnd w:id="34"/>
    </w:p>
    <w:p w14:paraId="54C11092">
      <w:pPr>
        <w:pStyle w:val="5"/>
        <w:rPr>
          <w:color w:val="auto"/>
        </w:rPr>
      </w:pPr>
      <w:r>
        <w:rPr>
          <w:color w:val="auto"/>
        </w:rPr>
        <w:t xml:space="preserve">2.2.1环境影响因素识别 </w:t>
      </w:r>
    </w:p>
    <w:p w14:paraId="0DA582DD">
      <w:pPr>
        <w:adjustRightInd w:val="0"/>
        <w:snapToGrid w:val="0"/>
        <w:spacing w:before="93" w:beforeLines="30" w:after="93" w:afterLines="30" w:line="360" w:lineRule="auto"/>
        <w:ind w:firstLine="480" w:firstLineChars="200"/>
        <w:rPr>
          <w:sz w:val="24"/>
          <w:szCs w:val="20"/>
        </w:rPr>
      </w:pPr>
      <w:r>
        <w:rPr>
          <w:sz w:val="24"/>
          <w:szCs w:val="20"/>
        </w:rPr>
        <w:t>通过对本项目环境影响因素及污染物排放分析，并结合类似工程的环境影响类比调查，本项目的环境影响要素筛选见表2.2-1。</w:t>
      </w:r>
    </w:p>
    <w:p w14:paraId="219A1940">
      <w:pPr>
        <w:pStyle w:val="143"/>
        <w:spacing w:before="0" w:beforeLines="0"/>
      </w:pPr>
      <w:r>
        <w:rPr>
          <w:b/>
          <w:bCs w:val="0"/>
        </w:rPr>
        <w:t>表2.2-1  环境影响因素识别表</w:t>
      </w:r>
    </w:p>
    <w:tbl>
      <w:tblPr>
        <w:tblStyle w:val="89"/>
        <w:tblW w:w="500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28" w:type="dxa"/>
          <w:bottom w:w="0" w:type="dxa"/>
          <w:right w:w="28" w:type="dxa"/>
        </w:tblCellMar>
      </w:tblPr>
      <w:tblGrid>
        <w:gridCol w:w="832"/>
        <w:gridCol w:w="1557"/>
        <w:gridCol w:w="1129"/>
        <w:gridCol w:w="916"/>
        <w:gridCol w:w="1001"/>
        <w:gridCol w:w="862"/>
        <w:gridCol w:w="1001"/>
        <w:gridCol w:w="1027"/>
      </w:tblGrid>
      <w:tr w14:paraId="54CACC5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389" w:hRule="atLeast"/>
          <w:jc w:val="center"/>
        </w:trPr>
        <w:tc>
          <w:tcPr>
            <w:tcW w:w="500" w:type="pct"/>
            <w:vMerge w:val="restart"/>
            <w:tcBorders>
              <w:tl2br w:val="nil"/>
              <w:tr2bl w:val="nil"/>
            </w:tcBorders>
            <w:vAlign w:val="center"/>
          </w:tcPr>
          <w:p w14:paraId="2FC7723C">
            <w:pPr>
              <w:snapToGrid w:val="0"/>
              <w:spacing w:before="0" w:beforeLines="0" w:line="240" w:lineRule="auto"/>
              <w:jc w:val="center"/>
              <w:rPr>
                <w:szCs w:val="21"/>
              </w:rPr>
            </w:pPr>
            <w:r>
              <w:rPr>
                <w:szCs w:val="21"/>
              </w:rPr>
              <w:t>时段</w:t>
            </w:r>
          </w:p>
        </w:tc>
        <w:tc>
          <w:tcPr>
            <w:tcW w:w="935" w:type="pct"/>
            <w:vMerge w:val="restart"/>
            <w:tcBorders>
              <w:tl2br w:val="nil"/>
              <w:tr2bl w:val="nil"/>
            </w:tcBorders>
            <w:vAlign w:val="center"/>
          </w:tcPr>
          <w:p w14:paraId="1176344D">
            <w:pPr>
              <w:snapToGrid w:val="0"/>
              <w:spacing w:before="0" w:beforeLines="0" w:line="240" w:lineRule="auto"/>
              <w:jc w:val="center"/>
              <w:rPr>
                <w:szCs w:val="21"/>
              </w:rPr>
            </w:pPr>
            <w:r>
              <w:rPr>
                <w:szCs w:val="21"/>
              </w:rPr>
              <w:t>影响因素</w:t>
            </w:r>
          </w:p>
        </w:tc>
        <w:tc>
          <w:tcPr>
            <w:tcW w:w="3565" w:type="pct"/>
            <w:gridSpan w:val="6"/>
            <w:tcBorders>
              <w:tl2br w:val="nil"/>
              <w:tr2bl w:val="nil"/>
            </w:tcBorders>
            <w:vAlign w:val="center"/>
          </w:tcPr>
          <w:p w14:paraId="7EC132E7">
            <w:pPr>
              <w:snapToGrid w:val="0"/>
              <w:spacing w:before="0" w:beforeLines="0" w:line="240" w:lineRule="auto"/>
              <w:jc w:val="center"/>
              <w:rPr>
                <w:szCs w:val="21"/>
              </w:rPr>
            </w:pPr>
            <w:r>
              <w:rPr>
                <w:szCs w:val="21"/>
              </w:rPr>
              <w:t>环境要素</w:t>
            </w:r>
          </w:p>
        </w:tc>
      </w:tr>
      <w:tr w14:paraId="5D3E27E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389" w:hRule="atLeast"/>
          <w:jc w:val="center"/>
        </w:trPr>
        <w:tc>
          <w:tcPr>
            <w:tcW w:w="500" w:type="pct"/>
            <w:vMerge w:val="continue"/>
            <w:tcBorders>
              <w:tl2br w:val="nil"/>
              <w:tr2bl w:val="nil"/>
            </w:tcBorders>
            <w:vAlign w:val="center"/>
          </w:tcPr>
          <w:p w14:paraId="030D17C5">
            <w:pPr>
              <w:snapToGrid w:val="0"/>
              <w:spacing w:before="0" w:beforeLines="0" w:line="240" w:lineRule="auto"/>
              <w:jc w:val="center"/>
              <w:rPr>
                <w:szCs w:val="21"/>
              </w:rPr>
            </w:pPr>
          </w:p>
        </w:tc>
        <w:tc>
          <w:tcPr>
            <w:tcW w:w="935" w:type="pct"/>
            <w:vMerge w:val="continue"/>
            <w:tcBorders>
              <w:tl2br w:val="nil"/>
              <w:tr2bl w:val="nil"/>
            </w:tcBorders>
            <w:vAlign w:val="center"/>
          </w:tcPr>
          <w:p w14:paraId="285599F7">
            <w:pPr>
              <w:snapToGrid w:val="0"/>
              <w:spacing w:before="0" w:beforeLines="0" w:line="240" w:lineRule="auto"/>
              <w:jc w:val="center"/>
              <w:rPr>
                <w:szCs w:val="21"/>
              </w:rPr>
            </w:pPr>
          </w:p>
        </w:tc>
        <w:tc>
          <w:tcPr>
            <w:tcW w:w="678" w:type="pct"/>
            <w:tcBorders>
              <w:tl2br w:val="nil"/>
              <w:tr2bl w:val="nil"/>
            </w:tcBorders>
            <w:vAlign w:val="center"/>
          </w:tcPr>
          <w:p w14:paraId="77005173">
            <w:pPr>
              <w:snapToGrid w:val="0"/>
              <w:spacing w:before="0" w:beforeLines="0" w:line="240" w:lineRule="auto"/>
              <w:jc w:val="center"/>
              <w:rPr>
                <w:szCs w:val="21"/>
              </w:rPr>
            </w:pPr>
            <w:r>
              <w:rPr>
                <w:szCs w:val="21"/>
              </w:rPr>
              <w:t>大气环境</w:t>
            </w:r>
          </w:p>
        </w:tc>
        <w:tc>
          <w:tcPr>
            <w:tcW w:w="550" w:type="pct"/>
            <w:tcBorders>
              <w:tl2br w:val="nil"/>
              <w:tr2bl w:val="nil"/>
            </w:tcBorders>
            <w:vAlign w:val="center"/>
          </w:tcPr>
          <w:p w14:paraId="6241ACE0">
            <w:pPr>
              <w:snapToGrid w:val="0"/>
              <w:spacing w:before="0" w:beforeLines="0" w:line="240" w:lineRule="auto"/>
              <w:jc w:val="center"/>
              <w:rPr>
                <w:szCs w:val="21"/>
              </w:rPr>
            </w:pPr>
            <w:r>
              <w:rPr>
                <w:szCs w:val="21"/>
              </w:rPr>
              <w:t>地表水</w:t>
            </w:r>
          </w:p>
        </w:tc>
        <w:tc>
          <w:tcPr>
            <w:tcW w:w="601" w:type="pct"/>
            <w:tcBorders>
              <w:tl2br w:val="nil"/>
              <w:tr2bl w:val="nil"/>
            </w:tcBorders>
            <w:vAlign w:val="center"/>
          </w:tcPr>
          <w:p w14:paraId="0C91F035">
            <w:pPr>
              <w:snapToGrid w:val="0"/>
              <w:spacing w:before="0" w:beforeLines="0" w:line="240" w:lineRule="auto"/>
              <w:jc w:val="center"/>
              <w:rPr>
                <w:szCs w:val="21"/>
              </w:rPr>
            </w:pPr>
            <w:r>
              <w:rPr>
                <w:szCs w:val="21"/>
              </w:rPr>
              <w:t>地下水</w:t>
            </w:r>
          </w:p>
        </w:tc>
        <w:tc>
          <w:tcPr>
            <w:tcW w:w="518" w:type="pct"/>
            <w:tcBorders>
              <w:tl2br w:val="nil"/>
              <w:tr2bl w:val="nil"/>
            </w:tcBorders>
            <w:vAlign w:val="center"/>
          </w:tcPr>
          <w:p w14:paraId="55B8EB22">
            <w:pPr>
              <w:snapToGrid w:val="0"/>
              <w:spacing w:before="0" w:beforeLines="0" w:line="240" w:lineRule="auto"/>
              <w:jc w:val="center"/>
              <w:rPr>
                <w:szCs w:val="21"/>
              </w:rPr>
            </w:pPr>
            <w:r>
              <w:rPr>
                <w:szCs w:val="21"/>
              </w:rPr>
              <w:t>声环境</w:t>
            </w:r>
          </w:p>
        </w:tc>
        <w:tc>
          <w:tcPr>
            <w:tcW w:w="601" w:type="pct"/>
            <w:tcBorders>
              <w:tl2br w:val="nil"/>
              <w:tr2bl w:val="nil"/>
            </w:tcBorders>
            <w:vAlign w:val="center"/>
          </w:tcPr>
          <w:p w14:paraId="322154F0">
            <w:pPr>
              <w:snapToGrid w:val="0"/>
              <w:spacing w:before="0" w:beforeLines="0" w:line="240" w:lineRule="auto"/>
              <w:jc w:val="center"/>
              <w:rPr>
                <w:szCs w:val="21"/>
              </w:rPr>
            </w:pPr>
            <w:r>
              <w:rPr>
                <w:szCs w:val="21"/>
              </w:rPr>
              <w:t>生态</w:t>
            </w:r>
          </w:p>
        </w:tc>
        <w:tc>
          <w:tcPr>
            <w:tcW w:w="617" w:type="pct"/>
            <w:tcBorders>
              <w:tl2br w:val="nil"/>
              <w:tr2bl w:val="nil"/>
            </w:tcBorders>
            <w:vAlign w:val="center"/>
          </w:tcPr>
          <w:p w14:paraId="43C45002">
            <w:pPr>
              <w:snapToGrid w:val="0"/>
              <w:spacing w:before="0" w:beforeLines="0" w:line="240" w:lineRule="auto"/>
              <w:jc w:val="center"/>
              <w:rPr>
                <w:szCs w:val="21"/>
              </w:rPr>
            </w:pPr>
            <w:r>
              <w:rPr>
                <w:szCs w:val="21"/>
              </w:rPr>
              <w:t>环境风险</w:t>
            </w:r>
          </w:p>
        </w:tc>
      </w:tr>
      <w:tr w14:paraId="341E926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389" w:hRule="atLeast"/>
          <w:jc w:val="center"/>
        </w:trPr>
        <w:tc>
          <w:tcPr>
            <w:tcW w:w="500" w:type="pct"/>
            <w:vMerge w:val="restart"/>
            <w:tcBorders>
              <w:tl2br w:val="nil"/>
              <w:tr2bl w:val="nil"/>
            </w:tcBorders>
            <w:vAlign w:val="center"/>
          </w:tcPr>
          <w:p w14:paraId="348CC3B2">
            <w:pPr>
              <w:snapToGrid w:val="0"/>
              <w:spacing w:before="0" w:beforeLines="0" w:line="240" w:lineRule="auto"/>
              <w:jc w:val="center"/>
              <w:rPr>
                <w:szCs w:val="21"/>
              </w:rPr>
            </w:pPr>
            <w:r>
              <w:rPr>
                <w:szCs w:val="21"/>
              </w:rPr>
              <w:t>施工期</w:t>
            </w:r>
          </w:p>
        </w:tc>
        <w:tc>
          <w:tcPr>
            <w:tcW w:w="935" w:type="pct"/>
            <w:tcBorders>
              <w:tl2br w:val="nil"/>
              <w:tr2bl w:val="nil"/>
            </w:tcBorders>
            <w:vAlign w:val="center"/>
          </w:tcPr>
          <w:p w14:paraId="173C5F28">
            <w:pPr>
              <w:snapToGrid w:val="0"/>
              <w:spacing w:before="0" w:beforeLines="0" w:line="240" w:lineRule="auto"/>
              <w:jc w:val="center"/>
              <w:rPr>
                <w:szCs w:val="21"/>
              </w:rPr>
            </w:pPr>
            <w:r>
              <w:rPr>
                <w:szCs w:val="21"/>
              </w:rPr>
              <w:t>基础开挖及回填</w:t>
            </w:r>
          </w:p>
        </w:tc>
        <w:tc>
          <w:tcPr>
            <w:tcW w:w="678" w:type="pct"/>
            <w:tcBorders>
              <w:tl2br w:val="nil"/>
              <w:tr2bl w:val="nil"/>
            </w:tcBorders>
            <w:vAlign w:val="center"/>
          </w:tcPr>
          <w:p w14:paraId="021B2CB2">
            <w:pPr>
              <w:snapToGrid w:val="0"/>
              <w:spacing w:before="0" w:beforeLines="0" w:line="240" w:lineRule="auto"/>
              <w:jc w:val="center"/>
              <w:rPr>
                <w:szCs w:val="21"/>
              </w:rPr>
            </w:pPr>
            <w:r>
              <w:rPr>
                <w:szCs w:val="21"/>
              </w:rPr>
              <w:t>-1D</w:t>
            </w:r>
          </w:p>
        </w:tc>
        <w:tc>
          <w:tcPr>
            <w:tcW w:w="550" w:type="pct"/>
            <w:tcBorders>
              <w:tl2br w:val="nil"/>
              <w:tr2bl w:val="nil"/>
            </w:tcBorders>
            <w:vAlign w:val="center"/>
          </w:tcPr>
          <w:p w14:paraId="678E4DC0">
            <w:pPr>
              <w:snapToGrid w:val="0"/>
              <w:spacing w:before="0" w:beforeLines="0" w:line="240" w:lineRule="auto"/>
              <w:jc w:val="center"/>
              <w:rPr>
                <w:szCs w:val="21"/>
              </w:rPr>
            </w:pPr>
          </w:p>
        </w:tc>
        <w:tc>
          <w:tcPr>
            <w:tcW w:w="601" w:type="pct"/>
            <w:tcBorders>
              <w:tl2br w:val="nil"/>
              <w:tr2bl w:val="nil"/>
            </w:tcBorders>
            <w:vAlign w:val="center"/>
          </w:tcPr>
          <w:p w14:paraId="5949BB95">
            <w:pPr>
              <w:snapToGrid w:val="0"/>
              <w:spacing w:before="0" w:beforeLines="0" w:line="240" w:lineRule="auto"/>
              <w:jc w:val="center"/>
              <w:rPr>
                <w:szCs w:val="21"/>
              </w:rPr>
            </w:pPr>
          </w:p>
        </w:tc>
        <w:tc>
          <w:tcPr>
            <w:tcW w:w="518" w:type="pct"/>
            <w:tcBorders>
              <w:tl2br w:val="nil"/>
              <w:tr2bl w:val="nil"/>
            </w:tcBorders>
            <w:vAlign w:val="center"/>
          </w:tcPr>
          <w:p w14:paraId="7CAE2522">
            <w:pPr>
              <w:snapToGrid w:val="0"/>
              <w:spacing w:before="0" w:beforeLines="0" w:line="240" w:lineRule="auto"/>
              <w:jc w:val="center"/>
              <w:rPr>
                <w:szCs w:val="21"/>
              </w:rPr>
            </w:pPr>
            <w:r>
              <w:rPr>
                <w:szCs w:val="21"/>
              </w:rPr>
              <w:t>-2D</w:t>
            </w:r>
          </w:p>
        </w:tc>
        <w:tc>
          <w:tcPr>
            <w:tcW w:w="601" w:type="pct"/>
            <w:tcBorders>
              <w:tl2br w:val="nil"/>
              <w:tr2bl w:val="nil"/>
            </w:tcBorders>
            <w:vAlign w:val="center"/>
          </w:tcPr>
          <w:p w14:paraId="3FD379AB">
            <w:pPr>
              <w:snapToGrid w:val="0"/>
              <w:spacing w:before="0" w:beforeLines="0" w:line="240" w:lineRule="auto"/>
              <w:jc w:val="center"/>
              <w:rPr>
                <w:szCs w:val="21"/>
              </w:rPr>
            </w:pPr>
            <w:r>
              <w:rPr>
                <w:szCs w:val="21"/>
              </w:rPr>
              <w:t>-1D</w:t>
            </w:r>
          </w:p>
        </w:tc>
        <w:tc>
          <w:tcPr>
            <w:tcW w:w="617" w:type="pct"/>
            <w:tcBorders>
              <w:tl2br w:val="nil"/>
              <w:tr2bl w:val="nil"/>
            </w:tcBorders>
            <w:vAlign w:val="center"/>
          </w:tcPr>
          <w:p w14:paraId="2EEF79C0">
            <w:pPr>
              <w:snapToGrid w:val="0"/>
              <w:spacing w:before="0" w:beforeLines="0" w:line="240" w:lineRule="auto"/>
              <w:jc w:val="center"/>
              <w:rPr>
                <w:szCs w:val="21"/>
              </w:rPr>
            </w:pPr>
          </w:p>
        </w:tc>
      </w:tr>
      <w:tr w14:paraId="395F0F5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389" w:hRule="atLeast"/>
          <w:jc w:val="center"/>
        </w:trPr>
        <w:tc>
          <w:tcPr>
            <w:tcW w:w="500" w:type="pct"/>
            <w:vMerge w:val="continue"/>
            <w:tcBorders>
              <w:tl2br w:val="nil"/>
              <w:tr2bl w:val="nil"/>
            </w:tcBorders>
            <w:vAlign w:val="center"/>
          </w:tcPr>
          <w:p w14:paraId="13E3DA48">
            <w:pPr>
              <w:snapToGrid w:val="0"/>
              <w:spacing w:before="0" w:beforeLines="0" w:line="240" w:lineRule="auto"/>
              <w:jc w:val="center"/>
              <w:rPr>
                <w:szCs w:val="21"/>
              </w:rPr>
            </w:pPr>
          </w:p>
        </w:tc>
        <w:tc>
          <w:tcPr>
            <w:tcW w:w="935" w:type="pct"/>
            <w:tcBorders>
              <w:tl2br w:val="nil"/>
              <w:tr2bl w:val="nil"/>
            </w:tcBorders>
            <w:vAlign w:val="center"/>
          </w:tcPr>
          <w:p w14:paraId="2739B39B">
            <w:pPr>
              <w:snapToGrid w:val="0"/>
              <w:spacing w:before="0" w:beforeLines="0" w:line="240" w:lineRule="auto"/>
              <w:jc w:val="center"/>
              <w:rPr>
                <w:szCs w:val="21"/>
              </w:rPr>
            </w:pPr>
            <w:r>
              <w:rPr>
                <w:szCs w:val="21"/>
              </w:rPr>
              <w:t>材料、废物运输</w:t>
            </w:r>
          </w:p>
        </w:tc>
        <w:tc>
          <w:tcPr>
            <w:tcW w:w="678" w:type="pct"/>
            <w:tcBorders>
              <w:tl2br w:val="nil"/>
              <w:tr2bl w:val="nil"/>
            </w:tcBorders>
            <w:vAlign w:val="center"/>
          </w:tcPr>
          <w:p w14:paraId="6BAC04AB">
            <w:pPr>
              <w:snapToGrid w:val="0"/>
              <w:spacing w:before="0" w:beforeLines="0" w:line="240" w:lineRule="auto"/>
              <w:jc w:val="center"/>
              <w:rPr>
                <w:szCs w:val="21"/>
              </w:rPr>
            </w:pPr>
            <w:r>
              <w:rPr>
                <w:szCs w:val="21"/>
              </w:rPr>
              <w:t>-1D</w:t>
            </w:r>
          </w:p>
        </w:tc>
        <w:tc>
          <w:tcPr>
            <w:tcW w:w="550" w:type="pct"/>
            <w:tcBorders>
              <w:tl2br w:val="nil"/>
              <w:tr2bl w:val="nil"/>
            </w:tcBorders>
            <w:vAlign w:val="center"/>
          </w:tcPr>
          <w:p w14:paraId="413BF946">
            <w:pPr>
              <w:snapToGrid w:val="0"/>
              <w:spacing w:before="0" w:beforeLines="0" w:line="240" w:lineRule="auto"/>
              <w:jc w:val="center"/>
              <w:rPr>
                <w:szCs w:val="21"/>
              </w:rPr>
            </w:pPr>
          </w:p>
        </w:tc>
        <w:tc>
          <w:tcPr>
            <w:tcW w:w="601" w:type="pct"/>
            <w:tcBorders>
              <w:tl2br w:val="nil"/>
              <w:tr2bl w:val="nil"/>
            </w:tcBorders>
            <w:vAlign w:val="center"/>
          </w:tcPr>
          <w:p w14:paraId="34D6D4A9">
            <w:pPr>
              <w:snapToGrid w:val="0"/>
              <w:spacing w:before="0" w:beforeLines="0" w:line="240" w:lineRule="auto"/>
              <w:jc w:val="center"/>
              <w:rPr>
                <w:szCs w:val="21"/>
              </w:rPr>
            </w:pPr>
          </w:p>
        </w:tc>
        <w:tc>
          <w:tcPr>
            <w:tcW w:w="518" w:type="pct"/>
            <w:tcBorders>
              <w:tl2br w:val="nil"/>
              <w:tr2bl w:val="nil"/>
            </w:tcBorders>
            <w:vAlign w:val="center"/>
          </w:tcPr>
          <w:p w14:paraId="30A93641">
            <w:pPr>
              <w:snapToGrid w:val="0"/>
              <w:spacing w:before="0" w:beforeLines="0" w:line="240" w:lineRule="auto"/>
              <w:jc w:val="center"/>
              <w:rPr>
                <w:szCs w:val="21"/>
              </w:rPr>
            </w:pPr>
            <w:r>
              <w:rPr>
                <w:szCs w:val="21"/>
              </w:rPr>
              <w:t>-2D</w:t>
            </w:r>
          </w:p>
        </w:tc>
        <w:tc>
          <w:tcPr>
            <w:tcW w:w="601" w:type="pct"/>
            <w:tcBorders>
              <w:tl2br w:val="nil"/>
              <w:tr2bl w:val="nil"/>
            </w:tcBorders>
            <w:vAlign w:val="center"/>
          </w:tcPr>
          <w:p w14:paraId="669333CD">
            <w:pPr>
              <w:snapToGrid w:val="0"/>
              <w:spacing w:before="0" w:beforeLines="0" w:line="240" w:lineRule="auto"/>
              <w:jc w:val="center"/>
              <w:rPr>
                <w:szCs w:val="21"/>
              </w:rPr>
            </w:pPr>
          </w:p>
        </w:tc>
        <w:tc>
          <w:tcPr>
            <w:tcW w:w="617" w:type="pct"/>
            <w:tcBorders>
              <w:tl2br w:val="nil"/>
              <w:tr2bl w:val="nil"/>
            </w:tcBorders>
            <w:vAlign w:val="center"/>
          </w:tcPr>
          <w:p w14:paraId="383737A9">
            <w:pPr>
              <w:snapToGrid w:val="0"/>
              <w:spacing w:before="0" w:beforeLines="0" w:line="240" w:lineRule="auto"/>
              <w:jc w:val="center"/>
              <w:rPr>
                <w:szCs w:val="21"/>
              </w:rPr>
            </w:pPr>
          </w:p>
        </w:tc>
      </w:tr>
      <w:tr w14:paraId="7DEC93B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389" w:hRule="atLeast"/>
          <w:jc w:val="center"/>
        </w:trPr>
        <w:tc>
          <w:tcPr>
            <w:tcW w:w="500" w:type="pct"/>
            <w:vMerge w:val="continue"/>
            <w:tcBorders>
              <w:tl2br w:val="nil"/>
              <w:tr2bl w:val="nil"/>
            </w:tcBorders>
            <w:vAlign w:val="center"/>
          </w:tcPr>
          <w:p w14:paraId="0EDD0269">
            <w:pPr>
              <w:snapToGrid w:val="0"/>
              <w:spacing w:before="0" w:beforeLines="0" w:line="240" w:lineRule="auto"/>
              <w:jc w:val="center"/>
              <w:rPr>
                <w:szCs w:val="21"/>
              </w:rPr>
            </w:pPr>
          </w:p>
        </w:tc>
        <w:tc>
          <w:tcPr>
            <w:tcW w:w="935" w:type="pct"/>
            <w:tcBorders>
              <w:tl2br w:val="nil"/>
              <w:tr2bl w:val="nil"/>
            </w:tcBorders>
            <w:vAlign w:val="center"/>
          </w:tcPr>
          <w:p w14:paraId="4FB21C48">
            <w:pPr>
              <w:snapToGrid w:val="0"/>
              <w:spacing w:before="0" w:beforeLines="0" w:line="240" w:lineRule="auto"/>
              <w:jc w:val="center"/>
              <w:rPr>
                <w:szCs w:val="21"/>
              </w:rPr>
            </w:pPr>
            <w:r>
              <w:rPr>
                <w:szCs w:val="21"/>
              </w:rPr>
              <w:t>土建施工</w:t>
            </w:r>
          </w:p>
        </w:tc>
        <w:tc>
          <w:tcPr>
            <w:tcW w:w="678" w:type="pct"/>
            <w:tcBorders>
              <w:tl2br w:val="nil"/>
              <w:tr2bl w:val="nil"/>
            </w:tcBorders>
            <w:vAlign w:val="center"/>
          </w:tcPr>
          <w:p w14:paraId="7EF3E173">
            <w:pPr>
              <w:snapToGrid w:val="0"/>
              <w:spacing w:before="0" w:beforeLines="0" w:line="240" w:lineRule="auto"/>
              <w:jc w:val="center"/>
              <w:rPr>
                <w:szCs w:val="21"/>
              </w:rPr>
            </w:pPr>
            <w:r>
              <w:rPr>
                <w:szCs w:val="21"/>
              </w:rPr>
              <w:t>-1D</w:t>
            </w:r>
          </w:p>
        </w:tc>
        <w:tc>
          <w:tcPr>
            <w:tcW w:w="550" w:type="pct"/>
            <w:tcBorders>
              <w:tl2br w:val="nil"/>
              <w:tr2bl w:val="nil"/>
            </w:tcBorders>
            <w:vAlign w:val="center"/>
          </w:tcPr>
          <w:p w14:paraId="6D1CFD2C">
            <w:pPr>
              <w:snapToGrid w:val="0"/>
              <w:spacing w:before="0" w:beforeLines="0" w:line="240" w:lineRule="auto"/>
              <w:jc w:val="center"/>
              <w:rPr>
                <w:szCs w:val="21"/>
              </w:rPr>
            </w:pPr>
          </w:p>
        </w:tc>
        <w:tc>
          <w:tcPr>
            <w:tcW w:w="601" w:type="pct"/>
            <w:tcBorders>
              <w:tl2br w:val="nil"/>
              <w:tr2bl w:val="nil"/>
            </w:tcBorders>
            <w:vAlign w:val="center"/>
          </w:tcPr>
          <w:p w14:paraId="0C297FB1">
            <w:pPr>
              <w:snapToGrid w:val="0"/>
              <w:spacing w:before="0" w:beforeLines="0" w:line="240" w:lineRule="auto"/>
              <w:jc w:val="center"/>
              <w:rPr>
                <w:szCs w:val="21"/>
              </w:rPr>
            </w:pPr>
          </w:p>
        </w:tc>
        <w:tc>
          <w:tcPr>
            <w:tcW w:w="518" w:type="pct"/>
            <w:tcBorders>
              <w:tl2br w:val="nil"/>
              <w:tr2bl w:val="nil"/>
            </w:tcBorders>
            <w:vAlign w:val="center"/>
          </w:tcPr>
          <w:p w14:paraId="2F1462C6">
            <w:pPr>
              <w:snapToGrid w:val="0"/>
              <w:spacing w:before="0" w:beforeLines="0" w:line="240" w:lineRule="auto"/>
              <w:jc w:val="center"/>
              <w:rPr>
                <w:szCs w:val="21"/>
              </w:rPr>
            </w:pPr>
            <w:r>
              <w:rPr>
                <w:szCs w:val="21"/>
              </w:rPr>
              <w:t>-1D</w:t>
            </w:r>
          </w:p>
        </w:tc>
        <w:tc>
          <w:tcPr>
            <w:tcW w:w="601" w:type="pct"/>
            <w:tcBorders>
              <w:tl2br w:val="nil"/>
              <w:tr2bl w:val="nil"/>
            </w:tcBorders>
            <w:vAlign w:val="center"/>
          </w:tcPr>
          <w:p w14:paraId="3C1E059F">
            <w:pPr>
              <w:snapToGrid w:val="0"/>
              <w:spacing w:before="0" w:beforeLines="0" w:line="240" w:lineRule="auto"/>
              <w:jc w:val="center"/>
              <w:rPr>
                <w:szCs w:val="21"/>
              </w:rPr>
            </w:pPr>
          </w:p>
        </w:tc>
        <w:tc>
          <w:tcPr>
            <w:tcW w:w="617" w:type="pct"/>
            <w:tcBorders>
              <w:tl2br w:val="nil"/>
              <w:tr2bl w:val="nil"/>
            </w:tcBorders>
            <w:vAlign w:val="center"/>
          </w:tcPr>
          <w:p w14:paraId="66CA675F">
            <w:pPr>
              <w:snapToGrid w:val="0"/>
              <w:spacing w:before="0" w:beforeLines="0" w:line="240" w:lineRule="auto"/>
              <w:jc w:val="center"/>
              <w:rPr>
                <w:szCs w:val="21"/>
              </w:rPr>
            </w:pPr>
          </w:p>
        </w:tc>
      </w:tr>
      <w:tr w14:paraId="4B440B2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389" w:hRule="atLeast"/>
          <w:jc w:val="center"/>
        </w:trPr>
        <w:tc>
          <w:tcPr>
            <w:tcW w:w="500" w:type="pct"/>
            <w:vMerge w:val="continue"/>
            <w:tcBorders>
              <w:tl2br w:val="nil"/>
              <w:tr2bl w:val="nil"/>
            </w:tcBorders>
            <w:vAlign w:val="center"/>
          </w:tcPr>
          <w:p w14:paraId="77EB6BAE">
            <w:pPr>
              <w:snapToGrid w:val="0"/>
              <w:spacing w:before="0" w:beforeLines="0" w:line="240" w:lineRule="auto"/>
              <w:jc w:val="center"/>
              <w:rPr>
                <w:szCs w:val="21"/>
              </w:rPr>
            </w:pPr>
          </w:p>
        </w:tc>
        <w:tc>
          <w:tcPr>
            <w:tcW w:w="935" w:type="pct"/>
            <w:tcBorders>
              <w:tl2br w:val="nil"/>
              <w:tr2bl w:val="nil"/>
            </w:tcBorders>
            <w:vAlign w:val="center"/>
          </w:tcPr>
          <w:p w14:paraId="1D8EE5D4">
            <w:pPr>
              <w:snapToGrid w:val="0"/>
              <w:spacing w:before="0" w:beforeLines="0" w:line="240" w:lineRule="auto"/>
              <w:jc w:val="center"/>
              <w:rPr>
                <w:szCs w:val="21"/>
              </w:rPr>
            </w:pPr>
            <w:r>
              <w:rPr>
                <w:szCs w:val="21"/>
              </w:rPr>
              <w:t>设备安装</w:t>
            </w:r>
          </w:p>
        </w:tc>
        <w:tc>
          <w:tcPr>
            <w:tcW w:w="678" w:type="pct"/>
            <w:tcBorders>
              <w:tl2br w:val="nil"/>
              <w:tr2bl w:val="nil"/>
            </w:tcBorders>
            <w:vAlign w:val="center"/>
          </w:tcPr>
          <w:p w14:paraId="0E13B3FC">
            <w:pPr>
              <w:snapToGrid w:val="0"/>
              <w:spacing w:before="0" w:beforeLines="0" w:line="240" w:lineRule="auto"/>
              <w:jc w:val="center"/>
              <w:rPr>
                <w:szCs w:val="21"/>
              </w:rPr>
            </w:pPr>
          </w:p>
        </w:tc>
        <w:tc>
          <w:tcPr>
            <w:tcW w:w="550" w:type="pct"/>
            <w:tcBorders>
              <w:tl2br w:val="nil"/>
              <w:tr2bl w:val="nil"/>
            </w:tcBorders>
            <w:vAlign w:val="center"/>
          </w:tcPr>
          <w:p w14:paraId="24EC8657">
            <w:pPr>
              <w:snapToGrid w:val="0"/>
              <w:spacing w:before="0" w:beforeLines="0" w:line="240" w:lineRule="auto"/>
              <w:jc w:val="center"/>
              <w:rPr>
                <w:szCs w:val="21"/>
              </w:rPr>
            </w:pPr>
          </w:p>
        </w:tc>
        <w:tc>
          <w:tcPr>
            <w:tcW w:w="601" w:type="pct"/>
            <w:tcBorders>
              <w:tl2br w:val="nil"/>
              <w:tr2bl w:val="nil"/>
            </w:tcBorders>
            <w:vAlign w:val="center"/>
          </w:tcPr>
          <w:p w14:paraId="20EA8F80">
            <w:pPr>
              <w:snapToGrid w:val="0"/>
              <w:spacing w:before="0" w:beforeLines="0" w:line="240" w:lineRule="auto"/>
              <w:jc w:val="center"/>
              <w:rPr>
                <w:szCs w:val="21"/>
              </w:rPr>
            </w:pPr>
          </w:p>
        </w:tc>
        <w:tc>
          <w:tcPr>
            <w:tcW w:w="518" w:type="pct"/>
            <w:tcBorders>
              <w:tl2br w:val="nil"/>
              <w:tr2bl w:val="nil"/>
            </w:tcBorders>
            <w:vAlign w:val="center"/>
          </w:tcPr>
          <w:p w14:paraId="618FD772">
            <w:pPr>
              <w:snapToGrid w:val="0"/>
              <w:spacing w:before="0" w:beforeLines="0" w:line="240" w:lineRule="auto"/>
              <w:jc w:val="center"/>
              <w:rPr>
                <w:szCs w:val="21"/>
              </w:rPr>
            </w:pPr>
            <w:r>
              <w:rPr>
                <w:szCs w:val="21"/>
              </w:rPr>
              <w:t>-1D</w:t>
            </w:r>
          </w:p>
        </w:tc>
        <w:tc>
          <w:tcPr>
            <w:tcW w:w="601" w:type="pct"/>
            <w:tcBorders>
              <w:tl2br w:val="nil"/>
              <w:tr2bl w:val="nil"/>
            </w:tcBorders>
            <w:vAlign w:val="center"/>
          </w:tcPr>
          <w:p w14:paraId="66492839">
            <w:pPr>
              <w:snapToGrid w:val="0"/>
              <w:spacing w:before="0" w:beforeLines="0" w:line="240" w:lineRule="auto"/>
              <w:jc w:val="center"/>
              <w:rPr>
                <w:szCs w:val="21"/>
              </w:rPr>
            </w:pPr>
          </w:p>
        </w:tc>
        <w:tc>
          <w:tcPr>
            <w:tcW w:w="617" w:type="pct"/>
            <w:tcBorders>
              <w:tl2br w:val="nil"/>
              <w:tr2bl w:val="nil"/>
            </w:tcBorders>
            <w:vAlign w:val="center"/>
          </w:tcPr>
          <w:p w14:paraId="1F98FD8F">
            <w:pPr>
              <w:snapToGrid w:val="0"/>
              <w:spacing w:before="0" w:beforeLines="0" w:line="240" w:lineRule="auto"/>
              <w:jc w:val="center"/>
              <w:rPr>
                <w:szCs w:val="21"/>
              </w:rPr>
            </w:pPr>
          </w:p>
        </w:tc>
      </w:tr>
      <w:tr w14:paraId="448D20A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389" w:hRule="atLeast"/>
          <w:jc w:val="center"/>
        </w:trPr>
        <w:tc>
          <w:tcPr>
            <w:tcW w:w="500" w:type="pct"/>
            <w:vMerge w:val="continue"/>
            <w:tcBorders>
              <w:tl2br w:val="nil"/>
              <w:tr2bl w:val="nil"/>
            </w:tcBorders>
            <w:vAlign w:val="center"/>
          </w:tcPr>
          <w:p w14:paraId="0C6D87FB">
            <w:pPr>
              <w:snapToGrid w:val="0"/>
              <w:spacing w:before="0" w:beforeLines="0" w:line="240" w:lineRule="auto"/>
              <w:jc w:val="center"/>
              <w:rPr>
                <w:szCs w:val="21"/>
              </w:rPr>
            </w:pPr>
          </w:p>
        </w:tc>
        <w:tc>
          <w:tcPr>
            <w:tcW w:w="935" w:type="pct"/>
            <w:tcBorders>
              <w:tl2br w:val="nil"/>
              <w:tr2bl w:val="nil"/>
            </w:tcBorders>
            <w:vAlign w:val="center"/>
          </w:tcPr>
          <w:p w14:paraId="6106585C">
            <w:pPr>
              <w:snapToGrid w:val="0"/>
              <w:spacing w:before="0" w:beforeLines="0" w:line="240" w:lineRule="auto"/>
              <w:jc w:val="center"/>
              <w:rPr>
                <w:szCs w:val="21"/>
              </w:rPr>
            </w:pPr>
            <w:r>
              <w:rPr>
                <w:szCs w:val="21"/>
              </w:rPr>
              <w:t>施工人员生活</w:t>
            </w:r>
          </w:p>
        </w:tc>
        <w:tc>
          <w:tcPr>
            <w:tcW w:w="678" w:type="pct"/>
            <w:tcBorders>
              <w:tl2br w:val="nil"/>
              <w:tr2bl w:val="nil"/>
            </w:tcBorders>
            <w:vAlign w:val="center"/>
          </w:tcPr>
          <w:p w14:paraId="4B78B9C2">
            <w:pPr>
              <w:snapToGrid w:val="0"/>
              <w:spacing w:before="0" w:beforeLines="0" w:line="240" w:lineRule="auto"/>
              <w:jc w:val="center"/>
              <w:rPr>
                <w:szCs w:val="21"/>
              </w:rPr>
            </w:pPr>
          </w:p>
        </w:tc>
        <w:tc>
          <w:tcPr>
            <w:tcW w:w="550" w:type="pct"/>
            <w:tcBorders>
              <w:tl2br w:val="nil"/>
              <w:tr2bl w:val="nil"/>
            </w:tcBorders>
            <w:vAlign w:val="center"/>
          </w:tcPr>
          <w:p w14:paraId="717B1660">
            <w:pPr>
              <w:snapToGrid w:val="0"/>
              <w:spacing w:before="0" w:beforeLines="0" w:line="240" w:lineRule="auto"/>
              <w:jc w:val="center"/>
              <w:rPr>
                <w:szCs w:val="21"/>
              </w:rPr>
            </w:pPr>
            <w:r>
              <w:rPr>
                <w:szCs w:val="21"/>
              </w:rPr>
              <w:t>-1D</w:t>
            </w:r>
          </w:p>
        </w:tc>
        <w:tc>
          <w:tcPr>
            <w:tcW w:w="601" w:type="pct"/>
            <w:tcBorders>
              <w:tl2br w:val="nil"/>
              <w:tr2bl w:val="nil"/>
            </w:tcBorders>
            <w:vAlign w:val="center"/>
          </w:tcPr>
          <w:p w14:paraId="1A1644FB">
            <w:pPr>
              <w:snapToGrid w:val="0"/>
              <w:spacing w:before="0" w:beforeLines="0" w:line="240" w:lineRule="auto"/>
              <w:jc w:val="center"/>
              <w:rPr>
                <w:szCs w:val="21"/>
              </w:rPr>
            </w:pPr>
            <w:r>
              <w:rPr>
                <w:szCs w:val="21"/>
              </w:rPr>
              <w:t>-1D</w:t>
            </w:r>
          </w:p>
        </w:tc>
        <w:tc>
          <w:tcPr>
            <w:tcW w:w="518" w:type="pct"/>
            <w:tcBorders>
              <w:tl2br w:val="nil"/>
              <w:tr2bl w:val="nil"/>
            </w:tcBorders>
            <w:vAlign w:val="center"/>
          </w:tcPr>
          <w:p w14:paraId="63611E6F">
            <w:pPr>
              <w:snapToGrid w:val="0"/>
              <w:spacing w:before="0" w:beforeLines="0" w:line="240" w:lineRule="auto"/>
              <w:jc w:val="center"/>
              <w:rPr>
                <w:szCs w:val="21"/>
              </w:rPr>
            </w:pPr>
          </w:p>
        </w:tc>
        <w:tc>
          <w:tcPr>
            <w:tcW w:w="601" w:type="pct"/>
            <w:tcBorders>
              <w:tl2br w:val="nil"/>
              <w:tr2bl w:val="nil"/>
            </w:tcBorders>
            <w:vAlign w:val="center"/>
          </w:tcPr>
          <w:p w14:paraId="1FD96C95">
            <w:pPr>
              <w:snapToGrid w:val="0"/>
              <w:spacing w:before="0" w:beforeLines="0" w:line="240" w:lineRule="auto"/>
              <w:jc w:val="center"/>
              <w:rPr>
                <w:szCs w:val="21"/>
              </w:rPr>
            </w:pPr>
          </w:p>
        </w:tc>
        <w:tc>
          <w:tcPr>
            <w:tcW w:w="617" w:type="pct"/>
            <w:tcBorders>
              <w:tl2br w:val="nil"/>
              <w:tr2bl w:val="nil"/>
            </w:tcBorders>
            <w:vAlign w:val="center"/>
          </w:tcPr>
          <w:p w14:paraId="732744F3">
            <w:pPr>
              <w:snapToGrid w:val="0"/>
              <w:spacing w:before="0" w:beforeLines="0" w:line="240" w:lineRule="auto"/>
              <w:jc w:val="center"/>
              <w:rPr>
                <w:szCs w:val="21"/>
              </w:rPr>
            </w:pPr>
          </w:p>
        </w:tc>
      </w:tr>
      <w:tr w14:paraId="3C6495A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389" w:hRule="atLeast"/>
          <w:jc w:val="center"/>
        </w:trPr>
        <w:tc>
          <w:tcPr>
            <w:tcW w:w="500" w:type="pct"/>
            <w:vMerge w:val="restart"/>
            <w:tcBorders>
              <w:tl2br w:val="nil"/>
              <w:tr2bl w:val="nil"/>
            </w:tcBorders>
            <w:vAlign w:val="center"/>
          </w:tcPr>
          <w:p w14:paraId="752A829A">
            <w:pPr>
              <w:snapToGrid w:val="0"/>
              <w:spacing w:before="0" w:beforeLines="0" w:line="240" w:lineRule="auto"/>
              <w:jc w:val="center"/>
              <w:rPr>
                <w:szCs w:val="21"/>
              </w:rPr>
            </w:pPr>
            <w:r>
              <w:rPr>
                <w:szCs w:val="21"/>
              </w:rPr>
              <w:t>营运期</w:t>
            </w:r>
          </w:p>
        </w:tc>
        <w:tc>
          <w:tcPr>
            <w:tcW w:w="935" w:type="pct"/>
            <w:tcBorders>
              <w:tl2br w:val="nil"/>
              <w:tr2bl w:val="nil"/>
            </w:tcBorders>
            <w:tcMar>
              <w:left w:w="28" w:type="dxa"/>
              <w:right w:w="28" w:type="dxa"/>
            </w:tcMar>
            <w:vAlign w:val="center"/>
          </w:tcPr>
          <w:p w14:paraId="7AE14946">
            <w:pPr>
              <w:snapToGrid w:val="0"/>
              <w:spacing w:before="0" w:beforeLines="0" w:line="240" w:lineRule="auto"/>
              <w:jc w:val="center"/>
              <w:rPr>
                <w:szCs w:val="21"/>
              </w:rPr>
            </w:pPr>
            <w:r>
              <w:rPr>
                <w:szCs w:val="21"/>
              </w:rPr>
              <w:t>物料运输</w:t>
            </w:r>
          </w:p>
        </w:tc>
        <w:tc>
          <w:tcPr>
            <w:tcW w:w="678" w:type="pct"/>
            <w:tcBorders>
              <w:tl2br w:val="nil"/>
              <w:tr2bl w:val="nil"/>
            </w:tcBorders>
            <w:vAlign w:val="center"/>
          </w:tcPr>
          <w:p w14:paraId="2FC50209">
            <w:pPr>
              <w:snapToGrid w:val="0"/>
              <w:spacing w:before="0" w:beforeLines="0" w:line="240" w:lineRule="auto"/>
              <w:jc w:val="center"/>
              <w:rPr>
                <w:szCs w:val="21"/>
              </w:rPr>
            </w:pPr>
            <w:r>
              <w:rPr>
                <w:szCs w:val="21"/>
              </w:rPr>
              <w:t>-1C</w:t>
            </w:r>
          </w:p>
        </w:tc>
        <w:tc>
          <w:tcPr>
            <w:tcW w:w="550" w:type="pct"/>
            <w:tcBorders>
              <w:tl2br w:val="nil"/>
              <w:tr2bl w:val="nil"/>
            </w:tcBorders>
            <w:vAlign w:val="center"/>
          </w:tcPr>
          <w:p w14:paraId="33EBD3A2">
            <w:pPr>
              <w:snapToGrid w:val="0"/>
              <w:spacing w:before="0" w:beforeLines="0" w:line="240" w:lineRule="auto"/>
              <w:jc w:val="center"/>
              <w:rPr>
                <w:szCs w:val="21"/>
              </w:rPr>
            </w:pPr>
          </w:p>
        </w:tc>
        <w:tc>
          <w:tcPr>
            <w:tcW w:w="601" w:type="pct"/>
            <w:tcBorders>
              <w:tl2br w:val="nil"/>
              <w:tr2bl w:val="nil"/>
            </w:tcBorders>
            <w:vAlign w:val="center"/>
          </w:tcPr>
          <w:p w14:paraId="7922C8D0">
            <w:pPr>
              <w:snapToGrid w:val="0"/>
              <w:spacing w:before="0" w:beforeLines="0" w:line="240" w:lineRule="auto"/>
              <w:jc w:val="center"/>
              <w:rPr>
                <w:szCs w:val="21"/>
              </w:rPr>
            </w:pPr>
          </w:p>
        </w:tc>
        <w:tc>
          <w:tcPr>
            <w:tcW w:w="518" w:type="pct"/>
            <w:tcBorders>
              <w:tl2br w:val="nil"/>
              <w:tr2bl w:val="nil"/>
            </w:tcBorders>
            <w:vAlign w:val="center"/>
          </w:tcPr>
          <w:p w14:paraId="467EC108">
            <w:pPr>
              <w:snapToGrid w:val="0"/>
              <w:spacing w:before="0" w:beforeLines="0" w:line="240" w:lineRule="auto"/>
              <w:jc w:val="center"/>
              <w:rPr>
                <w:szCs w:val="21"/>
              </w:rPr>
            </w:pPr>
            <w:r>
              <w:rPr>
                <w:szCs w:val="21"/>
              </w:rPr>
              <w:t>-2C</w:t>
            </w:r>
          </w:p>
        </w:tc>
        <w:tc>
          <w:tcPr>
            <w:tcW w:w="601" w:type="pct"/>
            <w:tcBorders>
              <w:tl2br w:val="nil"/>
              <w:tr2bl w:val="nil"/>
            </w:tcBorders>
            <w:vAlign w:val="center"/>
          </w:tcPr>
          <w:p w14:paraId="07C03849">
            <w:pPr>
              <w:snapToGrid w:val="0"/>
              <w:spacing w:before="0" w:beforeLines="0" w:line="240" w:lineRule="auto"/>
              <w:jc w:val="center"/>
              <w:rPr>
                <w:szCs w:val="21"/>
              </w:rPr>
            </w:pPr>
          </w:p>
        </w:tc>
        <w:tc>
          <w:tcPr>
            <w:tcW w:w="617" w:type="pct"/>
            <w:tcBorders>
              <w:tl2br w:val="nil"/>
              <w:tr2bl w:val="nil"/>
            </w:tcBorders>
            <w:vAlign w:val="center"/>
          </w:tcPr>
          <w:p w14:paraId="743BFCF7">
            <w:pPr>
              <w:snapToGrid w:val="0"/>
              <w:spacing w:before="0" w:beforeLines="0" w:line="240" w:lineRule="auto"/>
              <w:jc w:val="center"/>
              <w:rPr>
                <w:szCs w:val="21"/>
              </w:rPr>
            </w:pPr>
          </w:p>
        </w:tc>
      </w:tr>
      <w:tr w14:paraId="6DFA9E9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389" w:hRule="atLeast"/>
          <w:jc w:val="center"/>
        </w:trPr>
        <w:tc>
          <w:tcPr>
            <w:tcW w:w="500" w:type="pct"/>
            <w:vMerge w:val="continue"/>
            <w:tcBorders>
              <w:tl2br w:val="nil"/>
              <w:tr2bl w:val="nil"/>
            </w:tcBorders>
            <w:vAlign w:val="center"/>
          </w:tcPr>
          <w:p w14:paraId="79CD0BBD">
            <w:pPr>
              <w:snapToGrid w:val="0"/>
              <w:spacing w:before="0" w:beforeLines="0" w:line="240" w:lineRule="auto"/>
              <w:jc w:val="center"/>
              <w:rPr>
                <w:szCs w:val="21"/>
              </w:rPr>
            </w:pPr>
          </w:p>
        </w:tc>
        <w:tc>
          <w:tcPr>
            <w:tcW w:w="935" w:type="pct"/>
            <w:tcBorders>
              <w:tl2br w:val="nil"/>
              <w:tr2bl w:val="nil"/>
            </w:tcBorders>
            <w:tcMar>
              <w:left w:w="28" w:type="dxa"/>
              <w:right w:w="28" w:type="dxa"/>
            </w:tcMar>
            <w:vAlign w:val="center"/>
          </w:tcPr>
          <w:p w14:paraId="4A485216">
            <w:pPr>
              <w:snapToGrid w:val="0"/>
              <w:spacing w:before="0" w:beforeLines="0" w:line="240" w:lineRule="auto"/>
              <w:jc w:val="center"/>
              <w:rPr>
                <w:szCs w:val="21"/>
              </w:rPr>
            </w:pPr>
            <w:r>
              <w:rPr>
                <w:szCs w:val="21"/>
              </w:rPr>
              <w:t>生产过程</w:t>
            </w:r>
          </w:p>
        </w:tc>
        <w:tc>
          <w:tcPr>
            <w:tcW w:w="678" w:type="pct"/>
            <w:tcBorders>
              <w:tl2br w:val="nil"/>
              <w:tr2bl w:val="nil"/>
            </w:tcBorders>
            <w:vAlign w:val="center"/>
          </w:tcPr>
          <w:p w14:paraId="5381FCB8">
            <w:pPr>
              <w:snapToGrid w:val="0"/>
              <w:spacing w:before="0" w:beforeLines="0" w:line="240" w:lineRule="auto"/>
              <w:jc w:val="center"/>
              <w:rPr>
                <w:szCs w:val="21"/>
              </w:rPr>
            </w:pPr>
            <w:r>
              <w:rPr>
                <w:szCs w:val="21"/>
              </w:rPr>
              <w:t>-2C</w:t>
            </w:r>
          </w:p>
        </w:tc>
        <w:tc>
          <w:tcPr>
            <w:tcW w:w="550" w:type="pct"/>
            <w:tcBorders>
              <w:tl2br w:val="nil"/>
              <w:tr2bl w:val="nil"/>
            </w:tcBorders>
            <w:vAlign w:val="center"/>
          </w:tcPr>
          <w:p w14:paraId="3CC8F9CF">
            <w:pPr>
              <w:snapToGrid w:val="0"/>
              <w:spacing w:before="0" w:beforeLines="0" w:line="240" w:lineRule="auto"/>
              <w:jc w:val="center"/>
              <w:rPr>
                <w:szCs w:val="21"/>
              </w:rPr>
            </w:pPr>
            <w:r>
              <w:rPr>
                <w:szCs w:val="21"/>
              </w:rPr>
              <w:t>-1C</w:t>
            </w:r>
          </w:p>
        </w:tc>
        <w:tc>
          <w:tcPr>
            <w:tcW w:w="601" w:type="pct"/>
            <w:tcBorders>
              <w:tl2br w:val="nil"/>
              <w:tr2bl w:val="nil"/>
            </w:tcBorders>
            <w:vAlign w:val="center"/>
          </w:tcPr>
          <w:p w14:paraId="0524414F">
            <w:pPr>
              <w:snapToGrid w:val="0"/>
              <w:spacing w:before="0" w:beforeLines="0" w:line="240" w:lineRule="auto"/>
              <w:jc w:val="center"/>
              <w:rPr>
                <w:szCs w:val="21"/>
              </w:rPr>
            </w:pPr>
            <w:r>
              <w:rPr>
                <w:szCs w:val="21"/>
              </w:rPr>
              <w:t>-1C</w:t>
            </w:r>
          </w:p>
        </w:tc>
        <w:tc>
          <w:tcPr>
            <w:tcW w:w="518" w:type="pct"/>
            <w:tcBorders>
              <w:tl2br w:val="nil"/>
              <w:tr2bl w:val="nil"/>
            </w:tcBorders>
            <w:vAlign w:val="center"/>
          </w:tcPr>
          <w:p w14:paraId="5AEA35A3">
            <w:pPr>
              <w:snapToGrid w:val="0"/>
              <w:spacing w:before="0" w:beforeLines="0" w:line="240" w:lineRule="auto"/>
              <w:jc w:val="center"/>
              <w:rPr>
                <w:szCs w:val="21"/>
              </w:rPr>
            </w:pPr>
            <w:r>
              <w:rPr>
                <w:szCs w:val="21"/>
              </w:rPr>
              <w:t>-2C</w:t>
            </w:r>
          </w:p>
        </w:tc>
        <w:tc>
          <w:tcPr>
            <w:tcW w:w="601" w:type="pct"/>
            <w:tcBorders>
              <w:tl2br w:val="nil"/>
              <w:tr2bl w:val="nil"/>
            </w:tcBorders>
            <w:vAlign w:val="center"/>
          </w:tcPr>
          <w:p w14:paraId="6618820F">
            <w:pPr>
              <w:snapToGrid w:val="0"/>
              <w:spacing w:before="0" w:beforeLines="0" w:line="240" w:lineRule="auto"/>
              <w:jc w:val="center"/>
              <w:rPr>
                <w:szCs w:val="21"/>
              </w:rPr>
            </w:pPr>
          </w:p>
        </w:tc>
        <w:tc>
          <w:tcPr>
            <w:tcW w:w="617" w:type="pct"/>
            <w:tcBorders>
              <w:tl2br w:val="nil"/>
              <w:tr2bl w:val="nil"/>
            </w:tcBorders>
            <w:vAlign w:val="center"/>
          </w:tcPr>
          <w:p w14:paraId="55425D1A">
            <w:pPr>
              <w:snapToGrid w:val="0"/>
              <w:spacing w:before="0" w:beforeLines="0" w:line="240" w:lineRule="auto"/>
              <w:jc w:val="center"/>
              <w:rPr>
                <w:szCs w:val="21"/>
              </w:rPr>
            </w:pPr>
            <w:r>
              <w:rPr>
                <w:szCs w:val="21"/>
              </w:rPr>
              <w:t>-1C</w:t>
            </w:r>
          </w:p>
        </w:tc>
      </w:tr>
      <w:tr w14:paraId="331D3DF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389" w:hRule="atLeast"/>
          <w:jc w:val="center"/>
        </w:trPr>
        <w:tc>
          <w:tcPr>
            <w:tcW w:w="500" w:type="pct"/>
            <w:vMerge w:val="continue"/>
            <w:tcBorders>
              <w:tl2br w:val="nil"/>
              <w:tr2bl w:val="nil"/>
            </w:tcBorders>
            <w:vAlign w:val="center"/>
          </w:tcPr>
          <w:p w14:paraId="42A3C3A7">
            <w:pPr>
              <w:snapToGrid w:val="0"/>
              <w:spacing w:before="0" w:beforeLines="0" w:line="240" w:lineRule="auto"/>
              <w:jc w:val="center"/>
              <w:rPr>
                <w:szCs w:val="21"/>
              </w:rPr>
            </w:pPr>
          </w:p>
        </w:tc>
        <w:tc>
          <w:tcPr>
            <w:tcW w:w="935" w:type="pct"/>
            <w:tcBorders>
              <w:tl2br w:val="nil"/>
              <w:tr2bl w:val="nil"/>
            </w:tcBorders>
            <w:tcMar>
              <w:left w:w="28" w:type="dxa"/>
              <w:right w:w="28" w:type="dxa"/>
            </w:tcMar>
            <w:vAlign w:val="center"/>
          </w:tcPr>
          <w:p w14:paraId="1F95B69C">
            <w:pPr>
              <w:snapToGrid w:val="0"/>
              <w:spacing w:before="0" w:beforeLines="0" w:line="240" w:lineRule="auto"/>
              <w:jc w:val="center"/>
              <w:rPr>
                <w:szCs w:val="21"/>
              </w:rPr>
            </w:pPr>
            <w:r>
              <w:rPr>
                <w:szCs w:val="21"/>
              </w:rPr>
              <w:t>生活设施</w:t>
            </w:r>
          </w:p>
        </w:tc>
        <w:tc>
          <w:tcPr>
            <w:tcW w:w="678" w:type="pct"/>
            <w:tcBorders>
              <w:tl2br w:val="nil"/>
              <w:tr2bl w:val="nil"/>
            </w:tcBorders>
            <w:vAlign w:val="center"/>
          </w:tcPr>
          <w:p w14:paraId="4D8B4973">
            <w:pPr>
              <w:tabs>
                <w:tab w:val="left" w:pos="420"/>
                <w:tab w:val="right" w:leader="dot" w:pos="8296"/>
              </w:tabs>
              <w:snapToGrid w:val="0"/>
              <w:spacing w:before="0" w:beforeLines="0" w:line="240" w:lineRule="auto"/>
              <w:jc w:val="center"/>
              <w:rPr>
                <w:bCs/>
                <w:caps/>
                <w:szCs w:val="21"/>
              </w:rPr>
            </w:pPr>
          </w:p>
        </w:tc>
        <w:tc>
          <w:tcPr>
            <w:tcW w:w="550" w:type="pct"/>
            <w:tcBorders>
              <w:tl2br w:val="nil"/>
              <w:tr2bl w:val="nil"/>
            </w:tcBorders>
            <w:vAlign w:val="center"/>
          </w:tcPr>
          <w:p w14:paraId="738DA541">
            <w:pPr>
              <w:snapToGrid w:val="0"/>
              <w:spacing w:before="0" w:beforeLines="0" w:line="240" w:lineRule="auto"/>
              <w:jc w:val="center"/>
              <w:rPr>
                <w:szCs w:val="21"/>
              </w:rPr>
            </w:pPr>
            <w:r>
              <w:rPr>
                <w:szCs w:val="21"/>
              </w:rPr>
              <w:t>-1C</w:t>
            </w:r>
          </w:p>
        </w:tc>
        <w:tc>
          <w:tcPr>
            <w:tcW w:w="601" w:type="pct"/>
            <w:tcBorders>
              <w:tl2br w:val="nil"/>
              <w:tr2bl w:val="nil"/>
            </w:tcBorders>
            <w:vAlign w:val="center"/>
          </w:tcPr>
          <w:p w14:paraId="1C099EB5">
            <w:pPr>
              <w:snapToGrid w:val="0"/>
              <w:spacing w:before="0" w:beforeLines="0" w:line="240" w:lineRule="auto"/>
              <w:jc w:val="center"/>
              <w:rPr>
                <w:szCs w:val="21"/>
              </w:rPr>
            </w:pPr>
            <w:r>
              <w:rPr>
                <w:szCs w:val="21"/>
              </w:rPr>
              <w:t>-1C</w:t>
            </w:r>
          </w:p>
        </w:tc>
        <w:tc>
          <w:tcPr>
            <w:tcW w:w="518" w:type="pct"/>
            <w:tcBorders>
              <w:tl2br w:val="nil"/>
              <w:tr2bl w:val="nil"/>
            </w:tcBorders>
            <w:vAlign w:val="center"/>
          </w:tcPr>
          <w:p w14:paraId="381A5567">
            <w:pPr>
              <w:snapToGrid w:val="0"/>
              <w:spacing w:before="0" w:beforeLines="0" w:line="240" w:lineRule="auto"/>
              <w:jc w:val="center"/>
              <w:rPr>
                <w:szCs w:val="21"/>
              </w:rPr>
            </w:pPr>
          </w:p>
        </w:tc>
        <w:tc>
          <w:tcPr>
            <w:tcW w:w="601" w:type="pct"/>
            <w:tcBorders>
              <w:tl2br w:val="nil"/>
              <w:tr2bl w:val="nil"/>
            </w:tcBorders>
            <w:vAlign w:val="center"/>
          </w:tcPr>
          <w:p w14:paraId="654B2D7A">
            <w:pPr>
              <w:snapToGrid w:val="0"/>
              <w:spacing w:before="0" w:beforeLines="0" w:line="240" w:lineRule="auto"/>
              <w:jc w:val="center"/>
              <w:rPr>
                <w:szCs w:val="21"/>
              </w:rPr>
            </w:pPr>
          </w:p>
        </w:tc>
        <w:tc>
          <w:tcPr>
            <w:tcW w:w="617" w:type="pct"/>
            <w:tcBorders>
              <w:tl2br w:val="nil"/>
              <w:tr2bl w:val="nil"/>
            </w:tcBorders>
            <w:vAlign w:val="center"/>
          </w:tcPr>
          <w:p w14:paraId="101C9217">
            <w:pPr>
              <w:snapToGrid w:val="0"/>
              <w:spacing w:before="0" w:beforeLines="0" w:line="240" w:lineRule="auto"/>
              <w:jc w:val="center"/>
              <w:rPr>
                <w:szCs w:val="21"/>
              </w:rPr>
            </w:pPr>
          </w:p>
        </w:tc>
      </w:tr>
    </w:tbl>
    <w:p w14:paraId="03E0179D">
      <w:pPr>
        <w:snapToGrid w:val="0"/>
        <w:spacing w:before="0" w:beforeLines="0" w:line="240" w:lineRule="auto"/>
        <w:rPr>
          <w:sz w:val="18"/>
          <w:szCs w:val="18"/>
        </w:rPr>
      </w:pPr>
      <w:r>
        <w:rPr>
          <w:sz w:val="18"/>
          <w:szCs w:val="18"/>
        </w:rPr>
        <w:t>注：1.表中“＋”表示正效益，“－”表示负效益；</w:t>
      </w:r>
    </w:p>
    <w:p w14:paraId="46F68973">
      <w:pPr>
        <w:snapToGrid w:val="0"/>
        <w:spacing w:before="0" w:beforeLines="0" w:line="240" w:lineRule="auto"/>
        <w:ind w:firstLine="360" w:firstLineChars="200"/>
        <w:rPr>
          <w:sz w:val="18"/>
          <w:szCs w:val="18"/>
        </w:rPr>
      </w:pPr>
      <w:r>
        <w:rPr>
          <w:sz w:val="18"/>
          <w:szCs w:val="18"/>
        </w:rPr>
        <w:t>2.表中数字表示影响的相对程度，“1”表示影响较小，“2”表示影响中等，“3”表示影响较大；</w:t>
      </w:r>
    </w:p>
    <w:p w14:paraId="7B03C914">
      <w:pPr>
        <w:snapToGrid w:val="0"/>
        <w:spacing w:before="0" w:beforeLines="0" w:line="240" w:lineRule="auto"/>
        <w:ind w:firstLine="360" w:firstLineChars="200"/>
        <w:rPr>
          <w:sz w:val="18"/>
          <w:szCs w:val="18"/>
        </w:rPr>
      </w:pPr>
      <w:r>
        <w:rPr>
          <w:sz w:val="18"/>
          <w:szCs w:val="18"/>
        </w:rPr>
        <w:t>3.表中“D”表示短期影响，“C”表示长期影响。</w:t>
      </w:r>
    </w:p>
    <w:p w14:paraId="5B460F55">
      <w:pPr>
        <w:spacing w:before="78" w:after="93" w:line="360" w:lineRule="auto"/>
        <w:ind w:firstLine="480" w:firstLineChars="200"/>
        <w:rPr>
          <w:sz w:val="24"/>
        </w:rPr>
      </w:pPr>
      <w:r>
        <w:rPr>
          <w:sz w:val="24"/>
        </w:rPr>
        <w:t>从上表可以看出，本项目的建设对环境的影响是多方面的，既存在短期、局部、可恢复的影响，也存在长期的正、负影响。施工期主要表现在对自然环境中环境空气和声环境等方面的影响，但施工期的影响是局部的、短期的和可恢复的；而工程运营期对环境的影响则是长期存在的，主要是对自然环境中的大气环境、水环境和声环境产生较轻程度的负影响。</w:t>
      </w:r>
    </w:p>
    <w:p w14:paraId="29C70E84">
      <w:pPr>
        <w:pStyle w:val="5"/>
        <w:rPr>
          <w:color w:val="auto"/>
        </w:rPr>
      </w:pPr>
      <w:r>
        <w:rPr>
          <w:color w:val="auto"/>
        </w:rPr>
        <w:t>2.2.2评价因子识别</w:t>
      </w:r>
    </w:p>
    <w:p w14:paraId="5484A13D">
      <w:pPr>
        <w:snapToGrid w:val="0"/>
        <w:spacing w:before="78" w:line="360" w:lineRule="auto"/>
        <w:ind w:firstLine="482" w:firstLineChars="200"/>
        <w:jc w:val="left"/>
        <w:rPr>
          <w:b/>
          <w:bCs/>
          <w:kern w:val="0"/>
          <w:sz w:val="24"/>
        </w:rPr>
      </w:pPr>
      <w:r>
        <w:rPr>
          <w:b/>
          <w:bCs/>
          <w:kern w:val="0"/>
          <w:sz w:val="24"/>
        </w:rPr>
        <w:fldChar w:fldCharType="begin"/>
      </w:r>
      <w:r>
        <w:rPr>
          <w:b/>
          <w:bCs/>
          <w:kern w:val="0"/>
          <w:sz w:val="24"/>
        </w:rPr>
        <w:instrText xml:space="preserve"> = 1 \* GB2 \* MERGEFORMAT </w:instrText>
      </w:r>
      <w:r>
        <w:rPr>
          <w:b/>
          <w:bCs/>
          <w:kern w:val="0"/>
          <w:sz w:val="24"/>
        </w:rPr>
        <w:fldChar w:fldCharType="separate"/>
      </w:r>
      <w:r>
        <w:rPr>
          <w:b/>
          <w:bCs/>
          <w:sz w:val="24"/>
        </w:rPr>
        <w:t>⑴</w:t>
      </w:r>
      <w:r>
        <w:rPr>
          <w:b/>
          <w:bCs/>
          <w:kern w:val="0"/>
          <w:sz w:val="24"/>
        </w:rPr>
        <w:fldChar w:fldCharType="end"/>
      </w:r>
      <w:r>
        <w:rPr>
          <w:b/>
          <w:bCs/>
          <w:kern w:val="0"/>
          <w:sz w:val="24"/>
        </w:rPr>
        <w:t>施工期</w:t>
      </w:r>
    </w:p>
    <w:p w14:paraId="7F2A7F57">
      <w:pPr>
        <w:adjustRightInd w:val="0"/>
        <w:snapToGrid w:val="0"/>
        <w:spacing w:before="78" w:line="360" w:lineRule="auto"/>
        <w:ind w:firstLine="480" w:firstLineChars="200"/>
        <w:rPr>
          <w:sz w:val="24"/>
        </w:rPr>
      </w:pPr>
      <w:r>
        <w:rPr>
          <w:sz w:val="24"/>
        </w:rPr>
        <w:t>水环境：主要是基础施工和清洗搅拌设备产生的泥浆水，以及施工人员生活污水，污染因子为SS、COD、氨氮、石油类。</w:t>
      </w:r>
    </w:p>
    <w:p w14:paraId="1C64392C">
      <w:pPr>
        <w:adjustRightInd w:val="0"/>
        <w:snapToGrid w:val="0"/>
        <w:spacing w:before="78" w:line="360" w:lineRule="auto"/>
        <w:ind w:firstLine="480" w:firstLineChars="200"/>
        <w:rPr>
          <w:sz w:val="24"/>
        </w:rPr>
      </w:pPr>
      <w:r>
        <w:rPr>
          <w:sz w:val="24"/>
        </w:rPr>
        <w:t>大气环境：大气污染包括两部分，一是建筑材料堆放扬尘和施工车辆产生的道路扬尘，污染因子为颗粒物；二是施工车辆、设备运行过程产生的废气，污染因子为颗粒物、CO、HC和NOx等。</w:t>
      </w:r>
    </w:p>
    <w:p w14:paraId="4BF21D88">
      <w:pPr>
        <w:adjustRightInd w:val="0"/>
        <w:snapToGrid w:val="0"/>
        <w:spacing w:before="78" w:line="360" w:lineRule="auto"/>
        <w:ind w:firstLine="480" w:firstLineChars="200"/>
        <w:rPr>
          <w:sz w:val="24"/>
        </w:rPr>
      </w:pPr>
      <w:r>
        <w:rPr>
          <w:sz w:val="24"/>
        </w:rPr>
        <w:t>声环境：主要是施工机械产生的噪声，一般为70~100dB（A）左右，污染因子为连续等效A声级。</w:t>
      </w:r>
    </w:p>
    <w:p w14:paraId="2263CE5D">
      <w:pPr>
        <w:adjustRightInd w:val="0"/>
        <w:snapToGrid w:val="0"/>
        <w:spacing w:before="78" w:line="360" w:lineRule="auto"/>
        <w:ind w:firstLine="480" w:firstLineChars="200"/>
        <w:rPr>
          <w:sz w:val="24"/>
        </w:rPr>
      </w:pPr>
      <w:r>
        <w:rPr>
          <w:sz w:val="24"/>
        </w:rPr>
        <w:t>固废：主要是渣土、建筑垃圾、生活垃圾等固体废物。</w:t>
      </w:r>
    </w:p>
    <w:p w14:paraId="69F08519">
      <w:pPr>
        <w:snapToGrid w:val="0"/>
        <w:spacing w:before="78" w:line="360" w:lineRule="auto"/>
        <w:ind w:firstLine="482" w:firstLineChars="200"/>
        <w:jc w:val="left"/>
        <w:rPr>
          <w:b/>
          <w:bCs/>
          <w:kern w:val="0"/>
          <w:sz w:val="24"/>
        </w:rPr>
      </w:pPr>
      <w:r>
        <w:rPr>
          <w:b/>
          <w:bCs/>
          <w:kern w:val="0"/>
          <w:sz w:val="24"/>
        </w:rPr>
        <w:fldChar w:fldCharType="begin"/>
      </w:r>
      <w:r>
        <w:rPr>
          <w:b/>
          <w:bCs/>
          <w:kern w:val="0"/>
          <w:sz w:val="24"/>
        </w:rPr>
        <w:instrText xml:space="preserve"> = 2 \* GB2 \* MERGEFORMAT </w:instrText>
      </w:r>
      <w:r>
        <w:rPr>
          <w:b/>
          <w:bCs/>
          <w:kern w:val="0"/>
          <w:sz w:val="24"/>
        </w:rPr>
        <w:fldChar w:fldCharType="separate"/>
      </w:r>
      <w:r>
        <w:rPr>
          <w:b/>
          <w:bCs/>
          <w:kern w:val="0"/>
          <w:sz w:val="24"/>
        </w:rPr>
        <w:t>⑵</w:t>
      </w:r>
      <w:r>
        <w:rPr>
          <w:b/>
          <w:bCs/>
          <w:kern w:val="0"/>
          <w:sz w:val="24"/>
        </w:rPr>
        <w:fldChar w:fldCharType="end"/>
      </w:r>
      <w:r>
        <w:rPr>
          <w:b/>
          <w:bCs/>
          <w:kern w:val="0"/>
          <w:sz w:val="24"/>
        </w:rPr>
        <w:t>运营期</w:t>
      </w:r>
    </w:p>
    <w:p w14:paraId="4B2EFC94">
      <w:pPr>
        <w:snapToGrid w:val="0"/>
        <w:spacing w:before="78" w:line="360" w:lineRule="auto"/>
        <w:ind w:firstLine="480" w:firstLineChars="200"/>
        <w:rPr>
          <w:sz w:val="24"/>
        </w:rPr>
      </w:pPr>
      <w:r>
        <w:rPr>
          <w:sz w:val="24"/>
        </w:rPr>
        <w:t>在识别出本项目主要环境影响因素的基础上，根据项目特点，筛选出营运期评价因子。评价因子筛选见表2.2-2。</w:t>
      </w:r>
    </w:p>
    <w:p w14:paraId="649C9434">
      <w:pPr>
        <w:pStyle w:val="143"/>
        <w:spacing w:before="0" w:beforeLines="0"/>
        <w:rPr>
          <w:b/>
          <w:bCs w:val="0"/>
        </w:rPr>
      </w:pPr>
      <w:r>
        <w:rPr>
          <w:b/>
          <w:bCs w:val="0"/>
        </w:rPr>
        <w:t>表2.2-2  评价因子一览表</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Layout w:type="autofit"/>
        <w:tblCellMar>
          <w:top w:w="0" w:type="dxa"/>
          <w:left w:w="108" w:type="dxa"/>
          <w:bottom w:w="0" w:type="dxa"/>
          <w:right w:w="108" w:type="dxa"/>
        </w:tblCellMar>
      </w:tblPr>
      <w:tblGrid>
        <w:gridCol w:w="1350"/>
        <w:gridCol w:w="5029"/>
        <w:gridCol w:w="1933"/>
      </w:tblGrid>
      <w:tr w14:paraId="4172E831">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26" w:hRule="atLeast"/>
          <w:jc w:val="center"/>
        </w:trPr>
        <w:tc>
          <w:tcPr>
            <w:tcW w:w="812" w:type="pct"/>
            <w:tcBorders>
              <w:tl2br w:val="nil"/>
              <w:tr2bl w:val="nil"/>
            </w:tcBorders>
            <w:vAlign w:val="center"/>
          </w:tcPr>
          <w:p w14:paraId="65EE71F2">
            <w:pPr>
              <w:snapToGrid w:val="0"/>
              <w:spacing w:before="0" w:beforeLines="0" w:line="240" w:lineRule="auto"/>
              <w:jc w:val="center"/>
              <w:rPr>
                <w:szCs w:val="21"/>
              </w:rPr>
            </w:pPr>
            <w:r>
              <w:rPr>
                <w:szCs w:val="21"/>
              </w:rPr>
              <w:t>环境要素</w:t>
            </w:r>
          </w:p>
        </w:tc>
        <w:tc>
          <w:tcPr>
            <w:tcW w:w="3025" w:type="pct"/>
            <w:tcBorders>
              <w:tl2br w:val="nil"/>
              <w:tr2bl w:val="nil"/>
            </w:tcBorders>
            <w:vAlign w:val="center"/>
          </w:tcPr>
          <w:p w14:paraId="07962FB4">
            <w:pPr>
              <w:snapToGrid w:val="0"/>
              <w:spacing w:before="0" w:beforeLines="0" w:line="240" w:lineRule="auto"/>
              <w:jc w:val="center"/>
              <w:rPr>
                <w:szCs w:val="21"/>
              </w:rPr>
            </w:pPr>
            <w:r>
              <w:rPr>
                <w:szCs w:val="21"/>
              </w:rPr>
              <w:t>环境质量现状评价因子</w:t>
            </w:r>
          </w:p>
        </w:tc>
        <w:tc>
          <w:tcPr>
            <w:tcW w:w="1163" w:type="pct"/>
            <w:tcBorders>
              <w:tl2br w:val="nil"/>
              <w:tr2bl w:val="nil"/>
            </w:tcBorders>
            <w:vAlign w:val="center"/>
          </w:tcPr>
          <w:p w14:paraId="27B0B740">
            <w:pPr>
              <w:snapToGrid w:val="0"/>
              <w:spacing w:before="0" w:beforeLines="0" w:line="240" w:lineRule="auto"/>
              <w:jc w:val="center"/>
              <w:rPr>
                <w:szCs w:val="21"/>
              </w:rPr>
            </w:pPr>
            <w:r>
              <w:rPr>
                <w:szCs w:val="21"/>
              </w:rPr>
              <w:t>环境影响评价因子</w:t>
            </w:r>
          </w:p>
        </w:tc>
      </w:tr>
      <w:tr w14:paraId="29DB6F29">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26" w:hRule="atLeast"/>
          <w:jc w:val="center"/>
        </w:trPr>
        <w:tc>
          <w:tcPr>
            <w:tcW w:w="812" w:type="pct"/>
            <w:tcBorders>
              <w:tl2br w:val="nil"/>
              <w:tr2bl w:val="nil"/>
            </w:tcBorders>
            <w:vAlign w:val="center"/>
          </w:tcPr>
          <w:p w14:paraId="704286C0">
            <w:pPr>
              <w:adjustRightInd w:val="0"/>
              <w:snapToGrid w:val="0"/>
              <w:spacing w:before="0" w:beforeLines="0" w:line="240" w:lineRule="auto"/>
              <w:jc w:val="center"/>
              <w:rPr>
                <w:szCs w:val="21"/>
              </w:rPr>
            </w:pPr>
            <w:r>
              <w:rPr>
                <w:szCs w:val="21"/>
              </w:rPr>
              <w:t>环境空气</w:t>
            </w:r>
          </w:p>
        </w:tc>
        <w:tc>
          <w:tcPr>
            <w:tcW w:w="3025" w:type="pct"/>
            <w:tcBorders>
              <w:tl2br w:val="nil"/>
              <w:tr2bl w:val="nil"/>
            </w:tcBorders>
            <w:vAlign w:val="center"/>
          </w:tcPr>
          <w:p w14:paraId="4338639E">
            <w:pPr>
              <w:adjustRightInd w:val="0"/>
              <w:snapToGrid w:val="0"/>
              <w:spacing w:before="0" w:beforeLines="0" w:line="240" w:lineRule="auto"/>
              <w:jc w:val="left"/>
              <w:rPr>
                <w:szCs w:val="21"/>
              </w:rPr>
            </w:pPr>
            <w:r>
              <w:rPr>
                <w:szCs w:val="21"/>
              </w:rPr>
              <w:t>PM</w:t>
            </w:r>
            <w:r>
              <w:rPr>
                <w:szCs w:val="21"/>
                <w:vertAlign w:val="subscript"/>
              </w:rPr>
              <w:t>10</w:t>
            </w:r>
            <w:r>
              <w:rPr>
                <w:szCs w:val="21"/>
              </w:rPr>
              <w:t>、PM</w:t>
            </w:r>
            <w:r>
              <w:rPr>
                <w:szCs w:val="21"/>
                <w:vertAlign w:val="subscript"/>
              </w:rPr>
              <w:t>2.5</w:t>
            </w:r>
            <w:r>
              <w:rPr>
                <w:szCs w:val="21"/>
              </w:rPr>
              <w:t>、SO</w:t>
            </w:r>
            <w:r>
              <w:rPr>
                <w:szCs w:val="21"/>
                <w:vertAlign w:val="subscript"/>
              </w:rPr>
              <w:t>2</w:t>
            </w:r>
            <w:r>
              <w:rPr>
                <w:szCs w:val="21"/>
              </w:rPr>
              <w:t>、NO</w:t>
            </w:r>
            <w:r>
              <w:rPr>
                <w:szCs w:val="21"/>
                <w:vertAlign w:val="subscript"/>
              </w:rPr>
              <w:t>2</w:t>
            </w:r>
            <w:r>
              <w:rPr>
                <w:szCs w:val="21"/>
              </w:rPr>
              <w:t>、CO、O</w:t>
            </w:r>
            <w:r>
              <w:rPr>
                <w:szCs w:val="21"/>
                <w:vertAlign w:val="subscript"/>
              </w:rPr>
              <w:t>3</w:t>
            </w:r>
            <w:r>
              <w:rPr>
                <w:szCs w:val="21"/>
              </w:rPr>
              <w:t>、</w:t>
            </w:r>
            <w:r>
              <w:rPr>
                <w:kern w:val="0"/>
              </w:rPr>
              <w:t>TSP</w:t>
            </w:r>
          </w:p>
        </w:tc>
        <w:tc>
          <w:tcPr>
            <w:tcW w:w="1163" w:type="pct"/>
            <w:tcBorders>
              <w:tl2br w:val="nil"/>
              <w:tr2bl w:val="nil"/>
            </w:tcBorders>
            <w:vAlign w:val="center"/>
          </w:tcPr>
          <w:p w14:paraId="65528594">
            <w:pPr>
              <w:adjustRightInd w:val="0"/>
              <w:snapToGrid w:val="0"/>
              <w:spacing w:before="0" w:beforeLines="0" w:line="240" w:lineRule="auto"/>
              <w:jc w:val="center"/>
              <w:rPr>
                <w:szCs w:val="21"/>
              </w:rPr>
            </w:pPr>
            <w:r>
              <w:rPr>
                <w:kern w:val="0"/>
              </w:rPr>
              <w:t>TSP</w:t>
            </w:r>
            <w:r>
              <w:rPr>
                <w:rFonts w:hint="eastAsia"/>
                <w:kern w:val="0"/>
              </w:rPr>
              <w:t>、PM</w:t>
            </w:r>
            <w:r>
              <w:rPr>
                <w:rFonts w:hint="eastAsia"/>
                <w:kern w:val="0"/>
                <w:vertAlign w:val="subscript"/>
              </w:rPr>
              <w:t>10</w:t>
            </w:r>
          </w:p>
        </w:tc>
      </w:tr>
      <w:tr w14:paraId="410B3C62">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26" w:hRule="atLeast"/>
          <w:jc w:val="center"/>
        </w:trPr>
        <w:tc>
          <w:tcPr>
            <w:tcW w:w="812" w:type="pct"/>
            <w:tcBorders>
              <w:tl2br w:val="nil"/>
              <w:tr2bl w:val="nil"/>
            </w:tcBorders>
            <w:vAlign w:val="center"/>
          </w:tcPr>
          <w:p w14:paraId="62443D0D">
            <w:pPr>
              <w:adjustRightInd w:val="0"/>
              <w:snapToGrid w:val="0"/>
              <w:spacing w:before="0" w:beforeLines="0" w:line="240" w:lineRule="auto"/>
              <w:jc w:val="center"/>
              <w:rPr>
                <w:szCs w:val="21"/>
              </w:rPr>
            </w:pPr>
            <w:r>
              <w:rPr>
                <w:szCs w:val="21"/>
              </w:rPr>
              <w:t>地下水环境</w:t>
            </w:r>
          </w:p>
        </w:tc>
        <w:tc>
          <w:tcPr>
            <w:tcW w:w="3025" w:type="pct"/>
            <w:tcBorders>
              <w:tl2br w:val="nil"/>
              <w:tr2bl w:val="nil"/>
            </w:tcBorders>
            <w:vAlign w:val="center"/>
          </w:tcPr>
          <w:p w14:paraId="6EE70EA9">
            <w:pPr>
              <w:adjustRightInd w:val="0"/>
              <w:snapToGrid w:val="0"/>
              <w:spacing w:before="0" w:beforeLines="0" w:line="240" w:lineRule="auto"/>
              <w:jc w:val="left"/>
              <w:rPr>
                <w:szCs w:val="21"/>
              </w:rPr>
            </w:pPr>
            <w:r>
              <w:rPr>
                <w:szCs w:val="21"/>
              </w:rPr>
              <w:t>pH、氨氮、硝酸盐、亚硝酸盐、挥发性酚类、氰化物、砷、汞、铬(六价)、铅、氟、镉、铁、锰、溶解性总固体、</w:t>
            </w:r>
            <w:r>
              <w:rPr>
                <w:rFonts w:hint="eastAsia"/>
                <w:szCs w:val="21"/>
              </w:rPr>
              <w:t>耗氧量</w:t>
            </w:r>
            <w:r>
              <w:rPr>
                <w:szCs w:val="21"/>
              </w:rPr>
              <w:t>、硫酸盐、氯化物、总大肠菌群、细菌总数、总硬度、石油类、Cr</w:t>
            </w:r>
            <w:r>
              <w:rPr>
                <w:szCs w:val="21"/>
                <w:vertAlign w:val="superscript"/>
              </w:rPr>
              <w:t>6+</w:t>
            </w:r>
            <w:r>
              <w:rPr>
                <w:szCs w:val="21"/>
              </w:rPr>
              <w:t>、铁、铝、硫化物</w:t>
            </w:r>
            <w:r>
              <w:rPr>
                <w:rFonts w:hint="eastAsia"/>
                <w:szCs w:val="21"/>
              </w:rPr>
              <w:t>、钒、钛</w:t>
            </w:r>
            <w:r>
              <w:rPr>
                <w:szCs w:val="21"/>
              </w:rPr>
              <w:t>。</w:t>
            </w:r>
          </w:p>
        </w:tc>
        <w:tc>
          <w:tcPr>
            <w:tcW w:w="1163" w:type="pct"/>
            <w:tcBorders>
              <w:tl2br w:val="nil"/>
              <w:tr2bl w:val="nil"/>
            </w:tcBorders>
            <w:vAlign w:val="center"/>
          </w:tcPr>
          <w:p w14:paraId="312A5BA9">
            <w:pPr>
              <w:adjustRightInd w:val="0"/>
              <w:snapToGrid w:val="0"/>
              <w:spacing w:before="0" w:beforeLines="0" w:line="240" w:lineRule="auto"/>
              <w:jc w:val="center"/>
              <w:rPr>
                <w:szCs w:val="21"/>
              </w:rPr>
            </w:pPr>
            <w:r>
              <w:rPr>
                <w:szCs w:val="21"/>
              </w:rPr>
              <w:t>石油类</w:t>
            </w:r>
            <w:r>
              <w:rPr>
                <w:rFonts w:hint="eastAsia"/>
                <w:szCs w:val="21"/>
              </w:rPr>
              <w:t>、铍、汞</w:t>
            </w:r>
          </w:p>
        </w:tc>
      </w:tr>
      <w:tr w14:paraId="127E4E6C">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26" w:hRule="atLeast"/>
          <w:jc w:val="center"/>
        </w:trPr>
        <w:tc>
          <w:tcPr>
            <w:tcW w:w="812" w:type="pct"/>
            <w:tcBorders>
              <w:tl2br w:val="nil"/>
              <w:tr2bl w:val="nil"/>
            </w:tcBorders>
            <w:vAlign w:val="center"/>
          </w:tcPr>
          <w:p w14:paraId="67185B35">
            <w:pPr>
              <w:adjustRightInd w:val="0"/>
              <w:snapToGrid w:val="0"/>
              <w:spacing w:before="0" w:beforeLines="0" w:line="240" w:lineRule="auto"/>
              <w:jc w:val="center"/>
              <w:rPr>
                <w:szCs w:val="21"/>
              </w:rPr>
            </w:pPr>
            <w:r>
              <w:rPr>
                <w:szCs w:val="21"/>
              </w:rPr>
              <w:t>声环境</w:t>
            </w:r>
          </w:p>
        </w:tc>
        <w:tc>
          <w:tcPr>
            <w:tcW w:w="3025" w:type="pct"/>
            <w:tcBorders>
              <w:tl2br w:val="nil"/>
              <w:tr2bl w:val="nil"/>
            </w:tcBorders>
            <w:vAlign w:val="center"/>
          </w:tcPr>
          <w:p w14:paraId="2C6FF7C4">
            <w:pPr>
              <w:adjustRightInd w:val="0"/>
              <w:snapToGrid w:val="0"/>
              <w:spacing w:before="0" w:beforeLines="0" w:line="240" w:lineRule="auto"/>
              <w:jc w:val="center"/>
              <w:rPr>
                <w:szCs w:val="21"/>
              </w:rPr>
            </w:pPr>
            <w:r>
              <w:rPr>
                <w:szCs w:val="21"/>
              </w:rPr>
              <w:t>等效连续A声级（LAeq）</w:t>
            </w:r>
          </w:p>
        </w:tc>
        <w:tc>
          <w:tcPr>
            <w:tcW w:w="1163" w:type="pct"/>
            <w:tcBorders>
              <w:tl2br w:val="nil"/>
              <w:tr2bl w:val="nil"/>
            </w:tcBorders>
            <w:vAlign w:val="center"/>
          </w:tcPr>
          <w:p w14:paraId="5E80E92D">
            <w:pPr>
              <w:adjustRightInd w:val="0"/>
              <w:snapToGrid w:val="0"/>
              <w:spacing w:before="0" w:beforeLines="0" w:line="240" w:lineRule="auto"/>
              <w:jc w:val="center"/>
              <w:rPr>
                <w:szCs w:val="21"/>
              </w:rPr>
            </w:pPr>
            <w:r>
              <w:rPr>
                <w:szCs w:val="21"/>
              </w:rPr>
              <w:t>等效连续A声级（LAeq）</w:t>
            </w:r>
          </w:p>
        </w:tc>
      </w:tr>
      <w:tr w14:paraId="368411C1">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26" w:hRule="atLeast"/>
          <w:jc w:val="center"/>
        </w:trPr>
        <w:tc>
          <w:tcPr>
            <w:tcW w:w="812" w:type="pct"/>
            <w:tcBorders>
              <w:tl2br w:val="nil"/>
              <w:tr2bl w:val="nil"/>
            </w:tcBorders>
            <w:vAlign w:val="center"/>
          </w:tcPr>
          <w:p w14:paraId="12934E5E">
            <w:pPr>
              <w:adjustRightInd w:val="0"/>
              <w:snapToGrid w:val="0"/>
              <w:spacing w:before="0" w:beforeLines="0" w:line="240" w:lineRule="auto"/>
              <w:jc w:val="center"/>
              <w:rPr>
                <w:szCs w:val="21"/>
              </w:rPr>
            </w:pPr>
            <w:r>
              <w:rPr>
                <w:szCs w:val="21"/>
              </w:rPr>
              <w:t>土壤环境</w:t>
            </w:r>
          </w:p>
        </w:tc>
        <w:tc>
          <w:tcPr>
            <w:tcW w:w="3025" w:type="pct"/>
            <w:tcBorders>
              <w:tl2br w:val="nil"/>
              <w:tr2bl w:val="nil"/>
            </w:tcBorders>
            <w:vAlign w:val="center"/>
          </w:tcPr>
          <w:p w14:paraId="38322A6A">
            <w:pPr>
              <w:adjustRightInd w:val="0"/>
              <w:snapToGrid w:val="0"/>
              <w:spacing w:before="0" w:beforeLines="0" w:line="240" w:lineRule="auto"/>
              <w:rPr>
                <w:szCs w:val="21"/>
              </w:rPr>
            </w:pPr>
            <w:r>
              <w:rPr>
                <w:szCs w:val="21"/>
              </w:rPr>
              <w:t>《土壤环境质量 建设用地土壤污染风险管控标准（试行）》（GB36600-2018）中表1基本项目全部45项+石油烃、钒、钛</w:t>
            </w:r>
            <w:r>
              <w:rPr>
                <w:rFonts w:hint="eastAsia"/>
                <w:szCs w:val="21"/>
              </w:rPr>
              <w:t>。</w:t>
            </w:r>
            <w:r>
              <w:rPr>
                <w:szCs w:val="21"/>
              </w:rPr>
              <w:t xml:space="preserve"> </w:t>
            </w:r>
          </w:p>
        </w:tc>
        <w:tc>
          <w:tcPr>
            <w:tcW w:w="1163" w:type="pct"/>
            <w:tcBorders>
              <w:tl2br w:val="nil"/>
              <w:tr2bl w:val="nil"/>
            </w:tcBorders>
            <w:vAlign w:val="center"/>
          </w:tcPr>
          <w:p w14:paraId="7791FC2C">
            <w:pPr>
              <w:adjustRightInd w:val="0"/>
              <w:snapToGrid w:val="0"/>
              <w:spacing w:before="0" w:beforeLines="0" w:line="240" w:lineRule="auto"/>
              <w:jc w:val="center"/>
              <w:rPr>
                <w:szCs w:val="21"/>
              </w:rPr>
            </w:pPr>
            <w:r>
              <w:rPr>
                <w:rFonts w:hint="eastAsia"/>
                <w:szCs w:val="21"/>
              </w:rPr>
              <w:t>-</w:t>
            </w:r>
          </w:p>
        </w:tc>
      </w:tr>
      <w:tr w14:paraId="0F828552">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26" w:hRule="atLeast"/>
          <w:jc w:val="center"/>
        </w:trPr>
        <w:tc>
          <w:tcPr>
            <w:tcW w:w="812" w:type="pct"/>
            <w:tcBorders>
              <w:tl2br w:val="nil"/>
              <w:tr2bl w:val="nil"/>
            </w:tcBorders>
            <w:vAlign w:val="center"/>
          </w:tcPr>
          <w:p w14:paraId="03A9F701">
            <w:pPr>
              <w:adjustRightInd w:val="0"/>
              <w:snapToGrid w:val="0"/>
              <w:spacing w:before="0" w:beforeLines="0" w:line="240" w:lineRule="auto"/>
              <w:jc w:val="center"/>
              <w:rPr>
                <w:szCs w:val="21"/>
              </w:rPr>
            </w:pPr>
            <w:r>
              <w:rPr>
                <w:szCs w:val="21"/>
              </w:rPr>
              <w:t>固体废物</w:t>
            </w:r>
          </w:p>
        </w:tc>
        <w:tc>
          <w:tcPr>
            <w:tcW w:w="3025" w:type="pct"/>
            <w:tcBorders>
              <w:tl2br w:val="nil"/>
              <w:tr2bl w:val="nil"/>
            </w:tcBorders>
            <w:vAlign w:val="center"/>
          </w:tcPr>
          <w:p w14:paraId="2A758555">
            <w:pPr>
              <w:adjustRightInd w:val="0"/>
              <w:snapToGrid w:val="0"/>
              <w:spacing w:before="0" w:beforeLines="0" w:line="240" w:lineRule="auto"/>
              <w:jc w:val="center"/>
              <w:rPr>
                <w:szCs w:val="21"/>
              </w:rPr>
            </w:pPr>
            <w:r>
              <w:rPr>
                <w:szCs w:val="21"/>
              </w:rPr>
              <w:t>-</w:t>
            </w:r>
          </w:p>
        </w:tc>
        <w:tc>
          <w:tcPr>
            <w:tcW w:w="1163" w:type="pct"/>
            <w:tcBorders>
              <w:tl2br w:val="nil"/>
              <w:tr2bl w:val="nil"/>
            </w:tcBorders>
            <w:vAlign w:val="center"/>
          </w:tcPr>
          <w:p w14:paraId="7988C88B">
            <w:pPr>
              <w:adjustRightInd w:val="0"/>
              <w:snapToGrid w:val="0"/>
              <w:spacing w:before="0" w:beforeLines="0" w:line="240" w:lineRule="auto"/>
              <w:jc w:val="center"/>
              <w:rPr>
                <w:szCs w:val="21"/>
              </w:rPr>
            </w:pPr>
            <w:r>
              <w:rPr>
                <w:szCs w:val="21"/>
              </w:rPr>
              <w:t>一般固废、危险废物、生活垃圾</w:t>
            </w:r>
          </w:p>
        </w:tc>
      </w:tr>
      <w:tr w14:paraId="7295A3EE">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26" w:hRule="atLeast"/>
          <w:jc w:val="center"/>
        </w:trPr>
        <w:tc>
          <w:tcPr>
            <w:tcW w:w="812" w:type="pct"/>
            <w:tcBorders>
              <w:tl2br w:val="nil"/>
              <w:tr2bl w:val="nil"/>
            </w:tcBorders>
            <w:vAlign w:val="center"/>
          </w:tcPr>
          <w:p w14:paraId="01527D2A">
            <w:pPr>
              <w:adjustRightInd w:val="0"/>
              <w:snapToGrid w:val="0"/>
              <w:spacing w:before="0" w:beforeLines="0" w:line="240" w:lineRule="auto"/>
              <w:jc w:val="center"/>
              <w:rPr>
                <w:szCs w:val="21"/>
              </w:rPr>
            </w:pPr>
            <w:r>
              <w:rPr>
                <w:rFonts w:hint="eastAsia"/>
                <w:szCs w:val="21"/>
              </w:rPr>
              <w:t>环境风险</w:t>
            </w:r>
          </w:p>
        </w:tc>
        <w:tc>
          <w:tcPr>
            <w:tcW w:w="3025" w:type="pct"/>
            <w:tcBorders>
              <w:tl2br w:val="nil"/>
              <w:tr2bl w:val="nil"/>
            </w:tcBorders>
            <w:vAlign w:val="center"/>
          </w:tcPr>
          <w:p w14:paraId="54986124">
            <w:pPr>
              <w:adjustRightInd w:val="0"/>
              <w:snapToGrid w:val="0"/>
              <w:spacing w:before="0" w:beforeLines="0" w:line="240" w:lineRule="auto"/>
              <w:jc w:val="center"/>
              <w:rPr>
                <w:szCs w:val="21"/>
              </w:rPr>
            </w:pPr>
            <w:r>
              <w:rPr>
                <w:rFonts w:hint="eastAsia"/>
                <w:szCs w:val="21"/>
              </w:rPr>
              <w:t>-</w:t>
            </w:r>
          </w:p>
        </w:tc>
        <w:tc>
          <w:tcPr>
            <w:tcW w:w="1163" w:type="pct"/>
            <w:tcBorders>
              <w:tl2br w:val="nil"/>
              <w:tr2bl w:val="nil"/>
            </w:tcBorders>
            <w:vAlign w:val="center"/>
          </w:tcPr>
          <w:p w14:paraId="74D38B58">
            <w:pPr>
              <w:adjustRightInd w:val="0"/>
              <w:snapToGrid w:val="0"/>
              <w:spacing w:before="0" w:beforeLines="0" w:line="240" w:lineRule="auto"/>
              <w:jc w:val="center"/>
              <w:rPr>
                <w:szCs w:val="21"/>
              </w:rPr>
            </w:pPr>
            <w:r>
              <w:rPr>
                <w:rFonts w:hint="eastAsia"/>
                <w:szCs w:val="21"/>
              </w:rPr>
              <w:t>废机油</w:t>
            </w:r>
          </w:p>
        </w:tc>
      </w:tr>
    </w:tbl>
    <w:p w14:paraId="1D4141FB">
      <w:pPr>
        <w:pStyle w:val="4"/>
        <w:rPr>
          <w:rFonts w:ascii="Times New Roman" w:hAnsi="Times New Roman" w:eastAsia="宋体"/>
          <w:color w:val="auto"/>
        </w:rPr>
      </w:pPr>
      <w:bookmarkStart w:id="35" w:name="_Toc45531482"/>
      <w:bookmarkStart w:id="36" w:name="_Toc239274263"/>
      <w:bookmarkStart w:id="37" w:name="_Toc17475951"/>
      <w:r>
        <w:rPr>
          <w:rFonts w:ascii="Times New Roman" w:hAnsi="Times New Roman" w:eastAsia="宋体"/>
          <w:color w:val="auto"/>
        </w:rPr>
        <w:t>2.3评价标准</w:t>
      </w:r>
      <w:bookmarkEnd w:id="35"/>
      <w:bookmarkEnd w:id="36"/>
    </w:p>
    <w:p w14:paraId="6B8CED95">
      <w:pPr>
        <w:pStyle w:val="5"/>
        <w:rPr>
          <w:color w:val="auto"/>
        </w:rPr>
      </w:pPr>
      <w:bookmarkStart w:id="38" w:name="_Toc45531483"/>
      <w:bookmarkStart w:id="39" w:name="_Hlk47605052"/>
      <w:r>
        <w:rPr>
          <w:color w:val="auto"/>
        </w:rPr>
        <w:t>2.3.1环境质量标准</w:t>
      </w:r>
      <w:bookmarkEnd w:id="38"/>
    </w:p>
    <w:p w14:paraId="18835E33">
      <w:pPr>
        <w:snapToGrid w:val="0"/>
        <w:spacing w:before="78" w:line="360" w:lineRule="auto"/>
        <w:ind w:firstLine="482" w:firstLineChars="200"/>
        <w:rPr>
          <w:b/>
          <w:bCs/>
          <w:kern w:val="0"/>
          <w:sz w:val="24"/>
        </w:rPr>
      </w:pPr>
      <w:r>
        <w:rPr>
          <w:rFonts w:hint="eastAsia"/>
          <w:b/>
          <w:bCs/>
          <w:kern w:val="0"/>
          <w:sz w:val="24"/>
        </w:rPr>
        <w:t>（1）</w:t>
      </w:r>
      <w:r>
        <w:rPr>
          <w:b/>
          <w:bCs/>
          <w:kern w:val="0"/>
          <w:sz w:val="24"/>
        </w:rPr>
        <w:t>环境空气质量标准</w:t>
      </w:r>
    </w:p>
    <w:p w14:paraId="02C181C1">
      <w:pPr>
        <w:spacing w:before="78"/>
        <w:ind w:firstLine="480" w:firstLineChars="200"/>
        <w:rPr>
          <w:kern w:val="0"/>
          <w:sz w:val="24"/>
        </w:rPr>
      </w:pPr>
      <w:r>
        <w:rPr>
          <w:kern w:val="0"/>
          <w:sz w:val="24"/>
        </w:rPr>
        <w:t>本项目位于阜新蒙古族自治县旧庙镇</w:t>
      </w:r>
      <w:r>
        <w:rPr>
          <w:rFonts w:hint="eastAsia"/>
          <w:kern w:val="0"/>
          <w:sz w:val="24"/>
        </w:rPr>
        <w:t>阿哈来村</w:t>
      </w:r>
      <w:r>
        <w:rPr>
          <w:kern w:val="0"/>
          <w:sz w:val="24"/>
        </w:rPr>
        <w:t>，环境空气功能区划为二类区。因此，污染物执行《环境空气质量标准》（GB3095-20</w:t>
      </w:r>
      <w:r>
        <w:rPr>
          <w:rFonts w:hint="eastAsia"/>
          <w:kern w:val="0"/>
          <w:sz w:val="24"/>
        </w:rPr>
        <w:t>26</w:t>
      </w:r>
      <w:r>
        <w:rPr>
          <w:kern w:val="0"/>
          <w:sz w:val="24"/>
        </w:rPr>
        <w:t>）</w:t>
      </w:r>
      <w:bookmarkStart w:id="40" w:name="OLE_LINK55"/>
      <w:r>
        <w:rPr>
          <w:rFonts w:hint="eastAsia"/>
          <w:kern w:val="0"/>
          <w:sz w:val="24"/>
        </w:rPr>
        <w:t>过渡阶段</w:t>
      </w:r>
      <w:bookmarkEnd w:id="40"/>
      <w:r>
        <w:rPr>
          <w:rFonts w:hint="eastAsia"/>
          <w:kern w:val="0"/>
          <w:sz w:val="24"/>
        </w:rPr>
        <w:t>浓度</w:t>
      </w:r>
      <w:r>
        <w:rPr>
          <w:kern w:val="0"/>
          <w:sz w:val="24"/>
        </w:rPr>
        <w:t>限值</w:t>
      </w:r>
      <w:r>
        <w:rPr>
          <w:rFonts w:hint="eastAsia"/>
          <w:kern w:val="0"/>
          <w:sz w:val="24"/>
        </w:rPr>
        <w:t>二级标准</w:t>
      </w:r>
      <w:r>
        <w:rPr>
          <w:kern w:val="0"/>
          <w:sz w:val="24"/>
        </w:rPr>
        <w:t>。本项目各污染物环境标准值详见表2.3-1。</w:t>
      </w:r>
    </w:p>
    <w:p w14:paraId="6BDE6AEB">
      <w:pPr>
        <w:spacing w:before="78"/>
        <w:ind w:firstLine="480" w:firstLineChars="200"/>
        <w:rPr>
          <w:kern w:val="0"/>
          <w:sz w:val="24"/>
        </w:rPr>
      </w:pPr>
    </w:p>
    <w:p w14:paraId="0DA7E384">
      <w:pPr>
        <w:pStyle w:val="143"/>
        <w:spacing w:before="0" w:beforeLines="0"/>
        <w:rPr>
          <w:b/>
          <w:bCs w:val="0"/>
        </w:rPr>
      </w:pPr>
    </w:p>
    <w:p w14:paraId="549B7791">
      <w:pPr>
        <w:pStyle w:val="143"/>
        <w:spacing w:before="0" w:beforeLines="0"/>
        <w:rPr>
          <w:b/>
          <w:bCs w:val="0"/>
        </w:rPr>
      </w:pPr>
      <w:r>
        <w:rPr>
          <w:b/>
          <w:bCs w:val="0"/>
        </w:rPr>
        <w:t>表2.3-1  环境空气质量标准</w:t>
      </w:r>
    </w:p>
    <w:tbl>
      <w:tblPr>
        <w:tblStyle w:val="89"/>
        <w:tblW w:w="8376"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57" w:type="dxa"/>
          <w:bottom w:w="0" w:type="dxa"/>
          <w:right w:w="57" w:type="dxa"/>
        </w:tblCellMar>
      </w:tblPr>
      <w:tblGrid>
        <w:gridCol w:w="719"/>
        <w:gridCol w:w="1426"/>
        <w:gridCol w:w="1329"/>
        <w:gridCol w:w="1236"/>
        <w:gridCol w:w="1424"/>
        <w:gridCol w:w="2242"/>
      </w:tblGrid>
      <w:tr w14:paraId="5676463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6" w:hRule="atLeast"/>
          <w:jc w:val="center"/>
        </w:trPr>
        <w:tc>
          <w:tcPr>
            <w:tcW w:w="719" w:type="dxa"/>
            <w:vMerge w:val="restart"/>
            <w:tcBorders>
              <w:tl2br w:val="nil"/>
              <w:tr2bl w:val="nil"/>
            </w:tcBorders>
            <w:vAlign w:val="center"/>
          </w:tcPr>
          <w:p w14:paraId="6B46E731">
            <w:pPr>
              <w:pStyle w:val="160"/>
            </w:pPr>
            <w:r>
              <w:t>序号</w:t>
            </w:r>
          </w:p>
        </w:tc>
        <w:tc>
          <w:tcPr>
            <w:tcW w:w="1426" w:type="dxa"/>
            <w:vMerge w:val="restart"/>
            <w:tcBorders>
              <w:tl2br w:val="nil"/>
              <w:tr2bl w:val="nil"/>
            </w:tcBorders>
            <w:vAlign w:val="center"/>
          </w:tcPr>
          <w:p w14:paraId="1A203AC3">
            <w:pPr>
              <w:pStyle w:val="160"/>
            </w:pPr>
            <w:r>
              <w:t>项目</w:t>
            </w:r>
          </w:p>
        </w:tc>
        <w:tc>
          <w:tcPr>
            <w:tcW w:w="3989" w:type="dxa"/>
            <w:gridSpan w:val="3"/>
            <w:tcBorders>
              <w:tl2br w:val="nil"/>
              <w:tr2bl w:val="nil"/>
            </w:tcBorders>
            <w:vAlign w:val="center"/>
          </w:tcPr>
          <w:p w14:paraId="617B1D56">
            <w:pPr>
              <w:pStyle w:val="160"/>
            </w:pPr>
            <w:r>
              <w:t>污染物的浓度限值（</w:t>
            </w:r>
            <w:bookmarkStart w:id="41" w:name="_Hlk18335713"/>
            <w:r>
              <w:t>μg</w:t>
            </w:r>
            <w:bookmarkEnd w:id="41"/>
            <w:r>
              <w:t>/m</w:t>
            </w:r>
            <w:r>
              <w:rPr>
                <w:vertAlign w:val="superscript"/>
              </w:rPr>
              <w:t>3</w:t>
            </w:r>
            <w:r>
              <w:t>）</w:t>
            </w:r>
          </w:p>
        </w:tc>
        <w:tc>
          <w:tcPr>
            <w:tcW w:w="2242" w:type="dxa"/>
            <w:vMerge w:val="restart"/>
            <w:tcBorders>
              <w:tl2br w:val="nil"/>
              <w:tr2bl w:val="nil"/>
            </w:tcBorders>
            <w:vAlign w:val="center"/>
          </w:tcPr>
          <w:p w14:paraId="4B21458E">
            <w:pPr>
              <w:pStyle w:val="160"/>
            </w:pPr>
            <w:r>
              <w:t>备注</w:t>
            </w:r>
          </w:p>
        </w:tc>
      </w:tr>
      <w:tr w14:paraId="6D22B0E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6" w:hRule="atLeast"/>
          <w:jc w:val="center"/>
        </w:trPr>
        <w:tc>
          <w:tcPr>
            <w:tcW w:w="719" w:type="dxa"/>
            <w:vMerge w:val="continue"/>
            <w:tcBorders>
              <w:tl2br w:val="nil"/>
              <w:tr2bl w:val="nil"/>
            </w:tcBorders>
            <w:vAlign w:val="center"/>
          </w:tcPr>
          <w:p w14:paraId="12702F21">
            <w:pPr>
              <w:pStyle w:val="160"/>
            </w:pPr>
          </w:p>
        </w:tc>
        <w:tc>
          <w:tcPr>
            <w:tcW w:w="1426" w:type="dxa"/>
            <w:vMerge w:val="continue"/>
            <w:tcBorders>
              <w:tl2br w:val="nil"/>
              <w:tr2bl w:val="nil"/>
            </w:tcBorders>
            <w:vAlign w:val="center"/>
          </w:tcPr>
          <w:p w14:paraId="74CCD097">
            <w:pPr>
              <w:pStyle w:val="160"/>
            </w:pPr>
          </w:p>
        </w:tc>
        <w:tc>
          <w:tcPr>
            <w:tcW w:w="1329" w:type="dxa"/>
            <w:tcBorders>
              <w:tl2br w:val="nil"/>
              <w:tr2bl w:val="nil"/>
            </w:tcBorders>
            <w:vAlign w:val="center"/>
          </w:tcPr>
          <w:p w14:paraId="706B1542">
            <w:pPr>
              <w:pStyle w:val="160"/>
            </w:pPr>
            <w:r>
              <w:t>1小时平均</w:t>
            </w:r>
          </w:p>
        </w:tc>
        <w:tc>
          <w:tcPr>
            <w:tcW w:w="1236" w:type="dxa"/>
            <w:tcBorders>
              <w:tl2br w:val="nil"/>
              <w:tr2bl w:val="nil"/>
            </w:tcBorders>
            <w:vAlign w:val="center"/>
          </w:tcPr>
          <w:p w14:paraId="571B6E1A">
            <w:pPr>
              <w:pStyle w:val="160"/>
            </w:pPr>
            <w:r>
              <w:t>24小时平均</w:t>
            </w:r>
          </w:p>
        </w:tc>
        <w:tc>
          <w:tcPr>
            <w:tcW w:w="1423" w:type="dxa"/>
            <w:tcBorders>
              <w:tl2br w:val="nil"/>
              <w:tr2bl w:val="nil"/>
            </w:tcBorders>
            <w:vAlign w:val="center"/>
          </w:tcPr>
          <w:p w14:paraId="525BAF4A">
            <w:pPr>
              <w:pStyle w:val="160"/>
            </w:pPr>
            <w:r>
              <w:t>年平均</w:t>
            </w:r>
          </w:p>
        </w:tc>
        <w:tc>
          <w:tcPr>
            <w:tcW w:w="2242" w:type="dxa"/>
            <w:vMerge w:val="continue"/>
            <w:tcBorders>
              <w:tl2br w:val="nil"/>
              <w:tr2bl w:val="nil"/>
            </w:tcBorders>
            <w:vAlign w:val="center"/>
          </w:tcPr>
          <w:p w14:paraId="22608D8A">
            <w:pPr>
              <w:pStyle w:val="160"/>
            </w:pPr>
          </w:p>
        </w:tc>
      </w:tr>
      <w:tr w14:paraId="43A1204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6" w:hRule="atLeast"/>
          <w:jc w:val="center"/>
        </w:trPr>
        <w:tc>
          <w:tcPr>
            <w:tcW w:w="719" w:type="dxa"/>
            <w:tcBorders>
              <w:tl2br w:val="nil"/>
              <w:tr2bl w:val="nil"/>
            </w:tcBorders>
            <w:vAlign w:val="center"/>
          </w:tcPr>
          <w:p w14:paraId="66EABDCD">
            <w:pPr>
              <w:pStyle w:val="160"/>
            </w:pPr>
            <w:r>
              <w:t>1</w:t>
            </w:r>
          </w:p>
        </w:tc>
        <w:tc>
          <w:tcPr>
            <w:tcW w:w="1426" w:type="dxa"/>
            <w:tcBorders>
              <w:tl2br w:val="nil"/>
              <w:tr2bl w:val="nil"/>
            </w:tcBorders>
            <w:vAlign w:val="center"/>
          </w:tcPr>
          <w:p w14:paraId="568060C6">
            <w:pPr>
              <w:pStyle w:val="160"/>
            </w:pPr>
            <w:r>
              <w:t>PM</w:t>
            </w:r>
            <w:r>
              <w:rPr>
                <w:vertAlign w:val="subscript"/>
              </w:rPr>
              <w:t>2.5</w:t>
            </w:r>
          </w:p>
        </w:tc>
        <w:tc>
          <w:tcPr>
            <w:tcW w:w="1329" w:type="dxa"/>
            <w:tcBorders>
              <w:tl2br w:val="nil"/>
              <w:tr2bl w:val="nil"/>
            </w:tcBorders>
            <w:vAlign w:val="center"/>
          </w:tcPr>
          <w:p w14:paraId="160D7D13">
            <w:pPr>
              <w:pStyle w:val="160"/>
            </w:pPr>
            <w:r>
              <w:t>-</w:t>
            </w:r>
          </w:p>
        </w:tc>
        <w:tc>
          <w:tcPr>
            <w:tcW w:w="1236" w:type="dxa"/>
            <w:tcBorders>
              <w:tl2br w:val="nil"/>
              <w:tr2bl w:val="nil"/>
            </w:tcBorders>
            <w:vAlign w:val="center"/>
          </w:tcPr>
          <w:p w14:paraId="1E840005">
            <w:pPr>
              <w:pStyle w:val="160"/>
            </w:pPr>
            <w:r>
              <w:rPr>
                <w:rFonts w:hint="eastAsia"/>
              </w:rPr>
              <w:t>60</w:t>
            </w:r>
          </w:p>
        </w:tc>
        <w:tc>
          <w:tcPr>
            <w:tcW w:w="1423" w:type="dxa"/>
            <w:tcBorders>
              <w:tl2br w:val="nil"/>
              <w:tr2bl w:val="nil"/>
            </w:tcBorders>
            <w:vAlign w:val="center"/>
          </w:tcPr>
          <w:p w14:paraId="4901898C">
            <w:pPr>
              <w:pStyle w:val="160"/>
            </w:pPr>
            <w:r>
              <w:rPr>
                <w:rFonts w:hint="eastAsia"/>
              </w:rPr>
              <w:t>30</w:t>
            </w:r>
          </w:p>
        </w:tc>
        <w:tc>
          <w:tcPr>
            <w:tcW w:w="2242" w:type="dxa"/>
            <w:vMerge w:val="restart"/>
            <w:tcBorders>
              <w:tl2br w:val="nil"/>
              <w:tr2bl w:val="nil"/>
            </w:tcBorders>
            <w:vAlign w:val="center"/>
          </w:tcPr>
          <w:p w14:paraId="5B068F82">
            <w:pPr>
              <w:pStyle w:val="160"/>
            </w:pPr>
            <w:r>
              <w:t>GB3095-20</w:t>
            </w:r>
            <w:r>
              <w:rPr>
                <w:rFonts w:hint="eastAsia"/>
              </w:rPr>
              <w:t>26</w:t>
            </w:r>
          </w:p>
          <w:p w14:paraId="25BC4B4A">
            <w:pPr>
              <w:pStyle w:val="160"/>
            </w:pPr>
            <w:r>
              <w:t>过渡阶段二级标准</w:t>
            </w:r>
          </w:p>
        </w:tc>
      </w:tr>
      <w:tr w14:paraId="2FA512D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6" w:hRule="atLeast"/>
          <w:jc w:val="center"/>
        </w:trPr>
        <w:tc>
          <w:tcPr>
            <w:tcW w:w="719" w:type="dxa"/>
            <w:tcBorders>
              <w:tl2br w:val="nil"/>
              <w:tr2bl w:val="nil"/>
            </w:tcBorders>
            <w:vAlign w:val="center"/>
          </w:tcPr>
          <w:p w14:paraId="17607886">
            <w:pPr>
              <w:pStyle w:val="160"/>
            </w:pPr>
            <w:r>
              <w:t>2</w:t>
            </w:r>
          </w:p>
        </w:tc>
        <w:tc>
          <w:tcPr>
            <w:tcW w:w="1426" w:type="dxa"/>
            <w:tcBorders>
              <w:tl2br w:val="nil"/>
              <w:tr2bl w:val="nil"/>
            </w:tcBorders>
            <w:vAlign w:val="center"/>
          </w:tcPr>
          <w:p w14:paraId="6AFC64A6">
            <w:pPr>
              <w:pStyle w:val="160"/>
            </w:pPr>
            <w:r>
              <w:t>PM</w:t>
            </w:r>
            <w:r>
              <w:rPr>
                <w:vertAlign w:val="subscript"/>
              </w:rPr>
              <w:t>10</w:t>
            </w:r>
          </w:p>
        </w:tc>
        <w:tc>
          <w:tcPr>
            <w:tcW w:w="1329" w:type="dxa"/>
            <w:tcBorders>
              <w:tl2br w:val="nil"/>
              <w:tr2bl w:val="nil"/>
            </w:tcBorders>
            <w:vAlign w:val="center"/>
          </w:tcPr>
          <w:p w14:paraId="6FAE2871">
            <w:pPr>
              <w:pStyle w:val="160"/>
            </w:pPr>
            <w:r>
              <w:t>-</w:t>
            </w:r>
          </w:p>
        </w:tc>
        <w:tc>
          <w:tcPr>
            <w:tcW w:w="1236" w:type="dxa"/>
            <w:tcBorders>
              <w:tl2br w:val="nil"/>
              <w:tr2bl w:val="nil"/>
            </w:tcBorders>
            <w:vAlign w:val="center"/>
          </w:tcPr>
          <w:p w14:paraId="075265E0">
            <w:pPr>
              <w:pStyle w:val="160"/>
            </w:pPr>
            <w:r>
              <w:rPr>
                <w:rFonts w:hint="eastAsia"/>
              </w:rPr>
              <w:t>120</w:t>
            </w:r>
          </w:p>
        </w:tc>
        <w:tc>
          <w:tcPr>
            <w:tcW w:w="1423" w:type="dxa"/>
            <w:tcBorders>
              <w:tl2br w:val="nil"/>
              <w:tr2bl w:val="nil"/>
            </w:tcBorders>
            <w:vAlign w:val="center"/>
          </w:tcPr>
          <w:p w14:paraId="7F1AE85C">
            <w:pPr>
              <w:pStyle w:val="160"/>
            </w:pPr>
            <w:r>
              <w:rPr>
                <w:rFonts w:hint="eastAsia"/>
              </w:rPr>
              <w:t>30</w:t>
            </w:r>
          </w:p>
        </w:tc>
        <w:tc>
          <w:tcPr>
            <w:tcW w:w="2242" w:type="dxa"/>
            <w:vMerge w:val="continue"/>
            <w:tcBorders>
              <w:tl2br w:val="nil"/>
              <w:tr2bl w:val="nil"/>
            </w:tcBorders>
            <w:vAlign w:val="center"/>
          </w:tcPr>
          <w:p w14:paraId="46511525">
            <w:pPr>
              <w:pStyle w:val="160"/>
            </w:pPr>
          </w:p>
        </w:tc>
      </w:tr>
      <w:tr w14:paraId="24571BA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6" w:hRule="atLeast"/>
          <w:jc w:val="center"/>
        </w:trPr>
        <w:tc>
          <w:tcPr>
            <w:tcW w:w="719" w:type="dxa"/>
            <w:tcBorders>
              <w:tl2br w:val="nil"/>
              <w:tr2bl w:val="nil"/>
            </w:tcBorders>
            <w:vAlign w:val="center"/>
          </w:tcPr>
          <w:p w14:paraId="6AD1B419">
            <w:pPr>
              <w:pStyle w:val="160"/>
            </w:pPr>
            <w:r>
              <w:t>3</w:t>
            </w:r>
          </w:p>
        </w:tc>
        <w:tc>
          <w:tcPr>
            <w:tcW w:w="1426" w:type="dxa"/>
            <w:tcBorders>
              <w:tl2br w:val="nil"/>
              <w:tr2bl w:val="nil"/>
            </w:tcBorders>
            <w:vAlign w:val="center"/>
          </w:tcPr>
          <w:p w14:paraId="09F7210A">
            <w:pPr>
              <w:pStyle w:val="160"/>
            </w:pPr>
            <w:r>
              <w:t>TSP</w:t>
            </w:r>
          </w:p>
        </w:tc>
        <w:tc>
          <w:tcPr>
            <w:tcW w:w="1329" w:type="dxa"/>
            <w:tcBorders>
              <w:tl2br w:val="nil"/>
              <w:tr2bl w:val="nil"/>
            </w:tcBorders>
            <w:vAlign w:val="center"/>
          </w:tcPr>
          <w:p w14:paraId="68BB3D25">
            <w:pPr>
              <w:pStyle w:val="160"/>
            </w:pPr>
            <w:r>
              <w:t>-</w:t>
            </w:r>
          </w:p>
        </w:tc>
        <w:tc>
          <w:tcPr>
            <w:tcW w:w="1236" w:type="dxa"/>
            <w:tcBorders>
              <w:tl2br w:val="nil"/>
              <w:tr2bl w:val="nil"/>
            </w:tcBorders>
            <w:vAlign w:val="center"/>
          </w:tcPr>
          <w:p w14:paraId="72259D57">
            <w:pPr>
              <w:pStyle w:val="160"/>
            </w:pPr>
            <w:r>
              <w:t>300</w:t>
            </w:r>
          </w:p>
        </w:tc>
        <w:tc>
          <w:tcPr>
            <w:tcW w:w="1423" w:type="dxa"/>
            <w:tcBorders>
              <w:tl2br w:val="nil"/>
              <w:tr2bl w:val="nil"/>
            </w:tcBorders>
            <w:vAlign w:val="center"/>
          </w:tcPr>
          <w:p w14:paraId="2811F7D6">
            <w:pPr>
              <w:pStyle w:val="160"/>
            </w:pPr>
            <w:r>
              <w:t>200</w:t>
            </w:r>
          </w:p>
        </w:tc>
        <w:tc>
          <w:tcPr>
            <w:tcW w:w="2242" w:type="dxa"/>
            <w:vMerge w:val="continue"/>
            <w:tcBorders>
              <w:tl2br w:val="nil"/>
              <w:tr2bl w:val="nil"/>
            </w:tcBorders>
            <w:vAlign w:val="center"/>
          </w:tcPr>
          <w:p w14:paraId="545D8F81">
            <w:pPr>
              <w:pStyle w:val="160"/>
            </w:pPr>
          </w:p>
        </w:tc>
      </w:tr>
      <w:tr w14:paraId="29D3169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6" w:hRule="atLeast"/>
          <w:jc w:val="center"/>
        </w:trPr>
        <w:tc>
          <w:tcPr>
            <w:tcW w:w="719" w:type="dxa"/>
            <w:tcBorders>
              <w:tl2br w:val="nil"/>
              <w:tr2bl w:val="nil"/>
            </w:tcBorders>
            <w:vAlign w:val="center"/>
          </w:tcPr>
          <w:p w14:paraId="3CCBF28A">
            <w:pPr>
              <w:pStyle w:val="160"/>
            </w:pPr>
            <w:r>
              <w:t>4</w:t>
            </w:r>
          </w:p>
        </w:tc>
        <w:tc>
          <w:tcPr>
            <w:tcW w:w="1426" w:type="dxa"/>
            <w:tcBorders>
              <w:tl2br w:val="nil"/>
              <w:tr2bl w:val="nil"/>
            </w:tcBorders>
            <w:vAlign w:val="center"/>
          </w:tcPr>
          <w:p w14:paraId="7724660E">
            <w:pPr>
              <w:pStyle w:val="160"/>
            </w:pPr>
            <w:r>
              <w:t>SO</w:t>
            </w:r>
            <w:r>
              <w:rPr>
                <w:vertAlign w:val="subscript"/>
              </w:rPr>
              <w:t>2</w:t>
            </w:r>
          </w:p>
        </w:tc>
        <w:tc>
          <w:tcPr>
            <w:tcW w:w="1329" w:type="dxa"/>
            <w:tcBorders>
              <w:tl2br w:val="nil"/>
              <w:tr2bl w:val="nil"/>
            </w:tcBorders>
            <w:vAlign w:val="center"/>
          </w:tcPr>
          <w:p w14:paraId="4A6C23B1">
            <w:pPr>
              <w:pStyle w:val="160"/>
            </w:pPr>
            <w:r>
              <w:t>500</w:t>
            </w:r>
          </w:p>
        </w:tc>
        <w:tc>
          <w:tcPr>
            <w:tcW w:w="1236" w:type="dxa"/>
            <w:tcBorders>
              <w:tl2br w:val="nil"/>
              <w:tr2bl w:val="nil"/>
            </w:tcBorders>
            <w:vAlign w:val="center"/>
          </w:tcPr>
          <w:p w14:paraId="31A219D7">
            <w:pPr>
              <w:pStyle w:val="160"/>
            </w:pPr>
            <w:r>
              <w:t>150</w:t>
            </w:r>
          </w:p>
        </w:tc>
        <w:tc>
          <w:tcPr>
            <w:tcW w:w="1423" w:type="dxa"/>
            <w:tcBorders>
              <w:tl2br w:val="nil"/>
              <w:tr2bl w:val="nil"/>
            </w:tcBorders>
            <w:vAlign w:val="center"/>
          </w:tcPr>
          <w:p w14:paraId="32C60D18">
            <w:pPr>
              <w:pStyle w:val="160"/>
            </w:pPr>
            <w:r>
              <w:t>60</w:t>
            </w:r>
          </w:p>
        </w:tc>
        <w:tc>
          <w:tcPr>
            <w:tcW w:w="2242" w:type="dxa"/>
            <w:vMerge w:val="continue"/>
            <w:tcBorders>
              <w:tl2br w:val="nil"/>
              <w:tr2bl w:val="nil"/>
            </w:tcBorders>
            <w:vAlign w:val="center"/>
          </w:tcPr>
          <w:p w14:paraId="72F13033">
            <w:pPr>
              <w:pStyle w:val="160"/>
            </w:pPr>
          </w:p>
        </w:tc>
      </w:tr>
      <w:tr w14:paraId="10AE78D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6" w:hRule="atLeast"/>
          <w:jc w:val="center"/>
        </w:trPr>
        <w:tc>
          <w:tcPr>
            <w:tcW w:w="719" w:type="dxa"/>
            <w:tcBorders>
              <w:tl2br w:val="nil"/>
              <w:tr2bl w:val="nil"/>
            </w:tcBorders>
            <w:vAlign w:val="center"/>
          </w:tcPr>
          <w:p w14:paraId="2216F860">
            <w:pPr>
              <w:pStyle w:val="160"/>
            </w:pPr>
            <w:r>
              <w:t>5</w:t>
            </w:r>
          </w:p>
        </w:tc>
        <w:tc>
          <w:tcPr>
            <w:tcW w:w="1426" w:type="dxa"/>
            <w:tcBorders>
              <w:tl2br w:val="nil"/>
              <w:tr2bl w:val="nil"/>
            </w:tcBorders>
            <w:vAlign w:val="center"/>
          </w:tcPr>
          <w:p w14:paraId="664339F6">
            <w:pPr>
              <w:pStyle w:val="160"/>
            </w:pPr>
            <w:r>
              <w:t>NO</w:t>
            </w:r>
            <w:r>
              <w:rPr>
                <w:vertAlign w:val="subscript"/>
              </w:rPr>
              <w:t>2</w:t>
            </w:r>
          </w:p>
        </w:tc>
        <w:tc>
          <w:tcPr>
            <w:tcW w:w="1329" w:type="dxa"/>
            <w:tcBorders>
              <w:tl2br w:val="nil"/>
              <w:tr2bl w:val="nil"/>
            </w:tcBorders>
            <w:vAlign w:val="center"/>
          </w:tcPr>
          <w:p w14:paraId="3C139052">
            <w:pPr>
              <w:pStyle w:val="160"/>
            </w:pPr>
            <w:r>
              <w:t>200</w:t>
            </w:r>
          </w:p>
        </w:tc>
        <w:tc>
          <w:tcPr>
            <w:tcW w:w="1236" w:type="dxa"/>
            <w:tcBorders>
              <w:tl2br w:val="nil"/>
              <w:tr2bl w:val="nil"/>
            </w:tcBorders>
            <w:vAlign w:val="center"/>
          </w:tcPr>
          <w:p w14:paraId="55948097">
            <w:pPr>
              <w:pStyle w:val="160"/>
            </w:pPr>
            <w:r>
              <w:t>80</w:t>
            </w:r>
          </w:p>
        </w:tc>
        <w:tc>
          <w:tcPr>
            <w:tcW w:w="1423" w:type="dxa"/>
            <w:tcBorders>
              <w:tl2br w:val="nil"/>
              <w:tr2bl w:val="nil"/>
            </w:tcBorders>
            <w:vAlign w:val="center"/>
          </w:tcPr>
          <w:p w14:paraId="3D1602CA">
            <w:pPr>
              <w:pStyle w:val="160"/>
            </w:pPr>
            <w:r>
              <w:t>40</w:t>
            </w:r>
          </w:p>
        </w:tc>
        <w:tc>
          <w:tcPr>
            <w:tcW w:w="2242" w:type="dxa"/>
            <w:vMerge w:val="continue"/>
            <w:tcBorders>
              <w:tl2br w:val="nil"/>
              <w:tr2bl w:val="nil"/>
            </w:tcBorders>
            <w:vAlign w:val="center"/>
          </w:tcPr>
          <w:p w14:paraId="1075C25F">
            <w:pPr>
              <w:pStyle w:val="160"/>
            </w:pPr>
          </w:p>
        </w:tc>
      </w:tr>
      <w:tr w14:paraId="5B04C45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6" w:hRule="atLeast"/>
          <w:jc w:val="center"/>
        </w:trPr>
        <w:tc>
          <w:tcPr>
            <w:tcW w:w="719" w:type="dxa"/>
            <w:tcBorders>
              <w:tl2br w:val="nil"/>
              <w:tr2bl w:val="nil"/>
            </w:tcBorders>
            <w:vAlign w:val="center"/>
          </w:tcPr>
          <w:p w14:paraId="105E06FB">
            <w:pPr>
              <w:pStyle w:val="160"/>
            </w:pPr>
            <w:r>
              <w:t>6</w:t>
            </w:r>
          </w:p>
        </w:tc>
        <w:tc>
          <w:tcPr>
            <w:tcW w:w="1426" w:type="dxa"/>
            <w:tcBorders>
              <w:tl2br w:val="nil"/>
              <w:tr2bl w:val="nil"/>
            </w:tcBorders>
            <w:vAlign w:val="center"/>
          </w:tcPr>
          <w:p w14:paraId="023E73E0">
            <w:pPr>
              <w:pStyle w:val="160"/>
            </w:pPr>
            <w:r>
              <w:t>CO</w:t>
            </w:r>
          </w:p>
        </w:tc>
        <w:tc>
          <w:tcPr>
            <w:tcW w:w="1329" w:type="dxa"/>
            <w:tcBorders>
              <w:tl2br w:val="nil"/>
              <w:tr2bl w:val="nil"/>
            </w:tcBorders>
            <w:vAlign w:val="center"/>
          </w:tcPr>
          <w:p w14:paraId="30EFFDB1">
            <w:pPr>
              <w:pStyle w:val="160"/>
            </w:pPr>
            <w:r>
              <w:t>10mg/m</w:t>
            </w:r>
            <w:r>
              <w:rPr>
                <w:vertAlign w:val="superscript"/>
              </w:rPr>
              <w:t>3</w:t>
            </w:r>
          </w:p>
        </w:tc>
        <w:tc>
          <w:tcPr>
            <w:tcW w:w="1236" w:type="dxa"/>
            <w:tcBorders>
              <w:tl2br w:val="nil"/>
              <w:tr2bl w:val="nil"/>
            </w:tcBorders>
            <w:vAlign w:val="center"/>
          </w:tcPr>
          <w:p w14:paraId="01E43451">
            <w:pPr>
              <w:pStyle w:val="160"/>
            </w:pPr>
            <w:r>
              <w:t>4mg/m</w:t>
            </w:r>
            <w:r>
              <w:rPr>
                <w:vertAlign w:val="superscript"/>
              </w:rPr>
              <w:t>3</w:t>
            </w:r>
          </w:p>
        </w:tc>
        <w:tc>
          <w:tcPr>
            <w:tcW w:w="1423" w:type="dxa"/>
            <w:tcBorders>
              <w:tl2br w:val="nil"/>
              <w:tr2bl w:val="nil"/>
            </w:tcBorders>
            <w:vAlign w:val="center"/>
          </w:tcPr>
          <w:p w14:paraId="2AB7B6B5">
            <w:pPr>
              <w:pStyle w:val="160"/>
            </w:pPr>
            <w:r>
              <w:t>-</w:t>
            </w:r>
          </w:p>
        </w:tc>
        <w:tc>
          <w:tcPr>
            <w:tcW w:w="2242" w:type="dxa"/>
            <w:vMerge w:val="continue"/>
            <w:tcBorders>
              <w:tl2br w:val="nil"/>
              <w:tr2bl w:val="nil"/>
            </w:tcBorders>
            <w:vAlign w:val="center"/>
          </w:tcPr>
          <w:p w14:paraId="64E908D5">
            <w:pPr>
              <w:pStyle w:val="160"/>
            </w:pPr>
          </w:p>
        </w:tc>
      </w:tr>
      <w:tr w14:paraId="70B2643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6" w:hRule="atLeast"/>
          <w:jc w:val="center"/>
        </w:trPr>
        <w:tc>
          <w:tcPr>
            <w:tcW w:w="719" w:type="dxa"/>
            <w:tcBorders>
              <w:tl2br w:val="nil"/>
              <w:tr2bl w:val="nil"/>
            </w:tcBorders>
            <w:vAlign w:val="center"/>
          </w:tcPr>
          <w:p w14:paraId="60EE470D">
            <w:pPr>
              <w:pStyle w:val="160"/>
            </w:pPr>
            <w:r>
              <w:t>7</w:t>
            </w:r>
          </w:p>
        </w:tc>
        <w:tc>
          <w:tcPr>
            <w:tcW w:w="1426" w:type="dxa"/>
            <w:tcBorders>
              <w:tl2br w:val="nil"/>
              <w:tr2bl w:val="nil"/>
            </w:tcBorders>
            <w:vAlign w:val="center"/>
          </w:tcPr>
          <w:p w14:paraId="3028B60F">
            <w:pPr>
              <w:pStyle w:val="160"/>
            </w:pPr>
            <w:r>
              <w:t>O</w:t>
            </w:r>
            <w:r>
              <w:rPr>
                <w:vertAlign w:val="subscript"/>
              </w:rPr>
              <w:t>3</w:t>
            </w:r>
          </w:p>
        </w:tc>
        <w:tc>
          <w:tcPr>
            <w:tcW w:w="1329" w:type="dxa"/>
            <w:tcBorders>
              <w:tl2br w:val="nil"/>
              <w:tr2bl w:val="nil"/>
            </w:tcBorders>
            <w:vAlign w:val="center"/>
          </w:tcPr>
          <w:p w14:paraId="24DD2C5A">
            <w:pPr>
              <w:pStyle w:val="160"/>
            </w:pPr>
            <w:r>
              <w:t>200</w:t>
            </w:r>
          </w:p>
        </w:tc>
        <w:tc>
          <w:tcPr>
            <w:tcW w:w="1236" w:type="dxa"/>
            <w:tcBorders>
              <w:tl2br w:val="nil"/>
              <w:tr2bl w:val="nil"/>
            </w:tcBorders>
            <w:vAlign w:val="center"/>
          </w:tcPr>
          <w:p w14:paraId="53FB366F">
            <w:pPr>
              <w:pStyle w:val="160"/>
            </w:pPr>
            <w:r>
              <w:t>160</w:t>
            </w:r>
          </w:p>
        </w:tc>
        <w:tc>
          <w:tcPr>
            <w:tcW w:w="1423" w:type="dxa"/>
            <w:tcBorders>
              <w:tl2br w:val="nil"/>
              <w:tr2bl w:val="nil"/>
            </w:tcBorders>
            <w:vAlign w:val="center"/>
          </w:tcPr>
          <w:p w14:paraId="676433F0">
            <w:pPr>
              <w:pStyle w:val="160"/>
            </w:pPr>
            <w:r>
              <w:t>-</w:t>
            </w:r>
          </w:p>
        </w:tc>
        <w:tc>
          <w:tcPr>
            <w:tcW w:w="2242" w:type="dxa"/>
            <w:vMerge w:val="continue"/>
            <w:tcBorders>
              <w:tl2br w:val="nil"/>
              <w:tr2bl w:val="nil"/>
            </w:tcBorders>
            <w:vAlign w:val="center"/>
          </w:tcPr>
          <w:p w14:paraId="0A296272">
            <w:pPr>
              <w:pStyle w:val="160"/>
            </w:pPr>
          </w:p>
        </w:tc>
      </w:tr>
    </w:tbl>
    <w:p w14:paraId="06BC542D">
      <w:pPr>
        <w:snapToGrid w:val="0"/>
        <w:spacing w:before="78" w:line="360" w:lineRule="auto"/>
        <w:ind w:firstLine="482" w:firstLineChars="200"/>
        <w:rPr>
          <w:b/>
          <w:bCs/>
          <w:kern w:val="0"/>
          <w:sz w:val="24"/>
        </w:rPr>
      </w:pPr>
      <w:r>
        <w:rPr>
          <w:rFonts w:hint="eastAsia"/>
          <w:b/>
          <w:bCs/>
          <w:kern w:val="0"/>
          <w:sz w:val="24"/>
        </w:rPr>
        <w:t>（2）</w:t>
      </w:r>
      <w:r>
        <w:rPr>
          <w:b/>
          <w:bCs/>
          <w:kern w:val="0"/>
          <w:sz w:val="24"/>
        </w:rPr>
        <w:t>声环境质量标准</w:t>
      </w:r>
    </w:p>
    <w:p w14:paraId="01F5F7ED">
      <w:pPr>
        <w:adjustRightInd w:val="0"/>
        <w:snapToGrid w:val="0"/>
        <w:spacing w:before="93" w:beforeLines="30" w:after="93" w:afterLines="30" w:line="360" w:lineRule="auto"/>
        <w:ind w:firstLine="480" w:firstLineChars="200"/>
        <w:rPr>
          <w:sz w:val="24"/>
        </w:rPr>
      </w:pPr>
      <w:r>
        <w:rPr>
          <w:sz w:val="24"/>
        </w:rPr>
        <w:t>本项目厂址位于</w:t>
      </w:r>
      <w:r>
        <w:rPr>
          <w:kern w:val="0"/>
          <w:sz w:val="24"/>
        </w:rPr>
        <w:t>阜新蒙古族自治县旧庙镇</w:t>
      </w:r>
      <w:r>
        <w:rPr>
          <w:rFonts w:hint="eastAsia"/>
          <w:kern w:val="0"/>
          <w:sz w:val="24"/>
        </w:rPr>
        <w:t>阿哈来村</w:t>
      </w:r>
      <w:r>
        <w:rPr>
          <w:sz w:val="24"/>
        </w:rPr>
        <w:t>，执行《声环境质量标准》（GB3096-2008）1类标准，标准值昼间55dB（A）、夜间45dB（A）。</w:t>
      </w:r>
    </w:p>
    <w:p w14:paraId="5434EDB4">
      <w:pPr>
        <w:snapToGrid w:val="0"/>
        <w:spacing w:before="78" w:line="360" w:lineRule="auto"/>
        <w:ind w:firstLine="482" w:firstLineChars="200"/>
        <w:rPr>
          <w:b/>
          <w:bCs/>
          <w:kern w:val="0"/>
          <w:sz w:val="24"/>
        </w:rPr>
      </w:pPr>
      <w:r>
        <w:rPr>
          <w:rFonts w:hint="eastAsia"/>
          <w:b/>
          <w:bCs/>
          <w:kern w:val="0"/>
          <w:sz w:val="24"/>
        </w:rPr>
        <w:t>（3）</w:t>
      </w:r>
      <w:r>
        <w:rPr>
          <w:b/>
          <w:bCs/>
          <w:kern w:val="0"/>
          <w:sz w:val="24"/>
        </w:rPr>
        <w:t>地下水环境标准</w:t>
      </w:r>
    </w:p>
    <w:p w14:paraId="0D8FEB7C">
      <w:pPr>
        <w:adjustRightInd w:val="0"/>
        <w:snapToGrid w:val="0"/>
        <w:spacing w:before="93" w:beforeLines="30" w:after="93" w:afterLines="30" w:line="360" w:lineRule="auto"/>
        <w:ind w:firstLine="480" w:firstLineChars="200"/>
        <w:rPr>
          <w:sz w:val="24"/>
        </w:rPr>
      </w:pPr>
      <w:r>
        <w:rPr>
          <w:sz w:val="24"/>
        </w:rPr>
        <w:t>地下水质量执行《地下水质量标准》（GB/T14848-2017）Ⅲ类标准，石油类参照《生活饮用水卫生标准》（GB5749-20</w:t>
      </w:r>
      <w:r>
        <w:rPr>
          <w:rFonts w:hint="eastAsia"/>
          <w:sz w:val="24"/>
        </w:rPr>
        <w:t>22</w:t>
      </w:r>
      <w:r>
        <w:rPr>
          <w:sz w:val="24"/>
        </w:rPr>
        <w:t>）中限值，</w:t>
      </w:r>
      <w:r>
        <w:rPr>
          <w:rFonts w:hint="eastAsia"/>
          <w:sz w:val="24"/>
        </w:rPr>
        <w:t>钒、钛</w:t>
      </w:r>
      <w:r>
        <w:rPr>
          <w:sz w:val="24"/>
        </w:rPr>
        <w:t>参照《</w:t>
      </w:r>
      <w:r>
        <w:rPr>
          <w:rFonts w:hint="eastAsia"/>
          <w:sz w:val="24"/>
        </w:rPr>
        <w:t>地表水环境质量</w:t>
      </w:r>
      <w:r>
        <w:rPr>
          <w:sz w:val="24"/>
        </w:rPr>
        <w:t>标准》（GB3838-2002）中限值，其标准值详见表2.3-2。</w:t>
      </w:r>
    </w:p>
    <w:p w14:paraId="6549BD66">
      <w:pPr>
        <w:pStyle w:val="143"/>
        <w:spacing w:before="0" w:beforeLines="0"/>
        <w:rPr>
          <w:b/>
          <w:bCs w:val="0"/>
        </w:rPr>
      </w:pPr>
      <w:r>
        <w:rPr>
          <w:b/>
          <w:bCs w:val="0"/>
        </w:rPr>
        <w:t>表2.3-2   地下水质量标准</w:t>
      </w:r>
    </w:p>
    <w:tbl>
      <w:tblPr>
        <w:tblStyle w:val="221"/>
        <w:tblW w:w="4972"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216"/>
        <w:gridCol w:w="2903"/>
        <w:gridCol w:w="1270"/>
        <w:gridCol w:w="2876"/>
      </w:tblGrid>
      <w:tr w14:paraId="314AC4D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tcBorders>
              <w:tl2br w:val="nil"/>
              <w:tr2bl w:val="nil"/>
            </w:tcBorders>
            <w:vAlign w:val="center"/>
          </w:tcPr>
          <w:p w14:paraId="58F3EB96">
            <w:pPr>
              <w:pStyle w:val="220"/>
              <w:spacing w:before="0" w:beforeLines="0" w:line="240" w:lineRule="auto"/>
              <w:rPr>
                <w:sz w:val="21"/>
                <w:szCs w:val="21"/>
              </w:rPr>
            </w:pPr>
            <w:r>
              <w:rPr>
                <w:sz w:val="21"/>
                <w:szCs w:val="21"/>
              </w:rPr>
              <w:t>要素</w:t>
            </w:r>
          </w:p>
        </w:tc>
        <w:tc>
          <w:tcPr>
            <w:tcW w:w="1756" w:type="pct"/>
            <w:tcBorders>
              <w:tl2br w:val="nil"/>
              <w:tr2bl w:val="nil"/>
            </w:tcBorders>
            <w:vAlign w:val="center"/>
          </w:tcPr>
          <w:p w14:paraId="20A1CB29">
            <w:pPr>
              <w:pStyle w:val="220"/>
              <w:spacing w:before="0" w:beforeLines="0" w:line="240" w:lineRule="auto"/>
              <w:rPr>
                <w:sz w:val="21"/>
                <w:szCs w:val="21"/>
              </w:rPr>
            </w:pPr>
            <w:r>
              <w:rPr>
                <w:sz w:val="21"/>
                <w:szCs w:val="21"/>
              </w:rPr>
              <w:t>项目</w:t>
            </w:r>
          </w:p>
        </w:tc>
        <w:tc>
          <w:tcPr>
            <w:tcW w:w="768" w:type="pct"/>
            <w:tcBorders>
              <w:tl2br w:val="nil"/>
              <w:tr2bl w:val="nil"/>
            </w:tcBorders>
            <w:vAlign w:val="center"/>
          </w:tcPr>
          <w:p w14:paraId="79FBAC6C">
            <w:pPr>
              <w:pStyle w:val="220"/>
              <w:spacing w:before="0" w:beforeLines="0" w:line="240" w:lineRule="auto"/>
              <w:rPr>
                <w:sz w:val="21"/>
                <w:szCs w:val="21"/>
              </w:rPr>
            </w:pPr>
            <w:r>
              <w:rPr>
                <w:sz w:val="21"/>
                <w:szCs w:val="21"/>
              </w:rPr>
              <w:t>单位</w:t>
            </w:r>
          </w:p>
        </w:tc>
        <w:tc>
          <w:tcPr>
            <w:tcW w:w="1740" w:type="pct"/>
            <w:tcBorders>
              <w:tl2br w:val="nil"/>
              <w:tr2bl w:val="nil"/>
            </w:tcBorders>
            <w:vAlign w:val="center"/>
          </w:tcPr>
          <w:p w14:paraId="4712A4D8">
            <w:pPr>
              <w:pStyle w:val="220"/>
              <w:spacing w:before="0" w:beforeLines="0" w:line="240" w:lineRule="auto"/>
              <w:rPr>
                <w:sz w:val="21"/>
                <w:szCs w:val="21"/>
              </w:rPr>
            </w:pPr>
            <w:r>
              <w:rPr>
                <w:sz w:val="21"/>
                <w:szCs w:val="21"/>
              </w:rPr>
              <w:t>标准值</w:t>
            </w:r>
          </w:p>
        </w:tc>
      </w:tr>
      <w:tr w14:paraId="1264FB8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restart"/>
            <w:tcBorders>
              <w:tl2br w:val="nil"/>
              <w:tr2bl w:val="nil"/>
            </w:tcBorders>
            <w:vAlign w:val="center"/>
          </w:tcPr>
          <w:p w14:paraId="1C6D514E">
            <w:pPr>
              <w:pStyle w:val="220"/>
              <w:spacing w:before="0" w:beforeLines="0" w:line="240" w:lineRule="auto"/>
              <w:rPr>
                <w:sz w:val="21"/>
                <w:szCs w:val="21"/>
              </w:rPr>
            </w:pPr>
            <w:r>
              <w:rPr>
                <w:sz w:val="21"/>
                <w:szCs w:val="21"/>
              </w:rPr>
              <w:t>地下水环境</w:t>
            </w:r>
          </w:p>
        </w:tc>
        <w:tc>
          <w:tcPr>
            <w:tcW w:w="1756" w:type="pct"/>
            <w:tcBorders>
              <w:tl2br w:val="nil"/>
              <w:tr2bl w:val="nil"/>
            </w:tcBorders>
            <w:vAlign w:val="center"/>
          </w:tcPr>
          <w:p w14:paraId="28D4ECD6">
            <w:pPr>
              <w:snapToGrid w:val="0"/>
              <w:spacing w:before="0" w:beforeLines="0" w:line="240" w:lineRule="auto"/>
              <w:jc w:val="center"/>
              <w:rPr>
                <w:szCs w:val="21"/>
              </w:rPr>
            </w:pPr>
            <w:r>
              <w:rPr>
                <w:kern w:val="0"/>
                <w:szCs w:val="21"/>
                <w:lang w:bidi="ar"/>
              </w:rPr>
              <w:t>pH</w:t>
            </w:r>
          </w:p>
        </w:tc>
        <w:tc>
          <w:tcPr>
            <w:tcW w:w="768" w:type="pct"/>
            <w:vMerge w:val="restart"/>
            <w:tcBorders>
              <w:tl2br w:val="nil"/>
              <w:tr2bl w:val="nil"/>
            </w:tcBorders>
            <w:vAlign w:val="center"/>
          </w:tcPr>
          <w:p w14:paraId="0B8E9CDF">
            <w:pPr>
              <w:pStyle w:val="220"/>
              <w:spacing w:before="0" w:beforeLines="0" w:line="240" w:lineRule="auto"/>
              <w:rPr>
                <w:sz w:val="21"/>
                <w:szCs w:val="21"/>
              </w:rPr>
            </w:pPr>
            <w:r>
              <w:rPr>
                <w:sz w:val="21"/>
                <w:szCs w:val="21"/>
              </w:rPr>
              <w:t>mg/L</w:t>
            </w:r>
          </w:p>
        </w:tc>
        <w:tc>
          <w:tcPr>
            <w:tcW w:w="1740" w:type="pct"/>
            <w:tcBorders>
              <w:tl2br w:val="nil"/>
              <w:tr2bl w:val="nil"/>
            </w:tcBorders>
            <w:vAlign w:val="center"/>
          </w:tcPr>
          <w:p w14:paraId="7924C34B">
            <w:pPr>
              <w:snapToGrid w:val="0"/>
              <w:spacing w:before="0" w:beforeLines="0" w:line="240" w:lineRule="auto"/>
              <w:jc w:val="center"/>
              <w:rPr>
                <w:szCs w:val="21"/>
              </w:rPr>
            </w:pPr>
            <w:r>
              <w:rPr>
                <w:szCs w:val="21"/>
              </w:rPr>
              <w:t>6.5～8.5</w:t>
            </w:r>
          </w:p>
        </w:tc>
      </w:tr>
      <w:tr w14:paraId="195DDE5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14:paraId="47111CAA">
            <w:pPr>
              <w:pStyle w:val="220"/>
              <w:spacing w:before="0" w:beforeLines="0" w:line="240" w:lineRule="auto"/>
              <w:rPr>
                <w:sz w:val="21"/>
                <w:szCs w:val="21"/>
              </w:rPr>
            </w:pPr>
          </w:p>
        </w:tc>
        <w:tc>
          <w:tcPr>
            <w:tcW w:w="1756" w:type="pct"/>
            <w:tcBorders>
              <w:tl2br w:val="nil"/>
              <w:tr2bl w:val="nil"/>
            </w:tcBorders>
            <w:vAlign w:val="center"/>
          </w:tcPr>
          <w:p w14:paraId="76858450">
            <w:pPr>
              <w:snapToGrid w:val="0"/>
              <w:spacing w:before="0" w:beforeLines="0" w:line="240" w:lineRule="auto"/>
              <w:jc w:val="center"/>
              <w:rPr>
                <w:kern w:val="0"/>
                <w:szCs w:val="21"/>
                <w:lang w:bidi="ar"/>
              </w:rPr>
            </w:pPr>
            <w:r>
              <w:rPr>
                <w:kern w:val="0"/>
                <w:szCs w:val="21"/>
                <w:lang w:bidi="ar"/>
              </w:rPr>
              <w:t>硝酸盐</w:t>
            </w:r>
          </w:p>
        </w:tc>
        <w:tc>
          <w:tcPr>
            <w:tcW w:w="768" w:type="pct"/>
            <w:vMerge w:val="continue"/>
            <w:tcBorders>
              <w:tl2br w:val="nil"/>
              <w:tr2bl w:val="nil"/>
            </w:tcBorders>
            <w:vAlign w:val="center"/>
          </w:tcPr>
          <w:p w14:paraId="7B31FA1A">
            <w:pPr>
              <w:pStyle w:val="220"/>
              <w:spacing w:before="0" w:beforeLines="0" w:line="240" w:lineRule="auto"/>
              <w:rPr>
                <w:sz w:val="21"/>
                <w:szCs w:val="21"/>
              </w:rPr>
            </w:pPr>
          </w:p>
        </w:tc>
        <w:tc>
          <w:tcPr>
            <w:tcW w:w="1740" w:type="pct"/>
            <w:tcBorders>
              <w:tl2br w:val="nil"/>
              <w:tr2bl w:val="nil"/>
            </w:tcBorders>
            <w:vAlign w:val="center"/>
          </w:tcPr>
          <w:p w14:paraId="4754C030">
            <w:pPr>
              <w:snapToGrid w:val="0"/>
              <w:spacing w:before="0" w:beforeLines="0" w:line="240" w:lineRule="auto"/>
              <w:jc w:val="center"/>
              <w:rPr>
                <w:szCs w:val="21"/>
              </w:rPr>
            </w:pPr>
            <w:r>
              <w:rPr>
                <w:szCs w:val="21"/>
              </w:rPr>
              <w:t>≤20</w:t>
            </w:r>
          </w:p>
        </w:tc>
      </w:tr>
      <w:tr w14:paraId="41376BB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14:paraId="4126539E">
            <w:pPr>
              <w:pStyle w:val="220"/>
              <w:spacing w:before="0" w:beforeLines="0" w:line="240" w:lineRule="auto"/>
              <w:rPr>
                <w:sz w:val="21"/>
                <w:szCs w:val="21"/>
              </w:rPr>
            </w:pPr>
          </w:p>
        </w:tc>
        <w:tc>
          <w:tcPr>
            <w:tcW w:w="1756" w:type="pct"/>
            <w:tcBorders>
              <w:tl2br w:val="nil"/>
              <w:tr2bl w:val="nil"/>
            </w:tcBorders>
            <w:vAlign w:val="center"/>
          </w:tcPr>
          <w:p w14:paraId="7662A2D8">
            <w:pPr>
              <w:snapToGrid w:val="0"/>
              <w:spacing w:before="0" w:beforeLines="0" w:line="240" w:lineRule="auto"/>
              <w:jc w:val="center"/>
              <w:rPr>
                <w:kern w:val="0"/>
                <w:szCs w:val="21"/>
                <w:lang w:bidi="ar"/>
              </w:rPr>
            </w:pPr>
            <w:r>
              <w:rPr>
                <w:kern w:val="0"/>
                <w:szCs w:val="21"/>
                <w:lang w:bidi="ar"/>
              </w:rPr>
              <w:t>挥发性酚类</w:t>
            </w:r>
          </w:p>
        </w:tc>
        <w:tc>
          <w:tcPr>
            <w:tcW w:w="768" w:type="pct"/>
            <w:vMerge w:val="continue"/>
            <w:tcBorders>
              <w:tl2br w:val="nil"/>
              <w:tr2bl w:val="nil"/>
            </w:tcBorders>
            <w:vAlign w:val="center"/>
          </w:tcPr>
          <w:p w14:paraId="410E3F7D">
            <w:pPr>
              <w:pStyle w:val="220"/>
              <w:spacing w:before="0" w:beforeLines="0" w:line="240" w:lineRule="auto"/>
              <w:rPr>
                <w:sz w:val="21"/>
                <w:szCs w:val="21"/>
              </w:rPr>
            </w:pPr>
          </w:p>
        </w:tc>
        <w:tc>
          <w:tcPr>
            <w:tcW w:w="1740" w:type="pct"/>
            <w:tcBorders>
              <w:tl2br w:val="nil"/>
              <w:tr2bl w:val="nil"/>
            </w:tcBorders>
            <w:vAlign w:val="center"/>
          </w:tcPr>
          <w:p w14:paraId="5AA68489">
            <w:pPr>
              <w:snapToGrid w:val="0"/>
              <w:spacing w:before="0" w:beforeLines="0" w:line="240" w:lineRule="auto"/>
              <w:jc w:val="center"/>
              <w:rPr>
                <w:szCs w:val="21"/>
              </w:rPr>
            </w:pPr>
            <w:r>
              <w:rPr>
                <w:szCs w:val="21"/>
              </w:rPr>
              <w:t>≤0.002</w:t>
            </w:r>
          </w:p>
        </w:tc>
      </w:tr>
      <w:tr w14:paraId="1A53DFD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14:paraId="062C0D32">
            <w:pPr>
              <w:pStyle w:val="220"/>
              <w:spacing w:before="0" w:beforeLines="0" w:line="240" w:lineRule="auto"/>
              <w:rPr>
                <w:sz w:val="21"/>
                <w:szCs w:val="21"/>
              </w:rPr>
            </w:pPr>
          </w:p>
        </w:tc>
        <w:tc>
          <w:tcPr>
            <w:tcW w:w="1756" w:type="pct"/>
            <w:tcBorders>
              <w:tl2br w:val="nil"/>
              <w:tr2bl w:val="nil"/>
            </w:tcBorders>
            <w:vAlign w:val="center"/>
          </w:tcPr>
          <w:p w14:paraId="6302F61A">
            <w:pPr>
              <w:snapToGrid w:val="0"/>
              <w:spacing w:before="0" w:beforeLines="0" w:line="240" w:lineRule="auto"/>
              <w:jc w:val="center"/>
              <w:rPr>
                <w:kern w:val="0"/>
                <w:szCs w:val="21"/>
                <w:lang w:bidi="ar"/>
              </w:rPr>
            </w:pPr>
            <w:r>
              <w:rPr>
                <w:kern w:val="0"/>
                <w:szCs w:val="21"/>
                <w:lang w:bidi="ar"/>
              </w:rPr>
              <w:t>氰化物</w:t>
            </w:r>
          </w:p>
        </w:tc>
        <w:tc>
          <w:tcPr>
            <w:tcW w:w="768" w:type="pct"/>
            <w:vMerge w:val="continue"/>
            <w:tcBorders>
              <w:tl2br w:val="nil"/>
              <w:tr2bl w:val="nil"/>
            </w:tcBorders>
            <w:vAlign w:val="center"/>
          </w:tcPr>
          <w:p w14:paraId="03A83378">
            <w:pPr>
              <w:pStyle w:val="220"/>
              <w:spacing w:before="0" w:beforeLines="0" w:line="240" w:lineRule="auto"/>
              <w:rPr>
                <w:sz w:val="21"/>
                <w:szCs w:val="21"/>
              </w:rPr>
            </w:pPr>
          </w:p>
        </w:tc>
        <w:tc>
          <w:tcPr>
            <w:tcW w:w="1740" w:type="pct"/>
            <w:tcBorders>
              <w:tl2br w:val="nil"/>
              <w:tr2bl w:val="nil"/>
            </w:tcBorders>
            <w:vAlign w:val="center"/>
          </w:tcPr>
          <w:p w14:paraId="66CB24E9">
            <w:pPr>
              <w:snapToGrid w:val="0"/>
              <w:spacing w:before="0" w:beforeLines="0" w:line="240" w:lineRule="auto"/>
              <w:jc w:val="center"/>
              <w:rPr>
                <w:szCs w:val="21"/>
              </w:rPr>
            </w:pPr>
            <w:r>
              <w:rPr>
                <w:szCs w:val="21"/>
              </w:rPr>
              <w:t>≤0.05</w:t>
            </w:r>
          </w:p>
        </w:tc>
      </w:tr>
      <w:tr w14:paraId="27640CA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14:paraId="1EBE920C">
            <w:pPr>
              <w:pStyle w:val="220"/>
              <w:spacing w:before="0" w:beforeLines="0" w:line="240" w:lineRule="auto"/>
              <w:rPr>
                <w:sz w:val="21"/>
                <w:szCs w:val="21"/>
              </w:rPr>
            </w:pPr>
          </w:p>
        </w:tc>
        <w:tc>
          <w:tcPr>
            <w:tcW w:w="1756" w:type="pct"/>
            <w:tcBorders>
              <w:tl2br w:val="nil"/>
              <w:tr2bl w:val="nil"/>
            </w:tcBorders>
            <w:vAlign w:val="center"/>
          </w:tcPr>
          <w:p w14:paraId="0FF59B85">
            <w:pPr>
              <w:snapToGrid w:val="0"/>
              <w:spacing w:before="0" w:beforeLines="0" w:line="240" w:lineRule="auto"/>
              <w:jc w:val="center"/>
              <w:rPr>
                <w:szCs w:val="21"/>
              </w:rPr>
            </w:pPr>
            <w:r>
              <w:rPr>
                <w:kern w:val="0"/>
                <w:szCs w:val="21"/>
                <w:lang w:bidi="ar"/>
              </w:rPr>
              <w:t>总硬度</w:t>
            </w:r>
          </w:p>
        </w:tc>
        <w:tc>
          <w:tcPr>
            <w:tcW w:w="768" w:type="pct"/>
            <w:vMerge w:val="continue"/>
            <w:tcBorders>
              <w:tl2br w:val="nil"/>
              <w:tr2bl w:val="nil"/>
            </w:tcBorders>
            <w:vAlign w:val="center"/>
          </w:tcPr>
          <w:p w14:paraId="5C5C09E4">
            <w:pPr>
              <w:pStyle w:val="220"/>
              <w:spacing w:before="0" w:beforeLines="0" w:line="240" w:lineRule="auto"/>
              <w:rPr>
                <w:sz w:val="21"/>
                <w:szCs w:val="21"/>
              </w:rPr>
            </w:pPr>
          </w:p>
        </w:tc>
        <w:tc>
          <w:tcPr>
            <w:tcW w:w="1740" w:type="pct"/>
            <w:tcBorders>
              <w:tl2br w:val="nil"/>
              <w:tr2bl w:val="nil"/>
            </w:tcBorders>
            <w:vAlign w:val="center"/>
          </w:tcPr>
          <w:p w14:paraId="51F46218">
            <w:pPr>
              <w:snapToGrid w:val="0"/>
              <w:spacing w:before="0" w:beforeLines="0" w:line="240" w:lineRule="auto"/>
              <w:jc w:val="center"/>
              <w:rPr>
                <w:szCs w:val="21"/>
              </w:rPr>
            </w:pPr>
            <w:r>
              <w:rPr>
                <w:szCs w:val="21"/>
              </w:rPr>
              <w:t>≤450</w:t>
            </w:r>
          </w:p>
        </w:tc>
      </w:tr>
      <w:tr w14:paraId="6ECCDC4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14:paraId="44457B7E">
            <w:pPr>
              <w:pStyle w:val="220"/>
              <w:spacing w:before="0" w:beforeLines="0" w:line="240" w:lineRule="auto"/>
              <w:rPr>
                <w:sz w:val="21"/>
                <w:szCs w:val="21"/>
              </w:rPr>
            </w:pPr>
          </w:p>
        </w:tc>
        <w:tc>
          <w:tcPr>
            <w:tcW w:w="1756" w:type="pct"/>
            <w:tcBorders>
              <w:tl2br w:val="nil"/>
              <w:tr2bl w:val="nil"/>
            </w:tcBorders>
            <w:vAlign w:val="center"/>
          </w:tcPr>
          <w:p w14:paraId="389F660B">
            <w:pPr>
              <w:snapToGrid w:val="0"/>
              <w:spacing w:before="0" w:beforeLines="0" w:line="240" w:lineRule="auto"/>
              <w:jc w:val="center"/>
              <w:rPr>
                <w:szCs w:val="21"/>
              </w:rPr>
            </w:pPr>
            <w:r>
              <w:rPr>
                <w:kern w:val="0"/>
                <w:szCs w:val="21"/>
                <w:lang w:bidi="ar"/>
              </w:rPr>
              <w:t>溶解性总固体</w:t>
            </w:r>
          </w:p>
        </w:tc>
        <w:tc>
          <w:tcPr>
            <w:tcW w:w="768" w:type="pct"/>
            <w:vMerge w:val="continue"/>
            <w:tcBorders>
              <w:tl2br w:val="nil"/>
              <w:tr2bl w:val="nil"/>
            </w:tcBorders>
            <w:vAlign w:val="center"/>
          </w:tcPr>
          <w:p w14:paraId="561A8298">
            <w:pPr>
              <w:pStyle w:val="220"/>
              <w:spacing w:before="0" w:beforeLines="0" w:line="240" w:lineRule="auto"/>
              <w:rPr>
                <w:sz w:val="21"/>
                <w:szCs w:val="21"/>
              </w:rPr>
            </w:pPr>
          </w:p>
        </w:tc>
        <w:tc>
          <w:tcPr>
            <w:tcW w:w="1740" w:type="pct"/>
            <w:tcBorders>
              <w:tl2br w:val="nil"/>
              <w:tr2bl w:val="nil"/>
            </w:tcBorders>
            <w:vAlign w:val="center"/>
          </w:tcPr>
          <w:p w14:paraId="5210EFD0">
            <w:pPr>
              <w:snapToGrid w:val="0"/>
              <w:spacing w:before="0" w:beforeLines="0" w:line="240" w:lineRule="auto"/>
              <w:jc w:val="center"/>
              <w:rPr>
                <w:szCs w:val="21"/>
              </w:rPr>
            </w:pPr>
            <w:r>
              <w:rPr>
                <w:szCs w:val="21"/>
              </w:rPr>
              <w:t>≤1000</w:t>
            </w:r>
          </w:p>
        </w:tc>
      </w:tr>
      <w:tr w14:paraId="5851E7A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14:paraId="442C325D">
            <w:pPr>
              <w:pStyle w:val="220"/>
              <w:spacing w:before="0" w:beforeLines="0" w:line="240" w:lineRule="auto"/>
              <w:rPr>
                <w:sz w:val="21"/>
                <w:szCs w:val="21"/>
              </w:rPr>
            </w:pPr>
          </w:p>
        </w:tc>
        <w:tc>
          <w:tcPr>
            <w:tcW w:w="1756" w:type="pct"/>
            <w:tcBorders>
              <w:tl2br w:val="nil"/>
              <w:tr2bl w:val="nil"/>
            </w:tcBorders>
            <w:vAlign w:val="center"/>
          </w:tcPr>
          <w:p w14:paraId="6E950335">
            <w:pPr>
              <w:snapToGrid w:val="0"/>
              <w:spacing w:before="0" w:beforeLines="0" w:line="240" w:lineRule="auto"/>
              <w:jc w:val="center"/>
              <w:rPr>
                <w:kern w:val="0"/>
                <w:szCs w:val="21"/>
                <w:lang w:bidi="ar"/>
              </w:rPr>
            </w:pPr>
            <w:r>
              <w:rPr>
                <w:kern w:val="0"/>
                <w:szCs w:val="21"/>
                <w:lang w:bidi="ar"/>
              </w:rPr>
              <w:t>硫酸盐</w:t>
            </w:r>
          </w:p>
        </w:tc>
        <w:tc>
          <w:tcPr>
            <w:tcW w:w="768" w:type="pct"/>
            <w:vMerge w:val="continue"/>
            <w:tcBorders>
              <w:tl2br w:val="nil"/>
              <w:tr2bl w:val="nil"/>
            </w:tcBorders>
            <w:vAlign w:val="center"/>
          </w:tcPr>
          <w:p w14:paraId="65A8F7E5">
            <w:pPr>
              <w:pStyle w:val="220"/>
              <w:spacing w:before="0" w:beforeLines="0" w:line="240" w:lineRule="auto"/>
              <w:rPr>
                <w:sz w:val="21"/>
                <w:szCs w:val="21"/>
              </w:rPr>
            </w:pPr>
          </w:p>
        </w:tc>
        <w:tc>
          <w:tcPr>
            <w:tcW w:w="1740" w:type="pct"/>
            <w:tcBorders>
              <w:tl2br w:val="nil"/>
              <w:tr2bl w:val="nil"/>
            </w:tcBorders>
            <w:vAlign w:val="center"/>
          </w:tcPr>
          <w:p w14:paraId="1E3AFEE9">
            <w:pPr>
              <w:snapToGrid w:val="0"/>
              <w:spacing w:before="0" w:beforeLines="0" w:line="240" w:lineRule="auto"/>
              <w:jc w:val="center"/>
              <w:rPr>
                <w:szCs w:val="21"/>
              </w:rPr>
            </w:pPr>
            <w:r>
              <w:rPr>
                <w:szCs w:val="21"/>
              </w:rPr>
              <w:t>≤250</w:t>
            </w:r>
          </w:p>
        </w:tc>
      </w:tr>
      <w:tr w14:paraId="7B8B324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14:paraId="593064DB">
            <w:pPr>
              <w:pStyle w:val="220"/>
              <w:spacing w:before="0" w:beforeLines="0" w:line="240" w:lineRule="auto"/>
              <w:rPr>
                <w:sz w:val="21"/>
                <w:szCs w:val="21"/>
              </w:rPr>
            </w:pPr>
          </w:p>
        </w:tc>
        <w:tc>
          <w:tcPr>
            <w:tcW w:w="1756" w:type="pct"/>
            <w:tcBorders>
              <w:tl2br w:val="nil"/>
              <w:tr2bl w:val="nil"/>
            </w:tcBorders>
            <w:vAlign w:val="center"/>
          </w:tcPr>
          <w:p w14:paraId="3099FD13">
            <w:pPr>
              <w:snapToGrid w:val="0"/>
              <w:spacing w:before="0" w:beforeLines="0" w:line="240" w:lineRule="auto"/>
              <w:jc w:val="center"/>
              <w:rPr>
                <w:szCs w:val="21"/>
              </w:rPr>
            </w:pPr>
            <w:r>
              <w:rPr>
                <w:kern w:val="0"/>
                <w:szCs w:val="21"/>
                <w:lang w:bidi="ar"/>
              </w:rPr>
              <w:t>氯化物</w:t>
            </w:r>
          </w:p>
        </w:tc>
        <w:tc>
          <w:tcPr>
            <w:tcW w:w="768" w:type="pct"/>
            <w:vMerge w:val="continue"/>
            <w:tcBorders>
              <w:tl2br w:val="nil"/>
              <w:tr2bl w:val="nil"/>
            </w:tcBorders>
            <w:vAlign w:val="center"/>
          </w:tcPr>
          <w:p w14:paraId="1E8EA1BD">
            <w:pPr>
              <w:pStyle w:val="220"/>
              <w:spacing w:before="0" w:beforeLines="0" w:line="240" w:lineRule="auto"/>
              <w:rPr>
                <w:sz w:val="21"/>
                <w:szCs w:val="21"/>
              </w:rPr>
            </w:pPr>
          </w:p>
        </w:tc>
        <w:tc>
          <w:tcPr>
            <w:tcW w:w="1740" w:type="pct"/>
            <w:tcBorders>
              <w:tl2br w:val="nil"/>
              <w:tr2bl w:val="nil"/>
            </w:tcBorders>
            <w:vAlign w:val="center"/>
          </w:tcPr>
          <w:p w14:paraId="60DF8F59">
            <w:pPr>
              <w:snapToGrid w:val="0"/>
              <w:spacing w:before="0" w:beforeLines="0" w:line="240" w:lineRule="auto"/>
              <w:jc w:val="center"/>
              <w:rPr>
                <w:szCs w:val="21"/>
              </w:rPr>
            </w:pPr>
            <w:r>
              <w:rPr>
                <w:szCs w:val="21"/>
              </w:rPr>
              <w:t>≤250</w:t>
            </w:r>
          </w:p>
        </w:tc>
      </w:tr>
      <w:tr w14:paraId="1F989FD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14:paraId="2615C689">
            <w:pPr>
              <w:pStyle w:val="220"/>
              <w:spacing w:before="0" w:beforeLines="0" w:line="240" w:lineRule="auto"/>
              <w:rPr>
                <w:sz w:val="21"/>
                <w:szCs w:val="21"/>
              </w:rPr>
            </w:pPr>
          </w:p>
        </w:tc>
        <w:tc>
          <w:tcPr>
            <w:tcW w:w="1756" w:type="pct"/>
            <w:tcBorders>
              <w:tl2br w:val="nil"/>
              <w:tr2bl w:val="nil"/>
            </w:tcBorders>
            <w:vAlign w:val="center"/>
          </w:tcPr>
          <w:p w14:paraId="2C6E3456">
            <w:pPr>
              <w:snapToGrid w:val="0"/>
              <w:spacing w:before="0" w:beforeLines="0" w:line="240" w:lineRule="auto"/>
              <w:jc w:val="center"/>
              <w:rPr>
                <w:kern w:val="0"/>
                <w:szCs w:val="21"/>
                <w:lang w:bidi="ar"/>
              </w:rPr>
            </w:pPr>
            <w:r>
              <w:rPr>
                <w:kern w:val="0"/>
                <w:szCs w:val="21"/>
                <w:lang w:bidi="ar"/>
              </w:rPr>
              <w:t>砷</w:t>
            </w:r>
          </w:p>
        </w:tc>
        <w:tc>
          <w:tcPr>
            <w:tcW w:w="768" w:type="pct"/>
            <w:vMerge w:val="continue"/>
            <w:tcBorders>
              <w:tl2br w:val="nil"/>
              <w:tr2bl w:val="nil"/>
            </w:tcBorders>
            <w:vAlign w:val="center"/>
          </w:tcPr>
          <w:p w14:paraId="1ADA946C">
            <w:pPr>
              <w:pStyle w:val="220"/>
              <w:spacing w:before="0" w:beforeLines="0" w:line="240" w:lineRule="auto"/>
              <w:rPr>
                <w:sz w:val="21"/>
                <w:szCs w:val="21"/>
              </w:rPr>
            </w:pPr>
          </w:p>
        </w:tc>
        <w:tc>
          <w:tcPr>
            <w:tcW w:w="1740" w:type="pct"/>
            <w:tcBorders>
              <w:tl2br w:val="nil"/>
              <w:tr2bl w:val="nil"/>
            </w:tcBorders>
            <w:vAlign w:val="center"/>
          </w:tcPr>
          <w:p w14:paraId="4E7CAA28">
            <w:pPr>
              <w:snapToGrid w:val="0"/>
              <w:spacing w:before="0" w:beforeLines="0" w:line="240" w:lineRule="auto"/>
              <w:jc w:val="center"/>
              <w:rPr>
                <w:szCs w:val="21"/>
              </w:rPr>
            </w:pPr>
            <w:r>
              <w:rPr>
                <w:szCs w:val="21"/>
              </w:rPr>
              <w:t>≤0.01</w:t>
            </w:r>
          </w:p>
        </w:tc>
      </w:tr>
      <w:tr w14:paraId="5FBBB71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14:paraId="3D38D6BE">
            <w:pPr>
              <w:pStyle w:val="220"/>
              <w:spacing w:before="0" w:beforeLines="0" w:line="240" w:lineRule="auto"/>
              <w:rPr>
                <w:sz w:val="21"/>
                <w:szCs w:val="21"/>
              </w:rPr>
            </w:pPr>
          </w:p>
        </w:tc>
        <w:tc>
          <w:tcPr>
            <w:tcW w:w="1756" w:type="pct"/>
            <w:tcBorders>
              <w:tl2br w:val="nil"/>
              <w:tr2bl w:val="nil"/>
            </w:tcBorders>
            <w:vAlign w:val="center"/>
          </w:tcPr>
          <w:p w14:paraId="4893167B">
            <w:pPr>
              <w:snapToGrid w:val="0"/>
              <w:spacing w:before="0" w:beforeLines="0" w:line="240" w:lineRule="auto"/>
              <w:jc w:val="center"/>
              <w:rPr>
                <w:kern w:val="0"/>
                <w:szCs w:val="21"/>
                <w:lang w:bidi="ar"/>
              </w:rPr>
            </w:pPr>
            <w:r>
              <w:rPr>
                <w:kern w:val="0"/>
                <w:szCs w:val="21"/>
                <w:lang w:bidi="ar"/>
              </w:rPr>
              <w:t>汞</w:t>
            </w:r>
          </w:p>
        </w:tc>
        <w:tc>
          <w:tcPr>
            <w:tcW w:w="768" w:type="pct"/>
            <w:vMerge w:val="continue"/>
            <w:tcBorders>
              <w:tl2br w:val="nil"/>
              <w:tr2bl w:val="nil"/>
            </w:tcBorders>
            <w:vAlign w:val="center"/>
          </w:tcPr>
          <w:p w14:paraId="4DD25642">
            <w:pPr>
              <w:pStyle w:val="220"/>
              <w:spacing w:before="0" w:beforeLines="0" w:line="240" w:lineRule="auto"/>
              <w:rPr>
                <w:sz w:val="21"/>
                <w:szCs w:val="21"/>
              </w:rPr>
            </w:pPr>
          </w:p>
        </w:tc>
        <w:tc>
          <w:tcPr>
            <w:tcW w:w="1740" w:type="pct"/>
            <w:tcBorders>
              <w:tl2br w:val="nil"/>
              <w:tr2bl w:val="nil"/>
            </w:tcBorders>
            <w:vAlign w:val="center"/>
          </w:tcPr>
          <w:p w14:paraId="1943F932">
            <w:pPr>
              <w:snapToGrid w:val="0"/>
              <w:spacing w:before="0" w:beforeLines="0" w:line="240" w:lineRule="auto"/>
              <w:jc w:val="center"/>
              <w:rPr>
                <w:szCs w:val="21"/>
              </w:rPr>
            </w:pPr>
            <w:r>
              <w:rPr>
                <w:szCs w:val="21"/>
              </w:rPr>
              <w:t>≤0.001</w:t>
            </w:r>
          </w:p>
        </w:tc>
      </w:tr>
      <w:tr w14:paraId="6BCF2A3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14:paraId="3F6D16CC">
            <w:pPr>
              <w:pStyle w:val="220"/>
              <w:spacing w:before="0" w:beforeLines="0" w:line="240" w:lineRule="auto"/>
              <w:rPr>
                <w:sz w:val="21"/>
                <w:szCs w:val="21"/>
              </w:rPr>
            </w:pPr>
          </w:p>
        </w:tc>
        <w:tc>
          <w:tcPr>
            <w:tcW w:w="1756" w:type="pct"/>
            <w:tcBorders>
              <w:tl2br w:val="nil"/>
              <w:tr2bl w:val="nil"/>
            </w:tcBorders>
            <w:vAlign w:val="center"/>
          </w:tcPr>
          <w:p w14:paraId="57107796">
            <w:pPr>
              <w:snapToGrid w:val="0"/>
              <w:spacing w:before="0" w:beforeLines="0" w:line="240" w:lineRule="auto"/>
              <w:jc w:val="center"/>
              <w:rPr>
                <w:kern w:val="0"/>
                <w:szCs w:val="21"/>
                <w:lang w:bidi="ar"/>
              </w:rPr>
            </w:pPr>
            <w:r>
              <w:rPr>
                <w:kern w:val="0"/>
                <w:szCs w:val="21"/>
                <w:lang w:bidi="ar"/>
              </w:rPr>
              <w:t>铬（六价）</w:t>
            </w:r>
          </w:p>
        </w:tc>
        <w:tc>
          <w:tcPr>
            <w:tcW w:w="768" w:type="pct"/>
            <w:vMerge w:val="continue"/>
            <w:tcBorders>
              <w:tl2br w:val="nil"/>
              <w:tr2bl w:val="nil"/>
            </w:tcBorders>
            <w:vAlign w:val="center"/>
          </w:tcPr>
          <w:p w14:paraId="2DC8896A">
            <w:pPr>
              <w:pStyle w:val="220"/>
              <w:spacing w:before="0" w:beforeLines="0" w:line="240" w:lineRule="auto"/>
              <w:rPr>
                <w:sz w:val="21"/>
                <w:szCs w:val="21"/>
              </w:rPr>
            </w:pPr>
          </w:p>
        </w:tc>
        <w:tc>
          <w:tcPr>
            <w:tcW w:w="1740" w:type="pct"/>
            <w:tcBorders>
              <w:tl2br w:val="nil"/>
              <w:tr2bl w:val="nil"/>
            </w:tcBorders>
            <w:vAlign w:val="center"/>
          </w:tcPr>
          <w:p w14:paraId="014C6BC6">
            <w:pPr>
              <w:snapToGrid w:val="0"/>
              <w:spacing w:before="0" w:beforeLines="0" w:line="240" w:lineRule="auto"/>
              <w:jc w:val="center"/>
              <w:rPr>
                <w:szCs w:val="21"/>
              </w:rPr>
            </w:pPr>
            <w:r>
              <w:rPr>
                <w:szCs w:val="21"/>
              </w:rPr>
              <w:t>≤0.05</w:t>
            </w:r>
          </w:p>
        </w:tc>
      </w:tr>
      <w:tr w14:paraId="1C7D5CE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14:paraId="0594B03F">
            <w:pPr>
              <w:pStyle w:val="220"/>
              <w:spacing w:before="0" w:beforeLines="0" w:line="240" w:lineRule="auto"/>
              <w:rPr>
                <w:sz w:val="21"/>
                <w:szCs w:val="21"/>
              </w:rPr>
            </w:pPr>
          </w:p>
        </w:tc>
        <w:tc>
          <w:tcPr>
            <w:tcW w:w="1756" w:type="pct"/>
            <w:tcBorders>
              <w:tl2br w:val="nil"/>
              <w:tr2bl w:val="nil"/>
            </w:tcBorders>
            <w:vAlign w:val="center"/>
          </w:tcPr>
          <w:p w14:paraId="343A1B8E">
            <w:pPr>
              <w:snapToGrid w:val="0"/>
              <w:spacing w:before="0" w:beforeLines="0" w:line="240" w:lineRule="auto"/>
              <w:jc w:val="center"/>
              <w:rPr>
                <w:kern w:val="0"/>
                <w:szCs w:val="21"/>
                <w:lang w:bidi="ar"/>
              </w:rPr>
            </w:pPr>
            <w:r>
              <w:rPr>
                <w:kern w:val="0"/>
                <w:szCs w:val="21"/>
                <w:lang w:bidi="ar"/>
              </w:rPr>
              <w:t>铅</w:t>
            </w:r>
          </w:p>
        </w:tc>
        <w:tc>
          <w:tcPr>
            <w:tcW w:w="768" w:type="pct"/>
            <w:vMerge w:val="continue"/>
            <w:tcBorders>
              <w:tl2br w:val="nil"/>
              <w:tr2bl w:val="nil"/>
            </w:tcBorders>
            <w:vAlign w:val="center"/>
          </w:tcPr>
          <w:p w14:paraId="343FF90B">
            <w:pPr>
              <w:pStyle w:val="220"/>
              <w:spacing w:before="0" w:beforeLines="0" w:line="240" w:lineRule="auto"/>
              <w:rPr>
                <w:sz w:val="21"/>
                <w:szCs w:val="21"/>
              </w:rPr>
            </w:pPr>
          </w:p>
        </w:tc>
        <w:tc>
          <w:tcPr>
            <w:tcW w:w="1740" w:type="pct"/>
            <w:tcBorders>
              <w:tl2br w:val="nil"/>
              <w:tr2bl w:val="nil"/>
            </w:tcBorders>
            <w:vAlign w:val="center"/>
          </w:tcPr>
          <w:p w14:paraId="1541E866">
            <w:pPr>
              <w:snapToGrid w:val="0"/>
              <w:spacing w:before="0" w:beforeLines="0" w:line="240" w:lineRule="auto"/>
              <w:jc w:val="center"/>
              <w:rPr>
                <w:szCs w:val="21"/>
              </w:rPr>
            </w:pPr>
            <w:r>
              <w:rPr>
                <w:szCs w:val="21"/>
              </w:rPr>
              <w:t>≤0.01</w:t>
            </w:r>
          </w:p>
        </w:tc>
      </w:tr>
      <w:tr w14:paraId="41EE176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14:paraId="10611D0D">
            <w:pPr>
              <w:pStyle w:val="220"/>
              <w:spacing w:before="0" w:beforeLines="0" w:line="240" w:lineRule="auto"/>
              <w:rPr>
                <w:sz w:val="21"/>
                <w:szCs w:val="21"/>
              </w:rPr>
            </w:pPr>
          </w:p>
        </w:tc>
        <w:tc>
          <w:tcPr>
            <w:tcW w:w="1756" w:type="pct"/>
            <w:tcBorders>
              <w:tl2br w:val="nil"/>
              <w:tr2bl w:val="nil"/>
            </w:tcBorders>
            <w:vAlign w:val="center"/>
          </w:tcPr>
          <w:p w14:paraId="78A4321E">
            <w:pPr>
              <w:snapToGrid w:val="0"/>
              <w:spacing w:before="0" w:beforeLines="0" w:line="240" w:lineRule="auto"/>
              <w:jc w:val="center"/>
              <w:rPr>
                <w:kern w:val="0"/>
                <w:szCs w:val="21"/>
                <w:lang w:bidi="ar"/>
              </w:rPr>
            </w:pPr>
            <w:r>
              <w:rPr>
                <w:kern w:val="0"/>
                <w:szCs w:val="21"/>
                <w:lang w:bidi="ar"/>
              </w:rPr>
              <w:t>镉</w:t>
            </w:r>
          </w:p>
        </w:tc>
        <w:tc>
          <w:tcPr>
            <w:tcW w:w="768" w:type="pct"/>
            <w:vMerge w:val="continue"/>
            <w:tcBorders>
              <w:tl2br w:val="nil"/>
              <w:tr2bl w:val="nil"/>
            </w:tcBorders>
            <w:vAlign w:val="center"/>
          </w:tcPr>
          <w:p w14:paraId="4E23A428">
            <w:pPr>
              <w:pStyle w:val="220"/>
              <w:spacing w:before="0" w:beforeLines="0" w:line="240" w:lineRule="auto"/>
              <w:rPr>
                <w:sz w:val="21"/>
                <w:szCs w:val="21"/>
              </w:rPr>
            </w:pPr>
          </w:p>
        </w:tc>
        <w:tc>
          <w:tcPr>
            <w:tcW w:w="1740" w:type="pct"/>
            <w:tcBorders>
              <w:tl2br w:val="nil"/>
              <w:tr2bl w:val="nil"/>
            </w:tcBorders>
            <w:vAlign w:val="center"/>
          </w:tcPr>
          <w:p w14:paraId="485D64BA">
            <w:pPr>
              <w:snapToGrid w:val="0"/>
              <w:spacing w:before="0" w:beforeLines="0" w:line="240" w:lineRule="auto"/>
              <w:jc w:val="center"/>
              <w:rPr>
                <w:szCs w:val="21"/>
              </w:rPr>
            </w:pPr>
            <w:r>
              <w:rPr>
                <w:szCs w:val="21"/>
              </w:rPr>
              <w:t>≤0.005</w:t>
            </w:r>
          </w:p>
        </w:tc>
      </w:tr>
      <w:tr w14:paraId="1C163DC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14:paraId="6603959D">
            <w:pPr>
              <w:pStyle w:val="220"/>
              <w:spacing w:before="0" w:beforeLines="0" w:line="240" w:lineRule="auto"/>
              <w:rPr>
                <w:sz w:val="21"/>
                <w:szCs w:val="21"/>
              </w:rPr>
            </w:pPr>
          </w:p>
        </w:tc>
        <w:tc>
          <w:tcPr>
            <w:tcW w:w="1756" w:type="pct"/>
            <w:tcBorders>
              <w:tl2br w:val="nil"/>
              <w:tr2bl w:val="nil"/>
            </w:tcBorders>
            <w:vAlign w:val="center"/>
          </w:tcPr>
          <w:p w14:paraId="328F9CC6">
            <w:pPr>
              <w:snapToGrid w:val="0"/>
              <w:spacing w:before="0" w:beforeLines="0" w:line="240" w:lineRule="auto"/>
              <w:jc w:val="center"/>
              <w:rPr>
                <w:szCs w:val="21"/>
              </w:rPr>
            </w:pPr>
            <w:r>
              <w:rPr>
                <w:kern w:val="0"/>
                <w:szCs w:val="21"/>
                <w:lang w:bidi="ar"/>
              </w:rPr>
              <w:t>铁</w:t>
            </w:r>
          </w:p>
        </w:tc>
        <w:tc>
          <w:tcPr>
            <w:tcW w:w="768" w:type="pct"/>
            <w:vMerge w:val="continue"/>
            <w:tcBorders>
              <w:tl2br w:val="nil"/>
              <w:tr2bl w:val="nil"/>
            </w:tcBorders>
            <w:vAlign w:val="center"/>
          </w:tcPr>
          <w:p w14:paraId="4A7E319E">
            <w:pPr>
              <w:pStyle w:val="220"/>
              <w:spacing w:before="0" w:beforeLines="0" w:line="240" w:lineRule="auto"/>
              <w:rPr>
                <w:sz w:val="21"/>
                <w:szCs w:val="21"/>
              </w:rPr>
            </w:pPr>
          </w:p>
        </w:tc>
        <w:tc>
          <w:tcPr>
            <w:tcW w:w="1740" w:type="pct"/>
            <w:tcBorders>
              <w:tl2br w:val="nil"/>
              <w:tr2bl w:val="nil"/>
            </w:tcBorders>
            <w:vAlign w:val="center"/>
          </w:tcPr>
          <w:p w14:paraId="6642647F">
            <w:pPr>
              <w:snapToGrid w:val="0"/>
              <w:spacing w:before="0" w:beforeLines="0" w:line="240" w:lineRule="auto"/>
              <w:jc w:val="center"/>
              <w:rPr>
                <w:szCs w:val="21"/>
              </w:rPr>
            </w:pPr>
            <w:r>
              <w:rPr>
                <w:szCs w:val="21"/>
              </w:rPr>
              <w:t>≤0.3</w:t>
            </w:r>
          </w:p>
        </w:tc>
      </w:tr>
      <w:tr w14:paraId="4106B3B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14:paraId="1C4C7C0B">
            <w:pPr>
              <w:pStyle w:val="220"/>
              <w:spacing w:before="0" w:beforeLines="0" w:line="240" w:lineRule="auto"/>
              <w:rPr>
                <w:sz w:val="21"/>
                <w:szCs w:val="21"/>
              </w:rPr>
            </w:pPr>
          </w:p>
        </w:tc>
        <w:tc>
          <w:tcPr>
            <w:tcW w:w="1756" w:type="pct"/>
            <w:tcBorders>
              <w:tl2br w:val="nil"/>
              <w:tr2bl w:val="nil"/>
            </w:tcBorders>
            <w:vAlign w:val="center"/>
          </w:tcPr>
          <w:p w14:paraId="3D3F84CB">
            <w:pPr>
              <w:snapToGrid w:val="0"/>
              <w:spacing w:before="0" w:beforeLines="0" w:line="240" w:lineRule="auto"/>
              <w:jc w:val="center"/>
              <w:rPr>
                <w:szCs w:val="21"/>
              </w:rPr>
            </w:pPr>
            <w:r>
              <w:rPr>
                <w:kern w:val="0"/>
                <w:szCs w:val="21"/>
                <w:lang w:bidi="ar"/>
              </w:rPr>
              <w:t>锰</w:t>
            </w:r>
          </w:p>
        </w:tc>
        <w:tc>
          <w:tcPr>
            <w:tcW w:w="768" w:type="pct"/>
            <w:vMerge w:val="continue"/>
            <w:tcBorders>
              <w:tl2br w:val="nil"/>
              <w:tr2bl w:val="nil"/>
            </w:tcBorders>
            <w:vAlign w:val="center"/>
          </w:tcPr>
          <w:p w14:paraId="48D62E92">
            <w:pPr>
              <w:pStyle w:val="220"/>
              <w:spacing w:before="0" w:beforeLines="0" w:line="240" w:lineRule="auto"/>
              <w:rPr>
                <w:sz w:val="21"/>
                <w:szCs w:val="21"/>
              </w:rPr>
            </w:pPr>
          </w:p>
        </w:tc>
        <w:tc>
          <w:tcPr>
            <w:tcW w:w="1740" w:type="pct"/>
            <w:tcBorders>
              <w:tl2br w:val="nil"/>
              <w:tr2bl w:val="nil"/>
            </w:tcBorders>
            <w:vAlign w:val="center"/>
          </w:tcPr>
          <w:p w14:paraId="5BC5742C">
            <w:pPr>
              <w:snapToGrid w:val="0"/>
              <w:spacing w:before="0" w:beforeLines="0" w:line="240" w:lineRule="auto"/>
              <w:jc w:val="center"/>
              <w:rPr>
                <w:szCs w:val="21"/>
              </w:rPr>
            </w:pPr>
            <w:r>
              <w:rPr>
                <w:szCs w:val="21"/>
              </w:rPr>
              <w:t>≤0.10</w:t>
            </w:r>
          </w:p>
        </w:tc>
      </w:tr>
      <w:tr w14:paraId="2647E50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14:paraId="39297DB9">
            <w:pPr>
              <w:pStyle w:val="220"/>
              <w:spacing w:before="0" w:beforeLines="0" w:line="240" w:lineRule="auto"/>
              <w:rPr>
                <w:sz w:val="21"/>
                <w:szCs w:val="21"/>
              </w:rPr>
            </w:pPr>
          </w:p>
        </w:tc>
        <w:tc>
          <w:tcPr>
            <w:tcW w:w="1756" w:type="pct"/>
            <w:tcBorders>
              <w:tl2br w:val="nil"/>
              <w:tr2bl w:val="nil"/>
            </w:tcBorders>
            <w:vAlign w:val="center"/>
          </w:tcPr>
          <w:p w14:paraId="07C900EC">
            <w:pPr>
              <w:snapToGrid w:val="0"/>
              <w:spacing w:before="0" w:beforeLines="0" w:line="240" w:lineRule="auto"/>
              <w:jc w:val="center"/>
              <w:rPr>
                <w:szCs w:val="21"/>
              </w:rPr>
            </w:pPr>
            <w:r>
              <w:rPr>
                <w:kern w:val="0"/>
                <w:szCs w:val="21"/>
                <w:lang w:bidi="ar"/>
              </w:rPr>
              <w:t>铜</w:t>
            </w:r>
          </w:p>
        </w:tc>
        <w:tc>
          <w:tcPr>
            <w:tcW w:w="768" w:type="pct"/>
            <w:vMerge w:val="continue"/>
            <w:tcBorders>
              <w:tl2br w:val="nil"/>
              <w:tr2bl w:val="nil"/>
            </w:tcBorders>
            <w:vAlign w:val="center"/>
          </w:tcPr>
          <w:p w14:paraId="453501A0">
            <w:pPr>
              <w:pStyle w:val="220"/>
              <w:spacing w:before="0" w:beforeLines="0" w:line="240" w:lineRule="auto"/>
              <w:rPr>
                <w:sz w:val="21"/>
                <w:szCs w:val="21"/>
              </w:rPr>
            </w:pPr>
          </w:p>
        </w:tc>
        <w:tc>
          <w:tcPr>
            <w:tcW w:w="1740" w:type="pct"/>
            <w:tcBorders>
              <w:tl2br w:val="nil"/>
              <w:tr2bl w:val="nil"/>
            </w:tcBorders>
            <w:vAlign w:val="center"/>
          </w:tcPr>
          <w:p w14:paraId="1D8C3131">
            <w:pPr>
              <w:snapToGrid w:val="0"/>
              <w:spacing w:before="0" w:beforeLines="0" w:line="240" w:lineRule="auto"/>
              <w:jc w:val="center"/>
              <w:rPr>
                <w:szCs w:val="21"/>
              </w:rPr>
            </w:pPr>
            <w:r>
              <w:rPr>
                <w:szCs w:val="21"/>
              </w:rPr>
              <w:t>≤1.0</w:t>
            </w:r>
          </w:p>
        </w:tc>
      </w:tr>
      <w:tr w14:paraId="2BDDC0E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14:paraId="2F29977B">
            <w:pPr>
              <w:pStyle w:val="220"/>
              <w:spacing w:before="0" w:beforeLines="0" w:line="240" w:lineRule="auto"/>
              <w:rPr>
                <w:sz w:val="21"/>
                <w:szCs w:val="21"/>
              </w:rPr>
            </w:pPr>
          </w:p>
        </w:tc>
        <w:tc>
          <w:tcPr>
            <w:tcW w:w="1756" w:type="pct"/>
            <w:tcBorders>
              <w:tl2br w:val="nil"/>
              <w:tr2bl w:val="nil"/>
            </w:tcBorders>
            <w:vAlign w:val="center"/>
          </w:tcPr>
          <w:p w14:paraId="69A51908">
            <w:pPr>
              <w:snapToGrid w:val="0"/>
              <w:spacing w:before="0" w:beforeLines="0" w:line="240" w:lineRule="auto"/>
              <w:jc w:val="center"/>
              <w:rPr>
                <w:szCs w:val="21"/>
              </w:rPr>
            </w:pPr>
            <w:r>
              <w:rPr>
                <w:kern w:val="0"/>
                <w:szCs w:val="21"/>
                <w:lang w:bidi="ar"/>
              </w:rPr>
              <w:t>锌</w:t>
            </w:r>
          </w:p>
        </w:tc>
        <w:tc>
          <w:tcPr>
            <w:tcW w:w="768" w:type="pct"/>
            <w:vMerge w:val="continue"/>
            <w:tcBorders>
              <w:tl2br w:val="nil"/>
              <w:tr2bl w:val="nil"/>
            </w:tcBorders>
            <w:vAlign w:val="center"/>
          </w:tcPr>
          <w:p w14:paraId="7DBE2F74">
            <w:pPr>
              <w:pStyle w:val="220"/>
              <w:spacing w:before="0" w:beforeLines="0" w:line="240" w:lineRule="auto"/>
              <w:rPr>
                <w:sz w:val="21"/>
                <w:szCs w:val="21"/>
              </w:rPr>
            </w:pPr>
          </w:p>
        </w:tc>
        <w:tc>
          <w:tcPr>
            <w:tcW w:w="1740" w:type="pct"/>
            <w:tcBorders>
              <w:tl2br w:val="nil"/>
              <w:tr2bl w:val="nil"/>
            </w:tcBorders>
            <w:vAlign w:val="center"/>
          </w:tcPr>
          <w:p w14:paraId="042F7665">
            <w:pPr>
              <w:snapToGrid w:val="0"/>
              <w:spacing w:before="0" w:beforeLines="0" w:line="240" w:lineRule="auto"/>
              <w:jc w:val="center"/>
              <w:rPr>
                <w:szCs w:val="21"/>
              </w:rPr>
            </w:pPr>
            <w:r>
              <w:rPr>
                <w:szCs w:val="21"/>
              </w:rPr>
              <w:t>≤1.0</w:t>
            </w:r>
          </w:p>
        </w:tc>
      </w:tr>
      <w:tr w14:paraId="2C570CA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14:paraId="753E514E">
            <w:pPr>
              <w:pStyle w:val="220"/>
              <w:spacing w:before="0" w:beforeLines="0" w:line="240" w:lineRule="auto"/>
              <w:rPr>
                <w:sz w:val="21"/>
                <w:szCs w:val="21"/>
              </w:rPr>
            </w:pPr>
          </w:p>
        </w:tc>
        <w:tc>
          <w:tcPr>
            <w:tcW w:w="1756" w:type="pct"/>
            <w:tcBorders>
              <w:tl2br w:val="nil"/>
              <w:tr2bl w:val="nil"/>
            </w:tcBorders>
            <w:vAlign w:val="center"/>
          </w:tcPr>
          <w:p w14:paraId="72C2130C">
            <w:pPr>
              <w:snapToGrid w:val="0"/>
              <w:spacing w:before="0" w:beforeLines="0" w:line="240" w:lineRule="auto"/>
              <w:jc w:val="center"/>
              <w:rPr>
                <w:szCs w:val="21"/>
              </w:rPr>
            </w:pPr>
            <w:r>
              <w:rPr>
                <w:kern w:val="0"/>
                <w:szCs w:val="21"/>
                <w:lang w:bidi="ar"/>
              </w:rPr>
              <w:t>铝</w:t>
            </w:r>
          </w:p>
        </w:tc>
        <w:tc>
          <w:tcPr>
            <w:tcW w:w="768" w:type="pct"/>
            <w:vMerge w:val="continue"/>
            <w:tcBorders>
              <w:tl2br w:val="nil"/>
              <w:tr2bl w:val="nil"/>
            </w:tcBorders>
            <w:vAlign w:val="center"/>
          </w:tcPr>
          <w:p w14:paraId="1A619AFD">
            <w:pPr>
              <w:pStyle w:val="220"/>
              <w:spacing w:before="0" w:beforeLines="0" w:line="240" w:lineRule="auto"/>
              <w:rPr>
                <w:sz w:val="21"/>
                <w:szCs w:val="21"/>
              </w:rPr>
            </w:pPr>
          </w:p>
        </w:tc>
        <w:tc>
          <w:tcPr>
            <w:tcW w:w="1740" w:type="pct"/>
            <w:tcBorders>
              <w:tl2br w:val="nil"/>
              <w:tr2bl w:val="nil"/>
            </w:tcBorders>
            <w:vAlign w:val="center"/>
          </w:tcPr>
          <w:p w14:paraId="2D83977B">
            <w:pPr>
              <w:snapToGrid w:val="0"/>
              <w:spacing w:before="0" w:beforeLines="0" w:line="240" w:lineRule="auto"/>
              <w:jc w:val="center"/>
              <w:rPr>
                <w:szCs w:val="21"/>
              </w:rPr>
            </w:pPr>
            <w:r>
              <w:rPr>
                <w:szCs w:val="21"/>
              </w:rPr>
              <w:t>≤0.20</w:t>
            </w:r>
          </w:p>
        </w:tc>
      </w:tr>
      <w:tr w14:paraId="515C899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14:paraId="228DE4CC">
            <w:pPr>
              <w:pStyle w:val="220"/>
              <w:spacing w:before="0" w:beforeLines="0" w:line="240" w:lineRule="auto"/>
              <w:rPr>
                <w:sz w:val="21"/>
                <w:szCs w:val="21"/>
              </w:rPr>
            </w:pPr>
          </w:p>
        </w:tc>
        <w:tc>
          <w:tcPr>
            <w:tcW w:w="1756" w:type="pct"/>
            <w:tcBorders>
              <w:tl2br w:val="nil"/>
              <w:tr2bl w:val="nil"/>
            </w:tcBorders>
            <w:vAlign w:val="center"/>
          </w:tcPr>
          <w:p w14:paraId="388F366F">
            <w:pPr>
              <w:snapToGrid w:val="0"/>
              <w:spacing w:before="0" w:beforeLines="0" w:line="240" w:lineRule="auto"/>
              <w:jc w:val="center"/>
              <w:rPr>
                <w:szCs w:val="21"/>
              </w:rPr>
            </w:pPr>
            <w:r>
              <w:rPr>
                <w:kern w:val="0"/>
                <w:szCs w:val="21"/>
                <w:lang w:bidi="ar"/>
              </w:rPr>
              <w:t>耗氧量</w:t>
            </w:r>
          </w:p>
        </w:tc>
        <w:tc>
          <w:tcPr>
            <w:tcW w:w="768" w:type="pct"/>
            <w:vMerge w:val="continue"/>
            <w:tcBorders>
              <w:tl2br w:val="nil"/>
              <w:tr2bl w:val="nil"/>
            </w:tcBorders>
            <w:vAlign w:val="center"/>
          </w:tcPr>
          <w:p w14:paraId="69280F5F">
            <w:pPr>
              <w:pStyle w:val="220"/>
              <w:spacing w:before="0" w:beforeLines="0" w:line="240" w:lineRule="auto"/>
              <w:rPr>
                <w:sz w:val="21"/>
                <w:szCs w:val="21"/>
              </w:rPr>
            </w:pPr>
          </w:p>
        </w:tc>
        <w:tc>
          <w:tcPr>
            <w:tcW w:w="1740" w:type="pct"/>
            <w:tcBorders>
              <w:tl2br w:val="nil"/>
              <w:tr2bl w:val="nil"/>
            </w:tcBorders>
            <w:vAlign w:val="center"/>
          </w:tcPr>
          <w:p w14:paraId="40E2A18E">
            <w:pPr>
              <w:snapToGrid w:val="0"/>
              <w:spacing w:before="0" w:beforeLines="0" w:line="240" w:lineRule="auto"/>
              <w:jc w:val="center"/>
              <w:rPr>
                <w:szCs w:val="21"/>
              </w:rPr>
            </w:pPr>
            <w:r>
              <w:rPr>
                <w:szCs w:val="21"/>
              </w:rPr>
              <w:t>≤3.0</w:t>
            </w:r>
          </w:p>
        </w:tc>
      </w:tr>
      <w:tr w14:paraId="707C03E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14:paraId="66177138">
            <w:pPr>
              <w:pStyle w:val="220"/>
              <w:spacing w:before="0" w:beforeLines="0" w:line="240" w:lineRule="auto"/>
              <w:rPr>
                <w:sz w:val="21"/>
                <w:szCs w:val="21"/>
              </w:rPr>
            </w:pPr>
          </w:p>
        </w:tc>
        <w:tc>
          <w:tcPr>
            <w:tcW w:w="1756" w:type="pct"/>
            <w:tcBorders>
              <w:tl2br w:val="nil"/>
              <w:tr2bl w:val="nil"/>
            </w:tcBorders>
            <w:vAlign w:val="center"/>
          </w:tcPr>
          <w:p w14:paraId="2C5F6BDA">
            <w:pPr>
              <w:snapToGrid w:val="0"/>
              <w:spacing w:before="0" w:beforeLines="0" w:line="240" w:lineRule="auto"/>
              <w:jc w:val="center"/>
              <w:rPr>
                <w:szCs w:val="21"/>
              </w:rPr>
            </w:pPr>
            <w:r>
              <w:rPr>
                <w:kern w:val="0"/>
                <w:szCs w:val="21"/>
                <w:lang w:bidi="ar"/>
              </w:rPr>
              <w:t>氨氮</w:t>
            </w:r>
          </w:p>
        </w:tc>
        <w:tc>
          <w:tcPr>
            <w:tcW w:w="768" w:type="pct"/>
            <w:vMerge w:val="continue"/>
            <w:tcBorders>
              <w:tl2br w:val="nil"/>
              <w:tr2bl w:val="nil"/>
            </w:tcBorders>
            <w:vAlign w:val="center"/>
          </w:tcPr>
          <w:p w14:paraId="63B9635C">
            <w:pPr>
              <w:pStyle w:val="220"/>
              <w:spacing w:before="0" w:beforeLines="0" w:line="240" w:lineRule="auto"/>
              <w:rPr>
                <w:sz w:val="21"/>
                <w:szCs w:val="21"/>
              </w:rPr>
            </w:pPr>
          </w:p>
        </w:tc>
        <w:tc>
          <w:tcPr>
            <w:tcW w:w="1740" w:type="pct"/>
            <w:tcBorders>
              <w:tl2br w:val="nil"/>
              <w:tr2bl w:val="nil"/>
            </w:tcBorders>
            <w:vAlign w:val="center"/>
          </w:tcPr>
          <w:p w14:paraId="5A25A01B">
            <w:pPr>
              <w:snapToGrid w:val="0"/>
              <w:spacing w:before="0" w:beforeLines="0" w:line="240" w:lineRule="auto"/>
              <w:jc w:val="center"/>
              <w:rPr>
                <w:szCs w:val="21"/>
              </w:rPr>
            </w:pPr>
            <w:r>
              <w:rPr>
                <w:szCs w:val="21"/>
              </w:rPr>
              <w:t>≤0.5</w:t>
            </w:r>
          </w:p>
        </w:tc>
      </w:tr>
      <w:tr w14:paraId="1343650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14:paraId="60AF65F3">
            <w:pPr>
              <w:pStyle w:val="220"/>
              <w:spacing w:before="0" w:beforeLines="0" w:line="240" w:lineRule="auto"/>
              <w:rPr>
                <w:sz w:val="21"/>
                <w:szCs w:val="21"/>
              </w:rPr>
            </w:pPr>
          </w:p>
        </w:tc>
        <w:tc>
          <w:tcPr>
            <w:tcW w:w="1756" w:type="pct"/>
            <w:tcBorders>
              <w:tl2br w:val="nil"/>
              <w:tr2bl w:val="nil"/>
            </w:tcBorders>
            <w:vAlign w:val="center"/>
          </w:tcPr>
          <w:p w14:paraId="43E706CD">
            <w:pPr>
              <w:snapToGrid w:val="0"/>
              <w:spacing w:before="0" w:beforeLines="0" w:line="240" w:lineRule="auto"/>
              <w:jc w:val="center"/>
              <w:rPr>
                <w:szCs w:val="21"/>
              </w:rPr>
            </w:pPr>
            <w:r>
              <w:rPr>
                <w:kern w:val="0"/>
                <w:szCs w:val="21"/>
                <w:lang w:bidi="ar"/>
              </w:rPr>
              <w:t>硫化物</w:t>
            </w:r>
          </w:p>
        </w:tc>
        <w:tc>
          <w:tcPr>
            <w:tcW w:w="768" w:type="pct"/>
            <w:vMerge w:val="continue"/>
            <w:tcBorders>
              <w:tl2br w:val="nil"/>
              <w:tr2bl w:val="nil"/>
            </w:tcBorders>
            <w:vAlign w:val="center"/>
          </w:tcPr>
          <w:p w14:paraId="10FCB30D">
            <w:pPr>
              <w:pStyle w:val="220"/>
              <w:spacing w:before="0" w:beforeLines="0" w:line="240" w:lineRule="auto"/>
              <w:rPr>
                <w:sz w:val="21"/>
                <w:szCs w:val="21"/>
              </w:rPr>
            </w:pPr>
          </w:p>
        </w:tc>
        <w:tc>
          <w:tcPr>
            <w:tcW w:w="1740" w:type="pct"/>
            <w:tcBorders>
              <w:tl2br w:val="nil"/>
              <w:tr2bl w:val="nil"/>
            </w:tcBorders>
            <w:vAlign w:val="center"/>
          </w:tcPr>
          <w:p w14:paraId="496DC5A0">
            <w:pPr>
              <w:snapToGrid w:val="0"/>
              <w:spacing w:before="0" w:beforeLines="0" w:line="240" w:lineRule="auto"/>
              <w:jc w:val="center"/>
              <w:rPr>
                <w:szCs w:val="21"/>
              </w:rPr>
            </w:pPr>
            <w:r>
              <w:rPr>
                <w:szCs w:val="21"/>
              </w:rPr>
              <w:t>≤0.02</w:t>
            </w:r>
          </w:p>
        </w:tc>
      </w:tr>
      <w:tr w14:paraId="502E149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14:paraId="1B880947">
            <w:pPr>
              <w:pStyle w:val="220"/>
              <w:spacing w:before="0" w:beforeLines="0" w:line="240" w:lineRule="auto"/>
              <w:rPr>
                <w:sz w:val="21"/>
                <w:szCs w:val="21"/>
              </w:rPr>
            </w:pPr>
          </w:p>
        </w:tc>
        <w:tc>
          <w:tcPr>
            <w:tcW w:w="1756" w:type="pct"/>
            <w:tcBorders>
              <w:tl2br w:val="nil"/>
              <w:tr2bl w:val="nil"/>
            </w:tcBorders>
            <w:vAlign w:val="center"/>
          </w:tcPr>
          <w:p w14:paraId="4CD897B3">
            <w:pPr>
              <w:snapToGrid w:val="0"/>
              <w:spacing w:before="0" w:beforeLines="0" w:line="240" w:lineRule="auto"/>
              <w:jc w:val="center"/>
              <w:rPr>
                <w:kern w:val="0"/>
                <w:szCs w:val="21"/>
                <w:lang w:bidi="ar"/>
              </w:rPr>
            </w:pPr>
            <w:r>
              <w:rPr>
                <w:kern w:val="0"/>
                <w:szCs w:val="21"/>
                <w:lang w:bidi="ar"/>
              </w:rPr>
              <w:t>钠</w:t>
            </w:r>
          </w:p>
        </w:tc>
        <w:tc>
          <w:tcPr>
            <w:tcW w:w="768" w:type="pct"/>
            <w:vMerge w:val="continue"/>
            <w:tcBorders>
              <w:tl2br w:val="nil"/>
              <w:tr2bl w:val="nil"/>
            </w:tcBorders>
            <w:vAlign w:val="center"/>
          </w:tcPr>
          <w:p w14:paraId="2C407CA1">
            <w:pPr>
              <w:pStyle w:val="220"/>
              <w:spacing w:before="0" w:beforeLines="0" w:line="240" w:lineRule="auto"/>
              <w:rPr>
                <w:sz w:val="21"/>
                <w:szCs w:val="21"/>
              </w:rPr>
            </w:pPr>
          </w:p>
        </w:tc>
        <w:tc>
          <w:tcPr>
            <w:tcW w:w="1740" w:type="pct"/>
            <w:tcBorders>
              <w:tl2br w:val="nil"/>
              <w:tr2bl w:val="nil"/>
            </w:tcBorders>
            <w:vAlign w:val="center"/>
          </w:tcPr>
          <w:p w14:paraId="40F9F4B8">
            <w:pPr>
              <w:snapToGrid w:val="0"/>
              <w:spacing w:before="0" w:beforeLines="0" w:line="240" w:lineRule="auto"/>
              <w:jc w:val="center"/>
              <w:rPr>
                <w:szCs w:val="21"/>
              </w:rPr>
            </w:pPr>
            <w:r>
              <w:rPr>
                <w:szCs w:val="21"/>
              </w:rPr>
              <w:t>≤200</w:t>
            </w:r>
          </w:p>
        </w:tc>
      </w:tr>
      <w:tr w14:paraId="66F9822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14:paraId="12D85486">
            <w:pPr>
              <w:pStyle w:val="220"/>
              <w:spacing w:before="0" w:beforeLines="0" w:line="240" w:lineRule="auto"/>
              <w:rPr>
                <w:sz w:val="21"/>
                <w:szCs w:val="21"/>
              </w:rPr>
            </w:pPr>
          </w:p>
        </w:tc>
        <w:tc>
          <w:tcPr>
            <w:tcW w:w="1756" w:type="pct"/>
            <w:tcBorders>
              <w:tl2br w:val="nil"/>
              <w:tr2bl w:val="nil"/>
            </w:tcBorders>
            <w:vAlign w:val="center"/>
          </w:tcPr>
          <w:p w14:paraId="102F5B98">
            <w:pPr>
              <w:snapToGrid w:val="0"/>
              <w:spacing w:before="0" w:beforeLines="0" w:line="240" w:lineRule="auto"/>
              <w:jc w:val="center"/>
              <w:rPr>
                <w:kern w:val="0"/>
                <w:szCs w:val="21"/>
                <w:lang w:bidi="ar"/>
              </w:rPr>
            </w:pPr>
            <w:r>
              <w:rPr>
                <w:kern w:val="0"/>
                <w:szCs w:val="21"/>
                <w:lang w:bidi="ar"/>
              </w:rPr>
              <w:t>石油类</w:t>
            </w:r>
          </w:p>
        </w:tc>
        <w:tc>
          <w:tcPr>
            <w:tcW w:w="768" w:type="pct"/>
            <w:vMerge w:val="continue"/>
            <w:tcBorders>
              <w:tl2br w:val="nil"/>
              <w:tr2bl w:val="nil"/>
            </w:tcBorders>
            <w:vAlign w:val="center"/>
          </w:tcPr>
          <w:p w14:paraId="03D99191">
            <w:pPr>
              <w:pStyle w:val="220"/>
              <w:spacing w:before="0" w:beforeLines="0" w:line="240" w:lineRule="auto"/>
              <w:rPr>
                <w:sz w:val="21"/>
                <w:szCs w:val="21"/>
              </w:rPr>
            </w:pPr>
          </w:p>
        </w:tc>
        <w:tc>
          <w:tcPr>
            <w:tcW w:w="1740" w:type="pct"/>
            <w:tcBorders>
              <w:tl2br w:val="nil"/>
              <w:tr2bl w:val="nil"/>
            </w:tcBorders>
            <w:vAlign w:val="center"/>
          </w:tcPr>
          <w:p w14:paraId="4CB215C2">
            <w:pPr>
              <w:snapToGrid w:val="0"/>
              <w:spacing w:before="0" w:beforeLines="0" w:line="240" w:lineRule="auto"/>
              <w:jc w:val="center"/>
              <w:rPr>
                <w:szCs w:val="21"/>
              </w:rPr>
            </w:pPr>
            <w:r>
              <w:rPr>
                <w:szCs w:val="21"/>
              </w:rPr>
              <w:t>≤0.</w:t>
            </w:r>
            <w:r>
              <w:rPr>
                <w:rFonts w:hint="eastAsia"/>
                <w:szCs w:val="21"/>
              </w:rPr>
              <w:t>05</w:t>
            </w:r>
          </w:p>
        </w:tc>
      </w:tr>
      <w:tr w14:paraId="70B453E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14:paraId="0D02E15F">
            <w:pPr>
              <w:pStyle w:val="220"/>
              <w:spacing w:before="0" w:beforeLines="0" w:line="240" w:lineRule="auto"/>
              <w:rPr>
                <w:sz w:val="21"/>
                <w:szCs w:val="21"/>
              </w:rPr>
            </w:pPr>
          </w:p>
        </w:tc>
        <w:tc>
          <w:tcPr>
            <w:tcW w:w="1756" w:type="pct"/>
            <w:tcBorders>
              <w:tl2br w:val="nil"/>
              <w:tr2bl w:val="nil"/>
            </w:tcBorders>
            <w:vAlign w:val="center"/>
          </w:tcPr>
          <w:p w14:paraId="428CACC3">
            <w:pPr>
              <w:snapToGrid w:val="0"/>
              <w:spacing w:before="0" w:beforeLines="0" w:line="240" w:lineRule="auto"/>
              <w:jc w:val="center"/>
              <w:rPr>
                <w:kern w:val="0"/>
                <w:szCs w:val="21"/>
                <w:lang w:bidi="ar"/>
              </w:rPr>
            </w:pPr>
            <w:r>
              <w:rPr>
                <w:rFonts w:hint="eastAsia"/>
                <w:kern w:val="0"/>
                <w:szCs w:val="21"/>
                <w:lang w:bidi="ar"/>
              </w:rPr>
              <w:t>钒</w:t>
            </w:r>
          </w:p>
        </w:tc>
        <w:tc>
          <w:tcPr>
            <w:tcW w:w="768" w:type="pct"/>
            <w:vMerge w:val="continue"/>
            <w:tcBorders>
              <w:tl2br w:val="nil"/>
              <w:tr2bl w:val="nil"/>
            </w:tcBorders>
            <w:vAlign w:val="center"/>
          </w:tcPr>
          <w:p w14:paraId="29CC97F9">
            <w:pPr>
              <w:pStyle w:val="220"/>
              <w:spacing w:before="0" w:beforeLines="0" w:line="240" w:lineRule="auto"/>
              <w:rPr>
                <w:sz w:val="21"/>
                <w:szCs w:val="21"/>
              </w:rPr>
            </w:pPr>
          </w:p>
        </w:tc>
        <w:tc>
          <w:tcPr>
            <w:tcW w:w="1740" w:type="pct"/>
            <w:tcBorders>
              <w:tl2br w:val="nil"/>
              <w:tr2bl w:val="nil"/>
            </w:tcBorders>
            <w:vAlign w:val="center"/>
          </w:tcPr>
          <w:p w14:paraId="28EEEAD9">
            <w:pPr>
              <w:snapToGrid w:val="0"/>
              <w:spacing w:before="0" w:beforeLines="0" w:line="240" w:lineRule="auto"/>
              <w:jc w:val="center"/>
              <w:rPr>
                <w:szCs w:val="21"/>
              </w:rPr>
            </w:pPr>
            <w:r>
              <w:rPr>
                <w:rFonts w:hint="eastAsia"/>
                <w:szCs w:val="21"/>
              </w:rPr>
              <w:t>0</w:t>
            </w:r>
            <w:r>
              <w:rPr>
                <w:szCs w:val="21"/>
              </w:rPr>
              <w:t>.05</w:t>
            </w:r>
          </w:p>
        </w:tc>
      </w:tr>
      <w:tr w14:paraId="7857562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14:paraId="5104CE24">
            <w:pPr>
              <w:pStyle w:val="220"/>
              <w:spacing w:before="0" w:beforeLines="0" w:line="240" w:lineRule="auto"/>
              <w:rPr>
                <w:sz w:val="21"/>
                <w:szCs w:val="21"/>
              </w:rPr>
            </w:pPr>
          </w:p>
        </w:tc>
        <w:tc>
          <w:tcPr>
            <w:tcW w:w="1756" w:type="pct"/>
            <w:tcBorders>
              <w:tl2br w:val="nil"/>
              <w:tr2bl w:val="nil"/>
            </w:tcBorders>
            <w:vAlign w:val="center"/>
          </w:tcPr>
          <w:p w14:paraId="40651E82">
            <w:pPr>
              <w:snapToGrid w:val="0"/>
              <w:spacing w:before="0" w:beforeLines="0" w:line="240" w:lineRule="auto"/>
              <w:jc w:val="center"/>
              <w:rPr>
                <w:kern w:val="0"/>
                <w:szCs w:val="21"/>
                <w:lang w:bidi="ar"/>
              </w:rPr>
            </w:pPr>
            <w:r>
              <w:rPr>
                <w:rFonts w:hint="eastAsia"/>
                <w:kern w:val="0"/>
                <w:szCs w:val="21"/>
                <w:lang w:bidi="ar"/>
              </w:rPr>
              <w:t>钛</w:t>
            </w:r>
          </w:p>
        </w:tc>
        <w:tc>
          <w:tcPr>
            <w:tcW w:w="768" w:type="pct"/>
            <w:vMerge w:val="continue"/>
            <w:tcBorders>
              <w:tl2br w:val="nil"/>
              <w:tr2bl w:val="nil"/>
            </w:tcBorders>
            <w:vAlign w:val="center"/>
          </w:tcPr>
          <w:p w14:paraId="02503C7E">
            <w:pPr>
              <w:pStyle w:val="220"/>
              <w:spacing w:before="0" w:beforeLines="0" w:line="240" w:lineRule="auto"/>
              <w:rPr>
                <w:sz w:val="21"/>
                <w:szCs w:val="21"/>
              </w:rPr>
            </w:pPr>
          </w:p>
        </w:tc>
        <w:tc>
          <w:tcPr>
            <w:tcW w:w="1740" w:type="pct"/>
            <w:tcBorders>
              <w:tl2br w:val="nil"/>
              <w:tr2bl w:val="nil"/>
            </w:tcBorders>
            <w:vAlign w:val="center"/>
          </w:tcPr>
          <w:p w14:paraId="5B2D6A64">
            <w:pPr>
              <w:snapToGrid w:val="0"/>
              <w:spacing w:before="0" w:beforeLines="0" w:line="240" w:lineRule="auto"/>
              <w:jc w:val="center"/>
              <w:rPr>
                <w:szCs w:val="21"/>
              </w:rPr>
            </w:pPr>
            <w:r>
              <w:rPr>
                <w:rFonts w:hint="eastAsia"/>
                <w:szCs w:val="21"/>
              </w:rPr>
              <w:t>0</w:t>
            </w:r>
            <w:r>
              <w:rPr>
                <w:szCs w:val="21"/>
              </w:rPr>
              <w:t>.1</w:t>
            </w:r>
          </w:p>
        </w:tc>
      </w:tr>
      <w:tr w14:paraId="19E4010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14:paraId="4990B5CA">
            <w:pPr>
              <w:pStyle w:val="220"/>
              <w:spacing w:before="0" w:beforeLines="0" w:line="240" w:lineRule="auto"/>
              <w:rPr>
                <w:sz w:val="21"/>
                <w:szCs w:val="21"/>
              </w:rPr>
            </w:pPr>
          </w:p>
        </w:tc>
        <w:tc>
          <w:tcPr>
            <w:tcW w:w="1756" w:type="pct"/>
            <w:tcBorders>
              <w:tl2br w:val="nil"/>
              <w:tr2bl w:val="nil"/>
            </w:tcBorders>
            <w:vAlign w:val="center"/>
          </w:tcPr>
          <w:p w14:paraId="4F9AD309">
            <w:pPr>
              <w:snapToGrid w:val="0"/>
              <w:spacing w:before="0" w:beforeLines="0" w:line="240" w:lineRule="auto"/>
              <w:jc w:val="center"/>
              <w:rPr>
                <w:szCs w:val="21"/>
              </w:rPr>
            </w:pPr>
            <w:r>
              <w:rPr>
                <w:kern w:val="0"/>
                <w:szCs w:val="21"/>
                <w:lang w:bidi="ar"/>
              </w:rPr>
              <w:t>总大肠菌群</w:t>
            </w:r>
          </w:p>
        </w:tc>
        <w:tc>
          <w:tcPr>
            <w:tcW w:w="768" w:type="pct"/>
            <w:tcBorders>
              <w:tl2br w:val="nil"/>
              <w:tr2bl w:val="nil"/>
            </w:tcBorders>
            <w:vAlign w:val="center"/>
          </w:tcPr>
          <w:p w14:paraId="019ED325">
            <w:pPr>
              <w:pStyle w:val="220"/>
              <w:spacing w:before="0" w:beforeLines="0" w:line="240" w:lineRule="auto"/>
              <w:rPr>
                <w:sz w:val="21"/>
                <w:szCs w:val="21"/>
              </w:rPr>
            </w:pPr>
            <w:r>
              <w:rPr>
                <w:kern w:val="0"/>
                <w:sz w:val="21"/>
                <w:szCs w:val="21"/>
                <w:lang w:bidi="ar"/>
              </w:rPr>
              <w:t>CFU/100ml</w:t>
            </w:r>
          </w:p>
        </w:tc>
        <w:tc>
          <w:tcPr>
            <w:tcW w:w="1740" w:type="pct"/>
            <w:tcBorders>
              <w:tl2br w:val="nil"/>
              <w:tr2bl w:val="nil"/>
            </w:tcBorders>
            <w:vAlign w:val="center"/>
          </w:tcPr>
          <w:p w14:paraId="4516E1DF">
            <w:pPr>
              <w:snapToGrid w:val="0"/>
              <w:spacing w:before="0" w:beforeLines="0" w:line="240" w:lineRule="auto"/>
              <w:jc w:val="center"/>
              <w:rPr>
                <w:szCs w:val="21"/>
              </w:rPr>
            </w:pPr>
            <w:r>
              <w:rPr>
                <w:szCs w:val="21"/>
              </w:rPr>
              <w:t>≤3.0</w:t>
            </w:r>
          </w:p>
        </w:tc>
      </w:tr>
      <w:tr w14:paraId="3CB59B6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14:paraId="5B0846C1">
            <w:pPr>
              <w:pStyle w:val="220"/>
              <w:spacing w:before="0" w:beforeLines="0" w:line="240" w:lineRule="auto"/>
              <w:rPr>
                <w:sz w:val="21"/>
                <w:szCs w:val="21"/>
              </w:rPr>
            </w:pPr>
          </w:p>
        </w:tc>
        <w:tc>
          <w:tcPr>
            <w:tcW w:w="1756" w:type="pct"/>
            <w:tcBorders>
              <w:tl2br w:val="nil"/>
              <w:tr2bl w:val="nil"/>
            </w:tcBorders>
            <w:vAlign w:val="center"/>
          </w:tcPr>
          <w:p w14:paraId="678F3274">
            <w:pPr>
              <w:snapToGrid w:val="0"/>
              <w:spacing w:before="0" w:beforeLines="0" w:line="240" w:lineRule="auto"/>
              <w:jc w:val="center"/>
              <w:rPr>
                <w:szCs w:val="21"/>
              </w:rPr>
            </w:pPr>
            <w:r>
              <w:rPr>
                <w:kern w:val="0"/>
                <w:szCs w:val="21"/>
                <w:lang w:bidi="ar"/>
              </w:rPr>
              <w:t>菌落总数</w:t>
            </w:r>
          </w:p>
        </w:tc>
        <w:tc>
          <w:tcPr>
            <w:tcW w:w="768" w:type="pct"/>
            <w:tcBorders>
              <w:tl2br w:val="nil"/>
              <w:tr2bl w:val="nil"/>
            </w:tcBorders>
            <w:vAlign w:val="center"/>
          </w:tcPr>
          <w:p w14:paraId="7B8F6BE5">
            <w:pPr>
              <w:pStyle w:val="220"/>
              <w:spacing w:before="0" w:beforeLines="0" w:line="240" w:lineRule="auto"/>
              <w:rPr>
                <w:sz w:val="21"/>
                <w:szCs w:val="21"/>
              </w:rPr>
            </w:pPr>
            <w:r>
              <w:rPr>
                <w:kern w:val="0"/>
                <w:sz w:val="21"/>
                <w:szCs w:val="21"/>
                <w:lang w:bidi="ar"/>
              </w:rPr>
              <w:t>CFU/100ml</w:t>
            </w:r>
          </w:p>
        </w:tc>
        <w:tc>
          <w:tcPr>
            <w:tcW w:w="1740" w:type="pct"/>
            <w:tcBorders>
              <w:tl2br w:val="nil"/>
              <w:tr2bl w:val="nil"/>
            </w:tcBorders>
            <w:vAlign w:val="center"/>
          </w:tcPr>
          <w:p w14:paraId="482B35A3">
            <w:pPr>
              <w:snapToGrid w:val="0"/>
              <w:spacing w:before="0" w:beforeLines="0" w:line="240" w:lineRule="auto"/>
              <w:jc w:val="center"/>
              <w:rPr>
                <w:szCs w:val="21"/>
              </w:rPr>
            </w:pPr>
            <w:r>
              <w:rPr>
                <w:szCs w:val="21"/>
              </w:rPr>
              <w:t>≤100</w:t>
            </w:r>
          </w:p>
        </w:tc>
      </w:tr>
    </w:tbl>
    <w:p w14:paraId="1E16F165">
      <w:pPr>
        <w:snapToGrid w:val="0"/>
        <w:spacing w:before="78" w:line="360" w:lineRule="auto"/>
        <w:ind w:firstLine="482" w:firstLineChars="200"/>
        <w:rPr>
          <w:b/>
          <w:bCs/>
          <w:kern w:val="0"/>
          <w:sz w:val="24"/>
        </w:rPr>
      </w:pPr>
      <w:r>
        <w:rPr>
          <w:rFonts w:hint="eastAsia"/>
          <w:b/>
          <w:bCs/>
          <w:kern w:val="0"/>
          <w:sz w:val="24"/>
        </w:rPr>
        <w:t>（4）</w:t>
      </w:r>
      <w:r>
        <w:rPr>
          <w:b/>
          <w:bCs/>
          <w:kern w:val="0"/>
          <w:sz w:val="24"/>
        </w:rPr>
        <w:t>土壤环境质量标准</w:t>
      </w:r>
    </w:p>
    <w:p w14:paraId="71376DA8">
      <w:pPr>
        <w:adjustRightInd w:val="0"/>
        <w:snapToGrid w:val="0"/>
        <w:spacing w:before="0" w:beforeLines="0" w:line="360" w:lineRule="auto"/>
        <w:ind w:firstLine="480" w:firstLineChars="200"/>
        <w:jc w:val="left"/>
        <w:rPr>
          <w:sz w:val="24"/>
        </w:rPr>
      </w:pPr>
      <w:r>
        <w:rPr>
          <w:sz w:val="24"/>
        </w:rPr>
        <w:t>厂区内土壤执行《土壤环境质量 建设用地土壤污染风险管控标准（试行）》（GB36600-2018）筛选值标准。标准分别见表2.3-3。</w:t>
      </w:r>
    </w:p>
    <w:p w14:paraId="7676A82F">
      <w:pPr>
        <w:pStyle w:val="143"/>
        <w:spacing w:before="0" w:beforeLines="0"/>
        <w:rPr>
          <w:b/>
          <w:bCs w:val="0"/>
        </w:rPr>
      </w:pPr>
      <w:r>
        <w:rPr>
          <w:b/>
          <w:bCs w:val="0"/>
        </w:rPr>
        <w:t>表2.3-3   土壤环境质量标准   建设用地</w:t>
      </w:r>
      <w:r>
        <w:rPr>
          <w:rFonts w:hint="eastAsia"/>
          <w:b/>
          <w:bCs w:val="0"/>
        </w:rPr>
        <w:t>筛选值</w:t>
      </w:r>
    </w:p>
    <w:tbl>
      <w:tblPr>
        <w:tblStyle w:val="89"/>
        <w:tblW w:w="5035"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778"/>
        <w:gridCol w:w="660"/>
        <w:gridCol w:w="2561"/>
        <w:gridCol w:w="1225"/>
        <w:gridCol w:w="1557"/>
        <w:gridCol w:w="1589"/>
      </w:tblGrid>
      <w:tr w14:paraId="5795835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411F117A">
            <w:pPr>
              <w:pStyle w:val="160"/>
              <w:snapToGrid w:val="0"/>
              <w:rPr>
                <w:szCs w:val="21"/>
              </w:rPr>
            </w:pPr>
            <w:bookmarkStart w:id="42" w:name="_Hlk45808912"/>
            <w:r>
              <w:rPr>
                <w:szCs w:val="21"/>
              </w:rPr>
              <w:t>序号</w:t>
            </w:r>
          </w:p>
        </w:tc>
        <w:tc>
          <w:tcPr>
            <w:tcW w:w="1924" w:type="pct"/>
            <w:gridSpan w:val="2"/>
            <w:tcBorders>
              <w:tl2br w:val="nil"/>
              <w:tr2bl w:val="nil"/>
            </w:tcBorders>
            <w:vAlign w:val="center"/>
          </w:tcPr>
          <w:p w14:paraId="5FEE5FA4">
            <w:pPr>
              <w:pStyle w:val="160"/>
              <w:snapToGrid w:val="0"/>
              <w:rPr>
                <w:szCs w:val="21"/>
              </w:rPr>
            </w:pPr>
            <w:r>
              <w:rPr>
                <w:szCs w:val="21"/>
              </w:rPr>
              <w:t>污染物项目</w:t>
            </w:r>
          </w:p>
        </w:tc>
        <w:tc>
          <w:tcPr>
            <w:tcW w:w="732" w:type="pct"/>
            <w:tcBorders>
              <w:tl2br w:val="nil"/>
              <w:tr2bl w:val="nil"/>
            </w:tcBorders>
            <w:vAlign w:val="center"/>
          </w:tcPr>
          <w:p w14:paraId="56D80D1D">
            <w:pPr>
              <w:pStyle w:val="160"/>
              <w:snapToGrid w:val="0"/>
              <w:rPr>
                <w:szCs w:val="21"/>
              </w:rPr>
            </w:pPr>
            <w:r>
              <w:rPr>
                <w:szCs w:val="21"/>
              </w:rPr>
              <w:t>单位</w:t>
            </w:r>
          </w:p>
        </w:tc>
        <w:tc>
          <w:tcPr>
            <w:tcW w:w="930" w:type="pct"/>
            <w:tcBorders>
              <w:tl2br w:val="nil"/>
              <w:tr2bl w:val="nil"/>
            </w:tcBorders>
            <w:vAlign w:val="center"/>
          </w:tcPr>
          <w:p w14:paraId="397BF903">
            <w:pPr>
              <w:pStyle w:val="160"/>
              <w:snapToGrid w:val="0"/>
              <w:rPr>
                <w:szCs w:val="21"/>
              </w:rPr>
            </w:pPr>
            <w:r>
              <w:rPr>
                <w:szCs w:val="21"/>
              </w:rPr>
              <w:t>第一类用地</w:t>
            </w:r>
          </w:p>
        </w:tc>
        <w:tc>
          <w:tcPr>
            <w:tcW w:w="949" w:type="pct"/>
            <w:tcBorders>
              <w:tl2br w:val="nil"/>
              <w:tr2bl w:val="nil"/>
            </w:tcBorders>
            <w:vAlign w:val="center"/>
          </w:tcPr>
          <w:p w14:paraId="640CBC02">
            <w:pPr>
              <w:pStyle w:val="160"/>
              <w:snapToGrid w:val="0"/>
              <w:rPr>
                <w:szCs w:val="21"/>
              </w:rPr>
            </w:pPr>
            <w:r>
              <w:rPr>
                <w:szCs w:val="21"/>
              </w:rPr>
              <w:t>第二类用地</w:t>
            </w:r>
          </w:p>
        </w:tc>
      </w:tr>
      <w:tr w14:paraId="116B983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1DDCD962">
            <w:pPr>
              <w:pStyle w:val="160"/>
              <w:snapToGrid w:val="0"/>
              <w:rPr>
                <w:szCs w:val="21"/>
              </w:rPr>
            </w:pPr>
            <w:r>
              <w:rPr>
                <w:szCs w:val="21"/>
              </w:rPr>
              <w:t>1</w:t>
            </w:r>
          </w:p>
        </w:tc>
        <w:tc>
          <w:tcPr>
            <w:tcW w:w="394" w:type="pct"/>
            <w:vMerge w:val="restart"/>
            <w:tcBorders>
              <w:tl2br w:val="nil"/>
              <w:tr2bl w:val="nil"/>
            </w:tcBorders>
            <w:vAlign w:val="center"/>
          </w:tcPr>
          <w:p w14:paraId="3C8C353B">
            <w:pPr>
              <w:pStyle w:val="160"/>
              <w:snapToGrid w:val="0"/>
              <w:rPr>
                <w:szCs w:val="21"/>
              </w:rPr>
            </w:pPr>
            <w:r>
              <w:rPr>
                <w:szCs w:val="21"/>
              </w:rPr>
              <w:t>重</w:t>
            </w:r>
          </w:p>
          <w:p w14:paraId="69E2EDDA">
            <w:pPr>
              <w:pStyle w:val="160"/>
              <w:snapToGrid w:val="0"/>
              <w:rPr>
                <w:szCs w:val="21"/>
              </w:rPr>
            </w:pPr>
            <w:r>
              <w:rPr>
                <w:szCs w:val="21"/>
              </w:rPr>
              <w:t>金</w:t>
            </w:r>
          </w:p>
          <w:p w14:paraId="41CBA0BB">
            <w:pPr>
              <w:pStyle w:val="160"/>
              <w:snapToGrid w:val="0"/>
              <w:rPr>
                <w:szCs w:val="21"/>
              </w:rPr>
            </w:pPr>
            <w:r>
              <w:rPr>
                <w:szCs w:val="21"/>
              </w:rPr>
              <w:t>属</w:t>
            </w:r>
          </w:p>
          <w:p w14:paraId="3BE20C49">
            <w:pPr>
              <w:pStyle w:val="160"/>
              <w:snapToGrid w:val="0"/>
              <w:rPr>
                <w:szCs w:val="21"/>
              </w:rPr>
            </w:pPr>
            <w:r>
              <w:rPr>
                <w:szCs w:val="21"/>
              </w:rPr>
              <w:t>和</w:t>
            </w:r>
          </w:p>
          <w:p w14:paraId="69FE2B00">
            <w:pPr>
              <w:pStyle w:val="160"/>
              <w:snapToGrid w:val="0"/>
              <w:rPr>
                <w:szCs w:val="21"/>
              </w:rPr>
            </w:pPr>
            <w:r>
              <w:rPr>
                <w:szCs w:val="21"/>
              </w:rPr>
              <w:t>无</w:t>
            </w:r>
          </w:p>
          <w:p w14:paraId="56C4A113">
            <w:pPr>
              <w:pStyle w:val="160"/>
              <w:snapToGrid w:val="0"/>
              <w:rPr>
                <w:szCs w:val="21"/>
              </w:rPr>
            </w:pPr>
            <w:r>
              <w:rPr>
                <w:szCs w:val="21"/>
              </w:rPr>
              <w:t>机</w:t>
            </w:r>
          </w:p>
          <w:p w14:paraId="50643C54">
            <w:pPr>
              <w:pStyle w:val="160"/>
              <w:snapToGrid w:val="0"/>
              <w:rPr>
                <w:szCs w:val="21"/>
              </w:rPr>
            </w:pPr>
            <w:r>
              <w:rPr>
                <w:szCs w:val="21"/>
              </w:rPr>
              <w:t>物</w:t>
            </w:r>
          </w:p>
        </w:tc>
        <w:tc>
          <w:tcPr>
            <w:tcW w:w="1530" w:type="pct"/>
            <w:tcBorders>
              <w:tl2br w:val="nil"/>
              <w:tr2bl w:val="nil"/>
            </w:tcBorders>
            <w:vAlign w:val="center"/>
          </w:tcPr>
          <w:p w14:paraId="306B47F8">
            <w:pPr>
              <w:pStyle w:val="160"/>
              <w:snapToGrid w:val="0"/>
              <w:rPr>
                <w:szCs w:val="21"/>
              </w:rPr>
            </w:pPr>
            <w:r>
              <w:rPr>
                <w:szCs w:val="21"/>
              </w:rPr>
              <w:t>砷</w:t>
            </w:r>
          </w:p>
        </w:tc>
        <w:tc>
          <w:tcPr>
            <w:tcW w:w="732" w:type="pct"/>
            <w:tcBorders>
              <w:tl2br w:val="nil"/>
              <w:tr2bl w:val="nil"/>
            </w:tcBorders>
            <w:vAlign w:val="center"/>
          </w:tcPr>
          <w:p w14:paraId="1EB4CCB0">
            <w:pPr>
              <w:pStyle w:val="160"/>
              <w:snapToGrid w:val="0"/>
              <w:rPr>
                <w:szCs w:val="21"/>
              </w:rPr>
            </w:pPr>
            <w:r>
              <w:rPr>
                <w:szCs w:val="21"/>
              </w:rPr>
              <w:t>mg/kg</w:t>
            </w:r>
          </w:p>
        </w:tc>
        <w:tc>
          <w:tcPr>
            <w:tcW w:w="930" w:type="pct"/>
            <w:tcBorders>
              <w:tl2br w:val="nil"/>
              <w:tr2bl w:val="nil"/>
            </w:tcBorders>
            <w:vAlign w:val="center"/>
          </w:tcPr>
          <w:p w14:paraId="191D3C61">
            <w:pPr>
              <w:pStyle w:val="160"/>
              <w:snapToGrid w:val="0"/>
              <w:rPr>
                <w:smallCaps/>
                <w:szCs w:val="21"/>
              </w:rPr>
            </w:pPr>
            <w:r>
              <w:rPr>
                <w:smallCaps/>
                <w:szCs w:val="21"/>
              </w:rPr>
              <w:t>20</w:t>
            </w:r>
          </w:p>
        </w:tc>
        <w:tc>
          <w:tcPr>
            <w:tcW w:w="949" w:type="pct"/>
            <w:tcBorders>
              <w:tl2br w:val="nil"/>
              <w:tr2bl w:val="nil"/>
            </w:tcBorders>
            <w:vAlign w:val="center"/>
          </w:tcPr>
          <w:p w14:paraId="11A210CF">
            <w:pPr>
              <w:pStyle w:val="160"/>
              <w:snapToGrid w:val="0"/>
              <w:rPr>
                <w:smallCaps/>
                <w:szCs w:val="21"/>
              </w:rPr>
            </w:pPr>
            <w:r>
              <w:rPr>
                <w:smallCaps/>
                <w:szCs w:val="21"/>
              </w:rPr>
              <w:t>60</w:t>
            </w:r>
          </w:p>
        </w:tc>
      </w:tr>
      <w:tr w14:paraId="3768E9E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67BA2BBF">
            <w:pPr>
              <w:pStyle w:val="160"/>
              <w:snapToGrid w:val="0"/>
              <w:rPr>
                <w:szCs w:val="21"/>
              </w:rPr>
            </w:pPr>
            <w:r>
              <w:rPr>
                <w:szCs w:val="21"/>
              </w:rPr>
              <w:t>2</w:t>
            </w:r>
          </w:p>
        </w:tc>
        <w:tc>
          <w:tcPr>
            <w:tcW w:w="394" w:type="pct"/>
            <w:vMerge w:val="continue"/>
            <w:tcBorders>
              <w:tl2br w:val="nil"/>
              <w:tr2bl w:val="nil"/>
            </w:tcBorders>
            <w:vAlign w:val="center"/>
          </w:tcPr>
          <w:p w14:paraId="6C2D3512">
            <w:pPr>
              <w:pStyle w:val="160"/>
              <w:snapToGrid w:val="0"/>
              <w:rPr>
                <w:szCs w:val="21"/>
              </w:rPr>
            </w:pPr>
          </w:p>
        </w:tc>
        <w:tc>
          <w:tcPr>
            <w:tcW w:w="1530" w:type="pct"/>
            <w:tcBorders>
              <w:tl2br w:val="nil"/>
              <w:tr2bl w:val="nil"/>
            </w:tcBorders>
            <w:vAlign w:val="center"/>
          </w:tcPr>
          <w:p w14:paraId="1D59E8F4">
            <w:pPr>
              <w:pStyle w:val="160"/>
              <w:snapToGrid w:val="0"/>
              <w:rPr>
                <w:szCs w:val="21"/>
              </w:rPr>
            </w:pPr>
            <w:r>
              <w:rPr>
                <w:szCs w:val="21"/>
              </w:rPr>
              <w:t>镉</w:t>
            </w:r>
          </w:p>
        </w:tc>
        <w:tc>
          <w:tcPr>
            <w:tcW w:w="732" w:type="pct"/>
            <w:tcBorders>
              <w:tl2br w:val="nil"/>
              <w:tr2bl w:val="nil"/>
            </w:tcBorders>
            <w:vAlign w:val="center"/>
          </w:tcPr>
          <w:p w14:paraId="1D4AA465">
            <w:pPr>
              <w:pStyle w:val="160"/>
              <w:snapToGrid w:val="0"/>
              <w:rPr>
                <w:szCs w:val="21"/>
              </w:rPr>
            </w:pPr>
            <w:r>
              <w:rPr>
                <w:szCs w:val="21"/>
              </w:rPr>
              <w:t>mg/kg</w:t>
            </w:r>
          </w:p>
        </w:tc>
        <w:tc>
          <w:tcPr>
            <w:tcW w:w="930" w:type="pct"/>
            <w:tcBorders>
              <w:tl2br w:val="nil"/>
              <w:tr2bl w:val="nil"/>
            </w:tcBorders>
            <w:vAlign w:val="center"/>
          </w:tcPr>
          <w:p w14:paraId="539182AB">
            <w:pPr>
              <w:pStyle w:val="160"/>
              <w:snapToGrid w:val="0"/>
              <w:rPr>
                <w:smallCaps/>
                <w:szCs w:val="21"/>
              </w:rPr>
            </w:pPr>
            <w:r>
              <w:rPr>
                <w:smallCaps/>
                <w:szCs w:val="21"/>
              </w:rPr>
              <w:t>20</w:t>
            </w:r>
          </w:p>
        </w:tc>
        <w:tc>
          <w:tcPr>
            <w:tcW w:w="949" w:type="pct"/>
            <w:tcBorders>
              <w:tl2br w:val="nil"/>
              <w:tr2bl w:val="nil"/>
            </w:tcBorders>
            <w:vAlign w:val="center"/>
          </w:tcPr>
          <w:p w14:paraId="104EBB02">
            <w:pPr>
              <w:pStyle w:val="160"/>
              <w:snapToGrid w:val="0"/>
              <w:rPr>
                <w:smallCaps/>
                <w:szCs w:val="21"/>
              </w:rPr>
            </w:pPr>
            <w:r>
              <w:rPr>
                <w:smallCaps/>
                <w:szCs w:val="21"/>
              </w:rPr>
              <w:t>65</w:t>
            </w:r>
          </w:p>
        </w:tc>
      </w:tr>
      <w:tr w14:paraId="6403E34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4EE158BE">
            <w:pPr>
              <w:pStyle w:val="160"/>
              <w:snapToGrid w:val="0"/>
              <w:rPr>
                <w:szCs w:val="21"/>
              </w:rPr>
            </w:pPr>
            <w:r>
              <w:rPr>
                <w:szCs w:val="21"/>
              </w:rPr>
              <w:t>3</w:t>
            </w:r>
          </w:p>
        </w:tc>
        <w:tc>
          <w:tcPr>
            <w:tcW w:w="394" w:type="pct"/>
            <w:vMerge w:val="continue"/>
            <w:tcBorders>
              <w:tl2br w:val="nil"/>
              <w:tr2bl w:val="nil"/>
            </w:tcBorders>
            <w:vAlign w:val="center"/>
          </w:tcPr>
          <w:p w14:paraId="36166277">
            <w:pPr>
              <w:pStyle w:val="160"/>
              <w:snapToGrid w:val="0"/>
              <w:rPr>
                <w:szCs w:val="21"/>
              </w:rPr>
            </w:pPr>
          </w:p>
        </w:tc>
        <w:tc>
          <w:tcPr>
            <w:tcW w:w="1530" w:type="pct"/>
            <w:tcBorders>
              <w:tl2br w:val="nil"/>
              <w:tr2bl w:val="nil"/>
            </w:tcBorders>
            <w:vAlign w:val="center"/>
          </w:tcPr>
          <w:p w14:paraId="13CC4939">
            <w:pPr>
              <w:pStyle w:val="160"/>
              <w:snapToGrid w:val="0"/>
              <w:rPr>
                <w:szCs w:val="21"/>
              </w:rPr>
            </w:pPr>
            <w:r>
              <w:rPr>
                <w:szCs w:val="21"/>
              </w:rPr>
              <w:t>铬（六价）</w:t>
            </w:r>
          </w:p>
        </w:tc>
        <w:tc>
          <w:tcPr>
            <w:tcW w:w="732" w:type="pct"/>
            <w:tcBorders>
              <w:tl2br w:val="nil"/>
              <w:tr2bl w:val="nil"/>
            </w:tcBorders>
            <w:vAlign w:val="center"/>
          </w:tcPr>
          <w:p w14:paraId="1F21C8F4">
            <w:pPr>
              <w:pStyle w:val="160"/>
              <w:snapToGrid w:val="0"/>
              <w:rPr>
                <w:szCs w:val="21"/>
              </w:rPr>
            </w:pPr>
            <w:r>
              <w:rPr>
                <w:szCs w:val="21"/>
              </w:rPr>
              <w:t>mg/kg</w:t>
            </w:r>
          </w:p>
        </w:tc>
        <w:tc>
          <w:tcPr>
            <w:tcW w:w="930" w:type="pct"/>
            <w:tcBorders>
              <w:tl2br w:val="nil"/>
              <w:tr2bl w:val="nil"/>
            </w:tcBorders>
            <w:vAlign w:val="center"/>
          </w:tcPr>
          <w:p w14:paraId="6E2709C9">
            <w:pPr>
              <w:pStyle w:val="160"/>
              <w:snapToGrid w:val="0"/>
              <w:rPr>
                <w:smallCaps/>
                <w:szCs w:val="21"/>
              </w:rPr>
            </w:pPr>
            <w:r>
              <w:rPr>
                <w:smallCaps/>
                <w:szCs w:val="21"/>
              </w:rPr>
              <w:t>3.0</w:t>
            </w:r>
          </w:p>
        </w:tc>
        <w:tc>
          <w:tcPr>
            <w:tcW w:w="949" w:type="pct"/>
            <w:tcBorders>
              <w:tl2br w:val="nil"/>
              <w:tr2bl w:val="nil"/>
            </w:tcBorders>
            <w:vAlign w:val="center"/>
          </w:tcPr>
          <w:p w14:paraId="6AAF595B">
            <w:pPr>
              <w:pStyle w:val="160"/>
              <w:snapToGrid w:val="0"/>
              <w:rPr>
                <w:smallCaps/>
                <w:szCs w:val="21"/>
              </w:rPr>
            </w:pPr>
            <w:r>
              <w:rPr>
                <w:smallCaps/>
                <w:szCs w:val="21"/>
              </w:rPr>
              <w:t>5.7</w:t>
            </w:r>
          </w:p>
        </w:tc>
      </w:tr>
      <w:tr w14:paraId="0B3B158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0433183A">
            <w:pPr>
              <w:pStyle w:val="160"/>
              <w:snapToGrid w:val="0"/>
              <w:rPr>
                <w:szCs w:val="21"/>
              </w:rPr>
            </w:pPr>
            <w:r>
              <w:rPr>
                <w:szCs w:val="21"/>
              </w:rPr>
              <w:t>4</w:t>
            </w:r>
          </w:p>
        </w:tc>
        <w:tc>
          <w:tcPr>
            <w:tcW w:w="394" w:type="pct"/>
            <w:vMerge w:val="continue"/>
            <w:tcBorders>
              <w:tl2br w:val="nil"/>
              <w:tr2bl w:val="nil"/>
            </w:tcBorders>
            <w:vAlign w:val="center"/>
          </w:tcPr>
          <w:p w14:paraId="37351F18">
            <w:pPr>
              <w:pStyle w:val="160"/>
              <w:snapToGrid w:val="0"/>
              <w:rPr>
                <w:szCs w:val="21"/>
              </w:rPr>
            </w:pPr>
          </w:p>
        </w:tc>
        <w:tc>
          <w:tcPr>
            <w:tcW w:w="1530" w:type="pct"/>
            <w:tcBorders>
              <w:tl2br w:val="nil"/>
              <w:tr2bl w:val="nil"/>
            </w:tcBorders>
            <w:vAlign w:val="center"/>
          </w:tcPr>
          <w:p w14:paraId="0BF6B423">
            <w:pPr>
              <w:pStyle w:val="160"/>
              <w:snapToGrid w:val="0"/>
              <w:rPr>
                <w:szCs w:val="21"/>
              </w:rPr>
            </w:pPr>
            <w:r>
              <w:rPr>
                <w:szCs w:val="21"/>
              </w:rPr>
              <w:t>铜</w:t>
            </w:r>
          </w:p>
        </w:tc>
        <w:tc>
          <w:tcPr>
            <w:tcW w:w="732" w:type="pct"/>
            <w:tcBorders>
              <w:tl2br w:val="nil"/>
              <w:tr2bl w:val="nil"/>
            </w:tcBorders>
            <w:vAlign w:val="center"/>
          </w:tcPr>
          <w:p w14:paraId="12696315">
            <w:pPr>
              <w:pStyle w:val="160"/>
              <w:snapToGrid w:val="0"/>
              <w:rPr>
                <w:szCs w:val="21"/>
              </w:rPr>
            </w:pPr>
            <w:r>
              <w:rPr>
                <w:szCs w:val="21"/>
              </w:rPr>
              <w:t>mg/kg</w:t>
            </w:r>
          </w:p>
        </w:tc>
        <w:tc>
          <w:tcPr>
            <w:tcW w:w="930" w:type="pct"/>
            <w:tcBorders>
              <w:tl2br w:val="nil"/>
              <w:tr2bl w:val="nil"/>
            </w:tcBorders>
            <w:vAlign w:val="center"/>
          </w:tcPr>
          <w:p w14:paraId="700AD13A">
            <w:pPr>
              <w:pStyle w:val="160"/>
              <w:snapToGrid w:val="0"/>
              <w:rPr>
                <w:smallCaps/>
                <w:szCs w:val="21"/>
              </w:rPr>
            </w:pPr>
            <w:r>
              <w:rPr>
                <w:smallCaps/>
                <w:szCs w:val="21"/>
              </w:rPr>
              <w:t>2000</w:t>
            </w:r>
          </w:p>
        </w:tc>
        <w:tc>
          <w:tcPr>
            <w:tcW w:w="949" w:type="pct"/>
            <w:tcBorders>
              <w:tl2br w:val="nil"/>
              <w:tr2bl w:val="nil"/>
            </w:tcBorders>
            <w:vAlign w:val="center"/>
          </w:tcPr>
          <w:p w14:paraId="6A098B8A">
            <w:pPr>
              <w:pStyle w:val="160"/>
              <w:snapToGrid w:val="0"/>
              <w:rPr>
                <w:smallCaps/>
                <w:szCs w:val="21"/>
              </w:rPr>
            </w:pPr>
            <w:r>
              <w:rPr>
                <w:smallCaps/>
                <w:szCs w:val="21"/>
              </w:rPr>
              <w:t>18000</w:t>
            </w:r>
          </w:p>
        </w:tc>
      </w:tr>
      <w:tr w14:paraId="42F0794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74B4F709">
            <w:pPr>
              <w:pStyle w:val="160"/>
              <w:snapToGrid w:val="0"/>
              <w:rPr>
                <w:szCs w:val="21"/>
              </w:rPr>
            </w:pPr>
            <w:r>
              <w:rPr>
                <w:szCs w:val="21"/>
              </w:rPr>
              <w:t>5</w:t>
            </w:r>
          </w:p>
        </w:tc>
        <w:tc>
          <w:tcPr>
            <w:tcW w:w="394" w:type="pct"/>
            <w:vMerge w:val="continue"/>
            <w:tcBorders>
              <w:tl2br w:val="nil"/>
              <w:tr2bl w:val="nil"/>
            </w:tcBorders>
            <w:vAlign w:val="center"/>
          </w:tcPr>
          <w:p w14:paraId="5D761A2A">
            <w:pPr>
              <w:pStyle w:val="160"/>
              <w:snapToGrid w:val="0"/>
              <w:rPr>
                <w:szCs w:val="21"/>
              </w:rPr>
            </w:pPr>
          </w:p>
        </w:tc>
        <w:tc>
          <w:tcPr>
            <w:tcW w:w="1530" w:type="pct"/>
            <w:tcBorders>
              <w:tl2br w:val="nil"/>
              <w:tr2bl w:val="nil"/>
            </w:tcBorders>
            <w:vAlign w:val="center"/>
          </w:tcPr>
          <w:p w14:paraId="16D6ADE1">
            <w:pPr>
              <w:pStyle w:val="160"/>
              <w:snapToGrid w:val="0"/>
              <w:rPr>
                <w:szCs w:val="21"/>
              </w:rPr>
            </w:pPr>
            <w:r>
              <w:rPr>
                <w:szCs w:val="21"/>
              </w:rPr>
              <w:t>铅</w:t>
            </w:r>
          </w:p>
        </w:tc>
        <w:tc>
          <w:tcPr>
            <w:tcW w:w="732" w:type="pct"/>
            <w:tcBorders>
              <w:tl2br w:val="nil"/>
              <w:tr2bl w:val="nil"/>
            </w:tcBorders>
            <w:vAlign w:val="center"/>
          </w:tcPr>
          <w:p w14:paraId="44D94470">
            <w:pPr>
              <w:pStyle w:val="160"/>
              <w:snapToGrid w:val="0"/>
              <w:rPr>
                <w:szCs w:val="21"/>
              </w:rPr>
            </w:pPr>
            <w:r>
              <w:rPr>
                <w:szCs w:val="21"/>
              </w:rPr>
              <w:t>mg/kg</w:t>
            </w:r>
          </w:p>
        </w:tc>
        <w:tc>
          <w:tcPr>
            <w:tcW w:w="930" w:type="pct"/>
            <w:tcBorders>
              <w:tl2br w:val="nil"/>
              <w:tr2bl w:val="nil"/>
            </w:tcBorders>
            <w:vAlign w:val="center"/>
          </w:tcPr>
          <w:p w14:paraId="5E236343">
            <w:pPr>
              <w:pStyle w:val="160"/>
              <w:snapToGrid w:val="0"/>
              <w:rPr>
                <w:smallCaps/>
                <w:szCs w:val="21"/>
              </w:rPr>
            </w:pPr>
            <w:r>
              <w:rPr>
                <w:smallCaps/>
                <w:szCs w:val="21"/>
              </w:rPr>
              <w:t>400</w:t>
            </w:r>
          </w:p>
        </w:tc>
        <w:tc>
          <w:tcPr>
            <w:tcW w:w="949" w:type="pct"/>
            <w:tcBorders>
              <w:tl2br w:val="nil"/>
              <w:tr2bl w:val="nil"/>
            </w:tcBorders>
            <w:vAlign w:val="center"/>
          </w:tcPr>
          <w:p w14:paraId="0EA3F4BC">
            <w:pPr>
              <w:pStyle w:val="160"/>
              <w:snapToGrid w:val="0"/>
              <w:rPr>
                <w:smallCaps/>
                <w:szCs w:val="21"/>
              </w:rPr>
            </w:pPr>
            <w:r>
              <w:rPr>
                <w:smallCaps/>
                <w:szCs w:val="21"/>
              </w:rPr>
              <w:t>800</w:t>
            </w:r>
          </w:p>
        </w:tc>
      </w:tr>
      <w:tr w14:paraId="1CC2856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1E69A6B6">
            <w:pPr>
              <w:pStyle w:val="160"/>
              <w:snapToGrid w:val="0"/>
              <w:rPr>
                <w:szCs w:val="21"/>
              </w:rPr>
            </w:pPr>
            <w:r>
              <w:rPr>
                <w:szCs w:val="21"/>
              </w:rPr>
              <w:t>6</w:t>
            </w:r>
          </w:p>
        </w:tc>
        <w:tc>
          <w:tcPr>
            <w:tcW w:w="394" w:type="pct"/>
            <w:vMerge w:val="continue"/>
            <w:tcBorders>
              <w:tl2br w:val="nil"/>
              <w:tr2bl w:val="nil"/>
            </w:tcBorders>
            <w:vAlign w:val="center"/>
          </w:tcPr>
          <w:p w14:paraId="562D48A4">
            <w:pPr>
              <w:pStyle w:val="160"/>
              <w:snapToGrid w:val="0"/>
              <w:rPr>
                <w:szCs w:val="21"/>
              </w:rPr>
            </w:pPr>
          </w:p>
        </w:tc>
        <w:tc>
          <w:tcPr>
            <w:tcW w:w="1530" w:type="pct"/>
            <w:tcBorders>
              <w:tl2br w:val="nil"/>
              <w:tr2bl w:val="nil"/>
            </w:tcBorders>
            <w:vAlign w:val="center"/>
          </w:tcPr>
          <w:p w14:paraId="2248A215">
            <w:pPr>
              <w:pStyle w:val="160"/>
              <w:snapToGrid w:val="0"/>
              <w:rPr>
                <w:szCs w:val="21"/>
              </w:rPr>
            </w:pPr>
            <w:r>
              <w:rPr>
                <w:szCs w:val="21"/>
              </w:rPr>
              <w:t>汞</w:t>
            </w:r>
          </w:p>
        </w:tc>
        <w:tc>
          <w:tcPr>
            <w:tcW w:w="732" w:type="pct"/>
            <w:tcBorders>
              <w:tl2br w:val="nil"/>
              <w:tr2bl w:val="nil"/>
            </w:tcBorders>
            <w:vAlign w:val="center"/>
          </w:tcPr>
          <w:p w14:paraId="577EC5B0">
            <w:pPr>
              <w:pStyle w:val="160"/>
              <w:snapToGrid w:val="0"/>
              <w:rPr>
                <w:szCs w:val="21"/>
              </w:rPr>
            </w:pPr>
            <w:r>
              <w:rPr>
                <w:szCs w:val="21"/>
              </w:rPr>
              <w:t>mg/kg</w:t>
            </w:r>
          </w:p>
        </w:tc>
        <w:tc>
          <w:tcPr>
            <w:tcW w:w="930" w:type="pct"/>
            <w:tcBorders>
              <w:tl2br w:val="nil"/>
              <w:tr2bl w:val="nil"/>
            </w:tcBorders>
            <w:vAlign w:val="center"/>
          </w:tcPr>
          <w:p w14:paraId="3572C469">
            <w:pPr>
              <w:pStyle w:val="160"/>
              <w:snapToGrid w:val="0"/>
              <w:rPr>
                <w:smallCaps/>
                <w:szCs w:val="21"/>
              </w:rPr>
            </w:pPr>
            <w:r>
              <w:rPr>
                <w:smallCaps/>
                <w:szCs w:val="21"/>
              </w:rPr>
              <w:t>8</w:t>
            </w:r>
          </w:p>
        </w:tc>
        <w:tc>
          <w:tcPr>
            <w:tcW w:w="949" w:type="pct"/>
            <w:tcBorders>
              <w:tl2br w:val="nil"/>
              <w:tr2bl w:val="nil"/>
            </w:tcBorders>
            <w:vAlign w:val="center"/>
          </w:tcPr>
          <w:p w14:paraId="0EE5B0F6">
            <w:pPr>
              <w:pStyle w:val="160"/>
              <w:snapToGrid w:val="0"/>
              <w:rPr>
                <w:smallCaps/>
                <w:szCs w:val="21"/>
              </w:rPr>
            </w:pPr>
            <w:r>
              <w:rPr>
                <w:smallCaps/>
                <w:szCs w:val="21"/>
              </w:rPr>
              <w:t>38</w:t>
            </w:r>
          </w:p>
        </w:tc>
      </w:tr>
      <w:tr w14:paraId="0C321DF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6D850840">
            <w:pPr>
              <w:pStyle w:val="160"/>
              <w:snapToGrid w:val="0"/>
              <w:rPr>
                <w:szCs w:val="21"/>
              </w:rPr>
            </w:pPr>
            <w:r>
              <w:rPr>
                <w:szCs w:val="21"/>
              </w:rPr>
              <w:t>7</w:t>
            </w:r>
          </w:p>
        </w:tc>
        <w:tc>
          <w:tcPr>
            <w:tcW w:w="394" w:type="pct"/>
            <w:vMerge w:val="continue"/>
            <w:tcBorders>
              <w:tl2br w:val="nil"/>
              <w:tr2bl w:val="nil"/>
            </w:tcBorders>
            <w:vAlign w:val="center"/>
          </w:tcPr>
          <w:p w14:paraId="239A69CD">
            <w:pPr>
              <w:pStyle w:val="160"/>
              <w:snapToGrid w:val="0"/>
              <w:rPr>
                <w:szCs w:val="21"/>
              </w:rPr>
            </w:pPr>
          </w:p>
        </w:tc>
        <w:tc>
          <w:tcPr>
            <w:tcW w:w="1530" w:type="pct"/>
            <w:tcBorders>
              <w:tl2br w:val="nil"/>
              <w:tr2bl w:val="nil"/>
            </w:tcBorders>
            <w:vAlign w:val="center"/>
          </w:tcPr>
          <w:p w14:paraId="75D99C56">
            <w:pPr>
              <w:pStyle w:val="160"/>
              <w:snapToGrid w:val="0"/>
              <w:rPr>
                <w:szCs w:val="21"/>
              </w:rPr>
            </w:pPr>
            <w:r>
              <w:rPr>
                <w:szCs w:val="21"/>
              </w:rPr>
              <w:t>镍</w:t>
            </w:r>
          </w:p>
        </w:tc>
        <w:tc>
          <w:tcPr>
            <w:tcW w:w="732" w:type="pct"/>
            <w:tcBorders>
              <w:tl2br w:val="nil"/>
              <w:tr2bl w:val="nil"/>
            </w:tcBorders>
            <w:vAlign w:val="center"/>
          </w:tcPr>
          <w:p w14:paraId="384F784B">
            <w:pPr>
              <w:pStyle w:val="160"/>
              <w:snapToGrid w:val="0"/>
              <w:rPr>
                <w:szCs w:val="21"/>
              </w:rPr>
            </w:pPr>
            <w:r>
              <w:rPr>
                <w:szCs w:val="21"/>
              </w:rPr>
              <w:t>mg/kg</w:t>
            </w:r>
          </w:p>
        </w:tc>
        <w:tc>
          <w:tcPr>
            <w:tcW w:w="930" w:type="pct"/>
            <w:tcBorders>
              <w:tl2br w:val="nil"/>
              <w:tr2bl w:val="nil"/>
            </w:tcBorders>
            <w:vAlign w:val="center"/>
          </w:tcPr>
          <w:p w14:paraId="5BC6A232">
            <w:pPr>
              <w:pStyle w:val="160"/>
              <w:snapToGrid w:val="0"/>
              <w:rPr>
                <w:smallCaps/>
                <w:szCs w:val="21"/>
              </w:rPr>
            </w:pPr>
            <w:r>
              <w:rPr>
                <w:smallCaps/>
                <w:szCs w:val="21"/>
              </w:rPr>
              <w:t>150</w:t>
            </w:r>
          </w:p>
        </w:tc>
        <w:tc>
          <w:tcPr>
            <w:tcW w:w="949" w:type="pct"/>
            <w:tcBorders>
              <w:tl2br w:val="nil"/>
              <w:tr2bl w:val="nil"/>
            </w:tcBorders>
            <w:vAlign w:val="center"/>
          </w:tcPr>
          <w:p w14:paraId="6E4946E8">
            <w:pPr>
              <w:pStyle w:val="160"/>
              <w:snapToGrid w:val="0"/>
              <w:rPr>
                <w:smallCaps/>
                <w:szCs w:val="21"/>
              </w:rPr>
            </w:pPr>
            <w:r>
              <w:rPr>
                <w:smallCaps/>
                <w:szCs w:val="21"/>
              </w:rPr>
              <w:t>900</w:t>
            </w:r>
          </w:p>
        </w:tc>
      </w:tr>
      <w:bookmarkEnd w:id="42"/>
      <w:tr w14:paraId="2085224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79B3F43A">
            <w:pPr>
              <w:pStyle w:val="160"/>
              <w:snapToGrid w:val="0"/>
              <w:rPr>
                <w:szCs w:val="21"/>
              </w:rPr>
            </w:pPr>
            <w:r>
              <w:rPr>
                <w:szCs w:val="21"/>
              </w:rPr>
              <w:t>8</w:t>
            </w:r>
          </w:p>
        </w:tc>
        <w:tc>
          <w:tcPr>
            <w:tcW w:w="394" w:type="pct"/>
            <w:vMerge w:val="restart"/>
            <w:tcBorders>
              <w:tl2br w:val="nil"/>
              <w:tr2bl w:val="nil"/>
            </w:tcBorders>
            <w:vAlign w:val="center"/>
          </w:tcPr>
          <w:p w14:paraId="07AD4611">
            <w:pPr>
              <w:pStyle w:val="160"/>
              <w:snapToGrid w:val="0"/>
              <w:rPr>
                <w:szCs w:val="21"/>
              </w:rPr>
            </w:pPr>
            <w:r>
              <w:rPr>
                <w:szCs w:val="21"/>
              </w:rPr>
              <w:t>挥</w:t>
            </w:r>
          </w:p>
          <w:p w14:paraId="1D65AA5B">
            <w:pPr>
              <w:pStyle w:val="160"/>
              <w:snapToGrid w:val="0"/>
              <w:rPr>
                <w:szCs w:val="21"/>
              </w:rPr>
            </w:pPr>
            <w:r>
              <w:rPr>
                <w:szCs w:val="21"/>
              </w:rPr>
              <w:t>发</w:t>
            </w:r>
          </w:p>
          <w:p w14:paraId="60453707">
            <w:pPr>
              <w:pStyle w:val="160"/>
              <w:snapToGrid w:val="0"/>
              <w:rPr>
                <w:szCs w:val="21"/>
              </w:rPr>
            </w:pPr>
            <w:r>
              <w:rPr>
                <w:szCs w:val="21"/>
              </w:rPr>
              <w:t>性</w:t>
            </w:r>
          </w:p>
          <w:p w14:paraId="5A5CFCCE">
            <w:pPr>
              <w:pStyle w:val="160"/>
              <w:snapToGrid w:val="0"/>
              <w:rPr>
                <w:szCs w:val="21"/>
              </w:rPr>
            </w:pPr>
            <w:r>
              <w:rPr>
                <w:szCs w:val="21"/>
              </w:rPr>
              <w:t>有</w:t>
            </w:r>
          </w:p>
          <w:p w14:paraId="3C5B4EF1">
            <w:pPr>
              <w:pStyle w:val="160"/>
              <w:snapToGrid w:val="0"/>
              <w:rPr>
                <w:szCs w:val="21"/>
              </w:rPr>
            </w:pPr>
            <w:r>
              <w:rPr>
                <w:szCs w:val="21"/>
              </w:rPr>
              <w:t>机</w:t>
            </w:r>
          </w:p>
          <w:p w14:paraId="15F040CE">
            <w:pPr>
              <w:pStyle w:val="160"/>
              <w:snapToGrid w:val="0"/>
              <w:rPr>
                <w:szCs w:val="21"/>
              </w:rPr>
            </w:pPr>
            <w:r>
              <w:rPr>
                <w:szCs w:val="21"/>
              </w:rPr>
              <w:t>物</w:t>
            </w:r>
          </w:p>
        </w:tc>
        <w:tc>
          <w:tcPr>
            <w:tcW w:w="1530" w:type="pct"/>
            <w:tcBorders>
              <w:tl2br w:val="nil"/>
              <w:tr2bl w:val="nil"/>
            </w:tcBorders>
            <w:vAlign w:val="center"/>
          </w:tcPr>
          <w:p w14:paraId="3CF2DCBA">
            <w:pPr>
              <w:pStyle w:val="160"/>
              <w:snapToGrid w:val="0"/>
              <w:rPr>
                <w:szCs w:val="21"/>
              </w:rPr>
            </w:pPr>
            <w:r>
              <w:rPr>
                <w:szCs w:val="21"/>
              </w:rPr>
              <w:t>四氯化碳</w:t>
            </w:r>
          </w:p>
        </w:tc>
        <w:tc>
          <w:tcPr>
            <w:tcW w:w="732" w:type="pct"/>
            <w:tcBorders>
              <w:tl2br w:val="nil"/>
              <w:tr2bl w:val="nil"/>
            </w:tcBorders>
            <w:vAlign w:val="center"/>
          </w:tcPr>
          <w:p w14:paraId="4C0AA6C2">
            <w:pPr>
              <w:pStyle w:val="160"/>
              <w:snapToGrid w:val="0"/>
              <w:rPr>
                <w:szCs w:val="21"/>
              </w:rPr>
            </w:pPr>
            <w:r>
              <w:rPr>
                <w:szCs w:val="21"/>
              </w:rPr>
              <w:t>mg/kg</w:t>
            </w:r>
          </w:p>
        </w:tc>
        <w:tc>
          <w:tcPr>
            <w:tcW w:w="930" w:type="pct"/>
            <w:tcBorders>
              <w:tl2br w:val="nil"/>
              <w:tr2bl w:val="nil"/>
            </w:tcBorders>
            <w:vAlign w:val="center"/>
          </w:tcPr>
          <w:p w14:paraId="4FAC3C7D">
            <w:pPr>
              <w:pStyle w:val="160"/>
              <w:snapToGrid w:val="0"/>
              <w:rPr>
                <w:smallCaps/>
                <w:szCs w:val="21"/>
              </w:rPr>
            </w:pPr>
            <w:r>
              <w:rPr>
                <w:smallCaps/>
                <w:szCs w:val="21"/>
              </w:rPr>
              <w:t>0.9</w:t>
            </w:r>
          </w:p>
        </w:tc>
        <w:tc>
          <w:tcPr>
            <w:tcW w:w="949" w:type="pct"/>
            <w:tcBorders>
              <w:tl2br w:val="nil"/>
              <w:tr2bl w:val="nil"/>
            </w:tcBorders>
            <w:vAlign w:val="center"/>
          </w:tcPr>
          <w:p w14:paraId="1D996359">
            <w:pPr>
              <w:pStyle w:val="160"/>
              <w:snapToGrid w:val="0"/>
              <w:rPr>
                <w:smallCaps/>
                <w:szCs w:val="21"/>
              </w:rPr>
            </w:pPr>
            <w:r>
              <w:rPr>
                <w:smallCaps/>
                <w:szCs w:val="21"/>
              </w:rPr>
              <w:t>2.8</w:t>
            </w:r>
          </w:p>
        </w:tc>
      </w:tr>
      <w:tr w14:paraId="326A885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2E81BD10">
            <w:pPr>
              <w:pStyle w:val="160"/>
              <w:snapToGrid w:val="0"/>
              <w:rPr>
                <w:szCs w:val="21"/>
              </w:rPr>
            </w:pPr>
            <w:r>
              <w:rPr>
                <w:szCs w:val="21"/>
              </w:rPr>
              <w:t>9</w:t>
            </w:r>
          </w:p>
        </w:tc>
        <w:tc>
          <w:tcPr>
            <w:tcW w:w="394" w:type="pct"/>
            <w:vMerge w:val="continue"/>
            <w:tcBorders>
              <w:tl2br w:val="nil"/>
              <w:tr2bl w:val="nil"/>
            </w:tcBorders>
            <w:vAlign w:val="center"/>
          </w:tcPr>
          <w:p w14:paraId="423EE787">
            <w:pPr>
              <w:pStyle w:val="160"/>
              <w:snapToGrid w:val="0"/>
              <w:rPr>
                <w:szCs w:val="21"/>
              </w:rPr>
            </w:pPr>
          </w:p>
        </w:tc>
        <w:tc>
          <w:tcPr>
            <w:tcW w:w="1530" w:type="pct"/>
            <w:tcBorders>
              <w:tl2br w:val="nil"/>
              <w:tr2bl w:val="nil"/>
            </w:tcBorders>
            <w:vAlign w:val="center"/>
          </w:tcPr>
          <w:p w14:paraId="02450249">
            <w:pPr>
              <w:pStyle w:val="160"/>
              <w:snapToGrid w:val="0"/>
              <w:rPr>
                <w:szCs w:val="21"/>
              </w:rPr>
            </w:pPr>
            <w:r>
              <w:rPr>
                <w:szCs w:val="21"/>
              </w:rPr>
              <w:t>氯仿</w:t>
            </w:r>
          </w:p>
        </w:tc>
        <w:tc>
          <w:tcPr>
            <w:tcW w:w="732" w:type="pct"/>
            <w:tcBorders>
              <w:tl2br w:val="nil"/>
              <w:tr2bl w:val="nil"/>
            </w:tcBorders>
            <w:vAlign w:val="center"/>
          </w:tcPr>
          <w:p w14:paraId="2C754EA3">
            <w:pPr>
              <w:pStyle w:val="160"/>
              <w:snapToGrid w:val="0"/>
              <w:rPr>
                <w:szCs w:val="21"/>
              </w:rPr>
            </w:pPr>
            <w:r>
              <w:rPr>
                <w:szCs w:val="21"/>
              </w:rPr>
              <w:t>mg/kg</w:t>
            </w:r>
          </w:p>
        </w:tc>
        <w:tc>
          <w:tcPr>
            <w:tcW w:w="930" w:type="pct"/>
            <w:tcBorders>
              <w:tl2br w:val="nil"/>
              <w:tr2bl w:val="nil"/>
            </w:tcBorders>
            <w:vAlign w:val="center"/>
          </w:tcPr>
          <w:p w14:paraId="2B568BD3">
            <w:pPr>
              <w:pStyle w:val="160"/>
              <w:snapToGrid w:val="0"/>
              <w:rPr>
                <w:smallCaps/>
                <w:szCs w:val="21"/>
              </w:rPr>
            </w:pPr>
            <w:r>
              <w:rPr>
                <w:smallCaps/>
                <w:szCs w:val="21"/>
              </w:rPr>
              <w:t>0.3</w:t>
            </w:r>
          </w:p>
        </w:tc>
        <w:tc>
          <w:tcPr>
            <w:tcW w:w="949" w:type="pct"/>
            <w:tcBorders>
              <w:tl2br w:val="nil"/>
              <w:tr2bl w:val="nil"/>
            </w:tcBorders>
            <w:vAlign w:val="center"/>
          </w:tcPr>
          <w:p w14:paraId="323EE882">
            <w:pPr>
              <w:pStyle w:val="160"/>
              <w:snapToGrid w:val="0"/>
              <w:rPr>
                <w:smallCaps/>
                <w:szCs w:val="21"/>
              </w:rPr>
            </w:pPr>
            <w:r>
              <w:rPr>
                <w:smallCaps/>
                <w:szCs w:val="21"/>
              </w:rPr>
              <w:t>0.9</w:t>
            </w:r>
          </w:p>
        </w:tc>
      </w:tr>
      <w:tr w14:paraId="6CB1331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3BFC2AAC">
            <w:pPr>
              <w:pStyle w:val="160"/>
              <w:snapToGrid w:val="0"/>
              <w:rPr>
                <w:szCs w:val="21"/>
              </w:rPr>
            </w:pPr>
            <w:r>
              <w:rPr>
                <w:szCs w:val="21"/>
              </w:rPr>
              <w:t>10</w:t>
            </w:r>
          </w:p>
        </w:tc>
        <w:tc>
          <w:tcPr>
            <w:tcW w:w="394" w:type="pct"/>
            <w:vMerge w:val="continue"/>
            <w:tcBorders>
              <w:tl2br w:val="nil"/>
              <w:tr2bl w:val="nil"/>
            </w:tcBorders>
            <w:vAlign w:val="center"/>
          </w:tcPr>
          <w:p w14:paraId="53FDD882">
            <w:pPr>
              <w:pStyle w:val="160"/>
              <w:snapToGrid w:val="0"/>
              <w:rPr>
                <w:szCs w:val="21"/>
              </w:rPr>
            </w:pPr>
          </w:p>
        </w:tc>
        <w:tc>
          <w:tcPr>
            <w:tcW w:w="1530" w:type="pct"/>
            <w:tcBorders>
              <w:tl2br w:val="nil"/>
              <w:tr2bl w:val="nil"/>
            </w:tcBorders>
            <w:vAlign w:val="center"/>
          </w:tcPr>
          <w:p w14:paraId="4C67CCC4">
            <w:pPr>
              <w:pStyle w:val="160"/>
              <w:snapToGrid w:val="0"/>
              <w:rPr>
                <w:szCs w:val="21"/>
              </w:rPr>
            </w:pPr>
            <w:r>
              <w:rPr>
                <w:szCs w:val="21"/>
              </w:rPr>
              <w:t>氯甲烷</w:t>
            </w:r>
          </w:p>
        </w:tc>
        <w:tc>
          <w:tcPr>
            <w:tcW w:w="732" w:type="pct"/>
            <w:tcBorders>
              <w:tl2br w:val="nil"/>
              <w:tr2bl w:val="nil"/>
            </w:tcBorders>
            <w:vAlign w:val="center"/>
          </w:tcPr>
          <w:p w14:paraId="4527575D">
            <w:pPr>
              <w:pStyle w:val="160"/>
              <w:snapToGrid w:val="0"/>
              <w:rPr>
                <w:szCs w:val="21"/>
              </w:rPr>
            </w:pPr>
            <w:r>
              <w:rPr>
                <w:szCs w:val="21"/>
              </w:rPr>
              <w:t>mg/kg</w:t>
            </w:r>
          </w:p>
        </w:tc>
        <w:tc>
          <w:tcPr>
            <w:tcW w:w="930" w:type="pct"/>
            <w:tcBorders>
              <w:tl2br w:val="nil"/>
              <w:tr2bl w:val="nil"/>
            </w:tcBorders>
            <w:vAlign w:val="center"/>
          </w:tcPr>
          <w:p w14:paraId="114F74A9">
            <w:pPr>
              <w:pStyle w:val="160"/>
              <w:snapToGrid w:val="0"/>
              <w:rPr>
                <w:smallCaps/>
                <w:szCs w:val="21"/>
              </w:rPr>
            </w:pPr>
            <w:r>
              <w:rPr>
                <w:smallCaps/>
                <w:szCs w:val="21"/>
              </w:rPr>
              <w:t>12</w:t>
            </w:r>
          </w:p>
        </w:tc>
        <w:tc>
          <w:tcPr>
            <w:tcW w:w="949" w:type="pct"/>
            <w:tcBorders>
              <w:tl2br w:val="nil"/>
              <w:tr2bl w:val="nil"/>
            </w:tcBorders>
            <w:vAlign w:val="center"/>
          </w:tcPr>
          <w:p w14:paraId="303B441F">
            <w:pPr>
              <w:pStyle w:val="160"/>
              <w:snapToGrid w:val="0"/>
              <w:rPr>
                <w:smallCaps/>
                <w:szCs w:val="21"/>
              </w:rPr>
            </w:pPr>
            <w:r>
              <w:rPr>
                <w:smallCaps/>
                <w:szCs w:val="21"/>
              </w:rPr>
              <w:t>37</w:t>
            </w:r>
          </w:p>
        </w:tc>
      </w:tr>
      <w:tr w14:paraId="3B0AEA6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65023E1D">
            <w:pPr>
              <w:pStyle w:val="160"/>
              <w:snapToGrid w:val="0"/>
              <w:rPr>
                <w:szCs w:val="21"/>
              </w:rPr>
            </w:pPr>
            <w:r>
              <w:rPr>
                <w:szCs w:val="21"/>
              </w:rPr>
              <w:t>11</w:t>
            </w:r>
          </w:p>
        </w:tc>
        <w:tc>
          <w:tcPr>
            <w:tcW w:w="394" w:type="pct"/>
            <w:vMerge w:val="continue"/>
            <w:tcBorders>
              <w:tl2br w:val="nil"/>
              <w:tr2bl w:val="nil"/>
            </w:tcBorders>
            <w:vAlign w:val="center"/>
          </w:tcPr>
          <w:p w14:paraId="2215DE71">
            <w:pPr>
              <w:pStyle w:val="160"/>
              <w:snapToGrid w:val="0"/>
              <w:rPr>
                <w:szCs w:val="21"/>
              </w:rPr>
            </w:pPr>
          </w:p>
        </w:tc>
        <w:tc>
          <w:tcPr>
            <w:tcW w:w="1530" w:type="pct"/>
            <w:tcBorders>
              <w:tl2br w:val="nil"/>
              <w:tr2bl w:val="nil"/>
            </w:tcBorders>
            <w:vAlign w:val="center"/>
          </w:tcPr>
          <w:p w14:paraId="3C034ADA">
            <w:pPr>
              <w:pStyle w:val="160"/>
              <w:snapToGrid w:val="0"/>
              <w:rPr>
                <w:szCs w:val="21"/>
              </w:rPr>
            </w:pPr>
            <w:r>
              <w:rPr>
                <w:szCs w:val="21"/>
              </w:rPr>
              <w:t>1，1-二氯乙烷</w:t>
            </w:r>
          </w:p>
        </w:tc>
        <w:tc>
          <w:tcPr>
            <w:tcW w:w="732" w:type="pct"/>
            <w:tcBorders>
              <w:tl2br w:val="nil"/>
              <w:tr2bl w:val="nil"/>
            </w:tcBorders>
            <w:vAlign w:val="center"/>
          </w:tcPr>
          <w:p w14:paraId="655B50B4">
            <w:pPr>
              <w:pStyle w:val="160"/>
              <w:snapToGrid w:val="0"/>
              <w:rPr>
                <w:szCs w:val="21"/>
              </w:rPr>
            </w:pPr>
            <w:r>
              <w:rPr>
                <w:szCs w:val="21"/>
              </w:rPr>
              <w:t>mg/kg</w:t>
            </w:r>
          </w:p>
        </w:tc>
        <w:tc>
          <w:tcPr>
            <w:tcW w:w="930" w:type="pct"/>
            <w:tcBorders>
              <w:tl2br w:val="nil"/>
              <w:tr2bl w:val="nil"/>
            </w:tcBorders>
            <w:vAlign w:val="center"/>
          </w:tcPr>
          <w:p w14:paraId="7B33FC7A">
            <w:pPr>
              <w:pStyle w:val="160"/>
              <w:snapToGrid w:val="0"/>
              <w:rPr>
                <w:smallCaps/>
                <w:szCs w:val="21"/>
              </w:rPr>
            </w:pPr>
            <w:r>
              <w:rPr>
                <w:smallCaps/>
                <w:szCs w:val="21"/>
              </w:rPr>
              <w:t>3</w:t>
            </w:r>
          </w:p>
        </w:tc>
        <w:tc>
          <w:tcPr>
            <w:tcW w:w="949" w:type="pct"/>
            <w:tcBorders>
              <w:tl2br w:val="nil"/>
              <w:tr2bl w:val="nil"/>
            </w:tcBorders>
            <w:vAlign w:val="center"/>
          </w:tcPr>
          <w:p w14:paraId="1469D487">
            <w:pPr>
              <w:pStyle w:val="160"/>
              <w:snapToGrid w:val="0"/>
              <w:rPr>
                <w:smallCaps/>
                <w:szCs w:val="21"/>
              </w:rPr>
            </w:pPr>
            <w:r>
              <w:rPr>
                <w:smallCaps/>
                <w:szCs w:val="21"/>
              </w:rPr>
              <w:t>9</w:t>
            </w:r>
          </w:p>
        </w:tc>
      </w:tr>
      <w:tr w14:paraId="7795E95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2CD037F5">
            <w:pPr>
              <w:pStyle w:val="160"/>
              <w:snapToGrid w:val="0"/>
              <w:rPr>
                <w:szCs w:val="21"/>
              </w:rPr>
            </w:pPr>
            <w:r>
              <w:rPr>
                <w:szCs w:val="21"/>
              </w:rPr>
              <w:t>12</w:t>
            </w:r>
          </w:p>
        </w:tc>
        <w:tc>
          <w:tcPr>
            <w:tcW w:w="394" w:type="pct"/>
            <w:vMerge w:val="continue"/>
            <w:tcBorders>
              <w:tl2br w:val="nil"/>
              <w:tr2bl w:val="nil"/>
            </w:tcBorders>
            <w:vAlign w:val="center"/>
          </w:tcPr>
          <w:p w14:paraId="4AFF7C1C">
            <w:pPr>
              <w:pStyle w:val="160"/>
              <w:snapToGrid w:val="0"/>
              <w:rPr>
                <w:szCs w:val="21"/>
              </w:rPr>
            </w:pPr>
          </w:p>
        </w:tc>
        <w:tc>
          <w:tcPr>
            <w:tcW w:w="1530" w:type="pct"/>
            <w:tcBorders>
              <w:tl2br w:val="nil"/>
              <w:tr2bl w:val="nil"/>
            </w:tcBorders>
            <w:vAlign w:val="center"/>
          </w:tcPr>
          <w:p w14:paraId="46490A4D">
            <w:pPr>
              <w:pStyle w:val="160"/>
              <w:snapToGrid w:val="0"/>
              <w:rPr>
                <w:szCs w:val="21"/>
              </w:rPr>
            </w:pPr>
            <w:r>
              <w:rPr>
                <w:szCs w:val="21"/>
              </w:rPr>
              <w:t>1，2-二氯乙烷</w:t>
            </w:r>
          </w:p>
        </w:tc>
        <w:tc>
          <w:tcPr>
            <w:tcW w:w="732" w:type="pct"/>
            <w:tcBorders>
              <w:tl2br w:val="nil"/>
              <w:tr2bl w:val="nil"/>
            </w:tcBorders>
            <w:vAlign w:val="center"/>
          </w:tcPr>
          <w:p w14:paraId="7B1CF46D">
            <w:pPr>
              <w:pStyle w:val="160"/>
              <w:snapToGrid w:val="0"/>
              <w:rPr>
                <w:szCs w:val="21"/>
              </w:rPr>
            </w:pPr>
            <w:r>
              <w:rPr>
                <w:szCs w:val="21"/>
              </w:rPr>
              <w:t>mg/kg</w:t>
            </w:r>
          </w:p>
        </w:tc>
        <w:tc>
          <w:tcPr>
            <w:tcW w:w="930" w:type="pct"/>
            <w:tcBorders>
              <w:tl2br w:val="nil"/>
              <w:tr2bl w:val="nil"/>
            </w:tcBorders>
            <w:vAlign w:val="center"/>
          </w:tcPr>
          <w:p w14:paraId="20D9EC3D">
            <w:pPr>
              <w:pStyle w:val="160"/>
              <w:snapToGrid w:val="0"/>
              <w:rPr>
                <w:smallCaps/>
                <w:szCs w:val="21"/>
              </w:rPr>
            </w:pPr>
            <w:r>
              <w:rPr>
                <w:smallCaps/>
                <w:szCs w:val="21"/>
              </w:rPr>
              <w:t>0.52</w:t>
            </w:r>
          </w:p>
        </w:tc>
        <w:tc>
          <w:tcPr>
            <w:tcW w:w="949" w:type="pct"/>
            <w:tcBorders>
              <w:tl2br w:val="nil"/>
              <w:tr2bl w:val="nil"/>
            </w:tcBorders>
            <w:vAlign w:val="center"/>
          </w:tcPr>
          <w:p w14:paraId="6348B6B3">
            <w:pPr>
              <w:pStyle w:val="160"/>
              <w:snapToGrid w:val="0"/>
              <w:rPr>
                <w:smallCaps/>
                <w:szCs w:val="21"/>
              </w:rPr>
            </w:pPr>
            <w:r>
              <w:rPr>
                <w:smallCaps/>
                <w:szCs w:val="21"/>
              </w:rPr>
              <w:t>5</w:t>
            </w:r>
          </w:p>
        </w:tc>
      </w:tr>
      <w:tr w14:paraId="7E26824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4D2663AF">
            <w:pPr>
              <w:pStyle w:val="160"/>
              <w:snapToGrid w:val="0"/>
              <w:rPr>
                <w:szCs w:val="21"/>
              </w:rPr>
            </w:pPr>
            <w:r>
              <w:rPr>
                <w:szCs w:val="21"/>
              </w:rPr>
              <w:t>13</w:t>
            </w:r>
          </w:p>
        </w:tc>
        <w:tc>
          <w:tcPr>
            <w:tcW w:w="394" w:type="pct"/>
            <w:vMerge w:val="continue"/>
            <w:tcBorders>
              <w:tl2br w:val="nil"/>
              <w:tr2bl w:val="nil"/>
            </w:tcBorders>
            <w:vAlign w:val="center"/>
          </w:tcPr>
          <w:p w14:paraId="54CB14C1">
            <w:pPr>
              <w:pStyle w:val="160"/>
              <w:snapToGrid w:val="0"/>
              <w:rPr>
                <w:szCs w:val="21"/>
              </w:rPr>
            </w:pPr>
          </w:p>
        </w:tc>
        <w:tc>
          <w:tcPr>
            <w:tcW w:w="1530" w:type="pct"/>
            <w:tcBorders>
              <w:tl2br w:val="nil"/>
              <w:tr2bl w:val="nil"/>
            </w:tcBorders>
            <w:vAlign w:val="center"/>
          </w:tcPr>
          <w:p w14:paraId="0DE80456">
            <w:pPr>
              <w:pStyle w:val="160"/>
              <w:snapToGrid w:val="0"/>
              <w:rPr>
                <w:szCs w:val="21"/>
              </w:rPr>
            </w:pPr>
            <w:r>
              <w:rPr>
                <w:szCs w:val="21"/>
              </w:rPr>
              <w:t>1，1-二氯乙烯</w:t>
            </w:r>
          </w:p>
        </w:tc>
        <w:tc>
          <w:tcPr>
            <w:tcW w:w="732" w:type="pct"/>
            <w:tcBorders>
              <w:tl2br w:val="nil"/>
              <w:tr2bl w:val="nil"/>
            </w:tcBorders>
            <w:vAlign w:val="center"/>
          </w:tcPr>
          <w:p w14:paraId="18FB1104">
            <w:pPr>
              <w:pStyle w:val="160"/>
              <w:snapToGrid w:val="0"/>
              <w:rPr>
                <w:szCs w:val="21"/>
              </w:rPr>
            </w:pPr>
            <w:r>
              <w:rPr>
                <w:szCs w:val="21"/>
              </w:rPr>
              <w:t>mg/kg</w:t>
            </w:r>
          </w:p>
        </w:tc>
        <w:tc>
          <w:tcPr>
            <w:tcW w:w="930" w:type="pct"/>
            <w:tcBorders>
              <w:tl2br w:val="nil"/>
              <w:tr2bl w:val="nil"/>
            </w:tcBorders>
            <w:vAlign w:val="center"/>
          </w:tcPr>
          <w:p w14:paraId="72C87BA6">
            <w:pPr>
              <w:pStyle w:val="160"/>
              <w:snapToGrid w:val="0"/>
              <w:rPr>
                <w:smallCaps/>
                <w:szCs w:val="21"/>
              </w:rPr>
            </w:pPr>
            <w:r>
              <w:rPr>
                <w:smallCaps/>
                <w:szCs w:val="21"/>
              </w:rPr>
              <w:t>12</w:t>
            </w:r>
          </w:p>
        </w:tc>
        <w:tc>
          <w:tcPr>
            <w:tcW w:w="949" w:type="pct"/>
            <w:tcBorders>
              <w:tl2br w:val="nil"/>
              <w:tr2bl w:val="nil"/>
            </w:tcBorders>
            <w:vAlign w:val="center"/>
          </w:tcPr>
          <w:p w14:paraId="103C8E29">
            <w:pPr>
              <w:pStyle w:val="160"/>
              <w:snapToGrid w:val="0"/>
              <w:rPr>
                <w:smallCaps/>
                <w:szCs w:val="21"/>
              </w:rPr>
            </w:pPr>
            <w:r>
              <w:rPr>
                <w:smallCaps/>
                <w:szCs w:val="21"/>
              </w:rPr>
              <w:t>66</w:t>
            </w:r>
          </w:p>
        </w:tc>
      </w:tr>
      <w:tr w14:paraId="73F039B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2661A1C9">
            <w:pPr>
              <w:pStyle w:val="160"/>
              <w:snapToGrid w:val="0"/>
              <w:rPr>
                <w:szCs w:val="21"/>
              </w:rPr>
            </w:pPr>
            <w:r>
              <w:rPr>
                <w:szCs w:val="21"/>
              </w:rPr>
              <w:t>14</w:t>
            </w:r>
          </w:p>
        </w:tc>
        <w:tc>
          <w:tcPr>
            <w:tcW w:w="394" w:type="pct"/>
            <w:vMerge w:val="continue"/>
            <w:tcBorders>
              <w:tl2br w:val="nil"/>
              <w:tr2bl w:val="nil"/>
            </w:tcBorders>
            <w:vAlign w:val="center"/>
          </w:tcPr>
          <w:p w14:paraId="0A885F62">
            <w:pPr>
              <w:pStyle w:val="160"/>
              <w:snapToGrid w:val="0"/>
              <w:rPr>
                <w:szCs w:val="21"/>
              </w:rPr>
            </w:pPr>
          </w:p>
        </w:tc>
        <w:tc>
          <w:tcPr>
            <w:tcW w:w="1530" w:type="pct"/>
            <w:tcBorders>
              <w:tl2br w:val="nil"/>
              <w:tr2bl w:val="nil"/>
            </w:tcBorders>
            <w:vAlign w:val="center"/>
          </w:tcPr>
          <w:p w14:paraId="2CBFF165">
            <w:pPr>
              <w:pStyle w:val="160"/>
              <w:snapToGrid w:val="0"/>
              <w:rPr>
                <w:szCs w:val="21"/>
              </w:rPr>
            </w:pPr>
            <w:r>
              <w:rPr>
                <w:szCs w:val="21"/>
              </w:rPr>
              <w:t>顺-1，2-二氯乙烯</w:t>
            </w:r>
          </w:p>
        </w:tc>
        <w:tc>
          <w:tcPr>
            <w:tcW w:w="732" w:type="pct"/>
            <w:tcBorders>
              <w:tl2br w:val="nil"/>
              <w:tr2bl w:val="nil"/>
            </w:tcBorders>
            <w:vAlign w:val="center"/>
          </w:tcPr>
          <w:p w14:paraId="5A9C6B68">
            <w:pPr>
              <w:pStyle w:val="160"/>
              <w:snapToGrid w:val="0"/>
              <w:rPr>
                <w:szCs w:val="21"/>
              </w:rPr>
            </w:pPr>
            <w:r>
              <w:rPr>
                <w:szCs w:val="21"/>
              </w:rPr>
              <w:t>mg/kg</w:t>
            </w:r>
          </w:p>
        </w:tc>
        <w:tc>
          <w:tcPr>
            <w:tcW w:w="930" w:type="pct"/>
            <w:tcBorders>
              <w:tl2br w:val="nil"/>
              <w:tr2bl w:val="nil"/>
            </w:tcBorders>
            <w:vAlign w:val="center"/>
          </w:tcPr>
          <w:p w14:paraId="3DD16C11">
            <w:pPr>
              <w:pStyle w:val="160"/>
              <w:snapToGrid w:val="0"/>
              <w:rPr>
                <w:smallCaps/>
                <w:szCs w:val="21"/>
              </w:rPr>
            </w:pPr>
            <w:r>
              <w:rPr>
                <w:smallCaps/>
                <w:szCs w:val="21"/>
              </w:rPr>
              <w:t>66</w:t>
            </w:r>
          </w:p>
        </w:tc>
        <w:tc>
          <w:tcPr>
            <w:tcW w:w="949" w:type="pct"/>
            <w:tcBorders>
              <w:tl2br w:val="nil"/>
              <w:tr2bl w:val="nil"/>
            </w:tcBorders>
            <w:vAlign w:val="center"/>
          </w:tcPr>
          <w:p w14:paraId="262BA89C">
            <w:pPr>
              <w:pStyle w:val="160"/>
              <w:snapToGrid w:val="0"/>
              <w:rPr>
                <w:smallCaps/>
                <w:szCs w:val="21"/>
              </w:rPr>
            </w:pPr>
            <w:r>
              <w:rPr>
                <w:smallCaps/>
                <w:szCs w:val="21"/>
              </w:rPr>
              <w:t>596</w:t>
            </w:r>
          </w:p>
        </w:tc>
      </w:tr>
      <w:tr w14:paraId="37E84A0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61E41C64">
            <w:pPr>
              <w:pStyle w:val="160"/>
              <w:snapToGrid w:val="0"/>
              <w:rPr>
                <w:szCs w:val="21"/>
              </w:rPr>
            </w:pPr>
            <w:r>
              <w:rPr>
                <w:szCs w:val="21"/>
              </w:rPr>
              <w:t>15</w:t>
            </w:r>
          </w:p>
        </w:tc>
        <w:tc>
          <w:tcPr>
            <w:tcW w:w="394" w:type="pct"/>
            <w:vMerge w:val="continue"/>
            <w:tcBorders>
              <w:tl2br w:val="nil"/>
              <w:tr2bl w:val="nil"/>
            </w:tcBorders>
            <w:vAlign w:val="center"/>
          </w:tcPr>
          <w:p w14:paraId="0722179A">
            <w:pPr>
              <w:pStyle w:val="160"/>
              <w:snapToGrid w:val="0"/>
              <w:rPr>
                <w:szCs w:val="21"/>
              </w:rPr>
            </w:pPr>
          </w:p>
        </w:tc>
        <w:tc>
          <w:tcPr>
            <w:tcW w:w="1530" w:type="pct"/>
            <w:tcBorders>
              <w:tl2br w:val="nil"/>
              <w:tr2bl w:val="nil"/>
            </w:tcBorders>
            <w:vAlign w:val="center"/>
          </w:tcPr>
          <w:p w14:paraId="41F0184E">
            <w:pPr>
              <w:pStyle w:val="160"/>
              <w:snapToGrid w:val="0"/>
              <w:rPr>
                <w:szCs w:val="21"/>
              </w:rPr>
            </w:pPr>
            <w:r>
              <w:rPr>
                <w:szCs w:val="21"/>
              </w:rPr>
              <w:t>反-1，2-二氯乙烯</w:t>
            </w:r>
          </w:p>
        </w:tc>
        <w:tc>
          <w:tcPr>
            <w:tcW w:w="732" w:type="pct"/>
            <w:tcBorders>
              <w:tl2br w:val="nil"/>
              <w:tr2bl w:val="nil"/>
            </w:tcBorders>
            <w:vAlign w:val="center"/>
          </w:tcPr>
          <w:p w14:paraId="32E14C5E">
            <w:pPr>
              <w:pStyle w:val="160"/>
              <w:snapToGrid w:val="0"/>
              <w:rPr>
                <w:szCs w:val="21"/>
              </w:rPr>
            </w:pPr>
            <w:r>
              <w:rPr>
                <w:szCs w:val="21"/>
              </w:rPr>
              <w:t>mg/kg</w:t>
            </w:r>
          </w:p>
        </w:tc>
        <w:tc>
          <w:tcPr>
            <w:tcW w:w="930" w:type="pct"/>
            <w:tcBorders>
              <w:tl2br w:val="nil"/>
              <w:tr2bl w:val="nil"/>
            </w:tcBorders>
            <w:vAlign w:val="center"/>
          </w:tcPr>
          <w:p w14:paraId="083B786F">
            <w:pPr>
              <w:pStyle w:val="160"/>
              <w:snapToGrid w:val="0"/>
              <w:rPr>
                <w:smallCaps/>
                <w:szCs w:val="21"/>
              </w:rPr>
            </w:pPr>
            <w:r>
              <w:rPr>
                <w:smallCaps/>
                <w:szCs w:val="21"/>
              </w:rPr>
              <w:t>10</w:t>
            </w:r>
          </w:p>
        </w:tc>
        <w:tc>
          <w:tcPr>
            <w:tcW w:w="949" w:type="pct"/>
            <w:tcBorders>
              <w:tl2br w:val="nil"/>
              <w:tr2bl w:val="nil"/>
            </w:tcBorders>
            <w:vAlign w:val="center"/>
          </w:tcPr>
          <w:p w14:paraId="6C87FC55">
            <w:pPr>
              <w:pStyle w:val="160"/>
              <w:snapToGrid w:val="0"/>
              <w:rPr>
                <w:smallCaps/>
                <w:szCs w:val="21"/>
              </w:rPr>
            </w:pPr>
            <w:r>
              <w:rPr>
                <w:smallCaps/>
                <w:szCs w:val="21"/>
              </w:rPr>
              <w:t>54</w:t>
            </w:r>
          </w:p>
        </w:tc>
      </w:tr>
      <w:tr w14:paraId="55D76F2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656DDA9E">
            <w:pPr>
              <w:pStyle w:val="160"/>
              <w:snapToGrid w:val="0"/>
              <w:rPr>
                <w:szCs w:val="21"/>
              </w:rPr>
            </w:pPr>
            <w:r>
              <w:rPr>
                <w:szCs w:val="21"/>
              </w:rPr>
              <w:t>16</w:t>
            </w:r>
          </w:p>
        </w:tc>
        <w:tc>
          <w:tcPr>
            <w:tcW w:w="394" w:type="pct"/>
            <w:vMerge w:val="continue"/>
            <w:tcBorders>
              <w:tl2br w:val="nil"/>
              <w:tr2bl w:val="nil"/>
            </w:tcBorders>
            <w:vAlign w:val="center"/>
          </w:tcPr>
          <w:p w14:paraId="4268CFF1">
            <w:pPr>
              <w:pStyle w:val="160"/>
              <w:snapToGrid w:val="0"/>
              <w:rPr>
                <w:szCs w:val="21"/>
              </w:rPr>
            </w:pPr>
          </w:p>
        </w:tc>
        <w:tc>
          <w:tcPr>
            <w:tcW w:w="1530" w:type="pct"/>
            <w:tcBorders>
              <w:tl2br w:val="nil"/>
              <w:tr2bl w:val="nil"/>
            </w:tcBorders>
            <w:vAlign w:val="center"/>
          </w:tcPr>
          <w:p w14:paraId="49FE23A5">
            <w:pPr>
              <w:pStyle w:val="160"/>
              <w:snapToGrid w:val="0"/>
              <w:rPr>
                <w:szCs w:val="21"/>
              </w:rPr>
            </w:pPr>
            <w:r>
              <w:rPr>
                <w:szCs w:val="21"/>
              </w:rPr>
              <w:t>二氯甲烷</w:t>
            </w:r>
          </w:p>
        </w:tc>
        <w:tc>
          <w:tcPr>
            <w:tcW w:w="732" w:type="pct"/>
            <w:tcBorders>
              <w:tl2br w:val="nil"/>
              <w:tr2bl w:val="nil"/>
            </w:tcBorders>
            <w:vAlign w:val="center"/>
          </w:tcPr>
          <w:p w14:paraId="35AA5BA4">
            <w:pPr>
              <w:pStyle w:val="160"/>
              <w:snapToGrid w:val="0"/>
              <w:rPr>
                <w:szCs w:val="21"/>
              </w:rPr>
            </w:pPr>
            <w:r>
              <w:rPr>
                <w:szCs w:val="21"/>
              </w:rPr>
              <w:t>mg/kg</w:t>
            </w:r>
          </w:p>
        </w:tc>
        <w:tc>
          <w:tcPr>
            <w:tcW w:w="930" w:type="pct"/>
            <w:tcBorders>
              <w:tl2br w:val="nil"/>
              <w:tr2bl w:val="nil"/>
            </w:tcBorders>
            <w:vAlign w:val="center"/>
          </w:tcPr>
          <w:p w14:paraId="638A6F3A">
            <w:pPr>
              <w:pStyle w:val="160"/>
              <w:snapToGrid w:val="0"/>
              <w:rPr>
                <w:smallCaps/>
                <w:szCs w:val="21"/>
              </w:rPr>
            </w:pPr>
            <w:r>
              <w:rPr>
                <w:smallCaps/>
                <w:szCs w:val="21"/>
              </w:rPr>
              <w:t>94</w:t>
            </w:r>
          </w:p>
        </w:tc>
        <w:tc>
          <w:tcPr>
            <w:tcW w:w="949" w:type="pct"/>
            <w:tcBorders>
              <w:tl2br w:val="nil"/>
              <w:tr2bl w:val="nil"/>
            </w:tcBorders>
            <w:vAlign w:val="center"/>
          </w:tcPr>
          <w:p w14:paraId="50D9FD4E">
            <w:pPr>
              <w:pStyle w:val="160"/>
              <w:snapToGrid w:val="0"/>
              <w:rPr>
                <w:smallCaps/>
                <w:szCs w:val="21"/>
              </w:rPr>
            </w:pPr>
            <w:r>
              <w:rPr>
                <w:smallCaps/>
                <w:szCs w:val="21"/>
              </w:rPr>
              <w:t>616</w:t>
            </w:r>
          </w:p>
        </w:tc>
      </w:tr>
      <w:tr w14:paraId="5759095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44CF1E01">
            <w:pPr>
              <w:pStyle w:val="160"/>
              <w:snapToGrid w:val="0"/>
              <w:rPr>
                <w:szCs w:val="21"/>
              </w:rPr>
            </w:pPr>
            <w:r>
              <w:rPr>
                <w:szCs w:val="21"/>
              </w:rPr>
              <w:t>17</w:t>
            </w:r>
          </w:p>
        </w:tc>
        <w:tc>
          <w:tcPr>
            <w:tcW w:w="394" w:type="pct"/>
            <w:vMerge w:val="continue"/>
            <w:tcBorders>
              <w:tl2br w:val="nil"/>
              <w:tr2bl w:val="nil"/>
            </w:tcBorders>
            <w:vAlign w:val="center"/>
          </w:tcPr>
          <w:p w14:paraId="58BEDE1C">
            <w:pPr>
              <w:pStyle w:val="160"/>
              <w:snapToGrid w:val="0"/>
              <w:rPr>
                <w:szCs w:val="21"/>
              </w:rPr>
            </w:pPr>
          </w:p>
        </w:tc>
        <w:tc>
          <w:tcPr>
            <w:tcW w:w="1530" w:type="pct"/>
            <w:tcBorders>
              <w:tl2br w:val="nil"/>
              <w:tr2bl w:val="nil"/>
            </w:tcBorders>
            <w:vAlign w:val="center"/>
          </w:tcPr>
          <w:p w14:paraId="2D5BB888">
            <w:pPr>
              <w:pStyle w:val="160"/>
              <w:snapToGrid w:val="0"/>
              <w:rPr>
                <w:szCs w:val="21"/>
              </w:rPr>
            </w:pPr>
            <w:r>
              <w:rPr>
                <w:szCs w:val="21"/>
              </w:rPr>
              <w:t>1，2-二氯丙烷</w:t>
            </w:r>
          </w:p>
        </w:tc>
        <w:tc>
          <w:tcPr>
            <w:tcW w:w="732" w:type="pct"/>
            <w:tcBorders>
              <w:tl2br w:val="nil"/>
              <w:tr2bl w:val="nil"/>
            </w:tcBorders>
            <w:vAlign w:val="center"/>
          </w:tcPr>
          <w:p w14:paraId="32C30383">
            <w:pPr>
              <w:pStyle w:val="160"/>
              <w:snapToGrid w:val="0"/>
              <w:rPr>
                <w:szCs w:val="21"/>
              </w:rPr>
            </w:pPr>
            <w:r>
              <w:rPr>
                <w:szCs w:val="21"/>
              </w:rPr>
              <w:t>mg/kg</w:t>
            </w:r>
          </w:p>
        </w:tc>
        <w:tc>
          <w:tcPr>
            <w:tcW w:w="930" w:type="pct"/>
            <w:tcBorders>
              <w:tl2br w:val="nil"/>
              <w:tr2bl w:val="nil"/>
            </w:tcBorders>
            <w:vAlign w:val="center"/>
          </w:tcPr>
          <w:p w14:paraId="7E6A84B7">
            <w:pPr>
              <w:pStyle w:val="160"/>
              <w:snapToGrid w:val="0"/>
              <w:rPr>
                <w:smallCaps/>
                <w:szCs w:val="21"/>
              </w:rPr>
            </w:pPr>
            <w:r>
              <w:rPr>
                <w:smallCaps/>
                <w:szCs w:val="21"/>
              </w:rPr>
              <w:t>1</w:t>
            </w:r>
          </w:p>
        </w:tc>
        <w:tc>
          <w:tcPr>
            <w:tcW w:w="949" w:type="pct"/>
            <w:tcBorders>
              <w:tl2br w:val="nil"/>
              <w:tr2bl w:val="nil"/>
            </w:tcBorders>
            <w:vAlign w:val="center"/>
          </w:tcPr>
          <w:p w14:paraId="57724F4C">
            <w:pPr>
              <w:pStyle w:val="160"/>
              <w:snapToGrid w:val="0"/>
              <w:rPr>
                <w:smallCaps/>
                <w:szCs w:val="21"/>
              </w:rPr>
            </w:pPr>
            <w:r>
              <w:rPr>
                <w:smallCaps/>
                <w:szCs w:val="21"/>
              </w:rPr>
              <w:t>5</w:t>
            </w:r>
          </w:p>
        </w:tc>
      </w:tr>
      <w:tr w14:paraId="7343A64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0DC79284">
            <w:pPr>
              <w:pStyle w:val="160"/>
              <w:snapToGrid w:val="0"/>
              <w:rPr>
                <w:szCs w:val="21"/>
              </w:rPr>
            </w:pPr>
            <w:r>
              <w:rPr>
                <w:szCs w:val="21"/>
              </w:rPr>
              <w:t>18</w:t>
            </w:r>
          </w:p>
        </w:tc>
        <w:tc>
          <w:tcPr>
            <w:tcW w:w="394" w:type="pct"/>
            <w:vMerge w:val="continue"/>
            <w:tcBorders>
              <w:tl2br w:val="nil"/>
              <w:tr2bl w:val="nil"/>
            </w:tcBorders>
            <w:vAlign w:val="center"/>
          </w:tcPr>
          <w:p w14:paraId="3C4C91DE">
            <w:pPr>
              <w:pStyle w:val="160"/>
              <w:snapToGrid w:val="0"/>
              <w:rPr>
                <w:szCs w:val="21"/>
              </w:rPr>
            </w:pPr>
          </w:p>
        </w:tc>
        <w:tc>
          <w:tcPr>
            <w:tcW w:w="1530" w:type="pct"/>
            <w:tcBorders>
              <w:tl2br w:val="nil"/>
              <w:tr2bl w:val="nil"/>
            </w:tcBorders>
            <w:vAlign w:val="center"/>
          </w:tcPr>
          <w:p w14:paraId="6084C92A">
            <w:pPr>
              <w:pStyle w:val="160"/>
              <w:snapToGrid w:val="0"/>
              <w:rPr>
                <w:szCs w:val="21"/>
              </w:rPr>
            </w:pPr>
            <w:r>
              <w:rPr>
                <w:szCs w:val="21"/>
              </w:rPr>
              <w:t>1，1，1，2-四氯乙烷</w:t>
            </w:r>
          </w:p>
        </w:tc>
        <w:tc>
          <w:tcPr>
            <w:tcW w:w="732" w:type="pct"/>
            <w:tcBorders>
              <w:tl2br w:val="nil"/>
              <w:tr2bl w:val="nil"/>
            </w:tcBorders>
            <w:vAlign w:val="center"/>
          </w:tcPr>
          <w:p w14:paraId="61263017">
            <w:pPr>
              <w:pStyle w:val="160"/>
              <w:snapToGrid w:val="0"/>
              <w:rPr>
                <w:szCs w:val="21"/>
              </w:rPr>
            </w:pPr>
            <w:r>
              <w:rPr>
                <w:szCs w:val="21"/>
              </w:rPr>
              <w:t>mg/kg</w:t>
            </w:r>
          </w:p>
        </w:tc>
        <w:tc>
          <w:tcPr>
            <w:tcW w:w="930" w:type="pct"/>
            <w:tcBorders>
              <w:tl2br w:val="nil"/>
              <w:tr2bl w:val="nil"/>
            </w:tcBorders>
            <w:vAlign w:val="center"/>
          </w:tcPr>
          <w:p w14:paraId="110FC869">
            <w:pPr>
              <w:pStyle w:val="160"/>
              <w:snapToGrid w:val="0"/>
              <w:rPr>
                <w:smallCaps/>
                <w:szCs w:val="21"/>
              </w:rPr>
            </w:pPr>
            <w:r>
              <w:rPr>
                <w:smallCaps/>
                <w:szCs w:val="21"/>
              </w:rPr>
              <w:t>2.6</w:t>
            </w:r>
          </w:p>
        </w:tc>
        <w:tc>
          <w:tcPr>
            <w:tcW w:w="949" w:type="pct"/>
            <w:tcBorders>
              <w:tl2br w:val="nil"/>
              <w:tr2bl w:val="nil"/>
            </w:tcBorders>
            <w:vAlign w:val="center"/>
          </w:tcPr>
          <w:p w14:paraId="258826C2">
            <w:pPr>
              <w:pStyle w:val="160"/>
              <w:snapToGrid w:val="0"/>
              <w:rPr>
                <w:smallCaps/>
                <w:szCs w:val="21"/>
              </w:rPr>
            </w:pPr>
            <w:r>
              <w:rPr>
                <w:smallCaps/>
                <w:szCs w:val="21"/>
              </w:rPr>
              <w:t>10</w:t>
            </w:r>
          </w:p>
        </w:tc>
      </w:tr>
      <w:tr w14:paraId="43D0C76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055009A2">
            <w:pPr>
              <w:pStyle w:val="160"/>
              <w:snapToGrid w:val="0"/>
              <w:rPr>
                <w:szCs w:val="21"/>
              </w:rPr>
            </w:pPr>
            <w:r>
              <w:rPr>
                <w:szCs w:val="21"/>
              </w:rPr>
              <w:t>19</w:t>
            </w:r>
          </w:p>
        </w:tc>
        <w:tc>
          <w:tcPr>
            <w:tcW w:w="394" w:type="pct"/>
            <w:vMerge w:val="continue"/>
            <w:tcBorders>
              <w:tl2br w:val="nil"/>
              <w:tr2bl w:val="nil"/>
            </w:tcBorders>
            <w:vAlign w:val="center"/>
          </w:tcPr>
          <w:p w14:paraId="6A8E32BD">
            <w:pPr>
              <w:pStyle w:val="160"/>
              <w:snapToGrid w:val="0"/>
              <w:rPr>
                <w:szCs w:val="21"/>
              </w:rPr>
            </w:pPr>
          </w:p>
        </w:tc>
        <w:tc>
          <w:tcPr>
            <w:tcW w:w="1530" w:type="pct"/>
            <w:tcBorders>
              <w:tl2br w:val="nil"/>
              <w:tr2bl w:val="nil"/>
            </w:tcBorders>
            <w:vAlign w:val="center"/>
          </w:tcPr>
          <w:p w14:paraId="6C3D60E9">
            <w:pPr>
              <w:pStyle w:val="160"/>
              <w:snapToGrid w:val="0"/>
              <w:rPr>
                <w:szCs w:val="21"/>
              </w:rPr>
            </w:pPr>
            <w:r>
              <w:rPr>
                <w:szCs w:val="21"/>
              </w:rPr>
              <w:t>1，1，2，2-四氯乙烷</w:t>
            </w:r>
          </w:p>
        </w:tc>
        <w:tc>
          <w:tcPr>
            <w:tcW w:w="732" w:type="pct"/>
            <w:tcBorders>
              <w:tl2br w:val="nil"/>
              <w:tr2bl w:val="nil"/>
            </w:tcBorders>
            <w:vAlign w:val="center"/>
          </w:tcPr>
          <w:p w14:paraId="09BBCC33">
            <w:pPr>
              <w:pStyle w:val="160"/>
              <w:snapToGrid w:val="0"/>
              <w:rPr>
                <w:szCs w:val="21"/>
              </w:rPr>
            </w:pPr>
            <w:r>
              <w:rPr>
                <w:szCs w:val="21"/>
              </w:rPr>
              <w:t>mg/kg</w:t>
            </w:r>
          </w:p>
        </w:tc>
        <w:tc>
          <w:tcPr>
            <w:tcW w:w="930" w:type="pct"/>
            <w:tcBorders>
              <w:tl2br w:val="nil"/>
              <w:tr2bl w:val="nil"/>
            </w:tcBorders>
            <w:vAlign w:val="center"/>
          </w:tcPr>
          <w:p w14:paraId="04957641">
            <w:pPr>
              <w:pStyle w:val="160"/>
              <w:snapToGrid w:val="0"/>
              <w:rPr>
                <w:smallCaps/>
                <w:szCs w:val="21"/>
              </w:rPr>
            </w:pPr>
            <w:r>
              <w:rPr>
                <w:smallCaps/>
                <w:szCs w:val="21"/>
              </w:rPr>
              <w:t>1.6</w:t>
            </w:r>
          </w:p>
        </w:tc>
        <w:tc>
          <w:tcPr>
            <w:tcW w:w="949" w:type="pct"/>
            <w:tcBorders>
              <w:tl2br w:val="nil"/>
              <w:tr2bl w:val="nil"/>
            </w:tcBorders>
            <w:vAlign w:val="center"/>
          </w:tcPr>
          <w:p w14:paraId="74E65827">
            <w:pPr>
              <w:pStyle w:val="160"/>
              <w:snapToGrid w:val="0"/>
              <w:rPr>
                <w:smallCaps/>
                <w:szCs w:val="21"/>
              </w:rPr>
            </w:pPr>
            <w:r>
              <w:rPr>
                <w:smallCaps/>
                <w:szCs w:val="21"/>
              </w:rPr>
              <w:t>6.8</w:t>
            </w:r>
          </w:p>
        </w:tc>
      </w:tr>
      <w:tr w14:paraId="0C9A479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3B7DADC7">
            <w:pPr>
              <w:pStyle w:val="160"/>
              <w:snapToGrid w:val="0"/>
              <w:rPr>
                <w:szCs w:val="21"/>
              </w:rPr>
            </w:pPr>
            <w:r>
              <w:rPr>
                <w:szCs w:val="21"/>
              </w:rPr>
              <w:t>20</w:t>
            </w:r>
          </w:p>
        </w:tc>
        <w:tc>
          <w:tcPr>
            <w:tcW w:w="394" w:type="pct"/>
            <w:vMerge w:val="continue"/>
            <w:tcBorders>
              <w:tl2br w:val="nil"/>
              <w:tr2bl w:val="nil"/>
            </w:tcBorders>
            <w:vAlign w:val="center"/>
          </w:tcPr>
          <w:p w14:paraId="5F808774">
            <w:pPr>
              <w:pStyle w:val="160"/>
              <w:snapToGrid w:val="0"/>
              <w:rPr>
                <w:szCs w:val="21"/>
              </w:rPr>
            </w:pPr>
          </w:p>
        </w:tc>
        <w:tc>
          <w:tcPr>
            <w:tcW w:w="1530" w:type="pct"/>
            <w:tcBorders>
              <w:tl2br w:val="nil"/>
              <w:tr2bl w:val="nil"/>
            </w:tcBorders>
            <w:vAlign w:val="center"/>
          </w:tcPr>
          <w:p w14:paraId="60D95703">
            <w:pPr>
              <w:pStyle w:val="160"/>
              <w:snapToGrid w:val="0"/>
              <w:rPr>
                <w:szCs w:val="21"/>
              </w:rPr>
            </w:pPr>
            <w:r>
              <w:rPr>
                <w:szCs w:val="21"/>
              </w:rPr>
              <w:t>四氯乙烯</w:t>
            </w:r>
          </w:p>
        </w:tc>
        <w:tc>
          <w:tcPr>
            <w:tcW w:w="732" w:type="pct"/>
            <w:tcBorders>
              <w:tl2br w:val="nil"/>
              <w:tr2bl w:val="nil"/>
            </w:tcBorders>
            <w:vAlign w:val="center"/>
          </w:tcPr>
          <w:p w14:paraId="0CEC012F">
            <w:pPr>
              <w:pStyle w:val="160"/>
              <w:snapToGrid w:val="0"/>
              <w:rPr>
                <w:szCs w:val="21"/>
              </w:rPr>
            </w:pPr>
            <w:r>
              <w:rPr>
                <w:szCs w:val="21"/>
              </w:rPr>
              <w:t>mg/kg</w:t>
            </w:r>
          </w:p>
        </w:tc>
        <w:tc>
          <w:tcPr>
            <w:tcW w:w="930" w:type="pct"/>
            <w:tcBorders>
              <w:tl2br w:val="nil"/>
              <w:tr2bl w:val="nil"/>
            </w:tcBorders>
            <w:vAlign w:val="center"/>
          </w:tcPr>
          <w:p w14:paraId="54F61B8D">
            <w:pPr>
              <w:pStyle w:val="160"/>
              <w:snapToGrid w:val="0"/>
              <w:rPr>
                <w:smallCaps/>
                <w:szCs w:val="21"/>
              </w:rPr>
            </w:pPr>
            <w:r>
              <w:rPr>
                <w:smallCaps/>
                <w:szCs w:val="21"/>
              </w:rPr>
              <w:t>11</w:t>
            </w:r>
          </w:p>
        </w:tc>
        <w:tc>
          <w:tcPr>
            <w:tcW w:w="949" w:type="pct"/>
            <w:tcBorders>
              <w:tl2br w:val="nil"/>
              <w:tr2bl w:val="nil"/>
            </w:tcBorders>
            <w:vAlign w:val="center"/>
          </w:tcPr>
          <w:p w14:paraId="008BC1E6">
            <w:pPr>
              <w:pStyle w:val="160"/>
              <w:snapToGrid w:val="0"/>
              <w:rPr>
                <w:smallCaps/>
                <w:szCs w:val="21"/>
              </w:rPr>
            </w:pPr>
            <w:r>
              <w:rPr>
                <w:smallCaps/>
                <w:szCs w:val="21"/>
              </w:rPr>
              <w:t>53</w:t>
            </w:r>
          </w:p>
        </w:tc>
      </w:tr>
      <w:tr w14:paraId="336BC6C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15B8ED5C">
            <w:pPr>
              <w:pStyle w:val="160"/>
              <w:snapToGrid w:val="0"/>
              <w:rPr>
                <w:szCs w:val="21"/>
              </w:rPr>
            </w:pPr>
            <w:r>
              <w:rPr>
                <w:szCs w:val="21"/>
              </w:rPr>
              <w:t>21</w:t>
            </w:r>
          </w:p>
        </w:tc>
        <w:tc>
          <w:tcPr>
            <w:tcW w:w="394" w:type="pct"/>
            <w:vMerge w:val="continue"/>
            <w:tcBorders>
              <w:tl2br w:val="nil"/>
              <w:tr2bl w:val="nil"/>
            </w:tcBorders>
            <w:vAlign w:val="center"/>
          </w:tcPr>
          <w:p w14:paraId="7276934F">
            <w:pPr>
              <w:pStyle w:val="160"/>
              <w:snapToGrid w:val="0"/>
              <w:rPr>
                <w:szCs w:val="21"/>
              </w:rPr>
            </w:pPr>
          </w:p>
        </w:tc>
        <w:tc>
          <w:tcPr>
            <w:tcW w:w="1530" w:type="pct"/>
            <w:tcBorders>
              <w:tl2br w:val="nil"/>
              <w:tr2bl w:val="nil"/>
            </w:tcBorders>
            <w:vAlign w:val="center"/>
          </w:tcPr>
          <w:p w14:paraId="49FE3EB0">
            <w:pPr>
              <w:pStyle w:val="160"/>
              <w:snapToGrid w:val="0"/>
              <w:rPr>
                <w:szCs w:val="21"/>
              </w:rPr>
            </w:pPr>
            <w:r>
              <w:rPr>
                <w:szCs w:val="21"/>
              </w:rPr>
              <w:t>1，1，1-三氯乙烷</w:t>
            </w:r>
          </w:p>
        </w:tc>
        <w:tc>
          <w:tcPr>
            <w:tcW w:w="732" w:type="pct"/>
            <w:tcBorders>
              <w:tl2br w:val="nil"/>
              <w:tr2bl w:val="nil"/>
            </w:tcBorders>
            <w:vAlign w:val="center"/>
          </w:tcPr>
          <w:p w14:paraId="39B7C745">
            <w:pPr>
              <w:pStyle w:val="160"/>
              <w:snapToGrid w:val="0"/>
              <w:rPr>
                <w:szCs w:val="21"/>
              </w:rPr>
            </w:pPr>
            <w:r>
              <w:rPr>
                <w:szCs w:val="21"/>
              </w:rPr>
              <w:t>mg/kg</w:t>
            </w:r>
          </w:p>
        </w:tc>
        <w:tc>
          <w:tcPr>
            <w:tcW w:w="930" w:type="pct"/>
            <w:tcBorders>
              <w:tl2br w:val="nil"/>
              <w:tr2bl w:val="nil"/>
            </w:tcBorders>
            <w:vAlign w:val="center"/>
          </w:tcPr>
          <w:p w14:paraId="5A647A08">
            <w:pPr>
              <w:pStyle w:val="160"/>
              <w:snapToGrid w:val="0"/>
              <w:rPr>
                <w:smallCaps/>
                <w:szCs w:val="21"/>
              </w:rPr>
            </w:pPr>
            <w:r>
              <w:rPr>
                <w:smallCaps/>
                <w:szCs w:val="21"/>
              </w:rPr>
              <w:t>701</w:t>
            </w:r>
          </w:p>
        </w:tc>
        <w:tc>
          <w:tcPr>
            <w:tcW w:w="949" w:type="pct"/>
            <w:tcBorders>
              <w:tl2br w:val="nil"/>
              <w:tr2bl w:val="nil"/>
            </w:tcBorders>
            <w:vAlign w:val="center"/>
          </w:tcPr>
          <w:p w14:paraId="5BAA682F">
            <w:pPr>
              <w:pStyle w:val="160"/>
              <w:snapToGrid w:val="0"/>
              <w:rPr>
                <w:smallCaps/>
                <w:szCs w:val="21"/>
              </w:rPr>
            </w:pPr>
            <w:r>
              <w:rPr>
                <w:smallCaps/>
                <w:szCs w:val="21"/>
              </w:rPr>
              <w:t>40</w:t>
            </w:r>
          </w:p>
        </w:tc>
      </w:tr>
      <w:tr w14:paraId="63419D1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48B51210">
            <w:pPr>
              <w:pStyle w:val="160"/>
              <w:snapToGrid w:val="0"/>
              <w:rPr>
                <w:szCs w:val="21"/>
              </w:rPr>
            </w:pPr>
            <w:r>
              <w:rPr>
                <w:szCs w:val="21"/>
              </w:rPr>
              <w:t>22</w:t>
            </w:r>
          </w:p>
        </w:tc>
        <w:tc>
          <w:tcPr>
            <w:tcW w:w="394" w:type="pct"/>
            <w:vMerge w:val="continue"/>
            <w:tcBorders>
              <w:tl2br w:val="nil"/>
              <w:tr2bl w:val="nil"/>
            </w:tcBorders>
            <w:vAlign w:val="center"/>
          </w:tcPr>
          <w:p w14:paraId="6582C6E1">
            <w:pPr>
              <w:pStyle w:val="160"/>
              <w:snapToGrid w:val="0"/>
              <w:rPr>
                <w:szCs w:val="21"/>
              </w:rPr>
            </w:pPr>
          </w:p>
        </w:tc>
        <w:tc>
          <w:tcPr>
            <w:tcW w:w="1530" w:type="pct"/>
            <w:tcBorders>
              <w:tl2br w:val="nil"/>
              <w:tr2bl w:val="nil"/>
            </w:tcBorders>
            <w:vAlign w:val="center"/>
          </w:tcPr>
          <w:p w14:paraId="6514821F">
            <w:pPr>
              <w:pStyle w:val="160"/>
              <w:snapToGrid w:val="0"/>
              <w:rPr>
                <w:szCs w:val="21"/>
              </w:rPr>
            </w:pPr>
            <w:r>
              <w:rPr>
                <w:szCs w:val="21"/>
              </w:rPr>
              <w:t>1，1，2-三氯乙烷</w:t>
            </w:r>
          </w:p>
        </w:tc>
        <w:tc>
          <w:tcPr>
            <w:tcW w:w="732" w:type="pct"/>
            <w:tcBorders>
              <w:tl2br w:val="nil"/>
              <w:tr2bl w:val="nil"/>
            </w:tcBorders>
            <w:vAlign w:val="center"/>
          </w:tcPr>
          <w:p w14:paraId="5ED0DE0A">
            <w:pPr>
              <w:pStyle w:val="160"/>
              <w:snapToGrid w:val="0"/>
              <w:rPr>
                <w:szCs w:val="21"/>
              </w:rPr>
            </w:pPr>
            <w:r>
              <w:rPr>
                <w:szCs w:val="21"/>
              </w:rPr>
              <w:t>mg/kg</w:t>
            </w:r>
          </w:p>
        </w:tc>
        <w:tc>
          <w:tcPr>
            <w:tcW w:w="930" w:type="pct"/>
            <w:tcBorders>
              <w:tl2br w:val="nil"/>
              <w:tr2bl w:val="nil"/>
            </w:tcBorders>
            <w:vAlign w:val="center"/>
          </w:tcPr>
          <w:p w14:paraId="0DE30C5D">
            <w:pPr>
              <w:pStyle w:val="160"/>
              <w:snapToGrid w:val="0"/>
              <w:rPr>
                <w:smallCaps/>
                <w:szCs w:val="21"/>
              </w:rPr>
            </w:pPr>
            <w:r>
              <w:rPr>
                <w:smallCaps/>
                <w:szCs w:val="21"/>
              </w:rPr>
              <w:t>0.6</w:t>
            </w:r>
          </w:p>
        </w:tc>
        <w:tc>
          <w:tcPr>
            <w:tcW w:w="949" w:type="pct"/>
            <w:tcBorders>
              <w:tl2br w:val="nil"/>
              <w:tr2bl w:val="nil"/>
            </w:tcBorders>
            <w:vAlign w:val="center"/>
          </w:tcPr>
          <w:p w14:paraId="5A5E0062">
            <w:pPr>
              <w:pStyle w:val="160"/>
              <w:snapToGrid w:val="0"/>
              <w:rPr>
                <w:smallCaps/>
                <w:szCs w:val="21"/>
              </w:rPr>
            </w:pPr>
            <w:r>
              <w:rPr>
                <w:smallCaps/>
                <w:szCs w:val="21"/>
              </w:rPr>
              <w:t>2.8</w:t>
            </w:r>
          </w:p>
        </w:tc>
      </w:tr>
      <w:tr w14:paraId="498BB66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6733A3D6">
            <w:pPr>
              <w:pStyle w:val="160"/>
              <w:snapToGrid w:val="0"/>
              <w:rPr>
                <w:szCs w:val="21"/>
              </w:rPr>
            </w:pPr>
            <w:r>
              <w:rPr>
                <w:szCs w:val="21"/>
              </w:rPr>
              <w:t>23</w:t>
            </w:r>
          </w:p>
        </w:tc>
        <w:tc>
          <w:tcPr>
            <w:tcW w:w="394" w:type="pct"/>
            <w:vMerge w:val="continue"/>
            <w:tcBorders>
              <w:tl2br w:val="nil"/>
              <w:tr2bl w:val="nil"/>
            </w:tcBorders>
            <w:vAlign w:val="center"/>
          </w:tcPr>
          <w:p w14:paraId="432142F3">
            <w:pPr>
              <w:pStyle w:val="160"/>
              <w:snapToGrid w:val="0"/>
              <w:rPr>
                <w:szCs w:val="21"/>
              </w:rPr>
            </w:pPr>
          </w:p>
        </w:tc>
        <w:tc>
          <w:tcPr>
            <w:tcW w:w="1530" w:type="pct"/>
            <w:tcBorders>
              <w:tl2br w:val="nil"/>
              <w:tr2bl w:val="nil"/>
            </w:tcBorders>
            <w:vAlign w:val="center"/>
          </w:tcPr>
          <w:p w14:paraId="6E1247EE">
            <w:pPr>
              <w:pStyle w:val="160"/>
              <w:snapToGrid w:val="0"/>
              <w:rPr>
                <w:szCs w:val="21"/>
              </w:rPr>
            </w:pPr>
            <w:r>
              <w:rPr>
                <w:szCs w:val="21"/>
              </w:rPr>
              <w:t>三氯乙烯</w:t>
            </w:r>
          </w:p>
        </w:tc>
        <w:tc>
          <w:tcPr>
            <w:tcW w:w="732" w:type="pct"/>
            <w:tcBorders>
              <w:tl2br w:val="nil"/>
              <w:tr2bl w:val="nil"/>
            </w:tcBorders>
            <w:vAlign w:val="center"/>
          </w:tcPr>
          <w:p w14:paraId="4E5E65A1">
            <w:pPr>
              <w:pStyle w:val="160"/>
              <w:snapToGrid w:val="0"/>
              <w:rPr>
                <w:szCs w:val="21"/>
              </w:rPr>
            </w:pPr>
            <w:r>
              <w:rPr>
                <w:szCs w:val="21"/>
              </w:rPr>
              <w:t>mg/kg</w:t>
            </w:r>
          </w:p>
        </w:tc>
        <w:tc>
          <w:tcPr>
            <w:tcW w:w="930" w:type="pct"/>
            <w:tcBorders>
              <w:tl2br w:val="nil"/>
              <w:tr2bl w:val="nil"/>
            </w:tcBorders>
            <w:vAlign w:val="center"/>
          </w:tcPr>
          <w:p w14:paraId="166DA82F">
            <w:pPr>
              <w:pStyle w:val="160"/>
              <w:snapToGrid w:val="0"/>
              <w:rPr>
                <w:smallCaps/>
                <w:szCs w:val="21"/>
              </w:rPr>
            </w:pPr>
            <w:r>
              <w:rPr>
                <w:smallCaps/>
                <w:szCs w:val="21"/>
              </w:rPr>
              <w:t>0.7</w:t>
            </w:r>
          </w:p>
        </w:tc>
        <w:tc>
          <w:tcPr>
            <w:tcW w:w="949" w:type="pct"/>
            <w:tcBorders>
              <w:tl2br w:val="nil"/>
              <w:tr2bl w:val="nil"/>
            </w:tcBorders>
            <w:vAlign w:val="center"/>
          </w:tcPr>
          <w:p w14:paraId="07D9CC9F">
            <w:pPr>
              <w:pStyle w:val="160"/>
              <w:snapToGrid w:val="0"/>
              <w:rPr>
                <w:smallCaps/>
                <w:szCs w:val="21"/>
              </w:rPr>
            </w:pPr>
            <w:r>
              <w:rPr>
                <w:smallCaps/>
                <w:szCs w:val="21"/>
              </w:rPr>
              <w:t>2.8</w:t>
            </w:r>
          </w:p>
        </w:tc>
      </w:tr>
      <w:tr w14:paraId="6CF150B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0FE20BBA">
            <w:pPr>
              <w:pStyle w:val="160"/>
              <w:snapToGrid w:val="0"/>
              <w:rPr>
                <w:szCs w:val="21"/>
              </w:rPr>
            </w:pPr>
            <w:r>
              <w:rPr>
                <w:szCs w:val="21"/>
              </w:rPr>
              <w:t>24</w:t>
            </w:r>
          </w:p>
        </w:tc>
        <w:tc>
          <w:tcPr>
            <w:tcW w:w="394" w:type="pct"/>
            <w:vMerge w:val="continue"/>
            <w:tcBorders>
              <w:tl2br w:val="nil"/>
              <w:tr2bl w:val="nil"/>
            </w:tcBorders>
            <w:vAlign w:val="center"/>
          </w:tcPr>
          <w:p w14:paraId="6DE8A4C7">
            <w:pPr>
              <w:pStyle w:val="160"/>
              <w:snapToGrid w:val="0"/>
              <w:rPr>
                <w:szCs w:val="21"/>
              </w:rPr>
            </w:pPr>
          </w:p>
        </w:tc>
        <w:tc>
          <w:tcPr>
            <w:tcW w:w="1530" w:type="pct"/>
            <w:tcBorders>
              <w:tl2br w:val="nil"/>
              <w:tr2bl w:val="nil"/>
            </w:tcBorders>
            <w:vAlign w:val="center"/>
          </w:tcPr>
          <w:p w14:paraId="110647B4">
            <w:pPr>
              <w:pStyle w:val="160"/>
              <w:snapToGrid w:val="0"/>
              <w:rPr>
                <w:szCs w:val="21"/>
              </w:rPr>
            </w:pPr>
            <w:r>
              <w:rPr>
                <w:szCs w:val="21"/>
              </w:rPr>
              <w:t>1，2，3-三氯丙烷</w:t>
            </w:r>
          </w:p>
        </w:tc>
        <w:tc>
          <w:tcPr>
            <w:tcW w:w="732" w:type="pct"/>
            <w:tcBorders>
              <w:tl2br w:val="nil"/>
              <w:tr2bl w:val="nil"/>
            </w:tcBorders>
            <w:vAlign w:val="center"/>
          </w:tcPr>
          <w:p w14:paraId="38F97CF6">
            <w:pPr>
              <w:pStyle w:val="160"/>
              <w:snapToGrid w:val="0"/>
              <w:rPr>
                <w:szCs w:val="21"/>
              </w:rPr>
            </w:pPr>
            <w:r>
              <w:rPr>
                <w:szCs w:val="21"/>
              </w:rPr>
              <w:t>mg/kg</w:t>
            </w:r>
          </w:p>
        </w:tc>
        <w:tc>
          <w:tcPr>
            <w:tcW w:w="930" w:type="pct"/>
            <w:tcBorders>
              <w:tl2br w:val="nil"/>
              <w:tr2bl w:val="nil"/>
            </w:tcBorders>
            <w:vAlign w:val="center"/>
          </w:tcPr>
          <w:p w14:paraId="563BC886">
            <w:pPr>
              <w:pStyle w:val="160"/>
              <w:snapToGrid w:val="0"/>
              <w:rPr>
                <w:smallCaps/>
                <w:szCs w:val="21"/>
              </w:rPr>
            </w:pPr>
            <w:r>
              <w:rPr>
                <w:smallCaps/>
                <w:szCs w:val="21"/>
              </w:rPr>
              <w:t>0.05</w:t>
            </w:r>
          </w:p>
        </w:tc>
        <w:tc>
          <w:tcPr>
            <w:tcW w:w="949" w:type="pct"/>
            <w:tcBorders>
              <w:tl2br w:val="nil"/>
              <w:tr2bl w:val="nil"/>
            </w:tcBorders>
            <w:vAlign w:val="center"/>
          </w:tcPr>
          <w:p w14:paraId="4E88B0BE">
            <w:pPr>
              <w:pStyle w:val="160"/>
              <w:snapToGrid w:val="0"/>
              <w:rPr>
                <w:smallCaps/>
                <w:szCs w:val="21"/>
              </w:rPr>
            </w:pPr>
            <w:r>
              <w:rPr>
                <w:smallCaps/>
                <w:szCs w:val="21"/>
              </w:rPr>
              <w:t>0.5</w:t>
            </w:r>
          </w:p>
        </w:tc>
      </w:tr>
      <w:tr w14:paraId="1033053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00B2B209">
            <w:pPr>
              <w:pStyle w:val="160"/>
              <w:snapToGrid w:val="0"/>
              <w:rPr>
                <w:szCs w:val="21"/>
              </w:rPr>
            </w:pPr>
            <w:r>
              <w:rPr>
                <w:szCs w:val="21"/>
              </w:rPr>
              <w:t>25</w:t>
            </w:r>
          </w:p>
        </w:tc>
        <w:tc>
          <w:tcPr>
            <w:tcW w:w="394" w:type="pct"/>
            <w:vMerge w:val="continue"/>
            <w:tcBorders>
              <w:tl2br w:val="nil"/>
              <w:tr2bl w:val="nil"/>
            </w:tcBorders>
            <w:vAlign w:val="center"/>
          </w:tcPr>
          <w:p w14:paraId="6264BB3D">
            <w:pPr>
              <w:pStyle w:val="160"/>
              <w:snapToGrid w:val="0"/>
              <w:rPr>
                <w:szCs w:val="21"/>
              </w:rPr>
            </w:pPr>
          </w:p>
        </w:tc>
        <w:tc>
          <w:tcPr>
            <w:tcW w:w="1530" w:type="pct"/>
            <w:tcBorders>
              <w:tl2br w:val="nil"/>
              <w:tr2bl w:val="nil"/>
            </w:tcBorders>
            <w:vAlign w:val="center"/>
          </w:tcPr>
          <w:p w14:paraId="4D70074D">
            <w:pPr>
              <w:pStyle w:val="160"/>
              <w:snapToGrid w:val="0"/>
              <w:rPr>
                <w:szCs w:val="21"/>
              </w:rPr>
            </w:pPr>
            <w:r>
              <w:rPr>
                <w:szCs w:val="21"/>
              </w:rPr>
              <w:t>氯乙烯</w:t>
            </w:r>
          </w:p>
        </w:tc>
        <w:tc>
          <w:tcPr>
            <w:tcW w:w="732" w:type="pct"/>
            <w:tcBorders>
              <w:tl2br w:val="nil"/>
              <w:tr2bl w:val="nil"/>
            </w:tcBorders>
            <w:vAlign w:val="center"/>
          </w:tcPr>
          <w:p w14:paraId="5DD4E8BE">
            <w:pPr>
              <w:pStyle w:val="160"/>
              <w:snapToGrid w:val="0"/>
              <w:rPr>
                <w:szCs w:val="21"/>
              </w:rPr>
            </w:pPr>
            <w:r>
              <w:rPr>
                <w:szCs w:val="21"/>
              </w:rPr>
              <w:t>mg/kg</w:t>
            </w:r>
          </w:p>
        </w:tc>
        <w:tc>
          <w:tcPr>
            <w:tcW w:w="930" w:type="pct"/>
            <w:tcBorders>
              <w:tl2br w:val="nil"/>
              <w:tr2bl w:val="nil"/>
            </w:tcBorders>
            <w:vAlign w:val="center"/>
          </w:tcPr>
          <w:p w14:paraId="4BF19DB6">
            <w:pPr>
              <w:pStyle w:val="160"/>
              <w:snapToGrid w:val="0"/>
              <w:rPr>
                <w:smallCaps/>
                <w:szCs w:val="21"/>
              </w:rPr>
            </w:pPr>
            <w:r>
              <w:rPr>
                <w:smallCaps/>
                <w:szCs w:val="21"/>
              </w:rPr>
              <w:t>0.12</w:t>
            </w:r>
          </w:p>
        </w:tc>
        <w:tc>
          <w:tcPr>
            <w:tcW w:w="949" w:type="pct"/>
            <w:tcBorders>
              <w:tl2br w:val="nil"/>
              <w:tr2bl w:val="nil"/>
            </w:tcBorders>
            <w:vAlign w:val="center"/>
          </w:tcPr>
          <w:p w14:paraId="0F3C1D0C">
            <w:pPr>
              <w:pStyle w:val="160"/>
              <w:snapToGrid w:val="0"/>
              <w:rPr>
                <w:smallCaps/>
                <w:szCs w:val="21"/>
              </w:rPr>
            </w:pPr>
            <w:r>
              <w:rPr>
                <w:smallCaps/>
                <w:szCs w:val="21"/>
              </w:rPr>
              <w:t>0.43</w:t>
            </w:r>
          </w:p>
        </w:tc>
      </w:tr>
      <w:tr w14:paraId="0BE984A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105CD1A0">
            <w:pPr>
              <w:pStyle w:val="160"/>
              <w:snapToGrid w:val="0"/>
              <w:rPr>
                <w:szCs w:val="21"/>
              </w:rPr>
            </w:pPr>
            <w:r>
              <w:rPr>
                <w:szCs w:val="21"/>
              </w:rPr>
              <w:t>26</w:t>
            </w:r>
          </w:p>
        </w:tc>
        <w:tc>
          <w:tcPr>
            <w:tcW w:w="394" w:type="pct"/>
            <w:vMerge w:val="continue"/>
            <w:tcBorders>
              <w:tl2br w:val="nil"/>
              <w:tr2bl w:val="nil"/>
            </w:tcBorders>
            <w:vAlign w:val="center"/>
          </w:tcPr>
          <w:p w14:paraId="53E2A025">
            <w:pPr>
              <w:pStyle w:val="160"/>
              <w:snapToGrid w:val="0"/>
              <w:rPr>
                <w:szCs w:val="21"/>
              </w:rPr>
            </w:pPr>
          </w:p>
        </w:tc>
        <w:tc>
          <w:tcPr>
            <w:tcW w:w="1530" w:type="pct"/>
            <w:tcBorders>
              <w:tl2br w:val="nil"/>
              <w:tr2bl w:val="nil"/>
            </w:tcBorders>
            <w:vAlign w:val="center"/>
          </w:tcPr>
          <w:p w14:paraId="38268E0C">
            <w:pPr>
              <w:pStyle w:val="160"/>
              <w:snapToGrid w:val="0"/>
              <w:rPr>
                <w:szCs w:val="21"/>
              </w:rPr>
            </w:pPr>
            <w:r>
              <w:rPr>
                <w:szCs w:val="21"/>
              </w:rPr>
              <w:t>苯</w:t>
            </w:r>
          </w:p>
        </w:tc>
        <w:tc>
          <w:tcPr>
            <w:tcW w:w="732" w:type="pct"/>
            <w:tcBorders>
              <w:tl2br w:val="nil"/>
              <w:tr2bl w:val="nil"/>
            </w:tcBorders>
            <w:vAlign w:val="center"/>
          </w:tcPr>
          <w:p w14:paraId="3A243DB3">
            <w:pPr>
              <w:pStyle w:val="160"/>
              <w:snapToGrid w:val="0"/>
              <w:rPr>
                <w:szCs w:val="21"/>
              </w:rPr>
            </w:pPr>
            <w:r>
              <w:rPr>
                <w:szCs w:val="21"/>
              </w:rPr>
              <w:t>mg/kg</w:t>
            </w:r>
          </w:p>
        </w:tc>
        <w:tc>
          <w:tcPr>
            <w:tcW w:w="930" w:type="pct"/>
            <w:tcBorders>
              <w:tl2br w:val="nil"/>
              <w:tr2bl w:val="nil"/>
            </w:tcBorders>
            <w:vAlign w:val="center"/>
          </w:tcPr>
          <w:p w14:paraId="1B5FBF9D">
            <w:pPr>
              <w:pStyle w:val="160"/>
              <w:snapToGrid w:val="0"/>
              <w:rPr>
                <w:smallCaps/>
                <w:szCs w:val="21"/>
              </w:rPr>
            </w:pPr>
            <w:r>
              <w:rPr>
                <w:smallCaps/>
                <w:szCs w:val="21"/>
              </w:rPr>
              <w:t>1</w:t>
            </w:r>
          </w:p>
        </w:tc>
        <w:tc>
          <w:tcPr>
            <w:tcW w:w="949" w:type="pct"/>
            <w:tcBorders>
              <w:tl2br w:val="nil"/>
              <w:tr2bl w:val="nil"/>
            </w:tcBorders>
            <w:vAlign w:val="center"/>
          </w:tcPr>
          <w:p w14:paraId="4346BDBB">
            <w:pPr>
              <w:pStyle w:val="160"/>
              <w:snapToGrid w:val="0"/>
              <w:rPr>
                <w:smallCaps/>
                <w:szCs w:val="21"/>
              </w:rPr>
            </w:pPr>
            <w:r>
              <w:rPr>
                <w:smallCaps/>
                <w:szCs w:val="21"/>
              </w:rPr>
              <w:t>4</w:t>
            </w:r>
          </w:p>
        </w:tc>
      </w:tr>
      <w:tr w14:paraId="5DF238B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1892CCB8">
            <w:pPr>
              <w:pStyle w:val="160"/>
              <w:snapToGrid w:val="0"/>
              <w:rPr>
                <w:szCs w:val="21"/>
              </w:rPr>
            </w:pPr>
            <w:r>
              <w:rPr>
                <w:szCs w:val="21"/>
              </w:rPr>
              <w:t>27</w:t>
            </w:r>
          </w:p>
        </w:tc>
        <w:tc>
          <w:tcPr>
            <w:tcW w:w="394" w:type="pct"/>
            <w:vMerge w:val="continue"/>
            <w:tcBorders>
              <w:tl2br w:val="nil"/>
              <w:tr2bl w:val="nil"/>
            </w:tcBorders>
            <w:vAlign w:val="center"/>
          </w:tcPr>
          <w:p w14:paraId="52C45E59">
            <w:pPr>
              <w:pStyle w:val="160"/>
              <w:snapToGrid w:val="0"/>
              <w:rPr>
                <w:szCs w:val="21"/>
              </w:rPr>
            </w:pPr>
          </w:p>
        </w:tc>
        <w:tc>
          <w:tcPr>
            <w:tcW w:w="1530" w:type="pct"/>
            <w:tcBorders>
              <w:tl2br w:val="nil"/>
              <w:tr2bl w:val="nil"/>
            </w:tcBorders>
            <w:vAlign w:val="center"/>
          </w:tcPr>
          <w:p w14:paraId="52645C50">
            <w:pPr>
              <w:pStyle w:val="160"/>
              <w:snapToGrid w:val="0"/>
              <w:rPr>
                <w:szCs w:val="21"/>
              </w:rPr>
            </w:pPr>
            <w:r>
              <w:rPr>
                <w:szCs w:val="21"/>
              </w:rPr>
              <w:t>氯苯</w:t>
            </w:r>
          </w:p>
        </w:tc>
        <w:tc>
          <w:tcPr>
            <w:tcW w:w="732" w:type="pct"/>
            <w:tcBorders>
              <w:tl2br w:val="nil"/>
              <w:tr2bl w:val="nil"/>
            </w:tcBorders>
            <w:vAlign w:val="center"/>
          </w:tcPr>
          <w:p w14:paraId="6F365D0D">
            <w:pPr>
              <w:pStyle w:val="160"/>
              <w:snapToGrid w:val="0"/>
              <w:rPr>
                <w:szCs w:val="21"/>
              </w:rPr>
            </w:pPr>
            <w:r>
              <w:rPr>
                <w:szCs w:val="21"/>
              </w:rPr>
              <w:t>mg/kg</w:t>
            </w:r>
          </w:p>
        </w:tc>
        <w:tc>
          <w:tcPr>
            <w:tcW w:w="930" w:type="pct"/>
            <w:tcBorders>
              <w:tl2br w:val="nil"/>
              <w:tr2bl w:val="nil"/>
            </w:tcBorders>
            <w:vAlign w:val="center"/>
          </w:tcPr>
          <w:p w14:paraId="139C9C75">
            <w:pPr>
              <w:pStyle w:val="160"/>
              <w:snapToGrid w:val="0"/>
              <w:rPr>
                <w:smallCaps/>
                <w:szCs w:val="21"/>
              </w:rPr>
            </w:pPr>
            <w:r>
              <w:rPr>
                <w:smallCaps/>
                <w:szCs w:val="21"/>
              </w:rPr>
              <w:t>68</w:t>
            </w:r>
          </w:p>
        </w:tc>
        <w:tc>
          <w:tcPr>
            <w:tcW w:w="949" w:type="pct"/>
            <w:tcBorders>
              <w:tl2br w:val="nil"/>
              <w:tr2bl w:val="nil"/>
            </w:tcBorders>
            <w:vAlign w:val="center"/>
          </w:tcPr>
          <w:p w14:paraId="7A2AFB28">
            <w:pPr>
              <w:pStyle w:val="160"/>
              <w:snapToGrid w:val="0"/>
              <w:rPr>
                <w:smallCaps/>
                <w:szCs w:val="21"/>
              </w:rPr>
            </w:pPr>
            <w:r>
              <w:rPr>
                <w:smallCaps/>
                <w:szCs w:val="21"/>
              </w:rPr>
              <w:t>270</w:t>
            </w:r>
          </w:p>
        </w:tc>
      </w:tr>
      <w:tr w14:paraId="1385BA4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3077E41C">
            <w:pPr>
              <w:pStyle w:val="160"/>
              <w:snapToGrid w:val="0"/>
              <w:rPr>
                <w:szCs w:val="21"/>
              </w:rPr>
            </w:pPr>
            <w:r>
              <w:rPr>
                <w:szCs w:val="21"/>
              </w:rPr>
              <w:t>28</w:t>
            </w:r>
          </w:p>
        </w:tc>
        <w:tc>
          <w:tcPr>
            <w:tcW w:w="394" w:type="pct"/>
            <w:vMerge w:val="continue"/>
            <w:tcBorders>
              <w:tl2br w:val="nil"/>
              <w:tr2bl w:val="nil"/>
            </w:tcBorders>
            <w:vAlign w:val="center"/>
          </w:tcPr>
          <w:p w14:paraId="0276CF28">
            <w:pPr>
              <w:pStyle w:val="160"/>
              <w:snapToGrid w:val="0"/>
              <w:rPr>
                <w:szCs w:val="21"/>
              </w:rPr>
            </w:pPr>
          </w:p>
        </w:tc>
        <w:tc>
          <w:tcPr>
            <w:tcW w:w="1530" w:type="pct"/>
            <w:tcBorders>
              <w:tl2br w:val="nil"/>
              <w:tr2bl w:val="nil"/>
            </w:tcBorders>
            <w:vAlign w:val="center"/>
          </w:tcPr>
          <w:p w14:paraId="22F5E1DD">
            <w:pPr>
              <w:pStyle w:val="160"/>
              <w:snapToGrid w:val="0"/>
              <w:rPr>
                <w:szCs w:val="21"/>
              </w:rPr>
            </w:pPr>
            <w:r>
              <w:rPr>
                <w:szCs w:val="21"/>
              </w:rPr>
              <w:t>1，2-二氯苯</w:t>
            </w:r>
          </w:p>
        </w:tc>
        <w:tc>
          <w:tcPr>
            <w:tcW w:w="732" w:type="pct"/>
            <w:tcBorders>
              <w:tl2br w:val="nil"/>
              <w:tr2bl w:val="nil"/>
            </w:tcBorders>
            <w:vAlign w:val="center"/>
          </w:tcPr>
          <w:p w14:paraId="4DE694D5">
            <w:pPr>
              <w:pStyle w:val="160"/>
              <w:snapToGrid w:val="0"/>
              <w:rPr>
                <w:szCs w:val="21"/>
              </w:rPr>
            </w:pPr>
            <w:r>
              <w:rPr>
                <w:szCs w:val="21"/>
              </w:rPr>
              <w:t>mg/kg</w:t>
            </w:r>
          </w:p>
        </w:tc>
        <w:tc>
          <w:tcPr>
            <w:tcW w:w="930" w:type="pct"/>
            <w:tcBorders>
              <w:tl2br w:val="nil"/>
              <w:tr2bl w:val="nil"/>
            </w:tcBorders>
            <w:vAlign w:val="center"/>
          </w:tcPr>
          <w:p w14:paraId="21E88D0B">
            <w:pPr>
              <w:pStyle w:val="160"/>
              <w:snapToGrid w:val="0"/>
              <w:rPr>
                <w:smallCaps/>
                <w:szCs w:val="21"/>
              </w:rPr>
            </w:pPr>
            <w:r>
              <w:rPr>
                <w:smallCaps/>
                <w:szCs w:val="21"/>
              </w:rPr>
              <w:t>560</w:t>
            </w:r>
          </w:p>
        </w:tc>
        <w:tc>
          <w:tcPr>
            <w:tcW w:w="949" w:type="pct"/>
            <w:tcBorders>
              <w:tl2br w:val="nil"/>
              <w:tr2bl w:val="nil"/>
            </w:tcBorders>
            <w:vAlign w:val="center"/>
          </w:tcPr>
          <w:p w14:paraId="7177946B">
            <w:pPr>
              <w:pStyle w:val="160"/>
              <w:snapToGrid w:val="0"/>
              <w:rPr>
                <w:smallCaps/>
                <w:szCs w:val="21"/>
              </w:rPr>
            </w:pPr>
            <w:r>
              <w:rPr>
                <w:smallCaps/>
                <w:szCs w:val="21"/>
              </w:rPr>
              <w:t>560</w:t>
            </w:r>
          </w:p>
        </w:tc>
      </w:tr>
      <w:tr w14:paraId="3A54516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0C47A40A">
            <w:pPr>
              <w:pStyle w:val="160"/>
              <w:snapToGrid w:val="0"/>
              <w:rPr>
                <w:szCs w:val="21"/>
              </w:rPr>
            </w:pPr>
            <w:r>
              <w:rPr>
                <w:szCs w:val="21"/>
              </w:rPr>
              <w:t>29</w:t>
            </w:r>
          </w:p>
        </w:tc>
        <w:tc>
          <w:tcPr>
            <w:tcW w:w="394" w:type="pct"/>
            <w:vMerge w:val="continue"/>
            <w:tcBorders>
              <w:tl2br w:val="nil"/>
              <w:tr2bl w:val="nil"/>
            </w:tcBorders>
            <w:vAlign w:val="center"/>
          </w:tcPr>
          <w:p w14:paraId="336CC53D">
            <w:pPr>
              <w:pStyle w:val="160"/>
              <w:snapToGrid w:val="0"/>
              <w:rPr>
                <w:szCs w:val="21"/>
              </w:rPr>
            </w:pPr>
          </w:p>
        </w:tc>
        <w:tc>
          <w:tcPr>
            <w:tcW w:w="1530" w:type="pct"/>
            <w:tcBorders>
              <w:tl2br w:val="nil"/>
              <w:tr2bl w:val="nil"/>
            </w:tcBorders>
            <w:vAlign w:val="center"/>
          </w:tcPr>
          <w:p w14:paraId="6ED77213">
            <w:pPr>
              <w:pStyle w:val="160"/>
              <w:snapToGrid w:val="0"/>
              <w:rPr>
                <w:szCs w:val="21"/>
              </w:rPr>
            </w:pPr>
            <w:r>
              <w:rPr>
                <w:szCs w:val="21"/>
              </w:rPr>
              <w:t>1，4-二氯苯</w:t>
            </w:r>
          </w:p>
        </w:tc>
        <w:tc>
          <w:tcPr>
            <w:tcW w:w="732" w:type="pct"/>
            <w:tcBorders>
              <w:tl2br w:val="nil"/>
              <w:tr2bl w:val="nil"/>
            </w:tcBorders>
            <w:vAlign w:val="center"/>
          </w:tcPr>
          <w:p w14:paraId="5A403697">
            <w:pPr>
              <w:pStyle w:val="160"/>
              <w:snapToGrid w:val="0"/>
              <w:rPr>
                <w:szCs w:val="21"/>
              </w:rPr>
            </w:pPr>
            <w:r>
              <w:rPr>
                <w:szCs w:val="21"/>
              </w:rPr>
              <w:t>mg/kg</w:t>
            </w:r>
          </w:p>
        </w:tc>
        <w:tc>
          <w:tcPr>
            <w:tcW w:w="930" w:type="pct"/>
            <w:tcBorders>
              <w:tl2br w:val="nil"/>
              <w:tr2bl w:val="nil"/>
            </w:tcBorders>
            <w:vAlign w:val="center"/>
          </w:tcPr>
          <w:p w14:paraId="6C7B2A13">
            <w:pPr>
              <w:pStyle w:val="160"/>
              <w:snapToGrid w:val="0"/>
              <w:rPr>
                <w:smallCaps/>
                <w:szCs w:val="21"/>
              </w:rPr>
            </w:pPr>
            <w:r>
              <w:rPr>
                <w:smallCaps/>
                <w:szCs w:val="21"/>
              </w:rPr>
              <w:t>5.6</w:t>
            </w:r>
          </w:p>
        </w:tc>
        <w:tc>
          <w:tcPr>
            <w:tcW w:w="949" w:type="pct"/>
            <w:tcBorders>
              <w:tl2br w:val="nil"/>
              <w:tr2bl w:val="nil"/>
            </w:tcBorders>
            <w:vAlign w:val="center"/>
          </w:tcPr>
          <w:p w14:paraId="4C0A1855">
            <w:pPr>
              <w:pStyle w:val="160"/>
              <w:snapToGrid w:val="0"/>
              <w:rPr>
                <w:smallCaps/>
                <w:szCs w:val="21"/>
              </w:rPr>
            </w:pPr>
            <w:r>
              <w:rPr>
                <w:smallCaps/>
                <w:szCs w:val="21"/>
              </w:rPr>
              <w:t>20</w:t>
            </w:r>
          </w:p>
        </w:tc>
      </w:tr>
      <w:tr w14:paraId="0959BBB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4FC435DC">
            <w:pPr>
              <w:pStyle w:val="160"/>
              <w:snapToGrid w:val="0"/>
              <w:rPr>
                <w:szCs w:val="21"/>
              </w:rPr>
            </w:pPr>
            <w:r>
              <w:rPr>
                <w:szCs w:val="21"/>
              </w:rPr>
              <w:t>30</w:t>
            </w:r>
          </w:p>
        </w:tc>
        <w:tc>
          <w:tcPr>
            <w:tcW w:w="394" w:type="pct"/>
            <w:vMerge w:val="continue"/>
            <w:tcBorders>
              <w:tl2br w:val="nil"/>
              <w:tr2bl w:val="nil"/>
            </w:tcBorders>
            <w:vAlign w:val="center"/>
          </w:tcPr>
          <w:p w14:paraId="35531768">
            <w:pPr>
              <w:pStyle w:val="160"/>
              <w:snapToGrid w:val="0"/>
              <w:rPr>
                <w:szCs w:val="21"/>
              </w:rPr>
            </w:pPr>
          </w:p>
        </w:tc>
        <w:tc>
          <w:tcPr>
            <w:tcW w:w="1530" w:type="pct"/>
            <w:tcBorders>
              <w:tl2br w:val="nil"/>
              <w:tr2bl w:val="nil"/>
            </w:tcBorders>
            <w:vAlign w:val="center"/>
          </w:tcPr>
          <w:p w14:paraId="4FB5CC7E">
            <w:pPr>
              <w:pStyle w:val="160"/>
              <w:snapToGrid w:val="0"/>
              <w:rPr>
                <w:szCs w:val="21"/>
              </w:rPr>
            </w:pPr>
            <w:r>
              <w:rPr>
                <w:szCs w:val="21"/>
              </w:rPr>
              <w:t>乙苯</w:t>
            </w:r>
          </w:p>
        </w:tc>
        <w:tc>
          <w:tcPr>
            <w:tcW w:w="732" w:type="pct"/>
            <w:tcBorders>
              <w:tl2br w:val="nil"/>
              <w:tr2bl w:val="nil"/>
            </w:tcBorders>
            <w:vAlign w:val="center"/>
          </w:tcPr>
          <w:p w14:paraId="0C72E434">
            <w:pPr>
              <w:pStyle w:val="160"/>
              <w:snapToGrid w:val="0"/>
              <w:rPr>
                <w:szCs w:val="21"/>
              </w:rPr>
            </w:pPr>
            <w:r>
              <w:rPr>
                <w:szCs w:val="21"/>
              </w:rPr>
              <w:t>mg/kg</w:t>
            </w:r>
          </w:p>
        </w:tc>
        <w:tc>
          <w:tcPr>
            <w:tcW w:w="930" w:type="pct"/>
            <w:tcBorders>
              <w:tl2br w:val="nil"/>
              <w:tr2bl w:val="nil"/>
            </w:tcBorders>
            <w:vAlign w:val="center"/>
          </w:tcPr>
          <w:p w14:paraId="2EA95DFB">
            <w:pPr>
              <w:pStyle w:val="160"/>
              <w:snapToGrid w:val="0"/>
              <w:rPr>
                <w:smallCaps/>
                <w:szCs w:val="21"/>
              </w:rPr>
            </w:pPr>
            <w:r>
              <w:rPr>
                <w:smallCaps/>
                <w:szCs w:val="21"/>
              </w:rPr>
              <w:t>7.2</w:t>
            </w:r>
          </w:p>
        </w:tc>
        <w:tc>
          <w:tcPr>
            <w:tcW w:w="949" w:type="pct"/>
            <w:tcBorders>
              <w:tl2br w:val="nil"/>
              <w:tr2bl w:val="nil"/>
            </w:tcBorders>
            <w:vAlign w:val="center"/>
          </w:tcPr>
          <w:p w14:paraId="32873DC7">
            <w:pPr>
              <w:pStyle w:val="160"/>
              <w:snapToGrid w:val="0"/>
              <w:rPr>
                <w:smallCaps/>
                <w:szCs w:val="21"/>
              </w:rPr>
            </w:pPr>
            <w:r>
              <w:rPr>
                <w:smallCaps/>
                <w:szCs w:val="21"/>
              </w:rPr>
              <w:t>28</w:t>
            </w:r>
          </w:p>
        </w:tc>
      </w:tr>
      <w:tr w14:paraId="74522A4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5283D6DD">
            <w:pPr>
              <w:pStyle w:val="160"/>
              <w:snapToGrid w:val="0"/>
              <w:rPr>
                <w:szCs w:val="21"/>
              </w:rPr>
            </w:pPr>
            <w:r>
              <w:rPr>
                <w:szCs w:val="21"/>
              </w:rPr>
              <w:t>31</w:t>
            </w:r>
          </w:p>
        </w:tc>
        <w:tc>
          <w:tcPr>
            <w:tcW w:w="394" w:type="pct"/>
            <w:vMerge w:val="continue"/>
            <w:tcBorders>
              <w:tl2br w:val="nil"/>
              <w:tr2bl w:val="nil"/>
            </w:tcBorders>
            <w:vAlign w:val="center"/>
          </w:tcPr>
          <w:p w14:paraId="26D6C5A3">
            <w:pPr>
              <w:pStyle w:val="160"/>
              <w:snapToGrid w:val="0"/>
              <w:rPr>
                <w:szCs w:val="21"/>
              </w:rPr>
            </w:pPr>
          </w:p>
        </w:tc>
        <w:tc>
          <w:tcPr>
            <w:tcW w:w="1530" w:type="pct"/>
            <w:tcBorders>
              <w:tl2br w:val="nil"/>
              <w:tr2bl w:val="nil"/>
            </w:tcBorders>
            <w:vAlign w:val="center"/>
          </w:tcPr>
          <w:p w14:paraId="1868C087">
            <w:pPr>
              <w:pStyle w:val="160"/>
              <w:snapToGrid w:val="0"/>
              <w:rPr>
                <w:szCs w:val="21"/>
              </w:rPr>
            </w:pPr>
            <w:r>
              <w:rPr>
                <w:szCs w:val="21"/>
              </w:rPr>
              <w:t>苯乙烯</w:t>
            </w:r>
          </w:p>
        </w:tc>
        <w:tc>
          <w:tcPr>
            <w:tcW w:w="732" w:type="pct"/>
            <w:tcBorders>
              <w:tl2br w:val="nil"/>
              <w:tr2bl w:val="nil"/>
            </w:tcBorders>
            <w:vAlign w:val="center"/>
          </w:tcPr>
          <w:p w14:paraId="05AECB5F">
            <w:pPr>
              <w:pStyle w:val="160"/>
              <w:snapToGrid w:val="0"/>
              <w:rPr>
                <w:szCs w:val="21"/>
              </w:rPr>
            </w:pPr>
            <w:r>
              <w:rPr>
                <w:szCs w:val="21"/>
              </w:rPr>
              <w:t>mg/kg</w:t>
            </w:r>
          </w:p>
        </w:tc>
        <w:tc>
          <w:tcPr>
            <w:tcW w:w="930" w:type="pct"/>
            <w:tcBorders>
              <w:tl2br w:val="nil"/>
              <w:tr2bl w:val="nil"/>
            </w:tcBorders>
            <w:vAlign w:val="center"/>
          </w:tcPr>
          <w:p w14:paraId="1DBCA433">
            <w:pPr>
              <w:pStyle w:val="160"/>
              <w:snapToGrid w:val="0"/>
              <w:rPr>
                <w:smallCaps/>
                <w:szCs w:val="21"/>
              </w:rPr>
            </w:pPr>
            <w:r>
              <w:rPr>
                <w:smallCaps/>
                <w:szCs w:val="21"/>
              </w:rPr>
              <w:t>1290</w:t>
            </w:r>
          </w:p>
        </w:tc>
        <w:tc>
          <w:tcPr>
            <w:tcW w:w="949" w:type="pct"/>
            <w:tcBorders>
              <w:tl2br w:val="nil"/>
              <w:tr2bl w:val="nil"/>
            </w:tcBorders>
            <w:vAlign w:val="center"/>
          </w:tcPr>
          <w:p w14:paraId="68F40434">
            <w:pPr>
              <w:pStyle w:val="160"/>
              <w:snapToGrid w:val="0"/>
              <w:rPr>
                <w:smallCaps/>
                <w:szCs w:val="21"/>
              </w:rPr>
            </w:pPr>
            <w:r>
              <w:rPr>
                <w:smallCaps/>
                <w:szCs w:val="21"/>
              </w:rPr>
              <w:t>1290</w:t>
            </w:r>
          </w:p>
        </w:tc>
      </w:tr>
      <w:tr w14:paraId="2721F9C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0F2C3159">
            <w:pPr>
              <w:pStyle w:val="160"/>
              <w:snapToGrid w:val="0"/>
              <w:rPr>
                <w:szCs w:val="21"/>
              </w:rPr>
            </w:pPr>
            <w:r>
              <w:rPr>
                <w:szCs w:val="21"/>
              </w:rPr>
              <w:t>32</w:t>
            </w:r>
          </w:p>
        </w:tc>
        <w:tc>
          <w:tcPr>
            <w:tcW w:w="394" w:type="pct"/>
            <w:vMerge w:val="continue"/>
            <w:tcBorders>
              <w:tl2br w:val="nil"/>
              <w:tr2bl w:val="nil"/>
            </w:tcBorders>
            <w:vAlign w:val="center"/>
          </w:tcPr>
          <w:p w14:paraId="2D6DD11D">
            <w:pPr>
              <w:pStyle w:val="160"/>
              <w:snapToGrid w:val="0"/>
              <w:rPr>
                <w:szCs w:val="21"/>
              </w:rPr>
            </w:pPr>
          </w:p>
        </w:tc>
        <w:tc>
          <w:tcPr>
            <w:tcW w:w="1530" w:type="pct"/>
            <w:tcBorders>
              <w:tl2br w:val="nil"/>
              <w:tr2bl w:val="nil"/>
            </w:tcBorders>
            <w:vAlign w:val="center"/>
          </w:tcPr>
          <w:p w14:paraId="68FC1EB3">
            <w:pPr>
              <w:pStyle w:val="160"/>
              <w:snapToGrid w:val="0"/>
              <w:rPr>
                <w:szCs w:val="21"/>
              </w:rPr>
            </w:pPr>
            <w:r>
              <w:rPr>
                <w:szCs w:val="21"/>
              </w:rPr>
              <w:t>甲苯</w:t>
            </w:r>
          </w:p>
        </w:tc>
        <w:tc>
          <w:tcPr>
            <w:tcW w:w="732" w:type="pct"/>
            <w:tcBorders>
              <w:tl2br w:val="nil"/>
              <w:tr2bl w:val="nil"/>
            </w:tcBorders>
            <w:vAlign w:val="center"/>
          </w:tcPr>
          <w:p w14:paraId="2B3298B6">
            <w:pPr>
              <w:pStyle w:val="160"/>
              <w:snapToGrid w:val="0"/>
              <w:rPr>
                <w:szCs w:val="21"/>
              </w:rPr>
            </w:pPr>
            <w:r>
              <w:rPr>
                <w:szCs w:val="21"/>
              </w:rPr>
              <w:t>mg/kg</w:t>
            </w:r>
          </w:p>
        </w:tc>
        <w:tc>
          <w:tcPr>
            <w:tcW w:w="930" w:type="pct"/>
            <w:tcBorders>
              <w:tl2br w:val="nil"/>
              <w:tr2bl w:val="nil"/>
            </w:tcBorders>
            <w:vAlign w:val="center"/>
          </w:tcPr>
          <w:p w14:paraId="4F19563B">
            <w:pPr>
              <w:pStyle w:val="160"/>
              <w:snapToGrid w:val="0"/>
              <w:rPr>
                <w:smallCaps/>
                <w:szCs w:val="21"/>
              </w:rPr>
            </w:pPr>
            <w:r>
              <w:rPr>
                <w:smallCaps/>
                <w:szCs w:val="21"/>
              </w:rPr>
              <w:t>1200</w:t>
            </w:r>
          </w:p>
        </w:tc>
        <w:tc>
          <w:tcPr>
            <w:tcW w:w="949" w:type="pct"/>
            <w:tcBorders>
              <w:tl2br w:val="nil"/>
              <w:tr2bl w:val="nil"/>
            </w:tcBorders>
            <w:vAlign w:val="center"/>
          </w:tcPr>
          <w:p w14:paraId="1A0E06A7">
            <w:pPr>
              <w:pStyle w:val="160"/>
              <w:snapToGrid w:val="0"/>
              <w:rPr>
                <w:smallCaps/>
                <w:szCs w:val="21"/>
              </w:rPr>
            </w:pPr>
            <w:r>
              <w:rPr>
                <w:smallCaps/>
                <w:szCs w:val="21"/>
              </w:rPr>
              <w:t>1200</w:t>
            </w:r>
          </w:p>
        </w:tc>
      </w:tr>
      <w:tr w14:paraId="6D3F605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5D7726B8">
            <w:pPr>
              <w:pStyle w:val="160"/>
              <w:snapToGrid w:val="0"/>
              <w:rPr>
                <w:szCs w:val="21"/>
              </w:rPr>
            </w:pPr>
            <w:r>
              <w:rPr>
                <w:szCs w:val="21"/>
              </w:rPr>
              <w:t>33</w:t>
            </w:r>
          </w:p>
        </w:tc>
        <w:tc>
          <w:tcPr>
            <w:tcW w:w="394" w:type="pct"/>
            <w:vMerge w:val="continue"/>
            <w:tcBorders>
              <w:tl2br w:val="nil"/>
              <w:tr2bl w:val="nil"/>
            </w:tcBorders>
            <w:vAlign w:val="center"/>
          </w:tcPr>
          <w:p w14:paraId="3F15573B">
            <w:pPr>
              <w:pStyle w:val="160"/>
              <w:snapToGrid w:val="0"/>
              <w:rPr>
                <w:szCs w:val="21"/>
              </w:rPr>
            </w:pPr>
          </w:p>
        </w:tc>
        <w:tc>
          <w:tcPr>
            <w:tcW w:w="1530" w:type="pct"/>
            <w:tcBorders>
              <w:tl2br w:val="nil"/>
              <w:tr2bl w:val="nil"/>
            </w:tcBorders>
            <w:vAlign w:val="center"/>
          </w:tcPr>
          <w:p w14:paraId="30C04BF9">
            <w:pPr>
              <w:pStyle w:val="160"/>
              <w:snapToGrid w:val="0"/>
              <w:rPr>
                <w:szCs w:val="21"/>
              </w:rPr>
            </w:pPr>
            <w:r>
              <w:rPr>
                <w:szCs w:val="21"/>
              </w:rPr>
              <w:t>间，对二甲苯</w:t>
            </w:r>
          </w:p>
        </w:tc>
        <w:tc>
          <w:tcPr>
            <w:tcW w:w="732" w:type="pct"/>
            <w:tcBorders>
              <w:tl2br w:val="nil"/>
              <w:tr2bl w:val="nil"/>
            </w:tcBorders>
            <w:vAlign w:val="center"/>
          </w:tcPr>
          <w:p w14:paraId="5C2F6B9E">
            <w:pPr>
              <w:pStyle w:val="160"/>
              <w:snapToGrid w:val="0"/>
              <w:rPr>
                <w:szCs w:val="21"/>
              </w:rPr>
            </w:pPr>
            <w:r>
              <w:rPr>
                <w:szCs w:val="21"/>
              </w:rPr>
              <w:t>mg/kg</w:t>
            </w:r>
          </w:p>
        </w:tc>
        <w:tc>
          <w:tcPr>
            <w:tcW w:w="930" w:type="pct"/>
            <w:tcBorders>
              <w:tl2br w:val="nil"/>
              <w:tr2bl w:val="nil"/>
            </w:tcBorders>
            <w:vAlign w:val="center"/>
          </w:tcPr>
          <w:p w14:paraId="22407646">
            <w:pPr>
              <w:pStyle w:val="160"/>
              <w:snapToGrid w:val="0"/>
              <w:rPr>
                <w:smallCaps/>
                <w:szCs w:val="21"/>
              </w:rPr>
            </w:pPr>
            <w:r>
              <w:rPr>
                <w:smallCaps/>
                <w:szCs w:val="21"/>
              </w:rPr>
              <w:t>163</w:t>
            </w:r>
          </w:p>
        </w:tc>
        <w:tc>
          <w:tcPr>
            <w:tcW w:w="949" w:type="pct"/>
            <w:tcBorders>
              <w:tl2br w:val="nil"/>
              <w:tr2bl w:val="nil"/>
            </w:tcBorders>
            <w:vAlign w:val="center"/>
          </w:tcPr>
          <w:p w14:paraId="1E062829">
            <w:pPr>
              <w:pStyle w:val="160"/>
              <w:snapToGrid w:val="0"/>
              <w:rPr>
                <w:smallCaps/>
                <w:szCs w:val="21"/>
              </w:rPr>
            </w:pPr>
            <w:r>
              <w:rPr>
                <w:smallCaps/>
                <w:szCs w:val="21"/>
              </w:rPr>
              <w:t>570</w:t>
            </w:r>
          </w:p>
        </w:tc>
      </w:tr>
      <w:tr w14:paraId="562CEC0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3360EE2F">
            <w:pPr>
              <w:pStyle w:val="160"/>
              <w:snapToGrid w:val="0"/>
              <w:rPr>
                <w:szCs w:val="21"/>
              </w:rPr>
            </w:pPr>
            <w:r>
              <w:rPr>
                <w:szCs w:val="21"/>
              </w:rPr>
              <w:t>34</w:t>
            </w:r>
          </w:p>
        </w:tc>
        <w:tc>
          <w:tcPr>
            <w:tcW w:w="394" w:type="pct"/>
            <w:vMerge w:val="continue"/>
            <w:tcBorders>
              <w:tl2br w:val="nil"/>
              <w:tr2bl w:val="nil"/>
            </w:tcBorders>
            <w:vAlign w:val="center"/>
          </w:tcPr>
          <w:p w14:paraId="289E5A9E">
            <w:pPr>
              <w:pStyle w:val="160"/>
              <w:snapToGrid w:val="0"/>
              <w:rPr>
                <w:szCs w:val="21"/>
              </w:rPr>
            </w:pPr>
          </w:p>
        </w:tc>
        <w:tc>
          <w:tcPr>
            <w:tcW w:w="1530" w:type="pct"/>
            <w:tcBorders>
              <w:tl2br w:val="nil"/>
              <w:tr2bl w:val="nil"/>
            </w:tcBorders>
            <w:vAlign w:val="center"/>
          </w:tcPr>
          <w:p w14:paraId="5E071532">
            <w:pPr>
              <w:pStyle w:val="160"/>
              <w:snapToGrid w:val="0"/>
              <w:rPr>
                <w:szCs w:val="21"/>
              </w:rPr>
            </w:pPr>
            <w:r>
              <w:rPr>
                <w:szCs w:val="21"/>
              </w:rPr>
              <w:t>邻二甲苯</w:t>
            </w:r>
          </w:p>
        </w:tc>
        <w:tc>
          <w:tcPr>
            <w:tcW w:w="732" w:type="pct"/>
            <w:tcBorders>
              <w:tl2br w:val="nil"/>
              <w:tr2bl w:val="nil"/>
            </w:tcBorders>
            <w:vAlign w:val="center"/>
          </w:tcPr>
          <w:p w14:paraId="50C50909">
            <w:pPr>
              <w:pStyle w:val="160"/>
              <w:snapToGrid w:val="0"/>
              <w:rPr>
                <w:szCs w:val="21"/>
              </w:rPr>
            </w:pPr>
            <w:r>
              <w:rPr>
                <w:szCs w:val="21"/>
              </w:rPr>
              <w:t>mg/kg</w:t>
            </w:r>
          </w:p>
        </w:tc>
        <w:tc>
          <w:tcPr>
            <w:tcW w:w="930" w:type="pct"/>
            <w:tcBorders>
              <w:tl2br w:val="nil"/>
              <w:tr2bl w:val="nil"/>
            </w:tcBorders>
            <w:vAlign w:val="center"/>
          </w:tcPr>
          <w:p w14:paraId="31F8915C">
            <w:pPr>
              <w:pStyle w:val="160"/>
              <w:snapToGrid w:val="0"/>
              <w:rPr>
                <w:smallCaps/>
                <w:szCs w:val="21"/>
              </w:rPr>
            </w:pPr>
            <w:r>
              <w:rPr>
                <w:smallCaps/>
                <w:szCs w:val="21"/>
              </w:rPr>
              <w:t>222</w:t>
            </w:r>
          </w:p>
        </w:tc>
        <w:tc>
          <w:tcPr>
            <w:tcW w:w="949" w:type="pct"/>
            <w:tcBorders>
              <w:tl2br w:val="nil"/>
              <w:tr2bl w:val="nil"/>
            </w:tcBorders>
            <w:vAlign w:val="center"/>
          </w:tcPr>
          <w:p w14:paraId="27ED5043">
            <w:pPr>
              <w:pStyle w:val="160"/>
              <w:snapToGrid w:val="0"/>
              <w:rPr>
                <w:smallCaps/>
                <w:szCs w:val="21"/>
              </w:rPr>
            </w:pPr>
            <w:r>
              <w:rPr>
                <w:smallCaps/>
                <w:szCs w:val="21"/>
              </w:rPr>
              <w:t>640</w:t>
            </w:r>
          </w:p>
        </w:tc>
      </w:tr>
      <w:tr w14:paraId="24696C8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1467087B">
            <w:pPr>
              <w:pStyle w:val="160"/>
              <w:snapToGrid w:val="0"/>
              <w:rPr>
                <w:szCs w:val="21"/>
              </w:rPr>
            </w:pPr>
            <w:r>
              <w:rPr>
                <w:szCs w:val="21"/>
              </w:rPr>
              <w:t>35</w:t>
            </w:r>
          </w:p>
        </w:tc>
        <w:tc>
          <w:tcPr>
            <w:tcW w:w="394" w:type="pct"/>
            <w:vMerge w:val="restart"/>
            <w:tcBorders>
              <w:tl2br w:val="nil"/>
              <w:tr2bl w:val="nil"/>
            </w:tcBorders>
            <w:vAlign w:val="center"/>
          </w:tcPr>
          <w:p w14:paraId="4FBD24E8">
            <w:pPr>
              <w:pStyle w:val="160"/>
              <w:snapToGrid w:val="0"/>
              <w:rPr>
                <w:szCs w:val="21"/>
              </w:rPr>
            </w:pPr>
            <w:r>
              <w:rPr>
                <w:szCs w:val="21"/>
              </w:rPr>
              <w:t>半</w:t>
            </w:r>
          </w:p>
          <w:p w14:paraId="263DCA66">
            <w:pPr>
              <w:pStyle w:val="160"/>
              <w:snapToGrid w:val="0"/>
              <w:rPr>
                <w:szCs w:val="21"/>
              </w:rPr>
            </w:pPr>
            <w:r>
              <w:rPr>
                <w:szCs w:val="21"/>
              </w:rPr>
              <w:t>挥</w:t>
            </w:r>
          </w:p>
          <w:p w14:paraId="2B8A7709">
            <w:pPr>
              <w:pStyle w:val="160"/>
              <w:snapToGrid w:val="0"/>
              <w:rPr>
                <w:szCs w:val="21"/>
              </w:rPr>
            </w:pPr>
            <w:r>
              <w:rPr>
                <w:szCs w:val="21"/>
              </w:rPr>
              <w:t>发</w:t>
            </w:r>
          </w:p>
          <w:p w14:paraId="7A054EC9">
            <w:pPr>
              <w:pStyle w:val="160"/>
              <w:snapToGrid w:val="0"/>
              <w:rPr>
                <w:szCs w:val="21"/>
              </w:rPr>
            </w:pPr>
            <w:r>
              <w:rPr>
                <w:szCs w:val="21"/>
              </w:rPr>
              <w:t>性</w:t>
            </w:r>
          </w:p>
          <w:p w14:paraId="38AC6FE7">
            <w:pPr>
              <w:pStyle w:val="160"/>
              <w:snapToGrid w:val="0"/>
              <w:rPr>
                <w:szCs w:val="21"/>
              </w:rPr>
            </w:pPr>
            <w:r>
              <w:rPr>
                <w:szCs w:val="21"/>
              </w:rPr>
              <w:t>有</w:t>
            </w:r>
          </w:p>
          <w:p w14:paraId="4A4DC690">
            <w:pPr>
              <w:pStyle w:val="160"/>
              <w:snapToGrid w:val="0"/>
              <w:rPr>
                <w:szCs w:val="21"/>
              </w:rPr>
            </w:pPr>
            <w:r>
              <w:rPr>
                <w:szCs w:val="21"/>
              </w:rPr>
              <w:t>机</w:t>
            </w:r>
          </w:p>
          <w:p w14:paraId="24C74D65">
            <w:pPr>
              <w:pStyle w:val="160"/>
              <w:snapToGrid w:val="0"/>
              <w:rPr>
                <w:szCs w:val="21"/>
              </w:rPr>
            </w:pPr>
            <w:r>
              <w:rPr>
                <w:szCs w:val="21"/>
              </w:rPr>
              <w:t>物</w:t>
            </w:r>
          </w:p>
        </w:tc>
        <w:tc>
          <w:tcPr>
            <w:tcW w:w="1530" w:type="pct"/>
            <w:tcBorders>
              <w:tl2br w:val="nil"/>
              <w:tr2bl w:val="nil"/>
            </w:tcBorders>
            <w:vAlign w:val="center"/>
          </w:tcPr>
          <w:p w14:paraId="0CF0CF52">
            <w:pPr>
              <w:pStyle w:val="160"/>
              <w:snapToGrid w:val="0"/>
              <w:rPr>
                <w:szCs w:val="21"/>
              </w:rPr>
            </w:pPr>
            <w:r>
              <w:rPr>
                <w:szCs w:val="21"/>
              </w:rPr>
              <w:t>硝基苯</w:t>
            </w:r>
          </w:p>
        </w:tc>
        <w:tc>
          <w:tcPr>
            <w:tcW w:w="732" w:type="pct"/>
            <w:tcBorders>
              <w:tl2br w:val="nil"/>
              <w:tr2bl w:val="nil"/>
            </w:tcBorders>
            <w:vAlign w:val="center"/>
          </w:tcPr>
          <w:p w14:paraId="0D4E360A">
            <w:pPr>
              <w:pStyle w:val="160"/>
              <w:snapToGrid w:val="0"/>
              <w:rPr>
                <w:szCs w:val="21"/>
              </w:rPr>
            </w:pPr>
            <w:r>
              <w:rPr>
                <w:szCs w:val="21"/>
              </w:rPr>
              <w:t>mg/kg</w:t>
            </w:r>
          </w:p>
        </w:tc>
        <w:tc>
          <w:tcPr>
            <w:tcW w:w="930" w:type="pct"/>
            <w:tcBorders>
              <w:tl2br w:val="nil"/>
              <w:tr2bl w:val="nil"/>
            </w:tcBorders>
            <w:vAlign w:val="center"/>
          </w:tcPr>
          <w:p w14:paraId="0C7BC86C">
            <w:pPr>
              <w:pStyle w:val="160"/>
              <w:snapToGrid w:val="0"/>
              <w:rPr>
                <w:smallCaps/>
                <w:szCs w:val="21"/>
              </w:rPr>
            </w:pPr>
            <w:r>
              <w:rPr>
                <w:smallCaps/>
                <w:szCs w:val="21"/>
              </w:rPr>
              <w:t>34</w:t>
            </w:r>
          </w:p>
        </w:tc>
        <w:tc>
          <w:tcPr>
            <w:tcW w:w="949" w:type="pct"/>
            <w:tcBorders>
              <w:tl2br w:val="nil"/>
              <w:tr2bl w:val="nil"/>
            </w:tcBorders>
            <w:vAlign w:val="center"/>
          </w:tcPr>
          <w:p w14:paraId="03C47FD9">
            <w:pPr>
              <w:pStyle w:val="160"/>
              <w:snapToGrid w:val="0"/>
              <w:rPr>
                <w:smallCaps/>
                <w:szCs w:val="21"/>
              </w:rPr>
            </w:pPr>
            <w:r>
              <w:rPr>
                <w:smallCaps/>
                <w:szCs w:val="21"/>
              </w:rPr>
              <w:t>76</w:t>
            </w:r>
          </w:p>
        </w:tc>
      </w:tr>
      <w:tr w14:paraId="22448FC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7B75D99F">
            <w:pPr>
              <w:pStyle w:val="160"/>
              <w:snapToGrid w:val="0"/>
              <w:rPr>
                <w:szCs w:val="21"/>
              </w:rPr>
            </w:pPr>
            <w:r>
              <w:rPr>
                <w:szCs w:val="21"/>
              </w:rPr>
              <w:t>36</w:t>
            </w:r>
          </w:p>
        </w:tc>
        <w:tc>
          <w:tcPr>
            <w:tcW w:w="394" w:type="pct"/>
            <w:vMerge w:val="continue"/>
            <w:tcBorders>
              <w:tl2br w:val="nil"/>
              <w:tr2bl w:val="nil"/>
            </w:tcBorders>
            <w:vAlign w:val="center"/>
          </w:tcPr>
          <w:p w14:paraId="732AB3C0">
            <w:pPr>
              <w:pStyle w:val="160"/>
              <w:snapToGrid w:val="0"/>
              <w:rPr>
                <w:szCs w:val="21"/>
              </w:rPr>
            </w:pPr>
          </w:p>
        </w:tc>
        <w:tc>
          <w:tcPr>
            <w:tcW w:w="1530" w:type="pct"/>
            <w:tcBorders>
              <w:tl2br w:val="nil"/>
              <w:tr2bl w:val="nil"/>
            </w:tcBorders>
            <w:vAlign w:val="center"/>
          </w:tcPr>
          <w:p w14:paraId="483ECADB">
            <w:pPr>
              <w:pStyle w:val="160"/>
              <w:snapToGrid w:val="0"/>
              <w:rPr>
                <w:szCs w:val="21"/>
              </w:rPr>
            </w:pPr>
            <w:r>
              <w:rPr>
                <w:szCs w:val="21"/>
              </w:rPr>
              <w:t>苯胺</w:t>
            </w:r>
          </w:p>
        </w:tc>
        <w:tc>
          <w:tcPr>
            <w:tcW w:w="732" w:type="pct"/>
            <w:tcBorders>
              <w:tl2br w:val="nil"/>
              <w:tr2bl w:val="nil"/>
            </w:tcBorders>
            <w:vAlign w:val="center"/>
          </w:tcPr>
          <w:p w14:paraId="2BF90203">
            <w:pPr>
              <w:pStyle w:val="160"/>
              <w:snapToGrid w:val="0"/>
              <w:rPr>
                <w:szCs w:val="21"/>
              </w:rPr>
            </w:pPr>
            <w:r>
              <w:rPr>
                <w:szCs w:val="21"/>
              </w:rPr>
              <w:t>mg/kg</w:t>
            </w:r>
          </w:p>
        </w:tc>
        <w:tc>
          <w:tcPr>
            <w:tcW w:w="930" w:type="pct"/>
            <w:tcBorders>
              <w:tl2br w:val="nil"/>
              <w:tr2bl w:val="nil"/>
            </w:tcBorders>
            <w:vAlign w:val="center"/>
          </w:tcPr>
          <w:p w14:paraId="0ACEE763">
            <w:pPr>
              <w:pStyle w:val="160"/>
              <w:snapToGrid w:val="0"/>
              <w:rPr>
                <w:smallCaps/>
                <w:szCs w:val="21"/>
              </w:rPr>
            </w:pPr>
            <w:r>
              <w:rPr>
                <w:smallCaps/>
                <w:szCs w:val="21"/>
              </w:rPr>
              <w:t>92</w:t>
            </w:r>
          </w:p>
        </w:tc>
        <w:tc>
          <w:tcPr>
            <w:tcW w:w="949" w:type="pct"/>
            <w:tcBorders>
              <w:tl2br w:val="nil"/>
              <w:tr2bl w:val="nil"/>
            </w:tcBorders>
            <w:vAlign w:val="center"/>
          </w:tcPr>
          <w:p w14:paraId="3E8F8094">
            <w:pPr>
              <w:pStyle w:val="160"/>
              <w:snapToGrid w:val="0"/>
              <w:rPr>
                <w:smallCaps/>
                <w:szCs w:val="21"/>
              </w:rPr>
            </w:pPr>
            <w:r>
              <w:rPr>
                <w:smallCaps/>
                <w:szCs w:val="21"/>
              </w:rPr>
              <w:t>260</w:t>
            </w:r>
          </w:p>
        </w:tc>
      </w:tr>
      <w:tr w14:paraId="57277CD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3B4C68E2">
            <w:pPr>
              <w:pStyle w:val="160"/>
              <w:snapToGrid w:val="0"/>
              <w:rPr>
                <w:szCs w:val="21"/>
              </w:rPr>
            </w:pPr>
            <w:r>
              <w:rPr>
                <w:szCs w:val="21"/>
              </w:rPr>
              <w:t>37</w:t>
            </w:r>
          </w:p>
        </w:tc>
        <w:tc>
          <w:tcPr>
            <w:tcW w:w="394" w:type="pct"/>
            <w:vMerge w:val="continue"/>
            <w:tcBorders>
              <w:tl2br w:val="nil"/>
              <w:tr2bl w:val="nil"/>
            </w:tcBorders>
            <w:vAlign w:val="center"/>
          </w:tcPr>
          <w:p w14:paraId="7D608AA7">
            <w:pPr>
              <w:pStyle w:val="160"/>
              <w:snapToGrid w:val="0"/>
              <w:rPr>
                <w:szCs w:val="21"/>
              </w:rPr>
            </w:pPr>
          </w:p>
        </w:tc>
        <w:tc>
          <w:tcPr>
            <w:tcW w:w="1530" w:type="pct"/>
            <w:tcBorders>
              <w:tl2br w:val="nil"/>
              <w:tr2bl w:val="nil"/>
            </w:tcBorders>
            <w:vAlign w:val="center"/>
          </w:tcPr>
          <w:p w14:paraId="7BB41FBA">
            <w:pPr>
              <w:pStyle w:val="160"/>
              <w:snapToGrid w:val="0"/>
              <w:rPr>
                <w:szCs w:val="21"/>
              </w:rPr>
            </w:pPr>
            <w:r>
              <w:rPr>
                <w:szCs w:val="21"/>
              </w:rPr>
              <w:t>2-氯苯酚</w:t>
            </w:r>
          </w:p>
        </w:tc>
        <w:tc>
          <w:tcPr>
            <w:tcW w:w="732" w:type="pct"/>
            <w:tcBorders>
              <w:tl2br w:val="nil"/>
              <w:tr2bl w:val="nil"/>
            </w:tcBorders>
            <w:vAlign w:val="center"/>
          </w:tcPr>
          <w:p w14:paraId="48321489">
            <w:pPr>
              <w:pStyle w:val="160"/>
              <w:snapToGrid w:val="0"/>
              <w:rPr>
                <w:szCs w:val="21"/>
              </w:rPr>
            </w:pPr>
            <w:r>
              <w:rPr>
                <w:szCs w:val="21"/>
              </w:rPr>
              <w:t>mg/kg</w:t>
            </w:r>
          </w:p>
        </w:tc>
        <w:tc>
          <w:tcPr>
            <w:tcW w:w="930" w:type="pct"/>
            <w:tcBorders>
              <w:tl2br w:val="nil"/>
              <w:tr2bl w:val="nil"/>
            </w:tcBorders>
            <w:vAlign w:val="center"/>
          </w:tcPr>
          <w:p w14:paraId="444AB040">
            <w:pPr>
              <w:pStyle w:val="160"/>
              <w:snapToGrid w:val="0"/>
              <w:rPr>
                <w:smallCaps/>
                <w:szCs w:val="21"/>
              </w:rPr>
            </w:pPr>
            <w:r>
              <w:rPr>
                <w:smallCaps/>
                <w:szCs w:val="21"/>
              </w:rPr>
              <w:t>250</w:t>
            </w:r>
          </w:p>
        </w:tc>
        <w:tc>
          <w:tcPr>
            <w:tcW w:w="949" w:type="pct"/>
            <w:tcBorders>
              <w:tl2br w:val="nil"/>
              <w:tr2bl w:val="nil"/>
            </w:tcBorders>
            <w:vAlign w:val="center"/>
          </w:tcPr>
          <w:p w14:paraId="005850FC">
            <w:pPr>
              <w:pStyle w:val="160"/>
              <w:snapToGrid w:val="0"/>
              <w:rPr>
                <w:smallCaps/>
                <w:szCs w:val="21"/>
              </w:rPr>
            </w:pPr>
            <w:r>
              <w:rPr>
                <w:smallCaps/>
                <w:szCs w:val="21"/>
              </w:rPr>
              <w:t>2256</w:t>
            </w:r>
          </w:p>
        </w:tc>
      </w:tr>
      <w:tr w14:paraId="18376B6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20ECD472">
            <w:pPr>
              <w:pStyle w:val="160"/>
              <w:snapToGrid w:val="0"/>
              <w:rPr>
                <w:szCs w:val="21"/>
              </w:rPr>
            </w:pPr>
            <w:r>
              <w:rPr>
                <w:szCs w:val="21"/>
              </w:rPr>
              <w:t>38</w:t>
            </w:r>
          </w:p>
        </w:tc>
        <w:tc>
          <w:tcPr>
            <w:tcW w:w="394" w:type="pct"/>
            <w:vMerge w:val="continue"/>
            <w:tcBorders>
              <w:tl2br w:val="nil"/>
              <w:tr2bl w:val="nil"/>
            </w:tcBorders>
            <w:vAlign w:val="center"/>
          </w:tcPr>
          <w:p w14:paraId="389ECBD7">
            <w:pPr>
              <w:pStyle w:val="160"/>
              <w:snapToGrid w:val="0"/>
              <w:rPr>
                <w:szCs w:val="21"/>
              </w:rPr>
            </w:pPr>
          </w:p>
        </w:tc>
        <w:tc>
          <w:tcPr>
            <w:tcW w:w="1530" w:type="pct"/>
            <w:tcBorders>
              <w:tl2br w:val="nil"/>
              <w:tr2bl w:val="nil"/>
            </w:tcBorders>
            <w:vAlign w:val="center"/>
          </w:tcPr>
          <w:p w14:paraId="3EFEDA50">
            <w:pPr>
              <w:pStyle w:val="160"/>
              <w:snapToGrid w:val="0"/>
              <w:rPr>
                <w:szCs w:val="21"/>
              </w:rPr>
            </w:pPr>
            <w:r>
              <w:rPr>
                <w:szCs w:val="21"/>
              </w:rPr>
              <w:t>苯并[a]蒽</w:t>
            </w:r>
          </w:p>
        </w:tc>
        <w:tc>
          <w:tcPr>
            <w:tcW w:w="732" w:type="pct"/>
            <w:tcBorders>
              <w:tl2br w:val="nil"/>
              <w:tr2bl w:val="nil"/>
            </w:tcBorders>
            <w:vAlign w:val="center"/>
          </w:tcPr>
          <w:p w14:paraId="5209F56B">
            <w:pPr>
              <w:pStyle w:val="160"/>
              <w:snapToGrid w:val="0"/>
              <w:rPr>
                <w:szCs w:val="21"/>
              </w:rPr>
            </w:pPr>
            <w:r>
              <w:rPr>
                <w:szCs w:val="21"/>
              </w:rPr>
              <w:t>mg/kg</w:t>
            </w:r>
          </w:p>
        </w:tc>
        <w:tc>
          <w:tcPr>
            <w:tcW w:w="930" w:type="pct"/>
            <w:tcBorders>
              <w:tl2br w:val="nil"/>
              <w:tr2bl w:val="nil"/>
            </w:tcBorders>
            <w:vAlign w:val="center"/>
          </w:tcPr>
          <w:p w14:paraId="6318F936">
            <w:pPr>
              <w:pStyle w:val="160"/>
              <w:snapToGrid w:val="0"/>
              <w:rPr>
                <w:smallCaps/>
                <w:szCs w:val="21"/>
              </w:rPr>
            </w:pPr>
            <w:r>
              <w:rPr>
                <w:smallCaps/>
                <w:szCs w:val="21"/>
              </w:rPr>
              <w:t>5.5</w:t>
            </w:r>
          </w:p>
        </w:tc>
        <w:tc>
          <w:tcPr>
            <w:tcW w:w="949" w:type="pct"/>
            <w:tcBorders>
              <w:tl2br w:val="nil"/>
              <w:tr2bl w:val="nil"/>
            </w:tcBorders>
            <w:vAlign w:val="center"/>
          </w:tcPr>
          <w:p w14:paraId="501D89AC">
            <w:pPr>
              <w:pStyle w:val="160"/>
              <w:snapToGrid w:val="0"/>
              <w:rPr>
                <w:smallCaps/>
                <w:szCs w:val="21"/>
              </w:rPr>
            </w:pPr>
            <w:r>
              <w:rPr>
                <w:smallCaps/>
                <w:szCs w:val="21"/>
              </w:rPr>
              <w:t>15</w:t>
            </w:r>
          </w:p>
        </w:tc>
      </w:tr>
      <w:tr w14:paraId="2335D0F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211FC85A">
            <w:pPr>
              <w:pStyle w:val="160"/>
              <w:snapToGrid w:val="0"/>
              <w:rPr>
                <w:szCs w:val="21"/>
              </w:rPr>
            </w:pPr>
            <w:r>
              <w:rPr>
                <w:szCs w:val="21"/>
              </w:rPr>
              <w:t>39</w:t>
            </w:r>
          </w:p>
        </w:tc>
        <w:tc>
          <w:tcPr>
            <w:tcW w:w="394" w:type="pct"/>
            <w:vMerge w:val="continue"/>
            <w:tcBorders>
              <w:tl2br w:val="nil"/>
              <w:tr2bl w:val="nil"/>
            </w:tcBorders>
            <w:vAlign w:val="center"/>
          </w:tcPr>
          <w:p w14:paraId="5B55E32F">
            <w:pPr>
              <w:pStyle w:val="160"/>
              <w:snapToGrid w:val="0"/>
              <w:rPr>
                <w:szCs w:val="21"/>
              </w:rPr>
            </w:pPr>
          </w:p>
        </w:tc>
        <w:tc>
          <w:tcPr>
            <w:tcW w:w="1530" w:type="pct"/>
            <w:tcBorders>
              <w:tl2br w:val="nil"/>
              <w:tr2bl w:val="nil"/>
            </w:tcBorders>
            <w:vAlign w:val="center"/>
          </w:tcPr>
          <w:p w14:paraId="08F96EA6">
            <w:pPr>
              <w:pStyle w:val="160"/>
              <w:snapToGrid w:val="0"/>
              <w:rPr>
                <w:szCs w:val="21"/>
              </w:rPr>
            </w:pPr>
            <w:r>
              <w:rPr>
                <w:szCs w:val="21"/>
              </w:rPr>
              <w:t>苯并[a]芘</w:t>
            </w:r>
          </w:p>
        </w:tc>
        <w:tc>
          <w:tcPr>
            <w:tcW w:w="732" w:type="pct"/>
            <w:tcBorders>
              <w:tl2br w:val="nil"/>
              <w:tr2bl w:val="nil"/>
            </w:tcBorders>
            <w:vAlign w:val="center"/>
          </w:tcPr>
          <w:p w14:paraId="64169159">
            <w:pPr>
              <w:pStyle w:val="160"/>
              <w:snapToGrid w:val="0"/>
              <w:rPr>
                <w:szCs w:val="21"/>
              </w:rPr>
            </w:pPr>
            <w:r>
              <w:rPr>
                <w:szCs w:val="21"/>
              </w:rPr>
              <w:t>mg/kg</w:t>
            </w:r>
          </w:p>
        </w:tc>
        <w:tc>
          <w:tcPr>
            <w:tcW w:w="930" w:type="pct"/>
            <w:tcBorders>
              <w:tl2br w:val="nil"/>
              <w:tr2bl w:val="nil"/>
            </w:tcBorders>
            <w:vAlign w:val="center"/>
          </w:tcPr>
          <w:p w14:paraId="50D2E244">
            <w:pPr>
              <w:pStyle w:val="160"/>
              <w:snapToGrid w:val="0"/>
              <w:rPr>
                <w:smallCaps/>
                <w:szCs w:val="21"/>
              </w:rPr>
            </w:pPr>
            <w:r>
              <w:rPr>
                <w:smallCaps/>
                <w:szCs w:val="21"/>
              </w:rPr>
              <w:t>0.55</w:t>
            </w:r>
          </w:p>
        </w:tc>
        <w:tc>
          <w:tcPr>
            <w:tcW w:w="949" w:type="pct"/>
            <w:tcBorders>
              <w:tl2br w:val="nil"/>
              <w:tr2bl w:val="nil"/>
            </w:tcBorders>
            <w:vAlign w:val="center"/>
          </w:tcPr>
          <w:p w14:paraId="453F29DD">
            <w:pPr>
              <w:pStyle w:val="160"/>
              <w:snapToGrid w:val="0"/>
              <w:rPr>
                <w:smallCaps/>
                <w:szCs w:val="21"/>
              </w:rPr>
            </w:pPr>
            <w:r>
              <w:rPr>
                <w:smallCaps/>
                <w:szCs w:val="21"/>
              </w:rPr>
              <w:t>1.5</w:t>
            </w:r>
          </w:p>
        </w:tc>
      </w:tr>
      <w:tr w14:paraId="0CACC37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629F3B3F">
            <w:pPr>
              <w:pStyle w:val="160"/>
              <w:snapToGrid w:val="0"/>
              <w:rPr>
                <w:szCs w:val="21"/>
              </w:rPr>
            </w:pPr>
            <w:r>
              <w:rPr>
                <w:szCs w:val="21"/>
              </w:rPr>
              <w:t>40</w:t>
            </w:r>
          </w:p>
        </w:tc>
        <w:tc>
          <w:tcPr>
            <w:tcW w:w="394" w:type="pct"/>
            <w:vMerge w:val="continue"/>
            <w:tcBorders>
              <w:tl2br w:val="nil"/>
              <w:tr2bl w:val="nil"/>
            </w:tcBorders>
            <w:vAlign w:val="center"/>
          </w:tcPr>
          <w:p w14:paraId="11B0C8B7">
            <w:pPr>
              <w:pStyle w:val="160"/>
              <w:snapToGrid w:val="0"/>
              <w:rPr>
                <w:szCs w:val="21"/>
              </w:rPr>
            </w:pPr>
          </w:p>
        </w:tc>
        <w:tc>
          <w:tcPr>
            <w:tcW w:w="1530" w:type="pct"/>
            <w:tcBorders>
              <w:tl2br w:val="nil"/>
              <w:tr2bl w:val="nil"/>
            </w:tcBorders>
            <w:vAlign w:val="center"/>
          </w:tcPr>
          <w:p w14:paraId="4610CC60">
            <w:pPr>
              <w:pStyle w:val="160"/>
              <w:snapToGrid w:val="0"/>
              <w:rPr>
                <w:szCs w:val="21"/>
              </w:rPr>
            </w:pPr>
            <w:r>
              <w:rPr>
                <w:szCs w:val="21"/>
              </w:rPr>
              <w:t>苯并[b]荧蒽</w:t>
            </w:r>
          </w:p>
        </w:tc>
        <w:tc>
          <w:tcPr>
            <w:tcW w:w="732" w:type="pct"/>
            <w:tcBorders>
              <w:tl2br w:val="nil"/>
              <w:tr2bl w:val="nil"/>
            </w:tcBorders>
            <w:vAlign w:val="center"/>
          </w:tcPr>
          <w:p w14:paraId="0D7D6C0D">
            <w:pPr>
              <w:pStyle w:val="160"/>
              <w:snapToGrid w:val="0"/>
              <w:rPr>
                <w:szCs w:val="21"/>
              </w:rPr>
            </w:pPr>
            <w:r>
              <w:rPr>
                <w:szCs w:val="21"/>
              </w:rPr>
              <w:t>mg/kg</w:t>
            </w:r>
          </w:p>
        </w:tc>
        <w:tc>
          <w:tcPr>
            <w:tcW w:w="930" w:type="pct"/>
            <w:tcBorders>
              <w:tl2br w:val="nil"/>
              <w:tr2bl w:val="nil"/>
            </w:tcBorders>
            <w:vAlign w:val="center"/>
          </w:tcPr>
          <w:p w14:paraId="1FA6D4CA">
            <w:pPr>
              <w:pStyle w:val="160"/>
              <w:snapToGrid w:val="0"/>
              <w:rPr>
                <w:smallCaps/>
                <w:szCs w:val="21"/>
              </w:rPr>
            </w:pPr>
            <w:r>
              <w:rPr>
                <w:smallCaps/>
                <w:szCs w:val="21"/>
              </w:rPr>
              <w:t>5.5</w:t>
            </w:r>
          </w:p>
        </w:tc>
        <w:tc>
          <w:tcPr>
            <w:tcW w:w="949" w:type="pct"/>
            <w:tcBorders>
              <w:tl2br w:val="nil"/>
              <w:tr2bl w:val="nil"/>
            </w:tcBorders>
            <w:vAlign w:val="center"/>
          </w:tcPr>
          <w:p w14:paraId="5E3E0759">
            <w:pPr>
              <w:pStyle w:val="160"/>
              <w:snapToGrid w:val="0"/>
              <w:rPr>
                <w:smallCaps/>
                <w:szCs w:val="21"/>
              </w:rPr>
            </w:pPr>
            <w:r>
              <w:rPr>
                <w:smallCaps/>
                <w:szCs w:val="21"/>
              </w:rPr>
              <w:t>15</w:t>
            </w:r>
          </w:p>
        </w:tc>
      </w:tr>
      <w:tr w14:paraId="5FACF65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5AD46A4D">
            <w:pPr>
              <w:pStyle w:val="160"/>
              <w:snapToGrid w:val="0"/>
              <w:rPr>
                <w:szCs w:val="21"/>
              </w:rPr>
            </w:pPr>
            <w:r>
              <w:rPr>
                <w:szCs w:val="21"/>
              </w:rPr>
              <w:t>41</w:t>
            </w:r>
          </w:p>
        </w:tc>
        <w:tc>
          <w:tcPr>
            <w:tcW w:w="394" w:type="pct"/>
            <w:vMerge w:val="continue"/>
            <w:tcBorders>
              <w:tl2br w:val="nil"/>
              <w:tr2bl w:val="nil"/>
            </w:tcBorders>
            <w:vAlign w:val="center"/>
          </w:tcPr>
          <w:p w14:paraId="21FEE849">
            <w:pPr>
              <w:pStyle w:val="160"/>
              <w:snapToGrid w:val="0"/>
              <w:rPr>
                <w:szCs w:val="21"/>
              </w:rPr>
            </w:pPr>
          </w:p>
        </w:tc>
        <w:tc>
          <w:tcPr>
            <w:tcW w:w="1530" w:type="pct"/>
            <w:tcBorders>
              <w:tl2br w:val="nil"/>
              <w:tr2bl w:val="nil"/>
            </w:tcBorders>
            <w:vAlign w:val="center"/>
          </w:tcPr>
          <w:p w14:paraId="4B2209F7">
            <w:pPr>
              <w:pStyle w:val="160"/>
              <w:snapToGrid w:val="0"/>
              <w:rPr>
                <w:szCs w:val="21"/>
              </w:rPr>
            </w:pPr>
            <w:r>
              <w:rPr>
                <w:szCs w:val="21"/>
              </w:rPr>
              <w:t>苯并[k]荧蒽</w:t>
            </w:r>
          </w:p>
        </w:tc>
        <w:tc>
          <w:tcPr>
            <w:tcW w:w="732" w:type="pct"/>
            <w:tcBorders>
              <w:tl2br w:val="nil"/>
              <w:tr2bl w:val="nil"/>
            </w:tcBorders>
            <w:vAlign w:val="center"/>
          </w:tcPr>
          <w:p w14:paraId="73E53393">
            <w:pPr>
              <w:pStyle w:val="160"/>
              <w:snapToGrid w:val="0"/>
              <w:rPr>
                <w:szCs w:val="21"/>
              </w:rPr>
            </w:pPr>
            <w:r>
              <w:rPr>
                <w:szCs w:val="21"/>
              </w:rPr>
              <w:t>mg/kg</w:t>
            </w:r>
          </w:p>
        </w:tc>
        <w:tc>
          <w:tcPr>
            <w:tcW w:w="930" w:type="pct"/>
            <w:tcBorders>
              <w:tl2br w:val="nil"/>
              <w:tr2bl w:val="nil"/>
            </w:tcBorders>
            <w:vAlign w:val="center"/>
          </w:tcPr>
          <w:p w14:paraId="3AF88F5B">
            <w:pPr>
              <w:pStyle w:val="160"/>
              <w:snapToGrid w:val="0"/>
              <w:rPr>
                <w:smallCaps/>
                <w:szCs w:val="21"/>
              </w:rPr>
            </w:pPr>
            <w:r>
              <w:rPr>
                <w:smallCaps/>
                <w:szCs w:val="21"/>
              </w:rPr>
              <w:t>55</w:t>
            </w:r>
          </w:p>
        </w:tc>
        <w:tc>
          <w:tcPr>
            <w:tcW w:w="949" w:type="pct"/>
            <w:tcBorders>
              <w:tl2br w:val="nil"/>
              <w:tr2bl w:val="nil"/>
            </w:tcBorders>
            <w:vAlign w:val="center"/>
          </w:tcPr>
          <w:p w14:paraId="6CA060C2">
            <w:pPr>
              <w:pStyle w:val="160"/>
              <w:snapToGrid w:val="0"/>
              <w:rPr>
                <w:smallCaps/>
                <w:szCs w:val="21"/>
              </w:rPr>
            </w:pPr>
            <w:r>
              <w:rPr>
                <w:smallCaps/>
                <w:szCs w:val="21"/>
              </w:rPr>
              <w:t>151</w:t>
            </w:r>
          </w:p>
        </w:tc>
      </w:tr>
      <w:tr w14:paraId="2503E11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0973A88D">
            <w:pPr>
              <w:pStyle w:val="160"/>
              <w:snapToGrid w:val="0"/>
              <w:rPr>
                <w:szCs w:val="21"/>
              </w:rPr>
            </w:pPr>
            <w:r>
              <w:rPr>
                <w:szCs w:val="21"/>
              </w:rPr>
              <w:t>42</w:t>
            </w:r>
          </w:p>
        </w:tc>
        <w:tc>
          <w:tcPr>
            <w:tcW w:w="394" w:type="pct"/>
            <w:vMerge w:val="continue"/>
            <w:tcBorders>
              <w:tl2br w:val="nil"/>
              <w:tr2bl w:val="nil"/>
            </w:tcBorders>
            <w:vAlign w:val="center"/>
          </w:tcPr>
          <w:p w14:paraId="3515D222">
            <w:pPr>
              <w:pStyle w:val="160"/>
              <w:snapToGrid w:val="0"/>
              <w:rPr>
                <w:szCs w:val="21"/>
              </w:rPr>
            </w:pPr>
          </w:p>
        </w:tc>
        <w:tc>
          <w:tcPr>
            <w:tcW w:w="1530" w:type="pct"/>
            <w:tcBorders>
              <w:tl2br w:val="nil"/>
              <w:tr2bl w:val="nil"/>
            </w:tcBorders>
            <w:vAlign w:val="center"/>
          </w:tcPr>
          <w:p w14:paraId="212B42F0">
            <w:pPr>
              <w:pStyle w:val="160"/>
              <w:snapToGrid w:val="0"/>
              <w:rPr>
                <w:szCs w:val="21"/>
              </w:rPr>
            </w:pPr>
            <w:r>
              <w:rPr>
                <w:szCs w:val="21"/>
              </w:rPr>
              <w:t>䓛</w:t>
            </w:r>
          </w:p>
        </w:tc>
        <w:tc>
          <w:tcPr>
            <w:tcW w:w="732" w:type="pct"/>
            <w:tcBorders>
              <w:tl2br w:val="nil"/>
              <w:tr2bl w:val="nil"/>
            </w:tcBorders>
            <w:vAlign w:val="center"/>
          </w:tcPr>
          <w:p w14:paraId="13B3A9D6">
            <w:pPr>
              <w:pStyle w:val="160"/>
              <w:snapToGrid w:val="0"/>
              <w:rPr>
                <w:szCs w:val="21"/>
              </w:rPr>
            </w:pPr>
            <w:r>
              <w:rPr>
                <w:szCs w:val="21"/>
              </w:rPr>
              <w:t>mg/kg</w:t>
            </w:r>
          </w:p>
        </w:tc>
        <w:tc>
          <w:tcPr>
            <w:tcW w:w="930" w:type="pct"/>
            <w:tcBorders>
              <w:tl2br w:val="nil"/>
              <w:tr2bl w:val="nil"/>
            </w:tcBorders>
            <w:vAlign w:val="center"/>
          </w:tcPr>
          <w:p w14:paraId="6E873681">
            <w:pPr>
              <w:pStyle w:val="160"/>
              <w:snapToGrid w:val="0"/>
              <w:rPr>
                <w:smallCaps/>
                <w:szCs w:val="21"/>
              </w:rPr>
            </w:pPr>
            <w:r>
              <w:rPr>
                <w:smallCaps/>
                <w:szCs w:val="21"/>
              </w:rPr>
              <w:t>490</w:t>
            </w:r>
          </w:p>
        </w:tc>
        <w:tc>
          <w:tcPr>
            <w:tcW w:w="949" w:type="pct"/>
            <w:tcBorders>
              <w:tl2br w:val="nil"/>
              <w:tr2bl w:val="nil"/>
            </w:tcBorders>
            <w:vAlign w:val="center"/>
          </w:tcPr>
          <w:p w14:paraId="5442E2CE">
            <w:pPr>
              <w:pStyle w:val="160"/>
              <w:snapToGrid w:val="0"/>
              <w:rPr>
                <w:smallCaps/>
                <w:szCs w:val="21"/>
              </w:rPr>
            </w:pPr>
            <w:r>
              <w:rPr>
                <w:smallCaps/>
                <w:szCs w:val="21"/>
              </w:rPr>
              <w:t>1293</w:t>
            </w:r>
          </w:p>
        </w:tc>
      </w:tr>
      <w:tr w14:paraId="688589D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20DDEFB1">
            <w:pPr>
              <w:pStyle w:val="160"/>
              <w:snapToGrid w:val="0"/>
              <w:rPr>
                <w:szCs w:val="21"/>
              </w:rPr>
            </w:pPr>
            <w:r>
              <w:rPr>
                <w:szCs w:val="21"/>
              </w:rPr>
              <w:t>43</w:t>
            </w:r>
          </w:p>
        </w:tc>
        <w:tc>
          <w:tcPr>
            <w:tcW w:w="394" w:type="pct"/>
            <w:vMerge w:val="continue"/>
            <w:tcBorders>
              <w:tl2br w:val="nil"/>
              <w:tr2bl w:val="nil"/>
            </w:tcBorders>
            <w:vAlign w:val="center"/>
          </w:tcPr>
          <w:p w14:paraId="7D411AB6">
            <w:pPr>
              <w:pStyle w:val="160"/>
              <w:snapToGrid w:val="0"/>
              <w:rPr>
                <w:szCs w:val="21"/>
              </w:rPr>
            </w:pPr>
          </w:p>
        </w:tc>
        <w:tc>
          <w:tcPr>
            <w:tcW w:w="1530" w:type="pct"/>
            <w:tcBorders>
              <w:tl2br w:val="nil"/>
              <w:tr2bl w:val="nil"/>
            </w:tcBorders>
            <w:vAlign w:val="center"/>
          </w:tcPr>
          <w:p w14:paraId="45AAA7E9">
            <w:pPr>
              <w:pStyle w:val="160"/>
              <w:snapToGrid w:val="0"/>
              <w:rPr>
                <w:szCs w:val="21"/>
              </w:rPr>
            </w:pPr>
            <w:r>
              <w:rPr>
                <w:szCs w:val="21"/>
              </w:rPr>
              <w:t>二苯并[a,h]蒽</w:t>
            </w:r>
          </w:p>
        </w:tc>
        <w:tc>
          <w:tcPr>
            <w:tcW w:w="732" w:type="pct"/>
            <w:tcBorders>
              <w:tl2br w:val="nil"/>
              <w:tr2bl w:val="nil"/>
            </w:tcBorders>
            <w:vAlign w:val="center"/>
          </w:tcPr>
          <w:p w14:paraId="3EF86FC9">
            <w:pPr>
              <w:pStyle w:val="160"/>
              <w:snapToGrid w:val="0"/>
              <w:rPr>
                <w:szCs w:val="21"/>
              </w:rPr>
            </w:pPr>
            <w:r>
              <w:rPr>
                <w:szCs w:val="21"/>
              </w:rPr>
              <w:t>mg/kg</w:t>
            </w:r>
          </w:p>
        </w:tc>
        <w:tc>
          <w:tcPr>
            <w:tcW w:w="930" w:type="pct"/>
            <w:tcBorders>
              <w:tl2br w:val="nil"/>
              <w:tr2bl w:val="nil"/>
            </w:tcBorders>
            <w:vAlign w:val="center"/>
          </w:tcPr>
          <w:p w14:paraId="5BE53933">
            <w:pPr>
              <w:pStyle w:val="160"/>
              <w:snapToGrid w:val="0"/>
              <w:rPr>
                <w:smallCaps/>
                <w:szCs w:val="21"/>
              </w:rPr>
            </w:pPr>
            <w:r>
              <w:rPr>
                <w:smallCaps/>
                <w:szCs w:val="21"/>
              </w:rPr>
              <w:t>0.55</w:t>
            </w:r>
          </w:p>
        </w:tc>
        <w:tc>
          <w:tcPr>
            <w:tcW w:w="949" w:type="pct"/>
            <w:tcBorders>
              <w:tl2br w:val="nil"/>
              <w:tr2bl w:val="nil"/>
            </w:tcBorders>
            <w:vAlign w:val="center"/>
          </w:tcPr>
          <w:p w14:paraId="03D048CD">
            <w:pPr>
              <w:pStyle w:val="160"/>
              <w:snapToGrid w:val="0"/>
              <w:rPr>
                <w:smallCaps/>
                <w:szCs w:val="21"/>
              </w:rPr>
            </w:pPr>
            <w:r>
              <w:rPr>
                <w:smallCaps/>
                <w:szCs w:val="21"/>
              </w:rPr>
              <w:t>1.5</w:t>
            </w:r>
          </w:p>
        </w:tc>
      </w:tr>
      <w:tr w14:paraId="78156CE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66059468">
            <w:pPr>
              <w:pStyle w:val="160"/>
              <w:snapToGrid w:val="0"/>
              <w:rPr>
                <w:szCs w:val="21"/>
              </w:rPr>
            </w:pPr>
            <w:r>
              <w:rPr>
                <w:szCs w:val="21"/>
              </w:rPr>
              <w:t>44</w:t>
            </w:r>
          </w:p>
        </w:tc>
        <w:tc>
          <w:tcPr>
            <w:tcW w:w="394" w:type="pct"/>
            <w:vMerge w:val="continue"/>
            <w:tcBorders>
              <w:tl2br w:val="nil"/>
              <w:tr2bl w:val="nil"/>
            </w:tcBorders>
            <w:vAlign w:val="center"/>
          </w:tcPr>
          <w:p w14:paraId="7F1B466C">
            <w:pPr>
              <w:pStyle w:val="160"/>
              <w:snapToGrid w:val="0"/>
              <w:rPr>
                <w:szCs w:val="21"/>
              </w:rPr>
            </w:pPr>
          </w:p>
        </w:tc>
        <w:tc>
          <w:tcPr>
            <w:tcW w:w="1530" w:type="pct"/>
            <w:tcBorders>
              <w:tl2br w:val="nil"/>
              <w:tr2bl w:val="nil"/>
            </w:tcBorders>
            <w:vAlign w:val="center"/>
          </w:tcPr>
          <w:p w14:paraId="5469ABF9">
            <w:pPr>
              <w:pStyle w:val="160"/>
              <w:snapToGrid w:val="0"/>
              <w:rPr>
                <w:szCs w:val="21"/>
              </w:rPr>
            </w:pPr>
            <w:r>
              <w:rPr>
                <w:szCs w:val="21"/>
              </w:rPr>
              <w:t>茚并[1,2,3-cd]芘</w:t>
            </w:r>
          </w:p>
        </w:tc>
        <w:tc>
          <w:tcPr>
            <w:tcW w:w="732" w:type="pct"/>
            <w:tcBorders>
              <w:tl2br w:val="nil"/>
              <w:tr2bl w:val="nil"/>
            </w:tcBorders>
            <w:vAlign w:val="center"/>
          </w:tcPr>
          <w:p w14:paraId="74F74A58">
            <w:pPr>
              <w:pStyle w:val="160"/>
              <w:snapToGrid w:val="0"/>
              <w:rPr>
                <w:szCs w:val="21"/>
              </w:rPr>
            </w:pPr>
            <w:r>
              <w:rPr>
                <w:szCs w:val="21"/>
              </w:rPr>
              <w:t>mg/kg</w:t>
            </w:r>
          </w:p>
        </w:tc>
        <w:tc>
          <w:tcPr>
            <w:tcW w:w="930" w:type="pct"/>
            <w:tcBorders>
              <w:tl2br w:val="nil"/>
              <w:tr2bl w:val="nil"/>
            </w:tcBorders>
            <w:vAlign w:val="center"/>
          </w:tcPr>
          <w:p w14:paraId="4DEBF878">
            <w:pPr>
              <w:pStyle w:val="160"/>
              <w:snapToGrid w:val="0"/>
              <w:rPr>
                <w:smallCaps/>
                <w:szCs w:val="21"/>
              </w:rPr>
            </w:pPr>
            <w:r>
              <w:rPr>
                <w:smallCaps/>
                <w:szCs w:val="21"/>
              </w:rPr>
              <w:t>5.5</w:t>
            </w:r>
          </w:p>
        </w:tc>
        <w:tc>
          <w:tcPr>
            <w:tcW w:w="949" w:type="pct"/>
            <w:tcBorders>
              <w:tl2br w:val="nil"/>
              <w:tr2bl w:val="nil"/>
            </w:tcBorders>
            <w:vAlign w:val="center"/>
          </w:tcPr>
          <w:p w14:paraId="70A80003">
            <w:pPr>
              <w:pStyle w:val="160"/>
              <w:snapToGrid w:val="0"/>
              <w:rPr>
                <w:smallCaps/>
                <w:szCs w:val="21"/>
              </w:rPr>
            </w:pPr>
            <w:r>
              <w:rPr>
                <w:smallCaps/>
                <w:szCs w:val="21"/>
              </w:rPr>
              <w:t>15</w:t>
            </w:r>
          </w:p>
        </w:tc>
      </w:tr>
      <w:tr w14:paraId="4D22204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6900810F">
            <w:pPr>
              <w:pStyle w:val="160"/>
              <w:snapToGrid w:val="0"/>
              <w:rPr>
                <w:szCs w:val="21"/>
              </w:rPr>
            </w:pPr>
            <w:r>
              <w:rPr>
                <w:szCs w:val="21"/>
              </w:rPr>
              <w:t>45</w:t>
            </w:r>
          </w:p>
        </w:tc>
        <w:tc>
          <w:tcPr>
            <w:tcW w:w="394" w:type="pct"/>
            <w:vMerge w:val="continue"/>
            <w:tcBorders>
              <w:tl2br w:val="nil"/>
              <w:tr2bl w:val="nil"/>
            </w:tcBorders>
            <w:vAlign w:val="center"/>
          </w:tcPr>
          <w:p w14:paraId="536408DF">
            <w:pPr>
              <w:pStyle w:val="160"/>
              <w:snapToGrid w:val="0"/>
              <w:rPr>
                <w:szCs w:val="21"/>
              </w:rPr>
            </w:pPr>
          </w:p>
        </w:tc>
        <w:tc>
          <w:tcPr>
            <w:tcW w:w="1530" w:type="pct"/>
            <w:tcBorders>
              <w:tl2br w:val="nil"/>
              <w:tr2bl w:val="nil"/>
            </w:tcBorders>
            <w:vAlign w:val="center"/>
          </w:tcPr>
          <w:p w14:paraId="3FB5267B">
            <w:pPr>
              <w:pStyle w:val="160"/>
              <w:snapToGrid w:val="0"/>
              <w:rPr>
                <w:szCs w:val="21"/>
              </w:rPr>
            </w:pPr>
            <w:r>
              <w:rPr>
                <w:szCs w:val="21"/>
              </w:rPr>
              <w:t>萘</w:t>
            </w:r>
          </w:p>
        </w:tc>
        <w:tc>
          <w:tcPr>
            <w:tcW w:w="732" w:type="pct"/>
            <w:tcBorders>
              <w:tl2br w:val="nil"/>
              <w:tr2bl w:val="nil"/>
            </w:tcBorders>
            <w:vAlign w:val="center"/>
          </w:tcPr>
          <w:p w14:paraId="239223DD">
            <w:pPr>
              <w:pStyle w:val="160"/>
              <w:snapToGrid w:val="0"/>
              <w:rPr>
                <w:szCs w:val="21"/>
              </w:rPr>
            </w:pPr>
            <w:r>
              <w:rPr>
                <w:szCs w:val="21"/>
              </w:rPr>
              <w:t>mg/kg</w:t>
            </w:r>
          </w:p>
        </w:tc>
        <w:tc>
          <w:tcPr>
            <w:tcW w:w="930" w:type="pct"/>
            <w:tcBorders>
              <w:tl2br w:val="nil"/>
              <w:tr2bl w:val="nil"/>
            </w:tcBorders>
            <w:vAlign w:val="center"/>
          </w:tcPr>
          <w:p w14:paraId="38768D55">
            <w:pPr>
              <w:pStyle w:val="160"/>
              <w:snapToGrid w:val="0"/>
              <w:rPr>
                <w:smallCaps/>
                <w:szCs w:val="21"/>
              </w:rPr>
            </w:pPr>
            <w:r>
              <w:rPr>
                <w:smallCaps/>
                <w:szCs w:val="21"/>
              </w:rPr>
              <w:t>25</w:t>
            </w:r>
          </w:p>
        </w:tc>
        <w:tc>
          <w:tcPr>
            <w:tcW w:w="949" w:type="pct"/>
            <w:tcBorders>
              <w:tl2br w:val="nil"/>
              <w:tr2bl w:val="nil"/>
            </w:tcBorders>
            <w:vAlign w:val="center"/>
          </w:tcPr>
          <w:p w14:paraId="3718CAA0">
            <w:pPr>
              <w:pStyle w:val="160"/>
              <w:snapToGrid w:val="0"/>
              <w:rPr>
                <w:smallCaps/>
                <w:szCs w:val="21"/>
              </w:rPr>
            </w:pPr>
            <w:r>
              <w:rPr>
                <w:smallCaps/>
                <w:szCs w:val="21"/>
              </w:rPr>
              <w:t>70</w:t>
            </w:r>
          </w:p>
        </w:tc>
      </w:tr>
      <w:tr w14:paraId="0A339CE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313E5BC7">
            <w:pPr>
              <w:pStyle w:val="160"/>
              <w:snapToGrid w:val="0"/>
              <w:rPr>
                <w:szCs w:val="21"/>
              </w:rPr>
            </w:pPr>
            <w:bookmarkStart w:id="43" w:name="_Ref475369469"/>
            <w:r>
              <w:rPr>
                <w:szCs w:val="21"/>
              </w:rPr>
              <w:t>46</w:t>
            </w:r>
          </w:p>
        </w:tc>
        <w:tc>
          <w:tcPr>
            <w:tcW w:w="394" w:type="pct"/>
            <w:vMerge w:val="restart"/>
            <w:tcBorders>
              <w:tl2br w:val="nil"/>
              <w:tr2bl w:val="nil"/>
            </w:tcBorders>
            <w:vAlign w:val="center"/>
          </w:tcPr>
          <w:p w14:paraId="4053BC68">
            <w:pPr>
              <w:pStyle w:val="160"/>
              <w:snapToGrid w:val="0"/>
              <w:rPr>
                <w:szCs w:val="21"/>
              </w:rPr>
            </w:pPr>
            <w:r>
              <w:rPr>
                <w:szCs w:val="21"/>
              </w:rPr>
              <w:t>其他</w:t>
            </w:r>
          </w:p>
        </w:tc>
        <w:tc>
          <w:tcPr>
            <w:tcW w:w="1530" w:type="pct"/>
            <w:tcBorders>
              <w:tl2br w:val="nil"/>
              <w:tr2bl w:val="nil"/>
            </w:tcBorders>
            <w:vAlign w:val="center"/>
          </w:tcPr>
          <w:p w14:paraId="676FB6D3">
            <w:pPr>
              <w:pStyle w:val="160"/>
              <w:snapToGrid w:val="0"/>
              <w:rPr>
                <w:szCs w:val="21"/>
              </w:rPr>
            </w:pPr>
            <w:r>
              <w:rPr>
                <w:szCs w:val="21"/>
              </w:rPr>
              <w:t>石油烃</w:t>
            </w:r>
          </w:p>
        </w:tc>
        <w:tc>
          <w:tcPr>
            <w:tcW w:w="732" w:type="pct"/>
            <w:tcBorders>
              <w:tl2br w:val="nil"/>
              <w:tr2bl w:val="nil"/>
            </w:tcBorders>
            <w:vAlign w:val="center"/>
          </w:tcPr>
          <w:p w14:paraId="43C59CB6">
            <w:pPr>
              <w:snapToGrid w:val="0"/>
              <w:spacing w:before="0" w:beforeLines="0" w:line="240" w:lineRule="auto"/>
              <w:jc w:val="center"/>
              <w:rPr>
                <w:szCs w:val="21"/>
              </w:rPr>
            </w:pPr>
            <w:r>
              <w:rPr>
                <w:szCs w:val="21"/>
              </w:rPr>
              <w:t>mg/kg</w:t>
            </w:r>
          </w:p>
        </w:tc>
        <w:tc>
          <w:tcPr>
            <w:tcW w:w="930" w:type="pct"/>
            <w:tcBorders>
              <w:tl2br w:val="nil"/>
              <w:tr2bl w:val="nil"/>
            </w:tcBorders>
            <w:vAlign w:val="center"/>
          </w:tcPr>
          <w:p w14:paraId="0F19C6B7">
            <w:pPr>
              <w:pStyle w:val="160"/>
              <w:snapToGrid w:val="0"/>
              <w:rPr>
                <w:smallCaps/>
                <w:szCs w:val="21"/>
              </w:rPr>
            </w:pPr>
            <w:r>
              <w:rPr>
                <w:smallCaps/>
                <w:szCs w:val="21"/>
              </w:rPr>
              <w:t>826</w:t>
            </w:r>
          </w:p>
        </w:tc>
        <w:tc>
          <w:tcPr>
            <w:tcW w:w="949" w:type="pct"/>
            <w:tcBorders>
              <w:tl2br w:val="nil"/>
              <w:tr2bl w:val="nil"/>
            </w:tcBorders>
            <w:vAlign w:val="center"/>
          </w:tcPr>
          <w:p w14:paraId="6AE910BA">
            <w:pPr>
              <w:pStyle w:val="160"/>
              <w:snapToGrid w:val="0"/>
              <w:rPr>
                <w:smallCaps/>
                <w:szCs w:val="21"/>
              </w:rPr>
            </w:pPr>
            <w:r>
              <w:rPr>
                <w:smallCaps/>
                <w:szCs w:val="21"/>
              </w:rPr>
              <w:t>4500</w:t>
            </w:r>
          </w:p>
        </w:tc>
      </w:tr>
      <w:tr w14:paraId="64A0391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14:paraId="7916B143">
            <w:pPr>
              <w:pStyle w:val="160"/>
              <w:snapToGrid w:val="0"/>
              <w:rPr>
                <w:szCs w:val="21"/>
              </w:rPr>
            </w:pPr>
            <w:r>
              <w:rPr>
                <w:szCs w:val="21"/>
              </w:rPr>
              <w:t>47</w:t>
            </w:r>
          </w:p>
        </w:tc>
        <w:tc>
          <w:tcPr>
            <w:tcW w:w="394" w:type="pct"/>
            <w:vMerge w:val="continue"/>
            <w:tcBorders>
              <w:tl2br w:val="nil"/>
              <w:tr2bl w:val="nil"/>
            </w:tcBorders>
            <w:vAlign w:val="center"/>
          </w:tcPr>
          <w:p w14:paraId="769B60C1">
            <w:pPr>
              <w:pStyle w:val="160"/>
              <w:snapToGrid w:val="0"/>
              <w:rPr>
                <w:szCs w:val="21"/>
              </w:rPr>
            </w:pPr>
          </w:p>
        </w:tc>
        <w:tc>
          <w:tcPr>
            <w:tcW w:w="1530" w:type="pct"/>
            <w:tcBorders>
              <w:tl2br w:val="nil"/>
              <w:tr2bl w:val="nil"/>
            </w:tcBorders>
            <w:vAlign w:val="center"/>
          </w:tcPr>
          <w:p w14:paraId="41DBD169">
            <w:pPr>
              <w:pStyle w:val="160"/>
              <w:snapToGrid w:val="0"/>
              <w:rPr>
                <w:szCs w:val="21"/>
              </w:rPr>
            </w:pPr>
            <w:r>
              <w:rPr>
                <w:szCs w:val="21"/>
              </w:rPr>
              <w:t>钒</w:t>
            </w:r>
          </w:p>
        </w:tc>
        <w:tc>
          <w:tcPr>
            <w:tcW w:w="732" w:type="pct"/>
            <w:tcBorders>
              <w:tl2br w:val="nil"/>
              <w:tr2bl w:val="nil"/>
            </w:tcBorders>
            <w:vAlign w:val="center"/>
          </w:tcPr>
          <w:p w14:paraId="28FD8861">
            <w:pPr>
              <w:snapToGrid w:val="0"/>
              <w:spacing w:before="0" w:beforeLines="0" w:line="240" w:lineRule="auto"/>
              <w:jc w:val="center"/>
              <w:rPr>
                <w:szCs w:val="21"/>
              </w:rPr>
            </w:pPr>
            <w:r>
              <w:rPr>
                <w:szCs w:val="21"/>
              </w:rPr>
              <w:t>mg/kg</w:t>
            </w:r>
          </w:p>
        </w:tc>
        <w:tc>
          <w:tcPr>
            <w:tcW w:w="930" w:type="pct"/>
            <w:tcBorders>
              <w:tl2br w:val="nil"/>
              <w:tr2bl w:val="nil"/>
            </w:tcBorders>
            <w:vAlign w:val="center"/>
          </w:tcPr>
          <w:p w14:paraId="2165C5E9">
            <w:pPr>
              <w:pStyle w:val="160"/>
              <w:snapToGrid w:val="0"/>
              <w:rPr>
                <w:smallCaps/>
                <w:szCs w:val="21"/>
              </w:rPr>
            </w:pPr>
            <w:r>
              <w:rPr>
                <w:smallCaps/>
                <w:szCs w:val="21"/>
              </w:rPr>
              <w:t>165</w:t>
            </w:r>
          </w:p>
        </w:tc>
        <w:tc>
          <w:tcPr>
            <w:tcW w:w="949" w:type="pct"/>
            <w:tcBorders>
              <w:tl2br w:val="nil"/>
              <w:tr2bl w:val="nil"/>
            </w:tcBorders>
            <w:vAlign w:val="center"/>
          </w:tcPr>
          <w:p w14:paraId="586638DC">
            <w:pPr>
              <w:pStyle w:val="160"/>
              <w:snapToGrid w:val="0"/>
              <w:rPr>
                <w:smallCaps/>
                <w:szCs w:val="21"/>
              </w:rPr>
            </w:pPr>
            <w:r>
              <w:rPr>
                <w:smallCaps/>
                <w:szCs w:val="21"/>
              </w:rPr>
              <w:t>752</w:t>
            </w:r>
          </w:p>
        </w:tc>
      </w:tr>
      <w:bookmarkEnd w:id="39"/>
      <w:bookmarkEnd w:id="43"/>
    </w:tbl>
    <w:p w14:paraId="71BC34FF">
      <w:pPr>
        <w:pStyle w:val="5"/>
        <w:rPr>
          <w:color w:val="auto"/>
        </w:rPr>
      </w:pPr>
      <w:r>
        <w:rPr>
          <w:color w:val="auto"/>
        </w:rPr>
        <w:t>2.3.2污染物排放标准</w:t>
      </w:r>
    </w:p>
    <w:p w14:paraId="5C4A1990">
      <w:pPr>
        <w:snapToGrid w:val="0"/>
        <w:spacing w:before="78" w:line="360" w:lineRule="auto"/>
        <w:ind w:firstLine="482" w:firstLineChars="200"/>
        <w:rPr>
          <w:b/>
          <w:bCs/>
          <w:kern w:val="0"/>
          <w:sz w:val="24"/>
        </w:rPr>
      </w:pPr>
      <w:r>
        <w:rPr>
          <w:rFonts w:hint="eastAsia"/>
          <w:b/>
          <w:bCs/>
          <w:kern w:val="0"/>
          <w:sz w:val="24"/>
        </w:rPr>
        <w:t>（1）</w:t>
      </w:r>
      <w:r>
        <w:rPr>
          <w:b/>
          <w:bCs/>
          <w:kern w:val="0"/>
          <w:sz w:val="24"/>
        </w:rPr>
        <w:t>废气</w:t>
      </w:r>
    </w:p>
    <w:p w14:paraId="21C39E21">
      <w:pPr>
        <w:adjustRightInd w:val="0"/>
        <w:snapToGrid w:val="0"/>
        <w:spacing w:before="93" w:beforeLines="30" w:after="93" w:afterLines="30" w:line="360" w:lineRule="auto"/>
        <w:ind w:right="-105" w:rightChars="-50" w:firstLine="480" w:firstLineChars="200"/>
        <w:rPr>
          <w:sz w:val="24"/>
        </w:rPr>
      </w:pPr>
      <w:r>
        <w:rPr>
          <w:sz w:val="24"/>
        </w:rPr>
        <w:t>项目施工扬尘执行《施工及堆料场地扬尘排放标准》（DB21/2642-2016）标准，扬尘排放浓度限值见表2.3-</w:t>
      </w:r>
      <w:r>
        <w:rPr>
          <w:rFonts w:hint="eastAsia"/>
          <w:sz w:val="24"/>
        </w:rPr>
        <w:t>4</w:t>
      </w:r>
      <w:r>
        <w:rPr>
          <w:sz w:val="24"/>
        </w:rPr>
        <w:t>。</w:t>
      </w:r>
    </w:p>
    <w:p w14:paraId="68961248">
      <w:pPr>
        <w:pStyle w:val="143"/>
        <w:spacing w:before="156"/>
        <w:rPr>
          <w:b/>
          <w:bCs w:val="0"/>
        </w:rPr>
      </w:pPr>
      <w:r>
        <w:rPr>
          <w:b/>
          <w:bCs w:val="0"/>
        </w:rPr>
        <w:t>表2.3-</w:t>
      </w:r>
      <w:r>
        <w:rPr>
          <w:rFonts w:hint="eastAsia"/>
          <w:b/>
          <w:bCs w:val="0"/>
        </w:rPr>
        <w:t>4</w:t>
      </w:r>
      <w:r>
        <w:rPr>
          <w:b/>
          <w:bCs w:val="0"/>
        </w:rPr>
        <w:t xml:space="preserve">  扬尘排放浓度限值</w:t>
      </w:r>
    </w:p>
    <w:tbl>
      <w:tblPr>
        <w:tblStyle w:val="89"/>
        <w:tblW w:w="509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165"/>
        <w:gridCol w:w="2457"/>
        <w:gridCol w:w="3840"/>
      </w:tblGrid>
      <w:tr w14:paraId="0EFD1A6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1279" w:type="pct"/>
            <w:tcBorders>
              <w:tl2br w:val="nil"/>
              <w:tr2bl w:val="nil"/>
            </w:tcBorders>
            <w:vAlign w:val="center"/>
          </w:tcPr>
          <w:p w14:paraId="60483A22">
            <w:pPr>
              <w:pStyle w:val="160"/>
            </w:pPr>
            <w:r>
              <w:t>监测项目</w:t>
            </w:r>
          </w:p>
        </w:tc>
        <w:tc>
          <w:tcPr>
            <w:tcW w:w="1452" w:type="pct"/>
            <w:tcBorders>
              <w:tl2br w:val="nil"/>
              <w:tr2bl w:val="nil"/>
            </w:tcBorders>
            <w:vAlign w:val="center"/>
          </w:tcPr>
          <w:p w14:paraId="4DEB0C5B">
            <w:pPr>
              <w:pStyle w:val="160"/>
            </w:pPr>
            <w:r>
              <w:t>区域</w:t>
            </w:r>
          </w:p>
        </w:tc>
        <w:tc>
          <w:tcPr>
            <w:tcW w:w="2269" w:type="pct"/>
            <w:tcBorders>
              <w:tl2br w:val="nil"/>
              <w:tr2bl w:val="nil"/>
            </w:tcBorders>
            <w:vAlign w:val="center"/>
          </w:tcPr>
          <w:p w14:paraId="4D45EF60">
            <w:pPr>
              <w:pStyle w:val="160"/>
            </w:pPr>
            <w:r>
              <w:t>浓度限值（连续5min平均浓度）</w:t>
            </w:r>
          </w:p>
        </w:tc>
      </w:tr>
      <w:tr w14:paraId="5C7911D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1279" w:type="pct"/>
            <w:tcBorders>
              <w:tl2br w:val="nil"/>
              <w:tr2bl w:val="nil"/>
            </w:tcBorders>
            <w:vAlign w:val="center"/>
          </w:tcPr>
          <w:p w14:paraId="1EEBBEA9">
            <w:pPr>
              <w:pStyle w:val="160"/>
            </w:pPr>
            <w:r>
              <w:t>颗粒物（TSP）</w:t>
            </w:r>
          </w:p>
        </w:tc>
        <w:tc>
          <w:tcPr>
            <w:tcW w:w="1452" w:type="pct"/>
            <w:tcBorders>
              <w:tl2br w:val="nil"/>
              <w:tr2bl w:val="nil"/>
            </w:tcBorders>
            <w:vAlign w:val="center"/>
          </w:tcPr>
          <w:p w14:paraId="54FE24EC">
            <w:pPr>
              <w:pStyle w:val="160"/>
            </w:pPr>
            <w:r>
              <w:t>郊区及农村地区</w:t>
            </w:r>
          </w:p>
        </w:tc>
        <w:tc>
          <w:tcPr>
            <w:tcW w:w="2269" w:type="pct"/>
            <w:tcBorders>
              <w:tl2br w:val="nil"/>
              <w:tr2bl w:val="nil"/>
            </w:tcBorders>
            <w:vAlign w:val="center"/>
          </w:tcPr>
          <w:p w14:paraId="34DB4F2C">
            <w:pPr>
              <w:pStyle w:val="160"/>
            </w:pPr>
            <w:r>
              <w:t>1.0</w:t>
            </w:r>
          </w:p>
        </w:tc>
      </w:tr>
    </w:tbl>
    <w:p w14:paraId="2BAF450C">
      <w:pPr>
        <w:spacing w:before="78" w:line="360" w:lineRule="auto"/>
        <w:ind w:firstLine="482"/>
        <w:rPr>
          <w:sz w:val="24"/>
        </w:rPr>
      </w:pPr>
      <w:bookmarkStart w:id="44" w:name="_Hlk157083185"/>
      <w:r>
        <w:rPr>
          <w:sz w:val="24"/>
        </w:rPr>
        <w:t>项目运营期大气污染物颗粒物有组织执行《铁矿采选工业污染物排放标准》（GB28661-2012）中表6标准；颗粒物无组织执行</w:t>
      </w:r>
      <w:bookmarkStart w:id="45" w:name="OLE_LINK43"/>
      <w:r>
        <w:rPr>
          <w:sz w:val="24"/>
        </w:rPr>
        <w:t>《铁矿采选工业污染物排放标准》（GB28661-2012）</w:t>
      </w:r>
      <w:bookmarkEnd w:id="45"/>
      <w:r>
        <w:rPr>
          <w:sz w:val="24"/>
        </w:rPr>
        <w:t>表7浓度限值。</w:t>
      </w:r>
    </w:p>
    <w:p w14:paraId="7DF89733">
      <w:pPr>
        <w:pStyle w:val="143"/>
        <w:spacing w:before="156"/>
        <w:rPr>
          <w:b/>
          <w:bCs w:val="0"/>
        </w:rPr>
      </w:pPr>
      <w:r>
        <w:rPr>
          <w:b/>
          <w:bCs w:val="0"/>
        </w:rPr>
        <w:t>表2.3-</w:t>
      </w:r>
      <w:r>
        <w:rPr>
          <w:rFonts w:hint="eastAsia"/>
          <w:b/>
          <w:bCs w:val="0"/>
        </w:rPr>
        <w:t>5</w:t>
      </w:r>
      <w:r>
        <w:rPr>
          <w:b/>
          <w:bCs w:val="0"/>
        </w:rPr>
        <w:t xml:space="preserve">  大气污染物排放浓度限值</w:t>
      </w:r>
    </w:p>
    <w:tbl>
      <w:tblPr>
        <w:tblStyle w:val="89"/>
        <w:tblW w:w="506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28" w:type="dxa"/>
          <w:bottom w:w="0" w:type="dxa"/>
          <w:right w:w="28" w:type="dxa"/>
        </w:tblCellMar>
      </w:tblPr>
      <w:tblGrid>
        <w:gridCol w:w="1590"/>
        <w:gridCol w:w="1842"/>
        <w:gridCol w:w="1316"/>
        <w:gridCol w:w="3664"/>
      </w:tblGrid>
      <w:tr w14:paraId="5B8BBA7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19" w:hRule="atLeast"/>
          <w:jc w:val="center"/>
        </w:trPr>
        <w:tc>
          <w:tcPr>
            <w:tcW w:w="945" w:type="pct"/>
            <w:tcBorders>
              <w:tl2br w:val="nil"/>
              <w:tr2bl w:val="nil"/>
            </w:tcBorders>
            <w:vAlign w:val="center"/>
          </w:tcPr>
          <w:p w14:paraId="44CD886C">
            <w:pPr>
              <w:pStyle w:val="160"/>
              <w:rPr>
                <w:szCs w:val="21"/>
              </w:rPr>
            </w:pPr>
            <w:r>
              <w:rPr>
                <w:szCs w:val="21"/>
              </w:rPr>
              <w:t>生产工序或设施</w:t>
            </w:r>
          </w:p>
        </w:tc>
        <w:tc>
          <w:tcPr>
            <w:tcW w:w="1095" w:type="pct"/>
            <w:tcBorders>
              <w:tl2br w:val="nil"/>
              <w:tr2bl w:val="nil"/>
            </w:tcBorders>
            <w:vAlign w:val="center"/>
          </w:tcPr>
          <w:p w14:paraId="1BF76BAE">
            <w:pPr>
              <w:pStyle w:val="160"/>
              <w:rPr>
                <w:szCs w:val="21"/>
              </w:rPr>
            </w:pPr>
            <w:r>
              <w:rPr>
                <w:szCs w:val="21"/>
              </w:rPr>
              <w:t>污染物项目</w:t>
            </w:r>
          </w:p>
        </w:tc>
        <w:tc>
          <w:tcPr>
            <w:tcW w:w="782" w:type="pct"/>
            <w:tcBorders>
              <w:tl2br w:val="nil"/>
              <w:tr2bl w:val="nil"/>
            </w:tcBorders>
            <w:vAlign w:val="center"/>
          </w:tcPr>
          <w:p w14:paraId="7DEAC0E2">
            <w:pPr>
              <w:pStyle w:val="160"/>
              <w:rPr>
                <w:szCs w:val="21"/>
              </w:rPr>
            </w:pPr>
            <w:r>
              <w:rPr>
                <w:szCs w:val="21"/>
              </w:rPr>
              <w:t>限值</w:t>
            </w:r>
          </w:p>
        </w:tc>
        <w:tc>
          <w:tcPr>
            <w:tcW w:w="2178" w:type="pct"/>
            <w:tcBorders>
              <w:tl2br w:val="nil"/>
              <w:tr2bl w:val="nil"/>
            </w:tcBorders>
            <w:vAlign w:val="center"/>
          </w:tcPr>
          <w:p w14:paraId="31F693AA">
            <w:pPr>
              <w:pStyle w:val="160"/>
              <w:rPr>
                <w:szCs w:val="21"/>
              </w:rPr>
            </w:pPr>
            <w:r>
              <w:rPr>
                <w:szCs w:val="21"/>
              </w:rPr>
              <w:t>排放标准</w:t>
            </w:r>
          </w:p>
        </w:tc>
      </w:tr>
      <w:tr w14:paraId="56F18AD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19" w:hRule="atLeast"/>
          <w:jc w:val="center"/>
        </w:trPr>
        <w:tc>
          <w:tcPr>
            <w:tcW w:w="945" w:type="pct"/>
            <w:tcBorders>
              <w:tl2br w:val="nil"/>
              <w:tr2bl w:val="nil"/>
            </w:tcBorders>
            <w:vAlign w:val="center"/>
          </w:tcPr>
          <w:p w14:paraId="1A7C9184">
            <w:pPr>
              <w:pStyle w:val="160"/>
              <w:rPr>
                <w:szCs w:val="21"/>
              </w:rPr>
            </w:pPr>
            <w:r>
              <w:rPr>
                <w:szCs w:val="21"/>
              </w:rPr>
              <w:t>有组织</w:t>
            </w:r>
          </w:p>
        </w:tc>
        <w:tc>
          <w:tcPr>
            <w:tcW w:w="1095" w:type="pct"/>
            <w:tcBorders>
              <w:tl2br w:val="nil"/>
              <w:tr2bl w:val="nil"/>
            </w:tcBorders>
            <w:vAlign w:val="center"/>
          </w:tcPr>
          <w:p w14:paraId="37E73039">
            <w:pPr>
              <w:pStyle w:val="160"/>
              <w:rPr>
                <w:szCs w:val="21"/>
              </w:rPr>
            </w:pPr>
            <w:r>
              <w:rPr>
                <w:szCs w:val="21"/>
              </w:rPr>
              <w:t>颗粒物</w:t>
            </w:r>
          </w:p>
        </w:tc>
        <w:tc>
          <w:tcPr>
            <w:tcW w:w="782" w:type="pct"/>
            <w:tcBorders>
              <w:tl2br w:val="nil"/>
              <w:tr2bl w:val="nil"/>
            </w:tcBorders>
            <w:vAlign w:val="center"/>
          </w:tcPr>
          <w:p w14:paraId="3B31C82F">
            <w:pPr>
              <w:pStyle w:val="160"/>
              <w:rPr>
                <w:szCs w:val="21"/>
              </w:rPr>
            </w:pPr>
            <w:r>
              <w:rPr>
                <w:szCs w:val="21"/>
              </w:rPr>
              <w:t>10mg/m</w:t>
            </w:r>
            <w:r>
              <w:rPr>
                <w:szCs w:val="21"/>
                <w:vertAlign w:val="superscript"/>
              </w:rPr>
              <w:t>3</w:t>
            </w:r>
          </w:p>
        </w:tc>
        <w:tc>
          <w:tcPr>
            <w:tcW w:w="2178" w:type="pct"/>
            <w:vMerge w:val="restart"/>
            <w:tcBorders>
              <w:tl2br w:val="nil"/>
              <w:tr2bl w:val="nil"/>
            </w:tcBorders>
            <w:vAlign w:val="center"/>
          </w:tcPr>
          <w:p w14:paraId="7FD985DE">
            <w:pPr>
              <w:pStyle w:val="160"/>
              <w:rPr>
                <w:szCs w:val="21"/>
              </w:rPr>
            </w:pPr>
            <w:r>
              <w:rPr>
                <w:szCs w:val="21"/>
              </w:rPr>
              <w:t>《铁矿采选工业污染物排放标准》（</w:t>
            </w:r>
            <w:bookmarkStart w:id="46" w:name="OLE_LINK40"/>
            <w:r>
              <w:rPr>
                <w:szCs w:val="21"/>
              </w:rPr>
              <w:t>GB28661-2012</w:t>
            </w:r>
            <w:bookmarkEnd w:id="46"/>
            <w:r>
              <w:rPr>
                <w:szCs w:val="21"/>
              </w:rPr>
              <w:t>）</w:t>
            </w:r>
          </w:p>
        </w:tc>
      </w:tr>
      <w:tr w14:paraId="66835C9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19" w:hRule="atLeast"/>
          <w:jc w:val="center"/>
        </w:trPr>
        <w:tc>
          <w:tcPr>
            <w:tcW w:w="945" w:type="pct"/>
            <w:tcBorders>
              <w:tl2br w:val="nil"/>
              <w:tr2bl w:val="nil"/>
            </w:tcBorders>
            <w:vAlign w:val="center"/>
          </w:tcPr>
          <w:p w14:paraId="0B6810E2">
            <w:pPr>
              <w:pStyle w:val="160"/>
              <w:rPr>
                <w:szCs w:val="21"/>
              </w:rPr>
            </w:pPr>
            <w:r>
              <w:rPr>
                <w:szCs w:val="21"/>
              </w:rPr>
              <w:t>无组织</w:t>
            </w:r>
          </w:p>
        </w:tc>
        <w:tc>
          <w:tcPr>
            <w:tcW w:w="1095" w:type="pct"/>
            <w:tcBorders>
              <w:tl2br w:val="nil"/>
              <w:tr2bl w:val="nil"/>
            </w:tcBorders>
            <w:vAlign w:val="center"/>
          </w:tcPr>
          <w:p w14:paraId="325C591D">
            <w:pPr>
              <w:pStyle w:val="160"/>
              <w:rPr>
                <w:szCs w:val="21"/>
              </w:rPr>
            </w:pPr>
            <w:r>
              <w:rPr>
                <w:szCs w:val="21"/>
              </w:rPr>
              <w:t>颗粒物</w:t>
            </w:r>
          </w:p>
        </w:tc>
        <w:tc>
          <w:tcPr>
            <w:tcW w:w="782" w:type="pct"/>
            <w:tcBorders>
              <w:tl2br w:val="nil"/>
              <w:tr2bl w:val="nil"/>
            </w:tcBorders>
            <w:vAlign w:val="center"/>
          </w:tcPr>
          <w:p w14:paraId="1BD36B0E">
            <w:pPr>
              <w:pStyle w:val="160"/>
              <w:rPr>
                <w:szCs w:val="21"/>
              </w:rPr>
            </w:pPr>
            <w:r>
              <w:rPr>
                <w:szCs w:val="21"/>
              </w:rPr>
              <w:t>1.0mg/m</w:t>
            </w:r>
            <w:r>
              <w:rPr>
                <w:szCs w:val="21"/>
                <w:vertAlign w:val="superscript"/>
              </w:rPr>
              <w:t>3</w:t>
            </w:r>
          </w:p>
        </w:tc>
        <w:tc>
          <w:tcPr>
            <w:tcW w:w="2178" w:type="pct"/>
            <w:vMerge w:val="continue"/>
            <w:tcBorders>
              <w:tl2br w:val="nil"/>
              <w:tr2bl w:val="nil"/>
            </w:tcBorders>
            <w:vAlign w:val="center"/>
          </w:tcPr>
          <w:p w14:paraId="18BEB06F">
            <w:pPr>
              <w:pStyle w:val="160"/>
              <w:rPr>
                <w:szCs w:val="21"/>
              </w:rPr>
            </w:pPr>
          </w:p>
        </w:tc>
      </w:tr>
      <w:bookmarkEnd w:id="44"/>
    </w:tbl>
    <w:p w14:paraId="588373D4">
      <w:pPr>
        <w:snapToGrid w:val="0"/>
        <w:spacing w:before="78" w:line="360" w:lineRule="auto"/>
        <w:ind w:firstLine="482" w:firstLineChars="200"/>
        <w:rPr>
          <w:b/>
          <w:bCs/>
          <w:kern w:val="0"/>
          <w:sz w:val="24"/>
        </w:rPr>
      </w:pPr>
      <w:r>
        <w:rPr>
          <w:rFonts w:hint="eastAsia"/>
          <w:b/>
          <w:bCs/>
          <w:kern w:val="0"/>
          <w:sz w:val="24"/>
        </w:rPr>
        <w:t>（2）</w:t>
      </w:r>
      <w:r>
        <w:rPr>
          <w:b/>
          <w:bCs/>
          <w:kern w:val="0"/>
          <w:sz w:val="24"/>
        </w:rPr>
        <w:t>废水</w:t>
      </w:r>
    </w:p>
    <w:p w14:paraId="0977FBF0">
      <w:pPr>
        <w:snapToGrid w:val="0"/>
        <w:spacing w:before="78" w:line="360" w:lineRule="auto"/>
        <w:ind w:firstLine="480" w:firstLineChars="200"/>
        <w:rPr>
          <w:kern w:val="0"/>
          <w:sz w:val="24"/>
        </w:rPr>
      </w:pPr>
      <w:r>
        <w:rPr>
          <w:kern w:val="0"/>
          <w:sz w:val="24"/>
        </w:rPr>
        <w:t>本项目生产废水全部回用</w:t>
      </w:r>
      <w:r>
        <w:rPr>
          <w:rFonts w:hint="eastAsia"/>
          <w:kern w:val="0"/>
          <w:sz w:val="24"/>
        </w:rPr>
        <w:t>，</w:t>
      </w:r>
      <w:r>
        <w:rPr>
          <w:kern w:val="0"/>
          <w:sz w:val="24"/>
        </w:rPr>
        <w:t>不外排</w:t>
      </w:r>
      <w:r>
        <w:rPr>
          <w:rFonts w:hint="eastAsia"/>
          <w:kern w:val="0"/>
          <w:sz w:val="24"/>
        </w:rPr>
        <w:t>；</w:t>
      </w:r>
      <w:r>
        <w:rPr>
          <w:kern w:val="0"/>
          <w:sz w:val="24"/>
        </w:rPr>
        <w:t>生活污水排入化粪池，定期清掏</w:t>
      </w:r>
      <w:r>
        <w:rPr>
          <w:rFonts w:hint="eastAsia"/>
          <w:kern w:val="0"/>
          <w:sz w:val="24"/>
        </w:rPr>
        <w:t>，不外排。本项目全部废水不外排，不涉及排放标准，生产废水回用于选矿用水，参照执行《铁矿石采选企业污水处理技术规范》（GB/T33815-2017）选矿废水处理单元工艺设计技术要求表2要求，pH值要求6-9，选矿水要求SS小于70mg/L，道路浇洒、绿化SS小于100mg/L。</w:t>
      </w:r>
    </w:p>
    <w:p w14:paraId="73DBFE3E">
      <w:pPr>
        <w:snapToGrid w:val="0"/>
        <w:spacing w:before="78" w:line="360" w:lineRule="auto"/>
        <w:ind w:firstLine="482" w:firstLineChars="200"/>
        <w:rPr>
          <w:b/>
          <w:bCs/>
          <w:kern w:val="0"/>
          <w:sz w:val="24"/>
        </w:rPr>
      </w:pPr>
      <w:r>
        <w:rPr>
          <w:rFonts w:hint="eastAsia"/>
          <w:b/>
          <w:bCs/>
          <w:kern w:val="0"/>
          <w:sz w:val="24"/>
        </w:rPr>
        <w:t>（3）</w:t>
      </w:r>
      <w:r>
        <w:rPr>
          <w:b/>
          <w:bCs/>
          <w:kern w:val="0"/>
          <w:sz w:val="24"/>
        </w:rPr>
        <w:t>噪声</w:t>
      </w:r>
    </w:p>
    <w:p w14:paraId="59B5863C">
      <w:pPr>
        <w:spacing w:before="78" w:line="360" w:lineRule="auto"/>
        <w:ind w:firstLine="482"/>
        <w:rPr>
          <w:sz w:val="24"/>
        </w:rPr>
      </w:pPr>
      <w:r>
        <w:rPr>
          <w:sz w:val="24"/>
        </w:rPr>
        <w:t>施工期噪声执行《建筑施工噪声排放标准》（GB12523-20</w:t>
      </w:r>
      <w:r>
        <w:rPr>
          <w:rFonts w:hint="eastAsia"/>
          <w:sz w:val="24"/>
        </w:rPr>
        <w:t>25</w:t>
      </w:r>
      <w:r>
        <w:rPr>
          <w:sz w:val="24"/>
        </w:rPr>
        <w:t>），昼间70dB(A)，夜间55dB(A)。</w:t>
      </w:r>
    </w:p>
    <w:p w14:paraId="23EB936D">
      <w:pPr>
        <w:spacing w:before="78" w:line="360" w:lineRule="auto"/>
        <w:ind w:firstLine="482"/>
        <w:rPr>
          <w:sz w:val="24"/>
        </w:rPr>
      </w:pPr>
      <w:r>
        <w:rPr>
          <w:sz w:val="24"/>
        </w:rPr>
        <w:t>运营期厂界噪声执行《工业企业厂界环境噪声排放标准》（GB12348-2008）1类标准，昼间55dB(A)，夜间45dB(A)。</w:t>
      </w:r>
    </w:p>
    <w:p w14:paraId="1F837818">
      <w:pPr>
        <w:snapToGrid w:val="0"/>
        <w:spacing w:before="78" w:line="360" w:lineRule="auto"/>
        <w:ind w:firstLine="482" w:firstLineChars="200"/>
        <w:rPr>
          <w:b/>
          <w:bCs/>
          <w:kern w:val="0"/>
          <w:sz w:val="24"/>
        </w:rPr>
      </w:pPr>
      <w:r>
        <w:rPr>
          <w:rFonts w:hint="eastAsia"/>
          <w:b/>
          <w:bCs/>
          <w:kern w:val="0"/>
          <w:sz w:val="24"/>
        </w:rPr>
        <w:t>（4）</w:t>
      </w:r>
      <w:r>
        <w:rPr>
          <w:b/>
          <w:bCs/>
          <w:kern w:val="0"/>
          <w:sz w:val="24"/>
        </w:rPr>
        <w:t>固体废物</w:t>
      </w:r>
    </w:p>
    <w:p w14:paraId="11A2ECBD">
      <w:pPr>
        <w:spacing w:before="78" w:line="360" w:lineRule="auto"/>
        <w:ind w:firstLine="482"/>
        <w:rPr>
          <w:sz w:val="24"/>
        </w:rPr>
      </w:pPr>
      <w:r>
        <w:rPr>
          <w:sz w:val="24"/>
          <w:lang w:val="zh-CN"/>
        </w:rPr>
        <w:t>一般固体废物</w:t>
      </w:r>
      <w:r>
        <w:rPr>
          <w:rFonts w:hint="eastAsia"/>
          <w:sz w:val="24"/>
          <w:lang w:val="zh-CN"/>
        </w:rPr>
        <w:t>参照</w:t>
      </w:r>
      <w:r>
        <w:rPr>
          <w:sz w:val="24"/>
        </w:rPr>
        <w:t>执行《一般工业固体废物贮存和填埋污染控制标准》（GB18599-2020）</w:t>
      </w:r>
      <w:r>
        <w:rPr>
          <w:rFonts w:hint="eastAsia"/>
          <w:sz w:val="24"/>
        </w:rPr>
        <w:t>，</w:t>
      </w:r>
      <w:r>
        <w:rPr>
          <w:sz w:val="24"/>
        </w:rPr>
        <w:t>危险废物执行《危险废物贮存污染控制标准》（GB18597-2023）中的相关规定。</w:t>
      </w:r>
    </w:p>
    <w:p w14:paraId="3260D518">
      <w:pPr>
        <w:pStyle w:val="4"/>
        <w:rPr>
          <w:rFonts w:ascii="Times New Roman" w:hAnsi="Times New Roman" w:eastAsia="宋体"/>
          <w:color w:val="auto"/>
        </w:rPr>
      </w:pPr>
      <w:bookmarkStart w:id="47" w:name="_Toc239274264"/>
      <w:r>
        <w:rPr>
          <w:rFonts w:ascii="Times New Roman" w:hAnsi="Times New Roman" w:eastAsia="宋体"/>
          <w:color w:val="auto"/>
        </w:rPr>
        <w:t>2.4评价等级与评价范围</w:t>
      </w:r>
      <w:bookmarkEnd w:id="37"/>
      <w:bookmarkEnd w:id="47"/>
    </w:p>
    <w:p w14:paraId="47DBC9AB">
      <w:pPr>
        <w:pStyle w:val="5"/>
        <w:rPr>
          <w:color w:val="auto"/>
        </w:rPr>
      </w:pPr>
      <w:r>
        <w:rPr>
          <w:color w:val="auto"/>
        </w:rPr>
        <w:t>2.4.1评价等级的判定</w:t>
      </w:r>
    </w:p>
    <w:p w14:paraId="55D477B1">
      <w:pPr>
        <w:snapToGrid w:val="0"/>
        <w:spacing w:before="78" w:line="360" w:lineRule="auto"/>
        <w:ind w:firstLine="482" w:firstLineChars="200"/>
        <w:rPr>
          <w:b/>
          <w:bCs/>
          <w:kern w:val="0"/>
          <w:sz w:val="24"/>
        </w:rPr>
      </w:pPr>
      <w:r>
        <w:rPr>
          <w:rFonts w:hint="eastAsia"/>
          <w:b/>
          <w:bCs/>
          <w:kern w:val="0"/>
          <w:sz w:val="24"/>
        </w:rPr>
        <w:t>（1）</w:t>
      </w:r>
      <w:r>
        <w:rPr>
          <w:b/>
          <w:bCs/>
          <w:kern w:val="0"/>
          <w:sz w:val="24"/>
        </w:rPr>
        <w:t>环境空气评价等级</w:t>
      </w:r>
    </w:p>
    <w:p w14:paraId="5300A195">
      <w:pPr>
        <w:pStyle w:val="190"/>
        <w:ind w:firstLine="480"/>
      </w:pPr>
      <w:r>
        <w:t>根据工程分析，本项目主要大气污染物为颗粒物，因此选取上述因子作为确定评价级别的主要污染物因子。</w:t>
      </w:r>
    </w:p>
    <w:p w14:paraId="36607671">
      <w:pPr>
        <w:pStyle w:val="190"/>
        <w:ind w:firstLine="480"/>
        <w:rPr>
          <w:b/>
          <w:bCs/>
        </w:rPr>
      </w:pPr>
      <w:r>
        <w:t>根据源强分析结果，本项目污染源排放参数见表2.4-1、表2.4-2，以DA001底部坐标为原点坐标。</w:t>
      </w:r>
    </w:p>
    <w:p w14:paraId="735B82BC">
      <w:pPr>
        <w:pStyle w:val="143"/>
        <w:spacing w:before="156"/>
        <w:rPr>
          <w:b/>
          <w:bCs w:val="0"/>
        </w:rPr>
      </w:pPr>
      <w:bookmarkStart w:id="48" w:name="OLE_LINK16"/>
      <w:bookmarkStart w:id="49" w:name="_Hlk156397976"/>
      <w:bookmarkStart w:id="50" w:name="_Hlk196645990"/>
      <w:r>
        <w:rPr>
          <w:b/>
          <w:bCs w:val="0"/>
        </w:rPr>
        <w:t>表2.4-1  项目正常排放点源污染物排放情况一览表</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0" w:type="dxa"/>
          <w:bottom w:w="0" w:type="dxa"/>
          <w:right w:w="0" w:type="dxa"/>
        </w:tblCellMar>
      </w:tblPr>
      <w:tblGrid>
        <w:gridCol w:w="304"/>
        <w:gridCol w:w="475"/>
        <w:gridCol w:w="806"/>
        <w:gridCol w:w="505"/>
        <w:gridCol w:w="615"/>
        <w:gridCol w:w="815"/>
        <w:gridCol w:w="652"/>
        <w:gridCol w:w="844"/>
        <w:gridCol w:w="455"/>
        <w:gridCol w:w="748"/>
        <w:gridCol w:w="612"/>
        <w:gridCol w:w="474"/>
        <w:gridCol w:w="1007"/>
      </w:tblGrid>
      <w:tr w14:paraId="44C3C2A4">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50" w:hRule="atLeast"/>
          <w:jc w:val="center"/>
        </w:trPr>
        <w:tc>
          <w:tcPr>
            <w:tcW w:w="183" w:type="pct"/>
            <w:vMerge w:val="restart"/>
            <w:tcBorders>
              <w:tl2br w:val="nil"/>
              <w:tr2bl w:val="nil"/>
            </w:tcBorders>
            <w:vAlign w:val="center"/>
          </w:tcPr>
          <w:p w14:paraId="0B861935">
            <w:pPr>
              <w:widowControl/>
              <w:adjustRightInd w:val="0"/>
              <w:snapToGrid w:val="0"/>
              <w:spacing w:before="0" w:beforeLines="0" w:line="240" w:lineRule="auto"/>
              <w:jc w:val="center"/>
              <w:rPr>
                <w:kern w:val="0"/>
                <w:szCs w:val="21"/>
              </w:rPr>
            </w:pPr>
            <w:r>
              <w:rPr>
                <w:kern w:val="0"/>
                <w:szCs w:val="21"/>
              </w:rPr>
              <w:t>编号</w:t>
            </w:r>
          </w:p>
        </w:tc>
        <w:tc>
          <w:tcPr>
            <w:tcW w:w="286" w:type="pct"/>
            <w:vMerge w:val="restart"/>
            <w:tcBorders>
              <w:tl2br w:val="nil"/>
              <w:tr2bl w:val="nil"/>
            </w:tcBorders>
            <w:vAlign w:val="center"/>
          </w:tcPr>
          <w:p w14:paraId="3281B948">
            <w:pPr>
              <w:widowControl/>
              <w:adjustRightInd w:val="0"/>
              <w:snapToGrid w:val="0"/>
              <w:spacing w:before="0" w:beforeLines="0" w:line="240" w:lineRule="auto"/>
              <w:jc w:val="center"/>
              <w:rPr>
                <w:kern w:val="0"/>
                <w:szCs w:val="21"/>
              </w:rPr>
            </w:pPr>
            <w:r>
              <w:rPr>
                <w:kern w:val="0"/>
                <w:szCs w:val="21"/>
              </w:rPr>
              <w:t>所在厂区</w:t>
            </w:r>
          </w:p>
        </w:tc>
        <w:tc>
          <w:tcPr>
            <w:tcW w:w="485" w:type="pct"/>
            <w:vMerge w:val="restart"/>
            <w:tcBorders>
              <w:tl2br w:val="nil"/>
              <w:tr2bl w:val="nil"/>
            </w:tcBorders>
            <w:vAlign w:val="center"/>
          </w:tcPr>
          <w:p w14:paraId="35ADCD62">
            <w:pPr>
              <w:widowControl/>
              <w:adjustRightInd w:val="0"/>
              <w:snapToGrid w:val="0"/>
              <w:spacing w:before="0" w:beforeLines="0" w:line="240" w:lineRule="auto"/>
              <w:jc w:val="center"/>
              <w:rPr>
                <w:kern w:val="0"/>
                <w:szCs w:val="21"/>
              </w:rPr>
            </w:pPr>
            <w:r>
              <w:rPr>
                <w:kern w:val="0"/>
                <w:szCs w:val="21"/>
              </w:rPr>
              <w:t>污染源名称</w:t>
            </w:r>
          </w:p>
        </w:tc>
        <w:tc>
          <w:tcPr>
            <w:tcW w:w="674" w:type="pct"/>
            <w:gridSpan w:val="2"/>
            <w:vMerge w:val="restart"/>
            <w:tcBorders>
              <w:tl2br w:val="nil"/>
              <w:tr2bl w:val="nil"/>
            </w:tcBorders>
            <w:vAlign w:val="center"/>
          </w:tcPr>
          <w:p w14:paraId="67ACF45A">
            <w:pPr>
              <w:widowControl/>
              <w:adjustRightInd w:val="0"/>
              <w:snapToGrid w:val="0"/>
              <w:spacing w:before="0" w:beforeLines="0" w:line="240" w:lineRule="auto"/>
              <w:jc w:val="center"/>
              <w:rPr>
                <w:kern w:val="0"/>
                <w:szCs w:val="21"/>
              </w:rPr>
            </w:pPr>
            <w:r>
              <w:rPr>
                <w:kern w:val="0"/>
                <w:szCs w:val="21"/>
              </w:rPr>
              <w:t>排气筒基底坐标/m</w:t>
            </w:r>
          </w:p>
          <w:p w14:paraId="71271309">
            <w:pPr>
              <w:widowControl/>
              <w:adjustRightInd w:val="0"/>
              <w:snapToGrid w:val="0"/>
              <w:spacing w:before="0" w:beforeLines="0" w:line="240" w:lineRule="auto"/>
              <w:jc w:val="center"/>
              <w:rPr>
                <w:kern w:val="0"/>
                <w:szCs w:val="21"/>
              </w:rPr>
            </w:pPr>
            <w:r>
              <w:rPr>
                <w:kern w:val="0"/>
                <w:szCs w:val="21"/>
              </w:rPr>
              <w:t>（X，Y）</w:t>
            </w:r>
          </w:p>
        </w:tc>
        <w:tc>
          <w:tcPr>
            <w:tcW w:w="490" w:type="pct"/>
            <w:vMerge w:val="restart"/>
            <w:tcBorders>
              <w:tl2br w:val="nil"/>
              <w:tr2bl w:val="nil"/>
            </w:tcBorders>
            <w:vAlign w:val="center"/>
          </w:tcPr>
          <w:p w14:paraId="03122128">
            <w:pPr>
              <w:widowControl/>
              <w:adjustRightInd w:val="0"/>
              <w:snapToGrid w:val="0"/>
              <w:spacing w:before="0" w:beforeLines="0" w:line="240" w:lineRule="auto"/>
              <w:jc w:val="center"/>
              <w:rPr>
                <w:kern w:val="0"/>
                <w:szCs w:val="21"/>
              </w:rPr>
            </w:pPr>
            <w:r>
              <w:rPr>
                <w:kern w:val="0"/>
                <w:szCs w:val="21"/>
              </w:rPr>
              <w:t>排气筒底部海拔高</w:t>
            </w:r>
          </w:p>
          <w:p w14:paraId="698EA9C3">
            <w:pPr>
              <w:widowControl/>
              <w:adjustRightInd w:val="0"/>
              <w:snapToGrid w:val="0"/>
              <w:spacing w:before="0" w:beforeLines="0" w:line="240" w:lineRule="auto"/>
              <w:jc w:val="center"/>
              <w:rPr>
                <w:kern w:val="0"/>
                <w:szCs w:val="21"/>
              </w:rPr>
            </w:pPr>
            <w:r>
              <w:rPr>
                <w:kern w:val="0"/>
                <w:szCs w:val="21"/>
              </w:rPr>
              <w:t>度/m</w:t>
            </w:r>
          </w:p>
        </w:tc>
        <w:tc>
          <w:tcPr>
            <w:tcW w:w="392" w:type="pct"/>
            <w:vMerge w:val="restart"/>
            <w:tcBorders>
              <w:tl2br w:val="nil"/>
              <w:tr2bl w:val="nil"/>
            </w:tcBorders>
            <w:vAlign w:val="center"/>
          </w:tcPr>
          <w:p w14:paraId="21137A75">
            <w:pPr>
              <w:widowControl/>
              <w:adjustRightInd w:val="0"/>
              <w:snapToGrid w:val="0"/>
              <w:spacing w:before="0" w:beforeLines="0" w:line="240" w:lineRule="auto"/>
              <w:jc w:val="center"/>
              <w:rPr>
                <w:kern w:val="0"/>
                <w:szCs w:val="21"/>
              </w:rPr>
            </w:pPr>
            <w:r>
              <w:rPr>
                <w:kern w:val="0"/>
                <w:szCs w:val="21"/>
              </w:rPr>
              <w:t>排气筒高度/m</w:t>
            </w:r>
          </w:p>
        </w:tc>
        <w:tc>
          <w:tcPr>
            <w:tcW w:w="508" w:type="pct"/>
            <w:vMerge w:val="restart"/>
            <w:tcBorders>
              <w:tl2br w:val="nil"/>
              <w:tr2bl w:val="nil"/>
            </w:tcBorders>
            <w:vAlign w:val="center"/>
          </w:tcPr>
          <w:p w14:paraId="034D921B">
            <w:pPr>
              <w:widowControl/>
              <w:adjustRightInd w:val="0"/>
              <w:snapToGrid w:val="0"/>
              <w:spacing w:before="0" w:beforeLines="0" w:line="240" w:lineRule="auto"/>
              <w:jc w:val="center"/>
              <w:rPr>
                <w:kern w:val="0"/>
                <w:szCs w:val="21"/>
              </w:rPr>
            </w:pPr>
            <w:r>
              <w:rPr>
                <w:kern w:val="0"/>
                <w:szCs w:val="21"/>
              </w:rPr>
              <w:t>排气筒出口内径/m</w:t>
            </w:r>
          </w:p>
        </w:tc>
        <w:tc>
          <w:tcPr>
            <w:tcW w:w="274" w:type="pct"/>
            <w:vMerge w:val="restart"/>
            <w:tcBorders>
              <w:tl2br w:val="nil"/>
              <w:tr2bl w:val="nil"/>
            </w:tcBorders>
            <w:vAlign w:val="center"/>
          </w:tcPr>
          <w:p w14:paraId="51EAC0BE">
            <w:pPr>
              <w:widowControl/>
              <w:adjustRightInd w:val="0"/>
              <w:snapToGrid w:val="0"/>
              <w:spacing w:before="0" w:beforeLines="0" w:line="240" w:lineRule="auto"/>
              <w:jc w:val="center"/>
              <w:rPr>
                <w:kern w:val="0"/>
                <w:szCs w:val="21"/>
              </w:rPr>
            </w:pPr>
            <w:r>
              <w:rPr>
                <w:kern w:val="0"/>
                <w:szCs w:val="21"/>
              </w:rPr>
              <w:t>烟气</w:t>
            </w:r>
          </w:p>
          <w:p w14:paraId="35F115F0">
            <w:pPr>
              <w:widowControl/>
              <w:adjustRightInd w:val="0"/>
              <w:snapToGrid w:val="0"/>
              <w:spacing w:before="0" w:beforeLines="0" w:line="240" w:lineRule="auto"/>
              <w:jc w:val="center"/>
              <w:rPr>
                <w:kern w:val="0"/>
                <w:szCs w:val="21"/>
              </w:rPr>
            </w:pPr>
            <w:r>
              <w:rPr>
                <w:kern w:val="0"/>
                <w:szCs w:val="21"/>
              </w:rPr>
              <w:t>温度/℃</w:t>
            </w:r>
          </w:p>
        </w:tc>
        <w:tc>
          <w:tcPr>
            <w:tcW w:w="450" w:type="pct"/>
            <w:vMerge w:val="restart"/>
            <w:tcBorders>
              <w:tl2br w:val="nil"/>
              <w:tr2bl w:val="nil"/>
            </w:tcBorders>
            <w:vAlign w:val="center"/>
          </w:tcPr>
          <w:p w14:paraId="7CE36BA7">
            <w:pPr>
              <w:widowControl/>
              <w:adjustRightInd w:val="0"/>
              <w:snapToGrid w:val="0"/>
              <w:spacing w:before="0" w:beforeLines="0" w:line="240" w:lineRule="auto"/>
              <w:jc w:val="center"/>
              <w:rPr>
                <w:kern w:val="0"/>
                <w:szCs w:val="21"/>
              </w:rPr>
            </w:pPr>
            <w:r>
              <w:rPr>
                <w:kern w:val="0"/>
                <w:szCs w:val="21"/>
              </w:rPr>
              <w:t>年排放时数/h</w:t>
            </w:r>
          </w:p>
        </w:tc>
        <w:tc>
          <w:tcPr>
            <w:tcW w:w="368" w:type="pct"/>
            <w:vMerge w:val="restart"/>
            <w:tcBorders>
              <w:tl2br w:val="nil"/>
              <w:tr2bl w:val="nil"/>
            </w:tcBorders>
            <w:vAlign w:val="center"/>
          </w:tcPr>
          <w:p w14:paraId="3BA5F335">
            <w:pPr>
              <w:widowControl/>
              <w:adjustRightInd w:val="0"/>
              <w:snapToGrid w:val="0"/>
              <w:spacing w:before="0" w:beforeLines="0" w:line="240" w:lineRule="auto"/>
              <w:jc w:val="center"/>
              <w:rPr>
                <w:kern w:val="0"/>
                <w:szCs w:val="21"/>
              </w:rPr>
            </w:pPr>
            <w:r>
              <w:rPr>
                <w:kern w:val="0"/>
                <w:szCs w:val="21"/>
              </w:rPr>
              <w:t>烟气</w:t>
            </w:r>
          </w:p>
          <w:p w14:paraId="687016BD">
            <w:pPr>
              <w:widowControl/>
              <w:adjustRightInd w:val="0"/>
              <w:snapToGrid w:val="0"/>
              <w:spacing w:before="0" w:beforeLines="0" w:line="240" w:lineRule="auto"/>
              <w:jc w:val="center"/>
              <w:rPr>
                <w:kern w:val="0"/>
                <w:szCs w:val="21"/>
              </w:rPr>
            </w:pPr>
            <w:r>
              <w:rPr>
                <w:kern w:val="0"/>
                <w:szCs w:val="21"/>
              </w:rPr>
              <w:t>流速m/s</w:t>
            </w:r>
          </w:p>
        </w:tc>
        <w:tc>
          <w:tcPr>
            <w:tcW w:w="285" w:type="pct"/>
            <w:vMerge w:val="restart"/>
            <w:tcBorders>
              <w:tl2br w:val="nil"/>
              <w:tr2bl w:val="nil"/>
            </w:tcBorders>
            <w:vAlign w:val="center"/>
          </w:tcPr>
          <w:p w14:paraId="2F252C60">
            <w:pPr>
              <w:widowControl/>
              <w:adjustRightInd w:val="0"/>
              <w:snapToGrid w:val="0"/>
              <w:spacing w:before="0" w:beforeLines="0" w:line="240" w:lineRule="auto"/>
              <w:jc w:val="center"/>
              <w:rPr>
                <w:kern w:val="0"/>
                <w:szCs w:val="21"/>
              </w:rPr>
            </w:pPr>
            <w:r>
              <w:rPr>
                <w:kern w:val="0"/>
                <w:szCs w:val="21"/>
              </w:rPr>
              <w:t>排放工况</w:t>
            </w:r>
          </w:p>
        </w:tc>
        <w:tc>
          <w:tcPr>
            <w:tcW w:w="605" w:type="pct"/>
            <w:tcBorders>
              <w:tl2br w:val="nil"/>
              <w:tr2bl w:val="nil"/>
            </w:tcBorders>
            <w:vAlign w:val="center"/>
          </w:tcPr>
          <w:p w14:paraId="40241EF0">
            <w:pPr>
              <w:widowControl/>
              <w:adjustRightInd w:val="0"/>
              <w:snapToGrid w:val="0"/>
              <w:spacing w:before="0" w:beforeLines="0" w:line="240" w:lineRule="auto"/>
              <w:jc w:val="center"/>
              <w:rPr>
                <w:kern w:val="0"/>
                <w:szCs w:val="21"/>
              </w:rPr>
            </w:pPr>
            <w:r>
              <w:rPr>
                <w:kern w:val="0"/>
                <w:szCs w:val="21"/>
              </w:rPr>
              <w:t>污染物排放速率kg/h</w:t>
            </w:r>
          </w:p>
        </w:tc>
      </w:tr>
      <w:tr w14:paraId="20AD150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210" w:hRule="atLeast"/>
          <w:jc w:val="center"/>
        </w:trPr>
        <w:tc>
          <w:tcPr>
            <w:tcW w:w="183" w:type="pct"/>
            <w:vMerge w:val="continue"/>
            <w:tcBorders>
              <w:tl2br w:val="nil"/>
              <w:tr2bl w:val="nil"/>
            </w:tcBorders>
            <w:vAlign w:val="center"/>
          </w:tcPr>
          <w:p w14:paraId="250EE52C">
            <w:pPr>
              <w:widowControl/>
              <w:adjustRightInd w:val="0"/>
              <w:snapToGrid w:val="0"/>
              <w:spacing w:before="0" w:beforeLines="0" w:line="240" w:lineRule="auto"/>
              <w:jc w:val="center"/>
              <w:rPr>
                <w:kern w:val="0"/>
                <w:szCs w:val="21"/>
              </w:rPr>
            </w:pPr>
          </w:p>
        </w:tc>
        <w:tc>
          <w:tcPr>
            <w:tcW w:w="286" w:type="pct"/>
            <w:vMerge w:val="continue"/>
            <w:tcBorders>
              <w:tl2br w:val="nil"/>
              <w:tr2bl w:val="nil"/>
            </w:tcBorders>
            <w:vAlign w:val="center"/>
          </w:tcPr>
          <w:p w14:paraId="477A896C">
            <w:pPr>
              <w:widowControl/>
              <w:adjustRightInd w:val="0"/>
              <w:snapToGrid w:val="0"/>
              <w:spacing w:before="0" w:beforeLines="0" w:line="240" w:lineRule="auto"/>
              <w:jc w:val="center"/>
              <w:rPr>
                <w:kern w:val="0"/>
                <w:szCs w:val="21"/>
              </w:rPr>
            </w:pPr>
          </w:p>
        </w:tc>
        <w:tc>
          <w:tcPr>
            <w:tcW w:w="485" w:type="pct"/>
            <w:vMerge w:val="continue"/>
            <w:tcBorders>
              <w:tl2br w:val="nil"/>
              <w:tr2bl w:val="nil"/>
            </w:tcBorders>
            <w:vAlign w:val="center"/>
          </w:tcPr>
          <w:p w14:paraId="42F6D62A">
            <w:pPr>
              <w:widowControl/>
              <w:adjustRightInd w:val="0"/>
              <w:snapToGrid w:val="0"/>
              <w:spacing w:before="0" w:beforeLines="0" w:line="240" w:lineRule="auto"/>
              <w:jc w:val="center"/>
              <w:rPr>
                <w:kern w:val="0"/>
                <w:szCs w:val="21"/>
              </w:rPr>
            </w:pPr>
          </w:p>
        </w:tc>
        <w:tc>
          <w:tcPr>
            <w:tcW w:w="674" w:type="pct"/>
            <w:gridSpan w:val="2"/>
            <w:vMerge w:val="continue"/>
            <w:tcBorders>
              <w:tl2br w:val="nil"/>
              <w:tr2bl w:val="nil"/>
            </w:tcBorders>
            <w:vAlign w:val="center"/>
          </w:tcPr>
          <w:p w14:paraId="1282F29C">
            <w:pPr>
              <w:widowControl/>
              <w:adjustRightInd w:val="0"/>
              <w:snapToGrid w:val="0"/>
              <w:spacing w:before="0" w:beforeLines="0" w:line="240" w:lineRule="auto"/>
              <w:jc w:val="center"/>
              <w:rPr>
                <w:kern w:val="0"/>
                <w:szCs w:val="21"/>
              </w:rPr>
            </w:pPr>
          </w:p>
        </w:tc>
        <w:tc>
          <w:tcPr>
            <w:tcW w:w="490" w:type="pct"/>
            <w:vMerge w:val="continue"/>
            <w:tcBorders>
              <w:tl2br w:val="nil"/>
              <w:tr2bl w:val="nil"/>
            </w:tcBorders>
            <w:vAlign w:val="center"/>
          </w:tcPr>
          <w:p w14:paraId="44A20CFC">
            <w:pPr>
              <w:widowControl/>
              <w:adjustRightInd w:val="0"/>
              <w:snapToGrid w:val="0"/>
              <w:spacing w:before="0" w:beforeLines="0" w:line="240" w:lineRule="auto"/>
              <w:jc w:val="center"/>
              <w:rPr>
                <w:kern w:val="0"/>
                <w:szCs w:val="21"/>
              </w:rPr>
            </w:pPr>
          </w:p>
        </w:tc>
        <w:tc>
          <w:tcPr>
            <w:tcW w:w="392" w:type="pct"/>
            <w:vMerge w:val="continue"/>
            <w:tcBorders>
              <w:tl2br w:val="nil"/>
              <w:tr2bl w:val="nil"/>
            </w:tcBorders>
            <w:vAlign w:val="center"/>
          </w:tcPr>
          <w:p w14:paraId="17D8EFDF">
            <w:pPr>
              <w:widowControl/>
              <w:adjustRightInd w:val="0"/>
              <w:snapToGrid w:val="0"/>
              <w:spacing w:before="0" w:beforeLines="0" w:line="240" w:lineRule="auto"/>
              <w:jc w:val="center"/>
              <w:rPr>
                <w:kern w:val="0"/>
                <w:szCs w:val="21"/>
              </w:rPr>
            </w:pPr>
          </w:p>
        </w:tc>
        <w:tc>
          <w:tcPr>
            <w:tcW w:w="508" w:type="pct"/>
            <w:vMerge w:val="continue"/>
            <w:tcBorders>
              <w:tl2br w:val="nil"/>
              <w:tr2bl w:val="nil"/>
            </w:tcBorders>
            <w:vAlign w:val="center"/>
          </w:tcPr>
          <w:p w14:paraId="78770D0F">
            <w:pPr>
              <w:widowControl/>
              <w:adjustRightInd w:val="0"/>
              <w:snapToGrid w:val="0"/>
              <w:spacing w:before="0" w:beforeLines="0" w:line="240" w:lineRule="auto"/>
              <w:jc w:val="center"/>
              <w:rPr>
                <w:kern w:val="0"/>
                <w:szCs w:val="21"/>
              </w:rPr>
            </w:pPr>
          </w:p>
        </w:tc>
        <w:tc>
          <w:tcPr>
            <w:tcW w:w="274" w:type="pct"/>
            <w:vMerge w:val="continue"/>
            <w:tcBorders>
              <w:tl2br w:val="nil"/>
              <w:tr2bl w:val="nil"/>
            </w:tcBorders>
            <w:vAlign w:val="center"/>
          </w:tcPr>
          <w:p w14:paraId="0A3CEA7E">
            <w:pPr>
              <w:widowControl/>
              <w:adjustRightInd w:val="0"/>
              <w:snapToGrid w:val="0"/>
              <w:spacing w:before="0" w:beforeLines="0" w:line="240" w:lineRule="auto"/>
              <w:jc w:val="center"/>
              <w:rPr>
                <w:kern w:val="0"/>
                <w:szCs w:val="21"/>
              </w:rPr>
            </w:pPr>
          </w:p>
        </w:tc>
        <w:tc>
          <w:tcPr>
            <w:tcW w:w="450" w:type="pct"/>
            <w:vMerge w:val="continue"/>
            <w:tcBorders>
              <w:tl2br w:val="nil"/>
              <w:tr2bl w:val="nil"/>
            </w:tcBorders>
            <w:vAlign w:val="center"/>
          </w:tcPr>
          <w:p w14:paraId="5DFCA8EE">
            <w:pPr>
              <w:widowControl/>
              <w:adjustRightInd w:val="0"/>
              <w:snapToGrid w:val="0"/>
              <w:spacing w:before="0" w:beforeLines="0" w:line="240" w:lineRule="auto"/>
              <w:jc w:val="center"/>
              <w:rPr>
                <w:kern w:val="0"/>
                <w:szCs w:val="21"/>
              </w:rPr>
            </w:pPr>
          </w:p>
        </w:tc>
        <w:tc>
          <w:tcPr>
            <w:tcW w:w="368" w:type="pct"/>
            <w:vMerge w:val="continue"/>
            <w:tcBorders>
              <w:tl2br w:val="nil"/>
              <w:tr2bl w:val="nil"/>
            </w:tcBorders>
            <w:vAlign w:val="center"/>
          </w:tcPr>
          <w:p w14:paraId="40E9A567">
            <w:pPr>
              <w:widowControl/>
              <w:adjustRightInd w:val="0"/>
              <w:snapToGrid w:val="0"/>
              <w:spacing w:before="0" w:beforeLines="0" w:line="240" w:lineRule="auto"/>
              <w:jc w:val="center"/>
              <w:rPr>
                <w:kern w:val="0"/>
                <w:szCs w:val="21"/>
              </w:rPr>
            </w:pPr>
          </w:p>
        </w:tc>
        <w:tc>
          <w:tcPr>
            <w:tcW w:w="285" w:type="pct"/>
            <w:vMerge w:val="continue"/>
            <w:tcBorders>
              <w:tl2br w:val="nil"/>
              <w:tr2bl w:val="nil"/>
            </w:tcBorders>
            <w:vAlign w:val="center"/>
          </w:tcPr>
          <w:p w14:paraId="5E7B2C52">
            <w:pPr>
              <w:widowControl/>
              <w:adjustRightInd w:val="0"/>
              <w:snapToGrid w:val="0"/>
              <w:spacing w:before="0" w:beforeLines="0" w:line="240" w:lineRule="auto"/>
              <w:jc w:val="center"/>
              <w:rPr>
                <w:kern w:val="0"/>
                <w:szCs w:val="21"/>
              </w:rPr>
            </w:pPr>
          </w:p>
        </w:tc>
        <w:tc>
          <w:tcPr>
            <w:tcW w:w="605" w:type="pct"/>
            <w:tcBorders>
              <w:tl2br w:val="nil"/>
              <w:tr2bl w:val="nil"/>
            </w:tcBorders>
            <w:vAlign w:val="center"/>
          </w:tcPr>
          <w:p w14:paraId="36601FB4">
            <w:pPr>
              <w:widowControl/>
              <w:adjustRightInd w:val="0"/>
              <w:snapToGrid w:val="0"/>
              <w:spacing w:before="0" w:beforeLines="0" w:line="240" w:lineRule="auto"/>
              <w:jc w:val="center"/>
              <w:rPr>
                <w:kern w:val="0"/>
                <w:szCs w:val="21"/>
              </w:rPr>
            </w:pPr>
            <w:r>
              <w:rPr>
                <w:kern w:val="0"/>
                <w:szCs w:val="21"/>
              </w:rPr>
              <w:t>PM</w:t>
            </w:r>
            <w:r>
              <w:rPr>
                <w:kern w:val="0"/>
                <w:szCs w:val="21"/>
                <w:vertAlign w:val="subscript"/>
              </w:rPr>
              <w:t>10</w:t>
            </w:r>
          </w:p>
        </w:tc>
      </w:tr>
      <w:tr w14:paraId="2A77DCAC">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50" w:hRule="atLeast"/>
          <w:jc w:val="center"/>
        </w:trPr>
        <w:tc>
          <w:tcPr>
            <w:tcW w:w="183" w:type="pct"/>
            <w:tcBorders>
              <w:tl2br w:val="nil"/>
              <w:tr2bl w:val="nil"/>
            </w:tcBorders>
            <w:vAlign w:val="center"/>
          </w:tcPr>
          <w:p w14:paraId="2B0CA92D">
            <w:pPr>
              <w:widowControl/>
              <w:adjustRightInd w:val="0"/>
              <w:snapToGrid w:val="0"/>
              <w:spacing w:before="0" w:beforeLines="0" w:line="240" w:lineRule="auto"/>
              <w:jc w:val="center"/>
              <w:rPr>
                <w:kern w:val="0"/>
                <w:szCs w:val="21"/>
              </w:rPr>
            </w:pPr>
            <w:r>
              <w:rPr>
                <w:kern w:val="0"/>
                <w:szCs w:val="21"/>
              </w:rPr>
              <w:t>1</w:t>
            </w:r>
          </w:p>
        </w:tc>
        <w:tc>
          <w:tcPr>
            <w:tcW w:w="286" w:type="pct"/>
            <w:vMerge w:val="restart"/>
            <w:tcBorders>
              <w:tl2br w:val="nil"/>
              <w:tr2bl w:val="nil"/>
            </w:tcBorders>
            <w:vAlign w:val="center"/>
          </w:tcPr>
          <w:p w14:paraId="1FC2F1F3">
            <w:pPr>
              <w:widowControl/>
              <w:adjustRightInd w:val="0"/>
              <w:snapToGrid w:val="0"/>
              <w:spacing w:before="0" w:beforeLines="0" w:line="240" w:lineRule="auto"/>
              <w:jc w:val="center"/>
              <w:rPr>
                <w:kern w:val="0"/>
                <w:szCs w:val="21"/>
              </w:rPr>
            </w:pPr>
            <w:r>
              <w:rPr>
                <w:kern w:val="0"/>
                <w:szCs w:val="21"/>
              </w:rPr>
              <w:t>1#厂区</w:t>
            </w:r>
          </w:p>
        </w:tc>
        <w:tc>
          <w:tcPr>
            <w:tcW w:w="485" w:type="pct"/>
            <w:tcBorders>
              <w:tl2br w:val="nil"/>
              <w:tr2bl w:val="nil"/>
            </w:tcBorders>
            <w:vAlign w:val="center"/>
          </w:tcPr>
          <w:p w14:paraId="14C8BF83">
            <w:pPr>
              <w:widowControl/>
              <w:adjustRightInd w:val="0"/>
              <w:snapToGrid w:val="0"/>
              <w:spacing w:before="0" w:beforeLines="0" w:line="240" w:lineRule="auto"/>
              <w:jc w:val="center"/>
              <w:rPr>
                <w:kern w:val="0"/>
                <w:szCs w:val="21"/>
              </w:rPr>
            </w:pPr>
            <w:r>
              <w:rPr>
                <w:kern w:val="0"/>
                <w:szCs w:val="21"/>
              </w:rPr>
              <w:t>DA001</w:t>
            </w:r>
          </w:p>
        </w:tc>
        <w:tc>
          <w:tcPr>
            <w:tcW w:w="304" w:type="pct"/>
            <w:tcBorders>
              <w:tl2br w:val="nil"/>
              <w:tr2bl w:val="nil"/>
            </w:tcBorders>
            <w:vAlign w:val="center"/>
          </w:tcPr>
          <w:p w14:paraId="7467BBF5">
            <w:pPr>
              <w:widowControl/>
              <w:adjustRightInd w:val="0"/>
              <w:snapToGrid w:val="0"/>
              <w:spacing w:before="0" w:beforeLines="0" w:line="240" w:lineRule="auto"/>
              <w:jc w:val="center"/>
              <w:rPr>
                <w:kern w:val="0"/>
                <w:szCs w:val="21"/>
              </w:rPr>
            </w:pPr>
            <w:r>
              <w:rPr>
                <w:rFonts w:hint="eastAsia"/>
                <w:kern w:val="0"/>
                <w:szCs w:val="21"/>
              </w:rPr>
              <w:t>0</w:t>
            </w:r>
          </w:p>
        </w:tc>
        <w:tc>
          <w:tcPr>
            <w:tcW w:w="370" w:type="pct"/>
            <w:tcBorders>
              <w:tl2br w:val="nil"/>
              <w:tr2bl w:val="nil"/>
            </w:tcBorders>
            <w:vAlign w:val="center"/>
          </w:tcPr>
          <w:p w14:paraId="4AA2AF1F">
            <w:pPr>
              <w:widowControl/>
              <w:adjustRightInd w:val="0"/>
              <w:snapToGrid w:val="0"/>
              <w:spacing w:before="0" w:beforeLines="0" w:line="240" w:lineRule="auto"/>
              <w:jc w:val="center"/>
              <w:rPr>
                <w:kern w:val="0"/>
                <w:szCs w:val="21"/>
              </w:rPr>
            </w:pPr>
            <w:r>
              <w:rPr>
                <w:rFonts w:hint="eastAsia"/>
                <w:kern w:val="0"/>
                <w:szCs w:val="21"/>
              </w:rPr>
              <w:t>0</w:t>
            </w:r>
          </w:p>
        </w:tc>
        <w:tc>
          <w:tcPr>
            <w:tcW w:w="490" w:type="pct"/>
            <w:tcBorders>
              <w:tl2br w:val="nil"/>
              <w:tr2bl w:val="nil"/>
            </w:tcBorders>
            <w:vAlign w:val="center"/>
          </w:tcPr>
          <w:p w14:paraId="5E2521AF">
            <w:pPr>
              <w:widowControl/>
              <w:adjustRightInd w:val="0"/>
              <w:snapToGrid w:val="0"/>
              <w:spacing w:before="0" w:beforeLines="0" w:line="240" w:lineRule="auto"/>
              <w:jc w:val="center"/>
              <w:rPr>
                <w:kern w:val="0"/>
                <w:szCs w:val="21"/>
              </w:rPr>
            </w:pPr>
            <w:r>
              <w:rPr>
                <w:rFonts w:hint="eastAsia"/>
                <w:kern w:val="0"/>
                <w:szCs w:val="21"/>
              </w:rPr>
              <w:t>295</w:t>
            </w:r>
          </w:p>
        </w:tc>
        <w:tc>
          <w:tcPr>
            <w:tcW w:w="392" w:type="pct"/>
            <w:tcBorders>
              <w:tl2br w:val="nil"/>
              <w:tr2bl w:val="nil"/>
            </w:tcBorders>
            <w:vAlign w:val="center"/>
          </w:tcPr>
          <w:p w14:paraId="518A2637">
            <w:pPr>
              <w:widowControl/>
              <w:adjustRightInd w:val="0"/>
              <w:snapToGrid w:val="0"/>
              <w:spacing w:before="0" w:beforeLines="0" w:line="240" w:lineRule="auto"/>
              <w:jc w:val="center"/>
              <w:rPr>
                <w:kern w:val="0"/>
                <w:szCs w:val="21"/>
              </w:rPr>
            </w:pPr>
            <w:r>
              <w:rPr>
                <w:rFonts w:hint="eastAsia"/>
                <w:kern w:val="0"/>
                <w:szCs w:val="21"/>
              </w:rPr>
              <w:t>20</w:t>
            </w:r>
          </w:p>
        </w:tc>
        <w:tc>
          <w:tcPr>
            <w:tcW w:w="508" w:type="pct"/>
            <w:tcBorders>
              <w:tl2br w:val="nil"/>
              <w:tr2bl w:val="nil"/>
            </w:tcBorders>
            <w:vAlign w:val="center"/>
          </w:tcPr>
          <w:p w14:paraId="3BE8FE8C">
            <w:pPr>
              <w:widowControl/>
              <w:adjustRightInd w:val="0"/>
              <w:snapToGrid w:val="0"/>
              <w:spacing w:before="0" w:beforeLines="0" w:line="240" w:lineRule="auto"/>
              <w:jc w:val="center"/>
              <w:rPr>
                <w:kern w:val="0"/>
                <w:szCs w:val="21"/>
              </w:rPr>
            </w:pPr>
            <w:r>
              <w:rPr>
                <w:rFonts w:hint="eastAsia"/>
                <w:kern w:val="0"/>
                <w:szCs w:val="21"/>
              </w:rPr>
              <w:t>1.2</w:t>
            </w:r>
          </w:p>
        </w:tc>
        <w:tc>
          <w:tcPr>
            <w:tcW w:w="274" w:type="pct"/>
            <w:tcBorders>
              <w:tl2br w:val="nil"/>
              <w:tr2bl w:val="nil"/>
            </w:tcBorders>
            <w:vAlign w:val="center"/>
          </w:tcPr>
          <w:p w14:paraId="747A1048">
            <w:pPr>
              <w:widowControl/>
              <w:adjustRightInd w:val="0"/>
              <w:snapToGrid w:val="0"/>
              <w:spacing w:before="0" w:beforeLines="0" w:line="240" w:lineRule="auto"/>
              <w:jc w:val="center"/>
              <w:rPr>
                <w:kern w:val="0"/>
                <w:szCs w:val="21"/>
              </w:rPr>
            </w:pPr>
            <w:r>
              <w:rPr>
                <w:kern w:val="0"/>
                <w:szCs w:val="21"/>
              </w:rPr>
              <w:t>20</w:t>
            </w:r>
          </w:p>
        </w:tc>
        <w:tc>
          <w:tcPr>
            <w:tcW w:w="450" w:type="pct"/>
            <w:tcBorders>
              <w:tl2br w:val="nil"/>
              <w:tr2bl w:val="nil"/>
            </w:tcBorders>
            <w:vAlign w:val="center"/>
          </w:tcPr>
          <w:p w14:paraId="09CF88AE">
            <w:pPr>
              <w:widowControl/>
              <w:adjustRightInd w:val="0"/>
              <w:snapToGrid w:val="0"/>
              <w:spacing w:before="0" w:beforeLines="0" w:line="240" w:lineRule="auto"/>
              <w:jc w:val="center"/>
              <w:rPr>
                <w:kern w:val="0"/>
                <w:szCs w:val="21"/>
              </w:rPr>
            </w:pPr>
            <w:r>
              <w:rPr>
                <w:kern w:val="0"/>
                <w:szCs w:val="21"/>
              </w:rPr>
              <w:t>7200</w:t>
            </w:r>
          </w:p>
        </w:tc>
        <w:tc>
          <w:tcPr>
            <w:tcW w:w="368" w:type="pct"/>
            <w:tcBorders>
              <w:tl2br w:val="nil"/>
              <w:tr2bl w:val="nil"/>
            </w:tcBorders>
            <w:vAlign w:val="center"/>
          </w:tcPr>
          <w:p w14:paraId="79BB2BB0">
            <w:pPr>
              <w:widowControl/>
              <w:adjustRightInd w:val="0"/>
              <w:snapToGrid w:val="0"/>
              <w:spacing w:before="0" w:beforeLines="0" w:line="240" w:lineRule="auto"/>
              <w:jc w:val="center"/>
              <w:textAlignment w:val="center"/>
              <w:rPr>
                <w:kern w:val="0"/>
                <w:szCs w:val="21"/>
              </w:rPr>
            </w:pPr>
            <w:r>
              <w:rPr>
                <w:kern w:val="0"/>
                <w:szCs w:val="21"/>
                <w:lang w:bidi="ar"/>
              </w:rPr>
              <w:t>17.20</w:t>
            </w:r>
          </w:p>
        </w:tc>
        <w:tc>
          <w:tcPr>
            <w:tcW w:w="285" w:type="pct"/>
            <w:tcBorders>
              <w:tl2br w:val="nil"/>
              <w:tr2bl w:val="nil"/>
            </w:tcBorders>
            <w:vAlign w:val="center"/>
          </w:tcPr>
          <w:p w14:paraId="1C87ECC9">
            <w:pPr>
              <w:widowControl/>
              <w:adjustRightInd w:val="0"/>
              <w:snapToGrid w:val="0"/>
              <w:spacing w:before="0" w:beforeLines="0" w:line="240" w:lineRule="auto"/>
              <w:jc w:val="center"/>
              <w:textAlignment w:val="center"/>
              <w:rPr>
                <w:kern w:val="0"/>
                <w:szCs w:val="21"/>
                <w:lang w:bidi="ar"/>
              </w:rPr>
            </w:pPr>
            <w:r>
              <w:rPr>
                <w:kern w:val="0"/>
                <w:szCs w:val="21"/>
                <w:lang w:bidi="ar"/>
              </w:rPr>
              <w:t>正常</w:t>
            </w:r>
          </w:p>
        </w:tc>
        <w:tc>
          <w:tcPr>
            <w:tcW w:w="605" w:type="pct"/>
            <w:tcBorders>
              <w:tl2br w:val="nil"/>
              <w:tr2bl w:val="nil"/>
            </w:tcBorders>
            <w:vAlign w:val="center"/>
          </w:tcPr>
          <w:p w14:paraId="25939996">
            <w:pPr>
              <w:widowControl/>
              <w:adjustRightInd w:val="0"/>
              <w:snapToGrid w:val="0"/>
              <w:spacing w:before="0" w:beforeLines="0" w:line="240" w:lineRule="auto"/>
              <w:jc w:val="center"/>
              <w:textAlignment w:val="center"/>
              <w:rPr>
                <w:kern w:val="0"/>
                <w:szCs w:val="21"/>
              </w:rPr>
            </w:pPr>
            <w:r>
              <w:rPr>
                <w:kern w:val="0"/>
                <w:szCs w:val="21"/>
                <w:lang w:bidi="ar"/>
              </w:rPr>
              <w:t>0.49</w:t>
            </w:r>
          </w:p>
        </w:tc>
      </w:tr>
      <w:tr w14:paraId="545C5273">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50" w:hRule="atLeast"/>
          <w:jc w:val="center"/>
        </w:trPr>
        <w:tc>
          <w:tcPr>
            <w:tcW w:w="183" w:type="pct"/>
            <w:tcBorders>
              <w:tl2br w:val="nil"/>
              <w:tr2bl w:val="nil"/>
            </w:tcBorders>
            <w:vAlign w:val="center"/>
          </w:tcPr>
          <w:p w14:paraId="53596968">
            <w:pPr>
              <w:widowControl/>
              <w:adjustRightInd w:val="0"/>
              <w:snapToGrid w:val="0"/>
              <w:spacing w:before="0" w:beforeLines="0" w:line="240" w:lineRule="auto"/>
              <w:jc w:val="center"/>
              <w:rPr>
                <w:kern w:val="0"/>
                <w:szCs w:val="21"/>
              </w:rPr>
            </w:pPr>
            <w:r>
              <w:rPr>
                <w:kern w:val="0"/>
                <w:szCs w:val="21"/>
              </w:rPr>
              <w:t>2</w:t>
            </w:r>
          </w:p>
        </w:tc>
        <w:tc>
          <w:tcPr>
            <w:tcW w:w="286" w:type="pct"/>
            <w:vMerge w:val="continue"/>
            <w:tcBorders>
              <w:tl2br w:val="nil"/>
              <w:tr2bl w:val="nil"/>
            </w:tcBorders>
            <w:vAlign w:val="center"/>
          </w:tcPr>
          <w:p w14:paraId="282D9A18">
            <w:pPr>
              <w:widowControl/>
              <w:adjustRightInd w:val="0"/>
              <w:snapToGrid w:val="0"/>
              <w:spacing w:before="0" w:beforeLines="0" w:line="240" w:lineRule="auto"/>
              <w:jc w:val="center"/>
              <w:rPr>
                <w:kern w:val="0"/>
                <w:szCs w:val="21"/>
              </w:rPr>
            </w:pPr>
          </w:p>
        </w:tc>
        <w:tc>
          <w:tcPr>
            <w:tcW w:w="485" w:type="pct"/>
            <w:tcBorders>
              <w:tl2br w:val="nil"/>
              <w:tr2bl w:val="nil"/>
            </w:tcBorders>
            <w:vAlign w:val="center"/>
          </w:tcPr>
          <w:p w14:paraId="787D3FFD">
            <w:pPr>
              <w:widowControl/>
              <w:adjustRightInd w:val="0"/>
              <w:snapToGrid w:val="0"/>
              <w:spacing w:before="0" w:beforeLines="0" w:line="240" w:lineRule="auto"/>
              <w:jc w:val="center"/>
              <w:rPr>
                <w:kern w:val="0"/>
                <w:szCs w:val="21"/>
              </w:rPr>
            </w:pPr>
            <w:r>
              <w:rPr>
                <w:kern w:val="0"/>
                <w:szCs w:val="21"/>
              </w:rPr>
              <w:t>DA002</w:t>
            </w:r>
          </w:p>
        </w:tc>
        <w:tc>
          <w:tcPr>
            <w:tcW w:w="304" w:type="pct"/>
            <w:tcBorders>
              <w:tl2br w:val="nil"/>
              <w:tr2bl w:val="nil"/>
            </w:tcBorders>
            <w:vAlign w:val="center"/>
          </w:tcPr>
          <w:p w14:paraId="780CD2BB">
            <w:pPr>
              <w:widowControl/>
              <w:adjustRightInd w:val="0"/>
              <w:snapToGrid w:val="0"/>
              <w:spacing w:before="0" w:beforeLines="0" w:line="240" w:lineRule="auto"/>
              <w:jc w:val="center"/>
              <w:rPr>
                <w:kern w:val="0"/>
                <w:szCs w:val="21"/>
              </w:rPr>
            </w:pPr>
            <w:r>
              <w:rPr>
                <w:rFonts w:hint="eastAsia"/>
                <w:kern w:val="0"/>
                <w:szCs w:val="21"/>
              </w:rPr>
              <w:t>-33</w:t>
            </w:r>
          </w:p>
        </w:tc>
        <w:tc>
          <w:tcPr>
            <w:tcW w:w="370" w:type="pct"/>
            <w:tcBorders>
              <w:tl2br w:val="nil"/>
              <w:tr2bl w:val="nil"/>
            </w:tcBorders>
            <w:vAlign w:val="center"/>
          </w:tcPr>
          <w:p w14:paraId="1EFD39A9">
            <w:pPr>
              <w:widowControl/>
              <w:adjustRightInd w:val="0"/>
              <w:snapToGrid w:val="0"/>
              <w:spacing w:before="0" w:beforeLines="0" w:line="240" w:lineRule="auto"/>
              <w:jc w:val="center"/>
              <w:rPr>
                <w:kern w:val="0"/>
                <w:szCs w:val="21"/>
              </w:rPr>
            </w:pPr>
            <w:r>
              <w:rPr>
                <w:rFonts w:hint="eastAsia"/>
                <w:kern w:val="0"/>
                <w:szCs w:val="21"/>
              </w:rPr>
              <w:t>3</w:t>
            </w:r>
          </w:p>
        </w:tc>
        <w:tc>
          <w:tcPr>
            <w:tcW w:w="490" w:type="pct"/>
            <w:tcBorders>
              <w:tl2br w:val="nil"/>
              <w:tr2bl w:val="nil"/>
            </w:tcBorders>
            <w:vAlign w:val="center"/>
          </w:tcPr>
          <w:p w14:paraId="7399C742">
            <w:pPr>
              <w:widowControl/>
              <w:adjustRightInd w:val="0"/>
              <w:snapToGrid w:val="0"/>
              <w:spacing w:before="0" w:beforeLines="0" w:line="240" w:lineRule="auto"/>
              <w:jc w:val="center"/>
              <w:rPr>
                <w:kern w:val="0"/>
                <w:szCs w:val="21"/>
              </w:rPr>
            </w:pPr>
            <w:r>
              <w:rPr>
                <w:rFonts w:hint="eastAsia"/>
                <w:kern w:val="0"/>
                <w:szCs w:val="21"/>
              </w:rPr>
              <w:t>295</w:t>
            </w:r>
          </w:p>
        </w:tc>
        <w:tc>
          <w:tcPr>
            <w:tcW w:w="392" w:type="pct"/>
            <w:tcBorders>
              <w:tl2br w:val="nil"/>
              <w:tr2bl w:val="nil"/>
            </w:tcBorders>
            <w:vAlign w:val="center"/>
          </w:tcPr>
          <w:p w14:paraId="6D7E1806">
            <w:pPr>
              <w:widowControl/>
              <w:adjustRightInd w:val="0"/>
              <w:snapToGrid w:val="0"/>
              <w:spacing w:before="0" w:beforeLines="0" w:line="240" w:lineRule="auto"/>
              <w:jc w:val="center"/>
              <w:rPr>
                <w:kern w:val="32"/>
                <w:szCs w:val="21"/>
              </w:rPr>
            </w:pPr>
            <w:r>
              <w:rPr>
                <w:rFonts w:hint="eastAsia"/>
                <w:kern w:val="0"/>
                <w:szCs w:val="21"/>
              </w:rPr>
              <w:t>20</w:t>
            </w:r>
          </w:p>
        </w:tc>
        <w:tc>
          <w:tcPr>
            <w:tcW w:w="508" w:type="pct"/>
            <w:tcBorders>
              <w:tl2br w:val="nil"/>
              <w:tr2bl w:val="nil"/>
            </w:tcBorders>
            <w:vAlign w:val="center"/>
          </w:tcPr>
          <w:p w14:paraId="196C917F">
            <w:pPr>
              <w:widowControl/>
              <w:adjustRightInd w:val="0"/>
              <w:snapToGrid w:val="0"/>
              <w:spacing w:before="0" w:beforeLines="0" w:line="240" w:lineRule="auto"/>
              <w:jc w:val="center"/>
              <w:rPr>
                <w:kern w:val="32"/>
                <w:szCs w:val="21"/>
              </w:rPr>
            </w:pPr>
            <w:r>
              <w:rPr>
                <w:rFonts w:hint="eastAsia"/>
                <w:kern w:val="0"/>
                <w:szCs w:val="21"/>
              </w:rPr>
              <w:t>1.2</w:t>
            </w:r>
          </w:p>
        </w:tc>
        <w:tc>
          <w:tcPr>
            <w:tcW w:w="274" w:type="pct"/>
            <w:tcBorders>
              <w:tl2br w:val="nil"/>
              <w:tr2bl w:val="nil"/>
            </w:tcBorders>
            <w:vAlign w:val="center"/>
          </w:tcPr>
          <w:p w14:paraId="75167D97">
            <w:pPr>
              <w:widowControl/>
              <w:adjustRightInd w:val="0"/>
              <w:snapToGrid w:val="0"/>
              <w:spacing w:before="0" w:beforeLines="0" w:line="240" w:lineRule="auto"/>
              <w:jc w:val="center"/>
              <w:rPr>
                <w:kern w:val="0"/>
                <w:szCs w:val="21"/>
              </w:rPr>
            </w:pPr>
            <w:r>
              <w:rPr>
                <w:kern w:val="0"/>
                <w:szCs w:val="21"/>
              </w:rPr>
              <w:t>20</w:t>
            </w:r>
          </w:p>
        </w:tc>
        <w:tc>
          <w:tcPr>
            <w:tcW w:w="450" w:type="pct"/>
            <w:tcBorders>
              <w:tl2br w:val="nil"/>
              <w:tr2bl w:val="nil"/>
            </w:tcBorders>
            <w:vAlign w:val="center"/>
          </w:tcPr>
          <w:p w14:paraId="7ADCFC7E">
            <w:pPr>
              <w:widowControl/>
              <w:adjustRightInd w:val="0"/>
              <w:snapToGrid w:val="0"/>
              <w:spacing w:before="0" w:beforeLines="0" w:line="240" w:lineRule="auto"/>
              <w:jc w:val="center"/>
              <w:rPr>
                <w:kern w:val="0"/>
                <w:szCs w:val="21"/>
              </w:rPr>
            </w:pPr>
            <w:r>
              <w:rPr>
                <w:kern w:val="0"/>
                <w:szCs w:val="21"/>
              </w:rPr>
              <w:t>7200</w:t>
            </w:r>
          </w:p>
        </w:tc>
        <w:tc>
          <w:tcPr>
            <w:tcW w:w="368" w:type="pct"/>
            <w:tcBorders>
              <w:tl2br w:val="nil"/>
              <w:tr2bl w:val="nil"/>
            </w:tcBorders>
            <w:vAlign w:val="center"/>
          </w:tcPr>
          <w:p w14:paraId="0ACF6AAF">
            <w:pPr>
              <w:widowControl/>
              <w:adjustRightInd w:val="0"/>
              <w:snapToGrid w:val="0"/>
              <w:spacing w:before="0" w:beforeLines="0" w:line="240" w:lineRule="auto"/>
              <w:jc w:val="center"/>
              <w:textAlignment w:val="center"/>
              <w:rPr>
                <w:kern w:val="0"/>
                <w:szCs w:val="21"/>
              </w:rPr>
            </w:pPr>
            <w:r>
              <w:rPr>
                <w:kern w:val="0"/>
                <w:szCs w:val="21"/>
                <w:lang w:bidi="ar"/>
              </w:rPr>
              <w:t>17.20</w:t>
            </w:r>
          </w:p>
        </w:tc>
        <w:tc>
          <w:tcPr>
            <w:tcW w:w="285" w:type="pct"/>
            <w:tcBorders>
              <w:tl2br w:val="nil"/>
              <w:tr2bl w:val="nil"/>
            </w:tcBorders>
            <w:vAlign w:val="center"/>
          </w:tcPr>
          <w:p w14:paraId="523C6742">
            <w:pPr>
              <w:widowControl/>
              <w:adjustRightInd w:val="0"/>
              <w:snapToGrid w:val="0"/>
              <w:spacing w:before="0" w:beforeLines="0" w:line="240" w:lineRule="auto"/>
              <w:jc w:val="center"/>
              <w:textAlignment w:val="center"/>
              <w:rPr>
                <w:kern w:val="0"/>
                <w:szCs w:val="21"/>
                <w:lang w:bidi="ar"/>
              </w:rPr>
            </w:pPr>
            <w:r>
              <w:rPr>
                <w:kern w:val="0"/>
                <w:szCs w:val="21"/>
                <w:lang w:bidi="ar"/>
              </w:rPr>
              <w:t>正常</w:t>
            </w:r>
          </w:p>
        </w:tc>
        <w:tc>
          <w:tcPr>
            <w:tcW w:w="605" w:type="pct"/>
            <w:tcBorders>
              <w:tl2br w:val="nil"/>
              <w:tr2bl w:val="nil"/>
            </w:tcBorders>
            <w:vAlign w:val="center"/>
          </w:tcPr>
          <w:p w14:paraId="725224D7">
            <w:pPr>
              <w:widowControl/>
              <w:adjustRightInd w:val="0"/>
              <w:snapToGrid w:val="0"/>
              <w:spacing w:before="0" w:beforeLines="0" w:line="240" w:lineRule="auto"/>
              <w:jc w:val="center"/>
              <w:textAlignment w:val="center"/>
              <w:rPr>
                <w:kern w:val="0"/>
                <w:szCs w:val="21"/>
              </w:rPr>
            </w:pPr>
            <w:r>
              <w:rPr>
                <w:kern w:val="0"/>
                <w:szCs w:val="21"/>
                <w:lang w:bidi="ar"/>
              </w:rPr>
              <w:t>0.50</w:t>
            </w:r>
          </w:p>
        </w:tc>
      </w:tr>
      <w:tr w14:paraId="7941CB01">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50" w:hRule="atLeast"/>
          <w:jc w:val="center"/>
        </w:trPr>
        <w:tc>
          <w:tcPr>
            <w:tcW w:w="183" w:type="pct"/>
            <w:tcBorders>
              <w:tl2br w:val="nil"/>
              <w:tr2bl w:val="nil"/>
            </w:tcBorders>
            <w:vAlign w:val="center"/>
          </w:tcPr>
          <w:p w14:paraId="74D3F9D7">
            <w:pPr>
              <w:widowControl/>
              <w:adjustRightInd w:val="0"/>
              <w:snapToGrid w:val="0"/>
              <w:spacing w:before="0" w:beforeLines="0" w:line="240" w:lineRule="auto"/>
              <w:jc w:val="center"/>
              <w:rPr>
                <w:kern w:val="0"/>
                <w:szCs w:val="21"/>
              </w:rPr>
            </w:pPr>
            <w:r>
              <w:rPr>
                <w:kern w:val="0"/>
                <w:szCs w:val="21"/>
              </w:rPr>
              <w:t>3</w:t>
            </w:r>
          </w:p>
        </w:tc>
        <w:tc>
          <w:tcPr>
            <w:tcW w:w="286" w:type="pct"/>
            <w:vMerge w:val="continue"/>
            <w:tcBorders>
              <w:tl2br w:val="nil"/>
              <w:tr2bl w:val="nil"/>
            </w:tcBorders>
            <w:vAlign w:val="center"/>
          </w:tcPr>
          <w:p w14:paraId="032494CF">
            <w:pPr>
              <w:widowControl/>
              <w:adjustRightInd w:val="0"/>
              <w:snapToGrid w:val="0"/>
              <w:spacing w:before="0" w:beforeLines="0" w:line="240" w:lineRule="auto"/>
              <w:jc w:val="center"/>
              <w:rPr>
                <w:kern w:val="0"/>
                <w:szCs w:val="21"/>
              </w:rPr>
            </w:pPr>
          </w:p>
        </w:tc>
        <w:tc>
          <w:tcPr>
            <w:tcW w:w="485" w:type="pct"/>
            <w:tcBorders>
              <w:tl2br w:val="nil"/>
              <w:tr2bl w:val="nil"/>
            </w:tcBorders>
            <w:vAlign w:val="center"/>
          </w:tcPr>
          <w:p w14:paraId="2D6D8BA9">
            <w:pPr>
              <w:widowControl/>
              <w:adjustRightInd w:val="0"/>
              <w:snapToGrid w:val="0"/>
              <w:spacing w:before="0" w:beforeLines="0" w:line="240" w:lineRule="auto"/>
              <w:jc w:val="center"/>
              <w:rPr>
                <w:kern w:val="0"/>
                <w:szCs w:val="21"/>
              </w:rPr>
            </w:pPr>
            <w:r>
              <w:rPr>
                <w:kern w:val="0"/>
                <w:szCs w:val="21"/>
              </w:rPr>
              <w:t>DA003</w:t>
            </w:r>
          </w:p>
        </w:tc>
        <w:tc>
          <w:tcPr>
            <w:tcW w:w="304" w:type="pct"/>
            <w:tcBorders>
              <w:tl2br w:val="nil"/>
              <w:tr2bl w:val="nil"/>
            </w:tcBorders>
            <w:vAlign w:val="center"/>
          </w:tcPr>
          <w:p w14:paraId="5E93B0A8">
            <w:pPr>
              <w:widowControl/>
              <w:adjustRightInd w:val="0"/>
              <w:snapToGrid w:val="0"/>
              <w:spacing w:before="0" w:beforeLines="0" w:line="240" w:lineRule="auto"/>
              <w:jc w:val="center"/>
              <w:rPr>
                <w:kern w:val="0"/>
                <w:szCs w:val="21"/>
              </w:rPr>
            </w:pPr>
            <w:r>
              <w:rPr>
                <w:rFonts w:hint="eastAsia"/>
                <w:kern w:val="0"/>
                <w:szCs w:val="21"/>
              </w:rPr>
              <w:t>-48</w:t>
            </w:r>
          </w:p>
        </w:tc>
        <w:tc>
          <w:tcPr>
            <w:tcW w:w="370" w:type="pct"/>
            <w:tcBorders>
              <w:tl2br w:val="nil"/>
              <w:tr2bl w:val="nil"/>
            </w:tcBorders>
            <w:vAlign w:val="center"/>
          </w:tcPr>
          <w:p w14:paraId="62ECFAD7">
            <w:pPr>
              <w:widowControl/>
              <w:adjustRightInd w:val="0"/>
              <w:snapToGrid w:val="0"/>
              <w:spacing w:before="0" w:beforeLines="0" w:line="240" w:lineRule="auto"/>
              <w:jc w:val="center"/>
              <w:rPr>
                <w:kern w:val="0"/>
                <w:szCs w:val="21"/>
              </w:rPr>
            </w:pPr>
            <w:r>
              <w:rPr>
                <w:rFonts w:hint="eastAsia"/>
                <w:kern w:val="0"/>
                <w:szCs w:val="21"/>
              </w:rPr>
              <w:t>3</w:t>
            </w:r>
          </w:p>
        </w:tc>
        <w:tc>
          <w:tcPr>
            <w:tcW w:w="490" w:type="pct"/>
            <w:tcBorders>
              <w:tl2br w:val="nil"/>
              <w:tr2bl w:val="nil"/>
            </w:tcBorders>
            <w:vAlign w:val="center"/>
          </w:tcPr>
          <w:p w14:paraId="385FF3D5">
            <w:pPr>
              <w:widowControl/>
              <w:adjustRightInd w:val="0"/>
              <w:snapToGrid w:val="0"/>
              <w:spacing w:before="0" w:beforeLines="0" w:line="240" w:lineRule="auto"/>
              <w:jc w:val="center"/>
              <w:rPr>
                <w:kern w:val="0"/>
                <w:szCs w:val="21"/>
              </w:rPr>
            </w:pPr>
            <w:r>
              <w:rPr>
                <w:rFonts w:hint="eastAsia"/>
                <w:kern w:val="0"/>
                <w:szCs w:val="21"/>
              </w:rPr>
              <w:t>295</w:t>
            </w:r>
          </w:p>
        </w:tc>
        <w:tc>
          <w:tcPr>
            <w:tcW w:w="392" w:type="pct"/>
            <w:tcBorders>
              <w:tl2br w:val="nil"/>
              <w:tr2bl w:val="nil"/>
            </w:tcBorders>
            <w:vAlign w:val="center"/>
          </w:tcPr>
          <w:p w14:paraId="5419F12B">
            <w:pPr>
              <w:widowControl/>
              <w:adjustRightInd w:val="0"/>
              <w:snapToGrid w:val="0"/>
              <w:spacing w:before="0" w:beforeLines="0" w:line="240" w:lineRule="auto"/>
              <w:jc w:val="center"/>
              <w:rPr>
                <w:kern w:val="32"/>
                <w:szCs w:val="21"/>
              </w:rPr>
            </w:pPr>
            <w:r>
              <w:rPr>
                <w:rFonts w:hint="eastAsia"/>
                <w:kern w:val="0"/>
                <w:szCs w:val="21"/>
              </w:rPr>
              <w:t>20</w:t>
            </w:r>
          </w:p>
        </w:tc>
        <w:tc>
          <w:tcPr>
            <w:tcW w:w="508" w:type="pct"/>
            <w:tcBorders>
              <w:tl2br w:val="nil"/>
              <w:tr2bl w:val="nil"/>
            </w:tcBorders>
            <w:vAlign w:val="center"/>
          </w:tcPr>
          <w:p w14:paraId="0245E0B5">
            <w:pPr>
              <w:widowControl/>
              <w:adjustRightInd w:val="0"/>
              <w:snapToGrid w:val="0"/>
              <w:spacing w:before="0" w:beforeLines="0" w:line="240" w:lineRule="auto"/>
              <w:jc w:val="center"/>
              <w:rPr>
                <w:kern w:val="32"/>
                <w:szCs w:val="21"/>
              </w:rPr>
            </w:pPr>
            <w:r>
              <w:rPr>
                <w:rFonts w:hint="eastAsia"/>
                <w:kern w:val="0"/>
                <w:szCs w:val="21"/>
              </w:rPr>
              <w:t>1.4</w:t>
            </w:r>
          </w:p>
        </w:tc>
        <w:tc>
          <w:tcPr>
            <w:tcW w:w="274" w:type="pct"/>
            <w:tcBorders>
              <w:tl2br w:val="nil"/>
              <w:tr2bl w:val="nil"/>
            </w:tcBorders>
            <w:vAlign w:val="center"/>
          </w:tcPr>
          <w:p w14:paraId="4DCA2A50">
            <w:pPr>
              <w:widowControl/>
              <w:adjustRightInd w:val="0"/>
              <w:snapToGrid w:val="0"/>
              <w:spacing w:before="0" w:beforeLines="0" w:line="240" w:lineRule="auto"/>
              <w:jc w:val="center"/>
              <w:rPr>
                <w:kern w:val="0"/>
                <w:szCs w:val="21"/>
              </w:rPr>
            </w:pPr>
            <w:r>
              <w:rPr>
                <w:kern w:val="0"/>
                <w:szCs w:val="21"/>
              </w:rPr>
              <w:t>20</w:t>
            </w:r>
          </w:p>
        </w:tc>
        <w:tc>
          <w:tcPr>
            <w:tcW w:w="450" w:type="pct"/>
            <w:tcBorders>
              <w:tl2br w:val="nil"/>
              <w:tr2bl w:val="nil"/>
            </w:tcBorders>
            <w:vAlign w:val="center"/>
          </w:tcPr>
          <w:p w14:paraId="5FC61F7F">
            <w:pPr>
              <w:widowControl/>
              <w:adjustRightInd w:val="0"/>
              <w:snapToGrid w:val="0"/>
              <w:spacing w:before="0" w:beforeLines="0" w:line="240" w:lineRule="auto"/>
              <w:jc w:val="center"/>
              <w:rPr>
                <w:kern w:val="0"/>
                <w:szCs w:val="21"/>
              </w:rPr>
            </w:pPr>
            <w:r>
              <w:rPr>
                <w:kern w:val="0"/>
                <w:szCs w:val="21"/>
              </w:rPr>
              <w:t>7200</w:t>
            </w:r>
          </w:p>
        </w:tc>
        <w:tc>
          <w:tcPr>
            <w:tcW w:w="368" w:type="pct"/>
            <w:tcBorders>
              <w:tl2br w:val="nil"/>
              <w:tr2bl w:val="nil"/>
            </w:tcBorders>
            <w:vAlign w:val="center"/>
          </w:tcPr>
          <w:p w14:paraId="4EB33336">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18.05</w:t>
            </w:r>
          </w:p>
        </w:tc>
        <w:tc>
          <w:tcPr>
            <w:tcW w:w="285" w:type="pct"/>
            <w:tcBorders>
              <w:tl2br w:val="nil"/>
              <w:tr2bl w:val="nil"/>
            </w:tcBorders>
            <w:vAlign w:val="center"/>
          </w:tcPr>
          <w:p w14:paraId="4BC083EB">
            <w:pPr>
              <w:widowControl/>
              <w:adjustRightInd w:val="0"/>
              <w:snapToGrid w:val="0"/>
              <w:spacing w:before="0" w:beforeLines="0" w:line="240" w:lineRule="auto"/>
              <w:jc w:val="center"/>
              <w:textAlignment w:val="center"/>
              <w:rPr>
                <w:kern w:val="0"/>
                <w:szCs w:val="21"/>
                <w:lang w:bidi="ar"/>
              </w:rPr>
            </w:pPr>
            <w:r>
              <w:rPr>
                <w:kern w:val="0"/>
                <w:szCs w:val="21"/>
                <w:lang w:bidi="ar"/>
              </w:rPr>
              <w:t>正常</w:t>
            </w:r>
          </w:p>
        </w:tc>
        <w:tc>
          <w:tcPr>
            <w:tcW w:w="605" w:type="pct"/>
            <w:tcBorders>
              <w:tl2br w:val="nil"/>
              <w:tr2bl w:val="nil"/>
            </w:tcBorders>
            <w:vAlign w:val="center"/>
          </w:tcPr>
          <w:p w14:paraId="3391BE64">
            <w:pPr>
              <w:widowControl/>
              <w:adjustRightInd w:val="0"/>
              <w:snapToGrid w:val="0"/>
              <w:spacing w:before="0" w:beforeLines="0" w:line="240" w:lineRule="auto"/>
              <w:jc w:val="center"/>
              <w:textAlignment w:val="center"/>
              <w:rPr>
                <w:kern w:val="0"/>
                <w:szCs w:val="21"/>
                <w:lang w:bidi="ar"/>
              </w:rPr>
            </w:pPr>
            <w:bookmarkStart w:id="51" w:name="OLE_LINK44"/>
            <w:r>
              <w:rPr>
                <w:rFonts w:hint="eastAsia"/>
                <w:kern w:val="0"/>
                <w:szCs w:val="21"/>
                <w:lang w:bidi="ar"/>
              </w:rPr>
              <w:t>0.64</w:t>
            </w:r>
            <w:bookmarkEnd w:id="51"/>
          </w:p>
        </w:tc>
      </w:tr>
      <w:tr w14:paraId="02D6A0C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50" w:hRule="atLeast"/>
          <w:jc w:val="center"/>
        </w:trPr>
        <w:tc>
          <w:tcPr>
            <w:tcW w:w="183" w:type="pct"/>
            <w:tcBorders>
              <w:tl2br w:val="nil"/>
              <w:tr2bl w:val="nil"/>
            </w:tcBorders>
            <w:vAlign w:val="center"/>
          </w:tcPr>
          <w:p w14:paraId="6C15ECE8">
            <w:pPr>
              <w:widowControl/>
              <w:adjustRightInd w:val="0"/>
              <w:snapToGrid w:val="0"/>
              <w:spacing w:before="0" w:beforeLines="0" w:line="240" w:lineRule="auto"/>
              <w:jc w:val="center"/>
              <w:rPr>
                <w:kern w:val="0"/>
                <w:szCs w:val="21"/>
              </w:rPr>
            </w:pPr>
            <w:r>
              <w:rPr>
                <w:rFonts w:hint="eastAsia"/>
                <w:kern w:val="0"/>
                <w:szCs w:val="21"/>
              </w:rPr>
              <w:t>4</w:t>
            </w:r>
          </w:p>
        </w:tc>
        <w:tc>
          <w:tcPr>
            <w:tcW w:w="286" w:type="pct"/>
            <w:tcBorders>
              <w:tl2br w:val="nil"/>
              <w:tr2bl w:val="nil"/>
            </w:tcBorders>
            <w:vAlign w:val="center"/>
          </w:tcPr>
          <w:p w14:paraId="202E70C0">
            <w:pPr>
              <w:widowControl/>
              <w:adjustRightInd w:val="0"/>
              <w:snapToGrid w:val="0"/>
              <w:spacing w:before="0" w:beforeLines="0" w:line="240" w:lineRule="auto"/>
              <w:jc w:val="center"/>
              <w:rPr>
                <w:kern w:val="0"/>
                <w:szCs w:val="21"/>
              </w:rPr>
            </w:pPr>
            <w:r>
              <w:rPr>
                <w:kern w:val="0"/>
                <w:szCs w:val="21"/>
              </w:rPr>
              <w:t>2#厂区</w:t>
            </w:r>
          </w:p>
        </w:tc>
        <w:tc>
          <w:tcPr>
            <w:tcW w:w="485" w:type="pct"/>
            <w:tcBorders>
              <w:tl2br w:val="nil"/>
              <w:tr2bl w:val="nil"/>
            </w:tcBorders>
            <w:vAlign w:val="center"/>
          </w:tcPr>
          <w:p w14:paraId="30A841F4">
            <w:pPr>
              <w:widowControl/>
              <w:adjustRightInd w:val="0"/>
              <w:snapToGrid w:val="0"/>
              <w:spacing w:before="0" w:beforeLines="0" w:line="240" w:lineRule="auto"/>
              <w:jc w:val="center"/>
              <w:rPr>
                <w:kern w:val="0"/>
                <w:szCs w:val="21"/>
              </w:rPr>
            </w:pPr>
            <w:r>
              <w:rPr>
                <w:kern w:val="0"/>
                <w:szCs w:val="21"/>
              </w:rPr>
              <w:t>DA00</w:t>
            </w:r>
            <w:r>
              <w:rPr>
                <w:rFonts w:hint="eastAsia"/>
                <w:kern w:val="0"/>
                <w:szCs w:val="21"/>
              </w:rPr>
              <w:t>4</w:t>
            </w:r>
          </w:p>
        </w:tc>
        <w:tc>
          <w:tcPr>
            <w:tcW w:w="304" w:type="pct"/>
            <w:tcBorders>
              <w:tl2br w:val="nil"/>
              <w:tr2bl w:val="nil"/>
            </w:tcBorders>
            <w:vAlign w:val="center"/>
          </w:tcPr>
          <w:p w14:paraId="41F6FD11">
            <w:pPr>
              <w:widowControl/>
              <w:adjustRightInd w:val="0"/>
              <w:snapToGrid w:val="0"/>
              <w:spacing w:before="0" w:beforeLines="0" w:line="240" w:lineRule="auto"/>
              <w:jc w:val="center"/>
              <w:rPr>
                <w:kern w:val="0"/>
                <w:szCs w:val="21"/>
              </w:rPr>
            </w:pPr>
            <w:r>
              <w:rPr>
                <w:rFonts w:hint="eastAsia"/>
                <w:kern w:val="0"/>
                <w:szCs w:val="21"/>
              </w:rPr>
              <w:t>260</w:t>
            </w:r>
          </w:p>
        </w:tc>
        <w:tc>
          <w:tcPr>
            <w:tcW w:w="370" w:type="pct"/>
            <w:tcBorders>
              <w:tl2br w:val="nil"/>
              <w:tr2bl w:val="nil"/>
            </w:tcBorders>
            <w:vAlign w:val="center"/>
          </w:tcPr>
          <w:p w14:paraId="3B573D55">
            <w:pPr>
              <w:widowControl/>
              <w:adjustRightInd w:val="0"/>
              <w:snapToGrid w:val="0"/>
              <w:spacing w:before="0" w:beforeLines="0" w:line="240" w:lineRule="auto"/>
              <w:jc w:val="center"/>
              <w:rPr>
                <w:kern w:val="0"/>
                <w:szCs w:val="21"/>
              </w:rPr>
            </w:pPr>
            <w:r>
              <w:rPr>
                <w:rFonts w:hint="eastAsia"/>
                <w:kern w:val="0"/>
                <w:szCs w:val="21"/>
              </w:rPr>
              <w:t>244</w:t>
            </w:r>
          </w:p>
        </w:tc>
        <w:tc>
          <w:tcPr>
            <w:tcW w:w="490" w:type="pct"/>
            <w:tcBorders>
              <w:tl2br w:val="nil"/>
              <w:tr2bl w:val="nil"/>
            </w:tcBorders>
            <w:vAlign w:val="center"/>
          </w:tcPr>
          <w:p w14:paraId="1CD8BCA6">
            <w:pPr>
              <w:widowControl/>
              <w:adjustRightInd w:val="0"/>
              <w:snapToGrid w:val="0"/>
              <w:spacing w:before="0" w:beforeLines="0" w:line="240" w:lineRule="auto"/>
              <w:jc w:val="center"/>
              <w:rPr>
                <w:kern w:val="0"/>
                <w:szCs w:val="21"/>
              </w:rPr>
            </w:pPr>
            <w:r>
              <w:rPr>
                <w:rFonts w:hint="eastAsia"/>
                <w:kern w:val="0"/>
                <w:szCs w:val="21"/>
              </w:rPr>
              <w:t>289</w:t>
            </w:r>
          </w:p>
        </w:tc>
        <w:tc>
          <w:tcPr>
            <w:tcW w:w="392" w:type="pct"/>
            <w:tcBorders>
              <w:tl2br w:val="nil"/>
              <w:tr2bl w:val="nil"/>
            </w:tcBorders>
            <w:vAlign w:val="center"/>
          </w:tcPr>
          <w:p w14:paraId="41C9ECD1">
            <w:pPr>
              <w:widowControl/>
              <w:adjustRightInd w:val="0"/>
              <w:snapToGrid w:val="0"/>
              <w:spacing w:before="0" w:beforeLines="0" w:line="240" w:lineRule="auto"/>
              <w:jc w:val="center"/>
              <w:rPr>
                <w:kern w:val="0"/>
                <w:szCs w:val="21"/>
              </w:rPr>
            </w:pPr>
            <w:r>
              <w:rPr>
                <w:rFonts w:hint="eastAsia"/>
                <w:kern w:val="0"/>
                <w:szCs w:val="21"/>
              </w:rPr>
              <w:t>20</w:t>
            </w:r>
          </w:p>
        </w:tc>
        <w:tc>
          <w:tcPr>
            <w:tcW w:w="508" w:type="pct"/>
            <w:tcBorders>
              <w:tl2br w:val="nil"/>
              <w:tr2bl w:val="nil"/>
            </w:tcBorders>
            <w:vAlign w:val="center"/>
          </w:tcPr>
          <w:p w14:paraId="7A8EF6D2">
            <w:pPr>
              <w:widowControl/>
              <w:adjustRightInd w:val="0"/>
              <w:snapToGrid w:val="0"/>
              <w:spacing w:before="0" w:beforeLines="0" w:line="240" w:lineRule="auto"/>
              <w:jc w:val="center"/>
              <w:rPr>
                <w:kern w:val="0"/>
                <w:szCs w:val="21"/>
              </w:rPr>
            </w:pPr>
            <w:r>
              <w:rPr>
                <w:rFonts w:hint="eastAsia"/>
                <w:kern w:val="0"/>
                <w:szCs w:val="21"/>
              </w:rPr>
              <w:t>1.0</w:t>
            </w:r>
          </w:p>
        </w:tc>
        <w:tc>
          <w:tcPr>
            <w:tcW w:w="274" w:type="pct"/>
            <w:tcBorders>
              <w:tl2br w:val="nil"/>
              <w:tr2bl w:val="nil"/>
            </w:tcBorders>
            <w:vAlign w:val="center"/>
          </w:tcPr>
          <w:p w14:paraId="599FE1E1">
            <w:pPr>
              <w:widowControl/>
              <w:adjustRightInd w:val="0"/>
              <w:snapToGrid w:val="0"/>
              <w:spacing w:before="0" w:beforeLines="0" w:line="240" w:lineRule="auto"/>
              <w:jc w:val="center"/>
              <w:rPr>
                <w:kern w:val="0"/>
                <w:szCs w:val="21"/>
              </w:rPr>
            </w:pPr>
            <w:r>
              <w:rPr>
                <w:kern w:val="0"/>
                <w:szCs w:val="21"/>
              </w:rPr>
              <w:t>20</w:t>
            </w:r>
          </w:p>
        </w:tc>
        <w:tc>
          <w:tcPr>
            <w:tcW w:w="450" w:type="pct"/>
            <w:tcBorders>
              <w:tl2br w:val="nil"/>
              <w:tr2bl w:val="nil"/>
            </w:tcBorders>
            <w:vAlign w:val="center"/>
          </w:tcPr>
          <w:p w14:paraId="65A95DDC">
            <w:pPr>
              <w:widowControl/>
              <w:adjustRightInd w:val="0"/>
              <w:snapToGrid w:val="0"/>
              <w:spacing w:before="0" w:beforeLines="0" w:line="240" w:lineRule="auto"/>
              <w:jc w:val="center"/>
              <w:rPr>
                <w:kern w:val="0"/>
                <w:szCs w:val="21"/>
              </w:rPr>
            </w:pPr>
            <w:r>
              <w:rPr>
                <w:kern w:val="0"/>
                <w:szCs w:val="21"/>
              </w:rPr>
              <w:t>7200</w:t>
            </w:r>
          </w:p>
        </w:tc>
        <w:tc>
          <w:tcPr>
            <w:tcW w:w="368" w:type="pct"/>
            <w:tcBorders>
              <w:tl2br w:val="nil"/>
              <w:tr2bl w:val="nil"/>
            </w:tcBorders>
            <w:vAlign w:val="center"/>
          </w:tcPr>
          <w:p w14:paraId="2D82BB0E">
            <w:pPr>
              <w:widowControl/>
              <w:adjustRightInd w:val="0"/>
              <w:snapToGrid w:val="0"/>
              <w:spacing w:before="0" w:beforeLines="0" w:line="240" w:lineRule="auto"/>
              <w:jc w:val="center"/>
              <w:textAlignment w:val="center"/>
              <w:rPr>
                <w:kern w:val="0"/>
                <w:szCs w:val="21"/>
              </w:rPr>
            </w:pPr>
            <w:r>
              <w:rPr>
                <w:kern w:val="0"/>
                <w:szCs w:val="21"/>
                <w:lang w:bidi="ar"/>
              </w:rPr>
              <w:t>14.15</w:t>
            </w:r>
          </w:p>
        </w:tc>
        <w:tc>
          <w:tcPr>
            <w:tcW w:w="285" w:type="pct"/>
            <w:tcBorders>
              <w:tl2br w:val="nil"/>
              <w:tr2bl w:val="nil"/>
            </w:tcBorders>
            <w:vAlign w:val="center"/>
          </w:tcPr>
          <w:p w14:paraId="0B4EE4C7">
            <w:pPr>
              <w:widowControl/>
              <w:adjustRightInd w:val="0"/>
              <w:snapToGrid w:val="0"/>
              <w:spacing w:before="0" w:beforeLines="0" w:line="240" w:lineRule="auto"/>
              <w:jc w:val="center"/>
              <w:textAlignment w:val="center"/>
              <w:rPr>
                <w:kern w:val="0"/>
                <w:szCs w:val="21"/>
                <w:lang w:bidi="ar"/>
              </w:rPr>
            </w:pPr>
            <w:r>
              <w:rPr>
                <w:kern w:val="0"/>
                <w:szCs w:val="21"/>
                <w:lang w:bidi="ar"/>
              </w:rPr>
              <w:t>正常</w:t>
            </w:r>
          </w:p>
        </w:tc>
        <w:tc>
          <w:tcPr>
            <w:tcW w:w="605" w:type="pct"/>
            <w:tcBorders>
              <w:tl2br w:val="nil"/>
              <w:tr2bl w:val="nil"/>
            </w:tcBorders>
            <w:vAlign w:val="center"/>
          </w:tcPr>
          <w:p w14:paraId="6CAB4DDA">
            <w:pPr>
              <w:widowControl/>
              <w:adjustRightInd w:val="0"/>
              <w:snapToGrid w:val="0"/>
              <w:spacing w:before="0" w:beforeLines="0" w:line="240" w:lineRule="auto"/>
              <w:jc w:val="center"/>
              <w:textAlignment w:val="center"/>
              <w:rPr>
                <w:kern w:val="0"/>
                <w:szCs w:val="21"/>
              </w:rPr>
            </w:pPr>
            <w:r>
              <w:rPr>
                <w:kern w:val="0"/>
                <w:szCs w:val="21"/>
                <w:lang w:bidi="ar"/>
              </w:rPr>
              <w:t>0.23</w:t>
            </w:r>
          </w:p>
        </w:tc>
      </w:tr>
      <w:bookmarkEnd w:id="48"/>
    </w:tbl>
    <w:p w14:paraId="66FB2D02">
      <w:pPr>
        <w:pStyle w:val="143"/>
        <w:spacing w:before="156"/>
        <w:rPr>
          <w:b/>
          <w:bCs w:val="0"/>
        </w:rPr>
      </w:pPr>
      <w:bookmarkStart w:id="52" w:name="_Hlk193797859"/>
    </w:p>
    <w:p w14:paraId="331B89C8">
      <w:pPr>
        <w:pStyle w:val="143"/>
        <w:spacing w:before="156"/>
        <w:rPr>
          <w:b/>
          <w:bCs w:val="0"/>
        </w:rPr>
      </w:pPr>
      <w:r>
        <w:rPr>
          <w:b/>
          <w:bCs w:val="0"/>
        </w:rPr>
        <w:t>表2.4-2  项目正常排放面源污染物</w:t>
      </w:r>
      <w:r>
        <w:rPr>
          <w:rFonts w:hint="eastAsia"/>
          <w:b/>
          <w:bCs w:val="0"/>
        </w:rPr>
        <w:t>TSP</w:t>
      </w:r>
      <w:r>
        <w:rPr>
          <w:b/>
          <w:bCs w:val="0"/>
        </w:rPr>
        <w:t>排放情况一览表</w:t>
      </w:r>
    </w:p>
    <w:tbl>
      <w:tblPr>
        <w:tblStyle w:val="89"/>
        <w:tblW w:w="500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28" w:type="dxa"/>
          <w:bottom w:w="0" w:type="dxa"/>
          <w:right w:w="28" w:type="dxa"/>
        </w:tblCellMar>
      </w:tblPr>
      <w:tblGrid>
        <w:gridCol w:w="283"/>
        <w:gridCol w:w="904"/>
        <w:gridCol w:w="454"/>
        <w:gridCol w:w="708"/>
        <w:gridCol w:w="652"/>
        <w:gridCol w:w="898"/>
        <w:gridCol w:w="579"/>
        <w:gridCol w:w="633"/>
        <w:gridCol w:w="828"/>
        <w:gridCol w:w="545"/>
        <w:gridCol w:w="633"/>
        <w:gridCol w:w="1195"/>
      </w:tblGrid>
      <w:tr w14:paraId="51BD426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5" w:hRule="atLeast"/>
        </w:trPr>
        <w:tc>
          <w:tcPr>
            <w:tcW w:w="170" w:type="pct"/>
            <w:vMerge w:val="restart"/>
            <w:tcBorders>
              <w:tl2br w:val="nil"/>
              <w:tr2bl w:val="nil"/>
            </w:tcBorders>
            <w:vAlign w:val="center"/>
          </w:tcPr>
          <w:p w14:paraId="605AE087">
            <w:pPr>
              <w:widowControl/>
              <w:adjustRightInd w:val="0"/>
              <w:snapToGrid w:val="0"/>
              <w:spacing w:before="0" w:beforeLines="0" w:line="240" w:lineRule="auto"/>
              <w:jc w:val="center"/>
              <w:rPr>
                <w:kern w:val="0"/>
                <w:szCs w:val="21"/>
              </w:rPr>
            </w:pPr>
            <w:r>
              <w:rPr>
                <w:kern w:val="0"/>
                <w:szCs w:val="21"/>
              </w:rPr>
              <w:t>编 号</w:t>
            </w:r>
          </w:p>
        </w:tc>
        <w:tc>
          <w:tcPr>
            <w:tcW w:w="544" w:type="pct"/>
            <w:vMerge w:val="restart"/>
            <w:tcBorders>
              <w:tl2br w:val="nil"/>
              <w:tr2bl w:val="nil"/>
            </w:tcBorders>
            <w:vAlign w:val="center"/>
          </w:tcPr>
          <w:p w14:paraId="19647C9A">
            <w:pPr>
              <w:widowControl/>
              <w:adjustRightInd w:val="0"/>
              <w:snapToGrid w:val="0"/>
              <w:spacing w:before="0" w:beforeLines="0" w:line="240" w:lineRule="auto"/>
              <w:jc w:val="center"/>
              <w:rPr>
                <w:kern w:val="0"/>
                <w:szCs w:val="21"/>
              </w:rPr>
            </w:pPr>
            <w:r>
              <w:rPr>
                <w:kern w:val="0"/>
                <w:szCs w:val="21"/>
              </w:rPr>
              <w:t>名称</w:t>
            </w:r>
          </w:p>
        </w:tc>
        <w:tc>
          <w:tcPr>
            <w:tcW w:w="699" w:type="pct"/>
            <w:gridSpan w:val="2"/>
            <w:tcBorders>
              <w:tl2br w:val="nil"/>
              <w:tr2bl w:val="nil"/>
            </w:tcBorders>
            <w:vAlign w:val="center"/>
          </w:tcPr>
          <w:p w14:paraId="3F0CE674">
            <w:pPr>
              <w:widowControl/>
              <w:adjustRightInd w:val="0"/>
              <w:snapToGrid w:val="0"/>
              <w:spacing w:before="0" w:beforeLines="0" w:line="240" w:lineRule="auto"/>
              <w:jc w:val="center"/>
              <w:rPr>
                <w:kern w:val="0"/>
                <w:szCs w:val="21"/>
              </w:rPr>
            </w:pPr>
            <w:r>
              <w:rPr>
                <w:kern w:val="0"/>
                <w:szCs w:val="21"/>
              </w:rPr>
              <w:t>面源起点坐标/m</w:t>
            </w:r>
          </w:p>
        </w:tc>
        <w:tc>
          <w:tcPr>
            <w:tcW w:w="392" w:type="pct"/>
            <w:vMerge w:val="restart"/>
            <w:tcBorders>
              <w:tl2br w:val="nil"/>
              <w:tr2bl w:val="nil"/>
            </w:tcBorders>
            <w:vAlign w:val="center"/>
          </w:tcPr>
          <w:p w14:paraId="6CF1C70E">
            <w:pPr>
              <w:widowControl/>
              <w:adjustRightInd w:val="0"/>
              <w:snapToGrid w:val="0"/>
              <w:spacing w:before="0" w:beforeLines="0" w:line="240" w:lineRule="auto"/>
              <w:jc w:val="center"/>
              <w:rPr>
                <w:kern w:val="0"/>
                <w:szCs w:val="21"/>
              </w:rPr>
            </w:pPr>
            <w:r>
              <w:rPr>
                <w:kern w:val="0"/>
                <w:szCs w:val="21"/>
              </w:rPr>
              <w:t>面源海拔/m</w:t>
            </w:r>
          </w:p>
        </w:tc>
        <w:tc>
          <w:tcPr>
            <w:tcW w:w="540" w:type="pct"/>
            <w:vMerge w:val="restart"/>
            <w:tcBorders>
              <w:tl2br w:val="nil"/>
              <w:tr2bl w:val="nil"/>
            </w:tcBorders>
            <w:vAlign w:val="center"/>
          </w:tcPr>
          <w:p w14:paraId="126E58E7">
            <w:pPr>
              <w:widowControl/>
              <w:adjustRightInd w:val="0"/>
              <w:snapToGrid w:val="0"/>
              <w:spacing w:before="0" w:beforeLines="0" w:line="240" w:lineRule="auto"/>
              <w:jc w:val="center"/>
              <w:rPr>
                <w:kern w:val="0"/>
                <w:szCs w:val="21"/>
              </w:rPr>
            </w:pPr>
            <w:r>
              <w:rPr>
                <w:kern w:val="0"/>
                <w:szCs w:val="21"/>
              </w:rPr>
              <w:t>面源长度/m</w:t>
            </w:r>
          </w:p>
        </w:tc>
        <w:tc>
          <w:tcPr>
            <w:tcW w:w="348" w:type="pct"/>
            <w:vMerge w:val="restart"/>
            <w:tcBorders>
              <w:tl2br w:val="nil"/>
              <w:tr2bl w:val="nil"/>
            </w:tcBorders>
            <w:vAlign w:val="center"/>
          </w:tcPr>
          <w:p w14:paraId="2E55504A">
            <w:pPr>
              <w:widowControl/>
              <w:adjustRightInd w:val="0"/>
              <w:snapToGrid w:val="0"/>
              <w:spacing w:before="0" w:beforeLines="0" w:line="240" w:lineRule="auto"/>
              <w:jc w:val="center"/>
              <w:rPr>
                <w:kern w:val="0"/>
                <w:szCs w:val="21"/>
              </w:rPr>
            </w:pPr>
            <w:r>
              <w:rPr>
                <w:kern w:val="0"/>
                <w:szCs w:val="21"/>
              </w:rPr>
              <w:t>面源宽度/m</w:t>
            </w:r>
          </w:p>
        </w:tc>
        <w:tc>
          <w:tcPr>
            <w:tcW w:w="381" w:type="pct"/>
            <w:vMerge w:val="restart"/>
            <w:tcBorders>
              <w:tl2br w:val="nil"/>
              <w:tr2bl w:val="nil"/>
            </w:tcBorders>
            <w:vAlign w:val="center"/>
          </w:tcPr>
          <w:p w14:paraId="19F5ED78">
            <w:pPr>
              <w:widowControl/>
              <w:adjustRightInd w:val="0"/>
              <w:snapToGrid w:val="0"/>
              <w:spacing w:before="0" w:beforeLines="0" w:line="240" w:lineRule="auto"/>
              <w:jc w:val="center"/>
              <w:rPr>
                <w:kern w:val="0"/>
                <w:szCs w:val="21"/>
              </w:rPr>
            </w:pPr>
            <w:r>
              <w:rPr>
                <w:kern w:val="0"/>
                <w:szCs w:val="21"/>
              </w:rPr>
              <w:t>与正北向 夹角/°</w:t>
            </w:r>
          </w:p>
        </w:tc>
        <w:tc>
          <w:tcPr>
            <w:tcW w:w="498" w:type="pct"/>
            <w:vMerge w:val="restart"/>
            <w:tcBorders>
              <w:tl2br w:val="nil"/>
              <w:tr2bl w:val="nil"/>
            </w:tcBorders>
            <w:vAlign w:val="center"/>
          </w:tcPr>
          <w:p w14:paraId="0AA3CC1F">
            <w:pPr>
              <w:widowControl/>
              <w:adjustRightInd w:val="0"/>
              <w:snapToGrid w:val="0"/>
              <w:spacing w:before="0" w:beforeLines="0" w:line="240" w:lineRule="auto"/>
              <w:jc w:val="center"/>
              <w:rPr>
                <w:kern w:val="0"/>
                <w:szCs w:val="21"/>
              </w:rPr>
            </w:pPr>
            <w:r>
              <w:rPr>
                <w:kern w:val="0"/>
                <w:szCs w:val="21"/>
              </w:rPr>
              <w:t>面源有效排放高度/m</w:t>
            </w:r>
          </w:p>
        </w:tc>
        <w:tc>
          <w:tcPr>
            <w:tcW w:w="328" w:type="pct"/>
            <w:vMerge w:val="restart"/>
            <w:tcBorders>
              <w:tl2br w:val="nil"/>
              <w:tr2bl w:val="nil"/>
            </w:tcBorders>
            <w:vAlign w:val="center"/>
          </w:tcPr>
          <w:p w14:paraId="48DA653A">
            <w:pPr>
              <w:widowControl/>
              <w:adjustRightInd w:val="0"/>
              <w:snapToGrid w:val="0"/>
              <w:spacing w:before="0" w:beforeLines="0" w:line="240" w:lineRule="auto"/>
              <w:jc w:val="center"/>
              <w:rPr>
                <w:kern w:val="0"/>
                <w:szCs w:val="21"/>
              </w:rPr>
            </w:pPr>
            <w:r>
              <w:rPr>
                <w:kern w:val="0"/>
                <w:szCs w:val="21"/>
              </w:rPr>
              <w:t>年排放小时数/h</w:t>
            </w:r>
          </w:p>
        </w:tc>
        <w:tc>
          <w:tcPr>
            <w:tcW w:w="381" w:type="pct"/>
            <w:vMerge w:val="restart"/>
            <w:tcBorders>
              <w:tl2br w:val="nil"/>
              <w:tr2bl w:val="nil"/>
            </w:tcBorders>
            <w:vAlign w:val="center"/>
          </w:tcPr>
          <w:p w14:paraId="7D6A4319">
            <w:pPr>
              <w:widowControl/>
              <w:adjustRightInd w:val="0"/>
              <w:snapToGrid w:val="0"/>
              <w:spacing w:before="0" w:beforeLines="0" w:line="240" w:lineRule="auto"/>
              <w:jc w:val="center"/>
              <w:rPr>
                <w:kern w:val="0"/>
                <w:szCs w:val="21"/>
              </w:rPr>
            </w:pPr>
            <w:r>
              <w:rPr>
                <w:kern w:val="0"/>
                <w:szCs w:val="21"/>
              </w:rPr>
              <w:t>排放</w:t>
            </w:r>
          </w:p>
          <w:p w14:paraId="709D1EE6">
            <w:pPr>
              <w:widowControl/>
              <w:adjustRightInd w:val="0"/>
              <w:snapToGrid w:val="0"/>
              <w:spacing w:before="0" w:beforeLines="0" w:line="240" w:lineRule="auto"/>
              <w:jc w:val="center"/>
              <w:rPr>
                <w:kern w:val="0"/>
                <w:szCs w:val="21"/>
              </w:rPr>
            </w:pPr>
            <w:r>
              <w:rPr>
                <w:kern w:val="0"/>
                <w:szCs w:val="21"/>
              </w:rPr>
              <w:t>工况</w:t>
            </w:r>
          </w:p>
        </w:tc>
        <w:tc>
          <w:tcPr>
            <w:tcW w:w="719" w:type="pct"/>
            <w:tcBorders>
              <w:tl2br w:val="nil"/>
              <w:tr2bl w:val="nil"/>
            </w:tcBorders>
          </w:tcPr>
          <w:p w14:paraId="56B75178">
            <w:pPr>
              <w:widowControl/>
              <w:adjustRightInd w:val="0"/>
              <w:snapToGrid w:val="0"/>
              <w:spacing w:before="0" w:beforeLines="0" w:line="240" w:lineRule="auto"/>
              <w:jc w:val="center"/>
              <w:rPr>
                <w:kern w:val="0"/>
                <w:szCs w:val="21"/>
              </w:rPr>
            </w:pPr>
            <w:r>
              <w:rPr>
                <w:kern w:val="0"/>
                <w:szCs w:val="21"/>
              </w:rPr>
              <w:t>污染物排放速率/(kg/h)</w:t>
            </w:r>
          </w:p>
        </w:tc>
      </w:tr>
      <w:tr w14:paraId="4CF0D99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5" w:hRule="atLeast"/>
        </w:trPr>
        <w:tc>
          <w:tcPr>
            <w:tcW w:w="170" w:type="pct"/>
            <w:vMerge w:val="continue"/>
            <w:tcBorders>
              <w:tl2br w:val="nil"/>
              <w:tr2bl w:val="nil"/>
            </w:tcBorders>
            <w:vAlign w:val="center"/>
          </w:tcPr>
          <w:p w14:paraId="64AA6DFF">
            <w:pPr>
              <w:widowControl/>
              <w:adjustRightInd w:val="0"/>
              <w:snapToGrid w:val="0"/>
              <w:spacing w:before="0" w:beforeLines="0" w:line="240" w:lineRule="auto"/>
              <w:jc w:val="center"/>
              <w:rPr>
                <w:kern w:val="0"/>
                <w:szCs w:val="21"/>
              </w:rPr>
            </w:pPr>
          </w:p>
        </w:tc>
        <w:tc>
          <w:tcPr>
            <w:tcW w:w="544" w:type="pct"/>
            <w:vMerge w:val="continue"/>
            <w:tcBorders>
              <w:tl2br w:val="nil"/>
              <w:tr2bl w:val="nil"/>
            </w:tcBorders>
            <w:vAlign w:val="center"/>
          </w:tcPr>
          <w:p w14:paraId="794AA906">
            <w:pPr>
              <w:widowControl/>
              <w:adjustRightInd w:val="0"/>
              <w:snapToGrid w:val="0"/>
              <w:spacing w:before="0" w:beforeLines="0" w:line="240" w:lineRule="auto"/>
              <w:jc w:val="center"/>
              <w:rPr>
                <w:kern w:val="0"/>
                <w:szCs w:val="21"/>
              </w:rPr>
            </w:pPr>
          </w:p>
        </w:tc>
        <w:tc>
          <w:tcPr>
            <w:tcW w:w="273" w:type="pct"/>
            <w:tcBorders>
              <w:tl2br w:val="nil"/>
              <w:tr2bl w:val="nil"/>
            </w:tcBorders>
            <w:vAlign w:val="center"/>
          </w:tcPr>
          <w:p w14:paraId="40433FC5">
            <w:pPr>
              <w:widowControl/>
              <w:adjustRightInd w:val="0"/>
              <w:snapToGrid w:val="0"/>
              <w:spacing w:before="0" w:beforeLines="0" w:line="240" w:lineRule="auto"/>
              <w:jc w:val="center"/>
              <w:rPr>
                <w:kern w:val="0"/>
                <w:szCs w:val="21"/>
              </w:rPr>
            </w:pPr>
            <w:r>
              <w:rPr>
                <w:kern w:val="0"/>
                <w:szCs w:val="21"/>
              </w:rPr>
              <w:t>X</w:t>
            </w:r>
          </w:p>
        </w:tc>
        <w:tc>
          <w:tcPr>
            <w:tcW w:w="426" w:type="pct"/>
            <w:tcBorders>
              <w:tl2br w:val="nil"/>
              <w:tr2bl w:val="nil"/>
            </w:tcBorders>
            <w:vAlign w:val="center"/>
          </w:tcPr>
          <w:p w14:paraId="6EF23451">
            <w:pPr>
              <w:widowControl/>
              <w:adjustRightInd w:val="0"/>
              <w:snapToGrid w:val="0"/>
              <w:spacing w:before="0" w:beforeLines="0" w:line="240" w:lineRule="auto"/>
              <w:jc w:val="center"/>
              <w:rPr>
                <w:kern w:val="0"/>
                <w:szCs w:val="21"/>
              </w:rPr>
            </w:pPr>
            <w:r>
              <w:rPr>
                <w:kern w:val="0"/>
                <w:szCs w:val="21"/>
              </w:rPr>
              <w:t>Y</w:t>
            </w:r>
          </w:p>
        </w:tc>
        <w:tc>
          <w:tcPr>
            <w:tcW w:w="392" w:type="pct"/>
            <w:vMerge w:val="continue"/>
            <w:tcBorders>
              <w:tl2br w:val="nil"/>
              <w:tr2bl w:val="nil"/>
            </w:tcBorders>
            <w:vAlign w:val="center"/>
          </w:tcPr>
          <w:p w14:paraId="5CCDF9C4">
            <w:pPr>
              <w:widowControl/>
              <w:adjustRightInd w:val="0"/>
              <w:snapToGrid w:val="0"/>
              <w:spacing w:before="0" w:beforeLines="0" w:line="240" w:lineRule="auto"/>
              <w:jc w:val="center"/>
              <w:rPr>
                <w:kern w:val="0"/>
                <w:szCs w:val="21"/>
              </w:rPr>
            </w:pPr>
          </w:p>
        </w:tc>
        <w:tc>
          <w:tcPr>
            <w:tcW w:w="540" w:type="pct"/>
            <w:vMerge w:val="continue"/>
            <w:tcBorders>
              <w:tl2br w:val="nil"/>
              <w:tr2bl w:val="nil"/>
            </w:tcBorders>
            <w:vAlign w:val="center"/>
          </w:tcPr>
          <w:p w14:paraId="64F3B53C">
            <w:pPr>
              <w:widowControl/>
              <w:adjustRightInd w:val="0"/>
              <w:snapToGrid w:val="0"/>
              <w:spacing w:before="0" w:beforeLines="0" w:line="240" w:lineRule="auto"/>
              <w:jc w:val="center"/>
              <w:rPr>
                <w:kern w:val="0"/>
                <w:szCs w:val="21"/>
              </w:rPr>
            </w:pPr>
          </w:p>
        </w:tc>
        <w:tc>
          <w:tcPr>
            <w:tcW w:w="348" w:type="pct"/>
            <w:vMerge w:val="continue"/>
            <w:tcBorders>
              <w:tl2br w:val="nil"/>
              <w:tr2bl w:val="nil"/>
            </w:tcBorders>
            <w:vAlign w:val="center"/>
          </w:tcPr>
          <w:p w14:paraId="747CA140">
            <w:pPr>
              <w:widowControl/>
              <w:adjustRightInd w:val="0"/>
              <w:snapToGrid w:val="0"/>
              <w:spacing w:before="0" w:beforeLines="0" w:line="240" w:lineRule="auto"/>
              <w:jc w:val="center"/>
              <w:rPr>
                <w:kern w:val="0"/>
                <w:szCs w:val="21"/>
              </w:rPr>
            </w:pPr>
          </w:p>
        </w:tc>
        <w:tc>
          <w:tcPr>
            <w:tcW w:w="381" w:type="pct"/>
            <w:vMerge w:val="continue"/>
            <w:tcBorders>
              <w:tl2br w:val="nil"/>
              <w:tr2bl w:val="nil"/>
            </w:tcBorders>
            <w:vAlign w:val="center"/>
          </w:tcPr>
          <w:p w14:paraId="6C430803">
            <w:pPr>
              <w:widowControl/>
              <w:adjustRightInd w:val="0"/>
              <w:snapToGrid w:val="0"/>
              <w:spacing w:before="0" w:beforeLines="0" w:line="240" w:lineRule="auto"/>
              <w:jc w:val="center"/>
              <w:rPr>
                <w:kern w:val="0"/>
                <w:szCs w:val="21"/>
              </w:rPr>
            </w:pPr>
          </w:p>
        </w:tc>
        <w:tc>
          <w:tcPr>
            <w:tcW w:w="498" w:type="pct"/>
            <w:vMerge w:val="continue"/>
            <w:tcBorders>
              <w:tl2br w:val="nil"/>
              <w:tr2bl w:val="nil"/>
            </w:tcBorders>
            <w:vAlign w:val="center"/>
          </w:tcPr>
          <w:p w14:paraId="62974D5B">
            <w:pPr>
              <w:widowControl/>
              <w:adjustRightInd w:val="0"/>
              <w:snapToGrid w:val="0"/>
              <w:spacing w:before="0" w:beforeLines="0" w:line="240" w:lineRule="auto"/>
              <w:jc w:val="center"/>
              <w:rPr>
                <w:kern w:val="0"/>
                <w:szCs w:val="21"/>
              </w:rPr>
            </w:pPr>
          </w:p>
        </w:tc>
        <w:tc>
          <w:tcPr>
            <w:tcW w:w="328" w:type="pct"/>
            <w:vMerge w:val="continue"/>
            <w:tcBorders>
              <w:tl2br w:val="nil"/>
              <w:tr2bl w:val="nil"/>
            </w:tcBorders>
            <w:vAlign w:val="center"/>
          </w:tcPr>
          <w:p w14:paraId="617F760C">
            <w:pPr>
              <w:widowControl/>
              <w:adjustRightInd w:val="0"/>
              <w:snapToGrid w:val="0"/>
              <w:spacing w:before="0" w:beforeLines="0" w:line="240" w:lineRule="auto"/>
              <w:jc w:val="center"/>
              <w:rPr>
                <w:kern w:val="0"/>
                <w:szCs w:val="21"/>
              </w:rPr>
            </w:pPr>
          </w:p>
        </w:tc>
        <w:tc>
          <w:tcPr>
            <w:tcW w:w="381" w:type="pct"/>
            <w:vMerge w:val="continue"/>
            <w:tcBorders>
              <w:tl2br w:val="nil"/>
              <w:tr2bl w:val="nil"/>
            </w:tcBorders>
            <w:vAlign w:val="center"/>
          </w:tcPr>
          <w:p w14:paraId="71E089F7">
            <w:pPr>
              <w:widowControl/>
              <w:adjustRightInd w:val="0"/>
              <w:snapToGrid w:val="0"/>
              <w:spacing w:before="0" w:beforeLines="0" w:line="240" w:lineRule="auto"/>
              <w:jc w:val="center"/>
              <w:rPr>
                <w:kern w:val="0"/>
                <w:szCs w:val="21"/>
              </w:rPr>
            </w:pPr>
          </w:p>
        </w:tc>
        <w:tc>
          <w:tcPr>
            <w:tcW w:w="719" w:type="pct"/>
            <w:tcBorders>
              <w:tl2br w:val="nil"/>
              <w:tr2bl w:val="nil"/>
            </w:tcBorders>
            <w:vAlign w:val="center"/>
          </w:tcPr>
          <w:p w14:paraId="4E19C03E">
            <w:pPr>
              <w:widowControl/>
              <w:adjustRightInd w:val="0"/>
              <w:snapToGrid w:val="0"/>
              <w:spacing w:before="0" w:beforeLines="0" w:line="240" w:lineRule="auto"/>
              <w:jc w:val="center"/>
              <w:rPr>
                <w:kern w:val="0"/>
                <w:szCs w:val="21"/>
              </w:rPr>
            </w:pPr>
            <w:r>
              <w:rPr>
                <w:rFonts w:hint="eastAsia"/>
                <w:kern w:val="0"/>
                <w:szCs w:val="21"/>
              </w:rPr>
              <w:t>T</w:t>
            </w:r>
            <w:r>
              <w:rPr>
                <w:kern w:val="0"/>
                <w:szCs w:val="21"/>
              </w:rPr>
              <w:t>SP</w:t>
            </w:r>
          </w:p>
        </w:tc>
      </w:tr>
      <w:tr w14:paraId="471E817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5" w:hRule="atLeast"/>
        </w:trPr>
        <w:tc>
          <w:tcPr>
            <w:tcW w:w="170" w:type="pct"/>
            <w:tcBorders>
              <w:tl2br w:val="nil"/>
              <w:tr2bl w:val="nil"/>
            </w:tcBorders>
            <w:vAlign w:val="center"/>
          </w:tcPr>
          <w:p w14:paraId="4ED7A814">
            <w:pPr>
              <w:widowControl/>
              <w:adjustRightInd w:val="0"/>
              <w:snapToGrid w:val="0"/>
              <w:spacing w:before="0" w:beforeLines="0" w:line="240" w:lineRule="auto"/>
              <w:jc w:val="center"/>
              <w:rPr>
                <w:kern w:val="0"/>
                <w:szCs w:val="21"/>
              </w:rPr>
            </w:pPr>
            <w:r>
              <w:rPr>
                <w:kern w:val="0"/>
                <w:szCs w:val="21"/>
              </w:rPr>
              <w:t>1</w:t>
            </w:r>
          </w:p>
        </w:tc>
        <w:tc>
          <w:tcPr>
            <w:tcW w:w="544" w:type="pct"/>
            <w:tcBorders>
              <w:tl2br w:val="nil"/>
              <w:tr2bl w:val="nil"/>
            </w:tcBorders>
            <w:vAlign w:val="center"/>
          </w:tcPr>
          <w:p w14:paraId="4257F2A3">
            <w:pPr>
              <w:widowControl/>
              <w:adjustRightInd w:val="0"/>
              <w:snapToGrid w:val="0"/>
              <w:spacing w:before="0" w:beforeLines="0" w:line="240" w:lineRule="auto"/>
              <w:jc w:val="center"/>
              <w:rPr>
                <w:kern w:val="0"/>
                <w:szCs w:val="21"/>
              </w:rPr>
            </w:pPr>
            <w:bookmarkStart w:id="53" w:name="OLE_LINK90"/>
            <w:bookmarkStart w:id="54" w:name="OLE_LINK88"/>
            <w:bookmarkStart w:id="55" w:name="OLE_LINK91"/>
            <w:r>
              <w:rPr>
                <w:rFonts w:hint="eastAsia"/>
                <w:kern w:val="0"/>
                <w:szCs w:val="21"/>
              </w:rPr>
              <w:t>抛砂车间</w:t>
            </w:r>
            <w:bookmarkEnd w:id="53"/>
            <w:bookmarkEnd w:id="54"/>
            <w:bookmarkEnd w:id="55"/>
          </w:p>
        </w:tc>
        <w:tc>
          <w:tcPr>
            <w:tcW w:w="273" w:type="pct"/>
            <w:tcBorders>
              <w:tl2br w:val="nil"/>
              <w:tr2bl w:val="nil"/>
            </w:tcBorders>
            <w:vAlign w:val="center"/>
          </w:tcPr>
          <w:p w14:paraId="43043C38">
            <w:pPr>
              <w:widowControl/>
              <w:adjustRightInd w:val="0"/>
              <w:snapToGrid w:val="0"/>
              <w:spacing w:before="0" w:beforeLines="0" w:line="240" w:lineRule="auto"/>
              <w:jc w:val="center"/>
              <w:rPr>
                <w:kern w:val="0"/>
                <w:szCs w:val="21"/>
              </w:rPr>
            </w:pPr>
            <w:r>
              <w:rPr>
                <w:rFonts w:hint="eastAsia"/>
                <w:kern w:val="0"/>
                <w:szCs w:val="21"/>
              </w:rPr>
              <w:t>-3</w:t>
            </w:r>
          </w:p>
        </w:tc>
        <w:tc>
          <w:tcPr>
            <w:tcW w:w="426" w:type="pct"/>
            <w:tcBorders>
              <w:tl2br w:val="nil"/>
              <w:tr2bl w:val="nil"/>
            </w:tcBorders>
            <w:vAlign w:val="center"/>
          </w:tcPr>
          <w:p w14:paraId="1487047E">
            <w:pPr>
              <w:widowControl/>
              <w:adjustRightInd w:val="0"/>
              <w:snapToGrid w:val="0"/>
              <w:spacing w:before="0" w:beforeLines="0" w:line="240" w:lineRule="auto"/>
              <w:jc w:val="center"/>
              <w:rPr>
                <w:kern w:val="0"/>
                <w:szCs w:val="21"/>
              </w:rPr>
            </w:pPr>
            <w:r>
              <w:rPr>
                <w:rFonts w:hint="eastAsia"/>
                <w:kern w:val="0"/>
                <w:szCs w:val="21"/>
              </w:rPr>
              <w:t>31</w:t>
            </w:r>
          </w:p>
        </w:tc>
        <w:tc>
          <w:tcPr>
            <w:tcW w:w="392" w:type="pct"/>
            <w:tcBorders>
              <w:tl2br w:val="nil"/>
              <w:tr2bl w:val="nil"/>
            </w:tcBorders>
            <w:vAlign w:val="center"/>
          </w:tcPr>
          <w:p w14:paraId="1AC40894">
            <w:pPr>
              <w:widowControl/>
              <w:adjustRightInd w:val="0"/>
              <w:snapToGrid w:val="0"/>
              <w:spacing w:before="0" w:beforeLines="0" w:line="240" w:lineRule="auto"/>
              <w:jc w:val="center"/>
              <w:rPr>
                <w:kern w:val="0"/>
                <w:szCs w:val="21"/>
              </w:rPr>
            </w:pPr>
            <w:r>
              <w:rPr>
                <w:kern w:val="0"/>
                <w:szCs w:val="21"/>
              </w:rPr>
              <w:t>29</w:t>
            </w:r>
            <w:r>
              <w:rPr>
                <w:rFonts w:hint="eastAsia"/>
                <w:kern w:val="0"/>
                <w:szCs w:val="21"/>
              </w:rPr>
              <w:t>7</w:t>
            </w:r>
          </w:p>
        </w:tc>
        <w:tc>
          <w:tcPr>
            <w:tcW w:w="540" w:type="pct"/>
            <w:tcBorders>
              <w:tl2br w:val="nil"/>
              <w:tr2bl w:val="nil"/>
            </w:tcBorders>
            <w:vAlign w:val="center"/>
          </w:tcPr>
          <w:p w14:paraId="6D89CF15">
            <w:pPr>
              <w:widowControl/>
              <w:adjustRightInd w:val="0"/>
              <w:snapToGrid w:val="0"/>
              <w:spacing w:before="0" w:beforeLines="0" w:line="240" w:lineRule="auto"/>
              <w:jc w:val="center"/>
              <w:rPr>
                <w:kern w:val="0"/>
                <w:szCs w:val="21"/>
              </w:rPr>
            </w:pPr>
            <w:r>
              <w:rPr>
                <w:kern w:val="0"/>
                <w:szCs w:val="21"/>
              </w:rPr>
              <w:t>115</w:t>
            </w:r>
          </w:p>
        </w:tc>
        <w:tc>
          <w:tcPr>
            <w:tcW w:w="348" w:type="pct"/>
            <w:tcBorders>
              <w:tl2br w:val="nil"/>
              <w:tr2bl w:val="nil"/>
            </w:tcBorders>
            <w:vAlign w:val="center"/>
          </w:tcPr>
          <w:p w14:paraId="5ADA571B">
            <w:pPr>
              <w:widowControl/>
              <w:adjustRightInd w:val="0"/>
              <w:snapToGrid w:val="0"/>
              <w:spacing w:before="0" w:beforeLines="0" w:line="240" w:lineRule="auto"/>
              <w:jc w:val="center"/>
              <w:rPr>
                <w:kern w:val="0"/>
                <w:szCs w:val="21"/>
              </w:rPr>
            </w:pPr>
            <w:r>
              <w:rPr>
                <w:kern w:val="0"/>
                <w:szCs w:val="21"/>
              </w:rPr>
              <w:t>52</w:t>
            </w:r>
          </w:p>
        </w:tc>
        <w:tc>
          <w:tcPr>
            <w:tcW w:w="381" w:type="pct"/>
            <w:tcBorders>
              <w:tl2br w:val="nil"/>
              <w:tr2bl w:val="nil"/>
            </w:tcBorders>
            <w:vAlign w:val="center"/>
          </w:tcPr>
          <w:p w14:paraId="054C9807">
            <w:pPr>
              <w:widowControl/>
              <w:adjustRightInd w:val="0"/>
              <w:snapToGrid w:val="0"/>
              <w:spacing w:before="0" w:beforeLines="0" w:line="240" w:lineRule="auto"/>
              <w:jc w:val="center"/>
              <w:rPr>
                <w:kern w:val="0"/>
                <w:szCs w:val="21"/>
              </w:rPr>
            </w:pPr>
            <w:r>
              <w:rPr>
                <w:kern w:val="0"/>
                <w:szCs w:val="21"/>
              </w:rPr>
              <w:t>90</w:t>
            </w:r>
          </w:p>
        </w:tc>
        <w:tc>
          <w:tcPr>
            <w:tcW w:w="498" w:type="pct"/>
            <w:tcBorders>
              <w:tl2br w:val="nil"/>
              <w:tr2bl w:val="nil"/>
            </w:tcBorders>
            <w:vAlign w:val="center"/>
          </w:tcPr>
          <w:p w14:paraId="667109A0">
            <w:pPr>
              <w:widowControl/>
              <w:adjustRightInd w:val="0"/>
              <w:snapToGrid w:val="0"/>
              <w:spacing w:before="0" w:beforeLines="0" w:line="240" w:lineRule="auto"/>
              <w:jc w:val="center"/>
              <w:rPr>
                <w:kern w:val="0"/>
                <w:szCs w:val="21"/>
              </w:rPr>
            </w:pPr>
            <w:r>
              <w:rPr>
                <w:kern w:val="0"/>
                <w:szCs w:val="21"/>
              </w:rPr>
              <w:t>12</w:t>
            </w:r>
          </w:p>
        </w:tc>
        <w:tc>
          <w:tcPr>
            <w:tcW w:w="328" w:type="pct"/>
            <w:tcBorders>
              <w:tl2br w:val="nil"/>
              <w:tr2bl w:val="nil"/>
            </w:tcBorders>
            <w:vAlign w:val="center"/>
          </w:tcPr>
          <w:p w14:paraId="198B2B19">
            <w:pPr>
              <w:widowControl/>
              <w:adjustRightInd w:val="0"/>
              <w:snapToGrid w:val="0"/>
              <w:spacing w:before="0" w:beforeLines="0" w:line="240" w:lineRule="auto"/>
              <w:jc w:val="center"/>
              <w:rPr>
                <w:kern w:val="0"/>
                <w:szCs w:val="21"/>
              </w:rPr>
            </w:pPr>
            <w:r>
              <w:rPr>
                <w:kern w:val="0"/>
                <w:szCs w:val="21"/>
              </w:rPr>
              <w:t>7200</w:t>
            </w:r>
          </w:p>
        </w:tc>
        <w:tc>
          <w:tcPr>
            <w:tcW w:w="381" w:type="pct"/>
            <w:tcBorders>
              <w:tl2br w:val="nil"/>
              <w:tr2bl w:val="nil"/>
            </w:tcBorders>
            <w:vAlign w:val="center"/>
          </w:tcPr>
          <w:p w14:paraId="0B012E1C">
            <w:pPr>
              <w:widowControl/>
              <w:adjustRightInd w:val="0"/>
              <w:snapToGrid w:val="0"/>
              <w:spacing w:before="0" w:beforeLines="0" w:line="240" w:lineRule="auto"/>
              <w:jc w:val="center"/>
              <w:textAlignment w:val="center"/>
              <w:rPr>
                <w:kern w:val="0"/>
                <w:szCs w:val="21"/>
                <w:lang w:bidi="ar"/>
              </w:rPr>
            </w:pPr>
            <w:r>
              <w:rPr>
                <w:kern w:val="0"/>
                <w:szCs w:val="21"/>
                <w:lang w:bidi="ar"/>
              </w:rPr>
              <w:t>正常</w:t>
            </w:r>
          </w:p>
        </w:tc>
        <w:tc>
          <w:tcPr>
            <w:tcW w:w="719" w:type="pct"/>
            <w:tcBorders>
              <w:tl2br w:val="nil"/>
              <w:tr2bl w:val="nil"/>
            </w:tcBorders>
            <w:vAlign w:val="center"/>
          </w:tcPr>
          <w:p w14:paraId="47529B59">
            <w:pPr>
              <w:widowControl/>
              <w:adjustRightInd w:val="0"/>
              <w:snapToGrid w:val="0"/>
              <w:spacing w:before="0" w:beforeLines="0" w:line="240" w:lineRule="auto"/>
              <w:jc w:val="center"/>
              <w:textAlignment w:val="center"/>
              <w:rPr>
                <w:kern w:val="0"/>
                <w:szCs w:val="21"/>
              </w:rPr>
            </w:pPr>
            <w:r>
              <w:rPr>
                <w:kern w:val="0"/>
                <w:szCs w:val="21"/>
              </w:rPr>
              <w:t>2.03</w:t>
            </w:r>
          </w:p>
        </w:tc>
      </w:tr>
      <w:tr w14:paraId="1261A7F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5" w:hRule="atLeast"/>
        </w:trPr>
        <w:tc>
          <w:tcPr>
            <w:tcW w:w="170" w:type="pct"/>
            <w:tcBorders>
              <w:tl2br w:val="nil"/>
              <w:tr2bl w:val="nil"/>
            </w:tcBorders>
            <w:vAlign w:val="center"/>
          </w:tcPr>
          <w:p w14:paraId="785AA8A5">
            <w:pPr>
              <w:widowControl/>
              <w:adjustRightInd w:val="0"/>
              <w:snapToGrid w:val="0"/>
              <w:spacing w:before="0" w:beforeLines="0" w:line="240" w:lineRule="auto"/>
              <w:jc w:val="center"/>
              <w:rPr>
                <w:kern w:val="0"/>
                <w:szCs w:val="21"/>
              </w:rPr>
            </w:pPr>
            <w:r>
              <w:rPr>
                <w:rFonts w:hint="eastAsia"/>
                <w:kern w:val="0"/>
                <w:szCs w:val="21"/>
              </w:rPr>
              <w:t>2</w:t>
            </w:r>
          </w:p>
        </w:tc>
        <w:tc>
          <w:tcPr>
            <w:tcW w:w="544" w:type="pct"/>
            <w:tcBorders>
              <w:tl2br w:val="nil"/>
              <w:tr2bl w:val="nil"/>
            </w:tcBorders>
            <w:vAlign w:val="center"/>
          </w:tcPr>
          <w:p w14:paraId="4904B508">
            <w:pPr>
              <w:widowControl/>
              <w:adjustRightInd w:val="0"/>
              <w:snapToGrid w:val="0"/>
              <w:spacing w:before="0" w:beforeLines="0" w:line="240" w:lineRule="auto"/>
              <w:jc w:val="center"/>
              <w:rPr>
                <w:kern w:val="0"/>
                <w:szCs w:val="21"/>
              </w:rPr>
            </w:pPr>
            <w:bookmarkStart w:id="56" w:name="OLE_LINK89"/>
            <w:r>
              <w:rPr>
                <w:rFonts w:hint="eastAsia"/>
                <w:kern w:val="0"/>
                <w:szCs w:val="21"/>
              </w:rPr>
              <w:t>机制砂库</w:t>
            </w:r>
            <w:bookmarkEnd w:id="56"/>
          </w:p>
        </w:tc>
        <w:tc>
          <w:tcPr>
            <w:tcW w:w="273" w:type="pct"/>
            <w:tcBorders>
              <w:tl2br w:val="nil"/>
              <w:tr2bl w:val="nil"/>
            </w:tcBorders>
            <w:vAlign w:val="center"/>
          </w:tcPr>
          <w:p w14:paraId="54A1CDBF">
            <w:pPr>
              <w:widowControl/>
              <w:adjustRightInd w:val="0"/>
              <w:snapToGrid w:val="0"/>
              <w:spacing w:before="0" w:beforeLines="0" w:line="240" w:lineRule="auto"/>
              <w:jc w:val="center"/>
              <w:rPr>
                <w:kern w:val="0"/>
                <w:szCs w:val="21"/>
              </w:rPr>
            </w:pPr>
            <w:r>
              <w:rPr>
                <w:rFonts w:hint="eastAsia"/>
                <w:kern w:val="0"/>
                <w:szCs w:val="21"/>
              </w:rPr>
              <w:t>16</w:t>
            </w:r>
          </w:p>
        </w:tc>
        <w:tc>
          <w:tcPr>
            <w:tcW w:w="426" w:type="pct"/>
            <w:tcBorders>
              <w:tl2br w:val="nil"/>
              <w:tr2bl w:val="nil"/>
            </w:tcBorders>
            <w:vAlign w:val="center"/>
          </w:tcPr>
          <w:p w14:paraId="5E5EEA0F">
            <w:pPr>
              <w:widowControl/>
              <w:adjustRightInd w:val="0"/>
              <w:snapToGrid w:val="0"/>
              <w:spacing w:before="0" w:beforeLines="0" w:line="240" w:lineRule="auto"/>
              <w:jc w:val="center"/>
              <w:rPr>
                <w:kern w:val="0"/>
                <w:szCs w:val="21"/>
              </w:rPr>
            </w:pPr>
            <w:r>
              <w:rPr>
                <w:rFonts w:hint="eastAsia"/>
                <w:kern w:val="0"/>
                <w:szCs w:val="21"/>
              </w:rPr>
              <w:t>-17</w:t>
            </w:r>
          </w:p>
        </w:tc>
        <w:tc>
          <w:tcPr>
            <w:tcW w:w="392" w:type="pct"/>
            <w:tcBorders>
              <w:tl2br w:val="nil"/>
              <w:tr2bl w:val="nil"/>
            </w:tcBorders>
            <w:vAlign w:val="center"/>
          </w:tcPr>
          <w:p w14:paraId="7A461AD6">
            <w:pPr>
              <w:widowControl/>
              <w:adjustRightInd w:val="0"/>
              <w:snapToGrid w:val="0"/>
              <w:spacing w:before="0" w:beforeLines="0" w:line="240" w:lineRule="auto"/>
              <w:jc w:val="center"/>
              <w:rPr>
                <w:kern w:val="0"/>
                <w:szCs w:val="21"/>
              </w:rPr>
            </w:pPr>
            <w:r>
              <w:rPr>
                <w:kern w:val="0"/>
                <w:szCs w:val="21"/>
              </w:rPr>
              <w:t>295</w:t>
            </w:r>
          </w:p>
        </w:tc>
        <w:tc>
          <w:tcPr>
            <w:tcW w:w="540" w:type="pct"/>
            <w:tcBorders>
              <w:tl2br w:val="nil"/>
              <w:tr2bl w:val="nil"/>
            </w:tcBorders>
            <w:vAlign w:val="center"/>
          </w:tcPr>
          <w:p w14:paraId="6E807854">
            <w:pPr>
              <w:widowControl/>
              <w:adjustRightInd w:val="0"/>
              <w:snapToGrid w:val="0"/>
              <w:spacing w:before="0" w:beforeLines="0" w:line="240" w:lineRule="auto"/>
              <w:jc w:val="center"/>
              <w:rPr>
                <w:kern w:val="0"/>
                <w:szCs w:val="21"/>
              </w:rPr>
            </w:pPr>
            <w:r>
              <w:rPr>
                <w:kern w:val="0"/>
                <w:szCs w:val="21"/>
              </w:rPr>
              <w:t>60</w:t>
            </w:r>
          </w:p>
        </w:tc>
        <w:tc>
          <w:tcPr>
            <w:tcW w:w="348" w:type="pct"/>
            <w:tcBorders>
              <w:tl2br w:val="nil"/>
              <w:tr2bl w:val="nil"/>
            </w:tcBorders>
            <w:vAlign w:val="center"/>
          </w:tcPr>
          <w:p w14:paraId="519520A1">
            <w:pPr>
              <w:widowControl/>
              <w:adjustRightInd w:val="0"/>
              <w:snapToGrid w:val="0"/>
              <w:spacing w:before="0" w:beforeLines="0" w:line="240" w:lineRule="auto"/>
              <w:jc w:val="center"/>
              <w:rPr>
                <w:kern w:val="0"/>
                <w:szCs w:val="21"/>
              </w:rPr>
            </w:pPr>
            <w:r>
              <w:rPr>
                <w:kern w:val="0"/>
                <w:szCs w:val="21"/>
              </w:rPr>
              <w:t>25</w:t>
            </w:r>
          </w:p>
        </w:tc>
        <w:tc>
          <w:tcPr>
            <w:tcW w:w="381" w:type="pct"/>
            <w:tcBorders>
              <w:tl2br w:val="nil"/>
              <w:tr2bl w:val="nil"/>
            </w:tcBorders>
            <w:vAlign w:val="center"/>
          </w:tcPr>
          <w:p w14:paraId="6111B2E7">
            <w:pPr>
              <w:widowControl/>
              <w:adjustRightInd w:val="0"/>
              <w:snapToGrid w:val="0"/>
              <w:spacing w:before="0" w:beforeLines="0" w:line="240" w:lineRule="auto"/>
              <w:jc w:val="center"/>
              <w:rPr>
                <w:kern w:val="0"/>
                <w:szCs w:val="21"/>
              </w:rPr>
            </w:pPr>
            <w:r>
              <w:rPr>
                <w:kern w:val="0"/>
                <w:szCs w:val="21"/>
              </w:rPr>
              <w:t>90</w:t>
            </w:r>
          </w:p>
        </w:tc>
        <w:tc>
          <w:tcPr>
            <w:tcW w:w="498" w:type="pct"/>
            <w:tcBorders>
              <w:tl2br w:val="nil"/>
              <w:tr2bl w:val="nil"/>
            </w:tcBorders>
            <w:vAlign w:val="center"/>
          </w:tcPr>
          <w:p w14:paraId="7F092FC4">
            <w:pPr>
              <w:widowControl/>
              <w:adjustRightInd w:val="0"/>
              <w:snapToGrid w:val="0"/>
              <w:spacing w:before="0" w:beforeLines="0" w:line="240" w:lineRule="auto"/>
              <w:jc w:val="center"/>
              <w:rPr>
                <w:kern w:val="0"/>
                <w:szCs w:val="21"/>
              </w:rPr>
            </w:pPr>
            <w:r>
              <w:rPr>
                <w:kern w:val="0"/>
                <w:szCs w:val="21"/>
              </w:rPr>
              <w:t>10</w:t>
            </w:r>
          </w:p>
        </w:tc>
        <w:tc>
          <w:tcPr>
            <w:tcW w:w="328" w:type="pct"/>
            <w:tcBorders>
              <w:tl2br w:val="nil"/>
              <w:tr2bl w:val="nil"/>
            </w:tcBorders>
            <w:vAlign w:val="center"/>
          </w:tcPr>
          <w:p w14:paraId="1E7A68F8">
            <w:pPr>
              <w:widowControl/>
              <w:adjustRightInd w:val="0"/>
              <w:snapToGrid w:val="0"/>
              <w:spacing w:before="0" w:beforeLines="0" w:line="240" w:lineRule="auto"/>
              <w:jc w:val="center"/>
              <w:rPr>
                <w:kern w:val="0"/>
                <w:szCs w:val="21"/>
              </w:rPr>
            </w:pPr>
            <w:r>
              <w:rPr>
                <w:kern w:val="0"/>
                <w:szCs w:val="21"/>
              </w:rPr>
              <w:t>2000</w:t>
            </w:r>
          </w:p>
        </w:tc>
        <w:tc>
          <w:tcPr>
            <w:tcW w:w="381" w:type="pct"/>
            <w:tcBorders>
              <w:tl2br w:val="nil"/>
              <w:tr2bl w:val="nil"/>
            </w:tcBorders>
            <w:vAlign w:val="center"/>
          </w:tcPr>
          <w:p w14:paraId="5919A1D2">
            <w:pPr>
              <w:widowControl/>
              <w:adjustRightInd w:val="0"/>
              <w:snapToGrid w:val="0"/>
              <w:spacing w:before="0" w:beforeLines="0" w:line="240" w:lineRule="auto"/>
              <w:jc w:val="center"/>
              <w:textAlignment w:val="center"/>
              <w:rPr>
                <w:kern w:val="0"/>
                <w:szCs w:val="21"/>
                <w:lang w:bidi="ar"/>
              </w:rPr>
            </w:pPr>
            <w:r>
              <w:rPr>
                <w:kern w:val="0"/>
                <w:szCs w:val="21"/>
                <w:lang w:bidi="ar"/>
              </w:rPr>
              <w:t>正常</w:t>
            </w:r>
          </w:p>
        </w:tc>
        <w:tc>
          <w:tcPr>
            <w:tcW w:w="719" w:type="pct"/>
            <w:tcBorders>
              <w:tl2br w:val="nil"/>
              <w:tr2bl w:val="nil"/>
            </w:tcBorders>
            <w:vAlign w:val="center"/>
          </w:tcPr>
          <w:p w14:paraId="4761EA2D">
            <w:pPr>
              <w:widowControl/>
              <w:adjustRightInd w:val="0"/>
              <w:snapToGrid w:val="0"/>
              <w:spacing w:before="0" w:beforeLines="0" w:line="240" w:lineRule="auto"/>
              <w:jc w:val="center"/>
              <w:textAlignment w:val="center"/>
              <w:rPr>
                <w:kern w:val="0"/>
                <w:szCs w:val="21"/>
              </w:rPr>
            </w:pPr>
            <w:r>
              <w:rPr>
                <w:kern w:val="0"/>
                <w:szCs w:val="21"/>
              </w:rPr>
              <w:t>1.02</w:t>
            </w:r>
          </w:p>
        </w:tc>
      </w:tr>
      <w:tr w14:paraId="00BFDAE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5" w:hRule="atLeast"/>
        </w:trPr>
        <w:tc>
          <w:tcPr>
            <w:tcW w:w="170" w:type="pct"/>
            <w:vMerge w:val="restart"/>
            <w:tcBorders>
              <w:tl2br w:val="nil"/>
              <w:tr2bl w:val="nil"/>
            </w:tcBorders>
            <w:vAlign w:val="center"/>
          </w:tcPr>
          <w:p w14:paraId="4775DD50">
            <w:pPr>
              <w:widowControl/>
              <w:adjustRightInd w:val="0"/>
              <w:snapToGrid w:val="0"/>
              <w:spacing w:before="0" w:beforeLines="0" w:line="240" w:lineRule="auto"/>
              <w:jc w:val="center"/>
              <w:rPr>
                <w:kern w:val="0"/>
                <w:szCs w:val="21"/>
              </w:rPr>
            </w:pPr>
            <w:r>
              <w:rPr>
                <w:rFonts w:hint="eastAsia"/>
                <w:kern w:val="0"/>
                <w:szCs w:val="21"/>
              </w:rPr>
              <w:t>3</w:t>
            </w:r>
          </w:p>
        </w:tc>
        <w:tc>
          <w:tcPr>
            <w:tcW w:w="544" w:type="pct"/>
            <w:vMerge w:val="restart"/>
            <w:tcBorders>
              <w:tl2br w:val="nil"/>
              <w:tr2bl w:val="nil"/>
            </w:tcBorders>
            <w:vAlign w:val="center"/>
          </w:tcPr>
          <w:p w14:paraId="0FB82872">
            <w:pPr>
              <w:widowControl/>
              <w:adjustRightInd w:val="0"/>
              <w:snapToGrid w:val="0"/>
              <w:spacing w:before="0" w:beforeLines="0" w:line="240" w:lineRule="auto"/>
              <w:jc w:val="center"/>
              <w:rPr>
                <w:szCs w:val="21"/>
              </w:rPr>
            </w:pPr>
            <w:r>
              <w:rPr>
                <w:kern w:val="0"/>
                <w:szCs w:val="21"/>
              </w:rPr>
              <w:t>破碎车间</w:t>
            </w:r>
          </w:p>
        </w:tc>
        <w:tc>
          <w:tcPr>
            <w:tcW w:w="273" w:type="pct"/>
            <w:tcBorders>
              <w:tl2br w:val="nil"/>
              <w:tr2bl w:val="nil"/>
            </w:tcBorders>
          </w:tcPr>
          <w:p w14:paraId="26F463D9">
            <w:pPr>
              <w:widowControl/>
              <w:adjustRightInd w:val="0"/>
              <w:snapToGrid w:val="0"/>
              <w:spacing w:before="0" w:beforeLines="0" w:line="240" w:lineRule="auto"/>
              <w:jc w:val="center"/>
              <w:rPr>
                <w:kern w:val="0"/>
                <w:szCs w:val="21"/>
              </w:rPr>
            </w:pPr>
            <w:r>
              <w:rPr>
                <w:kern w:val="0"/>
                <w:szCs w:val="21"/>
              </w:rPr>
              <w:t>259</w:t>
            </w:r>
          </w:p>
        </w:tc>
        <w:tc>
          <w:tcPr>
            <w:tcW w:w="426" w:type="pct"/>
            <w:tcBorders>
              <w:tl2br w:val="nil"/>
              <w:tr2bl w:val="nil"/>
            </w:tcBorders>
          </w:tcPr>
          <w:p w14:paraId="08A74BC9">
            <w:pPr>
              <w:widowControl/>
              <w:adjustRightInd w:val="0"/>
              <w:snapToGrid w:val="0"/>
              <w:spacing w:before="0" w:beforeLines="0" w:line="240" w:lineRule="auto"/>
              <w:jc w:val="center"/>
              <w:rPr>
                <w:kern w:val="0"/>
                <w:szCs w:val="21"/>
              </w:rPr>
            </w:pPr>
            <w:r>
              <w:rPr>
                <w:kern w:val="0"/>
                <w:szCs w:val="21"/>
              </w:rPr>
              <w:t>205</w:t>
            </w:r>
          </w:p>
        </w:tc>
        <w:tc>
          <w:tcPr>
            <w:tcW w:w="392" w:type="pct"/>
            <w:vMerge w:val="restart"/>
            <w:tcBorders>
              <w:tl2br w:val="nil"/>
              <w:tr2bl w:val="nil"/>
            </w:tcBorders>
            <w:vAlign w:val="center"/>
          </w:tcPr>
          <w:p w14:paraId="15130A3B">
            <w:pPr>
              <w:widowControl/>
              <w:adjustRightInd w:val="0"/>
              <w:snapToGrid w:val="0"/>
              <w:spacing w:before="0" w:beforeLines="0" w:line="240" w:lineRule="auto"/>
              <w:jc w:val="center"/>
              <w:rPr>
                <w:kern w:val="0"/>
                <w:szCs w:val="21"/>
              </w:rPr>
            </w:pPr>
            <w:r>
              <w:rPr>
                <w:kern w:val="0"/>
                <w:szCs w:val="21"/>
              </w:rPr>
              <w:t>208</w:t>
            </w:r>
          </w:p>
        </w:tc>
        <w:tc>
          <w:tcPr>
            <w:tcW w:w="540" w:type="pct"/>
            <w:vMerge w:val="restart"/>
            <w:tcBorders>
              <w:tl2br w:val="nil"/>
              <w:tr2bl w:val="nil"/>
            </w:tcBorders>
            <w:vAlign w:val="center"/>
          </w:tcPr>
          <w:p w14:paraId="167C335B">
            <w:pPr>
              <w:widowControl/>
              <w:adjustRightInd w:val="0"/>
              <w:snapToGrid w:val="0"/>
              <w:spacing w:before="0" w:beforeLines="0" w:line="240" w:lineRule="auto"/>
              <w:jc w:val="center"/>
              <w:rPr>
                <w:kern w:val="0"/>
                <w:szCs w:val="21"/>
              </w:rPr>
            </w:pPr>
            <w:r>
              <w:rPr>
                <w:rFonts w:hint="eastAsia"/>
                <w:kern w:val="0"/>
                <w:szCs w:val="21"/>
              </w:rPr>
              <w:t>/</w:t>
            </w:r>
          </w:p>
        </w:tc>
        <w:tc>
          <w:tcPr>
            <w:tcW w:w="348" w:type="pct"/>
            <w:vMerge w:val="restart"/>
            <w:tcBorders>
              <w:tl2br w:val="nil"/>
              <w:tr2bl w:val="nil"/>
            </w:tcBorders>
            <w:vAlign w:val="center"/>
          </w:tcPr>
          <w:p w14:paraId="35CAED32">
            <w:pPr>
              <w:widowControl/>
              <w:adjustRightInd w:val="0"/>
              <w:snapToGrid w:val="0"/>
              <w:spacing w:before="0" w:beforeLines="0" w:line="240" w:lineRule="auto"/>
              <w:jc w:val="center"/>
              <w:rPr>
                <w:kern w:val="0"/>
                <w:szCs w:val="21"/>
              </w:rPr>
            </w:pPr>
            <w:r>
              <w:rPr>
                <w:rFonts w:hint="eastAsia"/>
                <w:kern w:val="0"/>
                <w:szCs w:val="21"/>
              </w:rPr>
              <w:t>/</w:t>
            </w:r>
          </w:p>
        </w:tc>
        <w:tc>
          <w:tcPr>
            <w:tcW w:w="381" w:type="pct"/>
            <w:vMerge w:val="restart"/>
            <w:tcBorders>
              <w:tl2br w:val="nil"/>
              <w:tr2bl w:val="nil"/>
            </w:tcBorders>
            <w:vAlign w:val="center"/>
          </w:tcPr>
          <w:p w14:paraId="44FA676A">
            <w:pPr>
              <w:widowControl/>
              <w:adjustRightInd w:val="0"/>
              <w:snapToGrid w:val="0"/>
              <w:spacing w:before="0" w:beforeLines="0" w:line="240" w:lineRule="auto"/>
              <w:jc w:val="center"/>
              <w:rPr>
                <w:kern w:val="0"/>
                <w:szCs w:val="21"/>
              </w:rPr>
            </w:pPr>
            <w:r>
              <w:rPr>
                <w:rFonts w:hint="eastAsia"/>
                <w:kern w:val="0"/>
                <w:szCs w:val="21"/>
              </w:rPr>
              <w:t>/</w:t>
            </w:r>
          </w:p>
        </w:tc>
        <w:tc>
          <w:tcPr>
            <w:tcW w:w="498" w:type="pct"/>
            <w:vMerge w:val="restart"/>
            <w:tcBorders>
              <w:tl2br w:val="nil"/>
              <w:tr2bl w:val="nil"/>
            </w:tcBorders>
            <w:vAlign w:val="center"/>
          </w:tcPr>
          <w:p w14:paraId="555E1596">
            <w:pPr>
              <w:widowControl/>
              <w:adjustRightInd w:val="0"/>
              <w:snapToGrid w:val="0"/>
              <w:spacing w:before="0" w:beforeLines="0" w:line="240" w:lineRule="auto"/>
              <w:jc w:val="center"/>
              <w:rPr>
                <w:kern w:val="0"/>
                <w:szCs w:val="21"/>
              </w:rPr>
            </w:pPr>
            <w:r>
              <w:rPr>
                <w:kern w:val="0"/>
                <w:szCs w:val="21"/>
              </w:rPr>
              <w:t>15</w:t>
            </w:r>
          </w:p>
        </w:tc>
        <w:tc>
          <w:tcPr>
            <w:tcW w:w="328" w:type="pct"/>
            <w:vMerge w:val="restart"/>
            <w:tcBorders>
              <w:tl2br w:val="nil"/>
              <w:tr2bl w:val="nil"/>
            </w:tcBorders>
            <w:vAlign w:val="center"/>
          </w:tcPr>
          <w:p w14:paraId="156F11A8">
            <w:pPr>
              <w:widowControl/>
              <w:adjustRightInd w:val="0"/>
              <w:snapToGrid w:val="0"/>
              <w:spacing w:before="0" w:beforeLines="0" w:line="240" w:lineRule="auto"/>
              <w:jc w:val="center"/>
              <w:rPr>
                <w:kern w:val="0"/>
                <w:szCs w:val="21"/>
              </w:rPr>
            </w:pPr>
            <w:r>
              <w:rPr>
                <w:kern w:val="0"/>
                <w:szCs w:val="21"/>
              </w:rPr>
              <w:t>7200</w:t>
            </w:r>
          </w:p>
        </w:tc>
        <w:tc>
          <w:tcPr>
            <w:tcW w:w="381" w:type="pct"/>
            <w:vMerge w:val="restart"/>
            <w:tcBorders>
              <w:tl2br w:val="nil"/>
              <w:tr2bl w:val="nil"/>
            </w:tcBorders>
            <w:vAlign w:val="center"/>
          </w:tcPr>
          <w:p w14:paraId="61051EAA">
            <w:pPr>
              <w:widowControl/>
              <w:adjustRightInd w:val="0"/>
              <w:snapToGrid w:val="0"/>
              <w:spacing w:before="0" w:beforeLines="0" w:line="240" w:lineRule="auto"/>
              <w:jc w:val="center"/>
              <w:textAlignment w:val="center"/>
              <w:rPr>
                <w:kern w:val="0"/>
                <w:szCs w:val="21"/>
                <w:lang w:bidi="ar"/>
              </w:rPr>
            </w:pPr>
            <w:r>
              <w:rPr>
                <w:kern w:val="0"/>
                <w:szCs w:val="21"/>
                <w:lang w:bidi="ar"/>
              </w:rPr>
              <w:t>正常</w:t>
            </w:r>
          </w:p>
        </w:tc>
        <w:tc>
          <w:tcPr>
            <w:tcW w:w="719" w:type="pct"/>
            <w:vMerge w:val="restart"/>
            <w:tcBorders>
              <w:tl2br w:val="nil"/>
              <w:tr2bl w:val="nil"/>
            </w:tcBorders>
            <w:vAlign w:val="center"/>
          </w:tcPr>
          <w:p w14:paraId="1C764849">
            <w:pPr>
              <w:widowControl/>
              <w:adjustRightInd w:val="0"/>
              <w:snapToGrid w:val="0"/>
              <w:spacing w:before="0" w:beforeLines="0" w:line="240" w:lineRule="auto"/>
              <w:jc w:val="center"/>
              <w:textAlignment w:val="center"/>
              <w:rPr>
                <w:kern w:val="0"/>
                <w:szCs w:val="21"/>
              </w:rPr>
            </w:pPr>
            <w:r>
              <w:rPr>
                <w:kern w:val="0"/>
                <w:szCs w:val="21"/>
              </w:rPr>
              <w:t>0.27</w:t>
            </w:r>
          </w:p>
        </w:tc>
      </w:tr>
      <w:tr w14:paraId="0FEEEE1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5" w:hRule="atLeast"/>
        </w:trPr>
        <w:tc>
          <w:tcPr>
            <w:tcW w:w="170" w:type="pct"/>
            <w:vMerge w:val="continue"/>
            <w:tcBorders>
              <w:tl2br w:val="nil"/>
              <w:tr2bl w:val="nil"/>
            </w:tcBorders>
            <w:vAlign w:val="center"/>
          </w:tcPr>
          <w:p w14:paraId="5B3DCD92">
            <w:pPr>
              <w:widowControl/>
              <w:adjustRightInd w:val="0"/>
              <w:snapToGrid w:val="0"/>
              <w:spacing w:before="0" w:beforeLines="0" w:line="240" w:lineRule="auto"/>
              <w:jc w:val="center"/>
              <w:rPr>
                <w:kern w:val="0"/>
                <w:szCs w:val="21"/>
              </w:rPr>
            </w:pPr>
          </w:p>
        </w:tc>
        <w:tc>
          <w:tcPr>
            <w:tcW w:w="544" w:type="pct"/>
            <w:vMerge w:val="continue"/>
            <w:tcBorders>
              <w:tl2br w:val="nil"/>
              <w:tr2bl w:val="nil"/>
            </w:tcBorders>
            <w:vAlign w:val="center"/>
          </w:tcPr>
          <w:p w14:paraId="6D044B54">
            <w:pPr>
              <w:widowControl/>
              <w:adjustRightInd w:val="0"/>
              <w:snapToGrid w:val="0"/>
              <w:spacing w:before="0" w:beforeLines="0" w:line="240" w:lineRule="auto"/>
              <w:jc w:val="center"/>
              <w:rPr>
                <w:kern w:val="0"/>
                <w:szCs w:val="21"/>
              </w:rPr>
            </w:pPr>
          </w:p>
        </w:tc>
        <w:tc>
          <w:tcPr>
            <w:tcW w:w="273" w:type="pct"/>
            <w:tcBorders>
              <w:tl2br w:val="nil"/>
              <w:tr2bl w:val="nil"/>
            </w:tcBorders>
          </w:tcPr>
          <w:p w14:paraId="58CAD365">
            <w:pPr>
              <w:widowControl/>
              <w:adjustRightInd w:val="0"/>
              <w:snapToGrid w:val="0"/>
              <w:spacing w:before="0" w:beforeLines="0" w:line="240" w:lineRule="auto"/>
              <w:jc w:val="center"/>
              <w:rPr>
                <w:kern w:val="0"/>
                <w:szCs w:val="21"/>
              </w:rPr>
            </w:pPr>
            <w:r>
              <w:rPr>
                <w:kern w:val="0"/>
                <w:szCs w:val="21"/>
              </w:rPr>
              <w:t>175</w:t>
            </w:r>
          </w:p>
        </w:tc>
        <w:tc>
          <w:tcPr>
            <w:tcW w:w="426" w:type="pct"/>
            <w:tcBorders>
              <w:tl2br w:val="nil"/>
              <w:tr2bl w:val="nil"/>
            </w:tcBorders>
          </w:tcPr>
          <w:p w14:paraId="781CA986">
            <w:pPr>
              <w:widowControl/>
              <w:adjustRightInd w:val="0"/>
              <w:snapToGrid w:val="0"/>
              <w:spacing w:before="0" w:beforeLines="0" w:line="240" w:lineRule="auto"/>
              <w:jc w:val="center"/>
              <w:rPr>
                <w:kern w:val="0"/>
                <w:szCs w:val="21"/>
              </w:rPr>
            </w:pPr>
            <w:r>
              <w:rPr>
                <w:kern w:val="0"/>
                <w:szCs w:val="21"/>
              </w:rPr>
              <w:t>208</w:t>
            </w:r>
          </w:p>
        </w:tc>
        <w:tc>
          <w:tcPr>
            <w:tcW w:w="392" w:type="pct"/>
            <w:vMerge w:val="continue"/>
            <w:tcBorders>
              <w:tl2br w:val="nil"/>
              <w:tr2bl w:val="nil"/>
            </w:tcBorders>
            <w:vAlign w:val="center"/>
          </w:tcPr>
          <w:p w14:paraId="7EA05FBB">
            <w:pPr>
              <w:widowControl/>
              <w:adjustRightInd w:val="0"/>
              <w:snapToGrid w:val="0"/>
              <w:spacing w:before="0" w:beforeLines="0" w:line="240" w:lineRule="auto"/>
              <w:jc w:val="center"/>
              <w:rPr>
                <w:szCs w:val="21"/>
              </w:rPr>
            </w:pPr>
          </w:p>
        </w:tc>
        <w:tc>
          <w:tcPr>
            <w:tcW w:w="540" w:type="pct"/>
            <w:vMerge w:val="continue"/>
            <w:tcBorders>
              <w:tl2br w:val="nil"/>
              <w:tr2bl w:val="nil"/>
            </w:tcBorders>
            <w:vAlign w:val="center"/>
          </w:tcPr>
          <w:p w14:paraId="6985720E">
            <w:pPr>
              <w:widowControl/>
              <w:adjustRightInd w:val="0"/>
              <w:snapToGrid w:val="0"/>
              <w:spacing w:before="0" w:beforeLines="0" w:line="240" w:lineRule="auto"/>
              <w:jc w:val="center"/>
              <w:rPr>
                <w:szCs w:val="21"/>
              </w:rPr>
            </w:pPr>
          </w:p>
        </w:tc>
        <w:tc>
          <w:tcPr>
            <w:tcW w:w="348" w:type="pct"/>
            <w:vMerge w:val="continue"/>
            <w:tcBorders>
              <w:tl2br w:val="nil"/>
              <w:tr2bl w:val="nil"/>
            </w:tcBorders>
            <w:vAlign w:val="center"/>
          </w:tcPr>
          <w:p w14:paraId="3F757D4B">
            <w:pPr>
              <w:widowControl/>
              <w:adjustRightInd w:val="0"/>
              <w:snapToGrid w:val="0"/>
              <w:spacing w:before="0" w:beforeLines="0" w:line="240" w:lineRule="auto"/>
              <w:jc w:val="center"/>
              <w:rPr>
                <w:szCs w:val="21"/>
              </w:rPr>
            </w:pPr>
          </w:p>
        </w:tc>
        <w:tc>
          <w:tcPr>
            <w:tcW w:w="381" w:type="pct"/>
            <w:vMerge w:val="continue"/>
            <w:tcBorders>
              <w:tl2br w:val="nil"/>
              <w:tr2bl w:val="nil"/>
            </w:tcBorders>
            <w:vAlign w:val="center"/>
          </w:tcPr>
          <w:p w14:paraId="195489E7">
            <w:pPr>
              <w:widowControl/>
              <w:adjustRightInd w:val="0"/>
              <w:snapToGrid w:val="0"/>
              <w:spacing w:before="0" w:beforeLines="0" w:line="240" w:lineRule="auto"/>
              <w:jc w:val="center"/>
              <w:rPr>
                <w:szCs w:val="21"/>
              </w:rPr>
            </w:pPr>
          </w:p>
        </w:tc>
        <w:tc>
          <w:tcPr>
            <w:tcW w:w="498" w:type="pct"/>
            <w:vMerge w:val="continue"/>
            <w:tcBorders>
              <w:tl2br w:val="nil"/>
              <w:tr2bl w:val="nil"/>
            </w:tcBorders>
            <w:vAlign w:val="center"/>
          </w:tcPr>
          <w:p w14:paraId="5B3B2CB9">
            <w:pPr>
              <w:widowControl/>
              <w:adjustRightInd w:val="0"/>
              <w:snapToGrid w:val="0"/>
              <w:spacing w:before="0" w:beforeLines="0" w:line="240" w:lineRule="auto"/>
              <w:jc w:val="center"/>
              <w:rPr>
                <w:szCs w:val="21"/>
              </w:rPr>
            </w:pPr>
          </w:p>
        </w:tc>
        <w:tc>
          <w:tcPr>
            <w:tcW w:w="328" w:type="pct"/>
            <w:vMerge w:val="continue"/>
            <w:tcBorders>
              <w:tl2br w:val="nil"/>
              <w:tr2bl w:val="nil"/>
            </w:tcBorders>
            <w:vAlign w:val="center"/>
          </w:tcPr>
          <w:p w14:paraId="082F8BD4">
            <w:pPr>
              <w:widowControl/>
              <w:adjustRightInd w:val="0"/>
              <w:snapToGrid w:val="0"/>
              <w:spacing w:before="0" w:beforeLines="0" w:line="240" w:lineRule="auto"/>
              <w:jc w:val="center"/>
              <w:rPr>
                <w:szCs w:val="21"/>
              </w:rPr>
            </w:pPr>
          </w:p>
        </w:tc>
        <w:tc>
          <w:tcPr>
            <w:tcW w:w="381" w:type="pct"/>
            <w:vMerge w:val="continue"/>
            <w:tcBorders>
              <w:tl2br w:val="nil"/>
              <w:tr2bl w:val="nil"/>
            </w:tcBorders>
            <w:vAlign w:val="center"/>
          </w:tcPr>
          <w:p w14:paraId="2313F698">
            <w:pPr>
              <w:widowControl/>
              <w:adjustRightInd w:val="0"/>
              <w:snapToGrid w:val="0"/>
              <w:spacing w:before="0" w:beforeLines="0" w:line="240" w:lineRule="auto"/>
              <w:jc w:val="center"/>
              <w:rPr>
                <w:kern w:val="0"/>
                <w:szCs w:val="21"/>
              </w:rPr>
            </w:pPr>
          </w:p>
        </w:tc>
        <w:tc>
          <w:tcPr>
            <w:tcW w:w="719" w:type="pct"/>
            <w:vMerge w:val="continue"/>
            <w:tcBorders>
              <w:tl2br w:val="nil"/>
              <w:tr2bl w:val="nil"/>
            </w:tcBorders>
          </w:tcPr>
          <w:p w14:paraId="4FE7EFFF">
            <w:pPr>
              <w:widowControl/>
              <w:adjustRightInd w:val="0"/>
              <w:snapToGrid w:val="0"/>
              <w:spacing w:before="0" w:beforeLines="0" w:line="240" w:lineRule="auto"/>
              <w:jc w:val="center"/>
              <w:rPr>
                <w:rFonts w:hint="eastAsia" w:hAnsi="宋体"/>
                <w:kern w:val="0"/>
                <w:szCs w:val="21"/>
              </w:rPr>
            </w:pPr>
          </w:p>
        </w:tc>
      </w:tr>
      <w:tr w14:paraId="41F5E1C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5" w:hRule="atLeast"/>
        </w:trPr>
        <w:tc>
          <w:tcPr>
            <w:tcW w:w="170" w:type="pct"/>
            <w:vMerge w:val="continue"/>
            <w:tcBorders>
              <w:tl2br w:val="nil"/>
              <w:tr2bl w:val="nil"/>
            </w:tcBorders>
            <w:vAlign w:val="center"/>
          </w:tcPr>
          <w:p w14:paraId="5C31BEA0">
            <w:pPr>
              <w:widowControl/>
              <w:adjustRightInd w:val="0"/>
              <w:snapToGrid w:val="0"/>
              <w:spacing w:before="0" w:beforeLines="0" w:line="240" w:lineRule="auto"/>
              <w:jc w:val="center"/>
              <w:rPr>
                <w:kern w:val="0"/>
                <w:szCs w:val="21"/>
              </w:rPr>
            </w:pPr>
          </w:p>
        </w:tc>
        <w:tc>
          <w:tcPr>
            <w:tcW w:w="544" w:type="pct"/>
            <w:vMerge w:val="continue"/>
            <w:tcBorders>
              <w:tl2br w:val="nil"/>
              <w:tr2bl w:val="nil"/>
            </w:tcBorders>
            <w:vAlign w:val="center"/>
          </w:tcPr>
          <w:p w14:paraId="7B6AF622">
            <w:pPr>
              <w:widowControl/>
              <w:adjustRightInd w:val="0"/>
              <w:snapToGrid w:val="0"/>
              <w:spacing w:before="0" w:beforeLines="0" w:line="240" w:lineRule="auto"/>
              <w:jc w:val="center"/>
              <w:rPr>
                <w:kern w:val="0"/>
                <w:szCs w:val="21"/>
              </w:rPr>
            </w:pPr>
          </w:p>
        </w:tc>
        <w:tc>
          <w:tcPr>
            <w:tcW w:w="273" w:type="pct"/>
            <w:tcBorders>
              <w:tl2br w:val="nil"/>
              <w:tr2bl w:val="nil"/>
            </w:tcBorders>
          </w:tcPr>
          <w:p w14:paraId="517179C6">
            <w:pPr>
              <w:widowControl/>
              <w:adjustRightInd w:val="0"/>
              <w:snapToGrid w:val="0"/>
              <w:spacing w:before="0" w:beforeLines="0" w:line="240" w:lineRule="auto"/>
              <w:jc w:val="center"/>
              <w:rPr>
                <w:kern w:val="0"/>
                <w:szCs w:val="21"/>
              </w:rPr>
            </w:pPr>
            <w:r>
              <w:rPr>
                <w:kern w:val="0"/>
                <w:szCs w:val="21"/>
              </w:rPr>
              <w:t>177</w:t>
            </w:r>
          </w:p>
        </w:tc>
        <w:tc>
          <w:tcPr>
            <w:tcW w:w="426" w:type="pct"/>
            <w:tcBorders>
              <w:tl2br w:val="nil"/>
              <w:tr2bl w:val="nil"/>
            </w:tcBorders>
          </w:tcPr>
          <w:p w14:paraId="095991DA">
            <w:pPr>
              <w:widowControl/>
              <w:adjustRightInd w:val="0"/>
              <w:snapToGrid w:val="0"/>
              <w:spacing w:before="0" w:beforeLines="0" w:line="240" w:lineRule="auto"/>
              <w:jc w:val="center"/>
              <w:rPr>
                <w:kern w:val="0"/>
                <w:szCs w:val="21"/>
              </w:rPr>
            </w:pPr>
            <w:r>
              <w:rPr>
                <w:kern w:val="0"/>
                <w:szCs w:val="21"/>
              </w:rPr>
              <w:t>299</w:t>
            </w:r>
          </w:p>
        </w:tc>
        <w:tc>
          <w:tcPr>
            <w:tcW w:w="392" w:type="pct"/>
            <w:vMerge w:val="continue"/>
            <w:tcBorders>
              <w:tl2br w:val="nil"/>
              <w:tr2bl w:val="nil"/>
            </w:tcBorders>
            <w:vAlign w:val="center"/>
          </w:tcPr>
          <w:p w14:paraId="4C3D0168">
            <w:pPr>
              <w:widowControl/>
              <w:adjustRightInd w:val="0"/>
              <w:snapToGrid w:val="0"/>
              <w:spacing w:before="0" w:beforeLines="0" w:line="240" w:lineRule="auto"/>
              <w:jc w:val="center"/>
              <w:rPr>
                <w:szCs w:val="21"/>
              </w:rPr>
            </w:pPr>
          </w:p>
        </w:tc>
        <w:tc>
          <w:tcPr>
            <w:tcW w:w="540" w:type="pct"/>
            <w:vMerge w:val="continue"/>
            <w:tcBorders>
              <w:tl2br w:val="nil"/>
              <w:tr2bl w:val="nil"/>
            </w:tcBorders>
            <w:vAlign w:val="center"/>
          </w:tcPr>
          <w:p w14:paraId="5B6BC8DF">
            <w:pPr>
              <w:widowControl/>
              <w:adjustRightInd w:val="0"/>
              <w:snapToGrid w:val="0"/>
              <w:spacing w:before="0" w:beforeLines="0" w:line="240" w:lineRule="auto"/>
              <w:jc w:val="center"/>
              <w:rPr>
                <w:szCs w:val="21"/>
              </w:rPr>
            </w:pPr>
          </w:p>
        </w:tc>
        <w:tc>
          <w:tcPr>
            <w:tcW w:w="348" w:type="pct"/>
            <w:vMerge w:val="continue"/>
            <w:tcBorders>
              <w:tl2br w:val="nil"/>
              <w:tr2bl w:val="nil"/>
            </w:tcBorders>
            <w:vAlign w:val="center"/>
          </w:tcPr>
          <w:p w14:paraId="510607E6">
            <w:pPr>
              <w:widowControl/>
              <w:adjustRightInd w:val="0"/>
              <w:snapToGrid w:val="0"/>
              <w:spacing w:before="0" w:beforeLines="0" w:line="240" w:lineRule="auto"/>
              <w:jc w:val="center"/>
              <w:rPr>
                <w:szCs w:val="21"/>
              </w:rPr>
            </w:pPr>
          </w:p>
        </w:tc>
        <w:tc>
          <w:tcPr>
            <w:tcW w:w="381" w:type="pct"/>
            <w:vMerge w:val="continue"/>
            <w:tcBorders>
              <w:tl2br w:val="nil"/>
              <w:tr2bl w:val="nil"/>
            </w:tcBorders>
            <w:vAlign w:val="center"/>
          </w:tcPr>
          <w:p w14:paraId="6F69EA2E">
            <w:pPr>
              <w:widowControl/>
              <w:adjustRightInd w:val="0"/>
              <w:snapToGrid w:val="0"/>
              <w:spacing w:before="0" w:beforeLines="0" w:line="240" w:lineRule="auto"/>
              <w:jc w:val="center"/>
              <w:rPr>
                <w:szCs w:val="21"/>
              </w:rPr>
            </w:pPr>
          </w:p>
        </w:tc>
        <w:tc>
          <w:tcPr>
            <w:tcW w:w="498" w:type="pct"/>
            <w:vMerge w:val="continue"/>
            <w:tcBorders>
              <w:tl2br w:val="nil"/>
              <w:tr2bl w:val="nil"/>
            </w:tcBorders>
            <w:vAlign w:val="center"/>
          </w:tcPr>
          <w:p w14:paraId="4D49C891">
            <w:pPr>
              <w:widowControl/>
              <w:adjustRightInd w:val="0"/>
              <w:snapToGrid w:val="0"/>
              <w:spacing w:before="0" w:beforeLines="0" w:line="240" w:lineRule="auto"/>
              <w:jc w:val="center"/>
              <w:rPr>
                <w:szCs w:val="21"/>
              </w:rPr>
            </w:pPr>
          </w:p>
        </w:tc>
        <w:tc>
          <w:tcPr>
            <w:tcW w:w="328" w:type="pct"/>
            <w:vMerge w:val="continue"/>
            <w:tcBorders>
              <w:tl2br w:val="nil"/>
              <w:tr2bl w:val="nil"/>
            </w:tcBorders>
            <w:vAlign w:val="center"/>
          </w:tcPr>
          <w:p w14:paraId="22A04535">
            <w:pPr>
              <w:widowControl/>
              <w:adjustRightInd w:val="0"/>
              <w:snapToGrid w:val="0"/>
              <w:spacing w:before="0" w:beforeLines="0" w:line="240" w:lineRule="auto"/>
              <w:jc w:val="center"/>
              <w:rPr>
                <w:szCs w:val="21"/>
              </w:rPr>
            </w:pPr>
          </w:p>
        </w:tc>
        <w:tc>
          <w:tcPr>
            <w:tcW w:w="381" w:type="pct"/>
            <w:vMerge w:val="continue"/>
            <w:tcBorders>
              <w:tl2br w:val="nil"/>
              <w:tr2bl w:val="nil"/>
            </w:tcBorders>
            <w:vAlign w:val="center"/>
          </w:tcPr>
          <w:p w14:paraId="798BD69F">
            <w:pPr>
              <w:widowControl/>
              <w:adjustRightInd w:val="0"/>
              <w:snapToGrid w:val="0"/>
              <w:spacing w:before="0" w:beforeLines="0" w:line="240" w:lineRule="auto"/>
              <w:jc w:val="center"/>
              <w:rPr>
                <w:kern w:val="0"/>
                <w:szCs w:val="21"/>
              </w:rPr>
            </w:pPr>
          </w:p>
        </w:tc>
        <w:tc>
          <w:tcPr>
            <w:tcW w:w="719" w:type="pct"/>
            <w:vMerge w:val="continue"/>
            <w:tcBorders>
              <w:tl2br w:val="nil"/>
              <w:tr2bl w:val="nil"/>
            </w:tcBorders>
          </w:tcPr>
          <w:p w14:paraId="04B57FD6">
            <w:pPr>
              <w:widowControl/>
              <w:adjustRightInd w:val="0"/>
              <w:snapToGrid w:val="0"/>
              <w:spacing w:before="0" w:beforeLines="0" w:line="240" w:lineRule="auto"/>
              <w:jc w:val="center"/>
              <w:rPr>
                <w:rFonts w:hint="eastAsia" w:hAnsi="宋体"/>
                <w:kern w:val="0"/>
                <w:szCs w:val="21"/>
              </w:rPr>
            </w:pPr>
          </w:p>
        </w:tc>
      </w:tr>
      <w:tr w14:paraId="1CC0B4A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5" w:hRule="atLeast"/>
        </w:trPr>
        <w:tc>
          <w:tcPr>
            <w:tcW w:w="170" w:type="pct"/>
            <w:vMerge w:val="continue"/>
            <w:tcBorders>
              <w:tl2br w:val="nil"/>
              <w:tr2bl w:val="nil"/>
            </w:tcBorders>
            <w:vAlign w:val="center"/>
          </w:tcPr>
          <w:p w14:paraId="10E34924">
            <w:pPr>
              <w:widowControl/>
              <w:adjustRightInd w:val="0"/>
              <w:snapToGrid w:val="0"/>
              <w:spacing w:before="0" w:beforeLines="0" w:line="240" w:lineRule="auto"/>
              <w:jc w:val="center"/>
              <w:rPr>
                <w:kern w:val="0"/>
                <w:szCs w:val="21"/>
              </w:rPr>
            </w:pPr>
          </w:p>
        </w:tc>
        <w:tc>
          <w:tcPr>
            <w:tcW w:w="544" w:type="pct"/>
            <w:vMerge w:val="continue"/>
            <w:tcBorders>
              <w:tl2br w:val="nil"/>
              <w:tr2bl w:val="nil"/>
            </w:tcBorders>
            <w:vAlign w:val="center"/>
          </w:tcPr>
          <w:p w14:paraId="7A79A63E">
            <w:pPr>
              <w:widowControl/>
              <w:adjustRightInd w:val="0"/>
              <w:snapToGrid w:val="0"/>
              <w:spacing w:before="0" w:beforeLines="0" w:line="240" w:lineRule="auto"/>
              <w:jc w:val="center"/>
              <w:rPr>
                <w:kern w:val="0"/>
                <w:szCs w:val="21"/>
              </w:rPr>
            </w:pPr>
          </w:p>
        </w:tc>
        <w:tc>
          <w:tcPr>
            <w:tcW w:w="273" w:type="pct"/>
            <w:tcBorders>
              <w:tl2br w:val="nil"/>
              <w:tr2bl w:val="nil"/>
            </w:tcBorders>
          </w:tcPr>
          <w:p w14:paraId="27EB9342">
            <w:pPr>
              <w:widowControl/>
              <w:adjustRightInd w:val="0"/>
              <w:snapToGrid w:val="0"/>
              <w:spacing w:before="0" w:beforeLines="0" w:line="240" w:lineRule="auto"/>
              <w:jc w:val="center"/>
              <w:rPr>
                <w:kern w:val="0"/>
                <w:szCs w:val="21"/>
              </w:rPr>
            </w:pPr>
            <w:r>
              <w:rPr>
                <w:kern w:val="0"/>
                <w:szCs w:val="21"/>
              </w:rPr>
              <w:t>303</w:t>
            </w:r>
          </w:p>
        </w:tc>
        <w:tc>
          <w:tcPr>
            <w:tcW w:w="426" w:type="pct"/>
            <w:tcBorders>
              <w:tl2br w:val="nil"/>
              <w:tr2bl w:val="nil"/>
            </w:tcBorders>
          </w:tcPr>
          <w:p w14:paraId="137D12D6">
            <w:pPr>
              <w:widowControl/>
              <w:adjustRightInd w:val="0"/>
              <w:snapToGrid w:val="0"/>
              <w:spacing w:before="0" w:beforeLines="0" w:line="240" w:lineRule="auto"/>
              <w:jc w:val="center"/>
              <w:rPr>
                <w:kern w:val="0"/>
                <w:szCs w:val="21"/>
              </w:rPr>
            </w:pPr>
            <w:r>
              <w:rPr>
                <w:kern w:val="0"/>
                <w:szCs w:val="21"/>
              </w:rPr>
              <w:t>304</w:t>
            </w:r>
          </w:p>
        </w:tc>
        <w:tc>
          <w:tcPr>
            <w:tcW w:w="392" w:type="pct"/>
            <w:vMerge w:val="continue"/>
            <w:tcBorders>
              <w:tl2br w:val="nil"/>
              <w:tr2bl w:val="nil"/>
            </w:tcBorders>
            <w:vAlign w:val="center"/>
          </w:tcPr>
          <w:p w14:paraId="404856A3">
            <w:pPr>
              <w:widowControl/>
              <w:adjustRightInd w:val="0"/>
              <w:snapToGrid w:val="0"/>
              <w:spacing w:before="0" w:beforeLines="0" w:line="240" w:lineRule="auto"/>
              <w:jc w:val="center"/>
              <w:rPr>
                <w:szCs w:val="21"/>
              </w:rPr>
            </w:pPr>
          </w:p>
        </w:tc>
        <w:tc>
          <w:tcPr>
            <w:tcW w:w="540" w:type="pct"/>
            <w:vMerge w:val="continue"/>
            <w:tcBorders>
              <w:tl2br w:val="nil"/>
              <w:tr2bl w:val="nil"/>
            </w:tcBorders>
            <w:vAlign w:val="center"/>
          </w:tcPr>
          <w:p w14:paraId="32307C37">
            <w:pPr>
              <w:widowControl/>
              <w:adjustRightInd w:val="0"/>
              <w:snapToGrid w:val="0"/>
              <w:spacing w:before="0" w:beforeLines="0" w:line="240" w:lineRule="auto"/>
              <w:jc w:val="center"/>
              <w:rPr>
                <w:szCs w:val="21"/>
              </w:rPr>
            </w:pPr>
          </w:p>
        </w:tc>
        <w:tc>
          <w:tcPr>
            <w:tcW w:w="348" w:type="pct"/>
            <w:vMerge w:val="continue"/>
            <w:tcBorders>
              <w:tl2br w:val="nil"/>
              <w:tr2bl w:val="nil"/>
            </w:tcBorders>
            <w:vAlign w:val="center"/>
          </w:tcPr>
          <w:p w14:paraId="091A0B06">
            <w:pPr>
              <w:widowControl/>
              <w:adjustRightInd w:val="0"/>
              <w:snapToGrid w:val="0"/>
              <w:spacing w:before="0" w:beforeLines="0" w:line="240" w:lineRule="auto"/>
              <w:jc w:val="center"/>
              <w:rPr>
                <w:szCs w:val="21"/>
              </w:rPr>
            </w:pPr>
          </w:p>
        </w:tc>
        <w:tc>
          <w:tcPr>
            <w:tcW w:w="381" w:type="pct"/>
            <w:vMerge w:val="continue"/>
            <w:tcBorders>
              <w:tl2br w:val="nil"/>
              <w:tr2bl w:val="nil"/>
            </w:tcBorders>
            <w:vAlign w:val="center"/>
          </w:tcPr>
          <w:p w14:paraId="47258BC5">
            <w:pPr>
              <w:widowControl/>
              <w:adjustRightInd w:val="0"/>
              <w:snapToGrid w:val="0"/>
              <w:spacing w:before="0" w:beforeLines="0" w:line="240" w:lineRule="auto"/>
              <w:jc w:val="center"/>
              <w:rPr>
                <w:szCs w:val="21"/>
              </w:rPr>
            </w:pPr>
          </w:p>
        </w:tc>
        <w:tc>
          <w:tcPr>
            <w:tcW w:w="498" w:type="pct"/>
            <w:vMerge w:val="continue"/>
            <w:tcBorders>
              <w:tl2br w:val="nil"/>
              <w:tr2bl w:val="nil"/>
            </w:tcBorders>
            <w:vAlign w:val="center"/>
          </w:tcPr>
          <w:p w14:paraId="066FCCF3">
            <w:pPr>
              <w:widowControl/>
              <w:adjustRightInd w:val="0"/>
              <w:snapToGrid w:val="0"/>
              <w:spacing w:before="0" w:beforeLines="0" w:line="240" w:lineRule="auto"/>
              <w:jc w:val="center"/>
              <w:rPr>
                <w:szCs w:val="21"/>
              </w:rPr>
            </w:pPr>
          </w:p>
        </w:tc>
        <w:tc>
          <w:tcPr>
            <w:tcW w:w="328" w:type="pct"/>
            <w:vMerge w:val="continue"/>
            <w:tcBorders>
              <w:tl2br w:val="nil"/>
              <w:tr2bl w:val="nil"/>
            </w:tcBorders>
            <w:vAlign w:val="center"/>
          </w:tcPr>
          <w:p w14:paraId="0A164B97">
            <w:pPr>
              <w:widowControl/>
              <w:adjustRightInd w:val="0"/>
              <w:snapToGrid w:val="0"/>
              <w:spacing w:before="0" w:beforeLines="0" w:line="240" w:lineRule="auto"/>
              <w:jc w:val="center"/>
              <w:rPr>
                <w:szCs w:val="21"/>
              </w:rPr>
            </w:pPr>
          </w:p>
        </w:tc>
        <w:tc>
          <w:tcPr>
            <w:tcW w:w="381" w:type="pct"/>
            <w:vMerge w:val="continue"/>
            <w:tcBorders>
              <w:tl2br w:val="nil"/>
              <w:tr2bl w:val="nil"/>
            </w:tcBorders>
            <w:vAlign w:val="center"/>
          </w:tcPr>
          <w:p w14:paraId="145E9402">
            <w:pPr>
              <w:widowControl/>
              <w:adjustRightInd w:val="0"/>
              <w:snapToGrid w:val="0"/>
              <w:spacing w:before="0" w:beforeLines="0" w:line="240" w:lineRule="auto"/>
              <w:jc w:val="center"/>
              <w:rPr>
                <w:kern w:val="0"/>
                <w:szCs w:val="21"/>
              </w:rPr>
            </w:pPr>
          </w:p>
        </w:tc>
        <w:tc>
          <w:tcPr>
            <w:tcW w:w="719" w:type="pct"/>
            <w:vMerge w:val="continue"/>
            <w:tcBorders>
              <w:tl2br w:val="nil"/>
              <w:tr2bl w:val="nil"/>
            </w:tcBorders>
          </w:tcPr>
          <w:p w14:paraId="0B60D464">
            <w:pPr>
              <w:widowControl/>
              <w:adjustRightInd w:val="0"/>
              <w:snapToGrid w:val="0"/>
              <w:spacing w:before="0" w:beforeLines="0" w:line="240" w:lineRule="auto"/>
              <w:jc w:val="center"/>
              <w:rPr>
                <w:rFonts w:hint="eastAsia" w:hAnsi="宋体"/>
                <w:kern w:val="0"/>
                <w:szCs w:val="21"/>
              </w:rPr>
            </w:pPr>
          </w:p>
        </w:tc>
      </w:tr>
      <w:tr w14:paraId="43F6595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5" w:hRule="atLeast"/>
        </w:trPr>
        <w:tc>
          <w:tcPr>
            <w:tcW w:w="170" w:type="pct"/>
            <w:vMerge w:val="continue"/>
            <w:tcBorders>
              <w:tl2br w:val="nil"/>
              <w:tr2bl w:val="nil"/>
            </w:tcBorders>
            <w:vAlign w:val="center"/>
          </w:tcPr>
          <w:p w14:paraId="27DE5616">
            <w:pPr>
              <w:widowControl/>
              <w:adjustRightInd w:val="0"/>
              <w:snapToGrid w:val="0"/>
              <w:spacing w:before="0" w:beforeLines="0" w:line="240" w:lineRule="auto"/>
              <w:jc w:val="center"/>
              <w:rPr>
                <w:kern w:val="0"/>
                <w:szCs w:val="21"/>
              </w:rPr>
            </w:pPr>
          </w:p>
        </w:tc>
        <w:tc>
          <w:tcPr>
            <w:tcW w:w="544" w:type="pct"/>
            <w:vMerge w:val="continue"/>
            <w:tcBorders>
              <w:tl2br w:val="nil"/>
              <w:tr2bl w:val="nil"/>
            </w:tcBorders>
            <w:vAlign w:val="center"/>
          </w:tcPr>
          <w:p w14:paraId="17995C6B">
            <w:pPr>
              <w:widowControl/>
              <w:adjustRightInd w:val="0"/>
              <w:snapToGrid w:val="0"/>
              <w:spacing w:before="0" w:beforeLines="0" w:line="240" w:lineRule="auto"/>
              <w:jc w:val="center"/>
              <w:rPr>
                <w:kern w:val="0"/>
                <w:szCs w:val="21"/>
              </w:rPr>
            </w:pPr>
          </w:p>
        </w:tc>
        <w:tc>
          <w:tcPr>
            <w:tcW w:w="273" w:type="pct"/>
            <w:tcBorders>
              <w:tl2br w:val="nil"/>
              <w:tr2bl w:val="nil"/>
            </w:tcBorders>
          </w:tcPr>
          <w:p w14:paraId="717B20DA">
            <w:pPr>
              <w:widowControl/>
              <w:adjustRightInd w:val="0"/>
              <w:snapToGrid w:val="0"/>
              <w:spacing w:before="0" w:beforeLines="0" w:line="240" w:lineRule="auto"/>
              <w:jc w:val="center"/>
              <w:rPr>
                <w:kern w:val="0"/>
                <w:szCs w:val="21"/>
              </w:rPr>
            </w:pPr>
            <w:r>
              <w:rPr>
                <w:kern w:val="0"/>
                <w:szCs w:val="21"/>
              </w:rPr>
              <w:t>303</w:t>
            </w:r>
          </w:p>
        </w:tc>
        <w:tc>
          <w:tcPr>
            <w:tcW w:w="426" w:type="pct"/>
            <w:tcBorders>
              <w:tl2br w:val="nil"/>
              <w:tr2bl w:val="nil"/>
            </w:tcBorders>
          </w:tcPr>
          <w:p w14:paraId="1BA83CF0">
            <w:pPr>
              <w:widowControl/>
              <w:adjustRightInd w:val="0"/>
              <w:snapToGrid w:val="0"/>
              <w:spacing w:before="0" w:beforeLines="0" w:line="240" w:lineRule="auto"/>
              <w:jc w:val="center"/>
              <w:rPr>
                <w:kern w:val="0"/>
                <w:szCs w:val="21"/>
              </w:rPr>
            </w:pPr>
            <w:r>
              <w:rPr>
                <w:kern w:val="0"/>
                <w:szCs w:val="21"/>
              </w:rPr>
              <w:t>253</w:t>
            </w:r>
          </w:p>
        </w:tc>
        <w:tc>
          <w:tcPr>
            <w:tcW w:w="392" w:type="pct"/>
            <w:vMerge w:val="continue"/>
            <w:tcBorders>
              <w:tl2br w:val="nil"/>
              <w:tr2bl w:val="nil"/>
            </w:tcBorders>
            <w:vAlign w:val="center"/>
          </w:tcPr>
          <w:p w14:paraId="203692D7">
            <w:pPr>
              <w:widowControl/>
              <w:adjustRightInd w:val="0"/>
              <w:snapToGrid w:val="0"/>
              <w:spacing w:before="0" w:beforeLines="0" w:line="240" w:lineRule="auto"/>
              <w:jc w:val="center"/>
              <w:rPr>
                <w:szCs w:val="21"/>
              </w:rPr>
            </w:pPr>
          </w:p>
        </w:tc>
        <w:tc>
          <w:tcPr>
            <w:tcW w:w="540" w:type="pct"/>
            <w:vMerge w:val="continue"/>
            <w:tcBorders>
              <w:tl2br w:val="nil"/>
              <w:tr2bl w:val="nil"/>
            </w:tcBorders>
            <w:vAlign w:val="center"/>
          </w:tcPr>
          <w:p w14:paraId="68ABF8CD">
            <w:pPr>
              <w:widowControl/>
              <w:adjustRightInd w:val="0"/>
              <w:snapToGrid w:val="0"/>
              <w:spacing w:before="0" w:beforeLines="0" w:line="240" w:lineRule="auto"/>
              <w:jc w:val="center"/>
              <w:rPr>
                <w:szCs w:val="21"/>
              </w:rPr>
            </w:pPr>
          </w:p>
        </w:tc>
        <w:tc>
          <w:tcPr>
            <w:tcW w:w="348" w:type="pct"/>
            <w:vMerge w:val="continue"/>
            <w:tcBorders>
              <w:tl2br w:val="nil"/>
              <w:tr2bl w:val="nil"/>
            </w:tcBorders>
            <w:vAlign w:val="center"/>
          </w:tcPr>
          <w:p w14:paraId="2874C13E">
            <w:pPr>
              <w:widowControl/>
              <w:adjustRightInd w:val="0"/>
              <w:snapToGrid w:val="0"/>
              <w:spacing w:before="0" w:beforeLines="0" w:line="240" w:lineRule="auto"/>
              <w:jc w:val="center"/>
              <w:rPr>
                <w:szCs w:val="21"/>
              </w:rPr>
            </w:pPr>
          </w:p>
        </w:tc>
        <w:tc>
          <w:tcPr>
            <w:tcW w:w="381" w:type="pct"/>
            <w:vMerge w:val="continue"/>
            <w:tcBorders>
              <w:tl2br w:val="nil"/>
              <w:tr2bl w:val="nil"/>
            </w:tcBorders>
            <w:vAlign w:val="center"/>
          </w:tcPr>
          <w:p w14:paraId="2226292A">
            <w:pPr>
              <w:widowControl/>
              <w:adjustRightInd w:val="0"/>
              <w:snapToGrid w:val="0"/>
              <w:spacing w:before="0" w:beforeLines="0" w:line="240" w:lineRule="auto"/>
              <w:jc w:val="center"/>
              <w:rPr>
                <w:szCs w:val="21"/>
              </w:rPr>
            </w:pPr>
          </w:p>
        </w:tc>
        <w:tc>
          <w:tcPr>
            <w:tcW w:w="498" w:type="pct"/>
            <w:vMerge w:val="continue"/>
            <w:tcBorders>
              <w:tl2br w:val="nil"/>
              <w:tr2bl w:val="nil"/>
            </w:tcBorders>
            <w:vAlign w:val="center"/>
          </w:tcPr>
          <w:p w14:paraId="2D05E83B">
            <w:pPr>
              <w:widowControl/>
              <w:adjustRightInd w:val="0"/>
              <w:snapToGrid w:val="0"/>
              <w:spacing w:before="0" w:beforeLines="0" w:line="240" w:lineRule="auto"/>
              <w:jc w:val="center"/>
              <w:rPr>
                <w:szCs w:val="21"/>
              </w:rPr>
            </w:pPr>
          </w:p>
        </w:tc>
        <w:tc>
          <w:tcPr>
            <w:tcW w:w="328" w:type="pct"/>
            <w:vMerge w:val="continue"/>
            <w:tcBorders>
              <w:tl2br w:val="nil"/>
              <w:tr2bl w:val="nil"/>
            </w:tcBorders>
            <w:vAlign w:val="center"/>
          </w:tcPr>
          <w:p w14:paraId="56AAED35">
            <w:pPr>
              <w:widowControl/>
              <w:adjustRightInd w:val="0"/>
              <w:snapToGrid w:val="0"/>
              <w:spacing w:before="0" w:beforeLines="0" w:line="240" w:lineRule="auto"/>
              <w:jc w:val="center"/>
              <w:rPr>
                <w:szCs w:val="21"/>
              </w:rPr>
            </w:pPr>
          </w:p>
        </w:tc>
        <w:tc>
          <w:tcPr>
            <w:tcW w:w="381" w:type="pct"/>
            <w:vMerge w:val="continue"/>
            <w:tcBorders>
              <w:tl2br w:val="nil"/>
              <w:tr2bl w:val="nil"/>
            </w:tcBorders>
            <w:vAlign w:val="center"/>
          </w:tcPr>
          <w:p w14:paraId="765AF8EC">
            <w:pPr>
              <w:widowControl/>
              <w:adjustRightInd w:val="0"/>
              <w:snapToGrid w:val="0"/>
              <w:spacing w:before="0" w:beforeLines="0" w:line="240" w:lineRule="auto"/>
              <w:jc w:val="center"/>
              <w:rPr>
                <w:kern w:val="0"/>
                <w:szCs w:val="21"/>
              </w:rPr>
            </w:pPr>
          </w:p>
        </w:tc>
        <w:tc>
          <w:tcPr>
            <w:tcW w:w="719" w:type="pct"/>
            <w:vMerge w:val="continue"/>
            <w:tcBorders>
              <w:tl2br w:val="nil"/>
              <w:tr2bl w:val="nil"/>
            </w:tcBorders>
          </w:tcPr>
          <w:p w14:paraId="1B0C5A71">
            <w:pPr>
              <w:widowControl/>
              <w:adjustRightInd w:val="0"/>
              <w:snapToGrid w:val="0"/>
              <w:spacing w:before="0" w:beforeLines="0" w:line="240" w:lineRule="auto"/>
              <w:jc w:val="center"/>
              <w:rPr>
                <w:rFonts w:hint="eastAsia" w:hAnsi="宋体"/>
                <w:kern w:val="0"/>
                <w:szCs w:val="21"/>
              </w:rPr>
            </w:pPr>
          </w:p>
        </w:tc>
      </w:tr>
      <w:tr w14:paraId="1B83FC6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5" w:hRule="atLeast"/>
        </w:trPr>
        <w:tc>
          <w:tcPr>
            <w:tcW w:w="170" w:type="pct"/>
            <w:vMerge w:val="continue"/>
            <w:tcBorders>
              <w:tl2br w:val="nil"/>
              <w:tr2bl w:val="nil"/>
            </w:tcBorders>
            <w:vAlign w:val="center"/>
          </w:tcPr>
          <w:p w14:paraId="5CCD8870">
            <w:pPr>
              <w:widowControl/>
              <w:adjustRightInd w:val="0"/>
              <w:snapToGrid w:val="0"/>
              <w:spacing w:before="0" w:beforeLines="0" w:line="240" w:lineRule="auto"/>
              <w:jc w:val="center"/>
              <w:rPr>
                <w:kern w:val="0"/>
                <w:szCs w:val="21"/>
              </w:rPr>
            </w:pPr>
          </w:p>
        </w:tc>
        <w:tc>
          <w:tcPr>
            <w:tcW w:w="544" w:type="pct"/>
            <w:vMerge w:val="continue"/>
            <w:tcBorders>
              <w:tl2br w:val="nil"/>
              <w:tr2bl w:val="nil"/>
            </w:tcBorders>
            <w:vAlign w:val="center"/>
          </w:tcPr>
          <w:p w14:paraId="53F80EDF">
            <w:pPr>
              <w:widowControl/>
              <w:adjustRightInd w:val="0"/>
              <w:snapToGrid w:val="0"/>
              <w:spacing w:before="0" w:beforeLines="0" w:line="240" w:lineRule="auto"/>
              <w:jc w:val="center"/>
              <w:rPr>
                <w:kern w:val="0"/>
                <w:szCs w:val="21"/>
              </w:rPr>
            </w:pPr>
          </w:p>
        </w:tc>
        <w:tc>
          <w:tcPr>
            <w:tcW w:w="273" w:type="pct"/>
            <w:tcBorders>
              <w:tl2br w:val="nil"/>
              <w:tr2bl w:val="nil"/>
            </w:tcBorders>
          </w:tcPr>
          <w:p w14:paraId="6E5F6736">
            <w:pPr>
              <w:widowControl/>
              <w:adjustRightInd w:val="0"/>
              <w:snapToGrid w:val="0"/>
              <w:spacing w:before="0" w:beforeLines="0" w:line="240" w:lineRule="auto"/>
              <w:jc w:val="center"/>
              <w:rPr>
                <w:kern w:val="0"/>
                <w:szCs w:val="21"/>
              </w:rPr>
            </w:pPr>
            <w:r>
              <w:rPr>
                <w:kern w:val="0"/>
                <w:szCs w:val="21"/>
              </w:rPr>
              <w:t>262</w:t>
            </w:r>
          </w:p>
        </w:tc>
        <w:tc>
          <w:tcPr>
            <w:tcW w:w="426" w:type="pct"/>
            <w:tcBorders>
              <w:tl2br w:val="nil"/>
              <w:tr2bl w:val="nil"/>
            </w:tcBorders>
          </w:tcPr>
          <w:p w14:paraId="5D077987">
            <w:pPr>
              <w:widowControl/>
              <w:adjustRightInd w:val="0"/>
              <w:snapToGrid w:val="0"/>
              <w:spacing w:before="0" w:beforeLines="0" w:line="240" w:lineRule="auto"/>
              <w:jc w:val="center"/>
              <w:rPr>
                <w:kern w:val="0"/>
                <w:szCs w:val="21"/>
              </w:rPr>
            </w:pPr>
            <w:r>
              <w:rPr>
                <w:kern w:val="0"/>
                <w:szCs w:val="21"/>
              </w:rPr>
              <w:t>253</w:t>
            </w:r>
          </w:p>
        </w:tc>
        <w:tc>
          <w:tcPr>
            <w:tcW w:w="392" w:type="pct"/>
            <w:vMerge w:val="continue"/>
            <w:tcBorders>
              <w:tl2br w:val="nil"/>
              <w:tr2bl w:val="nil"/>
            </w:tcBorders>
            <w:vAlign w:val="center"/>
          </w:tcPr>
          <w:p w14:paraId="02CE1414">
            <w:pPr>
              <w:widowControl/>
              <w:adjustRightInd w:val="0"/>
              <w:snapToGrid w:val="0"/>
              <w:spacing w:before="0" w:beforeLines="0" w:line="240" w:lineRule="auto"/>
              <w:jc w:val="center"/>
              <w:rPr>
                <w:szCs w:val="21"/>
              </w:rPr>
            </w:pPr>
          </w:p>
        </w:tc>
        <w:tc>
          <w:tcPr>
            <w:tcW w:w="540" w:type="pct"/>
            <w:vMerge w:val="continue"/>
            <w:tcBorders>
              <w:tl2br w:val="nil"/>
              <w:tr2bl w:val="nil"/>
            </w:tcBorders>
            <w:vAlign w:val="center"/>
          </w:tcPr>
          <w:p w14:paraId="36E4E330">
            <w:pPr>
              <w:widowControl/>
              <w:adjustRightInd w:val="0"/>
              <w:snapToGrid w:val="0"/>
              <w:spacing w:before="0" w:beforeLines="0" w:line="240" w:lineRule="auto"/>
              <w:jc w:val="center"/>
              <w:rPr>
                <w:szCs w:val="21"/>
              </w:rPr>
            </w:pPr>
          </w:p>
        </w:tc>
        <w:tc>
          <w:tcPr>
            <w:tcW w:w="348" w:type="pct"/>
            <w:vMerge w:val="continue"/>
            <w:tcBorders>
              <w:tl2br w:val="nil"/>
              <w:tr2bl w:val="nil"/>
            </w:tcBorders>
            <w:vAlign w:val="center"/>
          </w:tcPr>
          <w:p w14:paraId="05EC6A75">
            <w:pPr>
              <w:widowControl/>
              <w:adjustRightInd w:val="0"/>
              <w:snapToGrid w:val="0"/>
              <w:spacing w:before="0" w:beforeLines="0" w:line="240" w:lineRule="auto"/>
              <w:jc w:val="center"/>
              <w:rPr>
                <w:szCs w:val="21"/>
              </w:rPr>
            </w:pPr>
          </w:p>
        </w:tc>
        <w:tc>
          <w:tcPr>
            <w:tcW w:w="381" w:type="pct"/>
            <w:vMerge w:val="continue"/>
            <w:tcBorders>
              <w:tl2br w:val="nil"/>
              <w:tr2bl w:val="nil"/>
            </w:tcBorders>
            <w:vAlign w:val="center"/>
          </w:tcPr>
          <w:p w14:paraId="59BCAF98">
            <w:pPr>
              <w:widowControl/>
              <w:adjustRightInd w:val="0"/>
              <w:snapToGrid w:val="0"/>
              <w:spacing w:before="0" w:beforeLines="0" w:line="240" w:lineRule="auto"/>
              <w:jc w:val="center"/>
              <w:rPr>
                <w:szCs w:val="21"/>
              </w:rPr>
            </w:pPr>
          </w:p>
        </w:tc>
        <w:tc>
          <w:tcPr>
            <w:tcW w:w="498" w:type="pct"/>
            <w:vMerge w:val="continue"/>
            <w:tcBorders>
              <w:tl2br w:val="nil"/>
              <w:tr2bl w:val="nil"/>
            </w:tcBorders>
            <w:vAlign w:val="center"/>
          </w:tcPr>
          <w:p w14:paraId="36A930B0">
            <w:pPr>
              <w:widowControl/>
              <w:adjustRightInd w:val="0"/>
              <w:snapToGrid w:val="0"/>
              <w:spacing w:before="0" w:beforeLines="0" w:line="240" w:lineRule="auto"/>
              <w:jc w:val="center"/>
              <w:rPr>
                <w:szCs w:val="21"/>
              </w:rPr>
            </w:pPr>
          </w:p>
        </w:tc>
        <w:tc>
          <w:tcPr>
            <w:tcW w:w="328" w:type="pct"/>
            <w:vMerge w:val="continue"/>
            <w:tcBorders>
              <w:tl2br w:val="nil"/>
              <w:tr2bl w:val="nil"/>
            </w:tcBorders>
            <w:vAlign w:val="center"/>
          </w:tcPr>
          <w:p w14:paraId="13BD9AF2">
            <w:pPr>
              <w:widowControl/>
              <w:adjustRightInd w:val="0"/>
              <w:snapToGrid w:val="0"/>
              <w:spacing w:before="0" w:beforeLines="0" w:line="240" w:lineRule="auto"/>
              <w:jc w:val="center"/>
              <w:rPr>
                <w:szCs w:val="21"/>
              </w:rPr>
            </w:pPr>
          </w:p>
        </w:tc>
        <w:tc>
          <w:tcPr>
            <w:tcW w:w="381" w:type="pct"/>
            <w:vMerge w:val="continue"/>
            <w:tcBorders>
              <w:tl2br w:val="nil"/>
              <w:tr2bl w:val="nil"/>
            </w:tcBorders>
            <w:vAlign w:val="center"/>
          </w:tcPr>
          <w:p w14:paraId="6BEDE292">
            <w:pPr>
              <w:widowControl/>
              <w:adjustRightInd w:val="0"/>
              <w:snapToGrid w:val="0"/>
              <w:spacing w:before="0" w:beforeLines="0" w:line="240" w:lineRule="auto"/>
              <w:jc w:val="center"/>
              <w:rPr>
                <w:kern w:val="0"/>
                <w:szCs w:val="21"/>
              </w:rPr>
            </w:pPr>
          </w:p>
        </w:tc>
        <w:tc>
          <w:tcPr>
            <w:tcW w:w="719" w:type="pct"/>
            <w:vMerge w:val="continue"/>
            <w:tcBorders>
              <w:tl2br w:val="nil"/>
              <w:tr2bl w:val="nil"/>
            </w:tcBorders>
          </w:tcPr>
          <w:p w14:paraId="2019DEC5">
            <w:pPr>
              <w:widowControl/>
              <w:adjustRightInd w:val="0"/>
              <w:snapToGrid w:val="0"/>
              <w:spacing w:before="0" w:beforeLines="0" w:line="240" w:lineRule="auto"/>
              <w:jc w:val="center"/>
              <w:rPr>
                <w:rFonts w:hint="eastAsia" w:hAnsi="宋体"/>
                <w:kern w:val="0"/>
                <w:szCs w:val="21"/>
              </w:rPr>
            </w:pPr>
          </w:p>
        </w:tc>
      </w:tr>
      <w:tr w14:paraId="7111B9D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63" w:hRule="atLeast"/>
        </w:trPr>
        <w:tc>
          <w:tcPr>
            <w:tcW w:w="170" w:type="pct"/>
            <w:vMerge w:val="continue"/>
            <w:tcBorders>
              <w:tl2br w:val="nil"/>
              <w:tr2bl w:val="nil"/>
            </w:tcBorders>
            <w:vAlign w:val="center"/>
          </w:tcPr>
          <w:p w14:paraId="317747F9">
            <w:pPr>
              <w:widowControl/>
              <w:adjustRightInd w:val="0"/>
              <w:snapToGrid w:val="0"/>
              <w:spacing w:before="0" w:beforeLines="0" w:line="240" w:lineRule="auto"/>
              <w:jc w:val="center"/>
              <w:rPr>
                <w:kern w:val="0"/>
                <w:szCs w:val="21"/>
              </w:rPr>
            </w:pPr>
          </w:p>
        </w:tc>
        <w:tc>
          <w:tcPr>
            <w:tcW w:w="544" w:type="pct"/>
            <w:vMerge w:val="continue"/>
            <w:tcBorders>
              <w:tl2br w:val="nil"/>
              <w:tr2bl w:val="nil"/>
            </w:tcBorders>
            <w:vAlign w:val="center"/>
          </w:tcPr>
          <w:p w14:paraId="4810F0A6">
            <w:pPr>
              <w:widowControl/>
              <w:adjustRightInd w:val="0"/>
              <w:snapToGrid w:val="0"/>
              <w:spacing w:before="0" w:beforeLines="0" w:line="240" w:lineRule="auto"/>
              <w:jc w:val="center"/>
              <w:rPr>
                <w:kern w:val="0"/>
                <w:szCs w:val="21"/>
              </w:rPr>
            </w:pPr>
          </w:p>
        </w:tc>
        <w:tc>
          <w:tcPr>
            <w:tcW w:w="273" w:type="pct"/>
            <w:tcBorders>
              <w:tl2br w:val="nil"/>
              <w:tr2bl w:val="nil"/>
            </w:tcBorders>
          </w:tcPr>
          <w:p w14:paraId="4CECFE4D">
            <w:pPr>
              <w:widowControl/>
              <w:adjustRightInd w:val="0"/>
              <w:snapToGrid w:val="0"/>
              <w:spacing w:before="0" w:beforeLines="0" w:line="240" w:lineRule="auto"/>
              <w:jc w:val="center"/>
              <w:rPr>
                <w:kern w:val="0"/>
                <w:szCs w:val="21"/>
              </w:rPr>
            </w:pPr>
            <w:r>
              <w:rPr>
                <w:kern w:val="0"/>
                <w:szCs w:val="21"/>
              </w:rPr>
              <w:t>261</w:t>
            </w:r>
          </w:p>
        </w:tc>
        <w:tc>
          <w:tcPr>
            <w:tcW w:w="426" w:type="pct"/>
            <w:tcBorders>
              <w:tl2br w:val="nil"/>
              <w:tr2bl w:val="nil"/>
            </w:tcBorders>
          </w:tcPr>
          <w:p w14:paraId="3AE49C53">
            <w:pPr>
              <w:widowControl/>
              <w:adjustRightInd w:val="0"/>
              <w:snapToGrid w:val="0"/>
              <w:spacing w:before="0" w:beforeLines="0" w:line="240" w:lineRule="auto"/>
              <w:jc w:val="center"/>
              <w:rPr>
                <w:kern w:val="0"/>
                <w:szCs w:val="21"/>
              </w:rPr>
            </w:pPr>
            <w:r>
              <w:rPr>
                <w:kern w:val="0"/>
                <w:szCs w:val="21"/>
              </w:rPr>
              <w:t>207</w:t>
            </w:r>
          </w:p>
        </w:tc>
        <w:tc>
          <w:tcPr>
            <w:tcW w:w="392" w:type="pct"/>
            <w:vMerge w:val="continue"/>
            <w:tcBorders>
              <w:tl2br w:val="nil"/>
              <w:tr2bl w:val="nil"/>
            </w:tcBorders>
            <w:vAlign w:val="center"/>
          </w:tcPr>
          <w:p w14:paraId="6F4DF983">
            <w:pPr>
              <w:widowControl/>
              <w:adjustRightInd w:val="0"/>
              <w:snapToGrid w:val="0"/>
              <w:spacing w:before="0" w:beforeLines="0" w:line="240" w:lineRule="auto"/>
              <w:jc w:val="center"/>
              <w:rPr>
                <w:szCs w:val="21"/>
              </w:rPr>
            </w:pPr>
          </w:p>
        </w:tc>
        <w:tc>
          <w:tcPr>
            <w:tcW w:w="540" w:type="pct"/>
            <w:vMerge w:val="continue"/>
            <w:tcBorders>
              <w:tl2br w:val="nil"/>
              <w:tr2bl w:val="nil"/>
            </w:tcBorders>
            <w:vAlign w:val="center"/>
          </w:tcPr>
          <w:p w14:paraId="1D69FCDF">
            <w:pPr>
              <w:widowControl/>
              <w:adjustRightInd w:val="0"/>
              <w:snapToGrid w:val="0"/>
              <w:spacing w:before="0" w:beforeLines="0" w:line="240" w:lineRule="auto"/>
              <w:jc w:val="center"/>
              <w:rPr>
                <w:szCs w:val="21"/>
              </w:rPr>
            </w:pPr>
          </w:p>
        </w:tc>
        <w:tc>
          <w:tcPr>
            <w:tcW w:w="348" w:type="pct"/>
            <w:vMerge w:val="continue"/>
            <w:tcBorders>
              <w:tl2br w:val="nil"/>
              <w:tr2bl w:val="nil"/>
            </w:tcBorders>
            <w:vAlign w:val="center"/>
          </w:tcPr>
          <w:p w14:paraId="0616A83E">
            <w:pPr>
              <w:widowControl/>
              <w:adjustRightInd w:val="0"/>
              <w:snapToGrid w:val="0"/>
              <w:spacing w:before="0" w:beforeLines="0" w:line="240" w:lineRule="auto"/>
              <w:jc w:val="center"/>
              <w:rPr>
                <w:szCs w:val="21"/>
              </w:rPr>
            </w:pPr>
          </w:p>
        </w:tc>
        <w:tc>
          <w:tcPr>
            <w:tcW w:w="381" w:type="pct"/>
            <w:vMerge w:val="continue"/>
            <w:tcBorders>
              <w:tl2br w:val="nil"/>
              <w:tr2bl w:val="nil"/>
            </w:tcBorders>
            <w:vAlign w:val="center"/>
          </w:tcPr>
          <w:p w14:paraId="2E4112F7">
            <w:pPr>
              <w:widowControl/>
              <w:adjustRightInd w:val="0"/>
              <w:snapToGrid w:val="0"/>
              <w:spacing w:before="0" w:beforeLines="0" w:line="240" w:lineRule="auto"/>
              <w:jc w:val="center"/>
              <w:rPr>
                <w:szCs w:val="21"/>
              </w:rPr>
            </w:pPr>
          </w:p>
        </w:tc>
        <w:tc>
          <w:tcPr>
            <w:tcW w:w="498" w:type="pct"/>
            <w:vMerge w:val="continue"/>
            <w:tcBorders>
              <w:tl2br w:val="nil"/>
              <w:tr2bl w:val="nil"/>
            </w:tcBorders>
            <w:vAlign w:val="center"/>
          </w:tcPr>
          <w:p w14:paraId="1181494D">
            <w:pPr>
              <w:widowControl/>
              <w:adjustRightInd w:val="0"/>
              <w:snapToGrid w:val="0"/>
              <w:spacing w:before="0" w:beforeLines="0" w:line="240" w:lineRule="auto"/>
              <w:jc w:val="center"/>
              <w:rPr>
                <w:szCs w:val="21"/>
              </w:rPr>
            </w:pPr>
          </w:p>
        </w:tc>
        <w:tc>
          <w:tcPr>
            <w:tcW w:w="328" w:type="pct"/>
            <w:vMerge w:val="continue"/>
            <w:tcBorders>
              <w:tl2br w:val="nil"/>
              <w:tr2bl w:val="nil"/>
            </w:tcBorders>
            <w:vAlign w:val="center"/>
          </w:tcPr>
          <w:p w14:paraId="27E5D1F6">
            <w:pPr>
              <w:widowControl/>
              <w:adjustRightInd w:val="0"/>
              <w:snapToGrid w:val="0"/>
              <w:spacing w:before="0" w:beforeLines="0" w:line="240" w:lineRule="auto"/>
              <w:jc w:val="center"/>
              <w:rPr>
                <w:szCs w:val="21"/>
              </w:rPr>
            </w:pPr>
          </w:p>
        </w:tc>
        <w:tc>
          <w:tcPr>
            <w:tcW w:w="381" w:type="pct"/>
            <w:vMerge w:val="continue"/>
            <w:tcBorders>
              <w:tl2br w:val="nil"/>
              <w:tr2bl w:val="nil"/>
            </w:tcBorders>
            <w:vAlign w:val="center"/>
          </w:tcPr>
          <w:p w14:paraId="36B48CAE">
            <w:pPr>
              <w:widowControl/>
              <w:adjustRightInd w:val="0"/>
              <w:snapToGrid w:val="0"/>
              <w:spacing w:before="0" w:beforeLines="0" w:line="240" w:lineRule="auto"/>
              <w:jc w:val="center"/>
              <w:rPr>
                <w:kern w:val="0"/>
                <w:szCs w:val="21"/>
              </w:rPr>
            </w:pPr>
          </w:p>
        </w:tc>
        <w:tc>
          <w:tcPr>
            <w:tcW w:w="719" w:type="pct"/>
            <w:vMerge w:val="continue"/>
            <w:tcBorders>
              <w:tl2br w:val="nil"/>
              <w:tr2bl w:val="nil"/>
            </w:tcBorders>
          </w:tcPr>
          <w:p w14:paraId="4785BF89">
            <w:pPr>
              <w:widowControl/>
              <w:adjustRightInd w:val="0"/>
              <w:snapToGrid w:val="0"/>
              <w:spacing w:before="0" w:beforeLines="0" w:line="240" w:lineRule="auto"/>
              <w:jc w:val="center"/>
              <w:rPr>
                <w:rFonts w:hint="eastAsia" w:hAnsi="宋体"/>
                <w:kern w:val="0"/>
                <w:szCs w:val="21"/>
              </w:rPr>
            </w:pPr>
          </w:p>
        </w:tc>
      </w:tr>
      <w:bookmarkEnd w:id="52"/>
    </w:tbl>
    <w:p w14:paraId="50C01FB2">
      <w:pPr>
        <w:snapToGrid w:val="0"/>
        <w:spacing w:before="0" w:beforeLines="0" w:line="360" w:lineRule="auto"/>
        <w:ind w:firstLine="480" w:firstLineChars="200"/>
        <w:rPr>
          <w:sz w:val="24"/>
        </w:rPr>
      </w:pPr>
      <w:r>
        <w:rPr>
          <w:sz w:val="24"/>
        </w:rPr>
        <w:t>依据《环境影响评价技术导则 大气环境》（HJ2.2-2018）中5.3节工作等级的确定方法，结合工程分析结果，选择污染源</w:t>
      </w:r>
      <w:bookmarkEnd w:id="49"/>
      <w:r>
        <w:rPr>
          <w:sz w:val="24"/>
        </w:rPr>
        <w:t>正常排放的主要污染物及排放参数，采用附录A推荐模型中的AERSCREEN模式计算项目污染源的最大环境影响，然后按评价工作分级判据进行分级。</w:t>
      </w:r>
    </w:p>
    <w:bookmarkEnd w:id="50"/>
    <w:p w14:paraId="758CD81C">
      <w:pPr>
        <w:snapToGrid w:val="0"/>
        <w:spacing w:before="0" w:beforeLines="0" w:line="360" w:lineRule="auto"/>
        <w:ind w:firstLine="482" w:firstLineChars="200"/>
        <w:rPr>
          <w:b/>
          <w:bCs/>
          <w:kern w:val="0"/>
          <w:sz w:val="24"/>
        </w:rPr>
      </w:pPr>
      <w:r>
        <w:rPr>
          <w:b/>
          <w:bCs/>
          <w:kern w:val="0"/>
          <w:sz w:val="24"/>
        </w:rPr>
        <w:t>①Pmax的确定</w:t>
      </w:r>
    </w:p>
    <w:p w14:paraId="374BB251">
      <w:pPr>
        <w:snapToGrid w:val="0"/>
        <w:spacing w:before="0" w:beforeLines="0" w:line="360" w:lineRule="auto"/>
        <w:ind w:firstLine="480" w:firstLineChars="200"/>
        <w:rPr>
          <w:sz w:val="24"/>
        </w:rPr>
      </w:pPr>
      <w:r>
        <w:rPr>
          <w:sz w:val="24"/>
        </w:rPr>
        <w:t>依据《环境影响评价技术导则 大气环境》（HJ2.2-2018）中最大地面浓度占标率Pi定义如下：</w:t>
      </w:r>
    </w:p>
    <w:p w14:paraId="6E04A8E9">
      <w:pPr>
        <w:adjustRightInd w:val="0"/>
        <w:snapToGrid w:val="0"/>
        <w:spacing w:before="0" w:beforeLines="0" w:line="360" w:lineRule="auto"/>
        <w:jc w:val="center"/>
      </w:pPr>
      <w:r>
        <w:rPr>
          <w:position w:val="-30"/>
        </w:rPr>
        <w:object>
          <v:shape id="_x0000_i1025" o:spt="75" alt="" type="#_x0000_t75" style="height:32.25pt;width:71.25pt;" o:ole="t" filled="f" o:preferrelative="t" stroked="f" coordsize="21600,21600">
            <v:path/>
            <v:fill on="f" focussize="0,0"/>
            <v:stroke on="f"/>
            <v:imagedata r:id="rId30" o:title=""/>
            <o:lock v:ext="edit" aspectratio="t"/>
            <w10:wrap type="none"/>
            <w10:anchorlock/>
          </v:shape>
          <o:OLEObject Type="Embed" ProgID="Equation.DSMT4" ShapeID="_x0000_i1025" DrawAspect="Content" ObjectID="_1468075725" r:id="rId29">
            <o:LockedField>false</o:LockedField>
          </o:OLEObject>
        </w:object>
      </w:r>
    </w:p>
    <w:p w14:paraId="43D0EA88">
      <w:pPr>
        <w:adjustRightInd w:val="0"/>
        <w:snapToGrid w:val="0"/>
        <w:spacing w:before="0" w:beforeLines="0" w:line="360" w:lineRule="auto"/>
        <w:rPr>
          <w:sz w:val="24"/>
        </w:rPr>
      </w:pPr>
      <w:r>
        <w:rPr>
          <w:sz w:val="24"/>
        </w:rPr>
        <w:t>式中：P</w:t>
      </w:r>
      <w:r>
        <w:rPr>
          <w:sz w:val="24"/>
          <w:vertAlign w:val="subscript"/>
        </w:rPr>
        <w:t>i</w:t>
      </w:r>
      <w:r>
        <w:rPr>
          <w:sz w:val="24"/>
        </w:rPr>
        <w:t>—第i个污染物的最大地面空气质量浓度占标率，%；</w:t>
      </w:r>
    </w:p>
    <w:p w14:paraId="40C22EDC">
      <w:pPr>
        <w:adjustRightInd w:val="0"/>
        <w:snapToGrid w:val="0"/>
        <w:spacing w:before="0" w:beforeLines="0" w:line="360" w:lineRule="auto"/>
        <w:ind w:firstLine="720" w:firstLineChars="300"/>
        <w:rPr>
          <w:spacing w:val="-10"/>
          <w:sz w:val="24"/>
        </w:rPr>
      </w:pPr>
      <w:r>
        <w:rPr>
          <w:i/>
          <w:sz w:val="24"/>
        </w:rPr>
        <w:t>ρ</w:t>
      </w:r>
      <w:r>
        <w:rPr>
          <w:i/>
          <w:sz w:val="24"/>
          <w:vertAlign w:val="subscript"/>
        </w:rPr>
        <w:t>i</w:t>
      </w:r>
      <w:r>
        <w:rPr>
          <w:spacing w:val="-10"/>
          <w:sz w:val="24"/>
        </w:rPr>
        <w:t>—采用估算模式计算出的第i个污染物最大1h地面空气质量浓度，μg/m</w:t>
      </w:r>
      <w:r>
        <w:rPr>
          <w:spacing w:val="-10"/>
          <w:sz w:val="24"/>
          <w:vertAlign w:val="superscript"/>
        </w:rPr>
        <w:t>3</w:t>
      </w:r>
      <w:r>
        <w:rPr>
          <w:spacing w:val="-10"/>
          <w:sz w:val="24"/>
        </w:rPr>
        <w:t>；</w:t>
      </w:r>
    </w:p>
    <w:p w14:paraId="748C8463">
      <w:pPr>
        <w:adjustRightInd w:val="0"/>
        <w:snapToGrid w:val="0"/>
        <w:spacing w:before="0" w:beforeLines="0" w:line="360" w:lineRule="auto"/>
        <w:ind w:firstLine="720" w:firstLineChars="300"/>
        <w:rPr>
          <w:sz w:val="24"/>
        </w:rPr>
      </w:pPr>
      <w:r>
        <w:rPr>
          <w:i/>
          <w:sz w:val="24"/>
        </w:rPr>
        <w:t>ρ</w:t>
      </w:r>
      <w:r>
        <w:rPr>
          <w:i/>
          <w:sz w:val="24"/>
          <w:vertAlign w:val="subscript"/>
        </w:rPr>
        <w:t>0i</w:t>
      </w:r>
      <w:r>
        <w:rPr>
          <w:sz w:val="24"/>
        </w:rPr>
        <w:t>—第i个污染物的环境空气质量标准，μg/m</w:t>
      </w:r>
      <w:r>
        <w:rPr>
          <w:sz w:val="24"/>
          <w:vertAlign w:val="superscript"/>
        </w:rPr>
        <w:t>3</w:t>
      </w:r>
      <w:r>
        <w:rPr>
          <w:sz w:val="24"/>
        </w:rPr>
        <w:t>。</w:t>
      </w:r>
    </w:p>
    <w:p w14:paraId="4DBFBB55">
      <w:pPr>
        <w:snapToGrid w:val="0"/>
        <w:spacing w:before="0" w:beforeLines="0" w:line="360" w:lineRule="auto"/>
        <w:ind w:firstLine="480"/>
        <w:rPr>
          <w:sz w:val="24"/>
        </w:rPr>
      </w:pPr>
      <w:r>
        <w:rPr>
          <w:sz w:val="24"/>
        </w:rPr>
        <w:t>一般选用GB3095-20</w:t>
      </w:r>
      <w:r>
        <w:rPr>
          <w:rFonts w:hint="eastAsia"/>
          <w:sz w:val="24"/>
        </w:rPr>
        <w:t>12</w:t>
      </w:r>
      <w:r>
        <w:rPr>
          <w:sz w:val="24"/>
        </w:rPr>
        <w:t>中1h平均质量浓度的二级浓度限值，对仅有8h平均质量浓度限值、日平均质量浓度限值或年平均质量浓度限值的，可分别按2倍、3倍、6倍折算为1h平均质量浓度限值。</w:t>
      </w:r>
    </w:p>
    <w:p w14:paraId="4F827EF9">
      <w:pPr>
        <w:snapToGrid w:val="0"/>
        <w:spacing w:before="0" w:beforeLines="0" w:line="360" w:lineRule="auto"/>
        <w:ind w:firstLine="482" w:firstLineChars="200"/>
        <w:rPr>
          <w:b/>
          <w:bCs/>
          <w:kern w:val="0"/>
          <w:sz w:val="24"/>
        </w:rPr>
      </w:pPr>
      <w:r>
        <w:rPr>
          <w:b/>
          <w:bCs/>
          <w:kern w:val="0"/>
          <w:sz w:val="24"/>
        </w:rPr>
        <w:t>②判别依据</w:t>
      </w:r>
    </w:p>
    <w:p w14:paraId="5C4E0127">
      <w:pPr>
        <w:snapToGrid w:val="0"/>
        <w:spacing w:before="0" w:beforeLines="0" w:line="360" w:lineRule="auto"/>
        <w:ind w:firstLine="480" w:firstLineChars="200"/>
        <w:jc w:val="left"/>
        <w:rPr>
          <w:sz w:val="24"/>
        </w:rPr>
      </w:pPr>
      <w:r>
        <w:rPr>
          <w:sz w:val="24"/>
        </w:rPr>
        <w:t>大气环境影响评价等级判别见表2.4-3。</w:t>
      </w:r>
    </w:p>
    <w:p w14:paraId="378F282F">
      <w:pPr>
        <w:pStyle w:val="143"/>
        <w:spacing w:before="156"/>
      </w:pPr>
      <w:r>
        <w:rPr>
          <w:b/>
          <w:bCs w:val="0"/>
        </w:rPr>
        <w:t>表2.4-3  大气环境评价等级判别表</w:t>
      </w:r>
    </w:p>
    <w:tbl>
      <w:tblPr>
        <w:tblStyle w:val="89"/>
        <w:tblW w:w="863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334"/>
        <w:gridCol w:w="6297"/>
      </w:tblGrid>
      <w:tr w14:paraId="7A815AC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334" w:type="dxa"/>
            <w:vAlign w:val="center"/>
          </w:tcPr>
          <w:p w14:paraId="0A0565F3">
            <w:pPr>
              <w:pStyle w:val="160"/>
            </w:pPr>
            <w:r>
              <w:t>评价工作等级</w:t>
            </w:r>
          </w:p>
        </w:tc>
        <w:tc>
          <w:tcPr>
            <w:tcW w:w="6297" w:type="dxa"/>
            <w:vAlign w:val="center"/>
          </w:tcPr>
          <w:p w14:paraId="0C24CAB6">
            <w:pPr>
              <w:pStyle w:val="160"/>
            </w:pPr>
            <w:r>
              <w:t>评价工作分级判据</w:t>
            </w:r>
          </w:p>
        </w:tc>
      </w:tr>
      <w:tr w14:paraId="4446333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334" w:type="dxa"/>
            <w:vAlign w:val="center"/>
          </w:tcPr>
          <w:p w14:paraId="4F840950">
            <w:pPr>
              <w:pStyle w:val="160"/>
            </w:pPr>
            <w:r>
              <w:t>一级</w:t>
            </w:r>
          </w:p>
        </w:tc>
        <w:tc>
          <w:tcPr>
            <w:tcW w:w="6297" w:type="dxa"/>
            <w:vAlign w:val="center"/>
          </w:tcPr>
          <w:p w14:paraId="1766227F">
            <w:pPr>
              <w:pStyle w:val="160"/>
            </w:pPr>
            <w:r>
              <w:t>Pmax≥10%</w:t>
            </w:r>
          </w:p>
        </w:tc>
      </w:tr>
      <w:tr w14:paraId="2F950FC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334" w:type="dxa"/>
            <w:vAlign w:val="center"/>
          </w:tcPr>
          <w:p w14:paraId="5427669F">
            <w:pPr>
              <w:pStyle w:val="160"/>
            </w:pPr>
            <w:r>
              <w:t>二级</w:t>
            </w:r>
          </w:p>
        </w:tc>
        <w:tc>
          <w:tcPr>
            <w:tcW w:w="6297" w:type="dxa"/>
            <w:vAlign w:val="center"/>
          </w:tcPr>
          <w:p w14:paraId="0698D0F6">
            <w:pPr>
              <w:pStyle w:val="160"/>
            </w:pPr>
            <w:r>
              <w:t>1%≤Pmax&lt;10%</w:t>
            </w:r>
          </w:p>
        </w:tc>
      </w:tr>
      <w:tr w14:paraId="07D0319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334" w:type="dxa"/>
            <w:vAlign w:val="center"/>
          </w:tcPr>
          <w:p w14:paraId="048A6DA1">
            <w:pPr>
              <w:pStyle w:val="160"/>
            </w:pPr>
            <w:r>
              <w:t>三级</w:t>
            </w:r>
          </w:p>
        </w:tc>
        <w:tc>
          <w:tcPr>
            <w:tcW w:w="6297" w:type="dxa"/>
            <w:vAlign w:val="center"/>
          </w:tcPr>
          <w:p w14:paraId="4D9C7F65">
            <w:pPr>
              <w:pStyle w:val="160"/>
            </w:pPr>
            <w:r>
              <w:t>Pmax&lt;1%</w:t>
            </w:r>
          </w:p>
        </w:tc>
      </w:tr>
    </w:tbl>
    <w:p w14:paraId="590B36E9">
      <w:pPr>
        <w:snapToGrid w:val="0"/>
        <w:spacing w:before="78" w:line="360" w:lineRule="auto"/>
        <w:ind w:firstLine="482" w:firstLineChars="200"/>
        <w:rPr>
          <w:b/>
          <w:bCs/>
          <w:kern w:val="0"/>
          <w:sz w:val="24"/>
        </w:rPr>
      </w:pPr>
      <w:r>
        <w:rPr>
          <w:b/>
          <w:bCs/>
          <w:kern w:val="0"/>
          <w:sz w:val="24"/>
        </w:rPr>
        <w:fldChar w:fldCharType="begin"/>
      </w:r>
      <w:r>
        <w:rPr>
          <w:b/>
          <w:bCs/>
          <w:kern w:val="0"/>
          <w:sz w:val="24"/>
        </w:rPr>
        <w:instrText xml:space="preserve"> = 3 \* GB3 </w:instrText>
      </w:r>
      <w:r>
        <w:rPr>
          <w:b/>
          <w:bCs/>
          <w:kern w:val="0"/>
          <w:sz w:val="24"/>
        </w:rPr>
        <w:fldChar w:fldCharType="separate"/>
      </w:r>
      <w:r>
        <w:rPr>
          <w:b/>
          <w:bCs/>
          <w:kern w:val="0"/>
          <w:sz w:val="24"/>
        </w:rPr>
        <w:t>③</w:t>
      </w:r>
      <w:r>
        <w:rPr>
          <w:b/>
          <w:bCs/>
          <w:kern w:val="0"/>
          <w:sz w:val="24"/>
        </w:rPr>
        <w:fldChar w:fldCharType="end"/>
      </w:r>
      <w:r>
        <w:rPr>
          <w:b/>
          <w:bCs/>
          <w:kern w:val="0"/>
          <w:sz w:val="24"/>
        </w:rPr>
        <w:t>污染源分析</w:t>
      </w:r>
    </w:p>
    <w:p w14:paraId="1E46664F">
      <w:pPr>
        <w:snapToGrid w:val="0"/>
        <w:spacing w:before="93" w:beforeLines="30" w:after="93" w:afterLines="30" w:line="360" w:lineRule="auto"/>
        <w:ind w:firstLine="480" w:firstLineChars="200"/>
        <w:rPr>
          <w:sz w:val="24"/>
        </w:rPr>
      </w:pPr>
      <w:r>
        <w:rPr>
          <w:sz w:val="24"/>
        </w:rPr>
        <w:t>根据工程分析，本项目建成后废气污染物排放情况见工程分析章节。本次评价选取有组织排放源和无组织排放源进行预测。</w:t>
      </w:r>
    </w:p>
    <w:p w14:paraId="0DCF9A20">
      <w:pPr>
        <w:snapToGrid w:val="0"/>
        <w:spacing w:before="78" w:line="360" w:lineRule="auto"/>
        <w:ind w:firstLine="482" w:firstLineChars="200"/>
        <w:rPr>
          <w:b/>
          <w:bCs/>
          <w:kern w:val="0"/>
          <w:sz w:val="24"/>
        </w:rPr>
      </w:pPr>
      <w:r>
        <w:rPr>
          <w:b/>
          <w:bCs/>
          <w:kern w:val="0"/>
          <w:sz w:val="24"/>
        </w:rPr>
        <w:fldChar w:fldCharType="begin"/>
      </w:r>
      <w:r>
        <w:rPr>
          <w:b/>
          <w:bCs/>
          <w:kern w:val="0"/>
          <w:sz w:val="24"/>
        </w:rPr>
        <w:instrText xml:space="preserve"> = 4 \* GB3 </w:instrText>
      </w:r>
      <w:r>
        <w:rPr>
          <w:b/>
          <w:bCs/>
          <w:kern w:val="0"/>
          <w:sz w:val="24"/>
        </w:rPr>
        <w:fldChar w:fldCharType="separate"/>
      </w:r>
      <w:r>
        <w:rPr>
          <w:b/>
          <w:bCs/>
          <w:kern w:val="0"/>
          <w:sz w:val="24"/>
        </w:rPr>
        <w:t>④</w:t>
      </w:r>
      <w:r>
        <w:rPr>
          <w:b/>
          <w:bCs/>
          <w:kern w:val="0"/>
          <w:sz w:val="24"/>
        </w:rPr>
        <w:fldChar w:fldCharType="end"/>
      </w:r>
      <w:r>
        <w:rPr>
          <w:b/>
          <w:bCs/>
          <w:kern w:val="0"/>
          <w:sz w:val="24"/>
        </w:rPr>
        <w:t>采用估算模式计算结果</w:t>
      </w:r>
    </w:p>
    <w:p w14:paraId="705884A8">
      <w:pPr>
        <w:snapToGrid w:val="0"/>
        <w:spacing w:before="93" w:beforeLines="30" w:after="93" w:afterLines="30" w:line="360" w:lineRule="auto"/>
        <w:ind w:firstLine="480" w:firstLineChars="200"/>
        <w:rPr>
          <w:sz w:val="24"/>
        </w:rPr>
      </w:pPr>
      <w:r>
        <w:rPr>
          <w:sz w:val="24"/>
        </w:rPr>
        <w:t>根据《环境影响评价技术导则 大气环境》（HJ2.2-2018），选择推荐模型中的估算模式，结合工程分析中废气排放源强，计算各污染物的最大影响程度和最远影响范围。控制参数选择农村区域，估算模型参数见表2.4-4，估算结果详见表2.4-5。</w:t>
      </w:r>
    </w:p>
    <w:p w14:paraId="0EE6025E">
      <w:pPr>
        <w:pStyle w:val="143"/>
        <w:spacing w:before="156"/>
        <w:rPr>
          <w:b/>
          <w:bCs w:val="0"/>
        </w:rPr>
      </w:pPr>
      <w:bookmarkStart w:id="57" w:name="_Hlk156398005"/>
      <w:r>
        <w:rPr>
          <w:b/>
          <w:bCs w:val="0"/>
        </w:rPr>
        <w:t>表2.4-4  估算模型参数表</w:t>
      </w:r>
    </w:p>
    <w:tbl>
      <w:tblPr>
        <w:tblStyle w:val="89"/>
        <w:tblW w:w="5000" w:type="pct"/>
        <w:jc w:val="center"/>
        <w:tblBorders>
          <w:top w:val="single" w:color="auto" w:sz="12" w:space="0"/>
          <w:left w:val="none" w:color="auto" w:sz="0" w:space="0"/>
          <w:bottom w:val="single" w:color="auto" w:sz="12" w:space="0"/>
          <w:right w:val="none" w:color="auto" w:sz="0" w:space="0"/>
          <w:insideH w:val="single" w:color="000000" w:sz="6" w:space="0"/>
          <w:insideV w:val="single" w:color="000000" w:sz="6" w:space="0"/>
        </w:tblBorders>
        <w:tblLayout w:type="autofit"/>
        <w:tblCellMar>
          <w:top w:w="0" w:type="dxa"/>
          <w:left w:w="0" w:type="dxa"/>
          <w:bottom w:w="0" w:type="dxa"/>
          <w:right w:w="0" w:type="dxa"/>
        </w:tblCellMar>
      </w:tblPr>
      <w:tblGrid>
        <w:gridCol w:w="1248"/>
        <w:gridCol w:w="4673"/>
        <w:gridCol w:w="2391"/>
      </w:tblGrid>
      <w:tr w14:paraId="3E8C1820">
        <w:tblPrEx>
          <w:tblBorders>
            <w:top w:val="single" w:color="auto" w:sz="12" w:space="0"/>
            <w:left w:val="none" w:color="auto" w:sz="0" w:space="0"/>
            <w:bottom w:val="single" w:color="auto"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69" w:hRule="atLeast"/>
          <w:jc w:val="center"/>
        </w:trPr>
        <w:tc>
          <w:tcPr>
            <w:tcW w:w="3562" w:type="pct"/>
            <w:gridSpan w:val="2"/>
            <w:tcBorders>
              <w:tl2br w:val="nil"/>
              <w:tr2bl w:val="nil"/>
            </w:tcBorders>
            <w:vAlign w:val="center"/>
          </w:tcPr>
          <w:p w14:paraId="28F581D4">
            <w:pPr>
              <w:pStyle w:val="160"/>
            </w:pPr>
            <w:r>
              <w:t>参数</w:t>
            </w:r>
          </w:p>
        </w:tc>
        <w:tc>
          <w:tcPr>
            <w:tcW w:w="1438" w:type="pct"/>
            <w:tcBorders>
              <w:tl2br w:val="nil"/>
              <w:tr2bl w:val="nil"/>
            </w:tcBorders>
            <w:vAlign w:val="center"/>
          </w:tcPr>
          <w:p w14:paraId="6D8265E6">
            <w:pPr>
              <w:pStyle w:val="160"/>
            </w:pPr>
            <w:r>
              <w:t>取值</w:t>
            </w:r>
          </w:p>
        </w:tc>
      </w:tr>
      <w:tr w14:paraId="66DDDA9D">
        <w:tblPrEx>
          <w:tblBorders>
            <w:top w:val="single" w:color="auto" w:sz="12" w:space="0"/>
            <w:left w:val="none" w:color="auto" w:sz="0" w:space="0"/>
            <w:bottom w:val="single" w:color="auto"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69" w:hRule="atLeast"/>
          <w:jc w:val="center"/>
        </w:trPr>
        <w:tc>
          <w:tcPr>
            <w:tcW w:w="751" w:type="pct"/>
            <w:vMerge w:val="restart"/>
            <w:tcBorders>
              <w:tl2br w:val="nil"/>
              <w:tr2bl w:val="nil"/>
            </w:tcBorders>
            <w:vAlign w:val="center"/>
          </w:tcPr>
          <w:p w14:paraId="1F8648F0">
            <w:pPr>
              <w:pStyle w:val="160"/>
            </w:pPr>
            <w:r>
              <w:t>城市/农村</w:t>
            </w:r>
          </w:p>
          <w:p w14:paraId="7DA8D356">
            <w:pPr>
              <w:pStyle w:val="160"/>
            </w:pPr>
            <w:r>
              <w:t>选项</w:t>
            </w:r>
          </w:p>
        </w:tc>
        <w:tc>
          <w:tcPr>
            <w:tcW w:w="2811" w:type="pct"/>
            <w:tcBorders>
              <w:tl2br w:val="nil"/>
              <w:tr2bl w:val="nil"/>
            </w:tcBorders>
            <w:vAlign w:val="center"/>
          </w:tcPr>
          <w:p w14:paraId="50C07444">
            <w:pPr>
              <w:pStyle w:val="160"/>
            </w:pPr>
            <w:r>
              <w:t>城市/农村</w:t>
            </w:r>
          </w:p>
        </w:tc>
        <w:tc>
          <w:tcPr>
            <w:tcW w:w="1438" w:type="pct"/>
            <w:tcBorders>
              <w:tl2br w:val="nil"/>
              <w:tr2bl w:val="nil"/>
            </w:tcBorders>
            <w:vAlign w:val="center"/>
          </w:tcPr>
          <w:p w14:paraId="02392F72">
            <w:pPr>
              <w:pStyle w:val="160"/>
            </w:pPr>
            <w:r>
              <w:rPr>
                <w:rFonts w:hint="eastAsia"/>
                <w:szCs w:val="21"/>
              </w:rPr>
              <w:t>农村</w:t>
            </w:r>
          </w:p>
        </w:tc>
      </w:tr>
      <w:tr w14:paraId="7B303EFF">
        <w:tblPrEx>
          <w:tblBorders>
            <w:top w:val="single" w:color="auto" w:sz="12" w:space="0"/>
            <w:left w:val="none" w:color="auto" w:sz="0" w:space="0"/>
            <w:bottom w:val="single" w:color="auto"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69" w:hRule="atLeast"/>
          <w:jc w:val="center"/>
        </w:trPr>
        <w:tc>
          <w:tcPr>
            <w:tcW w:w="751" w:type="pct"/>
            <w:vMerge w:val="continue"/>
            <w:tcBorders>
              <w:tl2br w:val="nil"/>
              <w:tr2bl w:val="nil"/>
            </w:tcBorders>
            <w:vAlign w:val="center"/>
          </w:tcPr>
          <w:p w14:paraId="6818ADB3">
            <w:pPr>
              <w:pStyle w:val="160"/>
            </w:pPr>
          </w:p>
        </w:tc>
        <w:tc>
          <w:tcPr>
            <w:tcW w:w="2811" w:type="pct"/>
            <w:tcBorders>
              <w:tl2br w:val="nil"/>
              <w:tr2bl w:val="nil"/>
            </w:tcBorders>
            <w:vAlign w:val="center"/>
          </w:tcPr>
          <w:p w14:paraId="15CC95C1">
            <w:pPr>
              <w:pStyle w:val="160"/>
            </w:pPr>
            <w:r>
              <w:t>人口数（城市选项时）</w:t>
            </w:r>
          </w:p>
        </w:tc>
        <w:tc>
          <w:tcPr>
            <w:tcW w:w="1438" w:type="pct"/>
            <w:tcBorders>
              <w:tl2br w:val="nil"/>
              <w:tr2bl w:val="nil"/>
            </w:tcBorders>
            <w:vAlign w:val="center"/>
          </w:tcPr>
          <w:p w14:paraId="6499CBE7">
            <w:pPr>
              <w:pStyle w:val="160"/>
            </w:pPr>
            <w:r>
              <w:rPr>
                <w:szCs w:val="21"/>
              </w:rPr>
              <w:t>-</w:t>
            </w:r>
          </w:p>
        </w:tc>
      </w:tr>
      <w:tr w14:paraId="0D9653B2">
        <w:tblPrEx>
          <w:tblBorders>
            <w:top w:val="single" w:color="auto" w:sz="12" w:space="0"/>
            <w:left w:val="none" w:color="auto" w:sz="0" w:space="0"/>
            <w:bottom w:val="single" w:color="auto"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69" w:hRule="atLeast"/>
          <w:jc w:val="center"/>
        </w:trPr>
        <w:tc>
          <w:tcPr>
            <w:tcW w:w="3562" w:type="pct"/>
            <w:gridSpan w:val="2"/>
            <w:tcBorders>
              <w:tl2br w:val="nil"/>
              <w:tr2bl w:val="nil"/>
            </w:tcBorders>
            <w:vAlign w:val="center"/>
          </w:tcPr>
          <w:p w14:paraId="04EDB3ED">
            <w:pPr>
              <w:pStyle w:val="160"/>
            </w:pPr>
            <w:r>
              <w:t>最高环境温度/℃</w:t>
            </w:r>
          </w:p>
        </w:tc>
        <w:tc>
          <w:tcPr>
            <w:tcW w:w="1438" w:type="pct"/>
            <w:tcBorders>
              <w:tl2br w:val="nil"/>
              <w:tr2bl w:val="nil"/>
            </w:tcBorders>
            <w:vAlign w:val="center"/>
          </w:tcPr>
          <w:p w14:paraId="2E1C452B">
            <w:pPr>
              <w:pStyle w:val="160"/>
            </w:pPr>
            <w:r>
              <w:rPr>
                <w:rFonts w:hint="eastAsia"/>
              </w:rPr>
              <w:t>38.4</w:t>
            </w:r>
          </w:p>
        </w:tc>
      </w:tr>
      <w:tr w14:paraId="4DBA922E">
        <w:tblPrEx>
          <w:tblBorders>
            <w:top w:val="single" w:color="auto" w:sz="12" w:space="0"/>
            <w:left w:val="none" w:color="auto" w:sz="0" w:space="0"/>
            <w:bottom w:val="single" w:color="auto"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69" w:hRule="atLeast"/>
          <w:jc w:val="center"/>
        </w:trPr>
        <w:tc>
          <w:tcPr>
            <w:tcW w:w="3562" w:type="pct"/>
            <w:gridSpan w:val="2"/>
            <w:tcBorders>
              <w:tl2br w:val="nil"/>
              <w:tr2bl w:val="nil"/>
            </w:tcBorders>
            <w:vAlign w:val="center"/>
          </w:tcPr>
          <w:p w14:paraId="5B159BAB">
            <w:pPr>
              <w:pStyle w:val="160"/>
            </w:pPr>
            <w:r>
              <w:t>最低环境温度/℃</w:t>
            </w:r>
          </w:p>
        </w:tc>
        <w:tc>
          <w:tcPr>
            <w:tcW w:w="1438" w:type="pct"/>
            <w:tcBorders>
              <w:tl2br w:val="nil"/>
              <w:tr2bl w:val="nil"/>
            </w:tcBorders>
            <w:vAlign w:val="center"/>
          </w:tcPr>
          <w:p w14:paraId="6701DE50">
            <w:pPr>
              <w:pStyle w:val="160"/>
            </w:pPr>
            <w:r>
              <w:t>-</w:t>
            </w:r>
            <w:r>
              <w:rPr>
                <w:rFonts w:hint="eastAsia"/>
              </w:rPr>
              <w:t>30.9</w:t>
            </w:r>
          </w:p>
        </w:tc>
      </w:tr>
      <w:tr w14:paraId="7B741DB2">
        <w:tblPrEx>
          <w:tblBorders>
            <w:top w:val="single" w:color="auto" w:sz="12" w:space="0"/>
            <w:left w:val="none" w:color="auto" w:sz="0" w:space="0"/>
            <w:bottom w:val="single" w:color="auto"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69" w:hRule="atLeast"/>
          <w:jc w:val="center"/>
        </w:trPr>
        <w:tc>
          <w:tcPr>
            <w:tcW w:w="3562" w:type="pct"/>
            <w:gridSpan w:val="2"/>
            <w:tcBorders>
              <w:tl2br w:val="nil"/>
              <w:tr2bl w:val="nil"/>
            </w:tcBorders>
            <w:vAlign w:val="center"/>
          </w:tcPr>
          <w:p w14:paraId="0986D6DD">
            <w:pPr>
              <w:pStyle w:val="160"/>
            </w:pPr>
            <w:r>
              <w:t>土地利用类型</w:t>
            </w:r>
          </w:p>
        </w:tc>
        <w:tc>
          <w:tcPr>
            <w:tcW w:w="1438" w:type="pct"/>
            <w:tcBorders>
              <w:tl2br w:val="nil"/>
              <w:tr2bl w:val="nil"/>
            </w:tcBorders>
            <w:vAlign w:val="center"/>
          </w:tcPr>
          <w:p w14:paraId="14EDA232">
            <w:pPr>
              <w:pStyle w:val="160"/>
            </w:pPr>
            <w:r>
              <w:t>农作地</w:t>
            </w:r>
          </w:p>
        </w:tc>
      </w:tr>
      <w:tr w14:paraId="4B8FF68A">
        <w:tblPrEx>
          <w:tblBorders>
            <w:top w:val="single" w:color="auto" w:sz="12" w:space="0"/>
            <w:left w:val="none" w:color="auto" w:sz="0" w:space="0"/>
            <w:bottom w:val="single" w:color="auto"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69" w:hRule="atLeast"/>
          <w:jc w:val="center"/>
        </w:trPr>
        <w:tc>
          <w:tcPr>
            <w:tcW w:w="3562" w:type="pct"/>
            <w:gridSpan w:val="2"/>
            <w:tcBorders>
              <w:tl2br w:val="nil"/>
              <w:tr2bl w:val="nil"/>
            </w:tcBorders>
            <w:vAlign w:val="center"/>
          </w:tcPr>
          <w:p w14:paraId="30A42515">
            <w:pPr>
              <w:pStyle w:val="160"/>
            </w:pPr>
            <w:r>
              <w:t>区域湿度条件</w:t>
            </w:r>
          </w:p>
        </w:tc>
        <w:tc>
          <w:tcPr>
            <w:tcW w:w="1438" w:type="pct"/>
            <w:tcBorders>
              <w:tl2br w:val="nil"/>
              <w:tr2bl w:val="nil"/>
            </w:tcBorders>
            <w:vAlign w:val="center"/>
          </w:tcPr>
          <w:p w14:paraId="242F745E">
            <w:pPr>
              <w:pStyle w:val="160"/>
            </w:pPr>
            <w:r>
              <w:t>中等湿度</w:t>
            </w:r>
          </w:p>
        </w:tc>
      </w:tr>
      <w:tr w14:paraId="5234CB3C">
        <w:tblPrEx>
          <w:tblBorders>
            <w:top w:val="single" w:color="auto" w:sz="12" w:space="0"/>
            <w:left w:val="none" w:color="auto" w:sz="0" w:space="0"/>
            <w:bottom w:val="single" w:color="auto"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69" w:hRule="atLeast"/>
          <w:jc w:val="center"/>
        </w:trPr>
        <w:tc>
          <w:tcPr>
            <w:tcW w:w="751" w:type="pct"/>
            <w:vMerge w:val="restart"/>
            <w:tcBorders>
              <w:tl2br w:val="nil"/>
              <w:tr2bl w:val="nil"/>
            </w:tcBorders>
            <w:vAlign w:val="center"/>
          </w:tcPr>
          <w:p w14:paraId="6CF1F568">
            <w:pPr>
              <w:pStyle w:val="160"/>
            </w:pPr>
            <w:r>
              <w:t>是否考虑地形</w:t>
            </w:r>
          </w:p>
        </w:tc>
        <w:tc>
          <w:tcPr>
            <w:tcW w:w="2811" w:type="pct"/>
            <w:tcBorders>
              <w:tl2br w:val="nil"/>
              <w:tr2bl w:val="nil"/>
            </w:tcBorders>
            <w:vAlign w:val="center"/>
          </w:tcPr>
          <w:p w14:paraId="1960787E">
            <w:pPr>
              <w:pStyle w:val="160"/>
            </w:pPr>
            <w:r>
              <w:t>考虑地形</w:t>
            </w:r>
          </w:p>
        </w:tc>
        <w:tc>
          <w:tcPr>
            <w:tcW w:w="1438" w:type="pct"/>
            <w:tcBorders>
              <w:tl2br w:val="nil"/>
              <w:tr2bl w:val="nil"/>
            </w:tcBorders>
            <w:vAlign w:val="center"/>
          </w:tcPr>
          <w:p w14:paraId="24FB27DB">
            <w:pPr>
              <w:pStyle w:val="160"/>
            </w:pPr>
            <w:r>
              <w:rPr>
                <w:rFonts w:hint="eastAsia" w:ascii="宋体" w:hAnsi="宋体"/>
                <w:szCs w:val="21"/>
              </w:rPr>
              <w:sym w:font="Wingdings 2" w:char="0052"/>
            </w:r>
            <w:r>
              <w:rPr>
                <w:rFonts w:hint="eastAsia"/>
                <w:szCs w:val="21"/>
              </w:rPr>
              <w:t>是   否</w:t>
            </w:r>
          </w:p>
        </w:tc>
      </w:tr>
      <w:tr w14:paraId="33DD07FE">
        <w:tblPrEx>
          <w:tblBorders>
            <w:top w:val="single" w:color="auto" w:sz="12" w:space="0"/>
            <w:left w:val="none" w:color="auto" w:sz="0" w:space="0"/>
            <w:bottom w:val="single" w:color="auto"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69" w:hRule="atLeast"/>
          <w:jc w:val="center"/>
        </w:trPr>
        <w:tc>
          <w:tcPr>
            <w:tcW w:w="751" w:type="pct"/>
            <w:vMerge w:val="continue"/>
            <w:tcBorders>
              <w:tl2br w:val="nil"/>
              <w:tr2bl w:val="nil"/>
            </w:tcBorders>
            <w:vAlign w:val="center"/>
          </w:tcPr>
          <w:p w14:paraId="4E658BFF">
            <w:pPr>
              <w:pStyle w:val="160"/>
            </w:pPr>
          </w:p>
        </w:tc>
        <w:tc>
          <w:tcPr>
            <w:tcW w:w="2811" w:type="pct"/>
            <w:tcBorders>
              <w:tl2br w:val="nil"/>
              <w:tr2bl w:val="nil"/>
            </w:tcBorders>
            <w:vAlign w:val="center"/>
          </w:tcPr>
          <w:p w14:paraId="28B88F41">
            <w:pPr>
              <w:pStyle w:val="160"/>
            </w:pPr>
            <w:r>
              <w:t>地形数据分辨率/m</w:t>
            </w:r>
          </w:p>
        </w:tc>
        <w:tc>
          <w:tcPr>
            <w:tcW w:w="1438" w:type="pct"/>
            <w:tcBorders>
              <w:tl2br w:val="nil"/>
              <w:tr2bl w:val="nil"/>
            </w:tcBorders>
            <w:vAlign w:val="center"/>
          </w:tcPr>
          <w:p w14:paraId="4B5C6D61">
            <w:pPr>
              <w:pStyle w:val="160"/>
            </w:pPr>
            <w:r>
              <w:rPr>
                <w:rFonts w:hint="eastAsia"/>
                <w:szCs w:val="21"/>
              </w:rPr>
              <w:t>90</w:t>
            </w:r>
          </w:p>
        </w:tc>
      </w:tr>
      <w:tr w14:paraId="0B2B91A6">
        <w:tblPrEx>
          <w:tblBorders>
            <w:top w:val="single" w:color="auto" w:sz="12" w:space="0"/>
            <w:left w:val="none" w:color="auto" w:sz="0" w:space="0"/>
            <w:bottom w:val="single" w:color="auto"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69" w:hRule="atLeast"/>
          <w:jc w:val="center"/>
        </w:trPr>
        <w:tc>
          <w:tcPr>
            <w:tcW w:w="751" w:type="pct"/>
            <w:vMerge w:val="restart"/>
            <w:tcBorders>
              <w:tl2br w:val="nil"/>
              <w:tr2bl w:val="nil"/>
            </w:tcBorders>
            <w:vAlign w:val="center"/>
          </w:tcPr>
          <w:p w14:paraId="41886860">
            <w:pPr>
              <w:pStyle w:val="160"/>
            </w:pPr>
            <w:r>
              <w:t>是否考虑</w:t>
            </w:r>
          </w:p>
          <w:p w14:paraId="29190132">
            <w:pPr>
              <w:pStyle w:val="160"/>
            </w:pPr>
            <w:r>
              <w:t>岸线熏烟</w:t>
            </w:r>
          </w:p>
        </w:tc>
        <w:tc>
          <w:tcPr>
            <w:tcW w:w="2811" w:type="pct"/>
            <w:tcBorders>
              <w:tl2br w:val="nil"/>
              <w:tr2bl w:val="nil"/>
            </w:tcBorders>
            <w:vAlign w:val="center"/>
          </w:tcPr>
          <w:p w14:paraId="3F4F983B">
            <w:pPr>
              <w:pStyle w:val="160"/>
            </w:pPr>
            <w:r>
              <w:t>考虑岸线熏烟</w:t>
            </w:r>
          </w:p>
        </w:tc>
        <w:tc>
          <w:tcPr>
            <w:tcW w:w="1438" w:type="pct"/>
            <w:tcBorders>
              <w:tl2br w:val="nil"/>
              <w:tr2bl w:val="nil"/>
            </w:tcBorders>
            <w:vAlign w:val="center"/>
          </w:tcPr>
          <w:p w14:paraId="6B8FEAB2">
            <w:pPr>
              <w:pStyle w:val="160"/>
            </w:pPr>
            <w:r>
              <w:rPr>
                <w:rFonts w:hint="eastAsia"/>
                <w:szCs w:val="21"/>
              </w:rPr>
              <w:t xml:space="preserve">是  </w:t>
            </w:r>
            <w:r>
              <w:rPr>
                <w:rFonts w:hint="eastAsia" w:ascii="宋体" w:hAnsi="宋体"/>
                <w:szCs w:val="21"/>
              </w:rPr>
              <w:sym w:font="Wingdings 2" w:char="0052"/>
            </w:r>
            <w:r>
              <w:rPr>
                <w:rFonts w:hint="eastAsia"/>
                <w:szCs w:val="21"/>
              </w:rPr>
              <w:t xml:space="preserve"> 否</w:t>
            </w:r>
          </w:p>
        </w:tc>
      </w:tr>
      <w:tr w14:paraId="575D9A3C">
        <w:tblPrEx>
          <w:tblBorders>
            <w:top w:val="single" w:color="auto" w:sz="12" w:space="0"/>
            <w:left w:val="none" w:color="auto" w:sz="0" w:space="0"/>
            <w:bottom w:val="single" w:color="auto"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69" w:hRule="atLeast"/>
          <w:jc w:val="center"/>
        </w:trPr>
        <w:tc>
          <w:tcPr>
            <w:tcW w:w="751" w:type="pct"/>
            <w:vMerge w:val="continue"/>
            <w:tcBorders>
              <w:tl2br w:val="nil"/>
              <w:tr2bl w:val="nil"/>
            </w:tcBorders>
            <w:vAlign w:val="center"/>
          </w:tcPr>
          <w:p w14:paraId="217F3ED6">
            <w:pPr>
              <w:pStyle w:val="160"/>
            </w:pPr>
          </w:p>
        </w:tc>
        <w:tc>
          <w:tcPr>
            <w:tcW w:w="2811" w:type="pct"/>
            <w:tcBorders>
              <w:tl2br w:val="nil"/>
              <w:tr2bl w:val="nil"/>
            </w:tcBorders>
            <w:vAlign w:val="center"/>
          </w:tcPr>
          <w:p w14:paraId="299A4DB1">
            <w:pPr>
              <w:pStyle w:val="160"/>
            </w:pPr>
            <w:r>
              <w:t>岸线距离/m</w:t>
            </w:r>
          </w:p>
        </w:tc>
        <w:tc>
          <w:tcPr>
            <w:tcW w:w="1438" w:type="pct"/>
            <w:tcBorders>
              <w:tl2br w:val="nil"/>
              <w:tr2bl w:val="nil"/>
            </w:tcBorders>
            <w:vAlign w:val="center"/>
          </w:tcPr>
          <w:p w14:paraId="1FA350C0">
            <w:pPr>
              <w:pStyle w:val="160"/>
            </w:pPr>
            <w:r>
              <w:rPr>
                <w:szCs w:val="21"/>
              </w:rPr>
              <w:t>-</w:t>
            </w:r>
          </w:p>
        </w:tc>
      </w:tr>
      <w:tr w14:paraId="2AC6A5D0">
        <w:tblPrEx>
          <w:tblBorders>
            <w:top w:val="single" w:color="auto" w:sz="12" w:space="0"/>
            <w:left w:val="none" w:color="auto" w:sz="0" w:space="0"/>
            <w:bottom w:val="single" w:color="auto"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69" w:hRule="atLeast"/>
          <w:jc w:val="center"/>
        </w:trPr>
        <w:tc>
          <w:tcPr>
            <w:tcW w:w="751" w:type="pct"/>
            <w:vMerge w:val="continue"/>
            <w:tcBorders>
              <w:tl2br w:val="nil"/>
              <w:tr2bl w:val="nil"/>
            </w:tcBorders>
            <w:vAlign w:val="center"/>
          </w:tcPr>
          <w:p w14:paraId="3CF2CA63">
            <w:pPr>
              <w:pStyle w:val="160"/>
            </w:pPr>
          </w:p>
        </w:tc>
        <w:tc>
          <w:tcPr>
            <w:tcW w:w="2811" w:type="pct"/>
            <w:tcBorders>
              <w:tl2br w:val="nil"/>
              <w:tr2bl w:val="nil"/>
            </w:tcBorders>
            <w:vAlign w:val="center"/>
          </w:tcPr>
          <w:p w14:paraId="494B0298">
            <w:pPr>
              <w:pStyle w:val="160"/>
            </w:pPr>
            <w:r>
              <w:t>岸线方向/°</w:t>
            </w:r>
          </w:p>
        </w:tc>
        <w:tc>
          <w:tcPr>
            <w:tcW w:w="1438" w:type="pct"/>
            <w:tcBorders>
              <w:tl2br w:val="nil"/>
              <w:tr2bl w:val="nil"/>
            </w:tcBorders>
            <w:vAlign w:val="center"/>
          </w:tcPr>
          <w:p w14:paraId="5DAF57C2">
            <w:pPr>
              <w:pStyle w:val="160"/>
            </w:pPr>
            <w:r>
              <w:rPr>
                <w:szCs w:val="21"/>
              </w:rPr>
              <w:t>-</w:t>
            </w:r>
          </w:p>
        </w:tc>
      </w:tr>
      <w:bookmarkEnd w:id="57"/>
    </w:tbl>
    <w:p w14:paraId="21D3EB77">
      <w:pPr>
        <w:pStyle w:val="143"/>
        <w:spacing w:before="156"/>
        <w:rPr>
          <w:b/>
          <w:bCs w:val="0"/>
        </w:rPr>
      </w:pPr>
      <w:r>
        <w:rPr>
          <w:b/>
          <w:bCs w:val="0"/>
        </w:rPr>
        <w:t>表2.4-5  本工程主要污染源各污染物估算结果</w:t>
      </w:r>
    </w:p>
    <w:tbl>
      <w:tblPr>
        <w:tblStyle w:val="89"/>
        <w:tblW w:w="5104"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269"/>
        <w:gridCol w:w="905"/>
        <w:gridCol w:w="1446"/>
        <w:gridCol w:w="1448"/>
        <w:gridCol w:w="1157"/>
        <w:gridCol w:w="1364"/>
        <w:gridCol w:w="896"/>
      </w:tblGrid>
      <w:tr w14:paraId="6CEC8E1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56" w:hRule="atLeast"/>
          <w:jc w:val="center"/>
        </w:trPr>
        <w:tc>
          <w:tcPr>
            <w:tcW w:w="748" w:type="pct"/>
            <w:tcBorders>
              <w:tl2br w:val="nil"/>
              <w:tr2bl w:val="nil"/>
            </w:tcBorders>
            <w:vAlign w:val="center"/>
          </w:tcPr>
          <w:p w14:paraId="59FCF1F8">
            <w:pPr>
              <w:pStyle w:val="160"/>
              <w:rPr>
                <w:szCs w:val="21"/>
              </w:rPr>
            </w:pPr>
            <w:r>
              <w:rPr>
                <w:szCs w:val="21"/>
              </w:rPr>
              <w:t>污染源名称</w:t>
            </w:r>
          </w:p>
        </w:tc>
        <w:tc>
          <w:tcPr>
            <w:tcW w:w="533" w:type="pct"/>
            <w:tcBorders>
              <w:tl2br w:val="nil"/>
              <w:tr2bl w:val="nil"/>
            </w:tcBorders>
            <w:vAlign w:val="center"/>
          </w:tcPr>
          <w:p w14:paraId="57DBAAB5">
            <w:pPr>
              <w:pStyle w:val="160"/>
              <w:rPr>
                <w:szCs w:val="21"/>
              </w:rPr>
            </w:pPr>
            <w:r>
              <w:rPr>
                <w:szCs w:val="21"/>
              </w:rPr>
              <w:t>污染物</w:t>
            </w:r>
          </w:p>
        </w:tc>
        <w:tc>
          <w:tcPr>
            <w:tcW w:w="852" w:type="pct"/>
            <w:tcBorders>
              <w:tl2br w:val="nil"/>
              <w:tr2bl w:val="nil"/>
            </w:tcBorders>
            <w:vAlign w:val="center"/>
          </w:tcPr>
          <w:p w14:paraId="2130C603">
            <w:pPr>
              <w:pStyle w:val="160"/>
              <w:rPr>
                <w:szCs w:val="21"/>
              </w:rPr>
            </w:pPr>
            <w:r>
              <w:rPr>
                <w:szCs w:val="21"/>
              </w:rPr>
              <w:t>最大地面浓度(μg/m</w:t>
            </w:r>
            <w:r>
              <w:rPr>
                <w:szCs w:val="21"/>
                <w:vertAlign w:val="superscript"/>
              </w:rPr>
              <w:t>3</w:t>
            </w:r>
            <w:r>
              <w:rPr>
                <w:szCs w:val="21"/>
              </w:rPr>
              <w:t>)</w:t>
            </w:r>
          </w:p>
        </w:tc>
        <w:tc>
          <w:tcPr>
            <w:tcW w:w="853" w:type="pct"/>
            <w:tcBorders>
              <w:tl2br w:val="nil"/>
              <w:tr2bl w:val="nil"/>
            </w:tcBorders>
            <w:vAlign w:val="center"/>
          </w:tcPr>
          <w:p w14:paraId="672915EA">
            <w:pPr>
              <w:pStyle w:val="160"/>
              <w:rPr>
                <w:szCs w:val="21"/>
              </w:rPr>
            </w:pPr>
            <w:r>
              <w:rPr>
                <w:szCs w:val="21"/>
              </w:rPr>
              <w:t>P</w:t>
            </w:r>
            <w:r>
              <w:rPr>
                <w:szCs w:val="21"/>
                <w:vertAlign w:val="subscript"/>
              </w:rPr>
              <w:t>max</w:t>
            </w:r>
            <w:r>
              <w:rPr>
                <w:szCs w:val="21"/>
              </w:rPr>
              <w:t>(%)</w:t>
            </w:r>
          </w:p>
        </w:tc>
        <w:tc>
          <w:tcPr>
            <w:tcW w:w="682" w:type="pct"/>
            <w:tcBorders>
              <w:tl2br w:val="nil"/>
              <w:tr2bl w:val="nil"/>
            </w:tcBorders>
            <w:vAlign w:val="center"/>
          </w:tcPr>
          <w:p w14:paraId="3E9B21DA">
            <w:pPr>
              <w:pStyle w:val="160"/>
              <w:rPr>
                <w:b/>
                <w:bCs/>
                <w:szCs w:val="21"/>
              </w:rPr>
            </w:pPr>
            <w:r>
              <w:rPr>
                <w:szCs w:val="21"/>
              </w:rPr>
              <w:t>最大落地距离/m</w:t>
            </w:r>
          </w:p>
        </w:tc>
        <w:tc>
          <w:tcPr>
            <w:tcW w:w="804" w:type="pct"/>
            <w:tcBorders>
              <w:tl2br w:val="nil"/>
              <w:tr2bl w:val="nil"/>
            </w:tcBorders>
            <w:vAlign w:val="center"/>
          </w:tcPr>
          <w:p w14:paraId="3605E99D">
            <w:pPr>
              <w:pStyle w:val="160"/>
              <w:rPr>
                <w:szCs w:val="21"/>
              </w:rPr>
            </w:pPr>
            <w:r>
              <w:rPr>
                <w:rFonts w:hint="eastAsia"/>
                <w:szCs w:val="21"/>
              </w:rPr>
              <w:t>D</w:t>
            </w:r>
            <w:r>
              <w:rPr>
                <w:rFonts w:hint="eastAsia"/>
                <w:szCs w:val="21"/>
                <w:vertAlign w:val="subscript"/>
              </w:rPr>
              <w:t>10%</w:t>
            </w:r>
            <w:r>
              <w:rPr>
                <w:rFonts w:hint="eastAsia"/>
                <w:szCs w:val="21"/>
              </w:rPr>
              <w:t>最远距离/m</w:t>
            </w:r>
          </w:p>
        </w:tc>
        <w:tc>
          <w:tcPr>
            <w:tcW w:w="529" w:type="pct"/>
            <w:tcBorders>
              <w:tl2br w:val="nil"/>
              <w:tr2bl w:val="nil"/>
            </w:tcBorders>
            <w:vAlign w:val="center"/>
          </w:tcPr>
          <w:p w14:paraId="176731C2">
            <w:pPr>
              <w:pStyle w:val="160"/>
              <w:rPr>
                <w:szCs w:val="21"/>
              </w:rPr>
            </w:pPr>
            <w:r>
              <w:rPr>
                <w:szCs w:val="21"/>
              </w:rPr>
              <w:t>评价等级</w:t>
            </w:r>
          </w:p>
        </w:tc>
      </w:tr>
      <w:tr w14:paraId="158F5AA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48" w:type="pct"/>
            <w:tcBorders>
              <w:tl2br w:val="nil"/>
              <w:tr2bl w:val="nil"/>
            </w:tcBorders>
            <w:vAlign w:val="center"/>
          </w:tcPr>
          <w:p w14:paraId="4A1394B8">
            <w:pPr>
              <w:widowControl/>
              <w:spacing w:before="0" w:beforeLines="0" w:line="240" w:lineRule="auto"/>
              <w:jc w:val="center"/>
              <w:textAlignment w:val="center"/>
              <w:rPr>
                <w:szCs w:val="21"/>
              </w:rPr>
            </w:pPr>
            <w:r>
              <w:rPr>
                <w:kern w:val="0"/>
                <w:szCs w:val="21"/>
                <w:lang w:bidi="ar"/>
              </w:rPr>
              <w:t>DA001</w:t>
            </w:r>
          </w:p>
        </w:tc>
        <w:tc>
          <w:tcPr>
            <w:tcW w:w="533" w:type="pct"/>
            <w:vMerge w:val="restart"/>
            <w:tcBorders>
              <w:tl2br w:val="nil"/>
              <w:tr2bl w:val="nil"/>
            </w:tcBorders>
            <w:vAlign w:val="center"/>
          </w:tcPr>
          <w:p w14:paraId="6C3D2FA2">
            <w:pPr>
              <w:pStyle w:val="160"/>
              <w:rPr>
                <w:szCs w:val="21"/>
              </w:rPr>
            </w:pPr>
            <w:r>
              <w:rPr>
                <w:rFonts w:hint="eastAsia"/>
                <w:szCs w:val="21"/>
              </w:rPr>
              <w:t>颗粒物</w:t>
            </w:r>
          </w:p>
        </w:tc>
        <w:tc>
          <w:tcPr>
            <w:tcW w:w="852" w:type="pct"/>
            <w:tcBorders>
              <w:tl2br w:val="nil"/>
              <w:tr2bl w:val="nil"/>
            </w:tcBorders>
            <w:vAlign w:val="center"/>
          </w:tcPr>
          <w:p w14:paraId="02593D10">
            <w:pPr>
              <w:pStyle w:val="160"/>
              <w:rPr>
                <w:szCs w:val="21"/>
              </w:rPr>
            </w:pPr>
            <w:r>
              <w:rPr>
                <w:rFonts w:hint="eastAsia"/>
                <w:szCs w:val="21"/>
              </w:rPr>
              <w:t>88.643</w:t>
            </w:r>
          </w:p>
        </w:tc>
        <w:tc>
          <w:tcPr>
            <w:tcW w:w="853" w:type="pct"/>
            <w:tcBorders>
              <w:tl2br w:val="nil"/>
              <w:tr2bl w:val="nil"/>
            </w:tcBorders>
            <w:vAlign w:val="center"/>
          </w:tcPr>
          <w:p w14:paraId="34882ECF">
            <w:pPr>
              <w:pStyle w:val="160"/>
              <w:rPr>
                <w:szCs w:val="21"/>
              </w:rPr>
            </w:pPr>
            <w:r>
              <w:rPr>
                <w:rFonts w:hint="eastAsia"/>
                <w:szCs w:val="21"/>
              </w:rPr>
              <w:t>24.62</w:t>
            </w:r>
          </w:p>
        </w:tc>
        <w:tc>
          <w:tcPr>
            <w:tcW w:w="682" w:type="pct"/>
            <w:tcBorders>
              <w:tl2br w:val="nil"/>
              <w:tr2bl w:val="nil"/>
            </w:tcBorders>
            <w:vAlign w:val="center"/>
          </w:tcPr>
          <w:p w14:paraId="0A710597">
            <w:pPr>
              <w:pStyle w:val="160"/>
              <w:rPr>
                <w:sz w:val="22"/>
                <w:szCs w:val="22"/>
              </w:rPr>
            </w:pPr>
            <w:r>
              <w:rPr>
                <w:rFonts w:hint="eastAsia"/>
                <w:sz w:val="22"/>
                <w:szCs w:val="22"/>
              </w:rPr>
              <w:t>483</w:t>
            </w:r>
          </w:p>
        </w:tc>
        <w:tc>
          <w:tcPr>
            <w:tcW w:w="804" w:type="pct"/>
            <w:tcBorders>
              <w:tl2br w:val="nil"/>
              <w:tr2bl w:val="nil"/>
            </w:tcBorders>
            <w:vAlign w:val="center"/>
          </w:tcPr>
          <w:p w14:paraId="787FBFE3">
            <w:pPr>
              <w:pStyle w:val="160"/>
              <w:rPr>
                <w:szCs w:val="21"/>
              </w:rPr>
            </w:pPr>
            <w:r>
              <w:rPr>
                <w:rFonts w:hint="eastAsia"/>
                <w:szCs w:val="21"/>
              </w:rPr>
              <w:t>750</w:t>
            </w:r>
          </w:p>
        </w:tc>
        <w:tc>
          <w:tcPr>
            <w:tcW w:w="529" w:type="pct"/>
            <w:tcBorders>
              <w:tl2br w:val="nil"/>
              <w:tr2bl w:val="nil"/>
            </w:tcBorders>
            <w:vAlign w:val="center"/>
          </w:tcPr>
          <w:p w14:paraId="1573C669">
            <w:pPr>
              <w:pStyle w:val="160"/>
              <w:rPr>
                <w:szCs w:val="21"/>
              </w:rPr>
            </w:pPr>
            <w:r>
              <w:rPr>
                <w:rFonts w:hint="eastAsia"/>
                <w:sz w:val="22"/>
                <w:szCs w:val="22"/>
              </w:rPr>
              <w:t>一级</w:t>
            </w:r>
          </w:p>
        </w:tc>
      </w:tr>
      <w:tr w14:paraId="68A3E78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48" w:type="pct"/>
            <w:tcBorders>
              <w:tl2br w:val="nil"/>
              <w:tr2bl w:val="nil"/>
            </w:tcBorders>
            <w:vAlign w:val="center"/>
          </w:tcPr>
          <w:p w14:paraId="3794739C">
            <w:pPr>
              <w:widowControl/>
              <w:spacing w:before="0" w:beforeLines="0" w:line="240" w:lineRule="auto"/>
              <w:jc w:val="center"/>
              <w:textAlignment w:val="center"/>
              <w:rPr>
                <w:szCs w:val="21"/>
              </w:rPr>
            </w:pPr>
            <w:r>
              <w:rPr>
                <w:kern w:val="0"/>
                <w:szCs w:val="21"/>
                <w:lang w:bidi="ar"/>
              </w:rPr>
              <w:t>DA002</w:t>
            </w:r>
          </w:p>
        </w:tc>
        <w:tc>
          <w:tcPr>
            <w:tcW w:w="533" w:type="pct"/>
            <w:vMerge w:val="continue"/>
            <w:tcBorders>
              <w:tl2br w:val="nil"/>
              <w:tr2bl w:val="nil"/>
            </w:tcBorders>
            <w:vAlign w:val="center"/>
          </w:tcPr>
          <w:p w14:paraId="5523E616">
            <w:pPr>
              <w:pStyle w:val="160"/>
              <w:rPr>
                <w:szCs w:val="21"/>
              </w:rPr>
            </w:pPr>
          </w:p>
        </w:tc>
        <w:tc>
          <w:tcPr>
            <w:tcW w:w="852" w:type="pct"/>
            <w:tcBorders>
              <w:tl2br w:val="nil"/>
              <w:tr2bl w:val="nil"/>
            </w:tcBorders>
            <w:vAlign w:val="center"/>
          </w:tcPr>
          <w:p w14:paraId="5D3EBF98">
            <w:pPr>
              <w:pStyle w:val="160"/>
              <w:rPr>
                <w:szCs w:val="21"/>
              </w:rPr>
            </w:pPr>
            <w:r>
              <w:rPr>
                <w:rFonts w:hint="eastAsia"/>
                <w:szCs w:val="21"/>
              </w:rPr>
              <w:t>90.467</w:t>
            </w:r>
          </w:p>
        </w:tc>
        <w:tc>
          <w:tcPr>
            <w:tcW w:w="853" w:type="pct"/>
            <w:tcBorders>
              <w:tl2br w:val="nil"/>
              <w:tr2bl w:val="nil"/>
            </w:tcBorders>
            <w:vAlign w:val="center"/>
          </w:tcPr>
          <w:p w14:paraId="4B490FBF">
            <w:pPr>
              <w:pStyle w:val="160"/>
              <w:rPr>
                <w:szCs w:val="21"/>
              </w:rPr>
            </w:pPr>
            <w:r>
              <w:rPr>
                <w:rFonts w:hint="eastAsia"/>
                <w:szCs w:val="21"/>
              </w:rPr>
              <w:t>25.13</w:t>
            </w:r>
          </w:p>
        </w:tc>
        <w:tc>
          <w:tcPr>
            <w:tcW w:w="682" w:type="pct"/>
            <w:tcBorders>
              <w:tl2br w:val="nil"/>
              <w:tr2bl w:val="nil"/>
            </w:tcBorders>
            <w:vAlign w:val="center"/>
          </w:tcPr>
          <w:p w14:paraId="16DA3CC4">
            <w:pPr>
              <w:pStyle w:val="160"/>
              <w:rPr>
                <w:sz w:val="22"/>
                <w:szCs w:val="22"/>
              </w:rPr>
            </w:pPr>
            <w:r>
              <w:rPr>
                <w:rFonts w:hint="eastAsia"/>
                <w:sz w:val="22"/>
                <w:szCs w:val="22"/>
              </w:rPr>
              <w:t>483</w:t>
            </w:r>
          </w:p>
        </w:tc>
        <w:tc>
          <w:tcPr>
            <w:tcW w:w="804" w:type="pct"/>
            <w:tcBorders>
              <w:tl2br w:val="nil"/>
              <w:tr2bl w:val="nil"/>
            </w:tcBorders>
            <w:vAlign w:val="center"/>
          </w:tcPr>
          <w:p w14:paraId="5FB62463">
            <w:pPr>
              <w:pStyle w:val="160"/>
              <w:rPr>
                <w:szCs w:val="21"/>
              </w:rPr>
            </w:pPr>
            <w:r>
              <w:rPr>
                <w:rFonts w:hint="eastAsia"/>
                <w:szCs w:val="21"/>
              </w:rPr>
              <w:t>750</w:t>
            </w:r>
          </w:p>
        </w:tc>
        <w:tc>
          <w:tcPr>
            <w:tcW w:w="529" w:type="pct"/>
            <w:tcBorders>
              <w:tl2br w:val="nil"/>
              <w:tr2bl w:val="nil"/>
            </w:tcBorders>
            <w:vAlign w:val="center"/>
          </w:tcPr>
          <w:p w14:paraId="5F415698">
            <w:pPr>
              <w:pStyle w:val="160"/>
              <w:rPr>
                <w:szCs w:val="21"/>
              </w:rPr>
            </w:pPr>
            <w:r>
              <w:rPr>
                <w:rFonts w:hint="eastAsia"/>
                <w:sz w:val="22"/>
                <w:szCs w:val="22"/>
              </w:rPr>
              <w:t>一级</w:t>
            </w:r>
          </w:p>
        </w:tc>
      </w:tr>
      <w:tr w14:paraId="1EE41DB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48" w:type="pct"/>
            <w:tcBorders>
              <w:tl2br w:val="nil"/>
              <w:tr2bl w:val="nil"/>
            </w:tcBorders>
            <w:vAlign w:val="center"/>
          </w:tcPr>
          <w:p w14:paraId="72F5E581">
            <w:pPr>
              <w:widowControl/>
              <w:spacing w:before="0" w:beforeLines="0" w:line="240" w:lineRule="auto"/>
              <w:jc w:val="center"/>
              <w:textAlignment w:val="center"/>
              <w:rPr>
                <w:szCs w:val="21"/>
              </w:rPr>
            </w:pPr>
            <w:r>
              <w:rPr>
                <w:kern w:val="0"/>
                <w:szCs w:val="21"/>
                <w:lang w:bidi="ar"/>
              </w:rPr>
              <w:t>DA003</w:t>
            </w:r>
          </w:p>
        </w:tc>
        <w:tc>
          <w:tcPr>
            <w:tcW w:w="533" w:type="pct"/>
            <w:vMerge w:val="continue"/>
            <w:tcBorders>
              <w:tl2br w:val="nil"/>
              <w:tr2bl w:val="nil"/>
            </w:tcBorders>
            <w:vAlign w:val="center"/>
          </w:tcPr>
          <w:p w14:paraId="5E72804B">
            <w:pPr>
              <w:pStyle w:val="160"/>
              <w:rPr>
                <w:szCs w:val="21"/>
              </w:rPr>
            </w:pPr>
          </w:p>
        </w:tc>
        <w:tc>
          <w:tcPr>
            <w:tcW w:w="852" w:type="pct"/>
            <w:tcBorders>
              <w:tl2br w:val="nil"/>
              <w:tr2bl w:val="nil"/>
            </w:tcBorders>
            <w:vAlign w:val="center"/>
          </w:tcPr>
          <w:p w14:paraId="69B0B5F4">
            <w:pPr>
              <w:pStyle w:val="160"/>
              <w:rPr>
                <w:szCs w:val="21"/>
              </w:rPr>
            </w:pPr>
            <w:r>
              <w:rPr>
                <w:rFonts w:hint="eastAsia"/>
                <w:szCs w:val="21"/>
              </w:rPr>
              <w:t>108.57</w:t>
            </w:r>
          </w:p>
        </w:tc>
        <w:tc>
          <w:tcPr>
            <w:tcW w:w="853" w:type="pct"/>
            <w:tcBorders>
              <w:tl2br w:val="nil"/>
              <w:tr2bl w:val="nil"/>
            </w:tcBorders>
            <w:vAlign w:val="center"/>
          </w:tcPr>
          <w:p w14:paraId="3B414362">
            <w:pPr>
              <w:pStyle w:val="160"/>
              <w:rPr>
                <w:szCs w:val="21"/>
              </w:rPr>
            </w:pPr>
            <w:r>
              <w:rPr>
                <w:rFonts w:hint="eastAsia"/>
                <w:szCs w:val="21"/>
              </w:rPr>
              <w:t>30.16</w:t>
            </w:r>
          </w:p>
        </w:tc>
        <w:tc>
          <w:tcPr>
            <w:tcW w:w="682" w:type="pct"/>
            <w:tcBorders>
              <w:tl2br w:val="nil"/>
              <w:tr2bl w:val="nil"/>
            </w:tcBorders>
            <w:vAlign w:val="center"/>
          </w:tcPr>
          <w:p w14:paraId="0C47A4CF">
            <w:pPr>
              <w:pStyle w:val="160"/>
              <w:rPr>
                <w:sz w:val="22"/>
                <w:szCs w:val="22"/>
              </w:rPr>
            </w:pPr>
            <w:r>
              <w:rPr>
                <w:rFonts w:hint="eastAsia"/>
                <w:sz w:val="22"/>
                <w:szCs w:val="22"/>
              </w:rPr>
              <w:t>483</w:t>
            </w:r>
          </w:p>
        </w:tc>
        <w:tc>
          <w:tcPr>
            <w:tcW w:w="804" w:type="pct"/>
            <w:tcBorders>
              <w:tl2br w:val="nil"/>
              <w:tr2bl w:val="nil"/>
            </w:tcBorders>
            <w:vAlign w:val="center"/>
          </w:tcPr>
          <w:p w14:paraId="0B741FE2">
            <w:pPr>
              <w:pStyle w:val="160"/>
              <w:rPr>
                <w:szCs w:val="21"/>
              </w:rPr>
            </w:pPr>
            <w:r>
              <w:rPr>
                <w:rFonts w:hint="eastAsia"/>
                <w:szCs w:val="21"/>
              </w:rPr>
              <w:t>750</w:t>
            </w:r>
          </w:p>
        </w:tc>
        <w:tc>
          <w:tcPr>
            <w:tcW w:w="529" w:type="pct"/>
            <w:tcBorders>
              <w:tl2br w:val="nil"/>
              <w:tr2bl w:val="nil"/>
            </w:tcBorders>
            <w:vAlign w:val="center"/>
          </w:tcPr>
          <w:p w14:paraId="3A9C7292">
            <w:pPr>
              <w:pStyle w:val="160"/>
              <w:rPr>
                <w:szCs w:val="21"/>
              </w:rPr>
            </w:pPr>
            <w:r>
              <w:rPr>
                <w:rFonts w:hint="eastAsia"/>
                <w:sz w:val="22"/>
                <w:szCs w:val="22"/>
              </w:rPr>
              <w:t>一级</w:t>
            </w:r>
          </w:p>
        </w:tc>
      </w:tr>
      <w:tr w14:paraId="1DA7CA3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48" w:type="pct"/>
            <w:tcBorders>
              <w:tl2br w:val="nil"/>
              <w:tr2bl w:val="nil"/>
            </w:tcBorders>
            <w:vAlign w:val="center"/>
          </w:tcPr>
          <w:p w14:paraId="3053A9D4">
            <w:pPr>
              <w:widowControl/>
              <w:spacing w:before="0" w:beforeLines="0" w:line="240" w:lineRule="auto"/>
              <w:jc w:val="center"/>
              <w:textAlignment w:val="center"/>
              <w:rPr>
                <w:kern w:val="0"/>
                <w:szCs w:val="21"/>
                <w:lang w:bidi="ar"/>
              </w:rPr>
            </w:pPr>
            <w:r>
              <w:rPr>
                <w:kern w:val="0"/>
                <w:szCs w:val="21"/>
                <w:lang w:bidi="ar"/>
              </w:rPr>
              <w:t>DA004</w:t>
            </w:r>
          </w:p>
        </w:tc>
        <w:tc>
          <w:tcPr>
            <w:tcW w:w="533" w:type="pct"/>
            <w:vMerge w:val="continue"/>
            <w:tcBorders>
              <w:tl2br w:val="nil"/>
              <w:tr2bl w:val="nil"/>
            </w:tcBorders>
            <w:vAlign w:val="center"/>
          </w:tcPr>
          <w:p w14:paraId="14A6E909">
            <w:pPr>
              <w:pStyle w:val="160"/>
              <w:rPr>
                <w:szCs w:val="21"/>
              </w:rPr>
            </w:pPr>
          </w:p>
        </w:tc>
        <w:tc>
          <w:tcPr>
            <w:tcW w:w="852" w:type="pct"/>
            <w:tcBorders>
              <w:tl2br w:val="nil"/>
              <w:tr2bl w:val="nil"/>
            </w:tcBorders>
            <w:vAlign w:val="center"/>
          </w:tcPr>
          <w:p w14:paraId="6246A887">
            <w:pPr>
              <w:pStyle w:val="160"/>
              <w:rPr>
                <w:szCs w:val="21"/>
              </w:rPr>
            </w:pPr>
            <w:r>
              <w:rPr>
                <w:rFonts w:hint="eastAsia"/>
                <w:szCs w:val="21"/>
              </w:rPr>
              <w:t>36.287</w:t>
            </w:r>
          </w:p>
        </w:tc>
        <w:tc>
          <w:tcPr>
            <w:tcW w:w="853" w:type="pct"/>
            <w:tcBorders>
              <w:tl2br w:val="nil"/>
              <w:tr2bl w:val="nil"/>
            </w:tcBorders>
            <w:vAlign w:val="center"/>
          </w:tcPr>
          <w:p w14:paraId="4BBC2DF7">
            <w:pPr>
              <w:pStyle w:val="160"/>
              <w:rPr>
                <w:szCs w:val="21"/>
              </w:rPr>
            </w:pPr>
            <w:r>
              <w:rPr>
                <w:rFonts w:hint="eastAsia"/>
                <w:szCs w:val="21"/>
              </w:rPr>
              <w:t>10.05</w:t>
            </w:r>
          </w:p>
        </w:tc>
        <w:tc>
          <w:tcPr>
            <w:tcW w:w="682" w:type="pct"/>
            <w:tcBorders>
              <w:tl2br w:val="nil"/>
              <w:tr2bl w:val="nil"/>
            </w:tcBorders>
            <w:vAlign w:val="center"/>
          </w:tcPr>
          <w:p w14:paraId="5B533E87">
            <w:pPr>
              <w:pStyle w:val="160"/>
              <w:rPr>
                <w:sz w:val="22"/>
                <w:szCs w:val="22"/>
              </w:rPr>
            </w:pPr>
            <w:r>
              <w:rPr>
                <w:rFonts w:hint="eastAsia"/>
                <w:sz w:val="22"/>
                <w:szCs w:val="22"/>
              </w:rPr>
              <w:t>483</w:t>
            </w:r>
          </w:p>
        </w:tc>
        <w:tc>
          <w:tcPr>
            <w:tcW w:w="804" w:type="pct"/>
            <w:tcBorders>
              <w:tl2br w:val="nil"/>
              <w:tr2bl w:val="nil"/>
            </w:tcBorders>
            <w:vAlign w:val="center"/>
          </w:tcPr>
          <w:p w14:paraId="3CA07A96">
            <w:pPr>
              <w:pStyle w:val="160"/>
              <w:rPr>
                <w:szCs w:val="21"/>
              </w:rPr>
            </w:pPr>
            <w:r>
              <w:rPr>
                <w:rFonts w:hint="eastAsia"/>
                <w:szCs w:val="21"/>
              </w:rPr>
              <w:t>483</w:t>
            </w:r>
          </w:p>
        </w:tc>
        <w:tc>
          <w:tcPr>
            <w:tcW w:w="529" w:type="pct"/>
            <w:tcBorders>
              <w:tl2br w:val="nil"/>
              <w:tr2bl w:val="nil"/>
            </w:tcBorders>
            <w:vAlign w:val="center"/>
          </w:tcPr>
          <w:p w14:paraId="5B2E6364">
            <w:pPr>
              <w:pStyle w:val="160"/>
              <w:rPr>
                <w:szCs w:val="21"/>
              </w:rPr>
            </w:pPr>
            <w:r>
              <w:rPr>
                <w:rFonts w:hint="eastAsia"/>
                <w:sz w:val="22"/>
                <w:szCs w:val="22"/>
              </w:rPr>
              <w:t>二级</w:t>
            </w:r>
          </w:p>
        </w:tc>
      </w:tr>
      <w:tr w14:paraId="5A1DE65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48" w:type="pct"/>
            <w:tcBorders>
              <w:tl2br w:val="nil"/>
              <w:tr2bl w:val="nil"/>
            </w:tcBorders>
            <w:vAlign w:val="center"/>
          </w:tcPr>
          <w:p w14:paraId="7C7B125A">
            <w:pPr>
              <w:widowControl/>
              <w:spacing w:before="0" w:beforeLines="0" w:line="240" w:lineRule="auto"/>
              <w:jc w:val="center"/>
              <w:textAlignment w:val="center"/>
              <w:rPr>
                <w:kern w:val="0"/>
                <w:szCs w:val="21"/>
                <w:lang w:bidi="ar"/>
              </w:rPr>
            </w:pPr>
            <w:r>
              <w:rPr>
                <w:kern w:val="0"/>
                <w:szCs w:val="21"/>
                <w:lang w:bidi="ar"/>
              </w:rPr>
              <w:t>抛砂车间</w:t>
            </w:r>
          </w:p>
        </w:tc>
        <w:tc>
          <w:tcPr>
            <w:tcW w:w="533" w:type="pct"/>
            <w:vMerge w:val="continue"/>
            <w:tcBorders>
              <w:tl2br w:val="nil"/>
              <w:tr2bl w:val="nil"/>
            </w:tcBorders>
            <w:vAlign w:val="center"/>
          </w:tcPr>
          <w:p w14:paraId="187BFB23">
            <w:pPr>
              <w:pStyle w:val="160"/>
              <w:rPr>
                <w:szCs w:val="21"/>
              </w:rPr>
            </w:pPr>
          </w:p>
        </w:tc>
        <w:tc>
          <w:tcPr>
            <w:tcW w:w="852" w:type="pct"/>
            <w:tcBorders>
              <w:tl2br w:val="nil"/>
              <w:tr2bl w:val="nil"/>
            </w:tcBorders>
            <w:vAlign w:val="center"/>
          </w:tcPr>
          <w:p w14:paraId="675E2BAE">
            <w:pPr>
              <w:spacing w:before="0" w:beforeLines="0" w:line="240" w:lineRule="auto"/>
              <w:jc w:val="center"/>
              <w:rPr>
                <w:kern w:val="0"/>
                <w:sz w:val="22"/>
                <w:szCs w:val="22"/>
              </w:rPr>
            </w:pPr>
            <w:r>
              <w:rPr>
                <w:rFonts w:hint="eastAsia"/>
                <w:kern w:val="0"/>
                <w:sz w:val="22"/>
                <w:szCs w:val="22"/>
              </w:rPr>
              <w:t>800.73</w:t>
            </w:r>
          </w:p>
        </w:tc>
        <w:tc>
          <w:tcPr>
            <w:tcW w:w="853" w:type="pct"/>
            <w:tcBorders>
              <w:tl2br w:val="nil"/>
              <w:tr2bl w:val="nil"/>
            </w:tcBorders>
            <w:vAlign w:val="center"/>
          </w:tcPr>
          <w:p w14:paraId="22BE945E">
            <w:pPr>
              <w:spacing w:before="0" w:beforeLines="0" w:line="240" w:lineRule="auto"/>
              <w:jc w:val="center"/>
              <w:rPr>
                <w:kern w:val="0"/>
                <w:sz w:val="22"/>
                <w:szCs w:val="22"/>
              </w:rPr>
            </w:pPr>
            <w:r>
              <w:rPr>
                <w:rFonts w:hint="eastAsia"/>
                <w:kern w:val="0"/>
                <w:sz w:val="22"/>
                <w:szCs w:val="22"/>
              </w:rPr>
              <w:t>88.97</w:t>
            </w:r>
          </w:p>
        </w:tc>
        <w:tc>
          <w:tcPr>
            <w:tcW w:w="682" w:type="pct"/>
            <w:tcBorders>
              <w:tl2br w:val="nil"/>
              <w:tr2bl w:val="nil"/>
            </w:tcBorders>
            <w:vAlign w:val="center"/>
          </w:tcPr>
          <w:p w14:paraId="6AE7E310">
            <w:pPr>
              <w:pStyle w:val="160"/>
              <w:rPr>
                <w:sz w:val="22"/>
                <w:szCs w:val="22"/>
              </w:rPr>
            </w:pPr>
            <w:r>
              <w:rPr>
                <w:rFonts w:hint="eastAsia"/>
                <w:sz w:val="22"/>
                <w:szCs w:val="22"/>
              </w:rPr>
              <w:t>75</w:t>
            </w:r>
          </w:p>
        </w:tc>
        <w:tc>
          <w:tcPr>
            <w:tcW w:w="804" w:type="pct"/>
            <w:tcBorders>
              <w:tl2br w:val="nil"/>
              <w:tr2bl w:val="nil"/>
            </w:tcBorders>
            <w:vAlign w:val="center"/>
          </w:tcPr>
          <w:p w14:paraId="1C1AB2C8">
            <w:pPr>
              <w:pStyle w:val="160"/>
              <w:rPr>
                <w:szCs w:val="21"/>
              </w:rPr>
            </w:pPr>
            <w:r>
              <w:rPr>
                <w:rFonts w:hint="eastAsia"/>
                <w:szCs w:val="21"/>
              </w:rPr>
              <w:t>1500</w:t>
            </w:r>
          </w:p>
        </w:tc>
        <w:tc>
          <w:tcPr>
            <w:tcW w:w="529" w:type="pct"/>
            <w:tcBorders>
              <w:tl2br w:val="nil"/>
              <w:tr2bl w:val="nil"/>
            </w:tcBorders>
            <w:vAlign w:val="center"/>
          </w:tcPr>
          <w:p w14:paraId="5A1105F1">
            <w:pPr>
              <w:pStyle w:val="160"/>
              <w:rPr>
                <w:sz w:val="22"/>
                <w:szCs w:val="22"/>
              </w:rPr>
            </w:pPr>
            <w:r>
              <w:rPr>
                <w:rFonts w:hint="eastAsia"/>
                <w:sz w:val="22"/>
                <w:szCs w:val="22"/>
              </w:rPr>
              <w:t>一级</w:t>
            </w:r>
          </w:p>
        </w:tc>
      </w:tr>
      <w:tr w14:paraId="6DB6AAD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48" w:type="pct"/>
            <w:tcBorders>
              <w:tl2br w:val="nil"/>
              <w:tr2bl w:val="nil"/>
            </w:tcBorders>
            <w:vAlign w:val="center"/>
          </w:tcPr>
          <w:p w14:paraId="481B4245">
            <w:pPr>
              <w:widowControl/>
              <w:spacing w:before="0" w:beforeLines="0" w:line="240" w:lineRule="auto"/>
              <w:jc w:val="center"/>
              <w:textAlignment w:val="center"/>
              <w:rPr>
                <w:kern w:val="0"/>
                <w:szCs w:val="21"/>
                <w:lang w:bidi="ar"/>
              </w:rPr>
            </w:pPr>
            <w:r>
              <w:rPr>
                <w:rFonts w:hint="eastAsia"/>
                <w:kern w:val="0"/>
                <w:szCs w:val="21"/>
                <w:lang w:bidi="ar"/>
              </w:rPr>
              <w:t>机制砂库</w:t>
            </w:r>
          </w:p>
        </w:tc>
        <w:tc>
          <w:tcPr>
            <w:tcW w:w="533" w:type="pct"/>
            <w:vMerge w:val="continue"/>
            <w:tcBorders>
              <w:tl2br w:val="nil"/>
              <w:tr2bl w:val="nil"/>
            </w:tcBorders>
            <w:vAlign w:val="center"/>
          </w:tcPr>
          <w:p w14:paraId="58CA2BA7">
            <w:pPr>
              <w:pStyle w:val="160"/>
              <w:rPr>
                <w:szCs w:val="21"/>
              </w:rPr>
            </w:pPr>
          </w:p>
        </w:tc>
        <w:tc>
          <w:tcPr>
            <w:tcW w:w="852" w:type="pct"/>
            <w:tcBorders>
              <w:tl2br w:val="nil"/>
              <w:tr2bl w:val="nil"/>
            </w:tcBorders>
            <w:vAlign w:val="center"/>
          </w:tcPr>
          <w:p w14:paraId="5EF996A9">
            <w:pPr>
              <w:spacing w:before="0" w:beforeLines="0" w:line="240" w:lineRule="auto"/>
              <w:jc w:val="center"/>
              <w:rPr>
                <w:szCs w:val="21"/>
              </w:rPr>
            </w:pPr>
            <w:r>
              <w:rPr>
                <w:rFonts w:hint="eastAsia"/>
                <w:szCs w:val="21"/>
              </w:rPr>
              <w:t>861.24</w:t>
            </w:r>
          </w:p>
        </w:tc>
        <w:tc>
          <w:tcPr>
            <w:tcW w:w="853" w:type="pct"/>
            <w:tcBorders>
              <w:tl2br w:val="nil"/>
              <w:tr2bl w:val="nil"/>
            </w:tcBorders>
            <w:vAlign w:val="center"/>
          </w:tcPr>
          <w:p w14:paraId="2815A7F0">
            <w:pPr>
              <w:spacing w:before="0" w:beforeLines="0" w:line="240" w:lineRule="auto"/>
              <w:jc w:val="center"/>
              <w:rPr>
                <w:szCs w:val="21"/>
              </w:rPr>
            </w:pPr>
            <w:r>
              <w:rPr>
                <w:rFonts w:hint="eastAsia"/>
                <w:szCs w:val="21"/>
              </w:rPr>
              <w:t>95.69</w:t>
            </w:r>
          </w:p>
        </w:tc>
        <w:tc>
          <w:tcPr>
            <w:tcW w:w="682" w:type="pct"/>
            <w:tcBorders>
              <w:tl2br w:val="nil"/>
              <w:tr2bl w:val="nil"/>
            </w:tcBorders>
            <w:vAlign w:val="center"/>
          </w:tcPr>
          <w:p w14:paraId="368BEA22">
            <w:pPr>
              <w:pStyle w:val="160"/>
              <w:rPr>
                <w:sz w:val="22"/>
                <w:szCs w:val="22"/>
              </w:rPr>
            </w:pPr>
            <w:r>
              <w:rPr>
                <w:rFonts w:hint="eastAsia"/>
                <w:sz w:val="22"/>
                <w:szCs w:val="22"/>
              </w:rPr>
              <w:t>31</w:t>
            </w:r>
          </w:p>
        </w:tc>
        <w:tc>
          <w:tcPr>
            <w:tcW w:w="804" w:type="pct"/>
            <w:tcBorders>
              <w:tl2br w:val="nil"/>
              <w:tr2bl w:val="nil"/>
            </w:tcBorders>
            <w:vAlign w:val="center"/>
          </w:tcPr>
          <w:p w14:paraId="67A1B82C">
            <w:pPr>
              <w:pStyle w:val="160"/>
              <w:rPr>
                <w:szCs w:val="21"/>
              </w:rPr>
            </w:pPr>
            <w:r>
              <w:rPr>
                <w:rFonts w:hint="eastAsia"/>
                <w:szCs w:val="21"/>
              </w:rPr>
              <w:t>850</w:t>
            </w:r>
          </w:p>
        </w:tc>
        <w:tc>
          <w:tcPr>
            <w:tcW w:w="529" w:type="pct"/>
            <w:tcBorders>
              <w:tl2br w:val="nil"/>
              <w:tr2bl w:val="nil"/>
            </w:tcBorders>
            <w:vAlign w:val="center"/>
          </w:tcPr>
          <w:p w14:paraId="47ED17CB">
            <w:pPr>
              <w:pStyle w:val="160"/>
              <w:rPr>
                <w:szCs w:val="21"/>
              </w:rPr>
            </w:pPr>
            <w:r>
              <w:rPr>
                <w:rFonts w:hint="eastAsia"/>
                <w:sz w:val="22"/>
                <w:szCs w:val="22"/>
              </w:rPr>
              <w:t>一级</w:t>
            </w:r>
          </w:p>
        </w:tc>
      </w:tr>
      <w:tr w14:paraId="7A43711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48" w:type="pct"/>
            <w:tcBorders>
              <w:tl2br w:val="nil"/>
              <w:tr2bl w:val="nil"/>
            </w:tcBorders>
            <w:vAlign w:val="center"/>
          </w:tcPr>
          <w:p w14:paraId="13C53A73">
            <w:pPr>
              <w:widowControl/>
              <w:spacing w:before="0" w:beforeLines="0" w:line="240" w:lineRule="auto"/>
              <w:jc w:val="center"/>
              <w:textAlignment w:val="center"/>
              <w:rPr>
                <w:szCs w:val="21"/>
              </w:rPr>
            </w:pPr>
            <w:r>
              <w:rPr>
                <w:kern w:val="0"/>
                <w:szCs w:val="21"/>
                <w:lang w:bidi="ar"/>
              </w:rPr>
              <w:t>破碎车间</w:t>
            </w:r>
          </w:p>
        </w:tc>
        <w:tc>
          <w:tcPr>
            <w:tcW w:w="533" w:type="pct"/>
            <w:vMerge w:val="continue"/>
            <w:tcBorders>
              <w:tl2br w:val="nil"/>
              <w:tr2bl w:val="nil"/>
            </w:tcBorders>
            <w:vAlign w:val="center"/>
          </w:tcPr>
          <w:p w14:paraId="10600BBF">
            <w:pPr>
              <w:pStyle w:val="160"/>
              <w:rPr>
                <w:szCs w:val="21"/>
              </w:rPr>
            </w:pPr>
          </w:p>
        </w:tc>
        <w:tc>
          <w:tcPr>
            <w:tcW w:w="852" w:type="pct"/>
            <w:tcBorders>
              <w:tl2br w:val="nil"/>
              <w:tr2bl w:val="nil"/>
            </w:tcBorders>
            <w:vAlign w:val="center"/>
          </w:tcPr>
          <w:p w14:paraId="4FAF5A2E">
            <w:pPr>
              <w:spacing w:before="0" w:beforeLines="0" w:line="240" w:lineRule="auto"/>
              <w:jc w:val="center"/>
              <w:rPr>
                <w:szCs w:val="21"/>
              </w:rPr>
            </w:pPr>
            <w:r>
              <w:rPr>
                <w:rFonts w:hint="eastAsia"/>
                <w:szCs w:val="21"/>
              </w:rPr>
              <w:t>66.15</w:t>
            </w:r>
          </w:p>
        </w:tc>
        <w:tc>
          <w:tcPr>
            <w:tcW w:w="853" w:type="pct"/>
            <w:tcBorders>
              <w:tl2br w:val="nil"/>
              <w:tr2bl w:val="nil"/>
            </w:tcBorders>
            <w:vAlign w:val="center"/>
          </w:tcPr>
          <w:p w14:paraId="15236E9B">
            <w:pPr>
              <w:spacing w:before="0" w:beforeLines="0" w:line="240" w:lineRule="auto"/>
              <w:jc w:val="center"/>
              <w:rPr>
                <w:szCs w:val="21"/>
              </w:rPr>
            </w:pPr>
            <w:r>
              <w:rPr>
                <w:rFonts w:hint="eastAsia"/>
                <w:szCs w:val="21"/>
              </w:rPr>
              <w:t>7.35</w:t>
            </w:r>
          </w:p>
        </w:tc>
        <w:tc>
          <w:tcPr>
            <w:tcW w:w="682" w:type="pct"/>
            <w:tcBorders>
              <w:tl2br w:val="nil"/>
              <w:tr2bl w:val="nil"/>
            </w:tcBorders>
            <w:vAlign w:val="center"/>
          </w:tcPr>
          <w:p w14:paraId="4D4A8E31">
            <w:pPr>
              <w:pStyle w:val="160"/>
              <w:rPr>
                <w:sz w:val="22"/>
                <w:szCs w:val="22"/>
              </w:rPr>
            </w:pPr>
            <w:r>
              <w:rPr>
                <w:rFonts w:hint="eastAsia"/>
                <w:sz w:val="22"/>
                <w:szCs w:val="22"/>
              </w:rPr>
              <w:t>84</w:t>
            </w:r>
          </w:p>
        </w:tc>
        <w:tc>
          <w:tcPr>
            <w:tcW w:w="804" w:type="pct"/>
            <w:tcBorders>
              <w:tl2br w:val="nil"/>
              <w:tr2bl w:val="nil"/>
            </w:tcBorders>
            <w:vAlign w:val="center"/>
          </w:tcPr>
          <w:p w14:paraId="60386549">
            <w:pPr>
              <w:pStyle w:val="160"/>
              <w:rPr>
                <w:sz w:val="22"/>
                <w:szCs w:val="22"/>
              </w:rPr>
            </w:pPr>
            <w:r>
              <w:rPr>
                <w:rFonts w:hint="eastAsia"/>
                <w:sz w:val="22"/>
                <w:szCs w:val="22"/>
              </w:rPr>
              <w:t>-</w:t>
            </w:r>
          </w:p>
        </w:tc>
        <w:tc>
          <w:tcPr>
            <w:tcW w:w="529" w:type="pct"/>
            <w:tcBorders>
              <w:tl2br w:val="nil"/>
              <w:tr2bl w:val="nil"/>
            </w:tcBorders>
            <w:vAlign w:val="center"/>
          </w:tcPr>
          <w:p w14:paraId="1FCC436D">
            <w:pPr>
              <w:pStyle w:val="160"/>
              <w:rPr>
                <w:szCs w:val="21"/>
              </w:rPr>
            </w:pPr>
            <w:r>
              <w:rPr>
                <w:rFonts w:hint="eastAsia"/>
                <w:sz w:val="22"/>
                <w:szCs w:val="22"/>
              </w:rPr>
              <w:t>二级</w:t>
            </w:r>
          </w:p>
        </w:tc>
      </w:tr>
    </w:tbl>
    <w:p w14:paraId="08560D39">
      <w:pPr>
        <w:pStyle w:val="190"/>
        <w:snapToGrid w:val="0"/>
        <w:ind w:firstLine="480"/>
      </w:pPr>
      <w:r>
        <w:t>综合以上分析，本项目P</w:t>
      </w:r>
      <w:r>
        <w:rPr>
          <w:vertAlign w:val="subscript"/>
        </w:rPr>
        <w:t>max</w:t>
      </w:r>
      <w:r>
        <w:t>最大值为</w:t>
      </w:r>
      <w:r>
        <w:rPr>
          <w:rFonts w:hint="eastAsia"/>
        </w:rPr>
        <w:t>95.69</w:t>
      </w:r>
      <w:r>
        <w:t>%，根据《环境影响评价技术导则 大气环境》（HJ2.2-2018）分级判据，因此本项目大气环境影响评价等级为</w:t>
      </w:r>
      <w:r>
        <w:rPr>
          <w:rFonts w:hint="eastAsia"/>
        </w:rPr>
        <w:t>一</w:t>
      </w:r>
      <w:r>
        <w:t>级。</w:t>
      </w:r>
    </w:p>
    <w:p w14:paraId="6845E80C">
      <w:pPr>
        <w:snapToGrid w:val="0"/>
        <w:spacing w:before="78" w:line="360" w:lineRule="auto"/>
        <w:ind w:firstLine="482" w:firstLineChars="200"/>
        <w:rPr>
          <w:b/>
          <w:bCs/>
          <w:kern w:val="0"/>
          <w:sz w:val="24"/>
        </w:rPr>
      </w:pPr>
      <w:r>
        <w:rPr>
          <w:b/>
          <w:bCs/>
          <w:kern w:val="0"/>
          <w:sz w:val="24"/>
        </w:rPr>
        <w:fldChar w:fldCharType="begin"/>
      </w:r>
      <w:r>
        <w:rPr>
          <w:b/>
          <w:bCs/>
          <w:kern w:val="0"/>
          <w:sz w:val="24"/>
        </w:rPr>
        <w:instrText xml:space="preserve"> = 2 \* GB2 \* MERGEFORMAT </w:instrText>
      </w:r>
      <w:r>
        <w:rPr>
          <w:b/>
          <w:bCs/>
          <w:kern w:val="0"/>
          <w:sz w:val="24"/>
        </w:rPr>
        <w:fldChar w:fldCharType="separate"/>
      </w:r>
      <w:r>
        <w:rPr>
          <w:b/>
          <w:bCs/>
          <w:kern w:val="0"/>
          <w:sz w:val="24"/>
        </w:rPr>
        <w:t>⑵</w:t>
      </w:r>
      <w:r>
        <w:rPr>
          <w:b/>
          <w:bCs/>
          <w:kern w:val="0"/>
          <w:sz w:val="24"/>
        </w:rPr>
        <w:fldChar w:fldCharType="end"/>
      </w:r>
      <w:r>
        <w:rPr>
          <w:b/>
          <w:bCs/>
          <w:kern w:val="0"/>
          <w:sz w:val="24"/>
        </w:rPr>
        <w:t>地表水环境影响评价等级</w:t>
      </w:r>
    </w:p>
    <w:p w14:paraId="5CE3F1DE">
      <w:pPr>
        <w:snapToGrid w:val="0"/>
        <w:spacing w:before="0" w:beforeLines="0" w:line="360" w:lineRule="auto"/>
        <w:ind w:firstLine="480" w:firstLineChars="200"/>
        <w:rPr>
          <w:kern w:val="0"/>
          <w:sz w:val="24"/>
        </w:rPr>
      </w:pPr>
      <w:r>
        <w:rPr>
          <w:kern w:val="0"/>
          <w:sz w:val="24"/>
        </w:rPr>
        <w:t>项目采取有效的工程措施，生产废水处理后全部回用不外排，生活污水排入化粪池，定期清掏。</w:t>
      </w:r>
      <w:r>
        <w:rPr>
          <w:sz w:val="24"/>
        </w:rPr>
        <w:t>根据《环境影响评价技术导则 地表水环境》（HJ2.3-2018）规定</w:t>
      </w:r>
      <w:r>
        <w:rPr>
          <w:rFonts w:hint="eastAsia"/>
          <w:sz w:val="24"/>
        </w:rPr>
        <w:t>“</w:t>
      </w:r>
      <w:r>
        <w:rPr>
          <w:sz w:val="24"/>
        </w:rPr>
        <w:t>建设项目生产工艺中有废水产生，但作为回水利用，不排放到外环境的，按三级B评价</w:t>
      </w:r>
      <w:r>
        <w:rPr>
          <w:rFonts w:hint="eastAsia"/>
          <w:sz w:val="24"/>
        </w:rPr>
        <w:t>”</w:t>
      </w:r>
      <w:r>
        <w:rPr>
          <w:sz w:val="24"/>
        </w:rPr>
        <w:t>。因此本项目</w:t>
      </w:r>
      <w:r>
        <w:rPr>
          <w:bCs/>
          <w:sz w:val="24"/>
        </w:rPr>
        <w:t>地表水</w:t>
      </w:r>
      <w:r>
        <w:rPr>
          <w:sz w:val="24"/>
        </w:rPr>
        <w:t>影响评价工作等级为三级B</w:t>
      </w:r>
      <w:r>
        <w:rPr>
          <w:kern w:val="0"/>
          <w:sz w:val="24"/>
        </w:rPr>
        <w:t>。</w:t>
      </w:r>
    </w:p>
    <w:p w14:paraId="2FC2C5DD">
      <w:pPr>
        <w:snapToGrid w:val="0"/>
        <w:spacing w:before="78" w:line="360" w:lineRule="auto"/>
        <w:ind w:firstLine="482" w:firstLineChars="200"/>
        <w:rPr>
          <w:b/>
          <w:bCs/>
          <w:kern w:val="0"/>
          <w:sz w:val="24"/>
        </w:rPr>
      </w:pPr>
      <w:r>
        <w:rPr>
          <w:b/>
          <w:bCs/>
          <w:kern w:val="0"/>
          <w:sz w:val="24"/>
        </w:rPr>
        <w:fldChar w:fldCharType="begin"/>
      </w:r>
      <w:r>
        <w:rPr>
          <w:b/>
          <w:bCs/>
          <w:kern w:val="0"/>
          <w:sz w:val="24"/>
        </w:rPr>
        <w:instrText xml:space="preserve"> = 3 \* GB2 \* MERGEFORMAT </w:instrText>
      </w:r>
      <w:r>
        <w:rPr>
          <w:b/>
          <w:bCs/>
          <w:kern w:val="0"/>
          <w:sz w:val="24"/>
        </w:rPr>
        <w:fldChar w:fldCharType="separate"/>
      </w:r>
      <w:r>
        <w:rPr>
          <w:b/>
          <w:bCs/>
          <w:kern w:val="0"/>
          <w:sz w:val="24"/>
        </w:rPr>
        <w:t>⑶</w:t>
      </w:r>
      <w:r>
        <w:rPr>
          <w:b/>
          <w:bCs/>
          <w:kern w:val="0"/>
          <w:sz w:val="24"/>
        </w:rPr>
        <w:fldChar w:fldCharType="end"/>
      </w:r>
      <w:r>
        <w:rPr>
          <w:b/>
          <w:bCs/>
          <w:kern w:val="0"/>
          <w:sz w:val="24"/>
        </w:rPr>
        <w:t>地下水环境影响评价等级</w:t>
      </w:r>
    </w:p>
    <w:p w14:paraId="5E2D7E8F">
      <w:pPr>
        <w:spacing w:before="78" w:line="360" w:lineRule="auto"/>
        <w:ind w:firstLine="480"/>
        <w:rPr>
          <w:sz w:val="24"/>
        </w:rPr>
      </w:pPr>
      <w:bookmarkStart w:id="58" w:name="_Hlk59887657"/>
      <w:r>
        <w:rPr>
          <w:sz w:val="24"/>
        </w:rPr>
        <w:t>建设项目的地下水敏感程度可分为敏感、较敏感、不敏感三级，分级原则见表2.4-6。</w:t>
      </w:r>
    </w:p>
    <w:p w14:paraId="17E9846B">
      <w:pPr>
        <w:pStyle w:val="143"/>
        <w:spacing w:before="156"/>
        <w:rPr>
          <w:b/>
          <w:bCs w:val="0"/>
        </w:rPr>
      </w:pPr>
      <w:r>
        <w:rPr>
          <w:b/>
          <w:bCs w:val="0"/>
        </w:rPr>
        <w:t>表2.4-6   地下水环境敏感程度分级表</w:t>
      </w:r>
    </w:p>
    <w:tbl>
      <w:tblPr>
        <w:tblStyle w:val="89"/>
        <w:tblW w:w="8662"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1134"/>
        <w:gridCol w:w="7528"/>
      </w:tblGrid>
      <w:tr w14:paraId="71A48DF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134" w:type="dxa"/>
            <w:tcBorders>
              <w:tl2br w:val="nil"/>
              <w:tr2bl w:val="nil"/>
            </w:tcBorders>
            <w:vAlign w:val="center"/>
          </w:tcPr>
          <w:p w14:paraId="7489BCA2">
            <w:pPr>
              <w:autoSpaceDE w:val="0"/>
              <w:autoSpaceDN w:val="0"/>
              <w:spacing w:before="0" w:beforeLines="0" w:line="240" w:lineRule="auto"/>
              <w:jc w:val="center"/>
              <w:rPr>
                <w:bCs/>
                <w:kern w:val="0"/>
                <w:szCs w:val="21"/>
              </w:rPr>
            </w:pPr>
            <w:r>
              <w:rPr>
                <w:bCs/>
                <w:kern w:val="0"/>
                <w:szCs w:val="21"/>
              </w:rPr>
              <w:t>敏感程度</w:t>
            </w:r>
          </w:p>
        </w:tc>
        <w:tc>
          <w:tcPr>
            <w:tcW w:w="7528" w:type="dxa"/>
            <w:tcBorders>
              <w:tl2br w:val="nil"/>
              <w:tr2bl w:val="nil"/>
            </w:tcBorders>
            <w:vAlign w:val="center"/>
          </w:tcPr>
          <w:p w14:paraId="631682CB">
            <w:pPr>
              <w:autoSpaceDE w:val="0"/>
              <w:autoSpaceDN w:val="0"/>
              <w:spacing w:before="0" w:beforeLines="0" w:line="240" w:lineRule="auto"/>
              <w:jc w:val="center"/>
              <w:rPr>
                <w:bCs/>
                <w:kern w:val="0"/>
                <w:szCs w:val="21"/>
              </w:rPr>
            </w:pPr>
            <w:r>
              <w:rPr>
                <w:bCs/>
                <w:kern w:val="0"/>
                <w:szCs w:val="21"/>
              </w:rPr>
              <w:t>地下水环境敏感特征</w:t>
            </w:r>
          </w:p>
        </w:tc>
      </w:tr>
      <w:tr w14:paraId="3BF4D03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134" w:type="dxa"/>
            <w:tcBorders>
              <w:tl2br w:val="nil"/>
              <w:tr2bl w:val="nil"/>
            </w:tcBorders>
            <w:vAlign w:val="center"/>
          </w:tcPr>
          <w:p w14:paraId="50E75655">
            <w:pPr>
              <w:autoSpaceDE w:val="0"/>
              <w:autoSpaceDN w:val="0"/>
              <w:spacing w:before="0" w:beforeLines="0" w:line="240" w:lineRule="auto"/>
              <w:jc w:val="center"/>
              <w:rPr>
                <w:bCs/>
                <w:kern w:val="0"/>
                <w:szCs w:val="21"/>
              </w:rPr>
            </w:pPr>
            <w:r>
              <w:rPr>
                <w:bCs/>
                <w:kern w:val="0"/>
                <w:szCs w:val="21"/>
              </w:rPr>
              <w:t>敏感</w:t>
            </w:r>
          </w:p>
        </w:tc>
        <w:tc>
          <w:tcPr>
            <w:tcW w:w="7528" w:type="dxa"/>
            <w:tcBorders>
              <w:tl2br w:val="nil"/>
              <w:tr2bl w:val="nil"/>
            </w:tcBorders>
            <w:vAlign w:val="center"/>
          </w:tcPr>
          <w:p w14:paraId="55E7E2CE">
            <w:pPr>
              <w:autoSpaceDE w:val="0"/>
              <w:autoSpaceDN w:val="0"/>
              <w:spacing w:before="0" w:beforeLines="0" w:line="240" w:lineRule="auto"/>
              <w:rPr>
                <w:bCs/>
                <w:kern w:val="0"/>
                <w:szCs w:val="21"/>
              </w:rPr>
            </w:pPr>
            <w:r>
              <w:rPr>
                <w:bCs/>
                <w:kern w:val="0"/>
                <w:szCs w:val="21"/>
              </w:rPr>
              <w:t>集中式饮用水水源（包括已建成的在用、备用、应急水源，在建和规划的饮用水水源）准保护区；除集中式饮用水水源以外的国家或地方政府设定的与地下水环境相关的其他保护区，如热水、矿泉水、温泉等特殊地下水资源保护区。</w:t>
            </w:r>
          </w:p>
        </w:tc>
      </w:tr>
      <w:tr w14:paraId="1A4D2A4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134" w:type="dxa"/>
            <w:tcBorders>
              <w:tl2br w:val="nil"/>
              <w:tr2bl w:val="nil"/>
            </w:tcBorders>
            <w:vAlign w:val="center"/>
          </w:tcPr>
          <w:p w14:paraId="39E42CCA">
            <w:pPr>
              <w:autoSpaceDE w:val="0"/>
              <w:autoSpaceDN w:val="0"/>
              <w:spacing w:before="0" w:beforeLines="0" w:line="240" w:lineRule="auto"/>
              <w:jc w:val="center"/>
              <w:rPr>
                <w:bCs/>
                <w:kern w:val="0"/>
                <w:szCs w:val="21"/>
              </w:rPr>
            </w:pPr>
            <w:r>
              <w:rPr>
                <w:bCs/>
                <w:kern w:val="0"/>
                <w:szCs w:val="21"/>
              </w:rPr>
              <w:t>较敏感</w:t>
            </w:r>
          </w:p>
        </w:tc>
        <w:tc>
          <w:tcPr>
            <w:tcW w:w="7528" w:type="dxa"/>
            <w:tcBorders>
              <w:tl2br w:val="nil"/>
              <w:tr2bl w:val="nil"/>
            </w:tcBorders>
            <w:vAlign w:val="center"/>
          </w:tcPr>
          <w:p w14:paraId="01970951">
            <w:pPr>
              <w:autoSpaceDE w:val="0"/>
              <w:autoSpaceDN w:val="0"/>
              <w:spacing w:before="0" w:beforeLines="0" w:line="240" w:lineRule="auto"/>
              <w:rPr>
                <w:bCs/>
                <w:kern w:val="0"/>
                <w:szCs w:val="21"/>
              </w:rPr>
            </w:pPr>
            <w:r>
              <w:rPr>
                <w:bCs/>
                <w:kern w:val="0"/>
                <w:szCs w:val="21"/>
              </w:rPr>
              <w:t>集中式饮用水水源（包括已建成的在用、备用、应急水源，在建和规划的饮用水水源）准保护区以外的补给径流区；未划定准保护区的集中式饮用水水源，其保护区以外的补给径流区；分散式饮用水水源地；特殊地下水资源（如矿泉水、温泉等）保护区以外的分布区等其他未列入敏感等级的环境敏感区。</w:t>
            </w:r>
          </w:p>
        </w:tc>
      </w:tr>
      <w:tr w14:paraId="65D5A23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134" w:type="dxa"/>
            <w:tcBorders>
              <w:tl2br w:val="nil"/>
              <w:tr2bl w:val="nil"/>
            </w:tcBorders>
            <w:vAlign w:val="center"/>
          </w:tcPr>
          <w:p w14:paraId="1D5C25C3">
            <w:pPr>
              <w:autoSpaceDE w:val="0"/>
              <w:autoSpaceDN w:val="0"/>
              <w:spacing w:before="0" w:beforeLines="0" w:line="240" w:lineRule="auto"/>
              <w:jc w:val="center"/>
              <w:rPr>
                <w:bCs/>
                <w:kern w:val="0"/>
                <w:szCs w:val="21"/>
              </w:rPr>
            </w:pPr>
            <w:r>
              <w:rPr>
                <w:bCs/>
                <w:kern w:val="0"/>
                <w:szCs w:val="21"/>
              </w:rPr>
              <w:t>不敏感</w:t>
            </w:r>
          </w:p>
        </w:tc>
        <w:tc>
          <w:tcPr>
            <w:tcW w:w="7528" w:type="dxa"/>
            <w:tcBorders>
              <w:tl2br w:val="nil"/>
              <w:tr2bl w:val="nil"/>
            </w:tcBorders>
            <w:vAlign w:val="center"/>
          </w:tcPr>
          <w:p w14:paraId="732176C0">
            <w:pPr>
              <w:autoSpaceDE w:val="0"/>
              <w:autoSpaceDN w:val="0"/>
              <w:spacing w:before="0" w:beforeLines="0" w:line="240" w:lineRule="auto"/>
              <w:rPr>
                <w:bCs/>
                <w:kern w:val="0"/>
                <w:szCs w:val="21"/>
              </w:rPr>
            </w:pPr>
            <w:r>
              <w:rPr>
                <w:bCs/>
                <w:kern w:val="0"/>
                <w:szCs w:val="21"/>
              </w:rPr>
              <w:t>上述地区之外的其它地区。</w:t>
            </w:r>
          </w:p>
        </w:tc>
      </w:tr>
      <w:tr w14:paraId="7C3422F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8662" w:type="dxa"/>
            <w:gridSpan w:val="2"/>
            <w:tcBorders>
              <w:tl2br w:val="nil"/>
              <w:tr2bl w:val="nil"/>
            </w:tcBorders>
            <w:vAlign w:val="center"/>
          </w:tcPr>
          <w:p w14:paraId="4FBC0C63">
            <w:pPr>
              <w:autoSpaceDE w:val="0"/>
              <w:autoSpaceDN w:val="0"/>
              <w:spacing w:before="0" w:beforeLines="0" w:line="240" w:lineRule="auto"/>
              <w:jc w:val="center"/>
              <w:rPr>
                <w:bCs/>
                <w:kern w:val="0"/>
                <w:szCs w:val="21"/>
              </w:rPr>
            </w:pPr>
            <w:r>
              <w:rPr>
                <w:bCs/>
                <w:kern w:val="0"/>
                <w:szCs w:val="21"/>
              </w:rPr>
              <w:t>注：“环境敏感区”是指《建设项目环境影响评价分类管理名录》中所界定的涉及地下水的环境敏感区。</w:t>
            </w:r>
          </w:p>
        </w:tc>
      </w:tr>
    </w:tbl>
    <w:p w14:paraId="72F8568E">
      <w:pPr>
        <w:spacing w:before="0" w:beforeLines="0" w:line="240" w:lineRule="auto"/>
        <w:jc w:val="center"/>
        <w:rPr>
          <w:b/>
          <w:bCs/>
          <w:szCs w:val="21"/>
        </w:rPr>
      </w:pPr>
    </w:p>
    <w:p w14:paraId="3718B7E8">
      <w:pPr>
        <w:spacing w:before="0" w:beforeLines="0" w:line="240" w:lineRule="auto"/>
        <w:jc w:val="center"/>
        <w:rPr>
          <w:b/>
          <w:bCs/>
          <w:szCs w:val="21"/>
        </w:rPr>
      </w:pPr>
      <w:r>
        <w:rPr>
          <w:b/>
          <w:bCs/>
          <w:szCs w:val="21"/>
        </w:rPr>
        <w:t>表2.4-7  地下水评价等级判定结果</w:t>
      </w:r>
    </w:p>
    <w:tbl>
      <w:tblPr>
        <w:tblStyle w:val="89"/>
        <w:tblW w:w="872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2136"/>
        <w:gridCol w:w="2240"/>
        <w:gridCol w:w="2240"/>
        <w:gridCol w:w="2105"/>
      </w:tblGrid>
      <w:tr w14:paraId="67CC8AD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136" w:type="dxa"/>
            <w:tcBorders>
              <w:tl2br w:val="nil"/>
              <w:tr2bl w:val="nil"/>
            </w:tcBorders>
            <w:vAlign w:val="center"/>
          </w:tcPr>
          <w:p w14:paraId="4A541539">
            <w:pPr>
              <w:spacing w:before="0" w:beforeLines="0" w:line="240" w:lineRule="auto"/>
              <w:jc w:val="center"/>
              <w:rPr>
                <w:szCs w:val="21"/>
              </w:rPr>
            </w:pPr>
            <w:r>
              <w:rPr>
                <w:szCs w:val="21"/>
              </w:rPr>
              <w:t>项目类别</w:t>
            </w:r>
          </w:p>
        </w:tc>
        <w:tc>
          <w:tcPr>
            <w:tcW w:w="2240" w:type="dxa"/>
            <w:tcBorders>
              <w:tl2br w:val="nil"/>
              <w:tr2bl w:val="nil"/>
            </w:tcBorders>
            <w:vAlign w:val="center"/>
          </w:tcPr>
          <w:p w14:paraId="16BF12A9">
            <w:pPr>
              <w:spacing w:before="0" w:beforeLines="0" w:line="240" w:lineRule="auto"/>
              <w:jc w:val="center"/>
              <w:rPr>
                <w:szCs w:val="21"/>
              </w:rPr>
            </w:pPr>
            <w:r>
              <w:rPr>
                <w:szCs w:val="21"/>
              </w:rPr>
              <w:fldChar w:fldCharType="begin"/>
            </w:r>
            <w:r>
              <w:rPr>
                <w:szCs w:val="21"/>
              </w:rPr>
              <w:instrText xml:space="preserve"> = 1 \* ROMAN \* MERGEFORMAT </w:instrText>
            </w:r>
            <w:r>
              <w:rPr>
                <w:szCs w:val="21"/>
              </w:rPr>
              <w:fldChar w:fldCharType="separate"/>
            </w:r>
            <w:r>
              <w:rPr>
                <w:szCs w:val="21"/>
              </w:rPr>
              <w:t>I</w:t>
            </w:r>
            <w:r>
              <w:rPr>
                <w:szCs w:val="21"/>
              </w:rPr>
              <w:fldChar w:fldCharType="end"/>
            </w:r>
            <w:r>
              <w:rPr>
                <w:szCs w:val="21"/>
              </w:rPr>
              <w:t>类项目</w:t>
            </w:r>
          </w:p>
        </w:tc>
        <w:tc>
          <w:tcPr>
            <w:tcW w:w="2240" w:type="dxa"/>
            <w:tcBorders>
              <w:tl2br w:val="nil"/>
              <w:tr2bl w:val="nil"/>
            </w:tcBorders>
            <w:vAlign w:val="center"/>
          </w:tcPr>
          <w:p w14:paraId="3B3BA6E6">
            <w:pPr>
              <w:spacing w:before="0" w:beforeLines="0" w:line="240" w:lineRule="auto"/>
              <w:jc w:val="center"/>
              <w:rPr>
                <w:szCs w:val="21"/>
              </w:rPr>
            </w:pPr>
            <w:r>
              <w:rPr>
                <w:szCs w:val="21"/>
              </w:rPr>
              <w:fldChar w:fldCharType="begin"/>
            </w:r>
            <w:r>
              <w:rPr>
                <w:szCs w:val="21"/>
              </w:rPr>
              <w:instrText xml:space="preserve"> = 2 \* ROMAN \* MERGEFORMAT </w:instrText>
            </w:r>
            <w:r>
              <w:rPr>
                <w:szCs w:val="21"/>
              </w:rPr>
              <w:fldChar w:fldCharType="separate"/>
            </w:r>
            <w:r>
              <w:rPr>
                <w:szCs w:val="21"/>
              </w:rPr>
              <w:t>II</w:t>
            </w:r>
            <w:r>
              <w:rPr>
                <w:szCs w:val="21"/>
              </w:rPr>
              <w:fldChar w:fldCharType="end"/>
            </w:r>
            <w:r>
              <w:rPr>
                <w:szCs w:val="21"/>
              </w:rPr>
              <w:t>类项目</w:t>
            </w:r>
          </w:p>
        </w:tc>
        <w:tc>
          <w:tcPr>
            <w:tcW w:w="2105" w:type="dxa"/>
            <w:tcBorders>
              <w:tl2br w:val="nil"/>
              <w:tr2bl w:val="nil"/>
            </w:tcBorders>
            <w:vAlign w:val="center"/>
          </w:tcPr>
          <w:p w14:paraId="7A7EA6A9">
            <w:pPr>
              <w:spacing w:before="0" w:beforeLines="0" w:line="240" w:lineRule="auto"/>
              <w:jc w:val="center"/>
              <w:rPr>
                <w:szCs w:val="21"/>
              </w:rPr>
            </w:pPr>
            <w:r>
              <w:rPr>
                <w:szCs w:val="21"/>
              </w:rPr>
              <w:fldChar w:fldCharType="begin"/>
            </w:r>
            <w:r>
              <w:rPr>
                <w:szCs w:val="21"/>
              </w:rPr>
              <w:instrText xml:space="preserve"> = 3 \* ROMAN \* MERGEFORMAT </w:instrText>
            </w:r>
            <w:r>
              <w:rPr>
                <w:szCs w:val="21"/>
              </w:rPr>
              <w:fldChar w:fldCharType="separate"/>
            </w:r>
            <w:r>
              <w:rPr>
                <w:szCs w:val="21"/>
              </w:rPr>
              <w:t>III</w:t>
            </w:r>
            <w:r>
              <w:rPr>
                <w:szCs w:val="21"/>
              </w:rPr>
              <w:fldChar w:fldCharType="end"/>
            </w:r>
            <w:r>
              <w:rPr>
                <w:szCs w:val="21"/>
              </w:rPr>
              <w:t>类项目</w:t>
            </w:r>
          </w:p>
        </w:tc>
      </w:tr>
      <w:tr w14:paraId="78A94F7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136" w:type="dxa"/>
            <w:tcBorders>
              <w:tl2br w:val="nil"/>
              <w:tr2bl w:val="nil"/>
            </w:tcBorders>
            <w:vAlign w:val="center"/>
          </w:tcPr>
          <w:p w14:paraId="2CF663A5">
            <w:pPr>
              <w:spacing w:before="0" w:beforeLines="0" w:line="240" w:lineRule="auto"/>
              <w:jc w:val="center"/>
              <w:rPr>
                <w:szCs w:val="21"/>
              </w:rPr>
            </w:pPr>
            <w:r>
              <w:rPr>
                <w:szCs w:val="21"/>
              </w:rPr>
              <w:t>敏感</w:t>
            </w:r>
          </w:p>
        </w:tc>
        <w:tc>
          <w:tcPr>
            <w:tcW w:w="2240" w:type="dxa"/>
            <w:tcBorders>
              <w:tl2br w:val="nil"/>
              <w:tr2bl w:val="nil"/>
            </w:tcBorders>
            <w:vAlign w:val="center"/>
          </w:tcPr>
          <w:p w14:paraId="0359841E">
            <w:pPr>
              <w:spacing w:before="0" w:beforeLines="0" w:line="240" w:lineRule="auto"/>
              <w:jc w:val="center"/>
              <w:rPr>
                <w:szCs w:val="21"/>
              </w:rPr>
            </w:pPr>
            <w:r>
              <w:rPr>
                <w:szCs w:val="21"/>
              </w:rPr>
              <w:t>一</w:t>
            </w:r>
          </w:p>
        </w:tc>
        <w:tc>
          <w:tcPr>
            <w:tcW w:w="2240" w:type="dxa"/>
            <w:tcBorders>
              <w:tl2br w:val="nil"/>
              <w:tr2bl w:val="nil"/>
            </w:tcBorders>
            <w:vAlign w:val="center"/>
          </w:tcPr>
          <w:p w14:paraId="1C2E17D7">
            <w:pPr>
              <w:spacing w:before="0" w:beforeLines="0" w:line="240" w:lineRule="auto"/>
              <w:jc w:val="center"/>
              <w:rPr>
                <w:szCs w:val="21"/>
              </w:rPr>
            </w:pPr>
            <w:r>
              <w:rPr>
                <w:szCs w:val="21"/>
              </w:rPr>
              <w:t>一</w:t>
            </w:r>
          </w:p>
        </w:tc>
        <w:tc>
          <w:tcPr>
            <w:tcW w:w="2105" w:type="dxa"/>
            <w:tcBorders>
              <w:tl2br w:val="nil"/>
              <w:tr2bl w:val="nil"/>
            </w:tcBorders>
            <w:vAlign w:val="center"/>
          </w:tcPr>
          <w:p w14:paraId="2F555BA3">
            <w:pPr>
              <w:spacing w:before="0" w:beforeLines="0" w:line="240" w:lineRule="auto"/>
              <w:jc w:val="center"/>
              <w:rPr>
                <w:szCs w:val="21"/>
              </w:rPr>
            </w:pPr>
            <w:r>
              <w:rPr>
                <w:szCs w:val="21"/>
              </w:rPr>
              <w:t>二</w:t>
            </w:r>
          </w:p>
        </w:tc>
      </w:tr>
      <w:tr w14:paraId="1C4888A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136" w:type="dxa"/>
            <w:tcBorders>
              <w:tl2br w:val="nil"/>
              <w:tr2bl w:val="nil"/>
            </w:tcBorders>
            <w:vAlign w:val="center"/>
          </w:tcPr>
          <w:p w14:paraId="125A3424">
            <w:pPr>
              <w:spacing w:before="0" w:beforeLines="0" w:line="240" w:lineRule="auto"/>
              <w:jc w:val="center"/>
              <w:rPr>
                <w:szCs w:val="21"/>
              </w:rPr>
            </w:pPr>
            <w:r>
              <w:rPr>
                <w:szCs w:val="21"/>
              </w:rPr>
              <w:t>较敏感</w:t>
            </w:r>
          </w:p>
        </w:tc>
        <w:tc>
          <w:tcPr>
            <w:tcW w:w="2240" w:type="dxa"/>
            <w:tcBorders>
              <w:tl2br w:val="nil"/>
              <w:tr2bl w:val="nil"/>
            </w:tcBorders>
            <w:vAlign w:val="center"/>
          </w:tcPr>
          <w:p w14:paraId="298F0DA4">
            <w:pPr>
              <w:spacing w:before="0" w:beforeLines="0" w:line="240" w:lineRule="auto"/>
              <w:jc w:val="center"/>
              <w:rPr>
                <w:szCs w:val="21"/>
              </w:rPr>
            </w:pPr>
            <w:r>
              <w:rPr>
                <w:szCs w:val="21"/>
              </w:rPr>
              <w:t>一</w:t>
            </w:r>
          </w:p>
        </w:tc>
        <w:tc>
          <w:tcPr>
            <w:tcW w:w="2240" w:type="dxa"/>
            <w:tcBorders>
              <w:tl2br w:val="nil"/>
              <w:tr2bl w:val="nil"/>
            </w:tcBorders>
            <w:vAlign w:val="center"/>
          </w:tcPr>
          <w:p w14:paraId="700B07C5">
            <w:pPr>
              <w:spacing w:before="0" w:beforeLines="0" w:line="240" w:lineRule="auto"/>
              <w:jc w:val="center"/>
              <w:rPr>
                <w:szCs w:val="21"/>
              </w:rPr>
            </w:pPr>
            <w:r>
              <w:rPr>
                <w:szCs w:val="21"/>
              </w:rPr>
              <w:t>二</w:t>
            </w:r>
          </w:p>
        </w:tc>
        <w:tc>
          <w:tcPr>
            <w:tcW w:w="2105" w:type="dxa"/>
            <w:tcBorders>
              <w:tl2br w:val="nil"/>
              <w:tr2bl w:val="nil"/>
            </w:tcBorders>
            <w:vAlign w:val="center"/>
          </w:tcPr>
          <w:p w14:paraId="7235FD6F">
            <w:pPr>
              <w:spacing w:before="0" w:beforeLines="0" w:line="240" w:lineRule="auto"/>
              <w:jc w:val="center"/>
              <w:rPr>
                <w:szCs w:val="21"/>
              </w:rPr>
            </w:pPr>
            <w:r>
              <w:rPr>
                <w:szCs w:val="21"/>
              </w:rPr>
              <w:t>三</w:t>
            </w:r>
          </w:p>
        </w:tc>
      </w:tr>
      <w:tr w14:paraId="37340DC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136" w:type="dxa"/>
            <w:tcBorders>
              <w:tl2br w:val="nil"/>
              <w:tr2bl w:val="nil"/>
            </w:tcBorders>
            <w:vAlign w:val="center"/>
          </w:tcPr>
          <w:p w14:paraId="25B050B5">
            <w:pPr>
              <w:spacing w:before="0" w:beforeLines="0" w:line="240" w:lineRule="auto"/>
              <w:jc w:val="center"/>
              <w:rPr>
                <w:szCs w:val="21"/>
              </w:rPr>
            </w:pPr>
            <w:r>
              <w:rPr>
                <w:szCs w:val="21"/>
              </w:rPr>
              <w:t>不敏感</w:t>
            </w:r>
          </w:p>
        </w:tc>
        <w:tc>
          <w:tcPr>
            <w:tcW w:w="2240" w:type="dxa"/>
            <w:tcBorders>
              <w:tl2br w:val="nil"/>
              <w:tr2bl w:val="nil"/>
            </w:tcBorders>
            <w:vAlign w:val="center"/>
          </w:tcPr>
          <w:p w14:paraId="7814ECE4">
            <w:pPr>
              <w:spacing w:before="0" w:beforeLines="0" w:line="240" w:lineRule="auto"/>
              <w:jc w:val="center"/>
              <w:rPr>
                <w:szCs w:val="21"/>
              </w:rPr>
            </w:pPr>
            <w:r>
              <w:rPr>
                <w:szCs w:val="21"/>
              </w:rPr>
              <w:t>二</w:t>
            </w:r>
          </w:p>
        </w:tc>
        <w:tc>
          <w:tcPr>
            <w:tcW w:w="2240" w:type="dxa"/>
            <w:tcBorders>
              <w:tl2br w:val="nil"/>
              <w:tr2bl w:val="nil"/>
            </w:tcBorders>
            <w:vAlign w:val="center"/>
          </w:tcPr>
          <w:p w14:paraId="55D0EF6C">
            <w:pPr>
              <w:spacing w:before="0" w:beforeLines="0" w:line="240" w:lineRule="auto"/>
              <w:jc w:val="center"/>
              <w:rPr>
                <w:szCs w:val="21"/>
              </w:rPr>
            </w:pPr>
            <w:r>
              <w:rPr>
                <w:szCs w:val="21"/>
              </w:rPr>
              <w:t>三</w:t>
            </w:r>
          </w:p>
        </w:tc>
        <w:tc>
          <w:tcPr>
            <w:tcW w:w="2105" w:type="dxa"/>
            <w:tcBorders>
              <w:tl2br w:val="nil"/>
              <w:tr2bl w:val="nil"/>
            </w:tcBorders>
            <w:vAlign w:val="center"/>
          </w:tcPr>
          <w:p w14:paraId="4B7DE12B">
            <w:pPr>
              <w:spacing w:before="0" w:beforeLines="0" w:line="240" w:lineRule="auto"/>
              <w:jc w:val="center"/>
              <w:rPr>
                <w:szCs w:val="21"/>
              </w:rPr>
            </w:pPr>
            <w:r>
              <w:rPr>
                <w:szCs w:val="21"/>
              </w:rPr>
              <w:t>三</w:t>
            </w:r>
          </w:p>
        </w:tc>
      </w:tr>
    </w:tbl>
    <w:p w14:paraId="63017F5B">
      <w:pPr>
        <w:snapToGrid w:val="0"/>
        <w:spacing w:before="0" w:beforeLines="0" w:line="360" w:lineRule="auto"/>
        <w:ind w:firstLine="480" w:firstLineChars="200"/>
        <w:rPr>
          <w:kern w:val="0"/>
          <w:sz w:val="24"/>
        </w:rPr>
      </w:pPr>
      <w:r>
        <w:rPr>
          <w:kern w:val="0"/>
          <w:sz w:val="24"/>
        </w:rPr>
        <w:t>按照《环境影响评价技术导则 地下水环境》（HJ610-2016）中附录A</w:t>
      </w:r>
      <w:r>
        <w:rPr>
          <w:rFonts w:hint="eastAsia"/>
          <w:kern w:val="0"/>
          <w:sz w:val="24"/>
        </w:rPr>
        <w:t>“</w:t>
      </w:r>
      <w:r>
        <w:rPr>
          <w:kern w:val="0"/>
          <w:sz w:val="24"/>
        </w:rPr>
        <w:t>地下水环境影响评价行业分类表</w:t>
      </w:r>
      <w:r>
        <w:rPr>
          <w:rFonts w:hint="eastAsia"/>
          <w:kern w:val="0"/>
          <w:sz w:val="24"/>
        </w:rPr>
        <w:t>”</w:t>
      </w:r>
      <w:r>
        <w:rPr>
          <w:kern w:val="0"/>
          <w:sz w:val="24"/>
        </w:rPr>
        <w:t>的规定：本项目属于</w:t>
      </w:r>
      <w:r>
        <w:rPr>
          <w:rFonts w:hint="eastAsia"/>
          <w:kern w:val="0"/>
          <w:sz w:val="24"/>
        </w:rPr>
        <w:t>“</w:t>
      </w:r>
      <w:r>
        <w:rPr>
          <w:kern w:val="0"/>
          <w:sz w:val="24"/>
        </w:rPr>
        <w:t>G黑色金属42采选（含单独尾矿库）</w:t>
      </w:r>
      <w:r>
        <w:rPr>
          <w:rFonts w:hint="eastAsia"/>
          <w:kern w:val="0"/>
          <w:sz w:val="24"/>
        </w:rPr>
        <w:t>”</w:t>
      </w:r>
      <w:r>
        <w:rPr>
          <w:kern w:val="0"/>
          <w:sz w:val="24"/>
        </w:rPr>
        <w:t>类项目</w:t>
      </w:r>
      <w:r>
        <w:rPr>
          <w:rFonts w:hint="eastAsia"/>
          <w:kern w:val="0"/>
          <w:sz w:val="24"/>
        </w:rPr>
        <w:t>中选矿厂类项目</w:t>
      </w:r>
      <w:r>
        <w:rPr>
          <w:kern w:val="0"/>
          <w:sz w:val="24"/>
        </w:rPr>
        <w:t>，类别为II类。</w:t>
      </w:r>
      <w:r>
        <w:rPr>
          <w:sz w:val="24"/>
        </w:rPr>
        <w:t>建设</w:t>
      </w:r>
      <w:r>
        <w:rPr>
          <w:rFonts w:hint="eastAsia"/>
          <w:sz w:val="24"/>
          <w:lang w:val="en-US" w:eastAsia="zh-CN"/>
        </w:rPr>
        <w:t>项目</w:t>
      </w:r>
      <w:r>
        <w:rPr>
          <w:sz w:val="24"/>
        </w:rPr>
        <w:t>周边不存在集中式饮用水源准保护区及准保护区以外的补给径流区，</w:t>
      </w:r>
      <w:r>
        <w:rPr>
          <w:kern w:val="0"/>
          <w:sz w:val="24"/>
        </w:rPr>
        <w:t>存在</w:t>
      </w:r>
      <w:r>
        <w:rPr>
          <w:sz w:val="24"/>
        </w:rPr>
        <w:t>分散式饮用水水源，敏感程度为较敏感。综上所述，本项目厂区地下水评价等级为</w:t>
      </w:r>
      <w:r>
        <w:rPr>
          <w:rFonts w:hint="eastAsia"/>
          <w:sz w:val="24"/>
        </w:rPr>
        <w:t>二</w:t>
      </w:r>
      <w:r>
        <w:rPr>
          <w:sz w:val="24"/>
        </w:rPr>
        <w:t>级</w:t>
      </w:r>
      <w:r>
        <w:rPr>
          <w:kern w:val="0"/>
          <w:sz w:val="24"/>
        </w:rPr>
        <w:t>。</w:t>
      </w:r>
    </w:p>
    <w:bookmarkEnd w:id="58"/>
    <w:p w14:paraId="4B7FADC2">
      <w:pPr>
        <w:snapToGrid w:val="0"/>
        <w:spacing w:before="78" w:line="360" w:lineRule="auto"/>
        <w:ind w:firstLine="482" w:firstLineChars="200"/>
        <w:rPr>
          <w:b/>
          <w:bCs/>
          <w:kern w:val="0"/>
          <w:sz w:val="24"/>
        </w:rPr>
      </w:pPr>
      <w:r>
        <w:rPr>
          <w:b/>
          <w:bCs/>
          <w:kern w:val="0"/>
          <w:sz w:val="24"/>
        </w:rPr>
        <w:fldChar w:fldCharType="begin"/>
      </w:r>
      <w:r>
        <w:rPr>
          <w:b/>
          <w:bCs/>
          <w:kern w:val="0"/>
          <w:sz w:val="24"/>
        </w:rPr>
        <w:instrText xml:space="preserve"> = 4 \* GB2 \* MERGEFORMAT </w:instrText>
      </w:r>
      <w:r>
        <w:rPr>
          <w:b/>
          <w:bCs/>
          <w:kern w:val="0"/>
          <w:sz w:val="24"/>
        </w:rPr>
        <w:fldChar w:fldCharType="separate"/>
      </w:r>
      <w:r>
        <w:rPr>
          <w:b/>
          <w:bCs/>
          <w:kern w:val="0"/>
          <w:sz w:val="24"/>
        </w:rPr>
        <w:t>⑷</w:t>
      </w:r>
      <w:r>
        <w:rPr>
          <w:b/>
          <w:bCs/>
          <w:kern w:val="0"/>
          <w:sz w:val="24"/>
        </w:rPr>
        <w:fldChar w:fldCharType="end"/>
      </w:r>
      <w:r>
        <w:rPr>
          <w:b/>
          <w:bCs/>
          <w:kern w:val="0"/>
          <w:sz w:val="24"/>
        </w:rPr>
        <w:t>声环境影响评价等级</w:t>
      </w:r>
    </w:p>
    <w:p w14:paraId="7C39D44C">
      <w:pPr>
        <w:snapToGrid w:val="0"/>
        <w:spacing w:before="0" w:beforeLines="0" w:line="360" w:lineRule="auto"/>
        <w:ind w:firstLine="480" w:firstLineChars="200"/>
        <w:rPr>
          <w:kern w:val="0"/>
          <w:sz w:val="24"/>
        </w:rPr>
      </w:pPr>
      <w:r>
        <w:rPr>
          <w:kern w:val="0"/>
          <w:sz w:val="24"/>
        </w:rPr>
        <w:t>根据《环境影响评价技术导则 声环境》（HJ2.4-20</w:t>
      </w:r>
      <w:r>
        <w:rPr>
          <w:rFonts w:hint="eastAsia"/>
          <w:kern w:val="0"/>
          <w:sz w:val="24"/>
        </w:rPr>
        <w:t>21</w:t>
      </w:r>
      <w:r>
        <w:rPr>
          <w:kern w:val="0"/>
          <w:sz w:val="24"/>
        </w:rPr>
        <w:t>），确定本次声环境影响评价级别，判定结果见表2.4-8。</w:t>
      </w:r>
    </w:p>
    <w:p w14:paraId="51926C3B">
      <w:pPr>
        <w:spacing w:before="78"/>
        <w:jc w:val="center"/>
        <w:rPr>
          <w:b/>
          <w:bCs/>
          <w:szCs w:val="21"/>
        </w:rPr>
      </w:pPr>
      <w:r>
        <w:rPr>
          <w:b/>
          <w:bCs/>
          <w:szCs w:val="21"/>
        </w:rPr>
        <w:t>表2.4-8   声环境影响评价工作等级判定表</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3099"/>
        <w:gridCol w:w="3662"/>
        <w:gridCol w:w="1551"/>
      </w:tblGrid>
      <w:tr w14:paraId="104FC26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 w:hRule="atLeast"/>
          <w:jc w:val="center"/>
        </w:trPr>
        <w:tc>
          <w:tcPr>
            <w:tcW w:w="1864" w:type="pct"/>
            <w:tcBorders>
              <w:tl2br w:val="nil"/>
              <w:tr2bl w:val="nil"/>
            </w:tcBorders>
            <w:vAlign w:val="center"/>
          </w:tcPr>
          <w:p w14:paraId="794F00C0">
            <w:pPr>
              <w:pStyle w:val="160"/>
            </w:pPr>
            <w:r>
              <w:t>划分依据</w:t>
            </w:r>
          </w:p>
        </w:tc>
        <w:tc>
          <w:tcPr>
            <w:tcW w:w="2203" w:type="pct"/>
            <w:tcBorders>
              <w:tl2br w:val="nil"/>
              <w:tr2bl w:val="nil"/>
            </w:tcBorders>
            <w:vAlign w:val="center"/>
          </w:tcPr>
          <w:p w14:paraId="66DCC67A">
            <w:pPr>
              <w:pStyle w:val="160"/>
            </w:pPr>
            <w:r>
              <w:t>项目情况</w:t>
            </w:r>
          </w:p>
        </w:tc>
        <w:tc>
          <w:tcPr>
            <w:tcW w:w="933" w:type="pct"/>
            <w:tcBorders>
              <w:tl2br w:val="nil"/>
              <w:tr2bl w:val="nil"/>
            </w:tcBorders>
            <w:vAlign w:val="center"/>
          </w:tcPr>
          <w:p w14:paraId="3EB7128F">
            <w:pPr>
              <w:pStyle w:val="160"/>
            </w:pPr>
            <w:r>
              <w:t>分级判定结果</w:t>
            </w:r>
          </w:p>
        </w:tc>
      </w:tr>
      <w:tr w14:paraId="4E5A63F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 w:hRule="atLeast"/>
          <w:jc w:val="center"/>
        </w:trPr>
        <w:tc>
          <w:tcPr>
            <w:tcW w:w="1864" w:type="pct"/>
            <w:tcBorders>
              <w:tl2br w:val="nil"/>
              <w:tr2bl w:val="nil"/>
            </w:tcBorders>
            <w:vAlign w:val="center"/>
          </w:tcPr>
          <w:p w14:paraId="5EE2BE91">
            <w:pPr>
              <w:pStyle w:val="160"/>
            </w:pPr>
            <w:r>
              <w:t>所在区域声环境功能区类别</w:t>
            </w:r>
          </w:p>
        </w:tc>
        <w:tc>
          <w:tcPr>
            <w:tcW w:w="2203" w:type="pct"/>
            <w:tcBorders>
              <w:tl2br w:val="nil"/>
              <w:tr2bl w:val="nil"/>
            </w:tcBorders>
            <w:vAlign w:val="center"/>
          </w:tcPr>
          <w:p w14:paraId="3BB59AE4">
            <w:pPr>
              <w:pStyle w:val="160"/>
            </w:pPr>
            <w:r>
              <w:rPr>
                <w:rFonts w:hint="eastAsia"/>
              </w:rPr>
              <w:t>位于</w:t>
            </w:r>
            <w:r>
              <w:rPr>
                <w:szCs w:val="28"/>
              </w:rPr>
              <w:t>阜新市阜新蒙古族自治县旧庙镇</w:t>
            </w:r>
            <w:r>
              <w:rPr>
                <w:rFonts w:hint="eastAsia"/>
                <w:szCs w:val="28"/>
              </w:rPr>
              <w:t>阿哈来村</w:t>
            </w:r>
          </w:p>
        </w:tc>
        <w:tc>
          <w:tcPr>
            <w:tcW w:w="933" w:type="pct"/>
            <w:tcBorders>
              <w:tl2br w:val="nil"/>
              <w:tr2bl w:val="nil"/>
            </w:tcBorders>
            <w:vAlign w:val="center"/>
          </w:tcPr>
          <w:p w14:paraId="4103EAFB">
            <w:pPr>
              <w:pStyle w:val="160"/>
            </w:pPr>
            <w:r>
              <w:t>1类区</w:t>
            </w:r>
          </w:p>
        </w:tc>
      </w:tr>
      <w:tr w14:paraId="6C161FE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 w:hRule="atLeast"/>
          <w:jc w:val="center"/>
        </w:trPr>
        <w:tc>
          <w:tcPr>
            <w:tcW w:w="1864" w:type="pct"/>
            <w:tcBorders>
              <w:tl2br w:val="nil"/>
              <w:tr2bl w:val="nil"/>
            </w:tcBorders>
            <w:vAlign w:val="center"/>
          </w:tcPr>
          <w:p w14:paraId="7CB9F130">
            <w:pPr>
              <w:pStyle w:val="160"/>
            </w:pPr>
            <w:r>
              <w:t>建设项目建设前后评价范围内声环境保护目标噪声级增量</w:t>
            </w:r>
          </w:p>
        </w:tc>
        <w:tc>
          <w:tcPr>
            <w:tcW w:w="2203" w:type="pct"/>
            <w:tcBorders>
              <w:tl2br w:val="nil"/>
              <w:tr2bl w:val="nil"/>
            </w:tcBorders>
            <w:vAlign w:val="center"/>
          </w:tcPr>
          <w:p w14:paraId="0466C550">
            <w:pPr>
              <w:pStyle w:val="160"/>
            </w:pPr>
            <w:r>
              <w:t>评价范围内无声环境保护目标</w:t>
            </w:r>
          </w:p>
        </w:tc>
        <w:tc>
          <w:tcPr>
            <w:tcW w:w="933" w:type="pct"/>
            <w:tcBorders>
              <w:tl2br w:val="nil"/>
              <w:tr2bl w:val="nil"/>
            </w:tcBorders>
            <w:vAlign w:val="center"/>
          </w:tcPr>
          <w:p w14:paraId="75AC3FBD">
            <w:pPr>
              <w:pStyle w:val="160"/>
            </w:pPr>
            <w:r>
              <w:t>/</w:t>
            </w:r>
          </w:p>
        </w:tc>
      </w:tr>
      <w:tr w14:paraId="0F0ABE4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 w:hRule="atLeast"/>
          <w:jc w:val="center"/>
        </w:trPr>
        <w:tc>
          <w:tcPr>
            <w:tcW w:w="1864" w:type="pct"/>
            <w:tcBorders>
              <w:tl2br w:val="nil"/>
              <w:tr2bl w:val="nil"/>
            </w:tcBorders>
            <w:vAlign w:val="center"/>
          </w:tcPr>
          <w:p w14:paraId="27D2F700">
            <w:pPr>
              <w:pStyle w:val="160"/>
            </w:pPr>
            <w:r>
              <w:t>受建设项目影响人口数量</w:t>
            </w:r>
          </w:p>
        </w:tc>
        <w:tc>
          <w:tcPr>
            <w:tcW w:w="2203" w:type="pct"/>
            <w:tcBorders>
              <w:tl2br w:val="nil"/>
              <w:tr2bl w:val="nil"/>
            </w:tcBorders>
            <w:vAlign w:val="center"/>
          </w:tcPr>
          <w:p w14:paraId="635A8E3E">
            <w:pPr>
              <w:pStyle w:val="160"/>
            </w:pPr>
            <w:r>
              <w:t>受建设项目影响人口的数量变化不大</w:t>
            </w:r>
          </w:p>
        </w:tc>
        <w:tc>
          <w:tcPr>
            <w:tcW w:w="933" w:type="pct"/>
            <w:tcBorders>
              <w:tl2br w:val="nil"/>
              <w:tr2bl w:val="nil"/>
            </w:tcBorders>
            <w:vAlign w:val="center"/>
          </w:tcPr>
          <w:p w14:paraId="240FD929">
            <w:pPr>
              <w:pStyle w:val="160"/>
            </w:pPr>
            <w:r>
              <w:t>变化不大</w:t>
            </w:r>
          </w:p>
        </w:tc>
      </w:tr>
      <w:tr w14:paraId="3B80A44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 w:hRule="atLeast"/>
          <w:jc w:val="center"/>
        </w:trPr>
        <w:tc>
          <w:tcPr>
            <w:tcW w:w="1864" w:type="pct"/>
            <w:tcBorders>
              <w:tl2br w:val="nil"/>
              <w:tr2bl w:val="nil"/>
            </w:tcBorders>
            <w:vAlign w:val="center"/>
          </w:tcPr>
          <w:p w14:paraId="2A3389F5">
            <w:pPr>
              <w:pStyle w:val="160"/>
            </w:pPr>
            <w:r>
              <w:t>评价等级判定结论</w:t>
            </w:r>
          </w:p>
        </w:tc>
        <w:tc>
          <w:tcPr>
            <w:tcW w:w="3136" w:type="pct"/>
            <w:gridSpan w:val="2"/>
            <w:tcBorders>
              <w:tl2br w:val="nil"/>
              <w:tr2bl w:val="nil"/>
            </w:tcBorders>
            <w:vAlign w:val="center"/>
          </w:tcPr>
          <w:p w14:paraId="16404AC2">
            <w:pPr>
              <w:pStyle w:val="160"/>
            </w:pPr>
            <w:r>
              <w:t>二级评价</w:t>
            </w:r>
          </w:p>
        </w:tc>
      </w:tr>
    </w:tbl>
    <w:p w14:paraId="512B33A6">
      <w:pPr>
        <w:snapToGrid w:val="0"/>
        <w:spacing w:before="78" w:line="360" w:lineRule="auto"/>
        <w:ind w:firstLine="482" w:firstLineChars="200"/>
        <w:rPr>
          <w:b/>
          <w:bCs/>
          <w:kern w:val="0"/>
          <w:sz w:val="24"/>
        </w:rPr>
      </w:pPr>
      <w:r>
        <w:rPr>
          <w:b/>
          <w:bCs/>
          <w:kern w:val="0"/>
          <w:sz w:val="24"/>
        </w:rPr>
        <w:fldChar w:fldCharType="begin"/>
      </w:r>
      <w:r>
        <w:rPr>
          <w:b/>
          <w:bCs/>
          <w:kern w:val="0"/>
          <w:sz w:val="24"/>
        </w:rPr>
        <w:instrText xml:space="preserve"> = 5 \* GB2 \* MERGEFORMAT </w:instrText>
      </w:r>
      <w:r>
        <w:rPr>
          <w:b/>
          <w:bCs/>
          <w:kern w:val="0"/>
          <w:sz w:val="24"/>
        </w:rPr>
        <w:fldChar w:fldCharType="separate"/>
      </w:r>
      <w:r>
        <w:rPr>
          <w:b/>
          <w:bCs/>
          <w:kern w:val="0"/>
          <w:sz w:val="24"/>
        </w:rPr>
        <w:t>⑸</w:t>
      </w:r>
      <w:r>
        <w:rPr>
          <w:b/>
          <w:bCs/>
          <w:kern w:val="0"/>
          <w:sz w:val="24"/>
        </w:rPr>
        <w:fldChar w:fldCharType="end"/>
      </w:r>
      <w:r>
        <w:rPr>
          <w:b/>
          <w:bCs/>
          <w:kern w:val="0"/>
          <w:sz w:val="24"/>
        </w:rPr>
        <w:t>土壤环境影响评价等级</w:t>
      </w:r>
    </w:p>
    <w:p w14:paraId="01694AD0">
      <w:pPr>
        <w:adjustRightInd w:val="0"/>
        <w:snapToGrid w:val="0"/>
        <w:spacing w:before="78" w:line="360" w:lineRule="auto"/>
        <w:ind w:firstLine="480" w:firstLineChars="200"/>
      </w:pPr>
      <w:r>
        <w:rPr>
          <w:sz w:val="24"/>
        </w:rPr>
        <w:t>按照《环境影响评价技术导则 土壤环境（试行）》（HJ964-2018），土壤</w:t>
      </w:r>
      <w:r>
        <w:rPr>
          <w:sz w:val="24"/>
          <w:szCs w:val="20"/>
        </w:rPr>
        <w:t>评价工作等级的划分应依据建设项目行业分类、占地规模和敏感程度进行判定。建设项目土壤环境影响评价工作等级划分见表2.4-9。</w:t>
      </w:r>
    </w:p>
    <w:p w14:paraId="3F67C96E">
      <w:pPr>
        <w:spacing w:before="78"/>
        <w:jc w:val="center"/>
        <w:rPr>
          <w:b/>
          <w:bCs/>
          <w:szCs w:val="21"/>
        </w:rPr>
      </w:pPr>
      <w:r>
        <w:rPr>
          <w:b/>
          <w:bCs/>
          <w:szCs w:val="21"/>
        </w:rPr>
        <w:t>表2.4-9  土壤环境影响评价工作等级分级表</w:t>
      </w:r>
    </w:p>
    <w:tbl>
      <w:tblPr>
        <w:tblStyle w:val="89"/>
        <w:tblW w:w="5131" w:type="pct"/>
        <w:jc w:val="center"/>
        <w:tblBorders>
          <w:top w:val="single" w:color="000000" w:sz="12" w:space="0"/>
          <w:left w:val="none" w:color="auto" w:sz="0" w:space="0"/>
          <w:bottom w:val="single" w:color="000000" w:sz="12" w:space="0"/>
          <w:right w:val="none" w:color="auto" w:sz="0" w:space="0"/>
          <w:insideH w:val="single" w:color="000000" w:sz="6" w:space="0"/>
          <w:insideV w:val="single" w:color="000000" w:sz="4" w:space="0"/>
        </w:tblBorders>
        <w:tblLayout w:type="autofit"/>
        <w:tblCellMar>
          <w:top w:w="0" w:type="dxa"/>
          <w:left w:w="108" w:type="dxa"/>
          <w:bottom w:w="0" w:type="dxa"/>
          <w:right w:w="108" w:type="dxa"/>
        </w:tblCellMar>
      </w:tblPr>
      <w:tblGrid>
        <w:gridCol w:w="2311"/>
        <w:gridCol w:w="726"/>
        <w:gridCol w:w="725"/>
        <w:gridCol w:w="727"/>
        <w:gridCol w:w="780"/>
        <w:gridCol w:w="652"/>
        <w:gridCol w:w="653"/>
        <w:gridCol w:w="652"/>
        <w:gridCol w:w="652"/>
        <w:gridCol w:w="652"/>
      </w:tblGrid>
      <w:tr w14:paraId="3B33CAFA">
        <w:tblPrEx>
          <w:tblBorders>
            <w:top w:val="single" w:color="000000" w:sz="12" w:space="0"/>
            <w:left w:val="none" w:color="auto" w:sz="0" w:space="0"/>
            <w:bottom w:val="single" w:color="000000" w:sz="12" w:space="0"/>
            <w:right w:val="none" w:color="auto" w:sz="0" w:space="0"/>
            <w:insideH w:val="single" w:color="000000" w:sz="6" w:space="0"/>
            <w:insideV w:val="single" w:color="000000" w:sz="4" w:space="0"/>
          </w:tblBorders>
          <w:tblCellMar>
            <w:top w:w="0" w:type="dxa"/>
            <w:left w:w="108" w:type="dxa"/>
            <w:bottom w:w="0" w:type="dxa"/>
            <w:right w:w="108" w:type="dxa"/>
          </w:tblCellMar>
        </w:tblPrEx>
        <w:trPr>
          <w:trHeight w:val="273" w:hRule="atLeast"/>
          <w:jc w:val="center"/>
        </w:trPr>
        <w:tc>
          <w:tcPr>
            <w:tcW w:w="1355" w:type="pct"/>
            <w:vMerge w:val="restart"/>
            <w:tcBorders>
              <w:top w:val="single" w:color="000000" w:sz="12" w:space="0"/>
              <w:bottom w:val="single" w:color="000000" w:sz="6" w:space="0"/>
              <w:tl2br w:val="single" w:color="auto" w:sz="4" w:space="0"/>
              <w:tr2bl w:val="nil"/>
            </w:tcBorders>
            <w:vAlign w:val="center"/>
          </w:tcPr>
          <w:p w14:paraId="0BA75FD3">
            <w:pPr>
              <w:pStyle w:val="160"/>
              <w:ind w:firstLine="1050" w:firstLineChars="500"/>
              <w:jc w:val="both"/>
            </w:pPr>
            <w:r>
              <w:t>占地规模</w:t>
            </w:r>
          </w:p>
          <w:p w14:paraId="2F13DEF2">
            <w:pPr>
              <w:pStyle w:val="160"/>
              <w:jc w:val="both"/>
            </w:pPr>
            <w:r>
              <w:t>敏感程度</w:t>
            </w:r>
          </w:p>
        </w:tc>
        <w:tc>
          <w:tcPr>
            <w:tcW w:w="1277" w:type="pct"/>
            <w:gridSpan w:val="3"/>
            <w:tcBorders>
              <w:tl2br w:val="nil"/>
              <w:tr2bl w:val="nil"/>
            </w:tcBorders>
            <w:vAlign w:val="center"/>
          </w:tcPr>
          <w:p w14:paraId="285CB3B8">
            <w:pPr>
              <w:pStyle w:val="160"/>
            </w:pPr>
            <w:r>
              <w:t>Ⅰ类项目</w:t>
            </w:r>
          </w:p>
        </w:tc>
        <w:tc>
          <w:tcPr>
            <w:tcW w:w="1222" w:type="pct"/>
            <w:gridSpan w:val="3"/>
            <w:tcBorders>
              <w:tl2br w:val="nil"/>
              <w:tr2bl w:val="nil"/>
            </w:tcBorders>
            <w:vAlign w:val="center"/>
          </w:tcPr>
          <w:p w14:paraId="07677077">
            <w:pPr>
              <w:pStyle w:val="160"/>
            </w:pPr>
            <w:bookmarkStart w:id="59" w:name="_Hlk46651991"/>
            <w:r>
              <w:t>Ⅱ</w:t>
            </w:r>
            <w:bookmarkEnd w:id="59"/>
            <w:r>
              <w:t>类项目</w:t>
            </w:r>
          </w:p>
        </w:tc>
        <w:tc>
          <w:tcPr>
            <w:tcW w:w="1147" w:type="pct"/>
            <w:gridSpan w:val="3"/>
            <w:tcBorders>
              <w:tl2br w:val="nil"/>
              <w:tr2bl w:val="nil"/>
            </w:tcBorders>
            <w:vAlign w:val="center"/>
          </w:tcPr>
          <w:p w14:paraId="265237CF">
            <w:pPr>
              <w:pStyle w:val="160"/>
            </w:pPr>
            <w:r>
              <w:t>Ⅲ类项目</w:t>
            </w:r>
          </w:p>
        </w:tc>
      </w:tr>
      <w:tr w14:paraId="56845C06">
        <w:tblPrEx>
          <w:tblBorders>
            <w:top w:val="single" w:color="000000" w:sz="12" w:space="0"/>
            <w:left w:val="none" w:color="auto" w:sz="0" w:space="0"/>
            <w:bottom w:val="single" w:color="000000" w:sz="12" w:space="0"/>
            <w:right w:val="none" w:color="auto" w:sz="0" w:space="0"/>
            <w:insideH w:val="single" w:color="000000" w:sz="6" w:space="0"/>
            <w:insideV w:val="single" w:color="000000" w:sz="4" w:space="0"/>
          </w:tblBorders>
          <w:tblCellMar>
            <w:top w:w="0" w:type="dxa"/>
            <w:left w:w="108" w:type="dxa"/>
            <w:bottom w:w="0" w:type="dxa"/>
            <w:right w:w="108" w:type="dxa"/>
          </w:tblCellMar>
        </w:tblPrEx>
        <w:trPr>
          <w:trHeight w:val="212" w:hRule="atLeast"/>
          <w:jc w:val="center"/>
        </w:trPr>
        <w:tc>
          <w:tcPr>
            <w:tcW w:w="1355" w:type="pct"/>
            <w:vMerge w:val="continue"/>
            <w:tcBorders>
              <w:top w:val="single" w:color="000000" w:sz="6" w:space="0"/>
              <w:bottom w:val="single" w:color="000000" w:sz="6" w:space="0"/>
              <w:tl2br w:val="single" w:color="auto" w:sz="4" w:space="0"/>
              <w:tr2bl w:val="nil"/>
            </w:tcBorders>
            <w:vAlign w:val="center"/>
          </w:tcPr>
          <w:p w14:paraId="4CFEBD4C">
            <w:pPr>
              <w:pStyle w:val="160"/>
            </w:pPr>
          </w:p>
        </w:tc>
        <w:tc>
          <w:tcPr>
            <w:tcW w:w="426" w:type="pct"/>
            <w:tcBorders>
              <w:tl2br w:val="nil"/>
              <w:tr2bl w:val="nil"/>
            </w:tcBorders>
            <w:vAlign w:val="center"/>
          </w:tcPr>
          <w:p w14:paraId="63B0FCB3">
            <w:pPr>
              <w:pStyle w:val="160"/>
            </w:pPr>
            <w:r>
              <w:t>大</w:t>
            </w:r>
          </w:p>
        </w:tc>
        <w:tc>
          <w:tcPr>
            <w:tcW w:w="425" w:type="pct"/>
            <w:tcBorders>
              <w:tl2br w:val="nil"/>
              <w:tr2bl w:val="nil"/>
            </w:tcBorders>
            <w:vAlign w:val="center"/>
          </w:tcPr>
          <w:p w14:paraId="17DB550B">
            <w:pPr>
              <w:pStyle w:val="160"/>
            </w:pPr>
            <w:r>
              <w:t>中</w:t>
            </w:r>
          </w:p>
        </w:tc>
        <w:tc>
          <w:tcPr>
            <w:tcW w:w="426" w:type="pct"/>
            <w:tcBorders>
              <w:tl2br w:val="nil"/>
              <w:tr2bl w:val="nil"/>
            </w:tcBorders>
            <w:vAlign w:val="center"/>
          </w:tcPr>
          <w:p w14:paraId="545A3DB1">
            <w:pPr>
              <w:pStyle w:val="160"/>
            </w:pPr>
            <w:r>
              <w:t>小</w:t>
            </w:r>
          </w:p>
        </w:tc>
        <w:tc>
          <w:tcPr>
            <w:tcW w:w="457" w:type="pct"/>
            <w:tcBorders>
              <w:tl2br w:val="nil"/>
              <w:tr2bl w:val="nil"/>
            </w:tcBorders>
            <w:vAlign w:val="center"/>
          </w:tcPr>
          <w:p w14:paraId="24FDA012">
            <w:pPr>
              <w:pStyle w:val="160"/>
            </w:pPr>
            <w:r>
              <w:t>大</w:t>
            </w:r>
          </w:p>
        </w:tc>
        <w:tc>
          <w:tcPr>
            <w:tcW w:w="382" w:type="pct"/>
            <w:tcBorders>
              <w:tl2br w:val="nil"/>
              <w:tr2bl w:val="nil"/>
            </w:tcBorders>
            <w:vAlign w:val="center"/>
          </w:tcPr>
          <w:p w14:paraId="30F2942D">
            <w:pPr>
              <w:pStyle w:val="160"/>
            </w:pPr>
            <w:r>
              <w:t>中</w:t>
            </w:r>
          </w:p>
        </w:tc>
        <w:tc>
          <w:tcPr>
            <w:tcW w:w="383" w:type="pct"/>
            <w:tcBorders>
              <w:tl2br w:val="nil"/>
              <w:tr2bl w:val="nil"/>
            </w:tcBorders>
            <w:vAlign w:val="center"/>
          </w:tcPr>
          <w:p w14:paraId="652B60AE">
            <w:pPr>
              <w:pStyle w:val="160"/>
            </w:pPr>
            <w:r>
              <w:t>小</w:t>
            </w:r>
          </w:p>
        </w:tc>
        <w:tc>
          <w:tcPr>
            <w:tcW w:w="382" w:type="pct"/>
            <w:tcBorders>
              <w:tl2br w:val="nil"/>
              <w:tr2bl w:val="nil"/>
            </w:tcBorders>
            <w:vAlign w:val="center"/>
          </w:tcPr>
          <w:p w14:paraId="4C28E759">
            <w:pPr>
              <w:pStyle w:val="160"/>
            </w:pPr>
            <w:r>
              <w:t>大</w:t>
            </w:r>
          </w:p>
        </w:tc>
        <w:tc>
          <w:tcPr>
            <w:tcW w:w="382" w:type="pct"/>
            <w:tcBorders>
              <w:tl2br w:val="nil"/>
              <w:tr2bl w:val="nil"/>
            </w:tcBorders>
            <w:vAlign w:val="center"/>
          </w:tcPr>
          <w:p w14:paraId="58403000">
            <w:pPr>
              <w:pStyle w:val="160"/>
            </w:pPr>
            <w:r>
              <w:t>中</w:t>
            </w:r>
          </w:p>
        </w:tc>
        <w:tc>
          <w:tcPr>
            <w:tcW w:w="382" w:type="pct"/>
            <w:tcBorders>
              <w:tl2br w:val="nil"/>
              <w:tr2bl w:val="nil"/>
            </w:tcBorders>
            <w:vAlign w:val="center"/>
          </w:tcPr>
          <w:p w14:paraId="317E54B4">
            <w:pPr>
              <w:pStyle w:val="160"/>
            </w:pPr>
            <w:r>
              <w:t>小</w:t>
            </w:r>
          </w:p>
        </w:tc>
      </w:tr>
      <w:tr w14:paraId="6E0B742E">
        <w:tblPrEx>
          <w:tblBorders>
            <w:top w:val="single" w:color="000000" w:sz="12" w:space="0"/>
            <w:left w:val="none" w:color="auto" w:sz="0" w:space="0"/>
            <w:bottom w:val="single" w:color="000000" w:sz="12" w:space="0"/>
            <w:right w:val="none" w:color="auto" w:sz="0" w:space="0"/>
            <w:insideH w:val="single" w:color="000000" w:sz="6" w:space="0"/>
            <w:insideV w:val="single" w:color="000000" w:sz="4" w:space="0"/>
          </w:tblBorders>
          <w:tblCellMar>
            <w:top w:w="0" w:type="dxa"/>
            <w:left w:w="108" w:type="dxa"/>
            <w:bottom w:w="0" w:type="dxa"/>
            <w:right w:w="108" w:type="dxa"/>
          </w:tblCellMar>
        </w:tblPrEx>
        <w:trPr>
          <w:trHeight w:val="334" w:hRule="atLeast"/>
          <w:jc w:val="center"/>
        </w:trPr>
        <w:tc>
          <w:tcPr>
            <w:tcW w:w="1355" w:type="pct"/>
            <w:tcBorders>
              <w:top w:val="single" w:color="000000" w:sz="6" w:space="0"/>
              <w:tl2br w:val="nil"/>
              <w:tr2bl w:val="nil"/>
            </w:tcBorders>
            <w:vAlign w:val="center"/>
          </w:tcPr>
          <w:p w14:paraId="2ECB3BD4">
            <w:pPr>
              <w:pStyle w:val="160"/>
            </w:pPr>
            <w:r>
              <w:t>敏感</w:t>
            </w:r>
          </w:p>
        </w:tc>
        <w:tc>
          <w:tcPr>
            <w:tcW w:w="426" w:type="pct"/>
            <w:tcBorders>
              <w:tl2br w:val="nil"/>
              <w:tr2bl w:val="nil"/>
            </w:tcBorders>
            <w:vAlign w:val="center"/>
          </w:tcPr>
          <w:p w14:paraId="45C31233">
            <w:pPr>
              <w:pStyle w:val="160"/>
            </w:pPr>
            <w:r>
              <w:t>一级</w:t>
            </w:r>
          </w:p>
        </w:tc>
        <w:tc>
          <w:tcPr>
            <w:tcW w:w="425" w:type="pct"/>
            <w:tcBorders>
              <w:tl2br w:val="nil"/>
              <w:tr2bl w:val="nil"/>
            </w:tcBorders>
            <w:vAlign w:val="center"/>
          </w:tcPr>
          <w:p w14:paraId="679E14BA">
            <w:pPr>
              <w:pStyle w:val="160"/>
            </w:pPr>
            <w:r>
              <w:t>一级</w:t>
            </w:r>
          </w:p>
        </w:tc>
        <w:tc>
          <w:tcPr>
            <w:tcW w:w="426" w:type="pct"/>
            <w:tcBorders>
              <w:tl2br w:val="nil"/>
              <w:tr2bl w:val="nil"/>
            </w:tcBorders>
            <w:vAlign w:val="center"/>
          </w:tcPr>
          <w:p w14:paraId="368E1A7B">
            <w:pPr>
              <w:pStyle w:val="160"/>
            </w:pPr>
            <w:r>
              <w:t>一级</w:t>
            </w:r>
          </w:p>
        </w:tc>
        <w:tc>
          <w:tcPr>
            <w:tcW w:w="457" w:type="pct"/>
            <w:tcBorders>
              <w:tl2br w:val="nil"/>
              <w:tr2bl w:val="nil"/>
            </w:tcBorders>
            <w:vAlign w:val="center"/>
          </w:tcPr>
          <w:p w14:paraId="049AC4A4">
            <w:pPr>
              <w:pStyle w:val="160"/>
            </w:pPr>
            <w:r>
              <w:t>二级</w:t>
            </w:r>
          </w:p>
        </w:tc>
        <w:tc>
          <w:tcPr>
            <w:tcW w:w="382" w:type="pct"/>
            <w:tcBorders>
              <w:tl2br w:val="nil"/>
              <w:tr2bl w:val="nil"/>
            </w:tcBorders>
            <w:vAlign w:val="center"/>
          </w:tcPr>
          <w:p w14:paraId="407686E5">
            <w:pPr>
              <w:pStyle w:val="160"/>
            </w:pPr>
            <w:r>
              <w:t>二级</w:t>
            </w:r>
          </w:p>
        </w:tc>
        <w:tc>
          <w:tcPr>
            <w:tcW w:w="383" w:type="pct"/>
            <w:tcBorders>
              <w:tl2br w:val="nil"/>
              <w:tr2bl w:val="nil"/>
            </w:tcBorders>
            <w:vAlign w:val="center"/>
          </w:tcPr>
          <w:p w14:paraId="1E21C554">
            <w:pPr>
              <w:pStyle w:val="160"/>
            </w:pPr>
            <w:r>
              <w:t>二级</w:t>
            </w:r>
          </w:p>
        </w:tc>
        <w:tc>
          <w:tcPr>
            <w:tcW w:w="382" w:type="pct"/>
            <w:tcBorders>
              <w:tl2br w:val="nil"/>
              <w:tr2bl w:val="nil"/>
            </w:tcBorders>
            <w:vAlign w:val="center"/>
          </w:tcPr>
          <w:p w14:paraId="109BDB98">
            <w:pPr>
              <w:pStyle w:val="160"/>
            </w:pPr>
            <w:r>
              <w:t>三级</w:t>
            </w:r>
          </w:p>
        </w:tc>
        <w:tc>
          <w:tcPr>
            <w:tcW w:w="382" w:type="pct"/>
            <w:tcBorders>
              <w:tl2br w:val="nil"/>
              <w:tr2bl w:val="nil"/>
            </w:tcBorders>
            <w:vAlign w:val="center"/>
          </w:tcPr>
          <w:p w14:paraId="464412E9">
            <w:pPr>
              <w:pStyle w:val="160"/>
            </w:pPr>
            <w:r>
              <w:t>三级</w:t>
            </w:r>
          </w:p>
        </w:tc>
        <w:tc>
          <w:tcPr>
            <w:tcW w:w="382" w:type="pct"/>
            <w:tcBorders>
              <w:tl2br w:val="nil"/>
              <w:tr2bl w:val="nil"/>
            </w:tcBorders>
            <w:vAlign w:val="center"/>
          </w:tcPr>
          <w:p w14:paraId="3C96536E">
            <w:pPr>
              <w:pStyle w:val="160"/>
            </w:pPr>
            <w:r>
              <w:t>三级</w:t>
            </w:r>
          </w:p>
        </w:tc>
      </w:tr>
      <w:tr w14:paraId="658C891F">
        <w:tblPrEx>
          <w:tblBorders>
            <w:top w:val="single" w:color="000000" w:sz="12" w:space="0"/>
            <w:left w:val="none" w:color="auto" w:sz="0" w:space="0"/>
            <w:bottom w:val="single" w:color="000000" w:sz="12" w:space="0"/>
            <w:right w:val="none" w:color="auto" w:sz="0" w:space="0"/>
            <w:insideH w:val="single" w:color="000000" w:sz="6" w:space="0"/>
            <w:insideV w:val="single" w:color="000000" w:sz="4" w:space="0"/>
          </w:tblBorders>
          <w:tblCellMar>
            <w:top w:w="0" w:type="dxa"/>
            <w:left w:w="108" w:type="dxa"/>
            <w:bottom w:w="0" w:type="dxa"/>
            <w:right w:w="108" w:type="dxa"/>
          </w:tblCellMar>
        </w:tblPrEx>
        <w:trPr>
          <w:trHeight w:val="334" w:hRule="atLeast"/>
          <w:jc w:val="center"/>
        </w:trPr>
        <w:tc>
          <w:tcPr>
            <w:tcW w:w="1355" w:type="pct"/>
            <w:tcBorders>
              <w:tl2br w:val="nil"/>
              <w:tr2bl w:val="nil"/>
            </w:tcBorders>
            <w:vAlign w:val="center"/>
          </w:tcPr>
          <w:p w14:paraId="48750504">
            <w:pPr>
              <w:pStyle w:val="160"/>
            </w:pPr>
            <w:r>
              <w:t>较敏感</w:t>
            </w:r>
          </w:p>
        </w:tc>
        <w:tc>
          <w:tcPr>
            <w:tcW w:w="426" w:type="pct"/>
            <w:tcBorders>
              <w:tl2br w:val="nil"/>
              <w:tr2bl w:val="nil"/>
            </w:tcBorders>
            <w:vAlign w:val="center"/>
          </w:tcPr>
          <w:p w14:paraId="4C4E517B">
            <w:pPr>
              <w:pStyle w:val="160"/>
            </w:pPr>
            <w:r>
              <w:t>一级</w:t>
            </w:r>
          </w:p>
        </w:tc>
        <w:tc>
          <w:tcPr>
            <w:tcW w:w="425" w:type="pct"/>
            <w:tcBorders>
              <w:tl2br w:val="nil"/>
              <w:tr2bl w:val="nil"/>
            </w:tcBorders>
            <w:vAlign w:val="center"/>
          </w:tcPr>
          <w:p w14:paraId="7398AC27">
            <w:pPr>
              <w:pStyle w:val="160"/>
            </w:pPr>
            <w:r>
              <w:t>一级</w:t>
            </w:r>
          </w:p>
        </w:tc>
        <w:tc>
          <w:tcPr>
            <w:tcW w:w="426" w:type="pct"/>
            <w:tcBorders>
              <w:tl2br w:val="nil"/>
              <w:tr2bl w:val="nil"/>
            </w:tcBorders>
            <w:vAlign w:val="center"/>
          </w:tcPr>
          <w:p w14:paraId="43115784">
            <w:pPr>
              <w:pStyle w:val="160"/>
            </w:pPr>
            <w:r>
              <w:t>二级</w:t>
            </w:r>
          </w:p>
        </w:tc>
        <w:tc>
          <w:tcPr>
            <w:tcW w:w="457" w:type="pct"/>
            <w:tcBorders>
              <w:tl2br w:val="nil"/>
              <w:tr2bl w:val="nil"/>
            </w:tcBorders>
            <w:vAlign w:val="center"/>
          </w:tcPr>
          <w:p w14:paraId="0B574CD5">
            <w:pPr>
              <w:pStyle w:val="160"/>
            </w:pPr>
            <w:r>
              <w:t>二级</w:t>
            </w:r>
          </w:p>
        </w:tc>
        <w:tc>
          <w:tcPr>
            <w:tcW w:w="382" w:type="pct"/>
            <w:tcBorders>
              <w:tl2br w:val="nil"/>
              <w:tr2bl w:val="nil"/>
            </w:tcBorders>
            <w:vAlign w:val="center"/>
          </w:tcPr>
          <w:p w14:paraId="2F2B2DBE">
            <w:pPr>
              <w:pStyle w:val="160"/>
            </w:pPr>
            <w:r>
              <w:t>二级</w:t>
            </w:r>
          </w:p>
        </w:tc>
        <w:tc>
          <w:tcPr>
            <w:tcW w:w="383" w:type="pct"/>
            <w:tcBorders>
              <w:tl2br w:val="nil"/>
              <w:tr2bl w:val="nil"/>
            </w:tcBorders>
            <w:vAlign w:val="center"/>
          </w:tcPr>
          <w:p w14:paraId="2686ABDD">
            <w:pPr>
              <w:pStyle w:val="160"/>
            </w:pPr>
            <w:r>
              <w:t>三级</w:t>
            </w:r>
          </w:p>
        </w:tc>
        <w:tc>
          <w:tcPr>
            <w:tcW w:w="382" w:type="pct"/>
            <w:tcBorders>
              <w:tl2br w:val="nil"/>
              <w:tr2bl w:val="nil"/>
            </w:tcBorders>
            <w:vAlign w:val="center"/>
          </w:tcPr>
          <w:p w14:paraId="177C0EF6">
            <w:pPr>
              <w:pStyle w:val="160"/>
            </w:pPr>
            <w:r>
              <w:t>三级</w:t>
            </w:r>
          </w:p>
        </w:tc>
        <w:tc>
          <w:tcPr>
            <w:tcW w:w="382" w:type="pct"/>
            <w:tcBorders>
              <w:tl2br w:val="nil"/>
              <w:tr2bl w:val="nil"/>
            </w:tcBorders>
            <w:vAlign w:val="center"/>
          </w:tcPr>
          <w:p w14:paraId="0D56A666">
            <w:pPr>
              <w:pStyle w:val="160"/>
            </w:pPr>
            <w:r>
              <w:t>三级</w:t>
            </w:r>
          </w:p>
        </w:tc>
        <w:tc>
          <w:tcPr>
            <w:tcW w:w="382" w:type="pct"/>
            <w:tcBorders>
              <w:tl2br w:val="nil"/>
              <w:tr2bl w:val="nil"/>
            </w:tcBorders>
            <w:vAlign w:val="center"/>
          </w:tcPr>
          <w:p w14:paraId="503A3EEA">
            <w:pPr>
              <w:pStyle w:val="160"/>
            </w:pPr>
            <w:r>
              <w:t>-</w:t>
            </w:r>
          </w:p>
        </w:tc>
      </w:tr>
      <w:tr w14:paraId="4E086FE1">
        <w:tblPrEx>
          <w:tblBorders>
            <w:top w:val="single" w:color="000000" w:sz="12" w:space="0"/>
            <w:left w:val="none" w:color="auto" w:sz="0" w:space="0"/>
            <w:bottom w:val="single" w:color="000000" w:sz="12" w:space="0"/>
            <w:right w:val="none" w:color="auto" w:sz="0" w:space="0"/>
            <w:insideH w:val="single" w:color="000000" w:sz="6" w:space="0"/>
            <w:insideV w:val="single" w:color="000000" w:sz="4" w:space="0"/>
          </w:tblBorders>
          <w:tblCellMar>
            <w:top w:w="0" w:type="dxa"/>
            <w:left w:w="108" w:type="dxa"/>
            <w:bottom w:w="0" w:type="dxa"/>
            <w:right w:w="108" w:type="dxa"/>
          </w:tblCellMar>
        </w:tblPrEx>
        <w:trPr>
          <w:trHeight w:val="334" w:hRule="atLeast"/>
          <w:jc w:val="center"/>
        </w:trPr>
        <w:tc>
          <w:tcPr>
            <w:tcW w:w="1355" w:type="pct"/>
            <w:tcBorders>
              <w:tl2br w:val="nil"/>
              <w:tr2bl w:val="nil"/>
            </w:tcBorders>
            <w:vAlign w:val="center"/>
          </w:tcPr>
          <w:p w14:paraId="5B755C9A">
            <w:pPr>
              <w:pStyle w:val="160"/>
            </w:pPr>
            <w:r>
              <w:t>不敏感</w:t>
            </w:r>
          </w:p>
        </w:tc>
        <w:tc>
          <w:tcPr>
            <w:tcW w:w="426" w:type="pct"/>
            <w:tcBorders>
              <w:tl2br w:val="nil"/>
              <w:tr2bl w:val="nil"/>
            </w:tcBorders>
            <w:vAlign w:val="center"/>
          </w:tcPr>
          <w:p w14:paraId="406E60D4">
            <w:pPr>
              <w:pStyle w:val="160"/>
            </w:pPr>
            <w:r>
              <w:t>一级</w:t>
            </w:r>
          </w:p>
        </w:tc>
        <w:tc>
          <w:tcPr>
            <w:tcW w:w="425" w:type="pct"/>
            <w:tcBorders>
              <w:tl2br w:val="nil"/>
              <w:tr2bl w:val="nil"/>
            </w:tcBorders>
            <w:vAlign w:val="center"/>
          </w:tcPr>
          <w:p w14:paraId="65857988">
            <w:pPr>
              <w:pStyle w:val="160"/>
            </w:pPr>
            <w:r>
              <w:t>二级</w:t>
            </w:r>
          </w:p>
        </w:tc>
        <w:tc>
          <w:tcPr>
            <w:tcW w:w="426" w:type="pct"/>
            <w:tcBorders>
              <w:tl2br w:val="nil"/>
              <w:tr2bl w:val="nil"/>
            </w:tcBorders>
            <w:vAlign w:val="center"/>
          </w:tcPr>
          <w:p w14:paraId="4C94526A">
            <w:pPr>
              <w:pStyle w:val="160"/>
            </w:pPr>
            <w:r>
              <w:t>二级</w:t>
            </w:r>
          </w:p>
        </w:tc>
        <w:tc>
          <w:tcPr>
            <w:tcW w:w="457" w:type="pct"/>
            <w:tcBorders>
              <w:tl2br w:val="nil"/>
              <w:tr2bl w:val="nil"/>
            </w:tcBorders>
            <w:vAlign w:val="center"/>
          </w:tcPr>
          <w:p w14:paraId="712A7795">
            <w:pPr>
              <w:pStyle w:val="160"/>
            </w:pPr>
            <w:r>
              <w:t>二级</w:t>
            </w:r>
          </w:p>
        </w:tc>
        <w:tc>
          <w:tcPr>
            <w:tcW w:w="382" w:type="pct"/>
            <w:tcBorders>
              <w:tl2br w:val="nil"/>
              <w:tr2bl w:val="nil"/>
            </w:tcBorders>
            <w:vAlign w:val="center"/>
          </w:tcPr>
          <w:p w14:paraId="053A8F7C">
            <w:pPr>
              <w:pStyle w:val="160"/>
            </w:pPr>
            <w:r>
              <w:t>三级</w:t>
            </w:r>
          </w:p>
        </w:tc>
        <w:tc>
          <w:tcPr>
            <w:tcW w:w="383" w:type="pct"/>
            <w:tcBorders>
              <w:tl2br w:val="nil"/>
              <w:tr2bl w:val="nil"/>
            </w:tcBorders>
            <w:vAlign w:val="center"/>
          </w:tcPr>
          <w:p w14:paraId="329F415E">
            <w:pPr>
              <w:pStyle w:val="160"/>
            </w:pPr>
            <w:r>
              <w:t>三级</w:t>
            </w:r>
          </w:p>
        </w:tc>
        <w:tc>
          <w:tcPr>
            <w:tcW w:w="382" w:type="pct"/>
            <w:tcBorders>
              <w:tl2br w:val="nil"/>
              <w:tr2bl w:val="nil"/>
            </w:tcBorders>
            <w:vAlign w:val="center"/>
          </w:tcPr>
          <w:p w14:paraId="229B8B44">
            <w:pPr>
              <w:pStyle w:val="160"/>
            </w:pPr>
            <w:r>
              <w:t>三级</w:t>
            </w:r>
          </w:p>
        </w:tc>
        <w:tc>
          <w:tcPr>
            <w:tcW w:w="382" w:type="pct"/>
            <w:tcBorders>
              <w:tl2br w:val="nil"/>
              <w:tr2bl w:val="nil"/>
            </w:tcBorders>
            <w:vAlign w:val="center"/>
          </w:tcPr>
          <w:p w14:paraId="443A7A8E">
            <w:pPr>
              <w:pStyle w:val="160"/>
            </w:pPr>
            <w:r>
              <w:t>-</w:t>
            </w:r>
          </w:p>
        </w:tc>
        <w:tc>
          <w:tcPr>
            <w:tcW w:w="382" w:type="pct"/>
            <w:tcBorders>
              <w:tl2br w:val="nil"/>
              <w:tr2bl w:val="nil"/>
            </w:tcBorders>
            <w:vAlign w:val="center"/>
          </w:tcPr>
          <w:p w14:paraId="127C8509">
            <w:pPr>
              <w:pStyle w:val="160"/>
            </w:pPr>
            <w:r>
              <w:t>-</w:t>
            </w:r>
          </w:p>
        </w:tc>
      </w:tr>
    </w:tbl>
    <w:p w14:paraId="34B8DAC3">
      <w:pPr>
        <w:spacing w:before="78" w:line="360" w:lineRule="auto"/>
        <w:ind w:firstLine="465"/>
        <w:rPr>
          <w:sz w:val="24"/>
        </w:rPr>
      </w:pPr>
      <w:r>
        <w:rPr>
          <w:sz w:val="24"/>
        </w:rPr>
        <w:t>本项目属于污染影响型项目，项目占地</w:t>
      </w:r>
      <w:r>
        <w:rPr>
          <w:rFonts w:hint="eastAsia"/>
          <w:sz w:val="24"/>
        </w:rPr>
        <w:t>面积</w:t>
      </w:r>
      <w:r>
        <w:rPr>
          <w:sz w:val="24"/>
        </w:rPr>
        <w:t>41031m</w:t>
      </w:r>
      <w:r>
        <w:rPr>
          <w:sz w:val="24"/>
          <w:vertAlign w:val="superscript"/>
        </w:rPr>
        <w:t>2</w:t>
      </w:r>
      <w:r>
        <w:rPr>
          <w:sz w:val="24"/>
        </w:rPr>
        <w:t>，属于小型项目；项目类别按照导则附录A规定属于</w:t>
      </w:r>
      <w:r>
        <w:rPr>
          <w:rFonts w:hint="eastAsia"/>
          <w:sz w:val="24"/>
        </w:rPr>
        <w:t>采矿业中“其他”</w:t>
      </w:r>
      <w:r>
        <w:rPr>
          <w:sz w:val="24"/>
        </w:rPr>
        <w:t>，属于Ⅲ类项目；项目周边有耕地，土壤敏感程度为敏感；因此土壤评价等级为</w:t>
      </w:r>
      <w:r>
        <w:rPr>
          <w:rFonts w:hint="eastAsia"/>
          <w:sz w:val="24"/>
        </w:rPr>
        <w:t>三</w:t>
      </w:r>
      <w:r>
        <w:rPr>
          <w:sz w:val="24"/>
        </w:rPr>
        <w:t>级。</w:t>
      </w:r>
    </w:p>
    <w:p w14:paraId="32AD4461">
      <w:pPr>
        <w:snapToGrid w:val="0"/>
        <w:spacing w:before="78" w:line="360" w:lineRule="auto"/>
        <w:ind w:firstLine="482" w:firstLineChars="200"/>
        <w:rPr>
          <w:b/>
          <w:bCs/>
          <w:kern w:val="0"/>
          <w:sz w:val="24"/>
        </w:rPr>
      </w:pPr>
      <w:r>
        <w:rPr>
          <w:b/>
          <w:bCs/>
          <w:kern w:val="0"/>
          <w:sz w:val="24"/>
        </w:rPr>
        <w:fldChar w:fldCharType="begin"/>
      </w:r>
      <w:r>
        <w:rPr>
          <w:b/>
          <w:bCs/>
          <w:kern w:val="0"/>
          <w:sz w:val="24"/>
        </w:rPr>
        <w:instrText xml:space="preserve"> = 6 \* GB2 \* MERGEFORMAT </w:instrText>
      </w:r>
      <w:r>
        <w:rPr>
          <w:b/>
          <w:bCs/>
          <w:kern w:val="0"/>
          <w:sz w:val="24"/>
        </w:rPr>
        <w:fldChar w:fldCharType="separate"/>
      </w:r>
      <w:r>
        <w:rPr>
          <w:b/>
          <w:bCs/>
          <w:kern w:val="0"/>
          <w:sz w:val="24"/>
        </w:rPr>
        <w:t>⑹</w:t>
      </w:r>
      <w:r>
        <w:rPr>
          <w:b/>
          <w:bCs/>
          <w:kern w:val="0"/>
          <w:sz w:val="24"/>
        </w:rPr>
        <w:fldChar w:fldCharType="end"/>
      </w:r>
      <w:r>
        <w:rPr>
          <w:b/>
          <w:bCs/>
          <w:kern w:val="0"/>
          <w:sz w:val="24"/>
        </w:rPr>
        <w:t>生态环境</w:t>
      </w:r>
    </w:p>
    <w:p w14:paraId="3C251967">
      <w:pPr>
        <w:spacing w:before="78" w:line="360" w:lineRule="auto"/>
        <w:ind w:firstLine="480" w:firstLineChars="200"/>
        <w:rPr>
          <w:sz w:val="24"/>
        </w:rPr>
      </w:pPr>
      <w:r>
        <w:rPr>
          <w:sz w:val="24"/>
        </w:rPr>
        <w:t>本项目生态环境评价等级划分依据见表2.4-10。</w:t>
      </w:r>
    </w:p>
    <w:p w14:paraId="764C47ED">
      <w:pPr>
        <w:spacing w:before="78"/>
        <w:jc w:val="center"/>
        <w:rPr>
          <w:b/>
          <w:bCs/>
          <w:szCs w:val="21"/>
        </w:rPr>
      </w:pPr>
      <w:r>
        <w:rPr>
          <w:b/>
          <w:bCs/>
          <w:szCs w:val="21"/>
        </w:rPr>
        <w:t>表2.4-10  生态影响评价工作等级划分依据</w:t>
      </w:r>
    </w:p>
    <w:tbl>
      <w:tblPr>
        <w:tblStyle w:val="89"/>
        <w:tblW w:w="5044"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66"/>
        <w:gridCol w:w="3875"/>
        <w:gridCol w:w="1271"/>
        <w:gridCol w:w="1506"/>
        <w:gridCol w:w="1067"/>
      </w:tblGrid>
      <w:tr w14:paraId="10002EA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397" w:type="pct"/>
            <w:vAlign w:val="center"/>
          </w:tcPr>
          <w:p w14:paraId="6770422F">
            <w:pPr>
              <w:widowControl/>
              <w:snapToGrid w:val="0"/>
              <w:spacing w:before="0" w:beforeLines="0" w:line="240" w:lineRule="auto"/>
              <w:contextualSpacing/>
              <w:jc w:val="center"/>
              <w:rPr>
                <w:szCs w:val="21"/>
              </w:rPr>
            </w:pPr>
            <w:r>
              <w:rPr>
                <w:kern w:val="0"/>
                <w:szCs w:val="21"/>
              </w:rPr>
              <w:t>序号</w:t>
            </w:r>
          </w:p>
        </w:tc>
        <w:tc>
          <w:tcPr>
            <w:tcW w:w="2310" w:type="pct"/>
            <w:vAlign w:val="center"/>
          </w:tcPr>
          <w:p w14:paraId="58A80546">
            <w:pPr>
              <w:widowControl/>
              <w:snapToGrid w:val="0"/>
              <w:spacing w:before="0" w:beforeLines="0" w:line="240" w:lineRule="auto"/>
              <w:contextualSpacing/>
              <w:jc w:val="center"/>
              <w:rPr>
                <w:kern w:val="0"/>
                <w:szCs w:val="21"/>
              </w:rPr>
            </w:pPr>
            <w:r>
              <w:rPr>
                <w:kern w:val="0"/>
                <w:szCs w:val="21"/>
              </w:rPr>
              <w:t>判定依据</w:t>
            </w:r>
          </w:p>
        </w:tc>
        <w:tc>
          <w:tcPr>
            <w:tcW w:w="758" w:type="pct"/>
            <w:vAlign w:val="center"/>
          </w:tcPr>
          <w:p w14:paraId="40DF4677">
            <w:pPr>
              <w:widowControl/>
              <w:snapToGrid w:val="0"/>
              <w:spacing w:before="0" w:beforeLines="0" w:line="240" w:lineRule="auto"/>
              <w:contextualSpacing/>
              <w:jc w:val="center"/>
              <w:rPr>
                <w:kern w:val="0"/>
                <w:szCs w:val="21"/>
              </w:rPr>
            </w:pPr>
            <w:r>
              <w:rPr>
                <w:kern w:val="0"/>
                <w:szCs w:val="21"/>
              </w:rPr>
              <w:t>评价等级</w:t>
            </w:r>
          </w:p>
        </w:tc>
        <w:tc>
          <w:tcPr>
            <w:tcW w:w="898" w:type="pct"/>
            <w:vAlign w:val="center"/>
          </w:tcPr>
          <w:p w14:paraId="509F1C9F">
            <w:pPr>
              <w:widowControl/>
              <w:snapToGrid w:val="0"/>
              <w:spacing w:before="0" w:beforeLines="0" w:line="240" w:lineRule="auto"/>
              <w:contextualSpacing/>
              <w:jc w:val="center"/>
              <w:rPr>
                <w:kern w:val="0"/>
                <w:szCs w:val="21"/>
              </w:rPr>
            </w:pPr>
            <w:r>
              <w:rPr>
                <w:kern w:val="0"/>
                <w:szCs w:val="21"/>
              </w:rPr>
              <w:t>本项目</w:t>
            </w:r>
          </w:p>
        </w:tc>
        <w:tc>
          <w:tcPr>
            <w:tcW w:w="636" w:type="pct"/>
            <w:vAlign w:val="center"/>
          </w:tcPr>
          <w:p w14:paraId="0319CDFE">
            <w:pPr>
              <w:widowControl/>
              <w:snapToGrid w:val="0"/>
              <w:spacing w:before="0" w:beforeLines="0" w:line="240" w:lineRule="auto"/>
              <w:contextualSpacing/>
              <w:jc w:val="center"/>
              <w:rPr>
                <w:kern w:val="0"/>
                <w:szCs w:val="21"/>
              </w:rPr>
            </w:pPr>
            <w:r>
              <w:rPr>
                <w:kern w:val="0"/>
                <w:szCs w:val="21"/>
              </w:rPr>
              <w:t>本项目评价等级</w:t>
            </w:r>
          </w:p>
        </w:tc>
      </w:tr>
      <w:tr w14:paraId="0C9FDFF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397" w:type="pct"/>
            <w:vAlign w:val="center"/>
          </w:tcPr>
          <w:p w14:paraId="720AFBBC">
            <w:pPr>
              <w:widowControl/>
              <w:snapToGrid w:val="0"/>
              <w:spacing w:before="0" w:beforeLines="0" w:line="240" w:lineRule="auto"/>
              <w:contextualSpacing/>
              <w:jc w:val="center"/>
              <w:rPr>
                <w:kern w:val="0"/>
                <w:szCs w:val="21"/>
              </w:rPr>
            </w:pPr>
            <w:r>
              <w:rPr>
                <w:kern w:val="0"/>
                <w:szCs w:val="21"/>
              </w:rPr>
              <w:t>a</w:t>
            </w:r>
          </w:p>
        </w:tc>
        <w:tc>
          <w:tcPr>
            <w:tcW w:w="2310" w:type="pct"/>
            <w:vAlign w:val="center"/>
          </w:tcPr>
          <w:p w14:paraId="2A68532F">
            <w:pPr>
              <w:widowControl/>
              <w:snapToGrid w:val="0"/>
              <w:spacing w:before="0" w:beforeLines="0" w:line="240" w:lineRule="auto"/>
              <w:contextualSpacing/>
              <w:jc w:val="center"/>
              <w:rPr>
                <w:kern w:val="0"/>
                <w:szCs w:val="21"/>
              </w:rPr>
            </w:pPr>
            <w:r>
              <w:rPr>
                <w:kern w:val="0"/>
                <w:szCs w:val="21"/>
              </w:rPr>
              <w:t>涉及国家公园、自然保护区、世界自然遗产、重要生境</w:t>
            </w:r>
          </w:p>
        </w:tc>
        <w:tc>
          <w:tcPr>
            <w:tcW w:w="758" w:type="pct"/>
            <w:vAlign w:val="center"/>
          </w:tcPr>
          <w:p w14:paraId="7F4BFD86">
            <w:pPr>
              <w:widowControl/>
              <w:snapToGrid w:val="0"/>
              <w:spacing w:before="0" w:beforeLines="0" w:line="240" w:lineRule="auto"/>
              <w:contextualSpacing/>
              <w:jc w:val="center"/>
              <w:rPr>
                <w:kern w:val="0"/>
                <w:szCs w:val="21"/>
              </w:rPr>
            </w:pPr>
            <w:r>
              <w:rPr>
                <w:kern w:val="0"/>
                <w:szCs w:val="21"/>
              </w:rPr>
              <w:t>一级</w:t>
            </w:r>
          </w:p>
        </w:tc>
        <w:tc>
          <w:tcPr>
            <w:tcW w:w="898" w:type="pct"/>
            <w:vAlign w:val="center"/>
          </w:tcPr>
          <w:p w14:paraId="2149FA83">
            <w:pPr>
              <w:widowControl/>
              <w:snapToGrid w:val="0"/>
              <w:spacing w:before="0" w:beforeLines="0" w:line="240" w:lineRule="auto"/>
              <w:contextualSpacing/>
              <w:jc w:val="center"/>
              <w:rPr>
                <w:kern w:val="0"/>
                <w:szCs w:val="21"/>
              </w:rPr>
            </w:pPr>
            <w:r>
              <w:rPr>
                <w:kern w:val="0"/>
                <w:szCs w:val="21"/>
              </w:rPr>
              <w:t>不涉及</w:t>
            </w:r>
          </w:p>
        </w:tc>
        <w:tc>
          <w:tcPr>
            <w:tcW w:w="636" w:type="pct"/>
            <w:vAlign w:val="center"/>
          </w:tcPr>
          <w:p w14:paraId="2E1C3EBF">
            <w:pPr>
              <w:widowControl/>
              <w:snapToGrid w:val="0"/>
              <w:spacing w:before="0" w:beforeLines="0" w:line="240" w:lineRule="auto"/>
              <w:contextualSpacing/>
              <w:jc w:val="center"/>
              <w:rPr>
                <w:kern w:val="0"/>
                <w:szCs w:val="21"/>
              </w:rPr>
            </w:pPr>
            <w:r>
              <w:rPr>
                <w:kern w:val="0"/>
                <w:szCs w:val="21"/>
              </w:rPr>
              <w:t>/</w:t>
            </w:r>
          </w:p>
        </w:tc>
      </w:tr>
      <w:tr w14:paraId="3B27149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397" w:type="pct"/>
            <w:vAlign w:val="center"/>
          </w:tcPr>
          <w:p w14:paraId="6C607BAB">
            <w:pPr>
              <w:widowControl/>
              <w:snapToGrid w:val="0"/>
              <w:spacing w:before="0" w:beforeLines="0" w:line="240" w:lineRule="auto"/>
              <w:contextualSpacing/>
              <w:jc w:val="center"/>
              <w:rPr>
                <w:kern w:val="0"/>
                <w:szCs w:val="21"/>
              </w:rPr>
            </w:pPr>
            <w:r>
              <w:rPr>
                <w:kern w:val="0"/>
                <w:szCs w:val="21"/>
              </w:rPr>
              <w:t>b</w:t>
            </w:r>
          </w:p>
        </w:tc>
        <w:tc>
          <w:tcPr>
            <w:tcW w:w="2310" w:type="pct"/>
            <w:vAlign w:val="center"/>
          </w:tcPr>
          <w:p w14:paraId="4C754702">
            <w:pPr>
              <w:widowControl/>
              <w:snapToGrid w:val="0"/>
              <w:spacing w:before="0" w:beforeLines="0" w:line="240" w:lineRule="auto"/>
              <w:contextualSpacing/>
              <w:jc w:val="center"/>
              <w:rPr>
                <w:kern w:val="0"/>
                <w:szCs w:val="21"/>
              </w:rPr>
            </w:pPr>
            <w:r>
              <w:rPr>
                <w:kern w:val="0"/>
                <w:szCs w:val="21"/>
              </w:rPr>
              <w:t>涉及自然公园</w:t>
            </w:r>
          </w:p>
        </w:tc>
        <w:tc>
          <w:tcPr>
            <w:tcW w:w="758" w:type="pct"/>
            <w:vAlign w:val="center"/>
          </w:tcPr>
          <w:p w14:paraId="4A31E32E">
            <w:pPr>
              <w:widowControl/>
              <w:snapToGrid w:val="0"/>
              <w:spacing w:before="0" w:beforeLines="0" w:line="240" w:lineRule="auto"/>
              <w:contextualSpacing/>
              <w:jc w:val="center"/>
              <w:rPr>
                <w:kern w:val="0"/>
                <w:szCs w:val="21"/>
              </w:rPr>
            </w:pPr>
            <w:r>
              <w:rPr>
                <w:kern w:val="0"/>
                <w:szCs w:val="21"/>
              </w:rPr>
              <w:t>二级</w:t>
            </w:r>
          </w:p>
        </w:tc>
        <w:tc>
          <w:tcPr>
            <w:tcW w:w="898" w:type="pct"/>
            <w:vAlign w:val="center"/>
          </w:tcPr>
          <w:p w14:paraId="76E5322D">
            <w:pPr>
              <w:widowControl/>
              <w:snapToGrid w:val="0"/>
              <w:spacing w:before="0" w:beforeLines="0" w:line="240" w:lineRule="auto"/>
              <w:contextualSpacing/>
              <w:jc w:val="center"/>
              <w:rPr>
                <w:kern w:val="0"/>
                <w:szCs w:val="21"/>
              </w:rPr>
            </w:pPr>
            <w:r>
              <w:rPr>
                <w:kern w:val="0"/>
                <w:szCs w:val="21"/>
              </w:rPr>
              <w:t>不涉及</w:t>
            </w:r>
          </w:p>
        </w:tc>
        <w:tc>
          <w:tcPr>
            <w:tcW w:w="636" w:type="pct"/>
            <w:vAlign w:val="center"/>
          </w:tcPr>
          <w:p w14:paraId="51C2D9B7">
            <w:pPr>
              <w:widowControl/>
              <w:snapToGrid w:val="0"/>
              <w:spacing w:before="0" w:beforeLines="0" w:line="240" w:lineRule="auto"/>
              <w:contextualSpacing/>
              <w:jc w:val="center"/>
              <w:rPr>
                <w:kern w:val="0"/>
                <w:szCs w:val="21"/>
              </w:rPr>
            </w:pPr>
            <w:r>
              <w:rPr>
                <w:kern w:val="0"/>
                <w:szCs w:val="21"/>
              </w:rPr>
              <w:t>/</w:t>
            </w:r>
          </w:p>
        </w:tc>
      </w:tr>
      <w:tr w14:paraId="7D25C55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397" w:type="pct"/>
            <w:vAlign w:val="center"/>
          </w:tcPr>
          <w:p w14:paraId="654D3619">
            <w:pPr>
              <w:widowControl/>
              <w:snapToGrid w:val="0"/>
              <w:spacing w:before="0" w:beforeLines="0" w:line="240" w:lineRule="auto"/>
              <w:contextualSpacing/>
              <w:jc w:val="center"/>
              <w:rPr>
                <w:kern w:val="0"/>
                <w:szCs w:val="21"/>
              </w:rPr>
            </w:pPr>
            <w:r>
              <w:rPr>
                <w:kern w:val="0"/>
                <w:szCs w:val="21"/>
              </w:rPr>
              <w:t>c</w:t>
            </w:r>
          </w:p>
        </w:tc>
        <w:tc>
          <w:tcPr>
            <w:tcW w:w="2310" w:type="pct"/>
            <w:vAlign w:val="center"/>
          </w:tcPr>
          <w:p w14:paraId="5E215018">
            <w:pPr>
              <w:widowControl/>
              <w:snapToGrid w:val="0"/>
              <w:spacing w:before="0" w:beforeLines="0" w:line="240" w:lineRule="auto"/>
              <w:contextualSpacing/>
              <w:jc w:val="center"/>
              <w:rPr>
                <w:kern w:val="0"/>
                <w:szCs w:val="21"/>
              </w:rPr>
            </w:pPr>
            <w:r>
              <w:rPr>
                <w:kern w:val="0"/>
                <w:szCs w:val="21"/>
              </w:rPr>
              <w:t>涉及生态保护红线</w:t>
            </w:r>
          </w:p>
        </w:tc>
        <w:tc>
          <w:tcPr>
            <w:tcW w:w="758" w:type="pct"/>
            <w:vAlign w:val="center"/>
          </w:tcPr>
          <w:p w14:paraId="3F0AA1F4">
            <w:pPr>
              <w:widowControl/>
              <w:snapToGrid w:val="0"/>
              <w:spacing w:before="0" w:beforeLines="0" w:line="240" w:lineRule="auto"/>
              <w:contextualSpacing/>
              <w:jc w:val="center"/>
              <w:rPr>
                <w:kern w:val="0"/>
                <w:szCs w:val="21"/>
              </w:rPr>
            </w:pPr>
            <w:r>
              <w:rPr>
                <w:kern w:val="0"/>
                <w:szCs w:val="21"/>
              </w:rPr>
              <w:t>不低于二级</w:t>
            </w:r>
          </w:p>
        </w:tc>
        <w:tc>
          <w:tcPr>
            <w:tcW w:w="898" w:type="pct"/>
            <w:vAlign w:val="center"/>
          </w:tcPr>
          <w:p w14:paraId="15F3E370">
            <w:pPr>
              <w:widowControl/>
              <w:snapToGrid w:val="0"/>
              <w:spacing w:before="0" w:beforeLines="0" w:line="240" w:lineRule="auto"/>
              <w:contextualSpacing/>
              <w:jc w:val="center"/>
              <w:rPr>
                <w:kern w:val="0"/>
                <w:szCs w:val="21"/>
              </w:rPr>
            </w:pPr>
            <w:r>
              <w:rPr>
                <w:kern w:val="0"/>
                <w:szCs w:val="21"/>
              </w:rPr>
              <w:t>不涉及</w:t>
            </w:r>
          </w:p>
        </w:tc>
        <w:tc>
          <w:tcPr>
            <w:tcW w:w="636" w:type="pct"/>
            <w:vAlign w:val="center"/>
          </w:tcPr>
          <w:p w14:paraId="4868F257">
            <w:pPr>
              <w:widowControl/>
              <w:snapToGrid w:val="0"/>
              <w:spacing w:before="0" w:beforeLines="0" w:line="240" w:lineRule="auto"/>
              <w:contextualSpacing/>
              <w:jc w:val="center"/>
              <w:rPr>
                <w:kern w:val="0"/>
                <w:szCs w:val="21"/>
              </w:rPr>
            </w:pPr>
            <w:r>
              <w:rPr>
                <w:kern w:val="0"/>
                <w:szCs w:val="21"/>
              </w:rPr>
              <w:t>/</w:t>
            </w:r>
          </w:p>
        </w:tc>
      </w:tr>
      <w:tr w14:paraId="2CB82A3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397" w:type="pct"/>
            <w:vAlign w:val="center"/>
          </w:tcPr>
          <w:p w14:paraId="2D10EE0E">
            <w:pPr>
              <w:widowControl/>
              <w:snapToGrid w:val="0"/>
              <w:spacing w:before="0" w:beforeLines="0" w:line="240" w:lineRule="auto"/>
              <w:contextualSpacing/>
              <w:jc w:val="center"/>
              <w:rPr>
                <w:kern w:val="0"/>
                <w:szCs w:val="21"/>
              </w:rPr>
            </w:pPr>
            <w:r>
              <w:rPr>
                <w:kern w:val="0"/>
                <w:szCs w:val="21"/>
              </w:rPr>
              <w:t>d</w:t>
            </w:r>
          </w:p>
        </w:tc>
        <w:tc>
          <w:tcPr>
            <w:tcW w:w="2310" w:type="pct"/>
            <w:vAlign w:val="center"/>
          </w:tcPr>
          <w:p w14:paraId="7D895956">
            <w:pPr>
              <w:widowControl/>
              <w:snapToGrid w:val="0"/>
              <w:spacing w:before="0" w:beforeLines="0" w:line="240" w:lineRule="auto"/>
              <w:contextualSpacing/>
              <w:jc w:val="center"/>
              <w:rPr>
                <w:kern w:val="0"/>
                <w:szCs w:val="21"/>
              </w:rPr>
            </w:pPr>
            <w:r>
              <w:rPr>
                <w:kern w:val="0"/>
                <w:szCs w:val="21"/>
              </w:rPr>
              <w:t>水文要素影响型且地表水评价等级不低于二级</w:t>
            </w:r>
          </w:p>
        </w:tc>
        <w:tc>
          <w:tcPr>
            <w:tcW w:w="758" w:type="pct"/>
            <w:vAlign w:val="center"/>
          </w:tcPr>
          <w:p w14:paraId="193538AC">
            <w:pPr>
              <w:widowControl/>
              <w:snapToGrid w:val="0"/>
              <w:spacing w:before="0" w:beforeLines="0" w:line="240" w:lineRule="auto"/>
              <w:contextualSpacing/>
              <w:jc w:val="center"/>
              <w:rPr>
                <w:kern w:val="0"/>
                <w:szCs w:val="21"/>
              </w:rPr>
            </w:pPr>
            <w:r>
              <w:rPr>
                <w:kern w:val="0"/>
                <w:szCs w:val="21"/>
              </w:rPr>
              <w:t>不低于二级</w:t>
            </w:r>
          </w:p>
        </w:tc>
        <w:tc>
          <w:tcPr>
            <w:tcW w:w="898" w:type="pct"/>
            <w:vAlign w:val="center"/>
          </w:tcPr>
          <w:p w14:paraId="29CBDED9">
            <w:pPr>
              <w:widowControl/>
              <w:snapToGrid w:val="0"/>
              <w:spacing w:before="0" w:beforeLines="0" w:line="240" w:lineRule="auto"/>
              <w:contextualSpacing/>
              <w:jc w:val="center"/>
              <w:rPr>
                <w:kern w:val="0"/>
                <w:szCs w:val="21"/>
              </w:rPr>
            </w:pPr>
            <w:r>
              <w:rPr>
                <w:kern w:val="0"/>
                <w:szCs w:val="21"/>
              </w:rPr>
              <w:t>不涉及</w:t>
            </w:r>
          </w:p>
        </w:tc>
        <w:tc>
          <w:tcPr>
            <w:tcW w:w="636" w:type="pct"/>
            <w:vAlign w:val="center"/>
          </w:tcPr>
          <w:p w14:paraId="0D3105CC">
            <w:pPr>
              <w:widowControl/>
              <w:snapToGrid w:val="0"/>
              <w:spacing w:before="0" w:beforeLines="0" w:line="240" w:lineRule="auto"/>
              <w:contextualSpacing/>
              <w:jc w:val="center"/>
              <w:rPr>
                <w:kern w:val="0"/>
                <w:szCs w:val="21"/>
              </w:rPr>
            </w:pPr>
            <w:r>
              <w:rPr>
                <w:kern w:val="0"/>
                <w:szCs w:val="21"/>
              </w:rPr>
              <w:t>/</w:t>
            </w:r>
          </w:p>
        </w:tc>
      </w:tr>
      <w:tr w14:paraId="33DE992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397" w:type="pct"/>
            <w:vAlign w:val="center"/>
          </w:tcPr>
          <w:p w14:paraId="30386848">
            <w:pPr>
              <w:widowControl/>
              <w:snapToGrid w:val="0"/>
              <w:spacing w:before="0" w:beforeLines="0" w:line="240" w:lineRule="auto"/>
              <w:contextualSpacing/>
              <w:jc w:val="center"/>
              <w:rPr>
                <w:kern w:val="0"/>
                <w:szCs w:val="21"/>
              </w:rPr>
            </w:pPr>
            <w:r>
              <w:rPr>
                <w:kern w:val="0"/>
                <w:szCs w:val="21"/>
              </w:rPr>
              <w:t>e</w:t>
            </w:r>
          </w:p>
        </w:tc>
        <w:tc>
          <w:tcPr>
            <w:tcW w:w="2310" w:type="pct"/>
            <w:vAlign w:val="center"/>
          </w:tcPr>
          <w:p w14:paraId="7F0565FF">
            <w:pPr>
              <w:widowControl/>
              <w:snapToGrid w:val="0"/>
              <w:spacing w:before="0" w:beforeLines="0" w:line="240" w:lineRule="auto"/>
              <w:contextualSpacing/>
              <w:jc w:val="center"/>
              <w:rPr>
                <w:kern w:val="0"/>
                <w:szCs w:val="21"/>
              </w:rPr>
            </w:pPr>
            <w:r>
              <w:rPr>
                <w:kern w:val="0"/>
                <w:szCs w:val="21"/>
              </w:rPr>
              <w:t>地下水水位或土壤影响范围内分布有天然林、公益林、湿地等生态保护目标</w:t>
            </w:r>
          </w:p>
        </w:tc>
        <w:tc>
          <w:tcPr>
            <w:tcW w:w="758" w:type="pct"/>
            <w:vAlign w:val="center"/>
          </w:tcPr>
          <w:p w14:paraId="0D26F1A8">
            <w:pPr>
              <w:widowControl/>
              <w:snapToGrid w:val="0"/>
              <w:spacing w:before="0" w:beforeLines="0" w:line="240" w:lineRule="auto"/>
              <w:contextualSpacing/>
              <w:jc w:val="center"/>
              <w:rPr>
                <w:kern w:val="0"/>
                <w:szCs w:val="21"/>
              </w:rPr>
            </w:pPr>
            <w:r>
              <w:rPr>
                <w:kern w:val="0"/>
                <w:szCs w:val="21"/>
              </w:rPr>
              <w:t>不低于二级</w:t>
            </w:r>
          </w:p>
        </w:tc>
        <w:tc>
          <w:tcPr>
            <w:tcW w:w="898" w:type="pct"/>
            <w:vAlign w:val="center"/>
          </w:tcPr>
          <w:p w14:paraId="2A1183FD">
            <w:pPr>
              <w:widowControl/>
              <w:snapToGrid w:val="0"/>
              <w:spacing w:before="0" w:beforeLines="0" w:line="240" w:lineRule="auto"/>
              <w:contextualSpacing/>
              <w:jc w:val="center"/>
              <w:rPr>
                <w:kern w:val="0"/>
                <w:szCs w:val="21"/>
              </w:rPr>
            </w:pPr>
            <w:r>
              <w:rPr>
                <w:kern w:val="0"/>
                <w:szCs w:val="21"/>
              </w:rPr>
              <w:t>不涉及</w:t>
            </w:r>
          </w:p>
        </w:tc>
        <w:tc>
          <w:tcPr>
            <w:tcW w:w="636" w:type="pct"/>
            <w:vAlign w:val="center"/>
          </w:tcPr>
          <w:p w14:paraId="7D013F19">
            <w:pPr>
              <w:widowControl/>
              <w:snapToGrid w:val="0"/>
              <w:spacing w:before="0" w:beforeLines="0" w:line="240" w:lineRule="auto"/>
              <w:contextualSpacing/>
              <w:jc w:val="center"/>
              <w:rPr>
                <w:kern w:val="0"/>
                <w:szCs w:val="21"/>
              </w:rPr>
            </w:pPr>
            <w:r>
              <w:rPr>
                <w:kern w:val="0"/>
                <w:szCs w:val="21"/>
              </w:rPr>
              <w:t>/</w:t>
            </w:r>
          </w:p>
        </w:tc>
      </w:tr>
      <w:tr w14:paraId="5A645BE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397" w:type="pct"/>
            <w:vAlign w:val="center"/>
          </w:tcPr>
          <w:p w14:paraId="7DA5EC0A">
            <w:pPr>
              <w:widowControl/>
              <w:snapToGrid w:val="0"/>
              <w:spacing w:before="0" w:beforeLines="0" w:line="240" w:lineRule="auto"/>
              <w:contextualSpacing/>
              <w:jc w:val="center"/>
              <w:rPr>
                <w:kern w:val="0"/>
                <w:szCs w:val="21"/>
              </w:rPr>
            </w:pPr>
            <w:r>
              <w:rPr>
                <w:kern w:val="0"/>
                <w:szCs w:val="21"/>
              </w:rPr>
              <w:t>f</w:t>
            </w:r>
          </w:p>
        </w:tc>
        <w:tc>
          <w:tcPr>
            <w:tcW w:w="2310" w:type="pct"/>
            <w:vAlign w:val="center"/>
          </w:tcPr>
          <w:p w14:paraId="615D4666">
            <w:pPr>
              <w:widowControl/>
              <w:snapToGrid w:val="0"/>
              <w:spacing w:before="0" w:beforeLines="0" w:line="240" w:lineRule="auto"/>
              <w:contextualSpacing/>
              <w:jc w:val="center"/>
              <w:rPr>
                <w:kern w:val="0"/>
                <w:szCs w:val="21"/>
              </w:rPr>
            </w:pPr>
            <w:r>
              <w:rPr>
                <w:kern w:val="0"/>
                <w:szCs w:val="21"/>
              </w:rPr>
              <w:t>当工程占地规模大于20km</w:t>
            </w:r>
            <w:r>
              <w:rPr>
                <w:kern w:val="0"/>
                <w:szCs w:val="21"/>
                <w:vertAlign w:val="superscript"/>
              </w:rPr>
              <w:t>2</w:t>
            </w:r>
            <w:r>
              <w:rPr>
                <w:kern w:val="0"/>
                <w:szCs w:val="21"/>
              </w:rPr>
              <w:t>时</w:t>
            </w:r>
          </w:p>
          <w:p w14:paraId="5262A02E">
            <w:pPr>
              <w:widowControl/>
              <w:snapToGrid w:val="0"/>
              <w:spacing w:before="0" w:beforeLines="0" w:line="240" w:lineRule="auto"/>
              <w:contextualSpacing/>
              <w:jc w:val="center"/>
              <w:rPr>
                <w:kern w:val="0"/>
                <w:szCs w:val="21"/>
              </w:rPr>
            </w:pPr>
            <w:r>
              <w:rPr>
                <w:kern w:val="0"/>
                <w:szCs w:val="21"/>
              </w:rPr>
              <w:t>（包括永久和临时占用陆域和水域）</w:t>
            </w:r>
          </w:p>
        </w:tc>
        <w:tc>
          <w:tcPr>
            <w:tcW w:w="758" w:type="pct"/>
            <w:vAlign w:val="center"/>
          </w:tcPr>
          <w:p w14:paraId="2CA7D87B">
            <w:pPr>
              <w:widowControl/>
              <w:snapToGrid w:val="0"/>
              <w:spacing w:before="0" w:beforeLines="0" w:line="240" w:lineRule="auto"/>
              <w:contextualSpacing/>
              <w:jc w:val="center"/>
              <w:rPr>
                <w:kern w:val="0"/>
                <w:szCs w:val="21"/>
              </w:rPr>
            </w:pPr>
            <w:r>
              <w:rPr>
                <w:kern w:val="0"/>
                <w:szCs w:val="21"/>
              </w:rPr>
              <w:t>不低于二级</w:t>
            </w:r>
          </w:p>
        </w:tc>
        <w:tc>
          <w:tcPr>
            <w:tcW w:w="898" w:type="pct"/>
            <w:vAlign w:val="center"/>
          </w:tcPr>
          <w:p w14:paraId="3E28C35F">
            <w:pPr>
              <w:widowControl/>
              <w:snapToGrid w:val="0"/>
              <w:spacing w:before="0" w:beforeLines="0" w:line="240" w:lineRule="auto"/>
              <w:contextualSpacing/>
              <w:jc w:val="center"/>
              <w:rPr>
                <w:kern w:val="0"/>
                <w:szCs w:val="21"/>
              </w:rPr>
            </w:pPr>
            <w:r>
              <w:rPr>
                <w:kern w:val="0"/>
                <w:szCs w:val="21"/>
              </w:rPr>
              <w:t>占地面积0.041031km</w:t>
            </w:r>
            <w:r>
              <w:rPr>
                <w:kern w:val="0"/>
                <w:szCs w:val="21"/>
                <w:vertAlign w:val="superscript"/>
              </w:rPr>
              <w:t>2</w:t>
            </w:r>
          </w:p>
        </w:tc>
        <w:tc>
          <w:tcPr>
            <w:tcW w:w="636" w:type="pct"/>
            <w:vAlign w:val="center"/>
          </w:tcPr>
          <w:p w14:paraId="3CDBE170">
            <w:pPr>
              <w:widowControl/>
              <w:snapToGrid w:val="0"/>
              <w:spacing w:before="0" w:beforeLines="0" w:line="240" w:lineRule="auto"/>
              <w:contextualSpacing/>
              <w:jc w:val="center"/>
              <w:rPr>
                <w:kern w:val="0"/>
                <w:szCs w:val="21"/>
              </w:rPr>
            </w:pPr>
            <w:r>
              <w:rPr>
                <w:kern w:val="0"/>
                <w:szCs w:val="21"/>
              </w:rPr>
              <w:t>/</w:t>
            </w:r>
          </w:p>
        </w:tc>
      </w:tr>
      <w:tr w14:paraId="2E7FE4F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397" w:type="pct"/>
            <w:vAlign w:val="center"/>
          </w:tcPr>
          <w:p w14:paraId="572795EC">
            <w:pPr>
              <w:widowControl/>
              <w:snapToGrid w:val="0"/>
              <w:spacing w:before="0" w:beforeLines="0" w:line="240" w:lineRule="auto"/>
              <w:contextualSpacing/>
              <w:jc w:val="center"/>
              <w:rPr>
                <w:kern w:val="0"/>
                <w:szCs w:val="21"/>
              </w:rPr>
            </w:pPr>
            <w:r>
              <w:rPr>
                <w:kern w:val="0"/>
                <w:szCs w:val="21"/>
              </w:rPr>
              <w:t>g</w:t>
            </w:r>
          </w:p>
        </w:tc>
        <w:tc>
          <w:tcPr>
            <w:tcW w:w="2310" w:type="pct"/>
            <w:vAlign w:val="center"/>
          </w:tcPr>
          <w:p w14:paraId="24AF5E1F">
            <w:pPr>
              <w:widowControl/>
              <w:snapToGrid w:val="0"/>
              <w:spacing w:before="0" w:beforeLines="0" w:line="240" w:lineRule="auto"/>
              <w:contextualSpacing/>
              <w:jc w:val="center"/>
              <w:rPr>
                <w:kern w:val="0"/>
                <w:szCs w:val="21"/>
              </w:rPr>
            </w:pPr>
            <w:r>
              <w:rPr>
                <w:kern w:val="0"/>
                <w:szCs w:val="21"/>
              </w:rPr>
              <w:t>除本条 a、b、c、d、e、f以外的情况</w:t>
            </w:r>
          </w:p>
        </w:tc>
        <w:tc>
          <w:tcPr>
            <w:tcW w:w="758" w:type="pct"/>
            <w:vAlign w:val="center"/>
          </w:tcPr>
          <w:p w14:paraId="76BA8780">
            <w:pPr>
              <w:widowControl/>
              <w:snapToGrid w:val="0"/>
              <w:spacing w:before="0" w:beforeLines="0" w:line="240" w:lineRule="auto"/>
              <w:contextualSpacing/>
              <w:jc w:val="center"/>
              <w:rPr>
                <w:kern w:val="0"/>
                <w:szCs w:val="21"/>
              </w:rPr>
            </w:pPr>
            <w:r>
              <w:rPr>
                <w:kern w:val="0"/>
                <w:szCs w:val="21"/>
              </w:rPr>
              <w:t>三级</w:t>
            </w:r>
          </w:p>
        </w:tc>
        <w:tc>
          <w:tcPr>
            <w:tcW w:w="898" w:type="pct"/>
            <w:vAlign w:val="center"/>
          </w:tcPr>
          <w:p w14:paraId="6CED3B33">
            <w:pPr>
              <w:widowControl/>
              <w:snapToGrid w:val="0"/>
              <w:spacing w:before="0" w:beforeLines="0" w:line="240" w:lineRule="auto"/>
              <w:contextualSpacing/>
              <w:jc w:val="center"/>
              <w:rPr>
                <w:kern w:val="0"/>
                <w:szCs w:val="21"/>
              </w:rPr>
            </w:pPr>
            <w:r>
              <w:rPr>
                <w:kern w:val="0"/>
                <w:szCs w:val="21"/>
              </w:rPr>
              <w:t>涉及</w:t>
            </w:r>
          </w:p>
        </w:tc>
        <w:tc>
          <w:tcPr>
            <w:tcW w:w="636" w:type="pct"/>
            <w:vAlign w:val="center"/>
          </w:tcPr>
          <w:p w14:paraId="6404FD8D">
            <w:pPr>
              <w:widowControl/>
              <w:snapToGrid w:val="0"/>
              <w:spacing w:before="0" w:beforeLines="0" w:line="240" w:lineRule="auto"/>
              <w:contextualSpacing/>
              <w:jc w:val="center"/>
              <w:rPr>
                <w:kern w:val="0"/>
                <w:szCs w:val="21"/>
              </w:rPr>
            </w:pPr>
            <w:r>
              <w:rPr>
                <w:kern w:val="0"/>
                <w:szCs w:val="21"/>
              </w:rPr>
              <w:t>三级</w:t>
            </w:r>
          </w:p>
        </w:tc>
      </w:tr>
    </w:tbl>
    <w:p w14:paraId="7B7F89EE">
      <w:pPr>
        <w:spacing w:before="78" w:line="360" w:lineRule="auto"/>
        <w:ind w:firstLine="480" w:firstLineChars="200"/>
        <w:rPr>
          <w:b/>
          <w:kern w:val="0"/>
          <w:sz w:val="24"/>
        </w:rPr>
      </w:pPr>
      <w:r>
        <w:rPr>
          <w:sz w:val="24"/>
        </w:rPr>
        <w:t>根据《环境影响评价技术导则-生态影响》（HJ19-2022），</w:t>
      </w:r>
      <w:r>
        <w:rPr>
          <w:rFonts w:hint="eastAsia"/>
          <w:sz w:val="24"/>
        </w:rPr>
        <w:t>本项目不涉及国家公园、自然保护区、世界自然遗产、重要生境，不涉及自然公园、生态保护红线等，地下水水位或土壤影响范围内不分布有天然林、公益林、湿地等生态保护目标，因此</w:t>
      </w:r>
      <w:r>
        <w:rPr>
          <w:sz w:val="24"/>
        </w:rPr>
        <w:t>判定本项目生态环境评价等级为三级。</w:t>
      </w:r>
    </w:p>
    <w:p w14:paraId="66DB641F">
      <w:pPr>
        <w:snapToGrid w:val="0"/>
        <w:spacing w:before="78" w:line="360" w:lineRule="auto"/>
        <w:ind w:firstLine="482" w:firstLineChars="200"/>
        <w:rPr>
          <w:b/>
          <w:bCs/>
          <w:kern w:val="0"/>
          <w:sz w:val="24"/>
        </w:rPr>
      </w:pPr>
      <w:r>
        <w:rPr>
          <w:b/>
          <w:bCs/>
          <w:kern w:val="0"/>
          <w:sz w:val="24"/>
        </w:rPr>
        <w:fldChar w:fldCharType="begin"/>
      </w:r>
      <w:r>
        <w:rPr>
          <w:b/>
          <w:bCs/>
          <w:kern w:val="0"/>
          <w:sz w:val="24"/>
        </w:rPr>
        <w:instrText xml:space="preserve"> = 7 \* GB2 \* MERGEFORMAT </w:instrText>
      </w:r>
      <w:r>
        <w:rPr>
          <w:b/>
          <w:bCs/>
          <w:kern w:val="0"/>
          <w:sz w:val="24"/>
        </w:rPr>
        <w:fldChar w:fldCharType="separate"/>
      </w:r>
      <w:r>
        <w:rPr>
          <w:b/>
          <w:bCs/>
          <w:kern w:val="0"/>
          <w:sz w:val="24"/>
        </w:rPr>
        <w:t>⑺</w:t>
      </w:r>
      <w:r>
        <w:rPr>
          <w:b/>
          <w:bCs/>
          <w:kern w:val="0"/>
          <w:sz w:val="24"/>
        </w:rPr>
        <w:fldChar w:fldCharType="end"/>
      </w:r>
      <w:r>
        <w:rPr>
          <w:b/>
          <w:bCs/>
          <w:kern w:val="0"/>
          <w:sz w:val="24"/>
        </w:rPr>
        <w:t>环境风险评价等级</w:t>
      </w:r>
    </w:p>
    <w:p w14:paraId="099CF26D">
      <w:pPr>
        <w:snapToGrid w:val="0"/>
        <w:spacing w:before="78" w:line="360" w:lineRule="auto"/>
        <w:ind w:firstLine="480" w:firstLineChars="200"/>
        <w:jc w:val="left"/>
        <w:rPr>
          <w:sz w:val="24"/>
        </w:rPr>
      </w:pPr>
      <w:r>
        <w:rPr>
          <w:sz w:val="24"/>
        </w:rPr>
        <w:t>按照《建设项目环境风险评价导则》（HJ169-2018）评价工作等级划分依据确定本项目风险评价等级，本项目所涉及的危险物质为废矿物油，最大储存量Q小于1，本项目环境风险潜势为Ⅰ。</w:t>
      </w:r>
    </w:p>
    <w:p w14:paraId="650CE80F">
      <w:pPr>
        <w:snapToGrid w:val="0"/>
        <w:spacing w:before="78" w:line="360" w:lineRule="auto"/>
        <w:ind w:firstLine="480" w:firstLineChars="200"/>
        <w:jc w:val="left"/>
        <w:rPr>
          <w:sz w:val="24"/>
        </w:rPr>
      </w:pPr>
      <w:r>
        <w:rPr>
          <w:sz w:val="24"/>
        </w:rPr>
        <w:t>本项目环境风险评价工作等级划分依据见表2.4-11。</w:t>
      </w:r>
    </w:p>
    <w:p w14:paraId="24329FDE">
      <w:pPr>
        <w:pStyle w:val="143"/>
        <w:spacing w:before="0" w:beforeLines="0"/>
        <w:rPr>
          <w:b/>
          <w:bCs w:val="0"/>
        </w:rPr>
      </w:pPr>
      <w:r>
        <w:rPr>
          <w:b/>
          <w:bCs w:val="0"/>
        </w:rPr>
        <w:t>表2.4-11  环境风险评价工作等级划分</w:t>
      </w:r>
    </w:p>
    <w:tbl>
      <w:tblPr>
        <w:tblStyle w:val="89"/>
        <w:tblW w:w="500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775"/>
        <w:gridCol w:w="1632"/>
        <w:gridCol w:w="1634"/>
        <w:gridCol w:w="1634"/>
        <w:gridCol w:w="1637"/>
      </w:tblGrid>
      <w:tr w14:paraId="398AB71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068" w:type="pct"/>
            <w:tcBorders>
              <w:tl2br w:val="nil"/>
              <w:tr2bl w:val="nil"/>
            </w:tcBorders>
            <w:vAlign w:val="center"/>
          </w:tcPr>
          <w:p w14:paraId="452BC52A">
            <w:pPr>
              <w:pStyle w:val="160"/>
            </w:pPr>
            <w:r>
              <w:t>环境风险潜势</w:t>
            </w:r>
          </w:p>
        </w:tc>
        <w:tc>
          <w:tcPr>
            <w:tcW w:w="982" w:type="pct"/>
            <w:tcBorders>
              <w:tl2br w:val="nil"/>
              <w:tr2bl w:val="nil"/>
            </w:tcBorders>
            <w:vAlign w:val="center"/>
          </w:tcPr>
          <w:p w14:paraId="3B37BAF8">
            <w:pPr>
              <w:pStyle w:val="160"/>
            </w:pPr>
            <w:r>
              <w:t>Ⅳ、Ⅳ</w:t>
            </w:r>
            <w:r>
              <w:rPr>
                <w:vertAlign w:val="superscript"/>
              </w:rPr>
              <w:t>+</w:t>
            </w:r>
          </w:p>
        </w:tc>
        <w:tc>
          <w:tcPr>
            <w:tcW w:w="983" w:type="pct"/>
            <w:tcBorders>
              <w:tl2br w:val="nil"/>
              <w:tr2bl w:val="nil"/>
            </w:tcBorders>
            <w:vAlign w:val="center"/>
          </w:tcPr>
          <w:p w14:paraId="640C8659">
            <w:pPr>
              <w:pStyle w:val="160"/>
            </w:pPr>
            <w:r>
              <w:t>Ⅲ</w:t>
            </w:r>
          </w:p>
        </w:tc>
        <w:tc>
          <w:tcPr>
            <w:tcW w:w="983" w:type="pct"/>
            <w:tcBorders>
              <w:tl2br w:val="nil"/>
              <w:tr2bl w:val="nil"/>
            </w:tcBorders>
            <w:vAlign w:val="center"/>
          </w:tcPr>
          <w:p w14:paraId="4F8ADE65">
            <w:pPr>
              <w:pStyle w:val="160"/>
            </w:pPr>
            <w:r>
              <w:t>Ⅱ</w:t>
            </w:r>
          </w:p>
        </w:tc>
        <w:tc>
          <w:tcPr>
            <w:tcW w:w="984" w:type="pct"/>
            <w:tcBorders>
              <w:tl2br w:val="nil"/>
              <w:tr2bl w:val="nil"/>
            </w:tcBorders>
            <w:vAlign w:val="center"/>
          </w:tcPr>
          <w:p w14:paraId="1D82AF45">
            <w:pPr>
              <w:pStyle w:val="160"/>
            </w:pPr>
            <w:r>
              <w:t>Ⅰ</w:t>
            </w:r>
          </w:p>
        </w:tc>
      </w:tr>
      <w:tr w14:paraId="687ED06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068" w:type="pct"/>
            <w:tcBorders>
              <w:tl2br w:val="nil"/>
              <w:tr2bl w:val="nil"/>
            </w:tcBorders>
            <w:vAlign w:val="center"/>
          </w:tcPr>
          <w:p w14:paraId="199EE312">
            <w:pPr>
              <w:pStyle w:val="160"/>
            </w:pPr>
            <w:r>
              <w:t>评价工作等级</w:t>
            </w:r>
          </w:p>
        </w:tc>
        <w:tc>
          <w:tcPr>
            <w:tcW w:w="982" w:type="pct"/>
            <w:tcBorders>
              <w:tl2br w:val="nil"/>
              <w:tr2bl w:val="nil"/>
            </w:tcBorders>
            <w:vAlign w:val="center"/>
          </w:tcPr>
          <w:p w14:paraId="7F79EAB9">
            <w:pPr>
              <w:pStyle w:val="160"/>
            </w:pPr>
            <w:r>
              <w:t>一</w:t>
            </w:r>
          </w:p>
        </w:tc>
        <w:tc>
          <w:tcPr>
            <w:tcW w:w="983" w:type="pct"/>
            <w:tcBorders>
              <w:tl2br w:val="nil"/>
              <w:tr2bl w:val="nil"/>
            </w:tcBorders>
            <w:vAlign w:val="center"/>
          </w:tcPr>
          <w:p w14:paraId="032EBC76">
            <w:pPr>
              <w:pStyle w:val="160"/>
            </w:pPr>
            <w:r>
              <w:t>二</w:t>
            </w:r>
          </w:p>
        </w:tc>
        <w:tc>
          <w:tcPr>
            <w:tcW w:w="983" w:type="pct"/>
            <w:tcBorders>
              <w:tl2br w:val="nil"/>
              <w:tr2bl w:val="nil"/>
            </w:tcBorders>
            <w:vAlign w:val="center"/>
          </w:tcPr>
          <w:p w14:paraId="3300BB15">
            <w:pPr>
              <w:pStyle w:val="160"/>
            </w:pPr>
            <w:r>
              <w:t>三</w:t>
            </w:r>
          </w:p>
        </w:tc>
        <w:tc>
          <w:tcPr>
            <w:tcW w:w="984" w:type="pct"/>
            <w:tcBorders>
              <w:tl2br w:val="nil"/>
              <w:tr2bl w:val="nil"/>
            </w:tcBorders>
            <w:vAlign w:val="center"/>
          </w:tcPr>
          <w:p w14:paraId="3E15E1A8">
            <w:pPr>
              <w:pStyle w:val="160"/>
            </w:pPr>
            <w:r>
              <w:t>简单分析</w:t>
            </w:r>
          </w:p>
        </w:tc>
      </w:tr>
      <w:tr w14:paraId="66480DB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000" w:type="pct"/>
            <w:gridSpan w:val="5"/>
            <w:tcBorders>
              <w:tl2br w:val="nil"/>
              <w:tr2bl w:val="nil"/>
            </w:tcBorders>
            <w:vAlign w:val="center"/>
          </w:tcPr>
          <w:p w14:paraId="640D1E16">
            <w:pPr>
              <w:pStyle w:val="160"/>
            </w:pPr>
            <w:r>
              <w:t>简单分析：相对于详细评价工作内容而言，在描述危险物质、环境影响途径、环境危害后果、风险防范措施等方面给出定性的说明。见导则附录A。</w:t>
            </w:r>
          </w:p>
        </w:tc>
      </w:tr>
    </w:tbl>
    <w:p w14:paraId="754298D1">
      <w:pPr>
        <w:snapToGrid w:val="0"/>
        <w:spacing w:before="78" w:line="360" w:lineRule="auto"/>
        <w:ind w:firstLine="480" w:firstLineChars="200"/>
        <w:jc w:val="left"/>
        <w:rPr>
          <w:sz w:val="24"/>
        </w:rPr>
      </w:pPr>
      <w:r>
        <w:rPr>
          <w:sz w:val="24"/>
        </w:rPr>
        <w:t>依据上表，并根据《建设项目环境风险评价技术导则》（HJ169-2018）的规定，本项目风险潜势为Ⅰ，环境风险评价等级为简单分析。</w:t>
      </w:r>
    </w:p>
    <w:p w14:paraId="16ED6F62">
      <w:pPr>
        <w:pStyle w:val="5"/>
        <w:spacing w:before="120" w:after="120"/>
        <w:rPr>
          <w:color w:val="auto"/>
        </w:rPr>
      </w:pPr>
      <w:r>
        <w:rPr>
          <w:color w:val="auto"/>
        </w:rPr>
        <w:t>2.4.2评价范围</w:t>
      </w:r>
    </w:p>
    <w:p w14:paraId="2DD6B3FB">
      <w:pPr>
        <w:snapToGrid w:val="0"/>
        <w:spacing w:before="78" w:line="360" w:lineRule="auto"/>
        <w:ind w:firstLine="480" w:firstLineChars="200"/>
        <w:rPr>
          <w:kern w:val="0"/>
          <w:sz w:val="24"/>
        </w:rPr>
      </w:pPr>
      <w:r>
        <w:rPr>
          <w:kern w:val="0"/>
          <w:sz w:val="24"/>
        </w:rPr>
        <w:t>根据各</w:t>
      </w:r>
      <w:r>
        <w:rPr>
          <w:rFonts w:hint="eastAsia"/>
          <w:kern w:val="0"/>
          <w:sz w:val="24"/>
        </w:rPr>
        <w:t>生态</w:t>
      </w:r>
      <w:r>
        <w:rPr>
          <w:kern w:val="0"/>
          <w:sz w:val="24"/>
        </w:rPr>
        <w:t>环境影响评价技术导则不同评价级别的要求，结合本项目特点、所处的地理位置及当地自然、社会环境条件确定各环境要素环境影响评价范围如下：</w:t>
      </w:r>
    </w:p>
    <w:p w14:paraId="20C37290">
      <w:pPr>
        <w:snapToGrid w:val="0"/>
        <w:spacing w:before="78" w:line="360" w:lineRule="auto"/>
        <w:ind w:firstLine="482" w:firstLineChars="200"/>
        <w:rPr>
          <w:b/>
          <w:bCs/>
          <w:kern w:val="0"/>
          <w:sz w:val="24"/>
        </w:rPr>
      </w:pPr>
      <w:r>
        <w:rPr>
          <w:b/>
          <w:bCs/>
          <w:kern w:val="0"/>
          <w:sz w:val="24"/>
        </w:rPr>
        <w:fldChar w:fldCharType="begin"/>
      </w:r>
      <w:r>
        <w:rPr>
          <w:b/>
          <w:bCs/>
          <w:kern w:val="0"/>
          <w:sz w:val="24"/>
        </w:rPr>
        <w:instrText xml:space="preserve"> = 1 \* GB2 \* MERGEFORMAT </w:instrText>
      </w:r>
      <w:r>
        <w:rPr>
          <w:b/>
          <w:bCs/>
          <w:kern w:val="0"/>
          <w:sz w:val="24"/>
        </w:rPr>
        <w:fldChar w:fldCharType="separate"/>
      </w:r>
      <w:r>
        <w:rPr>
          <w:b/>
          <w:bCs/>
          <w:kern w:val="0"/>
          <w:sz w:val="24"/>
        </w:rPr>
        <w:t>⑴</w:t>
      </w:r>
      <w:r>
        <w:rPr>
          <w:b/>
          <w:bCs/>
          <w:kern w:val="0"/>
          <w:sz w:val="24"/>
        </w:rPr>
        <w:fldChar w:fldCharType="end"/>
      </w:r>
      <w:r>
        <w:rPr>
          <w:b/>
          <w:bCs/>
          <w:kern w:val="0"/>
          <w:sz w:val="24"/>
        </w:rPr>
        <w:t>大气环境评价范围</w:t>
      </w:r>
    </w:p>
    <w:p w14:paraId="050EB1A4">
      <w:pPr>
        <w:snapToGrid w:val="0"/>
        <w:spacing w:before="78" w:line="360" w:lineRule="auto"/>
        <w:ind w:firstLine="480" w:firstLineChars="200"/>
        <w:rPr>
          <w:rFonts w:hint="eastAsia" w:hAnsi="宋体"/>
          <w:sz w:val="24"/>
        </w:rPr>
      </w:pPr>
      <w:r>
        <w:rPr>
          <w:rFonts w:hint="eastAsia" w:hAnsi="宋体"/>
          <w:sz w:val="24"/>
        </w:rPr>
        <w:t>根据估算模型计算结果，并结合HJ2.2-2018的相关规定，一级评价项目根据建设项目排放污染物的最远影响距离（D</w:t>
      </w:r>
      <w:r>
        <w:rPr>
          <w:rFonts w:hint="eastAsia" w:hAnsi="宋体"/>
          <w:sz w:val="24"/>
          <w:vertAlign w:val="subscript"/>
        </w:rPr>
        <w:t>10%</w:t>
      </w:r>
      <w:r>
        <w:rPr>
          <w:rFonts w:hint="eastAsia" w:hAnsi="宋体"/>
          <w:sz w:val="24"/>
        </w:rPr>
        <w:t>）确定大气环境影响评价范围，本项目最大D</w:t>
      </w:r>
      <w:r>
        <w:rPr>
          <w:rFonts w:hint="eastAsia" w:hAnsi="宋体"/>
          <w:sz w:val="24"/>
          <w:vertAlign w:val="subscript"/>
        </w:rPr>
        <w:t>10%</w:t>
      </w:r>
      <w:r>
        <w:rPr>
          <w:rFonts w:hint="eastAsia" w:hAnsi="宋体"/>
          <w:sz w:val="24"/>
        </w:rPr>
        <w:t>为1500m，因此评价范围以污染源DA001为（0，0），两个厂区东西南北边界各外延2.5km</w:t>
      </w:r>
      <w:r>
        <w:rPr>
          <w:rFonts w:hint="eastAsia" w:hAnsi="宋体"/>
          <w:sz w:val="24"/>
          <w:lang w:val="en-US" w:eastAsia="zh-CN"/>
        </w:rPr>
        <w:t>作为</w:t>
      </w:r>
      <w:r>
        <w:rPr>
          <w:rFonts w:hint="eastAsia" w:hAnsi="宋体"/>
          <w:sz w:val="24"/>
        </w:rPr>
        <w:t>评价范围，评价范围为5.5km×5.5km的矩形区域，评价范围面积30.25km</w:t>
      </w:r>
      <w:r>
        <w:rPr>
          <w:rFonts w:hint="eastAsia" w:hAnsi="宋体"/>
          <w:sz w:val="24"/>
          <w:vertAlign w:val="superscript"/>
        </w:rPr>
        <w:t>2</w:t>
      </w:r>
      <w:r>
        <w:rPr>
          <w:rFonts w:hint="eastAsia" w:hAnsi="宋体"/>
          <w:sz w:val="24"/>
        </w:rPr>
        <w:t>。</w:t>
      </w:r>
    </w:p>
    <w:p w14:paraId="1FC1A451">
      <w:pPr>
        <w:snapToGrid w:val="0"/>
        <w:spacing w:before="78" w:line="360" w:lineRule="auto"/>
        <w:ind w:firstLine="482" w:firstLineChars="200"/>
        <w:rPr>
          <w:b/>
          <w:bCs/>
          <w:kern w:val="0"/>
          <w:sz w:val="24"/>
        </w:rPr>
      </w:pPr>
      <w:r>
        <w:rPr>
          <w:b/>
          <w:bCs/>
          <w:kern w:val="0"/>
          <w:sz w:val="24"/>
        </w:rPr>
        <w:fldChar w:fldCharType="begin"/>
      </w:r>
      <w:r>
        <w:rPr>
          <w:b/>
          <w:bCs/>
          <w:kern w:val="0"/>
          <w:sz w:val="24"/>
        </w:rPr>
        <w:instrText xml:space="preserve"> = 2 \* GB2 \* MERGEFORMAT </w:instrText>
      </w:r>
      <w:r>
        <w:rPr>
          <w:b/>
          <w:bCs/>
          <w:kern w:val="0"/>
          <w:sz w:val="24"/>
        </w:rPr>
        <w:fldChar w:fldCharType="separate"/>
      </w:r>
      <w:r>
        <w:rPr>
          <w:b/>
          <w:bCs/>
          <w:kern w:val="0"/>
          <w:sz w:val="24"/>
        </w:rPr>
        <w:t>⑵</w:t>
      </w:r>
      <w:r>
        <w:rPr>
          <w:b/>
          <w:bCs/>
          <w:kern w:val="0"/>
          <w:sz w:val="24"/>
        </w:rPr>
        <w:fldChar w:fldCharType="end"/>
      </w:r>
      <w:r>
        <w:rPr>
          <w:b/>
          <w:bCs/>
          <w:kern w:val="0"/>
          <w:sz w:val="24"/>
        </w:rPr>
        <w:t>地表水环境评价范围</w:t>
      </w:r>
    </w:p>
    <w:p w14:paraId="62C972B1">
      <w:pPr>
        <w:snapToGrid w:val="0"/>
        <w:spacing w:before="78" w:line="360" w:lineRule="auto"/>
        <w:ind w:firstLine="480" w:firstLineChars="200"/>
        <w:rPr>
          <w:kern w:val="0"/>
          <w:sz w:val="24"/>
        </w:rPr>
      </w:pPr>
      <w:r>
        <w:rPr>
          <w:sz w:val="24"/>
        </w:rPr>
        <w:t>根据导则规定，水污染影响型三级B评价可不进行水环境影响预测，因此本项目不设置地表水评价范围，仅进行生产废水回用零排放分析</w:t>
      </w:r>
      <w:r>
        <w:rPr>
          <w:kern w:val="0"/>
          <w:sz w:val="24"/>
        </w:rPr>
        <w:t>。</w:t>
      </w:r>
    </w:p>
    <w:p w14:paraId="6541E423">
      <w:pPr>
        <w:snapToGrid w:val="0"/>
        <w:spacing w:before="78" w:line="360" w:lineRule="auto"/>
        <w:ind w:firstLine="482" w:firstLineChars="200"/>
        <w:rPr>
          <w:b/>
          <w:bCs/>
          <w:kern w:val="0"/>
          <w:sz w:val="24"/>
        </w:rPr>
      </w:pPr>
      <w:r>
        <w:rPr>
          <w:b/>
          <w:bCs/>
          <w:kern w:val="0"/>
          <w:sz w:val="24"/>
        </w:rPr>
        <w:fldChar w:fldCharType="begin"/>
      </w:r>
      <w:r>
        <w:rPr>
          <w:b/>
          <w:bCs/>
          <w:kern w:val="0"/>
          <w:sz w:val="24"/>
        </w:rPr>
        <w:instrText xml:space="preserve"> = 3 \* GB2 \* MERGEFORMAT </w:instrText>
      </w:r>
      <w:r>
        <w:rPr>
          <w:b/>
          <w:bCs/>
          <w:kern w:val="0"/>
          <w:sz w:val="24"/>
        </w:rPr>
        <w:fldChar w:fldCharType="separate"/>
      </w:r>
      <w:r>
        <w:rPr>
          <w:b/>
          <w:bCs/>
          <w:kern w:val="0"/>
          <w:sz w:val="24"/>
        </w:rPr>
        <w:t>⑶</w:t>
      </w:r>
      <w:r>
        <w:rPr>
          <w:b/>
          <w:bCs/>
          <w:kern w:val="0"/>
          <w:sz w:val="24"/>
        </w:rPr>
        <w:fldChar w:fldCharType="end"/>
      </w:r>
      <w:r>
        <w:rPr>
          <w:b/>
          <w:bCs/>
          <w:kern w:val="0"/>
          <w:sz w:val="24"/>
        </w:rPr>
        <w:t>声环境评价范围</w:t>
      </w:r>
    </w:p>
    <w:p w14:paraId="2BDA0BE0">
      <w:pPr>
        <w:adjustRightInd w:val="0"/>
        <w:snapToGrid w:val="0"/>
        <w:spacing w:before="78" w:line="360" w:lineRule="auto"/>
        <w:ind w:firstLine="480" w:firstLineChars="200"/>
        <w:rPr>
          <w:sz w:val="24"/>
        </w:rPr>
      </w:pPr>
      <w:r>
        <w:rPr>
          <w:sz w:val="24"/>
        </w:rPr>
        <w:t>根据评价工作等级（二级）要求，结合周围环境敏感目标的分布，确定声环境评价范围为厂界外200m。</w:t>
      </w:r>
    </w:p>
    <w:p w14:paraId="67065F33">
      <w:pPr>
        <w:snapToGrid w:val="0"/>
        <w:spacing w:before="78" w:line="360" w:lineRule="auto"/>
        <w:ind w:firstLine="482" w:firstLineChars="200"/>
        <w:rPr>
          <w:b/>
          <w:bCs/>
          <w:kern w:val="0"/>
          <w:sz w:val="24"/>
        </w:rPr>
      </w:pPr>
      <w:r>
        <w:rPr>
          <w:b/>
          <w:bCs/>
          <w:kern w:val="0"/>
          <w:sz w:val="24"/>
        </w:rPr>
        <w:fldChar w:fldCharType="begin"/>
      </w:r>
      <w:r>
        <w:rPr>
          <w:b/>
          <w:bCs/>
          <w:kern w:val="0"/>
          <w:sz w:val="24"/>
        </w:rPr>
        <w:instrText xml:space="preserve"> = 4 \* GB2 \* MERGEFORMAT </w:instrText>
      </w:r>
      <w:r>
        <w:rPr>
          <w:b/>
          <w:bCs/>
          <w:kern w:val="0"/>
          <w:sz w:val="24"/>
        </w:rPr>
        <w:fldChar w:fldCharType="separate"/>
      </w:r>
      <w:r>
        <w:rPr>
          <w:rFonts w:hint="eastAsia" w:ascii="宋体" w:hAnsi="宋体" w:cs="宋体"/>
          <w:b/>
          <w:bCs/>
          <w:kern w:val="0"/>
          <w:sz w:val="24"/>
        </w:rPr>
        <w:t>⑷</w:t>
      </w:r>
      <w:r>
        <w:rPr>
          <w:b/>
          <w:bCs/>
          <w:kern w:val="0"/>
          <w:sz w:val="24"/>
        </w:rPr>
        <w:fldChar w:fldCharType="end"/>
      </w:r>
      <w:r>
        <w:rPr>
          <w:b/>
          <w:bCs/>
          <w:kern w:val="0"/>
          <w:sz w:val="24"/>
        </w:rPr>
        <w:t>地下水评价范围</w:t>
      </w:r>
    </w:p>
    <w:p w14:paraId="0F6EDC26">
      <w:pPr>
        <w:spacing w:before="0" w:beforeLines="0" w:line="360" w:lineRule="auto"/>
        <w:ind w:firstLine="480" w:firstLineChars="200"/>
        <w:rPr>
          <w:sz w:val="24"/>
        </w:rPr>
      </w:pPr>
      <w:r>
        <w:rPr>
          <w:rFonts w:hint="eastAsia"/>
          <w:sz w:val="24"/>
        </w:rPr>
        <w:t>根据当地气象、水文、地质条件和本工程三废排放情况及厂址周围敏感目标情况，依据《环境影响评价技术导则 地下水环境》（HJ 610-2016）8.2.2.1的“建设项目（除线性工程外）地下水环境影响现状调查评价范围可采用自定义法确定”，项目所在区域地下水自东南侧及南侧补给，向沟谷及河流排泄，靠近河流处沿河流向下游流向，并兼顾地下水现状监测点位，确定本次地下水环境影响评价范围为37.5</w:t>
      </w:r>
      <w:r>
        <w:rPr>
          <w:sz w:val="24"/>
        </w:rPr>
        <w:t>km</w:t>
      </w:r>
      <w:r>
        <w:rPr>
          <w:sz w:val="24"/>
          <w:vertAlign w:val="superscript"/>
        </w:rPr>
        <w:t>2</w:t>
      </w:r>
      <w:r>
        <w:rPr>
          <w:sz w:val="24"/>
        </w:rPr>
        <w:t>。</w:t>
      </w:r>
    </w:p>
    <w:p w14:paraId="75E2BF21">
      <w:pPr>
        <w:adjustRightInd w:val="0"/>
        <w:snapToGrid w:val="0"/>
        <w:spacing w:before="78" w:line="360" w:lineRule="auto"/>
        <w:ind w:firstLine="482" w:firstLineChars="200"/>
        <w:jc w:val="left"/>
        <w:rPr>
          <w:b/>
          <w:bCs/>
          <w:kern w:val="0"/>
          <w:sz w:val="24"/>
        </w:rPr>
      </w:pPr>
      <w:r>
        <w:rPr>
          <w:b/>
          <w:bCs/>
          <w:kern w:val="0"/>
          <w:sz w:val="24"/>
        </w:rPr>
        <w:fldChar w:fldCharType="begin"/>
      </w:r>
      <w:r>
        <w:rPr>
          <w:b/>
          <w:bCs/>
          <w:kern w:val="0"/>
          <w:sz w:val="24"/>
        </w:rPr>
        <w:instrText xml:space="preserve"> = 5 \* GB2 \* MERGEFORMAT </w:instrText>
      </w:r>
      <w:r>
        <w:rPr>
          <w:b/>
          <w:bCs/>
          <w:kern w:val="0"/>
          <w:sz w:val="24"/>
        </w:rPr>
        <w:fldChar w:fldCharType="separate"/>
      </w:r>
      <w:r>
        <w:rPr>
          <w:b/>
          <w:bCs/>
          <w:kern w:val="0"/>
          <w:sz w:val="24"/>
        </w:rPr>
        <w:t>⑸</w:t>
      </w:r>
      <w:r>
        <w:rPr>
          <w:b/>
          <w:bCs/>
          <w:kern w:val="0"/>
          <w:sz w:val="24"/>
        </w:rPr>
        <w:fldChar w:fldCharType="end"/>
      </w:r>
      <w:r>
        <w:rPr>
          <w:b/>
          <w:bCs/>
          <w:kern w:val="0"/>
          <w:sz w:val="24"/>
        </w:rPr>
        <w:t>土壤环境评价范围</w:t>
      </w:r>
    </w:p>
    <w:p w14:paraId="16CB3905">
      <w:pPr>
        <w:snapToGrid w:val="0"/>
        <w:spacing w:before="78" w:line="360" w:lineRule="auto"/>
        <w:ind w:firstLine="465"/>
        <w:rPr>
          <w:sz w:val="24"/>
        </w:rPr>
      </w:pPr>
      <w:r>
        <w:rPr>
          <w:sz w:val="24"/>
        </w:rPr>
        <w:t>本项目土壤评价等级为</w:t>
      </w:r>
      <w:r>
        <w:rPr>
          <w:rFonts w:hint="eastAsia"/>
          <w:sz w:val="24"/>
        </w:rPr>
        <w:t>三</w:t>
      </w:r>
      <w:r>
        <w:rPr>
          <w:sz w:val="24"/>
        </w:rPr>
        <w:t>级，按照《环境影响评价技术导则 土壤环境（试行）》（HJ964-2018）表5规定，本项目评价范围为厂区全部占地范围和厂区周边外扩</w:t>
      </w:r>
      <w:r>
        <w:rPr>
          <w:rFonts w:hint="eastAsia"/>
          <w:sz w:val="24"/>
        </w:rPr>
        <w:t>50</w:t>
      </w:r>
      <w:r>
        <w:rPr>
          <w:sz w:val="24"/>
        </w:rPr>
        <w:t>m范围。</w:t>
      </w:r>
    </w:p>
    <w:p w14:paraId="0D573B2D">
      <w:pPr>
        <w:snapToGrid w:val="0"/>
        <w:spacing w:before="78" w:line="360" w:lineRule="auto"/>
        <w:ind w:firstLine="482" w:firstLineChars="200"/>
        <w:rPr>
          <w:b/>
          <w:bCs/>
          <w:kern w:val="0"/>
          <w:sz w:val="24"/>
        </w:rPr>
      </w:pPr>
      <w:r>
        <w:rPr>
          <w:b/>
          <w:bCs/>
          <w:kern w:val="0"/>
          <w:sz w:val="24"/>
        </w:rPr>
        <w:fldChar w:fldCharType="begin"/>
      </w:r>
      <w:r>
        <w:rPr>
          <w:b/>
          <w:bCs/>
          <w:kern w:val="0"/>
          <w:sz w:val="24"/>
        </w:rPr>
        <w:instrText xml:space="preserve"> = 6 \* GB2 \* MERGEFORMAT </w:instrText>
      </w:r>
      <w:r>
        <w:rPr>
          <w:b/>
          <w:bCs/>
          <w:kern w:val="0"/>
          <w:sz w:val="24"/>
        </w:rPr>
        <w:fldChar w:fldCharType="separate"/>
      </w:r>
      <w:r>
        <w:rPr>
          <w:b/>
          <w:bCs/>
          <w:kern w:val="0"/>
          <w:sz w:val="24"/>
        </w:rPr>
        <w:t>⑹</w:t>
      </w:r>
      <w:r>
        <w:rPr>
          <w:b/>
          <w:bCs/>
          <w:kern w:val="0"/>
          <w:sz w:val="24"/>
        </w:rPr>
        <w:fldChar w:fldCharType="end"/>
      </w:r>
      <w:r>
        <w:rPr>
          <w:b/>
          <w:bCs/>
          <w:kern w:val="0"/>
          <w:sz w:val="24"/>
        </w:rPr>
        <w:t>生态环境评价范围</w:t>
      </w:r>
    </w:p>
    <w:p w14:paraId="7F74A7AF">
      <w:pPr>
        <w:snapToGrid w:val="0"/>
        <w:spacing w:before="78" w:line="360" w:lineRule="auto"/>
        <w:ind w:firstLine="465"/>
        <w:rPr>
          <w:sz w:val="24"/>
        </w:rPr>
      </w:pPr>
      <w:r>
        <w:rPr>
          <w:sz w:val="24"/>
        </w:rPr>
        <w:t>本</w:t>
      </w:r>
      <w:r>
        <w:rPr>
          <w:rFonts w:hint="eastAsia"/>
          <w:sz w:val="24"/>
          <w:lang w:val="en-US" w:eastAsia="zh-CN"/>
        </w:rPr>
        <w:t>项目</w:t>
      </w:r>
      <w:r>
        <w:rPr>
          <w:sz w:val="24"/>
        </w:rPr>
        <w:t>为污染影响类建设项目，排放的污染为颗粒物，</w:t>
      </w:r>
      <w:r>
        <w:rPr>
          <w:rFonts w:hint="eastAsia"/>
          <w:sz w:val="24"/>
        </w:rPr>
        <w:t>现状用地为采矿用地，因此项目建设对生态环境影响较小，生态评价范围确定为厂区周边500m。</w:t>
      </w:r>
    </w:p>
    <w:p w14:paraId="3C47CB35">
      <w:pPr>
        <w:snapToGrid w:val="0"/>
        <w:spacing w:before="78" w:line="360" w:lineRule="auto"/>
        <w:ind w:firstLine="480" w:firstLineChars="200"/>
        <w:rPr>
          <w:sz w:val="24"/>
        </w:rPr>
      </w:pPr>
      <w:r>
        <w:rPr>
          <w:sz w:val="24"/>
        </w:rPr>
        <w:t>根据评价导则要求，各环境要素评价等级和评价范围汇总见表2.4-12</w:t>
      </w:r>
      <w:r>
        <w:rPr>
          <w:rFonts w:hint="eastAsia"/>
          <w:sz w:val="24"/>
        </w:rPr>
        <w:t>以及图2.4-1、2.4-2。</w:t>
      </w:r>
    </w:p>
    <w:p w14:paraId="76C07AF7">
      <w:pPr>
        <w:pStyle w:val="143"/>
        <w:spacing w:before="0" w:beforeLines="0"/>
        <w:rPr>
          <w:b/>
          <w:bCs w:val="0"/>
        </w:rPr>
      </w:pPr>
      <w:r>
        <w:rPr>
          <w:b/>
          <w:bCs w:val="0"/>
        </w:rPr>
        <w:t>表2.4-12   各环境要素评价等级和评价范围一览表</w:t>
      </w:r>
    </w:p>
    <w:tbl>
      <w:tblPr>
        <w:tblStyle w:val="89"/>
        <w:tblW w:w="5026" w:type="pct"/>
        <w:tblInd w:w="113"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762"/>
        <w:gridCol w:w="1845"/>
        <w:gridCol w:w="1527"/>
        <w:gridCol w:w="4221"/>
      </w:tblGrid>
      <w:tr w14:paraId="52F93C0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456" w:type="pct"/>
            <w:tcBorders>
              <w:tl2br w:val="nil"/>
              <w:tr2bl w:val="nil"/>
            </w:tcBorders>
            <w:vAlign w:val="center"/>
          </w:tcPr>
          <w:p w14:paraId="513A3F9A">
            <w:pPr>
              <w:pStyle w:val="160"/>
              <w:rPr>
                <w:szCs w:val="21"/>
              </w:rPr>
            </w:pPr>
            <w:r>
              <w:rPr>
                <w:szCs w:val="21"/>
              </w:rPr>
              <w:t>序号</w:t>
            </w:r>
          </w:p>
        </w:tc>
        <w:tc>
          <w:tcPr>
            <w:tcW w:w="1104" w:type="pct"/>
            <w:tcBorders>
              <w:tl2br w:val="nil"/>
              <w:tr2bl w:val="nil"/>
            </w:tcBorders>
            <w:vAlign w:val="center"/>
          </w:tcPr>
          <w:p w14:paraId="42A6EA1C">
            <w:pPr>
              <w:pStyle w:val="160"/>
              <w:rPr>
                <w:szCs w:val="21"/>
              </w:rPr>
            </w:pPr>
            <w:r>
              <w:rPr>
                <w:szCs w:val="21"/>
              </w:rPr>
              <w:t>环境要素</w:t>
            </w:r>
          </w:p>
        </w:tc>
        <w:tc>
          <w:tcPr>
            <w:tcW w:w="914" w:type="pct"/>
            <w:tcBorders>
              <w:tl2br w:val="nil"/>
              <w:tr2bl w:val="nil"/>
            </w:tcBorders>
            <w:vAlign w:val="center"/>
          </w:tcPr>
          <w:p w14:paraId="187014FB">
            <w:pPr>
              <w:pStyle w:val="160"/>
              <w:rPr>
                <w:szCs w:val="21"/>
              </w:rPr>
            </w:pPr>
            <w:r>
              <w:rPr>
                <w:szCs w:val="21"/>
              </w:rPr>
              <w:t>评价等级</w:t>
            </w:r>
          </w:p>
        </w:tc>
        <w:tc>
          <w:tcPr>
            <w:tcW w:w="2526" w:type="pct"/>
            <w:tcBorders>
              <w:tl2br w:val="nil"/>
              <w:tr2bl w:val="nil"/>
            </w:tcBorders>
            <w:vAlign w:val="center"/>
          </w:tcPr>
          <w:p w14:paraId="1EE1AEBD">
            <w:pPr>
              <w:pStyle w:val="160"/>
              <w:rPr>
                <w:szCs w:val="21"/>
              </w:rPr>
            </w:pPr>
            <w:r>
              <w:rPr>
                <w:szCs w:val="21"/>
              </w:rPr>
              <w:t>评价范围</w:t>
            </w:r>
          </w:p>
        </w:tc>
      </w:tr>
      <w:tr w14:paraId="30A6128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456" w:type="pct"/>
            <w:tcBorders>
              <w:tl2br w:val="nil"/>
              <w:tr2bl w:val="nil"/>
            </w:tcBorders>
            <w:vAlign w:val="center"/>
          </w:tcPr>
          <w:p w14:paraId="3E81FC84">
            <w:pPr>
              <w:pStyle w:val="160"/>
              <w:rPr>
                <w:szCs w:val="21"/>
              </w:rPr>
            </w:pPr>
            <w:r>
              <w:rPr>
                <w:szCs w:val="21"/>
              </w:rPr>
              <w:t>1</w:t>
            </w:r>
          </w:p>
        </w:tc>
        <w:tc>
          <w:tcPr>
            <w:tcW w:w="1104" w:type="pct"/>
            <w:tcBorders>
              <w:tl2br w:val="nil"/>
              <w:tr2bl w:val="nil"/>
            </w:tcBorders>
            <w:vAlign w:val="center"/>
          </w:tcPr>
          <w:p w14:paraId="1BC13177">
            <w:pPr>
              <w:pStyle w:val="160"/>
              <w:rPr>
                <w:szCs w:val="21"/>
              </w:rPr>
            </w:pPr>
            <w:r>
              <w:rPr>
                <w:rFonts w:hint="eastAsia"/>
                <w:szCs w:val="21"/>
              </w:rPr>
              <w:t>大气环境</w:t>
            </w:r>
          </w:p>
        </w:tc>
        <w:tc>
          <w:tcPr>
            <w:tcW w:w="914" w:type="pct"/>
            <w:tcBorders>
              <w:tl2br w:val="nil"/>
              <w:tr2bl w:val="nil"/>
            </w:tcBorders>
            <w:vAlign w:val="center"/>
          </w:tcPr>
          <w:p w14:paraId="5D937014">
            <w:pPr>
              <w:pStyle w:val="160"/>
              <w:rPr>
                <w:szCs w:val="21"/>
              </w:rPr>
            </w:pPr>
            <w:r>
              <w:rPr>
                <w:rFonts w:hint="eastAsia"/>
                <w:szCs w:val="21"/>
              </w:rPr>
              <w:t>一级</w:t>
            </w:r>
          </w:p>
        </w:tc>
        <w:tc>
          <w:tcPr>
            <w:tcW w:w="2526" w:type="pct"/>
            <w:tcBorders>
              <w:tl2br w:val="nil"/>
              <w:tr2bl w:val="nil"/>
            </w:tcBorders>
            <w:vAlign w:val="center"/>
          </w:tcPr>
          <w:p w14:paraId="7C3FA4E6">
            <w:pPr>
              <w:pStyle w:val="160"/>
              <w:rPr>
                <w:szCs w:val="21"/>
              </w:rPr>
            </w:pPr>
            <w:r>
              <w:rPr>
                <w:rFonts w:hint="eastAsia"/>
                <w:szCs w:val="21"/>
              </w:rPr>
              <w:t>边长</w:t>
            </w:r>
            <w:r>
              <w:rPr>
                <w:szCs w:val="21"/>
              </w:rPr>
              <w:t>5</w:t>
            </w:r>
            <w:r>
              <w:rPr>
                <w:rFonts w:hint="eastAsia"/>
                <w:szCs w:val="21"/>
              </w:rPr>
              <w:t>.5</w:t>
            </w:r>
            <w:r>
              <w:rPr>
                <w:szCs w:val="21"/>
              </w:rPr>
              <w:t>km</w:t>
            </w:r>
            <w:r>
              <w:rPr>
                <w:rFonts w:hint="eastAsia"/>
                <w:szCs w:val="21"/>
              </w:rPr>
              <w:t>评价范围</w:t>
            </w:r>
          </w:p>
        </w:tc>
      </w:tr>
      <w:tr w14:paraId="122A8C6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456" w:type="pct"/>
            <w:tcBorders>
              <w:tl2br w:val="nil"/>
              <w:tr2bl w:val="nil"/>
            </w:tcBorders>
            <w:vAlign w:val="center"/>
          </w:tcPr>
          <w:p w14:paraId="6E209795">
            <w:pPr>
              <w:pStyle w:val="160"/>
              <w:rPr>
                <w:szCs w:val="21"/>
              </w:rPr>
            </w:pPr>
            <w:r>
              <w:rPr>
                <w:szCs w:val="21"/>
              </w:rPr>
              <w:t>2</w:t>
            </w:r>
          </w:p>
        </w:tc>
        <w:tc>
          <w:tcPr>
            <w:tcW w:w="1104" w:type="pct"/>
            <w:tcBorders>
              <w:tl2br w:val="nil"/>
              <w:tr2bl w:val="nil"/>
            </w:tcBorders>
            <w:vAlign w:val="center"/>
          </w:tcPr>
          <w:p w14:paraId="73641C39">
            <w:pPr>
              <w:pStyle w:val="160"/>
              <w:rPr>
                <w:szCs w:val="21"/>
              </w:rPr>
            </w:pPr>
            <w:r>
              <w:rPr>
                <w:szCs w:val="21"/>
              </w:rPr>
              <w:t>地表水环境</w:t>
            </w:r>
          </w:p>
        </w:tc>
        <w:tc>
          <w:tcPr>
            <w:tcW w:w="914" w:type="pct"/>
            <w:tcBorders>
              <w:tl2br w:val="nil"/>
              <w:tr2bl w:val="nil"/>
            </w:tcBorders>
            <w:vAlign w:val="center"/>
          </w:tcPr>
          <w:p w14:paraId="629BA287">
            <w:pPr>
              <w:pStyle w:val="160"/>
              <w:rPr>
                <w:szCs w:val="21"/>
              </w:rPr>
            </w:pPr>
            <w:r>
              <w:rPr>
                <w:szCs w:val="21"/>
              </w:rPr>
              <w:t>三级B</w:t>
            </w:r>
          </w:p>
        </w:tc>
        <w:tc>
          <w:tcPr>
            <w:tcW w:w="2526" w:type="pct"/>
            <w:tcBorders>
              <w:tl2br w:val="nil"/>
              <w:tr2bl w:val="nil"/>
            </w:tcBorders>
            <w:vAlign w:val="center"/>
          </w:tcPr>
          <w:p w14:paraId="07B6FD92">
            <w:pPr>
              <w:pStyle w:val="160"/>
              <w:rPr>
                <w:szCs w:val="21"/>
              </w:rPr>
            </w:pPr>
            <w:r>
              <w:rPr>
                <w:szCs w:val="21"/>
              </w:rPr>
              <w:t>-</w:t>
            </w:r>
          </w:p>
        </w:tc>
      </w:tr>
      <w:tr w14:paraId="7E151A9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456" w:type="pct"/>
            <w:tcBorders>
              <w:tl2br w:val="nil"/>
              <w:tr2bl w:val="nil"/>
            </w:tcBorders>
            <w:vAlign w:val="center"/>
          </w:tcPr>
          <w:p w14:paraId="055A08E5">
            <w:pPr>
              <w:pStyle w:val="160"/>
              <w:rPr>
                <w:szCs w:val="21"/>
              </w:rPr>
            </w:pPr>
            <w:r>
              <w:rPr>
                <w:szCs w:val="21"/>
              </w:rPr>
              <w:t>3</w:t>
            </w:r>
          </w:p>
        </w:tc>
        <w:tc>
          <w:tcPr>
            <w:tcW w:w="1104" w:type="pct"/>
            <w:tcBorders>
              <w:tl2br w:val="nil"/>
              <w:tr2bl w:val="nil"/>
            </w:tcBorders>
            <w:vAlign w:val="center"/>
          </w:tcPr>
          <w:p w14:paraId="6A13DDC1">
            <w:pPr>
              <w:pStyle w:val="160"/>
              <w:rPr>
                <w:szCs w:val="21"/>
              </w:rPr>
            </w:pPr>
            <w:r>
              <w:rPr>
                <w:szCs w:val="21"/>
              </w:rPr>
              <w:t>地下水环境</w:t>
            </w:r>
          </w:p>
        </w:tc>
        <w:tc>
          <w:tcPr>
            <w:tcW w:w="914" w:type="pct"/>
            <w:tcBorders>
              <w:tl2br w:val="nil"/>
              <w:tr2bl w:val="nil"/>
            </w:tcBorders>
            <w:vAlign w:val="center"/>
          </w:tcPr>
          <w:p w14:paraId="172F2788">
            <w:pPr>
              <w:pStyle w:val="160"/>
              <w:rPr>
                <w:szCs w:val="21"/>
              </w:rPr>
            </w:pPr>
            <w:r>
              <w:rPr>
                <w:rFonts w:hint="eastAsia"/>
                <w:szCs w:val="21"/>
              </w:rPr>
              <w:t>二</w:t>
            </w:r>
            <w:r>
              <w:rPr>
                <w:szCs w:val="21"/>
              </w:rPr>
              <w:t>级</w:t>
            </w:r>
          </w:p>
        </w:tc>
        <w:tc>
          <w:tcPr>
            <w:tcW w:w="2526" w:type="pct"/>
            <w:tcBorders>
              <w:tl2br w:val="nil"/>
              <w:tr2bl w:val="nil"/>
            </w:tcBorders>
            <w:vAlign w:val="center"/>
          </w:tcPr>
          <w:p w14:paraId="070C4DE6">
            <w:pPr>
              <w:pStyle w:val="160"/>
              <w:rPr>
                <w:szCs w:val="21"/>
              </w:rPr>
            </w:pPr>
            <w:r>
              <w:rPr>
                <w:szCs w:val="21"/>
              </w:rPr>
              <w:t>占地范围和厂区周边共计37.5km</w:t>
            </w:r>
            <w:r>
              <w:rPr>
                <w:szCs w:val="21"/>
                <w:vertAlign w:val="superscript"/>
              </w:rPr>
              <w:t>2</w:t>
            </w:r>
          </w:p>
        </w:tc>
      </w:tr>
      <w:tr w14:paraId="007F423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456" w:type="pct"/>
            <w:tcBorders>
              <w:tl2br w:val="nil"/>
              <w:tr2bl w:val="nil"/>
            </w:tcBorders>
            <w:vAlign w:val="center"/>
          </w:tcPr>
          <w:p w14:paraId="0AA9E8E0">
            <w:pPr>
              <w:pStyle w:val="160"/>
              <w:rPr>
                <w:szCs w:val="21"/>
              </w:rPr>
            </w:pPr>
            <w:r>
              <w:rPr>
                <w:szCs w:val="21"/>
              </w:rPr>
              <w:t>4</w:t>
            </w:r>
          </w:p>
        </w:tc>
        <w:tc>
          <w:tcPr>
            <w:tcW w:w="1104" w:type="pct"/>
            <w:tcBorders>
              <w:tl2br w:val="nil"/>
              <w:tr2bl w:val="nil"/>
            </w:tcBorders>
            <w:vAlign w:val="center"/>
          </w:tcPr>
          <w:p w14:paraId="3357A0EF">
            <w:pPr>
              <w:pStyle w:val="160"/>
              <w:rPr>
                <w:szCs w:val="21"/>
              </w:rPr>
            </w:pPr>
            <w:r>
              <w:rPr>
                <w:szCs w:val="21"/>
              </w:rPr>
              <w:t>声环境</w:t>
            </w:r>
          </w:p>
        </w:tc>
        <w:tc>
          <w:tcPr>
            <w:tcW w:w="914" w:type="pct"/>
            <w:tcBorders>
              <w:tl2br w:val="nil"/>
              <w:tr2bl w:val="nil"/>
            </w:tcBorders>
            <w:vAlign w:val="center"/>
          </w:tcPr>
          <w:p w14:paraId="43C5B635">
            <w:pPr>
              <w:pStyle w:val="160"/>
              <w:rPr>
                <w:szCs w:val="21"/>
              </w:rPr>
            </w:pPr>
            <w:r>
              <w:rPr>
                <w:szCs w:val="21"/>
              </w:rPr>
              <w:t>二级</w:t>
            </w:r>
          </w:p>
        </w:tc>
        <w:tc>
          <w:tcPr>
            <w:tcW w:w="2526" w:type="pct"/>
            <w:tcBorders>
              <w:tl2br w:val="nil"/>
              <w:tr2bl w:val="nil"/>
            </w:tcBorders>
            <w:vAlign w:val="center"/>
          </w:tcPr>
          <w:p w14:paraId="12EBF0BD">
            <w:pPr>
              <w:pStyle w:val="160"/>
              <w:rPr>
                <w:szCs w:val="21"/>
              </w:rPr>
            </w:pPr>
            <w:r>
              <w:rPr>
                <w:szCs w:val="21"/>
              </w:rPr>
              <w:t>厂界外200m</w:t>
            </w:r>
          </w:p>
        </w:tc>
      </w:tr>
      <w:tr w14:paraId="1535599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456" w:type="pct"/>
            <w:tcBorders>
              <w:tl2br w:val="nil"/>
              <w:tr2bl w:val="nil"/>
            </w:tcBorders>
            <w:vAlign w:val="center"/>
          </w:tcPr>
          <w:p w14:paraId="2D1B7991">
            <w:pPr>
              <w:pStyle w:val="160"/>
              <w:rPr>
                <w:szCs w:val="21"/>
              </w:rPr>
            </w:pPr>
            <w:r>
              <w:rPr>
                <w:szCs w:val="21"/>
              </w:rPr>
              <w:t>5</w:t>
            </w:r>
          </w:p>
        </w:tc>
        <w:tc>
          <w:tcPr>
            <w:tcW w:w="1104" w:type="pct"/>
            <w:tcBorders>
              <w:tl2br w:val="nil"/>
              <w:tr2bl w:val="nil"/>
            </w:tcBorders>
            <w:vAlign w:val="center"/>
          </w:tcPr>
          <w:p w14:paraId="12137DC1">
            <w:pPr>
              <w:pStyle w:val="160"/>
              <w:rPr>
                <w:szCs w:val="21"/>
              </w:rPr>
            </w:pPr>
            <w:r>
              <w:rPr>
                <w:szCs w:val="21"/>
              </w:rPr>
              <w:t>环境风险</w:t>
            </w:r>
          </w:p>
        </w:tc>
        <w:tc>
          <w:tcPr>
            <w:tcW w:w="914" w:type="pct"/>
            <w:tcBorders>
              <w:tl2br w:val="nil"/>
              <w:tr2bl w:val="nil"/>
            </w:tcBorders>
            <w:vAlign w:val="center"/>
          </w:tcPr>
          <w:p w14:paraId="10CC1E6F">
            <w:pPr>
              <w:pStyle w:val="160"/>
              <w:rPr>
                <w:szCs w:val="21"/>
              </w:rPr>
            </w:pPr>
            <w:r>
              <w:rPr>
                <w:szCs w:val="21"/>
              </w:rPr>
              <w:t>简单分析</w:t>
            </w:r>
          </w:p>
        </w:tc>
        <w:tc>
          <w:tcPr>
            <w:tcW w:w="2526" w:type="pct"/>
            <w:tcBorders>
              <w:tl2br w:val="nil"/>
              <w:tr2bl w:val="nil"/>
            </w:tcBorders>
            <w:vAlign w:val="center"/>
          </w:tcPr>
          <w:p w14:paraId="01B844D5">
            <w:pPr>
              <w:pStyle w:val="160"/>
              <w:rPr>
                <w:b/>
                <w:szCs w:val="21"/>
              </w:rPr>
            </w:pPr>
            <w:r>
              <w:rPr>
                <w:szCs w:val="21"/>
              </w:rPr>
              <w:t>/</w:t>
            </w:r>
          </w:p>
        </w:tc>
      </w:tr>
      <w:tr w14:paraId="218DE6A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456" w:type="pct"/>
            <w:tcBorders>
              <w:tl2br w:val="nil"/>
              <w:tr2bl w:val="nil"/>
            </w:tcBorders>
            <w:vAlign w:val="center"/>
          </w:tcPr>
          <w:p w14:paraId="3AB9B1A9">
            <w:pPr>
              <w:pStyle w:val="160"/>
              <w:rPr>
                <w:szCs w:val="21"/>
              </w:rPr>
            </w:pPr>
            <w:r>
              <w:rPr>
                <w:szCs w:val="21"/>
              </w:rPr>
              <w:t>6</w:t>
            </w:r>
          </w:p>
        </w:tc>
        <w:tc>
          <w:tcPr>
            <w:tcW w:w="1104" w:type="pct"/>
            <w:tcBorders>
              <w:tl2br w:val="nil"/>
              <w:tr2bl w:val="nil"/>
            </w:tcBorders>
            <w:vAlign w:val="center"/>
          </w:tcPr>
          <w:p w14:paraId="00E1660B">
            <w:pPr>
              <w:pStyle w:val="160"/>
              <w:rPr>
                <w:szCs w:val="21"/>
              </w:rPr>
            </w:pPr>
            <w:r>
              <w:rPr>
                <w:szCs w:val="21"/>
              </w:rPr>
              <w:t>土壤</w:t>
            </w:r>
          </w:p>
        </w:tc>
        <w:tc>
          <w:tcPr>
            <w:tcW w:w="914" w:type="pct"/>
            <w:tcBorders>
              <w:tl2br w:val="nil"/>
              <w:tr2bl w:val="nil"/>
            </w:tcBorders>
            <w:vAlign w:val="center"/>
          </w:tcPr>
          <w:p w14:paraId="62147448">
            <w:pPr>
              <w:pStyle w:val="160"/>
              <w:rPr>
                <w:szCs w:val="21"/>
              </w:rPr>
            </w:pPr>
            <w:r>
              <w:rPr>
                <w:rFonts w:hint="eastAsia"/>
                <w:szCs w:val="21"/>
              </w:rPr>
              <w:t>三</w:t>
            </w:r>
            <w:r>
              <w:rPr>
                <w:szCs w:val="21"/>
              </w:rPr>
              <w:t>级</w:t>
            </w:r>
          </w:p>
        </w:tc>
        <w:tc>
          <w:tcPr>
            <w:tcW w:w="2526" w:type="pct"/>
            <w:tcBorders>
              <w:tl2br w:val="nil"/>
              <w:tr2bl w:val="nil"/>
            </w:tcBorders>
            <w:vAlign w:val="center"/>
          </w:tcPr>
          <w:p w14:paraId="45BDE884">
            <w:pPr>
              <w:pStyle w:val="160"/>
              <w:rPr>
                <w:szCs w:val="21"/>
              </w:rPr>
            </w:pPr>
            <w:r>
              <w:rPr>
                <w:szCs w:val="21"/>
              </w:rPr>
              <w:t>全部占地范围和厂区周边</w:t>
            </w:r>
            <w:r>
              <w:rPr>
                <w:rFonts w:hint="eastAsia"/>
                <w:szCs w:val="21"/>
              </w:rPr>
              <w:t>50m</w:t>
            </w:r>
            <w:r>
              <w:rPr>
                <w:szCs w:val="21"/>
              </w:rPr>
              <w:t>范围</w:t>
            </w:r>
          </w:p>
        </w:tc>
      </w:tr>
      <w:tr w14:paraId="37A17FD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456" w:type="pct"/>
            <w:tcBorders>
              <w:tl2br w:val="nil"/>
              <w:tr2bl w:val="nil"/>
            </w:tcBorders>
            <w:vAlign w:val="center"/>
          </w:tcPr>
          <w:p w14:paraId="5BD627D9">
            <w:pPr>
              <w:pStyle w:val="160"/>
              <w:rPr>
                <w:szCs w:val="21"/>
              </w:rPr>
            </w:pPr>
            <w:r>
              <w:rPr>
                <w:szCs w:val="21"/>
              </w:rPr>
              <w:t>7</w:t>
            </w:r>
          </w:p>
        </w:tc>
        <w:tc>
          <w:tcPr>
            <w:tcW w:w="1104" w:type="pct"/>
            <w:tcBorders>
              <w:tl2br w:val="nil"/>
              <w:tr2bl w:val="nil"/>
            </w:tcBorders>
            <w:vAlign w:val="center"/>
          </w:tcPr>
          <w:p w14:paraId="41C39CDA">
            <w:pPr>
              <w:pStyle w:val="160"/>
              <w:rPr>
                <w:szCs w:val="21"/>
              </w:rPr>
            </w:pPr>
            <w:r>
              <w:rPr>
                <w:szCs w:val="21"/>
              </w:rPr>
              <w:t>生态</w:t>
            </w:r>
          </w:p>
        </w:tc>
        <w:tc>
          <w:tcPr>
            <w:tcW w:w="914" w:type="pct"/>
            <w:tcBorders>
              <w:tl2br w:val="nil"/>
              <w:tr2bl w:val="nil"/>
            </w:tcBorders>
            <w:vAlign w:val="center"/>
          </w:tcPr>
          <w:p w14:paraId="08653C0D">
            <w:pPr>
              <w:pStyle w:val="160"/>
              <w:rPr>
                <w:szCs w:val="21"/>
              </w:rPr>
            </w:pPr>
            <w:r>
              <w:rPr>
                <w:szCs w:val="21"/>
              </w:rPr>
              <w:t>三级</w:t>
            </w:r>
          </w:p>
        </w:tc>
        <w:tc>
          <w:tcPr>
            <w:tcW w:w="2526" w:type="pct"/>
            <w:tcBorders>
              <w:tl2br w:val="nil"/>
              <w:tr2bl w:val="nil"/>
            </w:tcBorders>
            <w:vAlign w:val="center"/>
          </w:tcPr>
          <w:p w14:paraId="2EBD84EF">
            <w:pPr>
              <w:pStyle w:val="160"/>
              <w:rPr>
                <w:szCs w:val="21"/>
              </w:rPr>
            </w:pPr>
            <w:r>
              <w:rPr>
                <w:szCs w:val="21"/>
              </w:rPr>
              <w:t>全部占地范围</w:t>
            </w:r>
            <w:r>
              <w:rPr>
                <w:rFonts w:hint="eastAsia"/>
                <w:szCs w:val="21"/>
              </w:rPr>
              <w:t>及厂区周边500m范围</w:t>
            </w:r>
          </w:p>
        </w:tc>
      </w:tr>
    </w:tbl>
    <w:p w14:paraId="6A087C0C">
      <w:pPr>
        <w:snapToGrid w:val="0"/>
        <w:spacing w:before="78" w:line="360" w:lineRule="auto"/>
        <w:rPr>
          <w:kern w:val="0"/>
          <w:sz w:val="24"/>
        </w:rPr>
      </w:pPr>
    </w:p>
    <w:p w14:paraId="7624D196">
      <w:pPr>
        <w:pStyle w:val="143"/>
        <w:spacing w:before="0" w:beforeLines="0"/>
        <w:rPr>
          <w:b/>
          <w:sz w:val="24"/>
        </w:rPr>
      </w:pPr>
      <w:bookmarkStart w:id="60" w:name="_Toc17475953"/>
    </w:p>
    <w:p w14:paraId="1BB7E546">
      <w:pPr>
        <w:pStyle w:val="143"/>
        <w:spacing w:before="0" w:beforeLines="0"/>
        <w:rPr>
          <w:b/>
          <w:sz w:val="24"/>
        </w:rPr>
      </w:pPr>
    </w:p>
    <w:p w14:paraId="4A68A254">
      <w:pPr>
        <w:pStyle w:val="143"/>
        <w:spacing w:before="0" w:beforeLines="0"/>
        <w:rPr>
          <w:b/>
          <w:sz w:val="24"/>
        </w:rPr>
      </w:pPr>
      <w:r>
        <w:rPr>
          <w:b/>
          <w:sz w:val="24"/>
        </w:rPr>
        <w:drawing>
          <wp:inline distT="0" distB="0" distL="0" distR="0">
            <wp:extent cx="4648200" cy="3182620"/>
            <wp:effectExtent l="0" t="0" r="0" b="0"/>
            <wp:docPr id="1978991742"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991742" name="图片 60"/>
                    <pic:cNvPicPr>
                      <a:picLocks noChangeAspect="1" noChangeArrowheads="1"/>
                    </pic:cNvPicPr>
                  </pic:nvPicPr>
                  <pic:blipFill>
                    <a:blip r:embed="rId31"/>
                    <a:srcRect/>
                    <a:stretch>
                      <a:fillRect/>
                    </a:stretch>
                  </pic:blipFill>
                  <pic:spPr>
                    <a:xfrm>
                      <a:off x="0" y="0"/>
                      <a:ext cx="4657940" cy="3189518"/>
                    </a:xfrm>
                    <a:prstGeom prst="rect">
                      <a:avLst/>
                    </a:prstGeom>
                    <a:noFill/>
                  </pic:spPr>
                </pic:pic>
              </a:graphicData>
            </a:graphic>
          </wp:inline>
        </w:drawing>
      </w:r>
    </w:p>
    <w:p w14:paraId="204F6F7A">
      <w:pPr>
        <w:pStyle w:val="143"/>
        <w:spacing w:before="0" w:beforeLines="0"/>
        <w:rPr>
          <w:b/>
          <w:sz w:val="24"/>
        </w:rPr>
      </w:pPr>
      <w:r>
        <w:rPr>
          <w:rFonts w:hint="eastAsia"/>
          <w:b/>
          <w:sz w:val="24"/>
        </w:rPr>
        <w:t>图2.4-1   大气、声、土壤、生态评价范围</w:t>
      </w:r>
    </w:p>
    <w:p w14:paraId="6676A794">
      <w:pPr>
        <w:pStyle w:val="143"/>
        <w:spacing w:before="0" w:beforeLines="0"/>
        <w:rPr>
          <w:b/>
          <w:bCs w:val="0"/>
          <w:sz w:val="24"/>
        </w:rPr>
      </w:pPr>
      <w:r>
        <w:rPr>
          <w:b/>
          <w:bCs w:val="0"/>
          <w:sz w:val="24"/>
        </w:rPr>
        <w:drawing>
          <wp:inline distT="0" distB="0" distL="0" distR="0">
            <wp:extent cx="4565650" cy="4723765"/>
            <wp:effectExtent l="0" t="0" r="6350" b="635"/>
            <wp:docPr id="187080977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809771" name="图片 61"/>
                    <pic:cNvPicPr>
                      <a:picLocks noChangeAspect="1" noChangeArrowheads="1"/>
                    </pic:cNvPicPr>
                  </pic:nvPicPr>
                  <pic:blipFill>
                    <a:blip r:embed="rId32"/>
                    <a:srcRect/>
                    <a:stretch>
                      <a:fillRect/>
                    </a:stretch>
                  </pic:blipFill>
                  <pic:spPr>
                    <a:xfrm>
                      <a:off x="0" y="0"/>
                      <a:ext cx="4596636" cy="4755866"/>
                    </a:xfrm>
                    <a:prstGeom prst="rect">
                      <a:avLst/>
                    </a:prstGeom>
                    <a:noFill/>
                  </pic:spPr>
                </pic:pic>
              </a:graphicData>
            </a:graphic>
          </wp:inline>
        </w:drawing>
      </w:r>
    </w:p>
    <w:p w14:paraId="37A617F7">
      <w:pPr>
        <w:spacing w:before="78"/>
        <w:jc w:val="center"/>
        <w:rPr>
          <w:b/>
          <w:bCs/>
          <w:sz w:val="24"/>
        </w:rPr>
      </w:pPr>
      <w:r>
        <w:rPr>
          <w:rFonts w:hint="eastAsia"/>
          <w:b/>
          <w:bCs/>
          <w:sz w:val="24"/>
        </w:rPr>
        <w:t>图2.4-2  地下水评价范围</w:t>
      </w:r>
    </w:p>
    <w:p w14:paraId="63AD4B81">
      <w:pPr>
        <w:pStyle w:val="4"/>
        <w:rPr>
          <w:rFonts w:ascii="Times New Roman" w:hAnsi="Times New Roman" w:eastAsia="宋体"/>
          <w:color w:val="auto"/>
        </w:rPr>
      </w:pPr>
      <w:bookmarkStart w:id="61" w:name="_Toc239274265"/>
      <w:r>
        <w:rPr>
          <w:rFonts w:ascii="Times New Roman" w:hAnsi="Times New Roman" w:eastAsia="宋体"/>
          <w:color w:val="auto"/>
        </w:rPr>
        <w:t>2.5政策</w:t>
      </w:r>
      <w:r>
        <w:rPr>
          <w:rFonts w:hint="eastAsia" w:ascii="Times New Roman" w:hAnsi="Times New Roman" w:eastAsia="宋体"/>
          <w:color w:val="auto"/>
        </w:rPr>
        <w:t>规划</w:t>
      </w:r>
      <w:r>
        <w:rPr>
          <w:rFonts w:ascii="Times New Roman" w:hAnsi="Times New Roman" w:eastAsia="宋体"/>
          <w:color w:val="auto"/>
        </w:rPr>
        <w:t>符合性分析</w:t>
      </w:r>
      <w:bookmarkEnd w:id="60"/>
      <w:bookmarkEnd w:id="61"/>
    </w:p>
    <w:p w14:paraId="0A367CCE">
      <w:pPr>
        <w:pStyle w:val="5"/>
        <w:spacing w:before="78"/>
        <w:rPr>
          <w:color w:val="auto"/>
        </w:rPr>
      </w:pPr>
      <w:r>
        <w:rPr>
          <w:color w:val="auto"/>
        </w:rPr>
        <w:t>2.5.1产业政策相符性分析</w:t>
      </w:r>
    </w:p>
    <w:p w14:paraId="675E9A0A">
      <w:pPr>
        <w:spacing w:before="78" w:line="360" w:lineRule="auto"/>
        <w:ind w:firstLine="480" w:firstLineChars="200"/>
        <w:rPr>
          <w:sz w:val="24"/>
        </w:rPr>
      </w:pPr>
      <w:r>
        <w:rPr>
          <w:kern w:val="0"/>
          <w:sz w:val="24"/>
        </w:rPr>
        <w:t>根据《产业结构调整指导目录（2024年本）》，本项目属于“鼓励类”四十</w:t>
      </w:r>
      <w:r>
        <w:rPr>
          <w:rFonts w:hint="eastAsia"/>
          <w:kern w:val="0"/>
          <w:sz w:val="24"/>
        </w:rPr>
        <w:t>二</w:t>
      </w:r>
      <w:r>
        <w:rPr>
          <w:kern w:val="0"/>
          <w:sz w:val="24"/>
        </w:rPr>
        <w:t>、环境保护与资源节约综合利用</w:t>
      </w:r>
      <w:r>
        <w:rPr>
          <w:rFonts w:hint="eastAsia"/>
          <w:kern w:val="0"/>
          <w:sz w:val="24"/>
        </w:rPr>
        <w:t>12．低品位、复杂、难处理矿开发及综合利用技术与设备，共生、伴生矿产提取有价元素及资源综合利用技术，矿产资源节约和综合利用先进适用技术的开发和应用</w:t>
      </w:r>
      <w:r>
        <w:rPr>
          <w:kern w:val="0"/>
          <w:sz w:val="24"/>
        </w:rPr>
        <w:t>，符合国家相关产业政策</w:t>
      </w:r>
      <w:r>
        <w:rPr>
          <w:sz w:val="24"/>
        </w:rPr>
        <w:t>。</w:t>
      </w:r>
    </w:p>
    <w:p w14:paraId="51DAAF00">
      <w:pPr>
        <w:pStyle w:val="5"/>
        <w:spacing w:before="78"/>
        <w:rPr>
          <w:color w:val="auto"/>
        </w:rPr>
      </w:pPr>
      <w:r>
        <w:rPr>
          <w:rFonts w:hint="eastAsia"/>
          <w:color w:val="auto"/>
        </w:rPr>
        <w:t>2.5.2生态环境分区管控相符性分析</w:t>
      </w:r>
    </w:p>
    <w:p w14:paraId="51A93ACC">
      <w:pPr>
        <w:autoSpaceDE w:val="0"/>
        <w:autoSpaceDN w:val="0"/>
        <w:spacing w:before="78" w:line="360" w:lineRule="auto"/>
        <w:ind w:firstLine="480" w:firstLineChars="200"/>
        <w:textAlignment w:val="bottom"/>
        <w:rPr>
          <w:kern w:val="0"/>
          <w:sz w:val="24"/>
        </w:rPr>
      </w:pPr>
      <w:r>
        <w:rPr>
          <w:kern w:val="0"/>
          <w:sz w:val="24"/>
        </w:rPr>
        <w:t>根据</w:t>
      </w:r>
      <w:r>
        <w:rPr>
          <w:rFonts w:hint="eastAsia"/>
          <w:kern w:val="0"/>
          <w:sz w:val="24"/>
        </w:rPr>
        <w:t>《关于发布阜新市生态环境分区管控动态更新成果的通知》（2024年12月13日）</w:t>
      </w:r>
      <w:r>
        <w:rPr>
          <w:kern w:val="0"/>
          <w:sz w:val="24"/>
        </w:rPr>
        <w:t>，本项目与阜新市环境管控单元分布图的位置关系见图2.5-1。相符性分析见表2.5-</w:t>
      </w:r>
      <w:r>
        <w:rPr>
          <w:rFonts w:hint="eastAsia"/>
          <w:kern w:val="0"/>
          <w:sz w:val="24"/>
        </w:rPr>
        <w:t>1</w:t>
      </w:r>
      <w:r>
        <w:rPr>
          <w:kern w:val="0"/>
          <w:sz w:val="24"/>
        </w:rPr>
        <w:t>。</w:t>
      </w:r>
    </w:p>
    <w:p w14:paraId="3E927012">
      <w:pPr>
        <w:spacing w:before="78"/>
        <w:ind w:firstLine="422" w:firstLineChars="200"/>
        <w:jc w:val="center"/>
        <w:rPr>
          <w:b/>
          <w:szCs w:val="21"/>
        </w:rPr>
      </w:pPr>
      <w:r>
        <w:rPr>
          <w:b/>
          <w:szCs w:val="21"/>
        </w:rPr>
        <w:t>表2.5-</w:t>
      </w:r>
      <w:r>
        <w:rPr>
          <w:rFonts w:hint="eastAsia"/>
          <w:b/>
          <w:szCs w:val="21"/>
        </w:rPr>
        <w:t>1</w:t>
      </w:r>
      <w:r>
        <w:rPr>
          <w:b/>
          <w:szCs w:val="21"/>
        </w:rPr>
        <w:t xml:space="preserve"> </w:t>
      </w:r>
      <w:r>
        <w:rPr>
          <w:rFonts w:hint="eastAsia"/>
          <w:b/>
          <w:szCs w:val="21"/>
        </w:rPr>
        <w:t xml:space="preserve">   </w:t>
      </w:r>
      <w:r>
        <w:rPr>
          <w:b/>
          <w:szCs w:val="21"/>
        </w:rPr>
        <w:t>阜新市</w:t>
      </w:r>
      <w:r>
        <w:rPr>
          <w:rFonts w:hint="eastAsia"/>
          <w:b/>
          <w:szCs w:val="21"/>
        </w:rPr>
        <w:t>生态环境</w:t>
      </w:r>
      <w:r>
        <w:rPr>
          <w:b/>
          <w:szCs w:val="21"/>
        </w:rPr>
        <w:t>分区管控符合性分析</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28" w:type="dxa"/>
          <w:bottom w:w="0" w:type="dxa"/>
          <w:right w:w="28" w:type="dxa"/>
        </w:tblCellMar>
      </w:tblPr>
      <w:tblGrid>
        <w:gridCol w:w="5816"/>
        <w:gridCol w:w="1773"/>
        <w:gridCol w:w="723"/>
      </w:tblGrid>
      <w:tr w14:paraId="424B890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3497" w:type="pct"/>
            <w:vAlign w:val="center"/>
          </w:tcPr>
          <w:p w14:paraId="12E24513">
            <w:pPr>
              <w:tabs>
                <w:tab w:val="center" w:pos="4153"/>
                <w:tab w:val="right" w:pos="8306"/>
              </w:tabs>
              <w:snapToGrid w:val="0"/>
              <w:spacing w:before="0" w:beforeLines="0" w:line="240" w:lineRule="auto"/>
              <w:jc w:val="center"/>
              <w:rPr>
                <w:b/>
                <w:bCs/>
                <w:kern w:val="0"/>
                <w:szCs w:val="21"/>
              </w:rPr>
            </w:pPr>
            <w:r>
              <w:rPr>
                <w:b/>
                <w:szCs w:val="21"/>
              </w:rPr>
              <w:t>分区管控</w:t>
            </w:r>
          </w:p>
        </w:tc>
        <w:tc>
          <w:tcPr>
            <w:tcW w:w="1066" w:type="pct"/>
            <w:vAlign w:val="center"/>
          </w:tcPr>
          <w:p w14:paraId="0D8097E9">
            <w:pPr>
              <w:tabs>
                <w:tab w:val="center" w:pos="4153"/>
                <w:tab w:val="right" w:pos="8306"/>
              </w:tabs>
              <w:snapToGrid w:val="0"/>
              <w:spacing w:before="0" w:beforeLines="0" w:line="240" w:lineRule="auto"/>
              <w:jc w:val="center"/>
              <w:rPr>
                <w:b/>
                <w:bCs/>
                <w:kern w:val="0"/>
                <w:szCs w:val="21"/>
              </w:rPr>
            </w:pPr>
            <w:r>
              <w:rPr>
                <w:b/>
                <w:szCs w:val="21"/>
              </w:rPr>
              <w:t>本项目情况</w:t>
            </w:r>
          </w:p>
        </w:tc>
        <w:tc>
          <w:tcPr>
            <w:tcW w:w="435" w:type="pct"/>
            <w:vAlign w:val="center"/>
          </w:tcPr>
          <w:p w14:paraId="19508D5B">
            <w:pPr>
              <w:tabs>
                <w:tab w:val="center" w:pos="4153"/>
                <w:tab w:val="right" w:pos="8306"/>
              </w:tabs>
              <w:snapToGrid w:val="0"/>
              <w:spacing w:before="0" w:beforeLines="0" w:line="240" w:lineRule="auto"/>
              <w:jc w:val="center"/>
              <w:rPr>
                <w:b/>
                <w:bCs/>
                <w:kern w:val="0"/>
                <w:szCs w:val="21"/>
              </w:rPr>
            </w:pPr>
            <w:r>
              <w:rPr>
                <w:b/>
                <w:szCs w:val="21"/>
              </w:rPr>
              <w:t>符合性</w:t>
            </w:r>
          </w:p>
        </w:tc>
      </w:tr>
      <w:tr w14:paraId="73BB6B8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3497" w:type="pct"/>
            <w:vAlign w:val="center"/>
          </w:tcPr>
          <w:p w14:paraId="66D437B1">
            <w:pPr>
              <w:autoSpaceDE w:val="0"/>
              <w:autoSpaceDN w:val="0"/>
              <w:adjustRightInd w:val="0"/>
              <w:snapToGrid w:val="0"/>
              <w:spacing w:before="0" w:beforeLines="0" w:line="240" w:lineRule="auto"/>
              <w:jc w:val="left"/>
              <w:rPr>
                <w:kern w:val="0"/>
                <w:szCs w:val="21"/>
              </w:rPr>
            </w:pPr>
            <w:r>
              <w:rPr>
                <w:rFonts w:hint="eastAsia"/>
                <w:szCs w:val="21"/>
              </w:rPr>
              <w:t>阜新市共划定陆域环境管控单元97个。其中优先保护单元52个，面积为2683.89平方公里，占全市面积比例25.98%；重点管控单元43个，面积为2491.78平方公里，占全市面积比例为24.12%；一般管控单元共2个，面积为5153.64平方千米，占全市面积49.89%。</w:t>
            </w:r>
          </w:p>
        </w:tc>
        <w:tc>
          <w:tcPr>
            <w:tcW w:w="1066" w:type="pct"/>
            <w:vAlign w:val="center"/>
          </w:tcPr>
          <w:p w14:paraId="766967F3">
            <w:pPr>
              <w:tabs>
                <w:tab w:val="center" w:pos="4153"/>
                <w:tab w:val="right" w:pos="8306"/>
              </w:tabs>
              <w:adjustRightInd w:val="0"/>
              <w:snapToGrid w:val="0"/>
              <w:spacing w:before="0" w:beforeLines="0" w:line="240" w:lineRule="auto"/>
              <w:jc w:val="left"/>
              <w:rPr>
                <w:b/>
                <w:kern w:val="0"/>
                <w:szCs w:val="21"/>
              </w:rPr>
            </w:pPr>
            <w:r>
              <w:rPr>
                <w:szCs w:val="21"/>
              </w:rPr>
              <w:t>经查询</w:t>
            </w:r>
            <w:r>
              <w:rPr>
                <w:rFonts w:hint="eastAsia"/>
                <w:szCs w:val="21"/>
              </w:rPr>
              <w:t>本项目</w:t>
            </w:r>
            <w:r>
              <w:rPr>
                <w:szCs w:val="21"/>
              </w:rPr>
              <w:t>属于</w:t>
            </w:r>
            <w:r>
              <w:rPr>
                <w:kern w:val="24"/>
                <w:szCs w:val="21"/>
              </w:rPr>
              <w:t>优先保护区</w:t>
            </w:r>
            <w:r>
              <w:rPr>
                <w:szCs w:val="21"/>
              </w:rPr>
              <w:t>ZH21092110033，本项目</w:t>
            </w:r>
            <w:r>
              <w:rPr>
                <w:rFonts w:hint="eastAsia"/>
                <w:szCs w:val="21"/>
              </w:rPr>
              <w:t>租用亿升达铁选厂用地，用地性质为采矿用地，调整后为工业用地，符合用地要求</w:t>
            </w:r>
            <w:r>
              <w:rPr>
                <w:szCs w:val="21"/>
              </w:rPr>
              <w:t>。</w:t>
            </w:r>
          </w:p>
        </w:tc>
        <w:tc>
          <w:tcPr>
            <w:tcW w:w="435" w:type="pct"/>
            <w:vAlign w:val="center"/>
          </w:tcPr>
          <w:p w14:paraId="44C5CFA3">
            <w:pPr>
              <w:tabs>
                <w:tab w:val="center" w:pos="4153"/>
                <w:tab w:val="right" w:pos="8306"/>
              </w:tabs>
              <w:adjustRightInd w:val="0"/>
              <w:snapToGrid w:val="0"/>
              <w:spacing w:before="0" w:beforeLines="0" w:line="240" w:lineRule="auto"/>
              <w:jc w:val="center"/>
              <w:rPr>
                <w:kern w:val="0"/>
                <w:szCs w:val="21"/>
              </w:rPr>
            </w:pPr>
            <w:r>
              <w:rPr>
                <w:szCs w:val="21"/>
              </w:rPr>
              <w:t>符合</w:t>
            </w:r>
          </w:p>
        </w:tc>
      </w:tr>
      <w:tr w14:paraId="1CBB4ED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3497" w:type="pct"/>
            <w:vAlign w:val="center"/>
          </w:tcPr>
          <w:p w14:paraId="781895D8">
            <w:pPr>
              <w:snapToGrid w:val="0"/>
              <w:spacing w:before="0" w:beforeLines="0" w:line="240" w:lineRule="auto"/>
              <w:rPr>
                <w:szCs w:val="21"/>
              </w:rPr>
            </w:pPr>
            <w:r>
              <w:rPr>
                <w:szCs w:val="21"/>
              </w:rPr>
              <w:t>根据划定环境管控单元的类型特征，从空间布局约束、污染物排放管控、环境风险防控和资源利用效率等四方面制定针对性的生态环境准入要求，建立“1+N”生态环境准入清单管控体系。</w:t>
            </w:r>
          </w:p>
          <w:p w14:paraId="62397913">
            <w:pPr>
              <w:snapToGrid w:val="0"/>
              <w:spacing w:before="0" w:beforeLines="0" w:line="240" w:lineRule="auto"/>
              <w:rPr>
                <w:szCs w:val="21"/>
              </w:rPr>
            </w:pPr>
            <w:r>
              <w:rPr>
                <w:szCs w:val="21"/>
              </w:rPr>
              <w:t>1.优先保护单元。以生态环境保护优先为原则，禁止或限制开发建设活动，严守生态环境底线，确保生态功能不降低。</w:t>
            </w:r>
          </w:p>
          <w:p w14:paraId="51E6C69C">
            <w:pPr>
              <w:snapToGrid w:val="0"/>
              <w:spacing w:before="0" w:beforeLines="0" w:line="240" w:lineRule="auto"/>
              <w:rPr>
                <w:szCs w:val="21"/>
              </w:rPr>
            </w:pPr>
            <w:r>
              <w:rPr>
                <w:szCs w:val="21"/>
              </w:rPr>
              <w:t>2.重点管控单元。工业集聚区以严格环境准入、产业合理布局、推动产业转型升级、完善环境基础设施建设、强化污染物减排、提升资源利用效率为重点；人口集中区以绿色低碳发展、降低资源环境负荷、强化区域精细化管理为重点；环境质量超标区以加强环境污染治理、提升环境基础设施水平、着力管控生态环境风险为重点。</w:t>
            </w:r>
          </w:p>
          <w:p w14:paraId="1D5E406A">
            <w:pPr>
              <w:tabs>
                <w:tab w:val="center" w:pos="4153"/>
                <w:tab w:val="right" w:pos="8306"/>
              </w:tabs>
              <w:adjustRightInd w:val="0"/>
              <w:snapToGrid w:val="0"/>
              <w:spacing w:before="0" w:beforeLines="0" w:line="240" w:lineRule="auto"/>
              <w:jc w:val="center"/>
              <w:rPr>
                <w:kern w:val="0"/>
                <w:szCs w:val="21"/>
              </w:rPr>
            </w:pPr>
            <w:r>
              <w:rPr>
                <w:szCs w:val="21"/>
              </w:rPr>
              <w:t>3.一般管控单元。以促进生产、生活、生态功能的协调融合为导向，执行生态环境保护的基本要求。根据资源环境承载能力，引导产业科学布局，合理控制开发强度，维护生态环境功能稳定。</w:t>
            </w:r>
          </w:p>
        </w:tc>
        <w:tc>
          <w:tcPr>
            <w:tcW w:w="1066" w:type="pct"/>
            <w:vAlign w:val="center"/>
          </w:tcPr>
          <w:p w14:paraId="43D9F202">
            <w:pPr>
              <w:tabs>
                <w:tab w:val="center" w:pos="4153"/>
                <w:tab w:val="right" w:pos="8306"/>
              </w:tabs>
              <w:snapToGrid w:val="0"/>
              <w:spacing w:before="0" w:beforeLines="0" w:line="240" w:lineRule="auto"/>
              <w:jc w:val="left"/>
              <w:rPr>
                <w:bCs/>
                <w:kern w:val="0"/>
                <w:szCs w:val="21"/>
              </w:rPr>
            </w:pPr>
            <w:r>
              <w:rPr>
                <w:szCs w:val="21"/>
              </w:rPr>
              <w:t>本项目位于优先保护单元，主要污染物为筛分、破碎、磁选、物料装卸、运输等工序排放粉尘，设备噪声，泥饼、除尘灰及落地灰等固废，不会对周围生态环境产生影响，在落实各项环保措施及要求后，对环境影响较小。</w:t>
            </w:r>
          </w:p>
        </w:tc>
        <w:tc>
          <w:tcPr>
            <w:tcW w:w="435" w:type="pct"/>
            <w:vAlign w:val="center"/>
          </w:tcPr>
          <w:p w14:paraId="1B2605DA">
            <w:pPr>
              <w:tabs>
                <w:tab w:val="center" w:pos="4153"/>
                <w:tab w:val="right" w:pos="8306"/>
              </w:tabs>
              <w:adjustRightInd w:val="0"/>
              <w:snapToGrid w:val="0"/>
              <w:spacing w:before="0" w:beforeLines="0" w:line="240" w:lineRule="auto"/>
              <w:jc w:val="center"/>
              <w:rPr>
                <w:kern w:val="0"/>
                <w:szCs w:val="21"/>
              </w:rPr>
            </w:pPr>
            <w:r>
              <w:rPr>
                <w:szCs w:val="21"/>
              </w:rPr>
              <w:t>符合</w:t>
            </w:r>
          </w:p>
        </w:tc>
      </w:tr>
    </w:tbl>
    <w:p w14:paraId="58CC755B">
      <w:pPr>
        <w:pStyle w:val="53"/>
        <w:spacing w:before="0" w:beforeLines="0" w:after="0" w:line="240" w:lineRule="auto"/>
        <w:ind w:left="0" w:leftChars="0"/>
        <w:jc w:val="center"/>
      </w:pPr>
      <w:r>
        <mc:AlternateContent>
          <mc:Choice Requires="wps">
            <w:drawing>
              <wp:anchor distT="0" distB="0" distL="114300" distR="114300" simplePos="0" relativeHeight="251661312" behindDoc="0" locked="0" layoutInCell="1" allowOverlap="1">
                <wp:simplePos x="0" y="0"/>
                <wp:positionH relativeFrom="column">
                  <wp:posOffset>1906270</wp:posOffset>
                </wp:positionH>
                <wp:positionV relativeFrom="paragraph">
                  <wp:posOffset>1256665</wp:posOffset>
                </wp:positionV>
                <wp:extent cx="638175" cy="270510"/>
                <wp:effectExtent l="266700" t="0" r="9525" b="205740"/>
                <wp:wrapNone/>
                <wp:docPr id="1519485628" name="对话气泡: 矩形 46"/>
                <wp:cNvGraphicFramePr/>
                <a:graphic xmlns:a="http://schemas.openxmlformats.org/drawingml/2006/main">
                  <a:graphicData uri="http://schemas.microsoft.com/office/word/2010/wordprocessingShape">
                    <wps:wsp>
                      <wps:cNvSpPr/>
                      <wps:spPr>
                        <a:xfrm>
                          <a:off x="0" y="0"/>
                          <a:ext cx="638175" cy="270510"/>
                        </a:xfrm>
                        <a:prstGeom prst="wedgeRectCallout">
                          <a:avLst>
                            <a:gd name="adj1" fmla="val -84711"/>
                            <a:gd name="adj2" fmla="val 114966"/>
                          </a:avLst>
                        </a:prstGeom>
                        <a:solidFill>
                          <a:sysClr val="window" lastClr="FFFFFF"/>
                        </a:solidFill>
                        <a:ln w="12700" cap="flat" cmpd="sng" algn="ctr">
                          <a:solidFill>
                            <a:srgbClr val="FF0000"/>
                          </a:solidFill>
                          <a:prstDash val="solid"/>
                          <a:miter lim="800000"/>
                        </a:ln>
                        <a:effectLst/>
                      </wps:spPr>
                      <wps:txbx>
                        <w:txbxContent>
                          <w:p w14:paraId="07F8B8D4">
                            <w:pPr>
                              <w:spacing w:before="0" w:beforeLines="0" w:line="240" w:lineRule="auto"/>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本项目</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对话气泡: 矩形 46" o:spid="_x0000_s1026" o:spt="61" type="#_x0000_t61" style="position:absolute;left:0pt;margin-left:150.1pt;margin-top:98.95pt;height:21.3pt;width:50.25pt;z-index:251661312;v-text-anchor:middle;mso-width-relative:page;mso-height-relative:page;" fillcolor="#FFFFFF" filled="t" stroked="t" coordsize="21600,21600" o:gfxdata="UEsDBAoAAAAAAIdO4kAAAAAAAAAAAAAAAAAEAAAAZHJzL1BLAwQUAAAACACHTuJA+/P2HdsAAAAL&#10;AQAADwAAAGRycy9kb3ducmV2LnhtbE2PwU7DMBBE70j8g7VI3Kjd0NA0xKkEEnCpoIRWXN3YTSLi&#10;dWS7afh7lhMcV/M087ZYT7Zno/GhcyhhPhPADNZOd9hI2H083WTAQlSoVe/QSPg2Adbl5UWhcu3O&#10;+G7GKjaMSjDkSkIb45BzHurWWBVmbjBI2dF5qyKdvuHaqzOV254nQtxxqzqkhVYN5rE19Vd1shLS&#10;5vn1IT1On+N+u9lm09vmpfKZlNdXc3EPLJop/sHwq0/qUJLTwZ1QB9ZLuBUiIZSC1XIFjIiFEEtg&#10;BwnJQqTAy4L//6H8AVBLAwQUAAAACACHTuJAIZBTjNQCAACTBQAADgAAAGRycy9lMm9Eb2MueG1s&#10;rVTNbhMxEL4j8Q6W7+1mQ/4adVNFiYKQKlpREGfH69018h+2k014Dq4IwY1TkThx4HFaeAzG3m2a&#10;lh56IIfNjMeeme+bn+OTjRRozazjWmU4PexgxBTVOVdlht+8XhyMMHKeqJwIrViGt8zhk8nTJ8e1&#10;GbOurrTImUXgRLlxbTJceW/GSeJoxSRxh9owBcZCW0k8qLZMcktq8C5F0u10BkmtbW6spsw5OJ03&#10;Rtx6tI9xqIuCUzbXdCWZ8o1XywTxAMlV3Dg8idkWBaP+rCgc80hkGJD6+IUgIC/DN5kck3Fpiak4&#10;bVMgj0nhHiZJuIKgO1dz4glaWf6PK8mp1U4X/pBqmTRAIiOAIu3c4+aiIoZFLEC1MzvS3f9zS1+u&#10;zy3iOXRCPz3qjfqDLtRfEQmVv7r8+efy0/X3j9c/vozR78/frn59Rb1B4Kw2bgxPL8y5bTUHYiBg&#10;U1gZ/gEa2kSetzue2cYjCoeDZ6N02MeIgqk77PTTWIfk9rGxzj9nWqIgZLhmecleQS1nRAi98pFp&#10;sj51PlKet/mS/F2KUSEFVHBNBDoY9YZp2pZ471J3/1Ka9o4GERPEb32CdJNBCOC04PmCCxGVrZsJ&#10;i8A/5MVVrmuMBHEeDjO8iL8QEVzceSYUqoFjQAudRwnMTQH9CqI0wL1TJUZElDCQ1NsI785rZ8vl&#10;Lupi0YHfQ0FC0nPiqia76KFBL7mHmRVcZngUHt+8FipAYnFOgM2Qd6hsU8sg+c1y0xZ4qfMttIrV&#10;zQw5Qxcc4p0C9nNigXIABmvFn8GnEBrQ6lbCqNL2w0Pn4T70MlgxqmEIgYn3K2IZUPpCQZcfpb1e&#10;mNqo9PrDLih237Lct6iVnGkoCzQBZBfFcN+LG7GwWr6F7TMNUcFEFIXYDeetMvPNcoD9Rdl0Gq/B&#10;pBriT9WFocF5oEzp6crrgu8oa9hp+YNZjR3Q7pWwDPb1eOt2l07+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EgFAABbQ29udGVudF9UeXBlc10u&#10;eG1sUEsBAhQACgAAAAAAh07iQAAAAAAAAAAAAAAAAAYAAAAAAAAAAAAQAAAAKgQAAF9yZWxzL1BL&#10;AQIUABQAAAAIAIdO4kCKFGY80QAAAJQBAAALAAAAAAAAAAEAIAAAAE4EAABfcmVscy8ucmVsc1BL&#10;AQIUAAoAAAAAAIdO4kAAAAAAAAAAAAAAAAAEAAAAAAAAAAAAEAAAAAAAAABkcnMvUEsBAhQAFAAA&#10;AAgAh07iQPvz9h3bAAAACwEAAA8AAAAAAAAAAQAgAAAAIgAAAGRycy9kb3ducmV2LnhtbFBLAQIU&#10;ABQAAAAIAIdO4kAhkFOM1AIAAJMFAAAOAAAAAAAAAAEAIAAAACoBAABkcnMvZTJvRG9jLnhtbFBL&#10;BQYAAAAABgAGAFkBAABwBgAAAAA=&#10;" adj="-7498,35633">
                <v:fill on="t" focussize="0,0"/>
                <v:stroke weight="1pt" color="#FF0000" miterlimit="8" joinstyle="miter"/>
                <v:imagedata o:title=""/>
                <o:lock v:ext="edit" aspectratio="f"/>
                <v:textbox>
                  <w:txbxContent>
                    <w:p w14:paraId="07F8B8D4">
                      <w:pPr>
                        <w:spacing w:before="0" w:beforeLines="0" w:line="240" w:lineRule="auto"/>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本项目</w:t>
                      </w:r>
                    </w:p>
                  </w:txbxContent>
                </v:textbox>
              </v:shape>
            </w:pict>
          </mc:Fallback>
        </mc:AlternateContent>
      </w:r>
      <w:r>
        <w:drawing>
          <wp:inline distT="0" distB="0" distL="0" distR="0">
            <wp:extent cx="5278120" cy="3714750"/>
            <wp:effectExtent l="0" t="0" r="0" b="0"/>
            <wp:docPr id="1560985315" name="图片 1" descr="地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985315" name="图片 1" descr="地图&#10;&#10;描述已自动生成"/>
                    <pic:cNvPicPr>
                      <a:picLocks noChangeAspect="1"/>
                    </pic:cNvPicPr>
                  </pic:nvPicPr>
                  <pic:blipFill>
                    <a:blip r:embed="rId33"/>
                    <a:stretch>
                      <a:fillRect/>
                    </a:stretch>
                  </pic:blipFill>
                  <pic:spPr>
                    <a:xfrm>
                      <a:off x="0" y="0"/>
                      <a:ext cx="5278120" cy="3714750"/>
                    </a:xfrm>
                    <a:prstGeom prst="rect">
                      <a:avLst/>
                    </a:prstGeom>
                  </pic:spPr>
                </pic:pic>
              </a:graphicData>
            </a:graphic>
          </wp:inline>
        </w:drawing>
      </w:r>
    </w:p>
    <w:p w14:paraId="36BF0970">
      <w:pPr>
        <w:spacing w:before="78" w:line="360" w:lineRule="auto"/>
        <w:jc w:val="center"/>
        <w:rPr>
          <w:b/>
          <w:bCs/>
        </w:rPr>
      </w:pPr>
      <w:r>
        <w:rPr>
          <w:b/>
          <w:bCs/>
        </w:rPr>
        <w:t>图2.5-1  本项目与阜新</w:t>
      </w:r>
      <w:r>
        <w:rPr>
          <w:rFonts w:hint="eastAsia"/>
          <w:b/>
          <w:bCs/>
        </w:rPr>
        <w:t>生态环境分区管控</w:t>
      </w:r>
      <w:r>
        <w:rPr>
          <w:b/>
          <w:bCs/>
        </w:rPr>
        <w:t>位置关系图</w:t>
      </w:r>
    </w:p>
    <w:p w14:paraId="59D9DE4F">
      <w:pPr>
        <w:autoSpaceDE w:val="0"/>
        <w:autoSpaceDN w:val="0"/>
        <w:spacing w:before="78" w:line="360" w:lineRule="auto"/>
        <w:ind w:firstLine="480" w:firstLineChars="200"/>
        <w:textAlignment w:val="bottom"/>
        <w:rPr>
          <w:kern w:val="24"/>
          <w:sz w:val="24"/>
        </w:rPr>
      </w:pPr>
      <w:r>
        <w:rPr>
          <w:kern w:val="24"/>
          <w:sz w:val="24"/>
        </w:rPr>
        <w:t>经查询，本项目位于阜新蒙古族自治县优先保护区ZH21092110033。具体符合性分析，见表2.5-</w:t>
      </w:r>
      <w:r>
        <w:rPr>
          <w:rFonts w:hint="eastAsia"/>
          <w:kern w:val="24"/>
          <w:sz w:val="24"/>
        </w:rPr>
        <w:t>2</w:t>
      </w:r>
      <w:r>
        <w:rPr>
          <w:kern w:val="24"/>
          <w:sz w:val="24"/>
        </w:rPr>
        <w:t>。</w:t>
      </w:r>
    </w:p>
    <w:p w14:paraId="163267A0">
      <w:pPr>
        <w:widowControl/>
        <w:adjustRightInd w:val="0"/>
        <w:snapToGrid w:val="0"/>
        <w:spacing w:before="62" w:beforeLines="20" w:line="240" w:lineRule="auto"/>
        <w:jc w:val="center"/>
        <w:rPr>
          <w:b/>
          <w:bCs/>
          <w:spacing w:val="-4"/>
          <w:kern w:val="24"/>
          <w:szCs w:val="21"/>
        </w:rPr>
      </w:pPr>
      <w:r>
        <w:rPr>
          <w:b/>
          <w:bCs/>
          <w:spacing w:val="-4"/>
          <w:kern w:val="24"/>
          <w:szCs w:val="21"/>
        </w:rPr>
        <w:t>表2.5-</w:t>
      </w:r>
      <w:r>
        <w:rPr>
          <w:rFonts w:hint="eastAsia"/>
          <w:b/>
          <w:bCs/>
          <w:spacing w:val="-4"/>
          <w:kern w:val="24"/>
          <w:szCs w:val="21"/>
        </w:rPr>
        <w:t>2</w:t>
      </w:r>
      <w:r>
        <w:rPr>
          <w:b/>
          <w:bCs/>
          <w:spacing w:val="-4"/>
          <w:kern w:val="24"/>
          <w:szCs w:val="21"/>
        </w:rPr>
        <w:t xml:space="preserve">  项目与“阜新市生态环境分区生态环境准入清单”符合性分析</w:t>
      </w:r>
    </w:p>
    <w:tbl>
      <w:tblPr>
        <w:tblStyle w:val="89"/>
        <w:tblW w:w="508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28" w:type="dxa"/>
          <w:bottom w:w="0" w:type="dxa"/>
          <w:right w:w="28" w:type="dxa"/>
        </w:tblCellMar>
      </w:tblPr>
      <w:tblGrid>
        <w:gridCol w:w="709"/>
        <w:gridCol w:w="4336"/>
        <w:gridCol w:w="2743"/>
        <w:gridCol w:w="657"/>
      </w:tblGrid>
      <w:tr w14:paraId="493ABF1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69" w:hRule="atLeast"/>
          <w:tblHeader/>
          <w:jc w:val="center"/>
        </w:trPr>
        <w:tc>
          <w:tcPr>
            <w:tcW w:w="420" w:type="pct"/>
            <w:vAlign w:val="center"/>
          </w:tcPr>
          <w:p w14:paraId="26BE2052">
            <w:pPr>
              <w:autoSpaceDE w:val="0"/>
              <w:autoSpaceDN w:val="0"/>
              <w:adjustRightInd w:val="0"/>
              <w:snapToGrid w:val="0"/>
              <w:spacing w:before="0" w:beforeLines="0" w:line="240" w:lineRule="auto"/>
              <w:jc w:val="left"/>
              <w:rPr>
                <w:szCs w:val="21"/>
              </w:rPr>
            </w:pPr>
            <w:r>
              <w:rPr>
                <w:szCs w:val="21"/>
              </w:rPr>
              <w:t>管控</w:t>
            </w:r>
          </w:p>
          <w:p w14:paraId="66EAB04B">
            <w:pPr>
              <w:autoSpaceDE w:val="0"/>
              <w:autoSpaceDN w:val="0"/>
              <w:adjustRightInd w:val="0"/>
              <w:snapToGrid w:val="0"/>
              <w:spacing w:before="0" w:beforeLines="0" w:line="240" w:lineRule="auto"/>
              <w:jc w:val="left"/>
              <w:rPr>
                <w:szCs w:val="21"/>
              </w:rPr>
            </w:pPr>
            <w:r>
              <w:rPr>
                <w:szCs w:val="21"/>
              </w:rPr>
              <w:t>类别</w:t>
            </w:r>
          </w:p>
        </w:tc>
        <w:tc>
          <w:tcPr>
            <w:tcW w:w="2567" w:type="pct"/>
            <w:vAlign w:val="center"/>
          </w:tcPr>
          <w:p w14:paraId="547A2A86">
            <w:pPr>
              <w:autoSpaceDE w:val="0"/>
              <w:autoSpaceDN w:val="0"/>
              <w:adjustRightInd w:val="0"/>
              <w:snapToGrid w:val="0"/>
              <w:spacing w:before="0" w:beforeLines="0" w:line="240" w:lineRule="auto"/>
              <w:jc w:val="center"/>
              <w:rPr>
                <w:szCs w:val="21"/>
              </w:rPr>
            </w:pPr>
            <w:r>
              <w:rPr>
                <w:szCs w:val="21"/>
              </w:rPr>
              <w:t>管控要求</w:t>
            </w:r>
          </w:p>
        </w:tc>
        <w:tc>
          <w:tcPr>
            <w:tcW w:w="1624" w:type="pct"/>
            <w:vAlign w:val="center"/>
          </w:tcPr>
          <w:p w14:paraId="6DBE4B7E">
            <w:pPr>
              <w:autoSpaceDE w:val="0"/>
              <w:autoSpaceDN w:val="0"/>
              <w:adjustRightInd w:val="0"/>
              <w:snapToGrid w:val="0"/>
              <w:spacing w:before="0" w:beforeLines="0" w:line="240" w:lineRule="auto"/>
              <w:jc w:val="center"/>
              <w:rPr>
                <w:szCs w:val="21"/>
              </w:rPr>
            </w:pPr>
            <w:r>
              <w:rPr>
                <w:szCs w:val="21"/>
              </w:rPr>
              <w:t>本项目实施情况</w:t>
            </w:r>
          </w:p>
        </w:tc>
        <w:tc>
          <w:tcPr>
            <w:tcW w:w="390" w:type="pct"/>
            <w:vAlign w:val="center"/>
          </w:tcPr>
          <w:p w14:paraId="3863016F">
            <w:pPr>
              <w:autoSpaceDE w:val="0"/>
              <w:autoSpaceDN w:val="0"/>
              <w:adjustRightInd w:val="0"/>
              <w:snapToGrid w:val="0"/>
              <w:spacing w:before="0" w:beforeLines="0" w:line="240" w:lineRule="auto"/>
              <w:jc w:val="left"/>
              <w:rPr>
                <w:szCs w:val="21"/>
              </w:rPr>
            </w:pPr>
            <w:r>
              <w:rPr>
                <w:szCs w:val="21"/>
              </w:rPr>
              <w:t>符合性</w:t>
            </w:r>
          </w:p>
        </w:tc>
      </w:tr>
      <w:tr w14:paraId="2B6418E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69" w:hRule="atLeast"/>
          <w:jc w:val="center"/>
        </w:trPr>
        <w:tc>
          <w:tcPr>
            <w:tcW w:w="420" w:type="pct"/>
            <w:vAlign w:val="center"/>
          </w:tcPr>
          <w:p w14:paraId="6DC19EEF">
            <w:pPr>
              <w:autoSpaceDE w:val="0"/>
              <w:autoSpaceDN w:val="0"/>
              <w:adjustRightInd w:val="0"/>
              <w:snapToGrid w:val="0"/>
              <w:spacing w:before="0" w:beforeLines="0" w:line="240" w:lineRule="auto"/>
              <w:jc w:val="left"/>
              <w:rPr>
                <w:szCs w:val="21"/>
              </w:rPr>
            </w:pPr>
            <w:r>
              <w:rPr>
                <w:szCs w:val="21"/>
              </w:rPr>
              <w:t>空间布局约束</w:t>
            </w:r>
          </w:p>
        </w:tc>
        <w:tc>
          <w:tcPr>
            <w:tcW w:w="2567" w:type="pct"/>
            <w:vAlign w:val="center"/>
          </w:tcPr>
          <w:p w14:paraId="37FB1EE7">
            <w:pPr>
              <w:autoSpaceDE w:val="0"/>
              <w:autoSpaceDN w:val="0"/>
              <w:adjustRightInd w:val="0"/>
              <w:snapToGrid w:val="0"/>
              <w:spacing w:before="0" w:beforeLines="0" w:line="240" w:lineRule="auto"/>
              <w:jc w:val="left"/>
              <w:rPr>
                <w:szCs w:val="21"/>
              </w:rPr>
            </w:pPr>
            <w:r>
              <w:rPr>
                <w:szCs w:val="21"/>
              </w:rPr>
              <w:t xml:space="preserve">1.禁止对野生动植物进行滥捕、乱采、乱猎； </w:t>
            </w:r>
          </w:p>
          <w:p w14:paraId="37DD42EF">
            <w:pPr>
              <w:autoSpaceDE w:val="0"/>
              <w:autoSpaceDN w:val="0"/>
              <w:adjustRightInd w:val="0"/>
              <w:snapToGrid w:val="0"/>
              <w:spacing w:before="0" w:beforeLines="0" w:line="240" w:lineRule="auto"/>
              <w:jc w:val="left"/>
              <w:rPr>
                <w:szCs w:val="21"/>
              </w:rPr>
            </w:pPr>
            <w:r>
              <w:rPr>
                <w:szCs w:val="21"/>
              </w:rPr>
              <w:t xml:space="preserve">2.保护自然生态系统与重要物种栖息地，禁止各种损害栖息地的经济社会活动和生产方式，防止生态建设导致栖息环境的改变； </w:t>
            </w:r>
          </w:p>
          <w:p w14:paraId="3E5D9B73">
            <w:pPr>
              <w:autoSpaceDE w:val="0"/>
              <w:autoSpaceDN w:val="0"/>
              <w:adjustRightInd w:val="0"/>
              <w:snapToGrid w:val="0"/>
              <w:spacing w:before="0" w:beforeLines="0" w:line="240" w:lineRule="auto"/>
              <w:jc w:val="left"/>
              <w:rPr>
                <w:szCs w:val="21"/>
              </w:rPr>
            </w:pPr>
            <w:r>
              <w:rPr>
                <w:szCs w:val="21"/>
              </w:rPr>
              <w:t xml:space="preserve">3.加强对外来物种入侵的控制，禁止在生物多样性保护功能区引进外来物种； </w:t>
            </w:r>
          </w:p>
          <w:p w14:paraId="20ED77CD">
            <w:pPr>
              <w:autoSpaceDE w:val="0"/>
              <w:autoSpaceDN w:val="0"/>
              <w:adjustRightInd w:val="0"/>
              <w:snapToGrid w:val="0"/>
              <w:spacing w:before="0" w:beforeLines="0" w:line="240" w:lineRule="auto"/>
              <w:jc w:val="left"/>
              <w:rPr>
                <w:szCs w:val="21"/>
              </w:rPr>
            </w:pPr>
            <w:r>
              <w:rPr>
                <w:szCs w:val="21"/>
              </w:rPr>
              <w:t>4.禁止对野生动植物进行滥捕滥采，保持并恢复野生动植物和种群的平衡，实现野生动植物资源的良性循环和永续利用。</w:t>
            </w:r>
          </w:p>
        </w:tc>
        <w:tc>
          <w:tcPr>
            <w:tcW w:w="1624" w:type="pct"/>
            <w:vAlign w:val="center"/>
          </w:tcPr>
          <w:p w14:paraId="5119B9FB">
            <w:pPr>
              <w:wordWrap w:val="0"/>
              <w:autoSpaceDE w:val="0"/>
              <w:autoSpaceDN w:val="0"/>
              <w:adjustRightInd w:val="0"/>
              <w:snapToGrid w:val="0"/>
              <w:spacing w:before="0" w:beforeLines="0" w:line="240" w:lineRule="auto"/>
              <w:jc w:val="left"/>
              <w:rPr>
                <w:szCs w:val="21"/>
              </w:rPr>
            </w:pPr>
            <w:r>
              <w:rPr>
                <w:szCs w:val="21"/>
              </w:rPr>
              <w:t>本项目位于阜新蒙古族自治县优先保护区ZH21092110033，租用阜新亿升达铁选厂采矿用地</w:t>
            </w:r>
            <w:r>
              <w:rPr>
                <w:rFonts w:hint="eastAsia"/>
                <w:szCs w:val="21"/>
              </w:rPr>
              <w:t>（调整后为工业用地）</w:t>
            </w:r>
            <w:r>
              <w:rPr>
                <w:szCs w:val="21"/>
              </w:rPr>
              <w:t>进行生产。本项目评价范围内不涉及重要物种栖息地。主要污染物为粉尘，设备噪声，泥饼、除尘灰及落地灰等固废，在落实各项环保措施及要求后，对环境影响较小。</w:t>
            </w:r>
          </w:p>
        </w:tc>
        <w:tc>
          <w:tcPr>
            <w:tcW w:w="390" w:type="pct"/>
            <w:vAlign w:val="center"/>
          </w:tcPr>
          <w:p w14:paraId="6300A919">
            <w:pPr>
              <w:autoSpaceDE w:val="0"/>
              <w:autoSpaceDN w:val="0"/>
              <w:adjustRightInd w:val="0"/>
              <w:snapToGrid w:val="0"/>
              <w:spacing w:before="0" w:beforeLines="0" w:line="240" w:lineRule="auto"/>
              <w:jc w:val="left"/>
              <w:rPr>
                <w:szCs w:val="21"/>
              </w:rPr>
            </w:pPr>
            <w:r>
              <w:rPr>
                <w:szCs w:val="21"/>
              </w:rPr>
              <w:t>符合</w:t>
            </w:r>
          </w:p>
        </w:tc>
      </w:tr>
      <w:tr w14:paraId="37B0CC0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69" w:hRule="atLeast"/>
          <w:jc w:val="center"/>
        </w:trPr>
        <w:tc>
          <w:tcPr>
            <w:tcW w:w="420" w:type="pct"/>
            <w:vAlign w:val="center"/>
          </w:tcPr>
          <w:p w14:paraId="5BE70FCF">
            <w:pPr>
              <w:autoSpaceDE w:val="0"/>
              <w:autoSpaceDN w:val="0"/>
              <w:adjustRightInd w:val="0"/>
              <w:snapToGrid w:val="0"/>
              <w:spacing w:before="0" w:beforeLines="0" w:line="240" w:lineRule="auto"/>
              <w:jc w:val="left"/>
              <w:rPr>
                <w:szCs w:val="21"/>
              </w:rPr>
            </w:pPr>
            <w:r>
              <w:rPr>
                <w:szCs w:val="21"/>
              </w:rPr>
              <w:t>资源开发效率要求</w:t>
            </w:r>
          </w:p>
        </w:tc>
        <w:tc>
          <w:tcPr>
            <w:tcW w:w="2567" w:type="pct"/>
            <w:vAlign w:val="center"/>
          </w:tcPr>
          <w:p w14:paraId="4A565A35">
            <w:pPr>
              <w:autoSpaceDE w:val="0"/>
              <w:autoSpaceDN w:val="0"/>
              <w:adjustRightInd w:val="0"/>
              <w:snapToGrid w:val="0"/>
              <w:spacing w:before="0" w:beforeLines="0" w:line="240" w:lineRule="auto"/>
              <w:jc w:val="center"/>
              <w:rPr>
                <w:szCs w:val="21"/>
              </w:rPr>
            </w:pPr>
            <w:r>
              <w:rPr>
                <w:szCs w:val="21"/>
              </w:rPr>
              <w:t>加强流域治理，补充生态用水量。</w:t>
            </w:r>
          </w:p>
        </w:tc>
        <w:tc>
          <w:tcPr>
            <w:tcW w:w="1624" w:type="pct"/>
            <w:vAlign w:val="center"/>
          </w:tcPr>
          <w:p w14:paraId="6DCF6D35">
            <w:pPr>
              <w:autoSpaceDE w:val="0"/>
              <w:autoSpaceDN w:val="0"/>
              <w:adjustRightInd w:val="0"/>
              <w:snapToGrid w:val="0"/>
              <w:spacing w:before="0" w:beforeLines="0" w:line="240" w:lineRule="auto"/>
              <w:jc w:val="left"/>
              <w:rPr>
                <w:szCs w:val="21"/>
              </w:rPr>
            </w:pPr>
            <w:r>
              <w:rPr>
                <w:szCs w:val="21"/>
              </w:rPr>
              <w:t>本项目生产废水回用，不外排；生活污水排入化粪池，定期清掏，不会对生态用水量造成影响。</w:t>
            </w:r>
          </w:p>
        </w:tc>
        <w:tc>
          <w:tcPr>
            <w:tcW w:w="390" w:type="pct"/>
            <w:vAlign w:val="center"/>
          </w:tcPr>
          <w:p w14:paraId="499D6ECF">
            <w:pPr>
              <w:autoSpaceDE w:val="0"/>
              <w:autoSpaceDN w:val="0"/>
              <w:adjustRightInd w:val="0"/>
              <w:snapToGrid w:val="0"/>
              <w:spacing w:before="0" w:beforeLines="0" w:line="240" w:lineRule="auto"/>
              <w:jc w:val="left"/>
              <w:rPr>
                <w:szCs w:val="21"/>
              </w:rPr>
            </w:pPr>
            <w:r>
              <w:rPr>
                <w:szCs w:val="21"/>
              </w:rPr>
              <w:t>符合</w:t>
            </w:r>
          </w:p>
        </w:tc>
      </w:tr>
    </w:tbl>
    <w:p w14:paraId="1490C1D4">
      <w:pPr>
        <w:spacing w:before="78" w:line="360" w:lineRule="auto"/>
        <w:ind w:firstLine="480" w:firstLineChars="200"/>
        <w:jc w:val="left"/>
        <w:rPr>
          <w:sz w:val="24"/>
        </w:rPr>
      </w:pPr>
      <w:r>
        <w:rPr>
          <w:sz w:val="24"/>
        </w:rPr>
        <w:t>综上，项目符合</w:t>
      </w:r>
      <w:r>
        <w:rPr>
          <w:rFonts w:hint="eastAsia"/>
          <w:kern w:val="0"/>
          <w:sz w:val="24"/>
        </w:rPr>
        <w:t>《关于发布阜新市生态环境分区管控动态更新成果的通知》（2024-12-13）</w:t>
      </w:r>
      <w:r>
        <w:rPr>
          <w:sz w:val="24"/>
        </w:rPr>
        <w:t>中相关要求。</w:t>
      </w:r>
    </w:p>
    <w:p w14:paraId="106890D9">
      <w:pPr>
        <w:pStyle w:val="5"/>
        <w:spacing w:before="78"/>
        <w:rPr>
          <w:color w:val="auto"/>
        </w:rPr>
      </w:pPr>
      <w:r>
        <w:rPr>
          <w:color w:val="auto"/>
        </w:rPr>
        <w:t>2.5.</w:t>
      </w:r>
      <w:r>
        <w:rPr>
          <w:rFonts w:hint="eastAsia"/>
          <w:color w:val="auto"/>
        </w:rPr>
        <w:t>4</w:t>
      </w:r>
      <w:r>
        <w:rPr>
          <w:color w:val="auto"/>
        </w:rPr>
        <w:t>环境管理政策相符性分析</w:t>
      </w:r>
    </w:p>
    <w:p w14:paraId="16899C77">
      <w:pPr>
        <w:autoSpaceDE w:val="0"/>
        <w:autoSpaceDN w:val="0"/>
        <w:spacing w:before="78" w:line="360" w:lineRule="auto"/>
        <w:textAlignment w:val="bottom"/>
        <w:rPr>
          <w:b/>
          <w:bCs/>
          <w:kern w:val="24"/>
          <w:sz w:val="24"/>
        </w:rPr>
      </w:pPr>
      <w:r>
        <w:rPr>
          <w:rFonts w:hint="eastAsia"/>
          <w:b/>
          <w:bCs/>
          <w:sz w:val="24"/>
          <w:szCs w:val="28"/>
        </w:rPr>
        <w:t>（1）</w:t>
      </w:r>
      <w:bookmarkStart w:id="62" w:name="OLE_LINK20"/>
      <w:r>
        <w:rPr>
          <w:b/>
          <w:bCs/>
          <w:kern w:val="24"/>
          <w:sz w:val="24"/>
        </w:rPr>
        <w:t>与</w:t>
      </w:r>
      <w:r>
        <w:rPr>
          <w:rFonts w:hint="eastAsia"/>
          <w:b/>
          <w:bCs/>
          <w:kern w:val="24"/>
          <w:sz w:val="24"/>
        </w:rPr>
        <w:t>“气十条”、</w:t>
      </w:r>
      <w:r>
        <w:rPr>
          <w:b/>
          <w:bCs/>
          <w:kern w:val="24"/>
          <w:sz w:val="24"/>
        </w:rPr>
        <w:t>“水十条”</w:t>
      </w:r>
      <w:r>
        <w:rPr>
          <w:rFonts w:hint="eastAsia"/>
          <w:b/>
          <w:bCs/>
          <w:kern w:val="24"/>
          <w:sz w:val="24"/>
        </w:rPr>
        <w:t>、</w:t>
      </w:r>
      <w:r>
        <w:rPr>
          <w:b/>
          <w:bCs/>
          <w:kern w:val="24"/>
          <w:sz w:val="24"/>
        </w:rPr>
        <w:t>“土十条”</w:t>
      </w:r>
      <w:r>
        <w:rPr>
          <w:rFonts w:hint="eastAsia"/>
          <w:b/>
          <w:bCs/>
          <w:kern w:val="24"/>
          <w:sz w:val="24"/>
        </w:rPr>
        <w:t>、“声十条”</w:t>
      </w:r>
      <w:r>
        <w:rPr>
          <w:b/>
          <w:bCs/>
          <w:kern w:val="24"/>
          <w:sz w:val="24"/>
        </w:rPr>
        <w:t>相符性分析</w:t>
      </w:r>
    </w:p>
    <w:p w14:paraId="3DC5B623">
      <w:pPr>
        <w:autoSpaceDE w:val="0"/>
        <w:autoSpaceDN w:val="0"/>
        <w:spacing w:before="78" w:line="360" w:lineRule="auto"/>
        <w:ind w:firstLine="480" w:firstLineChars="200"/>
        <w:textAlignment w:val="bottom"/>
        <w:rPr>
          <w:kern w:val="24"/>
          <w:sz w:val="24"/>
        </w:rPr>
      </w:pPr>
      <w:r>
        <w:rPr>
          <w:sz w:val="24"/>
        </w:rPr>
        <w:t>本项目建设内容与</w:t>
      </w:r>
      <w:bookmarkStart w:id="63" w:name="_Hlk187315796"/>
      <w:r>
        <w:rPr>
          <w:sz w:val="24"/>
        </w:rPr>
        <w:t>《</w:t>
      </w:r>
      <w:r>
        <w:rPr>
          <w:rFonts w:hint="eastAsia"/>
          <w:sz w:val="24"/>
        </w:rPr>
        <w:t>辽宁省空气质量持续改善行动实施方案</w:t>
      </w:r>
      <w:r>
        <w:rPr>
          <w:sz w:val="24"/>
        </w:rPr>
        <w:t>》</w:t>
      </w:r>
      <w:bookmarkEnd w:id="63"/>
      <w:r>
        <w:rPr>
          <w:rFonts w:hint="eastAsia"/>
          <w:sz w:val="24"/>
        </w:rPr>
        <w:t>（辽政发〔2024〕11号）、</w:t>
      </w:r>
      <w:r>
        <w:rPr>
          <w:rFonts w:hint="eastAsia"/>
          <w:kern w:val="24"/>
          <w:sz w:val="24"/>
        </w:rPr>
        <w:t>《辽宁省人民政府关于印发辽宁省水污染防治工作方案的通知》（辽政发〔2015〕79号）、《辽宁省人民政府关于印发辽宁省土壤污染防治工作方案的通知》（辽政发〔</w:t>
      </w:r>
      <w:r>
        <w:rPr>
          <w:kern w:val="24"/>
          <w:sz w:val="24"/>
        </w:rPr>
        <w:t>2016</w:t>
      </w:r>
      <w:r>
        <w:rPr>
          <w:rFonts w:hint="eastAsia"/>
          <w:kern w:val="24"/>
          <w:sz w:val="24"/>
        </w:rPr>
        <w:t>〕</w:t>
      </w:r>
      <w:r>
        <w:rPr>
          <w:kern w:val="24"/>
          <w:sz w:val="24"/>
        </w:rPr>
        <w:t>58</w:t>
      </w:r>
      <w:r>
        <w:rPr>
          <w:rFonts w:hint="eastAsia"/>
          <w:kern w:val="24"/>
          <w:sz w:val="24"/>
        </w:rPr>
        <w:t>号）、《辽宁省噪声污染防治行动方案 （2023-2025年）》（2023.08.16）等相符性分析见表2.5-3。</w:t>
      </w:r>
    </w:p>
    <w:p w14:paraId="38444D95">
      <w:pPr>
        <w:pStyle w:val="217"/>
        <w:spacing w:before="62" w:beforeLines="20" w:line="240" w:lineRule="auto"/>
        <w:rPr>
          <w:color w:val="auto"/>
        </w:rPr>
      </w:pPr>
      <w:r>
        <w:rPr>
          <w:bCs/>
          <w:color w:val="auto"/>
          <w:spacing w:val="-4"/>
          <w:kern w:val="24"/>
          <w:szCs w:val="21"/>
        </w:rPr>
        <w:t>表2.5-</w:t>
      </w:r>
      <w:r>
        <w:rPr>
          <w:rFonts w:hint="eastAsia"/>
          <w:bCs/>
          <w:color w:val="auto"/>
          <w:spacing w:val="-4"/>
          <w:kern w:val="24"/>
          <w:szCs w:val="21"/>
        </w:rPr>
        <w:t>3</w:t>
      </w:r>
      <w:r>
        <w:rPr>
          <w:bCs/>
          <w:color w:val="auto"/>
          <w:spacing w:val="-4"/>
          <w:kern w:val="24"/>
          <w:szCs w:val="21"/>
        </w:rPr>
        <w:t xml:space="preserve"> </w:t>
      </w:r>
      <w:r>
        <w:rPr>
          <w:rFonts w:hint="eastAsia"/>
          <w:bCs/>
          <w:color w:val="auto"/>
          <w:spacing w:val="-4"/>
          <w:kern w:val="24"/>
          <w:szCs w:val="21"/>
        </w:rPr>
        <w:t xml:space="preserve">  </w:t>
      </w:r>
      <w:r>
        <w:rPr>
          <w:bCs/>
          <w:color w:val="auto"/>
          <w:spacing w:val="-4"/>
          <w:kern w:val="24"/>
          <w:szCs w:val="21"/>
        </w:rPr>
        <w:t xml:space="preserve"> 与</w:t>
      </w:r>
      <w:r>
        <w:rPr>
          <w:rFonts w:hint="eastAsia"/>
          <w:bCs/>
          <w:color w:val="auto"/>
          <w:spacing w:val="-4"/>
          <w:kern w:val="24"/>
          <w:szCs w:val="21"/>
        </w:rPr>
        <w:t>“气十条”、“</w:t>
      </w:r>
      <w:r>
        <w:rPr>
          <w:bCs/>
          <w:color w:val="auto"/>
          <w:spacing w:val="-4"/>
          <w:kern w:val="24"/>
          <w:szCs w:val="21"/>
        </w:rPr>
        <w:t>水十条</w:t>
      </w:r>
      <w:r>
        <w:rPr>
          <w:rFonts w:hint="eastAsia"/>
          <w:bCs/>
          <w:color w:val="auto"/>
          <w:spacing w:val="-4"/>
          <w:kern w:val="24"/>
          <w:szCs w:val="21"/>
        </w:rPr>
        <w:t>”、“</w:t>
      </w:r>
      <w:r>
        <w:rPr>
          <w:bCs/>
          <w:color w:val="auto"/>
          <w:spacing w:val="-4"/>
          <w:kern w:val="24"/>
          <w:szCs w:val="21"/>
        </w:rPr>
        <w:t>土十条</w:t>
      </w:r>
      <w:r>
        <w:rPr>
          <w:rFonts w:hint="eastAsia"/>
          <w:bCs/>
          <w:color w:val="auto"/>
          <w:spacing w:val="-4"/>
          <w:kern w:val="24"/>
          <w:szCs w:val="21"/>
        </w:rPr>
        <w:t>”、“声十条”</w:t>
      </w:r>
      <w:r>
        <w:rPr>
          <w:bCs/>
          <w:color w:val="auto"/>
          <w:spacing w:val="-4"/>
          <w:kern w:val="24"/>
          <w:szCs w:val="21"/>
        </w:rPr>
        <w:t>相符性分析</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85" w:type="dxa"/>
          <w:bottom w:w="0" w:type="dxa"/>
          <w:right w:w="85" w:type="dxa"/>
        </w:tblCellMar>
      </w:tblPr>
      <w:tblGrid>
        <w:gridCol w:w="1111"/>
        <w:gridCol w:w="3851"/>
        <w:gridCol w:w="2693"/>
        <w:gridCol w:w="657"/>
      </w:tblGrid>
      <w:tr w14:paraId="37DA719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85" w:type="dxa"/>
            <w:bottom w:w="0" w:type="dxa"/>
            <w:right w:w="85" w:type="dxa"/>
          </w:tblCellMar>
        </w:tblPrEx>
        <w:trPr>
          <w:trHeight w:val="340" w:hRule="atLeast"/>
          <w:jc w:val="center"/>
        </w:trPr>
        <w:tc>
          <w:tcPr>
            <w:tcW w:w="1111" w:type="dxa"/>
            <w:vAlign w:val="center"/>
          </w:tcPr>
          <w:p w14:paraId="2F612A7E">
            <w:pPr>
              <w:pStyle w:val="160"/>
              <w:adjustRightInd w:val="0"/>
              <w:snapToGrid w:val="0"/>
              <w:spacing w:after="48"/>
              <w:rPr>
                <w:szCs w:val="21"/>
              </w:rPr>
            </w:pPr>
            <w:r>
              <w:rPr>
                <w:szCs w:val="21"/>
              </w:rPr>
              <w:t>名称</w:t>
            </w:r>
          </w:p>
        </w:tc>
        <w:tc>
          <w:tcPr>
            <w:tcW w:w="3851" w:type="dxa"/>
            <w:vAlign w:val="center"/>
          </w:tcPr>
          <w:p w14:paraId="3DA7E3B0">
            <w:pPr>
              <w:pStyle w:val="160"/>
              <w:adjustRightInd w:val="0"/>
              <w:snapToGrid w:val="0"/>
              <w:spacing w:after="48"/>
              <w:rPr>
                <w:szCs w:val="21"/>
              </w:rPr>
            </w:pPr>
            <w:r>
              <w:rPr>
                <w:szCs w:val="21"/>
              </w:rPr>
              <w:t>政策要求</w:t>
            </w:r>
          </w:p>
        </w:tc>
        <w:tc>
          <w:tcPr>
            <w:tcW w:w="2693" w:type="dxa"/>
            <w:vAlign w:val="center"/>
          </w:tcPr>
          <w:p w14:paraId="6CD6AE74">
            <w:pPr>
              <w:pStyle w:val="160"/>
              <w:adjustRightInd w:val="0"/>
              <w:snapToGrid w:val="0"/>
              <w:spacing w:after="48"/>
              <w:rPr>
                <w:szCs w:val="21"/>
              </w:rPr>
            </w:pPr>
            <w:r>
              <w:rPr>
                <w:szCs w:val="21"/>
              </w:rPr>
              <w:t>本项目实施情况</w:t>
            </w:r>
          </w:p>
        </w:tc>
        <w:tc>
          <w:tcPr>
            <w:tcW w:w="657" w:type="dxa"/>
            <w:vAlign w:val="center"/>
          </w:tcPr>
          <w:p w14:paraId="02EF77FA">
            <w:pPr>
              <w:pStyle w:val="160"/>
              <w:adjustRightInd w:val="0"/>
              <w:snapToGrid w:val="0"/>
              <w:spacing w:after="48"/>
              <w:rPr>
                <w:szCs w:val="21"/>
              </w:rPr>
            </w:pPr>
            <w:r>
              <w:rPr>
                <w:szCs w:val="21"/>
              </w:rPr>
              <w:t>符合性</w:t>
            </w:r>
          </w:p>
        </w:tc>
      </w:tr>
      <w:tr w14:paraId="3575F32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85" w:type="dxa"/>
            <w:bottom w:w="0" w:type="dxa"/>
            <w:right w:w="85" w:type="dxa"/>
          </w:tblCellMar>
        </w:tblPrEx>
        <w:trPr>
          <w:trHeight w:val="340" w:hRule="atLeast"/>
          <w:jc w:val="center"/>
        </w:trPr>
        <w:tc>
          <w:tcPr>
            <w:tcW w:w="1111" w:type="dxa"/>
            <w:vMerge w:val="restart"/>
            <w:vAlign w:val="center"/>
          </w:tcPr>
          <w:p w14:paraId="5B7D8A24">
            <w:pPr>
              <w:pStyle w:val="160"/>
              <w:adjustRightInd w:val="0"/>
              <w:snapToGrid w:val="0"/>
              <w:spacing w:after="48"/>
              <w:jc w:val="left"/>
              <w:rPr>
                <w:szCs w:val="21"/>
              </w:rPr>
            </w:pPr>
            <w:r>
              <w:rPr>
                <w:rFonts w:hint="eastAsia"/>
                <w:szCs w:val="21"/>
              </w:rPr>
              <w:t>《辽宁省空气质量持续改善行动实施方案》（辽政发〔2024〕11号）</w:t>
            </w:r>
          </w:p>
        </w:tc>
        <w:tc>
          <w:tcPr>
            <w:tcW w:w="3851" w:type="dxa"/>
            <w:vAlign w:val="center"/>
          </w:tcPr>
          <w:p w14:paraId="7A2976CB">
            <w:pPr>
              <w:pStyle w:val="160"/>
              <w:adjustRightInd w:val="0"/>
              <w:snapToGrid w:val="0"/>
              <w:spacing w:after="48"/>
              <w:rPr>
                <w:szCs w:val="21"/>
              </w:rPr>
            </w:pPr>
            <w:r>
              <w:rPr>
                <w:rFonts w:hint="eastAsia"/>
                <w:szCs w:val="21"/>
              </w:rPr>
              <w:t>二、优化产业结构，促进产业产品绿色升级（一）推动优化产业结构和布局。坚决遏制高耗能、高排放、低水平项目盲目上马，新改扩建项目必须落实国家产业规划、生态环境分区管控方案、碳排放达峰目标等相关要求。</w:t>
            </w:r>
          </w:p>
        </w:tc>
        <w:tc>
          <w:tcPr>
            <w:tcW w:w="2693" w:type="dxa"/>
            <w:vAlign w:val="center"/>
          </w:tcPr>
          <w:p w14:paraId="23BF4348">
            <w:pPr>
              <w:pStyle w:val="160"/>
              <w:adjustRightInd w:val="0"/>
              <w:snapToGrid w:val="0"/>
              <w:spacing w:after="48"/>
              <w:jc w:val="left"/>
              <w:rPr>
                <w:szCs w:val="21"/>
              </w:rPr>
            </w:pPr>
            <w:r>
              <w:rPr>
                <w:szCs w:val="21"/>
              </w:rPr>
              <w:t>本项目</w:t>
            </w:r>
            <w:r>
              <w:rPr>
                <w:rFonts w:hint="eastAsia"/>
                <w:szCs w:val="21"/>
              </w:rPr>
              <w:t>无工业炉窑等设施，污染物主要为颗粒物，全部经处理后达标排放，项目建设符合产业政策、生态环境分区管控要求。</w:t>
            </w:r>
          </w:p>
        </w:tc>
        <w:tc>
          <w:tcPr>
            <w:tcW w:w="657" w:type="dxa"/>
            <w:vAlign w:val="center"/>
          </w:tcPr>
          <w:p w14:paraId="7B84EC9B">
            <w:pPr>
              <w:pStyle w:val="160"/>
              <w:adjustRightInd w:val="0"/>
              <w:snapToGrid w:val="0"/>
              <w:spacing w:after="48"/>
              <w:jc w:val="left"/>
              <w:rPr>
                <w:szCs w:val="21"/>
              </w:rPr>
            </w:pPr>
            <w:r>
              <w:rPr>
                <w:szCs w:val="21"/>
              </w:rPr>
              <w:t>符合</w:t>
            </w:r>
          </w:p>
        </w:tc>
      </w:tr>
      <w:tr w14:paraId="237397C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85" w:type="dxa"/>
            <w:bottom w:w="0" w:type="dxa"/>
            <w:right w:w="85" w:type="dxa"/>
          </w:tblCellMar>
        </w:tblPrEx>
        <w:trPr>
          <w:trHeight w:val="340" w:hRule="atLeast"/>
          <w:jc w:val="center"/>
        </w:trPr>
        <w:tc>
          <w:tcPr>
            <w:tcW w:w="1111" w:type="dxa"/>
            <w:vMerge w:val="continue"/>
            <w:vAlign w:val="center"/>
          </w:tcPr>
          <w:p w14:paraId="1FEE2C1A">
            <w:pPr>
              <w:pStyle w:val="160"/>
              <w:adjustRightInd w:val="0"/>
              <w:snapToGrid w:val="0"/>
              <w:spacing w:after="48"/>
              <w:jc w:val="left"/>
              <w:rPr>
                <w:szCs w:val="21"/>
              </w:rPr>
            </w:pPr>
          </w:p>
        </w:tc>
        <w:tc>
          <w:tcPr>
            <w:tcW w:w="3851" w:type="dxa"/>
            <w:vAlign w:val="center"/>
          </w:tcPr>
          <w:p w14:paraId="3E380484">
            <w:pPr>
              <w:pStyle w:val="160"/>
              <w:adjustRightInd w:val="0"/>
              <w:snapToGrid w:val="0"/>
              <w:spacing w:after="48"/>
              <w:jc w:val="left"/>
              <w:rPr>
                <w:szCs w:val="21"/>
              </w:rPr>
            </w:pPr>
            <w:r>
              <w:rPr>
                <w:rFonts w:hint="eastAsia"/>
                <w:szCs w:val="21"/>
              </w:rPr>
              <w:t>五、强化扬尘污染防治和精细化管理</w:t>
            </w:r>
          </w:p>
          <w:p w14:paraId="0F1EB3CB">
            <w:pPr>
              <w:pStyle w:val="160"/>
              <w:adjustRightInd w:val="0"/>
              <w:snapToGrid w:val="0"/>
              <w:spacing w:after="48"/>
              <w:jc w:val="left"/>
              <w:rPr>
                <w:szCs w:val="21"/>
              </w:rPr>
            </w:pPr>
            <w:r>
              <w:rPr>
                <w:rFonts w:hint="eastAsia"/>
                <w:szCs w:val="21"/>
              </w:rPr>
              <w:t>(十二)加强矿山生态修复治理。加强露天矿山扬尘管控，依法关闭安全生产、生态环境限期整改不达标矿山。</w:t>
            </w:r>
          </w:p>
        </w:tc>
        <w:tc>
          <w:tcPr>
            <w:tcW w:w="2693" w:type="dxa"/>
            <w:vAlign w:val="center"/>
          </w:tcPr>
          <w:p w14:paraId="27E43E20">
            <w:pPr>
              <w:pStyle w:val="160"/>
              <w:adjustRightInd w:val="0"/>
              <w:snapToGrid w:val="0"/>
              <w:spacing w:after="48"/>
              <w:jc w:val="left"/>
              <w:rPr>
                <w:szCs w:val="21"/>
              </w:rPr>
            </w:pPr>
            <w:r>
              <w:rPr>
                <w:rFonts w:hint="eastAsia"/>
                <w:szCs w:val="21"/>
              </w:rPr>
              <w:t>本项目利用现有矿山尾矿堆及废石场的尾矿及废石生产机制砂、钒钛铁精矿，项目实施后对已破坏矿区区域起到恢复治理作用，保护区域生态环境。</w:t>
            </w:r>
          </w:p>
        </w:tc>
        <w:tc>
          <w:tcPr>
            <w:tcW w:w="657" w:type="dxa"/>
            <w:vAlign w:val="center"/>
          </w:tcPr>
          <w:p w14:paraId="7A30211F">
            <w:pPr>
              <w:pStyle w:val="160"/>
              <w:adjustRightInd w:val="0"/>
              <w:snapToGrid w:val="0"/>
              <w:spacing w:after="48"/>
              <w:jc w:val="left"/>
              <w:rPr>
                <w:szCs w:val="21"/>
              </w:rPr>
            </w:pPr>
            <w:r>
              <w:rPr>
                <w:szCs w:val="21"/>
              </w:rPr>
              <w:t>符合</w:t>
            </w:r>
          </w:p>
        </w:tc>
      </w:tr>
      <w:tr w14:paraId="0F1E0C4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85" w:type="dxa"/>
            <w:bottom w:w="0" w:type="dxa"/>
            <w:right w:w="85" w:type="dxa"/>
          </w:tblCellMar>
        </w:tblPrEx>
        <w:trPr>
          <w:trHeight w:val="340" w:hRule="atLeast"/>
          <w:jc w:val="center"/>
        </w:trPr>
        <w:tc>
          <w:tcPr>
            <w:tcW w:w="1111" w:type="dxa"/>
            <w:vMerge w:val="restart"/>
            <w:vAlign w:val="center"/>
          </w:tcPr>
          <w:p w14:paraId="52445113">
            <w:pPr>
              <w:pStyle w:val="160"/>
              <w:adjustRightInd w:val="0"/>
              <w:snapToGrid w:val="0"/>
              <w:spacing w:after="48"/>
              <w:jc w:val="left"/>
              <w:rPr>
                <w:szCs w:val="21"/>
              </w:rPr>
            </w:pPr>
            <w:r>
              <w:rPr>
                <w:szCs w:val="21"/>
              </w:rPr>
              <w:t>《辽宁省人民政府关于印发辽宁省水污染防治工作方案的通知》</w:t>
            </w:r>
          </w:p>
          <w:p w14:paraId="21E71E9F">
            <w:pPr>
              <w:pStyle w:val="160"/>
              <w:adjustRightInd w:val="0"/>
              <w:snapToGrid w:val="0"/>
              <w:spacing w:after="48"/>
              <w:jc w:val="left"/>
              <w:rPr>
                <w:szCs w:val="21"/>
              </w:rPr>
            </w:pPr>
            <w:r>
              <w:rPr>
                <w:szCs w:val="21"/>
              </w:rPr>
              <w:t>（辽政发〔2015〕79号）</w:t>
            </w:r>
          </w:p>
        </w:tc>
        <w:tc>
          <w:tcPr>
            <w:tcW w:w="3851" w:type="dxa"/>
            <w:vAlign w:val="center"/>
          </w:tcPr>
          <w:p w14:paraId="3A8E6FA3">
            <w:pPr>
              <w:pStyle w:val="160"/>
              <w:adjustRightInd w:val="0"/>
              <w:snapToGrid w:val="0"/>
              <w:spacing w:after="48"/>
              <w:jc w:val="left"/>
              <w:rPr>
                <w:szCs w:val="21"/>
              </w:rPr>
            </w:pPr>
            <w:r>
              <w:rPr>
                <w:szCs w:val="21"/>
              </w:rPr>
              <w:t>严控地下水超采。在地面沉降、地裂缝、岩溶塌陷等地质灾害易发区开发利用地下水，应进行地质灾害危险性评估。严格控制开采深层承压水，地热水、矿泉水开发应严格实行取水许可和采矿许可。依法规范机井建设管理，排查登记已建机井，未经批准的和公共供水管网覆盖范围内的自备水井，一律予以关闭。</w:t>
            </w:r>
          </w:p>
        </w:tc>
        <w:tc>
          <w:tcPr>
            <w:tcW w:w="2693" w:type="dxa"/>
            <w:vAlign w:val="center"/>
          </w:tcPr>
          <w:p w14:paraId="055D8AB3">
            <w:pPr>
              <w:pStyle w:val="160"/>
              <w:adjustRightInd w:val="0"/>
              <w:snapToGrid w:val="0"/>
              <w:spacing w:after="48"/>
              <w:jc w:val="left"/>
              <w:rPr>
                <w:szCs w:val="21"/>
              </w:rPr>
            </w:pPr>
            <w:r>
              <w:rPr>
                <w:szCs w:val="21"/>
              </w:rPr>
              <w:t>本项目</w:t>
            </w:r>
            <w:r>
              <w:rPr>
                <w:rFonts w:hint="eastAsia"/>
                <w:szCs w:val="21"/>
              </w:rPr>
              <w:t>生活用水均为外购；选矿用水依托鑫岳</w:t>
            </w:r>
            <w:r>
              <w:rPr>
                <w:rFonts w:hint="eastAsia"/>
                <w:szCs w:val="21"/>
                <w:lang w:val="en-US" w:eastAsia="zh-CN"/>
              </w:rPr>
              <w:t>矿业</w:t>
            </w:r>
            <w:r>
              <w:rPr>
                <w:rFonts w:hint="eastAsia"/>
                <w:szCs w:val="21"/>
              </w:rPr>
              <w:t>取水工程</w:t>
            </w:r>
            <w:r>
              <w:rPr>
                <w:szCs w:val="21"/>
              </w:rPr>
              <w:t>。</w:t>
            </w:r>
          </w:p>
        </w:tc>
        <w:tc>
          <w:tcPr>
            <w:tcW w:w="657" w:type="dxa"/>
            <w:vAlign w:val="center"/>
          </w:tcPr>
          <w:p w14:paraId="709E9744">
            <w:pPr>
              <w:pStyle w:val="160"/>
              <w:adjustRightInd w:val="0"/>
              <w:snapToGrid w:val="0"/>
              <w:spacing w:after="48"/>
              <w:jc w:val="left"/>
              <w:rPr>
                <w:szCs w:val="21"/>
              </w:rPr>
            </w:pPr>
            <w:r>
              <w:rPr>
                <w:szCs w:val="21"/>
              </w:rPr>
              <w:t>符合</w:t>
            </w:r>
          </w:p>
        </w:tc>
      </w:tr>
      <w:tr w14:paraId="569D893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85" w:type="dxa"/>
            <w:bottom w:w="0" w:type="dxa"/>
            <w:right w:w="85" w:type="dxa"/>
          </w:tblCellMar>
        </w:tblPrEx>
        <w:trPr>
          <w:trHeight w:val="340" w:hRule="atLeast"/>
          <w:jc w:val="center"/>
        </w:trPr>
        <w:tc>
          <w:tcPr>
            <w:tcW w:w="1111" w:type="dxa"/>
            <w:vMerge w:val="continue"/>
            <w:vAlign w:val="center"/>
          </w:tcPr>
          <w:p w14:paraId="0EC9F44F">
            <w:pPr>
              <w:pStyle w:val="160"/>
              <w:adjustRightInd w:val="0"/>
              <w:snapToGrid w:val="0"/>
              <w:spacing w:after="48"/>
              <w:jc w:val="left"/>
              <w:rPr>
                <w:szCs w:val="21"/>
              </w:rPr>
            </w:pPr>
          </w:p>
        </w:tc>
        <w:tc>
          <w:tcPr>
            <w:tcW w:w="3851" w:type="dxa"/>
            <w:vAlign w:val="center"/>
          </w:tcPr>
          <w:p w14:paraId="74AE3F7B">
            <w:pPr>
              <w:pStyle w:val="160"/>
              <w:adjustRightInd w:val="0"/>
              <w:snapToGrid w:val="0"/>
              <w:spacing w:after="48"/>
              <w:jc w:val="left"/>
              <w:rPr>
                <w:szCs w:val="21"/>
              </w:rPr>
            </w:pPr>
            <w:r>
              <w:rPr>
                <w:szCs w:val="21"/>
              </w:rPr>
              <w:t>落实排污单位主体责任。各类排污单位要严格执行环保法律法规和制度，加强污染治理设施建设和运行管理，开展自行监测，落实治污减排、环境风险防范等责任。中央企业和国有企业要带头落实，工业集聚区内的企业要探索建立环保自律机制。</w:t>
            </w:r>
          </w:p>
        </w:tc>
        <w:tc>
          <w:tcPr>
            <w:tcW w:w="2693" w:type="dxa"/>
            <w:vAlign w:val="center"/>
          </w:tcPr>
          <w:p w14:paraId="5BC64825">
            <w:pPr>
              <w:pStyle w:val="160"/>
              <w:adjustRightInd w:val="0"/>
              <w:snapToGrid w:val="0"/>
              <w:spacing w:after="48"/>
              <w:jc w:val="left"/>
              <w:rPr>
                <w:szCs w:val="21"/>
              </w:rPr>
            </w:pPr>
            <w:r>
              <w:rPr>
                <w:szCs w:val="21"/>
              </w:rPr>
              <w:t>本项目生产废水全部回用于选矿，不外排。</w:t>
            </w:r>
          </w:p>
        </w:tc>
        <w:tc>
          <w:tcPr>
            <w:tcW w:w="657" w:type="dxa"/>
            <w:vAlign w:val="center"/>
          </w:tcPr>
          <w:p w14:paraId="60CA9406">
            <w:pPr>
              <w:pStyle w:val="160"/>
              <w:adjustRightInd w:val="0"/>
              <w:snapToGrid w:val="0"/>
              <w:spacing w:after="48"/>
              <w:jc w:val="left"/>
              <w:rPr>
                <w:szCs w:val="21"/>
              </w:rPr>
            </w:pPr>
            <w:r>
              <w:rPr>
                <w:szCs w:val="21"/>
              </w:rPr>
              <w:t>符合</w:t>
            </w:r>
          </w:p>
        </w:tc>
      </w:tr>
      <w:tr w14:paraId="1AA895D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85" w:type="dxa"/>
            <w:bottom w:w="0" w:type="dxa"/>
            <w:right w:w="85" w:type="dxa"/>
          </w:tblCellMar>
        </w:tblPrEx>
        <w:trPr>
          <w:trHeight w:val="340" w:hRule="atLeast"/>
          <w:jc w:val="center"/>
        </w:trPr>
        <w:tc>
          <w:tcPr>
            <w:tcW w:w="1111" w:type="dxa"/>
            <w:vMerge w:val="continue"/>
            <w:vAlign w:val="center"/>
          </w:tcPr>
          <w:p w14:paraId="74A4DC90">
            <w:pPr>
              <w:pStyle w:val="160"/>
              <w:adjustRightInd w:val="0"/>
              <w:snapToGrid w:val="0"/>
              <w:spacing w:after="48"/>
              <w:jc w:val="left"/>
              <w:rPr>
                <w:szCs w:val="21"/>
              </w:rPr>
            </w:pPr>
          </w:p>
        </w:tc>
        <w:tc>
          <w:tcPr>
            <w:tcW w:w="3851" w:type="dxa"/>
            <w:vAlign w:val="center"/>
          </w:tcPr>
          <w:p w14:paraId="73AE7041">
            <w:pPr>
              <w:pStyle w:val="160"/>
              <w:adjustRightInd w:val="0"/>
              <w:snapToGrid w:val="0"/>
              <w:spacing w:after="48"/>
              <w:jc w:val="left"/>
              <w:rPr>
                <w:szCs w:val="21"/>
              </w:rPr>
            </w:pPr>
            <w:r>
              <w:rPr>
                <w:szCs w:val="21"/>
              </w:rPr>
              <w:t>推进循环发展。加强工业水循环利用。推进矿井水综合利用，煤炭矿区的补充用水、周边地区生产和生态用水应优先使用矿井水，加强洗煤废水循环利用。鼓励钢铁、纺织印染、造纸、石油石化、化工、制革等高耗水企业废水深度处理回用。</w:t>
            </w:r>
          </w:p>
        </w:tc>
        <w:tc>
          <w:tcPr>
            <w:tcW w:w="2693" w:type="dxa"/>
            <w:vAlign w:val="center"/>
          </w:tcPr>
          <w:p w14:paraId="061555D8">
            <w:pPr>
              <w:pStyle w:val="160"/>
              <w:adjustRightInd w:val="0"/>
              <w:snapToGrid w:val="0"/>
              <w:spacing w:after="48"/>
              <w:jc w:val="left"/>
              <w:rPr>
                <w:szCs w:val="21"/>
              </w:rPr>
            </w:pPr>
            <w:r>
              <w:rPr>
                <w:szCs w:val="21"/>
              </w:rPr>
              <w:t>本项目生产废水全部回用于选矿，不外排。</w:t>
            </w:r>
          </w:p>
        </w:tc>
        <w:tc>
          <w:tcPr>
            <w:tcW w:w="657" w:type="dxa"/>
            <w:vAlign w:val="center"/>
          </w:tcPr>
          <w:p w14:paraId="7B8AE60E">
            <w:pPr>
              <w:pStyle w:val="160"/>
              <w:adjustRightInd w:val="0"/>
              <w:snapToGrid w:val="0"/>
              <w:spacing w:after="48"/>
              <w:jc w:val="left"/>
              <w:rPr>
                <w:szCs w:val="21"/>
              </w:rPr>
            </w:pPr>
            <w:r>
              <w:rPr>
                <w:szCs w:val="21"/>
              </w:rPr>
              <w:t>符合</w:t>
            </w:r>
          </w:p>
        </w:tc>
      </w:tr>
      <w:tr w14:paraId="0CD3F60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85" w:type="dxa"/>
            <w:bottom w:w="0" w:type="dxa"/>
            <w:right w:w="85" w:type="dxa"/>
          </w:tblCellMar>
        </w:tblPrEx>
        <w:trPr>
          <w:trHeight w:val="340" w:hRule="atLeast"/>
          <w:jc w:val="center"/>
        </w:trPr>
        <w:tc>
          <w:tcPr>
            <w:tcW w:w="1111" w:type="dxa"/>
            <w:vMerge w:val="restart"/>
            <w:vAlign w:val="center"/>
          </w:tcPr>
          <w:p w14:paraId="5088D1D6">
            <w:pPr>
              <w:pStyle w:val="160"/>
              <w:adjustRightInd w:val="0"/>
              <w:snapToGrid w:val="0"/>
              <w:spacing w:after="48"/>
              <w:jc w:val="left"/>
              <w:rPr>
                <w:szCs w:val="21"/>
              </w:rPr>
            </w:pPr>
            <w:r>
              <w:rPr>
                <w:rFonts w:hint="eastAsia"/>
                <w:szCs w:val="21"/>
              </w:rPr>
              <w:t>《辽宁省人民政府关于印发辽宁省土壤污染防治工作方案的通知》（辽政发〔</w:t>
            </w:r>
            <w:r>
              <w:rPr>
                <w:szCs w:val="21"/>
              </w:rPr>
              <w:t>2016</w:t>
            </w:r>
            <w:r>
              <w:rPr>
                <w:rFonts w:hint="eastAsia"/>
                <w:szCs w:val="21"/>
              </w:rPr>
              <w:t>〕</w:t>
            </w:r>
            <w:r>
              <w:rPr>
                <w:szCs w:val="21"/>
              </w:rPr>
              <w:t>58</w:t>
            </w:r>
            <w:r>
              <w:rPr>
                <w:rFonts w:hint="eastAsia"/>
                <w:szCs w:val="21"/>
              </w:rPr>
              <w:t>号）</w:t>
            </w:r>
          </w:p>
        </w:tc>
        <w:tc>
          <w:tcPr>
            <w:tcW w:w="3851" w:type="dxa"/>
            <w:vAlign w:val="center"/>
          </w:tcPr>
          <w:p w14:paraId="2BE6E732">
            <w:pPr>
              <w:pStyle w:val="160"/>
              <w:adjustRightInd w:val="0"/>
              <w:snapToGrid w:val="0"/>
              <w:spacing w:after="48"/>
              <w:jc w:val="left"/>
              <w:rPr>
                <w:szCs w:val="21"/>
              </w:rPr>
            </w:pPr>
            <w:r>
              <w:rPr>
                <w:szCs w:val="21"/>
              </w:rPr>
              <w:t>严格控制林地、草地、园地的农药使用量，禁止使用高毒、高残留农药。</w:t>
            </w:r>
          </w:p>
        </w:tc>
        <w:tc>
          <w:tcPr>
            <w:tcW w:w="2693" w:type="dxa"/>
            <w:vAlign w:val="center"/>
          </w:tcPr>
          <w:p w14:paraId="54402495">
            <w:pPr>
              <w:pStyle w:val="160"/>
              <w:adjustRightInd w:val="0"/>
              <w:snapToGrid w:val="0"/>
              <w:spacing w:after="48"/>
              <w:jc w:val="left"/>
              <w:rPr>
                <w:szCs w:val="21"/>
              </w:rPr>
            </w:pPr>
            <w:r>
              <w:rPr>
                <w:szCs w:val="21"/>
              </w:rPr>
              <w:t>厂区内绿地不使用农药。</w:t>
            </w:r>
          </w:p>
        </w:tc>
        <w:tc>
          <w:tcPr>
            <w:tcW w:w="657" w:type="dxa"/>
            <w:vAlign w:val="center"/>
          </w:tcPr>
          <w:p w14:paraId="3BC8438B">
            <w:pPr>
              <w:pStyle w:val="160"/>
              <w:adjustRightInd w:val="0"/>
              <w:snapToGrid w:val="0"/>
              <w:spacing w:after="48"/>
              <w:jc w:val="left"/>
              <w:rPr>
                <w:szCs w:val="21"/>
              </w:rPr>
            </w:pPr>
            <w:r>
              <w:rPr>
                <w:szCs w:val="21"/>
              </w:rPr>
              <w:t>符合</w:t>
            </w:r>
          </w:p>
        </w:tc>
      </w:tr>
      <w:tr w14:paraId="3686BCB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85" w:type="dxa"/>
            <w:bottom w:w="0" w:type="dxa"/>
            <w:right w:w="85" w:type="dxa"/>
          </w:tblCellMar>
        </w:tblPrEx>
        <w:trPr>
          <w:trHeight w:val="340" w:hRule="atLeast"/>
          <w:jc w:val="center"/>
        </w:trPr>
        <w:tc>
          <w:tcPr>
            <w:tcW w:w="1111" w:type="dxa"/>
            <w:vMerge w:val="continue"/>
            <w:vAlign w:val="center"/>
          </w:tcPr>
          <w:p w14:paraId="3A93204C">
            <w:pPr>
              <w:pStyle w:val="160"/>
              <w:adjustRightInd w:val="0"/>
              <w:snapToGrid w:val="0"/>
              <w:spacing w:after="48"/>
              <w:jc w:val="left"/>
              <w:rPr>
                <w:szCs w:val="21"/>
              </w:rPr>
            </w:pPr>
          </w:p>
        </w:tc>
        <w:tc>
          <w:tcPr>
            <w:tcW w:w="3851" w:type="dxa"/>
            <w:vAlign w:val="center"/>
          </w:tcPr>
          <w:p w14:paraId="394AD9B4">
            <w:pPr>
              <w:pStyle w:val="160"/>
              <w:adjustRightInd w:val="0"/>
              <w:snapToGrid w:val="0"/>
              <w:spacing w:after="48"/>
              <w:jc w:val="left"/>
              <w:rPr>
                <w:szCs w:val="21"/>
              </w:rPr>
            </w:pPr>
            <w:r>
              <w:rPr>
                <w:szCs w:val="21"/>
              </w:rPr>
              <w:t>减少生活污染。</w:t>
            </w:r>
          </w:p>
        </w:tc>
        <w:tc>
          <w:tcPr>
            <w:tcW w:w="2693" w:type="dxa"/>
            <w:vAlign w:val="center"/>
          </w:tcPr>
          <w:p w14:paraId="078E9CEB">
            <w:pPr>
              <w:pStyle w:val="160"/>
              <w:adjustRightInd w:val="0"/>
              <w:snapToGrid w:val="0"/>
              <w:spacing w:after="48"/>
              <w:jc w:val="left"/>
              <w:rPr>
                <w:szCs w:val="21"/>
              </w:rPr>
            </w:pPr>
            <w:r>
              <w:rPr>
                <w:szCs w:val="21"/>
              </w:rPr>
              <w:t>生活垃圾集中收集后由环卫部门清运。</w:t>
            </w:r>
          </w:p>
        </w:tc>
        <w:tc>
          <w:tcPr>
            <w:tcW w:w="657" w:type="dxa"/>
            <w:vAlign w:val="center"/>
          </w:tcPr>
          <w:p w14:paraId="0526A4A3">
            <w:pPr>
              <w:pStyle w:val="160"/>
              <w:adjustRightInd w:val="0"/>
              <w:snapToGrid w:val="0"/>
              <w:spacing w:after="48"/>
              <w:jc w:val="left"/>
              <w:rPr>
                <w:szCs w:val="21"/>
              </w:rPr>
            </w:pPr>
            <w:r>
              <w:rPr>
                <w:szCs w:val="21"/>
              </w:rPr>
              <w:t>符合</w:t>
            </w:r>
          </w:p>
        </w:tc>
      </w:tr>
      <w:tr w14:paraId="48D20FB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85" w:type="dxa"/>
            <w:bottom w:w="0" w:type="dxa"/>
            <w:right w:w="85" w:type="dxa"/>
          </w:tblCellMar>
        </w:tblPrEx>
        <w:trPr>
          <w:trHeight w:val="340" w:hRule="atLeast"/>
          <w:jc w:val="center"/>
        </w:trPr>
        <w:tc>
          <w:tcPr>
            <w:tcW w:w="1111" w:type="dxa"/>
            <w:vMerge w:val="continue"/>
            <w:vAlign w:val="center"/>
          </w:tcPr>
          <w:p w14:paraId="6A024E22">
            <w:pPr>
              <w:pStyle w:val="160"/>
              <w:adjustRightInd w:val="0"/>
              <w:snapToGrid w:val="0"/>
              <w:spacing w:after="48"/>
              <w:jc w:val="left"/>
              <w:rPr>
                <w:szCs w:val="21"/>
              </w:rPr>
            </w:pPr>
          </w:p>
        </w:tc>
        <w:tc>
          <w:tcPr>
            <w:tcW w:w="3851" w:type="dxa"/>
            <w:vAlign w:val="center"/>
          </w:tcPr>
          <w:p w14:paraId="757C5B25">
            <w:pPr>
              <w:pStyle w:val="160"/>
              <w:adjustRightInd w:val="0"/>
              <w:snapToGrid w:val="0"/>
              <w:spacing w:after="48"/>
              <w:jc w:val="left"/>
              <w:rPr>
                <w:szCs w:val="21"/>
              </w:rPr>
            </w:pPr>
            <w:r>
              <w:rPr>
                <w:szCs w:val="21"/>
              </w:rPr>
              <w:t>全面整治历史遗留尾矿库，完善覆膜、压土、排洪、堤坝加固等隐患治理和闭库措施。</w:t>
            </w:r>
          </w:p>
        </w:tc>
        <w:tc>
          <w:tcPr>
            <w:tcW w:w="2693" w:type="dxa"/>
            <w:vAlign w:val="center"/>
          </w:tcPr>
          <w:p w14:paraId="3EC190C1">
            <w:pPr>
              <w:pStyle w:val="160"/>
              <w:adjustRightInd w:val="0"/>
              <w:snapToGrid w:val="0"/>
              <w:spacing w:after="48"/>
              <w:jc w:val="left"/>
              <w:rPr>
                <w:szCs w:val="21"/>
              </w:rPr>
            </w:pPr>
            <w:r>
              <w:rPr>
                <w:szCs w:val="21"/>
              </w:rPr>
              <w:t>本项目为黑色金属选矿业，利用</w:t>
            </w:r>
            <w:r>
              <w:rPr>
                <w:rFonts w:hint="eastAsia"/>
                <w:szCs w:val="21"/>
              </w:rPr>
              <w:t>阜新亿升达铁选厂</w:t>
            </w:r>
            <w:r>
              <w:rPr>
                <w:szCs w:val="21"/>
              </w:rPr>
              <w:t>尾矿</w:t>
            </w:r>
            <w:r>
              <w:rPr>
                <w:rFonts w:hint="eastAsia"/>
                <w:szCs w:val="21"/>
              </w:rPr>
              <w:t>及废石</w:t>
            </w:r>
            <w:r>
              <w:rPr>
                <w:szCs w:val="21"/>
              </w:rPr>
              <w:t>作为原料，通过筛分、破碎、磁选等工艺生产钒钛磁铁矿、钛铁精矿、机制砂、碎石等产品。</w:t>
            </w:r>
          </w:p>
        </w:tc>
        <w:tc>
          <w:tcPr>
            <w:tcW w:w="657" w:type="dxa"/>
            <w:vAlign w:val="center"/>
          </w:tcPr>
          <w:p w14:paraId="22DB0EC3">
            <w:pPr>
              <w:pStyle w:val="160"/>
              <w:adjustRightInd w:val="0"/>
              <w:snapToGrid w:val="0"/>
              <w:spacing w:after="48"/>
              <w:jc w:val="left"/>
              <w:rPr>
                <w:szCs w:val="21"/>
              </w:rPr>
            </w:pPr>
            <w:r>
              <w:rPr>
                <w:szCs w:val="21"/>
              </w:rPr>
              <w:t>符合</w:t>
            </w:r>
          </w:p>
        </w:tc>
      </w:tr>
      <w:tr w14:paraId="450D3E1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85" w:type="dxa"/>
            <w:bottom w:w="0" w:type="dxa"/>
            <w:right w:w="85" w:type="dxa"/>
          </w:tblCellMar>
        </w:tblPrEx>
        <w:trPr>
          <w:trHeight w:val="340" w:hRule="atLeast"/>
          <w:jc w:val="center"/>
        </w:trPr>
        <w:tc>
          <w:tcPr>
            <w:tcW w:w="1111" w:type="dxa"/>
            <w:vMerge w:val="continue"/>
            <w:vAlign w:val="center"/>
          </w:tcPr>
          <w:p w14:paraId="3DB237F3">
            <w:pPr>
              <w:pStyle w:val="160"/>
              <w:adjustRightInd w:val="0"/>
              <w:snapToGrid w:val="0"/>
              <w:spacing w:after="48"/>
              <w:jc w:val="left"/>
              <w:rPr>
                <w:szCs w:val="21"/>
              </w:rPr>
            </w:pPr>
          </w:p>
        </w:tc>
        <w:tc>
          <w:tcPr>
            <w:tcW w:w="3851" w:type="dxa"/>
            <w:vAlign w:val="center"/>
          </w:tcPr>
          <w:p w14:paraId="791935E6">
            <w:pPr>
              <w:pStyle w:val="160"/>
              <w:adjustRightInd w:val="0"/>
              <w:snapToGrid w:val="0"/>
              <w:spacing w:after="48"/>
              <w:jc w:val="left"/>
              <w:rPr>
                <w:szCs w:val="21"/>
              </w:rPr>
            </w:pPr>
            <w:r>
              <w:rPr>
                <w:szCs w:val="21"/>
              </w:rPr>
              <w:t>加强工业废物处理处置。全面整治尾矿、煤矸石、工业副产石膏、粉煤灰、赤泥、冶炼渣、电石渣、铬渣、砷渣以及脱硫、脱硝、除尘产生固体废物的堆存场所，完善防扬散、防流失、防渗漏等设施，制定整治方案并有序实施。加强工业固体废物综合利用。</w:t>
            </w:r>
          </w:p>
        </w:tc>
        <w:tc>
          <w:tcPr>
            <w:tcW w:w="2693" w:type="dxa"/>
            <w:vAlign w:val="center"/>
          </w:tcPr>
          <w:p w14:paraId="5735A37A">
            <w:pPr>
              <w:pStyle w:val="160"/>
              <w:adjustRightInd w:val="0"/>
              <w:snapToGrid w:val="0"/>
              <w:spacing w:after="48"/>
              <w:jc w:val="left"/>
              <w:rPr>
                <w:szCs w:val="21"/>
              </w:rPr>
            </w:pPr>
            <w:r>
              <w:rPr>
                <w:szCs w:val="21"/>
              </w:rPr>
              <w:t>本项目为黑色金属选矿业，利用</w:t>
            </w:r>
            <w:r>
              <w:rPr>
                <w:rFonts w:hint="eastAsia"/>
                <w:szCs w:val="21"/>
              </w:rPr>
              <w:t>阜新亿升达铁选厂</w:t>
            </w:r>
            <w:r>
              <w:rPr>
                <w:szCs w:val="21"/>
              </w:rPr>
              <w:t>尾矿</w:t>
            </w:r>
            <w:r>
              <w:rPr>
                <w:rFonts w:hint="eastAsia"/>
                <w:szCs w:val="21"/>
              </w:rPr>
              <w:t>及废石</w:t>
            </w:r>
            <w:r>
              <w:rPr>
                <w:szCs w:val="21"/>
              </w:rPr>
              <w:t>作为原料，通过筛分、破碎、磁选等工艺生产钒钛磁铁矿、钛铁精矿、机制砂、碎石等产品。</w:t>
            </w:r>
          </w:p>
        </w:tc>
        <w:tc>
          <w:tcPr>
            <w:tcW w:w="657" w:type="dxa"/>
            <w:vAlign w:val="center"/>
          </w:tcPr>
          <w:p w14:paraId="3FCD60F4">
            <w:pPr>
              <w:pStyle w:val="160"/>
              <w:adjustRightInd w:val="0"/>
              <w:snapToGrid w:val="0"/>
              <w:spacing w:after="48"/>
              <w:jc w:val="left"/>
              <w:rPr>
                <w:szCs w:val="21"/>
              </w:rPr>
            </w:pPr>
            <w:r>
              <w:rPr>
                <w:szCs w:val="21"/>
              </w:rPr>
              <w:t>符合</w:t>
            </w:r>
          </w:p>
        </w:tc>
      </w:tr>
      <w:tr w14:paraId="159E8E9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85" w:type="dxa"/>
            <w:bottom w:w="0" w:type="dxa"/>
            <w:right w:w="85" w:type="dxa"/>
          </w:tblCellMar>
        </w:tblPrEx>
        <w:trPr>
          <w:trHeight w:val="340" w:hRule="atLeast"/>
          <w:jc w:val="center"/>
        </w:trPr>
        <w:tc>
          <w:tcPr>
            <w:tcW w:w="1111" w:type="dxa"/>
            <w:vAlign w:val="center"/>
          </w:tcPr>
          <w:p w14:paraId="2CB83426">
            <w:pPr>
              <w:pStyle w:val="160"/>
              <w:adjustRightInd w:val="0"/>
              <w:snapToGrid w:val="0"/>
              <w:spacing w:after="48"/>
              <w:jc w:val="left"/>
              <w:rPr>
                <w:szCs w:val="21"/>
              </w:rPr>
            </w:pPr>
            <w:r>
              <w:rPr>
                <w:rFonts w:hint="eastAsia"/>
                <w:szCs w:val="21"/>
              </w:rPr>
              <w:t>《辽宁省噪声污染防治行动方案 （2023-2025年）》</w:t>
            </w:r>
          </w:p>
        </w:tc>
        <w:tc>
          <w:tcPr>
            <w:tcW w:w="3851" w:type="dxa"/>
            <w:vAlign w:val="center"/>
          </w:tcPr>
          <w:p w14:paraId="21F63986">
            <w:pPr>
              <w:pStyle w:val="160"/>
              <w:adjustRightInd w:val="0"/>
              <w:snapToGrid w:val="0"/>
              <w:spacing w:after="48"/>
              <w:jc w:val="left"/>
              <w:rPr>
                <w:szCs w:val="21"/>
              </w:rPr>
            </w:pPr>
            <w:r>
              <w:rPr>
                <w:rFonts w:hint="eastAsia"/>
                <w:szCs w:val="21"/>
              </w:rPr>
              <w:t>(三)深化工业企业噪声污染防治，加强重点企业监管5.严格工业噪声管理</w:t>
            </w:r>
          </w:p>
          <w:p w14:paraId="31B56887">
            <w:pPr>
              <w:pStyle w:val="160"/>
              <w:adjustRightInd w:val="0"/>
              <w:snapToGrid w:val="0"/>
              <w:spacing w:after="48"/>
              <w:jc w:val="left"/>
              <w:rPr>
                <w:szCs w:val="21"/>
              </w:rPr>
            </w:pPr>
            <w:r>
              <w:rPr>
                <w:rFonts w:hint="eastAsia"/>
                <w:szCs w:val="21"/>
              </w:rPr>
              <w:t>(11)树立工业噪声治理标杆。排放噪声的工业企业应切实采取减振降噪措施，加强厂区内固定设备、运输工具、货物装卸等噪声源管理，同时避免突发噪声扰民。鼓励企业采用先进治理技术，打造行业噪声污染治理示范典型。中央企业和省管企业要主动承担社会责任，切实发挥模范带头和引领示范作用，创建一批行业标杆。</w:t>
            </w:r>
          </w:p>
        </w:tc>
        <w:tc>
          <w:tcPr>
            <w:tcW w:w="2693" w:type="dxa"/>
            <w:vAlign w:val="center"/>
          </w:tcPr>
          <w:p w14:paraId="1777CAE7">
            <w:pPr>
              <w:pStyle w:val="160"/>
              <w:adjustRightInd w:val="0"/>
              <w:snapToGrid w:val="0"/>
              <w:spacing w:after="48"/>
              <w:jc w:val="left"/>
              <w:rPr>
                <w:szCs w:val="21"/>
              </w:rPr>
            </w:pPr>
            <w:r>
              <w:rPr>
                <w:rFonts w:hint="eastAsia"/>
                <w:szCs w:val="21"/>
              </w:rPr>
              <w:t>本项目采取低噪声设备、减振等噪声污染减缓措施，通过声环境影响预测，可以确保达标排放。噪声污染防治设施满足“三同时”要求。</w:t>
            </w:r>
          </w:p>
        </w:tc>
        <w:tc>
          <w:tcPr>
            <w:tcW w:w="657" w:type="dxa"/>
            <w:vAlign w:val="center"/>
          </w:tcPr>
          <w:p w14:paraId="69AFBACF">
            <w:pPr>
              <w:pStyle w:val="160"/>
              <w:adjustRightInd w:val="0"/>
              <w:snapToGrid w:val="0"/>
              <w:spacing w:after="48"/>
              <w:jc w:val="left"/>
              <w:rPr>
                <w:szCs w:val="21"/>
              </w:rPr>
            </w:pPr>
            <w:r>
              <w:rPr>
                <w:rFonts w:hint="eastAsia"/>
                <w:szCs w:val="21"/>
              </w:rPr>
              <w:t>符合</w:t>
            </w:r>
          </w:p>
        </w:tc>
      </w:tr>
    </w:tbl>
    <w:p w14:paraId="2814D7B2">
      <w:pPr>
        <w:pStyle w:val="58"/>
        <w:spacing w:before="78"/>
        <w:ind w:firstLine="480" w:firstLineChars="200"/>
      </w:pPr>
      <w:r>
        <w:rPr>
          <w:kern w:val="24"/>
          <w:sz w:val="24"/>
        </w:rPr>
        <w:t>由表2.5-</w:t>
      </w:r>
      <w:r>
        <w:rPr>
          <w:rFonts w:hint="eastAsia"/>
          <w:kern w:val="24"/>
          <w:sz w:val="24"/>
        </w:rPr>
        <w:t>3</w:t>
      </w:r>
      <w:r>
        <w:rPr>
          <w:kern w:val="24"/>
          <w:sz w:val="24"/>
        </w:rPr>
        <w:t>可知，本项目符合</w:t>
      </w:r>
      <w:r>
        <w:rPr>
          <w:rFonts w:hint="eastAsia"/>
          <w:kern w:val="24"/>
          <w:sz w:val="24"/>
        </w:rPr>
        <w:t>“气十条”、“</w:t>
      </w:r>
      <w:r>
        <w:rPr>
          <w:kern w:val="24"/>
          <w:sz w:val="24"/>
        </w:rPr>
        <w:t>水十条</w:t>
      </w:r>
      <w:r>
        <w:rPr>
          <w:rFonts w:hint="eastAsia"/>
          <w:kern w:val="24"/>
          <w:sz w:val="24"/>
        </w:rPr>
        <w:t>”、“</w:t>
      </w:r>
      <w:r>
        <w:rPr>
          <w:kern w:val="24"/>
          <w:sz w:val="24"/>
        </w:rPr>
        <w:t>土十条</w:t>
      </w:r>
      <w:r>
        <w:rPr>
          <w:rFonts w:hint="eastAsia"/>
          <w:kern w:val="24"/>
          <w:sz w:val="24"/>
        </w:rPr>
        <w:t>”和“声十条”</w:t>
      </w:r>
      <w:r>
        <w:rPr>
          <w:kern w:val="24"/>
          <w:sz w:val="24"/>
        </w:rPr>
        <w:t>现行环境管理要求。</w:t>
      </w:r>
    </w:p>
    <w:bookmarkEnd w:id="62"/>
    <w:p w14:paraId="42A3967D">
      <w:pPr>
        <w:autoSpaceDE w:val="0"/>
        <w:autoSpaceDN w:val="0"/>
        <w:spacing w:before="78" w:line="360" w:lineRule="auto"/>
        <w:textAlignment w:val="bottom"/>
        <w:rPr>
          <w:b/>
          <w:bCs/>
          <w:kern w:val="24"/>
          <w:sz w:val="24"/>
          <w:szCs w:val="20"/>
        </w:rPr>
      </w:pPr>
      <w:bookmarkStart w:id="64" w:name="_Toc17475956"/>
      <w:r>
        <w:rPr>
          <w:rFonts w:hint="eastAsia"/>
          <w:b/>
          <w:bCs/>
          <w:sz w:val="24"/>
          <w:szCs w:val="28"/>
        </w:rPr>
        <w:t>（2）</w:t>
      </w:r>
      <w:r>
        <w:rPr>
          <w:b/>
          <w:bCs/>
          <w:kern w:val="24"/>
          <w:sz w:val="24"/>
          <w:szCs w:val="20"/>
        </w:rPr>
        <w:t>与《辽宁省深入打好污染防治攻坚战实施方案》</w:t>
      </w:r>
      <w:r>
        <w:rPr>
          <w:rFonts w:hint="eastAsia"/>
          <w:b/>
          <w:bCs/>
          <w:kern w:val="24"/>
          <w:sz w:val="24"/>
          <w:szCs w:val="20"/>
        </w:rPr>
        <w:t>（辽委发[2022]8号）</w:t>
      </w:r>
      <w:r>
        <w:rPr>
          <w:b/>
          <w:bCs/>
          <w:kern w:val="24"/>
          <w:sz w:val="24"/>
          <w:szCs w:val="20"/>
        </w:rPr>
        <w:t>相符性分析</w:t>
      </w:r>
    </w:p>
    <w:p w14:paraId="18D1168C">
      <w:pPr>
        <w:autoSpaceDE w:val="0"/>
        <w:autoSpaceDN w:val="0"/>
        <w:spacing w:before="78" w:line="360" w:lineRule="auto"/>
        <w:ind w:firstLine="480" w:firstLineChars="200"/>
        <w:textAlignment w:val="bottom"/>
        <w:rPr>
          <w:kern w:val="24"/>
          <w:sz w:val="24"/>
        </w:rPr>
      </w:pPr>
      <w:r>
        <w:rPr>
          <w:rFonts w:hint="eastAsia"/>
          <w:kern w:val="24"/>
          <w:sz w:val="24"/>
        </w:rPr>
        <w:t>本项目与</w:t>
      </w:r>
      <w:bookmarkStart w:id="65" w:name="_Hlk187315810"/>
      <w:r>
        <w:rPr>
          <w:kern w:val="24"/>
          <w:sz w:val="24"/>
        </w:rPr>
        <w:t>《辽宁省深入打好污染防治攻坚战实施方案》</w:t>
      </w:r>
      <w:bookmarkEnd w:id="65"/>
      <w:r>
        <w:rPr>
          <w:rFonts w:hint="eastAsia"/>
          <w:kern w:val="24"/>
          <w:sz w:val="24"/>
        </w:rPr>
        <w:t>（辽委发[2022]8号）符合性分析见表2.5-4。</w:t>
      </w:r>
    </w:p>
    <w:p w14:paraId="285ACA3C">
      <w:pPr>
        <w:pStyle w:val="217"/>
        <w:keepNext w:val="0"/>
        <w:keepLines w:val="0"/>
        <w:wordWrap w:val="0"/>
        <w:spacing w:before="0" w:beforeLines="0" w:line="240" w:lineRule="auto"/>
        <w:rPr>
          <w:color w:val="auto"/>
        </w:rPr>
      </w:pPr>
      <w:r>
        <w:rPr>
          <w:color w:val="auto"/>
        </w:rPr>
        <w:t>表2.5-</w:t>
      </w:r>
      <w:r>
        <w:rPr>
          <w:rFonts w:hint="eastAsia"/>
          <w:color w:val="auto"/>
        </w:rPr>
        <w:t xml:space="preserve">4     </w:t>
      </w:r>
      <w:r>
        <w:rPr>
          <w:color w:val="auto"/>
        </w:rPr>
        <w:t xml:space="preserve"> 与《辽宁省深入打好污染防治攻坚战实施方案》相符性分析</w:t>
      </w:r>
    </w:p>
    <w:tbl>
      <w:tblPr>
        <w:tblStyle w:val="89"/>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5326"/>
        <w:gridCol w:w="2134"/>
        <w:gridCol w:w="846"/>
      </w:tblGrid>
      <w:tr w14:paraId="2821472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5326" w:type="dxa"/>
            <w:vAlign w:val="center"/>
          </w:tcPr>
          <w:p w14:paraId="3E0D1D50">
            <w:pPr>
              <w:pStyle w:val="211"/>
              <w:spacing w:before="0" w:beforeLines="0" w:afterLines="0" w:line="240" w:lineRule="auto"/>
              <w:rPr>
                <w:color w:val="auto"/>
                <w:sz w:val="21"/>
                <w:szCs w:val="21"/>
              </w:rPr>
            </w:pPr>
            <w:r>
              <w:rPr>
                <w:color w:val="auto"/>
                <w:sz w:val="21"/>
                <w:szCs w:val="21"/>
              </w:rPr>
              <w:t>方案要求</w:t>
            </w:r>
          </w:p>
        </w:tc>
        <w:tc>
          <w:tcPr>
            <w:tcW w:w="2134" w:type="dxa"/>
            <w:vAlign w:val="center"/>
          </w:tcPr>
          <w:p w14:paraId="182A64C6">
            <w:pPr>
              <w:pStyle w:val="211"/>
              <w:spacing w:before="0" w:beforeLines="0" w:afterLines="0" w:line="240" w:lineRule="auto"/>
              <w:rPr>
                <w:color w:val="auto"/>
                <w:sz w:val="21"/>
                <w:szCs w:val="21"/>
              </w:rPr>
            </w:pPr>
            <w:r>
              <w:rPr>
                <w:color w:val="auto"/>
                <w:sz w:val="21"/>
                <w:szCs w:val="21"/>
              </w:rPr>
              <w:t>本项目实施情况</w:t>
            </w:r>
          </w:p>
        </w:tc>
        <w:tc>
          <w:tcPr>
            <w:tcW w:w="846" w:type="dxa"/>
            <w:vAlign w:val="center"/>
          </w:tcPr>
          <w:p w14:paraId="2D68CA2F">
            <w:pPr>
              <w:pStyle w:val="211"/>
              <w:spacing w:before="0" w:beforeLines="0" w:afterLines="0" w:line="240" w:lineRule="auto"/>
              <w:rPr>
                <w:color w:val="auto"/>
                <w:sz w:val="21"/>
                <w:szCs w:val="21"/>
              </w:rPr>
            </w:pPr>
            <w:r>
              <w:rPr>
                <w:color w:val="auto"/>
                <w:sz w:val="21"/>
                <w:szCs w:val="21"/>
              </w:rPr>
              <w:t>符合性</w:t>
            </w:r>
          </w:p>
        </w:tc>
      </w:tr>
      <w:tr w14:paraId="1D29DFD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26" w:type="dxa"/>
            <w:vAlign w:val="center"/>
          </w:tcPr>
          <w:p w14:paraId="1FB2F04B">
            <w:pPr>
              <w:pStyle w:val="211"/>
              <w:spacing w:before="0" w:beforeLines="0" w:afterLines="0" w:line="240" w:lineRule="auto"/>
              <w:rPr>
                <w:color w:val="auto"/>
                <w:sz w:val="21"/>
                <w:szCs w:val="21"/>
              </w:rPr>
            </w:pPr>
            <w:r>
              <w:rPr>
                <w:color w:val="auto"/>
                <w:sz w:val="21"/>
                <w:szCs w:val="21"/>
              </w:rPr>
              <w:t>推进资源节约高效利用和清洁生产。坚持节约优先，推进资源总量管理、科学配置，全面促进资源节约循环高效利用，推动利用方式根本转变。实施全民节水行动，建设节水型社会。坚持最严格的节约用地制度，提高土地利用集约度。科学合理有序开发海洋资源、矿产资源，提高开发利用水平。</w:t>
            </w:r>
          </w:p>
        </w:tc>
        <w:tc>
          <w:tcPr>
            <w:tcW w:w="2134" w:type="dxa"/>
            <w:vAlign w:val="center"/>
          </w:tcPr>
          <w:p w14:paraId="2EB93A46">
            <w:pPr>
              <w:pStyle w:val="211"/>
              <w:spacing w:before="0" w:beforeLines="0" w:afterLines="0" w:line="240" w:lineRule="auto"/>
              <w:rPr>
                <w:color w:val="auto"/>
                <w:sz w:val="21"/>
                <w:szCs w:val="21"/>
              </w:rPr>
            </w:pPr>
            <w:r>
              <w:rPr>
                <w:color w:val="auto"/>
                <w:sz w:val="21"/>
                <w:szCs w:val="21"/>
              </w:rPr>
              <w:t>本项目生产废水回用于选矿，不外排。</w:t>
            </w:r>
          </w:p>
        </w:tc>
        <w:tc>
          <w:tcPr>
            <w:tcW w:w="846" w:type="dxa"/>
            <w:vAlign w:val="center"/>
          </w:tcPr>
          <w:p w14:paraId="12FD5EC8">
            <w:pPr>
              <w:pStyle w:val="211"/>
              <w:spacing w:before="0" w:beforeLines="0" w:afterLines="0" w:line="240" w:lineRule="auto"/>
              <w:rPr>
                <w:color w:val="auto"/>
                <w:sz w:val="21"/>
                <w:szCs w:val="21"/>
              </w:rPr>
            </w:pPr>
            <w:r>
              <w:rPr>
                <w:color w:val="auto"/>
                <w:sz w:val="21"/>
                <w:szCs w:val="21"/>
              </w:rPr>
              <w:t>符合</w:t>
            </w:r>
          </w:p>
        </w:tc>
      </w:tr>
      <w:tr w14:paraId="053E7EF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26" w:type="dxa"/>
            <w:vAlign w:val="center"/>
          </w:tcPr>
          <w:p w14:paraId="6A7D3C5B">
            <w:pPr>
              <w:pStyle w:val="211"/>
              <w:spacing w:before="0" w:beforeLines="0" w:afterLines="0" w:line="240" w:lineRule="auto"/>
              <w:rPr>
                <w:color w:val="auto"/>
                <w:sz w:val="21"/>
                <w:szCs w:val="21"/>
              </w:rPr>
            </w:pPr>
            <w:r>
              <w:rPr>
                <w:color w:val="auto"/>
                <w:sz w:val="21"/>
                <w:szCs w:val="21"/>
              </w:rPr>
              <w:t>严格落实“三线一单”生态环境分区管控要求，优化区域生产力布局。健全以环评制度为主体的源头预防体系，严格规划环评审查和项目环评准入。</w:t>
            </w:r>
          </w:p>
        </w:tc>
        <w:tc>
          <w:tcPr>
            <w:tcW w:w="2134" w:type="dxa"/>
            <w:vAlign w:val="center"/>
          </w:tcPr>
          <w:p w14:paraId="6181558F">
            <w:pPr>
              <w:pStyle w:val="211"/>
              <w:spacing w:before="0" w:beforeLines="0" w:afterLines="0" w:line="240" w:lineRule="auto"/>
              <w:rPr>
                <w:color w:val="auto"/>
                <w:sz w:val="21"/>
                <w:szCs w:val="21"/>
              </w:rPr>
            </w:pPr>
            <w:r>
              <w:rPr>
                <w:color w:val="auto"/>
                <w:sz w:val="21"/>
                <w:szCs w:val="21"/>
              </w:rPr>
              <w:t>本项目符合阜新市生态环境分区管控要求。</w:t>
            </w:r>
          </w:p>
        </w:tc>
        <w:tc>
          <w:tcPr>
            <w:tcW w:w="846" w:type="dxa"/>
            <w:vAlign w:val="center"/>
          </w:tcPr>
          <w:p w14:paraId="39BC3B5F">
            <w:pPr>
              <w:pStyle w:val="211"/>
              <w:spacing w:before="0" w:beforeLines="0" w:afterLines="0" w:line="240" w:lineRule="auto"/>
              <w:rPr>
                <w:color w:val="auto"/>
                <w:sz w:val="21"/>
                <w:szCs w:val="21"/>
              </w:rPr>
            </w:pPr>
            <w:r>
              <w:rPr>
                <w:color w:val="auto"/>
                <w:sz w:val="21"/>
                <w:szCs w:val="21"/>
              </w:rPr>
              <w:t>符合</w:t>
            </w:r>
          </w:p>
        </w:tc>
      </w:tr>
      <w:tr w14:paraId="24DEE0D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26" w:type="dxa"/>
            <w:vAlign w:val="center"/>
          </w:tcPr>
          <w:p w14:paraId="499A4A5C">
            <w:pPr>
              <w:pStyle w:val="211"/>
              <w:spacing w:before="0" w:beforeLines="0" w:afterLines="0" w:line="240" w:lineRule="auto"/>
              <w:rPr>
                <w:color w:val="auto"/>
                <w:sz w:val="21"/>
                <w:szCs w:val="21"/>
              </w:rPr>
            </w:pPr>
            <w:r>
              <w:rPr>
                <w:color w:val="auto"/>
                <w:sz w:val="21"/>
                <w:szCs w:val="21"/>
              </w:rPr>
              <w:t>坚决遏制高耗能高排放项目盲目发展。对“两高”项目实行清单管理、分类处置、动态监控。严格把好新建、扩建钢铁、水泥熟料、平板玻璃、电解铝等高耗能高排放项目准入关。支持符合规定特别是生产国内短缺重要产品、有利于碳达峰碳中和目标实现的项目发展。稳妥做好存量“两高”项目管理，合理设置政策过渡期，积极推进有节能减排潜力的项目改造升级。强化常态化监管，坚决停批停建不符合规定的“两高”项目。</w:t>
            </w:r>
          </w:p>
        </w:tc>
        <w:tc>
          <w:tcPr>
            <w:tcW w:w="2134" w:type="dxa"/>
            <w:vAlign w:val="center"/>
          </w:tcPr>
          <w:p w14:paraId="3F2389D5">
            <w:pPr>
              <w:pStyle w:val="211"/>
              <w:spacing w:before="0" w:beforeLines="0" w:afterLines="0" w:line="240" w:lineRule="auto"/>
              <w:rPr>
                <w:color w:val="auto"/>
                <w:sz w:val="21"/>
                <w:szCs w:val="21"/>
              </w:rPr>
            </w:pPr>
            <w:r>
              <w:rPr>
                <w:color w:val="auto"/>
                <w:sz w:val="21"/>
                <w:szCs w:val="21"/>
              </w:rPr>
              <w:t>本项目属于黑色金属矿采选业，不属于“两高”项目。</w:t>
            </w:r>
          </w:p>
        </w:tc>
        <w:tc>
          <w:tcPr>
            <w:tcW w:w="846" w:type="dxa"/>
            <w:vAlign w:val="center"/>
          </w:tcPr>
          <w:p w14:paraId="516B851F">
            <w:pPr>
              <w:pStyle w:val="211"/>
              <w:spacing w:before="0" w:beforeLines="0" w:afterLines="0" w:line="240" w:lineRule="auto"/>
              <w:rPr>
                <w:color w:val="auto"/>
                <w:sz w:val="21"/>
                <w:szCs w:val="21"/>
              </w:rPr>
            </w:pPr>
            <w:r>
              <w:rPr>
                <w:color w:val="auto"/>
                <w:sz w:val="21"/>
                <w:szCs w:val="21"/>
              </w:rPr>
              <w:t>符合</w:t>
            </w:r>
          </w:p>
        </w:tc>
      </w:tr>
    </w:tbl>
    <w:p w14:paraId="15634A48">
      <w:pPr>
        <w:autoSpaceDE w:val="0"/>
        <w:autoSpaceDN w:val="0"/>
        <w:spacing w:before="78" w:line="360" w:lineRule="auto"/>
        <w:ind w:firstLine="480" w:firstLineChars="200"/>
        <w:textAlignment w:val="bottom"/>
        <w:rPr>
          <w:kern w:val="24"/>
          <w:sz w:val="24"/>
        </w:rPr>
      </w:pPr>
      <w:r>
        <w:rPr>
          <w:kern w:val="24"/>
          <w:sz w:val="24"/>
        </w:rPr>
        <w:t>由表2.5-</w:t>
      </w:r>
      <w:r>
        <w:rPr>
          <w:rFonts w:hint="eastAsia"/>
          <w:kern w:val="24"/>
          <w:sz w:val="24"/>
        </w:rPr>
        <w:t>4</w:t>
      </w:r>
      <w:r>
        <w:rPr>
          <w:kern w:val="24"/>
          <w:sz w:val="24"/>
        </w:rPr>
        <w:t>可知，本项目建设与《辽宁省深入打好污染防治攻坚战实施方案》相关要求相符。</w:t>
      </w:r>
    </w:p>
    <w:p w14:paraId="3D647E7F">
      <w:pPr>
        <w:autoSpaceDE w:val="0"/>
        <w:autoSpaceDN w:val="0"/>
        <w:spacing w:before="78" w:line="360" w:lineRule="auto"/>
        <w:textAlignment w:val="bottom"/>
        <w:rPr>
          <w:b/>
          <w:bCs/>
          <w:kern w:val="24"/>
          <w:sz w:val="24"/>
        </w:rPr>
      </w:pPr>
      <w:r>
        <w:rPr>
          <w:rFonts w:hint="eastAsia"/>
          <w:b/>
          <w:bCs/>
          <w:kern w:val="24"/>
          <w:sz w:val="24"/>
        </w:rPr>
        <w:t>（3）与</w:t>
      </w:r>
      <w:r>
        <w:rPr>
          <w:rFonts w:hint="eastAsia"/>
          <w:b/>
          <w:bCs/>
          <w:kern w:val="0"/>
          <w:sz w:val="24"/>
          <w:szCs w:val="21"/>
        </w:rPr>
        <w:t>《阜新市“十四五”生态环境保护规划》（阜</w:t>
      </w:r>
      <w:r>
        <w:rPr>
          <w:rFonts w:hint="eastAsia"/>
          <w:b/>
          <w:bCs/>
          <w:kern w:val="0"/>
          <w:sz w:val="24"/>
          <w:szCs w:val="21"/>
          <w:lang w:eastAsia="zh-CN"/>
        </w:rPr>
        <w:t>政办发</w:t>
      </w:r>
      <w:r>
        <w:rPr>
          <w:rFonts w:hint="eastAsia"/>
          <w:b/>
          <w:bCs/>
          <w:kern w:val="0"/>
          <w:sz w:val="24"/>
          <w:szCs w:val="21"/>
        </w:rPr>
        <w:t>[2023]8号）符合性分析</w:t>
      </w:r>
    </w:p>
    <w:p w14:paraId="69E6513E">
      <w:pPr>
        <w:widowControl/>
        <w:adjustRightInd w:val="0"/>
        <w:snapToGrid w:val="0"/>
        <w:spacing w:before="0" w:beforeLines="0" w:line="360" w:lineRule="auto"/>
        <w:ind w:firstLine="480" w:firstLineChars="200"/>
        <w:rPr>
          <w:kern w:val="0"/>
          <w:sz w:val="24"/>
          <w:szCs w:val="21"/>
        </w:rPr>
      </w:pPr>
      <w:r>
        <w:rPr>
          <w:rFonts w:hint="eastAsia"/>
          <w:kern w:val="0"/>
          <w:sz w:val="24"/>
          <w:szCs w:val="21"/>
        </w:rPr>
        <w:t>本项目与《阜新市“十四五”生态环境保护规划》（阜</w:t>
      </w:r>
      <w:r>
        <w:rPr>
          <w:rFonts w:hint="eastAsia"/>
          <w:kern w:val="0"/>
          <w:sz w:val="24"/>
          <w:szCs w:val="21"/>
          <w:lang w:eastAsia="zh-CN"/>
        </w:rPr>
        <w:t>政办发</w:t>
      </w:r>
      <w:r>
        <w:rPr>
          <w:rFonts w:hint="eastAsia"/>
          <w:kern w:val="0"/>
          <w:sz w:val="24"/>
          <w:szCs w:val="21"/>
        </w:rPr>
        <w:t>[2023]8号）的相符性分析见表2.5-5。</w:t>
      </w:r>
    </w:p>
    <w:p w14:paraId="43C7A691">
      <w:pPr>
        <w:widowControl/>
        <w:spacing w:before="0" w:beforeLines="0" w:line="240" w:lineRule="auto"/>
        <w:jc w:val="center"/>
        <w:rPr>
          <w:b/>
          <w:bCs/>
        </w:rPr>
      </w:pPr>
      <w:r>
        <w:rPr>
          <w:b/>
          <w:bCs/>
        </w:rPr>
        <w:t>表</w:t>
      </w:r>
      <w:r>
        <w:rPr>
          <w:rFonts w:hint="eastAsia"/>
          <w:b/>
          <w:bCs/>
        </w:rPr>
        <w:t xml:space="preserve">2.5-5    </w:t>
      </w:r>
      <w:r>
        <w:rPr>
          <w:b/>
          <w:bCs/>
        </w:rPr>
        <w:t>本项目与《阜新市“十四五”生态环境保护规划》符合性分析</w:t>
      </w:r>
    </w:p>
    <w:tbl>
      <w:tblPr>
        <w:tblStyle w:val="89"/>
        <w:tblW w:w="500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5183"/>
        <w:gridCol w:w="2153"/>
        <w:gridCol w:w="976"/>
      </w:tblGrid>
      <w:tr w14:paraId="1F1FCAA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118" w:type="pct"/>
            <w:vAlign w:val="center"/>
          </w:tcPr>
          <w:p w14:paraId="111166F4">
            <w:pPr>
              <w:spacing w:before="0" w:beforeLines="0" w:line="240" w:lineRule="auto"/>
              <w:jc w:val="center"/>
              <w:rPr>
                <w:b/>
                <w:bCs/>
                <w:szCs w:val="21"/>
              </w:rPr>
            </w:pPr>
            <w:r>
              <w:rPr>
                <w:b/>
                <w:bCs/>
                <w:szCs w:val="21"/>
              </w:rPr>
              <w:t>相关要求</w:t>
            </w:r>
          </w:p>
        </w:tc>
        <w:tc>
          <w:tcPr>
            <w:tcW w:w="1295" w:type="pct"/>
            <w:vAlign w:val="center"/>
          </w:tcPr>
          <w:p w14:paraId="63A763CC">
            <w:pPr>
              <w:spacing w:before="0" w:beforeLines="0" w:line="240" w:lineRule="auto"/>
              <w:jc w:val="center"/>
              <w:rPr>
                <w:b/>
                <w:bCs/>
                <w:szCs w:val="21"/>
              </w:rPr>
            </w:pPr>
            <w:r>
              <w:rPr>
                <w:b/>
                <w:bCs/>
                <w:szCs w:val="21"/>
              </w:rPr>
              <w:t>本项目情况</w:t>
            </w:r>
          </w:p>
        </w:tc>
        <w:tc>
          <w:tcPr>
            <w:tcW w:w="587" w:type="pct"/>
            <w:vAlign w:val="center"/>
          </w:tcPr>
          <w:p w14:paraId="27AC7C0D">
            <w:pPr>
              <w:spacing w:before="0" w:beforeLines="0" w:line="240" w:lineRule="auto"/>
              <w:jc w:val="center"/>
              <w:rPr>
                <w:b/>
                <w:bCs/>
                <w:szCs w:val="21"/>
              </w:rPr>
            </w:pPr>
            <w:r>
              <w:rPr>
                <w:b/>
                <w:bCs/>
              </w:rPr>
              <w:t>相符性</w:t>
            </w:r>
          </w:p>
        </w:tc>
      </w:tr>
      <w:tr w14:paraId="387495B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118" w:type="pct"/>
            <w:vAlign w:val="center"/>
          </w:tcPr>
          <w:p w14:paraId="0CFEF647">
            <w:pPr>
              <w:widowControl/>
              <w:spacing w:before="0" w:beforeLines="0" w:line="240" w:lineRule="auto"/>
              <w:jc w:val="center"/>
              <w:rPr>
                <w:szCs w:val="21"/>
              </w:rPr>
            </w:pPr>
            <w:r>
              <w:rPr>
                <w:szCs w:val="21"/>
              </w:rPr>
              <w:t>建立生态环境分区引导机制。立足资源环境承载能力，不断强化“三线一单”生态环境分区管控的约束和政策引领作用，推动建立动态更新和调整机制。加强“三线一单”在相关专项规划编制、产业政策制定、城镇建设、资源开发、建设项目选址、执法监管等方面的应用。健全完善“三线一单”分区管控、规划环评审查和建设项目环评审批联动机制。按照省总体工作安排，推进“三线一单”落实落地；推行规划环评清单式管理，实现重点产业园区规划环评全覆盖。按省要求，完成产业园区规划环评措施落地检查，加快推进园区环境基础设施建设。2024年底前，逐步健全“三线一单”配套的规章制度和管理政策。2025年底前，形成基本完善的区域生态环境空间管控体系。</w:t>
            </w:r>
          </w:p>
        </w:tc>
        <w:tc>
          <w:tcPr>
            <w:tcW w:w="1295" w:type="pct"/>
            <w:vAlign w:val="center"/>
          </w:tcPr>
          <w:p w14:paraId="2C3AB0B3">
            <w:pPr>
              <w:widowControl/>
              <w:spacing w:before="0" w:beforeLines="0" w:line="240" w:lineRule="auto"/>
              <w:jc w:val="center"/>
              <w:rPr>
                <w:szCs w:val="21"/>
              </w:rPr>
            </w:pPr>
            <w:r>
              <w:rPr>
                <w:rFonts w:hint="eastAsia"/>
                <w:szCs w:val="21"/>
              </w:rPr>
              <w:t>项目位于辽宁省阜新市阜蒙县旧庙镇阿哈来村，为新建项目，项目评价范围内无水源及自然保护区分布，本项目厂区不在阜新市生态保护红线范围内。符合“三线一单”要求及生态环境分区管控要求。</w:t>
            </w:r>
          </w:p>
        </w:tc>
        <w:tc>
          <w:tcPr>
            <w:tcW w:w="587" w:type="pct"/>
            <w:vAlign w:val="center"/>
          </w:tcPr>
          <w:p w14:paraId="629991A0">
            <w:pPr>
              <w:spacing w:before="0" w:beforeLines="0" w:line="240" w:lineRule="auto"/>
              <w:jc w:val="center"/>
              <w:rPr>
                <w:szCs w:val="21"/>
              </w:rPr>
            </w:pPr>
            <w:r>
              <w:rPr>
                <w:szCs w:val="21"/>
              </w:rPr>
              <w:t>符合</w:t>
            </w:r>
          </w:p>
        </w:tc>
      </w:tr>
      <w:tr w14:paraId="04C77AE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118" w:type="pct"/>
            <w:vAlign w:val="center"/>
          </w:tcPr>
          <w:p w14:paraId="314BF41C">
            <w:pPr>
              <w:widowControl/>
              <w:spacing w:before="0" w:beforeLines="0" w:line="240" w:lineRule="auto"/>
              <w:jc w:val="center"/>
              <w:rPr>
                <w:szCs w:val="21"/>
              </w:rPr>
            </w:pPr>
            <w:r>
              <w:rPr>
                <w:rFonts w:hint="eastAsia"/>
                <w:szCs w:val="21"/>
              </w:rPr>
              <w:t>提高一般工业固体废物处置利用水平。加强资源综合利用技术装备推广应用，推动工业固体废物资源综合利用产业规模化、集聚化发展。推进尾矿、煤矸石、粉煤灰、冶炼废渣、工业副产石膏等固体废物综合利用。推进工业固体废物在提取价值组分、建材、筑路、生态修复、土壤治理等领域的规模化应用。深入推进大宗固体废弃物综合利用基地建设。2025年底前，达到省级</w:t>
            </w:r>
            <w:r>
              <w:rPr>
                <w:rFonts w:hint="eastAsia"/>
                <w:szCs w:val="21"/>
                <w:lang w:eastAsia="zh-CN"/>
              </w:rPr>
              <w:t>“无废城市”</w:t>
            </w:r>
            <w:r>
              <w:rPr>
                <w:rFonts w:hint="eastAsia"/>
                <w:szCs w:val="21"/>
              </w:rPr>
              <w:t>综合利用率标准。</w:t>
            </w:r>
          </w:p>
        </w:tc>
        <w:tc>
          <w:tcPr>
            <w:tcW w:w="1295" w:type="pct"/>
            <w:vAlign w:val="center"/>
          </w:tcPr>
          <w:p w14:paraId="49E0AF90">
            <w:pPr>
              <w:widowControl/>
              <w:spacing w:before="0" w:beforeLines="0" w:line="240" w:lineRule="auto"/>
              <w:jc w:val="center"/>
              <w:rPr>
                <w:szCs w:val="21"/>
              </w:rPr>
            </w:pPr>
            <w:r>
              <w:rPr>
                <w:rFonts w:hint="eastAsia"/>
                <w:szCs w:val="21"/>
              </w:rPr>
              <w:t>本项目利用阜新亿升达铁选厂尾矿及废石作为原料，通过筛分、破碎、磁选等工艺生产钒钛磁铁矿、钛铁精矿、机制砂、碎石等产品，对现有矿山堆存尾矿和废石进行综合利用。</w:t>
            </w:r>
          </w:p>
        </w:tc>
        <w:tc>
          <w:tcPr>
            <w:tcW w:w="587" w:type="pct"/>
            <w:vAlign w:val="center"/>
          </w:tcPr>
          <w:p w14:paraId="4BBBF58A">
            <w:pPr>
              <w:spacing w:before="0" w:beforeLines="0" w:line="240" w:lineRule="auto"/>
              <w:jc w:val="center"/>
              <w:rPr>
                <w:szCs w:val="21"/>
              </w:rPr>
            </w:pPr>
            <w:r>
              <w:rPr>
                <w:rFonts w:hint="eastAsia"/>
                <w:szCs w:val="21"/>
              </w:rPr>
              <w:t>符合</w:t>
            </w:r>
          </w:p>
        </w:tc>
      </w:tr>
    </w:tbl>
    <w:p w14:paraId="55E1F8D8">
      <w:pPr>
        <w:autoSpaceDE w:val="0"/>
        <w:autoSpaceDN w:val="0"/>
        <w:spacing w:before="78" w:line="360" w:lineRule="auto"/>
        <w:textAlignment w:val="bottom"/>
        <w:rPr>
          <w:kern w:val="24"/>
          <w:sz w:val="24"/>
        </w:rPr>
      </w:pPr>
      <w:r>
        <w:rPr>
          <w:rFonts w:hint="eastAsia"/>
          <w:kern w:val="24"/>
          <w:sz w:val="24"/>
        </w:rPr>
        <w:t>（4）与《阜新市防沙治沙条例》符合性分析</w:t>
      </w:r>
    </w:p>
    <w:p w14:paraId="6BE6E2B8">
      <w:pPr>
        <w:autoSpaceDE w:val="0"/>
        <w:autoSpaceDN w:val="0"/>
        <w:spacing w:before="78" w:line="360" w:lineRule="auto"/>
        <w:textAlignment w:val="bottom"/>
        <w:rPr>
          <w:kern w:val="24"/>
          <w:sz w:val="24"/>
        </w:rPr>
      </w:pPr>
      <w:r>
        <w:rPr>
          <w:rFonts w:hint="eastAsia"/>
          <w:kern w:val="24"/>
          <w:sz w:val="24"/>
        </w:rPr>
        <w:t xml:space="preserve">       本项目与《阜新市防沙治沙条例》（辽宁省第十三届人民代表大会常务委员会第十八次会议）符合性分析见表2.5-6。</w:t>
      </w:r>
    </w:p>
    <w:p w14:paraId="096324F1">
      <w:pPr>
        <w:widowControl/>
        <w:spacing w:before="0" w:beforeLines="0" w:line="240" w:lineRule="auto"/>
        <w:jc w:val="center"/>
        <w:rPr>
          <w:b/>
          <w:bCs/>
        </w:rPr>
      </w:pPr>
      <w:r>
        <w:rPr>
          <w:b/>
          <w:bCs/>
        </w:rPr>
        <w:t>表</w:t>
      </w:r>
      <w:r>
        <w:rPr>
          <w:rFonts w:hint="eastAsia"/>
          <w:b/>
          <w:bCs/>
        </w:rPr>
        <w:t xml:space="preserve">2.5-6    </w:t>
      </w:r>
      <w:r>
        <w:rPr>
          <w:b/>
          <w:bCs/>
        </w:rPr>
        <w:t>本项目与《</w:t>
      </w:r>
      <w:r>
        <w:rPr>
          <w:rFonts w:hint="eastAsia"/>
          <w:b/>
          <w:bCs/>
        </w:rPr>
        <w:t>阜新市防沙治沙条例</w:t>
      </w:r>
      <w:r>
        <w:rPr>
          <w:b/>
          <w:bCs/>
        </w:rPr>
        <w:t>》符合性分析</w:t>
      </w:r>
    </w:p>
    <w:tbl>
      <w:tblPr>
        <w:tblStyle w:val="89"/>
        <w:tblW w:w="500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962"/>
        <w:gridCol w:w="2552"/>
        <w:gridCol w:w="798"/>
      </w:tblGrid>
      <w:tr w14:paraId="2326E49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985" w:type="pct"/>
            <w:vAlign w:val="center"/>
          </w:tcPr>
          <w:p w14:paraId="3B8CDC1C">
            <w:pPr>
              <w:spacing w:before="0" w:beforeLines="0" w:line="240" w:lineRule="auto"/>
              <w:jc w:val="center"/>
              <w:rPr>
                <w:b/>
                <w:bCs/>
                <w:szCs w:val="21"/>
              </w:rPr>
            </w:pPr>
            <w:r>
              <w:rPr>
                <w:b/>
                <w:bCs/>
                <w:szCs w:val="21"/>
              </w:rPr>
              <w:t>相关要求</w:t>
            </w:r>
          </w:p>
        </w:tc>
        <w:tc>
          <w:tcPr>
            <w:tcW w:w="1535" w:type="pct"/>
            <w:vAlign w:val="center"/>
          </w:tcPr>
          <w:p w14:paraId="25E4FE9B">
            <w:pPr>
              <w:spacing w:before="0" w:beforeLines="0" w:line="240" w:lineRule="auto"/>
              <w:jc w:val="center"/>
              <w:rPr>
                <w:b/>
                <w:bCs/>
                <w:szCs w:val="21"/>
              </w:rPr>
            </w:pPr>
            <w:r>
              <w:rPr>
                <w:b/>
                <w:bCs/>
                <w:szCs w:val="21"/>
              </w:rPr>
              <w:t>本项目情况</w:t>
            </w:r>
          </w:p>
        </w:tc>
        <w:tc>
          <w:tcPr>
            <w:tcW w:w="481" w:type="pct"/>
            <w:vAlign w:val="center"/>
          </w:tcPr>
          <w:p w14:paraId="5D085161">
            <w:pPr>
              <w:spacing w:before="0" w:beforeLines="0" w:line="240" w:lineRule="auto"/>
              <w:jc w:val="center"/>
              <w:rPr>
                <w:b/>
                <w:bCs/>
                <w:szCs w:val="21"/>
              </w:rPr>
            </w:pPr>
            <w:r>
              <w:rPr>
                <w:b/>
                <w:bCs/>
              </w:rPr>
              <w:t>相符性</w:t>
            </w:r>
          </w:p>
        </w:tc>
      </w:tr>
      <w:tr w14:paraId="7562BE2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985" w:type="pct"/>
            <w:vAlign w:val="center"/>
          </w:tcPr>
          <w:p w14:paraId="261CFD81">
            <w:pPr>
              <w:widowControl/>
              <w:spacing w:before="0" w:beforeLines="0" w:line="240" w:lineRule="auto"/>
              <w:jc w:val="center"/>
              <w:rPr>
                <w:szCs w:val="21"/>
              </w:rPr>
            </w:pPr>
            <w:r>
              <w:rPr>
                <w:rFonts w:hint="eastAsia"/>
                <w:szCs w:val="21"/>
              </w:rPr>
              <w:t>第十六条森林采伐迹地应当在采伐的当年或者次年完成更新造林任务。</w:t>
            </w:r>
          </w:p>
        </w:tc>
        <w:tc>
          <w:tcPr>
            <w:tcW w:w="1535" w:type="pct"/>
            <w:vAlign w:val="center"/>
          </w:tcPr>
          <w:p w14:paraId="4136069E">
            <w:pPr>
              <w:widowControl/>
              <w:spacing w:before="0" w:beforeLines="0" w:line="240" w:lineRule="auto"/>
              <w:jc w:val="center"/>
              <w:rPr>
                <w:szCs w:val="21"/>
              </w:rPr>
            </w:pPr>
            <w:r>
              <w:rPr>
                <w:rFonts w:hint="eastAsia"/>
                <w:szCs w:val="21"/>
              </w:rPr>
              <w:t>本项目不涉及森林采伐。</w:t>
            </w:r>
          </w:p>
        </w:tc>
        <w:tc>
          <w:tcPr>
            <w:tcW w:w="481" w:type="pct"/>
            <w:vAlign w:val="center"/>
          </w:tcPr>
          <w:p w14:paraId="50A8C38C">
            <w:pPr>
              <w:spacing w:before="0" w:beforeLines="0" w:line="240" w:lineRule="auto"/>
              <w:jc w:val="center"/>
              <w:rPr>
                <w:szCs w:val="21"/>
              </w:rPr>
            </w:pPr>
            <w:r>
              <w:rPr>
                <w:szCs w:val="21"/>
              </w:rPr>
              <w:t>符合</w:t>
            </w:r>
          </w:p>
        </w:tc>
      </w:tr>
      <w:tr w14:paraId="1093851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985" w:type="pct"/>
            <w:vAlign w:val="center"/>
          </w:tcPr>
          <w:p w14:paraId="3DF04D6C">
            <w:pPr>
              <w:widowControl/>
              <w:spacing w:before="0" w:beforeLines="0" w:line="240" w:lineRule="auto"/>
              <w:jc w:val="center"/>
              <w:rPr>
                <w:szCs w:val="21"/>
              </w:rPr>
            </w:pPr>
            <w:r>
              <w:rPr>
                <w:rFonts w:hint="eastAsia"/>
                <w:szCs w:val="21"/>
              </w:rPr>
              <w:t>第十七条 禁止开垦草原。对水土流失严重、沙化趋势、需要改善生态环境的已垦草原，当有计划、有步骤地退耕还草，已造成沙化盐碱化、石漠化的，应当限期治理。</w:t>
            </w:r>
          </w:p>
        </w:tc>
        <w:tc>
          <w:tcPr>
            <w:tcW w:w="1535" w:type="pct"/>
            <w:vAlign w:val="center"/>
          </w:tcPr>
          <w:p w14:paraId="46D70080">
            <w:pPr>
              <w:widowControl/>
              <w:spacing w:before="0" w:beforeLines="0" w:line="240" w:lineRule="auto"/>
              <w:jc w:val="center"/>
              <w:rPr>
                <w:szCs w:val="21"/>
              </w:rPr>
            </w:pPr>
            <w:r>
              <w:rPr>
                <w:rFonts w:hint="eastAsia"/>
                <w:szCs w:val="21"/>
              </w:rPr>
              <w:t>本项目不涉及开垦草原。</w:t>
            </w:r>
          </w:p>
        </w:tc>
        <w:tc>
          <w:tcPr>
            <w:tcW w:w="481" w:type="pct"/>
            <w:vAlign w:val="center"/>
          </w:tcPr>
          <w:p w14:paraId="413B074A">
            <w:pPr>
              <w:spacing w:before="0" w:beforeLines="0" w:line="240" w:lineRule="auto"/>
              <w:jc w:val="center"/>
              <w:rPr>
                <w:szCs w:val="21"/>
              </w:rPr>
            </w:pPr>
            <w:r>
              <w:rPr>
                <w:szCs w:val="21"/>
              </w:rPr>
              <w:t>符合</w:t>
            </w:r>
          </w:p>
        </w:tc>
      </w:tr>
      <w:tr w14:paraId="1F66759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985" w:type="pct"/>
            <w:vAlign w:val="center"/>
          </w:tcPr>
          <w:p w14:paraId="6824E3E2">
            <w:pPr>
              <w:widowControl/>
              <w:spacing w:before="0" w:beforeLines="0" w:line="240" w:lineRule="auto"/>
              <w:jc w:val="center"/>
              <w:rPr>
                <w:szCs w:val="21"/>
              </w:rPr>
            </w:pPr>
            <w:r>
              <w:rPr>
                <w:rFonts w:hint="eastAsia"/>
                <w:szCs w:val="21"/>
              </w:rPr>
              <w:t>第二十五条 鼓励和支持单位和个人采取下列有利于防沙治沙的措施（三）实行乔灌草、多树种混合栽种；(四)其他有利于防沙治沙的措施。</w:t>
            </w:r>
          </w:p>
        </w:tc>
        <w:tc>
          <w:tcPr>
            <w:tcW w:w="1535" w:type="pct"/>
            <w:vAlign w:val="center"/>
          </w:tcPr>
          <w:p w14:paraId="6A474485">
            <w:pPr>
              <w:widowControl/>
              <w:spacing w:before="0" w:beforeLines="0" w:line="240" w:lineRule="auto"/>
              <w:jc w:val="center"/>
              <w:rPr>
                <w:szCs w:val="21"/>
              </w:rPr>
            </w:pPr>
            <w:r>
              <w:rPr>
                <w:rFonts w:hint="eastAsia"/>
                <w:szCs w:val="21"/>
              </w:rPr>
              <w:t>本项目对阜新亿升达铁选厂尾矿及废石进行综合利用，产生的泥饼由辽宁鑫岳矿业负责回填采坑及后续生态恢复。</w:t>
            </w:r>
          </w:p>
        </w:tc>
        <w:tc>
          <w:tcPr>
            <w:tcW w:w="481" w:type="pct"/>
            <w:vAlign w:val="center"/>
          </w:tcPr>
          <w:p w14:paraId="4B1C7FFA">
            <w:pPr>
              <w:spacing w:before="0" w:beforeLines="0" w:line="240" w:lineRule="auto"/>
              <w:jc w:val="center"/>
              <w:rPr>
                <w:szCs w:val="21"/>
              </w:rPr>
            </w:pPr>
            <w:r>
              <w:rPr>
                <w:rFonts w:hint="eastAsia"/>
                <w:szCs w:val="21"/>
              </w:rPr>
              <w:t>符合</w:t>
            </w:r>
          </w:p>
        </w:tc>
      </w:tr>
    </w:tbl>
    <w:p w14:paraId="3963C015">
      <w:pPr>
        <w:pStyle w:val="5"/>
        <w:spacing w:before="78"/>
        <w:ind w:firstLine="281" w:firstLineChars="100"/>
        <w:rPr>
          <w:color w:val="auto"/>
        </w:rPr>
      </w:pPr>
      <w:r>
        <w:rPr>
          <w:color w:val="auto"/>
        </w:rPr>
        <w:t>2.5.</w:t>
      </w:r>
      <w:r>
        <w:rPr>
          <w:rFonts w:hint="eastAsia"/>
          <w:color w:val="auto"/>
        </w:rPr>
        <w:t>5</w:t>
      </w:r>
      <w:r>
        <w:rPr>
          <w:color w:val="auto"/>
        </w:rPr>
        <w:t>项目与</w:t>
      </w:r>
      <w:r>
        <w:rPr>
          <w:rFonts w:hint="eastAsia"/>
          <w:color w:val="auto"/>
        </w:rPr>
        <w:t>行业文件相符性分析</w:t>
      </w:r>
    </w:p>
    <w:p w14:paraId="79E673EC">
      <w:pPr>
        <w:autoSpaceDE w:val="0"/>
        <w:autoSpaceDN w:val="0"/>
        <w:spacing w:before="0" w:beforeLines="0" w:line="360" w:lineRule="auto"/>
        <w:textAlignment w:val="bottom"/>
        <w:rPr>
          <w:b/>
          <w:bCs/>
          <w:kern w:val="24"/>
          <w:sz w:val="24"/>
        </w:rPr>
      </w:pPr>
      <w:bookmarkStart w:id="66" w:name="_Hlk187315828"/>
      <w:bookmarkStart w:id="67" w:name="_Hlk190177654"/>
      <w:r>
        <w:rPr>
          <w:rFonts w:hint="eastAsia"/>
          <w:b/>
          <w:bCs/>
          <w:kern w:val="24"/>
          <w:sz w:val="24"/>
        </w:rPr>
        <w:t>（1）项目与</w:t>
      </w:r>
      <w:r>
        <w:rPr>
          <w:b/>
          <w:bCs/>
          <w:kern w:val="24"/>
          <w:sz w:val="24"/>
        </w:rPr>
        <w:t>《钢铁行业采选矿工艺污染防治最佳可行技术指南(试行)》（公告2010年第38号）</w:t>
      </w:r>
      <w:r>
        <w:rPr>
          <w:rFonts w:hint="eastAsia"/>
          <w:b/>
          <w:bCs/>
          <w:kern w:val="24"/>
          <w:sz w:val="24"/>
        </w:rPr>
        <w:t>相符性分析</w:t>
      </w:r>
    </w:p>
    <w:p w14:paraId="64B0531D">
      <w:pPr>
        <w:autoSpaceDE w:val="0"/>
        <w:autoSpaceDN w:val="0"/>
        <w:spacing w:before="0" w:beforeLines="0" w:line="360" w:lineRule="auto"/>
        <w:textAlignment w:val="bottom"/>
        <w:rPr>
          <w:kern w:val="24"/>
          <w:sz w:val="24"/>
        </w:rPr>
      </w:pPr>
      <w:r>
        <w:rPr>
          <w:rFonts w:hint="eastAsia"/>
          <w:kern w:val="24"/>
          <w:sz w:val="24"/>
        </w:rPr>
        <w:t xml:space="preserve">        本项目对尾矿、废石进行综合利用，参照</w:t>
      </w:r>
      <w:r>
        <w:rPr>
          <w:kern w:val="24"/>
          <w:sz w:val="24"/>
        </w:rPr>
        <w:t>《钢铁行业采选矿工艺污染防治最佳可行技术指南(试行)》（公告2010年第38号）</w:t>
      </w:r>
      <w:r>
        <w:rPr>
          <w:rFonts w:hint="eastAsia"/>
          <w:kern w:val="24"/>
          <w:sz w:val="24"/>
        </w:rPr>
        <w:t>对选矿厂要求进行符合性分析，具体见表2.5-7。</w:t>
      </w:r>
    </w:p>
    <w:p w14:paraId="12EC8B1F">
      <w:pPr>
        <w:pStyle w:val="217"/>
        <w:keepNext w:val="0"/>
        <w:keepLines w:val="0"/>
        <w:spacing w:before="78"/>
        <w:rPr>
          <w:color w:val="auto"/>
        </w:rPr>
      </w:pPr>
      <w:r>
        <w:rPr>
          <w:rFonts w:hint="eastAsia"/>
          <w:color w:val="auto"/>
        </w:rPr>
        <w:t>表</w:t>
      </w:r>
      <w:r>
        <w:rPr>
          <w:color w:val="auto"/>
        </w:rPr>
        <w:t>2.5-</w:t>
      </w:r>
      <w:r>
        <w:rPr>
          <w:rFonts w:hint="eastAsia"/>
          <w:color w:val="auto"/>
        </w:rPr>
        <w:t>7</w:t>
      </w:r>
      <w:r>
        <w:rPr>
          <w:color w:val="auto"/>
        </w:rPr>
        <w:t xml:space="preserve"> </w:t>
      </w:r>
      <w:r>
        <w:rPr>
          <w:rFonts w:hint="eastAsia"/>
          <w:color w:val="auto"/>
        </w:rPr>
        <w:t xml:space="preserve">  </w:t>
      </w:r>
      <w:r>
        <w:rPr>
          <w:color w:val="auto"/>
        </w:rPr>
        <w:t xml:space="preserve"> </w:t>
      </w:r>
      <w:r>
        <w:rPr>
          <w:rFonts w:hint="eastAsia"/>
          <w:color w:val="auto"/>
        </w:rPr>
        <w:t>与《钢铁行业采选矿工艺污染防治最佳可行技术指南(试行)》相符性分析</w:t>
      </w:r>
    </w:p>
    <w:tbl>
      <w:tblPr>
        <w:tblStyle w:val="90"/>
        <w:tblW w:w="8737"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28" w:type="dxa"/>
          <w:bottom w:w="0" w:type="dxa"/>
          <w:right w:w="28" w:type="dxa"/>
        </w:tblCellMar>
      </w:tblPr>
      <w:tblGrid>
        <w:gridCol w:w="3449"/>
        <w:gridCol w:w="3881"/>
        <w:gridCol w:w="1407"/>
      </w:tblGrid>
      <w:tr w14:paraId="697DE1A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7" w:hRule="atLeast"/>
          <w:jc w:val="center"/>
        </w:trPr>
        <w:tc>
          <w:tcPr>
            <w:tcW w:w="3449" w:type="dxa"/>
            <w:tcBorders>
              <w:tl2br w:val="nil"/>
              <w:tr2bl w:val="nil"/>
            </w:tcBorders>
            <w:vAlign w:val="center"/>
          </w:tcPr>
          <w:p w14:paraId="17A1E647">
            <w:pPr>
              <w:spacing w:before="0" w:beforeLines="0" w:line="240" w:lineRule="auto"/>
              <w:jc w:val="center"/>
              <w:rPr>
                <w:szCs w:val="21"/>
              </w:rPr>
            </w:pPr>
            <w:r>
              <w:rPr>
                <w:szCs w:val="21"/>
              </w:rPr>
              <w:t>相关要求</w:t>
            </w:r>
          </w:p>
        </w:tc>
        <w:tc>
          <w:tcPr>
            <w:tcW w:w="3881" w:type="dxa"/>
            <w:tcBorders>
              <w:tl2br w:val="nil"/>
              <w:tr2bl w:val="nil"/>
            </w:tcBorders>
            <w:vAlign w:val="center"/>
          </w:tcPr>
          <w:p w14:paraId="390BE63E">
            <w:pPr>
              <w:spacing w:before="0" w:beforeLines="0" w:line="240" w:lineRule="auto"/>
              <w:jc w:val="center"/>
              <w:rPr>
                <w:szCs w:val="21"/>
              </w:rPr>
            </w:pPr>
            <w:r>
              <w:rPr>
                <w:szCs w:val="21"/>
              </w:rPr>
              <w:t>本项目情况</w:t>
            </w:r>
          </w:p>
        </w:tc>
        <w:tc>
          <w:tcPr>
            <w:tcW w:w="1407" w:type="dxa"/>
            <w:tcBorders>
              <w:tl2br w:val="nil"/>
              <w:tr2bl w:val="nil"/>
            </w:tcBorders>
            <w:vAlign w:val="center"/>
          </w:tcPr>
          <w:p w14:paraId="188CB80F">
            <w:pPr>
              <w:spacing w:before="0" w:beforeLines="0" w:line="240" w:lineRule="auto"/>
              <w:jc w:val="center"/>
              <w:rPr>
                <w:szCs w:val="21"/>
              </w:rPr>
            </w:pPr>
            <w:r>
              <w:rPr>
                <w:rFonts w:hint="eastAsia"/>
                <w:szCs w:val="21"/>
              </w:rPr>
              <w:t>符合性</w:t>
            </w:r>
          </w:p>
        </w:tc>
      </w:tr>
      <w:tr w14:paraId="6C5691C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861" w:hRule="atLeast"/>
          <w:jc w:val="center"/>
        </w:trPr>
        <w:tc>
          <w:tcPr>
            <w:tcW w:w="3449" w:type="dxa"/>
            <w:tcBorders>
              <w:tl2br w:val="nil"/>
              <w:tr2bl w:val="nil"/>
            </w:tcBorders>
            <w:vAlign w:val="center"/>
          </w:tcPr>
          <w:p w14:paraId="0E5ED530">
            <w:pPr>
              <w:spacing w:before="0" w:beforeLines="0" w:line="240" w:lineRule="auto"/>
              <w:jc w:val="center"/>
              <w:rPr>
                <w:szCs w:val="21"/>
              </w:rPr>
            </w:pPr>
            <w:r>
              <w:rPr>
                <w:rFonts w:hint="eastAsia"/>
                <w:szCs w:val="21"/>
              </w:rPr>
              <w:t>大气污染防治最佳可行技术包括就地抑尘技术、袋式除尘技术等</w:t>
            </w:r>
          </w:p>
        </w:tc>
        <w:tc>
          <w:tcPr>
            <w:tcW w:w="3881" w:type="dxa"/>
            <w:tcBorders>
              <w:tl2br w:val="nil"/>
              <w:tr2bl w:val="nil"/>
            </w:tcBorders>
            <w:vAlign w:val="center"/>
          </w:tcPr>
          <w:p w14:paraId="67255BB7">
            <w:pPr>
              <w:spacing w:before="0" w:beforeLines="0" w:line="240" w:lineRule="auto"/>
              <w:jc w:val="center"/>
              <w:rPr>
                <w:szCs w:val="21"/>
              </w:rPr>
            </w:pPr>
            <w:r>
              <w:rPr>
                <w:rFonts w:hint="eastAsia"/>
                <w:szCs w:val="21"/>
              </w:rPr>
              <w:t>本项目采用洒水抑尘降低无组织排放，各产尘点均设置布袋除尘器，对收集的粉尘进行集中处理后排放。</w:t>
            </w:r>
          </w:p>
        </w:tc>
        <w:tc>
          <w:tcPr>
            <w:tcW w:w="1407" w:type="dxa"/>
            <w:tcBorders>
              <w:tl2br w:val="nil"/>
              <w:tr2bl w:val="nil"/>
            </w:tcBorders>
            <w:vAlign w:val="center"/>
          </w:tcPr>
          <w:p w14:paraId="1F3C6E0C">
            <w:pPr>
              <w:spacing w:before="0" w:beforeLines="0" w:line="240" w:lineRule="auto"/>
              <w:jc w:val="center"/>
              <w:rPr>
                <w:szCs w:val="21"/>
              </w:rPr>
            </w:pPr>
            <w:r>
              <w:rPr>
                <w:rFonts w:hint="eastAsia"/>
                <w:szCs w:val="21"/>
              </w:rPr>
              <w:t>符合</w:t>
            </w:r>
          </w:p>
        </w:tc>
      </w:tr>
      <w:tr w14:paraId="28B3D31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574" w:hRule="atLeast"/>
          <w:jc w:val="center"/>
        </w:trPr>
        <w:tc>
          <w:tcPr>
            <w:tcW w:w="3449" w:type="dxa"/>
            <w:tcBorders>
              <w:tl2br w:val="nil"/>
              <w:tr2bl w:val="nil"/>
            </w:tcBorders>
            <w:vAlign w:val="center"/>
          </w:tcPr>
          <w:p w14:paraId="5023942D">
            <w:pPr>
              <w:spacing w:before="0" w:beforeLines="0" w:line="240" w:lineRule="auto"/>
              <w:jc w:val="center"/>
              <w:rPr>
                <w:szCs w:val="21"/>
              </w:rPr>
            </w:pPr>
            <w:r>
              <w:rPr>
                <w:rFonts w:hint="eastAsia"/>
                <w:szCs w:val="21"/>
              </w:rPr>
              <w:t>废水控制预处理最佳可行技术为选矿废水沉淀后循环利用。</w:t>
            </w:r>
          </w:p>
        </w:tc>
        <w:tc>
          <w:tcPr>
            <w:tcW w:w="3881" w:type="dxa"/>
            <w:tcBorders>
              <w:tl2br w:val="nil"/>
              <w:tr2bl w:val="nil"/>
            </w:tcBorders>
            <w:vAlign w:val="center"/>
          </w:tcPr>
          <w:p w14:paraId="7FF85930">
            <w:pPr>
              <w:widowControl/>
              <w:spacing w:before="0" w:beforeLines="0" w:line="240" w:lineRule="auto"/>
              <w:jc w:val="center"/>
              <w:rPr>
                <w:szCs w:val="21"/>
              </w:rPr>
            </w:pPr>
            <w:r>
              <w:rPr>
                <w:rFonts w:hint="eastAsia"/>
                <w:szCs w:val="21"/>
              </w:rPr>
              <w:t>本项目生产废水回用于选矿，不外排。</w:t>
            </w:r>
          </w:p>
        </w:tc>
        <w:tc>
          <w:tcPr>
            <w:tcW w:w="1407" w:type="dxa"/>
            <w:tcBorders>
              <w:tl2br w:val="nil"/>
              <w:tr2bl w:val="nil"/>
            </w:tcBorders>
            <w:vAlign w:val="center"/>
          </w:tcPr>
          <w:p w14:paraId="75827448">
            <w:pPr>
              <w:spacing w:before="0" w:beforeLines="0" w:line="240" w:lineRule="auto"/>
              <w:jc w:val="center"/>
              <w:rPr>
                <w:szCs w:val="21"/>
              </w:rPr>
            </w:pPr>
            <w:r>
              <w:rPr>
                <w:rFonts w:hint="eastAsia"/>
                <w:szCs w:val="21"/>
              </w:rPr>
              <w:t>符合</w:t>
            </w:r>
          </w:p>
        </w:tc>
      </w:tr>
      <w:tr w14:paraId="07E7122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1165" w:hRule="atLeast"/>
          <w:jc w:val="center"/>
        </w:trPr>
        <w:tc>
          <w:tcPr>
            <w:tcW w:w="3449" w:type="dxa"/>
            <w:tcBorders>
              <w:tl2br w:val="nil"/>
              <w:tr2bl w:val="nil"/>
            </w:tcBorders>
            <w:vAlign w:val="center"/>
          </w:tcPr>
          <w:p w14:paraId="22BFC579">
            <w:pPr>
              <w:spacing w:before="0" w:beforeLines="0" w:line="240" w:lineRule="auto"/>
              <w:jc w:val="center"/>
              <w:rPr>
                <w:szCs w:val="21"/>
              </w:rPr>
            </w:pPr>
            <w:r>
              <w:rPr>
                <w:rFonts w:hint="eastAsia"/>
                <w:szCs w:val="21"/>
              </w:rPr>
              <w:t>固体废物处置及综合利用最佳可行技术包括减少尾矿固废排放量，铁矿尾矿再选技术；</w:t>
            </w:r>
            <w:r>
              <w:rPr>
                <w:szCs w:val="21"/>
              </w:rPr>
              <w:t>将采选矿固体废物排放于矿山地下采空区</w:t>
            </w:r>
            <w:r>
              <w:rPr>
                <w:rFonts w:hint="eastAsia"/>
                <w:szCs w:val="21"/>
              </w:rPr>
              <w:t>等</w:t>
            </w:r>
            <w:r>
              <w:rPr>
                <w:szCs w:val="21"/>
              </w:rPr>
              <w:t>。</w:t>
            </w:r>
          </w:p>
        </w:tc>
        <w:tc>
          <w:tcPr>
            <w:tcW w:w="3881" w:type="dxa"/>
            <w:tcBorders>
              <w:tl2br w:val="nil"/>
              <w:tr2bl w:val="nil"/>
            </w:tcBorders>
            <w:vAlign w:val="center"/>
          </w:tcPr>
          <w:p w14:paraId="320783CE">
            <w:pPr>
              <w:spacing w:before="0" w:beforeLines="0" w:line="240" w:lineRule="auto"/>
              <w:rPr>
                <w:szCs w:val="21"/>
              </w:rPr>
            </w:pPr>
            <w:r>
              <w:rPr>
                <w:szCs w:val="21"/>
              </w:rPr>
              <w:t>本项目选矿产生的泥饼回填至现有露天采坑。</w:t>
            </w:r>
          </w:p>
        </w:tc>
        <w:tc>
          <w:tcPr>
            <w:tcW w:w="1407" w:type="dxa"/>
            <w:tcBorders>
              <w:tl2br w:val="nil"/>
              <w:tr2bl w:val="nil"/>
            </w:tcBorders>
            <w:vAlign w:val="center"/>
          </w:tcPr>
          <w:p w14:paraId="65584F4C">
            <w:pPr>
              <w:spacing w:before="0" w:beforeLines="0" w:line="240" w:lineRule="auto"/>
              <w:jc w:val="center"/>
              <w:rPr>
                <w:szCs w:val="21"/>
              </w:rPr>
            </w:pPr>
            <w:r>
              <w:rPr>
                <w:rFonts w:hint="eastAsia"/>
                <w:szCs w:val="21"/>
              </w:rPr>
              <w:t>符合</w:t>
            </w:r>
          </w:p>
        </w:tc>
      </w:tr>
    </w:tbl>
    <w:p w14:paraId="60DFBB0F">
      <w:pPr>
        <w:autoSpaceDE w:val="0"/>
        <w:autoSpaceDN w:val="0"/>
        <w:spacing w:before="0" w:beforeLines="0" w:line="360" w:lineRule="auto"/>
        <w:textAlignment w:val="bottom"/>
        <w:rPr>
          <w:b/>
          <w:bCs/>
          <w:kern w:val="24"/>
          <w:sz w:val="24"/>
        </w:rPr>
      </w:pPr>
      <w:r>
        <w:rPr>
          <w:rFonts w:hint="eastAsia"/>
          <w:b/>
          <w:bCs/>
          <w:kern w:val="24"/>
          <w:sz w:val="24"/>
        </w:rPr>
        <w:t>（2）项目与机制砂相关文件相符性分析</w:t>
      </w:r>
    </w:p>
    <w:p w14:paraId="732A60B4">
      <w:pPr>
        <w:autoSpaceDE w:val="0"/>
        <w:autoSpaceDN w:val="0"/>
        <w:spacing w:before="0" w:beforeLines="0" w:line="360" w:lineRule="auto"/>
        <w:ind w:firstLine="480" w:firstLineChars="200"/>
        <w:textAlignment w:val="bottom"/>
        <w:rPr>
          <w:kern w:val="24"/>
          <w:sz w:val="24"/>
        </w:rPr>
      </w:pPr>
      <w:r>
        <w:rPr>
          <w:rFonts w:hint="eastAsia"/>
          <w:kern w:val="24"/>
          <w:sz w:val="24"/>
        </w:rPr>
        <w:t>本项目主产品为钒钛磁铁矿，副产品为机制砂，因此本项目与</w:t>
      </w:r>
      <w:r>
        <w:rPr>
          <w:kern w:val="24"/>
          <w:sz w:val="24"/>
        </w:rPr>
        <w:t>《关于促进砂石行业健康有序发展的指导意见》</w:t>
      </w:r>
      <w:r>
        <w:rPr>
          <w:rFonts w:hint="eastAsia"/>
          <w:kern w:val="24"/>
          <w:sz w:val="24"/>
        </w:rPr>
        <w:t>（发改价格[2020]473号）</w:t>
      </w:r>
      <w:r>
        <w:rPr>
          <w:kern w:val="24"/>
          <w:sz w:val="24"/>
        </w:rPr>
        <w:t>、《十部门关于推进机制砂石行业高质量发展的若干意见》</w:t>
      </w:r>
      <w:r>
        <w:rPr>
          <w:rFonts w:hint="eastAsia"/>
          <w:kern w:val="24"/>
          <w:sz w:val="24"/>
        </w:rPr>
        <w:t>等相符性分析见表2.5-8。</w:t>
      </w:r>
    </w:p>
    <w:p w14:paraId="2EDE2762">
      <w:pPr>
        <w:pStyle w:val="217"/>
        <w:keepNext w:val="0"/>
        <w:keepLines w:val="0"/>
        <w:spacing w:before="78"/>
        <w:rPr>
          <w:color w:val="auto"/>
        </w:rPr>
      </w:pPr>
      <w:r>
        <w:rPr>
          <w:rFonts w:hint="eastAsia"/>
          <w:color w:val="auto"/>
        </w:rPr>
        <w:t>表</w:t>
      </w:r>
      <w:r>
        <w:rPr>
          <w:color w:val="auto"/>
        </w:rPr>
        <w:t>2.5-</w:t>
      </w:r>
      <w:r>
        <w:rPr>
          <w:rFonts w:hint="eastAsia"/>
          <w:color w:val="auto"/>
        </w:rPr>
        <w:t>8</w:t>
      </w:r>
      <w:r>
        <w:rPr>
          <w:color w:val="auto"/>
        </w:rPr>
        <w:t xml:space="preserve">  </w:t>
      </w:r>
      <w:r>
        <w:rPr>
          <w:rFonts w:hint="eastAsia"/>
          <w:color w:val="auto"/>
        </w:rPr>
        <w:t>与机制砂相关文件相符性分析一览表</w:t>
      </w:r>
    </w:p>
    <w:tbl>
      <w:tblPr>
        <w:tblStyle w:val="90"/>
        <w:tblW w:w="861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28" w:type="dxa"/>
          <w:bottom w:w="0" w:type="dxa"/>
          <w:right w:w="28" w:type="dxa"/>
        </w:tblCellMar>
      </w:tblPr>
      <w:tblGrid>
        <w:gridCol w:w="1701"/>
        <w:gridCol w:w="3828"/>
        <w:gridCol w:w="3089"/>
      </w:tblGrid>
      <w:tr w14:paraId="0459333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jc w:val="center"/>
        </w:trPr>
        <w:tc>
          <w:tcPr>
            <w:tcW w:w="1701" w:type="dxa"/>
            <w:tcBorders>
              <w:tl2br w:val="nil"/>
              <w:tr2bl w:val="nil"/>
            </w:tcBorders>
            <w:vAlign w:val="center"/>
          </w:tcPr>
          <w:p w14:paraId="1B99A622">
            <w:pPr>
              <w:spacing w:before="0" w:beforeLines="0" w:line="240" w:lineRule="auto"/>
              <w:jc w:val="center"/>
              <w:rPr>
                <w:szCs w:val="21"/>
              </w:rPr>
            </w:pPr>
            <w:r>
              <w:rPr>
                <w:szCs w:val="21"/>
              </w:rPr>
              <w:t>相关文件</w:t>
            </w:r>
          </w:p>
        </w:tc>
        <w:tc>
          <w:tcPr>
            <w:tcW w:w="3828" w:type="dxa"/>
            <w:tcBorders>
              <w:tl2br w:val="nil"/>
              <w:tr2bl w:val="nil"/>
            </w:tcBorders>
            <w:vAlign w:val="center"/>
          </w:tcPr>
          <w:p w14:paraId="70871D6C">
            <w:pPr>
              <w:spacing w:before="0" w:beforeLines="0" w:line="240" w:lineRule="auto"/>
              <w:jc w:val="center"/>
              <w:rPr>
                <w:szCs w:val="21"/>
              </w:rPr>
            </w:pPr>
            <w:r>
              <w:rPr>
                <w:szCs w:val="21"/>
              </w:rPr>
              <w:t>相关要求</w:t>
            </w:r>
          </w:p>
        </w:tc>
        <w:tc>
          <w:tcPr>
            <w:tcW w:w="3089" w:type="dxa"/>
            <w:tcBorders>
              <w:tl2br w:val="nil"/>
              <w:tr2bl w:val="nil"/>
            </w:tcBorders>
            <w:vAlign w:val="center"/>
          </w:tcPr>
          <w:p w14:paraId="0A80A57C">
            <w:pPr>
              <w:spacing w:before="0" w:beforeLines="0" w:line="240" w:lineRule="auto"/>
              <w:jc w:val="center"/>
              <w:rPr>
                <w:szCs w:val="21"/>
              </w:rPr>
            </w:pPr>
            <w:r>
              <w:rPr>
                <w:szCs w:val="21"/>
              </w:rPr>
              <w:t>本项目情况</w:t>
            </w:r>
          </w:p>
        </w:tc>
      </w:tr>
      <w:tr w14:paraId="6A4D640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1234" w:hRule="atLeast"/>
          <w:jc w:val="center"/>
        </w:trPr>
        <w:tc>
          <w:tcPr>
            <w:tcW w:w="1701" w:type="dxa"/>
            <w:tcBorders>
              <w:tl2br w:val="nil"/>
              <w:tr2bl w:val="nil"/>
            </w:tcBorders>
            <w:vAlign w:val="center"/>
          </w:tcPr>
          <w:p w14:paraId="6D0F2636">
            <w:pPr>
              <w:spacing w:before="0" w:beforeLines="0" w:line="240" w:lineRule="auto"/>
              <w:jc w:val="center"/>
              <w:rPr>
                <w:szCs w:val="21"/>
              </w:rPr>
            </w:pPr>
            <w:r>
              <w:rPr>
                <w:szCs w:val="21"/>
              </w:rPr>
              <w:t>《关于促进砂石行业健康有序发展的指导意见》</w:t>
            </w:r>
          </w:p>
        </w:tc>
        <w:tc>
          <w:tcPr>
            <w:tcW w:w="3828" w:type="dxa"/>
            <w:tcBorders>
              <w:tl2br w:val="nil"/>
              <w:tr2bl w:val="nil"/>
            </w:tcBorders>
            <w:vAlign w:val="center"/>
          </w:tcPr>
          <w:p w14:paraId="7939E644">
            <w:pPr>
              <w:spacing w:before="0" w:beforeLines="0" w:line="240" w:lineRule="auto"/>
              <w:rPr>
                <w:szCs w:val="21"/>
              </w:rPr>
            </w:pPr>
            <w:r>
              <w:rPr>
                <w:szCs w:val="21"/>
              </w:rPr>
              <w:t>支持废石尾矿综合利用。在符合安全、生态环保要求的前提下，鼓励和支持综合利用废石、矿渣和尾矿等砂石资源，实现</w:t>
            </w:r>
            <w:r>
              <w:rPr>
                <w:rFonts w:hint="eastAsia"/>
                <w:szCs w:val="21"/>
              </w:rPr>
              <w:t>“</w:t>
            </w:r>
            <w:r>
              <w:rPr>
                <w:szCs w:val="21"/>
              </w:rPr>
              <w:t>变废为宝</w:t>
            </w:r>
            <w:r>
              <w:rPr>
                <w:rFonts w:hint="eastAsia"/>
                <w:szCs w:val="21"/>
              </w:rPr>
              <w:t>”</w:t>
            </w:r>
            <w:r>
              <w:rPr>
                <w:szCs w:val="21"/>
              </w:rPr>
              <w:t>。</w:t>
            </w:r>
          </w:p>
        </w:tc>
        <w:tc>
          <w:tcPr>
            <w:tcW w:w="3089" w:type="dxa"/>
            <w:tcBorders>
              <w:tl2br w:val="nil"/>
              <w:tr2bl w:val="nil"/>
            </w:tcBorders>
            <w:vAlign w:val="center"/>
          </w:tcPr>
          <w:p w14:paraId="3D43BA43">
            <w:pPr>
              <w:spacing w:before="0" w:beforeLines="0" w:line="240" w:lineRule="auto"/>
              <w:jc w:val="center"/>
              <w:rPr>
                <w:szCs w:val="21"/>
              </w:rPr>
            </w:pPr>
            <w:r>
              <w:rPr>
                <w:szCs w:val="21"/>
              </w:rPr>
              <w:t>本项目利用</w:t>
            </w:r>
            <w:r>
              <w:rPr>
                <w:rFonts w:hint="eastAsia"/>
                <w:szCs w:val="21"/>
              </w:rPr>
              <w:t>阜新亿升达铁选厂</w:t>
            </w:r>
            <w:r>
              <w:rPr>
                <w:szCs w:val="21"/>
              </w:rPr>
              <w:t>尾矿</w:t>
            </w:r>
            <w:r>
              <w:rPr>
                <w:rFonts w:hint="eastAsia"/>
                <w:szCs w:val="21"/>
              </w:rPr>
              <w:t>及废石</w:t>
            </w:r>
            <w:r>
              <w:rPr>
                <w:szCs w:val="21"/>
              </w:rPr>
              <w:t>作为原料，生产钒钛磁铁矿、钛铁精矿、机制砂、碎石等产品</w:t>
            </w:r>
            <w:r>
              <w:rPr>
                <w:rFonts w:hint="eastAsia"/>
                <w:szCs w:val="21"/>
              </w:rPr>
              <w:t>，属“</w:t>
            </w:r>
            <w:r>
              <w:rPr>
                <w:szCs w:val="21"/>
              </w:rPr>
              <w:t>变废为宝</w:t>
            </w:r>
            <w:r>
              <w:rPr>
                <w:rFonts w:hint="eastAsia"/>
                <w:szCs w:val="21"/>
              </w:rPr>
              <w:t>”</w:t>
            </w:r>
            <w:r>
              <w:rPr>
                <w:szCs w:val="21"/>
              </w:rPr>
              <w:t>。</w:t>
            </w:r>
          </w:p>
        </w:tc>
      </w:tr>
      <w:tr w14:paraId="7CD2B4F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jc w:val="center"/>
        </w:trPr>
        <w:tc>
          <w:tcPr>
            <w:tcW w:w="1701" w:type="dxa"/>
            <w:tcBorders>
              <w:tl2br w:val="nil"/>
              <w:tr2bl w:val="nil"/>
            </w:tcBorders>
            <w:vAlign w:val="center"/>
          </w:tcPr>
          <w:p w14:paraId="3603F3AE">
            <w:pPr>
              <w:spacing w:before="0" w:beforeLines="0" w:line="240" w:lineRule="auto"/>
              <w:jc w:val="center"/>
              <w:rPr>
                <w:szCs w:val="21"/>
              </w:rPr>
            </w:pPr>
            <w:r>
              <w:rPr>
                <w:szCs w:val="21"/>
              </w:rPr>
              <w:t>《十部门关于推进机制砂石行业高质量发展的若干意见》</w:t>
            </w:r>
          </w:p>
        </w:tc>
        <w:tc>
          <w:tcPr>
            <w:tcW w:w="3828" w:type="dxa"/>
            <w:tcBorders>
              <w:tl2br w:val="nil"/>
              <w:tr2bl w:val="nil"/>
            </w:tcBorders>
            <w:vAlign w:val="center"/>
          </w:tcPr>
          <w:p w14:paraId="50A83373">
            <w:pPr>
              <w:spacing w:before="0" w:beforeLines="0" w:line="240" w:lineRule="auto"/>
              <w:jc w:val="center"/>
              <w:rPr>
                <w:szCs w:val="21"/>
              </w:rPr>
            </w:pPr>
            <w:r>
              <w:rPr>
                <w:szCs w:val="21"/>
              </w:rPr>
              <w:t>拓展砂石来源。规范砂石资源管理，鼓励利用废石以及铁、钼、钒、钛等矿山的尾矿生产机制砂石，节约天然资源，提高产业固体废物综合利用水平。</w:t>
            </w:r>
          </w:p>
        </w:tc>
        <w:tc>
          <w:tcPr>
            <w:tcW w:w="3089" w:type="dxa"/>
            <w:tcBorders>
              <w:tl2br w:val="nil"/>
              <w:tr2bl w:val="nil"/>
            </w:tcBorders>
            <w:vAlign w:val="center"/>
          </w:tcPr>
          <w:p w14:paraId="5FCAA96D">
            <w:pPr>
              <w:spacing w:before="0" w:beforeLines="0" w:line="240" w:lineRule="auto"/>
              <w:jc w:val="center"/>
              <w:rPr>
                <w:szCs w:val="21"/>
              </w:rPr>
            </w:pPr>
            <w:r>
              <w:rPr>
                <w:szCs w:val="21"/>
              </w:rPr>
              <w:t>本项目利用</w:t>
            </w:r>
            <w:r>
              <w:rPr>
                <w:rFonts w:hint="eastAsia"/>
                <w:szCs w:val="21"/>
              </w:rPr>
              <w:t>阜新亿升达铁选厂</w:t>
            </w:r>
            <w:r>
              <w:rPr>
                <w:szCs w:val="21"/>
              </w:rPr>
              <w:t>尾矿</w:t>
            </w:r>
            <w:r>
              <w:rPr>
                <w:rFonts w:hint="eastAsia"/>
                <w:szCs w:val="21"/>
              </w:rPr>
              <w:t>及废石</w:t>
            </w:r>
            <w:r>
              <w:rPr>
                <w:szCs w:val="21"/>
              </w:rPr>
              <w:t>作为原料，生产钒钛磁铁矿、钛铁精矿、机制砂、碎石等产品，</w:t>
            </w:r>
            <w:r>
              <w:rPr>
                <w:rFonts w:hint="eastAsia"/>
                <w:szCs w:val="21"/>
              </w:rPr>
              <w:t>节约天然资源</w:t>
            </w:r>
            <w:r>
              <w:rPr>
                <w:szCs w:val="21"/>
              </w:rPr>
              <w:t>。</w:t>
            </w:r>
          </w:p>
        </w:tc>
      </w:tr>
    </w:tbl>
    <w:p w14:paraId="5B7B31AA">
      <w:pPr>
        <w:autoSpaceDE w:val="0"/>
        <w:autoSpaceDN w:val="0"/>
        <w:spacing w:before="0" w:beforeLines="0" w:line="360" w:lineRule="auto"/>
        <w:textAlignment w:val="bottom"/>
        <w:rPr>
          <w:b/>
          <w:bCs/>
          <w:kern w:val="24"/>
          <w:sz w:val="24"/>
        </w:rPr>
      </w:pPr>
      <w:r>
        <w:rPr>
          <w:rFonts w:hint="eastAsia"/>
          <w:b/>
          <w:bCs/>
          <w:kern w:val="24"/>
          <w:sz w:val="24"/>
        </w:rPr>
        <w:t>（3）与固体废物利用相符性分析</w:t>
      </w:r>
    </w:p>
    <w:p w14:paraId="2FEFFFDD">
      <w:pPr>
        <w:autoSpaceDE w:val="0"/>
        <w:autoSpaceDN w:val="0"/>
        <w:spacing w:before="0" w:beforeLines="0" w:line="360" w:lineRule="auto"/>
        <w:ind w:firstLine="480" w:firstLineChars="200"/>
        <w:textAlignment w:val="bottom"/>
        <w:rPr>
          <w:kern w:val="24"/>
          <w:sz w:val="24"/>
        </w:rPr>
      </w:pPr>
      <w:r>
        <w:rPr>
          <w:rFonts w:hint="eastAsia"/>
          <w:kern w:val="24"/>
          <w:sz w:val="24"/>
        </w:rPr>
        <w:t>本项目与固体废物处置相关文件</w:t>
      </w:r>
      <w:r>
        <w:rPr>
          <w:kern w:val="24"/>
          <w:sz w:val="24"/>
        </w:rPr>
        <w:t>《关于</w:t>
      </w:r>
      <w:r>
        <w:rPr>
          <w:rFonts w:hint="eastAsia"/>
          <w:kern w:val="24"/>
          <w:sz w:val="24"/>
        </w:rPr>
        <w:t>“</w:t>
      </w:r>
      <w:r>
        <w:rPr>
          <w:kern w:val="24"/>
          <w:sz w:val="24"/>
        </w:rPr>
        <w:t>十四五</w:t>
      </w:r>
      <w:r>
        <w:rPr>
          <w:rFonts w:hint="eastAsia"/>
          <w:kern w:val="24"/>
          <w:sz w:val="24"/>
        </w:rPr>
        <w:t>”</w:t>
      </w:r>
      <w:r>
        <w:rPr>
          <w:kern w:val="24"/>
          <w:sz w:val="24"/>
        </w:rPr>
        <w:t>大宗固体废弃物综合利用的指导意见》（发改环资〔2021〕381号）、《固体废物再生利用污染防治技术导则》（HJ1091-2020）</w:t>
      </w:r>
      <w:r>
        <w:rPr>
          <w:rFonts w:hint="eastAsia"/>
          <w:kern w:val="24"/>
          <w:sz w:val="24"/>
        </w:rPr>
        <w:t>等符合性分析见表2.5-9。本项目与</w:t>
      </w:r>
      <w:bookmarkStart w:id="68" w:name="OLE_LINK12"/>
      <w:bookmarkStart w:id="69" w:name="OLE_LINK52"/>
      <w:r>
        <w:rPr>
          <w:rFonts w:hint="eastAsia"/>
          <w:kern w:val="24"/>
          <w:sz w:val="24"/>
        </w:rPr>
        <w:t>《固体废物鉴别标准 通则》（</w:t>
      </w:r>
      <w:r>
        <w:rPr>
          <w:kern w:val="24"/>
          <w:sz w:val="24"/>
        </w:rPr>
        <w:t>GB34330-2025</w:t>
      </w:r>
      <w:r>
        <w:rPr>
          <w:rFonts w:hint="eastAsia"/>
          <w:kern w:val="24"/>
          <w:sz w:val="24"/>
        </w:rPr>
        <w:t>）</w:t>
      </w:r>
      <w:bookmarkEnd w:id="68"/>
      <w:r>
        <w:rPr>
          <w:rFonts w:hint="eastAsia"/>
          <w:kern w:val="24"/>
          <w:sz w:val="24"/>
        </w:rPr>
        <w:t>符合性分</w:t>
      </w:r>
      <w:bookmarkEnd w:id="69"/>
      <w:r>
        <w:rPr>
          <w:rFonts w:hint="eastAsia"/>
          <w:kern w:val="24"/>
          <w:sz w:val="24"/>
        </w:rPr>
        <w:t>析见表2.5-10。</w:t>
      </w:r>
    </w:p>
    <w:p w14:paraId="29A97B4A">
      <w:pPr>
        <w:pStyle w:val="217"/>
        <w:keepNext w:val="0"/>
        <w:keepLines w:val="0"/>
        <w:spacing w:before="78"/>
        <w:rPr>
          <w:color w:val="auto"/>
        </w:rPr>
      </w:pPr>
      <w:r>
        <w:rPr>
          <w:rFonts w:hint="eastAsia"/>
          <w:color w:val="auto"/>
        </w:rPr>
        <w:t>表</w:t>
      </w:r>
      <w:r>
        <w:rPr>
          <w:color w:val="auto"/>
        </w:rPr>
        <w:t>2.5-</w:t>
      </w:r>
      <w:r>
        <w:rPr>
          <w:rFonts w:hint="eastAsia"/>
          <w:color w:val="auto"/>
        </w:rPr>
        <w:t>9</w:t>
      </w:r>
      <w:r>
        <w:rPr>
          <w:color w:val="auto"/>
        </w:rPr>
        <w:t xml:space="preserve">  </w:t>
      </w:r>
      <w:r>
        <w:rPr>
          <w:rFonts w:hint="eastAsia"/>
          <w:color w:val="auto"/>
        </w:rPr>
        <w:t>与固体废物处置相符性分析一览表</w:t>
      </w:r>
    </w:p>
    <w:tbl>
      <w:tblPr>
        <w:tblStyle w:val="90"/>
        <w:tblW w:w="861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28" w:type="dxa"/>
          <w:bottom w:w="0" w:type="dxa"/>
          <w:right w:w="28" w:type="dxa"/>
        </w:tblCellMar>
      </w:tblPr>
      <w:tblGrid>
        <w:gridCol w:w="1985"/>
        <w:gridCol w:w="3544"/>
        <w:gridCol w:w="2409"/>
        <w:gridCol w:w="680"/>
      </w:tblGrid>
      <w:tr w14:paraId="4A88733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jc w:val="center"/>
        </w:trPr>
        <w:tc>
          <w:tcPr>
            <w:tcW w:w="1985" w:type="dxa"/>
            <w:tcBorders>
              <w:tl2br w:val="nil"/>
              <w:tr2bl w:val="nil"/>
            </w:tcBorders>
            <w:vAlign w:val="center"/>
          </w:tcPr>
          <w:p w14:paraId="65EBA018">
            <w:pPr>
              <w:spacing w:before="0" w:beforeLines="0" w:line="240" w:lineRule="auto"/>
              <w:jc w:val="center"/>
              <w:rPr>
                <w:szCs w:val="21"/>
              </w:rPr>
            </w:pPr>
            <w:r>
              <w:rPr>
                <w:szCs w:val="21"/>
              </w:rPr>
              <w:t>相关文件</w:t>
            </w:r>
          </w:p>
        </w:tc>
        <w:tc>
          <w:tcPr>
            <w:tcW w:w="3544" w:type="dxa"/>
            <w:tcBorders>
              <w:tl2br w:val="nil"/>
              <w:tr2bl w:val="nil"/>
            </w:tcBorders>
            <w:vAlign w:val="center"/>
          </w:tcPr>
          <w:p w14:paraId="1B69AD3C">
            <w:pPr>
              <w:spacing w:before="0" w:beforeLines="0" w:line="240" w:lineRule="auto"/>
              <w:jc w:val="center"/>
              <w:rPr>
                <w:szCs w:val="21"/>
              </w:rPr>
            </w:pPr>
            <w:r>
              <w:rPr>
                <w:szCs w:val="21"/>
              </w:rPr>
              <w:t>相关要求</w:t>
            </w:r>
          </w:p>
        </w:tc>
        <w:tc>
          <w:tcPr>
            <w:tcW w:w="2409" w:type="dxa"/>
            <w:tcBorders>
              <w:tl2br w:val="nil"/>
              <w:tr2bl w:val="nil"/>
            </w:tcBorders>
            <w:vAlign w:val="center"/>
          </w:tcPr>
          <w:p w14:paraId="40279B95">
            <w:pPr>
              <w:spacing w:before="0" w:beforeLines="0" w:line="240" w:lineRule="auto"/>
              <w:jc w:val="center"/>
              <w:rPr>
                <w:szCs w:val="21"/>
              </w:rPr>
            </w:pPr>
            <w:r>
              <w:rPr>
                <w:szCs w:val="21"/>
              </w:rPr>
              <w:t>本项目情况</w:t>
            </w:r>
          </w:p>
        </w:tc>
        <w:tc>
          <w:tcPr>
            <w:tcW w:w="680" w:type="dxa"/>
            <w:tcBorders>
              <w:tl2br w:val="nil"/>
              <w:tr2bl w:val="nil"/>
            </w:tcBorders>
            <w:vAlign w:val="center"/>
          </w:tcPr>
          <w:p w14:paraId="235D213B">
            <w:pPr>
              <w:spacing w:before="0" w:beforeLines="0" w:line="240" w:lineRule="auto"/>
              <w:jc w:val="center"/>
              <w:rPr>
                <w:szCs w:val="21"/>
              </w:rPr>
            </w:pPr>
            <w:r>
              <w:rPr>
                <w:rFonts w:hint="eastAsia"/>
                <w:szCs w:val="21"/>
              </w:rPr>
              <w:t>符合性</w:t>
            </w:r>
          </w:p>
        </w:tc>
      </w:tr>
      <w:tr w14:paraId="615F9F1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16" w:hRule="atLeast"/>
          <w:jc w:val="center"/>
        </w:trPr>
        <w:tc>
          <w:tcPr>
            <w:tcW w:w="1985" w:type="dxa"/>
            <w:tcBorders>
              <w:tl2br w:val="nil"/>
              <w:tr2bl w:val="nil"/>
            </w:tcBorders>
            <w:vAlign w:val="center"/>
          </w:tcPr>
          <w:p w14:paraId="6FB95893">
            <w:pPr>
              <w:spacing w:before="0" w:beforeLines="0" w:line="240" w:lineRule="auto"/>
              <w:jc w:val="center"/>
              <w:rPr>
                <w:szCs w:val="21"/>
              </w:rPr>
            </w:pPr>
            <w:r>
              <w:rPr>
                <w:szCs w:val="21"/>
              </w:rPr>
              <w:t>《关于</w:t>
            </w:r>
            <w:r>
              <w:rPr>
                <w:rFonts w:hint="eastAsia"/>
                <w:szCs w:val="21"/>
              </w:rPr>
              <w:t>“</w:t>
            </w:r>
            <w:r>
              <w:rPr>
                <w:szCs w:val="21"/>
              </w:rPr>
              <w:t>十四五</w:t>
            </w:r>
            <w:r>
              <w:rPr>
                <w:rFonts w:hint="eastAsia"/>
                <w:szCs w:val="21"/>
              </w:rPr>
              <w:t>”</w:t>
            </w:r>
            <w:r>
              <w:rPr>
                <w:szCs w:val="21"/>
              </w:rPr>
              <w:t>大宗固体废弃物综合利用的指导意见》（发改环资〔2021〕381号）</w:t>
            </w:r>
          </w:p>
        </w:tc>
        <w:tc>
          <w:tcPr>
            <w:tcW w:w="3544" w:type="dxa"/>
            <w:tcBorders>
              <w:tl2br w:val="nil"/>
              <w:tr2bl w:val="nil"/>
            </w:tcBorders>
            <w:vAlign w:val="center"/>
          </w:tcPr>
          <w:p w14:paraId="3487FDCF">
            <w:pPr>
              <w:spacing w:before="0" w:beforeLines="0" w:line="240" w:lineRule="auto"/>
              <w:jc w:val="center"/>
              <w:rPr>
                <w:szCs w:val="21"/>
              </w:rPr>
            </w:pPr>
            <w:r>
              <w:rPr>
                <w:szCs w:val="21"/>
              </w:rPr>
              <w:t>稳步推进金属尾矿有价组分高效提取及整体利用，推动采矿废石制备砂石骨料、陶粒、干混砂浆等砂源替代材料和胶凝回填利用，探索尾矿在生态环境治理领域的利用。加快推进黑色金属、有色金属、稀贵金属等共伴生矿产资源综合开发利用和有价组分梯级回收，推动有价金属提取后剩余废渣的规模化利用。</w:t>
            </w:r>
          </w:p>
        </w:tc>
        <w:tc>
          <w:tcPr>
            <w:tcW w:w="2409" w:type="dxa"/>
            <w:tcBorders>
              <w:tl2br w:val="nil"/>
              <w:tr2bl w:val="nil"/>
            </w:tcBorders>
            <w:vAlign w:val="center"/>
          </w:tcPr>
          <w:p w14:paraId="6020B228">
            <w:pPr>
              <w:spacing w:before="0" w:beforeLines="0" w:line="240" w:lineRule="auto"/>
              <w:jc w:val="center"/>
              <w:rPr>
                <w:szCs w:val="21"/>
              </w:rPr>
            </w:pPr>
            <w:r>
              <w:rPr>
                <w:szCs w:val="21"/>
              </w:rPr>
              <w:t>本项目为黑色金属选矿业，利用</w:t>
            </w:r>
            <w:r>
              <w:rPr>
                <w:rFonts w:hint="eastAsia"/>
                <w:szCs w:val="21"/>
              </w:rPr>
              <w:t>阜新亿升达铁选厂</w:t>
            </w:r>
            <w:r>
              <w:rPr>
                <w:szCs w:val="21"/>
              </w:rPr>
              <w:t>尾矿</w:t>
            </w:r>
            <w:r>
              <w:rPr>
                <w:rFonts w:hint="eastAsia"/>
                <w:szCs w:val="21"/>
              </w:rPr>
              <w:t>及废石</w:t>
            </w:r>
            <w:r>
              <w:rPr>
                <w:szCs w:val="21"/>
              </w:rPr>
              <w:t>作为原料，通过筛分、破碎、磁选等工艺生产钒钛磁铁矿、钛铁精矿、机制砂、碎石等产品外售，产生的泥饼回填至现有露天采坑。</w:t>
            </w:r>
          </w:p>
        </w:tc>
        <w:tc>
          <w:tcPr>
            <w:tcW w:w="680" w:type="dxa"/>
            <w:tcBorders>
              <w:tl2br w:val="nil"/>
              <w:tr2bl w:val="nil"/>
            </w:tcBorders>
            <w:vAlign w:val="center"/>
          </w:tcPr>
          <w:p w14:paraId="146866F2">
            <w:pPr>
              <w:spacing w:before="0" w:beforeLines="0" w:line="240" w:lineRule="auto"/>
              <w:jc w:val="center"/>
              <w:rPr>
                <w:szCs w:val="21"/>
              </w:rPr>
            </w:pPr>
            <w:r>
              <w:rPr>
                <w:rFonts w:hint="eastAsia"/>
                <w:szCs w:val="21"/>
              </w:rPr>
              <w:t>符合</w:t>
            </w:r>
          </w:p>
        </w:tc>
      </w:tr>
      <w:tr w14:paraId="5AC42D9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jc w:val="center"/>
        </w:trPr>
        <w:tc>
          <w:tcPr>
            <w:tcW w:w="1985" w:type="dxa"/>
            <w:tcBorders>
              <w:tl2br w:val="nil"/>
              <w:tr2bl w:val="nil"/>
            </w:tcBorders>
            <w:vAlign w:val="center"/>
          </w:tcPr>
          <w:p w14:paraId="2C6636A7">
            <w:pPr>
              <w:spacing w:before="0" w:beforeLines="0" w:line="240" w:lineRule="auto"/>
              <w:jc w:val="center"/>
              <w:rPr>
                <w:szCs w:val="21"/>
              </w:rPr>
            </w:pPr>
            <w:r>
              <w:rPr>
                <w:szCs w:val="21"/>
              </w:rPr>
              <w:t>《固体废物再生利用污染防治技术导则》（HJ1091-2020）</w:t>
            </w:r>
          </w:p>
        </w:tc>
        <w:tc>
          <w:tcPr>
            <w:tcW w:w="3544" w:type="dxa"/>
            <w:tcBorders>
              <w:tl2br w:val="nil"/>
              <w:tr2bl w:val="nil"/>
            </w:tcBorders>
            <w:vAlign w:val="center"/>
          </w:tcPr>
          <w:p w14:paraId="684B7896">
            <w:pPr>
              <w:spacing w:before="0" w:beforeLines="0" w:line="240" w:lineRule="auto"/>
              <w:jc w:val="center"/>
              <w:rPr>
                <w:szCs w:val="21"/>
              </w:rPr>
            </w:pPr>
            <w:r>
              <w:rPr>
                <w:szCs w:val="21"/>
              </w:rPr>
              <w:t>含黑色金属固体废物的分选可采用磁力分选或电力分选。</w:t>
            </w:r>
          </w:p>
        </w:tc>
        <w:tc>
          <w:tcPr>
            <w:tcW w:w="2409" w:type="dxa"/>
            <w:tcBorders>
              <w:tl2br w:val="nil"/>
              <w:tr2bl w:val="nil"/>
            </w:tcBorders>
            <w:vAlign w:val="center"/>
          </w:tcPr>
          <w:p w14:paraId="325DFD1E">
            <w:pPr>
              <w:spacing w:before="0" w:beforeLines="0" w:line="240" w:lineRule="auto"/>
              <w:jc w:val="center"/>
              <w:rPr>
                <w:szCs w:val="21"/>
              </w:rPr>
            </w:pPr>
            <w:r>
              <w:rPr>
                <w:szCs w:val="21"/>
              </w:rPr>
              <w:t>本项目选矿工艺主要有筛分、破碎、磁选。</w:t>
            </w:r>
          </w:p>
        </w:tc>
        <w:tc>
          <w:tcPr>
            <w:tcW w:w="680" w:type="dxa"/>
            <w:tcBorders>
              <w:tl2br w:val="nil"/>
              <w:tr2bl w:val="nil"/>
            </w:tcBorders>
            <w:vAlign w:val="center"/>
          </w:tcPr>
          <w:p w14:paraId="5C262505">
            <w:pPr>
              <w:spacing w:before="0" w:beforeLines="0" w:line="240" w:lineRule="auto"/>
              <w:jc w:val="center"/>
              <w:rPr>
                <w:szCs w:val="21"/>
              </w:rPr>
            </w:pPr>
            <w:r>
              <w:rPr>
                <w:rFonts w:hint="eastAsia"/>
                <w:szCs w:val="21"/>
              </w:rPr>
              <w:t>符合</w:t>
            </w:r>
          </w:p>
        </w:tc>
      </w:tr>
    </w:tbl>
    <w:p w14:paraId="18D10C43">
      <w:pPr>
        <w:pStyle w:val="217"/>
        <w:keepNext w:val="0"/>
        <w:keepLines w:val="0"/>
        <w:spacing w:before="78"/>
        <w:rPr>
          <w:color w:val="auto"/>
        </w:rPr>
      </w:pPr>
      <w:bookmarkStart w:id="70" w:name="OLE_LINK72"/>
      <w:r>
        <w:rPr>
          <w:rFonts w:hint="eastAsia"/>
          <w:color w:val="auto"/>
        </w:rPr>
        <w:t>表</w:t>
      </w:r>
      <w:r>
        <w:rPr>
          <w:color w:val="auto"/>
        </w:rPr>
        <w:t>2.5-</w:t>
      </w:r>
      <w:r>
        <w:rPr>
          <w:rFonts w:hint="eastAsia"/>
          <w:color w:val="auto"/>
        </w:rPr>
        <w:t>10  与</w:t>
      </w:r>
      <w:r>
        <w:rPr>
          <w:color w:val="auto"/>
        </w:rPr>
        <w:t>《固体废物鉴别标准 通则》（GB34330-2025）</w:t>
      </w:r>
      <w:r>
        <w:rPr>
          <w:rFonts w:hint="eastAsia"/>
          <w:color w:val="auto"/>
        </w:rPr>
        <w:t>相符性分析一览表</w:t>
      </w:r>
    </w:p>
    <w:tbl>
      <w:tblPr>
        <w:tblStyle w:val="90"/>
        <w:tblW w:w="861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28" w:type="dxa"/>
          <w:bottom w:w="0" w:type="dxa"/>
          <w:right w:w="28" w:type="dxa"/>
        </w:tblCellMar>
      </w:tblPr>
      <w:tblGrid>
        <w:gridCol w:w="5670"/>
        <w:gridCol w:w="2127"/>
        <w:gridCol w:w="821"/>
      </w:tblGrid>
      <w:tr w14:paraId="1AC45A8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jc w:val="center"/>
        </w:trPr>
        <w:tc>
          <w:tcPr>
            <w:tcW w:w="5670" w:type="dxa"/>
            <w:tcBorders>
              <w:tl2br w:val="nil"/>
              <w:tr2bl w:val="nil"/>
            </w:tcBorders>
            <w:vAlign w:val="center"/>
          </w:tcPr>
          <w:p w14:paraId="26D01612">
            <w:pPr>
              <w:spacing w:before="0" w:beforeLines="0" w:line="240" w:lineRule="auto"/>
              <w:jc w:val="center"/>
              <w:rPr>
                <w:szCs w:val="21"/>
              </w:rPr>
            </w:pPr>
            <w:r>
              <w:rPr>
                <w:szCs w:val="21"/>
              </w:rPr>
              <w:t>相关</w:t>
            </w:r>
            <w:r>
              <w:rPr>
                <w:rFonts w:hint="eastAsia"/>
                <w:szCs w:val="21"/>
              </w:rPr>
              <w:t>要求</w:t>
            </w:r>
          </w:p>
        </w:tc>
        <w:tc>
          <w:tcPr>
            <w:tcW w:w="2127" w:type="dxa"/>
            <w:tcBorders>
              <w:tl2br w:val="nil"/>
              <w:tr2bl w:val="nil"/>
            </w:tcBorders>
            <w:vAlign w:val="center"/>
          </w:tcPr>
          <w:p w14:paraId="17EB7F11">
            <w:pPr>
              <w:spacing w:before="0" w:beforeLines="0" w:line="240" w:lineRule="auto"/>
              <w:jc w:val="center"/>
              <w:rPr>
                <w:szCs w:val="21"/>
              </w:rPr>
            </w:pPr>
            <w:r>
              <w:rPr>
                <w:szCs w:val="21"/>
              </w:rPr>
              <w:t>本项目情况</w:t>
            </w:r>
          </w:p>
        </w:tc>
        <w:tc>
          <w:tcPr>
            <w:tcW w:w="821" w:type="dxa"/>
            <w:tcBorders>
              <w:tl2br w:val="nil"/>
              <w:tr2bl w:val="nil"/>
            </w:tcBorders>
            <w:vAlign w:val="center"/>
          </w:tcPr>
          <w:p w14:paraId="40767070">
            <w:pPr>
              <w:spacing w:before="0" w:beforeLines="0" w:line="240" w:lineRule="auto"/>
              <w:jc w:val="center"/>
              <w:rPr>
                <w:szCs w:val="21"/>
              </w:rPr>
            </w:pPr>
            <w:r>
              <w:rPr>
                <w:rFonts w:hint="eastAsia"/>
                <w:szCs w:val="21"/>
              </w:rPr>
              <w:t>符合性</w:t>
            </w:r>
          </w:p>
        </w:tc>
      </w:tr>
      <w:tr w14:paraId="796A046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16" w:hRule="atLeast"/>
          <w:jc w:val="center"/>
        </w:trPr>
        <w:tc>
          <w:tcPr>
            <w:tcW w:w="5670" w:type="dxa"/>
            <w:tcBorders>
              <w:tl2br w:val="nil"/>
              <w:tr2bl w:val="nil"/>
            </w:tcBorders>
            <w:vAlign w:val="center"/>
          </w:tcPr>
          <w:p w14:paraId="79D268E0">
            <w:pPr>
              <w:spacing w:before="0" w:beforeLines="0" w:line="240" w:lineRule="auto"/>
              <w:ind w:firstLine="420" w:firstLineChars="200"/>
              <w:jc w:val="left"/>
              <w:rPr>
                <w:szCs w:val="21"/>
              </w:rPr>
            </w:pPr>
            <w:r>
              <w:rPr>
                <w:rFonts w:hint="eastAsia"/>
                <w:szCs w:val="21"/>
              </w:rPr>
              <w:t>附录A.2生产过程属于固体废物的副产物b) 矿业活动中产生的以下残余物质：1)金属矿、非金属矿和煤炭开采、选矿过程中产生的弃石、尾矿、煤矸石[5.3c)和8.4b)规定的情形除外]等；</w:t>
            </w:r>
          </w:p>
        </w:tc>
        <w:tc>
          <w:tcPr>
            <w:tcW w:w="2127" w:type="dxa"/>
            <w:tcBorders>
              <w:tl2br w:val="nil"/>
              <w:tr2bl w:val="nil"/>
            </w:tcBorders>
            <w:vAlign w:val="center"/>
          </w:tcPr>
          <w:p w14:paraId="180E462C">
            <w:pPr>
              <w:spacing w:before="0" w:beforeLines="0" w:line="240" w:lineRule="auto"/>
              <w:ind w:firstLine="420" w:firstLineChars="200"/>
              <w:jc w:val="left"/>
              <w:rPr>
                <w:szCs w:val="21"/>
              </w:rPr>
            </w:pPr>
            <w:r>
              <w:rPr>
                <w:rFonts w:hint="eastAsia"/>
                <w:szCs w:val="21"/>
              </w:rPr>
              <w:t>本项目原料为采矿过程产生的废石、尾矿，属于通则中附录A.2中的固体废物。</w:t>
            </w:r>
          </w:p>
        </w:tc>
        <w:tc>
          <w:tcPr>
            <w:tcW w:w="821" w:type="dxa"/>
            <w:tcBorders>
              <w:tl2br w:val="nil"/>
              <w:tr2bl w:val="nil"/>
            </w:tcBorders>
            <w:vAlign w:val="center"/>
          </w:tcPr>
          <w:p w14:paraId="76A6D5EE">
            <w:pPr>
              <w:spacing w:before="0" w:beforeLines="0" w:line="240" w:lineRule="auto"/>
              <w:jc w:val="center"/>
              <w:rPr>
                <w:szCs w:val="21"/>
              </w:rPr>
            </w:pPr>
            <w:r>
              <w:rPr>
                <w:rFonts w:hint="eastAsia"/>
                <w:szCs w:val="21"/>
              </w:rPr>
              <w:t>符合</w:t>
            </w:r>
          </w:p>
        </w:tc>
      </w:tr>
      <w:tr w14:paraId="4DC435E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jc w:val="center"/>
        </w:trPr>
        <w:tc>
          <w:tcPr>
            <w:tcW w:w="5670" w:type="dxa"/>
            <w:tcBorders>
              <w:tl2br w:val="nil"/>
              <w:tr2bl w:val="nil"/>
            </w:tcBorders>
            <w:vAlign w:val="center"/>
          </w:tcPr>
          <w:p w14:paraId="37C8DD43">
            <w:pPr>
              <w:spacing w:before="0" w:beforeLines="0" w:line="240" w:lineRule="auto"/>
              <w:ind w:firstLine="420" w:firstLineChars="200"/>
              <w:jc w:val="left"/>
              <w:rPr>
                <w:szCs w:val="21"/>
              </w:rPr>
            </w:pPr>
            <w:r>
              <w:rPr>
                <w:rFonts w:hint="eastAsia"/>
                <w:szCs w:val="21"/>
              </w:rPr>
              <w:t>6利用固体废物生产的产物以及环境治理和污染控制过程中产生的物质的鉴别</w:t>
            </w:r>
          </w:p>
          <w:p w14:paraId="2FDD3439">
            <w:pPr>
              <w:spacing w:before="0" w:beforeLines="0" w:line="240" w:lineRule="auto"/>
              <w:ind w:firstLine="420" w:firstLineChars="200"/>
              <w:jc w:val="left"/>
              <w:rPr>
                <w:szCs w:val="21"/>
              </w:rPr>
            </w:pPr>
            <w:r>
              <w:rPr>
                <w:rFonts w:hint="eastAsia"/>
                <w:szCs w:val="21"/>
              </w:rPr>
              <w:t>6.1市场上存在使用正常原料生产的同类物质，并同时满足以下条件时，不属于固体废物，否则均属于固体废物：</w:t>
            </w:r>
          </w:p>
          <w:p w14:paraId="5429433A">
            <w:pPr>
              <w:spacing w:before="0" w:beforeLines="0" w:line="240" w:lineRule="auto"/>
              <w:jc w:val="left"/>
              <w:rPr>
                <w:szCs w:val="21"/>
              </w:rPr>
            </w:pPr>
            <w:r>
              <w:rPr>
                <w:rFonts w:hint="eastAsia"/>
                <w:szCs w:val="21"/>
              </w:rPr>
              <w:t>a)物质组成(有效成分含量和杂质限量)及性能指标符合以下任一国家或行业通行的标准，并按标准规定的用途使用：</w:t>
            </w:r>
          </w:p>
          <w:p w14:paraId="4E04DDB6">
            <w:pPr>
              <w:spacing w:before="0" w:beforeLines="0" w:line="240" w:lineRule="auto"/>
              <w:jc w:val="left"/>
              <w:rPr>
                <w:szCs w:val="21"/>
              </w:rPr>
            </w:pPr>
            <w:r>
              <w:rPr>
                <w:rFonts w:hint="eastAsia"/>
                <w:szCs w:val="21"/>
              </w:rPr>
              <w:t>1)针对固体废物利用工艺制定的产品质量标准；</w:t>
            </w:r>
          </w:p>
          <w:p w14:paraId="2BBA808F">
            <w:pPr>
              <w:spacing w:before="0" w:beforeLines="0" w:line="240" w:lineRule="auto"/>
              <w:jc w:val="left"/>
              <w:rPr>
                <w:szCs w:val="21"/>
              </w:rPr>
            </w:pPr>
            <w:r>
              <w:rPr>
                <w:rFonts w:hint="eastAsia"/>
                <w:szCs w:val="21"/>
              </w:rPr>
              <w:t>2)市场上使用正常原料生产的同类物质的质量标准。</w:t>
            </w:r>
          </w:p>
          <w:p w14:paraId="2CE2C7F1">
            <w:pPr>
              <w:spacing w:before="0" w:beforeLines="0" w:line="240" w:lineRule="auto"/>
              <w:jc w:val="left"/>
              <w:rPr>
                <w:szCs w:val="21"/>
              </w:rPr>
            </w:pPr>
            <w:r>
              <w:rPr>
                <w:rFonts w:hint="eastAsia"/>
                <w:szCs w:val="21"/>
              </w:rPr>
              <w:t>b)除正常物质组成之外，其他对人体健康或生态环境有害的物质，符合相关国家污染控制标准所规定的含量限值[含量限值包含6.1a)规定的所有使用情形]，或技术规范所规定的技术要求。当没有国家污染控制标准或技术规范时，与被替代物质相比，满足以下任意条件：</w:t>
            </w:r>
          </w:p>
          <w:p w14:paraId="131D21CD">
            <w:pPr>
              <w:spacing w:before="0" w:beforeLines="0" w:line="240" w:lineRule="auto"/>
              <w:jc w:val="left"/>
              <w:rPr>
                <w:szCs w:val="21"/>
              </w:rPr>
            </w:pPr>
            <w:r>
              <w:rPr>
                <w:rFonts w:hint="eastAsia"/>
                <w:szCs w:val="21"/>
              </w:rPr>
              <w:t>1)产物中环境有害成分含量[6.1a)标准规定除外]不得高于被替代物质；或所含有害成分在被替代物质任何使用过程中均不足以对人体健康或生态环境造成不利的影响；</w:t>
            </w:r>
          </w:p>
          <w:p w14:paraId="0CC792F4">
            <w:pPr>
              <w:spacing w:before="0" w:beforeLines="0" w:line="240" w:lineRule="auto"/>
              <w:jc w:val="left"/>
              <w:rPr>
                <w:szCs w:val="21"/>
              </w:rPr>
            </w:pPr>
            <w:r>
              <w:rPr>
                <w:rFonts w:hint="eastAsia"/>
                <w:szCs w:val="21"/>
              </w:rPr>
              <w:t>2)如该产物替代工业原料使用时，生产的产品所含有害成分含量符合6.1a)和6.1b)1)规定的要求，且生产过程排放到环境中的污染物应不高于污染控制标准所规定的排放要求。当特征污染物缺乏相应的排放控制限值时，污染物排放应不高于使用被替代原料的情形，或不足以对人体健康或生态环境造成不利的影响；</w:t>
            </w:r>
          </w:p>
          <w:p w14:paraId="5F5D5F59">
            <w:pPr>
              <w:spacing w:before="0" w:beforeLines="0" w:line="240" w:lineRule="auto"/>
              <w:jc w:val="left"/>
              <w:rPr>
                <w:szCs w:val="21"/>
              </w:rPr>
            </w:pPr>
            <w:r>
              <w:rPr>
                <w:rFonts w:hint="eastAsia"/>
                <w:szCs w:val="21"/>
              </w:rPr>
              <w:t>3)如该产物替代燃料使用时，排放到环境中的污染物应不高于该燃烧设施污染控制标准所规定的污染物排放要求。当该特征污染物缺乏相应的排放限值时，污染物排放应不高于使用被替代燃料的情形，或不足以对人体健康或生态环境造成不利的影响。</w:t>
            </w:r>
          </w:p>
          <w:p w14:paraId="1C1FC8D4">
            <w:pPr>
              <w:spacing w:before="0" w:beforeLines="0" w:line="240" w:lineRule="auto"/>
              <w:ind w:firstLine="420" w:firstLineChars="200"/>
              <w:jc w:val="left"/>
              <w:rPr>
                <w:szCs w:val="21"/>
              </w:rPr>
            </w:pPr>
            <w:r>
              <w:rPr>
                <w:rFonts w:hint="eastAsia"/>
                <w:szCs w:val="21"/>
              </w:rPr>
              <w:t>6.2不满足第6.1规定的鉴别条件，或市场上不存在使用正常原料生产的同类物质时，均属于固体废物。</w:t>
            </w:r>
          </w:p>
          <w:p w14:paraId="57595837">
            <w:pPr>
              <w:spacing w:before="0" w:beforeLines="0" w:line="240" w:lineRule="auto"/>
              <w:ind w:firstLine="420" w:firstLineChars="200"/>
              <w:jc w:val="left"/>
              <w:rPr>
                <w:szCs w:val="21"/>
              </w:rPr>
            </w:pPr>
            <w:r>
              <w:rPr>
                <w:rFonts w:hint="eastAsia"/>
                <w:szCs w:val="21"/>
              </w:rPr>
              <w:t>6.3以不具有实际功能价值的固体废物为原料或配料产生的混配产物，仍然属于固体废物。</w:t>
            </w:r>
          </w:p>
        </w:tc>
        <w:tc>
          <w:tcPr>
            <w:tcW w:w="2127" w:type="dxa"/>
            <w:tcBorders>
              <w:tl2br w:val="nil"/>
              <w:tr2bl w:val="nil"/>
            </w:tcBorders>
            <w:vAlign w:val="center"/>
          </w:tcPr>
          <w:p w14:paraId="656924F2">
            <w:pPr>
              <w:spacing w:before="0" w:beforeLines="0" w:line="240" w:lineRule="auto"/>
              <w:ind w:firstLine="420" w:firstLineChars="200"/>
              <w:jc w:val="left"/>
              <w:rPr>
                <w:szCs w:val="21"/>
              </w:rPr>
            </w:pPr>
            <w:bookmarkStart w:id="71" w:name="OLE_LINK71"/>
            <w:r>
              <w:rPr>
                <w:rFonts w:hint="eastAsia"/>
                <w:szCs w:val="21"/>
              </w:rPr>
              <w:t>本项目产品为钒钛精矿、钒钛磁铁矿、碎石和机制砂，分别满足</w:t>
            </w:r>
            <w:r>
              <w:rPr>
                <w:szCs w:val="21"/>
              </w:rPr>
              <w:t>《钛铁矿精矿》（YS/T351-2015）</w:t>
            </w:r>
            <w:r>
              <w:rPr>
                <w:rFonts w:hint="eastAsia"/>
                <w:szCs w:val="21"/>
              </w:rPr>
              <w:t>、</w:t>
            </w:r>
            <w:r>
              <w:rPr>
                <w:szCs w:val="21"/>
              </w:rPr>
              <w:t>《钒钛铁精矿》（YB/T4695-2018）</w:t>
            </w:r>
            <w:r>
              <w:rPr>
                <w:rFonts w:hint="eastAsia"/>
                <w:szCs w:val="21"/>
              </w:rPr>
              <w:t>、《</w:t>
            </w:r>
            <w:r>
              <w:rPr>
                <w:szCs w:val="21"/>
              </w:rPr>
              <w:t>建筑用卵石、碎石</w:t>
            </w:r>
            <w:r>
              <w:rPr>
                <w:rFonts w:hint="eastAsia"/>
                <w:szCs w:val="21"/>
              </w:rPr>
              <w:t>》（</w:t>
            </w:r>
            <w:r>
              <w:rPr>
                <w:szCs w:val="21"/>
              </w:rPr>
              <w:t>GB</w:t>
            </w:r>
            <w:r>
              <w:rPr>
                <w:rFonts w:hint="eastAsia"/>
                <w:szCs w:val="21"/>
              </w:rPr>
              <w:t>/</w:t>
            </w:r>
            <w:r>
              <w:rPr>
                <w:szCs w:val="21"/>
              </w:rPr>
              <w:t>T14685-2022</w:t>
            </w:r>
            <w:r>
              <w:rPr>
                <w:rFonts w:hint="eastAsia"/>
                <w:szCs w:val="21"/>
              </w:rPr>
              <w:t>）、《建筑用砂》（</w:t>
            </w:r>
            <w:r>
              <w:rPr>
                <w:szCs w:val="21"/>
              </w:rPr>
              <w:t>GB/T1468</w:t>
            </w:r>
            <w:r>
              <w:rPr>
                <w:rFonts w:hint="eastAsia"/>
                <w:szCs w:val="21"/>
              </w:rPr>
              <w:t>4</w:t>
            </w:r>
            <w:r>
              <w:rPr>
                <w:szCs w:val="21"/>
              </w:rPr>
              <w:t>-2022</w:t>
            </w:r>
            <w:r>
              <w:rPr>
                <w:rFonts w:hint="eastAsia"/>
                <w:szCs w:val="21"/>
              </w:rPr>
              <w:t>）标准。满足6.1a）2）要求。</w:t>
            </w:r>
          </w:p>
          <w:p w14:paraId="3BB558F8">
            <w:pPr>
              <w:spacing w:before="0" w:beforeLines="0" w:line="240" w:lineRule="auto"/>
              <w:ind w:firstLine="420" w:firstLineChars="200"/>
              <w:jc w:val="left"/>
              <w:rPr>
                <w:szCs w:val="21"/>
              </w:rPr>
            </w:pPr>
            <w:r>
              <w:rPr>
                <w:rFonts w:hint="eastAsia"/>
                <w:szCs w:val="21"/>
              </w:rPr>
              <w:t>钒钛精矿、钒钛磁铁矿用于后续冶炼，除上述产品标准要求外无其他有害成分含量要求；机制砂、碎石有害成分满足上述标准。满足6.1b）1）要求。</w:t>
            </w:r>
            <w:bookmarkEnd w:id="71"/>
            <w:r>
              <w:rPr>
                <w:rFonts w:hint="eastAsia"/>
                <w:szCs w:val="21"/>
              </w:rPr>
              <w:t>不涉及</w:t>
            </w:r>
            <w:r>
              <w:rPr>
                <w:szCs w:val="21"/>
              </w:rPr>
              <w:t>6.1b）</w:t>
            </w:r>
            <w:r>
              <w:rPr>
                <w:rFonts w:hint="eastAsia"/>
                <w:szCs w:val="21"/>
              </w:rPr>
              <w:t>2）3</w:t>
            </w:r>
            <w:r>
              <w:rPr>
                <w:szCs w:val="21"/>
              </w:rPr>
              <w:t>）</w:t>
            </w:r>
            <w:r>
              <w:rPr>
                <w:rFonts w:hint="eastAsia"/>
                <w:szCs w:val="21"/>
              </w:rPr>
              <w:t>。</w:t>
            </w:r>
          </w:p>
          <w:p w14:paraId="0C746205">
            <w:pPr>
              <w:spacing w:before="0" w:beforeLines="0" w:line="240" w:lineRule="auto"/>
              <w:ind w:firstLine="420" w:firstLineChars="200"/>
              <w:jc w:val="left"/>
              <w:rPr>
                <w:szCs w:val="21"/>
              </w:rPr>
            </w:pPr>
            <w:r>
              <w:rPr>
                <w:rFonts w:hint="eastAsia"/>
                <w:szCs w:val="21"/>
              </w:rPr>
              <w:t>项目除尘灰、落地灰、泥饼仍属于固体废物。满足6.2要求。</w:t>
            </w:r>
          </w:p>
          <w:p w14:paraId="199A239A">
            <w:pPr>
              <w:spacing w:before="0" w:beforeLines="0" w:line="240" w:lineRule="auto"/>
              <w:ind w:firstLine="420" w:firstLineChars="200"/>
              <w:jc w:val="left"/>
              <w:rPr>
                <w:szCs w:val="21"/>
              </w:rPr>
            </w:pPr>
            <w:r>
              <w:rPr>
                <w:rFonts w:hint="eastAsia"/>
                <w:szCs w:val="21"/>
              </w:rPr>
              <w:t>6.3本项目不涉及。</w:t>
            </w:r>
          </w:p>
        </w:tc>
        <w:tc>
          <w:tcPr>
            <w:tcW w:w="821" w:type="dxa"/>
            <w:tcBorders>
              <w:tl2br w:val="nil"/>
              <w:tr2bl w:val="nil"/>
            </w:tcBorders>
            <w:vAlign w:val="center"/>
          </w:tcPr>
          <w:p w14:paraId="49549AD2">
            <w:pPr>
              <w:spacing w:before="0" w:beforeLines="0" w:line="240" w:lineRule="auto"/>
              <w:jc w:val="center"/>
              <w:rPr>
                <w:szCs w:val="21"/>
              </w:rPr>
            </w:pPr>
            <w:r>
              <w:rPr>
                <w:rFonts w:hint="eastAsia"/>
                <w:szCs w:val="21"/>
              </w:rPr>
              <w:t>符合</w:t>
            </w:r>
          </w:p>
        </w:tc>
      </w:tr>
      <w:bookmarkEnd w:id="70"/>
    </w:tbl>
    <w:p w14:paraId="2C4DD700">
      <w:pPr>
        <w:autoSpaceDE w:val="0"/>
        <w:autoSpaceDN w:val="0"/>
        <w:spacing w:before="0" w:beforeLines="0" w:line="360" w:lineRule="auto"/>
        <w:textAlignment w:val="bottom"/>
        <w:rPr>
          <w:b/>
          <w:bCs/>
          <w:kern w:val="24"/>
          <w:sz w:val="24"/>
        </w:rPr>
      </w:pPr>
      <w:r>
        <w:rPr>
          <w:rFonts w:hint="eastAsia"/>
          <w:b/>
          <w:bCs/>
          <w:kern w:val="24"/>
          <w:sz w:val="24"/>
        </w:rPr>
        <w:t>（4）其他</w:t>
      </w:r>
    </w:p>
    <w:p w14:paraId="18FA0B9D">
      <w:pPr>
        <w:autoSpaceDE w:val="0"/>
        <w:autoSpaceDN w:val="0"/>
        <w:spacing w:before="0" w:beforeLines="0" w:line="360" w:lineRule="auto"/>
        <w:ind w:firstLine="480" w:firstLineChars="200"/>
        <w:textAlignment w:val="bottom"/>
        <w:rPr>
          <w:kern w:val="24"/>
          <w:sz w:val="24"/>
        </w:rPr>
      </w:pPr>
      <w:r>
        <w:rPr>
          <w:kern w:val="24"/>
          <w:sz w:val="24"/>
        </w:rPr>
        <w:t>与</w:t>
      </w:r>
      <w:bookmarkStart w:id="72" w:name="_Hlk192253207"/>
      <w:r>
        <w:rPr>
          <w:kern w:val="24"/>
          <w:sz w:val="24"/>
        </w:rPr>
        <w:t>《辽宁省防范化解尾矿库安全风险工作方案</w:t>
      </w:r>
      <w:r>
        <w:rPr>
          <w:rFonts w:hint="eastAsia"/>
          <w:kern w:val="24"/>
          <w:sz w:val="24"/>
        </w:rPr>
        <w:t>》</w:t>
      </w:r>
      <w:bookmarkEnd w:id="72"/>
      <w:r>
        <w:rPr>
          <w:rFonts w:hint="eastAsia"/>
          <w:kern w:val="24"/>
          <w:sz w:val="24"/>
        </w:rPr>
        <w:t>（</w:t>
      </w:r>
      <w:r>
        <w:rPr>
          <w:kern w:val="24"/>
          <w:sz w:val="24"/>
        </w:rPr>
        <w:t>辽应急发〔2020〕23号</w:t>
      </w:r>
      <w:r>
        <w:rPr>
          <w:rFonts w:hint="eastAsia"/>
          <w:kern w:val="24"/>
          <w:sz w:val="24"/>
        </w:rPr>
        <w:t>）</w:t>
      </w:r>
      <w:r>
        <w:rPr>
          <w:kern w:val="24"/>
          <w:sz w:val="24"/>
        </w:rPr>
        <w:t>、</w:t>
      </w:r>
      <w:bookmarkEnd w:id="66"/>
      <w:r>
        <w:rPr>
          <w:kern w:val="24"/>
          <w:sz w:val="24"/>
        </w:rPr>
        <w:t>等文件相符性分析见表</w:t>
      </w:r>
      <w:r>
        <w:rPr>
          <w:rFonts w:hint="eastAsia"/>
          <w:kern w:val="24"/>
          <w:sz w:val="24"/>
        </w:rPr>
        <w:t>2.5-11</w:t>
      </w:r>
      <w:r>
        <w:rPr>
          <w:kern w:val="24"/>
          <w:sz w:val="24"/>
        </w:rPr>
        <w:t>。</w:t>
      </w:r>
    </w:p>
    <w:p w14:paraId="4D0D41E6">
      <w:pPr>
        <w:pStyle w:val="217"/>
        <w:keepNext w:val="0"/>
        <w:keepLines w:val="0"/>
        <w:spacing w:before="78"/>
        <w:rPr>
          <w:color w:val="auto"/>
        </w:rPr>
      </w:pPr>
      <w:r>
        <w:rPr>
          <w:rFonts w:hint="eastAsia"/>
          <w:color w:val="auto"/>
        </w:rPr>
        <w:t>表</w:t>
      </w:r>
      <w:r>
        <w:rPr>
          <w:color w:val="auto"/>
        </w:rPr>
        <w:t>2.5-</w:t>
      </w:r>
      <w:r>
        <w:rPr>
          <w:rFonts w:hint="eastAsia"/>
          <w:color w:val="auto"/>
        </w:rPr>
        <w:t xml:space="preserve">11   </w:t>
      </w:r>
      <w:r>
        <w:rPr>
          <w:color w:val="auto"/>
        </w:rPr>
        <w:t xml:space="preserve">  </w:t>
      </w:r>
      <w:r>
        <w:rPr>
          <w:rFonts w:hint="eastAsia"/>
          <w:color w:val="auto"/>
        </w:rPr>
        <w:t>与《辽宁省防范化解尾矿库安全风险工作方案》相符性分析一览表</w:t>
      </w:r>
    </w:p>
    <w:tbl>
      <w:tblPr>
        <w:tblStyle w:val="90"/>
        <w:tblW w:w="8902"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28" w:type="dxa"/>
          <w:bottom w:w="0" w:type="dxa"/>
          <w:right w:w="28" w:type="dxa"/>
        </w:tblCellMar>
      </w:tblPr>
      <w:tblGrid>
        <w:gridCol w:w="5387"/>
        <w:gridCol w:w="2694"/>
        <w:gridCol w:w="821"/>
      </w:tblGrid>
      <w:tr w14:paraId="7E24F28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534" w:hRule="atLeast"/>
          <w:jc w:val="center"/>
        </w:trPr>
        <w:tc>
          <w:tcPr>
            <w:tcW w:w="5387" w:type="dxa"/>
            <w:tcBorders>
              <w:tl2br w:val="nil"/>
              <w:tr2bl w:val="nil"/>
            </w:tcBorders>
            <w:vAlign w:val="center"/>
          </w:tcPr>
          <w:p w14:paraId="10A5FCC8">
            <w:pPr>
              <w:spacing w:before="0" w:beforeLines="0" w:line="240" w:lineRule="auto"/>
              <w:jc w:val="center"/>
              <w:rPr>
                <w:szCs w:val="21"/>
              </w:rPr>
            </w:pPr>
            <w:r>
              <w:rPr>
                <w:szCs w:val="21"/>
              </w:rPr>
              <w:t>相关</w:t>
            </w:r>
            <w:r>
              <w:rPr>
                <w:rFonts w:hint="eastAsia"/>
                <w:szCs w:val="21"/>
              </w:rPr>
              <w:t>要求</w:t>
            </w:r>
          </w:p>
        </w:tc>
        <w:tc>
          <w:tcPr>
            <w:tcW w:w="2694" w:type="dxa"/>
            <w:tcBorders>
              <w:tl2br w:val="nil"/>
              <w:tr2bl w:val="nil"/>
            </w:tcBorders>
            <w:vAlign w:val="center"/>
          </w:tcPr>
          <w:p w14:paraId="4ADF5188">
            <w:pPr>
              <w:spacing w:before="0" w:beforeLines="0" w:line="240" w:lineRule="auto"/>
              <w:jc w:val="center"/>
              <w:rPr>
                <w:szCs w:val="21"/>
              </w:rPr>
            </w:pPr>
            <w:r>
              <w:rPr>
                <w:rFonts w:hint="eastAsia"/>
                <w:szCs w:val="21"/>
              </w:rPr>
              <w:t>本项目情况</w:t>
            </w:r>
          </w:p>
        </w:tc>
        <w:tc>
          <w:tcPr>
            <w:tcW w:w="821" w:type="dxa"/>
            <w:tcBorders>
              <w:tl2br w:val="nil"/>
              <w:tr2bl w:val="nil"/>
            </w:tcBorders>
            <w:vAlign w:val="center"/>
          </w:tcPr>
          <w:p w14:paraId="7447B62E">
            <w:pPr>
              <w:spacing w:before="0" w:beforeLines="0" w:line="240" w:lineRule="auto"/>
              <w:jc w:val="center"/>
              <w:rPr>
                <w:szCs w:val="21"/>
              </w:rPr>
            </w:pPr>
            <w:r>
              <w:rPr>
                <w:rFonts w:hint="eastAsia"/>
                <w:szCs w:val="21"/>
              </w:rPr>
              <w:t>符合性</w:t>
            </w:r>
          </w:p>
        </w:tc>
      </w:tr>
      <w:tr w14:paraId="7ADDB32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092" w:hRule="atLeast"/>
          <w:jc w:val="center"/>
        </w:trPr>
        <w:tc>
          <w:tcPr>
            <w:tcW w:w="5387" w:type="dxa"/>
            <w:tcBorders>
              <w:tl2br w:val="nil"/>
              <w:tr2bl w:val="nil"/>
            </w:tcBorders>
            <w:vAlign w:val="center"/>
          </w:tcPr>
          <w:p w14:paraId="0E35D13B">
            <w:pPr>
              <w:spacing w:before="0" w:beforeLines="0" w:line="240" w:lineRule="auto"/>
              <w:jc w:val="left"/>
              <w:rPr>
                <w:szCs w:val="21"/>
              </w:rPr>
            </w:pPr>
            <w:r>
              <w:rPr>
                <w:rFonts w:hint="eastAsia"/>
                <w:szCs w:val="21"/>
              </w:rPr>
              <w:t xml:space="preserve">       </w:t>
            </w:r>
            <w:r>
              <w:rPr>
                <w:szCs w:val="21"/>
              </w:rPr>
              <w:t>稳妥推进尾矿资源综合利用。各级人民政府应加大政策引导和支持力度，积极推广尾矿回采提取有价组分、利用尾矿生产建筑材料、尾砂无害化</w:t>
            </w:r>
            <w:r>
              <w:rPr>
                <w:rFonts w:hint="eastAsia"/>
                <w:szCs w:val="21"/>
                <w:lang w:eastAsia="zh-CN"/>
              </w:rPr>
              <w:t>利用</w:t>
            </w:r>
            <w:r>
              <w:rPr>
                <w:szCs w:val="21"/>
              </w:rPr>
              <w:t>和生态应用、充填采空区等尾矿综合利用先进适用技术，鼓励尾矿库企业通过尾矿综合利用减少尾矿堆存量乃至消除尾矿库，从源头上消除尾矿库安全风险。要结合本地区实际，适应高质量发展要求，建设一批尾矿综合利用典型示范项目，在尾矿产生和堆存集中的地区建设一批尾矿综合利用示范基地，利用先进适用技术改变行业面貌。尾矿回采再利用工程要符合安全要求，严格按照经审查批准的回采设计实施，确保安全。对尾矿库矿产资源的再利用，有生产经营主体的尾矿库由采矿权人实施，无生产经营主体的尾矿库由县级人民政府按有关规定组织实施。</w:t>
            </w:r>
          </w:p>
        </w:tc>
        <w:tc>
          <w:tcPr>
            <w:tcW w:w="2694" w:type="dxa"/>
            <w:tcBorders>
              <w:tl2br w:val="nil"/>
              <w:tr2bl w:val="nil"/>
            </w:tcBorders>
            <w:vAlign w:val="center"/>
          </w:tcPr>
          <w:p w14:paraId="20643F2F">
            <w:pPr>
              <w:spacing w:before="0" w:beforeLines="0" w:line="240" w:lineRule="auto"/>
              <w:ind w:firstLine="420" w:firstLineChars="200"/>
              <w:jc w:val="left"/>
              <w:rPr>
                <w:szCs w:val="21"/>
              </w:rPr>
            </w:pPr>
            <w:r>
              <w:rPr>
                <w:rFonts w:hint="eastAsia"/>
                <w:szCs w:val="21"/>
              </w:rPr>
              <w:t>本项目</w:t>
            </w:r>
            <w:r>
              <w:rPr>
                <w:szCs w:val="21"/>
              </w:rPr>
              <w:t>利用</w:t>
            </w:r>
            <w:r>
              <w:rPr>
                <w:rFonts w:hint="eastAsia"/>
                <w:szCs w:val="21"/>
              </w:rPr>
              <w:t>阜新亿升达铁选厂</w:t>
            </w:r>
            <w:r>
              <w:rPr>
                <w:szCs w:val="21"/>
              </w:rPr>
              <w:t>尾矿</w:t>
            </w:r>
            <w:r>
              <w:rPr>
                <w:rFonts w:hint="eastAsia"/>
                <w:szCs w:val="21"/>
              </w:rPr>
              <w:t>及废石</w:t>
            </w:r>
            <w:r>
              <w:rPr>
                <w:szCs w:val="21"/>
              </w:rPr>
              <w:t>作为原料，通过筛分、破碎、磁选等工艺生产钒钛磁铁矿、钛铁精矿、机制砂、碎石等产品外售，产生的泥饼回填至现有露天采坑。</w:t>
            </w:r>
          </w:p>
          <w:p w14:paraId="41A8701E">
            <w:pPr>
              <w:spacing w:before="0" w:beforeLines="0" w:line="240" w:lineRule="auto"/>
              <w:ind w:firstLine="420" w:firstLineChars="200"/>
              <w:jc w:val="left"/>
              <w:rPr>
                <w:szCs w:val="21"/>
              </w:rPr>
            </w:pPr>
            <w:r>
              <w:rPr>
                <w:rFonts w:hint="eastAsia"/>
                <w:szCs w:val="21"/>
              </w:rPr>
              <w:t>阜新亿升达铁选厂历史遗留尾矿全部地表堆存，形成尾矿堆，不属于尾矿库。因此进行利用过程，无需按照文件开展回采利用应急、闭库等相关文件。</w:t>
            </w:r>
          </w:p>
        </w:tc>
        <w:tc>
          <w:tcPr>
            <w:tcW w:w="821" w:type="dxa"/>
            <w:tcBorders>
              <w:tl2br w:val="nil"/>
              <w:tr2bl w:val="nil"/>
            </w:tcBorders>
            <w:vAlign w:val="center"/>
          </w:tcPr>
          <w:p w14:paraId="75E204C3">
            <w:pPr>
              <w:spacing w:before="0" w:beforeLines="0" w:line="240" w:lineRule="auto"/>
              <w:jc w:val="center"/>
              <w:rPr>
                <w:szCs w:val="21"/>
              </w:rPr>
            </w:pPr>
            <w:r>
              <w:rPr>
                <w:rFonts w:hint="eastAsia"/>
                <w:szCs w:val="21"/>
              </w:rPr>
              <w:t>符合</w:t>
            </w:r>
          </w:p>
        </w:tc>
      </w:tr>
      <w:bookmarkEnd w:id="67"/>
    </w:tbl>
    <w:p w14:paraId="78C35D99">
      <w:pPr>
        <w:pStyle w:val="5"/>
        <w:spacing w:before="60"/>
        <w:rPr>
          <w:color w:val="auto"/>
        </w:rPr>
      </w:pPr>
      <w:r>
        <w:rPr>
          <w:color w:val="auto"/>
        </w:rPr>
        <w:t>2.5.</w:t>
      </w:r>
      <w:r>
        <w:rPr>
          <w:rFonts w:hint="eastAsia"/>
          <w:color w:val="auto"/>
        </w:rPr>
        <w:t>6与国土空间规划符合性分析</w:t>
      </w:r>
    </w:p>
    <w:p w14:paraId="2381D590">
      <w:pPr>
        <w:spacing w:before="0" w:beforeLines="0" w:line="360" w:lineRule="auto"/>
        <w:ind w:firstLine="480" w:firstLineChars="200"/>
        <w:rPr>
          <w:szCs w:val="21"/>
        </w:rPr>
      </w:pPr>
      <w:r>
        <w:rPr>
          <w:rFonts w:hint="eastAsia"/>
          <w:sz w:val="24"/>
        </w:rPr>
        <w:t>本项目与</w:t>
      </w:r>
      <w:bookmarkStart w:id="73" w:name="OLE_LINK45"/>
      <w:r>
        <w:rPr>
          <w:rFonts w:hint="eastAsia"/>
          <w:sz w:val="24"/>
        </w:rPr>
        <w:t>《阜新市国土空间总体规划》（2021-2035年）</w:t>
      </w:r>
      <w:bookmarkEnd w:id="73"/>
      <w:r>
        <w:rPr>
          <w:rFonts w:hint="eastAsia"/>
          <w:sz w:val="24"/>
        </w:rPr>
        <w:t>、</w:t>
      </w:r>
      <w:bookmarkStart w:id="74" w:name="OLE_LINK42"/>
      <w:r>
        <w:rPr>
          <w:rFonts w:hint="eastAsia"/>
          <w:sz w:val="24"/>
        </w:rPr>
        <w:t>《阜新蒙古族自治县国土空间总体规划》（2021-2035年）</w:t>
      </w:r>
      <w:bookmarkEnd w:id="74"/>
      <w:r>
        <w:rPr>
          <w:rFonts w:hint="eastAsia"/>
          <w:sz w:val="24"/>
        </w:rPr>
        <w:t>相符性分析见表2.5-12。</w:t>
      </w:r>
    </w:p>
    <w:p w14:paraId="2AE1D43E">
      <w:pPr>
        <w:pStyle w:val="217"/>
        <w:keepNext w:val="0"/>
        <w:keepLines w:val="0"/>
        <w:spacing w:before="78"/>
        <w:rPr>
          <w:color w:val="auto"/>
        </w:rPr>
      </w:pPr>
      <w:bookmarkStart w:id="75" w:name="OLE_LINK56"/>
      <w:r>
        <w:rPr>
          <w:rFonts w:hint="eastAsia"/>
          <w:color w:val="auto"/>
        </w:rPr>
        <w:t>表</w:t>
      </w:r>
      <w:r>
        <w:rPr>
          <w:color w:val="auto"/>
        </w:rPr>
        <w:t>2.5-</w:t>
      </w:r>
      <w:r>
        <w:rPr>
          <w:rFonts w:hint="eastAsia"/>
          <w:color w:val="auto"/>
        </w:rPr>
        <w:t xml:space="preserve">12   </w:t>
      </w:r>
      <w:r>
        <w:rPr>
          <w:color w:val="auto"/>
        </w:rPr>
        <w:t xml:space="preserve">  </w:t>
      </w:r>
      <w:r>
        <w:rPr>
          <w:rFonts w:hint="eastAsia"/>
          <w:color w:val="auto"/>
        </w:rPr>
        <w:t>与阜新市国土空间规划相符性分析一览表</w:t>
      </w:r>
    </w:p>
    <w:tbl>
      <w:tblPr>
        <w:tblStyle w:val="90"/>
        <w:tblW w:w="861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28" w:type="dxa"/>
          <w:bottom w:w="0" w:type="dxa"/>
          <w:right w:w="28" w:type="dxa"/>
        </w:tblCellMar>
      </w:tblPr>
      <w:tblGrid>
        <w:gridCol w:w="1134"/>
        <w:gridCol w:w="4111"/>
        <w:gridCol w:w="2552"/>
        <w:gridCol w:w="821"/>
      </w:tblGrid>
      <w:tr w14:paraId="63044F5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jc w:val="center"/>
        </w:trPr>
        <w:tc>
          <w:tcPr>
            <w:tcW w:w="1134" w:type="dxa"/>
            <w:tcBorders>
              <w:tl2br w:val="nil"/>
              <w:tr2bl w:val="nil"/>
            </w:tcBorders>
            <w:vAlign w:val="center"/>
          </w:tcPr>
          <w:p w14:paraId="34980599">
            <w:pPr>
              <w:spacing w:before="0" w:beforeLines="0" w:line="240" w:lineRule="auto"/>
              <w:jc w:val="center"/>
              <w:rPr>
                <w:szCs w:val="21"/>
              </w:rPr>
            </w:pPr>
            <w:r>
              <w:rPr>
                <w:rFonts w:hint="eastAsia"/>
                <w:szCs w:val="21"/>
              </w:rPr>
              <w:t>文件</w:t>
            </w:r>
          </w:p>
        </w:tc>
        <w:tc>
          <w:tcPr>
            <w:tcW w:w="4111" w:type="dxa"/>
            <w:tcBorders>
              <w:tl2br w:val="nil"/>
              <w:tr2bl w:val="nil"/>
            </w:tcBorders>
            <w:vAlign w:val="center"/>
          </w:tcPr>
          <w:p w14:paraId="3216B50B">
            <w:pPr>
              <w:spacing w:before="78" w:line="240" w:lineRule="auto"/>
              <w:jc w:val="center"/>
              <w:rPr>
                <w:szCs w:val="21"/>
              </w:rPr>
            </w:pPr>
            <w:r>
              <w:rPr>
                <w:szCs w:val="21"/>
              </w:rPr>
              <w:t>相关</w:t>
            </w:r>
            <w:r>
              <w:rPr>
                <w:rFonts w:hint="eastAsia"/>
                <w:szCs w:val="21"/>
              </w:rPr>
              <w:t>要求</w:t>
            </w:r>
          </w:p>
        </w:tc>
        <w:tc>
          <w:tcPr>
            <w:tcW w:w="2552" w:type="dxa"/>
            <w:tcBorders>
              <w:tl2br w:val="nil"/>
              <w:tr2bl w:val="nil"/>
            </w:tcBorders>
            <w:vAlign w:val="center"/>
          </w:tcPr>
          <w:p w14:paraId="471B8577">
            <w:pPr>
              <w:spacing w:before="0" w:beforeLines="0" w:line="240" w:lineRule="auto"/>
              <w:jc w:val="center"/>
              <w:rPr>
                <w:szCs w:val="21"/>
              </w:rPr>
            </w:pPr>
            <w:r>
              <w:rPr>
                <w:rFonts w:hint="eastAsia"/>
                <w:szCs w:val="21"/>
              </w:rPr>
              <w:t>本项目情况</w:t>
            </w:r>
          </w:p>
        </w:tc>
        <w:tc>
          <w:tcPr>
            <w:tcW w:w="821" w:type="dxa"/>
            <w:tcBorders>
              <w:tl2br w:val="nil"/>
              <w:tr2bl w:val="nil"/>
            </w:tcBorders>
            <w:vAlign w:val="center"/>
          </w:tcPr>
          <w:p w14:paraId="05DBF9A1">
            <w:pPr>
              <w:spacing w:before="0" w:beforeLines="0" w:line="240" w:lineRule="auto"/>
              <w:jc w:val="center"/>
              <w:rPr>
                <w:szCs w:val="21"/>
              </w:rPr>
            </w:pPr>
            <w:r>
              <w:rPr>
                <w:rFonts w:hint="eastAsia"/>
                <w:szCs w:val="21"/>
              </w:rPr>
              <w:t>符合性</w:t>
            </w:r>
          </w:p>
        </w:tc>
      </w:tr>
      <w:tr w14:paraId="25F6C3B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1531" w:hRule="atLeast"/>
          <w:jc w:val="center"/>
        </w:trPr>
        <w:tc>
          <w:tcPr>
            <w:tcW w:w="1134" w:type="dxa"/>
            <w:vMerge w:val="restart"/>
            <w:tcBorders>
              <w:tl2br w:val="nil"/>
              <w:tr2bl w:val="nil"/>
            </w:tcBorders>
            <w:vAlign w:val="center"/>
          </w:tcPr>
          <w:p w14:paraId="37645269">
            <w:pPr>
              <w:spacing w:before="0" w:beforeLines="0" w:line="240" w:lineRule="auto"/>
              <w:jc w:val="center"/>
              <w:rPr>
                <w:szCs w:val="21"/>
              </w:rPr>
            </w:pPr>
            <w:r>
              <w:rPr>
                <w:szCs w:val="21"/>
              </w:rPr>
              <w:t>《阜新市国土空间总体规划》（2021-2035年）</w:t>
            </w:r>
          </w:p>
        </w:tc>
        <w:tc>
          <w:tcPr>
            <w:tcW w:w="4111" w:type="dxa"/>
            <w:tcBorders>
              <w:tl2br w:val="nil"/>
              <w:tr2bl w:val="nil"/>
            </w:tcBorders>
            <w:vAlign w:val="center"/>
          </w:tcPr>
          <w:p w14:paraId="5D61DF3E">
            <w:pPr>
              <w:spacing w:before="0" w:beforeLines="0" w:line="240" w:lineRule="auto"/>
              <w:jc w:val="left"/>
              <w:rPr>
                <w:szCs w:val="21"/>
              </w:rPr>
            </w:pPr>
            <w:r>
              <w:rPr>
                <w:rFonts w:hint="eastAsia"/>
                <w:szCs w:val="21"/>
              </w:rPr>
              <w:t>第18条战略定位：深化工矿型城市向复合型城市转变，强化矿山生态修复治理与综合再利用，推进绿色低碳发展，实现“水润阜新”“绿满阜新”，完善公共服务和基础设施，不断优化城市功能与形象。</w:t>
            </w:r>
          </w:p>
        </w:tc>
        <w:tc>
          <w:tcPr>
            <w:tcW w:w="2552" w:type="dxa"/>
            <w:tcBorders>
              <w:tl2br w:val="nil"/>
              <w:tr2bl w:val="nil"/>
            </w:tcBorders>
            <w:vAlign w:val="center"/>
          </w:tcPr>
          <w:p w14:paraId="1EBA5A84">
            <w:pPr>
              <w:spacing w:before="0" w:beforeLines="0" w:line="240" w:lineRule="auto"/>
              <w:ind w:firstLine="420" w:firstLineChars="200"/>
              <w:jc w:val="left"/>
              <w:rPr>
                <w:szCs w:val="21"/>
              </w:rPr>
            </w:pPr>
            <w:r>
              <w:rPr>
                <w:rFonts w:hint="eastAsia"/>
                <w:szCs w:val="21"/>
              </w:rPr>
              <w:t>本项目对现有尾矿及废石进行综合利用，产生的泥饼回填至现有露天采坑，后期由辽宁鑫岳公司进行生态修复。</w:t>
            </w:r>
          </w:p>
        </w:tc>
        <w:tc>
          <w:tcPr>
            <w:tcW w:w="821" w:type="dxa"/>
            <w:tcBorders>
              <w:tl2br w:val="nil"/>
              <w:tr2bl w:val="nil"/>
            </w:tcBorders>
            <w:vAlign w:val="center"/>
          </w:tcPr>
          <w:p w14:paraId="6E2F41A8">
            <w:pPr>
              <w:spacing w:before="0" w:beforeLines="0" w:line="240" w:lineRule="auto"/>
              <w:jc w:val="center"/>
              <w:rPr>
                <w:szCs w:val="21"/>
              </w:rPr>
            </w:pPr>
            <w:r>
              <w:rPr>
                <w:rFonts w:hint="eastAsia"/>
                <w:szCs w:val="21"/>
              </w:rPr>
              <w:t>符合</w:t>
            </w:r>
          </w:p>
        </w:tc>
      </w:tr>
      <w:tr w14:paraId="47D7F22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971" w:hRule="atLeast"/>
          <w:jc w:val="center"/>
        </w:trPr>
        <w:tc>
          <w:tcPr>
            <w:tcW w:w="1134" w:type="dxa"/>
            <w:vMerge w:val="continue"/>
            <w:tcBorders>
              <w:tl2br w:val="nil"/>
              <w:tr2bl w:val="nil"/>
            </w:tcBorders>
            <w:vAlign w:val="center"/>
          </w:tcPr>
          <w:p w14:paraId="6E55CA29">
            <w:pPr>
              <w:spacing w:before="0" w:beforeLines="0" w:line="240" w:lineRule="auto"/>
              <w:jc w:val="center"/>
              <w:rPr>
                <w:szCs w:val="21"/>
              </w:rPr>
            </w:pPr>
          </w:p>
        </w:tc>
        <w:tc>
          <w:tcPr>
            <w:tcW w:w="4111" w:type="dxa"/>
            <w:tcBorders>
              <w:tl2br w:val="nil"/>
              <w:tr2bl w:val="nil"/>
            </w:tcBorders>
            <w:vAlign w:val="center"/>
          </w:tcPr>
          <w:p w14:paraId="4A180232">
            <w:pPr>
              <w:spacing w:before="0" w:beforeLines="0" w:line="240" w:lineRule="auto"/>
              <w:jc w:val="left"/>
              <w:rPr>
                <w:szCs w:val="21"/>
              </w:rPr>
            </w:pPr>
            <w:r>
              <w:rPr>
                <w:rFonts w:hint="eastAsia"/>
                <w:szCs w:val="21"/>
              </w:rPr>
              <w:t xml:space="preserve">第22条 </w:t>
            </w:r>
            <w:r>
              <w:rPr>
                <w:rFonts w:hint="eastAsia"/>
                <w:szCs w:val="21"/>
              </w:rPr>
              <w:tab/>
            </w:r>
            <w:r>
              <w:rPr>
                <w:rFonts w:hint="eastAsia"/>
                <w:szCs w:val="21"/>
              </w:rPr>
              <w:t>国土空间开发保护战略：大力开展矿山生态环境修复治理，推动工矿废弃地、矸石山、尾矿库等资源再利用。</w:t>
            </w:r>
          </w:p>
        </w:tc>
        <w:tc>
          <w:tcPr>
            <w:tcW w:w="2552" w:type="dxa"/>
            <w:tcBorders>
              <w:tl2br w:val="nil"/>
              <w:tr2bl w:val="nil"/>
            </w:tcBorders>
            <w:vAlign w:val="center"/>
          </w:tcPr>
          <w:p w14:paraId="6C397AF5">
            <w:pPr>
              <w:spacing w:before="0" w:beforeLines="0" w:line="240" w:lineRule="auto"/>
              <w:ind w:firstLine="420" w:firstLineChars="200"/>
              <w:jc w:val="left"/>
              <w:rPr>
                <w:szCs w:val="21"/>
              </w:rPr>
            </w:pPr>
            <w:r>
              <w:rPr>
                <w:rFonts w:hint="eastAsia"/>
                <w:szCs w:val="21"/>
              </w:rPr>
              <w:t>本项目对现有尾矿及废石进行综合利用。</w:t>
            </w:r>
          </w:p>
        </w:tc>
        <w:tc>
          <w:tcPr>
            <w:tcW w:w="821" w:type="dxa"/>
            <w:tcBorders>
              <w:tl2br w:val="nil"/>
              <w:tr2bl w:val="nil"/>
            </w:tcBorders>
            <w:vAlign w:val="center"/>
          </w:tcPr>
          <w:p w14:paraId="742EF0C7">
            <w:pPr>
              <w:spacing w:before="0" w:beforeLines="0" w:line="240" w:lineRule="auto"/>
              <w:jc w:val="center"/>
              <w:rPr>
                <w:szCs w:val="21"/>
              </w:rPr>
            </w:pPr>
            <w:r>
              <w:rPr>
                <w:rFonts w:hint="eastAsia"/>
                <w:szCs w:val="21"/>
              </w:rPr>
              <w:t>符合</w:t>
            </w:r>
          </w:p>
        </w:tc>
      </w:tr>
      <w:tr w14:paraId="76E6617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702" w:hRule="atLeast"/>
          <w:jc w:val="center"/>
        </w:trPr>
        <w:tc>
          <w:tcPr>
            <w:tcW w:w="1134" w:type="dxa"/>
            <w:vMerge w:val="continue"/>
            <w:tcBorders>
              <w:tl2br w:val="nil"/>
              <w:tr2bl w:val="nil"/>
            </w:tcBorders>
            <w:vAlign w:val="center"/>
          </w:tcPr>
          <w:p w14:paraId="11FA7986">
            <w:pPr>
              <w:spacing w:before="0" w:beforeLines="0" w:line="240" w:lineRule="auto"/>
              <w:jc w:val="center"/>
              <w:rPr>
                <w:szCs w:val="21"/>
              </w:rPr>
            </w:pPr>
          </w:p>
        </w:tc>
        <w:tc>
          <w:tcPr>
            <w:tcW w:w="4111" w:type="dxa"/>
            <w:tcBorders>
              <w:tl2br w:val="nil"/>
              <w:tr2bl w:val="nil"/>
            </w:tcBorders>
            <w:vAlign w:val="center"/>
          </w:tcPr>
          <w:p w14:paraId="781E1AA0">
            <w:pPr>
              <w:spacing w:before="0" w:beforeLines="0" w:line="240" w:lineRule="auto"/>
              <w:jc w:val="left"/>
              <w:rPr>
                <w:szCs w:val="21"/>
              </w:rPr>
            </w:pPr>
            <w:r>
              <w:rPr>
                <w:rFonts w:hint="eastAsia"/>
                <w:szCs w:val="21"/>
              </w:rPr>
              <w:t xml:space="preserve">第59条 </w:t>
            </w:r>
            <w:r>
              <w:rPr>
                <w:rFonts w:hint="eastAsia"/>
                <w:szCs w:val="21"/>
              </w:rPr>
              <w:tab/>
            </w:r>
            <w:r>
              <w:rPr>
                <w:rFonts w:hint="eastAsia"/>
                <w:szCs w:val="21"/>
              </w:rPr>
              <w:t>优化矿产资源勘查开发格局：推广矿山尾矿、废弃资源的深加工综合利用。</w:t>
            </w:r>
          </w:p>
        </w:tc>
        <w:tc>
          <w:tcPr>
            <w:tcW w:w="2552" w:type="dxa"/>
            <w:tcBorders>
              <w:tl2br w:val="nil"/>
              <w:tr2bl w:val="nil"/>
            </w:tcBorders>
            <w:vAlign w:val="center"/>
          </w:tcPr>
          <w:p w14:paraId="5114B211">
            <w:pPr>
              <w:spacing w:before="0" w:beforeLines="0" w:line="240" w:lineRule="auto"/>
              <w:ind w:firstLine="420" w:firstLineChars="200"/>
              <w:jc w:val="left"/>
              <w:rPr>
                <w:szCs w:val="21"/>
              </w:rPr>
            </w:pPr>
            <w:r>
              <w:rPr>
                <w:rFonts w:hint="eastAsia"/>
                <w:szCs w:val="21"/>
              </w:rPr>
              <w:t>本项目对现有尾矿及废石进行综合利用。</w:t>
            </w:r>
          </w:p>
        </w:tc>
        <w:tc>
          <w:tcPr>
            <w:tcW w:w="821" w:type="dxa"/>
            <w:tcBorders>
              <w:tl2br w:val="nil"/>
              <w:tr2bl w:val="nil"/>
            </w:tcBorders>
            <w:vAlign w:val="center"/>
          </w:tcPr>
          <w:p w14:paraId="22000C58">
            <w:pPr>
              <w:spacing w:before="0" w:beforeLines="0" w:line="240" w:lineRule="auto"/>
              <w:jc w:val="center"/>
              <w:rPr>
                <w:szCs w:val="21"/>
              </w:rPr>
            </w:pPr>
            <w:r>
              <w:rPr>
                <w:rFonts w:hint="eastAsia"/>
                <w:szCs w:val="21"/>
              </w:rPr>
              <w:t>符合</w:t>
            </w:r>
          </w:p>
        </w:tc>
      </w:tr>
      <w:tr w14:paraId="0CC9B26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981" w:hRule="atLeast"/>
          <w:jc w:val="center"/>
        </w:trPr>
        <w:tc>
          <w:tcPr>
            <w:tcW w:w="1134" w:type="dxa"/>
            <w:vMerge w:val="continue"/>
            <w:tcBorders>
              <w:tl2br w:val="nil"/>
              <w:tr2bl w:val="nil"/>
            </w:tcBorders>
            <w:vAlign w:val="center"/>
          </w:tcPr>
          <w:p w14:paraId="2F983B4E">
            <w:pPr>
              <w:spacing w:before="0" w:beforeLines="0" w:line="240" w:lineRule="auto"/>
              <w:jc w:val="center"/>
              <w:rPr>
                <w:szCs w:val="21"/>
              </w:rPr>
            </w:pPr>
          </w:p>
        </w:tc>
        <w:tc>
          <w:tcPr>
            <w:tcW w:w="4111" w:type="dxa"/>
            <w:tcBorders>
              <w:tl2br w:val="nil"/>
              <w:tr2bl w:val="nil"/>
            </w:tcBorders>
            <w:vAlign w:val="center"/>
          </w:tcPr>
          <w:p w14:paraId="6D52817F">
            <w:pPr>
              <w:spacing w:before="0" w:beforeLines="0" w:line="240" w:lineRule="auto"/>
              <w:jc w:val="left"/>
              <w:rPr>
                <w:szCs w:val="21"/>
              </w:rPr>
            </w:pPr>
            <w:r>
              <w:rPr>
                <w:rFonts w:hint="eastAsia"/>
                <w:szCs w:val="21"/>
              </w:rPr>
              <w:t xml:space="preserve">第62条 </w:t>
            </w:r>
            <w:r>
              <w:rPr>
                <w:rFonts w:hint="eastAsia"/>
                <w:szCs w:val="21"/>
              </w:rPr>
              <w:tab/>
            </w:r>
            <w:r>
              <w:rPr>
                <w:rFonts w:hint="eastAsia"/>
                <w:szCs w:val="21"/>
              </w:rPr>
              <w:t>严格管控矿产资源开采：加强煤矸石、粉煤灰、尾矿、废石等废弃资源与尚难利用资源开发利用。</w:t>
            </w:r>
          </w:p>
        </w:tc>
        <w:tc>
          <w:tcPr>
            <w:tcW w:w="2552" w:type="dxa"/>
            <w:tcBorders>
              <w:tl2br w:val="nil"/>
              <w:tr2bl w:val="nil"/>
            </w:tcBorders>
            <w:vAlign w:val="center"/>
          </w:tcPr>
          <w:p w14:paraId="7E27E5D7">
            <w:pPr>
              <w:spacing w:before="0" w:beforeLines="0" w:line="240" w:lineRule="auto"/>
              <w:ind w:firstLine="420" w:firstLineChars="200"/>
              <w:jc w:val="left"/>
              <w:rPr>
                <w:szCs w:val="21"/>
              </w:rPr>
            </w:pPr>
            <w:r>
              <w:rPr>
                <w:rFonts w:hint="eastAsia"/>
                <w:szCs w:val="21"/>
              </w:rPr>
              <w:t>本项目对现有尾矿及废石进行综合利用。</w:t>
            </w:r>
          </w:p>
        </w:tc>
        <w:tc>
          <w:tcPr>
            <w:tcW w:w="821" w:type="dxa"/>
            <w:tcBorders>
              <w:tl2br w:val="nil"/>
              <w:tr2bl w:val="nil"/>
            </w:tcBorders>
            <w:vAlign w:val="center"/>
          </w:tcPr>
          <w:p w14:paraId="5BA96662">
            <w:pPr>
              <w:spacing w:before="0" w:beforeLines="0" w:line="240" w:lineRule="auto"/>
              <w:jc w:val="center"/>
              <w:rPr>
                <w:szCs w:val="21"/>
              </w:rPr>
            </w:pPr>
            <w:r>
              <w:rPr>
                <w:rFonts w:hint="eastAsia"/>
                <w:szCs w:val="21"/>
              </w:rPr>
              <w:t>符合</w:t>
            </w:r>
          </w:p>
        </w:tc>
      </w:tr>
      <w:tr w14:paraId="0EC7DDB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jc w:val="center"/>
        </w:trPr>
        <w:tc>
          <w:tcPr>
            <w:tcW w:w="1134" w:type="dxa"/>
            <w:tcBorders>
              <w:tl2br w:val="nil"/>
              <w:tr2bl w:val="nil"/>
            </w:tcBorders>
            <w:vAlign w:val="center"/>
          </w:tcPr>
          <w:p w14:paraId="415EAA06">
            <w:pPr>
              <w:spacing w:before="0" w:beforeLines="0" w:line="240" w:lineRule="auto"/>
              <w:jc w:val="center"/>
              <w:rPr>
                <w:szCs w:val="21"/>
              </w:rPr>
            </w:pPr>
            <w:r>
              <w:rPr>
                <w:szCs w:val="21"/>
              </w:rPr>
              <w:t>《阜新蒙古族自治县国土空间总体规划》（2021-2035年）</w:t>
            </w:r>
          </w:p>
        </w:tc>
        <w:tc>
          <w:tcPr>
            <w:tcW w:w="4111" w:type="dxa"/>
            <w:tcBorders>
              <w:tl2br w:val="nil"/>
              <w:tr2bl w:val="nil"/>
            </w:tcBorders>
            <w:vAlign w:val="center"/>
          </w:tcPr>
          <w:p w14:paraId="3EA193E7">
            <w:pPr>
              <w:spacing w:before="0" w:beforeLines="0" w:line="240" w:lineRule="auto"/>
              <w:rPr>
                <w:szCs w:val="21"/>
              </w:rPr>
            </w:pPr>
            <w:r>
              <w:rPr>
                <w:rFonts w:hint="eastAsia"/>
                <w:szCs w:val="21"/>
              </w:rPr>
              <w:t>第69条推动矿山环境治理修复</w:t>
            </w:r>
          </w:p>
          <w:p w14:paraId="2C8F6C8E">
            <w:pPr>
              <w:spacing w:before="0" w:beforeLines="0" w:line="240" w:lineRule="auto"/>
              <w:ind w:firstLine="210" w:firstLineChars="100"/>
              <w:jc w:val="left"/>
              <w:rPr>
                <w:szCs w:val="21"/>
              </w:rPr>
            </w:pPr>
            <w:r>
              <w:rPr>
                <w:rFonts w:hint="eastAsia"/>
                <w:szCs w:val="21"/>
              </w:rPr>
              <w:t>推动历史遗留矿山环境治理。以重点生态功能区为重点，针对历史遗留矿山导致的水土流失、塌方沉陷等地质灾害，废弃尾矿堆积、水土气环境污染、植被破坏和生物多样性等问题，开展矿山生态修复和综合治理工作，系统修复矿区及周边地区生态环境。创新多元化的废弃矿山治理方式，重点保障基础设施等城乡建设用地需求，切实提高矿山地质环境恢复治理成效。</w:t>
            </w:r>
          </w:p>
          <w:p w14:paraId="50CC0E86">
            <w:pPr>
              <w:spacing w:before="0" w:beforeLines="0" w:line="240" w:lineRule="auto"/>
              <w:ind w:firstLine="420" w:firstLineChars="200"/>
              <w:jc w:val="left"/>
              <w:rPr>
                <w:szCs w:val="21"/>
              </w:rPr>
            </w:pPr>
            <w:r>
              <w:rPr>
                <w:rFonts w:hint="eastAsia"/>
                <w:szCs w:val="21"/>
              </w:rPr>
              <w:t>稳步推进生产矿山生态修复。强化在建、生产矿山治理修复工作，建立健全矿区自然资源调查、管理制度，明确矿山修复主体责任，按照“边开采、边治理、边恢复”的原则，对矿山地质环境问题和占用破坏土地进行治理恢复。完善矿山地质环境保证金制度，加强资源开发全过程监管。强化对采矿权人主体责任的社会监督和政府监督，督促采矿权人严格执行矿山地质环境保护与恢复治理方案，积极履行矿山地质环境保护与恢复治理义务。</w:t>
            </w:r>
          </w:p>
        </w:tc>
        <w:tc>
          <w:tcPr>
            <w:tcW w:w="2552" w:type="dxa"/>
            <w:tcBorders>
              <w:tl2br w:val="nil"/>
              <w:tr2bl w:val="nil"/>
            </w:tcBorders>
            <w:vAlign w:val="center"/>
          </w:tcPr>
          <w:p w14:paraId="162EE990">
            <w:pPr>
              <w:spacing w:before="0" w:beforeLines="0" w:line="240" w:lineRule="auto"/>
              <w:ind w:firstLine="420" w:firstLineChars="200"/>
              <w:jc w:val="left"/>
              <w:rPr>
                <w:szCs w:val="21"/>
              </w:rPr>
            </w:pPr>
            <w:r>
              <w:rPr>
                <w:rFonts w:hint="eastAsia"/>
                <w:szCs w:val="21"/>
              </w:rPr>
              <w:t>本项目对现有尾矿及废石进行综合利用。</w:t>
            </w:r>
          </w:p>
          <w:p w14:paraId="67AD6F6D">
            <w:pPr>
              <w:spacing w:before="0" w:beforeLines="0" w:line="240" w:lineRule="auto"/>
              <w:ind w:firstLine="420" w:firstLineChars="200"/>
              <w:jc w:val="left"/>
              <w:rPr>
                <w:szCs w:val="21"/>
              </w:rPr>
            </w:pPr>
            <w:r>
              <w:rPr>
                <w:rFonts w:hint="eastAsia"/>
                <w:szCs w:val="21"/>
              </w:rPr>
              <w:t>本项目现状用地为采矿用地，阜新蒙古族自治县自然资源局已同意将该地块纳入阜新蒙古族自治县</w:t>
            </w:r>
            <w:r>
              <w:rPr>
                <w:rFonts w:hint="eastAsia"/>
                <w:szCs w:val="21"/>
                <w:lang w:val="en-US" w:eastAsia="zh-CN"/>
              </w:rPr>
              <w:t>国土</w:t>
            </w:r>
            <w:r>
              <w:rPr>
                <w:rFonts w:hint="eastAsia"/>
                <w:szCs w:val="21"/>
              </w:rPr>
              <w:t>空间总体规划的零星城镇建设用地布局，调整后为工业用地，具体流程需按照有关要求通过审批。并出具相关情况说明，见附件6。</w:t>
            </w:r>
          </w:p>
        </w:tc>
        <w:tc>
          <w:tcPr>
            <w:tcW w:w="821" w:type="dxa"/>
            <w:tcBorders>
              <w:tl2br w:val="nil"/>
              <w:tr2bl w:val="nil"/>
            </w:tcBorders>
            <w:vAlign w:val="center"/>
          </w:tcPr>
          <w:p w14:paraId="03988F8E">
            <w:pPr>
              <w:spacing w:before="0" w:beforeLines="0" w:line="240" w:lineRule="auto"/>
              <w:jc w:val="center"/>
              <w:rPr>
                <w:szCs w:val="21"/>
              </w:rPr>
            </w:pPr>
            <w:r>
              <w:rPr>
                <w:rFonts w:hint="eastAsia"/>
                <w:szCs w:val="21"/>
              </w:rPr>
              <w:t>符合</w:t>
            </w:r>
          </w:p>
        </w:tc>
      </w:tr>
      <w:bookmarkEnd w:id="75"/>
    </w:tbl>
    <w:p w14:paraId="091574FF">
      <w:pPr>
        <w:pStyle w:val="4"/>
        <w:spacing w:after="140" w:line="416" w:lineRule="auto"/>
        <w:rPr>
          <w:rFonts w:ascii="Times New Roman" w:hAnsi="Times New Roman" w:eastAsia="宋体"/>
          <w:color w:val="auto"/>
        </w:rPr>
      </w:pPr>
      <w:bookmarkStart w:id="76" w:name="_Toc239274266"/>
      <w:r>
        <w:rPr>
          <w:rFonts w:ascii="Times New Roman" w:hAnsi="Times New Roman" w:eastAsia="宋体"/>
          <w:color w:val="auto"/>
        </w:rPr>
        <w:t>2.6主要环境保护目标</w:t>
      </w:r>
      <w:bookmarkEnd w:id="64"/>
      <w:bookmarkEnd w:id="76"/>
    </w:p>
    <w:p w14:paraId="17360786">
      <w:pPr>
        <w:autoSpaceDE w:val="0"/>
        <w:autoSpaceDN w:val="0"/>
        <w:spacing w:before="0" w:beforeLines="0" w:line="360" w:lineRule="auto"/>
        <w:ind w:firstLine="480" w:firstLineChars="200"/>
        <w:textAlignment w:val="bottom"/>
        <w:rPr>
          <w:kern w:val="24"/>
          <w:sz w:val="24"/>
        </w:rPr>
      </w:pPr>
      <w:r>
        <w:rPr>
          <w:kern w:val="24"/>
          <w:sz w:val="24"/>
        </w:rPr>
        <w:t>本项目位于阜新市阜蒙县旧庙镇</w:t>
      </w:r>
      <w:r>
        <w:rPr>
          <w:rFonts w:hint="eastAsia"/>
          <w:kern w:val="24"/>
          <w:sz w:val="24"/>
        </w:rPr>
        <w:t>阿哈来村</w:t>
      </w:r>
      <w:r>
        <w:rPr>
          <w:kern w:val="24"/>
          <w:sz w:val="24"/>
        </w:rPr>
        <w:t>，</w:t>
      </w:r>
      <w:r>
        <w:rPr>
          <w:rFonts w:hint="eastAsia"/>
          <w:kern w:val="24"/>
          <w:sz w:val="24"/>
        </w:rPr>
        <w:t>项目占地范围内不涉及一级国家公益林地及以上保护林地，不涉及国土三调数据中的草地；</w:t>
      </w:r>
      <w:r>
        <w:rPr>
          <w:kern w:val="24"/>
          <w:sz w:val="24"/>
        </w:rPr>
        <w:t>评价区</w:t>
      </w:r>
      <w:r>
        <w:rPr>
          <w:rFonts w:hint="eastAsia"/>
          <w:kern w:val="24"/>
          <w:sz w:val="24"/>
        </w:rPr>
        <w:t>不涉及</w:t>
      </w:r>
      <w:r>
        <w:rPr>
          <w:kern w:val="24"/>
          <w:sz w:val="24"/>
        </w:rPr>
        <w:t>自然保护区、风景名胜区、珍稀动植物保护区和文物保护对象等</w:t>
      </w:r>
      <w:r>
        <w:rPr>
          <w:rFonts w:hint="eastAsia"/>
          <w:kern w:val="24"/>
          <w:sz w:val="24"/>
        </w:rPr>
        <w:t>，详见附件</w:t>
      </w:r>
      <w:r>
        <w:rPr>
          <w:kern w:val="24"/>
          <w:sz w:val="24"/>
        </w:rPr>
        <w:t>。本项目主要环境保护目标分布见</w:t>
      </w:r>
      <w:r>
        <w:rPr>
          <w:rFonts w:hint="eastAsia"/>
          <w:kern w:val="24"/>
          <w:sz w:val="24"/>
        </w:rPr>
        <w:t>表</w:t>
      </w:r>
      <w:r>
        <w:rPr>
          <w:kern w:val="24"/>
          <w:sz w:val="24"/>
        </w:rPr>
        <w:t>2.6-1</w:t>
      </w:r>
      <w:bookmarkStart w:id="77" w:name="_Hlk157083264"/>
      <w:r>
        <w:rPr>
          <w:rFonts w:hint="eastAsia"/>
          <w:kern w:val="24"/>
          <w:sz w:val="24"/>
        </w:rPr>
        <w:t>（</w:t>
      </w:r>
      <w:r>
        <w:rPr>
          <w:kern w:val="24"/>
          <w:sz w:val="24"/>
        </w:rPr>
        <w:t>以1#厂区西南角拐点为原点坐标</w:t>
      </w:r>
      <w:r>
        <w:rPr>
          <w:rFonts w:hint="eastAsia"/>
          <w:kern w:val="24"/>
          <w:sz w:val="24"/>
        </w:rPr>
        <w:t>）及图2.6-1</w:t>
      </w:r>
      <w:r>
        <w:rPr>
          <w:kern w:val="24"/>
          <w:sz w:val="24"/>
        </w:rPr>
        <w:t>。</w:t>
      </w:r>
    </w:p>
    <w:p w14:paraId="415E0EC8">
      <w:pPr>
        <w:widowControl/>
        <w:spacing w:before="0" w:beforeLines="0" w:line="240" w:lineRule="auto"/>
        <w:jc w:val="center"/>
        <w:rPr>
          <w:b/>
          <w:kern w:val="0"/>
          <w:szCs w:val="21"/>
        </w:rPr>
      </w:pPr>
      <w:bookmarkStart w:id="78" w:name="_Hlk59883569"/>
      <w:r>
        <w:rPr>
          <w:b/>
          <w:kern w:val="0"/>
          <w:szCs w:val="21"/>
        </w:rPr>
        <w:t>表2.6-1    环境保护目标一览表</w:t>
      </w:r>
    </w:p>
    <w:tbl>
      <w:tblPr>
        <w:tblStyle w:val="89"/>
        <w:tblW w:w="8546"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28" w:type="dxa"/>
          <w:bottom w:w="0" w:type="dxa"/>
          <w:right w:w="28" w:type="dxa"/>
        </w:tblCellMar>
      </w:tblPr>
      <w:tblGrid>
        <w:gridCol w:w="471"/>
        <w:gridCol w:w="1114"/>
        <w:gridCol w:w="577"/>
        <w:gridCol w:w="585"/>
        <w:gridCol w:w="713"/>
        <w:gridCol w:w="1010"/>
        <w:gridCol w:w="1495"/>
        <w:gridCol w:w="669"/>
        <w:gridCol w:w="260"/>
        <w:gridCol w:w="317"/>
        <w:gridCol w:w="429"/>
        <w:gridCol w:w="291"/>
        <w:gridCol w:w="615"/>
      </w:tblGrid>
      <w:tr w14:paraId="1B4DF85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176" w:hRule="atLeast"/>
          <w:jc w:val="center"/>
        </w:trPr>
        <w:tc>
          <w:tcPr>
            <w:tcW w:w="471" w:type="dxa"/>
            <w:vMerge w:val="restart"/>
            <w:tcBorders>
              <w:tl2br w:val="nil"/>
              <w:tr2bl w:val="nil"/>
            </w:tcBorders>
            <w:tcMar>
              <w:top w:w="0" w:type="dxa"/>
              <w:left w:w="5" w:type="dxa"/>
              <w:bottom w:w="0" w:type="dxa"/>
              <w:right w:w="5" w:type="dxa"/>
            </w:tcMar>
            <w:vAlign w:val="center"/>
          </w:tcPr>
          <w:p w14:paraId="5069F455">
            <w:pPr>
              <w:snapToGrid w:val="0"/>
              <w:spacing w:before="0" w:beforeLines="0" w:line="240" w:lineRule="auto"/>
              <w:jc w:val="center"/>
              <w:rPr>
                <w:snapToGrid w:val="0"/>
                <w:kern w:val="0"/>
                <w:szCs w:val="21"/>
              </w:rPr>
            </w:pPr>
            <w:r>
              <w:rPr>
                <w:snapToGrid w:val="0"/>
                <w:kern w:val="0"/>
                <w:szCs w:val="21"/>
              </w:rPr>
              <w:t>环境</w:t>
            </w:r>
          </w:p>
          <w:p w14:paraId="0BCF4D61">
            <w:pPr>
              <w:snapToGrid w:val="0"/>
              <w:spacing w:before="0" w:beforeLines="0" w:line="240" w:lineRule="auto"/>
              <w:jc w:val="center"/>
              <w:rPr>
                <w:snapToGrid w:val="0"/>
                <w:kern w:val="0"/>
                <w:szCs w:val="21"/>
              </w:rPr>
            </w:pPr>
            <w:r>
              <w:rPr>
                <w:snapToGrid w:val="0"/>
                <w:kern w:val="0"/>
                <w:szCs w:val="21"/>
              </w:rPr>
              <w:t>要素</w:t>
            </w:r>
          </w:p>
        </w:tc>
        <w:tc>
          <w:tcPr>
            <w:tcW w:w="1114" w:type="dxa"/>
            <w:vMerge w:val="restart"/>
            <w:tcBorders>
              <w:tl2br w:val="nil"/>
              <w:tr2bl w:val="nil"/>
            </w:tcBorders>
            <w:tcMar>
              <w:top w:w="0" w:type="dxa"/>
              <w:left w:w="5" w:type="dxa"/>
              <w:bottom w:w="0" w:type="dxa"/>
              <w:right w:w="5" w:type="dxa"/>
            </w:tcMar>
            <w:vAlign w:val="center"/>
          </w:tcPr>
          <w:p w14:paraId="2AD83651">
            <w:pPr>
              <w:snapToGrid w:val="0"/>
              <w:spacing w:before="0" w:beforeLines="0" w:line="240" w:lineRule="auto"/>
              <w:jc w:val="center"/>
              <w:rPr>
                <w:snapToGrid w:val="0"/>
                <w:kern w:val="0"/>
                <w:szCs w:val="21"/>
              </w:rPr>
            </w:pPr>
            <w:r>
              <w:rPr>
                <w:snapToGrid w:val="0"/>
                <w:kern w:val="0"/>
                <w:szCs w:val="21"/>
              </w:rPr>
              <w:t>名称</w:t>
            </w:r>
          </w:p>
        </w:tc>
        <w:tc>
          <w:tcPr>
            <w:tcW w:w="1162" w:type="dxa"/>
            <w:gridSpan w:val="2"/>
            <w:tcBorders>
              <w:tl2br w:val="nil"/>
              <w:tr2bl w:val="nil"/>
            </w:tcBorders>
            <w:tcMar>
              <w:top w:w="0" w:type="dxa"/>
              <w:left w:w="5" w:type="dxa"/>
              <w:bottom w:w="0" w:type="dxa"/>
              <w:right w:w="5" w:type="dxa"/>
            </w:tcMar>
            <w:vAlign w:val="center"/>
          </w:tcPr>
          <w:p w14:paraId="43A87E1E">
            <w:pPr>
              <w:snapToGrid w:val="0"/>
              <w:spacing w:before="0" w:beforeLines="0" w:line="240" w:lineRule="auto"/>
              <w:jc w:val="center"/>
              <w:rPr>
                <w:snapToGrid w:val="0"/>
                <w:kern w:val="0"/>
                <w:szCs w:val="21"/>
              </w:rPr>
            </w:pPr>
            <w:r>
              <w:rPr>
                <w:snapToGrid w:val="0"/>
                <w:kern w:val="0"/>
                <w:szCs w:val="21"/>
              </w:rPr>
              <w:t>坐标/m</w:t>
            </w:r>
          </w:p>
        </w:tc>
        <w:tc>
          <w:tcPr>
            <w:tcW w:w="712" w:type="dxa"/>
            <w:vMerge w:val="restart"/>
            <w:tcBorders>
              <w:tl2br w:val="nil"/>
              <w:tr2bl w:val="nil"/>
            </w:tcBorders>
            <w:tcMar>
              <w:top w:w="0" w:type="dxa"/>
              <w:left w:w="5" w:type="dxa"/>
              <w:bottom w:w="0" w:type="dxa"/>
              <w:right w:w="5" w:type="dxa"/>
            </w:tcMar>
            <w:vAlign w:val="center"/>
          </w:tcPr>
          <w:p w14:paraId="31FB23AF">
            <w:pPr>
              <w:snapToGrid w:val="0"/>
              <w:spacing w:before="0" w:beforeLines="0" w:line="240" w:lineRule="auto"/>
              <w:jc w:val="center"/>
              <w:rPr>
                <w:snapToGrid w:val="0"/>
                <w:kern w:val="0"/>
                <w:szCs w:val="21"/>
              </w:rPr>
            </w:pPr>
            <w:r>
              <w:rPr>
                <w:snapToGrid w:val="0"/>
                <w:kern w:val="0"/>
                <w:szCs w:val="21"/>
              </w:rPr>
              <w:t>保护对象</w:t>
            </w:r>
          </w:p>
        </w:tc>
        <w:tc>
          <w:tcPr>
            <w:tcW w:w="1010" w:type="dxa"/>
            <w:vMerge w:val="restart"/>
            <w:tcBorders>
              <w:tl2br w:val="nil"/>
              <w:tr2bl w:val="nil"/>
            </w:tcBorders>
            <w:tcMar>
              <w:top w:w="0" w:type="dxa"/>
              <w:left w:w="5" w:type="dxa"/>
              <w:bottom w:w="0" w:type="dxa"/>
              <w:right w:w="5" w:type="dxa"/>
            </w:tcMar>
            <w:vAlign w:val="center"/>
          </w:tcPr>
          <w:p w14:paraId="0A94C1CD">
            <w:pPr>
              <w:snapToGrid w:val="0"/>
              <w:spacing w:before="0" w:beforeLines="0" w:line="240" w:lineRule="auto"/>
              <w:jc w:val="center"/>
              <w:rPr>
                <w:snapToGrid w:val="0"/>
                <w:kern w:val="0"/>
                <w:szCs w:val="21"/>
              </w:rPr>
            </w:pPr>
            <w:r>
              <w:rPr>
                <w:snapToGrid w:val="0"/>
                <w:kern w:val="0"/>
                <w:szCs w:val="21"/>
              </w:rPr>
              <w:t>保护内容（人口）</w:t>
            </w:r>
          </w:p>
        </w:tc>
        <w:tc>
          <w:tcPr>
            <w:tcW w:w="1495" w:type="dxa"/>
            <w:vMerge w:val="restart"/>
            <w:tcBorders>
              <w:tl2br w:val="nil"/>
              <w:tr2bl w:val="nil"/>
            </w:tcBorders>
            <w:tcMar>
              <w:top w:w="0" w:type="dxa"/>
              <w:left w:w="5" w:type="dxa"/>
              <w:bottom w:w="0" w:type="dxa"/>
              <w:right w:w="5" w:type="dxa"/>
            </w:tcMar>
            <w:vAlign w:val="center"/>
          </w:tcPr>
          <w:p w14:paraId="07DB850E">
            <w:pPr>
              <w:snapToGrid w:val="0"/>
              <w:spacing w:before="0" w:beforeLines="0" w:line="240" w:lineRule="auto"/>
              <w:jc w:val="center"/>
              <w:rPr>
                <w:snapToGrid w:val="0"/>
                <w:kern w:val="0"/>
                <w:szCs w:val="21"/>
              </w:rPr>
            </w:pPr>
            <w:r>
              <w:rPr>
                <w:snapToGrid w:val="0"/>
                <w:kern w:val="0"/>
                <w:szCs w:val="21"/>
              </w:rPr>
              <w:t>环境功能区</w:t>
            </w:r>
          </w:p>
        </w:tc>
        <w:tc>
          <w:tcPr>
            <w:tcW w:w="2580" w:type="dxa"/>
            <w:gridSpan w:val="6"/>
            <w:tcBorders>
              <w:tl2br w:val="nil"/>
              <w:tr2bl w:val="nil"/>
            </w:tcBorders>
            <w:tcMar>
              <w:top w:w="0" w:type="dxa"/>
              <w:left w:w="5" w:type="dxa"/>
              <w:bottom w:w="0" w:type="dxa"/>
              <w:right w:w="5" w:type="dxa"/>
            </w:tcMar>
            <w:vAlign w:val="center"/>
          </w:tcPr>
          <w:p w14:paraId="0B8C2AAD">
            <w:pPr>
              <w:snapToGrid w:val="0"/>
              <w:spacing w:before="0" w:beforeLines="0" w:line="240" w:lineRule="auto"/>
              <w:jc w:val="center"/>
              <w:rPr>
                <w:snapToGrid w:val="0"/>
                <w:kern w:val="0"/>
                <w:szCs w:val="21"/>
              </w:rPr>
            </w:pPr>
            <w:r>
              <w:rPr>
                <w:snapToGrid w:val="0"/>
                <w:kern w:val="0"/>
                <w:szCs w:val="21"/>
              </w:rPr>
              <w:t>相对厂界方位及最近距离</w:t>
            </w:r>
          </w:p>
        </w:tc>
      </w:tr>
      <w:tr w14:paraId="6CA325C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176" w:hRule="atLeast"/>
          <w:jc w:val="center"/>
        </w:trPr>
        <w:tc>
          <w:tcPr>
            <w:tcW w:w="471" w:type="dxa"/>
            <w:vMerge w:val="continue"/>
            <w:tcBorders>
              <w:tl2br w:val="nil"/>
              <w:tr2bl w:val="nil"/>
            </w:tcBorders>
            <w:vAlign w:val="center"/>
          </w:tcPr>
          <w:p w14:paraId="193D75CE">
            <w:pPr>
              <w:snapToGrid w:val="0"/>
              <w:spacing w:before="0" w:beforeLines="0" w:line="240" w:lineRule="auto"/>
              <w:jc w:val="center"/>
              <w:rPr>
                <w:snapToGrid w:val="0"/>
                <w:kern w:val="0"/>
                <w:szCs w:val="21"/>
              </w:rPr>
            </w:pPr>
          </w:p>
        </w:tc>
        <w:tc>
          <w:tcPr>
            <w:tcW w:w="1114" w:type="dxa"/>
            <w:vMerge w:val="continue"/>
            <w:tcBorders>
              <w:tl2br w:val="nil"/>
              <w:tr2bl w:val="nil"/>
            </w:tcBorders>
            <w:vAlign w:val="center"/>
          </w:tcPr>
          <w:p w14:paraId="65DD22E5">
            <w:pPr>
              <w:snapToGrid w:val="0"/>
              <w:spacing w:before="0" w:beforeLines="0" w:line="240" w:lineRule="auto"/>
              <w:jc w:val="center"/>
              <w:rPr>
                <w:snapToGrid w:val="0"/>
                <w:kern w:val="0"/>
                <w:szCs w:val="21"/>
              </w:rPr>
            </w:pPr>
          </w:p>
        </w:tc>
        <w:tc>
          <w:tcPr>
            <w:tcW w:w="577" w:type="dxa"/>
            <w:tcBorders>
              <w:tl2br w:val="nil"/>
              <w:tr2bl w:val="nil"/>
            </w:tcBorders>
            <w:tcMar>
              <w:top w:w="0" w:type="dxa"/>
              <w:left w:w="5" w:type="dxa"/>
              <w:bottom w:w="0" w:type="dxa"/>
              <w:right w:w="5" w:type="dxa"/>
            </w:tcMar>
            <w:vAlign w:val="center"/>
          </w:tcPr>
          <w:p w14:paraId="6F909AD5">
            <w:pPr>
              <w:snapToGrid w:val="0"/>
              <w:spacing w:before="0" w:beforeLines="0" w:line="240" w:lineRule="auto"/>
              <w:jc w:val="center"/>
              <w:rPr>
                <w:snapToGrid w:val="0"/>
                <w:kern w:val="0"/>
                <w:szCs w:val="21"/>
              </w:rPr>
            </w:pPr>
            <w:r>
              <w:rPr>
                <w:snapToGrid w:val="0"/>
                <w:kern w:val="0"/>
                <w:szCs w:val="21"/>
              </w:rPr>
              <w:t>X</w:t>
            </w:r>
          </w:p>
        </w:tc>
        <w:tc>
          <w:tcPr>
            <w:tcW w:w="585" w:type="dxa"/>
            <w:tcBorders>
              <w:tl2br w:val="nil"/>
              <w:tr2bl w:val="nil"/>
            </w:tcBorders>
            <w:tcMar>
              <w:top w:w="0" w:type="dxa"/>
              <w:left w:w="5" w:type="dxa"/>
              <w:bottom w:w="0" w:type="dxa"/>
              <w:right w:w="5" w:type="dxa"/>
            </w:tcMar>
            <w:vAlign w:val="center"/>
          </w:tcPr>
          <w:p w14:paraId="1990CFF2">
            <w:pPr>
              <w:snapToGrid w:val="0"/>
              <w:spacing w:before="0" w:beforeLines="0" w:line="240" w:lineRule="auto"/>
              <w:jc w:val="center"/>
              <w:rPr>
                <w:snapToGrid w:val="0"/>
                <w:kern w:val="0"/>
                <w:szCs w:val="21"/>
              </w:rPr>
            </w:pPr>
            <w:r>
              <w:rPr>
                <w:snapToGrid w:val="0"/>
                <w:kern w:val="0"/>
                <w:szCs w:val="21"/>
              </w:rPr>
              <w:t>Y</w:t>
            </w:r>
          </w:p>
        </w:tc>
        <w:tc>
          <w:tcPr>
            <w:tcW w:w="712" w:type="dxa"/>
            <w:vMerge w:val="continue"/>
            <w:tcBorders>
              <w:tl2br w:val="nil"/>
              <w:tr2bl w:val="nil"/>
            </w:tcBorders>
            <w:vAlign w:val="center"/>
          </w:tcPr>
          <w:p w14:paraId="63864669">
            <w:pPr>
              <w:snapToGrid w:val="0"/>
              <w:spacing w:before="0" w:beforeLines="0" w:line="240" w:lineRule="auto"/>
              <w:jc w:val="center"/>
              <w:rPr>
                <w:snapToGrid w:val="0"/>
                <w:kern w:val="0"/>
                <w:szCs w:val="21"/>
              </w:rPr>
            </w:pPr>
          </w:p>
        </w:tc>
        <w:tc>
          <w:tcPr>
            <w:tcW w:w="1010" w:type="dxa"/>
            <w:vMerge w:val="continue"/>
            <w:tcBorders>
              <w:tl2br w:val="nil"/>
              <w:tr2bl w:val="nil"/>
            </w:tcBorders>
            <w:vAlign w:val="center"/>
          </w:tcPr>
          <w:p w14:paraId="31481FA2">
            <w:pPr>
              <w:snapToGrid w:val="0"/>
              <w:spacing w:before="0" w:beforeLines="0" w:line="240" w:lineRule="auto"/>
              <w:jc w:val="center"/>
              <w:rPr>
                <w:snapToGrid w:val="0"/>
                <w:kern w:val="0"/>
                <w:szCs w:val="21"/>
              </w:rPr>
            </w:pPr>
          </w:p>
        </w:tc>
        <w:tc>
          <w:tcPr>
            <w:tcW w:w="1495" w:type="dxa"/>
            <w:vMerge w:val="continue"/>
            <w:tcBorders>
              <w:tl2br w:val="nil"/>
              <w:tr2bl w:val="nil"/>
            </w:tcBorders>
            <w:vAlign w:val="center"/>
          </w:tcPr>
          <w:p w14:paraId="36F25C80">
            <w:pPr>
              <w:snapToGrid w:val="0"/>
              <w:spacing w:before="0" w:beforeLines="0" w:line="240" w:lineRule="auto"/>
              <w:jc w:val="center"/>
              <w:rPr>
                <w:snapToGrid w:val="0"/>
                <w:kern w:val="0"/>
                <w:szCs w:val="21"/>
              </w:rPr>
            </w:pPr>
          </w:p>
        </w:tc>
        <w:tc>
          <w:tcPr>
            <w:tcW w:w="929" w:type="dxa"/>
            <w:gridSpan w:val="2"/>
            <w:tcBorders>
              <w:tl2br w:val="nil"/>
              <w:tr2bl w:val="nil"/>
            </w:tcBorders>
            <w:vAlign w:val="center"/>
          </w:tcPr>
          <w:p w14:paraId="0AD35B64">
            <w:pPr>
              <w:snapToGrid w:val="0"/>
              <w:spacing w:before="0" w:beforeLines="0" w:line="240" w:lineRule="auto"/>
              <w:jc w:val="center"/>
              <w:rPr>
                <w:snapToGrid w:val="0"/>
                <w:kern w:val="0"/>
                <w:szCs w:val="21"/>
              </w:rPr>
            </w:pPr>
            <w:r>
              <w:rPr>
                <w:snapToGrid w:val="0"/>
                <w:kern w:val="0"/>
                <w:szCs w:val="21"/>
              </w:rPr>
              <w:t>厂区</w:t>
            </w:r>
          </w:p>
        </w:tc>
        <w:tc>
          <w:tcPr>
            <w:tcW w:w="746" w:type="dxa"/>
            <w:gridSpan w:val="2"/>
            <w:tcBorders>
              <w:tl2br w:val="nil"/>
              <w:tr2bl w:val="nil"/>
            </w:tcBorders>
            <w:vAlign w:val="center"/>
          </w:tcPr>
          <w:p w14:paraId="6965CA57">
            <w:pPr>
              <w:snapToGrid w:val="0"/>
              <w:spacing w:before="0" w:beforeLines="0" w:line="240" w:lineRule="auto"/>
              <w:jc w:val="center"/>
              <w:rPr>
                <w:snapToGrid w:val="0"/>
                <w:kern w:val="0"/>
                <w:szCs w:val="21"/>
              </w:rPr>
            </w:pPr>
            <w:r>
              <w:rPr>
                <w:snapToGrid w:val="0"/>
                <w:kern w:val="0"/>
                <w:szCs w:val="21"/>
              </w:rPr>
              <w:t>方位</w:t>
            </w:r>
          </w:p>
        </w:tc>
        <w:tc>
          <w:tcPr>
            <w:tcW w:w="903" w:type="dxa"/>
            <w:gridSpan w:val="2"/>
            <w:tcBorders>
              <w:tl2br w:val="nil"/>
              <w:tr2bl w:val="nil"/>
            </w:tcBorders>
            <w:vAlign w:val="center"/>
          </w:tcPr>
          <w:p w14:paraId="01106299">
            <w:pPr>
              <w:snapToGrid w:val="0"/>
              <w:spacing w:before="0" w:beforeLines="0" w:line="240" w:lineRule="auto"/>
              <w:jc w:val="center"/>
              <w:rPr>
                <w:snapToGrid w:val="0"/>
                <w:kern w:val="0"/>
                <w:szCs w:val="21"/>
              </w:rPr>
            </w:pPr>
            <w:r>
              <w:rPr>
                <w:snapToGrid w:val="0"/>
                <w:kern w:val="0"/>
                <w:szCs w:val="21"/>
              </w:rPr>
              <w:t>距离(m)</w:t>
            </w:r>
          </w:p>
        </w:tc>
      </w:tr>
      <w:tr w14:paraId="3D8A7C3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80" w:hRule="atLeast"/>
          <w:jc w:val="center"/>
        </w:trPr>
        <w:tc>
          <w:tcPr>
            <w:tcW w:w="471" w:type="dxa"/>
            <w:vMerge w:val="restart"/>
            <w:tcBorders>
              <w:tl2br w:val="nil"/>
              <w:tr2bl w:val="nil"/>
            </w:tcBorders>
            <w:tcMar>
              <w:top w:w="0" w:type="dxa"/>
              <w:left w:w="5" w:type="dxa"/>
              <w:bottom w:w="0" w:type="dxa"/>
              <w:right w:w="5" w:type="dxa"/>
            </w:tcMar>
            <w:vAlign w:val="center"/>
          </w:tcPr>
          <w:p w14:paraId="49ED24DA">
            <w:pPr>
              <w:snapToGrid w:val="0"/>
              <w:spacing w:before="0" w:beforeLines="0" w:line="240" w:lineRule="auto"/>
              <w:jc w:val="center"/>
              <w:rPr>
                <w:snapToGrid w:val="0"/>
                <w:kern w:val="0"/>
                <w:szCs w:val="21"/>
              </w:rPr>
            </w:pPr>
            <w:r>
              <w:rPr>
                <w:snapToGrid w:val="0"/>
                <w:kern w:val="0"/>
                <w:szCs w:val="21"/>
              </w:rPr>
              <w:t>大气</w:t>
            </w:r>
          </w:p>
        </w:tc>
        <w:tc>
          <w:tcPr>
            <w:tcW w:w="1114" w:type="dxa"/>
            <w:tcBorders>
              <w:tl2br w:val="nil"/>
              <w:tr2bl w:val="nil"/>
            </w:tcBorders>
            <w:tcMar>
              <w:top w:w="0" w:type="dxa"/>
              <w:left w:w="5" w:type="dxa"/>
              <w:bottom w:w="0" w:type="dxa"/>
              <w:right w:w="5" w:type="dxa"/>
            </w:tcMar>
            <w:vAlign w:val="center"/>
          </w:tcPr>
          <w:p w14:paraId="29AB913E">
            <w:pPr>
              <w:snapToGrid w:val="0"/>
              <w:spacing w:before="0" w:beforeLines="0" w:line="240" w:lineRule="auto"/>
              <w:jc w:val="center"/>
              <w:rPr>
                <w:snapToGrid w:val="0"/>
                <w:kern w:val="0"/>
                <w:szCs w:val="21"/>
              </w:rPr>
            </w:pPr>
            <w:r>
              <w:rPr>
                <w:snapToGrid w:val="0"/>
                <w:kern w:val="0"/>
                <w:szCs w:val="21"/>
              </w:rPr>
              <w:t>胡家沟</w:t>
            </w:r>
          </w:p>
        </w:tc>
        <w:tc>
          <w:tcPr>
            <w:tcW w:w="577" w:type="dxa"/>
            <w:tcBorders>
              <w:tl2br w:val="nil"/>
              <w:tr2bl w:val="nil"/>
            </w:tcBorders>
            <w:tcMar>
              <w:top w:w="0" w:type="dxa"/>
              <w:left w:w="5" w:type="dxa"/>
              <w:bottom w:w="0" w:type="dxa"/>
              <w:right w:w="5" w:type="dxa"/>
            </w:tcMar>
            <w:vAlign w:val="center"/>
          </w:tcPr>
          <w:p w14:paraId="35EFCD64">
            <w:pPr>
              <w:snapToGrid w:val="0"/>
              <w:spacing w:before="0" w:beforeLines="0" w:line="240" w:lineRule="auto"/>
              <w:jc w:val="center"/>
              <w:rPr>
                <w:snapToGrid w:val="0"/>
                <w:kern w:val="0"/>
                <w:szCs w:val="21"/>
              </w:rPr>
            </w:pPr>
            <w:r>
              <w:rPr>
                <w:snapToGrid w:val="0"/>
                <w:kern w:val="0"/>
                <w:szCs w:val="21"/>
              </w:rPr>
              <w:t>0</w:t>
            </w:r>
          </w:p>
        </w:tc>
        <w:tc>
          <w:tcPr>
            <w:tcW w:w="585" w:type="dxa"/>
            <w:tcBorders>
              <w:tl2br w:val="nil"/>
              <w:tr2bl w:val="nil"/>
            </w:tcBorders>
            <w:tcMar>
              <w:top w:w="0" w:type="dxa"/>
              <w:left w:w="5" w:type="dxa"/>
              <w:bottom w:w="0" w:type="dxa"/>
              <w:right w:w="5" w:type="dxa"/>
            </w:tcMar>
            <w:vAlign w:val="center"/>
          </w:tcPr>
          <w:p w14:paraId="4BA75550">
            <w:pPr>
              <w:snapToGrid w:val="0"/>
              <w:spacing w:before="0" w:beforeLines="0" w:line="240" w:lineRule="auto"/>
              <w:jc w:val="center"/>
              <w:rPr>
                <w:snapToGrid w:val="0"/>
                <w:kern w:val="0"/>
                <w:szCs w:val="21"/>
              </w:rPr>
            </w:pPr>
            <w:r>
              <w:rPr>
                <w:snapToGrid w:val="0"/>
                <w:kern w:val="0"/>
                <w:szCs w:val="21"/>
              </w:rPr>
              <w:t>-1270</w:t>
            </w:r>
          </w:p>
        </w:tc>
        <w:tc>
          <w:tcPr>
            <w:tcW w:w="712" w:type="dxa"/>
            <w:vMerge w:val="restart"/>
            <w:tcBorders>
              <w:tl2br w:val="nil"/>
              <w:tr2bl w:val="nil"/>
            </w:tcBorders>
            <w:tcMar>
              <w:top w:w="0" w:type="dxa"/>
              <w:left w:w="5" w:type="dxa"/>
              <w:bottom w:w="0" w:type="dxa"/>
              <w:right w:w="5" w:type="dxa"/>
            </w:tcMar>
            <w:vAlign w:val="center"/>
          </w:tcPr>
          <w:p w14:paraId="6D80ABB0">
            <w:pPr>
              <w:snapToGrid w:val="0"/>
              <w:spacing w:before="0" w:beforeLines="0" w:line="240" w:lineRule="auto"/>
              <w:jc w:val="center"/>
              <w:rPr>
                <w:snapToGrid w:val="0"/>
                <w:kern w:val="0"/>
                <w:szCs w:val="21"/>
              </w:rPr>
            </w:pPr>
            <w:r>
              <w:rPr>
                <w:snapToGrid w:val="0"/>
                <w:kern w:val="0"/>
                <w:szCs w:val="21"/>
              </w:rPr>
              <w:t>居住区及人群较集中的区域</w:t>
            </w:r>
          </w:p>
        </w:tc>
        <w:tc>
          <w:tcPr>
            <w:tcW w:w="1010" w:type="dxa"/>
            <w:tcBorders>
              <w:tl2br w:val="nil"/>
              <w:tr2bl w:val="nil"/>
            </w:tcBorders>
            <w:tcMar>
              <w:top w:w="0" w:type="dxa"/>
              <w:left w:w="5" w:type="dxa"/>
              <w:bottom w:w="0" w:type="dxa"/>
              <w:right w:w="5" w:type="dxa"/>
            </w:tcMar>
            <w:vAlign w:val="center"/>
          </w:tcPr>
          <w:p w14:paraId="7C475FAB">
            <w:pPr>
              <w:snapToGrid w:val="0"/>
              <w:spacing w:before="0" w:beforeLines="0" w:line="240" w:lineRule="auto"/>
              <w:jc w:val="center"/>
              <w:rPr>
                <w:snapToGrid w:val="0"/>
                <w:kern w:val="0"/>
                <w:szCs w:val="21"/>
              </w:rPr>
            </w:pPr>
            <w:r>
              <w:rPr>
                <w:snapToGrid w:val="0"/>
                <w:kern w:val="0"/>
                <w:szCs w:val="21"/>
              </w:rPr>
              <w:t>280</w:t>
            </w:r>
          </w:p>
        </w:tc>
        <w:tc>
          <w:tcPr>
            <w:tcW w:w="1495" w:type="dxa"/>
            <w:vMerge w:val="restart"/>
            <w:tcBorders>
              <w:tl2br w:val="nil"/>
              <w:tr2bl w:val="nil"/>
            </w:tcBorders>
            <w:tcMar>
              <w:top w:w="0" w:type="dxa"/>
              <w:left w:w="5" w:type="dxa"/>
              <w:bottom w:w="0" w:type="dxa"/>
              <w:right w:w="5" w:type="dxa"/>
            </w:tcMar>
            <w:vAlign w:val="center"/>
          </w:tcPr>
          <w:p w14:paraId="592E1024">
            <w:pPr>
              <w:wordWrap w:val="0"/>
              <w:topLinePunct/>
              <w:adjustRightInd w:val="0"/>
              <w:snapToGrid w:val="0"/>
              <w:spacing w:before="0" w:beforeLines="0" w:line="240" w:lineRule="auto"/>
              <w:jc w:val="center"/>
              <w:rPr>
                <w:snapToGrid w:val="0"/>
                <w:kern w:val="0"/>
                <w:szCs w:val="21"/>
              </w:rPr>
            </w:pPr>
            <w:r>
              <w:rPr>
                <w:snapToGrid w:val="0"/>
                <w:kern w:val="0"/>
                <w:szCs w:val="21"/>
              </w:rPr>
              <w:t>《环境空气质量标准》（GB3095-20</w:t>
            </w:r>
            <w:r>
              <w:rPr>
                <w:rFonts w:hint="eastAsia"/>
                <w:snapToGrid w:val="0"/>
                <w:kern w:val="0"/>
                <w:szCs w:val="21"/>
              </w:rPr>
              <w:t>26</w:t>
            </w:r>
            <w:r>
              <w:rPr>
                <w:snapToGrid w:val="0"/>
                <w:kern w:val="0"/>
                <w:szCs w:val="21"/>
              </w:rPr>
              <w:t>）二类区</w:t>
            </w:r>
          </w:p>
        </w:tc>
        <w:tc>
          <w:tcPr>
            <w:tcW w:w="929" w:type="dxa"/>
            <w:gridSpan w:val="2"/>
            <w:tcBorders>
              <w:tl2br w:val="nil"/>
              <w:tr2bl w:val="nil"/>
            </w:tcBorders>
            <w:tcMar>
              <w:top w:w="0" w:type="dxa"/>
              <w:left w:w="5" w:type="dxa"/>
              <w:bottom w:w="0" w:type="dxa"/>
              <w:right w:w="5" w:type="dxa"/>
            </w:tcMar>
            <w:vAlign w:val="center"/>
          </w:tcPr>
          <w:p w14:paraId="572E1A01">
            <w:pPr>
              <w:snapToGrid w:val="0"/>
              <w:spacing w:before="0" w:beforeLines="0" w:line="240" w:lineRule="auto"/>
              <w:jc w:val="center"/>
              <w:rPr>
                <w:snapToGrid w:val="0"/>
                <w:kern w:val="0"/>
                <w:szCs w:val="21"/>
              </w:rPr>
            </w:pPr>
            <w:r>
              <w:rPr>
                <w:rFonts w:hint="eastAsia"/>
                <w:snapToGrid w:val="0"/>
                <w:kern w:val="0"/>
                <w:szCs w:val="21"/>
              </w:rPr>
              <w:t>1#</w:t>
            </w:r>
            <w:r>
              <w:rPr>
                <w:snapToGrid w:val="0"/>
                <w:kern w:val="0"/>
                <w:szCs w:val="21"/>
              </w:rPr>
              <w:t>厂区</w:t>
            </w:r>
          </w:p>
        </w:tc>
        <w:tc>
          <w:tcPr>
            <w:tcW w:w="746" w:type="dxa"/>
            <w:gridSpan w:val="2"/>
            <w:tcBorders>
              <w:tl2br w:val="nil"/>
              <w:tr2bl w:val="nil"/>
            </w:tcBorders>
            <w:tcMar>
              <w:top w:w="0" w:type="dxa"/>
              <w:left w:w="5" w:type="dxa"/>
              <w:bottom w:w="0" w:type="dxa"/>
              <w:right w:w="5" w:type="dxa"/>
            </w:tcMar>
            <w:vAlign w:val="center"/>
          </w:tcPr>
          <w:p w14:paraId="1EA88BE8">
            <w:pPr>
              <w:snapToGrid w:val="0"/>
              <w:spacing w:before="0" w:beforeLines="0" w:line="240" w:lineRule="auto"/>
              <w:jc w:val="center"/>
              <w:rPr>
                <w:snapToGrid w:val="0"/>
                <w:kern w:val="0"/>
                <w:szCs w:val="21"/>
              </w:rPr>
            </w:pPr>
            <w:r>
              <w:rPr>
                <w:snapToGrid w:val="0"/>
                <w:kern w:val="0"/>
                <w:szCs w:val="21"/>
              </w:rPr>
              <w:t>S</w:t>
            </w:r>
          </w:p>
        </w:tc>
        <w:tc>
          <w:tcPr>
            <w:tcW w:w="903" w:type="dxa"/>
            <w:gridSpan w:val="2"/>
            <w:tcBorders>
              <w:tl2br w:val="nil"/>
              <w:tr2bl w:val="nil"/>
            </w:tcBorders>
            <w:tcMar>
              <w:top w:w="0" w:type="dxa"/>
              <w:left w:w="5" w:type="dxa"/>
              <w:bottom w:w="0" w:type="dxa"/>
              <w:right w:w="5" w:type="dxa"/>
            </w:tcMar>
            <w:vAlign w:val="center"/>
          </w:tcPr>
          <w:p w14:paraId="430BFA34">
            <w:pPr>
              <w:snapToGrid w:val="0"/>
              <w:spacing w:before="0" w:beforeLines="0" w:line="240" w:lineRule="auto"/>
              <w:jc w:val="center"/>
              <w:rPr>
                <w:snapToGrid w:val="0"/>
                <w:kern w:val="0"/>
                <w:szCs w:val="21"/>
              </w:rPr>
            </w:pPr>
            <w:r>
              <w:rPr>
                <w:snapToGrid w:val="0"/>
                <w:kern w:val="0"/>
                <w:szCs w:val="21"/>
              </w:rPr>
              <w:t>13</w:t>
            </w:r>
            <w:r>
              <w:rPr>
                <w:rFonts w:hint="eastAsia"/>
                <w:snapToGrid w:val="0"/>
                <w:kern w:val="0"/>
                <w:szCs w:val="21"/>
              </w:rPr>
              <w:t>04</w:t>
            </w:r>
          </w:p>
        </w:tc>
      </w:tr>
      <w:tr w14:paraId="1262EDD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80" w:hRule="atLeast"/>
          <w:jc w:val="center"/>
        </w:trPr>
        <w:tc>
          <w:tcPr>
            <w:tcW w:w="471" w:type="dxa"/>
            <w:vMerge w:val="continue"/>
            <w:tcBorders>
              <w:tl2br w:val="nil"/>
              <w:tr2bl w:val="nil"/>
            </w:tcBorders>
            <w:tcMar>
              <w:top w:w="0" w:type="dxa"/>
              <w:left w:w="5" w:type="dxa"/>
              <w:bottom w:w="0" w:type="dxa"/>
              <w:right w:w="5" w:type="dxa"/>
            </w:tcMar>
            <w:vAlign w:val="center"/>
          </w:tcPr>
          <w:p w14:paraId="04CB8C2B">
            <w:pPr>
              <w:snapToGrid w:val="0"/>
              <w:spacing w:before="0" w:beforeLines="0" w:line="240" w:lineRule="auto"/>
              <w:jc w:val="center"/>
              <w:rPr>
                <w:snapToGrid w:val="0"/>
                <w:kern w:val="0"/>
                <w:szCs w:val="21"/>
              </w:rPr>
            </w:pPr>
          </w:p>
        </w:tc>
        <w:tc>
          <w:tcPr>
            <w:tcW w:w="1114" w:type="dxa"/>
            <w:tcBorders>
              <w:tl2br w:val="nil"/>
              <w:tr2bl w:val="nil"/>
            </w:tcBorders>
            <w:tcMar>
              <w:top w:w="0" w:type="dxa"/>
              <w:left w:w="5" w:type="dxa"/>
              <w:bottom w:w="0" w:type="dxa"/>
              <w:right w:w="5" w:type="dxa"/>
            </w:tcMar>
            <w:vAlign w:val="center"/>
          </w:tcPr>
          <w:p w14:paraId="0FCD06B8">
            <w:pPr>
              <w:snapToGrid w:val="0"/>
              <w:spacing w:before="0" w:beforeLines="0" w:line="240" w:lineRule="auto"/>
              <w:jc w:val="center"/>
              <w:rPr>
                <w:snapToGrid w:val="0"/>
                <w:kern w:val="0"/>
                <w:szCs w:val="21"/>
              </w:rPr>
            </w:pPr>
            <w:r>
              <w:rPr>
                <w:snapToGrid w:val="0"/>
                <w:kern w:val="0"/>
                <w:szCs w:val="21"/>
              </w:rPr>
              <w:t>孟家窝堡</w:t>
            </w:r>
          </w:p>
        </w:tc>
        <w:tc>
          <w:tcPr>
            <w:tcW w:w="577" w:type="dxa"/>
            <w:tcBorders>
              <w:tl2br w:val="nil"/>
              <w:tr2bl w:val="nil"/>
            </w:tcBorders>
            <w:tcMar>
              <w:top w:w="0" w:type="dxa"/>
              <w:left w:w="5" w:type="dxa"/>
              <w:bottom w:w="0" w:type="dxa"/>
              <w:right w:w="5" w:type="dxa"/>
            </w:tcMar>
            <w:vAlign w:val="center"/>
          </w:tcPr>
          <w:p w14:paraId="4787840E">
            <w:pPr>
              <w:snapToGrid w:val="0"/>
              <w:spacing w:before="0" w:beforeLines="0" w:line="240" w:lineRule="auto"/>
              <w:jc w:val="center"/>
              <w:rPr>
                <w:snapToGrid w:val="0"/>
                <w:kern w:val="0"/>
                <w:szCs w:val="21"/>
              </w:rPr>
            </w:pPr>
            <w:r>
              <w:rPr>
                <w:snapToGrid w:val="0"/>
                <w:kern w:val="0"/>
                <w:szCs w:val="21"/>
              </w:rPr>
              <w:t>-1000</w:t>
            </w:r>
          </w:p>
        </w:tc>
        <w:tc>
          <w:tcPr>
            <w:tcW w:w="585" w:type="dxa"/>
            <w:tcBorders>
              <w:tl2br w:val="nil"/>
              <w:tr2bl w:val="nil"/>
            </w:tcBorders>
            <w:tcMar>
              <w:top w:w="0" w:type="dxa"/>
              <w:left w:w="5" w:type="dxa"/>
              <w:bottom w:w="0" w:type="dxa"/>
              <w:right w:w="5" w:type="dxa"/>
            </w:tcMar>
            <w:vAlign w:val="center"/>
          </w:tcPr>
          <w:p w14:paraId="34E1E44E">
            <w:pPr>
              <w:snapToGrid w:val="0"/>
              <w:spacing w:before="0" w:beforeLines="0" w:line="240" w:lineRule="auto"/>
              <w:jc w:val="center"/>
              <w:rPr>
                <w:snapToGrid w:val="0"/>
                <w:kern w:val="0"/>
                <w:szCs w:val="21"/>
              </w:rPr>
            </w:pPr>
            <w:r>
              <w:rPr>
                <w:snapToGrid w:val="0"/>
                <w:kern w:val="0"/>
                <w:szCs w:val="21"/>
              </w:rPr>
              <w:t>0</w:t>
            </w:r>
          </w:p>
        </w:tc>
        <w:tc>
          <w:tcPr>
            <w:tcW w:w="712" w:type="dxa"/>
            <w:vMerge w:val="continue"/>
            <w:tcBorders>
              <w:tl2br w:val="nil"/>
              <w:tr2bl w:val="nil"/>
            </w:tcBorders>
            <w:tcMar>
              <w:top w:w="0" w:type="dxa"/>
              <w:left w:w="5" w:type="dxa"/>
              <w:bottom w:w="0" w:type="dxa"/>
              <w:right w:w="5" w:type="dxa"/>
            </w:tcMar>
            <w:vAlign w:val="center"/>
          </w:tcPr>
          <w:p w14:paraId="5900484B">
            <w:pPr>
              <w:snapToGrid w:val="0"/>
              <w:spacing w:before="0" w:beforeLines="0" w:line="240" w:lineRule="auto"/>
              <w:jc w:val="center"/>
              <w:rPr>
                <w:snapToGrid w:val="0"/>
                <w:kern w:val="0"/>
                <w:szCs w:val="21"/>
              </w:rPr>
            </w:pPr>
          </w:p>
        </w:tc>
        <w:tc>
          <w:tcPr>
            <w:tcW w:w="1010" w:type="dxa"/>
            <w:tcBorders>
              <w:tl2br w:val="nil"/>
              <w:tr2bl w:val="nil"/>
            </w:tcBorders>
            <w:tcMar>
              <w:top w:w="0" w:type="dxa"/>
              <w:left w:w="5" w:type="dxa"/>
              <w:bottom w:w="0" w:type="dxa"/>
              <w:right w:w="5" w:type="dxa"/>
            </w:tcMar>
            <w:vAlign w:val="center"/>
          </w:tcPr>
          <w:p w14:paraId="7AE25BC8">
            <w:pPr>
              <w:snapToGrid w:val="0"/>
              <w:spacing w:before="0" w:beforeLines="0" w:line="240" w:lineRule="auto"/>
              <w:jc w:val="center"/>
              <w:rPr>
                <w:snapToGrid w:val="0"/>
                <w:kern w:val="0"/>
                <w:szCs w:val="21"/>
              </w:rPr>
            </w:pPr>
            <w:r>
              <w:rPr>
                <w:snapToGrid w:val="0"/>
                <w:kern w:val="0"/>
                <w:szCs w:val="21"/>
              </w:rPr>
              <w:t>50</w:t>
            </w:r>
          </w:p>
        </w:tc>
        <w:tc>
          <w:tcPr>
            <w:tcW w:w="1495" w:type="dxa"/>
            <w:vMerge w:val="continue"/>
            <w:tcBorders>
              <w:tl2br w:val="nil"/>
              <w:tr2bl w:val="nil"/>
            </w:tcBorders>
            <w:tcMar>
              <w:top w:w="0" w:type="dxa"/>
              <w:left w:w="5" w:type="dxa"/>
              <w:bottom w:w="0" w:type="dxa"/>
              <w:right w:w="5" w:type="dxa"/>
            </w:tcMar>
            <w:vAlign w:val="center"/>
          </w:tcPr>
          <w:p w14:paraId="58E7EF22">
            <w:pPr>
              <w:wordWrap w:val="0"/>
              <w:topLinePunct/>
              <w:adjustRightInd w:val="0"/>
              <w:snapToGrid w:val="0"/>
              <w:spacing w:before="0" w:beforeLines="0" w:line="240" w:lineRule="auto"/>
              <w:jc w:val="center"/>
              <w:rPr>
                <w:snapToGrid w:val="0"/>
                <w:kern w:val="0"/>
                <w:szCs w:val="21"/>
              </w:rPr>
            </w:pPr>
          </w:p>
        </w:tc>
        <w:tc>
          <w:tcPr>
            <w:tcW w:w="929" w:type="dxa"/>
            <w:gridSpan w:val="2"/>
            <w:tcBorders>
              <w:tl2br w:val="nil"/>
              <w:tr2bl w:val="nil"/>
            </w:tcBorders>
            <w:tcMar>
              <w:top w:w="0" w:type="dxa"/>
              <w:left w:w="5" w:type="dxa"/>
              <w:bottom w:w="0" w:type="dxa"/>
              <w:right w:w="5" w:type="dxa"/>
            </w:tcMar>
            <w:vAlign w:val="center"/>
          </w:tcPr>
          <w:p w14:paraId="54CDBF58">
            <w:pPr>
              <w:snapToGrid w:val="0"/>
              <w:spacing w:before="0" w:beforeLines="0" w:line="240" w:lineRule="auto"/>
              <w:jc w:val="center"/>
              <w:rPr>
                <w:snapToGrid w:val="0"/>
                <w:kern w:val="0"/>
                <w:szCs w:val="21"/>
              </w:rPr>
            </w:pPr>
            <w:r>
              <w:rPr>
                <w:snapToGrid w:val="0"/>
                <w:kern w:val="0"/>
                <w:szCs w:val="21"/>
              </w:rPr>
              <w:t>1#厂区</w:t>
            </w:r>
          </w:p>
        </w:tc>
        <w:tc>
          <w:tcPr>
            <w:tcW w:w="746" w:type="dxa"/>
            <w:gridSpan w:val="2"/>
            <w:tcBorders>
              <w:tl2br w:val="nil"/>
              <w:tr2bl w:val="nil"/>
            </w:tcBorders>
            <w:tcMar>
              <w:top w:w="0" w:type="dxa"/>
              <w:left w:w="5" w:type="dxa"/>
              <w:bottom w:w="0" w:type="dxa"/>
              <w:right w:w="5" w:type="dxa"/>
            </w:tcMar>
            <w:vAlign w:val="center"/>
          </w:tcPr>
          <w:p w14:paraId="7432848F">
            <w:pPr>
              <w:snapToGrid w:val="0"/>
              <w:spacing w:before="0" w:beforeLines="0" w:line="240" w:lineRule="auto"/>
              <w:jc w:val="center"/>
              <w:rPr>
                <w:snapToGrid w:val="0"/>
                <w:kern w:val="0"/>
                <w:szCs w:val="21"/>
              </w:rPr>
            </w:pPr>
            <w:r>
              <w:rPr>
                <w:snapToGrid w:val="0"/>
                <w:kern w:val="0"/>
                <w:szCs w:val="21"/>
              </w:rPr>
              <w:t>W</w:t>
            </w:r>
          </w:p>
        </w:tc>
        <w:tc>
          <w:tcPr>
            <w:tcW w:w="903" w:type="dxa"/>
            <w:gridSpan w:val="2"/>
            <w:tcBorders>
              <w:tl2br w:val="nil"/>
              <w:tr2bl w:val="nil"/>
            </w:tcBorders>
            <w:tcMar>
              <w:top w:w="0" w:type="dxa"/>
              <w:left w:w="5" w:type="dxa"/>
              <w:bottom w:w="0" w:type="dxa"/>
              <w:right w:w="5" w:type="dxa"/>
            </w:tcMar>
            <w:vAlign w:val="center"/>
          </w:tcPr>
          <w:p w14:paraId="511449E0">
            <w:pPr>
              <w:snapToGrid w:val="0"/>
              <w:spacing w:before="0" w:beforeLines="0" w:line="240" w:lineRule="auto"/>
              <w:jc w:val="center"/>
              <w:rPr>
                <w:snapToGrid w:val="0"/>
                <w:kern w:val="0"/>
                <w:szCs w:val="21"/>
              </w:rPr>
            </w:pPr>
            <w:r>
              <w:rPr>
                <w:rFonts w:hint="eastAsia"/>
                <w:snapToGrid w:val="0"/>
                <w:kern w:val="0"/>
                <w:szCs w:val="21"/>
              </w:rPr>
              <w:t>1090</w:t>
            </w:r>
          </w:p>
        </w:tc>
      </w:tr>
      <w:tr w14:paraId="3D80EBF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80" w:hRule="atLeast"/>
          <w:jc w:val="center"/>
        </w:trPr>
        <w:tc>
          <w:tcPr>
            <w:tcW w:w="471" w:type="dxa"/>
            <w:vMerge w:val="continue"/>
            <w:tcBorders>
              <w:tl2br w:val="nil"/>
              <w:tr2bl w:val="nil"/>
            </w:tcBorders>
            <w:tcMar>
              <w:top w:w="0" w:type="dxa"/>
              <w:left w:w="5" w:type="dxa"/>
              <w:bottom w:w="0" w:type="dxa"/>
              <w:right w:w="5" w:type="dxa"/>
            </w:tcMar>
            <w:vAlign w:val="center"/>
          </w:tcPr>
          <w:p w14:paraId="784A43CA">
            <w:pPr>
              <w:snapToGrid w:val="0"/>
              <w:spacing w:before="0" w:beforeLines="0" w:line="240" w:lineRule="auto"/>
              <w:jc w:val="center"/>
              <w:rPr>
                <w:snapToGrid w:val="0"/>
                <w:kern w:val="0"/>
                <w:szCs w:val="21"/>
              </w:rPr>
            </w:pPr>
          </w:p>
        </w:tc>
        <w:tc>
          <w:tcPr>
            <w:tcW w:w="1114" w:type="dxa"/>
            <w:tcBorders>
              <w:tl2br w:val="nil"/>
              <w:tr2bl w:val="nil"/>
            </w:tcBorders>
            <w:tcMar>
              <w:top w:w="0" w:type="dxa"/>
              <w:left w:w="5" w:type="dxa"/>
              <w:bottom w:w="0" w:type="dxa"/>
              <w:right w:w="5" w:type="dxa"/>
            </w:tcMar>
            <w:vAlign w:val="center"/>
          </w:tcPr>
          <w:p w14:paraId="5417868E">
            <w:pPr>
              <w:snapToGrid w:val="0"/>
              <w:spacing w:before="0" w:beforeLines="0" w:line="240" w:lineRule="auto"/>
              <w:jc w:val="center"/>
              <w:rPr>
                <w:snapToGrid w:val="0"/>
                <w:kern w:val="0"/>
                <w:szCs w:val="21"/>
              </w:rPr>
            </w:pPr>
            <w:r>
              <w:rPr>
                <w:rFonts w:hint="eastAsia"/>
                <w:snapToGrid w:val="0"/>
                <w:kern w:val="0"/>
                <w:szCs w:val="21"/>
              </w:rPr>
              <w:t>阿哈来村</w:t>
            </w:r>
          </w:p>
        </w:tc>
        <w:tc>
          <w:tcPr>
            <w:tcW w:w="577" w:type="dxa"/>
            <w:tcBorders>
              <w:tl2br w:val="nil"/>
              <w:tr2bl w:val="nil"/>
            </w:tcBorders>
            <w:tcMar>
              <w:top w:w="0" w:type="dxa"/>
              <w:left w:w="5" w:type="dxa"/>
              <w:bottom w:w="0" w:type="dxa"/>
              <w:right w:w="5" w:type="dxa"/>
            </w:tcMar>
            <w:vAlign w:val="center"/>
          </w:tcPr>
          <w:p w14:paraId="2591DE43">
            <w:pPr>
              <w:snapToGrid w:val="0"/>
              <w:spacing w:before="0" w:beforeLines="0" w:line="240" w:lineRule="auto"/>
              <w:jc w:val="center"/>
              <w:rPr>
                <w:snapToGrid w:val="0"/>
                <w:kern w:val="0"/>
                <w:szCs w:val="21"/>
              </w:rPr>
            </w:pPr>
            <w:r>
              <w:rPr>
                <w:snapToGrid w:val="0"/>
                <w:kern w:val="0"/>
                <w:szCs w:val="21"/>
              </w:rPr>
              <w:t>-1800</w:t>
            </w:r>
          </w:p>
        </w:tc>
        <w:tc>
          <w:tcPr>
            <w:tcW w:w="585" w:type="dxa"/>
            <w:tcBorders>
              <w:tl2br w:val="nil"/>
              <w:tr2bl w:val="nil"/>
            </w:tcBorders>
            <w:tcMar>
              <w:top w:w="0" w:type="dxa"/>
              <w:left w:w="5" w:type="dxa"/>
              <w:bottom w:w="0" w:type="dxa"/>
              <w:right w:w="5" w:type="dxa"/>
            </w:tcMar>
            <w:vAlign w:val="center"/>
          </w:tcPr>
          <w:p w14:paraId="680880A9">
            <w:pPr>
              <w:snapToGrid w:val="0"/>
              <w:spacing w:before="0" w:beforeLines="0" w:line="240" w:lineRule="auto"/>
              <w:jc w:val="center"/>
              <w:rPr>
                <w:snapToGrid w:val="0"/>
                <w:kern w:val="0"/>
                <w:szCs w:val="21"/>
              </w:rPr>
            </w:pPr>
            <w:r>
              <w:rPr>
                <w:snapToGrid w:val="0"/>
                <w:kern w:val="0"/>
                <w:szCs w:val="21"/>
              </w:rPr>
              <w:t>400</w:t>
            </w:r>
          </w:p>
        </w:tc>
        <w:tc>
          <w:tcPr>
            <w:tcW w:w="712" w:type="dxa"/>
            <w:vMerge w:val="continue"/>
            <w:tcBorders>
              <w:tl2br w:val="nil"/>
              <w:tr2bl w:val="nil"/>
            </w:tcBorders>
            <w:tcMar>
              <w:top w:w="0" w:type="dxa"/>
              <w:left w:w="5" w:type="dxa"/>
              <w:bottom w:w="0" w:type="dxa"/>
              <w:right w:w="5" w:type="dxa"/>
            </w:tcMar>
            <w:vAlign w:val="center"/>
          </w:tcPr>
          <w:p w14:paraId="293CC8CF">
            <w:pPr>
              <w:snapToGrid w:val="0"/>
              <w:spacing w:before="0" w:beforeLines="0" w:line="240" w:lineRule="auto"/>
              <w:jc w:val="center"/>
              <w:rPr>
                <w:snapToGrid w:val="0"/>
                <w:kern w:val="0"/>
                <w:szCs w:val="21"/>
              </w:rPr>
            </w:pPr>
          </w:p>
        </w:tc>
        <w:tc>
          <w:tcPr>
            <w:tcW w:w="1010" w:type="dxa"/>
            <w:tcBorders>
              <w:tl2br w:val="nil"/>
              <w:tr2bl w:val="nil"/>
            </w:tcBorders>
            <w:tcMar>
              <w:top w:w="0" w:type="dxa"/>
              <w:left w:w="5" w:type="dxa"/>
              <w:bottom w:w="0" w:type="dxa"/>
              <w:right w:w="5" w:type="dxa"/>
            </w:tcMar>
            <w:vAlign w:val="center"/>
          </w:tcPr>
          <w:p w14:paraId="1BF078E1">
            <w:pPr>
              <w:snapToGrid w:val="0"/>
              <w:spacing w:before="0" w:beforeLines="0" w:line="240" w:lineRule="auto"/>
              <w:jc w:val="center"/>
              <w:rPr>
                <w:snapToGrid w:val="0"/>
                <w:kern w:val="0"/>
                <w:szCs w:val="21"/>
              </w:rPr>
            </w:pPr>
            <w:r>
              <w:rPr>
                <w:snapToGrid w:val="0"/>
                <w:kern w:val="0"/>
                <w:szCs w:val="21"/>
              </w:rPr>
              <w:t>208</w:t>
            </w:r>
          </w:p>
        </w:tc>
        <w:tc>
          <w:tcPr>
            <w:tcW w:w="1495" w:type="dxa"/>
            <w:vMerge w:val="continue"/>
            <w:tcBorders>
              <w:tl2br w:val="nil"/>
              <w:tr2bl w:val="nil"/>
            </w:tcBorders>
            <w:tcMar>
              <w:top w:w="0" w:type="dxa"/>
              <w:left w:w="5" w:type="dxa"/>
              <w:bottom w:w="0" w:type="dxa"/>
              <w:right w:w="5" w:type="dxa"/>
            </w:tcMar>
            <w:vAlign w:val="center"/>
          </w:tcPr>
          <w:p w14:paraId="735A14BF">
            <w:pPr>
              <w:snapToGrid w:val="0"/>
              <w:spacing w:before="0" w:beforeLines="0" w:line="240" w:lineRule="auto"/>
              <w:jc w:val="center"/>
              <w:rPr>
                <w:snapToGrid w:val="0"/>
                <w:kern w:val="0"/>
                <w:szCs w:val="21"/>
              </w:rPr>
            </w:pPr>
          </w:p>
        </w:tc>
        <w:tc>
          <w:tcPr>
            <w:tcW w:w="929" w:type="dxa"/>
            <w:gridSpan w:val="2"/>
            <w:tcBorders>
              <w:tl2br w:val="nil"/>
              <w:tr2bl w:val="nil"/>
            </w:tcBorders>
            <w:tcMar>
              <w:top w:w="0" w:type="dxa"/>
              <w:left w:w="5" w:type="dxa"/>
              <w:bottom w:w="0" w:type="dxa"/>
              <w:right w:w="5" w:type="dxa"/>
            </w:tcMar>
            <w:vAlign w:val="center"/>
          </w:tcPr>
          <w:p w14:paraId="61DAC863">
            <w:pPr>
              <w:snapToGrid w:val="0"/>
              <w:spacing w:before="0" w:beforeLines="0" w:line="240" w:lineRule="auto"/>
              <w:jc w:val="center"/>
              <w:rPr>
                <w:szCs w:val="21"/>
              </w:rPr>
            </w:pPr>
            <w:r>
              <w:rPr>
                <w:szCs w:val="21"/>
              </w:rPr>
              <w:t>1#厂区</w:t>
            </w:r>
          </w:p>
        </w:tc>
        <w:tc>
          <w:tcPr>
            <w:tcW w:w="746" w:type="dxa"/>
            <w:gridSpan w:val="2"/>
            <w:tcBorders>
              <w:tl2br w:val="nil"/>
              <w:tr2bl w:val="nil"/>
            </w:tcBorders>
            <w:tcMar>
              <w:top w:w="0" w:type="dxa"/>
              <w:left w:w="5" w:type="dxa"/>
              <w:bottom w:w="0" w:type="dxa"/>
              <w:right w:w="5" w:type="dxa"/>
            </w:tcMar>
            <w:vAlign w:val="center"/>
          </w:tcPr>
          <w:p w14:paraId="2146787A">
            <w:pPr>
              <w:snapToGrid w:val="0"/>
              <w:spacing w:before="0" w:beforeLines="0" w:line="240" w:lineRule="auto"/>
              <w:jc w:val="center"/>
              <w:rPr>
                <w:snapToGrid w:val="0"/>
                <w:kern w:val="0"/>
                <w:szCs w:val="21"/>
              </w:rPr>
            </w:pPr>
            <w:r>
              <w:rPr>
                <w:snapToGrid w:val="0"/>
                <w:kern w:val="0"/>
                <w:szCs w:val="21"/>
              </w:rPr>
              <w:t>NW</w:t>
            </w:r>
          </w:p>
        </w:tc>
        <w:tc>
          <w:tcPr>
            <w:tcW w:w="903" w:type="dxa"/>
            <w:gridSpan w:val="2"/>
            <w:tcBorders>
              <w:tl2br w:val="nil"/>
              <w:tr2bl w:val="nil"/>
            </w:tcBorders>
            <w:tcMar>
              <w:top w:w="0" w:type="dxa"/>
              <w:left w:w="5" w:type="dxa"/>
              <w:bottom w:w="0" w:type="dxa"/>
              <w:right w:w="5" w:type="dxa"/>
            </w:tcMar>
            <w:vAlign w:val="center"/>
          </w:tcPr>
          <w:p w14:paraId="27889320">
            <w:pPr>
              <w:snapToGrid w:val="0"/>
              <w:spacing w:before="0" w:beforeLines="0" w:line="240" w:lineRule="auto"/>
              <w:jc w:val="center"/>
              <w:rPr>
                <w:snapToGrid w:val="0"/>
                <w:kern w:val="0"/>
                <w:szCs w:val="21"/>
              </w:rPr>
            </w:pPr>
            <w:r>
              <w:rPr>
                <w:rFonts w:hint="eastAsia"/>
                <w:snapToGrid w:val="0"/>
                <w:kern w:val="0"/>
                <w:szCs w:val="21"/>
              </w:rPr>
              <w:t>1800</w:t>
            </w:r>
          </w:p>
        </w:tc>
      </w:tr>
      <w:tr w14:paraId="0B64A9E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80" w:hRule="atLeast"/>
          <w:jc w:val="center"/>
        </w:trPr>
        <w:tc>
          <w:tcPr>
            <w:tcW w:w="471" w:type="dxa"/>
            <w:vMerge w:val="continue"/>
            <w:tcBorders>
              <w:tl2br w:val="nil"/>
              <w:tr2bl w:val="nil"/>
            </w:tcBorders>
            <w:tcMar>
              <w:top w:w="0" w:type="dxa"/>
              <w:left w:w="5" w:type="dxa"/>
              <w:bottom w:w="0" w:type="dxa"/>
              <w:right w:w="5" w:type="dxa"/>
            </w:tcMar>
            <w:vAlign w:val="center"/>
          </w:tcPr>
          <w:p w14:paraId="15E87B08">
            <w:pPr>
              <w:snapToGrid w:val="0"/>
              <w:spacing w:before="0" w:beforeLines="0" w:line="240" w:lineRule="auto"/>
              <w:jc w:val="center"/>
              <w:rPr>
                <w:snapToGrid w:val="0"/>
                <w:kern w:val="0"/>
                <w:szCs w:val="21"/>
              </w:rPr>
            </w:pPr>
          </w:p>
        </w:tc>
        <w:tc>
          <w:tcPr>
            <w:tcW w:w="1114" w:type="dxa"/>
            <w:tcBorders>
              <w:tl2br w:val="nil"/>
              <w:tr2bl w:val="nil"/>
            </w:tcBorders>
            <w:tcMar>
              <w:top w:w="0" w:type="dxa"/>
              <w:left w:w="5" w:type="dxa"/>
              <w:bottom w:w="0" w:type="dxa"/>
              <w:right w:w="5" w:type="dxa"/>
            </w:tcMar>
            <w:vAlign w:val="center"/>
          </w:tcPr>
          <w:p w14:paraId="12C4ACC3">
            <w:pPr>
              <w:snapToGrid w:val="0"/>
              <w:spacing w:before="0" w:beforeLines="0" w:line="240" w:lineRule="auto"/>
              <w:jc w:val="center"/>
              <w:rPr>
                <w:snapToGrid w:val="0"/>
                <w:kern w:val="0"/>
                <w:szCs w:val="21"/>
              </w:rPr>
            </w:pPr>
            <w:r>
              <w:rPr>
                <w:snapToGrid w:val="0"/>
                <w:kern w:val="0"/>
                <w:szCs w:val="21"/>
              </w:rPr>
              <w:t>庙沟</w:t>
            </w:r>
          </w:p>
        </w:tc>
        <w:tc>
          <w:tcPr>
            <w:tcW w:w="577" w:type="dxa"/>
            <w:tcBorders>
              <w:tl2br w:val="nil"/>
              <w:tr2bl w:val="nil"/>
            </w:tcBorders>
            <w:tcMar>
              <w:top w:w="0" w:type="dxa"/>
              <w:left w:w="5" w:type="dxa"/>
              <w:bottom w:w="0" w:type="dxa"/>
              <w:right w:w="5" w:type="dxa"/>
            </w:tcMar>
            <w:vAlign w:val="center"/>
          </w:tcPr>
          <w:p w14:paraId="1E2479ED">
            <w:pPr>
              <w:snapToGrid w:val="0"/>
              <w:spacing w:before="0" w:beforeLines="0" w:line="240" w:lineRule="auto"/>
              <w:jc w:val="center"/>
              <w:rPr>
                <w:snapToGrid w:val="0"/>
                <w:kern w:val="0"/>
                <w:szCs w:val="21"/>
              </w:rPr>
            </w:pPr>
            <w:r>
              <w:rPr>
                <w:snapToGrid w:val="0"/>
                <w:kern w:val="0"/>
                <w:szCs w:val="21"/>
              </w:rPr>
              <w:t>-1000</w:t>
            </w:r>
          </w:p>
        </w:tc>
        <w:tc>
          <w:tcPr>
            <w:tcW w:w="585" w:type="dxa"/>
            <w:tcBorders>
              <w:tl2br w:val="nil"/>
              <w:tr2bl w:val="nil"/>
            </w:tcBorders>
            <w:tcMar>
              <w:top w:w="0" w:type="dxa"/>
              <w:left w:w="5" w:type="dxa"/>
              <w:bottom w:w="0" w:type="dxa"/>
              <w:right w:w="5" w:type="dxa"/>
            </w:tcMar>
            <w:vAlign w:val="center"/>
          </w:tcPr>
          <w:p w14:paraId="78663EB4">
            <w:pPr>
              <w:snapToGrid w:val="0"/>
              <w:spacing w:before="0" w:beforeLines="0" w:line="240" w:lineRule="auto"/>
              <w:jc w:val="center"/>
              <w:rPr>
                <w:snapToGrid w:val="0"/>
                <w:kern w:val="0"/>
                <w:szCs w:val="21"/>
              </w:rPr>
            </w:pPr>
            <w:r>
              <w:rPr>
                <w:snapToGrid w:val="0"/>
                <w:kern w:val="0"/>
                <w:szCs w:val="21"/>
              </w:rPr>
              <w:t>2400</w:t>
            </w:r>
          </w:p>
        </w:tc>
        <w:tc>
          <w:tcPr>
            <w:tcW w:w="712" w:type="dxa"/>
            <w:vMerge w:val="continue"/>
            <w:tcBorders>
              <w:tl2br w:val="nil"/>
              <w:tr2bl w:val="nil"/>
            </w:tcBorders>
            <w:tcMar>
              <w:top w:w="0" w:type="dxa"/>
              <w:left w:w="5" w:type="dxa"/>
              <w:bottom w:w="0" w:type="dxa"/>
              <w:right w:w="5" w:type="dxa"/>
            </w:tcMar>
            <w:vAlign w:val="center"/>
          </w:tcPr>
          <w:p w14:paraId="058075C8">
            <w:pPr>
              <w:snapToGrid w:val="0"/>
              <w:spacing w:before="0" w:beforeLines="0" w:line="240" w:lineRule="auto"/>
              <w:jc w:val="center"/>
              <w:rPr>
                <w:snapToGrid w:val="0"/>
                <w:kern w:val="0"/>
                <w:szCs w:val="21"/>
              </w:rPr>
            </w:pPr>
          </w:p>
        </w:tc>
        <w:tc>
          <w:tcPr>
            <w:tcW w:w="1010" w:type="dxa"/>
            <w:tcBorders>
              <w:tl2br w:val="nil"/>
              <w:tr2bl w:val="nil"/>
            </w:tcBorders>
            <w:tcMar>
              <w:top w:w="0" w:type="dxa"/>
              <w:left w:w="5" w:type="dxa"/>
              <w:bottom w:w="0" w:type="dxa"/>
              <w:right w:w="5" w:type="dxa"/>
            </w:tcMar>
            <w:vAlign w:val="center"/>
          </w:tcPr>
          <w:p w14:paraId="2C332CD5">
            <w:pPr>
              <w:snapToGrid w:val="0"/>
              <w:spacing w:before="0" w:beforeLines="0" w:line="240" w:lineRule="auto"/>
              <w:jc w:val="center"/>
              <w:rPr>
                <w:snapToGrid w:val="0"/>
                <w:kern w:val="0"/>
                <w:szCs w:val="21"/>
              </w:rPr>
            </w:pPr>
            <w:r>
              <w:rPr>
                <w:snapToGrid w:val="0"/>
                <w:kern w:val="0"/>
                <w:szCs w:val="21"/>
              </w:rPr>
              <w:t>266</w:t>
            </w:r>
          </w:p>
        </w:tc>
        <w:tc>
          <w:tcPr>
            <w:tcW w:w="1495" w:type="dxa"/>
            <w:vMerge w:val="continue"/>
            <w:tcBorders>
              <w:tl2br w:val="nil"/>
              <w:tr2bl w:val="nil"/>
            </w:tcBorders>
            <w:tcMar>
              <w:top w:w="0" w:type="dxa"/>
              <w:left w:w="5" w:type="dxa"/>
              <w:bottom w:w="0" w:type="dxa"/>
              <w:right w:w="5" w:type="dxa"/>
            </w:tcMar>
            <w:vAlign w:val="center"/>
          </w:tcPr>
          <w:p w14:paraId="424BC38A">
            <w:pPr>
              <w:snapToGrid w:val="0"/>
              <w:spacing w:before="0" w:beforeLines="0" w:line="240" w:lineRule="auto"/>
              <w:jc w:val="center"/>
              <w:rPr>
                <w:snapToGrid w:val="0"/>
                <w:kern w:val="0"/>
                <w:szCs w:val="21"/>
              </w:rPr>
            </w:pPr>
          </w:p>
        </w:tc>
        <w:tc>
          <w:tcPr>
            <w:tcW w:w="929" w:type="dxa"/>
            <w:gridSpan w:val="2"/>
            <w:tcBorders>
              <w:tl2br w:val="nil"/>
              <w:tr2bl w:val="nil"/>
            </w:tcBorders>
            <w:tcMar>
              <w:top w:w="0" w:type="dxa"/>
              <w:left w:w="5" w:type="dxa"/>
              <w:bottom w:w="0" w:type="dxa"/>
              <w:right w:w="5" w:type="dxa"/>
            </w:tcMar>
            <w:vAlign w:val="center"/>
          </w:tcPr>
          <w:p w14:paraId="6F996F01">
            <w:pPr>
              <w:snapToGrid w:val="0"/>
              <w:spacing w:before="0" w:beforeLines="0" w:line="240" w:lineRule="auto"/>
              <w:jc w:val="center"/>
              <w:rPr>
                <w:szCs w:val="21"/>
              </w:rPr>
            </w:pPr>
            <w:r>
              <w:rPr>
                <w:szCs w:val="21"/>
              </w:rPr>
              <w:t>1#厂区</w:t>
            </w:r>
          </w:p>
        </w:tc>
        <w:tc>
          <w:tcPr>
            <w:tcW w:w="746" w:type="dxa"/>
            <w:gridSpan w:val="2"/>
            <w:tcBorders>
              <w:tl2br w:val="nil"/>
              <w:tr2bl w:val="nil"/>
            </w:tcBorders>
            <w:tcMar>
              <w:top w:w="0" w:type="dxa"/>
              <w:left w:w="5" w:type="dxa"/>
              <w:bottom w:w="0" w:type="dxa"/>
              <w:right w:w="5" w:type="dxa"/>
            </w:tcMar>
            <w:vAlign w:val="center"/>
          </w:tcPr>
          <w:p w14:paraId="6C446C73">
            <w:pPr>
              <w:snapToGrid w:val="0"/>
              <w:spacing w:before="0" w:beforeLines="0" w:line="240" w:lineRule="auto"/>
              <w:jc w:val="center"/>
              <w:rPr>
                <w:snapToGrid w:val="0"/>
                <w:kern w:val="0"/>
                <w:szCs w:val="21"/>
              </w:rPr>
            </w:pPr>
            <w:r>
              <w:rPr>
                <w:snapToGrid w:val="0"/>
                <w:kern w:val="0"/>
                <w:szCs w:val="21"/>
              </w:rPr>
              <w:t>NW</w:t>
            </w:r>
          </w:p>
        </w:tc>
        <w:tc>
          <w:tcPr>
            <w:tcW w:w="903" w:type="dxa"/>
            <w:gridSpan w:val="2"/>
            <w:tcBorders>
              <w:tl2br w:val="nil"/>
              <w:tr2bl w:val="nil"/>
            </w:tcBorders>
            <w:tcMar>
              <w:top w:w="0" w:type="dxa"/>
              <w:left w:w="5" w:type="dxa"/>
              <w:bottom w:w="0" w:type="dxa"/>
              <w:right w:w="5" w:type="dxa"/>
            </w:tcMar>
            <w:vAlign w:val="center"/>
          </w:tcPr>
          <w:p w14:paraId="180177FB">
            <w:pPr>
              <w:snapToGrid w:val="0"/>
              <w:spacing w:before="0" w:beforeLines="0" w:line="240" w:lineRule="auto"/>
              <w:jc w:val="center"/>
              <w:rPr>
                <w:snapToGrid w:val="0"/>
                <w:kern w:val="0"/>
                <w:szCs w:val="21"/>
              </w:rPr>
            </w:pPr>
            <w:r>
              <w:rPr>
                <w:snapToGrid w:val="0"/>
                <w:kern w:val="0"/>
                <w:szCs w:val="21"/>
              </w:rPr>
              <w:t>2900</w:t>
            </w:r>
          </w:p>
        </w:tc>
      </w:tr>
      <w:tr w14:paraId="6936783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80" w:hRule="atLeast"/>
          <w:jc w:val="center"/>
        </w:trPr>
        <w:tc>
          <w:tcPr>
            <w:tcW w:w="471" w:type="dxa"/>
            <w:vMerge w:val="continue"/>
            <w:tcBorders>
              <w:tl2br w:val="nil"/>
              <w:tr2bl w:val="nil"/>
            </w:tcBorders>
            <w:tcMar>
              <w:top w:w="0" w:type="dxa"/>
              <w:left w:w="5" w:type="dxa"/>
              <w:bottom w:w="0" w:type="dxa"/>
              <w:right w:w="5" w:type="dxa"/>
            </w:tcMar>
            <w:vAlign w:val="center"/>
          </w:tcPr>
          <w:p w14:paraId="2FD7EFD2">
            <w:pPr>
              <w:snapToGrid w:val="0"/>
              <w:spacing w:before="0" w:beforeLines="0" w:line="240" w:lineRule="auto"/>
              <w:jc w:val="center"/>
              <w:rPr>
                <w:snapToGrid w:val="0"/>
                <w:kern w:val="0"/>
                <w:szCs w:val="21"/>
              </w:rPr>
            </w:pPr>
          </w:p>
        </w:tc>
        <w:tc>
          <w:tcPr>
            <w:tcW w:w="1114" w:type="dxa"/>
            <w:tcBorders>
              <w:tl2br w:val="nil"/>
              <w:tr2bl w:val="nil"/>
            </w:tcBorders>
            <w:tcMar>
              <w:top w:w="0" w:type="dxa"/>
              <w:left w:w="5" w:type="dxa"/>
              <w:bottom w:w="0" w:type="dxa"/>
              <w:right w:w="5" w:type="dxa"/>
            </w:tcMar>
            <w:vAlign w:val="center"/>
          </w:tcPr>
          <w:p w14:paraId="0A181566">
            <w:pPr>
              <w:snapToGrid w:val="0"/>
              <w:spacing w:before="0" w:beforeLines="0" w:line="240" w:lineRule="auto"/>
              <w:jc w:val="center"/>
              <w:rPr>
                <w:snapToGrid w:val="0"/>
                <w:kern w:val="0"/>
                <w:szCs w:val="21"/>
              </w:rPr>
            </w:pPr>
            <w:r>
              <w:rPr>
                <w:snapToGrid w:val="0"/>
                <w:kern w:val="0"/>
                <w:szCs w:val="21"/>
              </w:rPr>
              <w:t>南山</w:t>
            </w:r>
          </w:p>
        </w:tc>
        <w:tc>
          <w:tcPr>
            <w:tcW w:w="577" w:type="dxa"/>
            <w:tcBorders>
              <w:tl2br w:val="nil"/>
              <w:tr2bl w:val="nil"/>
            </w:tcBorders>
            <w:tcMar>
              <w:top w:w="0" w:type="dxa"/>
              <w:left w:w="5" w:type="dxa"/>
              <w:bottom w:w="0" w:type="dxa"/>
              <w:right w:w="5" w:type="dxa"/>
            </w:tcMar>
            <w:vAlign w:val="center"/>
          </w:tcPr>
          <w:p w14:paraId="58F98FD1">
            <w:pPr>
              <w:snapToGrid w:val="0"/>
              <w:spacing w:before="0" w:beforeLines="0" w:line="240" w:lineRule="auto"/>
              <w:jc w:val="center"/>
              <w:rPr>
                <w:snapToGrid w:val="0"/>
                <w:kern w:val="0"/>
                <w:szCs w:val="21"/>
              </w:rPr>
            </w:pPr>
            <w:r>
              <w:rPr>
                <w:snapToGrid w:val="0"/>
                <w:kern w:val="0"/>
                <w:szCs w:val="21"/>
              </w:rPr>
              <w:t>-2200</w:t>
            </w:r>
          </w:p>
        </w:tc>
        <w:tc>
          <w:tcPr>
            <w:tcW w:w="585" w:type="dxa"/>
            <w:tcBorders>
              <w:tl2br w:val="nil"/>
              <w:tr2bl w:val="nil"/>
            </w:tcBorders>
            <w:tcMar>
              <w:top w:w="0" w:type="dxa"/>
              <w:left w:w="5" w:type="dxa"/>
              <w:bottom w:w="0" w:type="dxa"/>
              <w:right w:w="5" w:type="dxa"/>
            </w:tcMar>
            <w:vAlign w:val="center"/>
          </w:tcPr>
          <w:p w14:paraId="790F33BE">
            <w:pPr>
              <w:snapToGrid w:val="0"/>
              <w:spacing w:before="0" w:beforeLines="0" w:line="240" w:lineRule="auto"/>
              <w:jc w:val="center"/>
              <w:rPr>
                <w:snapToGrid w:val="0"/>
                <w:kern w:val="0"/>
                <w:szCs w:val="21"/>
              </w:rPr>
            </w:pPr>
            <w:r>
              <w:rPr>
                <w:snapToGrid w:val="0"/>
                <w:kern w:val="0"/>
                <w:szCs w:val="21"/>
              </w:rPr>
              <w:t>-400</w:t>
            </w:r>
          </w:p>
        </w:tc>
        <w:tc>
          <w:tcPr>
            <w:tcW w:w="712" w:type="dxa"/>
            <w:vMerge w:val="continue"/>
            <w:tcBorders>
              <w:tl2br w:val="nil"/>
              <w:tr2bl w:val="nil"/>
            </w:tcBorders>
            <w:tcMar>
              <w:top w:w="0" w:type="dxa"/>
              <w:left w:w="5" w:type="dxa"/>
              <w:bottom w:w="0" w:type="dxa"/>
              <w:right w:w="5" w:type="dxa"/>
            </w:tcMar>
            <w:vAlign w:val="center"/>
          </w:tcPr>
          <w:p w14:paraId="5740F2AA">
            <w:pPr>
              <w:snapToGrid w:val="0"/>
              <w:spacing w:before="0" w:beforeLines="0" w:line="240" w:lineRule="auto"/>
              <w:jc w:val="center"/>
              <w:rPr>
                <w:snapToGrid w:val="0"/>
                <w:kern w:val="0"/>
                <w:szCs w:val="21"/>
              </w:rPr>
            </w:pPr>
          </w:p>
        </w:tc>
        <w:tc>
          <w:tcPr>
            <w:tcW w:w="1010" w:type="dxa"/>
            <w:tcBorders>
              <w:tl2br w:val="nil"/>
              <w:tr2bl w:val="nil"/>
            </w:tcBorders>
            <w:tcMar>
              <w:top w:w="0" w:type="dxa"/>
              <w:left w:w="5" w:type="dxa"/>
              <w:bottom w:w="0" w:type="dxa"/>
              <w:right w:w="5" w:type="dxa"/>
            </w:tcMar>
            <w:vAlign w:val="center"/>
          </w:tcPr>
          <w:p w14:paraId="71AA3A4C">
            <w:pPr>
              <w:snapToGrid w:val="0"/>
              <w:spacing w:before="0" w:beforeLines="0" w:line="240" w:lineRule="auto"/>
              <w:jc w:val="center"/>
              <w:rPr>
                <w:snapToGrid w:val="0"/>
                <w:kern w:val="0"/>
                <w:szCs w:val="21"/>
              </w:rPr>
            </w:pPr>
            <w:r>
              <w:rPr>
                <w:snapToGrid w:val="0"/>
                <w:kern w:val="0"/>
                <w:szCs w:val="21"/>
              </w:rPr>
              <w:t>70</w:t>
            </w:r>
          </w:p>
        </w:tc>
        <w:tc>
          <w:tcPr>
            <w:tcW w:w="1495" w:type="dxa"/>
            <w:vMerge w:val="continue"/>
            <w:tcBorders>
              <w:tl2br w:val="nil"/>
              <w:tr2bl w:val="nil"/>
            </w:tcBorders>
            <w:tcMar>
              <w:top w:w="0" w:type="dxa"/>
              <w:left w:w="5" w:type="dxa"/>
              <w:bottom w:w="0" w:type="dxa"/>
              <w:right w:w="5" w:type="dxa"/>
            </w:tcMar>
            <w:vAlign w:val="center"/>
          </w:tcPr>
          <w:p w14:paraId="2A8B6DF2">
            <w:pPr>
              <w:snapToGrid w:val="0"/>
              <w:spacing w:before="0" w:beforeLines="0" w:line="240" w:lineRule="auto"/>
              <w:jc w:val="center"/>
              <w:rPr>
                <w:snapToGrid w:val="0"/>
                <w:kern w:val="0"/>
                <w:szCs w:val="21"/>
              </w:rPr>
            </w:pPr>
          </w:p>
        </w:tc>
        <w:tc>
          <w:tcPr>
            <w:tcW w:w="929" w:type="dxa"/>
            <w:gridSpan w:val="2"/>
            <w:tcBorders>
              <w:tl2br w:val="nil"/>
              <w:tr2bl w:val="nil"/>
            </w:tcBorders>
            <w:tcMar>
              <w:top w:w="0" w:type="dxa"/>
              <w:left w:w="5" w:type="dxa"/>
              <w:bottom w:w="0" w:type="dxa"/>
              <w:right w:w="5" w:type="dxa"/>
            </w:tcMar>
            <w:vAlign w:val="center"/>
          </w:tcPr>
          <w:p w14:paraId="4205ABF7">
            <w:pPr>
              <w:snapToGrid w:val="0"/>
              <w:spacing w:before="0" w:beforeLines="0" w:line="240" w:lineRule="auto"/>
              <w:jc w:val="center"/>
              <w:rPr>
                <w:szCs w:val="21"/>
              </w:rPr>
            </w:pPr>
            <w:r>
              <w:rPr>
                <w:szCs w:val="21"/>
              </w:rPr>
              <w:t>1#厂区</w:t>
            </w:r>
          </w:p>
        </w:tc>
        <w:tc>
          <w:tcPr>
            <w:tcW w:w="746" w:type="dxa"/>
            <w:gridSpan w:val="2"/>
            <w:tcBorders>
              <w:tl2br w:val="nil"/>
              <w:tr2bl w:val="nil"/>
            </w:tcBorders>
            <w:tcMar>
              <w:top w:w="0" w:type="dxa"/>
              <w:left w:w="5" w:type="dxa"/>
              <w:bottom w:w="0" w:type="dxa"/>
              <w:right w:w="5" w:type="dxa"/>
            </w:tcMar>
            <w:vAlign w:val="center"/>
          </w:tcPr>
          <w:p w14:paraId="6EA2EE68">
            <w:pPr>
              <w:snapToGrid w:val="0"/>
              <w:spacing w:before="0" w:beforeLines="0" w:line="240" w:lineRule="auto"/>
              <w:jc w:val="center"/>
              <w:rPr>
                <w:snapToGrid w:val="0"/>
                <w:kern w:val="0"/>
                <w:szCs w:val="21"/>
              </w:rPr>
            </w:pPr>
            <w:r>
              <w:rPr>
                <w:snapToGrid w:val="0"/>
                <w:kern w:val="0"/>
                <w:szCs w:val="21"/>
              </w:rPr>
              <w:t>NW</w:t>
            </w:r>
          </w:p>
        </w:tc>
        <w:tc>
          <w:tcPr>
            <w:tcW w:w="903" w:type="dxa"/>
            <w:gridSpan w:val="2"/>
            <w:tcBorders>
              <w:tl2br w:val="nil"/>
              <w:tr2bl w:val="nil"/>
            </w:tcBorders>
            <w:tcMar>
              <w:top w:w="0" w:type="dxa"/>
              <w:left w:w="5" w:type="dxa"/>
              <w:bottom w:w="0" w:type="dxa"/>
              <w:right w:w="5" w:type="dxa"/>
            </w:tcMar>
            <w:vAlign w:val="center"/>
          </w:tcPr>
          <w:p w14:paraId="7BA0F726">
            <w:pPr>
              <w:snapToGrid w:val="0"/>
              <w:spacing w:before="0" w:beforeLines="0" w:line="240" w:lineRule="auto"/>
              <w:jc w:val="center"/>
              <w:rPr>
                <w:snapToGrid w:val="0"/>
                <w:kern w:val="0"/>
                <w:szCs w:val="21"/>
              </w:rPr>
            </w:pPr>
            <w:r>
              <w:rPr>
                <w:snapToGrid w:val="0"/>
                <w:kern w:val="0"/>
                <w:szCs w:val="21"/>
              </w:rPr>
              <w:t>2</w:t>
            </w:r>
            <w:r>
              <w:rPr>
                <w:rFonts w:hint="eastAsia"/>
                <w:snapToGrid w:val="0"/>
                <w:kern w:val="0"/>
                <w:szCs w:val="21"/>
              </w:rPr>
              <w:t>287</w:t>
            </w:r>
          </w:p>
        </w:tc>
      </w:tr>
      <w:tr w14:paraId="000A193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80" w:hRule="atLeast"/>
          <w:jc w:val="center"/>
        </w:trPr>
        <w:tc>
          <w:tcPr>
            <w:tcW w:w="471" w:type="dxa"/>
            <w:vMerge w:val="continue"/>
            <w:tcBorders>
              <w:tl2br w:val="nil"/>
              <w:tr2bl w:val="nil"/>
            </w:tcBorders>
            <w:tcMar>
              <w:top w:w="0" w:type="dxa"/>
              <w:left w:w="5" w:type="dxa"/>
              <w:bottom w:w="0" w:type="dxa"/>
              <w:right w:w="5" w:type="dxa"/>
            </w:tcMar>
            <w:vAlign w:val="center"/>
          </w:tcPr>
          <w:p w14:paraId="69AFE412">
            <w:pPr>
              <w:snapToGrid w:val="0"/>
              <w:spacing w:before="0" w:beforeLines="0" w:line="240" w:lineRule="auto"/>
              <w:jc w:val="center"/>
              <w:rPr>
                <w:snapToGrid w:val="0"/>
                <w:kern w:val="0"/>
                <w:szCs w:val="21"/>
              </w:rPr>
            </w:pPr>
          </w:p>
        </w:tc>
        <w:tc>
          <w:tcPr>
            <w:tcW w:w="1114" w:type="dxa"/>
            <w:tcBorders>
              <w:tl2br w:val="nil"/>
              <w:tr2bl w:val="nil"/>
            </w:tcBorders>
            <w:tcMar>
              <w:top w:w="0" w:type="dxa"/>
              <w:left w:w="5" w:type="dxa"/>
              <w:bottom w:w="0" w:type="dxa"/>
              <w:right w:w="5" w:type="dxa"/>
            </w:tcMar>
            <w:vAlign w:val="center"/>
          </w:tcPr>
          <w:p w14:paraId="1BCD88EB">
            <w:pPr>
              <w:snapToGrid w:val="0"/>
              <w:spacing w:before="0" w:beforeLines="0" w:line="240" w:lineRule="auto"/>
              <w:jc w:val="center"/>
              <w:rPr>
                <w:snapToGrid w:val="0"/>
                <w:kern w:val="0"/>
                <w:szCs w:val="21"/>
              </w:rPr>
            </w:pPr>
            <w:r>
              <w:rPr>
                <w:snapToGrid w:val="0"/>
                <w:kern w:val="0"/>
                <w:szCs w:val="21"/>
              </w:rPr>
              <w:t>邵家窝堡</w:t>
            </w:r>
          </w:p>
        </w:tc>
        <w:tc>
          <w:tcPr>
            <w:tcW w:w="577" w:type="dxa"/>
            <w:tcBorders>
              <w:tl2br w:val="nil"/>
              <w:tr2bl w:val="nil"/>
            </w:tcBorders>
            <w:tcMar>
              <w:top w:w="0" w:type="dxa"/>
              <w:left w:w="5" w:type="dxa"/>
              <w:bottom w:w="0" w:type="dxa"/>
              <w:right w:w="5" w:type="dxa"/>
            </w:tcMar>
            <w:vAlign w:val="center"/>
          </w:tcPr>
          <w:p w14:paraId="370A54F2">
            <w:pPr>
              <w:snapToGrid w:val="0"/>
              <w:spacing w:before="0" w:beforeLines="0" w:line="240" w:lineRule="auto"/>
              <w:jc w:val="center"/>
              <w:rPr>
                <w:snapToGrid w:val="0"/>
                <w:kern w:val="0"/>
                <w:szCs w:val="21"/>
              </w:rPr>
            </w:pPr>
            <w:r>
              <w:rPr>
                <w:snapToGrid w:val="0"/>
                <w:kern w:val="0"/>
                <w:szCs w:val="21"/>
              </w:rPr>
              <w:t>400</w:t>
            </w:r>
          </w:p>
        </w:tc>
        <w:tc>
          <w:tcPr>
            <w:tcW w:w="585" w:type="dxa"/>
            <w:tcBorders>
              <w:tl2br w:val="nil"/>
              <w:tr2bl w:val="nil"/>
            </w:tcBorders>
            <w:tcMar>
              <w:top w:w="0" w:type="dxa"/>
              <w:left w:w="5" w:type="dxa"/>
              <w:bottom w:w="0" w:type="dxa"/>
              <w:right w:w="5" w:type="dxa"/>
            </w:tcMar>
            <w:vAlign w:val="center"/>
          </w:tcPr>
          <w:p w14:paraId="22699CE3">
            <w:pPr>
              <w:snapToGrid w:val="0"/>
              <w:spacing w:before="0" w:beforeLines="0" w:line="240" w:lineRule="auto"/>
              <w:jc w:val="center"/>
              <w:rPr>
                <w:snapToGrid w:val="0"/>
                <w:kern w:val="0"/>
                <w:szCs w:val="21"/>
              </w:rPr>
            </w:pPr>
            <w:r>
              <w:rPr>
                <w:snapToGrid w:val="0"/>
                <w:kern w:val="0"/>
                <w:szCs w:val="21"/>
              </w:rPr>
              <w:t>1450</w:t>
            </w:r>
          </w:p>
        </w:tc>
        <w:tc>
          <w:tcPr>
            <w:tcW w:w="712" w:type="dxa"/>
            <w:vMerge w:val="continue"/>
            <w:tcBorders>
              <w:tl2br w:val="nil"/>
              <w:tr2bl w:val="nil"/>
            </w:tcBorders>
            <w:tcMar>
              <w:top w:w="0" w:type="dxa"/>
              <w:left w:w="5" w:type="dxa"/>
              <w:bottom w:w="0" w:type="dxa"/>
              <w:right w:w="5" w:type="dxa"/>
            </w:tcMar>
            <w:vAlign w:val="center"/>
          </w:tcPr>
          <w:p w14:paraId="48B46331">
            <w:pPr>
              <w:snapToGrid w:val="0"/>
              <w:spacing w:before="0" w:beforeLines="0" w:line="240" w:lineRule="auto"/>
              <w:jc w:val="center"/>
              <w:rPr>
                <w:snapToGrid w:val="0"/>
                <w:kern w:val="0"/>
                <w:szCs w:val="21"/>
              </w:rPr>
            </w:pPr>
          </w:p>
        </w:tc>
        <w:tc>
          <w:tcPr>
            <w:tcW w:w="1010" w:type="dxa"/>
            <w:tcBorders>
              <w:tl2br w:val="nil"/>
              <w:tr2bl w:val="nil"/>
            </w:tcBorders>
            <w:tcMar>
              <w:top w:w="0" w:type="dxa"/>
              <w:left w:w="5" w:type="dxa"/>
              <w:bottom w:w="0" w:type="dxa"/>
              <w:right w:w="5" w:type="dxa"/>
            </w:tcMar>
            <w:vAlign w:val="center"/>
          </w:tcPr>
          <w:p w14:paraId="4B4E2784">
            <w:pPr>
              <w:snapToGrid w:val="0"/>
              <w:spacing w:before="0" w:beforeLines="0" w:line="240" w:lineRule="auto"/>
              <w:jc w:val="center"/>
              <w:rPr>
                <w:snapToGrid w:val="0"/>
                <w:kern w:val="0"/>
                <w:szCs w:val="21"/>
              </w:rPr>
            </w:pPr>
            <w:r>
              <w:rPr>
                <w:snapToGrid w:val="0"/>
                <w:kern w:val="0"/>
                <w:szCs w:val="21"/>
              </w:rPr>
              <w:t>240</w:t>
            </w:r>
          </w:p>
        </w:tc>
        <w:tc>
          <w:tcPr>
            <w:tcW w:w="1495" w:type="dxa"/>
            <w:vMerge w:val="continue"/>
            <w:tcBorders>
              <w:tl2br w:val="nil"/>
              <w:tr2bl w:val="nil"/>
            </w:tcBorders>
            <w:tcMar>
              <w:top w:w="0" w:type="dxa"/>
              <w:left w:w="5" w:type="dxa"/>
              <w:bottom w:w="0" w:type="dxa"/>
              <w:right w:w="5" w:type="dxa"/>
            </w:tcMar>
            <w:vAlign w:val="center"/>
          </w:tcPr>
          <w:p w14:paraId="104ECF31">
            <w:pPr>
              <w:snapToGrid w:val="0"/>
              <w:spacing w:before="0" w:beforeLines="0" w:line="240" w:lineRule="auto"/>
              <w:jc w:val="center"/>
              <w:rPr>
                <w:snapToGrid w:val="0"/>
                <w:kern w:val="0"/>
                <w:szCs w:val="21"/>
              </w:rPr>
            </w:pPr>
          </w:p>
        </w:tc>
        <w:tc>
          <w:tcPr>
            <w:tcW w:w="929" w:type="dxa"/>
            <w:gridSpan w:val="2"/>
            <w:tcBorders>
              <w:tl2br w:val="nil"/>
              <w:tr2bl w:val="nil"/>
            </w:tcBorders>
            <w:tcMar>
              <w:top w:w="0" w:type="dxa"/>
              <w:left w:w="5" w:type="dxa"/>
              <w:bottom w:w="0" w:type="dxa"/>
              <w:right w:w="5" w:type="dxa"/>
            </w:tcMar>
            <w:vAlign w:val="center"/>
          </w:tcPr>
          <w:p w14:paraId="3A6F5548">
            <w:pPr>
              <w:snapToGrid w:val="0"/>
              <w:spacing w:before="0" w:beforeLines="0" w:line="240" w:lineRule="auto"/>
              <w:jc w:val="center"/>
              <w:rPr>
                <w:szCs w:val="21"/>
              </w:rPr>
            </w:pPr>
            <w:r>
              <w:rPr>
                <w:rFonts w:hint="eastAsia"/>
                <w:szCs w:val="21"/>
              </w:rPr>
              <w:t>2</w:t>
            </w:r>
            <w:r>
              <w:rPr>
                <w:szCs w:val="21"/>
              </w:rPr>
              <w:t>#厂区</w:t>
            </w:r>
          </w:p>
        </w:tc>
        <w:tc>
          <w:tcPr>
            <w:tcW w:w="746" w:type="dxa"/>
            <w:gridSpan w:val="2"/>
            <w:tcBorders>
              <w:tl2br w:val="nil"/>
              <w:tr2bl w:val="nil"/>
            </w:tcBorders>
            <w:tcMar>
              <w:top w:w="0" w:type="dxa"/>
              <w:left w:w="5" w:type="dxa"/>
              <w:bottom w:w="0" w:type="dxa"/>
              <w:right w:w="5" w:type="dxa"/>
            </w:tcMar>
            <w:vAlign w:val="center"/>
          </w:tcPr>
          <w:p w14:paraId="5C2773C3">
            <w:pPr>
              <w:snapToGrid w:val="0"/>
              <w:spacing w:before="0" w:beforeLines="0" w:line="240" w:lineRule="auto"/>
              <w:jc w:val="center"/>
              <w:rPr>
                <w:snapToGrid w:val="0"/>
                <w:kern w:val="0"/>
                <w:szCs w:val="21"/>
              </w:rPr>
            </w:pPr>
            <w:r>
              <w:rPr>
                <w:snapToGrid w:val="0"/>
                <w:kern w:val="0"/>
                <w:szCs w:val="21"/>
              </w:rPr>
              <w:t>EN</w:t>
            </w:r>
          </w:p>
        </w:tc>
        <w:tc>
          <w:tcPr>
            <w:tcW w:w="903" w:type="dxa"/>
            <w:gridSpan w:val="2"/>
            <w:tcBorders>
              <w:tl2br w:val="nil"/>
              <w:tr2bl w:val="nil"/>
            </w:tcBorders>
            <w:tcMar>
              <w:top w:w="0" w:type="dxa"/>
              <w:left w:w="5" w:type="dxa"/>
              <w:bottom w:w="0" w:type="dxa"/>
              <w:right w:w="5" w:type="dxa"/>
            </w:tcMar>
            <w:vAlign w:val="center"/>
          </w:tcPr>
          <w:p w14:paraId="7090DA0D">
            <w:pPr>
              <w:snapToGrid w:val="0"/>
              <w:spacing w:before="0" w:beforeLines="0" w:line="240" w:lineRule="auto"/>
              <w:jc w:val="center"/>
              <w:rPr>
                <w:snapToGrid w:val="0"/>
                <w:kern w:val="0"/>
                <w:szCs w:val="21"/>
              </w:rPr>
            </w:pPr>
            <w:r>
              <w:rPr>
                <w:snapToGrid w:val="0"/>
                <w:kern w:val="0"/>
                <w:szCs w:val="21"/>
              </w:rPr>
              <w:t>1</w:t>
            </w:r>
            <w:r>
              <w:rPr>
                <w:rFonts w:hint="eastAsia"/>
                <w:snapToGrid w:val="0"/>
                <w:kern w:val="0"/>
                <w:szCs w:val="21"/>
              </w:rPr>
              <w:t>280</w:t>
            </w:r>
          </w:p>
        </w:tc>
      </w:tr>
      <w:tr w14:paraId="1C67FB3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80" w:hRule="atLeast"/>
          <w:jc w:val="center"/>
        </w:trPr>
        <w:tc>
          <w:tcPr>
            <w:tcW w:w="471" w:type="dxa"/>
            <w:vMerge w:val="continue"/>
            <w:tcBorders>
              <w:tl2br w:val="nil"/>
              <w:tr2bl w:val="nil"/>
            </w:tcBorders>
            <w:tcMar>
              <w:top w:w="0" w:type="dxa"/>
              <w:left w:w="5" w:type="dxa"/>
              <w:bottom w:w="0" w:type="dxa"/>
              <w:right w:w="5" w:type="dxa"/>
            </w:tcMar>
            <w:vAlign w:val="center"/>
          </w:tcPr>
          <w:p w14:paraId="1E76FE06">
            <w:pPr>
              <w:snapToGrid w:val="0"/>
              <w:spacing w:before="0" w:beforeLines="0" w:line="240" w:lineRule="auto"/>
              <w:jc w:val="center"/>
              <w:rPr>
                <w:snapToGrid w:val="0"/>
                <w:kern w:val="0"/>
                <w:szCs w:val="21"/>
              </w:rPr>
            </w:pPr>
          </w:p>
        </w:tc>
        <w:tc>
          <w:tcPr>
            <w:tcW w:w="1114" w:type="dxa"/>
            <w:tcBorders>
              <w:tl2br w:val="nil"/>
              <w:tr2bl w:val="nil"/>
            </w:tcBorders>
            <w:tcMar>
              <w:top w:w="0" w:type="dxa"/>
              <w:left w:w="5" w:type="dxa"/>
              <w:bottom w:w="0" w:type="dxa"/>
              <w:right w:w="5" w:type="dxa"/>
            </w:tcMar>
            <w:vAlign w:val="center"/>
          </w:tcPr>
          <w:p w14:paraId="55FBDCE2">
            <w:pPr>
              <w:snapToGrid w:val="0"/>
              <w:spacing w:before="0" w:beforeLines="0" w:line="240" w:lineRule="auto"/>
              <w:jc w:val="center"/>
              <w:rPr>
                <w:snapToGrid w:val="0"/>
                <w:kern w:val="0"/>
                <w:szCs w:val="21"/>
              </w:rPr>
            </w:pPr>
            <w:r>
              <w:rPr>
                <w:snapToGrid w:val="0"/>
                <w:kern w:val="0"/>
                <w:szCs w:val="21"/>
              </w:rPr>
              <w:t>满汉营子</w:t>
            </w:r>
          </w:p>
        </w:tc>
        <w:tc>
          <w:tcPr>
            <w:tcW w:w="577" w:type="dxa"/>
            <w:tcBorders>
              <w:tl2br w:val="nil"/>
              <w:tr2bl w:val="nil"/>
            </w:tcBorders>
            <w:tcMar>
              <w:top w:w="0" w:type="dxa"/>
              <w:left w:w="5" w:type="dxa"/>
              <w:bottom w:w="0" w:type="dxa"/>
              <w:right w:w="5" w:type="dxa"/>
            </w:tcMar>
            <w:vAlign w:val="center"/>
          </w:tcPr>
          <w:p w14:paraId="3A55B420">
            <w:pPr>
              <w:snapToGrid w:val="0"/>
              <w:spacing w:before="0" w:beforeLines="0" w:line="240" w:lineRule="auto"/>
              <w:jc w:val="center"/>
              <w:rPr>
                <w:snapToGrid w:val="0"/>
                <w:kern w:val="0"/>
                <w:szCs w:val="21"/>
              </w:rPr>
            </w:pPr>
            <w:r>
              <w:rPr>
                <w:snapToGrid w:val="0"/>
                <w:kern w:val="0"/>
                <w:szCs w:val="21"/>
              </w:rPr>
              <w:t>2200</w:t>
            </w:r>
          </w:p>
        </w:tc>
        <w:tc>
          <w:tcPr>
            <w:tcW w:w="585" w:type="dxa"/>
            <w:tcBorders>
              <w:tl2br w:val="nil"/>
              <w:tr2bl w:val="nil"/>
            </w:tcBorders>
            <w:tcMar>
              <w:top w:w="0" w:type="dxa"/>
              <w:left w:w="5" w:type="dxa"/>
              <w:bottom w:w="0" w:type="dxa"/>
              <w:right w:w="5" w:type="dxa"/>
            </w:tcMar>
            <w:vAlign w:val="center"/>
          </w:tcPr>
          <w:p w14:paraId="04EC0A4B">
            <w:pPr>
              <w:snapToGrid w:val="0"/>
              <w:spacing w:before="0" w:beforeLines="0" w:line="240" w:lineRule="auto"/>
              <w:jc w:val="center"/>
              <w:rPr>
                <w:snapToGrid w:val="0"/>
                <w:kern w:val="0"/>
                <w:szCs w:val="21"/>
              </w:rPr>
            </w:pPr>
            <w:r>
              <w:rPr>
                <w:snapToGrid w:val="0"/>
                <w:kern w:val="0"/>
                <w:szCs w:val="21"/>
              </w:rPr>
              <w:t>600</w:t>
            </w:r>
          </w:p>
        </w:tc>
        <w:tc>
          <w:tcPr>
            <w:tcW w:w="712" w:type="dxa"/>
            <w:vMerge w:val="continue"/>
            <w:tcBorders>
              <w:tl2br w:val="nil"/>
              <w:tr2bl w:val="nil"/>
            </w:tcBorders>
            <w:tcMar>
              <w:top w:w="0" w:type="dxa"/>
              <w:left w:w="5" w:type="dxa"/>
              <w:bottom w:w="0" w:type="dxa"/>
              <w:right w:w="5" w:type="dxa"/>
            </w:tcMar>
            <w:vAlign w:val="center"/>
          </w:tcPr>
          <w:p w14:paraId="6E538A7A">
            <w:pPr>
              <w:snapToGrid w:val="0"/>
              <w:spacing w:before="0" w:beforeLines="0" w:line="240" w:lineRule="auto"/>
              <w:jc w:val="center"/>
              <w:rPr>
                <w:snapToGrid w:val="0"/>
                <w:kern w:val="0"/>
                <w:szCs w:val="21"/>
              </w:rPr>
            </w:pPr>
          </w:p>
        </w:tc>
        <w:tc>
          <w:tcPr>
            <w:tcW w:w="1010" w:type="dxa"/>
            <w:tcBorders>
              <w:tl2br w:val="nil"/>
              <w:tr2bl w:val="nil"/>
            </w:tcBorders>
            <w:tcMar>
              <w:top w:w="0" w:type="dxa"/>
              <w:left w:w="5" w:type="dxa"/>
              <w:bottom w:w="0" w:type="dxa"/>
              <w:right w:w="5" w:type="dxa"/>
            </w:tcMar>
            <w:vAlign w:val="center"/>
          </w:tcPr>
          <w:p w14:paraId="15F4631C">
            <w:pPr>
              <w:snapToGrid w:val="0"/>
              <w:spacing w:before="0" w:beforeLines="0" w:line="240" w:lineRule="auto"/>
              <w:jc w:val="center"/>
              <w:rPr>
                <w:snapToGrid w:val="0"/>
                <w:kern w:val="0"/>
                <w:szCs w:val="21"/>
              </w:rPr>
            </w:pPr>
            <w:r>
              <w:rPr>
                <w:snapToGrid w:val="0"/>
                <w:kern w:val="0"/>
                <w:szCs w:val="21"/>
              </w:rPr>
              <w:t>200</w:t>
            </w:r>
          </w:p>
        </w:tc>
        <w:tc>
          <w:tcPr>
            <w:tcW w:w="1495" w:type="dxa"/>
            <w:vMerge w:val="continue"/>
            <w:tcBorders>
              <w:tl2br w:val="nil"/>
              <w:tr2bl w:val="nil"/>
            </w:tcBorders>
            <w:tcMar>
              <w:top w:w="0" w:type="dxa"/>
              <w:left w:w="5" w:type="dxa"/>
              <w:bottom w:w="0" w:type="dxa"/>
              <w:right w:w="5" w:type="dxa"/>
            </w:tcMar>
            <w:vAlign w:val="center"/>
          </w:tcPr>
          <w:p w14:paraId="5B8AD527">
            <w:pPr>
              <w:snapToGrid w:val="0"/>
              <w:spacing w:before="0" w:beforeLines="0" w:line="240" w:lineRule="auto"/>
              <w:jc w:val="center"/>
              <w:rPr>
                <w:snapToGrid w:val="0"/>
                <w:kern w:val="0"/>
                <w:szCs w:val="21"/>
              </w:rPr>
            </w:pPr>
          </w:p>
        </w:tc>
        <w:tc>
          <w:tcPr>
            <w:tcW w:w="929" w:type="dxa"/>
            <w:gridSpan w:val="2"/>
            <w:tcBorders>
              <w:tl2br w:val="nil"/>
              <w:tr2bl w:val="nil"/>
            </w:tcBorders>
            <w:tcMar>
              <w:top w:w="0" w:type="dxa"/>
              <w:left w:w="5" w:type="dxa"/>
              <w:bottom w:w="0" w:type="dxa"/>
              <w:right w:w="5" w:type="dxa"/>
            </w:tcMar>
            <w:vAlign w:val="center"/>
          </w:tcPr>
          <w:p w14:paraId="78202AE8">
            <w:pPr>
              <w:snapToGrid w:val="0"/>
              <w:spacing w:before="0" w:beforeLines="0" w:line="240" w:lineRule="auto"/>
              <w:jc w:val="center"/>
              <w:rPr>
                <w:szCs w:val="21"/>
              </w:rPr>
            </w:pPr>
            <w:r>
              <w:rPr>
                <w:rFonts w:hint="eastAsia"/>
                <w:szCs w:val="21"/>
              </w:rPr>
              <w:t>2</w:t>
            </w:r>
            <w:r>
              <w:rPr>
                <w:szCs w:val="21"/>
              </w:rPr>
              <w:t>#厂区</w:t>
            </w:r>
          </w:p>
        </w:tc>
        <w:tc>
          <w:tcPr>
            <w:tcW w:w="746" w:type="dxa"/>
            <w:gridSpan w:val="2"/>
            <w:tcBorders>
              <w:tl2br w:val="nil"/>
              <w:tr2bl w:val="nil"/>
            </w:tcBorders>
            <w:tcMar>
              <w:top w:w="0" w:type="dxa"/>
              <w:left w:w="5" w:type="dxa"/>
              <w:bottom w:w="0" w:type="dxa"/>
              <w:right w:w="5" w:type="dxa"/>
            </w:tcMar>
            <w:vAlign w:val="center"/>
          </w:tcPr>
          <w:p w14:paraId="051AFC26">
            <w:pPr>
              <w:snapToGrid w:val="0"/>
              <w:spacing w:before="0" w:beforeLines="0" w:line="240" w:lineRule="auto"/>
              <w:jc w:val="center"/>
              <w:rPr>
                <w:snapToGrid w:val="0"/>
                <w:kern w:val="0"/>
                <w:szCs w:val="21"/>
              </w:rPr>
            </w:pPr>
            <w:r>
              <w:rPr>
                <w:snapToGrid w:val="0"/>
                <w:kern w:val="0"/>
                <w:szCs w:val="21"/>
              </w:rPr>
              <w:t>EN</w:t>
            </w:r>
          </w:p>
        </w:tc>
        <w:tc>
          <w:tcPr>
            <w:tcW w:w="903" w:type="dxa"/>
            <w:gridSpan w:val="2"/>
            <w:tcBorders>
              <w:tl2br w:val="nil"/>
              <w:tr2bl w:val="nil"/>
            </w:tcBorders>
            <w:tcMar>
              <w:top w:w="0" w:type="dxa"/>
              <w:left w:w="5" w:type="dxa"/>
              <w:bottom w:w="0" w:type="dxa"/>
              <w:right w:w="5" w:type="dxa"/>
            </w:tcMar>
            <w:vAlign w:val="center"/>
          </w:tcPr>
          <w:p w14:paraId="7747E6A3">
            <w:pPr>
              <w:snapToGrid w:val="0"/>
              <w:spacing w:before="0" w:beforeLines="0" w:line="240" w:lineRule="auto"/>
              <w:jc w:val="center"/>
              <w:rPr>
                <w:snapToGrid w:val="0"/>
                <w:kern w:val="0"/>
                <w:szCs w:val="21"/>
              </w:rPr>
            </w:pPr>
            <w:r>
              <w:rPr>
                <w:snapToGrid w:val="0"/>
                <w:kern w:val="0"/>
                <w:szCs w:val="21"/>
              </w:rPr>
              <w:t>2</w:t>
            </w:r>
            <w:r>
              <w:rPr>
                <w:rFonts w:hint="eastAsia"/>
                <w:snapToGrid w:val="0"/>
                <w:kern w:val="0"/>
                <w:szCs w:val="21"/>
              </w:rPr>
              <w:t>085</w:t>
            </w:r>
          </w:p>
        </w:tc>
      </w:tr>
      <w:tr w14:paraId="2E41B6D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80" w:hRule="atLeast"/>
          <w:jc w:val="center"/>
        </w:trPr>
        <w:tc>
          <w:tcPr>
            <w:tcW w:w="471" w:type="dxa"/>
            <w:vMerge w:val="continue"/>
            <w:tcBorders>
              <w:tl2br w:val="nil"/>
              <w:tr2bl w:val="nil"/>
            </w:tcBorders>
            <w:tcMar>
              <w:top w:w="0" w:type="dxa"/>
              <w:left w:w="5" w:type="dxa"/>
              <w:bottom w:w="0" w:type="dxa"/>
              <w:right w:w="5" w:type="dxa"/>
            </w:tcMar>
            <w:vAlign w:val="center"/>
          </w:tcPr>
          <w:p w14:paraId="5C1C69EE">
            <w:pPr>
              <w:snapToGrid w:val="0"/>
              <w:spacing w:before="0" w:beforeLines="0" w:line="240" w:lineRule="auto"/>
              <w:jc w:val="center"/>
              <w:rPr>
                <w:snapToGrid w:val="0"/>
                <w:kern w:val="0"/>
                <w:szCs w:val="21"/>
              </w:rPr>
            </w:pPr>
          </w:p>
        </w:tc>
        <w:tc>
          <w:tcPr>
            <w:tcW w:w="1114" w:type="dxa"/>
            <w:tcBorders>
              <w:tl2br w:val="nil"/>
              <w:tr2bl w:val="nil"/>
            </w:tcBorders>
            <w:tcMar>
              <w:top w:w="0" w:type="dxa"/>
              <w:left w:w="5" w:type="dxa"/>
              <w:bottom w:w="0" w:type="dxa"/>
              <w:right w:w="5" w:type="dxa"/>
            </w:tcMar>
            <w:vAlign w:val="center"/>
          </w:tcPr>
          <w:p w14:paraId="4918B537">
            <w:pPr>
              <w:snapToGrid w:val="0"/>
              <w:spacing w:before="0" w:beforeLines="0" w:line="240" w:lineRule="auto"/>
              <w:jc w:val="center"/>
              <w:rPr>
                <w:snapToGrid w:val="0"/>
                <w:kern w:val="0"/>
                <w:szCs w:val="21"/>
              </w:rPr>
            </w:pPr>
            <w:r>
              <w:rPr>
                <w:snapToGrid w:val="0"/>
                <w:kern w:val="0"/>
                <w:szCs w:val="21"/>
              </w:rPr>
              <w:t>那四板营子</w:t>
            </w:r>
          </w:p>
        </w:tc>
        <w:tc>
          <w:tcPr>
            <w:tcW w:w="577" w:type="dxa"/>
            <w:tcBorders>
              <w:tl2br w:val="nil"/>
              <w:tr2bl w:val="nil"/>
            </w:tcBorders>
            <w:tcMar>
              <w:top w:w="0" w:type="dxa"/>
              <w:left w:w="5" w:type="dxa"/>
              <w:bottom w:w="0" w:type="dxa"/>
              <w:right w:w="5" w:type="dxa"/>
            </w:tcMar>
            <w:vAlign w:val="center"/>
          </w:tcPr>
          <w:p w14:paraId="53ECCC15">
            <w:pPr>
              <w:snapToGrid w:val="0"/>
              <w:spacing w:before="0" w:beforeLines="0" w:line="240" w:lineRule="auto"/>
              <w:jc w:val="center"/>
              <w:rPr>
                <w:snapToGrid w:val="0"/>
                <w:kern w:val="0"/>
                <w:szCs w:val="21"/>
              </w:rPr>
            </w:pPr>
            <w:r>
              <w:rPr>
                <w:snapToGrid w:val="0"/>
                <w:kern w:val="0"/>
                <w:szCs w:val="21"/>
              </w:rPr>
              <w:t>1400</w:t>
            </w:r>
          </w:p>
        </w:tc>
        <w:tc>
          <w:tcPr>
            <w:tcW w:w="585" w:type="dxa"/>
            <w:tcBorders>
              <w:tl2br w:val="nil"/>
              <w:tr2bl w:val="nil"/>
            </w:tcBorders>
            <w:tcMar>
              <w:top w:w="0" w:type="dxa"/>
              <w:left w:w="5" w:type="dxa"/>
              <w:bottom w:w="0" w:type="dxa"/>
              <w:right w:w="5" w:type="dxa"/>
            </w:tcMar>
            <w:vAlign w:val="center"/>
          </w:tcPr>
          <w:p w14:paraId="3E5E17F2">
            <w:pPr>
              <w:snapToGrid w:val="0"/>
              <w:spacing w:before="0" w:beforeLines="0" w:line="240" w:lineRule="auto"/>
              <w:jc w:val="center"/>
              <w:rPr>
                <w:snapToGrid w:val="0"/>
                <w:kern w:val="0"/>
                <w:szCs w:val="21"/>
              </w:rPr>
            </w:pPr>
            <w:r>
              <w:rPr>
                <w:snapToGrid w:val="0"/>
                <w:kern w:val="0"/>
                <w:szCs w:val="21"/>
              </w:rPr>
              <w:t>-900</w:t>
            </w:r>
          </w:p>
        </w:tc>
        <w:tc>
          <w:tcPr>
            <w:tcW w:w="712" w:type="dxa"/>
            <w:vMerge w:val="continue"/>
            <w:tcBorders>
              <w:tl2br w:val="nil"/>
              <w:tr2bl w:val="nil"/>
            </w:tcBorders>
            <w:tcMar>
              <w:top w:w="0" w:type="dxa"/>
              <w:left w:w="5" w:type="dxa"/>
              <w:bottom w:w="0" w:type="dxa"/>
              <w:right w:w="5" w:type="dxa"/>
            </w:tcMar>
            <w:vAlign w:val="center"/>
          </w:tcPr>
          <w:p w14:paraId="3AC98258">
            <w:pPr>
              <w:snapToGrid w:val="0"/>
              <w:spacing w:before="0" w:beforeLines="0" w:line="240" w:lineRule="auto"/>
              <w:jc w:val="center"/>
              <w:rPr>
                <w:snapToGrid w:val="0"/>
                <w:kern w:val="0"/>
                <w:szCs w:val="21"/>
              </w:rPr>
            </w:pPr>
          </w:p>
        </w:tc>
        <w:tc>
          <w:tcPr>
            <w:tcW w:w="1010" w:type="dxa"/>
            <w:tcBorders>
              <w:tl2br w:val="nil"/>
              <w:tr2bl w:val="nil"/>
            </w:tcBorders>
            <w:tcMar>
              <w:top w:w="0" w:type="dxa"/>
              <w:left w:w="5" w:type="dxa"/>
              <w:bottom w:w="0" w:type="dxa"/>
              <w:right w:w="5" w:type="dxa"/>
            </w:tcMar>
            <w:vAlign w:val="center"/>
          </w:tcPr>
          <w:p w14:paraId="5F9A453B">
            <w:pPr>
              <w:snapToGrid w:val="0"/>
              <w:spacing w:before="0" w:beforeLines="0" w:line="240" w:lineRule="auto"/>
              <w:jc w:val="center"/>
              <w:rPr>
                <w:snapToGrid w:val="0"/>
                <w:kern w:val="0"/>
                <w:szCs w:val="21"/>
              </w:rPr>
            </w:pPr>
            <w:r>
              <w:rPr>
                <w:snapToGrid w:val="0"/>
                <w:kern w:val="0"/>
                <w:szCs w:val="21"/>
              </w:rPr>
              <w:t>508</w:t>
            </w:r>
          </w:p>
        </w:tc>
        <w:tc>
          <w:tcPr>
            <w:tcW w:w="1495" w:type="dxa"/>
            <w:vMerge w:val="continue"/>
            <w:tcBorders>
              <w:tl2br w:val="nil"/>
              <w:tr2bl w:val="nil"/>
            </w:tcBorders>
            <w:tcMar>
              <w:top w:w="0" w:type="dxa"/>
              <w:left w:w="5" w:type="dxa"/>
              <w:bottom w:w="0" w:type="dxa"/>
              <w:right w:w="5" w:type="dxa"/>
            </w:tcMar>
            <w:vAlign w:val="center"/>
          </w:tcPr>
          <w:p w14:paraId="3C5ECB6A">
            <w:pPr>
              <w:snapToGrid w:val="0"/>
              <w:spacing w:before="0" w:beforeLines="0" w:line="240" w:lineRule="auto"/>
              <w:jc w:val="center"/>
              <w:rPr>
                <w:snapToGrid w:val="0"/>
                <w:kern w:val="0"/>
                <w:szCs w:val="21"/>
              </w:rPr>
            </w:pPr>
          </w:p>
        </w:tc>
        <w:tc>
          <w:tcPr>
            <w:tcW w:w="929" w:type="dxa"/>
            <w:gridSpan w:val="2"/>
            <w:tcBorders>
              <w:tl2br w:val="nil"/>
              <w:tr2bl w:val="nil"/>
            </w:tcBorders>
            <w:tcMar>
              <w:top w:w="0" w:type="dxa"/>
              <w:left w:w="5" w:type="dxa"/>
              <w:bottom w:w="0" w:type="dxa"/>
              <w:right w:w="5" w:type="dxa"/>
            </w:tcMar>
            <w:vAlign w:val="center"/>
          </w:tcPr>
          <w:p w14:paraId="1BAE7954">
            <w:pPr>
              <w:snapToGrid w:val="0"/>
              <w:spacing w:before="0" w:beforeLines="0" w:line="240" w:lineRule="auto"/>
              <w:jc w:val="center"/>
              <w:rPr>
                <w:snapToGrid w:val="0"/>
                <w:kern w:val="0"/>
                <w:szCs w:val="21"/>
              </w:rPr>
            </w:pPr>
            <w:r>
              <w:rPr>
                <w:rFonts w:hint="eastAsia"/>
                <w:snapToGrid w:val="0"/>
                <w:kern w:val="0"/>
                <w:szCs w:val="21"/>
              </w:rPr>
              <w:t>2</w:t>
            </w:r>
            <w:r>
              <w:rPr>
                <w:snapToGrid w:val="0"/>
                <w:kern w:val="0"/>
                <w:szCs w:val="21"/>
              </w:rPr>
              <w:t>#厂区</w:t>
            </w:r>
          </w:p>
        </w:tc>
        <w:tc>
          <w:tcPr>
            <w:tcW w:w="746" w:type="dxa"/>
            <w:gridSpan w:val="2"/>
            <w:tcBorders>
              <w:tl2br w:val="nil"/>
              <w:tr2bl w:val="nil"/>
            </w:tcBorders>
            <w:tcMar>
              <w:top w:w="0" w:type="dxa"/>
              <w:left w:w="5" w:type="dxa"/>
              <w:bottom w:w="0" w:type="dxa"/>
              <w:right w:w="5" w:type="dxa"/>
            </w:tcMar>
            <w:vAlign w:val="center"/>
          </w:tcPr>
          <w:p w14:paraId="0F713A80">
            <w:pPr>
              <w:snapToGrid w:val="0"/>
              <w:spacing w:before="0" w:beforeLines="0" w:line="240" w:lineRule="auto"/>
              <w:jc w:val="center"/>
              <w:rPr>
                <w:snapToGrid w:val="0"/>
                <w:kern w:val="0"/>
                <w:szCs w:val="21"/>
              </w:rPr>
            </w:pPr>
            <w:r>
              <w:rPr>
                <w:snapToGrid w:val="0"/>
                <w:kern w:val="0"/>
                <w:szCs w:val="21"/>
              </w:rPr>
              <w:t>ES</w:t>
            </w:r>
          </w:p>
        </w:tc>
        <w:tc>
          <w:tcPr>
            <w:tcW w:w="903" w:type="dxa"/>
            <w:gridSpan w:val="2"/>
            <w:tcBorders>
              <w:tl2br w:val="nil"/>
              <w:tr2bl w:val="nil"/>
            </w:tcBorders>
            <w:tcMar>
              <w:top w:w="0" w:type="dxa"/>
              <w:left w:w="5" w:type="dxa"/>
              <w:bottom w:w="0" w:type="dxa"/>
              <w:right w:w="5" w:type="dxa"/>
            </w:tcMar>
            <w:vAlign w:val="center"/>
          </w:tcPr>
          <w:p w14:paraId="05DDEFB5">
            <w:pPr>
              <w:snapToGrid w:val="0"/>
              <w:spacing w:before="0" w:beforeLines="0" w:line="240" w:lineRule="auto"/>
              <w:jc w:val="center"/>
              <w:rPr>
                <w:snapToGrid w:val="0"/>
                <w:kern w:val="0"/>
                <w:szCs w:val="21"/>
              </w:rPr>
            </w:pPr>
            <w:r>
              <w:rPr>
                <w:snapToGrid w:val="0"/>
                <w:kern w:val="0"/>
                <w:szCs w:val="21"/>
              </w:rPr>
              <w:t>1750</w:t>
            </w:r>
          </w:p>
        </w:tc>
      </w:tr>
      <w:tr w14:paraId="59377D4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80" w:hRule="atLeast"/>
          <w:jc w:val="center"/>
        </w:trPr>
        <w:tc>
          <w:tcPr>
            <w:tcW w:w="471" w:type="dxa"/>
            <w:vMerge w:val="continue"/>
            <w:tcBorders>
              <w:tl2br w:val="nil"/>
              <w:tr2bl w:val="nil"/>
            </w:tcBorders>
            <w:tcMar>
              <w:top w:w="0" w:type="dxa"/>
              <w:left w:w="5" w:type="dxa"/>
              <w:bottom w:w="0" w:type="dxa"/>
              <w:right w:w="5" w:type="dxa"/>
            </w:tcMar>
            <w:vAlign w:val="center"/>
          </w:tcPr>
          <w:p w14:paraId="2A111A66">
            <w:pPr>
              <w:snapToGrid w:val="0"/>
              <w:spacing w:before="0" w:beforeLines="0" w:line="240" w:lineRule="auto"/>
              <w:jc w:val="center"/>
              <w:rPr>
                <w:snapToGrid w:val="0"/>
                <w:kern w:val="0"/>
                <w:szCs w:val="21"/>
              </w:rPr>
            </w:pPr>
          </w:p>
        </w:tc>
        <w:tc>
          <w:tcPr>
            <w:tcW w:w="1114" w:type="dxa"/>
            <w:tcBorders>
              <w:tl2br w:val="nil"/>
              <w:tr2bl w:val="nil"/>
            </w:tcBorders>
            <w:tcMar>
              <w:top w:w="0" w:type="dxa"/>
              <w:left w:w="5" w:type="dxa"/>
              <w:bottom w:w="0" w:type="dxa"/>
              <w:right w:w="5" w:type="dxa"/>
            </w:tcMar>
            <w:vAlign w:val="center"/>
          </w:tcPr>
          <w:p w14:paraId="6D2E73EC">
            <w:pPr>
              <w:snapToGrid w:val="0"/>
              <w:spacing w:before="0" w:beforeLines="0" w:line="240" w:lineRule="auto"/>
              <w:jc w:val="center"/>
              <w:rPr>
                <w:snapToGrid w:val="0"/>
                <w:kern w:val="0"/>
                <w:szCs w:val="21"/>
              </w:rPr>
            </w:pPr>
            <w:r>
              <w:rPr>
                <w:rFonts w:hint="eastAsia"/>
                <w:snapToGrid w:val="0"/>
                <w:kern w:val="0"/>
                <w:szCs w:val="21"/>
              </w:rPr>
              <w:t>四方庙子</w:t>
            </w:r>
          </w:p>
        </w:tc>
        <w:tc>
          <w:tcPr>
            <w:tcW w:w="577" w:type="dxa"/>
            <w:tcBorders>
              <w:tl2br w:val="nil"/>
              <w:tr2bl w:val="nil"/>
            </w:tcBorders>
            <w:tcMar>
              <w:top w:w="0" w:type="dxa"/>
              <w:left w:w="5" w:type="dxa"/>
              <w:bottom w:w="0" w:type="dxa"/>
              <w:right w:w="5" w:type="dxa"/>
            </w:tcMar>
            <w:vAlign w:val="center"/>
          </w:tcPr>
          <w:p w14:paraId="2A221FC5">
            <w:pPr>
              <w:snapToGrid w:val="0"/>
              <w:spacing w:before="0" w:beforeLines="0" w:line="240" w:lineRule="auto"/>
              <w:jc w:val="center"/>
              <w:rPr>
                <w:snapToGrid w:val="0"/>
                <w:kern w:val="0"/>
                <w:szCs w:val="21"/>
              </w:rPr>
            </w:pPr>
            <w:r>
              <w:rPr>
                <w:rFonts w:hint="eastAsia"/>
                <w:snapToGrid w:val="0"/>
                <w:kern w:val="0"/>
                <w:szCs w:val="21"/>
              </w:rPr>
              <w:t>160</w:t>
            </w:r>
          </w:p>
        </w:tc>
        <w:tc>
          <w:tcPr>
            <w:tcW w:w="585" w:type="dxa"/>
            <w:tcBorders>
              <w:tl2br w:val="nil"/>
              <w:tr2bl w:val="nil"/>
            </w:tcBorders>
            <w:tcMar>
              <w:top w:w="0" w:type="dxa"/>
              <w:left w:w="5" w:type="dxa"/>
              <w:bottom w:w="0" w:type="dxa"/>
              <w:right w:w="5" w:type="dxa"/>
            </w:tcMar>
            <w:vAlign w:val="center"/>
          </w:tcPr>
          <w:p w14:paraId="7A2985EE">
            <w:pPr>
              <w:snapToGrid w:val="0"/>
              <w:spacing w:before="0" w:beforeLines="0" w:line="240" w:lineRule="auto"/>
              <w:jc w:val="center"/>
              <w:rPr>
                <w:snapToGrid w:val="0"/>
                <w:kern w:val="0"/>
                <w:szCs w:val="21"/>
              </w:rPr>
            </w:pPr>
            <w:r>
              <w:rPr>
                <w:rFonts w:hint="eastAsia"/>
                <w:snapToGrid w:val="0"/>
                <w:kern w:val="0"/>
                <w:szCs w:val="21"/>
              </w:rPr>
              <w:t>-1000</w:t>
            </w:r>
          </w:p>
        </w:tc>
        <w:tc>
          <w:tcPr>
            <w:tcW w:w="712" w:type="dxa"/>
            <w:vMerge w:val="continue"/>
            <w:tcBorders>
              <w:tl2br w:val="nil"/>
              <w:tr2bl w:val="nil"/>
            </w:tcBorders>
            <w:tcMar>
              <w:top w:w="0" w:type="dxa"/>
              <w:left w:w="5" w:type="dxa"/>
              <w:bottom w:w="0" w:type="dxa"/>
              <w:right w:w="5" w:type="dxa"/>
            </w:tcMar>
            <w:vAlign w:val="center"/>
          </w:tcPr>
          <w:p w14:paraId="2603F299">
            <w:pPr>
              <w:snapToGrid w:val="0"/>
              <w:spacing w:before="0" w:beforeLines="0" w:line="240" w:lineRule="auto"/>
              <w:jc w:val="center"/>
              <w:rPr>
                <w:snapToGrid w:val="0"/>
                <w:kern w:val="0"/>
                <w:szCs w:val="21"/>
              </w:rPr>
            </w:pPr>
          </w:p>
        </w:tc>
        <w:tc>
          <w:tcPr>
            <w:tcW w:w="1010" w:type="dxa"/>
            <w:tcBorders>
              <w:tl2br w:val="nil"/>
              <w:tr2bl w:val="nil"/>
            </w:tcBorders>
            <w:tcMar>
              <w:top w:w="0" w:type="dxa"/>
              <w:left w:w="5" w:type="dxa"/>
              <w:bottom w:w="0" w:type="dxa"/>
              <w:right w:w="5" w:type="dxa"/>
            </w:tcMar>
            <w:vAlign w:val="center"/>
          </w:tcPr>
          <w:p w14:paraId="007EAA3B">
            <w:pPr>
              <w:snapToGrid w:val="0"/>
              <w:spacing w:before="0" w:beforeLines="0" w:line="240" w:lineRule="auto"/>
              <w:jc w:val="center"/>
              <w:rPr>
                <w:snapToGrid w:val="0"/>
                <w:kern w:val="0"/>
                <w:szCs w:val="21"/>
              </w:rPr>
            </w:pPr>
            <w:r>
              <w:rPr>
                <w:rFonts w:hint="eastAsia"/>
                <w:snapToGrid w:val="0"/>
                <w:kern w:val="0"/>
                <w:szCs w:val="21"/>
              </w:rPr>
              <w:t>450</w:t>
            </w:r>
          </w:p>
        </w:tc>
        <w:tc>
          <w:tcPr>
            <w:tcW w:w="1495" w:type="dxa"/>
            <w:vMerge w:val="continue"/>
            <w:tcBorders>
              <w:tl2br w:val="nil"/>
              <w:tr2bl w:val="nil"/>
            </w:tcBorders>
            <w:tcMar>
              <w:top w:w="0" w:type="dxa"/>
              <w:left w:w="5" w:type="dxa"/>
              <w:bottom w:w="0" w:type="dxa"/>
              <w:right w:w="5" w:type="dxa"/>
            </w:tcMar>
            <w:vAlign w:val="center"/>
          </w:tcPr>
          <w:p w14:paraId="16555A53">
            <w:pPr>
              <w:snapToGrid w:val="0"/>
              <w:spacing w:before="0" w:beforeLines="0" w:line="240" w:lineRule="auto"/>
              <w:jc w:val="center"/>
              <w:rPr>
                <w:snapToGrid w:val="0"/>
                <w:kern w:val="0"/>
                <w:szCs w:val="21"/>
              </w:rPr>
            </w:pPr>
          </w:p>
        </w:tc>
        <w:tc>
          <w:tcPr>
            <w:tcW w:w="929" w:type="dxa"/>
            <w:gridSpan w:val="2"/>
            <w:tcBorders>
              <w:tl2br w:val="nil"/>
              <w:tr2bl w:val="nil"/>
            </w:tcBorders>
            <w:tcMar>
              <w:top w:w="0" w:type="dxa"/>
              <w:left w:w="5" w:type="dxa"/>
              <w:bottom w:w="0" w:type="dxa"/>
              <w:right w:w="5" w:type="dxa"/>
            </w:tcMar>
            <w:vAlign w:val="center"/>
          </w:tcPr>
          <w:p w14:paraId="6376E12B">
            <w:pPr>
              <w:snapToGrid w:val="0"/>
              <w:spacing w:before="0" w:beforeLines="0" w:line="240" w:lineRule="auto"/>
              <w:jc w:val="center"/>
              <w:rPr>
                <w:snapToGrid w:val="0"/>
                <w:kern w:val="0"/>
                <w:szCs w:val="21"/>
              </w:rPr>
            </w:pPr>
            <w:r>
              <w:rPr>
                <w:rFonts w:hint="eastAsia"/>
                <w:snapToGrid w:val="0"/>
                <w:kern w:val="0"/>
                <w:szCs w:val="21"/>
              </w:rPr>
              <w:t>2</w:t>
            </w:r>
            <w:r>
              <w:rPr>
                <w:snapToGrid w:val="0"/>
                <w:kern w:val="0"/>
                <w:szCs w:val="21"/>
              </w:rPr>
              <w:t>#厂区</w:t>
            </w:r>
          </w:p>
        </w:tc>
        <w:tc>
          <w:tcPr>
            <w:tcW w:w="746" w:type="dxa"/>
            <w:gridSpan w:val="2"/>
            <w:tcBorders>
              <w:tl2br w:val="nil"/>
              <w:tr2bl w:val="nil"/>
            </w:tcBorders>
            <w:tcMar>
              <w:top w:w="0" w:type="dxa"/>
              <w:left w:w="5" w:type="dxa"/>
              <w:bottom w:w="0" w:type="dxa"/>
              <w:right w:w="5" w:type="dxa"/>
            </w:tcMar>
            <w:vAlign w:val="center"/>
          </w:tcPr>
          <w:p w14:paraId="62A90ABE">
            <w:pPr>
              <w:snapToGrid w:val="0"/>
              <w:spacing w:before="0" w:beforeLines="0" w:line="240" w:lineRule="auto"/>
              <w:jc w:val="center"/>
              <w:rPr>
                <w:snapToGrid w:val="0"/>
                <w:kern w:val="0"/>
                <w:szCs w:val="21"/>
              </w:rPr>
            </w:pPr>
            <w:r>
              <w:rPr>
                <w:snapToGrid w:val="0"/>
                <w:kern w:val="0"/>
                <w:szCs w:val="21"/>
              </w:rPr>
              <w:t>EN</w:t>
            </w:r>
          </w:p>
        </w:tc>
        <w:tc>
          <w:tcPr>
            <w:tcW w:w="903" w:type="dxa"/>
            <w:gridSpan w:val="2"/>
            <w:tcBorders>
              <w:tl2br w:val="nil"/>
              <w:tr2bl w:val="nil"/>
            </w:tcBorders>
            <w:tcMar>
              <w:top w:w="0" w:type="dxa"/>
              <w:left w:w="5" w:type="dxa"/>
              <w:bottom w:w="0" w:type="dxa"/>
              <w:right w:w="5" w:type="dxa"/>
            </w:tcMar>
            <w:vAlign w:val="center"/>
          </w:tcPr>
          <w:p w14:paraId="0A0E1490">
            <w:pPr>
              <w:snapToGrid w:val="0"/>
              <w:spacing w:before="0" w:beforeLines="0" w:line="240" w:lineRule="auto"/>
              <w:jc w:val="center"/>
              <w:rPr>
                <w:snapToGrid w:val="0"/>
                <w:kern w:val="0"/>
                <w:szCs w:val="21"/>
              </w:rPr>
            </w:pPr>
            <w:r>
              <w:rPr>
                <w:rFonts w:hint="eastAsia"/>
                <w:snapToGrid w:val="0"/>
                <w:kern w:val="0"/>
                <w:szCs w:val="21"/>
              </w:rPr>
              <w:t>2030</w:t>
            </w:r>
          </w:p>
        </w:tc>
      </w:tr>
      <w:tr w14:paraId="59B1517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80" w:hRule="atLeast"/>
          <w:jc w:val="center"/>
        </w:trPr>
        <w:tc>
          <w:tcPr>
            <w:tcW w:w="471" w:type="dxa"/>
            <w:vMerge w:val="continue"/>
            <w:tcBorders>
              <w:tl2br w:val="nil"/>
              <w:tr2bl w:val="nil"/>
            </w:tcBorders>
            <w:tcMar>
              <w:top w:w="0" w:type="dxa"/>
              <w:left w:w="5" w:type="dxa"/>
              <w:bottom w:w="0" w:type="dxa"/>
              <w:right w:w="5" w:type="dxa"/>
            </w:tcMar>
            <w:vAlign w:val="center"/>
          </w:tcPr>
          <w:p w14:paraId="40CCEF25">
            <w:pPr>
              <w:snapToGrid w:val="0"/>
              <w:spacing w:before="0" w:beforeLines="0" w:line="240" w:lineRule="auto"/>
              <w:jc w:val="center"/>
              <w:rPr>
                <w:snapToGrid w:val="0"/>
                <w:kern w:val="0"/>
                <w:szCs w:val="21"/>
              </w:rPr>
            </w:pPr>
          </w:p>
        </w:tc>
        <w:tc>
          <w:tcPr>
            <w:tcW w:w="1114" w:type="dxa"/>
            <w:tcBorders>
              <w:tl2br w:val="nil"/>
              <w:tr2bl w:val="nil"/>
            </w:tcBorders>
            <w:tcMar>
              <w:top w:w="0" w:type="dxa"/>
              <w:left w:w="5" w:type="dxa"/>
              <w:bottom w:w="0" w:type="dxa"/>
              <w:right w:w="5" w:type="dxa"/>
            </w:tcMar>
            <w:vAlign w:val="center"/>
          </w:tcPr>
          <w:p w14:paraId="10FF31B1">
            <w:pPr>
              <w:snapToGrid w:val="0"/>
              <w:spacing w:before="0" w:beforeLines="0" w:line="240" w:lineRule="auto"/>
              <w:jc w:val="center"/>
              <w:rPr>
                <w:snapToGrid w:val="0"/>
                <w:kern w:val="0"/>
                <w:szCs w:val="21"/>
              </w:rPr>
            </w:pPr>
            <w:r>
              <w:rPr>
                <w:rFonts w:hint="eastAsia"/>
                <w:snapToGrid w:val="0"/>
                <w:kern w:val="0"/>
                <w:szCs w:val="21"/>
              </w:rPr>
              <w:t>郎家窝堡</w:t>
            </w:r>
          </w:p>
        </w:tc>
        <w:tc>
          <w:tcPr>
            <w:tcW w:w="577" w:type="dxa"/>
            <w:tcBorders>
              <w:tl2br w:val="nil"/>
              <w:tr2bl w:val="nil"/>
            </w:tcBorders>
            <w:tcMar>
              <w:top w:w="0" w:type="dxa"/>
              <w:left w:w="5" w:type="dxa"/>
              <w:bottom w:w="0" w:type="dxa"/>
              <w:right w:w="5" w:type="dxa"/>
            </w:tcMar>
            <w:vAlign w:val="center"/>
          </w:tcPr>
          <w:p w14:paraId="2921FF36">
            <w:pPr>
              <w:snapToGrid w:val="0"/>
              <w:spacing w:before="0" w:beforeLines="0" w:line="240" w:lineRule="auto"/>
              <w:jc w:val="center"/>
              <w:rPr>
                <w:snapToGrid w:val="0"/>
                <w:kern w:val="0"/>
                <w:szCs w:val="21"/>
              </w:rPr>
            </w:pPr>
            <w:r>
              <w:rPr>
                <w:rFonts w:hint="eastAsia"/>
                <w:snapToGrid w:val="0"/>
                <w:kern w:val="0"/>
                <w:szCs w:val="21"/>
              </w:rPr>
              <w:t>2500</w:t>
            </w:r>
          </w:p>
        </w:tc>
        <w:tc>
          <w:tcPr>
            <w:tcW w:w="585" w:type="dxa"/>
            <w:tcBorders>
              <w:tl2br w:val="nil"/>
              <w:tr2bl w:val="nil"/>
            </w:tcBorders>
            <w:tcMar>
              <w:top w:w="0" w:type="dxa"/>
              <w:left w:w="5" w:type="dxa"/>
              <w:bottom w:w="0" w:type="dxa"/>
              <w:right w:w="5" w:type="dxa"/>
            </w:tcMar>
            <w:vAlign w:val="center"/>
          </w:tcPr>
          <w:p w14:paraId="18487F08">
            <w:pPr>
              <w:snapToGrid w:val="0"/>
              <w:spacing w:before="0" w:beforeLines="0" w:line="240" w:lineRule="auto"/>
              <w:jc w:val="center"/>
              <w:rPr>
                <w:snapToGrid w:val="0"/>
                <w:kern w:val="0"/>
                <w:szCs w:val="21"/>
              </w:rPr>
            </w:pPr>
            <w:r>
              <w:rPr>
                <w:rFonts w:hint="eastAsia"/>
                <w:snapToGrid w:val="0"/>
                <w:kern w:val="0"/>
                <w:szCs w:val="21"/>
              </w:rPr>
              <w:t>2450</w:t>
            </w:r>
          </w:p>
        </w:tc>
        <w:tc>
          <w:tcPr>
            <w:tcW w:w="712" w:type="dxa"/>
            <w:vMerge w:val="continue"/>
            <w:tcBorders>
              <w:tl2br w:val="nil"/>
              <w:tr2bl w:val="nil"/>
            </w:tcBorders>
            <w:tcMar>
              <w:top w:w="0" w:type="dxa"/>
              <w:left w:w="5" w:type="dxa"/>
              <w:bottom w:w="0" w:type="dxa"/>
              <w:right w:w="5" w:type="dxa"/>
            </w:tcMar>
            <w:vAlign w:val="center"/>
          </w:tcPr>
          <w:p w14:paraId="303E032A">
            <w:pPr>
              <w:snapToGrid w:val="0"/>
              <w:spacing w:before="0" w:beforeLines="0" w:line="240" w:lineRule="auto"/>
              <w:jc w:val="center"/>
              <w:rPr>
                <w:snapToGrid w:val="0"/>
                <w:kern w:val="0"/>
                <w:szCs w:val="21"/>
              </w:rPr>
            </w:pPr>
          </w:p>
        </w:tc>
        <w:tc>
          <w:tcPr>
            <w:tcW w:w="1010" w:type="dxa"/>
            <w:tcBorders>
              <w:tl2br w:val="nil"/>
              <w:tr2bl w:val="nil"/>
            </w:tcBorders>
            <w:tcMar>
              <w:top w:w="0" w:type="dxa"/>
              <w:left w:w="5" w:type="dxa"/>
              <w:bottom w:w="0" w:type="dxa"/>
              <w:right w:w="5" w:type="dxa"/>
            </w:tcMar>
            <w:vAlign w:val="center"/>
          </w:tcPr>
          <w:p w14:paraId="560C3102">
            <w:pPr>
              <w:snapToGrid w:val="0"/>
              <w:spacing w:before="0" w:beforeLines="0" w:line="240" w:lineRule="auto"/>
              <w:jc w:val="center"/>
              <w:rPr>
                <w:snapToGrid w:val="0"/>
                <w:kern w:val="0"/>
                <w:szCs w:val="21"/>
              </w:rPr>
            </w:pPr>
            <w:r>
              <w:rPr>
                <w:rFonts w:hint="eastAsia"/>
                <w:snapToGrid w:val="0"/>
                <w:kern w:val="0"/>
                <w:szCs w:val="21"/>
              </w:rPr>
              <w:t>50</w:t>
            </w:r>
          </w:p>
        </w:tc>
        <w:tc>
          <w:tcPr>
            <w:tcW w:w="1495" w:type="dxa"/>
            <w:vMerge w:val="continue"/>
            <w:tcBorders>
              <w:tl2br w:val="nil"/>
              <w:tr2bl w:val="nil"/>
            </w:tcBorders>
            <w:tcMar>
              <w:top w:w="0" w:type="dxa"/>
              <w:left w:w="5" w:type="dxa"/>
              <w:bottom w:w="0" w:type="dxa"/>
              <w:right w:w="5" w:type="dxa"/>
            </w:tcMar>
            <w:vAlign w:val="center"/>
          </w:tcPr>
          <w:p w14:paraId="2CC0EFE5">
            <w:pPr>
              <w:snapToGrid w:val="0"/>
              <w:spacing w:before="0" w:beforeLines="0" w:line="240" w:lineRule="auto"/>
              <w:jc w:val="center"/>
              <w:rPr>
                <w:snapToGrid w:val="0"/>
                <w:kern w:val="0"/>
                <w:szCs w:val="21"/>
              </w:rPr>
            </w:pPr>
          </w:p>
        </w:tc>
        <w:tc>
          <w:tcPr>
            <w:tcW w:w="929" w:type="dxa"/>
            <w:gridSpan w:val="2"/>
            <w:tcBorders>
              <w:tl2br w:val="nil"/>
              <w:tr2bl w:val="nil"/>
            </w:tcBorders>
            <w:tcMar>
              <w:top w:w="0" w:type="dxa"/>
              <w:left w:w="5" w:type="dxa"/>
              <w:bottom w:w="0" w:type="dxa"/>
              <w:right w:w="5" w:type="dxa"/>
            </w:tcMar>
            <w:vAlign w:val="center"/>
          </w:tcPr>
          <w:p w14:paraId="00BFF9B0">
            <w:pPr>
              <w:snapToGrid w:val="0"/>
              <w:spacing w:before="0" w:beforeLines="0" w:line="240" w:lineRule="auto"/>
              <w:jc w:val="center"/>
              <w:rPr>
                <w:snapToGrid w:val="0"/>
                <w:kern w:val="0"/>
                <w:szCs w:val="21"/>
              </w:rPr>
            </w:pPr>
            <w:r>
              <w:rPr>
                <w:rFonts w:hint="eastAsia"/>
                <w:snapToGrid w:val="0"/>
                <w:kern w:val="0"/>
                <w:szCs w:val="21"/>
              </w:rPr>
              <w:t>2</w:t>
            </w:r>
            <w:r>
              <w:rPr>
                <w:snapToGrid w:val="0"/>
                <w:kern w:val="0"/>
                <w:szCs w:val="21"/>
              </w:rPr>
              <w:t>#厂区</w:t>
            </w:r>
          </w:p>
        </w:tc>
        <w:tc>
          <w:tcPr>
            <w:tcW w:w="746" w:type="dxa"/>
            <w:gridSpan w:val="2"/>
            <w:tcBorders>
              <w:tl2br w:val="nil"/>
              <w:tr2bl w:val="nil"/>
            </w:tcBorders>
            <w:tcMar>
              <w:top w:w="0" w:type="dxa"/>
              <w:left w:w="5" w:type="dxa"/>
              <w:bottom w:w="0" w:type="dxa"/>
              <w:right w:w="5" w:type="dxa"/>
            </w:tcMar>
            <w:vAlign w:val="center"/>
          </w:tcPr>
          <w:p w14:paraId="5FDA9214">
            <w:pPr>
              <w:snapToGrid w:val="0"/>
              <w:spacing w:before="0" w:beforeLines="0" w:line="240" w:lineRule="auto"/>
              <w:jc w:val="center"/>
              <w:rPr>
                <w:snapToGrid w:val="0"/>
                <w:kern w:val="0"/>
                <w:szCs w:val="21"/>
              </w:rPr>
            </w:pPr>
            <w:r>
              <w:rPr>
                <w:snapToGrid w:val="0"/>
                <w:kern w:val="0"/>
                <w:szCs w:val="21"/>
              </w:rPr>
              <w:t>ES</w:t>
            </w:r>
          </w:p>
        </w:tc>
        <w:tc>
          <w:tcPr>
            <w:tcW w:w="903" w:type="dxa"/>
            <w:gridSpan w:val="2"/>
            <w:tcBorders>
              <w:tl2br w:val="nil"/>
              <w:tr2bl w:val="nil"/>
            </w:tcBorders>
            <w:tcMar>
              <w:top w:w="0" w:type="dxa"/>
              <w:left w:w="5" w:type="dxa"/>
              <w:bottom w:w="0" w:type="dxa"/>
              <w:right w:w="5" w:type="dxa"/>
            </w:tcMar>
            <w:vAlign w:val="center"/>
          </w:tcPr>
          <w:p w14:paraId="5F22EB7F">
            <w:pPr>
              <w:snapToGrid w:val="0"/>
              <w:spacing w:before="0" w:beforeLines="0" w:line="240" w:lineRule="auto"/>
              <w:jc w:val="center"/>
              <w:rPr>
                <w:snapToGrid w:val="0"/>
                <w:kern w:val="0"/>
                <w:szCs w:val="21"/>
              </w:rPr>
            </w:pPr>
            <w:r>
              <w:rPr>
                <w:rFonts w:hint="eastAsia"/>
                <w:snapToGrid w:val="0"/>
                <w:kern w:val="0"/>
                <w:szCs w:val="21"/>
              </w:rPr>
              <w:t>3170</w:t>
            </w:r>
          </w:p>
        </w:tc>
      </w:tr>
      <w:tr w14:paraId="69A81CF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176" w:hRule="atLeast"/>
          <w:jc w:val="center"/>
        </w:trPr>
        <w:tc>
          <w:tcPr>
            <w:tcW w:w="471" w:type="dxa"/>
            <w:tcBorders>
              <w:tl2br w:val="nil"/>
              <w:tr2bl w:val="nil"/>
            </w:tcBorders>
            <w:tcMar>
              <w:top w:w="0" w:type="dxa"/>
              <w:left w:w="5" w:type="dxa"/>
              <w:bottom w:w="0" w:type="dxa"/>
              <w:right w:w="5" w:type="dxa"/>
            </w:tcMar>
            <w:vAlign w:val="center"/>
          </w:tcPr>
          <w:p w14:paraId="028EEC0B">
            <w:pPr>
              <w:snapToGrid w:val="0"/>
              <w:spacing w:before="0" w:beforeLines="0" w:line="240" w:lineRule="auto"/>
              <w:jc w:val="center"/>
              <w:rPr>
                <w:snapToGrid w:val="0"/>
                <w:kern w:val="0"/>
                <w:szCs w:val="21"/>
              </w:rPr>
            </w:pPr>
            <w:r>
              <w:rPr>
                <w:snapToGrid w:val="0"/>
                <w:kern w:val="0"/>
                <w:szCs w:val="21"/>
              </w:rPr>
              <w:t>地下水</w:t>
            </w:r>
          </w:p>
        </w:tc>
        <w:tc>
          <w:tcPr>
            <w:tcW w:w="2989" w:type="dxa"/>
            <w:gridSpan w:val="4"/>
            <w:tcBorders>
              <w:tl2br w:val="nil"/>
              <w:tr2bl w:val="nil"/>
            </w:tcBorders>
            <w:tcMar>
              <w:top w:w="0" w:type="dxa"/>
              <w:left w:w="5" w:type="dxa"/>
              <w:bottom w:w="0" w:type="dxa"/>
              <w:right w:w="5" w:type="dxa"/>
            </w:tcMar>
            <w:vAlign w:val="center"/>
          </w:tcPr>
          <w:p w14:paraId="4002231C">
            <w:pPr>
              <w:snapToGrid w:val="0"/>
              <w:spacing w:before="0" w:beforeLines="0" w:line="240" w:lineRule="auto"/>
              <w:jc w:val="center"/>
              <w:rPr>
                <w:snapToGrid w:val="0"/>
                <w:kern w:val="0"/>
                <w:szCs w:val="21"/>
              </w:rPr>
            </w:pPr>
            <w:r>
              <w:rPr>
                <w:snapToGrid w:val="0"/>
                <w:kern w:val="0"/>
                <w:szCs w:val="21"/>
              </w:rPr>
              <w:t>评价区域内浅层地下水、分散居民水井</w:t>
            </w:r>
          </w:p>
        </w:tc>
        <w:tc>
          <w:tcPr>
            <w:tcW w:w="5086" w:type="dxa"/>
            <w:gridSpan w:val="8"/>
            <w:tcBorders>
              <w:tl2br w:val="nil"/>
              <w:tr2bl w:val="nil"/>
            </w:tcBorders>
            <w:vAlign w:val="center"/>
          </w:tcPr>
          <w:p w14:paraId="2D09BD18">
            <w:pPr>
              <w:snapToGrid w:val="0"/>
              <w:spacing w:before="0" w:beforeLines="0" w:line="240" w:lineRule="auto"/>
              <w:jc w:val="center"/>
              <w:rPr>
                <w:snapToGrid w:val="0"/>
                <w:kern w:val="0"/>
                <w:szCs w:val="21"/>
              </w:rPr>
            </w:pPr>
            <w:r>
              <w:rPr>
                <w:snapToGrid w:val="0"/>
                <w:kern w:val="0"/>
                <w:szCs w:val="21"/>
              </w:rPr>
              <w:t>《地下水质量标准》Ⅲ类水体标准</w:t>
            </w:r>
          </w:p>
        </w:tc>
      </w:tr>
      <w:tr w14:paraId="24F9538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176" w:hRule="atLeast"/>
          <w:jc w:val="center"/>
        </w:trPr>
        <w:tc>
          <w:tcPr>
            <w:tcW w:w="471" w:type="dxa"/>
            <w:tcBorders>
              <w:tl2br w:val="nil"/>
              <w:tr2bl w:val="nil"/>
            </w:tcBorders>
            <w:tcMar>
              <w:top w:w="0" w:type="dxa"/>
              <w:left w:w="5" w:type="dxa"/>
              <w:bottom w:w="0" w:type="dxa"/>
              <w:right w:w="5" w:type="dxa"/>
            </w:tcMar>
            <w:vAlign w:val="center"/>
          </w:tcPr>
          <w:p w14:paraId="716CAC29">
            <w:pPr>
              <w:snapToGrid w:val="0"/>
              <w:spacing w:before="0" w:beforeLines="0" w:line="240" w:lineRule="auto"/>
              <w:jc w:val="center"/>
              <w:rPr>
                <w:snapToGrid w:val="0"/>
                <w:kern w:val="0"/>
                <w:szCs w:val="21"/>
              </w:rPr>
            </w:pPr>
            <w:r>
              <w:rPr>
                <w:snapToGrid w:val="0"/>
                <w:kern w:val="0"/>
                <w:szCs w:val="21"/>
              </w:rPr>
              <w:t>土壤</w:t>
            </w:r>
          </w:p>
        </w:tc>
        <w:tc>
          <w:tcPr>
            <w:tcW w:w="2989" w:type="dxa"/>
            <w:gridSpan w:val="4"/>
            <w:tcBorders>
              <w:tl2br w:val="nil"/>
              <w:tr2bl w:val="nil"/>
            </w:tcBorders>
            <w:tcMar>
              <w:top w:w="0" w:type="dxa"/>
              <w:left w:w="5" w:type="dxa"/>
              <w:bottom w:w="0" w:type="dxa"/>
              <w:right w:w="5" w:type="dxa"/>
            </w:tcMar>
            <w:vAlign w:val="center"/>
          </w:tcPr>
          <w:p w14:paraId="71159F12">
            <w:pPr>
              <w:snapToGrid w:val="0"/>
              <w:spacing w:before="0" w:beforeLines="0" w:line="240" w:lineRule="auto"/>
              <w:jc w:val="center"/>
              <w:rPr>
                <w:snapToGrid w:val="0"/>
                <w:kern w:val="0"/>
                <w:szCs w:val="21"/>
              </w:rPr>
            </w:pPr>
            <w:r>
              <w:rPr>
                <w:snapToGrid w:val="0"/>
                <w:kern w:val="0"/>
                <w:szCs w:val="21"/>
              </w:rPr>
              <w:t>厂区全部占地范围和厂区周边</w:t>
            </w:r>
            <w:r>
              <w:rPr>
                <w:rFonts w:hint="eastAsia"/>
                <w:snapToGrid w:val="0"/>
                <w:kern w:val="0"/>
                <w:szCs w:val="21"/>
              </w:rPr>
              <w:t>50m</w:t>
            </w:r>
            <w:r>
              <w:rPr>
                <w:snapToGrid w:val="0"/>
                <w:kern w:val="0"/>
                <w:szCs w:val="21"/>
              </w:rPr>
              <w:t>范围</w:t>
            </w:r>
          </w:p>
        </w:tc>
        <w:tc>
          <w:tcPr>
            <w:tcW w:w="5086" w:type="dxa"/>
            <w:gridSpan w:val="8"/>
            <w:tcBorders>
              <w:tl2br w:val="nil"/>
              <w:tr2bl w:val="nil"/>
            </w:tcBorders>
            <w:vAlign w:val="center"/>
          </w:tcPr>
          <w:p w14:paraId="6584713E">
            <w:pPr>
              <w:wordWrap w:val="0"/>
              <w:snapToGrid w:val="0"/>
              <w:spacing w:before="0" w:beforeLines="0" w:line="240" w:lineRule="auto"/>
              <w:jc w:val="center"/>
              <w:rPr>
                <w:snapToGrid w:val="0"/>
                <w:kern w:val="0"/>
                <w:szCs w:val="21"/>
              </w:rPr>
            </w:pPr>
            <w:r>
              <w:rPr>
                <w:snapToGrid w:val="0"/>
                <w:kern w:val="0"/>
                <w:szCs w:val="21"/>
              </w:rPr>
              <w:t>《土壤环境质量 建设用地土壤污染风险管控标准（试行）》（GB36600-2018）中第一、二类用地筛选值，《土壤环境质量农用地土壤污染风险管控标准（试行）》（GB 15618-2018）表1中风险筛选值标准</w:t>
            </w:r>
          </w:p>
        </w:tc>
      </w:tr>
      <w:tr w14:paraId="100EB1B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176" w:hRule="atLeast"/>
          <w:jc w:val="center"/>
        </w:trPr>
        <w:tc>
          <w:tcPr>
            <w:tcW w:w="471" w:type="dxa"/>
            <w:tcBorders>
              <w:tl2br w:val="nil"/>
              <w:tr2bl w:val="nil"/>
            </w:tcBorders>
            <w:tcMar>
              <w:top w:w="0" w:type="dxa"/>
              <w:left w:w="5" w:type="dxa"/>
              <w:bottom w:w="0" w:type="dxa"/>
              <w:right w:w="5" w:type="dxa"/>
            </w:tcMar>
            <w:vAlign w:val="center"/>
          </w:tcPr>
          <w:p w14:paraId="0C06537D">
            <w:pPr>
              <w:snapToGrid w:val="0"/>
              <w:spacing w:before="0" w:beforeLines="0" w:line="240" w:lineRule="auto"/>
              <w:jc w:val="center"/>
              <w:rPr>
                <w:snapToGrid w:val="0"/>
                <w:kern w:val="0"/>
                <w:szCs w:val="21"/>
              </w:rPr>
            </w:pPr>
            <w:r>
              <w:rPr>
                <w:snapToGrid w:val="0"/>
                <w:kern w:val="0"/>
                <w:szCs w:val="21"/>
              </w:rPr>
              <w:t>地表水</w:t>
            </w:r>
          </w:p>
        </w:tc>
        <w:tc>
          <w:tcPr>
            <w:tcW w:w="2989" w:type="dxa"/>
            <w:gridSpan w:val="4"/>
            <w:tcBorders>
              <w:tl2br w:val="nil"/>
              <w:tr2bl w:val="nil"/>
            </w:tcBorders>
            <w:tcMar>
              <w:top w:w="0" w:type="dxa"/>
              <w:left w:w="5" w:type="dxa"/>
              <w:bottom w:w="0" w:type="dxa"/>
              <w:right w:w="5" w:type="dxa"/>
            </w:tcMar>
            <w:vAlign w:val="center"/>
          </w:tcPr>
          <w:p w14:paraId="69BD9609">
            <w:pPr>
              <w:snapToGrid w:val="0"/>
              <w:spacing w:before="0" w:beforeLines="0" w:line="240" w:lineRule="auto"/>
              <w:jc w:val="center"/>
              <w:rPr>
                <w:snapToGrid w:val="0"/>
                <w:kern w:val="0"/>
                <w:szCs w:val="21"/>
              </w:rPr>
            </w:pPr>
            <w:r>
              <w:rPr>
                <w:rFonts w:hint="eastAsia"/>
                <w:snapToGrid w:val="0"/>
                <w:kern w:val="0"/>
                <w:szCs w:val="21"/>
              </w:rPr>
              <w:t>阿哈来河</w:t>
            </w:r>
          </w:p>
        </w:tc>
        <w:tc>
          <w:tcPr>
            <w:tcW w:w="3174" w:type="dxa"/>
            <w:gridSpan w:val="3"/>
            <w:tcBorders>
              <w:tl2br w:val="nil"/>
              <w:tr2bl w:val="nil"/>
            </w:tcBorders>
            <w:vAlign w:val="center"/>
          </w:tcPr>
          <w:p w14:paraId="2931B6E1">
            <w:pPr>
              <w:wordWrap w:val="0"/>
              <w:snapToGrid w:val="0"/>
              <w:spacing w:before="0" w:beforeLines="0" w:line="240" w:lineRule="auto"/>
              <w:jc w:val="center"/>
              <w:rPr>
                <w:snapToGrid w:val="0"/>
                <w:kern w:val="0"/>
                <w:szCs w:val="21"/>
              </w:rPr>
            </w:pPr>
            <w:r>
              <w:rPr>
                <w:snapToGrid w:val="0"/>
                <w:kern w:val="0"/>
                <w:szCs w:val="21"/>
              </w:rPr>
              <w:t>《地表水环境质量标准》（GB 3838-2002）</w:t>
            </w:r>
            <w:r>
              <w:rPr>
                <w:snapToGrid w:val="0"/>
                <w:kern w:val="0"/>
                <w:szCs w:val="21"/>
              </w:rPr>
              <w:fldChar w:fldCharType="begin"/>
            </w:r>
            <w:r>
              <w:rPr>
                <w:snapToGrid w:val="0"/>
                <w:kern w:val="0"/>
                <w:szCs w:val="21"/>
              </w:rPr>
              <w:instrText xml:space="preserve"> = 4 \* ROMAN \* MERGEFORMAT </w:instrText>
            </w:r>
            <w:r>
              <w:rPr>
                <w:snapToGrid w:val="0"/>
                <w:kern w:val="0"/>
                <w:szCs w:val="21"/>
              </w:rPr>
              <w:fldChar w:fldCharType="separate"/>
            </w:r>
            <w:r>
              <w:rPr>
                <w:snapToGrid w:val="0"/>
                <w:kern w:val="0"/>
                <w:szCs w:val="21"/>
              </w:rPr>
              <w:t>IV</w:t>
            </w:r>
            <w:r>
              <w:rPr>
                <w:snapToGrid w:val="0"/>
                <w:kern w:val="0"/>
                <w:szCs w:val="21"/>
              </w:rPr>
              <w:fldChar w:fldCharType="end"/>
            </w:r>
            <w:r>
              <w:rPr>
                <w:snapToGrid w:val="0"/>
                <w:kern w:val="0"/>
                <w:szCs w:val="21"/>
              </w:rPr>
              <w:t>类水体标准</w:t>
            </w:r>
          </w:p>
        </w:tc>
        <w:tc>
          <w:tcPr>
            <w:tcW w:w="577" w:type="dxa"/>
            <w:gridSpan w:val="2"/>
            <w:tcBorders>
              <w:tl2br w:val="nil"/>
              <w:tr2bl w:val="nil"/>
            </w:tcBorders>
            <w:vAlign w:val="center"/>
          </w:tcPr>
          <w:p w14:paraId="7341A6E2">
            <w:pPr>
              <w:wordWrap w:val="0"/>
              <w:snapToGrid w:val="0"/>
              <w:spacing w:before="0" w:beforeLines="0" w:line="240" w:lineRule="auto"/>
              <w:jc w:val="center"/>
              <w:rPr>
                <w:snapToGrid w:val="0"/>
                <w:kern w:val="0"/>
                <w:szCs w:val="21"/>
              </w:rPr>
            </w:pPr>
            <w:r>
              <w:rPr>
                <w:rFonts w:hint="eastAsia"/>
                <w:snapToGrid w:val="0"/>
                <w:kern w:val="0"/>
                <w:szCs w:val="21"/>
              </w:rPr>
              <w:t>1#</w:t>
            </w:r>
            <w:r>
              <w:rPr>
                <w:snapToGrid w:val="0"/>
                <w:kern w:val="0"/>
                <w:szCs w:val="21"/>
              </w:rPr>
              <w:t>厂区</w:t>
            </w:r>
          </w:p>
        </w:tc>
        <w:tc>
          <w:tcPr>
            <w:tcW w:w="720" w:type="dxa"/>
            <w:gridSpan w:val="2"/>
            <w:tcBorders>
              <w:tl2br w:val="nil"/>
              <w:tr2bl w:val="nil"/>
            </w:tcBorders>
            <w:vAlign w:val="center"/>
          </w:tcPr>
          <w:p w14:paraId="38AC2171">
            <w:pPr>
              <w:wordWrap w:val="0"/>
              <w:snapToGrid w:val="0"/>
              <w:spacing w:before="0" w:beforeLines="0" w:line="240" w:lineRule="auto"/>
              <w:jc w:val="center"/>
              <w:rPr>
                <w:snapToGrid w:val="0"/>
                <w:kern w:val="0"/>
                <w:szCs w:val="21"/>
              </w:rPr>
            </w:pPr>
            <w:r>
              <w:rPr>
                <w:snapToGrid w:val="0"/>
                <w:kern w:val="0"/>
                <w:szCs w:val="21"/>
              </w:rPr>
              <w:t>WS</w:t>
            </w:r>
          </w:p>
        </w:tc>
        <w:tc>
          <w:tcPr>
            <w:tcW w:w="614" w:type="dxa"/>
            <w:tcBorders>
              <w:tl2br w:val="nil"/>
              <w:tr2bl w:val="nil"/>
            </w:tcBorders>
            <w:vAlign w:val="center"/>
          </w:tcPr>
          <w:p w14:paraId="3E8BB0E9">
            <w:pPr>
              <w:wordWrap w:val="0"/>
              <w:snapToGrid w:val="0"/>
              <w:spacing w:before="0" w:beforeLines="0" w:line="240" w:lineRule="auto"/>
              <w:jc w:val="center"/>
              <w:rPr>
                <w:snapToGrid w:val="0"/>
                <w:kern w:val="0"/>
                <w:szCs w:val="21"/>
              </w:rPr>
            </w:pPr>
            <w:r>
              <w:rPr>
                <w:rFonts w:hint="eastAsia"/>
                <w:snapToGrid w:val="0"/>
                <w:kern w:val="0"/>
                <w:szCs w:val="21"/>
              </w:rPr>
              <w:t>1211</w:t>
            </w:r>
          </w:p>
        </w:tc>
      </w:tr>
      <w:tr w14:paraId="1F346B5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71" w:hRule="atLeast"/>
          <w:jc w:val="center"/>
        </w:trPr>
        <w:tc>
          <w:tcPr>
            <w:tcW w:w="471" w:type="dxa"/>
            <w:tcBorders>
              <w:tl2br w:val="nil"/>
              <w:tr2bl w:val="nil"/>
            </w:tcBorders>
            <w:tcMar>
              <w:top w:w="0" w:type="dxa"/>
              <w:left w:w="5" w:type="dxa"/>
              <w:bottom w:w="0" w:type="dxa"/>
              <w:right w:w="5" w:type="dxa"/>
            </w:tcMar>
            <w:vAlign w:val="center"/>
          </w:tcPr>
          <w:p w14:paraId="1EC46F82">
            <w:pPr>
              <w:snapToGrid w:val="0"/>
              <w:spacing w:before="0" w:beforeLines="0" w:line="240" w:lineRule="auto"/>
              <w:jc w:val="center"/>
              <w:rPr>
                <w:snapToGrid w:val="0"/>
                <w:kern w:val="0"/>
                <w:szCs w:val="21"/>
              </w:rPr>
            </w:pPr>
            <w:r>
              <w:rPr>
                <w:snapToGrid w:val="0"/>
                <w:kern w:val="0"/>
                <w:szCs w:val="21"/>
              </w:rPr>
              <w:t>生态</w:t>
            </w:r>
          </w:p>
        </w:tc>
        <w:tc>
          <w:tcPr>
            <w:tcW w:w="2989" w:type="dxa"/>
            <w:gridSpan w:val="4"/>
            <w:tcBorders>
              <w:tl2br w:val="nil"/>
              <w:tr2bl w:val="nil"/>
            </w:tcBorders>
            <w:tcMar>
              <w:top w:w="0" w:type="dxa"/>
              <w:left w:w="5" w:type="dxa"/>
              <w:bottom w:w="0" w:type="dxa"/>
              <w:right w:w="5" w:type="dxa"/>
            </w:tcMar>
            <w:vAlign w:val="center"/>
          </w:tcPr>
          <w:p w14:paraId="70F68047">
            <w:pPr>
              <w:snapToGrid w:val="0"/>
              <w:spacing w:before="0" w:beforeLines="0" w:line="240" w:lineRule="auto"/>
              <w:jc w:val="center"/>
              <w:rPr>
                <w:snapToGrid w:val="0"/>
                <w:kern w:val="0"/>
                <w:szCs w:val="21"/>
              </w:rPr>
            </w:pPr>
            <w:r>
              <w:rPr>
                <w:snapToGrid w:val="0"/>
                <w:kern w:val="0"/>
                <w:szCs w:val="21"/>
              </w:rPr>
              <w:t>占地范围内</w:t>
            </w:r>
          </w:p>
        </w:tc>
        <w:tc>
          <w:tcPr>
            <w:tcW w:w="5086" w:type="dxa"/>
            <w:gridSpan w:val="8"/>
            <w:tcBorders>
              <w:tl2br w:val="nil"/>
              <w:tr2bl w:val="nil"/>
            </w:tcBorders>
            <w:vAlign w:val="center"/>
          </w:tcPr>
          <w:p w14:paraId="3BA40A85">
            <w:pPr>
              <w:wordWrap w:val="0"/>
              <w:snapToGrid w:val="0"/>
              <w:spacing w:before="0" w:beforeLines="0" w:line="240" w:lineRule="auto"/>
              <w:jc w:val="center"/>
              <w:rPr>
                <w:snapToGrid w:val="0"/>
                <w:kern w:val="0"/>
                <w:szCs w:val="21"/>
              </w:rPr>
            </w:pPr>
            <w:r>
              <w:rPr>
                <w:snapToGrid w:val="0"/>
                <w:kern w:val="0"/>
                <w:szCs w:val="21"/>
              </w:rPr>
              <w:t>维持区域生态系统完整性</w:t>
            </w:r>
          </w:p>
        </w:tc>
      </w:tr>
      <w:bookmarkEnd w:id="78"/>
    </w:tbl>
    <w:p w14:paraId="40A40779">
      <w:pPr>
        <w:autoSpaceDE w:val="0"/>
        <w:autoSpaceDN w:val="0"/>
        <w:spacing w:before="0" w:beforeLines="0" w:line="360" w:lineRule="auto"/>
        <w:textAlignment w:val="bottom"/>
        <w:rPr>
          <w:kern w:val="24"/>
          <w:sz w:val="24"/>
        </w:rPr>
      </w:pPr>
      <w:r>
        <w:drawing>
          <wp:inline distT="0" distB="0" distL="0" distR="0">
            <wp:extent cx="5278120" cy="3712210"/>
            <wp:effectExtent l="0" t="0" r="0" b="2540"/>
            <wp:docPr id="176994764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947641" name="图片 1"/>
                    <pic:cNvPicPr>
                      <a:picLocks noChangeAspect="1"/>
                    </pic:cNvPicPr>
                  </pic:nvPicPr>
                  <pic:blipFill>
                    <a:blip r:embed="rId34"/>
                    <a:stretch>
                      <a:fillRect/>
                    </a:stretch>
                  </pic:blipFill>
                  <pic:spPr>
                    <a:xfrm>
                      <a:off x="0" y="0"/>
                      <a:ext cx="5278120" cy="3712210"/>
                    </a:xfrm>
                    <a:prstGeom prst="rect">
                      <a:avLst/>
                    </a:prstGeom>
                  </pic:spPr>
                </pic:pic>
              </a:graphicData>
            </a:graphic>
          </wp:inline>
        </w:drawing>
      </w:r>
    </w:p>
    <w:p w14:paraId="1ECEB260">
      <w:pPr>
        <w:autoSpaceDE w:val="0"/>
        <w:autoSpaceDN w:val="0"/>
        <w:spacing w:before="0" w:beforeLines="0" w:line="360" w:lineRule="auto"/>
        <w:jc w:val="center"/>
        <w:textAlignment w:val="bottom"/>
        <w:rPr>
          <w:b/>
          <w:bCs/>
          <w:kern w:val="24"/>
          <w:sz w:val="24"/>
        </w:rPr>
      </w:pPr>
      <w:r>
        <w:rPr>
          <w:rFonts w:hint="eastAsia"/>
          <w:b/>
          <w:bCs/>
          <w:kern w:val="24"/>
          <w:sz w:val="24"/>
        </w:rPr>
        <w:t>图2.6-1      环境保护目标图</w:t>
      </w:r>
    </w:p>
    <w:p w14:paraId="68044ED7">
      <w:pPr>
        <w:autoSpaceDE w:val="0"/>
        <w:autoSpaceDN w:val="0"/>
        <w:spacing w:before="0" w:beforeLines="0" w:line="360" w:lineRule="auto"/>
        <w:textAlignment w:val="bottom"/>
        <w:rPr>
          <w:b/>
          <w:bCs/>
          <w:kern w:val="24"/>
          <w:sz w:val="24"/>
        </w:rPr>
      </w:pPr>
    </w:p>
    <w:p w14:paraId="2E0A5BF1">
      <w:pPr>
        <w:autoSpaceDE w:val="0"/>
        <w:autoSpaceDN w:val="0"/>
        <w:spacing w:before="0" w:beforeLines="0" w:line="360" w:lineRule="auto"/>
        <w:textAlignment w:val="bottom"/>
        <w:rPr>
          <w:b/>
          <w:bCs/>
          <w:kern w:val="24"/>
          <w:sz w:val="24"/>
        </w:rPr>
      </w:pPr>
    </w:p>
    <w:p w14:paraId="4CA156B1">
      <w:pPr>
        <w:autoSpaceDE w:val="0"/>
        <w:autoSpaceDN w:val="0"/>
        <w:spacing w:before="0" w:beforeLines="0" w:line="360" w:lineRule="auto"/>
        <w:textAlignment w:val="bottom"/>
        <w:rPr>
          <w:b/>
          <w:bCs/>
          <w:kern w:val="24"/>
          <w:sz w:val="24"/>
        </w:rPr>
      </w:pPr>
    </w:p>
    <w:p w14:paraId="4192AE92">
      <w:pPr>
        <w:autoSpaceDE w:val="0"/>
        <w:autoSpaceDN w:val="0"/>
        <w:spacing w:before="0" w:beforeLines="0" w:line="360" w:lineRule="auto"/>
        <w:textAlignment w:val="bottom"/>
        <w:rPr>
          <w:b/>
          <w:bCs/>
          <w:kern w:val="24"/>
          <w:sz w:val="24"/>
        </w:rPr>
      </w:pPr>
    </w:p>
    <w:p w14:paraId="069EB8BB">
      <w:pPr>
        <w:autoSpaceDE w:val="0"/>
        <w:autoSpaceDN w:val="0"/>
        <w:spacing w:before="0" w:beforeLines="0" w:line="360" w:lineRule="auto"/>
        <w:textAlignment w:val="bottom"/>
        <w:rPr>
          <w:b/>
          <w:bCs/>
          <w:kern w:val="24"/>
          <w:sz w:val="24"/>
        </w:rPr>
      </w:pPr>
    </w:p>
    <w:p w14:paraId="6B9FAC89">
      <w:pPr>
        <w:autoSpaceDE w:val="0"/>
        <w:autoSpaceDN w:val="0"/>
        <w:spacing w:before="0" w:beforeLines="0" w:line="360" w:lineRule="auto"/>
        <w:textAlignment w:val="bottom"/>
        <w:rPr>
          <w:b/>
          <w:bCs/>
          <w:kern w:val="24"/>
          <w:sz w:val="24"/>
        </w:rPr>
      </w:pPr>
    </w:p>
    <w:p w14:paraId="32C890D1">
      <w:pPr>
        <w:autoSpaceDE w:val="0"/>
        <w:autoSpaceDN w:val="0"/>
        <w:spacing w:before="0" w:beforeLines="0" w:line="360" w:lineRule="auto"/>
        <w:textAlignment w:val="bottom"/>
        <w:rPr>
          <w:b/>
          <w:bCs/>
          <w:kern w:val="24"/>
          <w:sz w:val="24"/>
        </w:rPr>
      </w:pPr>
    </w:p>
    <w:p w14:paraId="5EE70873">
      <w:pPr>
        <w:autoSpaceDE w:val="0"/>
        <w:autoSpaceDN w:val="0"/>
        <w:spacing w:before="0" w:beforeLines="0" w:line="360" w:lineRule="auto"/>
        <w:textAlignment w:val="bottom"/>
        <w:rPr>
          <w:b/>
          <w:bCs/>
          <w:kern w:val="24"/>
          <w:sz w:val="24"/>
        </w:rPr>
      </w:pPr>
    </w:p>
    <w:p w14:paraId="5722692B">
      <w:pPr>
        <w:autoSpaceDE w:val="0"/>
        <w:autoSpaceDN w:val="0"/>
        <w:spacing w:before="0" w:beforeLines="0" w:line="360" w:lineRule="auto"/>
        <w:textAlignment w:val="bottom"/>
        <w:rPr>
          <w:b/>
          <w:bCs/>
          <w:kern w:val="24"/>
          <w:sz w:val="24"/>
        </w:rPr>
      </w:pPr>
    </w:p>
    <w:p w14:paraId="444315C2">
      <w:pPr>
        <w:autoSpaceDE w:val="0"/>
        <w:autoSpaceDN w:val="0"/>
        <w:spacing w:before="0" w:beforeLines="0" w:line="360" w:lineRule="auto"/>
        <w:textAlignment w:val="bottom"/>
        <w:rPr>
          <w:b/>
          <w:bCs/>
          <w:kern w:val="24"/>
          <w:sz w:val="24"/>
        </w:rPr>
      </w:pPr>
    </w:p>
    <w:p w14:paraId="69003BDE">
      <w:pPr>
        <w:autoSpaceDE w:val="0"/>
        <w:autoSpaceDN w:val="0"/>
        <w:spacing w:before="0" w:beforeLines="0" w:line="360" w:lineRule="auto"/>
        <w:textAlignment w:val="bottom"/>
        <w:rPr>
          <w:b/>
          <w:bCs/>
          <w:kern w:val="24"/>
          <w:sz w:val="24"/>
        </w:rPr>
      </w:pPr>
    </w:p>
    <w:p w14:paraId="58CC71B9">
      <w:pPr>
        <w:autoSpaceDE w:val="0"/>
        <w:autoSpaceDN w:val="0"/>
        <w:spacing w:before="0" w:beforeLines="0" w:line="360" w:lineRule="auto"/>
        <w:textAlignment w:val="bottom"/>
        <w:rPr>
          <w:b/>
          <w:bCs/>
          <w:kern w:val="24"/>
          <w:sz w:val="24"/>
        </w:rPr>
      </w:pPr>
    </w:p>
    <w:bookmarkEnd w:id="77"/>
    <w:p w14:paraId="53691230">
      <w:pPr>
        <w:pStyle w:val="3"/>
        <w:spacing w:before="300" w:after="300" w:line="360" w:lineRule="auto"/>
        <w:rPr>
          <w:color w:val="auto"/>
        </w:rPr>
      </w:pPr>
      <w:bookmarkStart w:id="79" w:name="_Toc17475957"/>
      <w:bookmarkStart w:id="80" w:name="_Toc239274267"/>
      <w:r>
        <w:rPr>
          <w:color w:val="auto"/>
        </w:rPr>
        <w:t>3.建设项目工程概况及工程分析</w:t>
      </w:r>
      <w:bookmarkEnd w:id="79"/>
      <w:bookmarkEnd w:id="80"/>
    </w:p>
    <w:bookmarkEnd w:id="0"/>
    <w:p w14:paraId="00EBAED5">
      <w:pPr>
        <w:pStyle w:val="4"/>
        <w:spacing w:line="360" w:lineRule="auto"/>
        <w:jc w:val="left"/>
        <w:rPr>
          <w:rFonts w:ascii="Times New Roman" w:hAnsi="Times New Roman" w:eastAsia="宋体"/>
          <w:color w:val="auto"/>
        </w:rPr>
      </w:pPr>
      <w:bookmarkStart w:id="81" w:name="_Toc17475958"/>
      <w:bookmarkStart w:id="82" w:name="_Toc239274268"/>
      <w:r>
        <w:rPr>
          <w:rFonts w:ascii="Times New Roman" w:hAnsi="Times New Roman" w:eastAsia="宋体"/>
          <w:color w:val="auto"/>
        </w:rPr>
        <w:t>3.</w:t>
      </w:r>
      <w:r>
        <w:rPr>
          <w:rFonts w:hint="eastAsia" w:ascii="Times New Roman" w:hAnsi="Times New Roman" w:eastAsia="宋体"/>
          <w:color w:val="auto"/>
        </w:rPr>
        <w:t>1</w:t>
      </w:r>
      <w:r>
        <w:rPr>
          <w:rFonts w:ascii="Times New Roman" w:hAnsi="Times New Roman" w:eastAsia="宋体"/>
          <w:color w:val="auto"/>
        </w:rPr>
        <w:t>本项目工程概况</w:t>
      </w:r>
      <w:bookmarkEnd w:id="81"/>
      <w:bookmarkEnd w:id="82"/>
    </w:p>
    <w:p w14:paraId="6C9ECA5D">
      <w:pPr>
        <w:pStyle w:val="212"/>
        <w:spacing w:before="0" w:beforeLines="0"/>
        <w:ind w:firstLine="480"/>
        <w:rPr>
          <w:szCs w:val="21"/>
        </w:rPr>
      </w:pPr>
      <w:r>
        <w:rPr>
          <w:rFonts w:hint="eastAsia"/>
          <w:szCs w:val="21"/>
        </w:rPr>
        <w:t>阜新鸿泽废旧资源利用有限公</w:t>
      </w:r>
      <w:r>
        <w:rPr>
          <w:rFonts w:hint="eastAsia"/>
          <w:szCs w:val="21"/>
          <w:lang w:eastAsia="zh-CN"/>
        </w:rPr>
        <w:t>司于</w:t>
      </w:r>
      <w:r>
        <w:rPr>
          <w:rFonts w:hint="eastAsia"/>
          <w:szCs w:val="21"/>
        </w:rPr>
        <w:t>2024年4月3日注册成立，企业经营范围包括 “再生资源加工、再生资源回收等”。企业投资9800万元，建设废弃尾矿综合利用项目，主要通过破碎、筛分、磁选球磨等工艺对废弃尾矿及废石中的金属钒、钛进行回收与利用。</w:t>
      </w:r>
    </w:p>
    <w:p w14:paraId="22C63957">
      <w:pPr>
        <w:pStyle w:val="212"/>
        <w:spacing w:before="0" w:beforeLines="0"/>
        <w:ind w:firstLine="480"/>
      </w:pPr>
      <w:r>
        <w:rPr>
          <w:szCs w:val="21"/>
        </w:rPr>
        <w:t>本项目为</w:t>
      </w:r>
      <w:r>
        <w:rPr>
          <w:rFonts w:hint="eastAsia"/>
          <w:szCs w:val="21"/>
        </w:rPr>
        <w:t>新</w:t>
      </w:r>
      <w:r>
        <w:rPr>
          <w:szCs w:val="21"/>
        </w:rPr>
        <w:t>建项目，</w:t>
      </w:r>
      <w:r>
        <w:rPr>
          <w:rFonts w:hint="eastAsia"/>
          <w:szCs w:val="21"/>
        </w:rPr>
        <w:t>租用土地</w:t>
      </w:r>
      <w:r>
        <w:rPr>
          <w:szCs w:val="21"/>
        </w:rPr>
        <w:t>41031m</w:t>
      </w:r>
      <w:r>
        <w:rPr>
          <w:szCs w:val="21"/>
          <w:vertAlign w:val="superscript"/>
        </w:rPr>
        <w:t>2</w:t>
      </w:r>
      <w:r>
        <w:rPr>
          <w:szCs w:val="21"/>
        </w:rPr>
        <w:t>。</w:t>
      </w:r>
      <w:r>
        <w:rPr>
          <w:rFonts w:hint="eastAsia"/>
          <w:szCs w:val="21"/>
        </w:rPr>
        <w:t>项目采用“筛分+磁选+球磨+重选”生产工艺，建设内容主要包括破碎车间、抛砂车间、球磨车间、重选车间及其附属设施等。</w:t>
      </w:r>
      <w:r>
        <w:rPr>
          <w:szCs w:val="21"/>
        </w:rPr>
        <w:t>项目分两个厂区建设，1#厂区中心点坐标东经：</w:t>
      </w:r>
      <w:bookmarkStart w:id="83" w:name="OLE_LINK32"/>
      <w:r>
        <w:rPr>
          <w:szCs w:val="21"/>
        </w:rPr>
        <w:t>121.662607948</w:t>
      </w:r>
      <w:bookmarkEnd w:id="83"/>
      <w:r>
        <w:rPr>
          <w:szCs w:val="21"/>
        </w:rPr>
        <w:t>，北纬：</w:t>
      </w:r>
      <w:bookmarkStart w:id="84" w:name="OLE_LINK33"/>
      <w:r>
        <w:rPr>
          <w:szCs w:val="21"/>
        </w:rPr>
        <w:t>42.333870803</w:t>
      </w:r>
      <w:bookmarkEnd w:id="84"/>
      <w:r>
        <w:rPr>
          <w:szCs w:val="21"/>
        </w:rPr>
        <w:t>，主要建设</w:t>
      </w:r>
      <w:r>
        <w:rPr>
          <w:rFonts w:hint="eastAsia"/>
          <w:szCs w:val="21"/>
        </w:rPr>
        <w:t>抛砂</w:t>
      </w:r>
      <w:r>
        <w:rPr>
          <w:szCs w:val="21"/>
        </w:rPr>
        <w:t>车间1座，</w:t>
      </w:r>
      <w:r>
        <w:rPr>
          <w:rFonts w:hint="eastAsia"/>
          <w:szCs w:val="21"/>
        </w:rPr>
        <w:t>球磨车间</w:t>
      </w:r>
      <w:r>
        <w:rPr>
          <w:szCs w:val="21"/>
        </w:rPr>
        <w:t>1座，重选车间1座，</w:t>
      </w:r>
      <w:r>
        <w:rPr>
          <w:rFonts w:hint="eastAsia"/>
          <w:szCs w:val="21"/>
        </w:rPr>
        <w:t>机制砂库房1座，循环水池1座，浓缩罐1座，压滤车间1座，</w:t>
      </w:r>
      <w:r>
        <w:rPr>
          <w:szCs w:val="21"/>
        </w:rPr>
        <w:t>控制室1座</w:t>
      </w:r>
      <w:r>
        <w:rPr>
          <w:rFonts w:hint="eastAsia"/>
          <w:szCs w:val="21"/>
        </w:rPr>
        <w:t>等</w:t>
      </w:r>
      <w:r>
        <w:rPr>
          <w:szCs w:val="21"/>
        </w:rPr>
        <w:t>；2#厂区中心点坐标东经：121.665928523，北纬： 42.336087509，主要建设</w:t>
      </w:r>
      <w:r>
        <w:rPr>
          <w:kern w:val="0"/>
        </w:rPr>
        <w:t>破碎车间1座，</w:t>
      </w:r>
      <w:r>
        <w:rPr>
          <w:rFonts w:hint="eastAsia"/>
          <w:kern w:val="0"/>
        </w:rPr>
        <w:t>碎石</w:t>
      </w:r>
      <w:r>
        <w:rPr>
          <w:kern w:val="0"/>
        </w:rPr>
        <w:t>成品仓3</w:t>
      </w:r>
      <w:r>
        <w:rPr>
          <w:rFonts w:hint="eastAsia"/>
          <w:kern w:val="0"/>
        </w:rPr>
        <w:t>座</w:t>
      </w:r>
      <w:r>
        <w:rPr>
          <w:szCs w:val="21"/>
        </w:rPr>
        <w:t>；两个厂区</w:t>
      </w:r>
      <w:r>
        <w:rPr>
          <w:rFonts w:hint="eastAsia"/>
          <w:szCs w:val="21"/>
        </w:rPr>
        <w:t>相</w:t>
      </w:r>
      <w:r>
        <w:rPr>
          <w:szCs w:val="21"/>
        </w:rPr>
        <w:t>距约</w:t>
      </w:r>
      <w:r>
        <w:rPr>
          <w:rFonts w:hint="eastAsia"/>
          <w:szCs w:val="21"/>
        </w:rPr>
        <w:t>160</w:t>
      </w:r>
      <w:r>
        <w:rPr>
          <w:szCs w:val="21"/>
        </w:rPr>
        <w:t>m。</w:t>
      </w:r>
    </w:p>
    <w:p w14:paraId="29927EAC">
      <w:pPr>
        <w:pStyle w:val="5"/>
        <w:spacing w:line="240" w:lineRule="auto"/>
        <w:rPr>
          <w:color w:val="auto"/>
        </w:rPr>
      </w:pPr>
      <w:r>
        <w:rPr>
          <w:color w:val="auto"/>
        </w:rPr>
        <w:t>3.</w:t>
      </w:r>
      <w:r>
        <w:rPr>
          <w:rFonts w:hint="eastAsia"/>
          <w:color w:val="auto"/>
        </w:rPr>
        <w:t>1</w:t>
      </w:r>
      <w:r>
        <w:rPr>
          <w:color w:val="auto"/>
        </w:rPr>
        <w:t>.1本项目基本情况</w:t>
      </w:r>
    </w:p>
    <w:p w14:paraId="74124B92">
      <w:pPr>
        <w:adjustRightInd w:val="0"/>
        <w:snapToGrid w:val="0"/>
        <w:spacing w:before="78"/>
        <w:ind w:firstLine="480" w:firstLineChars="200"/>
        <w:rPr>
          <w:kern w:val="0"/>
          <w:sz w:val="24"/>
        </w:rPr>
      </w:pPr>
      <w:r>
        <w:rPr>
          <w:kern w:val="0"/>
          <w:sz w:val="24"/>
        </w:rPr>
        <w:t>本项目基本情况见表3.</w:t>
      </w:r>
      <w:r>
        <w:rPr>
          <w:rFonts w:hint="eastAsia"/>
          <w:kern w:val="0"/>
          <w:sz w:val="24"/>
        </w:rPr>
        <w:t>1</w:t>
      </w:r>
      <w:r>
        <w:rPr>
          <w:kern w:val="0"/>
          <w:sz w:val="24"/>
        </w:rPr>
        <w:t>-1。</w:t>
      </w:r>
    </w:p>
    <w:p w14:paraId="7CEA1DFD">
      <w:pPr>
        <w:pStyle w:val="143"/>
        <w:snapToGrid w:val="0"/>
        <w:spacing w:before="156"/>
        <w:rPr>
          <w:b/>
          <w:bCs w:val="0"/>
        </w:rPr>
      </w:pPr>
      <w:r>
        <w:rPr>
          <w:b/>
          <w:bCs w:val="0"/>
        </w:rPr>
        <w:t>表3.</w:t>
      </w:r>
      <w:r>
        <w:rPr>
          <w:rFonts w:hint="eastAsia"/>
          <w:b/>
          <w:bCs w:val="0"/>
        </w:rPr>
        <w:t>1</w:t>
      </w:r>
      <w:r>
        <w:rPr>
          <w:b/>
          <w:bCs w:val="0"/>
        </w:rPr>
        <w:t>-1  本项目基本情况</w:t>
      </w:r>
    </w:p>
    <w:tbl>
      <w:tblPr>
        <w:tblStyle w:val="89"/>
        <w:tblW w:w="4981"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280"/>
        <w:gridCol w:w="7000"/>
      </w:tblGrid>
      <w:tr w14:paraId="3662307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73" w:type="pct"/>
            <w:tcBorders>
              <w:tl2br w:val="nil"/>
              <w:tr2bl w:val="nil"/>
            </w:tcBorders>
            <w:vAlign w:val="center"/>
          </w:tcPr>
          <w:p w14:paraId="3C8D8027">
            <w:pPr>
              <w:pStyle w:val="160"/>
            </w:pPr>
            <w:r>
              <w:t>项目名称</w:t>
            </w:r>
          </w:p>
        </w:tc>
        <w:tc>
          <w:tcPr>
            <w:tcW w:w="4227" w:type="pct"/>
            <w:tcBorders>
              <w:tl2br w:val="nil"/>
              <w:tr2bl w:val="nil"/>
            </w:tcBorders>
            <w:vAlign w:val="center"/>
          </w:tcPr>
          <w:p w14:paraId="1B7A1AC8">
            <w:pPr>
              <w:pStyle w:val="160"/>
            </w:pPr>
            <w:bookmarkStart w:id="85" w:name="OLE_LINK28"/>
            <w:r>
              <w:t>鸿泽废旧资源利用有限公司</w:t>
            </w:r>
            <w:r>
              <w:rPr>
                <w:rFonts w:hint="eastAsia"/>
              </w:rPr>
              <w:t>矿山</w:t>
            </w:r>
            <w:r>
              <w:t>废弃尾矿综合利用项目</w:t>
            </w:r>
            <w:bookmarkEnd w:id="85"/>
          </w:p>
        </w:tc>
      </w:tr>
      <w:tr w14:paraId="23B1241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73" w:type="pct"/>
            <w:tcBorders>
              <w:tl2br w:val="nil"/>
              <w:tr2bl w:val="nil"/>
            </w:tcBorders>
            <w:vAlign w:val="center"/>
          </w:tcPr>
          <w:p w14:paraId="6FEB1056">
            <w:pPr>
              <w:pStyle w:val="160"/>
            </w:pPr>
            <w:r>
              <w:t>建设单位</w:t>
            </w:r>
          </w:p>
        </w:tc>
        <w:tc>
          <w:tcPr>
            <w:tcW w:w="4227" w:type="pct"/>
            <w:tcBorders>
              <w:tl2br w:val="nil"/>
              <w:tr2bl w:val="nil"/>
            </w:tcBorders>
            <w:vAlign w:val="center"/>
          </w:tcPr>
          <w:p w14:paraId="27DEA6C9">
            <w:pPr>
              <w:pStyle w:val="160"/>
            </w:pPr>
            <w:r>
              <w:t>阜新鸿泽废旧资源利用有限公司</w:t>
            </w:r>
          </w:p>
        </w:tc>
      </w:tr>
      <w:tr w14:paraId="45021FD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73" w:type="pct"/>
            <w:tcBorders>
              <w:tl2br w:val="nil"/>
              <w:tr2bl w:val="nil"/>
            </w:tcBorders>
            <w:vAlign w:val="center"/>
          </w:tcPr>
          <w:p w14:paraId="5DC27399">
            <w:pPr>
              <w:pStyle w:val="160"/>
            </w:pPr>
            <w:r>
              <w:t>建设地点</w:t>
            </w:r>
          </w:p>
        </w:tc>
        <w:tc>
          <w:tcPr>
            <w:tcW w:w="4227" w:type="pct"/>
            <w:tcBorders>
              <w:tl2br w:val="nil"/>
              <w:tr2bl w:val="nil"/>
            </w:tcBorders>
            <w:vAlign w:val="center"/>
          </w:tcPr>
          <w:p w14:paraId="07D9AE58">
            <w:pPr>
              <w:pStyle w:val="160"/>
            </w:pPr>
            <w:bookmarkStart w:id="86" w:name="OLE_LINK31"/>
            <w:r>
              <w:rPr>
                <w:szCs w:val="28"/>
              </w:rPr>
              <w:t>辽宁省阜新市阜新蒙古族自治县旧庙镇</w:t>
            </w:r>
            <w:bookmarkEnd w:id="86"/>
          </w:p>
        </w:tc>
      </w:tr>
      <w:tr w14:paraId="3C656C3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73" w:type="pct"/>
            <w:tcBorders>
              <w:tl2br w:val="nil"/>
              <w:tr2bl w:val="nil"/>
            </w:tcBorders>
            <w:vAlign w:val="center"/>
          </w:tcPr>
          <w:p w14:paraId="7D8B5117">
            <w:pPr>
              <w:pStyle w:val="160"/>
            </w:pPr>
            <w:r>
              <w:t>建设性质</w:t>
            </w:r>
          </w:p>
        </w:tc>
        <w:tc>
          <w:tcPr>
            <w:tcW w:w="4227" w:type="pct"/>
            <w:tcBorders>
              <w:tl2br w:val="nil"/>
              <w:tr2bl w:val="nil"/>
            </w:tcBorders>
            <w:vAlign w:val="center"/>
          </w:tcPr>
          <w:p w14:paraId="64B2DA16">
            <w:pPr>
              <w:pStyle w:val="160"/>
            </w:pPr>
            <w:r>
              <w:rPr>
                <w:rFonts w:hint="eastAsia"/>
              </w:rPr>
              <w:t>新</w:t>
            </w:r>
            <w:r>
              <w:t>建</w:t>
            </w:r>
          </w:p>
        </w:tc>
      </w:tr>
      <w:tr w14:paraId="126A91E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73" w:type="pct"/>
            <w:tcBorders>
              <w:tl2br w:val="nil"/>
              <w:tr2bl w:val="nil"/>
            </w:tcBorders>
            <w:vAlign w:val="center"/>
          </w:tcPr>
          <w:p w14:paraId="19F534E0">
            <w:pPr>
              <w:pStyle w:val="160"/>
            </w:pPr>
            <w:r>
              <w:t>占地面积</w:t>
            </w:r>
          </w:p>
        </w:tc>
        <w:tc>
          <w:tcPr>
            <w:tcW w:w="4227" w:type="pct"/>
            <w:tcBorders>
              <w:tl2br w:val="nil"/>
              <w:tr2bl w:val="nil"/>
            </w:tcBorders>
            <w:vAlign w:val="center"/>
          </w:tcPr>
          <w:p w14:paraId="6EFA465F">
            <w:pPr>
              <w:pStyle w:val="160"/>
            </w:pPr>
            <w:r>
              <w:rPr>
                <w:rFonts w:hint="eastAsia"/>
              </w:rPr>
              <w:t>租用土地</w:t>
            </w:r>
            <w:r>
              <w:t>面积41031m</w:t>
            </w:r>
            <w:r>
              <w:rPr>
                <w:vertAlign w:val="superscript"/>
              </w:rPr>
              <w:t>2</w:t>
            </w:r>
            <w:r>
              <w:t>。</w:t>
            </w:r>
          </w:p>
        </w:tc>
      </w:tr>
      <w:tr w14:paraId="0CCAD61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73" w:type="pct"/>
            <w:tcBorders>
              <w:tl2br w:val="nil"/>
              <w:tr2bl w:val="nil"/>
            </w:tcBorders>
            <w:vAlign w:val="center"/>
          </w:tcPr>
          <w:p w14:paraId="1D6C8AF6">
            <w:pPr>
              <w:pStyle w:val="160"/>
            </w:pPr>
            <w:r>
              <w:t>主要建设内容</w:t>
            </w:r>
          </w:p>
        </w:tc>
        <w:tc>
          <w:tcPr>
            <w:tcW w:w="4227" w:type="pct"/>
            <w:tcBorders>
              <w:tl2br w:val="nil"/>
              <w:tr2bl w:val="nil"/>
            </w:tcBorders>
            <w:vAlign w:val="center"/>
          </w:tcPr>
          <w:p w14:paraId="681BC7BF">
            <w:pPr>
              <w:pStyle w:val="160"/>
            </w:pPr>
            <w:bookmarkStart w:id="87" w:name="OLE_LINK37"/>
            <w:r>
              <w:t>采用</w:t>
            </w:r>
            <w:r>
              <w:rPr>
                <w:rFonts w:hint="eastAsia"/>
              </w:rPr>
              <w:t>“</w:t>
            </w:r>
            <w:r>
              <w:t>筛分+磁选+球磨+重选</w:t>
            </w:r>
            <w:r>
              <w:rPr>
                <w:rFonts w:hint="eastAsia"/>
              </w:rPr>
              <w:t>”</w:t>
            </w:r>
            <w:r>
              <w:t>生产工艺。建设内容包括破碎车间</w:t>
            </w:r>
            <w:r>
              <w:rPr>
                <w:szCs w:val="28"/>
              </w:rPr>
              <w:t>、抛砂车间、</w:t>
            </w:r>
            <w:r>
              <w:rPr>
                <w:szCs w:val="21"/>
              </w:rPr>
              <w:t>球磨车间</w:t>
            </w:r>
            <w:r>
              <w:rPr>
                <w:szCs w:val="28"/>
              </w:rPr>
              <w:t>、</w:t>
            </w:r>
            <w:r>
              <w:rPr>
                <w:szCs w:val="21"/>
              </w:rPr>
              <w:t>重选车间</w:t>
            </w:r>
            <w:r>
              <w:rPr>
                <w:szCs w:val="28"/>
              </w:rPr>
              <w:t>及其附属设施等</w:t>
            </w:r>
            <w:r>
              <w:t>。</w:t>
            </w:r>
            <w:bookmarkEnd w:id="87"/>
          </w:p>
        </w:tc>
      </w:tr>
      <w:tr w14:paraId="0430F0F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73" w:type="pct"/>
            <w:tcBorders>
              <w:tl2br w:val="nil"/>
              <w:tr2bl w:val="nil"/>
            </w:tcBorders>
            <w:vAlign w:val="center"/>
          </w:tcPr>
          <w:p w14:paraId="5C82D7F6">
            <w:pPr>
              <w:pStyle w:val="160"/>
            </w:pPr>
            <w:r>
              <w:t>产品方案</w:t>
            </w:r>
          </w:p>
        </w:tc>
        <w:tc>
          <w:tcPr>
            <w:tcW w:w="4227" w:type="pct"/>
            <w:tcBorders>
              <w:tl2br w:val="nil"/>
              <w:tr2bl w:val="nil"/>
            </w:tcBorders>
            <w:vAlign w:val="center"/>
          </w:tcPr>
          <w:p w14:paraId="22A3E265">
            <w:pPr>
              <w:pStyle w:val="160"/>
            </w:pPr>
            <w:r>
              <w:t>年产</w:t>
            </w:r>
            <w:r>
              <w:rPr>
                <w:szCs w:val="21"/>
              </w:rPr>
              <w:t>钛铁精矿</w:t>
            </w:r>
            <w:r>
              <w:rPr>
                <w:rFonts w:hint="eastAsia"/>
                <w:szCs w:val="21"/>
              </w:rPr>
              <w:t>4</w:t>
            </w:r>
            <w:r>
              <w:t>万t，钒钛磁铁矿</w:t>
            </w:r>
            <w:r>
              <w:rPr>
                <w:rFonts w:hint="eastAsia"/>
                <w:szCs w:val="21"/>
              </w:rPr>
              <w:t>14</w:t>
            </w:r>
            <w:r>
              <w:rPr>
                <w:szCs w:val="21"/>
              </w:rPr>
              <w:t>万t，机制砂</w:t>
            </w:r>
            <w:r>
              <w:rPr>
                <w:rFonts w:hint="eastAsia"/>
                <w:szCs w:val="21"/>
              </w:rPr>
              <w:t>160</w:t>
            </w:r>
            <w:r>
              <w:rPr>
                <w:szCs w:val="21"/>
              </w:rPr>
              <w:t>万t，碎石</w:t>
            </w:r>
            <w:r>
              <w:rPr>
                <w:rFonts w:hint="eastAsia"/>
                <w:szCs w:val="21"/>
              </w:rPr>
              <w:t>38</w:t>
            </w:r>
            <w:r>
              <w:rPr>
                <w:szCs w:val="21"/>
              </w:rPr>
              <w:t>万t。</w:t>
            </w:r>
          </w:p>
        </w:tc>
      </w:tr>
      <w:tr w14:paraId="427BF6A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73" w:type="pct"/>
            <w:tcBorders>
              <w:tl2br w:val="nil"/>
              <w:tr2bl w:val="nil"/>
            </w:tcBorders>
            <w:vAlign w:val="center"/>
          </w:tcPr>
          <w:p w14:paraId="649A11DE">
            <w:pPr>
              <w:pStyle w:val="160"/>
            </w:pPr>
            <w:r>
              <w:t>总投资</w:t>
            </w:r>
          </w:p>
        </w:tc>
        <w:tc>
          <w:tcPr>
            <w:tcW w:w="4227" w:type="pct"/>
            <w:tcBorders>
              <w:tl2br w:val="nil"/>
              <w:tr2bl w:val="nil"/>
            </w:tcBorders>
            <w:vAlign w:val="center"/>
          </w:tcPr>
          <w:p w14:paraId="05AC6A70">
            <w:pPr>
              <w:pStyle w:val="160"/>
            </w:pPr>
            <w:r>
              <w:t>项目总投资</w:t>
            </w:r>
            <w:r>
              <w:rPr>
                <w:rFonts w:hint="eastAsia"/>
              </w:rPr>
              <w:t>9800</w:t>
            </w:r>
            <w:r>
              <w:t>万元。</w:t>
            </w:r>
          </w:p>
        </w:tc>
      </w:tr>
      <w:tr w14:paraId="2BF8AE2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73" w:type="pct"/>
            <w:tcBorders>
              <w:tl2br w:val="nil"/>
              <w:tr2bl w:val="nil"/>
            </w:tcBorders>
            <w:vAlign w:val="center"/>
          </w:tcPr>
          <w:p w14:paraId="28B2EFDD">
            <w:pPr>
              <w:pStyle w:val="160"/>
            </w:pPr>
            <w:r>
              <w:t>工作制度总定员</w:t>
            </w:r>
          </w:p>
        </w:tc>
        <w:tc>
          <w:tcPr>
            <w:tcW w:w="4227" w:type="pct"/>
            <w:tcBorders>
              <w:tl2br w:val="nil"/>
              <w:tr2bl w:val="nil"/>
            </w:tcBorders>
            <w:vAlign w:val="center"/>
          </w:tcPr>
          <w:p w14:paraId="73A8C0C8">
            <w:pPr>
              <w:pStyle w:val="160"/>
            </w:pPr>
            <w:r>
              <w:t>工作3</w:t>
            </w:r>
            <w:r>
              <w:rPr>
                <w:rFonts w:hint="eastAsia"/>
              </w:rPr>
              <w:t>0</w:t>
            </w:r>
            <w:r>
              <w:t>0天，每天三班，每班8小时</w:t>
            </w:r>
            <w:r>
              <w:rPr>
                <w:rFonts w:hint="eastAsia"/>
              </w:rPr>
              <w:t>，</w:t>
            </w:r>
            <w:r>
              <w:t>新增工作人员30人。</w:t>
            </w:r>
          </w:p>
        </w:tc>
      </w:tr>
    </w:tbl>
    <w:p w14:paraId="7E3D9415">
      <w:pPr>
        <w:pStyle w:val="5"/>
        <w:spacing w:line="360" w:lineRule="auto"/>
        <w:rPr>
          <w:color w:val="auto"/>
        </w:rPr>
      </w:pPr>
      <w:r>
        <w:rPr>
          <w:color w:val="auto"/>
        </w:rPr>
        <w:t>3.</w:t>
      </w:r>
      <w:r>
        <w:rPr>
          <w:rFonts w:hint="eastAsia"/>
          <w:color w:val="auto"/>
        </w:rPr>
        <w:t>1.2</w:t>
      </w:r>
      <w:r>
        <w:rPr>
          <w:color w:val="auto"/>
        </w:rPr>
        <w:t>本项目主要工程内容</w:t>
      </w:r>
    </w:p>
    <w:p w14:paraId="1B66F73F">
      <w:pPr>
        <w:adjustRightInd w:val="0"/>
        <w:snapToGrid w:val="0"/>
        <w:spacing w:before="78"/>
        <w:ind w:firstLine="480" w:firstLineChars="200"/>
        <w:rPr>
          <w:kern w:val="0"/>
          <w:sz w:val="24"/>
        </w:rPr>
      </w:pPr>
      <w:r>
        <w:rPr>
          <w:kern w:val="0"/>
          <w:sz w:val="24"/>
        </w:rPr>
        <w:t>本项目由主体工程、公用工程、储运工程、辅助工程、环保工程等组成，分两个厂区建设。1#厂区</w:t>
      </w:r>
      <w:r>
        <w:rPr>
          <w:rFonts w:hint="eastAsia"/>
          <w:kern w:val="0"/>
          <w:sz w:val="24"/>
        </w:rPr>
        <w:t>包括</w:t>
      </w:r>
      <w:r>
        <w:rPr>
          <w:kern w:val="0"/>
          <w:sz w:val="24"/>
        </w:rPr>
        <w:t>抛砂车间1座，球磨车间1座，重选车间1座，</w:t>
      </w:r>
      <w:r>
        <w:rPr>
          <w:rFonts w:hint="eastAsia"/>
          <w:kern w:val="0"/>
          <w:sz w:val="24"/>
        </w:rPr>
        <w:t>机制砂库房1座，循环水池1座，浓缩罐1座，压滤车间1座，</w:t>
      </w:r>
      <w:r>
        <w:rPr>
          <w:kern w:val="0"/>
          <w:sz w:val="24"/>
        </w:rPr>
        <w:t>控制室1座</w:t>
      </w:r>
      <w:r>
        <w:rPr>
          <w:rFonts w:hint="eastAsia"/>
          <w:kern w:val="0"/>
          <w:sz w:val="24"/>
        </w:rPr>
        <w:t>等</w:t>
      </w:r>
      <w:r>
        <w:rPr>
          <w:kern w:val="0"/>
          <w:sz w:val="24"/>
        </w:rPr>
        <w:t>；2#厂区</w:t>
      </w:r>
      <w:r>
        <w:rPr>
          <w:rFonts w:hint="eastAsia"/>
          <w:kern w:val="0"/>
          <w:sz w:val="24"/>
        </w:rPr>
        <w:t>包括</w:t>
      </w:r>
      <w:r>
        <w:rPr>
          <w:kern w:val="0"/>
          <w:sz w:val="24"/>
        </w:rPr>
        <w:t>破碎车间1座，成品仓</w:t>
      </w:r>
      <w:r>
        <w:rPr>
          <w:rFonts w:hint="eastAsia"/>
          <w:kern w:val="0"/>
          <w:sz w:val="24"/>
        </w:rPr>
        <w:t>3座</w:t>
      </w:r>
      <w:r>
        <w:rPr>
          <w:kern w:val="0"/>
          <w:sz w:val="24"/>
        </w:rPr>
        <w:t>等</w:t>
      </w:r>
      <w:r>
        <w:rPr>
          <w:rFonts w:hint="eastAsia"/>
          <w:kern w:val="0"/>
          <w:sz w:val="24"/>
        </w:rPr>
        <w:t>，</w:t>
      </w:r>
      <w:r>
        <w:rPr>
          <w:kern w:val="0"/>
          <w:sz w:val="24"/>
        </w:rPr>
        <w:t>具体建设内容见表3.</w:t>
      </w:r>
      <w:r>
        <w:rPr>
          <w:rFonts w:hint="eastAsia"/>
          <w:kern w:val="0"/>
          <w:sz w:val="24"/>
        </w:rPr>
        <w:t>1-2。</w:t>
      </w:r>
    </w:p>
    <w:p w14:paraId="5827EB0D">
      <w:pPr>
        <w:pStyle w:val="143"/>
        <w:snapToGrid w:val="0"/>
        <w:spacing w:before="156"/>
        <w:rPr>
          <w:b/>
          <w:bCs w:val="0"/>
        </w:rPr>
      </w:pPr>
      <w:r>
        <w:rPr>
          <w:b/>
          <w:bCs w:val="0"/>
        </w:rPr>
        <w:t>表3.</w:t>
      </w:r>
      <w:r>
        <w:rPr>
          <w:rFonts w:hint="eastAsia"/>
          <w:b/>
          <w:bCs w:val="0"/>
        </w:rPr>
        <w:t>1-2</w:t>
      </w:r>
      <w:r>
        <w:rPr>
          <w:b/>
          <w:bCs w:val="0"/>
        </w:rPr>
        <w:t xml:space="preserve">  本项目工程内容组成一览表</w:t>
      </w:r>
    </w:p>
    <w:tbl>
      <w:tblPr>
        <w:tblStyle w:val="89"/>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28" w:type="dxa"/>
          <w:bottom w:w="0" w:type="dxa"/>
          <w:right w:w="28" w:type="dxa"/>
        </w:tblCellMar>
      </w:tblPr>
      <w:tblGrid>
        <w:gridCol w:w="566"/>
        <w:gridCol w:w="977"/>
        <w:gridCol w:w="914"/>
        <w:gridCol w:w="944"/>
        <w:gridCol w:w="3972"/>
        <w:gridCol w:w="936"/>
      </w:tblGrid>
      <w:tr w14:paraId="7FE3522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70" w:hRule="atLeast"/>
          <w:jc w:val="center"/>
        </w:trPr>
        <w:tc>
          <w:tcPr>
            <w:tcW w:w="929" w:type="pct"/>
            <w:gridSpan w:val="2"/>
            <w:tcBorders>
              <w:tl2br w:val="nil"/>
              <w:tr2bl w:val="nil"/>
            </w:tcBorders>
            <w:vAlign w:val="center"/>
          </w:tcPr>
          <w:p w14:paraId="0E713049">
            <w:pPr>
              <w:adjustRightInd w:val="0"/>
              <w:snapToGrid w:val="0"/>
              <w:spacing w:before="0" w:beforeLines="0" w:line="240" w:lineRule="auto"/>
              <w:jc w:val="center"/>
              <w:rPr>
                <w:kern w:val="32"/>
                <w:szCs w:val="21"/>
              </w:rPr>
            </w:pPr>
            <w:r>
              <w:rPr>
                <w:kern w:val="32"/>
                <w:szCs w:val="21"/>
              </w:rPr>
              <w:t>项目</w:t>
            </w:r>
          </w:p>
        </w:tc>
        <w:tc>
          <w:tcPr>
            <w:tcW w:w="3508" w:type="pct"/>
            <w:gridSpan w:val="3"/>
            <w:tcBorders>
              <w:tl2br w:val="nil"/>
              <w:tr2bl w:val="nil"/>
            </w:tcBorders>
            <w:vAlign w:val="center"/>
          </w:tcPr>
          <w:p w14:paraId="27561CD7">
            <w:pPr>
              <w:adjustRightInd w:val="0"/>
              <w:snapToGrid w:val="0"/>
              <w:spacing w:before="0" w:beforeLines="0" w:line="240" w:lineRule="auto"/>
              <w:jc w:val="center"/>
              <w:rPr>
                <w:kern w:val="32"/>
                <w:szCs w:val="21"/>
              </w:rPr>
            </w:pPr>
            <w:r>
              <w:rPr>
                <w:kern w:val="32"/>
                <w:szCs w:val="21"/>
              </w:rPr>
              <w:t>工程内容</w:t>
            </w:r>
          </w:p>
        </w:tc>
        <w:tc>
          <w:tcPr>
            <w:tcW w:w="563" w:type="pct"/>
            <w:tcBorders>
              <w:tl2br w:val="nil"/>
              <w:tr2bl w:val="nil"/>
            </w:tcBorders>
            <w:vAlign w:val="center"/>
          </w:tcPr>
          <w:p w14:paraId="2D9D200D">
            <w:pPr>
              <w:adjustRightInd w:val="0"/>
              <w:snapToGrid w:val="0"/>
              <w:spacing w:before="0" w:beforeLines="0" w:line="240" w:lineRule="auto"/>
              <w:jc w:val="center"/>
              <w:rPr>
                <w:kern w:val="32"/>
                <w:szCs w:val="21"/>
              </w:rPr>
            </w:pPr>
            <w:r>
              <w:rPr>
                <w:kern w:val="32"/>
                <w:szCs w:val="21"/>
              </w:rPr>
              <w:t>备注</w:t>
            </w:r>
          </w:p>
        </w:tc>
      </w:tr>
      <w:tr w14:paraId="68C71AA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852" w:hRule="atLeast"/>
          <w:jc w:val="center"/>
        </w:trPr>
        <w:tc>
          <w:tcPr>
            <w:tcW w:w="341" w:type="pct"/>
            <w:vMerge w:val="restart"/>
            <w:tcBorders>
              <w:tl2br w:val="nil"/>
              <w:tr2bl w:val="nil"/>
            </w:tcBorders>
            <w:vAlign w:val="center"/>
          </w:tcPr>
          <w:p w14:paraId="4ED4CF82">
            <w:pPr>
              <w:adjustRightInd w:val="0"/>
              <w:snapToGrid w:val="0"/>
              <w:spacing w:before="0" w:beforeLines="0" w:line="240" w:lineRule="auto"/>
              <w:jc w:val="center"/>
              <w:rPr>
                <w:kern w:val="32"/>
                <w:szCs w:val="21"/>
              </w:rPr>
            </w:pPr>
            <w:r>
              <w:rPr>
                <w:kern w:val="32"/>
                <w:szCs w:val="21"/>
              </w:rPr>
              <w:t>主体</w:t>
            </w:r>
          </w:p>
          <w:p w14:paraId="55298092">
            <w:pPr>
              <w:adjustRightInd w:val="0"/>
              <w:snapToGrid w:val="0"/>
              <w:spacing w:before="0" w:beforeLines="0" w:line="240" w:lineRule="auto"/>
              <w:jc w:val="center"/>
              <w:rPr>
                <w:kern w:val="32"/>
                <w:szCs w:val="21"/>
              </w:rPr>
            </w:pPr>
            <w:r>
              <w:rPr>
                <w:kern w:val="32"/>
                <w:szCs w:val="21"/>
              </w:rPr>
              <w:t>工程</w:t>
            </w:r>
          </w:p>
        </w:tc>
        <w:tc>
          <w:tcPr>
            <w:tcW w:w="588" w:type="pct"/>
            <w:tcBorders>
              <w:tl2br w:val="nil"/>
              <w:tr2bl w:val="nil"/>
            </w:tcBorders>
            <w:vAlign w:val="center"/>
          </w:tcPr>
          <w:p w14:paraId="343652C8">
            <w:pPr>
              <w:adjustRightInd w:val="0"/>
              <w:snapToGrid w:val="0"/>
              <w:spacing w:before="78" w:line="240" w:lineRule="auto"/>
              <w:jc w:val="center"/>
              <w:rPr>
                <w:kern w:val="32"/>
                <w:szCs w:val="21"/>
              </w:rPr>
            </w:pPr>
            <w:r>
              <w:rPr>
                <w:rFonts w:hint="eastAsia"/>
                <w:szCs w:val="21"/>
              </w:rPr>
              <w:t>抛砂</w:t>
            </w:r>
            <w:r>
              <w:rPr>
                <w:szCs w:val="21"/>
              </w:rPr>
              <w:t>车间</w:t>
            </w:r>
          </w:p>
        </w:tc>
        <w:tc>
          <w:tcPr>
            <w:tcW w:w="3508" w:type="pct"/>
            <w:gridSpan w:val="3"/>
            <w:tcBorders>
              <w:tl2br w:val="nil"/>
              <w:tr2bl w:val="nil"/>
            </w:tcBorders>
            <w:vAlign w:val="center"/>
          </w:tcPr>
          <w:p w14:paraId="23129228">
            <w:pPr>
              <w:adjustRightInd w:val="0"/>
              <w:snapToGrid w:val="0"/>
              <w:spacing w:before="0" w:beforeLines="0" w:line="240" w:lineRule="auto"/>
              <w:jc w:val="left"/>
              <w:rPr>
                <w:kern w:val="32"/>
                <w:szCs w:val="21"/>
              </w:rPr>
            </w:pPr>
            <w:r>
              <w:rPr>
                <w:rFonts w:hint="eastAsia"/>
                <w:kern w:val="32"/>
                <w:szCs w:val="21"/>
              </w:rPr>
              <w:t>总占地面积约6150</w:t>
            </w:r>
            <w:r>
              <w:rPr>
                <w:szCs w:val="21"/>
              </w:rPr>
              <w:t>m</w:t>
            </w:r>
            <w:r>
              <w:rPr>
                <w:szCs w:val="21"/>
                <w:vertAlign w:val="superscript"/>
              </w:rPr>
              <w:t>2</w:t>
            </w:r>
            <w:r>
              <w:rPr>
                <w:szCs w:val="21"/>
              </w:rPr>
              <w:t>，高1</w:t>
            </w:r>
            <w:r>
              <w:rPr>
                <w:rFonts w:hint="eastAsia"/>
                <w:szCs w:val="21"/>
              </w:rPr>
              <w:t>2</w:t>
            </w:r>
            <w:r>
              <w:rPr>
                <w:szCs w:val="21"/>
              </w:rPr>
              <w:t>m。</w:t>
            </w:r>
            <w:r>
              <w:rPr>
                <w:kern w:val="0"/>
                <w:szCs w:val="21"/>
              </w:rPr>
              <w:t>设置</w:t>
            </w:r>
            <w:r>
              <w:rPr>
                <w:rFonts w:hint="eastAsia"/>
                <w:kern w:val="0"/>
                <w:szCs w:val="21"/>
              </w:rPr>
              <w:t>10</w:t>
            </w:r>
            <w:r>
              <w:rPr>
                <w:kern w:val="0"/>
                <w:szCs w:val="21"/>
              </w:rPr>
              <w:t>台</w:t>
            </w:r>
            <w:r>
              <w:rPr>
                <w:szCs w:val="21"/>
              </w:rPr>
              <w:t>振动筛</w:t>
            </w:r>
            <w:r>
              <w:rPr>
                <w:rFonts w:hint="eastAsia"/>
                <w:szCs w:val="21"/>
              </w:rPr>
              <w:t>（5台用于一次筛分，5台用于二次筛分）</w:t>
            </w:r>
            <w:r>
              <w:rPr>
                <w:szCs w:val="21"/>
              </w:rPr>
              <w:t>，5</w:t>
            </w:r>
            <w:r>
              <w:rPr>
                <w:kern w:val="0"/>
                <w:szCs w:val="21"/>
                <w:lang w:bidi="ar"/>
              </w:rPr>
              <w:t>台磁选机，5台</w:t>
            </w:r>
            <w:r>
              <w:rPr>
                <w:szCs w:val="21"/>
              </w:rPr>
              <w:t>抛砂机，2台</w:t>
            </w:r>
            <w:r>
              <w:rPr>
                <w:kern w:val="0"/>
                <w:szCs w:val="21"/>
                <w:lang w:bidi="ar"/>
              </w:rPr>
              <w:t>洗砂机，</w:t>
            </w:r>
            <w:r>
              <w:rPr>
                <w:szCs w:val="21"/>
              </w:rPr>
              <w:t xml:space="preserve"> 2台</w:t>
            </w:r>
            <w:r>
              <w:rPr>
                <w:kern w:val="0"/>
                <w:szCs w:val="21"/>
                <w:lang w:bidi="ar"/>
              </w:rPr>
              <w:t>滤砂机。</w:t>
            </w:r>
          </w:p>
        </w:tc>
        <w:tc>
          <w:tcPr>
            <w:tcW w:w="563" w:type="pct"/>
            <w:tcBorders>
              <w:tl2br w:val="nil"/>
              <w:tr2bl w:val="nil"/>
            </w:tcBorders>
            <w:vAlign w:val="center"/>
          </w:tcPr>
          <w:p w14:paraId="1A7DD7A8">
            <w:pPr>
              <w:adjustRightInd w:val="0"/>
              <w:snapToGrid w:val="0"/>
              <w:spacing w:before="0" w:beforeLines="0" w:line="240" w:lineRule="auto"/>
              <w:jc w:val="center"/>
              <w:rPr>
                <w:kern w:val="32"/>
                <w:szCs w:val="21"/>
              </w:rPr>
            </w:pPr>
            <w:r>
              <w:rPr>
                <w:kern w:val="32"/>
                <w:szCs w:val="21"/>
              </w:rPr>
              <w:t>1#厂区</w:t>
            </w:r>
          </w:p>
        </w:tc>
      </w:tr>
      <w:tr w14:paraId="18CEFD7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57" w:hRule="atLeast"/>
          <w:jc w:val="center"/>
        </w:trPr>
        <w:tc>
          <w:tcPr>
            <w:tcW w:w="341" w:type="pct"/>
            <w:vMerge w:val="continue"/>
            <w:tcBorders>
              <w:tl2br w:val="nil"/>
              <w:tr2bl w:val="nil"/>
            </w:tcBorders>
            <w:vAlign w:val="center"/>
          </w:tcPr>
          <w:p w14:paraId="39574619">
            <w:pPr>
              <w:adjustRightInd w:val="0"/>
              <w:snapToGrid w:val="0"/>
              <w:spacing w:before="0" w:beforeLines="0" w:line="240" w:lineRule="auto"/>
              <w:jc w:val="center"/>
              <w:rPr>
                <w:kern w:val="32"/>
                <w:szCs w:val="21"/>
              </w:rPr>
            </w:pPr>
          </w:p>
        </w:tc>
        <w:tc>
          <w:tcPr>
            <w:tcW w:w="588" w:type="pct"/>
            <w:tcBorders>
              <w:tl2br w:val="nil"/>
              <w:tr2bl w:val="nil"/>
            </w:tcBorders>
            <w:vAlign w:val="center"/>
          </w:tcPr>
          <w:p w14:paraId="64291275">
            <w:pPr>
              <w:adjustRightInd w:val="0"/>
              <w:snapToGrid w:val="0"/>
              <w:spacing w:before="0" w:beforeLines="0" w:line="240" w:lineRule="auto"/>
              <w:jc w:val="center"/>
              <w:rPr>
                <w:kern w:val="32"/>
                <w:szCs w:val="21"/>
              </w:rPr>
            </w:pPr>
            <w:r>
              <w:rPr>
                <w:szCs w:val="21"/>
              </w:rPr>
              <w:t>球磨车间</w:t>
            </w:r>
          </w:p>
        </w:tc>
        <w:tc>
          <w:tcPr>
            <w:tcW w:w="3508" w:type="pct"/>
            <w:gridSpan w:val="3"/>
            <w:tcBorders>
              <w:tl2br w:val="nil"/>
              <w:tr2bl w:val="nil"/>
            </w:tcBorders>
            <w:vAlign w:val="center"/>
          </w:tcPr>
          <w:p w14:paraId="16B6097E">
            <w:pPr>
              <w:wordWrap w:val="0"/>
              <w:snapToGrid w:val="0"/>
              <w:spacing w:before="0" w:beforeLines="0" w:line="240" w:lineRule="auto"/>
              <w:jc w:val="left"/>
              <w:rPr>
                <w:kern w:val="32"/>
                <w:szCs w:val="21"/>
              </w:rPr>
            </w:pPr>
            <w:r>
              <w:rPr>
                <w:szCs w:val="21"/>
              </w:rPr>
              <w:t>占地面积</w:t>
            </w:r>
            <w:r>
              <w:rPr>
                <w:rFonts w:hint="eastAsia"/>
                <w:szCs w:val="21"/>
              </w:rPr>
              <w:t>70</w:t>
            </w:r>
            <w:r>
              <w:rPr>
                <w:szCs w:val="21"/>
              </w:rPr>
              <w:t>0m</w:t>
            </w:r>
            <w:r>
              <w:rPr>
                <w:szCs w:val="21"/>
                <w:vertAlign w:val="superscript"/>
              </w:rPr>
              <w:t>2</w:t>
            </w:r>
            <w:r>
              <w:rPr>
                <w:szCs w:val="21"/>
              </w:rPr>
              <w:t>。</w:t>
            </w:r>
            <w:r>
              <w:rPr>
                <w:kern w:val="0"/>
                <w:szCs w:val="21"/>
              </w:rPr>
              <w:t>设置2台</w:t>
            </w:r>
            <w:r>
              <w:rPr>
                <w:szCs w:val="21"/>
              </w:rPr>
              <w:t>一段球磨机，2台</w:t>
            </w:r>
            <w:r>
              <w:rPr>
                <w:kern w:val="0"/>
                <w:szCs w:val="21"/>
                <w:lang w:bidi="ar"/>
              </w:rPr>
              <w:t>一段磁选机，1台</w:t>
            </w:r>
            <w:r>
              <w:rPr>
                <w:szCs w:val="21"/>
              </w:rPr>
              <w:t>二段球磨机，1台二段磁选机，1台脱水机。</w:t>
            </w:r>
          </w:p>
        </w:tc>
        <w:tc>
          <w:tcPr>
            <w:tcW w:w="563" w:type="pct"/>
            <w:tcBorders>
              <w:tl2br w:val="nil"/>
              <w:tr2bl w:val="nil"/>
            </w:tcBorders>
            <w:vAlign w:val="center"/>
          </w:tcPr>
          <w:p w14:paraId="6096EB55">
            <w:pPr>
              <w:snapToGrid w:val="0"/>
              <w:spacing w:before="0" w:beforeLines="0" w:line="240" w:lineRule="auto"/>
              <w:jc w:val="center"/>
              <w:rPr>
                <w:szCs w:val="21"/>
              </w:rPr>
            </w:pPr>
            <w:r>
              <w:rPr>
                <w:kern w:val="32"/>
                <w:szCs w:val="21"/>
              </w:rPr>
              <w:t>1#厂区</w:t>
            </w:r>
          </w:p>
        </w:tc>
      </w:tr>
      <w:tr w14:paraId="2D9D7BD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57" w:hRule="atLeast"/>
          <w:jc w:val="center"/>
        </w:trPr>
        <w:tc>
          <w:tcPr>
            <w:tcW w:w="341" w:type="pct"/>
            <w:vMerge w:val="continue"/>
            <w:tcBorders>
              <w:tl2br w:val="nil"/>
              <w:tr2bl w:val="nil"/>
            </w:tcBorders>
            <w:vAlign w:val="center"/>
          </w:tcPr>
          <w:p w14:paraId="57DD7832">
            <w:pPr>
              <w:adjustRightInd w:val="0"/>
              <w:snapToGrid w:val="0"/>
              <w:spacing w:before="0" w:beforeLines="0" w:line="240" w:lineRule="auto"/>
              <w:jc w:val="center"/>
              <w:rPr>
                <w:kern w:val="32"/>
                <w:szCs w:val="21"/>
              </w:rPr>
            </w:pPr>
          </w:p>
        </w:tc>
        <w:tc>
          <w:tcPr>
            <w:tcW w:w="588" w:type="pct"/>
            <w:tcBorders>
              <w:tl2br w:val="nil"/>
              <w:tr2bl w:val="nil"/>
            </w:tcBorders>
            <w:vAlign w:val="center"/>
          </w:tcPr>
          <w:p w14:paraId="6658ED14">
            <w:pPr>
              <w:adjustRightInd w:val="0"/>
              <w:snapToGrid w:val="0"/>
              <w:spacing w:before="0" w:beforeLines="0" w:line="240" w:lineRule="auto"/>
              <w:jc w:val="center"/>
              <w:rPr>
                <w:kern w:val="32"/>
                <w:szCs w:val="21"/>
              </w:rPr>
            </w:pPr>
            <w:r>
              <w:rPr>
                <w:szCs w:val="21"/>
              </w:rPr>
              <w:t>重选车间</w:t>
            </w:r>
          </w:p>
        </w:tc>
        <w:tc>
          <w:tcPr>
            <w:tcW w:w="3508" w:type="pct"/>
            <w:gridSpan w:val="3"/>
            <w:tcBorders>
              <w:tl2br w:val="nil"/>
              <w:tr2bl w:val="nil"/>
            </w:tcBorders>
            <w:vAlign w:val="center"/>
          </w:tcPr>
          <w:p w14:paraId="7C8C0D13">
            <w:pPr>
              <w:adjustRightInd w:val="0"/>
              <w:snapToGrid w:val="0"/>
              <w:spacing w:before="0" w:beforeLines="0" w:line="240" w:lineRule="auto"/>
              <w:rPr>
                <w:kern w:val="32"/>
                <w:szCs w:val="21"/>
              </w:rPr>
            </w:pPr>
            <w:r>
              <w:rPr>
                <w:szCs w:val="21"/>
              </w:rPr>
              <w:t>占地面积</w:t>
            </w:r>
            <w:r>
              <w:rPr>
                <w:rFonts w:hint="eastAsia"/>
                <w:szCs w:val="21"/>
              </w:rPr>
              <w:t>1350</w:t>
            </w:r>
            <w:r>
              <w:rPr>
                <w:szCs w:val="21"/>
              </w:rPr>
              <w:t>m</w:t>
            </w:r>
            <w:r>
              <w:rPr>
                <w:szCs w:val="21"/>
                <w:vertAlign w:val="superscript"/>
              </w:rPr>
              <w:t>2</w:t>
            </w:r>
            <w:r>
              <w:rPr>
                <w:szCs w:val="21"/>
              </w:rPr>
              <w:t>。设有2台强磁选机，1台弱磁选机，1台脱水机，320台螺旋溜槽。</w:t>
            </w:r>
          </w:p>
        </w:tc>
        <w:tc>
          <w:tcPr>
            <w:tcW w:w="563" w:type="pct"/>
            <w:tcBorders>
              <w:tl2br w:val="nil"/>
              <w:tr2bl w:val="nil"/>
            </w:tcBorders>
            <w:vAlign w:val="center"/>
          </w:tcPr>
          <w:p w14:paraId="23DE98ED">
            <w:pPr>
              <w:adjustRightInd w:val="0"/>
              <w:snapToGrid w:val="0"/>
              <w:spacing w:before="0" w:beforeLines="0" w:line="240" w:lineRule="auto"/>
              <w:jc w:val="center"/>
              <w:rPr>
                <w:szCs w:val="21"/>
              </w:rPr>
            </w:pPr>
            <w:r>
              <w:rPr>
                <w:kern w:val="32"/>
                <w:szCs w:val="21"/>
              </w:rPr>
              <w:t>1#厂区</w:t>
            </w:r>
          </w:p>
        </w:tc>
      </w:tr>
      <w:tr w14:paraId="407910C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57" w:hRule="atLeast"/>
          <w:jc w:val="center"/>
        </w:trPr>
        <w:tc>
          <w:tcPr>
            <w:tcW w:w="341" w:type="pct"/>
            <w:vMerge w:val="continue"/>
            <w:tcBorders>
              <w:tl2br w:val="nil"/>
              <w:tr2bl w:val="nil"/>
            </w:tcBorders>
            <w:vAlign w:val="center"/>
          </w:tcPr>
          <w:p w14:paraId="0DA596DE">
            <w:pPr>
              <w:adjustRightInd w:val="0"/>
              <w:snapToGrid w:val="0"/>
              <w:spacing w:before="0" w:beforeLines="0" w:line="240" w:lineRule="auto"/>
              <w:jc w:val="center"/>
              <w:rPr>
                <w:kern w:val="32"/>
                <w:szCs w:val="21"/>
              </w:rPr>
            </w:pPr>
          </w:p>
        </w:tc>
        <w:tc>
          <w:tcPr>
            <w:tcW w:w="588" w:type="pct"/>
            <w:tcBorders>
              <w:tl2br w:val="nil"/>
              <w:tr2bl w:val="nil"/>
            </w:tcBorders>
            <w:vAlign w:val="center"/>
          </w:tcPr>
          <w:p w14:paraId="2499845D">
            <w:pPr>
              <w:adjustRightInd w:val="0"/>
              <w:snapToGrid w:val="0"/>
              <w:spacing w:before="0" w:beforeLines="0" w:line="240" w:lineRule="auto"/>
              <w:jc w:val="center"/>
              <w:rPr>
                <w:szCs w:val="21"/>
              </w:rPr>
            </w:pPr>
            <w:r>
              <w:rPr>
                <w:rFonts w:hint="eastAsia"/>
                <w:szCs w:val="21"/>
              </w:rPr>
              <w:t>压滤车间</w:t>
            </w:r>
          </w:p>
        </w:tc>
        <w:tc>
          <w:tcPr>
            <w:tcW w:w="3508" w:type="pct"/>
            <w:gridSpan w:val="3"/>
            <w:tcBorders>
              <w:tl2br w:val="nil"/>
              <w:tr2bl w:val="nil"/>
            </w:tcBorders>
            <w:vAlign w:val="center"/>
          </w:tcPr>
          <w:p w14:paraId="3077A2BA">
            <w:pPr>
              <w:adjustRightInd w:val="0"/>
              <w:snapToGrid w:val="0"/>
              <w:spacing w:before="0" w:beforeLines="0" w:line="240" w:lineRule="auto"/>
              <w:rPr>
                <w:szCs w:val="21"/>
              </w:rPr>
            </w:pPr>
            <w:r>
              <w:rPr>
                <w:rFonts w:hint="eastAsia"/>
                <w:szCs w:val="21"/>
              </w:rPr>
              <w:t>占地200m</w:t>
            </w:r>
            <w:r>
              <w:rPr>
                <w:rFonts w:hint="eastAsia"/>
                <w:szCs w:val="21"/>
                <w:vertAlign w:val="superscript"/>
              </w:rPr>
              <w:t>2</w:t>
            </w:r>
            <w:r>
              <w:rPr>
                <w:rFonts w:hint="eastAsia"/>
                <w:szCs w:val="21"/>
              </w:rPr>
              <w:t>，1层钢结构，内置2台板框压滤机，用于污泥的压滤。</w:t>
            </w:r>
          </w:p>
        </w:tc>
        <w:tc>
          <w:tcPr>
            <w:tcW w:w="563" w:type="pct"/>
            <w:tcBorders>
              <w:tl2br w:val="nil"/>
              <w:tr2bl w:val="nil"/>
            </w:tcBorders>
            <w:vAlign w:val="center"/>
          </w:tcPr>
          <w:p w14:paraId="78AA8339">
            <w:pPr>
              <w:adjustRightInd w:val="0"/>
              <w:snapToGrid w:val="0"/>
              <w:spacing w:before="0" w:beforeLines="0" w:line="240" w:lineRule="auto"/>
              <w:jc w:val="center"/>
              <w:rPr>
                <w:kern w:val="32"/>
                <w:szCs w:val="21"/>
              </w:rPr>
            </w:pPr>
            <w:r>
              <w:rPr>
                <w:kern w:val="32"/>
                <w:szCs w:val="21"/>
              </w:rPr>
              <w:t>1#厂区</w:t>
            </w:r>
          </w:p>
        </w:tc>
      </w:tr>
      <w:tr w14:paraId="5E1A1EA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57" w:hRule="atLeast"/>
          <w:jc w:val="center"/>
        </w:trPr>
        <w:tc>
          <w:tcPr>
            <w:tcW w:w="341" w:type="pct"/>
            <w:vMerge w:val="continue"/>
            <w:tcBorders>
              <w:tl2br w:val="nil"/>
              <w:tr2bl w:val="nil"/>
            </w:tcBorders>
            <w:vAlign w:val="center"/>
          </w:tcPr>
          <w:p w14:paraId="7F847714">
            <w:pPr>
              <w:adjustRightInd w:val="0"/>
              <w:snapToGrid w:val="0"/>
              <w:spacing w:before="0" w:beforeLines="0" w:line="240" w:lineRule="auto"/>
              <w:jc w:val="center"/>
              <w:rPr>
                <w:kern w:val="32"/>
                <w:szCs w:val="21"/>
              </w:rPr>
            </w:pPr>
          </w:p>
        </w:tc>
        <w:tc>
          <w:tcPr>
            <w:tcW w:w="588" w:type="pct"/>
            <w:tcBorders>
              <w:tl2br w:val="nil"/>
              <w:tr2bl w:val="nil"/>
            </w:tcBorders>
            <w:vAlign w:val="center"/>
          </w:tcPr>
          <w:p w14:paraId="17D93899">
            <w:pPr>
              <w:adjustRightInd w:val="0"/>
              <w:snapToGrid w:val="0"/>
              <w:spacing w:before="0" w:beforeLines="0" w:line="240" w:lineRule="auto"/>
              <w:jc w:val="center"/>
              <w:rPr>
                <w:szCs w:val="21"/>
              </w:rPr>
            </w:pPr>
            <w:r>
              <w:rPr>
                <w:szCs w:val="21"/>
              </w:rPr>
              <w:t>破碎车间</w:t>
            </w:r>
          </w:p>
        </w:tc>
        <w:tc>
          <w:tcPr>
            <w:tcW w:w="3508" w:type="pct"/>
            <w:gridSpan w:val="3"/>
            <w:tcBorders>
              <w:tl2br w:val="nil"/>
              <w:tr2bl w:val="nil"/>
            </w:tcBorders>
            <w:vAlign w:val="center"/>
          </w:tcPr>
          <w:p w14:paraId="035D02A7">
            <w:pPr>
              <w:adjustRightInd w:val="0"/>
              <w:snapToGrid w:val="0"/>
              <w:spacing w:before="0" w:beforeLines="0" w:line="240" w:lineRule="auto"/>
              <w:rPr>
                <w:szCs w:val="21"/>
              </w:rPr>
            </w:pPr>
            <w:r>
              <w:rPr>
                <w:szCs w:val="21"/>
              </w:rPr>
              <w:t>占地面积10800m</w:t>
            </w:r>
            <w:r>
              <w:rPr>
                <w:szCs w:val="21"/>
                <w:vertAlign w:val="superscript"/>
              </w:rPr>
              <w:t>2</w:t>
            </w:r>
            <w:r>
              <w:rPr>
                <w:szCs w:val="21"/>
              </w:rPr>
              <w:t>，高10m</w:t>
            </w:r>
            <w:r>
              <w:rPr>
                <w:kern w:val="0"/>
                <w:szCs w:val="21"/>
              </w:rPr>
              <w:t>。设置</w:t>
            </w:r>
            <w:r>
              <w:rPr>
                <w:szCs w:val="21"/>
              </w:rPr>
              <w:t>5台</w:t>
            </w:r>
            <w:r>
              <w:rPr>
                <w:kern w:val="0"/>
                <w:szCs w:val="21"/>
                <w:lang w:bidi="ar"/>
              </w:rPr>
              <w:t>颚式破碎机，5台圆锥破碎机，5台一段干选磁选机，1台二段干选磁选机，1台</w:t>
            </w:r>
            <w:r>
              <w:rPr>
                <w:szCs w:val="21"/>
              </w:rPr>
              <w:t>破碎机，2台</w:t>
            </w:r>
            <w:r>
              <w:rPr>
                <w:kern w:val="0"/>
                <w:szCs w:val="21"/>
                <w:lang w:bidi="ar"/>
              </w:rPr>
              <w:t>振动筛。</w:t>
            </w:r>
          </w:p>
        </w:tc>
        <w:tc>
          <w:tcPr>
            <w:tcW w:w="563" w:type="pct"/>
            <w:tcBorders>
              <w:tl2br w:val="nil"/>
              <w:tr2bl w:val="nil"/>
            </w:tcBorders>
            <w:vAlign w:val="center"/>
          </w:tcPr>
          <w:p w14:paraId="223B7592">
            <w:pPr>
              <w:adjustRightInd w:val="0"/>
              <w:snapToGrid w:val="0"/>
              <w:spacing w:before="0" w:beforeLines="0" w:line="240" w:lineRule="auto"/>
              <w:jc w:val="center"/>
              <w:rPr>
                <w:kern w:val="32"/>
                <w:szCs w:val="21"/>
              </w:rPr>
            </w:pPr>
            <w:r>
              <w:rPr>
                <w:kern w:val="32"/>
                <w:szCs w:val="21"/>
              </w:rPr>
              <w:t>2#厂区</w:t>
            </w:r>
          </w:p>
        </w:tc>
      </w:tr>
      <w:tr w14:paraId="1351F4F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144" w:hRule="atLeast"/>
          <w:jc w:val="center"/>
        </w:trPr>
        <w:tc>
          <w:tcPr>
            <w:tcW w:w="341" w:type="pct"/>
            <w:vMerge w:val="restart"/>
            <w:tcBorders>
              <w:tl2br w:val="nil"/>
              <w:tr2bl w:val="nil"/>
            </w:tcBorders>
            <w:vAlign w:val="center"/>
          </w:tcPr>
          <w:p w14:paraId="2B16EAD9">
            <w:pPr>
              <w:adjustRightInd w:val="0"/>
              <w:snapToGrid w:val="0"/>
              <w:spacing w:before="0" w:beforeLines="0" w:line="240" w:lineRule="auto"/>
              <w:jc w:val="center"/>
              <w:rPr>
                <w:kern w:val="32"/>
                <w:szCs w:val="21"/>
              </w:rPr>
            </w:pPr>
            <w:r>
              <w:rPr>
                <w:kern w:val="32"/>
                <w:szCs w:val="21"/>
              </w:rPr>
              <w:t>储运</w:t>
            </w:r>
          </w:p>
          <w:p w14:paraId="293C5C2D">
            <w:pPr>
              <w:adjustRightInd w:val="0"/>
              <w:snapToGrid w:val="0"/>
              <w:spacing w:before="0" w:beforeLines="0" w:line="240" w:lineRule="auto"/>
              <w:jc w:val="center"/>
              <w:rPr>
                <w:kern w:val="32"/>
                <w:szCs w:val="21"/>
              </w:rPr>
            </w:pPr>
            <w:r>
              <w:rPr>
                <w:kern w:val="32"/>
                <w:szCs w:val="21"/>
              </w:rPr>
              <w:t>工程</w:t>
            </w:r>
          </w:p>
        </w:tc>
        <w:tc>
          <w:tcPr>
            <w:tcW w:w="588" w:type="pct"/>
            <w:tcBorders>
              <w:tl2br w:val="nil"/>
              <w:tr2bl w:val="nil"/>
            </w:tcBorders>
            <w:vAlign w:val="center"/>
          </w:tcPr>
          <w:p w14:paraId="0BA8FFEB">
            <w:pPr>
              <w:adjustRightInd w:val="0"/>
              <w:snapToGrid w:val="0"/>
              <w:spacing w:before="0" w:beforeLines="0" w:line="240" w:lineRule="auto"/>
              <w:jc w:val="center"/>
              <w:rPr>
                <w:kern w:val="32"/>
                <w:szCs w:val="21"/>
              </w:rPr>
            </w:pPr>
            <w:r>
              <w:rPr>
                <w:rFonts w:hint="eastAsia"/>
                <w:kern w:val="32"/>
                <w:szCs w:val="21"/>
              </w:rPr>
              <w:t>原料装卸区</w:t>
            </w:r>
          </w:p>
        </w:tc>
        <w:tc>
          <w:tcPr>
            <w:tcW w:w="3508" w:type="pct"/>
            <w:gridSpan w:val="3"/>
            <w:tcBorders>
              <w:tl2br w:val="nil"/>
              <w:tr2bl w:val="nil"/>
            </w:tcBorders>
            <w:vAlign w:val="center"/>
          </w:tcPr>
          <w:p w14:paraId="6D6E9E7A">
            <w:pPr>
              <w:adjustRightInd w:val="0"/>
              <w:snapToGrid w:val="0"/>
              <w:spacing w:before="0" w:beforeLines="0" w:line="240" w:lineRule="auto"/>
              <w:rPr>
                <w:kern w:val="32"/>
                <w:szCs w:val="21"/>
              </w:rPr>
            </w:pPr>
            <w:r>
              <w:rPr>
                <w:rFonts w:hint="eastAsia"/>
                <w:kern w:val="32"/>
                <w:szCs w:val="21"/>
              </w:rPr>
              <w:t>生产过程原料直接从废石和尾矿堆运输至厂区，不在车间内长期储存，仅将原料卸车于抛砂车间内东侧原料装卸区，即原料随用随运，不储存。</w:t>
            </w:r>
          </w:p>
        </w:tc>
        <w:tc>
          <w:tcPr>
            <w:tcW w:w="563" w:type="pct"/>
            <w:tcBorders>
              <w:tl2br w:val="nil"/>
              <w:tr2bl w:val="nil"/>
            </w:tcBorders>
            <w:vAlign w:val="center"/>
          </w:tcPr>
          <w:p w14:paraId="47C2B2CB">
            <w:pPr>
              <w:adjustRightInd w:val="0"/>
              <w:snapToGrid w:val="0"/>
              <w:spacing w:before="0" w:beforeLines="0" w:line="240" w:lineRule="auto"/>
              <w:jc w:val="center"/>
              <w:rPr>
                <w:kern w:val="32"/>
                <w:szCs w:val="21"/>
              </w:rPr>
            </w:pPr>
            <w:r>
              <w:rPr>
                <w:kern w:val="32"/>
                <w:szCs w:val="21"/>
              </w:rPr>
              <w:t>1#厂区</w:t>
            </w:r>
          </w:p>
        </w:tc>
      </w:tr>
      <w:tr w14:paraId="36DFBC2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144" w:hRule="atLeast"/>
          <w:jc w:val="center"/>
        </w:trPr>
        <w:tc>
          <w:tcPr>
            <w:tcW w:w="341" w:type="pct"/>
            <w:vMerge w:val="continue"/>
            <w:tcBorders>
              <w:tl2br w:val="nil"/>
              <w:tr2bl w:val="nil"/>
            </w:tcBorders>
            <w:vAlign w:val="center"/>
          </w:tcPr>
          <w:p w14:paraId="4A3015DA">
            <w:pPr>
              <w:adjustRightInd w:val="0"/>
              <w:snapToGrid w:val="0"/>
              <w:spacing w:before="0" w:beforeLines="0" w:line="240" w:lineRule="auto"/>
              <w:jc w:val="center"/>
              <w:rPr>
                <w:kern w:val="32"/>
                <w:szCs w:val="21"/>
              </w:rPr>
            </w:pPr>
          </w:p>
        </w:tc>
        <w:tc>
          <w:tcPr>
            <w:tcW w:w="588" w:type="pct"/>
            <w:tcBorders>
              <w:tl2br w:val="nil"/>
              <w:tr2bl w:val="nil"/>
            </w:tcBorders>
            <w:vAlign w:val="center"/>
          </w:tcPr>
          <w:p w14:paraId="31C32FC7">
            <w:pPr>
              <w:adjustRightInd w:val="0"/>
              <w:snapToGrid w:val="0"/>
              <w:spacing w:before="0" w:beforeLines="0" w:line="240" w:lineRule="auto"/>
              <w:jc w:val="center"/>
              <w:rPr>
                <w:kern w:val="32"/>
                <w:szCs w:val="21"/>
              </w:rPr>
            </w:pPr>
            <w:r>
              <w:rPr>
                <w:rFonts w:hint="eastAsia"/>
                <w:kern w:val="32"/>
                <w:szCs w:val="21"/>
              </w:rPr>
              <w:t>机制砂库房</w:t>
            </w:r>
          </w:p>
        </w:tc>
        <w:tc>
          <w:tcPr>
            <w:tcW w:w="3508" w:type="pct"/>
            <w:gridSpan w:val="3"/>
            <w:tcBorders>
              <w:tl2br w:val="nil"/>
              <w:tr2bl w:val="nil"/>
            </w:tcBorders>
            <w:vAlign w:val="center"/>
          </w:tcPr>
          <w:p w14:paraId="280CA821">
            <w:pPr>
              <w:adjustRightInd w:val="0"/>
              <w:snapToGrid w:val="0"/>
              <w:spacing w:before="0" w:beforeLines="0" w:line="240" w:lineRule="auto"/>
              <w:rPr>
                <w:kern w:val="32"/>
                <w:szCs w:val="21"/>
              </w:rPr>
            </w:pPr>
            <w:r>
              <w:rPr>
                <w:rFonts w:hint="eastAsia"/>
                <w:kern w:val="32"/>
                <w:szCs w:val="21"/>
              </w:rPr>
              <w:t>产品库房位于1#厂区南侧，1层彩钢结构，尺寸为60m×25m×10m，可以满足机制砂4天储存周期。</w:t>
            </w:r>
          </w:p>
        </w:tc>
        <w:tc>
          <w:tcPr>
            <w:tcW w:w="563" w:type="pct"/>
            <w:tcBorders>
              <w:tl2br w:val="nil"/>
              <w:tr2bl w:val="nil"/>
            </w:tcBorders>
            <w:vAlign w:val="center"/>
          </w:tcPr>
          <w:p w14:paraId="089AD4BB">
            <w:pPr>
              <w:adjustRightInd w:val="0"/>
              <w:snapToGrid w:val="0"/>
              <w:spacing w:before="0" w:beforeLines="0" w:line="240" w:lineRule="auto"/>
              <w:jc w:val="center"/>
              <w:rPr>
                <w:kern w:val="32"/>
                <w:szCs w:val="21"/>
              </w:rPr>
            </w:pPr>
            <w:r>
              <w:rPr>
                <w:kern w:val="32"/>
                <w:szCs w:val="21"/>
              </w:rPr>
              <w:t>1#厂区</w:t>
            </w:r>
          </w:p>
        </w:tc>
      </w:tr>
      <w:tr w14:paraId="2A277C8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79" w:hRule="atLeast"/>
          <w:jc w:val="center"/>
        </w:trPr>
        <w:tc>
          <w:tcPr>
            <w:tcW w:w="341" w:type="pct"/>
            <w:vMerge w:val="continue"/>
            <w:tcBorders>
              <w:tl2br w:val="nil"/>
              <w:tr2bl w:val="nil"/>
            </w:tcBorders>
            <w:vAlign w:val="center"/>
          </w:tcPr>
          <w:p w14:paraId="38BE14E0">
            <w:pPr>
              <w:adjustRightInd w:val="0"/>
              <w:snapToGrid w:val="0"/>
              <w:spacing w:before="0" w:beforeLines="0" w:line="240" w:lineRule="auto"/>
              <w:jc w:val="center"/>
              <w:rPr>
                <w:kern w:val="32"/>
                <w:szCs w:val="21"/>
              </w:rPr>
            </w:pPr>
          </w:p>
        </w:tc>
        <w:tc>
          <w:tcPr>
            <w:tcW w:w="588" w:type="pct"/>
            <w:tcBorders>
              <w:tl2br w:val="nil"/>
              <w:tr2bl w:val="nil"/>
            </w:tcBorders>
            <w:vAlign w:val="center"/>
          </w:tcPr>
          <w:p w14:paraId="6F33A253">
            <w:pPr>
              <w:adjustRightInd w:val="0"/>
              <w:snapToGrid w:val="0"/>
              <w:spacing w:before="0" w:beforeLines="0" w:line="240" w:lineRule="auto"/>
              <w:jc w:val="center"/>
              <w:rPr>
                <w:kern w:val="32"/>
                <w:szCs w:val="21"/>
              </w:rPr>
            </w:pPr>
            <w:r>
              <w:rPr>
                <w:rFonts w:hint="eastAsia"/>
                <w:szCs w:val="21"/>
              </w:rPr>
              <w:t>循环</w:t>
            </w:r>
            <w:r>
              <w:rPr>
                <w:szCs w:val="21"/>
              </w:rPr>
              <w:t>水池</w:t>
            </w:r>
          </w:p>
        </w:tc>
        <w:tc>
          <w:tcPr>
            <w:tcW w:w="3508" w:type="pct"/>
            <w:gridSpan w:val="3"/>
            <w:tcBorders>
              <w:tl2br w:val="nil"/>
              <w:tr2bl w:val="nil"/>
            </w:tcBorders>
            <w:vAlign w:val="center"/>
          </w:tcPr>
          <w:p w14:paraId="2AE738E6">
            <w:pPr>
              <w:adjustRightInd w:val="0"/>
              <w:snapToGrid w:val="0"/>
              <w:spacing w:before="0" w:beforeLines="0" w:line="240" w:lineRule="auto"/>
              <w:rPr>
                <w:kern w:val="32"/>
                <w:szCs w:val="21"/>
              </w:rPr>
            </w:pPr>
            <w:r>
              <w:rPr>
                <w:szCs w:val="21"/>
              </w:rPr>
              <w:t>暂存脱水机排放的废水</w:t>
            </w:r>
            <w:r>
              <w:rPr>
                <w:rFonts w:hint="eastAsia"/>
                <w:szCs w:val="21"/>
              </w:rPr>
              <w:t>，循环水池尺寸为</w:t>
            </w:r>
            <w:r>
              <w:rPr>
                <w:szCs w:val="21"/>
              </w:rPr>
              <w:t>75×10×5=3750m</w:t>
            </w:r>
            <w:r>
              <w:rPr>
                <w:szCs w:val="21"/>
                <w:vertAlign w:val="superscript"/>
              </w:rPr>
              <w:t>3</w:t>
            </w:r>
            <w:r>
              <w:rPr>
                <w:rFonts w:hint="eastAsia"/>
                <w:szCs w:val="21"/>
              </w:rPr>
              <w:t>，经沉淀产生的清水回用于生产。</w:t>
            </w:r>
          </w:p>
        </w:tc>
        <w:tc>
          <w:tcPr>
            <w:tcW w:w="563" w:type="pct"/>
            <w:tcBorders>
              <w:tl2br w:val="nil"/>
              <w:tr2bl w:val="nil"/>
            </w:tcBorders>
            <w:vAlign w:val="center"/>
          </w:tcPr>
          <w:p w14:paraId="037E9504">
            <w:pPr>
              <w:adjustRightInd w:val="0"/>
              <w:snapToGrid w:val="0"/>
              <w:spacing w:before="0" w:beforeLines="0" w:line="240" w:lineRule="auto"/>
              <w:jc w:val="center"/>
              <w:rPr>
                <w:kern w:val="0"/>
                <w:szCs w:val="21"/>
              </w:rPr>
            </w:pPr>
            <w:r>
              <w:rPr>
                <w:kern w:val="32"/>
                <w:szCs w:val="21"/>
              </w:rPr>
              <w:t>1#厂区</w:t>
            </w:r>
          </w:p>
        </w:tc>
      </w:tr>
      <w:tr w14:paraId="2440791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79" w:hRule="atLeast"/>
          <w:jc w:val="center"/>
        </w:trPr>
        <w:tc>
          <w:tcPr>
            <w:tcW w:w="341" w:type="pct"/>
            <w:vMerge w:val="continue"/>
            <w:tcBorders>
              <w:tl2br w:val="nil"/>
              <w:tr2bl w:val="nil"/>
            </w:tcBorders>
            <w:vAlign w:val="center"/>
          </w:tcPr>
          <w:p w14:paraId="47E19BEA">
            <w:pPr>
              <w:adjustRightInd w:val="0"/>
              <w:snapToGrid w:val="0"/>
              <w:spacing w:before="0" w:beforeLines="0" w:line="240" w:lineRule="auto"/>
              <w:jc w:val="center"/>
              <w:rPr>
                <w:kern w:val="32"/>
                <w:szCs w:val="21"/>
              </w:rPr>
            </w:pPr>
          </w:p>
        </w:tc>
        <w:tc>
          <w:tcPr>
            <w:tcW w:w="588" w:type="pct"/>
            <w:tcBorders>
              <w:tl2br w:val="nil"/>
              <w:tr2bl w:val="nil"/>
            </w:tcBorders>
            <w:vAlign w:val="center"/>
          </w:tcPr>
          <w:p w14:paraId="35273B6C">
            <w:pPr>
              <w:adjustRightInd w:val="0"/>
              <w:snapToGrid w:val="0"/>
              <w:spacing w:before="0" w:beforeLines="0" w:line="240" w:lineRule="auto"/>
              <w:jc w:val="center"/>
              <w:rPr>
                <w:szCs w:val="21"/>
              </w:rPr>
            </w:pPr>
            <w:r>
              <w:rPr>
                <w:rFonts w:hint="eastAsia"/>
                <w:szCs w:val="21"/>
              </w:rPr>
              <w:t>铁精矿储仓</w:t>
            </w:r>
          </w:p>
        </w:tc>
        <w:tc>
          <w:tcPr>
            <w:tcW w:w="3508" w:type="pct"/>
            <w:gridSpan w:val="3"/>
            <w:tcBorders>
              <w:tl2br w:val="nil"/>
              <w:tr2bl w:val="nil"/>
            </w:tcBorders>
            <w:vAlign w:val="center"/>
          </w:tcPr>
          <w:p w14:paraId="3D1F68CA">
            <w:pPr>
              <w:adjustRightInd w:val="0"/>
              <w:snapToGrid w:val="0"/>
              <w:spacing w:before="0" w:beforeLines="0" w:line="240" w:lineRule="auto"/>
              <w:rPr>
                <w:kern w:val="0"/>
                <w:szCs w:val="21"/>
              </w:rPr>
            </w:pPr>
            <w:r>
              <w:rPr>
                <w:rFonts w:hint="eastAsia"/>
                <w:szCs w:val="21"/>
              </w:rPr>
              <w:t>4座储仓，</w:t>
            </w:r>
            <w:r>
              <w:rPr>
                <w:szCs w:val="21"/>
              </w:rPr>
              <w:t>规格为</w:t>
            </w:r>
            <w:bookmarkStart w:id="88" w:name="OLE_LINK18"/>
            <w:r>
              <w:rPr>
                <w:kern w:val="32"/>
                <w:szCs w:val="21"/>
              </w:rPr>
              <w:t>Φ</w:t>
            </w:r>
            <w:r>
              <w:rPr>
                <w:rFonts w:hint="eastAsia"/>
                <w:kern w:val="32"/>
                <w:szCs w:val="21"/>
              </w:rPr>
              <w:t>6</w:t>
            </w:r>
            <w:r>
              <w:rPr>
                <w:kern w:val="32"/>
                <w:szCs w:val="21"/>
              </w:rPr>
              <w:t>×</w:t>
            </w:r>
            <w:r>
              <w:rPr>
                <w:rFonts w:hint="eastAsia"/>
                <w:kern w:val="32"/>
                <w:szCs w:val="21"/>
              </w:rPr>
              <w:t>12</w:t>
            </w:r>
            <w:r>
              <w:rPr>
                <w:kern w:val="32"/>
                <w:szCs w:val="21"/>
              </w:rPr>
              <w:t>m</w:t>
            </w:r>
            <w:bookmarkEnd w:id="88"/>
            <w:r>
              <w:rPr>
                <w:szCs w:val="21"/>
              </w:rPr>
              <w:t>。</w:t>
            </w:r>
            <w:r>
              <w:rPr>
                <w:rFonts w:hint="eastAsia"/>
                <w:szCs w:val="21"/>
              </w:rPr>
              <w:t>一座储存钛铁精矿，三座储存钒钛磁铁矿，可以满足铁精矿产品9-10天储存周期</w:t>
            </w:r>
            <w:r>
              <w:rPr>
                <w:szCs w:val="21"/>
              </w:rPr>
              <w:t>。</w:t>
            </w:r>
          </w:p>
        </w:tc>
        <w:tc>
          <w:tcPr>
            <w:tcW w:w="563" w:type="pct"/>
            <w:tcBorders>
              <w:tl2br w:val="nil"/>
              <w:tr2bl w:val="nil"/>
            </w:tcBorders>
            <w:vAlign w:val="center"/>
          </w:tcPr>
          <w:p w14:paraId="7903DCF4">
            <w:pPr>
              <w:adjustRightInd w:val="0"/>
              <w:snapToGrid w:val="0"/>
              <w:spacing w:before="0" w:beforeLines="0" w:line="240" w:lineRule="auto"/>
              <w:jc w:val="center"/>
              <w:rPr>
                <w:kern w:val="32"/>
                <w:szCs w:val="21"/>
              </w:rPr>
            </w:pPr>
            <w:r>
              <w:rPr>
                <w:kern w:val="32"/>
                <w:szCs w:val="21"/>
              </w:rPr>
              <w:t>1#厂区</w:t>
            </w:r>
          </w:p>
        </w:tc>
      </w:tr>
      <w:tr w14:paraId="5E35EF0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79" w:hRule="atLeast"/>
          <w:jc w:val="center"/>
        </w:trPr>
        <w:tc>
          <w:tcPr>
            <w:tcW w:w="341" w:type="pct"/>
            <w:vMerge w:val="continue"/>
            <w:tcBorders>
              <w:tl2br w:val="nil"/>
              <w:tr2bl w:val="nil"/>
            </w:tcBorders>
            <w:vAlign w:val="center"/>
          </w:tcPr>
          <w:p w14:paraId="587282AE">
            <w:pPr>
              <w:adjustRightInd w:val="0"/>
              <w:snapToGrid w:val="0"/>
              <w:spacing w:before="0" w:beforeLines="0" w:line="240" w:lineRule="auto"/>
              <w:jc w:val="center"/>
              <w:rPr>
                <w:kern w:val="32"/>
                <w:szCs w:val="21"/>
              </w:rPr>
            </w:pPr>
          </w:p>
        </w:tc>
        <w:tc>
          <w:tcPr>
            <w:tcW w:w="588" w:type="pct"/>
            <w:tcBorders>
              <w:tl2br w:val="nil"/>
              <w:tr2bl w:val="nil"/>
            </w:tcBorders>
            <w:vAlign w:val="center"/>
          </w:tcPr>
          <w:p w14:paraId="3C0C3BCE">
            <w:pPr>
              <w:adjustRightInd w:val="0"/>
              <w:snapToGrid w:val="0"/>
              <w:spacing w:before="0" w:beforeLines="0" w:line="240" w:lineRule="auto"/>
              <w:jc w:val="center"/>
              <w:rPr>
                <w:szCs w:val="21"/>
              </w:rPr>
            </w:pPr>
            <w:r>
              <w:rPr>
                <w:rFonts w:hint="eastAsia"/>
                <w:szCs w:val="21"/>
              </w:rPr>
              <w:t>物料池</w:t>
            </w:r>
          </w:p>
        </w:tc>
        <w:tc>
          <w:tcPr>
            <w:tcW w:w="3508" w:type="pct"/>
            <w:gridSpan w:val="3"/>
            <w:tcBorders>
              <w:tl2br w:val="nil"/>
              <w:tr2bl w:val="nil"/>
            </w:tcBorders>
            <w:vAlign w:val="center"/>
          </w:tcPr>
          <w:p w14:paraId="3C5F2B92">
            <w:pPr>
              <w:adjustRightInd w:val="0"/>
              <w:snapToGrid w:val="0"/>
              <w:spacing w:before="0" w:beforeLines="0" w:line="240" w:lineRule="auto"/>
              <w:rPr>
                <w:szCs w:val="21"/>
              </w:rPr>
            </w:pPr>
            <w:r>
              <w:rPr>
                <w:rFonts w:hint="eastAsia"/>
                <w:szCs w:val="21"/>
              </w:rPr>
              <w:t>物料池位于重选车间南侧，尺寸为10×2m×1.5m，配套4台渣浆泵，用于重选之前临时存放混合物料。</w:t>
            </w:r>
          </w:p>
        </w:tc>
        <w:tc>
          <w:tcPr>
            <w:tcW w:w="563" w:type="pct"/>
            <w:tcBorders>
              <w:tl2br w:val="nil"/>
              <w:tr2bl w:val="nil"/>
            </w:tcBorders>
            <w:vAlign w:val="center"/>
          </w:tcPr>
          <w:p w14:paraId="2A1762CC">
            <w:pPr>
              <w:adjustRightInd w:val="0"/>
              <w:snapToGrid w:val="0"/>
              <w:spacing w:before="0" w:beforeLines="0" w:line="240" w:lineRule="auto"/>
              <w:jc w:val="center"/>
              <w:rPr>
                <w:kern w:val="32"/>
                <w:szCs w:val="21"/>
              </w:rPr>
            </w:pPr>
            <w:r>
              <w:rPr>
                <w:kern w:val="32"/>
                <w:szCs w:val="21"/>
              </w:rPr>
              <w:t>1#厂区</w:t>
            </w:r>
          </w:p>
        </w:tc>
      </w:tr>
      <w:tr w14:paraId="75ABF19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79" w:hRule="atLeast"/>
          <w:jc w:val="center"/>
        </w:trPr>
        <w:tc>
          <w:tcPr>
            <w:tcW w:w="341" w:type="pct"/>
            <w:vMerge w:val="continue"/>
            <w:tcBorders>
              <w:tl2br w:val="nil"/>
              <w:tr2bl w:val="nil"/>
            </w:tcBorders>
            <w:vAlign w:val="center"/>
          </w:tcPr>
          <w:p w14:paraId="561F7486">
            <w:pPr>
              <w:adjustRightInd w:val="0"/>
              <w:snapToGrid w:val="0"/>
              <w:spacing w:before="0" w:beforeLines="0" w:line="240" w:lineRule="auto"/>
              <w:jc w:val="center"/>
              <w:rPr>
                <w:kern w:val="32"/>
                <w:szCs w:val="21"/>
              </w:rPr>
            </w:pPr>
          </w:p>
        </w:tc>
        <w:tc>
          <w:tcPr>
            <w:tcW w:w="588" w:type="pct"/>
            <w:tcBorders>
              <w:tl2br w:val="nil"/>
              <w:tr2bl w:val="nil"/>
            </w:tcBorders>
            <w:vAlign w:val="center"/>
          </w:tcPr>
          <w:p w14:paraId="0FC60D21">
            <w:pPr>
              <w:adjustRightInd w:val="0"/>
              <w:snapToGrid w:val="0"/>
              <w:spacing w:before="0" w:beforeLines="0" w:line="240" w:lineRule="auto"/>
              <w:jc w:val="center"/>
              <w:rPr>
                <w:szCs w:val="21"/>
              </w:rPr>
            </w:pPr>
            <w:r>
              <w:rPr>
                <w:rFonts w:hint="eastAsia"/>
                <w:szCs w:val="21"/>
              </w:rPr>
              <w:t>碎石</w:t>
            </w:r>
            <w:r>
              <w:rPr>
                <w:szCs w:val="21"/>
              </w:rPr>
              <w:t>成品仓</w:t>
            </w:r>
          </w:p>
        </w:tc>
        <w:tc>
          <w:tcPr>
            <w:tcW w:w="3508" w:type="pct"/>
            <w:gridSpan w:val="3"/>
            <w:tcBorders>
              <w:tl2br w:val="nil"/>
              <w:tr2bl w:val="nil"/>
            </w:tcBorders>
            <w:vAlign w:val="center"/>
          </w:tcPr>
          <w:p w14:paraId="3BF2534D">
            <w:pPr>
              <w:adjustRightInd w:val="0"/>
              <w:snapToGrid w:val="0"/>
              <w:spacing w:before="0" w:beforeLines="0" w:line="240" w:lineRule="auto"/>
              <w:rPr>
                <w:szCs w:val="21"/>
              </w:rPr>
            </w:pPr>
            <w:r>
              <w:rPr>
                <w:rFonts w:hint="eastAsia"/>
                <w:kern w:val="32"/>
                <w:szCs w:val="21"/>
              </w:rPr>
              <w:t>3座碎石成品仓，</w:t>
            </w:r>
            <w:r>
              <w:rPr>
                <w:kern w:val="32"/>
                <w:szCs w:val="21"/>
              </w:rPr>
              <w:t>用于存储破碎车间产生的碎石，最大仓储量为</w:t>
            </w:r>
            <w:r>
              <w:rPr>
                <w:rFonts w:hint="eastAsia"/>
                <w:kern w:val="32"/>
                <w:szCs w:val="21"/>
              </w:rPr>
              <w:t>5500</w:t>
            </w:r>
            <w:r>
              <w:rPr>
                <w:kern w:val="32"/>
                <w:szCs w:val="21"/>
              </w:rPr>
              <w:t>t</w:t>
            </w:r>
            <w:r>
              <w:rPr>
                <w:rFonts w:hint="eastAsia"/>
                <w:kern w:val="32"/>
                <w:szCs w:val="21"/>
              </w:rPr>
              <w:t>，可以满足碎石4d储存周期。</w:t>
            </w:r>
          </w:p>
        </w:tc>
        <w:tc>
          <w:tcPr>
            <w:tcW w:w="563" w:type="pct"/>
            <w:tcBorders>
              <w:tl2br w:val="nil"/>
              <w:tr2bl w:val="nil"/>
            </w:tcBorders>
            <w:vAlign w:val="center"/>
          </w:tcPr>
          <w:p w14:paraId="5A72802C">
            <w:pPr>
              <w:adjustRightInd w:val="0"/>
              <w:snapToGrid w:val="0"/>
              <w:spacing w:before="0" w:beforeLines="0" w:line="240" w:lineRule="auto"/>
              <w:jc w:val="center"/>
              <w:rPr>
                <w:kern w:val="32"/>
                <w:szCs w:val="21"/>
              </w:rPr>
            </w:pPr>
            <w:r>
              <w:rPr>
                <w:kern w:val="32"/>
                <w:szCs w:val="21"/>
              </w:rPr>
              <w:t>2#厂区</w:t>
            </w:r>
          </w:p>
        </w:tc>
      </w:tr>
      <w:tr w14:paraId="2DAB109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341" w:type="pct"/>
            <w:vMerge w:val="continue"/>
            <w:tcBorders>
              <w:tl2br w:val="nil"/>
              <w:tr2bl w:val="nil"/>
            </w:tcBorders>
            <w:vAlign w:val="center"/>
          </w:tcPr>
          <w:p w14:paraId="60605DB6">
            <w:pPr>
              <w:adjustRightInd w:val="0"/>
              <w:snapToGrid w:val="0"/>
              <w:spacing w:before="0" w:beforeLines="0" w:line="240" w:lineRule="auto"/>
              <w:jc w:val="center"/>
              <w:rPr>
                <w:kern w:val="32"/>
                <w:szCs w:val="21"/>
              </w:rPr>
            </w:pPr>
          </w:p>
        </w:tc>
        <w:tc>
          <w:tcPr>
            <w:tcW w:w="588" w:type="pct"/>
            <w:tcBorders>
              <w:tl2br w:val="nil"/>
              <w:tr2bl w:val="nil"/>
            </w:tcBorders>
            <w:vAlign w:val="center"/>
          </w:tcPr>
          <w:p w14:paraId="6BF7F4F1">
            <w:pPr>
              <w:adjustRightInd w:val="0"/>
              <w:snapToGrid w:val="0"/>
              <w:spacing w:before="0" w:beforeLines="0" w:line="240" w:lineRule="auto"/>
              <w:jc w:val="center"/>
              <w:rPr>
                <w:rFonts w:hint="eastAsia" w:eastAsia="宋体"/>
                <w:kern w:val="32"/>
                <w:szCs w:val="21"/>
                <w:lang w:eastAsia="zh-CN"/>
              </w:rPr>
            </w:pPr>
            <w:r>
              <w:rPr>
                <w:rFonts w:hint="eastAsia"/>
                <w:kern w:val="32"/>
                <w:szCs w:val="21"/>
              </w:rPr>
              <w:t>运输</w:t>
            </w:r>
            <w:r>
              <w:rPr>
                <w:rFonts w:hint="eastAsia"/>
                <w:kern w:val="32"/>
                <w:szCs w:val="21"/>
                <w:lang w:val="en-US" w:eastAsia="zh-CN"/>
              </w:rPr>
              <w:t>车辆</w:t>
            </w:r>
          </w:p>
        </w:tc>
        <w:tc>
          <w:tcPr>
            <w:tcW w:w="3508" w:type="pct"/>
            <w:gridSpan w:val="3"/>
            <w:tcBorders>
              <w:tl2br w:val="nil"/>
              <w:tr2bl w:val="nil"/>
            </w:tcBorders>
            <w:vAlign w:val="center"/>
          </w:tcPr>
          <w:p w14:paraId="227CBBFC">
            <w:pPr>
              <w:adjustRightInd w:val="0"/>
              <w:snapToGrid w:val="0"/>
              <w:spacing w:before="0" w:beforeLines="0" w:line="240" w:lineRule="auto"/>
              <w:rPr>
                <w:kern w:val="0"/>
                <w:szCs w:val="21"/>
              </w:rPr>
            </w:pPr>
            <w:r>
              <w:rPr>
                <w:szCs w:val="21"/>
              </w:rPr>
              <w:t>本项目</w:t>
            </w:r>
            <w:r>
              <w:rPr>
                <w:rFonts w:hint="eastAsia"/>
                <w:szCs w:val="21"/>
              </w:rPr>
              <w:t>租用</w:t>
            </w:r>
            <w:r>
              <w:rPr>
                <w:rFonts w:hint="eastAsia"/>
                <w:szCs w:val="21"/>
                <w:lang w:val="zh-CN"/>
              </w:rPr>
              <w:t>辽宁鑫岳矿业</w:t>
            </w:r>
            <w:r>
              <w:rPr>
                <w:rFonts w:hint="eastAsia"/>
                <w:szCs w:val="21"/>
              </w:rPr>
              <w:t>有限公司矿山专用卡车，装载量80t。</w:t>
            </w:r>
          </w:p>
        </w:tc>
        <w:tc>
          <w:tcPr>
            <w:tcW w:w="563" w:type="pct"/>
            <w:tcBorders>
              <w:tl2br w:val="nil"/>
              <w:tr2bl w:val="nil"/>
            </w:tcBorders>
            <w:vAlign w:val="center"/>
          </w:tcPr>
          <w:p w14:paraId="264484E5">
            <w:pPr>
              <w:adjustRightInd w:val="0"/>
              <w:snapToGrid w:val="0"/>
              <w:spacing w:before="0" w:beforeLines="0" w:line="240" w:lineRule="auto"/>
              <w:jc w:val="center"/>
              <w:rPr>
                <w:kern w:val="0"/>
                <w:szCs w:val="21"/>
              </w:rPr>
            </w:pPr>
            <w:r>
              <w:rPr>
                <w:rFonts w:hint="eastAsia"/>
                <w:kern w:val="32"/>
                <w:szCs w:val="21"/>
              </w:rPr>
              <w:t>租用</w:t>
            </w:r>
          </w:p>
        </w:tc>
      </w:tr>
      <w:tr w14:paraId="3D556A9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341" w:type="pct"/>
            <w:vMerge w:val="continue"/>
            <w:tcBorders>
              <w:tl2br w:val="nil"/>
              <w:tr2bl w:val="nil"/>
            </w:tcBorders>
            <w:vAlign w:val="center"/>
          </w:tcPr>
          <w:p w14:paraId="370CE922">
            <w:pPr>
              <w:adjustRightInd w:val="0"/>
              <w:snapToGrid w:val="0"/>
              <w:spacing w:before="0" w:beforeLines="0" w:line="240" w:lineRule="auto"/>
              <w:jc w:val="center"/>
              <w:rPr>
                <w:kern w:val="32"/>
                <w:szCs w:val="21"/>
              </w:rPr>
            </w:pPr>
          </w:p>
        </w:tc>
        <w:tc>
          <w:tcPr>
            <w:tcW w:w="588" w:type="pct"/>
            <w:tcBorders>
              <w:tl2br w:val="nil"/>
              <w:tr2bl w:val="nil"/>
            </w:tcBorders>
            <w:vAlign w:val="center"/>
          </w:tcPr>
          <w:p w14:paraId="05589266">
            <w:pPr>
              <w:adjustRightInd w:val="0"/>
              <w:snapToGrid w:val="0"/>
              <w:spacing w:before="0" w:beforeLines="0" w:line="240" w:lineRule="auto"/>
              <w:jc w:val="center"/>
              <w:rPr>
                <w:kern w:val="32"/>
                <w:szCs w:val="21"/>
              </w:rPr>
            </w:pPr>
            <w:r>
              <w:rPr>
                <w:rFonts w:hint="eastAsia"/>
                <w:kern w:val="32"/>
                <w:szCs w:val="21"/>
              </w:rPr>
              <w:t>铲车</w:t>
            </w:r>
          </w:p>
        </w:tc>
        <w:tc>
          <w:tcPr>
            <w:tcW w:w="3508" w:type="pct"/>
            <w:gridSpan w:val="3"/>
            <w:tcBorders>
              <w:tl2br w:val="nil"/>
              <w:tr2bl w:val="nil"/>
            </w:tcBorders>
            <w:vAlign w:val="center"/>
          </w:tcPr>
          <w:p w14:paraId="31F50CC0">
            <w:pPr>
              <w:adjustRightInd w:val="0"/>
              <w:snapToGrid w:val="0"/>
              <w:spacing w:before="0" w:beforeLines="0" w:line="240" w:lineRule="auto"/>
              <w:rPr>
                <w:szCs w:val="21"/>
              </w:rPr>
            </w:pPr>
            <w:r>
              <w:rPr>
                <w:rFonts w:hint="eastAsia"/>
                <w:szCs w:val="21"/>
              </w:rPr>
              <w:t>铲车4台。</w:t>
            </w:r>
          </w:p>
        </w:tc>
        <w:tc>
          <w:tcPr>
            <w:tcW w:w="563" w:type="pct"/>
            <w:tcBorders>
              <w:tl2br w:val="nil"/>
              <w:tr2bl w:val="nil"/>
            </w:tcBorders>
            <w:vAlign w:val="center"/>
          </w:tcPr>
          <w:p w14:paraId="20F6F659">
            <w:pPr>
              <w:adjustRightInd w:val="0"/>
              <w:snapToGrid w:val="0"/>
              <w:spacing w:before="0" w:beforeLines="0" w:line="240" w:lineRule="auto"/>
              <w:jc w:val="center"/>
              <w:rPr>
                <w:kern w:val="32"/>
                <w:szCs w:val="21"/>
              </w:rPr>
            </w:pPr>
            <w:r>
              <w:rPr>
                <w:rFonts w:hint="eastAsia"/>
                <w:kern w:val="32"/>
                <w:szCs w:val="21"/>
              </w:rPr>
              <w:t>1#、2#厂区</w:t>
            </w:r>
          </w:p>
        </w:tc>
      </w:tr>
      <w:tr w14:paraId="5F42B23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88" w:hRule="atLeast"/>
          <w:jc w:val="center"/>
        </w:trPr>
        <w:tc>
          <w:tcPr>
            <w:tcW w:w="341" w:type="pct"/>
            <w:vMerge w:val="restart"/>
            <w:tcBorders>
              <w:tl2br w:val="nil"/>
              <w:tr2bl w:val="nil"/>
            </w:tcBorders>
            <w:vAlign w:val="center"/>
          </w:tcPr>
          <w:p w14:paraId="16A7808A">
            <w:pPr>
              <w:adjustRightInd w:val="0"/>
              <w:snapToGrid w:val="0"/>
              <w:spacing w:before="0" w:beforeLines="0" w:line="240" w:lineRule="auto"/>
              <w:jc w:val="center"/>
              <w:rPr>
                <w:kern w:val="32"/>
                <w:szCs w:val="21"/>
              </w:rPr>
            </w:pPr>
            <w:r>
              <w:rPr>
                <w:kern w:val="32"/>
                <w:szCs w:val="21"/>
              </w:rPr>
              <w:t>辅助</w:t>
            </w:r>
          </w:p>
          <w:p w14:paraId="32FAFD42">
            <w:pPr>
              <w:adjustRightInd w:val="0"/>
              <w:snapToGrid w:val="0"/>
              <w:spacing w:before="0" w:beforeLines="0" w:line="240" w:lineRule="auto"/>
              <w:jc w:val="center"/>
              <w:rPr>
                <w:kern w:val="32"/>
                <w:szCs w:val="21"/>
              </w:rPr>
            </w:pPr>
            <w:r>
              <w:rPr>
                <w:kern w:val="32"/>
                <w:szCs w:val="21"/>
              </w:rPr>
              <w:t>工程</w:t>
            </w:r>
          </w:p>
        </w:tc>
        <w:tc>
          <w:tcPr>
            <w:tcW w:w="588" w:type="pct"/>
            <w:tcBorders>
              <w:tl2br w:val="nil"/>
              <w:tr2bl w:val="nil"/>
            </w:tcBorders>
            <w:vAlign w:val="center"/>
          </w:tcPr>
          <w:p w14:paraId="61D29F9F">
            <w:pPr>
              <w:adjustRightInd w:val="0"/>
              <w:snapToGrid w:val="0"/>
              <w:spacing w:before="0" w:beforeLines="0" w:line="240" w:lineRule="auto"/>
              <w:jc w:val="center"/>
              <w:rPr>
                <w:kern w:val="32"/>
                <w:szCs w:val="21"/>
              </w:rPr>
            </w:pPr>
            <w:r>
              <w:rPr>
                <w:kern w:val="32"/>
                <w:szCs w:val="21"/>
              </w:rPr>
              <w:t>控制室</w:t>
            </w:r>
          </w:p>
        </w:tc>
        <w:tc>
          <w:tcPr>
            <w:tcW w:w="3508" w:type="pct"/>
            <w:gridSpan w:val="3"/>
            <w:tcBorders>
              <w:tl2br w:val="nil"/>
              <w:tr2bl w:val="nil"/>
            </w:tcBorders>
            <w:vAlign w:val="center"/>
          </w:tcPr>
          <w:p w14:paraId="68427E03">
            <w:pPr>
              <w:adjustRightInd w:val="0"/>
              <w:snapToGrid w:val="0"/>
              <w:spacing w:before="0" w:beforeLines="0" w:line="240" w:lineRule="auto"/>
              <w:jc w:val="left"/>
              <w:rPr>
                <w:kern w:val="32"/>
                <w:szCs w:val="21"/>
              </w:rPr>
            </w:pPr>
            <w:r>
              <w:rPr>
                <w:kern w:val="32"/>
                <w:szCs w:val="21"/>
              </w:rPr>
              <w:t>占地面积</w:t>
            </w:r>
            <w:r>
              <w:rPr>
                <w:rFonts w:hint="eastAsia"/>
                <w:kern w:val="32"/>
                <w:szCs w:val="21"/>
              </w:rPr>
              <w:t>54</w:t>
            </w:r>
            <w:r>
              <w:rPr>
                <w:szCs w:val="21"/>
              </w:rPr>
              <w:t>m</w:t>
            </w:r>
            <w:r>
              <w:rPr>
                <w:szCs w:val="21"/>
                <w:vertAlign w:val="superscript"/>
              </w:rPr>
              <w:t>2</w:t>
            </w:r>
            <w:r>
              <w:rPr>
                <w:kern w:val="32"/>
                <w:szCs w:val="21"/>
              </w:rPr>
              <w:t>，用于控制</w:t>
            </w:r>
            <w:r>
              <w:rPr>
                <w:rFonts w:hint="eastAsia"/>
                <w:kern w:val="32"/>
                <w:szCs w:val="21"/>
              </w:rPr>
              <w:t>1#厂区</w:t>
            </w:r>
            <w:r>
              <w:rPr>
                <w:kern w:val="32"/>
                <w:szCs w:val="21"/>
              </w:rPr>
              <w:t>设备</w:t>
            </w:r>
            <w:r>
              <w:rPr>
                <w:rFonts w:hint="eastAsia"/>
                <w:kern w:val="32"/>
                <w:szCs w:val="21"/>
                <w:lang w:val="en-US" w:eastAsia="zh-CN"/>
              </w:rPr>
              <w:t>启停</w:t>
            </w:r>
            <w:r>
              <w:rPr>
                <w:kern w:val="32"/>
                <w:szCs w:val="21"/>
              </w:rPr>
              <w:t>。</w:t>
            </w:r>
          </w:p>
        </w:tc>
        <w:tc>
          <w:tcPr>
            <w:tcW w:w="563" w:type="pct"/>
            <w:tcBorders>
              <w:tl2br w:val="nil"/>
              <w:tr2bl w:val="nil"/>
            </w:tcBorders>
            <w:vAlign w:val="center"/>
          </w:tcPr>
          <w:p w14:paraId="59E91E77">
            <w:pPr>
              <w:adjustRightInd w:val="0"/>
              <w:snapToGrid w:val="0"/>
              <w:spacing w:before="0" w:beforeLines="0" w:line="240" w:lineRule="auto"/>
              <w:jc w:val="center"/>
              <w:rPr>
                <w:szCs w:val="21"/>
              </w:rPr>
            </w:pPr>
            <w:r>
              <w:rPr>
                <w:kern w:val="32"/>
                <w:szCs w:val="21"/>
              </w:rPr>
              <w:t>1#厂区</w:t>
            </w:r>
          </w:p>
        </w:tc>
      </w:tr>
      <w:tr w14:paraId="508EA16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88" w:hRule="atLeast"/>
          <w:jc w:val="center"/>
        </w:trPr>
        <w:tc>
          <w:tcPr>
            <w:tcW w:w="341" w:type="pct"/>
            <w:vMerge w:val="continue"/>
            <w:tcBorders>
              <w:tl2br w:val="nil"/>
              <w:tr2bl w:val="nil"/>
            </w:tcBorders>
            <w:vAlign w:val="center"/>
          </w:tcPr>
          <w:p w14:paraId="2750ECC9">
            <w:pPr>
              <w:adjustRightInd w:val="0"/>
              <w:snapToGrid w:val="0"/>
              <w:spacing w:before="0" w:beforeLines="0" w:line="240" w:lineRule="auto"/>
              <w:jc w:val="center"/>
              <w:rPr>
                <w:kern w:val="32"/>
                <w:szCs w:val="21"/>
              </w:rPr>
            </w:pPr>
          </w:p>
        </w:tc>
        <w:tc>
          <w:tcPr>
            <w:tcW w:w="588" w:type="pct"/>
            <w:tcBorders>
              <w:tl2br w:val="nil"/>
              <w:tr2bl w:val="nil"/>
            </w:tcBorders>
            <w:vAlign w:val="center"/>
          </w:tcPr>
          <w:p w14:paraId="6698A233">
            <w:pPr>
              <w:adjustRightInd w:val="0"/>
              <w:snapToGrid w:val="0"/>
              <w:spacing w:before="0" w:beforeLines="0" w:line="240" w:lineRule="auto"/>
              <w:jc w:val="center"/>
              <w:rPr>
                <w:kern w:val="32"/>
                <w:szCs w:val="21"/>
              </w:rPr>
            </w:pPr>
            <w:r>
              <w:rPr>
                <w:kern w:val="32"/>
                <w:szCs w:val="21"/>
              </w:rPr>
              <w:t>办公</w:t>
            </w:r>
            <w:r>
              <w:rPr>
                <w:rFonts w:hint="eastAsia"/>
                <w:kern w:val="32"/>
                <w:szCs w:val="21"/>
              </w:rPr>
              <w:t>用房</w:t>
            </w:r>
          </w:p>
        </w:tc>
        <w:tc>
          <w:tcPr>
            <w:tcW w:w="3508" w:type="pct"/>
            <w:gridSpan w:val="3"/>
            <w:tcBorders>
              <w:tl2br w:val="nil"/>
              <w:tr2bl w:val="nil"/>
            </w:tcBorders>
            <w:vAlign w:val="center"/>
          </w:tcPr>
          <w:p w14:paraId="08936DCD">
            <w:pPr>
              <w:adjustRightInd w:val="0"/>
              <w:snapToGrid w:val="0"/>
              <w:spacing w:before="0" w:beforeLines="0" w:line="240" w:lineRule="auto"/>
              <w:jc w:val="left"/>
              <w:rPr>
                <w:kern w:val="32"/>
                <w:szCs w:val="21"/>
              </w:rPr>
            </w:pPr>
            <w:r>
              <w:rPr>
                <w:kern w:val="32"/>
                <w:szCs w:val="21"/>
              </w:rPr>
              <w:t>位于</w:t>
            </w:r>
            <w:r>
              <w:rPr>
                <w:rFonts w:hint="eastAsia"/>
                <w:kern w:val="32"/>
                <w:szCs w:val="21"/>
              </w:rPr>
              <w:t>1#厂区</w:t>
            </w:r>
            <w:r>
              <w:rPr>
                <w:kern w:val="32"/>
                <w:szCs w:val="21"/>
              </w:rPr>
              <w:t>北侧，占地面积</w:t>
            </w:r>
            <w:r>
              <w:rPr>
                <w:rFonts w:hint="eastAsia"/>
                <w:kern w:val="32"/>
                <w:szCs w:val="21"/>
              </w:rPr>
              <w:t>140</w:t>
            </w:r>
            <w:r>
              <w:rPr>
                <w:kern w:val="32"/>
                <w:szCs w:val="21"/>
              </w:rPr>
              <w:t>m</w:t>
            </w:r>
            <w:r>
              <w:rPr>
                <w:kern w:val="32"/>
                <w:szCs w:val="21"/>
                <w:vertAlign w:val="superscript"/>
              </w:rPr>
              <w:t>2</w:t>
            </w:r>
            <w:r>
              <w:rPr>
                <w:kern w:val="32"/>
                <w:szCs w:val="21"/>
              </w:rPr>
              <w:t>。</w:t>
            </w:r>
          </w:p>
        </w:tc>
        <w:tc>
          <w:tcPr>
            <w:tcW w:w="563" w:type="pct"/>
            <w:tcBorders>
              <w:tl2br w:val="nil"/>
              <w:tr2bl w:val="nil"/>
            </w:tcBorders>
            <w:vAlign w:val="center"/>
          </w:tcPr>
          <w:p w14:paraId="03157169">
            <w:pPr>
              <w:adjustRightInd w:val="0"/>
              <w:snapToGrid w:val="0"/>
              <w:spacing w:before="0" w:beforeLines="0" w:line="240" w:lineRule="auto"/>
              <w:jc w:val="center"/>
              <w:rPr>
                <w:kern w:val="32"/>
                <w:szCs w:val="21"/>
              </w:rPr>
            </w:pPr>
            <w:r>
              <w:rPr>
                <w:rFonts w:hint="eastAsia"/>
                <w:kern w:val="32"/>
                <w:szCs w:val="21"/>
              </w:rPr>
              <w:t>租用</w:t>
            </w:r>
          </w:p>
          <w:p w14:paraId="1AE7FAD6">
            <w:pPr>
              <w:adjustRightInd w:val="0"/>
              <w:snapToGrid w:val="0"/>
              <w:spacing w:before="0" w:beforeLines="0" w:line="240" w:lineRule="auto"/>
              <w:jc w:val="center"/>
              <w:rPr>
                <w:kern w:val="32"/>
                <w:szCs w:val="21"/>
              </w:rPr>
            </w:pPr>
            <w:r>
              <w:rPr>
                <w:rFonts w:hint="eastAsia"/>
                <w:kern w:val="32"/>
                <w:szCs w:val="21"/>
              </w:rPr>
              <w:t>亿升达</w:t>
            </w:r>
          </w:p>
        </w:tc>
      </w:tr>
      <w:tr w14:paraId="519D7CD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03" w:hRule="atLeast"/>
          <w:jc w:val="center"/>
        </w:trPr>
        <w:tc>
          <w:tcPr>
            <w:tcW w:w="341" w:type="pct"/>
            <w:vMerge w:val="restart"/>
            <w:tcBorders>
              <w:tl2br w:val="nil"/>
              <w:tr2bl w:val="nil"/>
            </w:tcBorders>
            <w:vAlign w:val="center"/>
          </w:tcPr>
          <w:p w14:paraId="1CBBD2E8">
            <w:pPr>
              <w:adjustRightInd w:val="0"/>
              <w:snapToGrid w:val="0"/>
              <w:spacing w:before="0" w:beforeLines="0" w:line="240" w:lineRule="auto"/>
              <w:jc w:val="center"/>
              <w:rPr>
                <w:kern w:val="32"/>
                <w:szCs w:val="21"/>
              </w:rPr>
            </w:pPr>
            <w:r>
              <w:rPr>
                <w:kern w:val="32"/>
                <w:szCs w:val="21"/>
              </w:rPr>
              <w:t>公用</w:t>
            </w:r>
          </w:p>
          <w:p w14:paraId="6C96C979">
            <w:pPr>
              <w:adjustRightInd w:val="0"/>
              <w:snapToGrid w:val="0"/>
              <w:spacing w:before="0" w:beforeLines="0" w:line="240" w:lineRule="auto"/>
              <w:jc w:val="center"/>
              <w:rPr>
                <w:kern w:val="32"/>
                <w:szCs w:val="21"/>
              </w:rPr>
            </w:pPr>
            <w:r>
              <w:rPr>
                <w:kern w:val="32"/>
                <w:szCs w:val="21"/>
              </w:rPr>
              <w:t>工程</w:t>
            </w:r>
          </w:p>
        </w:tc>
        <w:tc>
          <w:tcPr>
            <w:tcW w:w="588" w:type="pct"/>
            <w:tcBorders>
              <w:tl2br w:val="nil"/>
              <w:tr2bl w:val="nil"/>
            </w:tcBorders>
            <w:vAlign w:val="center"/>
          </w:tcPr>
          <w:p w14:paraId="6FBC13D3">
            <w:pPr>
              <w:adjustRightInd w:val="0"/>
              <w:snapToGrid w:val="0"/>
              <w:spacing w:before="0" w:beforeLines="0" w:line="240" w:lineRule="auto"/>
              <w:jc w:val="center"/>
              <w:rPr>
                <w:kern w:val="32"/>
                <w:szCs w:val="21"/>
              </w:rPr>
            </w:pPr>
            <w:r>
              <w:rPr>
                <w:kern w:val="32"/>
                <w:szCs w:val="21"/>
              </w:rPr>
              <w:t>供水</w:t>
            </w:r>
          </w:p>
        </w:tc>
        <w:tc>
          <w:tcPr>
            <w:tcW w:w="3508" w:type="pct"/>
            <w:gridSpan w:val="3"/>
            <w:tcBorders>
              <w:tl2br w:val="nil"/>
              <w:tr2bl w:val="nil"/>
            </w:tcBorders>
            <w:vAlign w:val="center"/>
          </w:tcPr>
          <w:p w14:paraId="1D518303">
            <w:pPr>
              <w:adjustRightInd w:val="0"/>
              <w:snapToGrid w:val="0"/>
              <w:spacing w:before="0" w:beforeLines="0" w:line="240" w:lineRule="auto"/>
              <w:rPr>
                <w:kern w:val="32"/>
                <w:szCs w:val="21"/>
              </w:rPr>
            </w:pPr>
            <w:r>
              <w:rPr>
                <w:rFonts w:hint="eastAsia"/>
                <w:szCs w:val="21"/>
                <w:lang w:val="zh-CN"/>
              </w:rPr>
              <w:t>依托辽宁鑫岳矿业</w:t>
            </w:r>
            <w:r>
              <w:rPr>
                <w:rFonts w:hint="eastAsia"/>
                <w:szCs w:val="21"/>
              </w:rPr>
              <w:t>有限公司，供水管线由鑫岳矿业建设</w:t>
            </w:r>
            <w:r>
              <w:rPr>
                <w:szCs w:val="21"/>
                <w:lang w:val="zh-CN"/>
              </w:rPr>
              <w:t>。</w:t>
            </w:r>
          </w:p>
        </w:tc>
        <w:tc>
          <w:tcPr>
            <w:tcW w:w="563" w:type="pct"/>
            <w:tcBorders>
              <w:tl2br w:val="nil"/>
              <w:tr2bl w:val="nil"/>
            </w:tcBorders>
            <w:vAlign w:val="center"/>
          </w:tcPr>
          <w:p w14:paraId="5B1BB938">
            <w:pPr>
              <w:adjustRightInd w:val="0"/>
              <w:snapToGrid w:val="0"/>
              <w:spacing w:before="0" w:beforeLines="0" w:line="240" w:lineRule="auto"/>
              <w:jc w:val="center"/>
              <w:rPr>
                <w:szCs w:val="21"/>
              </w:rPr>
            </w:pPr>
            <w:r>
              <w:rPr>
                <w:rFonts w:hint="eastAsia"/>
                <w:kern w:val="32"/>
                <w:szCs w:val="21"/>
              </w:rPr>
              <w:t>依托</w:t>
            </w:r>
          </w:p>
        </w:tc>
      </w:tr>
      <w:tr w14:paraId="412FD27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03" w:hRule="atLeast"/>
          <w:jc w:val="center"/>
        </w:trPr>
        <w:tc>
          <w:tcPr>
            <w:tcW w:w="341" w:type="pct"/>
            <w:vMerge w:val="continue"/>
            <w:tcBorders>
              <w:tl2br w:val="nil"/>
              <w:tr2bl w:val="nil"/>
            </w:tcBorders>
            <w:vAlign w:val="center"/>
          </w:tcPr>
          <w:p w14:paraId="21CB7311">
            <w:pPr>
              <w:adjustRightInd w:val="0"/>
              <w:snapToGrid w:val="0"/>
              <w:spacing w:before="0" w:beforeLines="0" w:line="240" w:lineRule="auto"/>
              <w:jc w:val="center"/>
              <w:rPr>
                <w:kern w:val="32"/>
                <w:szCs w:val="21"/>
              </w:rPr>
            </w:pPr>
          </w:p>
        </w:tc>
        <w:tc>
          <w:tcPr>
            <w:tcW w:w="588" w:type="pct"/>
            <w:tcBorders>
              <w:tl2br w:val="nil"/>
              <w:tr2bl w:val="nil"/>
            </w:tcBorders>
            <w:vAlign w:val="center"/>
          </w:tcPr>
          <w:p w14:paraId="150A0BAD">
            <w:pPr>
              <w:adjustRightInd w:val="0"/>
              <w:snapToGrid w:val="0"/>
              <w:spacing w:before="0" w:beforeLines="0" w:line="240" w:lineRule="auto"/>
              <w:jc w:val="center"/>
              <w:rPr>
                <w:kern w:val="32"/>
                <w:szCs w:val="21"/>
              </w:rPr>
            </w:pPr>
            <w:r>
              <w:rPr>
                <w:kern w:val="32"/>
                <w:szCs w:val="21"/>
              </w:rPr>
              <w:t>供电</w:t>
            </w:r>
          </w:p>
        </w:tc>
        <w:tc>
          <w:tcPr>
            <w:tcW w:w="3508" w:type="pct"/>
            <w:gridSpan w:val="3"/>
            <w:tcBorders>
              <w:tl2br w:val="nil"/>
              <w:tr2bl w:val="nil"/>
            </w:tcBorders>
            <w:vAlign w:val="center"/>
          </w:tcPr>
          <w:p w14:paraId="3D6E9DAD">
            <w:pPr>
              <w:adjustRightInd w:val="0"/>
              <w:snapToGrid w:val="0"/>
              <w:spacing w:before="0" w:beforeLines="0" w:line="240" w:lineRule="auto"/>
              <w:rPr>
                <w:kern w:val="32"/>
                <w:szCs w:val="21"/>
              </w:rPr>
            </w:pPr>
            <w:r>
              <w:rPr>
                <w:rFonts w:hint="eastAsia"/>
                <w:kern w:val="32"/>
                <w:szCs w:val="21"/>
              </w:rPr>
              <w:t>由</w:t>
            </w:r>
            <w:r>
              <w:rPr>
                <w:szCs w:val="21"/>
              </w:rPr>
              <w:t>供电公司</w:t>
            </w:r>
            <w:r>
              <w:rPr>
                <w:rFonts w:hint="eastAsia"/>
                <w:szCs w:val="21"/>
              </w:rPr>
              <w:t>供电</w:t>
            </w:r>
            <w:r>
              <w:rPr>
                <w:kern w:val="32"/>
                <w:szCs w:val="21"/>
              </w:rPr>
              <w:t>，厂区自建一座10kV变电所。</w:t>
            </w:r>
          </w:p>
        </w:tc>
        <w:tc>
          <w:tcPr>
            <w:tcW w:w="563" w:type="pct"/>
            <w:tcBorders>
              <w:tl2br w:val="nil"/>
              <w:tr2bl w:val="nil"/>
            </w:tcBorders>
            <w:vAlign w:val="center"/>
          </w:tcPr>
          <w:p w14:paraId="57A3C7AB">
            <w:pPr>
              <w:adjustRightInd w:val="0"/>
              <w:snapToGrid w:val="0"/>
              <w:spacing w:before="0" w:beforeLines="0" w:line="240" w:lineRule="auto"/>
              <w:jc w:val="center"/>
              <w:rPr>
                <w:kern w:val="32"/>
                <w:szCs w:val="21"/>
              </w:rPr>
            </w:pPr>
            <w:r>
              <w:rPr>
                <w:rFonts w:hint="eastAsia"/>
                <w:kern w:val="32"/>
                <w:szCs w:val="21"/>
              </w:rPr>
              <w:t>租用亿升达</w:t>
            </w:r>
          </w:p>
        </w:tc>
      </w:tr>
      <w:tr w14:paraId="4D5B2AD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141" w:hRule="atLeast"/>
          <w:jc w:val="center"/>
        </w:trPr>
        <w:tc>
          <w:tcPr>
            <w:tcW w:w="341" w:type="pct"/>
            <w:vMerge w:val="continue"/>
            <w:tcBorders>
              <w:tl2br w:val="nil"/>
              <w:tr2bl w:val="nil"/>
            </w:tcBorders>
            <w:vAlign w:val="center"/>
          </w:tcPr>
          <w:p w14:paraId="3FEA4012">
            <w:pPr>
              <w:adjustRightInd w:val="0"/>
              <w:snapToGrid w:val="0"/>
              <w:spacing w:before="0" w:beforeLines="0" w:line="240" w:lineRule="auto"/>
              <w:jc w:val="center"/>
              <w:rPr>
                <w:kern w:val="32"/>
                <w:szCs w:val="21"/>
              </w:rPr>
            </w:pPr>
          </w:p>
        </w:tc>
        <w:tc>
          <w:tcPr>
            <w:tcW w:w="588" w:type="pct"/>
            <w:tcBorders>
              <w:tl2br w:val="nil"/>
              <w:tr2bl w:val="nil"/>
            </w:tcBorders>
            <w:vAlign w:val="center"/>
          </w:tcPr>
          <w:p w14:paraId="18A8D5BF">
            <w:pPr>
              <w:adjustRightInd w:val="0"/>
              <w:snapToGrid w:val="0"/>
              <w:spacing w:before="0" w:beforeLines="0" w:line="240" w:lineRule="auto"/>
              <w:jc w:val="center"/>
              <w:rPr>
                <w:kern w:val="32"/>
                <w:szCs w:val="21"/>
              </w:rPr>
            </w:pPr>
            <w:r>
              <w:rPr>
                <w:kern w:val="32"/>
                <w:szCs w:val="21"/>
              </w:rPr>
              <w:t>采暖</w:t>
            </w:r>
          </w:p>
        </w:tc>
        <w:tc>
          <w:tcPr>
            <w:tcW w:w="3508" w:type="pct"/>
            <w:gridSpan w:val="3"/>
            <w:tcBorders>
              <w:tl2br w:val="nil"/>
              <w:tr2bl w:val="nil"/>
            </w:tcBorders>
            <w:vAlign w:val="center"/>
          </w:tcPr>
          <w:p w14:paraId="201CC6BF">
            <w:pPr>
              <w:adjustRightInd w:val="0"/>
              <w:snapToGrid w:val="0"/>
              <w:spacing w:before="0" w:beforeLines="0" w:line="240" w:lineRule="auto"/>
              <w:rPr>
                <w:kern w:val="32"/>
                <w:szCs w:val="21"/>
              </w:rPr>
            </w:pPr>
            <w:r>
              <w:rPr>
                <w:bCs/>
                <w:szCs w:val="21"/>
              </w:rPr>
              <w:t>办公楼冬季采用电供暖。</w:t>
            </w:r>
          </w:p>
        </w:tc>
        <w:tc>
          <w:tcPr>
            <w:tcW w:w="563" w:type="pct"/>
            <w:tcBorders>
              <w:tl2br w:val="nil"/>
              <w:tr2bl w:val="nil"/>
            </w:tcBorders>
            <w:vAlign w:val="center"/>
          </w:tcPr>
          <w:p w14:paraId="0B01565F">
            <w:pPr>
              <w:adjustRightInd w:val="0"/>
              <w:snapToGrid w:val="0"/>
              <w:spacing w:before="0" w:beforeLines="0" w:line="240" w:lineRule="auto"/>
              <w:jc w:val="center"/>
              <w:rPr>
                <w:bCs/>
                <w:szCs w:val="21"/>
              </w:rPr>
            </w:pPr>
            <w:r>
              <w:rPr>
                <w:kern w:val="32"/>
                <w:szCs w:val="21"/>
              </w:rPr>
              <w:t>1#厂区</w:t>
            </w:r>
          </w:p>
        </w:tc>
      </w:tr>
      <w:tr w14:paraId="0889A76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64" w:hRule="atLeast"/>
          <w:jc w:val="center"/>
        </w:trPr>
        <w:tc>
          <w:tcPr>
            <w:tcW w:w="341" w:type="pct"/>
            <w:vMerge w:val="restart"/>
            <w:tcBorders>
              <w:tl2br w:val="nil"/>
              <w:tr2bl w:val="nil"/>
            </w:tcBorders>
            <w:vAlign w:val="center"/>
          </w:tcPr>
          <w:p w14:paraId="3D875A04">
            <w:pPr>
              <w:adjustRightInd w:val="0"/>
              <w:snapToGrid w:val="0"/>
              <w:spacing w:before="0" w:beforeLines="0" w:line="240" w:lineRule="auto"/>
              <w:jc w:val="center"/>
              <w:rPr>
                <w:kern w:val="32"/>
                <w:szCs w:val="21"/>
              </w:rPr>
            </w:pPr>
            <w:r>
              <w:rPr>
                <w:kern w:val="32"/>
                <w:szCs w:val="21"/>
              </w:rPr>
              <w:t>环保</w:t>
            </w:r>
          </w:p>
          <w:p w14:paraId="0C95121D">
            <w:pPr>
              <w:adjustRightInd w:val="0"/>
              <w:snapToGrid w:val="0"/>
              <w:spacing w:before="0" w:beforeLines="0" w:line="240" w:lineRule="auto"/>
              <w:jc w:val="center"/>
              <w:rPr>
                <w:kern w:val="32"/>
                <w:szCs w:val="21"/>
              </w:rPr>
            </w:pPr>
            <w:r>
              <w:rPr>
                <w:kern w:val="32"/>
                <w:szCs w:val="21"/>
              </w:rPr>
              <w:t>工程</w:t>
            </w:r>
          </w:p>
        </w:tc>
        <w:tc>
          <w:tcPr>
            <w:tcW w:w="588" w:type="pct"/>
            <w:vMerge w:val="restart"/>
            <w:tcBorders>
              <w:tl2br w:val="nil"/>
              <w:tr2bl w:val="nil"/>
            </w:tcBorders>
            <w:vAlign w:val="center"/>
          </w:tcPr>
          <w:p w14:paraId="4DE4A106">
            <w:pPr>
              <w:adjustRightInd w:val="0"/>
              <w:snapToGrid w:val="0"/>
              <w:spacing w:before="0" w:beforeLines="0" w:line="240" w:lineRule="auto"/>
              <w:jc w:val="center"/>
              <w:rPr>
                <w:kern w:val="32"/>
                <w:szCs w:val="21"/>
              </w:rPr>
            </w:pPr>
            <w:r>
              <w:rPr>
                <w:kern w:val="32"/>
                <w:szCs w:val="21"/>
              </w:rPr>
              <w:t>废气治理</w:t>
            </w:r>
          </w:p>
        </w:tc>
        <w:tc>
          <w:tcPr>
            <w:tcW w:w="550" w:type="pct"/>
            <w:vMerge w:val="restart"/>
            <w:tcBorders>
              <w:tl2br w:val="nil"/>
              <w:tr2bl w:val="nil"/>
            </w:tcBorders>
            <w:vAlign w:val="center"/>
          </w:tcPr>
          <w:p w14:paraId="57024FC0">
            <w:pPr>
              <w:adjustRightInd w:val="0"/>
              <w:snapToGrid w:val="0"/>
              <w:spacing w:before="0" w:beforeLines="0" w:line="240" w:lineRule="auto"/>
              <w:jc w:val="center"/>
              <w:rPr>
                <w:szCs w:val="21"/>
              </w:rPr>
            </w:pPr>
            <w:r>
              <w:rPr>
                <w:szCs w:val="21"/>
              </w:rPr>
              <w:t>机制砂工艺</w:t>
            </w:r>
          </w:p>
        </w:tc>
        <w:tc>
          <w:tcPr>
            <w:tcW w:w="2958" w:type="pct"/>
            <w:gridSpan w:val="2"/>
            <w:tcBorders>
              <w:tl2br w:val="nil"/>
              <w:tr2bl w:val="nil"/>
            </w:tcBorders>
            <w:vAlign w:val="center"/>
          </w:tcPr>
          <w:p w14:paraId="0EBA5A29">
            <w:pPr>
              <w:adjustRightInd w:val="0"/>
              <w:snapToGrid w:val="0"/>
              <w:spacing w:before="0" w:beforeLines="0" w:line="240" w:lineRule="auto"/>
              <w:rPr>
                <w:szCs w:val="21"/>
              </w:rPr>
            </w:pPr>
            <w:r>
              <w:rPr>
                <w:rFonts w:hint="eastAsia"/>
                <w:szCs w:val="21"/>
              </w:rPr>
              <w:t>原料上料及</w:t>
            </w:r>
            <w:r>
              <w:rPr>
                <w:szCs w:val="21"/>
              </w:rPr>
              <w:t>一次筛分</w:t>
            </w:r>
            <w:r>
              <w:rPr>
                <w:rFonts w:hint="eastAsia"/>
                <w:szCs w:val="21"/>
              </w:rPr>
              <w:t>上料、生产产生的废气</w:t>
            </w:r>
            <w:r>
              <w:rPr>
                <w:szCs w:val="21"/>
              </w:rPr>
              <w:t>经集气罩收集+1#袋式除尘器处理后，由一根</w:t>
            </w:r>
            <w:r>
              <w:rPr>
                <w:rFonts w:hint="eastAsia"/>
                <w:szCs w:val="21"/>
              </w:rPr>
              <w:t>20</w:t>
            </w:r>
            <w:r>
              <w:rPr>
                <w:szCs w:val="21"/>
              </w:rPr>
              <w:t>m高排气筒（DA001）高空排放。</w:t>
            </w:r>
          </w:p>
        </w:tc>
        <w:tc>
          <w:tcPr>
            <w:tcW w:w="563" w:type="pct"/>
            <w:vMerge w:val="restart"/>
            <w:tcBorders>
              <w:tl2br w:val="nil"/>
              <w:tr2bl w:val="nil"/>
            </w:tcBorders>
            <w:vAlign w:val="center"/>
          </w:tcPr>
          <w:p w14:paraId="1E218F78">
            <w:pPr>
              <w:adjustRightInd w:val="0"/>
              <w:snapToGrid w:val="0"/>
              <w:spacing w:before="0" w:beforeLines="0" w:line="240" w:lineRule="auto"/>
              <w:jc w:val="center"/>
              <w:rPr>
                <w:kern w:val="32"/>
                <w:szCs w:val="21"/>
              </w:rPr>
            </w:pPr>
            <w:r>
              <w:rPr>
                <w:kern w:val="32"/>
                <w:szCs w:val="21"/>
              </w:rPr>
              <w:t>1#厂区</w:t>
            </w:r>
          </w:p>
        </w:tc>
      </w:tr>
      <w:tr w14:paraId="04C5933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64" w:hRule="atLeast"/>
          <w:jc w:val="center"/>
        </w:trPr>
        <w:tc>
          <w:tcPr>
            <w:tcW w:w="341" w:type="pct"/>
            <w:vMerge w:val="continue"/>
            <w:tcBorders>
              <w:tl2br w:val="nil"/>
              <w:tr2bl w:val="nil"/>
            </w:tcBorders>
            <w:vAlign w:val="center"/>
          </w:tcPr>
          <w:p w14:paraId="23E77508">
            <w:pPr>
              <w:adjustRightInd w:val="0"/>
              <w:snapToGrid w:val="0"/>
              <w:spacing w:before="0" w:beforeLines="0" w:line="240" w:lineRule="auto"/>
              <w:jc w:val="center"/>
              <w:rPr>
                <w:kern w:val="32"/>
                <w:szCs w:val="21"/>
              </w:rPr>
            </w:pPr>
          </w:p>
        </w:tc>
        <w:tc>
          <w:tcPr>
            <w:tcW w:w="588" w:type="pct"/>
            <w:vMerge w:val="continue"/>
            <w:tcBorders>
              <w:tl2br w:val="nil"/>
              <w:tr2bl w:val="nil"/>
            </w:tcBorders>
            <w:vAlign w:val="center"/>
          </w:tcPr>
          <w:p w14:paraId="0181753F">
            <w:pPr>
              <w:adjustRightInd w:val="0"/>
              <w:snapToGrid w:val="0"/>
              <w:spacing w:before="0" w:beforeLines="0" w:line="240" w:lineRule="auto"/>
              <w:jc w:val="center"/>
              <w:rPr>
                <w:kern w:val="32"/>
                <w:szCs w:val="21"/>
              </w:rPr>
            </w:pPr>
          </w:p>
        </w:tc>
        <w:tc>
          <w:tcPr>
            <w:tcW w:w="550" w:type="pct"/>
            <w:vMerge w:val="continue"/>
            <w:tcBorders>
              <w:tl2br w:val="nil"/>
              <w:tr2bl w:val="nil"/>
            </w:tcBorders>
            <w:vAlign w:val="center"/>
          </w:tcPr>
          <w:p w14:paraId="5E7BB459">
            <w:pPr>
              <w:adjustRightInd w:val="0"/>
              <w:snapToGrid w:val="0"/>
              <w:spacing w:before="0" w:beforeLines="0" w:line="240" w:lineRule="auto"/>
              <w:jc w:val="center"/>
              <w:rPr>
                <w:szCs w:val="21"/>
              </w:rPr>
            </w:pPr>
          </w:p>
        </w:tc>
        <w:tc>
          <w:tcPr>
            <w:tcW w:w="2958" w:type="pct"/>
            <w:gridSpan w:val="2"/>
            <w:tcBorders>
              <w:tl2br w:val="nil"/>
              <w:tr2bl w:val="nil"/>
            </w:tcBorders>
            <w:vAlign w:val="center"/>
          </w:tcPr>
          <w:p w14:paraId="4AC29898">
            <w:pPr>
              <w:adjustRightInd w:val="0"/>
              <w:snapToGrid w:val="0"/>
              <w:spacing w:before="0" w:beforeLines="0" w:line="240" w:lineRule="auto"/>
              <w:rPr>
                <w:szCs w:val="21"/>
              </w:rPr>
            </w:pPr>
            <w:r>
              <w:rPr>
                <w:szCs w:val="21"/>
              </w:rPr>
              <w:t>二次筛分产生的废气经集气罩收集+2#袋式除尘器处理后，由一根</w:t>
            </w:r>
            <w:r>
              <w:rPr>
                <w:rFonts w:hint="eastAsia"/>
                <w:szCs w:val="21"/>
              </w:rPr>
              <w:t>20</w:t>
            </w:r>
            <w:r>
              <w:rPr>
                <w:szCs w:val="21"/>
              </w:rPr>
              <w:t>m高排气筒（DA002）高空排放。</w:t>
            </w:r>
          </w:p>
        </w:tc>
        <w:tc>
          <w:tcPr>
            <w:tcW w:w="563" w:type="pct"/>
            <w:vMerge w:val="continue"/>
            <w:tcBorders>
              <w:tl2br w:val="nil"/>
              <w:tr2bl w:val="nil"/>
            </w:tcBorders>
            <w:vAlign w:val="center"/>
          </w:tcPr>
          <w:p w14:paraId="2664D17E">
            <w:pPr>
              <w:adjustRightInd w:val="0"/>
              <w:snapToGrid w:val="0"/>
              <w:spacing w:before="0" w:beforeLines="0" w:line="240" w:lineRule="auto"/>
              <w:jc w:val="center"/>
              <w:rPr>
                <w:kern w:val="32"/>
                <w:szCs w:val="21"/>
              </w:rPr>
            </w:pPr>
          </w:p>
        </w:tc>
      </w:tr>
      <w:tr w14:paraId="7085434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64" w:hRule="atLeast"/>
          <w:jc w:val="center"/>
        </w:trPr>
        <w:tc>
          <w:tcPr>
            <w:tcW w:w="341" w:type="pct"/>
            <w:vMerge w:val="continue"/>
            <w:tcBorders>
              <w:tl2br w:val="nil"/>
              <w:tr2bl w:val="nil"/>
            </w:tcBorders>
            <w:vAlign w:val="center"/>
          </w:tcPr>
          <w:p w14:paraId="2AAC45B2">
            <w:pPr>
              <w:adjustRightInd w:val="0"/>
              <w:snapToGrid w:val="0"/>
              <w:spacing w:before="0" w:beforeLines="0" w:line="240" w:lineRule="auto"/>
              <w:jc w:val="center"/>
              <w:rPr>
                <w:kern w:val="32"/>
                <w:szCs w:val="21"/>
              </w:rPr>
            </w:pPr>
          </w:p>
        </w:tc>
        <w:tc>
          <w:tcPr>
            <w:tcW w:w="588" w:type="pct"/>
            <w:vMerge w:val="continue"/>
            <w:tcBorders>
              <w:tl2br w:val="nil"/>
              <w:tr2bl w:val="nil"/>
            </w:tcBorders>
            <w:vAlign w:val="center"/>
          </w:tcPr>
          <w:p w14:paraId="2DFA8C6A">
            <w:pPr>
              <w:adjustRightInd w:val="0"/>
              <w:snapToGrid w:val="0"/>
              <w:spacing w:before="0" w:beforeLines="0" w:line="240" w:lineRule="auto"/>
              <w:jc w:val="center"/>
              <w:rPr>
                <w:kern w:val="32"/>
                <w:szCs w:val="21"/>
              </w:rPr>
            </w:pPr>
          </w:p>
        </w:tc>
        <w:tc>
          <w:tcPr>
            <w:tcW w:w="550" w:type="pct"/>
            <w:vMerge w:val="continue"/>
            <w:tcBorders>
              <w:tl2br w:val="nil"/>
              <w:tr2bl w:val="nil"/>
            </w:tcBorders>
            <w:vAlign w:val="center"/>
          </w:tcPr>
          <w:p w14:paraId="7FE994AC">
            <w:pPr>
              <w:adjustRightInd w:val="0"/>
              <w:snapToGrid w:val="0"/>
              <w:spacing w:before="0" w:beforeLines="0" w:line="240" w:lineRule="auto"/>
              <w:jc w:val="center"/>
              <w:rPr>
                <w:szCs w:val="21"/>
              </w:rPr>
            </w:pPr>
          </w:p>
        </w:tc>
        <w:tc>
          <w:tcPr>
            <w:tcW w:w="2958" w:type="pct"/>
            <w:gridSpan w:val="2"/>
            <w:tcBorders>
              <w:tl2br w:val="nil"/>
              <w:tr2bl w:val="nil"/>
            </w:tcBorders>
            <w:vAlign w:val="center"/>
          </w:tcPr>
          <w:p w14:paraId="3EF98657">
            <w:pPr>
              <w:adjustRightInd w:val="0"/>
              <w:snapToGrid w:val="0"/>
              <w:spacing w:before="0" w:beforeLines="0" w:line="240" w:lineRule="auto"/>
              <w:rPr>
                <w:szCs w:val="21"/>
              </w:rPr>
            </w:pPr>
            <w:r>
              <w:rPr>
                <w:szCs w:val="21"/>
              </w:rPr>
              <w:t>粗磁选产生的废气经集气罩收集</w:t>
            </w:r>
            <w:r>
              <w:rPr>
                <w:rFonts w:hint="eastAsia"/>
                <w:szCs w:val="21"/>
              </w:rPr>
              <w:t>、</w:t>
            </w:r>
            <w:r>
              <w:rPr>
                <w:szCs w:val="21"/>
              </w:rPr>
              <w:t>抛砂分离产生的废气+3#袋式除尘器处理后，由一根</w:t>
            </w:r>
            <w:r>
              <w:rPr>
                <w:rFonts w:hint="eastAsia"/>
                <w:szCs w:val="21"/>
              </w:rPr>
              <w:t>20</w:t>
            </w:r>
            <w:r>
              <w:rPr>
                <w:szCs w:val="21"/>
              </w:rPr>
              <w:t>m高排气筒（DA003）高空排放。</w:t>
            </w:r>
          </w:p>
        </w:tc>
        <w:tc>
          <w:tcPr>
            <w:tcW w:w="563" w:type="pct"/>
            <w:vMerge w:val="continue"/>
            <w:tcBorders>
              <w:tl2br w:val="nil"/>
              <w:tr2bl w:val="nil"/>
            </w:tcBorders>
            <w:vAlign w:val="center"/>
          </w:tcPr>
          <w:p w14:paraId="05A39B30">
            <w:pPr>
              <w:adjustRightInd w:val="0"/>
              <w:snapToGrid w:val="0"/>
              <w:spacing w:before="0" w:beforeLines="0" w:line="240" w:lineRule="auto"/>
              <w:jc w:val="center"/>
              <w:rPr>
                <w:kern w:val="32"/>
                <w:szCs w:val="21"/>
              </w:rPr>
            </w:pPr>
          </w:p>
        </w:tc>
      </w:tr>
      <w:tr w14:paraId="0297C95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64" w:hRule="atLeast"/>
          <w:jc w:val="center"/>
        </w:trPr>
        <w:tc>
          <w:tcPr>
            <w:tcW w:w="341" w:type="pct"/>
            <w:vMerge w:val="continue"/>
            <w:tcBorders>
              <w:tl2br w:val="nil"/>
              <w:tr2bl w:val="nil"/>
            </w:tcBorders>
            <w:vAlign w:val="center"/>
          </w:tcPr>
          <w:p w14:paraId="711CCBA2">
            <w:pPr>
              <w:adjustRightInd w:val="0"/>
              <w:snapToGrid w:val="0"/>
              <w:spacing w:before="0" w:beforeLines="0" w:line="240" w:lineRule="auto"/>
              <w:jc w:val="center"/>
              <w:rPr>
                <w:kern w:val="32"/>
                <w:szCs w:val="21"/>
              </w:rPr>
            </w:pPr>
          </w:p>
        </w:tc>
        <w:tc>
          <w:tcPr>
            <w:tcW w:w="588" w:type="pct"/>
            <w:vMerge w:val="continue"/>
            <w:tcBorders>
              <w:tl2br w:val="nil"/>
              <w:tr2bl w:val="nil"/>
            </w:tcBorders>
            <w:vAlign w:val="center"/>
          </w:tcPr>
          <w:p w14:paraId="78BCEF7F">
            <w:pPr>
              <w:adjustRightInd w:val="0"/>
              <w:snapToGrid w:val="0"/>
              <w:spacing w:before="0" w:beforeLines="0" w:line="240" w:lineRule="auto"/>
              <w:jc w:val="center"/>
              <w:rPr>
                <w:kern w:val="32"/>
                <w:szCs w:val="21"/>
              </w:rPr>
            </w:pPr>
          </w:p>
        </w:tc>
        <w:tc>
          <w:tcPr>
            <w:tcW w:w="550" w:type="pct"/>
            <w:tcBorders>
              <w:tl2br w:val="nil"/>
              <w:tr2bl w:val="nil"/>
            </w:tcBorders>
            <w:vAlign w:val="center"/>
          </w:tcPr>
          <w:p w14:paraId="033CDFD7">
            <w:pPr>
              <w:adjustRightInd w:val="0"/>
              <w:snapToGrid w:val="0"/>
              <w:spacing w:before="0" w:beforeLines="0" w:line="240" w:lineRule="auto"/>
              <w:jc w:val="center"/>
              <w:rPr>
                <w:szCs w:val="21"/>
              </w:rPr>
            </w:pPr>
            <w:r>
              <w:rPr>
                <w:szCs w:val="21"/>
              </w:rPr>
              <w:t>碎石工艺</w:t>
            </w:r>
          </w:p>
        </w:tc>
        <w:tc>
          <w:tcPr>
            <w:tcW w:w="2958" w:type="pct"/>
            <w:gridSpan w:val="2"/>
            <w:tcBorders>
              <w:tl2br w:val="nil"/>
              <w:tr2bl w:val="nil"/>
            </w:tcBorders>
            <w:vAlign w:val="center"/>
          </w:tcPr>
          <w:p w14:paraId="5163E298">
            <w:pPr>
              <w:adjustRightInd w:val="0"/>
              <w:snapToGrid w:val="0"/>
              <w:spacing w:before="0" w:beforeLines="0" w:line="240" w:lineRule="auto"/>
              <w:rPr>
                <w:szCs w:val="21"/>
              </w:rPr>
            </w:pPr>
            <w:r>
              <w:rPr>
                <w:kern w:val="0"/>
                <w:szCs w:val="21"/>
              </w:rPr>
              <w:t>颚式破碎、圆锥破碎、一段干式磁选</w:t>
            </w:r>
            <w:r>
              <w:rPr>
                <w:rFonts w:hint="eastAsia"/>
                <w:kern w:val="0"/>
                <w:szCs w:val="21"/>
              </w:rPr>
              <w:t>、精</w:t>
            </w:r>
            <w:r>
              <w:rPr>
                <w:kern w:val="0"/>
                <w:szCs w:val="21"/>
              </w:rPr>
              <w:t>筛分、破碎、二段干式磁选产生废气经集气罩收集+</w:t>
            </w:r>
            <w:r>
              <w:rPr>
                <w:rFonts w:hint="eastAsia"/>
                <w:kern w:val="0"/>
                <w:szCs w:val="21"/>
              </w:rPr>
              <w:t>4</w:t>
            </w:r>
            <w:r>
              <w:rPr>
                <w:kern w:val="0"/>
                <w:szCs w:val="21"/>
              </w:rPr>
              <w:t>#袋式除尘器处理后，由一根</w:t>
            </w:r>
            <w:r>
              <w:rPr>
                <w:rFonts w:hint="eastAsia"/>
                <w:kern w:val="0"/>
                <w:szCs w:val="21"/>
              </w:rPr>
              <w:t>20</w:t>
            </w:r>
            <w:r>
              <w:rPr>
                <w:kern w:val="0"/>
                <w:szCs w:val="21"/>
              </w:rPr>
              <w:t>m高排气筒（DA00</w:t>
            </w:r>
            <w:r>
              <w:rPr>
                <w:rFonts w:hint="eastAsia"/>
                <w:kern w:val="0"/>
                <w:szCs w:val="21"/>
              </w:rPr>
              <w:t>4</w:t>
            </w:r>
            <w:r>
              <w:rPr>
                <w:kern w:val="0"/>
                <w:szCs w:val="21"/>
              </w:rPr>
              <w:t>）高空排放。</w:t>
            </w:r>
          </w:p>
        </w:tc>
        <w:tc>
          <w:tcPr>
            <w:tcW w:w="563" w:type="pct"/>
            <w:tcBorders>
              <w:tl2br w:val="nil"/>
              <w:tr2bl w:val="nil"/>
            </w:tcBorders>
            <w:vAlign w:val="center"/>
          </w:tcPr>
          <w:p w14:paraId="7FF8B07E">
            <w:pPr>
              <w:adjustRightInd w:val="0"/>
              <w:snapToGrid w:val="0"/>
              <w:spacing w:before="0" w:beforeLines="0" w:line="240" w:lineRule="auto"/>
              <w:jc w:val="center"/>
              <w:rPr>
                <w:kern w:val="32"/>
                <w:szCs w:val="21"/>
              </w:rPr>
            </w:pPr>
            <w:r>
              <w:rPr>
                <w:kern w:val="32"/>
                <w:szCs w:val="21"/>
              </w:rPr>
              <w:t>2#厂区</w:t>
            </w:r>
          </w:p>
        </w:tc>
      </w:tr>
      <w:tr w14:paraId="4055862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618" w:hRule="atLeast"/>
          <w:jc w:val="center"/>
        </w:trPr>
        <w:tc>
          <w:tcPr>
            <w:tcW w:w="341" w:type="pct"/>
            <w:vMerge w:val="continue"/>
            <w:tcBorders>
              <w:tl2br w:val="nil"/>
              <w:tr2bl w:val="nil"/>
            </w:tcBorders>
            <w:vAlign w:val="center"/>
          </w:tcPr>
          <w:p w14:paraId="1414A45E">
            <w:pPr>
              <w:adjustRightInd w:val="0"/>
              <w:snapToGrid w:val="0"/>
              <w:spacing w:before="0" w:beforeLines="0" w:line="240" w:lineRule="auto"/>
              <w:jc w:val="center"/>
              <w:rPr>
                <w:kern w:val="32"/>
                <w:szCs w:val="21"/>
              </w:rPr>
            </w:pPr>
          </w:p>
        </w:tc>
        <w:tc>
          <w:tcPr>
            <w:tcW w:w="588" w:type="pct"/>
            <w:vMerge w:val="continue"/>
            <w:tcBorders>
              <w:tl2br w:val="nil"/>
              <w:tr2bl w:val="nil"/>
            </w:tcBorders>
            <w:vAlign w:val="center"/>
          </w:tcPr>
          <w:p w14:paraId="76F26ABC">
            <w:pPr>
              <w:adjustRightInd w:val="0"/>
              <w:snapToGrid w:val="0"/>
              <w:spacing w:before="0" w:beforeLines="0" w:line="240" w:lineRule="auto"/>
              <w:jc w:val="center"/>
              <w:rPr>
                <w:kern w:val="32"/>
                <w:szCs w:val="21"/>
              </w:rPr>
            </w:pPr>
          </w:p>
        </w:tc>
        <w:tc>
          <w:tcPr>
            <w:tcW w:w="550" w:type="pct"/>
            <w:tcBorders>
              <w:tl2br w:val="nil"/>
              <w:tr2bl w:val="nil"/>
            </w:tcBorders>
            <w:vAlign w:val="center"/>
          </w:tcPr>
          <w:p w14:paraId="4CF5B52B">
            <w:pPr>
              <w:adjustRightInd w:val="0"/>
              <w:snapToGrid w:val="0"/>
              <w:spacing w:before="0" w:beforeLines="0" w:line="240" w:lineRule="auto"/>
              <w:jc w:val="center"/>
              <w:rPr>
                <w:szCs w:val="21"/>
              </w:rPr>
            </w:pPr>
            <w:r>
              <w:rPr>
                <w:szCs w:val="21"/>
              </w:rPr>
              <w:t>厂房内无组织废气</w:t>
            </w:r>
          </w:p>
        </w:tc>
        <w:tc>
          <w:tcPr>
            <w:tcW w:w="2958" w:type="pct"/>
            <w:gridSpan w:val="2"/>
            <w:tcBorders>
              <w:tl2br w:val="nil"/>
              <w:tr2bl w:val="nil"/>
            </w:tcBorders>
            <w:vAlign w:val="center"/>
          </w:tcPr>
          <w:p w14:paraId="09340AAA">
            <w:pPr>
              <w:adjustRightInd w:val="0"/>
              <w:snapToGrid w:val="0"/>
              <w:spacing w:before="0" w:beforeLines="0" w:line="240" w:lineRule="auto"/>
              <w:rPr>
                <w:szCs w:val="21"/>
              </w:rPr>
            </w:pPr>
            <w:r>
              <w:rPr>
                <w:kern w:val="0"/>
                <w:szCs w:val="21"/>
              </w:rPr>
              <w:t>车间</w:t>
            </w:r>
            <w:r>
              <w:rPr>
                <w:rFonts w:hint="eastAsia"/>
                <w:kern w:val="0"/>
                <w:szCs w:val="21"/>
              </w:rPr>
              <w:t>封</w:t>
            </w:r>
            <w:r>
              <w:rPr>
                <w:kern w:val="0"/>
                <w:szCs w:val="21"/>
              </w:rPr>
              <w:t>闭</w:t>
            </w:r>
            <w:r>
              <w:rPr>
                <w:rFonts w:hint="eastAsia"/>
                <w:kern w:val="0"/>
                <w:szCs w:val="21"/>
              </w:rPr>
              <w:t>、门窗关闭、地面硬化、</w:t>
            </w:r>
            <w:r>
              <w:rPr>
                <w:szCs w:val="21"/>
              </w:rPr>
              <w:t>洒水降尘</w:t>
            </w:r>
            <w:r>
              <w:rPr>
                <w:rFonts w:hint="eastAsia"/>
                <w:kern w:val="0"/>
                <w:szCs w:val="21"/>
                <w:lang w:bidi="ar"/>
              </w:rPr>
              <w:t>等措施</w:t>
            </w:r>
            <w:r>
              <w:rPr>
                <w:kern w:val="0"/>
                <w:szCs w:val="21"/>
              </w:rPr>
              <w:t>。</w:t>
            </w:r>
          </w:p>
        </w:tc>
        <w:tc>
          <w:tcPr>
            <w:tcW w:w="563" w:type="pct"/>
            <w:tcBorders>
              <w:tl2br w:val="nil"/>
              <w:tr2bl w:val="nil"/>
            </w:tcBorders>
            <w:vAlign w:val="center"/>
          </w:tcPr>
          <w:p w14:paraId="2C89DFA5">
            <w:pPr>
              <w:adjustRightInd w:val="0"/>
              <w:snapToGrid w:val="0"/>
              <w:spacing w:before="0" w:beforeLines="0" w:line="240" w:lineRule="auto"/>
              <w:jc w:val="center"/>
              <w:rPr>
                <w:kern w:val="32"/>
                <w:szCs w:val="21"/>
              </w:rPr>
            </w:pPr>
            <w:r>
              <w:rPr>
                <w:kern w:val="32"/>
                <w:szCs w:val="21"/>
              </w:rPr>
              <w:t>1#、2#厂区</w:t>
            </w:r>
          </w:p>
        </w:tc>
      </w:tr>
      <w:tr w14:paraId="789A9F7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64" w:hRule="atLeast"/>
          <w:jc w:val="center"/>
        </w:trPr>
        <w:tc>
          <w:tcPr>
            <w:tcW w:w="341" w:type="pct"/>
            <w:vMerge w:val="continue"/>
            <w:tcBorders>
              <w:tl2br w:val="nil"/>
              <w:tr2bl w:val="nil"/>
            </w:tcBorders>
            <w:vAlign w:val="center"/>
          </w:tcPr>
          <w:p w14:paraId="2C08250A">
            <w:pPr>
              <w:adjustRightInd w:val="0"/>
              <w:snapToGrid w:val="0"/>
              <w:spacing w:before="0" w:beforeLines="0" w:line="240" w:lineRule="auto"/>
              <w:jc w:val="center"/>
              <w:rPr>
                <w:kern w:val="32"/>
                <w:szCs w:val="21"/>
              </w:rPr>
            </w:pPr>
          </w:p>
        </w:tc>
        <w:tc>
          <w:tcPr>
            <w:tcW w:w="588" w:type="pct"/>
            <w:vMerge w:val="continue"/>
            <w:tcBorders>
              <w:tl2br w:val="nil"/>
              <w:tr2bl w:val="nil"/>
            </w:tcBorders>
            <w:vAlign w:val="center"/>
          </w:tcPr>
          <w:p w14:paraId="4F81C42D">
            <w:pPr>
              <w:adjustRightInd w:val="0"/>
              <w:snapToGrid w:val="0"/>
              <w:spacing w:before="0" w:beforeLines="0" w:line="240" w:lineRule="auto"/>
              <w:jc w:val="center"/>
              <w:rPr>
                <w:kern w:val="32"/>
                <w:szCs w:val="21"/>
              </w:rPr>
            </w:pPr>
          </w:p>
        </w:tc>
        <w:tc>
          <w:tcPr>
            <w:tcW w:w="550" w:type="pct"/>
            <w:tcBorders>
              <w:tl2br w:val="nil"/>
              <w:tr2bl w:val="nil"/>
            </w:tcBorders>
            <w:vAlign w:val="center"/>
          </w:tcPr>
          <w:p w14:paraId="404FE07E">
            <w:pPr>
              <w:adjustRightInd w:val="0"/>
              <w:snapToGrid w:val="0"/>
              <w:spacing w:before="0" w:beforeLines="0" w:line="240" w:lineRule="auto"/>
              <w:jc w:val="center"/>
              <w:rPr>
                <w:szCs w:val="21"/>
              </w:rPr>
            </w:pPr>
            <w:r>
              <w:rPr>
                <w:kern w:val="0"/>
                <w:szCs w:val="21"/>
              </w:rPr>
              <w:t>道路运输起尘</w:t>
            </w:r>
          </w:p>
        </w:tc>
        <w:tc>
          <w:tcPr>
            <w:tcW w:w="2958" w:type="pct"/>
            <w:gridSpan w:val="2"/>
            <w:tcBorders>
              <w:tl2br w:val="nil"/>
              <w:tr2bl w:val="nil"/>
            </w:tcBorders>
            <w:vAlign w:val="center"/>
          </w:tcPr>
          <w:p w14:paraId="53641C10">
            <w:pPr>
              <w:adjustRightInd w:val="0"/>
              <w:snapToGrid w:val="0"/>
              <w:spacing w:before="0" w:beforeLines="0" w:line="240" w:lineRule="auto"/>
              <w:rPr>
                <w:szCs w:val="21"/>
              </w:rPr>
            </w:pPr>
            <w:r>
              <w:rPr>
                <w:rFonts w:hint="eastAsia"/>
                <w:kern w:val="0"/>
                <w:szCs w:val="21"/>
              </w:rPr>
              <w:t>厂区道路地面硬化，</w:t>
            </w:r>
            <w:r>
              <w:rPr>
                <w:kern w:val="0"/>
                <w:szCs w:val="21"/>
              </w:rPr>
              <w:t>洒水抑尘、禁止车辆超载、覆盖苫布</w:t>
            </w:r>
            <w:r>
              <w:rPr>
                <w:rFonts w:hint="eastAsia"/>
                <w:kern w:val="0"/>
                <w:szCs w:val="21"/>
              </w:rPr>
              <w:t>等措施</w:t>
            </w:r>
            <w:r>
              <w:rPr>
                <w:kern w:val="0"/>
                <w:szCs w:val="21"/>
              </w:rPr>
              <w:t>。</w:t>
            </w:r>
          </w:p>
        </w:tc>
        <w:tc>
          <w:tcPr>
            <w:tcW w:w="563" w:type="pct"/>
            <w:tcBorders>
              <w:tl2br w:val="nil"/>
              <w:tr2bl w:val="nil"/>
            </w:tcBorders>
            <w:vAlign w:val="center"/>
          </w:tcPr>
          <w:p w14:paraId="429566EE">
            <w:pPr>
              <w:adjustRightInd w:val="0"/>
              <w:snapToGrid w:val="0"/>
              <w:spacing w:before="0" w:beforeLines="0" w:line="240" w:lineRule="auto"/>
              <w:jc w:val="center"/>
              <w:rPr>
                <w:kern w:val="32"/>
                <w:szCs w:val="21"/>
              </w:rPr>
            </w:pPr>
            <w:r>
              <w:rPr>
                <w:kern w:val="32"/>
                <w:szCs w:val="21"/>
              </w:rPr>
              <w:t>1#、2#厂区</w:t>
            </w:r>
          </w:p>
        </w:tc>
      </w:tr>
      <w:tr w14:paraId="1350ABB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64" w:hRule="atLeast"/>
          <w:jc w:val="center"/>
        </w:trPr>
        <w:tc>
          <w:tcPr>
            <w:tcW w:w="341" w:type="pct"/>
            <w:vMerge w:val="continue"/>
            <w:tcBorders>
              <w:tl2br w:val="nil"/>
              <w:tr2bl w:val="nil"/>
            </w:tcBorders>
            <w:vAlign w:val="center"/>
          </w:tcPr>
          <w:p w14:paraId="5EE54EE2">
            <w:pPr>
              <w:adjustRightInd w:val="0"/>
              <w:snapToGrid w:val="0"/>
              <w:spacing w:before="0" w:beforeLines="0" w:line="240" w:lineRule="auto"/>
              <w:jc w:val="center"/>
              <w:rPr>
                <w:kern w:val="32"/>
                <w:szCs w:val="21"/>
              </w:rPr>
            </w:pPr>
          </w:p>
        </w:tc>
        <w:tc>
          <w:tcPr>
            <w:tcW w:w="588" w:type="pct"/>
            <w:vMerge w:val="continue"/>
            <w:tcBorders>
              <w:tl2br w:val="nil"/>
              <w:tr2bl w:val="nil"/>
            </w:tcBorders>
            <w:vAlign w:val="center"/>
          </w:tcPr>
          <w:p w14:paraId="1E10113D">
            <w:pPr>
              <w:adjustRightInd w:val="0"/>
              <w:snapToGrid w:val="0"/>
              <w:spacing w:before="0" w:beforeLines="0" w:line="240" w:lineRule="auto"/>
              <w:jc w:val="center"/>
              <w:rPr>
                <w:kern w:val="32"/>
                <w:szCs w:val="21"/>
              </w:rPr>
            </w:pPr>
          </w:p>
        </w:tc>
        <w:tc>
          <w:tcPr>
            <w:tcW w:w="550" w:type="pct"/>
            <w:tcBorders>
              <w:tl2br w:val="nil"/>
              <w:tr2bl w:val="nil"/>
            </w:tcBorders>
            <w:vAlign w:val="center"/>
          </w:tcPr>
          <w:p w14:paraId="69722288">
            <w:pPr>
              <w:adjustRightInd w:val="0"/>
              <w:snapToGrid w:val="0"/>
              <w:spacing w:before="0" w:beforeLines="0" w:line="240" w:lineRule="auto"/>
              <w:jc w:val="center"/>
              <w:rPr>
                <w:kern w:val="0"/>
                <w:szCs w:val="21"/>
              </w:rPr>
            </w:pPr>
            <w:r>
              <w:rPr>
                <w:kern w:val="0"/>
                <w:szCs w:val="21"/>
              </w:rPr>
              <w:t>皮带廊道</w:t>
            </w:r>
          </w:p>
        </w:tc>
        <w:tc>
          <w:tcPr>
            <w:tcW w:w="2958" w:type="pct"/>
            <w:gridSpan w:val="2"/>
            <w:tcBorders>
              <w:tl2br w:val="nil"/>
              <w:tr2bl w:val="nil"/>
            </w:tcBorders>
            <w:vAlign w:val="center"/>
          </w:tcPr>
          <w:p w14:paraId="5AA39F49">
            <w:pPr>
              <w:adjustRightInd w:val="0"/>
              <w:snapToGrid w:val="0"/>
              <w:spacing w:before="0" w:beforeLines="0" w:line="240" w:lineRule="auto"/>
              <w:rPr>
                <w:kern w:val="0"/>
                <w:szCs w:val="21"/>
              </w:rPr>
            </w:pPr>
            <w:r>
              <w:rPr>
                <w:kern w:val="0"/>
                <w:szCs w:val="21"/>
              </w:rPr>
              <w:t>皮带廊道均封闭。</w:t>
            </w:r>
          </w:p>
        </w:tc>
        <w:tc>
          <w:tcPr>
            <w:tcW w:w="563" w:type="pct"/>
            <w:tcBorders>
              <w:tl2br w:val="nil"/>
              <w:tr2bl w:val="nil"/>
            </w:tcBorders>
            <w:vAlign w:val="center"/>
          </w:tcPr>
          <w:p w14:paraId="5222923A">
            <w:pPr>
              <w:adjustRightInd w:val="0"/>
              <w:snapToGrid w:val="0"/>
              <w:spacing w:before="0" w:beforeLines="0" w:line="240" w:lineRule="auto"/>
              <w:jc w:val="center"/>
              <w:rPr>
                <w:kern w:val="32"/>
                <w:szCs w:val="21"/>
              </w:rPr>
            </w:pPr>
            <w:r>
              <w:rPr>
                <w:kern w:val="32"/>
                <w:szCs w:val="21"/>
              </w:rPr>
              <w:t>1#、2#厂区</w:t>
            </w:r>
          </w:p>
        </w:tc>
      </w:tr>
      <w:tr w14:paraId="396011F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70" w:hRule="atLeast"/>
          <w:jc w:val="center"/>
        </w:trPr>
        <w:tc>
          <w:tcPr>
            <w:tcW w:w="341" w:type="pct"/>
            <w:vMerge w:val="continue"/>
            <w:tcBorders>
              <w:tl2br w:val="nil"/>
              <w:tr2bl w:val="nil"/>
            </w:tcBorders>
            <w:vAlign w:val="center"/>
          </w:tcPr>
          <w:p w14:paraId="18D75901">
            <w:pPr>
              <w:adjustRightInd w:val="0"/>
              <w:snapToGrid w:val="0"/>
              <w:spacing w:before="0" w:beforeLines="0" w:line="240" w:lineRule="auto"/>
              <w:jc w:val="center"/>
              <w:rPr>
                <w:kern w:val="32"/>
                <w:szCs w:val="21"/>
              </w:rPr>
            </w:pPr>
          </w:p>
        </w:tc>
        <w:tc>
          <w:tcPr>
            <w:tcW w:w="588" w:type="pct"/>
            <w:vMerge w:val="restart"/>
            <w:tcBorders>
              <w:tl2br w:val="nil"/>
              <w:tr2bl w:val="nil"/>
            </w:tcBorders>
            <w:vAlign w:val="center"/>
          </w:tcPr>
          <w:p w14:paraId="187E3B94">
            <w:pPr>
              <w:adjustRightInd w:val="0"/>
              <w:snapToGrid w:val="0"/>
              <w:spacing w:before="0" w:beforeLines="0" w:line="240" w:lineRule="auto"/>
              <w:jc w:val="center"/>
              <w:rPr>
                <w:kern w:val="32"/>
                <w:szCs w:val="21"/>
              </w:rPr>
            </w:pPr>
            <w:r>
              <w:rPr>
                <w:kern w:val="32"/>
                <w:szCs w:val="21"/>
              </w:rPr>
              <w:t>废水处理和回用</w:t>
            </w:r>
          </w:p>
        </w:tc>
        <w:tc>
          <w:tcPr>
            <w:tcW w:w="550" w:type="pct"/>
            <w:tcBorders>
              <w:tl2br w:val="nil"/>
              <w:tr2bl w:val="nil"/>
            </w:tcBorders>
            <w:vAlign w:val="center"/>
          </w:tcPr>
          <w:p w14:paraId="3DC069CB">
            <w:pPr>
              <w:adjustRightInd w:val="0"/>
              <w:snapToGrid w:val="0"/>
              <w:spacing w:before="0" w:beforeLines="0" w:line="240" w:lineRule="auto"/>
              <w:jc w:val="center"/>
              <w:rPr>
                <w:kern w:val="32"/>
                <w:szCs w:val="21"/>
              </w:rPr>
            </w:pPr>
            <w:r>
              <w:rPr>
                <w:kern w:val="32"/>
                <w:szCs w:val="21"/>
              </w:rPr>
              <w:t>生活污水</w:t>
            </w:r>
          </w:p>
        </w:tc>
        <w:tc>
          <w:tcPr>
            <w:tcW w:w="2958" w:type="pct"/>
            <w:gridSpan w:val="2"/>
            <w:tcBorders>
              <w:tl2br w:val="nil"/>
              <w:tr2bl w:val="nil"/>
            </w:tcBorders>
            <w:vAlign w:val="center"/>
          </w:tcPr>
          <w:p w14:paraId="19A76019">
            <w:pPr>
              <w:adjustRightInd w:val="0"/>
              <w:snapToGrid w:val="0"/>
              <w:spacing w:before="0" w:beforeLines="0" w:line="240" w:lineRule="auto"/>
              <w:rPr>
                <w:kern w:val="32"/>
                <w:szCs w:val="21"/>
              </w:rPr>
            </w:pPr>
            <w:r>
              <w:rPr>
                <w:szCs w:val="21"/>
              </w:rPr>
              <w:t>排入化粪池，定期清掏。</w:t>
            </w:r>
          </w:p>
        </w:tc>
        <w:tc>
          <w:tcPr>
            <w:tcW w:w="563" w:type="pct"/>
            <w:tcBorders>
              <w:tl2br w:val="nil"/>
              <w:tr2bl w:val="nil"/>
            </w:tcBorders>
            <w:vAlign w:val="center"/>
          </w:tcPr>
          <w:p w14:paraId="451E6045">
            <w:pPr>
              <w:adjustRightInd w:val="0"/>
              <w:snapToGrid w:val="0"/>
              <w:spacing w:before="0" w:beforeLines="0" w:line="240" w:lineRule="auto"/>
              <w:jc w:val="center"/>
              <w:rPr>
                <w:szCs w:val="21"/>
              </w:rPr>
            </w:pPr>
            <w:r>
              <w:rPr>
                <w:kern w:val="32"/>
                <w:szCs w:val="21"/>
              </w:rPr>
              <w:t>1#厂区</w:t>
            </w:r>
          </w:p>
        </w:tc>
      </w:tr>
      <w:tr w14:paraId="3DB4D03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70" w:hRule="atLeast"/>
          <w:jc w:val="center"/>
        </w:trPr>
        <w:tc>
          <w:tcPr>
            <w:tcW w:w="341" w:type="pct"/>
            <w:vMerge w:val="continue"/>
            <w:tcBorders>
              <w:tl2br w:val="nil"/>
              <w:tr2bl w:val="nil"/>
            </w:tcBorders>
            <w:vAlign w:val="center"/>
          </w:tcPr>
          <w:p w14:paraId="6FC89552">
            <w:pPr>
              <w:adjustRightInd w:val="0"/>
              <w:snapToGrid w:val="0"/>
              <w:spacing w:before="0" w:beforeLines="0" w:line="240" w:lineRule="auto"/>
              <w:jc w:val="center"/>
              <w:rPr>
                <w:kern w:val="32"/>
                <w:szCs w:val="21"/>
              </w:rPr>
            </w:pPr>
          </w:p>
        </w:tc>
        <w:tc>
          <w:tcPr>
            <w:tcW w:w="588" w:type="pct"/>
            <w:vMerge w:val="continue"/>
            <w:tcBorders>
              <w:tl2br w:val="nil"/>
              <w:tr2bl w:val="nil"/>
            </w:tcBorders>
            <w:vAlign w:val="center"/>
          </w:tcPr>
          <w:p w14:paraId="7D155A5B">
            <w:pPr>
              <w:adjustRightInd w:val="0"/>
              <w:snapToGrid w:val="0"/>
              <w:spacing w:before="0" w:beforeLines="0" w:line="240" w:lineRule="auto"/>
              <w:jc w:val="center"/>
              <w:rPr>
                <w:kern w:val="32"/>
                <w:szCs w:val="21"/>
              </w:rPr>
            </w:pPr>
          </w:p>
        </w:tc>
        <w:tc>
          <w:tcPr>
            <w:tcW w:w="550" w:type="pct"/>
            <w:tcBorders>
              <w:tl2br w:val="nil"/>
              <w:tr2bl w:val="nil"/>
            </w:tcBorders>
            <w:vAlign w:val="center"/>
          </w:tcPr>
          <w:p w14:paraId="373840BB">
            <w:pPr>
              <w:adjustRightInd w:val="0"/>
              <w:snapToGrid w:val="0"/>
              <w:spacing w:before="0" w:beforeLines="0" w:line="240" w:lineRule="auto"/>
              <w:jc w:val="center"/>
              <w:rPr>
                <w:kern w:val="32"/>
                <w:szCs w:val="21"/>
              </w:rPr>
            </w:pPr>
            <w:r>
              <w:rPr>
                <w:kern w:val="32"/>
                <w:szCs w:val="21"/>
              </w:rPr>
              <w:t>生产废水</w:t>
            </w:r>
          </w:p>
        </w:tc>
        <w:tc>
          <w:tcPr>
            <w:tcW w:w="2958" w:type="pct"/>
            <w:gridSpan w:val="2"/>
            <w:tcBorders>
              <w:tl2br w:val="nil"/>
              <w:tr2bl w:val="nil"/>
            </w:tcBorders>
            <w:vAlign w:val="center"/>
          </w:tcPr>
          <w:p w14:paraId="04182087">
            <w:pPr>
              <w:adjustRightInd w:val="0"/>
              <w:snapToGrid w:val="0"/>
              <w:spacing w:before="0" w:beforeLines="0" w:line="240" w:lineRule="auto"/>
              <w:rPr>
                <w:szCs w:val="21"/>
              </w:rPr>
            </w:pPr>
            <w:r>
              <w:rPr>
                <w:szCs w:val="21"/>
              </w:rPr>
              <w:t>脱水机废水</w:t>
            </w:r>
            <w:r>
              <w:rPr>
                <w:rFonts w:hint="eastAsia"/>
                <w:szCs w:val="21"/>
              </w:rPr>
              <w:t>排入循环水池</w:t>
            </w:r>
            <w:r>
              <w:rPr>
                <w:szCs w:val="21"/>
              </w:rPr>
              <w:t>后回用于</w:t>
            </w:r>
            <w:r>
              <w:rPr>
                <w:rFonts w:hint="eastAsia"/>
                <w:szCs w:val="21"/>
              </w:rPr>
              <w:t>生产，</w:t>
            </w:r>
            <w:r>
              <w:rPr>
                <w:szCs w:val="21"/>
              </w:rPr>
              <w:t>不外排。</w:t>
            </w:r>
          </w:p>
        </w:tc>
        <w:tc>
          <w:tcPr>
            <w:tcW w:w="563" w:type="pct"/>
            <w:tcBorders>
              <w:tl2br w:val="nil"/>
              <w:tr2bl w:val="nil"/>
            </w:tcBorders>
            <w:vAlign w:val="center"/>
          </w:tcPr>
          <w:p w14:paraId="2CA47F4F">
            <w:pPr>
              <w:adjustRightInd w:val="0"/>
              <w:snapToGrid w:val="0"/>
              <w:spacing w:before="0" w:beforeLines="0" w:line="240" w:lineRule="auto"/>
              <w:jc w:val="center"/>
              <w:rPr>
                <w:kern w:val="32"/>
                <w:szCs w:val="21"/>
              </w:rPr>
            </w:pPr>
            <w:r>
              <w:rPr>
                <w:kern w:val="32"/>
                <w:szCs w:val="21"/>
              </w:rPr>
              <w:t>1#厂区</w:t>
            </w:r>
          </w:p>
        </w:tc>
      </w:tr>
      <w:tr w14:paraId="142B64B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514" w:hRule="atLeast"/>
          <w:jc w:val="center"/>
        </w:trPr>
        <w:tc>
          <w:tcPr>
            <w:tcW w:w="341" w:type="pct"/>
            <w:vMerge w:val="continue"/>
            <w:tcBorders>
              <w:tl2br w:val="nil"/>
              <w:tr2bl w:val="nil"/>
            </w:tcBorders>
            <w:vAlign w:val="center"/>
          </w:tcPr>
          <w:p w14:paraId="359DA425">
            <w:pPr>
              <w:adjustRightInd w:val="0"/>
              <w:snapToGrid w:val="0"/>
              <w:spacing w:before="0" w:beforeLines="0" w:line="240" w:lineRule="auto"/>
              <w:jc w:val="center"/>
              <w:rPr>
                <w:kern w:val="32"/>
                <w:szCs w:val="21"/>
              </w:rPr>
            </w:pPr>
          </w:p>
        </w:tc>
        <w:tc>
          <w:tcPr>
            <w:tcW w:w="588" w:type="pct"/>
            <w:vMerge w:val="continue"/>
            <w:tcBorders>
              <w:tl2br w:val="nil"/>
              <w:tr2bl w:val="nil"/>
            </w:tcBorders>
            <w:vAlign w:val="center"/>
          </w:tcPr>
          <w:p w14:paraId="7BAEE57F">
            <w:pPr>
              <w:adjustRightInd w:val="0"/>
              <w:snapToGrid w:val="0"/>
              <w:spacing w:before="0" w:beforeLines="0" w:line="240" w:lineRule="auto"/>
              <w:jc w:val="center"/>
              <w:rPr>
                <w:kern w:val="32"/>
                <w:szCs w:val="21"/>
              </w:rPr>
            </w:pPr>
          </w:p>
        </w:tc>
        <w:tc>
          <w:tcPr>
            <w:tcW w:w="550" w:type="pct"/>
            <w:tcBorders>
              <w:tl2br w:val="nil"/>
              <w:tr2bl w:val="nil"/>
            </w:tcBorders>
            <w:vAlign w:val="center"/>
          </w:tcPr>
          <w:p w14:paraId="7FA732F7">
            <w:pPr>
              <w:adjustRightInd w:val="0"/>
              <w:snapToGrid w:val="0"/>
              <w:spacing w:before="0" w:beforeLines="0" w:line="240" w:lineRule="auto"/>
              <w:jc w:val="center"/>
              <w:rPr>
                <w:kern w:val="32"/>
                <w:szCs w:val="21"/>
              </w:rPr>
            </w:pPr>
            <w:r>
              <w:rPr>
                <w:rFonts w:hint="eastAsia"/>
                <w:kern w:val="32"/>
                <w:szCs w:val="21"/>
              </w:rPr>
              <w:t>生产泥浆</w:t>
            </w:r>
          </w:p>
        </w:tc>
        <w:tc>
          <w:tcPr>
            <w:tcW w:w="2958" w:type="pct"/>
            <w:gridSpan w:val="2"/>
            <w:tcBorders>
              <w:tl2br w:val="nil"/>
              <w:tr2bl w:val="nil"/>
            </w:tcBorders>
            <w:vAlign w:val="center"/>
          </w:tcPr>
          <w:p w14:paraId="4C5B3B6B">
            <w:pPr>
              <w:adjustRightInd w:val="0"/>
              <w:snapToGrid w:val="0"/>
              <w:spacing w:before="0" w:beforeLines="0" w:line="240" w:lineRule="auto"/>
              <w:rPr>
                <w:szCs w:val="21"/>
              </w:rPr>
            </w:pPr>
            <w:r>
              <w:rPr>
                <w:rFonts w:hint="eastAsia"/>
                <w:szCs w:val="21"/>
              </w:rPr>
              <w:t>洗砂及重选产生的泥浆排入浓缩罐，浓缩罐尺寸Φ25×7.2m，浓缩后经板框压滤机压滤，浓缩罐上清液及板框压滤废水排入循环水池</w:t>
            </w:r>
            <w:r>
              <w:rPr>
                <w:szCs w:val="21"/>
              </w:rPr>
              <w:t>后回用于</w:t>
            </w:r>
            <w:r>
              <w:rPr>
                <w:rFonts w:hint="eastAsia"/>
                <w:szCs w:val="21"/>
              </w:rPr>
              <w:t>生产，</w:t>
            </w:r>
            <w:r>
              <w:rPr>
                <w:szCs w:val="21"/>
              </w:rPr>
              <w:t>不外排。</w:t>
            </w:r>
          </w:p>
        </w:tc>
        <w:tc>
          <w:tcPr>
            <w:tcW w:w="563" w:type="pct"/>
            <w:tcBorders>
              <w:tl2br w:val="nil"/>
              <w:tr2bl w:val="nil"/>
            </w:tcBorders>
            <w:vAlign w:val="center"/>
          </w:tcPr>
          <w:p w14:paraId="6303644A">
            <w:pPr>
              <w:adjustRightInd w:val="0"/>
              <w:snapToGrid w:val="0"/>
              <w:spacing w:before="0" w:beforeLines="0" w:line="240" w:lineRule="auto"/>
              <w:jc w:val="center"/>
              <w:rPr>
                <w:kern w:val="32"/>
                <w:szCs w:val="21"/>
              </w:rPr>
            </w:pPr>
            <w:r>
              <w:rPr>
                <w:kern w:val="32"/>
                <w:szCs w:val="21"/>
              </w:rPr>
              <w:t>1#厂区</w:t>
            </w:r>
          </w:p>
        </w:tc>
      </w:tr>
      <w:tr w14:paraId="0FA3A5F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70" w:hRule="atLeast"/>
          <w:jc w:val="center"/>
        </w:trPr>
        <w:tc>
          <w:tcPr>
            <w:tcW w:w="341" w:type="pct"/>
            <w:vMerge w:val="continue"/>
            <w:tcBorders>
              <w:tl2br w:val="nil"/>
              <w:tr2bl w:val="nil"/>
            </w:tcBorders>
            <w:vAlign w:val="center"/>
          </w:tcPr>
          <w:p w14:paraId="5FC3A7A8">
            <w:pPr>
              <w:adjustRightInd w:val="0"/>
              <w:snapToGrid w:val="0"/>
              <w:spacing w:before="0" w:beforeLines="0" w:line="240" w:lineRule="auto"/>
              <w:jc w:val="center"/>
              <w:rPr>
                <w:kern w:val="32"/>
                <w:szCs w:val="21"/>
              </w:rPr>
            </w:pPr>
          </w:p>
        </w:tc>
        <w:tc>
          <w:tcPr>
            <w:tcW w:w="588" w:type="pct"/>
            <w:vMerge w:val="restart"/>
            <w:tcBorders>
              <w:tl2br w:val="nil"/>
              <w:tr2bl w:val="nil"/>
            </w:tcBorders>
            <w:vAlign w:val="center"/>
          </w:tcPr>
          <w:p w14:paraId="7003B670">
            <w:pPr>
              <w:adjustRightInd w:val="0"/>
              <w:snapToGrid w:val="0"/>
              <w:spacing w:before="0" w:beforeLines="0" w:line="240" w:lineRule="auto"/>
              <w:jc w:val="center"/>
              <w:rPr>
                <w:kern w:val="32"/>
                <w:szCs w:val="21"/>
              </w:rPr>
            </w:pPr>
            <w:r>
              <w:rPr>
                <w:kern w:val="32"/>
                <w:szCs w:val="21"/>
              </w:rPr>
              <w:t>固废利用及处置</w:t>
            </w:r>
          </w:p>
        </w:tc>
        <w:tc>
          <w:tcPr>
            <w:tcW w:w="550" w:type="pct"/>
            <w:vMerge w:val="restart"/>
            <w:tcBorders>
              <w:tl2br w:val="nil"/>
              <w:tr2bl w:val="nil"/>
            </w:tcBorders>
            <w:vAlign w:val="center"/>
          </w:tcPr>
          <w:p w14:paraId="597AE1CB">
            <w:pPr>
              <w:adjustRightInd w:val="0"/>
              <w:snapToGrid w:val="0"/>
              <w:spacing w:before="0" w:beforeLines="0" w:line="240" w:lineRule="auto"/>
              <w:jc w:val="center"/>
              <w:rPr>
                <w:kern w:val="32"/>
                <w:szCs w:val="21"/>
              </w:rPr>
            </w:pPr>
            <w:r>
              <w:rPr>
                <w:kern w:val="32"/>
                <w:szCs w:val="21"/>
              </w:rPr>
              <w:t>一般工业固废</w:t>
            </w:r>
          </w:p>
        </w:tc>
        <w:tc>
          <w:tcPr>
            <w:tcW w:w="568" w:type="pct"/>
            <w:tcBorders>
              <w:bottom w:val="single" w:color="auto" w:sz="4" w:space="0"/>
              <w:tl2br w:val="nil"/>
              <w:tr2bl w:val="nil"/>
            </w:tcBorders>
            <w:vAlign w:val="center"/>
          </w:tcPr>
          <w:p w14:paraId="5A35135E">
            <w:pPr>
              <w:adjustRightInd w:val="0"/>
              <w:snapToGrid w:val="0"/>
              <w:spacing w:before="0" w:beforeLines="0" w:line="240" w:lineRule="auto"/>
              <w:jc w:val="center"/>
              <w:rPr>
                <w:kern w:val="32"/>
                <w:szCs w:val="21"/>
              </w:rPr>
            </w:pPr>
            <w:r>
              <w:rPr>
                <w:kern w:val="32"/>
                <w:szCs w:val="21"/>
              </w:rPr>
              <w:t>泥饼</w:t>
            </w:r>
            <w:r>
              <w:rPr>
                <w:rFonts w:hint="eastAsia"/>
                <w:kern w:val="32"/>
                <w:szCs w:val="21"/>
              </w:rPr>
              <w:t>、沉淀渣</w:t>
            </w:r>
          </w:p>
        </w:tc>
        <w:tc>
          <w:tcPr>
            <w:tcW w:w="2390" w:type="pct"/>
            <w:tcBorders>
              <w:bottom w:val="single" w:color="auto" w:sz="4" w:space="0"/>
              <w:tl2br w:val="nil"/>
              <w:tr2bl w:val="nil"/>
            </w:tcBorders>
            <w:vAlign w:val="center"/>
          </w:tcPr>
          <w:p w14:paraId="4134E932">
            <w:pPr>
              <w:adjustRightInd w:val="0"/>
              <w:snapToGrid w:val="0"/>
              <w:spacing w:before="78" w:line="240" w:lineRule="auto"/>
              <w:rPr>
                <w:kern w:val="0"/>
                <w:szCs w:val="21"/>
              </w:rPr>
            </w:pPr>
            <w:r>
              <w:rPr>
                <w:rFonts w:hint="eastAsia"/>
                <w:kern w:val="0"/>
                <w:szCs w:val="21"/>
              </w:rPr>
              <w:t>泥饼、沉淀渣由辽宁鑫岳矿业负责运输，送至</w:t>
            </w:r>
            <w:r>
              <w:rPr>
                <w:kern w:val="0"/>
                <w:szCs w:val="21"/>
              </w:rPr>
              <w:t>现有露天采坑回填并进行</w:t>
            </w:r>
            <w:r>
              <w:rPr>
                <w:rFonts w:hint="eastAsia"/>
                <w:kern w:val="0"/>
                <w:szCs w:val="21"/>
              </w:rPr>
              <w:t>生态</w:t>
            </w:r>
            <w:r>
              <w:rPr>
                <w:kern w:val="0"/>
                <w:szCs w:val="21"/>
              </w:rPr>
              <w:t>恢复。</w:t>
            </w:r>
          </w:p>
        </w:tc>
        <w:tc>
          <w:tcPr>
            <w:tcW w:w="563" w:type="pct"/>
            <w:vMerge w:val="restart"/>
            <w:tcBorders>
              <w:tl2br w:val="nil"/>
              <w:tr2bl w:val="nil"/>
            </w:tcBorders>
            <w:vAlign w:val="center"/>
          </w:tcPr>
          <w:p w14:paraId="25E2FA28">
            <w:pPr>
              <w:adjustRightInd w:val="0"/>
              <w:snapToGrid w:val="0"/>
              <w:spacing w:before="78" w:line="240" w:lineRule="auto"/>
              <w:rPr>
                <w:szCs w:val="21"/>
              </w:rPr>
            </w:pPr>
            <w:r>
              <w:rPr>
                <w:rFonts w:hint="eastAsia"/>
                <w:szCs w:val="21"/>
              </w:rPr>
              <w:t>回填采坑</w:t>
            </w:r>
          </w:p>
        </w:tc>
      </w:tr>
      <w:tr w14:paraId="411FEDF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41" w:hRule="atLeast"/>
          <w:jc w:val="center"/>
        </w:trPr>
        <w:tc>
          <w:tcPr>
            <w:tcW w:w="341" w:type="pct"/>
            <w:vMerge w:val="continue"/>
            <w:tcBorders>
              <w:tl2br w:val="nil"/>
              <w:tr2bl w:val="nil"/>
            </w:tcBorders>
            <w:vAlign w:val="center"/>
          </w:tcPr>
          <w:p w14:paraId="142237D1">
            <w:pPr>
              <w:adjustRightInd w:val="0"/>
              <w:snapToGrid w:val="0"/>
              <w:spacing w:before="0" w:beforeLines="0" w:line="240" w:lineRule="auto"/>
              <w:jc w:val="center"/>
              <w:rPr>
                <w:kern w:val="32"/>
                <w:szCs w:val="21"/>
              </w:rPr>
            </w:pPr>
          </w:p>
        </w:tc>
        <w:tc>
          <w:tcPr>
            <w:tcW w:w="588" w:type="pct"/>
            <w:vMerge w:val="continue"/>
            <w:tcBorders>
              <w:tl2br w:val="nil"/>
              <w:tr2bl w:val="nil"/>
            </w:tcBorders>
            <w:vAlign w:val="center"/>
          </w:tcPr>
          <w:p w14:paraId="7FC40CE9">
            <w:pPr>
              <w:adjustRightInd w:val="0"/>
              <w:snapToGrid w:val="0"/>
              <w:spacing w:before="0" w:beforeLines="0" w:line="240" w:lineRule="auto"/>
              <w:jc w:val="center"/>
              <w:rPr>
                <w:kern w:val="32"/>
                <w:szCs w:val="21"/>
              </w:rPr>
            </w:pPr>
          </w:p>
        </w:tc>
        <w:tc>
          <w:tcPr>
            <w:tcW w:w="550" w:type="pct"/>
            <w:vMerge w:val="continue"/>
            <w:tcBorders>
              <w:tl2br w:val="nil"/>
              <w:tr2bl w:val="nil"/>
            </w:tcBorders>
            <w:vAlign w:val="center"/>
          </w:tcPr>
          <w:p w14:paraId="1F304B7F">
            <w:pPr>
              <w:adjustRightInd w:val="0"/>
              <w:snapToGrid w:val="0"/>
              <w:spacing w:before="0" w:beforeLines="0" w:line="240" w:lineRule="auto"/>
              <w:jc w:val="center"/>
              <w:rPr>
                <w:kern w:val="32"/>
                <w:szCs w:val="21"/>
              </w:rPr>
            </w:pPr>
          </w:p>
        </w:tc>
        <w:tc>
          <w:tcPr>
            <w:tcW w:w="568" w:type="pct"/>
            <w:tcBorders>
              <w:top w:val="single" w:color="auto" w:sz="4" w:space="0"/>
              <w:tl2br w:val="nil"/>
              <w:tr2bl w:val="nil"/>
            </w:tcBorders>
            <w:vAlign w:val="center"/>
          </w:tcPr>
          <w:p w14:paraId="1ACCFC90">
            <w:pPr>
              <w:adjustRightInd w:val="0"/>
              <w:snapToGrid w:val="0"/>
              <w:spacing w:before="0" w:beforeLines="0" w:line="240" w:lineRule="auto"/>
              <w:jc w:val="center"/>
              <w:rPr>
                <w:kern w:val="0"/>
                <w:szCs w:val="21"/>
              </w:rPr>
            </w:pPr>
            <w:r>
              <w:rPr>
                <w:kern w:val="0"/>
                <w:szCs w:val="21"/>
              </w:rPr>
              <w:t>除尘灰</w:t>
            </w:r>
            <w:r>
              <w:rPr>
                <w:rFonts w:hint="eastAsia"/>
                <w:kern w:val="0"/>
                <w:szCs w:val="21"/>
              </w:rPr>
              <w:t>、落地灰</w:t>
            </w:r>
          </w:p>
        </w:tc>
        <w:tc>
          <w:tcPr>
            <w:tcW w:w="2390" w:type="pct"/>
            <w:tcBorders>
              <w:top w:val="single" w:color="auto" w:sz="4" w:space="0"/>
              <w:tl2br w:val="nil"/>
              <w:tr2bl w:val="nil"/>
            </w:tcBorders>
            <w:vAlign w:val="center"/>
          </w:tcPr>
          <w:p w14:paraId="4501E758">
            <w:pPr>
              <w:adjustRightInd w:val="0"/>
              <w:snapToGrid w:val="0"/>
              <w:spacing w:before="78" w:line="240" w:lineRule="auto"/>
              <w:rPr>
                <w:szCs w:val="21"/>
              </w:rPr>
            </w:pPr>
            <w:r>
              <w:rPr>
                <w:rFonts w:hint="eastAsia"/>
                <w:kern w:val="0"/>
                <w:szCs w:val="21"/>
              </w:rPr>
              <w:t>除尘灰、落地灰经鉴定判定为</w:t>
            </w:r>
            <w:r>
              <w:rPr>
                <w:kern w:val="0"/>
                <w:szCs w:val="21"/>
              </w:rPr>
              <w:t>Ⅰ类一般工业固体废物</w:t>
            </w:r>
            <w:r>
              <w:rPr>
                <w:rFonts w:hint="eastAsia"/>
                <w:kern w:val="0"/>
                <w:szCs w:val="21"/>
              </w:rPr>
              <w:t>、</w:t>
            </w:r>
            <w:r>
              <w:rPr>
                <w:kern w:val="0"/>
                <w:szCs w:val="21"/>
              </w:rPr>
              <w:t>II类一般工业固体废物</w:t>
            </w:r>
            <w:r>
              <w:rPr>
                <w:rFonts w:hint="eastAsia"/>
                <w:kern w:val="0"/>
                <w:szCs w:val="21"/>
              </w:rPr>
              <w:t>后，根据规定由辽宁鑫岳矿业负责运输，送至</w:t>
            </w:r>
            <w:r>
              <w:rPr>
                <w:kern w:val="0"/>
                <w:szCs w:val="21"/>
              </w:rPr>
              <w:t>现有露天采坑回填</w:t>
            </w:r>
            <w:r>
              <w:rPr>
                <w:rFonts w:hint="eastAsia"/>
                <w:kern w:val="0"/>
                <w:szCs w:val="21"/>
              </w:rPr>
              <w:t>并进行生态恢复</w:t>
            </w:r>
            <w:r>
              <w:rPr>
                <w:kern w:val="0"/>
                <w:szCs w:val="21"/>
              </w:rPr>
              <w:t>。</w:t>
            </w:r>
          </w:p>
        </w:tc>
        <w:tc>
          <w:tcPr>
            <w:tcW w:w="563" w:type="pct"/>
            <w:vMerge w:val="continue"/>
            <w:tcBorders>
              <w:tl2br w:val="nil"/>
              <w:tr2bl w:val="nil"/>
            </w:tcBorders>
            <w:vAlign w:val="center"/>
          </w:tcPr>
          <w:p w14:paraId="7514FC4C">
            <w:pPr>
              <w:adjustRightInd w:val="0"/>
              <w:snapToGrid w:val="0"/>
              <w:spacing w:before="0" w:beforeLines="0" w:line="240" w:lineRule="auto"/>
              <w:rPr>
                <w:szCs w:val="21"/>
              </w:rPr>
            </w:pPr>
          </w:p>
        </w:tc>
      </w:tr>
      <w:tr w14:paraId="536A756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70" w:hRule="atLeast"/>
          <w:jc w:val="center"/>
        </w:trPr>
        <w:tc>
          <w:tcPr>
            <w:tcW w:w="341" w:type="pct"/>
            <w:vMerge w:val="continue"/>
            <w:tcBorders>
              <w:tl2br w:val="nil"/>
              <w:tr2bl w:val="nil"/>
            </w:tcBorders>
            <w:vAlign w:val="center"/>
          </w:tcPr>
          <w:p w14:paraId="29782597">
            <w:pPr>
              <w:adjustRightInd w:val="0"/>
              <w:snapToGrid w:val="0"/>
              <w:spacing w:before="0" w:beforeLines="0" w:line="240" w:lineRule="auto"/>
              <w:jc w:val="center"/>
              <w:rPr>
                <w:kern w:val="32"/>
                <w:szCs w:val="21"/>
              </w:rPr>
            </w:pPr>
          </w:p>
        </w:tc>
        <w:tc>
          <w:tcPr>
            <w:tcW w:w="588" w:type="pct"/>
            <w:vMerge w:val="continue"/>
            <w:tcBorders>
              <w:tl2br w:val="nil"/>
              <w:tr2bl w:val="nil"/>
            </w:tcBorders>
            <w:vAlign w:val="center"/>
          </w:tcPr>
          <w:p w14:paraId="0146DDD6">
            <w:pPr>
              <w:adjustRightInd w:val="0"/>
              <w:snapToGrid w:val="0"/>
              <w:spacing w:before="0" w:beforeLines="0" w:line="240" w:lineRule="auto"/>
              <w:jc w:val="center"/>
              <w:rPr>
                <w:kern w:val="32"/>
                <w:szCs w:val="21"/>
              </w:rPr>
            </w:pPr>
          </w:p>
        </w:tc>
        <w:tc>
          <w:tcPr>
            <w:tcW w:w="550" w:type="pct"/>
            <w:vMerge w:val="continue"/>
            <w:tcBorders>
              <w:tl2br w:val="nil"/>
              <w:tr2bl w:val="nil"/>
            </w:tcBorders>
            <w:vAlign w:val="center"/>
          </w:tcPr>
          <w:p w14:paraId="16B91544">
            <w:pPr>
              <w:adjustRightInd w:val="0"/>
              <w:snapToGrid w:val="0"/>
              <w:spacing w:before="0" w:beforeLines="0" w:line="240" w:lineRule="auto"/>
              <w:jc w:val="center"/>
              <w:rPr>
                <w:kern w:val="32"/>
                <w:szCs w:val="21"/>
              </w:rPr>
            </w:pPr>
          </w:p>
        </w:tc>
        <w:tc>
          <w:tcPr>
            <w:tcW w:w="568" w:type="pct"/>
            <w:tcBorders>
              <w:tl2br w:val="nil"/>
              <w:tr2bl w:val="nil"/>
            </w:tcBorders>
            <w:vAlign w:val="center"/>
          </w:tcPr>
          <w:p w14:paraId="55717FDC">
            <w:pPr>
              <w:adjustRightInd w:val="0"/>
              <w:snapToGrid w:val="0"/>
              <w:spacing w:before="0" w:beforeLines="0" w:line="240" w:lineRule="auto"/>
              <w:jc w:val="center"/>
              <w:rPr>
                <w:kern w:val="0"/>
                <w:szCs w:val="21"/>
              </w:rPr>
            </w:pPr>
            <w:r>
              <w:rPr>
                <w:rFonts w:hint="eastAsia"/>
                <w:kern w:val="0"/>
                <w:szCs w:val="21"/>
              </w:rPr>
              <w:t>废布袋</w:t>
            </w:r>
          </w:p>
        </w:tc>
        <w:tc>
          <w:tcPr>
            <w:tcW w:w="2390" w:type="pct"/>
            <w:tcBorders>
              <w:tl2br w:val="nil"/>
              <w:tr2bl w:val="nil"/>
            </w:tcBorders>
            <w:vAlign w:val="center"/>
          </w:tcPr>
          <w:p w14:paraId="7E42FC10">
            <w:pPr>
              <w:adjustRightInd w:val="0"/>
              <w:snapToGrid w:val="0"/>
              <w:spacing w:before="0" w:beforeLines="0" w:line="240" w:lineRule="auto"/>
              <w:jc w:val="left"/>
              <w:rPr>
                <w:kern w:val="0"/>
                <w:szCs w:val="21"/>
              </w:rPr>
            </w:pPr>
            <w:r>
              <w:rPr>
                <w:rFonts w:hint="eastAsia"/>
                <w:kern w:val="0"/>
                <w:szCs w:val="21"/>
              </w:rPr>
              <w:t>外售物资公司。</w:t>
            </w:r>
          </w:p>
        </w:tc>
        <w:tc>
          <w:tcPr>
            <w:tcW w:w="563" w:type="pct"/>
            <w:tcBorders>
              <w:tl2br w:val="nil"/>
              <w:tr2bl w:val="nil"/>
            </w:tcBorders>
            <w:vAlign w:val="center"/>
          </w:tcPr>
          <w:p w14:paraId="6ACCF1F0">
            <w:pPr>
              <w:adjustRightInd w:val="0"/>
              <w:snapToGrid w:val="0"/>
              <w:spacing w:before="0" w:beforeLines="0" w:line="240" w:lineRule="auto"/>
              <w:jc w:val="center"/>
              <w:rPr>
                <w:kern w:val="32"/>
                <w:szCs w:val="21"/>
              </w:rPr>
            </w:pPr>
            <w:r>
              <w:rPr>
                <w:rFonts w:hint="eastAsia"/>
                <w:kern w:val="32"/>
                <w:szCs w:val="21"/>
              </w:rPr>
              <w:t>-</w:t>
            </w:r>
          </w:p>
        </w:tc>
      </w:tr>
      <w:tr w14:paraId="2198963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70" w:hRule="atLeast"/>
          <w:jc w:val="center"/>
        </w:trPr>
        <w:tc>
          <w:tcPr>
            <w:tcW w:w="341" w:type="pct"/>
            <w:vMerge w:val="continue"/>
            <w:tcBorders>
              <w:tl2br w:val="nil"/>
              <w:tr2bl w:val="nil"/>
            </w:tcBorders>
            <w:vAlign w:val="center"/>
          </w:tcPr>
          <w:p w14:paraId="4E66B307">
            <w:pPr>
              <w:adjustRightInd w:val="0"/>
              <w:snapToGrid w:val="0"/>
              <w:spacing w:before="0" w:beforeLines="0" w:line="240" w:lineRule="auto"/>
              <w:jc w:val="center"/>
              <w:rPr>
                <w:kern w:val="32"/>
                <w:szCs w:val="21"/>
              </w:rPr>
            </w:pPr>
          </w:p>
        </w:tc>
        <w:tc>
          <w:tcPr>
            <w:tcW w:w="588" w:type="pct"/>
            <w:vMerge w:val="continue"/>
            <w:tcBorders>
              <w:tl2br w:val="nil"/>
              <w:tr2bl w:val="nil"/>
            </w:tcBorders>
            <w:vAlign w:val="center"/>
          </w:tcPr>
          <w:p w14:paraId="54EEEBE2">
            <w:pPr>
              <w:adjustRightInd w:val="0"/>
              <w:snapToGrid w:val="0"/>
              <w:spacing w:before="0" w:beforeLines="0" w:line="240" w:lineRule="auto"/>
              <w:jc w:val="center"/>
              <w:rPr>
                <w:kern w:val="32"/>
                <w:szCs w:val="21"/>
              </w:rPr>
            </w:pPr>
          </w:p>
        </w:tc>
        <w:tc>
          <w:tcPr>
            <w:tcW w:w="550" w:type="pct"/>
            <w:tcBorders>
              <w:tl2br w:val="nil"/>
              <w:tr2bl w:val="nil"/>
            </w:tcBorders>
            <w:vAlign w:val="center"/>
          </w:tcPr>
          <w:p w14:paraId="6CDC1CDC">
            <w:pPr>
              <w:adjustRightInd w:val="0"/>
              <w:snapToGrid w:val="0"/>
              <w:spacing w:before="0" w:beforeLines="0" w:line="240" w:lineRule="auto"/>
              <w:jc w:val="center"/>
              <w:rPr>
                <w:kern w:val="32"/>
                <w:szCs w:val="21"/>
              </w:rPr>
            </w:pPr>
            <w:r>
              <w:rPr>
                <w:kern w:val="32"/>
                <w:szCs w:val="21"/>
              </w:rPr>
              <w:t>危险废物</w:t>
            </w:r>
          </w:p>
        </w:tc>
        <w:tc>
          <w:tcPr>
            <w:tcW w:w="2958" w:type="pct"/>
            <w:gridSpan w:val="2"/>
            <w:tcBorders>
              <w:tl2br w:val="nil"/>
              <w:tr2bl w:val="nil"/>
            </w:tcBorders>
            <w:vAlign w:val="center"/>
          </w:tcPr>
          <w:p w14:paraId="534C0301">
            <w:pPr>
              <w:adjustRightInd w:val="0"/>
              <w:snapToGrid w:val="0"/>
              <w:spacing w:before="0" w:beforeLines="0" w:line="240" w:lineRule="auto"/>
              <w:jc w:val="left"/>
              <w:rPr>
                <w:kern w:val="32"/>
                <w:szCs w:val="21"/>
              </w:rPr>
            </w:pPr>
            <w:r>
              <w:rPr>
                <w:rFonts w:hint="eastAsia"/>
                <w:szCs w:val="21"/>
              </w:rPr>
              <w:t>机制砂库房新建</w:t>
            </w:r>
            <w:r>
              <w:rPr>
                <w:kern w:val="32"/>
                <w:szCs w:val="21"/>
              </w:rPr>
              <w:t>一座</w:t>
            </w:r>
            <w:r>
              <w:rPr>
                <w:rFonts w:hint="eastAsia"/>
                <w:kern w:val="32"/>
                <w:szCs w:val="21"/>
              </w:rPr>
              <w:t>10</w:t>
            </w:r>
            <w:r>
              <w:rPr>
                <w:kern w:val="32"/>
                <w:szCs w:val="21"/>
              </w:rPr>
              <w:t>m</w:t>
            </w:r>
            <w:r>
              <w:rPr>
                <w:kern w:val="32"/>
                <w:szCs w:val="21"/>
                <w:vertAlign w:val="superscript"/>
              </w:rPr>
              <w:t>2</w:t>
            </w:r>
            <w:r>
              <w:rPr>
                <w:kern w:val="32"/>
                <w:szCs w:val="21"/>
              </w:rPr>
              <w:t>的</w:t>
            </w:r>
            <w:r>
              <w:rPr>
                <w:szCs w:val="21"/>
              </w:rPr>
              <w:t>危废贮存点</w:t>
            </w:r>
            <w:r>
              <w:rPr>
                <w:kern w:val="32"/>
                <w:szCs w:val="21"/>
              </w:rPr>
              <w:t>，用于贮存废矿物油及废油桶。</w:t>
            </w:r>
          </w:p>
        </w:tc>
        <w:tc>
          <w:tcPr>
            <w:tcW w:w="563" w:type="pct"/>
            <w:tcBorders>
              <w:tl2br w:val="nil"/>
              <w:tr2bl w:val="nil"/>
            </w:tcBorders>
            <w:vAlign w:val="center"/>
          </w:tcPr>
          <w:p w14:paraId="261C2A89">
            <w:pPr>
              <w:adjustRightInd w:val="0"/>
              <w:snapToGrid w:val="0"/>
              <w:spacing w:before="0" w:beforeLines="0" w:line="240" w:lineRule="auto"/>
              <w:jc w:val="center"/>
              <w:rPr>
                <w:kern w:val="32"/>
                <w:szCs w:val="21"/>
              </w:rPr>
            </w:pPr>
            <w:r>
              <w:rPr>
                <w:kern w:val="32"/>
                <w:szCs w:val="21"/>
              </w:rPr>
              <w:t>1#厂区</w:t>
            </w:r>
          </w:p>
        </w:tc>
      </w:tr>
      <w:tr w14:paraId="3FCC073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70" w:hRule="atLeast"/>
          <w:jc w:val="center"/>
        </w:trPr>
        <w:tc>
          <w:tcPr>
            <w:tcW w:w="341" w:type="pct"/>
            <w:vMerge w:val="continue"/>
            <w:tcBorders>
              <w:tl2br w:val="nil"/>
              <w:tr2bl w:val="nil"/>
            </w:tcBorders>
            <w:vAlign w:val="center"/>
          </w:tcPr>
          <w:p w14:paraId="75C6E07D">
            <w:pPr>
              <w:adjustRightInd w:val="0"/>
              <w:snapToGrid w:val="0"/>
              <w:spacing w:before="0" w:beforeLines="0" w:line="240" w:lineRule="auto"/>
              <w:jc w:val="center"/>
              <w:rPr>
                <w:kern w:val="32"/>
                <w:szCs w:val="21"/>
              </w:rPr>
            </w:pPr>
          </w:p>
        </w:tc>
        <w:tc>
          <w:tcPr>
            <w:tcW w:w="588" w:type="pct"/>
            <w:vMerge w:val="continue"/>
            <w:tcBorders>
              <w:tl2br w:val="nil"/>
              <w:tr2bl w:val="nil"/>
            </w:tcBorders>
            <w:vAlign w:val="center"/>
          </w:tcPr>
          <w:p w14:paraId="699F23ED">
            <w:pPr>
              <w:adjustRightInd w:val="0"/>
              <w:snapToGrid w:val="0"/>
              <w:spacing w:before="0" w:beforeLines="0" w:line="240" w:lineRule="auto"/>
              <w:jc w:val="center"/>
              <w:rPr>
                <w:kern w:val="32"/>
                <w:szCs w:val="21"/>
              </w:rPr>
            </w:pPr>
          </w:p>
        </w:tc>
        <w:tc>
          <w:tcPr>
            <w:tcW w:w="550" w:type="pct"/>
            <w:tcBorders>
              <w:tl2br w:val="nil"/>
              <w:tr2bl w:val="nil"/>
            </w:tcBorders>
            <w:vAlign w:val="center"/>
          </w:tcPr>
          <w:p w14:paraId="19323981">
            <w:pPr>
              <w:adjustRightInd w:val="0"/>
              <w:snapToGrid w:val="0"/>
              <w:spacing w:before="0" w:beforeLines="0" w:line="240" w:lineRule="auto"/>
              <w:jc w:val="center"/>
              <w:rPr>
                <w:kern w:val="32"/>
                <w:szCs w:val="21"/>
              </w:rPr>
            </w:pPr>
            <w:r>
              <w:rPr>
                <w:kern w:val="32"/>
                <w:szCs w:val="21"/>
              </w:rPr>
              <w:t>生活垃圾</w:t>
            </w:r>
          </w:p>
        </w:tc>
        <w:tc>
          <w:tcPr>
            <w:tcW w:w="2958" w:type="pct"/>
            <w:gridSpan w:val="2"/>
            <w:tcBorders>
              <w:tl2br w:val="nil"/>
              <w:tr2bl w:val="nil"/>
            </w:tcBorders>
            <w:vAlign w:val="center"/>
          </w:tcPr>
          <w:p w14:paraId="36D4CDC0">
            <w:pPr>
              <w:adjustRightInd w:val="0"/>
              <w:snapToGrid w:val="0"/>
              <w:spacing w:before="0" w:beforeLines="0" w:line="240" w:lineRule="auto"/>
              <w:rPr>
                <w:kern w:val="32"/>
                <w:szCs w:val="21"/>
              </w:rPr>
            </w:pPr>
            <w:r>
              <w:rPr>
                <w:kern w:val="32"/>
                <w:szCs w:val="21"/>
              </w:rPr>
              <w:t>生活垃圾定期交由环卫部门统一处理。</w:t>
            </w:r>
          </w:p>
        </w:tc>
        <w:tc>
          <w:tcPr>
            <w:tcW w:w="563" w:type="pct"/>
            <w:tcBorders>
              <w:tl2br w:val="nil"/>
              <w:tr2bl w:val="nil"/>
            </w:tcBorders>
            <w:vAlign w:val="center"/>
          </w:tcPr>
          <w:p w14:paraId="1CE607F5">
            <w:pPr>
              <w:adjustRightInd w:val="0"/>
              <w:snapToGrid w:val="0"/>
              <w:spacing w:before="0" w:beforeLines="0" w:line="240" w:lineRule="auto"/>
              <w:jc w:val="center"/>
              <w:rPr>
                <w:kern w:val="32"/>
                <w:szCs w:val="21"/>
              </w:rPr>
            </w:pPr>
            <w:r>
              <w:rPr>
                <w:kern w:val="32"/>
                <w:szCs w:val="21"/>
              </w:rPr>
              <w:t>1#厂区</w:t>
            </w:r>
          </w:p>
        </w:tc>
      </w:tr>
      <w:tr w14:paraId="1D4ED5D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70" w:hRule="atLeast"/>
          <w:jc w:val="center"/>
        </w:trPr>
        <w:tc>
          <w:tcPr>
            <w:tcW w:w="341" w:type="pct"/>
            <w:vMerge w:val="continue"/>
            <w:tcBorders>
              <w:tl2br w:val="nil"/>
              <w:tr2bl w:val="nil"/>
            </w:tcBorders>
            <w:vAlign w:val="center"/>
          </w:tcPr>
          <w:p w14:paraId="113E82B5">
            <w:pPr>
              <w:adjustRightInd w:val="0"/>
              <w:snapToGrid w:val="0"/>
              <w:spacing w:before="0" w:beforeLines="0" w:line="240" w:lineRule="auto"/>
              <w:jc w:val="center"/>
              <w:rPr>
                <w:kern w:val="32"/>
                <w:szCs w:val="21"/>
              </w:rPr>
            </w:pPr>
          </w:p>
        </w:tc>
        <w:tc>
          <w:tcPr>
            <w:tcW w:w="588" w:type="pct"/>
            <w:tcBorders>
              <w:tl2br w:val="nil"/>
              <w:tr2bl w:val="nil"/>
            </w:tcBorders>
            <w:vAlign w:val="center"/>
          </w:tcPr>
          <w:p w14:paraId="2629218A">
            <w:pPr>
              <w:adjustRightInd w:val="0"/>
              <w:snapToGrid w:val="0"/>
              <w:spacing w:before="0" w:beforeLines="0" w:line="240" w:lineRule="auto"/>
              <w:jc w:val="center"/>
              <w:rPr>
                <w:kern w:val="32"/>
                <w:szCs w:val="21"/>
              </w:rPr>
            </w:pPr>
            <w:r>
              <w:rPr>
                <w:kern w:val="32"/>
                <w:szCs w:val="21"/>
              </w:rPr>
              <w:t>噪声</w:t>
            </w:r>
          </w:p>
        </w:tc>
        <w:tc>
          <w:tcPr>
            <w:tcW w:w="550" w:type="pct"/>
            <w:tcBorders>
              <w:tl2br w:val="nil"/>
              <w:tr2bl w:val="nil"/>
            </w:tcBorders>
            <w:vAlign w:val="center"/>
          </w:tcPr>
          <w:p w14:paraId="12F85F10">
            <w:pPr>
              <w:adjustRightInd w:val="0"/>
              <w:snapToGrid w:val="0"/>
              <w:spacing w:before="0" w:beforeLines="0" w:line="240" w:lineRule="auto"/>
              <w:jc w:val="center"/>
              <w:rPr>
                <w:kern w:val="32"/>
                <w:szCs w:val="21"/>
              </w:rPr>
            </w:pPr>
            <w:r>
              <w:rPr>
                <w:kern w:val="32"/>
                <w:szCs w:val="21"/>
              </w:rPr>
              <w:t>噪声设备</w:t>
            </w:r>
          </w:p>
        </w:tc>
        <w:tc>
          <w:tcPr>
            <w:tcW w:w="2958" w:type="pct"/>
            <w:gridSpan w:val="2"/>
            <w:tcBorders>
              <w:tl2br w:val="nil"/>
              <w:tr2bl w:val="nil"/>
            </w:tcBorders>
            <w:vAlign w:val="center"/>
          </w:tcPr>
          <w:p w14:paraId="5D639791">
            <w:pPr>
              <w:adjustRightInd w:val="0"/>
              <w:snapToGrid w:val="0"/>
              <w:spacing w:before="0" w:beforeLines="0" w:line="240" w:lineRule="auto"/>
              <w:rPr>
                <w:kern w:val="32"/>
                <w:szCs w:val="21"/>
              </w:rPr>
            </w:pPr>
            <w:r>
              <w:rPr>
                <w:szCs w:val="21"/>
              </w:rPr>
              <w:t>选用低噪音设备，采用橡胶减振垫、软连接等，产噪设备置于厂房内。</w:t>
            </w:r>
          </w:p>
        </w:tc>
        <w:tc>
          <w:tcPr>
            <w:tcW w:w="563" w:type="pct"/>
            <w:tcBorders>
              <w:tl2br w:val="nil"/>
              <w:tr2bl w:val="nil"/>
            </w:tcBorders>
            <w:vAlign w:val="center"/>
          </w:tcPr>
          <w:p w14:paraId="50BA7CB4">
            <w:pPr>
              <w:adjustRightInd w:val="0"/>
              <w:snapToGrid w:val="0"/>
              <w:spacing w:before="0" w:beforeLines="0" w:line="240" w:lineRule="auto"/>
              <w:jc w:val="center"/>
              <w:rPr>
                <w:kern w:val="32"/>
                <w:szCs w:val="21"/>
              </w:rPr>
            </w:pPr>
            <w:r>
              <w:rPr>
                <w:kern w:val="32"/>
                <w:szCs w:val="21"/>
              </w:rPr>
              <w:t>1#、2#厂区</w:t>
            </w:r>
          </w:p>
        </w:tc>
      </w:tr>
    </w:tbl>
    <w:p w14:paraId="3020DE36">
      <w:pPr>
        <w:pStyle w:val="151"/>
        <w:spacing w:line="240" w:lineRule="auto"/>
        <w:ind w:firstLine="0" w:firstLineChars="0"/>
        <w:rPr>
          <w:sz w:val="21"/>
          <w:szCs w:val="21"/>
        </w:rPr>
      </w:pPr>
      <w:r>
        <w:rPr>
          <w:rFonts w:hint="eastAsia"/>
          <w:sz w:val="21"/>
          <w:szCs w:val="21"/>
        </w:rPr>
        <w:t>注：本项目产生泥饼、除尘灰、落地灰送至</w:t>
      </w:r>
      <w:r>
        <w:rPr>
          <w:sz w:val="21"/>
          <w:szCs w:val="21"/>
        </w:rPr>
        <w:t>现有露天采坑回填</w:t>
      </w:r>
      <w:r>
        <w:rPr>
          <w:rFonts w:hint="eastAsia"/>
          <w:sz w:val="21"/>
          <w:szCs w:val="21"/>
        </w:rPr>
        <w:t>，回填后对采坑进行生态恢复，该项工程由辽宁鑫岳矿业有限公司负责实施，不属于本项目工程。</w:t>
      </w:r>
    </w:p>
    <w:p w14:paraId="2537D1FA">
      <w:pPr>
        <w:pStyle w:val="151"/>
        <w:spacing w:line="240" w:lineRule="auto"/>
        <w:ind w:firstLine="0" w:firstLineChars="0"/>
        <w:rPr>
          <w:sz w:val="21"/>
          <w:szCs w:val="21"/>
        </w:rPr>
      </w:pPr>
    </w:p>
    <w:p w14:paraId="3E0975DB">
      <w:pPr>
        <w:pStyle w:val="151"/>
        <w:spacing w:line="240" w:lineRule="auto"/>
        <w:ind w:firstLine="0" w:firstLineChars="0"/>
        <w:rPr>
          <w:sz w:val="21"/>
          <w:szCs w:val="21"/>
        </w:rPr>
      </w:pPr>
    </w:p>
    <w:p w14:paraId="4039F77A">
      <w:pPr>
        <w:pStyle w:val="2619"/>
        <w:ind w:firstLine="442" w:firstLineChars="200"/>
        <w:rPr>
          <w:rFonts w:ascii="Times New Roman"/>
          <w:szCs w:val="24"/>
        </w:rPr>
      </w:pPr>
      <w:bookmarkStart w:id="89" w:name="_Hlk185252741"/>
    </w:p>
    <w:p w14:paraId="13AE7DB4">
      <w:pPr>
        <w:pStyle w:val="2619"/>
        <w:ind w:firstLine="442" w:firstLineChars="200"/>
        <w:rPr>
          <w:rFonts w:ascii="Times New Roman"/>
          <w:szCs w:val="24"/>
        </w:rPr>
      </w:pPr>
    </w:p>
    <w:p w14:paraId="65829628">
      <w:pPr>
        <w:pStyle w:val="2619"/>
        <w:ind w:firstLine="442" w:firstLineChars="200"/>
        <w:rPr>
          <w:rFonts w:ascii="Times New Roman"/>
          <w:szCs w:val="24"/>
        </w:rPr>
      </w:pPr>
    </w:p>
    <w:p w14:paraId="4368EAC3">
      <w:pPr>
        <w:pStyle w:val="2619"/>
        <w:ind w:firstLine="442" w:firstLineChars="200"/>
        <w:rPr>
          <w:rFonts w:ascii="Times New Roman"/>
          <w:szCs w:val="24"/>
        </w:rPr>
      </w:pPr>
    </w:p>
    <w:p w14:paraId="024B8EEE">
      <w:pPr>
        <w:pStyle w:val="2619"/>
        <w:ind w:firstLine="442" w:firstLineChars="200"/>
        <w:rPr>
          <w:rFonts w:ascii="Times New Roman"/>
          <w:szCs w:val="24"/>
        </w:rPr>
      </w:pPr>
    </w:p>
    <w:p w14:paraId="2F1E025B">
      <w:pPr>
        <w:pStyle w:val="2619"/>
        <w:ind w:firstLine="442" w:firstLineChars="200"/>
        <w:rPr>
          <w:rFonts w:ascii="Times New Roman"/>
          <w:szCs w:val="24"/>
        </w:rPr>
      </w:pPr>
    </w:p>
    <w:p w14:paraId="05F52A98">
      <w:pPr>
        <w:pStyle w:val="2619"/>
        <w:ind w:firstLine="442" w:firstLineChars="200"/>
        <w:rPr>
          <w:rFonts w:ascii="Times New Roman"/>
          <w:szCs w:val="24"/>
        </w:rPr>
      </w:pPr>
    </w:p>
    <w:p w14:paraId="3D64D8D2">
      <w:pPr>
        <w:pStyle w:val="2619"/>
        <w:ind w:firstLine="442" w:firstLineChars="200"/>
        <w:rPr>
          <w:rFonts w:ascii="Times New Roman"/>
          <w:szCs w:val="24"/>
        </w:rPr>
      </w:pPr>
    </w:p>
    <w:p w14:paraId="7CCAC2B2">
      <w:pPr>
        <w:pStyle w:val="2619"/>
        <w:ind w:firstLine="442" w:firstLineChars="200"/>
        <w:rPr>
          <w:rFonts w:ascii="Times New Roman"/>
          <w:szCs w:val="24"/>
        </w:rPr>
      </w:pPr>
    </w:p>
    <w:bookmarkEnd w:id="89"/>
    <w:p w14:paraId="4BFFE76D">
      <w:pPr>
        <w:pStyle w:val="5"/>
        <w:spacing w:line="360" w:lineRule="auto"/>
        <w:rPr>
          <w:color w:val="auto"/>
        </w:rPr>
      </w:pPr>
      <w:r>
        <w:rPr>
          <w:rFonts w:hint="eastAsia"/>
          <w:color w:val="auto"/>
        </w:rPr>
        <w:t>3.1.3</w:t>
      </w:r>
      <w:r>
        <w:rPr>
          <w:color w:val="auto"/>
        </w:rPr>
        <w:t>本项目主要</w:t>
      </w:r>
      <w:r>
        <w:rPr>
          <w:rFonts w:hint="eastAsia"/>
          <w:color w:val="auto"/>
        </w:rPr>
        <w:t>设备清单</w:t>
      </w:r>
    </w:p>
    <w:p w14:paraId="05709310">
      <w:pPr>
        <w:pStyle w:val="190"/>
        <w:ind w:firstLine="480"/>
      </w:pPr>
      <w:r>
        <w:t>本项目主要生产设备见表3.</w:t>
      </w:r>
      <w:r>
        <w:rPr>
          <w:rFonts w:hint="eastAsia"/>
        </w:rPr>
        <w:t>1</w:t>
      </w:r>
      <w:r>
        <w:t>-</w:t>
      </w:r>
      <w:r>
        <w:rPr>
          <w:rFonts w:hint="eastAsia"/>
        </w:rPr>
        <w:t>3</w:t>
      </w:r>
      <w:r>
        <w:t>。</w:t>
      </w:r>
    </w:p>
    <w:p w14:paraId="4AC6932B">
      <w:pPr>
        <w:pStyle w:val="143"/>
        <w:snapToGrid w:val="0"/>
        <w:spacing w:before="156"/>
        <w:rPr>
          <w:b/>
          <w:bCs w:val="0"/>
        </w:rPr>
      </w:pPr>
      <w:bookmarkStart w:id="90" w:name="_Hlk192773647"/>
      <w:r>
        <w:rPr>
          <w:b/>
          <w:bCs w:val="0"/>
        </w:rPr>
        <w:t>表3.</w:t>
      </w:r>
      <w:r>
        <w:rPr>
          <w:rFonts w:hint="eastAsia"/>
          <w:b/>
          <w:bCs w:val="0"/>
        </w:rPr>
        <w:t>1</w:t>
      </w:r>
      <w:r>
        <w:rPr>
          <w:b/>
          <w:bCs w:val="0"/>
        </w:rPr>
        <w:t>-</w:t>
      </w:r>
      <w:r>
        <w:rPr>
          <w:rFonts w:hint="eastAsia"/>
          <w:b/>
          <w:bCs w:val="0"/>
        </w:rPr>
        <w:t xml:space="preserve">3   </w:t>
      </w:r>
      <w:r>
        <w:rPr>
          <w:b/>
          <w:bCs w:val="0"/>
        </w:rPr>
        <w:t xml:space="preserve"> </w:t>
      </w:r>
      <w:r>
        <w:rPr>
          <w:rFonts w:hint="eastAsia"/>
          <w:b/>
          <w:bCs w:val="0"/>
        </w:rPr>
        <w:t xml:space="preserve">  </w:t>
      </w:r>
      <w:r>
        <w:rPr>
          <w:b/>
          <w:bCs w:val="0"/>
        </w:rPr>
        <w:t>主要生产设备</w:t>
      </w:r>
    </w:p>
    <w:tbl>
      <w:tblPr>
        <w:tblStyle w:val="90"/>
        <w:tblW w:w="508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57" w:type="dxa"/>
          <w:bottom w:w="0" w:type="dxa"/>
          <w:right w:w="57" w:type="dxa"/>
        </w:tblCellMar>
      </w:tblPr>
      <w:tblGrid>
        <w:gridCol w:w="579"/>
        <w:gridCol w:w="2021"/>
        <w:gridCol w:w="721"/>
        <w:gridCol w:w="864"/>
        <w:gridCol w:w="2899"/>
        <w:gridCol w:w="1374"/>
      </w:tblGrid>
      <w:tr w14:paraId="203DC21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57" w:hRule="atLeast"/>
          <w:jc w:val="center"/>
        </w:trPr>
        <w:tc>
          <w:tcPr>
            <w:tcW w:w="342" w:type="pct"/>
            <w:vAlign w:val="center"/>
          </w:tcPr>
          <w:p w14:paraId="3F08C7F7">
            <w:pPr>
              <w:pStyle w:val="209"/>
              <w:snapToGrid w:val="0"/>
              <w:spacing w:before="0" w:beforeLines="0"/>
              <w:rPr>
                <w:rFonts w:ascii="Times New Roman" w:hAnsi="Times New Roman" w:eastAsia="宋体" w:cs="Times New Roman"/>
                <w:szCs w:val="21"/>
              </w:rPr>
            </w:pPr>
            <w:r>
              <w:rPr>
                <w:rFonts w:ascii="Times New Roman" w:hAnsi="Times New Roman" w:eastAsia="宋体" w:cs="Times New Roman"/>
                <w:szCs w:val="21"/>
              </w:rPr>
              <w:t>序号</w:t>
            </w:r>
          </w:p>
        </w:tc>
        <w:tc>
          <w:tcPr>
            <w:tcW w:w="1195" w:type="pct"/>
            <w:vAlign w:val="center"/>
          </w:tcPr>
          <w:p w14:paraId="4EEC256C">
            <w:pPr>
              <w:pStyle w:val="209"/>
              <w:snapToGrid w:val="0"/>
              <w:spacing w:before="0" w:beforeLines="0"/>
              <w:rPr>
                <w:rFonts w:ascii="Times New Roman" w:hAnsi="Times New Roman" w:eastAsia="宋体" w:cs="Times New Roman"/>
                <w:szCs w:val="21"/>
              </w:rPr>
            </w:pPr>
            <w:r>
              <w:rPr>
                <w:rFonts w:ascii="Times New Roman" w:hAnsi="Times New Roman" w:eastAsia="宋体" w:cs="Times New Roman"/>
                <w:szCs w:val="21"/>
              </w:rPr>
              <w:t>设备名称</w:t>
            </w:r>
          </w:p>
        </w:tc>
        <w:tc>
          <w:tcPr>
            <w:tcW w:w="426" w:type="pct"/>
            <w:vAlign w:val="center"/>
          </w:tcPr>
          <w:p w14:paraId="54648024">
            <w:pPr>
              <w:pStyle w:val="209"/>
              <w:snapToGrid w:val="0"/>
              <w:spacing w:before="0" w:beforeLines="0"/>
              <w:rPr>
                <w:rFonts w:ascii="Times New Roman" w:hAnsi="Times New Roman" w:eastAsia="宋体" w:cs="Times New Roman"/>
                <w:kern w:val="0"/>
                <w:szCs w:val="21"/>
                <w:lang w:bidi="ar"/>
              </w:rPr>
            </w:pPr>
            <w:r>
              <w:rPr>
                <w:rFonts w:ascii="Times New Roman" w:hAnsi="Times New Roman" w:eastAsia="宋体" w:cs="Times New Roman"/>
                <w:kern w:val="0"/>
                <w:szCs w:val="21"/>
                <w:lang w:bidi="ar"/>
              </w:rPr>
              <w:t>单位</w:t>
            </w:r>
          </w:p>
        </w:tc>
        <w:tc>
          <w:tcPr>
            <w:tcW w:w="511" w:type="pct"/>
            <w:vAlign w:val="center"/>
          </w:tcPr>
          <w:p w14:paraId="2E94D21A">
            <w:pPr>
              <w:pStyle w:val="209"/>
              <w:snapToGrid w:val="0"/>
              <w:spacing w:before="0" w:beforeLines="0"/>
              <w:rPr>
                <w:rFonts w:ascii="Times New Roman" w:hAnsi="Times New Roman" w:eastAsia="宋体" w:cs="Times New Roman"/>
                <w:kern w:val="0"/>
                <w:szCs w:val="21"/>
                <w:lang w:bidi="ar"/>
              </w:rPr>
            </w:pPr>
            <w:r>
              <w:rPr>
                <w:rFonts w:ascii="Times New Roman" w:hAnsi="Times New Roman" w:eastAsia="宋体" w:cs="Times New Roman"/>
                <w:kern w:val="0"/>
                <w:szCs w:val="21"/>
                <w:lang w:bidi="ar"/>
              </w:rPr>
              <w:t>数量</w:t>
            </w:r>
          </w:p>
        </w:tc>
        <w:tc>
          <w:tcPr>
            <w:tcW w:w="1714" w:type="pct"/>
            <w:vAlign w:val="center"/>
          </w:tcPr>
          <w:p w14:paraId="1E4CEDF0">
            <w:pPr>
              <w:pStyle w:val="209"/>
              <w:snapToGrid w:val="0"/>
              <w:spacing w:before="0" w:beforeLines="0"/>
              <w:rPr>
                <w:rFonts w:ascii="Times New Roman" w:hAnsi="Times New Roman" w:eastAsia="宋体" w:cs="Times New Roman"/>
                <w:szCs w:val="21"/>
              </w:rPr>
            </w:pPr>
            <w:r>
              <w:rPr>
                <w:rFonts w:ascii="Times New Roman" w:hAnsi="Times New Roman" w:eastAsia="宋体" w:cs="Times New Roman"/>
                <w:szCs w:val="21"/>
              </w:rPr>
              <w:t>规格型号</w:t>
            </w:r>
          </w:p>
        </w:tc>
        <w:tc>
          <w:tcPr>
            <w:tcW w:w="812" w:type="pct"/>
            <w:vAlign w:val="center"/>
          </w:tcPr>
          <w:p w14:paraId="0850D666">
            <w:pPr>
              <w:pStyle w:val="209"/>
              <w:snapToGrid w:val="0"/>
              <w:spacing w:before="0" w:beforeLines="0"/>
              <w:rPr>
                <w:rFonts w:ascii="Times New Roman" w:hAnsi="Times New Roman" w:eastAsia="宋体" w:cs="Times New Roman"/>
                <w:szCs w:val="21"/>
              </w:rPr>
            </w:pPr>
            <w:r>
              <w:rPr>
                <w:rFonts w:ascii="Times New Roman" w:hAnsi="Times New Roman" w:eastAsia="宋体" w:cs="Times New Roman"/>
                <w:szCs w:val="21"/>
              </w:rPr>
              <w:t>车间位置</w:t>
            </w:r>
          </w:p>
        </w:tc>
      </w:tr>
      <w:tr w14:paraId="42015A8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14:paraId="7C4C1803">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0E42309E">
            <w:pPr>
              <w:pStyle w:val="195"/>
              <w:autoSpaceDE/>
              <w:autoSpaceDN/>
              <w:snapToGrid w:val="0"/>
              <w:rPr>
                <w:rFonts w:eastAsia="宋体"/>
                <w:sz w:val="21"/>
                <w:szCs w:val="21"/>
              </w:rPr>
            </w:pPr>
            <w:r>
              <w:rPr>
                <w:rFonts w:hint="eastAsia" w:eastAsia="宋体"/>
                <w:sz w:val="21"/>
                <w:szCs w:val="21"/>
                <w:lang w:eastAsia="zh-CN"/>
              </w:rPr>
              <w:t>一次</w:t>
            </w:r>
            <w:r>
              <w:rPr>
                <w:rFonts w:eastAsia="宋体"/>
                <w:sz w:val="21"/>
                <w:szCs w:val="21"/>
              </w:rPr>
              <w:t>振动筛</w:t>
            </w:r>
          </w:p>
        </w:tc>
        <w:tc>
          <w:tcPr>
            <w:tcW w:w="426" w:type="pct"/>
            <w:vAlign w:val="center"/>
          </w:tcPr>
          <w:p w14:paraId="1C4FC4E3">
            <w:pPr>
              <w:pStyle w:val="195"/>
              <w:autoSpaceDE/>
              <w:autoSpaceDN/>
              <w:snapToGrid w:val="0"/>
              <w:rPr>
                <w:rFonts w:eastAsia="宋体"/>
                <w:sz w:val="21"/>
                <w:szCs w:val="21"/>
                <w:lang w:eastAsia="zh-CN" w:bidi="ar"/>
              </w:rPr>
            </w:pPr>
            <w:r>
              <w:rPr>
                <w:rFonts w:eastAsia="宋体"/>
                <w:sz w:val="21"/>
                <w:szCs w:val="21"/>
                <w:lang w:eastAsia="zh-CN" w:bidi="ar"/>
              </w:rPr>
              <w:t>台</w:t>
            </w:r>
          </w:p>
        </w:tc>
        <w:tc>
          <w:tcPr>
            <w:tcW w:w="511" w:type="pct"/>
            <w:vAlign w:val="center"/>
          </w:tcPr>
          <w:p w14:paraId="3B4107BD">
            <w:pPr>
              <w:pStyle w:val="195"/>
              <w:autoSpaceDE/>
              <w:autoSpaceDN/>
              <w:snapToGrid w:val="0"/>
              <w:rPr>
                <w:rFonts w:eastAsia="宋体"/>
                <w:sz w:val="21"/>
                <w:szCs w:val="21"/>
                <w:lang w:eastAsia="zh-CN" w:bidi="ar"/>
              </w:rPr>
            </w:pPr>
            <w:r>
              <w:rPr>
                <w:rFonts w:eastAsia="宋体"/>
                <w:sz w:val="21"/>
                <w:szCs w:val="21"/>
                <w:lang w:eastAsia="zh-CN" w:bidi="ar"/>
              </w:rPr>
              <w:t>5</w:t>
            </w:r>
          </w:p>
        </w:tc>
        <w:tc>
          <w:tcPr>
            <w:tcW w:w="1714" w:type="pct"/>
            <w:vAlign w:val="center"/>
          </w:tcPr>
          <w:p w14:paraId="48D2BE3E">
            <w:pPr>
              <w:pStyle w:val="209"/>
              <w:snapToGrid w:val="0"/>
              <w:spacing w:before="0" w:beforeLines="0"/>
              <w:rPr>
                <w:rFonts w:ascii="Times New Roman" w:hAnsi="Times New Roman" w:eastAsia="宋体" w:cs="Times New Roman"/>
                <w:szCs w:val="21"/>
              </w:rPr>
            </w:pPr>
            <w:r>
              <w:rPr>
                <w:rFonts w:ascii="Times New Roman" w:hAnsi="Times New Roman" w:eastAsia="宋体" w:cs="Times New Roman"/>
                <w:szCs w:val="21"/>
              </w:rPr>
              <w:t>2LF3060</w:t>
            </w:r>
          </w:p>
        </w:tc>
        <w:tc>
          <w:tcPr>
            <w:tcW w:w="812" w:type="pct"/>
            <w:vMerge w:val="restart"/>
            <w:vAlign w:val="center"/>
          </w:tcPr>
          <w:p w14:paraId="52DA109F">
            <w:pPr>
              <w:pStyle w:val="209"/>
              <w:snapToGrid w:val="0"/>
              <w:spacing w:before="0" w:beforeLines="0"/>
              <w:rPr>
                <w:rFonts w:ascii="Times New Roman" w:hAnsi="Times New Roman" w:eastAsia="宋体" w:cs="Times New Roman"/>
                <w:szCs w:val="21"/>
              </w:rPr>
            </w:pPr>
            <w:r>
              <w:rPr>
                <w:rFonts w:hint="eastAsia" w:ascii="Times New Roman" w:hAnsi="Times New Roman" w:eastAsia="宋体" w:cs="Times New Roman"/>
                <w:szCs w:val="21"/>
              </w:rPr>
              <w:t>1#厂区</w:t>
            </w:r>
          </w:p>
          <w:p w14:paraId="57D92F88">
            <w:pPr>
              <w:pStyle w:val="209"/>
              <w:snapToGrid w:val="0"/>
              <w:spacing w:before="0" w:beforeLines="0"/>
              <w:rPr>
                <w:rFonts w:ascii="Times New Roman" w:hAnsi="Times New Roman" w:eastAsia="宋体" w:cs="Times New Roman"/>
                <w:szCs w:val="21"/>
              </w:rPr>
            </w:pPr>
            <w:r>
              <w:rPr>
                <w:rFonts w:hint="eastAsia" w:ascii="Times New Roman" w:hAnsi="Times New Roman" w:eastAsia="宋体" w:cs="Times New Roman"/>
                <w:szCs w:val="21"/>
              </w:rPr>
              <w:t>抛砂</w:t>
            </w:r>
            <w:r>
              <w:rPr>
                <w:rFonts w:ascii="Times New Roman" w:hAnsi="Times New Roman" w:eastAsia="宋体" w:cs="Times New Roman"/>
                <w:szCs w:val="21"/>
              </w:rPr>
              <w:t>车间</w:t>
            </w:r>
          </w:p>
        </w:tc>
      </w:tr>
      <w:tr w14:paraId="77BBD10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14:paraId="48FB0359">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60BC5568">
            <w:pPr>
              <w:widowControl/>
              <w:snapToGrid w:val="0"/>
              <w:spacing w:before="0" w:beforeLines="0" w:line="240" w:lineRule="auto"/>
              <w:jc w:val="center"/>
              <w:textAlignment w:val="center"/>
              <w:rPr>
                <w:szCs w:val="21"/>
                <w:lang w:val="zh-CN"/>
              </w:rPr>
            </w:pPr>
            <w:r>
              <w:rPr>
                <w:rFonts w:hint="eastAsia"/>
                <w:kern w:val="0"/>
                <w:szCs w:val="21"/>
                <w:lang w:bidi="ar"/>
              </w:rPr>
              <w:t>筛上物</w:t>
            </w:r>
            <w:r>
              <w:rPr>
                <w:kern w:val="0"/>
                <w:szCs w:val="21"/>
                <w:lang w:bidi="ar"/>
              </w:rPr>
              <w:t>输送带</w:t>
            </w:r>
          </w:p>
        </w:tc>
        <w:tc>
          <w:tcPr>
            <w:tcW w:w="426" w:type="pct"/>
            <w:vAlign w:val="center"/>
          </w:tcPr>
          <w:p w14:paraId="34255C16">
            <w:pPr>
              <w:widowControl/>
              <w:snapToGrid w:val="0"/>
              <w:spacing w:before="0" w:beforeLines="0" w:line="240" w:lineRule="auto"/>
              <w:jc w:val="center"/>
              <w:textAlignment w:val="center"/>
              <w:rPr>
                <w:kern w:val="0"/>
                <w:szCs w:val="21"/>
                <w:lang w:bidi="ar"/>
              </w:rPr>
            </w:pPr>
            <w:r>
              <w:rPr>
                <w:kern w:val="0"/>
                <w:szCs w:val="21"/>
                <w:lang w:bidi="ar"/>
              </w:rPr>
              <w:t>条</w:t>
            </w:r>
          </w:p>
        </w:tc>
        <w:tc>
          <w:tcPr>
            <w:tcW w:w="511" w:type="pct"/>
            <w:vAlign w:val="center"/>
          </w:tcPr>
          <w:p w14:paraId="184A81A6">
            <w:pPr>
              <w:widowControl/>
              <w:snapToGrid w:val="0"/>
              <w:spacing w:before="0" w:beforeLines="0" w:line="240" w:lineRule="auto"/>
              <w:jc w:val="center"/>
              <w:textAlignment w:val="center"/>
              <w:rPr>
                <w:kern w:val="0"/>
                <w:szCs w:val="21"/>
                <w:lang w:bidi="ar"/>
              </w:rPr>
            </w:pPr>
            <w:r>
              <w:rPr>
                <w:kern w:val="0"/>
                <w:szCs w:val="21"/>
                <w:lang w:bidi="ar"/>
              </w:rPr>
              <w:t>1</w:t>
            </w:r>
          </w:p>
        </w:tc>
        <w:tc>
          <w:tcPr>
            <w:tcW w:w="1714" w:type="pct"/>
            <w:vAlign w:val="center"/>
          </w:tcPr>
          <w:p w14:paraId="7D5C85FB">
            <w:pPr>
              <w:pStyle w:val="209"/>
              <w:snapToGrid w:val="0"/>
              <w:spacing w:before="0" w:beforeLines="0"/>
              <w:rPr>
                <w:rFonts w:ascii="Times New Roman" w:hAnsi="Times New Roman" w:eastAsia="宋体" w:cs="Times New Roman"/>
                <w:szCs w:val="21"/>
              </w:rPr>
            </w:pPr>
            <w:r>
              <w:rPr>
                <w:rFonts w:ascii="Times New Roman" w:hAnsi="Times New Roman" w:eastAsia="宋体" w:cs="Times New Roman"/>
                <w:szCs w:val="21"/>
              </w:rPr>
              <w:t>长40m，宽1.2m</w:t>
            </w:r>
          </w:p>
        </w:tc>
        <w:tc>
          <w:tcPr>
            <w:tcW w:w="812" w:type="pct"/>
            <w:vMerge w:val="continue"/>
            <w:vAlign w:val="center"/>
          </w:tcPr>
          <w:p w14:paraId="618CF5BA">
            <w:pPr>
              <w:pStyle w:val="209"/>
              <w:snapToGrid w:val="0"/>
              <w:spacing w:before="0" w:beforeLines="0"/>
              <w:rPr>
                <w:rFonts w:ascii="Times New Roman" w:hAnsi="Times New Roman" w:eastAsia="宋体" w:cs="Times New Roman"/>
                <w:szCs w:val="21"/>
              </w:rPr>
            </w:pPr>
          </w:p>
        </w:tc>
      </w:tr>
      <w:tr w14:paraId="54B17DE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14:paraId="186A0285">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35EF623D">
            <w:pPr>
              <w:widowControl/>
              <w:snapToGrid w:val="0"/>
              <w:spacing w:before="0" w:beforeLines="0" w:line="240" w:lineRule="auto"/>
              <w:jc w:val="center"/>
              <w:textAlignment w:val="center"/>
              <w:rPr>
                <w:szCs w:val="21"/>
              </w:rPr>
            </w:pPr>
            <w:r>
              <w:rPr>
                <w:rFonts w:hint="eastAsia"/>
                <w:kern w:val="0"/>
                <w:szCs w:val="21"/>
                <w:lang w:bidi="ar"/>
              </w:rPr>
              <w:t>筛下物</w:t>
            </w:r>
            <w:r>
              <w:rPr>
                <w:kern w:val="0"/>
                <w:szCs w:val="21"/>
                <w:lang w:bidi="ar"/>
              </w:rPr>
              <w:t>输送带</w:t>
            </w:r>
          </w:p>
        </w:tc>
        <w:tc>
          <w:tcPr>
            <w:tcW w:w="426" w:type="pct"/>
            <w:vAlign w:val="center"/>
          </w:tcPr>
          <w:p w14:paraId="3B98814C">
            <w:pPr>
              <w:widowControl/>
              <w:snapToGrid w:val="0"/>
              <w:spacing w:before="0" w:beforeLines="0" w:line="240" w:lineRule="auto"/>
              <w:jc w:val="center"/>
              <w:textAlignment w:val="center"/>
              <w:rPr>
                <w:kern w:val="0"/>
                <w:szCs w:val="21"/>
                <w:lang w:bidi="ar"/>
              </w:rPr>
            </w:pPr>
            <w:r>
              <w:rPr>
                <w:kern w:val="0"/>
                <w:szCs w:val="21"/>
                <w:lang w:bidi="ar"/>
              </w:rPr>
              <w:t>条</w:t>
            </w:r>
          </w:p>
        </w:tc>
        <w:tc>
          <w:tcPr>
            <w:tcW w:w="511" w:type="pct"/>
            <w:vAlign w:val="center"/>
          </w:tcPr>
          <w:p w14:paraId="64A510DB">
            <w:pPr>
              <w:widowControl/>
              <w:snapToGrid w:val="0"/>
              <w:spacing w:before="0" w:beforeLines="0" w:line="240" w:lineRule="auto"/>
              <w:jc w:val="center"/>
              <w:textAlignment w:val="center"/>
              <w:rPr>
                <w:kern w:val="0"/>
                <w:szCs w:val="21"/>
                <w:lang w:bidi="ar"/>
              </w:rPr>
            </w:pPr>
            <w:r>
              <w:rPr>
                <w:rFonts w:hint="eastAsia"/>
                <w:kern w:val="0"/>
                <w:szCs w:val="21"/>
                <w:lang w:bidi="ar"/>
              </w:rPr>
              <w:t>5</w:t>
            </w:r>
          </w:p>
        </w:tc>
        <w:tc>
          <w:tcPr>
            <w:tcW w:w="1714" w:type="pct"/>
            <w:vAlign w:val="center"/>
          </w:tcPr>
          <w:p w14:paraId="2B849001">
            <w:pPr>
              <w:widowControl/>
              <w:snapToGrid w:val="0"/>
              <w:spacing w:before="0" w:beforeLines="0" w:line="240" w:lineRule="auto"/>
              <w:jc w:val="center"/>
              <w:textAlignment w:val="center"/>
              <w:rPr>
                <w:szCs w:val="21"/>
              </w:rPr>
            </w:pPr>
            <w:r>
              <w:rPr>
                <w:szCs w:val="21"/>
              </w:rPr>
              <w:t>长40m，宽1.2m</w:t>
            </w:r>
          </w:p>
        </w:tc>
        <w:tc>
          <w:tcPr>
            <w:tcW w:w="812" w:type="pct"/>
            <w:vMerge w:val="continue"/>
            <w:vAlign w:val="center"/>
          </w:tcPr>
          <w:p w14:paraId="1795462A">
            <w:pPr>
              <w:snapToGrid w:val="0"/>
              <w:spacing w:before="0" w:beforeLines="0" w:line="240" w:lineRule="auto"/>
              <w:jc w:val="center"/>
              <w:rPr>
                <w:szCs w:val="21"/>
              </w:rPr>
            </w:pPr>
          </w:p>
        </w:tc>
      </w:tr>
      <w:tr w14:paraId="0E264BB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14:paraId="6EA6C50E">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0EE29337">
            <w:pPr>
              <w:widowControl/>
              <w:snapToGrid w:val="0"/>
              <w:spacing w:before="0" w:beforeLines="0" w:line="240" w:lineRule="auto"/>
              <w:jc w:val="center"/>
              <w:textAlignment w:val="center"/>
              <w:rPr>
                <w:kern w:val="0"/>
                <w:szCs w:val="21"/>
                <w:lang w:bidi="ar"/>
              </w:rPr>
            </w:pPr>
            <w:r>
              <w:rPr>
                <w:rFonts w:hint="eastAsia"/>
                <w:szCs w:val="21"/>
              </w:rPr>
              <w:t>二次</w:t>
            </w:r>
            <w:r>
              <w:rPr>
                <w:szCs w:val="21"/>
              </w:rPr>
              <w:t>振动筛</w:t>
            </w:r>
          </w:p>
        </w:tc>
        <w:tc>
          <w:tcPr>
            <w:tcW w:w="426" w:type="pct"/>
            <w:vAlign w:val="center"/>
          </w:tcPr>
          <w:p w14:paraId="25365277">
            <w:pPr>
              <w:widowControl/>
              <w:snapToGrid w:val="0"/>
              <w:spacing w:before="0" w:beforeLines="0" w:line="240" w:lineRule="auto"/>
              <w:jc w:val="center"/>
              <w:textAlignment w:val="center"/>
              <w:rPr>
                <w:kern w:val="0"/>
                <w:szCs w:val="21"/>
                <w:lang w:bidi="ar"/>
              </w:rPr>
            </w:pPr>
            <w:r>
              <w:rPr>
                <w:kern w:val="0"/>
                <w:szCs w:val="21"/>
                <w:lang w:bidi="ar"/>
              </w:rPr>
              <w:t>台</w:t>
            </w:r>
          </w:p>
        </w:tc>
        <w:tc>
          <w:tcPr>
            <w:tcW w:w="511" w:type="pct"/>
            <w:vAlign w:val="center"/>
          </w:tcPr>
          <w:p w14:paraId="30065C86">
            <w:pPr>
              <w:widowControl/>
              <w:snapToGrid w:val="0"/>
              <w:spacing w:before="0" w:beforeLines="0" w:line="240" w:lineRule="auto"/>
              <w:jc w:val="center"/>
              <w:textAlignment w:val="center"/>
              <w:rPr>
                <w:kern w:val="0"/>
                <w:szCs w:val="21"/>
                <w:lang w:bidi="ar"/>
              </w:rPr>
            </w:pPr>
            <w:r>
              <w:rPr>
                <w:kern w:val="0"/>
                <w:szCs w:val="21"/>
                <w:lang w:bidi="ar"/>
              </w:rPr>
              <w:t>5</w:t>
            </w:r>
          </w:p>
        </w:tc>
        <w:tc>
          <w:tcPr>
            <w:tcW w:w="1714" w:type="pct"/>
            <w:vAlign w:val="center"/>
          </w:tcPr>
          <w:p w14:paraId="7F184A7B">
            <w:pPr>
              <w:widowControl/>
              <w:snapToGrid w:val="0"/>
              <w:spacing w:before="0" w:beforeLines="0" w:line="240" w:lineRule="auto"/>
              <w:jc w:val="center"/>
              <w:textAlignment w:val="center"/>
              <w:rPr>
                <w:szCs w:val="21"/>
              </w:rPr>
            </w:pPr>
            <w:r>
              <w:rPr>
                <w:szCs w:val="21"/>
              </w:rPr>
              <w:t>2LF3060</w:t>
            </w:r>
          </w:p>
        </w:tc>
        <w:tc>
          <w:tcPr>
            <w:tcW w:w="812" w:type="pct"/>
            <w:vMerge w:val="continue"/>
            <w:vAlign w:val="center"/>
          </w:tcPr>
          <w:p w14:paraId="61EE4DAA">
            <w:pPr>
              <w:snapToGrid w:val="0"/>
              <w:spacing w:before="0" w:beforeLines="0" w:line="240" w:lineRule="auto"/>
              <w:jc w:val="center"/>
              <w:rPr>
                <w:szCs w:val="21"/>
              </w:rPr>
            </w:pPr>
          </w:p>
        </w:tc>
      </w:tr>
      <w:tr w14:paraId="0E6B86E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14:paraId="1FF0B0F6">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6FC17F31">
            <w:pPr>
              <w:widowControl/>
              <w:snapToGrid w:val="0"/>
              <w:spacing w:before="0" w:beforeLines="0" w:line="240" w:lineRule="auto"/>
              <w:jc w:val="center"/>
              <w:textAlignment w:val="center"/>
              <w:rPr>
                <w:szCs w:val="21"/>
              </w:rPr>
            </w:pPr>
            <w:r>
              <w:rPr>
                <w:rFonts w:hint="eastAsia"/>
                <w:kern w:val="0"/>
                <w:szCs w:val="21"/>
                <w:lang w:bidi="ar"/>
              </w:rPr>
              <w:t>筛上物</w:t>
            </w:r>
            <w:r>
              <w:rPr>
                <w:kern w:val="0"/>
                <w:szCs w:val="21"/>
                <w:lang w:bidi="ar"/>
              </w:rPr>
              <w:t>输送带</w:t>
            </w:r>
          </w:p>
        </w:tc>
        <w:tc>
          <w:tcPr>
            <w:tcW w:w="426" w:type="pct"/>
            <w:vAlign w:val="center"/>
          </w:tcPr>
          <w:p w14:paraId="6D3972FC">
            <w:pPr>
              <w:widowControl/>
              <w:snapToGrid w:val="0"/>
              <w:spacing w:before="0" w:beforeLines="0" w:line="240" w:lineRule="auto"/>
              <w:jc w:val="center"/>
              <w:textAlignment w:val="center"/>
              <w:rPr>
                <w:kern w:val="0"/>
                <w:szCs w:val="21"/>
                <w:lang w:bidi="ar"/>
              </w:rPr>
            </w:pPr>
            <w:r>
              <w:rPr>
                <w:kern w:val="0"/>
                <w:szCs w:val="21"/>
                <w:lang w:bidi="ar"/>
              </w:rPr>
              <w:t>条</w:t>
            </w:r>
          </w:p>
        </w:tc>
        <w:tc>
          <w:tcPr>
            <w:tcW w:w="511" w:type="pct"/>
            <w:vAlign w:val="center"/>
          </w:tcPr>
          <w:p w14:paraId="4FFD14DF">
            <w:pPr>
              <w:widowControl/>
              <w:snapToGrid w:val="0"/>
              <w:spacing w:before="0" w:beforeLines="0" w:line="240" w:lineRule="auto"/>
              <w:jc w:val="center"/>
              <w:textAlignment w:val="center"/>
              <w:rPr>
                <w:kern w:val="0"/>
                <w:szCs w:val="21"/>
                <w:lang w:bidi="ar"/>
              </w:rPr>
            </w:pPr>
            <w:r>
              <w:rPr>
                <w:kern w:val="0"/>
                <w:szCs w:val="21"/>
                <w:lang w:bidi="ar"/>
              </w:rPr>
              <w:t>1</w:t>
            </w:r>
          </w:p>
        </w:tc>
        <w:tc>
          <w:tcPr>
            <w:tcW w:w="1714" w:type="pct"/>
            <w:vAlign w:val="center"/>
          </w:tcPr>
          <w:p w14:paraId="3B169B6F">
            <w:pPr>
              <w:widowControl/>
              <w:snapToGrid w:val="0"/>
              <w:spacing w:before="0" w:beforeLines="0" w:line="240" w:lineRule="auto"/>
              <w:jc w:val="center"/>
              <w:textAlignment w:val="center"/>
              <w:rPr>
                <w:szCs w:val="21"/>
              </w:rPr>
            </w:pPr>
            <w:r>
              <w:rPr>
                <w:szCs w:val="21"/>
              </w:rPr>
              <w:t>长40m，宽1.2m</w:t>
            </w:r>
          </w:p>
        </w:tc>
        <w:tc>
          <w:tcPr>
            <w:tcW w:w="812" w:type="pct"/>
            <w:vMerge w:val="continue"/>
            <w:vAlign w:val="center"/>
          </w:tcPr>
          <w:p w14:paraId="6D55C4CB">
            <w:pPr>
              <w:snapToGrid w:val="0"/>
              <w:spacing w:before="0" w:beforeLines="0" w:line="240" w:lineRule="auto"/>
              <w:jc w:val="center"/>
              <w:rPr>
                <w:szCs w:val="21"/>
              </w:rPr>
            </w:pPr>
          </w:p>
        </w:tc>
      </w:tr>
      <w:tr w14:paraId="2C11CC5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99" w:hRule="atLeast"/>
          <w:jc w:val="center"/>
        </w:trPr>
        <w:tc>
          <w:tcPr>
            <w:tcW w:w="342" w:type="pct"/>
            <w:vAlign w:val="center"/>
          </w:tcPr>
          <w:p w14:paraId="38377C5B">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43AA7172">
            <w:pPr>
              <w:widowControl/>
              <w:snapToGrid w:val="0"/>
              <w:spacing w:before="0" w:beforeLines="0" w:line="240" w:lineRule="auto"/>
              <w:jc w:val="center"/>
              <w:textAlignment w:val="center"/>
              <w:rPr>
                <w:kern w:val="0"/>
                <w:szCs w:val="21"/>
                <w:lang w:bidi="ar"/>
              </w:rPr>
            </w:pPr>
            <w:r>
              <w:rPr>
                <w:kern w:val="0"/>
                <w:szCs w:val="21"/>
                <w:lang w:bidi="ar"/>
              </w:rPr>
              <w:t>粗磁选机</w:t>
            </w:r>
          </w:p>
        </w:tc>
        <w:tc>
          <w:tcPr>
            <w:tcW w:w="426" w:type="pct"/>
            <w:vAlign w:val="center"/>
          </w:tcPr>
          <w:p w14:paraId="7CCEF9B4">
            <w:pPr>
              <w:widowControl/>
              <w:snapToGrid w:val="0"/>
              <w:spacing w:before="0" w:beforeLines="0" w:line="240" w:lineRule="auto"/>
              <w:jc w:val="center"/>
              <w:textAlignment w:val="center"/>
              <w:rPr>
                <w:kern w:val="0"/>
                <w:szCs w:val="21"/>
                <w:lang w:bidi="ar"/>
              </w:rPr>
            </w:pPr>
            <w:r>
              <w:rPr>
                <w:kern w:val="0"/>
                <w:szCs w:val="21"/>
                <w:lang w:bidi="ar"/>
              </w:rPr>
              <w:t>台</w:t>
            </w:r>
          </w:p>
        </w:tc>
        <w:tc>
          <w:tcPr>
            <w:tcW w:w="511" w:type="pct"/>
            <w:vAlign w:val="center"/>
          </w:tcPr>
          <w:p w14:paraId="2B4E5FAF">
            <w:pPr>
              <w:widowControl/>
              <w:snapToGrid w:val="0"/>
              <w:spacing w:before="0" w:beforeLines="0" w:line="240" w:lineRule="auto"/>
              <w:jc w:val="center"/>
              <w:textAlignment w:val="center"/>
              <w:rPr>
                <w:kern w:val="0"/>
                <w:szCs w:val="21"/>
                <w:lang w:bidi="ar"/>
              </w:rPr>
            </w:pPr>
            <w:r>
              <w:rPr>
                <w:kern w:val="0"/>
                <w:szCs w:val="21"/>
                <w:lang w:bidi="ar"/>
              </w:rPr>
              <w:t>5</w:t>
            </w:r>
          </w:p>
        </w:tc>
        <w:tc>
          <w:tcPr>
            <w:tcW w:w="1714" w:type="pct"/>
            <w:vAlign w:val="center"/>
          </w:tcPr>
          <w:p w14:paraId="78B988A0">
            <w:pPr>
              <w:widowControl/>
              <w:snapToGrid w:val="0"/>
              <w:spacing w:before="0" w:beforeLines="0" w:line="240" w:lineRule="auto"/>
              <w:jc w:val="center"/>
              <w:textAlignment w:val="center"/>
              <w:rPr>
                <w:szCs w:val="21"/>
              </w:rPr>
            </w:pPr>
            <w:r>
              <w:rPr>
                <w:szCs w:val="21"/>
              </w:rPr>
              <w:t>型号6621，处理能力100t/h</w:t>
            </w:r>
          </w:p>
        </w:tc>
        <w:tc>
          <w:tcPr>
            <w:tcW w:w="812" w:type="pct"/>
            <w:vMerge w:val="continue"/>
            <w:vAlign w:val="center"/>
          </w:tcPr>
          <w:p w14:paraId="00BB49FB">
            <w:pPr>
              <w:snapToGrid w:val="0"/>
              <w:spacing w:before="0" w:beforeLines="0" w:line="240" w:lineRule="auto"/>
              <w:jc w:val="center"/>
              <w:rPr>
                <w:szCs w:val="21"/>
              </w:rPr>
            </w:pPr>
          </w:p>
        </w:tc>
      </w:tr>
      <w:tr w14:paraId="6EDFA2A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14:paraId="41DA161B">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668ED49F">
            <w:pPr>
              <w:widowControl/>
              <w:snapToGrid w:val="0"/>
              <w:spacing w:before="0" w:beforeLines="0" w:line="240" w:lineRule="auto"/>
              <w:jc w:val="center"/>
              <w:textAlignment w:val="center"/>
              <w:rPr>
                <w:kern w:val="0"/>
                <w:szCs w:val="21"/>
                <w:lang w:bidi="ar"/>
              </w:rPr>
            </w:pPr>
            <w:r>
              <w:rPr>
                <w:kern w:val="0"/>
                <w:szCs w:val="21"/>
                <w:lang w:bidi="ar"/>
              </w:rPr>
              <w:t>抛砂分离机</w:t>
            </w:r>
          </w:p>
        </w:tc>
        <w:tc>
          <w:tcPr>
            <w:tcW w:w="426" w:type="pct"/>
            <w:vAlign w:val="center"/>
          </w:tcPr>
          <w:p w14:paraId="107FD2F2">
            <w:pPr>
              <w:widowControl/>
              <w:snapToGrid w:val="0"/>
              <w:spacing w:before="0" w:beforeLines="0" w:line="240" w:lineRule="auto"/>
              <w:jc w:val="center"/>
              <w:textAlignment w:val="center"/>
              <w:rPr>
                <w:kern w:val="0"/>
                <w:szCs w:val="21"/>
                <w:lang w:bidi="ar"/>
              </w:rPr>
            </w:pPr>
            <w:r>
              <w:rPr>
                <w:kern w:val="0"/>
                <w:szCs w:val="21"/>
                <w:lang w:bidi="ar"/>
              </w:rPr>
              <w:t>台</w:t>
            </w:r>
          </w:p>
        </w:tc>
        <w:tc>
          <w:tcPr>
            <w:tcW w:w="511" w:type="pct"/>
            <w:vAlign w:val="center"/>
          </w:tcPr>
          <w:p w14:paraId="12CC5912">
            <w:pPr>
              <w:widowControl/>
              <w:snapToGrid w:val="0"/>
              <w:spacing w:before="0" w:beforeLines="0" w:line="240" w:lineRule="auto"/>
              <w:jc w:val="center"/>
              <w:textAlignment w:val="center"/>
              <w:rPr>
                <w:kern w:val="0"/>
                <w:szCs w:val="21"/>
                <w:lang w:bidi="ar"/>
              </w:rPr>
            </w:pPr>
            <w:r>
              <w:rPr>
                <w:kern w:val="0"/>
                <w:szCs w:val="21"/>
                <w:lang w:bidi="ar"/>
              </w:rPr>
              <w:t>5</w:t>
            </w:r>
          </w:p>
        </w:tc>
        <w:tc>
          <w:tcPr>
            <w:tcW w:w="1714" w:type="pct"/>
            <w:vAlign w:val="center"/>
          </w:tcPr>
          <w:p w14:paraId="4481C222">
            <w:pPr>
              <w:widowControl/>
              <w:snapToGrid w:val="0"/>
              <w:spacing w:before="0" w:beforeLines="0" w:line="240" w:lineRule="auto"/>
              <w:jc w:val="center"/>
              <w:textAlignment w:val="center"/>
              <w:rPr>
                <w:szCs w:val="21"/>
              </w:rPr>
            </w:pPr>
            <w:r>
              <w:rPr>
                <w:szCs w:val="21"/>
              </w:rPr>
              <w:t>处理能力120t/h</w:t>
            </w:r>
          </w:p>
        </w:tc>
        <w:tc>
          <w:tcPr>
            <w:tcW w:w="812" w:type="pct"/>
            <w:vMerge w:val="continue"/>
            <w:vAlign w:val="center"/>
          </w:tcPr>
          <w:p w14:paraId="41016DD7">
            <w:pPr>
              <w:snapToGrid w:val="0"/>
              <w:spacing w:before="0" w:beforeLines="0" w:line="240" w:lineRule="auto"/>
              <w:jc w:val="center"/>
              <w:rPr>
                <w:szCs w:val="21"/>
              </w:rPr>
            </w:pPr>
          </w:p>
        </w:tc>
      </w:tr>
      <w:tr w14:paraId="763CCA1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14:paraId="146EC5F2">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78AC8517">
            <w:pPr>
              <w:widowControl/>
              <w:snapToGrid w:val="0"/>
              <w:spacing w:before="0" w:beforeLines="0" w:line="240" w:lineRule="auto"/>
              <w:jc w:val="center"/>
              <w:textAlignment w:val="center"/>
              <w:rPr>
                <w:kern w:val="0"/>
                <w:szCs w:val="21"/>
                <w:lang w:bidi="ar"/>
              </w:rPr>
            </w:pPr>
            <w:r>
              <w:rPr>
                <w:kern w:val="0"/>
                <w:szCs w:val="21"/>
                <w:lang w:bidi="ar"/>
              </w:rPr>
              <w:t>粗粒输送带</w:t>
            </w:r>
          </w:p>
        </w:tc>
        <w:tc>
          <w:tcPr>
            <w:tcW w:w="426" w:type="pct"/>
            <w:vAlign w:val="center"/>
          </w:tcPr>
          <w:p w14:paraId="0D7ABBB2">
            <w:pPr>
              <w:widowControl/>
              <w:snapToGrid w:val="0"/>
              <w:spacing w:before="0" w:beforeLines="0" w:line="240" w:lineRule="auto"/>
              <w:jc w:val="center"/>
              <w:textAlignment w:val="center"/>
              <w:rPr>
                <w:kern w:val="0"/>
                <w:szCs w:val="21"/>
                <w:lang w:bidi="ar"/>
              </w:rPr>
            </w:pPr>
            <w:r>
              <w:rPr>
                <w:kern w:val="0"/>
                <w:szCs w:val="21"/>
                <w:lang w:bidi="ar"/>
              </w:rPr>
              <w:t>条</w:t>
            </w:r>
          </w:p>
        </w:tc>
        <w:tc>
          <w:tcPr>
            <w:tcW w:w="511" w:type="pct"/>
            <w:vAlign w:val="center"/>
          </w:tcPr>
          <w:p w14:paraId="387F445A">
            <w:pPr>
              <w:widowControl/>
              <w:snapToGrid w:val="0"/>
              <w:spacing w:before="0" w:beforeLines="0" w:line="240" w:lineRule="auto"/>
              <w:jc w:val="center"/>
              <w:textAlignment w:val="center"/>
              <w:rPr>
                <w:kern w:val="0"/>
                <w:szCs w:val="21"/>
                <w:lang w:bidi="ar"/>
              </w:rPr>
            </w:pPr>
            <w:r>
              <w:rPr>
                <w:kern w:val="0"/>
                <w:szCs w:val="21"/>
                <w:lang w:bidi="ar"/>
              </w:rPr>
              <w:t>1</w:t>
            </w:r>
          </w:p>
        </w:tc>
        <w:tc>
          <w:tcPr>
            <w:tcW w:w="1714" w:type="pct"/>
            <w:vAlign w:val="center"/>
          </w:tcPr>
          <w:p w14:paraId="056DFC60">
            <w:pPr>
              <w:widowControl/>
              <w:snapToGrid w:val="0"/>
              <w:spacing w:before="0" w:beforeLines="0" w:line="240" w:lineRule="auto"/>
              <w:jc w:val="center"/>
              <w:textAlignment w:val="center"/>
              <w:rPr>
                <w:szCs w:val="21"/>
              </w:rPr>
            </w:pPr>
            <w:r>
              <w:rPr>
                <w:szCs w:val="21"/>
              </w:rPr>
              <w:t>/</w:t>
            </w:r>
          </w:p>
        </w:tc>
        <w:tc>
          <w:tcPr>
            <w:tcW w:w="812" w:type="pct"/>
            <w:vMerge w:val="continue"/>
            <w:vAlign w:val="center"/>
          </w:tcPr>
          <w:p w14:paraId="6777B3E2">
            <w:pPr>
              <w:snapToGrid w:val="0"/>
              <w:spacing w:before="0" w:beforeLines="0" w:line="240" w:lineRule="auto"/>
              <w:jc w:val="center"/>
              <w:rPr>
                <w:szCs w:val="21"/>
              </w:rPr>
            </w:pPr>
          </w:p>
        </w:tc>
      </w:tr>
      <w:tr w14:paraId="55DE1EA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14:paraId="152241F5">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5E4906E1">
            <w:pPr>
              <w:widowControl/>
              <w:snapToGrid w:val="0"/>
              <w:spacing w:before="0" w:beforeLines="0" w:line="240" w:lineRule="auto"/>
              <w:jc w:val="center"/>
              <w:textAlignment w:val="center"/>
              <w:rPr>
                <w:kern w:val="0"/>
                <w:szCs w:val="21"/>
                <w:lang w:bidi="ar"/>
              </w:rPr>
            </w:pPr>
            <w:r>
              <w:rPr>
                <w:kern w:val="0"/>
                <w:szCs w:val="21"/>
                <w:lang w:bidi="ar"/>
              </w:rPr>
              <w:t>细粒输送带</w:t>
            </w:r>
          </w:p>
        </w:tc>
        <w:tc>
          <w:tcPr>
            <w:tcW w:w="426" w:type="pct"/>
            <w:vAlign w:val="center"/>
          </w:tcPr>
          <w:p w14:paraId="3299CC64">
            <w:pPr>
              <w:widowControl/>
              <w:snapToGrid w:val="0"/>
              <w:spacing w:before="0" w:beforeLines="0" w:line="240" w:lineRule="auto"/>
              <w:jc w:val="center"/>
              <w:textAlignment w:val="center"/>
              <w:rPr>
                <w:kern w:val="0"/>
                <w:szCs w:val="21"/>
                <w:lang w:bidi="ar"/>
              </w:rPr>
            </w:pPr>
            <w:r>
              <w:rPr>
                <w:kern w:val="0"/>
                <w:szCs w:val="21"/>
                <w:lang w:bidi="ar"/>
              </w:rPr>
              <w:t>条</w:t>
            </w:r>
          </w:p>
        </w:tc>
        <w:tc>
          <w:tcPr>
            <w:tcW w:w="511" w:type="pct"/>
            <w:vAlign w:val="center"/>
          </w:tcPr>
          <w:p w14:paraId="5142EC52">
            <w:pPr>
              <w:widowControl/>
              <w:snapToGrid w:val="0"/>
              <w:spacing w:before="0" w:beforeLines="0" w:line="240" w:lineRule="auto"/>
              <w:jc w:val="center"/>
              <w:textAlignment w:val="center"/>
              <w:rPr>
                <w:kern w:val="0"/>
                <w:szCs w:val="21"/>
                <w:lang w:bidi="ar"/>
              </w:rPr>
            </w:pPr>
            <w:r>
              <w:rPr>
                <w:kern w:val="0"/>
                <w:szCs w:val="21"/>
                <w:lang w:bidi="ar"/>
              </w:rPr>
              <w:t>1</w:t>
            </w:r>
          </w:p>
        </w:tc>
        <w:tc>
          <w:tcPr>
            <w:tcW w:w="1714" w:type="pct"/>
            <w:vAlign w:val="center"/>
          </w:tcPr>
          <w:p w14:paraId="0F70F762">
            <w:pPr>
              <w:widowControl/>
              <w:snapToGrid w:val="0"/>
              <w:spacing w:before="0" w:beforeLines="0" w:line="240" w:lineRule="auto"/>
              <w:jc w:val="center"/>
              <w:textAlignment w:val="center"/>
              <w:rPr>
                <w:szCs w:val="21"/>
              </w:rPr>
            </w:pPr>
            <w:r>
              <w:rPr>
                <w:szCs w:val="21"/>
              </w:rPr>
              <w:t>/</w:t>
            </w:r>
          </w:p>
        </w:tc>
        <w:tc>
          <w:tcPr>
            <w:tcW w:w="812" w:type="pct"/>
            <w:vMerge w:val="continue"/>
            <w:vAlign w:val="center"/>
          </w:tcPr>
          <w:p w14:paraId="7BCF2C29">
            <w:pPr>
              <w:snapToGrid w:val="0"/>
              <w:spacing w:before="0" w:beforeLines="0" w:line="240" w:lineRule="auto"/>
              <w:jc w:val="center"/>
              <w:rPr>
                <w:szCs w:val="21"/>
              </w:rPr>
            </w:pPr>
          </w:p>
        </w:tc>
      </w:tr>
      <w:tr w14:paraId="76E5DBA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14:paraId="558167AA">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6072C5CA">
            <w:pPr>
              <w:widowControl/>
              <w:snapToGrid w:val="0"/>
              <w:spacing w:before="0" w:beforeLines="0" w:line="240" w:lineRule="auto"/>
              <w:jc w:val="center"/>
              <w:textAlignment w:val="center"/>
              <w:rPr>
                <w:kern w:val="0"/>
                <w:szCs w:val="21"/>
                <w:lang w:bidi="ar"/>
              </w:rPr>
            </w:pPr>
            <w:r>
              <w:rPr>
                <w:kern w:val="0"/>
                <w:szCs w:val="21"/>
                <w:lang w:bidi="ar"/>
              </w:rPr>
              <w:t>洗砂机</w:t>
            </w:r>
          </w:p>
        </w:tc>
        <w:tc>
          <w:tcPr>
            <w:tcW w:w="426" w:type="pct"/>
            <w:vAlign w:val="center"/>
          </w:tcPr>
          <w:p w14:paraId="2E1AB8D7">
            <w:pPr>
              <w:widowControl/>
              <w:snapToGrid w:val="0"/>
              <w:spacing w:before="0" w:beforeLines="0" w:line="240" w:lineRule="auto"/>
              <w:jc w:val="center"/>
              <w:textAlignment w:val="center"/>
              <w:rPr>
                <w:kern w:val="0"/>
                <w:szCs w:val="21"/>
                <w:lang w:bidi="ar"/>
              </w:rPr>
            </w:pPr>
            <w:r>
              <w:rPr>
                <w:kern w:val="0"/>
                <w:szCs w:val="21"/>
                <w:lang w:bidi="ar"/>
              </w:rPr>
              <w:t>台</w:t>
            </w:r>
          </w:p>
        </w:tc>
        <w:tc>
          <w:tcPr>
            <w:tcW w:w="511" w:type="pct"/>
            <w:vAlign w:val="center"/>
          </w:tcPr>
          <w:p w14:paraId="5231DD81">
            <w:pPr>
              <w:widowControl/>
              <w:snapToGrid w:val="0"/>
              <w:spacing w:before="0" w:beforeLines="0" w:line="240" w:lineRule="auto"/>
              <w:jc w:val="center"/>
              <w:textAlignment w:val="center"/>
              <w:rPr>
                <w:kern w:val="0"/>
                <w:szCs w:val="21"/>
                <w:lang w:bidi="ar"/>
              </w:rPr>
            </w:pPr>
            <w:r>
              <w:rPr>
                <w:kern w:val="0"/>
                <w:szCs w:val="21"/>
                <w:lang w:bidi="ar"/>
              </w:rPr>
              <w:t>2</w:t>
            </w:r>
          </w:p>
        </w:tc>
        <w:tc>
          <w:tcPr>
            <w:tcW w:w="1714" w:type="pct"/>
            <w:vAlign w:val="center"/>
          </w:tcPr>
          <w:p w14:paraId="5E0B900D">
            <w:pPr>
              <w:widowControl/>
              <w:snapToGrid w:val="0"/>
              <w:spacing w:before="0" w:beforeLines="0" w:line="240" w:lineRule="auto"/>
              <w:jc w:val="center"/>
              <w:textAlignment w:val="center"/>
              <w:rPr>
                <w:szCs w:val="21"/>
                <w:lang w:val="zh-CN"/>
              </w:rPr>
            </w:pPr>
            <w:r>
              <w:rPr>
                <w:szCs w:val="21"/>
              </w:rPr>
              <w:t>处理能力200t/h</w:t>
            </w:r>
          </w:p>
        </w:tc>
        <w:tc>
          <w:tcPr>
            <w:tcW w:w="812" w:type="pct"/>
            <w:vMerge w:val="continue"/>
            <w:vAlign w:val="center"/>
          </w:tcPr>
          <w:p w14:paraId="7CA23C07">
            <w:pPr>
              <w:snapToGrid w:val="0"/>
              <w:spacing w:before="0" w:beforeLines="0" w:line="240" w:lineRule="auto"/>
              <w:jc w:val="center"/>
              <w:rPr>
                <w:szCs w:val="21"/>
              </w:rPr>
            </w:pPr>
          </w:p>
        </w:tc>
      </w:tr>
      <w:tr w14:paraId="33C1EFA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14:paraId="6B29042A">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1F919F65">
            <w:pPr>
              <w:widowControl/>
              <w:snapToGrid w:val="0"/>
              <w:spacing w:before="0" w:beforeLines="0" w:line="240" w:lineRule="auto"/>
              <w:jc w:val="center"/>
              <w:textAlignment w:val="center"/>
              <w:rPr>
                <w:kern w:val="0"/>
                <w:szCs w:val="21"/>
                <w:lang w:bidi="ar"/>
              </w:rPr>
            </w:pPr>
            <w:r>
              <w:rPr>
                <w:kern w:val="0"/>
                <w:szCs w:val="21"/>
                <w:lang w:bidi="ar"/>
              </w:rPr>
              <w:t>滤砂机</w:t>
            </w:r>
          </w:p>
        </w:tc>
        <w:tc>
          <w:tcPr>
            <w:tcW w:w="426" w:type="pct"/>
            <w:vAlign w:val="center"/>
          </w:tcPr>
          <w:p w14:paraId="309C9AF7">
            <w:pPr>
              <w:widowControl/>
              <w:snapToGrid w:val="0"/>
              <w:spacing w:before="0" w:beforeLines="0" w:line="240" w:lineRule="auto"/>
              <w:jc w:val="center"/>
              <w:textAlignment w:val="center"/>
              <w:rPr>
                <w:kern w:val="0"/>
                <w:szCs w:val="21"/>
                <w:lang w:bidi="ar"/>
              </w:rPr>
            </w:pPr>
            <w:r>
              <w:rPr>
                <w:kern w:val="0"/>
                <w:szCs w:val="21"/>
                <w:lang w:bidi="ar"/>
              </w:rPr>
              <w:t>台</w:t>
            </w:r>
          </w:p>
        </w:tc>
        <w:tc>
          <w:tcPr>
            <w:tcW w:w="511" w:type="pct"/>
            <w:vAlign w:val="center"/>
          </w:tcPr>
          <w:p w14:paraId="02F1D531">
            <w:pPr>
              <w:widowControl/>
              <w:snapToGrid w:val="0"/>
              <w:spacing w:before="0" w:beforeLines="0" w:line="240" w:lineRule="auto"/>
              <w:jc w:val="center"/>
              <w:textAlignment w:val="center"/>
              <w:rPr>
                <w:kern w:val="0"/>
                <w:szCs w:val="21"/>
                <w:lang w:bidi="ar"/>
              </w:rPr>
            </w:pPr>
            <w:r>
              <w:rPr>
                <w:kern w:val="0"/>
                <w:szCs w:val="21"/>
                <w:lang w:bidi="ar"/>
              </w:rPr>
              <w:t>2</w:t>
            </w:r>
          </w:p>
        </w:tc>
        <w:tc>
          <w:tcPr>
            <w:tcW w:w="1714" w:type="pct"/>
            <w:vAlign w:val="center"/>
          </w:tcPr>
          <w:p w14:paraId="128C7C04">
            <w:pPr>
              <w:widowControl/>
              <w:snapToGrid w:val="0"/>
              <w:spacing w:before="0" w:beforeLines="0" w:line="240" w:lineRule="auto"/>
              <w:jc w:val="center"/>
              <w:textAlignment w:val="center"/>
              <w:rPr>
                <w:szCs w:val="21"/>
              </w:rPr>
            </w:pPr>
            <w:r>
              <w:rPr>
                <w:szCs w:val="21"/>
              </w:rPr>
              <w:t>/</w:t>
            </w:r>
          </w:p>
        </w:tc>
        <w:tc>
          <w:tcPr>
            <w:tcW w:w="812" w:type="pct"/>
            <w:vMerge w:val="continue"/>
            <w:vAlign w:val="center"/>
          </w:tcPr>
          <w:p w14:paraId="327E564F">
            <w:pPr>
              <w:snapToGrid w:val="0"/>
              <w:spacing w:before="0" w:beforeLines="0" w:line="240" w:lineRule="auto"/>
              <w:jc w:val="center"/>
              <w:rPr>
                <w:szCs w:val="21"/>
              </w:rPr>
            </w:pPr>
          </w:p>
        </w:tc>
      </w:tr>
      <w:tr w14:paraId="3660769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14:paraId="321413DE">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474AED96">
            <w:pPr>
              <w:widowControl/>
              <w:snapToGrid w:val="0"/>
              <w:spacing w:before="0" w:beforeLines="0" w:line="240" w:lineRule="auto"/>
              <w:jc w:val="center"/>
              <w:textAlignment w:val="center"/>
              <w:rPr>
                <w:kern w:val="0"/>
                <w:szCs w:val="21"/>
                <w:lang w:bidi="ar"/>
              </w:rPr>
            </w:pPr>
            <w:r>
              <w:rPr>
                <w:kern w:val="0"/>
                <w:szCs w:val="21"/>
                <w:lang w:bidi="ar"/>
              </w:rPr>
              <w:t>袋式除尘器</w:t>
            </w:r>
          </w:p>
        </w:tc>
        <w:tc>
          <w:tcPr>
            <w:tcW w:w="426" w:type="pct"/>
            <w:vAlign w:val="center"/>
          </w:tcPr>
          <w:p w14:paraId="20896757">
            <w:pPr>
              <w:widowControl/>
              <w:snapToGrid w:val="0"/>
              <w:spacing w:before="0" w:beforeLines="0" w:line="240" w:lineRule="auto"/>
              <w:jc w:val="center"/>
              <w:textAlignment w:val="center"/>
              <w:rPr>
                <w:kern w:val="0"/>
                <w:szCs w:val="21"/>
                <w:lang w:bidi="ar"/>
              </w:rPr>
            </w:pPr>
            <w:r>
              <w:rPr>
                <w:kern w:val="0"/>
                <w:szCs w:val="21"/>
                <w:lang w:bidi="ar"/>
              </w:rPr>
              <w:t>台</w:t>
            </w:r>
          </w:p>
        </w:tc>
        <w:tc>
          <w:tcPr>
            <w:tcW w:w="511" w:type="pct"/>
            <w:vAlign w:val="center"/>
          </w:tcPr>
          <w:p w14:paraId="524E31E5">
            <w:pPr>
              <w:widowControl/>
              <w:snapToGrid w:val="0"/>
              <w:spacing w:before="0" w:beforeLines="0" w:line="240" w:lineRule="auto"/>
              <w:jc w:val="center"/>
              <w:textAlignment w:val="center"/>
              <w:rPr>
                <w:kern w:val="0"/>
                <w:szCs w:val="21"/>
                <w:lang w:bidi="ar"/>
              </w:rPr>
            </w:pPr>
            <w:r>
              <w:rPr>
                <w:rFonts w:hint="eastAsia"/>
                <w:kern w:val="0"/>
                <w:szCs w:val="21"/>
                <w:lang w:bidi="ar"/>
              </w:rPr>
              <w:t>3</w:t>
            </w:r>
          </w:p>
        </w:tc>
        <w:tc>
          <w:tcPr>
            <w:tcW w:w="1714" w:type="pct"/>
            <w:vAlign w:val="center"/>
          </w:tcPr>
          <w:p w14:paraId="1CDD0E5D">
            <w:pPr>
              <w:widowControl/>
              <w:snapToGrid w:val="0"/>
              <w:spacing w:before="0" w:beforeLines="0" w:line="240" w:lineRule="auto"/>
              <w:jc w:val="center"/>
              <w:textAlignment w:val="center"/>
              <w:rPr>
                <w:szCs w:val="21"/>
              </w:rPr>
            </w:pPr>
            <w:r>
              <w:rPr>
                <w:szCs w:val="21"/>
              </w:rPr>
              <w:t>/</w:t>
            </w:r>
          </w:p>
        </w:tc>
        <w:tc>
          <w:tcPr>
            <w:tcW w:w="812" w:type="pct"/>
            <w:vMerge w:val="continue"/>
            <w:vAlign w:val="center"/>
          </w:tcPr>
          <w:p w14:paraId="677CB609">
            <w:pPr>
              <w:snapToGrid w:val="0"/>
              <w:spacing w:before="0" w:beforeLines="0" w:line="240" w:lineRule="auto"/>
              <w:jc w:val="center"/>
              <w:rPr>
                <w:szCs w:val="21"/>
              </w:rPr>
            </w:pPr>
          </w:p>
        </w:tc>
      </w:tr>
      <w:tr w14:paraId="2D7C364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14:paraId="2DB1B02F">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14C0B931">
            <w:pPr>
              <w:widowControl/>
              <w:snapToGrid w:val="0"/>
              <w:spacing w:before="0" w:beforeLines="0" w:line="240" w:lineRule="auto"/>
              <w:jc w:val="center"/>
              <w:textAlignment w:val="center"/>
              <w:rPr>
                <w:kern w:val="0"/>
                <w:szCs w:val="21"/>
                <w:lang w:bidi="ar"/>
              </w:rPr>
            </w:pPr>
            <w:r>
              <w:rPr>
                <w:kern w:val="0"/>
                <w:szCs w:val="21"/>
                <w:lang w:bidi="ar"/>
              </w:rPr>
              <w:t>引风机</w:t>
            </w:r>
          </w:p>
        </w:tc>
        <w:tc>
          <w:tcPr>
            <w:tcW w:w="426" w:type="pct"/>
            <w:vAlign w:val="center"/>
          </w:tcPr>
          <w:p w14:paraId="408D5688">
            <w:pPr>
              <w:widowControl/>
              <w:snapToGrid w:val="0"/>
              <w:spacing w:before="0" w:beforeLines="0" w:line="240" w:lineRule="auto"/>
              <w:jc w:val="center"/>
              <w:textAlignment w:val="center"/>
              <w:rPr>
                <w:kern w:val="0"/>
                <w:szCs w:val="21"/>
                <w:lang w:bidi="ar"/>
              </w:rPr>
            </w:pPr>
            <w:r>
              <w:rPr>
                <w:kern w:val="0"/>
                <w:szCs w:val="21"/>
                <w:lang w:bidi="ar"/>
              </w:rPr>
              <w:t>台</w:t>
            </w:r>
          </w:p>
        </w:tc>
        <w:tc>
          <w:tcPr>
            <w:tcW w:w="511" w:type="pct"/>
            <w:vAlign w:val="center"/>
          </w:tcPr>
          <w:p w14:paraId="093D6F0F">
            <w:pPr>
              <w:widowControl/>
              <w:snapToGrid w:val="0"/>
              <w:spacing w:before="0" w:beforeLines="0" w:line="240" w:lineRule="auto"/>
              <w:jc w:val="center"/>
              <w:textAlignment w:val="center"/>
              <w:rPr>
                <w:kern w:val="0"/>
                <w:szCs w:val="21"/>
                <w:lang w:bidi="ar"/>
              </w:rPr>
            </w:pPr>
            <w:r>
              <w:rPr>
                <w:rFonts w:hint="eastAsia"/>
                <w:kern w:val="0"/>
                <w:szCs w:val="21"/>
                <w:lang w:bidi="ar"/>
              </w:rPr>
              <w:t>3</w:t>
            </w:r>
          </w:p>
        </w:tc>
        <w:tc>
          <w:tcPr>
            <w:tcW w:w="1714" w:type="pct"/>
            <w:vAlign w:val="center"/>
          </w:tcPr>
          <w:p w14:paraId="14DA4926">
            <w:pPr>
              <w:widowControl/>
              <w:snapToGrid w:val="0"/>
              <w:spacing w:before="0" w:beforeLines="0" w:line="240" w:lineRule="auto"/>
              <w:jc w:val="center"/>
              <w:textAlignment w:val="center"/>
              <w:rPr>
                <w:szCs w:val="21"/>
              </w:rPr>
            </w:pPr>
            <w:r>
              <w:rPr>
                <w:szCs w:val="21"/>
              </w:rPr>
              <w:t>/</w:t>
            </w:r>
          </w:p>
        </w:tc>
        <w:tc>
          <w:tcPr>
            <w:tcW w:w="812" w:type="pct"/>
            <w:vMerge w:val="continue"/>
            <w:vAlign w:val="center"/>
          </w:tcPr>
          <w:p w14:paraId="15350136">
            <w:pPr>
              <w:snapToGrid w:val="0"/>
              <w:spacing w:before="0" w:beforeLines="0" w:line="240" w:lineRule="auto"/>
              <w:jc w:val="center"/>
              <w:rPr>
                <w:szCs w:val="21"/>
              </w:rPr>
            </w:pPr>
          </w:p>
        </w:tc>
      </w:tr>
      <w:tr w14:paraId="176F5B1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57" w:hRule="atLeast"/>
          <w:jc w:val="center"/>
        </w:trPr>
        <w:tc>
          <w:tcPr>
            <w:tcW w:w="342" w:type="pct"/>
            <w:vAlign w:val="center"/>
          </w:tcPr>
          <w:p w14:paraId="46942FF5">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3E00AB09">
            <w:pPr>
              <w:widowControl/>
              <w:snapToGrid w:val="0"/>
              <w:spacing w:before="0" w:beforeLines="0" w:line="240" w:lineRule="auto"/>
              <w:jc w:val="center"/>
              <w:textAlignment w:val="center"/>
              <w:rPr>
                <w:kern w:val="0"/>
                <w:szCs w:val="21"/>
                <w:lang w:bidi="ar"/>
              </w:rPr>
            </w:pPr>
            <w:r>
              <w:rPr>
                <w:kern w:val="0"/>
                <w:szCs w:val="21"/>
                <w:lang w:bidi="ar"/>
              </w:rPr>
              <w:t>输送皮带</w:t>
            </w:r>
          </w:p>
        </w:tc>
        <w:tc>
          <w:tcPr>
            <w:tcW w:w="426" w:type="pct"/>
            <w:vAlign w:val="center"/>
          </w:tcPr>
          <w:p w14:paraId="3AAE5ABA">
            <w:pPr>
              <w:widowControl/>
              <w:snapToGrid w:val="0"/>
              <w:spacing w:before="0" w:beforeLines="0" w:line="240" w:lineRule="auto"/>
              <w:jc w:val="center"/>
              <w:textAlignment w:val="center"/>
              <w:rPr>
                <w:kern w:val="0"/>
                <w:szCs w:val="21"/>
                <w:lang w:bidi="ar"/>
              </w:rPr>
            </w:pPr>
            <w:r>
              <w:rPr>
                <w:kern w:val="0"/>
                <w:szCs w:val="21"/>
                <w:lang w:bidi="ar"/>
              </w:rPr>
              <w:t>条</w:t>
            </w:r>
          </w:p>
        </w:tc>
        <w:tc>
          <w:tcPr>
            <w:tcW w:w="511" w:type="pct"/>
            <w:vAlign w:val="center"/>
          </w:tcPr>
          <w:p w14:paraId="4DDB5EF9">
            <w:pPr>
              <w:widowControl/>
              <w:snapToGrid w:val="0"/>
              <w:spacing w:before="0" w:beforeLines="0" w:line="240" w:lineRule="auto"/>
              <w:jc w:val="center"/>
              <w:textAlignment w:val="center"/>
              <w:rPr>
                <w:kern w:val="0"/>
                <w:szCs w:val="21"/>
                <w:lang w:bidi="ar"/>
              </w:rPr>
            </w:pPr>
            <w:r>
              <w:rPr>
                <w:rFonts w:hint="eastAsia"/>
                <w:kern w:val="0"/>
                <w:szCs w:val="21"/>
                <w:lang w:bidi="ar"/>
              </w:rPr>
              <w:t>1</w:t>
            </w:r>
          </w:p>
        </w:tc>
        <w:tc>
          <w:tcPr>
            <w:tcW w:w="1714" w:type="pct"/>
            <w:vAlign w:val="center"/>
          </w:tcPr>
          <w:p w14:paraId="73D74248">
            <w:pPr>
              <w:widowControl/>
              <w:snapToGrid w:val="0"/>
              <w:spacing w:before="0" w:beforeLines="0" w:line="240" w:lineRule="auto"/>
              <w:jc w:val="center"/>
              <w:textAlignment w:val="center"/>
              <w:rPr>
                <w:szCs w:val="21"/>
              </w:rPr>
            </w:pPr>
            <w:r>
              <w:rPr>
                <w:szCs w:val="21"/>
              </w:rPr>
              <w:t>长</w:t>
            </w:r>
            <w:r>
              <w:rPr>
                <w:rFonts w:hint="eastAsia"/>
                <w:szCs w:val="21"/>
              </w:rPr>
              <w:t>24</w:t>
            </w:r>
            <w:r>
              <w:rPr>
                <w:szCs w:val="21"/>
              </w:rPr>
              <w:t>m，宽1.2m，</w:t>
            </w:r>
            <w:r>
              <w:rPr>
                <w:rFonts w:hint="eastAsia"/>
                <w:szCs w:val="21"/>
              </w:rPr>
              <w:t>封闭</w:t>
            </w:r>
            <w:r>
              <w:rPr>
                <w:szCs w:val="21"/>
              </w:rPr>
              <w:t>处理</w:t>
            </w:r>
          </w:p>
        </w:tc>
        <w:tc>
          <w:tcPr>
            <w:tcW w:w="812" w:type="pct"/>
            <w:vAlign w:val="center"/>
          </w:tcPr>
          <w:p w14:paraId="2416BD78">
            <w:pPr>
              <w:snapToGrid w:val="0"/>
              <w:spacing w:before="0" w:beforeLines="0" w:line="240" w:lineRule="auto"/>
              <w:jc w:val="center"/>
              <w:rPr>
                <w:szCs w:val="21"/>
              </w:rPr>
            </w:pPr>
            <w:r>
              <w:rPr>
                <w:rFonts w:hint="eastAsia"/>
                <w:szCs w:val="21"/>
              </w:rPr>
              <w:t>抛砂车间至球磨车间</w:t>
            </w:r>
          </w:p>
        </w:tc>
      </w:tr>
      <w:tr w14:paraId="7282865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14:paraId="113A39F4">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01CDED0F">
            <w:pPr>
              <w:widowControl/>
              <w:snapToGrid w:val="0"/>
              <w:spacing w:before="0" w:beforeLines="0" w:line="240" w:lineRule="auto"/>
              <w:jc w:val="center"/>
              <w:textAlignment w:val="center"/>
              <w:rPr>
                <w:kern w:val="0"/>
                <w:szCs w:val="21"/>
                <w:lang w:bidi="ar"/>
              </w:rPr>
            </w:pPr>
            <w:r>
              <w:rPr>
                <w:szCs w:val="21"/>
              </w:rPr>
              <w:t>一段球磨机</w:t>
            </w:r>
          </w:p>
        </w:tc>
        <w:tc>
          <w:tcPr>
            <w:tcW w:w="426" w:type="pct"/>
            <w:vAlign w:val="center"/>
          </w:tcPr>
          <w:p w14:paraId="540BFA64">
            <w:pPr>
              <w:widowControl/>
              <w:snapToGrid w:val="0"/>
              <w:spacing w:before="0" w:beforeLines="0" w:line="240" w:lineRule="auto"/>
              <w:jc w:val="center"/>
              <w:textAlignment w:val="center"/>
              <w:rPr>
                <w:kern w:val="0"/>
                <w:szCs w:val="21"/>
                <w:lang w:bidi="ar"/>
              </w:rPr>
            </w:pPr>
            <w:r>
              <w:rPr>
                <w:kern w:val="0"/>
                <w:szCs w:val="21"/>
                <w:lang w:bidi="ar"/>
              </w:rPr>
              <w:t>台</w:t>
            </w:r>
          </w:p>
        </w:tc>
        <w:tc>
          <w:tcPr>
            <w:tcW w:w="511" w:type="pct"/>
            <w:vAlign w:val="center"/>
          </w:tcPr>
          <w:p w14:paraId="6A91B308">
            <w:pPr>
              <w:widowControl/>
              <w:snapToGrid w:val="0"/>
              <w:spacing w:before="0" w:beforeLines="0" w:line="240" w:lineRule="auto"/>
              <w:jc w:val="center"/>
              <w:textAlignment w:val="center"/>
              <w:rPr>
                <w:kern w:val="0"/>
                <w:szCs w:val="21"/>
                <w:lang w:bidi="ar"/>
              </w:rPr>
            </w:pPr>
            <w:r>
              <w:rPr>
                <w:kern w:val="0"/>
                <w:szCs w:val="21"/>
                <w:lang w:bidi="ar"/>
              </w:rPr>
              <w:t>2</w:t>
            </w:r>
          </w:p>
        </w:tc>
        <w:tc>
          <w:tcPr>
            <w:tcW w:w="1714" w:type="pct"/>
            <w:vAlign w:val="center"/>
          </w:tcPr>
          <w:p w14:paraId="728E2F8A">
            <w:pPr>
              <w:pStyle w:val="209"/>
              <w:snapToGrid w:val="0"/>
              <w:spacing w:before="0" w:beforeLines="0"/>
              <w:rPr>
                <w:rFonts w:ascii="Times New Roman" w:hAnsi="Times New Roman" w:eastAsia="宋体" w:cs="Times New Roman"/>
                <w:szCs w:val="21"/>
              </w:rPr>
            </w:pPr>
            <w:r>
              <w:rPr>
                <w:rFonts w:ascii="Times New Roman" w:hAnsi="Times New Roman" w:eastAsia="宋体" w:cs="Times New Roman"/>
                <w:szCs w:val="21"/>
              </w:rPr>
              <w:t>MQG2145</w:t>
            </w:r>
          </w:p>
        </w:tc>
        <w:tc>
          <w:tcPr>
            <w:tcW w:w="812" w:type="pct"/>
            <w:vMerge w:val="restart"/>
            <w:vAlign w:val="center"/>
          </w:tcPr>
          <w:p w14:paraId="63BCA3A2">
            <w:pPr>
              <w:snapToGrid w:val="0"/>
              <w:spacing w:before="0" w:beforeLines="0" w:line="240" w:lineRule="auto"/>
              <w:jc w:val="center"/>
              <w:rPr>
                <w:szCs w:val="21"/>
              </w:rPr>
            </w:pPr>
            <w:r>
              <w:rPr>
                <w:rFonts w:hint="eastAsia"/>
                <w:szCs w:val="21"/>
              </w:rPr>
              <w:t>1#厂区</w:t>
            </w:r>
          </w:p>
          <w:p w14:paraId="53C2C814">
            <w:pPr>
              <w:snapToGrid w:val="0"/>
              <w:spacing w:before="0" w:beforeLines="0" w:line="240" w:lineRule="auto"/>
              <w:jc w:val="center"/>
              <w:rPr>
                <w:szCs w:val="21"/>
              </w:rPr>
            </w:pPr>
            <w:r>
              <w:rPr>
                <w:szCs w:val="21"/>
              </w:rPr>
              <w:t>球磨车间</w:t>
            </w:r>
          </w:p>
        </w:tc>
      </w:tr>
      <w:tr w14:paraId="6B45623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14:paraId="1468F16E">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1902CE6C">
            <w:pPr>
              <w:widowControl/>
              <w:snapToGrid w:val="0"/>
              <w:spacing w:before="0" w:beforeLines="0" w:line="240" w:lineRule="auto"/>
              <w:jc w:val="center"/>
              <w:textAlignment w:val="center"/>
              <w:rPr>
                <w:szCs w:val="21"/>
              </w:rPr>
            </w:pPr>
            <w:r>
              <w:rPr>
                <w:kern w:val="0"/>
                <w:szCs w:val="21"/>
                <w:lang w:bidi="ar"/>
              </w:rPr>
              <w:t>一段磁选机</w:t>
            </w:r>
          </w:p>
        </w:tc>
        <w:tc>
          <w:tcPr>
            <w:tcW w:w="426" w:type="pct"/>
            <w:vAlign w:val="center"/>
          </w:tcPr>
          <w:p w14:paraId="1BB5C753">
            <w:pPr>
              <w:widowControl/>
              <w:snapToGrid w:val="0"/>
              <w:spacing w:before="0" w:beforeLines="0" w:line="240" w:lineRule="auto"/>
              <w:jc w:val="center"/>
              <w:textAlignment w:val="center"/>
              <w:rPr>
                <w:kern w:val="0"/>
                <w:szCs w:val="21"/>
                <w:lang w:bidi="ar"/>
              </w:rPr>
            </w:pPr>
            <w:r>
              <w:rPr>
                <w:kern w:val="0"/>
                <w:szCs w:val="21"/>
                <w:lang w:bidi="ar"/>
              </w:rPr>
              <w:t>台</w:t>
            </w:r>
          </w:p>
        </w:tc>
        <w:tc>
          <w:tcPr>
            <w:tcW w:w="511" w:type="pct"/>
            <w:vAlign w:val="center"/>
          </w:tcPr>
          <w:p w14:paraId="27AC7693">
            <w:pPr>
              <w:widowControl/>
              <w:snapToGrid w:val="0"/>
              <w:spacing w:before="0" w:beforeLines="0" w:line="240" w:lineRule="auto"/>
              <w:jc w:val="center"/>
              <w:textAlignment w:val="center"/>
              <w:rPr>
                <w:kern w:val="0"/>
                <w:szCs w:val="21"/>
                <w:lang w:bidi="ar"/>
              </w:rPr>
            </w:pPr>
            <w:r>
              <w:rPr>
                <w:kern w:val="0"/>
                <w:szCs w:val="21"/>
                <w:lang w:bidi="ar"/>
              </w:rPr>
              <w:t>2</w:t>
            </w:r>
          </w:p>
        </w:tc>
        <w:tc>
          <w:tcPr>
            <w:tcW w:w="1714" w:type="pct"/>
            <w:vAlign w:val="center"/>
          </w:tcPr>
          <w:p w14:paraId="1E4D9A74">
            <w:pPr>
              <w:pStyle w:val="209"/>
              <w:snapToGrid w:val="0"/>
              <w:spacing w:before="0" w:beforeLines="0"/>
              <w:rPr>
                <w:rFonts w:ascii="Times New Roman" w:hAnsi="Times New Roman" w:eastAsia="宋体" w:cs="Times New Roman"/>
                <w:szCs w:val="21"/>
              </w:rPr>
            </w:pPr>
            <w:r>
              <w:rPr>
                <w:rFonts w:ascii="Times New Roman" w:hAnsi="Times New Roman" w:eastAsia="宋体" w:cs="Times New Roman"/>
                <w:szCs w:val="21"/>
              </w:rPr>
              <w:t>1021</w:t>
            </w:r>
          </w:p>
        </w:tc>
        <w:tc>
          <w:tcPr>
            <w:tcW w:w="812" w:type="pct"/>
            <w:vMerge w:val="continue"/>
            <w:vAlign w:val="center"/>
          </w:tcPr>
          <w:p w14:paraId="222B1EB2">
            <w:pPr>
              <w:snapToGrid w:val="0"/>
              <w:spacing w:before="0" w:beforeLines="0" w:line="240" w:lineRule="auto"/>
              <w:jc w:val="center"/>
              <w:rPr>
                <w:szCs w:val="21"/>
              </w:rPr>
            </w:pPr>
          </w:p>
        </w:tc>
      </w:tr>
      <w:tr w14:paraId="1EDD1DA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14:paraId="1E07530F">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1A0A31C1">
            <w:pPr>
              <w:widowControl/>
              <w:snapToGrid w:val="0"/>
              <w:spacing w:before="0" w:beforeLines="0" w:line="240" w:lineRule="auto"/>
              <w:jc w:val="center"/>
              <w:textAlignment w:val="center"/>
              <w:rPr>
                <w:szCs w:val="21"/>
              </w:rPr>
            </w:pPr>
            <w:r>
              <w:rPr>
                <w:szCs w:val="21"/>
              </w:rPr>
              <w:t>二段球磨机</w:t>
            </w:r>
          </w:p>
        </w:tc>
        <w:tc>
          <w:tcPr>
            <w:tcW w:w="426" w:type="pct"/>
            <w:vAlign w:val="center"/>
          </w:tcPr>
          <w:p w14:paraId="142381A6">
            <w:pPr>
              <w:widowControl/>
              <w:snapToGrid w:val="0"/>
              <w:spacing w:before="0" w:beforeLines="0" w:line="240" w:lineRule="auto"/>
              <w:jc w:val="center"/>
              <w:textAlignment w:val="center"/>
              <w:rPr>
                <w:kern w:val="0"/>
                <w:szCs w:val="21"/>
                <w:lang w:bidi="ar"/>
              </w:rPr>
            </w:pPr>
            <w:r>
              <w:rPr>
                <w:kern w:val="0"/>
                <w:szCs w:val="21"/>
                <w:lang w:bidi="ar"/>
              </w:rPr>
              <w:t>台</w:t>
            </w:r>
          </w:p>
        </w:tc>
        <w:tc>
          <w:tcPr>
            <w:tcW w:w="511" w:type="pct"/>
            <w:vAlign w:val="center"/>
          </w:tcPr>
          <w:p w14:paraId="31316A30">
            <w:pPr>
              <w:widowControl/>
              <w:snapToGrid w:val="0"/>
              <w:spacing w:before="0" w:beforeLines="0" w:line="240" w:lineRule="auto"/>
              <w:jc w:val="center"/>
              <w:textAlignment w:val="center"/>
              <w:rPr>
                <w:kern w:val="0"/>
                <w:szCs w:val="21"/>
                <w:lang w:bidi="ar"/>
              </w:rPr>
            </w:pPr>
            <w:r>
              <w:rPr>
                <w:kern w:val="0"/>
                <w:szCs w:val="21"/>
                <w:lang w:bidi="ar"/>
              </w:rPr>
              <w:t>1</w:t>
            </w:r>
          </w:p>
        </w:tc>
        <w:tc>
          <w:tcPr>
            <w:tcW w:w="1714" w:type="pct"/>
            <w:vAlign w:val="center"/>
          </w:tcPr>
          <w:p w14:paraId="4FC385B5">
            <w:pPr>
              <w:widowControl/>
              <w:snapToGrid w:val="0"/>
              <w:spacing w:before="0" w:beforeLines="0" w:line="240" w:lineRule="auto"/>
              <w:jc w:val="center"/>
              <w:textAlignment w:val="center"/>
              <w:rPr>
                <w:szCs w:val="21"/>
              </w:rPr>
            </w:pPr>
            <w:r>
              <w:rPr>
                <w:szCs w:val="21"/>
              </w:rPr>
              <w:t>MQG2190</w:t>
            </w:r>
          </w:p>
        </w:tc>
        <w:tc>
          <w:tcPr>
            <w:tcW w:w="812" w:type="pct"/>
            <w:vMerge w:val="continue"/>
            <w:vAlign w:val="center"/>
          </w:tcPr>
          <w:p w14:paraId="1AED5B88">
            <w:pPr>
              <w:pStyle w:val="195"/>
              <w:autoSpaceDE/>
              <w:autoSpaceDN/>
              <w:snapToGrid w:val="0"/>
              <w:rPr>
                <w:rFonts w:eastAsia="宋体"/>
                <w:w w:val="99"/>
                <w:sz w:val="21"/>
                <w:szCs w:val="21"/>
              </w:rPr>
            </w:pPr>
          </w:p>
        </w:tc>
      </w:tr>
      <w:tr w14:paraId="6D11CC5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14:paraId="23C7D182">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43BD3E65">
            <w:pPr>
              <w:widowControl/>
              <w:snapToGrid w:val="0"/>
              <w:spacing w:before="0" w:beforeLines="0" w:line="240" w:lineRule="auto"/>
              <w:jc w:val="center"/>
              <w:textAlignment w:val="center"/>
              <w:rPr>
                <w:szCs w:val="21"/>
              </w:rPr>
            </w:pPr>
            <w:r>
              <w:rPr>
                <w:szCs w:val="21"/>
              </w:rPr>
              <w:t>二段磁选机</w:t>
            </w:r>
          </w:p>
        </w:tc>
        <w:tc>
          <w:tcPr>
            <w:tcW w:w="426" w:type="pct"/>
            <w:vAlign w:val="center"/>
          </w:tcPr>
          <w:p w14:paraId="4E0F7E2F">
            <w:pPr>
              <w:widowControl/>
              <w:snapToGrid w:val="0"/>
              <w:spacing w:before="0" w:beforeLines="0" w:line="240" w:lineRule="auto"/>
              <w:jc w:val="center"/>
              <w:textAlignment w:val="center"/>
              <w:rPr>
                <w:kern w:val="0"/>
                <w:szCs w:val="21"/>
                <w:lang w:bidi="ar"/>
              </w:rPr>
            </w:pPr>
            <w:r>
              <w:rPr>
                <w:kern w:val="0"/>
                <w:szCs w:val="21"/>
                <w:lang w:bidi="ar"/>
              </w:rPr>
              <w:t>台</w:t>
            </w:r>
          </w:p>
        </w:tc>
        <w:tc>
          <w:tcPr>
            <w:tcW w:w="511" w:type="pct"/>
            <w:vAlign w:val="center"/>
          </w:tcPr>
          <w:p w14:paraId="4368B494">
            <w:pPr>
              <w:widowControl/>
              <w:snapToGrid w:val="0"/>
              <w:spacing w:before="0" w:beforeLines="0" w:line="240" w:lineRule="auto"/>
              <w:jc w:val="center"/>
              <w:textAlignment w:val="center"/>
              <w:rPr>
                <w:kern w:val="0"/>
                <w:szCs w:val="21"/>
                <w:lang w:bidi="ar"/>
              </w:rPr>
            </w:pPr>
            <w:r>
              <w:rPr>
                <w:kern w:val="0"/>
                <w:szCs w:val="21"/>
                <w:lang w:bidi="ar"/>
              </w:rPr>
              <w:t>1</w:t>
            </w:r>
          </w:p>
        </w:tc>
        <w:tc>
          <w:tcPr>
            <w:tcW w:w="1714" w:type="pct"/>
            <w:vAlign w:val="center"/>
          </w:tcPr>
          <w:p w14:paraId="22E47400">
            <w:pPr>
              <w:widowControl/>
              <w:snapToGrid w:val="0"/>
              <w:spacing w:before="0" w:beforeLines="0" w:line="240" w:lineRule="auto"/>
              <w:jc w:val="center"/>
              <w:textAlignment w:val="center"/>
              <w:rPr>
                <w:szCs w:val="21"/>
              </w:rPr>
            </w:pPr>
            <w:r>
              <w:rPr>
                <w:szCs w:val="21"/>
              </w:rPr>
              <w:t>2CTN-1030</w:t>
            </w:r>
          </w:p>
        </w:tc>
        <w:tc>
          <w:tcPr>
            <w:tcW w:w="812" w:type="pct"/>
            <w:vMerge w:val="continue"/>
            <w:vAlign w:val="center"/>
          </w:tcPr>
          <w:p w14:paraId="3142DC7F">
            <w:pPr>
              <w:snapToGrid w:val="0"/>
              <w:spacing w:before="0" w:beforeLines="0" w:line="240" w:lineRule="auto"/>
              <w:jc w:val="center"/>
              <w:rPr>
                <w:szCs w:val="21"/>
              </w:rPr>
            </w:pPr>
          </w:p>
        </w:tc>
      </w:tr>
      <w:tr w14:paraId="5E9D5C9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14:paraId="5ED88456">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3359BE92">
            <w:pPr>
              <w:widowControl/>
              <w:snapToGrid w:val="0"/>
              <w:spacing w:before="0" w:beforeLines="0" w:line="240" w:lineRule="auto"/>
              <w:jc w:val="center"/>
              <w:textAlignment w:val="center"/>
              <w:rPr>
                <w:szCs w:val="21"/>
              </w:rPr>
            </w:pPr>
            <w:r>
              <w:rPr>
                <w:szCs w:val="21"/>
              </w:rPr>
              <w:t>脱水机</w:t>
            </w:r>
          </w:p>
        </w:tc>
        <w:tc>
          <w:tcPr>
            <w:tcW w:w="426" w:type="pct"/>
            <w:vAlign w:val="center"/>
          </w:tcPr>
          <w:p w14:paraId="14F0AD06">
            <w:pPr>
              <w:widowControl/>
              <w:snapToGrid w:val="0"/>
              <w:spacing w:before="0" w:beforeLines="0" w:line="240" w:lineRule="auto"/>
              <w:jc w:val="center"/>
              <w:textAlignment w:val="center"/>
              <w:rPr>
                <w:kern w:val="0"/>
                <w:szCs w:val="21"/>
                <w:lang w:bidi="ar"/>
              </w:rPr>
            </w:pPr>
            <w:r>
              <w:rPr>
                <w:kern w:val="0"/>
                <w:szCs w:val="21"/>
                <w:lang w:bidi="ar"/>
              </w:rPr>
              <w:t>台</w:t>
            </w:r>
          </w:p>
        </w:tc>
        <w:tc>
          <w:tcPr>
            <w:tcW w:w="511" w:type="pct"/>
            <w:vAlign w:val="center"/>
          </w:tcPr>
          <w:p w14:paraId="702A8BAE">
            <w:pPr>
              <w:widowControl/>
              <w:snapToGrid w:val="0"/>
              <w:spacing w:before="0" w:beforeLines="0" w:line="240" w:lineRule="auto"/>
              <w:jc w:val="center"/>
              <w:textAlignment w:val="center"/>
              <w:rPr>
                <w:kern w:val="0"/>
                <w:szCs w:val="21"/>
                <w:lang w:bidi="ar"/>
              </w:rPr>
            </w:pPr>
            <w:r>
              <w:rPr>
                <w:kern w:val="0"/>
                <w:szCs w:val="21"/>
                <w:lang w:bidi="ar"/>
              </w:rPr>
              <w:t>1</w:t>
            </w:r>
          </w:p>
        </w:tc>
        <w:tc>
          <w:tcPr>
            <w:tcW w:w="1714" w:type="pct"/>
            <w:vAlign w:val="center"/>
          </w:tcPr>
          <w:p w14:paraId="2B3D7D83">
            <w:pPr>
              <w:widowControl/>
              <w:snapToGrid w:val="0"/>
              <w:spacing w:before="0" w:beforeLines="0" w:line="240" w:lineRule="auto"/>
              <w:jc w:val="center"/>
              <w:textAlignment w:val="center"/>
              <w:rPr>
                <w:szCs w:val="21"/>
              </w:rPr>
            </w:pPr>
            <w:r>
              <w:rPr>
                <w:szCs w:val="21"/>
                <w:lang w:eastAsia="en-US"/>
              </w:rPr>
              <w:t>FYDU20-2000</w:t>
            </w:r>
          </w:p>
        </w:tc>
        <w:tc>
          <w:tcPr>
            <w:tcW w:w="812" w:type="pct"/>
            <w:vMerge w:val="continue"/>
            <w:vAlign w:val="center"/>
          </w:tcPr>
          <w:p w14:paraId="7104C242">
            <w:pPr>
              <w:snapToGrid w:val="0"/>
              <w:spacing w:before="0" w:beforeLines="0" w:line="240" w:lineRule="auto"/>
              <w:jc w:val="center"/>
              <w:rPr>
                <w:szCs w:val="21"/>
              </w:rPr>
            </w:pPr>
          </w:p>
        </w:tc>
      </w:tr>
      <w:tr w14:paraId="070AD13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14:paraId="216DFDDC">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13B0AC87">
            <w:pPr>
              <w:widowControl/>
              <w:snapToGrid w:val="0"/>
              <w:spacing w:before="0" w:beforeLines="0" w:line="240" w:lineRule="auto"/>
              <w:jc w:val="center"/>
              <w:textAlignment w:val="center"/>
              <w:rPr>
                <w:szCs w:val="21"/>
              </w:rPr>
            </w:pPr>
            <w:r>
              <w:rPr>
                <w:rFonts w:hint="eastAsia"/>
                <w:szCs w:val="21"/>
              </w:rPr>
              <w:t>钒钛铁精矿仓</w:t>
            </w:r>
          </w:p>
        </w:tc>
        <w:tc>
          <w:tcPr>
            <w:tcW w:w="426" w:type="pct"/>
            <w:vAlign w:val="center"/>
          </w:tcPr>
          <w:p w14:paraId="7BD77515">
            <w:pPr>
              <w:widowControl/>
              <w:snapToGrid w:val="0"/>
              <w:spacing w:before="0" w:beforeLines="0" w:line="240" w:lineRule="auto"/>
              <w:jc w:val="center"/>
              <w:textAlignment w:val="center"/>
              <w:rPr>
                <w:kern w:val="0"/>
                <w:szCs w:val="21"/>
                <w:lang w:bidi="ar"/>
              </w:rPr>
            </w:pPr>
            <w:r>
              <w:rPr>
                <w:rFonts w:hint="eastAsia"/>
                <w:kern w:val="0"/>
                <w:szCs w:val="21"/>
                <w:lang w:bidi="ar"/>
              </w:rPr>
              <w:t>座</w:t>
            </w:r>
          </w:p>
        </w:tc>
        <w:tc>
          <w:tcPr>
            <w:tcW w:w="511" w:type="pct"/>
            <w:vAlign w:val="center"/>
          </w:tcPr>
          <w:p w14:paraId="13B38FC2">
            <w:pPr>
              <w:widowControl/>
              <w:snapToGrid w:val="0"/>
              <w:spacing w:before="0" w:beforeLines="0" w:line="240" w:lineRule="auto"/>
              <w:jc w:val="center"/>
              <w:textAlignment w:val="center"/>
              <w:rPr>
                <w:kern w:val="0"/>
                <w:szCs w:val="21"/>
                <w:lang w:bidi="ar"/>
              </w:rPr>
            </w:pPr>
            <w:r>
              <w:rPr>
                <w:rFonts w:hint="eastAsia"/>
                <w:kern w:val="0"/>
                <w:szCs w:val="21"/>
                <w:lang w:bidi="ar"/>
              </w:rPr>
              <w:t>3</w:t>
            </w:r>
          </w:p>
        </w:tc>
        <w:tc>
          <w:tcPr>
            <w:tcW w:w="1714" w:type="pct"/>
            <w:vAlign w:val="center"/>
          </w:tcPr>
          <w:p w14:paraId="6A9EB2F5">
            <w:pPr>
              <w:widowControl/>
              <w:snapToGrid w:val="0"/>
              <w:spacing w:before="0" w:beforeLines="0" w:line="240" w:lineRule="auto"/>
              <w:jc w:val="center"/>
              <w:textAlignment w:val="center"/>
              <w:rPr>
                <w:szCs w:val="21"/>
              </w:rPr>
            </w:pPr>
            <w:r>
              <w:rPr>
                <w:rFonts w:hint="eastAsia"/>
                <w:szCs w:val="21"/>
              </w:rPr>
              <w:t>Φ</w:t>
            </w:r>
            <w:r>
              <w:rPr>
                <w:szCs w:val="21"/>
              </w:rPr>
              <w:t>6×12m</w:t>
            </w:r>
          </w:p>
        </w:tc>
        <w:tc>
          <w:tcPr>
            <w:tcW w:w="812" w:type="pct"/>
            <w:vMerge w:val="continue"/>
            <w:vAlign w:val="center"/>
          </w:tcPr>
          <w:p w14:paraId="654444A8">
            <w:pPr>
              <w:snapToGrid w:val="0"/>
              <w:spacing w:before="0" w:beforeLines="0" w:line="240" w:lineRule="auto"/>
              <w:jc w:val="center"/>
              <w:rPr>
                <w:szCs w:val="21"/>
              </w:rPr>
            </w:pPr>
          </w:p>
        </w:tc>
      </w:tr>
      <w:tr w14:paraId="5694C1C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14:paraId="3B7A671A">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61D22F87">
            <w:pPr>
              <w:widowControl/>
              <w:snapToGrid w:val="0"/>
              <w:spacing w:before="0" w:beforeLines="0" w:line="240" w:lineRule="auto"/>
              <w:jc w:val="center"/>
              <w:textAlignment w:val="center"/>
              <w:rPr>
                <w:szCs w:val="21"/>
              </w:rPr>
            </w:pPr>
            <w:r>
              <w:rPr>
                <w:kern w:val="0"/>
                <w:szCs w:val="21"/>
                <w:lang w:bidi="ar"/>
              </w:rPr>
              <w:t>输送带</w:t>
            </w:r>
          </w:p>
        </w:tc>
        <w:tc>
          <w:tcPr>
            <w:tcW w:w="426" w:type="pct"/>
            <w:vAlign w:val="center"/>
          </w:tcPr>
          <w:p w14:paraId="57763B23">
            <w:pPr>
              <w:widowControl/>
              <w:snapToGrid w:val="0"/>
              <w:spacing w:before="0" w:beforeLines="0" w:line="240" w:lineRule="auto"/>
              <w:jc w:val="center"/>
              <w:textAlignment w:val="center"/>
              <w:rPr>
                <w:kern w:val="0"/>
                <w:szCs w:val="21"/>
                <w:lang w:bidi="ar"/>
              </w:rPr>
            </w:pPr>
            <w:r>
              <w:rPr>
                <w:kern w:val="0"/>
                <w:szCs w:val="21"/>
                <w:lang w:bidi="ar"/>
              </w:rPr>
              <w:t>条</w:t>
            </w:r>
          </w:p>
        </w:tc>
        <w:tc>
          <w:tcPr>
            <w:tcW w:w="511" w:type="pct"/>
            <w:vAlign w:val="center"/>
          </w:tcPr>
          <w:p w14:paraId="6DC79989">
            <w:pPr>
              <w:widowControl/>
              <w:snapToGrid w:val="0"/>
              <w:spacing w:before="0" w:beforeLines="0" w:line="240" w:lineRule="auto"/>
              <w:jc w:val="center"/>
              <w:textAlignment w:val="center"/>
              <w:rPr>
                <w:kern w:val="0"/>
                <w:szCs w:val="21"/>
                <w:lang w:bidi="ar"/>
              </w:rPr>
            </w:pPr>
            <w:r>
              <w:rPr>
                <w:rFonts w:hint="eastAsia"/>
                <w:kern w:val="0"/>
                <w:szCs w:val="21"/>
                <w:lang w:bidi="ar"/>
              </w:rPr>
              <w:t>1</w:t>
            </w:r>
          </w:p>
        </w:tc>
        <w:tc>
          <w:tcPr>
            <w:tcW w:w="1714" w:type="pct"/>
            <w:vAlign w:val="center"/>
          </w:tcPr>
          <w:p w14:paraId="1D5A0539">
            <w:pPr>
              <w:widowControl/>
              <w:snapToGrid w:val="0"/>
              <w:spacing w:before="0" w:beforeLines="0" w:line="240" w:lineRule="auto"/>
              <w:jc w:val="center"/>
              <w:textAlignment w:val="center"/>
              <w:rPr>
                <w:szCs w:val="21"/>
              </w:rPr>
            </w:pPr>
            <w:r>
              <w:rPr>
                <w:szCs w:val="21"/>
              </w:rPr>
              <w:t>长</w:t>
            </w:r>
            <w:r>
              <w:rPr>
                <w:rFonts w:hint="eastAsia"/>
                <w:szCs w:val="21"/>
              </w:rPr>
              <w:t>30</w:t>
            </w:r>
            <w:r>
              <w:rPr>
                <w:szCs w:val="21"/>
              </w:rPr>
              <w:t>m，宽1.2m，</w:t>
            </w:r>
            <w:r>
              <w:rPr>
                <w:rFonts w:hint="eastAsia"/>
                <w:szCs w:val="21"/>
              </w:rPr>
              <w:t>密闭</w:t>
            </w:r>
            <w:r>
              <w:rPr>
                <w:szCs w:val="21"/>
              </w:rPr>
              <w:t>处理</w:t>
            </w:r>
          </w:p>
        </w:tc>
        <w:tc>
          <w:tcPr>
            <w:tcW w:w="812" w:type="pct"/>
            <w:vAlign w:val="center"/>
          </w:tcPr>
          <w:p w14:paraId="21871747">
            <w:pPr>
              <w:snapToGrid w:val="0"/>
              <w:spacing w:before="0" w:beforeLines="0" w:line="240" w:lineRule="auto"/>
              <w:jc w:val="center"/>
              <w:rPr>
                <w:szCs w:val="21"/>
              </w:rPr>
            </w:pPr>
            <w:r>
              <w:rPr>
                <w:rFonts w:hint="eastAsia"/>
                <w:szCs w:val="21"/>
              </w:rPr>
              <w:t>抛砂车间至物料池</w:t>
            </w:r>
          </w:p>
        </w:tc>
      </w:tr>
      <w:tr w14:paraId="6C0090A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14:paraId="09A86EEB">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1DB3EEA3">
            <w:pPr>
              <w:widowControl/>
              <w:snapToGrid w:val="0"/>
              <w:spacing w:before="0" w:beforeLines="0" w:line="240" w:lineRule="auto"/>
              <w:jc w:val="center"/>
              <w:textAlignment w:val="center"/>
              <w:rPr>
                <w:kern w:val="0"/>
                <w:szCs w:val="21"/>
                <w:lang w:bidi="ar"/>
              </w:rPr>
            </w:pPr>
            <w:r>
              <w:rPr>
                <w:szCs w:val="21"/>
              </w:rPr>
              <w:t>螺旋溜槽重选</w:t>
            </w:r>
          </w:p>
        </w:tc>
        <w:tc>
          <w:tcPr>
            <w:tcW w:w="426" w:type="pct"/>
            <w:vAlign w:val="center"/>
          </w:tcPr>
          <w:p w14:paraId="1AD69EB6">
            <w:pPr>
              <w:widowControl/>
              <w:snapToGrid w:val="0"/>
              <w:spacing w:before="0" w:beforeLines="0" w:line="240" w:lineRule="auto"/>
              <w:jc w:val="center"/>
              <w:textAlignment w:val="center"/>
              <w:rPr>
                <w:kern w:val="0"/>
                <w:szCs w:val="21"/>
                <w:lang w:bidi="ar"/>
              </w:rPr>
            </w:pPr>
            <w:r>
              <w:rPr>
                <w:kern w:val="0"/>
                <w:szCs w:val="21"/>
                <w:lang w:bidi="ar"/>
              </w:rPr>
              <w:t>台</w:t>
            </w:r>
          </w:p>
        </w:tc>
        <w:tc>
          <w:tcPr>
            <w:tcW w:w="511" w:type="pct"/>
            <w:vAlign w:val="center"/>
          </w:tcPr>
          <w:p w14:paraId="36936823">
            <w:pPr>
              <w:widowControl/>
              <w:snapToGrid w:val="0"/>
              <w:spacing w:before="0" w:beforeLines="0" w:line="240" w:lineRule="auto"/>
              <w:jc w:val="center"/>
              <w:textAlignment w:val="center"/>
              <w:rPr>
                <w:kern w:val="0"/>
                <w:szCs w:val="21"/>
                <w:lang w:bidi="ar"/>
              </w:rPr>
            </w:pPr>
            <w:r>
              <w:rPr>
                <w:kern w:val="0"/>
                <w:szCs w:val="21"/>
                <w:lang w:bidi="ar"/>
              </w:rPr>
              <w:t>320</w:t>
            </w:r>
          </w:p>
        </w:tc>
        <w:tc>
          <w:tcPr>
            <w:tcW w:w="1714" w:type="pct"/>
            <w:vAlign w:val="center"/>
          </w:tcPr>
          <w:p w14:paraId="500ECD26">
            <w:pPr>
              <w:widowControl/>
              <w:snapToGrid w:val="0"/>
              <w:spacing w:before="0" w:beforeLines="0" w:line="240" w:lineRule="auto"/>
              <w:jc w:val="center"/>
              <w:textAlignment w:val="center"/>
              <w:rPr>
                <w:szCs w:val="21"/>
              </w:rPr>
            </w:pPr>
            <w:r>
              <w:rPr>
                <w:szCs w:val="21"/>
              </w:rPr>
              <w:t>5LL-1200</w:t>
            </w:r>
          </w:p>
        </w:tc>
        <w:tc>
          <w:tcPr>
            <w:tcW w:w="812" w:type="pct"/>
            <w:vMerge w:val="restart"/>
            <w:vAlign w:val="center"/>
          </w:tcPr>
          <w:p w14:paraId="2C1324C0">
            <w:pPr>
              <w:snapToGrid w:val="0"/>
              <w:spacing w:before="0" w:beforeLines="0" w:line="240" w:lineRule="auto"/>
              <w:jc w:val="center"/>
              <w:rPr>
                <w:szCs w:val="21"/>
              </w:rPr>
            </w:pPr>
            <w:r>
              <w:rPr>
                <w:rFonts w:hint="eastAsia"/>
                <w:szCs w:val="21"/>
              </w:rPr>
              <w:t>1#厂区</w:t>
            </w:r>
          </w:p>
          <w:p w14:paraId="62E0FAC0">
            <w:pPr>
              <w:snapToGrid w:val="0"/>
              <w:spacing w:before="0" w:beforeLines="0" w:line="240" w:lineRule="auto"/>
              <w:jc w:val="center"/>
              <w:rPr>
                <w:szCs w:val="21"/>
              </w:rPr>
            </w:pPr>
            <w:r>
              <w:rPr>
                <w:szCs w:val="21"/>
              </w:rPr>
              <w:t>重选车间</w:t>
            </w:r>
          </w:p>
        </w:tc>
      </w:tr>
      <w:tr w14:paraId="5443D55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14:paraId="6CBB69DB">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6CD8E021">
            <w:pPr>
              <w:widowControl/>
              <w:snapToGrid w:val="0"/>
              <w:spacing w:before="0" w:beforeLines="0" w:line="240" w:lineRule="auto"/>
              <w:jc w:val="center"/>
              <w:textAlignment w:val="center"/>
              <w:rPr>
                <w:szCs w:val="21"/>
              </w:rPr>
            </w:pPr>
            <w:r>
              <w:rPr>
                <w:szCs w:val="21"/>
              </w:rPr>
              <w:t>弱磁选机</w:t>
            </w:r>
          </w:p>
        </w:tc>
        <w:tc>
          <w:tcPr>
            <w:tcW w:w="426" w:type="pct"/>
            <w:vAlign w:val="center"/>
          </w:tcPr>
          <w:p w14:paraId="571B4FA4">
            <w:pPr>
              <w:widowControl/>
              <w:snapToGrid w:val="0"/>
              <w:spacing w:before="0" w:beforeLines="0" w:line="240" w:lineRule="auto"/>
              <w:jc w:val="center"/>
              <w:textAlignment w:val="center"/>
              <w:rPr>
                <w:kern w:val="0"/>
                <w:szCs w:val="21"/>
                <w:lang w:bidi="ar"/>
              </w:rPr>
            </w:pPr>
            <w:r>
              <w:rPr>
                <w:kern w:val="0"/>
                <w:szCs w:val="21"/>
                <w:lang w:bidi="ar"/>
              </w:rPr>
              <w:t>台</w:t>
            </w:r>
          </w:p>
        </w:tc>
        <w:tc>
          <w:tcPr>
            <w:tcW w:w="511" w:type="pct"/>
            <w:vAlign w:val="center"/>
          </w:tcPr>
          <w:p w14:paraId="4DCB37F2">
            <w:pPr>
              <w:widowControl/>
              <w:snapToGrid w:val="0"/>
              <w:spacing w:before="0" w:beforeLines="0" w:line="240" w:lineRule="auto"/>
              <w:jc w:val="center"/>
              <w:textAlignment w:val="center"/>
              <w:rPr>
                <w:kern w:val="0"/>
                <w:szCs w:val="21"/>
                <w:lang w:bidi="ar"/>
              </w:rPr>
            </w:pPr>
            <w:r>
              <w:rPr>
                <w:kern w:val="0"/>
                <w:szCs w:val="21"/>
                <w:lang w:bidi="ar"/>
              </w:rPr>
              <w:t>1</w:t>
            </w:r>
          </w:p>
        </w:tc>
        <w:tc>
          <w:tcPr>
            <w:tcW w:w="1714" w:type="pct"/>
            <w:vAlign w:val="center"/>
          </w:tcPr>
          <w:p w14:paraId="082E11F0">
            <w:pPr>
              <w:widowControl/>
              <w:snapToGrid w:val="0"/>
              <w:spacing w:before="0" w:beforeLines="0" w:line="240" w:lineRule="auto"/>
              <w:jc w:val="center"/>
              <w:textAlignment w:val="center"/>
              <w:rPr>
                <w:szCs w:val="21"/>
              </w:rPr>
            </w:pPr>
            <w:r>
              <w:rPr>
                <w:szCs w:val="21"/>
              </w:rPr>
              <w:t>1024</w:t>
            </w:r>
          </w:p>
        </w:tc>
        <w:tc>
          <w:tcPr>
            <w:tcW w:w="812" w:type="pct"/>
            <w:vMerge w:val="continue"/>
            <w:vAlign w:val="center"/>
          </w:tcPr>
          <w:p w14:paraId="6A72E18D">
            <w:pPr>
              <w:snapToGrid w:val="0"/>
              <w:spacing w:before="0" w:beforeLines="0" w:line="240" w:lineRule="auto"/>
              <w:jc w:val="center"/>
              <w:rPr>
                <w:szCs w:val="21"/>
              </w:rPr>
            </w:pPr>
          </w:p>
        </w:tc>
      </w:tr>
      <w:tr w14:paraId="663C53A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14:paraId="495CFCEB">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0F5F9CB0">
            <w:pPr>
              <w:widowControl/>
              <w:snapToGrid w:val="0"/>
              <w:spacing w:before="0" w:beforeLines="0" w:line="240" w:lineRule="auto"/>
              <w:jc w:val="center"/>
              <w:textAlignment w:val="center"/>
              <w:rPr>
                <w:szCs w:val="21"/>
              </w:rPr>
            </w:pPr>
            <w:r>
              <w:rPr>
                <w:szCs w:val="21"/>
              </w:rPr>
              <w:t>强磁选机</w:t>
            </w:r>
          </w:p>
        </w:tc>
        <w:tc>
          <w:tcPr>
            <w:tcW w:w="426" w:type="pct"/>
            <w:vAlign w:val="center"/>
          </w:tcPr>
          <w:p w14:paraId="620AD331">
            <w:pPr>
              <w:widowControl/>
              <w:snapToGrid w:val="0"/>
              <w:spacing w:before="0" w:beforeLines="0" w:line="240" w:lineRule="auto"/>
              <w:jc w:val="center"/>
              <w:textAlignment w:val="center"/>
              <w:rPr>
                <w:kern w:val="0"/>
                <w:szCs w:val="21"/>
                <w:lang w:bidi="ar"/>
              </w:rPr>
            </w:pPr>
            <w:r>
              <w:rPr>
                <w:kern w:val="0"/>
                <w:szCs w:val="21"/>
                <w:lang w:bidi="ar"/>
              </w:rPr>
              <w:t>台</w:t>
            </w:r>
          </w:p>
        </w:tc>
        <w:tc>
          <w:tcPr>
            <w:tcW w:w="511" w:type="pct"/>
            <w:vAlign w:val="center"/>
          </w:tcPr>
          <w:p w14:paraId="5454F509">
            <w:pPr>
              <w:widowControl/>
              <w:snapToGrid w:val="0"/>
              <w:spacing w:before="0" w:beforeLines="0" w:line="240" w:lineRule="auto"/>
              <w:jc w:val="center"/>
              <w:textAlignment w:val="center"/>
              <w:rPr>
                <w:kern w:val="0"/>
                <w:szCs w:val="21"/>
                <w:lang w:bidi="ar"/>
              </w:rPr>
            </w:pPr>
            <w:r>
              <w:rPr>
                <w:kern w:val="0"/>
                <w:szCs w:val="21"/>
                <w:lang w:bidi="ar"/>
              </w:rPr>
              <w:t>2</w:t>
            </w:r>
          </w:p>
        </w:tc>
        <w:tc>
          <w:tcPr>
            <w:tcW w:w="1714" w:type="pct"/>
            <w:vAlign w:val="center"/>
          </w:tcPr>
          <w:p w14:paraId="5A494C3C">
            <w:pPr>
              <w:widowControl/>
              <w:snapToGrid w:val="0"/>
              <w:spacing w:before="0" w:beforeLines="0" w:line="240" w:lineRule="auto"/>
              <w:jc w:val="center"/>
              <w:textAlignment w:val="center"/>
              <w:rPr>
                <w:szCs w:val="21"/>
              </w:rPr>
            </w:pPr>
            <w:r>
              <w:rPr>
                <w:szCs w:val="21"/>
              </w:rPr>
              <w:t>8500GS</w:t>
            </w:r>
          </w:p>
        </w:tc>
        <w:tc>
          <w:tcPr>
            <w:tcW w:w="812" w:type="pct"/>
            <w:vMerge w:val="continue"/>
            <w:vAlign w:val="center"/>
          </w:tcPr>
          <w:p w14:paraId="48FE7E33">
            <w:pPr>
              <w:snapToGrid w:val="0"/>
              <w:spacing w:before="0" w:beforeLines="0" w:line="240" w:lineRule="auto"/>
              <w:jc w:val="center"/>
              <w:rPr>
                <w:szCs w:val="21"/>
              </w:rPr>
            </w:pPr>
          </w:p>
        </w:tc>
      </w:tr>
      <w:tr w14:paraId="6378976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14:paraId="33620170">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51DE025F">
            <w:pPr>
              <w:widowControl/>
              <w:snapToGrid w:val="0"/>
              <w:spacing w:before="0" w:beforeLines="0" w:line="240" w:lineRule="auto"/>
              <w:jc w:val="center"/>
              <w:textAlignment w:val="center"/>
              <w:rPr>
                <w:kern w:val="0"/>
                <w:szCs w:val="21"/>
                <w:lang w:bidi="ar"/>
              </w:rPr>
            </w:pPr>
            <w:r>
              <w:rPr>
                <w:kern w:val="0"/>
                <w:szCs w:val="21"/>
                <w:lang w:bidi="ar"/>
              </w:rPr>
              <w:t>脱水机</w:t>
            </w:r>
          </w:p>
        </w:tc>
        <w:tc>
          <w:tcPr>
            <w:tcW w:w="426" w:type="pct"/>
            <w:vAlign w:val="center"/>
          </w:tcPr>
          <w:p w14:paraId="4D0DEACD">
            <w:pPr>
              <w:widowControl/>
              <w:snapToGrid w:val="0"/>
              <w:spacing w:before="0" w:beforeLines="0" w:line="240" w:lineRule="auto"/>
              <w:jc w:val="center"/>
              <w:textAlignment w:val="center"/>
              <w:rPr>
                <w:kern w:val="0"/>
                <w:szCs w:val="21"/>
                <w:lang w:bidi="ar"/>
              </w:rPr>
            </w:pPr>
            <w:r>
              <w:rPr>
                <w:kern w:val="0"/>
                <w:szCs w:val="21"/>
                <w:lang w:bidi="ar"/>
              </w:rPr>
              <w:t>台</w:t>
            </w:r>
          </w:p>
        </w:tc>
        <w:tc>
          <w:tcPr>
            <w:tcW w:w="511" w:type="pct"/>
            <w:vAlign w:val="center"/>
          </w:tcPr>
          <w:p w14:paraId="29F590B7">
            <w:pPr>
              <w:widowControl/>
              <w:snapToGrid w:val="0"/>
              <w:spacing w:before="0" w:beforeLines="0" w:line="240" w:lineRule="auto"/>
              <w:jc w:val="center"/>
              <w:textAlignment w:val="center"/>
              <w:rPr>
                <w:kern w:val="0"/>
                <w:szCs w:val="21"/>
                <w:lang w:bidi="ar"/>
              </w:rPr>
            </w:pPr>
            <w:r>
              <w:rPr>
                <w:kern w:val="0"/>
                <w:szCs w:val="21"/>
                <w:lang w:bidi="ar"/>
              </w:rPr>
              <w:t>1</w:t>
            </w:r>
          </w:p>
        </w:tc>
        <w:tc>
          <w:tcPr>
            <w:tcW w:w="1714" w:type="pct"/>
            <w:vAlign w:val="center"/>
          </w:tcPr>
          <w:p w14:paraId="4CBD98F1">
            <w:pPr>
              <w:widowControl/>
              <w:snapToGrid w:val="0"/>
              <w:spacing w:before="0" w:beforeLines="0" w:line="240" w:lineRule="auto"/>
              <w:jc w:val="center"/>
              <w:textAlignment w:val="center"/>
              <w:rPr>
                <w:szCs w:val="21"/>
              </w:rPr>
            </w:pPr>
            <w:r>
              <w:rPr>
                <w:szCs w:val="21"/>
                <w:lang w:eastAsia="en-US"/>
              </w:rPr>
              <w:t>FYDU20-2000</w:t>
            </w:r>
          </w:p>
        </w:tc>
        <w:tc>
          <w:tcPr>
            <w:tcW w:w="812" w:type="pct"/>
            <w:vMerge w:val="continue"/>
            <w:vAlign w:val="center"/>
          </w:tcPr>
          <w:p w14:paraId="20A134F0">
            <w:pPr>
              <w:snapToGrid w:val="0"/>
              <w:spacing w:before="0" w:beforeLines="0" w:line="240" w:lineRule="auto"/>
              <w:jc w:val="center"/>
              <w:rPr>
                <w:szCs w:val="21"/>
              </w:rPr>
            </w:pPr>
          </w:p>
        </w:tc>
      </w:tr>
      <w:tr w14:paraId="59E67F9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14:paraId="08303DBE">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3DBD4D55">
            <w:pPr>
              <w:widowControl/>
              <w:snapToGrid w:val="0"/>
              <w:spacing w:before="0" w:beforeLines="0" w:line="240" w:lineRule="auto"/>
              <w:jc w:val="center"/>
              <w:textAlignment w:val="center"/>
              <w:rPr>
                <w:kern w:val="0"/>
                <w:szCs w:val="21"/>
                <w:lang w:bidi="ar"/>
              </w:rPr>
            </w:pPr>
            <w:r>
              <w:rPr>
                <w:rFonts w:hint="eastAsia"/>
                <w:kern w:val="0"/>
                <w:szCs w:val="21"/>
                <w:lang w:bidi="ar"/>
              </w:rPr>
              <w:t>钛铁精矿仓</w:t>
            </w:r>
          </w:p>
        </w:tc>
        <w:tc>
          <w:tcPr>
            <w:tcW w:w="426" w:type="pct"/>
            <w:vAlign w:val="center"/>
          </w:tcPr>
          <w:p w14:paraId="224C8F45">
            <w:pPr>
              <w:widowControl/>
              <w:snapToGrid w:val="0"/>
              <w:spacing w:before="0" w:beforeLines="0" w:line="240" w:lineRule="auto"/>
              <w:jc w:val="center"/>
              <w:textAlignment w:val="center"/>
              <w:rPr>
                <w:kern w:val="0"/>
                <w:szCs w:val="21"/>
                <w:lang w:bidi="ar"/>
              </w:rPr>
            </w:pPr>
            <w:r>
              <w:rPr>
                <w:rFonts w:hint="eastAsia"/>
                <w:kern w:val="0"/>
                <w:szCs w:val="21"/>
                <w:lang w:bidi="ar"/>
              </w:rPr>
              <w:t>座</w:t>
            </w:r>
          </w:p>
        </w:tc>
        <w:tc>
          <w:tcPr>
            <w:tcW w:w="511" w:type="pct"/>
            <w:vAlign w:val="center"/>
          </w:tcPr>
          <w:p w14:paraId="6E21184A">
            <w:pPr>
              <w:widowControl/>
              <w:snapToGrid w:val="0"/>
              <w:spacing w:before="0" w:beforeLines="0" w:line="240" w:lineRule="auto"/>
              <w:jc w:val="center"/>
              <w:textAlignment w:val="center"/>
              <w:rPr>
                <w:kern w:val="0"/>
                <w:szCs w:val="21"/>
                <w:lang w:bidi="ar"/>
              </w:rPr>
            </w:pPr>
            <w:r>
              <w:rPr>
                <w:rFonts w:hint="eastAsia"/>
                <w:kern w:val="0"/>
                <w:szCs w:val="21"/>
                <w:lang w:bidi="ar"/>
              </w:rPr>
              <w:t>1</w:t>
            </w:r>
          </w:p>
        </w:tc>
        <w:tc>
          <w:tcPr>
            <w:tcW w:w="1714" w:type="pct"/>
            <w:vAlign w:val="center"/>
          </w:tcPr>
          <w:p w14:paraId="06ADC101">
            <w:pPr>
              <w:widowControl/>
              <w:snapToGrid w:val="0"/>
              <w:spacing w:before="0" w:beforeLines="0" w:line="240" w:lineRule="auto"/>
              <w:jc w:val="center"/>
              <w:textAlignment w:val="center"/>
              <w:rPr>
                <w:szCs w:val="21"/>
                <w:lang w:eastAsia="en-US"/>
              </w:rPr>
            </w:pPr>
            <w:r>
              <w:rPr>
                <w:rFonts w:hint="eastAsia"/>
                <w:szCs w:val="21"/>
                <w:lang w:eastAsia="en-US"/>
              </w:rPr>
              <w:t>Φ</w:t>
            </w:r>
            <w:r>
              <w:rPr>
                <w:szCs w:val="21"/>
                <w:lang w:eastAsia="en-US"/>
              </w:rPr>
              <w:t>6×12m</w:t>
            </w:r>
          </w:p>
        </w:tc>
        <w:tc>
          <w:tcPr>
            <w:tcW w:w="812" w:type="pct"/>
            <w:vMerge w:val="continue"/>
            <w:vAlign w:val="center"/>
          </w:tcPr>
          <w:p w14:paraId="52D1E90D">
            <w:pPr>
              <w:snapToGrid w:val="0"/>
              <w:spacing w:before="0" w:beforeLines="0" w:line="240" w:lineRule="auto"/>
              <w:jc w:val="center"/>
              <w:rPr>
                <w:szCs w:val="21"/>
              </w:rPr>
            </w:pPr>
          </w:p>
        </w:tc>
      </w:tr>
      <w:tr w14:paraId="14073F3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493" w:hRule="atLeast"/>
          <w:jc w:val="center"/>
        </w:trPr>
        <w:tc>
          <w:tcPr>
            <w:tcW w:w="342" w:type="pct"/>
            <w:vAlign w:val="center"/>
          </w:tcPr>
          <w:p w14:paraId="2456324D">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19D47790">
            <w:pPr>
              <w:widowControl/>
              <w:snapToGrid w:val="0"/>
              <w:spacing w:before="0" w:beforeLines="0" w:line="240" w:lineRule="auto"/>
              <w:jc w:val="center"/>
              <w:textAlignment w:val="center"/>
              <w:rPr>
                <w:szCs w:val="21"/>
              </w:rPr>
            </w:pPr>
            <w:r>
              <w:rPr>
                <w:rFonts w:hint="eastAsia"/>
                <w:szCs w:val="21"/>
              </w:rPr>
              <w:t>板框压滤机</w:t>
            </w:r>
          </w:p>
        </w:tc>
        <w:tc>
          <w:tcPr>
            <w:tcW w:w="426" w:type="pct"/>
            <w:vAlign w:val="center"/>
          </w:tcPr>
          <w:p w14:paraId="06FB7CA6">
            <w:pPr>
              <w:widowControl/>
              <w:snapToGrid w:val="0"/>
              <w:spacing w:before="0" w:beforeLines="0" w:line="240" w:lineRule="auto"/>
              <w:jc w:val="center"/>
              <w:textAlignment w:val="center"/>
              <w:rPr>
                <w:kern w:val="0"/>
                <w:szCs w:val="21"/>
                <w:lang w:bidi="ar"/>
              </w:rPr>
            </w:pPr>
            <w:r>
              <w:rPr>
                <w:kern w:val="0"/>
                <w:szCs w:val="21"/>
                <w:lang w:bidi="ar"/>
              </w:rPr>
              <w:t>台</w:t>
            </w:r>
          </w:p>
        </w:tc>
        <w:tc>
          <w:tcPr>
            <w:tcW w:w="511" w:type="pct"/>
            <w:vAlign w:val="center"/>
          </w:tcPr>
          <w:p w14:paraId="78E99BA8">
            <w:pPr>
              <w:widowControl/>
              <w:snapToGrid w:val="0"/>
              <w:spacing w:before="0" w:beforeLines="0" w:line="240" w:lineRule="auto"/>
              <w:jc w:val="center"/>
              <w:textAlignment w:val="center"/>
              <w:rPr>
                <w:kern w:val="0"/>
                <w:szCs w:val="21"/>
                <w:lang w:bidi="ar"/>
              </w:rPr>
            </w:pPr>
            <w:r>
              <w:rPr>
                <w:rFonts w:hint="eastAsia"/>
                <w:kern w:val="0"/>
                <w:szCs w:val="21"/>
                <w:lang w:bidi="ar"/>
              </w:rPr>
              <w:t>2</w:t>
            </w:r>
          </w:p>
        </w:tc>
        <w:tc>
          <w:tcPr>
            <w:tcW w:w="1714" w:type="pct"/>
            <w:vAlign w:val="center"/>
          </w:tcPr>
          <w:p w14:paraId="35057471">
            <w:pPr>
              <w:widowControl/>
              <w:snapToGrid w:val="0"/>
              <w:spacing w:before="0" w:beforeLines="0" w:line="240" w:lineRule="auto"/>
              <w:jc w:val="center"/>
              <w:textAlignment w:val="center"/>
              <w:rPr>
                <w:szCs w:val="21"/>
              </w:rPr>
            </w:pPr>
            <w:r>
              <w:rPr>
                <w:szCs w:val="21"/>
              </w:rPr>
              <w:t>XMZ800/2000-U</w:t>
            </w:r>
          </w:p>
        </w:tc>
        <w:tc>
          <w:tcPr>
            <w:tcW w:w="812" w:type="pct"/>
            <w:vAlign w:val="center"/>
          </w:tcPr>
          <w:p w14:paraId="3AB4B05D">
            <w:pPr>
              <w:snapToGrid w:val="0"/>
              <w:spacing w:before="0" w:beforeLines="0" w:line="240" w:lineRule="auto"/>
              <w:jc w:val="center"/>
              <w:rPr>
                <w:szCs w:val="21"/>
              </w:rPr>
            </w:pPr>
            <w:r>
              <w:rPr>
                <w:rFonts w:hint="eastAsia"/>
                <w:szCs w:val="21"/>
              </w:rPr>
              <w:t>1#厂区</w:t>
            </w:r>
          </w:p>
          <w:p w14:paraId="2D50E8FF">
            <w:pPr>
              <w:snapToGrid w:val="0"/>
              <w:spacing w:before="0" w:beforeLines="0" w:line="240" w:lineRule="auto"/>
              <w:jc w:val="center"/>
              <w:rPr>
                <w:szCs w:val="21"/>
              </w:rPr>
            </w:pPr>
            <w:r>
              <w:rPr>
                <w:rFonts w:hint="eastAsia"/>
                <w:szCs w:val="21"/>
              </w:rPr>
              <w:t>压滤车间</w:t>
            </w:r>
          </w:p>
        </w:tc>
      </w:tr>
      <w:tr w14:paraId="1F908DD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14:paraId="4C50BCCD">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5067DCE3">
            <w:pPr>
              <w:pStyle w:val="195"/>
              <w:autoSpaceDE/>
              <w:autoSpaceDN/>
              <w:snapToGrid w:val="0"/>
              <w:rPr>
                <w:rFonts w:eastAsia="宋体"/>
                <w:sz w:val="21"/>
                <w:szCs w:val="21"/>
                <w:lang w:bidi="ar"/>
              </w:rPr>
            </w:pPr>
            <w:r>
              <w:rPr>
                <w:rFonts w:eastAsia="宋体"/>
                <w:sz w:val="21"/>
                <w:szCs w:val="21"/>
                <w:lang w:bidi="ar"/>
              </w:rPr>
              <w:t>颚式破碎机</w:t>
            </w:r>
          </w:p>
        </w:tc>
        <w:tc>
          <w:tcPr>
            <w:tcW w:w="426" w:type="pct"/>
            <w:vAlign w:val="center"/>
          </w:tcPr>
          <w:p w14:paraId="3B91D731">
            <w:pPr>
              <w:pStyle w:val="195"/>
              <w:autoSpaceDE/>
              <w:autoSpaceDN/>
              <w:snapToGrid w:val="0"/>
              <w:rPr>
                <w:rFonts w:eastAsia="宋体"/>
                <w:sz w:val="21"/>
                <w:szCs w:val="21"/>
                <w:lang w:eastAsia="zh-CN" w:bidi="ar"/>
              </w:rPr>
            </w:pPr>
            <w:r>
              <w:rPr>
                <w:rFonts w:eastAsia="宋体"/>
                <w:sz w:val="21"/>
                <w:szCs w:val="21"/>
                <w:lang w:eastAsia="zh-CN" w:bidi="ar"/>
              </w:rPr>
              <w:t>台</w:t>
            </w:r>
          </w:p>
        </w:tc>
        <w:tc>
          <w:tcPr>
            <w:tcW w:w="511" w:type="pct"/>
            <w:vAlign w:val="center"/>
          </w:tcPr>
          <w:p w14:paraId="64F94DC3">
            <w:pPr>
              <w:pStyle w:val="195"/>
              <w:autoSpaceDE/>
              <w:autoSpaceDN/>
              <w:snapToGrid w:val="0"/>
              <w:rPr>
                <w:rFonts w:eastAsia="宋体"/>
                <w:sz w:val="21"/>
                <w:szCs w:val="21"/>
                <w:lang w:eastAsia="zh-CN" w:bidi="ar"/>
              </w:rPr>
            </w:pPr>
            <w:r>
              <w:rPr>
                <w:rFonts w:eastAsia="宋体"/>
                <w:sz w:val="21"/>
                <w:szCs w:val="21"/>
                <w:lang w:eastAsia="zh-CN" w:bidi="ar"/>
              </w:rPr>
              <w:t>5</w:t>
            </w:r>
          </w:p>
        </w:tc>
        <w:tc>
          <w:tcPr>
            <w:tcW w:w="1714" w:type="pct"/>
            <w:vAlign w:val="center"/>
          </w:tcPr>
          <w:p w14:paraId="4B291F4F">
            <w:pPr>
              <w:widowControl/>
              <w:snapToGrid w:val="0"/>
              <w:spacing w:before="0" w:beforeLines="0" w:line="240" w:lineRule="auto"/>
              <w:jc w:val="center"/>
              <w:textAlignment w:val="center"/>
              <w:rPr>
                <w:szCs w:val="21"/>
              </w:rPr>
            </w:pPr>
            <w:r>
              <w:rPr>
                <w:szCs w:val="21"/>
              </w:rPr>
              <w:t>PE900×1200</w:t>
            </w:r>
          </w:p>
        </w:tc>
        <w:tc>
          <w:tcPr>
            <w:tcW w:w="812" w:type="pct"/>
            <w:vMerge w:val="restart"/>
            <w:vAlign w:val="center"/>
          </w:tcPr>
          <w:p w14:paraId="38DD9F52">
            <w:pPr>
              <w:snapToGrid w:val="0"/>
              <w:spacing w:before="0" w:beforeLines="0" w:line="240" w:lineRule="auto"/>
              <w:jc w:val="center"/>
              <w:rPr>
                <w:szCs w:val="21"/>
              </w:rPr>
            </w:pPr>
            <w:r>
              <w:rPr>
                <w:rFonts w:hint="eastAsia"/>
                <w:szCs w:val="21"/>
              </w:rPr>
              <w:t>2#厂区</w:t>
            </w:r>
          </w:p>
          <w:p w14:paraId="03A30201">
            <w:pPr>
              <w:snapToGrid w:val="0"/>
              <w:spacing w:before="0" w:beforeLines="0" w:line="240" w:lineRule="auto"/>
              <w:jc w:val="center"/>
              <w:rPr>
                <w:szCs w:val="21"/>
              </w:rPr>
            </w:pPr>
            <w:r>
              <w:rPr>
                <w:szCs w:val="21"/>
              </w:rPr>
              <w:t>破碎车间</w:t>
            </w:r>
          </w:p>
        </w:tc>
      </w:tr>
      <w:tr w14:paraId="74059D3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14:paraId="079E7B21">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65E6446D">
            <w:pPr>
              <w:widowControl/>
              <w:snapToGrid w:val="0"/>
              <w:spacing w:before="0" w:beforeLines="0" w:line="240" w:lineRule="auto"/>
              <w:jc w:val="center"/>
              <w:textAlignment w:val="center"/>
              <w:rPr>
                <w:kern w:val="0"/>
                <w:szCs w:val="21"/>
                <w:lang w:bidi="ar"/>
              </w:rPr>
            </w:pPr>
            <w:r>
              <w:rPr>
                <w:kern w:val="0"/>
                <w:szCs w:val="21"/>
                <w:lang w:bidi="ar"/>
              </w:rPr>
              <w:t>圆锥破碎机</w:t>
            </w:r>
          </w:p>
        </w:tc>
        <w:tc>
          <w:tcPr>
            <w:tcW w:w="426" w:type="pct"/>
            <w:vAlign w:val="center"/>
          </w:tcPr>
          <w:p w14:paraId="4DDC0694">
            <w:pPr>
              <w:pStyle w:val="195"/>
              <w:autoSpaceDE/>
              <w:autoSpaceDN/>
              <w:snapToGrid w:val="0"/>
              <w:rPr>
                <w:rFonts w:eastAsia="宋体"/>
                <w:sz w:val="21"/>
                <w:szCs w:val="21"/>
                <w:lang w:eastAsia="zh-CN" w:bidi="ar"/>
              </w:rPr>
            </w:pPr>
            <w:r>
              <w:rPr>
                <w:rFonts w:eastAsia="宋体"/>
                <w:sz w:val="21"/>
                <w:szCs w:val="21"/>
                <w:lang w:eastAsia="zh-CN" w:bidi="ar"/>
              </w:rPr>
              <w:t>台</w:t>
            </w:r>
          </w:p>
        </w:tc>
        <w:tc>
          <w:tcPr>
            <w:tcW w:w="511" w:type="pct"/>
            <w:vAlign w:val="center"/>
          </w:tcPr>
          <w:p w14:paraId="0CF534B5">
            <w:pPr>
              <w:pStyle w:val="195"/>
              <w:autoSpaceDE/>
              <w:autoSpaceDN/>
              <w:snapToGrid w:val="0"/>
              <w:rPr>
                <w:rFonts w:eastAsia="宋体"/>
                <w:sz w:val="21"/>
                <w:szCs w:val="21"/>
                <w:lang w:eastAsia="zh-CN" w:bidi="ar"/>
              </w:rPr>
            </w:pPr>
            <w:r>
              <w:rPr>
                <w:rFonts w:eastAsia="宋体"/>
                <w:sz w:val="21"/>
                <w:szCs w:val="21"/>
                <w:lang w:eastAsia="zh-CN" w:bidi="ar"/>
              </w:rPr>
              <w:t>5</w:t>
            </w:r>
          </w:p>
        </w:tc>
        <w:tc>
          <w:tcPr>
            <w:tcW w:w="1714" w:type="pct"/>
            <w:vAlign w:val="center"/>
          </w:tcPr>
          <w:p w14:paraId="35F3CE89">
            <w:pPr>
              <w:widowControl/>
              <w:snapToGrid w:val="0"/>
              <w:spacing w:before="0" w:beforeLines="0" w:line="240" w:lineRule="auto"/>
              <w:jc w:val="center"/>
              <w:textAlignment w:val="center"/>
              <w:rPr>
                <w:szCs w:val="21"/>
              </w:rPr>
            </w:pPr>
            <w:r>
              <w:rPr>
                <w:szCs w:val="21"/>
              </w:rPr>
              <w:t>HP400</w:t>
            </w:r>
          </w:p>
        </w:tc>
        <w:tc>
          <w:tcPr>
            <w:tcW w:w="812" w:type="pct"/>
            <w:vMerge w:val="continue"/>
            <w:vAlign w:val="center"/>
          </w:tcPr>
          <w:p w14:paraId="65471BE2">
            <w:pPr>
              <w:snapToGrid w:val="0"/>
              <w:spacing w:before="0" w:beforeLines="0" w:line="240" w:lineRule="auto"/>
              <w:jc w:val="center"/>
              <w:rPr>
                <w:szCs w:val="21"/>
              </w:rPr>
            </w:pPr>
          </w:p>
        </w:tc>
      </w:tr>
      <w:tr w14:paraId="021E7F3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14:paraId="166C56D1">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554B46B3">
            <w:pPr>
              <w:widowControl/>
              <w:snapToGrid w:val="0"/>
              <w:spacing w:before="0" w:beforeLines="0" w:line="240" w:lineRule="auto"/>
              <w:jc w:val="center"/>
              <w:textAlignment w:val="center"/>
              <w:rPr>
                <w:kern w:val="0"/>
                <w:szCs w:val="21"/>
                <w:lang w:bidi="ar"/>
              </w:rPr>
            </w:pPr>
            <w:r>
              <w:rPr>
                <w:kern w:val="0"/>
                <w:szCs w:val="21"/>
                <w:lang w:bidi="ar"/>
              </w:rPr>
              <w:t>一段干选磁选机</w:t>
            </w:r>
          </w:p>
        </w:tc>
        <w:tc>
          <w:tcPr>
            <w:tcW w:w="426" w:type="pct"/>
            <w:vAlign w:val="center"/>
          </w:tcPr>
          <w:p w14:paraId="43E41266">
            <w:pPr>
              <w:pStyle w:val="195"/>
              <w:autoSpaceDE/>
              <w:autoSpaceDN/>
              <w:snapToGrid w:val="0"/>
              <w:rPr>
                <w:rFonts w:eastAsia="宋体"/>
                <w:sz w:val="21"/>
                <w:szCs w:val="21"/>
                <w:lang w:eastAsia="zh-CN" w:bidi="ar"/>
              </w:rPr>
            </w:pPr>
            <w:r>
              <w:rPr>
                <w:rFonts w:eastAsia="宋体"/>
                <w:sz w:val="21"/>
                <w:szCs w:val="21"/>
                <w:lang w:eastAsia="zh-CN" w:bidi="ar"/>
              </w:rPr>
              <w:t>台</w:t>
            </w:r>
          </w:p>
        </w:tc>
        <w:tc>
          <w:tcPr>
            <w:tcW w:w="511" w:type="pct"/>
            <w:vAlign w:val="center"/>
          </w:tcPr>
          <w:p w14:paraId="1FA2B6F0">
            <w:pPr>
              <w:pStyle w:val="195"/>
              <w:autoSpaceDE/>
              <w:autoSpaceDN/>
              <w:snapToGrid w:val="0"/>
              <w:rPr>
                <w:rFonts w:eastAsia="宋体"/>
                <w:sz w:val="21"/>
                <w:szCs w:val="21"/>
                <w:lang w:eastAsia="zh-CN" w:bidi="ar"/>
              </w:rPr>
            </w:pPr>
            <w:r>
              <w:rPr>
                <w:rFonts w:eastAsia="宋体"/>
                <w:sz w:val="21"/>
                <w:szCs w:val="21"/>
                <w:lang w:eastAsia="zh-CN" w:bidi="ar"/>
              </w:rPr>
              <w:t>5</w:t>
            </w:r>
          </w:p>
        </w:tc>
        <w:tc>
          <w:tcPr>
            <w:tcW w:w="1714" w:type="pct"/>
            <w:vAlign w:val="center"/>
          </w:tcPr>
          <w:p w14:paraId="4050CD89">
            <w:pPr>
              <w:pStyle w:val="195"/>
              <w:autoSpaceDE/>
              <w:autoSpaceDN/>
              <w:snapToGrid w:val="0"/>
              <w:rPr>
                <w:rFonts w:eastAsia="宋体"/>
                <w:sz w:val="21"/>
                <w:szCs w:val="21"/>
              </w:rPr>
            </w:pPr>
            <w:r>
              <w:rPr>
                <w:rFonts w:eastAsia="宋体"/>
                <w:sz w:val="21"/>
                <w:szCs w:val="21"/>
              </w:rPr>
              <w:t>1236</w:t>
            </w:r>
          </w:p>
        </w:tc>
        <w:tc>
          <w:tcPr>
            <w:tcW w:w="812" w:type="pct"/>
            <w:vMerge w:val="continue"/>
            <w:vAlign w:val="center"/>
          </w:tcPr>
          <w:p w14:paraId="76E9CB05">
            <w:pPr>
              <w:snapToGrid w:val="0"/>
              <w:spacing w:before="0" w:beforeLines="0" w:line="240" w:lineRule="auto"/>
              <w:jc w:val="center"/>
              <w:rPr>
                <w:szCs w:val="21"/>
              </w:rPr>
            </w:pPr>
          </w:p>
        </w:tc>
      </w:tr>
      <w:tr w14:paraId="095DF14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14:paraId="67045440">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2C20F638">
            <w:pPr>
              <w:pStyle w:val="195"/>
              <w:autoSpaceDE/>
              <w:autoSpaceDN/>
              <w:snapToGrid w:val="0"/>
              <w:rPr>
                <w:rFonts w:eastAsia="宋体"/>
                <w:sz w:val="21"/>
                <w:szCs w:val="21"/>
              </w:rPr>
            </w:pPr>
            <w:r>
              <w:rPr>
                <w:rFonts w:eastAsia="宋体"/>
                <w:sz w:val="21"/>
                <w:szCs w:val="21"/>
                <w:lang w:bidi="ar"/>
              </w:rPr>
              <w:t>二段干选磁选机</w:t>
            </w:r>
          </w:p>
        </w:tc>
        <w:tc>
          <w:tcPr>
            <w:tcW w:w="426" w:type="pct"/>
            <w:vAlign w:val="center"/>
          </w:tcPr>
          <w:p w14:paraId="07927A18">
            <w:pPr>
              <w:pStyle w:val="195"/>
              <w:autoSpaceDE/>
              <w:autoSpaceDN/>
              <w:snapToGrid w:val="0"/>
              <w:rPr>
                <w:rFonts w:eastAsia="宋体"/>
                <w:sz w:val="21"/>
                <w:szCs w:val="21"/>
                <w:lang w:eastAsia="zh-CN" w:bidi="ar"/>
              </w:rPr>
            </w:pPr>
            <w:r>
              <w:rPr>
                <w:rFonts w:eastAsia="宋体"/>
                <w:sz w:val="21"/>
                <w:szCs w:val="21"/>
                <w:lang w:eastAsia="zh-CN" w:bidi="ar"/>
              </w:rPr>
              <w:t>台</w:t>
            </w:r>
          </w:p>
        </w:tc>
        <w:tc>
          <w:tcPr>
            <w:tcW w:w="511" w:type="pct"/>
            <w:vAlign w:val="center"/>
          </w:tcPr>
          <w:p w14:paraId="1962A398">
            <w:pPr>
              <w:pStyle w:val="195"/>
              <w:autoSpaceDE/>
              <w:autoSpaceDN/>
              <w:snapToGrid w:val="0"/>
              <w:rPr>
                <w:rFonts w:eastAsia="宋体"/>
                <w:sz w:val="21"/>
                <w:szCs w:val="21"/>
                <w:lang w:eastAsia="zh-CN" w:bidi="ar"/>
              </w:rPr>
            </w:pPr>
            <w:r>
              <w:rPr>
                <w:rFonts w:eastAsia="宋体"/>
                <w:sz w:val="21"/>
                <w:szCs w:val="21"/>
                <w:lang w:eastAsia="zh-CN" w:bidi="ar"/>
              </w:rPr>
              <w:t>1</w:t>
            </w:r>
          </w:p>
        </w:tc>
        <w:tc>
          <w:tcPr>
            <w:tcW w:w="1714" w:type="pct"/>
            <w:vAlign w:val="center"/>
          </w:tcPr>
          <w:p w14:paraId="782AAC85">
            <w:pPr>
              <w:pStyle w:val="195"/>
              <w:autoSpaceDE/>
              <w:autoSpaceDN/>
              <w:snapToGrid w:val="0"/>
              <w:rPr>
                <w:rFonts w:eastAsia="宋体"/>
                <w:sz w:val="21"/>
                <w:szCs w:val="21"/>
              </w:rPr>
            </w:pPr>
            <w:r>
              <w:rPr>
                <w:rFonts w:eastAsia="宋体"/>
                <w:sz w:val="21"/>
                <w:szCs w:val="21"/>
              </w:rPr>
              <w:t>TLYL-1216</w:t>
            </w:r>
          </w:p>
        </w:tc>
        <w:tc>
          <w:tcPr>
            <w:tcW w:w="812" w:type="pct"/>
            <w:vMerge w:val="continue"/>
            <w:vAlign w:val="center"/>
          </w:tcPr>
          <w:p w14:paraId="18297443">
            <w:pPr>
              <w:snapToGrid w:val="0"/>
              <w:spacing w:before="0" w:beforeLines="0" w:line="240" w:lineRule="auto"/>
              <w:jc w:val="center"/>
              <w:rPr>
                <w:szCs w:val="21"/>
              </w:rPr>
            </w:pPr>
          </w:p>
        </w:tc>
      </w:tr>
      <w:tr w14:paraId="429E03D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14:paraId="73FD05F4">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4CDA5C73">
            <w:pPr>
              <w:pStyle w:val="195"/>
              <w:autoSpaceDE/>
              <w:autoSpaceDN/>
              <w:snapToGrid w:val="0"/>
              <w:rPr>
                <w:rFonts w:eastAsia="宋体"/>
                <w:sz w:val="21"/>
                <w:szCs w:val="21"/>
                <w:lang w:bidi="ar"/>
              </w:rPr>
            </w:pPr>
            <w:r>
              <w:rPr>
                <w:rFonts w:eastAsia="宋体"/>
                <w:sz w:val="21"/>
                <w:szCs w:val="21"/>
                <w:lang w:bidi="ar"/>
              </w:rPr>
              <w:t>破碎机</w:t>
            </w:r>
          </w:p>
        </w:tc>
        <w:tc>
          <w:tcPr>
            <w:tcW w:w="426" w:type="pct"/>
            <w:vAlign w:val="center"/>
          </w:tcPr>
          <w:p w14:paraId="70197686">
            <w:pPr>
              <w:pStyle w:val="195"/>
              <w:autoSpaceDE/>
              <w:autoSpaceDN/>
              <w:snapToGrid w:val="0"/>
              <w:rPr>
                <w:rFonts w:eastAsia="宋体"/>
                <w:sz w:val="21"/>
                <w:szCs w:val="21"/>
                <w:lang w:eastAsia="zh-CN" w:bidi="ar"/>
              </w:rPr>
            </w:pPr>
            <w:r>
              <w:rPr>
                <w:rFonts w:eastAsia="宋体"/>
                <w:sz w:val="21"/>
                <w:szCs w:val="21"/>
                <w:lang w:eastAsia="zh-CN" w:bidi="ar"/>
              </w:rPr>
              <w:t>台</w:t>
            </w:r>
          </w:p>
        </w:tc>
        <w:tc>
          <w:tcPr>
            <w:tcW w:w="511" w:type="pct"/>
            <w:vAlign w:val="center"/>
          </w:tcPr>
          <w:p w14:paraId="1BE4EF37">
            <w:pPr>
              <w:pStyle w:val="195"/>
              <w:autoSpaceDE/>
              <w:autoSpaceDN/>
              <w:snapToGrid w:val="0"/>
              <w:rPr>
                <w:rFonts w:eastAsia="宋体"/>
                <w:sz w:val="21"/>
                <w:szCs w:val="21"/>
                <w:lang w:eastAsia="zh-CN" w:bidi="ar"/>
              </w:rPr>
            </w:pPr>
            <w:r>
              <w:rPr>
                <w:rFonts w:eastAsia="宋体"/>
                <w:sz w:val="21"/>
                <w:szCs w:val="21"/>
                <w:lang w:eastAsia="zh-CN" w:bidi="ar"/>
              </w:rPr>
              <w:t>1</w:t>
            </w:r>
          </w:p>
        </w:tc>
        <w:tc>
          <w:tcPr>
            <w:tcW w:w="1714" w:type="pct"/>
            <w:vAlign w:val="center"/>
          </w:tcPr>
          <w:p w14:paraId="38B9C043">
            <w:pPr>
              <w:widowControl/>
              <w:snapToGrid w:val="0"/>
              <w:spacing w:before="0" w:beforeLines="0" w:line="240" w:lineRule="auto"/>
              <w:jc w:val="center"/>
              <w:textAlignment w:val="center"/>
              <w:rPr>
                <w:szCs w:val="21"/>
                <w:lang w:val="zh-CN"/>
              </w:rPr>
            </w:pPr>
            <w:r>
              <w:rPr>
                <w:szCs w:val="21"/>
              </w:rPr>
              <w:t>HP300</w:t>
            </w:r>
          </w:p>
        </w:tc>
        <w:tc>
          <w:tcPr>
            <w:tcW w:w="812" w:type="pct"/>
            <w:vMerge w:val="continue"/>
            <w:vAlign w:val="center"/>
          </w:tcPr>
          <w:p w14:paraId="4911956B">
            <w:pPr>
              <w:snapToGrid w:val="0"/>
              <w:spacing w:before="0" w:beforeLines="0" w:line="240" w:lineRule="auto"/>
              <w:jc w:val="center"/>
              <w:rPr>
                <w:szCs w:val="21"/>
              </w:rPr>
            </w:pPr>
          </w:p>
        </w:tc>
      </w:tr>
      <w:tr w14:paraId="31C39F9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14:paraId="4306EE88">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7BF9A88D">
            <w:pPr>
              <w:widowControl/>
              <w:snapToGrid w:val="0"/>
              <w:spacing w:before="0" w:beforeLines="0" w:line="240" w:lineRule="auto"/>
              <w:jc w:val="center"/>
              <w:textAlignment w:val="center"/>
              <w:rPr>
                <w:kern w:val="0"/>
                <w:szCs w:val="21"/>
                <w:lang w:bidi="ar"/>
              </w:rPr>
            </w:pPr>
            <w:r>
              <w:rPr>
                <w:kern w:val="0"/>
                <w:szCs w:val="21"/>
                <w:lang w:bidi="ar"/>
              </w:rPr>
              <w:t>振动筛</w:t>
            </w:r>
          </w:p>
        </w:tc>
        <w:tc>
          <w:tcPr>
            <w:tcW w:w="426" w:type="pct"/>
            <w:vAlign w:val="center"/>
          </w:tcPr>
          <w:p w14:paraId="33C41E90">
            <w:pPr>
              <w:widowControl/>
              <w:snapToGrid w:val="0"/>
              <w:spacing w:before="0" w:beforeLines="0" w:line="240" w:lineRule="auto"/>
              <w:jc w:val="center"/>
              <w:textAlignment w:val="center"/>
              <w:rPr>
                <w:kern w:val="0"/>
                <w:szCs w:val="21"/>
                <w:lang w:val="zh-CN" w:bidi="ar"/>
              </w:rPr>
            </w:pPr>
            <w:r>
              <w:rPr>
                <w:kern w:val="0"/>
                <w:szCs w:val="21"/>
                <w:lang w:bidi="ar"/>
              </w:rPr>
              <w:t>台</w:t>
            </w:r>
          </w:p>
        </w:tc>
        <w:tc>
          <w:tcPr>
            <w:tcW w:w="511" w:type="pct"/>
            <w:vAlign w:val="center"/>
          </w:tcPr>
          <w:p w14:paraId="05D53F2D">
            <w:pPr>
              <w:widowControl/>
              <w:snapToGrid w:val="0"/>
              <w:spacing w:before="0" w:beforeLines="0" w:line="240" w:lineRule="auto"/>
              <w:jc w:val="center"/>
              <w:textAlignment w:val="center"/>
              <w:rPr>
                <w:kern w:val="0"/>
                <w:szCs w:val="21"/>
                <w:lang w:bidi="ar"/>
              </w:rPr>
            </w:pPr>
            <w:r>
              <w:rPr>
                <w:kern w:val="0"/>
                <w:szCs w:val="21"/>
                <w:lang w:bidi="ar"/>
              </w:rPr>
              <w:t>2</w:t>
            </w:r>
          </w:p>
        </w:tc>
        <w:tc>
          <w:tcPr>
            <w:tcW w:w="1714" w:type="pct"/>
            <w:vAlign w:val="center"/>
          </w:tcPr>
          <w:p w14:paraId="60E5520D">
            <w:pPr>
              <w:pStyle w:val="195"/>
              <w:autoSpaceDE/>
              <w:autoSpaceDN/>
              <w:snapToGrid w:val="0"/>
              <w:rPr>
                <w:rFonts w:eastAsia="宋体"/>
                <w:sz w:val="21"/>
                <w:szCs w:val="21"/>
                <w:lang w:eastAsia="zh-CN"/>
              </w:rPr>
            </w:pPr>
            <w:r>
              <w:rPr>
                <w:rFonts w:eastAsia="宋体"/>
                <w:sz w:val="21"/>
                <w:szCs w:val="21"/>
                <w:lang w:eastAsia="zh-CN"/>
              </w:rPr>
              <w:t>/</w:t>
            </w:r>
          </w:p>
        </w:tc>
        <w:tc>
          <w:tcPr>
            <w:tcW w:w="812" w:type="pct"/>
            <w:vMerge w:val="continue"/>
            <w:vAlign w:val="center"/>
          </w:tcPr>
          <w:p w14:paraId="5889991C">
            <w:pPr>
              <w:snapToGrid w:val="0"/>
              <w:spacing w:before="0" w:beforeLines="0" w:line="240" w:lineRule="auto"/>
              <w:jc w:val="center"/>
              <w:rPr>
                <w:szCs w:val="21"/>
              </w:rPr>
            </w:pPr>
          </w:p>
        </w:tc>
      </w:tr>
      <w:tr w14:paraId="38027A4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14:paraId="38CE2438">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5750534E">
            <w:pPr>
              <w:widowControl/>
              <w:snapToGrid w:val="0"/>
              <w:spacing w:before="0" w:beforeLines="0" w:line="240" w:lineRule="auto"/>
              <w:jc w:val="center"/>
              <w:textAlignment w:val="center"/>
              <w:rPr>
                <w:kern w:val="0"/>
                <w:szCs w:val="21"/>
                <w:lang w:bidi="ar"/>
              </w:rPr>
            </w:pPr>
            <w:r>
              <w:rPr>
                <w:kern w:val="0"/>
                <w:szCs w:val="21"/>
                <w:lang w:bidi="ar"/>
              </w:rPr>
              <w:t>布袋除尘器</w:t>
            </w:r>
          </w:p>
        </w:tc>
        <w:tc>
          <w:tcPr>
            <w:tcW w:w="426" w:type="pct"/>
            <w:vAlign w:val="center"/>
          </w:tcPr>
          <w:p w14:paraId="3F98C4CE">
            <w:pPr>
              <w:widowControl/>
              <w:snapToGrid w:val="0"/>
              <w:spacing w:before="0" w:beforeLines="0" w:line="240" w:lineRule="auto"/>
              <w:jc w:val="center"/>
              <w:textAlignment w:val="center"/>
              <w:rPr>
                <w:kern w:val="0"/>
                <w:szCs w:val="21"/>
                <w:lang w:val="zh-CN" w:bidi="ar"/>
              </w:rPr>
            </w:pPr>
            <w:r>
              <w:rPr>
                <w:kern w:val="0"/>
                <w:szCs w:val="21"/>
                <w:lang w:bidi="ar"/>
              </w:rPr>
              <w:t>台</w:t>
            </w:r>
          </w:p>
        </w:tc>
        <w:tc>
          <w:tcPr>
            <w:tcW w:w="511" w:type="pct"/>
            <w:vAlign w:val="center"/>
          </w:tcPr>
          <w:p w14:paraId="62C2FB22">
            <w:pPr>
              <w:widowControl/>
              <w:snapToGrid w:val="0"/>
              <w:spacing w:before="0" w:beforeLines="0" w:line="240" w:lineRule="auto"/>
              <w:jc w:val="center"/>
              <w:textAlignment w:val="center"/>
              <w:rPr>
                <w:kern w:val="0"/>
                <w:szCs w:val="21"/>
                <w:lang w:bidi="ar"/>
              </w:rPr>
            </w:pPr>
            <w:r>
              <w:rPr>
                <w:kern w:val="0"/>
                <w:szCs w:val="21"/>
                <w:lang w:bidi="ar"/>
              </w:rPr>
              <w:t>1</w:t>
            </w:r>
          </w:p>
        </w:tc>
        <w:tc>
          <w:tcPr>
            <w:tcW w:w="1714" w:type="pct"/>
            <w:vAlign w:val="center"/>
          </w:tcPr>
          <w:p w14:paraId="6D29418F">
            <w:pPr>
              <w:pStyle w:val="195"/>
              <w:autoSpaceDE/>
              <w:autoSpaceDN/>
              <w:snapToGrid w:val="0"/>
              <w:rPr>
                <w:rFonts w:eastAsia="宋体"/>
                <w:sz w:val="21"/>
                <w:szCs w:val="21"/>
                <w:lang w:eastAsia="zh-CN"/>
              </w:rPr>
            </w:pPr>
            <w:r>
              <w:rPr>
                <w:rFonts w:eastAsia="宋体"/>
                <w:sz w:val="21"/>
                <w:szCs w:val="21"/>
                <w:lang w:eastAsia="zh-CN"/>
              </w:rPr>
              <w:t>/</w:t>
            </w:r>
          </w:p>
        </w:tc>
        <w:tc>
          <w:tcPr>
            <w:tcW w:w="812" w:type="pct"/>
            <w:vMerge w:val="continue"/>
            <w:vAlign w:val="center"/>
          </w:tcPr>
          <w:p w14:paraId="62C4EE9A">
            <w:pPr>
              <w:snapToGrid w:val="0"/>
              <w:spacing w:before="0" w:beforeLines="0" w:line="240" w:lineRule="auto"/>
              <w:jc w:val="center"/>
              <w:rPr>
                <w:szCs w:val="21"/>
              </w:rPr>
            </w:pPr>
          </w:p>
        </w:tc>
      </w:tr>
      <w:tr w14:paraId="3ACC08D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14:paraId="521940E5">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2DDB61E4">
            <w:pPr>
              <w:widowControl/>
              <w:snapToGrid w:val="0"/>
              <w:spacing w:before="0" w:beforeLines="0" w:line="240" w:lineRule="auto"/>
              <w:jc w:val="center"/>
              <w:textAlignment w:val="center"/>
              <w:rPr>
                <w:kern w:val="0"/>
                <w:szCs w:val="21"/>
                <w:lang w:bidi="ar"/>
              </w:rPr>
            </w:pPr>
            <w:r>
              <w:rPr>
                <w:kern w:val="0"/>
                <w:szCs w:val="21"/>
                <w:lang w:bidi="ar"/>
              </w:rPr>
              <w:t>引风机</w:t>
            </w:r>
          </w:p>
        </w:tc>
        <w:tc>
          <w:tcPr>
            <w:tcW w:w="426" w:type="pct"/>
            <w:vAlign w:val="center"/>
          </w:tcPr>
          <w:p w14:paraId="5447335B">
            <w:pPr>
              <w:widowControl/>
              <w:snapToGrid w:val="0"/>
              <w:spacing w:before="0" w:beforeLines="0" w:line="240" w:lineRule="auto"/>
              <w:jc w:val="center"/>
              <w:textAlignment w:val="center"/>
              <w:rPr>
                <w:kern w:val="0"/>
                <w:szCs w:val="21"/>
                <w:lang w:val="zh-CN" w:bidi="ar"/>
              </w:rPr>
            </w:pPr>
            <w:r>
              <w:rPr>
                <w:kern w:val="0"/>
                <w:szCs w:val="21"/>
                <w:lang w:bidi="ar"/>
              </w:rPr>
              <w:t>台</w:t>
            </w:r>
          </w:p>
        </w:tc>
        <w:tc>
          <w:tcPr>
            <w:tcW w:w="511" w:type="pct"/>
            <w:vAlign w:val="center"/>
          </w:tcPr>
          <w:p w14:paraId="4A8A077E">
            <w:pPr>
              <w:widowControl/>
              <w:snapToGrid w:val="0"/>
              <w:spacing w:before="0" w:beforeLines="0" w:line="240" w:lineRule="auto"/>
              <w:jc w:val="center"/>
              <w:textAlignment w:val="center"/>
              <w:rPr>
                <w:kern w:val="0"/>
                <w:szCs w:val="21"/>
                <w:lang w:bidi="ar"/>
              </w:rPr>
            </w:pPr>
            <w:r>
              <w:rPr>
                <w:kern w:val="0"/>
                <w:szCs w:val="21"/>
                <w:lang w:bidi="ar"/>
              </w:rPr>
              <w:t>1</w:t>
            </w:r>
          </w:p>
        </w:tc>
        <w:tc>
          <w:tcPr>
            <w:tcW w:w="1714" w:type="pct"/>
            <w:vAlign w:val="center"/>
          </w:tcPr>
          <w:p w14:paraId="2C4E5A05">
            <w:pPr>
              <w:pStyle w:val="195"/>
              <w:autoSpaceDE/>
              <w:autoSpaceDN/>
              <w:snapToGrid w:val="0"/>
              <w:rPr>
                <w:rFonts w:eastAsia="宋体"/>
                <w:sz w:val="21"/>
                <w:szCs w:val="21"/>
                <w:lang w:eastAsia="zh-CN"/>
              </w:rPr>
            </w:pPr>
            <w:r>
              <w:rPr>
                <w:rFonts w:eastAsia="宋体"/>
                <w:sz w:val="21"/>
                <w:szCs w:val="21"/>
                <w:lang w:eastAsia="zh-CN"/>
              </w:rPr>
              <w:t>/</w:t>
            </w:r>
          </w:p>
        </w:tc>
        <w:tc>
          <w:tcPr>
            <w:tcW w:w="812" w:type="pct"/>
            <w:vMerge w:val="continue"/>
            <w:vAlign w:val="center"/>
          </w:tcPr>
          <w:p w14:paraId="54E04536">
            <w:pPr>
              <w:snapToGrid w:val="0"/>
              <w:spacing w:before="0" w:beforeLines="0" w:line="240" w:lineRule="auto"/>
              <w:jc w:val="center"/>
              <w:rPr>
                <w:szCs w:val="21"/>
              </w:rPr>
            </w:pPr>
          </w:p>
        </w:tc>
      </w:tr>
      <w:tr w14:paraId="5D4D430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14:paraId="249182AE">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7D4F14C4">
            <w:pPr>
              <w:widowControl/>
              <w:snapToGrid w:val="0"/>
              <w:spacing w:before="0" w:beforeLines="0" w:line="240" w:lineRule="auto"/>
              <w:jc w:val="center"/>
              <w:textAlignment w:val="center"/>
              <w:rPr>
                <w:kern w:val="0"/>
                <w:szCs w:val="21"/>
                <w:lang w:bidi="ar"/>
              </w:rPr>
            </w:pPr>
            <w:r>
              <w:rPr>
                <w:rFonts w:hint="eastAsia"/>
                <w:kern w:val="0"/>
                <w:szCs w:val="21"/>
                <w:lang w:bidi="ar"/>
              </w:rPr>
              <w:t>碎石仓</w:t>
            </w:r>
          </w:p>
        </w:tc>
        <w:tc>
          <w:tcPr>
            <w:tcW w:w="426" w:type="pct"/>
            <w:vAlign w:val="center"/>
          </w:tcPr>
          <w:p w14:paraId="5DDC8EF3">
            <w:pPr>
              <w:widowControl/>
              <w:snapToGrid w:val="0"/>
              <w:spacing w:before="0" w:beforeLines="0" w:line="240" w:lineRule="auto"/>
              <w:jc w:val="center"/>
              <w:textAlignment w:val="center"/>
              <w:rPr>
                <w:kern w:val="0"/>
                <w:szCs w:val="21"/>
                <w:lang w:bidi="ar"/>
              </w:rPr>
            </w:pPr>
            <w:r>
              <w:rPr>
                <w:rFonts w:hint="eastAsia"/>
                <w:kern w:val="0"/>
                <w:szCs w:val="21"/>
                <w:lang w:bidi="ar"/>
              </w:rPr>
              <w:t>座</w:t>
            </w:r>
          </w:p>
        </w:tc>
        <w:tc>
          <w:tcPr>
            <w:tcW w:w="511" w:type="pct"/>
            <w:vAlign w:val="center"/>
          </w:tcPr>
          <w:p w14:paraId="7164E1E8">
            <w:pPr>
              <w:widowControl/>
              <w:snapToGrid w:val="0"/>
              <w:spacing w:before="0" w:beforeLines="0" w:line="240" w:lineRule="auto"/>
              <w:jc w:val="center"/>
              <w:textAlignment w:val="center"/>
              <w:rPr>
                <w:kern w:val="0"/>
                <w:szCs w:val="21"/>
                <w:lang w:bidi="ar"/>
              </w:rPr>
            </w:pPr>
            <w:r>
              <w:rPr>
                <w:rFonts w:hint="eastAsia"/>
                <w:kern w:val="0"/>
                <w:szCs w:val="21"/>
                <w:lang w:bidi="ar"/>
              </w:rPr>
              <w:t>3</w:t>
            </w:r>
          </w:p>
        </w:tc>
        <w:tc>
          <w:tcPr>
            <w:tcW w:w="1714" w:type="pct"/>
            <w:vAlign w:val="center"/>
          </w:tcPr>
          <w:p w14:paraId="463B751F">
            <w:pPr>
              <w:pStyle w:val="195"/>
              <w:autoSpaceDE/>
              <w:autoSpaceDN/>
              <w:snapToGrid w:val="0"/>
              <w:rPr>
                <w:rFonts w:eastAsia="宋体"/>
                <w:sz w:val="21"/>
                <w:szCs w:val="21"/>
                <w:lang w:eastAsia="zh-CN"/>
              </w:rPr>
            </w:pPr>
            <w:r>
              <w:rPr>
                <w:rFonts w:hint="eastAsia" w:eastAsia="宋体"/>
                <w:sz w:val="21"/>
                <w:szCs w:val="21"/>
                <w:lang w:eastAsia="zh-CN"/>
              </w:rPr>
              <w:t>Φ10</w:t>
            </w:r>
            <w:r>
              <w:rPr>
                <w:rFonts w:eastAsia="宋体"/>
                <w:sz w:val="21"/>
                <w:szCs w:val="21"/>
                <w:lang w:eastAsia="zh-CN"/>
              </w:rPr>
              <w:t>×12m</w:t>
            </w:r>
          </w:p>
        </w:tc>
        <w:tc>
          <w:tcPr>
            <w:tcW w:w="812" w:type="pct"/>
            <w:vMerge w:val="continue"/>
            <w:vAlign w:val="center"/>
          </w:tcPr>
          <w:p w14:paraId="7208F934">
            <w:pPr>
              <w:snapToGrid w:val="0"/>
              <w:spacing w:before="0" w:beforeLines="0" w:line="240" w:lineRule="auto"/>
              <w:jc w:val="center"/>
              <w:rPr>
                <w:szCs w:val="21"/>
              </w:rPr>
            </w:pPr>
          </w:p>
        </w:tc>
      </w:tr>
      <w:tr w14:paraId="51243F7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14:paraId="1D71B699">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2E76C6A0">
            <w:pPr>
              <w:widowControl/>
              <w:snapToGrid w:val="0"/>
              <w:spacing w:before="0" w:beforeLines="0" w:line="240" w:lineRule="auto"/>
              <w:jc w:val="center"/>
              <w:textAlignment w:val="center"/>
              <w:rPr>
                <w:kern w:val="0"/>
                <w:szCs w:val="21"/>
                <w:lang w:bidi="ar"/>
              </w:rPr>
            </w:pPr>
            <w:r>
              <w:rPr>
                <w:rFonts w:hint="eastAsia"/>
                <w:kern w:val="0"/>
                <w:szCs w:val="21"/>
                <w:lang w:bidi="ar"/>
              </w:rPr>
              <w:t>洒水车</w:t>
            </w:r>
          </w:p>
        </w:tc>
        <w:tc>
          <w:tcPr>
            <w:tcW w:w="426" w:type="pct"/>
            <w:vAlign w:val="center"/>
          </w:tcPr>
          <w:p w14:paraId="1DAEC710">
            <w:pPr>
              <w:widowControl/>
              <w:snapToGrid w:val="0"/>
              <w:spacing w:before="0" w:beforeLines="0" w:line="240" w:lineRule="auto"/>
              <w:jc w:val="center"/>
              <w:textAlignment w:val="center"/>
              <w:rPr>
                <w:kern w:val="0"/>
                <w:szCs w:val="21"/>
                <w:lang w:bidi="ar"/>
              </w:rPr>
            </w:pPr>
            <w:r>
              <w:rPr>
                <w:rFonts w:hint="eastAsia"/>
                <w:kern w:val="0"/>
                <w:szCs w:val="21"/>
                <w:lang w:bidi="ar"/>
              </w:rPr>
              <w:t>台</w:t>
            </w:r>
          </w:p>
        </w:tc>
        <w:tc>
          <w:tcPr>
            <w:tcW w:w="511" w:type="pct"/>
            <w:vAlign w:val="center"/>
          </w:tcPr>
          <w:p w14:paraId="5517699B">
            <w:pPr>
              <w:widowControl/>
              <w:snapToGrid w:val="0"/>
              <w:spacing w:before="0" w:beforeLines="0" w:line="240" w:lineRule="auto"/>
              <w:jc w:val="center"/>
              <w:textAlignment w:val="center"/>
              <w:rPr>
                <w:kern w:val="0"/>
                <w:szCs w:val="21"/>
                <w:lang w:bidi="ar"/>
              </w:rPr>
            </w:pPr>
            <w:r>
              <w:rPr>
                <w:rFonts w:hint="eastAsia"/>
                <w:kern w:val="0"/>
                <w:szCs w:val="21"/>
                <w:lang w:bidi="ar"/>
              </w:rPr>
              <w:t>1</w:t>
            </w:r>
          </w:p>
        </w:tc>
        <w:tc>
          <w:tcPr>
            <w:tcW w:w="1714" w:type="pct"/>
            <w:vAlign w:val="center"/>
          </w:tcPr>
          <w:p w14:paraId="7E3B535E">
            <w:pPr>
              <w:pStyle w:val="195"/>
              <w:autoSpaceDE/>
              <w:autoSpaceDN/>
              <w:snapToGrid w:val="0"/>
              <w:rPr>
                <w:rFonts w:eastAsia="宋体"/>
                <w:sz w:val="21"/>
                <w:szCs w:val="21"/>
                <w:lang w:eastAsia="zh-CN"/>
              </w:rPr>
            </w:pPr>
          </w:p>
        </w:tc>
        <w:tc>
          <w:tcPr>
            <w:tcW w:w="812" w:type="pct"/>
            <w:vMerge w:val="restart"/>
            <w:vAlign w:val="center"/>
          </w:tcPr>
          <w:p w14:paraId="44FA4B36">
            <w:pPr>
              <w:snapToGrid w:val="0"/>
              <w:spacing w:before="0" w:beforeLines="0" w:line="240" w:lineRule="auto"/>
              <w:jc w:val="center"/>
              <w:rPr>
                <w:szCs w:val="21"/>
              </w:rPr>
            </w:pPr>
            <w:r>
              <w:rPr>
                <w:rFonts w:hint="eastAsia"/>
                <w:szCs w:val="21"/>
              </w:rPr>
              <w:t>其他</w:t>
            </w:r>
          </w:p>
        </w:tc>
      </w:tr>
      <w:tr w14:paraId="5FC1722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14:paraId="4F3C31FE">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14:paraId="5356C07A">
            <w:pPr>
              <w:widowControl/>
              <w:snapToGrid w:val="0"/>
              <w:spacing w:before="0" w:beforeLines="0" w:line="240" w:lineRule="auto"/>
              <w:jc w:val="center"/>
              <w:textAlignment w:val="center"/>
              <w:rPr>
                <w:kern w:val="0"/>
                <w:szCs w:val="21"/>
                <w:lang w:bidi="ar"/>
              </w:rPr>
            </w:pPr>
            <w:r>
              <w:rPr>
                <w:rFonts w:hint="eastAsia"/>
                <w:kern w:val="0"/>
                <w:szCs w:val="21"/>
                <w:lang w:bidi="ar"/>
              </w:rPr>
              <w:t>雾炮车</w:t>
            </w:r>
          </w:p>
        </w:tc>
        <w:tc>
          <w:tcPr>
            <w:tcW w:w="426" w:type="pct"/>
            <w:vAlign w:val="center"/>
          </w:tcPr>
          <w:p w14:paraId="4222F50B">
            <w:pPr>
              <w:widowControl/>
              <w:snapToGrid w:val="0"/>
              <w:spacing w:before="0" w:beforeLines="0" w:line="240" w:lineRule="auto"/>
              <w:jc w:val="center"/>
              <w:textAlignment w:val="center"/>
              <w:rPr>
                <w:kern w:val="0"/>
                <w:szCs w:val="21"/>
                <w:lang w:bidi="ar"/>
              </w:rPr>
            </w:pPr>
            <w:r>
              <w:rPr>
                <w:rFonts w:hint="eastAsia"/>
                <w:kern w:val="0"/>
                <w:szCs w:val="21"/>
                <w:lang w:bidi="ar"/>
              </w:rPr>
              <w:t>台</w:t>
            </w:r>
          </w:p>
        </w:tc>
        <w:tc>
          <w:tcPr>
            <w:tcW w:w="511" w:type="pct"/>
            <w:vAlign w:val="center"/>
          </w:tcPr>
          <w:p w14:paraId="521F6FFA">
            <w:pPr>
              <w:widowControl/>
              <w:snapToGrid w:val="0"/>
              <w:spacing w:before="0" w:beforeLines="0" w:line="240" w:lineRule="auto"/>
              <w:jc w:val="center"/>
              <w:textAlignment w:val="center"/>
              <w:rPr>
                <w:kern w:val="0"/>
                <w:szCs w:val="21"/>
                <w:lang w:bidi="ar"/>
              </w:rPr>
            </w:pPr>
            <w:r>
              <w:rPr>
                <w:rFonts w:hint="eastAsia"/>
                <w:kern w:val="0"/>
                <w:szCs w:val="21"/>
                <w:lang w:bidi="ar"/>
              </w:rPr>
              <w:t>3</w:t>
            </w:r>
          </w:p>
        </w:tc>
        <w:tc>
          <w:tcPr>
            <w:tcW w:w="1714" w:type="pct"/>
            <w:vAlign w:val="center"/>
          </w:tcPr>
          <w:p w14:paraId="1B17A084">
            <w:pPr>
              <w:pStyle w:val="195"/>
              <w:autoSpaceDE/>
              <w:autoSpaceDN/>
              <w:snapToGrid w:val="0"/>
              <w:rPr>
                <w:rFonts w:eastAsia="宋体"/>
                <w:sz w:val="21"/>
                <w:szCs w:val="21"/>
                <w:lang w:eastAsia="zh-CN"/>
              </w:rPr>
            </w:pPr>
          </w:p>
        </w:tc>
        <w:tc>
          <w:tcPr>
            <w:tcW w:w="812" w:type="pct"/>
            <w:vMerge w:val="continue"/>
            <w:vAlign w:val="center"/>
          </w:tcPr>
          <w:p w14:paraId="7475A17F">
            <w:pPr>
              <w:snapToGrid w:val="0"/>
              <w:spacing w:before="0" w:beforeLines="0" w:line="240" w:lineRule="auto"/>
              <w:jc w:val="center"/>
              <w:rPr>
                <w:szCs w:val="21"/>
              </w:rPr>
            </w:pPr>
          </w:p>
        </w:tc>
      </w:tr>
      <w:bookmarkEnd w:id="90"/>
    </w:tbl>
    <w:p w14:paraId="75115D92">
      <w:pPr>
        <w:pStyle w:val="5"/>
        <w:spacing w:line="360" w:lineRule="auto"/>
        <w:rPr>
          <w:color w:val="auto"/>
        </w:rPr>
      </w:pPr>
      <w:r>
        <w:rPr>
          <w:color w:val="auto"/>
        </w:rPr>
        <w:t>3.</w:t>
      </w:r>
      <w:r>
        <w:rPr>
          <w:rFonts w:hint="eastAsia"/>
          <w:color w:val="auto"/>
        </w:rPr>
        <w:t>1</w:t>
      </w:r>
      <w:r>
        <w:rPr>
          <w:color w:val="auto"/>
        </w:rPr>
        <w:t>.</w:t>
      </w:r>
      <w:r>
        <w:rPr>
          <w:rFonts w:hint="eastAsia"/>
          <w:color w:val="auto"/>
        </w:rPr>
        <w:t>4主要</w:t>
      </w:r>
      <w:r>
        <w:rPr>
          <w:color w:val="auto"/>
        </w:rPr>
        <w:t>原辅材料</w:t>
      </w:r>
    </w:p>
    <w:p w14:paraId="363FB183">
      <w:pPr>
        <w:pStyle w:val="135"/>
        <w:snapToGrid w:val="0"/>
        <w:spacing w:before="78" w:line="360" w:lineRule="auto"/>
        <w:jc w:val="left"/>
        <w:rPr>
          <w:b/>
          <w:bCs/>
          <w:kern w:val="0"/>
          <w:sz w:val="24"/>
          <w:szCs w:val="24"/>
        </w:rPr>
      </w:pPr>
      <w:r>
        <w:rPr>
          <w:rFonts w:hint="eastAsia"/>
          <w:b/>
          <w:bCs/>
          <w:kern w:val="0"/>
          <w:sz w:val="24"/>
          <w:szCs w:val="24"/>
        </w:rPr>
        <w:t>（1）原料及能源消耗</w:t>
      </w:r>
    </w:p>
    <w:p w14:paraId="4489B1A7">
      <w:pPr>
        <w:spacing w:before="0" w:beforeLines="0" w:line="360" w:lineRule="auto"/>
        <w:ind w:firstLine="480" w:firstLineChars="200"/>
        <w:rPr>
          <w:sz w:val="24"/>
        </w:rPr>
      </w:pPr>
      <w:r>
        <w:rPr>
          <w:rFonts w:hint="eastAsia"/>
          <w:sz w:val="24"/>
        </w:rPr>
        <w:t>本项目主要原料为铁矿开采过程产生的尾矿及废石，根据</w:t>
      </w:r>
      <w:r>
        <w:rPr>
          <w:sz w:val="24"/>
        </w:rPr>
        <w:t>《固体废物分类与代码目录》（生态环境部公告2024年第4号）</w:t>
      </w:r>
      <w:r>
        <w:rPr>
          <w:rFonts w:hint="eastAsia"/>
          <w:sz w:val="24"/>
        </w:rPr>
        <w:t>，尾矿固废代码为081-001-S05，废石固废代码为900-099-S59。</w:t>
      </w:r>
      <w:r>
        <w:rPr>
          <w:sz w:val="24"/>
        </w:rPr>
        <w:t>本项目主要原辅材料用量见表3.</w:t>
      </w:r>
      <w:r>
        <w:rPr>
          <w:rFonts w:hint="eastAsia"/>
          <w:sz w:val="24"/>
        </w:rPr>
        <w:t>1</w:t>
      </w:r>
      <w:r>
        <w:rPr>
          <w:sz w:val="24"/>
        </w:rPr>
        <w:t>-</w:t>
      </w:r>
      <w:r>
        <w:rPr>
          <w:rFonts w:hint="eastAsia"/>
          <w:sz w:val="24"/>
        </w:rPr>
        <w:t>4</w:t>
      </w:r>
      <w:r>
        <w:rPr>
          <w:sz w:val="24"/>
        </w:rPr>
        <w:t>。</w:t>
      </w:r>
    </w:p>
    <w:p w14:paraId="71711CF2">
      <w:pPr>
        <w:pStyle w:val="216"/>
        <w:spacing w:before="78"/>
        <w:jc w:val="center"/>
        <w:rPr>
          <w:rFonts w:eastAsia="宋体"/>
        </w:rPr>
      </w:pPr>
      <w:r>
        <w:rPr>
          <w:rFonts w:eastAsia="宋体"/>
        </w:rPr>
        <w:t>表3.</w:t>
      </w:r>
      <w:r>
        <w:rPr>
          <w:rFonts w:hint="eastAsia" w:eastAsia="宋体"/>
        </w:rPr>
        <w:t>1</w:t>
      </w:r>
      <w:r>
        <w:rPr>
          <w:rFonts w:eastAsia="宋体"/>
        </w:rPr>
        <w:t>-</w:t>
      </w:r>
      <w:r>
        <w:rPr>
          <w:rFonts w:hint="eastAsia" w:eastAsia="宋体"/>
        </w:rPr>
        <w:t xml:space="preserve">4     </w:t>
      </w:r>
      <w:r>
        <w:rPr>
          <w:rFonts w:eastAsia="宋体"/>
        </w:rPr>
        <w:t xml:space="preserve"> 本项目</w:t>
      </w:r>
      <w:r>
        <w:rPr>
          <w:rFonts w:hint="eastAsia" w:eastAsia="宋体"/>
        </w:rPr>
        <w:t>原辅料及能源消耗表</w:t>
      </w:r>
    </w:p>
    <w:tbl>
      <w:tblPr>
        <w:tblStyle w:val="89"/>
        <w:tblW w:w="508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29"/>
        <w:gridCol w:w="1571"/>
        <w:gridCol w:w="1389"/>
        <w:gridCol w:w="1626"/>
        <w:gridCol w:w="2930"/>
      </w:tblGrid>
      <w:tr w14:paraId="73EF1C3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929" w:type="dxa"/>
            <w:vMerge w:val="restart"/>
            <w:vAlign w:val="center"/>
          </w:tcPr>
          <w:p w14:paraId="1B70627B">
            <w:pPr>
              <w:tabs>
                <w:tab w:val="left" w:pos="3255"/>
              </w:tabs>
              <w:spacing w:before="0" w:beforeLines="0" w:line="240" w:lineRule="auto"/>
              <w:jc w:val="center"/>
              <w:rPr>
                <w:bCs/>
                <w:szCs w:val="21"/>
              </w:rPr>
            </w:pPr>
            <w:r>
              <w:rPr>
                <w:bCs/>
                <w:szCs w:val="21"/>
              </w:rPr>
              <w:t>类别</w:t>
            </w:r>
          </w:p>
        </w:tc>
        <w:tc>
          <w:tcPr>
            <w:tcW w:w="1571" w:type="dxa"/>
            <w:vMerge w:val="restart"/>
            <w:vAlign w:val="center"/>
          </w:tcPr>
          <w:p w14:paraId="417ED82F">
            <w:pPr>
              <w:tabs>
                <w:tab w:val="left" w:pos="3255"/>
              </w:tabs>
              <w:spacing w:before="0" w:beforeLines="0" w:line="240" w:lineRule="auto"/>
              <w:jc w:val="center"/>
              <w:rPr>
                <w:bCs/>
                <w:szCs w:val="21"/>
              </w:rPr>
            </w:pPr>
            <w:r>
              <w:rPr>
                <w:bCs/>
                <w:szCs w:val="21"/>
              </w:rPr>
              <w:t>名称</w:t>
            </w:r>
          </w:p>
        </w:tc>
        <w:tc>
          <w:tcPr>
            <w:tcW w:w="3015" w:type="dxa"/>
            <w:gridSpan w:val="2"/>
            <w:vAlign w:val="center"/>
          </w:tcPr>
          <w:p w14:paraId="3A385233">
            <w:pPr>
              <w:tabs>
                <w:tab w:val="left" w:pos="3255"/>
              </w:tabs>
              <w:spacing w:before="0" w:beforeLines="0" w:line="240" w:lineRule="auto"/>
              <w:jc w:val="center"/>
              <w:rPr>
                <w:bCs/>
                <w:szCs w:val="21"/>
              </w:rPr>
            </w:pPr>
            <w:r>
              <w:rPr>
                <w:bCs/>
                <w:szCs w:val="21"/>
              </w:rPr>
              <w:t>全厂年总消耗量</w:t>
            </w:r>
          </w:p>
        </w:tc>
        <w:tc>
          <w:tcPr>
            <w:tcW w:w="2930" w:type="dxa"/>
            <w:vMerge w:val="restart"/>
            <w:vAlign w:val="center"/>
          </w:tcPr>
          <w:p w14:paraId="1DB6412D">
            <w:pPr>
              <w:tabs>
                <w:tab w:val="left" w:pos="3255"/>
              </w:tabs>
              <w:spacing w:before="0" w:beforeLines="0" w:line="240" w:lineRule="auto"/>
              <w:jc w:val="center"/>
              <w:rPr>
                <w:bCs/>
                <w:szCs w:val="21"/>
              </w:rPr>
            </w:pPr>
            <w:r>
              <w:rPr>
                <w:bCs/>
                <w:szCs w:val="21"/>
              </w:rPr>
              <w:t>来源</w:t>
            </w:r>
          </w:p>
        </w:tc>
      </w:tr>
      <w:tr w14:paraId="27F91DD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929" w:type="dxa"/>
            <w:vMerge w:val="continue"/>
            <w:vAlign w:val="center"/>
          </w:tcPr>
          <w:p w14:paraId="371B0F2D">
            <w:pPr>
              <w:tabs>
                <w:tab w:val="left" w:pos="3255"/>
              </w:tabs>
              <w:spacing w:before="0" w:beforeLines="0" w:line="240" w:lineRule="auto"/>
              <w:jc w:val="center"/>
              <w:rPr>
                <w:bCs/>
                <w:szCs w:val="21"/>
              </w:rPr>
            </w:pPr>
          </w:p>
        </w:tc>
        <w:tc>
          <w:tcPr>
            <w:tcW w:w="1571" w:type="dxa"/>
            <w:vMerge w:val="continue"/>
            <w:vAlign w:val="center"/>
          </w:tcPr>
          <w:p w14:paraId="2422020C">
            <w:pPr>
              <w:tabs>
                <w:tab w:val="left" w:pos="3255"/>
              </w:tabs>
              <w:spacing w:before="0" w:beforeLines="0" w:line="240" w:lineRule="auto"/>
              <w:jc w:val="center"/>
              <w:rPr>
                <w:bCs/>
                <w:szCs w:val="21"/>
              </w:rPr>
            </w:pPr>
          </w:p>
        </w:tc>
        <w:tc>
          <w:tcPr>
            <w:tcW w:w="1389" w:type="dxa"/>
            <w:vAlign w:val="center"/>
          </w:tcPr>
          <w:p w14:paraId="47B551E3">
            <w:pPr>
              <w:tabs>
                <w:tab w:val="left" w:pos="3255"/>
              </w:tabs>
              <w:spacing w:before="0" w:beforeLines="0" w:line="240" w:lineRule="auto"/>
              <w:jc w:val="center"/>
              <w:rPr>
                <w:bCs/>
                <w:szCs w:val="21"/>
              </w:rPr>
            </w:pPr>
            <w:r>
              <w:rPr>
                <w:bCs/>
                <w:szCs w:val="21"/>
              </w:rPr>
              <w:t>单位</w:t>
            </w:r>
          </w:p>
        </w:tc>
        <w:tc>
          <w:tcPr>
            <w:tcW w:w="1626" w:type="dxa"/>
            <w:vAlign w:val="center"/>
          </w:tcPr>
          <w:p w14:paraId="12134EE7">
            <w:pPr>
              <w:tabs>
                <w:tab w:val="left" w:pos="3255"/>
              </w:tabs>
              <w:spacing w:before="0" w:beforeLines="0" w:line="240" w:lineRule="auto"/>
              <w:jc w:val="center"/>
              <w:rPr>
                <w:bCs/>
                <w:szCs w:val="21"/>
              </w:rPr>
            </w:pPr>
            <w:r>
              <w:rPr>
                <w:bCs/>
                <w:szCs w:val="21"/>
              </w:rPr>
              <w:t>数量</w:t>
            </w:r>
          </w:p>
        </w:tc>
        <w:tc>
          <w:tcPr>
            <w:tcW w:w="2930" w:type="dxa"/>
            <w:vMerge w:val="continue"/>
            <w:vAlign w:val="center"/>
          </w:tcPr>
          <w:p w14:paraId="09C6BACE">
            <w:pPr>
              <w:tabs>
                <w:tab w:val="left" w:pos="3255"/>
              </w:tabs>
              <w:spacing w:before="0" w:beforeLines="0" w:line="240" w:lineRule="auto"/>
              <w:jc w:val="center"/>
              <w:rPr>
                <w:bCs/>
                <w:szCs w:val="21"/>
              </w:rPr>
            </w:pPr>
          </w:p>
        </w:tc>
      </w:tr>
      <w:tr w14:paraId="454006C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929" w:type="dxa"/>
            <w:vMerge w:val="restart"/>
            <w:vAlign w:val="center"/>
          </w:tcPr>
          <w:p w14:paraId="1AFBADDC">
            <w:pPr>
              <w:spacing w:before="0" w:beforeLines="0" w:line="240" w:lineRule="auto"/>
              <w:jc w:val="center"/>
              <w:rPr>
                <w:szCs w:val="21"/>
              </w:rPr>
            </w:pPr>
            <w:r>
              <w:rPr>
                <w:szCs w:val="21"/>
              </w:rPr>
              <w:t>原辅料</w:t>
            </w:r>
          </w:p>
        </w:tc>
        <w:tc>
          <w:tcPr>
            <w:tcW w:w="1571" w:type="dxa"/>
            <w:vAlign w:val="center"/>
          </w:tcPr>
          <w:p w14:paraId="44498D17">
            <w:pPr>
              <w:spacing w:before="0" w:beforeLines="0" w:line="240" w:lineRule="auto"/>
              <w:jc w:val="center"/>
              <w:rPr>
                <w:szCs w:val="21"/>
              </w:rPr>
            </w:pPr>
            <w:r>
              <w:rPr>
                <w:szCs w:val="21"/>
              </w:rPr>
              <w:t>尾矿</w:t>
            </w:r>
            <w:r>
              <w:rPr>
                <w:rFonts w:hint="eastAsia"/>
                <w:szCs w:val="21"/>
              </w:rPr>
              <w:t>及废石</w:t>
            </w:r>
          </w:p>
        </w:tc>
        <w:tc>
          <w:tcPr>
            <w:tcW w:w="1389" w:type="dxa"/>
            <w:vAlign w:val="center"/>
          </w:tcPr>
          <w:p w14:paraId="54B67FB9">
            <w:pPr>
              <w:tabs>
                <w:tab w:val="left" w:pos="3255"/>
              </w:tabs>
              <w:spacing w:before="0" w:beforeLines="0" w:line="240" w:lineRule="auto"/>
              <w:jc w:val="center"/>
              <w:rPr>
                <w:szCs w:val="21"/>
              </w:rPr>
            </w:pPr>
            <w:r>
              <w:rPr>
                <w:szCs w:val="21"/>
              </w:rPr>
              <w:t>万t/a</w:t>
            </w:r>
          </w:p>
        </w:tc>
        <w:tc>
          <w:tcPr>
            <w:tcW w:w="1626" w:type="dxa"/>
            <w:vAlign w:val="center"/>
          </w:tcPr>
          <w:p w14:paraId="784ECA46">
            <w:pPr>
              <w:spacing w:before="0" w:beforeLines="0" w:line="240" w:lineRule="auto"/>
              <w:jc w:val="center"/>
              <w:rPr>
                <w:szCs w:val="21"/>
              </w:rPr>
            </w:pPr>
            <w:r>
              <w:rPr>
                <w:rFonts w:hint="eastAsia"/>
                <w:szCs w:val="21"/>
              </w:rPr>
              <w:t>300</w:t>
            </w:r>
          </w:p>
        </w:tc>
        <w:tc>
          <w:tcPr>
            <w:tcW w:w="2930" w:type="dxa"/>
            <w:vAlign w:val="center"/>
          </w:tcPr>
          <w:p w14:paraId="01B2D91E">
            <w:pPr>
              <w:spacing w:before="0" w:beforeLines="0" w:line="240" w:lineRule="auto"/>
              <w:jc w:val="center"/>
              <w:rPr>
                <w:szCs w:val="21"/>
              </w:rPr>
            </w:pPr>
            <w:r>
              <w:rPr>
                <w:szCs w:val="21"/>
              </w:rPr>
              <w:t>亿升达尾矿</w:t>
            </w:r>
            <w:r>
              <w:rPr>
                <w:rFonts w:hint="eastAsia"/>
                <w:szCs w:val="21"/>
              </w:rPr>
              <w:t>及废石</w:t>
            </w:r>
          </w:p>
        </w:tc>
      </w:tr>
      <w:tr w14:paraId="642E05A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929" w:type="dxa"/>
            <w:vMerge w:val="continue"/>
            <w:vAlign w:val="center"/>
          </w:tcPr>
          <w:p w14:paraId="4450C095">
            <w:pPr>
              <w:tabs>
                <w:tab w:val="left" w:pos="3255"/>
              </w:tabs>
              <w:spacing w:before="0" w:beforeLines="0" w:line="240" w:lineRule="auto"/>
              <w:jc w:val="center"/>
              <w:rPr>
                <w:bCs/>
                <w:szCs w:val="21"/>
              </w:rPr>
            </w:pPr>
          </w:p>
        </w:tc>
        <w:tc>
          <w:tcPr>
            <w:tcW w:w="1571" w:type="dxa"/>
            <w:vAlign w:val="center"/>
          </w:tcPr>
          <w:p w14:paraId="68F8FF20">
            <w:pPr>
              <w:tabs>
                <w:tab w:val="left" w:pos="3255"/>
              </w:tabs>
              <w:spacing w:before="0" w:beforeLines="0" w:line="240" w:lineRule="auto"/>
              <w:jc w:val="center"/>
              <w:rPr>
                <w:bCs/>
                <w:szCs w:val="21"/>
              </w:rPr>
            </w:pPr>
            <w:r>
              <w:rPr>
                <w:bCs/>
                <w:szCs w:val="21"/>
              </w:rPr>
              <w:t>铁球</w:t>
            </w:r>
          </w:p>
        </w:tc>
        <w:tc>
          <w:tcPr>
            <w:tcW w:w="1389" w:type="dxa"/>
            <w:vAlign w:val="center"/>
          </w:tcPr>
          <w:p w14:paraId="33605727">
            <w:pPr>
              <w:tabs>
                <w:tab w:val="left" w:pos="3255"/>
              </w:tabs>
              <w:spacing w:before="0" w:beforeLines="0" w:line="240" w:lineRule="auto"/>
              <w:jc w:val="center"/>
              <w:rPr>
                <w:szCs w:val="21"/>
              </w:rPr>
            </w:pPr>
            <w:r>
              <w:rPr>
                <w:szCs w:val="21"/>
              </w:rPr>
              <w:t>t/a</w:t>
            </w:r>
          </w:p>
        </w:tc>
        <w:tc>
          <w:tcPr>
            <w:tcW w:w="1626" w:type="dxa"/>
            <w:vAlign w:val="center"/>
          </w:tcPr>
          <w:p w14:paraId="11FC358F">
            <w:pPr>
              <w:tabs>
                <w:tab w:val="left" w:pos="3255"/>
              </w:tabs>
              <w:spacing w:before="0" w:beforeLines="0" w:line="240" w:lineRule="auto"/>
              <w:jc w:val="center"/>
              <w:rPr>
                <w:szCs w:val="21"/>
              </w:rPr>
            </w:pPr>
            <w:r>
              <w:rPr>
                <w:rFonts w:hint="eastAsia"/>
                <w:szCs w:val="21"/>
              </w:rPr>
              <w:t>260</w:t>
            </w:r>
          </w:p>
        </w:tc>
        <w:tc>
          <w:tcPr>
            <w:tcW w:w="2930" w:type="dxa"/>
            <w:vAlign w:val="center"/>
          </w:tcPr>
          <w:p w14:paraId="139F5FE1">
            <w:pPr>
              <w:spacing w:before="0" w:beforeLines="0" w:line="240" w:lineRule="auto"/>
              <w:jc w:val="center"/>
              <w:rPr>
                <w:szCs w:val="21"/>
              </w:rPr>
            </w:pPr>
            <w:r>
              <w:rPr>
                <w:rFonts w:hint="eastAsia"/>
                <w:szCs w:val="21"/>
              </w:rPr>
              <w:t>随用随</w:t>
            </w:r>
            <w:r>
              <w:rPr>
                <w:rFonts w:hint="eastAsia"/>
                <w:szCs w:val="21"/>
                <w:lang w:val="en-US" w:eastAsia="zh-CN"/>
              </w:rPr>
              <w:t>购</w:t>
            </w:r>
            <w:r>
              <w:rPr>
                <w:rFonts w:hint="eastAsia"/>
                <w:szCs w:val="21"/>
              </w:rPr>
              <w:t>，不储存</w:t>
            </w:r>
          </w:p>
        </w:tc>
      </w:tr>
      <w:tr w14:paraId="2C03AF0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929" w:type="dxa"/>
            <w:vMerge w:val="continue"/>
            <w:tcBorders>
              <w:bottom w:val="single" w:color="auto" w:sz="4" w:space="0"/>
            </w:tcBorders>
            <w:vAlign w:val="center"/>
          </w:tcPr>
          <w:p w14:paraId="60EE9E74">
            <w:pPr>
              <w:tabs>
                <w:tab w:val="left" w:pos="3255"/>
              </w:tabs>
              <w:spacing w:before="0" w:beforeLines="0" w:line="240" w:lineRule="auto"/>
              <w:jc w:val="center"/>
              <w:rPr>
                <w:bCs/>
                <w:szCs w:val="21"/>
              </w:rPr>
            </w:pPr>
          </w:p>
        </w:tc>
        <w:tc>
          <w:tcPr>
            <w:tcW w:w="1571" w:type="dxa"/>
            <w:tcBorders>
              <w:bottom w:val="single" w:color="auto" w:sz="4" w:space="0"/>
            </w:tcBorders>
            <w:vAlign w:val="center"/>
          </w:tcPr>
          <w:p w14:paraId="3D41B17E">
            <w:pPr>
              <w:tabs>
                <w:tab w:val="left" w:pos="3255"/>
              </w:tabs>
              <w:spacing w:before="0" w:beforeLines="0" w:line="240" w:lineRule="auto"/>
              <w:jc w:val="center"/>
              <w:rPr>
                <w:bCs/>
                <w:szCs w:val="21"/>
              </w:rPr>
            </w:pPr>
            <w:r>
              <w:rPr>
                <w:rFonts w:hint="eastAsia"/>
                <w:bCs/>
                <w:szCs w:val="21"/>
              </w:rPr>
              <w:t>机油</w:t>
            </w:r>
          </w:p>
        </w:tc>
        <w:tc>
          <w:tcPr>
            <w:tcW w:w="1389" w:type="dxa"/>
            <w:vAlign w:val="center"/>
          </w:tcPr>
          <w:p w14:paraId="1C42F116">
            <w:pPr>
              <w:tabs>
                <w:tab w:val="left" w:pos="3255"/>
              </w:tabs>
              <w:spacing w:before="0" w:beforeLines="0" w:line="240" w:lineRule="auto"/>
              <w:jc w:val="center"/>
              <w:rPr>
                <w:szCs w:val="21"/>
              </w:rPr>
            </w:pPr>
            <w:r>
              <w:rPr>
                <w:szCs w:val="21"/>
              </w:rPr>
              <w:t>t/a</w:t>
            </w:r>
          </w:p>
        </w:tc>
        <w:tc>
          <w:tcPr>
            <w:tcW w:w="1626" w:type="dxa"/>
            <w:vAlign w:val="center"/>
          </w:tcPr>
          <w:p w14:paraId="4F27A951">
            <w:pPr>
              <w:tabs>
                <w:tab w:val="left" w:pos="3255"/>
              </w:tabs>
              <w:spacing w:before="0" w:beforeLines="0" w:line="240" w:lineRule="auto"/>
              <w:jc w:val="center"/>
              <w:rPr>
                <w:szCs w:val="21"/>
              </w:rPr>
            </w:pPr>
            <w:r>
              <w:rPr>
                <w:rFonts w:hint="eastAsia"/>
                <w:szCs w:val="21"/>
              </w:rPr>
              <w:t>2.0</w:t>
            </w:r>
          </w:p>
        </w:tc>
        <w:tc>
          <w:tcPr>
            <w:tcW w:w="2930" w:type="dxa"/>
            <w:vAlign w:val="center"/>
          </w:tcPr>
          <w:p w14:paraId="3F97577A">
            <w:pPr>
              <w:spacing w:before="0" w:beforeLines="0" w:line="240" w:lineRule="auto"/>
              <w:jc w:val="center"/>
              <w:rPr>
                <w:szCs w:val="21"/>
              </w:rPr>
            </w:pPr>
            <w:r>
              <w:rPr>
                <w:rFonts w:hint="eastAsia"/>
                <w:szCs w:val="21"/>
              </w:rPr>
              <w:t>随用随</w:t>
            </w:r>
            <w:r>
              <w:rPr>
                <w:rFonts w:hint="eastAsia"/>
                <w:szCs w:val="21"/>
                <w:lang w:val="en-US" w:eastAsia="zh-CN"/>
              </w:rPr>
              <w:t>购</w:t>
            </w:r>
            <w:r>
              <w:rPr>
                <w:rFonts w:hint="eastAsia"/>
                <w:szCs w:val="21"/>
              </w:rPr>
              <w:t>，不储存</w:t>
            </w:r>
          </w:p>
        </w:tc>
      </w:tr>
      <w:tr w14:paraId="58CDEBF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929" w:type="dxa"/>
            <w:vMerge w:val="restart"/>
            <w:tcBorders>
              <w:top w:val="single" w:color="auto" w:sz="4" w:space="0"/>
            </w:tcBorders>
            <w:vAlign w:val="center"/>
          </w:tcPr>
          <w:p w14:paraId="549C3D2C">
            <w:pPr>
              <w:tabs>
                <w:tab w:val="left" w:pos="3255"/>
              </w:tabs>
              <w:spacing w:before="78" w:line="240" w:lineRule="auto"/>
              <w:jc w:val="center"/>
              <w:rPr>
                <w:bCs/>
                <w:szCs w:val="21"/>
              </w:rPr>
            </w:pPr>
            <w:r>
              <w:rPr>
                <w:rFonts w:hint="eastAsia"/>
                <w:bCs/>
                <w:szCs w:val="21"/>
              </w:rPr>
              <w:t>能源</w:t>
            </w:r>
          </w:p>
        </w:tc>
        <w:tc>
          <w:tcPr>
            <w:tcW w:w="1571" w:type="dxa"/>
            <w:tcBorders>
              <w:top w:val="single" w:color="auto" w:sz="4" w:space="0"/>
            </w:tcBorders>
            <w:vAlign w:val="center"/>
          </w:tcPr>
          <w:p w14:paraId="08E3A8D7">
            <w:pPr>
              <w:tabs>
                <w:tab w:val="left" w:pos="3255"/>
              </w:tabs>
              <w:spacing w:before="0" w:beforeLines="0" w:line="240" w:lineRule="auto"/>
              <w:jc w:val="center"/>
              <w:rPr>
                <w:bCs/>
                <w:szCs w:val="21"/>
              </w:rPr>
            </w:pPr>
            <w:r>
              <w:rPr>
                <w:bCs/>
                <w:szCs w:val="21"/>
              </w:rPr>
              <w:t>电</w:t>
            </w:r>
          </w:p>
        </w:tc>
        <w:tc>
          <w:tcPr>
            <w:tcW w:w="1389" w:type="dxa"/>
            <w:vAlign w:val="center"/>
          </w:tcPr>
          <w:p w14:paraId="20D0EA24">
            <w:pPr>
              <w:spacing w:before="0" w:beforeLines="0" w:line="240" w:lineRule="auto"/>
              <w:jc w:val="center"/>
              <w:rPr>
                <w:szCs w:val="21"/>
              </w:rPr>
            </w:pPr>
            <w:r>
              <w:rPr>
                <w:bCs/>
                <w:szCs w:val="21"/>
              </w:rPr>
              <w:t>万kWh</w:t>
            </w:r>
            <w:r>
              <w:rPr>
                <w:szCs w:val="21"/>
              </w:rPr>
              <w:t>/a</w:t>
            </w:r>
          </w:p>
        </w:tc>
        <w:tc>
          <w:tcPr>
            <w:tcW w:w="1626" w:type="dxa"/>
            <w:vAlign w:val="center"/>
          </w:tcPr>
          <w:p w14:paraId="09B33D19">
            <w:pPr>
              <w:pStyle w:val="210"/>
              <w:spacing w:before="0"/>
              <w:rPr>
                <w:szCs w:val="21"/>
              </w:rPr>
            </w:pPr>
            <w:r>
              <w:rPr>
                <w:rFonts w:hint="eastAsia"/>
                <w:szCs w:val="21"/>
              </w:rPr>
              <w:t>396</w:t>
            </w:r>
            <w:r>
              <w:rPr>
                <w:szCs w:val="21"/>
              </w:rPr>
              <w:t>0</w:t>
            </w:r>
          </w:p>
        </w:tc>
        <w:tc>
          <w:tcPr>
            <w:tcW w:w="2930" w:type="dxa"/>
            <w:vAlign w:val="center"/>
          </w:tcPr>
          <w:p w14:paraId="3C3BAFA4">
            <w:pPr>
              <w:spacing w:before="0" w:beforeLines="0" w:line="240" w:lineRule="auto"/>
              <w:jc w:val="center"/>
              <w:rPr>
                <w:szCs w:val="21"/>
              </w:rPr>
            </w:pPr>
            <w:r>
              <w:rPr>
                <w:rFonts w:hint="eastAsia"/>
                <w:szCs w:val="21"/>
              </w:rPr>
              <w:t>旧庙镇供电公司</w:t>
            </w:r>
          </w:p>
        </w:tc>
      </w:tr>
      <w:tr w14:paraId="6104826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929" w:type="dxa"/>
            <w:vMerge w:val="continue"/>
            <w:vAlign w:val="center"/>
          </w:tcPr>
          <w:p w14:paraId="6EE21DD9">
            <w:pPr>
              <w:tabs>
                <w:tab w:val="left" w:pos="3255"/>
              </w:tabs>
              <w:spacing w:before="0" w:beforeLines="0" w:line="240" w:lineRule="auto"/>
              <w:jc w:val="center"/>
              <w:rPr>
                <w:bCs/>
                <w:szCs w:val="21"/>
              </w:rPr>
            </w:pPr>
          </w:p>
        </w:tc>
        <w:tc>
          <w:tcPr>
            <w:tcW w:w="1571" w:type="dxa"/>
            <w:vAlign w:val="center"/>
          </w:tcPr>
          <w:p w14:paraId="739FF3BB">
            <w:pPr>
              <w:tabs>
                <w:tab w:val="left" w:pos="3255"/>
              </w:tabs>
              <w:spacing w:before="0" w:beforeLines="0" w:line="240" w:lineRule="auto"/>
              <w:jc w:val="center"/>
              <w:rPr>
                <w:bCs/>
                <w:szCs w:val="21"/>
              </w:rPr>
            </w:pPr>
            <w:r>
              <w:rPr>
                <w:bCs/>
                <w:szCs w:val="21"/>
              </w:rPr>
              <w:t>水</w:t>
            </w:r>
          </w:p>
        </w:tc>
        <w:tc>
          <w:tcPr>
            <w:tcW w:w="1389" w:type="dxa"/>
            <w:vAlign w:val="center"/>
          </w:tcPr>
          <w:p w14:paraId="5A564E55">
            <w:pPr>
              <w:tabs>
                <w:tab w:val="left" w:pos="3255"/>
              </w:tabs>
              <w:spacing w:before="0" w:beforeLines="0" w:line="240" w:lineRule="auto"/>
              <w:jc w:val="center"/>
              <w:rPr>
                <w:bCs/>
                <w:szCs w:val="21"/>
              </w:rPr>
            </w:pPr>
            <w:r>
              <w:rPr>
                <w:bCs/>
                <w:szCs w:val="21"/>
              </w:rPr>
              <w:t>t/a</w:t>
            </w:r>
          </w:p>
        </w:tc>
        <w:tc>
          <w:tcPr>
            <w:tcW w:w="1626" w:type="dxa"/>
            <w:vAlign w:val="center"/>
          </w:tcPr>
          <w:p w14:paraId="3C080765">
            <w:pPr>
              <w:tabs>
                <w:tab w:val="left" w:pos="3255"/>
              </w:tabs>
              <w:spacing w:before="0" w:beforeLines="0" w:line="240" w:lineRule="auto"/>
              <w:jc w:val="center"/>
              <w:rPr>
                <w:bCs/>
                <w:szCs w:val="21"/>
              </w:rPr>
            </w:pPr>
            <w:r>
              <w:rPr>
                <w:rFonts w:hint="eastAsia"/>
                <w:kern w:val="0"/>
                <w:szCs w:val="21"/>
                <w:lang w:bidi="ar"/>
              </w:rPr>
              <w:t>152370</w:t>
            </w:r>
          </w:p>
        </w:tc>
        <w:tc>
          <w:tcPr>
            <w:tcW w:w="2930" w:type="dxa"/>
            <w:vAlign w:val="center"/>
          </w:tcPr>
          <w:p w14:paraId="1B10727A">
            <w:pPr>
              <w:tabs>
                <w:tab w:val="left" w:pos="3255"/>
              </w:tabs>
              <w:spacing w:before="0" w:beforeLines="0" w:line="240" w:lineRule="auto"/>
              <w:jc w:val="center"/>
              <w:rPr>
                <w:bCs/>
                <w:szCs w:val="21"/>
              </w:rPr>
            </w:pPr>
            <w:r>
              <w:rPr>
                <w:rFonts w:hint="eastAsia"/>
                <w:bCs/>
                <w:szCs w:val="21"/>
              </w:rPr>
              <w:t>依托辽宁鑫岳矿业有限公司</w:t>
            </w:r>
          </w:p>
        </w:tc>
      </w:tr>
    </w:tbl>
    <w:p w14:paraId="66CAB2E2">
      <w:pPr>
        <w:pStyle w:val="135"/>
        <w:snapToGrid w:val="0"/>
        <w:spacing w:before="78" w:line="360" w:lineRule="auto"/>
        <w:jc w:val="left"/>
        <w:rPr>
          <w:b/>
          <w:bCs/>
          <w:kern w:val="0"/>
          <w:sz w:val="24"/>
          <w:szCs w:val="24"/>
        </w:rPr>
      </w:pPr>
      <w:r>
        <w:rPr>
          <w:rFonts w:hint="eastAsia"/>
          <w:b/>
          <w:bCs/>
          <w:kern w:val="0"/>
          <w:sz w:val="24"/>
          <w:szCs w:val="24"/>
        </w:rPr>
        <w:t>（2）</w:t>
      </w:r>
      <w:r>
        <w:rPr>
          <w:b/>
          <w:bCs/>
          <w:kern w:val="0"/>
          <w:sz w:val="24"/>
          <w:szCs w:val="24"/>
        </w:rPr>
        <w:t>原料</w:t>
      </w:r>
      <w:r>
        <w:rPr>
          <w:rFonts w:hint="eastAsia"/>
          <w:b/>
          <w:bCs/>
          <w:kern w:val="0"/>
          <w:sz w:val="24"/>
          <w:szCs w:val="24"/>
        </w:rPr>
        <w:t>来源及</w:t>
      </w:r>
      <w:r>
        <w:rPr>
          <w:b/>
          <w:bCs/>
          <w:kern w:val="0"/>
          <w:sz w:val="24"/>
          <w:szCs w:val="24"/>
        </w:rPr>
        <w:t>堆存情况</w:t>
      </w:r>
    </w:p>
    <w:p w14:paraId="23DAD2DD">
      <w:pPr>
        <w:spacing w:before="0" w:beforeLines="0" w:line="360" w:lineRule="auto"/>
        <w:ind w:firstLine="480" w:firstLineChars="200"/>
        <w:rPr>
          <w:sz w:val="24"/>
        </w:rPr>
      </w:pPr>
      <w:r>
        <w:rPr>
          <w:rFonts w:hint="eastAsia"/>
          <w:sz w:val="24"/>
        </w:rPr>
        <w:t>本项目租用阜新亿升达铁选厂用地，对亿升达铁选厂的废石及尾矿进行综合利用。目前废石和尾矿均堆存于亿升达铁选厂现有矿区范围内（历史遗留，已堆存多年，无环保手续），堆存区域距离本项目厂区较近，因此</w:t>
      </w:r>
      <w:bookmarkStart w:id="91" w:name="_Hlk194854555"/>
      <w:r>
        <w:rPr>
          <w:rFonts w:hint="eastAsia"/>
          <w:sz w:val="24"/>
        </w:rPr>
        <w:t>本项目原料不在厂区内堆存，生产过程中直接从亿升达铁选厂的废石场及尾矿堆运输。</w:t>
      </w:r>
      <w:bookmarkEnd w:id="91"/>
    </w:p>
    <w:p w14:paraId="093D658A">
      <w:pPr>
        <w:spacing w:before="0" w:beforeLines="0" w:line="360" w:lineRule="auto"/>
        <w:ind w:firstLine="480" w:firstLineChars="200"/>
        <w:rPr>
          <w:bCs/>
          <w:snapToGrid w:val="0"/>
          <w:sz w:val="24"/>
        </w:rPr>
      </w:pPr>
      <w:bookmarkStart w:id="92" w:name="_Hlk196648607"/>
      <w:r>
        <w:rPr>
          <w:rFonts w:hint="eastAsia"/>
          <w:sz w:val="24"/>
        </w:rPr>
        <w:t>阜新亿升达铁选厂</w:t>
      </w:r>
      <w:r>
        <w:rPr>
          <w:sz w:val="24"/>
        </w:rPr>
        <w:t>成立于2005</w:t>
      </w:r>
      <w:r>
        <w:rPr>
          <w:rFonts w:hint="eastAsia"/>
          <w:sz w:val="24"/>
        </w:rPr>
        <w:t>年，</w:t>
      </w:r>
      <w:r>
        <w:rPr>
          <w:sz w:val="24"/>
        </w:rPr>
        <w:t>采矿许可证编号为C2109212010067120068386，采矿证有效期2017年9月24日-2019年12月24日，现有矿区面积0.2795km</w:t>
      </w:r>
      <w:r>
        <w:rPr>
          <w:sz w:val="24"/>
          <w:vertAlign w:val="superscript"/>
        </w:rPr>
        <w:t>2</w:t>
      </w:r>
      <w:r>
        <w:rPr>
          <w:sz w:val="24"/>
        </w:rPr>
        <w:t>，开采主矿种为</w:t>
      </w:r>
      <w:r>
        <w:rPr>
          <w:rFonts w:hint="eastAsia"/>
          <w:sz w:val="24"/>
        </w:rPr>
        <w:t>闪长岩</w:t>
      </w:r>
      <w:r>
        <w:rPr>
          <w:sz w:val="24"/>
        </w:rPr>
        <w:t>，开采方式为露天开采，生产规模18.00万</w:t>
      </w:r>
      <w:r>
        <w:rPr>
          <w:rFonts w:hint="eastAsia"/>
          <w:sz w:val="24"/>
        </w:rPr>
        <w:t>m</w:t>
      </w:r>
      <w:r>
        <w:rPr>
          <w:sz w:val="24"/>
          <w:vertAlign w:val="superscript"/>
        </w:rPr>
        <w:t>3</w:t>
      </w:r>
      <w:r>
        <w:rPr>
          <w:sz w:val="24"/>
        </w:rPr>
        <w:t>/年</w:t>
      </w:r>
      <w:r>
        <w:rPr>
          <w:rFonts w:hint="eastAsia"/>
          <w:sz w:val="24"/>
        </w:rPr>
        <w:t>，生产过程形成多处露天采坑、废石场及尾矿堆场，现矿山已停产多年</w:t>
      </w:r>
      <w:r>
        <w:rPr>
          <w:sz w:val="24"/>
        </w:rPr>
        <w:t>。</w:t>
      </w:r>
      <w:bookmarkEnd w:id="92"/>
      <w:bookmarkStart w:id="93" w:name="_Hlk187324295"/>
      <w:r>
        <w:rPr>
          <w:rFonts w:hint="eastAsia"/>
          <w:sz w:val="24"/>
        </w:rPr>
        <w:t>阜新亿升达铁选厂</w:t>
      </w:r>
      <w:r>
        <w:rPr>
          <w:sz w:val="24"/>
        </w:rPr>
        <w:t>矿山开采形成4处露天采坑</w:t>
      </w:r>
      <w:r>
        <w:rPr>
          <w:rFonts w:hint="eastAsia"/>
          <w:sz w:val="24"/>
        </w:rPr>
        <w:t>（其中2号采坑已部分回填，其余暂未回填）</w:t>
      </w:r>
      <w:r>
        <w:rPr>
          <w:sz w:val="24"/>
        </w:rPr>
        <w:t>、</w:t>
      </w:r>
      <w:r>
        <w:rPr>
          <w:rFonts w:hint="eastAsia"/>
          <w:sz w:val="24"/>
        </w:rPr>
        <w:t>4</w:t>
      </w:r>
      <w:r>
        <w:rPr>
          <w:sz w:val="24"/>
        </w:rPr>
        <w:t>处废石场</w:t>
      </w:r>
      <w:r>
        <w:rPr>
          <w:rFonts w:hint="eastAsia"/>
          <w:sz w:val="24"/>
        </w:rPr>
        <w:t>（废石场废石作为本项目原料进行综合利用）、1处尾矿堆（尾矿作为本项目原料进行综合利用）。</w:t>
      </w:r>
      <w:bookmarkEnd w:id="93"/>
      <w:r>
        <w:rPr>
          <w:snapToGrid w:val="0"/>
          <w:sz w:val="24"/>
        </w:rPr>
        <w:t>现存尾矿堆及废石场具体位置</w:t>
      </w:r>
      <w:r>
        <w:rPr>
          <w:rFonts w:hint="eastAsia"/>
          <w:snapToGrid w:val="0"/>
          <w:sz w:val="24"/>
        </w:rPr>
        <w:t>以及废石、尾矿运输路线</w:t>
      </w:r>
      <w:r>
        <w:rPr>
          <w:snapToGrid w:val="0"/>
          <w:sz w:val="24"/>
        </w:rPr>
        <w:t>详见表3.</w:t>
      </w:r>
      <w:r>
        <w:rPr>
          <w:rFonts w:hint="eastAsia"/>
          <w:snapToGrid w:val="0"/>
          <w:sz w:val="24"/>
        </w:rPr>
        <w:t>1</w:t>
      </w:r>
      <w:r>
        <w:rPr>
          <w:snapToGrid w:val="0"/>
          <w:sz w:val="24"/>
        </w:rPr>
        <w:t>-</w:t>
      </w:r>
      <w:r>
        <w:rPr>
          <w:rFonts w:hint="eastAsia"/>
          <w:snapToGrid w:val="0"/>
          <w:sz w:val="24"/>
        </w:rPr>
        <w:t>5及图3.1-1</w:t>
      </w:r>
      <w:r>
        <w:rPr>
          <w:snapToGrid w:val="0"/>
          <w:sz w:val="24"/>
        </w:rPr>
        <w:t>。</w:t>
      </w:r>
    </w:p>
    <w:p w14:paraId="136D2605">
      <w:pPr>
        <w:pStyle w:val="143"/>
        <w:spacing w:before="156"/>
        <w:rPr>
          <w:bCs w:val="0"/>
          <w:snapToGrid w:val="0"/>
          <w:sz w:val="24"/>
          <w:szCs w:val="24"/>
        </w:rPr>
      </w:pPr>
      <w:bookmarkStart w:id="94" w:name="_Hlk187324562"/>
      <w:r>
        <w:rPr>
          <w:b/>
          <w:kern w:val="2"/>
        </w:rPr>
        <w:t>表3.</w:t>
      </w:r>
      <w:r>
        <w:rPr>
          <w:rFonts w:hint="eastAsia"/>
          <w:b/>
          <w:kern w:val="2"/>
        </w:rPr>
        <w:t>1</w:t>
      </w:r>
      <w:r>
        <w:rPr>
          <w:b/>
          <w:kern w:val="2"/>
        </w:rPr>
        <w:t>-</w:t>
      </w:r>
      <w:r>
        <w:rPr>
          <w:rFonts w:hint="eastAsia"/>
          <w:b/>
          <w:kern w:val="2"/>
        </w:rPr>
        <w:t>5</w:t>
      </w:r>
      <w:r>
        <w:rPr>
          <w:b/>
          <w:kern w:val="2"/>
        </w:rPr>
        <w:t xml:space="preserve"> </w:t>
      </w:r>
      <w:r>
        <w:rPr>
          <w:rFonts w:hint="eastAsia"/>
          <w:b/>
          <w:kern w:val="2"/>
        </w:rPr>
        <w:t xml:space="preserve">  亿升达</w:t>
      </w:r>
      <w:r>
        <w:rPr>
          <w:b/>
          <w:kern w:val="2"/>
        </w:rPr>
        <w:t>尾矿及废石情况一览表</w:t>
      </w:r>
      <w:r>
        <w:rPr>
          <w:rFonts w:hint="eastAsia"/>
          <w:b/>
          <w:kern w:val="2"/>
        </w:rPr>
        <w:t xml:space="preserve">   </w:t>
      </w:r>
      <w:r>
        <w:rPr>
          <w:b/>
          <w:kern w:val="2"/>
        </w:rPr>
        <w:t xml:space="preserve"> 单位：万t</w:t>
      </w:r>
    </w:p>
    <w:tbl>
      <w:tblPr>
        <w:tblStyle w:val="89"/>
        <w:tblW w:w="5042"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28" w:type="dxa"/>
          <w:bottom w:w="0" w:type="dxa"/>
          <w:right w:w="28" w:type="dxa"/>
        </w:tblCellMar>
      </w:tblPr>
      <w:tblGrid>
        <w:gridCol w:w="695"/>
        <w:gridCol w:w="1909"/>
        <w:gridCol w:w="3474"/>
        <w:gridCol w:w="723"/>
        <w:gridCol w:w="1581"/>
      </w:tblGrid>
      <w:tr w14:paraId="31A3017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53" w:hRule="atLeast"/>
          <w:jc w:val="center"/>
        </w:trPr>
        <w:tc>
          <w:tcPr>
            <w:tcW w:w="415" w:type="pct"/>
            <w:tcBorders>
              <w:tl2br w:val="nil"/>
              <w:tr2bl w:val="nil"/>
            </w:tcBorders>
            <w:vAlign w:val="center"/>
          </w:tcPr>
          <w:p w14:paraId="5D583AD9">
            <w:pPr>
              <w:tabs>
                <w:tab w:val="left" w:pos="3255"/>
              </w:tabs>
              <w:snapToGrid w:val="0"/>
              <w:spacing w:before="0" w:beforeLines="0" w:line="240" w:lineRule="auto"/>
              <w:jc w:val="center"/>
              <w:rPr>
                <w:bCs/>
                <w:szCs w:val="21"/>
              </w:rPr>
            </w:pPr>
            <w:r>
              <w:rPr>
                <w:bCs/>
                <w:szCs w:val="21"/>
              </w:rPr>
              <w:t>序号</w:t>
            </w:r>
          </w:p>
        </w:tc>
        <w:tc>
          <w:tcPr>
            <w:tcW w:w="1139" w:type="pct"/>
            <w:tcBorders>
              <w:tl2br w:val="nil"/>
              <w:tr2bl w:val="nil"/>
            </w:tcBorders>
            <w:vAlign w:val="center"/>
          </w:tcPr>
          <w:p w14:paraId="1CD6770B">
            <w:pPr>
              <w:tabs>
                <w:tab w:val="left" w:pos="3255"/>
              </w:tabs>
              <w:snapToGrid w:val="0"/>
              <w:spacing w:before="0" w:beforeLines="0" w:line="240" w:lineRule="auto"/>
              <w:jc w:val="center"/>
              <w:rPr>
                <w:bCs/>
                <w:szCs w:val="21"/>
              </w:rPr>
            </w:pPr>
            <w:r>
              <w:rPr>
                <w:bCs/>
                <w:szCs w:val="21"/>
              </w:rPr>
              <w:t>名称</w:t>
            </w:r>
          </w:p>
        </w:tc>
        <w:tc>
          <w:tcPr>
            <w:tcW w:w="2072" w:type="pct"/>
            <w:tcBorders>
              <w:tl2br w:val="nil"/>
              <w:tr2bl w:val="nil"/>
            </w:tcBorders>
            <w:vAlign w:val="center"/>
          </w:tcPr>
          <w:p w14:paraId="6AA19D29">
            <w:pPr>
              <w:tabs>
                <w:tab w:val="left" w:pos="3255"/>
              </w:tabs>
              <w:snapToGrid w:val="0"/>
              <w:spacing w:before="0" w:beforeLines="0" w:line="240" w:lineRule="auto"/>
              <w:jc w:val="center"/>
              <w:rPr>
                <w:bCs/>
                <w:szCs w:val="21"/>
              </w:rPr>
            </w:pPr>
            <w:r>
              <w:rPr>
                <w:bCs/>
                <w:szCs w:val="21"/>
              </w:rPr>
              <w:t>坐标</w:t>
            </w:r>
          </w:p>
        </w:tc>
        <w:tc>
          <w:tcPr>
            <w:tcW w:w="431" w:type="pct"/>
            <w:tcBorders>
              <w:tl2br w:val="nil"/>
              <w:tr2bl w:val="nil"/>
            </w:tcBorders>
            <w:vAlign w:val="center"/>
          </w:tcPr>
          <w:p w14:paraId="551728A0">
            <w:pPr>
              <w:tabs>
                <w:tab w:val="left" w:pos="3255"/>
              </w:tabs>
              <w:snapToGrid w:val="0"/>
              <w:spacing w:before="0" w:beforeLines="0" w:line="240" w:lineRule="auto"/>
              <w:jc w:val="center"/>
              <w:rPr>
                <w:bCs/>
                <w:szCs w:val="21"/>
              </w:rPr>
            </w:pPr>
            <w:r>
              <w:rPr>
                <w:bCs/>
                <w:szCs w:val="21"/>
              </w:rPr>
              <w:t>存量</w:t>
            </w:r>
          </w:p>
        </w:tc>
        <w:tc>
          <w:tcPr>
            <w:tcW w:w="943" w:type="pct"/>
            <w:tcBorders>
              <w:tl2br w:val="nil"/>
              <w:tr2bl w:val="nil"/>
            </w:tcBorders>
            <w:vAlign w:val="center"/>
          </w:tcPr>
          <w:p w14:paraId="747E7031">
            <w:pPr>
              <w:tabs>
                <w:tab w:val="left" w:pos="3255"/>
              </w:tabs>
              <w:snapToGrid w:val="0"/>
              <w:spacing w:before="0" w:beforeLines="0" w:line="240" w:lineRule="auto"/>
              <w:jc w:val="center"/>
              <w:rPr>
                <w:bCs/>
                <w:szCs w:val="21"/>
              </w:rPr>
            </w:pPr>
            <w:r>
              <w:rPr>
                <w:bCs/>
                <w:szCs w:val="21"/>
              </w:rPr>
              <w:t>位置</w:t>
            </w:r>
          </w:p>
        </w:tc>
      </w:tr>
      <w:tr w14:paraId="1BB752E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34" w:hRule="atLeast"/>
          <w:jc w:val="center"/>
        </w:trPr>
        <w:tc>
          <w:tcPr>
            <w:tcW w:w="415" w:type="pct"/>
            <w:tcBorders>
              <w:tl2br w:val="nil"/>
              <w:tr2bl w:val="nil"/>
            </w:tcBorders>
            <w:vAlign w:val="center"/>
          </w:tcPr>
          <w:p w14:paraId="557CCB49">
            <w:pPr>
              <w:tabs>
                <w:tab w:val="left" w:pos="3255"/>
              </w:tabs>
              <w:snapToGrid w:val="0"/>
              <w:spacing w:before="0" w:beforeLines="0" w:line="240" w:lineRule="auto"/>
              <w:jc w:val="center"/>
              <w:rPr>
                <w:bCs/>
                <w:szCs w:val="21"/>
              </w:rPr>
            </w:pPr>
            <w:r>
              <w:rPr>
                <w:bCs/>
                <w:szCs w:val="21"/>
              </w:rPr>
              <w:t>1</w:t>
            </w:r>
          </w:p>
        </w:tc>
        <w:tc>
          <w:tcPr>
            <w:tcW w:w="1139" w:type="pct"/>
            <w:tcBorders>
              <w:tl2br w:val="nil"/>
              <w:tr2bl w:val="nil"/>
            </w:tcBorders>
            <w:vAlign w:val="center"/>
          </w:tcPr>
          <w:p w14:paraId="2F8F962C">
            <w:pPr>
              <w:tabs>
                <w:tab w:val="left" w:pos="3255"/>
              </w:tabs>
              <w:snapToGrid w:val="0"/>
              <w:spacing w:before="0" w:beforeLines="0" w:line="240" w:lineRule="auto"/>
              <w:jc w:val="center"/>
              <w:rPr>
                <w:bCs/>
                <w:szCs w:val="21"/>
              </w:rPr>
            </w:pPr>
            <w:r>
              <w:rPr>
                <w:rFonts w:hint="eastAsia"/>
                <w:szCs w:val="21"/>
              </w:rPr>
              <w:t>亿升达废石场1</w:t>
            </w:r>
          </w:p>
        </w:tc>
        <w:tc>
          <w:tcPr>
            <w:tcW w:w="2072" w:type="pct"/>
            <w:tcBorders>
              <w:tl2br w:val="nil"/>
              <w:tr2bl w:val="nil"/>
            </w:tcBorders>
            <w:vAlign w:val="center"/>
          </w:tcPr>
          <w:p w14:paraId="3280E9FB">
            <w:pPr>
              <w:tabs>
                <w:tab w:val="left" w:pos="3255"/>
              </w:tabs>
              <w:topLinePunct/>
              <w:adjustRightInd w:val="0"/>
              <w:snapToGrid w:val="0"/>
              <w:spacing w:before="0" w:beforeLines="0" w:line="240" w:lineRule="auto"/>
              <w:jc w:val="center"/>
              <w:rPr>
                <w:bCs/>
                <w:szCs w:val="21"/>
              </w:rPr>
            </w:pPr>
            <w:r>
              <w:rPr>
                <w:bCs/>
                <w:szCs w:val="21"/>
              </w:rPr>
              <w:t>121°39′41.08429″，42°19′56.56919″</w:t>
            </w:r>
          </w:p>
        </w:tc>
        <w:tc>
          <w:tcPr>
            <w:tcW w:w="431" w:type="pct"/>
            <w:tcBorders>
              <w:tl2br w:val="nil"/>
              <w:tr2bl w:val="nil"/>
            </w:tcBorders>
            <w:vAlign w:val="center"/>
          </w:tcPr>
          <w:p w14:paraId="169D0D6A">
            <w:pPr>
              <w:tabs>
                <w:tab w:val="left" w:pos="3255"/>
              </w:tabs>
              <w:snapToGrid w:val="0"/>
              <w:spacing w:before="0" w:beforeLines="0" w:line="240" w:lineRule="auto"/>
              <w:jc w:val="center"/>
              <w:rPr>
                <w:bCs/>
                <w:szCs w:val="21"/>
              </w:rPr>
            </w:pPr>
            <w:r>
              <w:rPr>
                <w:rFonts w:hint="eastAsia"/>
                <w:bCs/>
                <w:szCs w:val="21"/>
              </w:rPr>
              <w:t>176</w:t>
            </w:r>
          </w:p>
        </w:tc>
        <w:tc>
          <w:tcPr>
            <w:tcW w:w="943" w:type="pct"/>
            <w:tcBorders>
              <w:tl2br w:val="nil"/>
              <w:tr2bl w:val="nil"/>
            </w:tcBorders>
            <w:vAlign w:val="center"/>
          </w:tcPr>
          <w:p w14:paraId="22185D12">
            <w:pPr>
              <w:tabs>
                <w:tab w:val="left" w:pos="3255"/>
              </w:tabs>
              <w:snapToGrid w:val="0"/>
              <w:spacing w:before="0" w:beforeLines="0" w:line="240" w:lineRule="auto"/>
              <w:jc w:val="center"/>
              <w:rPr>
                <w:bCs/>
                <w:szCs w:val="21"/>
              </w:rPr>
            </w:pPr>
            <w:r>
              <w:rPr>
                <w:rFonts w:hint="eastAsia"/>
                <w:szCs w:val="21"/>
              </w:rPr>
              <w:t>亿升达</w:t>
            </w:r>
            <w:r>
              <w:rPr>
                <w:bCs/>
                <w:szCs w:val="21"/>
              </w:rPr>
              <w:t>矿区内</w:t>
            </w:r>
          </w:p>
        </w:tc>
      </w:tr>
      <w:tr w14:paraId="1FD169A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34" w:hRule="atLeast"/>
          <w:jc w:val="center"/>
        </w:trPr>
        <w:tc>
          <w:tcPr>
            <w:tcW w:w="415" w:type="pct"/>
            <w:tcBorders>
              <w:tl2br w:val="nil"/>
              <w:tr2bl w:val="nil"/>
            </w:tcBorders>
            <w:vAlign w:val="center"/>
          </w:tcPr>
          <w:p w14:paraId="62F4602D">
            <w:pPr>
              <w:tabs>
                <w:tab w:val="left" w:pos="3255"/>
              </w:tabs>
              <w:snapToGrid w:val="0"/>
              <w:spacing w:before="0" w:beforeLines="0" w:line="240" w:lineRule="auto"/>
              <w:jc w:val="center"/>
              <w:rPr>
                <w:bCs/>
                <w:szCs w:val="21"/>
              </w:rPr>
            </w:pPr>
            <w:r>
              <w:rPr>
                <w:bCs/>
                <w:szCs w:val="21"/>
              </w:rPr>
              <w:t>2</w:t>
            </w:r>
          </w:p>
        </w:tc>
        <w:tc>
          <w:tcPr>
            <w:tcW w:w="1139" w:type="pct"/>
            <w:tcBorders>
              <w:tl2br w:val="nil"/>
              <w:tr2bl w:val="nil"/>
            </w:tcBorders>
            <w:vAlign w:val="center"/>
          </w:tcPr>
          <w:p w14:paraId="541A8CA4">
            <w:pPr>
              <w:tabs>
                <w:tab w:val="left" w:pos="3255"/>
              </w:tabs>
              <w:snapToGrid w:val="0"/>
              <w:spacing w:before="0" w:beforeLines="0" w:line="240" w:lineRule="auto"/>
              <w:jc w:val="center"/>
              <w:rPr>
                <w:bCs/>
                <w:szCs w:val="21"/>
              </w:rPr>
            </w:pPr>
            <w:r>
              <w:rPr>
                <w:rFonts w:hint="eastAsia"/>
                <w:szCs w:val="21"/>
              </w:rPr>
              <w:t>亿升达废石场2</w:t>
            </w:r>
          </w:p>
        </w:tc>
        <w:tc>
          <w:tcPr>
            <w:tcW w:w="2072" w:type="pct"/>
            <w:tcBorders>
              <w:tl2br w:val="nil"/>
              <w:tr2bl w:val="nil"/>
            </w:tcBorders>
            <w:vAlign w:val="center"/>
          </w:tcPr>
          <w:p w14:paraId="199257CE">
            <w:pPr>
              <w:tabs>
                <w:tab w:val="left" w:pos="3255"/>
              </w:tabs>
              <w:topLinePunct/>
              <w:adjustRightInd w:val="0"/>
              <w:snapToGrid w:val="0"/>
              <w:spacing w:before="0" w:beforeLines="0" w:line="240" w:lineRule="auto"/>
              <w:jc w:val="center"/>
              <w:rPr>
                <w:bCs/>
                <w:szCs w:val="21"/>
              </w:rPr>
            </w:pPr>
            <w:r>
              <w:rPr>
                <w:bCs/>
                <w:szCs w:val="21"/>
              </w:rPr>
              <w:t>121°39′58.50363″，42°20′3.83046″</w:t>
            </w:r>
          </w:p>
        </w:tc>
        <w:tc>
          <w:tcPr>
            <w:tcW w:w="431" w:type="pct"/>
            <w:tcBorders>
              <w:tl2br w:val="nil"/>
              <w:tr2bl w:val="nil"/>
            </w:tcBorders>
            <w:vAlign w:val="center"/>
          </w:tcPr>
          <w:p w14:paraId="1E3F46B7">
            <w:pPr>
              <w:tabs>
                <w:tab w:val="left" w:pos="3255"/>
              </w:tabs>
              <w:snapToGrid w:val="0"/>
              <w:spacing w:before="0" w:beforeLines="0" w:line="240" w:lineRule="auto"/>
              <w:jc w:val="center"/>
              <w:rPr>
                <w:bCs/>
                <w:szCs w:val="21"/>
              </w:rPr>
            </w:pPr>
            <w:r>
              <w:rPr>
                <w:rFonts w:hint="eastAsia"/>
                <w:bCs/>
                <w:szCs w:val="21"/>
              </w:rPr>
              <w:t>180.4</w:t>
            </w:r>
          </w:p>
        </w:tc>
        <w:tc>
          <w:tcPr>
            <w:tcW w:w="943" w:type="pct"/>
            <w:tcBorders>
              <w:tl2br w:val="nil"/>
              <w:tr2bl w:val="nil"/>
            </w:tcBorders>
            <w:vAlign w:val="center"/>
          </w:tcPr>
          <w:p w14:paraId="7C889BE4">
            <w:pPr>
              <w:snapToGrid w:val="0"/>
              <w:spacing w:before="0" w:beforeLines="0" w:line="240" w:lineRule="auto"/>
              <w:jc w:val="center"/>
              <w:rPr>
                <w:bCs/>
                <w:szCs w:val="21"/>
              </w:rPr>
            </w:pPr>
            <w:r>
              <w:rPr>
                <w:rFonts w:hint="eastAsia"/>
                <w:szCs w:val="21"/>
              </w:rPr>
              <w:t>亿升达</w:t>
            </w:r>
            <w:r>
              <w:rPr>
                <w:bCs/>
                <w:szCs w:val="21"/>
              </w:rPr>
              <w:t>矿区内</w:t>
            </w:r>
          </w:p>
        </w:tc>
      </w:tr>
      <w:tr w14:paraId="75D6113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34" w:hRule="atLeast"/>
          <w:jc w:val="center"/>
        </w:trPr>
        <w:tc>
          <w:tcPr>
            <w:tcW w:w="415" w:type="pct"/>
            <w:tcBorders>
              <w:tl2br w:val="nil"/>
              <w:tr2bl w:val="nil"/>
            </w:tcBorders>
            <w:vAlign w:val="center"/>
          </w:tcPr>
          <w:p w14:paraId="3FCDD2E7">
            <w:pPr>
              <w:tabs>
                <w:tab w:val="left" w:pos="3255"/>
              </w:tabs>
              <w:snapToGrid w:val="0"/>
              <w:spacing w:before="0" w:beforeLines="0" w:line="240" w:lineRule="auto"/>
              <w:jc w:val="center"/>
              <w:rPr>
                <w:bCs/>
                <w:szCs w:val="21"/>
              </w:rPr>
            </w:pPr>
            <w:r>
              <w:rPr>
                <w:bCs/>
                <w:szCs w:val="21"/>
              </w:rPr>
              <w:t>3</w:t>
            </w:r>
          </w:p>
        </w:tc>
        <w:tc>
          <w:tcPr>
            <w:tcW w:w="1139" w:type="pct"/>
            <w:tcBorders>
              <w:tl2br w:val="nil"/>
              <w:tr2bl w:val="nil"/>
            </w:tcBorders>
            <w:vAlign w:val="center"/>
          </w:tcPr>
          <w:p w14:paraId="5620AF19">
            <w:pPr>
              <w:tabs>
                <w:tab w:val="left" w:pos="3255"/>
              </w:tabs>
              <w:snapToGrid w:val="0"/>
              <w:spacing w:before="0" w:beforeLines="0" w:line="240" w:lineRule="auto"/>
              <w:jc w:val="center"/>
              <w:rPr>
                <w:bCs/>
                <w:szCs w:val="21"/>
              </w:rPr>
            </w:pPr>
            <w:r>
              <w:rPr>
                <w:rFonts w:hint="eastAsia"/>
                <w:szCs w:val="21"/>
              </w:rPr>
              <w:t>亿升达废石场3</w:t>
            </w:r>
          </w:p>
        </w:tc>
        <w:tc>
          <w:tcPr>
            <w:tcW w:w="2072" w:type="pct"/>
            <w:tcBorders>
              <w:tl2br w:val="nil"/>
              <w:tr2bl w:val="nil"/>
            </w:tcBorders>
            <w:vAlign w:val="center"/>
          </w:tcPr>
          <w:p w14:paraId="3EEA415A">
            <w:pPr>
              <w:tabs>
                <w:tab w:val="left" w:pos="3255"/>
              </w:tabs>
              <w:topLinePunct/>
              <w:adjustRightInd w:val="0"/>
              <w:snapToGrid w:val="0"/>
              <w:spacing w:before="0" w:beforeLines="0" w:line="240" w:lineRule="auto"/>
              <w:jc w:val="center"/>
              <w:rPr>
                <w:bCs/>
                <w:szCs w:val="21"/>
              </w:rPr>
            </w:pPr>
            <w:r>
              <w:rPr>
                <w:bCs/>
                <w:szCs w:val="21"/>
              </w:rPr>
              <w:t>121°40′16.05815″，42°20′8.60051″</w:t>
            </w:r>
          </w:p>
        </w:tc>
        <w:tc>
          <w:tcPr>
            <w:tcW w:w="431" w:type="pct"/>
            <w:tcBorders>
              <w:tl2br w:val="nil"/>
              <w:tr2bl w:val="nil"/>
            </w:tcBorders>
            <w:vAlign w:val="center"/>
          </w:tcPr>
          <w:p w14:paraId="3BD9E96B">
            <w:pPr>
              <w:tabs>
                <w:tab w:val="left" w:pos="3255"/>
              </w:tabs>
              <w:snapToGrid w:val="0"/>
              <w:spacing w:before="0" w:beforeLines="0" w:line="240" w:lineRule="auto"/>
              <w:jc w:val="center"/>
              <w:rPr>
                <w:bCs/>
                <w:szCs w:val="21"/>
              </w:rPr>
            </w:pPr>
            <w:r>
              <w:rPr>
                <w:rFonts w:hint="eastAsia"/>
                <w:bCs/>
                <w:szCs w:val="21"/>
              </w:rPr>
              <w:t>187</w:t>
            </w:r>
          </w:p>
        </w:tc>
        <w:tc>
          <w:tcPr>
            <w:tcW w:w="943" w:type="pct"/>
            <w:tcBorders>
              <w:tl2br w:val="nil"/>
              <w:tr2bl w:val="nil"/>
            </w:tcBorders>
            <w:vAlign w:val="center"/>
          </w:tcPr>
          <w:p w14:paraId="31DC91E7">
            <w:pPr>
              <w:snapToGrid w:val="0"/>
              <w:spacing w:before="0" w:beforeLines="0" w:line="240" w:lineRule="auto"/>
              <w:jc w:val="center"/>
              <w:rPr>
                <w:bCs/>
                <w:szCs w:val="21"/>
              </w:rPr>
            </w:pPr>
            <w:r>
              <w:rPr>
                <w:rFonts w:hint="eastAsia"/>
                <w:szCs w:val="21"/>
              </w:rPr>
              <w:t>亿升达</w:t>
            </w:r>
            <w:r>
              <w:rPr>
                <w:bCs/>
                <w:szCs w:val="21"/>
              </w:rPr>
              <w:t>矿区内</w:t>
            </w:r>
          </w:p>
        </w:tc>
      </w:tr>
      <w:tr w14:paraId="66E00E1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15" w:hRule="atLeast"/>
          <w:jc w:val="center"/>
        </w:trPr>
        <w:tc>
          <w:tcPr>
            <w:tcW w:w="415" w:type="pct"/>
            <w:tcBorders>
              <w:tl2br w:val="nil"/>
              <w:tr2bl w:val="nil"/>
            </w:tcBorders>
            <w:vAlign w:val="center"/>
          </w:tcPr>
          <w:p w14:paraId="305EB9E7">
            <w:pPr>
              <w:tabs>
                <w:tab w:val="left" w:pos="3255"/>
              </w:tabs>
              <w:snapToGrid w:val="0"/>
              <w:spacing w:before="0" w:beforeLines="0" w:line="240" w:lineRule="auto"/>
              <w:jc w:val="center"/>
              <w:rPr>
                <w:bCs/>
                <w:szCs w:val="21"/>
              </w:rPr>
            </w:pPr>
            <w:r>
              <w:rPr>
                <w:bCs/>
                <w:szCs w:val="21"/>
              </w:rPr>
              <w:t>4</w:t>
            </w:r>
          </w:p>
        </w:tc>
        <w:tc>
          <w:tcPr>
            <w:tcW w:w="1139" w:type="pct"/>
            <w:tcBorders>
              <w:tl2br w:val="nil"/>
              <w:tr2bl w:val="nil"/>
            </w:tcBorders>
            <w:vAlign w:val="center"/>
          </w:tcPr>
          <w:p w14:paraId="3D0EADCE">
            <w:pPr>
              <w:snapToGrid w:val="0"/>
              <w:spacing w:before="0" w:beforeLines="0" w:line="240" w:lineRule="auto"/>
              <w:jc w:val="center"/>
              <w:rPr>
                <w:bCs/>
                <w:szCs w:val="21"/>
              </w:rPr>
            </w:pPr>
            <w:r>
              <w:rPr>
                <w:rFonts w:hint="eastAsia"/>
                <w:bCs/>
                <w:szCs w:val="21"/>
              </w:rPr>
              <w:t>亿升达废石场4</w:t>
            </w:r>
          </w:p>
        </w:tc>
        <w:tc>
          <w:tcPr>
            <w:tcW w:w="2072" w:type="pct"/>
            <w:tcBorders>
              <w:tl2br w:val="nil"/>
              <w:tr2bl w:val="nil"/>
            </w:tcBorders>
            <w:vAlign w:val="center"/>
          </w:tcPr>
          <w:p w14:paraId="772E9E56">
            <w:pPr>
              <w:tabs>
                <w:tab w:val="left" w:pos="3255"/>
              </w:tabs>
              <w:topLinePunct/>
              <w:adjustRightInd w:val="0"/>
              <w:snapToGrid w:val="0"/>
              <w:spacing w:before="0" w:beforeLines="0" w:line="240" w:lineRule="auto"/>
              <w:jc w:val="center"/>
              <w:rPr>
                <w:bCs/>
                <w:szCs w:val="21"/>
              </w:rPr>
            </w:pPr>
            <w:r>
              <w:rPr>
                <w:bCs/>
                <w:szCs w:val="21"/>
              </w:rPr>
              <w:t>121°39′55.41310″，42°19′43.64982″</w:t>
            </w:r>
          </w:p>
        </w:tc>
        <w:tc>
          <w:tcPr>
            <w:tcW w:w="431" w:type="pct"/>
            <w:tcBorders>
              <w:tl2br w:val="nil"/>
              <w:tr2bl w:val="nil"/>
            </w:tcBorders>
            <w:vAlign w:val="center"/>
          </w:tcPr>
          <w:p w14:paraId="527D35AA">
            <w:pPr>
              <w:tabs>
                <w:tab w:val="left" w:pos="3255"/>
              </w:tabs>
              <w:snapToGrid w:val="0"/>
              <w:spacing w:before="0" w:beforeLines="0" w:line="240" w:lineRule="auto"/>
              <w:jc w:val="center"/>
              <w:rPr>
                <w:bCs/>
                <w:szCs w:val="21"/>
              </w:rPr>
            </w:pPr>
            <w:r>
              <w:rPr>
                <w:rFonts w:hint="eastAsia"/>
                <w:bCs/>
                <w:szCs w:val="21"/>
              </w:rPr>
              <w:t>90.2</w:t>
            </w:r>
          </w:p>
        </w:tc>
        <w:tc>
          <w:tcPr>
            <w:tcW w:w="943" w:type="pct"/>
            <w:tcBorders>
              <w:tl2br w:val="nil"/>
              <w:tr2bl w:val="nil"/>
            </w:tcBorders>
            <w:vAlign w:val="center"/>
          </w:tcPr>
          <w:p w14:paraId="28808E4E">
            <w:pPr>
              <w:snapToGrid w:val="0"/>
              <w:spacing w:before="0" w:beforeLines="0" w:line="240" w:lineRule="auto"/>
              <w:jc w:val="center"/>
              <w:rPr>
                <w:bCs/>
                <w:szCs w:val="21"/>
              </w:rPr>
            </w:pPr>
            <w:r>
              <w:rPr>
                <w:bCs/>
                <w:szCs w:val="21"/>
              </w:rPr>
              <w:t>矿区外孟家窝堡</w:t>
            </w:r>
          </w:p>
        </w:tc>
      </w:tr>
      <w:tr w14:paraId="06B8972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34" w:hRule="atLeast"/>
          <w:jc w:val="center"/>
        </w:trPr>
        <w:tc>
          <w:tcPr>
            <w:tcW w:w="415" w:type="pct"/>
            <w:tcBorders>
              <w:tl2br w:val="nil"/>
              <w:tr2bl w:val="nil"/>
            </w:tcBorders>
            <w:vAlign w:val="center"/>
          </w:tcPr>
          <w:p w14:paraId="3C8A6F30">
            <w:pPr>
              <w:tabs>
                <w:tab w:val="left" w:pos="3255"/>
              </w:tabs>
              <w:snapToGrid w:val="0"/>
              <w:spacing w:before="0" w:beforeLines="0" w:line="240" w:lineRule="auto"/>
              <w:jc w:val="center"/>
              <w:rPr>
                <w:bCs/>
                <w:szCs w:val="21"/>
              </w:rPr>
            </w:pPr>
            <w:r>
              <w:rPr>
                <w:bCs/>
                <w:szCs w:val="21"/>
              </w:rPr>
              <w:t>5</w:t>
            </w:r>
          </w:p>
        </w:tc>
        <w:tc>
          <w:tcPr>
            <w:tcW w:w="1139" w:type="pct"/>
            <w:tcBorders>
              <w:tl2br w:val="nil"/>
              <w:tr2bl w:val="nil"/>
            </w:tcBorders>
            <w:vAlign w:val="center"/>
          </w:tcPr>
          <w:p w14:paraId="25D8598F">
            <w:pPr>
              <w:snapToGrid w:val="0"/>
              <w:spacing w:before="0" w:beforeLines="0" w:line="240" w:lineRule="auto"/>
              <w:jc w:val="center"/>
              <w:rPr>
                <w:bCs/>
                <w:szCs w:val="21"/>
              </w:rPr>
            </w:pPr>
            <w:r>
              <w:rPr>
                <w:rFonts w:hint="eastAsia"/>
                <w:bCs/>
                <w:szCs w:val="21"/>
              </w:rPr>
              <w:t>亿升达尾矿堆</w:t>
            </w:r>
          </w:p>
        </w:tc>
        <w:tc>
          <w:tcPr>
            <w:tcW w:w="2072" w:type="pct"/>
            <w:tcBorders>
              <w:tl2br w:val="nil"/>
              <w:tr2bl w:val="nil"/>
            </w:tcBorders>
            <w:vAlign w:val="center"/>
          </w:tcPr>
          <w:p w14:paraId="77F0839C">
            <w:pPr>
              <w:tabs>
                <w:tab w:val="left" w:pos="3255"/>
              </w:tabs>
              <w:topLinePunct/>
              <w:adjustRightInd w:val="0"/>
              <w:snapToGrid w:val="0"/>
              <w:spacing w:before="0" w:beforeLines="0" w:line="240" w:lineRule="auto"/>
              <w:jc w:val="center"/>
              <w:rPr>
                <w:bCs/>
                <w:szCs w:val="21"/>
              </w:rPr>
            </w:pPr>
            <w:r>
              <w:rPr>
                <w:bCs/>
                <w:szCs w:val="21"/>
              </w:rPr>
              <w:t>121°40′48.71395″，42°18′40.11365″</w:t>
            </w:r>
          </w:p>
        </w:tc>
        <w:tc>
          <w:tcPr>
            <w:tcW w:w="431" w:type="pct"/>
            <w:tcBorders>
              <w:tl2br w:val="nil"/>
              <w:tr2bl w:val="nil"/>
            </w:tcBorders>
            <w:vAlign w:val="center"/>
          </w:tcPr>
          <w:p w14:paraId="60F5EE82">
            <w:pPr>
              <w:tabs>
                <w:tab w:val="left" w:pos="3255"/>
              </w:tabs>
              <w:snapToGrid w:val="0"/>
              <w:spacing w:before="0" w:beforeLines="0" w:line="240" w:lineRule="auto"/>
              <w:jc w:val="center"/>
              <w:rPr>
                <w:bCs/>
                <w:szCs w:val="21"/>
              </w:rPr>
            </w:pPr>
            <w:r>
              <w:rPr>
                <w:rFonts w:hint="eastAsia"/>
                <w:bCs/>
                <w:szCs w:val="21"/>
              </w:rPr>
              <w:t>374</w:t>
            </w:r>
          </w:p>
        </w:tc>
        <w:tc>
          <w:tcPr>
            <w:tcW w:w="943" w:type="pct"/>
            <w:tcBorders>
              <w:tl2br w:val="nil"/>
              <w:tr2bl w:val="nil"/>
            </w:tcBorders>
            <w:vAlign w:val="center"/>
          </w:tcPr>
          <w:p w14:paraId="55CBCE5D">
            <w:pPr>
              <w:snapToGrid w:val="0"/>
              <w:spacing w:before="0" w:beforeLines="0" w:line="240" w:lineRule="auto"/>
              <w:jc w:val="center"/>
              <w:rPr>
                <w:bCs/>
                <w:szCs w:val="21"/>
              </w:rPr>
            </w:pPr>
            <w:r>
              <w:rPr>
                <w:bCs/>
                <w:szCs w:val="21"/>
              </w:rPr>
              <w:t>矿区外四方庙</w:t>
            </w:r>
          </w:p>
        </w:tc>
      </w:tr>
      <w:tr w14:paraId="5DCA374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34" w:hRule="atLeast"/>
          <w:jc w:val="center"/>
        </w:trPr>
        <w:tc>
          <w:tcPr>
            <w:tcW w:w="3626" w:type="pct"/>
            <w:gridSpan w:val="3"/>
            <w:tcBorders>
              <w:tl2br w:val="nil"/>
              <w:tr2bl w:val="nil"/>
            </w:tcBorders>
            <w:vAlign w:val="center"/>
          </w:tcPr>
          <w:p w14:paraId="50ADF2D0">
            <w:pPr>
              <w:tabs>
                <w:tab w:val="left" w:pos="3255"/>
              </w:tabs>
              <w:topLinePunct/>
              <w:adjustRightInd w:val="0"/>
              <w:snapToGrid w:val="0"/>
              <w:spacing w:before="0" w:beforeLines="0" w:line="240" w:lineRule="auto"/>
              <w:jc w:val="center"/>
              <w:rPr>
                <w:bCs/>
                <w:szCs w:val="21"/>
              </w:rPr>
            </w:pPr>
            <w:r>
              <w:rPr>
                <w:rFonts w:hint="eastAsia"/>
                <w:bCs/>
                <w:szCs w:val="21"/>
              </w:rPr>
              <w:t>合计</w:t>
            </w:r>
          </w:p>
        </w:tc>
        <w:tc>
          <w:tcPr>
            <w:tcW w:w="431" w:type="pct"/>
            <w:tcBorders>
              <w:tl2br w:val="nil"/>
              <w:tr2bl w:val="nil"/>
            </w:tcBorders>
            <w:vAlign w:val="center"/>
          </w:tcPr>
          <w:p w14:paraId="3C48EFB4">
            <w:pPr>
              <w:tabs>
                <w:tab w:val="left" w:pos="3255"/>
              </w:tabs>
              <w:snapToGrid w:val="0"/>
              <w:spacing w:before="0" w:beforeLines="0" w:line="240" w:lineRule="auto"/>
              <w:jc w:val="center"/>
              <w:rPr>
                <w:bCs/>
                <w:szCs w:val="21"/>
              </w:rPr>
            </w:pPr>
            <w:r>
              <w:rPr>
                <w:bCs/>
                <w:szCs w:val="21"/>
              </w:rPr>
              <w:fldChar w:fldCharType="begin"/>
            </w:r>
            <w:r>
              <w:rPr>
                <w:bCs/>
                <w:szCs w:val="21"/>
              </w:rPr>
              <w:instrText xml:space="preserve"> =SUM(ABOVE) \* MERGEFORMAT </w:instrText>
            </w:r>
            <w:r>
              <w:rPr>
                <w:bCs/>
                <w:szCs w:val="21"/>
              </w:rPr>
              <w:fldChar w:fldCharType="separate"/>
            </w:r>
            <w:r>
              <w:rPr>
                <w:bCs/>
                <w:szCs w:val="21"/>
              </w:rPr>
              <w:t>1007.6</w:t>
            </w:r>
            <w:r>
              <w:rPr>
                <w:bCs/>
                <w:szCs w:val="21"/>
              </w:rPr>
              <w:fldChar w:fldCharType="end"/>
            </w:r>
          </w:p>
        </w:tc>
        <w:tc>
          <w:tcPr>
            <w:tcW w:w="943" w:type="pct"/>
            <w:tcBorders>
              <w:tl2br w:val="nil"/>
              <w:tr2bl w:val="nil"/>
            </w:tcBorders>
            <w:vAlign w:val="center"/>
          </w:tcPr>
          <w:p w14:paraId="55209392">
            <w:pPr>
              <w:snapToGrid w:val="0"/>
              <w:spacing w:before="0" w:beforeLines="0" w:line="240" w:lineRule="auto"/>
              <w:jc w:val="center"/>
              <w:rPr>
                <w:bCs/>
                <w:szCs w:val="21"/>
              </w:rPr>
            </w:pPr>
          </w:p>
        </w:tc>
      </w:tr>
      <w:bookmarkEnd w:id="94"/>
    </w:tbl>
    <w:p w14:paraId="528F811A">
      <w:pPr>
        <w:snapToGrid w:val="0"/>
        <w:spacing w:before="0" w:beforeLines="0" w:line="240" w:lineRule="auto"/>
        <w:jc w:val="center"/>
        <w:rPr>
          <w:kern w:val="0"/>
          <w:sz w:val="24"/>
        </w:rPr>
      </w:pPr>
      <w:r>
        <w:rPr>
          <w:kern w:val="0"/>
          <w:sz w:val="24"/>
        </w:rPr>
        <w:drawing>
          <wp:inline distT="0" distB="0" distL="0" distR="0">
            <wp:extent cx="4959350" cy="5848350"/>
            <wp:effectExtent l="0" t="0" r="0" b="0"/>
            <wp:docPr id="103030932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309329" name="图片 59"/>
                    <pic:cNvPicPr>
                      <a:picLocks noChangeAspect="1" noChangeArrowheads="1"/>
                    </pic:cNvPicPr>
                  </pic:nvPicPr>
                  <pic:blipFill>
                    <a:blip r:embed="rId35"/>
                    <a:srcRect/>
                    <a:stretch>
                      <a:fillRect/>
                    </a:stretch>
                  </pic:blipFill>
                  <pic:spPr>
                    <a:xfrm>
                      <a:off x="0" y="0"/>
                      <a:ext cx="4959721" cy="5848350"/>
                    </a:xfrm>
                    <a:prstGeom prst="rect">
                      <a:avLst/>
                    </a:prstGeom>
                    <a:noFill/>
                  </pic:spPr>
                </pic:pic>
              </a:graphicData>
            </a:graphic>
          </wp:inline>
        </w:drawing>
      </w:r>
    </w:p>
    <w:p w14:paraId="6658AE1E">
      <w:pPr>
        <w:spacing w:before="0" w:beforeLines="0" w:line="360" w:lineRule="auto"/>
        <w:ind w:firstLine="422" w:firstLineChars="200"/>
        <w:jc w:val="center"/>
        <w:rPr>
          <w:b/>
          <w:bCs/>
          <w:szCs w:val="21"/>
        </w:rPr>
      </w:pPr>
      <w:r>
        <w:rPr>
          <w:rFonts w:hint="eastAsia"/>
          <w:b/>
          <w:bCs/>
          <w:kern w:val="0"/>
          <w:szCs w:val="21"/>
        </w:rPr>
        <w:t>图3.1-1     亿升达</w:t>
      </w:r>
      <w:r>
        <w:rPr>
          <w:rFonts w:hint="eastAsia"/>
          <w:b/>
          <w:bCs/>
          <w:szCs w:val="21"/>
        </w:rPr>
        <w:t>废石、尾矿堆场</w:t>
      </w:r>
      <w:r>
        <w:rPr>
          <w:b/>
          <w:bCs/>
          <w:szCs w:val="21"/>
        </w:rPr>
        <w:t>情况</w:t>
      </w:r>
      <w:r>
        <w:rPr>
          <w:rFonts w:hint="eastAsia"/>
          <w:b/>
          <w:bCs/>
          <w:szCs w:val="21"/>
        </w:rPr>
        <w:t>及运输</w:t>
      </w:r>
    </w:p>
    <w:p w14:paraId="31B8A16D">
      <w:pPr>
        <w:pStyle w:val="135"/>
        <w:spacing w:before="0" w:beforeLines="0" w:line="360" w:lineRule="auto"/>
        <w:jc w:val="left"/>
        <w:rPr>
          <w:b/>
          <w:bCs/>
          <w:kern w:val="0"/>
          <w:sz w:val="24"/>
          <w:szCs w:val="24"/>
        </w:rPr>
      </w:pPr>
      <w:r>
        <w:rPr>
          <w:rFonts w:hint="eastAsia"/>
          <w:b/>
          <w:bCs/>
          <w:kern w:val="0"/>
          <w:sz w:val="24"/>
          <w:szCs w:val="24"/>
        </w:rPr>
        <w:t>（3）</w:t>
      </w:r>
      <w:r>
        <w:rPr>
          <w:b/>
          <w:bCs/>
          <w:kern w:val="0"/>
          <w:sz w:val="24"/>
          <w:szCs w:val="24"/>
        </w:rPr>
        <w:t>原料组分分析</w:t>
      </w:r>
    </w:p>
    <w:p w14:paraId="13159044">
      <w:pPr>
        <w:pStyle w:val="143"/>
        <w:spacing w:before="0" w:beforeLines="0" w:line="360" w:lineRule="auto"/>
        <w:ind w:firstLine="480" w:firstLineChars="200"/>
        <w:jc w:val="both"/>
        <w:rPr>
          <w:bCs w:val="0"/>
          <w:snapToGrid w:val="0"/>
          <w:sz w:val="24"/>
          <w:szCs w:val="24"/>
        </w:rPr>
      </w:pPr>
      <w:r>
        <w:rPr>
          <w:rFonts w:hint="eastAsia"/>
          <w:bCs w:val="0"/>
          <w:snapToGrid w:val="0"/>
          <w:sz w:val="24"/>
          <w:szCs w:val="24"/>
        </w:rPr>
        <w:t>本项目原料包括亿升达尾矿及废石，年使用原料300万吨，根据现状尾矿及废石堆存情况，企业年利用尾矿约111万吨、废石约189万吨。根据企业调查，约26万t/a废石为大块废石，直接进入2#厂区颚式破碎环节；其余废石和尾矿进入1#厂区一次筛分。</w:t>
      </w:r>
      <w:r>
        <w:rPr>
          <w:bCs w:val="0"/>
          <w:snapToGrid w:val="0"/>
          <w:sz w:val="24"/>
          <w:szCs w:val="24"/>
        </w:rPr>
        <w:t>本项目原料组分分析详见表3.</w:t>
      </w:r>
      <w:r>
        <w:rPr>
          <w:rFonts w:hint="eastAsia"/>
          <w:bCs w:val="0"/>
          <w:snapToGrid w:val="0"/>
          <w:sz w:val="24"/>
          <w:szCs w:val="24"/>
        </w:rPr>
        <w:t>1</w:t>
      </w:r>
      <w:r>
        <w:rPr>
          <w:bCs w:val="0"/>
          <w:snapToGrid w:val="0"/>
          <w:sz w:val="24"/>
          <w:szCs w:val="24"/>
        </w:rPr>
        <w:t>-</w:t>
      </w:r>
      <w:r>
        <w:rPr>
          <w:rFonts w:hint="eastAsia"/>
          <w:bCs w:val="0"/>
          <w:snapToGrid w:val="0"/>
          <w:sz w:val="24"/>
          <w:szCs w:val="24"/>
        </w:rPr>
        <w:t>6、</w:t>
      </w:r>
      <w:r>
        <w:rPr>
          <w:bCs w:val="0"/>
          <w:snapToGrid w:val="0"/>
          <w:sz w:val="24"/>
          <w:szCs w:val="24"/>
        </w:rPr>
        <w:t>表</w:t>
      </w:r>
      <w:r>
        <w:rPr>
          <w:rFonts w:hint="eastAsia"/>
          <w:bCs w:val="0"/>
          <w:snapToGrid w:val="0"/>
          <w:sz w:val="24"/>
          <w:szCs w:val="24"/>
        </w:rPr>
        <w:t>3.1-7，按比例混合原料主要成分比例见表3.1-8。</w:t>
      </w:r>
    </w:p>
    <w:p w14:paraId="3D4C46FD">
      <w:pPr>
        <w:pStyle w:val="143"/>
        <w:spacing w:before="156"/>
        <w:rPr>
          <w:b/>
          <w:kern w:val="2"/>
        </w:rPr>
      </w:pPr>
      <w:bookmarkStart w:id="95" w:name="_Hlk171931288"/>
      <w:r>
        <w:rPr>
          <w:b/>
          <w:kern w:val="2"/>
        </w:rPr>
        <w:t>表3.</w:t>
      </w:r>
      <w:r>
        <w:rPr>
          <w:rFonts w:hint="eastAsia"/>
          <w:b/>
          <w:kern w:val="2"/>
        </w:rPr>
        <w:t>1</w:t>
      </w:r>
      <w:r>
        <w:rPr>
          <w:b/>
          <w:kern w:val="2"/>
        </w:rPr>
        <w:t>-</w:t>
      </w:r>
      <w:r>
        <w:rPr>
          <w:rFonts w:hint="eastAsia"/>
          <w:b/>
          <w:kern w:val="2"/>
        </w:rPr>
        <w:t>6</w:t>
      </w:r>
      <w:r>
        <w:rPr>
          <w:b/>
          <w:kern w:val="2"/>
        </w:rPr>
        <w:t xml:space="preserve"> </w:t>
      </w:r>
      <w:r>
        <w:rPr>
          <w:rFonts w:hint="eastAsia"/>
          <w:b/>
          <w:kern w:val="2"/>
        </w:rPr>
        <w:t xml:space="preserve">  </w:t>
      </w:r>
      <w:r>
        <w:rPr>
          <w:b/>
          <w:kern w:val="2"/>
        </w:rPr>
        <w:t xml:space="preserve"> 尾矿组分一览表   单位：%</w:t>
      </w:r>
    </w:p>
    <w:tbl>
      <w:tblPr>
        <w:tblStyle w:val="89"/>
        <w:tblW w:w="5122" w:type="pct"/>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0" w:type="dxa"/>
          <w:bottom w:w="0" w:type="dxa"/>
          <w:right w:w="0" w:type="dxa"/>
        </w:tblCellMar>
      </w:tblPr>
      <w:tblGrid>
        <w:gridCol w:w="1213"/>
        <w:gridCol w:w="1218"/>
        <w:gridCol w:w="1218"/>
        <w:gridCol w:w="1216"/>
        <w:gridCol w:w="1218"/>
        <w:gridCol w:w="1216"/>
        <w:gridCol w:w="1216"/>
      </w:tblGrid>
      <w:tr w14:paraId="66AA550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3" w:hRule="atLeast"/>
          <w:jc w:val="center"/>
        </w:trPr>
        <w:tc>
          <w:tcPr>
            <w:tcW w:w="712" w:type="pct"/>
            <w:vAlign w:val="center"/>
          </w:tcPr>
          <w:p w14:paraId="324C19EC">
            <w:pPr>
              <w:tabs>
                <w:tab w:val="left" w:pos="3255"/>
              </w:tabs>
              <w:adjustRightInd w:val="0"/>
              <w:snapToGrid w:val="0"/>
              <w:spacing w:before="0" w:beforeLines="0" w:line="240" w:lineRule="auto"/>
              <w:jc w:val="center"/>
              <w:rPr>
                <w:bCs/>
                <w:szCs w:val="21"/>
              </w:rPr>
            </w:pPr>
            <w:r>
              <w:rPr>
                <w:bCs/>
                <w:szCs w:val="21"/>
              </w:rPr>
              <w:t>W（SiO</w:t>
            </w:r>
            <w:r>
              <w:rPr>
                <w:bCs/>
                <w:szCs w:val="21"/>
                <w:vertAlign w:val="subscript"/>
              </w:rPr>
              <w:t>2</w:t>
            </w:r>
            <w:r>
              <w:rPr>
                <w:bCs/>
                <w:szCs w:val="21"/>
              </w:rPr>
              <w:t>）</w:t>
            </w:r>
          </w:p>
        </w:tc>
        <w:tc>
          <w:tcPr>
            <w:tcW w:w="715" w:type="pct"/>
            <w:vAlign w:val="center"/>
          </w:tcPr>
          <w:p w14:paraId="2C8B4D8D">
            <w:pPr>
              <w:tabs>
                <w:tab w:val="left" w:pos="3255"/>
              </w:tabs>
              <w:adjustRightInd w:val="0"/>
              <w:snapToGrid w:val="0"/>
              <w:spacing w:before="0" w:beforeLines="0" w:line="240" w:lineRule="auto"/>
              <w:jc w:val="center"/>
              <w:rPr>
                <w:bCs/>
                <w:szCs w:val="21"/>
              </w:rPr>
            </w:pPr>
            <w:r>
              <w:rPr>
                <w:bCs/>
                <w:szCs w:val="21"/>
              </w:rPr>
              <w:t>W（Al</w:t>
            </w:r>
            <w:r>
              <w:rPr>
                <w:bCs/>
                <w:szCs w:val="21"/>
                <w:vertAlign w:val="subscript"/>
              </w:rPr>
              <w:t>2</w:t>
            </w:r>
            <w:r>
              <w:rPr>
                <w:bCs/>
                <w:szCs w:val="21"/>
              </w:rPr>
              <w:t>O</w:t>
            </w:r>
            <w:r>
              <w:rPr>
                <w:bCs/>
                <w:szCs w:val="21"/>
                <w:vertAlign w:val="subscript"/>
              </w:rPr>
              <w:t>3</w:t>
            </w:r>
            <w:r>
              <w:rPr>
                <w:bCs/>
                <w:szCs w:val="21"/>
              </w:rPr>
              <w:t>）</w:t>
            </w:r>
          </w:p>
        </w:tc>
        <w:tc>
          <w:tcPr>
            <w:tcW w:w="715" w:type="pct"/>
            <w:vAlign w:val="center"/>
          </w:tcPr>
          <w:p w14:paraId="772AD364">
            <w:pPr>
              <w:tabs>
                <w:tab w:val="left" w:pos="3255"/>
              </w:tabs>
              <w:adjustRightInd w:val="0"/>
              <w:snapToGrid w:val="0"/>
              <w:spacing w:before="0" w:beforeLines="0" w:line="240" w:lineRule="auto"/>
              <w:jc w:val="center"/>
              <w:rPr>
                <w:bCs/>
                <w:szCs w:val="21"/>
              </w:rPr>
            </w:pPr>
            <w:r>
              <w:rPr>
                <w:bCs/>
                <w:szCs w:val="21"/>
              </w:rPr>
              <w:t>W（TFe）</w:t>
            </w:r>
          </w:p>
        </w:tc>
        <w:tc>
          <w:tcPr>
            <w:tcW w:w="714" w:type="pct"/>
            <w:vAlign w:val="center"/>
          </w:tcPr>
          <w:p w14:paraId="40FC93DF">
            <w:pPr>
              <w:tabs>
                <w:tab w:val="left" w:pos="3255"/>
              </w:tabs>
              <w:adjustRightInd w:val="0"/>
              <w:snapToGrid w:val="0"/>
              <w:spacing w:before="0" w:beforeLines="0" w:line="240" w:lineRule="auto"/>
              <w:jc w:val="center"/>
              <w:rPr>
                <w:bCs/>
                <w:szCs w:val="21"/>
              </w:rPr>
            </w:pPr>
            <w:r>
              <w:rPr>
                <w:bCs/>
                <w:szCs w:val="21"/>
              </w:rPr>
              <w:t>W（TiO</w:t>
            </w:r>
            <w:r>
              <w:rPr>
                <w:bCs/>
                <w:szCs w:val="21"/>
                <w:vertAlign w:val="subscript"/>
              </w:rPr>
              <w:t>2</w:t>
            </w:r>
            <w:r>
              <w:rPr>
                <w:bCs/>
                <w:szCs w:val="21"/>
              </w:rPr>
              <w:t>)</w:t>
            </w:r>
          </w:p>
        </w:tc>
        <w:tc>
          <w:tcPr>
            <w:tcW w:w="715" w:type="pct"/>
            <w:vAlign w:val="center"/>
          </w:tcPr>
          <w:p w14:paraId="34C1A542">
            <w:pPr>
              <w:tabs>
                <w:tab w:val="left" w:pos="3255"/>
              </w:tabs>
              <w:adjustRightInd w:val="0"/>
              <w:snapToGrid w:val="0"/>
              <w:spacing w:before="0" w:beforeLines="0" w:line="240" w:lineRule="auto"/>
              <w:jc w:val="center"/>
              <w:rPr>
                <w:bCs/>
                <w:szCs w:val="21"/>
              </w:rPr>
            </w:pPr>
            <w:r>
              <w:rPr>
                <w:bCs/>
                <w:szCs w:val="21"/>
              </w:rPr>
              <w:t>W（CaO）</w:t>
            </w:r>
          </w:p>
        </w:tc>
        <w:tc>
          <w:tcPr>
            <w:tcW w:w="714" w:type="pct"/>
            <w:vAlign w:val="center"/>
          </w:tcPr>
          <w:p w14:paraId="03EDA740">
            <w:pPr>
              <w:tabs>
                <w:tab w:val="left" w:pos="3255"/>
              </w:tabs>
              <w:adjustRightInd w:val="0"/>
              <w:snapToGrid w:val="0"/>
              <w:spacing w:before="0" w:beforeLines="0" w:line="240" w:lineRule="auto"/>
              <w:jc w:val="center"/>
              <w:rPr>
                <w:bCs/>
                <w:szCs w:val="21"/>
              </w:rPr>
            </w:pPr>
            <w:r>
              <w:rPr>
                <w:bCs/>
                <w:szCs w:val="21"/>
              </w:rPr>
              <w:t>W（MgO）</w:t>
            </w:r>
          </w:p>
        </w:tc>
        <w:tc>
          <w:tcPr>
            <w:tcW w:w="714" w:type="pct"/>
            <w:vAlign w:val="center"/>
          </w:tcPr>
          <w:p w14:paraId="4F3606A9">
            <w:pPr>
              <w:tabs>
                <w:tab w:val="left" w:pos="3255"/>
              </w:tabs>
              <w:adjustRightInd w:val="0"/>
              <w:snapToGrid w:val="0"/>
              <w:spacing w:before="0" w:beforeLines="0" w:line="240" w:lineRule="auto"/>
              <w:jc w:val="center"/>
              <w:rPr>
                <w:bCs/>
                <w:szCs w:val="21"/>
              </w:rPr>
            </w:pPr>
            <w:r>
              <w:rPr>
                <w:bCs/>
                <w:szCs w:val="21"/>
              </w:rPr>
              <w:t>W（K</w:t>
            </w:r>
            <w:r>
              <w:rPr>
                <w:bCs/>
                <w:szCs w:val="21"/>
                <w:vertAlign w:val="subscript"/>
              </w:rPr>
              <w:t>2</w:t>
            </w:r>
            <w:r>
              <w:rPr>
                <w:bCs/>
                <w:szCs w:val="21"/>
              </w:rPr>
              <w:t>O）</w:t>
            </w:r>
          </w:p>
        </w:tc>
      </w:tr>
      <w:tr w14:paraId="402CADFB">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3" w:hRule="atLeast"/>
          <w:jc w:val="center"/>
        </w:trPr>
        <w:tc>
          <w:tcPr>
            <w:tcW w:w="712" w:type="pct"/>
            <w:vAlign w:val="center"/>
          </w:tcPr>
          <w:p w14:paraId="2F8C4934">
            <w:pPr>
              <w:tabs>
                <w:tab w:val="left" w:pos="3255"/>
              </w:tabs>
              <w:adjustRightInd w:val="0"/>
              <w:snapToGrid w:val="0"/>
              <w:spacing w:before="0" w:beforeLines="0" w:line="240" w:lineRule="auto"/>
              <w:jc w:val="center"/>
              <w:rPr>
                <w:bCs/>
                <w:szCs w:val="21"/>
              </w:rPr>
            </w:pPr>
            <w:r>
              <w:rPr>
                <w:bCs/>
                <w:szCs w:val="21"/>
              </w:rPr>
              <w:t>42.72</w:t>
            </w:r>
          </w:p>
        </w:tc>
        <w:tc>
          <w:tcPr>
            <w:tcW w:w="715" w:type="pct"/>
            <w:vAlign w:val="center"/>
          </w:tcPr>
          <w:p w14:paraId="33E1260F">
            <w:pPr>
              <w:tabs>
                <w:tab w:val="left" w:pos="3255"/>
              </w:tabs>
              <w:adjustRightInd w:val="0"/>
              <w:snapToGrid w:val="0"/>
              <w:spacing w:before="0" w:beforeLines="0" w:line="240" w:lineRule="auto"/>
              <w:jc w:val="center"/>
              <w:rPr>
                <w:bCs/>
                <w:szCs w:val="21"/>
              </w:rPr>
            </w:pPr>
            <w:r>
              <w:rPr>
                <w:bCs/>
                <w:szCs w:val="21"/>
              </w:rPr>
              <w:t>16.50</w:t>
            </w:r>
          </w:p>
        </w:tc>
        <w:tc>
          <w:tcPr>
            <w:tcW w:w="715" w:type="pct"/>
            <w:vAlign w:val="center"/>
          </w:tcPr>
          <w:p w14:paraId="5F7DE2F1">
            <w:pPr>
              <w:tabs>
                <w:tab w:val="left" w:pos="3255"/>
              </w:tabs>
              <w:adjustRightInd w:val="0"/>
              <w:snapToGrid w:val="0"/>
              <w:spacing w:before="0" w:beforeLines="0" w:line="240" w:lineRule="auto"/>
              <w:jc w:val="center"/>
              <w:rPr>
                <w:bCs/>
                <w:szCs w:val="21"/>
              </w:rPr>
            </w:pPr>
            <w:r>
              <w:rPr>
                <w:bCs/>
                <w:szCs w:val="21"/>
              </w:rPr>
              <w:t>8.71</w:t>
            </w:r>
          </w:p>
        </w:tc>
        <w:tc>
          <w:tcPr>
            <w:tcW w:w="714" w:type="pct"/>
            <w:vAlign w:val="center"/>
          </w:tcPr>
          <w:p w14:paraId="7B781B0D">
            <w:pPr>
              <w:tabs>
                <w:tab w:val="left" w:pos="3255"/>
              </w:tabs>
              <w:adjustRightInd w:val="0"/>
              <w:snapToGrid w:val="0"/>
              <w:spacing w:before="0" w:beforeLines="0" w:line="240" w:lineRule="auto"/>
              <w:jc w:val="center"/>
              <w:rPr>
                <w:bCs/>
                <w:szCs w:val="21"/>
              </w:rPr>
            </w:pPr>
            <w:r>
              <w:rPr>
                <w:bCs/>
                <w:szCs w:val="21"/>
              </w:rPr>
              <w:t>4.90</w:t>
            </w:r>
          </w:p>
        </w:tc>
        <w:tc>
          <w:tcPr>
            <w:tcW w:w="715" w:type="pct"/>
            <w:vAlign w:val="center"/>
          </w:tcPr>
          <w:p w14:paraId="49B2CA51">
            <w:pPr>
              <w:tabs>
                <w:tab w:val="left" w:pos="3255"/>
              </w:tabs>
              <w:adjustRightInd w:val="0"/>
              <w:snapToGrid w:val="0"/>
              <w:spacing w:before="0" w:beforeLines="0" w:line="240" w:lineRule="auto"/>
              <w:jc w:val="center"/>
              <w:rPr>
                <w:bCs/>
                <w:szCs w:val="21"/>
              </w:rPr>
            </w:pPr>
            <w:r>
              <w:rPr>
                <w:bCs/>
                <w:szCs w:val="21"/>
              </w:rPr>
              <w:t>9.70</w:t>
            </w:r>
          </w:p>
        </w:tc>
        <w:tc>
          <w:tcPr>
            <w:tcW w:w="714" w:type="pct"/>
            <w:vAlign w:val="center"/>
          </w:tcPr>
          <w:p w14:paraId="6B08645C">
            <w:pPr>
              <w:tabs>
                <w:tab w:val="left" w:pos="3255"/>
              </w:tabs>
              <w:adjustRightInd w:val="0"/>
              <w:snapToGrid w:val="0"/>
              <w:spacing w:before="0" w:beforeLines="0" w:line="240" w:lineRule="auto"/>
              <w:jc w:val="center"/>
              <w:rPr>
                <w:bCs/>
                <w:szCs w:val="21"/>
              </w:rPr>
            </w:pPr>
            <w:r>
              <w:rPr>
                <w:bCs/>
                <w:szCs w:val="21"/>
              </w:rPr>
              <w:t>5.57</w:t>
            </w:r>
          </w:p>
        </w:tc>
        <w:tc>
          <w:tcPr>
            <w:tcW w:w="714" w:type="pct"/>
            <w:vAlign w:val="center"/>
          </w:tcPr>
          <w:p w14:paraId="3BFEFC95">
            <w:pPr>
              <w:tabs>
                <w:tab w:val="left" w:pos="3255"/>
              </w:tabs>
              <w:adjustRightInd w:val="0"/>
              <w:snapToGrid w:val="0"/>
              <w:spacing w:before="0" w:beforeLines="0" w:line="240" w:lineRule="auto"/>
              <w:jc w:val="center"/>
              <w:rPr>
                <w:bCs/>
                <w:szCs w:val="21"/>
              </w:rPr>
            </w:pPr>
            <w:r>
              <w:rPr>
                <w:bCs/>
                <w:szCs w:val="21"/>
              </w:rPr>
              <w:t>1.18</w:t>
            </w:r>
          </w:p>
        </w:tc>
      </w:tr>
      <w:tr w14:paraId="7C3D59B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3" w:hRule="atLeast"/>
          <w:jc w:val="center"/>
        </w:trPr>
        <w:tc>
          <w:tcPr>
            <w:tcW w:w="712" w:type="pct"/>
            <w:vAlign w:val="center"/>
          </w:tcPr>
          <w:p w14:paraId="0D1B4576">
            <w:pPr>
              <w:tabs>
                <w:tab w:val="left" w:pos="3255"/>
              </w:tabs>
              <w:adjustRightInd w:val="0"/>
              <w:snapToGrid w:val="0"/>
              <w:spacing w:before="0" w:beforeLines="0" w:line="240" w:lineRule="auto"/>
              <w:jc w:val="center"/>
              <w:rPr>
                <w:bCs/>
                <w:szCs w:val="21"/>
              </w:rPr>
            </w:pPr>
            <w:r>
              <w:rPr>
                <w:bCs/>
                <w:szCs w:val="21"/>
              </w:rPr>
              <w:t>W（N</w:t>
            </w:r>
            <w:r>
              <w:rPr>
                <w:bCs/>
                <w:szCs w:val="21"/>
                <w:vertAlign w:val="subscript"/>
              </w:rPr>
              <w:t>2</w:t>
            </w:r>
            <w:r>
              <w:rPr>
                <w:bCs/>
                <w:szCs w:val="21"/>
              </w:rPr>
              <w:t>O）</w:t>
            </w:r>
          </w:p>
        </w:tc>
        <w:tc>
          <w:tcPr>
            <w:tcW w:w="715" w:type="pct"/>
            <w:vAlign w:val="center"/>
          </w:tcPr>
          <w:p w14:paraId="6A447A16">
            <w:pPr>
              <w:tabs>
                <w:tab w:val="left" w:pos="3255"/>
              </w:tabs>
              <w:adjustRightInd w:val="0"/>
              <w:snapToGrid w:val="0"/>
              <w:spacing w:before="0" w:beforeLines="0" w:line="240" w:lineRule="auto"/>
              <w:jc w:val="center"/>
              <w:rPr>
                <w:bCs/>
                <w:szCs w:val="21"/>
              </w:rPr>
            </w:pPr>
            <w:r>
              <w:rPr>
                <w:bCs/>
                <w:szCs w:val="21"/>
              </w:rPr>
              <w:t>W（V</w:t>
            </w:r>
            <w:r>
              <w:rPr>
                <w:bCs/>
                <w:szCs w:val="21"/>
                <w:vertAlign w:val="subscript"/>
              </w:rPr>
              <w:t>2</w:t>
            </w:r>
            <w:r>
              <w:rPr>
                <w:bCs/>
                <w:szCs w:val="21"/>
              </w:rPr>
              <w:t>O</w:t>
            </w:r>
            <w:r>
              <w:rPr>
                <w:bCs/>
                <w:szCs w:val="21"/>
                <w:vertAlign w:val="subscript"/>
              </w:rPr>
              <w:t>5</w:t>
            </w:r>
            <w:r>
              <w:rPr>
                <w:bCs/>
                <w:szCs w:val="21"/>
              </w:rPr>
              <w:t>）</w:t>
            </w:r>
          </w:p>
        </w:tc>
        <w:tc>
          <w:tcPr>
            <w:tcW w:w="715" w:type="pct"/>
            <w:vAlign w:val="center"/>
          </w:tcPr>
          <w:p w14:paraId="600C7D00">
            <w:pPr>
              <w:tabs>
                <w:tab w:val="left" w:pos="3255"/>
              </w:tabs>
              <w:adjustRightInd w:val="0"/>
              <w:snapToGrid w:val="0"/>
              <w:spacing w:before="0" w:beforeLines="0" w:line="240" w:lineRule="auto"/>
              <w:jc w:val="center"/>
              <w:rPr>
                <w:bCs/>
                <w:szCs w:val="21"/>
              </w:rPr>
            </w:pPr>
            <w:r>
              <w:rPr>
                <w:bCs/>
                <w:szCs w:val="21"/>
              </w:rPr>
              <w:t>W（Cr)</w:t>
            </w:r>
          </w:p>
        </w:tc>
        <w:tc>
          <w:tcPr>
            <w:tcW w:w="714" w:type="pct"/>
            <w:vAlign w:val="center"/>
          </w:tcPr>
          <w:p w14:paraId="5A244F20">
            <w:pPr>
              <w:tabs>
                <w:tab w:val="left" w:pos="3255"/>
              </w:tabs>
              <w:adjustRightInd w:val="0"/>
              <w:snapToGrid w:val="0"/>
              <w:spacing w:before="0" w:beforeLines="0" w:line="240" w:lineRule="auto"/>
              <w:jc w:val="center"/>
              <w:rPr>
                <w:bCs/>
                <w:szCs w:val="21"/>
              </w:rPr>
            </w:pPr>
            <w:r>
              <w:rPr>
                <w:bCs/>
                <w:szCs w:val="21"/>
              </w:rPr>
              <w:t>W（P）</w:t>
            </w:r>
          </w:p>
        </w:tc>
        <w:tc>
          <w:tcPr>
            <w:tcW w:w="715" w:type="pct"/>
            <w:vAlign w:val="center"/>
          </w:tcPr>
          <w:p w14:paraId="3DFC6E91">
            <w:pPr>
              <w:tabs>
                <w:tab w:val="left" w:pos="3255"/>
              </w:tabs>
              <w:adjustRightInd w:val="0"/>
              <w:snapToGrid w:val="0"/>
              <w:spacing w:before="0" w:beforeLines="0" w:line="240" w:lineRule="auto"/>
              <w:jc w:val="center"/>
              <w:rPr>
                <w:bCs/>
                <w:szCs w:val="21"/>
              </w:rPr>
            </w:pPr>
            <w:r>
              <w:rPr>
                <w:bCs/>
                <w:szCs w:val="21"/>
              </w:rPr>
              <w:t>W（mFe）</w:t>
            </w:r>
          </w:p>
        </w:tc>
        <w:tc>
          <w:tcPr>
            <w:tcW w:w="714" w:type="pct"/>
            <w:vAlign w:val="center"/>
          </w:tcPr>
          <w:p w14:paraId="182A98C1">
            <w:pPr>
              <w:tabs>
                <w:tab w:val="left" w:pos="3255"/>
              </w:tabs>
              <w:adjustRightInd w:val="0"/>
              <w:snapToGrid w:val="0"/>
              <w:spacing w:before="0" w:beforeLines="0" w:line="240" w:lineRule="auto"/>
              <w:jc w:val="center"/>
              <w:rPr>
                <w:bCs/>
                <w:szCs w:val="21"/>
              </w:rPr>
            </w:pPr>
            <w:r>
              <w:rPr>
                <w:bCs/>
                <w:szCs w:val="21"/>
              </w:rPr>
              <w:t>W（LOS）</w:t>
            </w:r>
          </w:p>
        </w:tc>
        <w:tc>
          <w:tcPr>
            <w:tcW w:w="714" w:type="pct"/>
            <w:vAlign w:val="center"/>
          </w:tcPr>
          <w:p w14:paraId="3532E30E">
            <w:pPr>
              <w:tabs>
                <w:tab w:val="left" w:pos="3255"/>
              </w:tabs>
              <w:adjustRightInd w:val="0"/>
              <w:snapToGrid w:val="0"/>
              <w:spacing w:before="0" w:beforeLines="0" w:line="240" w:lineRule="auto"/>
              <w:jc w:val="center"/>
              <w:rPr>
                <w:bCs/>
                <w:szCs w:val="21"/>
              </w:rPr>
            </w:pPr>
            <w:r>
              <w:rPr>
                <w:rFonts w:hint="eastAsia"/>
                <w:bCs/>
                <w:szCs w:val="21"/>
              </w:rPr>
              <w:t>/</w:t>
            </w:r>
          </w:p>
        </w:tc>
      </w:tr>
      <w:tr w14:paraId="5036F67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3" w:hRule="atLeast"/>
          <w:jc w:val="center"/>
        </w:trPr>
        <w:tc>
          <w:tcPr>
            <w:tcW w:w="712" w:type="pct"/>
            <w:vAlign w:val="center"/>
          </w:tcPr>
          <w:p w14:paraId="58A896B4">
            <w:pPr>
              <w:tabs>
                <w:tab w:val="left" w:pos="3255"/>
              </w:tabs>
              <w:adjustRightInd w:val="0"/>
              <w:snapToGrid w:val="0"/>
              <w:spacing w:before="0" w:beforeLines="0" w:line="240" w:lineRule="auto"/>
              <w:jc w:val="center"/>
              <w:rPr>
                <w:bCs/>
                <w:szCs w:val="21"/>
              </w:rPr>
            </w:pPr>
            <w:r>
              <w:rPr>
                <w:bCs/>
                <w:szCs w:val="21"/>
              </w:rPr>
              <w:t>3.80</w:t>
            </w:r>
          </w:p>
        </w:tc>
        <w:tc>
          <w:tcPr>
            <w:tcW w:w="715" w:type="pct"/>
            <w:vAlign w:val="center"/>
          </w:tcPr>
          <w:p w14:paraId="56AA58B9">
            <w:pPr>
              <w:tabs>
                <w:tab w:val="left" w:pos="3255"/>
              </w:tabs>
              <w:adjustRightInd w:val="0"/>
              <w:snapToGrid w:val="0"/>
              <w:spacing w:before="0" w:beforeLines="0" w:line="240" w:lineRule="auto"/>
              <w:jc w:val="center"/>
              <w:rPr>
                <w:bCs/>
                <w:szCs w:val="21"/>
              </w:rPr>
            </w:pPr>
            <w:r>
              <w:rPr>
                <w:bCs/>
                <w:szCs w:val="21"/>
              </w:rPr>
              <w:t>0.1</w:t>
            </w:r>
          </w:p>
        </w:tc>
        <w:tc>
          <w:tcPr>
            <w:tcW w:w="715" w:type="pct"/>
            <w:vAlign w:val="center"/>
          </w:tcPr>
          <w:p w14:paraId="601A892C">
            <w:pPr>
              <w:tabs>
                <w:tab w:val="left" w:pos="3255"/>
              </w:tabs>
              <w:adjustRightInd w:val="0"/>
              <w:snapToGrid w:val="0"/>
              <w:spacing w:before="0" w:beforeLines="0" w:line="240" w:lineRule="auto"/>
              <w:jc w:val="center"/>
              <w:rPr>
                <w:bCs/>
                <w:szCs w:val="21"/>
              </w:rPr>
            </w:pPr>
            <w:r>
              <w:rPr>
                <w:bCs/>
                <w:szCs w:val="21"/>
              </w:rPr>
              <w:t>1.8</w:t>
            </w:r>
          </w:p>
        </w:tc>
        <w:tc>
          <w:tcPr>
            <w:tcW w:w="714" w:type="pct"/>
            <w:vAlign w:val="center"/>
          </w:tcPr>
          <w:p w14:paraId="750D4043">
            <w:pPr>
              <w:tabs>
                <w:tab w:val="left" w:pos="3255"/>
              </w:tabs>
              <w:adjustRightInd w:val="0"/>
              <w:snapToGrid w:val="0"/>
              <w:spacing w:before="0" w:beforeLines="0" w:line="240" w:lineRule="auto"/>
              <w:jc w:val="center"/>
              <w:rPr>
                <w:bCs/>
                <w:szCs w:val="21"/>
              </w:rPr>
            </w:pPr>
            <w:r>
              <w:rPr>
                <w:bCs/>
                <w:szCs w:val="21"/>
              </w:rPr>
              <w:t>0.082</w:t>
            </w:r>
          </w:p>
        </w:tc>
        <w:tc>
          <w:tcPr>
            <w:tcW w:w="715" w:type="pct"/>
            <w:vAlign w:val="center"/>
          </w:tcPr>
          <w:p w14:paraId="18673E08">
            <w:pPr>
              <w:tabs>
                <w:tab w:val="left" w:pos="3255"/>
              </w:tabs>
              <w:adjustRightInd w:val="0"/>
              <w:snapToGrid w:val="0"/>
              <w:spacing w:before="0" w:beforeLines="0" w:line="240" w:lineRule="auto"/>
              <w:jc w:val="center"/>
              <w:rPr>
                <w:bCs/>
                <w:szCs w:val="21"/>
              </w:rPr>
            </w:pPr>
            <w:r>
              <w:rPr>
                <w:bCs/>
                <w:szCs w:val="21"/>
              </w:rPr>
              <w:t>1.29</w:t>
            </w:r>
          </w:p>
        </w:tc>
        <w:tc>
          <w:tcPr>
            <w:tcW w:w="714" w:type="pct"/>
            <w:vAlign w:val="center"/>
          </w:tcPr>
          <w:p w14:paraId="4BC37DC4">
            <w:pPr>
              <w:tabs>
                <w:tab w:val="left" w:pos="3255"/>
              </w:tabs>
              <w:adjustRightInd w:val="0"/>
              <w:snapToGrid w:val="0"/>
              <w:spacing w:before="0" w:beforeLines="0" w:line="240" w:lineRule="auto"/>
              <w:jc w:val="center"/>
              <w:rPr>
                <w:bCs/>
                <w:szCs w:val="21"/>
              </w:rPr>
            </w:pPr>
            <w:r>
              <w:rPr>
                <w:bCs/>
                <w:szCs w:val="21"/>
              </w:rPr>
              <w:t>3.</w:t>
            </w:r>
            <w:r>
              <w:rPr>
                <w:rFonts w:hint="eastAsia"/>
                <w:bCs/>
                <w:szCs w:val="21"/>
              </w:rPr>
              <w:t>46</w:t>
            </w:r>
          </w:p>
        </w:tc>
        <w:tc>
          <w:tcPr>
            <w:tcW w:w="714" w:type="pct"/>
            <w:vAlign w:val="center"/>
          </w:tcPr>
          <w:p w14:paraId="25BC9F46">
            <w:pPr>
              <w:tabs>
                <w:tab w:val="left" w:pos="3255"/>
              </w:tabs>
              <w:adjustRightInd w:val="0"/>
              <w:snapToGrid w:val="0"/>
              <w:spacing w:before="0" w:beforeLines="0" w:line="240" w:lineRule="auto"/>
              <w:jc w:val="center"/>
              <w:rPr>
                <w:bCs/>
                <w:szCs w:val="21"/>
              </w:rPr>
            </w:pPr>
            <w:r>
              <w:rPr>
                <w:rFonts w:hint="eastAsia"/>
                <w:bCs/>
                <w:szCs w:val="21"/>
              </w:rPr>
              <w:t>/</w:t>
            </w:r>
          </w:p>
        </w:tc>
      </w:tr>
    </w:tbl>
    <w:p w14:paraId="6799988E">
      <w:pPr>
        <w:pStyle w:val="143"/>
        <w:spacing w:before="156"/>
        <w:rPr>
          <w:b/>
          <w:kern w:val="2"/>
        </w:rPr>
      </w:pPr>
      <w:r>
        <w:rPr>
          <w:b/>
          <w:kern w:val="2"/>
        </w:rPr>
        <w:t>表3.</w:t>
      </w:r>
      <w:r>
        <w:rPr>
          <w:rFonts w:hint="eastAsia"/>
          <w:b/>
          <w:kern w:val="2"/>
        </w:rPr>
        <w:t>1</w:t>
      </w:r>
      <w:r>
        <w:rPr>
          <w:b/>
          <w:kern w:val="2"/>
        </w:rPr>
        <w:t>-</w:t>
      </w:r>
      <w:r>
        <w:rPr>
          <w:rFonts w:hint="eastAsia"/>
          <w:b/>
          <w:kern w:val="2"/>
        </w:rPr>
        <w:t>7</w:t>
      </w:r>
      <w:r>
        <w:rPr>
          <w:b/>
          <w:kern w:val="2"/>
        </w:rPr>
        <w:t xml:space="preserve"> </w:t>
      </w:r>
      <w:r>
        <w:rPr>
          <w:rFonts w:hint="eastAsia"/>
          <w:b/>
          <w:kern w:val="2"/>
        </w:rPr>
        <w:t xml:space="preserve">   </w:t>
      </w:r>
      <w:r>
        <w:rPr>
          <w:b/>
          <w:kern w:val="2"/>
        </w:rPr>
        <w:t xml:space="preserve"> </w:t>
      </w:r>
      <w:r>
        <w:rPr>
          <w:rFonts w:hint="eastAsia"/>
          <w:b/>
          <w:kern w:val="2"/>
        </w:rPr>
        <w:t>废石组</w:t>
      </w:r>
      <w:r>
        <w:rPr>
          <w:b/>
          <w:kern w:val="2"/>
        </w:rPr>
        <w:t>分一览表   单位：%</w:t>
      </w:r>
    </w:p>
    <w:tbl>
      <w:tblPr>
        <w:tblStyle w:val="89"/>
        <w:tblW w:w="5169" w:type="pct"/>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0" w:type="dxa"/>
          <w:bottom w:w="0" w:type="dxa"/>
          <w:right w:w="0" w:type="dxa"/>
        </w:tblCellMar>
      </w:tblPr>
      <w:tblGrid>
        <w:gridCol w:w="1225"/>
        <w:gridCol w:w="1229"/>
        <w:gridCol w:w="1229"/>
        <w:gridCol w:w="1227"/>
        <w:gridCol w:w="1229"/>
        <w:gridCol w:w="1227"/>
        <w:gridCol w:w="1227"/>
      </w:tblGrid>
      <w:tr w14:paraId="4DEE553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5" w:hRule="atLeast"/>
          <w:jc w:val="center"/>
        </w:trPr>
        <w:tc>
          <w:tcPr>
            <w:tcW w:w="713" w:type="pct"/>
            <w:tcBorders>
              <w:top w:val="single" w:color="000000" w:sz="12" w:space="0"/>
              <w:tl2br w:val="nil"/>
              <w:tr2bl w:val="nil"/>
            </w:tcBorders>
            <w:vAlign w:val="center"/>
          </w:tcPr>
          <w:p w14:paraId="0A7E6651">
            <w:pPr>
              <w:tabs>
                <w:tab w:val="left" w:pos="3255"/>
              </w:tabs>
              <w:adjustRightInd w:val="0"/>
              <w:snapToGrid w:val="0"/>
              <w:spacing w:before="0" w:beforeLines="0" w:line="240" w:lineRule="auto"/>
              <w:jc w:val="center"/>
              <w:rPr>
                <w:bCs/>
                <w:szCs w:val="21"/>
              </w:rPr>
            </w:pPr>
            <w:r>
              <w:rPr>
                <w:bCs/>
                <w:szCs w:val="21"/>
              </w:rPr>
              <w:t>W（SiO</w:t>
            </w:r>
            <w:r>
              <w:rPr>
                <w:bCs/>
                <w:szCs w:val="21"/>
                <w:vertAlign w:val="subscript"/>
              </w:rPr>
              <w:t>2</w:t>
            </w:r>
            <w:r>
              <w:rPr>
                <w:bCs/>
                <w:szCs w:val="21"/>
              </w:rPr>
              <w:t>）</w:t>
            </w:r>
          </w:p>
        </w:tc>
        <w:tc>
          <w:tcPr>
            <w:tcW w:w="715" w:type="pct"/>
            <w:tcBorders>
              <w:top w:val="single" w:color="000000" w:sz="12" w:space="0"/>
              <w:tl2br w:val="nil"/>
              <w:tr2bl w:val="nil"/>
            </w:tcBorders>
            <w:vAlign w:val="center"/>
          </w:tcPr>
          <w:p w14:paraId="2E27E607">
            <w:pPr>
              <w:tabs>
                <w:tab w:val="left" w:pos="3255"/>
              </w:tabs>
              <w:adjustRightInd w:val="0"/>
              <w:snapToGrid w:val="0"/>
              <w:spacing w:before="0" w:beforeLines="0" w:line="240" w:lineRule="auto"/>
              <w:jc w:val="center"/>
              <w:rPr>
                <w:bCs/>
                <w:szCs w:val="21"/>
              </w:rPr>
            </w:pPr>
            <w:r>
              <w:rPr>
                <w:bCs/>
                <w:szCs w:val="21"/>
              </w:rPr>
              <w:t>W（Al</w:t>
            </w:r>
            <w:r>
              <w:rPr>
                <w:bCs/>
                <w:szCs w:val="21"/>
                <w:vertAlign w:val="subscript"/>
              </w:rPr>
              <w:t>2</w:t>
            </w:r>
            <w:r>
              <w:rPr>
                <w:bCs/>
                <w:szCs w:val="21"/>
              </w:rPr>
              <w:t>O</w:t>
            </w:r>
            <w:r>
              <w:rPr>
                <w:bCs/>
                <w:szCs w:val="21"/>
                <w:vertAlign w:val="subscript"/>
              </w:rPr>
              <w:t>3</w:t>
            </w:r>
            <w:r>
              <w:rPr>
                <w:bCs/>
                <w:szCs w:val="21"/>
              </w:rPr>
              <w:t>）</w:t>
            </w:r>
          </w:p>
        </w:tc>
        <w:tc>
          <w:tcPr>
            <w:tcW w:w="715" w:type="pct"/>
            <w:tcBorders>
              <w:top w:val="single" w:color="000000" w:sz="12" w:space="0"/>
              <w:tl2br w:val="nil"/>
              <w:tr2bl w:val="nil"/>
            </w:tcBorders>
            <w:vAlign w:val="center"/>
          </w:tcPr>
          <w:p w14:paraId="4BB061A6">
            <w:pPr>
              <w:tabs>
                <w:tab w:val="left" w:pos="3255"/>
              </w:tabs>
              <w:adjustRightInd w:val="0"/>
              <w:snapToGrid w:val="0"/>
              <w:spacing w:before="0" w:beforeLines="0" w:line="240" w:lineRule="auto"/>
              <w:jc w:val="center"/>
              <w:rPr>
                <w:bCs/>
                <w:szCs w:val="21"/>
              </w:rPr>
            </w:pPr>
            <w:r>
              <w:rPr>
                <w:bCs/>
                <w:szCs w:val="21"/>
              </w:rPr>
              <w:t>W（TFe）</w:t>
            </w:r>
          </w:p>
        </w:tc>
        <w:tc>
          <w:tcPr>
            <w:tcW w:w="714" w:type="pct"/>
            <w:tcBorders>
              <w:top w:val="single" w:color="000000" w:sz="12" w:space="0"/>
              <w:tl2br w:val="nil"/>
              <w:tr2bl w:val="nil"/>
            </w:tcBorders>
            <w:vAlign w:val="center"/>
          </w:tcPr>
          <w:p w14:paraId="489F059B">
            <w:pPr>
              <w:tabs>
                <w:tab w:val="left" w:pos="3255"/>
              </w:tabs>
              <w:adjustRightInd w:val="0"/>
              <w:snapToGrid w:val="0"/>
              <w:spacing w:before="0" w:beforeLines="0" w:line="240" w:lineRule="auto"/>
              <w:jc w:val="center"/>
              <w:rPr>
                <w:bCs/>
                <w:szCs w:val="21"/>
              </w:rPr>
            </w:pPr>
            <w:r>
              <w:rPr>
                <w:bCs/>
                <w:szCs w:val="21"/>
              </w:rPr>
              <w:t>W（TiO</w:t>
            </w:r>
            <w:r>
              <w:rPr>
                <w:bCs/>
                <w:szCs w:val="21"/>
                <w:vertAlign w:val="subscript"/>
              </w:rPr>
              <w:t>2</w:t>
            </w:r>
            <w:r>
              <w:rPr>
                <w:bCs/>
                <w:szCs w:val="21"/>
              </w:rPr>
              <w:t>)</w:t>
            </w:r>
          </w:p>
        </w:tc>
        <w:tc>
          <w:tcPr>
            <w:tcW w:w="715" w:type="pct"/>
            <w:tcBorders>
              <w:top w:val="single" w:color="000000" w:sz="12" w:space="0"/>
              <w:tl2br w:val="nil"/>
              <w:tr2bl w:val="nil"/>
            </w:tcBorders>
            <w:vAlign w:val="center"/>
          </w:tcPr>
          <w:p w14:paraId="17A6DF28">
            <w:pPr>
              <w:tabs>
                <w:tab w:val="left" w:pos="3255"/>
              </w:tabs>
              <w:adjustRightInd w:val="0"/>
              <w:snapToGrid w:val="0"/>
              <w:spacing w:before="0" w:beforeLines="0" w:line="240" w:lineRule="auto"/>
              <w:jc w:val="center"/>
              <w:rPr>
                <w:bCs/>
                <w:szCs w:val="21"/>
              </w:rPr>
            </w:pPr>
            <w:r>
              <w:rPr>
                <w:bCs/>
                <w:szCs w:val="21"/>
              </w:rPr>
              <w:t>W（CaO）</w:t>
            </w:r>
          </w:p>
        </w:tc>
        <w:tc>
          <w:tcPr>
            <w:tcW w:w="714" w:type="pct"/>
            <w:tcBorders>
              <w:top w:val="single" w:color="000000" w:sz="12" w:space="0"/>
              <w:tl2br w:val="nil"/>
              <w:tr2bl w:val="nil"/>
            </w:tcBorders>
            <w:vAlign w:val="center"/>
          </w:tcPr>
          <w:p w14:paraId="77CBBED2">
            <w:pPr>
              <w:tabs>
                <w:tab w:val="left" w:pos="3255"/>
              </w:tabs>
              <w:adjustRightInd w:val="0"/>
              <w:snapToGrid w:val="0"/>
              <w:spacing w:before="0" w:beforeLines="0" w:line="240" w:lineRule="auto"/>
              <w:jc w:val="center"/>
              <w:rPr>
                <w:bCs/>
                <w:szCs w:val="21"/>
              </w:rPr>
            </w:pPr>
            <w:r>
              <w:rPr>
                <w:bCs/>
                <w:szCs w:val="21"/>
              </w:rPr>
              <w:t>W（MgO）</w:t>
            </w:r>
          </w:p>
        </w:tc>
        <w:tc>
          <w:tcPr>
            <w:tcW w:w="714" w:type="pct"/>
            <w:tcBorders>
              <w:top w:val="single" w:color="000000" w:sz="12" w:space="0"/>
              <w:tl2br w:val="nil"/>
              <w:tr2bl w:val="nil"/>
            </w:tcBorders>
            <w:vAlign w:val="center"/>
          </w:tcPr>
          <w:p w14:paraId="5E646E75">
            <w:pPr>
              <w:tabs>
                <w:tab w:val="left" w:pos="3255"/>
              </w:tabs>
              <w:adjustRightInd w:val="0"/>
              <w:snapToGrid w:val="0"/>
              <w:spacing w:before="0" w:beforeLines="0" w:line="240" w:lineRule="auto"/>
              <w:jc w:val="center"/>
              <w:rPr>
                <w:bCs/>
                <w:szCs w:val="21"/>
              </w:rPr>
            </w:pPr>
            <w:r>
              <w:rPr>
                <w:bCs/>
                <w:szCs w:val="21"/>
              </w:rPr>
              <w:t>W（K</w:t>
            </w:r>
            <w:r>
              <w:rPr>
                <w:bCs/>
                <w:szCs w:val="21"/>
                <w:vertAlign w:val="subscript"/>
              </w:rPr>
              <w:t>2</w:t>
            </w:r>
            <w:r>
              <w:rPr>
                <w:bCs/>
                <w:szCs w:val="21"/>
              </w:rPr>
              <w:t>O）</w:t>
            </w:r>
          </w:p>
        </w:tc>
      </w:tr>
      <w:tr w14:paraId="6E21307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5" w:hRule="atLeast"/>
          <w:jc w:val="center"/>
        </w:trPr>
        <w:tc>
          <w:tcPr>
            <w:tcW w:w="713" w:type="pct"/>
            <w:tcBorders>
              <w:tl2br w:val="nil"/>
              <w:tr2bl w:val="nil"/>
            </w:tcBorders>
            <w:vAlign w:val="center"/>
          </w:tcPr>
          <w:p w14:paraId="4B473F12">
            <w:pPr>
              <w:tabs>
                <w:tab w:val="left" w:pos="3255"/>
              </w:tabs>
              <w:adjustRightInd w:val="0"/>
              <w:snapToGrid w:val="0"/>
              <w:spacing w:before="0" w:beforeLines="0" w:line="240" w:lineRule="auto"/>
              <w:jc w:val="center"/>
              <w:rPr>
                <w:bCs/>
                <w:szCs w:val="21"/>
              </w:rPr>
            </w:pPr>
            <w:r>
              <w:rPr>
                <w:rFonts w:hint="eastAsia"/>
                <w:bCs/>
                <w:szCs w:val="21"/>
              </w:rPr>
              <w:t>37.5</w:t>
            </w:r>
          </w:p>
        </w:tc>
        <w:tc>
          <w:tcPr>
            <w:tcW w:w="715" w:type="pct"/>
            <w:tcBorders>
              <w:tl2br w:val="nil"/>
              <w:tr2bl w:val="nil"/>
            </w:tcBorders>
            <w:vAlign w:val="center"/>
          </w:tcPr>
          <w:p w14:paraId="074B8290">
            <w:pPr>
              <w:tabs>
                <w:tab w:val="left" w:pos="3255"/>
              </w:tabs>
              <w:adjustRightInd w:val="0"/>
              <w:snapToGrid w:val="0"/>
              <w:spacing w:before="0" w:beforeLines="0" w:line="240" w:lineRule="auto"/>
              <w:jc w:val="center"/>
              <w:rPr>
                <w:bCs/>
                <w:szCs w:val="21"/>
              </w:rPr>
            </w:pPr>
            <w:r>
              <w:rPr>
                <w:rFonts w:hint="eastAsia"/>
                <w:bCs/>
                <w:szCs w:val="21"/>
              </w:rPr>
              <w:t>25.2</w:t>
            </w:r>
          </w:p>
        </w:tc>
        <w:tc>
          <w:tcPr>
            <w:tcW w:w="715" w:type="pct"/>
            <w:tcBorders>
              <w:tl2br w:val="nil"/>
              <w:tr2bl w:val="nil"/>
            </w:tcBorders>
            <w:vAlign w:val="center"/>
          </w:tcPr>
          <w:p w14:paraId="76DC8CCD">
            <w:pPr>
              <w:tabs>
                <w:tab w:val="left" w:pos="3255"/>
              </w:tabs>
              <w:adjustRightInd w:val="0"/>
              <w:snapToGrid w:val="0"/>
              <w:spacing w:before="0" w:beforeLines="0" w:line="240" w:lineRule="auto"/>
              <w:jc w:val="center"/>
              <w:rPr>
                <w:bCs/>
                <w:szCs w:val="21"/>
              </w:rPr>
            </w:pPr>
            <w:r>
              <w:rPr>
                <w:rFonts w:hint="eastAsia"/>
                <w:bCs/>
                <w:szCs w:val="21"/>
              </w:rPr>
              <w:t>8.2</w:t>
            </w:r>
          </w:p>
        </w:tc>
        <w:tc>
          <w:tcPr>
            <w:tcW w:w="714" w:type="pct"/>
            <w:tcBorders>
              <w:tl2br w:val="nil"/>
              <w:tr2bl w:val="nil"/>
            </w:tcBorders>
            <w:vAlign w:val="center"/>
          </w:tcPr>
          <w:p w14:paraId="0612810C">
            <w:pPr>
              <w:tabs>
                <w:tab w:val="left" w:pos="3255"/>
              </w:tabs>
              <w:adjustRightInd w:val="0"/>
              <w:snapToGrid w:val="0"/>
              <w:spacing w:before="0" w:beforeLines="0" w:line="240" w:lineRule="auto"/>
              <w:jc w:val="center"/>
              <w:rPr>
                <w:bCs/>
                <w:szCs w:val="21"/>
              </w:rPr>
            </w:pPr>
            <w:r>
              <w:rPr>
                <w:rFonts w:hint="eastAsia"/>
                <w:bCs/>
                <w:szCs w:val="21"/>
              </w:rPr>
              <w:t>3.4</w:t>
            </w:r>
          </w:p>
        </w:tc>
        <w:tc>
          <w:tcPr>
            <w:tcW w:w="715" w:type="pct"/>
            <w:tcBorders>
              <w:tl2br w:val="nil"/>
              <w:tr2bl w:val="nil"/>
            </w:tcBorders>
            <w:vAlign w:val="center"/>
          </w:tcPr>
          <w:p w14:paraId="0EED647B">
            <w:pPr>
              <w:tabs>
                <w:tab w:val="left" w:pos="3255"/>
              </w:tabs>
              <w:adjustRightInd w:val="0"/>
              <w:snapToGrid w:val="0"/>
              <w:spacing w:before="0" w:beforeLines="0" w:line="240" w:lineRule="auto"/>
              <w:jc w:val="center"/>
              <w:rPr>
                <w:bCs/>
                <w:szCs w:val="21"/>
              </w:rPr>
            </w:pPr>
            <w:r>
              <w:rPr>
                <w:rFonts w:hint="eastAsia"/>
                <w:bCs/>
                <w:szCs w:val="21"/>
              </w:rPr>
              <w:t>2.87</w:t>
            </w:r>
          </w:p>
        </w:tc>
        <w:tc>
          <w:tcPr>
            <w:tcW w:w="714" w:type="pct"/>
            <w:tcBorders>
              <w:tl2br w:val="nil"/>
              <w:tr2bl w:val="nil"/>
            </w:tcBorders>
            <w:vAlign w:val="center"/>
          </w:tcPr>
          <w:p w14:paraId="44348239">
            <w:pPr>
              <w:tabs>
                <w:tab w:val="left" w:pos="3255"/>
              </w:tabs>
              <w:adjustRightInd w:val="0"/>
              <w:snapToGrid w:val="0"/>
              <w:spacing w:before="0" w:beforeLines="0" w:line="240" w:lineRule="auto"/>
              <w:jc w:val="center"/>
              <w:rPr>
                <w:bCs/>
                <w:szCs w:val="21"/>
              </w:rPr>
            </w:pPr>
            <w:r>
              <w:rPr>
                <w:rFonts w:hint="eastAsia"/>
                <w:bCs/>
                <w:szCs w:val="21"/>
              </w:rPr>
              <w:t>4.62</w:t>
            </w:r>
          </w:p>
        </w:tc>
        <w:tc>
          <w:tcPr>
            <w:tcW w:w="714" w:type="pct"/>
            <w:tcBorders>
              <w:tl2br w:val="nil"/>
              <w:tr2bl w:val="nil"/>
            </w:tcBorders>
            <w:vAlign w:val="center"/>
          </w:tcPr>
          <w:p w14:paraId="2D749FBF">
            <w:pPr>
              <w:tabs>
                <w:tab w:val="left" w:pos="3255"/>
              </w:tabs>
              <w:adjustRightInd w:val="0"/>
              <w:snapToGrid w:val="0"/>
              <w:spacing w:before="0" w:beforeLines="0" w:line="240" w:lineRule="auto"/>
              <w:jc w:val="center"/>
              <w:rPr>
                <w:bCs/>
                <w:szCs w:val="21"/>
              </w:rPr>
            </w:pPr>
            <w:r>
              <w:rPr>
                <w:rFonts w:hint="eastAsia"/>
                <w:bCs/>
                <w:szCs w:val="21"/>
              </w:rPr>
              <w:t>1.5</w:t>
            </w:r>
          </w:p>
        </w:tc>
      </w:tr>
      <w:tr w14:paraId="3C08752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5" w:hRule="atLeast"/>
          <w:jc w:val="center"/>
        </w:trPr>
        <w:tc>
          <w:tcPr>
            <w:tcW w:w="713" w:type="pct"/>
            <w:tcBorders>
              <w:left w:val="nil"/>
              <w:tl2br w:val="nil"/>
              <w:tr2bl w:val="nil"/>
            </w:tcBorders>
            <w:vAlign w:val="center"/>
          </w:tcPr>
          <w:p w14:paraId="0A4D030D">
            <w:pPr>
              <w:tabs>
                <w:tab w:val="left" w:pos="3255"/>
              </w:tabs>
              <w:adjustRightInd w:val="0"/>
              <w:snapToGrid w:val="0"/>
              <w:spacing w:before="0" w:beforeLines="0" w:line="240" w:lineRule="auto"/>
              <w:jc w:val="center"/>
              <w:rPr>
                <w:bCs/>
                <w:szCs w:val="21"/>
              </w:rPr>
            </w:pPr>
            <w:r>
              <w:rPr>
                <w:bCs/>
                <w:szCs w:val="21"/>
              </w:rPr>
              <w:t>W（N</w:t>
            </w:r>
            <w:r>
              <w:rPr>
                <w:bCs/>
                <w:szCs w:val="21"/>
                <w:vertAlign w:val="subscript"/>
              </w:rPr>
              <w:t>2</w:t>
            </w:r>
            <w:r>
              <w:rPr>
                <w:bCs/>
                <w:szCs w:val="21"/>
              </w:rPr>
              <w:t>O）</w:t>
            </w:r>
          </w:p>
        </w:tc>
        <w:tc>
          <w:tcPr>
            <w:tcW w:w="715" w:type="pct"/>
            <w:tcBorders>
              <w:tl2br w:val="nil"/>
              <w:tr2bl w:val="nil"/>
            </w:tcBorders>
            <w:vAlign w:val="center"/>
          </w:tcPr>
          <w:p w14:paraId="477AB7A7">
            <w:pPr>
              <w:tabs>
                <w:tab w:val="left" w:pos="3255"/>
              </w:tabs>
              <w:adjustRightInd w:val="0"/>
              <w:snapToGrid w:val="0"/>
              <w:spacing w:before="0" w:beforeLines="0" w:line="240" w:lineRule="auto"/>
              <w:jc w:val="center"/>
              <w:rPr>
                <w:bCs/>
                <w:szCs w:val="21"/>
              </w:rPr>
            </w:pPr>
            <w:r>
              <w:rPr>
                <w:bCs/>
                <w:szCs w:val="21"/>
              </w:rPr>
              <w:t>W（</w:t>
            </w:r>
            <w:r>
              <w:rPr>
                <w:rFonts w:hint="eastAsia"/>
                <w:bCs/>
                <w:szCs w:val="21"/>
              </w:rPr>
              <w:t>MnO</w:t>
            </w:r>
            <w:r>
              <w:rPr>
                <w:bCs/>
                <w:szCs w:val="21"/>
              </w:rPr>
              <w:t>）</w:t>
            </w:r>
          </w:p>
        </w:tc>
        <w:tc>
          <w:tcPr>
            <w:tcW w:w="715" w:type="pct"/>
            <w:tcBorders>
              <w:tl2br w:val="nil"/>
              <w:tr2bl w:val="nil"/>
            </w:tcBorders>
            <w:vAlign w:val="center"/>
          </w:tcPr>
          <w:p w14:paraId="49E468C5">
            <w:pPr>
              <w:tabs>
                <w:tab w:val="left" w:pos="3255"/>
              </w:tabs>
              <w:adjustRightInd w:val="0"/>
              <w:snapToGrid w:val="0"/>
              <w:spacing w:before="0" w:beforeLines="0" w:line="240" w:lineRule="auto"/>
              <w:jc w:val="center"/>
              <w:rPr>
                <w:bCs/>
                <w:szCs w:val="21"/>
              </w:rPr>
            </w:pPr>
            <w:r>
              <w:rPr>
                <w:bCs/>
                <w:szCs w:val="21"/>
              </w:rPr>
              <w:t>W（V</w:t>
            </w:r>
            <w:r>
              <w:rPr>
                <w:bCs/>
                <w:szCs w:val="21"/>
                <w:vertAlign w:val="subscript"/>
              </w:rPr>
              <w:t>2</w:t>
            </w:r>
            <w:r>
              <w:rPr>
                <w:bCs/>
                <w:szCs w:val="21"/>
              </w:rPr>
              <w:t>O</w:t>
            </w:r>
            <w:r>
              <w:rPr>
                <w:bCs/>
                <w:szCs w:val="21"/>
                <w:vertAlign w:val="subscript"/>
              </w:rPr>
              <w:t>5</w:t>
            </w:r>
            <w:r>
              <w:rPr>
                <w:bCs/>
                <w:szCs w:val="21"/>
              </w:rPr>
              <w:t>）</w:t>
            </w:r>
          </w:p>
        </w:tc>
        <w:tc>
          <w:tcPr>
            <w:tcW w:w="714" w:type="pct"/>
            <w:tcBorders>
              <w:tl2br w:val="nil"/>
              <w:tr2bl w:val="nil"/>
            </w:tcBorders>
            <w:vAlign w:val="center"/>
          </w:tcPr>
          <w:p w14:paraId="5A942502">
            <w:pPr>
              <w:tabs>
                <w:tab w:val="left" w:pos="3255"/>
              </w:tabs>
              <w:adjustRightInd w:val="0"/>
              <w:snapToGrid w:val="0"/>
              <w:spacing w:before="0" w:beforeLines="0" w:line="240" w:lineRule="auto"/>
              <w:jc w:val="center"/>
              <w:rPr>
                <w:bCs/>
                <w:szCs w:val="21"/>
              </w:rPr>
            </w:pPr>
            <w:r>
              <w:rPr>
                <w:bCs/>
                <w:szCs w:val="21"/>
              </w:rPr>
              <w:t>W（</w:t>
            </w:r>
            <w:r>
              <w:rPr>
                <w:rFonts w:hint="eastAsia"/>
                <w:bCs/>
                <w:szCs w:val="21"/>
              </w:rPr>
              <w:t>S</w:t>
            </w:r>
            <w:r>
              <w:rPr>
                <w:bCs/>
                <w:szCs w:val="21"/>
              </w:rPr>
              <w:t>)</w:t>
            </w:r>
          </w:p>
        </w:tc>
        <w:tc>
          <w:tcPr>
            <w:tcW w:w="715" w:type="pct"/>
            <w:tcBorders>
              <w:tl2br w:val="nil"/>
              <w:tr2bl w:val="nil"/>
            </w:tcBorders>
            <w:vAlign w:val="center"/>
          </w:tcPr>
          <w:p w14:paraId="005C9699">
            <w:pPr>
              <w:tabs>
                <w:tab w:val="left" w:pos="3255"/>
              </w:tabs>
              <w:adjustRightInd w:val="0"/>
              <w:snapToGrid w:val="0"/>
              <w:spacing w:before="0" w:beforeLines="0" w:line="240" w:lineRule="auto"/>
              <w:jc w:val="center"/>
              <w:rPr>
                <w:bCs/>
                <w:szCs w:val="21"/>
              </w:rPr>
            </w:pPr>
            <w:r>
              <w:rPr>
                <w:bCs/>
                <w:szCs w:val="21"/>
              </w:rPr>
              <w:t>W（P）</w:t>
            </w:r>
          </w:p>
        </w:tc>
        <w:tc>
          <w:tcPr>
            <w:tcW w:w="714" w:type="pct"/>
            <w:tcBorders>
              <w:tl2br w:val="nil"/>
              <w:tr2bl w:val="nil"/>
            </w:tcBorders>
            <w:vAlign w:val="center"/>
          </w:tcPr>
          <w:p w14:paraId="7B0A0907">
            <w:pPr>
              <w:tabs>
                <w:tab w:val="left" w:pos="3255"/>
              </w:tabs>
              <w:adjustRightInd w:val="0"/>
              <w:snapToGrid w:val="0"/>
              <w:spacing w:before="0" w:beforeLines="0" w:line="240" w:lineRule="auto"/>
              <w:jc w:val="center"/>
              <w:rPr>
                <w:bCs/>
                <w:szCs w:val="21"/>
              </w:rPr>
            </w:pPr>
            <w:r>
              <w:rPr>
                <w:bCs/>
                <w:szCs w:val="21"/>
              </w:rPr>
              <w:t>W（mFe）</w:t>
            </w:r>
          </w:p>
        </w:tc>
        <w:tc>
          <w:tcPr>
            <w:tcW w:w="714" w:type="pct"/>
            <w:tcBorders>
              <w:tl2br w:val="nil"/>
              <w:tr2bl w:val="nil"/>
            </w:tcBorders>
            <w:vAlign w:val="center"/>
          </w:tcPr>
          <w:p w14:paraId="4B093A25">
            <w:pPr>
              <w:tabs>
                <w:tab w:val="left" w:pos="3255"/>
              </w:tabs>
              <w:adjustRightInd w:val="0"/>
              <w:snapToGrid w:val="0"/>
              <w:spacing w:before="0" w:beforeLines="0" w:line="240" w:lineRule="auto"/>
              <w:jc w:val="center"/>
              <w:rPr>
                <w:bCs/>
                <w:szCs w:val="21"/>
              </w:rPr>
            </w:pPr>
            <w:r>
              <w:rPr>
                <w:bCs/>
                <w:szCs w:val="21"/>
              </w:rPr>
              <w:t>W（LOS）</w:t>
            </w:r>
          </w:p>
        </w:tc>
      </w:tr>
      <w:tr w14:paraId="5D2DB69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5" w:hRule="atLeast"/>
          <w:jc w:val="center"/>
        </w:trPr>
        <w:tc>
          <w:tcPr>
            <w:tcW w:w="713" w:type="pct"/>
            <w:tcBorders>
              <w:left w:val="nil"/>
              <w:tl2br w:val="nil"/>
              <w:tr2bl w:val="nil"/>
            </w:tcBorders>
            <w:vAlign w:val="center"/>
          </w:tcPr>
          <w:p w14:paraId="2B845A73">
            <w:pPr>
              <w:tabs>
                <w:tab w:val="left" w:pos="3255"/>
              </w:tabs>
              <w:adjustRightInd w:val="0"/>
              <w:snapToGrid w:val="0"/>
              <w:spacing w:before="0" w:beforeLines="0" w:line="240" w:lineRule="auto"/>
              <w:jc w:val="center"/>
              <w:rPr>
                <w:bCs/>
                <w:szCs w:val="21"/>
              </w:rPr>
            </w:pPr>
            <w:r>
              <w:rPr>
                <w:rFonts w:hint="eastAsia"/>
                <w:bCs/>
                <w:szCs w:val="21"/>
              </w:rPr>
              <w:t>1.3</w:t>
            </w:r>
          </w:p>
        </w:tc>
        <w:tc>
          <w:tcPr>
            <w:tcW w:w="715" w:type="pct"/>
            <w:tcBorders>
              <w:tl2br w:val="nil"/>
              <w:tr2bl w:val="nil"/>
            </w:tcBorders>
            <w:vAlign w:val="center"/>
          </w:tcPr>
          <w:p w14:paraId="0F8EC778">
            <w:pPr>
              <w:tabs>
                <w:tab w:val="left" w:pos="3255"/>
              </w:tabs>
              <w:adjustRightInd w:val="0"/>
              <w:snapToGrid w:val="0"/>
              <w:spacing w:before="0" w:beforeLines="0" w:line="240" w:lineRule="auto"/>
              <w:jc w:val="center"/>
              <w:rPr>
                <w:bCs/>
                <w:szCs w:val="21"/>
              </w:rPr>
            </w:pPr>
            <w:r>
              <w:rPr>
                <w:rFonts w:hint="eastAsia"/>
                <w:bCs/>
                <w:szCs w:val="21"/>
              </w:rPr>
              <w:t>1.06</w:t>
            </w:r>
          </w:p>
        </w:tc>
        <w:tc>
          <w:tcPr>
            <w:tcW w:w="715" w:type="pct"/>
            <w:tcBorders>
              <w:tl2br w:val="nil"/>
              <w:tr2bl w:val="nil"/>
            </w:tcBorders>
            <w:vAlign w:val="center"/>
          </w:tcPr>
          <w:p w14:paraId="73870A53">
            <w:pPr>
              <w:tabs>
                <w:tab w:val="left" w:pos="3255"/>
              </w:tabs>
              <w:adjustRightInd w:val="0"/>
              <w:snapToGrid w:val="0"/>
              <w:spacing w:before="0" w:beforeLines="0" w:line="240" w:lineRule="auto"/>
              <w:jc w:val="center"/>
              <w:rPr>
                <w:bCs/>
                <w:szCs w:val="21"/>
              </w:rPr>
            </w:pPr>
            <w:r>
              <w:rPr>
                <w:rFonts w:hint="eastAsia"/>
                <w:bCs/>
                <w:szCs w:val="21"/>
              </w:rPr>
              <w:t>0.2</w:t>
            </w:r>
          </w:p>
        </w:tc>
        <w:tc>
          <w:tcPr>
            <w:tcW w:w="714" w:type="pct"/>
            <w:tcBorders>
              <w:tl2br w:val="nil"/>
              <w:tr2bl w:val="nil"/>
            </w:tcBorders>
            <w:vAlign w:val="center"/>
          </w:tcPr>
          <w:p w14:paraId="1EA41A26">
            <w:pPr>
              <w:tabs>
                <w:tab w:val="left" w:pos="3255"/>
              </w:tabs>
              <w:adjustRightInd w:val="0"/>
              <w:snapToGrid w:val="0"/>
              <w:spacing w:before="0" w:beforeLines="0" w:line="240" w:lineRule="auto"/>
              <w:jc w:val="center"/>
              <w:rPr>
                <w:bCs/>
                <w:szCs w:val="21"/>
              </w:rPr>
            </w:pPr>
            <w:r>
              <w:rPr>
                <w:rFonts w:hint="eastAsia"/>
                <w:bCs/>
                <w:szCs w:val="21"/>
              </w:rPr>
              <w:t>0.6</w:t>
            </w:r>
          </w:p>
        </w:tc>
        <w:tc>
          <w:tcPr>
            <w:tcW w:w="715" w:type="pct"/>
            <w:tcBorders>
              <w:tl2br w:val="nil"/>
              <w:tr2bl w:val="nil"/>
            </w:tcBorders>
            <w:vAlign w:val="center"/>
          </w:tcPr>
          <w:p w14:paraId="188BF15C">
            <w:pPr>
              <w:tabs>
                <w:tab w:val="left" w:pos="3255"/>
              </w:tabs>
              <w:adjustRightInd w:val="0"/>
              <w:snapToGrid w:val="0"/>
              <w:spacing w:before="0" w:beforeLines="0" w:line="240" w:lineRule="auto"/>
              <w:jc w:val="center"/>
              <w:rPr>
                <w:bCs/>
                <w:szCs w:val="21"/>
              </w:rPr>
            </w:pPr>
            <w:r>
              <w:rPr>
                <w:rFonts w:hint="eastAsia"/>
                <w:bCs/>
                <w:szCs w:val="21"/>
              </w:rPr>
              <w:t>5.5</w:t>
            </w:r>
          </w:p>
        </w:tc>
        <w:tc>
          <w:tcPr>
            <w:tcW w:w="714" w:type="pct"/>
            <w:tcBorders>
              <w:tl2br w:val="nil"/>
              <w:tr2bl w:val="nil"/>
            </w:tcBorders>
            <w:vAlign w:val="center"/>
          </w:tcPr>
          <w:p w14:paraId="4BB709D3">
            <w:pPr>
              <w:tabs>
                <w:tab w:val="left" w:pos="3255"/>
              </w:tabs>
              <w:adjustRightInd w:val="0"/>
              <w:snapToGrid w:val="0"/>
              <w:spacing w:before="0" w:beforeLines="0" w:line="240" w:lineRule="auto"/>
              <w:jc w:val="center"/>
              <w:rPr>
                <w:bCs/>
                <w:szCs w:val="21"/>
              </w:rPr>
            </w:pPr>
            <w:r>
              <w:rPr>
                <w:rFonts w:hint="eastAsia"/>
                <w:bCs/>
                <w:szCs w:val="21"/>
              </w:rPr>
              <w:t>7.4</w:t>
            </w:r>
          </w:p>
        </w:tc>
        <w:tc>
          <w:tcPr>
            <w:tcW w:w="714" w:type="pct"/>
            <w:tcBorders>
              <w:tl2br w:val="nil"/>
              <w:tr2bl w:val="nil"/>
            </w:tcBorders>
            <w:vAlign w:val="center"/>
          </w:tcPr>
          <w:p w14:paraId="4800AE5B">
            <w:pPr>
              <w:tabs>
                <w:tab w:val="left" w:pos="3255"/>
              </w:tabs>
              <w:adjustRightInd w:val="0"/>
              <w:snapToGrid w:val="0"/>
              <w:spacing w:before="0" w:beforeLines="0" w:line="240" w:lineRule="auto"/>
              <w:jc w:val="center"/>
              <w:rPr>
                <w:bCs/>
                <w:szCs w:val="21"/>
              </w:rPr>
            </w:pPr>
            <w:r>
              <w:rPr>
                <w:rFonts w:hint="eastAsia"/>
                <w:bCs/>
                <w:szCs w:val="21"/>
              </w:rPr>
              <w:t>0.65</w:t>
            </w:r>
          </w:p>
        </w:tc>
      </w:tr>
    </w:tbl>
    <w:p w14:paraId="3DC1CCE4">
      <w:pPr>
        <w:pStyle w:val="143"/>
        <w:spacing w:before="156"/>
        <w:ind w:firstLine="462"/>
        <w:rPr>
          <w:b/>
          <w:kern w:val="2"/>
        </w:rPr>
      </w:pPr>
      <w:bookmarkStart w:id="96" w:name="OLE_LINK9"/>
      <w:r>
        <w:rPr>
          <w:b/>
          <w:kern w:val="2"/>
        </w:rPr>
        <w:t>表3.</w:t>
      </w:r>
      <w:r>
        <w:rPr>
          <w:rFonts w:hint="eastAsia"/>
          <w:b/>
          <w:kern w:val="2"/>
        </w:rPr>
        <w:t>1</w:t>
      </w:r>
      <w:r>
        <w:rPr>
          <w:b/>
          <w:kern w:val="2"/>
        </w:rPr>
        <w:t>-</w:t>
      </w:r>
      <w:r>
        <w:rPr>
          <w:rFonts w:hint="eastAsia"/>
          <w:b/>
          <w:kern w:val="2"/>
        </w:rPr>
        <w:t>8</w:t>
      </w:r>
      <w:r>
        <w:rPr>
          <w:b/>
          <w:kern w:val="2"/>
        </w:rPr>
        <w:t xml:space="preserve"> </w:t>
      </w:r>
      <w:r>
        <w:rPr>
          <w:rFonts w:hint="eastAsia"/>
          <w:b/>
          <w:kern w:val="2"/>
        </w:rPr>
        <w:t xml:space="preserve">   </w:t>
      </w:r>
      <w:r>
        <w:rPr>
          <w:b/>
          <w:kern w:val="2"/>
        </w:rPr>
        <w:t xml:space="preserve"> </w:t>
      </w:r>
      <w:r>
        <w:rPr>
          <w:rFonts w:hint="eastAsia"/>
          <w:b/>
          <w:kern w:val="2"/>
        </w:rPr>
        <w:t>混合原料主要成分比例</w:t>
      </w:r>
      <w:r>
        <w:rPr>
          <w:b/>
          <w:kern w:val="2"/>
        </w:rPr>
        <w:t>一览表   单位：%</w:t>
      </w:r>
    </w:p>
    <w:tbl>
      <w:tblPr>
        <w:tblStyle w:val="89"/>
        <w:tblW w:w="5072" w:type="pct"/>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0" w:type="dxa"/>
          <w:bottom w:w="0" w:type="dxa"/>
          <w:right w:w="0" w:type="dxa"/>
        </w:tblCellMar>
      </w:tblPr>
      <w:tblGrid>
        <w:gridCol w:w="1685"/>
        <w:gridCol w:w="1685"/>
        <w:gridCol w:w="1686"/>
        <w:gridCol w:w="1686"/>
        <w:gridCol w:w="1690"/>
      </w:tblGrid>
      <w:tr w14:paraId="3FE4ED8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85" w:hRule="atLeast"/>
          <w:jc w:val="center"/>
        </w:trPr>
        <w:tc>
          <w:tcPr>
            <w:tcW w:w="999" w:type="pct"/>
            <w:tcBorders>
              <w:top w:val="single" w:color="000000" w:sz="12" w:space="0"/>
              <w:tl2br w:val="nil"/>
              <w:tr2bl w:val="nil"/>
            </w:tcBorders>
            <w:vAlign w:val="center"/>
          </w:tcPr>
          <w:p w14:paraId="4EDE161A">
            <w:pPr>
              <w:tabs>
                <w:tab w:val="left" w:pos="3255"/>
              </w:tabs>
              <w:adjustRightInd w:val="0"/>
              <w:snapToGrid w:val="0"/>
              <w:spacing w:before="0" w:beforeLines="0" w:line="240" w:lineRule="auto"/>
              <w:jc w:val="center"/>
              <w:rPr>
                <w:bCs/>
                <w:szCs w:val="21"/>
              </w:rPr>
            </w:pPr>
            <w:r>
              <w:rPr>
                <w:bCs/>
                <w:szCs w:val="21"/>
              </w:rPr>
              <w:t>W（TFe）</w:t>
            </w:r>
          </w:p>
        </w:tc>
        <w:tc>
          <w:tcPr>
            <w:tcW w:w="999" w:type="pct"/>
            <w:tcBorders>
              <w:top w:val="single" w:color="000000" w:sz="12" w:space="0"/>
              <w:tl2br w:val="nil"/>
              <w:tr2bl w:val="nil"/>
            </w:tcBorders>
            <w:vAlign w:val="center"/>
          </w:tcPr>
          <w:p w14:paraId="3902C407">
            <w:pPr>
              <w:tabs>
                <w:tab w:val="left" w:pos="3255"/>
              </w:tabs>
              <w:adjustRightInd w:val="0"/>
              <w:snapToGrid w:val="0"/>
              <w:spacing w:before="0" w:beforeLines="0" w:line="240" w:lineRule="auto"/>
              <w:jc w:val="center"/>
              <w:rPr>
                <w:bCs/>
                <w:szCs w:val="21"/>
              </w:rPr>
            </w:pPr>
            <w:r>
              <w:rPr>
                <w:bCs/>
                <w:szCs w:val="21"/>
              </w:rPr>
              <w:t>W（TiO</w:t>
            </w:r>
            <w:r>
              <w:rPr>
                <w:bCs/>
                <w:szCs w:val="21"/>
                <w:vertAlign w:val="subscript"/>
              </w:rPr>
              <w:t>2</w:t>
            </w:r>
            <w:r>
              <w:rPr>
                <w:bCs/>
                <w:szCs w:val="21"/>
              </w:rPr>
              <w:t>)</w:t>
            </w:r>
          </w:p>
        </w:tc>
        <w:tc>
          <w:tcPr>
            <w:tcW w:w="1000" w:type="pct"/>
            <w:tcBorders>
              <w:top w:val="single" w:color="000000" w:sz="12" w:space="0"/>
              <w:tl2br w:val="nil"/>
              <w:tr2bl w:val="nil"/>
            </w:tcBorders>
            <w:vAlign w:val="center"/>
          </w:tcPr>
          <w:p w14:paraId="3A271F8D">
            <w:pPr>
              <w:tabs>
                <w:tab w:val="left" w:pos="3255"/>
              </w:tabs>
              <w:adjustRightInd w:val="0"/>
              <w:snapToGrid w:val="0"/>
              <w:spacing w:before="0" w:beforeLines="0" w:line="240" w:lineRule="auto"/>
              <w:jc w:val="center"/>
              <w:rPr>
                <w:bCs/>
                <w:szCs w:val="21"/>
              </w:rPr>
            </w:pPr>
            <w:r>
              <w:rPr>
                <w:rFonts w:hint="eastAsia"/>
                <w:bCs/>
                <w:szCs w:val="21"/>
              </w:rPr>
              <w:t>折算</w:t>
            </w:r>
            <w:r>
              <w:rPr>
                <w:bCs/>
                <w:szCs w:val="21"/>
              </w:rPr>
              <w:t>W（Ti</w:t>
            </w:r>
            <w:r>
              <w:rPr>
                <w:rFonts w:hint="eastAsia"/>
                <w:bCs/>
                <w:szCs w:val="21"/>
              </w:rPr>
              <w:t>）</w:t>
            </w:r>
          </w:p>
        </w:tc>
        <w:tc>
          <w:tcPr>
            <w:tcW w:w="1000" w:type="pct"/>
            <w:tcBorders>
              <w:top w:val="single" w:color="000000" w:sz="12" w:space="0"/>
              <w:tl2br w:val="nil"/>
              <w:tr2bl w:val="nil"/>
            </w:tcBorders>
            <w:vAlign w:val="center"/>
          </w:tcPr>
          <w:p w14:paraId="09F24A5B">
            <w:pPr>
              <w:tabs>
                <w:tab w:val="left" w:pos="3255"/>
              </w:tabs>
              <w:adjustRightInd w:val="0"/>
              <w:snapToGrid w:val="0"/>
              <w:spacing w:before="0" w:beforeLines="0" w:line="240" w:lineRule="auto"/>
              <w:jc w:val="center"/>
              <w:rPr>
                <w:bCs/>
                <w:szCs w:val="21"/>
              </w:rPr>
            </w:pPr>
            <w:r>
              <w:rPr>
                <w:bCs/>
                <w:szCs w:val="21"/>
              </w:rPr>
              <w:t>W（V</w:t>
            </w:r>
            <w:r>
              <w:rPr>
                <w:bCs/>
                <w:szCs w:val="21"/>
                <w:vertAlign w:val="subscript"/>
              </w:rPr>
              <w:t>2</w:t>
            </w:r>
            <w:r>
              <w:rPr>
                <w:bCs/>
                <w:szCs w:val="21"/>
              </w:rPr>
              <w:t>O</w:t>
            </w:r>
            <w:r>
              <w:rPr>
                <w:bCs/>
                <w:szCs w:val="21"/>
                <w:vertAlign w:val="subscript"/>
              </w:rPr>
              <w:t>5</w:t>
            </w:r>
            <w:r>
              <w:rPr>
                <w:bCs/>
                <w:szCs w:val="21"/>
              </w:rPr>
              <w:t>）</w:t>
            </w:r>
          </w:p>
        </w:tc>
        <w:tc>
          <w:tcPr>
            <w:tcW w:w="999" w:type="pct"/>
            <w:tcBorders>
              <w:top w:val="single" w:color="000000" w:sz="12" w:space="0"/>
              <w:tl2br w:val="nil"/>
              <w:tr2bl w:val="nil"/>
            </w:tcBorders>
            <w:vAlign w:val="center"/>
          </w:tcPr>
          <w:p w14:paraId="2F1B2847">
            <w:pPr>
              <w:tabs>
                <w:tab w:val="left" w:pos="3255"/>
              </w:tabs>
              <w:adjustRightInd w:val="0"/>
              <w:snapToGrid w:val="0"/>
              <w:spacing w:before="0" w:beforeLines="0" w:line="240" w:lineRule="auto"/>
              <w:jc w:val="center"/>
              <w:rPr>
                <w:bCs/>
                <w:szCs w:val="21"/>
              </w:rPr>
            </w:pPr>
            <w:r>
              <w:rPr>
                <w:rFonts w:hint="eastAsia"/>
                <w:bCs/>
                <w:szCs w:val="21"/>
              </w:rPr>
              <w:t>折算</w:t>
            </w:r>
            <w:r>
              <w:rPr>
                <w:bCs/>
                <w:szCs w:val="21"/>
              </w:rPr>
              <w:t>W（V）</w:t>
            </w:r>
          </w:p>
        </w:tc>
      </w:tr>
      <w:tr w14:paraId="32D4835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85" w:hRule="atLeast"/>
          <w:jc w:val="center"/>
        </w:trPr>
        <w:tc>
          <w:tcPr>
            <w:tcW w:w="999" w:type="pct"/>
            <w:tcBorders>
              <w:tl2br w:val="nil"/>
              <w:tr2bl w:val="nil"/>
            </w:tcBorders>
            <w:vAlign w:val="center"/>
          </w:tcPr>
          <w:p w14:paraId="4C78532A">
            <w:pPr>
              <w:tabs>
                <w:tab w:val="left" w:pos="3255"/>
              </w:tabs>
              <w:adjustRightInd w:val="0"/>
              <w:snapToGrid w:val="0"/>
              <w:spacing w:before="0" w:beforeLines="0" w:line="240" w:lineRule="auto"/>
              <w:jc w:val="center"/>
              <w:rPr>
                <w:bCs/>
                <w:szCs w:val="21"/>
              </w:rPr>
            </w:pPr>
            <w:r>
              <w:rPr>
                <w:rFonts w:hint="eastAsia"/>
                <w:bCs/>
                <w:szCs w:val="21"/>
              </w:rPr>
              <w:t>8.389</w:t>
            </w:r>
          </w:p>
        </w:tc>
        <w:tc>
          <w:tcPr>
            <w:tcW w:w="999" w:type="pct"/>
            <w:tcBorders>
              <w:tl2br w:val="nil"/>
              <w:tr2bl w:val="nil"/>
            </w:tcBorders>
            <w:vAlign w:val="center"/>
          </w:tcPr>
          <w:p w14:paraId="3F1B6247">
            <w:pPr>
              <w:tabs>
                <w:tab w:val="left" w:pos="3255"/>
              </w:tabs>
              <w:adjustRightInd w:val="0"/>
              <w:snapToGrid w:val="0"/>
              <w:spacing w:before="0" w:beforeLines="0" w:line="240" w:lineRule="auto"/>
              <w:jc w:val="center"/>
              <w:rPr>
                <w:bCs/>
                <w:szCs w:val="21"/>
              </w:rPr>
            </w:pPr>
            <w:r>
              <w:rPr>
                <w:rFonts w:hint="eastAsia"/>
                <w:bCs/>
                <w:szCs w:val="21"/>
              </w:rPr>
              <w:t>3.955</w:t>
            </w:r>
          </w:p>
        </w:tc>
        <w:tc>
          <w:tcPr>
            <w:tcW w:w="1000" w:type="pct"/>
            <w:tcBorders>
              <w:tl2br w:val="nil"/>
              <w:tr2bl w:val="nil"/>
            </w:tcBorders>
            <w:vAlign w:val="center"/>
          </w:tcPr>
          <w:p w14:paraId="1896067A">
            <w:pPr>
              <w:tabs>
                <w:tab w:val="left" w:pos="3255"/>
              </w:tabs>
              <w:adjustRightInd w:val="0"/>
              <w:snapToGrid w:val="0"/>
              <w:spacing w:before="0" w:beforeLines="0" w:line="240" w:lineRule="auto"/>
              <w:jc w:val="center"/>
              <w:rPr>
                <w:bCs/>
                <w:szCs w:val="21"/>
              </w:rPr>
            </w:pPr>
            <w:r>
              <w:rPr>
                <w:rFonts w:hint="eastAsia"/>
                <w:bCs/>
                <w:szCs w:val="21"/>
              </w:rPr>
              <w:t>2.37</w:t>
            </w:r>
          </w:p>
        </w:tc>
        <w:tc>
          <w:tcPr>
            <w:tcW w:w="1000" w:type="pct"/>
            <w:tcBorders>
              <w:tl2br w:val="nil"/>
              <w:tr2bl w:val="nil"/>
            </w:tcBorders>
            <w:vAlign w:val="center"/>
          </w:tcPr>
          <w:p w14:paraId="4E833123">
            <w:pPr>
              <w:tabs>
                <w:tab w:val="left" w:pos="3255"/>
              </w:tabs>
              <w:adjustRightInd w:val="0"/>
              <w:snapToGrid w:val="0"/>
              <w:spacing w:before="0" w:beforeLines="0" w:line="240" w:lineRule="auto"/>
              <w:jc w:val="center"/>
              <w:rPr>
                <w:bCs/>
                <w:szCs w:val="21"/>
              </w:rPr>
            </w:pPr>
            <w:r>
              <w:rPr>
                <w:rFonts w:hint="eastAsia"/>
                <w:bCs/>
                <w:szCs w:val="21"/>
              </w:rPr>
              <w:t>0.163</w:t>
            </w:r>
          </w:p>
        </w:tc>
        <w:tc>
          <w:tcPr>
            <w:tcW w:w="999" w:type="pct"/>
            <w:tcBorders>
              <w:tl2br w:val="nil"/>
              <w:tr2bl w:val="nil"/>
            </w:tcBorders>
            <w:vAlign w:val="center"/>
          </w:tcPr>
          <w:p w14:paraId="1A00FC1C">
            <w:pPr>
              <w:tabs>
                <w:tab w:val="left" w:pos="3255"/>
              </w:tabs>
              <w:adjustRightInd w:val="0"/>
              <w:snapToGrid w:val="0"/>
              <w:spacing w:before="0" w:beforeLines="0" w:line="240" w:lineRule="auto"/>
              <w:jc w:val="center"/>
              <w:rPr>
                <w:bCs/>
                <w:szCs w:val="21"/>
              </w:rPr>
            </w:pPr>
            <w:r>
              <w:rPr>
                <w:rFonts w:hint="eastAsia"/>
                <w:bCs/>
                <w:szCs w:val="21"/>
              </w:rPr>
              <w:t>0.0913</w:t>
            </w:r>
          </w:p>
        </w:tc>
      </w:tr>
      <w:tr w14:paraId="484CF46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85" w:hRule="atLeast"/>
          <w:jc w:val="center"/>
        </w:trPr>
        <w:tc>
          <w:tcPr>
            <w:tcW w:w="5000" w:type="pct"/>
            <w:gridSpan w:val="5"/>
            <w:tcBorders>
              <w:tl2br w:val="nil"/>
              <w:tr2bl w:val="nil"/>
            </w:tcBorders>
            <w:vAlign w:val="center"/>
          </w:tcPr>
          <w:p w14:paraId="1DBF2075">
            <w:pPr>
              <w:tabs>
                <w:tab w:val="left" w:pos="3255"/>
              </w:tabs>
              <w:adjustRightInd w:val="0"/>
              <w:snapToGrid w:val="0"/>
              <w:spacing w:before="0" w:beforeLines="0" w:line="240" w:lineRule="auto"/>
              <w:jc w:val="left"/>
              <w:rPr>
                <w:bCs/>
                <w:sz w:val="18"/>
                <w:szCs w:val="18"/>
              </w:rPr>
            </w:pPr>
            <w:r>
              <w:rPr>
                <w:rFonts w:hint="eastAsia"/>
                <w:bCs/>
                <w:sz w:val="18"/>
                <w:szCs w:val="18"/>
              </w:rPr>
              <w:t>注：钛相对分子质量按47.867计，钒相对分子质量按50.94计，氧相对分子质量按16计。</w:t>
            </w:r>
          </w:p>
        </w:tc>
      </w:tr>
      <w:bookmarkEnd w:id="96"/>
    </w:tbl>
    <w:p w14:paraId="054B98CF">
      <w:pPr>
        <w:pStyle w:val="212"/>
        <w:spacing w:before="0" w:beforeLines="0"/>
        <w:ind w:firstLine="0" w:firstLineChars="0"/>
      </w:pPr>
      <w:r>
        <w:rPr>
          <w:rFonts w:hint="eastAsia"/>
        </w:rPr>
        <w:t>（4）放射性分析</w:t>
      </w:r>
    </w:p>
    <w:p w14:paraId="55309C4C">
      <w:pPr>
        <w:pStyle w:val="212"/>
        <w:spacing w:before="0" w:beforeLines="0"/>
        <w:ind w:firstLine="480"/>
      </w:pPr>
      <w:r>
        <w:rPr>
          <w:rFonts w:hint="eastAsia"/>
        </w:rPr>
        <w:t>依据《矿产资源开发利用辐射环境监督管理名录》（生态环境部公告2020年第54号）中相关要求，需对尾矿进行放射性监测。故本项目委托核工业东北分析测试中心对矿区内矿石进行放射性监测的监测数据，检测时间为2025年2月12日～3月12日，监测因子为238U、232Th、226Ra，监测方依据《硅酸盐岩石化学分析方法》(GB/T14506.30-2010）监测结果见表3.1-9。</w:t>
      </w:r>
    </w:p>
    <w:p w14:paraId="1A7A0F33">
      <w:pPr>
        <w:pStyle w:val="143"/>
        <w:spacing w:before="156"/>
        <w:ind w:firstLine="462"/>
        <w:rPr>
          <w:b/>
          <w:kern w:val="2"/>
        </w:rPr>
      </w:pPr>
      <w:r>
        <w:rPr>
          <w:b/>
          <w:kern w:val="2"/>
        </w:rPr>
        <w:t>表3.</w:t>
      </w:r>
      <w:r>
        <w:rPr>
          <w:rFonts w:hint="eastAsia"/>
          <w:b/>
          <w:kern w:val="2"/>
        </w:rPr>
        <w:t>1</w:t>
      </w:r>
      <w:r>
        <w:rPr>
          <w:b/>
          <w:kern w:val="2"/>
        </w:rPr>
        <w:t>-</w:t>
      </w:r>
      <w:r>
        <w:rPr>
          <w:rFonts w:hint="eastAsia"/>
          <w:b/>
          <w:kern w:val="2"/>
        </w:rPr>
        <w:t xml:space="preserve">9   </w:t>
      </w:r>
      <w:r>
        <w:rPr>
          <w:b/>
          <w:kern w:val="2"/>
        </w:rPr>
        <w:t xml:space="preserve"> </w:t>
      </w:r>
      <w:r>
        <w:rPr>
          <w:rFonts w:hint="eastAsia"/>
          <w:b/>
          <w:kern w:val="2"/>
        </w:rPr>
        <w:t>混合原料主要成分比例</w:t>
      </w:r>
      <w:r>
        <w:rPr>
          <w:b/>
          <w:kern w:val="2"/>
        </w:rPr>
        <w:t>一览表   单位：%</w:t>
      </w:r>
    </w:p>
    <w:tbl>
      <w:tblPr>
        <w:tblStyle w:val="89"/>
        <w:tblW w:w="4913" w:type="pct"/>
        <w:jc w:val="center"/>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Layout w:type="autofit"/>
        <w:tblCellMar>
          <w:top w:w="0" w:type="dxa"/>
          <w:left w:w="0" w:type="dxa"/>
          <w:bottom w:w="0" w:type="dxa"/>
          <w:right w:w="0" w:type="dxa"/>
        </w:tblCellMar>
      </w:tblPr>
      <w:tblGrid>
        <w:gridCol w:w="14"/>
        <w:gridCol w:w="1018"/>
        <w:gridCol w:w="1018"/>
        <w:gridCol w:w="1019"/>
        <w:gridCol w:w="1019"/>
        <w:gridCol w:w="1024"/>
        <w:gridCol w:w="1021"/>
        <w:gridCol w:w="1021"/>
        <w:gridCol w:w="1013"/>
      </w:tblGrid>
      <w:tr w14:paraId="2A9D03DE">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39" w:hRule="atLeast"/>
          <w:jc w:val="center"/>
        </w:trPr>
        <w:tc>
          <w:tcPr>
            <w:tcW w:w="9" w:type="pct"/>
            <w:tcBorders>
              <w:right w:val="nil"/>
            </w:tcBorders>
            <w:vAlign w:val="center"/>
          </w:tcPr>
          <w:p w14:paraId="57A5CA41">
            <w:pPr>
              <w:tabs>
                <w:tab w:val="left" w:pos="3255"/>
              </w:tabs>
              <w:adjustRightInd w:val="0"/>
              <w:snapToGrid w:val="0"/>
              <w:spacing w:before="0" w:beforeLines="0" w:line="240" w:lineRule="auto"/>
              <w:jc w:val="center"/>
              <w:rPr>
                <w:bCs/>
                <w:szCs w:val="21"/>
              </w:rPr>
            </w:pPr>
          </w:p>
        </w:tc>
        <w:tc>
          <w:tcPr>
            <w:tcW w:w="623" w:type="pct"/>
            <w:vMerge w:val="restart"/>
            <w:tcBorders>
              <w:left w:val="nil"/>
            </w:tcBorders>
            <w:vAlign w:val="center"/>
          </w:tcPr>
          <w:p w14:paraId="3D1F4422">
            <w:pPr>
              <w:tabs>
                <w:tab w:val="left" w:pos="3255"/>
              </w:tabs>
              <w:adjustRightInd w:val="0"/>
              <w:snapToGrid w:val="0"/>
              <w:spacing w:before="0" w:beforeLines="0" w:line="240" w:lineRule="auto"/>
              <w:jc w:val="center"/>
              <w:rPr>
                <w:bCs/>
                <w:szCs w:val="21"/>
              </w:rPr>
            </w:pPr>
            <w:r>
              <w:rPr>
                <w:rFonts w:hint="eastAsia"/>
                <w:bCs/>
                <w:szCs w:val="21"/>
              </w:rPr>
              <w:t>序号</w:t>
            </w:r>
          </w:p>
        </w:tc>
        <w:tc>
          <w:tcPr>
            <w:tcW w:w="623" w:type="pct"/>
            <w:vMerge w:val="restart"/>
            <w:vAlign w:val="center"/>
          </w:tcPr>
          <w:p w14:paraId="0E4CF855">
            <w:pPr>
              <w:tabs>
                <w:tab w:val="left" w:pos="3255"/>
              </w:tabs>
              <w:adjustRightInd w:val="0"/>
              <w:snapToGrid w:val="0"/>
              <w:spacing w:before="0" w:beforeLines="0" w:line="240" w:lineRule="auto"/>
              <w:jc w:val="center"/>
              <w:rPr>
                <w:bCs/>
                <w:szCs w:val="21"/>
              </w:rPr>
            </w:pPr>
            <w:r>
              <w:rPr>
                <w:rFonts w:hint="eastAsia"/>
                <w:bCs/>
                <w:szCs w:val="21"/>
              </w:rPr>
              <w:t>样品名称</w:t>
            </w:r>
          </w:p>
        </w:tc>
        <w:tc>
          <w:tcPr>
            <w:tcW w:w="1875" w:type="pct"/>
            <w:gridSpan w:val="3"/>
            <w:vAlign w:val="center"/>
          </w:tcPr>
          <w:p w14:paraId="21BCF4BC">
            <w:pPr>
              <w:tabs>
                <w:tab w:val="left" w:pos="3255"/>
              </w:tabs>
              <w:adjustRightInd w:val="0"/>
              <w:snapToGrid w:val="0"/>
              <w:spacing w:before="0" w:beforeLines="0" w:line="240" w:lineRule="auto"/>
              <w:jc w:val="center"/>
              <w:rPr>
                <w:bCs/>
                <w:szCs w:val="21"/>
              </w:rPr>
            </w:pPr>
            <w:r>
              <w:rPr>
                <w:rFonts w:hint="eastAsia"/>
                <w:bCs/>
                <w:szCs w:val="21"/>
              </w:rPr>
              <w:t>检测结果，Bq/g</w:t>
            </w:r>
          </w:p>
        </w:tc>
        <w:tc>
          <w:tcPr>
            <w:tcW w:w="1870" w:type="pct"/>
            <w:gridSpan w:val="3"/>
            <w:vAlign w:val="center"/>
          </w:tcPr>
          <w:p w14:paraId="19B407D4">
            <w:pPr>
              <w:tabs>
                <w:tab w:val="left" w:pos="3255"/>
              </w:tabs>
              <w:adjustRightInd w:val="0"/>
              <w:snapToGrid w:val="0"/>
              <w:spacing w:before="0" w:beforeLines="0" w:line="240" w:lineRule="auto"/>
              <w:jc w:val="center"/>
              <w:rPr>
                <w:bCs/>
                <w:szCs w:val="21"/>
              </w:rPr>
            </w:pPr>
            <w:r>
              <w:rPr>
                <w:rFonts w:hint="eastAsia"/>
                <w:bCs/>
                <w:szCs w:val="21"/>
              </w:rPr>
              <w:t>标准，Bq/g</w:t>
            </w:r>
          </w:p>
        </w:tc>
      </w:tr>
      <w:tr w14:paraId="7622EA36">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39" w:hRule="atLeast"/>
          <w:jc w:val="center"/>
        </w:trPr>
        <w:tc>
          <w:tcPr>
            <w:tcW w:w="9" w:type="pct"/>
            <w:tcBorders>
              <w:right w:val="nil"/>
            </w:tcBorders>
            <w:vAlign w:val="center"/>
          </w:tcPr>
          <w:p w14:paraId="64AA29CC">
            <w:pPr>
              <w:tabs>
                <w:tab w:val="left" w:pos="3255"/>
              </w:tabs>
              <w:adjustRightInd w:val="0"/>
              <w:snapToGrid w:val="0"/>
              <w:spacing w:before="0" w:beforeLines="0" w:line="240" w:lineRule="auto"/>
              <w:jc w:val="center"/>
              <w:rPr>
                <w:bCs/>
                <w:szCs w:val="21"/>
              </w:rPr>
            </w:pPr>
          </w:p>
        </w:tc>
        <w:tc>
          <w:tcPr>
            <w:tcW w:w="623" w:type="pct"/>
            <w:vMerge w:val="continue"/>
            <w:tcBorders>
              <w:left w:val="nil"/>
            </w:tcBorders>
            <w:vAlign w:val="center"/>
          </w:tcPr>
          <w:p w14:paraId="3BE26463">
            <w:pPr>
              <w:tabs>
                <w:tab w:val="left" w:pos="3255"/>
              </w:tabs>
              <w:adjustRightInd w:val="0"/>
              <w:snapToGrid w:val="0"/>
              <w:spacing w:before="0" w:beforeLines="0" w:line="240" w:lineRule="auto"/>
              <w:jc w:val="center"/>
              <w:rPr>
                <w:bCs/>
                <w:szCs w:val="21"/>
              </w:rPr>
            </w:pPr>
          </w:p>
        </w:tc>
        <w:tc>
          <w:tcPr>
            <w:tcW w:w="623" w:type="pct"/>
            <w:vMerge w:val="continue"/>
            <w:vAlign w:val="center"/>
          </w:tcPr>
          <w:p w14:paraId="6F126241">
            <w:pPr>
              <w:tabs>
                <w:tab w:val="left" w:pos="3255"/>
              </w:tabs>
              <w:adjustRightInd w:val="0"/>
              <w:snapToGrid w:val="0"/>
              <w:spacing w:before="0" w:beforeLines="0" w:line="240" w:lineRule="auto"/>
              <w:jc w:val="center"/>
              <w:rPr>
                <w:bCs/>
                <w:szCs w:val="21"/>
              </w:rPr>
            </w:pPr>
          </w:p>
        </w:tc>
        <w:tc>
          <w:tcPr>
            <w:tcW w:w="624" w:type="pct"/>
            <w:vAlign w:val="center"/>
          </w:tcPr>
          <w:p w14:paraId="2114F131">
            <w:pPr>
              <w:tabs>
                <w:tab w:val="left" w:pos="3255"/>
              </w:tabs>
              <w:adjustRightInd w:val="0"/>
              <w:snapToGrid w:val="0"/>
              <w:spacing w:before="0" w:beforeLines="0" w:line="240" w:lineRule="auto"/>
              <w:jc w:val="center"/>
              <w:rPr>
                <w:bCs/>
                <w:szCs w:val="21"/>
              </w:rPr>
            </w:pPr>
            <w:r>
              <w:rPr>
                <w:rFonts w:hint="eastAsia"/>
              </w:rPr>
              <w:t>238U</w:t>
            </w:r>
          </w:p>
        </w:tc>
        <w:tc>
          <w:tcPr>
            <w:tcW w:w="624" w:type="pct"/>
            <w:vAlign w:val="center"/>
          </w:tcPr>
          <w:p w14:paraId="2F504E14">
            <w:pPr>
              <w:tabs>
                <w:tab w:val="left" w:pos="3255"/>
              </w:tabs>
              <w:adjustRightInd w:val="0"/>
              <w:snapToGrid w:val="0"/>
              <w:spacing w:before="0" w:beforeLines="0" w:line="240" w:lineRule="auto"/>
              <w:jc w:val="center"/>
              <w:rPr>
                <w:bCs/>
                <w:szCs w:val="21"/>
              </w:rPr>
            </w:pPr>
            <w:r>
              <w:rPr>
                <w:rFonts w:hint="eastAsia"/>
              </w:rPr>
              <w:t>232Th</w:t>
            </w:r>
          </w:p>
        </w:tc>
        <w:tc>
          <w:tcPr>
            <w:tcW w:w="627" w:type="pct"/>
            <w:vAlign w:val="center"/>
          </w:tcPr>
          <w:p w14:paraId="2C065D66">
            <w:pPr>
              <w:tabs>
                <w:tab w:val="left" w:pos="3255"/>
              </w:tabs>
              <w:adjustRightInd w:val="0"/>
              <w:snapToGrid w:val="0"/>
              <w:spacing w:before="0" w:beforeLines="0" w:line="240" w:lineRule="auto"/>
              <w:jc w:val="center"/>
              <w:rPr>
                <w:bCs/>
                <w:szCs w:val="21"/>
              </w:rPr>
            </w:pPr>
            <w:r>
              <w:rPr>
                <w:rFonts w:hint="eastAsia"/>
              </w:rPr>
              <w:t>226Ra</w:t>
            </w:r>
          </w:p>
        </w:tc>
        <w:tc>
          <w:tcPr>
            <w:tcW w:w="625" w:type="pct"/>
            <w:vAlign w:val="center"/>
          </w:tcPr>
          <w:p w14:paraId="36D00F7C">
            <w:pPr>
              <w:tabs>
                <w:tab w:val="left" w:pos="3255"/>
              </w:tabs>
              <w:adjustRightInd w:val="0"/>
              <w:snapToGrid w:val="0"/>
              <w:spacing w:before="0" w:beforeLines="0" w:line="240" w:lineRule="auto"/>
              <w:jc w:val="center"/>
              <w:rPr>
                <w:bCs/>
                <w:szCs w:val="21"/>
              </w:rPr>
            </w:pPr>
            <w:r>
              <w:rPr>
                <w:rFonts w:hint="eastAsia"/>
              </w:rPr>
              <w:t>238U</w:t>
            </w:r>
          </w:p>
        </w:tc>
        <w:tc>
          <w:tcPr>
            <w:tcW w:w="625" w:type="pct"/>
            <w:vAlign w:val="center"/>
          </w:tcPr>
          <w:p w14:paraId="3BD724A0">
            <w:pPr>
              <w:tabs>
                <w:tab w:val="left" w:pos="3255"/>
              </w:tabs>
              <w:adjustRightInd w:val="0"/>
              <w:snapToGrid w:val="0"/>
              <w:spacing w:before="0" w:beforeLines="0" w:line="240" w:lineRule="auto"/>
              <w:jc w:val="center"/>
              <w:rPr>
                <w:bCs/>
                <w:szCs w:val="21"/>
              </w:rPr>
            </w:pPr>
            <w:r>
              <w:rPr>
                <w:rFonts w:hint="eastAsia"/>
              </w:rPr>
              <w:t>232Th</w:t>
            </w:r>
          </w:p>
        </w:tc>
        <w:tc>
          <w:tcPr>
            <w:tcW w:w="620" w:type="pct"/>
            <w:vAlign w:val="center"/>
          </w:tcPr>
          <w:p w14:paraId="66EEE70E">
            <w:pPr>
              <w:tabs>
                <w:tab w:val="left" w:pos="3255"/>
              </w:tabs>
              <w:adjustRightInd w:val="0"/>
              <w:snapToGrid w:val="0"/>
              <w:spacing w:before="0" w:beforeLines="0" w:line="240" w:lineRule="auto"/>
              <w:jc w:val="center"/>
              <w:rPr>
                <w:bCs/>
                <w:szCs w:val="21"/>
              </w:rPr>
            </w:pPr>
            <w:r>
              <w:rPr>
                <w:rFonts w:hint="eastAsia"/>
              </w:rPr>
              <w:t>226Ra</w:t>
            </w:r>
          </w:p>
        </w:tc>
      </w:tr>
      <w:tr w14:paraId="164884FD">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39" w:hRule="atLeast"/>
          <w:jc w:val="center"/>
        </w:trPr>
        <w:tc>
          <w:tcPr>
            <w:tcW w:w="632" w:type="pct"/>
            <w:gridSpan w:val="2"/>
            <w:vAlign w:val="center"/>
          </w:tcPr>
          <w:p w14:paraId="68928634">
            <w:pPr>
              <w:tabs>
                <w:tab w:val="left" w:pos="3255"/>
              </w:tabs>
              <w:adjustRightInd w:val="0"/>
              <w:snapToGrid w:val="0"/>
              <w:spacing w:before="0" w:beforeLines="0" w:line="240" w:lineRule="auto"/>
              <w:jc w:val="center"/>
              <w:rPr>
                <w:bCs/>
                <w:szCs w:val="21"/>
              </w:rPr>
            </w:pPr>
            <w:r>
              <w:rPr>
                <w:rFonts w:hint="eastAsia"/>
                <w:bCs/>
                <w:szCs w:val="21"/>
              </w:rPr>
              <w:t>1</w:t>
            </w:r>
          </w:p>
        </w:tc>
        <w:tc>
          <w:tcPr>
            <w:tcW w:w="623" w:type="pct"/>
            <w:vAlign w:val="center"/>
          </w:tcPr>
          <w:p w14:paraId="58336DC7">
            <w:pPr>
              <w:tabs>
                <w:tab w:val="left" w:pos="3255"/>
              </w:tabs>
              <w:adjustRightInd w:val="0"/>
              <w:snapToGrid w:val="0"/>
              <w:spacing w:before="0" w:beforeLines="0" w:line="240" w:lineRule="auto"/>
              <w:jc w:val="center"/>
              <w:rPr>
                <w:bCs/>
                <w:szCs w:val="21"/>
              </w:rPr>
            </w:pPr>
            <w:r>
              <w:rPr>
                <w:rFonts w:hint="eastAsia"/>
                <w:bCs/>
                <w:szCs w:val="21"/>
              </w:rPr>
              <w:t>废石</w:t>
            </w:r>
          </w:p>
        </w:tc>
        <w:tc>
          <w:tcPr>
            <w:tcW w:w="624" w:type="pct"/>
            <w:vAlign w:val="center"/>
          </w:tcPr>
          <w:p w14:paraId="480752EB">
            <w:pPr>
              <w:tabs>
                <w:tab w:val="left" w:pos="3255"/>
              </w:tabs>
              <w:adjustRightInd w:val="0"/>
              <w:snapToGrid w:val="0"/>
              <w:spacing w:before="0" w:beforeLines="0" w:line="240" w:lineRule="auto"/>
              <w:jc w:val="center"/>
              <w:rPr>
                <w:bCs/>
                <w:szCs w:val="21"/>
              </w:rPr>
            </w:pPr>
            <w:r>
              <w:rPr>
                <w:rFonts w:hint="eastAsia"/>
                <w:bCs/>
                <w:szCs w:val="21"/>
              </w:rPr>
              <w:t>0.0038</w:t>
            </w:r>
          </w:p>
        </w:tc>
        <w:tc>
          <w:tcPr>
            <w:tcW w:w="624" w:type="pct"/>
            <w:vAlign w:val="center"/>
          </w:tcPr>
          <w:p w14:paraId="5C04E33A">
            <w:pPr>
              <w:tabs>
                <w:tab w:val="left" w:pos="3255"/>
              </w:tabs>
              <w:adjustRightInd w:val="0"/>
              <w:snapToGrid w:val="0"/>
              <w:spacing w:before="0" w:beforeLines="0" w:line="240" w:lineRule="auto"/>
              <w:jc w:val="center"/>
              <w:rPr>
                <w:bCs/>
                <w:szCs w:val="21"/>
              </w:rPr>
            </w:pPr>
            <w:r>
              <w:rPr>
                <w:rFonts w:hint="eastAsia"/>
                <w:bCs/>
                <w:szCs w:val="21"/>
              </w:rPr>
              <w:t>0.0033</w:t>
            </w:r>
          </w:p>
        </w:tc>
        <w:tc>
          <w:tcPr>
            <w:tcW w:w="627" w:type="pct"/>
            <w:vAlign w:val="center"/>
          </w:tcPr>
          <w:p w14:paraId="428E0A74">
            <w:pPr>
              <w:tabs>
                <w:tab w:val="left" w:pos="3255"/>
              </w:tabs>
              <w:adjustRightInd w:val="0"/>
              <w:snapToGrid w:val="0"/>
              <w:spacing w:before="0" w:beforeLines="0" w:line="240" w:lineRule="auto"/>
              <w:jc w:val="center"/>
              <w:rPr>
                <w:bCs/>
                <w:szCs w:val="21"/>
              </w:rPr>
            </w:pPr>
            <w:r>
              <w:rPr>
                <w:rFonts w:hint="eastAsia"/>
                <w:bCs/>
                <w:szCs w:val="21"/>
              </w:rPr>
              <w:t>0.0023</w:t>
            </w:r>
          </w:p>
        </w:tc>
        <w:tc>
          <w:tcPr>
            <w:tcW w:w="625" w:type="pct"/>
            <w:vAlign w:val="center"/>
          </w:tcPr>
          <w:p w14:paraId="5E33CA92">
            <w:pPr>
              <w:tabs>
                <w:tab w:val="left" w:pos="3255"/>
              </w:tabs>
              <w:adjustRightInd w:val="0"/>
              <w:snapToGrid w:val="0"/>
              <w:spacing w:before="0" w:beforeLines="0" w:line="240" w:lineRule="auto"/>
              <w:jc w:val="center"/>
              <w:rPr>
                <w:bCs/>
                <w:szCs w:val="21"/>
              </w:rPr>
            </w:pPr>
            <w:r>
              <w:rPr>
                <w:rFonts w:hint="eastAsia"/>
                <w:bCs/>
                <w:szCs w:val="21"/>
              </w:rPr>
              <w:t>1</w:t>
            </w:r>
          </w:p>
        </w:tc>
        <w:tc>
          <w:tcPr>
            <w:tcW w:w="625" w:type="pct"/>
            <w:vAlign w:val="center"/>
          </w:tcPr>
          <w:p w14:paraId="03EF395B">
            <w:pPr>
              <w:tabs>
                <w:tab w:val="left" w:pos="3255"/>
              </w:tabs>
              <w:adjustRightInd w:val="0"/>
              <w:snapToGrid w:val="0"/>
              <w:spacing w:before="0" w:beforeLines="0" w:line="240" w:lineRule="auto"/>
              <w:jc w:val="center"/>
              <w:rPr>
                <w:bCs/>
                <w:szCs w:val="21"/>
              </w:rPr>
            </w:pPr>
            <w:r>
              <w:rPr>
                <w:rFonts w:hint="eastAsia"/>
                <w:bCs/>
                <w:szCs w:val="21"/>
              </w:rPr>
              <w:t>1</w:t>
            </w:r>
          </w:p>
        </w:tc>
        <w:tc>
          <w:tcPr>
            <w:tcW w:w="620" w:type="pct"/>
            <w:vAlign w:val="center"/>
          </w:tcPr>
          <w:p w14:paraId="0B780445">
            <w:pPr>
              <w:tabs>
                <w:tab w:val="left" w:pos="3255"/>
              </w:tabs>
              <w:adjustRightInd w:val="0"/>
              <w:snapToGrid w:val="0"/>
              <w:spacing w:before="0" w:beforeLines="0" w:line="240" w:lineRule="auto"/>
              <w:jc w:val="center"/>
              <w:rPr>
                <w:bCs/>
                <w:szCs w:val="21"/>
              </w:rPr>
            </w:pPr>
            <w:r>
              <w:rPr>
                <w:rFonts w:hint="eastAsia"/>
                <w:bCs/>
                <w:szCs w:val="21"/>
              </w:rPr>
              <w:t>1</w:t>
            </w:r>
          </w:p>
        </w:tc>
      </w:tr>
      <w:tr w14:paraId="4E6BEE61">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39" w:hRule="atLeast"/>
          <w:jc w:val="center"/>
        </w:trPr>
        <w:tc>
          <w:tcPr>
            <w:tcW w:w="632" w:type="pct"/>
            <w:gridSpan w:val="2"/>
            <w:vAlign w:val="center"/>
          </w:tcPr>
          <w:p w14:paraId="1390E369">
            <w:pPr>
              <w:tabs>
                <w:tab w:val="left" w:pos="3255"/>
              </w:tabs>
              <w:adjustRightInd w:val="0"/>
              <w:snapToGrid w:val="0"/>
              <w:spacing w:before="0" w:beforeLines="0" w:line="240" w:lineRule="auto"/>
              <w:jc w:val="center"/>
              <w:rPr>
                <w:bCs/>
                <w:szCs w:val="21"/>
              </w:rPr>
            </w:pPr>
            <w:r>
              <w:rPr>
                <w:rFonts w:hint="eastAsia"/>
                <w:bCs/>
                <w:szCs w:val="21"/>
              </w:rPr>
              <w:t>2</w:t>
            </w:r>
          </w:p>
        </w:tc>
        <w:tc>
          <w:tcPr>
            <w:tcW w:w="623" w:type="pct"/>
            <w:vAlign w:val="center"/>
          </w:tcPr>
          <w:p w14:paraId="387100FF">
            <w:pPr>
              <w:tabs>
                <w:tab w:val="left" w:pos="3255"/>
              </w:tabs>
              <w:adjustRightInd w:val="0"/>
              <w:snapToGrid w:val="0"/>
              <w:spacing w:before="0" w:beforeLines="0" w:line="240" w:lineRule="auto"/>
              <w:jc w:val="center"/>
              <w:rPr>
                <w:bCs/>
                <w:szCs w:val="21"/>
              </w:rPr>
            </w:pPr>
            <w:r>
              <w:rPr>
                <w:rFonts w:hint="eastAsia"/>
                <w:bCs/>
                <w:szCs w:val="21"/>
              </w:rPr>
              <w:t>尾矿</w:t>
            </w:r>
          </w:p>
        </w:tc>
        <w:tc>
          <w:tcPr>
            <w:tcW w:w="624" w:type="pct"/>
            <w:vAlign w:val="center"/>
          </w:tcPr>
          <w:p w14:paraId="624005E9">
            <w:pPr>
              <w:tabs>
                <w:tab w:val="left" w:pos="3255"/>
              </w:tabs>
              <w:adjustRightInd w:val="0"/>
              <w:snapToGrid w:val="0"/>
              <w:spacing w:before="0" w:beforeLines="0" w:line="240" w:lineRule="auto"/>
              <w:jc w:val="center"/>
              <w:rPr>
                <w:bCs/>
                <w:szCs w:val="21"/>
              </w:rPr>
            </w:pPr>
            <w:r>
              <w:rPr>
                <w:rFonts w:hint="eastAsia"/>
                <w:bCs/>
                <w:szCs w:val="21"/>
              </w:rPr>
              <w:t>0.0041</w:t>
            </w:r>
          </w:p>
        </w:tc>
        <w:tc>
          <w:tcPr>
            <w:tcW w:w="624" w:type="pct"/>
            <w:vAlign w:val="center"/>
          </w:tcPr>
          <w:p w14:paraId="4D2F9C3A">
            <w:pPr>
              <w:tabs>
                <w:tab w:val="left" w:pos="3255"/>
              </w:tabs>
              <w:adjustRightInd w:val="0"/>
              <w:snapToGrid w:val="0"/>
              <w:spacing w:before="0" w:beforeLines="0" w:line="240" w:lineRule="auto"/>
              <w:jc w:val="center"/>
              <w:rPr>
                <w:bCs/>
                <w:szCs w:val="21"/>
              </w:rPr>
            </w:pPr>
            <w:r>
              <w:rPr>
                <w:rFonts w:hint="eastAsia"/>
                <w:bCs/>
                <w:szCs w:val="21"/>
              </w:rPr>
              <w:t>0.0032</w:t>
            </w:r>
          </w:p>
        </w:tc>
        <w:tc>
          <w:tcPr>
            <w:tcW w:w="627" w:type="pct"/>
            <w:vAlign w:val="center"/>
          </w:tcPr>
          <w:p w14:paraId="36893C15">
            <w:pPr>
              <w:tabs>
                <w:tab w:val="left" w:pos="3255"/>
              </w:tabs>
              <w:adjustRightInd w:val="0"/>
              <w:snapToGrid w:val="0"/>
              <w:spacing w:before="0" w:beforeLines="0" w:line="240" w:lineRule="auto"/>
              <w:jc w:val="center"/>
              <w:rPr>
                <w:bCs/>
                <w:szCs w:val="21"/>
              </w:rPr>
            </w:pPr>
            <w:r>
              <w:rPr>
                <w:rFonts w:hint="eastAsia"/>
                <w:bCs/>
                <w:szCs w:val="21"/>
              </w:rPr>
              <w:t>0.0051</w:t>
            </w:r>
          </w:p>
        </w:tc>
        <w:tc>
          <w:tcPr>
            <w:tcW w:w="625" w:type="pct"/>
            <w:vAlign w:val="center"/>
          </w:tcPr>
          <w:p w14:paraId="49D2B165">
            <w:pPr>
              <w:tabs>
                <w:tab w:val="left" w:pos="3255"/>
              </w:tabs>
              <w:adjustRightInd w:val="0"/>
              <w:snapToGrid w:val="0"/>
              <w:spacing w:before="0" w:beforeLines="0" w:line="240" w:lineRule="auto"/>
              <w:jc w:val="center"/>
              <w:rPr>
                <w:bCs/>
                <w:szCs w:val="21"/>
              </w:rPr>
            </w:pPr>
            <w:r>
              <w:rPr>
                <w:rFonts w:hint="eastAsia"/>
                <w:bCs/>
                <w:szCs w:val="21"/>
              </w:rPr>
              <w:t>1</w:t>
            </w:r>
          </w:p>
        </w:tc>
        <w:tc>
          <w:tcPr>
            <w:tcW w:w="625" w:type="pct"/>
            <w:vAlign w:val="center"/>
          </w:tcPr>
          <w:p w14:paraId="32EC3946">
            <w:pPr>
              <w:tabs>
                <w:tab w:val="left" w:pos="3255"/>
              </w:tabs>
              <w:adjustRightInd w:val="0"/>
              <w:snapToGrid w:val="0"/>
              <w:spacing w:before="0" w:beforeLines="0" w:line="240" w:lineRule="auto"/>
              <w:jc w:val="center"/>
              <w:rPr>
                <w:bCs/>
                <w:szCs w:val="21"/>
              </w:rPr>
            </w:pPr>
            <w:r>
              <w:rPr>
                <w:rFonts w:hint="eastAsia"/>
                <w:bCs/>
                <w:szCs w:val="21"/>
              </w:rPr>
              <w:t>1</w:t>
            </w:r>
          </w:p>
        </w:tc>
        <w:tc>
          <w:tcPr>
            <w:tcW w:w="620" w:type="pct"/>
            <w:vAlign w:val="center"/>
          </w:tcPr>
          <w:p w14:paraId="2B5DF425">
            <w:pPr>
              <w:tabs>
                <w:tab w:val="left" w:pos="3255"/>
              </w:tabs>
              <w:adjustRightInd w:val="0"/>
              <w:snapToGrid w:val="0"/>
              <w:spacing w:before="0" w:beforeLines="0" w:line="240" w:lineRule="auto"/>
              <w:jc w:val="center"/>
              <w:rPr>
                <w:bCs/>
                <w:szCs w:val="21"/>
              </w:rPr>
            </w:pPr>
            <w:r>
              <w:rPr>
                <w:rFonts w:hint="eastAsia"/>
                <w:bCs/>
                <w:szCs w:val="21"/>
              </w:rPr>
              <w:t>1</w:t>
            </w:r>
          </w:p>
        </w:tc>
      </w:tr>
    </w:tbl>
    <w:p w14:paraId="65B90430">
      <w:pPr>
        <w:pStyle w:val="212"/>
        <w:spacing w:before="0" w:beforeLines="0"/>
        <w:ind w:firstLine="480"/>
      </w:pPr>
      <w:r>
        <w:rPr>
          <w:rFonts w:hint="eastAsia"/>
        </w:rPr>
        <w:t>由表3.1-9可以看出，本项目废石、尾矿放射性检测结果均满足《矿产资源开发利用辐射环境监督管理名录》（生态环境部公告2020年第54号）要求。</w:t>
      </w:r>
    </w:p>
    <w:p w14:paraId="76C6CDCB">
      <w:pPr>
        <w:pStyle w:val="5"/>
        <w:spacing w:line="360" w:lineRule="auto"/>
        <w:rPr>
          <w:color w:val="auto"/>
        </w:rPr>
      </w:pPr>
      <w:r>
        <w:rPr>
          <w:rFonts w:hint="eastAsia"/>
          <w:color w:val="auto"/>
        </w:rPr>
        <w:t>3.1.5产品方案</w:t>
      </w:r>
    </w:p>
    <w:p w14:paraId="538CA05A">
      <w:pPr>
        <w:pStyle w:val="212"/>
        <w:spacing w:before="0" w:beforeLines="0"/>
        <w:ind w:firstLine="199" w:firstLineChars="83"/>
        <w:rPr>
          <w:szCs w:val="21"/>
        </w:rPr>
      </w:pPr>
      <w:r>
        <w:rPr>
          <w:rFonts w:hint="eastAsia"/>
          <w:szCs w:val="21"/>
        </w:rPr>
        <w:t>（1）产品产能及储存能力</w:t>
      </w:r>
    </w:p>
    <w:p w14:paraId="04DACBB3">
      <w:pPr>
        <w:pStyle w:val="212"/>
        <w:spacing w:before="0" w:beforeLines="0"/>
        <w:ind w:firstLine="480"/>
        <w:rPr>
          <w:szCs w:val="21"/>
        </w:rPr>
      </w:pPr>
      <w:r>
        <w:rPr>
          <w:rFonts w:hint="eastAsia"/>
          <w:szCs w:val="21"/>
        </w:rPr>
        <w:t>本项目为废弃尾矿综合利用项目，主要通过破碎、筛分、磁选球磨等工艺对废弃尾矿及废石中的金属钒、钛进行回收与利用，最终产品为钛铁精矿、钒钛磁铁矿以及碎石、机制砂等。项目产品方案见表3.1-10，产品厂内储存能力见表3.1-11。</w:t>
      </w:r>
    </w:p>
    <w:p w14:paraId="5D24840A">
      <w:pPr>
        <w:pStyle w:val="216"/>
        <w:spacing w:before="78"/>
        <w:jc w:val="center"/>
        <w:rPr>
          <w:rFonts w:eastAsia="宋体"/>
        </w:rPr>
      </w:pPr>
      <w:bookmarkStart w:id="97" w:name="OLE_LINK48"/>
      <w:r>
        <w:rPr>
          <w:rFonts w:eastAsia="宋体"/>
        </w:rPr>
        <w:t>表3.</w:t>
      </w:r>
      <w:r>
        <w:rPr>
          <w:rFonts w:hint="eastAsia" w:eastAsia="宋体"/>
        </w:rPr>
        <w:t>1</w:t>
      </w:r>
      <w:r>
        <w:rPr>
          <w:rFonts w:eastAsia="宋体"/>
        </w:rPr>
        <w:t>-</w:t>
      </w:r>
      <w:r>
        <w:rPr>
          <w:rFonts w:hint="eastAsia" w:eastAsia="宋体"/>
        </w:rPr>
        <w:t xml:space="preserve">10     </w:t>
      </w:r>
      <w:r>
        <w:rPr>
          <w:rFonts w:eastAsia="宋体"/>
        </w:rPr>
        <w:t xml:space="preserve"> 本项产品</w:t>
      </w:r>
      <w:r>
        <w:rPr>
          <w:rFonts w:hint="eastAsia" w:eastAsia="宋体"/>
        </w:rPr>
        <w:t>产量</w:t>
      </w:r>
      <w:r>
        <w:rPr>
          <w:rFonts w:eastAsia="宋体"/>
        </w:rPr>
        <w:t>一览表</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974"/>
        <w:gridCol w:w="2972"/>
        <w:gridCol w:w="2366"/>
      </w:tblGrid>
      <w:tr w14:paraId="4640DBC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789" w:type="pct"/>
            <w:vAlign w:val="center"/>
          </w:tcPr>
          <w:p w14:paraId="2320F2D7">
            <w:pPr>
              <w:tabs>
                <w:tab w:val="left" w:pos="3255"/>
              </w:tabs>
              <w:spacing w:before="0" w:beforeLines="0" w:line="240" w:lineRule="auto"/>
              <w:jc w:val="center"/>
              <w:rPr>
                <w:bCs/>
                <w:szCs w:val="21"/>
              </w:rPr>
            </w:pPr>
            <w:r>
              <w:rPr>
                <w:bCs/>
                <w:szCs w:val="21"/>
              </w:rPr>
              <w:t>名称</w:t>
            </w:r>
          </w:p>
        </w:tc>
        <w:tc>
          <w:tcPr>
            <w:tcW w:w="1788" w:type="pct"/>
            <w:tcBorders>
              <w:right w:val="single" w:color="000000" w:sz="4" w:space="0"/>
            </w:tcBorders>
            <w:vAlign w:val="center"/>
          </w:tcPr>
          <w:p w14:paraId="4210DB20">
            <w:pPr>
              <w:tabs>
                <w:tab w:val="left" w:pos="3255"/>
              </w:tabs>
              <w:spacing w:before="0" w:beforeLines="0" w:line="240" w:lineRule="auto"/>
              <w:jc w:val="center"/>
              <w:rPr>
                <w:bCs/>
                <w:szCs w:val="21"/>
              </w:rPr>
            </w:pPr>
            <w:r>
              <w:rPr>
                <w:bCs/>
                <w:szCs w:val="21"/>
              </w:rPr>
              <w:t>单位</w:t>
            </w:r>
          </w:p>
        </w:tc>
        <w:tc>
          <w:tcPr>
            <w:tcW w:w="1424" w:type="pct"/>
            <w:tcBorders>
              <w:left w:val="single" w:color="000000" w:sz="4" w:space="0"/>
            </w:tcBorders>
            <w:vAlign w:val="center"/>
          </w:tcPr>
          <w:p w14:paraId="73D4F37E">
            <w:pPr>
              <w:tabs>
                <w:tab w:val="left" w:pos="3255"/>
              </w:tabs>
              <w:spacing w:before="0" w:beforeLines="0" w:line="240" w:lineRule="auto"/>
              <w:jc w:val="center"/>
              <w:rPr>
                <w:bCs/>
                <w:szCs w:val="21"/>
              </w:rPr>
            </w:pPr>
            <w:r>
              <w:rPr>
                <w:bCs/>
                <w:szCs w:val="21"/>
              </w:rPr>
              <w:t>数量</w:t>
            </w:r>
          </w:p>
        </w:tc>
      </w:tr>
      <w:tr w14:paraId="500E323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789" w:type="pct"/>
            <w:vAlign w:val="center"/>
          </w:tcPr>
          <w:p w14:paraId="0F1DC51B">
            <w:pPr>
              <w:tabs>
                <w:tab w:val="left" w:pos="3255"/>
              </w:tabs>
              <w:spacing w:before="0" w:beforeLines="0" w:line="240" w:lineRule="auto"/>
              <w:jc w:val="center"/>
              <w:rPr>
                <w:bCs/>
                <w:szCs w:val="21"/>
              </w:rPr>
            </w:pPr>
            <w:r>
              <w:rPr>
                <w:bCs/>
                <w:szCs w:val="21"/>
              </w:rPr>
              <w:t>碎石</w:t>
            </w:r>
          </w:p>
        </w:tc>
        <w:tc>
          <w:tcPr>
            <w:tcW w:w="1788" w:type="pct"/>
            <w:vAlign w:val="center"/>
          </w:tcPr>
          <w:p w14:paraId="041F5529">
            <w:pPr>
              <w:spacing w:before="0" w:beforeLines="0" w:line="240" w:lineRule="auto"/>
              <w:jc w:val="center"/>
              <w:rPr>
                <w:szCs w:val="21"/>
              </w:rPr>
            </w:pPr>
            <w:r>
              <w:rPr>
                <w:kern w:val="0"/>
                <w:szCs w:val="21"/>
              </w:rPr>
              <w:t>万t/a</w:t>
            </w:r>
          </w:p>
        </w:tc>
        <w:tc>
          <w:tcPr>
            <w:tcW w:w="1424" w:type="pct"/>
            <w:vAlign w:val="center"/>
          </w:tcPr>
          <w:p w14:paraId="4112A9C9">
            <w:pPr>
              <w:pStyle w:val="210"/>
              <w:spacing w:before="0"/>
              <w:rPr>
                <w:szCs w:val="21"/>
              </w:rPr>
            </w:pPr>
            <w:r>
              <w:rPr>
                <w:rFonts w:hint="eastAsia"/>
                <w:szCs w:val="21"/>
              </w:rPr>
              <w:t>38</w:t>
            </w:r>
          </w:p>
        </w:tc>
      </w:tr>
      <w:tr w14:paraId="4EC5CB3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789" w:type="pct"/>
            <w:vAlign w:val="center"/>
          </w:tcPr>
          <w:p w14:paraId="29E3E182">
            <w:pPr>
              <w:tabs>
                <w:tab w:val="left" w:pos="3255"/>
              </w:tabs>
              <w:spacing w:before="0" w:beforeLines="0" w:line="240" w:lineRule="auto"/>
              <w:jc w:val="center"/>
              <w:rPr>
                <w:bCs/>
                <w:szCs w:val="21"/>
              </w:rPr>
            </w:pPr>
            <w:r>
              <w:rPr>
                <w:bCs/>
                <w:szCs w:val="21"/>
              </w:rPr>
              <w:t>机制砂</w:t>
            </w:r>
          </w:p>
        </w:tc>
        <w:tc>
          <w:tcPr>
            <w:tcW w:w="1788" w:type="pct"/>
            <w:vAlign w:val="center"/>
          </w:tcPr>
          <w:p w14:paraId="264EF96B">
            <w:pPr>
              <w:spacing w:before="0" w:beforeLines="0" w:line="240" w:lineRule="auto"/>
              <w:jc w:val="center"/>
              <w:rPr>
                <w:szCs w:val="21"/>
              </w:rPr>
            </w:pPr>
            <w:r>
              <w:rPr>
                <w:kern w:val="0"/>
                <w:szCs w:val="21"/>
              </w:rPr>
              <w:t>万t/a</w:t>
            </w:r>
          </w:p>
        </w:tc>
        <w:tc>
          <w:tcPr>
            <w:tcW w:w="1424" w:type="pct"/>
            <w:vAlign w:val="center"/>
          </w:tcPr>
          <w:p w14:paraId="3EC33265">
            <w:pPr>
              <w:pStyle w:val="210"/>
              <w:spacing w:before="0"/>
              <w:rPr>
                <w:szCs w:val="21"/>
              </w:rPr>
            </w:pPr>
            <w:r>
              <w:rPr>
                <w:rFonts w:hint="eastAsia"/>
                <w:szCs w:val="21"/>
              </w:rPr>
              <w:t>160</w:t>
            </w:r>
          </w:p>
        </w:tc>
      </w:tr>
      <w:tr w14:paraId="5C75769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789" w:type="pct"/>
            <w:vAlign w:val="center"/>
          </w:tcPr>
          <w:p w14:paraId="72F62E85">
            <w:pPr>
              <w:tabs>
                <w:tab w:val="left" w:pos="3255"/>
              </w:tabs>
              <w:spacing w:before="0" w:beforeLines="0" w:line="240" w:lineRule="auto"/>
              <w:jc w:val="center"/>
              <w:rPr>
                <w:bCs/>
                <w:szCs w:val="21"/>
              </w:rPr>
            </w:pPr>
            <w:r>
              <w:rPr>
                <w:szCs w:val="21"/>
              </w:rPr>
              <w:t>钛铁精矿</w:t>
            </w:r>
          </w:p>
        </w:tc>
        <w:tc>
          <w:tcPr>
            <w:tcW w:w="1788" w:type="pct"/>
            <w:vAlign w:val="center"/>
          </w:tcPr>
          <w:p w14:paraId="6963A916">
            <w:pPr>
              <w:spacing w:before="0" w:beforeLines="0" w:line="240" w:lineRule="auto"/>
              <w:jc w:val="center"/>
              <w:rPr>
                <w:szCs w:val="21"/>
              </w:rPr>
            </w:pPr>
            <w:r>
              <w:rPr>
                <w:kern w:val="0"/>
                <w:szCs w:val="21"/>
              </w:rPr>
              <w:t>万t/a</w:t>
            </w:r>
          </w:p>
        </w:tc>
        <w:tc>
          <w:tcPr>
            <w:tcW w:w="1424" w:type="pct"/>
            <w:vAlign w:val="center"/>
          </w:tcPr>
          <w:p w14:paraId="2F5AAC1A">
            <w:pPr>
              <w:pStyle w:val="210"/>
              <w:spacing w:before="0"/>
              <w:rPr>
                <w:szCs w:val="21"/>
              </w:rPr>
            </w:pPr>
            <w:r>
              <w:rPr>
                <w:rFonts w:hint="eastAsia"/>
                <w:szCs w:val="21"/>
              </w:rPr>
              <w:t>4</w:t>
            </w:r>
          </w:p>
        </w:tc>
      </w:tr>
      <w:tr w14:paraId="47D82E6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789" w:type="pct"/>
            <w:vAlign w:val="center"/>
          </w:tcPr>
          <w:p w14:paraId="7330E16C">
            <w:pPr>
              <w:tabs>
                <w:tab w:val="left" w:pos="3255"/>
              </w:tabs>
              <w:spacing w:before="0" w:beforeLines="0" w:line="240" w:lineRule="auto"/>
              <w:jc w:val="center"/>
              <w:rPr>
                <w:bCs/>
                <w:szCs w:val="21"/>
              </w:rPr>
            </w:pPr>
            <w:r>
              <w:rPr>
                <w:kern w:val="0"/>
                <w:szCs w:val="21"/>
              </w:rPr>
              <w:t>钒钛磁铁矿</w:t>
            </w:r>
          </w:p>
        </w:tc>
        <w:tc>
          <w:tcPr>
            <w:tcW w:w="1788" w:type="pct"/>
            <w:vAlign w:val="center"/>
          </w:tcPr>
          <w:p w14:paraId="3544F2A8">
            <w:pPr>
              <w:spacing w:before="0" w:beforeLines="0" w:line="240" w:lineRule="auto"/>
              <w:jc w:val="center"/>
              <w:rPr>
                <w:szCs w:val="21"/>
              </w:rPr>
            </w:pPr>
            <w:r>
              <w:rPr>
                <w:kern w:val="0"/>
                <w:szCs w:val="21"/>
              </w:rPr>
              <w:t>万t/a</w:t>
            </w:r>
          </w:p>
        </w:tc>
        <w:tc>
          <w:tcPr>
            <w:tcW w:w="1424" w:type="pct"/>
            <w:vAlign w:val="center"/>
          </w:tcPr>
          <w:p w14:paraId="311DEBC7">
            <w:pPr>
              <w:pStyle w:val="210"/>
              <w:spacing w:before="0"/>
              <w:rPr>
                <w:szCs w:val="21"/>
              </w:rPr>
            </w:pPr>
            <w:r>
              <w:rPr>
                <w:rFonts w:hint="eastAsia"/>
                <w:szCs w:val="21"/>
              </w:rPr>
              <w:t>14</w:t>
            </w:r>
          </w:p>
        </w:tc>
      </w:tr>
      <w:bookmarkEnd w:id="97"/>
    </w:tbl>
    <w:p w14:paraId="40AE6A98">
      <w:pPr>
        <w:pStyle w:val="216"/>
        <w:spacing w:before="78"/>
        <w:jc w:val="center"/>
        <w:rPr>
          <w:rFonts w:eastAsia="宋体"/>
        </w:rPr>
      </w:pPr>
      <w:bookmarkStart w:id="98" w:name="_Hlk193385759"/>
      <w:r>
        <w:rPr>
          <w:rFonts w:eastAsia="宋体"/>
        </w:rPr>
        <w:t>表3.</w:t>
      </w:r>
      <w:r>
        <w:rPr>
          <w:rFonts w:hint="eastAsia" w:eastAsia="宋体"/>
        </w:rPr>
        <w:t>1</w:t>
      </w:r>
      <w:r>
        <w:rPr>
          <w:rFonts w:eastAsia="宋体"/>
        </w:rPr>
        <w:t>-</w:t>
      </w:r>
      <w:r>
        <w:rPr>
          <w:rFonts w:hint="eastAsia" w:eastAsia="宋体"/>
        </w:rPr>
        <w:t>11</w:t>
      </w:r>
      <w:r>
        <w:rPr>
          <w:rFonts w:eastAsia="宋体"/>
        </w:rPr>
        <w:t xml:space="preserve"> </w:t>
      </w:r>
      <w:r>
        <w:rPr>
          <w:rFonts w:hint="eastAsia" w:eastAsia="宋体"/>
        </w:rPr>
        <w:t xml:space="preserve">    </w:t>
      </w:r>
      <w:r>
        <w:rPr>
          <w:rFonts w:eastAsia="宋体"/>
        </w:rPr>
        <w:t>本项产品</w:t>
      </w:r>
      <w:r>
        <w:rPr>
          <w:rFonts w:hint="eastAsia" w:eastAsia="宋体"/>
        </w:rPr>
        <w:t>及储存方式</w:t>
      </w:r>
      <w:r>
        <w:rPr>
          <w:rFonts w:eastAsia="宋体"/>
        </w:rPr>
        <w:t>一览表</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078"/>
        <w:gridCol w:w="2078"/>
        <w:gridCol w:w="1656"/>
        <w:gridCol w:w="2500"/>
      </w:tblGrid>
      <w:tr w14:paraId="64714D5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250" w:type="pct"/>
            <w:vAlign w:val="center"/>
          </w:tcPr>
          <w:p w14:paraId="7E3C2E25">
            <w:pPr>
              <w:tabs>
                <w:tab w:val="left" w:pos="3255"/>
              </w:tabs>
              <w:spacing w:before="0" w:beforeLines="0" w:line="240" w:lineRule="auto"/>
              <w:jc w:val="center"/>
              <w:rPr>
                <w:bCs/>
                <w:szCs w:val="21"/>
              </w:rPr>
            </w:pPr>
            <w:r>
              <w:rPr>
                <w:bCs/>
                <w:szCs w:val="21"/>
              </w:rPr>
              <w:t>名称</w:t>
            </w:r>
          </w:p>
        </w:tc>
        <w:tc>
          <w:tcPr>
            <w:tcW w:w="1250" w:type="pct"/>
            <w:tcBorders>
              <w:right w:val="single" w:color="000000" w:sz="4" w:space="0"/>
            </w:tcBorders>
            <w:vAlign w:val="center"/>
          </w:tcPr>
          <w:p w14:paraId="65C334FB">
            <w:pPr>
              <w:tabs>
                <w:tab w:val="left" w:pos="3255"/>
              </w:tabs>
              <w:spacing w:before="0" w:beforeLines="0" w:line="240" w:lineRule="auto"/>
              <w:jc w:val="center"/>
              <w:rPr>
                <w:bCs/>
                <w:szCs w:val="21"/>
              </w:rPr>
            </w:pPr>
            <w:r>
              <w:rPr>
                <w:rFonts w:hint="eastAsia"/>
                <w:bCs/>
                <w:szCs w:val="21"/>
              </w:rPr>
              <w:t>储存方式及数量</w:t>
            </w:r>
          </w:p>
        </w:tc>
        <w:tc>
          <w:tcPr>
            <w:tcW w:w="996" w:type="pct"/>
            <w:tcBorders>
              <w:left w:val="single" w:color="000000" w:sz="4" w:space="0"/>
            </w:tcBorders>
            <w:vAlign w:val="center"/>
          </w:tcPr>
          <w:p w14:paraId="0CD45E9F">
            <w:pPr>
              <w:tabs>
                <w:tab w:val="left" w:pos="3255"/>
              </w:tabs>
              <w:spacing w:before="0" w:beforeLines="0" w:line="240" w:lineRule="auto"/>
              <w:jc w:val="center"/>
              <w:rPr>
                <w:bCs/>
                <w:szCs w:val="21"/>
              </w:rPr>
            </w:pPr>
            <w:r>
              <w:rPr>
                <w:rFonts w:hint="eastAsia"/>
                <w:bCs/>
                <w:szCs w:val="21"/>
              </w:rPr>
              <w:t>尺寸</w:t>
            </w:r>
          </w:p>
        </w:tc>
        <w:tc>
          <w:tcPr>
            <w:tcW w:w="1504" w:type="pct"/>
            <w:vAlign w:val="center"/>
          </w:tcPr>
          <w:p w14:paraId="4A3EC0A5">
            <w:pPr>
              <w:tabs>
                <w:tab w:val="left" w:pos="3255"/>
              </w:tabs>
              <w:spacing w:before="0" w:beforeLines="0" w:line="240" w:lineRule="auto"/>
              <w:jc w:val="center"/>
              <w:rPr>
                <w:bCs/>
                <w:szCs w:val="21"/>
              </w:rPr>
            </w:pPr>
            <w:r>
              <w:rPr>
                <w:rFonts w:hint="eastAsia"/>
                <w:bCs/>
                <w:szCs w:val="21"/>
              </w:rPr>
              <w:t>最大储量</w:t>
            </w:r>
          </w:p>
        </w:tc>
      </w:tr>
      <w:tr w14:paraId="7B62EB3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250" w:type="pct"/>
            <w:vAlign w:val="center"/>
          </w:tcPr>
          <w:p w14:paraId="69B0BC73">
            <w:pPr>
              <w:tabs>
                <w:tab w:val="left" w:pos="3255"/>
              </w:tabs>
              <w:spacing w:before="0" w:beforeLines="0" w:line="240" w:lineRule="auto"/>
              <w:jc w:val="center"/>
              <w:rPr>
                <w:bCs/>
                <w:szCs w:val="21"/>
              </w:rPr>
            </w:pPr>
            <w:r>
              <w:rPr>
                <w:bCs/>
                <w:szCs w:val="21"/>
              </w:rPr>
              <w:t>碎石</w:t>
            </w:r>
          </w:p>
        </w:tc>
        <w:tc>
          <w:tcPr>
            <w:tcW w:w="1250" w:type="pct"/>
            <w:vAlign w:val="center"/>
          </w:tcPr>
          <w:p w14:paraId="3C3A6A4F">
            <w:pPr>
              <w:spacing w:before="0" w:beforeLines="0" w:line="240" w:lineRule="auto"/>
              <w:jc w:val="center"/>
              <w:rPr>
                <w:szCs w:val="21"/>
              </w:rPr>
            </w:pPr>
            <w:r>
              <w:rPr>
                <w:rFonts w:hint="eastAsia"/>
                <w:szCs w:val="21"/>
              </w:rPr>
              <w:t>3座碎石筒仓</w:t>
            </w:r>
          </w:p>
        </w:tc>
        <w:tc>
          <w:tcPr>
            <w:tcW w:w="996" w:type="pct"/>
            <w:vAlign w:val="center"/>
          </w:tcPr>
          <w:p w14:paraId="280D2D12">
            <w:pPr>
              <w:pStyle w:val="210"/>
              <w:spacing w:before="0"/>
              <w:rPr>
                <w:szCs w:val="21"/>
              </w:rPr>
            </w:pPr>
            <w:r>
              <w:rPr>
                <w:rFonts w:hint="eastAsia"/>
                <w:szCs w:val="21"/>
              </w:rPr>
              <w:t>Φ10</w:t>
            </w:r>
            <w:r>
              <w:rPr>
                <w:szCs w:val="21"/>
              </w:rPr>
              <w:t>×12m</w:t>
            </w:r>
          </w:p>
        </w:tc>
        <w:tc>
          <w:tcPr>
            <w:tcW w:w="1504" w:type="pct"/>
            <w:vAlign w:val="center"/>
          </w:tcPr>
          <w:p w14:paraId="1C86D33F">
            <w:pPr>
              <w:spacing w:before="0" w:beforeLines="0" w:line="240" w:lineRule="auto"/>
              <w:jc w:val="center"/>
              <w:rPr>
                <w:szCs w:val="21"/>
              </w:rPr>
            </w:pPr>
            <w:r>
              <w:rPr>
                <w:rFonts w:hint="eastAsia"/>
                <w:szCs w:val="21"/>
              </w:rPr>
              <w:t>最大储量约5500t，可满足碎石4d储量</w:t>
            </w:r>
          </w:p>
        </w:tc>
      </w:tr>
      <w:tr w14:paraId="3071E98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250" w:type="pct"/>
            <w:vAlign w:val="center"/>
          </w:tcPr>
          <w:p w14:paraId="1CE6297F">
            <w:pPr>
              <w:tabs>
                <w:tab w:val="left" w:pos="3255"/>
              </w:tabs>
              <w:spacing w:before="0" w:beforeLines="0" w:line="240" w:lineRule="auto"/>
              <w:jc w:val="center"/>
              <w:rPr>
                <w:bCs/>
                <w:szCs w:val="21"/>
              </w:rPr>
            </w:pPr>
            <w:r>
              <w:rPr>
                <w:bCs/>
                <w:szCs w:val="21"/>
              </w:rPr>
              <w:t>机制砂</w:t>
            </w:r>
          </w:p>
        </w:tc>
        <w:tc>
          <w:tcPr>
            <w:tcW w:w="1250" w:type="pct"/>
            <w:vAlign w:val="center"/>
          </w:tcPr>
          <w:p w14:paraId="44D2AD80">
            <w:pPr>
              <w:spacing w:before="0" w:beforeLines="0" w:line="240" w:lineRule="auto"/>
              <w:jc w:val="center"/>
              <w:rPr>
                <w:szCs w:val="21"/>
              </w:rPr>
            </w:pPr>
            <w:r>
              <w:rPr>
                <w:rFonts w:hint="eastAsia"/>
                <w:szCs w:val="21"/>
              </w:rPr>
              <w:t>机制砂库房</w:t>
            </w:r>
          </w:p>
        </w:tc>
        <w:tc>
          <w:tcPr>
            <w:tcW w:w="996" w:type="pct"/>
            <w:vAlign w:val="center"/>
          </w:tcPr>
          <w:p w14:paraId="6156E276">
            <w:pPr>
              <w:pStyle w:val="210"/>
              <w:spacing w:before="0"/>
              <w:rPr>
                <w:szCs w:val="21"/>
              </w:rPr>
            </w:pPr>
            <w:r>
              <w:rPr>
                <w:rFonts w:hint="eastAsia"/>
                <w:szCs w:val="21"/>
              </w:rPr>
              <w:t>60</w:t>
            </w:r>
            <w:r>
              <w:rPr>
                <w:szCs w:val="21"/>
              </w:rPr>
              <w:t>×</w:t>
            </w:r>
            <w:r>
              <w:rPr>
                <w:rFonts w:hint="eastAsia"/>
                <w:szCs w:val="21"/>
              </w:rPr>
              <w:t>25</w:t>
            </w:r>
            <w:r>
              <w:rPr>
                <w:szCs w:val="21"/>
              </w:rPr>
              <w:t>×</w:t>
            </w:r>
            <w:r>
              <w:rPr>
                <w:rFonts w:hint="eastAsia"/>
                <w:szCs w:val="21"/>
              </w:rPr>
              <w:t>10</w:t>
            </w:r>
          </w:p>
        </w:tc>
        <w:tc>
          <w:tcPr>
            <w:tcW w:w="1504" w:type="pct"/>
            <w:vAlign w:val="center"/>
          </w:tcPr>
          <w:p w14:paraId="5D3AB656">
            <w:pPr>
              <w:spacing w:before="0" w:beforeLines="0" w:line="240" w:lineRule="auto"/>
              <w:jc w:val="center"/>
              <w:rPr>
                <w:szCs w:val="21"/>
              </w:rPr>
            </w:pPr>
            <w:r>
              <w:rPr>
                <w:rFonts w:hint="eastAsia"/>
                <w:szCs w:val="21"/>
              </w:rPr>
              <w:t>最大储量约22000t，可满足机制砂4d储量</w:t>
            </w:r>
          </w:p>
        </w:tc>
      </w:tr>
      <w:tr w14:paraId="2608844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250" w:type="pct"/>
            <w:vAlign w:val="center"/>
          </w:tcPr>
          <w:p w14:paraId="1D194D58">
            <w:pPr>
              <w:tabs>
                <w:tab w:val="left" w:pos="3255"/>
              </w:tabs>
              <w:spacing w:before="0" w:beforeLines="0" w:line="240" w:lineRule="auto"/>
              <w:jc w:val="center"/>
              <w:rPr>
                <w:bCs/>
                <w:szCs w:val="21"/>
              </w:rPr>
            </w:pPr>
            <w:r>
              <w:rPr>
                <w:szCs w:val="21"/>
              </w:rPr>
              <w:t>钛铁精矿</w:t>
            </w:r>
          </w:p>
        </w:tc>
        <w:tc>
          <w:tcPr>
            <w:tcW w:w="1250" w:type="pct"/>
            <w:vAlign w:val="center"/>
          </w:tcPr>
          <w:p w14:paraId="6EB8E642">
            <w:pPr>
              <w:spacing w:before="0" w:beforeLines="0" w:line="240" w:lineRule="auto"/>
              <w:jc w:val="center"/>
              <w:rPr>
                <w:szCs w:val="21"/>
              </w:rPr>
            </w:pPr>
            <w:r>
              <w:rPr>
                <w:rFonts w:hint="eastAsia"/>
                <w:szCs w:val="21"/>
              </w:rPr>
              <w:t>1座矿石筒仓</w:t>
            </w:r>
          </w:p>
        </w:tc>
        <w:tc>
          <w:tcPr>
            <w:tcW w:w="996" w:type="pct"/>
            <w:vAlign w:val="center"/>
          </w:tcPr>
          <w:p w14:paraId="46666225">
            <w:pPr>
              <w:pStyle w:val="210"/>
              <w:spacing w:before="0"/>
              <w:rPr>
                <w:szCs w:val="21"/>
              </w:rPr>
            </w:pPr>
            <w:r>
              <w:rPr>
                <w:rFonts w:hint="eastAsia"/>
                <w:szCs w:val="21"/>
              </w:rPr>
              <w:t>Φ</w:t>
            </w:r>
            <w:r>
              <w:rPr>
                <w:szCs w:val="21"/>
              </w:rPr>
              <w:t>6×12m</w:t>
            </w:r>
          </w:p>
        </w:tc>
        <w:tc>
          <w:tcPr>
            <w:tcW w:w="1504" w:type="pct"/>
            <w:vAlign w:val="center"/>
          </w:tcPr>
          <w:p w14:paraId="60CFFC22">
            <w:pPr>
              <w:spacing w:before="0" w:beforeLines="0" w:line="240" w:lineRule="auto"/>
              <w:jc w:val="center"/>
              <w:rPr>
                <w:szCs w:val="21"/>
              </w:rPr>
            </w:pPr>
            <w:r>
              <w:rPr>
                <w:rFonts w:hint="eastAsia"/>
                <w:szCs w:val="21"/>
              </w:rPr>
              <w:t>最大储量约1250t，可满足钛铁精矿9d储量</w:t>
            </w:r>
          </w:p>
        </w:tc>
      </w:tr>
      <w:tr w14:paraId="6E90CFA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250" w:type="pct"/>
            <w:vAlign w:val="center"/>
          </w:tcPr>
          <w:p w14:paraId="2FC6C500">
            <w:pPr>
              <w:tabs>
                <w:tab w:val="left" w:pos="3255"/>
              </w:tabs>
              <w:spacing w:before="0" w:beforeLines="0" w:line="240" w:lineRule="auto"/>
              <w:jc w:val="center"/>
              <w:rPr>
                <w:bCs/>
                <w:szCs w:val="21"/>
              </w:rPr>
            </w:pPr>
            <w:r>
              <w:rPr>
                <w:kern w:val="0"/>
                <w:szCs w:val="21"/>
              </w:rPr>
              <w:t>钒钛磁铁矿</w:t>
            </w:r>
          </w:p>
        </w:tc>
        <w:tc>
          <w:tcPr>
            <w:tcW w:w="1250" w:type="pct"/>
            <w:vAlign w:val="center"/>
          </w:tcPr>
          <w:p w14:paraId="77804F7D">
            <w:pPr>
              <w:spacing w:before="0" w:beforeLines="0" w:line="240" w:lineRule="auto"/>
              <w:jc w:val="center"/>
              <w:rPr>
                <w:szCs w:val="21"/>
              </w:rPr>
            </w:pPr>
            <w:r>
              <w:rPr>
                <w:rFonts w:hint="eastAsia"/>
                <w:szCs w:val="21"/>
              </w:rPr>
              <w:t>3做矿石筒仓</w:t>
            </w:r>
          </w:p>
        </w:tc>
        <w:tc>
          <w:tcPr>
            <w:tcW w:w="996" w:type="pct"/>
            <w:vAlign w:val="center"/>
          </w:tcPr>
          <w:p w14:paraId="10765AFC">
            <w:pPr>
              <w:pStyle w:val="210"/>
              <w:spacing w:before="0"/>
              <w:rPr>
                <w:szCs w:val="21"/>
              </w:rPr>
            </w:pPr>
            <w:r>
              <w:rPr>
                <w:rFonts w:hint="eastAsia"/>
                <w:szCs w:val="21"/>
              </w:rPr>
              <w:t>Φ</w:t>
            </w:r>
            <w:r>
              <w:rPr>
                <w:szCs w:val="21"/>
              </w:rPr>
              <w:t>6×12m</w:t>
            </w:r>
          </w:p>
        </w:tc>
        <w:tc>
          <w:tcPr>
            <w:tcW w:w="1504" w:type="pct"/>
            <w:vAlign w:val="center"/>
          </w:tcPr>
          <w:p w14:paraId="278D30AB">
            <w:pPr>
              <w:spacing w:before="0" w:beforeLines="0" w:line="240" w:lineRule="auto"/>
              <w:jc w:val="center"/>
              <w:rPr>
                <w:szCs w:val="21"/>
              </w:rPr>
            </w:pPr>
            <w:r>
              <w:rPr>
                <w:rFonts w:hint="eastAsia"/>
                <w:szCs w:val="21"/>
              </w:rPr>
              <w:t>最大储量约4900t，可满足钒钛铁精矿10d储量</w:t>
            </w:r>
          </w:p>
        </w:tc>
      </w:tr>
      <w:bookmarkEnd w:id="98"/>
    </w:tbl>
    <w:p w14:paraId="2CFE8774">
      <w:pPr>
        <w:pStyle w:val="143"/>
        <w:widowControl w:val="0"/>
        <w:adjustRightInd w:val="0"/>
        <w:snapToGrid w:val="0"/>
        <w:spacing w:before="0" w:beforeLines="0" w:line="360" w:lineRule="auto"/>
        <w:ind w:firstLine="480" w:firstLineChars="200"/>
        <w:jc w:val="both"/>
        <w:rPr>
          <w:bCs w:val="0"/>
          <w:sz w:val="24"/>
          <w:szCs w:val="24"/>
        </w:rPr>
      </w:pPr>
      <w:r>
        <w:rPr>
          <w:rFonts w:hint="eastAsia"/>
          <w:bCs w:val="0"/>
          <w:sz w:val="24"/>
          <w:szCs w:val="24"/>
        </w:rPr>
        <w:t>由表3.1-10、表3.1-11可以看出，</w:t>
      </w:r>
      <w:bookmarkStart w:id="99" w:name="OLE_LINK58"/>
      <w:r>
        <w:rPr>
          <w:rFonts w:hint="eastAsia"/>
          <w:bCs w:val="0"/>
          <w:sz w:val="24"/>
          <w:szCs w:val="24"/>
        </w:rPr>
        <w:t>本项目各产品中碎石及机制砂最大储存时间最短为4d。环评要求企业由于市场原因销售不畅或者极端天气产品无法运出的情况下，项目应立即停产，</w:t>
      </w:r>
      <w:r>
        <w:rPr>
          <w:bCs w:val="0"/>
          <w:sz w:val="24"/>
          <w:szCs w:val="24"/>
        </w:rPr>
        <w:t>不得将产品在各自储存</w:t>
      </w:r>
      <w:r>
        <w:rPr>
          <w:rFonts w:hint="eastAsia"/>
          <w:bCs w:val="0"/>
          <w:sz w:val="24"/>
          <w:szCs w:val="24"/>
        </w:rPr>
        <w:t>库房或筒仓</w:t>
      </w:r>
      <w:r>
        <w:rPr>
          <w:bCs w:val="0"/>
          <w:sz w:val="24"/>
          <w:szCs w:val="24"/>
        </w:rPr>
        <w:t>外堆存</w:t>
      </w:r>
      <w:r>
        <w:rPr>
          <w:rFonts w:hint="eastAsia"/>
          <w:bCs w:val="0"/>
          <w:sz w:val="24"/>
          <w:szCs w:val="24"/>
        </w:rPr>
        <w:t>。</w:t>
      </w:r>
    </w:p>
    <w:bookmarkEnd w:id="99"/>
    <w:p w14:paraId="79A62A29">
      <w:pPr>
        <w:pStyle w:val="143"/>
        <w:widowControl w:val="0"/>
        <w:adjustRightInd w:val="0"/>
        <w:snapToGrid w:val="0"/>
        <w:spacing w:before="0" w:beforeLines="0" w:line="360" w:lineRule="auto"/>
        <w:jc w:val="both"/>
        <w:rPr>
          <w:bCs w:val="0"/>
          <w:sz w:val="24"/>
          <w:szCs w:val="24"/>
        </w:rPr>
      </w:pPr>
      <w:r>
        <w:rPr>
          <w:rFonts w:hint="eastAsia"/>
          <w:bCs w:val="0"/>
          <w:sz w:val="24"/>
          <w:szCs w:val="24"/>
        </w:rPr>
        <w:t>（2）产品执行标准</w:t>
      </w:r>
    </w:p>
    <w:p w14:paraId="4D856C4E">
      <w:pPr>
        <w:pStyle w:val="143"/>
        <w:widowControl w:val="0"/>
        <w:adjustRightInd w:val="0"/>
        <w:snapToGrid w:val="0"/>
        <w:spacing w:before="0" w:beforeLines="0" w:line="360" w:lineRule="auto"/>
        <w:ind w:firstLine="480" w:firstLineChars="200"/>
        <w:jc w:val="both"/>
        <w:rPr>
          <w:bCs w:val="0"/>
          <w:sz w:val="24"/>
          <w:szCs w:val="24"/>
        </w:rPr>
      </w:pPr>
      <w:r>
        <w:rPr>
          <w:bCs w:val="0"/>
          <w:sz w:val="24"/>
          <w:szCs w:val="24"/>
        </w:rPr>
        <w:t>本项目钛铁精矿执行《钛铁矿精矿》（</w:t>
      </w:r>
      <w:bookmarkStart w:id="100" w:name="OLE_LINK59"/>
      <w:r>
        <w:rPr>
          <w:bCs w:val="0"/>
          <w:sz w:val="24"/>
          <w:szCs w:val="24"/>
        </w:rPr>
        <w:t>YS/T351-2015</w:t>
      </w:r>
      <w:bookmarkEnd w:id="100"/>
      <w:r>
        <w:rPr>
          <w:bCs w:val="0"/>
          <w:sz w:val="24"/>
          <w:szCs w:val="24"/>
        </w:rPr>
        <w:t>）中五级标准；钒钛磁铁矿执行《钒钛铁精矿》（</w:t>
      </w:r>
      <w:bookmarkStart w:id="101" w:name="OLE_LINK60"/>
      <w:r>
        <w:rPr>
          <w:bCs w:val="0"/>
          <w:sz w:val="24"/>
          <w:szCs w:val="24"/>
        </w:rPr>
        <w:t>YB/T4695-2018</w:t>
      </w:r>
      <w:bookmarkEnd w:id="101"/>
      <w:r>
        <w:rPr>
          <w:bCs w:val="0"/>
          <w:sz w:val="24"/>
          <w:szCs w:val="24"/>
        </w:rPr>
        <w:t>）中表1牌号FTTJ65-A标准</w:t>
      </w:r>
      <w:r>
        <w:rPr>
          <w:rFonts w:hint="eastAsia"/>
          <w:bCs w:val="0"/>
          <w:sz w:val="24"/>
          <w:szCs w:val="24"/>
        </w:rPr>
        <w:t>；机制砂执行《建设用砂》（GB/T14684-2022）</w:t>
      </w:r>
      <w:bookmarkStart w:id="102" w:name="OLE_LINK47"/>
      <w:r>
        <w:rPr>
          <w:bCs w:val="0"/>
          <w:sz w:val="24"/>
          <w:szCs w:val="24"/>
        </w:rPr>
        <w:fldChar w:fldCharType="begin"/>
      </w:r>
      <w:r>
        <w:rPr>
          <w:bCs w:val="0"/>
          <w:sz w:val="24"/>
          <w:szCs w:val="24"/>
        </w:rPr>
        <w:instrText xml:space="preserve"> </w:instrText>
      </w:r>
      <w:r>
        <w:rPr>
          <w:rFonts w:hint="eastAsia"/>
          <w:bCs w:val="0"/>
          <w:sz w:val="24"/>
          <w:szCs w:val="24"/>
        </w:rPr>
        <w:instrText xml:space="preserve">= 3 \* ROMAN</w:instrText>
      </w:r>
      <w:r>
        <w:rPr>
          <w:bCs w:val="0"/>
          <w:sz w:val="24"/>
          <w:szCs w:val="24"/>
        </w:rPr>
        <w:instrText xml:space="preserve"> </w:instrText>
      </w:r>
      <w:r>
        <w:rPr>
          <w:bCs w:val="0"/>
          <w:sz w:val="24"/>
          <w:szCs w:val="24"/>
        </w:rPr>
        <w:fldChar w:fldCharType="separate"/>
      </w:r>
      <w:r>
        <w:rPr>
          <w:bCs w:val="0"/>
          <w:sz w:val="24"/>
          <w:szCs w:val="24"/>
        </w:rPr>
        <w:t>III</w:t>
      </w:r>
      <w:r>
        <w:rPr>
          <w:bCs w:val="0"/>
          <w:sz w:val="24"/>
          <w:szCs w:val="24"/>
        </w:rPr>
        <w:fldChar w:fldCharType="end"/>
      </w:r>
      <w:r>
        <w:rPr>
          <w:rFonts w:hint="eastAsia"/>
          <w:bCs w:val="0"/>
          <w:sz w:val="24"/>
          <w:szCs w:val="24"/>
        </w:rPr>
        <w:t>类机制砂标准</w:t>
      </w:r>
      <w:bookmarkEnd w:id="102"/>
      <w:r>
        <w:rPr>
          <w:rFonts w:hint="eastAsia"/>
          <w:bCs w:val="0"/>
          <w:sz w:val="24"/>
          <w:szCs w:val="24"/>
        </w:rPr>
        <w:t>；碎石执行《建设用卵石、碎石》（GB/T14685-2022）</w:t>
      </w:r>
      <w:r>
        <w:rPr>
          <w:bCs w:val="0"/>
          <w:sz w:val="24"/>
          <w:szCs w:val="24"/>
        </w:rPr>
        <w:t>III类机制砂标准</w:t>
      </w:r>
      <w:r>
        <w:rPr>
          <w:rFonts w:hint="eastAsia"/>
          <w:bCs w:val="0"/>
          <w:sz w:val="24"/>
          <w:szCs w:val="24"/>
        </w:rPr>
        <w:t>。</w:t>
      </w:r>
      <w:r>
        <w:rPr>
          <w:bCs w:val="0"/>
          <w:sz w:val="24"/>
          <w:szCs w:val="24"/>
        </w:rPr>
        <w:t>具体情况见表3.</w:t>
      </w:r>
      <w:r>
        <w:rPr>
          <w:rFonts w:hint="eastAsia"/>
          <w:bCs w:val="0"/>
          <w:sz w:val="24"/>
          <w:szCs w:val="24"/>
        </w:rPr>
        <w:t>1</w:t>
      </w:r>
      <w:r>
        <w:rPr>
          <w:bCs w:val="0"/>
          <w:sz w:val="24"/>
          <w:szCs w:val="24"/>
        </w:rPr>
        <w:t>-</w:t>
      </w:r>
      <w:r>
        <w:rPr>
          <w:rFonts w:hint="eastAsia"/>
          <w:bCs w:val="0"/>
          <w:sz w:val="24"/>
          <w:szCs w:val="24"/>
        </w:rPr>
        <w:t>12至表3.1-15</w:t>
      </w:r>
      <w:r>
        <w:rPr>
          <w:bCs w:val="0"/>
          <w:sz w:val="24"/>
          <w:szCs w:val="24"/>
        </w:rPr>
        <w:t>。</w:t>
      </w:r>
    </w:p>
    <w:p w14:paraId="1298C19C">
      <w:pPr>
        <w:adjustRightInd w:val="0"/>
        <w:snapToGrid w:val="0"/>
        <w:spacing w:before="0" w:beforeLines="0" w:line="240" w:lineRule="auto"/>
        <w:jc w:val="center"/>
        <w:rPr>
          <w:b/>
          <w:bCs/>
          <w:szCs w:val="21"/>
        </w:rPr>
      </w:pPr>
      <w:bookmarkStart w:id="103" w:name="OLE_LINK49"/>
      <w:r>
        <w:rPr>
          <w:b/>
          <w:bCs/>
          <w:szCs w:val="21"/>
        </w:rPr>
        <w:t>表3.</w:t>
      </w:r>
      <w:r>
        <w:rPr>
          <w:rFonts w:hint="eastAsia"/>
          <w:b/>
          <w:bCs/>
          <w:szCs w:val="21"/>
        </w:rPr>
        <w:t>1</w:t>
      </w:r>
      <w:r>
        <w:rPr>
          <w:b/>
          <w:bCs/>
          <w:szCs w:val="21"/>
        </w:rPr>
        <w:t>-</w:t>
      </w:r>
      <w:r>
        <w:rPr>
          <w:rFonts w:hint="eastAsia"/>
          <w:b/>
          <w:bCs/>
          <w:szCs w:val="21"/>
        </w:rPr>
        <w:t>12</w:t>
      </w:r>
      <w:r>
        <w:rPr>
          <w:b/>
          <w:bCs/>
          <w:szCs w:val="21"/>
        </w:rPr>
        <w:t xml:space="preserve"> </w:t>
      </w:r>
      <w:r>
        <w:rPr>
          <w:rFonts w:hint="eastAsia"/>
          <w:b/>
          <w:bCs/>
          <w:szCs w:val="21"/>
        </w:rPr>
        <w:t xml:space="preserve">    </w:t>
      </w:r>
      <w:r>
        <w:rPr>
          <w:b/>
          <w:bCs/>
          <w:kern w:val="0"/>
          <w:szCs w:val="21"/>
        </w:rPr>
        <w:t>钛铁精矿</w:t>
      </w:r>
      <w:r>
        <w:rPr>
          <w:b/>
          <w:bCs/>
          <w:szCs w:val="21"/>
        </w:rPr>
        <w:t>产品标准一览表</w:t>
      </w:r>
    </w:p>
    <w:tbl>
      <w:tblPr>
        <w:tblStyle w:val="90"/>
        <w:tblW w:w="4997"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63"/>
        <w:gridCol w:w="1007"/>
        <w:gridCol w:w="1131"/>
        <w:gridCol w:w="882"/>
        <w:gridCol w:w="1007"/>
        <w:gridCol w:w="1007"/>
        <w:gridCol w:w="1007"/>
        <w:gridCol w:w="1003"/>
      </w:tblGrid>
      <w:tr w14:paraId="17B117C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0" w:type="pct"/>
            <w:tcBorders>
              <w:tl2br w:val="nil"/>
              <w:tr2bl w:val="nil"/>
            </w:tcBorders>
            <w:vAlign w:val="center"/>
          </w:tcPr>
          <w:p w14:paraId="094825E9">
            <w:pPr>
              <w:adjustRightInd w:val="0"/>
              <w:snapToGrid w:val="0"/>
              <w:spacing w:before="0" w:beforeLines="0" w:line="240" w:lineRule="auto"/>
              <w:jc w:val="center"/>
              <w:rPr>
                <w:szCs w:val="21"/>
              </w:rPr>
            </w:pPr>
            <w:r>
              <w:rPr>
                <w:rFonts w:hint="eastAsia"/>
                <w:szCs w:val="21"/>
              </w:rPr>
              <w:t>组分</w:t>
            </w:r>
          </w:p>
        </w:tc>
        <w:tc>
          <w:tcPr>
            <w:tcW w:w="606" w:type="pct"/>
            <w:tcBorders>
              <w:tl2br w:val="nil"/>
              <w:tr2bl w:val="nil"/>
            </w:tcBorders>
            <w:vAlign w:val="center"/>
          </w:tcPr>
          <w:p w14:paraId="2FE323E0">
            <w:pPr>
              <w:adjustRightInd w:val="0"/>
              <w:snapToGrid w:val="0"/>
              <w:spacing w:before="0" w:beforeLines="0" w:line="240" w:lineRule="auto"/>
              <w:jc w:val="center"/>
              <w:rPr>
                <w:szCs w:val="21"/>
              </w:rPr>
            </w:pPr>
            <w:r>
              <w:rPr>
                <w:szCs w:val="21"/>
              </w:rPr>
              <w:t>TiO</w:t>
            </w:r>
            <w:r>
              <w:rPr>
                <w:szCs w:val="21"/>
                <w:vertAlign w:val="subscript"/>
              </w:rPr>
              <w:t>2</w:t>
            </w:r>
          </w:p>
        </w:tc>
        <w:tc>
          <w:tcPr>
            <w:tcW w:w="681" w:type="pct"/>
            <w:tcBorders>
              <w:tl2br w:val="nil"/>
              <w:tr2bl w:val="nil"/>
            </w:tcBorders>
            <w:vAlign w:val="center"/>
          </w:tcPr>
          <w:p w14:paraId="37E4261C">
            <w:pPr>
              <w:adjustRightInd w:val="0"/>
              <w:snapToGrid w:val="0"/>
              <w:spacing w:before="0" w:beforeLines="0" w:line="240" w:lineRule="auto"/>
              <w:jc w:val="center"/>
              <w:rPr>
                <w:szCs w:val="21"/>
              </w:rPr>
            </w:pPr>
            <w:r>
              <w:rPr>
                <w:szCs w:val="21"/>
              </w:rPr>
              <w:t>TiO</w:t>
            </w:r>
            <w:r>
              <w:rPr>
                <w:szCs w:val="21"/>
                <w:vertAlign w:val="subscript"/>
              </w:rPr>
              <w:t>2</w:t>
            </w:r>
            <w:r>
              <w:rPr>
                <w:szCs w:val="21"/>
              </w:rPr>
              <w:t>+TFe</w:t>
            </w:r>
          </w:p>
        </w:tc>
        <w:tc>
          <w:tcPr>
            <w:tcW w:w="531" w:type="pct"/>
            <w:tcBorders>
              <w:tl2br w:val="nil"/>
              <w:tr2bl w:val="nil"/>
            </w:tcBorders>
            <w:vAlign w:val="center"/>
          </w:tcPr>
          <w:p w14:paraId="4696E2ED">
            <w:pPr>
              <w:adjustRightInd w:val="0"/>
              <w:snapToGrid w:val="0"/>
              <w:spacing w:before="0" w:beforeLines="0" w:line="240" w:lineRule="auto"/>
              <w:jc w:val="center"/>
              <w:rPr>
                <w:szCs w:val="21"/>
              </w:rPr>
            </w:pPr>
            <w:r>
              <w:rPr>
                <w:szCs w:val="21"/>
              </w:rPr>
              <w:t>CaO</w:t>
            </w:r>
          </w:p>
        </w:tc>
        <w:tc>
          <w:tcPr>
            <w:tcW w:w="606" w:type="pct"/>
            <w:tcBorders>
              <w:tl2br w:val="nil"/>
              <w:tr2bl w:val="nil"/>
            </w:tcBorders>
            <w:vAlign w:val="center"/>
          </w:tcPr>
          <w:p w14:paraId="258C8760">
            <w:pPr>
              <w:adjustRightInd w:val="0"/>
              <w:snapToGrid w:val="0"/>
              <w:spacing w:before="0" w:beforeLines="0" w:line="240" w:lineRule="auto"/>
              <w:jc w:val="center"/>
              <w:rPr>
                <w:szCs w:val="21"/>
              </w:rPr>
            </w:pPr>
            <w:r>
              <w:rPr>
                <w:szCs w:val="21"/>
              </w:rPr>
              <w:t>MgO</w:t>
            </w:r>
          </w:p>
        </w:tc>
        <w:tc>
          <w:tcPr>
            <w:tcW w:w="606" w:type="pct"/>
            <w:tcBorders>
              <w:tl2br w:val="nil"/>
              <w:tr2bl w:val="nil"/>
            </w:tcBorders>
            <w:vAlign w:val="center"/>
          </w:tcPr>
          <w:p w14:paraId="1B322939">
            <w:pPr>
              <w:adjustRightInd w:val="0"/>
              <w:snapToGrid w:val="0"/>
              <w:spacing w:before="0" w:beforeLines="0" w:line="240" w:lineRule="auto"/>
              <w:jc w:val="center"/>
              <w:rPr>
                <w:szCs w:val="21"/>
              </w:rPr>
            </w:pPr>
            <w:r>
              <w:rPr>
                <w:szCs w:val="21"/>
              </w:rPr>
              <w:t>P</w:t>
            </w:r>
          </w:p>
        </w:tc>
        <w:tc>
          <w:tcPr>
            <w:tcW w:w="606" w:type="pct"/>
            <w:tcBorders>
              <w:tl2br w:val="nil"/>
              <w:tr2bl w:val="nil"/>
            </w:tcBorders>
            <w:vAlign w:val="center"/>
          </w:tcPr>
          <w:p w14:paraId="6E641DC9">
            <w:pPr>
              <w:adjustRightInd w:val="0"/>
              <w:snapToGrid w:val="0"/>
              <w:spacing w:before="0" w:beforeLines="0" w:line="240" w:lineRule="auto"/>
              <w:jc w:val="center"/>
              <w:rPr>
                <w:szCs w:val="21"/>
              </w:rPr>
            </w:pPr>
            <w:r>
              <w:rPr>
                <w:szCs w:val="21"/>
              </w:rPr>
              <w:t>Al</w:t>
            </w:r>
            <w:r>
              <w:rPr>
                <w:szCs w:val="21"/>
                <w:vertAlign w:val="subscript"/>
              </w:rPr>
              <w:t>2</w:t>
            </w:r>
            <w:r>
              <w:rPr>
                <w:szCs w:val="21"/>
              </w:rPr>
              <w:t>O</w:t>
            </w:r>
            <w:r>
              <w:rPr>
                <w:szCs w:val="21"/>
                <w:vertAlign w:val="subscript"/>
              </w:rPr>
              <w:t>3</w:t>
            </w:r>
          </w:p>
        </w:tc>
        <w:tc>
          <w:tcPr>
            <w:tcW w:w="604" w:type="pct"/>
            <w:tcBorders>
              <w:tl2br w:val="nil"/>
              <w:tr2bl w:val="nil"/>
            </w:tcBorders>
            <w:vAlign w:val="center"/>
          </w:tcPr>
          <w:p w14:paraId="11D79D10">
            <w:pPr>
              <w:adjustRightInd w:val="0"/>
              <w:snapToGrid w:val="0"/>
              <w:spacing w:before="0" w:beforeLines="0" w:line="240" w:lineRule="auto"/>
              <w:jc w:val="center"/>
              <w:rPr>
                <w:szCs w:val="21"/>
              </w:rPr>
            </w:pPr>
            <w:r>
              <w:rPr>
                <w:szCs w:val="21"/>
              </w:rPr>
              <w:t>SiO</w:t>
            </w:r>
            <w:r>
              <w:rPr>
                <w:szCs w:val="21"/>
                <w:vertAlign w:val="subscript"/>
              </w:rPr>
              <w:t>2</w:t>
            </w:r>
          </w:p>
        </w:tc>
      </w:tr>
      <w:tr w14:paraId="3DED336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0" w:type="pct"/>
            <w:tcBorders>
              <w:tl2br w:val="nil"/>
              <w:tr2bl w:val="nil"/>
            </w:tcBorders>
            <w:vAlign w:val="center"/>
          </w:tcPr>
          <w:p w14:paraId="7FEAD4A8">
            <w:pPr>
              <w:adjustRightInd w:val="0"/>
              <w:snapToGrid w:val="0"/>
              <w:spacing w:before="0" w:beforeLines="0" w:line="240" w:lineRule="auto"/>
              <w:jc w:val="center"/>
              <w:rPr>
                <w:szCs w:val="21"/>
              </w:rPr>
            </w:pPr>
            <w:r>
              <w:rPr>
                <w:rFonts w:hint="eastAsia"/>
                <w:kern w:val="0"/>
                <w:szCs w:val="21"/>
              </w:rPr>
              <w:t>质量分数</w:t>
            </w:r>
            <w:r>
              <w:rPr>
                <w:szCs w:val="21"/>
              </w:rPr>
              <w:t>%</w:t>
            </w:r>
          </w:p>
        </w:tc>
        <w:tc>
          <w:tcPr>
            <w:tcW w:w="606" w:type="pct"/>
            <w:tcBorders>
              <w:tl2br w:val="nil"/>
              <w:tr2bl w:val="nil"/>
            </w:tcBorders>
            <w:vAlign w:val="center"/>
          </w:tcPr>
          <w:p w14:paraId="6EED3248">
            <w:pPr>
              <w:adjustRightInd w:val="0"/>
              <w:snapToGrid w:val="0"/>
              <w:spacing w:before="0" w:beforeLines="0" w:line="240" w:lineRule="auto"/>
              <w:jc w:val="center"/>
              <w:rPr>
                <w:szCs w:val="21"/>
              </w:rPr>
            </w:pPr>
            <w:r>
              <w:rPr>
                <w:rFonts w:hint="eastAsia"/>
                <w:szCs w:val="21"/>
              </w:rPr>
              <w:t>≥46</w:t>
            </w:r>
          </w:p>
        </w:tc>
        <w:tc>
          <w:tcPr>
            <w:tcW w:w="681" w:type="pct"/>
            <w:tcBorders>
              <w:tl2br w:val="nil"/>
              <w:tr2bl w:val="nil"/>
            </w:tcBorders>
            <w:vAlign w:val="center"/>
          </w:tcPr>
          <w:p w14:paraId="1CAEDABC">
            <w:pPr>
              <w:adjustRightInd w:val="0"/>
              <w:snapToGrid w:val="0"/>
              <w:spacing w:before="0" w:beforeLines="0" w:line="240" w:lineRule="auto"/>
              <w:jc w:val="center"/>
              <w:rPr>
                <w:szCs w:val="21"/>
              </w:rPr>
            </w:pPr>
            <w:r>
              <w:rPr>
                <w:rFonts w:hint="eastAsia"/>
                <w:szCs w:val="21"/>
              </w:rPr>
              <w:t>≥88</w:t>
            </w:r>
          </w:p>
        </w:tc>
        <w:tc>
          <w:tcPr>
            <w:tcW w:w="531" w:type="pct"/>
            <w:tcBorders>
              <w:tl2br w:val="nil"/>
              <w:tr2bl w:val="nil"/>
            </w:tcBorders>
            <w:vAlign w:val="center"/>
          </w:tcPr>
          <w:p w14:paraId="7B0A2B65">
            <w:pPr>
              <w:adjustRightInd w:val="0"/>
              <w:snapToGrid w:val="0"/>
              <w:spacing w:before="0" w:beforeLines="0" w:line="240" w:lineRule="auto"/>
              <w:jc w:val="center"/>
              <w:rPr>
                <w:szCs w:val="21"/>
              </w:rPr>
            </w:pPr>
            <w:r>
              <w:rPr>
                <w:rFonts w:hint="eastAsia"/>
                <w:szCs w:val="21"/>
              </w:rPr>
              <w:t>≤1.0</w:t>
            </w:r>
          </w:p>
        </w:tc>
        <w:tc>
          <w:tcPr>
            <w:tcW w:w="606" w:type="pct"/>
            <w:tcBorders>
              <w:tl2br w:val="nil"/>
              <w:tr2bl w:val="nil"/>
            </w:tcBorders>
            <w:vAlign w:val="center"/>
          </w:tcPr>
          <w:p w14:paraId="502FBE5F">
            <w:pPr>
              <w:adjustRightInd w:val="0"/>
              <w:snapToGrid w:val="0"/>
              <w:spacing w:before="0" w:beforeLines="0" w:line="240" w:lineRule="auto"/>
              <w:jc w:val="center"/>
              <w:rPr>
                <w:szCs w:val="21"/>
              </w:rPr>
            </w:pPr>
            <w:r>
              <w:rPr>
                <w:rFonts w:hint="eastAsia"/>
                <w:szCs w:val="21"/>
              </w:rPr>
              <w:t>≤2.5</w:t>
            </w:r>
          </w:p>
        </w:tc>
        <w:tc>
          <w:tcPr>
            <w:tcW w:w="606" w:type="pct"/>
            <w:tcBorders>
              <w:tl2br w:val="nil"/>
              <w:tr2bl w:val="nil"/>
            </w:tcBorders>
            <w:vAlign w:val="center"/>
          </w:tcPr>
          <w:p w14:paraId="52A725F1">
            <w:pPr>
              <w:adjustRightInd w:val="0"/>
              <w:snapToGrid w:val="0"/>
              <w:spacing w:before="0" w:beforeLines="0" w:line="240" w:lineRule="auto"/>
              <w:jc w:val="center"/>
              <w:rPr>
                <w:szCs w:val="21"/>
              </w:rPr>
            </w:pPr>
            <w:r>
              <w:rPr>
                <w:rFonts w:hint="eastAsia"/>
                <w:szCs w:val="21"/>
              </w:rPr>
              <w:t>≤0.05</w:t>
            </w:r>
          </w:p>
        </w:tc>
        <w:tc>
          <w:tcPr>
            <w:tcW w:w="606" w:type="pct"/>
            <w:tcBorders>
              <w:tl2br w:val="nil"/>
              <w:tr2bl w:val="nil"/>
            </w:tcBorders>
            <w:vAlign w:val="center"/>
          </w:tcPr>
          <w:p w14:paraId="716769D0">
            <w:pPr>
              <w:adjustRightInd w:val="0"/>
              <w:snapToGrid w:val="0"/>
              <w:spacing w:before="0" w:beforeLines="0" w:line="240" w:lineRule="auto"/>
              <w:jc w:val="center"/>
              <w:rPr>
                <w:szCs w:val="21"/>
              </w:rPr>
            </w:pPr>
            <w:r>
              <w:rPr>
                <w:rFonts w:hint="eastAsia"/>
                <w:szCs w:val="21"/>
              </w:rPr>
              <w:t>≤2.5</w:t>
            </w:r>
          </w:p>
        </w:tc>
        <w:tc>
          <w:tcPr>
            <w:tcW w:w="604" w:type="pct"/>
            <w:tcBorders>
              <w:tl2br w:val="nil"/>
              <w:tr2bl w:val="nil"/>
            </w:tcBorders>
            <w:vAlign w:val="center"/>
          </w:tcPr>
          <w:p w14:paraId="2753338B">
            <w:pPr>
              <w:adjustRightInd w:val="0"/>
              <w:snapToGrid w:val="0"/>
              <w:spacing w:before="0" w:beforeLines="0" w:line="240" w:lineRule="auto"/>
              <w:jc w:val="center"/>
              <w:rPr>
                <w:szCs w:val="21"/>
              </w:rPr>
            </w:pPr>
            <w:r>
              <w:rPr>
                <w:rFonts w:hint="eastAsia"/>
                <w:szCs w:val="21"/>
              </w:rPr>
              <w:t>≤3.0</w:t>
            </w:r>
          </w:p>
        </w:tc>
      </w:tr>
      <w:tr w14:paraId="5B772A3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8"/>
            <w:tcBorders>
              <w:tl2br w:val="nil"/>
              <w:tr2bl w:val="nil"/>
            </w:tcBorders>
            <w:vAlign w:val="center"/>
          </w:tcPr>
          <w:p w14:paraId="4FD93947">
            <w:pPr>
              <w:adjustRightInd w:val="0"/>
              <w:snapToGrid w:val="0"/>
              <w:spacing w:before="0" w:beforeLines="0" w:line="240" w:lineRule="auto"/>
              <w:jc w:val="center"/>
              <w:rPr>
                <w:szCs w:val="21"/>
              </w:rPr>
            </w:pPr>
            <w:r>
              <w:rPr>
                <w:rFonts w:hint="eastAsia"/>
                <w:szCs w:val="21"/>
              </w:rPr>
              <w:t>折算钛的质量分数为27.57%。</w:t>
            </w:r>
          </w:p>
        </w:tc>
      </w:tr>
      <w:bookmarkEnd w:id="103"/>
    </w:tbl>
    <w:p w14:paraId="5F8912DC">
      <w:pPr>
        <w:adjustRightInd w:val="0"/>
        <w:snapToGrid w:val="0"/>
        <w:spacing w:before="156" w:beforeLines="50" w:line="240" w:lineRule="auto"/>
        <w:jc w:val="center"/>
        <w:rPr>
          <w:szCs w:val="21"/>
        </w:rPr>
      </w:pPr>
      <w:r>
        <w:rPr>
          <w:b/>
          <w:bCs/>
          <w:szCs w:val="21"/>
        </w:rPr>
        <w:t>表3.</w:t>
      </w:r>
      <w:r>
        <w:rPr>
          <w:rFonts w:hint="eastAsia"/>
          <w:b/>
          <w:bCs/>
          <w:szCs w:val="21"/>
        </w:rPr>
        <w:t>1</w:t>
      </w:r>
      <w:r>
        <w:rPr>
          <w:b/>
          <w:bCs/>
          <w:szCs w:val="21"/>
        </w:rPr>
        <w:t>-</w:t>
      </w:r>
      <w:r>
        <w:rPr>
          <w:rFonts w:hint="eastAsia"/>
          <w:b/>
          <w:bCs/>
          <w:szCs w:val="21"/>
        </w:rPr>
        <w:t>13</w:t>
      </w:r>
      <w:r>
        <w:rPr>
          <w:b/>
          <w:bCs/>
          <w:szCs w:val="21"/>
        </w:rPr>
        <w:t xml:space="preserve"> </w:t>
      </w:r>
      <w:r>
        <w:rPr>
          <w:rFonts w:hint="eastAsia"/>
          <w:b/>
          <w:bCs/>
          <w:szCs w:val="21"/>
        </w:rPr>
        <w:t xml:space="preserve">    </w:t>
      </w:r>
      <w:r>
        <w:rPr>
          <w:b/>
          <w:bCs/>
          <w:szCs w:val="21"/>
        </w:rPr>
        <w:t>钒钛磁铁矿产品标准一览表</w:t>
      </w:r>
    </w:p>
    <w:tbl>
      <w:tblPr>
        <w:tblStyle w:val="90"/>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246"/>
        <w:gridCol w:w="1391"/>
        <w:gridCol w:w="1818"/>
        <w:gridCol w:w="1418"/>
        <w:gridCol w:w="1163"/>
        <w:gridCol w:w="1273"/>
      </w:tblGrid>
      <w:tr w14:paraId="3B52B4E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pct"/>
            <w:tcBorders>
              <w:tl2br w:val="nil"/>
              <w:tr2bl w:val="nil"/>
            </w:tcBorders>
            <w:vAlign w:val="center"/>
          </w:tcPr>
          <w:p w14:paraId="28A55EFC">
            <w:pPr>
              <w:adjustRightInd w:val="0"/>
              <w:snapToGrid w:val="0"/>
              <w:spacing w:before="0" w:beforeLines="0" w:line="240" w:lineRule="auto"/>
              <w:jc w:val="center"/>
              <w:rPr>
                <w:szCs w:val="21"/>
              </w:rPr>
            </w:pPr>
            <w:r>
              <w:rPr>
                <w:szCs w:val="21"/>
              </w:rPr>
              <w:t>组分</w:t>
            </w:r>
          </w:p>
        </w:tc>
        <w:tc>
          <w:tcPr>
            <w:tcW w:w="837" w:type="pct"/>
            <w:tcBorders>
              <w:tl2br w:val="nil"/>
              <w:tr2bl w:val="nil"/>
            </w:tcBorders>
            <w:vAlign w:val="center"/>
          </w:tcPr>
          <w:p w14:paraId="6B39B3F3">
            <w:pPr>
              <w:adjustRightInd w:val="0"/>
              <w:snapToGrid w:val="0"/>
              <w:spacing w:before="0" w:beforeLines="0" w:line="240" w:lineRule="auto"/>
              <w:jc w:val="center"/>
              <w:rPr>
                <w:szCs w:val="21"/>
              </w:rPr>
            </w:pPr>
            <w:r>
              <w:rPr>
                <w:szCs w:val="21"/>
              </w:rPr>
              <w:t>TFe</w:t>
            </w:r>
          </w:p>
        </w:tc>
        <w:tc>
          <w:tcPr>
            <w:tcW w:w="1094" w:type="pct"/>
            <w:tcBorders>
              <w:tl2br w:val="nil"/>
              <w:tr2bl w:val="nil"/>
            </w:tcBorders>
            <w:vAlign w:val="center"/>
          </w:tcPr>
          <w:p w14:paraId="1FB95948">
            <w:pPr>
              <w:adjustRightInd w:val="0"/>
              <w:snapToGrid w:val="0"/>
              <w:spacing w:before="0" w:beforeLines="0" w:line="240" w:lineRule="auto"/>
              <w:jc w:val="center"/>
              <w:rPr>
                <w:szCs w:val="21"/>
              </w:rPr>
            </w:pPr>
            <w:r>
              <w:rPr>
                <w:szCs w:val="21"/>
              </w:rPr>
              <w:t>V</w:t>
            </w:r>
            <w:r>
              <w:rPr>
                <w:szCs w:val="21"/>
                <w:vertAlign w:val="subscript"/>
              </w:rPr>
              <w:t>2</w:t>
            </w:r>
            <w:r>
              <w:rPr>
                <w:szCs w:val="21"/>
              </w:rPr>
              <w:t>O</w:t>
            </w:r>
            <w:r>
              <w:rPr>
                <w:szCs w:val="21"/>
                <w:vertAlign w:val="subscript"/>
              </w:rPr>
              <w:t>5</w:t>
            </w:r>
          </w:p>
        </w:tc>
        <w:tc>
          <w:tcPr>
            <w:tcW w:w="853" w:type="pct"/>
            <w:tcBorders>
              <w:tl2br w:val="nil"/>
              <w:tr2bl w:val="nil"/>
            </w:tcBorders>
            <w:vAlign w:val="center"/>
          </w:tcPr>
          <w:p w14:paraId="24A2D721">
            <w:pPr>
              <w:adjustRightInd w:val="0"/>
              <w:snapToGrid w:val="0"/>
              <w:spacing w:before="0" w:beforeLines="0" w:line="240" w:lineRule="auto"/>
              <w:jc w:val="center"/>
              <w:rPr>
                <w:szCs w:val="21"/>
              </w:rPr>
            </w:pPr>
            <w:r>
              <w:rPr>
                <w:szCs w:val="21"/>
              </w:rPr>
              <w:t>TiO</w:t>
            </w:r>
            <w:r>
              <w:rPr>
                <w:szCs w:val="21"/>
                <w:vertAlign w:val="subscript"/>
              </w:rPr>
              <w:t>2</w:t>
            </w:r>
          </w:p>
        </w:tc>
        <w:tc>
          <w:tcPr>
            <w:tcW w:w="700" w:type="pct"/>
            <w:tcBorders>
              <w:tl2br w:val="nil"/>
              <w:tr2bl w:val="nil"/>
            </w:tcBorders>
            <w:vAlign w:val="center"/>
          </w:tcPr>
          <w:p w14:paraId="1623DAC4">
            <w:pPr>
              <w:adjustRightInd w:val="0"/>
              <w:snapToGrid w:val="0"/>
              <w:spacing w:before="0" w:beforeLines="0" w:line="240" w:lineRule="auto"/>
              <w:jc w:val="center"/>
              <w:rPr>
                <w:szCs w:val="21"/>
              </w:rPr>
            </w:pPr>
            <w:r>
              <w:rPr>
                <w:szCs w:val="21"/>
              </w:rPr>
              <w:t>P</w:t>
            </w:r>
          </w:p>
        </w:tc>
        <w:tc>
          <w:tcPr>
            <w:tcW w:w="766" w:type="pct"/>
            <w:tcBorders>
              <w:tl2br w:val="nil"/>
              <w:tr2bl w:val="nil"/>
            </w:tcBorders>
            <w:vAlign w:val="center"/>
          </w:tcPr>
          <w:p w14:paraId="788C5981">
            <w:pPr>
              <w:adjustRightInd w:val="0"/>
              <w:snapToGrid w:val="0"/>
              <w:spacing w:before="0" w:beforeLines="0" w:line="240" w:lineRule="auto"/>
              <w:jc w:val="center"/>
              <w:rPr>
                <w:szCs w:val="21"/>
              </w:rPr>
            </w:pPr>
            <w:r>
              <w:rPr>
                <w:szCs w:val="21"/>
              </w:rPr>
              <w:t>S</w:t>
            </w:r>
          </w:p>
        </w:tc>
      </w:tr>
      <w:tr w14:paraId="0CD8E04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pct"/>
            <w:tcBorders>
              <w:tl2br w:val="nil"/>
              <w:tr2bl w:val="nil"/>
            </w:tcBorders>
            <w:vAlign w:val="center"/>
          </w:tcPr>
          <w:p w14:paraId="6EF3ED18">
            <w:pPr>
              <w:adjustRightInd w:val="0"/>
              <w:snapToGrid w:val="0"/>
              <w:spacing w:before="0" w:beforeLines="0" w:line="240" w:lineRule="auto"/>
              <w:jc w:val="center"/>
              <w:rPr>
                <w:szCs w:val="21"/>
              </w:rPr>
            </w:pPr>
            <w:r>
              <w:rPr>
                <w:kern w:val="0"/>
                <w:szCs w:val="21"/>
              </w:rPr>
              <w:t>质量分数</w:t>
            </w:r>
            <w:r>
              <w:rPr>
                <w:szCs w:val="21"/>
              </w:rPr>
              <w:t>%</w:t>
            </w:r>
          </w:p>
        </w:tc>
        <w:tc>
          <w:tcPr>
            <w:tcW w:w="837" w:type="pct"/>
            <w:tcBorders>
              <w:tl2br w:val="nil"/>
              <w:tr2bl w:val="nil"/>
            </w:tcBorders>
            <w:vAlign w:val="center"/>
          </w:tcPr>
          <w:p w14:paraId="1EDB9B5F">
            <w:pPr>
              <w:adjustRightInd w:val="0"/>
              <w:snapToGrid w:val="0"/>
              <w:spacing w:before="0" w:beforeLines="0" w:line="240" w:lineRule="auto"/>
              <w:jc w:val="center"/>
              <w:rPr>
                <w:szCs w:val="21"/>
              </w:rPr>
            </w:pPr>
            <w:r>
              <w:rPr>
                <w:szCs w:val="21"/>
              </w:rPr>
              <w:t>≥65</w:t>
            </w:r>
          </w:p>
        </w:tc>
        <w:tc>
          <w:tcPr>
            <w:tcW w:w="1094" w:type="pct"/>
            <w:tcBorders>
              <w:tl2br w:val="nil"/>
              <w:tr2bl w:val="nil"/>
            </w:tcBorders>
            <w:vAlign w:val="center"/>
          </w:tcPr>
          <w:p w14:paraId="69E4437B">
            <w:pPr>
              <w:adjustRightInd w:val="0"/>
              <w:snapToGrid w:val="0"/>
              <w:spacing w:before="0" w:beforeLines="0" w:line="240" w:lineRule="auto"/>
              <w:jc w:val="center"/>
              <w:rPr>
                <w:szCs w:val="21"/>
              </w:rPr>
            </w:pPr>
            <w:r>
              <w:rPr>
                <w:szCs w:val="21"/>
              </w:rPr>
              <w:t>≥0.55</w:t>
            </w:r>
          </w:p>
        </w:tc>
        <w:tc>
          <w:tcPr>
            <w:tcW w:w="853" w:type="pct"/>
            <w:tcBorders>
              <w:tl2br w:val="nil"/>
              <w:tr2bl w:val="nil"/>
            </w:tcBorders>
            <w:vAlign w:val="center"/>
          </w:tcPr>
          <w:p w14:paraId="74FDB9D2">
            <w:pPr>
              <w:adjustRightInd w:val="0"/>
              <w:snapToGrid w:val="0"/>
              <w:spacing w:before="0" w:beforeLines="0" w:line="240" w:lineRule="auto"/>
              <w:jc w:val="center"/>
              <w:rPr>
                <w:szCs w:val="21"/>
              </w:rPr>
            </w:pPr>
            <w:r>
              <w:rPr>
                <w:szCs w:val="21"/>
              </w:rPr>
              <w:t>≤2.0</w:t>
            </w:r>
          </w:p>
        </w:tc>
        <w:tc>
          <w:tcPr>
            <w:tcW w:w="700" w:type="pct"/>
            <w:tcBorders>
              <w:tl2br w:val="nil"/>
              <w:tr2bl w:val="nil"/>
            </w:tcBorders>
            <w:vAlign w:val="center"/>
          </w:tcPr>
          <w:p w14:paraId="44CE9BF5">
            <w:pPr>
              <w:adjustRightInd w:val="0"/>
              <w:snapToGrid w:val="0"/>
              <w:spacing w:before="0" w:beforeLines="0" w:line="240" w:lineRule="auto"/>
              <w:jc w:val="center"/>
              <w:rPr>
                <w:szCs w:val="21"/>
              </w:rPr>
            </w:pPr>
            <w:r>
              <w:rPr>
                <w:szCs w:val="21"/>
              </w:rPr>
              <w:t>≤0.08</w:t>
            </w:r>
          </w:p>
        </w:tc>
        <w:tc>
          <w:tcPr>
            <w:tcW w:w="766" w:type="pct"/>
            <w:tcBorders>
              <w:tl2br w:val="nil"/>
              <w:tr2bl w:val="nil"/>
            </w:tcBorders>
            <w:vAlign w:val="center"/>
          </w:tcPr>
          <w:p w14:paraId="4541EAC8">
            <w:pPr>
              <w:adjustRightInd w:val="0"/>
              <w:snapToGrid w:val="0"/>
              <w:spacing w:before="0" w:beforeLines="0" w:line="240" w:lineRule="auto"/>
              <w:jc w:val="center"/>
              <w:rPr>
                <w:szCs w:val="21"/>
              </w:rPr>
            </w:pPr>
            <w:r>
              <w:rPr>
                <w:szCs w:val="21"/>
              </w:rPr>
              <w:t>≤0.15</w:t>
            </w:r>
          </w:p>
        </w:tc>
      </w:tr>
      <w:tr w14:paraId="27E5186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6"/>
            <w:tcBorders>
              <w:tl2br w:val="nil"/>
              <w:tr2bl w:val="nil"/>
            </w:tcBorders>
            <w:vAlign w:val="center"/>
          </w:tcPr>
          <w:p w14:paraId="77202980">
            <w:pPr>
              <w:adjustRightInd w:val="0"/>
              <w:snapToGrid w:val="0"/>
              <w:spacing w:before="0" w:beforeLines="0" w:line="240" w:lineRule="auto"/>
              <w:jc w:val="center"/>
              <w:rPr>
                <w:szCs w:val="21"/>
              </w:rPr>
            </w:pPr>
            <w:r>
              <w:rPr>
                <w:rFonts w:hint="eastAsia"/>
                <w:szCs w:val="21"/>
              </w:rPr>
              <w:t>折算钛的质量分数为1.199%，钒的质量分数为0.308%。</w:t>
            </w:r>
          </w:p>
        </w:tc>
      </w:tr>
    </w:tbl>
    <w:p w14:paraId="358E4FC1">
      <w:pPr>
        <w:adjustRightInd w:val="0"/>
        <w:snapToGrid w:val="0"/>
        <w:spacing w:before="78" w:line="240" w:lineRule="auto"/>
        <w:jc w:val="center"/>
        <w:rPr>
          <w:b/>
          <w:bCs/>
          <w:szCs w:val="21"/>
        </w:rPr>
      </w:pPr>
    </w:p>
    <w:p w14:paraId="42DAB0B2">
      <w:pPr>
        <w:adjustRightInd w:val="0"/>
        <w:snapToGrid w:val="0"/>
        <w:spacing w:before="78" w:line="240" w:lineRule="auto"/>
        <w:jc w:val="center"/>
        <w:rPr>
          <w:b/>
          <w:bCs/>
          <w:szCs w:val="21"/>
        </w:rPr>
      </w:pPr>
      <w:bookmarkStart w:id="104" w:name="OLE_LINK50"/>
      <w:r>
        <w:rPr>
          <w:b/>
          <w:bCs/>
          <w:szCs w:val="21"/>
        </w:rPr>
        <w:t>表3.1-</w:t>
      </w:r>
      <w:r>
        <w:rPr>
          <w:rFonts w:hint="eastAsia"/>
          <w:b/>
          <w:bCs/>
          <w:szCs w:val="21"/>
        </w:rPr>
        <w:t>14</w:t>
      </w:r>
      <w:r>
        <w:rPr>
          <w:b/>
          <w:bCs/>
          <w:szCs w:val="21"/>
        </w:rPr>
        <w:t xml:space="preserve">    </w:t>
      </w:r>
      <w:r>
        <w:rPr>
          <w:rFonts w:hint="eastAsia"/>
          <w:b/>
          <w:bCs/>
          <w:kern w:val="0"/>
          <w:szCs w:val="21"/>
        </w:rPr>
        <w:t>机制砂</w:t>
      </w:r>
      <w:r>
        <w:rPr>
          <w:b/>
          <w:bCs/>
          <w:szCs w:val="21"/>
        </w:rPr>
        <w:t>产品标准一览表</w:t>
      </w:r>
    </w:p>
    <w:tbl>
      <w:tblPr>
        <w:tblStyle w:val="90"/>
        <w:tblW w:w="495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28" w:type="dxa"/>
          <w:bottom w:w="0" w:type="dxa"/>
          <w:right w:w="28" w:type="dxa"/>
        </w:tblCellMar>
      </w:tblPr>
      <w:tblGrid>
        <w:gridCol w:w="1137"/>
        <w:gridCol w:w="1117"/>
        <w:gridCol w:w="1121"/>
        <w:gridCol w:w="1022"/>
        <w:gridCol w:w="849"/>
        <w:gridCol w:w="997"/>
        <w:gridCol w:w="1986"/>
      </w:tblGrid>
      <w:tr w14:paraId="125A432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91" w:type="pct"/>
            <w:vAlign w:val="center"/>
          </w:tcPr>
          <w:p w14:paraId="5AB962A5">
            <w:pPr>
              <w:adjustRightInd w:val="0"/>
              <w:snapToGrid w:val="0"/>
              <w:spacing w:before="78" w:line="240" w:lineRule="auto"/>
              <w:jc w:val="center"/>
              <w:rPr>
                <w:szCs w:val="21"/>
              </w:rPr>
            </w:pPr>
            <w:r>
              <w:rPr>
                <w:rFonts w:hint="eastAsia"/>
                <w:szCs w:val="21"/>
              </w:rPr>
              <w:t>指标</w:t>
            </w:r>
          </w:p>
        </w:tc>
        <w:tc>
          <w:tcPr>
            <w:tcW w:w="679" w:type="pct"/>
            <w:vAlign w:val="center"/>
          </w:tcPr>
          <w:p w14:paraId="150A46CF">
            <w:pPr>
              <w:adjustRightInd w:val="0"/>
              <w:snapToGrid w:val="0"/>
              <w:spacing w:before="78" w:line="240" w:lineRule="auto"/>
              <w:jc w:val="center"/>
              <w:rPr>
                <w:szCs w:val="21"/>
              </w:rPr>
            </w:pPr>
            <w:r>
              <w:rPr>
                <w:rFonts w:hint="eastAsia"/>
                <w:szCs w:val="21"/>
              </w:rPr>
              <w:t>泥块含量</w:t>
            </w:r>
          </w:p>
        </w:tc>
        <w:tc>
          <w:tcPr>
            <w:tcW w:w="681" w:type="pct"/>
            <w:vAlign w:val="center"/>
          </w:tcPr>
          <w:p w14:paraId="464B3822">
            <w:pPr>
              <w:adjustRightInd w:val="0"/>
              <w:snapToGrid w:val="0"/>
              <w:spacing w:before="78" w:line="240" w:lineRule="auto"/>
              <w:jc w:val="center"/>
              <w:rPr>
                <w:szCs w:val="21"/>
              </w:rPr>
            </w:pPr>
            <w:r>
              <w:rPr>
                <w:rFonts w:hint="eastAsia"/>
                <w:szCs w:val="21"/>
              </w:rPr>
              <w:t>坚固性指标</w:t>
            </w:r>
          </w:p>
        </w:tc>
        <w:tc>
          <w:tcPr>
            <w:tcW w:w="621" w:type="pct"/>
            <w:vAlign w:val="center"/>
          </w:tcPr>
          <w:p w14:paraId="4EB54E63">
            <w:pPr>
              <w:adjustRightInd w:val="0"/>
              <w:snapToGrid w:val="0"/>
              <w:spacing w:before="78" w:line="240" w:lineRule="auto"/>
              <w:jc w:val="center"/>
              <w:rPr>
                <w:szCs w:val="21"/>
              </w:rPr>
            </w:pPr>
            <w:r>
              <w:rPr>
                <w:rFonts w:hint="eastAsia"/>
                <w:szCs w:val="21"/>
              </w:rPr>
              <w:t>压碎指标</w:t>
            </w:r>
          </w:p>
        </w:tc>
        <w:tc>
          <w:tcPr>
            <w:tcW w:w="516" w:type="pct"/>
            <w:vAlign w:val="center"/>
          </w:tcPr>
          <w:p w14:paraId="1C8D043C">
            <w:pPr>
              <w:adjustRightInd w:val="0"/>
              <w:snapToGrid w:val="0"/>
              <w:spacing w:before="78" w:line="240" w:lineRule="auto"/>
              <w:jc w:val="center"/>
              <w:rPr>
                <w:szCs w:val="21"/>
              </w:rPr>
            </w:pPr>
            <w:r>
              <w:rPr>
                <w:rFonts w:hint="eastAsia"/>
                <w:szCs w:val="21"/>
              </w:rPr>
              <w:t>云母</w:t>
            </w:r>
          </w:p>
        </w:tc>
        <w:tc>
          <w:tcPr>
            <w:tcW w:w="606" w:type="pct"/>
            <w:vAlign w:val="center"/>
          </w:tcPr>
          <w:p w14:paraId="68E82439">
            <w:pPr>
              <w:adjustRightInd w:val="0"/>
              <w:snapToGrid w:val="0"/>
              <w:spacing w:before="78" w:line="240" w:lineRule="auto"/>
              <w:jc w:val="center"/>
              <w:rPr>
                <w:szCs w:val="21"/>
              </w:rPr>
            </w:pPr>
            <w:r>
              <w:rPr>
                <w:rFonts w:hint="eastAsia"/>
                <w:szCs w:val="21"/>
              </w:rPr>
              <w:t>轻物质</w:t>
            </w:r>
          </w:p>
        </w:tc>
        <w:tc>
          <w:tcPr>
            <w:tcW w:w="1206" w:type="pct"/>
            <w:vAlign w:val="center"/>
          </w:tcPr>
          <w:p w14:paraId="3CFEB45E">
            <w:pPr>
              <w:adjustRightInd w:val="0"/>
              <w:snapToGrid w:val="0"/>
              <w:spacing w:before="78" w:line="240" w:lineRule="auto"/>
              <w:jc w:val="center"/>
              <w:rPr>
                <w:szCs w:val="21"/>
              </w:rPr>
            </w:pPr>
            <w:r>
              <w:rPr>
                <w:rFonts w:hint="eastAsia"/>
                <w:szCs w:val="21"/>
              </w:rPr>
              <w:t>硫化物及硫酸盐</w:t>
            </w:r>
          </w:p>
        </w:tc>
      </w:tr>
      <w:tr w14:paraId="3DCC66D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91" w:type="pct"/>
            <w:vAlign w:val="center"/>
          </w:tcPr>
          <w:p w14:paraId="2BCE1FAF">
            <w:pPr>
              <w:adjustRightInd w:val="0"/>
              <w:snapToGrid w:val="0"/>
              <w:spacing w:before="78" w:line="240" w:lineRule="auto"/>
              <w:jc w:val="center"/>
              <w:rPr>
                <w:szCs w:val="21"/>
              </w:rPr>
            </w:pPr>
            <w:r>
              <w:rPr>
                <w:rFonts w:hint="eastAsia"/>
                <w:szCs w:val="21"/>
              </w:rPr>
              <w:t>数值，</w:t>
            </w:r>
            <w:r>
              <w:rPr>
                <w:szCs w:val="21"/>
              </w:rPr>
              <w:t>%</w:t>
            </w:r>
          </w:p>
        </w:tc>
        <w:tc>
          <w:tcPr>
            <w:tcW w:w="679" w:type="pct"/>
            <w:vAlign w:val="center"/>
          </w:tcPr>
          <w:p w14:paraId="1DA2361F">
            <w:pPr>
              <w:adjustRightInd w:val="0"/>
              <w:snapToGrid w:val="0"/>
              <w:spacing w:before="78" w:line="240" w:lineRule="auto"/>
              <w:jc w:val="center"/>
              <w:rPr>
                <w:szCs w:val="21"/>
              </w:rPr>
            </w:pPr>
            <w:r>
              <w:rPr>
                <w:szCs w:val="21"/>
              </w:rPr>
              <w:t>≤</w:t>
            </w:r>
            <w:r>
              <w:rPr>
                <w:rFonts w:hint="eastAsia"/>
                <w:szCs w:val="21"/>
              </w:rPr>
              <w:t>2.0</w:t>
            </w:r>
          </w:p>
        </w:tc>
        <w:tc>
          <w:tcPr>
            <w:tcW w:w="681" w:type="pct"/>
            <w:vAlign w:val="center"/>
          </w:tcPr>
          <w:p w14:paraId="730309EB">
            <w:pPr>
              <w:adjustRightInd w:val="0"/>
              <w:snapToGrid w:val="0"/>
              <w:spacing w:before="78" w:line="240" w:lineRule="auto"/>
              <w:jc w:val="center"/>
              <w:rPr>
                <w:szCs w:val="21"/>
              </w:rPr>
            </w:pPr>
            <w:r>
              <w:rPr>
                <w:szCs w:val="21"/>
              </w:rPr>
              <w:t>≤</w:t>
            </w:r>
            <w:r>
              <w:rPr>
                <w:rFonts w:hint="eastAsia"/>
                <w:szCs w:val="21"/>
              </w:rPr>
              <w:t>10</w:t>
            </w:r>
          </w:p>
        </w:tc>
        <w:tc>
          <w:tcPr>
            <w:tcW w:w="621" w:type="pct"/>
            <w:vAlign w:val="center"/>
          </w:tcPr>
          <w:p w14:paraId="56A06139">
            <w:pPr>
              <w:adjustRightInd w:val="0"/>
              <w:snapToGrid w:val="0"/>
              <w:spacing w:before="78" w:line="240" w:lineRule="auto"/>
              <w:jc w:val="center"/>
              <w:rPr>
                <w:szCs w:val="21"/>
              </w:rPr>
            </w:pPr>
            <w:r>
              <w:rPr>
                <w:szCs w:val="21"/>
              </w:rPr>
              <w:t>≤</w:t>
            </w:r>
            <w:r>
              <w:rPr>
                <w:rFonts w:hint="eastAsia"/>
                <w:szCs w:val="21"/>
              </w:rPr>
              <w:t>30</w:t>
            </w:r>
          </w:p>
        </w:tc>
        <w:tc>
          <w:tcPr>
            <w:tcW w:w="516" w:type="pct"/>
            <w:vAlign w:val="center"/>
          </w:tcPr>
          <w:p w14:paraId="61BEB46D">
            <w:pPr>
              <w:adjustRightInd w:val="0"/>
              <w:snapToGrid w:val="0"/>
              <w:spacing w:before="78" w:line="240" w:lineRule="auto"/>
              <w:jc w:val="center"/>
              <w:rPr>
                <w:szCs w:val="21"/>
              </w:rPr>
            </w:pPr>
            <w:r>
              <w:rPr>
                <w:szCs w:val="21"/>
              </w:rPr>
              <w:t>≤</w:t>
            </w:r>
            <w:r>
              <w:rPr>
                <w:rFonts w:hint="eastAsia"/>
                <w:szCs w:val="21"/>
              </w:rPr>
              <w:t>2.0</w:t>
            </w:r>
          </w:p>
        </w:tc>
        <w:tc>
          <w:tcPr>
            <w:tcW w:w="606" w:type="pct"/>
            <w:vAlign w:val="center"/>
          </w:tcPr>
          <w:p w14:paraId="6C1CA8F0">
            <w:pPr>
              <w:adjustRightInd w:val="0"/>
              <w:snapToGrid w:val="0"/>
              <w:spacing w:before="78" w:line="240" w:lineRule="auto"/>
              <w:jc w:val="center"/>
              <w:rPr>
                <w:szCs w:val="21"/>
              </w:rPr>
            </w:pPr>
            <w:r>
              <w:rPr>
                <w:szCs w:val="21"/>
              </w:rPr>
              <w:t>≤</w:t>
            </w:r>
            <w:r>
              <w:rPr>
                <w:rFonts w:hint="eastAsia"/>
                <w:szCs w:val="21"/>
              </w:rPr>
              <w:t>1.0</w:t>
            </w:r>
          </w:p>
        </w:tc>
        <w:tc>
          <w:tcPr>
            <w:tcW w:w="1206" w:type="pct"/>
            <w:vAlign w:val="center"/>
          </w:tcPr>
          <w:p w14:paraId="229EB682">
            <w:pPr>
              <w:adjustRightInd w:val="0"/>
              <w:snapToGrid w:val="0"/>
              <w:spacing w:before="78" w:line="240" w:lineRule="auto"/>
              <w:jc w:val="center"/>
              <w:rPr>
                <w:szCs w:val="21"/>
              </w:rPr>
            </w:pPr>
            <w:r>
              <w:rPr>
                <w:szCs w:val="21"/>
              </w:rPr>
              <w:t>≤</w:t>
            </w:r>
            <w:r>
              <w:rPr>
                <w:rFonts w:hint="eastAsia"/>
                <w:szCs w:val="21"/>
              </w:rPr>
              <w:t>0.5</w:t>
            </w:r>
          </w:p>
        </w:tc>
      </w:tr>
      <w:bookmarkEnd w:id="104"/>
    </w:tbl>
    <w:p w14:paraId="715E925D">
      <w:pPr>
        <w:adjustRightInd w:val="0"/>
        <w:snapToGrid w:val="0"/>
        <w:spacing w:before="78" w:line="240" w:lineRule="auto"/>
        <w:jc w:val="center"/>
        <w:rPr>
          <w:b/>
          <w:bCs/>
          <w:szCs w:val="21"/>
        </w:rPr>
      </w:pPr>
    </w:p>
    <w:p w14:paraId="55032D46">
      <w:pPr>
        <w:adjustRightInd w:val="0"/>
        <w:snapToGrid w:val="0"/>
        <w:spacing w:before="78" w:line="240" w:lineRule="auto"/>
        <w:jc w:val="center"/>
        <w:rPr>
          <w:b/>
          <w:bCs/>
          <w:szCs w:val="21"/>
        </w:rPr>
      </w:pPr>
      <w:r>
        <w:rPr>
          <w:b/>
          <w:bCs/>
          <w:szCs w:val="21"/>
        </w:rPr>
        <w:t>表3.1-1</w:t>
      </w:r>
      <w:r>
        <w:rPr>
          <w:rFonts w:hint="eastAsia"/>
          <w:b/>
          <w:bCs/>
          <w:szCs w:val="21"/>
        </w:rPr>
        <w:t>5</w:t>
      </w:r>
      <w:r>
        <w:rPr>
          <w:b/>
          <w:bCs/>
          <w:szCs w:val="21"/>
        </w:rPr>
        <w:t xml:space="preserve">    </w:t>
      </w:r>
      <w:r>
        <w:rPr>
          <w:rFonts w:hint="eastAsia"/>
          <w:b/>
          <w:bCs/>
          <w:kern w:val="0"/>
          <w:szCs w:val="21"/>
        </w:rPr>
        <w:t>建设用碎石</w:t>
      </w:r>
      <w:r>
        <w:rPr>
          <w:b/>
          <w:bCs/>
          <w:szCs w:val="21"/>
        </w:rPr>
        <w:t>产品标准一览表</w:t>
      </w:r>
    </w:p>
    <w:tbl>
      <w:tblPr>
        <w:tblStyle w:val="90"/>
        <w:tblW w:w="495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28" w:type="dxa"/>
          <w:bottom w:w="0" w:type="dxa"/>
          <w:right w:w="28" w:type="dxa"/>
        </w:tblCellMar>
      </w:tblPr>
      <w:tblGrid>
        <w:gridCol w:w="1137"/>
        <w:gridCol w:w="1117"/>
        <w:gridCol w:w="1121"/>
        <w:gridCol w:w="1022"/>
        <w:gridCol w:w="849"/>
        <w:gridCol w:w="997"/>
        <w:gridCol w:w="1986"/>
      </w:tblGrid>
      <w:tr w14:paraId="083BF8D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91" w:type="pct"/>
            <w:tcBorders>
              <w:top w:val="single" w:color="auto" w:sz="12" w:space="0"/>
              <w:left w:val="nil"/>
              <w:bottom w:val="single" w:color="auto" w:sz="4" w:space="0"/>
              <w:right w:val="single" w:color="auto" w:sz="4" w:space="0"/>
            </w:tcBorders>
            <w:vAlign w:val="center"/>
          </w:tcPr>
          <w:p w14:paraId="75ECC2D9">
            <w:pPr>
              <w:adjustRightInd w:val="0"/>
              <w:snapToGrid w:val="0"/>
              <w:spacing w:before="78" w:line="240" w:lineRule="auto"/>
              <w:jc w:val="center"/>
              <w:rPr>
                <w:szCs w:val="21"/>
              </w:rPr>
            </w:pPr>
            <w:r>
              <w:rPr>
                <w:szCs w:val="21"/>
              </w:rPr>
              <w:t>指标</w:t>
            </w:r>
          </w:p>
        </w:tc>
        <w:tc>
          <w:tcPr>
            <w:tcW w:w="679" w:type="pct"/>
            <w:tcBorders>
              <w:top w:val="single" w:color="auto" w:sz="12" w:space="0"/>
              <w:left w:val="single" w:color="auto" w:sz="4" w:space="0"/>
              <w:bottom w:val="single" w:color="auto" w:sz="4" w:space="0"/>
              <w:right w:val="single" w:color="auto" w:sz="4" w:space="0"/>
            </w:tcBorders>
            <w:vAlign w:val="center"/>
          </w:tcPr>
          <w:p w14:paraId="16FBF8AB">
            <w:pPr>
              <w:adjustRightInd w:val="0"/>
              <w:snapToGrid w:val="0"/>
              <w:spacing w:before="78" w:line="240" w:lineRule="auto"/>
              <w:jc w:val="center"/>
              <w:rPr>
                <w:szCs w:val="21"/>
              </w:rPr>
            </w:pPr>
            <w:r>
              <w:rPr>
                <w:rFonts w:hint="eastAsia"/>
                <w:szCs w:val="21"/>
              </w:rPr>
              <w:t>泥粉含量</w:t>
            </w:r>
          </w:p>
        </w:tc>
        <w:tc>
          <w:tcPr>
            <w:tcW w:w="681" w:type="pct"/>
            <w:tcBorders>
              <w:top w:val="single" w:color="auto" w:sz="12" w:space="0"/>
              <w:left w:val="single" w:color="auto" w:sz="4" w:space="0"/>
              <w:bottom w:val="single" w:color="auto" w:sz="4" w:space="0"/>
              <w:right w:val="single" w:color="auto" w:sz="4" w:space="0"/>
            </w:tcBorders>
            <w:vAlign w:val="center"/>
          </w:tcPr>
          <w:p w14:paraId="5B7F7915">
            <w:pPr>
              <w:adjustRightInd w:val="0"/>
              <w:snapToGrid w:val="0"/>
              <w:spacing w:before="78" w:line="240" w:lineRule="auto"/>
              <w:jc w:val="center"/>
              <w:rPr>
                <w:szCs w:val="21"/>
              </w:rPr>
            </w:pPr>
            <w:r>
              <w:rPr>
                <w:rFonts w:hint="eastAsia"/>
                <w:szCs w:val="21"/>
              </w:rPr>
              <w:t>泥块含量</w:t>
            </w:r>
          </w:p>
        </w:tc>
        <w:tc>
          <w:tcPr>
            <w:tcW w:w="621" w:type="pct"/>
            <w:tcBorders>
              <w:top w:val="single" w:color="auto" w:sz="12" w:space="0"/>
              <w:left w:val="single" w:color="auto" w:sz="4" w:space="0"/>
              <w:bottom w:val="single" w:color="auto" w:sz="4" w:space="0"/>
              <w:right w:val="single" w:color="auto" w:sz="4" w:space="0"/>
            </w:tcBorders>
            <w:vAlign w:val="center"/>
          </w:tcPr>
          <w:p w14:paraId="445506FA">
            <w:pPr>
              <w:adjustRightInd w:val="0"/>
              <w:snapToGrid w:val="0"/>
              <w:spacing w:before="78" w:line="240" w:lineRule="auto"/>
              <w:jc w:val="center"/>
              <w:rPr>
                <w:szCs w:val="21"/>
              </w:rPr>
            </w:pPr>
            <w:r>
              <w:rPr>
                <w:rFonts w:hint="eastAsia"/>
                <w:szCs w:val="21"/>
              </w:rPr>
              <w:t>针片状颗粒物含量</w:t>
            </w:r>
          </w:p>
        </w:tc>
        <w:tc>
          <w:tcPr>
            <w:tcW w:w="516" w:type="pct"/>
            <w:tcBorders>
              <w:top w:val="single" w:color="auto" w:sz="12" w:space="0"/>
              <w:left w:val="single" w:color="auto" w:sz="4" w:space="0"/>
              <w:bottom w:val="single" w:color="auto" w:sz="4" w:space="0"/>
              <w:right w:val="single" w:color="auto" w:sz="4" w:space="0"/>
            </w:tcBorders>
            <w:vAlign w:val="center"/>
          </w:tcPr>
          <w:p w14:paraId="0CF97153">
            <w:pPr>
              <w:adjustRightInd w:val="0"/>
              <w:snapToGrid w:val="0"/>
              <w:spacing w:before="78" w:line="240" w:lineRule="auto"/>
              <w:jc w:val="center"/>
              <w:rPr>
                <w:szCs w:val="21"/>
              </w:rPr>
            </w:pPr>
            <w:r>
              <w:rPr>
                <w:rFonts w:hint="eastAsia"/>
                <w:szCs w:val="21"/>
              </w:rPr>
              <w:t>坚固性指标</w:t>
            </w:r>
          </w:p>
        </w:tc>
        <w:tc>
          <w:tcPr>
            <w:tcW w:w="606" w:type="pct"/>
            <w:tcBorders>
              <w:top w:val="single" w:color="auto" w:sz="12" w:space="0"/>
              <w:left w:val="single" w:color="auto" w:sz="4" w:space="0"/>
              <w:bottom w:val="single" w:color="auto" w:sz="4" w:space="0"/>
              <w:right w:val="single" w:color="auto" w:sz="4" w:space="0"/>
            </w:tcBorders>
            <w:vAlign w:val="center"/>
          </w:tcPr>
          <w:p w14:paraId="587D4216">
            <w:pPr>
              <w:adjustRightInd w:val="0"/>
              <w:snapToGrid w:val="0"/>
              <w:spacing w:before="78" w:line="240" w:lineRule="auto"/>
              <w:jc w:val="center"/>
              <w:rPr>
                <w:szCs w:val="21"/>
              </w:rPr>
            </w:pPr>
            <w:r>
              <w:rPr>
                <w:rFonts w:hint="eastAsia"/>
                <w:szCs w:val="21"/>
              </w:rPr>
              <w:t>压碎指标</w:t>
            </w:r>
          </w:p>
        </w:tc>
        <w:tc>
          <w:tcPr>
            <w:tcW w:w="1207" w:type="pct"/>
            <w:tcBorders>
              <w:top w:val="single" w:color="auto" w:sz="12" w:space="0"/>
              <w:left w:val="single" w:color="auto" w:sz="4" w:space="0"/>
              <w:bottom w:val="single" w:color="auto" w:sz="4" w:space="0"/>
              <w:right w:val="nil"/>
            </w:tcBorders>
            <w:vAlign w:val="center"/>
          </w:tcPr>
          <w:p w14:paraId="585D2407">
            <w:pPr>
              <w:adjustRightInd w:val="0"/>
              <w:snapToGrid w:val="0"/>
              <w:spacing w:before="78" w:line="240" w:lineRule="auto"/>
              <w:jc w:val="center"/>
              <w:rPr>
                <w:szCs w:val="21"/>
              </w:rPr>
            </w:pPr>
            <w:r>
              <w:rPr>
                <w:rFonts w:hint="eastAsia"/>
                <w:szCs w:val="21"/>
              </w:rPr>
              <w:t>硫化物及硫酸盐</w:t>
            </w:r>
          </w:p>
        </w:tc>
      </w:tr>
      <w:tr w14:paraId="2179124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91" w:type="pct"/>
            <w:tcBorders>
              <w:top w:val="single" w:color="auto" w:sz="4" w:space="0"/>
              <w:left w:val="nil"/>
              <w:bottom w:val="single" w:color="auto" w:sz="12" w:space="0"/>
              <w:right w:val="single" w:color="auto" w:sz="4" w:space="0"/>
            </w:tcBorders>
            <w:vAlign w:val="center"/>
          </w:tcPr>
          <w:p w14:paraId="7FC4F5FC">
            <w:pPr>
              <w:adjustRightInd w:val="0"/>
              <w:snapToGrid w:val="0"/>
              <w:spacing w:before="78" w:line="240" w:lineRule="auto"/>
              <w:jc w:val="center"/>
              <w:rPr>
                <w:szCs w:val="21"/>
              </w:rPr>
            </w:pPr>
            <w:r>
              <w:rPr>
                <w:szCs w:val="21"/>
              </w:rPr>
              <w:t>数值，%</w:t>
            </w:r>
          </w:p>
        </w:tc>
        <w:tc>
          <w:tcPr>
            <w:tcW w:w="679" w:type="pct"/>
            <w:tcBorders>
              <w:top w:val="single" w:color="auto" w:sz="4" w:space="0"/>
              <w:left w:val="single" w:color="auto" w:sz="4" w:space="0"/>
              <w:bottom w:val="single" w:color="auto" w:sz="12" w:space="0"/>
              <w:right w:val="single" w:color="auto" w:sz="4" w:space="0"/>
            </w:tcBorders>
            <w:vAlign w:val="center"/>
          </w:tcPr>
          <w:p w14:paraId="421DCE1E">
            <w:pPr>
              <w:adjustRightInd w:val="0"/>
              <w:snapToGrid w:val="0"/>
              <w:spacing w:before="78" w:line="240" w:lineRule="auto"/>
              <w:jc w:val="center"/>
              <w:rPr>
                <w:szCs w:val="21"/>
              </w:rPr>
            </w:pPr>
            <w:r>
              <w:rPr>
                <w:szCs w:val="21"/>
              </w:rPr>
              <w:t>≤2.0</w:t>
            </w:r>
          </w:p>
        </w:tc>
        <w:tc>
          <w:tcPr>
            <w:tcW w:w="681" w:type="pct"/>
            <w:tcBorders>
              <w:top w:val="single" w:color="auto" w:sz="4" w:space="0"/>
              <w:left w:val="single" w:color="auto" w:sz="4" w:space="0"/>
              <w:bottom w:val="single" w:color="auto" w:sz="12" w:space="0"/>
              <w:right w:val="single" w:color="auto" w:sz="4" w:space="0"/>
            </w:tcBorders>
            <w:vAlign w:val="center"/>
          </w:tcPr>
          <w:p w14:paraId="0C791B42">
            <w:pPr>
              <w:adjustRightInd w:val="0"/>
              <w:snapToGrid w:val="0"/>
              <w:spacing w:before="78" w:line="240" w:lineRule="auto"/>
              <w:jc w:val="center"/>
              <w:rPr>
                <w:szCs w:val="21"/>
              </w:rPr>
            </w:pPr>
            <w:r>
              <w:rPr>
                <w:szCs w:val="21"/>
              </w:rPr>
              <w:t>≤</w:t>
            </w:r>
            <w:r>
              <w:rPr>
                <w:rFonts w:hint="eastAsia"/>
                <w:szCs w:val="21"/>
              </w:rPr>
              <w:t>0.7</w:t>
            </w:r>
          </w:p>
        </w:tc>
        <w:tc>
          <w:tcPr>
            <w:tcW w:w="621" w:type="pct"/>
            <w:tcBorders>
              <w:top w:val="single" w:color="auto" w:sz="4" w:space="0"/>
              <w:left w:val="single" w:color="auto" w:sz="4" w:space="0"/>
              <w:bottom w:val="single" w:color="auto" w:sz="12" w:space="0"/>
              <w:right w:val="single" w:color="auto" w:sz="4" w:space="0"/>
            </w:tcBorders>
            <w:vAlign w:val="center"/>
          </w:tcPr>
          <w:p w14:paraId="1D177BF6">
            <w:pPr>
              <w:adjustRightInd w:val="0"/>
              <w:snapToGrid w:val="0"/>
              <w:spacing w:before="78" w:line="240" w:lineRule="auto"/>
              <w:jc w:val="center"/>
              <w:rPr>
                <w:szCs w:val="21"/>
              </w:rPr>
            </w:pPr>
            <w:r>
              <w:rPr>
                <w:szCs w:val="21"/>
              </w:rPr>
              <w:t>≤</w:t>
            </w:r>
            <w:r>
              <w:rPr>
                <w:rFonts w:hint="eastAsia"/>
                <w:szCs w:val="21"/>
              </w:rPr>
              <w:t>15</w:t>
            </w:r>
          </w:p>
        </w:tc>
        <w:tc>
          <w:tcPr>
            <w:tcW w:w="516" w:type="pct"/>
            <w:tcBorders>
              <w:top w:val="single" w:color="auto" w:sz="4" w:space="0"/>
              <w:left w:val="single" w:color="auto" w:sz="4" w:space="0"/>
              <w:bottom w:val="single" w:color="auto" w:sz="12" w:space="0"/>
              <w:right w:val="single" w:color="auto" w:sz="4" w:space="0"/>
            </w:tcBorders>
            <w:vAlign w:val="center"/>
          </w:tcPr>
          <w:p w14:paraId="28FB3CB3">
            <w:pPr>
              <w:adjustRightInd w:val="0"/>
              <w:snapToGrid w:val="0"/>
              <w:spacing w:before="78" w:line="240" w:lineRule="auto"/>
              <w:jc w:val="center"/>
              <w:rPr>
                <w:szCs w:val="21"/>
              </w:rPr>
            </w:pPr>
            <w:r>
              <w:rPr>
                <w:szCs w:val="21"/>
              </w:rPr>
              <w:t>≤</w:t>
            </w:r>
            <w:r>
              <w:rPr>
                <w:rFonts w:hint="eastAsia"/>
                <w:szCs w:val="21"/>
              </w:rPr>
              <w:t>12</w:t>
            </w:r>
          </w:p>
        </w:tc>
        <w:tc>
          <w:tcPr>
            <w:tcW w:w="606" w:type="pct"/>
            <w:tcBorders>
              <w:top w:val="single" w:color="auto" w:sz="4" w:space="0"/>
              <w:left w:val="single" w:color="auto" w:sz="4" w:space="0"/>
              <w:bottom w:val="single" w:color="auto" w:sz="12" w:space="0"/>
              <w:right w:val="single" w:color="auto" w:sz="4" w:space="0"/>
            </w:tcBorders>
            <w:vAlign w:val="center"/>
          </w:tcPr>
          <w:p w14:paraId="49545892">
            <w:pPr>
              <w:adjustRightInd w:val="0"/>
              <w:snapToGrid w:val="0"/>
              <w:spacing w:before="78" w:line="240" w:lineRule="auto"/>
              <w:jc w:val="center"/>
              <w:rPr>
                <w:szCs w:val="21"/>
              </w:rPr>
            </w:pPr>
            <w:r>
              <w:rPr>
                <w:szCs w:val="21"/>
              </w:rPr>
              <w:t>≤</w:t>
            </w:r>
            <w:r>
              <w:rPr>
                <w:rFonts w:hint="eastAsia"/>
                <w:szCs w:val="21"/>
              </w:rPr>
              <w:t>30</w:t>
            </w:r>
          </w:p>
        </w:tc>
        <w:tc>
          <w:tcPr>
            <w:tcW w:w="1207" w:type="pct"/>
            <w:tcBorders>
              <w:top w:val="single" w:color="auto" w:sz="4" w:space="0"/>
              <w:left w:val="single" w:color="auto" w:sz="4" w:space="0"/>
              <w:bottom w:val="single" w:color="auto" w:sz="12" w:space="0"/>
              <w:right w:val="nil"/>
            </w:tcBorders>
            <w:vAlign w:val="center"/>
          </w:tcPr>
          <w:p w14:paraId="43D6C60F">
            <w:pPr>
              <w:adjustRightInd w:val="0"/>
              <w:snapToGrid w:val="0"/>
              <w:spacing w:before="78" w:line="240" w:lineRule="auto"/>
              <w:jc w:val="center"/>
              <w:rPr>
                <w:szCs w:val="21"/>
              </w:rPr>
            </w:pPr>
            <w:r>
              <w:rPr>
                <w:rFonts w:hint="eastAsia"/>
                <w:szCs w:val="21"/>
              </w:rPr>
              <w:t>1.0</w:t>
            </w:r>
          </w:p>
        </w:tc>
      </w:tr>
      <w:bookmarkEnd w:id="95"/>
    </w:tbl>
    <w:p w14:paraId="1ECBC305">
      <w:pPr>
        <w:pStyle w:val="5"/>
        <w:spacing w:line="360" w:lineRule="auto"/>
        <w:rPr>
          <w:color w:val="auto"/>
        </w:rPr>
      </w:pPr>
      <w:r>
        <w:rPr>
          <w:color w:val="auto"/>
        </w:rPr>
        <w:t>3.</w:t>
      </w:r>
      <w:r>
        <w:rPr>
          <w:rFonts w:hint="eastAsia"/>
          <w:color w:val="auto"/>
        </w:rPr>
        <w:t>1</w:t>
      </w:r>
      <w:r>
        <w:rPr>
          <w:color w:val="auto"/>
        </w:rPr>
        <w:t>.</w:t>
      </w:r>
      <w:r>
        <w:rPr>
          <w:rFonts w:hint="eastAsia"/>
          <w:color w:val="auto"/>
        </w:rPr>
        <w:t>6</w:t>
      </w:r>
      <w:r>
        <w:rPr>
          <w:color w:val="auto"/>
        </w:rPr>
        <w:t>平衡分析</w:t>
      </w:r>
    </w:p>
    <w:p w14:paraId="0A054D98">
      <w:pPr>
        <w:pStyle w:val="135"/>
        <w:snapToGrid w:val="0"/>
        <w:spacing w:before="78" w:line="360" w:lineRule="auto"/>
        <w:ind w:firstLine="482" w:firstLineChars="200"/>
        <w:jc w:val="left"/>
        <w:rPr>
          <w:b/>
          <w:bCs/>
          <w:kern w:val="0"/>
          <w:sz w:val="24"/>
          <w:szCs w:val="24"/>
        </w:rPr>
      </w:pPr>
      <w:r>
        <w:rPr>
          <w:rFonts w:hint="eastAsia"/>
          <w:b/>
          <w:bCs/>
          <w:kern w:val="0"/>
          <w:sz w:val="24"/>
          <w:szCs w:val="24"/>
        </w:rPr>
        <w:t>（1）</w:t>
      </w:r>
      <w:r>
        <w:rPr>
          <w:b/>
          <w:bCs/>
          <w:kern w:val="0"/>
          <w:sz w:val="24"/>
          <w:szCs w:val="24"/>
        </w:rPr>
        <w:t>物料平衡</w:t>
      </w:r>
    </w:p>
    <w:p w14:paraId="087E6B3B">
      <w:pPr>
        <w:adjustRightInd w:val="0"/>
        <w:snapToGrid w:val="0"/>
        <w:spacing w:before="78"/>
        <w:ind w:firstLine="480" w:firstLineChars="200"/>
        <w:rPr>
          <w:kern w:val="0"/>
          <w:sz w:val="24"/>
        </w:rPr>
      </w:pPr>
      <w:r>
        <w:rPr>
          <w:kern w:val="0"/>
          <w:sz w:val="24"/>
        </w:rPr>
        <w:t>本项目的物料平衡详见表3.</w:t>
      </w:r>
      <w:r>
        <w:rPr>
          <w:rFonts w:hint="eastAsia"/>
          <w:kern w:val="0"/>
          <w:sz w:val="24"/>
        </w:rPr>
        <w:t>1</w:t>
      </w:r>
      <w:r>
        <w:rPr>
          <w:kern w:val="0"/>
          <w:sz w:val="24"/>
        </w:rPr>
        <w:t>-1</w:t>
      </w:r>
      <w:r>
        <w:rPr>
          <w:rFonts w:hint="eastAsia"/>
          <w:kern w:val="0"/>
          <w:sz w:val="24"/>
        </w:rPr>
        <w:t>6</w:t>
      </w:r>
      <w:r>
        <w:rPr>
          <w:kern w:val="0"/>
          <w:sz w:val="24"/>
        </w:rPr>
        <w:t>。</w:t>
      </w:r>
    </w:p>
    <w:p w14:paraId="4E64ABE7">
      <w:pPr>
        <w:pStyle w:val="143"/>
        <w:spacing w:before="156"/>
      </w:pPr>
      <w:bookmarkStart w:id="105" w:name="_Hlk171930704"/>
      <w:r>
        <w:rPr>
          <w:b/>
          <w:kern w:val="2"/>
        </w:rPr>
        <w:t>表3.</w:t>
      </w:r>
      <w:r>
        <w:rPr>
          <w:rFonts w:hint="eastAsia"/>
          <w:b/>
          <w:kern w:val="2"/>
        </w:rPr>
        <w:t>1</w:t>
      </w:r>
      <w:r>
        <w:rPr>
          <w:b/>
          <w:kern w:val="2"/>
        </w:rPr>
        <w:t>-1</w:t>
      </w:r>
      <w:r>
        <w:rPr>
          <w:rFonts w:hint="eastAsia"/>
          <w:b/>
          <w:kern w:val="2"/>
        </w:rPr>
        <w:t xml:space="preserve">6  </w:t>
      </w:r>
      <w:r>
        <w:rPr>
          <w:b/>
          <w:kern w:val="2"/>
        </w:rPr>
        <w:t xml:space="preserve">  物料平衡分析</w:t>
      </w:r>
    </w:p>
    <w:tbl>
      <w:tblPr>
        <w:tblStyle w:val="89"/>
        <w:tblW w:w="5141" w:type="pct"/>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108" w:type="dxa"/>
          <w:bottom w:w="0" w:type="dxa"/>
          <w:right w:w="108" w:type="dxa"/>
        </w:tblCellMar>
      </w:tblPr>
      <w:tblGrid>
        <w:gridCol w:w="2133"/>
        <w:gridCol w:w="2138"/>
        <w:gridCol w:w="2137"/>
        <w:gridCol w:w="2138"/>
      </w:tblGrid>
      <w:tr w14:paraId="71F1598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5" w:hRule="atLeast"/>
          <w:jc w:val="center"/>
        </w:trPr>
        <w:tc>
          <w:tcPr>
            <w:tcW w:w="2499" w:type="pct"/>
            <w:gridSpan w:val="2"/>
            <w:tcBorders>
              <w:tl2br w:val="nil"/>
              <w:tr2bl w:val="nil"/>
            </w:tcBorders>
            <w:vAlign w:val="center"/>
          </w:tcPr>
          <w:p w14:paraId="072397E2">
            <w:pPr>
              <w:widowControl/>
              <w:adjustRightInd w:val="0"/>
              <w:snapToGrid w:val="0"/>
              <w:spacing w:before="0" w:beforeLines="0" w:line="240" w:lineRule="auto"/>
              <w:jc w:val="center"/>
              <w:textAlignment w:val="center"/>
              <w:rPr>
                <w:szCs w:val="21"/>
              </w:rPr>
            </w:pPr>
            <w:r>
              <w:rPr>
                <w:kern w:val="0"/>
                <w:szCs w:val="21"/>
                <w:lang w:bidi="ar"/>
              </w:rPr>
              <w:t>投入（t/a）</w:t>
            </w:r>
          </w:p>
        </w:tc>
        <w:tc>
          <w:tcPr>
            <w:tcW w:w="2501" w:type="pct"/>
            <w:gridSpan w:val="2"/>
            <w:tcBorders>
              <w:tl2br w:val="nil"/>
              <w:tr2bl w:val="nil"/>
            </w:tcBorders>
            <w:vAlign w:val="center"/>
          </w:tcPr>
          <w:p w14:paraId="7B868035">
            <w:pPr>
              <w:widowControl/>
              <w:adjustRightInd w:val="0"/>
              <w:snapToGrid w:val="0"/>
              <w:spacing w:before="0" w:beforeLines="0" w:line="240" w:lineRule="auto"/>
              <w:jc w:val="center"/>
              <w:textAlignment w:val="center"/>
              <w:rPr>
                <w:szCs w:val="21"/>
              </w:rPr>
            </w:pPr>
            <w:r>
              <w:rPr>
                <w:kern w:val="0"/>
                <w:szCs w:val="21"/>
                <w:lang w:bidi="ar"/>
              </w:rPr>
              <w:t>产出（t/a）</w:t>
            </w:r>
          </w:p>
        </w:tc>
      </w:tr>
      <w:tr w14:paraId="4798DB5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5" w:hRule="atLeast"/>
          <w:jc w:val="center"/>
        </w:trPr>
        <w:tc>
          <w:tcPr>
            <w:tcW w:w="1248" w:type="pct"/>
            <w:tcBorders>
              <w:tl2br w:val="nil"/>
              <w:tr2bl w:val="nil"/>
            </w:tcBorders>
            <w:vAlign w:val="center"/>
          </w:tcPr>
          <w:p w14:paraId="5305706E">
            <w:pPr>
              <w:widowControl/>
              <w:adjustRightInd w:val="0"/>
              <w:snapToGrid w:val="0"/>
              <w:spacing w:before="0" w:beforeLines="0" w:line="240" w:lineRule="auto"/>
              <w:jc w:val="center"/>
              <w:textAlignment w:val="center"/>
              <w:rPr>
                <w:szCs w:val="21"/>
              </w:rPr>
            </w:pPr>
            <w:r>
              <w:rPr>
                <w:kern w:val="0"/>
                <w:szCs w:val="21"/>
                <w:lang w:bidi="ar"/>
              </w:rPr>
              <w:t>名称</w:t>
            </w:r>
          </w:p>
        </w:tc>
        <w:tc>
          <w:tcPr>
            <w:tcW w:w="1251" w:type="pct"/>
            <w:tcBorders>
              <w:tl2br w:val="nil"/>
              <w:tr2bl w:val="nil"/>
            </w:tcBorders>
            <w:vAlign w:val="center"/>
          </w:tcPr>
          <w:p w14:paraId="12B70FB2">
            <w:pPr>
              <w:widowControl/>
              <w:adjustRightInd w:val="0"/>
              <w:snapToGrid w:val="0"/>
              <w:spacing w:before="0" w:beforeLines="0" w:line="240" w:lineRule="auto"/>
              <w:jc w:val="center"/>
              <w:textAlignment w:val="center"/>
              <w:rPr>
                <w:szCs w:val="21"/>
              </w:rPr>
            </w:pPr>
            <w:r>
              <w:rPr>
                <w:kern w:val="0"/>
                <w:szCs w:val="21"/>
                <w:lang w:bidi="ar"/>
              </w:rPr>
              <w:t>数量</w:t>
            </w:r>
          </w:p>
        </w:tc>
        <w:tc>
          <w:tcPr>
            <w:tcW w:w="1250" w:type="pct"/>
            <w:tcBorders>
              <w:tl2br w:val="nil"/>
              <w:tr2bl w:val="nil"/>
            </w:tcBorders>
            <w:vAlign w:val="center"/>
          </w:tcPr>
          <w:p w14:paraId="13E1CA14">
            <w:pPr>
              <w:widowControl/>
              <w:adjustRightInd w:val="0"/>
              <w:snapToGrid w:val="0"/>
              <w:spacing w:before="0" w:beforeLines="0" w:line="240" w:lineRule="auto"/>
              <w:jc w:val="center"/>
              <w:textAlignment w:val="center"/>
              <w:rPr>
                <w:szCs w:val="21"/>
              </w:rPr>
            </w:pPr>
            <w:r>
              <w:rPr>
                <w:kern w:val="0"/>
                <w:szCs w:val="21"/>
                <w:lang w:bidi="ar"/>
              </w:rPr>
              <w:t>名称</w:t>
            </w:r>
          </w:p>
        </w:tc>
        <w:tc>
          <w:tcPr>
            <w:tcW w:w="1251" w:type="pct"/>
            <w:tcBorders>
              <w:tl2br w:val="nil"/>
              <w:tr2bl w:val="nil"/>
            </w:tcBorders>
            <w:vAlign w:val="center"/>
          </w:tcPr>
          <w:p w14:paraId="58120D66">
            <w:pPr>
              <w:widowControl/>
              <w:adjustRightInd w:val="0"/>
              <w:snapToGrid w:val="0"/>
              <w:spacing w:before="0" w:beforeLines="0" w:line="240" w:lineRule="auto"/>
              <w:jc w:val="center"/>
              <w:textAlignment w:val="center"/>
              <w:rPr>
                <w:szCs w:val="21"/>
              </w:rPr>
            </w:pPr>
            <w:r>
              <w:rPr>
                <w:kern w:val="0"/>
                <w:szCs w:val="21"/>
                <w:lang w:bidi="ar"/>
              </w:rPr>
              <w:t>数量</w:t>
            </w:r>
          </w:p>
        </w:tc>
      </w:tr>
      <w:tr w14:paraId="0738BF8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5" w:hRule="atLeast"/>
          <w:jc w:val="center"/>
        </w:trPr>
        <w:tc>
          <w:tcPr>
            <w:tcW w:w="1248" w:type="pct"/>
            <w:tcBorders>
              <w:tl2br w:val="nil"/>
              <w:tr2bl w:val="nil"/>
            </w:tcBorders>
            <w:vAlign w:val="center"/>
          </w:tcPr>
          <w:p w14:paraId="4E2492C5">
            <w:pPr>
              <w:widowControl/>
              <w:adjustRightInd w:val="0"/>
              <w:snapToGrid w:val="0"/>
              <w:spacing w:before="0" w:beforeLines="0" w:line="240" w:lineRule="auto"/>
              <w:jc w:val="center"/>
              <w:textAlignment w:val="center"/>
              <w:rPr>
                <w:szCs w:val="21"/>
              </w:rPr>
            </w:pPr>
            <w:r>
              <w:rPr>
                <w:kern w:val="0"/>
                <w:szCs w:val="21"/>
                <w:lang w:bidi="ar"/>
              </w:rPr>
              <w:t>尾矿</w:t>
            </w:r>
            <w:r>
              <w:rPr>
                <w:rFonts w:hint="eastAsia"/>
                <w:kern w:val="0"/>
                <w:szCs w:val="21"/>
                <w:lang w:bidi="ar"/>
              </w:rPr>
              <w:t>、废石</w:t>
            </w:r>
          </w:p>
        </w:tc>
        <w:tc>
          <w:tcPr>
            <w:tcW w:w="1251" w:type="pct"/>
            <w:tcBorders>
              <w:tl2br w:val="nil"/>
              <w:tr2bl w:val="nil"/>
            </w:tcBorders>
            <w:vAlign w:val="center"/>
          </w:tcPr>
          <w:p w14:paraId="6C1F5F70">
            <w:pPr>
              <w:widowControl/>
              <w:adjustRightInd w:val="0"/>
              <w:snapToGrid w:val="0"/>
              <w:spacing w:before="0" w:beforeLines="0" w:line="240" w:lineRule="auto"/>
              <w:jc w:val="center"/>
              <w:textAlignment w:val="center"/>
              <w:rPr>
                <w:szCs w:val="21"/>
              </w:rPr>
            </w:pPr>
            <w:r>
              <w:rPr>
                <w:rFonts w:hint="eastAsia"/>
                <w:kern w:val="0"/>
                <w:szCs w:val="21"/>
                <w:lang w:bidi="ar"/>
              </w:rPr>
              <w:t>300</w:t>
            </w:r>
            <w:r>
              <w:rPr>
                <w:kern w:val="0"/>
                <w:szCs w:val="21"/>
                <w:lang w:bidi="ar"/>
              </w:rPr>
              <w:t>0000.00</w:t>
            </w:r>
          </w:p>
        </w:tc>
        <w:tc>
          <w:tcPr>
            <w:tcW w:w="1250" w:type="pct"/>
            <w:tcBorders>
              <w:tl2br w:val="nil"/>
              <w:tr2bl w:val="nil"/>
            </w:tcBorders>
            <w:vAlign w:val="center"/>
          </w:tcPr>
          <w:p w14:paraId="0A9D3DA8">
            <w:pPr>
              <w:widowControl/>
              <w:adjustRightInd w:val="0"/>
              <w:snapToGrid w:val="0"/>
              <w:spacing w:before="0" w:beforeLines="0" w:line="240" w:lineRule="auto"/>
              <w:jc w:val="center"/>
              <w:textAlignment w:val="center"/>
              <w:rPr>
                <w:szCs w:val="21"/>
              </w:rPr>
            </w:pPr>
            <w:r>
              <w:rPr>
                <w:kern w:val="0"/>
                <w:szCs w:val="21"/>
                <w:lang w:bidi="ar"/>
              </w:rPr>
              <w:t>钒钛磁铁矿</w:t>
            </w:r>
          </w:p>
        </w:tc>
        <w:tc>
          <w:tcPr>
            <w:tcW w:w="1251" w:type="pct"/>
            <w:tcBorders>
              <w:tl2br w:val="nil"/>
              <w:tr2bl w:val="nil"/>
            </w:tcBorders>
            <w:vAlign w:val="center"/>
          </w:tcPr>
          <w:p w14:paraId="4D531425">
            <w:pPr>
              <w:widowControl/>
              <w:adjustRightInd w:val="0"/>
              <w:snapToGrid w:val="0"/>
              <w:spacing w:before="0" w:beforeLines="0" w:line="240" w:lineRule="auto"/>
              <w:jc w:val="center"/>
              <w:textAlignment w:val="center"/>
              <w:rPr>
                <w:szCs w:val="21"/>
              </w:rPr>
            </w:pPr>
            <w:r>
              <w:rPr>
                <w:rFonts w:hint="eastAsia"/>
                <w:kern w:val="0"/>
                <w:szCs w:val="21"/>
                <w:lang w:bidi="ar"/>
              </w:rPr>
              <w:t>14</w:t>
            </w:r>
            <w:r>
              <w:rPr>
                <w:kern w:val="0"/>
                <w:szCs w:val="21"/>
                <w:lang w:bidi="ar"/>
              </w:rPr>
              <w:t>0000.00</w:t>
            </w:r>
          </w:p>
        </w:tc>
      </w:tr>
      <w:tr w14:paraId="7EB80BD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5" w:hRule="atLeast"/>
          <w:jc w:val="center"/>
        </w:trPr>
        <w:tc>
          <w:tcPr>
            <w:tcW w:w="1248" w:type="pct"/>
            <w:tcBorders>
              <w:tl2br w:val="nil"/>
              <w:tr2bl w:val="nil"/>
            </w:tcBorders>
            <w:vAlign w:val="center"/>
          </w:tcPr>
          <w:p w14:paraId="2718BA6C">
            <w:pPr>
              <w:widowControl/>
              <w:adjustRightInd w:val="0"/>
              <w:snapToGrid w:val="0"/>
              <w:spacing w:before="0" w:beforeLines="0" w:line="240" w:lineRule="auto"/>
              <w:jc w:val="center"/>
              <w:textAlignment w:val="center"/>
              <w:rPr>
                <w:szCs w:val="21"/>
              </w:rPr>
            </w:pPr>
            <w:r>
              <w:rPr>
                <w:kern w:val="0"/>
                <w:szCs w:val="21"/>
                <w:lang w:bidi="ar"/>
              </w:rPr>
              <w:t>新鲜水</w:t>
            </w:r>
          </w:p>
        </w:tc>
        <w:tc>
          <w:tcPr>
            <w:tcW w:w="1251" w:type="pct"/>
            <w:tcBorders>
              <w:tl2br w:val="nil"/>
              <w:tr2bl w:val="nil"/>
            </w:tcBorders>
            <w:vAlign w:val="center"/>
          </w:tcPr>
          <w:p w14:paraId="7AB477EE">
            <w:pPr>
              <w:widowControl/>
              <w:adjustRightInd w:val="0"/>
              <w:snapToGrid w:val="0"/>
              <w:spacing w:before="0" w:beforeLines="0" w:line="240" w:lineRule="auto"/>
              <w:jc w:val="center"/>
              <w:textAlignment w:val="center"/>
              <w:rPr>
                <w:szCs w:val="21"/>
              </w:rPr>
            </w:pPr>
            <w:r>
              <w:rPr>
                <w:rFonts w:hint="eastAsia"/>
                <w:kern w:val="0"/>
                <w:szCs w:val="21"/>
                <w:lang w:bidi="ar"/>
              </w:rPr>
              <w:t>152370</w:t>
            </w:r>
          </w:p>
        </w:tc>
        <w:tc>
          <w:tcPr>
            <w:tcW w:w="1250" w:type="pct"/>
            <w:tcBorders>
              <w:tl2br w:val="nil"/>
              <w:tr2bl w:val="nil"/>
            </w:tcBorders>
            <w:vAlign w:val="center"/>
          </w:tcPr>
          <w:p w14:paraId="7869D63A">
            <w:pPr>
              <w:widowControl/>
              <w:adjustRightInd w:val="0"/>
              <w:snapToGrid w:val="0"/>
              <w:spacing w:before="0" w:beforeLines="0" w:line="240" w:lineRule="auto"/>
              <w:jc w:val="center"/>
              <w:textAlignment w:val="center"/>
              <w:rPr>
                <w:szCs w:val="21"/>
              </w:rPr>
            </w:pPr>
            <w:r>
              <w:rPr>
                <w:kern w:val="0"/>
                <w:szCs w:val="21"/>
                <w:lang w:bidi="ar"/>
              </w:rPr>
              <w:t>钛铁精矿</w:t>
            </w:r>
          </w:p>
        </w:tc>
        <w:tc>
          <w:tcPr>
            <w:tcW w:w="1251" w:type="pct"/>
            <w:tcBorders>
              <w:tl2br w:val="nil"/>
              <w:tr2bl w:val="nil"/>
            </w:tcBorders>
            <w:vAlign w:val="center"/>
          </w:tcPr>
          <w:p w14:paraId="0F4C5726">
            <w:pPr>
              <w:widowControl/>
              <w:adjustRightInd w:val="0"/>
              <w:snapToGrid w:val="0"/>
              <w:spacing w:before="0" w:beforeLines="0" w:line="240" w:lineRule="auto"/>
              <w:jc w:val="center"/>
              <w:textAlignment w:val="center"/>
              <w:rPr>
                <w:szCs w:val="21"/>
              </w:rPr>
            </w:pPr>
            <w:r>
              <w:rPr>
                <w:rFonts w:hint="eastAsia"/>
                <w:kern w:val="0"/>
                <w:szCs w:val="21"/>
                <w:lang w:bidi="ar"/>
              </w:rPr>
              <w:t>4</w:t>
            </w:r>
            <w:r>
              <w:rPr>
                <w:kern w:val="0"/>
                <w:szCs w:val="21"/>
                <w:lang w:bidi="ar"/>
              </w:rPr>
              <w:t>0000.00</w:t>
            </w:r>
          </w:p>
        </w:tc>
      </w:tr>
      <w:tr w14:paraId="42A3C12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5" w:hRule="atLeast"/>
          <w:jc w:val="center"/>
        </w:trPr>
        <w:tc>
          <w:tcPr>
            <w:tcW w:w="1248" w:type="pct"/>
            <w:tcBorders>
              <w:tl2br w:val="nil"/>
              <w:tr2bl w:val="nil"/>
            </w:tcBorders>
            <w:vAlign w:val="center"/>
          </w:tcPr>
          <w:p w14:paraId="75AA47E9">
            <w:pPr>
              <w:widowControl/>
              <w:adjustRightInd w:val="0"/>
              <w:snapToGrid w:val="0"/>
              <w:spacing w:before="0" w:beforeLines="0" w:line="240" w:lineRule="auto"/>
              <w:jc w:val="center"/>
              <w:rPr>
                <w:szCs w:val="21"/>
              </w:rPr>
            </w:pPr>
            <w:r>
              <w:rPr>
                <w:kern w:val="0"/>
                <w:szCs w:val="21"/>
                <w:lang w:bidi="ar"/>
              </w:rPr>
              <w:t>铁球</w:t>
            </w:r>
          </w:p>
        </w:tc>
        <w:tc>
          <w:tcPr>
            <w:tcW w:w="1251" w:type="pct"/>
            <w:tcBorders>
              <w:tl2br w:val="nil"/>
              <w:tr2bl w:val="nil"/>
            </w:tcBorders>
            <w:vAlign w:val="center"/>
          </w:tcPr>
          <w:p w14:paraId="2095A092">
            <w:pPr>
              <w:widowControl/>
              <w:adjustRightInd w:val="0"/>
              <w:snapToGrid w:val="0"/>
              <w:spacing w:before="0" w:beforeLines="0" w:line="240" w:lineRule="auto"/>
              <w:jc w:val="center"/>
              <w:rPr>
                <w:szCs w:val="21"/>
              </w:rPr>
            </w:pPr>
            <w:r>
              <w:rPr>
                <w:rFonts w:hint="eastAsia"/>
                <w:kern w:val="0"/>
                <w:szCs w:val="21"/>
                <w:lang w:bidi="ar"/>
              </w:rPr>
              <w:t>260</w:t>
            </w:r>
          </w:p>
        </w:tc>
        <w:tc>
          <w:tcPr>
            <w:tcW w:w="1250" w:type="pct"/>
            <w:tcBorders>
              <w:tl2br w:val="nil"/>
              <w:tr2bl w:val="nil"/>
            </w:tcBorders>
            <w:vAlign w:val="center"/>
          </w:tcPr>
          <w:p w14:paraId="273DBC4F">
            <w:pPr>
              <w:widowControl/>
              <w:adjustRightInd w:val="0"/>
              <w:snapToGrid w:val="0"/>
              <w:spacing w:before="0" w:beforeLines="0" w:line="240" w:lineRule="auto"/>
              <w:jc w:val="center"/>
              <w:textAlignment w:val="center"/>
              <w:rPr>
                <w:szCs w:val="21"/>
              </w:rPr>
            </w:pPr>
            <w:r>
              <w:rPr>
                <w:kern w:val="0"/>
                <w:szCs w:val="21"/>
                <w:lang w:bidi="ar"/>
              </w:rPr>
              <w:t>机制砂</w:t>
            </w:r>
          </w:p>
        </w:tc>
        <w:tc>
          <w:tcPr>
            <w:tcW w:w="1251" w:type="pct"/>
            <w:tcBorders>
              <w:tl2br w:val="nil"/>
              <w:tr2bl w:val="nil"/>
            </w:tcBorders>
            <w:vAlign w:val="center"/>
          </w:tcPr>
          <w:p w14:paraId="066DF02E">
            <w:pPr>
              <w:widowControl/>
              <w:adjustRightInd w:val="0"/>
              <w:snapToGrid w:val="0"/>
              <w:spacing w:before="0" w:beforeLines="0" w:line="240" w:lineRule="auto"/>
              <w:jc w:val="center"/>
              <w:textAlignment w:val="center"/>
              <w:rPr>
                <w:szCs w:val="21"/>
              </w:rPr>
            </w:pPr>
            <w:r>
              <w:rPr>
                <w:rFonts w:hint="eastAsia"/>
                <w:kern w:val="0"/>
                <w:szCs w:val="21"/>
                <w:lang w:bidi="ar"/>
              </w:rPr>
              <w:t>160</w:t>
            </w:r>
            <w:r>
              <w:rPr>
                <w:kern w:val="0"/>
                <w:szCs w:val="21"/>
                <w:lang w:bidi="ar"/>
              </w:rPr>
              <w:t>0000.00</w:t>
            </w:r>
          </w:p>
        </w:tc>
      </w:tr>
      <w:tr w14:paraId="0112F83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5" w:hRule="atLeast"/>
          <w:jc w:val="center"/>
        </w:trPr>
        <w:tc>
          <w:tcPr>
            <w:tcW w:w="1248" w:type="pct"/>
            <w:tcBorders>
              <w:tl2br w:val="nil"/>
              <w:tr2bl w:val="nil"/>
            </w:tcBorders>
            <w:vAlign w:val="center"/>
          </w:tcPr>
          <w:p w14:paraId="1F357745">
            <w:pPr>
              <w:widowControl/>
              <w:adjustRightInd w:val="0"/>
              <w:snapToGrid w:val="0"/>
              <w:spacing w:before="0" w:beforeLines="0" w:line="240" w:lineRule="auto"/>
              <w:jc w:val="center"/>
              <w:rPr>
                <w:szCs w:val="21"/>
              </w:rPr>
            </w:pPr>
          </w:p>
        </w:tc>
        <w:tc>
          <w:tcPr>
            <w:tcW w:w="1251" w:type="pct"/>
            <w:tcBorders>
              <w:tl2br w:val="nil"/>
              <w:tr2bl w:val="nil"/>
            </w:tcBorders>
            <w:vAlign w:val="center"/>
          </w:tcPr>
          <w:p w14:paraId="612D48D6">
            <w:pPr>
              <w:widowControl/>
              <w:adjustRightInd w:val="0"/>
              <w:snapToGrid w:val="0"/>
              <w:spacing w:before="0" w:beforeLines="0" w:line="240" w:lineRule="auto"/>
              <w:jc w:val="center"/>
              <w:rPr>
                <w:szCs w:val="21"/>
              </w:rPr>
            </w:pPr>
          </w:p>
        </w:tc>
        <w:tc>
          <w:tcPr>
            <w:tcW w:w="1250" w:type="pct"/>
            <w:tcBorders>
              <w:tl2br w:val="nil"/>
              <w:tr2bl w:val="nil"/>
            </w:tcBorders>
            <w:vAlign w:val="center"/>
          </w:tcPr>
          <w:p w14:paraId="2150317B">
            <w:pPr>
              <w:widowControl/>
              <w:adjustRightInd w:val="0"/>
              <w:snapToGrid w:val="0"/>
              <w:spacing w:before="0" w:beforeLines="0" w:line="240" w:lineRule="auto"/>
              <w:jc w:val="center"/>
              <w:textAlignment w:val="center"/>
              <w:rPr>
                <w:szCs w:val="21"/>
              </w:rPr>
            </w:pPr>
            <w:r>
              <w:rPr>
                <w:kern w:val="0"/>
                <w:szCs w:val="21"/>
                <w:lang w:bidi="ar"/>
              </w:rPr>
              <w:t>碎石</w:t>
            </w:r>
          </w:p>
        </w:tc>
        <w:tc>
          <w:tcPr>
            <w:tcW w:w="1251" w:type="pct"/>
            <w:tcBorders>
              <w:tl2br w:val="nil"/>
              <w:tr2bl w:val="nil"/>
            </w:tcBorders>
            <w:vAlign w:val="center"/>
          </w:tcPr>
          <w:p w14:paraId="1C86F934">
            <w:pPr>
              <w:widowControl/>
              <w:adjustRightInd w:val="0"/>
              <w:snapToGrid w:val="0"/>
              <w:spacing w:before="0" w:beforeLines="0" w:line="240" w:lineRule="auto"/>
              <w:jc w:val="center"/>
              <w:textAlignment w:val="center"/>
              <w:rPr>
                <w:szCs w:val="21"/>
              </w:rPr>
            </w:pPr>
            <w:r>
              <w:rPr>
                <w:rFonts w:hint="eastAsia"/>
                <w:kern w:val="0"/>
                <w:szCs w:val="21"/>
                <w:lang w:bidi="ar"/>
              </w:rPr>
              <w:t>38</w:t>
            </w:r>
            <w:r>
              <w:rPr>
                <w:kern w:val="0"/>
                <w:szCs w:val="21"/>
                <w:lang w:bidi="ar"/>
              </w:rPr>
              <w:t>0000.00</w:t>
            </w:r>
          </w:p>
        </w:tc>
      </w:tr>
      <w:tr w14:paraId="5890914B">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5" w:hRule="atLeast"/>
          <w:jc w:val="center"/>
        </w:trPr>
        <w:tc>
          <w:tcPr>
            <w:tcW w:w="1248" w:type="pct"/>
            <w:tcBorders>
              <w:tl2br w:val="nil"/>
              <w:tr2bl w:val="nil"/>
            </w:tcBorders>
            <w:vAlign w:val="center"/>
          </w:tcPr>
          <w:p w14:paraId="4FCA066A">
            <w:pPr>
              <w:widowControl/>
              <w:adjustRightInd w:val="0"/>
              <w:snapToGrid w:val="0"/>
              <w:spacing w:before="0" w:beforeLines="0" w:line="240" w:lineRule="auto"/>
              <w:jc w:val="center"/>
              <w:rPr>
                <w:szCs w:val="21"/>
              </w:rPr>
            </w:pPr>
          </w:p>
        </w:tc>
        <w:tc>
          <w:tcPr>
            <w:tcW w:w="1251" w:type="pct"/>
            <w:tcBorders>
              <w:tl2br w:val="nil"/>
              <w:tr2bl w:val="nil"/>
            </w:tcBorders>
            <w:vAlign w:val="center"/>
          </w:tcPr>
          <w:p w14:paraId="1464EA93">
            <w:pPr>
              <w:widowControl/>
              <w:adjustRightInd w:val="0"/>
              <w:snapToGrid w:val="0"/>
              <w:spacing w:before="0" w:beforeLines="0" w:line="240" w:lineRule="auto"/>
              <w:jc w:val="center"/>
              <w:rPr>
                <w:szCs w:val="21"/>
              </w:rPr>
            </w:pPr>
          </w:p>
        </w:tc>
        <w:tc>
          <w:tcPr>
            <w:tcW w:w="1250" w:type="pct"/>
            <w:tcBorders>
              <w:tl2br w:val="nil"/>
              <w:tr2bl w:val="nil"/>
            </w:tcBorders>
            <w:vAlign w:val="center"/>
          </w:tcPr>
          <w:p w14:paraId="7E87D514">
            <w:pPr>
              <w:widowControl/>
              <w:adjustRightInd w:val="0"/>
              <w:snapToGrid w:val="0"/>
              <w:spacing w:before="0" w:beforeLines="0" w:line="240" w:lineRule="auto"/>
              <w:jc w:val="center"/>
              <w:textAlignment w:val="center"/>
              <w:rPr>
                <w:szCs w:val="21"/>
              </w:rPr>
            </w:pPr>
            <w:r>
              <w:rPr>
                <w:kern w:val="0"/>
                <w:szCs w:val="21"/>
                <w:lang w:bidi="ar"/>
              </w:rPr>
              <w:t>泥饼</w:t>
            </w:r>
            <w:r>
              <w:rPr>
                <w:rFonts w:hint="eastAsia"/>
                <w:kern w:val="0"/>
                <w:szCs w:val="21"/>
                <w:lang w:bidi="ar"/>
              </w:rPr>
              <w:t>及沉砂</w:t>
            </w:r>
          </w:p>
        </w:tc>
        <w:tc>
          <w:tcPr>
            <w:tcW w:w="1251" w:type="pct"/>
            <w:tcBorders>
              <w:tl2br w:val="nil"/>
              <w:tr2bl w:val="nil"/>
            </w:tcBorders>
            <w:vAlign w:val="center"/>
          </w:tcPr>
          <w:p w14:paraId="3C064BA3">
            <w:pPr>
              <w:widowControl/>
              <w:adjustRightInd w:val="0"/>
              <w:snapToGrid w:val="0"/>
              <w:spacing w:before="0" w:beforeLines="0" w:line="240" w:lineRule="auto"/>
              <w:jc w:val="center"/>
              <w:textAlignment w:val="center"/>
              <w:rPr>
                <w:szCs w:val="21"/>
              </w:rPr>
            </w:pPr>
            <w:bookmarkStart w:id="106" w:name="OLE_LINK8"/>
            <w:r>
              <w:rPr>
                <w:rFonts w:hint="eastAsia"/>
              </w:rPr>
              <w:t>931697</w:t>
            </w:r>
            <w:bookmarkEnd w:id="106"/>
          </w:p>
        </w:tc>
      </w:tr>
      <w:tr w14:paraId="150F4BA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5" w:hRule="atLeast"/>
          <w:jc w:val="center"/>
        </w:trPr>
        <w:tc>
          <w:tcPr>
            <w:tcW w:w="1248" w:type="pct"/>
            <w:tcBorders>
              <w:tl2br w:val="nil"/>
              <w:tr2bl w:val="nil"/>
            </w:tcBorders>
            <w:vAlign w:val="center"/>
          </w:tcPr>
          <w:p w14:paraId="3D22C55C">
            <w:pPr>
              <w:widowControl/>
              <w:adjustRightInd w:val="0"/>
              <w:snapToGrid w:val="0"/>
              <w:spacing w:before="0" w:beforeLines="0" w:line="240" w:lineRule="auto"/>
              <w:jc w:val="center"/>
              <w:rPr>
                <w:kern w:val="0"/>
                <w:szCs w:val="21"/>
                <w:lang w:bidi="ar"/>
              </w:rPr>
            </w:pPr>
          </w:p>
        </w:tc>
        <w:tc>
          <w:tcPr>
            <w:tcW w:w="1251" w:type="pct"/>
            <w:tcBorders>
              <w:tl2br w:val="nil"/>
              <w:tr2bl w:val="nil"/>
            </w:tcBorders>
            <w:vAlign w:val="center"/>
          </w:tcPr>
          <w:p w14:paraId="79FA2F76">
            <w:pPr>
              <w:widowControl/>
              <w:adjustRightInd w:val="0"/>
              <w:snapToGrid w:val="0"/>
              <w:spacing w:before="0" w:beforeLines="0" w:line="240" w:lineRule="auto"/>
              <w:jc w:val="center"/>
              <w:rPr>
                <w:kern w:val="0"/>
                <w:szCs w:val="21"/>
                <w:lang w:bidi="ar"/>
              </w:rPr>
            </w:pPr>
          </w:p>
        </w:tc>
        <w:tc>
          <w:tcPr>
            <w:tcW w:w="1250" w:type="pct"/>
            <w:tcBorders>
              <w:tl2br w:val="nil"/>
              <w:tr2bl w:val="nil"/>
            </w:tcBorders>
            <w:vAlign w:val="center"/>
          </w:tcPr>
          <w:p w14:paraId="0DFBC84B">
            <w:pPr>
              <w:widowControl/>
              <w:adjustRightInd w:val="0"/>
              <w:snapToGrid w:val="0"/>
              <w:spacing w:before="0" w:beforeLines="0" w:line="240" w:lineRule="auto"/>
              <w:jc w:val="center"/>
              <w:textAlignment w:val="center"/>
              <w:rPr>
                <w:kern w:val="0"/>
                <w:szCs w:val="21"/>
                <w:lang w:bidi="ar"/>
              </w:rPr>
            </w:pPr>
            <w:r>
              <w:rPr>
                <w:rFonts w:hint="eastAsia"/>
                <w:szCs w:val="21"/>
              </w:rPr>
              <w:t>车间抑尘水量损失</w:t>
            </w:r>
          </w:p>
        </w:tc>
        <w:tc>
          <w:tcPr>
            <w:tcW w:w="1251" w:type="pct"/>
            <w:tcBorders>
              <w:tl2br w:val="nil"/>
              <w:tr2bl w:val="nil"/>
            </w:tcBorders>
            <w:vAlign w:val="center"/>
          </w:tcPr>
          <w:p w14:paraId="0F3F93A1">
            <w:pPr>
              <w:widowControl/>
              <w:adjustRightInd w:val="0"/>
              <w:snapToGrid w:val="0"/>
              <w:spacing w:before="0" w:beforeLines="0" w:line="240" w:lineRule="auto"/>
              <w:jc w:val="center"/>
              <w:textAlignment w:val="center"/>
            </w:pPr>
            <w:r>
              <w:rPr>
                <w:rFonts w:hint="eastAsia"/>
                <w:szCs w:val="21"/>
              </w:rPr>
              <w:t>7890</w:t>
            </w:r>
          </w:p>
        </w:tc>
      </w:tr>
      <w:tr w14:paraId="67BC17A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5" w:hRule="atLeast"/>
          <w:jc w:val="center"/>
        </w:trPr>
        <w:tc>
          <w:tcPr>
            <w:tcW w:w="1248" w:type="pct"/>
            <w:tcBorders>
              <w:tl2br w:val="nil"/>
              <w:tr2bl w:val="nil"/>
            </w:tcBorders>
            <w:vAlign w:val="center"/>
          </w:tcPr>
          <w:p w14:paraId="06D6EA91">
            <w:pPr>
              <w:widowControl/>
              <w:adjustRightInd w:val="0"/>
              <w:snapToGrid w:val="0"/>
              <w:spacing w:before="0" w:beforeLines="0" w:line="240" w:lineRule="auto"/>
              <w:jc w:val="center"/>
              <w:rPr>
                <w:kern w:val="0"/>
                <w:szCs w:val="21"/>
                <w:lang w:bidi="ar"/>
              </w:rPr>
            </w:pPr>
          </w:p>
        </w:tc>
        <w:tc>
          <w:tcPr>
            <w:tcW w:w="1251" w:type="pct"/>
            <w:tcBorders>
              <w:tl2br w:val="nil"/>
              <w:tr2bl w:val="nil"/>
            </w:tcBorders>
            <w:vAlign w:val="center"/>
          </w:tcPr>
          <w:p w14:paraId="7DF1716C">
            <w:pPr>
              <w:widowControl/>
              <w:adjustRightInd w:val="0"/>
              <w:snapToGrid w:val="0"/>
              <w:spacing w:before="0" w:beforeLines="0" w:line="240" w:lineRule="auto"/>
              <w:jc w:val="center"/>
              <w:rPr>
                <w:kern w:val="0"/>
                <w:szCs w:val="21"/>
                <w:lang w:bidi="ar"/>
              </w:rPr>
            </w:pPr>
          </w:p>
        </w:tc>
        <w:tc>
          <w:tcPr>
            <w:tcW w:w="1250" w:type="pct"/>
            <w:tcBorders>
              <w:tl2br w:val="nil"/>
              <w:tr2bl w:val="nil"/>
            </w:tcBorders>
            <w:vAlign w:val="center"/>
          </w:tcPr>
          <w:p w14:paraId="329937A4">
            <w:pPr>
              <w:widowControl/>
              <w:adjustRightInd w:val="0"/>
              <w:snapToGrid w:val="0"/>
              <w:spacing w:before="0" w:beforeLines="0" w:line="240" w:lineRule="auto"/>
              <w:jc w:val="center"/>
              <w:textAlignment w:val="center"/>
              <w:rPr>
                <w:kern w:val="0"/>
                <w:szCs w:val="21"/>
                <w:lang w:bidi="ar"/>
              </w:rPr>
            </w:pPr>
            <w:r>
              <w:rPr>
                <w:rFonts w:hint="eastAsia"/>
                <w:szCs w:val="21"/>
              </w:rPr>
              <w:t>道路清洗水量损失</w:t>
            </w:r>
          </w:p>
        </w:tc>
        <w:tc>
          <w:tcPr>
            <w:tcW w:w="1251" w:type="pct"/>
            <w:tcBorders>
              <w:tl2br w:val="nil"/>
              <w:tr2bl w:val="nil"/>
            </w:tcBorders>
            <w:vAlign w:val="center"/>
          </w:tcPr>
          <w:p w14:paraId="3AF86EB6">
            <w:pPr>
              <w:widowControl/>
              <w:adjustRightInd w:val="0"/>
              <w:snapToGrid w:val="0"/>
              <w:spacing w:before="0" w:beforeLines="0" w:line="240" w:lineRule="auto"/>
              <w:jc w:val="center"/>
              <w:textAlignment w:val="center"/>
            </w:pPr>
            <w:r>
              <w:rPr>
                <w:rFonts w:hint="eastAsia"/>
                <w:szCs w:val="21"/>
              </w:rPr>
              <w:t>660</w:t>
            </w:r>
          </w:p>
        </w:tc>
      </w:tr>
      <w:tr w14:paraId="295237A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5" w:hRule="atLeast"/>
          <w:jc w:val="center"/>
        </w:trPr>
        <w:tc>
          <w:tcPr>
            <w:tcW w:w="1248" w:type="pct"/>
            <w:tcBorders>
              <w:tl2br w:val="nil"/>
              <w:tr2bl w:val="nil"/>
            </w:tcBorders>
            <w:vAlign w:val="center"/>
          </w:tcPr>
          <w:p w14:paraId="35E546B4">
            <w:pPr>
              <w:widowControl/>
              <w:adjustRightInd w:val="0"/>
              <w:snapToGrid w:val="0"/>
              <w:spacing w:before="0" w:beforeLines="0" w:line="240" w:lineRule="auto"/>
              <w:jc w:val="center"/>
              <w:rPr>
                <w:kern w:val="0"/>
                <w:szCs w:val="21"/>
                <w:lang w:bidi="ar"/>
              </w:rPr>
            </w:pPr>
          </w:p>
        </w:tc>
        <w:tc>
          <w:tcPr>
            <w:tcW w:w="1251" w:type="pct"/>
            <w:tcBorders>
              <w:tl2br w:val="nil"/>
              <w:tr2bl w:val="nil"/>
            </w:tcBorders>
            <w:vAlign w:val="center"/>
          </w:tcPr>
          <w:p w14:paraId="37D62EB9">
            <w:pPr>
              <w:widowControl/>
              <w:adjustRightInd w:val="0"/>
              <w:snapToGrid w:val="0"/>
              <w:spacing w:before="0" w:beforeLines="0" w:line="240" w:lineRule="auto"/>
              <w:jc w:val="center"/>
              <w:rPr>
                <w:kern w:val="0"/>
                <w:szCs w:val="21"/>
                <w:lang w:bidi="ar"/>
              </w:rPr>
            </w:pPr>
          </w:p>
        </w:tc>
        <w:tc>
          <w:tcPr>
            <w:tcW w:w="1250" w:type="pct"/>
            <w:tcBorders>
              <w:tl2br w:val="nil"/>
              <w:tr2bl w:val="nil"/>
            </w:tcBorders>
            <w:vAlign w:val="center"/>
          </w:tcPr>
          <w:p w14:paraId="2ECB460D">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车辆清洗</w:t>
            </w:r>
            <w:r>
              <w:rPr>
                <w:rFonts w:hint="eastAsia"/>
                <w:szCs w:val="21"/>
              </w:rPr>
              <w:t>水量损失</w:t>
            </w:r>
          </w:p>
        </w:tc>
        <w:tc>
          <w:tcPr>
            <w:tcW w:w="1251" w:type="pct"/>
            <w:tcBorders>
              <w:tl2br w:val="nil"/>
              <w:tr2bl w:val="nil"/>
            </w:tcBorders>
            <w:vAlign w:val="center"/>
          </w:tcPr>
          <w:p w14:paraId="474B2834">
            <w:pPr>
              <w:widowControl/>
              <w:adjustRightInd w:val="0"/>
              <w:snapToGrid w:val="0"/>
              <w:spacing w:before="0" w:beforeLines="0" w:line="240" w:lineRule="auto"/>
              <w:jc w:val="center"/>
              <w:textAlignment w:val="center"/>
            </w:pPr>
            <w:r>
              <w:rPr>
                <w:rFonts w:hint="eastAsia"/>
                <w:szCs w:val="21"/>
              </w:rPr>
              <w:t>900</w:t>
            </w:r>
          </w:p>
        </w:tc>
      </w:tr>
      <w:tr w14:paraId="1C784AB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5" w:hRule="atLeast"/>
          <w:jc w:val="center"/>
        </w:trPr>
        <w:tc>
          <w:tcPr>
            <w:tcW w:w="1248" w:type="pct"/>
            <w:tcBorders>
              <w:tl2br w:val="nil"/>
              <w:tr2bl w:val="nil"/>
            </w:tcBorders>
            <w:vAlign w:val="center"/>
          </w:tcPr>
          <w:p w14:paraId="6229A0A5">
            <w:pPr>
              <w:widowControl/>
              <w:adjustRightInd w:val="0"/>
              <w:snapToGrid w:val="0"/>
              <w:spacing w:before="0" w:beforeLines="0" w:line="240" w:lineRule="auto"/>
              <w:jc w:val="center"/>
              <w:rPr>
                <w:kern w:val="0"/>
                <w:szCs w:val="21"/>
                <w:lang w:bidi="ar"/>
              </w:rPr>
            </w:pPr>
          </w:p>
        </w:tc>
        <w:tc>
          <w:tcPr>
            <w:tcW w:w="1251" w:type="pct"/>
            <w:tcBorders>
              <w:tl2br w:val="nil"/>
              <w:tr2bl w:val="nil"/>
            </w:tcBorders>
            <w:vAlign w:val="center"/>
          </w:tcPr>
          <w:p w14:paraId="7204D14D">
            <w:pPr>
              <w:widowControl/>
              <w:adjustRightInd w:val="0"/>
              <w:snapToGrid w:val="0"/>
              <w:spacing w:before="0" w:beforeLines="0" w:line="240" w:lineRule="auto"/>
              <w:jc w:val="center"/>
              <w:rPr>
                <w:kern w:val="0"/>
                <w:szCs w:val="21"/>
                <w:lang w:bidi="ar"/>
              </w:rPr>
            </w:pPr>
          </w:p>
        </w:tc>
        <w:tc>
          <w:tcPr>
            <w:tcW w:w="1250" w:type="pct"/>
            <w:tcBorders>
              <w:tl2br w:val="nil"/>
              <w:tr2bl w:val="nil"/>
            </w:tcBorders>
            <w:vAlign w:val="center"/>
          </w:tcPr>
          <w:p w14:paraId="3DDE7561">
            <w:pPr>
              <w:widowControl/>
              <w:adjustRightInd w:val="0"/>
              <w:snapToGrid w:val="0"/>
              <w:spacing w:before="0" w:beforeLines="0" w:line="240" w:lineRule="auto"/>
              <w:jc w:val="center"/>
              <w:textAlignment w:val="center"/>
              <w:rPr>
                <w:szCs w:val="21"/>
              </w:rPr>
            </w:pPr>
            <w:r>
              <w:rPr>
                <w:rFonts w:hint="eastAsia"/>
                <w:szCs w:val="21"/>
              </w:rPr>
              <w:t>车间清洗水量损失</w:t>
            </w:r>
          </w:p>
        </w:tc>
        <w:tc>
          <w:tcPr>
            <w:tcW w:w="1251" w:type="pct"/>
            <w:tcBorders>
              <w:tl2br w:val="nil"/>
              <w:tr2bl w:val="nil"/>
            </w:tcBorders>
            <w:vAlign w:val="center"/>
          </w:tcPr>
          <w:p w14:paraId="1A49CE33">
            <w:pPr>
              <w:widowControl/>
              <w:adjustRightInd w:val="0"/>
              <w:snapToGrid w:val="0"/>
              <w:spacing w:before="0" w:beforeLines="0" w:line="240" w:lineRule="auto"/>
              <w:jc w:val="center"/>
              <w:textAlignment w:val="center"/>
              <w:rPr>
                <w:szCs w:val="21"/>
              </w:rPr>
            </w:pPr>
            <w:r>
              <w:rPr>
                <w:rFonts w:hint="eastAsia"/>
                <w:szCs w:val="21"/>
              </w:rPr>
              <w:t>360</w:t>
            </w:r>
          </w:p>
        </w:tc>
      </w:tr>
      <w:tr w14:paraId="43AABB3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5" w:hRule="atLeast"/>
          <w:jc w:val="center"/>
        </w:trPr>
        <w:tc>
          <w:tcPr>
            <w:tcW w:w="1248" w:type="pct"/>
            <w:tcBorders>
              <w:tl2br w:val="nil"/>
              <w:tr2bl w:val="nil"/>
            </w:tcBorders>
            <w:vAlign w:val="center"/>
          </w:tcPr>
          <w:p w14:paraId="6C2DED0E">
            <w:pPr>
              <w:widowControl/>
              <w:adjustRightInd w:val="0"/>
              <w:snapToGrid w:val="0"/>
              <w:spacing w:before="0" w:beforeLines="0" w:line="240" w:lineRule="auto"/>
              <w:jc w:val="center"/>
              <w:rPr>
                <w:kern w:val="0"/>
                <w:szCs w:val="21"/>
                <w:lang w:bidi="ar"/>
              </w:rPr>
            </w:pPr>
          </w:p>
        </w:tc>
        <w:tc>
          <w:tcPr>
            <w:tcW w:w="1251" w:type="pct"/>
            <w:tcBorders>
              <w:tl2br w:val="nil"/>
              <w:tr2bl w:val="nil"/>
            </w:tcBorders>
            <w:vAlign w:val="center"/>
          </w:tcPr>
          <w:p w14:paraId="38EC2C85">
            <w:pPr>
              <w:widowControl/>
              <w:adjustRightInd w:val="0"/>
              <w:snapToGrid w:val="0"/>
              <w:spacing w:before="0" w:beforeLines="0" w:line="240" w:lineRule="auto"/>
              <w:jc w:val="center"/>
              <w:rPr>
                <w:szCs w:val="21"/>
              </w:rPr>
            </w:pPr>
          </w:p>
        </w:tc>
        <w:tc>
          <w:tcPr>
            <w:tcW w:w="1250" w:type="pct"/>
            <w:tcBorders>
              <w:tl2br w:val="nil"/>
              <w:tr2bl w:val="nil"/>
            </w:tcBorders>
            <w:vAlign w:val="center"/>
          </w:tcPr>
          <w:p w14:paraId="5774BCA9">
            <w:pPr>
              <w:widowControl/>
              <w:adjustRightInd w:val="0"/>
              <w:snapToGrid w:val="0"/>
              <w:spacing w:before="0" w:beforeLines="0" w:line="240" w:lineRule="auto"/>
              <w:jc w:val="center"/>
              <w:textAlignment w:val="center"/>
              <w:rPr>
                <w:szCs w:val="21"/>
              </w:rPr>
            </w:pPr>
            <w:r>
              <w:rPr>
                <w:rFonts w:hint="eastAsia"/>
                <w:szCs w:val="21"/>
              </w:rPr>
              <w:t>粉尘</w:t>
            </w:r>
          </w:p>
        </w:tc>
        <w:tc>
          <w:tcPr>
            <w:tcW w:w="1251" w:type="pct"/>
            <w:tcBorders>
              <w:tl2br w:val="nil"/>
              <w:tr2bl w:val="nil"/>
            </w:tcBorders>
            <w:vAlign w:val="center"/>
          </w:tcPr>
          <w:p w14:paraId="34769123">
            <w:pPr>
              <w:widowControl/>
              <w:adjustRightInd w:val="0"/>
              <w:snapToGrid w:val="0"/>
              <w:spacing w:before="0" w:beforeLines="0" w:line="240" w:lineRule="auto"/>
              <w:jc w:val="center"/>
              <w:textAlignment w:val="center"/>
              <w:rPr>
                <w:szCs w:val="21"/>
              </w:rPr>
            </w:pPr>
            <w:r>
              <w:rPr>
                <w:rFonts w:hint="eastAsia"/>
                <w:szCs w:val="21"/>
              </w:rPr>
              <w:t>3723</w:t>
            </w:r>
          </w:p>
        </w:tc>
      </w:tr>
      <w:tr w14:paraId="738E0AB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5" w:hRule="atLeast"/>
          <w:jc w:val="center"/>
        </w:trPr>
        <w:tc>
          <w:tcPr>
            <w:tcW w:w="1248" w:type="pct"/>
            <w:tcBorders>
              <w:tl2br w:val="nil"/>
              <w:tr2bl w:val="nil"/>
            </w:tcBorders>
            <w:vAlign w:val="center"/>
          </w:tcPr>
          <w:p w14:paraId="6F0427C2">
            <w:pPr>
              <w:widowControl/>
              <w:adjustRightInd w:val="0"/>
              <w:snapToGrid w:val="0"/>
              <w:spacing w:before="0" w:beforeLines="0" w:line="240" w:lineRule="auto"/>
              <w:jc w:val="center"/>
              <w:rPr>
                <w:kern w:val="0"/>
                <w:szCs w:val="21"/>
                <w:lang w:bidi="ar"/>
              </w:rPr>
            </w:pPr>
          </w:p>
        </w:tc>
        <w:tc>
          <w:tcPr>
            <w:tcW w:w="1251" w:type="pct"/>
            <w:tcBorders>
              <w:tl2br w:val="nil"/>
              <w:tr2bl w:val="nil"/>
            </w:tcBorders>
            <w:vAlign w:val="center"/>
          </w:tcPr>
          <w:p w14:paraId="0D763DFB">
            <w:pPr>
              <w:widowControl/>
              <w:adjustRightInd w:val="0"/>
              <w:snapToGrid w:val="0"/>
              <w:spacing w:before="0" w:beforeLines="0" w:line="240" w:lineRule="auto"/>
              <w:jc w:val="center"/>
              <w:rPr>
                <w:kern w:val="0"/>
                <w:szCs w:val="21"/>
                <w:lang w:bidi="ar"/>
              </w:rPr>
            </w:pPr>
          </w:p>
        </w:tc>
        <w:tc>
          <w:tcPr>
            <w:tcW w:w="1250" w:type="pct"/>
            <w:tcBorders>
              <w:tl2br w:val="nil"/>
              <w:tr2bl w:val="nil"/>
            </w:tcBorders>
            <w:vAlign w:val="center"/>
          </w:tcPr>
          <w:p w14:paraId="0C348D72">
            <w:pPr>
              <w:widowControl/>
              <w:adjustRightInd w:val="0"/>
              <w:snapToGrid w:val="0"/>
              <w:spacing w:before="0" w:beforeLines="0" w:line="240" w:lineRule="auto"/>
              <w:jc w:val="center"/>
              <w:textAlignment w:val="center"/>
              <w:rPr>
                <w:szCs w:val="21"/>
              </w:rPr>
            </w:pPr>
            <w:r>
              <w:rPr>
                <w:rFonts w:hint="eastAsia"/>
                <w:szCs w:val="21"/>
              </w:rPr>
              <w:t>选矿损失水量</w:t>
            </w:r>
          </w:p>
        </w:tc>
        <w:tc>
          <w:tcPr>
            <w:tcW w:w="1251" w:type="pct"/>
            <w:tcBorders>
              <w:tl2br w:val="nil"/>
              <w:tr2bl w:val="nil"/>
            </w:tcBorders>
            <w:vAlign w:val="center"/>
          </w:tcPr>
          <w:p w14:paraId="5722F7EC">
            <w:pPr>
              <w:widowControl/>
              <w:adjustRightInd w:val="0"/>
              <w:snapToGrid w:val="0"/>
              <w:spacing w:before="0" w:beforeLines="0" w:line="240" w:lineRule="auto"/>
              <w:jc w:val="center"/>
              <w:textAlignment w:val="center"/>
              <w:rPr>
                <w:szCs w:val="21"/>
              </w:rPr>
            </w:pPr>
            <w:r>
              <w:rPr>
                <w:rFonts w:hint="eastAsia"/>
                <w:szCs w:val="21"/>
              </w:rPr>
              <w:t>47400</w:t>
            </w:r>
          </w:p>
        </w:tc>
      </w:tr>
      <w:tr w14:paraId="597962C9">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5" w:hRule="atLeast"/>
          <w:jc w:val="center"/>
        </w:trPr>
        <w:tc>
          <w:tcPr>
            <w:tcW w:w="1248" w:type="pct"/>
            <w:tcBorders>
              <w:tl2br w:val="nil"/>
              <w:tr2bl w:val="nil"/>
            </w:tcBorders>
            <w:vAlign w:val="center"/>
          </w:tcPr>
          <w:p w14:paraId="2B3D596F">
            <w:pPr>
              <w:widowControl/>
              <w:adjustRightInd w:val="0"/>
              <w:snapToGrid w:val="0"/>
              <w:spacing w:before="0" w:beforeLines="0" w:line="240" w:lineRule="auto"/>
              <w:jc w:val="center"/>
              <w:textAlignment w:val="center"/>
              <w:rPr>
                <w:szCs w:val="21"/>
              </w:rPr>
            </w:pPr>
            <w:r>
              <w:rPr>
                <w:kern w:val="0"/>
                <w:szCs w:val="21"/>
                <w:lang w:bidi="ar"/>
              </w:rPr>
              <w:t>合计</w:t>
            </w:r>
          </w:p>
        </w:tc>
        <w:tc>
          <w:tcPr>
            <w:tcW w:w="1251" w:type="pct"/>
            <w:tcBorders>
              <w:tl2br w:val="nil"/>
              <w:tr2bl w:val="nil"/>
            </w:tcBorders>
            <w:vAlign w:val="center"/>
          </w:tcPr>
          <w:p w14:paraId="6B9CBA15">
            <w:pPr>
              <w:widowControl/>
              <w:adjustRightInd w:val="0"/>
              <w:snapToGrid w:val="0"/>
              <w:spacing w:before="0" w:beforeLines="0" w:line="240" w:lineRule="auto"/>
              <w:jc w:val="center"/>
              <w:textAlignment w:val="center"/>
              <w:rPr>
                <w:szCs w:val="21"/>
              </w:rPr>
            </w:pPr>
            <w:r>
              <w:rPr>
                <w:rFonts w:hint="eastAsia"/>
                <w:kern w:val="0"/>
                <w:szCs w:val="21"/>
                <w:lang w:bidi="ar"/>
              </w:rPr>
              <w:t>3152630</w:t>
            </w:r>
          </w:p>
        </w:tc>
        <w:tc>
          <w:tcPr>
            <w:tcW w:w="1250" w:type="pct"/>
            <w:tcBorders>
              <w:tl2br w:val="nil"/>
              <w:tr2bl w:val="nil"/>
            </w:tcBorders>
            <w:vAlign w:val="center"/>
          </w:tcPr>
          <w:p w14:paraId="769BB1C2">
            <w:pPr>
              <w:widowControl/>
              <w:adjustRightInd w:val="0"/>
              <w:snapToGrid w:val="0"/>
              <w:spacing w:before="0" w:beforeLines="0" w:line="240" w:lineRule="auto"/>
              <w:jc w:val="center"/>
              <w:textAlignment w:val="center"/>
              <w:rPr>
                <w:szCs w:val="21"/>
              </w:rPr>
            </w:pPr>
            <w:r>
              <w:rPr>
                <w:rFonts w:hint="eastAsia"/>
                <w:kern w:val="0"/>
                <w:szCs w:val="21"/>
                <w:lang w:bidi="ar"/>
              </w:rPr>
              <w:t>合计</w:t>
            </w:r>
          </w:p>
        </w:tc>
        <w:tc>
          <w:tcPr>
            <w:tcW w:w="1251" w:type="pct"/>
            <w:tcBorders>
              <w:tl2br w:val="nil"/>
              <w:tr2bl w:val="nil"/>
            </w:tcBorders>
            <w:vAlign w:val="center"/>
          </w:tcPr>
          <w:p w14:paraId="4DFF62AD">
            <w:pPr>
              <w:widowControl/>
              <w:adjustRightInd w:val="0"/>
              <w:snapToGrid w:val="0"/>
              <w:spacing w:before="0" w:beforeLines="0" w:line="240" w:lineRule="auto"/>
              <w:jc w:val="center"/>
              <w:textAlignment w:val="center"/>
              <w:rPr>
                <w:szCs w:val="21"/>
              </w:rPr>
            </w:pPr>
            <w:r>
              <w:rPr>
                <w:kern w:val="0"/>
                <w:szCs w:val="21"/>
                <w:lang w:bidi="ar"/>
              </w:rPr>
              <w:fldChar w:fldCharType="begin"/>
            </w:r>
            <w:r>
              <w:rPr>
                <w:kern w:val="0"/>
                <w:szCs w:val="21"/>
                <w:lang w:bidi="ar"/>
              </w:rPr>
              <w:instrText xml:space="preserve"> =SUM(ABOVE) </w:instrText>
            </w:r>
            <w:r>
              <w:rPr>
                <w:kern w:val="0"/>
                <w:szCs w:val="21"/>
                <w:lang w:bidi="ar"/>
              </w:rPr>
              <w:fldChar w:fldCharType="separate"/>
            </w:r>
            <w:r>
              <w:rPr>
                <w:kern w:val="0"/>
                <w:szCs w:val="21"/>
                <w:lang w:bidi="ar"/>
              </w:rPr>
              <w:t>3152630</w:t>
            </w:r>
            <w:r>
              <w:rPr>
                <w:kern w:val="0"/>
                <w:szCs w:val="21"/>
                <w:lang w:bidi="ar"/>
              </w:rPr>
              <w:fldChar w:fldCharType="end"/>
            </w:r>
          </w:p>
        </w:tc>
      </w:tr>
    </w:tbl>
    <w:p w14:paraId="20CF8DFE">
      <w:pPr>
        <w:pStyle w:val="135"/>
        <w:snapToGrid w:val="0"/>
        <w:spacing w:before="78" w:line="360" w:lineRule="auto"/>
        <w:ind w:firstLine="482" w:firstLineChars="200"/>
        <w:jc w:val="left"/>
        <w:rPr>
          <w:b/>
          <w:bCs/>
          <w:kern w:val="0"/>
          <w:sz w:val="24"/>
          <w:szCs w:val="24"/>
        </w:rPr>
      </w:pPr>
      <w:r>
        <w:rPr>
          <w:rFonts w:hint="eastAsia"/>
          <w:b/>
          <w:bCs/>
          <w:kern w:val="0"/>
          <w:sz w:val="24"/>
          <w:szCs w:val="24"/>
        </w:rPr>
        <w:t>（2）</w:t>
      </w:r>
      <w:r>
        <w:rPr>
          <w:b/>
          <w:bCs/>
          <w:kern w:val="0"/>
          <w:sz w:val="24"/>
          <w:szCs w:val="24"/>
        </w:rPr>
        <w:t>铁元素平衡</w:t>
      </w:r>
    </w:p>
    <w:p w14:paraId="5586FC00">
      <w:pPr>
        <w:spacing w:before="78" w:after="156" w:afterLines="50" w:line="360" w:lineRule="auto"/>
        <w:ind w:firstLine="480" w:firstLineChars="200"/>
        <w:rPr>
          <w:sz w:val="24"/>
        </w:rPr>
      </w:pPr>
      <w:r>
        <w:rPr>
          <w:sz w:val="24"/>
        </w:rPr>
        <w:t>根据项目工艺流程及物料平衡，铁元素平衡</w:t>
      </w:r>
      <w:r>
        <w:rPr>
          <w:rFonts w:hint="eastAsia"/>
          <w:sz w:val="24"/>
        </w:rPr>
        <w:t>见表3.1-17。</w:t>
      </w:r>
    </w:p>
    <w:p w14:paraId="367E64B7">
      <w:pPr>
        <w:pStyle w:val="6"/>
        <w:tabs>
          <w:tab w:val="left" w:pos="540"/>
        </w:tabs>
        <w:adjustRightInd w:val="0"/>
        <w:snapToGrid w:val="0"/>
        <w:spacing w:line="240" w:lineRule="auto"/>
        <w:ind w:firstLine="0" w:firstLineChars="0"/>
        <w:jc w:val="center"/>
        <w:rPr>
          <w:rFonts w:ascii="Times New Roman" w:hAnsi="Times New Roman"/>
          <w:b/>
          <w:bCs/>
          <w:sz w:val="21"/>
          <w:szCs w:val="21"/>
        </w:rPr>
      </w:pPr>
      <w:r>
        <w:rPr>
          <w:rFonts w:ascii="Times New Roman" w:hAnsi="Times New Roman"/>
          <w:b/>
          <w:bCs/>
          <w:sz w:val="21"/>
          <w:szCs w:val="21"/>
        </w:rPr>
        <w:t>表3.</w:t>
      </w:r>
      <w:r>
        <w:rPr>
          <w:rFonts w:hint="eastAsia" w:ascii="Times New Roman" w:hAnsi="Times New Roman"/>
          <w:b/>
          <w:bCs/>
          <w:sz w:val="21"/>
          <w:szCs w:val="21"/>
        </w:rPr>
        <w:t>1</w:t>
      </w:r>
      <w:r>
        <w:rPr>
          <w:rFonts w:ascii="Times New Roman" w:hAnsi="Times New Roman"/>
          <w:b/>
          <w:bCs/>
          <w:sz w:val="21"/>
          <w:szCs w:val="21"/>
        </w:rPr>
        <w:t>-1</w:t>
      </w:r>
      <w:r>
        <w:rPr>
          <w:rFonts w:hint="eastAsia" w:ascii="Times New Roman" w:hAnsi="Times New Roman"/>
          <w:b/>
          <w:bCs/>
          <w:sz w:val="21"/>
          <w:szCs w:val="21"/>
        </w:rPr>
        <w:t xml:space="preserve">7    </w:t>
      </w:r>
      <w:r>
        <w:rPr>
          <w:rFonts w:ascii="Times New Roman" w:hAnsi="Times New Roman"/>
          <w:b/>
          <w:bCs/>
          <w:sz w:val="21"/>
          <w:szCs w:val="21"/>
        </w:rPr>
        <w:t xml:space="preserve">  铁元素（全铁）平衡分析表</w:t>
      </w:r>
    </w:p>
    <w:tbl>
      <w:tblPr>
        <w:tblStyle w:val="89"/>
        <w:tblW w:w="5026" w:type="pct"/>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108" w:type="dxa"/>
          <w:bottom w:w="0" w:type="dxa"/>
          <w:right w:w="108" w:type="dxa"/>
        </w:tblCellMar>
      </w:tblPr>
      <w:tblGrid>
        <w:gridCol w:w="1276"/>
        <w:gridCol w:w="1207"/>
        <w:gridCol w:w="1265"/>
        <w:gridCol w:w="1293"/>
        <w:gridCol w:w="1421"/>
        <w:gridCol w:w="1893"/>
      </w:tblGrid>
      <w:tr w14:paraId="78F17DC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95" w:hRule="atLeast"/>
        </w:trPr>
        <w:tc>
          <w:tcPr>
            <w:tcW w:w="3748" w:type="dxa"/>
            <w:gridSpan w:val="3"/>
            <w:tcBorders>
              <w:tl2br w:val="nil"/>
              <w:tr2bl w:val="nil"/>
            </w:tcBorders>
            <w:vAlign w:val="center"/>
          </w:tcPr>
          <w:p w14:paraId="29EA9CB8">
            <w:pPr>
              <w:widowControl/>
              <w:adjustRightInd w:val="0"/>
              <w:snapToGrid w:val="0"/>
              <w:spacing w:before="0" w:beforeLines="0" w:line="240" w:lineRule="auto"/>
              <w:jc w:val="center"/>
              <w:textAlignment w:val="center"/>
              <w:rPr>
                <w:szCs w:val="21"/>
              </w:rPr>
            </w:pPr>
            <w:r>
              <w:rPr>
                <w:kern w:val="0"/>
                <w:szCs w:val="21"/>
                <w:lang w:bidi="ar"/>
              </w:rPr>
              <w:t>投入</w:t>
            </w:r>
          </w:p>
        </w:tc>
        <w:tc>
          <w:tcPr>
            <w:tcW w:w="4607" w:type="dxa"/>
            <w:gridSpan w:val="3"/>
            <w:tcBorders>
              <w:tl2br w:val="nil"/>
              <w:tr2bl w:val="nil"/>
            </w:tcBorders>
            <w:vAlign w:val="center"/>
          </w:tcPr>
          <w:p w14:paraId="288B0953">
            <w:pPr>
              <w:widowControl/>
              <w:adjustRightInd w:val="0"/>
              <w:snapToGrid w:val="0"/>
              <w:spacing w:before="0" w:beforeLines="0" w:line="240" w:lineRule="auto"/>
              <w:jc w:val="center"/>
              <w:textAlignment w:val="center"/>
              <w:rPr>
                <w:kern w:val="0"/>
                <w:szCs w:val="21"/>
                <w:lang w:bidi="ar"/>
              </w:rPr>
            </w:pPr>
            <w:r>
              <w:rPr>
                <w:kern w:val="0"/>
                <w:szCs w:val="21"/>
                <w:lang w:bidi="ar"/>
              </w:rPr>
              <w:t>产出</w:t>
            </w:r>
          </w:p>
        </w:tc>
      </w:tr>
      <w:tr w14:paraId="0DCBEDE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95" w:hRule="atLeast"/>
        </w:trPr>
        <w:tc>
          <w:tcPr>
            <w:tcW w:w="1276" w:type="dxa"/>
            <w:tcBorders>
              <w:tl2br w:val="nil"/>
              <w:tr2bl w:val="nil"/>
            </w:tcBorders>
            <w:vAlign w:val="center"/>
          </w:tcPr>
          <w:p w14:paraId="637255B0">
            <w:pPr>
              <w:widowControl/>
              <w:adjustRightInd w:val="0"/>
              <w:snapToGrid w:val="0"/>
              <w:spacing w:before="0" w:beforeLines="0" w:line="240" w:lineRule="auto"/>
              <w:jc w:val="center"/>
              <w:textAlignment w:val="center"/>
              <w:rPr>
                <w:szCs w:val="21"/>
              </w:rPr>
            </w:pPr>
            <w:r>
              <w:rPr>
                <w:kern w:val="0"/>
                <w:szCs w:val="21"/>
                <w:lang w:bidi="ar"/>
              </w:rPr>
              <w:t>物料名称</w:t>
            </w:r>
          </w:p>
        </w:tc>
        <w:tc>
          <w:tcPr>
            <w:tcW w:w="1207" w:type="dxa"/>
            <w:tcBorders>
              <w:tl2br w:val="nil"/>
              <w:tr2bl w:val="nil"/>
            </w:tcBorders>
            <w:vAlign w:val="center"/>
          </w:tcPr>
          <w:p w14:paraId="344E3574">
            <w:pPr>
              <w:widowControl/>
              <w:adjustRightInd w:val="0"/>
              <w:snapToGrid w:val="0"/>
              <w:spacing w:before="0" w:beforeLines="0" w:line="240" w:lineRule="auto"/>
              <w:jc w:val="center"/>
              <w:textAlignment w:val="center"/>
              <w:rPr>
                <w:szCs w:val="21"/>
              </w:rPr>
            </w:pPr>
            <w:r>
              <w:rPr>
                <w:kern w:val="0"/>
                <w:szCs w:val="21"/>
                <w:lang w:bidi="ar"/>
              </w:rPr>
              <w:t>品位%</w:t>
            </w:r>
          </w:p>
        </w:tc>
        <w:tc>
          <w:tcPr>
            <w:tcW w:w="1265" w:type="dxa"/>
            <w:tcBorders>
              <w:tl2br w:val="nil"/>
              <w:tr2bl w:val="nil"/>
            </w:tcBorders>
            <w:vAlign w:val="center"/>
          </w:tcPr>
          <w:p w14:paraId="376567ED">
            <w:pPr>
              <w:widowControl/>
              <w:adjustRightInd w:val="0"/>
              <w:snapToGrid w:val="0"/>
              <w:spacing w:before="0" w:beforeLines="0" w:line="240" w:lineRule="auto"/>
              <w:jc w:val="center"/>
              <w:textAlignment w:val="center"/>
              <w:rPr>
                <w:szCs w:val="21"/>
              </w:rPr>
            </w:pPr>
            <w:r>
              <w:rPr>
                <w:kern w:val="0"/>
                <w:szCs w:val="21"/>
                <w:lang w:bidi="ar"/>
              </w:rPr>
              <w:t>投入量(t/a)</w:t>
            </w:r>
          </w:p>
        </w:tc>
        <w:tc>
          <w:tcPr>
            <w:tcW w:w="1293" w:type="dxa"/>
            <w:tcBorders>
              <w:tl2br w:val="nil"/>
              <w:tr2bl w:val="nil"/>
            </w:tcBorders>
            <w:vAlign w:val="center"/>
          </w:tcPr>
          <w:p w14:paraId="4850BF32">
            <w:pPr>
              <w:widowControl/>
              <w:adjustRightInd w:val="0"/>
              <w:snapToGrid w:val="0"/>
              <w:spacing w:before="0" w:beforeLines="0" w:line="240" w:lineRule="auto"/>
              <w:jc w:val="center"/>
              <w:textAlignment w:val="center"/>
              <w:rPr>
                <w:szCs w:val="21"/>
              </w:rPr>
            </w:pPr>
            <w:r>
              <w:rPr>
                <w:kern w:val="0"/>
                <w:szCs w:val="21"/>
                <w:lang w:bidi="ar"/>
              </w:rPr>
              <w:t>物料名称</w:t>
            </w:r>
          </w:p>
        </w:tc>
        <w:tc>
          <w:tcPr>
            <w:tcW w:w="1421" w:type="dxa"/>
            <w:tcBorders>
              <w:tl2br w:val="nil"/>
              <w:tr2bl w:val="nil"/>
            </w:tcBorders>
            <w:vAlign w:val="center"/>
          </w:tcPr>
          <w:p w14:paraId="5CC3C1AC">
            <w:pPr>
              <w:widowControl/>
              <w:adjustRightInd w:val="0"/>
              <w:snapToGrid w:val="0"/>
              <w:spacing w:before="0" w:beforeLines="0" w:line="240" w:lineRule="auto"/>
              <w:jc w:val="center"/>
              <w:textAlignment w:val="center"/>
              <w:rPr>
                <w:szCs w:val="21"/>
              </w:rPr>
            </w:pPr>
            <w:r>
              <w:rPr>
                <w:kern w:val="0"/>
                <w:szCs w:val="21"/>
                <w:lang w:bidi="ar"/>
              </w:rPr>
              <w:t>品位%</w:t>
            </w:r>
          </w:p>
        </w:tc>
        <w:tc>
          <w:tcPr>
            <w:tcW w:w="1893" w:type="dxa"/>
            <w:tcBorders>
              <w:tl2br w:val="nil"/>
              <w:tr2bl w:val="nil"/>
            </w:tcBorders>
            <w:vAlign w:val="center"/>
          </w:tcPr>
          <w:p w14:paraId="5CE9BB86">
            <w:pPr>
              <w:widowControl/>
              <w:adjustRightInd w:val="0"/>
              <w:snapToGrid w:val="0"/>
              <w:spacing w:before="0" w:beforeLines="0" w:line="240" w:lineRule="auto"/>
              <w:jc w:val="center"/>
              <w:textAlignment w:val="center"/>
              <w:rPr>
                <w:szCs w:val="21"/>
              </w:rPr>
            </w:pPr>
            <w:r>
              <w:rPr>
                <w:kern w:val="0"/>
                <w:szCs w:val="21"/>
                <w:lang w:bidi="ar"/>
              </w:rPr>
              <w:t>产出量(t/a)</w:t>
            </w:r>
          </w:p>
        </w:tc>
      </w:tr>
      <w:tr w14:paraId="2E60914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95" w:hRule="atLeast"/>
        </w:trPr>
        <w:tc>
          <w:tcPr>
            <w:tcW w:w="1276" w:type="dxa"/>
            <w:tcBorders>
              <w:tl2br w:val="nil"/>
              <w:tr2bl w:val="nil"/>
            </w:tcBorders>
            <w:vAlign w:val="center"/>
          </w:tcPr>
          <w:p w14:paraId="63738CAA">
            <w:pPr>
              <w:widowControl/>
              <w:adjustRightInd w:val="0"/>
              <w:snapToGrid w:val="0"/>
              <w:spacing w:before="0" w:beforeLines="0" w:line="240" w:lineRule="auto"/>
              <w:jc w:val="center"/>
              <w:textAlignment w:val="center"/>
              <w:rPr>
                <w:szCs w:val="21"/>
              </w:rPr>
            </w:pPr>
            <w:r>
              <w:rPr>
                <w:rFonts w:hint="eastAsia"/>
                <w:kern w:val="0"/>
                <w:szCs w:val="21"/>
                <w:lang w:bidi="ar"/>
              </w:rPr>
              <w:t>尾矿、废石</w:t>
            </w:r>
          </w:p>
        </w:tc>
        <w:tc>
          <w:tcPr>
            <w:tcW w:w="1207" w:type="dxa"/>
            <w:tcBorders>
              <w:tl2br w:val="nil"/>
              <w:tr2bl w:val="nil"/>
            </w:tcBorders>
            <w:vAlign w:val="center"/>
          </w:tcPr>
          <w:p w14:paraId="62E8415A">
            <w:pPr>
              <w:widowControl/>
              <w:adjustRightInd w:val="0"/>
              <w:snapToGrid w:val="0"/>
              <w:spacing w:before="0" w:beforeLines="0" w:line="240" w:lineRule="auto"/>
              <w:jc w:val="center"/>
              <w:textAlignment w:val="center"/>
              <w:rPr>
                <w:szCs w:val="21"/>
              </w:rPr>
            </w:pPr>
            <w:r>
              <w:rPr>
                <w:kern w:val="0"/>
                <w:szCs w:val="21"/>
                <w:lang w:bidi="ar"/>
              </w:rPr>
              <w:t>8.</w:t>
            </w:r>
            <w:r>
              <w:rPr>
                <w:rFonts w:hint="eastAsia"/>
                <w:kern w:val="0"/>
                <w:szCs w:val="21"/>
                <w:lang w:bidi="ar"/>
              </w:rPr>
              <w:t>389</w:t>
            </w:r>
          </w:p>
        </w:tc>
        <w:tc>
          <w:tcPr>
            <w:tcW w:w="1265" w:type="dxa"/>
            <w:tcBorders>
              <w:tl2br w:val="nil"/>
              <w:tr2bl w:val="nil"/>
            </w:tcBorders>
            <w:vAlign w:val="center"/>
          </w:tcPr>
          <w:p w14:paraId="0320139C">
            <w:pPr>
              <w:widowControl/>
              <w:adjustRightInd w:val="0"/>
              <w:snapToGrid w:val="0"/>
              <w:spacing w:before="0" w:beforeLines="0" w:line="240" w:lineRule="auto"/>
              <w:jc w:val="center"/>
              <w:textAlignment w:val="center"/>
              <w:rPr>
                <w:szCs w:val="21"/>
              </w:rPr>
            </w:pPr>
            <w:r>
              <w:rPr>
                <w:rFonts w:hint="eastAsia"/>
                <w:kern w:val="0"/>
                <w:szCs w:val="21"/>
                <w:lang w:bidi="ar"/>
              </w:rPr>
              <w:t>251670</w:t>
            </w:r>
          </w:p>
        </w:tc>
        <w:tc>
          <w:tcPr>
            <w:tcW w:w="1293" w:type="dxa"/>
            <w:tcBorders>
              <w:tl2br w:val="nil"/>
              <w:tr2bl w:val="nil"/>
            </w:tcBorders>
            <w:vAlign w:val="center"/>
          </w:tcPr>
          <w:p w14:paraId="009CE918">
            <w:pPr>
              <w:widowControl/>
              <w:adjustRightInd w:val="0"/>
              <w:snapToGrid w:val="0"/>
              <w:spacing w:before="0" w:beforeLines="0" w:line="240" w:lineRule="auto"/>
              <w:jc w:val="center"/>
              <w:textAlignment w:val="center"/>
              <w:rPr>
                <w:szCs w:val="21"/>
              </w:rPr>
            </w:pPr>
            <w:r>
              <w:rPr>
                <w:kern w:val="0"/>
                <w:szCs w:val="21"/>
                <w:lang w:bidi="ar"/>
              </w:rPr>
              <w:t>机制砂</w:t>
            </w:r>
          </w:p>
        </w:tc>
        <w:tc>
          <w:tcPr>
            <w:tcW w:w="1421" w:type="dxa"/>
            <w:tcBorders>
              <w:tl2br w:val="nil"/>
              <w:tr2bl w:val="nil"/>
            </w:tcBorders>
            <w:vAlign w:val="center"/>
          </w:tcPr>
          <w:p w14:paraId="1EA6F1A6">
            <w:pPr>
              <w:widowControl/>
              <w:adjustRightInd w:val="0"/>
              <w:snapToGrid w:val="0"/>
              <w:spacing w:before="0" w:beforeLines="0" w:line="240" w:lineRule="auto"/>
              <w:jc w:val="center"/>
              <w:textAlignment w:val="center"/>
              <w:rPr>
                <w:szCs w:val="21"/>
              </w:rPr>
            </w:pPr>
            <w:r>
              <w:rPr>
                <w:kern w:val="0"/>
                <w:szCs w:val="21"/>
                <w:lang w:bidi="ar"/>
              </w:rPr>
              <w:t>2.8</w:t>
            </w:r>
          </w:p>
        </w:tc>
        <w:tc>
          <w:tcPr>
            <w:tcW w:w="1893" w:type="dxa"/>
            <w:tcBorders>
              <w:tl2br w:val="nil"/>
              <w:tr2bl w:val="nil"/>
            </w:tcBorders>
            <w:vAlign w:val="center"/>
          </w:tcPr>
          <w:p w14:paraId="05913310">
            <w:pPr>
              <w:widowControl/>
              <w:adjustRightInd w:val="0"/>
              <w:snapToGrid w:val="0"/>
              <w:spacing w:before="0" w:beforeLines="0" w:line="240" w:lineRule="auto"/>
              <w:jc w:val="center"/>
              <w:textAlignment w:val="center"/>
              <w:rPr>
                <w:szCs w:val="21"/>
              </w:rPr>
            </w:pPr>
            <w:r>
              <w:rPr>
                <w:szCs w:val="21"/>
              </w:rPr>
              <w:t>44800</w:t>
            </w:r>
          </w:p>
        </w:tc>
      </w:tr>
      <w:tr w14:paraId="60240FF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95" w:hRule="atLeast"/>
        </w:trPr>
        <w:tc>
          <w:tcPr>
            <w:tcW w:w="1276" w:type="dxa"/>
            <w:tcBorders>
              <w:tl2br w:val="nil"/>
              <w:tr2bl w:val="nil"/>
            </w:tcBorders>
            <w:vAlign w:val="center"/>
          </w:tcPr>
          <w:p w14:paraId="49B1B27C">
            <w:pPr>
              <w:widowControl/>
              <w:adjustRightInd w:val="0"/>
              <w:snapToGrid w:val="0"/>
              <w:spacing w:before="0" w:beforeLines="0" w:line="240" w:lineRule="auto"/>
              <w:jc w:val="center"/>
              <w:rPr>
                <w:szCs w:val="21"/>
              </w:rPr>
            </w:pPr>
            <w:r>
              <w:rPr>
                <w:kern w:val="0"/>
                <w:szCs w:val="21"/>
                <w:lang w:bidi="ar"/>
              </w:rPr>
              <w:t>铁球</w:t>
            </w:r>
          </w:p>
        </w:tc>
        <w:tc>
          <w:tcPr>
            <w:tcW w:w="1207" w:type="dxa"/>
            <w:tcBorders>
              <w:tl2br w:val="nil"/>
              <w:tr2bl w:val="nil"/>
            </w:tcBorders>
            <w:vAlign w:val="center"/>
          </w:tcPr>
          <w:p w14:paraId="411919E6">
            <w:pPr>
              <w:widowControl/>
              <w:adjustRightInd w:val="0"/>
              <w:snapToGrid w:val="0"/>
              <w:spacing w:before="0" w:beforeLines="0" w:line="240" w:lineRule="auto"/>
              <w:jc w:val="center"/>
              <w:rPr>
                <w:szCs w:val="21"/>
              </w:rPr>
            </w:pPr>
            <w:r>
              <w:rPr>
                <w:kern w:val="0"/>
                <w:szCs w:val="21"/>
                <w:lang w:bidi="ar"/>
              </w:rPr>
              <w:t>99</w:t>
            </w:r>
          </w:p>
        </w:tc>
        <w:tc>
          <w:tcPr>
            <w:tcW w:w="1265" w:type="dxa"/>
            <w:tcBorders>
              <w:tl2br w:val="nil"/>
              <w:tr2bl w:val="nil"/>
            </w:tcBorders>
            <w:vAlign w:val="center"/>
          </w:tcPr>
          <w:p w14:paraId="7B035C6D">
            <w:pPr>
              <w:widowControl/>
              <w:adjustRightInd w:val="0"/>
              <w:snapToGrid w:val="0"/>
              <w:spacing w:before="0" w:beforeLines="0" w:line="240" w:lineRule="auto"/>
              <w:jc w:val="center"/>
              <w:rPr>
                <w:szCs w:val="21"/>
              </w:rPr>
            </w:pPr>
            <w:r>
              <w:rPr>
                <w:rFonts w:hint="eastAsia"/>
                <w:kern w:val="0"/>
                <w:szCs w:val="21"/>
                <w:lang w:bidi="ar"/>
              </w:rPr>
              <w:t>257</w:t>
            </w:r>
          </w:p>
        </w:tc>
        <w:tc>
          <w:tcPr>
            <w:tcW w:w="1293" w:type="dxa"/>
            <w:tcBorders>
              <w:tl2br w:val="nil"/>
              <w:tr2bl w:val="nil"/>
            </w:tcBorders>
            <w:vAlign w:val="center"/>
          </w:tcPr>
          <w:p w14:paraId="4AFDB390">
            <w:pPr>
              <w:widowControl/>
              <w:adjustRightInd w:val="0"/>
              <w:snapToGrid w:val="0"/>
              <w:spacing w:before="0" w:beforeLines="0" w:line="240" w:lineRule="auto"/>
              <w:jc w:val="center"/>
              <w:textAlignment w:val="center"/>
              <w:rPr>
                <w:szCs w:val="21"/>
              </w:rPr>
            </w:pPr>
            <w:r>
              <w:rPr>
                <w:rFonts w:hint="eastAsia"/>
                <w:kern w:val="0"/>
                <w:szCs w:val="21"/>
                <w:lang w:bidi="ar"/>
              </w:rPr>
              <w:t>碎石</w:t>
            </w:r>
          </w:p>
        </w:tc>
        <w:tc>
          <w:tcPr>
            <w:tcW w:w="1421" w:type="dxa"/>
            <w:tcBorders>
              <w:tl2br w:val="nil"/>
              <w:tr2bl w:val="nil"/>
            </w:tcBorders>
            <w:vAlign w:val="center"/>
          </w:tcPr>
          <w:p w14:paraId="01DE7FCC">
            <w:pPr>
              <w:widowControl/>
              <w:adjustRightInd w:val="0"/>
              <w:snapToGrid w:val="0"/>
              <w:spacing w:before="0" w:beforeLines="0" w:line="240" w:lineRule="auto"/>
              <w:jc w:val="center"/>
              <w:textAlignment w:val="center"/>
              <w:rPr>
                <w:szCs w:val="21"/>
              </w:rPr>
            </w:pPr>
            <w:r>
              <w:rPr>
                <w:rFonts w:hint="eastAsia"/>
                <w:kern w:val="0"/>
                <w:szCs w:val="21"/>
                <w:lang w:bidi="ar"/>
              </w:rPr>
              <w:t>8.389</w:t>
            </w:r>
          </w:p>
        </w:tc>
        <w:tc>
          <w:tcPr>
            <w:tcW w:w="1893" w:type="dxa"/>
            <w:tcBorders>
              <w:tl2br w:val="nil"/>
              <w:tr2bl w:val="nil"/>
            </w:tcBorders>
            <w:vAlign w:val="center"/>
          </w:tcPr>
          <w:p w14:paraId="4FD9587A">
            <w:pPr>
              <w:widowControl/>
              <w:adjustRightInd w:val="0"/>
              <w:snapToGrid w:val="0"/>
              <w:spacing w:before="0" w:beforeLines="0" w:line="240" w:lineRule="auto"/>
              <w:jc w:val="center"/>
              <w:textAlignment w:val="center"/>
              <w:rPr>
                <w:szCs w:val="21"/>
              </w:rPr>
            </w:pPr>
            <w:r>
              <w:rPr>
                <w:rFonts w:hint="eastAsia"/>
                <w:szCs w:val="21"/>
              </w:rPr>
              <w:t>31878.2</w:t>
            </w:r>
          </w:p>
        </w:tc>
      </w:tr>
      <w:tr w14:paraId="40078BA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95" w:hRule="atLeast"/>
        </w:trPr>
        <w:tc>
          <w:tcPr>
            <w:tcW w:w="1276" w:type="dxa"/>
            <w:tcBorders>
              <w:tl2br w:val="nil"/>
              <w:tr2bl w:val="nil"/>
            </w:tcBorders>
            <w:vAlign w:val="center"/>
          </w:tcPr>
          <w:p w14:paraId="62859128">
            <w:pPr>
              <w:widowControl/>
              <w:adjustRightInd w:val="0"/>
              <w:snapToGrid w:val="0"/>
              <w:spacing w:before="0" w:beforeLines="0" w:line="240" w:lineRule="auto"/>
              <w:jc w:val="center"/>
              <w:rPr>
                <w:szCs w:val="21"/>
              </w:rPr>
            </w:pPr>
            <w:r>
              <w:rPr>
                <w:kern w:val="0"/>
                <w:szCs w:val="21"/>
                <w:lang w:bidi="ar"/>
              </w:rPr>
              <w:t>-</w:t>
            </w:r>
          </w:p>
        </w:tc>
        <w:tc>
          <w:tcPr>
            <w:tcW w:w="1207" w:type="dxa"/>
            <w:tcBorders>
              <w:tl2br w:val="nil"/>
              <w:tr2bl w:val="nil"/>
            </w:tcBorders>
            <w:vAlign w:val="center"/>
          </w:tcPr>
          <w:p w14:paraId="391E933C">
            <w:pPr>
              <w:widowControl/>
              <w:adjustRightInd w:val="0"/>
              <w:snapToGrid w:val="0"/>
              <w:spacing w:before="0" w:beforeLines="0" w:line="240" w:lineRule="auto"/>
              <w:jc w:val="center"/>
              <w:rPr>
                <w:szCs w:val="21"/>
              </w:rPr>
            </w:pPr>
            <w:r>
              <w:rPr>
                <w:kern w:val="0"/>
                <w:szCs w:val="21"/>
                <w:lang w:bidi="ar"/>
              </w:rPr>
              <w:t>-</w:t>
            </w:r>
          </w:p>
        </w:tc>
        <w:tc>
          <w:tcPr>
            <w:tcW w:w="1265" w:type="dxa"/>
            <w:tcBorders>
              <w:tl2br w:val="nil"/>
              <w:tr2bl w:val="nil"/>
            </w:tcBorders>
            <w:vAlign w:val="center"/>
          </w:tcPr>
          <w:p w14:paraId="65032742">
            <w:pPr>
              <w:widowControl/>
              <w:adjustRightInd w:val="0"/>
              <w:snapToGrid w:val="0"/>
              <w:spacing w:before="0" w:beforeLines="0" w:line="240" w:lineRule="auto"/>
              <w:jc w:val="center"/>
              <w:rPr>
                <w:szCs w:val="21"/>
              </w:rPr>
            </w:pPr>
            <w:r>
              <w:rPr>
                <w:kern w:val="0"/>
                <w:szCs w:val="21"/>
                <w:lang w:bidi="ar"/>
              </w:rPr>
              <w:t>-</w:t>
            </w:r>
          </w:p>
        </w:tc>
        <w:tc>
          <w:tcPr>
            <w:tcW w:w="1293" w:type="dxa"/>
            <w:tcBorders>
              <w:tl2br w:val="nil"/>
              <w:tr2bl w:val="nil"/>
            </w:tcBorders>
            <w:vAlign w:val="center"/>
          </w:tcPr>
          <w:p w14:paraId="4505ED3D">
            <w:pPr>
              <w:widowControl/>
              <w:adjustRightInd w:val="0"/>
              <w:snapToGrid w:val="0"/>
              <w:spacing w:before="0" w:beforeLines="0" w:line="240" w:lineRule="auto"/>
              <w:jc w:val="center"/>
              <w:textAlignment w:val="center"/>
              <w:rPr>
                <w:szCs w:val="21"/>
              </w:rPr>
            </w:pPr>
            <w:r>
              <w:rPr>
                <w:kern w:val="0"/>
                <w:szCs w:val="21"/>
                <w:lang w:bidi="ar"/>
              </w:rPr>
              <w:t>钒钛磁铁矿</w:t>
            </w:r>
          </w:p>
        </w:tc>
        <w:tc>
          <w:tcPr>
            <w:tcW w:w="1421" w:type="dxa"/>
            <w:tcBorders>
              <w:tl2br w:val="nil"/>
              <w:tr2bl w:val="nil"/>
            </w:tcBorders>
            <w:vAlign w:val="center"/>
          </w:tcPr>
          <w:p w14:paraId="0F6B03F8">
            <w:pPr>
              <w:widowControl/>
              <w:adjustRightInd w:val="0"/>
              <w:snapToGrid w:val="0"/>
              <w:spacing w:before="0" w:beforeLines="0" w:line="240" w:lineRule="auto"/>
              <w:jc w:val="center"/>
              <w:textAlignment w:val="center"/>
              <w:rPr>
                <w:szCs w:val="21"/>
              </w:rPr>
            </w:pPr>
            <w:r>
              <w:rPr>
                <w:kern w:val="0"/>
                <w:szCs w:val="21"/>
                <w:lang w:bidi="ar"/>
              </w:rPr>
              <w:t>65</w:t>
            </w:r>
          </w:p>
        </w:tc>
        <w:tc>
          <w:tcPr>
            <w:tcW w:w="1893" w:type="dxa"/>
            <w:tcBorders>
              <w:tl2br w:val="nil"/>
              <w:tr2bl w:val="nil"/>
            </w:tcBorders>
            <w:vAlign w:val="center"/>
          </w:tcPr>
          <w:p w14:paraId="17840D86">
            <w:pPr>
              <w:widowControl/>
              <w:adjustRightInd w:val="0"/>
              <w:snapToGrid w:val="0"/>
              <w:spacing w:before="0" w:beforeLines="0" w:line="240" w:lineRule="auto"/>
              <w:jc w:val="center"/>
              <w:textAlignment w:val="center"/>
              <w:rPr>
                <w:szCs w:val="21"/>
              </w:rPr>
            </w:pPr>
            <w:r>
              <w:rPr>
                <w:szCs w:val="21"/>
              </w:rPr>
              <w:t>91000</w:t>
            </w:r>
          </w:p>
        </w:tc>
      </w:tr>
      <w:tr w14:paraId="7A9C864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95" w:hRule="atLeast"/>
        </w:trPr>
        <w:tc>
          <w:tcPr>
            <w:tcW w:w="1276" w:type="dxa"/>
            <w:tcBorders>
              <w:tl2br w:val="nil"/>
              <w:tr2bl w:val="nil"/>
            </w:tcBorders>
            <w:vAlign w:val="center"/>
          </w:tcPr>
          <w:p w14:paraId="7C851B18">
            <w:pPr>
              <w:widowControl/>
              <w:adjustRightInd w:val="0"/>
              <w:snapToGrid w:val="0"/>
              <w:spacing w:before="0" w:beforeLines="0" w:line="240" w:lineRule="auto"/>
              <w:jc w:val="center"/>
              <w:rPr>
                <w:szCs w:val="21"/>
              </w:rPr>
            </w:pPr>
            <w:r>
              <w:rPr>
                <w:kern w:val="0"/>
                <w:szCs w:val="21"/>
                <w:lang w:bidi="ar"/>
              </w:rPr>
              <w:t>-</w:t>
            </w:r>
          </w:p>
        </w:tc>
        <w:tc>
          <w:tcPr>
            <w:tcW w:w="1207" w:type="dxa"/>
            <w:tcBorders>
              <w:tl2br w:val="nil"/>
              <w:tr2bl w:val="nil"/>
            </w:tcBorders>
            <w:vAlign w:val="center"/>
          </w:tcPr>
          <w:p w14:paraId="196D65FA">
            <w:pPr>
              <w:widowControl/>
              <w:adjustRightInd w:val="0"/>
              <w:snapToGrid w:val="0"/>
              <w:spacing w:before="0" w:beforeLines="0" w:line="240" w:lineRule="auto"/>
              <w:jc w:val="center"/>
              <w:rPr>
                <w:szCs w:val="21"/>
              </w:rPr>
            </w:pPr>
            <w:r>
              <w:rPr>
                <w:kern w:val="0"/>
                <w:szCs w:val="21"/>
                <w:lang w:bidi="ar"/>
              </w:rPr>
              <w:t>-</w:t>
            </w:r>
          </w:p>
        </w:tc>
        <w:tc>
          <w:tcPr>
            <w:tcW w:w="1265" w:type="dxa"/>
            <w:tcBorders>
              <w:tl2br w:val="nil"/>
              <w:tr2bl w:val="nil"/>
            </w:tcBorders>
            <w:vAlign w:val="center"/>
          </w:tcPr>
          <w:p w14:paraId="14EDDDD9">
            <w:pPr>
              <w:widowControl/>
              <w:adjustRightInd w:val="0"/>
              <w:snapToGrid w:val="0"/>
              <w:spacing w:before="0" w:beforeLines="0" w:line="240" w:lineRule="auto"/>
              <w:jc w:val="center"/>
              <w:rPr>
                <w:szCs w:val="21"/>
              </w:rPr>
            </w:pPr>
            <w:r>
              <w:rPr>
                <w:kern w:val="0"/>
                <w:szCs w:val="21"/>
                <w:lang w:bidi="ar"/>
              </w:rPr>
              <w:t>-</w:t>
            </w:r>
          </w:p>
        </w:tc>
        <w:tc>
          <w:tcPr>
            <w:tcW w:w="1293" w:type="dxa"/>
            <w:tcBorders>
              <w:tl2br w:val="nil"/>
              <w:tr2bl w:val="nil"/>
            </w:tcBorders>
            <w:vAlign w:val="center"/>
          </w:tcPr>
          <w:p w14:paraId="04647FE3">
            <w:pPr>
              <w:widowControl/>
              <w:adjustRightInd w:val="0"/>
              <w:snapToGrid w:val="0"/>
              <w:spacing w:before="0" w:beforeLines="0" w:line="240" w:lineRule="auto"/>
              <w:jc w:val="center"/>
              <w:textAlignment w:val="center"/>
              <w:rPr>
                <w:szCs w:val="21"/>
              </w:rPr>
            </w:pPr>
            <w:r>
              <w:rPr>
                <w:rFonts w:hint="eastAsia"/>
                <w:kern w:val="0"/>
                <w:szCs w:val="21"/>
                <w:lang w:bidi="ar"/>
              </w:rPr>
              <w:t>钛铁精矿</w:t>
            </w:r>
          </w:p>
        </w:tc>
        <w:tc>
          <w:tcPr>
            <w:tcW w:w="1421" w:type="dxa"/>
            <w:tcBorders>
              <w:tl2br w:val="nil"/>
              <w:tr2bl w:val="nil"/>
            </w:tcBorders>
            <w:vAlign w:val="center"/>
          </w:tcPr>
          <w:p w14:paraId="1E8AE7D5">
            <w:pPr>
              <w:widowControl/>
              <w:adjustRightInd w:val="0"/>
              <w:snapToGrid w:val="0"/>
              <w:spacing w:before="0" w:beforeLines="0" w:line="240" w:lineRule="auto"/>
              <w:jc w:val="center"/>
              <w:textAlignment w:val="center"/>
              <w:rPr>
                <w:kern w:val="0"/>
                <w:szCs w:val="21"/>
                <w:lang w:bidi="ar"/>
              </w:rPr>
            </w:pPr>
            <w:r>
              <w:rPr>
                <w:kern w:val="0"/>
                <w:szCs w:val="21"/>
                <w:lang w:bidi="ar"/>
              </w:rPr>
              <w:t>42</w:t>
            </w:r>
          </w:p>
        </w:tc>
        <w:tc>
          <w:tcPr>
            <w:tcW w:w="1893" w:type="dxa"/>
            <w:tcBorders>
              <w:tl2br w:val="nil"/>
              <w:tr2bl w:val="nil"/>
            </w:tcBorders>
            <w:vAlign w:val="center"/>
          </w:tcPr>
          <w:p w14:paraId="51EC8AFA">
            <w:pPr>
              <w:widowControl/>
              <w:adjustRightInd w:val="0"/>
              <w:snapToGrid w:val="0"/>
              <w:spacing w:before="0" w:beforeLines="0" w:line="240" w:lineRule="auto"/>
              <w:jc w:val="center"/>
              <w:textAlignment w:val="center"/>
              <w:rPr>
                <w:kern w:val="0"/>
                <w:szCs w:val="21"/>
                <w:lang w:bidi="ar"/>
              </w:rPr>
            </w:pPr>
            <w:r>
              <w:rPr>
                <w:szCs w:val="21"/>
              </w:rPr>
              <w:t>16800</w:t>
            </w:r>
          </w:p>
        </w:tc>
      </w:tr>
      <w:tr w14:paraId="67B2B61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95" w:hRule="atLeast"/>
        </w:trPr>
        <w:tc>
          <w:tcPr>
            <w:tcW w:w="1276" w:type="dxa"/>
            <w:tcBorders>
              <w:tl2br w:val="nil"/>
              <w:tr2bl w:val="nil"/>
            </w:tcBorders>
            <w:vAlign w:val="center"/>
          </w:tcPr>
          <w:p w14:paraId="61D8AD2E">
            <w:pPr>
              <w:widowControl/>
              <w:adjustRightInd w:val="0"/>
              <w:snapToGrid w:val="0"/>
              <w:spacing w:before="0" w:beforeLines="0" w:line="240" w:lineRule="auto"/>
              <w:jc w:val="center"/>
              <w:textAlignment w:val="center"/>
              <w:rPr>
                <w:szCs w:val="21"/>
              </w:rPr>
            </w:pPr>
            <w:r>
              <w:rPr>
                <w:kern w:val="0"/>
                <w:szCs w:val="21"/>
                <w:lang w:bidi="ar"/>
              </w:rPr>
              <w:t>-</w:t>
            </w:r>
          </w:p>
        </w:tc>
        <w:tc>
          <w:tcPr>
            <w:tcW w:w="1207" w:type="dxa"/>
            <w:tcBorders>
              <w:tl2br w:val="nil"/>
              <w:tr2bl w:val="nil"/>
            </w:tcBorders>
            <w:vAlign w:val="center"/>
          </w:tcPr>
          <w:p w14:paraId="5078B7EB">
            <w:pPr>
              <w:widowControl/>
              <w:adjustRightInd w:val="0"/>
              <w:snapToGrid w:val="0"/>
              <w:spacing w:before="0" w:beforeLines="0" w:line="240" w:lineRule="auto"/>
              <w:jc w:val="center"/>
              <w:textAlignment w:val="center"/>
              <w:rPr>
                <w:szCs w:val="21"/>
              </w:rPr>
            </w:pPr>
            <w:r>
              <w:rPr>
                <w:kern w:val="0"/>
                <w:szCs w:val="21"/>
                <w:lang w:bidi="ar"/>
              </w:rPr>
              <w:t>-</w:t>
            </w:r>
          </w:p>
        </w:tc>
        <w:tc>
          <w:tcPr>
            <w:tcW w:w="1265" w:type="dxa"/>
            <w:tcBorders>
              <w:tl2br w:val="nil"/>
              <w:tr2bl w:val="nil"/>
            </w:tcBorders>
            <w:vAlign w:val="center"/>
          </w:tcPr>
          <w:p w14:paraId="42349607">
            <w:pPr>
              <w:widowControl/>
              <w:adjustRightInd w:val="0"/>
              <w:snapToGrid w:val="0"/>
              <w:spacing w:before="0" w:beforeLines="0" w:line="240" w:lineRule="auto"/>
              <w:jc w:val="center"/>
              <w:textAlignment w:val="center"/>
              <w:rPr>
                <w:szCs w:val="21"/>
              </w:rPr>
            </w:pPr>
            <w:r>
              <w:rPr>
                <w:kern w:val="0"/>
                <w:szCs w:val="21"/>
                <w:lang w:bidi="ar"/>
              </w:rPr>
              <w:t>-</w:t>
            </w:r>
          </w:p>
        </w:tc>
        <w:tc>
          <w:tcPr>
            <w:tcW w:w="1293" w:type="dxa"/>
            <w:tcBorders>
              <w:tl2br w:val="nil"/>
              <w:tr2bl w:val="nil"/>
            </w:tcBorders>
            <w:vAlign w:val="center"/>
          </w:tcPr>
          <w:p w14:paraId="766C5458">
            <w:pPr>
              <w:widowControl/>
              <w:adjustRightInd w:val="0"/>
              <w:snapToGrid w:val="0"/>
              <w:spacing w:before="0" w:beforeLines="0" w:line="240" w:lineRule="auto"/>
              <w:jc w:val="center"/>
              <w:textAlignment w:val="center"/>
              <w:rPr>
                <w:szCs w:val="21"/>
              </w:rPr>
            </w:pPr>
            <w:r>
              <w:rPr>
                <w:rFonts w:hint="eastAsia"/>
                <w:kern w:val="0"/>
                <w:szCs w:val="21"/>
                <w:lang w:bidi="ar"/>
              </w:rPr>
              <w:t>泥饼</w:t>
            </w:r>
          </w:p>
        </w:tc>
        <w:tc>
          <w:tcPr>
            <w:tcW w:w="1421" w:type="dxa"/>
            <w:tcBorders>
              <w:tl2br w:val="nil"/>
              <w:tr2bl w:val="nil"/>
            </w:tcBorders>
            <w:vAlign w:val="center"/>
          </w:tcPr>
          <w:p w14:paraId="34ECB0F3">
            <w:pPr>
              <w:widowControl/>
              <w:adjustRightInd w:val="0"/>
              <w:snapToGrid w:val="0"/>
              <w:spacing w:before="0" w:beforeLines="0" w:line="240" w:lineRule="auto"/>
              <w:jc w:val="center"/>
              <w:textAlignment w:val="center"/>
              <w:rPr>
                <w:szCs w:val="21"/>
              </w:rPr>
            </w:pPr>
            <w:r>
              <w:rPr>
                <w:rFonts w:hint="eastAsia"/>
                <w:kern w:val="0"/>
                <w:szCs w:val="21"/>
                <w:lang w:bidi="ar"/>
              </w:rPr>
              <w:t>7.223</w:t>
            </w:r>
          </w:p>
        </w:tc>
        <w:tc>
          <w:tcPr>
            <w:tcW w:w="1893" w:type="dxa"/>
            <w:tcBorders>
              <w:tl2br w:val="nil"/>
              <w:tr2bl w:val="nil"/>
            </w:tcBorders>
            <w:vAlign w:val="center"/>
          </w:tcPr>
          <w:p w14:paraId="774D3337">
            <w:pPr>
              <w:widowControl/>
              <w:adjustRightInd w:val="0"/>
              <w:snapToGrid w:val="0"/>
              <w:spacing w:before="0" w:beforeLines="0" w:line="240" w:lineRule="auto"/>
              <w:jc w:val="center"/>
              <w:textAlignment w:val="center"/>
              <w:rPr>
                <w:kern w:val="0"/>
                <w:szCs w:val="21"/>
                <w:lang w:bidi="ar"/>
              </w:rPr>
            </w:pPr>
            <w:r>
              <w:rPr>
                <w:rFonts w:hint="eastAsia"/>
                <w:szCs w:val="21"/>
              </w:rPr>
              <w:t>67296.2</w:t>
            </w:r>
          </w:p>
        </w:tc>
      </w:tr>
      <w:tr w14:paraId="2BCE960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95" w:hRule="atLeast"/>
        </w:trPr>
        <w:tc>
          <w:tcPr>
            <w:tcW w:w="1276" w:type="dxa"/>
            <w:tcBorders>
              <w:tl2br w:val="nil"/>
              <w:tr2bl w:val="nil"/>
            </w:tcBorders>
            <w:vAlign w:val="center"/>
          </w:tcPr>
          <w:p w14:paraId="4E01A7E4">
            <w:pPr>
              <w:widowControl/>
              <w:adjustRightInd w:val="0"/>
              <w:snapToGrid w:val="0"/>
              <w:spacing w:before="0" w:beforeLines="0" w:line="240" w:lineRule="auto"/>
              <w:jc w:val="center"/>
              <w:rPr>
                <w:szCs w:val="21"/>
              </w:rPr>
            </w:pPr>
            <w:r>
              <w:rPr>
                <w:kern w:val="0"/>
                <w:szCs w:val="21"/>
                <w:lang w:bidi="ar"/>
              </w:rPr>
              <w:t>-</w:t>
            </w:r>
          </w:p>
        </w:tc>
        <w:tc>
          <w:tcPr>
            <w:tcW w:w="1207" w:type="dxa"/>
            <w:tcBorders>
              <w:tl2br w:val="nil"/>
              <w:tr2bl w:val="nil"/>
            </w:tcBorders>
            <w:vAlign w:val="center"/>
          </w:tcPr>
          <w:p w14:paraId="3092AD7F">
            <w:pPr>
              <w:widowControl/>
              <w:adjustRightInd w:val="0"/>
              <w:snapToGrid w:val="0"/>
              <w:spacing w:before="0" w:beforeLines="0" w:line="240" w:lineRule="auto"/>
              <w:jc w:val="center"/>
              <w:rPr>
                <w:szCs w:val="21"/>
              </w:rPr>
            </w:pPr>
            <w:r>
              <w:rPr>
                <w:kern w:val="0"/>
                <w:szCs w:val="21"/>
                <w:lang w:bidi="ar"/>
              </w:rPr>
              <w:t>-</w:t>
            </w:r>
          </w:p>
        </w:tc>
        <w:tc>
          <w:tcPr>
            <w:tcW w:w="1265" w:type="dxa"/>
            <w:tcBorders>
              <w:tl2br w:val="nil"/>
              <w:tr2bl w:val="nil"/>
            </w:tcBorders>
            <w:vAlign w:val="center"/>
          </w:tcPr>
          <w:p w14:paraId="0616A88C">
            <w:pPr>
              <w:widowControl/>
              <w:adjustRightInd w:val="0"/>
              <w:snapToGrid w:val="0"/>
              <w:spacing w:before="0" w:beforeLines="0" w:line="240" w:lineRule="auto"/>
              <w:jc w:val="center"/>
              <w:rPr>
                <w:szCs w:val="21"/>
              </w:rPr>
            </w:pPr>
            <w:r>
              <w:rPr>
                <w:kern w:val="0"/>
                <w:szCs w:val="21"/>
                <w:lang w:bidi="ar"/>
              </w:rPr>
              <w:t>-</w:t>
            </w:r>
          </w:p>
        </w:tc>
        <w:tc>
          <w:tcPr>
            <w:tcW w:w="1293" w:type="dxa"/>
            <w:tcBorders>
              <w:tl2br w:val="nil"/>
              <w:tr2bl w:val="nil"/>
            </w:tcBorders>
            <w:vAlign w:val="center"/>
          </w:tcPr>
          <w:p w14:paraId="2E4CBA4F">
            <w:pPr>
              <w:widowControl/>
              <w:adjustRightInd w:val="0"/>
              <w:snapToGrid w:val="0"/>
              <w:spacing w:before="0" w:beforeLines="0" w:line="240" w:lineRule="auto"/>
              <w:jc w:val="center"/>
              <w:textAlignment w:val="center"/>
              <w:rPr>
                <w:szCs w:val="21"/>
              </w:rPr>
            </w:pPr>
            <w:r>
              <w:rPr>
                <w:rFonts w:hint="eastAsia"/>
                <w:kern w:val="0"/>
                <w:szCs w:val="21"/>
                <w:lang w:bidi="ar"/>
              </w:rPr>
              <w:t>粉尘</w:t>
            </w:r>
          </w:p>
        </w:tc>
        <w:tc>
          <w:tcPr>
            <w:tcW w:w="1421" w:type="dxa"/>
            <w:tcBorders>
              <w:tl2br w:val="nil"/>
              <w:tr2bl w:val="nil"/>
            </w:tcBorders>
            <w:vAlign w:val="center"/>
          </w:tcPr>
          <w:p w14:paraId="50942C0F">
            <w:pPr>
              <w:widowControl/>
              <w:adjustRightInd w:val="0"/>
              <w:snapToGrid w:val="0"/>
              <w:spacing w:before="0" w:beforeLines="0" w:line="240" w:lineRule="auto"/>
              <w:jc w:val="center"/>
              <w:textAlignment w:val="center"/>
              <w:rPr>
                <w:szCs w:val="21"/>
              </w:rPr>
            </w:pPr>
            <w:r>
              <w:rPr>
                <w:rFonts w:hint="eastAsia"/>
                <w:kern w:val="0"/>
                <w:szCs w:val="21"/>
                <w:lang w:bidi="ar"/>
              </w:rPr>
              <w:t>4.1</w:t>
            </w:r>
          </w:p>
        </w:tc>
        <w:tc>
          <w:tcPr>
            <w:tcW w:w="1893" w:type="dxa"/>
            <w:tcBorders>
              <w:tl2br w:val="nil"/>
              <w:tr2bl w:val="nil"/>
            </w:tcBorders>
            <w:vAlign w:val="center"/>
          </w:tcPr>
          <w:p w14:paraId="5F6B209A">
            <w:pPr>
              <w:widowControl/>
              <w:adjustRightInd w:val="0"/>
              <w:snapToGrid w:val="0"/>
              <w:spacing w:before="0" w:beforeLines="0" w:line="240" w:lineRule="auto"/>
              <w:jc w:val="center"/>
              <w:textAlignment w:val="center"/>
              <w:rPr>
                <w:szCs w:val="21"/>
              </w:rPr>
            </w:pPr>
            <w:r>
              <w:rPr>
                <w:rFonts w:hint="eastAsia"/>
                <w:szCs w:val="21"/>
              </w:rPr>
              <w:t>152.6</w:t>
            </w:r>
          </w:p>
        </w:tc>
      </w:tr>
      <w:tr w14:paraId="1F4393C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95" w:hRule="atLeast"/>
        </w:trPr>
        <w:tc>
          <w:tcPr>
            <w:tcW w:w="2483" w:type="dxa"/>
            <w:gridSpan w:val="2"/>
            <w:tcBorders>
              <w:tl2br w:val="nil"/>
              <w:tr2bl w:val="nil"/>
            </w:tcBorders>
            <w:vAlign w:val="center"/>
          </w:tcPr>
          <w:p w14:paraId="2F5E5B78">
            <w:pPr>
              <w:widowControl/>
              <w:adjustRightInd w:val="0"/>
              <w:snapToGrid w:val="0"/>
              <w:spacing w:before="0" w:beforeLines="0" w:line="240" w:lineRule="auto"/>
              <w:jc w:val="center"/>
              <w:textAlignment w:val="center"/>
              <w:rPr>
                <w:szCs w:val="21"/>
              </w:rPr>
            </w:pPr>
            <w:r>
              <w:rPr>
                <w:kern w:val="0"/>
                <w:szCs w:val="21"/>
                <w:lang w:bidi="ar"/>
              </w:rPr>
              <w:t>合计</w:t>
            </w:r>
          </w:p>
        </w:tc>
        <w:tc>
          <w:tcPr>
            <w:tcW w:w="1265" w:type="dxa"/>
            <w:tcBorders>
              <w:tl2br w:val="nil"/>
              <w:tr2bl w:val="nil"/>
            </w:tcBorders>
            <w:vAlign w:val="center"/>
          </w:tcPr>
          <w:p w14:paraId="51E7C4AA">
            <w:pPr>
              <w:widowControl/>
              <w:spacing w:before="0" w:beforeLines="0" w:line="240" w:lineRule="auto"/>
              <w:jc w:val="center"/>
              <w:rPr>
                <w:szCs w:val="21"/>
              </w:rPr>
            </w:pPr>
            <w:r>
              <w:rPr>
                <w:szCs w:val="21"/>
              </w:rPr>
              <w:t xml:space="preserve">251927 </w:t>
            </w:r>
          </w:p>
        </w:tc>
        <w:tc>
          <w:tcPr>
            <w:tcW w:w="2714" w:type="dxa"/>
            <w:gridSpan w:val="2"/>
            <w:tcBorders>
              <w:tl2br w:val="nil"/>
              <w:tr2bl w:val="nil"/>
            </w:tcBorders>
            <w:vAlign w:val="center"/>
          </w:tcPr>
          <w:p w14:paraId="43707ED5">
            <w:pPr>
              <w:widowControl/>
              <w:adjustRightInd w:val="0"/>
              <w:snapToGrid w:val="0"/>
              <w:spacing w:before="0" w:beforeLines="0" w:line="240" w:lineRule="auto"/>
              <w:jc w:val="center"/>
              <w:textAlignment w:val="center"/>
              <w:rPr>
                <w:szCs w:val="21"/>
              </w:rPr>
            </w:pPr>
            <w:r>
              <w:rPr>
                <w:rFonts w:hint="eastAsia"/>
                <w:kern w:val="0"/>
                <w:szCs w:val="21"/>
                <w:lang w:bidi="ar"/>
              </w:rPr>
              <w:t>合计</w:t>
            </w:r>
          </w:p>
        </w:tc>
        <w:tc>
          <w:tcPr>
            <w:tcW w:w="1893" w:type="dxa"/>
            <w:tcBorders>
              <w:tl2br w:val="nil"/>
              <w:tr2bl w:val="nil"/>
            </w:tcBorders>
            <w:vAlign w:val="center"/>
          </w:tcPr>
          <w:p w14:paraId="4DBE7962">
            <w:pPr>
              <w:widowControl/>
              <w:spacing w:before="0" w:beforeLines="0" w:line="240" w:lineRule="auto"/>
              <w:jc w:val="center"/>
              <w:rPr>
                <w:szCs w:val="21"/>
              </w:rPr>
            </w:pPr>
            <w:r>
              <w:rPr>
                <w:szCs w:val="21"/>
              </w:rPr>
              <w:fldChar w:fldCharType="begin"/>
            </w:r>
            <w:r>
              <w:rPr>
                <w:szCs w:val="21"/>
              </w:rPr>
              <w:instrText xml:space="preserve"> =SUM(ABOVE) </w:instrText>
            </w:r>
            <w:r>
              <w:rPr>
                <w:szCs w:val="21"/>
              </w:rPr>
              <w:fldChar w:fldCharType="separate"/>
            </w:r>
            <w:r>
              <w:rPr>
                <w:szCs w:val="21"/>
              </w:rPr>
              <w:t>251927</w:t>
            </w:r>
            <w:r>
              <w:rPr>
                <w:szCs w:val="21"/>
              </w:rPr>
              <w:fldChar w:fldCharType="end"/>
            </w:r>
          </w:p>
        </w:tc>
      </w:tr>
    </w:tbl>
    <w:p w14:paraId="7E89C1DC">
      <w:pPr>
        <w:pStyle w:val="135"/>
        <w:snapToGrid w:val="0"/>
        <w:spacing w:before="78" w:line="360" w:lineRule="auto"/>
        <w:ind w:firstLine="482" w:firstLineChars="200"/>
        <w:jc w:val="left"/>
        <w:rPr>
          <w:b/>
          <w:bCs/>
          <w:kern w:val="0"/>
          <w:sz w:val="24"/>
          <w:szCs w:val="24"/>
        </w:rPr>
      </w:pPr>
      <w:r>
        <w:rPr>
          <w:rFonts w:hint="eastAsia"/>
          <w:b/>
          <w:bCs/>
          <w:kern w:val="0"/>
          <w:sz w:val="24"/>
          <w:szCs w:val="24"/>
        </w:rPr>
        <w:t>（3）</w:t>
      </w:r>
      <w:r>
        <w:rPr>
          <w:b/>
          <w:bCs/>
          <w:kern w:val="0"/>
          <w:sz w:val="24"/>
          <w:szCs w:val="24"/>
        </w:rPr>
        <w:t>钛元素平衡</w:t>
      </w:r>
    </w:p>
    <w:p w14:paraId="05DF2370">
      <w:pPr>
        <w:adjustRightInd w:val="0"/>
        <w:snapToGrid w:val="0"/>
        <w:spacing w:before="78" w:line="360" w:lineRule="auto"/>
        <w:ind w:firstLine="480" w:firstLineChars="200"/>
        <w:rPr>
          <w:kern w:val="0"/>
          <w:sz w:val="24"/>
        </w:rPr>
      </w:pPr>
      <w:r>
        <w:rPr>
          <w:kern w:val="0"/>
          <w:sz w:val="24"/>
        </w:rPr>
        <w:t>根据项目工艺流程及物料平衡，钛元素平衡</w:t>
      </w:r>
      <w:r>
        <w:rPr>
          <w:rFonts w:hint="eastAsia"/>
          <w:kern w:val="0"/>
          <w:sz w:val="24"/>
        </w:rPr>
        <w:t>见表3.1-18。</w:t>
      </w:r>
    </w:p>
    <w:p w14:paraId="5C5F45BE">
      <w:pPr>
        <w:pStyle w:val="6"/>
        <w:tabs>
          <w:tab w:val="left" w:pos="540"/>
        </w:tabs>
        <w:adjustRightInd w:val="0"/>
        <w:snapToGrid w:val="0"/>
        <w:spacing w:line="240" w:lineRule="auto"/>
        <w:ind w:firstLine="0" w:firstLineChars="0"/>
        <w:jc w:val="center"/>
        <w:rPr>
          <w:rFonts w:ascii="Times New Roman" w:hAnsi="Times New Roman"/>
          <w:b/>
          <w:bCs/>
          <w:sz w:val="21"/>
          <w:szCs w:val="21"/>
        </w:rPr>
      </w:pPr>
      <w:r>
        <w:rPr>
          <w:rFonts w:ascii="Times New Roman" w:hAnsi="Times New Roman"/>
          <w:b/>
          <w:bCs/>
          <w:sz w:val="21"/>
          <w:szCs w:val="21"/>
        </w:rPr>
        <w:t>表3.</w:t>
      </w:r>
      <w:r>
        <w:rPr>
          <w:rFonts w:hint="eastAsia" w:ascii="Times New Roman" w:hAnsi="Times New Roman"/>
          <w:b/>
          <w:bCs/>
          <w:sz w:val="21"/>
          <w:szCs w:val="21"/>
        </w:rPr>
        <w:t>1</w:t>
      </w:r>
      <w:r>
        <w:rPr>
          <w:rFonts w:ascii="Times New Roman" w:hAnsi="Times New Roman"/>
          <w:b/>
          <w:bCs/>
          <w:sz w:val="21"/>
          <w:szCs w:val="21"/>
        </w:rPr>
        <w:t>-1</w:t>
      </w:r>
      <w:r>
        <w:rPr>
          <w:rFonts w:hint="eastAsia" w:ascii="Times New Roman" w:hAnsi="Times New Roman"/>
          <w:b/>
          <w:bCs/>
          <w:sz w:val="21"/>
          <w:szCs w:val="21"/>
        </w:rPr>
        <w:t xml:space="preserve">8  </w:t>
      </w:r>
      <w:r>
        <w:rPr>
          <w:rFonts w:ascii="Times New Roman" w:hAnsi="Times New Roman"/>
          <w:b/>
          <w:bCs/>
          <w:sz w:val="21"/>
          <w:szCs w:val="21"/>
        </w:rPr>
        <w:t xml:space="preserve">  钛元素平衡分析表</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108" w:type="dxa"/>
          <w:bottom w:w="0" w:type="dxa"/>
          <w:right w:w="108" w:type="dxa"/>
        </w:tblCellMar>
      </w:tblPr>
      <w:tblGrid>
        <w:gridCol w:w="1095"/>
        <w:gridCol w:w="931"/>
        <w:gridCol w:w="1267"/>
        <w:gridCol w:w="1453"/>
        <w:gridCol w:w="1455"/>
        <w:gridCol w:w="2111"/>
      </w:tblGrid>
      <w:tr w14:paraId="598DBDB5">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jc w:val="center"/>
        </w:trPr>
        <w:tc>
          <w:tcPr>
            <w:tcW w:w="1981" w:type="pct"/>
            <w:gridSpan w:val="3"/>
            <w:vAlign w:val="center"/>
          </w:tcPr>
          <w:p w14:paraId="4E0383DB">
            <w:pPr>
              <w:widowControl/>
              <w:adjustRightInd w:val="0"/>
              <w:snapToGrid w:val="0"/>
              <w:spacing w:before="0" w:beforeLines="0" w:line="240" w:lineRule="auto"/>
              <w:jc w:val="center"/>
              <w:textAlignment w:val="center"/>
              <w:rPr>
                <w:szCs w:val="21"/>
              </w:rPr>
            </w:pPr>
            <w:r>
              <w:rPr>
                <w:kern w:val="0"/>
                <w:szCs w:val="21"/>
                <w:lang w:bidi="ar"/>
              </w:rPr>
              <w:t>投入</w:t>
            </w:r>
          </w:p>
        </w:tc>
        <w:tc>
          <w:tcPr>
            <w:tcW w:w="3019" w:type="pct"/>
            <w:gridSpan w:val="3"/>
            <w:vAlign w:val="center"/>
          </w:tcPr>
          <w:p w14:paraId="77E64FBB">
            <w:pPr>
              <w:widowControl/>
              <w:adjustRightInd w:val="0"/>
              <w:snapToGrid w:val="0"/>
              <w:spacing w:before="0" w:beforeLines="0" w:line="240" w:lineRule="auto"/>
              <w:jc w:val="center"/>
              <w:textAlignment w:val="center"/>
              <w:rPr>
                <w:szCs w:val="21"/>
              </w:rPr>
            </w:pPr>
            <w:r>
              <w:rPr>
                <w:kern w:val="0"/>
                <w:szCs w:val="21"/>
                <w:lang w:bidi="ar"/>
              </w:rPr>
              <w:t>产出</w:t>
            </w:r>
          </w:p>
        </w:tc>
      </w:tr>
      <w:tr w14:paraId="7DEE5E95">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jc w:val="center"/>
        </w:trPr>
        <w:tc>
          <w:tcPr>
            <w:tcW w:w="659" w:type="pct"/>
            <w:tcBorders>
              <w:right w:val="single" w:color="auto" w:sz="4" w:space="0"/>
            </w:tcBorders>
            <w:vAlign w:val="center"/>
          </w:tcPr>
          <w:p w14:paraId="2DB39D80">
            <w:pPr>
              <w:widowControl/>
              <w:adjustRightInd w:val="0"/>
              <w:snapToGrid w:val="0"/>
              <w:spacing w:before="0" w:beforeLines="0" w:line="240" w:lineRule="auto"/>
              <w:jc w:val="center"/>
              <w:textAlignment w:val="center"/>
              <w:rPr>
                <w:szCs w:val="21"/>
              </w:rPr>
            </w:pPr>
            <w:r>
              <w:rPr>
                <w:kern w:val="0"/>
                <w:szCs w:val="21"/>
                <w:lang w:bidi="ar"/>
              </w:rPr>
              <w:t>物料名称</w:t>
            </w:r>
          </w:p>
        </w:tc>
        <w:tc>
          <w:tcPr>
            <w:tcW w:w="560" w:type="pct"/>
            <w:tcBorders>
              <w:left w:val="single" w:color="auto" w:sz="4" w:space="0"/>
            </w:tcBorders>
            <w:vAlign w:val="center"/>
          </w:tcPr>
          <w:p w14:paraId="5EADFBAF">
            <w:pPr>
              <w:widowControl/>
              <w:adjustRightInd w:val="0"/>
              <w:snapToGrid w:val="0"/>
              <w:spacing w:before="0" w:beforeLines="0" w:line="240" w:lineRule="auto"/>
              <w:jc w:val="center"/>
              <w:textAlignment w:val="center"/>
              <w:rPr>
                <w:szCs w:val="21"/>
              </w:rPr>
            </w:pPr>
            <w:r>
              <w:rPr>
                <w:kern w:val="0"/>
                <w:szCs w:val="21"/>
                <w:lang w:bidi="ar"/>
              </w:rPr>
              <w:t>品位%</w:t>
            </w:r>
          </w:p>
        </w:tc>
        <w:tc>
          <w:tcPr>
            <w:tcW w:w="761" w:type="pct"/>
            <w:vAlign w:val="center"/>
          </w:tcPr>
          <w:p w14:paraId="539D4DA7">
            <w:pPr>
              <w:widowControl/>
              <w:adjustRightInd w:val="0"/>
              <w:snapToGrid w:val="0"/>
              <w:spacing w:before="0" w:beforeLines="0" w:line="240" w:lineRule="auto"/>
              <w:jc w:val="center"/>
              <w:textAlignment w:val="center"/>
              <w:rPr>
                <w:szCs w:val="21"/>
              </w:rPr>
            </w:pPr>
            <w:r>
              <w:rPr>
                <w:kern w:val="0"/>
                <w:szCs w:val="21"/>
                <w:lang w:bidi="ar"/>
              </w:rPr>
              <w:t>投入量(t/a)</w:t>
            </w:r>
          </w:p>
        </w:tc>
        <w:tc>
          <w:tcPr>
            <w:tcW w:w="874" w:type="pct"/>
            <w:vAlign w:val="center"/>
          </w:tcPr>
          <w:p w14:paraId="54B8DAC8">
            <w:pPr>
              <w:widowControl/>
              <w:adjustRightInd w:val="0"/>
              <w:snapToGrid w:val="0"/>
              <w:spacing w:before="0" w:beforeLines="0" w:line="240" w:lineRule="auto"/>
              <w:jc w:val="center"/>
              <w:textAlignment w:val="center"/>
              <w:rPr>
                <w:szCs w:val="21"/>
              </w:rPr>
            </w:pPr>
            <w:r>
              <w:rPr>
                <w:kern w:val="0"/>
                <w:szCs w:val="21"/>
                <w:lang w:bidi="ar"/>
              </w:rPr>
              <w:t>物料名称</w:t>
            </w:r>
          </w:p>
        </w:tc>
        <w:tc>
          <w:tcPr>
            <w:tcW w:w="874" w:type="pct"/>
            <w:tcBorders>
              <w:right w:val="single" w:color="auto" w:sz="4" w:space="0"/>
            </w:tcBorders>
            <w:vAlign w:val="center"/>
          </w:tcPr>
          <w:p w14:paraId="52ADFFB3">
            <w:pPr>
              <w:widowControl/>
              <w:adjustRightInd w:val="0"/>
              <w:snapToGrid w:val="0"/>
              <w:spacing w:before="0" w:beforeLines="0" w:line="240" w:lineRule="auto"/>
              <w:jc w:val="center"/>
              <w:textAlignment w:val="center"/>
              <w:rPr>
                <w:szCs w:val="21"/>
              </w:rPr>
            </w:pPr>
            <w:r>
              <w:rPr>
                <w:kern w:val="0"/>
                <w:szCs w:val="21"/>
                <w:lang w:bidi="ar"/>
              </w:rPr>
              <w:t>品位%</w:t>
            </w:r>
          </w:p>
        </w:tc>
        <w:tc>
          <w:tcPr>
            <w:tcW w:w="1270" w:type="pct"/>
            <w:tcBorders>
              <w:left w:val="single" w:color="auto" w:sz="4" w:space="0"/>
            </w:tcBorders>
            <w:vAlign w:val="center"/>
          </w:tcPr>
          <w:p w14:paraId="78375615">
            <w:pPr>
              <w:widowControl/>
              <w:adjustRightInd w:val="0"/>
              <w:snapToGrid w:val="0"/>
              <w:spacing w:before="0" w:beforeLines="0" w:line="240" w:lineRule="auto"/>
              <w:jc w:val="center"/>
              <w:textAlignment w:val="center"/>
              <w:rPr>
                <w:szCs w:val="21"/>
              </w:rPr>
            </w:pPr>
            <w:r>
              <w:rPr>
                <w:kern w:val="0"/>
                <w:szCs w:val="21"/>
                <w:lang w:bidi="ar"/>
              </w:rPr>
              <w:t>产出量(t/a)</w:t>
            </w:r>
          </w:p>
        </w:tc>
      </w:tr>
      <w:tr w14:paraId="03FED353">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jc w:val="center"/>
        </w:trPr>
        <w:tc>
          <w:tcPr>
            <w:tcW w:w="659" w:type="pct"/>
            <w:vMerge w:val="restart"/>
            <w:tcBorders>
              <w:right w:val="single" w:color="auto" w:sz="4" w:space="0"/>
            </w:tcBorders>
            <w:vAlign w:val="center"/>
          </w:tcPr>
          <w:p w14:paraId="3CAF7D2E">
            <w:pPr>
              <w:widowControl/>
              <w:adjustRightInd w:val="0"/>
              <w:snapToGrid w:val="0"/>
              <w:spacing w:before="0" w:beforeLines="0" w:line="240" w:lineRule="auto"/>
              <w:jc w:val="center"/>
              <w:textAlignment w:val="center"/>
              <w:rPr>
                <w:kern w:val="0"/>
                <w:szCs w:val="21"/>
                <w:lang w:bidi="ar"/>
              </w:rPr>
            </w:pPr>
            <w:bookmarkStart w:id="107" w:name="_Hlk193380798"/>
            <w:r>
              <w:rPr>
                <w:rFonts w:hint="eastAsia"/>
                <w:kern w:val="0"/>
                <w:szCs w:val="21"/>
                <w:lang w:bidi="ar"/>
              </w:rPr>
              <w:t>尾矿、废石</w:t>
            </w:r>
          </w:p>
        </w:tc>
        <w:tc>
          <w:tcPr>
            <w:tcW w:w="560" w:type="pct"/>
            <w:vMerge w:val="restart"/>
            <w:tcBorders>
              <w:left w:val="single" w:color="auto" w:sz="4" w:space="0"/>
            </w:tcBorders>
            <w:vAlign w:val="center"/>
          </w:tcPr>
          <w:p w14:paraId="33621BB6">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2.37</w:t>
            </w:r>
          </w:p>
        </w:tc>
        <w:tc>
          <w:tcPr>
            <w:tcW w:w="761" w:type="pct"/>
            <w:vMerge w:val="restart"/>
            <w:vAlign w:val="center"/>
          </w:tcPr>
          <w:p w14:paraId="55CDF254">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71100</w:t>
            </w:r>
          </w:p>
        </w:tc>
        <w:tc>
          <w:tcPr>
            <w:tcW w:w="874" w:type="pct"/>
            <w:vAlign w:val="center"/>
          </w:tcPr>
          <w:p w14:paraId="58D658DB">
            <w:pPr>
              <w:widowControl/>
              <w:adjustRightInd w:val="0"/>
              <w:snapToGrid w:val="0"/>
              <w:spacing w:before="0" w:beforeLines="0" w:line="240" w:lineRule="auto"/>
              <w:jc w:val="center"/>
              <w:textAlignment w:val="center"/>
              <w:rPr>
                <w:kern w:val="0"/>
                <w:szCs w:val="21"/>
                <w:lang w:bidi="ar"/>
              </w:rPr>
            </w:pPr>
            <w:r>
              <w:rPr>
                <w:kern w:val="0"/>
                <w:szCs w:val="21"/>
                <w:lang w:bidi="ar"/>
              </w:rPr>
              <w:t>机制砂</w:t>
            </w:r>
          </w:p>
        </w:tc>
        <w:tc>
          <w:tcPr>
            <w:tcW w:w="874" w:type="pct"/>
            <w:tcBorders>
              <w:right w:val="single" w:color="auto" w:sz="4" w:space="0"/>
            </w:tcBorders>
            <w:vAlign w:val="center"/>
          </w:tcPr>
          <w:p w14:paraId="321BA951">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2.37</w:t>
            </w:r>
          </w:p>
        </w:tc>
        <w:tc>
          <w:tcPr>
            <w:tcW w:w="1270" w:type="pct"/>
            <w:tcBorders>
              <w:left w:val="single" w:color="auto" w:sz="4" w:space="0"/>
            </w:tcBorders>
            <w:vAlign w:val="center"/>
          </w:tcPr>
          <w:p w14:paraId="6A3B6782">
            <w:pPr>
              <w:widowControl/>
              <w:adjustRightInd w:val="0"/>
              <w:snapToGrid w:val="0"/>
              <w:spacing w:before="0" w:beforeLines="0" w:line="240" w:lineRule="auto"/>
              <w:jc w:val="center"/>
              <w:textAlignment w:val="center"/>
              <w:rPr>
                <w:kern w:val="0"/>
                <w:szCs w:val="21"/>
                <w:lang w:bidi="ar"/>
              </w:rPr>
            </w:pPr>
            <w:r>
              <w:rPr>
                <w:szCs w:val="21"/>
              </w:rPr>
              <w:t xml:space="preserve">37920 </w:t>
            </w:r>
          </w:p>
        </w:tc>
      </w:tr>
      <w:tr w14:paraId="6757C70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jc w:val="center"/>
        </w:trPr>
        <w:tc>
          <w:tcPr>
            <w:tcW w:w="659" w:type="pct"/>
            <w:vMerge w:val="continue"/>
            <w:tcBorders>
              <w:right w:val="single" w:color="auto" w:sz="4" w:space="0"/>
            </w:tcBorders>
            <w:vAlign w:val="center"/>
          </w:tcPr>
          <w:p w14:paraId="61FDDC9C">
            <w:pPr>
              <w:widowControl/>
              <w:adjustRightInd w:val="0"/>
              <w:snapToGrid w:val="0"/>
              <w:spacing w:before="0" w:beforeLines="0" w:line="240" w:lineRule="auto"/>
              <w:jc w:val="center"/>
              <w:rPr>
                <w:kern w:val="0"/>
                <w:szCs w:val="21"/>
                <w:lang w:bidi="ar"/>
              </w:rPr>
            </w:pPr>
          </w:p>
        </w:tc>
        <w:tc>
          <w:tcPr>
            <w:tcW w:w="560" w:type="pct"/>
            <w:vMerge w:val="continue"/>
            <w:tcBorders>
              <w:left w:val="single" w:color="auto" w:sz="4" w:space="0"/>
            </w:tcBorders>
            <w:vAlign w:val="center"/>
          </w:tcPr>
          <w:p w14:paraId="6305351F">
            <w:pPr>
              <w:widowControl/>
              <w:adjustRightInd w:val="0"/>
              <w:snapToGrid w:val="0"/>
              <w:spacing w:before="0" w:beforeLines="0" w:line="240" w:lineRule="auto"/>
              <w:jc w:val="center"/>
              <w:rPr>
                <w:kern w:val="0"/>
                <w:szCs w:val="21"/>
                <w:lang w:bidi="ar"/>
              </w:rPr>
            </w:pPr>
          </w:p>
        </w:tc>
        <w:tc>
          <w:tcPr>
            <w:tcW w:w="761" w:type="pct"/>
            <w:vMerge w:val="continue"/>
            <w:vAlign w:val="center"/>
          </w:tcPr>
          <w:p w14:paraId="59D3C80B">
            <w:pPr>
              <w:widowControl/>
              <w:adjustRightInd w:val="0"/>
              <w:snapToGrid w:val="0"/>
              <w:spacing w:before="0" w:beforeLines="0" w:line="240" w:lineRule="auto"/>
              <w:jc w:val="center"/>
              <w:rPr>
                <w:kern w:val="0"/>
                <w:szCs w:val="21"/>
                <w:lang w:bidi="ar"/>
              </w:rPr>
            </w:pPr>
          </w:p>
        </w:tc>
        <w:tc>
          <w:tcPr>
            <w:tcW w:w="874" w:type="pct"/>
            <w:vAlign w:val="center"/>
          </w:tcPr>
          <w:p w14:paraId="2CAE2969">
            <w:pPr>
              <w:widowControl/>
              <w:adjustRightInd w:val="0"/>
              <w:snapToGrid w:val="0"/>
              <w:spacing w:before="0" w:beforeLines="0" w:line="240" w:lineRule="auto"/>
              <w:jc w:val="center"/>
              <w:textAlignment w:val="center"/>
              <w:rPr>
                <w:kern w:val="0"/>
                <w:szCs w:val="21"/>
                <w:lang w:bidi="ar"/>
              </w:rPr>
            </w:pPr>
            <w:r>
              <w:rPr>
                <w:kern w:val="0"/>
                <w:szCs w:val="21"/>
                <w:lang w:bidi="ar"/>
              </w:rPr>
              <w:t>碎石</w:t>
            </w:r>
          </w:p>
        </w:tc>
        <w:tc>
          <w:tcPr>
            <w:tcW w:w="874" w:type="pct"/>
            <w:tcBorders>
              <w:right w:val="single" w:color="auto" w:sz="4" w:space="0"/>
            </w:tcBorders>
            <w:vAlign w:val="center"/>
          </w:tcPr>
          <w:p w14:paraId="30776BB3">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2.37</w:t>
            </w:r>
          </w:p>
        </w:tc>
        <w:tc>
          <w:tcPr>
            <w:tcW w:w="1270" w:type="pct"/>
            <w:tcBorders>
              <w:left w:val="single" w:color="auto" w:sz="4" w:space="0"/>
            </w:tcBorders>
            <w:vAlign w:val="center"/>
          </w:tcPr>
          <w:p w14:paraId="706B8199">
            <w:pPr>
              <w:widowControl/>
              <w:adjustRightInd w:val="0"/>
              <w:snapToGrid w:val="0"/>
              <w:spacing w:before="0" w:beforeLines="0" w:line="240" w:lineRule="auto"/>
              <w:jc w:val="center"/>
              <w:textAlignment w:val="center"/>
              <w:rPr>
                <w:kern w:val="0"/>
                <w:szCs w:val="21"/>
                <w:lang w:bidi="ar"/>
              </w:rPr>
            </w:pPr>
            <w:r>
              <w:rPr>
                <w:rFonts w:hint="eastAsia"/>
                <w:szCs w:val="21"/>
              </w:rPr>
              <w:t>9006</w:t>
            </w:r>
          </w:p>
        </w:tc>
      </w:tr>
      <w:tr w14:paraId="5689211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jc w:val="center"/>
        </w:trPr>
        <w:tc>
          <w:tcPr>
            <w:tcW w:w="659" w:type="pct"/>
            <w:vMerge w:val="continue"/>
            <w:tcBorders>
              <w:right w:val="single" w:color="auto" w:sz="4" w:space="0"/>
            </w:tcBorders>
            <w:vAlign w:val="center"/>
          </w:tcPr>
          <w:p w14:paraId="2D7B993C">
            <w:pPr>
              <w:widowControl/>
              <w:adjustRightInd w:val="0"/>
              <w:snapToGrid w:val="0"/>
              <w:spacing w:before="0" w:beforeLines="0" w:line="240" w:lineRule="auto"/>
              <w:jc w:val="center"/>
              <w:rPr>
                <w:kern w:val="0"/>
                <w:szCs w:val="21"/>
                <w:lang w:bidi="ar"/>
              </w:rPr>
            </w:pPr>
          </w:p>
        </w:tc>
        <w:tc>
          <w:tcPr>
            <w:tcW w:w="560" w:type="pct"/>
            <w:vMerge w:val="continue"/>
            <w:tcBorders>
              <w:left w:val="single" w:color="auto" w:sz="4" w:space="0"/>
            </w:tcBorders>
            <w:vAlign w:val="center"/>
          </w:tcPr>
          <w:p w14:paraId="79B25B06">
            <w:pPr>
              <w:widowControl/>
              <w:adjustRightInd w:val="0"/>
              <w:snapToGrid w:val="0"/>
              <w:spacing w:before="0" w:beforeLines="0" w:line="240" w:lineRule="auto"/>
              <w:jc w:val="center"/>
              <w:rPr>
                <w:kern w:val="0"/>
                <w:szCs w:val="21"/>
                <w:lang w:bidi="ar"/>
              </w:rPr>
            </w:pPr>
          </w:p>
        </w:tc>
        <w:tc>
          <w:tcPr>
            <w:tcW w:w="761" w:type="pct"/>
            <w:vMerge w:val="continue"/>
            <w:vAlign w:val="center"/>
          </w:tcPr>
          <w:p w14:paraId="4A5AF947">
            <w:pPr>
              <w:widowControl/>
              <w:adjustRightInd w:val="0"/>
              <w:snapToGrid w:val="0"/>
              <w:spacing w:before="0" w:beforeLines="0" w:line="240" w:lineRule="auto"/>
              <w:jc w:val="center"/>
              <w:rPr>
                <w:kern w:val="0"/>
                <w:szCs w:val="21"/>
                <w:lang w:bidi="ar"/>
              </w:rPr>
            </w:pPr>
          </w:p>
        </w:tc>
        <w:tc>
          <w:tcPr>
            <w:tcW w:w="874" w:type="pct"/>
            <w:vAlign w:val="center"/>
          </w:tcPr>
          <w:p w14:paraId="1F19FBA0">
            <w:pPr>
              <w:widowControl/>
              <w:adjustRightInd w:val="0"/>
              <w:snapToGrid w:val="0"/>
              <w:spacing w:before="0" w:beforeLines="0" w:line="240" w:lineRule="auto"/>
              <w:jc w:val="center"/>
              <w:textAlignment w:val="center"/>
              <w:rPr>
                <w:kern w:val="0"/>
                <w:szCs w:val="21"/>
                <w:lang w:bidi="ar"/>
              </w:rPr>
            </w:pPr>
            <w:r>
              <w:rPr>
                <w:kern w:val="0"/>
                <w:szCs w:val="21"/>
                <w:lang w:bidi="ar"/>
              </w:rPr>
              <w:t>钒钛磁铁矿</w:t>
            </w:r>
          </w:p>
        </w:tc>
        <w:tc>
          <w:tcPr>
            <w:tcW w:w="874" w:type="pct"/>
            <w:tcBorders>
              <w:right w:val="single" w:color="auto" w:sz="4" w:space="0"/>
            </w:tcBorders>
            <w:vAlign w:val="center"/>
          </w:tcPr>
          <w:p w14:paraId="42D6F301">
            <w:pPr>
              <w:widowControl/>
              <w:adjustRightInd w:val="0"/>
              <w:snapToGrid w:val="0"/>
              <w:spacing w:before="0" w:beforeLines="0" w:line="240" w:lineRule="auto"/>
              <w:jc w:val="center"/>
              <w:textAlignment w:val="center"/>
              <w:rPr>
                <w:kern w:val="0"/>
                <w:szCs w:val="21"/>
                <w:lang w:bidi="ar"/>
              </w:rPr>
            </w:pPr>
            <w:r>
              <w:rPr>
                <w:kern w:val="0"/>
                <w:szCs w:val="21"/>
                <w:lang w:bidi="ar"/>
              </w:rPr>
              <w:t>1.2</w:t>
            </w:r>
          </w:p>
        </w:tc>
        <w:tc>
          <w:tcPr>
            <w:tcW w:w="1270" w:type="pct"/>
            <w:tcBorders>
              <w:left w:val="single" w:color="auto" w:sz="4" w:space="0"/>
            </w:tcBorders>
            <w:vAlign w:val="center"/>
          </w:tcPr>
          <w:p w14:paraId="4B354AF3">
            <w:pPr>
              <w:widowControl/>
              <w:adjustRightInd w:val="0"/>
              <w:snapToGrid w:val="0"/>
              <w:spacing w:before="0" w:beforeLines="0" w:line="240" w:lineRule="auto"/>
              <w:jc w:val="center"/>
              <w:textAlignment w:val="center"/>
              <w:rPr>
                <w:kern w:val="0"/>
                <w:szCs w:val="21"/>
                <w:lang w:bidi="ar"/>
              </w:rPr>
            </w:pPr>
            <w:r>
              <w:rPr>
                <w:szCs w:val="21"/>
              </w:rPr>
              <w:t xml:space="preserve">1680 </w:t>
            </w:r>
          </w:p>
        </w:tc>
      </w:tr>
      <w:tr w14:paraId="7DD94E04">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jc w:val="center"/>
        </w:trPr>
        <w:tc>
          <w:tcPr>
            <w:tcW w:w="659" w:type="pct"/>
            <w:vMerge w:val="continue"/>
            <w:tcBorders>
              <w:right w:val="single" w:color="auto" w:sz="4" w:space="0"/>
            </w:tcBorders>
            <w:vAlign w:val="center"/>
          </w:tcPr>
          <w:p w14:paraId="65C7873C">
            <w:pPr>
              <w:widowControl/>
              <w:adjustRightInd w:val="0"/>
              <w:snapToGrid w:val="0"/>
              <w:spacing w:before="0" w:beforeLines="0" w:line="240" w:lineRule="auto"/>
              <w:jc w:val="center"/>
              <w:rPr>
                <w:kern w:val="0"/>
                <w:szCs w:val="21"/>
                <w:lang w:bidi="ar"/>
              </w:rPr>
            </w:pPr>
          </w:p>
        </w:tc>
        <w:tc>
          <w:tcPr>
            <w:tcW w:w="560" w:type="pct"/>
            <w:vMerge w:val="continue"/>
            <w:tcBorders>
              <w:left w:val="single" w:color="auto" w:sz="4" w:space="0"/>
            </w:tcBorders>
            <w:vAlign w:val="center"/>
          </w:tcPr>
          <w:p w14:paraId="329BE9C1">
            <w:pPr>
              <w:widowControl/>
              <w:adjustRightInd w:val="0"/>
              <w:snapToGrid w:val="0"/>
              <w:spacing w:before="0" w:beforeLines="0" w:line="240" w:lineRule="auto"/>
              <w:jc w:val="center"/>
              <w:rPr>
                <w:kern w:val="0"/>
                <w:szCs w:val="21"/>
                <w:lang w:bidi="ar"/>
              </w:rPr>
            </w:pPr>
          </w:p>
        </w:tc>
        <w:tc>
          <w:tcPr>
            <w:tcW w:w="761" w:type="pct"/>
            <w:vMerge w:val="continue"/>
            <w:vAlign w:val="center"/>
          </w:tcPr>
          <w:p w14:paraId="22636C9A">
            <w:pPr>
              <w:widowControl/>
              <w:adjustRightInd w:val="0"/>
              <w:snapToGrid w:val="0"/>
              <w:spacing w:before="0" w:beforeLines="0" w:line="240" w:lineRule="auto"/>
              <w:jc w:val="center"/>
              <w:rPr>
                <w:kern w:val="0"/>
                <w:szCs w:val="21"/>
                <w:lang w:bidi="ar"/>
              </w:rPr>
            </w:pPr>
          </w:p>
        </w:tc>
        <w:tc>
          <w:tcPr>
            <w:tcW w:w="874" w:type="pct"/>
            <w:vAlign w:val="center"/>
          </w:tcPr>
          <w:p w14:paraId="5B4A2177">
            <w:pPr>
              <w:widowControl/>
              <w:adjustRightInd w:val="0"/>
              <w:snapToGrid w:val="0"/>
              <w:spacing w:before="0" w:beforeLines="0" w:line="240" w:lineRule="auto"/>
              <w:jc w:val="center"/>
              <w:textAlignment w:val="center"/>
              <w:rPr>
                <w:kern w:val="0"/>
                <w:szCs w:val="21"/>
                <w:lang w:bidi="ar"/>
              </w:rPr>
            </w:pPr>
            <w:r>
              <w:rPr>
                <w:kern w:val="0"/>
                <w:szCs w:val="21"/>
                <w:lang w:bidi="ar"/>
              </w:rPr>
              <w:t>钛铁精矿</w:t>
            </w:r>
          </w:p>
        </w:tc>
        <w:tc>
          <w:tcPr>
            <w:tcW w:w="874" w:type="pct"/>
            <w:tcBorders>
              <w:right w:val="single" w:color="auto" w:sz="4" w:space="0"/>
            </w:tcBorders>
            <w:vAlign w:val="center"/>
          </w:tcPr>
          <w:p w14:paraId="45F2C40C">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27.57</w:t>
            </w:r>
          </w:p>
        </w:tc>
        <w:tc>
          <w:tcPr>
            <w:tcW w:w="1270" w:type="pct"/>
            <w:tcBorders>
              <w:left w:val="single" w:color="auto" w:sz="4" w:space="0"/>
            </w:tcBorders>
            <w:vAlign w:val="center"/>
          </w:tcPr>
          <w:p w14:paraId="0D57D6D4">
            <w:pPr>
              <w:widowControl/>
              <w:adjustRightInd w:val="0"/>
              <w:snapToGrid w:val="0"/>
              <w:spacing w:before="0" w:beforeLines="0" w:line="240" w:lineRule="auto"/>
              <w:jc w:val="center"/>
              <w:textAlignment w:val="center"/>
              <w:rPr>
                <w:kern w:val="0"/>
                <w:szCs w:val="21"/>
                <w:lang w:bidi="ar"/>
              </w:rPr>
            </w:pPr>
            <w:r>
              <w:rPr>
                <w:szCs w:val="21"/>
              </w:rPr>
              <w:t xml:space="preserve">11028 </w:t>
            </w:r>
          </w:p>
        </w:tc>
      </w:tr>
      <w:tr w14:paraId="32CCA19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jc w:val="center"/>
        </w:trPr>
        <w:tc>
          <w:tcPr>
            <w:tcW w:w="659" w:type="pct"/>
            <w:vMerge w:val="continue"/>
            <w:tcBorders>
              <w:right w:val="single" w:color="auto" w:sz="4" w:space="0"/>
            </w:tcBorders>
            <w:vAlign w:val="center"/>
          </w:tcPr>
          <w:p w14:paraId="1492E8D7">
            <w:pPr>
              <w:widowControl/>
              <w:adjustRightInd w:val="0"/>
              <w:snapToGrid w:val="0"/>
              <w:spacing w:before="0" w:beforeLines="0" w:line="240" w:lineRule="auto"/>
              <w:jc w:val="center"/>
              <w:textAlignment w:val="center"/>
              <w:rPr>
                <w:kern w:val="0"/>
                <w:szCs w:val="21"/>
                <w:lang w:bidi="ar"/>
              </w:rPr>
            </w:pPr>
          </w:p>
        </w:tc>
        <w:tc>
          <w:tcPr>
            <w:tcW w:w="560" w:type="pct"/>
            <w:vMerge w:val="continue"/>
            <w:tcBorders>
              <w:left w:val="single" w:color="auto" w:sz="4" w:space="0"/>
            </w:tcBorders>
            <w:vAlign w:val="center"/>
          </w:tcPr>
          <w:p w14:paraId="62FB3D78">
            <w:pPr>
              <w:widowControl/>
              <w:adjustRightInd w:val="0"/>
              <w:snapToGrid w:val="0"/>
              <w:spacing w:before="0" w:beforeLines="0" w:line="240" w:lineRule="auto"/>
              <w:jc w:val="center"/>
              <w:textAlignment w:val="center"/>
              <w:rPr>
                <w:kern w:val="0"/>
                <w:szCs w:val="21"/>
                <w:lang w:bidi="ar"/>
              </w:rPr>
            </w:pPr>
          </w:p>
        </w:tc>
        <w:tc>
          <w:tcPr>
            <w:tcW w:w="761" w:type="pct"/>
            <w:vMerge w:val="continue"/>
            <w:vAlign w:val="center"/>
          </w:tcPr>
          <w:p w14:paraId="5B721BBA">
            <w:pPr>
              <w:widowControl/>
              <w:adjustRightInd w:val="0"/>
              <w:snapToGrid w:val="0"/>
              <w:spacing w:before="0" w:beforeLines="0" w:line="240" w:lineRule="auto"/>
              <w:jc w:val="center"/>
              <w:textAlignment w:val="center"/>
              <w:rPr>
                <w:kern w:val="0"/>
                <w:szCs w:val="21"/>
                <w:lang w:bidi="ar"/>
              </w:rPr>
            </w:pPr>
          </w:p>
        </w:tc>
        <w:tc>
          <w:tcPr>
            <w:tcW w:w="874" w:type="pct"/>
            <w:vAlign w:val="center"/>
          </w:tcPr>
          <w:p w14:paraId="439EA76E">
            <w:pPr>
              <w:widowControl/>
              <w:adjustRightInd w:val="0"/>
              <w:snapToGrid w:val="0"/>
              <w:spacing w:before="0" w:beforeLines="0" w:line="240" w:lineRule="auto"/>
              <w:jc w:val="center"/>
              <w:textAlignment w:val="center"/>
              <w:rPr>
                <w:kern w:val="0"/>
                <w:szCs w:val="21"/>
                <w:lang w:bidi="ar"/>
              </w:rPr>
            </w:pPr>
            <w:r>
              <w:rPr>
                <w:kern w:val="0"/>
                <w:szCs w:val="21"/>
                <w:lang w:bidi="ar"/>
              </w:rPr>
              <w:t>泥饼</w:t>
            </w:r>
          </w:p>
        </w:tc>
        <w:tc>
          <w:tcPr>
            <w:tcW w:w="874" w:type="pct"/>
            <w:tcBorders>
              <w:right w:val="single" w:color="auto" w:sz="4" w:space="0"/>
            </w:tcBorders>
            <w:vAlign w:val="center"/>
          </w:tcPr>
          <w:p w14:paraId="388A0047">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1.223</w:t>
            </w:r>
          </w:p>
        </w:tc>
        <w:tc>
          <w:tcPr>
            <w:tcW w:w="1270" w:type="pct"/>
            <w:tcBorders>
              <w:left w:val="single" w:color="auto" w:sz="4" w:space="0"/>
            </w:tcBorders>
            <w:vAlign w:val="center"/>
          </w:tcPr>
          <w:p w14:paraId="21396B0D">
            <w:pPr>
              <w:widowControl/>
              <w:adjustRightInd w:val="0"/>
              <w:snapToGrid w:val="0"/>
              <w:spacing w:before="0" w:beforeLines="0" w:line="240" w:lineRule="auto"/>
              <w:jc w:val="center"/>
              <w:textAlignment w:val="center"/>
              <w:rPr>
                <w:kern w:val="0"/>
                <w:szCs w:val="21"/>
                <w:lang w:bidi="ar"/>
              </w:rPr>
            </w:pPr>
            <w:r>
              <w:rPr>
                <w:rFonts w:hint="eastAsia"/>
                <w:szCs w:val="21"/>
              </w:rPr>
              <w:t>11393.55</w:t>
            </w:r>
          </w:p>
        </w:tc>
      </w:tr>
      <w:tr w14:paraId="0686D973">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jc w:val="center"/>
        </w:trPr>
        <w:tc>
          <w:tcPr>
            <w:tcW w:w="659" w:type="pct"/>
            <w:vMerge w:val="continue"/>
            <w:tcBorders>
              <w:right w:val="single" w:color="auto" w:sz="4" w:space="0"/>
            </w:tcBorders>
            <w:vAlign w:val="center"/>
          </w:tcPr>
          <w:p w14:paraId="6F60362F">
            <w:pPr>
              <w:widowControl/>
              <w:adjustRightInd w:val="0"/>
              <w:snapToGrid w:val="0"/>
              <w:spacing w:before="0" w:beforeLines="0" w:line="240" w:lineRule="auto"/>
              <w:jc w:val="center"/>
              <w:rPr>
                <w:kern w:val="0"/>
                <w:szCs w:val="21"/>
                <w:lang w:bidi="ar"/>
              </w:rPr>
            </w:pPr>
          </w:p>
        </w:tc>
        <w:tc>
          <w:tcPr>
            <w:tcW w:w="560" w:type="pct"/>
            <w:vMerge w:val="continue"/>
            <w:tcBorders>
              <w:left w:val="single" w:color="auto" w:sz="4" w:space="0"/>
            </w:tcBorders>
            <w:vAlign w:val="center"/>
          </w:tcPr>
          <w:p w14:paraId="590B8D7A">
            <w:pPr>
              <w:widowControl/>
              <w:adjustRightInd w:val="0"/>
              <w:snapToGrid w:val="0"/>
              <w:spacing w:before="0" w:beforeLines="0" w:line="240" w:lineRule="auto"/>
              <w:jc w:val="center"/>
              <w:rPr>
                <w:kern w:val="0"/>
                <w:szCs w:val="21"/>
                <w:lang w:bidi="ar"/>
              </w:rPr>
            </w:pPr>
          </w:p>
        </w:tc>
        <w:tc>
          <w:tcPr>
            <w:tcW w:w="761" w:type="pct"/>
            <w:vMerge w:val="continue"/>
            <w:vAlign w:val="center"/>
          </w:tcPr>
          <w:p w14:paraId="2B3F6A72">
            <w:pPr>
              <w:widowControl/>
              <w:adjustRightInd w:val="0"/>
              <w:snapToGrid w:val="0"/>
              <w:spacing w:before="0" w:beforeLines="0" w:line="240" w:lineRule="auto"/>
              <w:jc w:val="center"/>
              <w:rPr>
                <w:kern w:val="0"/>
                <w:szCs w:val="21"/>
                <w:lang w:bidi="ar"/>
              </w:rPr>
            </w:pPr>
          </w:p>
        </w:tc>
        <w:tc>
          <w:tcPr>
            <w:tcW w:w="874" w:type="pct"/>
            <w:vAlign w:val="center"/>
          </w:tcPr>
          <w:p w14:paraId="3AE36B2F">
            <w:pPr>
              <w:widowControl/>
              <w:adjustRightInd w:val="0"/>
              <w:snapToGrid w:val="0"/>
              <w:spacing w:before="0" w:beforeLines="0" w:line="240" w:lineRule="auto"/>
              <w:jc w:val="center"/>
              <w:textAlignment w:val="center"/>
              <w:rPr>
                <w:kern w:val="0"/>
                <w:szCs w:val="21"/>
                <w:lang w:bidi="ar"/>
              </w:rPr>
            </w:pPr>
            <w:r>
              <w:rPr>
                <w:kern w:val="0"/>
                <w:szCs w:val="21"/>
                <w:lang w:bidi="ar"/>
              </w:rPr>
              <w:t>粉尘</w:t>
            </w:r>
          </w:p>
        </w:tc>
        <w:tc>
          <w:tcPr>
            <w:tcW w:w="874" w:type="pct"/>
            <w:tcBorders>
              <w:right w:val="single" w:color="auto" w:sz="4" w:space="0"/>
            </w:tcBorders>
            <w:vAlign w:val="center"/>
          </w:tcPr>
          <w:p w14:paraId="4193C6C3">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1.946</w:t>
            </w:r>
          </w:p>
        </w:tc>
        <w:tc>
          <w:tcPr>
            <w:tcW w:w="1270" w:type="pct"/>
            <w:tcBorders>
              <w:left w:val="single" w:color="auto" w:sz="4" w:space="0"/>
            </w:tcBorders>
            <w:vAlign w:val="center"/>
          </w:tcPr>
          <w:p w14:paraId="5D3CF4C4">
            <w:pPr>
              <w:widowControl/>
              <w:adjustRightInd w:val="0"/>
              <w:snapToGrid w:val="0"/>
              <w:spacing w:before="0" w:beforeLines="0" w:line="240" w:lineRule="auto"/>
              <w:jc w:val="center"/>
              <w:textAlignment w:val="center"/>
              <w:rPr>
                <w:kern w:val="0"/>
                <w:szCs w:val="21"/>
                <w:lang w:bidi="ar"/>
              </w:rPr>
            </w:pPr>
            <w:r>
              <w:rPr>
                <w:rFonts w:hint="eastAsia"/>
                <w:szCs w:val="21"/>
              </w:rPr>
              <w:t>72.45</w:t>
            </w:r>
          </w:p>
        </w:tc>
      </w:tr>
      <w:bookmarkEnd w:id="107"/>
      <w:tr w14:paraId="56216A70">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jc w:val="center"/>
        </w:trPr>
        <w:tc>
          <w:tcPr>
            <w:tcW w:w="1219" w:type="pct"/>
            <w:gridSpan w:val="2"/>
            <w:vAlign w:val="center"/>
          </w:tcPr>
          <w:p w14:paraId="7E50C6DF">
            <w:pPr>
              <w:widowControl/>
              <w:adjustRightInd w:val="0"/>
              <w:snapToGrid w:val="0"/>
              <w:spacing w:before="0" w:beforeLines="0" w:line="240" w:lineRule="auto"/>
              <w:jc w:val="center"/>
              <w:textAlignment w:val="center"/>
              <w:rPr>
                <w:kern w:val="0"/>
                <w:szCs w:val="21"/>
                <w:lang w:bidi="ar"/>
              </w:rPr>
            </w:pPr>
            <w:r>
              <w:rPr>
                <w:kern w:val="0"/>
                <w:szCs w:val="21"/>
                <w:lang w:bidi="ar"/>
              </w:rPr>
              <w:t>合计</w:t>
            </w:r>
          </w:p>
        </w:tc>
        <w:tc>
          <w:tcPr>
            <w:tcW w:w="761" w:type="pct"/>
            <w:vAlign w:val="center"/>
          </w:tcPr>
          <w:p w14:paraId="7BEA5EC1">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71100</w:t>
            </w:r>
          </w:p>
        </w:tc>
        <w:tc>
          <w:tcPr>
            <w:tcW w:w="1749" w:type="pct"/>
            <w:gridSpan w:val="2"/>
            <w:tcBorders>
              <w:right w:val="single" w:color="auto" w:sz="4" w:space="0"/>
            </w:tcBorders>
            <w:vAlign w:val="center"/>
          </w:tcPr>
          <w:p w14:paraId="69421B28">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合计</w:t>
            </w:r>
          </w:p>
        </w:tc>
        <w:tc>
          <w:tcPr>
            <w:tcW w:w="1270" w:type="pct"/>
            <w:tcBorders>
              <w:left w:val="single" w:color="auto" w:sz="4" w:space="0"/>
            </w:tcBorders>
            <w:vAlign w:val="center"/>
          </w:tcPr>
          <w:p w14:paraId="2818AFEA">
            <w:pPr>
              <w:widowControl/>
              <w:adjustRightInd w:val="0"/>
              <w:snapToGrid w:val="0"/>
              <w:spacing w:before="0" w:beforeLines="0" w:line="240" w:lineRule="auto"/>
              <w:jc w:val="center"/>
              <w:textAlignment w:val="center"/>
              <w:rPr>
                <w:kern w:val="0"/>
                <w:szCs w:val="21"/>
                <w:lang w:bidi="ar"/>
              </w:rPr>
            </w:pPr>
            <w:r>
              <w:rPr>
                <w:kern w:val="0"/>
                <w:szCs w:val="21"/>
                <w:lang w:bidi="ar"/>
              </w:rPr>
              <w:fldChar w:fldCharType="begin"/>
            </w:r>
            <w:r>
              <w:rPr>
                <w:kern w:val="0"/>
                <w:szCs w:val="21"/>
                <w:lang w:bidi="ar"/>
              </w:rPr>
              <w:instrText xml:space="preserve"> </w:instrText>
            </w:r>
            <w:r>
              <w:rPr>
                <w:rFonts w:hint="eastAsia"/>
                <w:kern w:val="0"/>
                <w:szCs w:val="21"/>
                <w:lang w:bidi="ar"/>
              </w:rPr>
              <w:instrText xml:space="preserve">=SUM(ABOVE)</w:instrText>
            </w:r>
            <w:r>
              <w:rPr>
                <w:kern w:val="0"/>
                <w:szCs w:val="21"/>
                <w:lang w:bidi="ar"/>
              </w:rPr>
              <w:instrText xml:space="preserve"> </w:instrText>
            </w:r>
            <w:r>
              <w:rPr>
                <w:kern w:val="0"/>
                <w:szCs w:val="21"/>
                <w:lang w:bidi="ar"/>
              </w:rPr>
              <w:fldChar w:fldCharType="separate"/>
            </w:r>
            <w:r>
              <w:rPr>
                <w:kern w:val="0"/>
                <w:szCs w:val="21"/>
                <w:lang w:bidi="ar"/>
              </w:rPr>
              <w:t>71100</w:t>
            </w:r>
            <w:r>
              <w:rPr>
                <w:kern w:val="0"/>
                <w:szCs w:val="21"/>
                <w:lang w:bidi="ar"/>
              </w:rPr>
              <w:fldChar w:fldCharType="end"/>
            </w:r>
          </w:p>
        </w:tc>
      </w:tr>
    </w:tbl>
    <w:p w14:paraId="5AFD40FF">
      <w:pPr>
        <w:pStyle w:val="135"/>
        <w:snapToGrid w:val="0"/>
        <w:spacing w:before="78" w:line="360" w:lineRule="auto"/>
        <w:ind w:firstLine="482" w:firstLineChars="200"/>
        <w:jc w:val="left"/>
        <w:rPr>
          <w:b/>
          <w:bCs/>
          <w:kern w:val="0"/>
          <w:sz w:val="24"/>
          <w:szCs w:val="24"/>
        </w:rPr>
      </w:pPr>
      <w:r>
        <w:rPr>
          <w:rFonts w:hint="eastAsia"/>
          <w:b/>
          <w:bCs/>
          <w:kern w:val="0"/>
          <w:sz w:val="24"/>
          <w:szCs w:val="24"/>
        </w:rPr>
        <w:t>（4）</w:t>
      </w:r>
      <w:r>
        <w:rPr>
          <w:b/>
          <w:bCs/>
          <w:kern w:val="0"/>
          <w:sz w:val="24"/>
          <w:szCs w:val="24"/>
        </w:rPr>
        <w:t>钒元素平衡</w:t>
      </w:r>
    </w:p>
    <w:p w14:paraId="40B36F92">
      <w:pPr>
        <w:pStyle w:val="135"/>
        <w:snapToGrid w:val="0"/>
        <w:spacing w:before="78" w:line="360" w:lineRule="auto"/>
        <w:ind w:firstLine="480" w:firstLineChars="200"/>
        <w:jc w:val="left"/>
        <w:rPr>
          <w:kern w:val="0"/>
          <w:sz w:val="24"/>
          <w:szCs w:val="24"/>
        </w:rPr>
      </w:pPr>
      <w:r>
        <w:rPr>
          <w:kern w:val="0"/>
          <w:sz w:val="24"/>
          <w:szCs w:val="24"/>
        </w:rPr>
        <w:t>根据项目工艺流程及物料平衡，钒元素平衡</w:t>
      </w:r>
      <w:r>
        <w:rPr>
          <w:rFonts w:hint="eastAsia"/>
          <w:kern w:val="0"/>
          <w:sz w:val="24"/>
          <w:szCs w:val="24"/>
        </w:rPr>
        <w:t>见表3.1-19。</w:t>
      </w:r>
    </w:p>
    <w:p w14:paraId="3ECC1453">
      <w:pPr>
        <w:pStyle w:val="6"/>
        <w:tabs>
          <w:tab w:val="left" w:pos="540"/>
        </w:tabs>
        <w:adjustRightInd w:val="0"/>
        <w:snapToGrid w:val="0"/>
        <w:spacing w:before="156" w:beforeLines="50" w:line="240" w:lineRule="auto"/>
        <w:ind w:firstLine="0" w:firstLineChars="0"/>
        <w:jc w:val="center"/>
        <w:rPr>
          <w:rFonts w:ascii="Times New Roman" w:hAnsi="Times New Roman"/>
          <w:b/>
          <w:bCs/>
          <w:sz w:val="21"/>
          <w:szCs w:val="21"/>
        </w:rPr>
      </w:pPr>
      <w:r>
        <w:rPr>
          <w:rFonts w:ascii="Times New Roman" w:hAnsi="Times New Roman"/>
          <w:b/>
          <w:bCs/>
          <w:sz w:val="21"/>
          <w:szCs w:val="21"/>
        </w:rPr>
        <w:t>表3.</w:t>
      </w:r>
      <w:r>
        <w:rPr>
          <w:rFonts w:hint="eastAsia" w:ascii="Times New Roman" w:hAnsi="Times New Roman"/>
          <w:b/>
          <w:bCs/>
          <w:sz w:val="21"/>
          <w:szCs w:val="21"/>
        </w:rPr>
        <w:t>1</w:t>
      </w:r>
      <w:r>
        <w:rPr>
          <w:rFonts w:ascii="Times New Roman" w:hAnsi="Times New Roman"/>
          <w:b/>
          <w:bCs/>
          <w:sz w:val="21"/>
          <w:szCs w:val="21"/>
        </w:rPr>
        <w:t>-1</w:t>
      </w:r>
      <w:r>
        <w:rPr>
          <w:rFonts w:hint="eastAsia" w:ascii="Times New Roman" w:hAnsi="Times New Roman"/>
          <w:b/>
          <w:bCs/>
          <w:sz w:val="21"/>
          <w:szCs w:val="21"/>
        </w:rPr>
        <w:t xml:space="preserve">9    </w:t>
      </w:r>
      <w:r>
        <w:rPr>
          <w:rFonts w:ascii="Times New Roman" w:hAnsi="Times New Roman"/>
          <w:b/>
          <w:bCs/>
          <w:sz w:val="21"/>
          <w:szCs w:val="21"/>
        </w:rPr>
        <w:t xml:space="preserve">  钒元素平衡分析表</w:t>
      </w:r>
    </w:p>
    <w:tbl>
      <w:tblPr>
        <w:tblStyle w:val="89"/>
        <w:tblW w:w="5198" w:type="pct"/>
        <w:jc w:val="center"/>
        <w:tblBorders>
          <w:top w:val="single" w:color="auto" w:sz="12" w:space="0"/>
          <w:left w:val="none" w:color="auto" w:sz="0" w:space="0"/>
          <w:bottom w:val="single" w:color="auto" w:sz="12" w:space="0"/>
          <w:right w:val="none" w:color="auto" w:sz="0" w:space="0"/>
          <w:insideH w:val="single" w:color="auto" w:sz="6" w:space="0"/>
          <w:insideV w:val="single" w:color="auto" w:sz="4" w:space="0"/>
        </w:tblBorders>
        <w:tblLayout w:type="autofit"/>
        <w:tblCellMar>
          <w:top w:w="0" w:type="dxa"/>
          <w:left w:w="108" w:type="dxa"/>
          <w:bottom w:w="0" w:type="dxa"/>
          <w:right w:w="108" w:type="dxa"/>
        </w:tblCellMar>
      </w:tblPr>
      <w:tblGrid>
        <w:gridCol w:w="1206"/>
        <w:gridCol w:w="1223"/>
        <w:gridCol w:w="1219"/>
        <w:gridCol w:w="1440"/>
        <w:gridCol w:w="1463"/>
        <w:gridCol w:w="2090"/>
      </w:tblGrid>
      <w:tr w14:paraId="13173A70">
        <w:tblPrEx>
          <w:tblBorders>
            <w:top w:val="single" w:color="auto" w:sz="12" w:space="0"/>
            <w:left w:val="none" w:color="auto" w:sz="0" w:space="0"/>
            <w:bottom w:val="single" w:color="auto" w:sz="12" w:space="0"/>
            <w:right w:val="none" w:color="auto" w:sz="0" w:space="0"/>
            <w:insideH w:val="single" w:color="auto" w:sz="6" w:space="0"/>
            <w:insideV w:val="single" w:color="auto" w:sz="4" w:space="0"/>
          </w:tblBorders>
          <w:tblCellMar>
            <w:top w:w="0" w:type="dxa"/>
            <w:left w:w="108" w:type="dxa"/>
            <w:bottom w:w="0" w:type="dxa"/>
            <w:right w:w="108" w:type="dxa"/>
          </w:tblCellMar>
        </w:tblPrEx>
        <w:trPr>
          <w:trHeight w:val="308" w:hRule="atLeast"/>
          <w:jc w:val="center"/>
        </w:trPr>
        <w:tc>
          <w:tcPr>
            <w:tcW w:w="3648" w:type="dxa"/>
            <w:gridSpan w:val="3"/>
            <w:tcBorders>
              <w:tl2br w:val="nil"/>
              <w:tr2bl w:val="nil"/>
            </w:tcBorders>
            <w:vAlign w:val="center"/>
          </w:tcPr>
          <w:p w14:paraId="3634774A">
            <w:pPr>
              <w:widowControl/>
              <w:adjustRightInd w:val="0"/>
              <w:snapToGrid w:val="0"/>
              <w:spacing w:before="0" w:beforeLines="0" w:line="240" w:lineRule="auto"/>
              <w:jc w:val="center"/>
              <w:textAlignment w:val="center"/>
              <w:rPr>
                <w:kern w:val="0"/>
                <w:szCs w:val="21"/>
                <w:lang w:bidi="ar"/>
              </w:rPr>
            </w:pPr>
            <w:r>
              <w:rPr>
                <w:kern w:val="0"/>
                <w:szCs w:val="21"/>
                <w:lang w:bidi="ar"/>
              </w:rPr>
              <w:t>投入</w:t>
            </w:r>
          </w:p>
        </w:tc>
        <w:tc>
          <w:tcPr>
            <w:tcW w:w="4993" w:type="dxa"/>
            <w:gridSpan w:val="3"/>
            <w:tcBorders>
              <w:tl2br w:val="nil"/>
              <w:tr2bl w:val="nil"/>
            </w:tcBorders>
            <w:vAlign w:val="center"/>
          </w:tcPr>
          <w:p w14:paraId="15D12222">
            <w:pPr>
              <w:widowControl/>
              <w:adjustRightInd w:val="0"/>
              <w:snapToGrid w:val="0"/>
              <w:spacing w:before="0" w:beforeLines="0" w:line="240" w:lineRule="auto"/>
              <w:jc w:val="center"/>
              <w:textAlignment w:val="center"/>
              <w:rPr>
                <w:kern w:val="0"/>
                <w:szCs w:val="21"/>
                <w:lang w:bidi="ar"/>
              </w:rPr>
            </w:pPr>
            <w:r>
              <w:rPr>
                <w:kern w:val="0"/>
                <w:szCs w:val="21"/>
                <w:lang w:bidi="ar"/>
              </w:rPr>
              <w:t>产出</w:t>
            </w:r>
          </w:p>
        </w:tc>
      </w:tr>
      <w:tr w14:paraId="6BE6496E">
        <w:tblPrEx>
          <w:tblBorders>
            <w:top w:val="single" w:color="auto" w:sz="12" w:space="0"/>
            <w:left w:val="none" w:color="auto" w:sz="0" w:space="0"/>
            <w:bottom w:val="single" w:color="auto" w:sz="12" w:space="0"/>
            <w:right w:val="none" w:color="auto" w:sz="0" w:space="0"/>
            <w:insideH w:val="single" w:color="auto" w:sz="6" w:space="0"/>
            <w:insideV w:val="single" w:color="auto" w:sz="4" w:space="0"/>
          </w:tblBorders>
          <w:tblCellMar>
            <w:top w:w="0" w:type="dxa"/>
            <w:left w:w="108" w:type="dxa"/>
            <w:bottom w:w="0" w:type="dxa"/>
            <w:right w:w="108" w:type="dxa"/>
          </w:tblCellMar>
        </w:tblPrEx>
        <w:trPr>
          <w:trHeight w:val="308" w:hRule="atLeast"/>
          <w:jc w:val="center"/>
        </w:trPr>
        <w:tc>
          <w:tcPr>
            <w:tcW w:w="1206" w:type="dxa"/>
            <w:tcBorders>
              <w:tl2br w:val="nil"/>
              <w:tr2bl w:val="nil"/>
            </w:tcBorders>
            <w:vAlign w:val="center"/>
          </w:tcPr>
          <w:p w14:paraId="7D29841F">
            <w:pPr>
              <w:widowControl/>
              <w:adjustRightInd w:val="0"/>
              <w:snapToGrid w:val="0"/>
              <w:spacing w:before="0" w:beforeLines="0" w:line="240" w:lineRule="auto"/>
              <w:jc w:val="center"/>
              <w:textAlignment w:val="center"/>
              <w:rPr>
                <w:kern w:val="0"/>
                <w:szCs w:val="21"/>
                <w:lang w:bidi="ar"/>
              </w:rPr>
            </w:pPr>
            <w:r>
              <w:rPr>
                <w:kern w:val="0"/>
                <w:szCs w:val="21"/>
                <w:lang w:bidi="ar"/>
              </w:rPr>
              <w:t>物料名称</w:t>
            </w:r>
          </w:p>
        </w:tc>
        <w:tc>
          <w:tcPr>
            <w:tcW w:w="1222" w:type="dxa"/>
            <w:tcBorders>
              <w:tl2br w:val="nil"/>
              <w:tr2bl w:val="nil"/>
            </w:tcBorders>
            <w:vAlign w:val="center"/>
          </w:tcPr>
          <w:p w14:paraId="3CBE8443">
            <w:pPr>
              <w:widowControl/>
              <w:adjustRightInd w:val="0"/>
              <w:snapToGrid w:val="0"/>
              <w:spacing w:before="0" w:beforeLines="0" w:line="240" w:lineRule="auto"/>
              <w:jc w:val="center"/>
              <w:textAlignment w:val="center"/>
              <w:rPr>
                <w:kern w:val="0"/>
                <w:szCs w:val="21"/>
                <w:lang w:bidi="ar"/>
              </w:rPr>
            </w:pPr>
            <w:r>
              <w:rPr>
                <w:kern w:val="0"/>
                <w:szCs w:val="21"/>
                <w:lang w:bidi="ar"/>
              </w:rPr>
              <w:t>品位%</w:t>
            </w:r>
          </w:p>
        </w:tc>
        <w:tc>
          <w:tcPr>
            <w:tcW w:w="1218" w:type="dxa"/>
            <w:tcBorders>
              <w:tl2br w:val="nil"/>
              <w:tr2bl w:val="nil"/>
            </w:tcBorders>
            <w:vAlign w:val="center"/>
          </w:tcPr>
          <w:p w14:paraId="73E4C080">
            <w:pPr>
              <w:widowControl/>
              <w:adjustRightInd w:val="0"/>
              <w:snapToGrid w:val="0"/>
              <w:spacing w:before="0" w:beforeLines="0" w:line="240" w:lineRule="auto"/>
              <w:jc w:val="center"/>
              <w:textAlignment w:val="center"/>
              <w:rPr>
                <w:kern w:val="0"/>
                <w:szCs w:val="21"/>
                <w:lang w:bidi="ar"/>
              </w:rPr>
            </w:pPr>
            <w:r>
              <w:rPr>
                <w:kern w:val="0"/>
                <w:szCs w:val="21"/>
                <w:lang w:bidi="ar"/>
              </w:rPr>
              <w:t>投入量(t/a)</w:t>
            </w:r>
          </w:p>
        </w:tc>
        <w:tc>
          <w:tcPr>
            <w:tcW w:w="1440" w:type="dxa"/>
            <w:tcBorders>
              <w:tl2br w:val="nil"/>
              <w:tr2bl w:val="nil"/>
            </w:tcBorders>
            <w:vAlign w:val="center"/>
          </w:tcPr>
          <w:p w14:paraId="29B9D740">
            <w:pPr>
              <w:widowControl/>
              <w:adjustRightInd w:val="0"/>
              <w:snapToGrid w:val="0"/>
              <w:spacing w:before="0" w:beforeLines="0" w:line="240" w:lineRule="auto"/>
              <w:jc w:val="center"/>
              <w:textAlignment w:val="center"/>
              <w:rPr>
                <w:kern w:val="0"/>
                <w:szCs w:val="21"/>
                <w:lang w:bidi="ar"/>
              </w:rPr>
            </w:pPr>
            <w:r>
              <w:rPr>
                <w:kern w:val="0"/>
                <w:szCs w:val="21"/>
                <w:lang w:bidi="ar"/>
              </w:rPr>
              <w:t>物料名称</w:t>
            </w:r>
          </w:p>
        </w:tc>
        <w:tc>
          <w:tcPr>
            <w:tcW w:w="1463" w:type="dxa"/>
            <w:tcBorders>
              <w:tl2br w:val="nil"/>
              <w:tr2bl w:val="nil"/>
            </w:tcBorders>
            <w:vAlign w:val="center"/>
          </w:tcPr>
          <w:p w14:paraId="598389B1">
            <w:pPr>
              <w:widowControl/>
              <w:adjustRightInd w:val="0"/>
              <w:snapToGrid w:val="0"/>
              <w:spacing w:before="0" w:beforeLines="0" w:line="240" w:lineRule="auto"/>
              <w:jc w:val="center"/>
              <w:textAlignment w:val="center"/>
              <w:rPr>
                <w:kern w:val="0"/>
                <w:szCs w:val="21"/>
                <w:lang w:bidi="ar"/>
              </w:rPr>
            </w:pPr>
            <w:r>
              <w:rPr>
                <w:kern w:val="0"/>
                <w:szCs w:val="21"/>
                <w:lang w:bidi="ar"/>
              </w:rPr>
              <w:t>品位%</w:t>
            </w:r>
          </w:p>
        </w:tc>
        <w:tc>
          <w:tcPr>
            <w:tcW w:w="2089" w:type="dxa"/>
            <w:tcBorders>
              <w:tl2br w:val="nil"/>
              <w:tr2bl w:val="nil"/>
            </w:tcBorders>
            <w:vAlign w:val="center"/>
          </w:tcPr>
          <w:p w14:paraId="2646242B">
            <w:pPr>
              <w:widowControl/>
              <w:adjustRightInd w:val="0"/>
              <w:snapToGrid w:val="0"/>
              <w:spacing w:before="0" w:beforeLines="0" w:line="240" w:lineRule="auto"/>
              <w:jc w:val="center"/>
              <w:textAlignment w:val="center"/>
              <w:rPr>
                <w:kern w:val="0"/>
                <w:szCs w:val="21"/>
                <w:lang w:bidi="ar"/>
              </w:rPr>
            </w:pPr>
            <w:r>
              <w:rPr>
                <w:kern w:val="0"/>
                <w:szCs w:val="21"/>
                <w:lang w:bidi="ar"/>
              </w:rPr>
              <w:t>产出量(t/a)</w:t>
            </w:r>
          </w:p>
        </w:tc>
      </w:tr>
      <w:tr w14:paraId="3EEBAC10">
        <w:tblPrEx>
          <w:tblBorders>
            <w:top w:val="single" w:color="auto" w:sz="12" w:space="0"/>
            <w:left w:val="none" w:color="auto" w:sz="0" w:space="0"/>
            <w:bottom w:val="single" w:color="auto" w:sz="12" w:space="0"/>
            <w:right w:val="none" w:color="auto" w:sz="0" w:space="0"/>
            <w:insideH w:val="single" w:color="auto" w:sz="6" w:space="0"/>
            <w:insideV w:val="single" w:color="auto" w:sz="4" w:space="0"/>
          </w:tblBorders>
          <w:tblCellMar>
            <w:top w:w="0" w:type="dxa"/>
            <w:left w:w="108" w:type="dxa"/>
            <w:bottom w:w="0" w:type="dxa"/>
            <w:right w:w="108" w:type="dxa"/>
          </w:tblCellMar>
        </w:tblPrEx>
        <w:trPr>
          <w:trHeight w:val="308" w:hRule="atLeast"/>
          <w:jc w:val="center"/>
        </w:trPr>
        <w:tc>
          <w:tcPr>
            <w:tcW w:w="1206" w:type="dxa"/>
            <w:vMerge w:val="restart"/>
            <w:tcBorders>
              <w:tl2br w:val="nil"/>
              <w:tr2bl w:val="nil"/>
            </w:tcBorders>
            <w:vAlign w:val="center"/>
          </w:tcPr>
          <w:p w14:paraId="7C9BE98F">
            <w:pPr>
              <w:widowControl/>
              <w:adjustRightInd w:val="0"/>
              <w:snapToGrid w:val="0"/>
              <w:spacing w:before="0" w:beforeLines="0" w:line="240" w:lineRule="auto"/>
              <w:jc w:val="center"/>
              <w:textAlignment w:val="center"/>
              <w:rPr>
                <w:kern w:val="0"/>
                <w:szCs w:val="21"/>
                <w:lang w:bidi="ar"/>
              </w:rPr>
            </w:pPr>
            <w:bookmarkStart w:id="108" w:name="_Hlk193382922"/>
            <w:r>
              <w:rPr>
                <w:rFonts w:hint="eastAsia"/>
                <w:kern w:val="0"/>
                <w:szCs w:val="21"/>
                <w:lang w:bidi="ar"/>
              </w:rPr>
              <w:t>尾矿、废石</w:t>
            </w:r>
          </w:p>
        </w:tc>
        <w:tc>
          <w:tcPr>
            <w:tcW w:w="1222" w:type="dxa"/>
            <w:vMerge w:val="restart"/>
            <w:tcBorders>
              <w:tl2br w:val="nil"/>
              <w:tr2bl w:val="nil"/>
            </w:tcBorders>
            <w:vAlign w:val="center"/>
          </w:tcPr>
          <w:p w14:paraId="045C02AC">
            <w:pPr>
              <w:widowControl/>
              <w:adjustRightInd w:val="0"/>
              <w:snapToGrid w:val="0"/>
              <w:spacing w:before="0" w:beforeLines="0" w:line="240" w:lineRule="auto"/>
              <w:jc w:val="center"/>
              <w:textAlignment w:val="center"/>
              <w:rPr>
                <w:kern w:val="0"/>
                <w:szCs w:val="21"/>
                <w:lang w:bidi="ar"/>
              </w:rPr>
            </w:pPr>
            <w:r>
              <w:rPr>
                <w:kern w:val="0"/>
                <w:szCs w:val="21"/>
                <w:lang w:bidi="ar"/>
              </w:rPr>
              <w:t>0.</w:t>
            </w:r>
            <w:r>
              <w:rPr>
                <w:rFonts w:hint="eastAsia"/>
                <w:kern w:val="0"/>
                <w:szCs w:val="21"/>
                <w:lang w:bidi="ar"/>
              </w:rPr>
              <w:t>0913</w:t>
            </w:r>
          </w:p>
        </w:tc>
        <w:tc>
          <w:tcPr>
            <w:tcW w:w="1218" w:type="dxa"/>
            <w:vMerge w:val="restart"/>
            <w:tcBorders>
              <w:tl2br w:val="nil"/>
              <w:tr2bl w:val="nil"/>
            </w:tcBorders>
            <w:vAlign w:val="center"/>
          </w:tcPr>
          <w:p w14:paraId="58DF2D5E">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2739</w:t>
            </w:r>
          </w:p>
        </w:tc>
        <w:tc>
          <w:tcPr>
            <w:tcW w:w="1440" w:type="dxa"/>
            <w:tcBorders>
              <w:tl2br w:val="nil"/>
              <w:tr2bl w:val="nil"/>
            </w:tcBorders>
            <w:vAlign w:val="center"/>
          </w:tcPr>
          <w:p w14:paraId="04DC416C">
            <w:pPr>
              <w:widowControl/>
              <w:adjustRightInd w:val="0"/>
              <w:snapToGrid w:val="0"/>
              <w:spacing w:before="0" w:beforeLines="0" w:line="240" w:lineRule="auto"/>
              <w:jc w:val="center"/>
              <w:textAlignment w:val="center"/>
              <w:rPr>
                <w:kern w:val="0"/>
                <w:szCs w:val="21"/>
                <w:lang w:bidi="ar"/>
              </w:rPr>
            </w:pPr>
            <w:r>
              <w:rPr>
                <w:kern w:val="0"/>
                <w:szCs w:val="21"/>
                <w:lang w:bidi="ar"/>
              </w:rPr>
              <w:t>机制砂</w:t>
            </w:r>
          </w:p>
        </w:tc>
        <w:tc>
          <w:tcPr>
            <w:tcW w:w="1463" w:type="dxa"/>
            <w:tcBorders>
              <w:tl2br w:val="nil"/>
              <w:tr2bl w:val="nil"/>
            </w:tcBorders>
            <w:vAlign w:val="center"/>
          </w:tcPr>
          <w:p w14:paraId="10C690A6">
            <w:pPr>
              <w:widowControl/>
              <w:adjustRightInd w:val="0"/>
              <w:snapToGrid w:val="0"/>
              <w:spacing w:before="0" w:beforeLines="0" w:line="240" w:lineRule="auto"/>
              <w:jc w:val="center"/>
              <w:textAlignment w:val="center"/>
              <w:rPr>
                <w:kern w:val="0"/>
                <w:szCs w:val="21"/>
                <w:lang w:bidi="ar"/>
              </w:rPr>
            </w:pPr>
            <w:r>
              <w:rPr>
                <w:kern w:val="0"/>
                <w:szCs w:val="21"/>
                <w:lang w:bidi="ar"/>
              </w:rPr>
              <w:t>0.</w:t>
            </w:r>
            <w:r>
              <w:rPr>
                <w:rFonts w:hint="eastAsia"/>
                <w:kern w:val="0"/>
                <w:szCs w:val="21"/>
                <w:lang w:bidi="ar"/>
              </w:rPr>
              <w:t>0913</w:t>
            </w:r>
          </w:p>
        </w:tc>
        <w:tc>
          <w:tcPr>
            <w:tcW w:w="2089" w:type="dxa"/>
            <w:tcBorders>
              <w:tl2br w:val="nil"/>
              <w:tr2bl w:val="nil"/>
            </w:tcBorders>
            <w:vAlign w:val="center"/>
          </w:tcPr>
          <w:p w14:paraId="2CA7DD90">
            <w:pPr>
              <w:widowControl/>
              <w:adjustRightInd w:val="0"/>
              <w:snapToGrid w:val="0"/>
              <w:spacing w:before="0" w:beforeLines="0" w:line="240" w:lineRule="auto"/>
              <w:jc w:val="center"/>
              <w:textAlignment w:val="center"/>
              <w:rPr>
                <w:kern w:val="0"/>
                <w:szCs w:val="21"/>
                <w:lang w:bidi="ar"/>
              </w:rPr>
            </w:pPr>
            <w:r>
              <w:rPr>
                <w:szCs w:val="21"/>
              </w:rPr>
              <w:t>146</w:t>
            </w:r>
            <w:r>
              <w:rPr>
                <w:rFonts w:hint="eastAsia"/>
                <w:szCs w:val="21"/>
              </w:rPr>
              <w:t>0.8</w:t>
            </w:r>
          </w:p>
        </w:tc>
      </w:tr>
      <w:tr w14:paraId="38286B8F">
        <w:tblPrEx>
          <w:tblBorders>
            <w:top w:val="single" w:color="auto" w:sz="12" w:space="0"/>
            <w:left w:val="none" w:color="auto" w:sz="0" w:space="0"/>
            <w:bottom w:val="single" w:color="auto" w:sz="12" w:space="0"/>
            <w:right w:val="none" w:color="auto" w:sz="0" w:space="0"/>
            <w:insideH w:val="single" w:color="auto" w:sz="6" w:space="0"/>
            <w:insideV w:val="single" w:color="auto" w:sz="4" w:space="0"/>
          </w:tblBorders>
          <w:tblCellMar>
            <w:top w:w="0" w:type="dxa"/>
            <w:left w:w="108" w:type="dxa"/>
            <w:bottom w:w="0" w:type="dxa"/>
            <w:right w:w="108" w:type="dxa"/>
          </w:tblCellMar>
        </w:tblPrEx>
        <w:trPr>
          <w:trHeight w:val="308" w:hRule="atLeast"/>
          <w:jc w:val="center"/>
        </w:trPr>
        <w:tc>
          <w:tcPr>
            <w:tcW w:w="1206" w:type="dxa"/>
            <w:vMerge w:val="continue"/>
            <w:tcBorders>
              <w:tl2br w:val="nil"/>
              <w:tr2bl w:val="nil"/>
            </w:tcBorders>
            <w:vAlign w:val="center"/>
          </w:tcPr>
          <w:p w14:paraId="7234B7FA">
            <w:pPr>
              <w:widowControl/>
              <w:adjustRightInd w:val="0"/>
              <w:snapToGrid w:val="0"/>
              <w:spacing w:before="0" w:beforeLines="0" w:line="240" w:lineRule="auto"/>
              <w:jc w:val="center"/>
              <w:rPr>
                <w:kern w:val="0"/>
                <w:szCs w:val="21"/>
                <w:lang w:bidi="ar"/>
              </w:rPr>
            </w:pPr>
          </w:p>
        </w:tc>
        <w:tc>
          <w:tcPr>
            <w:tcW w:w="1222" w:type="dxa"/>
            <w:vMerge w:val="continue"/>
            <w:tcBorders>
              <w:tl2br w:val="nil"/>
              <w:tr2bl w:val="nil"/>
            </w:tcBorders>
            <w:vAlign w:val="center"/>
          </w:tcPr>
          <w:p w14:paraId="6B82EDAD">
            <w:pPr>
              <w:widowControl/>
              <w:adjustRightInd w:val="0"/>
              <w:snapToGrid w:val="0"/>
              <w:spacing w:before="0" w:beforeLines="0" w:line="240" w:lineRule="auto"/>
              <w:jc w:val="center"/>
              <w:rPr>
                <w:kern w:val="0"/>
                <w:szCs w:val="21"/>
                <w:lang w:bidi="ar"/>
              </w:rPr>
            </w:pPr>
          </w:p>
        </w:tc>
        <w:tc>
          <w:tcPr>
            <w:tcW w:w="1218" w:type="dxa"/>
            <w:vMerge w:val="continue"/>
            <w:tcBorders>
              <w:tl2br w:val="nil"/>
              <w:tr2bl w:val="nil"/>
            </w:tcBorders>
            <w:vAlign w:val="center"/>
          </w:tcPr>
          <w:p w14:paraId="18E4E96E">
            <w:pPr>
              <w:widowControl/>
              <w:adjustRightInd w:val="0"/>
              <w:snapToGrid w:val="0"/>
              <w:spacing w:before="0" w:beforeLines="0" w:line="240" w:lineRule="auto"/>
              <w:jc w:val="center"/>
              <w:rPr>
                <w:kern w:val="0"/>
                <w:szCs w:val="21"/>
                <w:lang w:bidi="ar"/>
              </w:rPr>
            </w:pPr>
          </w:p>
        </w:tc>
        <w:tc>
          <w:tcPr>
            <w:tcW w:w="1440" w:type="dxa"/>
            <w:tcBorders>
              <w:tl2br w:val="nil"/>
              <w:tr2bl w:val="nil"/>
            </w:tcBorders>
            <w:vAlign w:val="center"/>
          </w:tcPr>
          <w:p w14:paraId="20DBE3E0">
            <w:pPr>
              <w:widowControl/>
              <w:adjustRightInd w:val="0"/>
              <w:snapToGrid w:val="0"/>
              <w:spacing w:before="0" w:beforeLines="0" w:line="240" w:lineRule="auto"/>
              <w:jc w:val="center"/>
              <w:textAlignment w:val="center"/>
              <w:rPr>
                <w:kern w:val="0"/>
                <w:szCs w:val="21"/>
                <w:lang w:bidi="ar"/>
              </w:rPr>
            </w:pPr>
            <w:r>
              <w:rPr>
                <w:kern w:val="0"/>
                <w:szCs w:val="21"/>
                <w:lang w:bidi="ar"/>
              </w:rPr>
              <w:t>碎石</w:t>
            </w:r>
          </w:p>
        </w:tc>
        <w:tc>
          <w:tcPr>
            <w:tcW w:w="1463" w:type="dxa"/>
            <w:tcBorders>
              <w:tl2br w:val="nil"/>
              <w:tr2bl w:val="nil"/>
            </w:tcBorders>
            <w:vAlign w:val="center"/>
          </w:tcPr>
          <w:p w14:paraId="2EC1C3B8">
            <w:pPr>
              <w:widowControl/>
              <w:adjustRightInd w:val="0"/>
              <w:snapToGrid w:val="0"/>
              <w:spacing w:before="0" w:beforeLines="0" w:line="240" w:lineRule="auto"/>
              <w:jc w:val="center"/>
              <w:textAlignment w:val="center"/>
              <w:rPr>
                <w:kern w:val="0"/>
                <w:szCs w:val="21"/>
                <w:lang w:bidi="ar"/>
              </w:rPr>
            </w:pPr>
            <w:r>
              <w:rPr>
                <w:kern w:val="0"/>
                <w:szCs w:val="21"/>
                <w:lang w:bidi="ar"/>
              </w:rPr>
              <w:t>0.</w:t>
            </w:r>
            <w:r>
              <w:rPr>
                <w:rFonts w:hint="eastAsia"/>
                <w:kern w:val="0"/>
                <w:szCs w:val="21"/>
                <w:lang w:bidi="ar"/>
              </w:rPr>
              <w:t>0913</w:t>
            </w:r>
          </w:p>
        </w:tc>
        <w:tc>
          <w:tcPr>
            <w:tcW w:w="2089" w:type="dxa"/>
            <w:tcBorders>
              <w:tl2br w:val="nil"/>
              <w:tr2bl w:val="nil"/>
            </w:tcBorders>
            <w:vAlign w:val="center"/>
          </w:tcPr>
          <w:p w14:paraId="5A7E3E49">
            <w:pPr>
              <w:widowControl/>
              <w:adjustRightInd w:val="0"/>
              <w:snapToGrid w:val="0"/>
              <w:spacing w:before="0" w:beforeLines="0" w:line="240" w:lineRule="auto"/>
              <w:jc w:val="center"/>
              <w:textAlignment w:val="center"/>
              <w:rPr>
                <w:kern w:val="0"/>
                <w:szCs w:val="21"/>
                <w:lang w:bidi="ar"/>
              </w:rPr>
            </w:pPr>
            <w:r>
              <w:rPr>
                <w:rFonts w:hint="eastAsia"/>
                <w:szCs w:val="21"/>
              </w:rPr>
              <w:t>346.94</w:t>
            </w:r>
          </w:p>
        </w:tc>
      </w:tr>
      <w:tr w14:paraId="33C98A4A">
        <w:tblPrEx>
          <w:tblBorders>
            <w:top w:val="single" w:color="auto" w:sz="12" w:space="0"/>
            <w:left w:val="none" w:color="auto" w:sz="0" w:space="0"/>
            <w:bottom w:val="single" w:color="auto" w:sz="12" w:space="0"/>
            <w:right w:val="none" w:color="auto" w:sz="0" w:space="0"/>
            <w:insideH w:val="single" w:color="auto" w:sz="6" w:space="0"/>
            <w:insideV w:val="single" w:color="auto" w:sz="4" w:space="0"/>
          </w:tblBorders>
          <w:tblCellMar>
            <w:top w:w="0" w:type="dxa"/>
            <w:left w:w="108" w:type="dxa"/>
            <w:bottom w:w="0" w:type="dxa"/>
            <w:right w:w="108" w:type="dxa"/>
          </w:tblCellMar>
        </w:tblPrEx>
        <w:trPr>
          <w:trHeight w:val="308" w:hRule="atLeast"/>
          <w:jc w:val="center"/>
        </w:trPr>
        <w:tc>
          <w:tcPr>
            <w:tcW w:w="1206" w:type="dxa"/>
            <w:vMerge w:val="continue"/>
            <w:tcBorders>
              <w:tl2br w:val="nil"/>
              <w:tr2bl w:val="nil"/>
            </w:tcBorders>
            <w:vAlign w:val="center"/>
          </w:tcPr>
          <w:p w14:paraId="01B31C27">
            <w:pPr>
              <w:widowControl/>
              <w:adjustRightInd w:val="0"/>
              <w:snapToGrid w:val="0"/>
              <w:spacing w:before="0" w:beforeLines="0" w:line="240" w:lineRule="auto"/>
              <w:jc w:val="center"/>
              <w:rPr>
                <w:kern w:val="0"/>
                <w:szCs w:val="21"/>
                <w:lang w:bidi="ar"/>
              </w:rPr>
            </w:pPr>
          </w:p>
        </w:tc>
        <w:tc>
          <w:tcPr>
            <w:tcW w:w="1222" w:type="dxa"/>
            <w:vMerge w:val="continue"/>
            <w:tcBorders>
              <w:tl2br w:val="nil"/>
              <w:tr2bl w:val="nil"/>
            </w:tcBorders>
            <w:vAlign w:val="center"/>
          </w:tcPr>
          <w:p w14:paraId="4F4BB76B">
            <w:pPr>
              <w:widowControl/>
              <w:adjustRightInd w:val="0"/>
              <w:snapToGrid w:val="0"/>
              <w:spacing w:before="0" w:beforeLines="0" w:line="240" w:lineRule="auto"/>
              <w:jc w:val="center"/>
              <w:rPr>
                <w:kern w:val="0"/>
                <w:szCs w:val="21"/>
                <w:lang w:bidi="ar"/>
              </w:rPr>
            </w:pPr>
          </w:p>
        </w:tc>
        <w:tc>
          <w:tcPr>
            <w:tcW w:w="1218" w:type="dxa"/>
            <w:vMerge w:val="continue"/>
            <w:tcBorders>
              <w:tl2br w:val="nil"/>
              <w:tr2bl w:val="nil"/>
            </w:tcBorders>
            <w:vAlign w:val="center"/>
          </w:tcPr>
          <w:p w14:paraId="26C86701">
            <w:pPr>
              <w:widowControl/>
              <w:adjustRightInd w:val="0"/>
              <w:snapToGrid w:val="0"/>
              <w:spacing w:before="0" w:beforeLines="0" w:line="240" w:lineRule="auto"/>
              <w:jc w:val="center"/>
              <w:rPr>
                <w:kern w:val="0"/>
                <w:szCs w:val="21"/>
                <w:lang w:bidi="ar"/>
              </w:rPr>
            </w:pPr>
          </w:p>
        </w:tc>
        <w:tc>
          <w:tcPr>
            <w:tcW w:w="1440" w:type="dxa"/>
            <w:tcBorders>
              <w:tl2br w:val="nil"/>
              <w:tr2bl w:val="nil"/>
            </w:tcBorders>
            <w:vAlign w:val="center"/>
          </w:tcPr>
          <w:p w14:paraId="712467C1">
            <w:pPr>
              <w:widowControl/>
              <w:adjustRightInd w:val="0"/>
              <w:snapToGrid w:val="0"/>
              <w:spacing w:before="0" w:beforeLines="0" w:line="240" w:lineRule="auto"/>
              <w:jc w:val="center"/>
              <w:textAlignment w:val="center"/>
              <w:rPr>
                <w:kern w:val="0"/>
                <w:szCs w:val="21"/>
                <w:lang w:bidi="ar"/>
              </w:rPr>
            </w:pPr>
            <w:r>
              <w:rPr>
                <w:kern w:val="0"/>
                <w:szCs w:val="21"/>
                <w:lang w:bidi="ar"/>
              </w:rPr>
              <w:t>钒钛磁铁矿</w:t>
            </w:r>
          </w:p>
        </w:tc>
        <w:tc>
          <w:tcPr>
            <w:tcW w:w="1463" w:type="dxa"/>
            <w:tcBorders>
              <w:tl2br w:val="nil"/>
              <w:tr2bl w:val="nil"/>
            </w:tcBorders>
            <w:vAlign w:val="center"/>
          </w:tcPr>
          <w:p w14:paraId="1CAD4184">
            <w:pPr>
              <w:widowControl/>
              <w:adjustRightInd w:val="0"/>
              <w:snapToGrid w:val="0"/>
              <w:spacing w:before="0" w:beforeLines="0" w:line="240" w:lineRule="auto"/>
              <w:jc w:val="center"/>
              <w:textAlignment w:val="center"/>
              <w:rPr>
                <w:kern w:val="0"/>
                <w:szCs w:val="21"/>
                <w:lang w:bidi="ar"/>
              </w:rPr>
            </w:pPr>
            <w:r>
              <w:rPr>
                <w:kern w:val="0"/>
                <w:szCs w:val="21"/>
                <w:lang w:bidi="ar"/>
              </w:rPr>
              <w:t>0.30</w:t>
            </w:r>
            <w:r>
              <w:rPr>
                <w:rFonts w:hint="eastAsia"/>
                <w:kern w:val="0"/>
                <w:szCs w:val="21"/>
                <w:lang w:bidi="ar"/>
              </w:rPr>
              <w:t>8</w:t>
            </w:r>
          </w:p>
        </w:tc>
        <w:tc>
          <w:tcPr>
            <w:tcW w:w="2089" w:type="dxa"/>
            <w:tcBorders>
              <w:tl2br w:val="nil"/>
              <w:tr2bl w:val="nil"/>
            </w:tcBorders>
            <w:vAlign w:val="center"/>
          </w:tcPr>
          <w:p w14:paraId="3DB715BB">
            <w:pPr>
              <w:widowControl/>
              <w:adjustRightInd w:val="0"/>
              <w:snapToGrid w:val="0"/>
              <w:spacing w:before="0" w:beforeLines="0" w:line="240" w:lineRule="auto"/>
              <w:jc w:val="center"/>
              <w:textAlignment w:val="center"/>
              <w:rPr>
                <w:kern w:val="0"/>
                <w:szCs w:val="21"/>
                <w:lang w:bidi="ar"/>
              </w:rPr>
            </w:pPr>
            <w:r>
              <w:rPr>
                <w:rFonts w:hint="eastAsia"/>
                <w:szCs w:val="21"/>
              </w:rPr>
              <w:t>431.2</w:t>
            </w:r>
          </w:p>
        </w:tc>
      </w:tr>
      <w:tr w14:paraId="7EBE4487">
        <w:tblPrEx>
          <w:tblBorders>
            <w:top w:val="single" w:color="auto" w:sz="12" w:space="0"/>
            <w:left w:val="none" w:color="auto" w:sz="0" w:space="0"/>
            <w:bottom w:val="single" w:color="auto" w:sz="12" w:space="0"/>
            <w:right w:val="none" w:color="auto" w:sz="0" w:space="0"/>
            <w:insideH w:val="single" w:color="auto" w:sz="6" w:space="0"/>
            <w:insideV w:val="single" w:color="auto" w:sz="4" w:space="0"/>
          </w:tblBorders>
          <w:tblCellMar>
            <w:top w:w="0" w:type="dxa"/>
            <w:left w:w="108" w:type="dxa"/>
            <w:bottom w:w="0" w:type="dxa"/>
            <w:right w:w="108" w:type="dxa"/>
          </w:tblCellMar>
        </w:tblPrEx>
        <w:trPr>
          <w:trHeight w:val="308" w:hRule="atLeast"/>
          <w:jc w:val="center"/>
        </w:trPr>
        <w:tc>
          <w:tcPr>
            <w:tcW w:w="1206" w:type="dxa"/>
            <w:vMerge w:val="continue"/>
            <w:tcBorders>
              <w:tl2br w:val="nil"/>
              <w:tr2bl w:val="nil"/>
            </w:tcBorders>
            <w:vAlign w:val="center"/>
          </w:tcPr>
          <w:p w14:paraId="51612443">
            <w:pPr>
              <w:widowControl/>
              <w:adjustRightInd w:val="0"/>
              <w:snapToGrid w:val="0"/>
              <w:spacing w:before="0" w:beforeLines="0" w:line="240" w:lineRule="auto"/>
              <w:jc w:val="center"/>
              <w:rPr>
                <w:kern w:val="0"/>
                <w:szCs w:val="21"/>
                <w:lang w:bidi="ar"/>
              </w:rPr>
            </w:pPr>
          </w:p>
        </w:tc>
        <w:tc>
          <w:tcPr>
            <w:tcW w:w="1222" w:type="dxa"/>
            <w:vMerge w:val="continue"/>
            <w:tcBorders>
              <w:tl2br w:val="nil"/>
              <w:tr2bl w:val="nil"/>
            </w:tcBorders>
            <w:vAlign w:val="center"/>
          </w:tcPr>
          <w:p w14:paraId="16B9110F">
            <w:pPr>
              <w:widowControl/>
              <w:adjustRightInd w:val="0"/>
              <w:snapToGrid w:val="0"/>
              <w:spacing w:before="0" w:beforeLines="0" w:line="240" w:lineRule="auto"/>
              <w:jc w:val="center"/>
              <w:rPr>
                <w:kern w:val="0"/>
                <w:szCs w:val="21"/>
                <w:lang w:bidi="ar"/>
              </w:rPr>
            </w:pPr>
          </w:p>
        </w:tc>
        <w:tc>
          <w:tcPr>
            <w:tcW w:w="1218" w:type="dxa"/>
            <w:vMerge w:val="continue"/>
            <w:tcBorders>
              <w:tl2br w:val="nil"/>
              <w:tr2bl w:val="nil"/>
            </w:tcBorders>
            <w:vAlign w:val="center"/>
          </w:tcPr>
          <w:p w14:paraId="54D02372">
            <w:pPr>
              <w:widowControl/>
              <w:adjustRightInd w:val="0"/>
              <w:snapToGrid w:val="0"/>
              <w:spacing w:before="0" w:beforeLines="0" w:line="240" w:lineRule="auto"/>
              <w:jc w:val="center"/>
              <w:rPr>
                <w:kern w:val="0"/>
                <w:szCs w:val="21"/>
                <w:lang w:bidi="ar"/>
              </w:rPr>
            </w:pPr>
          </w:p>
        </w:tc>
        <w:tc>
          <w:tcPr>
            <w:tcW w:w="1440" w:type="dxa"/>
            <w:tcBorders>
              <w:tl2br w:val="nil"/>
              <w:tr2bl w:val="nil"/>
            </w:tcBorders>
            <w:vAlign w:val="center"/>
          </w:tcPr>
          <w:p w14:paraId="4FECB2B1">
            <w:pPr>
              <w:widowControl/>
              <w:adjustRightInd w:val="0"/>
              <w:snapToGrid w:val="0"/>
              <w:spacing w:before="0" w:beforeLines="0" w:line="240" w:lineRule="auto"/>
              <w:jc w:val="center"/>
              <w:textAlignment w:val="center"/>
              <w:rPr>
                <w:kern w:val="0"/>
                <w:szCs w:val="21"/>
                <w:lang w:bidi="ar"/>
              </w:rPr>
            </w:pPr>
            <w:r>
              <w:rPr>
                <w:kern w:val="0"/>
                <w:szCs w:val="21"/>
                <w:lang w:bidi="ar"/>
              </w:rPr>
              <w:t>钛铁精矿</w:t>
            </w:r>
          </w:p>
        </w:tc>
        <w:tc>
          <w:tcPr>
            <w:tcW w:w="1463" w:type="dxa"/>
            <w:tcBorders>
              <w:tl2br w:val="nil"/>
              <w:tr2bl w:val="nil"/>
            </w:tcBorders>
            <w:vAlign w:val="center"/>
          </w:tcPr>
          <w:p w14:paraId="469007D1">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0.0913</w:t>
            </w:r>
          </w:p>
        </w:tc>
        <w:tc>
          <w:tcPr>
            <w:tcW w:w="2089" w:type="dxa"/>
            <w:tcBorders>
              <w:tl2br w:val="nil"/>
              <w:tr2bl w:val="nil"/>
            </w:tcBorders>
            <w:vAlign w:val="center"/>
          </w:tcPr>
          <w:p w14:paraId="1E88BCC3">
            <w:pPr>
              <w:widowControl/>
              <w:adjustRightInd w:val="0"/>
              <w:snapToGrid w:val="0"/>
              <w:spacing w:before="0" w:beforeLines="0" w:line="240" w:lineRule="auto"/>
              <w:jc w:val="center"/>
              <w:textAlignment w:val="center"/>
              <w:rPr>
                <w:szCs w:val="21"/>
              </w:rPr>
            </w:pPr>
            <w:r>
              <w:rPr>
                <w:rFonts w:hint="eastAsia"/>
                <w:szCs w:val="21"/>
              </w:rPr>
              <w:t>36.52</w:t>
            </w:r>
          </w:p>
        </w:tc>
      </w:tr>
      <w:tr w14:paraId="1DFBA0E3">
        <w:tblPrEx>
          <w:tblBorders>
            <w:top w:val="single" w:color="auto" w:sz="12" w:space="0"/>
            <w:left w:val="none" w:color="auto" w:sz="0" w:space="0"/>
            <w:bottom w:val="single" w:color="auto" w:sz="12" w:space="0"/>
            <w:right w:val="none" w:color="auto" w:sz="0" w:space="0"/>
            <w:insideH w:val="single" w:color="auto" w:sz="6" w:space="0"/>
            <w:insideV w:val="single" w:color="auto" w:sz="4" w:space="0"/>
          </w:tblBorders>
          <w:tblCellMar>
            <w:top w:w="0" w:type="dxa"/>
            <w:left w:w="108" w:type="dxa"/>
            <w:bottom w:w="0" w:type="dxa"/>
            <w:right w:w="108" w:type="dxa"/>
          </w:tblCellMar>
        </w:tblPrEx>
        <w:trPr>
          <w:trHeight w:val="308" w:hRule="atLeast"/>
          <w:jc w:val="center"/>
        </w:trPr>
        <w:tc>
          <w:tcPr>
            <w:tcW w:w="1206" w:type="dxa"/>
            <w:vMerge w:val="continue"/>
            <w:tcBorders>
              <w:tl2br w:val="nil"/>
              <w:tr2bl w:val="nil"/>
            </w:tcBorders>
            <w:vAlign w:val="center"/>
          </w:tcPr>
          <w:p w14:paraId="55CB0D2D">
            <w:pPr>
              <w:widowControl/>
              <w:adjustRightInd w:val="0"/>
              <w:snapToGrid w:val="0"/>
              <w:spacing w:before="0" w:beforeLines="0" w:line="240" w:lineRule="auto"/>
              <w:jc w:val="center"/>
              <w:textAlignment w:val="center"/>
              <w:rPr>
                <w:kern w:val="0"/>
                <w:szCs w:val="21"/>
                <w:lang w:bidi="ar"/>
              </w:rPr>
            </w:pPr>
          </w:p>
        </w:tc>
        <w:tc>
          <w:tcPr>
            <w:tcW w:w="1222" w:type="dxa"/>
            <w:vMerge w:val="continue"/>
            <w:tcBorders>
              <w:tl2br w:val="nil"/>
              <w:tr2bl w:val="nil"/>
            </w:tcBorders>
            <w:vAlign w:val="center"/>
          </w:tcPr>
          <w:p w14:paraId="69C55E72">
            <w:pPr>
              <w:widowControl/>
              <w:adjustRightInd w:val="0"/>
              <w:snapToGrid w:val="0"/>
              <w:spacing w:before="0" w:beforeLines="0" w:line="240" w:lineRule="auto"/>
              <w:jc w:val="center"/>
              <w:textAlignment w:val="center"/>
              <w:rPr>
                <w:kern w:val="0"/>
                <w:szCs w:val="21"/>
                <w:lang w:bidi="ar"/>
              </w:rPr>
            </w:pPr>
          </w:p>
        </w:tc>
        <w:tc>
          <w:tcPr>
            <w:tcW w:w="1218" w:type="dxa"/>
            <w:vMerge w:val="continue"/>
            <w:tcBorders>
              <w:tl2br w:val="nil"/>
              <w:tr2bl w:val="nil"/>
            </w:tcBorders>
            <w:vAlign w:val="center"/>
          </w:tcPr>
          <w:p w14:paraId="53C53938">
            <w:pPr>
              <w:widowControl/>
              <w:adjustRightInd w:val="0"/>
              <w:snapToGrid w:val="0"/>
              <w:spacing w:before="0" w:beforeLines="0" w:line="240" w:lineRule="auto"/>
              <w:jc w:val="center"/>
              <w:textAlignment w:val="center"/>
              <w:rPr>
                <w:kern w:val="0"/>
                <w:szCs w:val="21"/>
                <w:lang w:bidi="ar"/>
              </w:rPr>
            </w:pPr>
          </w:p>
        </w:tc>
        <w:tc>
          <w:tcPr>
            <w:tcW w:w="1440" w:type="dxa"/>
            <w:tcBorders>
              <w:tl2br w:val="nil"/>
              <w:tr2bl w:val="nil"/>
            </w:tcBorders>
            <w:vAlign w:val="center"/>
          </w:tcPr>
          <w:p w14:paraId="5030F235">
            <w:pPr>
              <w:widowControl/>
              <w:adjustRightInd w:val="0"/>
              <w:snapToGrid w:val="0"/>
              <w:spacing w:before="0" w:beforeLines="0" w:line="240" w:lineRule="auto"/>
              <w:jc w:val="center"/>
              <w:textAlignment w:val="center"/>
              <w:rPr>
                <w:kern w:val="0"/>
                <w:szCs w:val="21"/>
                <w:lang w:bidi="ar"/>
              </w:rPr>
            </w:pPr>
            <w:r>
              <w:rPr>
                <w:kern w:val="0"/>
                <w:szCs w:val="21"/>
                <w:lang w:bidi="ar"/>
              </w:rPr>
              <w:t>泥饼</w:t>
            </w:r>
          </w:p>
        </w:tc>
        <w:tc>
          <w:tcPr>
            <w:tcW w:w="1463" w:type="dxa"/>
            <w:tcBorders>
              <w:tl2br w:val="nil"/>
              <w:tr2bl w:val="nil"/>
            </w:tcBorders>
            <w:vAlign w:val="center"/>
          </w:tcPr>
          <w:p w14:paraId="00C8C56E">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0.0495</w:t>
            </w:r>
          </w:p>
        </w:tc>
        <w:tc>
          <w:tcPr>
            <w:tcW w:w="2089" w:type="dxa"/>
            <w:tcBorders>
              <w:tl2br w:val="nil"/>
              <w:tr2bl w:val="nil"/>
            </w:tcBorders>
            <w:vAlign w:val="center"/>
          </w:tcPr>
          <w:p w14:paraId="314ACF33">
            <w:pPr>
              <w:widowControl/>
              <w:adjustRightInd w:val="0"/>
              <w:snapToGrid w:val="0"/>
              <w:spacing w:before="0" w:beforeLines="0" w:line="240" w:lineRule="auto"/>
              <w:jc w:val="center"/>
              <w:textAlignment w:val="center"/>
              <w:rPr>
                <w:kern w:val="0"/>
                <w:szCs w:val="21"/>
                <w:lang w:bidi="ar"/>
              </w:rPr>
            </w:pPr>
            <w:r>
              <w:rPr>
                <w:rFonts w:hint="eastAsia"/>
                <w:szCs w:val="21"/>
              </w:rPr>
              <w:t>460.72</w:t>
            </w:r>
          </w:p>
        </w:tc>
      </w:tr>
      <w:tr w14:paraId="75612E51">
        <w:tblPrEx>
          <w:tblBorders>
            <w:top w:val="single" w:color="auto" w:sz="12" w:space="0"/>
            <w:left w:val="none" w:color="auto" w:sz="0" w:space="0"/>
            <w:bottom w:val="single" w:color="auto" w:sz="12" w:space="0"/>
            <w:right w:val="none" w:color="auto" w:sz="0" w:space="0"/>
            <w:insideH w:val="single" w:color="auto" w:sz="6" w:space="0"/>
            <w:insideV w:val="single" w:color="auto" w:sz="4" w:space="0"/>
          </w:tblBorders>
          <w:tblCellMar>
            <w:top w:w="0" w:type="dxa"/>
            <w:left w:w="108" w:type="dxa"/>
            <w:bottom w:w="0" w:type="dxa"/>
            <w:right w:w="108" w:type="dxa"/>
          </w:tblCellMar>
        </w:tblPrEx>
        <w:trPr>
          <w:trHeight w:val="308" w:hRule="atLeast"/>
          <w:jc w:val="center"/>
        </w:trPr>
        <w:tc>
          <w:tcPr>
            <w:tcW w:w="1206" w:type="dxa"/>
            <w:vMerge w:val="continue"/>
            <w:tcBorders>
              <w:tl2br w:val="nil"/>
              <w:tr2bl w:val="nil"/>
            </w:tcBorders>
            <w:vAlign w:val="center"/>
          </w:tcPr>
          <w:p w14:paraId="5957DCC6">
            <w:pPr>
              <w:widowControl/>
              <w:adjustRightInd w:val="0"/>
              <w:snapToGrid w:val="0"/>
              <w:spacing w:before="0" w:beforeLines="0" w:line="240" w:lineRule="auto"/>
              <w:jc w:val="center"/>
              <w:rPr>
                <w:kern w:val="0"/>
                <w:szCs w:val="21"/>
                <w:lang w:bidi="ar"/>
              </w:rPr>
            </w:pPr>
          </w:p>
        </w:tc>
        <w:tc>
          <w:tcPr>
            <w:tcW w:w="1222" w:type="dxa"/>
            <w:vMerge w:val="continue"/>
            <w:tcBorders>
              <w:tl2br w:val="nil"/>
              <w:tr2bl w:val="nil"/>
            </w:tcBorders>
            <w:vAlign w:val="center"/>
          </w:tcPr>
          <w:p w14:paraId="1ABD71E2">
            <w:pPr>
              <w:widowControl/>
              <w:adjustRightInd w:val="0"/>
              <w:snapToGrid w:val="0"/>
              <w:spacing w:before="0" w:beforeLines="0" w:line="240" w:lineRule="auto"/>
              <w:jc w:val="center"/>
              <w:rPr>
                <w:kern w:val="0"/>
                <w:szCs w:val="21"/>
                <w:lang w:bidi="ar"/>
              </w:rPr>
            </w:pPr>
          </w:p>
        </w:tc>
        <w:tc>
          <w:tcPr>
            <w:tcW w:w="1218" w:type="dxa"/>
            <w:vMerge w:val="continue"/>
            <w:tcBorders>
              <w:tl2br w:val="nil"/>
              <w:tr2bl w:val="nil"/>
            </w:tcBorders>
            <w:vAlign w:val="center"/>
          </w:tcPr>
          <w:p w14:paraId="70C6B414">
            <w:pPr>
              <w:widowControl/>
              <w:adjustRightInd w:val="0"/>
              <w:snapToGrid w:val="0"/>
              <w:spacing w:before="0" w:beforeLines="0" w:line="240" w:lineRule="auto"/>
              <w:jc w:val="center"/>
              <w:rPr>
                <w:kern w:val="0"/>
                <w:szCs w:val="21"/>
                <w:lang w:bidi="ar"/>
              </w:rPr>
            </w:pPr>
          </w:p>
        </w:tc>
        <w:tc>
          <w:tcPr>
            <w:tcW w:w="1440" w:type="dxa"/>
            <w:tcBorders>
              <w:tl2br w:val="nil"/>
              <w:tr2bl w:val="nil"/>
            </w:tcBorders>
            <w:vAlign w:val="center"/>
          </w:tcPr>
          <w:p w14:paraId="11F76053">
            <w:pPr>
              <w:widowControl/>
              <w:adjustRightInd w:val="0"/>
              <w:snapToGrid w:val="0"/>
              <w:spacing w:before="0" w:beforeLines="0" w:line="240" w:lineRule="auto"/>
              <w:jc w:val="center"/>
              <w:textAlignment w:val="center"/>
              <w:rPr>
                <w:kern w:val="0"/>
                <w:szCs w:val="21"/>
                <w:lang w:bidi="ar"/>
              </w:rPr>
            </w:pPr>
            <w:r>
              <w:rPr>
                <w:kern w:val="0"/>
                <w:szCs w:val="21"/>
                <w:lang w:bidi="ar"/>
              </w:rPr>
              <w:t>粉尘</w:t>
            </w:r>
          </w:p>
        </w:tc>
        <w:tc>
          <w:tcPr>
            <w:tcW w:w="1463" w:type="dxa"/>
            <w:tcBorders>
              <w:tl2br w:val="nil"/>
              <w:tr2bl w:val="nil"/>
            </w:tcBorders>
            <w:vAlign w:val="center"/>
          </w:tcPr>
          <w:p w14:paraId="5A3709C5">
            <w:pPr>
              <w:widowControl/>
              <w:adjustRightInd w:val="0"/>
              <w:snapToGrid w:val="0"/>
              <w:spacing w:before="0" w:beforeLines="0" w:line="240" w:lineRule="auto"/>
              <w:jc w:val="center"/>
              <w:textAlignment w:val="center"/>
              <w:rPr>
                <w:kern w:val="0"/>
                <w:szCs w:val="21"/>
                <w:lang w:bidi="ar"/>
              </w:rPr>
            </w:pPr>
            <w:r>
              <w:rPr>
                <w:kern w:val="0"/>
                <w:szCs w:val="21"/>
                <w:lang w:bidi="ar"/>
              </w:rPr>
              <w:t>0.</w:t>
            </w:r>
            <w:r>
              <w:rPr>
                <w:rFonts w:hint="eastAsia"/>
                <w:kern w:val="0"/>
                <w:szCs w:val="21"/>
                <w:lang w:bidi="ar"/>
              </w:rPr>
              <w:t>0769</w:t>
            </w:r>
          </w:p>
        </w:tc>
        <w:tc>
          <w:tcPr>
            <w:tcW w:w="2089" w:type="dxa"/>
            <w:tcBorders>
              <w:tl2br w:val="nil"/>
              <w:tr2bl w:val="nil"/>
            </w:tcBorders>
            <w:vAlign w:val="center"/>
          </w:tcPr>
          <w:p w14:paraId="0C7EBE8F">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2.86</w:t>
            </w:r>
          </w:p>
        </w:tc>
      </w:tr>
      <w:bookmarkEnd w:id="108"/>
      <w:tr w14:paraId="65B02CB6">
        <w:tblPrEx>
          <w:tblBorders>
            <w:top w:val="single" w:color="auto" w:sz="12" w:space="0"/>
            <w:left w:val="none" w:color="auto" w:sz="0" w:space="0"/>
            <w:bottom w:val="single" w:color="auto" w:sz="12" w:space="0"/>
            <w:right w:val="none" w:color="auto" w:sz="0" w:space="0"/>
            <w:insideH w:val="single" w:color="auto" w:sz="6" w:space="0"/>
            <w:insideV w:val="single" w:color="auto" w:sz="4" w:space="0"/>
          </w:tblBorders>
          <w:tblCellMar>
            <w:top w:w="0" w:type="dxa"/>
            <w:left w:w="108" w:type="dxa"/>
            <w:bottom w:w="0" w:type="dxa"/>
            <w:right w:w="108" w:type="dxa"/>
          </w:tblCellMar>
        </w:tblPrEx>
        <w:trPr>
          <w:trHeight w:val="308" w:hRule="atLeast"/>
          <w:jc w:val="center"/>
        </w:trPr>
        <w:tc>
          <w:tcPr>
            <w:tcW w:w="2429" w:type="dxa"/>
            <w:gridSpan w:val="2"/>
            <w:tcBorders>
              <w:tl2br w:val="nil"/>
              <w:tr2bl w:val="nil"/>
            </w:tcBorders>
            <w:vAlign w:val="center"/>
          </w:tcPr>
          <w:p w14:paraId="2C3AC660">
            <w:pPr>
              <w:widowControl/>
              <w:adjustRightInd w:val="0"/>
              <w:snapToGrid w:val="0"/>
              <w:spacing w:before="0" w:beforeLines="0" w:line="240" w:lineRule="auto"/>
              <w:jc w:val="center"/>
              <w:textAlignment w:val="center"/>
              <w:rPr>
                <w:kern w:val="0"/>
                <w:szCs w:val="21"/>
                <w:lang w:bidi="ar"/>
              </w:rPr>
            </w:pPr>
            <w:r>
              <w:rPr>
                <w:kern w:val="0"/>
                <w:szCs w:val="21"/>
                <w:lang w:bidi="ar"/>
              </w:rPr>
              <w:t>合计</w:t>
            </w:r>
          </w:p>
        </w:tc>
        <w:tc>
          <w:tcPr>
            <w:tcW w:w="1218" w:type="dxa"/>
            <w:tcBorders>
              <w:tl2br w:val="nil"/>
              <w:tr2bl w:val="nil"/>
            </w:tcBorders>
            <w:vAlign w:val="center"/>
          </w:tcPr>
          <w:p w14:paraId="65D9088B">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2739</w:t>
            </w:r>
          </w:p>
        </w:tc>
        <w:tc>
          <w:tcPr>
            <w:tcW w:w="2903" w:type="dxa"/>
            <w:gridSpan w:val="2"/>
            <w:tcBorders>
              <w:tl2br w:val="nil"/>
              <w:tr2bl w:val="nil"/>
            </w:tcBorders>
            <w:vAlign w:val="center"/>
          </w:tcPr>
          <w:p w14:paraId="5229BB20">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合计</w:t>
            </w:r>
          </w:p>
        </w:tc>
        <w:tc>
          <w:tcPr>
            <w:tcW w:w="2089" w:type="dxa"/>
            <w:tcBorders>
              <w:tl2br w:val="nil"/>
              <w:tr2bl w:val="nil"/>
            </w:tcBorders>
            <w:vAlign w:val="center"/>
          </w:tcPr>
          <w:p w14:paraId="25FC936B">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2739</w:t>
            </w:r>
          </w:p>
        </w:tc>
      </w:tr>
      <w:bookmarkEnd w:id="105"/>
    </w:tbl>
    <w:p w14:paraId="32B02ED7">
      <w:pPr>
        <w:pStyle w:val="5"/>
        <w:spacing w:line="360" w:lineRule="auto"/>
        <w:rPr>
          <w:color w:val="auto"/>
        </w:rPr>
      </w:pPr>
      <w:r>
        <w:rPr>
          <w:color w:val="auto"/>
        </w:rPr>
        <w:t>3.</w:t>
      </w:r>
      <w:r>
        <w:rPr>
          <w:rFonts w:hint="eastAsia"/>
          <w:color w:val="auto"/>
        </w:rPr>
        <w:t>1</w:t>
      </w:r>
      <w:r>
        <w:rPr>
          <w:color w:val="auto"/>
        </w:rPr>
        <w:t>.</w:t>
      </w:r>
      <w:r>
        <w:rPr>
          <w:rFonts w:hint="eastAsia"/>
          <w:color w:val="auto"/>
        </w:rPr>
        <w:t>7</w:t>
      </w:r>
      <w:r>
        <w:rPr>
          <w:color w:val="auto"/>
        </w:rPr>
        <w:t>劳动定员</w:t>
      </w:r>
    </w:p>
    <w:p w14:paraId="2C01B716">
      <w:pPr>
        <w:spacing w:before="0" w:beforeLines="0" w:line="360" w:lineRule="auto"/>
        <w:ind w:firstLine="480" w:firstLineChars="200"/>
        <w:jc w:val="left"/>
        <w:rPr>
          <w:sz w:val="24"/>
        </w:rPr>
      </w:pPr>
      <w:r>
        <w:rPr>
          <w:sz w:val="24"/>
        </w:rPr>
        <w:t>本项目劳动定员30人，</w:t>
      </w:r>
      <w:r>
        <w:rPr>
          <w:kern w:val="0"/>
          <w:sz w:val="24"/>
        </w:rPr>
        <w:t>三班制，</w:t>
      </w:r>
      <w:r>
        <w:rPr>
          <w:rFonts w:hint="eastAsia"/>
          <w:kern w:val="0"/>
          <w:sz w:val="24"/>
        </w:rPr>
        <w:t>每班8h，</w:t>
      </w:r>
      <w:r>
        <w:rPr>
          <w:kern w:val="0"/>
          <w:sz w:val="24"/>
        </w:rPr>
        <w:t>年工作</w:t>
      </w:r>
      <w:r>
        <w:rPr>
          <w:rFonts w:hint="eastAsia"/>
          <w:kern w:val="0"/>
          <w:sz w:val="24"/>
        </w:rPr>
        <w:t>30</w:t>
      </w:r>
      <w:r>
        <w:rPr>
          <w:kern w:val="0"/>
          <w:sz w:val="24"/>
        </w:rPr>
        <w:t>0天，不设食堂、洗浴</w:t>
      </w:r>
      <w:r>
        <w:rPr>
          <w:rFonts w:hint="eastAsia"/>
          <w:kern w:val="0"/>
          <w:sz w:val="24"/>
        </w:rPr>
        <w:t>等</w:t>
      </w:r>
      <w:r>
        <w:rPr>
          <w:kern w:val="0"/>
          <w:sz w:val="24"/>
        </w:rPr>
        <w:t>。</w:t>
      </w:r>
    </w:p>
    <w:p w14:paraId="58D99DAF">
      <w:pPr>
        <w:pStyle w:val="5"/>
        <w:spacing w:line="360" w:lineRule="auto"/>
        <w:rPr>
          <w:color w:val="auto"/>
        </w:rPr>
      </w:pPr>
      <w:r>
        <w:rPr>
          <w:color w:val="auto"/>
        </w:rPr>
        <w:t>3.</w:t>
      </w:r>
      <w:r>
        <w:rPr>
          <w:rFonts w:hint="eastAsia"/>
          <w:color w:val="auto"/>
        </w:rPr>
        <w:t>1</w:t>
      </w:r>
      <w:r>
        <w:rPr>
          <w:color w:val="auto"/>
        </w:rPr>
        <w:t>.</w:t>
      </w:r>
      <w:r>
        <w:rPr>
          <w:rFonts w:hint="eastAsia"/>
          <w:color w:val="auto"/>
        </w:rPr>
        <w:t>8</w:t>
      </w:r>
      <w:r>
        <w:rPr>
          <w:color w:val="auto"/>
        </w:rPr>
        <w:t>公用工程</w:t>
      </w:r>
    </w:p>
    <w:p w14:paraId="2F83227C">
      <w:pPr>
        <w:adjustRightInd w:val="0"/>
        <w:snapToGrid w:val="0"/>
        <w:spacing w:before="0" w:beforeLines="0" w:line="360" w:lineRule="auto"/>
        <w:rPr>
          <w:b/>
          <w:bCs/>
          <w:kern w:val="0"/>
          <w:sz w:val="24"/>
        </w:rPr>
      </w:pPr>
      <w:bookmarkStart w:id="109" w:name="_Hlk171931125"/>
      <w:r>
        <w:rPr>
          <w:rFonts w:hint="eastAsia"/>
          <w:b/>
          <w:bCs/>
          <w:kern w:val="0"/>
          <w:sz w:val="24"/>
        </w:rPr>
        <w:t>3.1.8.1</w:t>
      </w:r>
      <w:r>
        <w:rPr>
          <w:b/>
          <w:bCs/>
          <w:kern w:val="0"/>
          <w:sz w:val="24"/>
        </w:rPr>
        <w:t>给排水</w:t>
      </w:r>
    </w:p>
    <w:p w14:paraId="54CEB5B4">
      <w:pPr>
        <w:adjustRightInd w:val="0"/>
        <w:snapToGrid w:val="0"/>
        <w:spacing w:before="78" w:line="360" w:lineRule="auto"/>
        <w:ind w:firstLine="482" w:firstLineChars="200"/>
        <w:rPr>
          <w:b/>
          <w:bCs/>
          <w:kern w:val="0"/>
          <w:sz w:val="24"/>
        </w:rPr>
      </w:pPr>
      <w:r>
        <w:rPr>
          <w:rFonts w:hint="eastAsia"/>
          <w:b/>
          <w:bCs/>
          <w:kern w:val="0"/>
          <w:sz w:val="24"/>
        </w:rPr>
        <w:t>（1）</w:t>
      </w:r>
      <w:r>
        <w:rPr>
          <w:b/>
          <w:bCs/>
          <w:kern w:val="0"/>
          <w:sz w:val="24"/>
        </w:rPr>
        <w:t>给水</w:t>
      </w:r>
    </w:p>
    <w:p w14:paraId="191D9F3F">
      <w:pPr>
        <w:adjustRightInd w:val="0"/>
        <w:snapToGrid w:val="0"/>
        <w:spacing w:before="78" w:line="360" w:lineRule="auto"/>
        <w:ind w:firstLine="480" w:firstLineChars="200"/>
        <w:rPr>
          <w:sz w:val="24"/>
        </w:rPr>
      </w:pPr>
      <w:bookmarkStart w:id="110" w:name="_Hlk193035802"/>
      <w:r>
        <w:rPr>
          <w:kern w:val="0"/>
          <w:sz w:val="24"/>
        </w:rPr>
        <w:t>本项目用水主要为生活用水和生产用水，生活用水均外购；生产用水包括</w:t>
      </w:r>
      <w:r>
        <w:rPr>
          <w:sz w:val="24"/>
        </w:rPr>
        <w:t>选矿用水、车间地面</w:t>
      </w:r>
      <w:r>
        <w:rPr>
          <w:rFonts w:hint="eastAsia"/>
          <w:sz w:val="24"/>
        </w:rPr>
        <w:t>清洗</w:t>
      </w:r>
      <w:r>
        <w:rPr>
          <w:sz w:val="24"/>
        </w:rPr>
        <w:t>用水、道路洒水和</w:t>
      </w:r>
      <w:r>
        <w:rPr>
          <w:rFonts w:hint="eastAsia"/>
          <w:sz w:val="24"/>
        </w:rPr>
        <w:t>洒水抑尘</w:t>
      </w:r>
      <w:r>
        <w:rPr>
          <w:sz w:val="24"/>
        </w:rPr>
        <w:t>用水等，</w:t>
      </w:r>
      <w:r>
        <w:rPr>
          <w:rFonts w:hint="eastAsia"/>
          <w:sz w:val="24"/>
        </w:rPr>
        <w:t>优先使用回用水，回用水不足部分依托辽宁鑫岳矿业有限公司供水</w:t>
      </w:r>
      <w:r>
        <w:rPr>
          <w:sz w:val="24"/>
        </w:rPr>
        <w:t>。</w:t>
      </w:r>
    </w:p>
    <w:p w14:paraId="2072FA19">
      <w:pPr>
        <w:adjustRightInd w:val="0"/>
        <w:snapToGrid w:val="0"/>
        <w:spacing w:before="78" w:line="360" w:lineRule="auto"/>
        <w:ind w:firstLine="482" w:firstLineChars="200"/>
        <w:rPr>
          <w:b/>
          <w:bCs/>
          <w:kern w:val="0"/>
          <w:sz w:val="24"/>
        </w:rPr>
      </w:pPr>
      <w:r>
        <w:rPr>
          <w:b/>
          <w:bCs/>
          <w:kern w:val="0"/>
          <w:sz w:val="24"/>
        </w:rPr>
        <w:fldChar w:fldCharType="begin"/>
      </w:r>
      <w:r>
        <w:rPr>
          <w:b/>
          <w:bCs/>
          <w:kern w:val="0"/>
          <w:sz w:val="24"/>
        </w:rPr>
        <w:instrText xml:space="preserve"> = 1 \* GB3 </w:instrText>
      </w:r>
      <w:r>
        <w:rPr>
          <w:b/>
          <w:bCs/>
          <w:kern w:val="0"/>
          <w:sz w:val="24"/>
        </w:rPr>
        <w:fldChar w:fldCharType="separate"/>
      </w:r>
      <w:r>
        <w:rPr>
          <w:b/>
          <w:bCs/>
          <w:kern w:val="0"/>
          <w:sz w:val="24"/>
        </w:rPr>
        <w:t>①</w:t>
      </w:r>
      <w:r>
        <w:rPr>
          <w:b/>
          <w:bCs/>
          <w:kern w:val="0"/>
          <w:sz w:val="24"/>
        </w:rPr>
        <w:fldChar w:fldCharType="end"/>
      </w:r>
      <w:r>
        <w:rPr>
          <w:b/>
          <w:bCs/>
          <w:kern w:val="0"/>
          <w:sz w:val="24"/>
        </w:rPr>
        <w:t>生活用水</w:t>
      </w:r>
    </w:p>
    <w:p w14:paraId="75F14C1F">
      <w:pPr>
        <w:adjustRightInd w:val="0"/>
        <w:snapToGrid w:val="0"/>
        <w:spacing w:before="78" w:line="360" w:lineRule="auto"/>
        <w:ind w:firstLine="480" w:firstLineChars="200"/>
        <w:rPr>
          <w:kern w:val="0"/>
          <w:sz w:val="24"/>
        </w:rPr>
      </w:pPr>
      <w:r>
        <w:rPr>
          <w:kern w:val="0"/>
          <w:sz w:val="24"/>
        </w:rPr>
        <w:t>本项目定员30人，年工作3</w:t>
      </w:r>
      <w:r>
        <w:rPr>
          <w:rFonts w:hint="eastAsia"/>
          <w:kern w:val="0"/>
          <w:sz w:val="24"/>
        </w:rPr>
        <w:t>0</w:t>
      </w:r>
      <w:r>
        <w:rPr>
          <w:kern w:val="0"/>
          <w:sz w:val="24"/>
        </w:rPr>
        <w:t>0天，不设食堂、洗浴。根据《辽宁省行业用水定额》（DB21/T 1237-2020），工业企业职工生活用水定额50L/（人·班），三班制，则生活用水量为4.5m</w:t>
      </w:r>
      <w:r>
        <w:rPr>
          <w:kern w:val="0"/>
          <w:sz w:val="24"/>
          <w:vertAlign w:val="superscript"/>
        </w:rPr>
        <w:t>3</w:t>
      </w:r>
      <w:r>
        <w:rPr>
          <w:kern w:val="0"/>
          <w:sz w:val="24"/>
        </w:rPr>
        <w:t>/d。</w:t>
      </w:r>
    </w:p>
    <w:p w14:paraId="4502468F">
      <w:pPr>
        <w:adjustRightInd w:val="0"/>
        <w:snapToGrid w:val="0"/>
        <w:spacing w:before="78" w:line="360" w:lineRule="auto"/>
        <w:ind w:firstLine="482" w:firstLineChars="200"/>
        <w:rPr>
          <w:b/>
          <w:bCs/>
          <w:kern w:val="0"/>
          <w:sz w:val="24"/>
        </w:rPr>
      </w:pPr>
      <w:r>
        <w:rPr>
          <w:b/>
          <w:bCs/>
          <w:kern w:val="0"/>
          <w:sz w:val="24"/>
        </w:rPr>
        <w:fldChar w:fldCharType="begin"/>
      </w:r>
      <w:r>
        <w:rPr>
          <w:b/>
          <w:bCs/>
          <w:kern w:val="0"/>
          <w:sz w:val="24"/>
        </w:rPr>
        <w:instrText xml:space="preserve"> = 2 \* GB3 \* MERGEFORMAT </w:instrText>
      </w:r>
      <w:r>
        <w:rPr>
          <w:b/>
          <w:bCs/>
          <w:kern w:val="0"/>
          <w:sz w:val="24"/>
        </w:rPr>
        <w:fldChar w:fldCharType="separate"/>
      </w:r>
      <w:r>
        <w:rPr>
          <w:b/>
          <w:bCs/>
          <w:kern w:val="0"/>
          <w:sz w:val="24"/>
        </w:rPr>
        <w:t>②</w:t>
      </w:r>
      <w:r>
        <w:rPr>
          <w:b/>
          <w:bCs/>
          <w:kern w:val="0"/>
          <w:sz w:val="24"/>
        </w:rPr>
        <w:fldChar w:fldCharType="end"/>
      </w:r>
      <w:r>
        <w:rPr>
          <w:b/>
          <w:bCs/>
          <w:kern w:val="0"/>
          <w:sz w:val="24"/>
        </w:rPr>
        <w:t>生产用水</w:t>
      </w:r>
    </w:p>
    <w:p w14:paraId="0359BB30">
      <w:pPr>
        <w:adjustRightInd w:val="0"/>
        <w:snapToGrid w:val="0"/>
        <w:spacing w:before="78" w:line="360" w:lineRule="auto"/>
        <w:ind w:firstLine="480" w:firstLineChars="200"/>
        <w:rPr>
          <w:bCs/>
          <w:kern w:val="0"/>
          <w:sz w:val="24"/>
        </w:rPr>
      </w:pPr>
      <w:r>
        <w:rPr>
          <w:kern w:val="0"/>
          <w:sz w:val="24"/>
        </w:rPr>
        <w:t>项目生产用水为各车间</w:t>
      </w:r>
      <w:r>
        <w:rPr>
          <w:rFonts w:hint="eastAsia"/>
          <w:kern w:val="0"/>
          <w:sz w:val="24"/>
        </w:rPr>
        <w:t>洒水</w:t>
      </w:r>
      <w:r>
        <w:rPr>
          <w:kern w:val="0"/>
          <w:sz w:val="24"/>
        </w:rPr>
        <w:t>抑尘用水、车间地面清洗水、</w:t>
      </w:r>
      <w:r>
        <w:rPr>
          <w:bCs/>
          <w:kern w:val="0"/>
          <w:sz w:val="24"/>
        </w:rPr>
        <w:t>道路抑尘用水</w:t>
      </w:r>
      <w:r>
        <w:rPr>
          <w:kern w:val="0"/>
          <w:sz w:val="24"/>
        </w:rPr>
        <w:t>、选矿用水，</w:t>
      </w:r>
      <w:r>
        <w:rPr>
          <w:bCs/>
          <w:kern w:val="0"/>
          <w:sz w:val="24"/>
        </w:rPr>
        <w:t>其中抑尘用水全部蒸发损耗或进入物料，洗砂用水部分带入产品，部分随泥砂进入浓缩罐及压滤机，经过浓缩压滤后的上清液排入循环水池循环使用，循环水池定期补充新水。新鲜水补水量</w:t>
      </w:r>
      <w:r>
        <w:rPr>
          <w:rFonts w:hint="eastAsia"/>
          <w:bCs/>
          <w:kern w:val="0"/>
          <w:sz w:val="24"/>
        </w:rPr>
        <w:t>507.9</w:t>
      </w:r>
      <w:r>
        <w:rPr>
          <w:bCs/>
          <w:sz w:val="24"/>
        </w:rPr>
        <w:t>m</w:t>
      </w:r>
      <w:r>
        <w:rPr>
          <w:bCs/>
          <w:sz w:val="24"/>
          <w:vertAlign w:val="superscript"/>
        </w:rPr>
        <w:t>3</w:t>
      </w:r>
      <w:r>
        <w:rPr>
          <w:bCs/>
          <w:sz w:val="24"/>
        </w:rPr>
        <w:t>/d，循环水量</w:t>
      </w:r>
      <w:r>
        <w:rPr>
          <w:rFonts w:hint="eastAsia"/>
          <w:bCs/>
          <w:kern w:val="0"/>
          <w:sz w:val="24"/>
        </w:rPr>
        <w:t>2792.6</w:t>
      </w:r>
      <w:r>
        <w:rPr>
          <w:bCs/>
          <w:kern w:val="0"/>
          <w:sz w:val="24"/>
        </w:rPr>
        <w:t>m</w:t>
      </w:r>
      <w:r>
        <w:rPr>
          <w:bCs/>
          <w:kern w:val="0"/>
          <w:sz w:val="24"/>
          <w:vertAlign w:val="superscript"/>
        </w:rPr>
        <w:t>3</w:t>
      </w:r>
      <w:r>
        <w:rPr>
          <w:bCs/>
          <w:kern w:val="0"/>
          <w:sz w:val="24"/>
        </w:rPr>
        <w:t>/d。</w:t>
      </w:r>
    </w:p>
    <w:p w14:paraId="246ECEBF">
      <w:pPr>
        <w:spacing w:before="78" w:line="360" w:lineRule="auto"/>
        <w:ind w:firstLine="482" w:firstLineChars="200"/>
        <w:rPr>
          <w:b/>
          <w:bCs/>
          <w:kern w:val="0"/>
          <w:sz w:val="24"/>
          <w:szCs w:val="21"/>
        </w:rPr>
      </w:pPr>
      <w:r>
        <w:rPr>
          <w:b/>
          <w:bCs/>
          <w:sz w:val="24"/>
        </w:rPr>
        <w:t>1）</w:t>
      </w:r>
      <w:r>
        <w:rPr>
          <w:rFonts w:hint="eastAsia"/>
          <w:b/>
          <w:bCs/>
          <w:kern w:val="0"/>
          <w:sz w:val="24"/>
          <w:szCs w:val="21"/>
        </w:rPr>
        <w:t>车间</w:t>
      </w:r>
      <w:r>
        <w:rPr>
          <w:b/>
          <w:bCs/>
          <w:kern w:val="0"/>
          <w:sz w:val="24"/>
          <w:szCs w:val="21"/>
        </w:rPr>
        <w:t>抑尘用水</w:t>
      </w:r>
    </w:p>
    <w:p w14:paraId="49FE329A">
      <w:pPr>
        <w:spacing w:before="78" w:line="360" w:lineRule="auto"/>
        <w:ind w:firstLine="480" w:firstLineChars="200"/>
        <w:rPr>
          <w:sz w:val="24"/>
        </w:rPr>
      </w:pPr>
      <w:r>
        <w:rPr>
          <w:sz w:val="24"/>
        </w:rPr>
        <w:t>建设单位</w:t>
      </w:r>
      <w:r>
        <w:rPr>
          <w:rFonts w:hint="eastAsia"/>
          <w:sz w:val="24"/>
        </w:rPr>
        <w:t>对抛砂车间、破碎车间以及机制砂库房配备防尘雾炮车</w:t>
      </w:r>
      <w:r>
        <w:rPr>
          <w:sz w:val="24"/>
        </w:rPr>
        <w:t>，</w:t>
      </w:r>
      <w:r>
        <w:rPr>
          <w:rFonts w:hint="eastAsia"/>
          <w:sz w:val="24"/>
        </w:rPr>
        <w:t>对车间进行洒水抑尘</w:t>
      </w:r>
      <w:r>
        <w:rPr>
          <w:sz w:val="24"/>
        </w:rPr>
        <w:t>。</w:t>
      </w:r>
      <w:r>
        <w:rPr>
          <w:rFonts w:hint="eastAsia"/>
          <w:sz w:val="24"/>
        </w:rPr>
        <w:t>车间面积分别为6500m</w:t>
      </w:r>
      <w:r>
        <w:rPr>
          <w:sz w:val="24"/>
          <w:vertAlign w:val="superscript"/>
        </w:rPr>
        <w:t>2</w:t>
      </w:r>
      <w:r>
        <w:rPr>
          <w:rFonts w:hint="eastAsia"/>
          <w:sz w:val="24"/>
        </w:rPr>
        <w:t>、</w:t>
      </w:r>
      <w:r>
        <w:rPr>
          <w:sz w:val="24"/>
        </w:rPr>
        <w:t>10800</w:t>
      </w:r>
      <w:r>
        <w:rPr>
          <w:rFonts w:hint="eastAsia"/>
          <w:sz w:val="24"/>
        </w:rPr>
        <w:t>m</w:t>
      </w:r>
      <w:r>
        <w:rPr>
          <w:sz w:val="24"/>
          <w:vertAlign w:val="superscript"/>
        </w:rPr>
        <w:t>2</w:t>
      </w:r>
      <w:r>
        <w:rPr>
          <w:rFonts w:hint="eastAsia"/>
          <w:sz w:val="24"/>
        </w:rPr>
        <w:t>、1500m</w:t>
      </w:r>
      <w:r>
        <w:rPr>
          <w:sz w:val="24"/>
          <w:vertAlign w:val="superscript"/>
        </w:rPr>
        <w:t>2</w:t>
      </w:r>
      <w:r>
        <w:rPr>
          <w:sz w:val="24"/>
        </w:rPr>
        <w:t>，用水按</w:t>
      </w:r>
      <w:r>
        <w:rPr>
          <w:rFonts w:hint="eastAsia"/>
          <w:bCs/>
          <w:snapToGrid w:val="0"/>
          <w:sz w:val="24"/>
        </w:rPr>
        <w:t>1.4</w:t>
      </w:r>
      <w:r>
        <w:rPr>
          <w:bCs/>
          <w:snapToGrid w:val="0"/>
          <w:sz w:val="24"/>
        </w:rPr>
        <w:t>L/</w:t>
      </w:r>
      <w:r>
        <w:rPr>
          <w:rFonts w:hint="eastAsia"/>
          <w:bCs/>
          <w:snapToGrid w:val="0"/>
          <w:sz w:val="24"/>
        </w:rPr>
        <w:t>m</w:t>
      </w:r>
      <w:r>
        <w:rPr>
          <w:rFonts w:hint="eastAsia"/>
          <w:bCs/>
          <w:snapToGrid w:val="0"/>
          <w:sz w:val="24"/>
          <w:vertAlign w:val="superscript"/>
        </w:rPr>
        <w:t>2</w:t>
      </w:r>
      <w:r>
        <w:rPr>
          <w:rFonts w:hint="eastAsia"/>
          <w:sz w:val="24"/>
        </w:rPr>
        <w:t>·</w:t>
      </w:r>
      <w:r>
        <w:rPr>
          <w:bCs/>
          <w:snapToGrid w:val="0"/>
          <w:sz w:val="24"/>
        </w:rPr>
        <w:t>d</w:t>
      </w:r>
      <w:r>
        <w:rPr>
          <w:sz w:val="24"/>
        </w:rPr>
        <w:t>计，则用水量</w:t>
      </w:r>
      <w:r>
        <w:rPr>
          <w:rFonts w:hint="eastAsia"/>
          <w:sz w:val="24"/>
        </w:rPr>
        <w:t>共26.3</w:t>
      </w:r>
      <w:r>
        <w:rPr>
          <w:sz w:val="24"/>
        </w:rPr>
        <w:t>m³/d，全部蒸发。</w:t>
      </w:r>
    </w:p>
    <w:p w14:paraId="37E82725">
      <w:pPr>
        <w:spacing w:before="78" w:line="360" w:lineRule="auto"/>
        <w:ind w:firstLine="482" w:firstLineChars="200"/>
        <w:rPr>
          <w:b/>
          <w:bCs/>
          <w:sz w:val="24"/>
        </w:rPr>
      </w:pPr>
      <w:r>
        <w:rPr>
          <w:b/>
          <w:bCs/>
          <w:sz w:val="24"/>
        </w:rPr>
        <w:t>2）道路运输降尘用水</w:t>
      </w:r>
    </w:p>
    <w:p w14:paraId="6032912E">
      <w:pPr>
        <w:pStyle w:val="75"/>
        <w:spacing w:before="78"/>
        <w:ind w:left="0" w:leftChars="0" w:firstLine="480" w:firstLineChars="200"/>
        <w:rPr>
          <w:rFonts w:ascii="Times New Roman" w:hAnsi="Times New Roman"/>
          <w:sz w:val="24"/>
          <w:szCs w:val="24"/>
        </w:rPr>
      </w:pPr>
      <w:r>
        <w:rPr>
          <w:rFonts w:ascii="Times New Roman" w:hAnsi="Times New Roman"/>
          <w:sz w:val="24"/>
          <w:szCs w:val="24"/>
        </w:rPr>
        <w:t>本项目运输道路需降尘区域约2000m</w:t>
      </w:r>
      <w:r>
        <w:rPr>
          <w:rFonts w:ascii="Times New Roman" w:hAnsi="Times New Roman"/>
          <w:sz w:val="24"/>
          <w:szCs w:val="24"/>
          <w:vertAlign w:val="superscript"/>
        </w:rPr>
        <w:t>2</w:t>
      </w:r>
      <w:r>
        <w:rPr>
          <w:rFonts w:ascii="Times New Roman" w:hAnsi="Times New Roman"/>
          <w:sz w:val="24"/>
          <w:szCs w:val="24"/>
        </w:rPr>
        <w:t>，</w:t>
      </w:r>
      <w:r>
        <w:rPr>
          <w:rFonts w:hint="eastAsia" w:ascii="Times New Roman" w:hAnsi="Times New Roman"/>
          <w:sz w:val="24"/>
          <w:szCs w:val="24"/>
        </w:rPr>
        <w:t>道路</w:t>
      </w:r>
      <w:r>
        <w:rPr>
          <w:rFonts w:ascii="Times New Roman" w:hAnsi="Times New Roman"/>
          <w:sz w:val="24"/>
          <w:szCs w:val="24"/>
        </w:rPr>
        <w:t>浇洒用水量按平均1.1L/m</w:t>
      </w:r>
      <w:r>
        <w:rPr>
          <w:rFonts w:ascii="Times New Roman" w:hAnsi="Times New Roman"/>
          <w:sz w:val="24"/>
          <w:szCs w:val="24"/>
          <w:vertAlign w:val="superscript"/>
        </w:rPr>
        <w:t>2</w:t>
      </w:r>
      <w:r>
        <w:rPr>
          <w:rFonts w:ascii="Times New Roman" w:hAnsi="Times New Roman"/>
          <w:sz w:val="24"/>
          <w:szCs w:val="24"/>
        </w:rPr>
        <w:t>·d计</w:t>
      </w:r>
      <w:r>
        <w:rPr>
          <w:rFonts w:hint="eastAsia" w:ascii="Times New Roman" w:hAnsi="Times New Roman"/>
          <w:sz w:val="24"/>
          <w:szCs w:val="24"/>
        </w:rPr>
        <w:t>，</w:t>
      </w:r>
      <w:r>
        <w:rPr>
          <w:rFonts w:ascii="Times New Roman" w:hAnsi="Times New Roman"/>
          <w:sz w:val="24"/>
          <w:szCs w:val="24"/>
        </w:rPr>
        <w:t>则道路洒水抑尘用水量为</w:t>
      </w:r>
      <w:r>
        <w:rPr>
          <w:rFonts w:hint="eastAsia" w:ascii="Times New Roman" w:hAnsi="Times New Roman"/>
          <w:sz w:val="24"/>
          <w:szCs w:val="24"/>
        </w:rPr>
        <w:t>2.2</w:t>
      </w:r>
      <w:r>
        <w:rPr>
          <w:rFonts w:ascii="Times New Roman" w:hAnsi="Times New Roman"/>
          <w:sz w:val="24"/>
          <w:szCs w:val="24"/>
        </w:rPr>
        <w:t>m</w:t>
      </w:r>
      <w:r>
        <w:rPr>
          <w:rFonts w:ascii="Times New Roman" w:hAnsi="Times New Roman"/>
          <w:sz w:val="24"/>
          <w:szCs w:val="24"/>
          <w:vertAlign w:val="superscript"/>
        </w:rPr>
        <w:t>3</w:t>
      </w:r>
      <w:r>
        <w:rPr>
          <w:rFonts w:ascii="Times New Roman" w:hAnsi="Times New Roman"/>
          <w:sz w:val="24"/>
          <w:szCs w:val="24"/>
        </w:rPr>
        <w:t>/d</w:t>
      </w:r>
      <w:r>
        <w:rPr>
          <w:rFonts w:hint="eastAsia" w:ascii="Times New Roman" w:hAnsi="Times New Roman"/>
          <w:sz w:val="24"/>
          <w:szCs w:val="24"/>
        </w:rPr>
        <w:t>。</w:t>
      </w:r>
      <w:r>
        <w:rPr>
          <w:rFonts w:ascii="Times New Roman" w:hAnsi="Times New Roman"/>
          <w:sz w:val="24"/>
          <w:szCs w:val="24"/>
        </w:rPr>
        <w:t>道路降尘用水量</w:t>
      </w:r>
      <w:r>
        <w:rPr>
          <w:rFonts w:hint="eastAsia" w:ascii="Times New Roman" w:hAnsi="Times New Roman"/>
          <w:sz w:val="24"/>
          <w:szCs w:val="24"/>
        </w:rPr>
        <w:t>660</w:t>
      </w:r>
      <w:r>
        <w:rPr>
          <w:rFonts w:ascii="Times New Roman" w:hAnsi="Times New Roman"/>
          <w:sz w:val="24"/>
          <w:szCs w:val="24"/>
        </w:rPr>
        <w:t>m</w:t>
      </w:r>
      <w:r>
        <w:rPr>
          <w:rFonts w:ascii="Times New Roman" w:hAnsi="Times New Roman"/>
          <w:sz w:val="24"/>
          <w:szCs w:val="24"/>
          <w:vertAlign w:val="superscript"/>
        </w:rPr>
        <w:t>3</w:t>
      </w:r>
      <w:r>
        <w:rPr>
          <w:rFonts w:ascii="Times New Roman" w:hAnsi="Times New Roman"/>
          <w:sz w:val="24"/>
          <w:szCs w:val="24"/>
        </w:rPr>
        <w:t>/a全部蒸发。</w:t>
      </w:r>
    </w:p>
    <w:p w14:paraId="5D93ED15">
      <w:pPr>
        <w:spacing w:before="78" w:line="360" w:lineRule="auto"/>
        <w:ind w:firstLine="482" w:firstLineChars="200"/>
        <w:rPr>
          <w:b/>
          <w:bCs/>
          <w:sz w:val="24"/>
        </w:rPr>
      </w:pPr>
      <w:r>
        <w:rPr>
          <w:rFonts w:hint="eastAsia"/>
          <w:b/>
          <w:bCs/>
          <w:sz w:val="24"/>
        </w:rPr>
        <w:t>3</w:t>
      </w:r>
      <w:r>
        <w:rPr>
          <w:b/>
          <w:bCs/>
          <w:sz w:val="24"/>
        </w:rPr>
        <w:t>）</w:t>
      </w:r>
      <w:r>
        <w:rPr>
          <w:rFonts w:hint="eastAsia"/>
          <w:b/>
          <w:bCs/>
          <w:sz w:val="24"/>
        </w:rPr>
        <w:t>车辆清洗</w:t>
      </w:r>
      <w:r>
        <w:rPr>
          <w:b/>
          <w:bCs/>
          <w:sz w:val="24"/>
        </w:rPr>
        <w:t>用水</w:t>
      </w:r>
    </w:p>
    <w:p w14:paraId="0EFB3851">
      <w:pPr>
        <w:pStyle w:val="75"/>
        <w:spacing w:before="78"/>
        <w:ind w:left="0" w:leftChars="0" w:firstLine="480" w:firstLineChars="200"/>
        <w:rPr>
          <w:rFonts w:ascii="Times New Roman" w:hAnsi="Times New Roman"/>
          <w:sz w:val="24"/>
          <w:szCs w:val="24"/>
        </w:rPr>
      </w:pPr>
      <w:r>
        <w:rPr>
          <w:rFonts w:hint="eastAsia" w:ascii="Times New Roman" w:hAnsi="Times New Roman"/>
          <w:sz w:val="24"/>
          <w:szCs w:val="24"/>
        </w:rPr>
        <w:t>本项目车辆清洗新水用</w:t>
      </w:r>
      <w:r>
        <w:rPr>
          <w:rFonts w:ascii="Times New Roman" w:hAnsi="Times New Roman"/>
          <w:sz w:val="24"/>
          <w:szCs w:val="24"/>
        </w:rPr>
        <w:t>量</w:t>
      </w:r>
      <w:r>
        <w:rPr>
          <w:rFonts w:hint="eastAsia" w:ascii="Times New Roman" w:hAnsi="Times New Roman"/>
          <w:sz w:val="24"/>
          <w:szCs w:val="24"/>
        </w:rPr>
        <w:t>按</w:t>
      </w:r>
      <w:r>
        <w:rPr>
          <w:rFonts w:ascii="Times New Roman" w:hAnsi="Times New Roman"/>
          <w:sz w:val="24"/>
          <w:szCs w:val="24"/>
        </w:rPr>
        <w:t>3m</w:t>
      </w:r>
      <w:r>
        <w:rPr>
          <w:rFonts w:ascii="Times New Roman" w:hAnsi="Times New Roman"/>
          <w:sz w:val="24"/>
          <w:szCs w:val="24"/>
          <w:vertAlign w:val="superscript"/>
        </w:rPr>
        <w:t>3</w:t>
      </w:r>
      <w:r>
        <w:rPr>
          <w:rFonts w:ascii="Times New Roman" w:hAnsi="Times New Roman"/>
          <w:sz w:val="24"/>
          <w:szCs w:val="24"/>
        </w:rPr>
        <w:t>/d</w:t>
      </w:r>
      <w:r>
        <w:rPr>
          <w:rFonts w:hint="eastAsia" w:ascii="Times New Roman" w:hAnsi="Times New Roman"/>
          <w:sz w:val="24"/>
          <w:szCs w:val="24"/>
        </w:rPr>
        <w:t>计，车辆清洗</w:t>
      </w:r>
      <w:r>
        <w:rPr>
          <w:rFonts w:ascii="Times New Roman" w:hAnsi="Times New Roman"/>
          <w:sz w:val="24"/>
          <w:szCs w:val="24"/>
        </w:rPr>
        <w:t>用水量为</w:t>
      </w:r>
      <w:r>
        <w:rPr>
          <w:rFonts w:hint="eastAsia" w:ascii="Times New Roman" w:hAnsi="Times New Roman"/>
          <w:sz w:val="24"/>
          <w:szCs w:val="24"/>
        </w:rPr>
        <w:t>900</w:t>
      </w:r>
      <w:r>
        <w:rPr>
          <w:rFonts w:ascii="Times New Roman" w:hAnsi="Times New Roman"/>
          <w:sz w:val="24"/>
          <w:szCs w:val="24"/>
        </w:rPr>
        <w:t>m</w:t>
      </w:r>
      <w:r>
        <w:rPr>
          <w:rFonts w:ascii="Times New Roman" w:hAnsi="Times New Roman"/>
          <w:sz w:val="24"/>
          <w:szCs w:val="24"/>
          <w:vertAlign w:val="superscript"/>
        </w:rPr>
        <w:t>3</w:t>
      </w:r>
      <w:r>
        <w:rPr>
          <w:rFonts w:ascii="Times New Roman" w:hAnsi="Times New Roman"/>
          <w:sz w:val="24"/>
          <w:szCs w:val="24"/>
        </w:rPr>
        <w:t>/</w:t>
      </w:r>
      <w:r>
        <w:rPr>
          <w:rFonts w:hint="eastAsia" w:ascii="Times New Roman" w:hAnsi="Times New Roman"/>
          <w:sz w:val="24"/>
          <w:szCs w:val="24"/>
        </w:rPr>
        <w:t>a</w:t>
      </w:r>
      <w:r>
        <w:rPr>
          <w:rFonts w:ascii="Times New Roman" w:hAnsi="Times New Roman"/>
          <w:sz w:val="24"/>
          <w:szCs w:val="24"/>
        </w:rPr>
        <w:t>全部蒸发。</w:t>
      </w:r>
    </w:p>
    <w:p w14:paraId="0EF86A48">
      <w:pPr>
        <w:spacing w:before="78" w:line="360" w:lineRule="auto"/>
        <w:ind w:firstLine="482" w:firstLineChars="200"/>
        <w:rPr>
          <w:b/>
          <w:bCs/>
          <w:sz w:val="24"/>
        </w:rPr>
      </w:pPr>
      <w:r>
        <w:rPr>
          <w:rFonts w:hint="eastAsia"/>
          <w:b/>
          <w:bCs/>
          <w:sz w:val="24"/>
        </w:rPr>
        <w:t>4</w:t>
      </w:r>
      <w:r>
        <w:rPr>
          <w:b/>
          <w:bCs/>
          <w:sz w:val="24"/>
        </w:rPr>
        <w:t>）车间地面清洗水</w:t>
      </w:r>
    </w:p>
    <w:p w14:paraId="6B11F417">
      <w:pPr>
        <w:spacing w:before="78" w:line="360" w:lineRule="auto"/>
        <w:ind w:firstLine="480" w:firstLineChars="200"/>
        <w:rPr>
          <w:b/>
          <w:bCs/>
          <w:sz w:val="24"/>
        </w:rPr>
      </w:pPr>
      <w:r>
        <w:rPr>
          <w:sz w:val="24"/>
        </w:rPr>
        <w:t>车间清洗地面用水量按</w:t>
      </w:r>
      <w:r>
        <w:rPr>
          <w:kern w:val="0"/>
          <w:sz w:val="24"/>
        </w:rPr>
        <w:t>1.0L/m</w:t>
      </w:r>
      <w:r>
        <w:rPr>
          <w:kern w:val="0"/>
          <w:sz w:val="24"/>
          <w:vertAlign w:val="superscript"/>
        </w:rPr>
        <w:t>2</w:t>
      </w:r>
      <w:r>
        <w:rPr>
          <w:kern w:val="0"/>
          <w:sz w:val="24"/>
        </w:rPr>
        <w:t>·次计，清洗面积（不包含设备占地面积）按</w:t>
      </w:r>
      <w:r>
        <w:rPr>
          <w:rFonts w:hint="eastAsia"/>
          <w:kern w:val="0"/>
          <w:sz w:val="24"/>
        </w:rPr>
        <w:t>6</w:t>
      </w:r>
      <w:r>
        <w:rPr>
          <w:kern w:val="0"/>
          <w:sz w:val="24"/>
        </w:rPr>
        <w:t>000m</w:t>
      </w:r>
      <w:r>
        <w:rPr>
          <w:kern w:val="0"/>
          <w:sz w:val="24"/>
          <w:vertAlign w:val="superscript"/>
        </w:rPr>
        <w:t>2</w:t>
      </w:r>
      <w:r>
        <w:rPr>
          <w:kern w:val="0"/>
          <w:sz w:val="24"/>
        </w:rPr>
        <w:t>计，每</w:t>
      </w:r>
      <w:r>
        <w:rPr>
          <w:rFonts w:hint="eastAsia"/>
          <w:kern w:val="0"/>
          <w:sz w:val="24"/>
        </w:rPr>
        <w:t>天</w:t>
      </w:r>
      <w:r>
        <w:rPr>
          <w:kern w:val="0"/>
          <w:sz w:val="24"/>
        </w:rPr>
        <w:t>清洗一次，经计算，地面清洗水用量</w:t>
      </w:r>
      <w:r>
        <w:rPr>
          <w:rFonts w:hint="eastAsia"/>
          <w:kern w:val="0"/>
          <w:sz w:val="24"/>
        </w:rPr>
        <w:t>6.0</w:t>
      </w:r>
      <w:r>
        <w:rPr>
          <w:kern w:val="0"/>
          <w:sz w:val="24"/>
        </w:rPr>
        <w:t>m³/d</w:t>
      </w:r>
      <w:r>
        <w:rPr>
          <w:sz w:val="24"/>
        </w:rPr>
        <w:t>，</w:t>
      </w:r>
      <w:r>
        <w:rPr>
          <w:rFonts w:hint="eastAsia"/>
          <w:sz w:val="24"/>
        </w:rPr>
        <w:t>蒸发损失1.2</w:t>
      </w:r>
      <w:r>
        <w:rPr>
          <w:kern w:val="0"/>
          <w:sz w:val="24"/>
        </w:rPr>
        <w:t xml:space="preserve"> m³/d</w:t>
      </w:r>
      <w:r>
        <w:rPr>
          <w:rFonts w:hint="eastAsia"/>
          <w:sz w:val="24"/>
        </w:rPr>
        <w:t>，剩余</w:t>
      </w:r>
      <w:r>
        <w:rPr>
          <w:rFonts w:hint="eastAsia"/>
          <w:kern w:val="0"/>
          <w:sz w:val="24"/>
        </w:rPr>
        <w:t>4.8</w:t>
      </w:r>
      <w:r>
        <w:rPr>
          <w:kern w:val="0"/>
          <w:sz w:val="24"/>
        </w:rPr>
        <w:t>m³/d</w:t>
      </w:r>
      <w:r>
        <w:rPr>
          <w:rFonts w:hint="eastAsia"/>
          <w:sz w:val="24"/>
        </w:rPr>
        <w:t>排放至循环水池循环利用</w:t>
      </w:r>
      <w:r>
        <w:rPr>
          <w:kern w:val="0"/>
          <w:sz w:val="24"/>
        </w:rPr>
        <w:t>。</w:t>
      </w:r>
    </w:p>
    <w:p w14:paraId="2ACE0F71">
      <w:pPr>
        <w:spacing w:before="78" w:line="360" w:lineRule="auto"/>
        <w:ind w:firstLine="482" w:firstLineChars="200"/>
        <w:rPr>
          <w:b/>
          <w:bCs/>
          <w:sz w:val="24"/>
        </w:rPr>
      </w:pPr>
      <w:r>
        <w:rPr>
          <w:rFonts w:hint="eastAsia"/>
          <w:b/>
          <w:bCs/>
          <w:sz w:val="24"/>
        </w:rPr>
        <w:t>5</w:t>
      </w:r>
      <w:r>
        <w:rPr>
          <w:b/>
          <w:bCs/>
          <w:sz w:val="24"/>
        </w:rPr>
        <w:t>）选矿用水</w:t>
      </w:r>
    </w:p>
    <w:p w14:paraId="3E3329E8">
      <w:pPr>
        <w:spacing w:before="78" w:line="360" w:lineRule="auto"/>
        <w:ind w:firstLine="480" w:firstLineChars="200"/>
        <w:rPr>
          <w:sz w:val="24"/>
        </w:rPr>
      </w:pPr>
      <w:r>
        <w:rPr>
          <w:rFonts w:hint="eastAsia"/>
          <w:sz w:val="24"/>
        </w:rPr>
        <w:t>本项目用水工序为钒钛磁铁矿工艺、钛铁精矿工艺、机制砂工艺，根据企业设计参数用水量按</w:t>
      </w:r>
      <w:r>
        <w:rPr>
          <w:sz w:val="24"/>
        </w:rPr>
        <w:t>0.55t/t-</w:t>
      </w:r>
      <w:r>
        <w:rPr>
          <w:rFonts w:hint="eastAsia"/>
          <w:sz w:val="24"/>
        </w:rPr>
        <w:t>产品计，钒钛磁铁矿、钛铁精矿、机制砂产量共计为</w:t>
      </w:r>
      <w:r>
        <w:rPr>
          <w:sz w:val="24"/>
        </w:rPr>
        <w:t>5933t/d</w:t>
      </w:r>
      <w:r>
        <w:rPr>
          <w:rFonts w:hint="eastAsia"/>
          <w:sz w:val="24"/>
        </w:rPr>
        <w:t>，经计算选矿用水量为</w:t>
      </w:r>
      <w:r>
        <w:rPr>
          <w:sz w:val="24"/>
        </w:rPr>
        <w:t>3263m³/d</w:t>
      </w:r>
      <w:r>
        <w:rPr>
          <w:rFonts w:hint="eastAsia"/>
          <w:sz w:val="24"/>
        </w:rPr>
        <w:t>。</w:t>
      </w:r>
    </w:p>
    <w:p w14:paraId="4BDB8A8A">
      <w:pPr>
        <w:adjustRightInd w:val="0"/>
        <w:snapToGrid w:val="0"/>
        <w:spacing w:before="78" w:line="360" w:lineRule="auto"/>
        <w:ind w:firstLine="482" w:firstLineChars="200"/>
        <w:rPr>
          <w:b/>
          <w:bCs/>
          <w:kern w:val="0"/>
          <w:sz w:val="24"/>
        </w:rPr>
      </w:pPr>
      <w:r>
        <w:rPr>
          <w:rFonts w:hint="eastAsia"/>
          <w:b/>
          <w:bCs/>
          <w:kern w:val="0"/>
          <w:sz w:val="24"/>
        </w:rPr>
        <w:t>（2）</w:t>
      </w:r>
      <w:r>
        <w:rPr>
          <w:b/>
          <w:bCs/>
          <w:kern w:val="0"/>
          <w:sz w:val="24"/>
        </w:rPr>
        <w:t>排水</w:t>
      </w:r>
      <w:r>
        <w:rPr>
          <w:rFonts w:hint="eastAsia"/>
          <w:b/>
          <w:bCs/>
          <w:kern w:val="0"/>
          <w:sz w:val="24"/>
        </w:rPr>
        <w:t>及损失水量</w:t>
      </w:r>
    </w:p>
    <w:p w14:paraId="405EA121">
      <w:pPr>
        <w:autoSpaceDE w:val="0"/>
        <w:autoSpaceDN w:val="0"/>
        <w:adjustRightInd w:val="0"/>
        <w:snapToGrid w:val="0"/>
        <w:spacing w:before="78" w:line="360" w:lineRule="auto"/>
        <w:ind w:firstLine="480" w:firstLineChars="200"/>
        <w:textAlignment w:val="bottom"/>
        <w:rPr>
          <w:sz w:val="24"/>
        </w:rPr>
      </w:pPr>
      <w:r>
        <w:rPr>
          <w:sz w:val="24"/>
          <w:lang w:bidi="ar"/>
        </w:rPr>
        <w:t>本项目废水主要包括生活污水、选矿废水、车间地面清洗废水</w:t>
      </w:r>
      <w:r>
        <w:rPr>
          <w:rFonts w:hint="eastAsia"/>
          <w:sz w:val="24"/>
          <w:lang w:bidi="ar"/>
        </w:rPr>
        <w:t>等，此外本项目产品物料带走部分水分。</w:t>
      </w:r>
    </w:p>
    <w:p w14:paraId="09585665">
      <w:pPr>
        <w:adjustRightInd w:val="0"/>
        <w:snapToGrid w:val="0"/>
        <w:spacing w:before="78" w:line="360" w:lineRule="auto"/>
        <w:ind w:firstLine="480" w:firstLineChars="200"/>
        <w:rPr>
          <w:kern w:val="0"/>
          <w:sz w:val="24"/>
        </w:rPr>
      </w:pPr>
      <w:r>
        <w:rPr>
          <w:rFonts w:hint="eastAsia"/>
          <w:kern w:val="0"/>
          <w:sz w:val="24"/>
        </w:rPr>
        <w:t>本项目产生机制砂</w:t>
      </w:r>
      <w:r>
        <w:rPr>
          <w:kern w:val="0"/>
          <w:sz w:val="24"/>
        </w:rPr>
        <w:t>160</w:t>
      </w:r>
      <w:r>
        <w:rPr>
          <w:rFonts w:hint="eastAsia"/>
          <w:kern w:val="0"/>
          <w:sz w:val="24"/>
        </w:rPr>
        <w:t>万</w:t>
      </w:r>
      <w:r>
        <w:rPr>
          <w:kern w:val="0"/>
          <w:sz w:val="24"/>
        </w:rPr>
        <w:t>t/a</w:t>
      </w:r>
      <w:r>
        <w:rPr>
          <w:rFonts w:hint="eastAsia"/>
          <w:kern w:val="0"/>
          <w:sz w:val="24"/>
        </w:rPr>
        <w:t>，含水率为</w:t>
      </w:r>
      <w:r>
        <w:rPr>
          <w:kern w:val="0"/>
          <w:sz w:val="24"/>
        </w:rPr>
        <w:t>10%</w:t>
      </w:r>
      <w:r>
        <w:rPr>
          <w:rFonts w:hint="eastAsia"/>
          <w:kern w:val="0"/>
          <w:sz w:val="24"/>
        </w:rPr>
        <w:t>，则机制砂带走水量16万t/a，约592.7t/d；产生钒钛磁铁矿</w:t>
      </w:r>
      <w:r>
        <w:rPr>
          <w:kern w:val="0"/>
          <w:sz w:val="24"/>
        </w:rPr>
        <w:t>14</w:t>
      </w:r>
      <w:r>
        <w:rPr>
          <w:rFonts w:hint="eastAsia"/>
          <w:kern w:val="0"/>
          <w:sz w:val="24"/>
        </w:rPr>
        <w:t>万</w:t>
      </w:r>
      <w:r>
        <w:rPr>
          <w:kern w:val="0"/>
          <w:sz w:val="24"/>
        </w:rPr>
        <w:t>t/a</w:t>
      </w:r>
      <w:r>
        <w:rPr>
          <w:rFonts w:hint="eastAsia"/>
          <w:kern w:val="0"/>
          <w:sz w:val="24"/>
        </w:rPr>
        <w:t>，含水率</w:t>
      </w:r>
      <w:r>
        <w:rPr>
          <w:kern w:val="0"/>
          <w:sz w:val="24"/>
        </w:rPr>
        <w:t>7</w:t>
      </w:r>
      <w:r>
        <w:rPr>
          <w:rFonts w:hint="eastAsia"/>
          <w:kern w:val="0"/>
          <w:sz w:val="24"/>
        </w:rPr>
        <w:t>-8</w:t>
      </w:r>
      <w:r>
        <w:rPr>
          <w:kern w:val="0"/>
          <w:sz w:val="24"/>
        </w:rPr>
        <w:t>%</w:t>
      </w:r>
      <w:r>
        <w:rPr>
          <w:rFonts w:hint="eastAsia"/>
          <w:kern w:val="0"/>
          <w:sz w:val="24"/>
        </w:rPr>
        <w:t>，则钒钛磁铁矿带走水量1.05万t/a，约35.0t/d；产生钛铁精矿</w:t>
      </w:r>
      <w:r>
        <w:rPr>
          <w:kern w:val="0"/>
          <w:sz w:val="24"/>
        </w:rPr>
        <w:t>4</w:t>
      </w:r>
      <w:r>
        <w:rPr>
          <w:rFonts w:hint="eastAsia"/>
          <w:kern w:val="0"/>
          <w:sz w:val="24"/>
        </w:rPr>
        <w:t>万</w:t>
      </w:r>
      <w:r>
        <w:rPr>
          <w:kern w:val="0"/>
          <w:sz w:val="24"/>
        </w:rPr>
        <w:t>t/a</w:t>
      </w:r>
      <w:r>
        <w:rPr>
          <w:rFonts w:hint="eastAsia"/>
          <w:kern w:val="0"/>
          <w:sz w:val="24"/>
        </w:rPr>
        <w:t>，含水率</w:t>
      </w:r>
      <w:r>
        <w:rPr>
          <w:kern w:val="0"/>
          <w:sz w:val="24"/>
        </w:rPr>
        <w:t>7</w:t>
      </w:r>
      <w:r>
        <w:rPr>
          <w:rFonts w:hint="eastAsia"/>
          <w:kern w:val="0"/>
          <w:sz w:val="24"/>
        </w:rPr>
        <w:t>-8</w:t>
      </w:r>
      <w:r>
        <w:rPr>
          <w:kern w:val="0"/>
          <w:sz w:val="24"/>
        </w:rPr>
        <w:t>%</w:t>
      </w:r>
      <w:r>
        <w:rPr>
          <w:rFonts w:hint="eastAsia"/>
          <w:kern w:val="0"/>
          <w:sz w:val="24"/>
        </w:rPr>
        <w:t>，则钛铁精矿带走水量0.3万t/a，约10.0t/d；本项目产生碎石38万t/a，含水率为10%，则碎石带走水量3.8万t/a，约126.7t/d；经过浓缩及压滤产生泥饼93.17万t/a，含水率为50%，故泥饼的量为带走水量为46.58万t/a，约1552.8t/d。</w:t>
      </w:r>
    </w:p>
    <w:p w14:paraId="1CF70748">
      <w:pPr>
        <w:adjustRightInd w:val="0"/>
        <w:snapToGrid w:val="0"/>
        <w:spacing w:before="78" w:line="360" w:lineRule="auto"/>
        <w:ind w:firstLine="482" w:firstLineChars="200"/>
        <w:rPr>
          <w:b/>
          <w:bCs/>
          <w:kern w:val="0"/>
          <w:sz w:val="24"/>
        </w:rPr>
      </w:pPr>
      <w:r>
        <w:rPr>
          <w:b/>
          <w:bCs/>
          <w:kern w:val="0"/>
          <w:sz w:val="24"/>
        </w:rPr>
        <w:fldChar w:fldCharType="begin"/>
      </w:r>
      <w:r>
        <w:rPr>
          <w:b/>
          <w:bCs/>
          <w:kern w:val="0"/>
          <w:sz w:val="24"/>
        </w:rPr>
        <w:instrText xml:space="preserve"> = 1 \* GB3 \* MERGEFORMAT </w:instrText>
      </w:r>
      <w:r>
        <w:rPr>
          <w:b/>
          <w:bCs/>
          <w:kern w:val="0"/>
          <w:sz w:val="24"/>
        </w:rPr>
        <w:fldChar w:fldCharType="separate"/>
      </w:r>
      <w:r>
        <w:rPr>
          <w:b/>
          <w:bCs/>
          <w:kern w:val="0"/>
          <w:sz w:val="24"/>
        </w:rPr>
        <w:t>①</w:t>
      </w:r>
      <w:r>
        <w:rPr>
          <w:b/>
          <w:bCs/>
          <w:kern w:val="0"/>
          <w:sz w:val="24"/>
        </w:rPr>
        <w:fldChar w:fldCharType="end"/>
      </w:r>
      <w:r>
        <w:rPr>
          <w:b/>
          <w:bCs/>
          <w:kern w:val="0"/>
          <w:sz w:val="24"/>
        </w:rPr>
        <w:t>生活污水</w:t>
      </w:r>
    </w:p>
    <w:p w14:paraId="4BDF1D89">
      <w:pPr>
        <w:adjustRightInd w:val="0"/>
        <w:snapToGrid w:val="0"/>
        <w:spacing w:before="0" w:beforeLines="0" w:line="360" w:lineRule="auto"/>
        <w:ind w:firstLine="480" w:firstLineChars="200"/>
        <w:rPr>
          <w:b/>
          <w:bCs/>
          <w:kern w:val="0"/>
          <w:sz w:val="24"/>
        </w:rPr>
      </w:pPr>
      <w:r>
        <w:rPr>
          <w:kern w:val="0"/>
          <w:sz w:val="24"/>
        </w:rPr>
        <w:t>生活污水产生量按用水量80%计，则生活污水产生量为3.6m</w:t>
      </w:r>
      <w:r>
        <w:rPr>
          <w:kern w:val="0"/>
          <w:sz w:val="24"/>
          <w:vertAlign w:val="superscript"/>
        </w:rPr>
        <w:t>3</w:t>
      </w:r>
      <w:r>
        <w:rPr>
          <w:kern w:val="0"/>
          <w:sz w:val="24"/>
        </w:rPr>
        <w:t>/d。主要污染物为SS、COD、NH</w:t>
      </w:r>
      <w:r>
        <w:rPr>
          <w:kern w:val="0"/>
          <w:sz w:val="24"/>
          <w:vertAlign w:val="subscript"/>
        </w:rPr>
        <w:t>3</w:t>
      </w:r>
      <w:r>
        <w:rPr>
          <w:kern w:val="0"/>
          <w:sz w:val="24"/>
        </w:rPr>
        <w:t>-N等，生活污水排入化粪池，定期清掏，不外排。</w:t>
      </w:r>
    </w:p>
    <w:p w14:paraId="497CFC71">
      <w:pPr>
        <w:adjustRightInd w:val="0"/>
        <w:snapToGrid w:val="0"/>
        <w:spacing w:before="78" w:line="360" w:lineRule="auto"/>
        <w:ind w:firstLine="482" w:firstLineChars="200"/>
        <w:rPr>
          <w:b/>
          <w:bCs/>
          <w:kern w:val="0"/>
          <w:sz w:val="24"/>
        </w:rPr>
      </w:pPr>
      <w:r>
        <w:rPr>
          <w:b/>
          <w:bCs/>
          <w:kern w:val="0"/>
          <w:sz w:val="24"/>
        </w:rPr>
        <w:fldChar w:fldCharType="begin"/>
      </w:r>
      <w:r>
        <w:rPr>
          <w:b/>
          <w:bCs/>
          <w:kern w:val="0"/>
          <w:sz w:val="24"/>
        </w:rPr>
        <w:instrText xml:space="preserve"> = 2 \* GB3 \* MERGEFORMAT </w:instrText>
      </w:r>
      <w:r>
        <w:rPr>
          <w:b/>
          <w:bCs/>
          <w:kern w:val="0"/>
          <w:sz w:val="24"/>
        </w:rPr>
        <w:fldChar w:fldCharType="separate"/>
      </w:r>
      <w:r>
        <w:rPr>
          <w:b/>
          <w:bCs/>
          <w:kern w:val="0"/>
          <w:sz w:val="24"/>
        </w:rPr>
        <w:t>②</w:t>
      </w:r>
      <w:r>
        <w:rPr>
          <w:b/>
          <w:bCs/>
          <w:kern w:val="0"/>
          <w:sz w:val="24"/>
        </w:rPr>
        <w:fldChar w:fldCharType="end"/>
      </w:r>
      <w:r>
        <w:rPr>
          <w:b/>
          <w:bCs/>
          <w:sz w:val="24"/>
          <w:lang w:bidi="ar"/>
        </w:rPr>
        <w:t>产品及泥饼带水</w:t>
      </w:r>
    </w:p>
    <w:p w14:paraId="5AED5590">
      <w:pPr>
        <w:adjustRightInd w:val="0"/>
        <w:snapToGrid w:val="0"/>
        <w:spacing w:before="0" w:beforeLines="0" w:line="360" w:lineRule="auto"/>
        <w:ind w:firstLine="480" w:firstLineChars="200"/>
        <w:rPr>
          <w:kern w:val="0"/>
          <w:sz w:val="24"/>
        </w:rPr>
      </w:pPr>
      <w:r>
        <w:rPr>
          <w:rFonts w:hint="eastAsia"/>
          <w:kern w:val="0"/>
          <w:sz w:val="24"/>
        </w:rPr>
        <w:t>机制砂含水率</w:t>
      </w:r>
      <w:r>
        <w:rPr>
          <w:kern w:val="0"/>
          <w:sz w:val="24"/>
        </w:rPr>
        <w:t>10%</w:t>
      </w:r>
      <w:r>
        <w:rPr>
          <w:rFonts w:hint="eastAsia"/>
          <w:kern w:val="0"/>
          <w:sz w:val="24"/>
        </w:rPr>
        <w:t>，带水量为587.9</w:t>
      </w:r>
      <w:r>
        <w:rPr>
          <w:sz w:val="24"/>
        </w:rPr>
        <w:t>m</w:t>
      </w:r>
      <w:r>
        <w:rPr>
          <w:sz w:val="24"/>
          <w:vertAlign w:val="superscript"/>
        </w:rPr>
        <w:t>3</w:t>
      </w:r>
      <w:r>
        <w:rPr>
          <w:kern w:val="0"/>
          <w:sz w:val="24"/>
        </w:rPr>
        <w:t>/d</w:t>
      </w:r>
      <w:r>
        <w:rPr>
          <w:rFonts w:hint="eastAsia"/>
          <w:kern w:val="0"/>
          <w:sz w:val="24"/>
        </w:rPr>
        <w:t>；</w:t>
      </w:r>
    </w:p>
    <w:p w14:paraId="5DF85F56">
      <w:pPr>
        <w:adjustRightInd w:val="0"/>
        <w:snapToGrid w:val="0"/>
        <w:spacing w:before="0" w:beforeLines="0" w:line="360" w:lineRule="auto"/>
        <w:ind w:firstLine="480" w:firstLineChars="200"/>
        <w:rPr>
          <w:kern w:val="0"/>
          <w:sz w:val="24"/>
        </w:rPr>
      </w:pPr>
      <w:r>
        <w:rPr>
          <w:rFonts w:hint="eastAsia"/>
          <w:kern w:val="0"/>
          <w:sz w:val="24"/>
        </w:rPr>
        <w:t>钒钛磁铁矿含水率</w:t>
      </w:r>
      <w:r>
        <w:rPr>
          <w:kern w:val="0"/>
          <w:sz w:val="24"/>
        </w:rPr>
        <w:t>7</w:t>
      </w:r>
      <w:r>
        <w:rPr>
          <w:rFonts w:hint="eastAsia"/>
          <w:kern w:val="0"/>
          <w:sz w:val="24"/>
        </w:rPr>
        <w:t>-8</w:t>
      </w:r>
      <w:r>
        <w:rPr>
          <w:kern w:val="0"/>
          <w:sz w:val="24"/>
        </w:rPr>
        <w:t>%</w:t>
      </w:r>
      <w:r>
        <w:rPr>
          <w:rFonts w:hint="eastAsia"/>
          <w:kern w:val="0"/>
          <w:sz w:val="24"/>
        </w:rPr>
        <w:t>，带水量为35.0</w:t>
      </w:r>
      <w:r>
        <w:rPr>
          <w:sz w:val="24"/>
        </w:rPr>
        <w:t>m</w:t>
      </w:r>
      <w:r>
        <w:rPr>
          <w:sz w:val="24"/>
          <w:vertAlign w:val="superscript"/>
        </w:rPr>
        <w:t>3</w:t>
      </w:r>
      <w:r>
        <w:rPr>
          <w:kern w:val="0"/>
          <w:sz w:val="24"/>
        </w:rPr>
        <w:t>/d</w:t>
      </w:r>
      <w:r>
        <w:rPr>
          <w:rFonts w:hint="eastAsia"/>
          <w:kern w:val="0"/>
          <w:sz w:val="24"/>
        </w:rPr>
        <w:t>；</w:t>
      </w:r>
    </w:p>
    <w:p w14:paraId="1C6E40E8">
      <w:pPr>
        <w:adjustRightInd w:val="0"/>
        <w:snapToGrid w:val="0"/>
        <w:spacing w:before="0" w:beforeLines="0" w:line="360" w:lineRule="auto"/>
        <w:ind w:firstLine="480" w:firstLineChars="200"/>
        <w:rPr>
          <w:kern w:val="0"/>
          <w:sz w:val="24"/>
        </w:rPr>
      </w:pPr>
      <w:r>
        <w:rPr>
          <w:rFonts w:hint="eastAsia"/>
          <w:kern w:val="0"/>
          <w:sz w:val="24"/>
        </w:rPr>
        <w:t>钛铁精矿含水率</w:t>
      </w:r>
      <w:r>
        <w:rPr>
          <w:kern w:val="0"/>
          <w:sz w:val="24"/>
        </w:rPr>
        <w:t>7</w:t>
      </w:r>
      <w:r>
        <w:rPr>
          <w:rFonts w:hint="eastAsia"/>
          <w:kern w:val="0"/>
          <w:sz w:val="24"/>
        </w:rPr>
        <w:t>-8</w:t>
      </w:r>
      <w:r>
        <w:rPr>
          <w:kern w:val="0"/>
          <w:sz w:val="24"/>
        </w:rPr>
        <w:t>%</w:t>
      </w:r>
      <w:r>
        <w:rPr>
          <w:rFonts w:hint="eastAsia"/>
          <w:kern w:val="0"/>
          <w:sz w:val="24"/>
        </w:rPr>
        <w:t>，带水量为10.0</w:t>
      </w:r>
      <w:r>
        <w:rPr>
          <w:sz w:val="24"/>
        </w:rPr>
        <w:t>m</w:t>
      </w:r>
      <w:r>
        <w:rPr>
          <w:sz w:val="24"/>
          <w:vertAlign w:val="superscript"/>
        </w:rPr>
        <w:t>3</w:t>
      </w:r>
      <w:r>
        <w:rPr>
          <w:kern w:val="0"/>
          <w:sz w:val="24"/>
        </w:rPr>
        <w:t>/d</w:t>
      </w:r>
      <w:r>
        <w:rPr>
          <w:rFonts w:hint="eastAsia"/>
          <w:kern w:val="0"/>
          <w:sz w:val="24"/>
        </w:rPr>
        <w:t>；</w:t>
      </w:r>
    </w:p>
    <w:p w14:paraId="4CBCD5E1">
      <w:pPr>
        <w:adjustRightInd w:val="0"/>
        <w:snapToGrid w:val="0"/>
        <w:spacing w:before="0" w:beforeLines="0" w:line="360" w:lineRule="auto"/>
        <w:ind w:firstLine="480" w:firstLineChars="200"/>
        <w:rPr>
          <w:kern w:val="0"/>
          <w:sz w:val="24"/>
        </w:rPr>
      </w:pPr>
      <w:r>
        <w:rPr>
          <w:rFonts w:hint="eastAsia"/>
          <w:kern w:val="0"/>
          <w:sz w:val="24"/>
        </w:rPr>
        <w:t>碎石含水率</w:t>
      </w:r>
      <w:r>
        <w:rPr>
          <w:kern w:val="0"/>
          <w:sz w:val="24"/>
        </w:rPr>
        <w:t>10%</w:t>
      </w:r>
      <w:r>
        <w:rPr>
          <w:rFonts w:hint="eastAsia"/>
          <w:kern w:val="0"/>
          <w:sz w:val="24"/>
        </w:rPr>
        <w:t>，带水量为126.7</w:t>
      </w:r>
      <w:r>
        <w:rPr>
          <w:sz w:val="24"/>
        </w:rPr>
        <w:t>m</w:t>
      </w:r>
      <w:r>
        <w:rPr>
          <w:sz w:val="24"/>
          <w:vertAlign w:val="superscript"/>
        </w:rPr>
        <w:t>3</w:t>
      </w:r>
      <w:r>
        <w:rPr>
          <w:kern w:val="0"/>
          <w:sz w:val="24"/>
        </w:rPr>
        <w:t>/d</w:t>
      </w:r>
      <w:r>
        <w:rPr>
          <w:rFonts w:hint="eastAsia"/>
          <w:kern w:val="0"/>
          <w:sz w:val="24"/>
        </w:rPr>
        <w:t>；</w:t>
      </w:r>
    </w:p>
    <w:p w14:paraId="0365EB2A">
      <w:pPr>
        <w:adjustRightInd w:val="0"/>
        <w:snapToGrid w:val="0"/>
        <w:spacing w:before="0" w:beforeLines="0" w:line="360" w:lineRule="auto"/>
        <w:ind w:firstLine="480" w:firstLineChars="200"/>
        <w:rPr>
          <w:kern w:val="0"/>
          <w:sz w:val="24"/>
        </w:rPr>
      </w:pPr>
      <w:r>
        <w:rPr>
          <w:rFonts w:hint="eastAsia"/>
          <w:kern w:val="0"/>
          <w:sz w:val="24"/>
        </w:rPr>
        <w:t>泥饼含水率50</w:t>
      </w:r>
      <w:r>
        <w:rPr>
          <w:kern w:val="0"/>
          <w:sz w:val="24"/>
        </w:rPr>
        <w:t>%</w:t>
      </w:r>
      <w:r>
        <w:rPr>
          <w:rFonts w:hint="eastAsia"/>
          <w:kern w:val="0"/>
          <w:sz w:val="24"/>
        </w:rPr>
        <w:t>，带水量为1552.8</w:t>
      </w:r>
      <w:r>
        <w:rPr>
          <w:sz w:val="24"/>
        </w:rPr>
        <w:t>m</w:t>
      </w:r>
      <w:r>
        <w:rPr>
          <w:sz w:val="24"/>
          <w:vertAlign w:val="superscript"/>
        </w:rPr>
        <w:t>3</w:t>
      </w:r>
      <w:r>
        <w:rPr>
          <w:kern w:val="0"/>
          <w:sz w:val="24"/>
        </w:rPr>
        <w:t>/d</w:t>
      </w:r>
      <w:r>
        <w:rPr>
          <w:rFonts w:hint="eastAsia"/>
          <w:kern w:val="0"/>
          <w:sz w:val="24"/>
        </w:rPr>
        <w:t>；</w:t>
      </w:r>
    </w:p>
    <w:p w14:paraId="77FB563D">
      <w:pPr>
        <w:pStyle w:val="58"/>
        <w:spacing w:before="0" w:beforeLines="0" w:line="360" w:lineRule="auto"/>
        <w:ind w:firstLine="480" w:firstLineChars="200"/>
        <w:rPr>
          <w:sz w:val="24"/>
        </w:rPr>
      </w:pPr>
      <w:r>
        <w:rPr>
          <w:rFonts w:hint="eastAsia"/>
          <w:kern w:val="0"/>
          <w:sz w:val="24"/>
        </w:rPr>
        <w:t>综上，产品及泥饼总带水量为2312.4</w:t>
      </w:r>
      <w:r>
        <w:rPr>
          <w:sz w:val="24"/>
        </w:rPr>
        <w:t>m</w:t>
      </w:r>
      <w:r>
        <w:rPr>
          <w:sz w:val="24"/>
          <w:vertAlign w:val="superscript"/>
        </w:rPr>
        <w:t>3</w:t>
      </w:r>
      <w:r>
        <w:rPr>
          <w:kern w:val="0"/>
          <w:sz w:val="24"/>
        </w:rPr>
        <w:t>/d</w:t>
      </w:r>
      <w:r>
        <w:rPr>
          <w:rFonts w:hint="eastAsia"/>
          <w:kern w:val="0"/>
          <w:sz w:val="24"/>
        </w:rPr>
        <w:t>。</w:t>
      </w:r>
    </w:p>
    <w:p w14:paraId="002853E8">
      <w:pPr>
        <w:adjustRightInd w:val="0"/>
        <w:snapToGrid w:val="0"/>
        <w:spacing w:before="78" w:line="360" w:lineRule="auto"/>
        <w:ind w:firstLine="482" w:firstLineChars="200"/>
        <w:rPr>
          <w:b/>
          <w:bCs/>
          <w:kern w:val="0"/>
          <w:sz w:val="24"/>
        </w:rPr>
      </w:pPr>
      <w:r>
        <w:rPr>
          <w:b/>
          <w:bCs/>
          <w:kern w:val="0"/>
          <w:sz w:val="24"/>
        </w:rPr>
        <w:fldChar w:fldCharType="begin"/>
      </w:r>
      <w:r>
        <w:rPr>
          <w:b/>
          <w:bCs/>
          <w:kern w:val="0"/>
          <w:sz w:val="24"/>
        </w:rPr>
        <w:instrText xml:space="preserve"> = 3 \* GB3 \* MERGEFORMAT </w:instrText>
      </w:r>
      <w:r>
        <w:rPr>
          <w:b/>
          <w:bCs/>
          <w:kern w:val="0"/>
          <w:sz w:val="24"/>
        </w:rPr>
        <w:fldChar w:fldCharType="separate"/>
      </w:r>
      <w:r>
        <w:rPr>
          <w:rFonts w:hint="eastAsia" w:ascii="宋体" w:hAnsi="宋体" w:cs="宋体"/>
          <w:b/>
          <w:bCs/>
          <w:kern w:val="0"/>
          <w:sz w:val="24"/>
        </w:rPr>
        <w:t>③</w:t>
      </w:r>
      <w:r>
        <w:rPr>
          <w:b/>
          <w:bCs/>
          <w:kern w:val="0"/>
          <w:sz w:val="24"/>
        </w:rPr>
        <w:fldChar w:fldCharType="end"/>
      </w:r>
      <w:r>
        <w:rPr>
          <w:b/>
          <w:bCs/>
          <w:kern w:val="0"/>
          <w:sz w:val="24"/>
        </w:rPr>
        <w:t>选矿废水</w:t>
      </w:r>
    </w:p>
    <w:p w14:paraId="26279492">
      <w:pPr>
        <w:wordWrap w:val="0"/>
        <w:adjustRightInd w:val="0"/>
        <w:snapToGrid w:val="0"/>
        <w:spacing w:before="0" w:beforeLines="0" w:line="360" w:lineRule="auto"/>
        <w:ind w:firstLine="480" w:firstLineChars="200"/>
        <w:jc w:val="left"/>
        <w:rPr>
          <w:sz w:val="24"/>
        </w:rPr>
      </w:pPr>
      <w:r>
        <w:rPr>
          <w:kern w:val="0"/>
          <w:sz w:val="24"/>
        </w:rPr>
        <w:t>选矿废水包括脱水机产生的废水和浓缩罐及板框压滤机产生的废水。</w:t>
      </w:r>
      <w:r>
        <w:rPr>
          <w:rFonts w:hint="eastAsia"/>
          <w:kern w:val="0"/>
          <w:sz w:val="24"/>
        </w:rPr>
        <w:t>本项目泥浆含固量约28%，则泥浆</w:t>
      </w:r>
      <w:r>
        <w:rPr>
          <w:kern w:val="0"/>
          <w:sz w:val="24"/>
        </w:rPr>
        <w:t>产</w:t>
      </w:r>
      <w:r>
        <w:rPr>
          <w:rFonts w:hint="eastAsia"/>
          <w:kern w:val="0"/>
          <w:sz w:val="24"/>
        </w:rPr>
        <w:t>生量为166.4万</w:t>
      </w:r>
      <w:r>
        <w:rPr>
          <w:sz w:val="24"/>
        </w:rPr>
        <w:t>t</w:t>
      </w:r>
      <w:r>
        <w:rPr>
          <w:kern w:val="0"/>
          <w:sz w:val="24"/>
        </w:rPr>
        <w:t>/a</w:t>
      </w:r>
      <w:r>
        <w:rPr>
          <w:rFonts w:hint="eastAsia"/>
          <w:kern w:val="0"/>
          <w:sz w:val="24"/>
        </w:rPr>
        <w:t>，经过压滤产生泥饼93.17万</w:t>
      </w:r>
      <w:r>
        <w:rPr>
          <w:sz w:val="24"/>
        </w:rPr>
        <w:t>t</w:t>
      </w:r>
      <w:r>
        <w:rPr>
          <w:kern w:val="0"/>
          <w:sz w:val="24"/>
        </w:rPr>
        <w:t>/a，则浓缩罐及板框压滤机产生的废水量为</w:t>
      </w:r>
      <w:r>
        <w:rPr>
          <w:rFonts w:hint="eastAsia"/>
          <w:kern w:val="0"/>
          <w:sz w:val="24"/>
        </w:rPr>
        <w:t>73.2万t/a，即2440.2</w:t>
      </w:r>
      <w:r>
        <w:rPr>
          <w:sz w:val="24"/>
        </w:rPr>
        <w:t>m</w:t>
      </w:r>
      <w:r>
        <w:rPr>
          <w:sz w:val="24"/>
          <w:vertAlign w:val="superscript"/>
        </w:rPr>
        <w:t>3</w:t>
      </w:r>
      <w:r>
        <w:rPr>
          <w:kern w:val="0"/>
          <w:sz w:val="24"/>
        </w:rPr>
        <w:t>/d进入</w:t>
      </w:r>
      <w:r>
        <w:rPr>
          <w:rFonts w:hint="eastAsia"/>
          <w:kern w:val="0"/>
          <w:sz w:val="24"/>
        </w:rPr>
        <w:t>循环</w:t>
      </w:r>
      <w:r>
        <w:rPr>
          <w:kern w:val="0"/>
          <w:sz w:val="24"/>
        </w:rPr>
        <w:t>水池；脱水机产生的废水为</w:t>
      </w:r>
      <w:r>
        <w:rPr>
          <w:rFonts w:hint="eastAsia"/>
          <w:kern w:val="0"/>
          <w:sz w:val="24"/>
        </w:rPr>
        <w:t>347.6</w:t>
      </w:r>
      <w:r>
        <w:rPr>
          <w:sz w:val="24"/>
        </w:rPr>
        <w:t>m</w:t>
      </w:r>
      <w:r>
        <w:rPr>
          <w:sz w:val="24"/>
          <w:vertAlign w:val="superscript"/>
        </w:rPr>
        <w:t>3</w:t>
      </w:r>
      <w:r>
        <w:rPr>
          <w:kern w:val="0"/>
          <w:sz w:val="24"/>
        </w:rPr>
        <w:t>/d，进入</w:t>
      </w:r>
      <w:r>
        <w:rPr>
          <w:rFonts w:hint="eastAsia"/>
          <w:kern w:val="0"/>
          <w:sz w:val="24"/>
        </w:rPr>
        <w:t>循环</w:t>
      </w:r>
      <w:r>
        <w:rPr>
          <w:kern w:val="0"/>
          <w:sz w:val="24"/>
        </w:rPr>
        <w:t>水池</w:t>
      </w:r>
      <w:r>
        <w:rPr>
          <w:rFonts w:hint="eastAsia"/>
          <w:kern w:val="0"/>
          <w:sz w:val="24"/>
        </w:rPr>
        <w:t>；地面清洗水4.8</w:t>
      </w:r>
      <w:r>
        <w:rPr>
          <w:sz w:val="24"/>
        </w:rPr>
        <w:t>m</w:t>
      </w:r>
      <w:r>
        <w:rPr>
          <w:sz w:val="24"/>
          <w:vertAlign w:val="superscript"/>
        </w:rPr>
        <w:t>3</w:t>
      </w:r>
      <w:r>
        <w:rPr>
          <w:kern w:val="0"/>
          <w:sz w:val="24"/>
        </w:rPr>
        <w:t>/d，进入</w:t>
      </w:r>
      <w:r>
        <w:rPr>
          <w:rFonts w:hint="eastAsia"/>
          <w:kern w:val="0"/>
          <w:sz w:val="24"/>
        </w:rPr>
        <w:t>循环</w:t>
      </w:r>
      <w:r>
        <w:rPr>
          <w:kern w:val="0"/>
          <w:sz w:val="24"/>
        </w:rPr>
        <w:t>水池</w:t>
      </w:r>
      <w:r>
        <w:rPr>
          <w:rFonts w:hint="eastAsia"/>
          <w:kern w:val="0"/>
          <w:sz w:val="24"/>
        </w:rPr>
        <w:t>。</w:t>
      </w:r>
      <w:r>
        <w:rPr>
          <w:kern w:val="0"/>
          <w:sz w:val="24"/>
        </w:rPr>
        <w:t>选矿</w:t>
      </w:r>
      <w:r>
        <w:rPr>
          <w:rFonts w:hint="eastAsia"/>
          <w:kern w:val="0"/>
          <w:sz w:val="24"/>
        </w:rPr>
        <w:t>废水量为</w:t>
      </w:r>
      <w:bookmarkStart w:id="111" w:name="_Hlk156467823"/>
      <w:r>
        <w:rPr>
          <w:rFonts w:hint="eastAsia"/>
          <w:kern w:val="0"/>
          <w:sz w:val="24"/>
        </w:rPr>
        <w:t>2792.6</w:t>
      </w:r>
      <w:r>
        <w:rPr>
          <w:sz w:val="24"/>
        </w:rPr>
        <w:t>m</w:t>
      </w:r>
      <w:r>
        <w:rPr>
          <w:sz w:val="24"/>
          <w:vertAlign w:val="superscript"/>
        </w:rPr>
        <w:t>3</w:t>
      </w:r>
      <w:r>
        <w:rPr>
          <w:kern w:val="0"/>
          <w:sz w:val="24"/>
        </w:rPr>
        <w:t>/d</w:t>
      </w:r>
      <w:bookmarkEnd w:id="111"/>
      <w:r>
        <w:rPr>
          <w:rFonts w:hint="eastAsia"/>
          <w:kern w:val="0"/>
          <w:sz w:val="24"/>
        </w:rPr>
        <w:t>，全部回用。选矿过程各工序废水损失量为158</w:t>
      </w:r>
      <w:r>
        <w:rPr>
          <w:kern w:val="0"/>
          <w:sz w:val="24"/>
        </w:rPr>
        <w:t>m³/d</w:t>
      </w:r>
      <w:r>
        <w:rPr>
          <w:rFonts w:hint="eastAsia"/>
          <w:kern w:val="0"/>
          <w:sz w:val="24"/>
        </w:rPr>
        <w:t>。</w:t>
      </w:r>
    </w:p>
    <w:bookmarkEnd w:id="110"/>
    <w:p w14:paraId="75650242">
      <w:pPr>
        <w:adjustRightInd w:val="0"/>
        <w:snapToGrid w:val="0"/>
        <w:spacing w:before="78" w:line="360" w:lineRule="auto"/>
        <w:ind w:firstLine="480" w:firstLineChars="200"/>
        <w:rPr>
          <w:kern w:val="0"/>
          <w:sz w:val="24"/>
        </w:rPr>
      </w:pPr>
      <w:r>
        <w:rPr>
          <w:kern w:val="0"/>
          <w:sz w:val="24"/>
        </w:rPr>
        <w:t>本项目水平衡见图3.</w:t>
      </w:r>
      <w:r>
        <w:rPr>
          <w:rFonts w:hint="eastAsia"/>
          <w:kern w:val="0"/>
          <w:sz w:val="24"/>
        </w:rPr>
        <w:t>1</w:t>
      </w:r>
      <w:r>
        <w:rPr>
          <w:kern w:val="0"/>
          <w:sz w:val="24"/>
        </w:rPr>
        <w:t>-</w:t>
      </w:r>
      <w:r>
        <w:rPr>
          <w:rFonts w:hint="eastAsia"/>
          <w:kern w:val="0"/>
          <w:sz w:val="24"/>
        </w:rPr>
        <w:t>2</w:t>
      </w:r>
      <w:r>
        <w:rPr>
          <w:kern w:val="0"/>
          <w:sz w:val="24"/>
        </w:rPr>
        <w:t>。</w:t>
      </w:r>
    </w:p>
    <w:p w14:paraId="250F9EA5">
      <w:pPr>
        <w:adjustRightInd w:val="0"/>
        <w:snapToGrid w:val="0"/>
        <w:spacing w:before="78" w:line="360" w:lineRule="auto"/>
        <w:jc w:val="center"/>
        <w:rPr>
          <w:kern w:val="0"/>
          <w:sz w:val="24"/>
        </w:rPr>
      </w:pPr>
      <w:r>
        <w:rPr>
          <w:kern w:val="0"/>
          <w:sz w:val="24"/>
        </w:rPr>
        <w:drawing>
          <wp:inline distT="0" distB="0" distL="0" distR="0">
            <wp:extent cx="4933950" cy="3982085"/>
            <wp:effectExtent l="0" t="0" r="0" b="0"/>
            <wp:docPr id="23214184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141849" name="图片 5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a:xfrm>
                      <a:off x="0" y="0"/>
                      <a:ext cx="4944043" cy="3990241"/>
                    </a:xfrm>
                    <a:prstGeom prst="rect">
                      <a:avLst/>
                    </a:prstGeom>
                    <a:noFill/>
                  </pic:spPr>
                </pic:pic>
              </a:graphicData>
            </a:graphic>
          </wp:inline>
        </w:drawing>
      </w:r>
    </w:p>
    <w:p w14:paraId="79034F9B">
      <w:pPr>
        <w:adjustRightInd w:val="0"/>
        <w:snapToGrid w:val="0"/>
        <w:spacing w:before="156" w:beforeLines="50" w:line="240" w:lineRule="auto"/>
        <w:jc w:val="center"/>
        <w:rPr>
          <w:szCs w:val="21"/>
        </w:rPr>
      </w:pPr>
      <w:r>
        <w:rPr>
          <w:rFonts w:hint="eastAsia"/>
          <w:b/>
          <w:bCs/>
          <w:szCs w:val="21"/>
        </w:rPr>
        <w:t>图</w:t>
      </w:r>
      <w:r>
        <w:rPr>
          <w:b/>
          <w:bCs/>
          <w:szCs w:val="21"/>
        </w:rPr>
        <w:t>3.</w:t>
      </w:r>
      <w:r>
        <w:rPr>
          <w:rFonts w:hint="eastAsia"/>
          <w:b/>
          <w:bCs/>
          <w:szCs w:val="21"/>
        </w:rPr>
        <w:t>1</w:t>
      </w:r>
      <w:r>
        <w:rPr>
          <w:b/>
          <w:bCs/>
          <w:szCs w:val="21"/>
        </w:rPr>
        <w:t>-</w:t>
      </w:r>
      <w:r>
        <w:rPr>
          <w:rFonts w:hint="eastAsia"/>
          <w:b/>
          <w:bCs/>
          <w:szCs w:val="21"/>
        </w:rPr>
        <w:t>2</w:t>
      </w:r>
      <w:r>
        <w:rPr>
          <w:b/>
          <w:bCs/>
          <w:szCs w:val="21"/>
        </w:rPr>
        <w:t xml:space="preserve">  </w:t>
      </w:r>
      <w:r>
        <w:rPr>
          <w:rFonts w:hint="eastAsia"/>
          <w:b/>
          <w:bCs/>
          <w:szCs w:val="21"/>
        </w:rPr>
        <w:t>本项目水平衡图（</w:t>
      </w:r>
      <w:r>
        <w:rPr>
          <w:b/>
          <w:bCs/>
          <w:szCs w:val="21"/>
        </w:rPr>
        <w:t>m</w:t>
      </w:r>
      <w:r>
        <w:rPr>
          <w:b/>
          <w:bCs/>
          <w:szCs w:val="21"/>
          <w:vertAlign w:val="superscript"/>
        </w:rPr>
        <w:t>3</w:t>
      </w:r>
      <w:r>
        <w:rPr>
          <w:b/>
          <w:bCs/>
          <w:szCs w:val="21"/>
        </w:rPr>
        <w:t>/d</w:t>
      </w:r>
      <w:r>
        <w:rPr>
          <w:rFonts w:hint="eastAsia"/>
          <w:b/>
          <w:bCs/>
          <w:szCs w:val="21"/>
        </w:rPr>
        <w:t>）</w:t>
      </w:r>
    </w:p>
    <w:bookmarkEnd w:id="109"/>
    <w:p w14:paraId="0F11E187">
      <w:pPr>
        <w:adjustRightInd w:val="0"/>
        <w:snapToGrid w:val="0"/>
        <w:spacing w:before="78" w:line="360" w:lineRule="auto"/>
        <w:rPr>
          <w:b/>
          <w:bCs/>
          <w:kern w:val="0"/>
          <w:sz w:val="24"/>
        </w:rPr>
      </w:pPr>
      <w:r>
        <w:rPr>
          <w:rFonts w:hint="eastAsia"/>
          <w:b/>
          <w:bCs/>
          <w:kern w:val="0"/>
          <w:sz w:val="24"/>
        </w:rPr>
        <w:t>3.1.8.2</w:t>
      </w:r>
      <w:r>
        <w:rPr>
          <w:b/>
          <w:bCs/>
          <w:kern w:val="0"/>
          <w:sz w:val="24"/>
        </w:rPr>
        <w:t>供电</w:t>
      </w:r>
    </w:p>
    <w:p w14:paraId="3C05A108">
      <w:pPr>
        <w:adjustRightInd w:val="0"/>
        <w:snapToGrid w:val="0"/>
        <w:spacing w:before="0" w:beforeLines="0" w:line="360" w:lineRule="auto"/>
        <w:ind w:firstLine="480" w:firstLineChars="200"/>
        <w:rPr>
          <w:kern w:val="0"/>
          <w:sz w:val="24"/>
        </w:rPr>
      </w:pPr>
      <w:r>
        <w:rPr>
          <w:kern w:val="0"/>
          <w:sz w:val="24"/>
        </w:rPr>
        <w:t>由阜新市阜蒙县</w:t>
      </w:r>
      <w:r>
        <w:rPr>
          <w:rFonts w:hint="eastAsia"/>
          <w:kern w:val="0"/>
          <w:sz w:val="24"/>
        </w:rPr>
        <w:t>旧庙镇</w:t>
      </w:r>
      <w:r>
        <w:rPr>
          <w:kern w:val="0"/>
          <w:sz w:val="24"/>
        </w:rPr>
        <w:t>提供电源，本项目</w:t>
      </w:r>
      <w:r>
        <w:rPr>
          <w:rFonts w:hint="eastAsia"/>
          <w:kern w:val="0"/>
          <w:sz w:val="24"/>
        </w:rPr>
        <w:t>租用亿升达1</w:t>
      </w:r>
      <w:r>
        <w:rPr>
          <w:kern w:val="0"/>
          <w:sz w:val="24"/>
        </w:rPr>
        <w:t>0</w:t>
      </w:r>
      <w:r>
        <w:rPr>
          <w:rFonts w:hint="eastAsia"/>
          <w:kern w:val="0"/>
          <w:sz w:val="24"/>
        </w:rPr>
        <w:t>k</w:t>
      </w:r>
      <w:r>
        <w:rPr>
          <w:kern w:val="0"/>
          <w:sz w:val="24"/>
        </w:rPr>
        <w:t>V变电所一座。</w:t>
      </w:r>
    </w:p>
    <w:p w14:paraId="3EFF7118">
      <w:pPr>
        <w:adjustRightInd w:val="0"/>
        <w:snapToGrid w:val="0"/>
        <w:spacing w:before="78" w:line="360" w:lineRule="auto"/>
        <w:rPr>
          <w:b/>
          <w:bCs/>
          <w:kern w:val="0"/>
          <w:sz w:val="24"/>
        </w:rPr>
      </w:pPr>
      <w:r>
        <w:rPr>
          <w:rFonts w:hint="eastAsia"/>
          <w:b/>
          <w:bCs/>
          <w:kern w:val="0"/>
          <w:sz w:val="24"/>
        </w:rPr>
        <w:t>3.1.8.3</w:t>
      </w:r>
      <w:r>
        <w:rPr>
          <w:b/>
          <w:bCs/>
          <w:kern w:val="0"/>
          <w:sz w:val="24"/>
        </w:rPr>
        <w:t>供暖</w:t>
      </w:r>
    </w:p>
    <w:p w14:paraId="68A2809B">
      <w:pPr>
        <w:pStyle w:val="151"/>
        <w:adjustRightInd w:val="0"/>
        <w:snapToGrid w:val="0"/>
        <w:jc w:val="left"/>
      </w:pPr>
      <w:r>
        <w:t>本项目生产区不供暖，办公用房采用电供暖。</w:t>
      </w:r>
    </w:p>
    <w:p w14:paraId="12B0A5AD">
      <w:pPr>
        <w:pStyle w:val="5"/>
        <w:spacing w:line="360" w:lineRule="auto"/>
        <w:jc w:val="left"/>
        <w:rPr>
          <w:color w:val="auto"/>
        </w:rPr>
      </w:pPr>
      <w:r>
        <w:rPr>
          <w:color w:val="auto"/>
        </w:rPr>
        <w:t>3.</w:t>
      </w:r>
      <w:r>
        <w:rPr>
          <w:rFonts w:hint="eastAsia"/>
          <w:color w:val="auto"/>
        </w:rPr>
        <w:t>1</w:t>
      </w:r>
      <w:r>
        <w:rPr>
          <w:color w:val="auto"/>
        </w:rPr>
        <w:t>.</w:t>
      </w:r>
      <w:r>
        <w:rPr>
          <w:rFonts w:hint="eastAsia"/>
          <w:color w:val="auto"/>
        </w:rPr>
        <w:t>9储运工程</w:t>
      </w:r>
    </w:p>
    <w:p w14:paraId="33B4D087">
      <w:pPr>
        <w:adjustRightInd w:val="0"/>
        <w:snapToGrid w:val="0"/>
        <w:spacing w:before="78" w:line="360" w:lineRule="auto"/>
        <w:rPr>
          <w:b/>
          <w:bCs/>
          <w:kern w:val="0"/>
          <w:sz w:val="24"/>
        </w:rPr>
      </w:pPr>
      <w:r>
        <w:rPr>
          <w:rFonts w:hint="eastAsia"/>
          <w:b/>
          <w:bCs/>
          <w:kern w:val="0"/>
          <w:sz w:val="24"/>
        </w:rPr>
        <w:t>3.1.8.3运输</w:t>
      </w:r>
    </w:p>
    <w:p w14:paraId="03916BBB">
      <w:pPr>
        <w:pStyle w:val="151"/>
        <w:adjustRightInd w:val="0"/>
        <w:snapToGrid w:val="0"/>
        <w:ind w:firstLine="0" w:firstLineChars="0"/>
        <w:jc w:val="left"/>
      </w:pPr>
      <w:r>
        <w:rPr>
          <w:rFonts w:hint="eastAsia"/>
        </w:rPr>
        <w:t>（1）原料由尾矿堆场、废石堆场运输至厂区，采用矿用卡车运输（租用鑫岳矿业卡车），运输路线见图3.1-1。</w:t>
      </w:r>
    </w:p>
    <w:p w14:paraId="308F7767">
      <w:pPr>
        <w:pStyle w:val="151"/>
        <w:adjustRightInd w:val="0"/>
        <w:snapToGrid w:val="0"/>
        <w:ind w:firstLine="0" w:firstLineChars="0"/>
        <w:jc w:val="left"/>
      </w:pPr>
      <w:r>
        <w:rPr>
          <w:rFonts w:hint="eastAsia"/>
        </w:rPr>
        <w:t>（2）原料由矿用卡车卸料至厂区内卸料区域，采用铲车进行上料。</w:t>
      </w:r>
    </w:p>
    <w:p w14:paraId="029C642D">
      <w:pPr>
        <w:pStyle w:val="151"/>
        <w:adjustRightInd w:val="0"/>
        <w:snapToGrid w:val="0"/>
        <w:ind w:firstLine="0" w:firstLineChars="0"/>
        <w:jc w:val="left"/>
      </w:pPr>
      <w:r>
        <w:rPr>
          <w:rFonts w:hint="eastAsia"/>
        </w:rPr>
        <w:t>（3）1#厂区抛砂车间一次筛分筛下物、二次筛分筛下物、磁选磁下物、抛砂分离粗料输送均为封闭输送带；磁选磁上物通过封闭输送带输送至球磨车间；抛砂分离细料通过封闭输送带输送至物料池。物料池物料加水后通过管道泵入重选车间。洗砂后的机制砂采用矿用卡车运输至机制砂库房。</w:t>
      </w:r>
    </w:p>
    <w:p w14:paraId="7B46BEB3">
      <w:pPr>
        <w:pStyle w:val="151"/>
        <w:adjustRightInd w:val="0"/>
        <w:snapToGrid w:val="0"/>
        <w:ind w:firstLine="0" w:firstLineChars="0"/>
        <w:jc w:val="left"/>
      </w:pPr>
      <w:r>
        <w:rPr>
          <w:rFonts w:hint="eastAsia"/>
        </w:rPr>
        <w:t>（4）1#厂区抛砂车间一次筛分筛上物、二次筛分筛上物采用矿用卡车运输由1#厂区抛砂车间运输至2#厂区破碎车间，见图3.1-1。</w:t>
      </w:r>
    </w:p>
    <w:p w14:paraId="6A2496E6">
      <w:pPr>
        <w:pStyle w:val="151"/>
        <w:adjustRightInd w:val="0"/>
        <w:snapToGrid w:val="0"/>
        <w:ind w:firstLine="0" w:firstLineChars="0"/>
        <w:jc w:val="left"/>
      </w:pPr>
      <w:r>
        <w:rPr>
          <w:rFonts w:hint="eastAsia"/>
        </w:rPr>
        <w:t>（5）1#厂区球磨车间、重选车间球磨、磁选、重选均加入大量水，全部物料输送均为管道；钒钛磁铁矿、钛铁精矿产品经脱水后通过封闭皮带输送至料仓。</w:t>
      </w:r>
    </w:p>
    <w:p w14:paraId="7FD2251C">
      <w:pPr>
        <w:pStyle w:val="151"/>
        <w:adjustRightInd w:val="0"/>
        <w:snapToGrid w:val="0"/>
        <w:ind w:firstLine="0" w:firstLineChars="0"/>
        <w:jc w:val="left"/>
      </w:pPr>
      <w:r>
        <w:rPr>
          <w:rFonts w:hint="eastAsia"/>
        </w:rPr>
        <w:t>（6）2#厂区破碎车间破碎、磁选、筛分、产品入仓之间物料输送全部为封闭输送带。</w:t>
      </w:r>
    </w:p>
    <w:p w14:paraId="0C5DB961">
      <w:pPr>
        <w:adjustRightInd w:val="0"/>
        <w:snapToGrid w:val="0"/>
        <w:spacing w:before="78" w:line="360" w:lineRule="auto"/>
        <w:rPr>
          <w:b/>
          <w:bCs/>
          <w:kern w:val="0"/>
          <w:sz w:val="24"/>
        </w:rPr>
      </w:pPr>
      <w:r>
        <w:rPr>
          <w:rFonts w:hint="eastAsia"/>
          <w:b/>
          <w:bCs/>
          <w:kern w:val="0"/>
          <w:sz w:val="24"/>
        </w:rPr>
        <w:t>3.1.8.3储存</w:t>
      </w:r>
    </w:p>
    <w:p w14:paraId="03D0BE8A">
      <w:pPr>
        <w:pStyle w:val="151"/>
        <w:adjustRightInd w:val="0"/>
        <w:snapToGrid w:val="0"/>
        <w:ind w:firstLine="0" w:firstLineChars="0"/>
        <w:jc w:val="left"/>
        <w:rPr>
          <w:szCs w:val="21"/>
        </w:rPr>
      </w:pPr>
      <w:r>
        <w:rPr>
          <w:rFonts w:hint="eastAsia"/>
        </w:rPr>
        <w:t>（1）机制砂储存在机制砂库房内，库房尺寸为</w:t>
      </w:r>
      <w:r>
        <w:rPr>
          <w:rFonts w:hint="eastAsia"/>
          <w:szCs w:val="21"/>
        </w:rPr>
        <w:t>60</w:t>
      </w:r>
      <w:r>
        <w:rPr>
          <w:szCs w:val="21"/>
        </w:rPr>
        <w:t>×</w:t>
      </w:r>
      <w:r>
        <w:rPr>
          <w:rFonts w:hint="eastAsia"/>
          <w:szCs w:val="21"/>
        </w:rPr>
        <w:t>25</w:t>
      </w:r>
      <w:r>
        <w:rPr>
          <w:szCs w:val="21"/>
        </w:rPr>
        <w:t>×</w:t>
      </w:r>
      <w:r>
        <w:rPr>
          <w:rFonts w:hint="eastAsia"/>
          <w:szCs w:val="21"/>
        </w:rPr>
        <w:t>10m，最大储量约22000t，可满足机制砂4d储量。</w:t>
      </w:r>
    </w:p>
    <w:p w14:paraId="10203497">
      <w:pPr>
        <w:pStyle w:val="151"/>
        <w:adjustRightInd w:val="0"/>
        <w:snapToGrid w:val="0"/>
        <w:ind w:firstLine="0" w:firstLineChars="0"/>
        <w:jc w:val="left"/>
        <w:rPr>
          <w:szCs w:val="21"/>
        </w:rPr>
      </w:pPr>
      <w:r>
        <w:rPr>
          <w:rFonts w:hint="eastAsia"/>
          <w:szCs w:val="21"/>
        </w:rPr>
        <w:t>（2）钒钛磁铁矿采用3座矿石筒仓储存，尺寸Φ</w:t>
      </w:r>
      <w:r>
        <w:rPr>
          <w:szCs w:val="21"/>
        </w:rPr>
        <w:t>6×12m</w:t>
      </w:r>
      <w:r>
        <w:rPr>
          <w:rFonts w:hint="eastAsia"/>
          <w:szCs w:val="21"/>
        </w:rPr>
        <w:t>，最大储量约4900t，可满足钒钛铁精矿10d储量。</w:t>
      </w:r>
    </w:p>
    <w:p w14:paraId="098C3303">
      <w:pPr>
        <w:pStyle w:val="151"/>
        <w:adjustRightInd w:val="0"/>
        <w:snapToGrid w:val="0"/>
        <w:ind w:firstLine="0" w:firstLineChars="0"/>
        <w:jc w:val="left"/>
        <w:rPr>
          <w:szCs w:val="21"/>
        </w:rPr>
      </w:pPr>
      <w:r>
        <w:rPr>
          <w:rFonts w:hint="eastAsia"/>
          <w:szCs w:val="21"/>
        </w:rPr>
        <w:t>（3）钛铁精矿采用1座矿石筒仓储存，尺寸Φ</w:t>
      </w:r>
      <w:r>
        <w:rPr>
          <w:szCs w:val="21"/>
        </w:rPr>
        <w:t>6×12m</w:t>
      </w:r>
      <w:r>
        <w:rPr>
          <w:rFonts w:hint="eastAsia"/>
          <w:szCs w:val="21"/>
        </w:rPr>
        <w:t>，最大储量约1250t，可满足钒钛铁精矿9d储量。</w:t>
      </w:r>
    </w:p>
    <w:p w14:paraId="24F5E00F">
      <w:pPr>
        <w:pStyle w:val="151"/>
        <w:adjustRightInd w:val="0"/>
        <w:snapToGrid w:val="0"/>
        <w:ind w:firstLine="0" w:firstLineChars="0"/>
        <w:jc w:val="left"/>
        <w:rPr>
          <w:szCs w:val="21"/>
        </w:rPr>
      </w:pPr>
      <w:r>
        <w:rPr>
          <w:rFonts w:hint="eastAsia"/>
          <w:szCs w:val="21"/>
        </w:rPr>
        <w:t>（2）碎石采用3座矿石筒仓储存，尺寸Φ10</w:t>
      </w:r>
      <w:r>
        <w:rPr>
          <w:szCs w:val="21"/>
        </w:rPr>
        <w:t>×12m</w:t>
      </w:r>
      <w:r>
        <w:rPr>
          <w:rFonts w:hint="eastAsia"/>
          <w:szCs w:val="21"/>
        </w:rPr>
        <w:t>，最大储量约5500t，可满足钒钛铁精矿4d储量。</w:t>
      </w:r>
    </w:p>
    <w:p w14:paraId="3D2CA0D0">
      <w:pPr>
        <w:pStyle w:val="5"/>
        <w:spacing w:line="360" w:lineRule="auto"/>
        <w:jc w:val="left"/>
        <w:rPr>
          <w:color w:val="auto"/>
        </w:rPr>
      </w:pPr>
      <w:r>
        <w:rPr>
          <w:color w:val="auto"/>
        </w:rPr>
        <w:t>3.</w:t>
      </w:r>
      <w:r>
        <w:rPr>
          <w:rFonts w:hint="eastAsia"/>
          <w:color w:val="auto"/>
        </w:rPr>
        <w:t>1</w:t>
      </w:r>
      <w:r>
        <w:rPr>
          <w:color w:val="auto"/>
        </w:rPr>
        <w:t>.</w:t>
      </w:r>
      <w:r>
        <w:rPr>
          <w:rFonts w:hint="eastAsia"/>
          <w:color w:val="auto"/>
        </w:rPr>
        <w:t>10</w:t>
      </w:r>
      <w:r>
        <w:rPr>
          <w:color w:val="auto"/>
        </w:rPr>
        <w:t>厂址占地及厂区总平面布置</w:t>
      </w:r>
    </w:p>
    <w:p w14:paraId="6621F2EE">
      <w:pPr>
        <w:pStyle w:val="212"/>
        <w:spacing w:before="78"/>
        <w:ind w:firstLine="480"/>
      </w:pPr>
      <w:r>
        <w:t>本项目</w:t>
      </w:r>
      <w:r>
        <w:rPr>
          <w:rFonts w:hint="eastAsia"/>
        </w:rPr>
        <w:t>租用土地约</w:t>
      </w:r>
      <w:r>
        <w:t>41031m</w:t>
      </w:r>
      <w:r>
        <w:rPr>
          <w:vertAlign w:val="superscript"/>
        </w:rPr>
        <w:t>2</w:t>
      </w:r>
      <w:r>
        <w:t>，</w:t>
      </w:r>
      <w:r>
        <w:rPr>
          <w:rFonts w:hint="eastAsia"/>
        </w:rPr>
        <w:t>现状</w:t>
      </w:r>
      <w:r>
        <w:t>占地类型为</w:t>
      </w:r>
      <w:r>
        <w:rPr>
          <w:rFonts w:hint="eastAsia"/>
        </w:rPr>
        <w:t>采矿</w:t>
      </w:r>
      <w:r>
        <w:t>用地</w:t>
      </w:r>
      <w:r>
        <w:rPr>
          <w:rFonts w:hint="eastAsia"/>
        </w:rPr>
        <w:t>，</w:t>
      </w:r>
      <w:r>
        <w:t>阜新蒙古族自治县自然资源局已同意将该地块纳入阜新蒙古族自治县</w:t>
      </w:r>
      <w:r>
        <w:rPr>
          <w:rFonts w:hint="eastAsia"/>
          <w:lang w:eastAsia="zh-CN"/>
        </w:rPr>
        <w:t>国土</w:t>
      </w:r>
      <w:r>
        <w:t>空间总体规划的零星城镇建设用地布局，调整后为工业用地</w:t>
      </w:r>
      <w:r>
        <w:rPr>
          <w:rFonts w:hint="eastAsia"/>
        </w:rPr>
        <w:t>，全部位于亿升达矿区范围内</w:t>
      </w:r>
      <w:r>
        <w:t>。</w:t>
      </w:r>
      <w:r>
        <w:rPr>
          <w:rFonts w:hint="eastAsia"/>
        </w:rPr>
        <w:t>项目</w:t>
      </w:r>
      <w:r>
        <w:t>分两个厂区建设，1#厂区占地面积为</w:t>
      </w:r>
      <w:r>
        <w:rPr>
          <w:rFonts w:hint="eastAsia"/>
        </w:rPr>
        <w:t>18712.71</w:t>
      </w:r>
      <w:r>
        <w:t>m</w:t>
      </w:r>
      <w:r>
        <w:rPr>
          <w:vertAlign w:val="superscript"/>
        </w:rPr>
        <w:t>2</w:t>
      </w:r>
      <w:r>
        <w:t>，</w:t>
      </w:r>
      <w:r>
        <w:rPr>
          <w:rFonts w:hint="eastAsia"/>
        </w:rPr>
        <w:t>主要建设磁选、球磨、重选、压滤车间等；</w:t>
      </w:r>
      <w:r>
        <w:t>2#厂区占地面积为</w:t>
      </w:r>
      <w:r>
        <w:rPr>
          <w:rFonts w:hint="eastAsia"/>
        </w:rPr>
        <w:t>22318.61</w:t>
      </w:r>
      <w:r>
        <w:t>m</w:t>
      </w:r>
      <w:r>
        <w:rPr>
          <w:vertAlign w:val="superscript"/>
        </w:rPr>
        <w:t>2</w:t>
      </w:r>
      <w:r>
        <w:rPr>
          <w:rFonts w:hint="eastAsia"/>
        </w:rPr>
        <w:t>，主要建设破碎车间。</w:t>
      </w:r>
    </w:p>
    <w:p w14:paraId="478647E3">
      <w:pPr>
        <w:pStyle w:val="212"/>
        <w:spacing w:before="78"/>
        <w:ind w:firstLine="480"/>
      </w:pPr>
      <w:r>
        <w:rPr>
          <w:kern w:val="0"/>
        </w:rPr>
        <w:t>本次设计本着满足总体规划，工艺流程顺畅、道路运输、安全消防等要求；按功能分区，经济合理</w:t>
      </w:r>
      <w:r>
        <w:rPr>
          <w:rFonts w:hint="eastAsia"/>
          <w:kern w:val="0"/>
        </w:rPr>
        <w:t>、</w:t>
      </w:r>
      <w:r>
        <w:rPr>
          <w:kern w:val="0"/>
        </w:rPr>
        <w:t>占地</w:t>
      </w:r>
      <w:r>
        <w:rPr>
          <w:rFonts w:hint="eastAsia"/>
          <w:kern w:val="0"/>
        </w:rPr>
        <w:t>少</w:t>
      </w:r>
      <w:r>
        <w:rPr>
          <w:rFonts w:hint="eastAsia"/>
        </w:rPr>
        <w:t>。</w:t>
      </w:r>
    </w:p>
    <w:p w14:paraId="7422119E">
      <w:pPr>
        <w:pStyle w:val="212"/>
        <w:spacing w:before="78"/>
        <w:ind w:firstLine="480"/>
      </w:pPr>
      <w:r>
        <w:t>厂区</w:t>
      </w:r>
      <w:r>
        <w:rPr>
          <w:rFonts w:hint="eastAsia"/>
        </w:rPr>
        <w:t>租用位置</w:t>
      </w:r>
      <w:r>
        <w:t>见图3.</w:t>
      </w:r>
      <w:r>
        <w:rPr>
          <w:rFonts w:hint="eastAsia"/>
        </w:rPr>
        <w:t>1</w:t>
      </w:r>
      <w:r>
        <w:t>-</w:t>
      </w:r>
      <w:r>
        <w:rPr>
          <w:rFonts w:hint="eastAsia"/>
        </w:rPr>
        <w:t>3，两个厂区平面布置见图</w:t>
      </w:r>
      <w:r>
        <w:t>3.</w:t>
      </w:r>
      <w:r>
        <w:rPr>
          <w:rFonts w:hint="eastAsia"/>
        </w:rPr>
        <w:t>1</w:t>
      </w:r>
      <w:r>
        <w:t>-</w:t>
      </w:r>
      <w:r>
        <w:rPr>
          <w:rFonts w:hint="eastAsia"/>
        </w:rPr>
        <w:t>4、图3.1-5</w:t>
      </w:r>
      <w:r>
        <w:t>。</w:t>
      </w:r>
    </w:p>
    <w:p w14:paraId="13E670A2">
      <w:pPr>
        <w:pStyle w:val="53"/>
        <w:spacing w:before="0" w:beforeLines="0" w:after="0" w:line="240" w:lineRule="auto"/>
        <w:ind w:left="0" w:leftChars="0"/>
        <w:jc w:val="center"/>
        <w:rPr>
          <w:b/>
        </w:rPr>
      </w:pPr>
      <w:r>
        <w:rPr>
          <w:rFonts w:hint="eastAsia"/>
        </w:rPr>
        <mc:AlternateContent>
          <mc:Choice Requires="wps">
            <w:drawing>
              <wp:anchor distT="0" distB="0" distL="114300" distR="114300" simplePos="0" relativeHeight="251722752" behindDoc="0" locked="0" layoutInCell="1" allowOverlap="1">
                <wp:simplePos x="0" y="0"/>
                <wp:positionH relativeFrom="margin">
                  <wp:posOffset>3488055</wp:posOffset>
                </wp:positionH>
                <wp:positionV relativeFrom="paragraph">
                  <wp:posOffset>2238375</wp:posOffset>
                </wp:positionV>
                <wp:extent cx="1381125" cy="428625"/>
                <wp:effectExtent l="0" t="0" r="0" b="0"/>
                <wp:wrapNone/>
                <wp:docPr id="1668089849" name="文本框 63"/>
                <wp:cNvGraphicFramePr/>
                <a:graphic xmlns:a="http://schemas.openxmlformats.org/drawingml/2006/main">
                  <a:graphicData uri="http://schemas.microsoft.com/office/word/2010/wordprocessingShape">
                    <wps:wsp>
                      <wps:cNvSpPr txBox="1"/>
                      <wps:spPr>
                        <a:xfrm>
                          <a:off x="0" y="0"/>
                          <a:ext cx="1381125" cy="428625"/>
                        </a:xfrm>
                        <a:prstGeom prst="rect">
                          <a:avLst/>
                        </a:prstGeom>
                        <a:noFill/>
                        <a:ln w="6350">
                          <a:noFill/>
                        </a:ln>
                      </wps:spPr>
                      <wps:txbx>
                        <w:txbxContent>
                          <w:p w14:paraId="0B180F75">
                            <w:pPr>
                              <w:spacing w:before="78"/>
                              <w:rPr>
                                <w:color w:val="E41CD6"/>
                              </w:rPr>
                            </w:pPr>
                            <w:r>
                              <w:rPr>
                                <w:rFonts w:hint="eastAsia"/>
                                <w:color w:val="E41CD6"/>
                              </w:rPr>
                              <w:t>亿升达矿区</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63" o:spid="_x0000_s1026" o:spt="202" type="#_x0000_t202" style="position:absolute;left:0pt;margin-left:274.65pt;margin-top:176.25pt;height:33.75pt;width:108.75pt;mso-position-horizontal-relative:margin;z-index:251722752;mso-width-relative:page;mso-height-relative:page;" filled="f" stroked="f" coordsize="21600,21600" o:gfxdata="UEsDBAoAAAAAAIdO4kAAAAAAAAAAAAAAAAAEAAAAZHJzL1BLAwQUAAAACACHTuJA6PveutwAAAAL&#10;AQAADwAAAGRycy9kb3ducmV2LnhtbE2Py07DMBBF90j8gzVI7KjTtAltyKRCkSokRBct3XQ3id0k&#10;IrZD7D7g6xlWsBzN0b3n5qur6cVZj75zFmE6iUBoWzvV2QZh/75+WIDwgayi3lmN8KU9rIrbm5wy&#10;5S52q8+70AgOsT4jhDaEIZPS16025Cdu0JZ/RzcaCnyOjVQjXTjc9DKOolQa6iw3tDTostX1x+5k&#10;EF7L9Ya2VWwW33358nZ8Hj73hwTx/m4aPYEI+hr+YPjVZ3Uo2KlyJ6u86BGS+XLGKMIsiRMQTDym&#10;KY+pEObcDLLI5f8NxQ9QSwMEFAAAAAgAh07iQOxpXgdEAgAAcAQAAA4AAABkcnMvZTJvRG9jLnht&#10;bK1UzY7aMBC+V+o7WL6XEP4KiLCii6gqoe5KtOrZOA6JZHtc25DQB2jfYE+99N7n2ufo2AEWbXvY&#10;Qy/O2DPzjb9vxpndNEqSg7CuAp3RtNOlRGgOeaV3Gf38afVmTInzTOdMghYZPQpHb+avX81qMxU9&#10;KEHmwhIE0W5am4yW3ptpkjheCsVcB4zQ6CzAKuZxa3dJblmN6EomvW53lNRgc2OBC+fwdNk66QnR&#10;vgQQiqLiYgl8r4T2LaoVknmk5MrKODqPty0Kwf1dUTjhicwoMvVxxSJob8OazGdsurPMlBU/XYG9&#10;5ArPOClWaSx6gVoyz8jeVn9BqYpbcFD4DgeVtESiIsgi7T7TZlMyIyIXlNqZi+ju/8Hyj4d7S6oc&#10;J2E0GnfHk/FgQolmCjv/+PDj8efvx1/fyagfhKqNm2L8xmCGb95Bg0nnc4eHgX9TWBW+yIygH2U+&#10;XmQWjSc8JPXHadobUsLRN+iNR2gjfPKUbazz7wUoEoyMWmxjVJcd1s63oeeQUEzDqpIytlJqUmd0&#10;1B92Y8LFg+BSY43Aob1rsHyzbU7EtpAfkZeFdkSc4asKi6+Z8/fM4kwgFXw1/g6XQgIWgZNFSQn2&#10;27/OQzy2Cr2U1DhjGXVf98wKSuQHjU2cpINBGMq4GQzf9nBjrz3ba4/eq1vAMU7xfRoezRDv5dks&#10;LKgv+LgWoSq6mOZYO6P+bN76dvLxcXKxWMQgHEPD/FpvDA/QrZyLvYeiikoHmVptTurhIMZenR5N&#10;mPTrfYx6+lHM/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Do+9663AAAAAsBAAAPAAAAAAAAAAEA&#10;IAAAACIAAABkcnMvZG93bnJldi54bWxQSwECFAAUAAAACACHTuJA7GleB0QCAABwBAAADgAAAAAA&#10;AAABACAAAAArAQAAZHJzL2Uyb0RvYy54bWxQSwUGAAAAAAYABgBZAQAA4QUAAAAA&#10;">
                <v:fill on="f" focussize="0,0"/>
                <v:stroke on="f" weight="0.5pt"/>
                <v:imagedata o:title=""/>
                <o:lock v:ext="edit" aspectratio="f"/>
                <v:textbox>
                  <w:txbxContent>
                    <w:p w14:paraId="0B180F75">
                      <w:pPr>
                        <w:spacing w:before="78"/>
                        <w:rPr>
                          <w:color w:val="E41CD6"/>
                        </w:rPr>
                      </w:pPr>
                      <w:r>
                        <w:rPr>
                          <w:rFonts w:hint="eastAsia"/>
                          <w:color w:val="E41CD6"/>
                        </w:rPr>
                        <w:t>亿升达矿区</w:t>
                      </w:r>
                    </w:p>
                  </w:txbxContent>
                </v:textbox>
              </v:shape>
            </w:pict>
          </mc:Fallback>
        </mc:AlternateContent>
      </w:r>
      <w:r>
        <w:rPr>
          <w:rFonts w:hint="eastAsia"/>
        </w:rPr>
        <mc:AlternateContent>
          <mc:Choice Requires="wps">
            <w:drawing>
              <wp:anchor distT="0" distB="0" distL="114300" distR="114300" simplePos="0" relativeHeight="251721728" behindDoc="0" locked="0" layoutInCell="1" allowOverlap="1">
                <wp:simplePos x="0" y="0"/>
                <wp:positionH relativeFrom="margin">
                  <wp:align>center</wp:align>
                </wp:positionH>
                <wp:positionV relativeFrom="paragraph">
                  <wp:posOffset>1590675</wp:posOffset>
                </wp:positionV>
                <wp:extent cx="1381125" cy="428625"/>
                <wp:effectExtent l="0" t="0" r="0" b="0"/>
                <wp:wrapNone/>
                <wp:docPr id="349635092" name="文本框 63"/>
                <wp:cNvGraphicFramePr/>
                <a:graphic xmlns:a="http://schemas.openxmlformats.org/drawingml/2006/main">
                  <a:graphicData uri="http://schemas.microsoft.com/office/word/2010/wordprocessingShape">
                    <wps:wsp>
                      <wps:cNvSpPr txBox="1"/>
                      <wps:spPr>
                        <a:xfrm>
                          <a:off x="0" y="0"/>
                          <a:ext cx="1381125" cy="428625"/>
                        </a:xfrm>
                        <a:prstGeom prst="rect">
                          <a:avLst/>
                        </a:prstGeom>
                        <a:noFill/>
                        <a:ln w="6350">
                          <a:noFill/>
                        </a:ln>
                      </wps:spPr>
                      <wps:txbx>
                        <w:txbxContent>
                          <w:p w14:paraId="32505846">
                            <w:pPr>
                              <w:spacing w:before="78"/>
                              <w:rPr>
                                <w:color w:val="ED7D31" w:themeColor="accent2"/>
                                <w14:textFill>
                                  <w14:solidFill>
                                    <w14:schemeClr w14:val="accent2"/>
                                  </w14:solidFill>
                                </w14:textFill>
                              </w:rPr>
                            </w:pPr>
                            <w:r>
                              <w:rPr>
                                <w:rFonts w:hint="eastAsia"/>
                                <w:color w:val="ED7D31" w:themeColor="accent2"/>
                                <w14:textFill>
                                  <w14:solidFill>
                                    <w14:schemeClr w14:val="accent2"/>
                                  </w14:solidFill>
                                </w14:textFill>
                              </w:rPr>
                              <w:t>鑫岳矿区</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63" o:spid="_x0000_s1026" o:spt="202" type="#_x0000_t202" style="position:absolute;left:0pt;margin-top:125.25pt;height:33.75pt;width:108.75pt;mso-position-horizontal:center;mso-position-horizontal-relative:margin;z-index:251721728;mso-width-relative:page;mso-height-relative:page;" filled="f" stroked="f" coordsize="21600,21600" o:gfxdata="UEsDBAoAAAAAAIdO4kAAAAAAAAAAAAAAAAAEAAAAZHJzL1BLAwQUAAAACACHTuJAKBOhCNkAAAAI&#10;AQAADwAAAGRycy9kb3ducmV2LnhtbE2PzU7DMBCE70i8g7VI3KidoECUxqlQpAoJwaGlF25OvE2i&#10;xusQuz/w9CwnuM1qVjPflKuLG8UJ5zB40pAsFAik1tuBOg279/VdDiJEQ9aMnlDDFwZYVddXpSms&#10;P9MGT9vYCQ6hUBgNfYxTIWVoe3QmLPyExN7ez85EPudO2tmcOdyNMlXqQTozEDf0ZsK6x/awPToN&#10;L/X6zWya1OXfY/38un+aPncfmda3N4lagoh4iX/P8IvP6FAxU+OPZIMYNfCQqCHNVAaC7TR5ZNFo&#10;uE9yBbIq5f8B1Q9QSwMEFAAAAAgAh07iQFovGGVCAgAAbwQAAA4AAABkcnMvZTJvRG9jLnhtbK1U&#10;zY7aMBC+V+o7WL6XEP4KiLCii6gqoe5KtOrZOA6JZHtc25DQB2jfYE+99N7n2ufo2AEWbXvYQy/O&#10;2DP+xt83M5ndNEqSg7CuAp3RtNOlRGgOeaV3Gf38afVmTInzTOdMghYZPQpHb+avX81qMxU9KEHm&#10;whIE0W5am4yW3ptpkjheCsVcB4zQ6CzAKuZxa3dJblmN6EomvW53lNRgc2OBC+fwdNk66QnRvgQQ&#10;iqLiYgl8r4T2LaoVknmk5MrKODqPry0Kwf1dUTjhicwoMvVxxSRob8OazGdsurPMlBU/PYG95AnP&#10;OClWaUx6gVoyz8jeVn9BqYpbcFD4DgeVtESiIsgi7T7TZlMyIyIXlNqZi+ju/8Hyj4d7S6o8o/3B&#10;ZNQfdic9SjRTWPjHhx+PP38//vpORv2gU23cFMM3Bi/45h002D3nc4eHgX5TWBW+SIygH1U+XlQW&#10;jSc8XOqP07Q3pISjb9Abj9BG+OTptrHOvxegSDAyarGKUVx2WDvfhp5DQjINq0rKWEmpSZ3RwCNe&#10;uHgQXGrMETi0bw2Wb7bNidgW8iPystB2iDN8VWHyNXP+nllsCaSCQ+PvcCkkYBI4WZSUYL/96zzE&#10;Y6XQS0mNLZZR93XPrKBEftBYw0k6GISejJvB8G0PN/bas7326L26BeziFMfT8GiGeC/PZmFBfcHZ&#10;WoSs6GKaY+6M+rN569vGx9nkYrGIQdiFhvm13hgeoFs5F3sPRRWVDjK12pzUwz6MtTrNTGj0632M&#10;evpPzP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KBOhCNkAAAAIAQAADwAAAAAAAAABACAAAAAi&#10;AAAAZHJzL2Rvd25yZXYueG1sUEsBAhQAFAAAAAgAh07iQFovGGVCAgAAbwQAAA4AAAAAAAAAAQAg&#10;AAAAKAEAAGRycy9lMm9Eb2MueG1sUEsFBgAAAAAGAAYAWQEAANwFAAAAAA==&#10;">
                <v:fill on="f" focussize="0,0"/>
                <v:stroke on="f" weight="0.5pt"/>
                <v:imagedata o:title=""/>
                <o:lock v:ext="edit" aspectratio="f"/>
                <v:textbox>
                  <w:txbxContent>
                    <w:p w14:paraId="32505846">
                      <w:pPr>
                        <w:spacing w:before="78"/>
                        <w:rPr>
                          <w:color w:val="ED7D31" w:themeColor="accent2"/>
                          <w14:textFill>
                            <w14:solidFill>
                              <w14:schemeClr w14:val="accent2"/>
                            </w14:solidFill>
                          </w14:textFill>
                        </w:rPr>
                      </w:pPr>
                      <w:r>
                        <w:rPr>
                          <w:rFonts w:hint="eastAsia"/>
                          <w:color w:val="ED7D31" w:themeColor="accent2"/>
                          <w14:textFill>
                            <w14:solidFill>
                              <w14:schemeClr w14:val="accent2"/>
                            </w14:solidFill>
                          </w14:textFill>
                        </w:rPr>
                        <w:t>鑫岳矿区</w:t>
                      </w:r>
                    </w:p>
                  </w:txbxContent>
                </v:textbox>
              </v:shape>
            </w:pict>
          </mc:Fallback>
        </mc:AlternateContent>
      </w:r>
      <w:r>
        <mc:AlternateContent>
          <mc:Choice Requires="wps">
            <w:drawing>
              <wp:anchor distT="0" distB="0" distL="114300" distR="114300" simplePos="0" relativeHeight="251719680" behindDoc="0" locked="0" layoutInCell="1" allowOverlap="1">
                <wp:simplePos x="0" y="0"/>
                <wp:positionH relativeFrom="column">
                  <wp:posOffset>4878705</wp:posOffset>
                </wp:positionH>
                <wp:positionV relativeFrom="paragraph">
                  <wp:posOffset>552450</wp:posOffset>
                </wp:positionV>
                <wp:extent cx="9525" cy="590550"/>
                <wp:effectExtent l="76200" t="38100" r="66675" b="19050"/>
                <wp:wrapNone/>
                <wp:docPr id="1234189278" name="直接箭头连接符 61"/>
                <wp:cNvGraphicFramePr/>
                <a:graphic xmlns:a="http://schemas.openxmlformats.org/drawingml/2006/main">
                  <a:graphicData uri="http://schemas.microsoft.com/office/word/2010/wordprocessingShape">
                    <wps:wsp>
                      <wps:cNvCnPr/>
                      <wps:spPr>
                        <a:xfrm flipH="1" flipV="1">
                          <a:off x="0" y="0"/>
                          <a:ext cx="9525" cy="590550"/>
                        </a:xfrm>
                        <a:prstGeom prst="straightConnector1">
                          <a:avLst/>
                        </a:prstGeom>
                        <a:ln>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直接箭头连接符 61" o:spid="_x0000_s1026" o:spt="32" type="#_x0000_t32" style="position:absolute;left:0pt;flip:x y;margin-left:384.15pt;margin-top:43.5pt;height:46.5pt;width:0.75pt;z-index:251719680;mso-width-relative:page;mso-height-relative:page;" filled="f" stroked="t" coordsize="21600,21600" o:gfxdata="UEsDBAoAAAAAAIdO4kAAAAAAAAAAAAAAAAAEAAAAZHJzL1BLAwQUAAAACACHTuJA+fEidNsAAAAK&#10;AQAADwAAAGRycy9kb3ducmV2LnhtbE2Py07DMBBF90j8gzVIbFBrt5USE+J0gUBi0QUpCHXpJkMS&#10;iMdp7D7o1zNdwXI0R/eemy9PrhcHHEPnycBsqkAgVb7uqDHw/vY80SBCtFTb3hMa+MEAy+L6KrdZ&#10;7Y9U4mEdG8EhFDJroI1xyKQMVYvOhqkfkPj36UdnI59jI+vRHjnc9XKuVCKd7YgbWjvgY4vV93rv&#10;DOzuhtdmXq6eVufzQrtd+fIlPzbG3N7M1AOIiKf4B8NFn9WhYKet31MdRG8gTfSCUQM65U0MpMk9&#10;b9kyqZUCWeTy/4TiF1BLAwQUAAAACACHTuJAayGctB4CAAABBAAADgAAAGRycy9lMm9Eb2MueG1s&#10;rVO9jhMxEO6ReAfLPdlNjoQkyuaKhECB4CR+esdr71ryn8a+bPISvAASFVwFVNfzNHA8BmNvCHA0&#10;V+DCGns838x883lxvjea7AQE5WxFh4OSEmG5q5VtKvr61ebBlJIQma2ZdlZU9CACPV/ev7fo/FyM&#10;XOt0LYAgiA3zzle0jdHPiyLwVhgWBs4Li07pwLCIR2iKGliH6EYXo7KcFJ2D2oPjIgS8XfdOekSE&#10;uwA6KRUXa8cvjbCxRwWhWcSWQqt8oMtcrZSCxxdSBhGJrih2GvOOSdDepr1YLti8AeZbxY8lsLuU&#10;cKsnw5TFpCeoNYuMXIL6B8ooDi44GQfcmaJvJDOCXQzLW9y8bJkXuRekOvgT6eH/wfLnuwsgqkYl&#10;jM4eDqez0SOcv2UGJ3/z7vr72483Xz5/+3D94+v7ZH+6IpNhIq3zYY6xK3sBx1PwF5AY2EswRGrl&#10;nyImzdabZCUf9kv2mfzDiXyxj4Tj5Ww8GlPC0TGeleNxHk3Rw6VQDyE+Ec6QZFQ0RGCqaePKWYtD&#10;dtAnYLtnIWJBGPgrIAVbt1Fa51lrS7qKTs4wAeEM9StRN2gajxwE21DCdIMfg0fIJQenVZ2iE06A&#10;ZrvSQHYM5bTJK5GB2f56llKvWWj7d9nVC82oiH9HK1PRaZlWfx2Z0o9tTeLBI+0RFLONFkdkbTFB&#10;orsnOFlbVx8y7/kelZFLOKo4Se/Pc47+/XOXP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58SJ0&#10;2wAAAAoBAAAPAAAAAAAAAAEAIAAAACIAAABkcnMvZG93bnJldi54bWxQSwECFAAUAAAACACHTuJA&#10;ayGctB4CAAABBAAADgAAAAAAAAABACAAAAAqAQAAZHJzL2Uyb0RvYy54bWxQSwUGAAAAAAYABgBZ&#10;AQAAugUAAAAA&#10;">
                <v:fill on="f" focussize="0,0"/>
                <v:stroke weight="0.5pt" color="#FFFFFF [3212]" miterlimit="8" joinstyle="miter" endarrow="block"/>
                <v:imagedata o:title=""/>
                <o:lock v:ext="edit" aspectratio="f"/>
              </v:shape>
            </w:pict>
          </mc:Fallback>
        </mc:AlternateContent>
      </w:r>
      <w:r>
        <w:rPr>
          <w:rFonts w:hint="eastAsia"/>
        </w:rPr>
        <mc:AlternateContent>
          <mc:Choice Requires="wps">
            <w:drawing>
              <wp:anchor distT="0" distB="0" distL="114300" distR="114300" simplePos="0" relativeHeight="251720704" behindDoc="0" locked="0" layoutInCell="1" allowOverlap="1">
                <wp:simplePos x="0" y="0"/>
                <wp:positionH relativeFrom="column">
                  <wp:posOffset>4735830</wp:posOffset>
                </wp:positionH>
                <wp:positionV relativeFrom="paragraph">
                  <wp:posOffset>171450</wp:posOffset>
                </wp:positionV>
                <wp:extent cx="466725" cy="428625"/>
                <wp:effectExtent l="0" t="0" r="0" b="0"/>
                <wp:wrapNone/>
                <wp:docPr id="1324501329" name="文本框 63"/>
                <wp:cNvGraphicFramePr/>
                <a:graphic xmlns:a="http://schemas.openxmlformats.org/drawingml/2006/main">
                  <a:graphicData uri="http://schemas.microsoft.com/office/word/2010/wordprocessingShape">
                    <wps:wsp>
                      <wps:cNvSpPr txBox="1"/>
                      <wps:spPr>
                        <a:xfrm>
                          <a:off x="0" y="0"/>
                          <a:ext cx="466725" cy="428625"/>
                        </a:xfrm>
                        <a:prstGeom prst="rect">
                          <a:avLst/>
                        </a:prstGeom>
                        <a:noFill/>
                        <a:ln w="6350">
                          <a:noFill/>
                        </a:ln>
                      </wps:spPr>
                      <wps:txbx>
                        <w:txbxContent>
                          <w:p w14:paraId="59B23BFA">
                            <w:pPr>
                              <w:spacing w:before="78"/>
                              <w:rPr>
                                <w:color w:val="FFFFFF"/>
                              </w:rPr>
                            </w:pPr>
                            <w:r>
                              <w:rPr>
                                <w:rFonts w:hint="eastAsia"/>
                                <w:color w:val="FFFFFF"/>
                              </w:rPr>
                              <w:t>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63" o:spid="_x0000_s1026" o:spt="202" type="#_x0000_t202" style="position:absolute;left:0pt;margin-left:372.9pt;margin-top:13.5pt;height:33.75pt;width:36.75pt;z-index:251720704;mso-width-relative:page;mso-height-relative:page;" filled="f" stroked="f" coordsize="21600,21600" o:gfxdata="UEsDBAoAAAAAAIdO4kAAAAAAAAAAAAAAAAAEAAAAZHJzL1BLAwQUAAAACACHTuJA8d2oCdsAAAAJ&#10;AQAADwAAAGRycy9kb3ducmV2LnhtbE2PzU7DMBCE70i8g7VI3KiT0NA0ZFOhSBUSooeWXrht4m0S&#10;Edshdn/g6TEnOI5mNPNNsbroQZx4cr01CPEsAsGmsao3LcL+bX2XgXCejKLBGkb4Yger8vqqoFzZ&#10;s9nyaedbEUqMywmh837MpXRNx5rczI5sgnewkyYf5NRKNdE5lOtBJlH0IDX1Jix0NHLVcfOxO2qE&#10;l2q9oW2d6Ox7qJ5fD0/j5/49Rby9iaNHEJ4v/i8Mv/gBHcrAVNujUU4MCIt5GtA9QrIIn0Igi5f3&#10;IGqE5TwFWRby/4PyB1BLAwQUAAAACACHTuJAYDaQXUICAABvBAAADgAAAGRycy9lMm9Eb2MueG1s&#10;rVTBjtowEL1X6j9YvpdACOwuIqzoIqpKq+5KtOrZOA6JZHtc25DQD2j/oKdeeu938R0dO8CibQ97&#10;6MUZz4zf+L0ZZ3rbKkl2wroadE4HvT4lQnMoar3J6aePyzfXlDjPdMEkaJHTvXD0dvb61bQxE5FC&#10;BbIQliCIdpPG5LTy3kySxPFKKOZ6YITGYAlWMY9bu0kKyxpEVzJJ+/1x0oAtjAUunEPvogvSI6J9&#10;CSCUZc3FAvhWCe07VCsk80jJVbVxdBZvW5aC+4eydMITmVNk6uOKRdBehzWZTdlkY5mpan68AnvJ&#10;FZ5xUqzWWPQMtWCeka2t/4JSNbfgoPQ9DirpiERFkMWg/0ybVcWMiFxQamfOorv/B8s/7B4tqQuc&#10;hGGajfq43lCimcLOH358P/z8ffj1jYyHQajGuAnmrwye8O1baPHQye/QGfi3pVXhi8wIxlHm/Vlm&#10;0XrC0ZmNx1fpiBKOoSy9HqON6MnTYWOdfydAkWDk1GIXo7hsd+98l3pKCbU0LGspYyelJk1Ox8NR&#10;Px44RxBcaqwRKHRXDZZv1+2R1xqKPdKy0E2IM3xZY/F75vwjszgSyAQfjX/ApZSAReBoUVKB/fov&#10;f8jHTmGUkgZHLKfuy5ZZQYl8r7GHN4MsCzMZN9noKsWNvYysLyN6q+4Ap3iAz9PwaIZ8L09maUF9&#10;xrc1D1UxxDTH2jn1J/POd4OPb5OL+Twm4RQa5u/1yvAA3ck533oo66h0kKnT5qgezmHs1fHNhEG/&#10;3Mesp//E7A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Dx3agJ2wAAAAkBAAAPAAAAAAAAAAEAIAAA&#10;ACIAAABkcnMvZG93bnJldi54bWxQSwECFAAUAAAACACHTuJAYDaQXUICAABvBAAADgAAAAAAAAAB&#10;ACAAAAAqAQAAZHJzL2Uyb0RvYy54bWxQSwUGAAAAAAYABgBZAQAA3gUAAAAA&#10;">
                <v:fill on="f" focussize="0,0"/>
                <v:stroke on="f" weight="0.5pt"/>
                <v:imagedata o:title=""/>
                <o:lock v:ext="edit" aspectratio="f"/>
                <v:textbox>
                  <w:txbxContent>
                    <w:p w14:paraId="59B23BFA">
                      <w:pPr>
                        <w:spacing w:before="78"/>
                        <w:rPr>
                          <w:color w:val="FFFFFF"/>
                        </w:rPr>
                      </w:pPr>
                      <w:r>
                        <w:rPr>
                          <w:rFonts w:hint="eastAsia"/>
                          <w:color w:val="FFFFFF"/>
                        </w:rPr>
                        <w:t>N</w:t>
                      </w:r>
                    </w:p>
                  </w:txbxContent>
                </v:textbox>
              </v:shape>
            </w:pict>
          </mc:Fallback>
        </mc:AlternateContent>
      </w:r>
      <w:r>
        <w:drawing>
          <wp:inline distT="0" distB="0" distL="0" distR="0">
            <wp:extent cx="5278120" cy="3860165"/>
            <wp:effectExtent l="0" t="0" r="0" b="6985"/>
            <wp:docPr id="6841136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113611" name="图片 1"/>
                    <pic:cNvPicPr>
                      <a:picLocks noChangeAspect="1"/>
                    </pic:cNvPicPr>
                  </pic:nvPicPr>
                  <pic:blipFill>
                    <a:blip r:embed="rId37"/>
                    <a:stretch>
                      <a:fillRect/>
                    </a:stretch>
                  </pic:blipFill>
                  <pic:spPr>
                    <a:xfrm>
                      <a:off x="0" y="0"/>
                      <a:ext cx="5278120" cy="3860165"/>
                    </a:xfrm>
                    <a:prstGeom prst="rect">
                      <a:avLst/>
                    </a:prstGeom>
                  </pic:spPr>
                </pic:pic>
              </a:graphicData>
            </a:graphic>
          </wp:inline>
        </w:drawing>
      </w:r>
    </w:p>
    <w:p w14:paraId="203CD8A8">
      <w:pPr>
        <w:pStyle w:val="54"/>
        <w:ind w:firstLine="241"/>
        <w:jc w:val="center"/>
        <w:rPr>
          <w:rFonts w:ascii="Times New Roman" w:hAnsi="Times New Roman" w:cs="Times New Roman"/>
          <w:b/>
          <w:bCs/>
          <w:lang w:val="en-US" w:bidi="ar-SA"/>
        </w:rPr>
        <w:sectPr>
          <w:pgSz w:w="11906" w:h="16838"/>
          <w:pgMar w:top="1440" w:right="1797" w:bottom="1440" w:left="1797" w:header="851" w:footer="992" w:gutter="0"/>
          <w:cols w:space="720" w:num="1"/>
          <w:docGrid w:type="lines" w:linePitch="312" w:charSpace="0"/>
        </w:sectPr>
      </w:pPr>
      <w:r>
        <w:rPr>
          <w:rFonts w:ascii="Times New Roman" w:hAnsi="Times New Roman" w:cs="Times New Roman"/>
          <w:b/>
          <w:bCs/>
          <w:lang w:val="en-US" w:bidi="ar-SA"/>
        </w:rPr>
        <w:t>图3.1-3   租用厂区位置</w:t>
      </w:r>
      <w:r>
        <w:rPr>
          <w:rFonts w:ascii="Times New Roman" w:hAnsi="Times New Roman" w:cs="Times New Roman"/>
          <w:b/>
          <w:bCs/>
        </w:rPr>
        <w:t>图</w:t>
      </w:r>
    </w:p>
    <w:p w14:paraId="32729176">
      <w:pPr>
        <w:pStyle w:val="83"/>
        <w:jc w:val="center"/>
        <w:rPr>
          <w:rFonts w:hint="eastAsia"/>
        </w:rPr>
      </w:pPr>
      <w:r>
        <w:drawing>
          <wp:inline distT="0" distB="0" distL="0" distR="0">
            <wp:extent cx="7781925" cy="4965700"/>
            <wp:effectExtent l="0" t="0" r="0" b="6350"/>
            <wp:docPr id="137329910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299106" name="图片 1"/>
                    <pic:cNvPicPr>
                      <a:picLocks noChangeAspect="1"/>
                    </pic:cNvPicPr>
                  </pic:nvPicPr>
                  <pic:blipFill>
                    <a:blip r:embed="rId38"/>
                    <a:stretch>
                      <a:fillRect/>
                    </a:stretch>
                  </pic:blipFill>
                  <pic:spPr>
                    <a:xfrm>
                      <a:off x="0" y="0"/>
                      <a:ext cx="7789726" cy="4971114"/>
                    </a:xfrm>
                    <a:prstGeom prst="rect">
                      <a:avLst/>
                    </a:prstGeom>
                  </pic:spPr>
                </pic:pic>
              </a:graphicData>
            </a:graphic>
          </wp:inline>
        </w:drawing>
      </w:r>
    </w:p>
    <w:p w14:paraId="094878D4">
      <w:pPr>
        <w:pStyle w:val="53"/>
        <w:spacing w:before="0" w:beforeLines="0" w:after="0" w:line="240" w:lineRule="auto"/>
        <w:ind w:left="0" w:leftChars="0"/>
        <w:jc w:val="center"/>
      </w:pPr>
      <w:bookmarkStart w:id="112" w:name="_Hlk187237213"/>
      <w:r>
        <w:rPr>
          <w:b/>
        </w:rPr>
        <w:t>图3.</w:t>
      </w:r>
      <w:r>
        <w:rPr>
          <w:rFonts w:hint="eastAsia"/>
          <w:b/>
        </w:rPr>
        <w:t>1</w:t>
      </w:r>
      <w:r>
        <w:rPr>
          <w:b/>
        </w:rPr>
        <w:t>-</w:t>
      </w:r>
      <w:r>
        <w:rPr>
          <w:rFonts w:hint="eastAsia"/>
          <w:b/>
        </w:rPr>
        <w:t xml:space="preserve">4 </w:t>
      </w:r>
      <w:r>
        <w:rPr>
          <w:b/>
        </w:rPr>
        <w:t xml:space="preserve">  1#厂区平面布置图</w:t>
      </w:r>
      <w:bookmarkEnd w:id="112"/>
    </w:p>
    <w:p w14:paraId="4FCE8C6B">
      <w:pPr>
        <w:spacing w:before="79"/>
        <w:rPr>
          <w:lang w:bidi="zh-CN"/>
        </w:rPr>
      </w:pPr>
      <w:r>
        <w:drawing>
          <wp:anchor distT="0" distB="0" distL="114300" distR="114300" simplePos="0" relativeHeight="251715584" behindDoc="1" locked="0" layoutInCell="1" allowOverlap="1">
            <wp:simplePos x="0" y="0"/>
            <wp:positionH relativeFrom="margin">
              <wp:align>left</wp:align>
            </wp:positionH>
            <wp:positionV relativeFrom="paragraph">
              <wp:posOffset>275590</wp:posOffset>
            </wp:positionV>
            <wp:extent cx="7106285" cy="4726940"/>
            <wp:effectExtent l="0" t="0" r="0" b="0"/>
            <wp:wrapTight wrapText="bothSides">
              <wp:wrapPolygon>
                <wp:start x="0" y="0"/>
                <wp:lineTo x="0" y="21501"/>
                <wp:lineTo x="21540" y="21501"/>
                <wp:lineTo x="21540" y="0"/>
                <wp:lineTo x="0" y="0"/>
              </wp:wrapPolygon>
            </wp:wrapTight>
            <wp:docPr id="141256013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560132" name="图片 1"/>
                    <pic:cNvPicPr>
                      <a:picLocks noChangeAspect="1"/>
                    </pic:cNvPicPr>
                  </pic:nvPicPr>
                  <pic:blipFill>
                    <a:blip r:embed="rId39"/>
                    <a:stretch>
                      <a:fillRect/>
                    </a:stretch>
                  </pic:blipFill>
                  <pic:spPr>
                    <a:xfrm>
                      <a:off x="0" y="0"/>
                      <a:ext cx="7106285" cy="4726940"/>
                    </a:xfrm>
                    <a:prstGeom prst="rect">
                      <a:avLst/>
                    </a:prstGeom>
                  </pic:spPr>
                </pic:pic>
              </a:graphicData>
            </a:graphic>
          </wp:anchor>
        </w:drawing>
      </w:r>
    </w:p>
    <w:p w14:paraId="0E75BC6F">
      <w:pPr>
        <w:spacing w:before="79"/>
        <w:rPr>
          <w:lang w:bidi="zh-CN"/>
        </w:rPr>
      </w:pPr>
    </w:p>
    <w:p w14:paraId="75A1508D">
      <w:pPr>
        <w:spacing w:before="79"/>
        <w:rPr>
          <w:lang w:bidi="zh-CN"/>
        </w:rPr>
      </w:pPr>
    </w:p>
    <w:p w14:paraId="27FEF85A">
      <w:pPr>
        <w:spacing w:before="79"/>
        <w:rPr>
          <w:lang w:bidi="zh-CN"/>
        </w:rPr>
      </w:pPr>
    </w:p>
    <w:p w14:paraId="0882F229">
      <w:pPr>
        <w:spacing w:before="79"/>
        <w:rPr>
          <w:lang w:bidi="zh-CN"/>
        </w:rPr>
      </w:pPr>
    </w:p>
    <w:p w14:paraId="27E7B7E4">
      <w:pPr>
        <w:spacing w:before="79"/>
        <w:rPr>
          <w:lang w:bidi="zh-CN"/>
        </w:rPr>
      </w:pPr>
    </w:p>
    <w:p w14:paraId="62B7B901">
      <w:pPr>
        <w:spacing w:before="79"/>
        <w:rPr>
          <w:lang w:bidi="zh-CN"/>
        </w:rPr>
      </w:pPr>
    </w:p>
    <w:p w14:paraId="0A0A58E9">
      <w:pPr>
        <w:spacing w:before="79"/>
        <w:rPr>
          <w:lang w:bidi="zh-CN"/>
        </w:rPr>
      </w:pPr>
    </w:p>
    <w:p w14:paraId="3A9B2CEA">
      <w:pPr>
        <w:spacing w:before="79"/>
        <w:rPr>
          <w:lang w:bidi="zh-CN"/>
        </w:rPr>
      </w:pPr>
    </w:p>
    <w:p w14:paraId="0185CEC8">
      <w:pPr>
        <w:spacing w:before="79"/>
        <w:rPr>
          <w:lang w:bidi="zh-CN"/>
        </w:rPr>
      </w:pPr>
    </w:p>
    <w:p w14:paraId="7BEEA7A4">
      <w:pPr>
        <w:spacing w:before="79"/>
        <w:rPr>
          <w:lang w:bidi="zh-CN"/>
        </w:rPr>
      </w:pPr>
    </w:p>
    <w:p w14:paraId="26029ED8">
      <w:pPr>
        <w:spacing w:before="79"/>
        <w:rPr>
          <w:lang w:bidi="zh-CN"/>
        </w:rPr>
      </w:pPr>
    </w:p>
    <w:p w14:paraId="566DD231">
      <w:pPr>
        <w:spacing w:before="79"/>
        <w:rPr>
          <w:lang w:bidi="zh-CN"/>
        </w:rPr>
      </w:pPr>
    </w:p>
    <w:p w14:paraId="134C42FB">
      <w:pPr>
        <w:spacing w:before="79"/>
        <w:rPr>
          <w:lang w:bidi="zh-CN"/>
        </w:rPr>
      </w:pPr>
    </w:p>
    <w:p w14:paraId="2640230F">
      <w:pPr>
        <w:spacing w:before="79"/>
        <w:rPr>
          <w:lang w:bidi="zh-CN"/>
        </w:rPr>
      </w:pPr>
    </w:p>
    <w:p w14:paraId="2A884F0F">
      <w:pPr>
        <w:spacing w:before="79"/>
        <w:rPr>
          <w:lang w:bidi="zh-CN"/>
        </w:rPr>
      </w:pPr>
    </w:p>
    <w:p w14:paraId="23CB99C4">
      <w:pPr>
        <w:pStyle w:val="54"/>
        <w:ind w:firstLine="0" w:firstLineChars="0"/>
        <w:jc w:val="center"/>
        <w:rPr>
          <w:rFonts w:hint="eastAsia"/>
        </w:rPr>
      </w:pPr>
      <w:r>
        <w:rPr>
          <w:rFonts w:ascii="Times New Roman" w:hAnsi="Times New Roman" w:cs="Times New Roman"/>
          <w:b/>
          <w:bCs/>
          <w:sz w:val="21"/>
          <w:szCs w:val="21"/>
          <w:lang w:val="en-US"/>
        </w:rPr>
        <w:t>图3.</w:t>
      </w:r>
      <w:r>
        <w:rPr>
          <w:rFonts w:hint="eastAsia" w:ascii="Times New Roman" w:hAnsi="Times New Roman" w:cs="Times New Roman"/>
          <w:b/>
          <w:bCs/>
          <w:sz w:val="21"/>
          <w:szCs w:val="21"/>
          <w:lang w:val="en-US"/>
        </w:rPr>
        <w:t>1</w:t>
      </w:r>
      <w:r>
        <w:rPr>
          <w:rFonts w:ascii="Times New Roman" w:hAnsi="Times New Roman" w:cs="Times New Roman"/>
          <w:b/>
          <w:bCs/>
          <w:sz w:val="21"/>
          <w:szCs w:val="21"/>
          <w:lang w:val="en-US"/>
        </w:rPr>
        <w:t>-</w:t>
      </w:r>
      <w:r>
        <w:rPr>
          <w:rFonts w:hint="eastAsia" w:ascii="Times New Roman" w:hAnsi="Times New Roman" w:cs="Times New Roman"/>
          <w:b/>
          <w:bCs/>
          <w:sz w:val="21"/>
          <w:szCs w:val="21"/>
          <w:lang w:val="en-US"/>
        </w:rPr>
        <w:t xml:space="preserve">5    </w:t>
      </w:r>
      <w:r>
        <w:rPr>
          <w:rFonts w:ascii="Times New Roman" w:hAnsi="Times New Roman" w:cs="Times New Roman"/>
          <w:b/>
          <w:bCs/>
          <w:sz w:val="21"/>
          <w:szCs w:val="21"/>
          <w:lang w:val="en-US"/>
        </w:rPr>
        <w:t xml:space="preserve"> 2#厂区平面布置图</w:t>
      </w:r>
    </w:p>
    <w:p w14:paraId="4ED04351">
      <w:pPr>
        <w:spacing w:before="79"/>
        <w:rPr>
          <w:lang w:bidi="zh-CN"/>
        </w:rPr>
        <w:sectPr>
          <w:pgSz w:w="16838" w:h="11906" w:orient="landscape"/>
          <w:pgMar w:top="1440" w:right="1800" w:bottom="1440" w:left="1800" w:header="851" w:footer="992" w:gutter="0"/>
          <w:cols w:space="0" w:num="1"/>
          <w:docGrid w:type="lines" w:linePitch="319" w:charSpace="0"/>
        </w:sectPr>
      </w:pPr>
    </w:p>
    <w:p w14:paraId="39CD02BA">
      <w:pPr>
        <w:pStyle w:val="4"/>
        <w:spacing w:line="360" w:lineRule="auto"/>
        <w:jc w:val="left"/>
        <w:rPr>
          <w:rFonts w:ascii="Times New Roman" w:hAnsi="Times New Roman" w:eastAsia="宋体"/>
          <w:color w:val="auto"/>
        </w:rPr>
      </w:pPr>
      <w:bookmarkStart w:id="113" w:name="_Toc239274269"/>
      <w:r>
        <w:rPr>
          <w:rFonts w:ascii="Times New Roman" w:hAnsi="Times New Roman" w:eastAsia="宋体"/>
          <w:color w:val="auto"/>
        </w:rPr>
        <w:t>3.</w:t>
      </w:r>
      <w:r>
        <w:rPr>
          <w:rFonts w:hint="eastAsia" w:ascii="Times New Roman" w:hAnsi="Times New Roman" w:eastAsia="宋体"/>
          <w:color w:val="auto"/>
        </w:rPr>
        <w:t>2</w:t>
      </w:r>
      <w:r>
        <w:rPr>
          <w:rFonts w:ascii="Times New Roman" w:hAnsi="Times New Roman" w:eastAsia="宋体"/>
          <w:color w:val="auto"/>
        </w:rPr>
        <w:t>项目工艺流程及产排污节点</w:t>
      </w:r>
      <w:bookmarkEnd w:id="113"/>
    </w:p>
    <w:p w14:paraId="08EE63C1">
      <w:pPr>
        <w:pStyle w:val="5"/>
        <w:spacing w:line="360" w:lineRule="auto"/>
        <w:jc w:val="left"/>
        <w:rPr>
          <w:color w:val="auto"/>
        </w:rPr>
      </w:pPr>
      <w:r>
        <w:rPr>
          <w:color w:val="auto"/>
        </w:rPr>
        <w:t>3.</w:t>
      </w:r>
      <w:r>
        <w:rPr>
          <w:rFonts w:hint="eastAsia"/>
          <w:color w:val="auto"/>
        </w:rPr>
        <w:t>2</w:t>
      </w:r>
      <w:r>
        <w:rPr>
          <w:color w:val="auto"/>
        </w:rPr>
        <w:t>.1施工期</w:t>
      </w:r>
    </w:p>
    <w:p w14:paraId="3C758FD9">
      <w:pPr>
        <w:autoSpaceDE w:val="0"/>
        <w:autoSpaceDN w:val="0"/>
        <w:adjustRightInd w:val="0"/>
        <w:snapToGrid w:val="0"/>
        <w:spacing w:before="0" w:beforeLines="0" w:line="360" w:lineRule="auto"/>
        <w:ind w:firstLine="480" w:firstLineChars="200"/>
        <w:jc w:val="left"/>
        <w:textAlignment w:val="bottom"/>
        <w:rPr>
          <w:sz w:val="24"/>
        </w:rPr>
      </w:pPr>
      <w:r>
        <w:rPr>
          <w:sz w:val="24"/>
        </w:rPr>
        <w:t>本项目施工期为6个月，主要工作内容为场地平整、</w:t>
      </w:r>
      <w:r>
        <w:rPr>
          <w:rFonts w:hint="eastAsia"/>
          <w:sz w:val="24"/>
        </w:rPr>
        <w:t>基础施工、</w:t>
      </w:r>
      <w:r>
        <w:rPr>
          <w:sz w:val="24"/>
        </w:rPr>
        <w:t>厂房建设、设备安装等。施工人数约为30人。</w:t>
      </w:r>
      <w:r>
        <w:rPr>
          <w:rFonts w:hint="eastAsia"/>
          <w:sz w:val="24"/>
        </w:rPr>
        <w:t>施工期主要工艺过程见图3.2-1，施工期主要影响如下：</w:t>
      </w:r>
    </w:p>
    <w:p w14:paraId="06F46840">
      <w:pPr>
        <w:autoSpaceDE w:val="0"/>
        <w:autoSpaceDN w:val="0"/>
        <w:adjustRightInd w:val="0"/>
        <w:snapToGrid w:val="0"/>
        <w:spacing w:before="0" w:beforeLines="0" w:line="360" w:lineRule="auto"/>
        <w:jc w:val="left"/>
        <w:textAlignment w:val="bottom"/>
        <w:rPr>
          <w:sz w:val="24"/>
        </w:rPr>
      </w:pPr>
      <w:r>
        <w:rPr>
          <w:sz w:val="24"/>
        </w:rPr>
        <mc:AlternateContent>
          <mc:Choice Requires="wps">
            <w:drawing>
              <wp:anchor distT="0" distB="0" distL="114300" distR="114300" simplePos="0" relativeHeight="251705344" behindDoc="0" locked="0" layoutInCell="1" allowOverlap="1">
                <wp:simplePos x="0" y="0"/>
                <wp:positionH relativeFrom="margin">
                  <wp:posOffset>4385945</wp:posOffset>
                </wp:positionH>
                <wp:positionV relativeFrom="paragraph">
                  <wp:posOffset>37465</wp:posOffset>
                </wp:positionV>
                <wp:extent cx="828675" cy="285750"/>
                <wp:effectExtent l="0" t="0" r="28575" b="19050"/>
                <wp:wrapNone/>
                <wp:docPr id="1288495333" name="文本框 51"/>
                <wp:cNvGraphicFramePr/>
                <a:graphic xmlns:a="http://schemas.openxmlformats.org/drawingml/2006/main">
                  <a:graphicData uri="http://schemas.microsoft.com/office/word/2010/wordprocessingShape">
                    <wps:wsp>
                      <wps:cNvSpPr txBox="1"/>
                      <wps:spPr>
                        <a:xfrm>
                          <a:off x="0" y="0"/>
                          <a:ext cx="828675" cy="285750"/>
                        </a:xfrm>
                        <a:prstGeom prst="rect">
                          <a:avLst/>
                        </a:prstGeom>
                        <a:solidFill>
                          <a:schemeClr val="lt1"/>
                        </a:solidFill>
                        <a:ln w="6350">
                          <a:solidFill>
                            <a:prstClr val="black"/>
                          </a:solidFill>
                        </a:ln>
                      </wps:spPr>
                      <wps:txbx>
                        <w:txbxContent>
                          <w:p w14:paraId="33164CD7">
                            <w:pPr>
                              <w:snapToGrid w:val="0"/>
                              <w:spacing w:before="0" w:beforeLines="0" w:line="240" w:lineRule="auto"/>
                              <w:jc w:val="center"/>
                            </w:pPr>
                            <w:r>
                              <w:rPr>
                                <w:rFonts w:hint="eastAsia"/>
                              </w:rPr>
                              <w:t>投入使用</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51" o:spid="_x0000_s1026" o:spt="202" type="#_x0000_t202" style="position:absolute;left:0pt;margin-left:345.35pt;margin-top:2.95pt;height:22.5pt;width:65.25pt;mso-position-horizontal-relative:margin;z-index:251705344;mso-width-relative:page;mso-height-relative:page;" fillcolor="#FFFFFF [3201]" filled="t" stroked="t" coordsize="21600,21600" o:gfxdata="UEsDBAoAAAAAAIdO4kAAAAAAAAAAAAAAAAAEAAAAZHJzL1BLAwQUAAAACACHTuJAzyEO59UAAAAI&#10;AQAADwAAAGRycy9kb3ducmV2LnhtbE2PwU7DMBBE70j8g7WVuFE7qQhNiFMJJCTEjZILNzfeJlHt&#10;dRS7Tfl7lhMcRzOaeVPvrt6JC85xDKQhWysQSF2wI/Ua2s/X+y2ImAxZ4wKhhm+MsGtub2pT2bDQ&#10;B172qRdcQrEyGoaUpkrK2A3oTVyHCYm9Y5i9SSznXtrZLFzuncyVKqQ3I/HCYCZ8GbA77c9ew1vx&#10;nL6wte92k2/C0spuPrqo9d0qU08gEl7TXxh+8RkdGmY6hDPZKJyGolSPHNXwUIJgf5tnOYgDa1WC&#10;bGr5/0DzA1BLAwQUAAAACACHTuJAv4hdo2ECAADABAAADgAAAGRycy9lMm9Eb2MueG1srVTNbhMx&#10;EL4j8Q6W72Tz3zTKpgqtgpAqWikgzo7Xm7WwPcZ2slsegL4BJy7cea48B2NvkpaWQw/k4Mx4xt/M&#10;fDOzs4tGK7ITzkswOe11upQIw6GQZpPTTx+XbyaU+MBMwRQYkdM74enF/PWrWW2nog8VqEI4giDG&#10;T2ub0yoEO80yzyuhme+AFQaNJTjNAqpukxWO1YiuVdbvdsdZDa6wDrjwHm+vWiM9ILqXAEJZSi6u&#10;gG+1MKFFdUKxgCX5SlpP5ynbshQ83JSlF4GonGKlIZ0YBOV1PLP5jE03jtlK8kMK7CUpPKlJM2kw&#10;6AnqigVGtk4+g9KSO/BQhg4HnbWFJEawil73CTerilmRakGqvT2R7v8fLP+wu3VEFjgJ/clkeD4a&#10;DAaUGKax8/sf9/ufv/e/vpNRLxJVWz9F/5XFF6F5Cw0+Ot57vIz1N6XT8R8rI2hHmu9ONIsmEI6X&#10;k/5kfDaihKOpPxmdjVIbsofH1vnwToAmUcipwy4mctnu2gdMBF2PLjGWByWLpVQqKW6zvlSO7Bh2&#10;fJl+MUd88pebMqTO6XiAsZ9BROwTxFox/uU5AuIpg7CRk7b2KIVm3RyIWkNxhzw5aEfOW76UiHvN&#10;fLhlDmcMqcEtDDd4lAowGThIlFTgvv3rPvpj69FKSY0zm1P/dcucoES9NzgU573hMA55Uoajsz4q&#10;7rFl/dhitvoSkKQe7rvlSYz+QR3F0oH+jMu6iFHRxAzH2DkNR/EytJuEy87FYpGccKwtC9dmZXmE&#10;juQaWGwDlDK1LtLUcnNgDwc7teewhHFzHuvJ6+HDM/8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zyEO59UAAAAIAQAADwAAAAAAAAABACAAAAAiAAAAZHJzL2Rvd25yZXYueG1sUEsBAhQAFAAAAAgA&#10;h07iQL+IXaNhAgAAwAQAAA4AAAAAAAAAAQAgAAAAJAEAAGRycy9lMm9Eb2MueG1sUEsFBgAAAAAG&#10;AAYAWQEAAPcFAAAAAA==&#10;">
                <v:fill on="t" focussize="0,0"/>
                <v:stroke weight="0.5pt" color="#000000" joinstyle="round"/>
                <v:imagedata o:title=""/>
                <o:lock v:ext="edit" aspectratio="f"/>
                <v:textbox>
                  <w:txbxContent>
                    <w:p w14:paraId="33164CD7">
                      <w:pPr>
                        <w:snapToGrid w:val="0"/>
                        <w:spacing w:before="0" w:beforeLines="0" w:line="240" w:lineRule="auto"/>
                        <w:jc w:val="center"/>
                      </w:pPr>
                      <w:r>
                        <w:rPr>
                          <w:rFonts w:hint="eastAsia"/>
                        </w:rPr>
                        <w:t>投入使用</w:t>
                      </w:r>
                    </w:p>
                  </w:txbxContent>
                </v:textbox>
              </v:shape>
            </w:pict>
          </mc:Fallback>
        </mc:AlternateContent>
      </w:r>
      <w:r>
        <w:rPr>
          <w:sz w:val="24"/>
        </w:rPr>
        <mc:AlternateContent>
          <mc:Choice Requires="wps">
            <w:drawing>
              <wp:anchor distT="0" distB="0" distL="114300" distR="114300" simplePos="0" relativeHeight="251709440" behindDoc="0" locked="0" layoutInCell="1" allowOverlap="1">
                <wp:simplePos x="0" y="0"/>
                <wp:positionH relativeFrom="column">
                  <wp:posOffset>4133850</wp:posOffset>
                </wp:positionH>
                <wp:positionV relativeFrom="paragraph">
                  <wp:posOffset>196850</wp:posOffset>
                </wp:positionV>
                <wp:extent cx="252095" cy="0"/>
                <wp:effectExtent l="0" t="76200" r="15240" b="95250"/>
                <wp:wrapNone/>
                <wp:docPr id="1945599409" name="直接箭头连接符 53"/>
                <wp:cNvGraphicFramePr/>
                <a:graphic xmlns:a="http://schemas.openxmlformats.org/drawingml/2006/main">
                  <a:graphicData uri="http://schemas.microsoft.com/office/word/2010/wordprocessingShape">
                    <wps:wsp>
                      <wps:cNvCnPr/>
                      <wps:spPr>
                        <a:xfrm flipV="1">
                          <a:off x="0" y="0"/>
                          <a:ext cx="2520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直接箭头连接符 53" o:spid="_x0000_s1026" o:spt="32" type="#_x0000_t32" style="position:absolute;left:0pt;flip:y;margin-left:325.5pt;margin-top:15.5pt;height:0pt;width:19.85pt;z-index:251709440;mso-width-relative:page;mso-height-relative:page;" filled="f" stroked="t" coordsize="21600,21600" o:gfxdata="UEsDBAoAAAAAAIdO4kAAAAAAAAAAAAAAAAAEAAAAZHJzL1BLAwQUAAAACACHTuJAP6U3C9gAAAAJ&#10;AQAADwAAAGRycy9kb3ducmV2LnhtbE2PwU7DMBBE70j9B2srcalaO0UEGuL0UEAgIVWl5QNce0ki&#10;7HUUu034e1xxgNNqd0azb8r16Cw7Yx9aTxKyhQCGpL1pqZbwcXie3wMLUZFR1hNK+MYA62pyVarC&#10;+IHe8byPNUshFAoloYmxKzgPukGnwsJ3SEn79L1TMa19zU2vhhTuLF8KkXOnWkofGtXhpkH9tT85&#10;CSN/Wr2KmX55pLdhabTd7jbDTMrraSYegEUc458ZLvgJHarEdPQnMoFZCfltlrpECTeXmQz5StwB&#10;O/4eeFXy/w2qH1BLAwQUAAAACACHTuJANLQWRRMCAAD0AwAADgAAAGRycy9lMm9Eb2MueG1srVNL&#10;jhMxEN0jcQfLe9KZT0aTVjqzSBg2CCLx2Vfc7m5L/snlSSeX4AJIrIAVw2r2nAaGY1B2ZwIMm1nQ&#10;C6vs6npV7/l5drE1mm1kQOVsxY9GY86kFa5Wtq34m9eXT845wwi2Bu2srPhOIr+YP340630pj13n&#10;dC0DIxCLZe8r3sXoy6JA0UkDOHJeWko2LhiItA1tUQfoCd3o4ng8Pit6F2ofnJCIdLocknyPGB4C&#10;6JpGCbl04spIGwfUIDVEooSd8sjnedqmkSK+bBqUkemKE9OYV2pC8TqtxXwGZRvAd0rsR4CHjHCP&#10;kwFlqekBagkR2FVQ/0AZJYJD18SRcKYYiGRFiMXR+J42rzrwMnMhqdEfRMf/BytebFaBqZqcMD2d&#10;TKbT0/GUMwuGbv72/c2Pd59uv15//3jz89uHFH/5zCYnSbTeY0m1C7sK+x36VUgKbJtgWKOVf0uY&#10;WRNiybZZ8t1BcrmNTNDh8YQ8QZch7lLFgJCQfMD4TDrDUlBxjAFU28WFs5bu1YUBHTbPMdIMVHhX&#10;kIqtu1Ra5+vVlvUVPzuZpD5Alm3IKhQaT7TRtpyBbuktiBjyvOi0qlN1wsHQrhc6sA0kB+Uv8adu&#10;f/2WWi8Bu+G/nBq8ZVSk56KVqfj5oRrKCEo/tTWLO09Kx6DAtlrukbWlBknhQdMUrV29y1LnczJD&#10;HmFv3OS2P/e5+vdjnf8C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P6U3C9gAAAAJAQAADwAAAAAA&#10;AAABACAAAAAiAAAAZHJzL2Rvd25yZXYueG1sUEsBAhQAFAAAAAgAh07iQDS0FkUTAgAA9AMAAA4A&#10;AAAAAAAAAQAgAAAAJwEAAGRycy9lMm9Eb2MueG1sUEsFBgAAAAAGAAYAWQEAAKwFAAAAAA==&#10;">
                <v:fill on="f" focussize="0,0"/>
                <v:stroke weight="0.5pt" color="#000000 [3213]" miterlimit="8" joinstyle="miter" endarrow="block"/>
                <v:imagedata o:title=""/>
                <o:lock v:ext="edit" aspectratio="f"/>
              </v:shape>
            </w:pict>
          </mc:Fallback>
        </mc:AlternateContent>
      </w:r>
      <w:r>
        <w:rPr>
          <w:sz w:val="24"/>
        </w:rPr>
        <mc:AlternateContent>
          <mc:Choice Requires="wps">
            <w:drawing>
              <wp:anchor distT="0" distB="0" distL="114300" distR="114300" simplePos="0" relativeHeight="251708416" behindDoc="0" locked="0" layoutInCell="1" allowOverlap="1">
                <wp:simplePos x="0" y="0"/>
                <wp:positionH relativeFrom="column">
                  <wp:posOffset>3034030</wp:posOffset>
                </wp:positionH>
                <wp:positionV relativeFrom="paragraph">
                  <wp:posOffset>196850</wp:posOffset>
                </wp:positionV>
                <wp:extent cx="252095" cy="0"/>
                <wp:effectExtent l="0" t="76200" r="15240" b="95250"/>
                <wp:wrapNone/>
                <wp:docPr id="1980997910" name="直接箭头连接符 53"/>
                <wp:cNvGraphicFramePr/>
                <a:graphic xmlns:a="http://schemas.openxmlformats.org/drawingml/2006/main">
                  <a:graphicData uri="http://schemas.microsoft.com/office/word/2010/wordprocessingShape">
                    <wps:wsp>
                      <wps:cNvCnPr/>
                      <wps:spPr>
                        <a:xfrm flipV="1">
                          <a:off x="0" y="0"/>
                          <a:ext cx="2520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直接箭头连接符 53" o:spid="_x0000_s1026" o:spt="32" type="#_x0000_t32" style="position:absolute;left:0pt;flip:y;margin-left:238.9pt;margin-top:15.5pt;height:0pt;width:19.85pt;z-index:251708416;mso-width-relative:page;mso-height-relative:page;" filled="f" stroked="t" coordsize="21600,21600" o:gfxdata="UEsDBAoAAAAAAIdO4kAAAAAAAAAAAAAAAAAEAAAAZHJzL1BLAwQUAAAACACHTuJAw5mc4NgAAAAJ&#10;AQAADwAAAGRycy9kb3ducmV2LnhtbE2PwU7DMBBE70j8g7VIXKrWSaEEQpweCggkJEQLH+DaSxJh&#10;r6PYbcLfs4gDHGdnNPumWk/eiSMOsQukIF9kIJBMsB01Ct7fHubXIGLSZLULhAq+MMK6Pj2pdGnD&#10;SFs87lIjuIRiqRW0KfWllNG06HVchB6JvY8weJ1YDo20gx653Du5zLIr6XVH/KHVPW5aNJ+7g1cw&#10;yfubp2xmHu/oeVxa415eN+NMqfOzPLsFkXBKf2H4wWd0qJlpHw5ko3AKLouC0ZOCi5w3cWCVFysQ&#10;+9+DrCv5f0H9DVBLAwQUAAAACACHTuJAgdYhyBECAAD0AwAADgAAAGRycy9lMm9Eb2MueG1srVNL&#10;jhMxEN0jcQfLe9JJRhmSVjqzSBg2CCLx2Ttud7cl/1TlyecSXACJFbACVrPnNDAcg7I7E2DYzIJe&#10;WGVX16t6z8/zi701bKsAtXcVHw2GnCknfa1dW/HXry4fTTnDKFwtjHeq4geF/GLx8MF8F0o19p03&#10;tQJGIA7LXah4F2MoiwJlp6zAgQ/KUbLxYEWkLbRFDWJH6NYU4+HwvNh5qAN4qRDpdNUn+RER7gPo&#10;m0ZLtfLyyioXe1RQRkSihJ0OyBd52qZRMr5oGlSRmYoT05hXakLxJq3FYi7KFkTotDyOIO4zwh1O&#10;VmhHTU9QKxEFuwL9D5TVEjz6Jg6kt0VPJCtCLEbDO9q87ERQmQtJjeEkOv4/WPl8uwama3LCbDqc&#10;zR7PRiSNE5Zu/ubd9Y+3H2++fvn+4frnt/cp/vyJTc6SaLuAJdUu3RqOOwxrSArsG7CsMTq8Icys&#10;CbFk+yz54SS52kcm6XA8IU9QR3mbKnqEhBQA41PlLUtBxTGC0G0Xl945ulcPPbrYPsNIM1DhbUEq&#10;dv5SG5Ov1zi2q/j52ST1EWTZhqxCoQ1EG13LmTAtvQUZIc+L3ug6VScchHazNMC2Ijkof4k/dfvr&#10;t9R6JbDr/8up3ltWR3ouRtuKT0/VooxCmyeuZvEQSOkIWrjWqCOycdQgKdxrmqKNrw9Z6nxOZsgj&#10;HI2b3PbnPlf/fqyLX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MOZnODYAAAACQEAAA8AAAAAAAAA&#10;AQAgAAAAIgAAAGRycy9kb3ducmV2LnhtbFBLAQIUABQAAAAIAIdO4kCB1iHIEQIAAPQDAAAOAAAA&#10;AAAAAAEAIAAAACcBAABkcnMvZTJvRG9jLnhtbFBLBQYAAAAABgAGAFkBAACqBQAAAAA=&#10;">
                <v:fill on="f" focussize="0,0"/>
                <v:stroke weight="0.5pt" color="#000000 [3213]" miterlimit="8" joinstyle="miter" endarrow="block"/>
                <v:imagedata o:title=""/>
                <o:lock v:ext="edit" aspectratio="f"/>
              </v:shape>
            </w:pict>
          </mc:Fallback>
        </mc:AlternateContent>
      </w:r>
      <w:r>
        <w:rPr>
          <w:sz w:val="24"/>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46990</wp:posOffset>
                </wp:positionV>
                <wp:extent cx="828675" cy="285750"/>
                <wp:effectExtent l="0" t="0" r="28575" b="19050"/>
                <wp:wrapNone/>
                <wp:docPr id="56581226" name="文本框 51"/>
                <wp:cNvGraphicFramePr/>
                <a:graphic xmlns:a="http://schemas.openxmlformats.org/drawingml/2006/main">
                  <a:graphicData uri="http://schemas.microsoft.com/office/word/2010/wordprocessingShape">
                    <wps:wsp>
                      <wps:cNvSpPr txBox="1"/>
                      <wps:spPr>
                        <a:xfrm>
                          <a:off x="0" y="0"/>
                          <a:ext cx="828675" cy="285750"/>
                        </a:xfrm>
                        <a:prstGeom prst="rect">
                          <a:avLst/>
                        </a:prstGeom>
                        <a:solidFill>
                          <a:schemeClr val="lt1"/>
                        </a:solidFill>
                        <a:ln w="6350">
                          <a:solidFill>
                            <a:prstClr val="black"/>
                          </a:solidFill>
                        </a:ln>
                      </wps:spPr>
                      <wps:txbx>
                        <w:txbxContent>
                          <w:p w14:paraId="0C82FB12">
                            <w:pPr>
                              <w:snapToGrid w:val="0"/>
                              <w:spacing w:before="0" w:beforeLines="0" w:line="240" w:lineRule="auto"/>
                              <w:jc w:val="center"/>
                            </w:pPr>
                            <w:r>
                              <w:rPr>
                                <w:rFonts w:hint="eastAsia"/>
                              </w:rPr>
                              <w:t>厂房建设</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51" o:spid="_x0000_s1026" o:spt="202" type="#_x0000_t202" style="position:absolute;left:0pt;margin-top:3.7pt;height:22.5pt;width:65.25pt;mso-position-horizontal:center;mso-position-horizontal-relative:margin;z-index:251703296;mso-width-relative:page;mso-height-relative:page;" fillcolor="#FFFFFF [3201]" filled="t" stroked="t" coordsize="21600,21600" o:gfxdata="UEsDBAoAAAAAAIdO4kAAAAAAAAAAAAAAAAAEAAAAZHJzL1BLAwQUAAAACACHTuJApzDOZNMAAAAF&#10;AQAADwAAAGRycy9kb3ducmV2LnhtbE2PwU7DMBBE70j8g7VI3KjdpC0oZFMJJCTEjTYXbm68TSLs&#10;dWS7Tfl73BMcRzOaeVNvL86KM4U4ekZYLhQI4s6bkXuEdv/28AQiJs1GW8+E8EMRts3tTa0r42f+&#10;pPMu9SKXcKw0wpDSVEkZu4Gcjgs/EWfv6IPTKcvQSxP0nMudlYVSG+n0yHlh0BO9DtR9704O4X3z&#10;kr6oNR+mLEo/t7ILRxsR7++W6hlEokv6C8MVP6NDk5kO/sQmCouQjySExxWIq1mqNYgDwrpYgWxq&#10;+Z+++QVQSwMEFAAAAAgAh07iQGnXP3pgAgAAvgQAAA4AAABkcnMvZTJvRG9jLnhtbK1UwW7bMAy9&#10;D9g/CLqvTrw6zYI6RdYiw4BiLZANOyuyHAuTRE1SYncfsP7BTrvsvu/qd4ySkzRrduhhPsikSD+S&#10;j6TPLzqtyEY4L8GUdHgyoEQYDpU0q5J++jh/NabEB2YqpsCIkt4JTy+mL1+ct3YicmhAVcIRBDF+&#10;0tqSNiHYSZZ53gjN/AlYYdBYg9MsoOpWWeVYi+haZflgMMpacJV1wIX3eHvVG+kW0T0HEOpacnEF&#10;fK2FCT2qE4oFLMk30no6TdnWteDhpq69CESVFCsN6cQgKC/jmU3P2WTlmG0k36bAnpPCk5o0kwaD&#10;7qGuWGBk7eQRlJbcgYc6nHDQWV9IYgSrGA6ecLNomBWpFqTa2z3p/v/B8g+bW0dkVdJiVIyHeT6i&#10;xDCNfX/4cf/w8/fDr++kGEaaWusn6L2w6B+6t9Dh8OzuPV7G6rva6fjGugjakeS7PcmiC4Tj5Tgf&#10;j84KSjia8nFxVqQmZI8fW+fDOwGaRKGkDnuYqGWbax8wEXTducRYHpSs5lKppLjV8lI5smHY73l6&#10;Yo74yV9uypC2pKPXGPsIImLvIZaK8S/HCIinDMJGTvraoxS6ZbclagnVHfLkoB84b/lcIu418+GW&#10;OZwwpAZ3MNzgUSvAZGArUdKA+/av++iPjUcrJS1ObEn91zVzghL13uBIvBmensYRT8ppcZaj4g4t&#10;y0OLWetLQJKGuO2WJzH6B7UTawf6M67qLEZFEzMcY5c07MTL0O8RrjoXs1lywqG2LFybheUROpJr&#10;YLYOUMvUukhTz82WPRzr1J7tCsa9OdST1+NvZ/oH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pzDO&#10;ZNMAAAAFAQAADwAAAAAAAAABACAAAAAiAAAAZHJzL2Rvd25yZXYueG1sUEsBAhQAFAAAAAgAh07i&#10;QGnXP3pgAgAAvgQAAA4AAAAAAAAAAQAgAAAAIgEAAGRycy9lMm9Eb2MueG1sUEsFBgAAAAAGAAYA&#10;WQEAAPQFAAAAAA==&#10;">
                <v:fill on="t" focussize="0,0"/>
                <v:stroke weight="0.5pt" color="#000000" joinstyle="round"/>
                <v:imagedata o:title=""/>
                <o:lock v:ext="edit" aspectratio="f"/>
                <v:textbox>
                  <w:txbxContent>
                    <w:p w14:paraId="0C82FB12">
                      <w:pPr>
                        <w:snapToGrid w:val="0"/>
                        <w:spacing w:before="0" w:beforeLines="0" w:line="240" w:lineRule="auto"/>
                        <w:jc w:val="center"/>
                      </w:pPr>
                      <w:r>
                        <w:rPr>
                          <w:rFonts w:hint="eastAsia"/>
                        </w:rPr>
                        <w:t>厂房建设</w:t>
                      </w:r>
                    </w:p>
                  </w:txbxContent>
                </v:textbox>
              </v:shape>
            </w:pict>
          </mc:Fallback>
        </mc:AlternateContent>
      </w:r>
      <w:r>
        <w:rPr>
          <w:sz w:val="24"/>
        </w:rPr>
        <mc:AlternateContent>
          <mc:Choice Requires="wps">
            <w:drawing>
              <wp:anchor distT="0" distB="0" distL="114300" distR="114300" simplePos="0" relativeHeight="251707392" behindDoc="0" locked="0" layoutInCell="1" allowOverlap="1">
                <wp:simplePos x="0" y="0"/>
                <wp:positionH relativeFrom="column">
                  <wp:posOffset>1944370</wp:posOffset>
                </wp:positionH>
                <wp:positionV relativeFrom="paragraph">
                  <wp:posOffset>201930</wp:posOffset>
                </wp:positionV>
                <wp:extent cx="252095" cy="0"/>
                <wp:effectExtent l="0" t="76200" r="15240" b="95250"/>
                <wp:wrapNone/>
                <wp:docPr id="1580434529" name="直接箭头连接符 53"/>
                <wp:cNvGraphicFramePr/>
                <a:graphic xmlns:a="http://schemas.openxmlformats.org/drawingml/2006/main">
                  <a:graphicData uri="http://schemas.microsoft.com/office/word/2010/wordprocessingShape">
                    <wps:wsp>
                      <wps:cNvCnPr/>
                      <wps:spPr>
                        <a:xfrm flipV="1">
                          <a:off x="0" y="0"/>
                          <a:ext cx="2520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直接箭头连接符 53" o:spid="_x0000_s1026" o:spt="32" type="#_x0000_t32" style="position:absolute;left:0pt;flip:y;margin-left:153.1pt;margin-top:15.9pt;height:0pt;width:19.85pt;z-index:251707392;mso-width-relative:page;mso-height-relative:page;" filled="f" stroked="t" coordsize="21600,21600" o:gfxdata="UEsDBAoAAAAAAIdO4kAAAAAAAAAAAAAAAAAEAAAAZHJzL1BLAwQUAAAACACHTuJAQ+z7mNgAAAAJ&#10;AQAADwAAAGRycy9kb3ducmV2LnhtbE2PwU7DMBBE70j8g7VIXCpqJ4WqDXF6KCCQkBC0fIAbL0mE&#10;vY5itwl/zyIOcNvdGc2+KTeTd+KEQ+wCacjmCgRSHWxHjYb3/cPVCkRMhqxxgVDDF0bYVOdnpSls&#10;GOkNT7vUCA6hWBgNbUp9IWWsW/QmzkOPxNpHGLxJvA6NtIMZOdw7mSu1lN50xB9a0+O2xfpzd/Qa&#10;Jnm/flKz+vGOnsfc1u7ldTvOtL68yNQtiIRT+jPDDz6jQ8VMh3AkG4XTsFDLnK08ZFyBDYvrmzWI&#10;w+9BVqX836D6BlBLAwQUAAAACACHTuJAh6JH+RMCAAD0AwAADgAAAGRycy9lMm9Eb2MueG1srVO9&#10;jhMxEO6ReAfLPdlccjkdq2yuSDgaBJH46Sde764l/2nsyyYvwQsgUQEVUF3P08DxGIy9uQBHcwVb&#10;WGPPzjfzff48v9gZzbYSg3K24iejMWfSClcr21b89avLR+echQi2Bu2srPheBn6xePhg3vtSTlzn&#10;dC2REYgNZe8r3sXoy6IIopMGwsh5aSnZODQQaYttUSP0hG50MRmPz4reYe3RCRkCna6GJD8g4n0A&#10;XdMoIVdOXBlp44CKUkMkSqFTPvBFnrZppIgvmibIyHTFiWnMKzWheJPWYjGHskXwnRKHEeA+I9zh&#10;ZEBZanqEWkEEdoXqHyijBLrgmjgSzhQDkawIsTgZ39HmZQdeZi4kdfBH0cP/gxXPt2tkqiYnzM7H&#10;p9PT2eQxZxYM3fzNu+sfbz/efP3y/cP1z2/vU/z5E5tNk2i9DyXVLu0aD7vg15gU2DVoWKOVf0OY&#10;WRNiyXZZ8v1RcrmLTNDhZEaeoMsQt6liQEhIHkN8Kp1hKah4iAiq7eLSWUv36nBAh+2zEGkGKrwt&#10;SMXWXSqt8/Vqy/qKn01nqQ+QZRuyCoXGE+1gW85At/QWRMQ8b3Ba1ak64QRsN0uNbAvJQflL/Knb&#10;X7+l1isI3fBfTg3eMirSc9HKVPz8WA1lBKWf2JrFvSelIyqwrZYHZG2pQVJ40DRFG1fvs9T5nMyQ&#10;RzgYN7ntz32u/v1YF7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Q+z7mNgAAAAJAQAADwAAAAAA&#10;AAABACAAAAAiAAAAZHJzL2Rvd25yZXYueG1sUEsBAhQAFAAAAAgAh07iQIeiR/kTAgAA9AMAAA4A&#10;AAAAAAAAAQAgAAAAJwEAAGRycy9lMm9Eb2MueG1sUEsFBgAAAAAGAAYAWQEAAKwFAAAAAA==&#10;">
                <v:fill on="f" focussize="0,0"/>
                <v:stroke weight="0.5pt" color="#000000 [3213]" miterlimit="8" joinstyle="miter" endarrow="block"/>
                <v:imagedata o:title=""/>
                <o:lock v:ext="edit" aspectratio="f"/>
              </v:shape>
            </w:pict>
          </mc:Fallback>
        </mc:AlternateContent>
      </w:r>
      <w:r>
        <w:rPr>
          <w:sz w:val="24"/>
        </w:rPr>
        <mc:AlternateContent>
          <mc:Choice Requires="wps">
            <w:drawing>
              <wp:anchor distT="0" distB="0" distL="114300" distR="114300" simplePos="0" relativeHeight="251702272" behindDoc="0" locked="0" layoutInCell="1" allowOverlap="1">
                <wp:simplePos x="0" y="0"/>
                <wp:positionH relativeFrom="column">
                  <wp:posOffset>1109980</wp:posOffset>
                </wp:positionH>
                <wp:positionV relativeFrom="paragraph">
                  <wp:posOffset>51435</wp:posOffset>
                </wp:positionV>
                <wp:extent cx="828675" cy="285750"/>
                <wp:effectExtent l="0" t="0" r="28575" b="19050"/>
                <wp:wrapNone/>
                <wp:docPr id="452944222" name="文本框 51"/>
                <wp:cNvGraphicFramePr/>
                <a:graphic xmlns:a="http://schemas.openxmlformats.org/drawingml/2006/main">
                  <a:graphicData uri="http://schemas.microsoft.com/office/word/2010/wordprocessingShape">
                    <wps:wsp>
                      <wps:cNvSpPr txBox="1"/>
                      <wps:spPr>
                        <a:xfrm>
                          <a:off x="0" y="0"/>
                          <a:ext cx="828675" cy="285750"/>
                        </a:xfrm>
                        <a:prstGeom prst="rect">
                          <a:avLst/>
                        </a:prstGeom>
                        <a:solidFill>
                          <a:schemeClr val="lt1"/>
                        </a:solidFill>
                        <a:ln w="6350">
                          <a:solidFill>
                            <a:prstClr val="black"/>
                          </a:solidFill>
                        </a:ln>
                      </wps:spPr>
                      <wps:txbx>
                        <w:txbxContent>
                          <w:p w14:paraId="035F2045">
                            <w:pPr>
                              <w:snapToGrid w:val="0"/>
                              <w:spacing w:before="0" w:beforeLines="0" w:line="240" w:lineRule="auto"/>
                              <w:jc w:val="center"/>
                            </w:pPr>
                            <w:r>
                              <w:rPr>
                                <w:rFonts w:hint="eastAsia"/>
                              </w:rPr>
                              <w:t>基础施工</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51" o:spid="_x0000_s1026" o:spt="202" type="#_x0000_t202" style="position:absolute;left:0pt;margin-left:87.4pt;margin-top:4.05pt;height:22.5pt;width:65.25pt;z-index:251702272;mso-width-relative:page;mso-height-relative:page;" fillcolor="#FFFFFF [3201]" filled="t" stroked="t" coordsize="21600,21600" o:gfxdata="UEsDBAoAAAAAAIdO4kAAAAAAAAAAAAAAAAAEAAAAZHJzL1BLAwQUAAAACACHTuJAErj75dUAAAAI&#10;AQAADwAAAGRycy9kb3ducmV2LnhtbE2PwU7DMBBE70j8g7WVuFE7NS1ViFMJJCTEjZILNzfeJlHj&#10;dWS7Tfl7lhMcRzOaeVPtrn4UF4xpCGSgWCoQSG1wA3UGms/X+y2IlC05OwZCA9+YYFff3lS2dGGm&#10;D7zscye4hFJpDfQ5T6WUqe3R27QMExJ7xxC9zSxjJ120M5f7Ua6U2khvB+KF3k740mN72p+9gbfN&#10;c/7Cxr07vdJhbmQbj2My5m5RqCcQGa/5Lwy/+IwONTMdwplcEiPrxwdGzwa2BQj2tVprEAcDa12A&#10;rCv5/0D9A1BLAwQUAAAACACHTuJAxExWSmECAAC/BAAADgAAAGRycy9lMm9Eb2MueG1srVTBbhMx&#10;EL0j8Q+W72STJUnTKJsqtApCqmilgDg7Xm/WwvYY28lu+QD4A05cuPNd+Q7G3iQtLYceyMGZ8Yzf&#10;zLyZ2dlFqxXZCeclmIIOen1KhOFQSrMp6McPy1cTSnxgpmQKjCjonfD0Yv7yxayxU5FDDaoUjiCI&#10;8dPGFrQOwU6zzPNaaOZ7YIVBYwVOs4Cq22SlYw2ia5Xl/f44a8CV1gEX3uPtVWekB0T3HECoKsnF&#10;FfCtFiZ0qE4oFrAkX0vr6TxlW1WCh5uq8iIQVVCsNKQTg6C8jmc2n7HpxjFbS35IgT0nhUc1aSYN&#10;Bj1BXbHAyNbJJ1BacgceqtDjoLOukMQIVjHoP+JmVTMrUi1Itbcn0v3/g+Xvd7eOyLKgw1F+Phzm&#10;eU6JYRobv//xff/z9/7XNzIaRJ4a66fovrL4ILRvoMXpOd57vIzlt5XT8R8LI2hHlu9OLIs2EI6X&#10;k3wyPhtRwtGUT0Zno9SF7P6xdT68FaBJFArqsImJW7a79gETQdejS4zlQclyKZVKitusL5UjO4YN&#10;X6ZfzBGf/OWmDGkKOn6NsZ9AROwTxFox/vkpAuIpg7CRk672KIV23R6IWkN5hzw56CbOW76UiHvN&#10;fLhlDkcMqcElDDd4VAowGThIlNTgvv7rPvpj59FKSYMjW1D/ZcucoES9MzgT54PhMM54UoajsxwV&#10;99CyfmgxW30JSNIA193yJEb/oI5i5UB/wl1dxKhoYoZj7IKGo3gZukXCXedisUhOONWWhWuzsjxC&#10;R3INLLYBKplaF2nquDmwh3Od2nPYwbg4D/Xkdf/dmf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Erj75dUAAAAIAQAADwAAAAAAAAABACAAAAAiAAAAZHJzL2Rvd25yZXYueG1sUEsBAhQAFAAAAAgA&#10;h07iQMRMVkphAgAAvwQAAA4AAAAAAAAAAQAgAAAAJAEAAGRycy9lMm9Eb2MueG1sUEsFBgAAAAAG&#10;AAYAWQEAAPcFAAAAAA==&#10;">
                <v:fill on="t" focussize="0,0"/>
                <v:stroke weight="0.5pt" color="#000000" joinstyle="round"/>
                <v:imagedata o:title=""/>
                <o:lock v:ext="edit" aspectratio="f"/>
                <v:textbox>
                  <w:txbxContent>
                    <w:p w14:paraId="035F2045">
                      <w:pPr>
                        <w:snapToGrid w:val="0"/>
                        <w:spacing w:before="0" w:beforeLines="0" w:line="240" w:lineRule="auto"/>
                        <w:jc w:val="center"/>
                      </w:pPr>
                      <w:r>
                        <w:rPr>
                          <w:rFonts w:hint="eastAsia"/>
                        </w:rPr>
                        <w:t>基础施工</w:t>
                      </w:r>
                    </w:p>
                  </w:txbxContent>
                </v:textbox>
              </v:shape>
            </w:pict>
          </mc:Fallback>
        </mc:AlternateContent>
      </w:r>
      <w:r>
        <w:rPr>
          <w:sz w:val="24"/>
        </w:rPr>
        <mc:AlternateContent>
          <mc:Choice Requires="wps">
            <w:drawing>
              <wp:anchor distT="0" distB="0" distL="114300" distR="114300" simplePos="0" relativeHeight="251706368" behindDoc="0" locked="0" layoutInCell="1" allowOverlap="1">
                <wp:simplePos x="0" y="0"/>
                <wp:positionH relativeFrom="column">
                  <wp:posOffset>840105</wp:posOffset>
                </wp:positionH>
                <wp:positionV relativeFrom="paragraph">
                  <wp:posOffset>203200</wp:posOffset>
                </wp:positionV>
                <wp:extent cx="252095" cy="0"/>
                <wp:effectExtent l="0" t="76200" r="15240" b="95250"/>
                <wp:wrapNone/>
                <wp:docPr id="241307900" name="直接箭头连接符 53"/>
                <wp:cNvGraphicFramePr/>
                <a:graphic xmlns:a="http://schemas.openxmlformats.org/drawingml/2006/main">
                  <a:graphicData uri="http://schemas.microsoft.com/office/word/2010/wordprocessingShape">
                    <wps:wsp>
                      <wps:cNvCnPr/>
                      <wps:spPr>
                        <a:xfrm flipV="1">
                          <a:off x="0" y="0"/>
                          <a:ext cx="2520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直接箭头连接符 53" o:spid="_x0000_s1026" o:spt="32" type="#_x0000_t32" style="position:absolute;left:0pt;flip:y;margin-left:66.15pt;margin-top:16pt;height:0pt;width:19.85pt;z-index:251706368;mso-width-relative:page;mso-height-relative:page;" filled="f" stroked="t" coordsize="21600,21600" o:gfxdata="UEsDBAoAAAAAAIdO4kAAAAAAAAAAAAAAAAAEAAAAZHJzL1BLAwQUAAAACACHTuJASIi3+tYAAAAJ&#10;AQAADwAAAGRycy9kb3ducmV2LnhtbE2PzU7DMBCE70i8g7VIXCpqN5H4CXF6KCCQkBC0fQDXXpKI&#10;eB3FbhPeno04wG1ndzT7TbmefCdOOMQ2kIbVUoFAssG1VGvY756ubkHEZMiZLhBq+MYI6+r8rDSF&#10;CyN94GmbasEhFAujoUmpL6SMtkFv4jL0SHz7DIM3ieVQSzeYkcN9JzOlrqU3LfGHxvS4adB+bY9e&#10;wyQf717Uwj4/0OuYOdu9vW/GhdaXFyt1DyLhlP7MMOMzOlTMdAhHclF0rPMsZ6uGPONOs+FmHg6/&#10;C1mV8n+D6gdQSwMEFAAAAAgAh07iQHnQJLwRAgAA8wMAAA4AAABkcnMvZTJvRG9jLnhtbK1TS44T&#10;MRDdI3EHy3vSnYQMQyudWSQMGwQj8dlX3O5uS/7J5cnnElwAiRWwAlaz5zQwHIOyOxNg2MyCXlhl&#10;V9eres/P87Od0WwjAypnaz4elZxJK1yjbFfz16/OH5xyhhFsA9pZWfO9RH62uH9vvvWVnLje6UYG&#10;RiAWq62veR+jr4oCRS8N4Mh5aSnZumAg0jZ0RRNgS+hGF5OyPCm2LjQ+OCER6XQ1JPkBMdwF0LWt&#10;EnLlxKWRNg6oQWqIRAl75ZEv8rRtK0V80bYoI9M1J6Yxr9SE4nVai8Ucqi6A75U4jAB3GeEWJwPK&#10;UtMj1AoisMug/oEySgSHro0j4UwxEMmKEItxeUublz14mbmQ1OiPouP/gxXPNxeBqabmk4fjafno&#10;cUnKWDB08dfvrn68/Xj99cv3D1c/v71P8edPbDZNmm09VlS6tBfhsEN/EZIAuzYY1mrl35C5siRE&#10;ku2y4vuj4nIXmaDDyYwsQR3FTaoYEBKSDxifSmdYCmqOMYDq+rh01tK1ujCgw+YZRpqBCm8KUrF1&#10;50rrfLvasm3NT6az1AfIsS05hULjiTXajjPQHT0FEUOeF51WTapOOBi69VIHtoFkoPwl/tTtr99S&#10;6xVgP/yXU4O1jIr0WrQyNT89VkMVQekntmFx70npGBTYTssDsrbUICk8aJqitWv2Wep8Tl7IIxx8&#10;m8z25z5X/36ri1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IiLf61gAAAAkBAAAPAAAAAAAAAAEA&#10;IAAAACIAAABkcnMvZG93bnJldi54bWxQSwECFAAUAAAACACHTuJAedAkvBECAADzAwAADgAAAAAA&#10;AAABACAAAAAlAQAAZHJzL2Uyb0RvYy54bWxQSwUGAAAAAAYABgBZAQAAqAUAAAAA&#10;">
                <v:fill on="f" focussize="0,0"/>
                <v:stroke weight="0.5pt" color="#000000 [3213]" miterlimit="8" joinstyle="miter" endarrow="block"/>
                <v:imagedata o:title=""/>
                <o:lock v:ext="edit" aspectratio="f"/>
              </v:shape>
            </w:pict>
          </mc:Fallback>
        </mc:AlternateContent>
      </w:r>
      <w:r>
        <w:rPr>
          <w:sz w:val="24"/>
        </w:rPr>
        <mc:AlternateContent>
          <mc:Choice Requires="wps">
            <w:drawing>
              <wp:anchor distT="0" distB="0" distL="114300" distR="114300" simplePos="0" relativeHeight="251701248" behindDoc="0" locked="0" layoutInCell="1" allowOverlap="1">
                <wp:simplePos x="0" y="0"/>
                <wp:positionH relativeFrom="column">
                  <wp:posOffset>20955</wp:posOffset>
                </wp:positionH>
                <wp:positionV relativeFrom="paragraph">
                  <wp:posOffset>50165</wp:posOffset>
                </wp:positionV>
                <wp:extent cx="828675" cy="285750"/>
                <wp:effectExtent l="0" t="0" r="28575" b="19050"/>
                <wp:wrapNone/>
                <wp:docPr id="397655695" name="文本框 51"/>
                <wp:cNvGraphicFramePr/>
                <a:graphic xmlns:a="http://schemas.openxmlformats.org/drawingml/2006/main">
                  <a:graphicData uri="http://schemas.microsoft.com/office/word/2010/wordprocessingShape">
                    <wps:wsp>
                      <wps:cNvSpPr txBox="1"/>
                      <wps:spPr>
                        <a:xfrm>
                          <a:off x="0" y="0"/>
                          <a:ext cx="828675" cy="285750"/>
                        </a:xfrm>
                        <a:prstGeom prst="rect">
                          <a:avLst/>
                        </a:prstGeom>
                        <a:solidFill>
                          <a:schemeClr val="lt1"/>
                        </a:solidFill>
                        <a:ln w="6350">
                          <a:solidFill>
                            <a:prstClr val="black"/>
                          </a:solidFill>
                        </a:ln>
                      </wps:spPr>
                      <wps:txbx>
                        <w:txbxContent>
                          <w:p w14:paraId="0B47F561">
                            <w:pPr>
                              <w:snapToGrid w:val="0"/>
                              <w:spacing w:before="0" w:beforeLines="0" w:line="240" w:lineRule="auto"/>
                              <w:jc w:val="center"/>
                            </w:pPr>
                            <w:r>
                              <w:rPr>
                                <w:rFonts w:hint="eastAsia"/>
                              </w:rPr>
                              <w:t>平整场地</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51" o:spid="_x0000_s1026" o:spt="202" type="#_x0000_t202" style="position:absolute;left:0pt;margin-left:1.65pt;margin-top:3.95pt;height:22.5pt;width:65.25pt;z-index:251701248;mso-width-relative:page;mso-height-relative:page;" fillcolor="#FFFFFF [3201]" filled="t" stroked="t" coordsize="21600,21600" o:gfxdata="UEsDBAoAAAAAAIdO4kAAAAAAAAAAAAAAAAAEAAAAZHJzL1BLAwQUAAAACACHTuJAuq+9b9MAAAAG&#10;AQAADwAAAGRycy9kb3ducmV2LnhtbE2PwU7DMBBE70j8g7VI3KjTWBSaZlMJJCTEjZILNzfeJlHt&#10;dWS7Tfl73BMcRzOaeVNvL86KM4U4ekZYLgoQxJ03I/cI7dfbwzOImDQbbT0Twg9F2Da3N7WujJ/5&#10;k8671ItcwrHSCENKUyVl7AZyOi78RJy9gw9OpyxDL03Qcy53VpZFsZJOj5wXBj3R60DdcXdyCO+r&#10;l/RNrfkwqlR+bmUXDjYi3t8tiw2IRJf0F4YrfkaHJjPt/YlNFBZBqRxEeFqDuLpK5SN7hMdyDbKp&#10;5X/85hdQSwMEFAAAAAgAh07iQF64ucZhAgAAvwQAAA4AAABkcnMvZTJvRG9jLnhtbK1UwW7bMAy9&#10;D9g/CLqvTtI6SYM6RdYiw4BiLdANOyuyHAuTRE1SYncfsP7BTrvsvu/Kd4ySkzRrduhhOSikSD2S&#10;j6QvLlutyFo4L8EUtH/So0QYDqU0y4J++jh/M6bEB2ZKpsCIgj4ITy+nr19dNHYiBlCDKoUjCGL8&#10;pLEFrUOwkyzzvBaa+ROwwqCxAqdZQNUts9KxBtG1yga93jBrwJXWARfe4+11Z6RbRPcSQKgqycU1&#10;8JUWJnSoTigWsCRfS+vpNGVbVYKH26ryIhBVUKw0pBODoLyIZza9YJOlY7aWfJsCe0kKz2rSTBoM&#10;uoe6ZoGRlZNHUFpyBx6qcMJBZ10hiRGsot97xs19zaxItSDV3u5J9/8Pln9Y3zkiy4Keno+GeT48&#10;zykxTGPjNz8eNz9/b359J3k/8tRYP0H3e4sPQvsWWpye3b3Hy1h+Wzkd/7EwgnZk+WHPsmgD4Xg5&#10;HoyHI4zC0TQY56M8dSF7emydD+8EaBKFgjpsYuKWrW98wETQdecSY3lQspxLpZLilosr5ciaYcPn&#10;6RdzxCd/uSlDmoIOTzH2EUTE3kMsFONfjhEQTxmEjZx0tUcptIt2S9QCygfkyUE3cd7yuUTcG+bD&#10;HXM4YkgNLmG4xaNSgMnAVqKkBvftX/fRHzuPVkoaHNmC+q8r5gQl6r3BmTjvn53FGU/KWT4aoOIO&#10;LYtDi1npK0CS+rjulicx+ge1EysH+jPu6ixGRRMzHGMXNOzEq9AtEu46F7NZcsKptizcmHvLI3Qk&#10;18BsFaCSqXWRpo6bLXs416k92x2Mi3OoJ6+n7870D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Lqv&#10;vW/TAAAABgEAAA8AAAAAAAAAAQAgAAAAIgAAAGRycy9kb3ducmV2LnhtbFBLAQIUABQAAAAIAIdO&#10;4kBeuLnGYQIAAL8EAAAOAAAAAAAAAAEAIAAAACIBAABkcnMvZTJvRG9jLnhtbFBLBQYAAAAABgAG&#10;AFkBAAD1BQAAAAA=&#10;">
                <v:fill on="t" focussize="0,0"/>
                <v:stroke weight="0.5pt" color="#000000" joinstyle="round"/>
                <v:imagedata o:title=""/>
                <o:lock v:ext="edit" aspectratio="f"/>
                <v:textbox>
                  <w:txbxContent>
                    <w:p w14:paraId="0B47F561">
                      <w:pPr>
                        <w:snapToGrid w:val="0"/>
                        <w:spacing w:before="0" w:beforeLines="0" w:line="240" w:lineRule="auto"/>
                        <w:jc w:val="center"/>
                      </w:pPr>
                      <w:r>
                        <w:rPr>
                          <w:rFonts w:hint="eastAsia"/>
                        </w:rPr>
                        <w:t>平整场地</w:t>
                      </w:r>
                    </w:p>
                  </w:txbxContent>
                </v:textbox>
              </v:shape>
            </w:pict>
          </mc:Fallback>
        </mc:AlternateContent>
      </w:r>
      <w:r>
        <w:rPr>
          <w:sz w:val="24"/>
        </w:rPr>
        <mc:AlternateContent>
          <mc:Choice Requires="wps">
            <w:drawing>
              <wp:anchor distT="0" distB="0" distL="114300" distR="114300" simplePos="0" relativeHeight="251704320" behindDoc="0" locked="0" layoutInCell="1" allowOverlap="1">
                <wp:simplePos x="0" y="0"/>
                <wp:positionH relativeFrom="margin">
                  <wp:posOffset>3305810</wp:posOffset>
                </wp:positionH>
                <wp:positionV relativeFrom="paragraph">
                  <wp:posOffset>37465</wp:posOffset>
                </wp:positionV>
                <wp:extent cx="828675" cy="285750"/>
                <wp:effectExtent l="0" t="0" r="28575" b="19050"/>
                <wp:wrapNone/>
                <wp:docPr id="780399070" name="文本框 51"/>
                <wp:cNvGraphicFramePr/>
                <a:graphic xmlns:a="http://schemas.openxmlformats.org/drawingml/2006/main">
                  <a:graphicData uri="http://schemas.microsoft.com/office/word/2010/wordprocessingShape">
                    <wps:wsp>
                      <wps:cNvSpPr txBox="1"/>
                      <wps:spPr>
                        <a:xfrm>
                          <a:off x="0" y="0"/>
                          <a:ext cx="828675" cy="285750"/>
                        </a:xfrm>
                        <a:prstGeom prst="rect">
                          <a:avLst/>
                        </a:prstGeom>
                        <a:solidFill>
                          <a:schemeClr val="lt1"/>
                        </a:solidFill>
                        <a:ln w="6350">
                          <a:solidFill>
                            <a:prstClr val="black"/>
                          </a:solidFill>
                        </a:ln>
                      </wps:spPr>
                      <wps:txbx>
                        <w:txbxContent>
                          <w:p w14:paraId="6A1023CD">
                            <w:pPr>
                              <w:snapToGrid w:val="0"/>
                              <w:spacing w:before="0" w:beforeLines="0" w:line="240" w:lineRule="auto"/>
                              <w:jc w:val="center"/>
                            </w:pPr>
                            <w:r>
                              <w:rPr>
                                <w:rFonts w:hint="eastAsia"/>
                              </w:rPr>
                              <w:t>设备安装</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51" o:spid="_x0000_s1026" o:spt="202" type="#_x0000_t202" style="position:absolute;left:0pt;margin-left:260.3pt;margin-top:2.95pt;height:22.5pt;width:65.25pt;mso-position-horizontal-relative:margin;z-index:251704320;mso-width-relative:page;mso-height-relative:page;" fillcolor="#FFFFFF [3201]" filled="t" stroked="t" coordsize="21600,21600" o:gfxdata="UEsDBAoAAAAAAIdO4kAAAAAAAAAAAAAAAAAEAAAAZHJzL1BLAwQUAAAACACHTuJA/CSs89QAAAAI&#10;AQAADwAAAGRycy9kb3ducmV2LnhtbE2PwU7DMBBE70j8g7VI3KidVI1oiFMJJCTEjZJLb268TSLs&#10;dWS7Tfl7lhPcdjSj2TfN7uqduGBMUyANxUqBQOqDnWjQ0H2+PjyCSNmQNS4QavjGBLv29qYxtQ0L&#10;feBlnwfBJZRqo2HMea6lTP2I3qRVmJHYO4XoTWYZB2mjWbjcO1kqVUlvJuIPo5nxZcT+a3/2Gt6q&#10;53zAzr7bdbkOSyf7eHJJ6/u7Qj2ByHjNf2H4xWd0aJnpGM5kk3AaNqWqOMrHFgT71aYoQBxZqy3I&#10;tpH/B7Q/UEsDBBQAAAAIAIdO4kBLSsOrYQIAAL8EAAAOAAAAZHJzL2Uyb0RvYy54bWytVMFuEzEQ&#10;vSPxD5bvdJO0adKomyq0CkKqaKWAODteb9bCaxvbyW75APoHnLhw57v6HTx7k7Q0HHogB2fGM34z&#10;82Zmzy/aWpGNcF4andP+UY8SobkppF7l9NPH+ZsxJT4wXTBltMjpnfD0Yvr61XljJ2JgKqMK4QhA&#10;tJ80NqdVCHaSZZ5Xomb+yFihYSyNq1mA6lZZ4VgD9Fplg17vNGuMK6wzXHiP26vOSLeI7iWApiwl&#10;F1eGr2uhQ4fqhGIBJflKWk+nKduyFDzclKUXgaicotKQTgSBvIxnNj1nk5VjtpJ8mwJ7SQrPaqqZ&#10;1Ai6h7pigZG1kwdQteTOeFOGI27qrCskMYIq+r1n3CwqZkWqBVR7uyfd/z9Y/mFz64gscjoa947P&#10;znojMKNZjcY//Lh/+Pn74dd3MuxHnhrrJ3BfWDwI7VvTYnp29x6Xsfy2dHX8R2EEdmDd7VkWbSAc&#10;l+PB+HQ0pITDNBgPR8PUhezxsXU+vBOmJlHIqUMTE7dsc+0DEoHrziXG8kbJYi6VSopbLS+VIxuG&#10;hs/TL+aIJ3+5KU2anJ4eI/YBRMTeQywV418OEYCnNGAjJ13tUQrtst0StTTFHXhypps4b/lcAvea&#10;+XDLHEYM1GAJww2OUhkkY7YSJZVx3/51H/3ReVgpaTCyOfVf18wJStR7jZk465+cADYk5WQ4GkBx&#10;Ty3Lpxa9ri8NSOpj3S1PYvQPaieWztSfsauzGBUmpjli5zTsxMvQLRJ2nYvZLDlhqi0L13pheYSO&#10;5GozWwdTytS6SFPHzZY9zHVqz3YH4+I81ZPX43dn+g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8&#10;JKzz1AAAAAgBAAAPAAAAAAAAAAEAIAAAACIAAABkcnMvZG93bnJldi54bWxQSwECFAAUAAAACACH&#10;TuJAS0rDq2ECAAC/BAAADgAAAAAAAAABACAAAAAjAQAAZHJzL2Uyb0RvYy54bWxQSwUGAAAAAAYA&#10;BgBZAQAA9gUAAAAA&#10;">
                <v:fill on="t" focussize="0,0"/>
                <v:stroke weight="0.5pt" color="#000000" joinstyle="round"/>
                <v:imagedata o:title=""/>
                <o:lock v:ext="edit" aspectratio="f"/>
                <v:textbox>
                  <w:txbxContent>
                    <w:p w14:paraId="6A1023CD">
                      <w:pPr>
                        <w:snapToGrid w:val="0"/>
                        <w:spacing w:before="0" w:beforeLines="0" w:line="240" w:lineRule="auto"/>
                        <w:jc w:val="center"/>
                      </w:pPr>
                      <w:r>
                        <w:rPr>
                          <w:rFonts w:hint="eastAsia"/>
                        </w:rPr>
                        <w:t>设备安装</w:t>
                      </w:r>
                    </w:p>
                  </w:txbxContent>
                </v:textbox>
              </v:shape>
            </w:pict>
          </mc:Fallback>
        </mc:AlternateContent>
      </w:r>
    </w:p>
    <w:p w14:paraId="3E4D4DDE">
      <w:pPr>
        <w:autoSpaceDE w:val="0"/>
        <w:autoSpaceDN w:val="0"/>
        <w:adjustRightInd w:val="0"/>
        <w:snapToGrid w:val="0"/>
        <w:spacing w:before="0" w:beforeLines="0" w:line="360" w:lineRule="auto"/>
        <w:jc w:val="left"/>
        <w:textAlignment w:val="bottom"/>
        <w:rPr>
          <w:sz w:val="24"/>
        </w:rPr>
      </w:pPr>
    </w:p>
    <w:p w14:paraId="02C3A6EE">
      <w:pPr>
        <w:autoSpaceDE w:val="0"/>
        <w:autoSpaceDN w:val="0"/>
        <w:adjustRightInd w:val="0"/>
        <w:snapToGrid w:val="0"/>
        <w:spacing w:before="0" w:beforeLines="0" w:line="360" w:lineRule="auto"/>
        <w:ind w:firstLine="480" w:firstLineChars="200"/>
        <w:jc w:val="left"/>
        <w:textAlignment w:val="bottom"/>
        <w:rPr>
          <w:sz w:val="24"/>
        </w:rPr>
      </w:pPr>
      <w:r>
        <w:rPr>
          <w:rFonts w:hint="eastAsia"/>
          <w:sz w:val="24"/>
        </w:rPr>
        <w:t>施工期间对环境空气影响最大的是施工扬尘和施工废气。施工扬尘主要来源于各种无组织排放源，包括场地清理、土方挖掘填埋、建筑材料运输等工序。施工废气主要为施工车辆尾气。</w:t>
      </w:r>
    </w:p>
    <w:p w14:paraId="370E4A72">
      <w:pPr>
        <w:autoSpaceDE w:val="0"/>
        <w:autoSpaceDN w:val="0"/>
        <w:adjustRightInd w:val="0"/>
        <w:snapToGrid w:val="0"/>
        <w:spacing w:before="0" w:beforeLines="0" w:line="360" w:lineRule="auto"/>
        <w:ind w:firstLine="480" w:firstLineChars="200"/>
        <w:jc w:val="left"/>
        <w:textAlignment w:val="bottom"/>
        <w:rPr>
          <w:sz w:val="24"/>
        </w:rPr>
      </w:pPr>
      <w:r>
        <w:rPr>
          <w:rFonts w:hint="eastAsia"/>
          <w:sz w:val="24"/>
        </w:rPr>
        <w:t>施工废水主要是施工人员所排放的生活污水和地基开挖产生的含泥沙废水。其中，施工废水经简易沉淀池沉淀后可回用于场地洒水抑尘；施工人员的生活污水设置临时卫生间定期清掏。</w:t>
      </w:r>
    </w:p>
    <w:p w14:paraId="600EA188">
      <w:pPr>
        <w:autoSpaceDE w:val="0"/>
        <w:autoSpaceDN w:val="0"/>
        <w:adjustRightInd w:val="0"/>
        <w:snapToGrid w:val="0"/>
        <w:spacing w:before="0" w:beforeLines="0" w:line="360" w:lineRule="auto"/>
        <w:ind w:firstLine="480" w:firstLineChars="200"/>
        <w:jc w:val="left"/>
        <w:textAlignment w:val="bottom"/>
        <w:rPr>
          <w:sz w:val="24"/>
        </w:rPr>
      </w:pPr>
      <w:r>
        <w:rPr>
          <w:rFonts w:hint="eastAsia"/>
          <w:sz w:val="24"/>
        </w:rPr>
        <w:t>施工期噪声主要分为机械噪声、施工作业噪声和施工车辆噪声。机械噪声主要由施工机械所造成，如推土机、混凝土振捣器、压路机、挖掘机、电锯和摊铺机等，多为点声源；施工作业噪声主要指一些零星的敲打声、装卸车辆撞击声、拆卸模板的撞击声等，多为瞬时噪声；施工车辆的噪声属于交通噪声。</w:t>
      </w:r>
    </w:p>
    <w:p w14:paraId="33506A03">
      <w:pPr>
        <w:autoSpaceDE w:val="0"/>
        <w:autoSpaceDN w:val="0"/>
        <w:adjustRightInd w:val="0"/>
        <w:snapToGrid w:val="0"/>
        <w:spacing w:before="0" w:beforeLines="0" w:line="360" w:lineRule="auto"/>
        <w:ind w:firstLine="480" w:firstLineChars="200"/>
        <w:jc w:val="left"/>
        <w:textAlignment w:val="bottom"/>
        <w:rPr>
          <w:sz w:val="24"/>
        </w:rPr>
      </w:pPr>
      <w:r>
        <w:rPr>
          <w:rFonts w:hint="eastAsia"/>
          <w:sz w:val="24"/>
        </w:rPr>
        <w:t>施工期固体废物来自施工产生的建筑垃圾以及施工人员产生的生活垃圾。施工过程中建筑垃圾主要是砖块、灰浆、废材料等，应及时清运、加以利用，防止其因长期堆放而产生扬尘。生活垃圾与厂区内生活垃圾一同清运。</w:t>
      </w:r>
    </w:p>
    <w:p w14:paraId="273D0A46">
      <w:pPr>
        <w:pStyle w:val="5"/>
        <w:spacing w:line="360" w:lineRule="auto"/>
        <w:jc w:val="left"/>
        <w:rPr>
          <w:color w:val="auto"/>
        </w:rPr>
      </w:pPr>
      <w:r>
        <w:rPr>
          <w:color w:val="auto"/>
        </w:rPr>
        <w:t>3.</w:t>
      </w:r>
      <w:r>
        <w:rPr>
          <w:rFonts w:hint="eastAsia"/>
          <w:color w:val="auto"/>
        </w:rPr>
        <w:t>2</w:t>
      </w:r>
      <w:r>
        <w:rPr>
          <w:color w:val="auto"/>
        </w:rPr>
        <w:t>.2运营期</w:t>
      </w:r>
    </w:p>
    <w:p w14:paraId="6BBFF24C">
      <w:pPr>
        <w:autoSpaceDE w:val="0"/>
        <w:autoSpaceDN w:val="0"/>
        <w:adjustRightInd w:val="0"/>
        <w:spacing w:before="93" w:beforeLines="30" w:after="93" w:afterLines="30" w:line="360" w:lineRule="auto"/>
        <w:ind w:firstLine="480" w:firstLineChars="200"/>
        <w:jc w:val="left"/>
        <w:textAlignment w:val="bottom"/>
        <w:rPr>
          <w:sz w:val="24"/>
        </w:rPr>
      </w:pPr>
      <w:r>
        <w:rPr>
          <w:sz w:val="24"/>
        </w:rPr>
        <w:t>本项目主要利用亿升达铁选厂尾矿</w:t>
      </w:r>
      <w:r>
        <w:rPr>
          <w:rFonts w:hint="eastAsia"/>
          <w:sz w:val="24"/>
        </w:rPr>
        <w:t>及废石</w:t>
      </w:r>
      <w:r>
        <w:rPr>
          <w:sz w:val="24"/>
        </w:rPr>
        <w:t>，通过筛分、磁选、破碎等工艺生产机制砂、钒钛磁铁矿、钛铁精矿及碎石等。</w:t>
      </w:r>
      <w:r>
        <w:rPr>
          <w:rFonts w:hint="eastAsia"/>
          <w:sz w:val="24"/>
        </w:rPr>
        <w:t>项目分两个厂区建设，其中</w:t>
      </w:r>
      <w:r>
        <w:rPr>
          <w:sz w:val="24"/>
        </w:rPr>
        <w:t>机制砂生产工艺、钒钛磁铁矿生产工艺、钛铁精矿生产工艺均位于1#厂区内，碎石生产工艺位于2#厂区内，具体工艺如下：</w:t>
      </w:r>
    </w:p>
    <w:p w14:paraId="3DBF49C4">
      <w:pPr>
        <w:keepLines/>
        <w:adjustRightInd w:val="0"/>
        <w:spacing w:before="93" w:beforeLines="30" w:after="93" w:afterLines="30" w:line="360" w:lineRule="auto"/>
        <w:ind w:firstLine="482" w:firstLineChars="200"/>
        <w:rPr>
          <w:b/>
          <w:bCs/>
          <w:sz w:val="24"/>
        </w:rPr>
      </w:pPr>
      <w:bookmarkStart w:id="114" w:name="_Hlk171941405"/>
      <w:r>
        <w:rPr>
          <w:rFonts w:hint="eastAsia"/>
          <w:b/>
          <w:bCs/>
          <w:sz w:val="24"/>
        </w:rPr>
        <w:t>（1）</w:t>
      </w:r>
      <w:r>
        <w:rPr>
          <w:b/>
          <w:bCs/>
          <w:sz w:val="24"/>
        </w:rPr>
        <w:t>机制砂生产工艺</w:t>
      </w:r>
      <w:r>
        <w:rPr>
          <w:rFonts w:hint="eastAsia"/>
          <w:b/>
          <w:bCs/>
          <w:sz w:val="24"/>
        </w:rPr>
        <w:t>（</w:t>
      </w:r>
      <w:r>
        <w:rPr>
          <w:b/>
          <w:bCs/>
          <w:sz w:val="24"/>
        </w:rPr>
        <w:t>1#厂区</w:t>
      </w:r>
      <w:r>
        <w:rPr>
          <w:rFonts w:hint="eastAsia"/>
          <w:b/>
          <w:bCs/>
          <w:sz w:val="24"/>
        </w:rPr>
        <w:t>抛砂车间）</w:t>
      </w:r>
    </w:p>
    <w:p w14:paraId="68D3BEF6">
      <w:pPr>
        <w:pStyle w:val="212"/>
        <w:adjustRightInd w:val="0"/>
        <w:spacing w:before="93" w:beforeLines="30" w:after="93" w:afterLines="30"/>
        <w:ind w:firstLine="480"/>
      </w:pPr>
      <w:r>
        <w:rPr>
          <w:rFonts w:hint="eastAsia"/>
        </w:rPr>
        <w:t>尾矿及较小粒径的废石</w:t>
      </w:r>
      <w:r>
        <w:t>通过汽车运送至1#厂区内</w:t>
      </w:r>
      <w:r>
        <w:rPr>
          <w:rFonts w:hint="eastAsia"/>
        </w:rPr>
        <w:t>抛砂车间东侧原料装卸区进行卸料</w:t>
      </w:r>
      <w:r>
        <w:t>，利用铲车将物料送至</w:t>
      </w:r>
      <w:r>
        <w:rPr>
          <w:rFonts w:hint="eastAsia"/>
        </w:rPr>
        <w:t>一次</w:t>
      </w:r>
      <w:r>
        <w:t>振动筛进行一次筛分</w:t>
      </w:r>
      <w:r>
        <w:rPr>
          <w:rFonts w:hint="eastAsia"/>
        </w:rPr>
        <w:t>。</w:t>
      </w:r>
      <w:r>
        <w:t>一次筛分筛下物由</w:t>
      </w:r>
      <w:r>
        <w:rPr>
          <w:rFonts w:hint="eastAsia"/>
        </w:rPr>
        <w:t>封闭</w:t>
      </w:r>
      <w:r>
        <w:t>皮带送至</w:t>
      </w:r>
      <w:r>
        <w:rPr>
          <w:rFonts w:hint="eastAsia"/>
        </w:rPr>
        <w:t>二次</w:t>
      </w:r>
      <w:r>
        <w:t>振动筛进行二次筛分，二次筛分筛下物</w:t>
      </w:r>
      <w:r>
        <w:rPr>
          <w:szCs w:val="21"/>
        </w:rPr>
        <w:t>利用</w:t>
      </w:r>
      <w:r>
        <w:rPr>
          <w:rFonts w:hint="eastAsia"/>
          <w:szCs w:val="21"/>
        </w:rPr>
        <w:t>封闭</w:t>
      </w:r>
      <w:r>
        <w:rPr>
          <w:szCs w:val="21"/>
        </w:rPr>
        <w:t>皮带</w:t>
      </w:r>
      <w:r>
        <w:rPr>
          <w:rFonts w:hint="eastAsia"/>
        </w:rPr>
        <w:t>送至</w:t>
      </w:r>
      <w:r>
        <w:t>粗磁选机</w:t>
      </w:r>
      <w:r>
        <w:rPr>
          <w:rFonts w:hint="eastAsia"/>
        </w:rPr>
        <w:t>进行磁选</w:t>
      </w:r>
      <w:r>
        <w:rPr>
          <w:szCs w:val="21"/>
        </w:rPr>
        <w:t>，</w:t>
      </w:r>
      <w:r>
        <w:t>粗磁选机</w:t>
      </w:r>
      <w:r>
        <w:rPr>
          <w:szCs w:val="21"/>
        </w:rPr>
        <w:t>磁下物利用封闭皮带送至抛砂分离机</w:t>
      </w:r>
      <w:r>
        <w:rPr>
          <w:rFonts w:hint="eastAsia"/>
          <w:szCs w:val="21"/>
        </w:rPr>
        <w:t>进行物料分离</w:t>
      </w:r>
      <w:r>
        <w:rPr>
          <w:szCs w:val="21"/>
        </w:rPr>
        <w:t>。抛砂分离机分离出的粗料利用封闭皮带送至洗砂机，洗选后的机制砂</w:t>
      </w:r>
      <w:r>
        <w:rPr>
          <w:rFonts w:hint="eastAsia"/>
          <w:szCs w:val="21"/>
        </w:rPr>
        <w:t>通过矿山卡车送至机制砂库房暂存后</w:t>
      </w:r>
      <w:r>
        <w:rPr>
          <w:szCs w:val="21"/>
        </w:rPr>
        <w:t>外售</w:t>
      </w:r>
      <w:r>
        <w:rPr>
          <w:kern w:val="0"/>
        </w:rPr>
        <w:t>。</w:t>
      </w:r>
      <w:r>
        <w:rPr>
          <w:rFonts w:hint="eastAsia"/>
        </w:rPr>
        <w:t>一次筛分及二次</w:t>
      </w:r>
      <w:r>
        <w:t>筛分产生的筛上物由汽车运至2#厂区作为碎石生产工艺原料</w:t>
      </w:r>
      <w:r>
        <w:rPr>
          <w:rFonts w:hint="eastAsia"/>
        </w:rPr>
        <w:t>。</w:t>
      </w:r>
      <w:r>
        <w:rPr>
          <w:szCs w:val="21"/>
        </w:rPr>
        <w:t>粗磁选机磁上物</w:t>
      </w:r>
      <w:r>
        <w:rPr>
          <w:rFonts w:hint="eastAsia"/>
          <w:szCs w:val="21"/>
        </w:rPr>
        <w:t>经封闭皮带运输至</w:t>
      </w:r>
      <w:r>
        <w:rPr>
          <w:szCs w:val="21"/>
        </w:rPr>
        <w:t>一段球磨机作为生产钒钛磁铁矿原料</w:t>
      </w:r>
      <w:r>
        <w:rPr>
          <w:rFonts w:hint="eastAsia"/>
          <w:szCs w:val="21"/>
        </w:rPr>
        <w:t>。</w:t>
      </w:r>
      <w:r>
        <w:rPr>
          <w:szCs w:val="21"/>
        </w:rPr>
        <w:t>抛砂分离机</w:t>
      </w:r>
      <w:r>
        <w:t>分离出来的</w:t>
      </w:r>
      <w:r>
        <w:rPr>
          <w:rFonts w:hint="eastAsia"/>
        </w:rPr>
        <w:t>细</w:t>
      </w:r>
      <w:r>
        <w:t>料通过封闭皮带进入物料池，</w:t>
      </w:r>
      <w:r>
        <w:rPr>
          <w:szCs w:val="21"/>
        </w:rPr>
        <w:t>作为生产</w:t>
      </w:r>
      <w:r>
        <w:t>钛铁精矿原料。</w:t>
      </w:r>
    </w:p>
    <w:p w14:paraId="76D9A9CE">
      <w:pPr>
        <w:pStyle w:val="212"/>
        <w:adjustRightInd w:val="0"/>
        <w:spacing w:before="93" w:beforeLines="30" w:after="93" w:afterLines="30"/>
        <w:ind w:firstLine="480"/>
        <w:rPr>
          <w:kern w:val="0"/>
        </w:rPr>
      </w:pPr>
      <w:bookmarkStart w:id="115" w:name="OLE_LINK1"/>
      <w:r>
        <w:rPr>
          <w:rFonts w:hint="eastAsia"/>
          <w:kern w:val="0"/>
        </w:rPr>
        <w:t>综上，抛砂车间原料入库后卸料，铲车上料至一次筛分，一次筛分、二次筛分、磁选、抛砂之间物料均为封闭皮带输送，因此抛砂车间主要废气为卸料、铲车上料、封闭皮带上料以及各生产设备运行产生的粉尘。</w:t>
      </w:r>
      <w:bookmarkEnd w:id="115"/>
      <w:r>
        <w:rPr>
          <w:rFonts w:hint="eastAsia"/>
          <w:kern w:val="0"/>
        </w:rPr>
        <w:t>具体节点如下：原料卸料过程卸料无组织废气（G</w:t>
      </w:r>
      <w:r>
        <w:rPr>
          <w:kern w:val="0"/>
        </w:rPr>
        <w:fldChar w:fldCharType="begin"/>
      </w:r>
      <w:r>
        <w:rPr>
          <w:kern w:val="0"/>
        </w:rPr>
        <w:instrText xml:space="preserve"> </w:instrText>
      </w:r>
      <w:r>
        <w:rPr>
          <w:rFonts w:hint="eastAsia"/>
          <w:kern w:val="0"/>
        </w:rPr>
        <w:instrText xml:space="preserve">= 1 \* GB3</w:instrText>
      </w:r>
      <w:r>
        <w:rPr>
          <w:kern w:val="0"/>
        </w:rPr>
        <w:instrText xml:space="preserve"> </w:instrText>
      </w:r>
      <w:r>
        <w:rPr>
          <w:kern w:val="0"/>
        </w:rPr>
        <w:fldChar w:fldCharType="separate"/>
      </w:r>
      <w:r>
        <w:rPr>
          <w:rFonts w:hint="eastAsia"/>
          <w:kern w:val="0"/>
        </w:rPr>
        <w:t>①</w:t>
      </w:r>
      <w:r>
        <w:rPr>
          <w:kern w:val="0"/>
        </w:rPr>
        <w:fldChar w:fldCharType="end"/>
      </w:r>
      <w:r>
        <w:rPr>
          <w:rFonts w:hint="eastAsia"/>
          <w:kern w:val="0"/>
        </w:rPr>
        <w:t>）；铲车上料及一次筛分废气（G1），封闭皮带上料及二次筛分废气（G2），封闭皮带上料及粗磁选废气（G3），封闭皮带上料及抛砂废气（G4）；筛分工序筛上物装车无组织粉尘（G</w:t>
      </w:r>
      <w:r>
        <w:rPr>
          <w:kern w:val="0"/>
        </w:rPr>
        <w:fldChar w:fldCharType="begin"/>
      </w:r>
      <w:r>
        <w:rPr>
          <w:kern w:val="0"/>
        </w:rPr>
        <w:instrText xml:space="preserve"> </w:instrText>
      </w:r>
      <w:r>
        <w:rPr>
          <w:rFonts w:hint="eastAsia"/>
          <w:kern w:val="0"/>
        </w:rPr>
        <w:instrText xml:space="preserve">= 2 \* GB3</w:instrText>
      </w:r>
      <w:r>
        <w:rPr>
          <w:kern w:val="0"/>
        </w:rPr>
        <w:instrText xml:space="preserve"> </w:instrText>
      </w:r>
      <w:r>
        <w:rPr>
          <w:kern w:val="0"/>
        </w:rPr>
        <w:fldChar w:fldCharType="separate"/>
      </w:r>
      <w:r>
        <w:rPr>
          <w:rFonts w:hint="eastAsia"/>
          <w:kern w:val="0"/>
        </w:rPr>
        <w:t>②</w:t>
      </w:r>
      <w:r>
        <w:rPr>
          <w:kern w:val="0"/>
        </w:rPr>
        <w:fldChar w:fldCharType="end"/>
      </w:r>
      <w:r>
        <w:rPr>
          <w:rFonts w:hint="eastAsia"/>
          <w:kern w:val="0"/>
        </w:rPr>
        <w:t>）、机制砂装车无组织粉尘（G</w:t>
      </w:r>
      <w:r>
        <w:rPr>
          <w:kern w:val="0"/>
        </w:rPr>
        <w:fldChar w:fldCharType="begin"/>
      </w:r>
      <w:r>
        <w:rPr>
          <w:kern w:val="0"/>
        </w:rPr>
        <w:instrText xml:space="preserve"> </w:instrText>
      </w:r>
      <w:r>
        <w:rPr>
          <w:rFonts w:hint="eastAsia"/>
          <w:kern w:val="0"/>
        </w:rPr>
        <w:instrText xml:space="preserve">= 3 \* GB3</w:instrText>
      </w:r>
      <w:r>
        <w:rPr>
          <w:kern w:val="0"/>
        </w:rPr>
        <w:instrText xml:space="preserve"> </w:instrText>
      </w:r>
      <w:r>
        <w:rPr>
          <w:kern w:val="0"/>
        </w:rPr>
        <w:fldChar w:fldCharType="separate"/>
      </w:r>
      <w:r>
        <w:rPr>
          <w:rFonts w:hint="eastAsia"/>
          <w:kern w:val="0"/>
        </w:rPr>
        <w:t>③</w:t>
      </w:r>
      <w:r>
        <w:rPr>
          <w:kern w:val="0"/>
        </w:rPr>
        <w:fldChar w:fldCharType="end"/>
      </w:r>
      <w:r>
        <w:rPr>
          <w:rFonts w:hint="eastAsia"/>
          <w:kern w:val="0"/>
        </w:rPr>
        <w:t>）。</w:t>
      </w:r>
    </w:p>
    <w:p w14:paraId="1E51BF9B">
      <w:pPr>
        <w:pStyle w:val="212"/>
        <w:adjustRightInd w:val="0"/>
        <w:spacing w:before="93" w:beforeLines="30" w:after="93" w:afterLines="30"/>
        <w:ind w:firstLine="480"/>
      </w:pPr>
      <w:r>
        <w:rPr>
          <w:rFonts w:hint="eastAsia"/>
        </w:rPr>
        <w:t>本项目原料来源于亿升达铁选厂，原料均在企业附近，依据生产需要随用随取，不在车间内长期堆存，</w:t>
      </w:r>
      <w:r>
        <w:rPr>
          <w:rFonts w:hint="eastAsia"/>
          <w:kern w:val="0"/>
        </w:rPr>
        <w:t>抛砂车间</w:t>
      </w:r>
      <w:r>
        <w:rPr>
          <w:rFonts w:hint="eastAsia"/>
        </w:rPr>
        <w:t>原料卸车产生粉尘车间内无组织排放。抛砂车间为封闭车间，各生产设备为封闭设备，输送皮带进行封闭，生产过程中各上料点设置集气罩收集废气，封闭设备废气经集气管道收集，全部废气经对应布袋除尘器进行处理后达标排放。其中铲车上料及一次筛分产生粉尘经除尘器TA001处理后通过D</w:t>
      </w:r>
      <w:r>
        <w:t>A00</w:t>
      </w:r>
      <w:r>
        <w:rPr>
          <w:rFonts w:hint="eastAsia"/>
        </w:rPr>
        <w:t>1排气筒排放；</w:t>
      </w:r>
      <w:r>
        <w:rPr>
          <w:rFonts w:hint="eastAsia"/>
          <w:kern w:val="0"/>
        </w:rPr>
        <w:t>二次筛分产生粉尘经除尘器TA002处理后由D</w:t>
      </w:r>
      <w:r>
        <w:rPr>
          <w:kern w:val="0"/>
        </w:rPr>
        <w:t>A002</w:t>
      </w:r>
      <w:r>
        <w:rPr>
          <w:rFonts w:hint="eastAsia"/>
          <w:kern w:val="0"/>
        </w:rPr>
        <w:t>排气筒排放；粗磁选产生粉尘、抛砂分离产生粉尘除尘器TA003处理后由D</w:t>
      </w:r>
      <w:r>
        <w:rPr>
          <w:kern w:val="0"/>
        </w:rPr>
        <w:t>A00</w:t>
      </w:r>
      <w:r>
        <w:rPr>
          <w:rFonts w:hint="eastAsia"/>
          <w:kern w:val="0"/>
        </w:rPr>
        <w:t>3排气筒排放。卸料粉尘、筛分筛上物装车、机制砂装车产生粉尘机制砂库房</w:t>
      </w:r>
      <w:r>
        <w:rPr>
          <w:rFonts w:hint="eastAsia"/>
        </w:rPr>
        <w:t>内无组织排放。</w:t>
      </w:r>
    </w:p>
    <w:p w14:paraId="64A484B4">
      <w:pPr>
        <w:pStyle w:val="212"/>
        <w:adjustRightInd w:val="0"/>
        <w:spacing w:before="93" w:beforeLines="30" w:after="93" w:afterLines="30"/>
        <w:ind w:firstLine="480"/>
        <w:rPr>
          <w:kern w:val="0"/>
        </w:rPr>
      </w:pPr>
      <w:r>
        <w:rPr>
          <w:rFonts w:hint="eastAsia"/>
        </w:rPr>
        <w:t>抛砂车间废水主要为洗砂机产生的泥浆，进入浓缩罐浓缩后上清液溢流到循环水池循环使用。噪声主要为各生产设备生产过程产生的噪声。固体废物主要为生产过程收集的粉尘、废布袋等。</w:t>
      </w:r>
    </w:p>
    <w:p w14:paraId="413067CA">
      <w:pPr>
        <w:keepLines/>
        <w:adjustRightInd w:val="0"/>
        <w:spacing w:before="93" w:beforeLines="30" w:after="93" w:afterLines="30" w:line="360" w:lineRule="auto"/>
        <w:ind w:firstLine="482" w:firstLineChars="200"/>
        <w:rPr>
          <w:b/>
          <w:bCs/>
          <w:sz w:val="24"/>
        </w:rPr>
      </w:pPr>
      <w:r>
        <w:rPr>
          <w:rFonts w:hint="eastAsia"/>
          <w:b/>
          <w:bCs/>
          <w:sz w:val="24"/>
        </w:rPr>
        <w:t>（</w:t>
      </w:r>
      <w:r>
        <w:rPr>
          <w:b/>
          <w:bCs/>
          <w:sz w:val="24"/>
        </w:rPr>
        <w:t>2</w:t>
      </w:r>
      <w:r>
        <w:rPr>
          <w:rFonts w:hint="eastAsia"/>
          <w:b/>
          <w:bCs/>
          <w:sz w:val="24"/>
        </w:rPr>
        <w:t>）钒钛磁铁矿生产工艺（</w:t>
      </w:r>
      <w:r>
        <w:rPr>
          <w:b/>
          <w:bCs/>
          <w:sz w:val="24"/>
        </w:rPr>
        <w:t>1#</w:t>
      </w:r>
      <w:r>
        <w:rPr>
          <w:rFonts w:hint="eastAsia"/>
          <w:b/>
          <w:bCs/>
          <w:sz w:val="24"/>
        </w:rPr>
        <w:t>厂区内球磨车间）</w:t>
      </w:r>
    </w:p>
    <w:p w14:paraId="790A78FC">
      <w:pPr>
        <w:autoSpaceDE w:val="0"/>
        <w:autoSpaceDN w:val="0"/>
        <w:adjustRightInd w:val="0"/>
        <w:spacing w:before="93" w:beforeLines="30" w:after="93" w:afterLines="30" w:line="360" w:lineRule="auto"/>
        <w:ind w:firstLine="480" w:firstLineChars="200"/>
        <w:rPr>
          <w:kern w:val="0"/>
          <w:sz w:val="24"/>
        </w:rPr>
      </w:pPr>
      <w:r>
        <w:rPr>
          <w:sz w:val="24"/>
          <w:szCs w:val="21"/>
        </w:rPr>
        <w:t>粗磁选机的磁上物</w:t>
      </w:r>
      <w:r>
        <w:rPr>
          <w:rFonts w:hint="eastAsia"/>
          <w:sz w:val="24"/>
          <w:szCs w:val="21"/>
        </w:rPr>
        <w:t>通过封闭皮带</w:t>
      </w:r>
      <w:r>
        <w:rPr>
          <w:sz w:val="24"/>
          <w:szCs w:val="21"/>
        </w:rPr>
        <w:t>送至一段球磨机</w:t>
      </w:r>
      <w:r>
        <w:rPr>
          <w:rFonts w:hint="eastAsia"/>
          <w:sz w:val="24"/>
          <w:szCs w:val="21"/>
        </w:rPr>
        <w:t>同时加水</w:t>
      </w:r>
      <w:r>
        <w:rPr>
          <w:sz w:val="24"/>
          <w:szCs w:val="21"/>
        </w:rPr>
        <w:t>，球磨机出料粒径在30~200目之间，经封闭皮带输送至一段磁选机，一段磁选机磁上物泵入二段</w:t>
      </w:r>
      <w:r>
        <w:rPr>
          <w:kern w:val="0"/>
          <w:sz w:val="24"/>
        </w:rPr>
        <w:t>球磨机</w:t>
      </w:r>
      <w:r>
        <w:rPr>
          <w:rFonts w:hint="eastAsia"/>
          <w:kern w:val="0"/>
          <w:sz w:val="24"/>
        </w:rPr>
        <w:t>同时再次加水</w:t>
      </w:r>
      <w:r>
        <w:rPr>
          <w:kern w:val="0"/>
          <w:sz w:val="24"/>
        </w:rPr>
        <w:t>，将物料磨至200目以下，球磨机配有旋流器组，</w:t>
      </w:r>
      <w:r>
        <w:rPr>
          <w:sz w:val="24"/>
          <w:szCs w:val="21"/>
        </w:rPr>
        <w:t>比重大的物料自流回二段球磨机</w:t>
      </w:r>
      <w:r>
        <w:rPr>
          <w:kern w:val="0"/>
          <w:sz w:val="24"/>
        </w:rPr>
        <w:t>，比重小的物料经管道自流入二段磁选机，磁上物泵入脱水机，脱水后的物料即钒钛磁铁矿经</w:t>
      </w:r>
      <w:r>
        <w:rPr>
          <w:rFonts w:hint="eastAsia"/>
          <w:kern w:val="0"/>
          <w:sz w:val="24"/>
        </w:rPr>
        <w:t>封闭皮带</w:t>
      </w:r>
      <w:r>
        <w:rPr>
          <w:kern w:val="0"/>
          <w:sz w:val="24"/>
        </w:rPr>
        <w:t>输送至</w:t>
      </w:r>
      <w:r>
        <w:rPr>
          <w:rFonts w:hint="eastAsia"/>
          <w:kern w:val="0"/>
          <w:sz w:val="24"/>
        </w:rPr>
        <w:t>产品仓</w:t>
      </w:r>
      <w:r>
        <w:rPr>
          <w:kern w:val="0"/>
          <w:sz w:val="24"/>
        </w:rPr>
        <w:t>暂存</w:t>
      </w:r>
      <w:r>
        <w:rPr>
          <w:rFonts w:hint="eastAsia"/>
          <w:kern w:val="0"/>
          <w:sz w:val="24"/>
        </w:rPr>
        <w:t>后外售</w:t>
      </w:r>
      <w:r>
        <w:rPr>
          <w:kern w:val="0"/>
          <w:sz w:val="24"/>
        </w:rPr>
        <w:t>。</w:t>
      </w:r>
      <w:r>
        <w:rPr>
          <w:sz w:val="24"/>
          <w:szCs w:val="21"/>
        </w:rPr>
        <w:t>一段磁选</w:t>
      </w:r>
      <w:r>
        <w:rPr>
          <w:rFonts w:hint="eastAsia"/>
          <w:sz w:val="24"/>
          <w:szCs w:val="21"/>
        </w:rPr>
        <w:t>及</w:t>
      </w:r>
      <w:r>
        <w:rPr>
          <w:kern w:val="0"/>
          <w:sz w:val="24"/>
        </w:rPr>
        <w:t>二段磁选</w:t>
      </w:r>
      <w:r>
        <w:rPr>
          <w:rFonts w:hint="eastAsia"/>
          <w:kern w:val="0"/>
          <w:sz w:val="24"/>
        </w:rPr>
        <w:t>的</w:t>
      </w:r>
      <w:r>
        <w:rPr>
          <w:kern w:val="0"/>
          <w:sz w:val="24"/>
        </w:rPr>
        <w:t>磁下物泵入物料池</w:t>
      </w:r>
      <w:r>
        <w:rPr>
          <w:sz w:val="24"/>
          <w:szCs w:val="21"/>
        </w:rPr>
        <w:t>后</w:t>
      </w:r>
      <w:r>
        <w:rPr>
          <w:rFonts w:hint="eastAsia"/>
          <w:sz w:val="24"/>
          <w:szCs w:val="21"/>
        </w:rPr>
        <w:t>进入</w:t>
      </w:r>
      <w:r>
        <w:rPr>
          <w:sz w:val="24"/>
          <w:szCs w:val="21"/>
        </w:rPr>
        <w:t>重选</w:t>
      </w:r>
      <w:r>
        <w:rPr>
          <w:rFonts w:hint="eastAsia"/>
          <w:sz w:val="24"/>
          <w:szCs w:val="21"/>
        </w:rPr>
        <w:t>车间进行重选。</w:t>
      </w:r>
    </w:p>
    <w:p w14:paraId="516B05C6">
      <w:pPr>
        <w:autoSpaceDE w:val="0"/>
        <w:autoSpaceDN w:val="0"/>
        <w:adjustRightInd w:val="0"/>
        <w:spacing w:before="93" w:beforeLines="30" w:after="93" w:afterLines="30" w:line="360" w:lineRule="auto"/>
        <w:ind w:firstLine="480" w:firstLineChars="200"/>
        <w:rPr>
          <w:kern w:val="0"/>
          <w:sz w:val="24"/>
        </w:rPr>
      </w:pPr>
      <w:r>
        <w:rPr>
          <w:rFonts w:hint="eastAsia"/>
          <w:kern w:val="0"/>
          <w:sz w:val="24"/>
        </w:rPr>
        <w:t>综上，球磨车间各工序从进料、球磨、磁选、出料全过程均加大量水参与，故生产过程不产生粉尘；废水主要为脱水机产生的废水，</w:t>
      </w:r>
      <w:r>
        <w:rPr>
          <w:kern w:val="0"/>
          <w:sz w:val="24"/>
        </w:rPr>
        <w:t>泵入</w:t>
      </w:r>
      <w:r>
        <w:rPr>
          <w:rFonts w:hint="eastAsia"/>
          <w:kern w:val="0"/>
          <w:sz w:val="24"/>
        </w:rPr>
        <w:t>循环</w:t>
      </w:r>
      <w:r>
        <w:rPr>
          <w:kern w:val="0"/>
          <w:sz w:val="24"/>
        </w:rPr>
        <w:t>水池后回用。</w:t>
      </w:r>
      <w:r>
        <w:rPr>
          <w:rFonts w:hint="eastAsia"/>
          <w:kern w:val="0"/>
          <w:sz w:val="24"/>
        </w:rPr>
        <w:t>噪声主要为各生产设备生产过程产生的噪声。</w:t>
      </w:r>
    </w:p>
    <w:p w14:paraId="11C96815">
      <w:pPr>
        <w:keepLines/>
        <w:adjustRightInd w:val="0"/>
        <w:spacing w:before="93" w:beforeLines="30" w:after="93" w:afterLines="30" w:line="360" w:lineRule="auto"/>
        <w:ind w:firstLine="482" w:firstLineChars="200"/>
        <w:rPr>
          <w:b/>
          <w:bCs/>
          <w:sz w:val="24"/>
        </w:rPr>
      </w:pPr>
      <w:r>
        <w:rPr>
          <w:rFonts w:hint="eastAsia"/>
          <w:b/>
          <w:bCs/>
          <w:sz w:val="24"/>
        </w:rPr>
        <w:t>（</w:t>
      </w:r>
      <w:r>
        <w:rPr>
          <w:b/>
          <w:bCs/>
          <w:sz w:val="24"/>
        </w:rPr>
        <w:t>3</w:t>
      </w:r>
      <w:r>
        <w:rPr>
          <w:rFonts w:hint="eastAsia"/>
          <w:b/>
          <w:bCs/>
          <w:sz w:val="24"/>
        </w:rPr>
        <w:t>）</w:t>
      </w:r>
      <w:r>
        <w:rPr>
          <w:b/>
          <w:bCs/>
          <w:sz w:val="24"/>
        </w:rPr>
        <w:t xml:space="preserve">钛铁精矿生产工艺 </w:t>
      </w:r>
      <w:r>
        <w:rPr>
          <w:rFonts w:hint="eastAsia"/>
          <w:b/>
          <w:bCs/>
          <w:sz w:val="24"/>
        </w:rPr>
        <w:t>（</w:t>
      </w:r>
      <w:r>
        <w:rPr>
          <w:b/>
          <w:bCs/>
          <w:sz w:val="24"/>
        </w:rPr>
        <w:t>1#厂区内</w:t>
      </w:r>
      <w:r>
        <w:rPr>
          <w:rFonts w:hint="eastAsia"/>
          <w:b/>
          <w:bCs/>
          <w:sz w:val="24"/>
        </w:rPr>
        <w:t>重选车间）</w:t>
      </w:r>
    </w:p>
    <w:p w14:paraId="097DAB4C">
      <w:pPr>
        <w:autoSpaceDE w:val="0"/>
        <w:autoSpaceDN w:val="0"/>
        <w:adjustRightInd w:val="0"/>
        <w:spacing w:before="93" w:beforeLines="30" w:after="93" w:afterLines="30" w:line="360" w:lineRule="auto"/>
        <w:ind w:firstLine="480" w:firstLineChars="200"/>
        <w:rPr>
          <w:kern w:val="0"/>
          <w:sz w:val="24"/>
        </w:rPr>
      </w:pPr>
      <w:r>
        <w:rPr>
          <w:rFonts w:hint="eastAsia"/>
          <w:sz w:val="24"/>
          <w:szCs w:val="21"/>
        </w:rPr>
        <w:t>球磨车间</w:t>
      </w:r>
      <w:r>
        <w:rPr>
          <w:sz w:val="24"/>
          <w:szCs w:val="21"/>
        </w:rPr>
        <w:t>一段磁选</w:t>
      </w:r>
      <w:r>
        <w:rPr>
          <w:rFonts w:hint="eastAsia"/>
          <w:sz w:val="24"/>
          <w:szCs w:val="21"/>
        </w:rPr>
        <w:t>及</w:t>
      </w:r>
      <w:r>
        <w:rPr>
          <w:kern w:val="0"/>
          <w:sz w:val="24"/>
        </w:rPr>
        <w:t>二段磁选</w:t>
      </w:r>
      <w:r>
        <w:rPr>
          <w:rFonts w:hint="eastAsia"/>
          <w:kern w:val="0"/>
          <w:sz w:val="24"/>
        </w:rPr>
        <w:t>的</w:t>
      </w:r>
      <w:r>
        <w:rPr>
          <w:kern w:val="0"/>
          <w:sz w:val="24"/>
        </w:rPr>
        <w:t>磁下物</w:t>
      </w:r>
      <w:r>
        <w:rPr>
          <w:rFonts w:hint="eastAsia"/>
          <w:kern w:val="0"/>
          <w:sz w:val="24"/>
        </w:rPr>
        <w:t>通过管道泵入物料池，抛砂分离细料通过封闭皮带送入物料池，</w:t>
      </w:r>
      <w:r>
        <w:rPr>
          <w:kern w:val="0"/>
          <w:sz w:val="24"/>
        </w:rPr>
        <w:t>物料池中的物料泵入螺旋溜槽</w:t>
      </w:r>
      <w:r>
        <w:rPr>
          <w:rFonts w:hint="eastAsia"/>
          <w:kern w:val="0"/>
          <w:sz w:val="24"/>
        </w:rPr>
        <w:t>进行</w:t>
      </w:r>
      <w:r>
        <w:rPr>
          <w:kern w:val="0"/>
          <w:sz w:val="24"/>
        </w:rPr>
        <w:t>重选，槽内同时加水进行冲洗，富集</w:t>
      </w:r>
      <w:r>
        <w:rPr>
          <w:rFonts w:hint="eastAsia"/>
          <w:kern w:val="0"/>
          <w:sz w:val="24"/>
        </w:rPr>
        <w:t>后</w:t>
      </w:r>
      <w:r>
        <w:rPr>
          <w:kern w:val="0"/>
          <w:sz w:val="24"/>
        </w:rPr>
        <w:t>的</w:t>
      </w:r>
      <w:r>
        <w:rPr>
          <w:rFonts w:hint="eastAsia"/>
          <w:kern w:val="0"/>
          <w:sz w:val="24"/>
        </w:rPr>
        <w:t>含</w:t>
      </w:r>
      <w:r>
        <w:rPr>
          <w:kern w:val="0"/>
          <w:sz w:val="24"/>
        </w:rPr>
        <w:t>钛物料经管道自流入弱磁选机，弱磁选机的磁下物泵入强磁选机，强磁选机的磁下物钛铁精矿泵入脱水机，脱水后的钛铁精矿经</w:t>
      </w:r>
      <w:r>
        <w:rPr>
          <w:rFonts w:hint="eastAsia"/>
          <w:kern w:val="0"/>
          <w:sz w:val="24"/>
        </w:rPr>
        <w:t>封闭皮带输送至产品仓</w:t>
      </w:r>
      <w:r>
        <w:rPr>
          <w:kern w:val="0"/>
          <w:sz w:val="24"/>
        </w:rPr>
        <w:t>暂存</w:t>
      </w:r>
      <w:r>
        <w:rPr>
          <w:rFonts w:hint="eastAsia"/>
          <w:kern w:val="0"/>
          <w:sz w:val="24"/>
        </w:rPr>
        <w:t>后外售</w:t>
      </w:r>
      <w:r>
        <w:rPr>
          <w:kern w:val="0"/>
          <w:sz w:val="24"/>
        </w:rPr>
        <w:t>。弱磁选机与强磁选机的磁上物经</w:t>
      </w:r>
      <w:r>
        <w:rPr>
          <w:rFonts w:hint="eastAsia"/>
          <w:kern w:val="0"/>
          <w:sz w:val="24"/>
        </w:rPr>
        <w:t>管道</w:t>
      </w:r>
      <w:r>
        <w:rPr>
          <w:kern w:val="0"/>
          <w:sz w:val="24"/>
        </w:rPr>
        <w:t>泵送至</w:t>
      </w:r>
      <w:r>
        <w:rPr>
          <w:rFonts w:hint="eastAsia"/>
          <w:kern w:val="0"/>
          <w:sz w:val="24"/>
        </w:rPr>
        <w:t>球磨车间</w:t>
      </w:r>
      <w:r>
        <w:rPr>
          <w:kern w:val="0"/>
          <w:sz w:val="24"/>
        </w:rPr>
        <w:t>二段球磨机。</w:t>
      </w:r>
    </w:p>
    <w:p w14:paraId="3521344A">
      <w:pPr>
        <w:autoSpaceDE w:val="0"/>
        <w:autoSpaceDN w:val="0"/>
        <w:adjustRightInd w:val="0"/>
        <w:spacing w:before="93" w:beforeLines="30" w:after="93" w:afterLines="30" w:line="360" w:lineRule="auto"/>
        <w:ind w:firstLine="480" w:firstLineChars="200"/>
        <w:rPr>
          <w:kern w:val="0"/>
          <w:sz w:val="24"/>
        </w:rPr>
      </w:pPr>
      <w:r>
        <w:rPr>
          <w:rFonts w:hint="eastAsia"/>
          <w:kern w:val="0"/>
          <w:sz w:val="24"/>
        </w:rPr>
        <w:t>综上，重选车间以上工序从进料、重选、出料全过程均加水参与，故生产过程不产生粉尘。废水主要为脱水机产生的废水，</w:t>
      </w:r>
      <w:r>
        <w:rPr>
          <w:kern w:val="0"/>
          <w:sz w:val="24"/>
        </w:rPr>
        <w:t>泵入</w:t>
      </w:r>
      <w:r>
        <w:rPr>
          <w:rFonts w:hint="eastAsia"/>
          <w:kern w:val="0"/>
          <w:sz w:val="24"/>
        </w:rPr>
        <w:t>循环</w:t>
      </w:r>
      <w:r>
        <w:rPr>
          <w:kern w:val="0"/>
          <w:sz w:val="24"/>
        </w:rPr>
        <w:t>水池后回用。</w:t>
      </w:r>
      <w:r>
        <w:rPr>
          <w:rFonts w:hint="eastAsia"/>
          <w:kern w:val="0"/>
          <w:sz w:val="24"/>
        </w:rPr>
        <w:t>噪声主要为各生产设备生产过程产生的噪声。</w:t>
      </w:r>
    </w:p>
    <w:p w14:paraId="55DFBEC4">
      <w:pPr>
        <w:keepLines/>
        <w:adjustRightInd w:val="0"/>
        <w:spacing w:before="93" w:beforeLines="30" w:after="93" w:afterLines="30" w:line="360" w:lineRule="auto"/>
        <w:ind w:firstLine="482" w:firstLineChars="200"/>
        <w:rPr>
          <w:b/>
          <w:bCs/>
          <w:sz w:val="24"/>
        </w:rPr>
      </w:pPr>
      <w:r>
        <w:rPr>
          <w:rFonts w:hint="eastAsia"/>
          <w:b/>
          <w:bCs/>
          <w:sz w:val="24"/>
        </w:rPr>
        <w:t>（</w:t>
      </w:r>
      <w:r>
        <w:rPr>
          <w:b/>
          <w:bCs/>
          <w:sz w:val="24"/>
        </w:rPr>
        <w:t>4</w:t>
      </w:r>
      <w:r>
        <w:rPr>
          <w:rFonts w:hint="eastAsia"/>
          <w:b/>
          <w:bCs/>
          <w:sz w:val="24"/>
        </w:rPr>
        <w:t>）</w:t>
      </w:r>
      <w:r>
        <w:rPr>
          <w:b/>
          <w:bCs/>
          <w:sz w:val="24"/>
        </w:rPr>
        <w:t xml:space="preserve">碎石生产工艺 </w:t>
      </w:r>
      <w:r>
        <w:rPr>
          <w:rFonts w:hint="eastAsia"/>
          <w:b/>
          <w:bCs/>
          <w:sz w:val="24"/>
        </w:rPr>
        <w:t>（</w:t>
      </w:r>
      <w:r>
        <w:rPr>
          <w:b/>
          <w:bCs/>
          <w:sz w:val="24"/>
        </w:rPr>
        <w:t>2#厂区内</w:t>
      </w:r>
      <w:r>
        <w:rPr>
          <w:rFonts w:hint="eastAsia"/>
          <w:b/>
          <w:bCs/>
          <w:sz w:val="24"/>
        </w:rPr>
        <w:t>破碎车间）</w:t>
      </w:r>
    </w:p>
    <w:p w14:paraId="03A654C6">
      <w:pPr>
        <w:pStyle w:val="212"/>
        <w:adjustRightInd w:val="0"/>
        <w:spacing w:before="93" w:beforeLines="30" w:after="93" w:afterLines="30"/>
        <w:ind w:firstLine="480"/>
      </w:pPr>
      <w:r>
        <w:rPr>
          <w:rFonts w:hint="eastAsia"/>
        </w:rPr>
        <w:t>大块废石原料（约26万吨/a）及</w:t>
      </w:r>
      <w:r>
        <w:t>1#厂区</w:t>
      </w:r>
      <w:r>
        <w:rPr>
          <w:rFonts w:hint="eastAsia"/>
        </w:rPr>
        <w:t>一次和二次筛分产生的筛上物汽车运送至2#厂区破碎车间废石卸料区域</w:t>
      </w:r>
      <w:r>
        <w:t>，</w:t>
      </w:r>
      <w:r>
        <w:rPr>
          <w:rFonts w:hint="eastAsia"/>
        </w:rPr>
        <w:t>废石</w:t>
      </w:r>
      <w:r>
        <w:t>经铲车送至颚式破碎机，将物料破碎至80mm以下，利用封闭皮带送至圆锥破碎机，将物料破碎至31.5mm以下，利用封闭皮带送至一段干磁选机</w:t>
      </w:r>
      <w:r>
        <w:rPr>
          <w:rFonts w:hint="eastAsia"/>
        </w:rPr>
        <w:t>。</w:t>
      </w:r>
      <w:r>
        <w:t>一段干磁选机磁上物进入破碎机</w:t>
      </w:r>
      <w:r>
        <w:rPr>
          <w:rFonts w:hint="eastAsia"/>
        </w:rPr>
        <w:t>，经破碎</w:t>
      </w:r>
      <w:r>
        <w:t>后通过溜槽进入二段干磁选机</w:t>
      </w:r>
      <w:r>
        <w:rPr>
          <w:rFonts w:hint="eastAsia"/>
        </w:rPr>
        <w:t>，</w:t>
      </w:r>
      <w:r>
        <w:t>二段干磁选机的磁上物汽运回</w:t>
      </w:r>
      <w:r>
        <w:rPr>
          <w:rFonts w:hint="eastAsia"/>
        </w:rPr>
        <w:t>1</w:t>
      </w:r>
      <w:r>
        <w:t>#</w:t>
      </w:r>
      <w:r>
        <w:rPr>
          <w:rFonts w:hint="eastAsia"/>
        </w:rPr>
        <w:t>厂区球磨车间进入一段球磨，</w:t>
      </w:r>
      <w:r>
        <w:t>磁下物通过封闭皮带送至</w:t>
      </w:r>
      <w:r>
        <w:rPr>
          <w:rFonts w:hint="eastAsia"/>
        </w:rPr>
        <w:t>碎石</w:t>
      </w:r>
      <w:r>
        <w:t>成品仓</w:t>
      </w:r>
      <w:r>
        <w:rPr>
          <w:rFonts w:hint="eastAsia"/>
        </w:rPr>
        <w:t>储存后</w:t>
      </w:r>
      <w:r>
        <w:t>外售</w:t>
      </w:r>
      <w:r>
        <w:rPr>
          <w:rFonts w:hint="eastAsia"/>
        </w:rPr>
        <w:t>；</w:t>
      </w:r>
      <w:r>
        <w:t>一段干磁选</w:t>
      </w:r>
      <w:r>
        <w:rPr>
          <w:rFonts w:hint="eastAsia"/>
        </w:rPr>
        <w:t>的</w:t>
      </w:r>
      <w:r>
        <w:t>磁下物进入精筛分机，筛出物料通过封闭皮带送至</w:t>
      </w:r>
      <w:r>
        <w:rPr>
          <w:rFonts w:hint="eastAsia"/>
        </w:rPr>
        <w:t>碎石</w:t>
      </w:r>
      <w:r>
        <w:t>成品仓</w:t>
      </w:r>
      <w:r>
        <w:rPr>
          <w:rFonts w:hint="eastAsia"/>
        </w:rPr>
        <w:t>储存后</w:t>
      </w:r>
      <w:r>
        <w:t>外售。</w:t>
      </w:r>
    </w:p>
    <w:p w14:paraId="2B22CFB7">
      <w:pPr>
        <w:pStyle w:val="212"/>
        <w:adjustRightInd w:val="0"/>
        <w:spacing w:before="93" w:beforeLines="30" w:after="93" w:afterLines="30"/>
        <w:ind w:firstLine="480"/>
        <w:rPr>
          <w:kern w:val="0"/>
        </w:rPr>
      </w:pPr>
      <w:r>
        <w:rPr>
          <w:rFonts w:hint="eastAsia"/>
          <w:kern w:val="0"/>
        </w:rPr>
        <w:t>综上，破碎车间原料入库后卸料，铲车上料至</w:t>
      </w:r>
      <w:r>
        <w:rPr>
          <w:rFonts w:hint="eastAsia"/>
          <w:kern w:val="0"/>
          <w:lang w:eastAsia="zh-CN"/>
        </w:rPr>
        <w:t>颚式破碎</w:t>
      </w:r>
      <w:r>
        <w:rPr>
          <w:rFonts w:hint="eastAsia"/>
          <w:kern w:val="0"/>
        </w:rPr>
        <w:t>，</w:t>
      </w:r>
      <w:r>
        <w:rPr>
          <w:rFonts w:hint="eastAsia"/>
          <w:kern w:val="0"/>
          <w:lang w:eastAsia="zh-CN"/>
        </w:rPr>
        <w:t>颚式破碎</w:t>
      </w:r>
      <w:r>
        <w:rPr>
          <w:rFonts w:hint="eastAsia"/>
          <w:kern w:val="0"/>
        </w:rPr>
        <w:t>、圆锥破碎、一段干磁选、破碎、二段干磁选、精筛之间物料均为封闭皮带输送，因此破碎车间主要废气为卸料、铲车上料、皮带上料以及各生产设备产生的粉尘。具体节点如下：原料卸料过程卸料无组织废气（G</w:t>
      </w:r>
      <w:r>
        <w:rPr>
          <w:kern w:val="0"/>
        </w:rPr>
        <w:fldChar w:fldCharType="begin"/>
      </w:r>
      <w:r>
        <w:rPr>
          <w:kern w:val="0"/>
        </w:rPr>
        <w:instrText xml:space="preserve"> </w:instrText>
      </w:r>
      <w:r>
        <w:rPr>
          <w:rFonts w:hint="eastAsia"/>
          <w:kern w:val="0"/>
        </w:rPr>
        <w:instrText xml:space="preserve">= 5 \* GB3</w:instrText>
      </w:r>
      <w:r>
        <w:rPr>
          <w:kern w:val="0"/>
        </w:rPr>
        <w:instrText xml:space="preserve"> </w:instrText>
      </w:r>
      <w:r>
        <w:rPr>
          <w:kern w:val="0"/>
        </w:rPr>
        <w:fldChar w:fldCharType="separate"/>
      </w:r>
      <w:r>
        <w:rPr>
          <w:rFonts w:hint="eastAsia"/>
          <w:kern w:val="0"/>
        </w:rPr>
        <w:t>⑤</w:t>
      </w:r>
      <w:r>
        <w:rPr>
          <w:kern w:val="0"/>
        </w:rPr>
        <w:fldChar w:fldCharType="end"/>
      </w:r>
      <w:r>
        <w:rPr>
          <w:rFonts w:hint="eastAsia"/>
          <w:kern w:val="0"/>
        </w:rPr>
        <w:t>）；铲车上料及</w:t>
      </w:r>
      <w:r>
        <w:rPr>
          <w:rFonts w:hint="eastAsia"/>
          <w:kern w:val="0"/>
          <w:lang w:eastAsia="zh-CN"/>
        </w:rPr>
        <w:t>颚式破碎</w:t>
      </w:r>
      <w:r>
        <w:rPr>
          <w:rFonts w:hint="eastAsia"/>
          <w:kern w:val="0"/>
        </w:rPr>
        <w:t>废气（G5），皮带上料及圆锥破碎废气（G6），皮带上料及一段干磁选废气（G7），皮带上料及破碎废气（G8），溜槽上料及二段干磁选废气（G9），皮带上料及精筛分废气（G10）；碎石进入料仓储存进料无组织废气（G⑥）。</w:t>
      </w:r>
    </w:p>
    <w:p w14:paraId="2C576AAB">
      <w:pPr>
        <w:pStyle w:val="212"/>
        <w:adjustRightInd w:val="0"/>
        <w:spacing w:before="93" w:beforeLines="30" w:after="93" w:afterLines="30"/>
        <w:ind w:firstLine="480"/>
      </w:pPr>
      <w:r>
        <w:rPr>
          <w:rFonts w:hint="eastAsia"/>
        </w:rPr>
        <w:t>本项目原料来源于亿升达铁选厂，原料均在企业附近，依据生产需要随用随取，不在车间内长期堆存，</w:t>
      </w:r>
      <w:r>
        <w:rPr>
          <w:rFonts w:hint="eastAsia"/>
          <w:kern w:val="0"/>
        </w:rPr>
        <w:t>破碎车间</w:t>
      </w:r>
      <w:r>
        <w:rPr>
          <w:rFonts w:hint="eastAsia"/>
        </w:rPr>
        <w:t>原料卸车产生粉尘车间内无组织排放。破碎车间为封闭车间，各生产设备为封闭设备，输送带进行封闭，生产过程中各上料点设置集气罩收集废气，封闭设备废气经机器管道收集，全部废气经收集后经除尘器TA004处理后通过D</w:t>
      </w:r>
      <w:r>
        <w:t>A00</w:t>
      </w:r>
      <w:r>
        <w:rPr>
          <w:rFonts w:hint="eastAsia"/>
        </w:rPr>
        <w:t>4排气筒排放。</w:t>
      </w:r>
      <w:r>
        <w:t>二段干磁选</w:t>
      </w:r>
      <w:r>
        <w:rPr>
          <w:rFonts w:hint="eastAsia"/>
        </w:rPr>
        <w:t>产生的磁上物年产量约100t，汽运回到1</w:t>
      </w:r>
      <w:r>
        <w:t>#</w:t>
      </w:r>
      <w:r>
        <w:rPr>
          <w:rFonts w:hint="eastAsia"/>
        </w:rPr>
        <w:t>厂区球磨工序，产尘较少故忽略不计。</w:t>
      </w:r>
    </w:p>
    <w:p w14:paraId="721B74EE">
      <w:pPr>
        <w:pStyle w:val="212"/>
        <w:adjustRightInd w:val="0"/>
        <w:spacing w:before="93" w:beforeLines="30" w:after="93" w:afterLines="30"/>
        <w:ind w:firstLine="480"/>
        <w:rPr>
          <w:kern w:val="0"/>
        </w:rPr>
      </w:pPr>
      <w:r>
        <w:rPr>
          <w:rFonts w:hint="eastAsia"/>
        </w:rPr>
        <w:t>破碎车间无废水产生。噪声主要为各生产设备生产过程产生的噪声。固体废物主要为生产过程收集的粉尘、废布袋等。</w:t>
      </w:r>
    </w:p>
    <w:p w14:paraId="1BE01FCE">
      <w:pPr>
        <w:keepLines/>
        <w:adjustRightInd w:val="0"/>
        <w:spacing w:before="93" w:beforeLines="30" w:after="93" w:afterLines="30" w:line="360" w:lineRule="auto"/>
        <w:ind w:firstLine="482" w:firstLineChars="200"/>
        <w:rPr>
          <w:b/>
          <w:bCs/>
          <w:sz w:val="24"/>
        </w:rPr>
      </w:pPr>
      <w:r>
        <w:rPr>
          <w:rFonts w:hint="eastAsia"/>
          <w:b/>
          <w:bCs/>
          <w:sz w:val="24"/>
        </w:rPr>
        <w:t>（</w:t>
      </w:r>
      <w:r>
        <w:rPr>
          <w:b/>
          <w:bCs/>
          <w:sz w:val="24"/>
        </w:rPr>
        <w:t>5</w:t>
      </w:r>
      <w:r>
        <w:rPr>
          <w:rFonts w:hint="eastAsia"/>
          <w:b/>
          <w:bCs/>
          <w:sz w:val="24"/>
        </w:rPr>
        <w:t>）泥浆及脱水废水处置</w:t>
      </w:r>
    </w:p>
    <w:p w14:paraId="2854F41A">
      <w:pPr>
        <w:pStyle w:val="212"/>
        <w:adjustRightInd w:val="0"/>
        <w:spacing w:before="93" w:beforeLines="30" w:after="93" w:afterLines="30"/>
        <w:ind w:firstLine="480"/>
        <w:jc w:val="left"/>
        <w:rPr>
          <w:kern w:val="0"/>
        </w:rPr>
      </w:pPr>
      <w:r>
        <w:t>本项目洗砂机和重选产生的泥浆进入</w:t>
      </w:r>
      <w:r>
        <w:rPr>
          <w:rFonts w:hint="eastAsia"/>
        </w:rPr>
        <w:t>浓缩罐</w:t>
      </w:r>
      <w:r>
        <w:t>后</w:t>
      </w:r>
      <w:r>
        <w:rPr>
          <w:rFonts w:hint="eastAsia"/>
        </w:rPr>
        <w:t>进行浓缩</w:t>
      </w:r>
      <w:r>
        <w:t>，</w:t>
      </w:r>
      <w:r>
        <w:rPr>
          <w:kern w:val="0"/>
        </w:rPr>
        <w:t>浓缩罐产生的上清液溢流到</w:t>
      </w:r>
      <w:r>
        <w:rPr>
          <w:rFonts w:hint="eastAsia"/>
          <w:kern w:val="0"/>
        </w:rPr>
        <w:t>循环</w:t>
      </w:r>
      <w:r>
        <w:rPr>
          <w:kern w:val="0"/>
        </w:rPr>
        <w:t>水池，浓缩后的泥浆泵入板框压滤机，压滤后的泥饼</w:t>
      </w:r>
      <w:r>
        <w:rPr>
          <w:rFonts w:hint="eastAsia"/>
          <w:kern w:val="0"/>
        </w:rPr>
        <w:t>由鑫岳矿业负责</w:t>
      </w:r>
      <w:r>
        <w:rPr>
          <w:kern w:val="0"/>
        </w:rPr>
        <w:t>回填至露天采坑，压滤后的清水泵入</w:t>
      </w:r>
      <w:r>
        <w:rPr>
          <w:rFonts w:hint="eastAsia"/>
          <w:kern w:val="0"/>
        </w:rPr>
        <w:t>循环</w:t>
      </w:r>
      <w:r>
        <w:rPr>
          <w:kern w:val="0"/>
        </w:rPr>
        <w:t>水池回用</w:t>
      </w:r>
      <w:r>
        <w:rPr>
          <w:rFonts w:hint="eastAsia"/>
          <w:kern w:val="0"/>
        </w:rPr>
        <w:t>于生产</w:t>
      </w:r>
      <w:r>
        <w:rPr>
          <w:kern w:val="0"/>
        </w:rPr>
        <w:t>。</w:t>
      </w:r>
    </w:p>
    <w:p w14:paraId="0030E99F">
      <w:pPr>
        <w:pStyle w:val="212"/>
        <w:adjustRightInd w:val="0"/>
        <w:spacing w:before="93" w:beforeLines="30" w:after="93" w:afterLines="30"/>
        <w:ind w:firstLine="480"/>
        <w:jc w:val="left"/>
        <w:rPr>
          <w:kern w:val="0"/>
        </w:rPr>
      </w:pPr>
      <w:r>
        <w:rPr>
          <w:rFonts w:hint="eastAsia"/>
          <w:kern w:val="0"/>
        </w:rPr>
        <w:t>球磨车间二段磁选后磁上物进入脱水机脱水，重选车间磁选工序磁下物进入脱水机脱水，脱水废水排入循环水池回用于生产。</w:t>
      </w:r>
    </w:p>
    <w:p w14:paraId="04F2F320">
      <w:pPr>
        <w:pStyle w:val="212"/>
        <w:adjustRightInd w:val="0"/>
        <w:spacing w:before="93" w:beforeLines="30" w:after="93" w:afterLines="30"/>
        <w:ind w:firstLine="482"/>
        <w:jc w:val="left"/>
        <w:rPr>
          <w:b/>
          <w:bCs/>
          <w:kern w:val="0"/>
        </w:rPr>
      </w:pPr>
      <w:r>
        <w:rPr>
          <w:rFonts w:hint="eastAsia"/>
          <w:b/>
          <w:bCs/>
          <w:kern w:val="0"/>
        </w:rPr>
        <w:t>（</w:t>
      </w:r>
      <w:r>
        <w:rPr>
          <w:rFonts w:hint="eastAsia"/>
          <w:b/>
          <w:bCs/>
        </w:rPr>
        <w:t>6）其他</w:t>
      </w:r>
    </w:p>
    <w:p w14:paraId="1F42DA11">
      <w:pPr>
        <w:pStyle w:val="212"/>
        <w:spacing w:before="93" w:beforeLines="30" w:after="93" w:afterLines="30"/>
        <w:ind w:firstLine="480"/>
        <w:jc w:val="left"/>
      </w:pPr>
      <w:r>
        <w:rPr>
          <w:rFonts w:hint="eastAsia"/>
        </w:rPr>
        <w:t>设备维修、保养产生的废润滑油及润滑油废桶。</w:t>
      </w:r>
    </w:p>
    <w:p w14:paraId="3C577B4B">
      <w:pPr>
        <w:pStyle w:val="2622"/>
        <w:ind w:firstLine="480"/>
        <w:rPr>
          <w:rFonts w:hint="eastAsia"/>
        </w:rPr>
      </w:pPr>
      <w:r>
        <w:rPr>
          <w:rFonts w:hAnsi="Times New Roman" w:cs="Times New Roman"/>
        </w:rPr>
        <w:t>项目生活污水，经防渗化粪池处理后</w:t>
      </w:r>
      <w:r>
        <w:rPr>
          <w:rFonts w:hint="eastAsia" w:hAnsi="Times New Roman" w:cs="Times New Roman"/>
        </w:rPr>
        <w:t>定期清掏</w:t>
      </w:r>
      <w:r>
        <w:rPr>
          <w:rFonts w:hAnsi="Times New Roman" w:cs="Times New Roman"/>
        </w:rPr>
        <w:t>。项目产生的生活垃圾，分类收集后交由环卫部门处置。</w:t>
      </w:r>
    </w:p>
    <w:p w14:paraId="40B47568">
      <w:pPr>
        <w:pStyle w:val="212"/>
        <w:spacing w:before="93" w:beforeLines="30" w:after="93" w:afterLines="30"/>
        <w:ind w:firstLine="480"/>
        <w:jc w:val="left"/>
        <w:sectPr>
          <w:pgSz w:w="11906" w:h="16838"/>
          <w:pgMar w:top="1440" w:right="1797" w:bottom="1440" w:left="1797" w:header="851" w:footer="992" w:gutter="0"/>
          <w:cols w:space="720" w:num="1"/>
          <w:docGrid w:type="lines" w:linePitch="312" w:charSpace="0"/>
        </w:sectPr>
      </w:pPr>
      <w:r>
        <w:t>本项目工艺流程及排污节点图见图3.</w:t>
      </w:r>
      <w:r>
        <w:rPr>
          <w:rFonts w:hint="eastAsia"/>
        </w:rPr>
        <w:t>2</w:t>
      </w:r>
      <w:r>
        <w:t>-1，排污节点表3.</w:t>
      </w:r>
      <w:r>
        <w:rPr>
          <w:rFonts w:hint="eastAsia"/>
        </w:rPr>
        <w:t>2</w:t>
      </w:r>
      <w:r>
        <w:t>-1。</w:t>
      </w:r>
    </w:p>
    <w:p w14:paraId="7CE2310E">
      <w:pPr>
        <w:pStyle w:val="212"/>
        <w:spacing w:before="0" w:beforeLines="0" w:line="240" w:lineRule="auto"/>
        <w:ind w:firstLine="0" w:firstLineChars="0"/>
        <w:jc w:val="center"/>
      </w:pPr>
      <w:r>
        <w:drawing>
          <wp:inline distT="0" distB="0" distL="0" distR="0">
            <wp:extent cx="6280785" cy="5267325"/>
            <wp:effectExtent l="0" t="0" r="5715" b="0"/>
            <wp:docPr id="118167279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672799" name="图片 1"/>
                    <pic:cNvPicPr>
                      <a:picLocks noChangeAspect="1"/>
                    </pic:cNvPicPr>
                  </pic:nvPicPr>
                  <pic:blipFill>
                    <a:blip r:embed="rId40"/>
                    <a:stretch>
                      <a:fillRect/>
                    </a:stretch>
                  </pic:blipFill>
                  <pic:spPr>
                    <a:xfrm>
                      <a:off x="0" y="0"/>
                      <a:ext cx="6283409" cy="5269354"/>
                    </a:xfrm>
                    <a:prstGeom prst="rect">
                      <a:avLst/>
                    </a:prstGeom>
                  </pic:spPr>
                </pic:pic>
              </a:graphicData>
            </a:graphic>
          </wp:inline>
        </w:drawing>
      </w:r>
    </w:p>
    <w:p w14:paraId="0C80DB81">
      <w:pPr>
        <w:pStyle w:val="212"/>
        <w:spacing w:before="0" w:beforeLines="0" w:line="240" w:lineRule="auto"/>
        <w:ind w:firstLine="0" w:firstLineChars="0"/>
        <w:jc w:val="center"/>
        <w:rPr>
          <w:sz w:val="21"/>
          <w:szCs w:val="21"/>
        </w:rPr>
      </w:pPr>
      <w:r>
        <w:rPr>
          <w:b/>
          <w:bCs/>
          <w:sz w:val="21"/>
          <w:szCs w:val="21"/>
        </w:rPr>
        <w:t>图3.</w:t>
      </w:r>
      <w:r>
        <w:rPr>
          <w:rFonts w:hint="eastAsia"/>
          <w:b/>
          <w:bCs/>
          <w:sz w:val="21"/>
          <w:szCs w:val="21"/>
        </w:rPr>
        <w:t>2</w:t>
      </w:r>
      <w:r>
        <w:rPr>
          <w:b/>
          <w:bCs/>
          <w:sz w:val="21"/>
          <w:szCs w:val="21"/>
        </w:rPr>
        <w:t xml:space="preserve">-1 </w:t>
      </w:r>
      <w:r>
        <w:rPr>
          <w:rFonts w:hint="eastAsia"/>
          <w:b/>
          <w:bCs/>
          <w:sz w:val="21"/>
          <w:szCs w:val="21"/>
        </w:rPr>
        <w:t xml:space="preserve">     </w:t>
      </w:r>
      <w:r>
        <w:rPr>
          <w:b/>
          <w:bCs/>
          <w:sz w:val="21"/>
          <w:szCs w:val="21"/>
        </w:rPr>
        <w:t>工艺流程及排污节点图</w:t>
      </w:r>
    </w:p>
    <w:bookmarkEnd w:id="114"/>
    <w:p w14:paraId="5D4930A3">
      <w:pPr>
        <w:pStyle w:val="212"/>
        <w:spacing w:before="0" w:beforeLines="0"/>
        <w:ind w:firstLine="480"/>
        <w:jc w:val="left"/>
        <w:sectPr>
          <w:pgSz w:w="16838" w:h="11906" w:orient="landscape"/>
          <w:pgMar w:top="1440" w:right="1800" w:bottom="1440" w:left="1800" w:header="851" w:footer="992" w:gutter="0"/>
          <w:cols w:space="720" w:num="1"/>
          <w:docGrid w:type="lines" w:linePitch="312" w:charSpace="0"/>
        </w:sectPr>
      </w:pPr>
    </w:p>
    <w:p w14:paraId="0CAB4E98">
      <w:pPr>
        <w:pStyle w:val="217"/>
        <w:spacing w:beforeLines="0" w:line="240" w:lineRule="auto"/>
        <w:rPr>
          <w:color w:val="auto"/>
        </w:rPr>
      </w:pPr>
      <w:bookmarkStart w:id="116" w:name="_Hlk193292094"/>
      <w:r>
        <w:rPr>
          <w:color w:val="auto"/>
        </w:rPr>
        <w:t>表3.</w:t>
      </w:r>
      <w:r>
        <w:rPr>
          <w:rFonts w:hint="eastAsia"/>
          <w:color w:val="auto"/>
        </w:rPr>
        <w:t>2</w:t>
      </w:r>
      <w:r>
        <w:rPr>
          <w:color w:val="auto"/>
        </w:rPr>
        <w:t>-1  本项目生产过程产污环节一览表</w:t>
      </w:r>
    </w:p>
    <w:tbl>
      <w:tblPr>
        <w:tblStyle w:val="89"/>
        <w:tblW w:w="5079"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28" w:type="dxa"/>
          <w:bottom w:w="0" w:type="dxa"/>
          <w:right w:w="28" w:type="dxa"/>
        </w:tblCellMar>
      </w:tblPr>
      <w:tblGrid>
        <w:gridCol w:w="993"/>
        <w:gridCol w:w="991"/>
        <w:gridCol w:w="426"/>
        <w:gridCol w:w="2553"/>
        <w:gridCol w:w="3480"/>
      </w:tblGrid>
      <w:tr w14:paraId="48B1D22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Align w:val="center"/>
          </w:tcPr>
          <w:p w14:paraId="22F2D7BD">
            <w:pPr>
              <w:adjustRightInd w:val="0"/>
              <w:snapToGrid w:val="0"/>
              <w:spacing w:before="0" w:beforeLines="0" w:line="240" w:lineRule="auto"/>
              <w:jc w:val="center"/>
              <w:rPr>
                <w:szCs w:val="21"/>
              </w:rPr>
            </w:pPr>
            <w:r>
              <w:rPr>
                <w:szCs w:val="21"/>
              </w:rPr>
              <w:t>污染类别</w:t>
            </w:r>
          </w:p>
        </w:tc>
        <w:tc>
          <w:tcPr>
            <w:tcW w:w="2350" w:type="pct"/>
            <w:gridSpan w:val="3"/>
            <w:vAlign w:val="center"/>
          </w:tcPr>
          <w:p w14:paraId="594B422E">
            <w:pPr>
              <w:adjustRightInd w:val="0"/>
              <w:snapToGrid w:val="0"/>
              <w:spacing w:before="0" w:beforeLines="0" w:line="240" w:lineRule="auto"/>
              <w:jc w:val="center"/>
              <w:rPr>
                <w:szCs w:val="21"/>
              </w:rPr>
            </w:pPr>
            <w:r>
              <w:rPr>
                <w:rFonts w:hint="eastAsia"/>
                <w:szCs w:val="21"/>
              </w:rPr>
              <w:t>产污工序及污染物</w:t>
            </w:r>
          </w:p>
        </w:tc>
        <w:tc>
          <w:tcPr>
            <w:tcW w:w="2061" w:type="pct"/>
            <w:vAlign w:val="center"/>
          </w:tcPr>
          <w:p w14:paraId="3736B45B">
            <w:pPr>
              <w:adjustRightInd w:val="0"/>
              <w:snapToGrid w:val="0"/>
              <w:spacing w:before="0" w:beforeLines="0" w:line="240" w:lineRule="auto"/>
              <w:jc w:val="center"/>
              <w:rPr>
                <w:szCs w:val="21"/>
              </w:rPr>
            </w:pPr>
            <w:r>
              <w:rPr>
                <w:rFonts w:hint="eastAsia"/>
                <w:szCs w:val="21"/>
              </w:rPr>
              <w:t>措施及去向</w:t>
            </w:r>
          </w:p>
        </w:tc>
      </w:tr>
      <w:tr w14:paraId="56D4955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11" w:hRule="atLeast"/>
          <w:jc w:val="center"/>
        </w:trPr>
        <w:tc>
          <w:tcPr>
            <w:tcW w:w="588" w:type="pct"/>
            <w:vMerge w:val="restart"/>
            <w:vAlign w:val="center"/>
          </w:tcPr>
          <w:p w14:paraId="68D762B4">
            <w:pPr>
              <w:adjustRightInd w:val="0"/>
              <w:snapToGrid w:val="0"/>
              <w:spacing w:before="0" w:beforeLines="0" w:line="240" w:lineRule="auto"/>
              <w:jc w:val="center"/>
              <w:rPr>
                <w:szCs w:val="21"/>
              </w:rPr>
            </w:pPr>
            <w:r>
              <w:rPr>
                <w:szCs w:val="21"/>
              </w:rPr>
              <w:t>废气</w:t>
            </w:r>
          </w:p>
        </w:tc>
        <w:tc>
          <w:tcPr>
            <w:tcW w:w="587" w:type="pct"/>
            <w:vMerge w:val="restart"/>
            <w:vAlign w:val="center"/>
          </w:tcPr>
          <w:p w14:paraId="29F27300">
            <w:pPr>
              <w:adjustRightInd w:val="0"/>
              <w:snapToGrid w:val="0"/>
              <w:spacing w:before="0" w:beforeLines="0" w:line="240" w:lineRule="auto"/>
              <w:jc w:val="center"/>
              <w:rPr>
                <w:szCs w:val="21"/>
              </w:rPr>
            </w:pPr>
            <w:r>
              <w:rPr>
                <w:rFonts w:hint="eastAsia"/>
                <w:szCs w:val="21"/>
              </w:rPr>
              <w:t>抛砂车间</w:t>
            </w:r>
          </w:p>
        </w:tc>
        <w:tc>
          <w:tcPr>
            <w:tcW w:w="252" w:type="pct"/>
            <w:vAlign w:val="center"/>
          </w:tcPr>
          <w:p w14:paraId="55329825">
            <w:pPr>
              <w:adjustRightInd w:val="0"/>
              <w:snapToGrid w:val="0"/>
              <w:spacing w:before="0" w:beforeLines="0" w:line="240" w:lineRule="auto"/>
              <w:jc w:val="center"/>
              <w:rPr>
                <w:szCs w:val="21"/>
              </w:rPr>
            </w:pPr>
            <w:r>
              <w:rPr>
                <w:rFonts w:hint="eastAsia"/>
                <w:szCs w:val="21"/>
              </w:rPr>
              <w:t>G1</w:t>
            </w:r>
          </w:p>
        </w:tc>
        <w:tc>
          <w:tcPr>
            <w:tcW w:w="1511" w:type="pct"/>
            <w:vAlign w:val="center"/>
          </w:tcPr>
          <w:p w14:paraId="6D60A533">
            <w:pPr>
              <w:adjustRightInd w:val="0"/>
              <w:snapToGrid w:val="0"/>
              <w:spacing w:before="0" w:beforeLines="0" w:line="240" w:lineRule="auto"/>
              <w:jc w:val="center"/>
              <w:rPr>
                <w:szCs w:val="21"/>
              </w:rPr>
            </w:pPr>
            <w:r>
              <w:rPr>
                <w:rFonts w:hint="eastAsia"/>
                <w:szCs w:val="21"/>
              </w:rPr>
              <w:t>铲车</w:t>
            </w:r>
            <w:r>
              <w:rPr>
                <w:szCs w:val="21"/>
              </w:rPr>
              <w:t>上料</w:t>
            </w:r>
            <w:r>
              <w:rPr>
                <w:rFonts w:hint="eastAsia"/>
                <w:szCs w:val="21"/>
              </w:rPr>
              <w:t>+</w:t>
            </w:r>
            <w:r>
              <w:rPr>
                <w:szCs w:val="21"/>
              </w:rPr>
              <w:t>一次筛分</w:t>
            </w:r>
            <w:r>
              <w:rPr>
                <w:rFonts w:hint="eastAsia"/>
                <w:szCs w:val="21"/>
              </w:rPr>
              <w:t>粉尘</w:t>
            </w:r>
          </w:p>
        </w:tc>
        <w:tc>
          <w:tcPr>
            <w:tcW w:w="2061" w:type="pct"/>
            <w:vAlign w:val="center"/>
          </w:tcPr>
          <w:p w14:paraId="1103B8C8">
            <w:pPr>
              <w:adjustRightInd w:val="0"/>
              <w:snapToGrid w:val="0"/>
              <w:spacing w:before="0" w:beforeLines="0" w:line="240" w:lineRule="auto"/>
              <w:jc w:val="center"/>
              <w:rPr>
                <w:szCs w:val="21"/>
              </w:rPr>
            </w:pPr>
            <w:r>
              <w:rPr>
                <w:rFonts w:hint="eastAsia"/>
                <w:szCs w:val="21"/>
              </w:rPr>
              <w:t>产尘点设置集气罩，废气收集后经布袋除尘器TA001处理，最终通过高排气筒DA001排放</w:t>
            </w:r>
          </w:p>
        </w:tc>
      </w:tr>
      <w:tr w14:paraId="4B0D091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14:paraId="159CC459">
            <w:pPr>
              <w:adjustRightInd w:val="0"/>
              <w:snapToGrid w:val="0"/>
              <w:spacing w:before="0" w:beforeLines="0" w:line="240" w:lineRule="auto"/>
              <w:jc w:val="center"/>
              <w:rPr>
                <w:szCs w:val="21"/>
              </w:rPr>
            </w:pPr>
          </w:p>
        </w:tc>
        <w:tc>
          <w:tcPr>
            <w:tcW w:w="587" w:type="pct"/>
            <w:vMerge w:val="continue"/>
            <w:vAlign w:val="center"/>
          </w:tcPr>
          <w:p w14:paraId="3A254FB7">
            <w:pPr>
              <w:adjustRightInd w:val="0"/>
              <w:snapToGrid w:val="0"/>
              <w:spacing w:before="0" w:beforeLines="0" w:line="240" w:lineRule="auto"/>
              <w:jc w:val="center"/>
              <w:rPr>
                <w:szCs w:val="21"/>
              </w:rPr>
            </w:pPr>
          </w:p>
        </w:tc>
        <w:tc>
          <w:tcPr>
            <w:tcW w:w="252" w:type="pct"/>
            <w:vAlign w:val="center"/>
          </w:tcPr>
          <w:p w14:paraId="447000F6">
            <w:pPr>
              <w:adjustRightInd w:val="0"/>
              <w:snapToGrid w:val="0"/>
              <w:spacing w:before="0" w:beforeLines="0" w:line="240" w:lineRule="auto"/>
              <w:jc w:val="center"/>
              <w:rPr>
                <w:szCs w:val="21"/>
              </w:rPr>
            </w:pPr>
            <w:r>
              <w:rPr>
                <w:rFonts w:hint="eastAsia"/>
                <w:szCs w:val="21"/>
              </w:rPr>
              <w:t>G2</w:t>
            </w:r>
          </w:p>
        </w:tc>
        <w:tc>
          <w:tcPr>
            <w:tcW w:w="1511" w:type="pct"/>
            <w:vAlign w:val="center"/>
          </w:tcPr>
          <w:p w14:paraId="7C403A42">
            <w:pPr>
              <w:adjustRightInd w:val="0"/>
              <w:snapToGrid w:val="0"/>
              <w:spacing w:before="0" w:beforeLines="0" w:line="240" w:lineRule="auto"/>
              <w:jc w:val="center"/>
              <w:rPr>
                <w:szCs w:val="21"/>
              </w:rPr>
            </w:pPr>
            <w:r>
              <w:rPr>
                <w:rFonts w:hint="eastAsia"/>
                <w:szCs w:val="21"/>
              </w:rPr>
              <w:t>皮带上料+</w:t>
            </w:r>
            <w:r>
              <w:rPr>
                <w:szCs w:val="21"/>
              </w:rPr>
              <w:t>二次筛分</w:t>
            </w:r>
            <w:r>
              <w:rPr>
                <w:rFonts w:hint="eastAsia"/>
                <w:szCs w:val="21"/>
              </w:rPr>
              <w:t>粉尘</w:t>
            </w:r>
          </w:p>
        </w:tc>
        <w:tc>
          <w:tcPr>
            <w:tcW w:w="2061" w:type="pct"/>
            <w:vAlign w:val="center"/>
          </w:tcPr>
          <w:p w14:paraId="17E1C346">
            <w:pPr>
              <w:adjustRightInd w:val="0"/>
              <w:snapToGrid w:val="0"/>
              <w:spacing w:before="0" w:beforeLines="0" w:line="240" w:lineRule="auto"/>
              <w:jc w:val="center"/>
              <w:rPr>
                <w:szCs w:val="21"/>
              </w:rPr>
            </w:pPr>
            <w:r>
              <w:rPr>
                <w:rFonts w:hint="eastAsia"/>
                <w:szCs w:val="21"/>
              </w:rPr>
              <w:t>产尘点设置集气罩，废气收集后经布袋除尘器TA002处理，最终通过高排气筒DA002排放</w:t>
            </w:r>
          </w:p>
        </w:tc>
      </w:tr>
      <w:tr w14:paraId="4DAA9F8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14:paraId="54BD9014">
            <w:pPr>
              <w:adjustRightInd w:val="0"/>
              <w:snapToGrid w:val="0"/>
              <w:spacing w:before="0" w:beforeLines="0" w:line="240" w:lineRule="auto"/>
              <w:jc w:val="center"/>
              <w:rPr>
                <w:szCs w:val="21"/>
              </w:rPr>
            </w:pPr>
          </w:p>
        </w:tc>
        <w:tc>
          <w:tcPr>
            <w:tcW w:w="587" w:type="pct"/>
            <w:vMerge w:val="continue"/>
            <w:vAlign w:val="center"/>
          </w:tcPr>
          <w:p w14:paraId="074D2882">
            <w:pPr>
              <w:adjustRightInd w:val="0"/>
              <w:snapToGrid w:val="0"/>
              <w:spacing w:before="0" w:beforeLines="0" w:line="240" w:lineRule="auto"/>
              <w:jc w:val="center"/>
              <w:rPr>
                <w:szCs w:val="21"/>
              </w:rPr>
            </w:pPr>
          </w:p>
        </w:tc>
        <w:tc>
          <w:tcPr>
            <w:tcW w:w="252" w:type="pct"/>
            <w:vAlign w:val="center"/>
          </w:tcPr>
          <w:p w14:paraId="3617C384">
            <w:pPr>
              <w:adjustRightInd w:val="0"/>
              <w:snapToGrid w:val="0"/>
              <w:spacing w:before="0" w:beforeLines="0" w:line="240" w:lineRule="auto"/>
              <w:jc w:val="center"/>
              <w:rPr>
                <w:szCs w:val="21"/>
              </w:rPr>
            </w:pPr>
            <w:r>
              <w:rPr>
                <w:rFonts w:hint="eastAsia"/>
                <w:szCs w:val="21"/>
              </w:rPr>
              <w:t>G3</w:t>
            </w:r>
          </w:p>
        </w:tc>
        <w:tc>
          <w:tcPr>
            <w:tcW w:w="1511" w:type="pct"/>
            <w:vAlign w:val="center"/>
          </w:tcPr>
          <w:p w14:paraId="336BBDB9">
            <w:pPr>
              <w:adjustRightInd w:val="0"/>
              <w:snapToGrid w:val="0"/>
              <w:spacing w:before="0" w:beforeLines="0" w:line="240" w:lineRule="auto"/>
              <w:jc w:val="center"/>
              <w:rPr>
                <w:szCs w:val="21"/>
              </w:rPr>
            </w:pPr>
            <w:r>
              <w:rPr>
                <w:rFonts w:hint="eastAsia"/>
                <w:szCs w:val="21"/>
              </w:rPr>
              <w:t>皮带上料+</w:t>
            </w:r>
            <w:r>
              <w:rPr>
                <w:szCs w:val="21"/>
              </w:rPr>
              <w:t>粗磁选</w:t>
            </w:r>
            <w:r>
              <w:rPr>
                <w:rFonts w:hint="eastAsia"/>
                <w:szCs w:val="21"/>
              </w:rPr>
              <w:t>粉尘</w:t>
            </w:r>
          </w:p>
        </w:tc>
        <w:tc>
          <w:tcPr>
            <w:tcW w:w="2061" w:type="pct"/>
            <w:vAlign w:val="center"/>
          </w:tcPr>
          <w:p w14:paraId="48B472F3">
            <w:pPr>
              <w:adjustRightInd w:val="0"/>
              <w:snapToGrid w:val="0"/>
              <w:spacing w:before="0" w:beforeLines="0" w:line="240" w:lineRule="auto"/>
              <w:jc w:val="center"/>
              <w:rPr>
                <w:szCs w:val="21"/>
              </w:rPr>
            </w:pPr>
            <w:r>
              <w:rPr>
                <w:rFonts w:hint="eastAsia"/>
                <w:szCs w:val="21"/>
              </w:rPr>
              <w:t>产尘点设置集气罩，废气收集后经布袋除尘器TA003处理，最终通过高排气筒DA003排放</w:t>
            </w:r>
          </w:p>
        </w:tc>
      </w:tr>
      <w:tr w14:paraId="4BA410D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14:paraId="0D024CF9">
            <w:pPr>
              <w:adjustRightInd w:val="0"/>
              <w:snapToGrid w:val="0"/>
              <w:spacing w:before="0" w:beforeLines="0" w:line="240" w:lineRule="auto"/>
              <w:jc w:val="center"/>
              <w:rPr>
                <w:szCs w:val="21"/>
              </w:rPr>
            </w:pPr>
          </w:p>
        </w:tc>
        <w:tc>
          <w:tcPr>
            <w:tcW w:w="587" w:type="pct"/>
            <w:vMerge w:val="continue"/>
            <w:vAlign w:val="center"/>
          </w:tcPr>
          <w:p w14:paraId="2C4FA4F4">
            <w:pPr>
              <w:adjustRightInd w:val="0"/>
              <w:snapToGrid w:val="0"/>
              <w:spacing w:before="0" w:beforeLines="0" w:line="240" w:lineRule="auto"/>
              <w:jc w:val="center"/>
              <w:rPr>
                <w:szCs w:val="21"/>
              </w:rPr>
            </w:pPr>
          </w:p>
        </w:tc>
        <w:tc>
          <w:tcPr>
            <w:tcW w:w="252" w:type="pct"/>
            <w:vAlign w:val="center"/>
          </w:tcPr>
          <w:p w14:paraId="0677FCD6">
            <w:pPr>
              <w:adjustRightInd w:val="0"/>
              <w:snapToGrid w:val="0"/>
              <w:spacing w:before="0" w:beforeLines="0" w:line="240" w:lineRule="auto"/>
              <w:jc w:val="center"/>
              <w:rPr>
                <w:szCs w:val="21"/>
              </w:rPr>
            </w:pPr>
            <w:r>
              <w:rPr>
                <w:rFonts w:hint="eastAsia"/>
                <w:szCs w:val="21"/>
              </w:rPr>
              <w:t>G4</w:t>
            </w:r>
          </w:p>
        </w:tc>
        <w:tc>
          <w:tcPr>
            <w:tcW w:w="1511" w:type="pct"/>
            <w:vAlign w:val="center"/>
          </w:tcPr>
          <w:p w14:paraId="018DF900">
            <w:pPr>
              <w:adjustRightInd w:val="0"/>
              <w:snapToGrid w:val="0"/>
              <w:spacing w:before="0" w:beforeLines="0" w:line="240" w:lineRule="auto"/>
              <w:jc w:val="center"/>
              <w:rPr>
                <w:szCs w:val="21"/>
              </w:rPr>
            </w:pPr>
            <w:r>
              <w:rPr>
                <w:rFonts w:hint="eastAsia"/>
                <w:szCs w:val="21"/>
              </w:rPr>
              <w:t>皮带上料+</w:t>
            </w:r>
            <w:r>
              <w:rPr>
                <w:szCs w:val="21"/>
              </w:rPr>
              <w:t>抛砂分离</w:t>
            </w:r>
            <w:r>
              <w:rPr>
                <w:rFonts w:hint="eastAsia"/>
                <w:szCs w:val="21"/>
              </w:rPr>
              <w:t>粉尘</w:t>
            </w:r>
          </w:p>
        </w:tc>
        <w:tc>
          <w:tcPr>
            <w:tcW w:w="2061" w:type="pct"/>
            <w:vAlign w:val="center"/>
          </w:tcPr>
          <w:p w14:paraId="442B4933">
            <w:pPr>
              <w:adjustRightInd w:val="0"/>
              <w:snapToGrid w:val="0"/>
              <w:spacing w:before="0" w:beforeLines="0" w:line="240" w:lineRule="auto"/>
              <w:jc w:val="center"/>
              <w:rPr>
                <w:szCs w:val="21"/>
              </w:rPr>
            </w:pPr>
            <w:r>
              <w:rPr>
                <w:rFonts w:hint="eastAsia"/>
                <w:szCs w:val="21"/>
              </w:rPr>
              <w:t>产尘点设置集气罩，废气收集后经布袋除尘器TA003处理，最终通过高排气筒DA003排放</w:t>
            </w:r>
          </w:p>
        </w:tc>
      </w:tr>
      <w:tr w14:paraId="1FCE91D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14:paraId="5EEE799B">
            <w:pPr>
              <w:adjustRightInd w:val="0"/>
              <w:snapToGrid w:val="0"/>
              <w:spacing w:before="0" w:beforeLines="0" w:line="240" w:lineRule="auto"/>
              <w:jc w:val="center"/>
              <w:rPr>
                <w:szCs w:val="21"/>
              </w:rPr>
            </w:pPr>
          </w:p>
        </w:tc>
        <w:tc>
          <w:tcPr>
            <w:tcW w:w="587" w:type="pct"/>
            <w:vMerge w:val="continue"/>
            <w:vAlign w:val="center"/>
          </w:tcPr>
          <w:p w14:paraId="7DBC1E20">
            <w:pPr>
              <w:adjustRightInd w:val="0"/>
              <w:snapToGrid w:val="0"/>
              <w:spacing w:before="0" w:beforeLines="0" w:line="240" w:lineRule="auto"/>
              <w:jc w:val="center"/>
              <w:rPr>
                <w:szCs w:val="21"/>
              </w:rPr>
            </w:pPr>
          </w:p>
        </w:tc>
        <w:tc>
          <w:tcPr>
            <w:tcW w:w="252" w:type="pct"/>
            <w:vAlign w:val="center"/>
          </w:tcPr>
          <w:p w14:paraId="34DCA444">
            <w:pPr>
              <w:adjustRightInd w:val="0"/>
              <w:snapToGrid w:val="0"/>
              <w:spacing w:before="0" w:beforeLines="0" w:line="240" w:lineRule="auto"/>
              <w:jc w:val="center"/>
              <w:rPr>
                <w:szCs w:val="21"/>
              </w:rPr>
            </w:pPr>
            <w:r>
              <w:rPr>
                <w:rFonts w:hint="eastAsia"/>
                <w:szCs w:val="21"/>
              </w:rPr>
              <w:t>G</w:t>
            </w:r>
            <w:r>
              <w:rPr>
                <w:szCs w:val="21"/>
              </w:rPr>
              <w:fldChar w:fldCharType="begin"/>
            </w:r>
            <w:r>
              <w:rPr>
                <w:szCs w:val="21"/>
              </w:rPr>
              <w:instrText xml:space="preserve"> </w:instrText>
            </w:r>
            <w:r>
              <w:rPr>
                <w:rFonts w:hint="eastAsia"/>
                <w:szCs w:val="21"/>
              </w:rPr>
              <w:instrText xml:space="preserve">= 1 \* GB3</w:instrText>
            </w:r>
            <w:r>
              <w:rPr>
                <w:szCs w:val="21"/>
              </w:rPr>
              <w:instrText xml:space="preserve"> </w:instrText>
            </w:r>
            <w:r>
              <w:rPr>
                <w:szCs w:val="21"/>
              </w:rPr>
              <w:fldChar w:fldCharType="separate"/>
            </w:r>
            <w:r>
              <w:rPr>
                <w:rFonts w:hint="eastAsia"/>
                <w:szCs w:val="21"/>
              </w:rPr>
              <w:t>①</w:t>
            </w:r>
            <w:r>
              <w:rPr>
                <w:szCs w:val="21"/>
              </w:rPr>
              <w:fldChar w:fldCharType="end"/>
            </w:r>
          </w:p>
        </w:tc>
        <w:tc>
          <w:tcPr>
            <w:tcW w:w="1511" w:type="pct"/>
            <w:vAlign w:val="center"/>
          </w:tcPr>
          <w:p w14:paraId="2A1E59F8">
            <w:pPr>
              <w:adjustRightInd w:val="0"/>
              <w:snapToGrid w:val="0"/>
              <w:spacing w:before="0" w:beforeLines="0" w:line="240" w:lineRule="auto"/>
              <w:jc w:val="center"/>
              <w:rPr>
                <w:szCs w:val="21"/>
              </w:rPr>
            </w:pPr>
            <w:r>
              <w:rPr>
                <w:rFonts w:hint="eastAsia"/>
                <w:szCs w:val="21"/>
              </w:rPr>
              <w:t>原料卸料粉尘</w:t>
            </w:r>
          </w:p>
        </w:tc>
        <w:tc>
          <w:tcPr>
            <w:tcW w:w="2061" w:type="pct"/>
            <w:vMerge w:val="restart"/>
            <w:vAlign w:val="center"/>
          </w:tcPr>
          <w:p w14:paraId="0F969B40">
            <w:pPr>
              <w:adjustRightInd w:val="0"/>
              <w:snapToGrid w:val="0"/>
              <w:spacing w:before="0" w:beforeLines="0" w:line="240" w:lineRule="auto"/>
              <w:rPr>
                <w:szCs w:val="21"/>
              </w:rPr>
            </w:pPr>
            <w:r>
              <w:rPr>
                <w:rFonts w:hint="eastAsia"/>
                <w:szCs w:val="21"/>
              </w:rPr>
              <w:t>车间封闭、防尘雾炮降尘、车间地面硬化、定期清洁等措施后无组织排放</w:t>
            </w:r>
          </w:p>
        </w:tc>
      </w:tr>
      <w:tr w14:paraId="47040F9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14:paraId="1673E5BD">
            <w:pPr>
              <w:adjustRightInd w:val="0"/>
              <w:snapToGrid w:val="0"/>
              <w:spacing w:before="0" w:beforeLines="0" w:line="240" w:lineRule="auto"/>
              <w:jc w:val="center"/>
              <w:rPr>
                <w:szCs w:val="21"/>
              </w:rPr>
            </w:pPr>
          </w:p>
        </w:tc>
        <w:tc>
          <w:tcPr>
            <w:tcW w:w="587" w:type="pct"/>
            <w:vMerge w:val="continue"/>
            <w:vAlign w:val="center"/>
          </w:tcPr>
          <w:p w14:paraId="7741461E">
            <w:pPr>
              <w:adjustRightInd w:val="0"/>
              <w:snapToGrid w:val="0"/>
              <w:spacing w:before="0" w:beforeLines="0" w:line="240" w:lineRule="auto"/>
              <w:jc w:val="center"/>
              <w:rPr>
                <w:szCs w:val="21"/>
              </w:rPr>
            </w:pPr>
          </w:p>
        </w:tc>
        <w:tc>
          <w:tcPr>
            <w:tcW w:w="252" w:type="pct"/>
            <w:vAlign w:val="center"/>
          </w:tcPr>
          <w:p w14:paraId="1E2BF186">
            <w:pPr>
              <w:adjustRightInd w:val="0"/>
              <w:snapToGrid w:val="0"/>
              <w:spacing w:before="0" w:beforeLines="0" w:line="240" w:lineRule="auto"/>
              <w:jc w:val="center"/>
              <w:rPr>
                <w:szCs w:val="21"/>
              </w:rPr>
            </w:pPr>
            <w:r>
              <w:rPr>
                <w:rFonts w:hint="eastAsia"/>
                <w:szCs w:val="21"/>
              </w:rPr>
              <w:t>G②</w:t>
            </w:r>
          </w:p>
        </w:tc>
        <w:tc>
          <w:tcPr>
            <w:tcW w:w="1511" w:type="pct"/>
            <w:vAlign w:val="center"/>
          </w:tcPr>
          <w:p w14:paraId="018CAD84">
            <w:pPr>
              <w:adjustRightInd w:val="0"/>
              <w:snapToGrid w:val="0"/>
              <w:spacing w:before="0" w:beforeLines="0" w:line="240" w:lineRule="auto"/>
              <w:jc w:val="center"/>
              <w:rPr>
                <w:szCs w:val="21"/>
              </w:rPr>
            </w:pPr>
            <w:r>
              <w:rPr>
                <w:rFonts w:hint="eastAsia"/>
                <w:szCs w:val="21"/>
              </w:rPr>
              <w:t>筛分筛上物装车粉尘</w:t>
            </w:r>
          </w:p>
        </w:tc>
        <w:tc>
          <w:tcPr>
            <w:tcW w:w="2061" w:type="pct"/>
            <w:vMerge w:val="continue"/>
            <w:vAlign w:val="center"/>
          </w:tcPr>
          <w:p w14:paraId="16DD68A4">
            <w:pPr>
              <w:adjustRightInd w:val="0"/>
              <w:snapToGrid w:val="0"/>
              <w:spacing w:before="0" w:beforeLines="0" w:line="240" w:lineRule="auto"/>
              <w:jc w:val="center"/>
              <w:rPr>
                <w:szCs w:val="21"/>
              </w:rPr>
            </w:pPr>
          </w:p>
        </w:tc>
      </w:tr>
      <w:tr w14:paraId="7F630E9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14:paraId="6CCEFBF8">
            <w:pPr>
              <w:adjustRightInd w:val="0"/>
              <w:snapToGrid w:val="0"/>
              <w:spacing w:before="0" w:beforeLines="0" w:line="240" w:lineRule="auto"/>
              <w:jc w:val="center"/>
              <w:rPr>
                <w:szCs w:val="21"/>
              </w:rPr>
            </w:pPr>
          </w:p>
        </w:tc>
        <w:tc>
          <w:tcPr>
            <w:tcW w:w="587" w:type="pct"/>
            <w:vMerge w:val="continue"/>
            <w:vAlign w:val="center"/>
          </w:tcPr>
          <w:p w14:paraId="5BA54583">
            <w:pPr>
              <w:adjustRightInd w:val="0"/>
              <w:snapToGrid w:val="0"/>
              <w:spacing w:before="0" w:beforeLines="0" w:line="240" w:lineRule="auto"/>
              <w:jc w:val="center"/>
              <w:rPr>
                <w:szCs w:val="21"/>
              </w:rPr>
            </w:pPr>
          </w:p>
        </w:tc>
        <w:tc>
          <w:tcPr>
            <w:tcW w:w="252" w:type="pct"/>
            <w:vAlign w:val="center"/>
          </w:tcPr>
          <w:p w14:paraId="6E68AC7F">
            <w:pPr>
              <w:adjustRightInd w:val="0"/>
              <w:snapToGrid w:val="0"/>
              <w:spacing w:before="0" w:beforeLines="0" w:line="240" w:lineRule="auto"/>
              <w:jc w:val="center"/>
              <w:rPr>
                <w:szCs w:val="21"/>
              </w:rPr>
            </w:pPr>
            <w:r>
              <w:rPr>
                <w:rFonts w:hint="eastAsia"/>
                <w:szCs w:val="21"/>
              </w:rPr>
              <w:t>G</w:t>
            </w:r>
            <w:r>
              <w:rPr>
                <w:szCs w:val="21"/>
              </w:rPr>
              <w:fldChar w:fldCharType="begin"/>
            </w:r>
            <w:r>
              <w:rPr>
                <w:szCs w:val="21"/>
              </w:rPr>
              <w:instrText xml:space="preserve"> </w:instrText>
            </w:r>
            <w:r>
              <w:rPr>
                <w:rFonts w:hint="eastAsia"/>
                <w:szCs w:val="21"/>
              </w:rPr>
              <w:instrText xml:space="preserve">= 3 \* GB3</w:instrText>
            </w:r>
            <w:r>
              <w:rPr>
                <w:szCs w:val="21"/>
              </w:rPr>
              <w:instrText xml:space="preserve"> </w:instrText>
            </w:r>
            <w:r>
              <w:rPr>
                <w:szCs w:val="21"/>
              </w:rPr>
              <w:fldChar w:fldCharType="separate"/>
            </w:r>
            <w:r>
              <w:rPr>
                <w:rFonts w:hint="eastAsia"/>
                <w:szCs w:val="21"/>
              </w:rPr>
              <w:t>③</w:t>
            </w:r>
            <w:r>
              <w:rPr>
                <w:szCs w:val="21"/>
              </w:rPr>
              <w:fldChar w:fldCharType="end"/>
            </w:r>
          </w:p>
        </w:tc>
        <w:tc>
          <w:tcPr>
            <w:tcW w:w="1511" w:type="pct"/>
            <w:vAlign w:val="center"/>
          </w:tcPr>
          <w:p w14:paraId="472F85E7">
            <w:pPr>
              <w:adjustRightInd w:val="0"/>
              <w:snapToGrid w:val="0"/>
              <w:spacing w:before="0" w:beforeLines="0" w:line="240" w:lineRule="auto"/>
              <w:jc w:val="center"/>
              <w:rPr>
                <w:szCs w:val="21"/>
              </w:rPr>
            </w:pPr>
            <w:r>
              <w:rPr>
                <w:rFonts w:hint="eastAsia"/>
                <w:szCs w:val="21"/>
              </w:rPr>
              <w:t>机制砂装车粉尘</w:t>
            </w:r>
          </w:p>
        </w:tc>
        <w:tc>
          <w:tcPr>
            <w:tcW w:w="2061" w:type="pct"/>
            <w:vMerge w:val="continue"/>
            <w:vAlign w:val="center"/>
          </w:tcPr>
          <w:p w14:paraId="40AE7248">
            <w:pPr>
              <w:adjustRightInd w:val="0"/>
              <w:snapToGrid w:val="0"/>
              <w:spacing w:before="0" w:beforeLines="0" w:line="240" w:lineRule="auto"/>
              <w:jc w:val="center"/>
              <w:rPr>
                <w:szCs w:val="21"/>
              </w:rPr>
            </w:pPr>
          </w:p>
        </w:tc>
      </w:tr>
      <w:tr w14:paraId="3BEF9E0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14:paraId="3B3F85E8">
            <w:pPr>
              <w:adjustRightInd w:val="0"/>
              <w:snapToGrid w:val="0"/>
              <w:spacing w:before="0" w:beforeLines="0" w:line="240" w:lineRule="auto"/>
              <w:jc w:val="center"/>
              <w:rPr>
                <w:szCs w:val="21"/>
              </w:rPr>
            </w:pPr>
          </w:p>
        </w:tc>
        <w:tc>
          <w:tcPr>
            <w:tcW w:w="587" w:type="pct"/>
            <w:vMerge w:val="continue"/>
            <w:vAlign w:val="center"/>
          </w:tcPr>
          <w:p w14:paraId="0F00E6CE">
            <w:pPr>
              <w:adjustRightInd w:val="0"/>
              <w:snapToGrid w:val="0"/>
              <w:spacing w:before="0" w:beforeLines="0" w:line="240" w:lineRule="auto"/>
              <w:jc w:val="center"/>
              <w:rPr>
                <w:szCs w:val="21"/>
              </w:rPr>
            </w:pPr>
          </w:p>
        </w:tc>
        <w:tc>
          <w:tcPr>
            <w:tcW w:w="252" w:type="pct"/>
            <w:vAlign w:val="center"/>
          </w:tcPr>
          <w:p w14:paraId="30A3384A">
            <w:pPr>
              <w:adjustRightInd w:val="0"/>
              <w:snapToGrid w:val="0"/>
              <w:spacing w:before="0" w:beforeLines="0" w:line="240" w:lineRule="auto"/>
              <w:jc w:val="center"/>
              <w:rPr>
                <w:szCs w:val="21"/>
              </w:rPr>
            </w:pPr>
            <w:r>
              <w:rPr>
                <w:rFonts w:hint="eastAsia"/>
                <w:szCs w:val="21"/>
              </w:rPr>
              <w:t>G</w:t>
            </w:r>
            <w:r>
              <w:rPr>
                <w:szCs w:val="21"/>
              </w:rPr>
              <w:fldChar w:fldCharType="begin"/>
            </w:r>
            <w:r>
              <w:rPr>
                <w:szCs w:val="21"/>
              </w:rPr>
              <w:instrText xml:space="preserve"> </w:instrText>
            </w:r>
            <w:r>
              <w:rPr>
                <w:rFonts w:hint="eastAsia"/>
                <w:szCs w:val="21"/>
              </w:rPr>
              <w:instrText xml:space="preserve">= 4 \* GB3</w:instrText>
            </w:r>
            <w:r>
              <w:rPr>
                <w:szCs w:val="21"/>
              </w:rPr>
              <w:instrText xml:space="preserve"> </w:instrText>
            </w:r>
            <w:r>
              <w:rPr>
                <w:szCs w:val="21"/>
              </w:rPr>
              <w:fldChar w:fldCharType="separate"/>
            </w:r>
            <w:r>
              <w:rPr>
                <w:rFonts w:hint="eastAsia"/>
                <w:szCs w:val="21"/>
              </w:rPr>
              <w:t>④</w:t>
            </w:r>
            <w:r>
              <w:rPr>
                <w:szCs w:val="21"/>
              </w:rPr>
              <w:fldChar w:fldCharType="end"/>
            </w:r>
          </w:p>
        </w:tc>
        <w:tc>
          <w:tcPr>
            <w:tcW w:w="1511" w:type="pct"/>
            <w:vAlign w:val="center"/>
          </w:tcPr>
          <w:p w14:paraId="00B3455B">
            <w:pPr>
              <w:adjustRightInd w:val="0"/>
              <w:snapToGrid w:val="0"/>
              <w:spacing w:before="0" w:beforeLines="0" w:line="240" w:lineRule="auto"/>
              <w:jc w:val="center"/>
              <w:rPr>
                <w:szCs w:val="21"/>
              </w:rPr>
            </w:pPr>
            <w:r>
              <w:rPr>
                <w:rFonts w:hint="eastAsia"/>
                <w:szCs w:val="21"/>
              </w:rPr>
              <w:t>铁精矿产品储存</w:t>
            </w:r>
          </w:p>
        </w:tc>
        <w:tc>
          <w:tcPr>
            <w:tcW w:w="2061" w:type="pct"/>
            <w:vAlign w:val="center"/>
          </w:tcPr>
          <w:p w14:paraId="787858B2">
            <w:pPr>
              <w:adjustRightInd w:val="0"/>
              <w:snapToGrid w:val="0"/>
              <w:spacing w:before="0" w:beforeLines="0" w:line="240" w:lineRule="auto"/>
              <w:jc w:val="center"/>
              <w:rPr>
                <w:szCs w:val="21"/>
              </w:rPr>
            </w:pPr>
            <w:r>
              <w:rPr>
                <w:rFonts w:hint="eastAsia"/>
                <w:szCs w:val="21"/>
              </w:rPr>
              <w:t>封闭筒仓，仓顶除尘</w:t>
            </w:r>
          </w:p>
        </w:tc>
      </w:tr>
      <w:tr w14:paraId="43BAFE1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14:paraId="612CA773">
            <w:pPr>
              <w:adjustRightInd w:val="0"/>
              <w:snapToGrid w:val="0"/>
              <w:spacing w:before="0" w:beforeLines="0" w:line="240" w:lineRule="auto"/>
              <w:jc w:val="center"/>
              <w:rPr>
                <w:szCs w:val="21"/>
              </w:rPr>
            </w:pPr>
          </w:p>
        </w:tc>
        <w:tc>
          <w:tcPr>
            <w:tcW w:w="587" w:type="pct"/>
            <w:vMerge w:val="restart"/>
            <w:vAlign w:val="center"/>
          </w:tcPr>
          <w:p w14:paraId="0920CC3C">
            <w:pPr>
              <w:adjustRightInd w:val="0"/>
              <w:snapToGrid w:val="0"/>
              <w:spacing w:before="0" w:beforeLines="0" w:line="240" w:lineRule="auto"/>
              <w:jc w:val="center"/>
              <w:rPr>
                <w:szCs w:val="21"/>
              </w:rPr>
            </w:pPr>
            <w:r>
              <w:rPr>
                <w:rFonts w:hint="eastAsia"/>
                <w:szCs w:val="21"/>
              </w:rPr>
              <w:t>破碎车间</w:t>
            </w:r>
          </w:p>
        </w:tc>
        <w:tc>
          <w:tcPr>
            <w:tcW w:w="252" w:type="pct"/>
            <w:vAlign w:val="center"/>
          </w:tcPr>
          <w:p w14:paraId="4A47CB06">
            <w:pPr>
              <w:adjustRightInd w:val="0"/>
              <w:snapToGrid w:val="0"/>
              <w:spacing w:before="0" w:beforeLines="0" w:line="240" w:lineRule="auto"/>
              <w:jc w:val="center"/>
              <w:rPr>
                <w:szCs w:val="21"/>
              </w:rPr>
            </w:pPr>
            <w:r>
              <w:rPr>
                <w:rFonts w:hint="eastAsia"/>
                <w:szCs w:val="21"/>
              </w:rPr>
              <w:t>G5</w:t>
            </w:r>
          </w:p>
        </w:tc>
        <w:tc>
          <w:tcPr>
            <w:tcW w:w="1511" w:type="pct"/>
            <w:vAlign w:val="center"/>
          </w:tcPr>
          <w:p w14:paraId="433F0CDC">
            <w:pPr>
              <w:adjustRightInd w:val="0"/>
              <w:snapToGrid w:val="0"/>
              <w:spacing w:before="0" w:beforeLines="0" w:line="240" w:lineRule="auto"/>
              <w:jc w:val="center"/>
              <w:rPr>
                <w:szCs w:val="21"/>
              </w:rPr>
            </w:pPr>
            <w:r>
              <w:rPr>
                <w:rFonts w:hint="eastAsia"/>
                <w:szCs w:val="21"/>
              </w:rPr>
              <w:t>铲车</w:t>
            </w:r>
            <w:r>
              <w:rPr>
                <w:szCs w:val="21"/>
              </w:rPr>
              <w:t>上料</w:t>
            </w:r>
            <w:r>
              <w:rPr>
                <w:rFonts w:hint="eastAsia"/>
                <w:szCs w:val="21"/>
              </w:rPr>
              <w:t>+</w:t>
            </w:r>
            <w:r>
              <w:rPr>
                <w:rFonts w:hint="eastAsia"/>
                <w:szCs w:val="21"/>
                <w:lang w:eastAsia="zh-CN"/>
              </w:rPr>
              <w:t>颚式破碎</w:t>
            </w:r>
            <w:r>
              <w:rPr>
                <w:rFonts w:hint="eastAsia"/>
                <w:szCs w:val="21"/>
              </w:rPr>
              <w:t>粉尘</w:t>
            </w:r>
          </w:p>
        </w:tc>
        <w:tc>
          <w:tcPr>
            <w:tcW w:w="2061" w:type="pct"/>
            <w:vMerge w:val="restart"/>
            <w:vAlign w:val="center"/>
          </w:tcPr>
          <w:p w14:paraId="3F448BFB">
            <w:pPr>
              <w:adjustRightInd w:val="0"/>
              <w:snapToGrid w:val="0"/>
              <w:spacing w:before="0" w:beforeLines="0" w:line="240" w:lineRule="auto"/>
              <w:jc w:val="center"/>
              <w:rPr>
                <w:szCs w:val="21"/>
              </w:rPr>
            </w:pPr>
            <w:r>
              <w:rPr>
                <w:rFonts w:hint="eastAsia"/>
                <w:szCs w:val="21"/>
              </w:rPr>
              <w:t>各产尘点均设置集气罩，废气收集后经布袋除尘器DA004处理，最终通过高排气筒DA004排放</w:t>
            </w:r>
          </w:p>
        </w:tc>
      </w:tr>
      <w:tr w14:paraId="65E4511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14:paraId="570AB73A">
            <w:pPr>
              <w:adjustRightInd w:val="0"/>
              <w:snapToGrid w:val="0"/>
              <w:spacing w:before="0" w:beforeLines="0" w:line="240" w:lineRule="auto"/>
              <w:jc w:val="center"/>
              <w:rPr>
                <w:szCs w:val="21"/>
              </w:rPr>
            </w:pPr>
          </w:p>
        </w:tc>
        <w:tc>
          <w:tcPr>
            <w:tcW w:w="587" w:type="pct"/>
            <w:vMerge w:val="continue"/>
            <w:vAlign w:val="center"/>
          </w:tcPr>
          <w:p w14:paraId="51241797">
            <w:pPr>
              <w:adjustRightInd w:val="0"/>
              <w:snapToGrid w:val="0"/>
              <w:spacing w:before="0" w:beforeLines="0" w:line="240" w:lineRule="auto"/>
              <w:jc w:val="center"/>
              <w:rPr>
                <w:szCs w:val="21"/>
              </w:rPr>
            </w:pPr>
          </w:p>
        </w:tc>
        <w:tc>
          <w:tcPr>
            <w:tcW w:w="252" w:type="pct"/>
            <w:vAlign w:val="center"/>
          </w:tcPr>
          <w:p w14:paraId="70A9EECB">
            <w:pPr>
              <w:adjustRightInd w:val="0"/>
              <w:snapToGrid w:val="0"/>
              <w:spacing w:before="0" w:beforeLines="0" w:line="240" w:lineRule="auto"/>
              <w:jc w:val="center"/>
              <w:rPr>
                <w:szCs w:val="21"/>
              </w:rPr>
            </w:pPr>
            <w:r>
              <w:rPr>
                <w:rFonts w:hint="eastAsia"/>
                <w:szCs w:val="21"/>
              </w:rPr>
              <w:t>G6</w:t>
            </w:r>
          </w:p>
        </w:tc>
        <w:tc>
          <w:tcPr>
            <w:tcW w:w="1511" w:type="pct"/>
            <w:vAlign w:val="center"/>
          </w:tcPr>
          <w:p w14:paraId="0883A34F">
            <w:pPr>
              <w:adjustRightInd w:val="0"/>
              <w:snapToGrid w:val="0"/>
              <w:spacing w:before="0" w:beforeLines="0" w:line="240" w:lineRule="auto"/>
              <w:jc w:val="center"/>
              <w:rPr>
                <w:szCs w:val="21"/>
              </w:rPr>
            </w:pPr>
            <w:r>
              <w:rPr>
                <w:rFonts w:hint="eastAsia"/>
                <w:szCs w:val="21"/>
              </w:rPr>
              <w:t>皮带上料+</w:t>
            </w:r>
            <w:r>
              <w:rPr>
                <w:szCs w:val="21"/>
              </w:rPr>
              <w:t>圆锥破碎</w:t>
            </w:r>
            <w:r>
              <w:rPr>
                <w:rFonts w:hint="eastAsia"/>
                <w:szCs w:val="21"/>
              </w:rPr>
              <w:t>粉尘</w:t>
            </w:r>
          </w:p>
        </w:tc>
        <w:tc>
          <w:tcPr>
            <w:tcW w:w="2061" w:type="pct"/>
            <w:vMerge w:val="continue"/>
            <w:vAlign w:val="center"/>
          </w:tcPr>
          <w:p w14:paraId="423AD403">
            <w:pPr>
              <w:adjustRightInd w:val="0"/>
              <w:snapToGrid w:val="0"/>
              <w:spacing w:before="0" w:beforeLines="0" w:line="240" w:lineRule="auto"/>
              <w:jc w:val="center"/>
              <w:rPr>
                <w:szCs w:val="21"/>
              </w:rPr>
            </w:pPr>
          </w:p>
        </w:tc>
      </w:tr>
      <w:tr w14:paraId="66E4503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14:paraId="6152D4D2">
            <w:pPr>
              <w:adjustRightInd w:val="0"/>
              <w:snapToGrid w:val="0"/>
              <w:spacing w:before="0" w:beforeLines="0" w:line="240" w:lineRule="auto"/>
              <w:jc w:val="center"/>
              <w:rPr>
                <w:szCs w:val="21"/>
              </w:rPr>
            </w:pPr>
          </w:p>
        </w:tc>
        <w:tc>
          <w:tcPr>
            <w:tcW w:w="587" w:type="pct"/>
            <w:vMerge w:val="continue"/>
            <w:vAlign w:val="center"/>
          </w:tcPr>
          <w:p w14:paraId="41BB5B4C">
            <w:pPr>
              <w:adjustRightInd w:val="0"/>
              <w:snapToGrid w:val="0"/>
              <w:spacing w:before="0" w:beforeLines="0" w:line="240" w:lineRule="auto"/>
              <w:jc w:val="center"/>
              <w:rPr>
                <w:szCs w:val="21"/>
              </w:rPr>
            </w:pPr>
          </w:p>
        </w:tc>
        <w:tc>
          <w:tcPr>
            <w:tcW w:w="252" w:type="pct"/>
            <w:vAlign w:val="center"/>
          </w:tcPr>
          <w:p w14:paraId="4BAA58BC">
            <w:pPr>
              <w:adjustRightInd w:val="0"/>
              <w:snapToGrid w:val="0"/>
              <w:spacing w:before="0" w:beforeLines="0" w:line="240" w:lineRule="auto"/>
              <w:jc w:val="center"/>
              <w:rPr>
                <w:szCs w:val="21"/>
              </w:rPr>
            </w:pPr>
            <w:r>
              <w:rPr>
                <w:rFonts w:hint="eastAsia"/>
                <w:szCs w:val="21"/>
              </w:rPr>
              <w:t>G7</w:t>
            </w:r>
          </w:p>
        </w:tc>
        <w:tc>
          <w:tcPr>
            <w:tcW w:w="1511" w:type="pct"/>
            <w:vAlign w:val="center"/>
          </w:tcPr>
          <w:p w14:paraId="1DF91D8F">
            <w:pPr>
              <w:adjustRightInd w:val="0"/>
              <w:snapToGrid w:val="0"/>
              <w:spacing w:before="0" w:beforeLines="0" w:line="240" w:lineRule="auto"/>
              <w:jc w:val="center"/>
              <w:rPr>
                <w:szCs w:val="21"/>
              </w:rPr>
            </w:pPr>
            <w:r>
              <w:rPr>
                <w:rFonts w:hint="eastAsia"/>
                <w:szCs w:val="21"/>
              </w:rPr>
              <w:t>皮带上料+</w:t>
            </w:r>
            <w:r>
              <w:rPr>
                <w:szCs w:val="21"/>
              </w:rPr>
              <w:t>一段干磁选</w:t>
            </w:r>
            <w:r>
              <w:rPr>
                <w:rFonts w:hint="eastAsia"/>
                <w:szCs w:val="21"/>
              </w:rPr>
              <w:t>粉尘</w:t>
            </w:r>
          </w:p>
        </w:tc>
        <w:tc>
          <w:tcPr>
            <w:tcW w:w="2061" w:type="pct"/>
            <w:vMerge w:val="continue"/>
            <w:vAlign w:val="center"/>
          </w:tcPr>
          <w:p w14:paraId="611B143D">
            <w:pPr>
              <w:adjustRightInd w:val="0"/>
              <w:snapToGrid w:val="0"/>
              <w:spacing w:before="0" w:beforeLines="0" w:line="240" w:lineRule="auto"/>
              <w:jc w:val="center"/>
              <w:rPr>
                <w:szCs w:val="21"/>
              </w:rPr>
            </w:pPr>
          </w:p>
        </w:tc>
      </w:tr>
      <w:tr w14:paraId="5E3C8DC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14:paraId="2A0399ED">
            <w:pPr>
              <w:adjustRightInd w:val="0"/>
              <w:snapToGrid w:val="0"/>
              <w:spacing w:before="0" w:beforeLines="0" w:line="240" w:lineRule="auto"/>
              <w:jc w:val="center"/>
              <w:rPr>
                <w:szCs w:val="21"/>
              </w:rPr>
            </w:pPr>
          </w:p>
        </w:tc>
        <w:tc>
          <w:tcPr>
            <w:tcW w:w="587" w:type="pct"/>
            <w:vMerge w:val="continue"/>
            <w:vAlign w:val="center"/>
          </w:tcPr>
          <w:p w14:paraId="6734E273">
            <w:pPr>
              <w:adjustRightInd w:val="0"/>
              <w:snapToGrid w:val="0"/>
              <w:spacing w:before="0" w:beforeLines="0" w:line="240" w:lineRule="auto"/>
              <w:jc w:val="center"/>
              <w:rPr>
                <w:szCs w:val="21"/>
              </w:rPr>
            </w:pPr>
          </w:p>
        </w:tc>
        <w:tc>
          <w:tcPr>
            <w:tcW w:w="252" w:type="pct"/>
            <w:vAlign w:val="center"/>
          </w:tcPr>
          <w:p w14:paraId="72E04F4F">
            <w:pPr>
              <w:adjustRightInd w:val="0"/>
              <w:snapToGrid w:val="0"/>
              <w:spacing w:before="0" w:beforeLines="0" w:line="240" w:lineRule="auto"/>
              <w:jc w:val="center"/>
              <w:rPr>
                <w:szCs w:val="21"/>
              </w:rPr>
            </w:pPr>
            <w:r>
              <w:rPr>
                <w:rFonts w:hint="eastAsia"/>
                <w:szCs w:val="21"/>
              </w:rPr>
              <w:t>G8</w:t>
            </w:r>
          </w:p>
        </w:tc>
        <w:tc>
          <w:tcPr>
            <w:tcW w:w="1511" w:type="pct"/>
            <w:vAlign w:val="center"/>
          </w:tcPr>
          <w:p w14:paraId="4CD0EC8D">
            <w:pPr>
              <w:adjustRightInd w:val="0"/>
              <w:snapToGrid w:val="0"/>
              <w:spacing w:before="0" w:beforeLines="0" w:line="240" w:lineRule="auto"/>
              <w:jc w:val="center"/>
              <w:rPr>
                <w:szCs w:val="21"/>
              </w:rPr>
            </w:pPr>
            <w:r>
              <w:rPr>
                <w:rFonts w:hint="eastAsia"/>
                <w:szCs w:val="21"/>
              </w:rPr>
              <w:t>皮带上料+</w:t>
            </w:r>
            <w:r>
              <w:rPr>
                <w:szCs w:val="21"/>
              </w:rPr>
              <w:t>精筛分</w:t>
            </w:r>
            <w:r>
              <w:rPr>
                <w:rFonts w:hint="eastAsia"/>
                <w:szCs w:val="21"/>
              </w:rPr>
              <w:t>粉尘</w:t>
            </w:r>
          </w:p>
        </w:tc>
        <w:tc>
          <w:tcPr>
            <w:tcW w:w="2061" w:type="pct"/>
            <w:vMerge w:val="continue"/>
            <w:vAlign w:val="center"/>
          </w:tcPr>
          <w:p w14:paraId="224F7B5E">
            <w:pPr>
              <w:adjustRightInd w:val="0"/>
              <w:snapToGrid w:val="0"/>
              <w:spacing w:before="0" w:beforeLines="0" w:line="240" w:lineRule="auto"/>
              <w:jc w:val="center"/>
              <w:rPr>
                <w:szCs w:val="21"/>
              </w:rPr>
            </w:pPr>
          </w:p>
        </w:tc>
      </w:tr>
      <w:tr w14:paraId="4E1F5CF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14:paraId="34730048">
            <w:pPr>
              <w:adjustRightInd w:val="0"/>
              <w:snapToGrid w:val="0"/>
              <w:spacing w:before="0" w:beforeLines="0" w:line="240" w:lineRule="auto"/>
              <w:jc w:val="center"/>
              <w:rPr>
                <w:szCs w:val="21"/>
              </w:rPr>
            </w:pPr>
          </w:p>
        </w:tc>
        <w:tc>
          <w:tcPr>
            <w:tcW w:w="587" w:type="pct"/>
            <w:vMerge w:val="continue"/>
            <w:vAlign w:val="center"/>
          </w:tcPr>
          <w:p w14:paraId="3ADE886C">
            <w:pPr>
              <w:adjustRightInd w:val="0"/>
              <w:snapToGrid w:val="0"/>
              <w:spacing w:before="0" w:beforeLines="0" w:line="240" w:lineRule="auto"/>
              <w:jc w:val="center"/>
              <w:rPr>
                <w:szCs w:val="21"/>
              </w:rPr>
            </w:pPr>
          </w:p>
        </w:tc>
        <w:tc>
          <w:tcPr>
            <w:tcW w:w="252" w:type="pct"/>
            <w:vAlign w:val="center"/>
          </w:tcPr>
          <w:p w14:paraId="06246EE8">
            <w:pPr>
              <w:adjustRightInd w:val="0"/>
              <w:snapToGrid w:val="0"/>
              <w:spacing w:before="0" w:beforeLines="0" w:line="240" w:lineRule="auto"/>
              <w:jc w:val="center"/>
              <w:rPr>
                <w:szCs w:val="21"/>
              </w:rPr>
            </w:pPr>
            <w:r>
              <w:rPr>
                <w:rFonts w:hint="eastAsia"/>
                <w:szCs w:val="21"/>
              </w:rPr>
              <w:t>G9</w:t>
            </w:r>
          </w:p>
        </w:tc>
        <w:tc>
          <w:tcPr>
            <w:tcW w:w="1511" w:type="pct"/>
            <w:vAlign w:val="center"/>
          </w:tcPr>
          <w:p w14:paraId="4F4DD95D">
            <w:pPr>
              <w:adjustRightInd w:val="0"/>
              <w:snapToGrid w:val="0"/>
              <w:spacing w:before="0" w:beforeLines="0" w:line="240" w:lineRule="auto"/>
              <w:jc w:val="center"/>
              <w:rPr>
                <w:szCs w:val="21"/>
              </w:rPr>
            </w:pPr>
            <w:r>
              <w:rPr>
                <w:rFonts w:hint="eastAsia"/>
                <w:szCs w:val="21"/>
              </w:rPr>
              <w:t>皮带上料+</w:t>
            </w:r>
            <w:r>
              <w:rPr>
                <w:szCs w:val="21"/>
              </w:rPr>
              <w:t>破碎</w:t>
            </w:r>
            <w:r>
              <w:rPr>
                <w:rFonts w:hint="eastAsia"/>
                <w:szCs w:val="21"/>
              </w:rPr>
              <w:t>粉尘</w:t>
            </w:r>
          </w:p>
        </w:tc>
        <w:tc>
          <w:tcPr>
            <w:tcW w:w="2061" w:type="pct"/>
            <w:vMerge w:val="continue"/>
            <w:vAlign w:val="center"/>
          </w:tcPr>
          <w:p w14:paraId="3EBF5B53">
            <w:pPr>
              <w:adjustRightInd w:val="0"/>
              <w:snapToGrid w:val="0"/>
              <w:spacing w:before="0" w:beforeLines="0" w:line="240" w:lineRule="auto"/>
              <w:jc w:val="center"/>
              <w:rPr>
                <w:szCs w:val="21"/>
              </w:rPr>
            </w:pPr>
          </w:p>
        </w:tc>
      </w:tr>
      <w:tr w14:paraId="5213B3F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14:paraId="703A5F97">
            <w:pPr>
              <w:adjustRightInd w:val="0"/>
              <w:snapToGrid w:val="0"/>
              <w:spacing w:before="0" w:beforeLines="0" w:line="240" w:lineRule="auto"/>
              <w:jc w:val="center"/>
              <w:rPr>
                <w:szCs w:val="21"/>
              </w:rPr>
            </w:pPr>
          </w:p>
        </w:tc>
        <w:tc>
          <w:tcPr>
            <w:tcW w:w="587" w:type="pct"/>
            <w:vMerge w:val="continue"/>
            <w:vAlign w:val="center"/>
          </w:tcPr>
          <w:p w14:paraId="0A720AF6">
            <w:pPr>
              <w:adjustRightInd w:val="0"/>
              <w:snapToGrid w:val="0"/>
              <w:spacing w:before="0" w:beforeLines="0" w:line="240" w:lineRule="auto"/>
              <w:jc w:val="center"/>
              <w:rPr>
                <w:szCs w:val="21"/>
              </w:rPr>
            </w:pPr>
          </w:p>
        </w:tc>
        <w:tc>
          <w:tcPr>
            <w:tcW w:w="252" w:type="pct"/>
            <w:vAlign w:val="center"/>
          </w:tcPr>
          <w:p w14:paraId="541B3072">
            <w:pPr>
              <w:adjustRightInd w:val="0"/>
              <w:snapToGrid w:val="0"/>
              <w:spacing w:before="0" w:beforeLines="0" w:line="240" w:lineRule="auto"/>
              <w:jc w:val="center"/>
              <w:rPr>
                <w:szCs w:val="21"/>
              </w:rPr>
            </w:pPr>
            <w:r>
              <w:rPr>
                <w:rFonts w:hint="eastAsia"/>
                <w:szCs w:val="21"/>
              </w:rPr>
              <w:t>G10</w:t>
            </w:r>
          </w:p>
        </w:tc>
        <w:tc>
          <w:tcPr>
            <w:tcW w:w="1511" w:type="pct"/>
            <w:vAlign w:val="center"/>
          </w:tcPr>
          <w:p w14:paraId="57EFDE12">
            <w:pPr>
              <w:adjustRightInd w:val="0"/>
              <w:snapToGrid w:val="0"/>
              <w:spacing w:before="0" w:beforeLines="0" w:line="240" w:lineRule="auto"/>
              <w:jc w:val="center"/>
              <w:rPr>
                <w:szCs w:val="21"/>
              </w:rPr>
            </w:pPr>
            <w:r>
              <w:rPr>
                <w:rFonts w:hint="eastAsia"/>
                <w:szCs w:val="21"/>
              </w:rPr>
              <w:t>皮带上料+</w:t>
            </w:r>
            <w:r>
              <w:rPr>
                <w:szCs w:val="21"/>
              </w:rPr>
              <w:t>二段干磁选</w:t>
            </w:r>
            <w:r>
              <w:rPr>
                <w:rFonts w:hint="eastAsia"/>
                <w:szCs w:val="21"/>
              </w:rPr>
              <w:t>粉尘</w:t>
            </w:r>
          </w:p>
        </w:tc>
        <w:tc>
          <w:tcPr>
            <w:tcW w:w="2061" w:type="pct"/>
            <w:vMerge w:val="continue"/>
            <w:vAlign w:val="center"/>
          </w:tcPr>
          <w:p w14:paraId="321E5E48">
            <w:pPr>
              <w:adjustRightInd w:val="0"/>
              <w:snapToGrid w:val="0"/>
              <w:spacing w:before="0" w:beforeLines="0" w:line="240" w:lineRule="auto"/>
              <w:jc w:val="center"/>
              <w:rPr>
                <w:szCs w:val="21"/>
              </w:rPr>
            </w:pPr>
          </w:p>
        </w:tc>
      </w:tr>
      <w:tr w14:paraId="13F681C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14:paraId="653546CE">
            <w:pPr>
              <w:adjustRightInd w:val="0"/>
              <w:snapToGrid w:val="0"/>
              <w:spacing w:before="0" w:beforeLines="0" w:line="240" w:lineRule="auto"/>
              <w:jc w:val="center"/>
              <w:rPr>
                <w:szCs w:val="21"/>
              </w:rPr>
            </w:pPr>
          </w:p>
        </w:tc>
        <w:tc>
          <w:tcPr>
            <w:tcW w:w="587" w:type="pct"/>
            <w:vMerge w:val="continue"/>
            <w:vAlign w:val="center"/>
          </w:tcPr>
          <w:p w14:paraId="47EA4120">
            <w:pPr>
              <w:adjustRightInd w:val="0"/>
              <w:snapToGrid w:val="0"/>
              <w:spacing w:before="0" w:beforeLines="0" w:line="240" w:lineRule="auto"/>
              <w:jc w:val="center"/>
              <w:rPr>
                <w:szCs w:val="21"/>
              </w:rPr>
            </w:pPr>
          </w:p>
        </w:tc>
        <w:tc>
          <w:tcPr>
            <w:tcW w:w="252" w:type="pct"/>
            <w:vAlign w:val="center"/>
          </w:tcPr>
          <w:p w14:paraId="00D13EDF">
            <w:pPr>
              <w:adjustRightInd w:val="0"/>
              <w:snapToGrid w:val="0"/>
              <w:spacing w:before="0" w:beforeLines="0" w:line="240" w:lineRule="auto"/>
              <w:jc w:val="center"/>
              <w:rPr>
                <w:szCs w:val="21"/>
              </w:rPr>
            </w:pPr>
            <w:r>
              <w:rPr>
                <w:rFonts w:hint="eastAsia"/>
                <w:szCs w:val="21"/>
              </w:rPr>
              <w:t>G</w:t>
            </w:r>
            <w:r>
              <w:rPr>
                <w:szCs w:val="21"/>
              </w:rPr>
              <w:fldChar w:fldCharType="begin"/>
            </w:r>
            <w:r>
              <w:rPr>
                <w:szCs w:val="21"/>
              </w:rPr>
              <w:instrText xml:space="preserve"> </w:instrText>
            </w:r>
            <w:r>
              <w:rPr>
                <w:rFonts w:hint="eastAsia"/>
                <w:szCs w:val="21"/>
              </w:rPr>
              <w:instrText xml:space="preserve">= 5 \* GB3</w:instrText>
            </w:r>
            <w:r>
              <w:rPr>
                <w:szCs w:val="21"/>
              </w:rPr>
              <w:instrText xml:space="preserve"> </w:instrText>
            </w:r>
            <w:r>
              <w:rPr>
                <w:szCs w:val="21"/>
              </w:rPr>
              <w:fldChar w:fldCharType="separate"/>
            </w:r>
            <w:r>
              <w:rPr>
                <w:rFonts w:hint="eastAsia"/>
                <w:szCs w:val="21"/>
              </w:rPr>
              <w:t>⑤</w:t>
            </w:r>
            <w:r>
              <w:rPr>
                <w:szCs w:val="21"/>
              </w:rPr>
              <w:fldChar w:fldCharType="end"/>
            </w:r>
          </w:p>
        </w:tc>
        <w:tc>
          <w:tcPr>
            <w:tcW w:w="1511" w:type="pct"/>
            <w:vAlign w:val="center"/>
          </w:tcPr>
          <w:p w14:paraId="7665A71B">
            <w:pPr>
              <w:adjustRightInd w:val="0"/>
              <w:snapToGrid w:val="0"/>
              <w:spacing w:before="0" w:beforeLines="0" w:line="240" w:lineRule="auto"/>
              <w:jc w:val="center"/>
              <w:rPr>
                <w:szCs w:val="21"/>
              </w:rPr>
            </w:pPr>
            <w:r>
              <w:rPr>
                <w:rFonts w:hint="eastAsia"/>
                <w:szCs w:val="21"/>
              </w:rPr>
              <w:t>原料卸料粉尘</w:t>
            </w:r>
          </w:p>
        </w:tc>
        <w:tc>
          <w:tcPr>
            <w:tcW w:w="2061" w:type="pct"/>
            <w:vAlign w:val="center"/>
          </w:tcPr>
          <w:p w14:paraId="34C8BC8F">
            <w:pPr>
              <w:adjustRightInd w:val="0"/>
              <w:snapToGrid w:val="0"/>
              <w:spacing w:before="0" w:beforeLines="0" w:line="240" w:lineRule="auto"/>
              <w:jc w:val="center"/>
              <w:rPr>
                <w:szCs w:val="21"/>
              </w:rPr>
            </w:pPr>
            <w:r>
              <w:rPr>
                <w:rFonts w:hint="eastAsia"/>
                <w:szCs w:val="21"/>
              </w:rPr>
              <w:t>车间封闭、防尘雾炮降尘、车间地面硬化、定期清洁等措施</w:t>
            </w:r>
          </w:p>
        </w:tc>
      </w:tr>
      <w:tr w14:paraId="2FABCE4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14:paraId="35F5D78B">
            <w:pPr>
              <w:adjustRightInd w:val="0"/>
              <w:snapToGrid w:val="0"/>
              <w:spacing w:before="0" w:beforeLines="0" w:line="240" w:lineRule="auto"/>
              <w:jc w:val="center"/>
              <w:rPr>
                <w:szCs w:val="21"/>
              </w:rPr>
            </w:pPr>
          </w:p>
        </w:tc>
        <w:tc>
          <w:tcPr>
            <w:tcW w:w="587" w:type="pct"/>
            <w:vMerge w:val="continue"/>
            <w:vAlign w:val="center"/>
          </w:tcPr>
          <w:p w14:paraId="335ACE48">
            <w:pPr>
              <w:adjustRightInd w:val="0"/>
              <w:snapToGrid w:val="0"/>
              <w:spacing w:before="0" w:beforeLines="0" w:line="240" w:lineRule="auto"/>
              <w:jc w:val="center"/>
              <w:rPr>
                <w:szCs w:val="21"/>
              </w:rPr>
            </w:pPr>
          </w:p>
        </w:tc>
        <w:tc>
          <w:tcPr>
            <w:tcW w:w="252" w:type="pct"/>
            <w:vAlign w:val="center"/>
          </w:tcPr>
          <w:p w14:paraId="3DA87161">
            <w:pPr>
              <w:adjustRightInd w:val="0"/>
              <w:snapToGrid w:val="0"/>
              <w:spacing w:before="0" w:beforeLines="0" w:line="240" w:lineRule="auto"/>
              <w:jc w:val="center"/>
              <w:rPr>
                <w:szCs w:val="21"/>
              </w:rPr>
            </w:pPr>
            <w:r>
              <w:rPr>
                <w:rFonts w:hint="eastAsia"/>
                <w:szCs w:val="21"/>
              </w:rPr>
              <w:t>G</w:t>
            </w:r>
            <w:r>
              <w:rPr>
                <w:szCs w:val="21"/>
              </w:rPr>
              <w:fldChar w:fldCharType="begin"/>
            </w:r>
            <w:r>
              <w:rPr>
                <w:szCs w:val="21"/>
              </w:rPr>
              <w:instrText xml:space="preserve"> </w:instrText>
            </w:r>
            <w:r>
              <w:rPr>
                <w:rFonts w:hint="eastAsia"/>
                <w:szCs w:val="21"/>
              </w:rPr>
              <w:instrText xml:space="preserve">= 6 \* GB3</w:instrText>
            </w:r>
            <w:r>
              <w:rPr>
                <w:szCs w:val="21"/>
              </w:rPr>
              <w:instrText xml:space="preserve"> </w:instrText>
            </w:r>
            <w:r>
              <w:rPr>
                <w:szCs w:val="21"/>
              </w:rPr>
              <w:fldChar w:fldCharType="separate"/>
            </w:r>
            <w:r>
              <w:rPr>
                <w:rFonts w:hint="eastAsia"/>
                <w:szCs w:val="21"/>
              </w:rPr>
              <w:t>⑥</w:t>
            </w:r>
            <w:r>
              <w:rPr>
                <w:szCs w:val="21"/>
              </w:rPr>
              <w:fldChar w:fldCharType="end"/>
            </w:r>
          </w:p>
        </w:tc>
        <w:tc>
          <w:tcPr>
            <w:tcW w:w="1511" w:type="pct"/>
            <w:vAlign w:val="center"/>
          </w:tcPr>
          <w:p w14:paraId="02126C2F">
            <w:pPr>
              <w:adjustRightInd w:val="0"/>
              <w:snapToGrid w:val="0"/>
              <w:spacing w:before="0" w:beforeLines="0" w:line="240" w:lineRule="auto"/>
              <w:jc w:val="center"/>
              <w:rPr>
                <w:szCs w:val="21"/>
              </w:rPr>
            </w:pPr>
            <w:r>
              <w:rPr>
                <w:rFonts w:hint="eastAsia"/>
                <w:szCs w:val="21"/>
              </w:rPr>
              <w:t>碎石储存</w:t>
            </w:r>
          </w:p>
        </w:tc>
        <w:tc>
          <w:tcPr>
            <w:tcW w:w="2061" w:type="pct"/>
            <w:vAlign w:val="center"/>
          </w:tcPr>
          <w:p w14:paraId="17CD07AA">
            <w:pPr>
              <w:adjustRightInd w:val="0"/>
              <w:snapToGrid w:val="0"/>
              <w:spacing w:before="0" w:beforeLines="0" w:line="240" w:lineRule="auto"/>
              <w:jc w:val="center"/>
              <w:rPr>
                <w:szCs w:val="21"/>
              </w:rPr>
            </w:pPr>
            <w:r>
              <w:rPr>
                <w:rFonts w:hint="eastAsia"/>
                <w:szCs w:val="21"/>
              </w:rPr>
              <w:t>封闭筒仓，仓顶除尘</w:t>
            </w:r>
          </w:p>
        </w:tc>
      </w:tr>
      <w:tr w14:paraId="302904F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14:paraId="24613040">
            <w:pPr>
              <w:adjustRightInd w:val="0"/>
              <w:snapToGrid w:val="0"/>
              <w:spacing w:before="0" w:beforeLines="0" w:line="240" w:lineRule="auto"/>
              <w:jc w:val="center"/>
              <w:rPr>
                <w:szCs w:val="21"/>
              </w:rPr>
            </w:pPr>
          </w:p>
        </w:tc>
        <w:tc>
          <w:tcPr>
            <w:tcW w:w="587" w:type="pct"/>
            <w:vAlign w:val="center"/>
          </w:tcPr>
          <w:p w14:paraId="6E4D9C53">
            <w:pPr>
              <w:adjustRightInd w:val="0"/>
              <w:snapToGrid w:val="0"/>
              <w:spacing w:before="0" w:beforeLines="0" w:line="240" w:lineRule="auto"/>
              <w:jc w:val="center"/>
              <w:rPr>
                <w:szCs w:val="21"/>
              </w:rPr>
            </w:pPr>
            <w:r>
              <w:rPr>
                <w:rFonts w:hint="eastAsia"/>
                <w:szCs w:val="21"/>
              </w:rPr>
              <w:t>机制砂</w:t>
            </w:r>
          </w:p>
          <w:p w14:paraId="3F84C837">
            <w:pPr>
              <w:adjustRightInd w:val="0"/>
              <w:snapToGrid w:val="0"/>
              <w:spacing w:before="0" w:beforeLines="0" w:line="240" w:lineRule="auto"/>
              <w:jc w:val="center"/>
              <w:rPr>
                <w:szCs w:val="21"/>
              </w:rPr>
            </w:pPr>
            <w:r>
              <w:rPr>
                <w:rFonts w:hint="eastAsia"/>
                <w:szCs w:val="21"/>
              </w:rPr>
              <w:t>库房</w:t>
            </w:r>
          </w:p>
        </w:tc>
        <w:tc>
          <w:tcPr>
            <w:tcW w:w="252" w:type="pct"/>
            <w:vAlign w:val="center"/>
          </w:tcPr>
          <w:p w14:paraId="6401ABF6">
            <w:pPr>
              <w:adjustRightInd w:val="0"/>
              <w:snapToGrid w:val="0"/>
              <w:spacing w:before="0" w:beforeLines="0" w:line="240" w:lineRule="auto"/>
              <w:jc w:val="center"/>
              <w:rPr>
                <w:szCs w:val="21"/>
              </w:rPr>
            </w:pPr>
            <w:r>
              <w:rPr>
                <w:rFonts w:hint="eastAsia"/>
                <w:szCs w:val="21"/>
              </w:rPr>
              <w:t>G</w:t>
            </w:r>
            <w:r>
              <w:rPr>
                <w:szCs w:val="21"/>
              </w:rPr>
              <w:fldChar w:fldCharType="begin"/>
            </w:r>
            <w:r>
              <w:rPr>
                <w:szCs w:val="21"/>
              </w:rPr>
              <w:instrText xml:space="preserve"> </w:instrText>
            </w:r>
            <w:r>
              <w:rPr>
                <w:rFonts w:hint="eastAsia"/>
                <w:szCs w:val="21"/>
              </w:rPr>
              <w:instrText xml:space="preserve">= 7 \* GB3</w:instrText>
            </w:r>
            <w:r>
              <w:rPr>
                <w:szCs w:val="21"/>
              </w:rPr>
              <w:instrText xml:space="preserve"> </w:instrText>
            </w:r>
            <w:r>
              <w:rPr>
                <w:szCs w:val="21"/>
              </w:rPr>
              <w:fldChar w:fldCharType="separate"/>
            </w:r>
            <w:r>
              <w:rPr>
                <w:rFonts w:hint="eastAsia"/>
                <w:szCs w:val="21"/>
              </w:rPr>
              <w:t>⑦</w:t>
            </w:r>
            <w:r>
              <w:rPr>
                <w:szCs w:val="21"/>
              </w:rPr>
              <w:fldChar w:fldCharType="end"/>
            </w:r>
          </w:p>
        </w:tc>
        <w:tc>
          <w:tcPr>
            <w:tcW w:w="1511" w:type="pct"/>
            <w:vAlign w:val="center"/>
          </w:tcPr>
          <w:p w14:paraId="2F2EEF3C">
            <w:pPr>
              <w:adjustRightInd w:val="0"/>
              <w:snapToGrid w:val="0"/>
              <w:spacing w:before="0" w:beforeLines="0" w:line="240" w:lineRule="auto"/>
              <w:jc w:val="center"/>
              <w:rPr>
                <w:szCs w:val="21"/>
              </w:rPr>
            </w:pPr>
            <w:r>
              <w:rPr>
                <w:rFonts w:hint="eastAsia"/>
                <w:szCs w:val="21"/>
              </w:rPr>
              <w:t>机制砂装卸储存粉尘</w:t>
            </w:r>
          </w:p>
        </w:tc>
        <w:tc>
          <w:tcPr>
            <w:tcW w:w="2061" w:type="pct"/>
            <w:vAlign w:val="center"/>
          </w:tcPr>
          <w:p w14:paraId="369C95BB">
            <w:pPr>
              <w:adjustRightInd w:val="0"/>
              <w:snapToGrid w:val="0"/>
              <w:spacing w:before="0" w:beforeLines="0" w:line="240" w:lineRule="auto"/>
              <w:jc w:val="center"/>
              <w:rPr>
                <w:szCs w:val="21"/>
              </w:rPr>
            </w:pPr>
            <w:r>
              <w:rPr>
                <w:rFonts w:hint="eastAsia"/>
                <w:szCs w:val="21"/>
              </w:rPr>
              <w:t>车间封闭、防尘雾炮降尘、车间地面硬化、定期清洁等措施</w:t>
            </w:r>
          </w:p>
        </w:tc>
      </w:tr>
      <w:tr w14:paraId="4EEEFFD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exact"/>
          <w:jc w:val="center"/>
        </w:trPr>
        <w:tc>
          <w:tcPr>
            <w:tcW w:w="588" w:type="pct"/>
            <w:vMerge w:val="continue"/>
            <w:vAlign w:val="center"/>
          </w:tcPr>
          <w:p w14:paraId="19480371">
            <w:pPr>
              <w:adjustRightInd w:val="0"/>
              <w:snapToGrid w:val="0"/>
              <w:spacing w:before="0" w:beforeLines="0" w:line="240" w:lineRule="auto"/>
              <w:jc w:val="center"/>
              <w:rPr>
                <w:szCs w:val="21"/>
              </w:rPr>
            </w:pPr>
          </w:p>
        </w:tc>
        <w:tc>
          <w:tcPr>
            <w:tcW w:w="587" w:type="pct"/>
            <w:vAlign w:val="center"/>
          </w:tcPr>
          <w:p w14:paraId="7AB8CA02">
            <w:pPr>
              <w:adjustRightInd w:val="0"/>
              <w:snapToGrid w:val="0"/>
              <w:spacing w:before="0" w:beforeLines="0" w:line="240" w:lineRule="auto"/>
              <w:jc w:val="center"/>
              <w:rPr>
                <w:szCs w:val="21"/>
              </w:rPr>
            </w:pPr>
            <w:r>
              <w:rPr>
                <w:rFonts w:hint="eastAsia"/>
                <w:szCs w:val="21"/>
              </w:rPr>
              <w:t>皮带转运</w:t>
            </w:r>
          </w:p>
        </w:tc>
        <w:tc>
          <w:tcPr>
            <w:tcW w:w="252" w:type="pct"/>
            <w:vAlign w:val="center"/>
          </w:tcPr>
          <w:p w14:paraId="1E2AA544">
            <w:pPr>
              <w:adjustRightInd w:val="0"/>
              <w:snapToGrid w:val="0"/>
              <w:spacing w:before="0" w:beforeLines="0" w:line="240" w:lineRule="auto"/>
              <w:jc w:val="center"/>
              <w:rPr>
                <w:szCs w:val="21"/>
              </w:rPr>
            </w:pPr>
            <w:r>
              <w:rPr>
                <w:rFonts w:hint="eastAsia"/>
                <w:szCs w:val="21"/>
              </w:rPr>
              <w:t>G</w:t>
            </w:r>
            <w:r>
              <w:rPr>
                <w:szCs w:val="21"/>
              </w:rPr>
              <w:fldChar w:fldCharType="begin"/>
            </w:r>
            <w:r>
              <w:rPr>
                <w:szCs w:val="21"/>
              </w:rPr>
              <w:instrText xml:space="preserve"> </w:instrText>
            </w:r>
            <w:r>
              <w:rPr>
                <w:rFonts w:hint="eastAsia"/>
                <w:szCs w:val="21"/>
              </w:rPr>
              <w:instrText xml:space="preserve">= 8 \* GB3</w:instrText>
            </w:r>
            <w:r>
              <w:rPr>
                <w:szCs w:val="21"/>
              </w:rPr>
              <w:instrText xml:space="preserve"> </w:instrText>
            </w:r>
            <w:r>
              <w:rPr>
                <w:szCs w:val="21"/>
              </w:rPr>
              <w:fldChar w:fldCharType="separate"/>
            </w:r>
            <w:r>
              <w:rPr>
                <w:rFonts w:hint="eastAsia"/>
                <w:szCs w:val="21"/>
              </w:rPr>
              <w:t>⑧</w:t>
            </w:r>
            <w:r>
              <w:rPr>
                <w:szCs w:val="21"/>
              </w:rPr>
              <w:fldChar w:fldCharType="end"/>
            </w:r>
          </w:p>
        </w:tc>
        <w:tc>
          <w:tcPr>
            <w:tcW w:w="1511" w:type="pct"/>
            <w:vAlign w:val="center"/>
          </w:tcPr>
          <w:p w14:paraId="6512E2F7">
            <w:pPr>
              <w:adjustRightInd w:val="0"/>
              <w:snapToGrid w:val="0"/>
              <w:spacing w:before="0" w:beforeLines="0" w:line="240" w:lineRule="auto"/>
              <w:jc w:val="center"/>
              <w:rPr>
                <w:szCs w:val="21"/>
              </w:rPr>
            </w:pPr>
            <w:r>
              <w:rPr>
                <w:rFonts w:hint="eastAsia"/>
                <w:szCs w:val="21"/>
              </w:rPr>
              <w:t>粉尘</w:t>
            </w:r>
          </w:p>
        </w:tc>
        <w:tc>
          <w:tcPr>
            <w:tcW w:w="2061" w:type="pct"/>
            <w:vAlign w:val="center"/>
          </w:tcPr>
          <w:p w14:paraId="2099FF97">
            <w:pPr>
              <w:adjustRightInd w:val="0"/>
              <w:snapToGrid w:val="0"/>
              <w:spacing w:before="0" w:beforeLines="0" w:line="240" w:lineRule="auto"/>
              <w:jc w:val="center"/>
              <w:rPr>
                <w:szCs w:val="21"/>
              </w:rPr>
            </w:pPr>
            <w:r>
              <w:rPr>
                <w:rFonts w:hint="eastAsia"/>
                <w:szCs w:val="21"/>
              </w:rPr>
              <w:t>封闭皮带输送</w:t>
            </w:r>
          </w:p>
        </w:tc>
      </w:tr>
      <w:tr w14:paraId="2D8BC5A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exact"/>
          <w:jc w:val="center"/>
        </w:trPr>
        <w:tc>
          <w:tcPr>
            <w:tcW w:w="588" w:type="pct"/>
            <w:vMerge w:val="continue"/>
            <w:vAlign w:val="center"/>
          </w:tcPr>
          <w:p w14:paraId="243E3318">
            <w:pPr>
              <w:adjustRightInd w:val="0"/>
              <w:snapToGrid w:val="0"/>
              <w:spacing w:before="0" w:beforeLines="0" w:line="240" w:lineRule="auto"/>
              <w:jc w:val="center"/>
              <w:rPr>
                <w:szCs w:val="21"/>
              </w:rPr>
            </w:pPr>
          </w:p>
        </w:tc>
        <w:tc>
          <w:tcPr>
            <w:tcW w:w="587" w:type="pct"/>
            <w:vAlign w:val="center"/>
          </w:tcPr>
          <w:p w14:paraId="013ADE83">
            <w:pPr>
              <w:adjustRightInd w:val="0"/>
              <w:snapToGrid w:val="0"/>
              <w:spacing w:before="0" w:beforeLines="0" w:line="240" w:lineRule="auto"/>
              <w:jc w:val="center"/>
              <w:rPr>
                <w:szCs w:val="21"/>
              </w:rPr>
            </w:pPr>
            <w:r>
              <w:rPr>
                <w:rFonts w:hint="eastAsia"/>
                <w:szCs w:val="21"/>
              </w:rPr>
              <w:t>汽车运输</w:t>
            </w:r>
          </w:p>
        </w:tc>
        <w:tc>
          <w:tcPr>
            <w:tcW w:w="1764" w:type="pct"/>
            <w:gridSpan w:val="2"/>
            <w:vAlign w:val="center"/>
          </w:tcPr>
          <w:p w14:paraId="22F816DD">
            <w:pPr>
              <w:adjustRightInd w:val="0"/>
              <w:snapToGrid w:val="0"/>
              <w:spacing w:before="0" w:beforeLines="0" w:line="240" w:lineRule="auto"/>
              <w:jc w:val="center"/>
              <w:rPr>
                <w:szCs w:val="21"/>
              </w:rPr>
            </w:pPr>
            <w:r>
              <w:rPr>
                <w:rFonts w:hint="eastAsia"/>
                <w:szCs w:val="21"/>
              </w:rPr>
              <w:t>运输扬尘</w:t>
            </w:r>
          </w:p>
        </w:tc>
        <w:tc>
          <w:tcPr>
            <w:tcW w:w="2061" w:type="pct"/>
            <w:vAlign w:val="center"/>
          </w:tcPr>
          <w:p w14:paraId="52C6BE9F">
            <w:pPr>
              <w:adjustRightInd w:val="0"/>
              <w:snapToGrid w:val="0"/>
              <w:spacing w:before="0" w:beforeLines="0" w:line="240" w:lineRule="auto"/>
              <w:jc w:val="center"/>
              <w:rPr>
                <w:szCs w:val="21"/>
              </w:rPr>
            </w:pPr>
            <w:r>
              <w:rPr>
                <w:rFonts w:hint="eastAsia"/>
                <w:szCs w:val="21"/>
              </w:rPr>
              <w:t>道路硬化、苫布遮盖、洒水抑尘</w:t>
            </w:r>
          </w:p>
        </w:tc>
      </w:tr>
      <w:tr w14:paraId="4694AF8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exact"/>
          <w:jc w:val="center"/>
        </w:trPr>
        <w:tc>
          <w:tcPr>
            <w:tcW w:w="588" w:type="pct"/>
            <w:vMerge w:val="restart"/>
            <w:vAlign w:val="center"/>
          </w:tcPr>
          <w:p w14:paraId="05EF9796">
            <w:pPr>
              <w:adjustRightInd w:val="0"/>
              <w:snapToGrid w:val="0"/>
              <w:spacing w:before="0" w:beforeLines="0" w:line="240" w:lineRule="auto"/>
              <w:jc w:val="center"/>
              <w:rPr>
                <w:szCs w:val="21"/>
              </w:rPr>
            </w:pPr>
            <w:r>
              <w:rPr>
                <w:szCs w:val="21"/>
              </w:rPr>
              <w:t>废水</w:t>
            </w:r>
          </w:p>
        </w:tc>
        <w:tc>
          <w:tcPr>
            <w:tcW w:w="587" w:type="pct"/>
            <w:vAlign w:val="center"/>
          </w:tcPr>
          <w:p w14:paraId="53971974">
            <w:pPr>
              <w:adjustRightInd w:val="0"/>
              <w:snapToGrid w:val="0"/>
              <w:spacing w:before="0" w:beforeLines="0" w:line="240" w:lineRule="auto"/>
              <w:jc w:val="center"/>
              <w:rPr>
                <w:szCs w:val="21"/>
              </w:rPr>
            </w:pPr>
            <w:r>
              <w:rPr>
                <w:rFonts w:hint="eastAsia"/>
                <w:szCs w:val="21"/>
              </w:rPr>
              <w:t>生活污水</w:t>
            </w:r>
          </w:p>
        </w:tc>
        <w:tc>
          <w:tcPr>
            <w:tcW w:w="1764" w:type="pct"/>
            <w:gridSpan w:val="2"/>
            <w:vAlign w:val="center"/>
          </w:tcPr>
          <w:p w14:paraId="517999C1">
            <w:pPr>
              <w:adjustRightInd w:val="0"/>
              <w:snapToGrid w:val="0"/>
              <w:spacing w:before="0" w:beforeLines="0" w:line="240" w:lineRule="auto"/>
              <w:jc w:val="center"/>
              <w:rPr>
                <w:szCs w:val="21"/>
              </w:rPr>
            </w:pPr>
            <w:r>
              <w:rPr>
                <w:szCs w:val="21"/>
              </w:rPr>
              <w:t>COD、NH</w:t>
            </w:r>
            <w:r>
              <w:rPr>
                <w:szCs w:val="21"/>
                <w:vertAlign w:val="subscript"/>
              </w:rPr>
              <w:t>3</w:t>
            </w:r>
            <w:r>
              <w:rPr>
                <w:szCs w:val="21"/>
              </w:rPr>
              <w:t>-N、SS</w:t>
            </w:r>
            <w:r>
              <w:rPr>
                <w:rFonts w:hint="eastAsia"/>
                <w:szCs w:val="21"/>
              </w:rPr>
              <w:t>等</w:t>
            </w:r>
          </w:p>
        </w:tc>
        <w:tc>
          <w:tcPr>
            <w:tcW w:w="2061" w:type="pct"/>
            <w:vAlign w:val="center"/>
          </w:tcPr>
          <w:p w14:paraId="66B84750">
            <w:pPr>
              <w:adjustRightInd w:val="0"/>
              <w:snapToGrid w:val="0"/>
              <w:spacing w:before="0" w:beforeLines="0" w:line="240" w:lineRule="auto"/>
              <w:jc w:val="center"/>
              <w:rPr>
                <w:szCs w:val="21"/>
              </w:rPr>
            </w:pPr>
            <w:r>
              <w:rPr>
                <w:rFonts w:hint="eastAsia"/>
                <w:szCs w:val="21"/>
              </w:rPr>
              <w:t>经化粪池定期清掏不外排</w:t>
            </w:r>
          </w:p>
        </w:tc>
      </w:tr>
      <w:tr w14:paraId="1B898A7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exact"/>
          <w:jc w:val="center"/>
        </w:trPr>
        <w:tc>
          <w:tcPr>
            <w:tcW w:w="588" w:type="pct"/>
            <w:vMerge w:val="continue"/>
            <w:vAlign w:val="center"/>
          </w:tcPr>
          <w:p w14:paraId="511F150D">
            <w:pPr>
              <w:adjustRightInd w:val="0"/>
              <w:snapToGrid w:val="0"/>
              <w:spacing w:before="0" w:beforeLines="0" w:line="240" w:lineRule="auto"/>
              <w:jc w:val="center"/>
              <w:rPr>
                <w:szCs w:val="21"/>
              </w:rPr>
            </w:pPr>
          </w:p>
        </w:tc>
        <w:tc>
          <w:tcPr>
            <w:tcW w:w="587" w:type="pct"/>
            <w:vAlign w:val="center"/>
          </w:tcPr>
          <w:p w14:paraId="30777E59">
            <w:pPr>
              <w:adjustRightInd w:val="0"/>
              <w:snapToGrid w:val="0"/>
              <w:spacing w:before="0" w:beforeLines="0" w:line="240" w:lineRule="auto"/>
              <w:jc w:val="center"/>
              <w:rPr>
                <w:szCs w:val="21"/>
              </w:rPr>
            </w:pPr>
            <w:r>
              <w:rPr>
                <w:rFonts w:hint="eastAsia"/>
                <w:szCs w:val="21"/>
              </w:rPr>
              <w:t>选矿过程</w:t>
            </w:r>
          </w:p>
        </w:tc>
        <w:tc>
          <w:tcPr>
            <w:tcW w:w="1764" w:type="pct"/>
            <w:gridSpan w:val="2"/>
            <w:vAlign w:val="center"/>
          </w:tcPr>
          <w:p w14:paraId="6C9F7FAE">
            <w:pPr>
              <w:adjustRightInd w:val="0"/>
              <w:snapToGrid w:val="0"/>
              <w:spacing w:before="0" w:beforeLines="0" w:line="240" w:lineRule="auto"/>
              <w:jc w:val="center"/>
              <w:rPr>
                <w:szCs w:val="21"/>
              </w:rPr>
            </w:pPr>
            <w:r>
              <w:rPr>
                <w:rFonts w:hint="eastAsia"/>
                <w:szCs w:val="21"/>
              </w:rPr>
              <w:t>SS</w:t>
            </w:r>
          </w:p>
        </w:tc>
        <w:tc>
          <w:tcPr>
            <w:tcW w:w="2061" w:type="pct"/>
            <w:vAlign w:val="center"/>
          </w:tcPr>
          <w:p w14:paraId="7336E203">
            <w:pPr>
              <w:adjustRightInd w:val="0"/>
              <w:snapToGrid w:val="0"/>
              <w:spacing w:before="0" w:beforeLines="0" w:line="240" w:lineRule="auto"/>
              <w:jc w:val="center"/>
              <w:rPr>
                <w:szCs w:val="21"/>
              </w:rPr>
            </w:pPr>
            <w:r>
              <w:rPr>
                <w:rFonts w:hint="eastAsia"/>
                <w:szCs w:val="21"/>
              </w:rPr>
              <w:t>全部废水澄清后循环使用不外排</w:t>
            </w:r>
          </w:p>
        </w:tc>
      </w:tr>
      <w:tr w14:paraId="301C793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exact"/>
          <w:jc w:val="center"/>
        </w:trPr>
        <w:tc>
          <w:tcPr>
            <w:tcW w:w="588" w:type="pct"/>
            <w:vMerge w:val="restart"/>
            <w:vAlign w:val="center"/>
          </w:tcPr>
          <w:p w14:paraId="3AE3C05D">
            <w:pPr>
              <w:adjustRightInd w:val="0"/>
              <w:snapToGrid w:val="0"/>
              <w:spacing w:before="0" w:beforeLines="0" w:line="240" w:lineRule="auto"/>
              <w:jc w:val="center"/>
              <w:rPr>
                <w:szCs w:val="21"/>
              </w:rPr>
            </w:pPr>
            <w:r>
              <w:rPr>
                <w:szCs w:val="21"/>
              </w:rPr>
              <w:t>噪声</w:t>
            </w:r>
          </w:p>
        </w:tc>
        <w:tc>
          <w:tcPr>
            <w:tcW w:w="2350" w:type="pct"/>
            <w:gridSpan w:val="3"/>
            <w:vAlign w:val="center"/>
          </w:tcPr>
          <w:p w14:paraId="4E57819B">
            <w:pPr>
              <w:adjustRightInd w:val="0"/>
              <w:snapToGrid w:val="0"/>
              <w:spacing w:before="0" w:beforeLines="0" w:line="240" w:lineRule="auto"/>
              <w:jc w:val="center"/>
              <w:rPr>
                <w:szCs w:val="21"/>
              </w:rPr>
            </w:pPr>
            <w:r>
              <w:rPr>
                <w:rFonts w:hint="eastAsia"/>
                <w:szCs w:val="21"/>
              </w:rPr>
              <w:t>生产设备</w:t>
            </w:r>
          </w:p>
        </w:tc>
        <w:tc>
          <w:tcPr>
            <w:tcW w:w="2061" w:type="pct"/>
            <w:vAlign w:val="center"/>
          </w:tcPr>
          <w:p w14:paraId="0E13FEA3">
            <w:pPr>
              <w:adjustRightInd w:val="0"/>
              <w:snapToGrid w:val="0"/>
              <w:spacing w:before="0" w:beforeLines="0" w:line="240" w:lineRule="auto"/>
              <w:jc w:val="center"/>
              <w:rPr>
                <w:szCs w:val="21"/>
              </w:rPr>
            </w:pPr>
            <w:r>
              <w:rPr>
                <w:rFonts w:hint="eastAsia"/>
                <w:szCs w:val="21"/>
              </w:rPr>
              <w:t>低噪设备、厂房隔声、设备减振</w:t>
            </w:r>
          </w:p>
        </w:tc>
      </w:tr>
      <w:tr w14:paraId="4C6F360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exact"/>
          <w:jc w:val="center"/>
        </w:trPr>
        <w:tc>
          <w:tcPr>
            <w:tcW w:w="588" w:type="pct"/>
            <w:vMerge w:val="continue"/>
            <w:vAlign w:val="center"/>
          </w:tcPr>
          <w:p w14:paraId="5B0990C2">
            <w:pPr>
              <w:adjustRightInd w:val="0"/>
              <w:snapToGrid w:val="0"/>
              <w:spacing w:before="0" w:beforeLines="0" w:line="240" w:lineRule="auto"/>
              <w:jc w:val="center"/>
              <w:rPr>
                <w:szCs w:val="21"/>
              </w:rPr>
            </w:pPr>
          </w:p>
        </w:tc>
        <w:tc>
          <w:tcPr>
            <w:tcW w:w="2350" w:type="pct"/>
            <w:gridSpan w:val="3"/>
            <w:vAlign w:val="center"/>
          </w:tcPr>
          <w:p w14:paraId="190345AF">
            <w:pPr>
              <w:adjustRightInd w:val="0"/>
              <w:snapToGrid w:val="0"/>
              <w:spacing w:before="0" w:beforeLines="0" w:line="240" w:lineRule="auto"/>
              <w:jc w:val="center"/>
              <w:rPr>
                <w:szCs w:val="21"/>
              </w:rPr>
            </w:pPr>
            <w:r>
              <w:rPr>
                <w:szCs w:val="21"/>
              </w:rPr>
              <w:t>运输</w:t>
            </w:r>
            <w:r>
              <w:rPr>
                <w:rFonts w:hint="eastAsia"/>
                <w:szCs w:val="21"/>
              </w:rPr>
              <w:t>设备</w:t>
            </w:r>
          </w:p>
        </w:tc>
        <w:tc>
          <w:tcPr>
            <w:tcW w:w="2061" w:type="pct"/>
            <w:vAlign w:val="center"/>
          </w:tcPr>
          <w:p w14:paraId="2D951C66">
            <w:pPr>
              <w:adjustRightInd w:val="0"/>
              <w:snapToGrid w:val="0"/>
              <w:spacing w:before="0" w:beforeLines="0" w:line="240" w:lineRule="auto"/>
              <w:jc w:val="center"/>
              <w:rPr>
                <w:szCs w:val="21"/>
              </w:rPr>
            </w:pPr>
            <w:r>
              <w:rPr>
                <w:rFonts w:hint="eastAsia"/>
                <w:szCs w:val="21"/>
              </w:rPr>
              <w:t>昼间运输、禁止鸣笛</w:t>
            </w:r>
          </w:p>
        </w:tc>
      </w:tr>
      <w:tr w14:paraId="7E7A8C2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exact"/>
          <w:jc w:val="center"/>
        </w:trPr>
        <w:tc>
          <w:tcPr>
            <w:tcW w:w="588" w:type="pct"/>
            <w:vMerge w:val="restart"/>
            <w:vAlign w:val="center"/>
          </w:tcPr>
          <w:p w14:paraId="617823CC">
            <w:pPr>
              <w:adjustRightInd w:val="0"/>
              <w:snapToGrid w:val="0"/>
              <w:spacing w:before="0" w:beforeLines="0" w:line="240" w:lineRule="auto"/>
              <w:jc w:val="center"/>
              <w:rPr>
                <w:szCs w:val="21"/>
              </w:rPr>
            </w:pPr>
            <w:r>
              <w:rPr>
                <w:szCs w:val="21"/>
              </w:rPr>
              <w:t>固体废物</w:t>
            </w:r>
          </w:p>
        </w:tc>
        <w:tc>
          <w:tcPr>
            <w:tcW w:w="2350" w:type="pct"/>
            <w:gridSpan w:val="3"/>
            <w:vAlign w:val="center"/>
          </w:tcPr>
          <w:p w14:paraId="59023BF9">
            <w:pPr>
              <w:adjustRightInd w:val="0"/>
              <w:snapToGrid w:val="0"/>
              <w:spacing w:before="0" w:beforeLines="0" w:line="240" w:lineRule="auto"/>
              <w:jc w:val="center"/>
              <w:rPr>
                <w:szCs w:val="21"/>
              </w:rPr>
            </w:pPr>
            <w:r>
              <w:rPr>
                <w:szCs w:val="21"/>
              </w:rPr>
              <w:t>板框压滤机</w:t>
            </w:r>
            <w:r>
              <w:rPr>
                <w:rFonts w:hint="eastAsia"/>
                <w:szCs w:val="21"/>
              </w:rPr>
              <w:t>泥饼</w:t>
            </w:r>
          </w:p>
        </w:tc>
        <w:tc>
          <w:tcPr>
            <w:tcW w:w="2061" w:type="pct"/>
            <w:vAlign w:val="center"/>
          </w:tcPr>
          <w:p w14:paraId="45C3AAC1">
            <w:pPr>
              <w:adjustRightInd w:val="0"/>
              <w:snapToGrid w:val="0"/>
              <w:spacing w:before="0" w:beforeLines="0" w:line="240" w:lineRule="auto"/>
              <w:jc w:val="center"/>
              <w:rPr>
                <w:szCs w:val="21"/>
              </w:rPr>
            </w:pPr>
            <w:r>
              <w:rPr>
                <w:rFonts w:hint="eastAsia"/>
                <w:szCs w:val="21"/>
              </w:rPr>
              <w:t>鑫岳矿业负责回填至露天采坑</w:t>
            </w:r>
          </w:p>
        </w:tc>
      </w:tr>
      <w:tr w14:paraId="574C697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14:paraId="3E5F6612">
            <w:pPr>
              <w:adjustRightInd w:val="0"/>
              <w:snapToGrid w:val="0"/>
              <w:spacing w:before="0" w:beforeLines="0" w:line="240" w:lineRule="auto"/>
              <w:jc w:val="center"/>
              <w:rPr>
                <w:szCs w:val="21"/>
              </w:rPr>
            </w:pPr>
          </w:p>
        </w:tc>
        <w:tc>
          <w:tcPr>
            <w:tcW w:w="2350" w:type="pct"/>
            <w:gridSpan w:val="3"/>
            <w:vAlign w:val="center"/>
          </w:tcPr>
          <w:p w14:paraId="6CDB997A">
            <w:pPr>
              <w:adjustRightInd w:val="0"/>
              <w:snapToGrid w:val="0"/>
              <w:spacing w:before="0" w:beforeLines="0" w:line="240" w:lineRule="auto"/>
              <w:jc w:val="center"/>
              <w:rPr>
                <w:szCs w:val="21"/>
              </w:rPr>
            </w:pPr>
            <w:r>
              <w:rPr>
                <w:szCs w:val="21"/>
              </w:rPr>
              <w:t>除尘器</w:t>
            </w:r>
            <w:r>
              <w:rPr>
                <w:rFonts w:hint="eastAsia"/>
                <w:szCs w:val="21"/>
              </w:rPr>
              <w:t>除尘灰</w:t>
            </w:r>
          </w:p>
        </w:tc>
        <w:tc>
          <w:tcPr>
            <w:tcW w:w="2061" w:type="pct"/>
            <w:vMerge w:val="restart"/>
            <w:vAlign w:val="center"/>
          </w:tcPr>
          <w:p w14:paraId="3F9BCE76">
            <w:pPr>
              <w:adjustRightInd w:val="0"/>
              <w:snapToGrid w:val="0"/>
              <w:spacing w:before="0" w:beforeLines="0" w:line="240" w:lineRule="auto"/>
              <w:rPr>
                <w:szCs w:val="21"/>
              </w:rPr>
            </w:pPr>
            <w:r>
              <w:t>本项目产生除尘灰、落地灰，由辽宁鑫岳矿业有限公司负责运输，送至现有露天采坑回填。</w:t>
            </w:r>
          </w:p>
        </w:tc>
      </w:tr>
      <w:tr w14:paraId="0361989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87" w:hRule="atLeast"/>
          <w:jc w:val="center"/>
        </w:trPr>
        <w:tc>
          <w:tcPr>
            <w:tcW w:w="588" w:type="pct"/>
            <w:vMerge w:val="continue"/>
            <w:vAlign w:val="center"/>
          </w:tcPr>
          <w:p w14:paraId="297804CE">
            <w:pPr>
              <w:adjustRightInd w:val="0"/>
              <w:snapToGrid w:val="0"/>
              <w:spacing w:before="0" w:beforeLines="0" w:line="240" w:lineRule="auto"/>
              <w:jc w:val="center"/>
              <w:rPr>
                <w:szCs w:val="21"/>
              </w:rPr>
            </w:pPr>
          </w:p>
        </w:tc>
        <w:tc>
          <w:tcPr>
            <w:tcW w:w="2350" w:type="pct"/>
            <w:gridSpan w:val="3"/>
            <w:vAlign w:val="center"/>
          </w:tcPr>
          <w:p w14:paraId="7C5D1A3D">
            <w:pPr>
              <w:adjustRightInd w:val="0"/>
              <w:snapToGrid w:val="0"/>
              <w:spacing w:before="0" w:beforeLines="0" w:line="240" w:lineRule="auto"/>
              <w:jc w:val="center"/>
              <w:rPr>
                <w:szCs w:val="21"/>
              </w:rPr>
            </w:pPr>
            <w:r>
              <w:rPr>
                <w:rFonts w:hint="eastAsia"/>
                <w:szCs w:val="21"/>
              </w:rPr>
              <w:t>无组织落地灰</w:t>
            </w:r>
          </w:p>
        </w:tc>
        <w:tc>
          <w:tcPr>
            <w:tcW w:w="2061" w:type="pct"/>
            <w:vMerge w:val="continue"/>
            <w:vAlign w:val="center"/>
          </w:tcPr>
          <w:p w14:paraId="1AC49A56">
            <w:pPr>
              <w:adjustRightInd w:val="0"/>
              <w:snapToGrid w:val="0"/>
              <w:spacing w:before="0" w:beforeLines="0" w:line="240" w:lineRule="auto"/>
              <w:jc w:val="center"/>
              <w:rPr>
                <w:szCs w:val="21"/>
              </w:rPr>
            </w:pPr>
          </w:p>
        </w:tc>
      </w:tr>
      <w:tr w14:paraId="0DEBAD1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174" w:hRule="atLeast"/>
          <w:jc w:val="center"/>
        </w:trPr>
        <w:tc>
          <w:tcPr>
            <w:tcW w:w="588" w:type="pct"/>
            <w:vMerge w:val="continue"/>
            <w:vAlign w:val="center"/>
          </w:tcPr>
          <w:p w14:paraId="5F3873BE">
            <w:pPr>
              <w:adjustRightInd w:val="0"/>
              <w:snapToGrid w:val="0"/>
              <w:spacing w:before="0" w:beforeLines="0" w:line="240" w:lineRule="auto"/>
              <w:jc w:val="center"/>
              <w:rPr>
                <w:szCs w:val="21"/>
              </w:rPr>
            </w:pPr>
          </w:p>
        </w:tc>
        <w:tc>
          <w:tcPr>
            <w:tcW w:w="2350" w:type="pct"/>
            <w:gridSpan w:val="3"/>
            <w:vAlign w:val="center"/>
          </w:tcPr>
          <w:p w14:paraId="13BD287A">
            <w:pPr>
              <w:adjustRightInd w:val="0"/>
              <w:snapToGrid w:val="0"/>
              <w:spacing w:before="0" w:beforeLines="0" w:line="240" w:lineRule="auto"/>
              <w:jc w:val="center"/>
              <w:rPr>
                <w:szCs w:val="21"/>
              </w:rPr>
            </w:pPr>
            <w:r>
              <w:rPr>
                <w:rFonts w:hint="eastAsia"/>
                <w:szCs w:val="21"/>
              </w:rPr>
              <w:t>废布袋</w:t>
            </w:r>
          </w:p>
        </w:tc>
        <w:tc>
          <w:tcPr>
            <w:tcW w:w="2061" w:type="pct"/>
            <w:vAlign w:val="center"/>
          </w:tcPr>
          <w:p w14:paraId="5AC68BBD">
            <w:pPr>
              <w:adjustRightInd w:val="0"/>
              <w:snapToGrid w:val="0"/>
              <w:spacing w:before="0" w:beforeLines="0" w:line="240" w:lineRule="auto"/>
              <w:jc w:val="center"/>
              <w:rPr>
                <w:szCs w:val="21"/>
              </w:rPr>
            </w:pPr>
            <w:r>
              <w:rPr>
                <w:rFonts w:hint="eastAsia"/>
                <w:szCs w:val="21"/>
              </w:rPr>
              <w:t>外售综合利用</w:t>
            </w:r>
          </w:p>
        </w:tc>
      </w:tr>
      <w:tr w14:paraId="51294F2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14:paraId="52283119">
            <w:pPr>
              <w:adjustRightInd w:val="0"/>
              <w:snapToGrid w:val="0"/>
              <w:spacing w:before="0" w:beforeLines="0" w:line="240" w:lineRule="auto"/>
              <w:jc w:val="center"/>
              <w:rPr>
                <w:szCs w:val="21"/>
              </w:rPr>
            </w:pPr>
          </w:p>
        </w:tc>
        <w:tc>
          <w:tcPr>
            <w:tcW w:w="2350" w:type="pct"/>
            <w:gridSpan w:val="3"/>
            <w:vAlign w:val="center"/>
          </w:tcPr>
          <w:p w14:paraId="6AF06E29">
            <w:pPr>
              <w:adjustRightInd w:val="0"/>
              <w:snapToGrid w:val="0"/>
              <w:spacing w:before="0" w:beforeLines="0" w:line="240" w:lineRule="auto"/>
              <w:jc w:val="center"/>
              <w:rPr>
                <w:szCs w:val="21"/>
              </w:rPr>
            </w:pPr>
            <w:r>
              <w:rPr>
                <w:szCs w:val="21"/>
              </w:rPr>
              <w:t>设备维修、维护废矿物油、废油桶</w:t>
            </w:r>
          </w:p>
        </w:tc>
        <w:tc>
          <w:tcPr>
            <w:tcW w:w="2061" w:type="pct"/>
            <w:vAlign w:val="center"/>
          </w:tcPr>
          <w:p w14:paraId="24BF122F">
            <w:pPr>
              <w:adjustRightInd w:val="0"/>
              <w:snapToGrid w:val="0"/>
              <w:spacing w:before="0" w:beforeLines="0" w:line="240" w:lineRule="auto"/>
              <w:jc w:val="center"/>
              <w:rPr>
                <w:szCs w:val="21"/>
              </w:rPr>
            </w:pPr>
            <w:r>
              <w:rPr>
                <w:rFonts w:hint="eastAsia"/>
                <w:szCs w:val="21"/>
              </w:rPr>
              <w:t>送有资质单位统一处理</w:t>
            </w:r>
          </w:p>
        </w:tc>
      </w:tr>
      <w:tr w14:paraId="56A34D4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14:paraId="38CE0F84">
            <w:pPr>
              <w:adjustRightInd w:val="0"/>
              <w:snapToGrid w:val="0"/>
              <w:spacing w:before="0" w:beforeLines="0" w:line="240" w:lineRule="auto"/>
              <w:jc w:val="center"/>
              <w:rPr>
                <w:szCs w:val="21"/>
              </w:rPr>
            </w:pPr>
          </w:p>
        </w:tc>
        <w:tc>
          <w:tcPr>
            <w:tcW w:w="2350" w:type="pct"/>
            <w:gridSpan w:val="3"/>
            <w:vAlign w:val="center"/>
          </w:tcPr>
          <w:p w14:paraId="543602F5">
            <w:pPr>
              <w:adjustRightInd w:val="0"/>
              <w:snapToGrid w:val="0"/>
              <w:spacing w:before="0" w:beforeLines="0" w:line="240" w:lineRule="auto"/>
              <w:jc w:val="center"/>
              <w:rPr>
                <w:szCs w:val="21"/>
              </w:rPr>
            </w:pPr>
            <w:r>
              <w:rPr>
                <w:szCs w:val="21"/>
              </w:rPr>
              <w:t>职工生活垃圾</w:t>
            </w:r>
          </w:p>
        </w:tc>
        <w:tc>
          <w:tcPr>
            <w:tcW w:w="2061" w:type="pct"/>
            <w:vAlign w:val="center"/>
          </w:tcPr>
          <w:p w14:paraId="371C6033">
            <w:pPr>
              <w:adjustRightInd w:val="0"/>
              <w:snapToGrid w:val="0"/>
              <w:spacing w:before="0" w:beforeLines="0" w:line="240" w:lineRule="auto"/>
              <w:jc w:val="center"/>
              <w:rPr>
                <w:szCs w:val="21"/>
              </w:rPr>
            </w:pPr>
            <w:r>
              <w:rPr>
                <w:rFonts w:hint="eastAsia"/>
                <w:szCs w:val="21"/>
              </w:rPr>
              <w:t>环卫部门处理</w:t>
            </w:r>
          </w:p>
        </w:tc>
      </w:tr>
      <w:bookmarkEnd w:id="116"/>
    </w:tbl>
    <w:p w14:paraId="51D8AB4E">
      <w:pPr>
        <w:pStyle w:val="4"/>
        <w:spacing w:after="140" w:line="360" w:lineRule="auto"/>
        <w:jc w:val="left"/>
        <w:rPr>
          <w:rFonts w:ascii="Times New Roman" w:hAnsi="Times New Roman" w:eastAsia="宋体"/>
          <w:color w:val="auto"/>
        </w:rPr>
      </w:pPr>
      <w:bookmarkStart w:id="117" w:name="_Toc239274270"/>
      <w:bookmarkStart w:id="118" w:name="_Toc17475963"/>
      <w:r>
        <w:rPr>
          <w:rFonts w:ascii="Times New Roman" w:hAnsi="Times New Roman" w:eastAsia="宋体"/>
          <w:color w:val="auto"/>
        </w:rPr>
        <w:t>3.</w:t>
      </w:r>
      <w:r>
        <w:rPr>
          <w:rFonts w:hint="eastAsia" w:ascii="Times New Roman" w:hAnsi="Times New Roman" w:eastAsia="宋体"/>
          <w:color w:val="auto"/>
        </w:rPr>
        <w:t>3</w:t>
      </w:r>
      <w:r>
        <w:rPr>
          <w:rFonts w:ascii="Times New Roman" w:hAnsi="Times New Roman" w:eastAsia="宋体"/>
          <w:color w:val="auto"/>
        </w:rPr>
        <w:t>本项目污染源源强核算</w:t>
      </w:r>
      <w:bookmarkEnd w:id="117"/>
      <w:bookmarkEnd w:id="118"/>
    </w:p>
    <w:p w14:paraId="0030BB9D">
      <w:pPr>
        <w:pStyle w:val="5"/>
        <w:spacing w:before="140" w:after="140" w:line="360" w:lineRule="auto"/>
        <w:jc w:val="left"/>
        <w:rPr>
          <w:color w:val="auto"/>
        </w:rPr>
      </w:pPr>
      <w:r>
        <w:rPr>
          <w:color w:val="auto"/>
        </w:rPr>
        <w:t>3.</w:t>
      </w:r>
      <w:r>
        <w:rPr>
          <w:rFonts w:hint="eastAsia"/>
          <w:color w:val="auto"/>
        </w:rPr>
        <w:t>3</w:t>
      </w:r>
      <w:r>
        <w:rPr>
          <w:color w:val="auto"/>
        </w:rPr>
        <w:t>.1施工期污染源分析</w:t>
      </w:r>
    </w:p>
    <w:p w14:paraId="689A1534">
      <w:pPr>
        <w:keepLines/>
        <w:spacing w:before="78" w:line="416" w:lineRule="auto"/>
        <w:rPr>
          <w:b/>
          <w:bCs/>
          <w:sz w:val="24"/>
        </w:rPr>
      </w:pPr>
      <w:r>
        <w:rPr>
          <w:rFonts w:hint="eastAsia"/>
          <w:b/>
          <w:bCs/>
          <w:sz w:val="24"/>
        </w:rPr>
        <w:t>（1）</w:t>
      </w:r>
      <w:r>
        <w:rPr>
          <w:b/>
          <w:bCs/>
          <w:sz w:val="24"/>
        </w:rPr>
        <w:t>大气环境影响因素分析</w:t>
      </w:r>
    </w:p>
    <w:p w14:paraId="7A2C5B4F">
      <w:pPr>
        <w:pStyle w:val="27"/>
        <w:spacing w:before="78" w:line="360" w:lineRule="auto"/>
        <w:ind w:firstLine="480" w:firstLineChars="200"/>
        <w:jc w:val="both"/>
        <w:rPr>
          <w:kern w:val="0"/>
          <w:sz w:val="24"/>
        </w:rPr>
      </w:pPr>
      <w:r>
        <w:rPr>
          <w:kern w:val="0"/>
          <w:sz w:val="24"/>
        </w:rPr>
        <w:t>施工期间对环境空气的影响主要表现为汽车运输、装卸</w:t>
      </w:r>
      <w:r>
        <w:rPr>
          <w:rFonts w:hint="eastAsia"/>
          <w:kern w:val="0"/>
          <w:sz w:val="24"/>
        </w:rPr>
        <w:t>、地表开挖</w:t>
      </w:r>
      <w:r>
        <w:rPr>
          <w:kern w:val="0"/>
          <w:sz w:val="24"/>
        </w:rPr>
        <w:t>等</w:t>
      </w:r>
      <w:r>
        <w:rPr>
          <w:rFonts w:hint="eastAsia"/>
          <w:kern w:val="0"/>
          <w:sz w:val="24"/>
        </w:rPr>
        <w:t>产生的</w:t>
      </w:r>
      <w:r>
        <w:rPr>
          <w:kern w:val="0"/>
          <w:sz w:val="24"/>
        </w:rPr>
        <w:t>扬尘。此外，施工车辆等燃油施工车辆排放的尾气中含有SO</w:t>
      </w:r>
      <w:r>
        <w:rPr>
          <w:kern w:val="0"/>
          <w:sz w:val="24"/>
          <w:vertAlign w:val="subscript"/>
        </w:rPr>
        <w:t>2</w:t>
      </w:r>
      <w:r>
        <w:rPr>
          <w:kern w:val="0"/>
          <w:sz w:val="24"/>
        </w:rPr>
        <w:t>、NOx、CO、烃类等污染物对大气环境也有所影响。</w:t>
      </w:r>
    </w:p>
    <w:p w14:paraId="0C49154C">
      <w:pPr>
        <w:pStyle w:val="189"/>
        <w:numPr>
          <w:ilvl w:val="0"/>
          <w:numId w:val="61"/>
        </w:numPr>
        <w:spacing w:before="60" w:beforeLines="0" w:line="360" w:lineRule="auto"/>
        <w:ind w:firstLineChars="0"/>
        <w:rPr>
          <w:sz w:val="24"/>
        </w:rPr>
      </w:pPr>
      <w:r>
        <w:rPr>
          <w:rFonts w:hint="eastAsia"/>
          <w:sz w:val="24"/>
        </w:rPr>
        <w:t>扬尘影响</w:t>
      </w:r>
    </w:p>
    <w:p w14:paraId="1C055159">
      <w:pPr>
        <w:spacing w:before="60" w:beforeLines="0" w:line="360" w:lineRule="auto"/>
        <w:ind w:firstLine="480" w:firstLineChars="200"/>
        <w:rPr>
          <w:sz w:val="24"/>
        </w:rPr>
      </w:pPr>
      <w:r>
        <w:rPr>
          <w:rFonts w:hint="eastAsia"/>
          <w:sz w:val="24"/>
        </w:rPr>
        <w:t>扬尘起尘量与许多因素有关，如：挖土机等施工机械在工作时的起尘量决定于挖坑深度、挖土机抓斗与地面的相对高度、风速、土壤的颗粒度、土壤含水量、渣土分散度等条件；而对于渣土堆场而言，起尘量还与堆放方式、起动风速及堆场有无防护措施等密切相关。在不同气象条件下，施工场地扬尘影响分析结果表明：在一般气象条件下，平均风速</w:t>
      </w:r>
      <w:r>
        <w:rPr>
          <w:sz w:val="24"/>
        </w:rPr>
        <w:t>2~3m/s</w:t>
      </w:r>
      <w:r>
        <w:rPr>
          <w:rFonts w:hint="eastAsia"/>
          <w:sz w:val="24"/>
        </w:rPr>
        <w:t>的情况下，建筑工地下风向</w:t>
      </w:r>
      <w:r>
        <w:rPr>
          <w:sz w:val="24"/>
        </w:rPr>
        <w:t>TSP</w:t>
      </w:r>
      <w:r>
        <w:rPr>
          <w:rFonts w:hint="eastAsia"/>
          <w:sz w:val="24"/>
        </w:rPr>
        <w:t>浓度为上风向对照点的</w:t>
      </w:r>
      <w:r>
        <w:rPr>
          <w:sz w:val="24"/>
        </w:rPr>
        <w:t>2.0</w:t>
      </w:r>
      <w:r>
        <w:rPr>
          <w:rFonts w:hint="eastAsia"/>
          <w:sz w:val="24"/>
        </w:rPr>
        <w:t>～</w:t>
      </w:r>
      <w:r>
        <w:rPr>
          <w:sz w:val="24"/>
        </w:rPr>
        <w:t>2.5</w:t>
      </w:r>
      <w:r>
        <w:rPr>
          <w:rFonts w:hint="eastAsia"/>
          <w:sz w:val="24"/>
        </w:rPr>
        <w:t>倍。如果不采取防护措施，</w:t>
      </w:r>
      <w:r>
        <w:rPr>
          <w:sz w:val="24"/>
        </w:rPr>
        <w:t>300m</w:t>
      </w:r>
      <w:r>
        <w:rPr>
          <w:rFonts w:hint="eastAsia"/>
          <w:sz w:val="24"/>
        </w:rPr>
        <w:t>以内将会受到扬尘的严重影响；采用一般的防护措施，</w:t>
      </w:r>
      <w:r>
        <w:rPr>
          <w:sz w:val="24"/>
        </w:rPr>
        <w:t>150m</w:t>
      </w:r>
      <w:r>
        <w:rPr>
          <w:rFonts w:hint="eastAsia"/>
          <w:sz w:val="24"/>
        </w:rPr>
        <w:t>内会有影响；在做好施工期扬尘的防护措施下施工，下风向</w:t>
      </w:r>
      <w:r>
        <w:rPr>
          <w:sz w:val="24"/>
        </w:rPr>
        <w:t>50m</w:t>
      </w:r>
      <w:r>
        <w:rPr>
          <w:rFonts w:hint="eastAsia"/>
          <w:sz w:val="24"/>
        </w:rPr>
        <w:t>处的</w:t>
      </w:r>
      <w:r>
        <w:rPr>
          <w:sz w:val="24"/>
        </w:rPr>
        <w:t>TSP</w:t>
      </w:r>
      <w:r>
        <w:rPr>
          <w:rFonts w:hint="eastAsia"/>
          <w:sz w:val="24"/>
        </w:rPr>
        <w:t>浓度会小于</w:t>
      </w:r>
      <w:r>
        <w:rPr>
          <w:sz w:val="24"/>
        </w:rPr>
        <w:t>0.3mg/m</w:t>
      </w:r>
      <w:r>
        <w:rPr>
          <w:sz w:val="24"/>
          <w:vertAlign w:val="superscript"/>
        </w:rPr>
        <w:t>3</w:t>
      </w:r>
      <w:r>
        <w:rPr>
          <w:rFonts w:hint="eastAsia"/>
          <w:sz w:val="24"/>
        </w:rPr>
        <w:t>，符合《环境空气质量标准》（</w:t>
      </w:r>
      <w:r>
        <w:rPr>
          <w:sz w:val="24"/>
        </w:rPr>
        <w:t>GB3095-20</w:t>
      </w:r>
      <w:r>
        <w:rPr>
          <w:rFonts w:hint="eastAsia"/>
          <w:sz w:val="24"/>
        </w:rPr>
        <w:t>26）二级标准的要求。</w:t>
      </w:r>
    </w:p>
    <w:p w14:paraId="130E905D">
      <w:pPr>
        <w:spacing w:before="0" w:beforeLines="0" w:line="360" w:lineRule="auto"/>
        <w:ind w:firstLine="482"/>
        <w:rPr>
          <w:sz w:val="24"/>
        </w:rPr>
      </w:pPr>
      <w:r>
        <w:rPr>
          <w:rFonts w:hint="eastAsia"/>
          <w:sz w:val="24"/>
        </w:rPr>
        <w:t>由于运输车辆往来，在运输土方、砂石料、水泥等建筑材料以及弃土、废料等废弃物运输过程因密闭不好而引起粉尘泄漏均会对环境产生明显不利影响。运输车辆扬尘的产生量及扬尘污染程度与车辆的运输方式、路面状况、天气条件等因素关系密切，类比调查在施工过程中拉、运、卸、平土石方过程其周围产生的</w:t>
      </w:r>
      <w:r>
        <w:rPr>
          <w:sz w:val="24"/>
        </w:rPr>
        <w:t>TSP</w:t>
      </w:r>
      <w:r>
        <w:rPr>
          <w:rFonts w:hint="eastAsia"/>
          <w:sz w:val="24"/>
        </w:rPr>
        <w:t>的平均值可达到</w:t>
      </w:r>
      <w:r>
        <w:rPr>
          <w:sz w:val="24"/>
        </w:rPr>
        <w:t>0.768mg/m</w:t>
      </w:r>
      <w:r>
        <w:rPr>
          <w:sz w:val="24"/>
          <w:vertAlign w:val="superscript"/>
        </w:rPr>
        <w:t>3</w:t>
      </w:r>
      <w:r>
        <w:rPr>
          <w:rFonts w:hint="eastAsia"/>
          <w:sz w:val="24"/>
        </w:rPr>
        <w:t>。</w:t>
      </w:r>
    </w:p>
    <w:p w14:paraId="0D22B51F">
      <w:pPr>
        <w:spacing w:before="0" w:beforeLines="0" w:line="360" w:lineRule="auto"/>
        <w:ind w:firstLine="482"/>
        <w:rPr>
          <w:sz w:val="24"/>
        </w:rPr>
      </w:pPr>
      <w:r>
        <w:rPr>
          <w:rFonts w:hint="eastAsia"/>
          <w:sz w:val="24"/>
        </w:rPr>
        <w:t>综上所述，建筑工地扬尘对环境空气的影响范围主要是在工地围墙外</w:t>
      </w:r>
      <w:r>
        <w:rPr>
          <w:sz w:val="24"/>
        </w:rPr>
        <w:t>100m</w:t>
      </w:r>
      <w:r>
        <w:rPr>
          <w:rFonts w:hint="eastAsia"/>
          <w:sz w:val="24"/>
        </w:rPr>
        <w:t>以内：下风向一侧</w:t>
      </w:r>
      <w:r>
        <w:rPr>
          <w:sz w:val="24"/>
        </w:rPr>
        <w:t>0~50m</w:t>
      </w:r>
      <w:r>
        <w:rPr>
          <w:rFonts w:hint="eastAsia"/>
          <w:sz w:val="24"/>
        </w:rPr>
        <w:t>为重污染带；</w:t>
      </w:r>
      <w:r>
        <w:rPr>
          <w:sz w:val="24"/>
        </w:rPr>
        <w:t>50~150m</w:t>
      </w:r>
      <w:r>
        <w:rPr>
          <w:rFonts w:hint="eastAsia"/>
          <w:sz w:val="24"/>
        </w:rPr>
        <w:t>为较重污染带；大于</w:t>
      </w:r>
      <w:r>
        <w:rPr>
          <w:sz w:val="24"/>
        </w:rPr>
        <w:t>150m</w:t>
      </w:r>
      <w:r>
        <w:rPr>
          <w:rFonts w:hint="eastAsia"/>
          <w:sz w:val="24"/>
        </w:rPr>
        <w:t>为轻污染带，为减轻扬尘对周围环境的影响，在作业现场应采取相应的防护措施，如加盖遮盖物，干燥的天气时洒水以增加地面湿度，以减轻扬尘对周围环境的影响。目前距离本项目厂址区施工场地最近的敏感点为大于1000m，因此施工对周边居民区造成的影响较小。</w:t>
      </w:r>
    </w:p>
    <w:p w14:paraId="3A69A585">
      <w:pPr>
        <w:spacing w:before="0" w:beforeLines="0" w:line="360" w:lineRule="auto"/>
        <w:ind w:firstLine="482"/>
        <w:rPr>
          <w:sz w:val="24"/>
        </w:rPr>
      </w:pPr>
      <w:r>
        <w:rPr>
          <w:rFonts w:hint="eastAsia"/>
          <w:sz w:val="24"/>
        </w:rPr>
        <w:t>②废气影响</w:t>
      </w:r>
    </w:p>
    <w:p w14:paraId="47BC02B0">
      <w:pPr>
        <w:pStyle w:val="27"/>
        <w:spacing w:before="78" w:line="360" w:lineRule="auto"/>
        <w:ind w:firstLine="480" w:firstLineChars="200"/>
        <w:jc w:val="both"/>
        <w:rPr>
          <w:kern w:val="0"/>
          <w:sz w:val="24"/>
        </w:rPr>
      </w:pPr>
      <w:r>
        <w:rPr>
          <w:rFonts w:hint="eastAsia"/>
          <w:kern w:val="0"/>
          <w:sz w:val="24"/>
        </w:rPr>
        <w:t>施工废气主要包括各种燃油机械的废气排放、运输车辆产生的尾气排放。主要污染物为NOx、CO和碳氢化合物（HC）等。这些污染物量很小，且周围居民离项目很远，基本不会受到影响，但会对施工人员产生一定的影响，要加强对施工人员的防护措施。</w:t>
      </w:r>
    </w:p>
    <w:p w14:paraId="12B7D1C0">
      <w:pPr>
        <w:keepLines/>
        <w:spacing w:before="78" w:line="416" w:lineRule="auto"/>
        <w:jc w:val="left"/>
        <w:rPr>
          <w:b/>
          <w:bCs/>
          <w:sz w:val="24"/>
        </w:rPr>
      </w:pPr>
      <w:r>
        <w:rPr>
          <w:rFonts w:hint="eastAsia"/>
          <w:b/>
          <w:bCs/>
          <w:sz w:val="24"/>
        </w:rPr>
        <w:t>（2）</w:t>
      </w:r>
      <w:r>
        <w:rPr>
          <w:b/>
          <w:bCs/>
          <w:sz w:val="24"/>
        </w:rPr>
        <w:t>水环境影响因素分析</w:t>
      </w:r>
    </w:p>
    <w:p w14:paraId="30F66388">
      <w:pPr>
        <w:spacing w:before="78" w:line="360" w:lineRule="auto"/>
        <w:ind w:firstLine="480" w:firstLineChars="200"/>
        <w:rPr>
          <w:kern w:val="0"/>
          <w:sz w:val="24"/>
        </w:rPr>
      </w:pPr>
      <w:r>
        <w:rPr>
          <w:kern w:val="0"/>
          <w:sz w:val="24"/>
        </w:rPr>
        <w:t>施工期废水主要来自于施工现场的清洗废水以及施工人员少量的生活污水。</w:t>
      </w:r>
    </w:p>
    <w:p w14:paraId="77551565">
      <w:pPr>
        <w:spacing w:before="78" w:line="360" w:lineRule="auto"/>
        <w:ind w:firstLine="480" w:firstLineChars="200"/>
        <w:rPr>
          <w:kern w:val="0"/>
          <w:sz w:val="24"/>
        </w:rPr>
      </w:pPr>
      <w:r>
        <w:rPr>
          <w:kern w:val="0"/>
          <w:sz w:val="24"/>
        </w:rPr>
        <w:t>①施工废水</w:t>
      </w:r>
    </w:p>
    <w:p w14:paraId="1622BE5A">
      <w:pPr>
        <w:spacing w:before="78" w:line="360" w:lineRule="auto"/>
        <w:ind w:firstLine="480" w:firstLineChars="200"/>
        <w:rPr>
          <w:kern w:val="0"/>
          <w:sz w:val="24"/>
        </w:rPr>
      </w:pPr>
      <w:r>
        <w:rPr>
          <w:kern w:val="0"/>
          <w:sz w:val="24"/>
        </w:rPr>
        <w:t>施工废水主要是开挖作业面泥浆水及施工场地机械冲洗水。废水主要含泥砂，主要污染因子是SS，并带有少量油污，属临时性排水。施工期建设单位应在场地内设置临时沉淀池，施工废水经预处理澄清后重复利用，不外排。</w:t>
      </w:r>
    </w:p>
    <w:p w14:paraId="4DED4382">
      <w:pPr>
        <w:spacing w:before="78" w:line="360" w:lineRule="auto"/>
        <w:ind w:firstLine="480" w:firstLineChars="200"/>
        <w:rPr>
          <w:kern w:val="0"/>
          <w:sz w:val="24"/>
        </w:rPr>
      </w:pPr>
      <w:r>
        <w:rPr>
          <w:kern w:val="0"/>
          <w:sz w:val="24"/>
        </w:rPr>
        <w:t>②施工人员生活污水</w:t>
      </w:r>
    </w:p>
    <w:p w14:paraId="2243B0A3">
      <w:pPr>
        <w:adjustRightInd w:val="0"/>
        <w:snapToGrid w:val="0"/>
        <w:spacing w:before="78"/>
        <w:ind w:firstLine="480" w:firstLineChars="200"/>
        <w:rPr>
          <w:kern w:val="0"/>
          <w:sz w:val="24"/>
        </w:rPr>
      </w:pPr>
      <w:r>
        <w:rPr>
          <w:kern w:val="0"/>
          <w:sz w:val="24"/>
        </w:rPr>
        <w:t>施工人员平均按30人计，生活用水量按用水定额30L/人·d计算，则生活用水量为0.9m</w:t>
      </w:r>
      <w:r>
        <w:rPr>
          <w:kern w:val="0"/>
          <w:sz w:val="24"/>
          <w:vertAlign w:val="superscript"/>
        </w:rPr>
        <w:t>3</w:t>
      </w:r>
      <w:r>
        <w:rPr>
          <w:kern w:val="0"/>
          <w:sz w:val="24"/>
        </w:rPr>
        <w:t>/d，排放系数按0.8计算，则生活污水产生总量约129.6m</w:t>
      </w:r>
      <w:r>
        <w:rPr>
          <w:kern w:val="0"/>
          <w:sz w:val="24"/>
          <w:vertAlign w:val="superscript"/>
        </w:rPr>
        <w:t>3</w:t>
      </w:r>
      <w:r>
        <w:rPr>
          <w:kern w:val="0"/>
          <w:sz w:val="24"/>
        </w:rPr>
        <w:t>，主要污染物为COD、SS、NH</w:t>
      </w:r>
      <w:r>
        <w:rPr>
          <w:kern w:val="0"/>
          <w:sz w:val="24"/>
          <w:vertAlign w:val="subscript"/>
        </w:rPr>
        <w:t>3</w:t>
      </w:r>
      <w:r>
        <w:rPr>
          <w:kern w:val="0"/>
          <w:sz w:val="24"/>
        </w:rPr>
        <w:t>-N，排入化粪池定期清掏，不外排。</w:t>
      </w:r>
    </w:p>
    <w:p w14:paraId="19DC31F6">
      <w:pPr>
        <w:keepLines/>
        <w:spacing w:before="78" w:line="416" w:lineRule="auto"/>
        <w:jc w:val="left"/>
        <w:rPr>
          <w:b/>
          <w:bCs/>
          <w:sz w:val="24"/>
        </w:rPr>
      </w:pPr>
      <w:r>
        <w:rPr>
          <w:rFonts w:hint="eastAsia"/>
          <w:b/>
          <w:bCs/>
          <w:sz w:val="24"/>
        </w:rPr>
        <w:t>（3）</w:t>
      </w:r>
      <w:r>
        <w:rPr>
          <w:b/>
          <w:bCs/>
          <w:sz w:val="24"/>
        </w:rPr>
        <w:t>声环境影响因素分析</w:t>
      </w:r>
    </w:p>
    <w:p w14:paraId="0FD1039F">
      <w:pPr>
        <w:adjustRightInd w:val="0"/>
        <w:snapToGrid w:val="0"/>
        <w:spacing w:before="0" w:beforeLines="0" w:line="360" w:lineRule="auto"/>
        <w:ind w:firstLine="480" w:firstLineChars="200"/>
        <w:jc w:val="left"/>
        <w:textAlignment w:val="baseline"/>
        <w:rPr>
          <w:kern w:val="0"/>
          <w:sz w:val="24"/>
        </w:rPr>
      </w:pPr>
      <w:r>
        <w:rPr>
          <w:kern w:val="0"/>
          <w:sz w:val="24"/>
        </w:rPr>
        <w:t>施工期间常见的主要噪声污染源为施工机械、运输车辆等产生的噪声，其主要噪声值见表</w:t>
      </w:r>
      <w:r>
        <w:rPr>
          <w:rFonts w:hint="eastAsia"/>
          <w:kern w:val="0"/>
          <w:sz w:val="24"/>
        </w:rPr>
        <w:t>3.3-1</w:t>
      </w:r>
      <w:r>
        <w:rPr>
          <w:kern w:val="0"/>
          <w:sz w:val="24"/>
        </w:rPr>
        <w:t>。采用点源衰减模式，不考虑声屏障、空气吸收等衰减</w:t>
      </w:r>
      <w:r>
        <w:rPr>
          <w:rFonts w:hint="eastAsia"/>
          <w:kern w:val="0"/>
          <w:sz w:val="24"/>
        </w:rPr>
        <w:t>，</w:t>
      </w:r>
      <w:r>
        <w:rPr>
          <w:kern w:val="0"/>
          <w:sz w:val="24"/>
        </w:rPr>
        <w:t>预测出主要施工机械在不同距离处的衰减值，预测计算结果见表</w:t>
      </w:r>
      <w:r>
        <w:rPr>
          <w:rFonts w:hint="eastAsia"/>
          <w:kern w:val="0"/>
          <w:sz w:val="24"/>
        </w:rPr>
        <w:t>3.3-2</w:t>
      </w:r>
      <w:r>
        <w:rPr>
          <w:kern w:val="0"/>
          <w:sz w:val="24"/>
        </w:rPr>
        <w:t>。</w:t>
      </w:r>
    </w:p>
    <w:p w14:paraId="6084AAC0">
      <w:pPr>
        <w:adjustRightInd w:val="0"/>
        <w:snapToGrid w:val="0"/>
        <w:spacing w:before="156" w:beforeLines="50" w:line="240" w:lineRule="auto"/>
        <w:jc w:val="center"/>
        <w:textAlignment w:val="baseline"/>
        <w:rPr>
          <w:b/>
          <w:bCs/>
          <w:kern w:val="0"/>
          <w:szCs w:val="21"/>
        </w:rPr>
      </w:pPr>
      <w:r>
        <w:rPr>
          <w:rFonts w:hint="eastAsia"/>
          <w:b/>
          <w:bCs/>
          <w:kern w:val="0"/>
          <w:szCs w:val="21"/>
        </w:rPr>
        <w:t>表3.3-1</w:t>
      </w:r>
      <w:r>
        <w:rPr>
          <w:b/>
          <w:bCs/>
          <w:kern w:val="0"/>
          <w:szCs w:val="21"/>
        </w:rPr>
        <w:t xml:space="preserve">     施工机械产噪声值一览表</w:t>
      </w:r>
    </w:p>
    <w:tbl>
      <w:tblPr>
        <w:tblStyle w:val="89"/>
        <w:tblW w:w="5106"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0" w:type="dxa"/>
          <w:bottom w:w="0" w:type="dxa"/>
          <w:right w:w="0" w:type="dxa"/>
        </w:tblCellMar>
      </w:tblPr>
      <w:tblGrid>
        <w:gridCol w:w="567"/>
        <w:gridCol w:w="1630"/>
        <w:gridCol w:w="2048"/>
        <w:gridCol w:w="555"/>
        <w:gridCol w:w="1630"/>
        <w:gridCol w:w="2058"/>
      </w:tblGrid>
      <w:tr w14:paraId="0C5FC992">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76" w:hRule="atLeast"/>
          <w:jc w:val="center"/>
        </w:trPr>
        <w:tc>
          <w:tcPr>
            <w:tcW w:w="334" w:type="pct"/>
            <w:vAlign w:val="center"/>
          </w:tcPr>
          <w:p w14:paraId="5C97663C">
            <w:pPr>
              <w:spacing w:before="0" w:beforeLines="0" w:line="240" w:lineRule="auto"/>
              <w:jc w:val="center"/>
              <w:rPr>
                <w:szCs w:val="20"/>
              </w:rPr>
            </w:pPr>
            <w:r>
              <w:rPr>
                <w:szCs w:val="20"/>
              </w:rPr>
              <w:t>序号</w:t>
            </w:r>
          </w:p>
        </w:tc>
        <w:tc>
          <w:tcPr>
            <w:tcW w:w="960" w:type="pct"/>
            <w:vAlign w:val="center"/>
          </w:tcPr>
          <w:p w14:paraId="3739E783">
            <w:pPr>
              <w:spacing w:before="0" w:beforeLines="0" w:line="240" w:lineRule="auto"/>
              <w:jc w:val="center"/>
              <w:rPr>
                <w:szCs w:val="20"/>
              </w:rPr>
            </w:pPr>
            <w:r>
              <w:rPr>
                <w:szCs w:val="20"/>
              </w:rPr>
              <w:t>设备名称</w:t>
            </w:r>
          </w:p>
        </w:tc>
        <w:tc>
          <w:tcPr>
            <w:tcW w:w="1206" w:type="pct"/>
            <w:vAlign w:val="center"/>
          </w:tcPr>
          <w:p w14:paraId="43734CA7">
            <w:pPr>
              <w:spacing w:before="0" w:beforeLines="0" w:line="240" w:lineRule="auto"/>
              <w:jc w:val="center"/>
              <w:rPr>
                <w:szCs w:val="20"/>
              </w:rPr>
            </w:pPr>
            <w:r>
              <w:rPr>
                <w:szCs w:val="20"/>
              </w:rPr>
              <w:t>噪声值（dB(A)）</w:t>
            </w:r>
          </w:p>
        </w:tc>
        <w:tc>
          <w:tcPr>
            <w:tcW w:w="327" w:type="pct"/>
            <w:vAlign w:val="center"/>
          </w:tcPr>
          <w:p w14:paraId="3950881F">
            <w:pPr>
              <w:spacing w:before="0" w:beforeLines="0" w:line="240" w:lineRule="auto"/>
              <w:jc w:val="center"/>
              <w:rPr>
                <w:szCs w:val="20"/>
              </w:rPr>
            </w:pPr>
            <w:r>
              <w:rPr>
                <w:szCs w:val="20"/>
              </w:rPr>
              <w:t>序号</w:t>
            </w:r>
          </w:p>
        </w:tc>
        <w:tc>
          <w:tcPr>
            <w:tcW w:w="960" w:type="pct"/>
            <w:vAlign w:val="center"/>
          </w:tcPr>
          <w:p w14:paraId="6182E4DA">
            <w:pPr>
              <w:spacing w:before="0" w:beforeLines="0" w:line="240" w:lineRule="auto"/>
              <w:jc w:val="center"/>
              <w:rPr>
                <w:szCs w:val="20"/>
              </w:rPr>
            </w:pPr>
            <w:r>
              <w:rPr>
                <w:szCs w:val="20"/>
              </w:rPr>
              <w:t>设备名称</w:t>
            </w:r>
          </w:p>
        </w:tc>
        <w:tc>
          <w:tcPr>
            <w:tcW w:w="1212" w:type="pct"/>
            <w:vAlign w:val="center"/>
          </w:tcPr>
          <w:p w14:paraId="759265FE">
            <w:pPr>
              <w:spacing w:before="0" w:beforeLines="0" w:line="240" w:lineRule="auto"/>
              <w:jc w:val="center"/>
              <w:rPr>
                <w:szCs w:val="20"/>
              </w:rPr>
            </w:pPr>
            <w:r>
              <w:rPr>
                <w:szCs w:val="20"/>
              </w:rPr>
              <w:t>噪声值（dB(A)）</w:t>
            </w:r>
          </w:p>
        </w:tc>
      </w:tr>
      <w:tr w14:paraId="3F46AF8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76" w:hRule="atLeast"/>
          <w:jc w:val="center"/>
        </w:trPr>
        <w:tc>
          <w:tcPr>
            <w:tcW w:w="334" w:type="pct"/>
            <w:vAlign w:val="center"/>
          </w:tcPr>
          <w:p w14:paraId="51C4A919">
            <w:pPr>
              <w:spacing w:before="0" w:beforeLines="0" w:line="240" w:lineRule="auto"/>
              <w:jc w:val="center"/>
              <w:rPr>
                <w:szCs w:val="20"/>
              </w:rPr>
            </w:pPr>
            <w:r>
              <w:rPr>
                <w:szCs w:val="20"/>
              </w:rPr>
              <w:t>1</w:t>
            </w:r>
          </w:p>
        </w:tc>
        <w:tc>
          <w:tcPr>
            <w:tcW w:w="960" w:type="pct"/>
            <w:vAlign w:val="center"/>
          </w:tcPr>
          <w:p w14:paraId="009813BB">
            <w:pPr>
              <w:spacing w:before="0" w:beforeLines="0" w:line="240" w:lineRule="auto"/>
              <w:jc w:val="center"/>
              <w:rPr>
                <w:szCs w:val="20"/>
              </w:rPr>
            </w:pPr>
            <w:r>
              <w:rPr>
                <w:szCs w:val="20"/>
              </w:rPr>
              <w:t>装载机</w:t>
            </w:r>
          </w:p>
        </w:tc>
        <w:tc>
          <w:tcPr>
            <w:tcW w:w="1206" w:type="pct"/>
            <w:vAlign w:val="center"/>
          </w:tcPr>
          <w:p w14:paraId="653992C5">
            <w:pPr>
              <w:spacing w:before="0" w:beforeLines="0" w:line="240" w:lineRule="auto"/>
              <w:jc w:val="center"/>
              <w:rPr>
                <w:szCs w:val="20"/>
              </w:rPr>
            </w:pPr>
            <w:r>
              <w:rPr>
                <w:szCs w:val="20"/>
              </w:rPr>
              <w:t>90</w:t>
            </w:r>
          </w:p>
        </w:tc>
        <w:tc>
          <w:tcPr>
            <w:tcW w:w="327" w:type="pct"/>
            <w:vAlign w:val="center"/>
          </w:tcPr>
          <w:p w14:paraId="6CC0855A">
            <w:pPr>
              <w:spacing w:before="0" w:beforeLines="0" w:line="240" w:lineRule="auto"/>
              <w:jc w:val="center"/>
              <w:rPr>
                <w:szCs w:val="20"/>
              </w:rPr>
            </w:pPr>
            <w:r>
              <w:rPr>
                <w:szCs w:val="20"/>
              </w:rPr>
              <w:t>5</w:t>
            </w:r>
          </w:p>
        </w:tc>
        <w:tc>
          <w:tcPr>
            <w:tcW w:w="960" w:type="pct"/>
            <w:vAlign w:val="center"/>
          </w:tcPr>
          <w:p w14:paraId="30C8C7AE">
            <w:pPr>
              <w:spacing w:before="0" w:beforeLines="0" w:line="240" w:lineRule="auto"/>
              <w:jc w:val="center"/>
              <w:rPr>
                <w:szCs w:val="20"/>
              </w:rPr>
            </w:pPr>
            <w:r>
              <w:rPr>
                <w:szCs w:val="20"/>
              </w:rPr>
              <w:t>夯土机</w:t>
            </w:r>
          </w:p>
        </w:tc>
        <w:tc>
          <w:tcPr>
            <w:tcW w:w="1212" w:type="pct"/>
            <w:vAlign w:val="center"/>
          </w:tcPr>
          <w:p w14:paraId="21A12CF6">
            <w:pPr>
              <w:spacing w:before="0" w:beforeLines="0" w:line="240" w:lineRule="auto"/>
              <w:jc w:val="center"/>
              <w:rPr>
                <w:szCs w:val="20"/>
              </w:rPr>
            </w:pPr>
            <w:r>
              <w:rPr>
                <w:szCs w:val="20"/>
              </w:rPr>
              <w:t>90</w:t>
            </w:r>
          </w:p>
        </w:tc>
      </w:tr>
      <w:tr w14:paraId="158D0265">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76" w:hRule="atLeast"/>
          <w:jc w:val="center"/>
        </w:trPr>
        <w:tc>
          <w:tcPr>
            <w:tcW w:w="334" w:type="pct"/>
            <w:vAlign w:val="center"/>
          </w:tcPr>
          <w:p w14:paraId="15C8F044">
            <w:pPr>
              <w:spacing w:before="0" w:beforeLines="0" w:line="240" w:lineRule="auto"/>
              <w:jc w:val="center"/>
              <w:rPr>
                <w:szCs w:val="20"/>
              </w:rPr>
            </w:pPr>
            <w:r>
              <w:rPr>
                <w:szCs w:val="20"/>
              </w:rPr>
              <w:t>2</w:t>
            </w:r>
          </w:p>
        </w:tc>
        <w:tc>
          <w:tcPr>
            <w:tcW w:w="960" w:type="pct"/>
            <w:vAlign w:val="center"/>
          </w:tcPr>
          <w:p w14:paraId="58B61DD8">
            <w:pPr>
              <w:spacing w:before="0" w:beforeLines="0" w:line="240" w:lineRule="auto"/>
              <w:jc w:val="center"/>
              <w:rPr>
                <w:szCs w:val="20"/>
              </w:rPr>
            </w:pPr>
            <w:r>
              <w:rPr>
                <w:szCs w:val="20"/>
              </w:rPr>
              <w:t>挖掘机</w:t>
            </w:r>
          </w:p>
        </w:tc>
        <w:tc>
          <w:tcPr>
            <w:tcW w:w="1206" w:type="pct"/>
            <w:vAlign w:val="center"/>
          </w:tcPr>
          <w:p w14:paraId="5DA3C9B3">
            <w:pPr>
              <w:spacing w:before="0" w:beforeLines="0" w:line="240" w:lineRule="auto"/>
              <w:jc w:val="center"/>
              <w:rPr>
                <w:szCs w:val="20"/>
              </w:rPr>
            </w:pPr>
            <w:r>
              <w:rPr>
                <w:szCs w:val="20"/>
              </w:rPr>
              <w:t>90</w:t>
            </w:r>
          </w:p>
        </w:tc>
        <w:tc>
          <w:tcPr>
            <w:tcW w:w="327" w:type="pct"/>
            <w:vAlign w:val="center"/>
          </w:tcPr>
          <w:p w14:paraId="6F7DB6E2">
            <w:pPr>
              <w:spacing w:before="0" w:beforeLines="0" w:line="240" w:lineRule="auto"/>
              <w:jc w:val="center"/>
              <w:rPr>
                <w:szCs w:val="20"/>
              </w:rPr>
            </w:pPr>
            <w:r>
              <w:rPr>
                <w:szCs w:val="20"/>
              </w:rPr>
              <w:t>6</w:t>
            </w:r>
          </w:p>
        </w:tc>
        <w:tc>
          <w:tcPr>
            <w:tcW w:w="960" w:type="pct"/>
            <w:vAlign w:val="center"/>
          </w:tcPr>
          <w:p w14:paraId="44DDFAA8">
            <w:pPr>
              <w:spacing w:before="0" w:beforeLines="0" w:line="240" w:lineRule="auto"/>
              <w:jc w:val="center"/>
              <w:rPr>
                <w:szCs w:val="20"/>
              </w:rPr>
            </w:pPr>
            <w:r>
              <w:rPr>
                <w:szCs w:val="20"/>
              </w:rPr>
              <w:t>混凝土振捣机</w:t>
            </w:r>
          </w:p>
        </w:tc>
        <w:tc>
          <w:tcPr>
            <w:tcW w:w="1212" w:type="pct"/>
            <w:vAlign w:val="center"/>
          </w:tcPr>
          <w:p w14:paraId="12E5D0EE">
            <w:pPr>
              <w:spacing w:before="0" w:beforeLines="0" w:line="240" w:lineRule="auto"/>
              <w:jc w:val="center"/>
              <w:rPr>
                <w:szCs w:val="20"/>
              </w:rPr>
            </w:pPr>
            <w:r>
              <w:rPr>
                <w:szCs w:val="20"/>
              </w:rPr>
              <w:t>105</w:t>
            </w:r>
          </w:p>
        </w:tc>
      </w:tr>
      <w:tr w14:paraId="0FA42A1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76" w:hRule="atLeast"/>
          <w:jc w:val="center"/>
        </w:trPr>
        <w:tc>
          <w:tcPr>
            <w:tcW w:w="334" w:type="pct"/>
            <w:vAlign w:val="center"/>
          </w:tcPr>
          <w:p w14:paraId="5DA19E8D">
            <w:pPr>
              <w:spacing w:before="0" w:beforeLines="0" w:line="240" w:lineRule="auto"/>
              <w:jc w:val="center"/>
              <w:rPr>
                <w:szCs w:val="20"/>
              </w:rPr>
            </w:pPr>
            <w:r>
              <w:rPr>
                <w:szCs w:val="20"/>
              </w:rPr>
              <w:t>3</w:t>
            </w:r>
          </w:p>
        </w:tc>
        <w:tc>
          <w:tcPr>
            <w:tcW w:w="960" w:type="pct"/>
            <w:vAlign w:val="center"/>
          </w:tcPr>
          <w:p w14:paraId="1C4C7A77">
            <w:pPr>
              <w:spacing w:before="0" w:beforeLines="0" w:line="240" w:lineRule="auto"/>
              <w:jc w:val="center"/>
              <w:rPr>
                <w:szCs w:val="20"/>
              </w:rPr>
            </w:pPr>
            <w:r>
              <w:rPr>
                <w:szCs w:val="20"/>
              </w:rPr>
              <w:t>推土机</w:t>
            </w:r>
          </w:p>
        </w:tc>
        <w:tc>
          <w:tcPr>
            <w:tcW w:w="1206" w:type="pct"/>
            <w:vAlign w:val="center"/>
          </w:tcPr>
          <w:p w14:paraId="3D02E8A5">
            <w:pPr>
              <w:spacing w:before="0" w:beforeLines="0" w:line="240" w:lineRule="auto"/>
              <w:jc w:val="center"/>
              <w:rPr>
                <w:szCs w:val="20"/>
              </w:rPr>
            </w:pPr>
            <w:r>
              <w:rPr>
                <w:szCs w:val="20"/>
              </w:rPr>
              <w:t>86</w:t>
            </w:r>
          </w:p>
        </w:tc>
        <w:tc>
          <w:tcPr>
            <w:tcW w:w="327" w:type="pct"/>
            <w:vAlign w:val="center"/>
          </w:tcPr>
          <w:p w14:paraId="33A3CB5F">
            <w:pPr>
              <w:spacing w:before="0" w:beforeLines="0" w:line="240" w:lineRule="auto"/>
              <w:jc w:val="center"/>
              <w:rPr>
                <w:szCs w:val="20"/>
              </w:rPr>
            </w:pPr>
            <w:r>
              <w:rPr>
                <w:szCs w:val="20"/>
              </w:rPr>
              <w:t>7</w:t>
            </w:r>
          </w:p>
        </w:tc>
        <w:tc>
          <w:tcPr>
            <w:tcW w:w="960" w:type="pct"/>
            <w:vAlign w:val="center"/>
          </w:tcPr>
          <w:p w14:paraId="2DBDD5A7">
            <w:pPr>
              <w:spacing w:before="0" w:beforeLines="0" w:line="240" w:lineRule="auto"/>
              <w:jc w:val="center"/>
              <w:rPr>
                <w:szCs w:val="20"/>
              </w:rPr>
            </w:pPr>
            <w:r>
              <w:rPr>
                <w:szCs w:val="20"/>
              </w:rPr>
              <w:t>电锯、电刨</w:t>
            </w:r>
          </w:p>
        </w:tc>
        <w:tc>
          <w:tcPr>
            <w:tcW w:w="1212" w:type="pct"/>
            <w:vAlign w:val="center"/>
          </w:tcPr>
          <w:p w14:paraId="66BA2ED9">
            <w:pPr>
              <w:spacing w:before="0" w:beforeLines="0" w:line="240" w:lineRule="auto"/>
              <w:jc w:val="center"/>
              <w:rPr>
                <w:szCs w:val="20"/>
              </w:rPr>
            </w:pPr>
            <w:r>
              <w:rPr>
                <w:szCs w:val="20"/>
              </w:rPr>
              <w:t>75～105</w:t>
            </w:r>
          </w:p>
        </w:tc>
      </w:tr>
      <w:tr w14:paraId="024A239A">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76" w:hRule="atLeast"/>
          <w:jc w:val="center"/>
        </w:trPr>
        <w:tc>
          <w:tcPr>
            <w:tcW w:w="334" w:type="pct"/>
            <w:vAlign w:val="center"/>
          </w:tcPr>
          <w:p w14:paraId="27EFF72C">
            <w:pPr>
              <w:spacing w:before="0" w:beforeLines="0" w:line="240" w:lineRule="auto"/>
              <w:jc w:val="center"/>
              <w:rPr>
                <w:szCs w:val="20"/>
              </w:rPr>
            </w:pPr>
            <w:r>
              <w:rPr>
                <w:szCs w:val="20"/>
              </w:rPr>
              <w:t>4</w:t>
            </w:r>
          </w:p>
        </w:tc>
        <w:tc>
          <w:tcPr>
            <w:tcW w:w="960" w:type="pct"/>
            <w:vAlign w:val="center"/>
          </w:tcPr>
          <w:p w14:paraId="3BEA10A7">
            <w:pPr>
              <w:spacing w:before="0" w:beforeLines="0" w:line="240" w:lineRule="auto"/>
              <w:jc w:val="center"/>
              <w:rPr>
                <w:szCs w:val="20"/>
              </w:rPr>
            </w:pPr>
            <w:r>
              <w:rPr>
                <w:szCs w:val="20"/>
              </w:rPr>
              <w:t>混凝</w:t>
            </w:r>
            <w:r>
              <w:rPr>
                <w:rFonts w:hint="eastAsia"/>
                <w:szCs w:val="20"/>
                <w:lang w:val="en-US" w:eastAsia="zh-CN"/>
              </w:rPr>
              <w:t>土</w:t>
            </w:r>
            <w:r>
              <w:rPr>
                <w:szCs w:val="20"/>
              </w:rPr>
              <w:t>搅拌机</w:t>
            </w:r>
          </w:p>
        </w:tc>
        <w:tc>
          <w:tcPr>
            <w:tcW w:w="1206" w:type="pct"/>
            <w:vAlign w:val="center"/>
          </w:tcPr>
          <w:p w14:paraId="1D8D9CF4">
            <w:pPr>
              <w:spacing w:before="0" w:beforeLines="0" w:line="240" w:lineRule="auto"/>
              <w:jc w:val="center"/>
              <w:rPr>
                <w:szCs w:val="20"/>
              </w:rPr>
            </w:pPr>
            <w:r>
              <w:rPr>
                <w:szCs w:val="20"/>
              </w:rPr>
              <w:t>79</w:t>
            </w:r>
          </w:p>
        </w:tc>
        <w:tc>
          <w:tcPr>
            <w:tcW w:w="327" w:type="pct"/>
            <w:vAlign w:val="center"/>
          </w:tcPr>
          <w:p w14:paraId="5CCAFEA7">
            <w:pPr>
              <w:spacing w:before="0" w:beforeLines="0" w:line="240" w:lineRule="auto"/>
              <w:jc w:val="center"/>
              <w:rPr>
                <w:szCs w:val="20"/>
              </w:rPr>
            </w:pPr>
            <w:r>
              <w:rPr>
                <w:szCs w:val="20"/>
              </w:rPr>
              <w:t>8</w:t>
            </w:r>
          </w:p>
        </w:tc>
        <w:tc>
          <w:tcPr>
            <w:tcW w:w="960" w:type="pct"/>
            <w:vAlign w:val="center"/>
          </w:tcPr>
          <w:p w14:paraId="7298277A">
            <w:pPr>
              <w:spacing w:before="0" w:beforeLines="0" w:line="240" w:lineRule="auto"/>
              <w:jc w:val="center"/>
              <w:rPr>
                <w:szCs w:val="20"/>
              </w:rPr>
            </w:pPr>
            <w:r>
              <w:rPr>
                <w:szCs w:val="20"/>
              </w:rPr>
              <w:t>运输车辆</w:t>
            </w:r>
          </w:p>
        </w:tc>
        <w:tc>
          <w:tcPr>
            <w:tcW w:w="1212" w:type="pct"/>
            <w:vAlign w:val="center"/>
          </w:tcPr>
          <w:p w14:paraId="522F7937">
            <w:pPr>
              <w:spacing w:before="0" w:beforeLines="0" w:line="240" w:lineRule="auto"/>
              <w:jc w:val="center"/>
              <w:rPr>
                <w:szCs w:val="20"/>
              </w:rPr>
            </w:pPr>
            <w:r>
              <w:rPr>
                <w:szCs w:val="20"/>
              </w:rPr>
              <w:t>85～90</w:t>
            </w:r>
          </w:p>
        </w:tc>
      </w:tr>
    </w:tbl>
    <w:p w14:paraId="48BD4C70">
      <w:pPr>
        <w:adjustRightInd w:val="0"/>
        <w:snapToGrid w:val="0"/>
        <w:spacing w:before="156" w:beforeLines="50" w:line="240" w:lineRule="auto"/>
        <w:jc w:val="center"/>
        <w:textAlignment w:val="baseline"/>
        <w:rPr>
          <w:b/>
          <w:bCs/>
          <w:kern w:val="0"/>
          <w:szCs w:val="21"/>
        </w:rPr>
      </w:pPr>
    </w:p>
    <w:p w14:paraId="6DF55AF9">
      <w:pPr>
        <w:adjustRightInd w:val="0"/>
        <w:snapToGrid w:val="0"/>
        <w:spacing w:before="156" w:beforeLines="50" w:line="240" w:lineRule="auto"/>
        <w:jc w:val="center"/>
        <w:textAlignment w:val="baseline"/>
        <w:rPr>
          <w:b/>
          <w:bCs/>
          <w:kern w:val="0"/>
          <w:szCs w:val="21"/>
        </w:rPr>
      </w:pPr>
    </w:p>
    <w:p w14:paraId="108B9FF0">
      <w:pPr>
        <w:adjustRightInd w:val="0"/>
        <w:snapToGrid w:val="0"/>
        <w:spacing w:before="156" w:beforeLines="50" w:line="240" w:lineRule="auto"/>
        <w:jc w:val="center"/>
        <w:textAlignment w:val="baseline"/>
        <w:rPr>
          <w:b/>
          <w:bCs/>
          <w:kern w:val="0"/>
          <w:szCs w:val="21"/>
        </w:rPr>
      </w:pPr>
    </w:p>
    <w:p w14:paraId="6B20C140">
      <w:pPr>
        <w:adjustRightInd w:val="0"/>
        <w:snapToGrid w:val="0"/>
        <w:spacing w:before="156" w:beforeLines="50" w:line="240" w:lineRule="auto"/>
        <w:jc w:val="center"/>
        <w:textAlignment w:val="baseline"/>
        <w:rPr>
          <w:b/>
          <w:bCs/>
          <w:kern w:val="0"/>
          <w:szCs w:val="21"/>
        </w:rPr>
      </w:pPr>
    </w:p>
    <w:p w14:paraId="159E6727">
      <w:pPr>
        <w:adjustRightInd w:val="0"/>
        <w:snapToGrid w:val="0"/>
        <w:spacing w:before="156" w:beforeLines="50" w:line="240" w:lineRule="auto"/>
        <w:jc w:val="center"/>
        <w:textAlignment w:val="baseline"/>
        <w:rPr>
          <w:b/>
          <w:bCs/>
          <w:kern w:val="0"/>
          <w:szCs w:val="21"/>
        </w:rPr>
      </w:pPr>
    </w:p>
    <w:p w14:paraId="750AD3D4">
      <w:pPr>
        <w:adjustRightInd w:val="0"/>
        <w:snapToGrid w:val="0"/>
        <w:spacing w:before="156" w:beforeLines="50" w:line="240" w:lineRule="auto"/>
        <w:jc w:val="center"/>
        <w:textAlignment w:val="baseline"/>
        <w:rPr>
          <w:b/>
          <w:bCs/>
          <w:kern w:val="0"/>
          <w:szCs w:val="21"/>
        </w:rPr>
      </w:pPr>
    </w:p>
    <w:p w14:paraId="6BBB6685">
      <w:pPr>
        <w:adjustRightInd w:val="0"/>
        <w:snapToGrid w:val="0"/>
        <w:spacing w:before="156" w:beforeLines="50" w:line="240" w:lineRule="auto"/>
        <w:jc w:val="center"/>
        <w:textAlignment w:val="baseline"/>
        <w:rPr>
          <w:b/>
          <w:bCs/>
          <w:kern w:val="0"/>
          <w:szCs w:val="21"/>
        </w:rPr>
      </w:pPr>
      <w:r>
        <w:rPr>
          <w:b/>
          <w:bCs/>
          <w:kern w:val="0"/>
          <w:szCs w:val="21"/>
        </w:rPr>
        <w:t>表</w:t>
      </w:r>
      <w:r>
        <w:rPr>
          <w:rFonts w:hint="eastAsia"/>
          <w:b/>
          <w:bCs/>
          <w:kern w:val="0"/>
          <w:szCs w:val="21"/>
        </w:rPr>
        <w:t>3.3-2</w:t>
      </w:r>
      <w:r>
        <w:rPr>
          <w:b/>
          <w:bCs/>
          <w:kern w:val="0"/>
          <w:szCs w:val="21"/>
        </w:rPr>
        <w:t xml:space="preserve">          各主要施工机械在不同距离处的贡献值</w:t>
      </w:r>
    </w:p>
    <w:tbl>
      <w:tblPr>
        <w:tblStyle w:val="89"/>
        <w:tblW w:w="5054"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0" w:type="dxa"/>
          <w:bottom w:w="0" w:type="dxa"/>
          <w:right w:w="0" w:type="dxa"/>
        </w:tblCellMar>
      </w:tblPr>
      <w:tblGrid>
        <w:gridCol w:w="753"/>
        <w:gridCol w:w="2161"/>
        <w:gridCol w:w="780"/>
        <w:gridCol w:w="990"/>
        <w:gridCol w:w="990"/>
        <w:gridCol w:w="990"/>
        <w:gridCol w:w="990"/>
        <w:gridCol w:w="748"/>
      </w:tblGrid>
      <w:tr w14:paraId="0403FAAF">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63" w:hRule="atLeast"/>
          <w:jc w:val="center"/>
        </w:trPr>
        <w:tc>
          <w:tcPr>
            <w:tcW w:w="449" w:type="pct"/>
            <w:vMerge w:val="restart"/>
            <w:vAlign w:val="center"/>
          </w:tcPr>
          <w:p w14:paraId="0F58E059">
            <w:pPr>
              <w:spacing w:before="0" w:beforeLines="0" w:line="240" w:lineRule="auto"/>
              <w:jc w:val="center"/>
              <w:rPr>
                <w:szCs w:val="20"/>
              </w:rPr>
            </w:pPr>
            <w:r>
              <w:rPr>
                <w:rFonts w:hint="eastAsia"/>
                <w:szCs w:val="20"/>
              </w:rPr>
              <w:t>序号</w:t>
            </w:r>
          </w:p>
        </w:tc>
        <w:tc>
          <w:tcPr>
            <w:tcW w:w="1286" w:type="pct"/>
            <w:vMerge w:val="restart"/>
            <w:vAlign w:val="center"/>
          </w:tcPr>
          <w:p w14:paraId="5FA37CB0">
            <w:pPr>
              <w:spacing w:before="0" w:beforeLines="0" w:line="240" w:lineRule="auto"/>
              <w:jc w:val="center"/>
              <w:rPr>
                <w:szCs w:val="20"/>
              </w:rPr>
            </w:pPr>
            <w:r>
              <w:rPr>
                <w:rFonts w:hint="eastAsia"/>
                <w:szCs w:val="20"/>
              </w:rPr>
              <w:t>设备名称</w:t>
            </w:r>
          </w:p>
        </w:tc>
        <w:tc>
          <w:tcPr>
            <w:tcW w:w="2819" w:type="pct"/>
            <w:gridSpan w:val="5"/>
            <w:vAlign w:val="center"/>
          </w:tcPr>
          <w:p w14:paraId="1DF35B49">
            <w:pPr>
              <w:spacing w:before="0" w:beforeLines="0" w:line="240" w:lineRule="auto"/>
              <w:jc w:val="center"/>
              <w:rPr>
                <w:szCs w:val="20"/>
              </w:rPr>
            </w:pPr>
            <w:r>
              <w:rPr>
                <w:rFonts w:hint="eastAsia"/>
                <w:szCs w:val="20"/>
              </w:rPr>
              <w:t>不同距离处噪声贡献值</w:t>
            </w:r>
            <w:r>
              <w:rPr>
                <w:szCs w:val="20"/>
              </w:rPr>
              <w:t>(dB(A))</w:t>
            </w:r>
          </w:p>
        </w:tc>
        <w:tc>
          <w:tcPr>
            <w:tcW w:w="445" w:type="pct"/>
            <w:vMerge w:val="restart"/>
            <w:vAlign w:val="center"/>
          </w:tcPr>
          <w:p w14:paraId="1C01AFDA">
            <w:pPr>
              <w:spacing w:before="0" w:beforeLines="0" w:line="240" w:lineRule="auto"/>
              <w:jc w:val="center"/>
              <w:rPr>
                <w:szCs w:val="20"/>
              </w:rPr>
            </w:pPr>
            <w:r>
              <w:rPr>
                <w:rFonts w:hint="eastAsia"/>
                <w:szCs w:val="20"/>
              </w:rPr>
              <w:t>施工</w:t>
            </w:r>
          </w:p>
          <w:p w14:paraId="07C3F7BE">
            <w:pPr>
              <w:spacing w:before="0" w:beforeLines="0" w:line="240" w:lineRule="auto"/>
              <w:jc w:val="center"/>
              <w:rPr>
                <w:szCs w:val="20"/>
              </w:rPr>
            </w:pPr>
            <w:r>
              <w:rPr>
                <w:rFonts w:hint="eastAsia"/>
                <w:szCs w:val="20"/>
              </w:rPr>
              <w:t>阶段</w:t>
            </w:r>
          </w:p>
        </w:tc>
      </w:tr>
      <w:tr w14:paraId="63C6D7E1">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21" w:hRule="atLeast"/>
          <w:jc w:val="center"/>
        </w:trPr>
        <w:tc>
          <w:tcPr>
            <w:tcW w:w="449" w:type="pct"/>
            <w:vMerge w:val="continue"/>
            <w:vAlign w:val="center"/>
          </w:tcPr>
          <w:p w14:paraId="27B4CA11">
            <w:pPr>
              <w:spacing w:before="0" w:beforeLines="0" w:line="240" w:lineRule="auto"/>
              <w:jc w:val="center"/>
              <w:rPr>
                <w:szCs w:val="20"/>
              </w:rPr>
            </w:pPr>
          </w:p>
        </w:tc>
        <w:tc>
          <w:tcPr>
            <w:tcW w:w="1286" w:type="pct"/>
            <w:vMerge w:val="continue"/>
            <w:vAlign w:val="center"/>
          </w:tcPr>
          <w:p w14:paraId="5DB8B462">
            <w:pPr>
              <w:spacing w:before="0" w:beforeLines="0" w:line="240" w:lineRule="auto"/>
              <w:jc w:val="center"/>
              <w:rPr>
                <w:szCs w:val="20"/>
              </w:rPr>
            </w:pPr>
          </w:p>
        </w:tc>
        <w:tc>
          <w:tcPr>
            <w:tcW w:w="464" w:type="pct"/>
            <w:vAlign w:val="center"/>
          </w:tcPr>
          <w:p w14:paraId="11ECF503">
            <w:pPr>
              <w:spacing w:before="0" w:beforeLines="0" w:line="240" w:lineRule="auto"/>
              <w:jc w:val="center"/>
              <w:rPr>
                <w:szCs w:val="20"/>
              </w:rPr>
            </w:pPr>
            <w:r>
              <w:rPr>
                <w:szCs w:val="20"/>
              </w:rPr>
              <w:t>40m</w:t>
            </w:r>
          </w:p>
        </w:tc>
        <w:tc>
          <w:tcPr>
            <w:tcW w:w="589" w:type="pct"/>
            <w:vAlign w:val="center"/>
          </w:tcPr>
          <w:p w14:paraId="4A802CA9">
            <w:pPr>
              <w:spacing w:before="0" w:beforeLines="0" w:line="240" w:lineRule="auto"/>
              <w:jc w:val="center"/>
              <w:rPr>
                <w:szCs w:val="20"/>
              </w:rPr>
            </w:pPr>
            <w:r>
              <w:rPr>
                <w:szCs w:val="20"/>
              </w:rPr>
              <w:t>100m</w:t>
            </w:r>
          </w:p>
        </w:tc>
        <w:tc>
          <w:tcPr>
            <w:tcW w:w="589" w:type="pct"/>
            <w:vAlign w:val="center"/>
          </w:tcPr>
          <w:p w14:paraId="323E2E8E">
            <w:pPr>
              <w:spacing w:before="0" w:beforeLines="0" w:line="240" w:lineRule="auto"/>
              <w:jc w:val="center"/>
              <w:rPr>
                <w:szCs w:val="20"/>
              </w:rPr>
            </w:pPr>
            <w:r>
              <w:rPr>
                <w:szCs w:val="20"/>
              </w:rPr>
              <w:t>200m</w:t>
            </w:r>
          </w:p>
        </w:tc>
        <w:tc>
          <w:tcPr>
            <w:tcW w:w="589" w:type="pct"/>
            <w:vAlign w:val="center"/>
          </w:tcPr>
          <w:p w14:paraId="168CCB4A">
            <w:pPr>
              <w:spacing w:before="0" w:beforeLines="0" w:line="240" w:lineRule="auto"/>
              <w:jc w:val="center"/>
              <w:rPr>
                <w:szCs w:val="20"/>
              </w:rPr>
            </w:pPr>
            <w:r>
              <w:rPr>
                <w:szCs w:val="20"/>
              </w:rPr>
              <w:t>300m</w:t>
            </w:r>
          </w:p>
        </w:tc>
        <w:tc>
          <w:tcPr>
            <w:tcW w:w="589" w:type="pct"/>
            <w:vAlign w:val="center"/>
          </w:tcPr>
          <w:p w14:paraId="325F9739">
            <w:pPr>
              <w:spacing w:before="0" w:beforeLines="0" w:line="240" w:lineRule="auto"/>
              <w:jc w:val="center"/>
              <w:rPr>
                <w:szCs w:val="20"/>
              </w:rPr>
            </w:pPr>
            <w:r>
              <w:rPr>
                <w:szCs w:val="20"/>
              </w:rPr>
              <w:t>500m</w:t>
            </w:r>
          </w:p>
        </w:tc>
        <w:tc>
          <w:tcPr>
            <w:tcW w:w="445" w:type="pct"/>
            <w:vMerge w:val="continue"/>
            <w:vAlign w:val="center"/>
          </w:tcPr>
          <w:p w14:paraId="1839282C">
            <w:pPr>
              <w:spacing w:before="0" w:beforeLines="0" w:line="240" w:lineRule="auto"/>
              <w:jc w:val="center"/>
              <w:rPr>
                <w:szCs w:val="20"/>
              </w:rPr>
            </w:pPr>
          </w:p>
        </w:tc>
      </w:tr>
      <w:tr w14:paraId="6FE34BC0">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63" w:hRule="atLeast"/>
          <w:jc w:val="center"/>
        </w:trPr>
        <w:tc>
          <w:tcPr>
            <w:tcW w:w="449" w:type="pct"/>
            <w:vAlign w:val="center"/>
          </w:tcPr>
          <w:p w14:paraId="5E54BFE8">
            <w:pPr>
              <w:spacing w:before="0" w:beforeLines="0" w:line="240" w:lineRule="auto"/>
              <w:jc w:val="center"/>
              <w:rPr>
                <w:szCs w:val="20"/>
              </w:rPr>
            </w:pPr>
            <w:r>
              <w:rPr>
                <w:szCs w:val="20"/>
              </w:rPr>
              <w:t>1</w:t>
            </w:r>
          </w:p>
        </w:tc>
        <w:tc>
          <w:tcPr>
            <w:tcW w:w="1286" w:type="pct"/>
            <w:vAlign w:val="center"/>
          </w:tcPr>
          <w:p w14:paraId="74531A12">
            <w:pPr>
              <w:spacing w:before="0" w:beforeLines="0" w:line="240" w:lineRule="auto"/>
              <w:jc w:val="center"/>
              <w:rPr>
                <w:szCs w:val="20"/>
              </w:rPr>
            </w:pPr>
            <w:r>
              <w:rPr>
                <w:rFonts w:hint="eastAsia"/>
                <w:szCs w:val="20"/>
              </w:rPr>
              <w:t>装载机</w:t>
            </w:r>
          </w:p>
        </w:tc>
        <w:tc>
          <w:tcPr>
            <w:tcW w:w="464" w:type="pct"/>
            <w:vAlign w:val="center"/>
          </w:tcPr>
          <w:p w14:paraId="331C08DF">
            <w:pPr>
              <w:spacing w:before="0" w:beforeLines="0" w:line="240" w:lineRule="auto"/>
              <w:jc w:val="center"/>
              <w:rPr>
                <w:szCs w:val="20"/>
              </w:rPr>
            </w:pPr>
            <w:r>
              <w:rPr>
                <w:szCs w:val="20"/>
              </w:rPr>
              <w:t>72</w:t>
            </w:r>
          </w:p>
        </w:tc>
        <w:tc>
          <w:tcPr>
            <w:tcW w:w="589" w:type="pct"/>
            <w:vAlign w:val="center"/>
          </w:tcPr>
          <w:p w14:paraId="558D0EE1">
            <w:pPr>
              <w:spacing w:before="0" w:beforeLines="0" w:line="240" w:lineRule="auto"/>
              <w:jc w:val="center"/>
              <w:rPr>
                <w:szCs w:val="20"/>
              </w:rPr>
            </w:pPr>
            <w:r>
              <w:rPr>
                <w:szCs w:val="20"/>
              </w:rPr>
              <w:t>64</w:t>
            </w:r>
          </w:p>
        </w:tc>
        <w:tc>
          <w:tcPr>
            <w:tcW w:w="589" w:type="pct"/>
            <w:vAlign w:val="center"/>
          </w:tcPr>
          <w:p w14:paraId="1F80AC9A">
            <w:pPr>
              <w:spacing w:before="0" w:beforeLines="0" w:line="240" w:lineRule="auto"/>
              <w:jc w:val="center"/>
              <w:rPr>
                <w:szCs w:val="20"/>
              </w:rPr>
            </w:pPr>
            <w:r>
              <w:rPr>
                <w:szCs w:val="20"/>
              </w:rPr>
              <w:t>58</w:t>
            </w:r>
          </w:p>
        </w:tc>
        <w:tc>
          <w:tcPr>
            <w:tcW w:w="589" w:type="pct"/>
            <w:vAlign w:val="center"/>
          </w:tcPr>
          <w:p w14:paraId="266A41C6">
            <w:pPr>
              <w:spacing w:before="0" w:beforeLines="0" w:line="240" w:lineRule="auto"/>
              <w:jc w:val="center"/>
              <w:rPr>
                <w:szCs w:val="20"/>
              </w:rPr>
            </w:pPr>
            <w:r>
              <w:rPr>
                <w:szCs w:val="20"/>
              </w:rPr>
              <w:t>54</w:t>
            </w:r>
          </w:p>
        </w:tc>
        <w:tc>
          <w:tcPr>
            <w:tcW w:w="589" w:type="pct"/>
            <w:vAlign w:val="center"/>
          </w:tcPr>
          <w:p w14:paraId="556A1AC0">
            <w:pPr>
              <w:spacing w:before="0" w:beforeLines="0" w:line="240" w:lineRule="auto"/>
              <w:jc w:val="center"/>
              <w:rPr>
                <w:szCs w:val="20"/>
              </w:rPr>
            </w:pPr>
            <w:r>
              <w:rPr>
                <w:szCs w:val="20"/>
              </w:rPr>
              <w:t>50</w:t>
            </w:r>
          </w:p>
        </w:tc>
        <w:tc>
          <w:tcPr>
            <w:tcW w:w="445" w:type="pct"/>
            <w:vMerge w:val="restart"/>
            <w:vAlign w:val="center"/>
          </w:tcPr>
          <w:p w14:paraId="62911F13">
            <w:pPr>
              <w:spacing w:before="0" w:beforeLines="0" w:line="240" w:lineRule="auto"/>
              <w:jc w:val="center"/>
              <w:rPr>
                <w:szCs w:val="20"/>
              </w:rPr>
            </w:pPr>
            <w:r>
              <w:rPr>
                <w:rFonts w:hint="eastAsia"/>
                <w:szCs w:val="20"/>
              </w:rPr>
              <w:t>地基</w:t>
            </w:r>
          </w:p>
          <w:p w14:paraId="7462083F">
            <w:pPr>
              <w:spacing w:before="0" w:beforeLines="0" w:line="240" w:lineRule="auto"/>
              <w:jc w:val="center"/>
              <w:rPr>
                <w:szCs w:val="20"/>
              </w:rPr>
            </w:pPr>
            <w:r>
              <w:rPr>
                <w:rFonts w:hint="eastAsia"/>
                <w:szCs w:val="20"/>
              </w:rPr>
              <w:t>挖掘</w:t>
            </w:r>
          </w:p>
        </w:tc>
      </w:tr>
      <w:tr w14:paraId="5D7D76F0">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83" w:hRule="atLeast"/>
          <w:jc w:val="center"/>
        </w:trPr>
        <w:tc>
          <w:tcPr>
            <w:tcW w:w="449" w:type="pct"/>
            <w:vAlign w:val="center"/>
          </w:tcPr>
          <w:p w14:paraId="7DDDF01E">
            <w:pPr>
              <w:spacing w:before="0" w:beforeLines="0" w:line="240" w:lineRule="auto"/>
              <w:jc w:val="center"/>
              <w:rPr>
                <w:szCs w:val="20"/>
              </w:rPr>
            </w:pPr>
            <w:r>
              <w:rPr>
                <w:szCs w:val="20"/>
              </w:rPr>
              <w:t>2</w:t>
            </w:r>
          </w:p>
        </w:tc>
        <w:tc>
          <w:tcPr>
            <w:tcW w:w="1286" w:type="pct"/>
            <w:vAlign w:val="center"/>
          </w:tcPr>
          <w:p w14:paraId="4651BA57">
            <w:pPr>
              <w:spacing w:before="0" w:beforeLines="0" w:line="240" w:lineRule="auto"/>
              <w:jc w:val="center"/>
              <w:rPr>
                <w:szCs w:val="20"/>
              </w:rPr>
            </w:pPr>
            <w:r>
              <w:rPr>
                <w:rFonts w:hint="eastAsia"/>
                <w:szCs w:val="20"/>
              </w:rPr>
              <w:t>挖掘机</w:t>
            </w:r>
          </w:p>
        </w:tc>
        <w:tc>
          <w:tcPr>
            <w:tcW w:w="464" w:type="pct"/>
            <w:vAlign w:val="center"/>
          </w:tcPr>
          <w:p w14:paraId="486676CB">
            <w:pPr>
              <w:spacing w:before="0" w:beforeLines="0" w:line="240" w:lineRule="auto"/>
              <w:jc w:val="center"/>
              <w:rPr>
                <w:szCs w:val="20"/>
              </w:rPr>
            </w:pPr>
            <w:r>
              <w:rPr>
                <w:szCs w:val="20"/>
              </w:rPr>
              <w:t>72</w:t>
            </w:r>
          </w:p>
        </w:tc>
        <w:tc>
          <w:tcPr>
            <w:tcW w:w="589" w:type="pct"/>
            <w:vAlign w:val="center"/>
          </w:tcPr>
          <w:p w14:paraId="1DE825C3">
            <w:pPr>
              <w:spacing w:before="0" w:beforeLines="0" w:line="240" w:lineRule="auto"/>
              <w:jc w:val="center"/>
              <w:rPr>
                <w:szCs w:val="20"/>
              </w:rPr>
            </w:pPr>
            <w:r>
              <w:rPr>
                <w:szCs w:val="20"/>
              </w:rPr>
              <w:t>64</w:t>
            </w:r>
          </w:p>
        </w:tc>
        <w:tc>
          <w:tcPr>
            <w:tcW w:w="589" w:type="pct"/>
            <w:vAlign w:val="center"/>
          </w:tcPr>
          <w:p w14:paraId="6DFD5F69">
            <w:pPr>
              <w:spacing w:before="0" w:beforeLines="0" w:line="240" w:lineRule="auto"/>
              <w:jc w:val="center"/>
              <w:rPr>
                <w:szCs w:val="20"/>
              </w:rPr>
            </w:pPr>
            <w:r>
              <w:rPr>
                <w:szCs w:val="20"/>
              </w:rPr>
              <w:t>58</w:t>
            </w:r>
          </w:p>
        </w:tc>
        <w:tc>
          <w:tcPr>
            <w:tcW w:w="589" w:type="pct"/>
            <w:vAlign w:val="center"/>
          </w:tcPr>
          <w:p w14:paraId="2C423A7A">
            <w:pPr>
              <w:spacing w:before="0" w:beforeLines="0" w:line="240" w:lineRule="auto"/>
              <w:jc w:val="center"/>
              <w:rPr>
                <w:szCs w:val="20"/>
              </w:rPr>
            </w:pPr>
            <w:r>
              <w:rPr>
                <w:szCs w:val="20"/>
              </w:rPr>
              <w:t>54</w:t>
            </w:r>
          </w:p>
        </w:tc>
        <w:tc>
          <w:tcPr>
            <w:tcW w:w="589" w:type="pct"/>
            <w:vAlign w:val="center"/>
          </w:tcPr>
          <w:p w14:paraId="03CA3390">
            <w:pPr>
              <w:spacing w:before="0" w:beforeLines="0" w:line="240" w:lineRule="auto"/>
              <w:jc w:val="center"/>
              <w:rPr>
                <w:szCs w:val="20"/>
              </w:rPr>
            </w:pPr>
            <w:r>
              <w:rPr>
                <w:szCs w:val="20"/>
              </w:rPr>
              <w:t>50</w:t>
            </w:r>
          </w:p>
        </w:tc>
        <w:tc>
          <w:tcPr>
            <w:tcW w:w="445" w:type="pct"/>
            <w:vMerge w:val="continue"/>
            <w:vAlign w:val="center"/>
          </w:tcPr>
          <w:p w14:paraId="7F28DB99">
            <w:pPr>
              <w:spacing w:before="0" w:beforeLines="0" w:line="240" w:lineRule="auto"/>
              <w:jc w:val="center"/>
              <w:rPr>
                <w:szCs w:val="20"/>
              </w:rPr>
            </w:pPr>
          </w:p>
        </w:tc>
      </w:tr>
      <w:tr w14:paraId="364333B0">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63" w:hRule="atLeast"/>
          <w:jc w:val="center"/>
        </w:trPr>
        <w:tc>
          <w:tcPr>
            <w:tcW w:w="449" w:type="pct"/>
            <w:vAlign w:val="center"/>
          </w:tcPr>
          <w:p w14:paraId="3148C6DB">
            <w:pPr>
              <w:spacing w:before="0" w:beforeLines="0" w:line="240" w:lineRule="auto"/>
              <w:jc w:val="center"/>
              <w:rPr>
                <w:szCs w:val="20"/>
              </w:rPr>
            </w:pPr>
            <w:r>
              <w:rPr>
                <w:szCs w:val="20"/>
              </w:rPr>
              <w:t>3</w:t>
            </w:r>
          </w:p>
        </w:tc>
        <w:tc>
          <w:tcPr>
            <w:tcW w:w="1286" w:type="pct"/>
            <w:vAlign w:val="center"/>
          </w:tcPr>
          <w:p w14:paraId="50018817">
            <w:pPr>
              <w:spacing w:before="0" w:beforeLines="0" w:line="240" w:lineRule="auto"/>
              <w:jc w:val="center"/>
              <w:rPr>
                <w:szCs w:val="20"/>
              </w:rPr>
            </w:pPr>
            <w:r>
              <w:rPr>
                <w:rFonts w:hint="eastAsia"/>
                <w:szCs w:val="20"/>
              </w:rPr>
              <w:t>推土机</w:t>
            </w:r>
          </w:p>
        </w:tc>
        <w:tc>
          <w:tcPr>
            <w:tcW w:w="464" w:type="pct"/>
            <w:vAlign w:val="center"/>
          </w:tcPr>
          <w:p w14:paraId="65CEAD99">
            <w:pPr>
              <w:spacing w:before="0" w:beforeLines="0" w:line="240" w:lineRule="auto"/>
              <w:jc w:val="center"/>
              <w:rPr>
                <w:szCs w:val="20"/>
              </w:rPr>
            </w:pPr>
            <w:r>
              <w:rPr>
                <w:szCs w:val="20"/>
              </w:rPr>
              <w:t>68</w:t>
            </w:r>
          </w:p>
        </w:tc>
        <w:tc>
          <w:tcPr>
            <w:tcW w:w="589" w:type="pct"/>
            <w:vAlign w:val="center"/>
          </w:tcPr>
          <w:p w14:paraId="44E6BF37">
            <w:pPr>
              <w:spacing w:before="0" w:beforeLines="0" w:line="240" w:lineRule="auto"/>
              <w:jc w:val="center"/>
              <w:rPr>
                <w:szCs w:val="20"/>
              </w:rPr>
            </w:pPr>
            <w:r>
              <w:rPr>
                <w:szCs w:val="20"/>
              </w:rPr>
              <w:t>60</w:t>
            </w:r>
          </w:p>
        </w:tc>
        <w:tc>
          <w:tcPr>
            <w:tcW w:w="589" w:type="pct"/>
            <w:vAlign w:val="center"/>
          </w:tcPr>
          <w:p w14:paraId="63428BC0">
            <w:pPr>
              <w:spacing w:before="0" w:beforeLines="0" w:line="240" w:lineRule="auto"/>
              <w:jc w:val="center"/>
              <w:rPr>
                <w:szCs w:val="20"/>
              </w:rPr>
            </w:pPr>
            <w:r>
              <w:rPr>
                <w:szCs w:val="20"/>
              </w:rPr>
              <w:t>54</w:t>
            </w:r>
          </w:p>
        </w:tc>
        <w:tc>
          <w:tcPr>
            <w:tcW w:w="589" w:type="pct"/>
            <w:vAlign w:val="center"/>
          </w:tcPr>
          <w:p w14:paraId="0AF83EBD">
            <w:pPr>
              <w:spacing w:before="0" w:beforeLines="0" w:line="240" w:lineRule="auto"/>
              <w:jc w:val="center"/>
              <w:rPr>
                <w:szCs w:val="20"/>
              </w:rPr>
            </w:pPr>
            <w:r>
              <w:rPr>
                <w:szCs w:val="20"/>
              </w:rPr>
              <w:t>50</w:t>
            </w:r>
          </w:p>
        </w:tc>
        <w:tc>
          <w:tcPr>
            <w:tcW w:w="589" w:type="pct"/>
            <w:vAlign w:val="center"/>
          </w:tcPr>
          <w:p w14:paraId="708B810B">
            <w:pPr>
              <w:spacing w:before="0" w:beforeLines="0" w:line="240" w:lineRule="auto"/>
              <w:jc w:val="center"/>
              <w:rPr>
                <w:szCs w:val="20"/>
              </w:rPr>
            </w:pPr>
            <w:r>
              <w:rPr>
                <w:szCs w:val="20"/>
              </w:rPr>
              <w:t>46</w:t>
            </w:r>
          </w:p>
        </w:tc>
        <w:tc>
          <w:tcPr>
            <w:tcW w:w="445" w:type="pct"/>
            <w:vMerge w:val="continue"/>
            <w:vAlign w:val="center"/>
          </w:tcPr>
          <w:p w14:paraId="32E27F87">
            <w:pPr>
              <w:spacing w:before="0" w:beforeLines="0" w:line="240" w:lineRule="auto"/>
              <w:jc w:val="center"/>
              <w:rPr>
                <w:szCs w:val="20"/>
              </w:rPr>
            </w:pPr>
          </w:p>
        </w:tc>
      </w:tr>
      <w:tr w14:paraId="4E867D4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63" w:hRule="atLeast"/>
          <w:jc w:val="center"/>
        </w:trPr>
        <w:tc>
          <w:tcPr>
            <w:tcW w:w="449" w:type="pct"/>
            <w:vAlign w:val="center"/>
          </w:tcPr>
          <w:p w14:paraId="4B22B204">
            <w:pPr>
              <w:spacing w:before="0" w:beforeLines="0" w:line="240" w:lineRule="auto"/>
              <w:jc w:val="center"/>
              <w:rPr>
                <w:szCs w:val="20"/>
              </w:rPr>
            </w:pPr>
            <w:r>
              <w:rPr>
                <w:szCs w:val="20"/>
              </w:rPr>
              <w:t>4</w:t>
            </w:r>
          </w:p>
        </w:tc>
        <w:tc>
          <w:tcPr>
            <w:tcW w:w="1286" w:type="pct"/>
            <w:vAlign w:val="center"/>
          </w:tcPr>
          <w:p w14:paraId="0D141D72">
            <w:pPr>
              <w:spacing w:before="0" w:beforeLines="0" w:line="240" w:lineRule="auto"/>
              <w:jc w:val="center"/>
              <w:rPr>
                <w:szCs w:val="20"/>
              </w:rPr>
            </w:pPr>
            <w:r>
              <w:rPr>
                <w:rFonts w:hint="eastAsia"/>
                <w:szCs w:val="20"/>
              </w:rPr>
              <w:t>混凝土搅拌机</w:t>
            </w:r>
          </w:p>
        </w:tc>
        <w:tc>
          <w:tcPr>
            <w:tcW w:w="464" w:type="pct"/>
            <w:vAlign w:val="center"/>
          </w:tcPr>
          <w:p w14:paraId="57BA57A8">
            <w:pPr>
              <w:spacing w:before="0" w:beforeLines="0" w:line="240" w:lineRule="auto"/>
              <w:jc w:val="center"/>
              <w:rPr>
                <w:szCs w:val="20"/>
              </w:rPr>
            </w:pPr>
            <w:r>
              <w:rPr>
                <w:szCs w:val="20"/>
              </w:rPr>
              <w:t>72</w:t>
            </w:r>
          </w:p>
        </w:tc>
        <w:tc>
          <w:tcPr>
            <w:tcW w:w="589" w:type="pct"/>
            <w:vAlign w:val="center"/>
          </w:tcPr>
          <w:p w14:paraId="22C1BF8B">
            <w:pPr>
              <w:spacing w:before="0" w:beforeLines="0" w:line="240" w:lineRule="auto"/>
              <w:jc w:val="center"/>
              <w:rPr>
                <w:szCs w:val="20"/>
              </w:rPr>
            </w:pPr>
            <w:r>
              <w:rPr>
                <w:szCs w:val="20"/>
              </w:rPr>
              <w:t>64</w:t>
            </w:r>
          </w:p>
        </w:tc>
        <w:tc>
          <w:tcPr>
            <w:tcW w:w="589" w:type="pct"/>
            <w:vAlign w:val="center"/>
          </w:tcPr>
          <w:p w14:paraId="7DDE0678">
            <w:pPr>
              <w:spacing w:before="0" w:beforeLines="0" w:line="240" w:lineRule="auto"/>
              <w:jc w:val="center"/>
              <w:rPr>
                <w:szCs w:val="20"/>
              </w:rPr>
            </w:pPr>
            <w:r>
              <w:rPr>
                <w:szCs w:val="20"/>
              </w:rPr>
              <w:t>58</w:t>
            </w:r>
          </w:p>
        </w:tc>
        <w:tc>
          <w:tcPr>
            <w:tcW w:w="589" w:type="pct"/>
            <w:vAlign w:val="center"/>
          </w:tcPr>
          <w:p w14:paraId="49AB14AB">
            <w:pPr>
              <w:spacing w:before="0" w:beforeLines="0" w:line="240" w:lineRule="auto"/>
              <w:jc w:val="center"/>
              <w:rPr>
                <w:szCs w:val="20"/>
              </w:rPr>
            </w:pPr>
            <w:r>
              <w:rPr>
                <w:szCs w:val="20"/>
              </w:rPr>
              <w:t>54</w:t>
            </w:r>
          </w:p>
        </w:tc>
        <w:tc>
          <w:tcPr>
            <w:tcW w:w="589" w:type="pct"/>
            <w:vAlign w:val="center"/>
          </w:tcPr>
          <w:p w14:paraId="4344AD53">
            <w:pPr>
              <w:spacing w:before="0" w:beforeLines="0" w:line="240" w:lineRule="auto"/>
              <w:jc w:val="center"/>
              <w:rPr>
                <w:szCs w:val="20"/>
              </w:rPr>
            </w:pPr>
            <w:r>
              <w:rPr>
                <w:szCs w:val="20"/>
              </w:rPr>
              <w:t>50</w:t>
            </w:r>
          </w:p>
        </w:tc>
        <w:tc>
          <w:tcPr>
            <w:tcW w:w="445" w:type="pct"/>
            <w:vMerge w:val="continue"/>
            <w:vAlign w:val="center"/>
          </w:tcPr>
          <w:p w14:paraId="3CBA34C0">
            <w:pPr>
              <w:spacing w:before="0" w:beforeLines="0" w:line="240" w:lineRule="auto"/>
              <w:jc w:val="center"/>
              <w:rPr>
                <w:szCs w:val="20"/>
              </w:rPr>
            </w:pPr>
          </w:p>
        </w:tc>
      </w:tr>
      <w:tr w14:paraId="178C257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63" w:hRule="atLeast"/>
          <w:jc w:val="center"/>
        </w:trPr>
        <w:tc>
          <w:tcPr>
            <w:tcW w:w="449" w:type="pct"/>
            <w:vAlign w:val="center"/>
          </w:tcPr>
          <w:p w14:paraId="18819465">
            <w:pPr>
              <w:spacing w:before="0" w:beforeLines="0" w:line="240" w:lineRule="auto"/>
              <w:jc w:val="center"/>
              <w:rPr>
                <w:szCs w:val="20"/>
              </w:rPr>
            </w:pPr>
            <w:r>
              <w:rPr>
                <w:szCs w:val="20"/>
              </w:rPr>
              <w:t>5</w:t>
            </w:r>
          </w:p>
        </w:tc>
        <w:tc>
          <w:tcPr>
            <w:tcW w:w="1286" w:type="pct"/>
            <w:vAlign w:val="center"/>
          </w:tcPr>
          <w:p w14:paraId="3E269A9E">
            <w:pPr>
              <w:spacing w:before="0" w:beforeLines="0" w:line="240" w:lineRule="auto"/>
              <w:jc w:val="center"/>
              <w:rPr>
                <w:szCs w:val="20"/>
              </w:rPr>
            </w:pPr>
            <w:r>
              <w:rPr>
                <w:rFonts w:hint="eastAsia"/>
                <w:szCs w:val="20"/>
              </w:rPr>
              <w:t>夯土机</w:t>
            </w:r>
          </w:p>
        </w:tc>
        <w:tc>
          <w:tcPr>
            <w:tcW w:w="464" w:type="pct"/>
            <w:vAlign w:val="center"/>
          </w:tcPr>
          <w:p w14:paraId="6A067484">
            <w:pPr>
              <w:spacing w:before="0" w:beforeLines="0" w:line="240" w:lineRule="auto"/>
              <w:jc w:val="center"/>
              <w:rPr>
                <w:szCs w:val="20"/>
              </w:rPr>
            </w:pPr>
            <w:r>
              <w:rPr>
                <w:szCs w:val="20"/>
              </w:rPr>
              <w:t>73</w:t>
            </w:r>
          </w:p>
        </w:tc>
        <w:tc>
          <w:tcPr>
            <w:tcW w:w="589" w:type="pct"/>
            <w:vAlign w:val="center"/>
          </w:tcPr>
          <w:p w14:paraId="14B0D2FC">
            <w:pPr>
              <w:spacing w:before="0" w:beforeLines="0" w:line="240" w:lineRule="auto"/>
              <w:jc w:val="center"/>
              <w:rPr>
                <w:szCs w:val="20"/>
              </w:rPr>
            </w:pPr>
            <w:r>
              <w:rPr>
                <w:szCs w:val="20"/>
              </w:rPr>
              <w:t>65</w:t>
            </w:r>
          </w:p>
        </w:tc>
        <w:tc>
          <w:tcPr>
            <w:tcW w:w="589" w:type="pct"/>
            <w:vAlign w:val="center"/>
          </w:tcPr>
          <w:p w14:paraId="5E9AB7A8">
            <w:pPr>
              <w:spacing w:before="0" w:beforeLines="0" w:line="240" w:lineRule="auto"/>
              <w:jc w:val="center"/>
              <w:rPr>
                <w:szCs w:val="20"/>
              </w:rPr>
            </w:pPr>
            <w:r>
              <w:rPr>
                <w:szCs w:val="20"/>
              </w:rPr>
              <w:t>59</w:t>
            </w:r>
          </w:p>
        </w:tc>
        <w:tc>
          <w:tcPr>
            <w:tcW w:w="589" w:type="pct"/>
            <w:vAlign w:val="center"/>
          </w:tcPr>
          <w:p w14:paraId="70848504">
            <w:pPr>
              <w:spacing w:before="0" w:beforeLines="0" w:line="240" w:lineRule="auto"/>
              <w:jc w:val="center"/>
              <w:rPr>
                <w:szCs w:val="20"/>
              </w:rPr>
            </w:pPr>
            <w:r>
              <w:rPr>
                <w:szCs w:val="20"/>
              </w:rPr>
              <w:t>55</w:t>
            </w:r>
          </w:p>
        </w:tc>
        <w:tc>
          <w:tcPr>
            <w:tcW w:w="589" w:type="pct"/>
            <w:vAlign w:val="center"/>
          </w:tcPr>
          <w:p w14:paraId="26EFD441">
            <w:pPr>
              <w:spacing w:before="0" w:beforeLines="0" w:line="240" w:lineRule="auto"/>
              <w:jc w:val="center"/>
              <w:rPr>
                <w:szCs w:val="20"/>
              </w:rPr>
            </w:pPr>
            <w:r>
              <w:rPr>
                <w:szCs w:val="20"/>
              </w:rPr>
              <w:t>51</w:t>
            </w:r>
          </w:p>
        </w:tc>
        <w:tc>
          <w:tcPr>
            <w:tcW w:w="445" w:type="pct"/>
            <w:vMerge w:val="restart"/>
            <w:vAlign w:val="center"/>
          </w:tcPr>
          <w:p w14:paraId="59AE875F">
            <w:pPr>
              <w:spacing w:before="0" w:beforeLines="0" w:line="240" w:lineRule="auto"/>
              <w:jc w:val="center"/>
              <w:rPr>
                <w:szCs w:val="20"/>
              </w:rPr>
            </w:pPr>
            <w:r>
              <w:rPr>
                <w:rFonts w:hint="eastAsia"/>
                <w:szCs w:val="20"/>
              </w:rPr>
              <w:t>结构</w:t>
            </w:r>
          </w:p>
        </w:tc>
      </w:tr>
      <w:tr w14:paraId="153B4BF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63" w:hRule="atLeast"/>
          <w:jc w:val="center"/>
        </w:trPr>
        <w:tc>
          <w:tcPr>
            <w:tcW w:w="449" w:type="pct"/>
            <w:vAlign w:val="center"/>
          </w:tcPr>
          <w:p w14:paraId="76866440">
            <w:pPr>
              <w:spacing w:before="0" w:beforeLines="0" w:line="240" w:lineRule="auto"/>
              <w:jc w:val="center"/>
              <w:rPr>
                <w:szCs w:val="20"/>
              </w:rPr>
            </w:pPr>
            <w:r>
              <w:rPr>
                <w:szCs w:val="20"/>
              </w:rPr>
              <w:t>6</w:t>
            </w:r>
          </w:p>
        </w:tc>
        <w:tc>
          <w:tcPr>
            <w:tcW w:w="1286" w:type="pct"/>
            <w:vAlign w:val="center"/>
          </w:tcPr>
          <w:p w14:paraId="1CC0EE87">
            <w:pPr>
              <w:spacing w:before="0" w:beforeLines="0" w:line="240" w:lineRule="auto"/>
              <w:jc w:val="center"/>
              <w:rPr>
                <w:szCs w:val="20"/>
              </w:rPr>
            </w:pPr>
            <w:r>
              <w:rPr>
                <w:rFonts w:hint="eastAsia"/>
                <w:szCs w:val="20"/>
              </w:rPr>
              <w:t>混凝土振捣机</w:t>
            </w:r>
          </w:p>
        </w:tc>
        <w:tc>
          <w:tcPr>
            <w:tcW w:w="464" w:type="pct"/>
            <w:vAlign w:val="center"/>
          </w:tcPr>
          <w:p w14:paraId="308B6D83">
            <w:pPr>
              <w:spacing w:before="0" w:beforeLines="0" w:line="240" w:lineRule="auto"/>
              <w:jc w:val="center"/>
              <w:rPr>
                <w:szCs w:val="20"/>
              </w:rPr>
            </w:pPr>
            <w:r>
              <w:rPr>
                <w:szCs w:val="20"/>
              </w:rPr>
              <w:t>47</w:t>
            </w:r>
          </w:p>
        </w:tc>
        <w:tc>
          <w:tcPr>
            <w:tcW w:w="589" w:type="pct"/>
            <w:vAlign w:val="center"/>
          </w:tcPr>
          <w:p w14:paraId="6FF50477">
            <w:pPr>
              <w:spacing w:before="0" w:beforeLines="0" w:line="240" w:lineRule="auto"/>
              <w:jc w:val="center"/>
              <w:rPr>
                <w:szCs w:val="20"/>
              </w:rPr>
            </w:pPr>
            <w:r>
              <w:rPr>
                <w:szCs w:val="20"/>
              </w:rPr>
              <w:t>39</w:t>
            </w:r>
          </w:p>
        </w:tc>
        <w:tc>
          <w:tcPr>
            <w:tcW w:w="589" w:type="pct"/>
            <w:vAlign w:val="center"/>
          </w:tcPr>
          <w:p w14:paraId="25B94D2E">
            <w:pPr>
              <w:spacing w:before="0" w:beforeLines="0" w:line="240" w:lineRule="auto"/>
              <w:jc w:val="center"/>
              <w:rPr>
                <w:szCs w:val="20"/>
              </w:rPr>
            </w:pPr>
            <w:r>
              <w:rPr>
                <w:szCs w:val="20"/>
              </w:rPr>
              <w:t>33</w:t>
            </w:r>
          </w:p>
        </w:tc>
        <w:tc>
          <w:tcPr>
            <w:tcW w:w="589" w:type="pct"/>
            <w:vAlign w:val="center"/>
          </w:tcPr>
          <w:p w14:paraId="50D2B29B">
            <w:pPr>
              <w:spacing w:before="0" w:beforeLines="0" w:line="240" w:lineRule="auto"/>
              <w:jc w:val="center"/>
              <w:rPr>
                <w:szCs w:val="20"/>
              </w:rPr>
            </w:pPr>
            <w:r>
              <w:rPr>
                <w:szCs w:val="20"/>
              </w:rPr>
              <w:t>29</w:t>
            </w:r>
          </w:p>
        </w:tc>
        <w:tc>
          <w:tcPr>
            <w:tcW w:w="589" w:type="pct"/>
            <w:vAlign w:val="center"/>
          </w:tcPr>
          <w:p w14:paraId="3E1AB66E">
            <w:pPr>
              <w:spacing w:before="0" w:beforeLines="0" w:line="240" w:lineRule="auto"/>
              <w:jc w:val="center"/>
              <w:rPr>
                <w:szCs w:val="20"/>
              </w:rPr>
            </w:pPr>
            <w:r>
              <w:rPr>
                <w:szCs w:val="20"/>
              </w:rPr>
              <w:t>25</w:t>
            </w:r>
          </w:p>
        </w:tc>
        <w:tc>
          <w:tcPr>
            <w:tcW w:w="445" w:type="pct"/>
            <w:vMerge w:val="continue"/>
            <w:vAlign w:val="center"/>
          </w:tcPr>
          <w:p w14:paraId="21D576CD">
            <w:pPr>
              <w:spacing w:before="0" w:beforeLines="0" w:line="240" w:lineRule="auto"/>
              <w:jc w:val="center"/>
              <w:rPr>
                <w:szCs w:val="20"/>
              </w:rPr>
            </w:pPr>
          </w:p>
        </w:tc>
      </w:tr>
      <w:tr w14:paraId="0550055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63" w:hRule="atLeast"/>
          <w:jc w:val="center"/>
        </w:trPr>
        <w:tc>
          <w:tcPr>
            <w:tcW w:w="449" w:type="pct"/>
            <w:vAlign w:val="center"/>
          </w:tcPr>
          <w:p w14:paraId="1EDE5D76">
            <w:pPr>
              <w:spacing w:before="0" w:beforeLines="0" w:line="240" w:lineRule="auto"/>
              <w:jc w:val="center"/>
              <w:rPr>
                <w:szCs w:val="20"/>
              </w:rPr>
            </w:pPr>
            <w:r>
              <w:rPr>
                <w:szCs w:val="20"/>
              </w:rPr>
              <w:t>7</w:t>
            </w:r>
          </w:p>
        </w:tc>
        <w:tc>
          <w:tcPr>
            <w:tcW w:w="1286" w:type="pct"/>
            <w:vAlign w:val="center"/>
          </w:tcPr>
          <w:p w14:paraId="53B42EB7">
            <w:pPr>
              <w:spacing w:before="0" w:beforeLines="0" w:line="240" w:lineRule="auto"/>
              <w:jc w:val="center"/>
              <w:rPr>
                <w:szCs w:val="20"/>
              </w:rPr>
            </w:pPr>
            <w:r>
              <w:rPr>
                <w:rFonts w:hint="eastAsia"/>
                <w:szCs w:val="20"/>
              </w:rPr>
              <w:t>电锯、电刨</w:t>
            </w:r>
          </w:p>
        </w:tc>
        <w:tc>
          <w:tcPr>
            <w:tcW w:w="464" w:type="pct"/>
            <w:vAlign w:val="center"/>
          </w:tcPr>
          <w:p w14:paraId="4270FAD2">
            <w:pPr>
              <w:spacing w:before="0" w:beforeLines="0" w:line="240" w:lineRule="auto"/>
              <w:jc w:val="center"/>
              <w:rPr>
                <w:szCs w:val="20"/>
              </w:rPr>
            </w:pPr>
            <w:r>
              <w:rPr>
                <w:szCs w:val="20"/>
              </w:rPr>
              <w:t>73</w:t>
            </w:r>
          </w:p>
        </w:tc>
        <w:tc>
          <w:tcPr>
            <w:tcW w:w="589" w:type="pct"/>
            <w:vAlign w:val="center"/>
          </w:tcPr>
          <w:p w14:paraId="03532A0D">
            <w:pPr>
              <w:spacing w:before="0" w:beforeLines="0" w:line="240" w:lineRule="auto"/>
              <w:jc w:val="center"/>
              <w:rPr>
                <w:szCs w:val="20"/>
              </w:rPr>
            </w:pPr>
            <w:r>
              <w:rPr>
                <w:szCs w:val="20"/>
              </w:rPr>
              <w:t>65</w:t>
            </w:r>
          </w:p>
        </w:tc>
        <w:tc>
          <w:tcPr>
            <w:tcW w:w="589" w:type="pct"/>
            <w:vAlign w:val="center"/>
          </w:tcPr>
          <w:p w14:paraId="2880ED72">
            <w:pPr>
              <w:spacing w:before="0" w:beforeLines="0" w:line="240" w:lineRule="auto"/>
              <w:jc w:val="center"/>
              <w:rPr>
                <w:szCs w:val="20"/>
              </w:rPr>
            </w:pPr>
            <w:r>
              <w:rPr>
                <w:szCs w:val="20"/>
              </w:rPr>
              <w:t>55</w:t>
            </w:r>
          </w:p>
        </w:tc>
        <w:tc>
          <w:tcPr>
            <w:tcW w:w="589" w:type="pct"/>
            <w:vAlign w:val="center"/>
          </w:tcPr>
          <w:p w14:paraId="7521F525">
            <w:pPr>
              <w:spacing w:before="0" w:beforeLines="0" w:line="240" w:lineRule="auto"/>
              <w:jc w:val="center"/>
              <w:rPr>
                <w:szCs w:val="20"/>
              </w:rPr>
            </w:pPr>
            <w:r>
              <w:rPr>
                <w:szCs w:val="20"/>
              </w:rPr>
              <w:t>50</w:t>
            </w:r>
          </w:p>
        </w:tc>
        <w:tc>
          <w:tcPr>
            <w:tcW w:w="589" w:type="pct"/>
            <w:vAlign w:val="center"/>
          </w:tcPr>
          <w:p w14:paraId="32C68F44">
            <w:pPr>
              <w:spacing w:before="0" w:beforeLines="0" w:line="240" w:lineRule="auto"/>
              <w:jc w:val="center"/>
              <w:rPr>
                <w:szCs w:val="20"/>
              </w:rPr>
            </w:pPr>
            <w:r>
              <w:rPr>
                <w:szCs w:val="20"/>
              </w:rPr>
              <w:t>46</w:t>
            </w:r>
          </w:p>
        </w:tc>
        <w:tc>
          <w:tcPr>
            <w:tcW w:w="445" w:type="pct"/>
            <w:vMerge w:val="continue"/>
            <w:vAlign w:val="center"/>
          </w:tcPr>
          <w:p w14:paraId="0673033E">
            <w:pPr>
              <w:spacing w:before="0" w:beforeLines="0" w:line="240" w:lineRule="auto"/>
              <w:jc w:val="center"/>
              <w:rPr>
                <w:szCs w:val="20"/>
              </w:rPr>
            </w:pPr>
          </w:p>
        </w:tc>
      </w:tr>
      <w:tr w14:paraId="333EA651">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83" w:hRule="atLeast"/>
          <w:jc w:val="center"/>
        </w:trPr>
        <w:tc>
          <w:tcPr>
            <w:tcW w:w="449" w:type="pct"/>
            <w:vAlign w:val="center"/>
          </w:tcPr>
          <w:p w14:paraId="69E9ADB3">
            <w:pPr>
              <w:spacing w:before="0" w:beforeLines="0" w:line="240" w:lineRule="auto"/>
              <w:jc w:val="center"/>
              <w:rPr>
                <w:szCs w:val="20"/>
              </w:rPr>
            </w:pPr>
            <w:r>
              <w:rPr>
                <w:szCs w:val="20"/>
              </w:rPr>
              <w:t>8</w:t>
            </w:r>
          </w:p>
        </w:tc>
        <w:tc>
          <w:tcPr>
            <w:tcW w:w="1286" w:type="pct"/>
            <w:vAlign w:val="center"/>
          </w:tcPr>
          <w:p w14:paraId="44B996BA">
            <w:pPr>
              <w:spacing w:before="0" w:beforeLines="0" w:line="240" w:lineRule="auto"/>
              <w:jc w:val="center"/>
              <w:rPr>
                <w:szCs w:val="20"/>
              </w:rPr>
            </w:pPr>
            <w:r>
              <w:rPr>
                <w:rFonts w:hint="eastAsia"/>
                <w:szCs w:val="20"/>
              </w:rPr>
              <w:t>运输车辆</w:t>
            </w:r>
          </w:p>
        </w:tc>
        <w:tc>
          <w:tcPr>
            <w:tcW w:w="464" w:type="pct"/>
            <w:vAlign w:val="center"/>
          </w:tcPr>
          <w:p w14:paraId="1ED82A39">
            <w:pPr>
              <w:spacing w:before="0" w:beforeLines="0" w:line="240" w:lineRule="auto"/>
              <w:jc w:val="center"/>
              <w:rPr>
                <w:szCs w:val="20"/>
              </w:rPr>
            </w:pPr>
            <w:r>
              <w:rPr>
                <w:szCs w:val="20"/>
              </w:rPr>
              <w:t>62</w:t>
            </w:r>
          </w:p>
        </w:tc>
        <w:tc>
          <w:tcPr>
            <w:tcW w:w="589" w:type="pct"/>
            <w:vAlign w:val="center"/>
          </w:tcPr>
          <w:p w14:paraId="65D89F93">
            <w:pPr>
              <w:spacing w:before="0" w:beforeLines="0" w:line="240" w:lineRule="auto"/>
              <w:jc w:val="center"/>
              <w:rPr>
                <w:szCs w:val="20"/>
              </w:rPr>
            </w:pPr>
            <w:r>
              <w:rPr>
                <w:szCs w:val="20"/>
              </w:rPr>
              <w:t>54</w:t>
            </w:r>
          </w:p>
        </w:tc>
        <w:tc>
          <w:tcPr>
            <w:tcW w:w="589" w:type="pct"/>
            <w:vAlign w:val="center"/>
          </w:tcPr>
          <w:p w14:paraId="426EC68F">
            <w:pPr>
              <w:spacing w:before="0" w:beforeLines="0" w:line="240" w:lineRule="auto"/>
              <w:jc w:val="center"/>
              <w:rPr>
                <w:szCs w:val="20"/>
              </w:rPr>
            </w:pPr>
            <w:r>
              <w:rPr>
                <w:szCs w:val="20"/>
              </w:rPr>
              <w:t>48</w:t>
            </w:r>
          </w:p>
        </w:tc>
        <w:tc>
          <w:tcPr>
            <w:tcW w:w="589" w:type="pct"/>
            <w:vAlign w:val="center"/>
          </w:tcPr>
          <w:p w14:paraId="2EC434F7">
            <w:pPr>
              <w:spacing w:before="0" w:beforeLines="0" w:line="240" w:lineRule="auto"/>
              <w:jc w:val="center"/>
              <w:rPr>
                <w:szCs w:val="20"/>
              </w:rPr>
            </w:pPr>
            <w:r>
              <w:rPr>
                <w:szCs w:val="20"/>
              </w:rPr>
              <w:t>44</w:t>
            </w:r>
          </w:p>
        </w:tc>
        <w:tc>
          <w:tcPr>
            <w:tcW w:w="589" w:type="pct"/>
            <w:vAlign w:val="center"/>
          </w:tcPr>
          <w:p w14:paraId="3830B97A">
            <w:pPr>
              <w:spacing w:before="0" w:beforeLines="0" w:line="240" w:lineRule="auto"/>
              <w:jc w:val="center"/>
              <w:rPr>
                <w:szCs w:val="20"/>
              </w:rPr>
            </w:pPr>
            <w:r>
              <w:rPr>
                <w:szCs w:val="20"/>
              </w:rPr>
              <w:t>40</w:t>
            </w:r>
          </w:p>
        </w:tc>
        <w:tc>
          <w:tcPr>
            <w:tcW w:w="445" w:type="pct"/>
            <w:vAlign w:val="center"/>
          </w:tcPr>
          <w:p w14:paraId="40485DAE">
            <w:pPr>
              <w:spacing w:before="0" w:beforeLines="0" w:line="240" w:lineRule="auto"/>
              <w:jc w:val="center"/>
              <w:rPr>
                <w:szCs w:val="20"/>
              </w:rPr>
            </w:pPr>
          </w:p>
        </w:tc>
      </w:tr>
    </w:tbl>
    <w:p w14:paraId="429B4FC1">
      <w:pPr>
        <w:adjustRightInd w:val="0"/>
        <w:snapToGrid w:val="0"/>
        <w:spacing w:before="0" w:beforeLines="0" w:line="360" w:lineRule="auto"/>
        <w:ind w:firstLine="480" w:firstLineChars="200"/>
        <w:jc w:val="left"/>
        <w:textAlignment w:val="baseline"/>
        <w:rPr>
          <w:kern w:val="0"/>
          <w:sz w:val="24"/>
        </w:rPr>
      </w:pPr>
      <w:r>
        <w:rPr>
          <w:rFonts w:hint="eastAsia"/>
          <w:kern w:val="0"/>
          <w:sz w:val="24"/>
        </w:rPr>
        <w:t>对照</w:t>
      </w:r>
      <w:r>
        <w:rPr>
          <w:kern w:val="0"/>
          <w:sz w:val="24"/>
        </w:rPr>
        <w:t>《建筑施工噪声排放标准》（GB 12523-20</w:t>
      </w:r>
      <w:r>
        <w:rPr>
          <w:rFonts w:hint="eastAsia"/>
          <w:kern w:val="0"/>
          <w:sz w:val="24"/>
        </w:rPr>
        <w:t>25</w:t>
      </w:r>
      <w:r>
        <w:rPr>
          <w:kern w:val="0"/>
          <w:sz w:val="24"/>
        </w:rPr>
        <w:t>）可以看出，昼间距离工地40m，夜间</w:t>
      </w:r>
      <w:r>
        <w:rPr>
          <w:rFonts w:hint="eastAsia"/>
          <w:kern w:val="0"/>
          <w:sz w:val="24"/>
          <w:lang w:val="en-US" w:eastAsia="zh-CN"/>
        </w:rPr>
        <w:t>距离</w:t>
      </w:r>
      <w:r>
        <w:rPr>
          <w:kern w:val="0"/>
          <w:sz w:val="24"/>
        </w:rPr>
        <w:t>300m可以满足建筑施工厂界噪声限值的要求</w:t>
      </w:r>
      <w:r>
        <w:rPr>
          <w:rFonts w:hint="eastAsia"/>
          <w:kern w:val="0"/>
          <w:sz w:val="24"/>
        </w:rPr>
        <w:t>。</w:t>
      </w:r>
      <w:r>
        <w:rPr>
          <w:kern w:val="0"/>
          <w:sz w:val="24"/>
        </w:rPr>
        <w:t>由于</w:t>
      </w:r>
      <w:r>
        <w:rPr>
          <w:rFonts w:hint="eastAsia"/>
          <w:kern w:val="0"/>
          <w:sz w:val="24"/>
        </w:rPr>
        <w:t>本项目到最近村庄的距离为1000m以上</w:t>
      </w:r>
      <w:r>
        <w:rPr>
          <w:kern w:val="0"/>
          <w:sz w:val="24"/>
        </w:rPr>
        <w:t>，因此厂区施工产生的噪声不会对附近的村庄产生影响。</w:t>
      </w:r>
    </w:p>
    <w:p w14:paraId="463840CA">
      <w:pPr>
        <w:keepLines/>
        <w:spacing w:before="78" w:line="416" w:lineRule="auto"/>
        <w:ind w:firstLine="482" w:firstLineChars="200"/>
        <w:jc w:val="left"/>
        <w:rPr>
          <w:b/>
          <w:bCs/>
          <w:sz w:val="24"/>
        </w:rPr>
      </w:pPr>
      <w:r>
        <w:rPr>
          <w:rFonts w:hint="eastAsia"/>
          <w:b/>
          <w:bCs/>
          <w:sz w:val="24"/>
        </w:rPr>
        <w:t>（4）</w:t>
      </w:r>
      <w:r>
        <w:rPr>
          <w:b/>
          <w:bCs/>
          <w:sz w:val="24"/>
        </w:rPr>
        <w:t>固体环境影响因素分析</w:t>
      </w:r>
    </w:p>
    <w:p w14:paraId="771A5614">
      <w:pPr>
        <w:adjustRightInd w:val="0"/>
        <w:snapToGrid w:val="0"/>
        <w:spacing w:before="78" w:line="360" w:lineRule="auto"/>
        <w:ind w:firstLine="480" w:firstLineChars="200"/>
        <w:rPr>
          <w:kern w:val="0"/>
          <w:sz w:val="24"/>
        </w:rPr>
      </w:pPr>
      <w:r>
        <w:rPr>
          <w:kern w:val="0"/>
          <w:sz w:val="24"/>
        </w:rPr>
        <w:t>施工期固体废物来自施工产生的建筑垃圾以及施工人员产生的生活垃圾。施工过程中建筑垃圾主要是砖块、灰浆、废材料等，应及时清运、加以利用，防止其因长期堆放而产生扬尘，生活垃圾</w:t>
      </w:r>
      <w:r>
        <w:rPr>
          <w:rFonts w:hint="eastAsia"/>
          <w:kern w:val="0"/>
          <w:sz w:val="24"/>
        </w:rPr>
        <w:t>定期</w:t>
      </w:r>
      <w:r>
        <w:rPr>
          <w:kern w:val="0"/>
          <w:sz w:val="24"/>
        </w:rPr>
        <w:t>清运。</w:t>
      </w:r>
    </w:p>
    <w:p w14:paraId="065D8B2B">
      <w:pPr>
        <w:widowControl/>
        <w:adjustRightInd w:val="0"/>
        <w:snapToGrid w:val="0"/>
        <w:spacing w:before="0" w:beforeLines="0" w:line="360" w:lineRule="auto"/>
        <w:ind w:firstLine="480" w:firstLineChars="200"/>
        <w:rPr>
          <w:sz w:val="24"/>
        </w:rPr>
      </w:pPr>
      <w:r>
        <w:rPr>
          <w:rFonts w:hint="eastAsia"/>
          <w:sz w:val="24"/>
        </w:rPr>
        <w:t>①</w:t>
      </w:r>
      <w:r>
        <w:rPr>
          <w:sz w:val="24"/>
        </w:rPr>
        <w:t>生活垃圾对环境的影响</w:t>
      </w:r>
    </w:p>
    <w:p w14:paraId="4DB0AFEF">
      <w:pPr>
        <w:widowControl/>
        <w:adjustRightInd w:val="0"/>
        <w:snapToGrid w:val="0"/>
        <w:spacing w:before="0" w:beforeLines="0" w:line="360" w:lineRule="auto"/>
        <w:ind w:firstLine="480" w:firstLineChars="200"/>
        <w:rPr>
          <w:sz w:val="24"/>
        </w:rPr>
      </w:pPr>
      <w:r>
        <w:rPr>
          <w:sz w:val="24"/>
        </w:rPr>
        <w:t>施工人员的日常活动将产生一定量的生活垃圾，平均每人排放生活垃圾约</w:t>
      </w:r>
      <w:r>
        <w:rPr>
          <w:rFonts w:hint="eastAsia"/>
          <w:sz w:val="24"/>
        </w:rPr>
        <w:t>0.5</w:t>
      </w:r>
      <w:r>
        <w:rPr>
          <w:sz w:val="24"/>
        </w:rPr>
        <w:t>kg/d，施工期间人员高峰时每日用工约</w:t>
      </w:r>
      <w:r>
        <w:rPr>
          <w:rFonts w:hint="eastAsia"/>
          <w:sz w:val="24"/>
        </w:rPr>
        <w:t>30</w:t>
      </w:r>
      <w:r>
        <w:rPr>
          <w:sz w:val="24"/>
        </w:rPr>
        <w:t>人，生活垃圾产生量最多约</w:t>
      </w:r>
      <w:r>
        <w:rPr>
          <w:rFonts w:hint="eastAsia"/>
          <w:sz w:val="24"/>
        </w:rPr>
        <w:t>2.7t</w:t>
      </w:r>
      <w:r>
        <w:rPr>
          <w:sz w:val="24"/>
        </w:rPr>
        <w:t>，这些生活垃圾经分类、统一收集后，定期由</w:t>
      </w:r>
      <w:r>
        <w:rPr>
          <w:rFonts w:hint="eastAsia"/>
          <w:sz w:val="24"/>
        </w:rPr>
        <w:t>外委单位</w:t>
      </w:r>
      <w:r>
        <w:rPr>
          <w:sz w:val="24"/>
        </w:rPr>
        <w:t>统一处理，不会对周围环境造成明显的影响。</w:t>
      </w:r>
    </w:p>
    <w:p w14:paraId="0E5A5053">
      <w:pPr>
        <w:widowControl/>
        <w:adjustRightInd w:val="0"/>
        <w:snapToGrid w:val="0"/>
        <w:spacing w:before="0" w:beforeLines="0" w:line="360" w:lineRule="auto"/>
        <w:ind w:firstLine="480" w:firstLineChars="200"/>
        <w:rPr>
          <w:sz w:val="24"/>
        </w:rPr>
      </w:pPr>
      <w:r>
        <w:rPr>
          <w:rFonts w:hint="eastAsia"/>
          <w:sz w:val="24"/>
        </w:rPr>
        <w:t>②</w:t>
      </w:r>
      <w:r>
        <w:rPr>
          <w:sz w:val="24"/>
        </w:rPr>
        <w:t>建筑垃圾对环境的影响</w:t>
      </w:r>
    </w:p>
    <w:p w14:paraId="0CF37E1C">
      <w:pPr>
        <w:widowControl/>
        <w:adjustRightInd w:val="0"/>
        <w:snapToGrid w:val="0"/>
        <w:spacing w:before="0" w:beforeLines="0" w:line="360" w:lineRule="auto"/>
        <w:ind w:firstLine="480" w:firstLineChars="200"/>
        <w:rPr>
          <w:sz w:val="24"/>
        </w:rPr>
      </w:pPr>
      <w:r>
        <w:rPr>
          <w:sz w:val="24"/>
        </w:rPr>
        <w:t>建筑垃圾主要包括施工过程地基处理和建材损耗、装修阶段产生的少量砂土石块、水泥、废金属、钢筋、铁丝、废电线、废光缆，抛弃在现场的破损工具、零件、容器甚至报废的机械等等。建筑垃圾在采取有计划的堆放，按要求分类处置、综合回收利用后，对环境影响小。</w:t>
      </w:r>
    </w:p>
    <w:p w14:paraId="48652F28">
      <w:pPr>
        <w:pStyle w:val="5"/>
        <w:spacing w:line="360" w:lineRule="auto"/>
        <w:jc w:val="left"/>
        <w:rPr>
          <w:color w:val="auto"/>
        </w:rPr>
      </w:pPr>
      <w:r>
        <w:rPr>
          <w:color w:val="auto"/>
        </w:rPr>
        <w:t>3.</w:t>
      </w:r>
      <w:r>
        <w:rPr>
          <w:rFonts w:hint="eastAsia"/>
          <w:color w:val="auto"/>
        </w:rPr>
        <w:t>3.</w:t>
      </w:r>
      <w:r>
        <w:rPr>
          <w:color w:val="auto"/>
        </w:rPr>
        <w:t>2运营期污染源分析</w:t>
      </w:r>
    </w:p>
    <w:p w14:paraId="6CCEEEF7">
      <w:pPr>
        <w:keepLines/>
        <w:spacing w:before="78" w:line="416" w:lineRule="auto"/>
        <w:rPr>
          <w:b/>
          <w:bCs/>
          <w:sz w:val="24"/>
        </w:rPr>
      </w:pPr>
      <w:r>
        <w:rPr>
          <w:rFonts w:hint="eastAsia"/>
          <w:b/>
          <w:bCs/>
          <w:kern w:val="0"/>
          <w:sz w:val="24"/>
        </w:rPr>
        <w:t>3.3.2.1</w:t>
      </w:r>
      <w:r>
        <w:rPr>
          <w:b/>
          <w:bCs/>
          <w:sz w:val="24"/>
        </w:rPr>
        <w:t>废气污染源分析</w:t>
      </w:r>
    </w:p>
    <w:p w14:paraId="59B266FA">
      <w:pPr>
        <w:adjustRightInd w:val="0"/>
        <w:spacing w:before="0" w:beforeLines="0" w:line="360" w:lineRule="auto"/>
        <w:ind w:firstLine="480" w:firstLineChars="200"/>
        <w:rPr>
          <w:kern w:val="0"/>
          <w:sz w:val="24"/>
        </w:rPr>
      </w:pPr>
      <w:bookmarkStart w:id="119" w:name="_Hlk193294724"/>
      <w:bookmarkStart w:id="120" w:name="_Hlk48836692"/>
      <w:r>
        <w:rPr>
          <w:kern w:val="32"/>
          <w:sz w:val="24"/>
        </w:rPr>
        <w:t>本项目大气污染物主要包括原料、产品、中间产品装卸转运粉尘，运输扬尘，</w:t>
      </w:r>
      <w:r>
        <w:rPr>
          <w:kern w:val="0"/>
          <w:sz w:val="24"/>
        </w:rPr>
        <w:t>上料、筛分、磁选、破碎等</w:t>
      </w:r>
      <w:r>
        <w:rPr>
          <w:rFonts w:hint="eastAsia"/>
          <w:kern w:val="0"/>
          <w:sz w:val="24"/>
        </w:rPr>
        <w:t>生产过程</w:t>
      </w:r>
      <w:r>
        <w:rPr>
          <w:kern w:val="0"/>
          <w:sz w:val="24"/>
        </w:rPr>
        <w:t>产生的废气</w:t>
      </w:r>
      <w:r>
        <w:rPr>
          <w:rFonts w:hint="eastAsia"/>
          <w:kern w:val="0"/>
          <w:sz w:val="24"/>
        </w:rPr>
        <w:t>，主要污染物为粉尘</w:t>
      </w:r>
      <w:r>
        <w:rPr>
          <w:kern w:val="0"/>
          <w:sz w:val="24"/>
        </w:rPr>
        <w:t>。</w:t>
      </w:r>
    </w:p>
    <w:p w14:paraId="2C25585E">
      <w:pPr>
        <w:adjustRightInd w:val="0"/>
        <w:spacing w:before="0" w:beforeLines="0" w:line="360" w:lineRule="auto"/>
        <w:ind w:firstLine="512" w:firstLineChars="200"/>
        <w:rPr>
          <w:kern w:val="0"/>
          <w:sz w:val="24"/>
        </w:rPr>
      </w:pPr>
      <w:r>
        <w:rPr>
          <w:spacing w:val="8"/>
          <w:kern w:val="0"/>
          <w:sz w:val="24"/>
        </w:rPr>
        <w:t>本项目原料上料采用铲车上料，在</w:t>
      </w:r>
      <w:r>
        <w:rPr>
          <w:rFonts w:hint="eastAsia"/>
          <w:spacing w:val="8"/>
          <w:kern w:val="0"/>
          <w:sz w:val="24"/>
        </w:rPr>
        <w:t>皮带</w:t>
      </w:r>
      <w:r>
        <w:rPr>
          <w:spacing w:val="8"/>
          <w:kern w:val="0"/>
          <w:sz w:val="24"/>
        </w:rPr>
        <w:t>投料过程存在落差，会产生一定的粉尘</w:t>
      </w:r>
      <w:r>
        <w:rPr>
          <w:rFonts w:hint="eastAsia"/>
          <w:spacing w:val="8"/>
          <w:kern w:val="0"/>
          <w:sz w:val="24"/>
        </w:rPr>
        <w:t>。参照《逸散性工业粉尘控制技术》卡车装料作业的逸散尘排放因子中前端式装载机碎石装货污染因子，上料产尘系数按0.025kg/t</w:t>
      </w:r>
      <w:r>
        <w:rPr>
          <w:spacing w:val="8"/>
          <w:kern w:val="0"/>
          <w:sz w:val="24"/>
        </w:rPr>
        <w:t>产品</w:t>
      </w:r>
      <w:r>
        <w:rPr>
          <w:rFonts w:hint="eastAsia"/>
          <w:spacing w:val="8"/>
          <w:kern w:val="0"/>
          <w:sz w:val="24"/>
        </w:rPr>
        <w:t>计</w:t>
      </w:r>
      <w:r>
        <w:rPr>
          <w:rFonts w:hint="eastAsia"/>
          <w:kern w:val="0"/>
          <w:sz w:val="24"/>
        </w:rPr>
        <w:t>。</w:t>
      </w:r>
    </w:p>
    <w:p w14:paraId="2FBBD5EE">
      <w:pPr>
        <w:adjustRightInd w:val="0"/>
        <w:spacing w:before="0" w:beforeLines="0" w:line="360" w:lineRule="auto"/>
        <w:ind w:firstLine="480" w:firstLineChars="200"/>
        <w:rPr>
          <w:kern w:val="0"/>
          <w:sz w:val="24"/>
        </w:rPr>
      </w:pPr>
      <w:r>
        <w:rPr>
          <w:kern w:val="0"/>
          <w:sz w:val="24"/>
        </w:rPr>
        <w:t>本项目选矿过程中产生有组织废气的工艺有筛分、</w:t>
      </w:r>
      <w:r>
        <w:rPr>
          <w:rFonts w:hint="eastAsia"/>
          <w:kern w:val="0"/>
          <w:sz w:val="24"/>
        </w:rPr>
        <w:t>干</w:t>
      </w:r>
      <w:r>
        <w:rPr>
          <w:kern w:val="0"/>
          <w:sz w:val="24"/>
        </w:rPr>
        <w:t>磁选、破碎等</w:t>
      </w:r>
      <w:r>
        <w:rPr>
          <w:rFonts w:hint="eastAsia"/>
          <w:kern w:val="0"/>
          <w:sz w:val="24"/>
        </w:rPr>
        <w:t>工序</w:t>
      </w:r>
      <w:r>
        <w:rPr>
          <w:kern w:val="0"/>
          <w:sz w:val="24"/>
        </w:rPr>
        <w:t>产生废气</w:t>
      </w:r>
      <w:r>
        <w:rPr>
          <w:rFonts w:hint="eastAsia"/>
          <w:kern w:val="0"/>
          <w:sz w:val="24"/>
        </w:rPr>
        <w:t>。</w:t>
      </w:r>
      <w:r>
        <w:rPr>
          <w:spacing w:val="8"/>
          <w:kern w:val="0"/>
          <w:sz w:val="24"/>
        </w:rPr>
        <w:t>参照《排放源统计调查产排污核算方法和系数手册》（公告2021年第24号）0810铁矿采选行业系数表（续11），铁矿选矿破碎-筛分工序颗粒物产污系数为0.66kg/t产品，磁选工艺的颗粒物产物系数选取1.71kg/t产品</w:t>
      </w:r>
      <w:r>
        <w:rPr>
          <w:rFonts w:hint="eastAsia"/>
          <w:spacing w:val="8"/>
          <w:kern w:val="0"/>
          <w:sz w:val="24"/>
        </w:rPr>
        <w:t>。根据生产经验，破碎筛分产尘量基本一致，本项目破碎工序及筛分工序颗粒物产污</w:t>
      </w:r>
      <w:r>
        <w:rPr>
          <w:spacing w:val="8"/>
          <w:kern w:val="0"/>
          <w:sz w:val="24"/>
        </w:rPr>
        <w:t>系数</w:t>
      </w:r>
      <w:r>
        <w:rPr>
          <w:rFonts w:hint="eastAsia"/>
          <w:spacing w:val="8"/>
          <w:kern w:val="0"/>
          <w:sz w:val="24"/>
        </w:rPr>
        <w:t>均按“</w:t>
      </w:r>
      <w:r>
        <w:rPr>
          <w:spacing w:val="8"/>
          <w:kern w:val="0"/>
          <w:sz w:val="24"/>
        </w:rPr>
        <w:t>破碎-筛分</w:t>
      </w:r>
      <w:r>
        <w:rPr>
          <w:rFonts w:hint="eastAsia"/>
          <w:spacing w:val="8"/>
          <w:kern w:val="0"/>
          <w:sz w:val="24"/>
        </w:rPr>
        <w:t>”产尘系数50%即</w:t>
      </w:r>
      <w:r>
        <w:rPr>
          <w:spacing w:val="8"/>
          <w:kern w:val="0"/>
          <w:sz w:val="24"/>
        </w:rPr>
        <w:t>0.</w:t>
      </w:r>
      <w:r>
        <w:rPr>
          <w:rFonts w:hint="eastAsia"/>
          <w:spacing w:val="8"/>
          <w:kern w:val="0"/>
          <w:sz w:val="24"/>
        </w:rPr>
        <w:t>33</w:t>
      </w:r>
      <w:r>
        <w:rPr>
          <w:spacing w:val="8"/>
          <w:kern w:val="0"/>
          <w:sz w:val="24"/>
        </w:rPr>
        <w:t>kg/t产品</w:t>
      </w:r>
      <w:r>
        <w:rPr>
          <w:rFonts w:hint="eastAsia"/>
          <w:spacing w:val="8"/>
          <w:kern w:val="0"/>
          <w:sz w:val="24"/>
        </w:rPr>
        <w:t>计算，磁选工序</w:t>
      </w:r>
      <w:r>
        <w:rPr>
          <w:spacing w:val="8"/>
          <w:kern w:val="0"/>
          <w:sz w:val="24"/>
        </w:rPr>
        <w:t>颗粒物产物系数</w:t>
      </w:r>
      <w:r>
        <w:rPr>
          <w:rFonts w:hint="eastAsia"/>
          <w:spacing w:val="8"/>
          <w:kern w:val="0"/>
          <w:sz w:val="24"/>
        </w:rPr>
        <w:t>按</w:t>
      </w:r>
      <w:r>
        <w:rPr>
          <w:spacing w:val="8"/>
          <w:kern w:val="0"/>
          <w:sz w:val="24"/>
        </w:rPr>
        <w:t>1.71kg/t产品</w:t>
      </w:r>
      <w:r>
        <w:rPr>
          <w:rFonts w:hint="eastAsia"/>
          <w:spacing w:val="8"/>
          <w:kern w:val="0"/>
          <w:sz w:val="24"/>
        </w:rPr>
        <w:t>计算。一次筛分及颚式破碎上料口采用铲车上料，废气</w:t>
      </w:r>
      <w:r>
        <w:rPr>
          <w:kern w:val="0"/>
          <w:sz w:val="24"/>
        </w:rPr>
        <w:t>捕集率按90%计</w:t>
      </w:r>
      <w:r>
        <w:rPr>
          <w:rFonts w:hint="eastAsia"/>
          <w:kern w:val="0"/>
          <w:sz w:val="24"/>
        </w:rPr>
        <w:t>；后续各工序上料环节均为封闭皮带直接上料，</w:t>
      </w:r>
      <w:r>
        <w:rPr>
          <w:rFonts w:hint="eastAsia"/>
          <w:spacing w:val="8"/>
          <w:kern w:val="0"/>
          <w:sz w:val="24"/>
        </w:rPr>
        <w:t>废气</w:t>
      </w:r>
      <w:r>
        <w:rPr>
          <w:rFonts w:hint="eastAsia"/>
          <w:kern w:val="0"/>
          <w:sz w:val="24"/>
        </w:rPr>
        <w:t>捕集效率按95%计</w:t>
      </w:r>
      <w:r>
        <w:rPr>
          <w:kern w:val="0"/>
          <w:sz w:val="24"/>
        </w:rPr>
        <w:t>，袋式除尘器的效率</w:t>
      </w:r>
      <w:r>
        <w:rPr>
          <w:rFonts w:hint="eastAsia"/>
          <w:kern w:val="0"/>
          <w:sz w:val="24"/>
        </w:rPr>
        <w:t>按</w:t>
      </w:r>
      <w:r>
        <w:rPr>
          <w:kern w:val="0"/>
          <w:sz w:val="24"/>
        </w:rPr>
        <w:t>99</w:t>
      </w:r>
      <w:r>
        <w:rPr>
          <w:rFonts w:hint="eastAsia"/>
          <w:kern w:val="0"/>
          <w:sz w:val="24"/>
        </w:rPr>
        <w:t>.6</w:t>
      </w:r>
      <w:r>
        <w:rPr>
          <w:kern w:val="0"/>
          <w:sz w:val="24"/>
        </w:rPr>
        <w:t>%</w:t>
      </w:r>
      <w:r>
        <w:rPr>
          <w:rFonts w:hint="eastAsia"/>
          <w:kern w:val="0"/>
          <w:sz w:val="24"/>
        </w:rPr>
        <w:t>计</w:t>
      </w:r>
      <w:r>
        <w:rPr>
          <w:kern w:val="0"/>
          <w:sz w:val="24"/>
        </w:rPr>
        <w:t>，本项目年运行时间</w:t>
      </w:r>
      <w:r>
        <w:rPr>
          <w:rFonts w:hint="eastAsia"/>
          <w:kern w:val="0"/>
          <w:sz w:val="24"/>
        </w:rPr>
        <w:t>7200</w:t>
      </w:r>
      <w:r>
        <w:rPr>
          <w:kern w:val="0"/>
          <w:sz w:val="24"/>
        </w:rPr>
        <w:t>h/a。</w:t>
      </w:r>
    </w:p>
    <w:p w14:paraId="540AE5C0">
      <w:pPr>
        <w:adjustRightInd w:val="0"/>
        <w:spacing w:before="0" w:beforeLines="0" w:line="360" w:lineRule="auto"/>
        <w:rPr>
          <w:b/>
          <w:bCs/>
          <w:kern w:val="0"/>
          <w:sz w:val="24"/>
        </w:rPr>
      </w:pPr>
      <w:bookmarkStart w:id="121" w:name="_Hlk194412598"/>
      <w:r>
        <w:rPr>
          <w:rFonts w:hint="eastAsia"/>
          <w:b/>
          <w:bCs/>
          <w:kern w:val="0"/>
          <w:sz w:val="24"/>
        </w:rPr>
        <w:t>（1）1#厂区生产废气</w:t>
      </w:r>
    </w:p>
    <w:p w14:paraId="411CCBDE">
      <w:pPr>
        <w:adjustRightInd w:val="0"/>
        <w:spacing w:before="0" w:beforeLines="0" w:line="360" w:lineRule="auto"/>
        <w:rPr>
          <w:kern w:val="0"/>
          <w:sz w:val="24"/>
        </w:rPr>
      </w:pPr>
      <w:r>
        <w:rPr>
          <w:rFonts w:hint="eastAsia"/>
          <w:kern w:val="0"/>
          <w:sz w:val="24"/>
        </w:rPr>
        <w:t>A、一次筛分</w:t>
      </w:r>
    </w:p>
    <w:p w14:paraId="08C5EAAE">
      <w:pPr>
        <w:adjustRightInd w:val="0"/>
        <w:spacing w:before="0" w:beforeLines="0" w:line="360" w:lineRule="auto"/>
        <w:ind w:firstLine="480" w:firstLineChars="200"/>
        <w:rPr>
          <w:kern w:val="0"/>
          <w:sz w:val="24"/>
        </w:rPr>
      </w:pPr>
      <w:r>
        <w:rPr>
          <w:rFonts w:hint="eastAsia"/>
          <w:kern w:val="0"/>
          <w:sz w:val="24"/>
        </w:rPr>
        <w:t>原料铲车上料及</w:t>
      </w:r>
      <w:r>
        <w:rPr>
          <w:kern w:val="0"/>
          <w:sz w:val="24"/>
        </w:rPr>
        <w:t>一次筛分产生的废气G1，根据设计资料可知，</w:t>
      </w:r>
      <w:r>
        <w:rPr>
          <w:rFonts w:hint="eastAsia"/>
          <w:kern w:val="0"/>
          <w:sz w:val="24"/>
        </w:rPr>
        <w:t>上料量为</w:t>
      </w:r>
      <w:r>
        <w:rPr>
          <w:kern w:val="0"/>
          <w:sz w:val="24"/>
        </w:rPr>
        <w:t>274</w:t>
      </w:r>
      <w:r>
        <w:rPr>
          <w:rFonts w:hint="eastAsia"/>
          <w:kern w:val="0"/>
          <w:sz w:val="24"/>
        </w:rPr>
        <w:t>万</w:t>
      </w:r>
      <w:r>
        <w:rPr>
          <w:kern w:val="0"/>
          <w:sz w:val="24"/>
        </w:rPr>
        <w:t>t/a。</w:t>
      </w:r>
      <w:r>
        <w:rPr>
          <w:rFonts w:hint="eastAsia"/>
          <w:kern w:val="0"/>
          <w:sz w:val="24"/>
        </w:rPr>
        <w:t>原料铲车上料及</w:t>
      </w:r>
      <w:r>
        <w:rPr>
          <w:kern w:val="0"/>
          <w:sz w:val="24"/>
        </w:rPr>
        <w:t>一次筛分</w:t>
      </w:r>
      <w:r>
        <w:rPr>
          <w:rFonts w:hint="eastAsia"/>
          <w:kern w:val="0"/>
          <w:sz w:val="24"/>
        </w:rPr>
        <w:t>产尘按上述系数</w:t>
      </w:r>
      <w:r>
        <w:rPr>
          <w:snapToGrid w:val="0"/>
          <w:kern w:val="0"/>
          <w:sz w:val="24"/>
          <w:szCs w:val="21"/>
        </w:rPr>
        <w:t>计算，产尘量为</w:t>
      </w:r>
      <w:r>
        <w:rPr>
          <w:rFonts w:hint="eastAsia"/>
          <w:snapToGrid w:val="0"/>
          <w:kern w:val="0"/>
          <w:sz w:val="24"/>
          <w:szCs w:val="21"/>
        </w:rPr>
        <w:t>972.7</w:t>
      </w:r>
      <w:r>
        <w:rPr>
          <w:snapToGrid w:val="0"/>
          <w:kern w:val="0"/>
          <w:sz w:val="24"/>
          <w:szCs w:val="21"/>
        </w:rPr>
        <w:t>t/a</w:t>
      </w:r>
      <w:r>
        <w:rPr>
          <w:rFonts w:hint="eastAsia"/>
          <w:snapToGrid w:val="0"/>
          <w:kern w:val="0"/>
          <w:sz w:val="24"/>
          <w:szCs w:val="21"/>
        </w:rPr>
        <w:t>，</w:t>
      </w:r>
      <w:r>
        <w:rPr>
          <w:kern w:val="0"/>
          <w:sz w:val="24"/>
        </w:rPr>
        <w:t>经集气罩收集+1#袋式除尘器处理后，由一根</w:t>
      </w:r>
      <w:r>
        <w:rPr>
          <w:rFonts w:hint="eastAsia"/>
          <w:kern w:val="0"/>
          <w:sz w:val="24"/>
        </w:rPr>
        <w:t>20</w:t>
      </w:r>
      <w:r>
        <w:rPr>
          <w:kern w:val="0"/>
          <w:sz w:val="24"/>
        </w:rPr>
        <w:t>m高排气筒（DA001）高空排放；风机风量</w:t>
      </w:r>
      <w:r>
        <w:rPr>
          <w:rFonts w:hint="eastAsia"/>
          <w:kern w:val="0"/>
          <w:sz w:val="24"/>
        </w:rPr>
        <w:t>为7</w:t>
      </w:r>
      <w:r>
        <w:rPr>
          <w:kern w:val="0"/>
          <w:sz w:val="24"/>
        </w:rPr>
        <w:t>0000m³/h</w:t>
      </w:r>
      <w:r>
        <w:rPr>
          <w:rFonts w:hint="eastAsia"/>
          <w:snapToGrid w:val="0"/>
          <w:kern w:val="0"/>
          <w:sz w:val="24"/>
          <w:szCs w:val="21"/>
        </w:rPr>
        <w:t>，经计算有组织排放量为3.5</w:t>
      </w:r>
      <w:r>
        <w:rPr>
          <w:snapToGrid w:val="0"/>
          <w:kern w:val="0"/>
          <w:sz w:val="24"/>
          <w:szCs w:val="21"/>
        </w:rPr>
        <w:t>t/a</w:t>
      </w:r>
      <w:r>
        <w:rPr>
          <w:rFonts w:hint="eastAsia"/>
          <w:snapToGrid w:val="0"/>
          <w:kern w:val="0"/>
          <w:sz w:val="24"/>
          <w:szCs w:val="21"/>
        </w:rPr>
        <w:t>，无组织产生量为97.27</w:t>
      </w:r>
      <w:r>
        <w:rPr>
          <w:snapToGrid w:val="0"/>
          <w:kern w:val="0"/>
          <w:sz w:val="24"/>
          <w:szCs w:val="21"/>
        </w:rPr>
        <w:t>t/a</w:t>
      </w:r>
      <w:r>
        <w:rPr>
          <w:rFonts w:hint="eastAsia"/>
          <w:snapToGrid w:val="0"/>
          <w:kern w:val="0"/>
          <w:sz w:val="24"/>
          <w:szCs w:val="21"/>
        </w:rPr>
        <w:t>。</w:t>
      </w:r>
    </w:p>
    <w:p w14:paraId="2BC8BF52">
      <w:pPr>
        <w:adjustRightInd w:val="0"/>
        <w:spacing w:before="0" w:beforeLines="0" w:line="360" w:lineRule="auto"/>
        <w:rPr>
          <w:kern w:val="0"/>
          <w:sz w:val="24"/>
        </w:rPr>
      </w:pPr>
      <w:r>
        <w:rPr>
          <w:rFonts w:hint="eastAsia"/>
          <w:kern w:val="0"/>
          <w:sz w:val="24"/>
        </w:rPr>
        <w:t>B、二次筛分</w:t>
      </w:r>
    </w:p>
    <w:p w14:paraId="4F6089C6">
      <w:pPr>
        <w:adjustRightInd w:val="0"/>
        <w:spacing w:before="0" w:beforeLines="0" w:line="360" w:lineRule="auto"/>
        <w:ind w:firstLine="480" w:firstLineChars="200"/>
        <w:rPr>
          <w:kern w:val="0"/>
          <w:sz w:val="24"/>
        </w:rPr>
      </w:pPr>
      <w:r>
        <w:rPr>
          <w:kern w:val="0"/>
          <w:sz w:val="24"/>
        </w:rPr>
        <w:t>二次筛产生的废气G2</w:t>
      </w:r>
      <w:r>
        <w:rPr>
          <w:rFonts w:hint="eastAsia"/>
          <w:kern w:val="0"/>
          <w:sz w:val="24"/>
        </w:rPr>
        <w:t>，</w:t>
      </w:r>
      <w:r>
        <w:rPr>
          <w:kern w:val="0"/>
          <w:sz w:val="24"/>
        </w:rPr>
        <w:t>根据设计资料可知，</w:t>
      </w:r>
      <w:r>
        <w:rPr>
          <w:rFonts w:hint="eastAsia"/>
          <w:kern w:val="0"/>
          <w:sz w:val="24"/>
        </w:rPr>
        <w:t>上料量为</w:t>
      </w:r>
      <w:r>
        <w:rPr>
          <w:kern w:val="0"/>
          <w:sz w:val="24"/>
        </w:rPr>
        <w:t>268</w:t>
      </w:r>
      <w:r>
        <w:rPr>
          <w:rFonts w:hint="eastAsia"/>
          <w:kern w:val="0"/>
          <w:sz w:val="24"/>
        </w:rPr>
        <w:t>万</w:t>
      </w:r>
      <w:r>
        <w:rPr>
          <w:kern w:val="0"/>
          <w:sz w:val="24"/>
        </w:rPr>
        <w:t>t/a</w:t>
      </w:r>
      <w:r>
        <w:rPr>
          <w:rFonts w:hint="eastAsia"/>
          <w:kern w:val="0"/>
          <w:sz w:val="24"/>
        </w:rPr>
        <w:t>，按系数</w:t>
      </w:r>
      <w:r>
        <w:rPr>
          <w:snapToGrid w:val="0"/>
          <w:kern w:val="0"/>
          <w:sz w:val="24"/>
          <w:szCs w:val="21"/>
        </w:rPr>
        <w:t>计算，</w:t>
      </w:r>
      <w:r>
        <w:rPr>
          <w:rFonts w:hint="eastAsia"/>
          <w:snapToGrid w:val="0"/>
          <w:kern w:val="0"/>
          <w:sz w:val="24"/>
          <w:szCs w:val="21"/>
        </w:rPr>
        <w:t>上料及二次筛分</w:t>
      </w:r>
      <w:r>
        <w:rPr>
          <w:snapToGrid w:val="0"/>
          <w:kern w:val="0"/>
          <w:sz w:val="24"/>
          <w:szCs w:val="21"/>
        </w:rPr>
        <w:t>产尘量为</w:t>
      </w:r>
      <w:r>
        <w:rPr>
          <w:rFonts w:hint="eastAsia"/>
          <w:snapToGrid w:val="0"/>
          <w:kern w:val="0"/>
          <w:sz w:val="24"/>
          <w:szCs w:val="21"/>
        </w:rPr>
        <w:t>951.4</w:t>
      </w:r>
      <w:r>
        <w:rPr>
          <w:snapToGrid w:val="0"/>
          <w:kern w:val="0"/>
          <w:sz w:val="24"/>
          <w:szCs w:val="21"/>
        </w:rPr>
        <w:t>t/a</w:t>
      </w:r>
      <w:r>
        <w:rPr>
          <w:rFonts w:hint="eastAsia"/>
          <w:snapToGrid w:val="0"/>
          <w:kern w:val="0"/>
          <w:sz w:val="24"/>
          <w:szCs w:val="21"/>
        </w:rPr>
        <w:t>，</w:t>
      </w:r>
      <w:r>
        <w:rPr>
          <w:kern w:val="0"/>
          <w:sz w:val="24"/>
        </w:rPr>
        <w:t>经集气罩收集+2#袋式除尘器处理后，由一根</w:t>
      </w:r>
      <w:r>
        <w:rPr>
          <w:rFonts w:hint="eastAsia"/>
          <w:kern w:val="0"/>
          <w:sz w:val="24"/>
        </w:rPr>
        <w:t>20</w:t>
      </w:r>
      <w:r>
        <w:rPr>
          <w:kern w:val="0"/>
          <w:sz w:val="24"/>
        </w:rPr>
        <w:t>m高排气筒（DA002）高空排放</w:t>
      </w:r>
      <w:r>
        <w:rPr>
          <w:rFonts w:hint="eastAsia"/>
          <w:kern w:val="0"/>
          <w:sz w:val="24"/>
        </w:rPr>
        <w:t>，</w:t>
      </w:r>
      <w:r>
        <w:rPr>
          <w:kern w:val="0"/>
          <w:sz w:val="24"/>
        </w:rPr>
        <w:t>风机风量</w:t>
      </w:r>
      <w:r>
        <w:rPr>
          <w:rFonts w:hint="eastAsia"/>
          <w:kern w:val="0"/>
          <w:sz w:val="24"/>
        </w:rPr>
        <w:t>为7</w:t>
      </w:r>
      <w:r>
        <w:rPr>
          <w:kern w:val="0"/>
          <w:sz w:val="24"/>
        </w:rPr>
        <w:t>0000m³/h</w:t>
      </w:r>
      <w:r>
        <w:rPr>
          <w:rFonts w:hint="eastAsia"/>
          <w:kern w:val="0"/>
          <w:sz w:val="24"/>
        </w:rPr>
        <w:t>，</w:t>
      </w:r>
      <w:r>
        <w:rPr>
          <w:rFonts w:hint="eastAsia"/>
          <w:snapToGrid w:val="0"/>
          <w:kern w:val="0"/>
          <w:sz w:val="24"/>
          <w:szCs w:val="21"/>
        </w:rPr>
        <w:t>经计算有组织排放量为3.62</w:t>
      </w:r>
      <w:r>
        <w:rPr>
          <w:snapToGrid w:val="0"/>
          <w:kern w:val="0"/>
          <w:sz w:val="24"/>
          <w:szCs w:val="21"/>
        </w:rPr>
        <w:t>t/a</w:t>
      </w:r>
      <w:r>
        <w:rPr>
          <w:rFonts w:hint="eastAsia"/>
          <w:snapToGrid w:val="0"/>
          <w:kern w:val="0"/>
          <w:sz w:val="24"/>
          <w:szCs w:val="21"/>
        </w:rPr>
        <w:t>，无组织产生量为47.57</w:t>
      </w:r>
      <w:r>
        <w:rPr>
          <w:snapToGrid w:val="0"/>
          <w:kern w:val="0"/>
          <w:sz w:val="24"/>
          <w:szCs w:val="21"/>
        </w:rPr>
        <w:t>t/a</w:t>
      </w:r>
      <w:r>
        <w:rPr>
          <w:kern w:val="0"/>
          <w:sz w:val="24"/>
        </w:rPr>
        <w:t>。</w:t>
      </w:r>
    </w:p>
    <w:p w14:paraId="1AAF7DB2">
      <w:pPr>
        <w:adjustRightInd w:val="0"/>
        <w:spacing w:before="0" w:beforeLines="0" w:line="360" w:lineRule="auto"/>
        <w:rPr>
          <w:kern w:val="0"/>
          <w:sz w:val="24"/>
        </w:rPr>
      </w:pPr>
      <w:r>
        <w:rPr>
          <w:rFonts w:hint="eastAsia"/>
          <w:kern w:val="0"/>
          <w:sz w:val="24"/>
        </w:rPr>
        <w:t>C、粗磁选</w:t>
      </w:r>
    </w:p>
    <w:p w14:paraId="5975CD42">
      <w:pPr>
        <w:adjustRightInd w:val="0"/>
        <w:spacing w:before="0" w:beforeLines="0" w:line="360" w:lineRule="auto"/>
        <w:ind w:firstLine="480" w:firstLineChars="200"/>
        <w:rPr>
          <w:kern w:val="0"/>
          <w:sz w:val="24"/>
        </w:rPr>
      </w:pPr>
      <w:r>
        <w:rPr>
          <w:kern w:val="0"/>
          <w:sz w:val="24"/>
        </w:rPr>
        <w:t>粗磁选产生的废气G3</w:t>
      </w:r>
      <w:r>
        <w:rPr>
          <w:rFonts w:hint="eastAsia"/>
          <w:kern w:val="0"/>
          <w:sz w:val="24"/>
        </w:rPr>
        <w:t>，</w:t>
      </w:r>
      <w:r>
        <w:rPr>
          <w:kern w:val="0"/>
          <w:sz w:val="24"/>
        </w:rPr>
        <w:t>上料量为</w:t>
      </w:r>
      <w:r>
        <w:rPr>
          <w:rFonts w:hint="eastAsia"/>
          <w:kern w:val="0"/>
          <w:sz w:val="24"/>
        </w:rPr>
        <w:t>262万</w:t>
      </w:r>
      <w:r>
        <w:rPr>
          <w:kern w:val="0"/>
          <w:sz w:val="24"/>
        </w:rPr>
        <w:t>t/a</w:t>
      </w:r>
      <w:r>
        <w:rPr>
          <w:rFonts w:hint="eastAsia"/>
          <w:kern w:val="0"/>
          <w:sz w:val="24"/>
        </w:rPr>
        <w:t>，产生磁上物为16万</w:t>
      </w:r>
      <w:r>
        <w:rPr>
          <w:kern w:val="0"/>
          <w:sz w:val="24"/>
        </w:rPr>
        <w:t>t/a</w:t>
      </w:r>
      <w:r>
        <w:rPr>
          <w:rFonts w:hint="eastAsia"/>
          <w:kern w:val="0"/>
          <w:sz w:val="24"/>
        </w:rPr>
        <w:t>，按系数</w:t>
      </w:r>
      <w:r>
        <w:rPr>
          <w:snapToGrid w:val="0"/>
          <w:kern w:val="0"/>
          <w:sz w:val="24"/>
          <w:szCs w:val="21"/>
        </w:rPr>
        <w:t>计算，</w:t>
      </w:r>
      <w:r>
        <w:rPr>
          <w:rFonts w:hint="eastAsia"/>
          <w:snapToGrid w:val="0"/>
          <w:kern w:val="0"/>
          <w:sz w:val="24"/>
          <w:szCs w:val="21"/>
        </w:rPr>
        <w:t>上料及粗磁选</w:t>
      </w:r>
      <w:r>
        <w:rPr>
          <w:snapToGrid w:val="0"/>
          <w:kern w:val="0"/>
          <w:sz w:val="24"/>
          <w:szCs w:val="21"/>
        </w:rPr>
        <w:t>产尘量为</w:t>
      </w:r>
      <w:r>
        <w:rPr>
          <w:rFonts w:hint="eastAsia"/>
          <w:snapToGrid w:val="0"/>
          <w:kern w:val="0"/>
          <w:sz w:val="24"/>
          <w:szCs w:val="21"/>
        </w:rPr>
        <w:t>339.1</w:t>
      </w:r>
      <w:r>
        <w:rPr>
          <w:snapToGrid w:val="0"/>
          <w:kern w:val="0"/>
          <w:sz w:val="24"/>
          <w:szCs w:val="21"/>
        </w:rPr>
        <w:t>t/a</w:t>
      </w:r>
      <w:r>
        <w:rPr>
          <w:rFonts w:hint="eastAsia"/>
          <w:snapToGrid w:val="0"/>
          <w:kern w:val="0"/>
          <w:sz w:val="24"/>
          <w:szCs w:val="21"/>
        </w:rPr>
        <w:t>，</w:t>
      </w:r>
      <w:r>
        <w:rPr>
          <w:kern w:val="0"/>
          <w:sz w:val="24"/>
        </w:rPr>
        <w:t>经集气罩收集+3#袋式除尘器处理后，由一根</w:t>
      </w:r>
      <w:r>
        <w:rPr>
          <w:rFonts w:hint="eastAsia"/>
          <w:kern w:val="0"/>
          <w:sz w:val="24"/>
        </w:rPr>
        <w:t>20</w:t>
      </w:r>
      <w:r>
        <w:rPr>
          <w:kern w:val="0"/>
          <w:sz w:val="24"/>
        </w:rPr>
        <w:t>m高排气筒（DA003）高空排放</w:t>
      </w:r>
      <w:r>
        <w:rPr>
          <w:rFonts w:hint="eastAsia"/>
          <w:kern w:val="0"/>
          <w:sz w:val="24"/>
        </w:rPr>
        <w:t>，风机风量为10</w:t>
      </w:r>
      <w:r>
        <w:rPr>
          <w:kern w:val="0"/>
          <w:sz w:val="24"/>
        </w:rPr>
        <w:t>0000m³/h</w:t>
      </w:r>
      <w:r>
        <w:rPr>
          <w:rFonts w:hint="eastAsia"/>
          <w:kern w:val="0"/>
          <w:sz w:val="24"/>
        </w:rPr>
        <w:t>，</w:t>
      </w:r>
      <w:r>
        <w:rPr>
          <w:rFonts w:hint="eastAsia"/>
          <w:snapToGrid w:val="0"/>
          <w:kern w:val="0"/>
          <w:sz w:val="24"/>
          <w:szCs w:val="21"/>
        </w:rPr>
        <w:t>经计算有组织排放量为1.29</w:t>
      </w:r>
      <w:r>
        <w:rPr>
          <w:snapToGrid w:val="0"/>
          <w:kern w:val="0"/>
          <w:sz w:val="24"/>
          <w:szCs w:val="21"/>
        </w:rPr>
        <w:t>t/a</w:t>
      </w:r>
      <w:r>
        <w:rPr>
          <w:rFonts w:hint="eastAsia"/>
          <w:snapToGrid w:val="0"/>
          <w:kern w:val="0"/>
          <w:sz w:val="24"/>
          <w:szCs w:val="21"/>
        </w:rPr>
        <w:t>，无组织产生量为16.96</w:t>
      </w:r>
      <w:r>
        <w:rPr>
          <w:snapToGrid w:val="0"/>
          <w:kern w:val="0"/>
          <w:sz w:val="24"/>
          <w:szCs w:val="21"/>
        </w:rPr>
        <w:t>t/a</w:t>
      </w:r>
      <w:r>
        <w:rPr>
          <w:rFonts w:hint="eastAsia"/>
          <w:kern w:val="0"/>
          <w:sz w:val="24"/>
        </w:rPr>
        <w:t>。</w:t>
      </w:r>
    </w:p>
    <w:p w14:paraId="175054A4">
      <w:pPr>
        <w:adjustRightInd w:val="0"/>
        <w:spacing w:before="0" w:beforeLines="0" w:line="360" w:lineRule="auto"/>
        <w:rPr>
          <w:kern w:val="0"/>
          <w:sz w:val="24"/>
        </w:rPr>
      </w:pPr>
      <w:r>
        <w:rPr>
          <w:rFonts w:hint="eastAsia"/>
          <w:kern w:val="0"/>
          <w:sz w:val="24"/>
        </w:rPr>
        <w:t>D、抛砂</w:t>
      </w:r>
    </w:p>
    <w:p w14:paraId="7FCBCE1F">
      <w:pPr>
        <w:adjustRightInd w:val="0"/>
        <w:spacing w:before="0" w:beforeLines="0" w:line="360" w:lineRule="auto"/>
        <w:ind w:firstLine="480" w:firstLineChars="200"/>
        <w:rPr>
          <w:snapToGrid w:val="0"/>
          <w:kern w:val="0"/>
          <w:sz w:val="24"/>
          <w:szCs w:val="21"/>
        </w:rPr>
      </w:pPr>
      <w:r>
        <w:rPr>
          <w:kern w:val="0"/>
          <w:sz w:val="24"/>
        </w:rPr>
        <w:t>抛砂分离产生的废气G4</w:t>
      </w:r>
      <w:r>
        <w:rPr>
          <w:rFonts w:hint="eastAsia"/>
          <w:kern w:val="0"/>
          <w:sz w:val="24"/>
        </w:rPr>
        <w:t>，</w:t>
      </w:r>
      <w:r>
        <w:rPr>
          <w:kern w:val="0"/>
          <w:sz w:val="24"/>
        </w:rPr>
        <w:t>上料量为</w:t>
      </w:r>
      <w:r>
        <w:rPr>
          <w:rFonts w:hint="eastAsia"/>
          <w:kern w:val="0"/>
          <w:sz w:val="24"/>
        </w:rPr>
        <w:t>246万</w:t>
      </w:r>
      <w:r>
        <w:rPr>
          <w:kern w:val="0"/>
          <w:sz w:val="24"/>
        </w:rPr>
        <w:t>t/a</w:t>
      </w:r>
      <w:r>
        <w:rPr>
          <w:rFonts w:hint="eastAsia"/>
          <w:kern w:val="0"/>
          <w:sz w:val="24"/>
        </w:rPr>
        <w:t>，按系数</w:t>
      </w:r>
      <w:r>
        <w:rPr>
          <w:snapToGrid w:val="0"/>
          <w:kern w:val="0"/>
          <w:sz w:val="24"/>
          <w:szCs w:val="21"/>
        </w:rPr>
        <w:t>计算，</w:t>
      </w:r>
      <w:r>
        <w:rPr>
          <w:rFonts w:hint="eastAsia"/>
          <w:snapToGrid w:val="0"/>
          <w:kern w:val="0"/>
          <w:sz w:val="24"/>
          <w:szCs w:val="21"/>
        </w:rPr>
        <w:t>上料及抛砂</w:t>
      </w:r>
      <w:r>
        <w:rPr>
          <w:snapToGrid w:val="0"/>
          <w:kern w:val="0"/>
          <w:sz w:val="24"/>
          <w:szCs w:val="21"/>
        </w:rPr>
        <w:t>产尘量为</w:t>
      </w:r>
      <w:r>
        <w:rPr>
          <w:rFonts w:hint="eastAsia"/>
          <w:snapToGrid w:val="0"/>
          <w:kern w:val="0"/>
          <w:sz w:val="24"/>
          <w:szCs w:val="21"/>
        </w:rPr>
        <w:t>873.3</w:t>
      </w:r>
      <w:r>
        <w:rPr>
          <w:snapToGrid w:val="0"/>
          <w:kern w:val="0"/>
          <w:sz w:val="24"/>
          <w:szCs w:val="21"/>
        </w:rPr>
        <w:t>t/a</w:t>
      </w:r>
      <w:r>
        <w:rPr>
          <w:kern w:val="0"/>
          <w:sz w:val="24"/>
        </w:rPr>
        <w:t>。G4经集气罩收集+</w:t>
      </w:r>
      <w:r>
        <w:rPr>
          <w:rFonts w:hint="eastAsia"/>
          <w:kern w:val="0"/>
          <w:sz w:val="24"/>
        </w:rPr>
        <w:t>3</w:t>
      </w:r>
      <w:r>
        <w:rPr>
          <w:kern w:val="0"/>
          <w:sz w:val="24"/>
        </w:rPr>
        <w:t>#袋式除尘器处理后，由一根</w:t>
      </w:r>
      <w:r>
        <w:rPr>
          <w:rFonts w:hint="eastAsia"/>
          <w:kern w:val="0"/>
          <w:sz w:val="24"/>
        </w:rPr>
        <w:t>20</w:t>
      </w:r>
      <w:r>
        <w:rPr>
          <w:kern w:val="0"/>
          <w:sz w:val="24"/>
        </w:rPr>
        <w:t>m高排气筒（DA00</w:t>
      </w:r>
      <w:r>
        <w:rPr>
          <w:rFonts w:hint="eastAsia"/>
          <w:kern w:val="0"/>
          <w:sz w:val="24"/>
        </w:rPr>
        <w:t>3</w:t>
      </w:r>
      <w:r>
        <w:rPr>
          <w:kern w:val="0"/>
          <w:sz w:val="24"/>
        </w:rPr>
        <w:t>）高空排放</w:t>
      </w:r>
      <w:r>
        <w:rPr>
          <w:rFonts w:hint="eastAsia"/>
          <w:kern w:val="0"/>
          <w:sz w:val="24"/>
        </w:rPr>
        <w:t>，</w:t>
      </w:r>
      <w:r>
        <w:rPr>
          <w:kern w:val="0"/>
          <w:sz w:val="24"/>
        </w:rPr>
        <w:t>风机风量为</w:t>
      </w:r>
      <w:r>
        <w:rPr>
          <w:rFonts w:hint="eastAsia"/>
          <w:kern w:val="0"/>
          <w:sz w:val="24"/>
        </w:rPr>
        <w:t>10</w:t>
      </w:r>
      <w:r>
        <w:rPr>
          <w:kern w:val="0"/>
          <w:sz w:val="24"/>
        </w:rPr>
        <w:t>0000m³/h，</w:t>
      </w:r>
      <w:r>
        <w:rPr>
          <w:rFonts w:hint="eastAsia"/>
          <w:snapToGrid w:val="0"/>
          <w:kern w:val="0"/>
          <w:sz w:val="24"/>
          <w:szCs w:val="21"/>
        </w:rPr>
        <w:t>经计算有组织排放量为3.32</w:t>
      </w:r>
      <w:r>
        <w:rPr>
          <w:snapToGrid w:val="0"/>
          <w:kern w:val="0"/>
          <w:sz w:val="24"/>
          <w:szCs w:val="21"/>
        </w:rPr>
        <w:t>t/a</w:t>
      </w:r>
      <w:r>
        <w:rPr>
          <w:rFonts w:hint="eastAsia"/>
          <w:snapToGrid w:val="0"/>
          <w:kern w:val="0"/>
          <w:sz w:val="24"/>
          <w:szCs w:val="21"/>
        </w:rPr>
        <w:t>，无组织产生量为43.67</w:t>
      </w:r>
      <w:r>
        <w:rPr>
          <w:snapToGrid w:val="0"/>
          <w:kern w:val="0"/>
          <w:sz w:val="24"/>
          <w:szCs w:val="21"/>
        </w:rPr>
        <w:t>t/a</w:t>
      </w:r>
      <w:r>
        <w:rPr>
          <w:rFonts w:hint="eastAsia"/>
          <w:snapToGrid w:val="0"/>
          <w:kern w:val="0"/>
          <w:sz w:val="24"/>
          <w:szCs w:val="21"/>
        </w:rPr>
        <w:t>。</w:t>
      </w:r>
    </w:p>
    <w:p w14:paraId="48AF8475">
      <w:pPr>
        <w:adjustRightInd w:val="0"/>
        <w:spacing w:before="0" w:beforeLines="0" w:line="360" w:lineRule="auto"/>
        <w:ind w:firstLine="480" w:firstLineChars="200"/>
        <w:rPr>
          <w:snapToGrid w:val="0"/>
          <w:kern w:val="0"/>
          <w:sz w:val="24"/>
          <w:szCs w:val="21"/>
        </w:rPr>
      </w:pPr>
      <w:r>
        <w:rPr>
          <w:rFonts w:hint="eastAsia"/>
          <w:snapToGrid w:val="0"/>
          <w:kern w:val="0"/>
          <w:sz w:val="24"/>
          <w:szCs w:val="21"/>
        </w:rPr>
        <w:t>抛砂分离后物料经封闭皮带送至洗砂环节，洗砂环节加水进行，产生粉尘较小不做定量分析。</w:t>
      </w:r>
    </w:p>
    <w:p w14:paraId="10794676">
      <w:pPr>
        <w:adjustRightInd w:val="0"/>
        <w:spacing w:before="0" w:beforeLines="0" w:line="360" w:lineRule="auto"/>
        <w:ind w:firstLine="480" w:firstLineChars="200"/>
        <w:rPr>
          <w:snapToGrid w:val="0"/>
          <w:kern w:val="0"/>
          <w:sz w:val="24"/>
          <w:szCs w:val="21"/>
        </w:rPr>
      </w:pPr>
      <w:r>
        <w:rPr>
          <w:rFonts w:hint="eastAsia"/>
          <w:snapToGrid w:val="0"/>
          <w:kern w:val="0"/>
          <w:sz w:val="24"/>
          <w:szCs w:val="21"/>
        </w:rPr>
        <w:t>通过上述分析，抛砂车间生产过程无组织产尘量合计205.46</w:t>
      </w:r>
      <w:r>
        <w:rPr>
          <w:snapToGrid w:val="0"/>
          <w:kern w:val="0"/>
          <w:sz w:val="24"/>
          <w:szCs w:val="21"/>
        </w:rPr>
        <w:t>t/a</w:t>
      </w:r>
      <w:r>
        <w:rPr>
          <w:rFonts w:hint="eastAsia"/>
          <w:snapToGrid w:val="0"/>
          <w:kern w:val="0"/>
          <w:sz w:val="24"/>
          <w:szCs w:val="21"/>
        </w:rPr>
        <w:t>，抛砂车间为封闭车间，车间地面进行硬化，车辆出入进行清洗且无车辆进入时车间门窗关闭，各输送过程皮带均封闭，同时设置喷雾降尘设施等无组织控制措施，</w:t>
      </w:r>
      <w:r>
        <w:rPr>
          <w:rFonts w:hint="eastAsia"/>
          <w:kern w:val="0"/>
          <w:sz w:val="24"/>
        </w:rPr>
        <w:t>综合考虑无组织控制效率按95%计，</w:t>
      </w:r>
      <w:r>
        <w:rPr>
          <w:snapToGrid w:val="0"/>
          <w:kern w:val="0"/>
          <w:sz w:val="24"/>
          <w:szCs w:val="21"/>
        </w:rPr>
        <w:t>经过治理后的粉尘排放量为</w:t>
      </w:r>
      <w:r>
        <w:rPr>
          <w:rFonts w:hint="eastAsia"/>
          <w:snapToGrid w:val="0"/>
          <w:kern w:val="0"/>
          <w:sz w:val="24"/>
          <w:szCs w:val="21"/>
        </w:rPr>
        <w:t>10.27</w:t>
      </w:r>
      <w:r>
        <w:rPr>
          <w:snapToGrid w:val="0"/>
          <w:kern w:val="0"/>
          <w:sz w:val="24"/>
          <w:szCs w:val="21"/>
        </w:rPr>
        <w:t>t/a。</w:t>
      </w:r>
    </w:p>
    <w:p w14:paraId="1790DB0F">
      <w:pPr>
        <w:adjustRightInd w:val="0"/>
        <w:spacing w:before="0" w:beforeLines="0" w:line="360" w:lineRule="auto"/>
        <w:rPr>
          <w:b/>
          <w:bCs/>
          <w:snapToGrid w:val="0"/>
          <w:kern w:val="0"/>
          <w:sz w:val="24"/>
          <w:szCs w:val="21"/>
        </w:rPr>
      </w:pPr>
      <w:r>
        <w:rPr>
          <w:rFonts w:hint="eastAsia"/>
          <w:b/>
          <w:bCs/>
          <w:snapToGrid w:val="0"/>
          <w:kern w:val="0"/>
          <w:sz w:val="24"/>
          <w:szCs w:val="21"/>
        </w:rPr>
        <w:t>（2）2#厂区生产废气</w:t>
      </w:r>
    </w:p>
    <w:p w14:paraId="2B309F26">
      <w:pPr>
        <w:adjustRightInd w:val="0"/>
        <w:spacing w:before="0" w:beforeLines="0" w:line="360" w:lineRule="auto"/>
        <w:ind w:firstLine="480" w:firstLineChars="200"/>
        <w:rPr>
          <w:kern w:val="0"/>
          <w:sz w:val="24"/>
        </w:rPr>
      </w:pPr>
      <w:r>
        <w:rPr>
          <w:rFonts w:hint="eastAsia"/>
          <w:kern w:val="0"/>
          <w:sz w:val="24"/>
        </w:rPr>
        <w:t>2#厂区颚式破碎产生废气</w:t>
      </w:r>
      <w:r>
        <w:rPr>
          <w:kern w:val="0"/>
          <w:sz w:val="24"/>
        </w:rPr>
        <w:t>G5</w:t>
      </w:r>
      <w:r>
        <w:rPr>
          <w:rFonts w:hint="eastAsia"/>
          <w:kern w:val="0"/>
          <w:sz w:val="24"/>
        </w:rPr>
        <w:t>、圆锥破碎产生废气</w:t>
      </w:r>
      <w:r>
        <w:rPr>
          <w:kern w:val="0"/>
          <w:sz w:val="24"/>
        </w:rPr>
        <w:t>G6</w:t>
      </w:r>
      <w:r>
        <w:rPr>
          <w:rFonts w:hint="eastAsia"/>
          <w:kern w:val="0"/>
          <w:sz w:val="24"/>
        </w:rPr>
        <w:t>、一段干式磁选产生废气</w:t>
      </w:r>
      <w:r>
        <w:rPr>
          <w:kern w:val="0"/>
          <w:sz w:val="24"/>
        </w:rPr>
        <w:t>G7</w:t>
      </w:r>
      <w:r>
        <w:rPr>
          <w:rFonts w:hint="eastAsia"/>
          <w:kern w:val="0"/>
          <w:sz w:val="24"/>
        </w:rPr>
        <w:t>，上料量均为38万</w:t>
      </w:r>
      <w:r>
        <w:rPr>
          <w:kern w:val="0"/>
          <w:sz w:val="24"/>
        </w:rPr>
        <w:t>t/a</w:t>
      </w:r>
      <w:r>
        <w:rPr>
          <w:rFonts w:hint="eastAsia"/>
          <w:kern w:val="0"/>
          <w:sz w:val="24"/>
        </w:rPr>
        <w:t>，按系数</w:t>
      </w:r>
      <w:r>
        <w:rPr>
          <w:rFonts w:hint="eastAsia"/>
          <w:snapToGrid w:val="0"/>
          <w:kern w:val="0"/>
          <w:sz w:val="24"/>
          <w:szCs w:val="21"/>
        </w:rPr>
        <w:t>计算，</w:t>
      </w:r>
      <w:r>
        <w:rPr>
          <w:rFonts w:hint="eastAsia"/>
          <w:kern w:val="0"/>
          <w:sz w:val="24"/>
        </w:rPr>
        <w:t>上料及生产</w:t>
      </w:r>
      <w:r>
        <w:rPr>
          <w:rFonts w:hint="eastAsia"/>
          <w:snapToGrid w:val="0"/>
          <w:kern w:val="0"/>
          <w:sz w:val="24"/>
          <w:szCs w:val="21"/>
        </w:rPr>
        <w:t>产尘量为134.9</w:t>
      </w:r>
      <w:r>
        <w:rPr>
          <w:snapToGrid w:val="0"/>
          <w:kern w:val="0"/>
          <w:sz w:val="24"/>
          <w:szCs w:val="21"/>
        </w:rPr>
        <w:t>t/a</w:t>
      </w:r>
      <w:r>
        <w:rPr>
          <w:rFonts w:hint="eastAsia"/>
          <w:snapToGrid w:val="0"/>
          <w:kern w:val="0"/>
          <w:sz w:val="24"/>
          <w:szCs w:val="21"/>
        </w:rPr>
        <w:t>、134.9</w:t>
      </w:r>
      <w:r>
        <w:rPr>
          <w:snapToGrid w:val="0"/>
          <w:kern w:val="0"/>
          <w:sz w:val="24"/>
          <w:szCs w:val="21"/>
        </w:rPr>
        <w:t>t/a</w:t>
      </w:r>
      <w:r>
        <w:rPr>
          <w:rFonts w:hint="eastAsia"/>
          <w:snapToGrid w:val="0"/>
          <w:kern w:val="0"/>
          <w:sz w:val="24"/>
          <w:szCs w:val="21"/>
        </w:rPr>
        <w:t>、26.6</w:t>
      </w:r>
      <w:r>
        <w:rPr>
          <w:snapToGrid w:val="0"/>
          <w:kern w:val="0"/>
          <w:sz w:val="24"/>
          <w:szCs w:val="21"/>
        </w:rPr>
        <w:t>t/a</w:t>
      </w:r>
      <w:r>
        <w:rPr>
          <w:rFonts w:hint="eastAsia"/>
          <w:snapToGrid w:val="0"/>
          <w:kern w:val="0"/>
          <w:sz w:val="24"/>
          <w:szCs w:val="21"/>
        </w:rPr>
        <w:t>。</w:t>
      </w:r>
      <w:r>
        <w:rPr>
          <w:kern w:val="0"/>
          <w:sz w:val="24"/>
        </w:rPr>
        <w:t>精筛分产生废气G8</w:t>
      </w:r>
      <w:r>
        <w:rPr>
          <w:rFonts w:hint="eastAsia"/>
          <w:kern w:val="0"/>
          <w:sz w:val="24"/>
        </w:rPr>
        <w:t>，上料量为37万t</w:t>
      </w:r>
      <w:r>
        <w:rPr>
          <w:kern w:val="0"/>
          <w:sz w:val="24"/>
        </w:rPr>
        <w:t>/a</w:t>
      </w:r>
      <w:r>
        <w:rPr>
          <w:rFonts w:hint="eastAsia"/>
          <w:kern w:val="0"/>
          <w:sz w:val="24"/>
        </w:rPr>
        <w:t>；</w:t>
      </w:r>
      <w:r>
        <w:rPr>
          <w:kern w:val="0"/>
          <w:sz w:val="24"/>
        </w:rPr>
        <w:t>破碎产生废气G9</w:t>
      </w:r>
      <w:r>
        <w:rPr>
          <w:rFonts w:hint="eastAsia"/>
          <w:kern w:val="0"/>
          <w:sz w:val="24"/>
        </w:rPr>
        <w:t>、</w:t>
      </w:r>
      <w:r>
        <w:rPr>
          <w:kern w:val="0"/>
          <w:sz w:val="24"/>
        </w:rPr>
        <w:t>二段干式磁选产生废气G10</w:t>
      </w:r>
      <w:r>
        <w:rPr>
          <w:rFonts w:hint="eastAsia"/>
          <w:kern w:val="0"/>
          <w:sz w:val="24"/>
        </w:rPr>
        <w:t>，上料量均为</w:t>
      </w:r>
      <w:r>
        <w:rPr>
          <w:kern w:val="0"/>
          <w:sz w:val="24"/>
        </w:rPr>
        <w:t>1</w:t>
      </w:r>
      <w:r>
        <w:rPr>
          <w:rFonts w:hint="eastAsia"/>
          <w:kern w:val="0"/>
          <w:sz w:val="24"/>
        </w:rPr>
        <w:t>万</w:t>
      </w:r>
      <w:r>
        <w:rPr>
          <w:kern w:val="0"/>
          <w:sz w:val="24"/>
        </w:rPr>
        <w:t>t/a</w:t>
      </w:r>
      <w:r>
        <w:rPr>
          <w:rFonts w:hint="eastAsia"/>
          <w:kern w:val="0"/>
          <w:sz w:val="24"/>
        </w:rPr>
        <w:t>，按系数</w:t>
      </w:r>
      <w:r>
        <w:rPr>
          <w:snapToGrid w:val="0"/>
          <w:kern w:val="0"/>
          <w:sz w:val="24"/>
          <w:szCs w:val="21"/>
        </w:rPr>
        <w:t>计算，产尘量</w:t>
      </w:r>
      <w:r>
        <w:rPr>
          <w:rFonts w:hint="eastAsia"/>
          <w:snapToGrid w:val="0"/>
          <w:kern w:val="0"/>
          <w:sz w:val="24"/>
          <w:szCs w:val="21"/>
        </w:rPr>
        <w:t>分别为131.35</w:t>
      </w:r>
      <w:r>
        <w:rPr>
          <w:snapToGrid w:val="0"/>
          <w:kern w:val="0"/>
          <w:sz w:val="24"/>
          <w:szCs w:val="21"/>
        </w:rPr>
        <w:t>t/a</w:t>
      </w:r>
      <w:r>
        <w:rPr>
          <w:rFonts w:hint="eastAsia"/>
          <w:snapToGrid w:val="0"/>
          <w:kern w:val="0"/>
          <w:sz w:val="24"/>
          <w:szCs w:val="21"/>
        </w:rPr>
        <w:t>、3.55</w:t>
      </w:r>
      <w:r>
        <w:rPr>
          <w:snapToGrid w:val="0"/>
          <w:kern w:val="0"/>
          <w:sz w:val="24"/>
          <w:szCs w:val="21"/>
        </w:rPr>
        <w:t>t/a</w:t>
      </w:r>
      <w:r>
        <w:rPr>
          <w:rFonts w:hint="eastAsia"/>
          <w:snapToGrid w:val="0"/>
          <w:kern w:val="0"/>
          <w:sz w:val="24"/>
          <w:szCs w:val="21"/>
        </w:rPr>
        <w:t>、17.35</w:t>
      </w:r>
      <w:r>
        <w:rPr>
          <w:snapToGrid w:val="0"/>
          <w:kern w:val="0"/>
          <w:sz w:val="24"/>
          <w:szCs w:val="21"/>
        </w:rPr>
        <w:t>t/a</w:t>
      </w:r>
      <w:r>
        <w:rPr>
          <w:rFonts w:hint="eastAsia"/>
          <w:snapToGrid w:val="0"/>
          <w:kern w:val="0"/>
          <w:sz w:val="24"/>
          <w:szCs w:val="21"/>
        </w:rPr>
        <w:t>，产尘量合计448.65</w:t>
      </w:r>
      <w:r>
        <w:rPr>
          <w:snapToGrid w:val="0"/>
          <w:kern w:val="0"/>
          <w:sz w:val="24"/>
          <w:szCs w:val="21"/>
        </w:rPr>
        <w:t>t/a</w:t>
      </w:r>
      <w:r>
        <w:rPr>
          <w:rFonts w:hint="eastAsia"/>
          <w:kern w:val="0"/>
          <w:sz w:val="24"/>
        </w:rPr>
        <w:t>。</w:t>
      </w:r>
    </w:p>
    <w:p w14:paraId="03564056">
      <w:pPr>
        <w:adjustRightInd w:val="0"/>
        <w:spacing w:before="0" w:beforeLines="0" w:line="360" w:lineRule="auto"/>
        <w:ind w:firstLine="480" w:firstLineChars="200"/>
        <w:rPr>
          <w:snapToGrid w:val="0"/>
          <w:kern w:val="0"/>
          <w:sz w:val="24"/>
          <w:szCs w:val="21"/>
        </w:rPr>
      </w:pPr>
      <w:r>
        <w:rPr>
          <w:rFonts w:hint="eastAsia"/>
          <w:kern w:val="0"/>
          <w:sz w:val="24"/>
        </w:rPr>
        <w:t>各产尘点均设置集气罩，废气</w:t>
      </w:r>
      <w:r>
        <w:rPr>
          <w:kern w:val="0"/>
          <w:sz w:val="24"/>
        </w:rPr>
        <w:t>经集气罩收集+</w:t>
      </w:r>
      <w:r>
        <w:rPr>
          <w:rFonts w:hint="eastAsia"/>
          <w:kern w:val="0"/>
          <w:sz w:val="24"/>
        </w:rPr>
        <w:t>4</w:t>
      </w:r>
      <w:r>
        <w:rPr>
          <w:kern w:val="0"/>
          <w:sz w:val="24"/>
        </w:rPr>
        <w:t>#袋式除尘器处理后，由一根</w:t>
      </w:r>
      <w:r>
        <w:rPr>
          <w:rFonts w:hint="eastAsia"/>
          <w:kern w:val="0"/>
          <w:sz w:val="24"/>
        </w:rPr>
        <w:t>20</w:t>
      </w:r>
      <w:r>
        <w:rPr>
          <w:kern w:val="0"/>
          <w:sz w:val="24"/>
        </w:rPr>
        <w:t>m高排气筒（DA00</w:t>
      </w:r>
      <w:r>
        <w:rPr>
          <w:rFonts w:hint="eastAsia"/>
          <w:kern w:val="0"/>
          <w:sz w:val="24"/>
        </w:rPr>
        <w:t>4</w:t>
      </w:r>
      <w:r>
        <w:rPr>
          <w:kern w:val="0"/>
          <w:sz w:val="24"/>
        </w:rPr>
        <w:t>）高空排放；风机风量为</w:t>
      </w:r>
      <w:r>
        <w:rPr>
          <w:rFonts w:hint="eastAsia"/>
          <w:kern w:val="0"/>
          <w:sz w:val="24"/>
        </w:rPr>
        <w:t>4</w:t>
      </w:r>
      <w:r>
        <w:rPr>
          <w:kern w:val="0"/>
          <w:sz w:val="24"/>
        </w:rPr>
        <w:t>0000m³/h，</w:t>
      </w:r>
      <w:r>
        <w:rPr>
          <w:rFonts w:hint="eastAsia"/>
          <w:kern w:val="0"/>
          <w:sz w:val="24"/>
        </w:rPr>
        <w:t>有组织</w:t>
      </w:r>
      <w:r>
        <w:rPr>
          <w:rFonts w:hint="eastAsia"/>
          <w:snapToGrid w:val="0"/>
          <w:kern w:val="0"/>
          <w:sz w:val="24"/>
          <w:szCs w:val="21"/>
        </w:rPr>
        <w:t>排放量为1.68</w:t>
      </w:r>
      <w:r>
        <w:rPr>
          <w:snapToGrid w:val="0"/>
          <w:kern w:val="0"/>
          <w:sz w:val="24"/>
          <w:szCs w:val="21"/>
        </w:rPr>
        <w:t>t/a</w:t>
      </w:r>
      <w:r>
        <w:rPr>
          <w:rFonts w:hint="eastAsia"/>
          <w:snapToGrid w:val="0"/>
          <w:kern w:val="0"/>
          <w:sz w:val="24"/>
          <w:szCs w:val="21"/>
        </w:rPr>
        <w:t>，无组织产生量为29.18</w:t>
      </w:r>
      <w:r>
        <w:rPr>
          <w:snapToGrid w:val="0"/>
          <w:kern w:val="0"/>
          <w:sz w:val="24"/>
          <w:szCs w:val="21"/>
        </w:rPr>
        <w:t>t/a</w:t>
      </w:r>
      <w:r>
        <w:rPr>
          <w:rFonts w:hint="eastAsia"/>
          <w:snapToGrid w:val="0"/>
          <w:kern w:val="0"/>
          <w:sz w:val="24"/>
          <w:szCs w:val="21"/>
        </w:rPr>
        <w:t>。</w:t>
      </w:r>
    </w:p>
    <w:p w14:paraId="1EEEDA51">
      <w:pPr>
        <w:adjustRightInd w:val="0"/>
        <w:spacing w:before="0" w:beforeLines="0" w:line="360" w:lineRule="auto"/>
        <w:ind w:firstLine="480" w:firstLineChars="200"/>
        <w:rPr>
          <w:snapToGrid w:val="0"/>
          <w:kern w:val="0"/>
          <w:sz w:val="24"/>
          <w:szCs w:val="21"/>
        </w:rPr>
      </w:pPr>
      <w:r>
        <w:rPr>
          <w:rFonts w:hint="eastAsia"/>
          <w:kern w:val="0"/>
          <w:sz w:val="24"/>
        </w:rPr>
        <w:t>通过上述分析，无组织产尘量合计29.18</w:t>
      </w:r>
      <w:r>
        <w:rPr>
          <w:kern w:val="0"/>
          <w:sz w:val="24"/>
        </w:rPr>
        <w:t>t/a</w:t>
      </w:r>
      <w:r>
        <w:rPr>
          <w:rFonts w:hint="eastAsia"/>
          <w:kern w:val="0"/>
          <w:sz w:val="24"/>
        </w:rPr>
        <w:t>，破碎车间</w:t>
      </w:r>
      <w:r>
        <w:rPr>
          <w:rFonts w:hint="eastAsia"/>
          <w:sz w:val="24"/>
        </w:rPr>
        <w:t>为封闭车间，车间地面进行硬化，车辆出入进行清洗且无车辆进入时车间门窗关闭，各输送过程皮带均封闭，同时设置喷雾降尘设施等无组织控制措施，综合考虑无组织治理效率按95%计，</w:t>
      </w:r>
      <w:r>
        <w:rPr>
          <w:snapToGrid w:val="0"/>
          <w:kern w:val="0"/>
          <w:sz w:val="24"/>
          <w:szCs w:val="21"/>
        </w:rPr>
        <w:t>经过治理后的粉尘排放量为</w:t>
      </w:r>
      <w:r>
        <w:rPr>
          <w:rFonts w:hint="eastAsia"/>
          <w:snapToGrid w:val="0"/>
          <w:kern w:val="0"/>
          <w:sz w:val="24"/>
          <w:szCs w:val="21"/>
        </w:rPr>
        <w:t>1.46</w:t>
      </w:r>
      <w:r>
        <w:rPr>
          <w:snapToGrid w:val="0"/>
          <w:kern w:val="0"/>
          <w:sz w:val="24"/>
          <w:szCs w:val="21"/>
        </w:rPr>
        <w:t>t/a</w:t>
      </w:r>
      <w:r>
        <w:rPr>
          <w:rFonts w:hint="eastAsia"/>
          <w:snapToGrid w:val="0"/>
          <w:kern w:val="0"/>
          <w:sz w:val="24"/>
          <w:szCs w:val="21"/>
        </w:rPr>
        <w:t>。</w:t>
      </w:r>
    </w:p>
    <w:p w14:paraId="4C3A1C4F">
      <w:pPr>
        <w:adjustRightInd w:val="0"/>
        <w:spacing w:before="0" w:beforeLines="0" w:line="360" w:lineRule="auto"/>
        <w:rPr>
          <w:b/>
          <w:bCs/>
          <w:snapToGrid w:val="0"/>
          <w:kern w:val="0"/>
          <w:sz w:val="24"/>
          <w:szCs w:val="21"/>
        </w:rPr>
      </w:pPr>
      <w:bookmarkStart w:id="122" w:name="_Hlk194245458"/>
      <w:r>
        <w:rPr>
          <w:rFonts w:hint="eastAsia"/>
          <w:b/>
          <w:bCs/>
          <w:snapToGrid w:val="0"/>
          <w:kern w:val="0"/>
          <w:sz w:val="24"/>
          <w:szCs w:val="21"/>
        </w:rPr>
        <w:t>（3）原料及产品装卸、堆存粉尘</w:t>
      </w:r>
    </w:p>
    <w:p w14:paraId="5FF56656">
      <w:pPr>
        <w:spacing w:before="0" w:beforeLines="0" w:line="360" w:lineRule="auto"/>
        <w:rPr>
          <w:sz w:val="24"/>
        </w:rPr>
      </w:pPr>
      <w:r>
        <w:rPr>
          <w:b/>
          <w:bCs/>
          <w:kern w:val="0"/>
          <w:sz w:val="24"/>
        </w:rPr>
        <w:fldChar w:fldCharType="begin"/>
      </w:r>
      <w:r>
        <w:rPr>
          <w:b/>
          <w:bCs/>
          <w:kern w:val="0"/>
          <w:sz w:val="24"/>
        </w:rPr>
        <w:instrText xml:space="preserve"> </w:instrText>
      </w:r>
      <w:r>
        <w:rPr>
          <w:rFonts w:hint="eastAsia"/>
          <w:b/>
          <w:bCs/>
          <w:kern w:val="0"/>
          <w:sz w:val="24"/>
        </w:rPr>
        <w:instrText xml:space="preserve">= 1 \* GB3</w:instrText>
      </w:r>
      <w:r>
        <w:rPr>
          <w:b/>
          <w:bCs/>
          <w:kern w:val="0"/>
          <w:sz w:val="24"/>
        </w:rPr>
        <w:instrText xml:space="preserve"> </w:instrText>
      </w:r>
      <w:r>
        <w:rPr>
          <w:b/>
          <w:bCs/>
          <w:kern w:val="0"/>
          <w:sz w:val="24"/>
        </w:rPr>
        <w:fldChar w:fldCharType="separate"/>
      </w:r>
      <w:r>
        <w:rPr>
          <w:rFonts w:hint="eastAsia"/>
          <w:b/>
          <w:bCs/>
          <w:kern w:val="0"/>
          <w:sz w:val="24"/>
        </w:rPr>
        <w:t>①</w:t>
      </w:r>
      <w:r>
        <w:rPr>
          <w:b/>
          <w:bCs/>
          <w:kern w:val="0"/>
          <w:sz w:val="24"/>
        </w:rPr>
        <w:fldChar w:fldCharType="end"/>
      </w:r>
      <w:r>
        <w:rPr>
          <w:rFonts w:hint="eastAsia"/>
          <w:b/>
          <w:bCs/>
          <w:kern w:val="0"/>
          <w:sz w:val="24"/>
        </w:rPr>
        <w:t>原料装卸堆存粉尘（1#厂区抛砂车间）</w:t>
      </w:r>
    </w:p>
    <w:p w14:paraId="4EBCBF2F">
      <w:pPr>
        <w:widowControl/>
        <w:spacing w:before="0" w:beforeLines="0" w:line="360" w:lineRule="auto"/>
        <w:ind w:firstLine="512" w:firstLineChars="200"/>
        <w:rPr>
          <w:spacing w:val="8"/>
          <w:kern w:val="0"/>
          <w:sz w:val="24"/>
        </w:rPr>
      </w:pPr>
      <w:r>
        <w:rPr>
          <w:rFonts w:hint="eastAsia"/>
          <w:spacing w:val="8"/>
          <w:kern w:val="0"/>
          <w:sz w:val="24"/>
        </w:rPr>
        <w:t>原料</w:t>
      </w:r>
      <w:r>
        <w:rPr>
          <w:spacing w:val="8"/>
          <w:kern w:val="0"/>
          <w:sz w:val="24"/>
        </w:rPr>
        <w:t>由汽车</w:t>
      </w:r>
      <w:r>
        <w:rPr>
          <w:rFonts w:hint="eastAsia"/>
          <w:spacing w:val="8"/>
          <w:kern w:val="0"/>
          <w:sz w:val="24"/>
        </w:rPr>
        <w:t>运至抛砂车间装卸区域</w:t>
      </w:r>
      <w:r>
        <w:rPr>
          <w:spacing w:val="8"/>
          <w:kern w:val="0"/>
          <w:sz w:val="24"/>
        </w:rPr>
        <w:t>，卸料过程产生粉尘。参照《排污许可证申请与核发技术规范 码头》（HJ 1107-2020），矿石卸车无组织排放绩效值为0.01539kg/t，本项目原料总量为</w:t>
      </w:r>
      <w:r>
        <w:rPr>
          <w:rFonts w:hint="eastAsia"/>
          <w:spacing w:val="8"/>
          <w:kern w:val="0"/>
          <w:sz w:val="24"/>
        </w:rPr>
        <w:t>2740</w:t>
      </w:r>
      <w:r>
        <w:rPr>
          <w:spacing w:val="8"/>
          <w:kern w:val="0"/>
          <w:sz w:val="24"/>
        </w:rPr>
        <w:t>000t/a，</w:t>
      </w:r>
      <w:r>
        <w:rPr>
          <w:rFonts w:hint="eastAsia"/>
          <w:spacing w:val="8"/>
          <w:kern w:val="0"/>
          <w:sz w:val="24"/>
        </w:rPr>
        <w:t>则卸车粉尘总计42.17t/a。</w:t>
      </w:r>
    </w:p>
    <w:p w14:paraId="14A14936">
      <w:pPr>
        <w:widowControl/>
        <w:spacing w:before="0" w:beforeLines="0" w:line="360" w:lineRule="auto"/>
        <w:ind w:firstLine="512" w:firstLineChars="200"/>
        <w:rPr>
          <w:spacing w:val="8"/>
          <w:kern w:val="0"/>
          <w:sz w:val="24"/>
        </w:rPr>
      </w:pPr>
      <w:r>
        <w:rPr>
          <w:rFonts w:hint="eastAsia"/>
          <w:spacing w:val="8"/>
          <w:kern w:val="0"/>
          <w:sz w:val="24"/>
        </w:rPr>
        <w:t>物料</w:t>
      </w:r>
      <w:r>
        <w:rPr>
          <w:spacing w:val="8"/>
          <w:kern w:val="0"/>
          <w:sz w:val="24"/>
        </w:rPr>
        <w:t>铲装的粉尘量参考《逸散性工业粉尘控制技术》中</w:t>
      </w:r>
      <w:r>
        <w:rPr>
          <w:rFonts w:hint="eastAsia"/>
          <w:spacing w:val="8"/>
          <w:kern w:val="0"/>
          <w:sz w:val="24"/>
        </w:rPr>
        <w:t>“第十八章 粒料加工厂 二、逸散尘排放因子”</w:t>
      </w:r>
      <w:r>
        <w:rPr>
          <w:spacing w:val="8"/>
          <w:kern w:val="0"/>
          <w:sz w:val="24"/>
        </w:rPr>
        <w:t>相关工序粉尘排放因子</w:t>
      </w:r>
      <w:r>
        <w:rPr>
          <w:rFonts w:hint="eastAsia"/>
          <w:spacing w:val="8"/>
          <w:kern w:val="0"/>
          <w:sz w:val="24"/>
        </w:rPr>
        <w:t>，</w:t>
      </w:r>
      <w:bookmarkStart w:id="123" w:name="OLE_LINK15"/>
      <w:r>
        <w:rPr>
          <w:spacing w:val="8"/>
          <w:kern w:val="0"/>
          <w:sz w:val="24"/>
        </w:rPr>
        <w:t>砂和砾石</w:t>
      </w:r>
      <w:r>
        <w:rPr>
          <w:rFonts w:hint="eastAsia"/>
          <w:spacing w:val="8"/>
          <w:kern w:val="0"/>
          <w:sz w:val="24"/>
        </w:rPr>
        <w:t>装货</w:t>
      </w:r>
      <w:r>
        <w:rPr>
          <w:spacing w:val="8"/>
          <w:kern w:val="0"/>
          <w:sz w:val="24"/>
        </w:rPr>
        <w:t>的排放因子0.01kg/t</w:t>
      </w:r>
      <w:r>
        <w:rPr>
          <w:rFonts w:hint="eastAsia"/>
          <w:spacing w:val="8"/>
          <w:kern w:val="0"/>
          <w:sz w:val="24"/>
        </w:rPr>
        <w:t>，则本项目</w:t>
      </w:r>
      <w:r>
        <w:rPr>
          <w:spacing w:val="8"/>
          <w:kern w:val="0"/>
          <w:sz w:val="24"/>
        </w:rPr>
        <w:t>原料铲装的</w:t>
      </w:r>
      <w:r>
        <w:rPr>
          <w:rFonts w:hint="eastAsia"/>
          <w:spacing w:val="8"/>
          <w:kern w:val="0"/>
          <w:sz w:val="24"/>
          <w:lang w:val="en-US" w:eastAsia="zh-CN"/>
        </w:rPr>
        <w:t>粉尘</w:t>
      </w:r>
      <w:r>
        <w:rPr>
          <w:spacing w:val="8"/>
          <w:kern w:val="0"/>
          <w:sz w:val="24"/>
        </w:rPr>
        <w:t>产生为</w:t>
      </w:r>
      <w:r>
        <w:rPr>
          <w:rFonts w:hint="eastAsia"/>
          <w:spacing w:val="8"/>
          <w:kern w:val="0"/>
          <w:sz w:val="24"/>
        </w:rPr>
        <w:t>27.4t/a。</w:t>
      </w:r>
    </w:p>
    <w:bookmarkEnd w:id="123"/>
    <w:p w14:paraId="1F6E25C6">
      <w:pPr>
        <w:widowControl/>
        <w:spacing w:before="0" w:beforeLines="0" w:line="360" w:lineRule="auto"/>
        <w:rPr>
          <w:sz w:val="24"/>
        </w:rPr>
      </w:pPr>
      <w:r>
        <w:rPr>
          <w:rFonts w:hint="eastAsia"/>
          <w:b/>
          <w:bCs/>
          <w:kern w:val="0"/>
          <w:sz w:val="24"/>
        </w:rPr>
        <w:t>②筛上料装车粉尘（1#厂区抛砂车间）</w:t>
      </w:r>
    </w:p>
    <w:p w14:paraId="41583F4B">
      <w:pPr>
        <w:adjustRightInd w:val="0"/>
        <w:spacing w:before="0" w:beforeLines="0" w:line="360" w:lineRule="auto"/>
        <w:ind w:firstLine="480" w:firstLineChars="200"/>
        <w:rPr>
          <w:kern w:val="0"/>
          <w:sz w:val="24"/>
        </w:rPr>
      </w:pPr>
      <w:r>
        <w:rPr>
          <w:rFonts w:hint="eastAsia"/>
          <w:kern w:val="0"/>
          <w:sz w:val="24"/>
        </w:rPr>
        <w:t>一次筛分、二次筛分筛上物为12</w:t>
      </w:r>
      <w:r>
        <w:rPr>
          <w:kern w:val="0"/>
          <w:sz w:val="24"/>
        </w:rPr>
        <w:t>万t/a</w:t>
      </w:r>
      <w:r>
        <w:rPr>
          <w:rFonts w:hint="eastAsia"/>
          <w:kern w:val="0"/>
          <w:sz w:val="24"/>
        </w:rPr>
        <w:t>直接装车，装车过程产生粉尘，</w:t>
      </w:r>
      <w:r>
        <w:rPr>
          <w:kern w:val="0"/>
          <w:sz w:val="24"/>
        </w:rPr>
        <w:t>参考《逸散性工业粉尘控制技术》</w:t>
      </w:r>
      <w:bookmarkStart w:id="124" w:name="OLE_LINK13"/>
      <w:r>
        <w:rPr>
          <w:rFonts w:hint="eastAsia"/>
          <w:kern w:val="0"/>
          <w:sz w:val="24"/>
        </w:rPr>
        <w:t>“</w:t>
      </w:r>
      <w:r>
        <w:rPr>
          <w:kern w:val="0"/>
          <w:sz w:val="24"/>
        </w:rPr>
        <w:t>第十八章 粒料加工厂 二、逸散尘排放因子</w:t>
      </w:r>
      <w:r>
        <w:rPr>
          <w:rFonts w:hint="eastAsia"/>
          <w:kern w:val="0"/>
          <w:sz w:val="24"/>
        </w:rPr>
        <w:t>”</w:t>
      </w:r>
      <w:bookmarkEnd w:id="124"/>
      <w:r>
        <w:rPr>
          <w:kern w:val="0"/>
          <w:sz w:val="24"/>
        </w:rPr>
        <w:t>中</w:t>
      </w:r>
      <w:r>
        <w:rPr>
          <w:rFonts w:hint="eastAsia"/>
          <w:kern w:val="0"/>
          <w:sz w:val="24"/>
        </w:rPr>
        <w:t>，砂和砾石装货的排放因子0.01kg/t，筛上物装车无组织产尘量为1.2</w:t>
      </w:r>
      <w:r>
        <w:rPr>
          <w:kern w:val="0"/>
          <w:sz w:val="24"/>
        </w:rPr>
        <w:t>t/a</w:t>
      </w:r>
      <w:r>
        <w:rPr>
          <w:rFonts w:hint="eastAsia"/>
          <w:kern w:val="0"/>
          <w:sz w:val="24"/>
        </w:rPr>
        <w:t>。</w:t>
      </w:r>
    </w:p>
    <w:p w14:paraId="272169F5">
      <w:pPr>
        <w:adjustRightInd w:val="0"/>
        <w:spacing w:before="0" w:beforeLines="0" w:line="360" w:lineRule="auto"/>
        <w:rPr>
          <w:kern w:val="0"/>
          <w:sz w:val="24"/>
        </w:rPr>
      </w:pPr>
      <w:r>
        <w:rPr>
          <w:rFonts w:hint="eastAsia"/>
          <w:b/>
          <w:bCs/>
          <w:snapToGrid w:val="0"/>
          <w:kern w:val="0"/>
          <w:sz w:val="24"/>
          <w:szCs w:val="21"/>
        </w:rPr>
        <w:t>③机制砂装车粉尘</w:t>
      </w:r>
      <w:r>
        <w:rPr>
          <w:rFonts w:hint="eastAsia"/>
          <w:b/>
          <w:bCs/>
          <w:kern w:val="0"/>
          <w:sz w:val="24"/>
        </w:rPr>
        <w:t>（1#厂区抛砂车间）</w:t>
      </w:r>
    </w:p>
    <w:p w14:paraId="157BA607">
      <w:pPr>
        <w:adjustRightInd w:val="0"/>
        <w:spacing w:before="0" w:beforeLines="0" w:line="360" w:lineRule="auto"/>
        <w:ind w:firstLine="480" w:firstLineChars="200"/>
        <w:rPr>
          <w:kern w:val="0"/>
          <w:sz w:val="24"/>
        </w:rPr>
      </w:pPr>
      <w:r>
        <w:rPr>
          <w:rFonts w:hint="eastAsia"/>
          <w:kern w:val="0"/>
          <w:sz w:val="24"/>
        </w:rPr>
        <w:t>机制砂装车量共计160</w:t>
      </w:r>
      <w:r>
        <w:rPr>
          <w:kern w:val="0"/>
          <w:sz w:val="24"/>
        </w:rPr>
        <w:t>万t/a</w:t>
      </w:r>
      <w:r>
        <w:rPr>
          <w:rFonts w:hint="eastAsia"/>
          <w:kern w:val="0"/>
          <w:sz w:val="24"/>
        </w:rPr>
        <w:t>，装车过程产生粉尘，</w:t>
      </w:r>
      <w:r>
        <w:rPr>
          <w:kern w:val="0"/>
          <w:sz w:val="24"/>
        </w:rPr>
        <w:t>参考《逸散性工业粉尘控制技术》</w:t>
      </w:r>
      <w:bookmarkStart w:id="125" w:name="OLE_LINK17"/>
      <w:r>
        <w:rPr>
          <w:rFonts w:hint="eastAsia"/>
          <w:kern w:val="0"/>
          <w:sz w:val="24"/>
        </w:rPr>
        <w:t>“</w:t>
      </w:r>
      <w:r>
        <w:rPr>
          <w:kern w:val="0"/>
          <w:sz w:val="24"/>
        </w:rPr>
        <w:t>第十八章 粒料加工厂 二、逸散尘排放因子</w:t>
      </w:r>
      <w:r>
        <w:rPr>
          <w:rFonts w:hint="eastAsia"/>
          <w:kern w:val="0"/>
          <w:sz w:val="24"/>
        </w:rPr>
        <w:t>”</w:t>
      </w:r>
      <w:bookmarkEnd w:id="125"/>
      <w:r>
        <w:rPr>
          <w:kern w:val="0"/>
          <w:sz w:val="24"/>
        </w:rPr>
        <w:t>中</w:t>
      </w:r>
      <w:r>
        <w:rPr>
          <w:rFonts w:hint="eastAsia"/>
          <w:kern w:val="0"/>
          <w:sz w:val="24"/>
        </w:rPr>
        <w:t>，砂和砾石装货的排放因子0.01kg/t，筛上物装车无组织产尘量为16</w:t>
      </w:r>
      <w:r>
        <w:rPr>
          <w:kern w:val="0"/>
          <w:sz w:val="24"/>
        </w:rPr>
        <w:t>t/a</w:t>
      </w:r>
      <w:r>
        <w:rPr>
          <w:rFonts w:hint="eastAsia"/>
          <w:kern w:val="0"/>
          <w:sz w:val="24"/>
        </w:rPr>
        <w:t>。</w:t>
      </w:r>
    </w:p>
    <w:p w14:paraId="2C36F74C">
      <w:pPr>
        <w:widowControl/>
        <w:spacing w:before="0" w:beforeLines="0" w:line="360" w:lineRule="auto"/>
        <w:ind w:firstLine="512" w:firstLineChars="200"/>
        <w:rPr>
          <w:sz w:val="24"/>
        </w:rPr>
      </w:pPr>
      <w:r>
        <w:rPr>
          <w:rFonts w:hint="eastAsia"/>
          <w:spacing w:val="8"/>
          <w:kern w:val="0"/>
          <w:sz w:val="24"/>
        </w:rPr>
        <w:t>通过上述计算，1#厂区抛砂车间原料、产品装卸堆存总产尘量为86.77t/a，</w:t>
      </w:r>
      <w:r>
        <w:rPr>
          <w:spacing w:val="8"/>
          <w:kern w:val="0"/>
          <w:sz w:val="24"/>
        </w:rPr>
        <w:t>原料</w:t>
      </w:r>
      <w:r>
        <w:rPr>
          <w:rFonts w:hint="eastAsia"/>
          <w:spacing w:val="8"/>
          <w:kern w:val="0"/>
          <w:sz w:val="24"/>
        </w:rPr>
        <w:t>随用随运，仅在</w:t>
      </w:r>
      <w:r>
        <w:rPr>
          <w:spacing w:val="8"/>
          <w:kern w:val="0"/>
          <w:sz w:val="24"/>
        </w:rPr>
        <w:t>全封闭</w:t>
      </w:r>
      <w:r>
        <w:rPr>
          <w:rFonts w:hint="eastAsia"/>
          <w:spacing w:val="8"/>
          <w:kern w:val="0"/>
          <w:sz w:val="24"/>
        </w:rPr>
        <w:t>抛砂车间内暂存</w:t>
      </w:r>
      <w:r>
        <w:rPr>
          <w:spacing w:val="8"/>
          <w:kern w:val="0"/>
          <w:sz w:val="24"/>
        </w:rPr>
        <w:t>，</w:t>
      </w:r>
      <w:r>
        <w:rPr>
          <w:rFonts w:hint="eastAsia"/>
          <w:spacing w:val="8"/>
          <w:kern w:val="0"/>
          <w:sz w:val="24"/>
        </w:rPr>
        <w:t>车间地面进行硬化，车辆出入进行清洗且无车辆进入时车间门窗关闭，卸料过程中进行</w:t>
      </w:r>
      <w:r>
        <w:rPr>
          <w:spacing w:val="8"/>
          <w:kern w:val="0"/>
          <w:sz w:val="24"/>
        </w:rPr>
        <w:t>适量的洒水抑尘，</w:t>
      </w:r>
      <w:r>
        <w:rPr>
          <w:rFonts w:hint="eastAsia"/>
          <w:spacing w:val="8"/>
          <w:kern w:val="0"/>
          <w:sz w:val="24"/>
        </w:rPr>
        <w:t>车间定期</w:t>
      </w:r>
      <w:r>
        <w:rPr>
          <w:rFonts w:hint="eastAsia"/>
          <w:spacing w:val="8"/>
          <w:kern w:val="0"/>
          <w:sz w:val="24"/>
          <w:lang w:val="zh-CN"/>
        </w:rPr>
        <w:t>利用</w:t>
      </w:r>
      <w:r>
        <w:rPr>
          <w:spacing w:val="8"/>
          <w:kern w:val="0"/>
          <w:sz w:val="24"/>
          <w:lang w:val="zh-CN"/>
        </w:rPr>
        <w:t>防尘雾炮机进行洒水抑尘</w:t>
      </w:r>
      <w:r>
        <w:rPr>
          <w:rFonts w:hint="eastAsia"/>
          <w:spacing w:val="8"/>
          <w:kern w:val="0"/>
          <w:sz w:val="24"/>
        </w:rPr>
        <w:t>。根据《排放源统计调查产排污核算方法和系数手册》（公告2021年 第24号）的附1工业源-附表2固体物料堆存颗粒物产排污核算系数手册，洒水抑尘控制措施控制效率为74%，车间阻挡效率80%，综合考虑车间治理效率按95%计。</w:t>
      </w:r>
      <w:r>
        <w:rPr>
          <w:rFonts w:hint="eastAsia"/>
          <w:sz w:val="24"/>
        </w:rPr>
        <w:t>粉尘排放量为4.34t</w:t>
      </w:r>
      <w:r>
        <w:rPr>
          <w:snapToGrid w:val="0"/>
          <w:kern w:val="0"/>
          <w:sz w:val="24"/>
          <w:szCs w:val="21"/>
        </w:rPr>
        <w:t>/a</w:t>
      </w:r>
      <w:r>
        <w:rPr>
          <w:rFonts w:hint="eastAsia"/>
          <w:sz w:val="24"/>
        </w:rPr>
        <w:t>。</w:t>
      </w:r>
    </w:p>
    <w:p w14:paraId="6783477C">
      <w:pPr>
        <w:spacing w:before="0" w:beforeLines="0" w:line="360" w:lineRule="auto"/>
        <w:rPr>
          <w:b/>
          <w:bCs/>
          <w:kern w:val="0"/>
          <w:sz w:val="24"/>
        </w:rPr>
      </w:pPr>
      <w:r>
        <w:rPr>
          <w:b/>
          <w:bCs/>
          <w:snapToGrid w:val="0"/>
          <w:kern w:val="0"/>
          <w:sz w:val="24"/>
          <w:szCs w:val="21"/>
        </w:rPr>
        <w:fldChar w:fldCharType="begin"/>
      </w:r>
      <w:r>
        <w:rPr>
          <w:b/>
          <w:bCs/>
          <w:snapToGrid w:val="0"/>
          <w:kern w:val="0"/>
          <w:sz w:val="24"/>
          <w:szCs w:val="21"/>
        </w:rPr>
        <w:instrText xml:space="preserve"> </w:instrText>
      </w:r>
      <w:r>
        <w:rPr>
          <w:rFonts w:hint="eastAsia"/>
          <w:b/>
          <w:bCs/>
          <w:snapToGrid w:val="0"/>
          <w:kern w:val="0"/>
          <w:sz w:val="24"/>
          <w:szCs w:val="21"/>
        </w:rPr>
        <w:instrText xml:space="preserve">= 4 \* GB3</w:instrText>
      </w:r>
      <w:r>
        <w:rPr>
          <w:b/>
          <w:bCs/>
          <w:snapToGrid w:val="0"/>
          <w:kern w:val="0"/>
          <w:sz w:val="24"/>
          <w:szCs w:val="21"/>
        </w:rPr>
        <w:instrText xml:space="preserve"> </w:instrText>
      </w:r>
      <w:r>
        <w:rPr>
          <w:b/>
          <w:bCs/>
          <w:snapToGrid w:val="0"/>
          <w:kern w:val="0"/>
          <w:sz w:val="24"/>
          <w:szCs w:val="21"/>
        </w:rPr>
        <w:fldChar w:fldCharType="separate"/>
      </w:r>
      <w:r>
        <w:rPr>
          <w:rFonts w:hint="eastAsia"/>
          <w:b/>
          <w:bCs/>
          <w:snapToGrid w:val="0"/>
          <w:kern w:val="0"/>
          <w:sz w:val="24"/>
          <w:szCs w:val="21"/>
        </w:rPr>
        <w:t>④</w:t>
      </w:r>
      <w:r>
        <w:rPr>
          <w:b/>
          <w:bCs/>
          <w:snapToGrid w:val="0"/>
          <w:kern w:val="0"/>
          <w:sz w:val="24"/>
          <w:szCs w:val="21"/>
        </w:rPr>
        <w:fldChar w:fldCharType="end"/>
      </w:r>
      <w:r>
        <w:rPr>
          <w:rFonts w:hint="eastAsia"/>
          <w:b/>
          <w:bCs/>
          <w:kern w:val="0"/>
          <w:sz w:val="24"/>
        </w:rPr>
        <w:t>机制砂装卸堆存粉尘（1#厂区机制砂库房）</w:t>
      </w:r>
    </w:p>
    <w:p w14:paraId="148BFAFC">
      <w:pPr>
        <w:spacing w:before="0" w:beforeLines="0" w:line="360" w:lineRule="auto"/>
        <w:ind w:firstLine="480" w:firstLineChars="200"/>
        <w:rPr>
          <w:sz w:val="24"/>
        </w:rPr>
      </w:pPr>
      <w:r>
        <w:rPr>
          <w:rFonts w:hint="eastAsia"/>
          <w:sz w:val="24"/>
        </w:rPr>
        <w:t>机制砂由汽车运至机制砂库房，卸料过程产生粉尘。参照《排污许可证申请与核发技术规范 码头》（HJ 1107-2020），卸车无组织排放绩效值为0.01539kg/t，本项目机制砂总量为160万t/a，则卸车粉尘总计24.62t/a。</w:t>
      </w:r>
    </w:p>
    <w:p w14:paraId="268EB823">
      <w:pPr>
        <w:spacing w:before="0" w:beforeLines="0" w:line="360" w:lineRule="auto"/>
        <w:ind w:firstLine="480" w:firstLineChars="200"/>
        <w:rPr>
          <w:sz w:val="24"/>
        </w:rPr>
      </w:pPr>
      <w:r>
        <w:rPr>
          <w:rFonts w:hint="eastAsia"/>
          <w:sz w:val="24"/>
        </w:rPr>
        <w:t>机制砂外运铲车装料，</w:t>
      </w:r>
      <w:r>
        <w:rPr>
          <w:spacing w:val="8"/>
          <w:kern w:val="0"/>
          <w:sz w:val="24"/>
        </w:rPr>
        <w:t>粉尘量参考《逸散性工业粉尘控制技术》中</w:t>
      </w:r>
      <w:r>
        <w:rPr>
          <w:rFonts w:hint="eastAsia"/>
          <w:spacing w:val="8"/>
          <w:kern w:val="0"/>
          <w:sz w:val="24"/>
        </w:rPr>
        <w:t>“第十八章 粒料加工厂 二、逸散尘排放因子”，</w:t>
      </w:r>
      <w:r>
        <w:rPr>
          <w:spacing w:val="8"/>
          <w:kern w:val="0"/>
          <w:sz w:val="24"/>
        </w:rPr>
        <w:t>砂和砾石</w:t>
      </w:r>
      <w:r>
        <w:rPr>
          <w:rFonts w:hint="eastAsia"/>
          <w:spacing w:val="8"/>
          <w:kern w:val="0"/>
          <w:sz w:val="24"/>
        </w:rPr>
        <w:t>装货</w:t>
      </w:r>
      <w:r>
        <w:rPr>
          <w:spacing w:val="8"/>
          <w:kern w:val="0"/>
          <w:sz w:val="24"/>
        </w:rPr>
        <w:t>的排放因子0.01kg/t</w:t>
      </w:r>
      <w:r>
        <w:rPr>
          <w:rFonts w:hint="eastAsia"/>
          <w:spacing w:val="8"/>
          <w:kern w:val="0"/>
          <w:sz w:val="24"/>
        </w:rPr>
        <w:t>，则本项目机制砂</w:t>
      </w:r>
      <w:r>
        <w:rPr>
          <w:spacing w:val="8"/>
          <w:kern w:val="0"/>
          <w:sz w:val="24"/>
        </w:rPr>
        <w:t>铲装的粉产量产生为</w:t>
      </w:r>
      <w:r>
        <w:rPr>
          <w:rFonts w:hint="eastAsia"/>
          <w:spacing w:val="8"/>
          <w:kern w:val="0"/>
          <w:sz w:val="24"/>
        </w:rPr>
        <w:t>16.0t/a。</w:t>
      </w:r>
    </w:p>
    <w:p w14:paraId="16E92EB9">
      <w:pPr>
        <w:widowControl/>
        <w:spacing w:before="0" w:beforeLines="0" w:line="360" w:lineRule="auto"/>
        <w:ind w:firstLine="512" w:firstLineChars="200"/>
        <w:rPr>
          <w:sz w:val="24"/>
        </w:rPr>
      </w:pPr>
      <w:r>
        <w:rPr>
          <w:rFonts w:hint="eastAsia"/>
          <w:spacing w:val="8"/>
          <w:kern w:val="0"/>
          <w:sz w:val="24"/>
        </w:rPr>
        <w:t>通过上述计算，机制砂库房机制砂装卸堆存总产尘量为40.62t/a，车间地面进行硬化，车辆出入进行清洗且无车辆进入时车间门窗关闭，卸料过程中进行</w:t>
      </w:r>
      <w:r>
        <w:rPr>
          <w:spacing w:val="8"/>
          <w:kern w:val="0"/>
          <w:sz w:val="24"/>
        </w:rPr>
        <w:t>适量的洒水抑尘，</w:t>
      </w:r>
      <w:r>
        <w:rPr>
          <w:rFonts w:hint="eastAsia"/>
          <w:spacing w:val="8"/>
          <w:kern w:val="0"/>
          <w:sz w:val="24"/>
        </w:rPr>
        <w:t>车间定期</w:t>
      </w:r>
      <w:r>
        <w:rPr>
          <w:rFonts w:hint="eastAsia"/>
          <w:spacing w:val="8"/>
          <w:kern w:val="0"/>
          <w:sz w:val="24"/>
          <w:lang w:val="zh-CN"/>
        </w:rPr>
        <w:t>利用</w:t>
      </w:r>
      <w:r>
        <w:rPr>
          <w:spacing w:val="8"/>
          <w:kern w:val="0"/>
          <w:sz w:val="24"/>
          <w:lang w:val="zh-CN"/>
        </w:rPr>
        <w:t>防尘雾炮机进行洒水抑尘</w:t>
      </w:r>
      <w:r>
        <w:rPr>
          <w:rFonts w:hint="eastAsia"/>
          <w:spacing w:val="8"/>
          <w:kern w:val="0"/>
          <w:sz w:val="24"/>
        </w:rPr>
        <w:t>。根据《排放源统计调查产排污核算方法和系数手册》（公告2021年 第24号）的附1工业源-附表2固体物料堆存颗粒物产排污核算系数手册，洒水抑尘控制措施控制效率为74%，车间阻挡效率80%，综合考虑车间治理效率按95%计。</w:t>
      </w:r>
      <w:r>
        <w:rPr>
          <w:rFonts w:hint="eastAsia"/>
          <w:sz w:val="24"/>
        </w:rPr>
        <w:t>粉尘排放量为2.03t</w:t>
      </w:r>
      <w:r>
        <w:rPr>
          <w:snapToGrid w:val="0"/>
          <w:kern w:val="0"/>
          <w:sz w:val="24"/>
          <w:szCs w:val="21"/>
        </w:rPr>
        <w:t>/a</w:t>
      </w:r>
      <w:r>
        <w:rPr>
          <w:rFonts w:hint="eastAsia"/>
          <w:sz w:val="24"/>
        </w:rPr>
        <w:t>。</w:t>
      </w:r>
    </w:p>
    <w:p w14:paraId="4B8B5183">
      <w:pPr>
        <w:spacing w:before="0" w:beforeLines="0" w:line="360" w:lineRule="auto"/>
        <w:rPr>
          <w:b/>
          <w:bCs/>
          <w:snapToGrid w:val="0"/>
          <w:kern w:val="0"/>
          <w:sz w:val="24"/>
          <w:szCs w:val="21"/>
        </w:rPr>
      </w:pPr>
      <w:r>
        <w:rPr>
          <w:b/>
          <w:bCs/>
          <w:snapToGrid w:val="0"/>
          <w:kern w:val="0"/>
          <w:sz w:val="24"/>
          <w:szCs w:val="21"/>
        </w:rPr>
        <w:fldChar w:fldCharType="begin"/>
      </w:r>
      <w:r>
        <w:rPr>
          <w:b/>
          <w:bCs/>
          <w:snapToGrid w:val="0"/>
          <w:kern w:val="0"/>
          <w:sz w:val="24"/>
          <w:szCs w:val="21"/>
        </w:rPr>
        <w:instrText xml:space="preserve"> </w:instrText>
      </w:r>
      <w:r>
        <w:rPr>
          <w:rFonts w:hint="eastAsia"/>
          <w:b/>
          <w:bCs/>
          <w:snapToGrid w:val="0"/>
          <w:kern w:val="0"/>
          <w:sz w:val="24"/>
          <w:szCs w:val="21"/>
        </w:rPr>
        <w:instrText xml:space="preserve">= 5 \* GB3</w:instrText>
      </w:r>
      <w:r>
        <w:rPr>
          <w:b/>
          <w:bCs/>
          <w:snapToGrid w:val="0"/>
          <w:kern w:val="0"/>
          <w:sz w:val="24"/>
          <w:szCs w:val="21"/>
        </w:rPr>
        <w:instrText xml:space="preserve"> </w:instrText>
      </w:r>
      <w:r>
        <w:rPr>
          <w:b/>
          <w:bCs/>
          <w:snapToGrid w:val="0"/>
          <w:kern w:val="0"/>
          <w:sz w:val="24"/>
          <w:szCs w:val="21"/>
        </w:rPr>
        <w:fldChar w:fldCharType="separate"/>
      </w:r>
      <w:r>
        <w:rPr>
          <w:rFonts w:hint="eastAsia"/>
          <w:b/>
          <w:bCs/>
          <w:snapToGrid w:val="0"/>
          <w:kern w:val="0"/>
          <w:sz w:val="24"/>
          <w:szCs w:val="21"/>
        </w:rPr>
        <w:t>⑤</w:t>
      </w:r>
      <w:r>
        <w:rPr>
          <w:b/>
          <w:bCs/>
          <w:snapToGrid w:val="0"/>
          <w:kern w:val="0"/>
          <w:sz w:val="24"/>
          <w:szCs w:val="21"/>
        </w:rPr>
        <w:fldChar w:fldCharType="end"/>
      </w:r>
      <w:r>
        <w:rPr>
          <w:rFonts w:hint="eastAsia"/>
          <w:b/>
          <w:bCs/>
          <w:snapToGrid w:val="0"/>
          <w:kern w:val="0"/>
          <w:sz w:val="24"/>
          <w:szCs w:val="21"/>
        </w:rPr>
        <w:t>铁精矿储存粉尘（1#厂区铁精矿成品仓）</w:t>
      </w:r>
    </w:p>
    <w:p w14:paraId="4FF76C33">
      <w:pPr>
        <w:spacing w:before="0" w:beforeLines="0" w:line="360" w:lineRule="auto"/>
        <w:ind w:firstLine="480" w:firstLineChars="200"/>
        <w:rPr>
          <w:snapToGrid w:val="0"/>
          <w:kern w:val="0"/>
          <w:sz w:val="24"/>
          <w:szCs w:val="21"/>
        </w:rPr>
      </w:pPr>
      <w:r>
        <w:rPr>
          <w:rFonts w:hint="eastAsia"/>
          <w:snapToGrid w:val="0"/>
          <w:kern w:val="0"/>
          <w:sz w:val="24"/>
          <w:szCs w:val="21"/>
        </w:rPr>
        <w:t>铁精矿由封闭皮带输送至成品仓落料</w:t>
      </w:r>
      <w:r>
        <w:rPr>
          <w:kern w:val="0"/>
          <w:sz w:val="24"/>
        </w:rPr>
        <w:t>过程产生粉尘</w:t>
      </w:r>
      <w:r>
        <w:rPr>
          <w:rFonts w:hint="eastAsia"/>
          <w:kern w:val="0"/>
          <w:sz w:val="24"/>
        </w:rPr>
        <w:t>，下料量约18万</w:t>
      </w:r>
      <w:r>
        <w:rPr>
          <w:kern w:val="0"/>
          <w:sz w:val="24"/>
        </w:rPr>
        <w:t>t/a</w:t>
      </w:r>
      <w:r>
        <w:rPr>
          <w:rFonts w:hint="eastAsia"/>
          <w:kern w:val="0"/>
          <w:sz w:val="24"/>
        </w:rPr>
        <w:t>，</w:t>
      </w:r>
      <w:r>
        <w:rPr>
          <w:kern w:val="0"/>
          <w:sz w:val="24"/>
        </w:rPr>
        <w:t>参考《逸散性工业粉尘控制技术》</w:t>
      </w:r>
      <w:r>
        <w:rPr>
          <w:rFonts w:hint="eastAsia"/>
          <w:kern w:val="0"/>
          <w:sz w:val="24"/>
        </w:rPr>
        <w:t>“</w:t>
      </w:r>
      <w:r>
        <w:rPr>
          <w:kern w:val="0"/>
          <w:sz w:val="24"/>
        </w:rPr>
        <w:t>第十八章 粒料加工厂 二、逸散尘排放因子</w:t>
      </w:r>
      <w:r>
        <w:rPr>
          <w:rFonts w:hint="eastAsia"/>
          <w:kern w:val="0"/>
          <w:sz w:val="24"/>
        </w:rPr>
        <w:t>”</w:t>
      </w:r>
      <w:r>
        <w:rPr>
          <w:kern w:val="0"/>
          <w:sz w:val="24"/>
        </w:rPr>
        <w:t>中</w:t>
      </w:r>
      <w:r>
        <w:rPr>
          <w:rFonts w:hint="eastAsia"/>
          <w:kern w:val="0"/>
          <w:sz w:val="24"/>
        </w:rPr>
        <w:t>“碎石下料系数0.00145</w:t>
      </w:r>
      <w:r>
        <w:rPr>
          <w:kern w:val="0"/>
          <w:sz w:val="24"/>
        </w:rPr>
        <w:t>kg/t</w:t>
      </w:r>
      <w:r>
        <w:rPr>
          <w:rFonts w:hint="eastAsia"/>
          <w:kern w:val="0"/>
          <w:sz w:val="24"/>
        </w:rPr>
        <w:t>”</w:t>
      </w:r>
      <w:r>
        <w:rPr>
          <w:rFonts w:hint="eastAsia"/>
          <w:snapToGrid w:val="0"/>
          <w:kern w:val="0"/>
          <w:sz w:val="24"/>
          <w:szCs w:val="21"/>
        </w:rPr>
        <w:t>计算，产尘量为0.26</w:t>
      </w:r>
      <w:r>
        <w:rPr>
          <w:snapToGrid w:val="0"/>
          <w:kern w:val="0"/>
          <w:sz w:val="24"/>
          <w:szCs w:val="21"/>
        </w:rPr>
        <w:t>t/a。</w:t>
      </w:r>
      <w:r>
        <w:rPr>
          <w:sz w:val="24"/>
        </w:rPr>
        <w:t>采用</w:t>
      </w:r>
      <w:r>
        <w:rPr>
          <w:rFonts w:hint="eastAsia"/>
          <w:sz w:val="24"/>
        </w:rPr>
        <w:t>仓顶除尘</w:t>
      </w:r>
      <w:r>
        <w:rPr>
          <w:sz w:val="24"/>
        </w:rPr>
        <w:t>，</w:t>
      </w:r>
      <w:r>
        <w:rPr>
          <w:rFonts w:hint="eastAsia"/>
          <w:kern w:val="0"/>
          <w:sz w:val="24"/>
        </w:rPr>
        <w:t>治理效率按9</w:t>
      </w:r>
      <w:r>
        <w:rPr>
          <w:kern w:val="0"/>
          <w:sz w:val="24"/>
        </w:rPr>
        <w:t>9</w:t>
      </w:r>
      <w:r>
        <w:rPr>
          <w:rFonts w:hint="eastAsia"/>
          <w:kern w:val="0"/>
          <w:sz w:val="24"/>
        </w:rPr>
        <w:t>%计，</w:t>
      </w:r>
      <w:r>
        <w:rPr>
          <w:snapToGrid w:val="0"/>
          <w:kern w:val="0"/>
          <w:sz w:val="24"/>
          <w:szCs w:val="21"/>
        </w:rPr>
        <w:t>经过治理后的粉尘</w:t>
      </w:r>
      <w:r>
        <w:rPr>
          <w:rFonts w:hint="eastAsia"/>
          <w:snapToGrid w:val="0"/>
          <w:kern w:val="0"/>
          <w:sz w:val="24"/>
          <w:szCs w:val="21"/>
        </w:rPr>
        <w:t>无组织</w:t>
      </w:r>
      <w:r>
        <w:rPr>
          <w:snapToGrid w:val="0"/>
          <w:kern w:val="0"/>
          <w:sz w:val="24"/>
          <w:szCs w:val="21"/>
        </w:rPr>
        <w:t>排放量为0.</w:t>
      </w:r>
      <w:r>
        <w:rPr>
          <w:rFonts w:hint="eastAsia"/>
          <w:snapToGrid w:val="0"/>
          <w:kern w:val="0"/>
          <w:sz w:val="24"/>
          <w:szCs w:val="21"/>
        </w:rPr>
        <w:t>003</w:t>
      </w:r>
      <w:r>
        <w:rPr>
          <w:snapToGrid w:val="0"/>
          <w:kern w:val="0"/>
          <w:sz w:val="24"/>
          <w:szCs w:val="21"/>
        </w:rPr>
        <w:t>t/a。</w:t>
      </w:r>
    </w:p>
    <w:p w14:paraId="17A6B21F">
      <w:pPr>
        <w:spacing w:before="0" w:beforeLines="0" w:line="360" w:lineRule="auto"/>
        <w:rPr>
          <w:b/>
          <w:bCs/>
          <w:snapToGrid w:val="0"/>
          <w:kern w:val="0"/>
          <w:sz w:val="24"/>
          <w:szCs w:val="21"/>
        </w:rPr>
      </w:pPr>
      <w:r>
        <w:rPr>
          <w:b/>
          <w:bCs/>
          <w:snapToGrid w:val="0"/>
          <w:kern w:val="0"/>
          <w:sz w:val="24"/>
          <w:szCs w:val="21"/>
        </w:rPr>
        <w:fldChar w:fldCharType="begin"/>
      </w:r>
      <w:r>
        <w:rPr>
          <w:b/>
          <w:bCs/>
          <w:snapToGrid w:val="0"/>
          <w:kern w:val="0"/>
          <w:sz w:val="24"/>
          <w:szCs w:val="21"/>
        </w:rPr>
        <w:instrText xml:space="preserve"> </w:instrText>
      </w:r>
      <w:r>
        <w:rPr>
          <w:rFonts w:hint="eastAsia"/>
          <w:b/>
          <w:bCs/>
          <w:snapToGrid w:val="0"/>
          <w:kern w:val="0"/>
          <w:sz w:val="24"/>
          <w:szCs w:val="21"/>
        </w:rPr>
        <w:instrText xml:space="preserve">= 6 \* GB3</w:instrText>
      </w:r>
      <w:r>
        <w:rPr>
          <w:b/>
          <w:bCs/>
          <w:snapToGrid w:val="0"/>
          <w:kern w:val="0"/>
          <w:sz w:val="24"/>
          <w:szCs w:val="21"/>
        </w:rPr>
        <w:instrText xml:space="preserve"> </w:instrText>
      </w:r>
      <w:r>
        <w:rPr>
          <w:b/>
          <w:bCs/>
          <w:snapToGrid w:val="0"/>
          <w:kern w:val="0"/>
          <w:sz w:val="24"/>
          <w:szCs w:val="21"/>
        </w:rPr>
        <w:fldChar w:fldCharType="separate"/>
      </w:r>
      <w:r>
        <w:rPr>
          <w:rFonts w:hint="eastAsia"/>
          <w:b/>
          <w:bCs/>
          <w:snapToGrid w:val="0"/>
          <w:kern w:val="0"/>
          <w:sz w:val="24"/>
          <w:szCs w:val="21"/>
        </w:rPr>
        <w:t>⑥</w:t>
      </w:r>
      <w:r>
        <w:rPr>
          <w:b/>
          <w:bCs/>
          <w:snapToGrid w:val="0"/>
          <w:kern w:val="0"/>
          <w:sz w:val="24"/>
          <w:szCs w:val="21"/>
        </w:rPr>
        <w:fldChar w:fldCharType="end"/>
      </w:r>
      <w:r>
        <w:rPr>
          <w:rFonts w:hint="eastAsia"/>
          <w:b/>
          <w:bCs/>
          <w:snapToGrid w:val="0"/>
          <w:kern w:val="0"/>
          <w:sz w:val="24"/>
          <w:szCs w:val="21"/>
        </w:rPr>
        <w:t>废石装卸堆存粉尘（2#厂区破碎车间）</w:t>
      </w:r>
    </w:p>
    <w:p w14:paraId="710C0189">
      <w:pPr>
        <w:widowControl/>
        <w:spacing w:before="0" w:beforeLines="0" w:line="360" w:lineRule="auto"/>
        <w:ind w:firstLine="512" w:firstLineChars="200"/>
        <w:rPr>
          <w:spacing w:val="8"/>
          <w:kern w:val="0"/>
          <w:sz w:val="24"/>
        </w:rPr>
      </w:pPr>
      <w:r>
        <w:rPr>
          <w:rFonts w:hint="eastAsia"/>
          <w:spacing w:val="8"/>
          <w:kern w:val="0"/>
          <w:sz w:val="24"/>
        </w:rPr>
        <w:t>废石</w:t>
      </w:r>
      <w:r>
        <w:rPr>
          <w:spacing w:val="8"/>
          <w:kern w:val="0"/>
          <w:sz w:val="24"/>
        </w:rPr>
        <w:t>由汽车</w:t>
      </w:r>
      <w:r>
        <w:rPr>
          <w:rFonts w:hint="eastAsia"/>
          <w:spacing w:val="8"/>
          <w:kern w:val="0"/>
          <w:sz w:val="24"/>
        </w:rPr>
        <w:t>运至破碎车间装卸区域</w:t>
      </w:r>
      <w:r>
        <w:rPr>
          <w:spacing w:val="8"/>
          <w:kern w:val="0"/>
          <w:sz w:val="24"/>
        </w:rPr>
        <w:t>，卸料过程产生粉尘。参照《排污许可证申请与核发技术规范 码头》（HJ 1107-2020），矿石卸车无组织排放绩效值为0.01539kg/t，本项目原料铁矿石总量为</w:t>
      </w:r>
      <w:r>
        <w:rPr>
          <w:rFonts w:hint="eastAsia"/>
          <w:spacing w:val="8"/>
          <w:kern w:val="0"/>
          <w:sz w:val="24"/>
        </w:rPr>
        <w:t>380</w:t>
      </w:r>
      <w:r>
        <w:rPr>
          <w:spacing w:val="8"/>
          <w:kern w:val="0"/>
          <w:sz w:val="24"/>
        </w:rPr>
        <w:t>000t/a，</w:t>
      </w:r>
      <w:r>
        <w:rPr>
          <w:rFonts w:hint="eastAsia"/>
          <w:spacing w:val="8"/>
          <w:kern w:val="0"/>
          <w:sz w:val="24"/>
        </w:rPr>
        <w:t>则卸车粉尘总计5.85t/a。</w:t>
      </w:r>
    </w:p>
    <w:p w14:paraId="74A3E066">
      <w:pPr>
        <w:widowControl/>
        <w:spacing w:before="0" w:beforeLines="0" w:line="360" w:lineRule="auto"/>
        <w:ind w:firstLine="512" w:firstLineChars="200"/>
        <w:rPr>
          <w:spacing w:val="8"/>
          <w:kern w:val="0"/>
          <w:sz w:val="24"/>
        </w:rPr>
      </w:pPr>
      <w:r>
        <w:rPr>
          <w:rFonts w:hint="eastAsia"/>
          <w:spacing w:val="8"/>
          <w:kern w:val="0"/>
          <w:sz w:val="24"/>
        </w:rPr>
        <w:t>物料</w:t>
      </w:r>
      <w:r>
        <w:rPr>
          <w:spacing w:val="8"/>
          <w:kern w:val="0"/>
          <w:sz w:val="24"/>
        </w:rPr>
        <w:t>铲装的粉尘量参考《逸散性工业粉尘控制技术》中</w:t>
      </w:r>
      <w:r>
        <w:rPr>
          <w:rFonts w:hint="eastAsia"/>
          <w:spacing w:val="8"/>
          <w:kern w:val="0"/>
          <w:sz w:val="24"/>
        </w:rPr>
        <w:t>“</w:t>
      </w:r>
      <w:r>
        <w:rPr>
          <w:spacing w:val="8"/>
          <w:kern w:val="0"/>
          <w:sz w:val="24"/>
        </w:rPr>
        <w:t>粒料加工厂</w:t>
      </w:r>
      <w:r>
        <w:rPr>
          <w:rFonts w:hint="eastAsia"/>
          <w:spacing w:val="8"/>
          <w:kern w:val="0"/>
          <w:sz w:val="24"/>
        </w:rPr>
        <w:t>”</w:t>
      </w:r>
      <w:r>
        <w:rPr>
          <w:spacing w:val="8"/>
          <w:kern w:val="0"/>
          <w:sz w:val="24"/>
        </w:rPr>
        <w:t>相关工序粉尘排放因子</w:t>
      </w:r>
      <w:r>
        <w:rPr>
          <w:rFonts w:hint="eastAsia"/>
          <w:spacing w:val="8"/>
          <w:kern w:val="0"/>
          <w:sz w:val="24"/>
        </w:rPr>
        <w:t>，</w:t>
      </w:r>
      <w:r>
        <w:rPr>
          <w:spacing w:val="8"/>
          <w:kern w:val="0"/>
          <w:sz w:val="24"/>
        </w:rPr>
        <w:t>参照砂和砾石</w:t>
      </w:r>
      <w:r>
        <w:rPr>
          <w:rFonts w:hint="eastAsia"/>
          <w:spacing w:val="8"/>
          <w:kern w:val="0"/>
          <w:sz w:val="24"/>
        </w:rPr>
        <w:t>装货</w:t>
      </w:r>
      <w:r>
        <w:rPr>
          <w:spacing w:val="8"/>
          <w:kern w:val="0"/>
          <w:sz w:val="24"/>
        </w:rPr>
        <w:t>的排放因子0.01kg/t</w:t>
      </w:r>
      <w:r>
        <w:rPr>
          <w:rFonts w:hint="eastAsia"/>
          <w:spacing w:val="8"/>
          <w:kern w:val="0"/>
          <w:sz w:val="24"/>
        </w:rPr>
        <w:t>，则本项目</w:t>
      </w:r>
      <w:r>
        <w:rPr>
          <w:spacing w:val="8"/>
          <w:kern w:val="0"/>
          <w:sz w:val="24"/>
        </w:rPr>
        <w:t>原料铲装的粉产量产生为</w:t>
      </w:r>
      <w:r>
        <w:rPr>
          <w:rFonts w:hint="eastAsia"/>
          <w:spacing w:val="8"/>
          <w:kern w:val="0"/>
          <w:sz w:val="24"/>
        </w:rPr>
        <w:t>3.8t/a。</w:t>
      </w:r>
    </w:p>
    <w:p w14:paraId="4DE49E2B">
      <w:pPr>
        <w:widowControl/>
        <w:spacing w:before="0" w:beforeLines="0" w:line="360" w:lineRule="auto"/>
        <w:ind w:firstLine="512" w:firstLineChars="200"/>
        <w:rPr>
          <w:spacing w:val="8"/>
          <w:kern w:val="0"/>
          <w:sz w:val="24"/>
        </w:rPr>
      </w:pPr>
      <w:r>
        <w:rPr>
          <w:rFonts w:hint="eastAsia"/>
          <w:spacing w:val="8"/>
          <w:kern w:val="0"/>
          <w:sz w:val="24"/>
        </w:rPr>
        <w:t>通过上述计算，抛砂车间原料装卸堆存总产尘量为9.65t/a，</w:t>
      </w:r>
      <w:r>
        <w:rPr>
          <w:spacing w:val="8"/>
          <w:kern w:val="0"/>
          <w:sz w:val="24"/>
        </w:rPr>
        <w:t>原料</w:t>
      </w:r>
      <w:r>
        <w:rPr>
          <w:rFonts w:hint="eastAsia"/>
          <w:spacing w:val="8"/>
          <w:kern w:val="0"/>
          <w:sz w:val="24"/>
        </w:rPr>
        <w:t>随用随运，仅在</w:t>
      </w:r>
      <w:r>
        <w:rPr>
          <w:spacing w:val="8"/>
          <w:kern w:val="0"/>
          <w:sz w:val="24"/>
        </w:rPr>
        <w:t>全封闭</w:t>
      </w:r>
      <w:r>
        <w:rPr>
          <w:rFonts w:hint="eastAsia"/>
          <w:spacing w:val="8"/>
          <w:kern w:val="0"/>
          <w:sz w:val="24"/>
        </w:rPr>
        <w:t>破碎车间内暂存</w:t>
      </w:r>
      <w:r>
        <w:rPr>
          <w:spacing w:val="8"/>
          <w:kern w:val="0"/>
          <w:sz w:val="24"/>
        </w:rPr>
        <w:t>，</w:t>
      </w:r>
      <w:r>
        <w:rPr>
          <w:rFonts w:hint="eastAsia"/>
          <w:spacing w:val="8"/>
          <w:kern w:val="0"/>
          <w:sz w:val="24"/>
        </w:rPr>
        <w:t>车间地面进行硬化，车辆出入进行清洗且无车辆进入时车间门窗关闭，卸料过程中进行</w:t>
      </w:r>
      <w:r>
        <w:rPr>
          <w:spacing w:val="8"/>
          <w:kern w:val="0"/>
          <w:sz w:val="24"/>
        </w:rPr>
        <w:t>适量的洒水抑尘，</w:t>
      </w:r>
      <w:r>
        <w:rPr>
          <w:rFonts w:hint="eastAsia"/>
          <w:spacing w:val="8"/>
          <w:kern w:val="0"/>
          <w:sz w:val="24"/>
        </w:rPr>
        <w:t>车间定期</w:t>
      </w:r>
      <w:r>
        <w:rPr>
          <w:rFonts w:hint="eastAsia"/>
          <w:spacing w:val="8"/>
          <w:kern w:val="0"/>
          <w:sz w:val="24"/>
          <w:lang w:val="zh-CN"/>
        </w:rPr>
        <w:t>利用</w:t>
      </w:r>
      <w:r>
        <w:rPr>
          <w:spacing w:val="8"/>
          <w:kern w:val="0"/>
          <w:sz w:val="24"/>
          <w:lang w:val="zh-CN"/>
        </w:rPr>
        <w:t>防尘雾炮机进行洒水抑尘</w:t>
      </w:r>
      <w:r>
        <w:rPr>
          <w:rFonts w:hint="eastAsia"/>
          <w:spacing w:val="8"/>
          <w:kern w:val="0"/>
          <w:sz w:val="24"/>
        </w:rPr>
        <w:t>。根据《排放源统计调查产排污核算方法和系数手册》（公告2021年 第24号）的附1工业源-附表2固体物料堆存颗粒物产排污核算系数手册，洒水抑尘控制措施控制效率为74%，车间阻挡效率80%，综合考虑车间治理效率按95%计。</w:t>
      </w:r>
      <w:r>
        <w:rPr>
          <w:rFonts w:hint="eastAsia"/>
          <w:sz w:val="24"/>
        </w:rPr>
        <w:t>粉尘排放量为0.48t</w:t>
      </w:r>
      <w:r>
        <w:rPr>
          <w:snapToGrid w:val="0"/>
          <w:kern w:val="0"/>
          <w:sz w:val="24"/>
          <w:szCs w:val="21"/>
        </w:rPr>
        <w:t>/a</w:t>
      </w:r>
      <w:r>
        <w:rPr>
          <w:rFonts w:hint="eastAsia"/>
          <w:sz w:val="24"/>
        </w:rPr>
        <w:t>。</w:t>
      </w:r>
    </w:p>
    <w:p w14:paraId="0113196C">
      <w:pPr>
        <w:spacing w:before="0" w:beforeLines="0" w:line="360" w:lineRule="auto"/>
        <w:rPr>
          <w:b/>
          <w:bCs/>
          <w:snapToGrid w:val="0"/>
          <w:kern w:val="0"/>
          <w:sz w:val="24"/>
          <w:szCs w:val="21"/>
        </w:rPr>
      </w:pPr>
      <w:r>
        <w:rPr>
          <w:b/>
          <w:bCs/>
          <w:snapToGrid w:val="0"/>
          <w:kern w:val="0"/>
          <w:sz w:val="24"/>
          <w:szCs w:val="21"/>
        </w:rPr>
        <w:fldChar w:fldCharType="begin"/>
      </w:r>
      <w:r>
        <w:rPr>
          <w:b/>
          <w:bCs/>
          <w:snapToGrid w:val="0"/>
          <w:kern w:val="0"/>
          <w:sz w:val="24"/>
          <w:szCs w:val="21"/>
        </w:rPr>
        <w:instrText xml:space="preserve"> </w:instrText>
      </w:r>
      <w:r>
        <w:rPr>
          <w:rFonts w:hint="eastAsia"/>
          <w:b/>
          <w:bCs/>
          <w:snapToGrid w:val="0"/>
          <w:kern w:val="0"/>
          <w:sz w:val="24"/>
          <w:szCs w:val="21"/>
        </w:rPr>
        <w:instrText xml:space="preserve">= 7 \* GB3</w:instrText>
      </w:r>
      <w:r>
        <w:rPr>
          <w:b/>
          <w:bCs/>
          <w:snapToGrid w:val="0"/>
          <w:kern w:val="0"/>
          <w:sz w:val="24"/>
          <w:szCs w:val="21"/>
        </w:rPr>
        <w:instrText xml:space="preserve"> </w:instrText>
      </w:r>
      <w:r>
        <w:rPr>
          <w:b/>
          <w:bCs/>
          <w:snapToGrid w:val="0"/>
          <w:kern w:val="0"/>
          <w:sz w:val="24"/>
          <w:szCs w:val="21"/>
        </w:rPr>
        <w:fldChar w:fldCharType="separate"/>
      </w:r>
      <w:r>
        <w:rPr>
          <w:rFonts w:hint="eastAsia"/>
          <w:b/>
          <w:bCs/>
          <w:snapToGrid w:val="0"/>
          <w:kern w:val="0"/>
          <w:sz w:val="24"/>
          <w:szCs w:val="21"/>
        </w:rPr>
        <w:t>⑦</w:t>
      </w:r>
      <w:r>
        <w:rPr>
          <w:b/>
          <w:bCs/>
          <w:snapToGrid w:val="0"/>
          <w:kern w:val="0"/>
          <w:sz w:val="24"/>
          <w:szCs w:val="21"/>
        </w:rPr>
        <w:fldChar w:fldCharType="end"/>
      </w:r>
      <w:r>
        <w:rPr>
          <w:rFonts w:hint="eastAsia"/>
          <w:b/>
          <w:bCs/>
          <w:snapToGrid w:val="0"/>
          <w:kern w:val="0"/>
          <w:sz w:val="24"/>
          <w:szCs w:val="21"/>
        </w:rPr>
        <w:t>碎石产品储存粉尘（2#厂区碎石成品仓）</w:t>
      </w:r>
    </w:p>
    <w:p w14:paraId="1B52F109">
      <w:pPr>
        <w:spacing w:before="0" w:beforeLines="0" w:line="360" w:lineRule="auto"/>
        <w:ind w:firstLine="480" w:firstLineChars="200"/>
        <w:rPr>
          <w:snapToGrid w:val="0"/>
          <w:kern w:val="0"/>
          <w:sz w:val="24"/>
          <w:szCs w:val="21"/>
        </w:rPr>
      </w:pPr>
      <w:r>
        <w:rPr>
          <w:rFonts w:hint="eastAsia"/>
          <w:snapToGrid w:val="0"/>
          <w:kern w:val="0"/>
          <w:sz w:val="24"/>
          <w:szCs w:val="21"/>
        </w:rPr>
        <w:t>碎石由封闭皮带输送至成品仓落料</w:t>
      </w:r>
      <w:r>
        <w:rPr>
          <w:kern w:val="0"/>
          <w:sz w:val="24"/>
        </w:rPr>
        <w:t>过程产生粉尘</w:t>
      </w:r>
      <w:r>
        <w:rPr>
          <w:rFonts w:hint="eastAsia"/>
          <w:kern w:val="0"/>
          <w:sz w:val="24"/>
        </w:rPr>
        <w:t>，下料量约38万</w:t>
      </w:r>
      <w:r>
        <w:rPr>
          <w:kern w:val="0"/>
          <w:sz w:val="24"/>
        </w:rPr>
        <w:t>t/a</w:t>
      </w:r>
      <w:r>
        <w:rPr>
          <w:rFonts w:hint="eastAsia"/>
          <w:kern w:val="0"/>
          <w:sz w:val="24"/>
        </w:rPr>
        <w:t>，</w:t>
      </w:r>
      <w:r>
        <w:rPr>
          <w:kern w:val="0"/>
          <w:sz w:val="24"/>
        </w:rPr>
        <w:t>参考《逸散性工业粉尘控制技术》</w:t>
      </w:r>
      <w:r>
        <w:rPr>
          <w:rFonts w:hint="eastAsia"/>
          <w:kern w:val="0"/>
          <w:sz w:val="24"/>
        </w:rPr>
        <w:t>“</w:t>
      </w:r>
      <w:r>
        <w:rPr>
          <w:kern w:val="0"/>
          <w:sz w:val="24"/>
        </w:rPr>
        <w:t>第十八章 粒料加工厂 二、逸散尘排放因子</w:t>
      </w:r>
      <w:r>
        <w:rPr>
          <w:rFonts w:hint="eastAsia"/>
          <w:kern w:val="0"/>
          <w:sz w:val="24"/>
        </w:rPr>
        <w:t>”</w:t>
      </w:r>
      <w:r>
        <w:rPr>
          <w:kern w:val="0"/>
          <w:sz w:val="24"/>
        </w:rPr>
        <w:t>中</w:t>
      </w:r>
      <w:r>
        <w:rPr>
          <w:rFonts w:hint="eastAsia"/>
          <w:kern w:val="0"/>
          <w:sz w:val="24"/>
        </w:rPr>
        <w:t>“碎石下料系数0.00145</w:t>
      </w:r>
      <w:r>
        <w:rPr>
          <w:kern w:val="0"/>
          <w:sz w:val="24"/>
        </w:rPr>
        <w:t>kg/t</w:t>
      </w:r>
      <w:r>
        <w:rPr>
          <w:rFonts w:hint="eastAsia"/>
          <w:kern w:val="0"/>
          <w:sz w:val="24"/>
        </w:rPr>
        <w:t>”</w:t>
      </w:r>
      <w:r>
        <w:rPr>
          <w:rFonts w:hint="eastAsia"/>
          <w:snapToGrid w:val="0"/>
          <w:kern w:val="0"/>
          <w:sz w:val="24"/>
          <w:szCs w:val="21"/>
        </w:rPr>
        <w:t>计算，产尘量为</w:t>
      </w:r>
      <w:r>
        <w:rPr>
          <w:snapToGrid w:val="0"/>
          <w:kern w:val="0"/>
          <w:sz w:val="24"/>
          <w:szCs w:val="21"/>
        </w:rPr>
        <w:t>0.</w:t>
      </w:r>
      <w:r>
        <w:rPr>
          <w:rFonts w:hint="eastAsia"/>
          <w:snapToGrid w:val="0"/>
          <w:kern w:val="0"/>
          <w:sz w:val="24"/>
          <w:szCs w:val="21"/>
        </w:rPr>
        <w:t>55</w:t>
      </w:r>
      <w:r>
        <w:rPr>
          <w:snapToGrid w:val="0"/>
          <w:kern w:val="0"/>
          <w:sz w:val="24"/>
          <w:szCs w:val="21"/>
        </w:rPr>
        <w:t>t/a。</w:t>
      </w:r>
      <w:r>
        <w:rPr>
          <w:sz w:val="24"/>
        </w:rPr>
        <w:t>采用</w:t>
      </w:r>
      <w:r>
        <w:rPr>
          <w:rFonts w:hint="eastAsia"/>
          <w:sz w:val="24"/>
        </w:rPr>
        <w:t>仓顶除尘</w:t>
      </w:r>
      <w:r>
        <w:rPr>
          <w:sz w:val="24"/>
        </w:rPr>
        <w:t>，</w:t>
      </w:r>
      <w:r>
        <w:rPr>
          <w:rFonts w:hint="eastAsia"/>
          <w:kern w:val="0"/>
          <w:sz w:val="24"/>
        </w:rPr>
        <w:t>治理效率按9</w:t>
      </w:r>
      <w:r>
        <w:rPr>
          <w:kern w:val="0"/>
          <w:sz w:val="24"/>
        </w:rPr>
        <w:t>9</w:t>
      </w:r>
      <w:r>
        <w:rPr>
          <w:rFonts w:hint="eastAsia"/>
          <w:kern w:val="0"/>
          <w:sz w:val="24"/>
        </w:rPr>
        <w:t>%计，</w:t>
      </w:r>
      <w:r>
        <w:rPr>
          <w:snapToGrid w:val="0"/>
          <w:kern w:val="0"/>
          <w:sz w:val="24"/>
          <w:szCs w:val="21"/>
        </w:rPr>
        <w:t>经过治理后的粉尘</w:t>
      </w:r>
      <w:r>
        <w:rPr>
          <w:rFonts w:hint="eastAsia"/>
          <w:snapToGrid w:val="0"/>
          <w:kern w:val="0"/>
          <w:sz w:val="24"/>
          <w:szCs w:val="21"/>
        </w:rPr>
        <w:t>无组织</w:t>
      </w:r>
      <w:r>
        <w:rPr>
          <w:snapToGrid w:val="0"/>
          <w:kern w:val="0"/>
          <w:sz w:val="24"/>
          <w:szCs w:val="21"/>
        </w:rPr>
        <w:t>排放量为0.</w:t>
      </w:r>
      <w:r>
        <w:rPr>
          <w:rFonts w:hint="eastAsia"/>
          <w:snapToGrid w:val="0"/>
          <w:kern w:val="0"/>
          <w:sz w:val="24"/>
          <w:szCs w:val="21"/>
        </w:rPr>
        <w:t>01</w:t>
      </w:r>
      <w:r>
        <w:rPr>
          <w:snapToGrid w:val="0"/>
          <w:kern w:val="0"/>
          <w:sz w:val="24"/>
          <w:szCs w:val="21"/>
        </w:rPr>
        <w:t>t/a。</w:t>
      </w:r>
    </w:p>
    <w:bookmarkEnd w:id="121"/>
    <w:bookmarkEnd w:id="122"/>
    <w:p w14:paraId="678C367D">
      <w:pPr>
        <w:adjustRightInd w:val="0"/>
        <w:spacing w:before="0" w:beforeLines="0" w:line="360" w:lineRule="auto"/>
        <w:rPr>
          <w:b/>
          <w:bCs/>
          <w:snapToGrid w:val="0"/>
          <w:kern w:val="0"/>
          <w:sz w:val="24"/>
          <w:szCs w:val="21"/>
        </w:rPr>
      </w:pPr>
      <w:r>
        <w:rPr>
          <w:rFonts w:hint="eastAsia"/>
          <w:b/>
          <w:bCs/>
          <w:snapToGrid w:val="0"/>
          <w:kern w:val="0"/>
          <w:sz w:val="24"/>
          <w:szCs w:val="21"/>
        </w:rPr>
        <w:t>（4）输送带粉尘</w:t>
      </w:r>
    </w:p>
    <w:p w14:paraId="73A433C8">
      <w:pPr>
        <w:spacing w:before="0" w:beforeLines="0" w:line="360" w:lineRule="auto"/>
        <w:ind w:firstLine="480" w:firstLineChars="200"/>
        <w:rPr>
          <w:snapToGrid w:val="0"/>
          <w:kern w:val="0"/>
          <w:sz w:val="24"/>
          <w:szCs w:val="21"/>
        </w:rPr>
      </w:pPr>
      <w:r>
        <w:rPr>
          <w:rFonts w:hint="eastAsia"/>
          <w:snapToGrid w:val="0"/>
          <w:kern w:val="0"/>
          <w:sz w:val="24"/>
          <w:szCs w:val="21"/>
        </w:rPr>
        <w:t>本项目全部物料在输送过程中均在封闭输送带中，且物料均为粒状料，含水率较高因此输送带产尘量极小，本项目对其不进行定量分析。</w:t>
      </w:r>
    </w:p>
    <w:p w14:paraId="723ACC3C">
      <w:pPr>
        <w:spacing w:before="0" w:beforeLines="0" w:line="360" w:lineRule="auto"/>
        <w:ind w:firstLine="480" w:firstLineChars="200"/>
        <w:rPr>
          <w:snapToGrid w:val="0"/>
          <w:kern w:val="0"/>
          <w:sz w:val="24"/>
          <w:szCs w:val="21"/>
        </w:rPr>
      </w:pPr>
      <w:r>
        <w:rPr>
          <w:rFonts w:hint="eastAsia"/>
          <w:snapToGrid w:val="0"/>
          <w:kern w:val="0"/>
          <w:sz w:val="24"/>
          <w:szCs w:val="21"/>
        </w:rPr>
        <w:t>全部废气污染物排放数据见表3.3-3。</w:t>
      </w:r>
    </w:p>
    <w:bookmarkEnd w:id="119"/>
    <w:p w14:paraId="57D3A536">
      <w:pPr>
        <w:adjustRightInd w:val="0"/>
        <w:spacing w:before="0" w:beforeLines="0" w:line="360" w:lineRule="auto"/>
        <w:rPr>
          <w:b/>
          <w:bCs/>
          <w:snapToGrid w:val="0"/>
          <w:kern w:val="0"/>
          <w:sz w:val="24"/>
          <w:szCs w:val="21"/>
        </w:rPr>
      </w:pPr>
      <w:r>
        <w:rPr>
          <w:rFonts w:hint="eastAsia"/>
          <w:b/>
          <w:bCs/>
          <w:snapToGrid w:val="0"/>
          <w:kern w:val="0"/>
          <w:sz w:val="24"/>
          <w:szCs w:val="21"/>
        </w:rPr>
        <w:t>（5）</w:t>
      </w:r>
      <w:r>
        <w:rPr>
          <w:b/>
          <w:bCs/>
          <w:snapToGrid w:val="0"/>
          <w:kern w:val="0"/>
          <w:sz w:val="24"/>
          <w:szCs w:val="21"/>
        </w:rPr>
        <w:t>道路运输起尘</w:t>
      </w:r>
    </w:p>
    <w:p w14:paraId="6D75E2C1">
      <w:pPr>
        <w:adjustRightInd w:val="0"/>
        <w:spacing w:before="0" w:beforeLines="0" w:line="360" w:lineRule="auto"/>
        <w:ind w:firstLine="480" w:firstLineChars="200"/>
      </w:pPr>
      <w:r>
        <w:rPr>
          <w:kern w:val="0"/>
          <w:sz w:val="24"/>
        </w:rPr>
        <w:t>项目运输车辆在场内运输将产生一定量粉尘，运输的物料包含原料矿、中间产品、产品，汽车道路扬尘量按经验下列公式估算：</w:t>
      </w:r>
    </w:p>
    <w:p w14:paraId="5E88F3A8">
      <w:pPr>
        <w:spacing w:before="0" w:beforeLines="0" w:line="360" w:lineRule="auto"/>
        <w:jc w:val="center"/>
        <w:rPr>
          <w:sz w:val="24"/>
        </w:rPr>
      </w:pPr>
      <w:r>
        <w:rPr>
          <w:position w:val="-12"/>
          <w:sz w:val="24"/>
        </w:rPr>
        <w:object>
          <v:shape id="_x0000_i1026" o:spt="75" alt="" type="#_x0000_t75" style="height:18.75pt;width:114pt;" o:ole="t" filled="f" o:preferrelative="t" stroked="f" coordsize="21600,21600">
            <v:path/>
            <v:fill on="f" focussize="0,0"/>
            <v:stroke on="f"/>
            <v:imagedata r:id="rId42" o:title=""/>
            <o:lock v:ext="edit" aspectratio="t"/>
            <w10:wrap type="none"/>
            <w10:anchorlock/>
          </v:shape>
          <o:OLEObject Type="Embed" ProgID="Equation.3" ShapeID="_x0000_i1026" DrawAspect="Content" ObjectID="_1468075726" r:id="rId41">
            <o:LockedField>false</o:LockedField>
          </o:OLEObject>
        </w:object>
      </w:r>
    </w:p>
    <w:p w14:paraId="46F86373">
      <w:pPr>
        <w:spacing w:before="0" w:beforeLines="0" w:line="360" w:lineRule="auto"/>
        <w:jc w:val="center"/>
        <w:rPr>
          <w:sz w:val="24"/>
        </w:rPr>
      </w:pPr>
      <w:r>
        <w:rPr>
          <w:position w:val="-28"/>
          <w:sz w:val="24"/>
        </w:rPr>
        <w:object>
          <v:shape id="_x0000_i1027" o:spt="75" alt="" type="#_x0000_t75" style="height:25.5pt;width:42pt;" o:ole="t" filled="f" o:preferrelative="t" stroked="f" coordsize="21600,21600">
            <v:path/>
            <v:fill on="f" focussize="0,0"/>
            <v:stroke on="f"/>
            <v:imagedata r:id="rId44" o:title=""/>
            <o:lock v:ext="edit" aspectratio="t"/>
            <w10:wrap type="none"/>
            <w10:anchorlock/>
          </v:shape>
          <o:OLEObject Type="Embed" ProgID="Equation.3" ShapeID="_x0000_i1027" DrawAspect="Content" ObjectID="_1468075727" r:id="rId43">
            <o:LockedField>false</o:LockedField>
          </o:OLEObject>
        </w:object>
      </w:r>
    </w:p>
    <w:p w14:paraId="420C1070">
      <w:pPr>
        <w:spacing w:before="0" w:beforeLines="0" w:line="360" w:lineRule="auto"/>
        <w:ind w:firstLine="480" w:firstLineChars="200"/>
        <w:jc w:val="left"/>
        <w:rPr>
          <w:sz w:val="24"/>
        </w:rPr>
      </w:pPr>
      <w:r>
        <w:rPr>
          <w:sz w:val="24"/>
        </w:rPr>
        <w:t>式中：Q</w:t>
      </w:r>
      <w:r>
        <w:rPr>
          <w:sz w:val="24"/>
          <w:vertAlign w:val="subscript"/>
        </w:rPr>
        <w:t>i</w:t>
      </w:r>
      <w:r>
        <w:rPr>
          <w:sz w:val="24"/>
        </w:rPr>
        <w:t>—每辆汽车行驶扬尘量(kg/km辆)；</w:t>
      </w:r>
    </w:p>
    <w:p w14:paraId="63DF7479">
      <w:pPr>
        <w:spacing w:before="0" w:beforeLines="0" w:line="360" w:lineRule="auto"/>
        <w:ind w:firstLine="1200" w:firstLineChars="500"/>
        <w:jc w:val="left"/>
        <w:rPr>
          <w:sz w:val="24"/>
        </w:rPr>
      </w:pPr>
      <w:r>
        <w:rPr>
          <w:sz w:val="24"/>
        </w:rPr>
        <w:t>Q—汽车运输总扬尘量</w:t>
      </w:r>
      <w:r>
        <w:rPr>
          <w:rFonts w:hint="eastAsia"/>
          <w:sz w:val="24"/>
        </w:rPr>
        <w:t>，t</w:t>
      </w:r>
      <w:r>
        <w:rPr>
          <w:sz w:val="24"/>
        </w:rPr>
        <w:t>；</w:t>
      </w:r>
    </w:p>
    <w:p w14:paraId="0E84335B">
      <w:pPr>
        <w:spacing w:before="0" w:beforeLines="0" w:line="360" w:lineRule="auto"/>
        <w:ind w:firstLine="1200" w:firstLineChars="500"/>
        <w:jc w:val="left"/>
        <w:rPr>
          <w:sz w:val="24"/>
        </w:rPr>
      </w:pPr>
      <w:r>
        <w:rPr>
          <w:sz w:val="24"/>
        </w:rPr>
        <w:t>V—汽车速度(km/h)，取值30km/h；</w:t>
      </w:r>
    </w:p>
    <w:p w14:paraId="00B2E508">
      <w:pPr>
        <w:spacing w:before="0" w:beforeLines="0" w:line="360" w:lineRule="auto"/>
        <w:ind w:firstLine="1200" w:firstLineChars="500"/>
        <w:jc w:val="left"/>
        <w:rPr>
          <w:sz w:val="24"/>
        </w:rPr>
      </w:pPr>
      <w:r>
        <w:rPr>
          <w:sz w:val="24"/>
        </w:rPr>
        <w:t>W—汽车重量(t)，取值90</w:t>
      </w:r>
      <w:r>
        <w:rPr>
          <w:rFonts w:hint="eastAsia"/>
          <w:sz w:val="24"/>
        </w:rPr>
        <w:t>t</w:t>
      </w:r>
      <w:r>
        <w:rPr>
          <w:sz w:val="24"/>
        </w:rPr>
        <w:t>；</w:t>
      </w:r>
    </w:p>
    <w:p w14:paraId="6A091582">
      <w:pPr>
        <w:spacing w:before="0" w:beforeLines="0" w:line="360" w:lineRule="auto"/>
        <w:ind w:firstLine="1200" w:firstLineChars="500"/>
        <w:jc w:val="left"/>
        <w:rPr>
          <w:sz w:val="24"/>
        </w:rPr>
      </w:pPr>
      <w:r>
        <w:rPr>
          <w:sz w:val="24"/>
        </w:rPr>
        <w:t>P—道路表面粉尘量(kg/m</w:t>
      </w:r>
      <w:r>
        <w:rPr>
          <w:sz w:val="24"/>
          <w:vertAlign w:val="superscript"/>
        </w:rPr>
        <w:t>2</w:t>
      </w:r>
      <w:r>
        <w:rPr>
          <w:sz w:val="24"/>
        </w:rPr>
        <w:t>)，取值0.6kg/m</w:t>
      </w:r>
      <w:r>
        <w:rPr>
          <w:sz w:val="24"/>
          <w:vertAlign w:val="superscript"/>
        </w:rPr>
        <w:t>2</w:t>
      </w:r>
      <w:r>
        <w:rPr>
          <w:sz w:val="24"/>
        </w:rPr>
        <w:t>。</w:t>
      </w:r>
    </w:p>
    <w:p w14:paraId="798AFF81">
      <w:pPr>
        <w:adjustRightInd w:val="0"/>
        <w:spacing w:before="0" w:beforeLines="0" w:line="360" w:lineRule="auto"/>
        <w:ind w:firstLine="480" w:firstLineChars="200"/>
        <w:jc w:val="left"/>
        <w:rPr>
          <w:kern w:val="0"/>
          <w:sz w:val="24"/>
        </w:rPr>
      </w:pPr>
      <w:r>
        <w:rPr>
          <w:kern w:val="0"/>
          <w:sz w:val="24"/>
        </w:rPr>
        <w:t>经计算，每辆</w:t>
      </w:r>
      <w:r>
        <w:rPr>
          <w:sz w:val="24"/>
        </w:rPr>
        <w:t>汽车行驶扬尘量为7.518kg/km辆</w:t>
      </w:r>
      <w:r>
        <w:rPr>
          <w:kern w:val="0"/>
          <w:sz w:val="24"/>
        </w:rPr>
        <w:t>，项目运输车辆载重80t，运输道路采用洒水抑尘，降尘效率74%，</w:t>
      </w:r>
      <w:r>
        <w:rPr>
          <w:rFonts w:hint="eastAsia"/>
          <w:kern w:val="0"/>
          <w:sz w:val="24"/>
        </w:rPr>
        <w:t>仅考虑厂区内及两个厂区之间运输距离，</w:t>
      </w:r>
      <w:r>
        <w:rPr>
          <w:kern w:val="0"/>
          <w:sz w:val="24"/>
        </w:rPr>
        <w:t>具体产排情况见表3</w:t>
      </w:r>
      <w:r>
        <w:rPr>
          <w:b/>
          <w:bCs/>
          <w:kern w:val="0"/>
          <w:szCs w:val="21"/>
        </w:rPr>
        <w:t>.</w:t>
      </w:r>
      <w:r>
        <w:rPr>
          <w:rFonts w:hint="eastAsia"/>
          <w:kern w:val="0"/>
          <w:sz w:val="24"/>
        </w:rPr>
        <w:t>3</w:t>
      </w:r>
      <w:r>
        <w:rPr>
          <w:kern w:val="0"/>
          <w:sz w:val="24"/>
        </w:rPr>
        <w:t>-</w:t>
      </w:r>
      <w:r>
        <w:rPr>
          <w:rFonts w:hint="eastAsia"/>
          <w:kern w:val="0"/>
          <w:sz w:val="24"/>
        </w:rPr>
        <w:t>4</w:t>
      </w:r>
      <w:r>
        <w:rPr>
          <w:kern w:val="0"/>
          <w:sz w:val="24"/>
        </w:rPr>
        <w:t>。</w:t>
      </w:r>
    </w:p>
    <w:p w14:paraId="6478F704">
      <w:pPr>
        <w:wordWrap w:val="0"/>
        <w:topLinePunct/>
        <w:adjustRightInd w:val="0"/>
        <w:snapToGrid w:val="0"/>
        <w:spacing w:before="0" w:beforeLines="0" w:line="240" w:lineRule="auto"/>
        <w:jc w:val="center"/>
        <w:rPr>
          <w:b/>
          <w:bCs/>
          <w:kern w:val="0"/>
          <w:szCs w:val="21"/>
        </w:rPr>
      </w:pPr>
      <w:r>
        <w:rPr>
          <w:b/>
          <w:bCs/>
          <w:kern w:val="0"/>
          <w:szCs w:val="21"/>
        </w:rPr>
        <w:t>表3.</w:t>
      </w:r>
      <w:r>
        <w:rPr>
          <w:rFonts w:hint="eastAsia"/>
          <w:b/>
          <w:bCs/>
          <w:kern w:val="0"/>
          <w:szCs w:val="21"/>
        </w:rPr>
        <w:t>3</w:t>
      </w:r>
      <w:r>
        <w:rPr>
          <w:b/>
          <w:bCs/>
          <w:kern w:val="0"/>
          <w:szCs w:val="21"/>
        </w:rPr>
        <w:t>-</w:t>
      </w:r>
      <w:r>
        <w:rPr>
          <w:rFonts w:hint="eastAsia"/>
          <w:b/>
          <w:bCs/>
          <w:kern w:val="0"/>
          <w:szCs w:val="21"/>
        </w:rPr>
        <w:t xml:space="preserve">4    </w:t>
      </w:r>
      <w:r>
        <w:rPr>
          <w:b/>
          <w:bCs/>
          <w:kern w:val="0"/>
          <w:szCs w:val="21"/>
        </w:rPr>
        <w:t xml:space="preserve">  道路运输扬尘产排情况一览表</w:t>
      </w:r>
    </w:p>
    <w:tbl>
      <w:tblPr>
        <w:tblStyle w:val="89"/>
        <w:tblW w:w="5000" w:type="pct"/>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28" w:type="dxa"/>
          <w:bottom w:w="0" w:type="dxa"/>
          <w:right w:w="28" w:type="dxa"/>
        </w:tblCellMar>
      </w:tblPr>
      <w:tblGrid>
        <w:gridCol w:w="1701"/>
        <w:gridCol w:w="1087"/>
        <w:gridCol w:w="1087"/>
        <w:gridCol w:w="1087"/>
        <w:gridCol w:w="1134"/>
        <w:gridCol w:w="1017"/>
        <w:gridCol w:w="1199"/>
      </w:tblGrid>
      <w:tr w14:paraId="55DE1B4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594" w:hRule="atLeast"/>
          <w:jc w:val="center"/>
        </w:trPr>
        <w:tc>
          <w:tcPr>
            <w:tcW w:w="1023" w:type="pct"/>
            <w:tcBorders>
              <w:tl2br w:val="nil"/>
              <w:tr2bl w:val="nil"/>
            </w:tcBorders>
            <w:vAlign w:val="center"/>
          </w:tcPr>
          <w:p w14:paraId="69CBF49F">
            <w:pPr>
              <w:widowControl/>
              <w:adjustRightInd w:val="0"/>
              <w:snapToGrid w:val="0"/>
              <w:spacing w:before="0" w:beforeLines="0" w:line="240" w:lineRule="auto"/>
              <w:jc w:val="center"/>
              <w:textAlignment w:val="center"/>
              <w:rPr>
                <w:szCs w:val="21"/>
              </w:rPr>
            </w:pPr>
            <w:bookmarkStart w:id="126" w:name="_Hlk194245997"/>
            <w:r>
              <w:rPr>
                <w:kern w:val="0"/>
                <w:szCs w:val="21"/>
                <w:lang w:bidi="ar"/>
              </w:rPr>
              <w:t>类别</w:t>
            </w:r>
          </w:p>
        </w:tc>
        <w:tc>
          <w:tcPr>
            <w:tcW w:w="654" w:type="pct"/>
            <w:tcBorders>
              <w:tl2br w:val="nil"/>
              <w:tr2bl w:val="nil"/>
            </w:tcBorders>
            <w:vAlign w:val="center"/>
          </w:tcPr>
          <w:p w14:paraId="507462FC">
            <w:pPr>
              <w:widowControl/>
              <w:adjustRightInd w:val="0"/>
              <w:snapToGrid w:val="0"/>
              <w:spacing w:before="0" w:beforeLines="0" w:line="240" w:lineRule="auto"/>
              <w:jc w:val="center"/>
              <w:textAlignment w:val="center"/>
              <w:rPr>
                <w:szCs w:val="21"/>
              </w:rPr>
            </w:pPr>
            <w:r>
              <w:rPr>
                <w:kern w:val="0"/>
                <w:szCs w:val="21"/>
                <w:lang w:bidi="ar"/>
              </w:rPr>
              <w:t>运输量万t/a</w:t>
            </w:r>
          </w:p>
        </w:tc>
        <w:tc>
          <w:tcPr>
            <w:tcW w:w="654" w:type="pct"/>
            <w:tcBorders>
              <w:tl2br w:val="nil"/>
              <w:tr2bl w:val="nil"/>
            </w:tcBorders>
            <w:vAlign w:val="center"/>
          </w:tcPr>
          <w:p w14:paraId="1C06349E">
            <w:pPr>
              <w:widowControl/>
              <w:adjustRightInd w:val="0"/>
              <w:snapToGrid w:val="0"/>
              <w:spacing w:before="0" w:beforeLines="0" w:line="240" w:lineRule="auto"/>
              <w:jc w:val="center"/>
              <w:textAlignment w:val="center"/>
              <w:rPr>
                <w:szCs w:val="21"/>
              </w:rPr>
            </w:pPr>
            <w:r>
              <w:rPr>
                <w:kern w:val="0"/>
                <w:szCs w:val="21"/>
                <w:lang w:bidi="ar"/>
              </w:rPr>
              <w:t>运输距离/m</w:t>
            </w:r>
          </w:p>
        </w:tc>
        <w:tc>
          <w:tcPr>
            <w:tcW w:w="654" w:type="pct"/>
            <w:tcBorders>
              <w:tl2br w:val="nil"/>
              <w:tr2bl w:val="nil"/>
            </w:tcBorders>
            <w:vAlign w:val="center"/>
          </w:tcPr>
          <w:p w14:paraId="469EECC0">
            <w:pPr>
              <w:widowControl/>
              <w:adjustRightInd w:val="0"/>
              <w:snapToGrid w:val="0"/>
              <w:spacing w:before="0" w:beforeLines="0" w:line="240" w:lineRule="auto"/>
              <w:jc w:val="center"/>
              <w:textAlignment w:val="center"/>
              <w:rPr>
                <w:kern w:val="0"/>
                <w:szCs w:val="21"/>
                <w:lang w:bidi="ar"/>
              </w:rPr>
            </w:pPr>
            <w:r>
              <w:rPr>
                <w:kern w:val="0"/>
                <w:szCs w:val="21"/>
                <w:lang w:bidi="ar"/>
              </w:rPr>
              <w:t>辆次</w:t>
            </w:r>
          </w:p>
          <w:p w14:paraId="351D476C">
            <w:pPr>
              <w:widowControl/>
              <w:adjustRightInd w:val="0"/>
              <w:snapToGrid w:val="0"/>
              <w:spacing w:before="0" w:beforeLines="0" w:line="240" w:lineRule="auto"/>
              <w:jc w:val="center"/>
              <w:textAlignment w:val="center"/>
              <w:rPr>
                <w:szCs w:val="21"/>
              </w:rPr>
            </w:pPr>
            <w:r>
              <w:rPr>
                <w:rFonts w:hint="eastAsia"/>
                <w:kern w:val="0"/>
                <w:szCs w:val="21"/>
                <w:lang w:bidi="ar"/>
              </w:rPr>
              <w:t>次</w:t>
            </w:r>
            <w:r>
              <w:rPr>
                <w:kern w:val="0"/>
                <w:szCs w:val="21"/>
                <w:lang w:bidi="ar"/>
              </w:rPr>
              <w:t>/a</w:t>
            </w:r>
          </w:p>
        </w:tc>
        <w:tc>
          <w:tcPr>
            <w:tcW w:w="682" w:type="pct"/>
            <w:tcBorders>
              <w:tl2br w:val="nil"/>
              <w:tr2bl w:val="nil"/>
            </w:tcBorders>
            <w:vAlign w:val="center"/>
          </w:tcPr>
          <w:p w14:paraId="02F934DC">
            <w:pPr>
              <w:widowControl/>
              <w:adjustRightInd w:val="0"/>
              <w:snapToGrid w:val="0"/>
              <w:spacing w:before="0" w:beforeLines="0" w:line="240" w:lineRule="auto"/>
              <w:jc w:val="center"/>
              <w:textAlignment w:val="center"/>
              <w:rPr>
                <w:kern w:val="0"/>
                <w:szCs w:val="21"/>
                <w:lang w:bidi="ar"/>
              </w:rPr>
            </w:pPr>
            <w:r>
              <w:rPr>
                <w:kern w:val="0"/>
                <w:szCs w:val="21"/>
                <w:lang w:bidi="ar"/>
              </w:rPr>
              <w:t>产生量</w:t>
            </w:r>
          </w:p>
          <w:p w14:paraId="3F49D2A6">
            <w:pPr>
              <w:widowControl/>
              <w:adjustRightInd w:val="0"/>
              <w:snapToGrid w:val="0"/>
              <w:spacing w:before="0" w:beforeLines="0" w:line="240" w:lineRule="auto"/>
              <w:jc w:val="center"/>
              <w:textAlignment w:val="center"/>
              <w:rPr>
                <w:szCs w:val="21"/>
              </w:rPr>
            </w:pPr>
            <w:r>
              <w:rPr>
                <w:kern w:val="0"/>
                <w:szCs w:val="21"/>
                <w:lang w:bidi="ar"/>
              </w:rPr>
              <w:t>t/a</w:t>
            </w:r>
          </w:p>
        </w:tc>
        <w:tc>
          <w:tcPr>
            <w:tcW w:w="612" w:type="pct"/>
            <w:tcBorders>
              <w:tl2br w:val="nil"/>
              <w:tr2bl w:val="nil"/>
            </w:tcBorders>
            <w:noWrap/>
            <w:vAlign w:val="center"/>
          </w:tcPr>
          <w:p w14:paraId="5C09B16C">
            <w:pPr>
              <w:widowControl/>
              <w:adjustRightInd w:val="0"/>
              <w:snapToGrid w:val="0"/>
              <w:spacing w:before="0" w:beforeLines="0" w:line="240" w:lineRule="auto"/>
              <w:jc w:val="center"/>
              <w:textAlignment w:val="center"/>
              <w:rPr>
                <w:kern w:val="0"/>
                <w:szCs w:val="21"/>
                <w:lang w:bidi="ar"/>
              </w:rPr>
            </w:pPr>
            <w:r>
              <w:rPr>
                <w:kern w:val="0"/>
                <w:szCs w:val="21"/>
                <w:lang w:bidi="ar"/>
              </w:rPr>
              <w:t>处理效率</w:t>
            </w:r>
          </w:p>
          <w:p w14:paraId="0E231109">
            <w:pPr>
              <w:widowControl/>
              <w:adjustRightInd w:val="0"/>
              <w:snapToGrid w:val="0"/>
              <w:spacing w:before="0" w:beforeLines="0" w:line="240" w:lineRule="auto"/>
              <w:jc w:val="center"/>
              <w:textAlignment w:val="center"/>
              <w:rPr>
                <w:kern w:val="0"/>
                <w:szCs w:val="21"/>
                <w:lang w:bidi="ar"/>
              </w:rPr>
            </w:pPr>
            <w:r>
              <w:rPr>
                <w:kern w:val="0"/>
                <w:szCs w:val="21"/>
                <w:lang w:bidi="ar"/>
              </w:rPr>
              <w:t>%</w:t>
            </w:r>
          </w:p>
        </w:tc>
        <w:tc>
          <w:tcPr>
            <w:tcW w:w="721" w:type="pct"/>
            <w:tcBorders>
              <w:tl2br w:val="nil"/>
              <w:tr2bl w:val="nil"/>
            </w:tcBorders>
            <w:noWrap/>
            <w:vAlign w:val="center"/>
          </w:tcPr>
          <w:p w14:paraId="3F96B8ED">
            <w:pPr>
              <w:widowControl/>
              <w:adjustRightInd w:val="0"/>
              <w:snapToGrid w:val="0"/>
              <w:spacing w:before="0" w:beforeLines="0" w:line="240" w:lineRule="auto"/>
              <w:jc w:val="center"/>
              <w:textAlignment w:val="center"/>
              <w:rPr>
                <w:kern w:val="0"/>
                <w:szCs w:val="21"/>
                <w:lang w:bidi="ar"/>
              </w:rPr>
            </w:pPr>
            <w:r>
              <w:rPr>
                <w:kern w:val="0"/>
                <w:szCs w:val="21"/>
                <w:lang w:bidi="ar"/>
              </w:rPr>
              <w:t>排放量</w:t>
            </w:r>
          </w:p>
          <w:p w14:paraId="72513ADE">
            <w:pPr>
              <w:widowControl/>
              <w:adjustRightInd w:val="0"/>
              <w:snapToGrid w:val="0"/>
              <w:spacing w:before="0" w:beforeLines="0" w:line="240" w:lineRule="auto"/>
              <w:jc w:val="center"/>
              <w:textAlignment w:val="center"/>
              <w:rPr>
                <w:szCs w:val="21"/>
              </w:rPr>
            </w:pPr>
            <w:r>
              <w:rPr>
                <w:kern w:val="0"/>
                <w:szCs w:val="21"/>
                <w:lang w:bidi="ar"/>
              </w:rPr>
              <w:t>t/a</w:t>
            </w:r>
          </w:p>
        </w:tc>
      </w:tr>
      <w:bookmarkEnd w:id="126"/>
      <w:tr w14:paraId="34652F0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303" w:hRule="atLeast"/>
          <w:jc w:val="center"/>
        </w:trPr>
        <w:tc>
          <w:tcPr>
            <w:tcW w:w="1023" w:type="pct"/>
            <w:tcBorders>
              <w:tl2br w:val="nil"/>
              <w:tr2bl w:val="nil"/>
            </w:tcBorders>
            <w:vAlign w:val="center"/>
          </w:tcPr>
          <w:p w14:paraId="73F3550E">
            <w:pPr>
              <w:widowControl/>
              <w:adjustRightInd w:val="0"/>
              <w:snapToGrid w:val="0"/>
              <w:spacing w:before="0" w:beforeLines="0" w:line="240" w:lineRule="auto"/>
              <w:jc w:val="center"/>
              <w:textAlignment w:val="center"/>
              <w:rPr>
                <w:szCs w:val="21"/>
              </w:rPr>
            </w:pPr>
            <w:r>
              <w:rPr>
                <w:kern w:val="0"/>
                <w:szCs w:val="21"/>
                <w:lang w:bidi="ar"/>
              </w:rPr>
              <w:t>废石及尾矿</w:t>
            </w:r>
          </w:p>
        </w:tc>
        <w:tc>
          <w:tcPr>
            <w:tcW w:w="654" w:type="pct"/>
            <w:tcBorders>
              <w:tl2br w:val="nil"/>
              <w:tr2bl w:val="nil"/>
            </w:tcBorders>
            <w:vAlign w:val="center"/>
          </w:tcPr>
          <w:p w14:paraId="5912EAA1">
            <w:pPr>
              <w:widowControl/>
              <w:adjustRightInd w:val="0"/>
              <w:snapToGrid w:val="0"/>
              <w:spacing w:before="0" w:beforeLines="0" w:line="240" w:lineRule="auto"/>
              <w:jc w:val="center"/>
              <w:textAlignment w:val="center"/>
              <w:rPr>
                <w:szCs w:val="21"/>
              </w:rPr>
            </w:pPr>
            <w:r>
              <w:rPr>
                <w:kern w:val="0"/>
                <w:szCs w:val="21"/>
                <w:lang w:bidi="ar"/>
              </w:rPr>
              <w:t>300</w:t>
            </w:r>
          </w:p>
        </w:tc>
        <w:tc>
          <w:tcPr>
            <w:tcW w:w="654" w:type="pct"/>
            <w:tcBorders>
              <w:tl2br w:val="nil"/>
              <w:tr2bl w:val="nil"/>
            </w:tcBorders>
            <w:vAlign w:val="center"/>
          </w:tcPr>
          <w:p w14:paraId="45BFF5BC">
            <w:pPr>
              <w:widowControl/>
              <w:adjustRightInd w:val="0"/>
              <w:snapToGrid w:val="0"/>
              <w:spacing w:before="0" w:beforeLines="0" w:line="240" w:lineRule="auto"/>
              <w:jc w:val="center"/>
              <w:textAlignment w:val="center"/>
              <w:rPr>
                <w:szCs w:val="21"/>
              </w:rPr>
            </w:pPr>
            <w:r>
              <w:rPr>
                <w:kern w:val="0"/>
                <w:szCs w:val="21"/>
                <w:lang w:bidi="ar"/>
              </w:rPr>
              <w:t>15</w:t>
            </w:r>
          </w:p>
        </w:tc>
        <w:tc>
          <w:tcPr>
            <w:tcW w:w="654" w:type="pct"/>
            <w:tcBorders>
              <w:tl2br w:val="nil"/>
              <w:tr2bl w:val="nil"/>
            </w:tcBorders>
            <w:vAlign w:val="center"/>
          </w:tcPr>
          <w:p w14:paraId="7042FF91">
            <w:pPr>
              <w:widowControl/>
              <w:adjustRightInd w:val="0"/>
              <w:snapToGrid w:val="0"/>
              <w:spacing w:before="0" w:beforeLines="0" w:line="240" w:lineRule="auto"/>
              <w:jc w:val="center"/>
              <w:textAlignment w:val="center"/>
              <w:rPr>
                <w:szCs w:val="21"/>
              </w:rPr>
            </w:pPr>
            <w:r>
              <w:rPr>
                <w:kern w:val="0"/>
                <w:szCs w:val="21"/>
                <w:lang w:bidi="ar"/>
              </w:rPr>
              <w:t>75000</w:t>
            </w:r>
          </w:p>
        </w:tc>
        <w:tc>
          <w:tcPr>
            <w:tcW w:w="682" w:type="pct"/>
            <w:tcBorders>
              <w:tl2br w:val="nil"/>
              <w:tr2bl w:val="nil"/>
            </w:tcBorders>
            <w:vAlign w:val="center"/>
          </w:tcPr>
          <w:p w14:paraId="55534873">
            <w:pPr>
              <w:widowControl/>
              <w:adjustRightInd w:val="0"/>
              <w:snapToGrid w:val="0"/>
              <w:spacing w:before="0" w:beforeLines="0" w:line="240" w:lineRule="auto"/>
              <w:jc w:val="center"/>
              <w:textAlignment w:val="center"/>
              <w:rPr>
                <w:szCs w:val="21"/>
              </w:rPr>
            </w:pPr>
            <w:r>
              <w:rPr>
                <w:rFonts w:hint="eastAsia" w:eastAsia="等线"/>
                <w:szCs w:val="21"/>
              </w:rPr>
              <w:t>8.46</w:t>
            </w:r>
          </w:p>
        </w:tc>
        <w:tc>
          <w:tcPr>
            <w:tcW w:w="612" w:type="pct"/>
            <w:tcBorders>
              <w:tl2br w:val="nil"/>
              <w:tr2bl w:val="nil"/>
            </w:tcBorders>
            <w:noWrap/>
            <w:vAlign w:val="center"/>
          </w:tcPr>
          <w:p w14:paraId="770F3778">
            <w:pPr>
              <w:widowControl/>
              <w:adjustRightInd w:val="0"/>
              <w:snapToGrid w:val="0"/>
              <w:spacing w:before="0" w:beforeLines="0" w:line="240" w:lineRule="auto"/>
              <w:jc w:val="center"/>
              <w:textAlignment w:val="center"/>
              <w:rPr>
                <w:kern w:val="0"/>
                <w:szCs w:val="21"/>
                <w:lang w:bidi="ar"/>
              </w:rPr>
            </w:pPr>
            <w:r>
              <w:rPr>
                <w:kern w:val="0"/>
                <w:szCs w:val="21"/>
                <w:lang w:bidi="ar"/>
              </w:rPr>
              <w:t>74</w:t>
            </w:r>
          </w:p>
        </w:tc>
        <w:tc>
          <w:tcPr>
            <w:tcW w:w="721" w:type="pct"/>
            <w:tcBorders>
              <w:tl2br w:val="nil"/>
              <w:tr2bl w:val="nil"/>
            </w:tcBorders>
            <w:noWrap/>
            <w:vAlign w:val="center"/>
          </w:tcPr>
          <w:p w14:paraId="1DCFF2AD">
            <w:pPr>
              <w:widowControl/>
              <w:adjustRightInd w:val="0"/>
              <w:snapToGrid w:val="0"/>
              <w:spacing w:before="0" w:beforeLines="0" w:line="240" w:lineRule="auto"/>
              <w:jc w:val="center"/>
              <w:textAlignment w:val="center"/>
              <w:rPr>
                <w:szCs w:val="21"/>
              </w:rPr>
            </w:pPr>
            <w:r>
              <w:rPr>
                <w:rFonts w:hint="eastAsia" w:eastAsia="等线"/>
                <w:szCs w:val="21"/>
              </w:rPr>
              <w:t>2.20</w:t>
            </w:r>
          </w:p>
        </w:tc>
      </w:tr>
      <w:tr w14:paraId="3EFACDD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303" w:hRule="atLeast"/>
          <w:jc w:val="center"/>
        </w:trPr>
        <w:tc>
          <w:tcPr>
            <w:tcW w:w="1023" w:type="pct"/>
            <w:tcBorders>
              <w:tl2br w:val="nil"/>
              <w:tr2bl w:val="nil"/>
            </w:tcBorders>
            <w:vAlign w:val="center"/>
          </w:tcPr>
          <w:p w14:paraId="165A99F4">
            <w:pPr>
              <w:widowControl/>
              <w:adjustRightInd w:val="0"/>
              <w:snapToGrid w:val="0"/>
              <w:spacing w:before="0" w:beforeLines="0" w:line="240" w:lineRule="auto"/>
              <w:jc w:val="center"/>
              <w:textAlignment w:val="center"/>
              <w:rPr>
                <w:szCs w:val="21"/>
              </w:rPr>
            </w:pPr>
            <w:r>
              <w:rPr>
                <w:kern w:val="0"/>
                <w:szCs w:val="21"/>
                <w:lang w:bidi="ar"/>
              </w:rPr>
              <w:t>筛上物</w:t>
            </w:r>
          </w:p>
        </w:tc>
        <w:tc>
          <w:tcPr>
            <w:tcW w:w="654" w:type="pct"/>
            <w:tcBorders>
              <w:tl2br w:val="nil"/>
              <w:tr2bl w:val="nil"/>
            </w:tcBorders>
            <w:vAlign w:val="center"/>
          </w:tcPr>
          <w:p w14:paraId="2CD0E003">
            <w:pPr>
              <w:widowControl/>
              <w:adjustRightInd w:val="0"/>
              <w:snapToGrid w:val="0"/>
              <w:spacing w:before="0" w:beforeLines="0" w:line="240" w:lineRule="auto"/>
              <w:jc w:val="center"/>
              <w:textAlignment w:val="center"/>
              <w:rPr>
                <w:szCs w:val="21"/>
              </w:rPr>
            </w:pPr>
            <w:r>
              <w:rPr>
                <w:kern w:val="0"/>
                <w:szCs w:val="21"/>
                <w:lang w:bidi="ar"/>
              </w:rPr>
              <w:t>12</w:t>
            </w:r>
          </w:p>
        </w:tc>
        <w:tc>
          <w:tcPr>
            <w:tcW w:w="654" w:type="pct"/>
            <w:tcBorders>
              <w:tl2br w:val="nil"/>
              <w:tr2bl w:val="nil"/>
            </w:tcBorders>
            <w:vAlign w:val="center"/>
          </w:tcPr>
          <w:p w14:paraId="642E99AC">
            <w:pPr>
              <w:widowControl/>
              <w:adjustRightInd w:val="0"/>
              <w:snapToGrid w:val="0"/>
              <w:spacing w:before="0" w:beforeLines="0" w:line="240" w:lineRule="auto"/>
              <w:jc w:val="center"/>
              <w:textAlignment w:val="center"/>
              <w:rPr>
                <w:szCs w:val="21"/>
              </w:rPr>
            </w:pPr>
            <w:r>
              <w:rPr>
                <w:rFonts w:hint="eastAsia"/>
                <w:kern w:val="0"/>
                <w:szCs w:val="21"/>
                <w:lang w:bidi="ar"/>
              </w:rPr>
              <w:t>410</w:t>
            </w:r>
          </w:p>
        </w:tc>
        <w:tc>
          <w:tcPr>
            <w:tcW w:w="654" w:type="pct"/>
            <w:tcBorders>
              <w:tl2br w:val="nil"/>
              <w:tr2bl w:val="nil"/>
            </w:tcBorders>
            <w:vAlign w:val="center"/>
          </w:tcPr>
          <w:p w14:paraId="6ACA395E">
            <w:pPr>
              <w:widowControl/>
              <w:adjustRightInd w:val="0"/>
              <w:snapToGrid w:val="0"/>
              <w:spacing w:before="0" w:beforeLines="0" w:line="240" w:lineRule="auto"/>
              <w:jc w:val="center"/>
              <w:textAlignment w:val="center"/>
              <w:rPr>
                <w:szCs w:val="21"/>
              </w:rPr>
            </w:pPr>
            <w:r>
              <w:rPr>
                <w:rFonts w:hint="eastAsia"/>
                <w:kern w:val="0"/>
                <w:szCs w:val="21"/>
                <w:lang w:bidi="ar"/>
              </w:rPr>
              <w:t>3000</w:t>
            </w:r>
          </w:p>
        </w:tc>
        <w:tc>
          <w:tcPr>
            <w:tcW w:w="682" w:type="pct"/>
            <w:tcBorders>
              <w:tl2br w:val="nil"/>
              <w:tr2bl w:val="nil"/>
            </w:tcBorders>
            <w:vAlign w:val="center"/>
          </w:tcPr>
          <w:p w14:paraId="6B07BBD7">
            <w:pPr>
              <w:widowControl/>
              <w:adjustRightInd w:val="0"/>
              <w:snapToGrid w:val="0"/>
              <w:spacing w:before="0" w:beforeLines="0" w:line="240" w:lineRule="auto"/>
              <w:jc w:val="center"/>
              <w:textAlignment w:val="center"/>
              <w:rPr>
                <w:szCs w:val="21"/>
              </w:rPr>
            </w:pPr>
            <w:r>
              <w:rPr>
                <w:rFonts w:hint="eastAsia" w:eastAsia="等线"/>
                <w:szCs w:val="21"/>
              </w:rPr>
              <w:t>9.25</w:t>
            </w:r>
          </w:p>
        </w:tc>
        <w:tc>
          <w:tcPr>
            <w:tcW w:w="612" w:type="pct"/>
            <w:tcBorders>
              <w:tl2br w:val="nil"/>
              <w:tr2bl w:val="nil"/>
            </w:tcBorders>
            <w:noWrap/>
            <w:vAlign w:val="center"/>
          </w:tcPr>
          <w:p w14:paraId="22BE0824">
            <w:pPr>
              <w:widowControl/>
              <w:adjustRightInd w:val="0"/>
              <w:snapToGrid w:val="0"/>
              <w:spacing w:before="0" w:beforeLines="0" w:line="240" w:lineRule="auto"/>
              <w:jc w:val="center"/>
              <w:textAlignment w:val="center"/>
              <w:rPr>
                <w:kern w:val="0"/>
                <w:szCs w:val="21"/>
                <w:lang w:bidi="ar"/>
              </w:rPr>
            </w:pPr>
            <w:r>
              <w:rPr>
                <w:kern w:val="0"/>
                <w:szCs w:val="21"/>
                <w:lang w:bidi="ar"/>
              </w:rPr>
              <w:t>74</w:t>
            </w:r>
          </w:p>
        </w:tc>
        <w:tc>
          <w:tcPr>
            <w:tcW w:w="721" w:type="pct"/>
            <w:tcBorders>
              <w:tl2br w:val="nil"/>
              <w:tr2bl w:val="nil"/>
            </w:tcBorders>
            <w:noWrap/>
            <w:vAlign w:val="center"/>
          </w:tcPr>
          <w:p w14:paraId="6F4B093E">
            <w:pPr>
              <w:widowControl/>
              <w:adjustRightInd w:val="0"/>
              <w:snapToGrid w:val="0"/>
              <w:spacing w:before="0" w:beforeLines="0" w:line="240" w:lineRule="auto"/>
              <w:jc w:val="center"/>
              <w:textAlignment w:val="center"/>
              <w:rPr>
                <w:szCs w:val="21"/>
              </w:rPr>
            </w:pPr>
            <w:r>
              <w:rPr>
                <w:rFonts w:hint="eastAsia" w:eastAsia="等线"/>
                <w:szCs w:val="21"/>
              </w:rPr>
              <w:t>2.4</w:t>
            </w:r>
          </w:p>
        </w:tc>
      </w:tr>
      <w:tr w14:paraId="5EF3E90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303" w:hRule="atLeast"/>
          <w:jc w:val="center"/>
        </w:trPr>
        <w:tc>
          <w:tcPr>
            <w:tcW w:w="1023" w:type="pct"/>
            <w:tcBorders>
              <w:tl2br w:val="nil"/>
              <w:tr2bl w:val="nil"/>
            </w:tcBorders>
            <w:vAlign w:val="center"/>
          </w:tcPr>
          <w:p w14:paraId="2FF74F37">
            <w:pPr>
              <w:widowControl/>
              <w:adjustRightInd w:val="0"/>
              <w:snapToGrid w:val="0"/>
              <w:spacing w:before="0" w:beforeLines="0" w:line="240" w:lineRule="auto"/>
              <w:jc w:val="center"/>
              <w:textAlignment w:val="center"/>
              <w:rPr>
                <w:szCs w:val="21"/>
              </w:rPr>
            </w:pPr>
            <w:r>
              <w:rPr>
                <w:kern w:val="0"/>
                <w:szCs w:val="21"/>
                <w:lang w:bidi="ar"/>
              </w:rPr>
              <w:t>机制砂</w:t>
            </w:r>
          </w:p>
        </w:tc>
        <w:tc>
          <w:tcPr>
            <w:tcW w:w="654" w:type="pct"/>
            <w:tcBorders>
              <w:tl2br w:val="nil"/>
              <w:tr2bl w:val="nil"/>
            </w:tcBorders>
            <w:vAlign w:val="center"/>
          </w:tcPr>
          <w:p w14:paraId="3DA6B205">
            <w:pPr>
              <w:widowControl/>
              <w:adjustRightInd w:val="0"/>
              <w:snapToGrid w:val="0"/>
              <w:spacing w:before="0" w:beforeLines="0" w:line="240" w:lineRule="auto"/>
              <w:jc w:val="center"/>
              <w:textAlignment w:val="center"/>
              <w:rPr>
                <w:szCs w:val="21"/>
              </w:rPr>
            </w:pPr>
            <w:r>
              <w:rPr>
                <w:kern w:val="0"/>
                <w:szCs w:val="21"/>
                <w:lang w:bidi="ar"/>
              </w:rPr>
              <w:t>160</w:t>
            </w:r>
          </w:p>
        </w:tc>
        <w:tc>
          <w:tcPr>
            <w:tcW w:w="654" w:type="pct"/>
            <w:tcBorders>
              <w:tl2br w:val="nil"/>
              <w:tr2bl w:val="nil"/>
            </w:tcBorders>
            <w:vAlign w:val="center"/>
          </w:tcPr>
          <w:p w14:paraId="3F0836C5">
            <w:pPr>
              <w:widowControl/>
              <w:adjustRightInd w:val="0"/>
              <w:snapToGrid w:val="0"/>
              <w:spacing w:before="0" w:beforeLines="0" w:line="240" w:lineRule="auto"/>
              <w:jc w:val="center"/>
              <w:textAlignment w:val="center"/>
              <w:rPr>
                <w:szCs w:val="21"/>
              </w:rPr>
            </w:pPr>
            <w:r>
              <w:rPr>
                <w:rFonts w:hint="eastAsia"/>
                <w:kern w:val="0"/>
                <w:szCs w:val="21"/>
                <w:lang w:bidi="ar"/>
              </w:rPr>
              <w:t>70</w:t>
            </w:r>
          </w:p>
        </w:tc>
        <w:tc>
          <w:tcPr>
            <w:tcW w:w="654" w:type="pct"/>
            <w:tcBorders>
              <w:tl2br w:val="nil"/>
              <w:tr2bl w:val="nil"/>
            </w:tcBorders>
            <w:vAlign w:val="center"/>
          </w:tcPr>
          <w:p w14:paraId="3929EBF3">
            <w:pPr>
              <w:widowControl/>
              <w:adjustRightInd w:val="0"/>
              <w:snapToGrid w:val="0"/>
              <w:spacing w:before="0" w:beforeLines="0" w:line="240" w:lineRule="auto"/>
              <w:jc w:val="center"/>
              <w:textAlignment w:val="center"/>
              <w:rPr>
                <w:szCs w:val="21"/>
              </w:rPr>
            </w:pPr>
            <w:r>
              <w:rPr>
                <w:kern w:val="0"/>
                <w:szCs w:val="21"/>
                <w:lang w:bidi="ar"/>
              </w:rPr>
              <w:t>40000</w:t>
            </w:r>
          </w:p>
        </w:tc>
        <w:tc>
          <w:tcPr>
            <w:tcW w:w="682" w:type="pct"/>
            <w:tcBorders>
              <w:tl2br w:val="nil"/>
              <w:tr2bl w:val="nil"/>
            </w:tcBorders>
            <w:vAlign w:val="center"/>
          </w:tcPr>
          <w:p w14:paraId="184D8E97">
            <w:pPr>
              <w:widowControl/>
              <w:adjustRightInd w:val="0"/>
              <w:snapToGrid w:val="0"/>
              <w:spacing w:before="0" w:beforeLines="0" w:line="240" w:lineRule="auto"/>
              <w:jc w:val="center"/>
              <w:textAlignment w:val="center"/>
              <w:rPr>
                <w:szCs w:val="21"/>
              </w:rPr>
            </w:pPr>
            <w:r>
              <w:rPr>
                <w:rFonts w:hint="eastAsia" w:eastAsia="等线"/>
                <w:szCs w:val="21"/>
              </w:rPr>
              <w:t>21.05</w:t>
            </w:r>
          </w:p>
        </w:tc>
        <w:tc>
          <w:tcPr>
            <w:tcW w:w="612" w:type="pct"/>
            <w:tcBorders>
              <w:tl2br w:val="nil"/>
              <w:tr2bl w:val="nil"/>
            </w:tcBorders>
            <w:noWrap/>
            <w:vAlign w:val="center"/>
          </w:tcPr>
          <w:p w14:paraId="7263EB01">
            <w:pPr>
              <w:widowControl/>
              <w:adjustRightInd w:val="0"/>
              <w:snapToGrid w:val="0"/>
              <w:spacing w:before="0" w:beforeLines="0" w:line="240" w:lineRule="auto"/>
              <w:jc w:val="center"/>
              <w:textAlignment w:val="center"/>
              <w:rPr>
                <w:kern w:val="0"/>
                <w:szCs w:val="21"/>
                <w:lang w:bidi="ar"/>
              </w:rPr>
            </w:pPr>
            <w:r>
              <w:rPr>
                <w:kern w:val="0"/>
                <w:szCs w:val="21"/>
                <w:lang w:bidi="ar"/>
              </w:rPr>
              <w:t>74</w:t>
            </w:r>
          </w:p>
        </w:tc>
        <w:tc>
          <w:tcPr>
            <w:tcW w:w="721" w:type="pct"/>
            <w:tcBorders>
              <w:tl2br w:val="nil"/>
              <w:tr2bl w:val="nil"/>
            </w:tcBorders>
            <w:noWrap/>
            <w:vAlign w:val="center"/>
          </w:tcPr>
          <w:p w14:paraId="7E3B6F62">
            <w:pPr>
              <w:widowControl/>
              <w:adjustRightInd w:val="0"/>
              <w:snapToGrid w:val="0"/>
              <w:spacing w:before="0" w:beforeLines="0" w:line="240" w:lineRule="auto"/>
              <w:jc w:val="center"/>
              <w:textAlignment w:val="center"/>
              <w:rPr>
                <w:szCs w:val="21"/>
              </w:rPr>
            </w:pPr>
            <w:r>
              <w:rPr>
                <w:rFonts w:hint="eastAsia" w:eastAsia="等线"/>
                <w:szCs w:val="21"/>
              </w:rPr>
              <w:t>5.47</w:t>
            </w:r>
          </w:p>
        </w:tc>
      </w:tr>
      <w:tr w14:paraId="291D4B5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303" w:hRule="atLeast"/>
          <w:jc w:val="center"/>
        </w:trPr>
        <w:tc>
          <w:tcPr>
            <w:tcW w:w="2985" w:type="pct"/>
            <w:gridSpan w:val="4"/>
            <w:tcBorders>
              <w:right w:val="single" w:color="auto" w:sz="4" w:space="0"/>
              <w:tl2br w:val="nil"/>
              <w:tr2bl w:val="nil"/>
            </w:tcBorders>
            <w:vAlign w:val="center"/>
          </w:tcPr>
          <w:p w14:paraId="6901501E">
            <w:pPr>
              <w:widowControl/>
              <w:adjustRightInd w:val="0"/>
              <w:snapToGrid w:val="0"/>
              <w:spacing w:before="0" w:beforeLines="0" w:line="240" w:lineRule="auto"/>
              <w:jc w:val="center"/>
              <w:textAlignment w:val="center"/>
              <w:rPr>
                <w:szCs w:val="21"/>
              </w:rPr>
            </w:pPr>
            <w:r>
              <w:rPr>
                <w:kern w:val="0"/>
                <w:szCs w:val="21"/>
                <w:lang w:bidi="ar"/>
              </w:rPr>
              <w:t>总计</w:t>
            </w:r>
          </w:p>
        </w:tc>
        <w:tc>
          <w:tcPr>
            <w:tcW w:w="682" w:type="pct"/>
            <w:tcBorders>
              <w:tl2br w:val="nil"/>
              <w:tr2bl w:val="nil"/>
            </w:tcBorders>
            <w:vAlign w:val="center"/>
          </w:tcPr>
          <w:p w14:paraId="726B83A2">
            <w:pPr>
              <w:widowControl/>
              <w:adjustRightInd w:val="0"/>
              <w:snapToGrid w:val="0"/>
              <w:spacing w:before="0" w:beforeLines="0" w:line="240" w:lineRule="auto"/>
              <w:jc w:val="center"/>
              <w:textAlignment w:val="center"/>
              <w:rPr>
                <w:szCs w:val="21"/>
              </w:rPr>
            </w:pPr>
            <w:r>
              <w:rPr>
                <w:rFonts w:hint="eastAsia"/>
                <w:kern w:val="0"/>
                <w:szCs w:val="21"/>
                <w:lang w:bidi="ar"/>
              </w:rPr>
              <w:t>38.76</w:t>
            </w:r>
          </w:p>
        </w:tc>
        <w:tc>
          <w:tcPr>
            <w:tcW w:w="612" w:type="pct"/>
            <w:tcBorders>
              <w:tl2br w:val="nil"/>
              <w:tr2bl w:val="nil"/>
            </w:tcBorders>
            <w:noWrap/>
            <w:vAlign w:val="center"/>
          </w:tcPr>
          <w:p w14:paraId="21A5DDE8">
            <w:pPr>
              <w:widowControl/>
              <w:adjustRightInd w:val="0"/>
              <w:snapToGrid w:val="0"/>
              <w:spacing w:before="0" w:beforeLines="0" w:line="240" w:lineRule="auto"/>
              <w:jc w:val="center"/>
              <w:textAlignment w:val="center"/>
              <w:rPr>
                <w:kern w:val="0"/>
                <w:szCs w:val="21"/>
                <w:lang w:bidi="ar"/>
              </w:rPr>
            </w:pPr>
            <w:r>
              <w:rPr>
                <w:kern w:val="0"/>
                <w:szCs w:val="21"/>
                <w:lang w:bidi="ar"/>
              </w:rPr>
              <w:t>/</w:t>
            </w:r>
          </w:p>
        </w:tc>
        <w:tc>
          <w:tcPr>
            <w:tcW w:w="721" w:type="pct"/>
            <w:tcBorders>
              <w:tl2br w:val="nil"/>
              <w:tr2bl w:val="nil"/>
            </w:tcBorders>
            <w:noWrap/>
            <w:vAlign w:val="center"/>
          </w:tcPr>
          <w:p w14:paraId="733ED117">
            <w:pPr>
              <w:widowControl/>
              <w:adjustRightInd w:val="0"/>
              <w:snapToGrid w:val="0"/>
              <w:spacing w:before="0" w:beforeLines="0" w:line="240" w:lineRule="auto"/>
              <w:jc w:val="center"/>
              <w:textAlignment w:val="center"/>
              <w:rPr>
                <w:szCs w:val="21"/>
              </w:rPr>
            </w:pPr>
            <w:r>
              <w:rPr>
                <w:rFonts w:hint="eastAsia"/>
                <w:kern w:val="0"/>
                <w:szCs w:val="21"/>
                <w:lang w:bidi="ar"/>
              </w:rPr>
              <w:t>10.08</w:t>
            </w:r>
          </w:p>
        </w:tc>
      </w:tr>
    </w:tbl>
    <w:p w14:paraId="63E0DB97">
      <w:pPr>
        <w:adjustRightInd w:val="0"/>
        <w:snapToGrid w:val="0"/>
        <w:spacing w:before="156" w:beforeLines="50" w:line="360" w:lineRule="auto"/>
        <w:ind w:firstLine="480" w:firstLineChars="200"/>
        <w:rPr>
          <w:kern w:val="0"/>
          <w:sz w:val="24"/>
        </w:rPr>
      </w:pPr>
      <w:r>
        <w:rPr>
          <w:kern w:val="0"/>
          <w:sz w:val="24"/>
        </w:rPr>
        <w:t>由上表可知，汽车运输所引起的扬尘排放量</w:t>
      </w:r>
      <w:r>
        <w:rPr>
          <w:rFonts w:hint="eastAsia"/>
          <w:kern w:val="0"/>
          <w:sz w:val="24"/>
        </w:rPr>
        <w:t>10.08</w:t>
      </w:r>
      <w:r>
        <w:rPr>
          <w:kern w:val="0"/>
          <w:sz w:val="24"/>
          <w:lang w:bidi="ar"/>
        </w:rPr>
        <w:t>t/a。</w:t>
      </w:r>
      <w:r>
        <w:rPr>
          <w:kern w:val="0"/>
          <w:sz w:val="24"/>
        </w:rPr>
        <w:t>其产尘量的大小与路面种类（产尘主要是碎石路面，柏油马路或沥青路面产尘量很少）、路面上积尘多少、季节干湿、有无雨雪以及汽车行驶速度等因素有关。本项目使用汽车将产品外运，其汽车扬尘主要是轮胎旋转时从路面带起的尘、车体运动形成的涡流卷起的尘、道路表面的浮尘在地面风速较高时由风力吹起的尘。</w:t>
      </w:r>
    </w:p>
    <w:p w14:paraId="44552186">
      <w:pPr>
        <w:adjustRightInd w:val="0"/>
        <w:snapToGrid w:val="0"/>
        <w:spacing w:before="0" w:beforeLines="0" w:line="360" w:lineRule="auto"/>
        <w:ind w:firstLine="480" w:firstLineChars="200"/>
        <w:rPr>
          <w:kern w:val="0"/>
          <w:sz w:val="24"/>
        </w:rPr>
      </w:pPr>
      <w:r>
        <w:rPr>
          <w:kern w:val="0"/>
          <w:sz w:val="24"/>
        </w:rPr>
        <w:t>由于道路扬尘的特征是大粒径颗粒占有较高比例，扬尘在迁移过程中浓度值下降很快，在一般气象条件下，其重点污染范围不会超过200m（在风速小于4m/s时，距路面200m处的浓度已接近本底值）。但是，当地面风速较大时，进入大气环境的道路扬尘其沉降衰减速率必然较小，浓度的变化主要取决于扩散稀释。所以，在大风天气其浓度下降幅度较小，影响范围较大。</w:t>
      </w:r>
    </w:p>
    <w:p w14:paraId="6338C54F">
      <w:pPr>
        <w:adjustRightInd w:val="0"/>
        <w:snapToGrid w:val="0"/>
        <w:spacing w:before="0" w:beforeLines="0" w:line="360" w:lineRule="auto"/>
        <w:ind w:firstLine="480" w:firstLineChars="200"/>
        <w:rPr>
          <w:kern w:val="0"/>
          <w:sz w:val="24"/>
        </w:rPr>
        <w:sectPr>
          <w:pgSz w:w="11906" w:h="16838"/>
          <w:pgMar w:top="1440" w:right="1797" w:bottom="1440" w:left="1797" w:header="851" w:footer="992" w:gutter="0"/>
          <w:cols w:space="720" w:num="1"/>
          <w:docGrid w:type="lines" w:linePitch="312" w:charSpace="0"/>
        </w:sectPr>
      </w:pPr>
      <w:r>
        <w:rPr>
          <w:kern w:val="0"/>
          <w:sz w:val="24"/>
        </w:rPr>
        <w:t>通过采取路面洒水抑尘，并控制车辆超载，覆盖苫布，减速慢行，保持道路两侧的范围内的整洁，对周边环境空气的影响较小。</w:t>
      </w:r>
    </w:p>
    <w:p w14:paraId="09EB1C8F">
      <w:pPr>
        <w:spacing w:before="79"/>
        <w:jc w:val="center"/>
        <w:rPr>
          <w:b/>
          <w:bCs/>
        </w:rPr>
      </w:pPr>
      <w:bookmarkStart w:id="127" w:name="_Hlk194416667"/>
      <w:r>
        <w:rPr>
          <w:b/>
          <w:bCs/>
        </w:rPr>
        <w:t>表3.</w:t>
      </w:r>
      <w:r>
        <w:rPr>
          <w:rFonts w:hint="eastAsia"/>
          <w:b/>
          <w:bCs/>
        </w:rPr>
        <w:t>3</w:t>
      </w:r>
      <w:r>
        <w:rPr>
          <w:b/>
          <w:bCs/>
        </w:rPr>
        <w:t>-3  本项目废气产排污一览表</w:t>
      </w:r>
    </w:p>
    <w:tbl>
      <w:tblPr>
        <w:tblStyle w:val="90"/>
        <w:tblW w:w="4996"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27"/>
        <w:gridCol w:w="1902"/>
        <w:gridCol w:w="1180"/>
        <w:gridCol w:w="873"/>
        <w:gridCol w:w="845"/>
        <w:gridCol w:w="1007"/>
        <w:gridCol w:w="2131"/>
        <w:gridCol w:w="695"/>
        <w:gridCol w:w="692"/>
        <w:gridCol w:w="1252"/>
        <w:gridCol w:w="1071"/>
        <w:gridCol w:w="868"/>
        <w:gridCol w:w="1004"/>
      </w:tblGrid>
      <w:tr w14:paraId="0372F44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35" w:type="pct"/>
            <w:gridSpan w:val="2"/>
            <w:tcBorders>
              <w:tl2br w:val="nil"/>
              <w:tr2bl w:val="nil"/>
            </w:tcBorders>
            <w:vAlign w:val="center"/>
          </w:tcPr>
          <w:p w14:paraId="1BB35E83">
            <w:pPr>
              <w:adjustRightInd w:val="0"/>
              <w:snapToGrid w:val="0"/>
              <w:spacing w:before="0" w:beforeLines="0" w:line="240" w:lineRule="auto"/>
              <w:jc w:val="center"/>
              <w:rPr>
                <w:szCs w:val="21"/>
              </w:rPr>
            </w:pPr>
            <w:r>
              <w:rPr>
                <w:szCs w:val="21"/>
              </w:rPr>
              <w:t>产污环节</w:t>
            </w:r>
          </w:p>
        </w:tc>
        <w:tc>
          <w:tcPr>
            <w:tcW w:w="423" w:type="pct"/>
            <w:tcBorders>
              <w:tl2br w:val="nil"/>
              <w:tr2bl w:val="nil"/>
            </w:tcBorders>
            <w:vAlign w:val="center"/>
          </w:tcPr>
          <w:p w14:paraId="4B3D82C8">
            <w:pPr>
              <w:adjustRightInd w:val="0"/>
              <w:snapToGrid w:val="0"/>
              <w:spacing w:before="0" w:beforeLines="0" w:line="240" w:lineRule="auto"/>
              <w:jc w:val="center"/>
              <w:rPr>
                <w:szCs w:val="21"/>
              </w:rPr>
            </w:pPr>
            <w:r>
              <w:rPr>
                <w:szCs w:val="21"/>
              </w:rPr>
              <w:t>污染物</w:t>
            </w:r>
          </w:p>
        </w:tc>
        <w:tc>
          <w:tcPr>
            <w:tcW w:w="313" w:type="pct"/>
            <w:tcBorders>
              <w:tl2br w:val="nil"/>
              <w:tr2bl w:val="nil"/>
            </w:tcBorders>
            <w:vAlign w:val="center"/>
          </w:tcPr>
          <w:p w14:paraId="11CF1F88">
            <w:pPr>
              <w:adjustRightInd w:val="0"/>
              <w:snapToGrid w:val="0"/>
              <w:spacing w:before="0" w:beforeLines="0" w:line="240" w:lineRule="auto"/>
              <w:jc w:val="center"/>
              <w:rPr>
                <w:szCs w:val="21"/>
              </w:rPr>
            </w:pPr>
            <w:r>
              <w:rPr>
                <w:szCs w:val="21"/>
              </w:rPr>
              <w:t>风机风量m³/h</w:t>
            </w:r>
          </w:p>
        </w:tc>
        <w:tc>
          <w:tcPr>
            <w:tcW w:w="303" w:type="pct"/>
            <w:tcBorders>
              <w:tl2br w:val="nil"/>
              <w:tr2bl w:val="nil"/>
            </w:tcBorders>
            <w:vAlign w:val="center"/>
          </w:tcPr>
          <w:p w14:paraId="51F954F6">
            <w:pPr>
              <w:adjustRightInd w:val="0"/>
              <w:snapToGrid w:val="0"/>
              <w:spacing w:before="0" w:beforeLines="0" w:line="240" w:lineRule="auto"/>
              <w:jc w:val="center"/>
              <w:rPr>
                <w:szCs w:val="21"/>
              </w:rPr>
            </w:pPr>
            <w:r>
              <w:rPr>
                <w:szCs w:val="21"/>
              </w:rPr>
              <w:t>产生量t/a</w:t>
            </w:r>
          </w:p>
        </w:tc>
        <w:tc>
          <w:tcPr>
            <w:tcW w:w="361" w:type="pct"/>
            <w:tcBorders>
              <w:tl2br w:val="nil"/>
              <w:tr2bl w:val="nil"/>
            </w:tcBorders>
            <w:vAlign w:val="center"/>
          </w:tcPr>
          <w:p w14:paraId="653D2FD1">
            <w:pPr>
              <w:adjustRightInd w:val="0"/>
              <w:snapToGrid w:val="0"/>
              <w:spacing w:before="0" w:beforeLines="0" w:line="240" w:lineRule="auto"/>
              <w:jc w:val="center"/>
              <w:rPr>
                <w:szCs w:val="21"/>
              </w:rPr>
            </w:pPr>
            <w:r>
              <w:rPr>
                <w:szCs w:val="21"/>
              </w:rPr>
              <w:t>产生浓度mg/m³</w:t>
            </w:r>
          </w:p>
        </w:tc>
        <w:tc>
          <w:tcPr>
            <w:tcW w:w="764" w:type="pct"/>
            <w:tcBorders>
              <w:tl2br w:val="nil"/>
              <w:tr2bl w:val="nil"/>
            </w:tcBorders>
            <w:vAlign w:val="center"/>
          </w:tcPr>
          <w:p w14:paraId="77604595">
            <w:pPr>
              <w:adjustRightInd w:val="0"/>
              <w:snapToGrid w:val="0"/>
              <w:spacing w:before="0" w:beforeLines="0" w:line="240" w:lineRule="auto"/>
              <w:jc w:val="center"/>
              <w:rPr>
                <w:szCs w:val="21"/>
              </w:rPr>
            </w:pPr>
            <w:r>
              <w:rPr>
                <w:szCs w:val="21"/>
              </w:rPr>
              <w:t>处理措施</w:t>
            </w:r>
          </w:p>
        </w:tc>
        <w:tc>
          <w:tcPr>
            <w:tcW w:w="249" w:type="pct"/>
            <w:tcBorders>
              <w:tl2br w:val="nil"/>
              <w:tr2bl w:val="nil"/>
            </w:tcBorders>
            <w:vAlign w:val="center"/>
          </w:tcPr>
          <w:p w14:paraId="435A4B1B">
            <w:pPr>
              <w:adjustRightInd w:val="0"/>
              <w:snapToGrid w:val="0"/>
              <w:spacing w:before="0" w:beforeLines="0" w:line="240" w:lineRule="auto"/>
              <w:jc w:val="center"/>
              <w:rPr>
                <w:szCs w:val="21"/>
              </w:rPr>
            </w:pPr>
            <w:r>
              <w:rPr>
                <w:szCs w:val="21"/>
              </w:rPr>
              <w:t>捕集率%</w:t>
            </w:r>
          </w:p>
        </w:tc>
        <w:tc>
          <w:tcPr>
            <w:tcW w:w="248" w:type="pct"/>
            <w:tcBorders>
              <w:tl2br w:val="nil"/>
              <w:tr2bl w:val="nil"/>
            </w:tcBorders>
            <w:vAlign w:val="center"/>
          </w:tcPr>
          <w:p w14:paraId="7A002CE3">
            <w:pPr>
              <w:adjustRightInd w:val="0"/>
              <w:snapToGrid w:val="0"/>
              <w:spacing w:before="0" w:beforeLines="0" w:line="240" w:lineRule="auto"/>
              <w:jc w:val="center"/>
              <w:rPr>
                <w:szCs w:val="21"/>
              </w:rPr>
            </w:pPr>
            <w:r>
              <w:rPr>
                <w:szCs w:val="21"/>
              </w:rPr>
              <w:t>去除率%</w:t>
            </w:r>
          </w:p>
        </w:tc>
        <w:tc>
          <w:tcPr>
            <w:tcW w:w="449" w:type="pct"/>
            <w:tcBorders>
              <w:tl2br w:val="nil"/>
              <w:tr2bl w:val="nil"/>
            </w:tcBorders>
            <w:vAlign w:val="center"/>
          </w:tcPr>
          <w:p w14:paraId="73C6F7BF">
            <w:pPr>
              <w:adjustRightInd w:val="0"/>
              <w:snapToGrid w:val="0"/>
              <w:spacing w:before="0" w:beforeLines="0" w:line="240" w:lineRule="auto"/>
              <w:jc w:val="center"/>
              <w:rPr>
                <w:szCs w:val="21"/>
              </w:rPr>
            </w:pPr>
            <w:r>
              <w:rPr>
                <w:szCs w:val="21"/>
              </w:rPr>
              <w:t>排放速率kg/h</w:t>
            </w:r>
          </w:p>
        </w:tc>
        <w:tc>
          <w:tcPr>
            <w:tcW w:w="384" w:type="pct"/>
            <w:tcBorders>
              <w:tl2br w:val="nil"/>
              <w:tr2bl w:val="nil"/>
            </w:tcBorders>
            <w:vAlign w:val="center"/>
          </w:tcPr>
          <w:p w14:paraId="331B612F">
            <w:pPr>
              <w:adjustRightInd w:val="0"/>
              <w:snapToGrid w:val="0"/>
              <w:spacing w:before="0" w:beforeLines="0" w:line="240" w:lineRule="auto"/>
              <w:jc w:val="center"/>
              <w:rPr>
                <w:szCs w:val="21"/>
              </w:rPr>
            </w:pPr>
            <w:r>
              <w:rPr>
                <w:szCs w:val="21"/>
              </w:rPr>
              <w:t>排放浓度mg/m³</w:t>
            </w:r>
          </w:p>
        </w:tc>
        <w:tc>
          <w:tcPr>
            <w:tcW w:w="311" w:type="pct"/>
            <w:tcBorders>
              <w:tl2br w:val="nil"/>
              <w:tr2bl w:val="nil"/>
            </w:tcBorders>
            <w:vAlign w:val="center"/>
          </w:tcPr>
          <w:p w14:paraId="3C6C1939">
            <w:pPr>
              <w:adjustRightInd w:val="0"/>
              <w:snapToGrid w:val="0"/>
              <w:spacing w:before="0" w:beforeLines="0" w:line="240" w:lineRule="auto"/>
              <w:jc w:val="center"/>
              <w:rPr>
                <w:szCs w:val="21"/>
              </w:rPr>
            </w:pPr>
            <w:r>
              <w:rPr>
                <w:szCs w:val="21"/>
              </w:rPr>
              <w:t>排放量t/a</w:t>
            </w:r>
          </w:p>
        </w:tc>
        <w:tc>
          <w:tcPr>
            <w:tcW w:w="360" w:type="pct"/>
            <w:tcBorders>
              <w:tl2br w:val="nil"/>
              <w:tr2bl w:val="nil"/>
            </w:tcBorders>
            <w:vAlign w:val="center"/>
          </w:tcPr>
          <w:p w14:paraId="1A106EAF">
            <w:pPr>
              <w:adjustRightInd w:val="0"/>
              <w:snapToGrid w:val="0"/>
              <w:spacing w:before="0" w:beforeLines="0" w:line="240" w:lineRule="auto"/>
              <w:jc w:val="center"/>
              <w:rPr>
                <w:szCs w:val="21"/>
              </w:rPr>
            </w:pPr>
            <w:r>
              <w:rPr>
                <w:szCs w:val="21"/>
              </w:rPr>
              <w:t>排气筒编号</w:t>
            </w:r>
          </w:p>
        </w:tc>
      </w:tr>
      <w:tr w14:paraId="4A6C1DE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53" w:type="pct"/>
            <w:vMerge w:val="restart"/>
            <w:tcBorders>
              <w:tl2br w:val="nil"/>
              <w:tr2bl w:val="nil"/>
            </w:tcBorders>
            <w:vAlign w:val="center"/>
          </w:tcPr>
          <w:p w14:paraId="6C125DA6">
            <w:pPr>
              <w:adjustRightInd w:val="0"/>
              <w:snapToGrid w:val="0"/>
              <w:spacing w:before="0" w:beforeLines="0" w:line="240" w:lineRule="auto"/>
              <w:jc w:val="center"/>
              <w:rPr>
                <w:szCs w:val="21"/>
              </w:rPr>
            </w:pPr>
            <w:r>
              <w:rPr>
                <w:szCs w:val="21"/>
              </w:rPr>
              <w:t>有组织</w:t>
            </w:r>
          </w:p>
        </w:tc>
        <w:tc>
          <w:tcPr>
            <w:tcW w:w="682" w:type="pct"/>
            <w:tcBorders>
              <w:tl2br w:val="nil"/>
              <w:tr2bl w:val="nil"/>
            </w:tcBorders>
            <w:vAlign w:val="center"/>
          </w:tcPr>
          <w:p w14:paraId="179F8DF0">
            <w:pPr>
              <w:widowControl/>
              <w:adjustRightInd w:val="0"/>
              <w:snapToGrid w:val="0"/>
              <w:spacing w:before="0" w:beforeLines="0" w:line="240" w:lineRule="auto"/>
              <w:jc w:val="center"/>
              <w:textAlignment w:val="center"/>
              <w:rPr>
                <w:kern w:val="0"/>
                <w:szCs w:val="21"/>
                <w:lang w:bidi="ar"/>
              </w:rPr>
            </w:pPr>
            <w:r>
              <w:rPr>
                <w:kern w:val="0"/>
                <w:szCs w:val="21"/>
                <w:lang w:bidi="ar"/>
              </w:rPr>
              <w:t>G1</w:t>
            </w:r>
          </w:p>
        </w:tc>
        <w:tc>
          <w:tcPr>
            <w:tcW w:w="423" w:type="pct"/>
            <w:tcBorders>
              <w:tl2br w:val="nil"/>
              <w:tr2bl w:val="nil"/>
            </w:tcBorders>
            <w:vAlign w:val="center"/>
          </w:tcPr>
          <w:p w14:paraId="5F14E190">
            <w:pPr>
              <w:widowControl/>
              <w:adjustRightInd w:val="0"/>
              <w:snapToGrid w:val="0"/>
              <w:spacing w:before="0" w:beforeLines="0" w:line="240" w:lineRule="auto"/>
              <w:jc w:val="center"/>
              <w:textAlignment w:val="center"/>
              <w:rPr>
                <w:kern w:val="0"/>
                <w:szCs w:val="21"/>
                <w:lang w:bidi="ar"/>
              </w:rPr>
            </w:pPr>
            <w:r>
              <w:rPr>
                <w:kern w:val="0"/>
                <w:szCs w:val="21"/>
                <w:lang w:bidi="ar"/>
              </w:rPr>
              <w:t>颗粒物</w:t>
            </w:r>
          </w:p>
        </w:tc>
        <w:tc>
          <w:tcPr>
            <w:tcW w:w="313" w:type="pct"/>
            <w:tcBorders>
              <w:tl2br w:val="nil"/>
              <w:tr2bl w:val="nil"/>
            </w:tcBorders>
            <w:vAlign w:val="center"/>
          </w:tcPr>
          <w:p w14:paraId="3F1E460D">
            <w:pPr>
              <w:widowControl/>
              <w:adjustRightInd w:val="0"/>
              <w:snapToGrid w:val="0"/>
              <w:spacing w:beforeLines="0" w:line="240" w:lineRule="auto"/>
              <w:jc w:val="center"/>
              <w:textAlignment w:val="center"/>
              <w:rPr>
                <w:kern w:val="0"/>
                <w:szCs w:val="21"/>
                <w:lang w:bidi="ar"/>
              </w:rPr>
            </w:pPr>
            <w:r>
              <w:rPr>
                <w:rFonts w:eastAsia="等线"/>
                <w:szCs w:val="21"/>
              </w:rPr>
              <w:t>70000</w:t>
            </w:r>
          </w:p>
        </w:tc>
        <w:tc>
          <w:tcPr>
            <w:tcW w:w="303" w:type="pct"/>
            <w:tcBorders>
              <w:tl2br w:val="nil"/>
              <w:tr2bl w:val="nil"/>
            </w:tcBorders>
            <w:vAlign w:val="center"/>
          </w:tcPr>
          <w:p w14:paraId="07723A6A">
            <w:pPr>
              <w:widowControl/>
              <w:adjustRightInd w:val="0"/>
              <w:snapToGrid w:val="0"/>
              <w:spacing w:beforeLines="0" w:line="240" w:lineRule="auto"/>
              <w:jc w:val="center"/>
              <w:textAlignment w:val="center"/>
              <w:rPr>
                <w:kern w:val="0"/>
                <w:szCs w:val="21"/>
                <w:lang w:bidi="ar"/>
              </w:rPr>
            </w:pPr>
            <w:r>
              <w:rPr>
                <w:rFonts w:eastAsia="等线"/>
                <w:szCs w:val="21"/>
              </w:rPr>
              <w:t>972.7</w:t>
            </w:r>
          </w:p>
        </w:tc>
        <w:tc>
          <w:tcPr>
            <w:tcW w:w="361" w:type="pct"/>
            <w:tcBorders>
              <w:tl2br w:val="nil"/>
              <w:tr2bl w:val="nil"/>
            </w:tcBorders>
            <w:vAlign w:val="center"/>
          </w:tcPr>
          <w:p w14:paraId="4437B83E">
            <w:pPr>
              <w:widowControl/>
              <w:adjustRightInd w:val="0"/>
              <w:snapToGrid w:val="0"/>
              <w:spacing w:beforeLines="0" w:line="240" w:lineRule="auto"/>
              <w:jc w:val="center"/>
              <w:textAlignment w:val="center"/>
              <w:rPr>
                <w:kern w:val="0"/>
                <w:szCs w:val="21"/>
                <w:lang w:bidi="ar"/>
              </w:rPr>
            </w:pPr>
            <w:r>
              <w:rPr>
                <w:rFonts w:eastAsia="等线"/>
                <w:szCs w:val="21"/>
              </w:rPr>
              <w:t>1930.0</w:t>
            </w:r>
          </w:p>
        </w:tc>
        <w:tc>
          <w:tcPr>
            <w:tcW w:w="764" w:type="pct"/>
            <w:tcBorders>
              <w:tl2br w:val="nil"/>
              <w:tr2bl w:val="nil"/>
            </w:tcBorders>
            <w:vAlign w:val="center"/>
          </w:tcPr>
          <w:p w14:paraId="28A40428">
            <w:pPr>
              <w:widowControl/>
              <w:adjustRightInd w:val="0"/>
              <w:snapToGrid w:val="0"/>
              <w:spacing w:beforeLines="0" w:line="240" w:lineRule="auto"/>
              <w:jc w:val="center"/>
              <w:textAlignment w:val="center"/>
              <w:rPr>
                <w:kern w:val="0"/>
                <w:szCs w:val="21"/>
                <w:lang w:bidi="ar"/>
              </w:rPr>
            </w:pPr>
            <w:r>
              <w:rPr>
                <w:kern w:val="0"/>
                <w:szCs w:val="21"/>
                <w:lang w:bidi="ar"/>
              </w:rPr>
              <w:t>袋式除尘器</w:t>
            </w:r>
          </w:p>
        </w:tc>
        <w:tc>
          <w:tcPr>
            <w:tcW w:w="249" w:type="pct"/>
            <w:tcBorders>
              <w:tl2br w:val="nil"/>
              <w:tr2bl w:val="nil"/>
            </w:tcBorders>
            <w:vAlign w:val="center"/>
          </w:tcPr>
          <w:p w14:paraId="37404002">
            <w:pPr>
              <w:widowControl/>
              <w:adjustRightInd w:val="0"/>
              <w:snapToGrid w:val="0"/>
              <w:spacing w:beforeLines="0" w:line="240" w:lineRule="auto"/>
              <w:jc w:val="center"/>
              <w:textAlignment w:val="center"/>
              <w:rPr>
                <w:kern w:val="0"/>
                <w:szCs w:val="21"/>
                <w:lang w:bidi="ar"/>
              </w:rPr>
            </w:pPr>
            <w:r>
              <w:rPr>
                <w:kern w:val="0"/>
                <w:szCs w:val="21"/>
                <w:lang w:bidi="ar"/>
              </w:rPr>
              <w:t>90</w:t>
            </w:r>
          </w:p>
        </w:tc>
        <w:tc>
          <w:tcPr>
            <w:tcW w:w="248" w:type="pct"/>
            <w:tcBorders>
              <w:tl2br w:val="nil"/>
              <w:tr2bl w:val="nil"/>
            </w:tcBorders>
            <w:vAlign w:val="center"/>
          </w:tcPr>
          <w:p w14:paraId="36E45F86">
            <w:pPr>
              <w:widowControl/>
              <w:adjustRightInd w:val="0"/>
              <w:snapToGrid w:val="0"/>
              <w:spacing w:beforeLines="0" w:line="240" w:lineRule="auto"/>
              <w:jc w:val="center"/>
              <w:textAlignment w:val="center"/>
              <w:rPr>
                <w:kern w:val="0"/>
                <w:szCs w:val="21"/>
                <w:lang w:bidi="ar"/>
              </w:rPr>
            </w:pPr>
            <w:r>
              <w:rPr>
                <w:rFonts w:eastAsia="等线"/>
                <w:szCs w:val="21"/>
              </w:rPr>
              <w:t>99.6</w:t>
            </w:r>
          </w:p>
        </w:tc>
        <w:tc>
          <w:tcPr>
            <w:tcW w:w="449" w:type="pct"/>
            <w:tcBorders>
              <w:tl2br w:val="nil"/>
              <w:tr2bl w:val="nil"/>
            </w:tcBorders>
            <w:vAlign w:val="center"/>
          </w:tcPr>
          <w:p w14:paraId="72316680">
            <w:pPr>
              <w:widowControl/>
              <w:adjustRightInd w:val="0"/>
              <w:snapToGrid w:val="0"/>
              <w:spacing w:beforeLines="0" w:line="240" w:lineRule="auto"/>
              <w:jc w:val="center"/>
              <w:textAlignment w:val="center"/>
              <w:rPr>
                <w:kern w:val="0"/>
                <w:szCs w:val="21"/>
                <w:lang w:bidi="ar"/>
              </w:rPr>
            </w:pPr>
            <w:r>
              <w:rPr>
                <w:rFonts w:eastAsia="等线"/>
                <w:szCs w:val="21"/>
              </w:rPr>
              <w:t>0.49</w:t>
            </w:r>
          </w:p>
        </w:tc>
        <w:tc>
          <w:tcPr>
            <w:tcW w:w="384" w:type="pct"/>
            <w:tcBorders>
              <w:tl2br w:val="nil"/>
              <w:tr2bl w:val="nil"/>
            </w:tcBorders>
            <w:vAlign w:val="center"/>
          </w:tcPr>
          <w:p w14:paraId="6C363FFF">
            <w:pPr>
              <w:widowControl/>
              <w:adjustRightInd w:val="0"/>
              <w:snapToGrid w:val="0"/>
              <w:spacing w:beforeLines="0" w:line="240" w:lineRule="auto"/>
              <w:jc w:val="center"/>
              <w:textAlignment w:val="center"/>
              <w:rPr>
                <w:kern w:val="0"/>
                <w:szCs w:val="21"/>
                <w:lang w:bidi="ar"/>
              </w:rPr>
            </w:pPr>
            <w:r>
              <w:rPr>
                <w:rFonts w:eastAsia="等线"/>
                <w:szCs w:val="21"/>
              </w:rPr>
              <w:t>6.95</w:t>
            </w:r>
          </w:p>
        </w:tc>
        <w:tc>
          <w:tcPr>
            <w:tcW w:w="311" w:type="pct"/>
            <w:tcBorders>
              <w:tl2br w:val="nil"/>
              <w:tr2bl w:val="nil"/>
            </w:tcBorders>
            <w:vAlign w:val="center"/>
          </w:tcPr>
          <w:p w14:paraId="78421172">
            <w:pPr>
              <w:widowControl/>
              <w:adjustRightInd w:val="0"/>
              <w:snapToGrid w:val="0"/>
              <w:spacing w:beforeLines="0" w:line="240" w:lineRule="auto"/>
              <w:jc w:val="center"/>
              <w:textAlignment w:val="center"/>
              <w:rPr>
                <w:kern w:val="0"/>
                <w:szCs w:val="21"/>
                <w:lang w:bidi="ar"/>
              </w:rPr>
            </w:pPr>
            <w:r>
              <w:rPr>
                <w:rFonts w:eastAsia="等线"/>
                <w:szCs w:val="21"/>
              </w:rPr>
              <w:t>3.50</w:t>
            </w:r>
          </w:p>
        </w:tc>
        <w:tc>
          <w:tcPr>
            <w:tcW w:w="360" w:type="pct"/>
            <w:tcBorders>
              <w:tl2br w:val="nil"/>
              <w:tr2bl w:val="nil"/>
            </w:tcBorders>
            <w:vAlign w:val="center"/>
          </w:tcPr>
          <w:p w14:paraId="19A42D57">
            <w:pPr>
              <w:widowControl/>
              <w:adjustRightInd w:val="0"/>
              <w:snapToGrid w:val="0"/>
              <w:spacing w:before="0" w:beforeLines="0" w:line="240" w:lineRule="auto"/>
              <w:jc w:val="center"/>
              <w:textAlignment w:val="center"/>
              <w:rPr>
                <w:kern w:val="0"/>
                <w:szCs w:val="21"/>
                <w:lang w:bidi="ar"/>
              </w:rPr>
            </w:pPr>
            <w:r>
              <w:rPr>
                <w:kern w:val="0"/>
                <w:szCs w:val="21"/>
                <w:lang w:bidi="ar"/>
              </w:rPr>
              <w:t>DA001</w:t>
            </w:r>
          </w:p>
        </w:tc>
      </w:tr>
      <w:tr w14:paraId="2743C71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53" w:type="pct"/>
            <w:vMerge w:val="continue"/>
            <w:tcBorders>
              <w:tl2br w:val="nil"/>
              <w:tr2bl w:val="nil"/>
            </w:tcBorders>
            <w:vAlign w:val="center"/>
          </w:tcPr>
          <w:p w14:paraId="30C2E7DA">
            <w:pPr>
              <w:adjustRightInd w:val="0"/>
              <w:snapToGrid w:val="0"/>
              <w:spacing w:before="0" w:beforeLines="0" w:line="240" w:lineRule="auto"/>
              <w:jc w:val="center"/>
              <w:rPr>
                <w:szCs w:val="21"/>
              </w:rPr>
            </w:pPr>
          </w:p>
        </w:tc>
        <w:tc>
          <w:tcPr>
            <w:tcW w:w="682" w:type="pct"/>
            <w:tcBorders>
              <w:tl2br w:val="nil"/>
              <w:tr2bl w:val="nil"/>
            </w:tcBorders>
            <w:vAlign w:val="center"/>
          </w:tcPr>
          <w:p w14:paraId="404568FE">
            <w:pPr>
              <w:widowControl/>
              <w:adjustRightInd w:val="0"/>
              <w:snapToGrid w:val="0"/>
              <w:spacing w:before="0" w:beforeLines="0" w:line="240" w:lineRule="auto"/>
              <w:jc w:val="center"/>
              <w:textAlignment w:val="center"/>
              <w:rPr>
                <w:kern w:val="0"/>
                <w:szCs w:val="21"/>
                <w:lang w:bidi="ar"/>
              </w:rPr>
            </w:pPr>
            <w:r>
              <w:rPr>
                <w:kern w:val="0"/>
                <w:szCs w:val="21"/>
                <w:lang w:bidi="ar"/>
              </w:rPr>
              <w:t>G2</w:t>
            </w:r>
          </w:p>
        </w:tc>
        <w:tc>
          <w:tcPr>
            <w:tcW w:w="423" w:type="pct"/>
            <w:tcBorders>
              <w:tl2br w:val="nil"/>
              <w:tr2bl w:val="nil"/>
            </w:tcBorders>
            <w:vAlign w:val="center"/>
          </w:tcPr>
          <w:p w14:paraId="41D9A719">
            <w:pPr>
              <w:widowControl/>
              <w:adjustRightInd w:val="0"/>
              <w:snapToGrid w:val="0"/>
              <w:spacing w:before="0" w:beforeLines="0" w:line="240" w:lineRule="auto"/>
              <w:jc w:val="center"/>
              <w:textAlignment w:val="center"/>
              <w:rPr>
                <w:kern w:val="0"/>
                <w:szCs w:val="21"/>
                <w:lang w:bidi="ar"/>
              </w:rPr>
            </w:pPr>
            <w:r>
              <w:rPr>
                <w:kern w:val="0"/>
                <w:szCs w:val="21"/>
                <w:lang w:bidi="ar"/>
              </w:rPr>
              <w:t>颗粒物</w:t>
            </w:r>
          </w:p>
        </w:tc>
        <w:tc>
          <w:tcPr>
            <w:tcW w:w="313" w:type="pct"/>
            <w:tcBorders>
              <w:tl2br w:val="nil"/>
              <w:tr2bl w:val="nil"/>
            </w:tcBorders>
            <w:vAlign w:val="center"/>
          </w:tcPr>
          <w:p w14:paraId="55EC4738">
            <w:pPr>
              <w:widowControl/>
              <w:adjustRightInd w:val="0"/>
              <w:snapToGrid w:val="0"/>
              <w:spacing w:beforeLines="0" w:line="240" w:lineRule="auto"/>
              <w:jc w:val="center"/>
              <w:textAlignment w:val="center"/>
              <w:rPr>
                <w:kern w:val="0"/>
                <w:szCs w:val="21"/>
                <w:lang w:bidi="ar"/>
              </w:rPr>
            </w:pPr>
            <w:r>
              <w:rPr>
                <w:rFonts w:eastAsia="等线"/>
                <w:szCs w:val="21"/>
              </w:rPr>
              <w:t>70000</w:t>
            </w:r>
          </w:p>
        </w:tc>
        <w:tc>
          <w:tcPr>
            <w:tcW w:w="303" w:type="pct"/>
            <w:tcBorders>
              <w:tl2br w:val="nil"/>
              <w:tr2bl w:val="nil"/>
            </w:tcBorders>
            <w:vAlign w:val="center"/>
          </w:tcPr>
          <w:p w14:paraId="647500B7">
            <w:pPr>
              <w:widowControl/>
              <w:spacing w:before="0" w:beforeLines="0" w:line="240" w:lineRule="auto"/>
              <w:jc w:val="center"/>
              <w:rPr>
                <w:kern w:val="0"/>
                <w:szCs w:val="21"/>
                <w:lang w:bidi="ar"/>
              </w:rPr>
            </w:pPr>
            <w:r>
              <w:rPr>
                <w:rFonts w:eastAsia="等线"/>
                <w:szCs w:val="21"/>
              </w:rPr>
              <w:t>951.4</w:t>
            </w:r>
          </w:p>
        </w:tc>
        <w:tc>
          <w:tcPr>
            <w:tcW w:w="361" w:type="pct"/>
            <w:tcBorders>
              <w:tl2br w:val="nil"/>
              <w:tr2bl w:val="nil"/>
            </w:tcBorders>
            <w:vAlign w:val="center"/>
          </w:tcPr>
          <w:p w14:paraId="77A9505B">
            <w:pPr>
              <w:widowControl/>
              <w:adjustRightInd w:val="0"/>
              <w:snapToGrid w:val="0"/>
              <w:spacing w:beforeLines="0" w:line="240" w:lineRule="auto"/>
              <w:jc w:val="center"/>
              <w:textAlignment w:val="center"/>
              <w:rPr>
                <w:kern w:val="0"/>
                <w:szCs w:val="21"/>
                <w:lang w:bidi="ar"/>
              </w:rPr>
            </w:pPr>
            <w:r>
              <w:rPr>
                <w:rFonts w:eastAsia="等线"/>
                <w:szCs w:val="21"/>
              </w:rPr>
              <w:t>1887.7</w:t>
            </w:r>
          </w:p>
        </w:tc>
        <w:tc>
          <w:tcPr>
            <w:tcW w:w="764" w:type="pct"/>
            <w:tcBorders>
              <w:tl2br w:val="nil"/>
              <w:tr2bl w:val="nil"/>
            </w:tcBorders>
            <w:vAlign w:val="center"/>
          </w:tcPr>
          <w:p w14:paraId="357CB822">
            <w:pPr>
              <w:widowControl/>
              <w:adjustRightInd w:val="0"/>
              <w:snapToGrid w:val="0"/>
              <w:spacing w:beforeLines="0" w:line="240" w:lineRule="auto"/>
              <w:jc w:val="center"/>
              <w:textAlignment w:val="center"/>
              <w:rPr>
                <w:kern w:val="0"/>
                <w:szCs w:val="21"/>
                <w:lang w:bidi="ar"/>
              </w:rPr>
            </w:pPr>
            <w:r>
              <w:rPr>
                <w:kern w:val="0"/>
                <w:szCs w:val="21"/>
                <w:lang w:bidi="ar"/>
              </w:rPr>
              <w:t>袋式除尘器</w:t>
            </w:r>
          </w:p>
        </w:tc>
        <w:tc>
          <w:tcPr>
            <w:tcW w:w="249" w:type="pct"/>
            <w:tcBorders>
              <w:tl2br w:val="nil"/>
              <w:tr2bl w:val="nil"/>
            </w:tcBorders>
            <w:vAlign w:val="center"/>
          </w:tcPr>
          <w:p w14:paraId="0CB0BA9C">
            <w:pPr>
              <w:widowControl/>
              <w:adjustRightInd w:val="0"/>
              <w:snapToGrid w:val="0"/>
              <w:spacing w:beforeLines="0" w:line="240" w:lineRule="auto"/>
              <w:jc w:val="center"/>
              <w:textAlignment w:val="center"/>
              <w:rPr>
                <w:kern w:val="0"/>
                <w:szCs w:val="21"/>
                <w:lang w:bidi="ar"/>
              </w:rPr>
            </w:pPr>
            <w:r>
              <w:rPr>
                <w:kern w:val="0"/>
                <w:szCs w:val="21"/>
                <w:lang w:bidi="ar"/>
              </w:rPr>
              <w:t>95</w:t>
            </w:r>
          </w:p>
        </w:tc>
        <w:tc>
          <w:tcPr>
            <w:tcW w:w="248" w:type="pct"/>
            <w:tcBorders>
              <w:tl2br w:val="nil"/>
              <w:tr2bl w:val="nil"/>
            </w:tcBorders>
            <w:vAlign w:val="center"/>
          </w:tcPr>
          <w:p w14:paraId="72F3A65F">
            <w:pPr>
              <w:widowControl/>
              <w:adjustRightInd w:val="0"/>
              <w:snapToGrid w:val="0"/>
              <w:spacing w:beforeLines="0" w:line="240" w:lineRule="auto"/>
              <w:jc w:val="center"/>
              <w:textAlignment w:val="center"/>
              <w:rPr>
                <w:kern w:val="0"/>
                <w:szCs w:val="21"/>
                <w:lang w:bidi="ar"/>
              </w:rPr>
            </w:pPr>
            <w:r>
              <w:rPr>
                <w:rFonts w:eastAsia="等线"/>
                <w:szCs w:val="21"/>
              </w:rPr>
              <w:t>99.6</w:t>
            </w:r>
          </w:p>
        </w:tc>
        <w:tc>
          <w:tcPr>
            <w:tcW w:w="449" w:type="pct"/>
            <w:tcBorders>
              <w:tl2br w:val="nil"/>
              <w:tr2bl w:val="nil"/>
            </w:tcBorders>
            <w:vAlign w:val="center"/>
          </w:tcPr>
          <w:p w14:paraId="08427118">
            <w:pPr>
              <w:widowControl/>
              <w:adjustRightInd w:val="0"/>
              <w:snapToGrid w:val="0"/>
              <w:spacing w:beforeLines="0" w:line="240" w:lineRule="auto"/>
              <w:jc w:val="center"/>
              <w:textAlignment w:val="center"/>
              <w:rPr>
                <w:kern w:val="0"/>
                <w:szCs w:val="21"/>
                <w:lang w:bidi="ar"/>
              </w:rPr>
            </w:pPr>
            <w:r>
              <w:rPr>
                <w:rFonts w:eastAsia="等线"/>
                <w:szCs w:val="21"/>
              </w:rPr>
              <w:t>0.50</w:t>
            </w:r>
          </w:p>
        </w:tc>
        <w:tc>
          <w:tcPr>
            <w:tcW w:w="384" w:type="pct"/>
            <w:tcBorders>
              <w:tl2br w:val="nil"/>
              <w:tr2bl w:val="nil"/>
            </w:tcBorders>
            <w:vAlign w:val="center"/>
          </w:tcPr>
          <w:p w14:paraId="77F94C74">
            <w:pPr>
              <w:widowControl/>
              <w:adjustRightInd w:val="0"/>
              <w:snapToGrid w:val="0"/>
              <w:spacing w:beforeLines="0" w:line="240" w:lineRule="auto"/>
              <w:jc w:val="center"/>
              <w:textAlignment w:val="center"/>
              <w:rPr>
                <w:kern w:val="0"/>
                <w:szCs w:val="21"/>
                <w:lang w:bidi="ar"/>
              </w:rPr>
            </w:pPr>
            <w:r>
              <w:rPr>
                <w:rFonts w:eastAsia="等线"/>
                <w:szCs w:val="21"/>
              </w:rPr>
              <w:t>7.17</w:t>
            </w:r>
          </w:p>
        </w:tc>
        <w:tc>
          <w:tcPr>
            <w:tcW w:w="311" w:type="pct"/>
            <w:tcBorders>
              <w:tl2br w:val="nil"/>
              <w:tr2bl w:val="nil"/>
            </w:tcBorders>
            <w:vAlign w:val="center"/>
          </w:tcPr>
          <w:p w14:paraId="31F6FAD3">
            <w:pPr>
              <w:widowControl/>
              <w:adjustRightInd w:val="0"/>
              <w:snapToGrid w:val="0"/>
              <w:spacing w:beforeLines="0" w:line="240" w:lineRule="auto"/>
              <w:jc w:val="center"/>
              <w:textAlignment w:val="center"/>
              <w:rPr>
                <w:kern w:val="0"/>
                <w:szCs w:val="21"/>
                <w:lang w:bidi="ar"/>
              </w:rPr>
            </w:pPr>
            <w:r>
              <w:rPr>
                <w:rFonts w:eastAsia="等线"/>
                <w:szCs w:val="21"/>
              </w:rPr>
              <w:t>3.62</w:t>
            </w:r>
          </w:p>
        </w:tc>
        <w:tc>
          <w:tcPr>
            <w:tcW w:w="360" w:type="pct"/>
            <w:tcBorders>
              <w:tl2br w:val="nil"/>
              <w:tr2bl w:val="nil"/>
            </w:tcBorders>
            <w:vAlign w:val="center"/>
          </w:tcPr>
          <w:p w14:paraId="6B012DB7">
            <w:pPr>
              <w:widowControl/>
              <w:adjustRightInd w:val="0"/>
              <w:snapToGrid w:val="0"/>
              <w:spacing w:before="0" w:beforeLines="0" w:line="240" w:lineRule="auto"/>
              <w:jc w:val="center"/>
              <w:textAlignment w:val="center"/>
              <w:rPr>
                <w:kern w:val="0"/>
                <w:szCs w:val="21"/>
                <w:lang w:bidi="ar"/>
              </w:rPr>
            </w:pPr>
            <w:r>
              <w:rPr>
                <w:kern w:val="0"/>
                <w:szCs w:val="21"/>
                <w:lang w:bidi="ar"/>
              </w:rPr>
              <w:t>DA002</w:t>
            </w:r>
          </w:p>
        </w:tc>
      </w:tr>
      <w:tr w14:paraId="27D78D3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53" w:type="pct"/>
            <w:vMerge w:val="continue"/>
            <w:tcBorders>
              <w:tl2br w:val="nil"/>
              <w:tr2bl w:val="nil"/>
            </w:tcBorders>
            <w:vAlign w:val="center"/>
          </w:tcPr>
          <w:p w14:paraId="6E3A39F0">
            <w:pPr>
              <w:adjustRightInd w:val="0"/>
              <w:snapToGrid w:val="0"/>
              <w:spacing w:before="0" w:beforeLines="0" w:line="240" w:lineRule="auto"/>
              <w:jc w:val="center"/>
              <w:rPr>
                <w:szCs w:val="21"/>
              </w:rPr>
            </w:pPr>
          </w:p>
        </w:tc>
        <w:tc>
          <w:tcPr>
            <w:tcW w:w="682" w:type="pct"/>
            <w:tcBorders>
              <w:tl2br w:val="nil"/>
              <w:tr2bl w:val="nil"/>
            </w:tcBorders>
            <w:vAlign w:val="center"/>
          </w:tcPr>
          <w:p w14:paraId="4ACD91F1">
            <w:pPr>
              <w:widowControl/>
              <w:adjustRightInd w:val="0"/>
              <w:snapToGrid w:val="0"/>
              <w:spacing w:before="0" w:beforeLines="0" w:line="240" w:lineRule="auto"/>
              <w:jc w:val="center"/>
              <w:textAlignment w:val="center"/>
              <w:rPr>
                <w:kern w:val="0"/>
                <w:szCs w:val="21"/>
                <w:lang w:bidi="ar"/>
              </w:rPr>
            </w:pPr>
            <w:r>
              <w:rPr>
                <w:kern w:val="0"/>
                <w:szCs w:val="21"/>
                <w:lang w:bidi="ar"/>
              </w:rPr>
              <w:t>G3</w:t>
            </w:r>
            <w:r>
              <w:rPr>
                <w:rFonts w:hint="eastAsia"/>
                <w:kern w:val="0"/>
                <w:szCs w:val="21"/>
                <w:lang w:bidi="ar"/>
              </w:rPr>
              <w:t>、G4</w:t>
            </w:r>
          </w:p>
        </w:tc>
        <w:tc>
          <w:tcPr>
            <w:tcW w:w="423" w:type="pct"/>
            <w:tcBorders>
              <w:tl2br w:val="nil"/>
              <w:tr2bl w:val="nil"/>
            </w:tcBorders>
            <w:vAlign w:val="center"/>
          </w:tcPr>
          <w:p w14:paraId="4B6497CD">
            <w:pPr>
              <w:widowControl/>
              <w:adjustRightInd w:val="0"/>
              <w:snapToGrid w:val="0"/>
              <w:spacing w:before="0" w:beforeLines="0" w:line="240" w:lineRule="auto"/>
              <w:jc w:val="center"/>
              <w:textAlignment w:val="center"/>
              <w:rPr>
                <w:kern w:val="0"/>
                <w:szCs w:val="21"/>
                <w:lang w:bidi="ar"/>
              </w:rPr>
            </w:pPr>
            <w:r>
              <w:rPr>
                <w:kern w:val="0"/>
                <w:szCs w:val="21"/>
                <w:lang w:bidi="ar"/>
              </w:rPr>
              <w:t>颗粒物</w:t>
            </w:r>
          </w:p>
        </w:tc>
        <w:tc>
          <w:tcPr>
            <w:tcW w:w="313" w:type="pct"/>
            <w:tcBorders>
              <w:tl2br w:val="nil"/>
              <w:tr2bl w:val="nil"/>
            </w:tcBorders>
            <w:vAlign w:val="center"/>
          </w:tcPr>
          <w:p w14:paraId="6D2077B9">
            <w:pPr>
              <w:widowControl/>
              <w:adjustRightInd w:val="0"/>
              <w:snapToGrid w:val="0"/>
              <w:spacing w:beforeLines="0" w:line="240" w:lineRule="auto"/>
              <w:jc w:val="center"/>
              <w:textAlignment w:val="center"/>
              <w:rPr>
                <w:kern w:val="0"/>
                <w:szCs w:val="21"/>
                <w:lang w:bidi="ar"/>
              </w:rPr>
            </w:pPr>
            <w:r>
              <w:rPr>
                <w:rFonts w:hint="eastAsia" w:eastAsia="等线"/>
                <w:szCs w:val="21"/>
              </w:rPr>
              <w:t>10</w:t>
            </w:r>
            <w:r>
              <w:rPr>
                <w:rFonts w:eastAsia="等线"/>
                <w:szCs w:val="21"/>
              </w:rPr>
              <w:t>0000</w:t>
            </w:r>
          </w:p>
        </w:tc>
        <w:tc>
          <w:tcPr>
            <w:tcW w:w="303" w:type="pct"/>
            <w:tcBorders>
              <w:tl2br w:val="nil"/>
              <w:tr2bl w:val="nil"/>
            </w:tcBorders>
            <w:vAlign w:val="center"/>
          </w:tcPr>
          <w:p w14:paraId="119DF5C3">
            <w:pPr>
              <w:widowControl/>
              <w:adjustRightInd w:val="0"/>
              <w:snapToGrid w:val="0"/>
              <w:spacing w:beforeLines="0" w:line="240" w:lineRule="auto"/>
              <w:jc w:val="center"/>
              <w:textAlignment w:val="center"/>
              <w:rPr>
                <w:kern w:val="0"/>
                <w:szCs w:val="21"/>
                <w:lang w:bidi="ar"/>
              </w:rPr>
            </w:pPr>
            <w:r>
              <w:rPr>
                <w:rFonts w:hint="eastAsia" w:eastAsia="等线"/>
                <w:szCs w:val="21"/>
              </w:rPr>
              <w:t>1212.4</w:t>
            </w:r>
          </w:p>
        </w:tc>
        <w:tc>
          <w:tcPr>
            <w:tcW w:w="361" w:type="pct"/>
            <w:tcBorders>
              <w:tl2br w:val="nil"/>
              <w:tr2bl w:val="nil"/>
            </w:tcBorders>
            <w:vAlign w:val="center"/>
          </w:tcPr>
          <w:p w14:paraId="73E9EF90">
            <w:pPr>
              <w:widowControl/>
              <w:adjustRightInd w:val="0"/>
              <w:snapToGrid w:val="0"/>
              <w:spacing w:beforeLines="0" w:line="240" w:lineRule="auto"/>
              <w:jc w:val="center"/>
              <w:textAlignment w:val="center"/>
              <w:rPr>
                <w:szCs w:val="21"/>
              </w:rPr>
            </w:pPr>
            <w:r>
              <w:rPr>
                <w:rFonts w:eastAsia="等线"/>
                <w:szCs w:val="21"/>
              </w:rPr>
              <w:t>1569.9</w:t>
            </w:r>
          </w:p>
        </w:tc>
        <w:tc>
          <w:tcPr>
            <w:tcW w:w="764" w:type="pct"/>
            <w:tcBorders>
              <w:tl2br w:val="nil"/>
              <w:tr2bl w:val="nil"/>
            </w:tcBorders>
            <w:vAlign w:val="center"/>
          </w:tcPr>
          <w:p w14:paraId="70984A37">
            <w:pPr>
              <w:widowControl/>
              <w:adjustRightInd w:val="0"/>
              <w:snapToGrid w:val="0"/>
              <w:spacing w:beforeLines="0" w:line="240" w:lineRule="auto"/>
              <w:jc w:val="center"/>
              <w:textAlignment w:val="center"/>
              <w:rPr>
                <w:kern w:val="0"/>
                <w:szCs w:val="21"/>
                <w:lang w:bidi="ar"/>
              </w:rPr>
            </w:pPr>
            <w:r>
              <w:rPr>
                <w:kern w:val="0"/>
                <w:szCs w:val="21"/>
                <w:lang w:bidi="ar"/>
              </w:rPr>
              <w:t>袋式除尘器</w:t>
            </w:r>
          </w:p>
        </w:tc>
        <w:tc>
          <w:tcPr>
            <w:tcW w:w="249" w:type="pct"/>
            <w:tcBorders>
              <w:tl2br w:val="nil"/>
              <w:tr2bl w:val="nil"/>
            </w:tcBorders>
            <w:vAlign w:val="center"/>
          </w:tcPr>
          <w:p w14:paraId="1D641732">
            <w:pPr>
              <w:widowControl/>
              <w:adjustRightInd w:val="0"/>
              <w:snapToGrid w:val="0"/>
              <w:spacing w:beforeLines="0" w:line="240" w:lineRule="auto"/>
              <w:jc w:val="center"/>
              <w:textAlignment w:val="center"/>
              <w:rPr>
                <w:kern w:val="0"/>
                <w:szCs w:val="21"/>
                <w:lang w:bidi="ar"/>
              </w:rPr>
            </w:pPr>
            <w:r>
              <w:rPr>
                <w:kern w:val="0"/>
                <w:szCs w:val="21"/>
                <w:lang w:bidi="ar"/>
              </w:rPr>
              <w:t>95</w:t>
            </w:r>
          </w:p>
        </w:tc>
        <w:tc>
          <w:tcPr>
            <w:tcW w:w="248" w:type="pct"/>
            <w:tcBorders>
              <w:tl2br w:val="nil"/>
              <w:tr2bl w:val="nil"/>
            </w:tcBorders>
            <w:vAlign w:val="center"/>
          </w:tcPr>
          <w:p w14:paraId="23DA8C58">
            <w:pPr>
              <w:widowControl/>
              <w:adjustRightInd w:val="0"/>
              <w:snapToGrid w:val="0"/>
              <w:spacing w:beforeLines="0" w:line="240" w:lineRule="auto"/>
              <w:jc w:val="center"/>
              <w:textAlignment w:val="center"/>
              <w:rPr>
                <w:kern w:val="0"/>
                <w:szCs w:val="21"/>
                <w:lang w:bidi="ar"/>
              </w:rPr>
            </w:pPr>
            <w:r>
              <w:rPr>
                <w:rFonts w:eastAsia="等线"/>
                <w:szCs w:val="21"/>
              </w:rPr>
              <w:t>99.6</w:t>
            </w:r>
          </w:p>
        </w:tc>
        <w:tc>
          <w:tcPr>
            <w:tcW w:w="449" w:type="pct"/>
            <w:tcBorders>
              <w:tl2br w:val="nil"/>
              <w:tr2bl w:val="nil"/>
            </w:tcBorders>
            <w:vAlign w:val="center"/>
          </w:tcPr>
          <w:p w14:paraId="1246C1C5">
            <w:pPr>
              <w:widowControl/>
              <w:adjustRightInd w:val="0"/>
              <w:snapToGrid w:val="0"/>
              <w:spacing w:beforeLines="0" w:line="240" w:lineRule="auto"/>
              <w:jc w:val="center"/>
              <w:textAlignment w:val="center"/>
              <w:rPr>
                <w:szCs w:val="21"/>
              </w:rPr>
            </w:pPr>
            <w:r>
              <w:rPr>
                <w:rFonts w:hint="eastAsia" w:eastAsia="等线"/>
                <w:szCs w:val="21"/>
              </w:rPr>
              <w:t>0.64</w:t>
            </w:r>
          </w:p>
        </w:tc>
        <w:tc>
          <w:tcPr>
            <w:tcW w:w="384" w:type="pct"/>
            <w:tcBorders>
              <w:tl2br w:val="nil"/>
              <w:tr2bl w:val="nil"/>
            </w:tcBorders>
            <w:vAlign w:val="center"/>
          </w:tcPr>
          <w:p w14:paraId="3F846614">
            <w:pPr>
              <w:widowControl/>
              <w:adjustRightInd w:val="0"/>
              <w:snapToGrid w:val="0"/>
              <w:spacing w:beforeLines="0" w:line="240" w:lineRule="auto"/>
              <w:jc w:val="center"/>
              <w:textAlignment w:val="center"/>
              <w:rPr>
                <w:szCs w:val="21"/>
              </w:rPr>
            </w:pPr>
            <w:r>
              <w:rPr>
                <w:rFonts w:hint="eastAsia" w:eastAsia="等线"/>
                <w:szCs w:val="21"/>
              </w:rPr>
              <w:t>6.40</w:t>
            </w:r>
          </w:p>
        </w:tc>
        <w:tc>
          <w:tcPr>
            <w:tcW w:w="311" w:type="pct"/>
            <w:tcBorders>
              <w:tl2br w:val="nil"/>
              <w:tr2bl w:val="nil"/>
            </w:tcBorders>
            <w:vAlign w:val="center"/>
          </w:tcPr>
          <w:p w14:paraId="554CD9FE">
            <w:pPr>
              <w:widowControl/>
              <w:adjustRightInd w:val="0"/>
              <w:snapToGrid w:val="0"/>
              <w:spacing w:beforeLines="0" w:line="240" w:lineRule="auto"/>
              <w:jc w:val="center"/>
              <w:textAlignment w:val="center"/>
              <w:rPr>
                <w:kern w:val="0"/>
                <w:szCs w:val="21"/>
                <w:lang w:bidi="ar"/>
              </w:rPr>
            </w:pPr>
            <w:r>
              <w:rPr>
                <w:rFonts w:hint="eastAsia" w:eastAsia="等线"/>
                <w:szCs w:val="21"/>
              </w:rPr>
              <w:t>4.61</w:t>
            </w:r>
          </w:p>
        </w:tc>
        <w:tc>
          <w:tcPr>
            <w:tcW w:w="360" w:type="pct"/>
            <w:tcBorders>
              <w:tl2br w:val="nil"/>
              <w:tr2bl w:val="nil"/>
            </w:tcBorders>
            <w:vAlign w:val="center"/>
          </w:tcPr>
          <w:p w14:paraId="0053BF1E">
            <w:pPr>
              <w:widowControl/>
              <w:adjustRightInd w:val="0"/>
              <w:snapToGrid w:val="0"/>
              <w:spacing w:before="0" w:beforeLines="0" w:line="240" w:lineRule="auto"/>
              <w:jc w:val="center"/>
              <w:textAlignment w:val="center"/>
              <w:rPr>
                <w:kern w:val="0"/>
                <w:szCs w:val="21"/>
                <w:lang w:bidi="ar"/>
              </w:rPr>
            </w:pPr>
            <w:r>
              <w:rPr>
                <w:kern w:val="0"/>
                <w:szCs w:val="21"/>
                <w:lang w:bidi="ar"/>
              </w:rPr>
              <w:t>DA003</w:t>
            </w:r>
          </w:p>
        </w:tc>
      </w:tr>
      <w:tr w14:paraId="307F021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53" w:type="pct"/>
            <w:vMerge w:val="continue"/>
            <w:tcBorders>
              <w:tl2br w:val="nil"/>
              <w:tr2bl w:val="nil"/>
            </w:tcBorders>
            <w:vAlign w:val="center"/>
          </w:tcPr>
          <w:p w14:paraId="3941F801">
            <w:pPr>
              <w:adjustRightInd w:val="0"/>
              <w:snapToGrid w:val="0"/>
              <w:spacing w:before="0" w:beforeLines="0" w:line="240" w:lineRule="auto"/>
              <w:jc w:val="center"/>
              <w:rPr>
                <w:szCs w:val="21"/>
              </w:rPr>
            </w:pPr>
          </w:p>
        </w:tc>
        <w:tc>
          <w:tcPr>
            <w:tcW w:w="682" w:type="pct"/>
            <w:tcBorders>
              <w:tl2br w:val="nil"/>
              <w:tr2bl w:val="nil"/>
            </w:tcBorders>
            <w:vAlign w:val="center"/>
          </w:tcPr>
          <w:p w14:paraId="32D3FE21">
            <w:pPr>
              <w:widowControl/>
              <w:adjustRightInd w:val="0"/>
              <w:snapToGrid w:val="0"/>
              <w:spacing w:before="0" w:beforeLines="0" w:line="240" w:lineRule="auto"/>
              <w:jc w:val="center"/>
              <w:textAlignment w:val="center"/>
              <w:rPr>
                <w:kern w:val="0"/>
                <w:szCs w:val="21"/>
                <w:lang w:bidi="ar"/>
              </w:rPr>
            </w:pPr>
            <w:r>
              <w:rPr>
                <w:kern w:val="0"/>
                <w:szCs w:val="21"/>
                <w:lang w:bidi="ar"/>
              </w:rPr>
              <w:t>G5</w:t>
            </w:r>
            <w:r>
              <w:rPr>
                <w:rFonts w:hint="eastAsia"/>
                <w:kern w:val="0"/>
                <w:szCs w:val="21"/>
                <w:lang w:bidi="ar"/>
              </w:rPr>
              <w:t>-</w:t>
            </w:r>
            <w:r>
              <w:rPr>
                <w:kern w:val="0"/>
                <w:szCs w:val="21"/>
                <w:lang w:bidi="ar"/>
              </w:rPr>
              <w:t>G10</w:t>
            </w:r>
          </w:p>
        </w:tc>
        <w:tc>
          <w:tcPr>
            <w:tcW w:w="423" w:type="pct"/>
            <w:tcBorders>
              <w:tl2br w:val="nil"/>
              <w:tr2bl w:val="nil"/>
            </w:tcBorders>
            <w:vAlign w:val="center"/>
          </w:tcPr>
          <w:p w14:paraId="09C90192">
            <w:pPr>
              <w:widowControl/>
              <w:adjustRightInd w:val="0"/>
              <w:snapToGrid w:val="0"/>
              <w:spacing w:before="0" w:beforeLines="0" w:line="240" w:lineRule="auto"/>
              <w:jc w:val="center"/>
              <w:textAlignment w:val="center"/>
              <w:rPr>
                <w:kern w:val="0"/>
                <w:szCs w:val="21"/>
                <w:lang w:bidi="ar"/>
              </w:rPr>
            </w:pPr>
            <w:r>
              <w:rPr>
                <w:kern w:val="0"/>
                <w:szCs w:val="21"/>
                <w:lang w:bidi="ar"/>
              </w:rPr>
              <w:t>颗粒物</w:t>
            </w:r>
          </w:p>
        </w:tc>
        <w:tc>
          <w:tcPr>
            <w:tcW w:w="313" w:type="pct"/>
            <w:tcBorders>
              <w:tl2br w:val="nil"/>
              <w:tr2bl w:val="nil"/>
            </w:tcBorders>
            <w:vAlign w:val="center"/>
          </w:tcPr>
          <w:p w14:paraId="7F4DFFBF">
            <w:pPr>
              <w:widowControl/>
              <w:adjustRightInd w:val="0"/>
              <w:snapToGrid w:val="0"/>
              <w:spacing w:beforeLines="0" w:line="240" w:lineRule="auto"/>
              <w:jc w:val="center"/>
              <w:textAlignment w:val="center"/>
              <w:rPr>
                <w:kern w:val="0"/>
                <w:szCs w:val="21"/>
                <w:lang w:bidi="ar"/>
              </w:rPr>
            </w:pPr>
            <w:r>
              <w:rPr>
                <w:rFonts w:eastAsia="等线"/>
                <w:szCs w:val="21"/>
              </w:rPr>
              <w:t>40000</w:t>
            </w:r>
          </w:p>
        </w:tc>
        <w:tc>
          <w:tcPr>
            <w:tcW w:w="303" w:type="pct"/>
            <w:tcBorders>
              <w:tl2br w:val="nil"/>
              <w:tr2bl w:val="nil"/>
            </w:tcBorders>
            <w:vAlign w:val="center"/>
          </w:tcPr>
          <w:p w14:paraId="6E594E0D">
            <w:pPr>
              <w:widowControl/>
              <w:adjustRightInd w:val="0"/>
              <w:snapToGrid w:val="0"/>
              <w:spacing w:beforeLines="0" w:line="240" w:lineRule="auto"/>
              <w:jc w:val="center"/>
              <w:textAlignment w:val="center"/>
              <w:rPr>
                <w:kern w:val="0"/>
                <w:szCs w:val="21"/>
                <w:lang w:bidi="ar"/>
              </w:rPr>
            </w:pPr>
            <w:r>
              <w:rPr>
                <w:rFonts w:eastAsia="等线"/>
                <w:szCs w:val="21"/>
              </w:rPr>
              <w:t>448.65</w:t>
            </w:r>
          </w:p>
        </w:tc>
        <w:tc>
          <w:tcPr>
            <w:tcW w:w="361" w:type="pct"/>
            <w:tcBorders>
              <w:tl2br w:val="nil"/>
              <w:tr2bl w:val="nil"/>
            </w:tcBorders>
            <w:vAlign w:val="center"/>
          </w:tcPr>
          <w:p w14:paraId="731438BD">
            <w:pPr>
              <w:widowControl/>
              <w:adjustRightInd w:val="0"/>
              <w:snapToGrid w:val="0"/>
              <w:spacing w:beforeLines="0" w:line="240" w:lineRule="auto"/>
              <w:jc w:val="center"/>
              <w:textAlignment w:val="center"/>
              <w:rPr>
                <w:kern w:val="0"/>
                <w:szCs w:val="21"/>
                <w:lang w:bidi="ar"/>
              </w:rPr>
            </w:pPr>
            <w:r>
              <w:rPr>
                <w:rFonts w:eastAsia="等线"/>
                <w:szCs w:val="21"/>
              </w:rPr>
              <w:t>1557.8</w:t>
            </w:r>
          </w:p>
        </w:tc>
        <w:tc>
          <w:tcPr>
            <w:tcW w:w="764" w:type="pct"/>
            <w:tcBorders>
              <w:tl2br w:val="nil"/>
              <w:tr2bl w:val="nil"/>
            </w:tcBorders>
            <w:vAlign w:val="center"/>
          </w:tcPr>
          <w:p w14:paraId="69D199C7">
            <w:pPr>
              <w:widowControl/>
              <w:adjustRightInd w:val="0"/>
              <w:snapToGrid w:val="0"/>
              <w:spacing w:beforeLines="0" w:line="240" w:lineRule="auto"/>
              <w:jc w:val="center"/>
              <w:textAlignment w:val="center"/>
              <w:rPr>
                <w:kern w:val="0"/>
                <w:szCs w:val="21"/>
                <w:lang w:bidi="ar"/>
              </w:rPr>
            </w:pPr>
            <w:r>
              <w:rPr>
                <w:kern w:val="0"/>
                <w:szCs w:val="21"/>
                <w:lang w:bidi="ar"/>
              </w:rPr>
              <w:t>袋式除尘器</w:t>
            </w:r>
          </w:p>
        </w:tc>
        <w:tc>
          <w:tcPr>
            <w:tcW w:w="249" w:type="pct"/>
            <w:tcBorders>
              <w:tl2br w:val="nil"/>
              <w:tr2bl w:val="nil"/>
            </w:tcBorders>
            <w:vAlign w:val="center"/>
          </w:tcPr>
          <w:p w14:paraId="29054F85">
            <w:pPr>
              <w:widowControl/>
              <w:adjustRightInd w:val="0"/>
              <w:snapToGrid w:val="0"/>
              <w:spacing w:beforeLines="0" w:line="240" w:lineRule="auto"/>
              <w:jc w:val="center"/>
              <w:textAlignment w:val="center"/>
              <w:rPr>
                <w:kern w:val="0"/>
                <w:szCs w:val="21"/>
                <w:lang w:bidi="ar"/>
              </w:rPr>
            </w:pPr>
            <w:r>
              <w:rPr>
                <w:rFonts w:hint="eastAsia"/>
                <w:kern w:val="0"/>
                <w:szCs w:val="21"/>
                <w:lang w:bidi="ar"/>
              </w:rPr>
              <w:t>95</w:t>
            </w:r>
          </w:p>
        </w:tc>
        <w:tc>
          <w:tcPr>
            <w:tcW w:w="248" w:type="pct"/>
            <w:tcBorders>
              <w:tl2br w:val="nil"/>
              <w:tr2bl w:val="nil"/>
            </w:tcBorders>
            <w:vAlign w:val="center"/>
          </w:tcPr>
          <w:p w14:paraId="4BC86E31">
            <w:pPr>
              <w:widowControl/>
              <w:adjustRightInd w:val="0"/>
              <w:snapToGrid w:val="0"/>
              <w:spacing w:beforeLines="0" w:line="240" w:lineRule="auto"/>
              <w:jc w:val="center"/>
              <w:textAlignment w:val="center"/>
              <w:rPr>
                <w:kern w:val="0"/>
                <w:szCs w:val="21"/>
                <w:lang w:bidi="ar"/>
              </w:rPr>
            </w:pPr>
            <w:r>
              <w:rPr>
                <w:rFonts w:eastAsia="等线"/>
                <w:szCs w:val="21"/>
              </w:rPr>
              <w:t>99.6</w:t>
            </w:r>
          </w:p>
        </w:tc>
        <w:tc>
          <w:tcPr>
            <w:tcW w:w="449" w:type="pct"/>
            <w:tcBorders>
              <w:tl2br w:val="nil"/>
              <w:tr2bl w:val="nil"/>
            </w:tcBorders>
            <w:vAlign w:val="center"/>
          </w:tcPr>
          <w:p w14:paraId="63383593">
            <w:pPr>
              <w:widowControl/>
              <w:adjustRightInd w:val="0"/>
              <w:snapToGrid w:val="0"/>
              <w:spacing w:beforeLines="0" w:line="240" w:lineRule="auto"/>
              <w:jc w:val="center"/>
              <w:textAlignment w:val="center"/>
              <w:rPr>
                <w:kern w:val="0"/>
                <w:szCs w:val="21"/>
                <w:lang w:bidi="ar"/>
              </w:rPr>
            </w:pPr>
            <w:r>
              <w:rPr>
                <w:rFonts w:eastAsia="等线"/>
                <w:szCs w:val="21"/>
              </w:rPr>
              <w:t>0.23</w:t>
            </w:r>
          </w:p>
        </w:tc>
        <w:tc>
          <w:tcPr>
            <w:tcW w:w="384" w:type="pct"/>
            <w:tcBorders>
              <w:tl2br w:val="nil"/>
              <w:tr2bl w:val="nil"/>
            </w:tcBorders>
            <w:vAlign w:val="center"/>
          </w:tcPr>
          <w:p w14:paraId="7E6C3831">
            <w:pPr>
              <w:widowControl/>
              <w:adjustRightInd w:val="0"/>
              <w:snapToGrid w:val="0"/>
              <w:spacing w:beforeLines="0" w:line="240" w:lineRule="auto"/>
              <w:jc w:val="center"/>
              <w:textAlignment w:val="center"/>
              <w:rPr>
                <w:kern w:val="0"/>
                <w:szCs w:val="21"/>
                <w:lang w:bidi="ar"/>
              </w:rPr>
            </w:pPr>
            <w:r>
              <w:rPr>
                <w:rFonts w:eastAsia="等线"/>
                <w:szCs w:val="21"/>
              </w:rPr>
              <w:t>5.83</w:t>
            </w:r>
          </w:p>
        </w:tc>
        <w:tc>
          <w:tcPr>
            <w:tcW w:w="311" w:type="pct"/>
            <w:tcBorders>
              <w:tl2br w:val="nil"/>
              <w:tr2bl w:val="nil"/>
            </w:tcBorders>
            <w:vAlign w:val="center"/>
          </w:tcPr>
          <w:p w14:paraId="18B4B04E">
            <w:pPr>
              <w:widowControl/>
              <w:adjustRightInd w:val="0"/>
              <w:snapToGrid w:val="0"/>
              <w:spacing w:beforeLines="0" w:line="240" w:lineRule="auto"/>
              <w:jc w:val="center"/>
              <w:textAlignment w:val="center"/>
              <w:rPr>
                <w:kern w:val="0"/>
                <w:szCs w:val="21"/>
                <w:lang w:bidi="ar"/>
              </w:rPr>
            </w:pPr>
            <w:r>
              <w:rPr>
                <w:rFonts w:eastAsia="等线"/>
                <w:szCs w:val="21"/>
              </w:rPr>
              <w:t>1.68</w:t>
            </w:r>
          </w:p>
        </w:tc>
        <w:tc>
          <w:tcPr>
            <w:tcW w:w="360" w:type="pct"/>
            <w:tcBorders>
              <w:tl2br w:val="nil"/>
              <w:tr2bl w:val="nil"/>
            </w:tcBorders>
            <w:vAlign w:val="center"/>
          </w:tcPr>
          <w:p w14:paraId="66DC6797">
            <w:pPr>
              <w:widowControl/>
              <w:adjustRightInd w:val="0"/>
              <w:snapToGrid w:val="0"/>
              <w:spacing w:before="0" w:beforeLines="0" w:line="240" w:lineRule="auto"/>
              <w:jc w:val="center"/>
              <w:textAlignment w:val="center"/>
              <w:rPr>
                <w:kern w:val="0"/>
                <w:szCs w:val="21"/>
                <w:lang w:bidi="ar"/>
              </w:rPr>
            </w:pPr>
            <w:r>
              <w:rPr>
                <w:kern w:val="0"/>
                <w:szCs w:val="21"/>
                <w:lang w:bidi="ar"/>
              </w:rPr>
              <w:t>DA00</w:t>
            </w:r>
            <w:r>
              <w:rPr>
                <w:rFonts w:hint="eastAsia"/>
                <w:kern w:val="0"/>
                <w:szCs w:val="21"/>
                <w:lang w:bidi="ar"/>
              </w:rPr>
              <w:t>4</w:t>
            </w:r>
          </w:p>
        </w:tc>
      </w:tr>
      <w:tr w14:paraId="1EE128B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53" w:type="pct"/>
            <w:vMerge w:val="restart"/>
            <w:tcBorders>
              <w:tl2br w:val="nil"/>
              <w:tr2bl w:val="nil"/>
            </w:tcBorders>
            <w:vAlign w:val="center"/>
          </w:tcPr>
          <w:p w14:paraId="13801E53">
            <w:pPr>
              <w:adjustRightInd w:val="0"/>
              <w:snapToGrid w:val="0"/>
              <w:spacing w:before="0" w:beforeLines="0" w:line="240" w:lineRule="auto"/>
              <w:jc w:val="center"/>
              <w:rPr>
                <w:szCs w:val="21"/>
              </w:rPr>
            </w:pPr>
            <w:bookmarkStart w:id="128" w:name="_Hlk195801746"/>
            <w:r>
              <w:rPr>
                <w:szCs w:val="21"/>
              </w:rPr>
              <w:t>无组织</w:t>
            </w:r>
          </w:p>
        </w:tc>
        <w:tc>
          <w:tcPr>
            <w:tcW w:w="682" w:type="pct"/>
            <w:tcBorders>
              <w:tl2br w:val="nil"/>
              <w:tr2bl w:val="nil"/>
            </w:tcBorders>
            <w:vAlign w:val="center"/>
          </w:tcPr>
          <w:p w14:paraId="35181432">
            <w:pPr>
              <w:widowControl/>
              <w:adjustRightInd w:val="0"/>
              <w:snapToGrid w:val="0"/>
              <w:spacing w:beforeLines="0" w:line="240" w:lineRule="auto"/>
              <w:jc w:val="center"/>
              <w:textAlignment w:val="center"/>
              <w:rPr>
                <w:kern w:val="0"/>
                <w:szCs w:val="21"/>
                <w:lang w:bidi="ar"/>
              </w:rPr>
            </w:pPr>
            <w:r>
              <w:rPr>
                <w:rFonts w:hint="eastAsia"/>
                <w:kern w:val="0"/>
                <w:szCs w:val="21"/>
                <w:lang w:bidi="ar"/>
              </w:rPr>
              <w:t>抛砂车间生产及原料产品装卸</w:t>
            </w:r>
          </w:p>
        </w:tc>
        <w:tc>
          <w:tcPr>
            <w:tcW w:w="423" w:type="pct"/>
            <w:tcBorders>
              <w:tl2br w:val="nil"/>
              <w:tr2bl w:val="nil"/>
            </w:tcBorders>
            <w:vAlign w:val="center"/>
          </w:tcPr>
          <w:p w14:paraId="77CB84EC">
            <w:pPr>
              <w:widowControl/>
              <w:adjustRightInd w:val="0"/>
              <w:snapToGrid w:val="0"/>
              <w:spacing w:before="0" w:beforeLines="0" w:line="240" w:lineRule="auto"/>
              <w:jc w:val="center"/>
              <w:textAlignment w:val="center"/>
              <w:rPr>
                <w:kern w:val="0"/>
                <w:szCs w:val="21"/>
                <w:lang w:bidi="ar"/>
              </w:rPr>
            </w:pPr>
            <w:r>
              <w:rPr>
                <w:kern w:val="0"/>
                <w:szCs w:val="21"/>
                <w:lang w:bidi="ar"/>
              </w:rPr>
              <w:t>颗粒物</w:t>
            </w:r>
          </w:p>
        </w:tc>
        <w:tc>
          <w:tcPr>
            <w:tcW w:w="313" w:type="pct"/>
            <w:tcBorders>
              <w:tl2br w:val="nil"/>
              <w:tr2bl w:val="nil"/>
            </w:tcBorders>
            <w:vAlign w:val="center"/>
          </w:tcPr>
          <w:p w14:paraId="55B74BDE">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303" w:type="pct"/>
            <w:tcBorders>
              <w:tl2br w:val="nil"/>
              <w:tr2bl w:val="nil"/>
            </w:tcBorders>
            <w:vAlign w:val="center"/>
          </w:tcPr>
          <w:p w14:paraId="73E6607B">
            <w:pPr>
              <w:widowControl/>
              <w:adjustRightInd w:val="0"/>
              <w:snapToGrid w:val="0"/>
              <w:spacing w:beforeLines="0" w:line="240" w:lineRule="auto"/>
              <w:jc w:val="center"/>
              <w:textAlignment w:val="center"/>
              <w:rPr>
                <w:kern w:val="0"/>
                <w:szCs w:val="21"/>
                <w:lang w:bidi="ar"/>
              </w:rPr>
            </w:pPr>
            <w:r>
              <w:rPr>
                <w:rFonts w:hint="eastAsia" w:eastAsia="等线"/>
                <w:szCs w:val="21"/>
              </w:rPr>
              <w:t>292.23</w:t>
            </w:r>
          </w:p>
        </w:tc>
        <w:tc>
          <w:tcPr>
            <w:tcW w:w="361" w:type="pct"/>
            <w:tcBorders>
              <w:tl2br w:val="nil"/>
              <w:tr2bl w:val="nil"/>
            </w:tcBorders>
            <w:vAlign w:val="center"/>
          </w:tcPr>
          <w:p w14:paraId="681050E8">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764" w:type="pct"/>
            <w:vMerge w:val="restart"/>
            <w:tcBorders>
              <w:tl2br w:val="nil"/>
              <w:tr2bl w:val="nil"/>
            </w:tcBorders>
            <w:vAlign w:val="center"/>
          </w:tcPr>
          <w:p w14:paraId="54FCC8CB">
            <w:pPr>
              <w:widowControl/>
              <w:adjustRightInd w:val="0"/>
              <w:snapToGrid w:val="0"/>
              <w:spacing w:beforeLines="0" w:line="240" w:lineRule="auto"/>
              <w:jc w:val="center"/>
              <w:textAlignment w:val="center"/>
              <w:rPr>
                <w:kern w:val="0"/>
                <w:szCs w:val="21"/>
                <w:lang w:bidi="ar"/>
              </w:rPr>
            </w:pPr>
            <w:r>
              <w:rPr>
                <w:rFonts w:hint="eastAsia"/>
                <w:kern w:val="0"/>
                <w:szCs w:val="21"/>
                <w:lang w:bidi="ar"/>
              </w:rPr>
              <w:t>车间封闭、封闭皮带、地面硬化、洒水抑尘、降低装卸高度</w:t>
            </w:r>
          </w:p>
        </w:tc>
        <w:tc>
          <w:tcPr>
            <w:tcW w:w="249" w:type="pct"/>
            <w:tcBorders>
              <w:tl2br w:val="nil"/>
              <w:tr2bl w:val="nil"/>
            </w:tcBorders>
            <w:vAlign w:val="center"/>
          </w:tcPr>
          <w:p w14:paraId="00AFFEE6">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248" w:type="pct"/>
            <w:tcBorders>
              <w:tl2br w:val="nil"/>
              <w:tr2bl w:val="nil"/>
            </w:tcBorders>
            <w:vAlign w:val="center"/>
          </w:tcPr>
          <w:p w14:paraId="7AD26749">
            <w:pPr>
              <w:widowControl/>
              <w:adjustRightInd w:val="0"/>
              <w:snapToGrid w:val="0"/>
              <w:spacing w:beforeLines="0" w:line="240" w:lineRule="auto"/>
              <w:jc w:val="center"/>
              <w:textAlignment w:val="center"/>
              <w:rPr>
                <w:kern w:val="0"/>
                <w:szCs w:val="21"/>
                <w:lang w:bidi="ar"/>
              </w:rPr>
            </w:pPr>
            <w:r>
              <w:rPr>
                <w:rFonts w:hint="eastAsia"/>
                <w:kern w:val="0"/>
                <w:szCs w:val="21"/>
                <w:lang w:bidi="ar"/>
              </w:rPr>
              <w:t>95</w:t>
            </w:r>
          </w:p>
        </w:tc>
        <w:tc>
          <w:tcPr>
            <w:tcW w:w="449" w:type="pct"/>
            <w:tcBorders>
              <w:tl2br w:val="nil"/>
              <w:tr2bl w:val="nil"/>
            </w:tcBorders>
            <w:vAlign w:val="center"/>
          </w:tcPr>
          <w:p w14:paraId="74D16264">
            <w:pPr>
              <w:widowControl/>
              <w:adjustRightInd w:val="0"/>
              <w:snapToGrid w:val="0"/>
              <w:spacing w:beforeLines="0" w:line="240" w:lineRule="auto"/>
              <w:jc w:val="center"/>
              <w:textAlignment w:val="center"/>
              <w:rPr>
                <w:kern w:val="0"/>
                <w:szCs w:val="21"/>
                <w:lang w:bidi="ar"/>
              </w:rPr>
            </w:pPr>
            <w:r>
              <w:rPr>
                <w:rFonts w:hint="eastAsia" w:eastAsia="等线"/>
                <w:szCs w:val="21"/>
              </w:rPr>
              <w:t>2.03</w:t>
            </w:r>
          </w:p>
        </w:tc>
        <w:tc>
          <w:tcPr>
            <w:tcW w:w="384" w:type="pct"/>
            <w:tcBorders>
              <w:tl2br w:val="nil"/>
              <w:tr2bl w:val="nil"/>
            </w:tcBorders>
            <w:vAlign w:val="center"/>
          </w:tcPr>
          <w:p w14:paraId="1FB879E9">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311" w:type="pct"/>
            <w:tcBorders>
              <w:tl2br w:val="nil"/>
              <w:tr2bl w:val="nil"/>
            </w:tcBorders>
            <w:vAlign w:val="center"/>
          </w:tcPr>
          <w:p w14:paraId="0329A28F">
            <w:pPr>
              <w:widowControl/>
              <w:adjustRightInd w:val="0"/>
              <w:snapToGrid w:val="0"/>
              <w:spacing w:beforeLines="0" w:line="240" w:lineRule="auto"/>
              <w:jc w:val="center"/>
              <w:textAlignment w:val="center"/>
              <w:rPr>
                <w:kern w:val="0"/>
                <w:szCs w:val="21"/>
                <w:lang w:bidi="ar"/>
              </w:rPr>
            </w:pPr>
            <w:r>
              <w:rPr>
                <w:rFonts w:hint="eastAsia" w:eastAsia="等线"/>
                <w:szCs w:val="21"/>
              </w:rPr>
              <w:t>14.61</w:t>
            </w:r>
          </w:p>
        </w:tc>
        <w:tc>
          <w:tcPr>
            <w:tcW w:w="360" w:type="pct"/>
            <w:vMerge w:val="restart"/>
            <w:tcBorders>
              <w:tl2br w:val="nil"/>
              <w:tr2bl w:val="nil"/>
            </w:tcBorders>
            <w:vAlign w:val="center"/>
          </w:tcPr>
          <w:p w14:paraId="6F4E034A">
            <w:pPr>
              <w:adjustRightInd w:val="0"/>
              <w:snapToGrid w:val="0"/>
              <w:spacing w:before="0" w:beforeLines="0" w:line="240" w:lineRule="auto"/>
              <w:jc w:val="center"/>
              <w:rPr>
                <w:szCs w:val="21"/>
              </w:rPr>
            </w:pPr>
            <w:r>
              <w:rPr>
                <w:szCs w:val="21"/>
              </w:rPr>
              <w:t>/</w:t>
            </w:r>
          </w:p>
        </w:tc>
      </w:tr>
      <w:tr w14:paraId="6579739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53" w:type="pct"/>
            <w:vMerge w:val="continue"/>
            <w:tcBorders>
              <w:tl2br w:val="nil"/>
              <w:tr2bl w:val="nil"/>
            </w:tcBorders>
            <w:vAlign w:val="center"/>
          </w:tcPr>
          <w:p w14:paraId="77C8B175">
            <w:pPr>
              <w:adjustRightInd w:val="0"/>
              <w:snapToGrid w:val="0"/>
              <w:spacing w:before="0" w:beforeLines="0" w:line="240" w:lineRule="auto"/>
              <w:jc w:val="center"/>
              <w:rPr>
                <w:szCs w:val="21"/>
              </w:rPr>
            </w:pPr>
          </w:p>
        </w:tc>
        <w:tc>
          <w:tcPr>
            <w:tcW w:w="682" w:type="pct"/>
            <w:tcBorders>
              <w:tl2br w:val="nil"/>
              <w:tr2bl w:val="nil"/>
            </w:tcBorders>
            <w:vAlign w:val="center"/>
          </w:tcPr>
          <w:p w14:paraId="694CBD5A">
            <w:pPr>
              <w:widowControl/>
              <w:adjustRightInd w:val="0"/>
              <w:snapToGrid w:val="0"/>
              <w:spacing w:beforeLines="0" w:line="240" w:lineRule="auto"/>
              <w:jc w:val="center"/>
              <w:textAlignment w:val="center"/>
              <w:rPr>
                <w:kern w:val="0"/>
                <w:szCs w:val="21"/>
                <w:lang w:bidi="ar"/>
              </w:rPr>
            </w:pPr>
            <w:r>
              <w:rPr>
                <w:kern w:val="0"/>
                <w:szCs w:val="21"/>
                <w:lang w:bidi="ar"/>
              </w:rPr>
              <w:t>机制砂</w:t>
            </w:r>
            <w:r>
              <w:rPr>
                <w:rFonts w:hint="eastAsia"/>
                <w:kern w:val="0"/>
                <w:szCs w:val="21"/>
                <w:lang w:bidi="ar"/>
              </w:rPr>
              <w:t>库房</w:t>
            </w:r>
            <w:r>
              <w:rPr>
                <w:kern w:val="0"/>
                <w:szCs w:val="21"/>
                <w:lang w:bidi="ar"/>
              </w:rPr>
              <w:t>装卸</w:t>
            </w:r>
          </w:p>
        </w:tc>
        <w:tc>
          <w:tcPr>
            <w:tcW w:w="423" w:type="pct"/>
            <w:tcBorders>
              <w:tl2br w:val="nil"/>
              <w:tr2bl w:val="nil"/>
            </w:tcBorders>
            <w:vAlign w:val="center"/>
          </w:tcPr>
          <w:p w14:paraId="40091C9B">
            <w:pPr>
              <w:widowControl/>
              <w:adjustRightInd w:val="0"/>
              <w:snapToGrid w:val="0"/>
              <w:spacing w:before="0" w:beforeLines="0" w:line="240" w:lineRule="auto"/>
              <w:jc w:val="center"/>
              <w:textAlignment w:val="center"/>
              <w:rPr>
                <w:kern w:val="0"/>
                <w:szCs w:val="21"/>
                <w:lang w:bidi="ar"/>
              </w:rPr>
            </w:pPr>
            <w:r>
              <w:rPr>
                <w:kern w:val="0"/>
                <w:szCs w:val="21"/>
                <w:lang w:bidi="ar"/>
              </w:rPr>
              <w:t>颗粒物</w:t>
            </w:r>
          </w:p>
        </w:tc>
        <w:tc>
          <w:tcPr>
            <w:tcW w:w="313" w:type="pct"/>
            <w:tcBorders>
              <w:tl2br w:val="nil"/>
              <w:tr2bl w:val="nil"/>
            </w:tcBorders>
            <w:vAlign w:val="center"/>
          </w:tcPr>
          <w:p w14:paraId="389B4A44">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303" w:type="pct"/>
            <w:tcBorders>
              <w:tl2br w:val="nil"/>
              <w:tr2bl w:val="nil"/>
            </w:tcBorders>
            <w:vAlign w:val="center"/>
          </w:tcPr>
          <w:p w14:paraId="387CD205">
            <w:pPr>
              <w:widowControl/>
              <w:adjustRightInd w:val="0"/>
              <w:snapToGrid w:val="0"/>
              <w:spacing w:beforeLines="0" w:line="240" w:lineRule="auto"/>
              <w:jc w:val="center"/>
              <w:textAlignment w:val="center"/>
              <w:rPr>
                <w:kern w:val="0"/>
                <w:szCs w:val="21"/>
                <w:lang w:bidi="ar"/>
              </w:rPr>
            </w:pPr>
            <w:r>
              <w:rPr>
                <w:rFonts w:hint="eastAsia" w:eastAsia="等线"/>
                <w:szCs w:val="21"/>
              </w:rPr>
              <w:t>40.62</w:t>
            </w:r>
          </w:p>
        </w:tc>
        <w:tc>
          <w:tcPr>
            <w:tcW w:w="361" w:type="pct"/>
            <w:tcBorders>
              <w:tl2br w:val="nil"/>
              <w:tr2bl w:val="nil"/>
            </w:tcBorders>
            <w:vAlign w:val="center"/>
          </w:tcPr>
          <w:p w14:paraId="2791CFF3">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764" w:type="pct"/>
            <w:vMerge w:val="continue"/>
            <w:tcBorders>
              <w:tl2br w:val="nil"/>
              <w:tr2bl w:val="nil"/>
            </w:tcBorders>
            <w:vAlign w:val="center"/>
          </w:tcPr>
          <w:p w14:paraId="1FE377B8">
            <w:pPr>
              <w:widowControl/>
              <w:adjustRightInd w:val="0"/>
              <w:snapToGrid w:val="0"/>
              <w:spacing w:beforeLines="0" w:line="240" w:lineRule="auto"/>
              <w:jc w:val="center"/>
              <w:textAlignment w:val="center"/>
              <w:rPr>
                <w:kern w:val="0"/>
                <w:szCs w:val="21"/>
                <w:lang w:bidi="ar"/>
              </w:rPr>
            </w:pPr>
          </w:p>
        </w:tc>
        <w:tc>
          <w:tcPr>
            <w:tcW w:w="249" w:type="pct"/>
            <w:tcBorders>
              <w:tl2br w:val="nil"/>
              <w:tr2bl w:val="nil"/>
            </w:tcBorders>
            <w:vAlign w:val="center"/>
          </w:tcPr>
          <w:p w14:paraId="74748A88">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248" w:type="pct"/>
            <w:tcBorders>
              <w:tl2br w:val="nil"/>
              <w:tr2bl w:val="nil"/>
            </w:tcBorders>
            <w:vAlign w:val="center"/>
          </w:tcPr>
          <w:p w14:paraId="35F3888E">
            <w:pPr>
              <w:widowControl/>
              <w:adjustRightInd w:val="0"/>
              <w:snapToGrid w:val="0"/>
              <w:spacing w:beforeLines="0" w:line="240" w:lineRule="auto"/>
              <w:jc w:val="center"/>
              <w:textAlignment w:val="center"/>
              <w:rPr>
                <w:kern w:val="0"/>
                <w:szCs w:val="21"/>
                <w:lang w:bidi="ar"/>
              </w:rPr>
            </w:pPr>
            <w:r>
              <w:rPr>
                <w:rFonts w:hint="eastAsia"/>
                <w:kern w:val="0"/>
                <w:szCs w:val="21"/>
                <w:lang w:bidi="ar"/>
              </w:rPr>
              <w:t>95</w:t>
            </w:r>
          </w:p>
        </w:tc>
        <w:tc>
          <w:tcPr>
            <w:tcW w:w="449" w:type="pct"/>
            <w:tcBorders>
              <w:tl2br w:val="nil"/>
              <w:tr2bl w:val="nil"/>
            </w:tcBorders>
            <w:vAlign w:val="center"/>
          </w:tcPr>
          <w:p w14:paraId="5ACA80E2">
            <w:pPr>
              <w:widowControl/>
              <w:adjustRightInd w:val="0"/>
              <w:snapToGrid w:val="0"/>
              <w:spacing w:beforeLines="0" w:line="240" w:lineRule="auto"/>
              <w:jc w:val="center"/>
              <w:textAlignment w:val="center"/>
              <w:rPr>
                <w:kern w:val="0"/>
                <w:szCs w:val="21"/>
                <w:lang w:bidi="ar"/>
              </w:rPr>
            </w:pPr>
            <w:r>
              <w:rPr>
                <w:rFonts w:hint="eastAsia" w:eastAsia="等线"/>
                <w:szCs w:val="21"/>
              </w:rPr>
              <w:t>1.02</w:t>
            </w:r>
          </w:p>
        </w:tc>
        <w:tc>
          <w:tcPr>
            <w:tcW w:w="384" w:type="pct"/>
            <w:tcBorders>
              <w:tl2br w:val="nil"/>
              <w:tr2bl w:val="nil"/>
            </w:tcBorders>
            <w:vAlign w:val="center"/>
          </w:tcPr>
          <w:p w14:paraId="25BF3B04">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311" w:type="pct"/>
            <w:tcBorders>
              <w:tl2br w:val="nil"/>
              <w:tr2bl w:val="nil"/>
            </w:tcBorders>
            <w:vAlign w:val="center"/>
          </w:tcPr>
          <w:p w14:paraId="3447C4EC">
            <w:pPr>
              <w:widowControl/>
              <w:adjustRightInd w:val="0"/>
              <w:snapToGrid w:val="0"/>
              <w:spacing w:beforeLines="0" w:line="240" w:lineRule="auto"/>
              <w:jc w:val="center"/>
              <w:textAlignment w:val="center"/>
              <w:rPr>
                <w:kern w:val="0"/>
                <w:szCs w:val="21"/>
                <w:lang w:bidi="ar"/>
              </w:rPr>
            </w:pPr>
            <w:r>
              <w:rPr>
                <w:rFonts w:hint="eastAsia" w:eastAsia="等线"/>
                <w:szCs w:val="21"/>
              </w:rPr>
              <w:t>2.03</w:t>
            </w:r>
          </w:p>
        </w:tc>
        <w:tc>
          <w:tcPr>
            <w:tcW w:w="360" w:type="pct"/>
            <w:vMerge w:val="continue"/>
            <w:tcBorders>
              <w:tl2br w:val="nil"/>
              <w:tr2bl w:val="nil"/>
            </w:tcBorders>
            <w:vAlign w:val="center"/>
          </w:tcPr>
          <w:p w14:paraId="405A5B9D">
            <w:pPr>
              <w:adjustRightInd w:val="0"/>
              <w:snapToGrid w:val="0"/>
              <w:spacing w:before="0" w:beforeLines="0" w:line="240" w:lineRule="auto"/>
              <w:jc w:val="center"/>
              <w:rPr>
                <w:szCs w:val="21"/>
              </w:rPr>
            </w:pPr>
          </w:p>
        </w:tc>
      </w:tr>
      <w:tr w14:paraId="3CE714D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53" w:type="pct"/>
            <w:vMerge w:val="continue"/>
            <w:tcBorders>
              <w:tl2br w:val="nil"/>
              <w:tr2bl w:val="nil"/>
            </w:tcBorders>
            <w:vAlign w:val="center"/>
          </w:tcPr>
          <w:p w14:paraId="7F556F94">
            <w:pPr>
              <w:adjustRightInd w:val="0"/>
              <w:snapToGrid w:val="0"/>
              <w:spacing w:before="0" w:beforeLines="0" w:line="240" w:lineRule="auto"/>
              <w:jc w:val="center"/>
              <w:rPr>
                <w:szCs w:val="21"/>
              </w:rPr>
            </w:pPr>
          </w:p>
        </w:tc>
        <w:tc>
          <w:tcPr>
            <w:tcW w:w="682" w:type="pct"/>
            <w:tcBorders>
              <w:tl2br w:val="nil"/>
              <w:tr2bl w:val="nil"/>
            </w:tcBorders>
            <w:vAlign w:val="center"/>
          </w:tcPr>
          <w:p w14:paraId="0BA67249">
            <w:pPr>
              <w:widowControl/>
              <w:adjustRightInd w:val="0"/>
              <w:snapToGrid w:val="0"/>
              <w:spacing w:beforeLines="0" w:line="240" w:lineRule="auto"/>
              <w:jc w:val="center"/>
              <w:textAlignment w:val="center"/>
              <w:rPr>
                <w:kern w:val="0"/>
                <w:szCs w:val="21"/>
                <w:lang w:bidi="ar"/>
              </w:rPr>
            </w:pPr>
            <w:r>
              <w:rPr>
                <w:kern w:val="0"/>
                <w:szCs w:val="21"/>
                <w:lang w:bidi="ar"/>
              </w:rPr>
              <w:t>破碎车间</w:t>
            </w:r>
            <w:r>
              <w:rPr>
                <w:rFonts w:hint="eastAsia"/>
                <w:kern w:val="0"/>
                <w:szCs w:val="21"/>
                <w:lang w:bidi="ar"/>
              </w:rPr>
              <w:t>生产及原料产品装卸</w:t>
            </w:r>
          </w:p>
        </w:tc>
        <w:tc>
          <w:tcPr>
            <w:tcW w:w="423" w:type="pct"/>
            <w:tcBorders>
              <w:tl2br w:val="nil"/>
              <w:tr2bl w:val="nil"/>
            </w:tcBorders>
            <w:vAlign w:val="center"/>
          </w:tcPr>
          <w:p w14:paraId="0B7B1531">
            <w:pPr>
              <w:widowControl/>
              <w:adjustRightInd w:val="0"/>
              <w:snapToGrid w:val="0"/>
              <w:spacing w:before="0" w:beforeLines="0" w:line="240" w:lineRule="auto"/>
              <w:jc w:val="center"/>
              <w:textAlignment w:val="center"/>
              <w:rPr>
                <w:kern w:val="0"/>
                <w:szCs w:val="21"/>
                <w:lang w:bidi="ar"/>
              </w:rPr>
            </w:pPr>
            <w:r>
              <w:rPr>
                <w:kern w:val="0"/>
                <w:szCs w:val="21"/>
                <w:lang w:bidi="ar"/>
              </w:rPr>
              <w:t>颗粒物</w:t>
            </w:r>
          </w:p>
        </w:tc>
        <w:tc>
          <w:tcPr>
            <w:tcW w:w="313" w:type="pct"/>
            <w:tcBorders>
              <w:tl2br w:val="nil"/>
              <w:tr2bl w:val="nil"/>
            </w:tcBorders>
            <w:vAlign w:val="center"/>
          </w:tcPr>
          <w:p w14:paraId="0BE8B4E6">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303" w:type="pct"/>
            <w:tcBorders>
              <w:tl2br w:val="nil"/>
              <w:tr2bl w:val="nil"/>
            </w:tcBorders>
            <w:vAlign w:val="center"/>
          </w:tcPr>
          <w:p w14:paraId="79708297">
            <w:pPr>
              <w:widowControl/>
              <w:adjustRightInd w:val="0"/>
              <w:snapToGrid w:val="0"/>
              <w:spacing w:beforeLines="0" w:line="240" w:lineRule="auto"/>
              <w:jc w:val="center"/>
              <w:textAlignment w:val="center"/>
              <w:rPr>
                <w:kern w:val="0"/>
                <w:szCs w:val="21"/>
                <w:lang w:bidi="ar"/>
              </w:rPr>
            </w:pPr>
            <w:r>
              <w:rPr>
                <w:rFonts w:hint="eastAsia" w:eastAsia="等线"/>
                <w:szCs w:val="21"/>
              </w:rPr>
              <w:t>9.62</w:t>
            </w:r>
          </w:p>
        </w:tc>
        <w:tc>
          <w:tcPr>
            <w:tcW w:w="361" w:type="pct"/>
            <w:tcBorders>
              <w:tl2br w:val="nil"/>
              <w:tr2bl w:val="nil"/>
            </w:tcBorders>
            <w:vAlign w:val="center"/>
          </w:tcPr>
          <w:p w14:paraId="6C4ECD0B">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764" w:type="pct"/>
            <w:vMerge w:val="continue"/>
            <w:tcBorders>
              <w:tl2br w:val="nil"/>
              <w:tr2bl w:val="nil"/>
            </w:tcBorders>
            <w:vAlign w:val="center"/>
          </w:tcPr>
          <w:p w14:paraId="261D184F">
            <w:pPr>
              <w:widowControl/>
              <w:adjustRightInd w:val="0"/>
              <w:snapToGrid w:val="0"/>
              <w:spacing w:beforeLines="0" w:line="240" w:lineRule="auto"/>
              <w:jc w:val="center"/>
              <w:textAlignment w:val="center"/>
              <w:rPr>
                <w:kern w:val="0"/>
                <w:szCs w:val="21"/>
                <w:lang w:bidi="ar"/>
              </w:rPr>
            </w:pPr>
          </w:p>
        </w:tc>
        <w:tc>
          <w:tcPr>
            <w:tcW w:w="249" w:type="pct"/>
            <w:tcBorders>
              <w:tl2br w:val="nil"/>
              <w:tr2bl w:val="nil"/>
            </w:tcBorders>
            <w:vAlign w:val="center"/>
          </w:tcPr>
          <w:p w14:paraId="453A452C">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248" w:type="pct"/>
            <w:tcBorders>
              <w:tl2br w:val="nil"/>
              <w:tr2bl w:val="nil"/>
            </w:tcBorders>
            <w:vAlign w:val="center"/>
          </w:tcPr>
          <w:p w14:paraId="677C84D8">
            <w:pPr>
              <w:widowControl/>
              <w:adjustRightInd w:val="0"/>
              <w:snapToGrid w:val="0"/>
              <w:spacing w:beforeLines="0" w:line="240" w:lineRule="auto"/>
              <w:jc w:val="center"/>
              <w:textAlignment w:val="center"/>
              <w:rPr>
                <w:kern w:val="0"/>
                <w:szCs w:val="21"/>
                <w:lang w:bidi="ar"/>
              </w:rPr>
            </w:pPr>
            <w:r>
              <w:rPr>
                <w:rFonts w:hint="eastAsia"/>
                <w:kern w:val="0"/>
                <w:szCs w:val="21"/>
                <w:lang w:bidi="ar"/>
              </w:rPr>
              <w:t>95</w:t>
            </w:r>
          </w:p>
        </w:tc>
        <w:tc>
          <w:tcPr>
            <w:tcW w:w="449" w:type="pct"/>
            <w:tcBorders>
              <w:tl2br w:val="nil"/>
              <w:tr2bl w:val="nil"/>
            </w:tcBorders>
            <w:vAlign w:val="center"/>
          </w:tcPr>
          <w:p w14:paraId="2F0146D5">
            <w:pPr>
              <w:widowControl/>
              <w:adjustRightInd w:val="0"/>
              <w:snapToGrid w:val="0"/>
              <w:spacing w:beforeLines="0" w:line="240" w:lineRule="auto"/>
              <w:jc w:val="center"/>
              <w:textAlignment w:val="center"/>
              <w:rPr>
                <w:kern w:val="0"/>
                <w:szCs w:val="21"/>
                <w:lang w:bidi="ar"/>
              </w:rPr>
            </w:pPr>
            <w:r>
              <w:rPr>
                <w:rFonts w:hint="eastAsia" w:eastAsia="等线"/>
                <w:szCs w:val="21"/>
              </w:rPr>
              <w:t>0.27</w:t>
            </w:r>
          </w:p>
        </w:tc>
        <w:tc>
          <w:tcPr>
            <w:tcW w:w="384" w:type="pct"/>
            <w:tcBorders>
              <w:tl2br w:val="nil"/>
              <w:tr2bl w:val="nil"/>
            </w:tcBorders>
            <w:vAlign w:val="center"/>
          </w:tcPr>
          <w:p w14:paraId="5F073697">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311" w:type="pct"/>
            <w:tcBorders>
              <w:tl2br w:val="nil"/>
              <w:tr2bl w:val="nil"/>
            </w:tcBorders>
            <w:vAlign w:val="center"/>
          </w:tcPr>
          <w:p w14:paraId="32C61732">
            <w:pPr>
              <w:widowControl/>
              <w:adjustRightInd w:val="0"/>
              <w:snapToGrid w:val="0"/>
              <w:spacing w:beforeLines="0" w:line="240" w:lineRule="auto"/>
              <w:jc w:val="center"/>
              <w:textAlignment w:val="center"/>
              <w:rPr>
                <w:kern w:val="0"/>
                <w:szCs w:val="21"/>
                <w:lang w:bidi="ar"/>
              </w:rPr>
            </w:pPr>
            <w:r>
              <w:rPr>
                <w:rFonts w:hint="eastAsia" w:eastAsia="等线"/>
                <w:szCs w:val="21"/>
              </w:rPr>
              <w:t>1.94</w:t>
            </w:r>
          </w:p>
        </w:tc>
        <w:tc>
          <w:tcPr>
            <w:tcW w:w="360" w:type="pct"/>
            <w:vMerge w:val="continue"/>
            <w:tcBorders>
              <w:tl2br w:val="nil"/>
              <w:tr2bl w:val="nil"/>
            </w:tcBorders>
            <w:vAlign w:val="center"/>
          </w:tcPr>
          <w:p w14:paraId="7474B8EB">
            <w:pPr>
              <w:adjustRightInd w:val="0"/>
              <w:snapToGrid w:val="0"/>
              <w:spacing w:before="0" w:beforeLines="0" w:line="240" w:lineRule="auto"/>
              <w:jc w:val="center"/>
              <w:rPr>
                <w:szCs w:val="21"/>
              </w:rPr>
            </w:pPr>
          </w:p>
        </w:tc>
      </w:tr>
      <w:bookmarkEnd w:id="128"/>
      <w:tr w14:paraId="1B33520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53" w:type="pct"/>
            <w:vMerge w:val="continue"/>
            <w:tcBorders>
              <w:tl2br w:val="nil"/>
              <w:tr2bl w:val="nil"/>
            </w:tcBorders>
            <w:vAlign w:val="center"/>
          </w:tcPr>
          <w:p w14:paraId="0816831A">
            <w:pPr>
              <w:adjustRightInd w:val="0"/>
              <w:snapToGrid w:val="0"/>
              <w:spacing w:before="0" w:beforeLines="0" w:line="240" w:lineRule="auto"/>
              <w:jc w:val="center"/>
              <w:rPr>
                <w:szCs w:val="21"/>
              </w:rPr>
            </w:pPr>
          </w:p>
        </w:tc>
        <w:tc>
          <w:tcPr>
            <w:tcW w:w="682" w:type="pct"/>
            <w:tcBorders>
              <w:tl2br w:val="nil"/>
              <w:tr2bl w:val="nil"/>
            </w:tcBorders>
            <w:vAlign w:val="center"/>
          </w:tcPr>
          <w:p w14:paraId="62B02282">
            <w:pPr>
              <w:widowControl/>
              <w:adjustRightInd w:val="0"/>
              <w:snapToGrid w:val="0"/>
              <w:spacing w:beforeLines="0" w:line="240" w:lineRule="auto"/>
              <w:jc w:val="center"/>
              <w:textAlignment w:val="center"/>
              <w:rPr>
                <w:kern w:val="0"/>
                <w:szCs w:val="21"/>
                <w:lang w:bidi="ar"/>
              </w:rPr>
            </w:pPr>
            <w:r>
              <w:rPr>
                <w:rFonts w:hint="eastAsia"/>
                <w:kern w:val="0"/>
                <w:szCs w:val="21"/>
                <w:lang w:bidi="ar"/>
              </w:rPr>
              <w:t>铁精矿</w:t>
            </w:r>
            <w:r>
              <w:rPr>
                <w:kern w:val="0"/>
                <w:szCs w:val="21"/>
                <w:lang w:bidi="ar"/>
              </w:rPr>
              <w:t>成品仓粉尘</w:t>
            </w:r>
          </w:p>
        </w:tc>
        <w:tc>
          <w:tcPr>
            <w:tcW w:w="423" w:type="pct"/>
            <w:tcBorders>
              <w:tl2br w:val="nil"/>
              <w:tr2bl w:val="nil"/>
            </w:tcBorders>
            <w:vAlign w:val="center"/>
          </w:tcPr>
          <w:p w14:paraId="1A28B98F">
            <w:pPr>
              <w:widowControl/>
              <w:adjustRightInd w:val="0"/>
              <w:snapToGrid w:val="0"/>
              <w:spacing w:before="0" w:beforeLines="0" w:line="240" w:lineRule="auto"/>
              <w:jc w:val="center"/>
              <w:textAlignment w:val="center"/>
              <w:rPr>
                <w:kern w:val="0"/>
                <w:szCs w:val="21"/>
                <w:lang w:bidi="ar"/>
              </w:rPr>
            </w:pPr>
            <w:r>
              <w:rPr>
                <w:kern w:val="0"/>
                <w:szCs w:val="21"/>
                <w:lang w:bidi="ar"/>
              </w:rPr>
              <w:t>颗粒物</w:t>
            </w:r>
          </w:p>
        </w:tc>
        <w:tc>
          <w:tcPr>
            <w:tcW w:w="313" w:type="pct"/>
            <w:tcBorders>
              <w:tl2br w:val="nil"/>
              <w:tr2bl w:val="nil"/>
            </w:tcBorders>
            <w:vAlign w:val="center"/>
          </w:tcPr>
          <w:p w14:paraId="27635EBE">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303" w:type="pct"/>
            <w:tcBorders>
              <w:tl2br w:val="nil"/>
              <w:tr2bl w:val="nil"/>
            </w:tcBorders>
            <w:vAlign w:val="center"/>
          </w:tcPr>
          <w:p w14:paraId="2A3676EA">
            <w:pPr>
              <w:widowControl/>
              <w:adjustRightInd w:val="0"/>
              <w:snapToGrid w:val="0"/>
              <w:spacing w:beforeLines="0" w:line="240" w:lineRule="auto"/>
              <w:jc w:val="center"/>
              <w:textAlignment w:val="center"/>
              <w:rPr>
                <w:kern w:val="0"/>
                <w:szCs w:val="21"/>
                <w:lang w:bidi="ar"/>
              </w:rPr>
            </w:pPr>
            <w:r>
              <w:rPr>
                <w:rFonts w:hint="eastAsia"/>
                <w:kern w:val="0"/>
                <w:szCs w:val="21"/>
                <w:lang w:bidi="ar"/>
              </w:rPr>
              <w:t>0.26</w:t>
            </w:r>
          </w:p>
        </w:tc>
        <w:tc>
          <w:tcPr>
            <w:tcW w:w="361" w:type="pct"/>
            <w:tcBorders>
              <w:tl2br w:val="nil"/>
              <w:tr2bl w:val="nil"/>
            </w:tcBorders>
            <w:vAlign w:val="center"/>
          </w:tcPr>
          <w:p w14:paraId="067CCB53">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764" w:type="pct"/>
            <w:tcBorders>
              <w:tl2br w:val="nil"/>
              <w:tr2bl w:val="nil"/>
            </w:tcBorders>
            <w:vAlign w:val="center"/>
          </w:tcPr>
          <w:p w14:paraId="7C90DA3C">
            <w:pPr>
              <w:widowControl/>
              <w:adjustRightInd w:val="0"/>
              <w:snapToGrid w:val="0"/>
              <w:spacing w:beforeLines="0" w:line="240" w:lineRule="auto"/>
              <w:jc w:val="center"/>
              <w:textAlignment w:val="center"/>
              <w:rPr>
                <w:kern w:val="0"/>
                <w:szCs w:val="21"/>
                <w:lang w:bidi="ar"/>
              </w:rPr>
            </w:pPr>
            <w:r>
              <w:rPr>
                <w:kern w:val="0"/>
                <w:szCs w:val="21"/>
                <w:lang w:bidi="ar"/>
              </w:rPr>
              <w:t>仓顶除尘</w:t>
            </w:r>
          </w:p>
        </w:tc>
        <w:tc>
          <w:tcPr>
            <w:tcW w:w="249" w:type="pct"/>
            <w:tcBorders>
              <w:tl2br w:val="nil"/>
              <w:tr2bl w:val="nil"/>
            </w:tcBorders>
            <w:vAlign w:val="center"/>
          </w:tcPr>
          <w:p w14:paraId="5C111AA5">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248" w:type="pct"/>
            <w:tcBorders>
              <w:tl2br w:val="nil"/>
              <w:tr2bl w:val="nil"/>
            </w:tcBorders>
            <w:vAlign w:val="center"/>
          </w:tcPr>
          <w:p w14:paraId="173806AF">
            <w:pPr>
              <w:widowControl/>
              <w:adjustRightInd w:val="0"/>
              <w:snapToGrid w:val="0"/>
              <w:spacing w:beforeLines="0" w:line="240" w:lineRule="auto"/>
              <w:jc w:val="center"/>
              <w:textAlignment w:val="center"/>
              <w:rPr>
                <w:kern w:val="0"/>
                <w:szCs w:val="21"/>
                <w:lang w:bidi="ar"/>
              </w:rPr>
            </w:pPr>
            <w:r>
              <w:rPr>
                <w:rFonts w:hint="eastAsia"/>
                <w:kern w:val="0"/>
                <w:szCs w:val="21"/>
                <w:lang w:bidi="ar"/>
              </w:rPr>
              <w:t>99</w:t>
            </w:r>
          </w:p>
        </w:tc>
        <w:tc>
          <w:tcPr>
            <w:tcW w:w="449" w:type="pct"/>
            <w:tcBorders>
              <w:tl2br w:val="nil"/>
              <w:tr2bl w:val="nil"/>
            </w:tcBorders>
            <w:vAlign w:val="center"/>
          </w:tcPr>
          <w:p w14:paraId="5B6519C6">
            <w:pPr>
              <w:widowControl/>
              <w:adjustRightInd w:val="0"/>
              <w:snapToGrid w:val="0"/>
              <w:spacing w:beforeLines="0" w:line="240" w:lineRule="auto"/>
              <w:jc w:val="center"/>
              <w:textAlignment w:val="center"/>
              <w:rPr>
                <w:kern w:val="0"/>
                <w:szCs w:val="21"/>
                <w:lang w:bidi="ar"/>
              </w:rPr>
            </w:pPr>
            <w:r>
              <w:rPr>
                <w:rFonts w:hint="eastAsia"/>
                <w:kern w:val="0"/>
                <w:szCs w:val="21"/>
                <w:lang w:bidi="ar"/>
              </w:rPr>
              <w:t>0.0003</w:t>
            </w:r>
          </w:p>
        </w:tc>
        <w:tc>
          <w:tcPr>
            <w:tcW w:w="384" w:type="pct"/>
            <w:tcBorders>
              <w:tl2br w:val="nil"/>
              <w:tr2bl w:val="nil"/>
            </w:tcBorders>
            <w:vAlign w:val="center"/>
          </w:tcPr>
          <w:p w14:paraId="509AB598">
            <w:pPr>
              <w:widowControl/>
              <w:adjustRightInd w:val="0"/>
              <w:snapToGrid w:val="0"/>
              <w:spacing w:beforeLines="0" w:line="240" w:lineRule="auto"/>
              <w:jc w:val="center"/>
              <w:textAlignment w:val="center"/>
              <w:rPr>
                <w:kern w:val="0"/>
                <w:szCs w:val="21"/>
                <w:lang w:bidi="ar"/>
              </w:rPr>
            </w:pPr>
          </w:p>
        </w:tc>
        <w:tc>
          <w:tcPr>
            <w:tcW w:w="311" w:type="pct"/>
            <w:tcBorders>
              <w:tl2br w:val="nil"/>
              <w:tr2bl w:val="nil"/>
            </w:tcBorders>
            <w:vAlign w:val="center"/>
          </w:tcPr>
          <w:p w14:paraId="5A355AF0">
            <w:pPr>
              <w:widowControl/>
              <w:adjustRightInd w:val="0"/>
              <w:snapToGrid w:val="0"/>
              <w:spacing w:beforeLines="0" w:line="240" w:lineRule="auto"/>
              <w:jc w:val="center"/>
              <w:textAlignment w:val="center"/>
              <w:rPr>
                <w:kern w:val="0"/>
                <w:szCs w:val="21"/>
                <w:lang w:bidi="ar"/>
              </w:rPr>
            </w:pPr>
            <w:r>
              <w:rPr>
                <w:rFonts w:hint="eastAsia"/>
                <w:kern w:val="0"/>
                <w:szCs w:val="21"/>
                <w:lang w:bidi="ar"/>
              </w:rPr>
              <w:t>0.003</w:t>
            </w:r>
          </w:p>
        </w:tc>
        <w:tc>
          <w:tcPr>
            <w:tcW w:w="360" w:type="pct"/>
            <w:vMerge w:val="continue"/>
            <w:tcBorders>
              <w:tl2br w:val="nil"/>
              <w:tr2bl w:val="nil"/>
            </w:tcBorders>
            <w:vAlign w:val="center"/>
          </w:tcPr>
          <w:p w14:paraId="4BEE9768">
            <w:pPr>
              <w:adjustRightInd w:val="0"/>
              <w:snapToGrid w:val="0"/>
              <w:spacing w:before="0" w:beforeLines="0" w:line="240" w:lineRule="auto"/>
              <w:jc w:val="center"/>
              <w:rPr>
                <w:szCs w:val="21"/>
              </w:rPr>
            </w:pPr>
          </w:p>
        </w:tc>
      </w:tr>
      <w:tr w14:paraId="1FA1C53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53" w:type="pct"/>
            <w:vMerge w:val="continue"/>
            <w:tcBorders>
              <w:tl2br w:val="nil"/>
              <w:tr2bl w:val="nil"/>
            </w:tcBorders>
            <w:vAlign w:val="center"/>
          </w:tcPr>
          <w:p w14:paraId="04E2BDD0">
            <w:pPr>
              <w:adjustRightInd w:val="0"/>
              <w:snapToGrid w:val="0"/>
              <w:spacing w:before="0" w:beforeLines="0" w:line="240" w:lineRule="auto"/>
              <w:jc w:val="center"/>
              <w:rPr>
                <w:szCs w:val="21"/>
              </w:rPr>
            </w:pPr>
          </w:p>
        </w:tc>
        <w:tc>
          <w:tcPr>
            <w:tcW w:w="682" w:type="pct"/>
            <w:tcBorders>
              <w:tl2br w:val="nil"/>
              <w:tr2bl w:val="nil"/>
            </w:tcBorders>
            <w:vAlign w:val="center"/>
          </w:tcPr>
          <w:p w14:paraId="09988259">
            <w:pPr>
              <w:widowControl/>
              <w:adjustRightInd w:val="0"/>
              <w:snapToGrid w:val="0"/>
              <w:spacing w:beforeLines="0" w:line="240" w:lineRule="auto"/>
              <w:jc w:val="center"/>
              <w:textAlignment w:val="center"/>
              <w:rPr>
                <w:kern w:val="0"/>
                <w:szCs w:val="21"/>
                <w:lang w:bidi="ar"/>
              </w:rPr>
            </w:pPr>
            <w:r>
              <w:rPr>
                <w:rFonts w:hint="eastAsia"/>
                <w:kern w:val="0"/>
                <w:szCs w:val="21"/>
                <w:lang w:bidi="ar"/>
              </w:rPr>
              <w:t>碎石</w:t>
            </w:r>
            <w:r>
              <w:rPr>
                <w:kern w:val="0"/>
                <w:szCs w:val="21"/>
                <w:lang w:bidi="ar"/>
              </w:rPr>
              <w:t>成品仓粉尘</w:t>
            </w:r>
          </w:p>
        </w:tc>
        <w:tc>
          <w:tcPr>
            <w:tcW w:w="423" w:type="pct"/>
            <w:tcBorders>
              <w:tl2br w:val="nil"/>
              <w:tr2bl w:val="nil"/>
            </w:tcBorders>
            <w:vAlign w:val="center"/>
          </w:tcPr>
          <w:p w14:paraId="3ACD4322">
            <w:pPr>
              <w:widowControl/>
              <w:adjustRightInd w:val="0"/>
              <w:snapToGrid w:val="0"/>
              <w:spacing w:before="0" w:beforeLines="0" w:line="240" w:lineRule="auto"/>
              <w:jc w:val="center"/>
              <w:textAlignment w:val="center"/>
              <w:rPr>
                <w:kern w:val="0"/>
                <w:szCs w:val="21"/>
                <w:lang w:bidi="ar"/>
              </w:rPr>
            </w:pPr>
            <w:r>
              <w:rPr>
                <w:kern w:val="0"/>
                <w:szCs w:val="21"/>
                <w:lang w:bidi="ar"/>
              </w:rPr>
              <w:t>颗粒物</w:t>
            </w:r>
          </w:p>
        </w:tc>
        <w:tc>
          <w:tcPr>
            <w:tcW w:w="313" w:type="pct"/>
            <w:tcBorders>
              <w:tl2br w:val="nil"/>
              <w:tr2bl w:val="nil"/>
            </w:tcBorders>
            <w:vAlign w:val="center"/>
          </w:tcPr>
          <w:p w14:paraId="6F954F08">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303" w:type="pct"/>
            <w:tcBorders>
              <w:tl2br w:val="nil"/>
              <w:tr2bl w:val="nil"/>
            </w:tcBorders>
            <w:vAlign w:val="center"/>
          </w:tcPr>
          <w:p w14:paraId="4E05E462">
            <w:pPr>
              <w:widowControl/>
              <w:adjustRightInd w:val="0"/>
              <w:snapToGrid w:val="0"/>
              <w:spacing w:beforeLines="0" w:line="240" w:lineRule="auto"/>
              <w:jc w:val="center"/>
              <w:textAlignment w:val="center"/>
              <w:rPr>
                <w:rFonts w:eastAsia="等线"/>
                <w:szCs w:val="21"/>
              </w:rPr>
            </w:pPr>
            <w:r>
              <w:rPr>
                <w:rFonts w:eastAsia="等线"/>
                <w:szCs w:val="21"/>
              </w:rPr>
              <w:t>0.5</w:t>
            </w:r>
            <w:r>
              <w:rPr>
                <w:rFonts w:hint="eastAsia" w:eastAsia="等线"/>
                <w:szCs w:val="21"/>
              </w:rPr>
              <w:t>5</w:t>
            </w:r>
          </w:p>
        </w:tc>
        <w:tc>
          <w:tcPr>
            <w:tcW w:w="361" w:type="pct"/>
            <w:tcBorders>
              <w:tl2br w:val="nil"/>
              <w:tr2bl w:val="nil"/>
            </w:tcBorders>
            <w:vAlign w:val="center"/>
          </w:tcPr>
          <w:p w14:paraId="531774D1">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764" w:type="pct"/>
            <w:tcBorders>
              <w:tl2br w:val="nil"/>
              <w:tr2bl w:val="nil"/>
            </w:tcBorders>
            <w:vAlign w:val="center"/>
          </w:tcPr>
          <w:p w14:paraId="45E9615F">
            <w:pPr>
              <w:widowControl/>
              <w:adjustRightInd w:val="0"/>
              <w:snapToGrid w:val="0"/>
              <w:spacing w:beforeLines="0" w:line="240" w:lineRule="auto"/>
              <w:jc w:val="center"/>
              <w:textAlignment w:val="center"/>
              <w:rPr>
                <w:kern w:val="0"/>
                <w:szCs w:val="21"/>
                <w:lang w:bidi="ar"/>
              </w:rPr>
            </w:pPr>
            <w:r>
              <w:rPr>
                <w:kern w:val="0"/>
                <w:szCs w:val="21"/>
                <w:lang w:bidi="ar"/>
              </w:rPr>
              <w:t>仓顶除尘</w:t>
            </w:r>
          </w:p>
        </w:tc>
        <w:tc>
          <w:tcPr>
            <w:tcW w:w="249" w:type="pct"/>
            <w:tcBorders>
              <w:tl2br w:val="nil"/>
              <w:tr2bl w:val="nil"/>
            </w:tcBorders>
            <w:vAlign w:val="center"/>
          </w:tcPr>
          <w:p w14:paraId="2549657C">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248" w:type="pct"/>
            <w:tcBorders>
              <w:tl2br w:val="nil"/>
              <w:tr2bl w:val="nil"/>
            </w:tcBorders>
            <w:vAlign w:val="center"/>
          </w:tcPr>
          <w:p w14:paraId="0BC71613">
            <w:pPr>
              <w:widowControl/>
              <w:adjustRightInd w:val="0"/>
              <w:snapToGrid w:val="0"/>
              <w:spacing w:beforeLines="0" w:line="240" w:lineRule="auto"/>
              <w:jc w:val="center"/>
              <w:textAlignment w:val="center"/>
              <w:rPr>
                <w:kern w:val="0"/>
                <w:szCs w:val="21"/>
                <w:lang w:bidi="ar"/>
              </w:rPr>
            </w:pPr>
            <w:r>
              <w:rPr>
                <w:kern w:val="0"/>
                <w:szCs w:val="21"/>
                <w:lang w:bidi="ar"/>
              </w:rPr>
              <w:t>99</w:t>
            </w:r>
          </w:p>
        </w:tc>
        <w:tc>
          <w:tcPr>
            <w:tcW w:w="449" w:type="pct"/>
            <w:tcBorders>
              <w:tl2br w:val="nil"/>
              <w:tr2bl w:val="nil"/>
            </w:tcBorders>
            <w:vAlign w:val="center"/>
          </w:tcPr>
          <w:p w14:paraId="6FA68A13">
            <w:pPr>
              <w:widowControl/>
              <w:adjustRightInd w:val="0"/>
              <w:snapToGrid w:val="0"/>
              <w:spacing w:beforeLines="0" w:line="240" w:lineRule="auto"/>
              <w:jc w:val="center"/>
              <w:textAlignment w:val="center"/>
              <w:rPr>
                <w:rFonts w:eastAsia="等线"/>
                <w:szCs w:val="21"/>
              </w:rPr>
            </w:pPr>
            <w:r>
              <w:rPr>
                <w:rFonts w:eastAsia="等线"/>
                <w:szCs w:val="21"/>
              </w:rPr>
              <w:t>0.001</w:t>
            </w:r>
          </w:p>
        </w:tc>
        <w:tc>
          <w:tcPr>
            <w:tcW w:w="384" w:type="pct"/>
            <w:tcBorders>
              <w:tl2br w:val="nil"/>
              <w:tr2bl w:val="nil"/>
            </w:tcBorders>
            <w:vAlign w:val="center"/>
          </w:tcPr>
          <w:p w14:paraId="630BFD6D">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311" w:type="pct"/>
            <w:tcBorders>
              <w:tl2br w:val="nil"/>
              <w:tr2bl w:val="nil"/>
            </w:tcBorders>
            <w:vAlign w:val="center"/>
          </w:tcPr>
          <w:p w14:paraId="5E06289F">
            <w:pPr>
              <w:widowControl/>
              <w:adjustRightInd w:val="0"/>
              <w:snapToGrid w:val="0"/>
              <w:spacing w:beforeLines="0" w:line="240" w:lineRule="auto"/>
              <w:jc w:val="center"/>
              <w:textAlignment w:val="center"/>
              <w:rPr>
                <w:rFonts w:eastAsia="等线"/>
                <w:szCs w:val="21"/>
              </w:rPr>
            </w:pPr>
            <w:r>
              <w:rPr>
                <w:rFonts w:eastAsia="等线"/>
                <w:szCs w:val="21"/>
              </w:rPr>
              <w:t>0.01</w:t>
            </w:r>
          </w:p>
        </w:tc>
        <w:tc>
          <w:tcPr>
            <w:tcW w:w="360" w:type="pct"/>
            <w:vMerge w:val="continue"/>
            <w:tcBorders>
              <w:tl2br w:val="nil"/>
              <w:tr2bl w:val="nil"/>
            </w:tcBorders>
            <w:vAlign w:val="center"/>
          </w:tcPr>
          <w:p w14:paraId="2D51366D">
            <w:pPr>
              <w:adjustRightInd w:val="0"/>
              <w:snapToGrid w:val="0"/>
              <w:spacing w:before="0" w:beforeLines="0" w:line="240" w:lineRule="auto"/>
              <w:jc w:val="center"/>
              <w:rPr>
                <w:szCs w:val="21"/>
              </w:rPr>
            </w:pPr>
          </w:p>
        </w:tc>
      </w:tr>
      <w:tr w14:paraId="52087D4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69" w:hRule="atLeast"/>
          <w:jc w:val="center"/>
        </w:trPr>
        <w:tc>
          <w:tcPr>
            <w:tcW w:w="153" w:type="pct"/>
            <w:vMerge w:val="continue"/>
            <w:tcBorders>
              <w:tl2br w:val="nil"/>
              <w:tr2bl w:val="nil"/>
            </w:tcBorders>
            <w:vAlign w:val="center"/>
          </w:tcPr>
          <w:p w14:paraId="1ADF1AA2">
            <w:pPr>
              <w:adjustRightInd w:val="0"/>
              <w:snapToGrid w:val="0"/>
              <w:spacing w:before="0" w:beforeLines="0" w:line="240" w:lineRule="auto"/>
              <w:jc w:val="center"/>
              <w:rPr>
                <w:szCs w:val="21"/>
              </w:rPr>
            </w:pPr>
          </w:p>
        </w:tc>
        <w:tc>
          <w:tcPr>
            <w:tcW w:w="682" w:type="pct"/>
            <w:tcBorders>
              <w:tl2br w:val="nil"/>
              <w:tr2bl w:val="nil"/>
            </w:tcBorders>
            <w:vAlign w:val="center"/>
          </w:tcPr>
          <w:p w14:paraId="7C0D79E3">
            <w:pPr>
              <w:widowControl/>
              <w:adjustRightInd w:val="0"/>
              <w:snapToGrid w:val="0"/>
              <w:spacing w:beforeLines="0" w:line="240" w:lineRule="auto"/>
              <w:jc w:val="center"/>
              <w:textAlignment w:val="center"/>
              <w:rPr>
                <w:kern w:val="0"/>
                <w:szCs w:val="21"/>
                <w:lang w:bidi="ar"/>
              </w:rPr>
            </w:pPr>
            <w:r>
              <w:rPr>
                <w:kern w:val="0"/>
                <w:szCs w:val="21"/>
                <w:lang w:bidi="ar"/>
              </w:rPr>
              <w:t>道路运输扬尘</w:t>
            </w:r>
          </w:p>
        </w:tc>
        <w:tc>
          <w:tcPr>
            <w:tcW w:w="423" w:type="pct"/>
            <w:tcBorders>
              <w:tl2br w:val="nil"/>
              <w:tr2bl w:val="nil"/>
            </w:tcBorders>
            <w:vAlign w:val="center"/>
          </w:tcPr>
          <w:p w14:paraId="2C09ECC8">
            <w:pPr>
              <w:widowControl/>
              <w:adjustRightInd w:val="0"/>
              <w:snapToGrid w:val="0"/>
              <w:spacing w:before="0" w:beforeLines="0" w:line="240" w:lineRule="auto"/>
              <w:jc w:val="center"/>
              <w:textAlignment w:val="center"/>
              <w:rPr>
                <w:kern w:val="0"/>
                <w:szCs w:val="21"/>
                <w:lang w:bidi="ar"/>
              </w:rPr>
            </w:pPr>
            <w:r>
              <w:rPr>
                <w:kern w:val="0"/>
                <w:szCs w:val="21"/>
                <w:lang w:bidi="ar"/>
              </w:rPr>
              <w:t>颗粒物</w:t>
            </w:r>
          </w:p>
        </w:tc>
        <w:tc>
          <w:tcPr>
            <w:tcW w:w="313" w:type="pct"/>
            <w:tcBorders>
              <w:tl2br w:val="nil"/>
              <w:tr2bl w:val="nil"/>
            </w:tcBorders>
            <w:vAlign w:val="center"/>
          </w:tcPr>
          <w:p w14:paraId="13CD7D1D">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303" w:type="pct"/>
            <w:tcBorders>
              <w:tl2br w:val="nil"/>
              <w:tr2bl w:val="nil"/>
            </w:tcBorders>
            <w:vAlign w:val="center"/>
          </w:tcPr>
          <w:p w14:paraId="4D458DD0">
            <w:pPr>
              <w:widowControl/>
              <w:adjustRightInd w:val="0"/>
              <w:snapToGrid w:val="0"/>
              <w:spacing w:beforeLines="0" w:line="240" w:lineRule="auto"/>
              <w:jc w:val="center"/>
              <w:textAlignment w:val="center"/>
              <w:rPr>
                <w:kern w:val="0"/>
                <w:szCs w:val="21"/>
                <w:lang w:bidi="ar"/>
              </w:rPr>
            </w:pPr>
            <w:r>
              <w:rPr>
                <w:rFonts w:hint="eastAsia"/>
                <w:kern w:val="0"/>
                <w:szCs w:val="21"/>
                <w:lang w:bidi="ar"/>
              </w:rPr>
              <w:t>38.76</w:t>
            </w:r>
          </w:p>
        </w:tc>
        <w:tc>
          <w:tcPr>
            <w:tcW w:w="361" w:type="pct"/>
            <w:tcBorders>
              <w:tl2br w:val="nil"/>
              <w:tr2bl w:val="nil"/>
            </w:tcBorders>
            <w:vAlign w:val="center"/>
          </w:tcPr>
          <w:p w14:paraId="005E3AF6">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764" w:type="pct"/>
            <w:tcBorders>
              <w:tl2br w:val="nil"/>
              <w:tr2bl w:val="nil"/>
            </w:tcBorders>
            <w:vAlign w:val="center"/>
          </w:tcPr>
          <w:p w14:paraId="3A088D0A">
            <w:pPr>
              <w:widowControl/>
              <w:adjustRightInd w:val="0"/>
              <w:snapToGrid w:val="0"/>
              <w:spacing w:beforeLines="0" w:line="240" w:lineRule="auto"/>
              <w:jc w:val="center"/>
              <w:textAlignment w:val="center"/>
              <w:rPr>
                <w:kern w:val="0"/>
                <w:szCs w:val="21"/>
                <w:lang w:bidi="ar"/>
              </w:rPr>
            </w:pPr>
            <w:r>
              <w:rPr>
                <w:rFonts w:hint="eastAsia"/>
                <w:kern w:val="0"/>
                <w:szCs w:val="21"/>
                <w:lang w:bidi="ar"/>
              </w:rPr>
              <w:t>道路硬化、车辆苫盖、</w:t>
            </w:r>
            <w:r>
              <w:rPr>
                <w:kern w:val="0"/>
                <w:szCs w:val="21"/>
                <w:lang w:bidi="ar"/>
              </w:rPr>
              <w:t>洒水抑尘</w:t>
            </w:r>
          </w:p>
        </w:tc>
        <w:tc>
          <w:tcPr>
            <w:tcW w:w="249" w:type="pct"/>
            <w:tcBorders>
              <w:tl2br w:val="nil"/>
              <w:tr2bl w:val="nil"/>
            </w:tcBorders>
            <w:vAlign w:val="center"/>
          </w:tcPr>
          <w:p w14:paraId="75178FC6">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248" w:type="pct"/>
            <w:tcBorders>
              <w:tl2br w:val="nil"/>
              <w:tr2bl w:val="nil"/>
            </w:tcBorders>
            <w:vAlign w:val="center"/>
          </w:tcPr>
          <w:p w14:paraId="23F390AC">
            <w:pPr>
              <w:widowControl/>
              <w:adjustRightInd w:val="0"/>
              <w:snapToGrid w:val="0"/>
              <w:spacing w:beforeLines="0" w:line="240" w:lineRule="auto"/>
              <w:jc w:val="center"/>
              <w:textAlignment w:val="center"/>
              <w:rPr>
                <w:kern w:val="0"/>
                <w:szCs w:val="21"/>
                <w:lang w:bidi="ar"/>
              </w:rPr>
            </w:pPr>
            <w:r>
              <w:rPr>
                <w:kern w:val="0"/>
                <w:szCs w:val="21"/>
                <w:lang w:bidi="ar"/>
              </w:rPr>
              <w:t>74</w:t>
            </w:r>
          </w:p>
        </w:tc>
        <w:tc>
          <w:tcPr>
            <w:tcW w:w="449" w:type="pct"/>
            <w:tcBorders>
              <w:tl2br w:val="nil"/>
              <w:tr2bl w:val="nil"/>
            </w:tcBorders>
            <w:vAlign w:val="center"/>
          </w:tcPr>
          <w:p w14:paraId="5201E622">
            <w:pPr>
              <w:widowControl/>
              <w:adjustRightInd w:val="0"/>
              <w:snapToGrid w:val="0"/>
              <w:spacing w:beforeLines="0" w:line="240" w:lineRule="auto"/>
              <w:jc w:val="center"/>
              <w:textAlignment w:val="center"/>
              <w:rPr>
                <w:kern w:val="0"/>
                <w:szCs w:val="21"/>
                <w:lang w:bidi="ar"/>
              </w:rPr>
            </w:pPr>
          </w:p>
        </w:tc>
        <w:tc>
          <w:tcPr>
            <w:tcW w:w="384" w:type="pct"/>
            <w:tcBorders>
              <w:tl2br w:val="nil"/>
              <w:tr2bl w:val="nil"/>
            </w:tcBorders>
            <w:vAlign w:val="center"/>
          </w:tcPr>
          <w:p w14:paraId="2DE6836A">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311" w:type="pct"/>
            <w:tcBorders>
              <w:tl2br w:val="nil"/>
              <w:tr2bl w:val="nil"/>
            </w:tcBorders>
            <w:vAlign w:val="center"/>
          </w:tcPr>
          <w:p w14:paraId="7F4C43E8">
            <w:pPr>
              <w:widowControl/>
              <w:adjustRightInd w:val="0"/>
              <w:snapToGrid w:val="0"/>
              <w:spacing w:beforeLines="0" w:line="240" w:lineRule="auto"/>
              <w:jc w:val="center"/>
              <w:textAlignment w:val="center"/>
              <w:rPr>
                <w:kern w:val="0"/>
                <w:szCs w:val="21"/>
                <w:lang w:bidi="ar"/>
              </w:rPr>
            </w:pPr>
            <w:r>
              <w:rPr>
                <w:rFonts w:hint="eastAsia"/>
                <w:kern w:val="0"/>
                <w:szCs w:val="21"/>
                <w:lang w:bidi="ar"/>
              </w:rPr>
              <w:t>10.08</w:t>
            </w:r>
          </w:p>
        </w:tc>
        <w:tc>
          <w:tcPr>
            <w:tcW w:w="360" w:type="pct"/>
            <w:vMerge w:val="continue"/>
            <w:tcBorders>
              <w:tl2br w:val="nil"/>
              <w:tr2bl w:val="nil"/>
            </w:tcBorders>
            <w:vAlign w:val="center"/>
          </w:tcPr>
          <w:p w14:paraId="2BD629A6">
            <w:pPr>
              <w:adjustRightInd w:val="0"/>
              <w:snapToGrid w:val="0"/>
              <w:spacing w:before="0" w:beforeLines="0" w:line="240" w:lineRule="auto"/>
              <w:jc w:val="center"/>
              <w:rPr>
                <w:szCs w:val="21"/>
              </w:rPr>
            </w:pPr>
          </w:p>
        </w:tc>
      </w:tr>
      <w:bookmarkEnd w:id="127"/>
    </w:tbl>
    <w:p w14:paraId="7C94F462">
      <w:pPr>
        <w:spacing w:before="79"/>
        <w:sectPr>
          <w:pgSz w:w="16838" w:h="11906" w:orient="landscape"/>
          <w:pgMar w:top="1797" w:right="1440" w:bottom="1797" w:left="1440" w:header="851" w:footer="992" w:gutter="0"/>
          <w:cols w:space="0" w:num="1"/>
          <w:docGrid w:type="lines" w:linePitch="319" w:charSpace="0"/>
        </w:sectPr>
      </w:pPr>
    </w:p>
    <w:p w14:paraId="5D5FDB58">
      <w:pPr>
        <w:keepLines/>
        <w:spacing w:before="78" w:line="416" w:lineRule="auto"/>
        <w:rPr>
          <w:b/>
          <w:bCs/>
          <w:sz w:val="24"/>
        </w:rPr>
      </w:pPr>
      <w:r>
        <w:rPr>
          <w:rFonts w:hint="eastAsia"/>
          <w:b/>
          <w:bCs/>
          <w:sz w:val="24"/>
        </w:rPr>
        <w:t>3.3.2.2</w:t>
      </w:r>
      <w:r>
        <w:rPr>
          <w:b/>
          <w:bCs/>
          <w:sz w:val="24"/>
        </w:rPr>
        <w:t>废水污染源分析</w:t>
      </w:r>
    </w:p>
    <w:bookmarkEnd w:id="120"/>
    <w:p w14:paraId="6D4BBB83">
      <w:pPr>
        <w:adjustRightInd w:val="0"/>
        <w:spacing w:before="0" w:beforeLines="0" w:line="360" w:lineRule="auto"/>
        <w:ind w:firstLine="480" w:firstLineChars="200"/>
        <w:rPr>
          <w:sz w:val="24"/>
        </w:rPr>
      </w:pPr>
      <w:bookmarkStart w:id="129" w:name="OLE_LINK4"/>
      <w:r>
        <w:rPr>
          <w:kern w:val="0"/>
          <w:sz w:val="24"/>
        </w:rPr>
        <w:t>本项目用水主要为生活用水和生产用水，生活用水均外购；生产用水包括</w:t>
      </w:r>
      <w:r>
        <w:rPr>
          <w:sz w:val="24"/>
        </w:rPr>
        <w:t>选矿用水、车间地面</w:t>
      </w:r>
      <w:r>
        <w:rPr>
          <w:rFonts w:hint="eastAsia"/>
          <w:sz w:val="24"/>
        </w:rPr>
        <w:t>清洗</w:t>
      </w:r>
      <w:r>
        <w:rPr>
          <w:sz w:val="24"/>
        </w:rPr>
        <w:t>用水、道路洒水和</w:t>
      </w:r>
      <w:r>
        <w:rPr>
          <w:rFonts w:hint="eastAsia"/>
          <w:sz w:val="24"/>
        </w:rPr>
        <w:t>洒水抑尘</w:t>
      </w:r>
      <w:r>
        <w:rPr>
          <w:sz w:val="24"/>
        </w:rPr>
        <w:t>用水等，</w:t>
      </w:r>
      <w:r>
        <w:rPr>
          <w:rFonts w:hint="eastAsia"/>
          <w:sz w:val="24"/>
        </w:rPr>
        <w:t>优先使用回用水，回用水不足部分依托辽宁鑫岳矿业有限公司供水</w:t>
      </w:r>
      <w:r>
        <w:rPr>
          <w:sz w:val="24"/>
        </w:rPr>
        <w:t>。</w:t>
      </w:r>
    </w:p>
    <w:p w14:paraId="6CAFC7B2">
      <w:pPr>
        <w:pStyle w:val="53"/>
        <w:adjustRightInd w:val="0"/>
        <w:spacing w:before="0" w:beforeLines="0" w:after="0" w:line="360" w:lineRule="auto"/>
        <w:ind w:left="0" w:leftChars="0" w:firstLine="480" w:firstLineChars="200"/>
        <w:rPr>
          <w:sz w:val="24"/>
        </w:rPr>
      </w:pPr>
      <w:r>
        <w:rPr>
          <w:sz w:val="24"/>
          <w:lang w:bidi="ar"/>
        </w:rPr>
        <w:t>本项目生活污水产生量为3.6m</w:t>
      </w:r>
      <w:r>
        <w:rPr>
          <w:sz w:val="24"/>
          <w:vertAlign w:val="superscript"/>
          <w:lang w:bidi="ar"/>
        </w:rPr>
        <w:t>3</w:t>
      </w:r>
      <w:r>
        <w:rPr>
          <w:sz w:val="24"/>
          <w:lang w:bidi="ar"/>
        </w:rPr>
        <w:t>/d</w:t>
      </w:r>
      <w:r>
        <w:rPr>
          <w:rFonts w:hint="eastAsia"/>
          <w:sz w:val="24"/>
          <w:lang w:bidi="ar"/>
        </w:rPr>
        <w:t>，</w:t>
      </w:r>
      <w:r>
        <w:rPr>
          <w:sz w:val="24"/>
          <w:lang w:bidi="ar"/>
        </w:rPr>
        <w:t>主要污染物为SS、COD、NH</w:t>
      </w:r>
      <w:r>
        <w:rPr>
          <w:sz w:val="24"/>
          <w:vertAlign w:val="subscript"/>
          <w:lang w:bidi="ar"/>
        </w:rPr>
        <w:t>3</w:t>
      </w:r>
      <w:r>
        <w:rPr>
          <w:sz w:val="24"/>
          <w:lang w:bidi="ar"/>
        </w:rPr>
        <w:t>-N等，生活污水排入化粪池定期清掏，不外排。</w:t>
      </w:r>
    </w:p>
    <w:p w14:paraId="484863D1">
      <w:pPr>
        <w:adjustRightInd w:val="0"/>
        <w:spacing w:before="0" w:beforeLines="0" w:line="360" w:lineRule="auto"/>
        <w:ind w:firstLine="480" w:firstLineChars="200"/>
        <w:rPr>
          <w:kern w:val="0"/>
          <w:sz w:val="24"/>
        </w:rPr>
      </w:pPr>
      <w:r>
        <w:rPr>
          <w:rFonts w:hint="eastAsia"/>
          <w:sz w:val="24"/>
        </w:rPr>
        <w:t>生产用水车间抑尘用水、道路降尘用水、车辆清洗用水等全部蒸发损失，不产生生产废水。洗砂机和重选产生的泥浆进入浓缩罐后进行浓缩，浓缩罐产生的上清液溢流到循环水池，浓缩后的泥浆泵入板框压滤机，压滤后的泥饼回填至现有露天采坑，压滤后的清水泵入循环水池回用。球磨车间二段磁选后磁上物进入脱水机脱水，重选车间磁选工序磁下物进入脱水机脱水，脱水废水排入循环水池循环利用</w:t>
      </w:r>
      <w:r>
        <w:rPr>
          <w:rFonts w:hint="eastAsia"/>
          <w:kern w:val="0"/>
          <w:sz w:val="24"/>
        </w:rPr>
        <w:t>。</w:t>
      </w:r>
    </w:p>
    <w:p w14:paraId="2F86D8B8">
      <w:pPr>
        <w:spacing w:before="0" w:beforeLines="0" w:line="360" w:lineRule="auto"/>
        <w:ind w:firstLine="539"/>
        <w:rPr>
          <w:sz w:val="24"/>
          <w:szCs w:val="20"/>
        </w:rPr>
      </w:pPr>
      <w:r>
        <w:rPr>
          <w:sz w:val="24"/>
          <w:szCs w:val="20"/>
        </w:rPr>
        <w:t>本项目生产工艺为磨矿</w:t>
      </w:r>
      <w:r>
        <w:rPr>
          <w:rFonts w:hint="eastAsia"/>
          <w:sz w:val="24"/>
          <w:szCs w:val="20"/>
        </w:rPr>
        <w:t>-</w:t>
      </w:r>
      <w:r>
        <w:rPr>
          <w:sz w:val="24"/>
          <w:szCs w:val="20"/>
        </w:rPr>
        <w:t>磁选</w:t>
      </w:r>
      <w:r>
        <w:rPr>
          <w:rFonts w:hint="eastAsia"/>
          <w:sz w:val="24"/>
          <w:szCs w:val="20"/>
        </w:rPr>
        <w:t>-重选，</w:t>
      </w:r>
      <w:r>
        <w:rPr>
          <w:sz w:val="24"/>
          <w:szCs w:val="20"/>
        </w:rPr>
        <w:t>不添加</w:t>
      </w:r>
      <w:r>
        <w:rPr>
          <w:rFonts w:hint="eastAsia"/>
          <w:sz w:val="24"/>
          <w:szCs w:val="20"/>
        </w:rPr>
        <w:t>任何</w:t>
      </w:r>
      <w:r>
        <w:rPr>
          <w:sz w:val="24"/>
          <w:szCs w:val="20"/>
        </w:rPr>
        <w:t>药剂，选矿废水中主要污染物为SS，</w:t>
      </w:r>
      <w:r>
        <w:rPr>
          <w:rFonts w:hint="eastAsia"/>
          <w:sz w:val="24"/>
          <w:szCs w:val="20"/>
        </w:rPr>
        <w:t>经简单</w:t>
      </w:r>
      <w:r>
        <w:rPr>
          <w:sz w:val="24"/>
          <w:szCs w:val="20"/>
        </w:rPr>
        <w:t>沉淀处理后上清液悬浮物的含量可以控制在50mg/L以下</w:t>
      </w:r>
      <w:r>
        <w:rPr>
          <w:rFonts w:hint="eastAsia"/>
          <w:sz w:val="24"/>
          <w:szCs w:val="20"/>
        </w:rPr>
        <w:t>。根据《铁矿石采选企业污水处理技术规范》（GB/T 33815-2017）中6.2.3.1单一磁选工艺选矿水水质通常主要污染物为悬浮物，通过对悬浮物的分级沉淀去除即可满足回用要求，并</w:t>
      </w:r>
      <w:r>
        <w:rPr>
          <w:sz w:val="24"/>
          <w:szCs w:val="20"/>
        </w:rPr>
        <w:t>根据</w:t>
      </w:r>
      <w:r>
        <w:rPr>
          <w:rFonts w:hint="eastAsia"/>
          <w:sz w:val="24"/>
          <w:szCs w:val="20"/>
        </w:rPr>
        <w:t>矿山企业</w:t>
      </w:r>
      <w:r>
        <w:rPr>
          <w:sz w:val="24"/>
          <w:szCs w:val="20"/>
        </w:rPr>
        <w:t>生产经验，</w:t>
      </w:r>
      <w:r>
        <w:rPr>
          <w:rFonts w:hint="eastAsia"/>
          <w:sz w:val="24"/>
          <w:szCs w:val="20"/>
        </w:rPr>
        <w:t>废水经</w:t>
      </w:r>
      <w:r>
        <w:rPr>
          <w:sz w:val="24"/>
          <w:szCs w:val="20"/>
        </w:rPr>
        <w:t>沉淀处理后</w:t>
      </w:r>
      <w:r>
        <w:rPr>
          <w:rFonts w:hint="eastAsia"/>
          <w:sz w:val="24"/>
          <w:szCs w:val="20"/>
        </w:rPr>
        <w:t>可</w:t>
      </w:r>
      <w:r>
        <w:rPr>
          <w:sz w:val="24"/>
          <w:szCs w:val="20"/>
        </w:rPr>
        <w:t>满足回用要求，废水处理及回用方案可行。本项目工艺较为简单水污染物以SS为主，根据水平衡分析，</w:t>
      </w:r>
      <w:r>
        <w:rPr>
          <w:rFonts w:hint="eastAsia"/>
          <w:sz w:val="24"/>
          <w:szCs w:val="20"/>
        </w:rPr>
        <w:t>可</w:t>
      </w:r>
      <w:r>
        <w:rPr>
          <w:sz w:val="24"/>
          <w:szCs w:val="20"/>
        </w:rPr>
        <w:t>实现废水的零排放。</w:t>
      </w:r>
    </w:p>
    <w:bookmarkEnd w:id="129"/>
    <w:p w14:paraId="16955614">
      <w:pPr>
        <w:keepLines/>
        <w:spacing w:before="78" w:line="416" w:lineRule="auto"/>
        <w:rPr>
          <w:b/>
          <w:bCs/>
          <w:sz w:val="24"/>
        </w:rPr>
      </w:pPr>
      <w:r>
        <w:rPr>
          <w:rFonts w:hint="eastAsia"/>
          <w:b/>
          <w:bCs/>
          <w:sz w:val="24"/>
        </w:rPr>
        <w:t>3.3.2.3</w:t>
      </w:r>
      <w:r>
        <w:rPr>
          <w:b/>
          <w:bCs/>
          <w:sz w:val="24"/>
        </w:rPr>
        <w:t>噪声污染源分析</w:t>
      </w:r>
    </w:p>
    <w:p w14:paraId="7A13FADA">
      <w:pPr>
        <w:adjustRightInd w:val="0"/>
        <w:snapToGrid w:val="0"/>
        <w:spacing w:before="78" w:line="360" w:lineRule="auto"/>
        <w:ind w:firstLine="480" w:firstLineChars="200"/>
        <w:jc w:val="left"/>
      </w:pPr>
      <w:r>
        <w:rPr>
          <w:kern w:val="0"/>
          <w:sz w:val="24"/>
        </w:rPr>
        <w:t>本项目主要的噪声源有破碎机、</w:t>
      </w:r>
      <w:r>
        <w:rPr>
          <w:rFonts w:hint="eastAsia"/>
          <w:kern w:val="0"/>
          <w:sz w:val="24"/>
        </w:rPr>
        <w:t>抛砂</w:t>
      </w:r>
      <w:r>
        <w:rPr>
          <w:kern w:val="0"/>
          <w:sz w:val="24"/>
        </w:rPr>
        <w:t>分离机、筛分机、球磨机、磁选机、脱水机等生产机械设备运行时产生的噪声，</w:t>
      </w:r>
      <w:r>
        <w:rPr>
          <w:snapToGrid w:val="0"/>
          <w:kern w:val="0"/>
          <w:sz w:val="24"/>
          <w:szCs w:val="21"/>
        </w:rPr>
        <w:t>噪声级在70～100dB(A)之间。具体声源源强及治理措施见表3.</w:t>
      </w:r>
      <w:r>
        <w:rPr>
          <w:rFonts w:hint="eastAsia"/>
          <w:snapToGrid w:val="0"/>
          <w:kern w:val="0"/>
          <w:sz w:val="24"/>
          <w:szCs w:val="21"/>
        </w:rPr>
        <w:t>3</w:t>
      </w:r>
      <w:r>
        <w:rPr>
          <w:snapToGrid w:val="0"/>
          <w:kern w:val="0"/>
          <w:sz w:val="24"/>
          <w:szCs w:val="21"/>
        </w:rPr>
        <w:t>-5至表3.</w:t>
      </w:r>
      <w:r>
        <w:rPr>
          <w:rFonts w:hint="eastAsia"/>
          <w:snapToGrid w:val="0"/>
          <w:kern w:val="0"/>
          <w:sz w:val="24"/>
          <w:szCs w:val="21"/>
        </w:rPr>
        <w:t>3</w:t>
      </w:r>
      <w:r>
        <w:rPr>
          <w:snapToGrid w:val="0"/>
          <w:kern w:val="0"/>
          <w:sz w:val="24"/>
          <w:szCs w:val="21"/>
        </w:rPr>
        <w:t>-</w:t>
      </w:r>
      <w:r>
        <w:rPr>
          <w:rFonts w:hint="eastAsia"/>
          <w:snapToGrid w:val="0"/>
          <w:kern w:val="0"/>
          <w:sz w:val="24"/>
          <w:szCs w:val="21"/>
        </w:rPr>
        <w:t>8</w:t>
      </w:r>
      <w:r>
        <w:rPr>
          <w:snapToGrid w:val="0"/>
          <w:kern w:val="0"/>
          <w:sz w:val="24"/>
          <w:szCs w:val="21"/>
        </w:rPr>
        <w:t>。</w:t>
      </w:r>
    </w:p>
    <w:p w14:paraId="7517EBC3">
      <w:pPr>
        <w:spacing w:before="78"/>
        <w:jc w:val="center"/>
        <w:rPr>
          <w:b/>
          <w:bCs/>
          <w:szCs w:val="21"/>
        </w:rPr>
        <w:sectPr>
          <w:pgSz w:w="11906" w:h="16838"/>
          <w:pgMar w:top="1440" w:right="1797" w:bottom="1440" w:left="1797" w:header="851" w:footer="992" w:gutter="0"/>
          <w:cols w:space="720" w:num="1"/>
          <w:docGrid w:type="lines" w:linePitch="312" w:charSpace="0"/>
        </w:sectPr>
      </w:pPr>
    </w:p>
    <w:p w14:paraId="631CAF5E">
      <w:pPr>
        <w:spacing w:before="79"/>
        <w:jc w:val="center"/>
        <w:rPr>
          <w:szCs w:val="21"/>
        </w:rPr>
      </w:pPr>
      <w:bookmarkStart w:id="130" w:name="_Hlk194847627"/>
      <w:r>
        <w:rPr>
          <w:b/>
          <w:bCs/>
          <w:szCs w:val="21"/>
        </w:rPr>
        <w:t>表3</w:t>
      </w:r>
      <w:r>
        <w:rPr>
          <w:rFonts w:hint="eastAsia"/>
          <w:b/>
          <w:bCs/>
          <w:szCs w:val="21"/>
        </w:rPr>
        <w:t>.3</w:t>
      </w:r>
      <w:r>
        <w:rPr>
          <w:b/>
          <w:bCs/>
          <w:szCs w:val="21"/>
        </w:rPr>
        <w:t xml:space="preserve">-5  </w:t>
      </w:r>
      <w:r>
        <w:rPr>
          <w:rFonts w:hint="eastAsia"/>
          <w:b/>
          <w:bCs/>
          <w:szCs w:val="21"/>
        </w:rPr>
        <w:t xml:space="preserve">    </w:t>
      </w:r>
      <w:r>
        <w:rPr>
          <w:b/>
          <w:bCs/>
          <w:szCs w:val="21"/>
        </w:rPr>
        <w:t>1#厂区噪声源情况一览表（室内声源）</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 w:type="dxa"/>
          <w:bottom w:w="0" w:type="dxa"/>
          <w:right w:w="10" w:type="dxa"/>
        </w:tblCellMar>
      </w:tblPr>
      <w:tblGrid>
        <w:gridCol w:w="515"/>
        <w:gridCol w:w="930"/>
        <w:gridCol w:w="1893"/>
        <w:gridCol w:w="546"/>
        <w:gridCol w:w="538"/>
        <w:gridCol w:w="662"/>
        <w:gridCol w:w="1017"/>
        <w:gridCol w:w="982"/>
        <w:gridCol w:w="1586"/>
        <w:gridCol w:w="977"/>
        <w:gridCol w:w="898"/>
        <w:gridCol w:w="898"/>
        <w:gridCol w:w="898"/>
        <w:gridCol w:w="898"/>
      </w:tblGrid>
      <w:tr w14:paraId="6FC705A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86" w:hRule="atLeast"/>
          <w:jc w:val="center"/>
        </w:trPr>
        <w:tc>
          <w:tcPr>
            <w:tcW w:w="195" w:type="pct"/>
            <w:vMerge w:val="restart"/>
            <w:vAlign w:val="center"/>
          </w:tcPr>
          <w:p w14:paraId="5E808AA1">
            <w:pPr>
              <w:topLinePunct/>
              <w:adjustRightInd w:val="0"/>
              <w:snapToGrid w:val="0"/>
              <w:spacing w:before="0" w:beforeLines="0" w:line="240" w:lineRule="auto"/>
              <w:jc w:val="center"/>
              <w:rPr>
                <w:kern w:val="0"/>
                <w:szCs w:val="21"/>
              </w:rPr>
            </w:pPr>
            <w:r>
              <w:rPr>
                <w:kern w:val="0"/>
                <w:szCs w:val="21"/>
              </w:rPr>
              <w:t>序号</w:t>
            </w:r>
          </w:p>
        </w:tc>
        <w:tc>
          <w:tcPr>
            <w:tcW w:w="351" w:type="pct"/>
            <w:vMerge w:val="restart"/>
            <w:vAlign w:val="center"/>
          </w:tcPr>
          <w:p w14:paraId="04532865">
            <w:pPr>
              <w:topLinePunct/>
              <w:adjustRightInd w:val="0"/>
              <w:snapToGrid w:val="0"/>
              <w:spacing w:before="0" w:beforeLines="0" w:line="240" w:lineRule="auto"/>
              <w:jc w:val="center"/>
              <w:rPr>
                <w:kern w:val="0"/>
                <w:szCs w:val="21"/>
              </w:rPr>
            </w:pPr>
            <w:r>
              <w:rPr>
                <w:kern w:val="0"/>
                <w:szCs w:val="21"/>
              </w:rPr>
              <w:t>建筑物名称</w:t>
            </w:r>
          </w:p>
        </w:tc>
        <w:tc>
          <w:tcPr>
            <w:tcW w:w="715" w:type="pct"/>
            <w:vMerge w:val="restart"/>
            <w:vAlign w:val="center"/>
          </w:tcPr>
          <w:p w14:paraId="05415F5F">
            <w:pPr>
              <w:topLinePunct/>
              <w:adjustRightInd w:val="0"/>
              <w:snapToGrid w:val="0"/>
              <w:spacing w:before="0" w:beforeLines="0" w:line="240" w:lineRule="auto"/>
              <w:jc w:val="center"/>
              <w:rPr>
                <w:kern w:val="0"/>
                <w:szCs w:val="21"/>
              </w:rPr>
            </w:pPr>
            <w:r>
              <w:rPr>
                <w:kern w:val="0"/>
                <w:szCs w:val="21"/>
              </w:rPr>
              <w:t>声源名称</w:t>
            </w:r>
          </w:p>
        </w:tc>
        <w:tc>
          <w:tcPr>
            <w:tcW w:w="659" w:type="pct"/>
            <w:gridSpan w:val="3"/>
            <w:vAlign w:val="center"/>
          </w:tcPr>
          <w:p w14:paraId="3628D9E3">
            <w:pPr>
              <w:topLinePunct/>
              <w:adjustRightInd w:val="0"/>
              <w:snapToGrid w:val="0"/>
              <w:spacing w:before="0" w:beforeLines="0" w:line="240" w:lineRule="auto"/>
              <w:jc w:val="center"/>
              <w:rPr>
                <w:kern w:val="0"/>
                <w:szCs w:val="21"/>
              </w:rPr>
            </w:pPr>
            <w:r>
              <w:rPr>
                <w:kern w:val="0"/>
                <w:szCs w:val="21"/>
              </w:rPr>
              <w:t>空间相对位置/m</w:t>
            </w:r>
          </w:p>
        </w:tc>
        <w:tc>
          <w:tcPr>
            <w:tcW w:w="384" w:type="pct"/>
            <w:vMerge w:val="restart"/>
            <w:vAlign w:val="center"/>
          </w:tcPr>
          <w:p w14:paraId="583BADAF">
            <w:pPr>
              <w:topLinePunct/>
              <w:adjustRightInd w:val="0"/>
              <w:snapToGrid w:val="0"/>
              <w:spacing w:before="0" w:beforeLines="0" w:line="240" w:lineRule="auto"/>
              <w:jc w:val="center"/>
              <w:rPr>
                <w:kern w:val="0"/>
                <w:szCs w:val="21"/>
              </w:rPr>
            </w:pPr>
            <w:r>
              <w:rPr>
                <w:kern w:val="0"/>
                <w:szCs w:val="21"/>
              </w:rPr>
              <w:t>噪声源强</w:t>
            </w:r>
            <w:r>
              <w:rPr>
                <w:rFonts w:hint="eastAsia"/>
                <w:kern w:val="0"/>
                <w:szCs w:val="21"/>
              </w:rPr>
              <w:t>声功率级</w:t>
            </w:r>
            <w:r>
              <w:rPr>
                <w:szCs w:val="21"/>
              </w:rPr>
              <w:t>dB(A)</w:t>
            </w:r>
          </w:p>
        </w:tc>
        <w:tc>
          <w:tcPr>
            <w:tcW w:w="371" w:type="pct"/>
            <w:vMerge w:val="restart"/>
            <w:vAlign w:val="center"/>
          </w:tcPr>
          <w:p w14:paraId="0482F2B6">
            <w:pPr>
              <w:topLinePunct/>
              <w:adjustRightInd w:val="0"/>
              <w:snapToGrid w:val="0"/>
              <w:spacing w:before="0" w:beforeLines="0" w:line="240" w:lineRule="auto"/>
              <w:jc w:val="center"/>
              <w:rPr>
                <w:kern w:val="0"/>
                <w:szCs w:val="21"/>
              </w:rPr>
            </w:pPr>
            <w:r>
              <w:rPr>
                <w:kern w:val="0"/>
                <w:szCs w:val="21"/>
              </w:rPr>
              <w:t>声源控制措施</w:t>
            </w:r>
          </w:p>
        </w:tc>
        <w:tc>
          <w:tcPr>
            <w:tcW w:w="599" w:type="pct"/>
            <w:vMerge w:val="restart"/>
            <w:vAlign w:val="center"/>
          </w:tcPr>
          <w:p w14:paraId="2EA5E551">
            <w:pPr>
              <w:topLinePunct/>
              <w:adjustRightInd w:val="0"/>
              <w:snapToGrid w:val="0"/>
              <w:spacing w:before="0" w:beforeLines="0" w:line="240" w:lineRule="auto"/>
              <w:jc w:val="center"/>
              <w:rPr>
                <w:kern w:val="0"/>
                <w:szCs w:val="21"/>
              </w:rPr>
            </w:pPr>
            <w:r>
              <w:rPr>
                <w:kern w:val="0"/>
                <w:szCs w:val="21"/>
              </w:rPr>
              <w:t>距室内边界距离/m</w:t>
            </w:r>
          </w:p>
        </w:tc>
        <w:tc>
          <w:tcPr>
            <w:tcW w:w="369" w:type="pct"/>
            <w:vMerge w:val="restart"/>
            <w:vAlign w:val="center"/>
          </w:tcPr>
          <w:p w14:paraId="2D5B2CEB">
            <w:pPr>
              <w:topLinePunct/>
              <w:adjustRightInd w:val="0"/>
              <w:snapToGrid w:val="0"/>
              <w:spacing w:before="0" w:beforeLines="0" w:line="240" w:lineRule="auto"/>
              <w:jc w:val="center"/>
              <w:rPr>
                <w:kern w:val="0"/>
                <w:szCs w:val="21"/>
              </w:rPr>
            </w:pPr>
            <w:r>
              <w:rPr>
                <w:kern w:val="0"/>
                <w:szCs w:val="21"/>
              </w:rPr>
              <w:t>室内边界声级</w:t>
            </w:r>
            <w:r>
              <w:rPr>
                <w:szCs w:val="21"/>
              </w:rPr>
              <w:t>dB(A)</w:t>
            </w:r>
          </w:p>
        </w:tc>
        <w:tc>
          <w:tcPr>
            <w:tcW w:w="339" w:type="pct"/>
            <w:vMerge w:val="restart"/>
            <w:vAlign w:val="center"/>
          </w:tcPr>
          <w:p w14:paraId="1DD6FAB5">
            <w:pPr>
              <w:topLinePunct/>
              <w:adjustRightInd w:val="0"/>
              <w:snapToGrid w:val="0"/>
              <w:spacing w:before="0" w:beforeLines="0" w:line="240" w:lineRule="auto"/>
              <w:jc w:val="center"/>
              <w:rPr>
                <w:kern w:val="0"/>
                <w:szCs w:val="21"/>
              </w:rPr>
            </w:pPr>
            <w:r>
              <w:rPr>
                <w:kern w:val="0"/>
                <w:szCs w:val="21"/>
              </w:rPr>
              <w:t>运行</w:t>
            </w:r>
          </w:p>
          <w:p w14:paraId="5B5CA23B">
            <w:pPr>
              <w:topLinePunct/>
              <w:adjustRightInd w:val="0"/>
              <w:snapToGrid w:val="0"/>
              <w:spacing w:before="0" w:beforeLines="0" w:line="240" w:lineRule="auto"/>
              <w:jc w:val="center"/>
              <w:rPr>
                <w:kern w:val="0"/>
                <w:szCs w:val="21"/>
              </w:rPr>
            </w:pPr>
            <w:r>
              <w:rPr>
                <w:kern w:val="0"/>
                <w:szCs w:val="21"/>
              </w:rPr>
              <w:t>时段</w:t>
            </w:r>
          </w:p>
        </w:tc>
        <w:tc>
          <w:tcPr>
            <w:tcW w:w="339" w:type="pct"/>
            <w:vMerge w:val="restart"/>
            <w:vAlign w:val="center"/>
          </w:tcPr>
          <w:p w14:paraId="0BC89F48">
            <w:pPr>
              <w:topLinePunct/>
              <w:adjustRightInd w:val="0"/>
              <w:snapToGrid w:val="0"/>
              <w:spacing w:before="0" w:beforeLines="0" w:line="240" w:lineRule="auto"/>
              <w:jc w:val="center"/>
              <w:rPr>
                <w:kern w:val="0"/>
                <w:szCs w:val="21"/>
              </w:rPr>
            </w:pPr>
            <w:r>
              <w:rPr>
                <w:kern w:val="0"/>
                <w:szCs w:val="21"/>
              </w:rPr>
              <w:t>建筑物插入损失</w:t>
            </w:r>
          </w:p>
        </w:tc>
        <w:tc>
          <w:tcPr>
            <w:tcW w:w="678" w:type="pct"/>
            <w:gridSpan w:val="2"/>
            <w:vAlign w:val="center"/>
          </w:tcPr>
          <w:p w14:paraId="2A934B93">
            <w:pPr>
              <w:topLinePunct/>
              <w:adjustRightInd w:val="0"/>
              <w:snapToGrid w:val="0"/>
              <w:spacing w:before="0" w:beforeLines="0" w:line="240" w:lineRule="auto"/>
              <w:jc w:val="center"/>
              <w:rPr>
                <w:kern w:val="0"/>
                <w:szCs w:val="21"/>
              </w:rPr>
            </w:pPr>
            <w:r>
              <w:rPr>
                <w:kern w:val="0"/>
                <w:szCs w:val="21"/>
              </w:rPr>
              <w:t>建筑物外噪声</w:t>
            </w:r>
          </w:p>
        </w:tc>
      </w:tr>
      <w:tr w14:paraId="78A589B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80" w:hRule="atLeast"/>
          <w:jc w:val="center"/>
        </w:trPr>
        <w:tc>
          <w:tcPr>
            <w:tcW w:w="195" w:type="pct"/>
            <w:vMerge w:val="continue"/>
            <w:vAlign w:val="center"/>
          </w:tcPr>
          <w:p w14:paraId="41304A1B">
            <w:pPr>
              <w:topLinePunct/>
              <w:adjustRightInd w:val="0"/>
              <w:snapToGrid w:val="0"/>
              <w:spacing w:before="0" w:beforeLines="0" w:line="240" w:lineRule="auto"/>
              <w:jc w:val="center"/>
              <w:rPr>
                <w:szCs w:val="21"/>
              </w:rPr>
            </w:pPr>
          </w:p>
        </w:tc>
        <w:tc>
          <w:tcPr>
            <w:tcW w:w="351" w:type="pct"/>
            <w:vMerge w:val="continue"/>
            <w:vAlign w:val="center"/>
          </w:tcPr>
          <w:p w14:paraId="7497CC71">
            <w:pPr>
              <w:topLinePunct/>
              <w:adjustRightInd w:val="0"/>
              <w:snapToGrid w:val="0"/>
              <w:spacing w:before="0" w:beforeLines="0" w:line="240" w:lineRule="auto"/>
              <w:jc w:val="center"/>
              <w:rPr>
                <w:szCs w:val="21"/>
              </w:rPr>
            </w:pPr>
          </w:p>
        </w:tc>
        <w:tc>
          <w:tcPr>
            <w:tcW w:w="715" w:type="pct"/>
            <w:vMerge w:val="continue"/>
            <w:vAlign w:val="center"/>
          </w:tcPr>
          <w:p w14:paraId="7E8AF4B2">
            <w:pPr>
              <w:topLinePunct/>
              <w:adjustRightInd w:val="0"/>
              <w:snapToGrid w:val="0"/>
              <w:spacing w:before="0" w:beforeLines="0" w:line="240" w:lineRule="auto"/>
              <w:jc w:val="center"/>
              <w:rPr>
                <w:szCs w:val="21"/>
              </w:rPr>
            </w:pPr>
          </w:p>
        </w:tc>
        <w:tc>
          <w:tcPr>
            <w:tcW w:w="206" w:type="pct"/>
            <w:vAlign w:val="center"/>
          </w:tcPr>
          <w:p w14:paraId="5A099EA2">
            <w:pPr>
              <w:topLinePunct/>
              <w:adjustRightInd w:val="0"/>
              <w:snapToGrid w:val="0"/>
              <w:spacing w:before="0" w:beforeLines="0" w:line="240" w:lineRule="auto"/>
              <w:jc w:val="center"/>
              <w:rPr>
                <w:kern w:val="0"/>
                <w:szCs w:val="21"/>
              </w:rPr>
            </w:pPr>
            <w:r>
              <w:rPr>
                <w:kern w:val="0"/>
                <w:szCs w:val="21"/>
              </w:rPr>
              <w:t>X</w:t>
            </w:r>
          </w:p>
        </w:tc>
        <w:tc>
          <w:tcPr>
            <w:tcW w:w="203" w:type="pct"/>
            <w:vAlign w:val="center"/>
          </w:tcPr>
          <w:p w14:paraId="3E17A27D">
            <w:pPr>
              <w:topLinePunct/>
              <w:adjustRightInd w:val="0"/>
              <w:snapToGrid w:val="0"/>
              <w:spacing w:before="0" w:beforeLines="0" w:line="240" w:lineRule="auto"/>
              <w:jc w:val="center"/>
              <w:rPr>
                <w:kern w:val="0"/>
                <w:szCs w:val="21"/>
              </w:rPr>
            </w:pPr>
            <w:r>
              <w:rPr>
                <w:kern w:val="0"/>
                <w:szCs w:val="21"/>
              </w:rPr>
              <w:t>Y</w:t>
            </w:r>
          </w:p>
        </w:tc>
        <w:tc>
          <w:tcPr>
            <w:tcW w:w="250" w:type="pct"/>
            <w:vAlign w:val="center"/>
          </w:tcPr>
          <w:p w14:paraId="2BC175FF">
            <w:pPr>
              <w:topLinePunct/>
              <w:adjustRightInd w:val="0"/>
              <w:snapToGrid w:val="0"/>
              <w:spacing w:before="0" w:beforeLines="0" w:line="240" w:lineRule="auto"/>
              <w:jc w:val="center"/>
              <w:rPr>
                <w:kern w:val="0"/>
                <w:szCs w:val="21"/>
              </w:rPr>
            </w:pPr>
            <w:r>
              <w:rPr>
                <w:kern w:val="0"/>
                <w:szCs w:val="21"/>
              </w:rPr>
              <w:t>Z</w:t>
            </w:r>
          </w:p>
        </w:tc>
        <w:tc>
          <w:tcPr>
            <w:tcW w:w="384" w:type="pct"/>
            <w:vMerge w:val="continue"/>
            <w:vAlign w:val="center"/>
          </w:tcPr>
          <w:p w14:paraId="37D87049">
            <w:pPr>
              <w:topLinePunct/>
              <w:adjustRightInd w:val="0"/>
              <w:snapToGrid w:val="0"/>
              <w:spacing w:before="0" w:beforeLines="0" w:line="240" w:lineRule="auto"/>
              <w:jc w:val="center"/>
              <w:rPr>
                <w:kern w:val="0"/>
                <w:szCs w:val="21"/>
              </w:rPr>
            </w:pPr>
          </w:p>
        </w:tc>
        <w:tc>
          <w:tcPr>
            <w:tcW w:w="371" w:type="pct"/>
            <w:vMerge w:val="continue"/>
            <w:vAlign w:val="center"/>
          </w:tcPr>
          <w:p w14:paraId="0558604A">
            <w:pPr>
              <w:topLinePunct/>
              <w:adjustRightInd w:val="0"/>
              <w:snapToGrid w:val="0"/>
              <w:spacing w:before="0" w:beforeLines="0" w:line="240" w:lineRule="auto"/>
              <w:jc w:val="center"/>
              <w:rPr>
                <w:kern w:val="0"/>
                <w:szCs w:val="21"/>
              </w:rPr>
            </w:pPr>
          </w:p>
        </w:tc>
        <w:tc>
          <w:tcPr>
            <w:tcW w:w="599" w:type="pct"/>
            <w:vMerge w:val="continue"/>
            <w:vAlign w:val="center"/>
          </w:tcPr>
          <w:p w14:paraId="2A729A1A">
            <w:pPr>
              <w:topLinePunct/>
              <w:adjustRightInd w:val="0"/>
              <w:snapToGrid w:val="0"/>
              <w:spacing w:before="0" w:beforeLines="0" w:line="240" w:lineRule="auto"/>
              <w:jc w:val="center"/>
              <w:rPr>
                <w:kern w:val="0"/>
                <w:szCs w:val="21"/>
              </w:rPr>
            </w:pPr>
          </w:p>
        </w:tc>
        <w:tc>
          <w:tcPr>
            <w:tcW w:w="369" w:type="pct"/>
            <w:vMerge w:val="continue"/>
            <w:vAlign w:val="center"/>
          </w:tcPr>
          <w:p w14:paraId="098E9929">
            <w:pPr>
              <w:topLinePunct/>
              <w:adjustRightInd w:val="0"/>
              <w:snapToGrid w:val="0"/>
              <w:spacing w:before="0" w:beforeLines="0" w:line="240" w:lineRule="auto"/>
              <w:jc w:val="center"/>
              <w:rPr>
                <w:kern w:val="0"/>
                <w:szCs w:val="21"/>
              </w:rPr>
            </w:pPr>
          </w:p>
        </w:tc>
        <w:tc>
          <w:tcPr>
            <w:tcW w:w="339" w:type="pct"/>
            <w:vMerge w:val="continue"/>
            <w:vAlign w:val="center"/>
          </w:tcPr>
          <w:p w14:paraId="3E9678D6">
            <w:pPr>
              <w:topLinePunct/>
              <w:adjustRightInd w:val="0"/>
              <w:snapToGrid w:val="0"/>
              <w:spacing w:before="0" w:beforeLines="0" w:line="240" w:lineRule="auto"/>
              <w:jc w:val="center"/>
              <w:rPr>
                <w:kern w:val="0"/>
                <w:szCs w:val="21"/>
              </w:rPr>
            </w:pPr>
          </w:p>
        </w:tc>
        <w:tc>
          <w:tcPr>
            <w:tcW w:w="339" w:type="pct"/>
            <w:vMerge w:val="continue"/>
            <w:vAlign w:val="center"/>
          </w:tcPr>
          <w:p w14:paraId="2DA67366">
            <w:pPr>
              <w:topLinePunct/>
              <w:adjustRightInd w:val="0"/>
              <w:snapToGrid w:val="0"/>
              <w:spacing w:before="0" w:beforeLines="0" w:line="240" w:lineRule="auto"/>
              <w:jc w:val="center"/>
              <w:rPr>
                <w:kern w:val="0"/>
                <w:szCs w:val="21"/>
              </w:rPr>
            </w:pPr>
          </w:p>
        </w:tc>
        <w:tc>
          <w:tcPr>
            <w:tcW w:w="339" w:type="pct"/>
            <w:vAlign w:val="center"/>
          </w:tcPr>
          <w:p w14:paraId="65A5D8BC">
            <w:pPr>
              <w:topLinePunct/>
              <w:adjustRightInd w:val="0"/>
              <w:snapToGrid w:val="0"/>
              <w:spacing w:before="0" w:beforeLines="0" w:line="240" w:lineRule="auto"/>
              <w:jc w:val="center"/>
              <w:rPr>
                <w:kern w:val="0"/>
                <w:szCs w:val="21"/>
              </w:rPr>
            </w:pPr>
            <w:r>
              <w:rPr>
                <w:kern w:val="0"/>
                <w:szCs w:val="21"/>
              </w:rPr>
              <w:t>声压级</w:t>
            </w:r>
          </w:p>
        </w:tc>
        <w:tc>
          <w:tcPr>
            <w:tcW w:w="339" w:type="pct"/>
            <w:vAlign w:val="center"/>
          </w:tcPr>
          <w:p w14:paraId="2678857B">
            <w:pPr>
              <w:topLinePunct/>
              <w:adjustRightInd w:val="0"/>
              <w:snapToGrid w:val="0"/>
              <w:spacing w:before="0" w:beforeLines="0" w:line="240" w:lineRule="auto"/>
              <w:jc w:val="center"/>
              <w:rPr>
                <w:kern w:val="0"/>
                <w:szCs w:val="21"/>
              </w:rPr>
            </w:pPr>
            <w:r>
              <w:rPr>
                <w:kern w:val="0"/>
                <w:szCs w:val="21"/>
              </w:rPr>
              <w:t>距离/m</w:t>
            </w:r>
          </w:p>
        </w:tc>
      </w:tr>
      <w:tr w14:paraId="4EDA7D1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14:paraId="01A0F6A5">
            <w:pPr>
              <w:widowControl/>
              <w:spacing w:before="0" w:beforeLines="0" w:line="240" w:lineRule="auto"/>
              <w:jc w:val="center"/>
              <w:textAlignment w:val="center"/>
              <w:rPr>
                <w:kern w:val="0"/>
                <w:szCs w:val="21"/>
              </w:rPr>
            </w:pPr>
            <w:r>
              <w:rPr>
                <w:kern w:val="0"/>
                <w:szCs w:val="21"/>
                <w:lang w:bidi="ar"/>
              </w:rPr>
              <w:t>1</w:t>
            </w:r>
          </w:p>
        </w:tc>
        <w:tc>
          <w:tcPr>
            <w:tcW w:w="351" w:type="pct"/>
            <w:vMerge w:val="restart"/>
            <w:vAlign w:val="center"/>
          </w:tcPr>
          <w:p w14:paraId="1722BE3C">
            <w:pPr>
              <w:topLinePunct/>
              <w:adjustRightInd w:val="0"/>
              <w:snapToGrid w:val="0"/>
              <w:spacing w:before="79" w:line="240" w:lineRule="auto"/>
              <w:jc w:val="center"/>
              <w:rPr>
                <w:kern w:val="0"/>
                <w:szCs w:val="21"/>
              </w:rPr>
            </w:pPr>
            <w:r>
              <w:rPr>
                <w:kern w:val="0"/>
                <w:szCs w:val="21"/>
              </w:rPr>
              <w:t>抛砂车间</w:t>
            </w:r>
          </w:p>
        </w:tc>
        <w:tc>
          <w:tcPr>
            <w:tcW w:w="715" w:type="pct"/>
            <w:vAlign w:val="center"/>
          </w:tcPr>
          <w:p w14:paraId="2AE8B04F">
            <w:pPr>
              <w:spacing w:before="0" w:beforeLines="0" w:line="240" w:lineRule="auto"/>
              <w:jc w:val="center"/>
              <w:rPr>
                <w:kern w:val="0"/>
                <w:szCs w:val="21"/>
              </w:rPr>
            </w:pPr>
            <w:r>
              <w:rPr>
                <w:szCs w:val="21"/>
              </w:rPr>
              <w:t>振动筛</w:t>
            </w:r>
          </w:p>
        </w:tc>
        <w:tc>
          <w:tcPr>
            <w:tcW w:w="206" w:type="pct"/>
            <w:vAlign w:val="center"/>
          </w:tcPr>
          <w:p w14:paraId="6339E526">
            <w:pPr>
              <w:topLinePunct/>
              <w:adjustRightInd w:val="0"/>
              <w:snapToGrid w:val="0"/>
              <w:spacing w:before="0" w:beforeLines="0" w:line="240" w:lineRule="auto"/>
              <w:jc w:val="center"/>
              <w:rPr>
                <w:kern w:val="0"/>
                <w:szCs w:val="21"/>
              </w:rPr>
            </w:pPr>
            <w:r>
              <w:rPr>
                <w:kern w:val="0"/>
                <w:szCs w:val="21"/>
              </w:rPr>
              <w:t>145</w:t>
            </w:r>
          </w:p>
        </w:tc>
        <w:tc>
          <w:tcPr>
            <w:tcW w:w="203" w:type="pct"/>
            <w:vAlign w:val="center"/>
          </w:tcPr>
          <w:p w14:paraId="3F18DB4A">
            <w:pPr>
              <w:topLinePunct/>
              <w:adjustRightInd w:val="0"/>
              <w:snapToGrid w:val="0"/>
              <w:spacing w:before="0" w:beforeLines="0" w:line="240" w:lineRule="auto"/>
              <w:jc w:val="center"/>
              <w:rPr>
                <w:kern w:val="0"/>
                <w:szCs w:val="21"/>
              </w:rPr>
            </w:pPr>
            <w:r>
              <w:rPr>
                <w:kern w:val="0"/>
                <w:szCs w:val="21"/>
              </w:rPr>
              <w:t>54</w:t>
            </w:r>
          </w:p>
        </w:tc>
        <w:tc>
          <w:tcPr>
            <w:tcW w:w="250" w:type="pct"/>
            <w:vAlign w:val="center"/>
          </w:tcPr>
          <w:p w14:paraId="37A182B8">
            <w:pPr>
              <w:topLinePunct/>
              <w:adjustRightInd w:val="0"/>
              <w:snapToGrid w:val="0"/>
              <w:spacing w:before="0" w:beforeLines="0" w:line="240" w:lineRule="auto"/>
              <w:jc w:val="center"/>
              <w:rPr>
                <w:kern w:val="0"/>
                <w:szCs w:val="21"/>
              </w:rPr>
            </w:pPr>
            <w:r>
              <w:rPr>
                <w:kern w:val="0"/>
                <w:szCs w:val="21"/>
              </w:rPr>
              <w:t>2</w:t>
            </w:r>
          </w:p>
        </w:tc>
        <w:tc>
          <w:tcPr>
            <w:tcW w:w="384" w:type="pct"/>
            <w:vAlign w:val="center"/>
          </w:tcPr>
          <w:p w14:paraId="4A20A8B5">
            <w:pPr>
              <w:topLinePunct/>
              <w:adjustRightInd w:val="0"/>
              <w:snapToGrid w:val="0"/>
              <w:spacing w:before="0" w:beforeLines="0" w:line="240" w:lineRule="auto"/>
              <w:jc w:val="center"/>
              <w:rPr>
                <w:kern w:val="0"/>
                <w:szCs w:val="21"/>
              </w:rPr>
            </w:pPr>
            <w:bookmarkStart w:id="131" w:name="OLE_LINK11"/>
            <w:r>
              <w:rPr>
                <w:rFonts w:hint="eastAsia"/>
                <w:kern w:val="0"/>
                <w:szCs w:val="21"/>
              </w:rPr>
              <w:t>90</w:t>
            </w:r>
            <w:bookmarkEnd w:id="131"/>
          </w:p>
        </w:tc>
        <w:tc>
          <w:tcPr>
            <w:tcW w:w="371" w:type="pct"/>
            <w:vMerge w:val="restart"/>
            <w:vAlign w:val="center"/>
          </w:tcPr>
          <w:p w14:paraId="61F4F5C1">
            <w:pPr>
              <w:topLinePunct/>
              <w:adjustRightInd w:val="0"/>
              <w:snapToGrid w:val="0"/>
              <w:spacing w:before="0" w:beforeLines="0" w:line="240" w:lineRule="auto"/>
              <w:jc w:val="center"/>
              <w:rPr>
                <w:kern w:val="0"/>
                <w:szCs w:val="21"/>
              </w:rPr>
            </w:pPr>
            <w:r>
              <w:rPr>
                <w:kern w:val="0"/>
                <w:szCs w:val="21"/>
              </w:rPr>
              <w:t>低噪声设备、减振</w:t>
            </w:r>
            <w:r>
              <w:rPr>
                <w:rFonts w:hint="eastAsia"/>
                <w:kern w:val="0"/>
                <w:szCs w:val="21"/>
              </w:rPr>
              <w:t>、隔声</w:t>
            </w:r>
          </w:p>
        </w:tc>
        <w:tc>
          <w:tcPr>
            <w:tcW w:w="599" w:type="pct"/>
            <w:vAlign w:val="center"/>
          </w:tcPr>
          <w:p w14:paraId="0D84CA54">
            <w:pPr>
              <w:topLinePunct/>
              <w:adjustRightInd w:val="0"/>
              <w:snapToGrid w:val="0"/>
              <w:spacing w:before="0" w:beforeLines="0" w:line="240" w:lineRule="auto"/>
              <w:jc w:val="center"/>
              <w:rPr>
                <w:kern w:val="0"/>
                <w:szCs w:val="21"/>
              </w:rPr>
            </w:pPr>
            <w:r>
              <w:rPr>
                <w:kern w:val="0"/>
                <w:szCs w:val="21"/>
              </w:rPr>
              <w:t>31</w:t>
            </w:r>
          </w:p>
        </w:tc>
        <w:tc>
          <w:tcPr>
            <w:tcW w:w="369" w:type="pct"/>
            <w:vAlign w:val="center"/>
          </w:tcPr>
          <w:p w14:paraId="3A52AA7E">
            <w:pPr>
              <w:topLinePunct/>
              <w:adjustRightInd w:val="0"/>
              <w:snapToGrid w:val="0"/>
              <w:spacing w:before="0" w:beforeLines="0" w:line="240" w:lineRule="auto"/>
              <w:jc w:val="center"/>
              <w:rPr>
                <w:kern w:val="0"/>
                <w:szCs w:val="21"/>
              </w:rPr>
            </w:pPr>
            <w:r>
              <w:t>60.17</w:t>
            </w:r>
          </w:p>
        </w:tc>
        <w:tc>
          <w:tcPr>
            <w:tcW w:w="339" w:type="pct"/>
            <w:vAlign w:val="center"/>
          </w:tcPr>
          <w:p w14:paraId="10638389">
            <w:pPr>
              <w:topLinePunct/>
              <w:adjustRightInd w:val="0"/>
              <w:snapToGrid w:val="0"/>
              <w:spacing w:before="0" w:beforeLines="0" w:line="240" w:lineRule="auto"/>
              <w:jc w:val="center"/>
              <w:rPr>
                <w:kern w:val="0"/>
                <w:szCs w:val="21"/>
              </w:rPr>
            </w:pPr>
            <w:r>
              <w:rPr>
                <w:kern w:val="0"/>
                <w:szCs w:val="21"/>
              </w:rPr>
              <w:t>24h</w:t>
            </w:r>
          </w:p>
        </w:tc>
        <w:tc>
          <w:tcPr>
            <w:tcW w:w="339" w:type="pct"/>
            <w:vMerge w:val="restart"/>
            <w:vAlign w:val="center"/>
          </w:tcPr>
          <w:p w14:paraId="54B9D77D">
            <w:pPr>
              <w:topLinePunct/>
              <w:adjustRightInd w:val="0"/>
              <w:snapToGrid w:val="0"/>
              <w:spacing w:before="79" w:line="240" w:lineRule="auto"/>
              <w:jc w:val="center"/>
              <w:rPr>
                <w:kern w:val="0"/>
                <w:szCs w:val="21"/>
              </w:rPr>
            </w:pPr>
            <w:r>
              <w:rPr>
                <w:rFonts w:hint="eastAsia"/>
                <w:kern w:val="0"/>
                <w:szCs w:val="21"/>
              </w:rPr>
              <w:t>31</w:t>
            </w:r>
          </w:p>
        </w:tc>
        <w:tc>
          <w:tcPr>
            <w:tcW w:w="339" w:type="pct"/>
            <w:vMerge w:val="restart"/>
            <w:vAlign w:val="center"/>
          </w:tcPr>
          <w:p w14:paraId="788CC381">
            <w:pPr>
              <w:spacing w:before="79" w:line="240" w:lineRule="auto"/>
              <w:jc w:val="center"/>
              <w:rPr>
                <w:kern w:val="0"/>
                <w:szCs w:val="21"/>
              </w:rPr>
            </w:pPr>
            <w:r>
              <w:rPr>
                <w:szCs w:val="21"/>
              </w:rPr>
              <w:t>45.25</w:t>
            </w:r>
          </w:p>
        </w:tc>
        <w:tc>
          <w:tcPr>
            <w:tcW w:w="339" w:type="pct"/>
            <w:vMerge w:val="restart"/>
            <w:vAlign w:val="center"/>
          </w:tcPr>
          <w:p w14:paraId="4B3517AF">
            <w:pPr>
              <w:topLinePunct/>
              <w:adjustRightInd w:val="0"/>
              <w:snapToGrid w:val="0"/>
              <w:spacing w:before="79" w:line="240" w:lineRule="auto"/>
              <w:jc w:val="center"/>
              <w:rPr>
                <w:kern w:val="0"/>
                <w:szCs w:val="21"/>
              </w:rPr>
            </w:pPr>
            <w:r>
              <w:rPr>
                <w:kern w:val="0"/>
                <w:szCs w:val="21"/>
              </w:rPr>
              <w:t>1</w:t>
            </w:r>
          </w:p>
        </w:tc>
      </w:tr>
      <w:tr w14:paraId="40ECA7C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14:paraId="2EFE10D5">
            <w:pPr>
              <w:widowControl/>
              <w:spacing w:before="0" w:beforeLines="0" w:line="240" w:lineRule="auto"/>
              <w:jc w:val="center"/>
              <w:textAlignment w:val="center"/>
              <w:rPr>
                <w:kern w:val="0"/>
                <w:szCs w:val="21"/>
              </w:rPr>
            </w:pPr>
            <w:r>
              <w:rPr>
                <w:kern w:val="0"/>
                <w:szCs w:val="21"/>
                <w:lang w:bidi="ar"/>
              </w:rPr>
              <w:t>2</w:t>
            </w:r>
          </w:p>
        </w:tc>
        <w:tc>
          <w:tcPr>
            <w:tcW w:w="351" w:type="pct"/>
            <w:vMerge w:val="continue"/>
            <w:vAlign w:val="center"/>
          </w:tcPr>
          <w:p w14:paraId="63D892AB">
            <w:pPr>
              <w:topLinePunct/>
              <w:adjustRightInd w:val="0"/>
              <w:snapToGrid w:val="0"/>
              <w:spacing w:before="79" w:line="240" w:lineRule="auto"/>
              <w:jc w:val="center"/>
              <w:rPr>
                <w:kern w:val="0"/>
                <w:szCs w:val="21"/>
              </w:rPr>
            </w:pPr>
          </w:p>
        </w:tc>
        <w:tc>
          <w:tcPr>
            <w:tcW w:w="715" w:type="pct"/>
            <w:vAlign w:val="center"/>
          </w:tcPr>
          <w:p w14:paraId="067F9B6B">
            <w:pPr>
              <w:spacing w:before="0" w:beforeLines="0" w:line="240" w:lineRule="auto"/>
              <w:jc w:val="center"/>
              <w:rPr>
                <w:kern w:val="0"/>
                <w:szCs w:val="21"/>
              </w:rPr>
            </w:pPr>
            <w:r>
              <w:rPr>
                <w:szCs w:val="21"/>
              </w:rPr>
              <w:t>振动筛</w:t>
            </w:r>
          </w:p>
        </w:tc>
        <w:tc>
          <w:tcPr>
            <w:tcW w:w="206" w:type="pct"/>
            <w:vAlign w:val="center"/>
          </w:tcPr>
          <w:p w14:paraId="2B013ECD">
            <w:pPr>
              <w:topLinePunct/>
              <w:adjustRightInd w:val="0"/>
              <w:snapToGrid w:val="0"/>
              <w:spacing w:before="0" w:beforeLines="0" w:line="240" w:lineRule="auto"/>
              <w:jc w:val="center"/>
              <w:rPr>
                <w:kern w:val="0"/>
                <w:szCs w:val="21"/>
              </w:rPr>
            </w:pPr>
            <w:r>
              <w:rPr>
                <w:kern w:val="0"/>
                <w:szCs w:val="21"/>
              </w:rPr>
              <w:t>145</w:t>
            </w:r>
          </w:p>
        </w:tc>
        <w:tc>
          <w:tcPr>
            <w:tcW w:w="203" w:type="pct"/>
            <w:vAlign w:val="center"/>
          </w:tcPr>
          <w:p w14:paraId="69D30EDE">
            <w:pPr>
              <w:topLinePunct/>
              <w:adjustRightInd w:val="0"/>
              <w:snapToGrid w:val="0"/>
              <w:spacing w:before="0" w:beforeLines="0" w:line="240" w:lineRule="auto"/>
              <w:jc w:val="center"/>
              <w:rPr>
                <w:kern w:val="0"/>
                <w:szCs w:val="21"/>
              </w:rPr>
            </w:pPr>
            <w:r>
              <w:rPr>
                <w:kern w:val="0"/>
                <w:szCs w:val="21"/>
              </w:rPr>
              <w:t>62</w:t>
            </w:r>
          </w:p>
        </w:tc>
        <w:tc>
          <w:tcPr>
            <w:tcW w:w="250" w:type="pct"/>
            <w:vAlign w:val="center"/>
          </w:tcPr>
          <w:p w14:paraId="60EE5707">
            <w:pPr>
              <w:topLinePunct/>
              <w:adjustRightInd w:val="0"/>
              <w:snapToGrid w:val="0"/>
              <w:spacing w:before="0" w:beforeLines="0" w:line="240" w:lineRule="auto"/>
              <w:jc w:val="center"/>
              <w:rPr>
                <w:kern w:val="0"/>
                <w:szCs w:val="21"/>
              </w:rPr>
            </w:pPr>
            <w:r>
              <w:rPr>
                <w:kern w:val="0"/>
                <w:szCs w:val="21"/>
              </w:rPr>
              <w:t>2</w:t>
            </w:r>
          </w:p>
        </w:tc>
        <w:tc>
          <w:tcPr>
            <w:tcW w:w="384" w:type="pct"/>
            <w:vAlign w:val="center"/>
          </w:tcPr>
          <w:p w14:paraId="328D9577">
            <w:pPr>
              <w:topLinePunct/>
              <w:adjustRightInd w:val="0"/>
              <w:snapToGrid w:val="0"/>
              <w:spacing w:before="0" w:beforeLines="0" w:line="240" w:lineRule="auto"/>
              <w:jc w:val="center"/>
              <w:rPr>
                <w:kern w:val="0"/>
                <w:szCs w:val="21"/>
              </w:rPr>
            </w:pPr>
            <w:r>
              <w:t>90</w:t>
            </w:r>
          </w:p>
        </w:tc>
        <w:tc>
          <w:tcPr>
            <w:tcW w:w="371" w:type="pct"/>
            <w:vMerge w:val="continue"/>
            <w:vAlign w:val="center"/>
          </w:tcPr>
          <w:p w14:paraId="7CABBB9C">
            <w:pPr>
              <w:topLinePunct/>
              <w:adjustRightInd w:val="0"/>
              <w:snapToGrid w:val="0"/>
              <w:spacing w:before="0" w:beforeLines="0" w:line="240" w:lineRule="auto"/>
              <w:jc w:val="center"/>
              <w:rPr>
                <w:kern w:val="0"/>
                <w:szCs w:val="21"/>
              </w:rPr>
            </w:pPr>
          </w:p>
        </w:tc>
        <w:tc>
          <w:tcPr>
            <w:tcW w:w="599" w:type="pct"/>
            <w:vAlign w:val="center"/>
          </w:tcPr>
          <w:p w14:paraId="63495784">
            <w:pPr>
              <w:topLinePunct/>
              <w:adjustRightInd w:val="0"/>
              <w:snapToGrid w:val="0"/>
              <w:spacing w:before="0" w:beforeLines="0" w:line="240" w:lineRule="auto"/>
              <w:jc w:val="center"/>
              <w:rPr>
                <w:kern w:val="0"/>
                <w:szCs w:val="21"/>
              </w:rPr>
            </w:pPr>
            <w:r>
              <w:rPr>
                <w:kern w:val="0"/>
                <w:szCs w:val="21"/>
              </w:rPr>
              <w:t>27</w:t>
            </w:r>
          </w:p>
        </w:tc>
        <w:tc>
          <w:tcPr>
            <w:tcW w:w="369" w:type="pct"/>
            <w:vAlign w:val="center"/>
          </w:tcPr>
          <w:p w14:paraId="0FAF48EF">
            <w:pPr>
              <w:topLinePunct/>
              <w:adjustRightInd w:val="0"/>
              <w:snapToGrid w:val="0"/>
              <w:spacing w:before="0" w:beforeLines="0" w:line="240" w:lineRule="auto"/>
              <w:jc w:val="center"/>
              <w:rPr>
                <w:kern w:val="0"/>
                <w:szCs w:val="21"/>
              </w:rPr>
            </w:pPr>
            <w:r>
              <w:t>61.37</w:t>
            </w:r>
          </w:p>
        </w:tc>
        <w:tc>
          <w:tcPr>
            <w:tcW w:w="339" w:type="pct"/>
            <w:vAlign w:val="center"/>
          </w:tcPr>
          <w:p w14:paraId="528DB477">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2151298D">
            <w:pPr>
              <w:topLinePunct/>
              <w:adjustRightInd w:val="0"/>
              <w:snapToGrid w:val="0"/>
              <w:spacing w:before="79" w:line="240" w:lineRule="auto"/>
              <w:jc w:val="center"/>
              <w:rPr>
                <w:kern w:val="0"/>
                <w:szCs w:val="21"/>
              </w:rPr>
            </w:pPr>
          </w:p>
        </w:tc>
        <w:tc>
          <w:tcPr>
            <w:tcW w:w="339" w:type="pct"/>
            <w:vMerge w:val="continue"/>
            <w:vAlign w:val="center"/>
          </w:tcPr>
          <w:p w14:paraId="41B3C46A">
            <w:pPr>
              <w:spacing w:before="79" w:line="240" w:lineRule="auto"/>
              <w:jc w:val="center"/>
              <w:rPr>
                <w:kern w:val="0"/>
                <w:szCs w:val="21"/>
              </w:rPr>
            </w:pPr>
          </w:p>
        </w:tc>
        <w:tc>
          <w:tcPr>
            <w:tcW w:w="339" w:type="pct"/>
            <w:vMerge w:val="continue"/>
            <w:vAlign w:val="center"/>
          </w:tcPr>
          <w:p w14:paraId="2882E735">
            <w:pPr>
              <w:topLinePunct/>
              <w:adjustRightInd w:val="0"/>
              <w:snapToGrid w:val="0"/>
              <w:spacing w:before="79" w:line="240" w:lineRule="auto"/>
              <w:jc w:val="center"/>
              <w:rPr>
                <w:kern w:val="0"/>
                <w:szCs w:val="21"/>
              </w:rPr>
            </w:pPr>
          </w:p>
        </w:tc>
      </w:tr>
      <w:tr w14:paraId="70B6350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195" w:type="pct"/>
            <w:vAlign w:val="center"/>
          </w:tcPr>
          <w:p w14:paraId="51ED8117">
            <w:pPr>
              <w:widowControl/>
              <w:spacing w:before="0" w:beforeLines="0" w:line="240" w:lineRule="auto"/>
              <w:jc w:val="center"/>
              <w:textAlignment w:val="center"/>
              <w:rPr>
                <w:kern w:val="0"/>
                <w:szCs w:val="21"/>
              </w:rPr>
            </w:pPr>
            <w:r>
              <w:rPr>
                <w:kern w:val="0"/>
                <w:szCs w:val="21"/>
                <w:lang w:bidi="ar"/>
              </w:rPr>
              <w:t>3</w:t>
            </w:r>
          </w:p>
        </w:tc>
        <w:tc>
          <w:tcPr>
            <w:tcW w:w="351" w:type="pct"/>
            <w:vMerge w:val="continue"/>
            <w:vAlign w:val="center"/>
          </w:tcPr>
          <w:p w14:paraId="1F7E3C9A">
            <w:pPr>
              <w:topLinePunct/>
              <w:adjustRightInd w:val="0"/>
              <w:snapToGrid w:val="0"/>
              <w:spacing w:before="79" w:line="240" w:lineRule="auto"/>
              <w:jc w:val="center"/>
              <w:rPr>
                <w:kern w:val="0"/>
                <w:szCs w:val="21"/>
              </w:rPr>
            </w:pPr>
          </w:p>
        </w:tc>
        <w:tc>
          <w:tcPr>
            <w:tcW w:w="715" w:type="pct"/>
            <w:vAlign w:val="center"/>
          </w:tcPr>
          <w:p w14:paraId="48E7B357">
            <w:pPr>
              <w:spacing w:before="0" w:beforeLines="0" w:line="240" w:lineRule="auto"/>
              <w:jc w:val="center"/>
              <w:rPr>
                <w:kern w:val="0"/>
                <w:szCs w:val="21"/>
              </w:rPr>
            </w:pPr>
            <w:r>
              <w:rPr>
                <w:szCs w:val="21"/>
              </w:rPr>
              <w:t>振动筛</w:t>
            </w:r>
          </w:p>
        </w:tc>
        <w:tc>
          <w:tcPr>
            <w:tcW w:w="206" w:type="pct"/>
            <w:vAlign w:val="center"/>
          </w:tcPr>
          <w:p w14:paraId="263E3E18">
            <w:pPr>
              <w:topLinePunct/>
              <w:adjustRightInd w:val="0"/>
              <w:snapToGrid w:val="0"/>
              <w:spacing w:before="0" w:beforeLines="0" w:line="240" w:lineRule="auto"/>
              <w:jc w:val="center"/>
              <w:rPr>
                <w:kern w:val="0"/>
                <w:szCs w:val="21"/>
              </w:rPr>
            </w:pPr>
            <w:r>
              <w:rPr>
                <w:kern w:val="0"/>
                <w:szCs w:val="21"/>
              </w:rPr>
              <w:t>145</w:t>
            </w:r>
          </w:p>
        </w:tc>
        <w:tc>
          <w:tcPr>
            <w:tcW w:w="203" w:type="pct"/>
            <w:vAlign w:val="center"/>
          </w:tcPr>
          <w:p w14:paraId="3CE0F32A">
            <w:pPr>
              <w:topLinePunct/>
              <w:adjustRightInd w:val="0"/>
              <w:snapToGrid w:val="0"/>
              <w:spacing w:before="0" w:beforeLines="0" w:line="240" w:lineRule="auto"/>
              <w:jc w:val="center"/>
              <w:rPr>
                <w:kern w:val="0"/>
                <w:szCs w:val="21"/>
              </w:rPr>
            </w:pPr>
            <w:r>
              <w:rPr>
                <w:kern w:val="0"/>
                <w:szCs w:val="21"/>
              </w:rPr>
              <w:t>70</w:t>
            </w:r>
          </w:p>
        </w:tc>
        <w:tc>
          <w:tcPr>
            <w:tcW w:w="250" w:type="pct"/>
            <w:vAlign w:val="center"/>
          </w:tcPr>
          <w:p w14:paraId="1CDD60EF">
            <w:pPr>
              <w:topLinePunct/>
              <w:adjustRightInd w:val="0"/>
              <w:snapToGrid w:val="0"/>
              <w:spacing w:before="0" w:beforeLines="0" w:line="240" w:lineRule="auto"/>
              <w:jc w:val="center"/>
              <w:rPr>
                <w:kern w:val="0"/>
                <w:szCs w:val="21"/>
              </w:rPr>
            </w:pPr>
            <w:r>
              <w:rPr>
                <w:kern w:val="0"/>
                <w:szCs w:val="21"/>
              </w:rPr>
              <w:t>2</w:t>
            </w:r>
          </w:p>
        </w:tc>
        <w:tc>
          <w:tcPr>
            <w:tcW w:w="384" w:type="pct"/>
            <w:vAlign w:val="center"/>
          </w:tcPr>
          <w:p w14:paraId="73DC8005">
            <w:pPr>
              <w:topLinePunct/>
              <w:adjustRightInd w:val="0"/>
              <w:snapToGrid w:val="0"/>
              <w:spacing w:before="0" w:beforeLines="0" w:line="240" w:lineRule="auto"/>
              <w:jc w:val="center"/>
              <w:rPr>
                <w:kern w:val="0"/>
                <w:szCs w:val="21"/>
              </w:rPr>
            </w:pPr>
            <w:r>
              <w:t>90</w:t>
            </w:r>
          </w:p>
        </w:tc>
        <w:tc>
          <w:tcPr>
            <w:tcW w:w="371" w:type="pct"/>
            <w:vMerge w:val="continue"/>
            <w:vAlign w:val="center"/>
          </w:tcPr>
          <w:p w14:paraId="6D283FCB">
            <w:pPr>
              <w:topLinePunct/>
              <w:adjustRightInd w:val="0"/>
              <w:snapToGrid w:val="0"/>
              <w:spacing w:before="0" w:beforeLines="0" w:line="240" w:lineRule="auto"/>
              <w:jc w:val="center"/>
              <w:rPr>
                <w:kern w:val="0"/>
                <w:szCs w:val="21"/>
              </w:rPr>
            </w:pPr>
          </w:p>
        </w:tc>
        <w:tc>
          <w:tcPr>
            <w:tcW w:w="599" w:type="pct"/>
            <w:vAlign w:val="center"/>
          </w:tcPr>
          <w:p w14:paraId="3C2431E0">
            <w:pPr>
              <w:topLinePunct/>
              <w:adjustRightInd w:val="0"/>
              <w:snapToGrid w:val="0"/>
              <w:spacing w:before="0" w:beforeLines="0" w:line="240" w:lineRule="auto"/>
              <w:jc w:val="center"/>
              <w:rPr>
                <w:kern w:val="0"/>
                <w:szCs w:val="21"/>
              </w:rPr>
            </w:pPr>
            <w:r>
              <w:rPr>
                <w:kern w:val="0"/>
                <w:szCs w:val="21"/>
              </w:rPr>
              <w:t>25</w:t>
            </w:r>
          </w:p>
        </w:tc>
        <w:tc>
          <w:tcPr>
            <w:tcW w:w="369" w:type="pct"/>
            <w:vAlign w:val="center"/>
          </w:tcPr>
          <w:p w14:paraId="539A4434">
            <w:pPr>
              <w:topLinePunct/>
              <w:adjustRightInd w:val="0"/>
              <w:snapToGrid w:val="0"/>
              <w:spacing w:before="0" w:beforeLines="0" w:line="240" w:lineRule="auto"/>
              <w:jc w:val="center"/>
              <w:rPr>
                <w:kern w:val="0"/>
                <w:szCs w:val="21"/>
              </w:rPr>
            </w:pPr>
            <w:r>
              <w:t>62.04</w:t>
            </w:r>
          </w:p>
        </w:tc>
        <w:tc>
          <w:tcPr>
            <w:tcW w:w="339" w:type="pct"/>
            <w:vAlign w:val="center"/>
          </w:tcPr>
          <w:p w14:paraId="603752F5">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45767990">
            <w:pPr>
              <w:topLinePunct/>
              <w:adjustRightInd w:val="0"/>
              <w:snapToGrid w:val="0"/>
              <w:spacing w:before="79" w:line="240" w:lineRule="auto"/>
              <w:jc w:val="center"/>
              <w:rPr>
                <w:kern w:val="0"/>
                <w:szCs w:val="21"/>
              </w:rPr>
            </w:pPr>
          </w:p>
        </w:tc>
        <w:tc>
          <w:tcPr>
            <w:tcW w:w="339" w:type="pct"/>
            <w:vMerge w:val="continue"/>
            <w:vAlign w:val="center"/>
          </w:tcPr>
          <w:p w14:paraId="6D226D1D">
            <w:pPr>
              <w:spacing w:before="79" w:line="240" w:lineRule="auto"/>
              <w:jc w:val="center"/>
              <w:rPr>
                <w:kern w:val="0"/>
                <w:szCs w:val="21"/>
              </w:rPr>
            </w:pPr>
          </w:p>
        </w:tc>
        <w:tc>
          <w:tcPr>
            <w:tcW w:w="339" w:type="pct"/>
            <w:vMerge w:val="continue"/>
            <w:vAlign w:val="center"/>
          </w:tcPr>
          <w:p w14:paraId="5CC0EFA3">
            <w:pPr>
              <w:topLinePunct/>
              <w:adjustRightInd w:val="0"/>
              <w:snapToGrid w:val="0"/>
              <w:spacing w:before="79" w:line="240" w:lineRule="auto"/>
              <w:jc w:val="center"/>
              <w:rPr>
                <w:kern w:val="0"/>
                <w:szCs w:val="21"/>
              </w:rPr>
            </w:pPr>
          </w:p>
        </w:tc>
      </w:tr>
      <w:tr w14:paraId="5D0FB22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14:paraId="191D2E34">
            <w:pPr>
              <w:widowControl/>
              <w:spacing w:before="0" w:beforeLines="0" w:line="240" w:lineRule="auto"/>
              <w:jc w:val="center"/>
              <w:textAlignment w:val="center"/>
              <w:rPr>
                <w:kern w:val="0"/>
                <w:szCs w:val="21"/>
              </w:rPr>
            </w:pPr>
            <w:r>
              <w:rPr>
                <w:kern w:val="0"/>
                <w:szCs w:val="21"/>
                <w:lang w:bidi="ar"/>
              </w:rPr>
              <w:t>4</w:t>
            </w:r>
          </w:p>
        </w:tc>
        <w:tc>
          <w:tcPr>
            <w:tcW w:w="351" w:type="pct"/>
            <w:vMerge w:val="continue"/>
            <w:vAlign w:val="center"/>
          </w:tcPr>
          <w:p w14:paraId="0F8240A8">
            <w:pPr>
              <w:topLinePunct/>
              <w:adjustRightInd w:val="0"/>
              <w:snapToGrid w:val="0"/>
              <w:spacing w:before="79" w:line="240" w:lineRule="auto"/>
              <w:jc w:val="center"/>
              <w:rPr>
                <w:kern w:val="0"/>
                <w:szCs w:val="21"/>
              </w:rPr>
            </w:pPr>
          </w:p>
        </w:tc>
        <w:tc>
          <w:tcPr>
            <w:tcW w:w="715" w:type="pct"/>
            <w:vAlign w:val="center"/>
          </w:tcPr>
          <w:p w14:paraId="12F7369D">
            <w:pPr>
              <w:spacing w:before="0" w:beforeLines="0" w:line="240" w:lineRule="auto"/>
              <w:jc w:val="center"/>
              <w:rPr>
                <w:szCs w:val="21"/>
              </w:rPr>
            </w:pPr>
            <w:r>
              <w:rPr>
                <w:szCs w:val="21"/>
              </w:rPr>
              <w:t>振动筛</w:t>
            </w:r>
          </w:p>
        </w:tc>
        <w:tc>
          <w:tcPr>
            <w:tcW w:w="206" w:type="pct"/>
            <w:vAlign w:val="center"/>
          </w:tcPr>
          <w:p w14:paraId="0AFF12B1">
            <w:pPr>
              <w:topLinePunct/>
              <w:adjustRightInd w:val="0"/>
              <w:snapToGrid w:val="0"/>
              <w:spacing w:before="0" w:beforeLines="0" w:line="240" w:lineRule="auto"/>
              <w:jc w:val="center"/>
              <w:rPr>
                <w:kern w:val="0"/>
                <w:szCs w:val="21"/>
              </w:rPr>
            </w:pPr>
            <w:r>
              <w:rPr>
                <w:kern w:val="0"/>
                <w:szCs w:val="21"/>
              </w:rPr>
              <w:t>145</w:t>
            </w:r>
          </w:p>
        </w:tc>
        <w:tc>
          <w:tcPr>
            <w:tcW w:w="203" w:type="pct"/>
            <w:vAlign w:val="center"/>
          </w:tcPr>
          <w:p w14:paraId="767CD9F4">
            <w:pPr>
              <w:topLinePunct/>
              <w:adjustRightInd w:val="0"/>
              <w:snapToGrid w:val="0"/>
              <w:spacing w:before="0" w:beforeLines="0" w:line="240" w:lineRule="auto"/>
              <w:jc w:val="center"/>
              <w:rPr>
                <w:kern w:val="0"/>
                <w:szCs w:val="21"/>
              </w:rPr>
            </w:pPr>
            <w:r>
              <w:rPr>
                <w:kern w:val="0"/>
                <w:szCs w:val="21"/>
              </w:rPr>
              <w:t>77</w:t>
            </w:r>
          </w:p>
        </w:tc>
        <w:tc>
          <w:tcPr>
            <w:tcW w:w="250" w:type="pct"/>
            <w:vAlign w:val="center"/>
          </w:tcPr>
          <w:p w14:paraId="2EC254B0">
            <w:pPr>
              <w:topLinePunct/>
              <w:adjustRightInd w:val="0"/>
              <w:snapToGrid w:val="0"/>
              <w:spacing w:before="0" w:beforeLines="0" w:line="240" w:lineRule="auto"/>
              <w:jc w:val="center"/>
              <w:rPr>
                <w:kern w:val="0"/>
                <w:szCs w:val="21"/>
              </w:rPr>
            </w:pPr>
            <w:r>
              <w:rPr>
                <w:kern w:val="0"/>
                <w:szCs w:val="21"/>
              </w:rPr>
              <w:t>2</w:t>
            </w:r>
          </w:p>
        </w:tc>
        <w:tc>
          <w:tcPr>
            <w:tcW w:w="384" w:type="pct"/>
            <w:vAlign w:val="center"/>
          </w:tcPr>
          <w:p w14:paraId="70379EE7">
            <w:pPr>
              <w:topLinePunct/>
              <w:adjustRightInd w:val="0"/>
              <w:snapToGrid w:val="0"/>
              <w:spacing w:before="0" w:beforeLines="0" w:line="240" w:lineRule="auto"/>
              <w:jc w:val="center"/>
              <w:rPr>
                <w:kern w:val="0"/>
                <w:szCs w:val="21"/>
              </w:rPr>
            </w:pPr>
            <w:r>
              <w:t>90</w:t>
            </w:r>
          </w:p>
        </w:tc>
        <w:tc>
          <w:tcPr>
            <w:tcW w:w="371" w:type="pct"/>
            <w:vMerge w:val="continue"/>
            <w:vAlign w:val="center"/>
          </w:tcPr>
          <w:p w14:paraId="20D80240">
            <w:pPr>
              <w:topLinePunct/>
              <w:adjustRightInd w:val="0"/>
              <w:snapToGrid w:val="0"/>
              <w:spacing w:before="0" w:beforeLines="0" w:line="240" w:lineRule="auto"/>
              <w:jc w:val="center"/>
              <w:rPr>
                <w:kern w:val="0"/>
                <w:szCs w:val="21"/>
              </w:rPr>
            </w:pPr>
          </w:p>
        </w:tc>
        <w:tc>
          <w:tcPr>
            <w:tcW w:w="599" w:type="pct"/>
            <w:vAlign w:val="center"/>
          </w:tcPr>
          <w:p w14:paraId="19DB0E52">
            <w:pPr>
              <w:topLinePunct/>
              <w:adjustRightInd w:val="0"/>
              <w:snapToGrid w:val="0"/>
              <w:spacing w:before="0" w:beforeLines="0" w:line="240" w:lineRule="auto"/>
              <w:jc w:val="center"/>
              <w:rPr>
                <w:kern w:val="0"/>
                <w:szCs w:val="21"/>
              </w:rPr>
            </w:pPr>
            <w:r>
              <w:rPr>
                <w:kern w:val="0"/>
                <w:szCs w:val="21"/>
              </w:rPr>
              <w:t>26</w:t>
            </w:r>
          </w:p>
        </w:tc>
        <w:tc>
          <w:tcPr>
            <w:tcW w:w="369" w:type="pct"/>
            <w:vAlign w:val="center"/>
          </w:tcPr>
          <w:p w14:paraId="03C114B1">
            <w:pPr>
              <w:topLinePunct/>
              <w:adjustRightInd w:val="0"/>
              <w:snapToGrid w:val="0"/>
              <w:spacing w:before="0" w:beforeLines="0" w:line="240" w:lineRule="auto"/>
              <w:jc w:val="center"/>
              <w:rPr>
                <w:kern w:val="0"/>
                <w:szCs w:val="21"/>
              </w:rPr>
            </w:pPr>
            <w:r>
              <w:t>61.7</w:t>
            </w:r>
          </w:p>
        </w:tc>
        <w:tc>
          <w:tcPr>
            <w:tcW w:w="339" w:type="pct"/>
            <w:vAlign w:val="center"/>
          </w:tcPr>
          <w:p w14:paraId="214386EC">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369BBD30">
            <w:pPr>
              <w:topLinePunct/>
              <w:adjustRightInd w:val="0"/>
              <w:snapToGrid w:val="0"/>
              <w:spacing w:before="79" w:line="240" w:lineRule="auto"/>
              <w:jc w:val="center"/>
              <w:rPr>
                <w:kern w:val="0"/>
                <w:szCs w:val="21"/>
              </w:rPr>
            </w:pPr>
          </w:p>
        </w:tc>
        <w:tc>
          <w:tcPr>
            <w:tcW w:w="339" w:type="pct"/>
            <w:vMerge w:val="continue"/>
            <w:vAlign w:val="center"/>
          </w:tcPr>
          <w:p w14:paraId="0FB5AFC9">
            <w:pPr>
              <w:spacing w:before="79" w:line="240" w:lineRule="auto"/>
              <w:jc w:val="center"/>
              <w:rPr>
                <w:kern w:val="0"/>
                <w:szCs w:val="21"/>
              </w:rPr>
            </w:pPr>
          </w:p>
        </w:tc>
        <w:tc>
          <w:tcPr>
            <w:tcW w:w="339" w:type="pct"/>
            <w:vMerge w:val="continue"/>
            <w:vAlign w:val="center"/>
          </w:tcPr>
          <w:p w14:paraId="48256139">
            <w:pPr>
              <w:topLinePunct/>
              <w:adjustRightInd w:val="0"/>
              <w:snapToGrid w:val="0"/>
              <w:spacing w:before="79" w:line="240" w:lineRule="auto"/>
              <w:jc w:val="center"/>
              <w:rPr>
                <w:kern w:val="0"/>
                <w:szCs w:val="21"/>
              </w:rPr>
            </w:pPr>
          </w:p>
        </w:tc>
      </w:tr>
      <w:tr w14:paraId="604C3F8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14:paraId="3E336CD2">
            <w:pPr>
              <w:widowControl/>
              <w:spacing w:before="0" w:beforeLines="0" w:line="240" w:lineRule="auto"/>
              <w:jc w:val="center"/>
              <w:textAlignment w:val="center"/>
              <w:rPr>
                <w:kern w:val="0"/>
                <w:szCs w:val="21"/>
              </w:rPr>
            </w:pPr>
            <w:r>
              <w:rPr>
                <w:kern w:val="0"/>
                <w:szCs w:val="21"/>
                <w:lang w:bidi="ar"/>
              </w:rPr>
              <w:t>5</w:t>
            </w:r>
          </w:p>
        </w:tc>
        <w:tc>
          <w:tcPr>
            <w:tcW w:w="351" w:type="pct"/>
            <w:vMerge w:val="continue"/>
            <w:vAlign w:val="center"/>
          </w:tcPr>
          <w:p w14:paraId="55E29386">
            <w:pPr>
              <w:topLinePunct/>
              <w:adjustRightInd w:val="0"/>
              <w:snapToGrid w:val="0"/>
              <w:spacing w:before="79" w:line="240" w:lineRule="auto"/>
              <w:jc w:val="center"/>
              <w:rPr>
                <w:kern w:val="0"/>
                <w:szCs w:val="21"/>
              </w:rPr>
            </w:pPr>
          </w:p>
        </w:tc>
        <w:tc>
          <w:tcPr>
            <w:tcW w:w="715" w:type="pct"/>
            <w:vAlign w:val="center"/>
          </w:tcPr>
          <w:p w14:paraId="70425059">
            <w:pPr>
              <w:spacing w:before="0" w:beforeLines="0" w:line="240" w:lineRule="auto"/>
              <w:jc w:val="center"/>
              <w:rPr>
                <w:kern w:val="0"/>
                <w:szCs w:val="21"/>
              </w:rPr>
            </w:pPr>
            <w:r>
              <w:rPr>
                <w:szCs w:val="21"/>
              </w:rPr>
              <w:t>振动筛</w:t>
            </w:r>
          </w:p>
        </w:tc>
        <w:tc>
          <w:tcPr>
            <w:tcW w:w="206" w:type="pct"/>
            <w:vAlign w:val="center"/>
          </w:tcPr>
          <w:p w14:paraId="214D58EC">
            <w:pPr>
              <w:topLinePunct/>
              <w:adjustRightInd w:val="0"/>
              <w:snapToGrid w:val="0"/>
              <w:spacing w:before="0" w:beforeLines="0" w:line="240" w:lineRule="auto"/>
              <w:jc w:val="center"/>
              <w:rPr>
                <w:kern w:val="0"/>
                <w:szCs w:val="21"/>
              </w:rPr>
            </w:pPr>
            <w:r>
              <w:rPr>
                <w:kern w:val="0"/>
                <w:szCs w:val="21"/>
              </w:rPr>
              <w:t>145</w:t>
            </w:r>
          </w:p>
        </w:tc>
        <w:tc>
          <w:tcPr>
            <w:tcW w:w="203" w:type="pct"/>
            <w:vAlign w:val="center"/>
          </w:tcPr>
          <w:p w14:paraId="2F591114">
            <w:pPr>
              <w:topLinePunct/>
              <w:adjustRightInd w:val="0"/>
              <w:snapToGrid w:val="0"/>
              <w:spacing w:before="0" w:beforeLines="0" w:line="240" w:lineRule="auto"/>
              <w:jc w:val="center"/>
              <w:rPr>
                <w:kern w:val="0"/>
                <w:szCs w:val="21"/>
              </w:rPr>
            </w:pPr>
            <w:r>
              <w:rPr>
                <w:kern w:val="0"/>
                <w:szCs w:val="21"/>
              </w:rPr>
              <w:t>85</w:t>
            </w:r>
          </w:p>
        </w:tc>
        <w:tc>
          <w:tcPr>
            <w:tcW w:w="250" w:type="pct"/>
            <w:vAlign w:val="center"/>
          </w:tcPr>
          <w:p w14:paraId="06F100B7">
            <w:pPr>
              <w:topLinePunct/>
              <w:adjustRightInd w:val="0"/>
              <w:snapToGrid w:val="0"/>
              <w:spacing w:before="0" w:beforeLines="0" w:line="240" w:lineRule="auto"/>
              <w:jc w:val="center"/>
              <w:rPr>
                <w:kern w:val="0"/>
                <w:szCs w:val="21"/>
              </w:rPr>
            </w:pPr>
            <w:r>
              <w:rPr>
                <w:kern w:val="0"/>
                <w:szCs w:val="21"/>
              </w:rPr>
              <w:t>2</w:t>
            </w:r>
          </w:p>
        </w:tc>
        <w:tc>
          <w:tcPr>
            <w:tcW w:w="384" w:type="pct"/>
            <w:vAlign w:val="center"/>
          </w:tcPr>
          <w:p w14:paraId="66B514CA">
            <w:pPr>
              <w:topLinePunct/>
              <w:adjustRightInd w:val="0"/>
              <w:snapToGrid w:val="0"/>
              <w:spacing w:before="0" w:beforeLines="0" w:line="240" w:lineRule="auto"/>
              <w:jc w:val="center"/>
              <w:rPr>
                <w:kern w:val="0"/>
                <w:szCs w:val="21"/>
              </w:rPr>
            </w:pPr>
            <w:r>
              <w:t>90</w:t>
            </w:r>
          </w:p>
        </w:tc>
        <w:tc>
          <w:tcPr>
            <w:tcW w:w="371" w:type="pct"/>
            <w:vMerge w:val="continue"/>
            <w:vAlign w:val="center"/>
          </w:tcPr>
          <w:p w14:paraId="4BEB7EF2">
            <w:pPr>
              <w:topLinePunct/>
              <w:adjustRightInd w:val="0"/>
              <w:snapToGrid w:val="0"/>
              <w:spacing w:before="0" w:beforeLines="0" w:line="240" w:lineRule="auto"/>
              <w:jc w:val="center"/>
              <w:rPr>
                <w:kern w:val="0"/>
                <w:szCs w:val="21"/>
              </w:rPr>
            </w:pPr>
          </w:p>
        </w:tc>
        <w:tc>
          <w:tcPr>
            <w:tcW w:w="599" w:type="pct"/>
            <w:vAlign w:val="center"/>
          </w:tcPr>
          <w:p w14:paraId="2471E388">
            <w:pPr>
              <w:topLinePunct/>
              <w:adjustRightInd w:val="0"/>
              <w:snapToGrid w:val="0"/>
              <w:spacing w:before="0" w:beforeLines="0" w:line="240" w:lineRule="auto"/>
              <w:jc w:val="center"/>
              <w:rPr>
                <w:kern w:val="0"/>
                <w:szCs w:val="21"/>
              </w:rPr>
            </w:pPr>
            <w:r>
              <w:rPr>
                <w:kern w:val="0"/>
                <w:szCs w:val="21"/>
              </w:rPr>
              <w:t>29</w:t>
            </w:r>
          </w:p>
        </w:tc>
        <w:tc>
          <w:tcPr>
            <w:tcW w:w="369" w:type="pct"/>
            <w:vAlign w:val="center"/>
          </w:tcPr>
          <w:p w14:paraId="4032952C">
            <w:pPr>
              <w:topLinePunct/>
              <w:adjustRightInd w:val="0"/>
              <w:snapToGrid w:val="0"/>
              <w:spacing w:before="0" w:beforeLines="0" w:line="240" w:lineRule="auto"/>
              <w:jc w:val="center"/>
              <w:rPr>
                <w:kern w:val="0"/>
                <w:szCs w:val="21"/>
              </w:rPr>
            </w:pPr>
            <w:r>
              <w:t>60.75</w:t>
            </w:r>
          </w:p>
        </w:tc>
        <w:tc>
          <w:tcPr>
            <w:tcW w:w="339" w:type="pct"/>
            <w:vAlign w:val="center"/>
          </w:tcPr>
          <w:p w14:paraId="6F919EBC">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408385C3">
            <w:pPr>
              <w:topLinePunct/>
              <w:adjustRightInd w:val="0"/>
              <w:snapToGrid w:val="0"/>
              <w:spacing w:before="79" w:line="240" w:lineRule="auto"/>
              <w:jc w:val="center"/>
              <w:rPr>
                <w:kern w:val="0"/>
                <w:szCs w:val="21"/>
              </w:rPr>
            </w:pPr>
          </w:p>
        </w:tc>
        <w:tc>
          <w:tcPr>
            <w:tcW w:w="339" w:type="pct"/>
            <w:vMerge w:val="continue"/>
            <w:vAlign w:val="center"/>
          </w:tcPr>
          <w:p w14:paraId="10AF603C">
            <w:pPr>
              <w:spacing w:before="79" w:line="240" w:lineRule="auto"/>
              <w:jc w:val="center"/>
              <w:rPr>
                <w:kern w:val="0"/>
                <w:szCs w:val="21"/>
              </w:rPr>
            </w:pPr>
          </w:p>
        </w:tc>
        <w:tc>
          <w:tcPr>
            <w:tcW w:w="339" w:type="pct"/>
            <w:vMerge w:val="continue"/>
            <w:vAlign w:val="center"/>
          </w:tcPr>
          <w:p w14:paraId="330BA1D5">
            <w:pPr>
              <w:topLinePunct/>
              <w:adjustRightInd w:val="0"/>
              <w:snapToGrid w:val="0"/>
              <w:spacing w:before="79" w:line="240" w:lineRule="auto"/>
              <w:jc w:val="center"/>
              <w:rPr>
                <w:kern w:val="0"/>
                <w:szCs w:val="21"/>
              </w:rPr>
            </w:pPr>
          </w:p>
        </w:tc>
      </w:tr>
      <w:tr w14:paraId="5DAFC23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14:paraId="0226D3DF">
            <w:pPr>
              <w:widowControl/>
              <w:spacing w:before="0" w:beforeLines="0" w:line="240" w:lineRule="auto"/>
              <w:jc w:val="center"/>
              <w:textAlignment w:val="center"/>
              <w:rPr>
                <w:kern w:val="0"/>
                <w:szCs w:val="21"/>
              </w:rPr>
            </w:pPr>
            <w:r>
              <w:rPr>
                <w:kern w:val="0"/>
                <w:szCs w:val="21"/>
              </w:rPr>
              <w:t>6</w:t>
            </w:r>
          </w:p>
        </w:tc>
        <w:tc>
          <w:tcPr>
            <w:tcW w:w="351" w:type="pct"/>
            <w:vMerge w:val="continue"/>
            <w:vAlign w:val="center"/>
          </w:tcPr>
          <w:p w14:paraId="269AC125">
            <w:pPr>
              <w:topLinePunct/>
              <w:adjustRightInd w:val="0"/>
              <w:snapToGrid w:val="0"/>
              <w:spacing w:before="0" w:beforeLines="0" w:line="240" w:lineRule="auto"/>
              <w:jc w:val="center"/>
              <w:rPr>
                <w:kern w:val="0"/>
                <w:szCs w:val="21"/>
              </w:rPr>
            </w:pPr>
          </w:p>
        </w:tc>
        <w:tc>
          <w:tcPr>
            <w:tcW w:w="715" w:type="pct"/>
            <w:vAlign w:val="center"/>
          </w:tcPr>
          <w:p w14:paraId="19F06596">
            <w:pPr>
              <w:spacing w:before="0" w:beforeLines="0" w:line="240" w:lineRule="auto"/>
              <w:jc w:val="center"/>
              <w:rPr>
                <w:kern w:val="0"/>
                <w:szCs w:val="21"/>
              </w:rPr>
            </w:pPr>
            <w:r>
              <w:rPr>
                <w:szCs w:val="21"/>
              </w:rPr>
              <w:t>振动筛</w:t>
            </w:r>
          </w:p>
        </w:tc>
        <w:tc>
          <w:tcPr>
            <w:tcW w:w="206" w:type="pct"/>
            <w:vAlign w:val="center"/>
          </w:tcPr>
          <w:p w14:paraId="67AC0B93">
            <w:pPr>
              <w:topLinePunct/>
              <w:adjustRightInd w:val="0"/>
              <w:snapToGrid w:val="0"/>
              <w:spacing w:before="0" w:beforeLines="0" w:line="240" w:lineRule="auto"/>
              <w:jc w:val="center"/>
              <w:rPr>
                <w:kern w:val="0"/>
                <w:szCs w:val="21"/>
              </w:rPr>
            </w:pPr>
            <w:r>
              <w:rPr>
                <w:kern w:val="0"/>
                <w:szCs w:val="21"/>
              </w:rPr>
              <w:t>118</w:t>
            </w:r>
          </w:p>
        </w:tc>
        <w:tc>
          <w:tcPr>
            <w:tcW w:w="203" w:type="pct"/>
            <w:vAlign w:val="center"/>
          </w:tcPr>
          <w:p w14:paraId="4E4505C8">
            <w:pPr>
              <w:topLinePunct/>
              <w:adjustRightInd w:val="0"/>
              <w:snapToGrid w:val="0"/>
              <w:spacing w:before="0" w:beforeLines="0" w:line="240" w:lineRule="auto"/>
              <w:jc w:val="center"/>
              <w:rPr>
                <w:kern w:val="0"/>
                <w:szCs w:val="21"/>
              </w:rPr>
            </w:pPr>
            <w:r>
              <w:rPr>
                <w:kern w:val="0"/>
                <w:szCs w:val="21"/>
              </w:rPr>
              <w:t>54</w:t>
            </w:r>
          </w:p>
        </w:tc>
        <w:tc>
          <w:tcPr>
            <w:tcW w:w="250" w:type="pct"/>
            <w:vAlign w:val="center"/>
          </w:tcPr>
          <w:p w14:paraId="48FB9B67">
            <w:pPr>
              <w:topLinePunct/>
              <w:adjustRightInd w:val="0"/>
              <w:snapToGrid w:val="0"/>
              <w:spacing w:before="0" w:beforeLines="0" w:line="240" w:lineRule="auto"/>
              <w:jc w:val="center"/>
              <w:rPr>
                <w:kern w:val="0"/>
                <w:szCs w:val="21"/>
              </w:rPr>
            </w:pPr>
            <w:r>
              <w:rPr>
                <w:kern w:val="0"/>
                <w:szCs w:val="21"/>
              </w:rPr>
              <w:t>2</w:t>
            </w:r>
          </w:p>
        </w:tc>
        <w:tc>
          <w:tcPr>
            <w:tcW w:w="384" w:type="pct"/>
            <w:vAlign w:val="center"/>
          </w:tcPr>
          <w:p w14:paraId="77859EC6">
            <w:pPr>
              <w:topLinePunct/>
              <w:adjustRightInd w:val="0"/>
              <w:snapToGrid w:val="0"/>
              <w:spacing w:before="0" w:beforeLines="0" w:line="240" w:lineRule="auto"/>
              <w:jc w:val="center"/>
              <w:rPr>
                <w:kern w:val="0"/>
                <w:szCs w:val="21"/>
              </w:rPr>
            </w:pPr>
            <w:r>
              <w:t>90</w:t>
            </w:r>
          </w:p>
        </w:tc>
        <w:tc>
          <w:tcPr>
            <w:tcW w:w="371" w:type="pct"/>
            <w:vMerge w:val="continue"/>
            <w:vAlign w:val="center"/>
          </w:tcPr>
          <w:p w14:paraId="5C290265">
            <w:pPr>
              <w:topLinePunct/>
              <w:adjustRightInd w:val="0"/>
              <w:snapToGrid w:val="0"/>
              <w:spacing w:before="0" w:beforeLines="0" w:line="240" w:lineRule="auto"/>
              <w:jc w:val="center"/>
              <w:rPr>
                <w:kern w:val="0"/>
                <w:szCs w:val="21"/>
              </w:rPr>
            </w:pPr>
          </w:p>
        </w:tc>
        <w:tc>
          <w:tcPr>
            <w:tcW w:w="599" w:type="pct"/>
            <w:vAlign w:val="center"/>
          </w:tcPr>
          <w:p w14:paraId="2C4DCF42">
            <w:pPr>
              <w:topLinePunct/>
              <w:adjustRightInd w:val="0"/>
              <w:snapToGrid w:val="0"/>
              <w:spacing w:before="0" w:beforeLines="0" w:line="240" w:lineRule="auto"/>
              <w:jc w:val="center"/>
              <w:rPr>
                <w:kern w:val="0"/>
                <w:szCs w:val="21"/>
              </w:rPr>
            </w:pPr>
            <w:r>
              <w:rPr>
                <w:kern w:val="0"/>
                <w:szCs w:val="21"/>
              </w:rPr>
              <w:t>32</w:t>
            </w:r>
          </w:p>
        </w:tc>
        <w:tc>
          <w:tcPr>
            <w:tcW w:w="369" w:type="pct"/>
            <w:vAlign w:val="center"/>
          </w:tcPr>
          <w:p w14:paraId="4014E667">
            <w:pPr>
              <w:topLinePunct/>
              <w:adjustRightInd w:val="0"/>
              <w:snapToGrid w:val="0"/>
              <w:spacing w:before="0" w:beforeLines="0" w:line="240" w:lineRule="auto"/>
              <w:jc w:val="center"/>
              <w:rPr>
                <w:kern w:val="0"/>
                <w:szCs w:val="21"/>
              </w:rPr>
            </w:pPr>
            <w:r>
              <w:t>59.9</w:t>
            </w:r>
          </w:p>
        </w:tc>
        <w:tc>
          <w:tcPr>
            <w:tcW w:w="339" w:type="pct"/>
            <w:vAlign w:val="center"/>
          </w:tcPr>
          <w:p w14:paraId="7CD7C592">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7CC36F2A">
            <w:pPr>
              <w:topLinePunct/>
              <w:adjustRightInd w:val="0"/>
              <w:snapToGrid w:val="0"/>
              <w:spacing w:before="0" w:beforeLines="0" w:line="240" w:lineRule="auto"/>
              <w:jc w:val="center"/>
              <w:rPr>
                <w:kern w:val="0"/>
                <w:szCs w:val="21"/>
              </w:rPr>
            </w:pPr>
          </w:p>
        </w:tc>
        <w:tc>
          <w:tcPr>
            <w:tcW w:w="339" w:type="pct"/>
            <w:vMerge w:val="continue"/>
            <w:vAlign w:val="center"/>
          </w:tcPr>
          <w:p w14:paraId="708CABA5">
            <w:pPr>
              <w:spacing w:beforeLines="0" w:line="240" w:lineRule="auto"/>
              <w:jc w:val="center"/>
              <w:rPr>
                <w:szCs w:val="21"/>
              </w:rPr>
            </w:pPr>
          </w:p>
        </w:tc>
        <w:tc>
          <w:tcPr>
            <w:tcW w:w="339" w:type="pct"/>
            <w:vMerge w:val="continue"/>
            <w:vAlign w:val="center"/>
          </w:tcPr>
          <w:p w14:paraId="5FA1CFDA">
            <w:pPr>
              <w:topLinePunct/>
              <w:adjustRightInd w:val="0"/>
              <w:snapToGrid w:val="0"/>
              <w:spacing w:before="0" w:beforeLines="0" w:line="240" w:lineRule="auto"/>
              <w:jc w:val="center"/>
              <w:rPr>
                <w:kern w:val="0"/>
                <w:szCs w:val="21"/>
              </w:rPr>
            </w:pPr>
          </w:p>
        </w:tc>
      </w:tr>
      <w:tr w14:paraId="575592E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14:paraId="3ABAF15B">
            <w:pPr>
              <w:widowControl/>
              <w:spacing w:before="0" w:beforeLines="0" w:line="240" w:lineRule="auto"/>
              <w:jc w:val="center"/>
              <w:textAlignment w:val="center"/>
              <w:rPr>
                <w:kern w:val="0"/>
                <w:szCs w:val="21"/>
              </w:rPr>
            </w:pPr>
            <w:r>
              <w:rPr>
                <w:kern w:val="0"/>
                <w:szCs w:val="21"/>
                <w:lang w:bidi="ar"/>
              </w:rPr>
              <w:t>7</w:t>
            </w:r>
          </w:p>
        </w:tc>
        <w:tc>
          <w:tcPr>
            <w:tcW w:w="351" w:type="pct"/>
            <w:vMerge w:val="continue"/>
            <w:vAlign w:val="center"/>
          </w:tcPr>
          <w:p w14:paraId="30C9F212">
            <w:pPr>
              <w:topLinePunct/>
              <w:adjustRightInd w:val="0"/>
              <w:snapToGrid w:val="0"/>
              <w:spacing w:before="0" w:beforeLines="0" w:line="240" w:lineRule="auto"/>
              <w:jc w:val="center"/>
              <w:rPr>
                <w:kern w:val="0"/>
                <w:szCs w:val="21"/>
              </w:rPr>
            </w:pPr>
          </w:p>
        </w:tc>
        <w:tc>
          <w:tcPr>
            <w:tcW w:w="715" w:type="pct"/>
            <w:vAlign w:val="center"/>
          </w:tcPr>
          <w:p w14:paraId="4E58775A">
            <w:pPr>
              <w:spacing w:before="0" w:beforeLines="0" w:line="240" w:lineRule="auto"/>
              <w:jc w:val="center"/>
              <w:rPr>
                <w:kern w:val="0"/>
                <w:szCs w:val="21"/>
              </w:rPr>
            </w:pPr>
            <w:r>
              <w:rPr>
                <w:szCs w:val="21"/>
              </w:rPr>
              <w:t>振动筛</w:t>
            </w:r>
          </w:p>
        </w:tc>
        <w:tc>
          <w:tcPr>
            <w:tcW w:w="206" w:type="pct"/>
            <w:vAlign w:val="center"/>
          </w:tcPr>
          <w:p w14:paraId="79A17C9C">
            <w:pPr>
              <w:topLinePunct/>
              <w:adjustRightInd w:val="0"/>
              <w:snapToGrid w:val="0"/>
              <w:spacing w:before="0" w:beforeLines="0" w:line="240" w:lineRule="auto"/>
              <w:jc w:val="center"/>
              <w:rPr>
                <w:kern w:val="0"/>
                <w:szCs w:val="21"/>
              </w:rPr>
            </w:pPr>
            <w:r>
              <w:rPr>
                <w:kern w:val="0"/>
                <w:szCs w:val="21"/>
              </w:rPr>
              <w:t>118</w:t>
            </w:r>
          </w:p>
        </w:tc>
        <w:tc>
          <w:tcPr>
            <w:tcW w:w="203" w:type="pct"/>
            <w:vAlign w:val="center"/>
          </w:tcPr>
          <w:p w14:paraId="43366621">
            <w:pPr>
              <w:topLinePunct/>
              <w:adjustRightInd w:val="0"/>
              <w:snapToGrid w:val="0"/>
              <w:spacing w:before="0" w:beforeLines="0" w:line="240" w:lineRule="auto"/>
              <w:jc w:val="center"/>
              <w:rPr>
                <w:kern w:val="0"/>
                <w:szCs w:val="21"/>
              </w:rPr>
            </w:pPr>
            <w:r>
              <w:rPr>
                <w:kern w:val="0"/>
                <w:szCs w:val="21"/>
              </w:rPr>
              <w:t>62</w:t>
            </w:r>
          </w:p>
        </w:tc>
        <w:tc>
          <w:tcPr>
            <w:tcW w:w="250" w:type="pct"/>
            <w:vAlign w:val="center"/>
          </w:tcPr>
          <w:p w14:paraId="18F8EAC4">
            <w:pPr>
              <w:topLinePunct/>
              <w:adjustRightInd w:val="0"/>
              <w:snapToGrid w:val="0"/>
              <w:spacing w:before="0" w:beforeLines="0" w:line="240" w:lineRule="auto"/>
              <w:jc w:val="center"/>
              <w:rPr>
                <w:kern w:val="0"/>
                <w:szCs w:val="21"/>
              </w:rPr>
            </w:pPr>
            <w:r>
              <w:rPr>
                <w:kern w:val="0"/>
                <w:szCs w:val="21"/>
              </w:rPr>
              <w:t>2</w:t>
            </w:r>
          </w:p>
        </w:tc>
        <w:tc>
          <w:tcPr>
            <w:tcW w:w="384" w:type="pct"/>
            <w:vAlign w:val="center"/>
          </w:tcPr>
          <w:p w14:paraId="20530E76">
            <w:pPr>
              <w:topLinePunct/>
              <w:adjustRightInd w:val="0"/>
              <w:snapToGrid w:val="0"/>
              <w:spacing w:before="0" w:beforeLines="0" w:line="240" w:lineRule="auto"/>
              <w:jc w:val="center"/>
              <w:rPr>
                <w:kern w:val="0"/>
                <w:szCs w:val="21"/>
              </w:rPr>
            </w:pPr>
            <w:r>
              <w:t>90</w:t>
            </w:r>
          </w:p>
        </w:tc>
        <w:tc>
          <w:tcPr>
            <w:tcW w:w="371" w:type="pct"/>
            <w:vMerge w:val="continue"/>
            <w:vAlign w:val="center"/>
          </w:tcPr>
          <w:p w14:paraId="2D5E939E">
            <w:pPr>
              <w:topLinePunct/>
              <w:adjustRightInd w:val="0"/>
              <w:snapToGrid w:val="0"/>
              <w:spacing w:before="0" w:beforeLines="0" w:line="240" w:lineRule="auto"/>
              <w:jc w:val="center"/>
              <w:rPr>
                <w:kern w:val="0"/>
                <w:szCs w:val="21"/>
              </w:rPr>
            </w:pPr>
          </w:p>
        </w:tc>
        <w:tc>
          <w:tcPr>
            <w:tcW w:w="599" w:type="pct"/>
            <w:vAlign w:val="center"/>
          </w:tcPr>
          <w:p w14:paraId="2051EA91">
            <w:pPr>
              <w:topLinePunct/>
              <w:adjustRightInd w:val="0"/>
              <w:snapToGrid w:val="0"/>
              <w:spacing w:before="0" w:beforeLines="0" w:line="240" w:lineRule="auto"/>
              <w:jc w:val="center"/>
              <w:rPr>
                <w:kern w:val="0"/>
                <w:szCs w:val="21"/>
              </w:rPr>
            </w:pPr>
            <w:r>
              <w:rPr>
                <w:kern w:val="0"/>
                <w:szCs w:val="21"/>
              </w:rPr>
              <w:t>30</w:t>
            </w:r>
          </w:p>
        </w:tc>
        <w:tc>
          <w:tcPr>
            <w:tcW w:w="369" w:type="pct"/>
            <w:vAlign w:val="center"/>
          </w:tcPr>
          <w:p w14:paraId="01A0922C">
            <w:pPr>
              <w:topLinePunct/>
              <w:adjustRightInd w:val="0"/>
              <w:snapToGrid w:val="0"/>
              <w:spacing w:before="0" w:beforeLines="0" w:line="240" w:lineRule="auto"/>
              <w:jc w:val="center"/>
              <w:rPr>
                <w:kern w:val="0"/>
                <w:szCs w:val="21"/>
              </w:rPr>
            </w:pPr>
            <w:r>
              <w:t>60.46</w:t>
            </w:r>
          </w:p>
        </w:tc>
        <w:tc>
          <w:tcPr>
            <w:tcW w:w="339" w:type="pct"/>
            <w:vAlign w:val="center"/>
          </w:tcPr>
          <w:p w14:paraId="08145F21">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109230DC">
            <w:pPr>
              <w:topLinePunct/>
              <w:adjustRightInd w:val="0"/>
              <w:snapToGrid w:val="0"/>
              <w:spacing w:before="0" w:beforeLines="0" w:line="240" w:lineRule="auto"/>
              <w:jc w:val="center"/>
              <w:rPr>
                <w:kern w:val="0"/>
                <w:szCs w:val="21"/>
              </w:rPr>
            </w:pPr>
          </w:p>
        </w:tc>
        <w:tc>
          <w:tcPr>
            <w:tcW w:w="339" w:type="pct"/>
            <w:vMerge w:val="continue"/>
            <w:vAlign w:val="center"/>
          </w:tcPr>
          <w:p w14:paraId="53692BEB">
            <w:pPr>
              <w:topLinePunct/>
              <w:adjustRightInd w:val="0"/>
              <w:snapToGrid w:val="0"/>
              <w:spacing w:before="0" w:beforeLines="0" w:line="240" w:lineRule="auto"/>
              <w:jc w:val="center"/>
              <w:rPr>
                <w:kern w:val="0"/>
                <w:szCs w:val="21"/>
              </w:rPr>
            </w:pPr>
          </w:p>
        </w:tc>
        <w:tc>
          <w:tcPr>
            <w:tcW w:w="339" w:type="pct"/>
            <w:vMerge w:val="continue"/>
            <w:vAlign w:val="center"/>
          </w:tcPr>
          <w:p w14:paraId="04C6BD37">
            <w:pPr>
              <w:topLinePunct/>
              <w:adjustRightInd w:val="0"/>
              <w:snapToGrid w:val="0"/>
              <w:spacing w:before="0" w:beforeLines="0" w:line="240" w:lineRule="auto"/>
              <w:jc w:val="center"/>
              <w:rPr>
                <w:kern w:val="0"/>
                <w:szCs w:val="21"/>
              </w:rPr>
            </w:pPr>
          </w:p>
        </w:tc>
      </w:tr>
      <w:tr w14:paraId="783C1BB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14:paraId="08F0F93E">
            <w:pPr>
              <w:widowControl/>
              <w:spacing w:before="0" w:beforeLines="0" w:line="240" w:lineRule="auto"/>
              <w:jc w:val="center"/>
              <w:textAlignment w:val="center"/>
              <w:rPr>
                <w:kern w:val="0"/>
                <w:szCs w:val="21"/>
              </w:rPr>
            </w:pPr>
            <w:r>
              <w:rPr>
                <w:kern w:val="0"/>
                <w:szCs w:val="21"/>
                <w:lang w:bidi="ar"/>
              </w:rPr>
              <w:t>8</w:t>
            </w:r>
          </w:p>
        </w:tc>
        <w:tc>
          <w:tcPr>
            <w:tcW w:w="351" w:type="pct"/>
            <w:vMerge w:val="continue"/>
            <w:vAlign w:val="center"/>
          </w:tcPr>
          <w:p w14:paraId="1F966CC8">
            <w:pPr>
              <w:topLinePunct/>
              <w:adjustRightInd w:val="0"/>
              <w:snapToGrid w:val="0"/>
              <w:spacing w:before="0" w:beforeLines="0" w:line="240" w:lineRule="auto"/>
              <w:jc w:val="center"/>
              <w:rPr>
                <w:kern w:val="0"/>
                <w:szCs w:val="21"/>
              </w:rPr>
            </w:pPr>
          </w:p>
        </w:tc>
        <w:tc>
          <w:tcPr>
            <w:tcW w:w="715" w:type="pct"/>
            <w:vAlign w:val="center"/>
          </w:tcPr>
          <w:p w14:paraId="68D80367">
            <w:pPr>
              <w:spacing w:before="0" w:beforeLines="0" w:line="240" w:lineRule="auto"/>
              <w:jc w:val="center"/>
              <w:rPr>
                <w:kern w:val="0"/>
                <w:szCs w:val="21"/>
              </w:rPr>
            </w:pPr>
            <w:r>
              <w:rPr>
                <w:szCs w:val="21"/>
              </w:rPr>
              <w:t>振动筛</w:t>
            </w:r>
          </w:p>
        </w:tc>
        <w:tc>
          <w:tcPr>
            <w:tcW w:w="206" w:type="pct"/>
            <w:vAlign w:val="center"/>
          </w:tcPr>
          <w:p w14:paraId="353779C6">
            <w:pPr>
              <w:topLinePunct/>
              <w:adjustRightInd w:val="0"/>
              <w:snapToGrid w:val="0"/>
              <w:spacing w:before="0" w:beforeLines="0" w:line="240" w:lineRule="auto"/>
              <w:jc w:val="center"/>
              <w:rPr>
                <w:kern w:val="0"/>
                <w:szCs w:val="21"/>
              </w:rPr>
            </w:pPr>
            <w:r>
              <w:rPr>
                <w:kern w:val="0"/>
                <w:szCs w:val="21"/>
              </w:rPr>
              <w:t>118</w:t>
            </w:r>
          </w:p>
        </w:tc>
        <w:tc>
          <w:tcPr>
            <w:tcW w:w="203" w:type="pct"/>
            <w:vAlign w:val="center"/>
          </w:tcPr>
          <w:p w14:paraId="2C475E13">
            <w:pPr>
              <w:topLinePunct/>
              <w:adjustRightInd w:val="0"/>
              <w:snapToGrid w:val="0"/>
              <w:spacing w:before="0" w:beforeLines="0" w:line="240" w:lineRule="auto"/>
              <w:jc w:val="center"/>
              <w:rPr>
                <w:kern w:val="0"/>
                <w:szCs w:val="21"/>
              </w:rPr>
            </w:pPr>
            <w:r>
              <w:rPr>
                <w:kern w:val="0"/>
                <w:szCs w:val="21"/>
              </w:rPr>
              <w:t>70</w:t>
            </w:r>
          </w:p>
        </w:tc>
        <w:tc>
          <w:tcPr>
            <w:tcW w:w="250" w:type="pct"/>
            <w:vAlign w:val="center"/>
          </w:tcPr>
          <w:p w14:paraId="48F0BAC5">
            <w:pPr>
              <w:topLinePunct/>
              <w:adjustRightInd w:val="0"/>
              <w:snapToGrid w:val="0"/>
              <w:spacing w:before="0" w:beforeLines="0" w:line="240" w:lineRule="auto"/>
              <w:jc w:val="center"/>
              <w:rPr>
                <w:kern w:val="0"/>
                <w:szCs w:val="21"/>
              </w:rPr>
            </w:pPr>
            <w:r>
              <w:rPr>
                <w:kern w:val="0"/>
                <w:szCs w:val="21"/>
              </w:rPr>
              <w:t>2</w:t>
            </w:r>
          </w:p>
        </w:tc>
        <w:tc>
          <w:tcPr>
            <w:tcW w:w="384" w:type="pct"/>
            <w:vAlign w:val="center"/>
          </w:tcPr>
          <w:p w14:paraId="5639F66D">
            <w:pPr>
              <w:topLinePunct/>
              <w:adjustRightInd w:val="0"/>
              <w:snapToGrid w:val="0"/>
              <w:spacing w:before="0" w:beforeLines="0" w:line="240" w:lineRule="auto"/>
              <w:jc w:val="center"/>
              <w:rPr>
                <w:kern w:val="0"/>
                <w:szCs w:val="21"/>
              </w:rPr>
            </w:pPr>
            <w:r>
              <w:t>90</w:t>
            </w:r>
          </w:p>
        </w:tc>
        <w:tc>
          <w:tcPr>
            <w:tcW w:w="371" w:type="pct"/>
            <w:vMerge w:val="continue"/>
            <w:vAlign w:val="center"/>
          </w:tcPr>
          <w:p w14:paraId="08AF8BCB">
            <w:pPr>
              <w:topLinePunct/>
              <w:adjustRightInd w:val="0"/>
              <w:snapToGrid w:val="0"/>
              <w:spacing w:before="0" w:beforeLines="0" w:line="240" w:lineRule="auto"/>
              <w:jc w:val="center"/>
              <w:rPr>
                <w:kern w:val="0"/>
                <w:szCs w:val="21"/>
              </w:rPr>
            </w:pPr>
          </w:p>
        </w:tc>
        <w:tc>
          <w:tcPr>
            <w:tcW w:w="599" w:type="pct"/>
            <w:vAlign w:val="center"/>
          </w:tcPr>
          <w:p w14:paraId="51929634">
            <w:pPr>
              <w:topLinePunct/>
              <w:adjustRightInd w:val="0"/>
              <w:snapToGrid w:val="0"/>
              <w:spacing w:before="0" w:beforeLines="0" w:line="240" w:lineRule="auto"/>
              <w:jc w:val="center"/>
              <w:rPr>
                <w:kern w:val="0"/>
                <w:szCs w:val="21"/>
              </w:rPr>
            </w:pPr>
            <w:r>
              <w:rPr>
                <w:kern w:val="0"/>
                <w:szCs w:val="21"/>
              </w:rPr>
              <w:t>28</w:t>
            </w:r>
          </w:p>
        </w:tc>
        <w:tc>
          <w:tcPr>
            <w:tcW w:w="369" w:type="pct"/>
            <w:vAlign w:val="center"/>
          </w:tcPr>
          <w:p w14:paraId="7F993037">
            <w:pPr>
              <w:topLinePunct/>
              <w:adjustRightInd w:val="0"/>
              <w:snapToGrid w:val="0"/>
              <w:spacing w:before="0" w:beforeLines="0" w:line="240" w:lineRule="auto"/>
              <w:jc w:val="center"/>
              <w:rPr>
                <w:kern w:val="0"/>
                <w:szCs w:val="21"/>
              </w:rPr>
            </w:pPr>
            <w:r>
              <w:t>61.06</w:t>
            </w:r>
          </w:p>
        </w:tc>
        <w:tc>
          <w:tcPr>
            <w:tcW w:w="339" w:type="pct"/>
            <w:vAlign w:val="center"/>
          </w:tcPr>
          <w:p w14:paraId="32DB9A54">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2DBC552B">
            <w:pPr>
              <w:topLinePunct/>
              <w:adjustRightInd w:val="0"/>
              <w:snapToGrid w:val="0"/>
              <w:spacing w:before="0" w:beforeLines="0" w:line="240" w:lineRule="auto"/>
              <w:jc w:val="center"/>
              <w:rPr>
                <w:kern w:val="0"/>
                <w:szCs w:val="21"/>
              </w:rPr>
            </w:pPr>
          </w:p>
        </w:tc>
        <w:tc>
          <w:tcPr>
            <w:tcW w:w="339" w:type="pct"/>
            <w:vMerge w:val="continue"/>
            <w:vAlign w:val="center"/>
          </w:tcPr>
          <w:p w14:paraId="2D1C257E">
            <w:pPr>
              <w:topLinePunct/>
              <w:adjustRightInd w:val="0"/>
              <w:snapToGrid w:val="0"/>
              <w:spacing w:before="0" w:beforeLines="0" w:line="240" w:lineRule="auto"/>
              <w:jc w:val="center"/>
              <w:rPr>
                <w:kern w:val="0"/>
                <w:szCs w:val="21"/>
              </w:rPr>
            </w:pPr>
          </w:p>
        </w:tc>
        <w:tc>
          <w:tcPr>
            <w:tcW w:w="339" w:type="pct"/>
            <w:vMerge w:val="continue"/>
            <w:vAlign w:val="center"/>
          </w:tcPr>
          <w:p w14:paraId="2BD72891">
            <w:pPr>
              <w:topLinePunct/>
              <w:adjustRightInd w:val="0"/>
              <w:snapToGrid w:val="0"/>
              <w:spacing w:before="0" w:beforeLines="0" w:line="240" w:lineRule="auto"/>
              <w:jc w:val="center"/>
              <w:rPr>
                <w:kern w:val="0"/>
                <w:szCs w:val="21"/>
              </w:rPr>
            </w:pPr>
          </w:p>
        </w:tc>
      </w:tr>
      <w:tr w14:paraId="7552896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14:paraId="34FF270C">
            <w:pPr>
              <w:widowControl/>
              <w:spacing w:before="0" w:beforeLines="0" w:line="240" w:lineRule="auto"/>
              <w:jc w:val="center"/>
              <w:textAlignment w:val="center"/>
              <w:rPr>
                <w:kern w:val="0"/>
                <w:szCs w:val="21"/>
              </w:rPr>
            </w:pPr>
            <w:r>
              <w:rPr>
                <w:kern w:val="0"/>
                <w:szCs w:val="21"/>
                <w:lang w:bidi="ar"/>
              </w:rPr>
              <w:t>9</w:t>
            </w:r>
          </w:p>
        </w:tc>
        <w:tc>
          <w:tcPr>
            <w:tcW w:w="351" w:type="pct"/>
            <w:vMerge w:val="continue"/>
            <w:vAlign w:val="center"/>
          </w:tcPr>
          <w:p w14:paraId="3B89D7CB">
            <w:pPr>
              <w:topLinePunct/>
              <w:adjustRightInd w:val="0"/>
              <w:snapToGrid w:val="0"/>
              <w:spacing w:before="0" w:beforeLines="0" w:line="240" w:lineRule="auto"/>
              <w:jc w:val="center"/>
              <w:rPr>
                <w:kern w:val="0"/>
                <w:szCs w:val="21"/>
              </w:rPr>
            </w:pPr>
          </w:p>
        </w:tc>
        <w:tc>
          <w:tcPr>
            <w:tcW w:w="715" w:type="pct"/>
            <w:vAlign w:val="center"/>
          </w:tcPr>
          <w:p w14:paraId="322857D2">
            <w:pPr>
              <w:spacing w:before="0" w:beforeLines="0" w:line="240" w:lineRule="auto"/>
              <w:jc w:val="center"/>
              <w:rPr>
                <w:kern w:val="0"/>
                <w:szCs w:val="21"/>
              </w:rPr>
            </w:pPr>
            <w:r>
              <w:rPr>
                <w:szCs w:val="21"/>
              </w:rPr>
              <w:t>振动筛</w:t>
            </w:r>
          </w:p>
        </w:tc>
        <w:tc>
          <w:tcPr>
            <w:tcW w:w="206" w:type="pct"/>
            <w:vAlign w:val="center"/>
          </w:tcPr>
          <w:p w14:paraId="1E92BB71">
            <w:pPr>
              <w:topLinePunct/>
              <w:adjustRightInd w:val="0"/>
              <w:snapToGrid w:val="0"/>
              <w:spacing w:before="0" w:beforeLines="0" w:line="240" w:lineRule="auto"/>
              <w:jc w:val="center"/>
              <w:rPr>
                <w:kern w:val="0"/>
                <w:szCs w:val="21"/>
              </w:rPr>
            </w:pPr>
            <w:r>
              <w:rPr>
                <w:kern w:val="0"/>
                <w:szCs w:val="21"/>
              </w:rPr>
              <w:t>118</w:t>
            </w:r>
          </w:p>
        </w:tc>
        <w:tc>
          <w:tcPr>
            <w:tcW w:w="203" w:type="pct"/>
            <w:vAlign w:val="center"/>
          </w:tcPr>
          <w:p w14:paraId="7E2DA6CD">
            <w:pPr>
              <w:topLinePunct/>
              <w:adjustRightInd w:val="0"/>
              <w:snapToGrid w:val="0"/>
              <w:spacing w:before="0" w:beforeLines="0" w:line="240" w:lineRule="auto"/>
              <w:jc w:val="center"/>
              <w:rPr>
                <w:kern w:val="0"/>
                <w:szCs w:val="21"/>
              </w:rPr>
            </w:pPr>
            <w:r>
              <w:rPr>
                <w:kern w:val="0"/>
                <w:szCs w:val="21"/>
              </w:rPr>
              <w:t>77</w:t>
            </w:r>
          </w:p>
        </w:tc>
        <w:tc>
          <w:tcPr>
            <w:tcW w:w="250" w:type="pct"/>
            <w:vAlign w:val="center"/>
          </w:tcPr>
          <w:p w14:paraId="386514FD">
            <w:pPr>
              <w:topLinePunct/>
              <w:adjustRightInd w:val="0"/>
              <w:snapToGrid w:val="0"/>
              <w:spacing w:before="0" w:beforeLines="0" w:line="240" w:lineRule="auto"/>
              <w:jc w:val="center"/>
              <w:rPr>
                <w:kern w:val="0"/>
                <w:szCs w:val="21"/>
              </w:rPr>
            </w:pPr>
            <w:r>
              <w:rPr>
                <w:kern w:val="0"/>
                <w:szCs w:val="21"/>
              </w:rPr>
              <w:t>2</w:t>
            </w:r>
          </w:p>
        </w:tc>
        <w:tc>
          <w:tcPr>
            <w:tcW w:w="384" w:type="pct"/>
            <w:vAlign w:val="center"/>
          </w:tcPr>
          <w:p w14:paraId="18E2F3F9">
            <w:pPr>
              <w:topLinePunct/>
              <w:adjustRightInd w:val="0"/>
              <w:snapToGrid w:val="0"/>
              <w:spacing w:before="0" w:beforeLines="0" w:line="240" w:lineRule="auto"/>
              <w:jc w:val="center"/>
              <w:rPr>
                <w:kern w:val="0"/>
                <w:szCs w:val="21"/>
              </w:rPr>
            </w:pPr>
            <w:r>
              <w:t>90</w:t>
            </w:r>
          </w:p>
        </w:tc>
        <w:tc>
          <w:tcPr>
            <w:tcW w:w="371" w:type="pct"/>
            <w:vMerge w:val="continue"/>
            <w:vAlign w:val="center"/>
          </w:tcPr>
          <w:p w14:paraId="55B64490">
            <w:pPr>
              <w:topLinePunct/>
              <w:adjustRightInd w:val="0"/>
              <w:snapToGrid w:val="0"/>
              <w:spacing w:before="0" w:beforeLines="0" w:line="240" w:lineRule="auto"/>
              <w:jc w:val="center"/>
              <w:rPr>
                <w:kern w:val="0"/>
                <w:szCs w:val="21"/>
              </w:rPr>
            </w:pPr>
          </w:p>
        </w:tc>
        <w:tc>
          <w:tcPr>
            <w:tcW w:w="599" w:type="pct"/>
            <w:vAlign w:val="center"/>
          </w:tcPr>
          <w:p w14:paraId="4C712F7D">
            <w:pPr>
              <w:topLinePunct/>
              <w:adjustRightInd w:val="0"/>
              <w:snapToGrid w:val="0"/>
              <w:spacing w:before="0" w:beforeLines="0" w:line="240" w:lineRule="auto"/>
              <w:jc w:val="center"/>
              <w:rPr>
                <w:kern w:val="0"/>
                <w:szCs w:val="21"/>
              </w:rPr>
            </w:pPr>
            <w:r>
              <w:rPr>
                <w:kern w:val="0"/>
                <w:szCs w:val="21"/>
              </w:rPr>
              <w:t>30</w:t>
            </w:r>
          </w:p>
        </w:tc>
        <w:tc>
          <w:tcPr>
            <w:tcW w:w="369" w:type="pct"/>
            <w:vAlign w:val="center"/>
          </w:tcPr>
          <w:p w14:paraId="2D37ACD2">
            <w:pPr>
              <w:topLinePunct/>
              <w:adjustRightInd w:val="0"/>
              <w:snapToGrid w:val="0"/>
              <w:spacing w:before="0" w:beforeLines="0" w:line="240" w:lineRule="auto"/>
              <w:jc w:val="center"/>
              <w:rPr>
                <w:kern w:val="0"/>
                <w:szCs w:val="21"/>
              </w:rPr>
            </w:pPr>
            <w:r>
              <w:t>60.46</w:t>
            </w:r>
          </w:p>
        </w:tc>
        <w:tc>
          <w:tcPr>
            <w:tcW w:w="339" w:type="pct"/>
            <w:vAlign w:val="center"/>
          </w:tcPr>
          <w:p w14:paraId="4BEDC908">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7C462273">
            <w:pPr>
              <w:topLinePunct/>
              <w:adjustRightInd w:val="0"/>
              <w:snapToGrid w:val="0"/>
              <w:spacing w:before="0" w:beforeLines="0" w:line="240" w:lineRule="auto"/>
              <w:jc w:val="center"/>
              <w:rPr>
                <w:kern w:val="0"/>
                <w:szCs w:val="21"/>
              </w:rPr>
            </w:pPr>
          </w:p>
        </w:tc>
        <w:tc>
          <w:tcPr>
            <w:tcW w:w="339" w:type="pct"/>
            <w:vMerge w:val="continue"/>
            <w:vAlign w:val="center"/>
          </w:tcPr>
          <w:p w14:paraId="29A4A138">
            <w:pPr>
              <w:topLinePunct/>
              <w:adjustRightInd w:val="0"/>
              <w:snapToGrid w:val="0"/>
              <w:spacing w:before="0" w:beforeLines="0" w:line="240" w:lineRule="auto"/>
              <w:jc w:val="center"/>
              <w:rPr>
                <w:kern w:val="0"/>
                <w:szCs w:val="21"/>
              </w:rPr>
            </w:pPr>
          </w:p>
        </w:tc>
        <w:tc>
          <w:tcPr>
            <w:tcW w:w="339" w:type="pct"/>
            <w:vMerge w:val="continue"/>
            <w:vAlign w:val="center"/>
          </w:tcPr>
          <w:p w14:paraId="2BC9BC88">
            <w:pPr>
              <w:topLinePunct/>
              <w:adjustRightInd w:val="0"/>
              <w:snapToGrid w:val="0"/>
              <w:spacing w:before="0" w:beforeLines="0" w:line="240" w:lineRule="auto"/>
              <w:jc w:val="center"/>
              <w:rPr>
                <w:kern w:val="0"/>
                <w:szCs w:val="21"/>
              </w:rPr>
            </w:pPr>
          </w:p>
        </w:tc>
      </w:tr>
      <w:tr w14:paraId="4DD6D56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14:paraId="7A6EA9CE">
            <w:pPr>
              <w:widowControl/>
              <w:spacing w:before="0" w:beforeLines="0" w:line="240" w:lineRule="auto"/>
              <w:jc w:val="center"/>
              <w:textAlignment w:val="center"/>
              <w:rPr>
                <w:kern w:val="0"/>
                <w:szCs w:val="21"/>
              </w:rPr>
            </w:pPr>
            <w:r>
              <w:rPr>
                <w:kern w:val="0"/>
                <w:szCs w:val="21"/>
                <w:lang w:bidi="ar"/>
              </w:rPr>
              <w:t>10</w:t>
            </w:r>
          </w:p>
        </w:tc>
        <w:tc>
          <w:tcPr>
            <w:tcW w:w="351" w:type="pct"/>
            <w:vMerge w:val="continue"/>
            <w:vAlign w:val="center"/>
          </w:tcPr>
          <w:p w14:paraId="02753F3F">
            <w:pPr>
              <w:topLinePunct/>
              <w:adjustRightInd w:val="0"/>
              <w:snapToGrid w:val="0"/>
              <w:spacing w:before="0" w:beforeLines="0" w:line="240" w:lineRule="auto"/>
              <w:jc w:val="center"/>
              <w:rPr>
                <w:kern w:val="0"/>
                <w:szCs w:val="21"/>
              </w:rPr>
            </w:pPr>
          </w:p>
        </w:tc>
        <w:tc>
          <w:tcPr>
            <w:tcW w:w="715" w:type="pct"/>
            <w:vAlign w:val="center"/>
          </w:tcPr>
          <w:p w14:paraId="67080DA8">
            <w:pPr>
              <w:spacing w:before="0" w:beforeLines="0" w:line="240" w:lineRule="auto"/>
              <w:jc w:val="center"/>
              <w:rPr>
                <w:kern w:val="0"/>
                <w:szCs w:val="21"/>
              </w:rPr>
            </w:pPr>
            <w:r>
              <w:rPr>
                <w:szCs w:val="21"/>
              </w:rPr>
              <w:t>振动筛</w:t>
            </w:r>
          </w:p>
        </w:tc>
        <w:tc>
          <w:tcPr>
            <w:tcW w:w="206" w:type="pct"/>
            <w:vAlign w:val="center"/>
          </w:tcPr>
          <w:p w14:paraId="270FD3B7">
            <w:pPr>
              <w:topLinePunct/>
              <w:adjustRightInd w:val="0"/>
              <w:snapToGrid w:val="0"/>
              <w:spacing w:before="0" w:beforeLines="0" w:line="240" w:lineRule="auto"/>
              <w:jc w:val="center"/>
              <w:rPr>
                <w:kern w:val="0"/>
                <w:szCs w:val="21"/>
              </w:rPr>
            </w:pPr>
            <w:r>
              <w:rPr>
                <w:kern w:val="0"/>
                <w:szCs w:val="21"/>
              </w:rPr>
              <w:t>118</w:t>
            </w:r>
          </w:p>
        </w:tc>
        <w:tc>
          <w:tcPr>
            <w:tcW w:w="203" w:type="pct"/>
            <w:vAlign w:val="center"/>
          </w:tcPr>
          <w:p w14:paraId="2539D1BF">
            <w:pPr>
              <w:topLinePunct/>
              <w:adjustRightInd w:val="0"/>
              <w:snapToGrid w:val="0"/>
              <w:spacing w:before="0" w:beforeLines="0" w:line="240" w:lineRule="auto"/>
              <w:jc w:val="center"/>
              <w:rPr>
                <w:kern w:val="0"/>
                <w:szCs w:val="21"/>
              </w:rPr>
            </w:pPr>
            <w:r>
              <w:rPr>
                <w:kern w:val="0"/>
                <w:szCs w:val="21"/>
              </w:rPr>
              <w:t>85</w:t>
            </w:r>
          </w:p>
        </w:tc>
        <w:tc>
          <w:tcPr>
            <w:tcW w:w="250" w:type="pct"/>
            <w:vAlign w:val="center"/>
          </w:tcPr>
          <w:p w14:paraId="3630640E">
            <w:pPr>
              <w:topLinePunct/>
              <w:adjustRightInd w:val="0"/>
              <w:snapToGrid w:val="0"/>
              <w:spacing w:before="0" w:beforeLines="0" w:line="240" w:lineRule="auto"/>
              <w:jc w:val="center"/>
              <w:rPr>
                <w:kern w:val="0"/>
                <w:szCs w:val="21"/>
              </w:rPr>
            </w:pPr>
            <w:r>
              <w:rPr>
                <w:kern w:val="0"/>
                <w:szCs w:val="21"/>
              </w:rPr>
              <w:t>2</w:t>
            </w:r>
          </w:p>
        </w:tc>
        <w:tc>
          <w:tcPr>
            <w:tcW w:w="384" w:type="pct"/>
            <w:vAlign w:val="center"/>
          </w:tcPr>
          <w:p w14:paraId="797B347D">
            <w:pPr>
              <w:topLinePunct/>
              <w:adjustRightInd w:val="0"/>
              <w:snapToGrid w:val="0"/>
              <w:spacing w:before="0" w:beforeLines="0" w:line="240" w:lineRule="auto"/>
              <w:jc w:val="center"/>
              <w:rPr>
                <w:kern w:val="0"/>
                <w:szCs w:val="21"/>
              </w:rPr>
            </w:pPr>
            <w:r>
              <w:t>90</w:t>
            </w:r>
          </w:p>
        </w:tc>
        <w:tc>
          <w:tcPr>
            <w:tcW w:w="371" w:type="pct"/>
            <w:vMerge w:val="continue"/>
            <w:vAlign w:val="center"/>
          </w:tcPr>
          <w:p w14:paraId="0699A396">
            <w:pPr>
              <w:topLinePunct/>
              <w:adjustRightInd w:val="0"/>
              <w:snapToGrid w:val="0"/>
              <w:spacing w:before="0" w:beforeLines="0" w:line="240" w:lineRule="auto"/>
              <w:jc w:val="center"/>
              <w:rPr>
                <w:kern w:val="0"/>
                <w:szCs w:val="21"/>
              </w:rPr>
            </w:pPr>
          </w:p>
        </w:tc>
        <w:tc>
          <w:tcPr>
            <w:tcW w:w="599" w:type="pct"/>
            <w:vAlign w:val="center"/>
          </w:tcPr>
          <w:p w14:paraId="4F2574DA">
            <w:pPr>
              <w:topLinePunct/>
              <w:adjustRightInd w:val="0"/>
              <w:snapToGrid w:val="0"/>
              <w:spacing w:before="0" w:beforeLines="0" w:line="240" w:lineRule="auto"/>
              <w:jc w:val="center"/>
              <w:rPr>
                <w:kern w:val="0"/>
                <w:szCs w:val="21"/>
              </w:rPr>
            </w:pPr>
            <w:r>
              <w:rPr>
                <w:kern w:val="0"/>
                <w:szCs w:val="21"/>
              </w:rPr>
              <w:t>32</w:t>
            </w:r>
          </w:p>
        </w:tc>
        <w:tc>
          <w:tcPr>
            <w:tcW w:w="369" w:type="pct"/>
            <w:vAlign w:val="center"/>
          </w:tcPr>
          <w:p w14:paraId="6B00B459">
            <w:pPr>
              <w:topLinePunct/>
              <w:adjustRightInd w:val="0"/>
              <w:snapToGrid w:val="0"/>
              <w:spacing w:before="0" w:beforeLines="0" w:line="240" w:lineRule="auto"/>
              <w:jc w:val="center"/>
              <w:rPr>
                <w:kern w:val="0"/>
                <w:szCs w:val="21"/>
              </w:rPr>
            </w:pPr>
            <w:r>
              <w:t>59.9</w:t>
            </w:r>
          </w:p>
        </w:tc>
        <w:tc>
          <w:tcPr>
            <w:tcW w:w="339" w:type="pct"/>
            <w:vAlign w:val="center"/>
          </w:tcPr>
          <w:p w14:paraId="15139C6B">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2C645F82">
            <w:pPr>
              <w:topLinePunct/>
              <w:adjustRightInd w:val="0"/>
              <w:snapToGrid w:val="0"/>
              <w:spacing w:before="0" w:beforeLines="0" w:line="240" w:lineRule="auto"/>
              <w:jc w:val="center"/>
              <w:rPr>
                <w:kern w:val="0"/>
                <w:szCs w:val="21"/>
              </w:rPr>
            </w:pPr>
          </w:p>
        </w:tc>
        <w:tc>
          <w:tcPr>
            <w:tcW w:w="339" w:type="pct"/>
            <w:vMerge w:val="continue"/>
            <w:vAlign w:val="center"/>
          </w:tcPr>
          <w:p w14:paraId="21B0BF44">
            <w:pPr>
              <w:topLinePunct/>
              <w:adjustRightInd w:val="0"/>
              <w:snapToGrid w:val="0"/>
              <w:spacing w:before="0" w:beforeLines="0" w:line="240" w:lineRule="auto"/>
              <w:jc w:val="center"/>
              <w:rPr>
                <w:kern w:val="0"/>
                <w:szCs w:val="21"/>
              </w:rPr>
            </w:pPr>
          </w:p>
        </w:tc>
        <w:tc>
          <w:tcPr>
            <w:tcW w:w="339" w:type="pct"/>
            <w:vMerge w:val="continue"/>
            <w:vAlign w:val="center"/>
          </w:tcPr>
          <w:p w14:paraId="14A660A8">
            <w:pPr>
              <w:topLinePunct/>
              <w:adjustRightInd w:val="0"/>
              <w:snapToGrid w:val="0"/>
              <w:spacing w:before="0" w:beforeLines="0" w:line="240" w:lineRule="auto"/>
              <w:jc w:val="center"/>
              <w:rPr>
                <w:kern w:val="0"/>
                <w:szCs w:val="21"/>
              </w:rPr>
            </w:pPr>
          </w:p>
        </w:tc>
      </w:tr>
      <w:tr w14:paraId="1ED792C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14:paraId="45C608D1">
            <w:pPr>
              <w:widowControl/>
              <w:spacing w:before="0" w:beforeLines="0" w:line="240" w:lineRule="auto"/>
              <w:jc w:val="center"/>
              <w:textAlignment w:val="center"/>
              <w:rPr>
                <w:kern w:val="0"/>
                <w:szCs w:val="21"/>
              </w:rPr>
            </w:pPr>
            <w:bookmarkStart w:id="132" w:name="_Hlk194846283"/>
            <w:r>
              <w:rPr>
                <w:kern w:val="0"/>
                <w:szCs w:val="21"/>
                <w:lang w:bidi="ar"/>
              </w:rPr>
              <w:t>11</w:t>
            </w:r>
          </w:p>
        </w:tc>
        <w:tc>
          <w:tcPr>
            <w:tcW w:w="351" w:type="pct"/>
            <w:vMerge w:val="continue"/>
            <w:vAlign w:val="center"/>
          </w:tcPr>
          <w:p w14:paraId="594D1470">
            <w:pPr>
              <w:topLinePunct/>
              <w:adjustRightInd w:val="0"/>
              <w:snapToGrid w:val="0"/>
              <w:spacing w:before="0" w:beforeLines="0" w:line="240" w:lineRule="auto"/>
              <w:jc w:val="center"/>
              <w:rPr>
                <w:kern w:val="0"/>
                <w:szCs w:val="21"/>
              </w:rPr>
            </w:pPr>
          </w:p>
        </w:tc>
        <w:tc>
          <w:tcPr>
            <w:tcW w:w="715" w:type="pct"/>
            <w:vAlign w:val="center"/>
          </w:tcPr>
          <w:p w14:paraId="7D15F6B5">
            <w:pPr>
              <w:spacing w:before="0" w:beforeLines="0" w:line="240" w:lineRule="auto"/>
              <w:jc w:val="center"/>
              <w:rPr>
                <w:kern w:val="0"/>
                <w:szCs w:val="21"/>
              </w:rPr>
            </w:pPr>
            <w:r>
              <w:rPr>
                <w:kern w:val="0"/>
                <w:szCs w:val="21"/>
              </w:rPr>
              <w:t>粗磁选机</w:t>
            </w:r>
          </w:p>
        </w:tc>
        <w:tc>
          <w:tcPr>
            <w:tcW w:w="206" w:type="pct"/>
            <w:vAlign w:val="center"/>
          </w:tcPr>
          <w:p w14:paraId="645A9067">
            <w:pPr>
              <w:topLinePunct/>
              <w:adjustRightInd w:val="0"/>
              <w:snapToGrid w:val="0"/>
              <w:spacing w:before="0" w:beforeLines="0" w:line="240" w:lineRule="auto"/>
              <w:jc w:val="center"/>
              <w:rPr>
                <w:kern w:val="0"/>
                <w:szCs w:val="21"/>
              </w:rPr>
            </w:pPr>
            <w:r>
              <w:rPr>
                <w:kern w:val="0"/>
                <w:szCs w:val="21"/>
              </w:rPr>
              <w:t>111</w:t>
            </w:r>
          </w:p>
        </w:tc>
        <w:tc>
          <w:tcPr>
            <w:tcW w:w="203" w:type="pct"/>
            <w:vAlign w:val="center"/>
          </w:tcPr>
          <w:p w14:paraId="01629FC8">
            <w:pPr>
              <w:topLinePunct/>
              <w:adjustRightInd w:val="0"/>
              <w:snapToGrid w:val="0"/>
              <w:spacing w:before="0" w:beforeLines="0" w:line="240" w:lineRule="auto"/>
              <w:jc w:val="center"/>
              <w:rPr>
                <w:kern w:val="0"/>
                <w:szCs w:val="21"/>
              </w:rPr>
            </w:pPr>
            <w:r>
              <w:rPr>
                <w:kern w:val="0"/>
                <w:szCs w:val="21"/>
              </w:rPr>
              <w:t>54</w:t>
            </w:r>
          </w:p>
        </w:tc>
        <w:tc>
          <w:tcPr>
            <w:tcW w:w="250" w:type="pct"/>
            <w:vAlign w:val="center"/>
          </w:tcPr>
          <w:p w14:paraId="3F985F66">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14:paraId="5390982F">
            <w:pPr>
              <w:topLinePunct/>
              <w:adjustRightInd w:val="0"/>
              <w:snapToGrid w:val="0"/>
              <w:spacing w:before="0" w:beforeLines="0" w:line="240" w:lineRule="auto"/>
              <w:jc w:val="center"/>
              <w:rPr>
                <w:kern w:val="0"/>
                <w:szCs w:val="21"/>
              </w:rPr>
            </w:pPr>
            <w:r>
              <w:rPr>
                <w:rFonts w:hint="eastAsia"/>
                <w:kern w:val="0"/>
                <w:szCs w:val="21"/>
              </w:rPr>
              <w:t>85</w:t>
            </w:r>
          </w:p>
        </w:tc>
        <w:tc>
          <w:tcPr>
            <w:tcW w:w="371" w:type="pct"/>
            <w:vMerge w:val="continue"/>
            <w:vAlign w:val="center"/>
          </w:tcPr>
          <w:p w14:paraId="6D2B16FE">
            <w:pPr>
              <w:topLinePunct/>
              <w:adjustRightInd w:val="0"/>
              <w:snapToGrid w:val="0"/>
              <w:spacing w:before="0" w:beforeLines="0" w:line="240" w:lineRule="auto"/>
              <w:jc w:val="center"/>
              <w:rPr>
                <w:kern w:val="0"/>
                <w:szCs w:val="21"/>
              </w:rPr>
            </w:pPr>
          </w:p>
        </w:tc>
        <w:tc>
          <w:tcPr>
            <w:tcW w:w="599" w:type="pct"/>
            <w:vAlign w:val="center"/>
          </w:tcPr>
          <w:p w14:paraId="291DF8E6">
            <w:pPr>
              <w:topLinePunct/>
              <w:adjustRightInd w:val="0"/>
              <w:snapToGrid w:val="0"/>
              <w:spacing w:before="0" w:beforeLines="0" w:line="240" w:lineRule="auto"/>
              <w:jc w:val="center"/>
              <w:rPr>
                <w:kern w:val="0"/>
                <w:szCs w:val="21"/>
              </w:rPr>
            </w:pPr>
            <w:r>
              <w:rPr>
                <w:kern w:val="0"/>
                <w:szCs w:val="21"/>
              </w:rPr>
              <w:t>27</w:t>
            </w:r>
          </w:p>
        </w:tc>
        <w:tc>
          <w:tcPr>
            <w:tcW w:w="369" w:type="pct"/>
            <w:vAlign w:val="center"/>
          </w:tcPr>
          <w:p w14:paraId="7DE2554F">
            <w:pPr>
              <w:topLinePunct/>
              <w:adjustRightInd w:val="0"/>
              <w:snapToGrid w:val="0"/>
              <w:spacing w:before="0" w:beforeLines="0" w:line="240" w:lineRule="auto"/>
              <w:jc w:val="center"/>
              <w:rPr>
                <w:kern w:val="0"/>
                <w:szCs w:val="21"/>
              </w:rPr>
            </w:pPr>
            <w:r>
              <w:t>46.37</w:t>
            </w:r>
          </w:p>
        </w:tc>
        <w:tc>
          <w:tcPr>
            <w:tcW w:w="339" w:type="pct"/>
            <w:vAlign w:val="center"/>
          </w:tcPr>
          <w:p w14:paraId="6EEFBC05">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7E0D03A0">
            <w:pPr>
              <w:topLinePunct/>
              <w:adjustRightInd w:val="0"/>
              <w:snapToGrid w:val="0"/>
              <w:spacing w:before="0" w:beforeLines="0" w:line="240" w:lineRule="auto"/>
              <w:jc w:val="center"/>
              <w:rPr>
                <w:kern w:val="0"/>
                <w:szCs w:val="21"/>
              </w:rPr>
            </w:pPr>
          </w:p>
        </w:tc>
        <w:tc>
          <w:tcPr>
            <w:tcW w:w="339" w:type="pct"/>
            <w:vMerge w:val="continue"/>
            <w:vAlign w:val="center"/>
          </w:tcPr>
          <w:p w14:paraId="5450FC0C">
            <w:pPr>
              <w:topLinePunct/>
              <w:adjustRightInd w:val="0"/>
              <w:snapToGrid w:val="0"/>
              <w:spacing w:before="0" w:beforeLines="0" w:line="240" w:lineRule="auto"/>
              <w:jc w:val="center"/>
              <w:rPr>
                <w:kern w:val="0"/>
                <w:szCs w:val="21"/>
              </w:rPr>
            </w:pPr>
          </w:p>
        </w:tc>
        <w:tc>
          <w:tcPr>
            <w:tcW w:w="339" w:type="pct"/>
            <w:vMerge w:val="continue"/>
            <w:vAlign w:val="center"/>
          </w:tcPr>
          <w:p w14:paraId="41E239FE">
            <w:pPr>
              <w:topLinePunct/>
              <w:adjustRightInd w:val="0"/>
              <w:snapToGrid w:val="0"/>
              <w:spacing w:before="0" w:beforeLines="0" w:line="240" w:lineRule="auto"/>
              <w:jc w:val="center"/>
              <w:rPr>
                <w:kern w:val="0"/>
                <w:szCs w:val="21"/>
              </w:rPr>
            </w:pPr>
          </w:p>
        </w:tc>
      </w:tr>
      <w:tr w14:paraId="74C9D10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14:paraId="4F25A28C">
            <w:pPr>
              <w:widowControl/>
              <w:spacing w:before="0" w:beforeLines="0" w:line="240" w:lineRule="auto"/>
              <w:jc w:val="center"/>
              <w:textAlignment w:val="center"/>
              <w:rPr>
                <w:kern w:val="0"/>
                <w:szCs w:val="21"/>
              </w:rPr>
            </w:pPr>
            <w:r>
              <w:rPr>
                <w:kern w:val="0"/>
                <w:szCs w:val="21"/>
                <w:lang w:bidi="ar"/>
              </w:rPr>
              <w:t>12</w:t>
            </w:r>
          </w:p>
        </w:tc>
        <w:tc>
          <w:tcPr>
            <w:tcW w:w="351" w:type="pct"/>
            <w:vMerge w:val="continue"/>
            <w:vAlign w:val="center"/>
          </w:tcPr>
          <w:p w14:paraId="71D9A3AE">
            <w:pPr>
              <w:topLinePunct/>
              <w:adjustRightInd w:val="0"/>
              <w:snapToGrid w:val="0"/>
              <w:spacing w:before="0" w:beforeLines="0" w:line="240" w:lineRule="auto"/>
              <w:jc w:val="center"/>
              <w:rPr>
                <w:kern w:val="0"/>
                <w:szCs w:val="21"/>
              </w:rPr>
            </w:pPr>
          </w:p>
        </w:tc>
        <w:tc>
          <w:tcPr>
            <w:tcW w:w="715" w:type="pct"/>
            <w:vAlign w:val="center"/>
          </w:tcPr>
          <w:p w14:paraId="45694DB6">
            <w:pPr>
              <w:spacing w:before="0" w:beforeLines="0" w:line="240" w:lineRule="auto"/>
              <w:jc w:val="center"/>
              <w:rPr>
                <w:kern w:val="0"/>
                <w:szCs w:val="21"/>
              </w:rPr>
            </w:pPr>
            <w:r>
              <w:rPr>
                <w:kern w:val="0"/>
                <w:szCs w:val="21"/>
              </w:rPr>
              <w:t>粗磁选机</w:t>
            </w:r>
          </w:p>
        </w:tc>
        <w:tc>
          <w:tcPr>
            <w:tcW w:w="206" w:type="pct"/>
            <w:vAlign w:val="center"/>
          </w:tcPr>
          <w:p w14:paraId="1CA34F2A">
            <w:pPr>
              <w:topLinePunct/>
              <w:adjustRightInd w:val="0"/>
              <w:snapToGrid w:val="0"/>
              <w:spacing w:before="0" w:beforeLines="0" w:line="240" w:lineRule="auto"/>
              <w:jc w:val="center"/>
              <w:rPr>
                <w:kern w:val="0"/>
                <w:szCs w:val="21"/>
              </w:rPr>
            </w:pPr>
            <w:r>
              <w:rPr>
                <w:kern w:val="0"/>
                <w:szCs w:val="21"/>
              </w:rPr>
              <w:t>111</w:t>
            </w:r>
          </w:p>
        </w:tc>
        <w:tc>
          <w:tcPr>
            <w:tcW w:w="203" w:type="pct"/>
            <w:vAlign w:val="center"/>
          </w:tcPr>
          <w:p w14:paraId="4020B2A2">
            <w:pPr>
              <w:topLinePunct/>
              <w:adjustRightInd w:val="0"/>
              <w:snapToGrid w:val="0"/>
              <w:spacing w:before="0" w:beforeLines="0" w:line="240" w:lineRule="auto"/>
              <w:jc w:val="center"/>
              <w:rPr>
                <w:kern w:val="0"/>
                <w:szCs w:val="21"/>
              </w:rPr>
            </w:pPr>
            <w:r>
              <w:rPr>
                <w:kern w:val="0"/>
                <w:szCs w:val="21"/>
              </w:rPr>
              <w:t>62</w:t>
            </w:r>
          </w:p>
        </w:tc>
        <w:tc>
          <w:tcPr>
            <w:tcW w:w="250" w:type="pct"/>
            <w:vAlign w:val="center"/>
          </w:tcPr>
          <w:p w14:paraId="4171C96B">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14:paraId="4548DC2C">
            <w:pPr>
              <w:topLinePunct/>
              <w:adjustRightInd w:val="0"/>
              <w:snapToGrid w:val="0"/>
              <w:spacing w:before="0" w:beforeLines="0" w:line="240" w:lineRule="auto"/>
              <w:jc w:val="center"/>
              <w:rPr>
                <w:kern w:val="0"/>
                <w:szCs w:val="21"/>
              </w:rPr>
            </w:pPr>
            <w:r>
              <w:rPr>
                <w:rFonts w:hint="eastAsia"/>
              </w:rPr>
              <w:t>85</w:t>
            </w:r>
          </w:p>
        </w:tc>
        <w:tc>
          <w:tcPr>
            <w:tcW w:w="371" w:type="pct"/>
            <w:vMerge w:val="continue"/>
            <w:vAlign w:val="center"/>
          </w:tcPr>
          <w:p w14:paraId="173356B5">
            <w:pPr>
              <w:topLinePunct/>
              <w:adjustRightInd w:val="0"/>
              <w:snapToGrid w:val="0"/>
              <w:spacing w:before="0" w:beforeLines="0" w:line="240" w:lineRule="auto"/>
              <w:jc w:val="center"/>
              <w:rPr>
                <w:kern w:val="0"/>
                <w:szCs w:val="21"/>
              </w:rPr>
            </w:pPr>
          </w:p>
        </w:tc>
        <w:tc>
          <w:tcPr>
            <w:tcW w:w="599" w:type="pct"/>
            <w:vAlign w:val="center"/>
          </w:tcPr>
          <w:p w14:paraId="2792259D">
            <w:pPr>
              <w:topLinePunct/>
              <w:adjustRightInd w:val="0"/>
              <w:snapToGrid w:val="0"/>
              <w:spacing w:before="0" w:beforeLines="0" w:line="240" w:lineRule="auto"/>
              <w:jc w:val="center"/>
              <w:rPr>
                <w:kern w:val="0"/>
                <w:szCs w:val="21"/>
              </w:rPr>
            </w:pPr>
            <w:r>
              <w:rPr>
                <w:kern w:val="0"/>
                <w:szCs w:val="21"/>
              </w:rPr>
              <w:t>24</w:t>
            </w:r>
          </w:p>
        </w:tc>
        <w:tc>
          <w:tcPr>
            <w:tcW w:w="369" w:type="pct"/>
            <w:vAlign w:val="center"/>
          </w:tcPr>
          <w:p w14:paraId="2CB9B2EE">
            <w:pPr>
              <w:topLinePunct/>
              <w:adjustRightInd w:val="0"/>
              <w:snapToGrid w:val="0"/>
              <w:spacing w:before="0" w:beforeLines="0" w:line="240" w:lineRule="auto"/>
              <w:jc w:val="center"/>
              <w:rPr>
                <w:kern w:val="0"/>
                <w:szCs w:val="21"/>
              </w:rPr>
            </w:pPr>
            <w:r>
              <w:t>47.4</w:t>
            </w:r>
          </w:p>
        </w:tc>
        <w:tc>
          <w:tcPr>
            <w:tcW w:w="339" w:type="pct"/>
            <w:vAlign w:val="center"/>
          </w:tcPr>
          <w:p w14:paraId="6B122575">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3233E0E8">
            <w:pPr>
              <w:topLinePunct/>
              <w:adjustRightInd w:val="0"/>
              <w:snapToGrid w:val="0"/>
              <w:spacing w:before="0" w:beforeLines="0" w:line="240" w:lineRule="auto"/>
              <w:jc w:val="center"/>
              <w:rPr>
                <w:kern w:val="0"/>
                <w:szCs w:val="21"/>
              </w:rPr>
            </w:pPr>
          </w:p>
        </w:tc>
        <w:tc>
          <w:tcPr>
            <w:tcW w:w="339" w:type="pct"/>
            <w:vMerge w:val="continue"/>
            <w:vAlign w:val="center"/>
          </w:tcPr>
          <w:p w14:paraId="0B47F13C">
            <w:pPr>
              <w:topLinePunct/>
              <w:adjustRightInd w:val="0"/>
              <w:snapToGrid w:val="0"/>
              <w:spacing w:before="0" w:beforeLines="0" w:line="240" w:lineRule="auto"/>
              <w:jc w:val="center"/>
              <w:rPr>
                <w:kern w:val="0"/>
                <w:szCs w:val="21"/>
              </w:rPr>
            </w:pPr>
          </w:p>
        </w:tc>
        <w:tc>
          <w:tcPr>
            <w:tcW w:w="339" w:type="pct"/>
            <w:vMerge w:val="continue"/>
            <w:vAlign w:val="center"/>
          </w:tcPr>
          <w:p w14:paraId="61FE532D">
            <w:pPr>
              <w:topLinePunct/>
              <w:adjustRightInd w:val="0"/>
              <w:snapToGrid w:val="0"/>
              <w:spacing w:before="0" w:beforeLines="0" w:line="240" w:lineRule="auto"/>
              <w:jc w:val="center"/>
              <w:rPr>
                <w:kern w:val="0"/>
                <w:szCs w:val="21"/>
              </w:rPr>
            </w:pPr>
          </w:p>
        </w:tc>
      </w:tr>
      <w:bookmarkEnd w:id="132"/>
      <w:tr w14:paraId="265540E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14:paraId="7D648754">
            <w:pPr>
              <w:widowControl/>
              <w:spacing w:before="0" w:beforeLines="0" w:line="240" w:lineRule="auto"/>
              <w:jc w:val="center"/>
              <w:textAlignment w:val="center"/>
              <w:rPr>
                <w:kern w:val="0"/>
                <w:szCs w:val="21"/>
              </w:rPr>
            </w:pPr>
            <w:r>
              <w:rPr>
                <w:kern w:val="0"/>
                <w:szCs w:val="21"/>
                <w:lang w:bidi="ar"/>
              </w:rPr>
              <w:t>13</w:t>
            </w:r>
          </w:p>
        </w:tc>
        <w:tc>
          <w:tcPr>
            <w:tcW w:w="351" w:type="pct"/>
            <w:vMerge w:val="continue"/>
            <w:vAlign w:val="center"/>
          </w:tcPr>
          <w:p w14:paraId="14A88B8B">
            <w:pPr>
              <w:topLinePunct/>
              <w:adjustRightInd w:val="0"/>
              <w:snapToGrid w:val="0"/>
              <w:spacing w:before="0" w:beforeLines="0" w:line="240" w:lineRule="auto"/>
              <w:jc w:val="center"/>
              <w:rPr>
                <w:kern w:val="0"/>
                <w:szCs w:val="21"/>
              </w:rPr>
            </w:pPr>
          </w:p>
        </w:tc>
        <w:tc>
          <w:tcPr>
            <w:tcW w:w="715" w:type="pct"/>
            <w:vAlign w:val="center"/>
          </w:tcPr>
          <w:p w14:paraId="20FE07E0">
            <w:pPr>
              <w:spacing w:before="0" w:beforeLines="0" w:line="240" w:lineRule="auto"/>
              <w:jc w:val="center"/>
              <w:rPr>
                <w:kern w:val="0"/>
                <w:szCs w:val="21"/>
              </w:rPr>
            </w:pPr>
            <w:r>
              <w:rPr>
                <w:kern w:val="0"/>
                <w:szCs w:val="21"/>
              </w:rPr>
              <w:t>粗磁选机</w:t>
            </w:r>
          </w:p>
        </w:tc>
        <w:tc>
          <w:tcPr>
            <w:tcW w:w="206" w:type="pct"/>
            <w:vAlign w:val="center"/>
          </w:tcPr>
          <w:p w14:paraId="0481D212">
            <w:pPr>
              <w:topLinePunct/>
              <w:adjustRightInd w:val="0"/>
              <w:snapToGrid w:val="0"/>
              <w:spacing w:before="0" w:beforeLines="0" w:line="240" w:lineRule="auto"/>
              <w:jc w:val="center"/>
              <w:rPr>
                <w:kern w:val="0"/>
                <w:szCs w:val="21"/>
              </w:rPr>
            </w:pPr>
            <w:r>
              <w:rPr>
                <w:kern w:val="0"/>
                <w:szCs w:val="21"/>
              </w:rPr>
              <w:t>111</w:t>
            </w:r>
          </w:p>
        </w:tc>
        <w:tc>
          <w:tcPr>
            <w:tcW w:w="203" w:type="pct"/>
            <w:vAlign w:val="center"/>
          </w:tcPr>
          <w:p w14:paraId="0364A8E7">
            <w:pPr>
              <w:topLinePunct/>
              <w:adjustRightInd w:val="0"/>
              <w:snapToGrid w:val="0"/>
              <w:spacing w:before="0" w:beforeLines="0" w:line="240" w:lineRule="auto"/>
              <w:jc w:val="center"/>
              <w:rPr>
                <w:kern w:val="0"/>
                <w:szCs w:val="21"/>
              </w:rPr>
            </w:pPr>
            <w:r>
              <w:rPr>
                <w:kern w:val="0"/>
                <w:szCs w:val="21"/>
              </w:rPr>
              <w:t>70</w:t>
            </w:r>
          </w:p>
        </w:tc>
        <w:tc>
          <w:tcPr>
            <w:tcW w:w="250" w:type="pct"/>
            <w:vAlign w:val="center"/>
          </w:tcPr>
          <w:p w14:paraId="47B04769">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14:paraId="50B06867">
            <w:pPr>
              <w:topLinePunct/>
              <w:adjustRightInd w:val="0"/>
              <w:snapToGrid w:val="0"/>
              <w:spacing w:before="0" w:beforeLines="0" w:line="240" w:lineRule="auto"/>
              <w:jc w:val="center"/>
              <w:rPr>
                <w:kern w:val="0"/>
                <w:szCs w:val="21"/>
              </w:rPr>
            </w:pPr>
            <w:r>
              <w:t>80</w:t>
            </w:r>
          </w:p>
        </w:tc>
        <w:tc>
          <w:tcPr>
            <w:tcW w:w="371" w:type="pct"/>
            <w:vMerge w:val="continue"/>
            <w:vAlign w:val="center"/>
          </w:tcPr>
          <w:p w14:paraId="1AA2086B">
            <w:pPr>
              <w:topLinePunct/>
              <w:adjustRightInd w:val="0"/>
              <w:snapToGrid w:val="0"/>
              <w:spacing w:before="0" w:beforeLines="0" w:line="240" w:lineRule="auto"/>
              <w:jc w:val="center"/>
              <w:rPr>
                <w:kern w:val="0"/>
                <w:szCs w:val="21"/>
              </w:rPr>
            </w:pPr>
          </w:p>
        </w:tc>
        <w:tc>
          <w:tcPr>
            <w:tcW w:w="599" w:type="pct"/>
            <w:vAlign w:val="center"/>
          </w:tcPr>
          <w:p w14:paraId="5529B1E8">
            <w:pPr>
              <w:topLinePunct/>
              <w:adjustRightInd w:val="0"/>
              <w:snapToGrid w:val="0"/>
              <w:spacing w:before="0" w:beforeLines="0" w:line="240" w:lineRule="auto"/>
              <w:jc w:val="center"/>
              <w:rPr>
                <w:kern w:val="0"/>
                <w:szCs w:val="21"/>
              </w:rPr>
            </w:pPr>
            <w:r>
              <w:rPr>
                <w:kern w:val="0"/>
                <w:szCs w:val="21"/>
              </w:rPr>
              <w:t>22</w:t>
            </w:r>
          </w:p>
        </w:tc>
        <w:tc>
          <w:tcPr>
            <w:tcW w:w="369" w:type="pct"/>
            <w:vAlign w:val="center"/>
          </w:tcPr>
          <w:p w14:paraId="3B9B0499">
            <w:pPr>
              <w:topLinePunct/>
              <w:adjustRightInd w:val="0"/>
              <w:snapToGrid w:val="0"/>
              <w:spacing w:before="0" w:beforeLines="0" w:line="240" w:lineRule="auto"/>
              <w:jc w:val="center"/>
              <w:rPr>
                <w:kern w:val="0"/>
                <w:szCs w:val="21"/>
              </w:rPr>
            </w:pPr>
            <w:r>
              <w:t>48.15</w:t>
            </w:r>
          </w:p>
        </w:tc>
        <w:tc>
          <w:tcPr>
            <w:tcW w:w="339" w:type="pct"/>
            <w:vAlign w:val="center"/>
          </w:tcPr>
          <w:p w14:paraId="450C29F6">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7EB2AE09">
            <w:pPr>
              <w:topLinePunct/>
              <w:adjustRightInd w:val="0"/>
              <w:snapToGrid w:val="0"/>
              <w:spacing w:before="0" w:beforeLines="0" w:line="240" w:lineRule="auto"/>
              <w:jc w:val="center"/>
              <w:rPr>
                <w:kern w:val="0"/>
                <w:szCs w:val="21"/>
              </w:rPr>
            </w:pPr>
          </w:p>
        </w:tc>
        <w:tc>
          <w:tcPr>
            <w:tcW w:w="339" w:type="pct"/>
            <w:vMerge w:val="continue"/>
            <w:vAlign w:val="center"/>
          </w:tcPr>
          <w:p w14:paraId="27CB9026">
            <w:pPr>
              <w:topLinePunct/>
              <w:adjustRightInd w:val="0"/>
              <w:snapToGrid w:val="0"/>
              <w:spacing w:before="0" w:beforeLines="0" w:line="240" w:lineRule="auto"/>
              <w:jc w:val="center"/>
              <w:rPr>
                <w:kern w:val="0"/>
                <w:szCs w:val="21"/>
              </w:rPr>
            </w:pPr>
          </w:p>
        </w:tc>
        <w:tc>
          <w:tcPr>
            <w:tcW w:w="339" w:type="pct"/>
            <w:vMerge w:val="continue"/>
            <w:vAlign w:val="center"/>
          </w:tcPr>
          <w:p w14:paraId="4765C577">
            <w:pPr>
              <w:topLinePunct/>
              <w:adjustRightInd w:val="0"/>
              <w:snapToGrid w:val="0"/>
              <w:spacing w:before="0" w:beforeLines="0" w:line="240" w:lineRule="auto"/>
              <w:jc w:val="center"/>
              <w:rPr>
                <w:kern w:val="0"/>
                <w:szCs w:val="21"/>
              </w:rPr>
            </w:pPr>
          </w:p>
        </w:tc>
      </w:tr>
      <w:tr w14:paraId="0D9B9B8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14:paraId="2FA762CA">
            <w:pPr>
              <w:widowControl/>
              <w:spacing w:before="0" w:beforeLines="0" w:line="240" w:lineRule="auto"/>
              <w:jc w:val="center"/>
              <w:textAlignment w:val="center"/>
              <w:rPr>
                <w:kern w:val="0"/>
                <w:szCs w:val="21"/>
              </w:rPr>
            </w:pPr>
            <w:r>
              <w:rPr>
                <w:kern w:val="0"/>
                <w:szCs w:val="21"/>
                <w:lang w:bidi="ar"/>
              </w:rPr>
              <w:t>14</w:t>
            </w:r>
          </w:p>
        </w:tc>
        <w:tc>
          <w:tcPr>
            <w:tcW w:w="351" w:type="pct"/>
            <w:vMerge w:val="continue"/>
            <w:vAlign w:val="center"/>
          </w:tcPr>
          <w:p w14:paraId="4385B1CE">
            <w:pPr>
              <w:topLinePunct/>
              <w:adjustRightInd w:val="0"/>
              <w:snapToGrid w:val="0"/>
              <w:spacing w:before="0" w:beforeLines="0" w:line="240" w:lineRule="auto"/>
              <w:jc w:val="center"/>
              <w:rPr>
                <w:kern w:val="0"/>
                <w:szCs w:val="21"/>
              </w:rPr>
            </w:pPr>
          </w:p>
        </w:tc>
        <w:tc>
          <w:tcPr>
            <w:tcW w:w="715" w:type="pct"/>
            <w:vAlign w:val="center"/>
          </w:tcPr>
          <w:p w14:paraId="7B02FE2E">
            <w:pPr>
              <w:spacing w:before="0" w:beforeLines="0" w:line="240" w:lineRule="auto"/>
              <w:jc w:val="center"/>
              <w:rPr>
                <w:kern w:val="0"/>
                <w:szCs w:val="21"/>
              </w:rPr>
            </w:pPr>
            <w:r>
              <w:rPr>
                <w:kern w:val="0"/>
                <w:szCs w:val="21"/>
              </w:rPr>
              <w:t>粗磁选机</w:t>
            </w:r>
          </w:p>
        </w:tc>
        <w:tc>
          <w:tcPr>
            <w:tcW w:w="206" w:type="pct"/>
            <w:vAlign w:val="center"/>
          </w:tcPr>
          <w:p w14:paraId="2FF65DCA">
            <w:pPr>
              <w:topLinePunct/>
              <w:adjustRightInd w:val="0"/>
              <w:snapToGrid w:val="0"/>
              <w:spacing w:before="0" w:beforeLines="0" w:line="240" w:lineRule="auto"/>
              <w:jc w:val="center"/>
              <w:rPr>
                <w:kern w:val="0"/>
                <w:szCs w:val="21"/>
              </w:rPr>
            </w:pPr>
            <w:r>
              <w:rPr>
                <w:kern w:val="0"/>
                <w:szCs w:val="21"/>
              </w:rPr>
              <w:t>111</w:t>
            </w:r>
          </w:p>
        </w:tc>
        <w:tc>
          <w:tcPr>
            <w:tcW w:w="203" w:type="pct"/>
            <w:vAlign w:val="center"/>
          </w:tcPr>
          <w:p w14:paraId="1978EB72">
            <w:pPr>
              <w:topLinePunct/>
              <w:adjustRightInd w:val="0"/>
              <w:snapToGrid w:val="0"/>
              <w:spacing w:before="0" w:beforeLines="0" w:line="240" w:lineRule="auto"/>
              <w:jc w:val="center"/>
              <w:rPr>
                <w:kern w:val="0"/>
                <w:szCs w:val="21"/>
              </w:rPr>
            </w:pPr>
            <w:r>
              <w:rPr>
                <w:kern w:val="0"/>
                <w:szCs w:val="21"/>
              </w:rPr>
              <w:t>77</w:t>
            </w:r>
          </w:p>
        </w:tc>
        <w:tc>
          <w:tcPr>
            <w:tcW w:w="250" w:type="pct"/>
            <w:vAlign w:val="center"/>
          </w:tcPr>
          <w:p w14:paraId="4EED3ED1">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14:paraId="7E8FBFEC">
            <w:pPr>
              <w:topLinePunct/>
              <w:adjustRightInd w:val="0"/>
              <w:snapToGrid w:val="0"/>
              <w:spacing w:before="0" w:beforeLines="0" w:line="240" w:lineRule="auto"/>
              <w:jc w:val="center"/>
              <w:rPr>
                <w:kern w:val="0"/>
                <w:szCs w:val="21"/>
              </w:rPr>
            </w:pPr>
            <w:r>
              <w:rPr>
                <w:rFonts w:hint="eastAsia"/>
              </w:rPr>
              <w:t>85</w:t>
            </w:r>
          </w:p>
        </w:tc>
        <w:tc>
          <w:tcPr>
            <w:tcW w:w="371" w:type="pct"/>
            <w:vMerge w:val="continue"/>
            <w:vAlign w:val="center"/>
          </w:tcPr>
          <w:p w14:paraId="6BC2C56E">
            <w:pPr>
              <w:topLinePunct/>
              <w:adjustRightInd w:val="0"/>
              <w:snapToGrid w:val="0"/>
              <w:spacing w:before="0" w:beforeLines="0" w:line="240" w:lineRule="auto"/>
              <w:jc w:val="center"/>
              <w:rPr>
                <w:kern w:val="0"/>
                <w:szCs w:val="21"/>
              </w:rPr>
            </w:pPr>
          </w:p>
        </w:tc>
        <w:tc>
          <w:tcPr>
            <w:tcW w:w="599" w:type="pct"/>
            <w:vAlign w:val="center"/>
          </w:tcPr>
          <w:p w14:paraId="2A1D012D">
            <w:pPr>
              <w:topLinePunct/>
              <w:adjustRightInd w:val="0"/>
              <w:snapToGrid w:val="0"/>
              <w:spacing w:before="0" w:beforeLines="0" w:line="240" w:lineRule="auto"/>
              <w:jc w:val="center"/>
              <w:rPr>
                <w:kern w:val="0"/>
                <w:szCs w:val="21"/>
              </w:rPr>
            </w:pPr>
            <w:r>
              <w:rPr>
                <w:kern w:val="0"/>
                <w:szCs w:val="21"/>
              </w:rPr>
              <w:t>23</w:t>
            </w:r>
          </w:p>
        </w:tc>
        <w:tc>
          <w:tcPr>
            <w:tcW w:w="369" w:type="pct"/>
            <w:vAlign w:val="center"/>
          </w:tcPr>
          <w:p w14:paraId="35C2EAB3">
            <w:pPr>
              <w:topLinePunct/>
              <w:adjustRightInd w:val="0"/>
              <w:snapToGrid w:val="0"/>
              <w:spacing w:before="0" w:beforeLines="0" w:line="240" w:lineRule="auto"/>
              <w:jc w:val="center"/>
              <w:rPr>
                <w:kern w:val="0"/>
                <w:szCs w:val="21"/>
              </w:rPr>
            </w:pPr>
            <w:r>
              <w:t>47.77</w:t>
            </w:r>
          </w:p>
        </w:tc>
        <w:tc>
          <w:tcPr>
            <w:tcW w:w="339" w:type="pct"/>
            <w:vAlign w:val="center"/>
          </w:tcPr>
          <w:p w14:paraId="11B29638">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0B3996DF">
            <w:pPr>
              <w:topLinePunct/>
              <w:adjustRightInd w:val="0"/>
              <w:snapToGrid w:val="0"/>
              <w:spacing w:before="0" w:beforeLines="0" w:line="240" w:lineRule="auto"/>
              <w:jc w:val="center"/>
              <w:rPr>
                <w:kern w:val="0"/>
                <w:szCs w:val="21"/>
              </w:rPr>
            </w:pPr>
          </w:p>
        </w:tc>
        <w:tc>
          <w:tcPr>
            <w:tcW w:w="339" w:type="pct"/>
            <w:vMerge w:val="continue"/>
            <w:vAlign w:val="center"/>
          </w:tcPr>
          <w:p w14:paraId="3B5DA927">
            <w:pPr>
              <w:topLinePunct/>
              <w:adjustRightInd w:val="0"/>
              <w:snapToGrid w:val="0"/>
              <w:spacing w:before="0" w:beforeLines="0" w:line="240" w:lineRule="auto"/>
              <w:jc w:val="center"/>
              <w:rPr>
                <w:kern w:val="0"/>
                <w:szCs w:val="21"/>
              </w:rPr>
            </w:pPr>
          </w:p>
        </w:tc>
        <w:tc>
          <w:tcPr>
            <w:tcW w:w="339" w:type="pct"/>
            <w:vMerge w:val="continue"/>
            <w:vAlign w:val="center"/>
          </w:tcPr>
          <w:p w14:paraId="132F033B">
            <w:pPr>
              <w:topLinePunct/>
              <w:adjustRightInd w:val="0"/>
              <w:snapToGrid w:val="0"/>
              <w:spacing w:before="0" w:beforeLines="0" w:line="240" w:lineRule="auto"/>
              <w:jc w:val="center"/>
              <w:rPr>
                <w:kern w:val="0"/>
                <w:szCs w:val="21"/>
              </w:rPr>
            </w:pPr>
          </w:p>
        </w:tc>
      </w:tr>
      <w:tr w14:paraId="0A8630B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14:paraId="25AAE450">
            <w:pPr>
              <w:widowControl/>
              <w:spacing w:before="0" w:beforeLines="0" w:line="240" w:lineRule="auto"/>
              <w:jc w:val="center"/>
              <w:textAlignment w:val="center"/>
              <w:rPr>
                <w:kern w:val="0"/>
                <w:szCs w:val="21"/>
              </w:rPr>
            </w:pPr>
            <w:r>
              <w:rPr>
                <w:kern w:val="0"/>
                <w:szCs w:val="21"/>
                <w:lang w:bidi="ar"/>
              </w:rPr>
              <w:t>15</w:t>
            </w:r>
          </w:p>
        </w:tc>
        <w:tc>
          <w:tcPr>
            <w:tcW w:w="351" w:type="pct"/>
            <w:vMerge w:val="continue"/>
            <w:vAlign w:val="center"/>
          </w:tcPr>
          <w:p w14:paraId="2805891C">
            <w:pPr>
              <w:topLinePunct/>
              <w:adjustRightInd w:val="0"/>
              <w:snapToGrid w:val="0"/>
              <w:spacing w:before="0" w:beforeLines="0" w:line="240" w:lineRule="auto"/>
              <w:jc w:val="center"/>
              <w:rPr>
                <w:kern w:val="0"/>
                <w:szCs w:val="21"/>
              </w:rPr>
            </w:pPr>
          </w:p>
        </w:tc>
        <w:tc>
          <w:tcPr>
            <w:tcW w:w="715" w:type="pct"/>
            <w:vAlign w:val="center"/>
          </w:tcPr>
          <w:p w14:paraId="7769CBEA">
            <w:pPr>
              <w:spacing w:before="0" w:beforeLines="0" w:line="240" w:lineRule="auto"/>
              <w:jc w:val="center"/>
              <w:rPr>
                <w:kern w:val="0"/>
                <w:szCs w:val="21"/>
              </w:rPr>
            </w:pPr>
            <w:r>
              <w:rPr>
                <w:kern w:val="0"/>
                <w:szCs w:val="21"/>
              </w:rPr>
              <w:t>粗磁选机</w:t>
            </w:r>
          </w:p>
        </w:tc>
        <w:tc>
          <w:tcPr>
            <w:tcW w:w="206" w:type="pct"/>
            <w:vAlign w:val="center"/>
          </w:tcPr>
          <w:p w14:paraId="6CC1BED0">
            <w:pPr>
              <w:topLinePunct/>
              <w:adjustRightInd w:val="0"/>
              <w:snapToGrid w:val="0"/>
              <w:spacing w:before="0" w:beforeLines="0" w:line="240" w:lineRule="auto"/>
              <w:jc w:val="center"/>
              <w:rPr>
                <w:kern w:val="0"/>
                <w:szCs w:val="21"/>
              </w:rPr>
            </w:pPr>
            <w:r>
              <w:rPr>
                <w:kern w:val="0"/>
                <w:szCs w:val="21"/>
              </w:rPr>
              <w:t>111</w:t>
            </w:r>
          </w:p>
        </w:tc>
        <w:tc>
          <w:tcPr>
            <w:tcW w:w="203" w:type="pct"/>
            <w:vAlign w:val="center"/>
          </w:tcPr>
          <w:p w14:paraId="5FC21A9C">
            <w:pPr>
              <w:topLinePunct/>
              <w:adjustRightInd w:val="0"/>
              <w:snapToGrid w:val="0"/>
              <w:spacing w:before="0" w:beforeLines="0" w:line="240" w:lineRule="auto"/>
              <w:jc w:val="center"/>
              <w:rPr>
                <w:kern w:val="0"/>
                <w:szCs w:val="21"/>
              </w:rPr>
            </w:pPr>
            <w:r>
              <w:rPr>
                <w:kern w:val="0"/>
                <w:szCs w:val="21"/>
              </w:rPr>
              <w:t>85</w:t>
            </w:r>
          </w:p>
        </w:tc>
        <w:tc>
          <w:tcPr>
            <w:tcW w:w="250" w:type="pct"/>
            <w:vAlign w:val="center"/>
          </w:tcPr>
          <w:p w14:paraId="3483C5FD">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14:paraId="3E4F434B">
            <w:pPr>
              <w:topLinePunct/>
              <w:adjustRightInd w:val="0"/>
              <w:snapToGrid w:val="0"/>
              <w:spacing w:before="0" w:beforeLines="0" w:line="240" w:lineRule="auto"/>
              <w:jc w:val="center"/>
              <w:rPr>
                <w:kern w:val="0"/>
                <w:szCs w:val="21"/>
              </w:rPr>
            </w:pPr>
            <w:r>
              <w:rPr>
                <w:rFonts w:hint="eastAsia"/>
              </w:rPr>
              <w:t>85</w:t>
            </w:r>
          </w:p>
        </w:tc>
        <w:tc>
          <w:tcPr>
            <w:tcW w:w="371" w:type="pct"/>
            <w:vMerge w:val="continue"/>
            <w:vAlign w:val="center"/>
          </w:tcPr>
          <w:p w14:paraId="01D5598F">
            <w:pPr>
              <w:topLinePunct/>
              <w:adjustRightInd w:val="0"/>
              <w:snapToGrid w:val="0"/>
              <w:spacing w:before="0" w:beforeLines="0" w:line="240" w:lineRule="auto"/>
              <w:jc w:val="center"/>
              <w:rPr>
                <w:kern w:val="0"/>
                <w:szCs w:val="21"/>
              </w:rPr>
            </w:pPr>
          </w:p>
        </w:tc>
        <w:tc>
          <w:tcPr>
            <w:tcW w:w="599" w:type="pct"/>
            <w:vAlign w:val="center"/>
          </w:tcPr>
          <w:p w14:paraId="70D97719">
            <w:pPr>
              <w:topLinePunct/>
              <w:adjustRightInd w:val="0"/>
              <w:snapToGrid w:val="0"/>
              <w:spacing w:before="0" w:beforeLines="0" w:line="240" w:lineRule="auto"/>
              <w:jc w:val="center"/>
              <w:rPr>
                <w:kern w:val="0"/>
                <w:szCs w:val="21"/>
              </w:rPr>
            </w:pPr>
            <w:r>
              <w:rPr>
                <w:kern w:val="0"/>
                <w:szCs w:val="21"/>
              </w:rPr>
              <w:t>27</w:t>
            </w:r>
          </w:p>
        </w:tc>
        <w:tc>
          <w:tcPr>
            <w:tcW w:w="369" w:type="pct"/>
            <w:vAlign w:val="center"/>
          </w:tcPr>
          <w:p w14:paraId="61BAE41B">
            <w:pPr>
              <w:topLinePunct/>
              <w:adjustRightInd w:val="0"/>
              <w:snapToGrid w:val="0"/>
              <w:spacing w:before="0" w:beforeLines="0" w:line="240" w:lineRule="auto"/>
              <w:jc w:val="center"/>
              <w:rPr>
                <w:kern w:val="0"/>
                <w:szCs w:val="21"/>
              </w:rPr>
            </w:pPr>
            <w:r>
              <w:t>46.37</w:t>
            </w:r>
          </w:p>
        </w:tc>
        <w:tc>
          <w:tcPr>
            <w:tcW w:w="339" w:type="pct"/>
            <w:vAlign w:val="center"/>
          </w:tcPr>
          <w:p w14:paraId="59CDD179">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47E9FDDA">
            <w:pPr>
              <w:topLinePunct/>
              <w:adjustRightInd w:val="0"/>
              <w:snapToGrid w:val="0"/>
              <w:spacing w:before="0" w:beforeLines="0" w:line="240" w:lineRule="auto"/>
              <w:jc w:val="center"/>
              <w:rPr>
                <w:kern w:val="0"/>
                <w:szCs w:val="21"/>
              </w:rPr>
            </w:pPr>
          </w:p>
        </w:tc>
        <w:tc>
          <w:tcPr>
            <w:tcW w:w="339" w:type="pct"/>
            <w:vMerge w:val="continue"/>
            <w:vAlign w:val="center"/>
          </w:tcPr>
          <w:p w14:paraId="76BC6770">
            <w:pPr>
              <w:topLinePunct/>
              <w:adjustRightInd w:val="0"/>
              <w:snapToGrid w:val="0"/>
              <w:spacing w:before="0" w:beforeLines="0" w:line="240" w:lineRule="auto"/>
              <w:jc w:val="center"/>
              <w:rPr>
                <w:kern w:val="0"/>
                <w:szCs w:val="21"/>
              </w:rPr>
            </w:pPr>
          </w:p>
        </w:tc>
        <w:tc>
          <w:tcPr>
            <w:tcW w:w="339" w:type="pct"/>
            <w:vMerge w:val="continue"/>
            <w:vAlign w:val="center"/>
          </w:tcPr>
          <w:p w14:paraId="34D92C53">
            <w:pPr>
              <w:topLinePunct/>
              <w:adjustRightInd w:val="0"/>
              <w:snapToGrid w:val="0"/>
              <w:spacing w:before="0" w:beforeLines="0" w:line="240" w:lineRule="auto"/>
              <w:jc w:val="center"/>
              <w:rPr>
                <w:kern w:val="0"/>
                <w:szCs w:val="21"/>
              </w:rPr>
            </w:pPr>
          </w:p>
        </w:tc>
      </w:tr>
      <w:tr w14:paraId="769AFB3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14:paraId="590797AC">
            <w:pPr>
              <w:widowControl/>
              <w:spacing w:before="0" w:beforeLines="0" w:line="240" w:lineRule="auto"/>
              <w:jc w:val="center"/>
              <w:textAlignment w:val="center"/>
              <w:rPr>
                <w:kern w:val="0"/>
                <w:szCs w:val="21"/>
              </w:rPr>
            </w:pPr>
            <w:r>
              <w:rPr>
                <w:kern w:val="0"/>
                <w:szCs w:val="21"/>
                <w:lang w:bidi="ar"/>
              </w:rPr>
              <w:t>16</w:t>
            </w:r>
          </w:p>
        </w:tc>
        <w:tc>
          <w:tcPr>
            <w:tcW w:w="351" w:type="pct"/>
            <w:vMerge w:val="continue"/>
            <w:vAlign w:val="center"/>
          </w:tcPr>
          <w:p w14:paraId="13528E5C">
            <w:pPr>
              <w:topLinePunct/>
              <w:adjustRightInd w:val="0"/>
              <w:snapToGrid w:val="0"/>
              <w:spacing w:before="0" w:beforeLines="0" w:line="240" w:lineRule="auto"/>
              <w:jc w:val="center"/>
              <w:rPr>
                <w:kern w:val="0"/>
                <w:szCs w:val="21"/>
              </w:rPr>
            </w:pPr>
          </w:p>
        </w:tc>
        <w:tc>
          <w:tcPr>
            <w:tcW w:w="715" w:type="pct"/>
            <w:vAlign w:val="center"/>
          </w:tcPr>
          <w:p w14:paraId="612C0FF9">
            <w:pPr>
              <w:spacing w:before="0" w:beforeLines="0" w:line="240" w:lineRule="auto"/>
              <w:jc w:val="center"/>
              <w:rPr>
                <w:kern w:val="0"/>
                <w:szCs w:val="21"/>
              </w:rPr>
            </w:pPr>
            <w:r>
              <w:rPr>
                <w:kern w:val="0"/>
                <w:szCs w:val="21"/>
                <w:lang w:bidi="ar"/>
              </w:rPr>
              <w:t>抛砂分离机</w:t>
            </w:r>
          </w:p>
        </w:tc>
        <w:tc>
          <w:tcPr>
            <w:tcW w:w="206" w:type="pct"/>
            <w:vAlign w:val="center"/>
          </w:tcPr>
          <w:p w14:paraId="76430FB9">
            <w:pPr>
              <w:topLinePunct/>
              <w:adjustRightInd w:val="0"/>
              <w:snapToGrid w:val="0"/>
              <w:spacing w:before="0" w:beforeLines="0" w:line="240" w:lineRule="auto"/>
              <w:jc w:val="center"/>
              <w:rPr>
                <w:kern w:val="0"/>
                <w:szCs w:val="21"/>
              </w:rPr>
            </w:pPr>
            <w:r>
              <w:rPr>
                <w:kern w:val="0"/>
                <w:szCs w:val="21"/>
              </w:rPr>
              <w:t>104</w:t>
            </w:r>
          </w:p>
        </w:tc>
        <w:tc>
          <w:tcPr>
            <w:tcW w:w="203" w:type="pct"/>
            <w:vAlign w:val="center"/>
          </w:tcPr>
          <w:p w14:paraId="05BF1257">
            <w:pPr>
              <w:topLinePunct/>
              <w:adjustRightInd w:val="0"/>
              <w:snapToGrid w:val="0"/>
              <w:spacing w:before="0" w:beforeLines="0" w:line="240" w:lineRule="auto"/>
              <w:jc w:val="center"/>
              <w:rPr>
                <w:kern w:val="0"/>
                <w:szCs w:val="21"/>
              </w:rPr>
            </w:pPr>
            <w:r>
              <w:rPr>
                <w:kern w:val="0"/>
                <w:szCs w:val="21"/>
              </w:rPr>
              <w:t>54</w:t>
            </w:r>
          </w:p>
        </w:tc>
        <w:tc>
          <w:tcPr>
            <w:tcW w:w="250" w:type="pct"/>
            <w:vAlign w:val="center"/>
          </w:tcPr>
          <w:p w14:paraId="0E2F36E6">
            <w:pPr>
              <w:topLinePunct/>
              <w:adjustRightInd w:val="0"/>
              <w:snapToGrid w:val="0"/>
              <w:spacing w:before="0" w:beforeLines="0" w:line="240" w:lineRule="auto"/>
              <w:jc w:val="center"/>
              <w:rPr>
                <w:kern w:val="0"/>
                <w:szCs w:val="21"/>
              </w:rPr>
            </w:pPr>
            <w:r>
              <w:rPr>
                <w:kern w:val="0"/>
                <w:szCs w:val="21"/>
              </w:rPr>
              <w:t>2</w:t>
            </w:r>
          </w:p>
        </w:tc>
        <w:tc>
          <w:tcPr>
            <w:tcW w:w="384" w:type="pct"/>
            <w:vAlign w:val="center"/>
          </w:tcPr>
          <w:p w14:paraId="4459DE3C">
            <w:pPr>
              <w:topLinePunct/>
              <w:adjustRightInd w:val="0"/>
              <w:snapToGrid w:val="0"/>
              <w:spacing w:before="0" w:beforeLines="0" w:line="240" w:lineRule="auto"/>
              <w:jc w:val="center"/>
              <w:rPr>
                <w:kern w:val="0"/>
                <w:szCs w:val="21"/>
              </w:rPr>
            </w:pPr>
            <w:r>
              <w:rPr>
                <w:kern w:val="0"/>
                <w:szCs w:val="21"/>
              </w:rPr>
              <w:t>80</w:t>
            </w:r>
          </w:p>
        </w:tc>
        <w:tc>
          <w:tcPr>
            <w:tcW w:w="371" w:type="pct"/>
            <w:vMerge w:val="continue"/>
            <w:vAlign w:val="center"/>
          </w:tcPr>
          <w:p w14:paraId="46AF84FB">
            <w:pPr>
              <w:topLinePunct/>
              <w:adjustRightInd w:val="0"/>
              <w:snapToGrid w:val="0"/>
              <w:spacing w:before="0" w:beforeLines="0" w:line="240" w:lineRule="auto"/>
              <w:jc w:val="center"/>
              <w:rPr>
                <w:kern w:val="0"/>
                <w:szCs w:val="21"/>
              </w:rPr>
            </w:pPr>
          </w:p>
        </w:tc>
        <w:tc>
          <w:tcPr>
            <w:tcW w:w="599" w:type="pct"/>
            <w:vAlign w:val="center"/>
          </w:tcPr>
          <w:p w14:paraId="568D5B36">
            <w:pPr>
              <w:topLinePunct/>
              <w:adjustRightInd w:val="0"/>
              <w:snapToGrid w:val="0"/>
              <w:spacing w:before="0" w:beforeLines="0" w:line="240" w:lineRule="auto"/>
              <w:jc w:val="center"/>
              <w:rPr>
                <w:kern w:val="0"/>
                <w:szCs w:val="21"/>
              </w:rPr>
            </w:pPr>
            <w:r>
              <w:rPr>
                <w:kern w:val="0"/>
                <w:szCs w:val="21"/>
              </w:rPr>
              <w:t>22</w:t>
            </w:r>
          </w:p>
        </w:tc>
        <w:tc>
          <w:tcPr>
            <w:tcW w:w="369" w:type="pct"/>
            <w:vAlign w:val="center"/>
          </w:tcPr>
          <w:p w14:paraId="07F11225">
            <w:pPr>
              <w:topLinePunct/>
              <w:adjustRightInd w:val="0"/>
              <w:snapToGrid w:val="0"/>
              <w:spacing w:before="0" w:beforeLines="0" w:line="240" w:lineRule="auto"/>
              <w:jc w:val="center"/>
              <w:rPr>
                <w:kern w:val="0"/>
                <w:szCs w:val="21"/>
              </w:rPr>
            </w:pPr>
            <w:r>
              <w:t>58.15</w:t>
            </w:r>
          </w:p>
        </w:tc>
        <w:tc>
          <w:tcPr>
            <w:tcW w:w="339" w:type="pct"/>
            <w:vAlign w:val="center"/>
          </w:tcPr>
          <w:p w14:paraId="4651BBA8">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4898E7EF">
            <w:pPr>
              <w:topLinePunct/>
              <w:adjustRightInd w:val="0"/>
              <w:snapToGrid w:val="0"/>
              <w:spacing w:before="0" w:beforeLines="0" w:line="240" w:lineRule="auto"/>
              <w:jc w:val="center"/>
              <w:rPr>
                <w:kern w:val="0"/>
                <w:szCs w:val="21"/>
              </w:rPr>
            </w:pPr>
          </w:p>
        </w:tc>
        <w:tc>
          <w:tcPr>
            <w:tcW w:w="339" w:type="pct"/>
            <w:vMerge w:val="continue"/>
            <w:vAlign w:val="center"/>
          </w:tcPr>
          <w:p w14:paraId="2D0695BD">
            <w:pPr>
              <w:topLinePunct/>
              <w:adjustRightInd w:val="0"/>
              <w:snapToGrid w:val="0"/>
              <w:spacing w:before="0" w:beforeLines="0" w:line="240" w:lineRule="auto"/>
              <w:jc w:val="center"/>
              <w:rPr>
                <w:kern w:val="0"/>
                <w:szCs w:val="21"/>
              </w:rPr>
            </w:pPr>
          </w:p>
        </w:tc>
        <w:tc>
          <w:tcPr>
            <w:tcW w:w="339" w:type="pct"/>
            <w:vMerge w:val="continue"/>
            <w:vAlign w:val="center"/>
          </w:tcPr>
          <w:p w14:paraId="70AB4C4C">
            <w:pPr>
              <w:topLinePunct/>
              <w:adjustRightInd w:val="0"/>
              <w:snapToGrid w:val="0"/>
              <w:spacing w:before="0" w:beforeLines="0" w:line="240" w:lineRule="auto"/>
              <w:jc w:val="center"/>
              <w:rPr>
                <w:kern w:val="0"/>
                <w:szCs w:val="21"/>
              </w:rPr>
            </w:pPr>
          </w:p>
        </w:tc>
      </w:tr>
      <w:tr w14:paraId="26B0F34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14:paraId="32A54846">
            <w:pPr>
              <w:widowControl/>
              <w:spacing w:before="0" w:beforeLines="0" w:line="240" w:lineRule="auto"/>
              <w:jc w:val="center"/>
              <w:textAlignment w:val="center"/>
              <w:rPr>
                <w:kern w:val="0"/>
                <w:szCs w:val="21"/>
              </w:rPr>
            </w:pPr>
            <w:r>
              <w:rPr>
                <w:kern w:val="0"/>
                <w:szCs w:val="21"/>
                <w:lang w:bidi="ar"/>
              </w:rPr>
              <w:t>17</w:t>
            </w:r>
          </w:p>
        </w:tc>
        <w:tc>
          <w:tcPr>
            <w:tcW w:w="351" w:type="pct"/>
            <w:vMerge w:val="continue"/>
            <w:vAlign w:val="center"/>
          </w:tcPr>
          <w:p w14:paraId="09D27BAD">
            <w:pPr>
              <w:topLinePunct/>
              <w:adjustRightInd w:val="0"/>
              <w:snapToGrid w:val="0"/>
              <w:spacing w:before="0" w:beforeLines="0" w:line="240" w:lineRule="auto"/>
              <w:jc w:val="center"/>
              <w:rPr>
                <w:kern w:val="0"/>
                <w:szCs w:val="21"/>
              </w:rPr>
            </w:pPr>
          </w:p>
        </w:tc>
        <w:tc>
          <w:tcPr>
            <w:tcW w:w="715" w:type="pct"/>
            <w:vAlign w:val="center"/>
          </w:tcPr>
          <w:p w14:paraId="6ADF51F2">
            <w:pPr>
              <w:spacing w:before="0" w:beforeLines="0" w:line="240" w:lineRule="auto"/>
              <w:jc w:val="center"/>
              <w:rPr>
                <w:kern w:val="0"/>
                <w:szCs w:val="21"/>
              </w:rPr>
            </w:pPr>
            <w:r>
              <w:rPr>
                <w:kern w:val="0"/>
                <w:szCs w:val="21"/>
                <w:lang w:bidi="ar"/>
              </w:rPr>
              <w:t>抛砂分离机</w:t>
            </w:r>
          </w:p>
        </w:tc>
        <w:tc>
          <w:tcPr>
            <w:tcW w:w="206" w:type="pct"/>
            <w:vAlign w:val="center"/>
          </w:tcPr>
          <w:p w14:paraId="7E479649">
            <w:pPr>
              <w:topLinePunct/>
              <w:adjustRightInd w:val="0"/>
              <w:snapToGrid w:val="0"/>
              <w:spacing w:before="0" w:beforeLines="0" w:line="240" w:lineRule="auto"/>
              <w:jc w:val="center"/>
              <w:rPr>
                <w:kern w:val="0"/>
                <w:szCs w:val="21"/>
              </w:rPr>
            </w:pPr>
            <w:r>
              <w:rPr>
                <w:kern w:val="0"/>
                <w:szCs w:val="21"/>
              </w:rPr>
              <w:t>104</w:t>
            </w:r>
          </w:p>
        </w:tc>
        <w:tc>
          <w:tcPr>
            <w:tcW w:w="203" w:type="pct"/>
            <w:vAlign w:val="center"/>
          </w:tcPr>
          <w:p w14:paraId="1B5D7731">
            <w:pPr>
              <w:topLinePunct/>
              <w:adjustRightInd w:val="0"/>
              <w:snapToGrid w:val="0"/>
              <w:spacing w:before="0" w:beforeLines="0" w:line="240" w:lineRule="auto"/>
              <w:jc w:val="center"/>
              <w:rPr>
                <w:kern w:val="0"/>
                <w:szCs w:val="21"/>
              </w:rPr>
            </w:pPr>
            <w:r>
              <w:rPr>
                <w:kern w:val="0"/>
                <w:szCs w:val="21"/>
              </w:rPr>
              <w:t>62</w:t>
            </w:r>
          </w:p>
        </w:tc>
        <w:tc>
          <w:tcPr>
            <w:tcW w:w="250" w:type="pct"/>
            <w:vAlign w:val="center"/>
          </w:tcPr>
          <w:p w14:paraId="6BB25243">
            <w:pPr>
              <w:topLinePunct/>
              <w:adjustRightInd w:val="0"/>
              <w:snapToGrid w:val="0"/>
              <w:spacing w:before="0" w:beforeLines="0" w:line="240" w:lineRule="auto"/>
              <w:jc w:val="center"/>
              <w:rPr>
                <w:kern w:val="0"/>
                <w:szCs w:val="21"/>
              </w:rPr>
            </w:pPr>
            <w:r>
              <w:rPr>
                <w:kern w:val="0"/>
                <w:szCs w:val="21"/>
              </w:rPr>
              <w:t>2</w:t>
            </w:r>
          </w:p>
        </w:tc>
        <w:tc>
          <w:tcPr>
            <w:tcW w:w="384" w:type="pct"/>
            <w:vAlign w:val="center"/>
          </w:tcPr>
          <w:p w14:paraId="330ACEC6">
            <w:pPr>
              <w:topLinePunct/>
              <w:adjustRightInd w:val="0"/>
              <w:snapToGrid w:val="0"/>
              <w:spacing w:before="0" w:beforeLines="0" w:line="240" w:lineRule="auto"/>
              <w:jc w:val="center"/>
              <w:rPr>
                <w:kern w:val="0"/>
                <w:szCs w:val="21"/>
              </w:rPr>
            </w:pPr>
            <w:r>
              <w:rPr>
                <w:kern w:val="0"/>
                <w:szCs w:val="21"/>
              </w:rPr>
              <w:t>80</w:t>
            </w:r>
          </w:p>
        </w:tc>
        <w:tc>
          <w:tcPr>
            <w:tcW w:w="371" w:type="pct"/>
            <w:vMerge w:val="continue"/>
            <w:vAlign w:val="center"/>
          </w:tcPr>
          <w:p w14:paraId="40AB5447">
            <w:pPr>
              <w:topLinePunct/>
              <w:adjustRightInd w:val="0"/>
              <w:snapToGrid w:val="0"/>
              <w:spacing w:before="0" w:beforeLines="0" w:line="240" w:lineRule="auto"/>
              <w:jc w:val="center"/>
              <w:rPr>
                <w:kern w:val="0"/>
                <w:szCs w:val="21"/>
              </w:rPr>
            </w:pPr>
          </w:p>
        </w:tc>
        <w:tc>
          <w:tcPr>
            <w:tcW w:w="599" w:type="pct"/>
            <w:vAlign w:val="center"/>
          </w:tcPr>
          <w:p w14:paraId="07CCF32D">
            <w:pPr>
              <w:topLinePunct/>
              <w:adjustRightInd w:val="0"/>
              <w:snapToGrid w:val="0"/>
              <w:spacing w:before="0" w:beforeLines="0" w:line="240" w:lineRule="auto"/>
              <w:jc w:val="center"/>
              <w:rPr>
                <w:kern w:val="0"/>
                <w:szCs w:val="21"/>
              </w:rPr>
            </w:pPr>
            <w:r>
              <w:rPr>
                <w:kern w:val="0"/>
                <w:szCs w:val="21"/>
              </w:rPr>
              <w:t>18</w:t>
            </w:r>
          </w:p>
        </w:tc>
        <w:tc>
          <w:tcPr>
            <w:tcW w:w="369" w:type="pct"/>
            <w:vAlign w:val="center"/>
          </w:tcPr>
          <w:p w14:paraId="5C99AE7B">
            <w:pPr>
              <w:topLinePunct/>
              <w:adjustRightInd w:val="0"/>
              <w:snapToGrid w:val="0"/>
              <w:spacing w:before="0" w:beforeLines="0" w:line="240" w:lineRule="auto"/>
              <w:jc w:val="center"/>
              <w:rPr>
                <w:kern w:val="0"/>
                <w:szCs w:val="21"/>
              </w:rPr>
            </w:pPr>
            <w:r>
              <w:t>59.89</w:t>
            </w:r>
          </w:p>
        </w:tc>
        <w:tc>
          <w:tcPr>
            <w:tcW w:w="339" w:type="pct"/>
            <w:vAlign w:val="center"/>
          </w:tcPr>
          <w:p w14:paraId="0EC79A2D">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1A725CA2">
            <w:pPr>
              <w:topLinePunct/>
              <w:adjustRightInd w:val="0"/>
              <w:snapToGrid w:val="0"/>
              <w:spacing w:before="0" w:beforeLines="0" w:line="240" w:lineRule="auto"/>
              <w:jc w:val="center"/>
              <w:rPr>
                <w:kern w:val="0"/>
                <w:szCs w:val="21"/>
              </w:rPr>
            </w:pPr>
          </w:p>
        </w:tc>
        <w:tc>
          <w:tcPr>
            <w:tcW w:w="339" w:type="pct"/>
            <w:vMerge w:val="continue"/>
            <w:vAlign w:val="center"/>
          </w:tcPr>
          <w:p w14:paraId="305873BE">
            <w:pPr>
              <w:topLinePunct/>
              <w:adjustRightInd w:val="0"/>
              <w:snapToGrid w:val="0"/>
              <w:spacing w:before="0" w:beforeLines="0" w:line="240" w:lineRule="auto"/>
              <w:jc w:val="center"/>
              <w:rPr>
                <w:kern w:val="0"/>
                <w:szCs w:val="21"/>
              </w:rPr>
            </w:pPr>
          </w:p>
        </w:tc>
        <w:tc>
          <w:tcPr>
            <w:tcW w:w="339" w:type="pct"/>
            <w:vMerge w:val="continue"/>
            <w:vAlign w:val="center"/>
          </w:tcPr>
          <w:p w14:paraId="4C5CFF0A">
            <w:pPr>
              <w:topLinePunct/>
              <w:adjustRightInd w:val="0"/>
              <w:snapToGrid w:val="0"/>
              <w:spacing w:before="0" w:beforeLines="0" w:line="240" w:lineRule="auto"/>
              <w:jc w:val="center"/>
              <w:rPr>
                <w:kern w:val="0"/>
                <w:szCs w:val="21"/>
              </w:rPr>
            </w:pPr>
          </w:p>
        </w:tc>
      </w:tr>
      <w:tr w14:paraId="56CFF99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14:paraId="6D70EF89">
            <w:pPr>
              <w:widowControl/>
              <w:spacing w:before="0" w:beforeLines="0" w:line="240" w:lineRule="auto"/>
              <w:jc w:val="center"/>
              <w:textAlignment w:val="center"/>
              <w:rPr>
                <w:kern w:val="0"/>
                <w:szCs w:val="21"/>
              </w:rPr>
            </w:pPr>
            <w:r>
              <w:rPr>
                <w:kern w:val="0"/>
                <w:szCs w:val="21"/>
                <w:lang w:bidi="ar"/>
              </w:rPr>
              <w:t>18</w:t>
            </w:r>
          </w:p>
        </w:tc>
        <w:tc>
          <w:tcPr>
            <w:tcW w:w="351" w:type="pct"/>
            <w:vMerge w:val="continue"/>
            <w:vAlign w:val="center"/>
          </w:tcPr>
          <w:p w14:paraId="20A23C54">
            <w:pPr>
              <w:topLinePunct/>
              <w:adjustRightInd w:val="0"/>
              <w:snapToGrid w:val="0"/>
              <w:spacing w:before="0" w:beforeLines="0" w:line="240" w:lineRule="auto"/>
              <w:jc w:val="center"/>
              <w:rPr>
                <w:kern w:val="0"/>
                <w:szCs w:val="21"/>
              </w:rPr>
            </w:pPr>
          </w:p>
        </w:tc>
        <w:tc>
          <w:tcPr>
            <w:tcW w:w="715" w:type="pct"/>
            <w:vAlign w:val="center"/>
          </w:tcPr>
          <w:p w14:paraId="0AF1292D">
            <w:pPr>
              <w:spacing w:before="0" w:beforeLines="0" w:line="240" w:lineRule="auto"/>
              <w:jc w:val="center"/>
              <w:rPr>
                <w:kern w:val="0"/>
                <w:szCs w:val="21"/>
              </w:rPr>
            </w:pPr>
            <w:r>
              <w:rPr>
                <w:kern w:val="0"/>
                <w:szCs w:val="21"/>
                <w:lang w:bidi="ar"/>
              </w:rPr>
              <w:t>抛砂分离机</w:t>
            </w:r>
          </w:p>
        </w:tc>
        <w:tc>
          <w:tcPr>
            <w:tcW w:w="206" w:type="pct"/>
            <w:vAlign w:val="center"/>
          </w:tcPr>
          <w:p w14:paraId="0F473B51">
            <w:pPr>
              <w:topLinePunct/>
              <w:adjustRightInd w:val="0"/>
              <w:snapToGrid w:val="0"/>
              <w:spacing w:before="0" w:beforeLines="0" w:line="240" w:lineRule="auto"/>
              <w:jc w:val="center"/>
              <w:rPr>
                <w:kern w:val="0"/>
                <w:szCs w:val="21"/>
              </w:rPr>
            </w:pPr>
            <w:r>
              <w:rPr>
                <w:kern w:val="0"/>
                <w:szCs w:val="21"/>
              </w:rPr>
              <w:t>104</w:t>
            </w:r>
          </w:p>
        </w:tc>
        <w:tc>
          <w:tcPr>
            <w:tcW w:w="203" w:type="pct"/>
            <w:vAlign w:val="center"/>
          </w:tcPr>
          <w:p w14:paraId="3ABB4D78">
            <w:pPr>
              <w:topLinePunct/>
              <w:adjustRightInd w:val="0"/>
              <w:snapToGrid w:val="0"/>
              <w:spacing w:before="0" w:beforeLines="0" w:line="240" w:lineRule="auto"/>
              <w:jc w:val="center"/>
              <w:rPr>
                <w:kern w:val="0"/>
                <w:szCs w:val="21"/>
              </w:rPr>
            </w:pPr>
            <w:r>
              <w:rPr>
                <w:kern w:val="0"/>
                <w:szCs w:val="21"/>
              </w:rPr>
              <w:t>70</w:t>
            </w:r>
          </w:p>
        </w:tc>
        <w:tc>
          <w:tcPr>
            <w:tcW w:w="250" w:type="pct"/>
            <w:vAlign w:val="center"/>
          </w:tcPr>
          <w:p w14:paraId="3E97D387">
            <w:pPr>
              <w:topLinePunct/>
              <w:adjustRightInd w:val="0"/>
              <w:snapToGrid w:val="0"/>
              <w:spacing w:before="0" w:beforeLines="0" w:line="240" w:lineRule="auto"/>
              <w:jc w:val="center"/>
              <w:rPr>
                <w:kern w:val="0"/>
                <w:szCs w:val="21"/>
              </w:rPr>
            </w:pPr>
            <w:r>
              <w:rPr>
                <w:kern w:val="0"/>
                <w:szCs w:val="21"/>
              </w:rPr>
              <w:t>2</w:t>
            </w:r>
          </w:p>
        </w:tc>
        <w:tc>
          <w:tcPr>
            <w:tcW w:w="384" w:type="pct"/>
            <w:vAlign w:val="center"/>
          </w:tcPr>
          <w:p w14:paraId="619AC133">
            <w:pPr>
              <w:topLinePunct/>
              <w:adjustRightInd w:val="0"/>
              <w:snapToGrid w:val="0"/>
              <w:spacing w:before="0" w:beforeLines="0" w:line="240" w:lineRule="auto"/>
              <w:jc w:val="center"/>
              <w:rPr>
                <w:kern w:val="0"/>
                <w:szCs w:val="21"/>
              </w:rPr>
            </w:pPr>
            <w:r>
              <w:rPr>
                <w:kern w:val="0"/>
                <w:szCs w:val="21"/>
              </w:rPr>
              <w:t>80</w:t>
            </w:r>
          </w:p>
        </w:tc>
        <w:tc>
          <w:tcPr>
            <w:tcW w:w="371" w:type="pct"/>
            <w:vMerge w:val="continue"/>
            <w:vAlign w:val="center"/>
          </w:tcPr>
          <w:p w14:paraId="08F2B598">
            <w:pPr>
              <w:topLinePunct/>
              <w:adjustRightInd w:val="0"/>
              <w:snapToGrid w:val="0"/>
              <w:spacing w:before="0" w:beforeLines="0" w:line="240" w:lineRule="auto"/>
              <w:jc w:val="center"/>
              <w:rPr>
                <w:kern w:val="0"/>
                <w:szCs w:val="21"/>
              </w:rPr>
            </w:pPr>
          </w:p>
        </w:tc>
        <w:tc>
          <w:tcPr>
            <w:tcW w:w="599" w:type="pct"/>
            <w:vAlign w:val="center"/>
          </w:tcPr>
          <w:p w14:paraId="622D498E">
            <w:pPr>
              <w:topLinePunct/>
              <w:adjustRightInd w:val="0"/>
              <w:snapToGrid w:val="0"/>
              <w:spacing w:before="0" w:beforeLines="0" w:line="240" w:lineRule="auto"/>
              <w:jc w:val="center"/>
              <w:rPr>
                <w:kern w:val="0"/>
                <w:szCs w:val="21"/>
              </w:rPr>
            </w:pPr>
            <w:r>
              <w:rPr>
                <w:kern w:val="0"/>
                <w:szCs w:val="21"/>
              </w:rPr>
              <w:t>16</w:t>
            </w:r>
          </w:p>
        </w:tc>
        <w:tc>
          <w:tcPr>
            <w:tcW w:w="369" w:type="pct"/>
            <w:vAlign w:val="center"/>
          </w:tcPr>
          <w:p w14:paraId="7E6BB568">
            <w:pPr>
              <w:topLinePunct/>
              <w:adjustRightInd w:val="0"/>
              <w:snapToGrid w:val="0"/>
              <w:spacing w:before="0" w:beforeLines="0" w:line="240" w:lineRule="auto"/>
              <w:jc w:val="center"/>
              <w:rPr>
                <w:kern w:val="0"/>
                <w:szCs w:val="21"/>
              </w:rPr>
            </w:pPr>
            <w:r>
              <w:t>60.92</w:t>
            </w:r>
          </w:p>
        </w:tc>
        <w:tc>
          <w:tcPr>
            <w:tcW w:w="339" w:type="pct"/>
            <w:vAlign w:val="center"/>
          </w:tcPr>
          <w:p w14:paraId="051B5B69">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058E6BBE">
            <w:pPr>
              <w:topLinePunct/>
              <w:adjustRightInd w:val="0"/>
              <w:snapToGrid w:val="0"/>
              <w:spacing w:before="0" w:beforeLines="0" w:line="240" w:lineRule="auto"/>
              <w:jc w:val="center"/>
              <w:rPr>
                <w:kern w:val="0"/>
                <w:szCs w:val="21"/>
              </w:rPr>
            </w:pPr>
          </w:p>
        </w:tc>
        <w:tc>
          <w:tcPr>
            <w:tcW w:w="339" w:type="pct"/>
            <w:vMerge w:val="continue"/>
            <w:vAlign w:val="center"/>
          </w:tcPr>
          <w:p w14:paraId="43C80C06">
            <w:pPr>
              <w:topLinePunct/>
              <w:adjustRightInd w:val="0"/>
              <w:snapToGrid w:val="0"/>
              <w:spacing w:before="0" w:beforeLines="0" w:line="240" w:lineRule="auto"/>
              <w:jc w:val="center"/>
              <w:rPr>
                <w:kern w:val="0"/>
                <w:szCs w:val="21"/>
              </w:rPr>
            </w:pPr>
          </w:p>
        </w:tc>
        <w:tc>
          <w:tcPr>
            <w:tcW w:w="339" w:type="pct"/>
            <w:vMerge w:val="continue"/>
            <w:vAlign w:val="center"/>
          </w:tcPr>
          <w:p w14:paraId="6C821E44">
            <w:pPr>
              <w:topLinePunct/>
              <w:adjustRightInd w:val="0"/>
              <w:snapToGrid w:val="0"/>
              <w:spacing w:before="0" w:beforeLines="0" w:line="240" w:lineRule="auto"/>
              <w:jc w:val="center"/>
              <w:rPr>
                <w:kern w:val="0"/>
                <w:szCs w:val="21"/>
              </w:rPr>
            </w:pPr>
          </w:p>
        </w:tc>
      </w:tr>
      <w:tr w14:paraId="45BD0D3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14:paraId="03A7A686">
            <w:pPr>
              <w:widowControl/>
              <w:spacing w:before="0" w:beforeLines="0" w:line="240" w:lineRule="auto"/>
              <w:jc w:val="center"/>
              <w:textAlignment w:val="center"/>
              <w:rPr>
                <w:kern w:val="0"/>
                <w:szCs w:val="21"/>
              </w:rPr>
            </w:pPr>
            <w:r>
              <w:rPr>
                <w:kern w:val="0"/>
                <w:szCs w:val="21"/>
                <w:lang w:bidi="ar"/>
              </w:rPr>
              <w:t>19</w:t>
            </w:r>
          </w:p>
        </w:tc>
        <w:tc>
          <w:tcPr>
            <w:tcW w:w="351" w:type="pct"/>
            <w:vMerge w:val="continue"/>
            <w:vAlign w:val="center"/>
          </w:tcPr>
          <w:p w14:paraId="51AC15C8">
            <w:pPr>
              <w:topLinePunct/>
              <w:adjustRightInd w:val="0"/>
              <w:snapToGrid w:val="0"/>
              <w:spacing w:before="0" w:beforeLines="0" w:line="240" w:lineRule="auto"/>
              <w:jc w:val="center"/>
              <w:rPr>
                <w:kern w:val="0"/>
                <w:szCs w:val="21"/>
              </w:rPr>
            </w:pPr>
          </w:p>
        </w:tc>
        <w:tc>
          <w:tcPr>
            <w:tcW w:w="715" w:type="pct"/>
            <w:vAlign w:val="center"/>
          </w:tcPr>
          <w:p w14:paraId="51CC6ED9">
            <w:pPr>
              <w:spacing w:before="0" w:beforeLines="0" w:line="240" w:lineRule="auto"/>
              <w:jc w:val="center"/>
              <w:rPr>
                <w:kern w:val="0"/>
                <w:szCs w:val="21"/>
              </w:rPr>
            </w:pPr>
            <w:r>
              <w:rPr>
                <w:kern w:val="0"/>
                <w:szCs w:val="21"/>
                <w:lang w:bidi="ar"/>
              </w:rPr>
              <w:t>抛砂分离机</w:t>
            </w:r>
          </w:p>
        </w:tc>
        <w:tc>
          <w:tcPr>
            <w:tcW w:w="206" w:type="pct"/>
            <w:vAlign w:val="center"/>
          </w:tcPr>
          <w:p w14:paraId="7253595D">
            <w:pPr>
              <w:topLinePunct/>
              <w:adjustRightInd w:val="0"/>
              <w:snapToGrid w:val="0"/>
              <w:spacing w:before="0" w:beforeLines="0" w:line="240" w:lineRule="auto"/>
              <w:jc w:val="center"/>
              <w:rPr>
                <w:kern w:val="0"/>
                <w:szCs w:val="21"/>
              </w:rPr>
            </w:pPr>
            <w:r>
              <w:rPr>
                <w:kern w:val="0"/>
                <w:szCs w:val="21"/>
              </w:rPr>
              <w:t>104</w:t>
            </w:r>
          </w:p>
        </w:tc>
        <w:tc>
          <w:tcPr>
            <w:tcW w:w="203" w:type="pct"/>
            <w:vAlign w:val="center"/>
          </w:tcPr>
          <w:p w14:paraId="02984883">
            <w:pPr>
              <w:topLinePunct/>
              <w:adjustRightInd w:val="0"/>
              <w:snapToGrid w:val="0"/>
              <w:spacing w:before="0" w:beforeLines="0" w:line="240" w:lineRule="auto"/>
              <w:jc w:val="center"/>
              <w:rPr>
                <w:kern w:val="0"/>
                <w:szCs w:val="21"/>
              </w:rPr>
            </w:pPr>
            <w:r>
              <w:rPr>
                <w:kern w:val="0"/>
                <w:szCs w:val="21"/>
              </w:rPr>
              <w:t>77</w:t>
            </w:r>
          </w:p>
        </w:tc>
        <w:tc>
          <w:tcPr>
            <w:tcW w:w="250" w:type="pct"/>
            <w:vAlign w:val="center"/>
          </w:tcPr>
          <w:p w14:paraId="272289A8">
            <w:pPr>
              <w:topLinePunct/>
              <w:adjustRightInd w:val="0"/>
              <w:snapToGrid w:val="0"/>
              <w:spacing w:before="0" w:beforeLines="0" w:line="240" w:lineRule="auto"/>
              <w:jc w:val="center"/>
              <w:rPr>
                <w:kern w:val="0"/>
                <w:szCs w:val="21"/>
              </w:rPr>
            </w:pPr>
            <w:r>
              <w:rPr>
                <w:kern w:val="0"/>
                <w:szCs w:val="21"/>
              </w:rPr>
              <w:t>2</w:t>
            </w:r>
          </w:p>
        </w:tc>
        <w:tc>
          <w:tcPr>
            <w:tcW w:w="384" w:type="pct"/>
            <w:vAlign w:val="center"/>
          </w:tcPr>
          <w:p w14:paraId="7307B11F">
            <w:pPr>
              <w:topLinePunct/>
              <w:adjustRightInd w:val="0"/>
              <w:snapToGrid w:val="0"/>
              <w:spacing w:before="0" w:beforeLines="0" w:line="240" w:lineRule="auto"/>
              <w:jc w:val="center"/>
              <w:rPr>
                <w:kern w:val="0"/>
                <w:szCs w:val="21"/>
              </w:rPr>
            </w:pPr>
            <w:r>
              <w:rPr>
                <w:kern w:val="0"/>
                <w:szCs w:val="21"/>
              </w:rPr>
              <w:t>80</w:t>
            </w:r>
          </w:p>
        </w:tc>
        <w:tc>
          <w:tcPr>
            <w:tcW w:w="371" w:type="pct"/>
            <w:vMerge w:val="continue"/>
            <w:vAlign w:val="center"/>
          </w:tcPr>
          <w:p w14:paraId="0922E0DC">
            <w:pPr>
              <w:topLinePunct/>
              <w:adjustRightInd w:val="0"/>
              <w:snapToGrid w:val="0"/>
              <w:spacing w:before="0" w:beforeLines="0" w:line="240" w:lineRule="auto"/>
              <w:jc w:val="center"/>
              <w:rPr>
                <w:kern w:val="0"/>
                <w:szCs w:val="21"/>
              </w:rPr>
            </w:pPr>
          </w:p>
        </w:tc>
        <w:tc>
          <w:tcPr>
            <w:tcW w:w="599" w:type="pct"/>
            <w:vAlign w:val="center"/>
          </w:tcPr>
          <w:p w14:paraId="1A190F4C">
            <w:pPr>
              <w:topLinePunct/>
              <w:adjustRightInd w:val="0"/>
              <w:snapToGrid w:val="0"/>
              <w:spacing w:before="0" w:beforeLines="0" w:line="240" w:lineRule="auto"/>
              <w:jc w:val="center"/>
              <w:rPr>
                <w:kern w:val="0"/>
                <w:szCs w:val="21"/>
              </w:rPr>
            </w:pPr>
            <w:r>
              <w:rPr>
                <w:kern w:val="0"/>
                <w:szCs w:val="21"/>
              </w:rPr>
              <w:t>23</w:t>
            </w:r>
          </w:p>
        </w:tc>
        <w:tc>
          <w:tcPr>
            <w:tcW w:w="369" w:type="pct"/>
            <w:vAlign w:val="center"/>
          </w:tcPr>
          <w:p w14:paraId="4E6C9300">
            <w:pPr>
              <w:topLinePunct/>
              <w:adjustRightInd w:val="0"/>
              <w:snapToGrid w:val="0"/>
              <w:spacing w:before="0" w:beforeLines="0" w:line="240" w:lineRule="auto"/>
              <w:jc w:val="center"/>
              <w:rPr>
                <w:kern w:val="0"/>
                <w:szCs w:val="21"/>
              </w:rPr>
            </w:pPr>
            <w:r>
              <w:t>57.77</w:t>
            </w:r>
          </w:p>
        </w:tc>
        <w:tc>
          <w:tcPr>
            <w:tcW w:w="339" w:type="pct"/>
            <w:vAlign w:val="center"/>
          </w:tcPr>
          <w:p w14:paraId="36505046">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42246F23">
            <w:pPr>
              <w:topLinePunct/>
              <w:adjustRightInd w:val="0"/>
              <w:snapToGrid w:val="0"/>
              <w:spacing w:before="0" w:beforeLines="0" w:line="240" w:lineRule="auto"/>
              <w:jc w:val="center"/>
              <w:rPr>
                <w:kern w:val="0"/>
                <w:szCs w:val="21"/>
              </w:rPr>
            </w:pPr>
          </w:p>
        </w:tc>
        <w:tc>
          <w:tcPr>
            <w:tcW w:w="339" w:type="pct"/>
            <w:vMerge w:val="continue"/>
            <w:vAlign w:val="center"/>
          </w:tcPr>
          <w:p w14:paraId="0AC8662A">
            <w:pPr>
              <w:topLinePunct/>
              <w:adjustRightInd w:val="0"/>
              <w:snapToGrid w:val="0"/>
              <w:spacing w:before="0" w:beforeLines="0" w:line="240" w:lineRule="auto"/>
              <w:jc w:val="center"/>
              <w:rPr>
                <w:kern w:val="0"/>
                <w:szCs w:val="21"/>
              </w:rPr>
            </w:pPr>
          </w:p>
        </w:tc>
        <w:tc>
          <w:tcPr>
            <w:tcW w:w="339" w:type="pct"/>
            <w:vMerge w:val="continue"/>
            <w:vAlign w:val="center"/>
          </w:tcPr>
          <w:p w14:paraId="45040192">
            <w:pPr>
              <w:topLinePunct/>
              <w:adjustRightInd w:val="0"/>
              <w:snapToGrid w:val="0"/>
              <w:spacing w:before="0" w:beforeLines="0" w:line="240" w:lineRule="auto"/>
              <w:jc w:val="center"/>
              <w:rPr>
                <w:kern w:val="0"/>
                <w:szCs w:val="21"/>
              </w:rPr>
            </w:pPr>
          </w:p>
        </w:tc>
      </w:tr>
      <w:tr w14:paraId="4F698BA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14:paraId="00B1B6C7">
            <w:pPr>
              <w:widowControl/>
              <w:spacing w:before="0" w:beforeLines="0" w:line="240" w:lineRule="auto"/>
              <w:jc w:val="center"/>
              <w:textAlignment w:val="center"/>
              <w:rPr>
                <w:kern w:val="0"/>
                <w:szCs w:val="21"/>
              </w:rPr>
            </w:pPr>
            <w:r>
              <w:rPr>
                <w:kern w:val="0"/>
                <w:szCs w:val="21"/>
                <w:lang w:bidi="ar"/>
              </w:rPr>
              <w:t>20</w:t>
            </w:r>
          </w:p>
        </w:tc>
        <w:tc>
          <w:tcPr>
            <w:tcW w:w="351" w:type="pct"/>
            <w:vMerge w:val="continue"/>
            <w:vAlign w:val="center"/>
          </w:tcPr>
          <w:p w14:paraId="3CBDAD0F">
            <w:pPr>
              <w:topLinePunct/>
              <w:adjustRightInd w:val="0"/>
              <w:snapToGrid w:val="0"/>
              <w:spacing w:before="0" w:beforeLines="0" w:line="240" w:lineRule="auto"/>
              <w:jc w:val="center"/>
              <w:rPr>
                <w:kern w:val="0"/>
                <w:szCs w:val="21"/>
              </w:rPr>
            </w:pPr>
          </w:p>
        </w:tc>
        <w:tc>
          <w:tcPr>
            <w:tcW w:w="715" w:type="pct"/>
            <w:vAlign w:val="center"/>
          </w:tcPr>
          <w:p w14:paraId="53A4FE34">
            <w:pPr>
              <w:spacing w:before="0" w:beforeLines="0" w:line="240" w:lineRule="auto"/>
              <w:jc w:val="center"/>
              <w:rPr>
                <w:kern w:val="0"/>
                <w:szCs w:val="21"/>
              </w:rPr>
            </w:pPr>
            <w:r>
              <w:rPr>
                <w:kern w:val="0"/>
                <w:szCs w:val="21"/>
                <w:lang w:bidi="ar"/>
              </w:rPr>
              <w:t>抛砂分离机</w:t>
            </w:r>
          </w:p>
        </w:tc>
        <w:tc>
          <w:tcPr>
            <w:tcW w:w="206" w:type="pct"/>
            <w:vAlign w:val="center"/>
          </w:tcPr>
          <w:p w14:paraId="7FE0FBCD">
            <w:pPr>
              <w:topLinePunct/>
              <w:adjustRightInd w:val="0"/>
              <w:snapToGrid w:val="0"/>
              <w:spacing w:before="0" w:beforeLines="0" w:line="240" w:lineRule="auto"/>
              <w:jc w:val="center"/>
              <w:rPr>
                <w:kern w:val="0"/>
                <w:szCs w:val="21"/>
              </w:rPr>
            </w:pPr>
            <w:r>
              <w:rPr>
                <w:kern w:val="0"/>
                <w:szCs w:val="21"/>
              </w:rPr>
              <w:t>104</w:t>
            </w:r>
          </w:p>
        </w:tc>
        <w:tc>
          <w:tcPr>
            <w:tcW w:w="203" w:type="pct"/>
            <w:vAlign w:val="center"/>
          </w:tcPr>
          <w:p w14:paraId="7528E0A1">
            <w:pPr>
              <w:topLinePunct/>
              <w:adjustRightInd w:val="0"/>
              <w:snapToGrid w:val="0"/>
              <w:spacing w:before="0" w:beforeLines="0" w:line="240" w:lineRule="auto"/>
              <w:jc w:val="center"/>
              <w:rPr>
                <w:kern w:val="0"/>
                <w:szCs w:val="21"/>
              </w:rPr>
            </w:pPr>
            <w:r>
              <w:rPr>
                <w:kern w:val="0"/>
                <w:szCs w:val="21"/>
              </w:rPr>
              <w:t>85</w:t>
            </w:r>
          </w:p>
        </w:tc>
        <w:tc>
          <w:tcPr>
            <w:tcW w:w="250" w:type="pct"/>
            <w:vAlign w:val="center"/>
          </w:tcPr>
          <w:p w14:paraId="3C3E75C0">
            <w:pPr>
              <w:topLinePunct/>
              <w:adjustRightInd w:val="0"/>
              <w:snapToGrid w:val="0"/>
              <w:spacing w:before="0" w:beforeLines="0" w:line="240" w:lineRule="auto"/>
              <w:jc w:val="center"/>
              <w:rPr>
                <w:kern w:val="0"/>
                <w:szCs w:val="21"/>
              </w:rPr>
            </w:pPr>
            <w:r>
              <w:rPr>
                <w:kern w:val="0"/>
                <w:szCs w:val="21"/>
              </w:rPr>
              <w:t>2</w:t>
            </w:r>
          </w:p>
        </w:tc>
        <w:tc>
          <w:tcPr>
            <w:tcW w:w="384" w:type="pct"/>
            <w:vAlign w:val="center"/>
          </w:tcPr>
          <w:p w14:paraId="43382AEE">
            <w:pPr>
              <w:topLinePunct/>
              <w:adjustRightInd w:val="0"/>
              <w:snapToGrid w:val="0"/>
              <w:spacing w:before="0" w:beforeLines="0" w:line="240" w:lineRule="auto"/>
              <w:jc w:val="center"/>
              <w:rPr>
                <w:kern w:val="0"/>
                <w:szCs w:val="21"/>
              </w:rPr>
            </w:pPr>
            <w:r>
              <w:rPr>
                <w:kern w:val="0"/>
                <w:szCs w:val="21"/>
              </w:rPr>
              <w:t>80</w:t>
            </w:r>
          </w:p>
        </w:tc>
        <w:tc>
          <w:tcPr>
            <w:tcW w:w="371" w:type="pct"/>
            <w:vMerge w:val="continue"/>
            <w:vAlign w:val="center"/>
          </w:tcPr>
          <w:p w14:paraId="5CD3C0AE">
            <w:pPr>
              <w:topLinePunct/>
              <w:adjustRightInd w:val="0"/>
              <w:snapToGrid w:val="0"/>
              <w:spacing w:before="0" w:beforeLines="0" w:line="240" w:lineRule="auto"/>
              <w:jc w:val="center"/>
              <w:rPr>
                <w:kern w:val="0"/>
                <w:szCs w:val="21"/>
              </w:rPr>
            </w:pPr>
          </w:p>
        </w:tc>
        <w:tc>
          <w:tcPr>
            <w:tcW w:w="599" w:type="pct"/>
            <w:vAlign w:val="center"/>
          </w:tcPr>
          <w:p w14:paraId="4293B358">
            <w:pPr>
              <w:topLinePunct/>
              <w:adjustRightInd w:val="0"/>
              <w:snapToGrid w:val="0"/>
              <w:spacing w:before="0" w:beforeLines="0" w:line="240" w:lineRule="auto"/>
              <w:jc w:val="center"/>
              <w:rPr>
                <w:kern w:val="0"/>
                <w:szCs w:val="21"/>
              </w:rPr>
            </w:pPr>
            <w:r>
              <w:rPr>
                <w:kern w:val="0"/>
                <w:szCs w:val="21"/>
              </w:rPr>
              <w:t>25</w:t>
            </w:r>
          </w:p>
        </w:tc>
        <w:tc>
          <w:tcPr>
            <w:tcW w:w="369" w:type="pct"/>
            <w:vAlign w:val="center"/>
          </w:tcPr>
          <w:p w14:paraId="37541288">
            <w:pPr>
              <w:topLinePunct/>
              <w:adjustRightInd w:val="0"/>
              <w:snapToGrid w:val="0"/>
              <w:spacing w:before="0" w:beforeLines="0" w:line="240" w:lineRule="auto"/>
              <w:jc w:val="center"/>
              <w:rPr>
                <w:kern w:val="0"/>
                <w:szCs w:val="21"/>
              </w:rPr>
            </w:pPr>
            <w:r>
              <w:t>57.04</w:t>
            </w:r>
          </w:p>
        </w:tc>
        <w:tc>
          <w:tcPr>
            <w:tcW w:w="339" w:type="pct"/>
            <w:vAlign w:val="center"/>
          </w:tcPr>
          <w:p w14:paraId="2F57C3E6">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550315E3">
            <w:pPr>
              <w:topLinePunct/>
              <w:adjustRightInd w:val="0"/>
              <w:snapToGrid w:val="0"/>
              <w:spacing w:before="0" w:beforeLines="0" w:line="240" w:lineRule="auto"/>
              <w:jc w:val="center"/>
              <w:rPr>
                <w:kern w:val="0"/>
                <w:szCs w:val="21"/>
              </w:rPr>
            </w:pPr>
          </w:p>
        </w:tc>
        <w:tc>
          <w:tcPr>
            <w:tcW w:w="339" w:type="pct"/>
            <w:vMerge w:val="continue"/>
            <w:vAlign w:val="center"/>
          </w:tcPr>
          <w:p w14:paraId="726B7C4E">
            <w:pPr>
              <w:topLinePunct/>
              <w:adjustRightInd w:val="0"/>
              <w:snapToGrid w:val="0"/>
              <w:spacing w:before="0" w:beforeLines="0" w:line="240" w:lineRule="auto"/>
              <w:jc w:val="center"/>
              <w:rPr>
                <w:kern w:val="0"/>
                <w:szCs w:val="21"/>
              </w:rPr>
            </w:pPr>
          </w:p>
        </w:tc>
        <w:tc>
          <w:tcPr>
            <w:tcW w:w="339" w:type="pct"/>
            <w:vMerge w:val="continue"/>
            <w:vAlign w:val="center"/>
          </w:tcPr>
          <w:p w14:paraId="208CAA2F">
            <w:pPr>
              <w:topLinePunct/>
              <w:adjustRightInd w:val="0"/>
              <w:snapToGrid w:val="0"/>
              <w:spacing w:before="0" w:beforeLines="0" w:line="240" w:lineRule="auto"/>
              <w:jc w:val="center"/>
              <w:rPr>
                <w:kern w:val="0"/>
                <w:szCs w:val="21"/>
              </w:rPr>
            </w:pPr>
          </w:p>
        </w:tc>
      </w:tr>
      <w:tr w14:paraId="1DE54E1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14:paraId="1F1EDFC2">
            <w:pPr>
              <w:widowControl/>
              <w:spacing w:before="0" w:beforeLines="0" w:line="240" w:lineRule="auto"/>
              <w:jc w:val="center"/>
              <w:textAlignment w:val="center"/>
              <w:rPr>
                <w:kern w:val="0"/>
                <w:szCs w:val="21"/>
              </w:rPr>
            </w:pPr>
            <w:r>
              <w:rPr>
                <w:kern w:val="0"/>
                <w:szCs w:val="21"/>
                <w:lang w:bidi="ar"/>
              </w:rPr>
              <w:t>21</w:t>
            </w:r>
          </w:p>
        </w:tc>
        <w:tc>
          <w:tcPr>
            <w:tcW w:w="351" w:type="pct"/>
            <w:vMerge w:val="continue"/>
            <w:vAlign w:val="center"/>
          </w:tcPr>
          <w:p w14:paraId="7E7ACC65">
            <w:pPr>
              <w:topLinePunct/>
              <w:adjustRightInd w:val="0"/>
              <w:snapToGrid w:val="0"/>
              <w:spacing w:before="0" w:beforeLines="0" w:line="240" w:lineRule="auto"/>
              <w:jc w:val="center"/>
              <w:rPr>
                <w:kern w:val="0"/>
                <w:szCs w:val="21"/>
              </w:rPr>
            </w:pPr>
          </w:p>
        </w:tc>
        <w:tc>
          <w:tcPr>
            <w:tcW w:w="715" w:type="pct"/>
            <w:vAlign w:val="center"/>
          </w:tcPr>
          <w:p w14:paraId="4800445D">
            <w:pPr>
              <w:spacing w:before="0" w:beforeLines="0" w:line="240" w:lineRule="auto"/>
              <w:jc w:val="center"/>
              <w:rPr>
                <w:kern w:val="0"/>
                <w:szCs w:val="21"/>
              </w:rPr>
            </w:pPr>
            <w:r>
              <w:rPr>
                <w:kern w:val="0"/>
                <w:szCs w:val="21"/>
                <w:lang w:bidi="ar"/>
              </w:rPr>
              <w:t>洗砂机</w:t>
            </w:r>
          </w:p>
        </w:tc>
        <w:tc>
          <w:tcPr>
            <w:tcW w:w="206" w:type="pct"/>
            <w:vAlign w:val="center"/>
          </w:tcPr>
          <w:p w14:paraId="646431B1">
            <w:pPr>
              <w:topLinePunct/>
              <w:adjustRightInd w:val="0"/>
              <w:snapToGrid w:val="0"/>
              <w:spacing w:before="0" w:beforeLines="0" w:line="240" w:lineRule="auto"/>
              <w:jc w:val="center"/>
              <w:rPr>
                <w:kern w:val="0"/>
                <w:szCs w:val="21"/>
              </w:rPr>
            </w:pPr>
            <w:r>
              <w:rPr>
                <w:kern w:val="0"/>
                <w:szCs w:val="21"/>
              </w:rPr>
              <w:t>60</w:t>
            </w:r>
          </w:p>
        </w:tc>
        <w:tc>
          <w:tcPr>
            <w:tcW w:w="203" w:type="pct"/>
            <w:vAlign w:val="center"/>
          </w:tcPr>
          <w:p w14:paraId="72D33CDF">
            <w:pPr>
              <w:topLinePunct/>
              <w:adjustRightInd w:val="0"/>
              <w:snapToGrid w:val="0"/>
              <w:spacing w:before="0" w:beforeLines="0" w:line="240" w:lineRule="auto"/>
              <w:jc w:val="center"/>
              <w:rPr>
                <w:kern w:val="0"/>
                <w:szCs w:val="21"/>
              </w:rPr>
            </w:pPr>
            <w:r>
              <w:rPr>
                <w:kern w:val="0"/>
                <w:szCs w:val="21"/>
              </w:rPr>
              <w:t>86</w:t>
            </w:r>
          </w:p>
        </w:tc>
        <w:tc>
          <w:tcPr>
            <w:tcW w:w="250" w:type="pct"/>
            <w:vAlign w:val="center"/>
          </w:tcPr>
          <w:p w14:paraId="2CD33498">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14:paraId="3D956F2E">
            <w:pPr>
              <w:topLinePunct/>
              <w:adjustRightInd w:val="0"/>
              <w:snapToGrid w:val="0"/>
              <w:spacing w:before="0" w:beforeLines="0" w:line="240" w:lineRule="auto"/>
              <w:jc w:val="center"/>
              <w:rPr>
                <w:kern w:val="0"/>
                <w:szCs w:val="21"/>
              </w:rPr>
            </w:pPr>
            <w:r>
              <w:rPr>
                <w:kern w:val="0"/>
                <w:szCs w:val="21"/>
              </w:rPr>
              <w:t>85</w:t>
            </w:r>
          </w:p>
        </w:tc>
        <w:tc>
          <w:tcPr>
            <w:tcW w:w="371" w:type="pct"/>
            <w:vMerge w:val="continue"/>
            <w:vAlign w:val="center"/>
          </w:tcPr>
          <w:p w14:paraId="28D707E3">
            <w:pPr>
              <w:topLinePunct/>
              <w:adjustRightInd w:val="0"/>
              <w:snapToGrid w:val="0"/>
              <w:spacing w:before="0" w:beforeLines="0" w:line="240" w:lineRule="auto"/>
              <w:jc w:val="center"/>
              <w:rPr>
                <w:kern w:val="0"/>
                <w:szCs w:val="21"/>
              </w:rPr>
            </w:pPr>
          </w:p>
        </w:tc>
        <w:tc>
          <w:tcPr>
            <w:tcW w:w="599" w:type="pct"/>
            <w:vAlign w:val="center"/>
          </w:tcPr>
          <w:p w14:paraId="5C565093">
            <w:pPr>
              <w:topLinePunct/>
              <w:adjustRightInd w:val="0"/>
              <w:snapToGrid w:val="0"/>
              <w:spacing w:before="0" w:beforeLines="0" w:line="240" w:lineRule="auto"/>
              <w:jc w:val="center"/>
              <w:rPr>
                <w:kern w:val="0"/>
                <w:szCs w:val="21"/>
              </w:rPr>
            </w:pPr>
            <w:r>
              <w:rPr>
                <w:kern w:val="0"/>
                <w:szCs w:val="21"/>
              </w:rPr>
              <w:t>18</w:t>
            </w:r>
          </w:p>
        </w:tc>
        <w:tc>
          <w:tcPr>
            <w:tcW w:w="369" w:type="pct"/>
            <w:vAlign w:val="center"/>
          </w:tcPr>
          <w:p w14:paraId="765E11AF">
            <w:pPr>
              <w:topLinePunct/>
              <w:adjustRightInd w:val="0"/>
              <w:snapToGrid w:val="0"/>
              <w:spacing w:before="0" w:beforeLines="0" w:line="240" w:lineRule="auto"/>
              <w:jc w:val="center"/>
              <w:rPr>
                <w:kern w:val="0"/>
                <w:szCs w:val="21"/>
              </w:rPr>
            </w:pPr>
            <w:r>
              <w:t>64.89</w:t>
            </w:r>
          </w:p>
        </w:tc>
        <w:tc>
          <w:tcPr>
            <w:tcW w:w="339" w:type="pct"/>
            <w:vAlign w:val="center"/>
          </w:tcPr>
          <w:p w14:paraId="11D95133">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590CD749">
            <w:pPr>
              <w:topLinePunct/>
              <w:adjustRightInd w:val="0"/>
              <w:snapToGrid w:val="0"/>
              <w:spacing w:before="0" w:beforeLines="0" w:line="240" w:lineRule="auto"/>
              <w:jc w:val="center"/>
              <w:rPr>
                <w:kern w:val="0"/>
                <w:szCs w:val="21"/>
              </w:rPr>
            </w:pPr>
          </w:p>
        </w:tc>
        <w:tc>
          <w:tcPr>
            <w:tcW w:w="339" w:type="pct"/>
            <w:vMerge w:val="continue"/>
            <w:vAlign w:val="center"/>
          </w:tcPr>
          <w:p w14:paraId="5CABE97A">
            <w:pPr>
              <w:topLinePunct/>
              <w:adjustRightInd w:val="0"/>
              <w:snapToGrid w:val="0"/>
              <w:spacing w:before="0" w:beforeLines="0" w:line="240" w:lineRule="auto"/>
              <w:jc w:val="center"/>
              <w:rPr>
                <w:kern w:val="0"/>
                <w:szCs w:val="21"/>
              </w:rPr>
            </w:pPr>
          </w:p>
        </w:tc>
        <w:tc>
          <w:tcPr>
            <w:tcW w:w="339" w:type="pct"/>
            <w:vMerge w:val="continue"/>
            <w:vAlign w:val="center"/>
          </w:tcPr>
          <w:p w14:paraId="4A28E4FB">
            <w:pPr>
              <w:topLinePunct/>
              <w:adjustRightInd w:val="0"/>
              <w:snapToGrid w:val="0"/>
              <w:spacing w:before="0" w:beforeLines="0" w:line="240" w:lineRule="auto"/>
              <w:jc w:val="center"/>
              <w:rPr>
                <w:kern w:val="0"/>
                <w:szCs w:val="21"/>
              </w:rPr>
            </w:pPr>
          </w:p>
        </w:tc>
      </w:tr>
      <w:tr w14:paraId="1DC7D17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14:paraId="00F1D18E">
            <w:pPr>
              <w:widowControl/>
              <w:spacing w:before="0" w:beforeLines="0" w:line="240" w:lineRule="auto"/>
              <w:jc w:val="center"/>
              <w:textAlignment w:val="center"/>
              <w:rPr>
                <w:kern w:val="0"/>
                <w:szCs w:val="21"/>
              </w:rPr>
            </w:pPr>
            <w:r>
              <w:rPr>
                <w:kern w:val="0"/>
                <w:szCs w:val="21"/>
                <w:lang w:bidi="ar"/>
              </w:rPr>
              <w:t>22</w:t>
            </w:r>
          </w:p>
        </w:tc>
        <w:tc>
          <w:tcPr>
            <w:tcW w:w="351" w:type="pct"/>
            <w:vMerge w:val="continue"/>
            <w:vAlign w:val="center"/>
          </w:tcPr>
          <w:p w14:paraId="5800D81A">
            <w:pPr>
              <w:topLinePunct/>
              <w:adjustRightInd w:val="0"/>
              <w:snapToGrid w:val="0"/>
              <w:spacing w:before="0" w:beforeLines="0" w:line="240" w:lineRule="auto"/>
              <w:jc w:val="center"/>
              <w:rPr>
                <w:kern w:val="0"/>
                <w:szCs w:val="21"/>
              </w:rPr>
            </w:pPr>
          </w:p>
        </w:tc>
        <w:tc>
          <w:tcPr>
            <w:tcW w:w="715" w:type="pct"/>
            <w:vAlign w:val="center"/>
          </w:tcPr>
          <w:p w14:paraId="336F3B08">
            <w:pPr>
              <w:spacing w:before="0" w:beforeLines="0" w:line="240" w:lineRule="auto"/>
              <w:jc w:val="center"/>
              <w:rPr>
                <w:kern w:val="0"/>
                <w:szCs w:val="21"/>
              </w:rPr>
            </w:pPr>
            <w:r>
              <w:rPr>
                <w:kern w:val="0"/>
                <w:szCs w:val="21"/>
                <w:lang w:bidi="ar"/>
              </w:rPr>
              <w:t>洗砂机</w:t>
            </w:r>
          </w:p>
        </w:tc>
        <w:tc>
          <w:tcPr>
            <w:tcW w:w="206" w:type="pct"/>
            <w:vAlign w:val="center"/>
          </w:tcPr>
          <w:p w14:paraId="0BE754F1">
            <w:pPr>
              <w:topLinePunct/>
              <w:adjustRightInd w:val="0"/>
              <w:snapToGrid w:val="0"/>
              <w:spacing w:before="0" w:beforeLines="0" w:line="240" w:lineRule="auto"/>
              <w:jc w:val="center"/>
              <w:rPr>
                <w:kern w:val="0"/>
                <w:szCs w:val="21"/>
              </w:rPr>
            </w:pPr>
            <w:r>
              <w:rPr>
                <w:kern w:val="0"/>
                <w:szCs w:val="21"/>
              </w:rPr>
              <w:t>60</w:t>
            </w:r>
          </w:p>
        </w:tc>
        <w:tc>
          <w:tcPr>
            <w:tcW w:w="203" w:type="pct"/>
            <w:vAlign w:val="center"/>
          </w:tcPr>
          <w:p w14:paraId="44B24B70">
            <w:pPr>
              <w:topLinePunct/>
              <w:adjustRightInd w:val="0"/>
              <w:snapToGrid w:val="0"/>
              <w:spacing w:before="0" w:beforeLines="0" w:line="240" w:lineRule="auto"/>
              <w:jc w:val="center"/>
              <w:rPr>
                <w:kern w:val="0"/>
                <w:szCs w:val="21"/>
              </w:rPr>
            </w:pPr>
            <w:r>
              <w:rPr>
                <w:kern w:val="0"/>
                <w:szCs w:val="21"/>
              </w:rPr>
              <w:t>91</w:t>
            </w:r>
          </w:p>
        </w:tc>
        <w:tc>
          <w:tcPr>
            <w:tcW w:w="250" w:type="pct"/>
            <w:vAlign w:val="center"/>
          </w:tcPr>
          <w:p w14:paraId="0704CFC6">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14:paraId="5EA3885D">
            <w:pPr>
              <w:topLinePunct/>
              <w:adjustRightInd w:val="0"/>
              <w:snapToGrid w:val="0"/>
              <w:spacing w:before="0" w:beforeLines="0" w:line="240" w:lineRule="auto"/>
              <w:jc w:val="center"/>
              <w:rPr>
                <w:kern w:val="0"/>
                <w:szCs w:val="21"/>
              </w:rPr>
            </w:pPr>
            <w:r>
              <w:rPr>
                <w:kern w:val="0"/>
                <w:szCs w:val="21"/>
              </w:rPr>
              <w:t>85</w:t>
            </w:r>
          </w:p>
        </w:tc>
        <w:tc>
          <w:tcPr>
            <w:tcW w:w="371" w:type="pct"/>
            <w:vMerge w:val="continue"/>
            <w:vAlign w:val="center"/>
          </w:tcPr>
          <w:p w14:paraId="42B342C8">
            <w:pPr>
              <w:topLinePunct/>
              <w:adjustRightInd w:val="0"/>
              <w:snapToGrid w:val="0"/>
              <w:spacing w:before="0" w:beforeLines="0" w:line="240" w:lineRule="auto"/>
              <w:jc w:val="center"/>
              <w:rPr>
                <w:kern w:val="0"/>
                <w:szCs w:val="21"/>
              </w:rPr>
            </w:pPr>
          </w:p>
        </w:tc>
        <w:tc>
          <w:tcPr>
            <w:tcW w:w="599" w:type="pct"/>
            <w:vAlign w:val="center"/>
          </w:tcPr>
          <w:p w14:paraId="7215DB2E">
            <w:pPr>
              <w:topLinePunct/>
              <w:adjustRightInd w:val="0"/>
              <w:snapToGrid w:val="0"/>
              <w:spacing w:before="0" w:beforeLines="0" w:line="240" w:lineRule="auto"/>
              <w:jc w:val="center"/>
              <w:rPr>
                <w:kern w:val="0"/>
                <w:szCs w:val="21"/>
              </w:rPr>
            </w:pPr>
            <w:r>
              <w:rPr>
                <w:kern w:val="0"/>
                <w:szCs w:val="21"/>
              </w:rPr>
              <w:t>22</w:t>
            </w:r>
          </w:p>
        </w:tc>
        <w:tc>
          <w:tcPr>
            <w:tcW w:w="369" w:type="pct"/>
            <w:vAlign w:val="center"/>
          </w:tcPr>
          <w:p w14:paraId="4B865C76">
            <w:pPr>
              <w:topLinePunct/>
              <w:adjustRightInd w:val="0"/>
              <w:snapToGrid w:val="0"/>
              <w:spacing w:before="0" w:beforeLines="0" w:line="240" w:lineRule="auto"/>
              <w:jc w:val="center"/>
              <w:rPr>
                <w:kern w:val="0"/>
                <w:szCs w:val="21"/>
              </w:rPr>
            </w:pPr>
            <w:r>
              <w:t>63.15</w:t>
            </w:r>
          </w:p>
        </w:tc>
        <w:tc>
          <w:tcPr>
            <w:tcW w:w="339" w:type="pct"/>
            <w:vAlign w:val="center"/>
          </w:tcPr>
          <w:p w14:paraId="7C95F24E">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1F7D9991">
            <w:pPr>
              <w:topLinePunct/>
              <w:adjustRightInd w:val="0"/>
              <w:snapToGrid w:val="0"/>
              <w:spacing w:before="0" w:beforeLines="0" w:line="240" w:lineRule="auto"/>
              <w:jc w:val="center"/>
              <w:rPr>
                <w:kern w:val="0"/>
                <w:szCs w:val="21"/>
              </w:rPr>
            </w:pPr>
          </w:p>
        </w:tc>
        <w:tc>
          <w:tcPr>
            <w:tcW w:w="339" w:type="pct"/>
            <w:vMerge w:val="continue"/>
            <w:vAlign w:val="center"/>
          </w:tcPr>
          <w:p w14:paraId="307913A3">
            <w:pPr>
              <w:topLinePunct/>
              <w:adjustRightInd w:val="0"/>
              <w:snapToGrid w:val="0"/>
              <w:spacing w:before="0" w:beforeLines="0" w:line="240" w:lineRule="auto"/>
              <w:jc w:val="center"/>
              <w:rPr>
                <w:kern w:val="0"/>
                <w:szCs w:val="21"/>
              </w:rPr>
            </w:pPr>
          </w:p>
        </w:tc>
        <w:tc>
          <w:tcPr>
            <w:tcW w:w="339" w:type="pct"/>
            <w:vMerge w:val="continue"/>
            <w:vAlign w:val="center"/>
          </w:tcPr>
          <w:p w14:paraId="2FF32464">
            <w:pPr>
              <w:topLinePunct/>
              <w:adjustRightInd w:val="0"/>
              <w:snapToGrid w:val="0"/>
              <w:spacing w:before="0" w:beforeLines="0" w:line="240" w:lineRule="auto"/>
              <w:jc w:val="center"/>
              <w:rPr>
                <w:kern w:val="0"/>
                <w:szCs w:val="21"/>
              </w:rPr>
            </w:pPr>
          </w:p>
        </w:tc>
      </w:tr>
      <w:tr w14:paraId="0DF4F23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14:paraId="15BAAFF9">
            <w:pPr>
              <w:widowControl/>
              <w:spacing w:before="0" w:beforeLines="0" w:line="240" w:lineRule="auto"/>
              <w:jc w:val="center"/>
              <w:textAlignment w:val="center"/>
              <w:rPr>
                <w:kern w:val="0"/>
                <w:szCs w:val="21"/>
              </w:rPr>
            </w:pPr>
            <w:r>
              <w:rPr>
                <w:kern w:val="0"/>
                <w:szCs w:val="21"/>
                <w:lang w:bidi="ar"/>
              </w:rPr>
              <w:t>23</w:t>
            </w:r>
          </w:p>
        </w:tc>
        <w:tc>
          <w:tcPr>
            <w:tcW w:w="351" w:type="pct"/>
            <w:vMerge w:val="continue"/>
            <w:vAlign w:val="center"/>
          </w:tcPr>
          <w:p w14:paraId="35FDA7B8">
            <w:pPr>
              <w:topLinePunct/>
              <w:adjustRightInd w:val="0"/>
              <w:snapToGrid w:val="0"/>
              <w:spacing w:before="0" w:beforeLines="0" w:line="240" w:lineRule="auto"/>
              <w:jc w:val="center"/>
              <w:rPr>
                <w:kern w:val="0"/>
                <w:szCs w:val="21"/>
              </w:rPr>
            </w:pPr>
          </w:p>
        </w:tc>
        <w:tc>
          <w:tcPr>
            <w:tcW w:w="715" w:type="pct"/>
            <w:vAlign w:val="center"/>
          </w:tcPr>
          <w:p w14:paraId="5F180387">
            <w:pPr>
              <w:spacing w:before="0" w:beforeLines="0" w:line="240" w:lineRule="auto"/>
              <w:jc w:val="center"/>
              <w:rPr>
                <w:kern w:val="0"/>
                <w:szCs w:val="21"/>
                <w:lang w:bidi="ar"/>
              </w:rPr>
            </w:pPr>
            <w:r>
              <w:rPr>
                <w:kern w:val="0"/>
                <w:szCs w:val="21"/>
                <w:lang w:bidi="ar"/>
              </w:rPr>
              <w:t>滤砂机</w:t>
            </w:r>
          </w:p>
        </w:tc>
        <w:tc>
          <w:tcPr>
            <w:tcW w:w="206" w:type="pct"/>
            <w:vAlign w:val="center"/>
          </w:tcPr>
          <w:p w14:paraId="7FCF13AF">
            <w:pPr>
              <w:topLinePunct/>
              <w:adjustRightInd w:val="0"/>
              <w:snapToGrid w:val="0"/>
              <w:spacing w:before="0" w:beforeLines="0" w:line="240" w:lineRule="auto"/>
              <w:jc w:val="center"/>
              <w:rPr>
                <w:kern w:val="0"/>
                <w:szCs w:val="21"/>
              </w:rPr>
            </w:pPr>
            <w:r>
              <w:rPr>
                <w:kern w:val="0"/>
                <w:szCs w:val="21"/>
              </w:rPr>
              <w:t>97</w:t>
            </w:r>
          </w:p>
        </w:tc>
        <w:tc>
          <w:tcPr>
            <w:tcW w:w="203" w:type="pct"/>
            <w:vAlign w:val="center"/>
          </w:tcPr>
          <w:p w14:paraId="46332379">
            <w:pPr>
              <w:topLinePunct/>
              <w:adjustRightInd w:val="0"/>
              <w:snapToGrid w:val="0"/>
              <w:spacing w:before="0" w:beforeLines="0" w:line="240" w:lineRule="auto"/>
              <w:jc w:val="center"/>
              <w:rPr>
                <w:kern w:val="0"/>
                <w:szCs w:val="21"/>
              </w:rPr>
            </w:pPr>
            <w:r>
              <w:rPr>
                <w:kern w:val="0"/>
                <w:szCs w:val="21"/>
              </w:rPr>
              <w:t>75</w:t>
            </w:r>
          </w:p>
        </w:tc>
        <w:tc>
          <w:tcPr>
            <w:tcW w:w="250" w:type="pct"/>
            <w:vAlign w:val="center"/>
          </w:tcPr>
          <w:p w14:paraId="32E4BF63">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14:paraId="0C8EF80F">
            <w:pPr>
              <w:topLinePunct/>
              <w:adjustRightInd w:val="0"/>
              <w:snapToGrid w:val="0"/>
              <w:spacing w:before="0" w:beforeLines="0" w:line="240" w:lineRule="auto"/>
              <w:jc w:val="center"/>
              <w:rPr>
                <w:kern w:val="0"/>
                <w:szCs w:val="21"/>
              </w:rPr>
            </w:pPr>
            <w:r>
              <w:rPr>
                <w:kern w:val="0"/>
                <w:szCs w:val="21"/>
              </w:rPr>
              <w:t>85</w:t>
            </w:r>
          </w:p>
        </w:tc>
        <w:tc>
          <w:tcPr>
            <w:tcW w:w="371" w:type="pct"/>
            <w:vMerge w:val="continue"/>
            <w:vAlign w:val="center"/>
          </w:tcPr>
          <w:p w14:paraId="63CF08AD">
            <w:pPr>
              <w:topLinePunct/>
              <w:adjustRightInd w:val="0"/>
              <w:snapToGrid w:val="0"/>
              <w:spacing w:before="0" w:beforeLines="0" w:line="240" w:lineRule="auto"/>
              <w:jc w:val="center"/>
              <w:rPr>
                <w:kern w:val="0"/>
                <w:szCs w:val="21"/>
              </w:rPr>
            </w:pPr>
          </w:p>
        </w:tc>
        <w:tc>
          <w:tcPr>
            <w:tcW w:w="599" w:type="pct"/>
            <w:vAlign w:val="center"/>
          </w:tcPr>
          <w:p w14:paraId="188CBBA7">
            <w:pPr>
              <w:topLinePunct/>
              <w:adjustRightInd w:val="0"/>
              <w:snapToGrid w:val="0"/>
              <w:spacing w:before="0" w:beforeLines="0" w:line="240" w:lineRule="auto"/>
              <w:jc w:val="center"/>
              <w:rPr>
                <w:kern w:val="0"/>
                <w:szCs w:val="21"/>
              </w:rPr>
            </w:pPr>
            <w:r>
              <w:rPr>
                <w:kern w:val="0"/>
                <w:szCs w:val="21"/>
              </w:rPr>
              <w:t>10</w:t>
            </w:r>
          </w:p>
        </w:tc>
        <w:tc>
          <w:tcPr>
            <w:tcW w:w="369" w:type="pct"/>
            <w:vAlign w:val="center"/>
          </w:tcPr>
          <w:p w14:paraId="6A07B13C">
            <w:pPr>
              <w:topLinePunct/>
              <w:adjustRightInd w:val="0"/>
              <w:snapToGrid w:val="0"/>
              <w:spacing w:before="0" w:beforeLines="0" w:line="240" w:lineRule="auto"/>
              <w:jc w:val="center"/>
              <w:rPr>
                <w:kern w:val="0"/>
                <w:szCs w:val="21"/>
              </w:rPr>
            </w:pPr>
            <w:r>
              <w:rPr>
                <w:kern w:val="0"/>
                <w:szCs w:val="21"/>
              </w:rPr>
              <w:t>65.00</w:t>
            </w:r>
          </w:p>
        </w:tc>
        <w:tc>
          <w:tcPr>
            <w:tcW w:w="339" w:type="pct"/>
            <w:vAlign w:val="center"/>
          </w:tcPr>
          <w:p w14:paraId="44273425">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2F08581E">
            <w:pPr>
              <w:topLinePunct/>
              <w:adjustRightInd w:val="0"/>
              <w:snapToGrid w:val="0"/>
              <w:spacing w:before="0" w:beforeLines="0" w:line="240" w:lineRule="auto"/>
              <w:jc w:val="center"/>
              <w:rPr>
                <w:kern w:val="0"/>
                <w:szCs w:val="21"/>
              </w:rPr>
            </w:pPr>
          </w:p>
        </w:tc>
        <w:tc>
          <w:tcPr>
            <w:tcW w:w="339" w:type="pct"/>
            <w:vMerge w:val="continue"/>
            <w:vAlign w:val="center"/>
          </w:tcPr>
          <w:p w14:paraId="6E294738">
            <w:pPr>
              <w:topLinePunct/>
              <w:adjustRightInd w:val="0"/>
              <w:snapToGrid w:val="0"/>
              <w:spacing w:before="0" w:beforeLines="0" w:line="240" w:lineRule="auto"/>
              <w:jc w:val="center"/>
              <w:rPr>
                <w:kern w:val="0"/>
                <w:szCs w:val="21"/>
              </w:rPr>
            </w:pPr>
          </w:p>
        </w:tc>
        <w:tc>
          <w:tcPr>
            <w:tcW w:w="339" w:type="pct"/>
            <w:vMerge w:val="continue"/>
            <w:vAlign w:val="center"/>
          </w:tcPr>
          <w:p w14:paraId="409E24C2">
            <w:pPr>
              <w:topLinePunct/>
              <w:adjustRightInd w:val="0"/>
              <w:snapToGrid w:val="0"/>
              <w:spacing w:before="0" w:beforeLines="0" w:line="240" w:lineRule="auto"/>
              <w:jc w:val="center"/>
              <w:rPr>
                <w:kern w:val="0"/>
                <w:szCs w:val="21"/>
              </w:rPr>
            </w:pPr>
          </w:p>
        </w:tc>
      </w:tr>
      <w:tr w14:paraId="6A723C5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14:paraId="1607981C">
            <w:pPr>
              <w:widowControl/>
              <w:spacing w:before="0" w:beforeLines="0" w:line="240" w:lineRule="auto"/>
              <w:jc w:val="center"/>
              <w:textAlignment w:val="center"/>
              <w:rPr>
                <w:kern w:val="0"/>
                <w:szCs w:val="21"/>
                <w:lang w:bidi="ar"/>
              </w:rPr>
            </w:pPr>
            <w:r>
              <w:rPr>
                <w:kern w:val="0"/>
                <w:szCs w:val="21"/>
                <w:lang w:bidi="ar"/>
              </w:rPr>
              <w:t>24</w:t>
            </w:r>
          </w:p>
        </w:tc>
        <w:tc>
          <w:tcPr>
            <w:tcW w:w="351" w:type="pct"/>
            <w:vMerge w:val="continue"/>
            <w:vAlign w:val="center"/>
          </w:tcPr>
          <w:p w14:paraId="3C632285">
            <w:pPr>
              <w:topLinePunct/>
              <w:adjustRightInd w:val="0"/>
              <w:snapToGrid w:val="0"/>
              <w:spacing w:before="0" w:beforeLines="0" w:line="240" w:lineRule="auto"/>
              <w:jc w:val="center"/>
              <w:rPr>
                <w:kern w:val="0"/>
                <w:szCs w:val="21"/>
              </w:rPr>
            </w:pPr>
          </w:p>
        </w:tc>
        <w:tc>
          <w:tcPr>
            <w:tcW w:w="715" w:type="pct"/>
            <w:vAlign w:val="center"/>
          </w:tcPr>
          <w:p w14:paraId="42301292">
            <w:pPr>
              <w:spacing w:before="0" w:beforeLines="0" w:line="240" w:lineRule="auto"/>
              <w:jc w:val="center"/>
              <w:rPr>
                <w:kern w:val="0"/>
                <w:szCs w:val="21"/>
                <w:lang w:bidi="ar"/>
              </w:rPr>
            </w:pPr>
            <w:r>
              <w:rPr>
                <w:kern w:val="0"/>
                <w:szCs w:val="21"/>
                <w:lang w:bidi="ar"/>
              </w:rPr>
              <w:t>滤砂机</w:t>
            </w:r>
          </w:p>
        </w:tc>
        <w:tc>
          <w:tcPr>
            <w:tcW w:w="206" w:type="pct"/>
            <w:vAlign w:val="center"/>
          </w:tcPr>
          <w:p w14:paraId="0178DD07">
            <w:pPr>
              <w:topLinePunct/>
              <w:adjustRightInd w:val="0"/>
              <w:snapToGrid w:val="0"/>
              <w:spacing w:before="0" w:beforeLines="0" w:line="240" w:lineRule="auto"/>
              <w:jc w:val="center"/>
              <w:rPr>
                <w:kern w:val="0"/>
                <w:szCs w:val="21"/>
              </w:rPr>
            </w:pPr>
            <w:r>
              <w:rPr>
                <w:kern w:val="0"/>
                <w:szCs w:val="21"/>
              </w:rPr>
              <w:t>97</w:t>
            </w:r>
          </w:p>
        </w:tc>
        <w:tc>
          <w:tcPr>
            <w:tcW w:w="203" w:type="pct"/>
            <w:vAlign w:val="center"/>
          </w:tcPr>
          <w:p w14:paraId="14C3FC35">
            <w:pPr>
              <w:topLinePunct/>
              <w:adjustRightInd w:val="0"/>
              <w:snapToGrid w:val="0"/>
              <w:spacing w:before="0" w:beforeLines="0" w:line="240" w:lineRule="auto"/>
              <w:jc w:val="center"/>
              <w:rPr>
                <w:kern w:val="0"/>
                <w:szCs w:val="21"/>
              </w:rPr>
            </w:pPr>
            <w:r>
              <w:rPr>
                <w:kern w:val="0"/>
                <w:szCs w:val="21"/>
              </w:rPr>
              <w:t>85</w:t>
            </w:r>
          </w:p>
        </w:tc>
        <w:tc>
          <w:tcPr>
            <w:tcW w:w="250" w:type="pct"/>
            <w:vAlign w:val="center"/>
          </w:tcPr>
          <w:p w14:paraId="3DAF4C9B">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14:paraId="091AA300">
            <w:pPr>
              <w:topLinePunct/>
              <w:adjustRightInd w:val="0"/>
              <w:snapToGrid w:val="0"/>
              <w:spacing w:before="0" w:beforeLines="0" w:line="240" w:lineRule="auto"/>
              <w:jc w:val="center"/>
              <w:rPr>
                <w:kern w:val="0"/>
                <w:szCs w:val="21"/>
              </w:rPr>
            </w:pPr>
            <w:r>
              <w:rPr>
                <w:kern w:val="0"/>
                <w:szCs w:val="21"/>
              </w:rPr>
              <w:t>85</w:t>
            </w:r>
          </w:p>
        </w:tc>
        <w:tc>
          <w:tcPr>
            <w:tcW w:w="371" w:type="pct"/>
            <w:vMerge w:val="continue"/>
            <w:vAlign w:val="center"/>
          </w:tcPr>
          <w:p w14:paraId="5DEBFA22">
            <w:pPr>
              <w:topLinePunct/>
              <w:adjustRightInd w:val="0"/>
              <w:snapToGrid w:val="0"/>
              <w:spacing w:before="0" w:beforeLines="0" w:line="240" w:lineRule="auto"/>
              <w:jc w:val="center"/>
              <w:rPr>
                <w:kern w:val="0"/>
                <w:szCs w:val="21"/>
              </w:rPr>
            </w:pPr>
          </w:p>
        </w:tc>
        <w:tc>
          <w:tcPr>
            <w:tcW w:w="599" w:type="pct"/>
            <w:vAlign w:val="center"/>
          </w:tcPr>
          <w:p w14:paraId="40E7E0F7">
            <w:pPr>
              <w:topLinePunct/>
              <w:adjustRightInd w:val="0"/>
              <w:snapToGrid w:val="0"/>
              <w:spacing w:before="0" w:beforeLines="0" w:line="240" w:lineRule="auto"/>
              <w:jc w:val="center"/>
              <w:rPr>
                <w:kern w:val="0"/>
                <w:szCs w:val="21"/>
              </w:rPr>
            </w:pPr>
            <w:r>
              <w:rPr>
                <w:kern w:val="0"/>
                <w:szCs w:val="21"/>
              </w:rPr>
              <w:t>10</w:t>
            </w:r>
          </w:p>
        </w:tc>
        <w:tc>
          <w:tcPr>
            <w:tcW w:w="369" w:type="pct"/>
            <w:vAlign w:val="center"/>
          </w:tcPr>
          <w:p w14:paraId="1AAE2BD0">
            <w:pPr>
              <w:topLinePunct/>
              <w:adjustRightInd w:val="0"/>
              <w:snapToGrid w:val="0"/>
              <w:spacing w:before="0" w:beforeLines="0" w:line="240" w:lineRule="auto"/>
              <w:jc w:val="center"/>
              <w:rPr>
                <w:kern w:val="0"/>
                <w:szCs w:val="21"/>
              </w:rPr>
            </w:pPr>
            <w:r>
              <w:rPr>
                <w:kern w:val="0"/>
                <w:szCs w:val="21"/>
              </w:rPr>
              <w:t>65.00</w:t>
            </w:r>
          </w:p>
        </w:tc>
        <w:tc>
          <w:tcPr>
            <w:tcW w:w="339" w:type="pct"/>
            <w:vAlign w:val="center"/>
          </w:tcPr>
          <w:p w14:paraId="26D39A5D">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1ED5A66C">
            <w:pPr>
              <w:topLinePunct/>
              <w:adjustRightInd w:val="0"/>
              <w:snapToGrid w:val="0"/>
              <w:spacing w:before="0" w:beforeLines="0" w:line="240" w:lineRule="auto"/>
              <w:jc w:val="center"/>
              <w:rPr>
                <w:kern w:val="0"/>
                <w:szCs w:val="21"/>
              </w:rPr>
            </w:pPr>
          </w:p>
        </w:tc>
        <w:tc>
          <w:tcPr>
            <w:tcW w:w="339" w:type="pct"/>
            <w:vMerge w:val="continue"/>
            <w:vAlign w:val="center"/>
          </w:tcPr>
          <w:p w14:paraId="055E3F66">
            <w:pPr>
              <w:topLinePunct/>
              <w:adjustRightInd w:val="0"/>
              <w:snapToGrid w:val="0"/>
              <w:spacing w:before="0" w:beforeLines="0" w:line="240" w:lineRule="auto"/>
              <w:jc w:val="center"/>
              <w:rPr>
                <w:kern w:val="0"/>
                <w:szCs w:val="21"/>
              </w:rPr>
            </w:pPr>
          </w:p>
        </w:tc>
        <w:tc>
          <w:tcPr>
            <w:tcW w:w="339" w:type="pct"/>
            <w:vMerge w:val="continue"/>
            <w:vAlign w:val="center"/>
          </w:tcPr>
          <w:p w14:paraId="0BB2EE72">
            <w:pPr>
              <w:topLinePunct/>
              <w:adjustRightInd w:val="0"/>
              <w:snapToGrid w:val="0"/>
              <w:spacing w:before="0" w:beforeLines="0" w:line="240" w:lineRule="auto"/>
              <w:jc w:val="center"/>
              <w:rPr>
                <w:kern w:val="0"/>
                <w:szCs w:val="21"/>
              </w:rPr>
            </w:pPr>
          </w:p>
        </w:tc>
      </w:tr>
      <w:tr w14:paraId="1F18FDB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14:paraId="7321A9F7">
            <w:pPr>
              <w:widowControl/>
              <w:spacing w:before="0" w:beforeLines="0" w:line="240" w:lineRule="auto"/>
              <w:jc w:val="center"/>
              <w:textAlignment w:val="center"/>
              <w:rPr>
                <w:kern w:val="0"/>
                <w:szCs w:val="21"/>
                <w:lang w:bidi="ar"/>
              </w:rPr>
            </w:pPr>
            <w:r>
              <w:rPr>
                <w:kern w:val="0"/>
                <w:szCs w:val="21"/>
                <w:lang w:bidi="ar"/>
              </w:rPr>
              <w:t>25</w:t>
            </w:r>
          </w:p>
        </w:tc>
        <w:tc>
          <w:tcPr>
            <w:tcW w:w="351" w:type="pct"/>
            <w:vMerge w:val="continue"/>
            <w:vAlign w:val="center"/>
          </w:tcPr>
          <w:p w14:paraId="6D8263FC">
            <w:pPr>
              <w:topLinePunct/>
              <w:adjustRightInd w:val="0"/>
              <w:snapToGrid w:val="0"/>
              <w:spacing w:before="0" w:beforeLines="0" w:line="240" w:lineRule="auto"/>
              <w:jc w:val="center"/>
              <w:rPr>
                <w:kern w:val="0"/>
                <w:szCs w:val="21"/>
              </w:rPr>
            </w:pPr>
          </w:p>
        </w:tc>
        <w:tc>
          <w:tcPr>
            <w:tcW w:w="715" w:type="pct"/>
            <w:vAlign w:val="center"/>
          </w:tcPr>
          <w:p w14:paraId="3E42B31B">
            <w:pPr>
              <w:spacing w:before="0" w:beforeLines="0" w:line="240" w:lineRule="auto"/>
              <w:jc w:val="center"/>
              <w:rPr>
                <w:kern w:val="0"/>
                <w:szCs w:val="21"/>
                <w:lang w:bidi="ar"/>
              </w:rPr>
            </w:pPr>
            <w:r>
              <w:rPr>
                <w:kern w:val="0"/>
                <w:szCs w:val="21"/>
                <w:lang w:bidi="ar"/>
              </w:rPr>
              <w:t>砂滤泵</w:t>
            </w:r>
          </w:p>
        </w:tc>
        <w:tc>
          <w:tcPr>
            <w:tcW w:w="206" w:type="pct"/>
            <w:vAlign w:val="center"/>
          </w:tcPr>
          <w:p w14:paraId="214D9CA6">
            <w:pPr>
              <w:topLinePunct/>
              <w:adjustRightInd w:val="0"/>
              <w:snapToGrid w:val="0"/>
              <w:spacing w:before="0" w:beforeLines="0" w:line="240" w:lineRule="auto"/>
              <w:jc w:val="center"/>
              <w:rPr>
                <w:kern w:val="0"/>
                <w:szCs w:val="21"/>
              </w:rPr>
            </w:pPr>
            <w:r>
              <w:rPr>
                <w:kern w:val="0"/>
                <w:szCs w:val="21"/>
              </w:rPr>
              <w:t>52</w:t>
            </w:r>
          </w:p>
        </w:tc>
        <w:tc>
          <w:tcPr>
            <w:tcW w:w="203" w:type="pct"/>
            <w:vAlign w:val="center"/>
          </w:tcPr>
          <w:p w14:paraId="397F568F">
            <w:pPr>
              <w:topLinePunct/>
              <w:adjustRightInd w:val="0"/>
              <w:snapToGrid w:val="0"/>
              <w:spacing w:before="0" w:beforeLines="0" w:line="240" w:lineRule="auto"/>
              <w:jc w:val="center"/>
              <w:rPr>
                <w:kern w:val="0"/>
                <w:szCs w:val="21"/>
              </w:rPr>
            </w:pPr>
            <w:r>
              <w:rPr>
                <w:kern w:val="0"/>
                <w:szCs w:val="21"/>
              </w:rPr>
              <w:t>75</w:t>
            </w:r>
          </w:p>
        </w:tc>
        <w:tc>
          <w:tcPr>
            <w:tcW w:w="250" w:type="pct"/>
            <w:vAlign w:val="center"/>
          </w:tcPr>
          <w:p w14:paraId="65288603">
            <w:pPr>
              <w:topLinePunct/>
              <w:adjustRightInd w:val="0"/>
              <w:snapToGrid w:val="0"/>
              <w:spacing w:before="0" w:beforeLines="0" w:line="240" w:lineRule="auto"/>
              <w:jc w:val="center"/>
              <w:rPr>
                <w:kern w:val="0"/>
                <w:szCs w:val="21"/>
              </w:rPr>
            </w:pPr>
            <w:r>
              <w:rPr>
                <w:kern w:val="0"/>
                <w:szCs w:val="21"/>
              </w:rPr>
              <w:t>1</w:t>
            </w:r>
          </w:p>
        </w:tc>
        <w:tc>
          <w:tcPr>
            <w:tcW w:w="384" w:type="pct"/>
            <w:vAlign w:val="center"/>
          </w:tcPr>
          <w:p w14:paraId="5EAA07AA">
            <w:pPr>
              <w:topLinePunct/>
              <w:adjustRightInd w:val="0"/>
              <w:snapToGrid w:val="0"/>
              <w:spacing w:before="0" w:beforeLines="0" w:line="240" w:lineRule="auto"/>
              <w:jc w:val="center"/>
              <w:rPr>
                <w:kern w:val="0"/>
                <w:szCs w:val="21"/>
              </w:rPr>
            </w:pPr>
            <w:r>
              <w:rPr>
                <w:kern w:val="0"/>
                <w:szCs w:val="21"/>
              </w:rPr>
              <w:t>90</w:t>
            </w:r>
          </w:p>
        </w:tc>
        <w:tc>
          <w:tcPr>
            <w:tcW w:w="371" w:type="pct"/>
            <w:vMerge w:val="continue"/>
            <w:vAlign w:val="center"/>
          </w:tcPr>
          <w:p w14:paraId="3BF4F826">
            <w:pPr>
              <w:topLinePunct/>
              <w:adjustRightInd w:val="0"/>
              <w:snapToGrid w:val="0"/>
              <w:spacing w:before="0" w:beforeLines="0" w:line="240" w:lineRule="auto"/>
              <w:jc w:val="center"/>
              <w:rPr>
                <w:kern w:val="0"/>
                <w:szCs w:val="21"/>
              </w:rPr>
            </w:pPr>
          </w:p>
        </w:tc>
        <w:tc>
          <w:tcPr>
            <w:tcW w:w="599" w:type="pct"/>
            <w:vAlign w:val="center"/>
          </w:tcPr>
          <w:p w14:paraId="3FE09927">
            <w:pPr>
              <w:topLinePunct/>
              <w:adjustRightInd w:val="0"/>
              <w:snapToGrid w:val="0"/>
              <w:spacing w:before="0" w:beforeLines="0" w:line="240" w:lineRule="auto"/>
              <w:jc w:val="center"/>
              <w:rPr>
                <w:kern w:val="0"/>
                <w:szCs w:val="21"/>
              </w:rPr>
            </w:pPr>
            <w:r>
              <w:rPr>
                <w:kern w:val="0"/>
                <w:szCs w:val="21"/>
              </w:rPr>
              <w:t>5</w:t>
            </w:r>
          </w:p>
        </w:tc>
        <w:tc>
          <w:tcPr>
            <w:tcW w:w="369" w:type="pct"/>
            <w:vAlign w:val="center"/>
          </w:tcPr>
          <w:p w14:paraId="266054B9">
            <w:pPr>
              <w:topLinePunct/>
              <w:adjustRightInd w:val="0"/>
              <w:snapToGrid w:val="0"/>
              <w:spacing w:before="0" w:beforeLines="0" w:line="240" w:lineRule="auto"/>
              <w:jc w:val="center"/>
              <w:rPr>
                <w:kern w:val="0"/>
                <w:szCs w:val="21"/>
              </w:rPr>
            </w:pPr>
            <w:r>
              <w:rPr>
                <w:kern w:val="0"/>
                <w:szCs w:val="21"/>
              </w:rPr>
              <w:t>76.02</w:t>
            </w:r>
          </w:p>
        </w:tc>
        <w:tc>
          <w:tcPr>
            <w:tcW w:w="339" w:type="pct"/>
            <w:vAlign w:val="center"/>
          </w:tcPr>
          <w:p w14:paraId="589EF1BB">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64AC796F">
            <w:pPr>
              <w:topLinePunct/>
              <w:adjustRightInd w:val="0"/>
              <w:snapToGrid w:val="0"/>
              <w:spacing w:before="0" w:beforeLines="0" w:line="240" w:lineRule="auto"/>
              <w:jc w:val="center"/>
              <w:rPr>
                <w:kern w:val="0"/>
                <w:szCs w:val="21"/>
              </w:rPr>
            </w:pPr>
          </w:p>
        </w:tc>
        <w:tc>
          <w:tcPr>
            <w:tcW w:w="339" w:type="pct"/>
            <w:vMerge w:val="continue"/>
            <w:vAlign w:val="center"/>
          </w:tcPr>
          <w:p w14:paraId="47BB83BF">
            <w:pPr>
              <w:topLinePunct/>
              <w:adjustRightInd w:val="0"/>
              <w:snapToGrid w:val="0"/>
              <w:spacing w:before="0" w:beforeLines="0" w:line="240" w:lineRule="auto"/>
              <w:jc w:val="center"/>
              <w:rPr>
                <w:kern w:val="0"/>
                <w:szCs w:val="21"/>
              </w:rPr>
            </w:pPr>
          </w:p>
        </w:tc>
        <w:tc>
          <w:tcPr>
            <w:tcW w:w="339" w:type="pct"/>
            <w:vMerge w:val="continue"/>
            <w:vAlign w:val="center"/>
          </w:tcPr>
          <w:p w14:paraId="7FBA09DA">
            <w:pPr>
              <w:topLinePunct/>
              <w:adjustRightInd w:val="0"/>
              <w:snapToGrid w:val="0"/>
              <w:spacing w:before="0" w:beforeLines="0" w:line="240" w:lineRule="auto"/>
              <w:jc w:val="center"/>
              <w:rPr>
                <w:kern w:val="0"/>
                <w:szCs w:val="21"/>
              </w:rPr>
            </w:pPr>
          </w:p>
        </w:tc>
      </w:tr>
      <w:tr w14:paraId="578830A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14:paraId="14A7F6FA">
            <w:pPr>
              <w:widowControl/>
              <w:spacing w:before="0" w:beforeLines="0" w:line="240" w:lineRule="auto"/>
              <w:jc w:val="center"/>
              <w:textAlignment w:val="center"/>
              <w:rPr>
                <w:kern w:val="0"/>
                <w:szCs w:val="21"/>
                <w:lang w:bidi="ar"/>
              </w:rPr>
            </w:pPr>
            <w:r>
              <w:rPr>
                <w:kern w:val="0"/>
                <w:szCs w:val="21"/>
                <w:lang w:bidi="ar"/>
              </w:rPr>
              <w:t>26</w:t>
            </w:r>
          </w:p>
        </w:tc>
        <w:tc>
          <w:tcPr>
            <w:tcW w:w="351" w:type="pct"/>
            <w:vMerge w:val="continue"/>
            <w:vAlign w:val="center"/>
          </w:tcPr>
          <w:p w14:paraId="0ABA9257">
            <w:pPr>
              <w:topLinePunct/>
              <w:adjustRightInd w:val="0"/>
              <w:snapToGrid w:val="0"/>
              <w:spacing w:before="0" w:beforeLines="0" w:line="240" w:lineRule="auto"/>
              <w:jc w:val="center"/>
              <w:rPr>
                <w:kern w:val="0"/>
                <w:szCs w:val="21"/>
              </w:rPr>
            </w:pPr>
          </w:p>
        </w:tc>
        <w:tc>
          <w:tcPr>
            <w:tcW w:w="715" w:type="pct"/>
            <w:vAlign w:val="center"/>
          </w:tcPr>
          <w:p w14:paraId="328CCBF4">
            <w:pPr>
              <w:spacing w:before="0" w:beforeLines="0" w:line="240" w:lineRule="auto"/>
              <w:jc w:val="center"/>
              <w:rPr>
                <w:kern w:val="0"/>
                <w:szCs w:val="21"/>
                <w:lang w:bidi="ar"/>
              </w:rPr>
            </w:pPr>
            <w:r>
              <w:rPr>
                <w:kern w:val="0"/>
                <w:szCs w:val="21"/>
                <w:lang w:bidi="ar"/>
              </w:rPr>
              <w:t>砂滤泵</w:t>
            </w:r>
          </w:p>
        </w:tc>
        <w:tc>
          <w:tcPr>
            <w:tcW w:w="206" w:type="pct"/>
            <w:vAlign w:val="center"/>
          </w:tcPr>
          <w:p w14:paraId="66E34041">
            <w:pPr>
              <w:topLinePunct/>
              <w:adjustRightInd w:val="0"/>
              <w:snapToGrid w:val="0"/>
              <w:spacing w:before="0" w:beforeLines="0" w:line="240" w:lineRule="auto"/>
              <w:jc w:val="center"/>
              <w:rPr>
                <w:kern w:val="0"/>
                <w:szCs w:val="21"/>
              </w:rPr>
            </w:pPr>
            <w:r>
              <w:rPr>
                <w:kern w:val="0"/>
                <w:szCs w:val="21"/>
              </w:rPr>
              <w:t>52</w:t>
            </w:r>
          </w:p>
        </w:tc>
        <w:tc>
          <w:tcPr>
            <w:tcW w:w="203" w:type="pct"/>
            <w:vAlign w:val="center"/>
          </w:tcPr>
          <w:p w14:paraId="3724E431">
            <w:pPr>
              <w:topLinePunct/>
              <w:adjustRightInd w:val="0"/>
              <w:snapToGrid w:val="0"/>
              <w:spacing w:before="0" w:beforeLines="0" w:line="240" w:lineRule="auto"/>
              <w:jc w:val="center"/>
              <w:rPr>
                <w:kern w:val="0"/>
                <w:szCs w:val="21"/>
              </w:rPr>
            </w:pPr>
            <w:r>
              <w:rPr>
                <w:kern w:val="0"/>
                <w:szCs w:val="21"/>
              </w:rPr>
              <w:t>85</w:t>
            </w:r>
          </w:p>
        </w:tc>
        <w:tc>
          <w:tcPr>
            <w:tcW w:w="250" w:type="pct"/>
            <w:vAlign w:val="center"/>
          </w:tcPr>
          <w:p w14:paraId="1D52F8D4">
            <w:pPr>
              <w:topLinePunct/>
              <w:adjustRightInd w:val="0"/>
              <w:snapToGrid w:val="0"/>
              <w:spacing w:before="0" w:beforeLines="0" w:line="240" w:lineRule="auto"/>
              <w:jc w:val="center"/>
              <w:rPr>
                <w:kern w:val="0"/>
                <w:szCs w:val="21"/>
              </w:rPr>
            </w:pPr>
            <w:r>
              <w:rPr>
                <w:kern w:val="0"/>
                <w:szCs w:val="21"/>
              </w:rPr>
              <w:t>1</w:t>
            </w:r>
          </w:p>
        </w:tc>
        <w:tc>
          <w:tcPr>
            <w:tcW w:w="384" w:type="pct"/>
            <w:vAlign w:val="center"/>
          </w:tcPr>
          <w:p w14:paraId="1320AC5E">
            <w:pPr>
              <w:topLinePunct/>
              <w:adjustRightInd w:val="0"/>
              <w:snapToGrid w:val="0"/>
              <w:spacing w:before="0" w:beforeLines="0" w:line="240" w:lineRule="auto"/>
              <w:jc w:val="center"/>
              <w:rPr>
                <w:kern w:val="0"/>
                <w:szCs w:val="21"/>
              </w:rPr>
            </w:pPr>
            <w:r>
              <w:rPr>
                <w:kern w:val="0"/>
                <w:szCs w:val="21"/>
              </w:rPr>
              <w:t>90</w:t>
            </w:r>
          </w:p>
        </w:tc>
        <w:tc>
          <w:tcPr>
            <w:tcW w:w="371" w:type="pct"/>
            <w:vMerge w:val="continue"/>
            <w:vAlign w:val="center"/>
          </w:tcPr>
          <w:p w14:paraId="67815355">
            <w:pPr>
              <w:topLinePunct/>
              <w:adjustRightInd w:val="0"/>
              <w:snapToGrid w:val="0"/>
              <w:spacing w:before="0" w:beforeLines="0" w:line="240" w:lineRule="auto"/>
              <w:jc w:val="center"/>
              <w:rPr>
                <w:kern w:val="0"/>
                <w:szCs w:val="21"/>
              </w:rPr>
            </w:pPr>
          </w:p>
        </w:tc>
        <w:tc>
          <w:tcPr>
            <w:tcW w:w="599" w:type="pct"/>
            <w:vAlign w:val="center"/>
          </w:tcPr>
          <w:p w14:paraId="6766E521">
            <w:pPr>
              <w:topLinePunct/>
              <w:adjustRightInd w:val="0"/>
              <w:snapToGrid w:val="0"/>
              <w:spacing w:before="0" w:beforeLines="0" w:line="240" w:lineRule="auto"/>
              <w:jc w:val="center"/>
              <w:rPr>
                <w:kern w:val="0"/>
                <w:szCs w:val="21"/>
              </w:rPr>
            </w:pPr>
            <w:r>
              <w:rPr>
                <w:kern w:val="0"/>
                <w:szCs w:val="21"/>
              </w:rPr>
              <w:t>5</w:t>
            </w:r>
          </w:p>
        </w:tc>
        <w:tc>
          <w:tcPr>
            <w:tcW w:w="369" w:type="pct"/>
            <w:vAlign w:val="center"/>
          </w:tcPr>
          <w:p w14:paraId="7171097D">
            <w:pPr>
              <w:topLinePunct/>
              <w:adjustRightInd w:val="0"/>
              <w:snapToGrid w:val="0"/>
              <w:spacing w:before="0" w:beforeLines="0" w:line="240" w:lineRule="auto"/>
              <w:jc w:val="center"/>
              <w:rPr>
                <w:kern w:val="0"/>
                <w:szCs w:val="21"/>
              </w:rPr>
            </w:pPr>
            <w:r>
              <w:rPr>
                <w:kern w:val="0"/>
                <w:szCs w:val="21"/>
              </w:rPr>
              <w:t>76.02</w:t>
            </w:r>
          </w:p>
        </w:tc>
        <w:tc>
          <w:tcPr>
            <w:tcW w:w="339" w:type="pct"/>
            <w:vAlign w:val="center"/>
          </w:tcPr>
          <w:p w14:paraId="1885ECD6">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64DB7AEC">
            <w:pPr>
              <w:topLinePunct/>
              <w:adjustRightInd w:val="0"/>
              <w:snapToGrid w:val="0"/>
              <w:spacing w:before="0" w:beforeLines="0" w:line="240" w:lineRule="auto"/>
              <w:jc w:val="center"/>
              <w:rPr>
                <w:kern w:val="0"/>
                <w:szCs w:val="21"/>
              </w:rPr>
            </w:pPr>
          </w:p>
        </w:tc>
        <w:tc>
          <w:tcPr>
            <w:tcW w:w="339" w:type="pct"/>
            <w:vMerge w:val="continue"/>
            <w:vAlign w:val="center"/>
          </w:tcPr>
          <w:p w14:paraId="53079DE1">
            <w:pPr>
              <w:topLinePunct/>
              <w:adjustRightInd w:val="0"/>
              <w:snapToGrid w:val="0"/>
              <w:spacing w:before="0" w:beforeLines="0" w:line="240" w:lineRule="auto"/>
              <w:jc w:val="center"/>
              <w:rPr>
                <w:kern w:val="0"/>
                <w:szCs w:val="21"/>
              </w:rPr>
            </w:pPr>
          </w:p>
        </w:tc>
        <w:tc>
          <w:tcPr>
            <w:tcW w:w="339" w:type="pct"/>
            <w:vMerge w:val="continue"/>
            <w:vAlign w:val="center"/>
          </w:tcPr>
          <w:p w14:paraId="66409B06">
            <w:pPr>
              <w:topLinePunct/>
              <w:adjustRightInd w:val="0"/>
              <w:snapToGrid w:val="0"/>
              <w:spacing w:before="0" w:beforeLines="0" w:line="240" w:lineRule="auto"/>
              <w:jc w:val="center"/>
              <w:rPr>
                <w:kern w:val="0"/>
                <w:szCs w:val="21"/>
              </w:rPr>
            </w:pPr>
          </w:p>
        </w:tc>
      </w:tr>
      <w:tr w14:paraId="7B45E6B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14:paraId="636D9A7F">
            <w:pPr>
              <w:widowControl/>
              <w:spacing w:before="0" w:beforeLines="0" w:line="240" w:lineRule="auto"/>
              <w:jc w:val="center"/>
              <w:textAlignment w:val="center"/>
              <w:rPr>
                <w:kern w:val="0"/>
                <w:szCs w:val="21"/>
              </w:rPr>
            </w:pPr>
            <w:r>
              <w:rPr>
                <w:kern w:val="0"/>
                <w:szCs w:val="21"/>
              </w:rPr>
              <w:t>27</w:t>
            </w:r>
          </w:p>
        </w:tc>
        <w:tc>
          <w:tcPr>
            <w:tcW w:w="351" w:type="pct"/>
            <w:vMerge w:val="restart"/>
            <w:vAlign w:val="center"/>
          </w:tcPr>
          <w:p w14:paraId="7ECCD8B1">
            <w:pPr>
              <w:topLinePunct/>
              <w:adjustRightInd w:val="0"/>
              <w:snapToGrid w:val="0"/>
              <w:spacing w:before="0" w:beforeLines="0" w:line="240" w:lineRule="auto"/>
              <w:jc w:val="center"/>
              <w:rPr>
                <w:kern w:val="0"/>
                <w:szCs w:val="21"/>
              </w:rPr>
            </w:pPr>
            <w:r>
              <w:rPr>
                <w:kern w:val="0"/>
                <w:szCs w:val="21"/>
              </w:rPr>
              <w:t>球磨车间</w:t>
            </w:r>
          </w:p>
        </w:tc>
        <w:tc>
          <w:tcPr>
            <w:tcW w:w="715" w:type="pct"/>
            <w:vAlign w:val="center"/>
          </w:tcPr>
          <w:p w14:paraId="13A20759">
            <w:pPr>
              <w:spacing w:before="0" w:beforeLines="0" w:line="240" w:lineRule="auto"/>
              <w:jc w:val="center"/>
              <w:rPr>
                <w:kern w:val="0"/>
                <w:szCs w:val="21"/>
                <w:lang w:bidi="ar"/>
              </w:rPr>
            </w:pPr>
            <w:r>
              <w:rPr>
                <w:szCs w:val="21"/>
              </w:rPr>
              <w:t>一段球磨机</w:t>
            </w:r>
          </w:p>
        </w:tc>
        <w:tc>
          <w:tcPr>
            <w:tcW w:w="206" w:type="pct"/>
            <w:vAlign w:val="center"/>
          </w:tcPr>
          <w:p w14:paraId="14A14C22">
            <w:pPr>
              <w:topLinePunct/>
              <w:adjustRightInd w:val="0"/>
              <w:snapToGrid w:val="0"/>
              <w:spacing w:before="0" w:beforeLines="0" w:line="240" w:lineRule="auto"/>
              <w:jc w:val="center"/>
              <w:rPr>
                <w:kern w:val="0"/>
                <w:szCs w:val="21"/>
              </w:rPr>
            </w:pPr>
            <w:r>
              <w:rPr>
                <w:kern w:val="0"/>
                <w:szCs w:val="21"/>
              </w:rPr>
              <w:t>52</w:t>
            </w:r>
          </w:p>
        </w:tc>
        <w:tc>
          <w:tcPr>
            <w:tcW w:w="203" w:type="pct"/>
            <w:vAlign w:val="center"/>
          </w:tcPr>
          <w:p w14:paraId="0AF25DF1">
            <w:pPr>
              <w:topLinePunct/>
              <w:adjustRightInd w:val="0"/>
              <w:snapToGrid w:val="0"/>
              <w:spacing w:before="0" w:beforeLines="0" w:line="240" w:lineRule="auto"/>
              <w:jc w:val="center"/>
              <w:rPr>
                <w:kern w:val="0"/>
                <w:szCs w:val="21"/>
              </w:rPr>
            </w:pPr>
            <w:r>
              <w:rPr>
                <w:kern w:val="0"/>
                <w:szCs w:val="21"/>
              </w:rPr>
              <w:t>13</w:t>
            </w:r>
          </w:p>
        </w:tc>
        <w:tc>
          <w:tcPr>
            <w:tcW w:w="250" w:type="pct"/>
            <w:vAlign w:val="center"/>
          </w:tcPr>
          <w:p w14:paraId="0F0A92C3">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14:paraId="23ACFCC3">
            <w:pPr>
              <w:topLinePunct/>
              <w:adjustRightInd w:val="0"/>
              <w:snapToGrid w:val="0"/>
              <w:spacing w:before="0" w:beforeLines="0" w:line="240" w:lineRule="auto"/>
              <w:jc w:val="center"/>
              <w:rPr>
                <w:kern w:val="0"/>
                <w:szCs w:val="21"/>
              </w:rPr>
            </w:pPr>
            <w:r>
              <w:rPr>
                <w:kern w:val="0"/>
                <w:szCs w:val="21"/>
              </w:rPr>
              <w:t>85</w:t>
            </w:r>
          </w:p>
        </w:tc>
        <w:tc>
          <w:tcPr>
            <w:tcW w:w="371" w:type="pct"/>
            <w:vMerge w:val="continue"/>
            <w:vAlign w:val="center"/>
          </w:tcPr>
          <w:p w14:paraId="3E6987FA">
            <w:pPr>
              <w:topLinePunct/>
              <w:adjustRightInd w:val="0"/>
              <w:snapToGrid w:val="0"/>
              <w:spacing w:before="0" w:beforeLines="0" w:line="240" w:lineRule="auto"/>
              <w:jc w:val="center"/>
              <w:rPr>
                <w:kern w:val="0"/>
                <w:szCs w:val="21"/>
              </w:rPr>
            </w:pPr>
          </w:p>
        </w:tc>
        <w:tc>
          <w:tcPr>
            <w:tcW w:w="599" w:type="pct"/>
            <w:vAlign w:val="center"/>
          </w:tcPr>
          <w:p w14:paraId="71925211">
            <w:pPr>
              <w:topLinePunct/>
              <w:adjustRightInd w:val="0"/>
              <w:snapToGrid w:val="0"/>
              <w:spacing w:before="0" w:beforeLines="0" w:line="240" w:lineRule="auto"/>
              <w:jc w:val="center"/>
              <w:rPr>
                <w:kern w:val="0"/>
                <w:szCs w:val="21"/>
              </w:rPr>
            </w:pPr>
            <w:r>
              <w:rPr>
                <w:kern w:val="0"/>
                <w:szCs w:val="21"/>
              </w:rPr>
              <w:t>33</w:t>
            </w:r>
          </w:p>
        </w:tc>
        <w:tc>
          <w:tcPr>
            <w:tcW w:w="369" w:type="pct"/>
            <w:vAlign w:val="center"/>
          </w:tcPr>
          <w:p w14:paraId="1563449F">
            <w:pPr>
              <w:topLinePunct/>
              <w:adjustRightInd w:val="0"/>
              <w:snapToGrid w:val="0"/>
              <w:spacing w:before="0" w:beforeLines="0" w:line="240" w:lineRule="auto"/>
              <w:jc w:val="center"/>
              <w:rPr>
                <w:kern w:val="0"/>
                <w:szCs w:val="21"/>
              </w:rPr>
            </w:pPr>
            <w:r>
              <w:rPr>
                <w:kern w:val="0"/>
                <w:szCs w:val="21"/>
              </w:rPr>
              <w:t>54.63</w:t>
            </w:r>
          </w:p>
        </w:tc>
        <w:tc>
          <w:tcPr>
            <w:tcW w:w="339" w:type="pct"/>
            <w:vAlign w:val="center"/>
          </w:tcPr>
          <w:p w14:paraId="1C4C57B6">
            <w:pPr>
              <w:topLinePunct/>
              <w:adjustRightInd w:val="0"/>
              <w:snapToGrid w:val="0"/>
              <w:spacing w:before="0" w:beforeLines="0" w:line="240" w:lineRule="auto"/>
              <w:jc w:val="center"/>
              <w:rPr>
                <w:kern w:val="0"/>
                <w:szCs w:val="21"/>
              </w:rPr>
            </w:pPr>
            <w:r>
              <w:rPr>
                <w:kern w:val="0"/>
                <w:szCs w:val="21"/>
              </w:rPr>
              <w:t>24h</w:t>
            </w:r>
          </w:p>
        </w:tc>
        <w:tc>
          <w:tcPr>
            <w:tcW w:w="339" w:type="pct"/>
            <w:vMerge w:val="restart"/>
            <w:vAlign w:val="center"/>
          </w:tcPr>
          <w:p w14:paraId="37CDB3B0">
            <w:pPr>
              <w:topLinePunct/>
              <w:adjustRightInd w:val="0"/>
              <w:snapToGrid w:val="0"/>
              <w:spacing w:before="0" w:beforeLines="0" w:line="240" w:lineRule="auto"/>
              <w:jc w:val="center"/>
              <w:rPr>
                <w:kern w:val="0"/>
                <w:szCs w:val="21"/>
              </w:rPr>
            </w:pPr>
            <w:r>
              <w:rPr>
                <w:rFonts w:hint="eastAsia"/>
                <w:kern w:val="0"/>
                <w:szCs w:val="21"/>
              </w:rPr>
              <w:t>31</w:t>
            </w:r>
          </w:p>
        </w:tc>
        <w:tc>
          <w:tcPr>
            <w:tcW w:w="339" w:type="pct"/>
            <w:vMerge w:val="restart"/>
            <w:vAlign w:val="center"/>
          </w:tcPr>
          <w:p w14:paraId="69734738">
            <w:pPr>
              <w:topLinePunct/>
              <w:adjustRightInd w:val="0"/>
              <w:snapToGrid w:val="0"/>
              <w:spacing w:before="0" w:beforeLines="0" w:line="240" w:lineRule="auto"/>
              <w:jc w:val="center"/>
              <w:rPr>
                <w:kern w:val="0"/>
                <w:szCs w:val="21"/>
              </w:rPr>
            </w:pPr>
            <w:r>
              <w:rPr>
                <w:rFonts w:hint="eastAsia"/>
                <w:kern w:val="0"/>
                <w:szCs w:val="21"/>
              </w:rPr>
              <w:t>28.3</w:t>
            </w:r>
          </w:p>
        </w:tc>
        <w:tc>
          <w:tcPr>
            <w:tcW w:w="339" w:type="pct"/>
            <w:vMerge w:val="restart"/>
            <w:vAlign w:val="center"/>
          </w:tcPr>
          <w:p w14:paraId="068018D9">
            <w:pPr>
              <w:topLinePunct/>
              <w:adjustRightInd w:val="0"/>
              <w:snapToGrid w:val="0"/>
              <w:spacing w:before="0" w:beforeLines="0" w:line="240" w:lineRule="auto"/>
              <w:jc w:val="center"/>
              <w:rPr>
                <w:kern w:val="0"/>
                <w:szCs w:val="21"/>
              </w:rPr>
            </w:pPr>
            <w:r>
              <w:rPr>
                <w:kern w:val="0"/>
                <w:szCs w:val="21"/>
              </w:rPr>
              <w:t>1</w:t>
            </w:r>
          </w:p>
        </w:tc>
      </w:tr>
      <w:tr w14:paraId="663AF82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14:paraId="43B0E8ED">
            <w:pPr>
              <w:widowControl/>
              <w:spacing w:before="0" w:beforeLines="0" w:line="240" w:lineRule="auto"/>
              <w:jc w:val="center"/>
              <w:textAlignment w:val="center"/>
              <w:rPr>
                <w:kern w:val="0"/>
                <w:szCs w:val="21"/>
              </w:rPr>
            </w:pPr>
            <w:r>
              <w:rPr>
                <w:kern w:val="0"/>
                <w:szCs w:val="21"/>
              </w:rPr>
              <w:t>28</w:t>
            </w:r>
          </w:p>
        </w:tc>
        <w:tc>
          <w:tcPr>
            <w:tcW w:w="351" w:type="pct"/>
            <w:vMerge w:val="continue"/>
            <w:vAlign w:val="center"/>
          </w:tcPr>
          <w:p w14:paraId="74E49C0B">
            <w:pPr>
              <w:topLinePunct/>
              <w:adjustRightInd w:val="0"/>
              <w:snapToGrid w:val="0"/>
              <w:spacing w:before="0" w:beforeLines="0" w:line="240" w:lineRule="auto"/>
              <w:jc w:val="center"/>
              <w:rPr>
                <w:kern w:val="0"/>
                <w:szCs w:val="21"/>
              </w:rPr>
            </w:pPr>
          </w:p>
        </w:tc>
        <w:tc>
          <w:tcPr>
            <w:tcW w:w="715" w:type="pct"/>
            <w:vAlign w:val="center"/>
          </w:tcPr>
          <w:p w14:paraId="01434AEF">
            <w:pPr>
              <w:spacing w:before="0" w:beforeLines="0" w:line="240" w:lineRule="auto"/>
              <w:jc w:val="center"/>
              <w:rPr>
                <w:kern w:val="0"/>
                <w:szCs w:val="21"/>
                <w:lang w:bidi="ar"/>
              </w:rPr>
            </w:pPr>
            <w:r>
              <w:rPr>
                <w:szCs w:val="21"/>
              </w:rPr>
              <w:t>一段球磨机</w:t>
            </w:r>
          </w:p>
        </w:tc>
        <w:tc>
          <w:tcPr>
            <w:tcW w:w="206" w:type="pct"/>
            <w:vAlign w:val="center"/>
          </w:tcPr>
          <w:p w14:paraId="11C45E45">
            <w:pPr>
              <w:topLinePunct/>
              <w:adjustRightInd w:val="0"/>
              <w:snapToGrid w:val="0"/>
              <w:spacing w:before="0" w:beforeLines="0" w:line="240" w:lineRule="auto"/>
              <w:jc w:val="center"/>
              <w:rPr>
                <w:kern w:val="0"/>
                <w:szCs w:val="21"/>
              </w:rPr>
            </w:pPr>
            <w:r>
              <w:rPr>
                <w:kern w:val="0"/>
                <w:szCs w:val="21"/>
              </w:rPr>
              <w:t>41</w:t>
            </w:r>
          </w:p>
        </w:tc>
        <w:tc>
          <w:tcPr>
            <w:tcW w:w="203" w:type="pct"/>
            <w:vAlign w:val="center"/>
          </w:tcPr>
          <w:p w14:paraId="35612A36">
            <w:pPr>
              <w:topLinePunct/>
              <w:adjustRightInd w:val="0"/>
              <w:snapToGrid w:val="0"/>
              <w:spacing w:before="0" w:beforeLines="0" w:line="240" w:lineRule="auto"/>
              <w:jc w:val="center"/>
              <w:rPr>
                <w:kern w:val="0"/>
                <w:szCs w:val="21"/>
              </w:rPr>
            </w:pPr>
            <w:r>
              <w:rPr>
                <w:kern w:val="0"/>
                <w:szCs w:val="21"/>
              </w:rPr>
              <w:t>13</w:t>
            </w:r>
          </w:p>
        </w:tc>
        <w:tc>
          <w:tcPr>
            <w:tcW w:w="250" w:type="pct"/>
            <w:vAlign w:val="center"/>
          </w:tcPr>
          <w:p w14:paraId="6B9D3118">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14:paraId="08715541">
            <w:pPr>
              <w:topLinePunct/>
              <w:adjustRightInd w:val="0"/>
              <w:snapToGrid w:val="0"/>
              <w:spacing w:before="0" w:beforeLines="0" w:line="240" w:lineRule="auto"/>
              <w:jc w:val="center"/>
              <w:rPr>
                <w:kern w:val="0"/>
                <w:szCs w:val="21"/>
              </w:rPr>
            </w:pPr>
            <w:r>
              <w:rPr>
                <w:kern w:val="0"/>
                <w:szCs w:val="21"/>
              </w:rPr>
              <w:t>85</w:t>
            </w:r>
          </w:p>
        </w:tc>
        <w:tc>
          <w:tcPr>
            <w:tcW w:w="371" w:type="pct"/>
            <w:vMerge w:val="continue"/>
            <w:vAlign w:val="center"/>
          </w:tcPr>
          <w:p w14:paraId="7EE04D4A">
            <w:pPr>
              <w:topLinePunct/>
              <w:adjustRightInd w:val="0"/>
              <w:snapToGrid w:val="0"/>
              <w:spacing w:before="0" w:beforeLines="0" w:line="240" w:lineRule="auto"/>
              <w:jc w:val="center"/>
              <w:rPr>
                <w:kern w:val="0"/>
                <w:szCs w:val="21"/>
              </w:rPr>
            </w:pPr>
          </w:p>
        </w:tc>
        <w:tc>
          <w:tcPr>
            <w:tcW w:w="599" w:type="pct"/>
            <w:vAlign w:val="center"/>
          </w:tcPr>
          <w:p w14:paraId="7E02164D">
            <w:pPr>
              <w:topLinePunct/>
              <w:adjustRightInd w:val="0"/>
              <w:snapToGrid w:val="0"/>
              <w:spacing w:before="0" w:beforeLines="0" w:line="240" w:lineRule="auto"/>
              <w:jc w:val="center"/>
              <w:rPr>
                <w:kern w:val="0"/>
                <w:szCs w:val="21"/>
              </w:rPr>
            </w:pPr>
            <w:r>
              <w:rPr>
                <w:kern w:val="0"/>
                <w:szCs w:val="21"/>
              </w:rPr>
              <w:t>34</w:t>
            </w:r>
          </w:p>
        </w:tc>
        <w:tc>
          <w:tcPr>
            <w:tcW w:w="369" w:type="pct"/>
            <w:vAlign w:val="center"/>
          </w:tcPr>
          <w:p w14:paraId="311E8315">
            <w:pPr>
              <w:topLinePunct/>
              <w:adjustRightInd w:val="0"/>
              <w:snapToGrid w:val="0"/>
              <w:spacing w:before="0" w:beforeLines="0" w:line="240" w:lineRule="auto"/>
              <w:jc w:val="center"/>
              <w:rPr>
                <w:kern w:val="0"/>
                <w:szCs w:val="21"/>
              </w:rPr>
            </w:pPr>
            <w:r>
              <w:rPr>
                <w:kern w:val="0"/>
                <w:szCs w:val="21"/>
              </w:rPr>
              <w:t>54.37</w:t>
            </w:r>
          </w:p>
        </w:tc>
        <w:tc>
          <w:tcPr>
            <w:tcW w:w="339" w:type="pct"/>
            <w:vAlign w:val="center"/>
          </w:tcPr>
          <w:p w14:paraId="7A9780E3">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21387083">
            <w:pPr>
              <w:topLinePunct/>
              <w:adjustRightInd w:val="0"/>
              <w:snapToGrid w:val="0"/>
              <w:spacing w:before="0" w:beforeLines="0" w:line="240" w:lineRule="auto"/>
              <w:jc w:val="center"/>
              <w:rPr>
                <w:kern w:val="0"/>
                <w:szCs w:val="21"/>
              </w:rPr>
            </w:pPr>
          </w:p>
        </w:tc>
        <w:tc>
          <w:tcPr>
            <w:tcW w:w="339" w:type="pct"/>
            <w:vMerge w:val="continue"/>
            <w:vAlign w:val="center"/>
          </w:tcPr>
          <w:p w14:paraId="0D4128BC">
            <w:pPr>
              <w:topLinePunct/>
              <w:adjustRightInd w:val="0"/>
              <w:snapToGrid w:val="0"/>
              <w:spacing w:before="0" w:beforeLines="0" w:line="240" w:lineRule="auto"/>
              <w:jc w:val="center"/>
              <w:rPr>
                <w:kern w:val="0"/>
                <w:szCs w:val="21"/>
              </w:rPr>
            </w:pPr>
          </w:p>
        </w:tc>
        <w:tc>
          <w:tcPr>
            <w:tcW w:w="339" w:type="pct"/>
            <w:vMerge w:val="continue"/>
            <w:vAlign w:val="center"/>
          </w:tcPr>
          <w:p w14:paraId="17C4714B">
            <w:pPr>
              <w:topLinePunct/>
              <w:adjustRightInd w:val="0"/>
              <w:snapToGrid w:val="0"/>
              <w:spacing w:before="0" w:beforeLines="0" w:line="240" w:lineRule="auto"/>
              <w:jc w:val="center"/>
              <w:rPr>
                <w:kern w:val="0"/>
                <w:szCs w:val="21"/>
              </w:rPr>
            </w:pPr>
          </w:p>
        </w:tc>
      </w:tr>
      <w:tr w14:paraId="5490290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14:paraId="7F4FBD72">
            <w:pPr>
              <w:widowControl/>
              <w:spacing w:before="0" w:beforeLines="0" w:line="240" w:lineRule="auto"/>
              <w:jc w:val="center"/>
              <w:textAlignment w:val="center"/>
              <w:rPr>
                <w:kern w:val="0"/>
                <w:szCs w:val="21"/>
              </w:rPr>
            </w:pPr>
            <w:r>
              <w:rPr>
                <w:kern w:val="0"/>
                <w:szCs w:val="21"/>
              </w:rPr>
              <w:t>29</w:t>
            </w:r>
          </w:p>
        </w:tc>
        <w:tc>
          <w:tcPr>
            <w:tcW w:w="351" w:type="pct"/>
            <w:vMerge w:val="continue"/>
            <w:vAlign w:val="center"/>
          </w:tcPr>
          <w:p w14:paraId="3123BC38">
            <w:pPr>
              <w:topLinePunct/>
              <w:adjustRightInd w:val="0"/>
              <w:snapToGrid w:val="0"/>
              <w:spacing w:before="0" w:beforeLines="0" w:line="240" w:lineRule="auto"/>
              <w:jc w:val="center"/>
              <w:rPr>
                <w:kern w:val="0"/>
                <w:szCs w:val="21"/>
              </w:rPr>
            </w:pPr>
          </w:p>
        </w:tc>
        <w:tc>
          <w:tcPr>
            <w:tcW w:w="715" w:type="pct"/>
            <w:vAlign w:val="center"/>
          </w:tcPr>
          <w:p w14:paraId="42F88949">
            <w:pPr>
              <w:spacing w:before="0" w:beforeLines="0" w:line="240" w:lineRule="auto"/>
              <w:jc w:val="center"/>
              <w:rPr>
                <w:kern w:val="0"/>
                <w:szCs w:val="21"/>
                <w:lang w:bidi="ar"/>
              </w:rPr>
            </w:pPr>
            <w:r>
              <w:rPr>
                <w:kern w:val="0"/>
                <w:szCs w:val="21"/>
                <w:lang w:bidi="ar"/>
              </w:rPr>
              <w:t>一段磁选机</w:t>
            </w:r>
          </w:p>
        </w:tc>
        <w:tc>
          <w:tcPr>
            <w:tcW w:w="206" w:type="pct"/>
            <w:vAlign w:val="center"/>
          </w:tcPr>
          <w:p w14:paraId="41C1C817">
            <w:pPr>
              <w:topLinePunct/>
              <w:adjustRightInd w:val="0"/>
              <w:snapToGrid w:val="0"/>
              <w:spacing w:before="0" w:beforeLines="0" w:line="240" w:lineRule="auto"/>
              <w:jc w:val="center"/>
              <w:rPr>
                <w:kern w:val="0"/>
                <w:szCs w:val="21"/>
              </w:rPr>
            </w:pPr>
            <w:r>
              <w:rPr>
                <w:kern w:val="0"/>
                <w:szCs w:val="21"/>
              </w:rPr>
              <w:t>61</w:t>
            </w:r>
          </w:p>
        </w:tc>
        <w:tc>
          <w:tcPr>
            <w:tcW w:w="203" w:type="pct"/>
            <w:vAlign w:val="center"/>
          </w:tcPr>
          <w:p w14:paraId="4225E416">
            <w:pPr>
              <w:topLinePunct/>
              <w:adjustRightInd w:val="0"/>
              <w:snapToGrid w:val="0"/>
              <w:spacing w:before="0" w:beforeLines="0" w:line="240" w:lineRule="auto"/>
              <w:jc w:val="center"/>
              <w:rPr>
                <w:kern w:val="0"/>
                <w:szCs w:val="21"/>
              </w:rPr>
            </w:pPr>
            <w:r>
              <w:rPr>
                <w:kern w:val="0"/>
                <w:szCs w:val="21"/>
              </w:rPr>
              <w:t>26</w:t>
            </w:r>
          </w:p>
        </w:tc>
        <w:tc>
          <w:tcPr>
            <w:tcW w:w="250" w:type="pct"/>
            <w:vAlign w:val="center"/>
          </w:tcPr>
          <w:p w14:paraId="42ABEFA4">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14:paraId="591543A3">
            <w:pPr>
              <w:topLinePunct/>
              <w:adjustRightInd w:val="0"/>
              <w:snapToGrid w:val="0"/>
              <w:spacing w:before="0" w:beforeLines="0" w:line="240" w:lineRule="auto"/>
              <w:jc w:val="center"/>
              <w:rPr>
                <w:kern w:val="0"/>
                <w:szCs w:val="21"/>
              </w:rPr>
            </w:pPr>
            <w:r>
              <w:rPr>
                <w:rFonts w:hint="eastAsia"/>
                <w:kern w:val="0"/>
                <w:szCs w:val="21"/>
              </w:rPr>
              <w:t>85</w:t>
            </w:r>
          </w:p>
        </w:tc>
        <w:tc>
          <w:tcPr>
            <w:tcW w:w="371" w:type="pct"/>
            <w:vMerge w:val="continue"/>
            <w:vAlign w:val="center"/>
          </w:tcPr>
          <w:p w14:paraId="1FD0B4FC">
            <w:pPr>
              <w:topLinePunct/>
              <w:adjustRightInd w:val="0"/>
              <w:snapToGrid w:val="0"/>
              <w:spacing w:before="0" w:beforeLines="0" w:line="240" w:lineRule="auto"/>
              <w:jc w:val="center"/>
              <w:rPr>
                <w:kern w:val="0"/>
                <w:szCs w:val="21"/>
              </w:rPr>
            </w:pPr>
          </w:p>
        </w:tc>
        <w:tc>
          <w:tcPr>
            <w:tcW w:w="599" w:type="pct"/>
            <w:vAlign w:val="center"/>
          </w:tcPr>
          <w:p w14:paraId="24BBE930">
            <w:pPr>
              <w:topLinePunct/>
              <w:adjustRightInd w:val="0"/>
              <w:snapToGrid w:val="0"/>
              <w:spacing w:before="0" w:beforeLines="0" w:line="240" w:lineRule="auto"/>
              <w:jc w:val="center"/>
              <w:rPr>
                <w:kern w:val="0"/>
                <w:szCs w:val="21"/>
              </w:rPr>
            </w:pPr>
            <w:r>
              <w:rPr>
                <w:kern w:val="0"/>
                <w:szCs w:val="21"/>
              </w:rPr>
              <w:t>25</w:t>
            </w:r>
          </w:p>
        </w:tc>
        <w:tc>
          <w:tcPr>
            <w:tcW w:w="369" w:type="pct"/>
            <w:vAlign w:val="center"/>
          </w:tcPr>
          <w:p w14:paraId="57ED8E68">
            <w:pPr>
              <w:topLinePunct/>
              <w:adjustRightInd w:val="0"/>
              <w:snapToGrid w:val="0"/>
              <w:spacing w:before="0" w:beforeLines="0" w:line="240" w:lineRule="auto"/>
              <w:jc w:val="center"/>
              <w:rPr>
                <w:kern w:val="0"/>
                <w:szCs w:val="21"/>
              </w:rPr>
            </w:pPr>
            <w:r>
              <w:rPr>
                <w:kern w:val="0"/>
                <w:szCs w:val="21"/>
              </w:rPr>
              <w:t>42.04</w:t>
            </w:r>
          </w:p>
        </w:tc>
        <w:tc>
          <w:tcPr>
            <w:tcW w:w="339" w:type="pct"/>
            <w:vAlign w:val="center"/>
          </w:tcPr>
          <w:p w14:paraId="4F7D1FEB">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0E3E690B">
            <w:pPr>
              <w:topLinePunct/>
              <w:adjustRightInd w:val="0"/>
              <w:snapToGrid w:val="0"/>
              <w:spacing w:before="0" w:beforeLines="0" w:line="240" w:lineRule="auto"/>
              <w:jc w:val="center"/>
              <w:rPr>
                <w:kern w:val="0"/>
                <w:szCs w:val="21"/>
              </w:rPr>
            </w:pPr>
          </w:p>
        </w:tc>
        <w:tc>
          <w:tcPr>
            <w:tcW w:w="339" w:type="pct"/>
            <w:vMerge w:val="continue"/>
            <w:vAlign w:val="center"/>
          </w:tcPr>
          <w:p w14:paraId="0B508957">
            <w:pPr>
              <w:topLinePunct/>
              <w:adjustRightInd w:val="0"/>
              <w:snapToGrid w:val="0"/>
              <w:spacing w:before="0" w:beforeLines="0" w:line="240" w:lineRule="auto"/>
              <w:jc w:val="center"/>
              <w:rPr>
                <w:kern w:val="0"/>
                <w:szCs w:val="21"/>
              </w:rPr>
            </w:pPr>
          </w:p>
        </w:tc>
        <w:tc>
          <w:tcPr>
            <w:tcW w:w="339" w:type="pct"/>
            <w:vMerge w:val="continue"/>
            <w:vAlign w:val="center"/>
          </w:tcPr>
          <w:p w14:paraId="2BB186E1">
            <w:pPr>
              <w:topLinePunct/>
              <w:adjustRightInd w:val="0"/>
              <w:snapToGrid w:val="0"/>
              <w:spacing w:before="0" w:beforeLines="0" w:line="240" w:lineRule="auto"/>
              <w:jc w:val="center"/>
              <w:rPr>
                <w:kern w:val="0"/>
                <w:szCs w:val="21"/>
              </w:rPr>
            </w:pPr>
          </w:p>
        </w:tc>
      </w:tr>
      <w:tr w14:paraId="2E81A19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14:paraId="3982A95E">
            <w:pPr>
              <w:widowControl/>
              <w:spacing w:before="0" w:beforeLines="0" w:line="240" w:lineRule="auto"/>
              <w:jc w:val="center"/>
              <w:textAlignment w:val="center"/>
              <w:rPr>
                <w:kern w:val="0"/>
                <w:szCs w:val="21"/>
              </w:rPr>
            </w:pPr>
            <w:r>
              <w:rPr>
                <w:kern w:val="0"/>
                <w:szCs w:val="21"/>
              </w:rPr>
              <w:t>30</w:t>
            </w:r>
          </w:p>
        </w:tc>
        <w:tc>
          <w:tcPr>
            <w:tcW w:w="351" w:type="pct"/>
            <w:vMerge w:val="continue"/>
            <w:vAlign w:val="center"/>
          </w:tcPr>
          <w:p w14:paraId="64A83AFC">
            <w:pPr>
              <w:topLinePunct/>
              <w:adjustRightInd w:val="0"/>
              <w:snapToGrid w:val="0"/>
              <w:spacing w:before="0" w:beforeLines="0" w:line="240" w:lineRule="auto"/>
              <w:jc w:val="center"/>
              <w:rPr>
                <w:kern w:val="0"/>
                <w:szCs w:val="21"/>
              </w:rPr>
            </w:pPr>
          </w:p>
        </w:tc>
        <w:tc>
          <w:tcPr>
            <w:tcW w:w="715" w:type="pct"/>
            <w:vAlign w:val="center"/>
          </w:tcPr>
          <w:p w14:paraId="24EBCC76">
            <w:pPr>
              <w:spacing w:before="0" w:beforeLines="0" w:line="240" w:lineRule="auto"/>
              <w:jc w:val="center"/>
              <w:rPr>
                <w:kern w:val="0"/>
                <w:szCs w:val="21"/>
                <w:lang w:bidi="ar"/>
              </w:rPr>
            </w:pPr>
            <w:r>
              <w:rPr>
                <w:kern w:val="0"/>
                <w:szCs w:val="21"/>
                <w:lang w:bidi="ar"/>
              </w:rPr>
              <w:t>一段磁选机</w:t>
            </w:r>
          </w:p>
        </w:tc>
        <w:tc>
          <w:tcPr>
            <w:tcW w:w="206" w:type="pct"/>
            <w:vAlign w:val="center"/>
          </w:tcPr>
          <w:p w14:paraId="3FF2D62F">
            <w:pPr>
              <w:topLinePunct/>
              <w:adjustRightInd w:val="0"/>
              <w:snapToGrid w:val="0"/>
              <w:spacing w:before="0" w:beforeLines="0" w:line="240" w:lineRule="auto"/>
              <w:jc w:val="center"/>
              <w:rPr>
                <w:kern w:val="0"/>
                <w:szCs w:val="21"/>
              </w:rPr>
            </w:pPr>
            <w:r>
              <w:rPr>
                <w:kern w:val="0"/>
                <w:szCs w:val="21"/>
              </w:rPr>
              <w:t>55</w:t>
            </w:r>
          </w:p>
        </w:tc>
        <w:tc>
          <w:tcPr>
            <w:tcW w:w="203" w:type="pct"/>
            <w:vAlign w:val="center"/>
          </w:tcPr>
          <w:p w14:paraId="620F8F35">
            <w:pPr>
              <w:topLinePunct/>
              <w:adjustRightInd w:val="0"/>
              <w:snapToGrid w:val="0"/>
              <w:spacing w:before="0" w:beforeLines="0" w:line="240" w:lineRule="auto"/>
              <w:jc w:val="center"/>
              <w:rPr>
                <w:kern w:val="0"/>
                <w:szCs w:val="21"/>
              </w:rPr>
            </w:pPr>
            <w:r>
              <w:rPr>
                <w:kern w:val="0"/>
                <w:szCs w:val="21"/>
              </w:rPr>
              <w:t>26</w:t>
            </w:r>
          </w:p>
        </w:tc>
        <w:tc>
          <w:tcPr>
            <w:tcW w:w="250" w:type="pct"/>
            <w:vAlign w:val="center"/>
          </w:tcPr>
          <w:p w14:paraId="09F5BEB2">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14:paraId="33A16F5B">
            <w:pPr>
              <w:topLinePunct/>
              <w:adjustRightInd w:val="0"/>
              <w:snapToGrid w:val="0"/>
              <w:spacing w:before="0" w:beforeLines="0" w:line="240" w:lineRule="auto"/>
              <w:jc w:val="center"/>
              <w:rPr>
                <w:kern w:val="0"/>
                <w:szCs w:val="21"/>
              </w:rPr>
            </w:pPr>
            <w:r>
              <w:rPr>
                <w:rFonts w:hint="eastAsia"/>
                <w:kern w:val="0"/>
                <w:szCs w:val="21"/>
              </w:rPr>
              <w:t>85</w:t>
            </w:r>
          </w:p>
        </w:tc>
        <w:tc>
          <w:tcPr>
            <w:tcW w:w="371" w:type="pct"/>
            <w:vMerge w:val="continue"/>
            <w:vAlign w:val="center"/>
          </w:tcPr>
          <w:p w14:paraId="5339D4D8">
            <w:pPr>
              <w:topLinePunct/>
              <w:adjustRightInd w:val="0"/>
              <w:snapToGrid w:val="0"/>
              <w:spacing w:before="0" w:beforeLines="0" w:line="240" w:lineRule="auto"/>
              <w:jc w:val="center"/>
              <w:rPr>
                <w:kern w:val="0"/>
                <w:szCs w:val="21"/>
              </w:rPr>
            </w:pPr>
          </w:p>
        </w:tc>
        <w:tc>
          <w:tcPr>
            <w:tcW w:w="599" w:type="pct"/>
            <w:vAlign w:val="center"/>
          </w:tcPr>
          <w:p w14:paraId="6CA733B0">
            <w:pPr>
              <w:topLinePunct/>
              <w:adjustRightInd w:val="0"/>
              <w:snapToGrid w:val="0"/>
              <w:spacing w:before="0" w:beforeLines="0" w:line="240" w:lineRule="auto"/>
              <w:jc w:val="center"/>
              <w:rPr>
                <w:kern w:val="0"/>
                <w:szCs w:val="21"/>
              </w:rPr>
            </w:pPr>
            <w:r>
              <w:rPr>
                <w:kern w:val="0"/>
                <w:szCs w:val="21"/>
              </w:rPr>
              <w:t>26</w:t>
            </w:r>
          </w:p>
        </w:tc>
        <w:tc>
          <w:tcPr>
            <w:tcW w:w="369" w:type="pct"/>
            <w:vAlign w:val="center"/>
          </w:tcPr>
          <w:p w14:paraId="6576E33E">
            <w:pPr>
              <w:topLinePunct/>
              <w:adjustRightInd w:val="0"/>
              <w:snapToGrid w:val="0"/>
              <w:spacing w:before="0" w:beforeLines="0" w:line="240" w:lineRule="auto"/>
              <w:jc w:val="center"/>
              <w:rPr>
                <w:kern w:val="0"/>
                <w:szCs w:val="21"/>
              </w:rPr>
            </w:pPr>
            <w:r>
              <w:rPr>
                <w:kern w:val="0"/>
                <w:szCs w:val="21"/>
              </w:rPr>
              <w:t>41.70</w:t>
            </w:r>
          </w:p>
        </w:tc>
        <w:tc>
          <w:tcPr>
            <w:tcW w:w="339" w:type="pct"/>
            <w:vAlign w:val="center"/>
          </w:tcPr>
          <w:p w14:paraId="1CF8A88D">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0A66F9B3">
            <w:pPr>
              <w:topLinePunct/>
              <w:adjustRightInd w:val="0"/>
              <w:snapToGrid w:val="0"/>
              <w:spacing w:before="0" w:beforeLines="0" w:line="240" w:lineRule="auto"/>
              <w:jc w:val="center"/>
              <w:rPr>
                <w:kern w:val="0"/>
                <w:szCs w:val="21"/>
              </w:rPr>
            </w:pPr>
          </w:p>
        </w:tc>
        <w:tc>
          <w:tcPr>
            <w:tcW w:w="339" w:type="pct"/>
            <w:vMerge w:val="continue"/>
            <w:vAlign w:val="center"/>
          </w:tcPr>
          <w:p w14:paraId="2B85FEA7">
            <w:pPr>
              <w:topLinePunct/>
              <w:adjustRightInd w:val="0"/>
              <w:snapToGrid w:val="0"/>
              <w:spacing w:before="0" w:beforeLines="0" w:line="240" w:lineRule="auto"/>
              <w:jc w:val="center"/>
              <w:rPr>
                <w:kern w:val="0"/>
                <w:szCs w:val="21"/>
              </w:rPr>
            </w:pPr>
          </w:p>
        </w:tc>
        <w:tc>
          <w:tcPr>
            <w:tcW w:w="339" w:type="pct"/>
            <w:vMerge w:val="continue"/>
            <w:vAlign w:val="center"/>
          </w:tcPr>
          <w:p w14:paraId="4E87101A">
            <w:pPr>
              <w:topLinePunct/>
              <w:adjustRightInd w:val="0"/>
              <w:snapToGrid w:val="0"/>
              <w:spacing w:before="0" w:beforeLines="0" w:line="240" w:lineRule="auto"/>
              <w:jc w:val="center"/>
              <w:rPr>
                <w:kern w:val="0"/>
                <w:szCs w:val="21"/>
              </w:rPr>
            </w:pPr>
          </w:p>
        </w:tc>
      </w:tr>
      <w:tr w14:paraId="67443CE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14:paraId="379BE76F">
            <w:pPr>
              <w:widowControl/>
              <w:spacing w:before="0" w:beforeLines="0" w:line="240" w:lineRule="auto"/>
              <w:jc w:val="center"/>
              <w:textAlignment w:val="center"/>
              <w:rPr>
                <w:kern w:val="0"/>
                <w:szCs w:val="21"/>
              </w:rPr>
            </w:pPr>
            <w:r>
              <w:rPr>
                <w:kern w:val="0"/>
                <w:szCs w:val="21"/>
              </w:rPr>
              <w:t>31</w:t>
            </w:r>
          </w:p>
        </w:tc>
        <w:tc>
          <w:tcPr>
            <w:tcW w:w="351" w:type="pct"/>
            <w:vMerge w:val="continue"/>
            <w:vAlign w:val="center"/>
          </w:tcPr>
          <w:p w14:paraId="730A5C5F">
            <w:pPr>
              <w:topLinePunct/>
              <w:adjustRightInd w:val="0"/>
              <w:snapToGrid w:val="0"/>
              <w:spacing w:before="0" w:beforeLines="0" w:line="240" w:lineRule="auto"/>
              <w:jc w:val="center"/>
              <w:rPr>
                <w:kern w:val="0"/>
                <w:szCs w:val="21"/>
              </w:rPr>
            </w:pPr>
          </w:p>
        </w:tc>
        <w:tc>
          <w:tcPr>
            <w:tcW w:w="715" w:type="pct"/>
            <w:vAlign w:val="center"/>
          </w:tcPr>
          <w:p w14:paraId="6F869A8D">
            <w:pPr>
              <w:spacing w:before="0" w:beforeLines="0" w:line="240" w:lineRule="auto"/>
              <w:jc w:val="center"/>
              <w:rPr>
                <w:kern w:val="0"/>
                <w:szCs w:val="21"/>
                <w:lang w:bidi="ar"/>
              </w:rPr>
            </w:pPr>
            <w:r>
              <w:rPr>
                <w:szCs w:val="21"/>
              </w:rPr>
              <w:t>二段球磨机</w:t>
            </w:r>
          </w:p>
        </w:tc>
        <w:tc>
          <w:tcPr>
            <w:tcW w:w="206" w:type="pct"/>
            <w:vAlign w:val="center"/>
          </w:tcPr>
          <w:p w14:paraId="5AB0B209">
            <w:pPr>
              <w:topLinePunct/>
              <w:adjustRightInd w:val="0"/>
              <w:snapToGrid w:val="0"/>
              <w:spacing w:before="0" w:beforeLines="0" w:line="240" w:lineRule="auto"/>
              <w:jc w:val="center"/>
              <w:rPr>
                <w:kern w:val="0"/>
                <w:szCs w:val="21"/>
              </w:rPr>
            </w:pPr>
            <w:r>
              <w:rPr>
                <w:kern w:val="0"/>
                <w:szCs w:val="21"/>
              </w:rPr>
              <w:t>67</w:t>
            </w:r>
          </w:p>
        </w:tc>
        <w:tc>
          <w:tcPr>
            <w:tcW w:w="203" w:type="pct"/>
            <w:vAlign w:val="center"/>
          </w:tcPr>
          <w:p w14:paraId="47AAFC81">
            <w:pPr>
              <w:topLinePunct/>
              <w:adjustRightInd w:val="0"/>
              <w:snapToGrid w:val="0"/>
              <w:spacing w:before="0" w:beforeLines="0" w:line="240" w:lineRule="auto"/>
              <w:jc w:val="center"/>
              <w:rPr>
                <w:kern w:val="0"/>
                <w:szCs w:val="21"/>
              </w:rPr>
            </w:pPr>
            <w:r>
              <w:rPr>
                <w:kern w:val="0"/>
                <w:szCs w:val="21"/>
              </w:rPr>
              <w:t>40</w:t>
            </w:r>
          </w:p>
        </w:tc>
        <w:tc>
          <w:tcPr>
            <w:tcW w:w="250" w:type="pct"/>
            <w:vAlign w:val="center"/>
          </w:tcPr>
          <w:p w14:paraId="05A5B6A9">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14:paraId="415D240C">
            <w:pPr>
              <w:topLinePunct/>
              <w:adjustRightInd w:val="0"/>
              <w:snapToGrid w:val="0"/>
              <w:spacing w:before="0" w:beforeLines="0" w:line="240" w:lineRule="auto"/>
              <w:jc w:val="center"/>
              <w:rPr>
                <w:kern w:val="0"/>
                <w:szCs w:val="21"/>
              </w:rPr>
            </w:pPr>
            <w:r>
              <w:rPr>
                <w:rFonts w:hint="eastAsia"/>
                <w:kern w:val="0"/>
                <w:szCs w:val="21"/>
              </w:rPr>
              <w:t>85</w:t>
            </w:r>
          </w:p>
        </w:tc>
        <w:tc>
          <w:tcPr>
            <w:tcW w:w="371" w:type="pct"/>
            <w:vMerge w:val="continue"/>
            <w:vAlign w:val="center"/>
          </w:tcPr>
          <w:p w14:paraId="2D3CB21C">
            <w:pPr>
              <w:topLinePunct/>
              <w:adjustRightInd w:val="0"/>
              <w:snapToGrid w:val="0"/>
              <w:spacing w:before="0" w:beforeLines="0" w:line="240" w:lineRule="auto"/>
              <w:jc w:val="center"/>
              <w:rPr>
                <w:kern w:val="0"/>
                <w:szCs w:val="21"/>
              </w:rPr>
            </w:pPr>
          </w:p>
        </w:tc>
        <w:tc>
          <w:tcPr>
            <w:tcW w:w="599" w:type="pct"/>
            <w:vAlign w:val="center"/>
          </w:tcPr>
          <w:p w14:paraId="0C89962B">
            <w:pPr>
              <w:topLinePunct/>
              <w:adjustRightInd w:val="0"/>
              <w:snapToGrid w:val="0"/>
              <w:spacing w:before="0" w:beforeLines="0" w:line="240" w:lineRule="auto"/>
              <w:jc w:val="center"/>
              <w:rPr>
                <w:kern w:val="0"/>
                <w:szCs w:val="21"/>
              </w:rPr>
            </w:pPr>
            <w:r>
              <w:rPr>
                <w:kern w:val="0"/>
                <w:szCs w:val="21"/>
              </w:rPr>
              <w:t>14</w:t>
            </w:r>
          </w:p>
        </w:tc>
        <w:tc>
          <w:tcPr>
            <w:tcW w:w="369" w:type="pct"/>
            <w:vAlign w:val="center"/>
          </w:tcPr>
          <w:p w14:paraId="1552B9BA">
            <w:pPr>
              <w:topLinePunct/>
              <w:adjustRightInd w:val="0"/>
              <w:snapToGrid w:val="0"/>
              <w:spacing w:before="0" w:beforeLines="0" w:line="240" w:lineRule="auto"/>
              <w:jc w:val="center"/>
              <w:rPr>
                <w:kern w:val="0"/>
                <w:szCs w:val="21"/>
              </w:rPr>
            </w:pPr>
            <w:r>
              <w:rPr>
                <w:kern w:val="0"/>
                <w:szCs w:val="21"/>
              </w:rPr>
              <w:t>47.08</w:t>
            </w:r>
          </w:p>
        </w:tc>
        <w:tc>
          <w:tcPr>
            <w:tcW w:w="339" w:type="pct"/>
            <w:vAlign w:val="center"/>
          </w:tcPr>
          <w:p w14:paraId="21ABE0B3">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59D7FB7B">
            <w:pPr>
              <w:topLinePunct/>
              <w:adjustRightInd w:val="0"/>
              <w:snapToGrid w:val="0"/>
              <w:spacing w:before="0" w:beforeLines="0" w:line="240" w:lineRule="auto"/>
              <w:jc w:val="center"/>
              <w:rPr>
                <w:kern w:val="0"/>
                <w:szCs w:val="21"/>
              </w:rPr>
            </w:pPr>
          </w:p>
        </w:tc>
        <w:tc>
          <w:tcPr>
            <w:tcW w:w="339" w:type="pct"/>
            <w:vMerge w:val="continue"/>
            <w:vAlign w:val="center"/>
          </w:tcPr>
          <w:p w14:paraId="4DD79053">
            <w:pPr>
              <w:topLinePunct/>
              <w:adjustRightInd w:val="0"/>
              <w:snapToGrid w:val="0"/>
              <w:spacing w:before="0" w:beforeLines="0" w:line="240" w:lineRule="auto"/>
              <w:jc w:val="center"/>
              <w:rPr>
                <w:kern w:val="0"/>
                <w:szCs w:val="21"/>
              </w:rPr>
            </w:pPr>
          </w:p>
        </w:tc>
        <w:tc>
          <w:tcPr>
            <w:tcW w:w="339" w:type="pct"/>
            <w:vMerge w:val="continue"/>
            <w:vAlign w:val="center"/>
          </w:tcPr>
          <w:p w14:paraId="61C8968B">
            <w:pPr>
              <w:topLinePunct/>
              <w:adjustRightInd w:val="0"/>
              <w:snapToGrid w:val="0"/>
              <w:spacing w:before="0" w:beforeLines="0" w:line="240" w:lineRule="auto"/>
              <w:jc w:val="center"/>
              <w:rPr>
                <w:kern w:val="0"/>
                <w:szCs w:val="21"/>
              </w:rPr>
            </w:pPr>
          </w:p>
        </w:tc>
      </w:tr>
      <w:tr w14:paraId="269D71C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14:paraId="3FE0F455">
            <w:pPr>
              <w:widowControl/>
              <w:spacing w:before="0" w:beforeLines="0" w:line="240" w:lineRule="auto"/>
              <w:jc w:val="center"/>
              <w:textAlignment w:val="center"/>
              <w:rPr>
                <w:kern w:val="0"/>
                <w:szCs w:val="21"/>
              </w:rPr>
            </w:pPr>
            <w:r>
              <w:rPr>
                <w:kern w:val="0"/>
                <w:szCs w:val="21"/>
              </w:rPr>
              <w:t>32</w:t>
            </w:r>
          </w:p>
        </w:tc>
        <w:tc>
          <w:tcPr>
            <w:tcW w:w="351" w:type="pct"/>
            <w:vMerge w:val="continue"/>
            <w:vAlign w:val="center"/>
          </w:tcPr>
          <w:p w14:paraId="340A443C">
            <w:pPr>
              <w:topLinePunct/>
              <w:adjustRightInd w:val="0"/>
              <w:snapToGrid w:val="0"/>
              <w:spacing w:before="0" w:beforeLines="0" w:line="240" w:lineRule="auto"/>
              <w:jc w:val="center"/>
              <w:rPr>
                <w:kern w:val="0"/>
                <w:szCs w:val="21"/>
              </w:rPr>
            </w:pPr>
          </w:p>
        </w:tc>
        <w:tc>
          <w:tcPr>
            <w:tcW w:w="715" w:type="pct"/>
            <w:vAlign w:val="center"/>
          </w:tcPr>
          <w:p w14:paraId="08E88618">
            <w:pPr>
              <w:spacing w:before="0" w:beforeLines="0" w:line="240" w:lineRule="auto"/>
              <w:jc w:val="center"/>
              <w:rPr>
                <w:kern w:val="0"/>
                <w:szCs w:val="21"/>
                <w:lang w:bidi="ar"/>
              </w:rPr>
            </w:pPr>
            <w:r>
              <w:rPr>
                <w:szCs w:val="21"/>
              </w:rPr>
              <w:t>二段磁选机</w:t>
            </w:r>
          </w:p>
        </w:tc>
        <w:tc>
          <w:tcPr>
            <w:tcW w:w="206" w:type="pct"/>
            <w:vAlign w:val="center"/>
          </w:tcPr>
          <w:p w14:paraId="00C3EAF3">
            <w:pPr>
              <w:topLinePunct/>
              <w:adjustRightInd w:val="0"/>
              <w:snapToGrid w:val="0"/>
              <w:spacing w:before="0" w:beforeLines="0" w:line="240" w:lineRule="auto"/>
              <w:jc w:val="center"/>
              <w:rPr>
                <w:kern w:val="0"/>
                <w:szCs w:val="21"/>
              </w:rPr>
            </w:pPr>
            <w:r>
              <w:rPr>
                <w:kern w:val="0"/>
                <w:szCs w:val="21"/>
              </w:rPr>
              <w:t>52</w:t>
            </w:r>
          </w:p>
        </w:tc>
        <w:tc>
          <w:tcPr>
            <w:tcW w:w="203" w:type="pct"/>
            <w:vAlign w:val="center"/>
          </w:tcPr>
          <w:p w14:paraId="77191EC7">
            <w:pPr>
              <w:topLinePunct/>
              <w:adjustRightInd w:val="0"/>
              <w:snapToGrid w:val="0"/>
              <w:spacing w:before="0" w:beforeLines="0" w:line="240" w:lineRule="auto"/>
              <w:jc w:val="center"/>
              <w:rPr>
                <w:kern w:val="0"/>
                <w:szCs w:val="21"/>
              </w:rPr>
            </w:pPr>
            <w:r>
              <w:rPr>
                <w:kern w:val="0"/>
                <w:szCs w:val="21"/>
              </w:rPr>
              <w:t>36</w:t>
            </w:r>
          </w:p>
        </w:tc>
        <w:tc>
          <w:tcPr>
            <w:tcW w:w="250" w:type="pct"/>
            <w:vAlign w:val="center"/>
          </w:tcPr>
          <w:p w14:paraId="19BEA278">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14:paraId="416BA372">
            <w:pPr>
              <w:topLinePunct/>
              <w:adjustRightInd w:val="0"/>
              <w:snapToGrid w:val="0"/>
              <w:spacing w:before="0" w:beforeLines="0" w:line="240" w:lineRule="auto"/>
              <w:jc w:val="center"/>
              <w:rPr>
                <w:kern w:val="0"/>
                <w:szCs w:val="21"/>
              </w:rPr>
            </w:pPr>
            <w:r>
              <w:rPr>
                <w:rFonts w:hint="eastAsia"/>
                <w:kern w:val="0"/>
                <w:szCs w:val="21"/>
              </w:rPr>
              <w:t>85</w:t>
            </w:r>
          </w:p>
        </w:tc>
        <w:tc>
          <w:tcPr>
            <w:tcW w:w="371" w:type="pct"/>
            <w:vMerge w:val="continue"/>
            <w:vAlign w:val="center"/>
          </w:tcPr>
          <w:p w14:paraId="596A1BB0">
            <w:pPr>
              <w:topLinePunct/>
              <w:adjustRightInd w:val="0"/>
              <w:snapToGrid w:val="0"/>
              <w:spacing w:before="0" w:beforeLines="0" w:line="240" w:lineRule="auto"/>
              <w:jc w:val="center"/>
              <w:rPr>
                <w:kern w:val="0"/>
                <w:szCs w:val="21"/>
              </w:rPr>
            </w:pPr>
          </w:p>
        </w:tc>
        <w:tc>
          <w:tcPr>
            <w:tcW w:w="599" w:type="pct"/>
            <w:vAlign w:val="center"/>
          </w:tcPr>
          <w:p w14:paraId="56B50F85">
            <w:pPr>
              <w:topLinePunct/>
              <w:adjustRightInd w:val="0"/>
              <w:snapToGrid w:val="0"/>
              <w:spacing w:before="0" w:beforeLines="0" w:line="240" w:lineRule="auto"/>
              <w:jc w:val="center"/>
              <w:rPr>
                <w:kern w:val="0"/>
                <w:szCs w:val="21"/>
              </w:rPr>
            </w:pPr>
            <w:r>
              <w:rPr>
                <w:kern w:val="0"/>
                <w:szCs w:val="21"/>
              </w:rPr>
              <w:t>17</w:t>
            </w:r>
          </w:p>
        </w:tc>
        <w:tc>
          <w:tcPr>
            <w:tcW w:w="369" w:type="pct"/>
            <w:vAlign w:val="center"/>
          </w:tcPr>
          <w:p w14:paraId="7B214052">
            <w:pPr>
              <w:topLinePunct/>
              <w:adjustRightInd w:val="0"/>
              <w:snapToGrid w:val="0"/>
              <w:spacing w:before="0" w:beforeLines="0" w:line="240" w:lineRule="auto"/>
              <w:jc w:val="center"/>
              <w:rPr>
                <w:kern w:val="0"/>
                <w:szCs w:val="21"/>
              </w:rPr>
            </w:pPr>
            <w:r>
              <w:rPr>
                <w:kern w:val="0"/>
                <w:szCs w:val="21"/>
              </w:rPr>
              <w:t>60.39</w:t>
            </w:r>
          </w:p>
        </w:tc>
        <w:tc>
          <w:tcPr>
            <w:tcW w:w="339" w:type="pct"/>
            <w:vAlign w:val="center"/>
          </w:tcPr>
          <w:p w14:paraId="45AD9648">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2F6B11D0">
            <w:pPr>
              <w:topLinePunct/>
              <w:adjustRightInd w:val="0"/>
              <w:snapToGrid w:val="0"/>
              <w:spacing w:before="0" w:beforeLines="0" w:line="240" w:lineRule="auto"/>
              <w:jc w:val="center"/>
              <w:rPr>
                <w:kern w:val="0"/>
                <w:szCs w:val="21"/>
              </w:rPr>
            </w:pPr>
          </w:p>
        </w:tc>
        <w:tc>
          <w:tcPr>
            <w:tcW w:w="339" w:type="pct"/>
            <w:vMerge w:val="continue"/>
            <w:vAlign w:val="center"/>
          </w:tcPr>
          <w:p w14:paraId="3997213E">
            <w:pPr>
              <w:topLinePunct/>
              <w:adjustRightInd w:val="0"/>
              <w:snapToGrid w:val="0"/>
              <w:spacing w:before="0" w:beforeLines="0" w:line="240" w:lineRule="auto"/>
              <w:jc w:val="center"/>
              <w:rPr>
                <w:kern w:val="0"/>
                <w:szCs w:val="21"/>
              </w:rPr>
            </w:pPr>
          </w:p>
        </w:tc>
        <w:tc>
          <w:tcPr>
            <w:tcW w:w="339" w:type="pct"/>
            <w:vMerge w:val="continue"/>
            <w:vAlign w:val="center"/>
          </w:tcPr>
          <w:p w14:paraId="75E328B4">
            <w:pPr>
              <w:topLinePunct/>
              <w:adjustRightInd w:val="0"/>
              <w:snapToGrid w:val="0"/>
              <w:spacing w:before="0" w:beforeLines="0" w:line="240" w:lineRule="auto"/>
              <w:jc w:val="center"/>
              <w:rPr>
                <w:kern w:val="0"/>
                <w:szCs w:val="21"/>
              </w:rPr>
            </w:pPr>
          </w:p>
        </w:tc>
      </w:tr>
      <w:tr w14:paraId="5E45992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14:paraId="0122F12F">
            <w:pPr>
              <w:widowControl/>
              <w:spacing w:before="0" w:beforeLines="0" w:line="240" w:lineRule="auto"/>
              <w:jc w:val="center"/>
              <w:textAlignment w:val="center"/>
              <w:rPr>
                <w:kern w:val="0"/>
                <w:szCs w:val="21"/>
              </w:rPr>
            </w:pPr>
            <w:r>
              <w:rPr>
                <w:kern w:val="0"/>
                <w:szCs w:val="21"/>
              </w:rPr>
              <w:t>33</w:t>
            </w:r>
          </w:p>
        </w:tc>
        <w:tc>
          <w:tcPr>
            <w:tcW w:w="351" w:type="pct"/>
            <w:vMerge w:val="continue"/>
            <w:vAlign w:val="center"/>
          </w:tcPr>
          <w:p w14:paraId="348B3E4A">
            <w:pPr>
              <w:topLinePunct/>
              <w:adjustRightInd w:val="0"/>
              <w:snapToGrid w:val="0"/>
              <w:spacing w:before="0" w:beforeLines="0" w:line="240" w:lineRule="auto"/>
              <w:jc w:val="center"/>
              <w:rPr>
                <w:kern w:val="0"/>
                <w:szCs w:val="21"/>
              </w:rPr>
            </w:pPr>
          </w:p>
        </w:tc>
        <w:tc>
          <w:tcPr>
            <w:tcW w:w="715" w:type="pct"/>
            <w:vAlign w:val="center"/>
          </w:tcPr>
          <w:p w14:paraId="5CE168C9">
            <w:pPr>
              <w:spacing w:before="0" w:beforeLines="0" w:line="240" w:lineRule="auto"/>
              <w:jc w:val="center"/>
              <w:rPr>
                <w:kern w:val="0"/>
                <w:szCs w:val="21"/>
                <w:lang w:bidi="ar"/>
              </w:rPr>
            </w:pPr>
            <w:r>
              <w:rPr>
                <w:szCs w:val="21"/>
              </w:rPr>
              <w:t>1#脱水机</w:t>
            </w:r>
          </w:p>
        </w:tc>
        <w:tc>
          <w:tcPr>
            <w:tcW w:w="206" w:type="pct"/>
            <w:vAlign w:val="center"/>
          </w:tcPr>
          <w:p w14:paraId="4B18A593">
            <w:pPr>
              <w:topLinePunct/>
              <w:adjustRightInd w:val="0"/>
              <w:snapToGrid w:val="0"/>
              <w:spacing w:before="0" w:beforeLines="0" w:line="240" w:lineRule="auto"/>
              <w:jc w:val="center"/>
              <w:rPr>
                <w:kern w:val="0"/>
                <w:szCs w:val="21"/>
              </w:rPr>
            </w:pPr>
            <w:r>
              <w:rPr>
                <w:kern w:val="0"/>
                <w:szCs w:val="21"/>
              </w:rPr>
              <w:t>67</w:t>
            </w:r>
          </w:p>
        </w:tc>
        <w:tc>
          <w:tcPr>
            <w:tcW w:w="203" w:type="pct"/>
            <w:vAlign w:val="center"/>
          </w:tcPr>
          <w:p w14:paraId="0B94DDC9">
            <w:pPr>
              <w:topLinePunct/>
              <w:adjustRightInd w:val="0"/>
              <w:snapToGrid w:val="0"/>
              <w:spacing w:before="0" w:beforeLines="0" w:line="240" w:lineRule="auto"/>
              <w:jc w:val="center"/>
              <w:rPr>
                <w:kern w:val="0"/>
                <w:szCs w:val="21"/>
              </w:rPr>
            </w:pPr>
            <w:r>
              <w:rPr>
                <w:kern w:val="0"/>
                <w:szCs w:val="21"/>
              </w:rPr>
              <w:t>48</w:t>
            </w:r>
          </w:p>
        </w:tc>
        <w:tc>
          <w:tcPr>
            <w:tcW w:w="250" w:type="pct"/>
            <w:vAlign w:val="center"/>
          </w:tcPr>
          <w:p w14:paraId="690D1247">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14:paraId="358318B7">
            <w:pPr>
              <w:topLinePunct/>
              <w:adjustRightInd w:val="0"/>
              <w:snapToGrid w:val="0"/>
              <w:spacing w:before="0" w:beforeLines="0" w:line="240" w:lineRule="auto"/>
              <w:jc w:val="center"/>
              <w:rPr>
                <w:kern w:val="0"/>
                <w:szCs w:val="21"/>
              </w:rPr>
            </w:pPr>
            <w:r>
              <w:rPr>
                <w:kern w:val="0"/>
                <w:szCs w:val="21"/>
              </w:rPr>
              <w:t>85</w:t>
            </w:r>
          </w:p>
        </w:tc>
        <w:tc>
          <w:tcPr>
            <w:tcW w:w="371" w:type="pct"/>
            <w:vMerge w:val="continue"/>
            <w:vAlign w:val="center"/>
          </w:tcPr>
          <w:p w14:paraId="0158060B">
            <w:pPr>
              <w:topLinePunct/>
              <w:adjustRightInd w:val="0"/>
              <w:snapToGrid w:val="0"/>
              <w:spacing w:before="0" w:beforeLines="0" w:line="240" w:lineRule="auto"/>
              <w:jc w:val="center"/>
              <w:rPr>
                <w:kern w:val="0"/>
                <w:szCs w:val="21"/>
              </w:rPr>
            </w:pPr>
          </w:p>
        </w:tc>
        <w:tc>
          <w:tcPr>
            <w:tcW w:w="599" w:type="pct"/>
            <w:vAlign w:val="center"/>
          </w:tcPr>
          <w:p w14:paraId="28EC7424">
            <w:pPr>
              <w:topLinePunct/>
              <w:adjustRightInd w:val="0"/>
              <w:snapToGrid w:val="0"/>
              <w:spacing w:before="0" w:beforeLines="0" w:line="240" w:lineRule="auto"/>
              <w:jc w:val="center"/>
              <w:rPr>
                <w:kern w:val="0"/>
                <w:szCs w:val="21"/>
              </w:rPr>
            </w:pPr>
            <w:r>
              <w:rPr>
                <w:kern w:val="0"/>
                <w:szCs w:val="21"/>
              </w:rPr>
              <w:t>7</w:t>
            </w:r>
          </w:p>
        </w:tc>
        <w:tc>
          <w:tcPr>
            <w:tcW w:w="369" w:type="pct"/>
            <w:vAlign w:val="center"/>
          </w:tcPr>
          <w:p w14:paraId="12306000">
            <w:pPr>
              <w:topLinePunct/>
              <w:adjustRightInd w:val="0"/>
              <w:snapToGrid w:val="0"/>
              <w:spacing w:before="0" w:beforeLines="0" w:line="240" w:lineRule="auto"/>
              <w:jc w:val="center"/>
              <w:rPr>
                <w:kern w:val="0"/>
                <w:szCs w:val="21"/>
              </w:rPr>
            </w:pPr>
            <w:r>
              <w:rPr>
                <w:kern w:val="0"/>
                <w:szCs w:val="21"/>
              </w:rPr>
              <w:t>68.10</w:t>
            </w:r>
          </w:p>
        </w:tc>
        <w:tc>
          <w:tcPr>
            <w:tcW w:w="339" w:type="pct"/>
            <w:vAlign w:val="center"/>
          </w:tcPr>
          <w:p w14:paraId="64DF9396">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702DD0CC">
            <w:pPr>
              <w:topLinePunct/>
              <w:adjustRightInd w:val="0"/>
              <w:snapToGrid w:val="0"/>
              <w:spacing w:before="0" w:beforeLines="0" w:line="240" w:lineRule="auto"/>
              <w:jc w:val="center"/>
              <w:rPr>
                <w:kern w:val="0"/>
                <w:szCs w:val="21"/>
              </w:rPr>
            </w:pPr>
          </w:p>
        </w:tc>
        <w:tc>
          <w:tcPr>
            <w:tcW w:w="339" w:type="pct"/>
            <w:vMerge w:val="continue"/>
            <w:vAlign w:val="center"/>
          </w:tcPr>
          <w:p w14:paraId="28B00877">
            <w:pPr>
              <w:topLinePunct/>
              <w:adjustRightInd w:val="0"/>
              <w:snapToGrid w:val="0"/>
              <w:spacing w:before="0" w:beforeLines="0" w:line="240" w:lineRule="auto"/>
              <w:jc w:val="center"/>
              <w:rPr>
                <w:kern w:val="0"/>
                <w:szCs w:val="21"/>
              </w:rPr>
            </w:pPr>
          </w:p>
        </w:tc>
        <w:tc>
          <w:tcPr>
            <w:tcW w:w="339" w:type="pct"/>
            <w:vMerge w:val="continue"/>
            <w:vAlign w:val="center"/>
          </w:tcPr>
          <w:p w14:paraId="04417581">
            <w:pPr>
              <w:topLinePunct/>
              <w:adjustRightInd w:val="0"/>
              <w:snapToGrid w:val="0"/>
              <w:spacing w:before="0" w:beforeLines="0" w:line="240" w:lineRule="auto"/>
              <w:jc w:val="center"/>
              <w:rPr>
                <w:kern w:val="0"/>
                <w:szCs w:val="21"/>
              </w:rPr>
            </w:pPr>
          </w:p>
        </w:tc>
      </w:tr>
      <w:tr w14:paraId="3EB6DC7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14:paraId="2F1124FE">
            <w:pPr>
              <w:widowControl/>
              <w:spacing w:before="0" w:beforeLines="0" w:line="240" w:lineRule="auto"/>
              <w:jc w:val="center"/>
              <w:textAlignment w:val="center"/>
              <w:rPr>
                <w:kern w:val="0"/>
                <w:szCs w:val="21"/>
              </w:rPr>
            </w:pPr>
            <w:r>
              <w:rPr>
                <w:kern w:val="0"/>
                <w:szCs w:val="21"/>
              </w:rPr>
              <w:t>34</w:t>
            </w:r>
          </w:p>
        </w:tc>
        <w:tc>
          <w:tcPr>
            <w:tcW w:w="351" w:type="pct"/>
            <w:vMerge w:val="continue"/>
            <w:vAlign w:val="center"/>
          </w:tcPr>
          <w:p w14:paraId="3FC4E41D">
            <w:pPr>
              <w:topLinePunct/>
              <w:adjustRightInd w:val="0"/>
              <w:snapToGrid w:val="0"/>
              <w:spacing w:before="0" w:beforeLines="0" w:line="240" w:lineRule="auto"/>
              <w:jc w:val="center"/>
              <w:rPr>
                <w:kern w:val="0"/>
                <w:szCs w:val="21"/>
              </w:rPr>
            </w:pPr>
          </w:p>
        </w:tc>
        <w:tc>
          <w:tcPr>
            <w:tcW w:w="715" w:type="pct"/>
            <w:vAlign w:val="center"/>
          </w:tcPr>
          <w:p w14:paraId="7F6FFD14">
            <w:pPr>
              <w:spacing w:before="0" w:beforeLines="0" w:line="240" w:lineRule="auto"/>
              <w:jc w:val="center"/>
              <w:rPr>
                <w:szCs w:val="21"/>
              </w:rPr>
            </w:pPr>
            <w:r>
              <w:rPr>
                <w:szCs w:val="21"/>
              </w:rPr>
              <w:t>水泵</w:t>
            </w:r>
          </w:p>
        </w:tc>
        <w:tc>
          <w:tcPr>
            <w:tcW w:w="206" w:type="pct"/>
            <w:vAlign w:val="center"/>
          </w:tcPr>
          <w:p w14:paraId="510323F5">
            <w:pPr>
              <w:topLinePunct/>
              <w:adjustRightInd w:val="0"/>
              <w:snapToGrid w:val="0"/>
              <w:spacing w:before="0" w:beforeLines="0" w:line="240" w:lineRule="auto"/>
              <w:jc w:val="center"/>
              <w:rPr>
                <w:kern w:val="0"/>
                <w:szCs w:val="21"/>
              </w:rPr>
            </w:pPr>
            <w:r>
              <w:rPr>
                <w:kern w:val="0"/>
                <w:szCs w:val="21"/>
              </w:rPr>
              <w:t>49</w:t>
            </w:r>
          </w:p>
        </w:tc>
        <w:tc>
          <w:tcPr>
            <w:tcW w:w="203" w:type="pct"/>
            <w:vAlign w:val="center"/>
          </w:tcPr>
          <w:p w14:paraId="00874214">
            <w:pPr>
              <w:topLinePunct/>
              <w:adjustRightInd w:val="0"/>
              <w:snapToGrid w:val="0"/>
              <w:spacing w:before="0" w:beforeLines="0" w:line="240" w:lineRule="auto"/>
              <w:jc w:val="center"/>
              <w:rPr>
                <w:kern w:val="0"/>
                <w:szCs w:val="21"/>
              </w:rPr>
            </w:pPr>
            <w:r>
              <w:rPr>
                <w:kern w:val="0"/>
                <w:szCs w:val="21"/>
              </w:rPr>
              <w:t>48</w:t>
            </w:r>
          </w:p>
        </w:tc>
        <w:tc>
          <w:tcPr>
            <w:tcW w:w="250" w:type="pct"/>
            <w:vAlign w:val="center"/>
          </w:tcPr>
          <w:p w14:paraId="5FFEA519">
            <w:pPr>
              <w:topLinePunct/>
              <w:adjustRightInd w:val="0"/>
              <w:snapToGrid w:val="0"/>
              <w:spacing w:before="0" w:beforeLines="0" w:line="240" w:lineRule="auto"/>
              <w:jc w:val="center"/>
              <w:rPr>
                <w:kern w:val="0"/>
                <w:szCs w:val="21"/>
              </w:rPr>
            </w:pPr>
            <w:r>
              <w:rPr>
                <w:kern w:val="0"/>
                <w:szCs w:val="21"/>
              </w:rPr>
              <w:t>0.3</w:t>
            </w:r>
          </w:p>
        </w:tc>
        <w:tc>
          <w:tcPr>
            <w:tcW w:w="384" w:type="pct"/>
            <w:vAlign w:val="center"/>
          </w:tcPr>
          <w:p w14:paraId="471093E3">
            <w:pPr>
              <w:topLinePunct/>
              <w:adjustRightInd w:val="0"/>
              <w:snapToGrid w:val="0"/>
              <w:spacing w:before="0" w:beforeLines="0" w:line="240" w:lineRule="auto"/>
              <w:jc w:val="center"/>
              <w:rPr>
                <w:kern w:val="0"/>
                <w:szCs w:val="21"/>
              </w:rPr>
            </w:pPr>
            <w:r>
              <w:rPr>
                <w:rFonts w:hint="eastAsia"/>
                <w:kern w:val="0"/>
                <w:szCs w:val="21"/>
              </w:rPr>
              <w:t>90</w:t>
            </w:r>
          </w:p>
        </w:tc>
        <w:tc>
          <w:tcPr>
            <w:tcW w:w="371" w:type="pct"/>
            <w:vMerge w:val="continue"/>
            <w:vAlign w:val="center"/>
          </w:tcPr>
          <w:p w14:paraId="62064EAB">
            <w:pPr>
              <w:topLinePunct/>
              <w:adjustRightInd w:val="0"/>
              <w:snapToGrid w:val="0"/>
              <w:spacing w:before="0" w:beforeLines="0" w:line="240" w:lineRule="auto"/>
              <w:jc w:val="center"/>
              <w:rPr>
                <w:kern w:val="0"/>
                <w:szCs w:val="21"/>
              </w:rPr>
            </w:pPr>
          </w:p>
        </w:tc>
        <w:tc>
          <w:tcPr>
            <w:tcW w:w="599" w:type="pct"/>
            <w:vAlign w:val="center"/>
          </w:tcPr>
          <w:p w14:paraId="2704E2D8">
            <w:pPr>
              <w:topLinePunct/>
              <w:adjustRightInd w:val="0"/>
              <w:snapToGrid w:val="0"/>
              <w:spacing w:before="0" w:beforeLines="0" w:line="240" w:lineRule="auto"/>
              <w:jc w:val="center"/>
              <w:rPr>
                <w:kern w:val="0"/>
                <w:szCs w:val="21"/>
              </w:rPr>
            </w:pPr>
            <w:r>
              <w:rPr>
                <w:kern w:val="0"/>
                <w:szCs w:val="21"/>
              </w:rPr>
              <w:t>8</w:t>
            </w:r>
          </w:p>
        </w:tc>
        <w:tc>
          <w:tcPr>
            <w:tcW w:w="369" w:type="pct"/>
            <w:vAlign w:val="center"/>
          </w:tcPr>
          <w:p w14:paraId="017F4174">
            <w:pPr>
              <w:topLinePunct/>
              <w:adjustRightInd w:val="0"/>
              <w:snapToGrid w:val="0"/>
              <w:spacing w:before="0" w:beforeLines="0" w:line="240" w:lineRule="auto"/>
              <w:jc w:val="center"/>
              <w:rPr>
                <w:kern w:val="0"/>
                <w:szCs w:val="21"/>
              </w:rPr>
            </w:pPr>
            <w:r>
              <w:rPr>
                <w:kern w:val="0"/>
                <w:szCs w:val="21"/>
              </w:rPr>
              <w:t>51.94</w:t>
            </w:r>
          </w:p>
        </w:tc>
        <w:tc>
          <w:tcPr>
            <w:tcW w:w="339" w:type="pct"/>
            <w:vAlign w:val="center"/>
          </w:tcPr>
          <w:p w14:paraId="09FEAF79">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0A9E6E82">
            <w:pPr>
              <w:topLinePunct/>
              <w:adjustRightInd w:val="0"/>
              <w:snapToGrid w:val="0"/>
              <w:spacing w:before="0" w:beforeLines="0" w:line="240" w:lineRule="auto"/>
              <w:jc w:val="center"/>
              <w:rPr>
                <w:kern w:val="0"/>
                <w:szCs w:val="21"/>
              </w:rPr>
            </w:pPr>
          </w:p>
        </w:tc>
        <w:tc>
          <w:tcPr>
            <w:tcW w:w="339" w:type="pct"/>
            <w:vMerge w:val="continue"/>
            <w:vAlign w:val="center"/>
          </w:tcPr>
          <w:p w14:paraId="7B021D05">
            <w:pPr>
              <w:topLinePunct/>
              <w:adjustRightInd w:val="0"/>
              <w:snapToGrid w:val="0"/>
              <w:spacing w:before="0" w:beforeLines="0" w:line="240" w:lineRule="auto"/>
              <w:jc w:val="center"/>
              <w:rPr>
                <w:kern w:val="0"/>
                <w:szCs w:val="21"/>
              </w:rPr>
            </w:pPr>
          </w:p>
        </w:tc>
        <w:tc>
          <w:tcPr>
            <w:tcW w:w="339" w:type="pct"/>
            <w:vMerge w:val="continue"/>
            <w:vAlign w:val="center"/>
          </w:tcPr>
          <w:p w14:paraId="1B203C52">
            <w:pPr>
              <w:topLinePunct/>
              <w:adjustRightInd w:val="0"/>
              <w:snapToGrid w:val="0"/>
              <w:spacing w:before="0" w:beforeLines="0" w:line="240" w:lineRule="auto"/>
              <w:jc w:val="center"/>
              <w:rPr>
                <w:kern w:val="0"/>
                <w:szCs w:val="21"/>
              </w:rPr>
            </w:pPr>
          </w:p>
        </w:tc>
      </w:tr>
      <w:tr w14:paraId="70B902B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14:paraId="530AB4FB">
            <w:pPr>
              <w:widowControl/>
              <w:spacing w:before="0" w:beforeLines="0" w:line="240" w:lineRule="auto"/>
              <w:jc w:val="center"/>
              <w:textAlignment w:val="center"/>
              <w:rPr>
                <w:kern w:val="0"/>
                <w:szCs w:val="21"/>
              </w:rPr>
            </w:pPr>
            <w:r>
              <w:rPr>
                <w:kern w:val="0"/>
                <w:szCs w:val="21"/>
              </w:rPr>
              <w:t>35</w:t>
            </w:r>
          </w:p>
        </w:tc>
        <w:tc>
          <w:tcPr>
            <w:tcW w:w="351" w:type="pct"/>
            <w:vMerge w:val="restart"/>
            <w:vAlign w:val="center"/>
          </w:tcPr>
          <w:p w14:paraId="5CCDE104">
            <w:pPr>
              <w:topLinePunct/>
              <w:adjustRightInd w:val="0"/>
              <w:snapToGrid w:val="0"/>
              <w:spacing w:before="0" w:beforeLines="0" w:line="240" w:lineRule="auto"/>
              <w:jc w:val="center"/>
              <w:rPr>
                <w:kern w:val="0"/>
                <w:szCs w:val="21"/>
              </w:rPr>
            </w:pPr>
            <w:r>
              <w:rPr>
                <w:kern w:val="0"/>
                <w:szCs w:val="21"/>
              </w:rPr>
              <w:t>重选车间</w:t>
            </w:r>
          </w:p>
        </w:tc>
        <w:tc>
          <w:tcPr>
            <w:tcW w:w="715" w:type="pct"/>
            <w:vAlign w:val="center"/>
          </w:tcPr>
          <w:p w14:paraId="613E3C81">
            <w:pPr>
              <w:spacing w:before="0" w:beforeLines="0" w:line="240" w:lineRule="auto"/>
              <w:jc w:val="center"/>
              <w:rPr>
                <w:kern w:val="0"/>
                <w:szCs w:val="21"/>
                <w:lang w:bidi="ar"/>
              </w:rPr>
            </w:pPr>
            <w:r>
              <w:rPr>
                <w:szCs w:val="21"/>
              </w:rPr>
              <w:t>弱磁选机</w:t>
            </w:r>
          </w:p>
        </w:tc>
        <w:tc>
          <w:tcPr>
            <w:tcW w:w="206" w:type="pct"/>
            <w:vAlign w:val="center"/>
          </w:tcPr>
          <w:p w14:paraId="4F1A42F0">
            <w:pPr>
              <w:topLinePunct/>
              <w:adjustRightInd w:val="0"/>
              <w:snapToGrid w:val="0"/>
              <w:spacing w:before="0" w:beforeLines="0" w:line="240" w:lineRule="auto"/>
              <w:jc w:val="center"/>
              <w:rPr>
                <w:kern w:val="0"/>
                <w:szCs w:val="21"/>
              </w:rPr>
            </w:pPr>
            <w:r>
              <w:rPr>
                <w:kern w:val="0"/>
                <w:szCs w:val="21"/>
              </w:rPr>
              <w:t>24</w:t>
            </w:r>
          </w:p>
        </w:tc>
        <w:tc>
          <w:tcPr>
            <w:tcW w:w="203" w:type="pct"/>
            <w:vAlign w:val="center"/>
          </w:tcPr>
          <w:p w14:paraId="3D86D61E">
            <w:pPr>
              <w:topLinePunct/>
              <w:adjustRightInd w:val="0"/>
              <w:snapToGrid w:val="0"/>
              <w:spacing w:before="0" w:beforeLines="0" w:line="240" w:lineRule="auto"/>
              <w:jc w:val="center"/>
              <w:rPr>
                <w:kern w:val="0"/>
                <w:szCs w:val="21"/>
              </w:rPr>
            </w:pPr>
            <w:r>
              <w:rPr>
                <w:kern w:val="0"/>
                <w:szCs w:val="21"/>
              </w:rPr>
              <w:t>65</w:t>
            </w:r>
          </w:p>
        </w:tc>
        <w:tc>
          <w:tcPr>
            <w:tcW w:w="250" w:type="pct"/>
            <w:vAlign w:val="center"/>
          </w:tcPr>
          <w:p w14:paraId="78D10A12">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14:paraId="067C5831">
            <w:pPr>
              <w:topLinePunct/>
              <w:adjustRightInd w:val="0"/>
              <w:snapToGrid w:val="0"/>
              <w:spacing w:before="0" w:beforeLines="0" w:line="240" w:lineRule="auto"/>
              <w:jc w:val="center"/>
              <w:rPr>
                <w:kern w:val="0"/>
                <w:szCs w:val="21"/>
              </w:rPr>
            </w:pPr>
            <w:r>
              <w:rPr>
                <w:kern w:val="0"/>
                <w:szCs w:val="21"/>
              </w:rPr>
              <w:t>85</w:t>
            </w:r>
          </w:p>
        </w:tc>
        <w:tc>
          <w:tcPr>
            <w:tcW w:w="371" w:type="pct"/>
            <w:vMerge w:val="continue"/>
            <w:vAlign w:val="center"/>
          </w:tcPr>
          <w:p w14:paraId="6B5008D2">
            <w:pPr>
              <w:topLinePunct/>
              <w:adjustRightInd w:val="0"/>
              <w:snapToGrid w:val="0"/>
              <w:spacing w:before="0" w:beforeLines="0" w:line="240" w:lineRule="auto"/>
              <w:jc w:val="center"/>
              <w:rPr>
                <w:kern w:val="0"/>
                <w:szCs w:val="21"/>
              </w:rPr>
            </w:pPr>
          </w:p>
        </w:tc>
        <w:tc>
          <w:tcPr>
            <w:tcW w:w="599" w:type="pct"/>
            <w:vAlign w:val="center"/>
          </w:tcPr>
          <w:p w14:paraId="786F42E4">
            <w:pPr>
              <w:topLinePunct/>
              <w:adjustRightInd w:val="0"/>
              <w:snapToGrid w:val="0"/>
              <w:spacing w:before="0" w:beforeLines="0" w:line="240" w:lineRule="auto"/>
              <w:jc w:val="center"/>
              <w:rPr>
                <w:kern w:val="0"/>
                <w:szCs w:val="21"/>
              </w:rPr>
            </w:pPr>
            <w:r>
              <w:rPr>
                <w:kern w:val="0"/>
                <w:szCs w:val="21"/>
              </w:rPr>
              <w:t>23</w:t>
            </w:r>
          </w:p>
        </w:tc>
        <w:tc>
          <w:tcPr>
            <w:tcW w:w="369" w:type="pct"/>
            <w:vAlign w:val="center"/>
          </w:tcPr>
          <w:p w14:paraId="5F662687">
            <w:pPr>
              <w:topLinePunct/>
              <w:adjustRightInd w:val="0"/>
              <w:snapToGrid w:val="0"/>
              <w:spacing w:before="0" w:beforeLines="0" w:line="240" w:lineRule="auto"/>
              <w:jc w:val="center"/>
              <w:rPr>
                <w:kern w:val="0"/>
                <w:szCs w:val="21"/>
              </w:rPr>
            </w:pPr>
            <w:r>
              <w:rPr>
                <w:kern w:val="0"/>
                <w:szCs w:val="21"/>
              </w:rPr>
              <w:t>57.77</w:t>
            </w:r>
          </w:p>
        </w:tc>
        <w:tc>
          <w:tcPr>
            <w:tcW w:w="339" w:type="pct"/>
            <w:vAlign w:val="center"/>
          </w:tcPr>
          <w:p w14:paraId="6CE0F310">
            <w:pPr>
              <w:topLinePunct/>
              <w:adjustRightInd w:val="0"/>
              <w:snapToGrid w:val="0"/>
              <w:spacing w:before="0" w:beforeLines="0" w:line="240" w:lineRule="auto"/>
              <w:jc w:val="center"/>
              <w:rPr>
                <w:kern w:val="0"/>
                <w:szCs w:val="21"/>
              </w:rPr>
            </w:pPr>
            <w:r>
              <w:rPr>
                <w:kern w:val="0"/>
                <w:szCs w:val="21"/>
              </w:rPr>
              <w:t>24h</w:t>
            </w:r>
          </w:p>
        </w:tc>
        <w:tc>
          <w:tcPr>
            <w:tcW w:w="339" w:type="pct"/>
            <w:vMerge w:val="restart"/>
            <w:vAlign w:val="center"/>
          </w:tcPr>
          <w:p w14:paraId="0CD9ADD8">
            <w:pPr>
              <w:topLinePunct/>
              <w:adjustRightInd w:val="0"/>
              <w:snapToGrid w:val="0"/>
              <w:spacing w:before="0" w:beforeLines="0" w:line="240" w:lineRule="auto"/>
              <w:jc w:val="center"/>
              <w:rPr>
                <w:kern w:val="0"/>
                <w:szCs w:val="21"/>
              </w:rPr>
            </w:pPr>
            <w:r>
              <w:rPr>
                <w:rFonts w:hint="eastAsia"/>
                <w:kern w:val="0"/>
                <w:szCs w:val="21"/>
              </w:rPr>
              <w:t>31</w:t>
            </w:r>
          </w:p>
        </w:tc>
        <w:tc>
          <w:tcPr>
            <w:tcW w:w="339" w:type="pct"/>
            <w:vMerge w:val="restart"/>
            <w:vAlign w:val="center"/>
          </w:tcPr>
          <w:p w14:paraId="15EEE2DB">
            <w:pPr>
              <w:topLinePunct/>
              <w:adjustRightInd w:val="0"/>
              <w:snapToGrid w:val="0"/>
              <w:spacing w:before="0" w:beforeLines="0" w:line="240" w:lineRule="auto"/>
              <w:jc w:val="center"/>
              <w:rPr>
                <w:kern w:val="0"/>
                <w:szCs w:val="21"/>
              </w:rPr>
            </w:pPr>
            <w:r>
              <w:rPr>
                <w:rFonts w:hint="eastAsia"/>
                <w:kern w:val="0"/>
                <w:szCs w:val="21"/>
              </w:rPr>
              <w:t>32.05</w:t>
            </w:r>
          </w:p>
        </w:tc>
        <w:tc>
          <w:tcPr>
            <w:tcW w:w="339" w:type="pct"/>
            <w:vMerge w:val="restart"/>
            <w:vAlign w:val="center"/>
          </w:tcPr>
          <w:p w14:paraId="0881A58F">
            <w:pPr>
              <w:topLinePunct/>
              <w:adjustRightInd w:val="0"/>
              <w:snapToGrid w:val="0"/>
              <w:spacing w:before="0" w:beforeLines="0" w:line="240" w:lineRule="auto"/>
              <w:jc w:val="center"/>
              <w:rPr>
                <w:kern w:val="0"/>
                <w:szCs w:val="21"/>
              </w:rPr>
            </w:pPr>
            <w:r>
              <w:rPr>
                <w:kern w:val="0"/>
                <w:szCs w:val="21"/>
              </w:rPr>
              <w:t>1</w:t>
            </w:r>
          </w:p>
        </w:tc>
      </w:tr>
      <w:tr w14:paraId="0ECDAD4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14:paraId="04A90C6F">
            <w:pPr>
              <w:widowControl/>
              <w:spacing w:before="0" w:beforeLines="0" w:line="240" w:lineRule="auto"/>
              <w:jc w:val="center"/>
              <w:textAlignment w:val="center"/>
              <w:rPr>
                <w:kern w:val="0"/>
                <w:szCs w:val="21"/>
              </w:rPr>
            </w:pPr>
            <w:r>
              <w:rPr>
                <w:kern w:val="0"/>
                <w:szCs w:val="21"/>
              </w:rPr>
              <w:t>36</w:t>
            </w:r>
          </w:p>
        </w:tc>
        <w:tc>
          <w:tcPr>
            <w:tcW w:w="351" w:type="pct"/>
            <w:vMerge w:val="continue"/>
            <w:vAlign w:val="center"/>
          </w:tcPr>
          <w:p w14:paraId="644EA06A">
            <w:pPr>
              <w:topLinePunct/>
              <w:adjustRightInd w:val="0"/>
              <w:snapToGrid w:val="0"/>
              <w:spacing w:before="0" w:beforeLines="0" w:line="240" w:lineRule="auto"/>
              <w:jc w:val="center"/>
              <w:rPr>
                <w:kern w:val="0"/>
                <w:szCs w:val="21"/>
              </w:rPr>
            </w:pPr>
          </w:p>
        </w:tc>
        <w:tc>
          <w:tcPr>
            <w:tcW w:w="715" w:type="pct"/>
            <w:vAlign w:val="center"/>
          </w:tcPr>
          <w:p w14:paraId="376CF526">
            <w:pPr>
              <w:spacing w:before="0" w:beforeLines="0" w:line="240" w:lineRule="auto"/>
              <w:jc w:val="center"/>
              <w:rPr>
                <w:kern w:val="0"/>
                <w:szCs w:val="21"/>
                <w:lang w:bidi="ar"/>
              </w:rPr>
            </w:pPr>
            <w:r>
              <w:rPr>
                <w:szCs w:val="21"/>
              </w:rPr>
              <w:t>强磁选机</w:t>
            </w:r>
          </w:p>
        </w:tc>
        <w:tc>
          <w:tcPr>
            <w:tcW w:w="206" w:type="pct"/>
            <w:vAlign w:val="center"/>
          </w:tcPr>
          <w:p w14:paraId="716D2D8F">
            <w:pPr>
              <w:topLinePunct/>
              <w:adjustRightInd w:val="0"/>
              <w:snapToGrid w:val="0"/>
              <w:spacing w:before="0" w:beforeLines="0" w:line="240" w:lineRule="auto"/>
              <w:jc w:val="center"/>
              <w:rPr>
                <w:kern w:val="0"/>
                <w:szCs w:val="21"/>
              </w:rPr>
            </w:pPr>
            <w:r>
              <w:rPr>
                <w:kern w:val="0"/>
                <w:szCs w:val="21"/>
              </w:rPr>
              <w:t>30</w:t>
            </w:r>
          </w:p>
        </w:tc>
        <w:tc>
          <w:tcPr>
            <w:tcW w:w="203" w:type="pct"/>
            <w:vAlign w:val="center"/>
          </w:tcPr>
          <w:p w14:paraId="0479C475">
            <w:pPr>
              <w:topLinePunct/>
              <w:adjustRightInd w:val="0"/>
              <w:snapToGrid w:val="0"/>
              <w:spacing w:before="0" w:beforeLines="0" w:line="240" w:lineRule="auto"/>
              <w:jc w:val="center"/>
              <w:rPr>
                <w:kern w:val="0"/>
                <w:szCs w:val="21"/>
              </w:rPr>
            </w:pPr>
            <w:r>
              <w:rPr>
                <w:kern w:val="0"/>
                <w:szCs w:val="21"/>
              </w:rPr>
              <w:t>62</w:t>
            </w:r>
          </w:p>
        </w:tc>
        <w:tc>
          <w:tcPr>
            <w:tcW w:w="250" w:type="pct"/>
            <w:vAlign w:val="center"/>
          </w:tcPr>
          <w:p w14:paraId="4E727992">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14:paraId="18AEB14E">
            <w:pPr>
              <w:topLinePunct/>
              <w:adjustRightInd w:val="0"/>
              <w:snapToGrid w:val="0"/>
              <w:spacing w:before="0" w:beforeLines="0" w:line="240" w:lineRule="auto"/>
              <w:jc w:val="center"/>
              <w:rPr>
                <w:kern w:val="0"/>
                <w:szCs w:val="21"/>
              </w:rPr>
            </w:pPr>
            <w:r>
              <w:rPr>
                <w:kern w:val="0"/>
                <w:szCs w:val="21"/>
              </w:rPr>
              <w:t>85</w:t>
            </w:r>
          </w:p>
        </w:tc>
        <w:tc>
          <w:tcPr>
            <w:tcW w:w="371" w:type="pct"/>
            <w:vMerge w:val="continue"/>
            <w:vAlign w:val="center"/>
          </w:tcPr>
          <w:p w14:paraId="00D4B9F5">
            <w:pPr>
              <w:topLinePunct/>
              <w:adjustRightInd w:val="0"/>
              <w:snapToGrid w:val="0"/>
              <w:spacing w:before="0" w:beforeLines="0" w:line="240" w:lineRule="auto"/>
              <w:jc w:val="center"/>
              <w:rPr>
                <w:kern w:val="0"/>
                <w:szCs w:val="21"/>
              </w:rPr>
            </w:pPr>
          </w:p>
        </w:tc>
        <w:tc>
          <w:tcPr>
            <w:tcW w:w="599" w:type="pct"/>
            <w:vAlign w:val="center"/>
          </w:tcPr>
          <w:p w14:paraId="7BEE9D74">
            <w:pPr>
              <w:topLinePunct/>
              <w:adjustRightInd w:val="0"/>
              <w:snapToGrid w:val="0"/>
              <w:spacing w:before="0" w:beforeLines="0" w:line="240" w:lineRule="auto"/>
              <w:jc w:val="center"/>
              <w:rPr>
                <w:kern w:val="0"/>
                <w:szCs w:val="21"/>
              </w:rPr>
            </w:pPr>
            <w:r>
              <w:rPr>
                <w:kern w:val="0"/>
                <w:szCs w:val="21"/>
              </w:rPr>
              <w:t>22</w:t>
            </w:r>
          </w:p>
        </w:tc>
        <w:tc>
          <w:tcPr>
            <w:tcW w:w="369" w:type="pct"/>
            <w:vAlign w:val="center"/>
          </w:tcPr>
          <w:p w14:paraId="0C1B66DA">
            <w:pPr>
              <w:topLinePunct/>
              <w:adjustRightInd w:val="0"/>
              <w:snapToGrid w:val="0"/>
              <w:spacing w:before="0" w:beforeLines="0" w:line="240" w:lineRule="auto"/>
              <w:jc w:val="center"/>
              <w:rPr>
                <w:kern w:val="0"/>
                <w:szCs w:val="21"/>
              </w:rPr>
            </w:pPr>
            <w:r>
              <w:rPr>
                <w:kern w:val="0"/>
                <w:szCs w:val="21"/>
              </w:rPr>
              <w:t>58.15</w:t>
            </w:r>
          </w:p>
        </w:tc>
        <w:tc>
          <w:tcPr>
            <w:tcW w:w="339" w:type="pct"/>
            <w:vAlign w:val="center"/>
          </w:tcPr>
          <w:p w14:paraId="12457404">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0D80877C">
            <w:pPr>
              <w:topLinePunct/>
              <w:adjustRightInd w:val="0"/>
              <w:snapToGrid w:val="0"/>
              <w:spacing w:before="0" w:beforeLines="0" w:line="240" w:lineRule="auto"/>
              <w:jc w:val="center"/>
              <w:rPr>
                <w:kern w:val="0"/>
                <w:szCs w:val="21"/>
              </w:rPr>
            </w:pPr>
          </w:p>
        </w:tc>
        <w:tc>
          <w:tcPr>
            <w:tcW w:w="339" w:type="pct"/>
            <w:vMerge w:val="continue"/>
            <w:vAlign w:val="center"/>
          </w:tcPr>
          <w:p w14:paraId="16DA6535">
            <w:pPr>
              <w:topLinePunct/>
              <w:adjustRightInd w:val="0"/>
              <w:snapToGrid w:val="0"/>
              <w:spacing w:before="0" w:beforeLines="0" w:line="240" w:lineRule="auto"/>
              <w:jc w:val="center"/>
              <w:rPr>
                <w:kern w:val="0"/>
                <w:szCs w:val="21"/>
              </w:rPr>
            </w:pPr>
          </w:p>
        </w:tc>
        <w:tc>
          <w:tcPr>
            <w:tcW w:w="339" w:type="pct"/>
            <w:vMerge w:val="continue"/>
            <w:vAlign w:val="center"/>
          </w:tcPr>
          <w:p w14:paraId="53696ED4">
            <w:pPr>
              <w:topLinePunct/>
              <w:adjustRightInd w:val="0"/>
              <w:snapToGrid w:val="0"/>
              <w:spacing w:before="0" w:beforeLines="0" w:line="240" w:lineRule="auto"/>
              <w:jc w:val="center"/>
              <w:rPr>
                <w:kern w:val="0"/>
                <w:szCs w:val="21"/>
              </w:rPr>
            </w:pPr>
          </w:p>
        </w:tc>
      </w:tr>
      <w:tr w14:paraId="138BEAA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35" w:hRule="atLeast"/>
          <w:jc w:val="center"/>
        </w:trPr>
        <w:tc>
          <w:tcPr>
            <w:tcW w:w="195" w:type="pct"/>
            <w:vAlign w:val="center"/>
          </w:tcPr>
          <w:p w14:paraId="037D7D13">
            <w:pPr>
              <w:widowControl/>
              <w:spacing w:before="0" w:beforeLines="0" w:line="240" w:lineRule="auto"/>
              <w:jc w:val="center"/>
              <w:textAlignment w:val="center"/>
              <w:rPr>
                <w:kern w:val="0"/>
                <w:szCs w:val="21"/>
              </w:rPr>
            </w:pPr>
            <w:r>
              <w:rPr>
                <w:kern w:val="0"/>
                <w:szCs w:val="21"/>
              </w:rPr>
              <w:t>37</w:t>
            </w:r>
          </w:p>
        </w:tc>
        <w:tc>
          <w:tcPr>
            <w:tcW w:w="351" w:type="pct"/>
            <w:vMerge w:val="continue"/>
            <w:vAlign w:val="center"/>
          </w:tcPr>
          <w:p w14:paraId="0033F42F">
            <w:pPr>
              <w:topLinePunct/>
              <w:adjustRightInd w:val="0"/>
              <w:snapToGrid w:val="0"/>
              <w:spacing w:before="0" w:beforeLines="0" w:line="240" w:lineRule="auto"/>
              <w:jc w:val="center"/>
              <w:rPr>
                <w:kern w:val="0"/>
                <w:szCs w:val="21"/>
              </w:rPr>
            </w:pPr>
          </w:p>
        </w:tc>
        <w:tc>
          <w:tcPr>
            <w:tcW w:w="715" w:type="pct"/>
            <w:vAlign w:val="center"/>
          </w:tcPr>
          <w:p w14:paraId="642B5DFA">
            <w:pPr>
              <w:spacing w:before="0" w:beforeLines="0" w:line="240" w:lineRule="auto"/>
              <w:jc w:val="center"/>
              <w:rPr>
                <w:kern w:val="0"/>
                <w:szCs w:val="21"/>
                <w:lang w:bidi="ar"/>
              </w:rPr>
            </w:pPr>
            <w:r>
              <w:rPr>
                <w:szCs w:val="21"/>
              </w:rPr>
              <w:t>强磁选机</w:t>
            </w:r>
          </w:p>
        </w:tc>
        <w:tc>
          <w:tcPr>
            <w:tcW w:w="206" w:type="pct"/>
            <w:vAlign w:val="center"/>
          </w:tcPr>
          <w:p w14:paraId="0512D9A4">
            <w:pPr>
              <w:topLinePunct/>
              <w:adjustRightInd w:val="0"/>
              <w:snapToGrid w:val="0"/>
              <w:spacing w:before="0" w:beforeLines="0" w:line="240" w:lineRule="auto"/>
              <w:jc w:val="center"/>
              <w:rPr>
                <w:kern w:val="0"/>
                <w:szCs w:val="21"/>
              </w:rPr>
            </w:pPr>
            <w:r>
              <w:rPr>
                <w:kern w:val="0"/>
                <w:szCs w:val="21"/>
              </w:rPr>
              <w:t>30</w:t>
            </w:r>
          </w:p>
        </w:tc>
        <w:tc>
          <w:tcPr>
            <w:tcW w:w="203" w:type="pct"/>
            <w:vAlign w:val="center"/>
          </w:tcPr>
          <w:p w14:paraId="3F341B28">
            <w:pPr>
              <w:topLinePunct/>
              <w:adjustRightInd w:val="0"/>
              <w:snapToGrid w:val="0"/>
              <w:spacing w:before="0" w:beforeLines="0" w:line="240" w:lineRule="auto"/>
              <w:jc w:val="center"/>
              <w:rPr>
                <w:kern w:val="0"/>
                <w:szCs w:val="21"/>
              </w:rPr>
            </w:pPr>
            <w:r>
              <w:rPr>
                <w:kern w:val="0"/>
                <w:szCs w:val="21"/>
              </w:rPr>
              <w:t>66</w:t>
            </w:r>
          </w:p>
        </w:tc>
        <w:tc>
          <w:tcPr>
            <w:tcW w:w="250" w:type="pct"/>
            <w:vAlign w:val="center"/>
          </w:tcPr>
          <w:p w14:paraId="4D02984F">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14:paraId="7799F32D">
            <w:pPr>
              <w:topLinePunct/>
              <w:adjustRightInd w:val="0"/>
              <w:snapToGrid w:val="0"/>
              <w:spacing w:before="0" w:beforeLines="0" w:line="240" w:lineRule="auto"/>
              <w:jc w:val="center"/>
              <w:rPr>
                <w:kern w:val="0"/>
                <w:szCs w:val="21"/>
              </w:rPr>
            </w:pPr>
            <w:r>
              <w:rPr>
                <w:kern w:val="0"/>
                <w:szCs w:val="21"/>
              </w:rPr>
              <w:t>85</w:t>
            </w:r>
          </w:p>
        </w:tc>
        <w:tc>
          <w:tcPr>
            <w:tcW w:w="371" w:type="pct"/>
            <w:vMerge w:val="continue"/>
            <w:vAlign w:val="center"/>
          </w:tcPr>
          <w:p w14:paraId="6812F570">
            <w:pPr>
              <w:topLinePunct/>
              <w:adjustRightInd w:val="0"/>
              <w:snapToGrid w:val="0"/>
              <w:spacing w:before="0" w:beforeLines="0" w:line="240" w:lineRule="auto"/>
              <w:jc w:val="center"/>
              <w:rPr>
                <w:kern w:val="0"/>
                <w:szCs w:val="21"/>
              </w:rPr>
            </w:pPr>
          </w:p>
        </w:tc>
        <w:tc>
          <w:tcPr>
            <w:tcW w:w="599" w:type="pct"/>
            <w:vAlign w:val="center"/>
          </w:tcPr>
          <w:p w14:paraId="3A5EBFB3">
            <w:pPr>
              <w:topLinePunct/>
              <w:adjustRightInd w:val="0"/>
              <w:snapToGrid w:val="0"/>
              <w:spacing w:before="0" w:beforeLines="0" w:line="240" w:lineRule="auto"/>
              <w:jc w:val="center"/>
              <w:rPr>
                <w:kern w:val="0"/>
                <w:szCs w:val="21"/>
              </w:rPr>
            </w:pPr>
            <w:r>
              <w:rPr>
                <w:kern w:val="0"/>
                <w:szCs w:val="21"/>
              </w:rPr>
              <w:t>23</w:t>
            </w:r>
          </w:p>
        </w:tc>
        <w:tc>
          <w:tcPr>
            <w:tcW w:w="369" w:type="pct"/>
            <w:vAlign w:val="center"/>
          </w:tcPr>
          <w:p w14:paraId="5FED1316">
            <w:pPr>
              <w:topLinePunct/>
              <w:adjustRightInd w:val="0"/>
              <w:snapToGrid w:val="0"/>
              <w:spacing w:before="0" w:beforeLines="0" w:line="240" w:lineRule="auto"/>
              <w:jc w:val="center"/>
              <w:rPr>
                <w:kern w:val="0"/>
                <w:szCs w:val="21"/>
              </w:rPr>
            </w:pPr>
            <w:r>
              <w:rPr>
                <w:kern w:val="0"/>
                <w:szCs w:val="21"/>
              </w:rPr>
              <w:t>57.77</w:t>
            </w:r>
          </w:p>
        </w:tc>
        <w:tc>
          <w:tcPr>
            <w:tcW w:w="339" w:type="pct"/>
            <w:vAlign w:val="center"/>
          </w:tcPr>
          <w:p w14:paraId="250223C3">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5E22B17A">
            <w:pPr>
              <w:topLinePunct/>
              <w:adjustRightInd w:val="0"/>
              <w:snapToGrid w:val="0"/>
              <w:spacing w:before="0" w:beforeLines="0" w:line="240" w:lineRule="auto"/>
              <w:jc w:val="center"/>
              <w:rPr>
                <w:kern w:val="0"/>
                <w:szCs w:val="21"/>
              </w:rPr>
            </w:pPr>
          </w:p>
        </w:tc>
        <w:tc>
          <w:tcPr>
            <w:tcW w:w="339" w:type="pct"/>
            <w:vMerge w:val="continue"/>
            <w:vAlign w:val="center"/>
          </w:tcPr>
          <w:p w14:paraId="73FF73A7">
            <w:pPr>
              <w:topLinePunct/>
              <w:adjustRightInd w:val="0"/>
              <w:snapToGrid w:val="0"/>
              <w:spacing w:before="0" w:beforeLines="0" w:line="240" w:lineRule="auto"/>
              <w:jc w:val="center"/>
              <w:rPr>
                <w:kern w:val="0"/>
                <w:szCs w:val="21"/>
              </w:rPr>
            </w:pPr>
          </w:p>
        </w:tc>
        <w:tc>
          <w:tcPr>
            <w:tcW w:w="339" w:type="pct"/>
            <w:vMerge w:val="continue"/>
            <w:vAlign w:val="center"/>
          </w:tcPr>
          <w:p w14:paraId="2A04C1CF">
            <w:pPr>
              <w:topLinePunct/>
              <w:adjustRightInd w:val="0"/>
              <w:snapToGrid w:val="0"/>
              <w:spacing w:before="0" w:beforeLines="0" w:line="240" w:lineRule="auto"/>
              <w:jc w:val="center"/>
              <w:rPr>
                <w:kern w:val="0"/>
                <w:szCs w:val="21"/>
              </w:rPr>
            </w:pPr>
          </w:p>
        </w:tc>
      </w:tr>
      <w:tr w14:paraId="4FD2355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81" w:hRule="atLeast"/>
          <w:jc w:val="center"/>
        </w:trPr>
        <w:tc>
          <w:tcPr>
            <w:tcW w:w="195" w:type="pct"/>
            <w:vAlign w:val="center"/>
          </w:tcPr>
          <w:p w14:paraId="79B5FB4E">
            <w:pPr>
              <w:spacing w:before="79" w:line="240" w:lineRule="auto"/>
              <w:jc w:val="center"/>
              <w:textAlignment w:val="center"/>
              <w:rPr>
                <w:kern w:val="0"/>
                <w:szCs w:val="21"/>
              </w:rPr>
            </w:pPr>
            <w:r>
              <w:rPr>
                <w:kern w:val="0"/>
                <w:szCs w:val="21"/>
              </w:rPr>
              <w:t>38</w:t>
            </w:r>
          </w:p>
        </w:tc>
        <w:tc>
          <w:tcPr>
            <w:tcW w:w="351" w:type="pct"/>
            <w:vMerge w:val="continue"/>
            <w:vAlign w:val="center"/>
          </w:tcPr>
          <w:p w14:paraId="5576DC17">
            <w:pPr>
              <w:topLinePunct/>
              <w:adjustRightInd w:val="0"/>
              <w:snapToGrid w:val="0"/>
              <w:spacing w:before="0" w:beforeLines="0" w:line="240" w:lineRule="auto"/>
              <w:jc w:val="center"/>
              <w:rPr>
                <w:kern w:val="0"/>
                <w:szCs w:val="21"/>
              </w:rPr>
            </w:pPr>
          </w:p>
        </w:tc>
        <w:tc>
          <w:tcPr>
            <w:tcW w:w="715" w:type="pct"/>
            <w:vAlign w:val="center"/>
          </w:tcPr>
          <w:p w14:paraId="4BE648D4">
            <w:pPr>
              <w:spacing w:before="0" w:beforeLines="0" w:line="240" w:lineRule="auto"/>
              <w:jc w:val="center"/>
              <w:rPr>
                <w:kern w:val="0"/>
                <w:szCs w:val="21"/>
                <w:lang w:bidi="ar"/>
              </w:rPr>
            </w:pPr>
            <w:r>
              <w:rPr>
                <w:kern w:val="0"/>
                <w:szCs w:val="21"/>
                <w:lang w:bidi="ar"/>
              </w:rPr>
              <w:t>2#脱水机</w:t>
            </w:r>
          </w:p>
        </w:tc>
        <w:tc>
          <w:tcPr>
            <w:tcW w:w="206" w:type="pct"/>
            <w:vAlign w:val="center"/>
          </w:tcPr>
          <w:p w14:paraId="6D7169DB">
            <w:pPr>
              <w:topLinePunct/>
              <w:adjustRightInd w:val="0"/>
              <w:snapToGrid w:val="0"/>
              <w:spacing w:before="0" w:beforeLines="0" w:line="240" w:lineRule="auto"/>
              <w:jc w:val="center"/>
              <w:rPr>
                <w:kern w:val="0"/>
                <w:szCs w:val="21"/>
              </w:rPr>
            </w:pPr>
            <w:r>
              <w:rPr>
                <w:kern w:val="0"/>
                <w:szCs w:val="21"/>
              </w:rPr>
              <w:t>44</w:t>
            </w:r>
          </w:p>
        </w:tc>
        <w:tc>
          <w:tcPr>
            <w:tcW w:w="203" w:type="pct"/>
            <w:vAlign w:val="center"/>
          </w:tcPr>
          <w:p w14:paraId="32F6F198">
            <w:pPr>
              <w:topLinePunct/>
              <w:adjustRightInd w:val="0"/>
              <w:snapToGrid w:val="0"/>
              <w:spacing w:before="0" w:beforeLines="0" w:line="240" w:lineRule="auto"/>
              <w:jc w:val="center"/>
              <w:rPr>
                <w:kern w:val="0"/>
                <w:szCs w:val="21"/>
              </w:rPr>
            </w:pPr>
            <w:r>
              <w:rPr>
                <w:kern w:val="0"/>
                <w:szCs w:val="21"/>
              </w:rPr>
              <w:t>68</w:t>
            </w:r>
          </w:p>
        </w:tc>
        <w:tc>
          <w:tcPr>
            <w:tcW w:w="250" w:type="pct"/>
            <w:vAlign w:val="center"/>
          </w:tcPr>
          <w:p w14:paraId="469F1196">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14:paraId="5F727843">
            <w:pPr>
              <w:topLinePunct/>
              <w:adjustRightInd w:val="0"/>
              <w:snapToGrid w:val="0"/>
              <w:spacing w:before="0" w:beforeLines="0" w:line="240" w:lineRule="auto"/>
              <w:jc w:val="center"/>
              <w:rPr>
                <w:kern w:val="0"/>
                <w:szCs w:val="21"/>
              </w:rPr>
            </w:pPr>
            <w:r>
              <w:rPr>
                <w:kern w:val="0"/>
                <w:szCs w:val="21"/>
              </w:rPr>
              <w:t>85</w:t>
            </w:r>
          </w:p>
        </w:tc>
        <w:tc>
          <w:tcPr>
            <w:tcW w:w="371" w:type="pct"/>
            <w:vMerge w:val="continue"/>
            <w:vAlign w:val="center"/>
          </w:tcPr>
          <w:p w14:paraId="457C9B33">
            <w:pPr>
              <w:topLinePunct/>
              <w:adjustRightInd w:val="0"/>
              <w:snapToGrid w:val="0"/>
              <w:spacing w:before="0" w:beforeLines="0" w:line="240" w:lineRule="auto"/>
              <w:jc w:val="center"/>
              <w:rPr>
                <w:kern w:val="0"/>
                <w:szCs w:val="21"/>
              </w:rPr>
            </w:pPr>
          </w:p>
        </w:tc>
        <w:tc>
          <w:tcPr>
            <w:tcW w:w="599" w:type="pct"/>
            <w:vAlign w:val="center"/>
          </w:tcPr>
          <w:p w14:paraId="585ACCD7">
            <w:pPr>
              <w:topLinePunct/>
              <w:adjustRightInd w:val="0"/>
              <w:snapToGrid w:val="0"/>
              <w:spacing w:before="0" w:beforeLines="0" w:line="240" w:lineRule="auto"/>
              <w:jc w:val="center"/>
              <w:rPr>
                <w:kern w:val="0"/>
                <w:szCs w:val="21"/>
              </w:rPr>
            </w:pPr>
            <w:r>
              <w:rPr>
                <w:kern w:val="0"/>
                <w:szCs w:val="21"/>
              </w:rPr>
              <w:t>36</w:t>
            </w:r>
          </w:p>
        </w:tc>
        <w:tc>
          <w:tcPr>
            <w:tcW w:w="369" w:type="pct"/>
            <w:vAlign w:val="center"/>
          </w:tcPr>
          <w:p w14:paraId="2E7141BA">
            <w:pPr>
              <w:topLinePunct/>
              <w:adjustRightInd w:val="0"/>
              <w:snapToGrid w:val="0"/>
              <w:spacing w:before="0" w:beforeLines="0" w:line="240" w:lineRule="auto"/>
              <w:jc w:val="center"/>
              <w:rPr>
                <w:kern w:val="0"/>
                <w:szCs w:val="21"/>
              </w:rPr>
            </w:pPr>
            <w:r>
              <w:rPr>
                <w:kern w:val="0"/>
                <w:szCs w:val="21"/>
              </w:rPr>
              <w:t>53.87</w:t>
            </w:r>
          </w:p>
        </w:tc>
        <w:tc>
          <w:tcPr>
            <w:tcW w:w="339" w:type="pct"/>
            <w:vAlign w:val="center"/>
          </w:tcPr>
          <w:p w14:paraId="49F34C72">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15C87D05">
            <w:pPr>
              <w:topLinePunct/>
              <w:adjustRightInd w:val="0"/>
              <w:snapToGrid w:val="0"/>
              <w:spacing w:before="0" w:beforeLines="0" w:line="240" w:lineRule="auto"/>
              <w:jc w:val="center"/>
              <w:rPr>
                <w:kern w:val="0"/>
                <w:szCs w:val="21"/>
              </w:rPr>
            </w:pPr>
          </w:p>
        </w:tc>
        <w:tc>
          <w:tcPr>
            <w:tcW w:w="339" w:type="pct"/>
            <w:vMerge w:val="continue"/>
            <w:vAlign w:val="center"/>
          </w:tcPr>
          <w:p w14:paraId="4770E6DB">
            <w:pPr>
              <w:topLinePunct/>
              <w:adjustRightInd w:val="0"/>
              <w:snapToGrid w:val="0"/>
              <w:spacing w:before="0" w:beforeLines="0" w:line="240" w:lineRule="auto"/>
              <w:jc w:val="center"/>
              <w:rPr>
                <w:kern w:val="0"/>
                <w:szCs w:val="21"/>
              </w:rPr>
            </w:pPr>
          </w:p>
        </w:tc>
        <w:tc>
          <w:tcPr>
            <w:tcW w:w="339" w:type="pct"/>
            <w:vMerge w:val="continue"/>
            <w:vAlign w:val="center"/>
          </w:tcPr>
          <w:p w14:paraId="515548AF">
            <w:pPr>
              <w:topLinePunct/>
              <w:adjustRightInd w:val="0"/>
              <w:snapToGrid w:val="0"/>
              <w:spacing w:before="0" w:beforeLines="0" w:line="240" w:lineRule="auto"/>
              <w:jc w:val="center"/>
              <w:rPr>
                <w:kern w:val="0"/>
                <w:szCs w:val="21"/>
              </w:rPr>
            </w:pPr>
          </w:p>
        </w:tc>
      </w:tr>
      <w:tr w14:paraId="0FA0128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71" w:hRule="atLeast"/>
          <w:jc w:val="center"/>
        </w:trPr>
        <w:tc>
          <w:tcPr>
            <w:tcW w:w="195" w:type="pct"/>
            <w:vAlign w:val="center"/>
          </w:tcPr>
          <w:p w14:paraId="63655860">
            <w:pPr>
              <w:widowControl/>
              <w:spacing w:before="0" w:beforeLines="0" w:line="240" w:lineRule="auto"/>
              <w:jc w:val="center"/>
              <w:textAlignment w:val="center"/>
              <w:rPr>
                <w:kern w:val="0"/>
                <w:szCs w:val="21"/>
              </w:rPr>
            </w:pPr>
            <w:r>
              <w:rPr>
                <w:rFonts w:hint="eastAsia"/>
                <w:kern w:val="0"/>
                <w:szCs w:val="21"/>
              </w:rPr>
              <w:t>39</w:t>
            </w:r>
          </w:p>
        </w:tc>
        <w:tc>
          <w:tcPr>
            <w:tcW w:w="351" w:type="pct"/>
            <w:vMerge w:val="continue"/>
            <w:vAlign w:val="center"/>
          </w:tcPr>
          <w:p w14:paraId="41FC3876">
            <w:pPr>
              <w:topLinePunct/>
              <w:adjustRightInd w:val="0"/>
              <w:snapToGrid w:val="0"/>
              <w:spacing w:before="0" w:beforeLines="0" w:line="240" w:lineRule="auto"/>
              <w:jc w:val="center"/>
              <w:rPr>
                <w:kern w:val="0"/>
                <w:szCs w:val="21"/>
              </w:rPr>
            </w:pPr>
          </w:p>
        </w:tc>
        <w:tc>
          <w:tcPr>
            <w:tcW w:w="715" w:type="pct"/>
            <w:vAlign w:val="center"/>
          </w:tcPr>
          <w:p w14:paraId="040EDBB1">
            <w:pPr>
              <w:spacing w:before="0" w:beforeLines="0" w:line="240" w:lineRule="auto"/>
              <w:jc w:val="center"/>
              <w:rPr>
                <w:kern w:val="0"/>
                <w:szCs w:val="21"/>
                <w:lang w:bidi="ar"/>
              </w:rPr>
            </w:pPr>
            <w:r>
              <w:rPr>
                <w:kern w:val="0"/>
                <w:szCs w:val="21"/>
                <w:lang w:bidi="ar"/>
              </w:rPr>
              <w:t>水泵</w:t>
            </w:r>
          </w:p>
        </w:tc>
        <w:tc>
          <w:tcPr>
            <w:tcW w:w="206" w:type="pct"/>
            <w:vAlign w:val="center"/>
          </w:tcPr>
          <w:p w14:paraId="490EBA17">
            <w:pPr>
              <w:topLinePunct/>
              <w:adjustRightInd w:val="0"/>
              <w:snapToGrid w:val="0"/>
              <w:spacing w:before="0" w:beforeLines="0" w:line="240" w:lineRule="auto"/>
              <w:jc w:val="center"/>
              <w:rPr>
                <w:kern w:val="0"/>
                <w:szCs w:val="21"/>
              </w:rPr>
            </w:pPr>
            <w:r>
              <w:rPr>
                <w:kern w:val="0"/>
                <w:szCs w:val="21"/>
              </w:rPr>
              <w:t>25</w:t>
            </w:r>
          </w:p>
        </w:tc>
        <w:tc>
          <w:tcPr>
            <w:tcW w:w="203" w:type="pct"/>
            <w:vAlign w:val="center"/>
          </w:tcPr>
          <w:p w14:paraId="5505E550">
            <w:pPr>
              <w:topLinePunct/>
              <w:adjustRightInd w:val="0"/>
              <w:snapToGrid w:val="0"/>
              <w:spacing w:before="0" w:beforeLines="0" w:line="240" w:lineRule="auto"/>
              <w:jc w:val="center"/>
              <w:rPr>
                <w:kern w:val="0"/>
                <w:szCs w:val="21"/>
              </w:rPr>
            </w:pPr>
            <w:r>
              <w:rPr>
                <w:rFonts w:hint="eastAsia"/>
                <w:kern w:val="0"/>
                <w:szCs w:val="21"/>
              </w:rPr>
              <w:t>35</w:t>
            </w:r>
          </w:p>
        </w:tc>
        <w:tc>
          <w:tcPr>
            <w:tcW w:w="250" w:type="pct"/>
            <w:vAlign w:val="center"/>
          </w:tcPr>
          <w:p w14:paraId="5E3B098C">
            <w:pPr>
              <w:topLinePunct/>
              <w:adjustRightInd w:val="0"/>
              <w:snapToGrid w:val="0"/>
              <w:spacing w:before="0" w:beforeLines="0" w:line="240" w:lineRule="auto"/>
              <w:jc w:val="center"/>
              <w:rPr>
                <w:kern w:val="0"/>
                <w:szCs w:val="21"/>
              </w:rPr>
            </w:pPr>
            <w:r>
              <w:rPr>
                <w:rFonts w:hint="eastAsia"/>
                <w:kern w:val="0"/>
                <w:szCs w:val="21"/>
              </w:rPr>
              <w:t>1</w:t>
            </w:r>
          </w:p>
        </w:tc>
        <w:tc>
          <w:tcPr>
            <w:tcW w:w="384" w:type="pct"/>
            <w:vAlign w:val="center"/>
          </w:tcPr>
          <w:p w14:paraId="19EA37BF">
            <w:pPr>
              <w:topLinePunct/>
              <w:adjustRightInd w:val="0"/>
              <w:snapToGrid w:val="0"/>
              <w:spacing w:before="0" w:beforeLines="0" w:line="240" w:lineRule="auto"/>
              <w:jc w:val="center"/>
              <w:rPr>
                <w:kern w:val="0"/>
                <w:szCs w:val="21"/>
              </w:rPr>
            </w:pPr>
            <w:r>
              <w:rPr>
                <w:rFonts w:hint="eastAsia"/>
                <w:kern w:val="0"/>
                <w:szCs w:val="21"/>
              </w:rPr>
              <w:t>90</w:t>
            </w:r>
          </w:p>
        </w:tc>
        <w:tc>
          <w:tcPr>
            <w:tcW w:w="371" w:type="pct"/>
            <w:vMerge w:val="continue"/>
            <w:vAlign w:val="center"/>
          </w:tcPr>
          <w:p w14:paraId="496965D7">
            <w:pPr>
              <w:topLinePunct/>
              <w:adjustRightInd w:val="0"/>
              <w:snapToGrid w:val="0"/>
              <w:spacing w:before="0" w:beforeLines="0" w:line="240" w:lineRule="auto"/>
              <w:jc w:val="center"/>
              <w:rPr>
                <w:kern w:val="0"/>
                <w:szCs w:val="21"/>
              </w:rPr>
            </w:pPr>
          </w:p>
        </w:tc>
        <w:tc>
          <w:tcPr>
            <w:tcW w:w="599" w:type="pct"/>
            <w:vAlign w:val="center"/>
          </w:tcPr>
          <w:p w14:paraId="6B74BF92">
            <w:pPr>
              <w:topLinePunct/>
              <w:adjustRightInd w:val="0"/>
              <w:snapToGrid w:val="0"/>
              <w:spacing w:before="0" w:beforeLines="0" w:line="240" w:lineRule="auto"/>
              <w:jc w:val="center"/>
              <w:rPr>
                <w:kern w:val="0"/>
                <w:szCs w:val="21"/>
              </w:rPr>
            </w:pPr>
            <w:r>
              <w:rPr>
                <w:rFonts w:hint="eastAsia"/>
                <w:kern w:val="0"/>
                <w:szCs w:val="21"/>
              </w:rPr>
              <w:t>20</w:t>
            </w:r>
          </w:p>
        </w:tc>
        <w:tc>
          <w:tcPr>
            <w:tcW w:w="369" w:type="pct"/>
            <w:vAlign w:val="center"/>
          </w:tcPr>
          <w:p w14:paraId="78E63567">
            <w:pPr>
              <w:topLinePunct/>
              <w:adjustRightInd w:val="0"/>
              <w:snapToGrid w:val="0"/>
              <w:spacing w:before="0" w:beforeLines="0" w:line="240" w:lineRule="auto"/>
              <w:jc w:val="center"/>
              <w:rPr>
                <w:kern w:val="0"/>
                <w:szCs w:val="21"/>
              </w:rPr>
            </w:pPr>
            <w:r>
              <w:rPr>
                <w:rFonts w:hint="eastAsia"/>
                <w:kern w:val="0"/>
                <w:szCs w:val="21"/>
              </w:rPr>
              <w:t>63.97</w:t>
            </w:r>
          </w:p>
        </w:tc>
        <w:tc>
          <w:tcPr>
            <w:tcW w:w="339" w:type="pct"/>
            <w:vAlign w:val="center"/>
          </w:tcPr>
          <w:p w14:paraId="329BA9E1">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18D0E127">
            <w:pPr>
              <w:topLinePunct/>
              <w:adjustRightInd w:val="0"/>
              <w:snapToGrid w:val="0"/>
              <w:spacing w:before="0" w:beforeLines="0" w:line="240" w:lineRule="auto"/>
              <w:jc w:val="center"/>
              <w:rPr>
                <w:kern w:val="0"/>
                <w:szCs w:val="21"/>
              </w:rPr>
            </w:pPr>
          </w:p>
        </w:tc>
        <w:tc>
          <w:tcPr>
            <w:tcW w:w="339" w:type="pct"/>
            <w:vMerge w:val="continue"/>
            <w:vAlign w:val="center"/>
          </w:tcPr>
          <w:p w14:paraId="205A426D">
            <w:pPr>
              <w:topLinePunct/>
              <w:adjustRightInd w:val="0"/>
              <w:snapToGrid w:val="0"/>
              <w:spacing w:before="0" w:beforeLines="0" w:line="240" w:lineRule="auto"/>
              <w:jc w:val="center"/>
              <w:rPr>
                <w:kern w:val="0"/>
                <w:szCs w:val="21"/>
              </w:rPr>
            </w:pPr>
          </w:p>
        </w:tc>
        <w:tc>
          <w:tcPr>
            <w:tcW w:w="339" w:type="pct"/>
            <w:vMerge w:val="continue"/>
            <w:vAlign w:val="center"/>
          </w:tcPr>
          <w:p w14:paraId="41B31E59">
            <w:pPr>
              <w:topLinePunct/>
              <w:adjustRightInd w:val="0"/>
              <w:snapToGrid w:val="0"/>
              <w:spacing w:before="0" w:beforeLines="0" w:line="240" w:lineRule="auto"/>
              <w:jc w:val="center"/>
              <w:rPr>
                <w:kern w:val="0"/>
                <w:szCs w:val="21"/>
              </w:rPr>
            </w:pPr>
          </w:p>
        </w:tc>
      </w:tr>
    </w:tbl>
    <w:p w14:paraId="5A3A5159">
      <w:pPr>
        <w:spacing w:before="79"/>
        <w:jc w:val="center"/>
        <w:rPr>
          <w:b/>
          <w:bCs/>
          <w:szCs w:val="21"/>
        </w:rPr>
      </w:pPr>
      <w:r>
        <w:rPr>
          <w:b/>
          <w:bCs/>
          <w:szCs w:val="21"/>
        </w:rPr>
        <w:t>表3.</w:t>
      </w:r>
      <w:r>
        <w:rPr>
          <w:rFonts w:hint="eastAsia"/>
          <w:b/>
          <w:bCs/>
          <w:szCs w:val="21"/>
        </w:rPr>
        <w:t>3</w:t>
      </w:r>
      <w:r>
        <w:rPr>
          <w:b/>
          <w:bCs/>
          <w:szCs w:val="21"/>
        </w:rPr>
        <w:t>-</w:t>
      </w:r>
      <w:r>
        <w:rPr>
          <w:rFonts w:hint="eastAsia"/>
          <w:b/>
          <w:bCs/>
          <w:szCs w:val="21"/>
        </w:rPr>
        <w:t xml:space="preserve">6  </w:t>
      </w:r>
      <w:r>
        <w:rPr>
          <w:b/>
          <w:bCs/>
          <w:szCs w:val="21"/>
        </w:rPr>
        <w:t xml:space="preserve">  </w:t>
      </w:r>
      <w:r>
        <w:rPr>
          <w:rFonts w:hint="eastAsia"/>
          <w:b/>
          <w:bCs/>
          <w:szCs w:val="21"/>
        </w:rPr>
        <w:t>1#</w:t>
      </w:r>
      <w:r>
        <w:rPr>
          <w:b/>
          <w:bCs/>
          <w:szCs w:val="21"/>
        </w:rPr>
        <w:t xml:space="preserve"> 厂区噪声源情况一览表（室外声源）</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 w:type="dxa"/>
          <w:bottom w:w="0" w:type="dxa"/>
          <w:right w:w="10" w:type="dxa"/>
        </w:tblCellMar>
      </w:tblPr>
      <w:tblGrid>
        <w:gridCol w:w="1027"/>
        <w:gridCol w:w="2348"/>
        <w:gridCol w:w="1181"/>
        <w:gridCol w:w="1070"/>
        <w:gridCol w:w="1146"/>
        <w:gridCol w:w="1604"/>
        <w:gridCol w:w="3177"/>
        <w:gridCol w:w="1685"/>
      </w:tblGrid>
      <w:tr w14:paraId="47BD4E5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27" w:hRule="atLeast"/>
          <w:jc w:val="center"/>
        </w:trPr>
        <w:tc>
          <w:tcPr>
            <w:tcW w:w="388" w:type="pct"/>
            <w:vMerge w:val="restart"/>
            <w:vAlign w:val="center"/>
          </w:tcPr>
          <w:p w14:paraId="0A4FA2B8">
            <w:pPr>
              <w:topLinePunct/>
              <w:adjustRightInd w:val="0"/>
              <w:snapToGrid w:val="0"/>
              <w:spacing w:before="0" w:beforeLines="0" w:line="240" w:lineRule="auto"/>
              <w:jc w:val="center"/>
              <w:rPr>
                <w:kern w:val="0"/>
                <w:szCs w:val="21"/>
              </w:rPr>
            </w:pPr>
            <w:r>
              <w:rPr>
                <w:kern w:val="0"/>
                <w:szCs w:val="21"/>
              </w:rPr>
              <w:t>序号</w:t>
            </w:r>
          </w:p>
        </w:tc>
        <w:tc>
          <w:tcPr>
            <w:tcW w:w="887" w:type="pct"/>
            <w:vMerge w:val="restart"/>
            <w:vAlign w:val="center"/>
          </w:tcPr>
          <w:p w14:paraId="2C222916">
            <w:pPr>
              <w:topLinePunct/>
              <w:adjustRightInd w:val="0"/>
              <w:snapToGrid w:val="0"/>
              <w:spacing w:before="0" w:beforeLines="0" w:line="240" w:lineRule="auto"/>
              <w:jc w:val="center"/>
              <w:rPr>
                <w:kern w:val="0"/>
                <w:szCs w:val="21"/>
              </w:rPr>
            </w:pPr>
            <w:r>
              <w:rPr>
                <w:kern w:val="0"/>
                <w:szCs w:val="21"/>
              </w:rPr>
              <w:t>声源名称</w:t>
            </w:r>
          </w:p>
        </w:tc>
        <w:tc>
          <w:tcPr>
            <w:tcW w:w="1283" w:type="pct"/>
            <w:gridSpan w:val="3"/>
            <w:vAlign w:val="center"/>
          </w:tcPr>
          <w:p w14:paraId="4BD8DC77">
            <w:pPr>
              <w:topLinePunct/>
              <w:adjustRightInd w:val="0"/>
              <w:snapToGrid w:val="0"/>
              <w:spacing w:before="0" w:beforeLines="0" w:line="240" w:lineRule="auto"/>
              <w:jc w:val="center"/>
              <w:rPr>
                <w:kern w:val="0"/>
                <w:szCs w:val="21"/>
              </w:rPr>
            </w:pPr>
            <w:r>
              <w:rPr>
                <w:kern w:val="0"/>
                <w:szCs w:val="21"/>
              </w:rPr>
              <w:t>空间相对位置/m</w:t>
            </w:r>
          </w:p>
        </w:tc>
        <w:tc>
          <w:tcPr>
            <w:tcW w:w="606" w:type="pct"/>
            <w:vMerge w:val="restart"/>
            <w:vAlign w:val="center"/>
          </w:tcPr>
          <w:p w14:paraId="598E94ED">
            <w:pPr>
              <w:topLinePunct/>
              <w:adjustRightInd w:val="0"/>
              <w:snapToGrid w:val="0"/>
              <w:spacing w:before="0" w:beforeLines="0" w:line="240" w:lineRule="auto"/>
              <w:jc w:val="center"/>
              <w:rPr>
                <w:kern w:val="0"/>
                <w:szCs w:val="21"/>
              </w:rPr>
            </w:pPr>
            <w:r>
              <w:rPr>
                <w:rFonts w:hint="eastAsia"/>
                <w:kern w:val="0"/>
                <w:szCs w:val="21"/>
              </w:rPr>
              <w:t>噪声源强声功率级dB(A)</w:t>
            </w:r>
          </w:p>
        </w:tc>
        <w:tc>
          <w:tcPr>
            <w:tcW w:w="1200" w:type="pct"/>
            <w:vMerge w:val="restart"/>
            <w:vAlign w:val="center"/>
          </w:tcPr>
          <w:p w14:paraId="4DF41DD1">
            <w:pPr>
              <w:topLinePunct/>
              <w:adjustRightInd w:val="0"/>
              <w:snapToGrid w:val="0"/>
              <w:spacing w:before="0" w:beforeLines="0" w:line="240" w:lineRule="auto"/>
              <w:jc w:val="center"/>
              <w:rPr>
                <w:kern w:val="0"/>
                <w:szCs w:val="21"/>
              </w:rPr>
            </w:pPr>
            <w:r>
              <w:rPr>
                <w:kern w:val="0"/>
                <w:szCs w:val="21"/>
              </w:rPr>
              <w:t>声源控制措施</w:t>
            </w:r>
          </w:p>
        </w:tc>
        <w:tc>
          <w:tcPr>
            <w:tcW w:w="637" w:type="pct"/>
            <w:vMerge w:val="restart"/>
            <w:vAlign w:val="center"/>
          </w:tcPr>
          <w:p w14:paraId="2928ACF9">
            <w:pPr>
              <w:topLinePunct/>
              <w:adjustRightInd w:val="0"/>
              <w:snapToGrid w:val="0"/>
              <w:spacing w:before="0" w:beforeLines="0" w:line="240" w:lineRule="auto"/>
              <w:jc w:val="center"/>
              <w:rPr>
                <w:kern w:val="0"/>
                <w:szCs w:val="21"/>
              </w:rPr>
            </w:pPr>
            <w:r>
              <w:rPr>
                <w:kern w:val="0"/>
                <w:szCs w:val="21"/>
              </w:rPr>
              <w:t>运行</w:t>
            </w:r>
          </w:p>
          <w:p w14:paraId="1880A254">
            <w:pPr>
              <w:topLinePunct/>
              <w:adjustRightInd w:val="0"/>
              <w:snapToGrid w:val="0"/>
              <w:spacing w:before="0" w:beforeLines="0" w:line="240" w:lineRule="auto"/>
              <w:jc w:val="center"/>
              <w:rPr>
                <w:kern w:val="0"/>
                <w:szCs w:val="21"/>
              </w:rPr>
            </w:pPr>
            <w:r>
              <w:rPr>
                <w:kern w:val="0"/>
                <w:szCs w:val="21"/>
              </w:rPr>
              <w:t>时段</w:t>
            </w:r>
          </w:p>
        </w:tc>
      </w:tr>
      <w:tr w14:paraId="7F93ED0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40" w:hRule="atLeast"/>
          <w:jc w:val="center"/>
        </w:trPr>
        <w:tc>
          <w:tcPr>
            <w:tcW w:w="388" w:type="pct"/>
            <w:vMerge w:val="continue"/>
            <w:vAlign w:val="center"/>
          </w:tcPr>
          <w:p w14:paraId="44734057">
            <w:pPr>
              <w:topLinePunct/>
              <w:adjustRightInd w:val="0"/>
              <w:snapToGrid w:val="0"/>
              <w:spacing w:before="0" w:beforeLines="0" w:line="240" w:lineRule="auto"/>
              <w:jc w:val="center"/>
              <w:rPr>
                <w:szCs w:val="21"/>
              </w:rPr>
            </w:pPr>
          </w:p>
        </w:tc>
        <w:tc>
          <w:tcPr>
            <w:tcW w:w="887" w:type="pct"/>
            <w:vMerge w:val="continue"/>
            <w:vAlign w:val="center"/>
          </w:tcPr>
          <w:p w14:paraId="14781031">
            <w:pPr>
              <w:topLinePunct/>
              <w:adjustRightInd w:val="0"/>
              <w:snapToGrid w:val="0"/>
              <w:spacing w:before="0" w:beforeLines="0" w:line="240" w:lineRule="auto"/>
              <w:jc w:val="center"/>
              <w:rPr>
                <w:szCs w:val="21"/>
              </w:rPr>
            </w:pPr>
          </w:p>
        </w:tc>
        <w:tc>
          <w:tcPr>
            <w:tcW w:w="446" w:type="pct"/>
            <w:vAlign w:val="center"/>
          </w:tcPr>
          <w:p w14:paraId="11B13D7C">
            <w:pPr>
              <w:topLinePunct/>
              <w:adjustRightInd w:val="0"/>
              <w:snapToGrid w:val="0"/>
              <w:spacing w:before="0" w:beforeLines="0" w:line="240" w:lineRule="auto"/>
              <w:jc w:val="center"/>
              <w:rPr>
                <w:kern w:val="0"/>
                <w:szCs w:val="21"/>
              </w:rPr>
            </w:pPr>
            <w:r>
              <w:rPr>
                <w:kern w:val="0"/>
                <w:szCs w:val="21"/>
              </w:rPr>
              <w:t>X</w:t>
            </w:r>
          </w:p>
        </w:tc>
        <w:tc>
          <w:tcPr>
            <w:tcW w:w="404" w:type="pct"/>
            <w:vAlign w:val="center"/>
          </w:tcPr>
          <w:p w14:paraId="579078B7">
            <w:pPr>
              <w:topLinePunct/>
              <w:adjustRightInd w:val="0"/>
              <w:snapToGrid w:val="0"/>
              <w:spacing w:before="0" w:beforeLines="0" w:line="240" w:lineRule="auto"/>
              <w:jc w:val="center"/>
              <w:rPr>
                <w:kern w:val="0"/>
                <w:szCs w:val="21"/>
              </w:rPr>
            </w:pPr>
            <w:r>
              <w:rPr>
                <w:kern w:val="0"/>
                <w:szCs w:val="21"/>
              </w:rPr>
              <w:t>Y</w:t>
            </w:r>
          </w:p>
        </w:tc>
        <w:tc>
          <w:tcPr>
            <w:tcW w:w="433" w:type="pct"/>
            <w:vAlign w:val="center"/>
          </w:tcPr>
          <w:p w14:paraId="5C73E6EF">
            <w:pPr>
              <w:topLinePunct/>
              <w:adjustRightInd w:val="0"/>
              <w:snapToGrid w:val="0"/>
              <w:spacing w:before="0" w:beforeLines="0" w:line="240" w:lineRule="auto"/>
              <w:jc w:val="center"/>
              <w:rPr>
                <w:kern w:val="0"/>
                <w:szCs w:val="21"/>
              </w:rPr>
            </w:pPr>
            <w:r>
              <w:rPr>
                <w:kern w:val="0"/>
                <w:szCs w:val="21"/>
              </w:rPr>
              <w:t>Z</w:t>
            </w:r>
          </w:p>
        </w:tc>
        <w:tc>
          <w:tcPr>
            <w:tcW w:w="606" w:type="pct"/>
            <w:vMerge w:val="continue"/>
            <w:vAlign w:val="center"/>
          </w:tcPr>
          <w:p w14:paraId="656F5296">
            <w:pPr>
              <w:topLinePunct/>
              <w:adjustRightInd w:val="0"/>
              <w:snapToGrid w:val="0"/>
              <w:spacing w:before="0" w:beforeLines="0" w:line="240" w:lineRule="auto"/>
              <w:jc w:val="center"/>
              <w:rPr>
                <w:kern w:val="0"/>
                <w:szCs w:val="21"/>
              </w:rPr>
            </w:pPr>
          </w:p>
        </w:tc>
        <w:tc>
          <w:tcPr>
            <w:tcW w:w="1200" w:type="pct"/>
            <w:vMerge w:val="continue"/>
            <w:vAlign w:val="center"/>
          </w:tcPr>
          <w:p w14:paraId="7AC036AE">
            <w:pPr>
              <w:topLinePunct/>
              <w:adjustRightInd w:val="0"/>
              <w:snapToGrid w:val="0"/>
              <w:spacing w:before="0" w:beforeLines="0" w:line="240" w:lineRule="auto"/>
              <w:jc w:val="center"/>
              <w:rPr>
                <w:kern w:val="0"/>
                <w:szCs w:val="21"/>
              </w:rPr>
            </w:pPr>
          </w:p>
        </w:tc>
        <w:tc>
          <w:tcPr>
            <w:tcW w:w="637" w:type="pct"/>
            <w:vMerge w:val="continue"/>
            <w:vAlign w:val="center"/>
          </w:tcPr>
          <w:p w14:paraId="3AFEAA85">
            <w:pPr>
              <w:topLinePunct/>
              <w:adjustRightInd w:val="0"/>
              <w:snapToGrid w:val="0"/>
              <w:spacing w:before="0" w:beforeLines="0" w:line="240" w:lineRule="auto"/>
              <w:jc w:val="center"/>
              <w:rPr>
                <w:kern w:val="0"/>
                <w:szCs w:val="21"/>
              </w:rPr>
            </w:pPr>
          </w:p>
        </w:tc>
      </w:tr>
      <w:tr w14:paraId="125FB43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54" w:hRule="atLeast"/>
          <w:jc w:val="center"/>
        </w:trPr>
        <w:tc>
          <w:tcPr>
            <w:tcW w:w="388" w:type="pct"/>
            <w:vAlign w:val="center"/>
          </w:tcPr>
          <w:p w14:paraId="68F919E8">
            <w:pPr>
              <w:topLinePunct/>
              <w:adjustRightInd w:val="0"/>
              <w:snapToGrid w:val="0"/>
              <w:spacing w:before="0" w:beforeLines="0" w:line="240" w:lineRule="auto"/>
              <w:jc w:val="center"/>
              <w:rPr>
                <w:kern w:val="0"/>
                <w:szCs w:val="21"/>
              </w:rPr>
            </w:pPr>
            <w:r>
              <w:rPr>
                <w:kern w:val="0"/>
                <w:szCs w:val="21"/>
              </w:rPr>
              <w:t>1</w:t>
            </w:r>
          </w:p>
        </w:tc>
        <w:tc>
          <w:tcPr>
            <w:tcW w:w="887" w:type="pct"/>
            <w:vAlign w:val="center"/>
          </w:tcPr>
          <w:p w14:paraId="3763B691">
            <w:pPr>
              <w:widowControl/>
              <w:spacing w:before="0" w:beforeLines="0" w:line="240" w:lineRule="auto"/>
              <w:jc w:val="center"/>
              <w:textAlignment w:val="center"/>
              <w:rPr>
                <w:kern w:val="0"/>
                <w:szCs w:val="21"/>
              </w:rPr>
            </w:pPr>
            <w:r>
              <w:rPr>
                <w:rFonts w:hint="eastAsia"/>
                <w:kern w:val="0"/>
                <w:szCs w:val="21"/>
              </w:rPr>
              <w:t>除尘风机</w:t>
            </w:r>
          </w:p>
        </w:tc>
        <w:tc>
          <w:tcPr>
            <w:tcW w:w="446" w:type="pct"/>
            <w:vAlign w:val="center"/>
          </w:tcPr>
          <w:p w14:paraId="7E221A2E">
            <w:pPr>
              <w:topLinePunct/>
              <w:adjustRightInd w:val="0"/>
              <w:snapToGrid w:val="0"/>
              <w:spacing w:before="0" w:beforeLines="0" w:line="240" w:lineRule="auto"/>
              <w:jc w:val="center"/>
              <w:rPr>
                <w:kern w:val="0"/>
                <w:szCs w:val="21"/>
              </w:rPr>
            </w:pPr>
            <w:r>
              <w:rPr>
                <w:rFonts w:hint="eastAsia"/>
                <w:kern w:val="0"/>
                <w:szCs w:val="21"/>
              </w:rPr>
              <w:t>127</w:t>
            </w:r>
          </w:p>
        </w:tc>
        <w:tc>
          <w:tcPr>
            <w:tcW w:w="404" w:type="pct"/>
            <w:vAlign w:val="center"/>
          </w:tcPr>
          <w:p w14:paraId="7D535C88">
            <w:pPr>
              <w:topLinePunct/>
              <w:adjustRightInd w:val="0"/>
              <w:snapToGrid w:val="0"/>
              <w:spacing w:before="0" w:beforeLines="0" w:line="240" w:lineRule="auto"/>
              <w:jc w:val="center"/>
              <w:rPr>
                <w:kern w:val="0"/>
                <w:szCs w:val="21"/>
              </w:rPr>
            </w:pPr>
            <w:r>
              <w:rPr>
                <w:rFonts w:hint="eastAsia"/>
                <w:kern w:val="0"/>
                <w:szCs w:val="21"/>
              </w:rPr>
              <w:t>40</w:t>
            </w:r>
          </w:p>
        </w:tc>
        <w:tc>
          <w:tcPr>
            <w:tcW w:w="433" w:type="pct"/>
            <w:vAlign w:val="center"/>
          </w:tcPr>
          <w:p w14:paraId="0211B722">
            <w:pPr>
              <w:topLinePunct/>
              <w:adjustRightInd w:val="0"/>
              <w:snapToGrid w:val="0"/>
              <w:spacing w:before="0" w:beforeLines="0" w:line="240" w:lineRule="auto"/>
              <w:jc w:val="center"/>
              <w:rPr>
                <w:kern w:val="0"/>
                <w:szCs w:val="21"/>
              </w:rPr>
            </w:pPr>
            <w:r>
              <w:rPr>
                <w:rFonts w:hint="eastAsia"/>
                <w:kern w:val="0"/>
                <w:szCs w:val="21"/>
              </w:rPr>
              <w:t>2.0</w:t>
            </w:r>
          </w:p>
        </w:tc>
        <w:tc>
          <w:tcPr>
            <w:tcW w:w="606" w:type="pct"/>
            <w:vAlign w:val="center"/>
          </w:tcPr>
          <w:p w14:paraId="7CAB5237">
            <w:pPr>
              <w:topLinePunct/>
              <w:adjustRightInd w:val="0"/>
              <w:snapToGrid w:val="0"/>
              <w:spacing w:before="0" w:beforeLines="0" w:line="240" w:lineRule="auto"/>
              <w:jc w:val="center"/>
              <w:rPr>
                <w:kern w:val="0"/>
                <w:szCs w:val="21"/>
              </w:rPr>
            </w:pPr>
            <w:r>
              <w:rPr>
                <w:rFonts w:hint="eastAsia"/>
                <w:kern w:val="0"/>
                <w:szCs w:val="21"/>
              </w:rPr>
              <w:t>95</w:t>
            </w:r>
          </w:p>
        </w:tc>
        <w:tc>
          <w:tcPr>
            <w:tcW w:w="1200" w:type="pct"/>
            <w:vAlign w:val="center"/>
          </w:tcPr>
          <w:p w14:paraId="537DF108">
            <w:pPr>
              <w:topLinePunct/>
              <w:adjustRightInd w:val="0"/>
              <w:snapToGrid w:val="0"/>
              <w:spacing w:before="0" w:beforeLines="0" w:line="240" w:lineRule="auto"/>
              <w:jc w:val="center"/>
              <w:rPr>
                <w:kern w:val="0"/>
                <w:szCs w:val="21"/>
              </w:rPr>
            </w:pPr>
            <w:r>
              <w:rPr>
                <w:rFonts w:hint="eastAsia"/>
                <w:kern w:val="0"/>
                <w:szCs w:val="21"/>
              </w:rPr>
              <w:t>减振、消音、隔声罩</w:t>
            </w:r>
          </w:p>
        </w:tc>
        <w:tc>
          <w:tcPr>
            <w:tcW w:w="637" w:type="pct"/>
            <w:vAlign w:val="center"/>
          </w:tcPr>
          <w:p w14:paraId="2194A3CA">
            <w:pPr>
              <w:topLinePunct/>
              <w:adjustRightInd w:val="0"/>
              <w:snapToGrid w:val="0"/>
              <w:spacing w:before="0" w:beforeLines="0" w:line="240" w:lineRule="auto"/>
              <w:jc w:val="center"/>
              <w:rPr>
                <w:kern w:val="0"/>
                <w:szCs w:val="21"/>
              </w:rPr>
            </w:pPr>
            <w:r>
              <w:rPr>
                <w:rFonts w:hint="eastAsia"/>
                <w:kern w:val="0"/>
                <w:szCs w:val="21"/>
              </w:rPr>
              <w:t>24h</w:t>
            </w:r>
          </w:p>
        </w:tc>
      </w:tr>
      <w:tr w14:paraId="6EA044C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54" w:hRule="atLeast"/>
          <w:jc w:val="center"/>
        </w:trPr>
        <w:tc>
          <w:tcPr>
            <w:tcW w:w="388" w:type="pct"/>
            <w:vAlign w:val="center"/>
          </w:tcPr>
          <w:p w14:paraId="7C906F7F">
            <w:pPr>
              <w:topLinePunct/>
              <w:adjustRightInd w:val="0"/>
              <w:snapToGrid w:val="0"/>
              <w:spacing w:before="0" w:beforeLines="0" w:line="240" w:lineRule="auto"/>
              <w:jc w:val="center"/>
              <w:rPr>
                <w:kern w:val="0"/>
                <w:szCs w:val="21"/>
              </w:rPr>
            </w:pPr>
            <w:r>
              <w:rPr>
                <w:kern w:val="0"/>
                <w:szCs w:val="21"/>
              </w:rPr>
              <w:t>2</w:t>
            </w:r>
          </w:p>
        </w:tc>
        <w:tc>
          <w:tcPr>
            <w:tcW w:w="887" w:type="pct"/>
            <w:vAlign w:val="center"/>
          </w:tcPr>
          <w:p w14:paraId="4C126814">
            <w:pPr>
              <w:widowControl/>
              <w:spacing w:before="0" w:beforeLines="0" w:line="240" w:lineRule="auto"/>
              <w:jc w:val="center"/>
              <w:textAlignment w:val="center"/>
              <w:rPr>
                <w:kern w:val="0"/>
                <w:szCs w:val="21"/>
              </w:rPr>
            </w:pPr>
            <w:r>
              <w:rPr>
                <w:rFonts w:hint="eastAsia"/>
                <w:kern w:val="0"/>
                <w:szCs w:val="21"/>
              </w:rPr>
              <w:t>除尘风机</w:t>
            </w:r>
          </w:p>
        </w:tc>
        <w:tc>
          <w:tcPr>
            <w:tcW w:w="446" w:type="pct"/>
            <w:vAlign w:val="center"/>
          </w:tcPr>
          <w:p w14:paraId="315BB078">
            <w:pPr>
              <w:topLinePunct/>
              <w:adjustRightInd w:val="0"/>
              <w:snapToGrid w:val="0"/>
              <w:spacing w:before="0" w:beforeLines="0" w:line="240" w:lineRule="auto"/>
              <w:jc w:val="center"/>
              <w:rPr>
                <w:kern w:val="0"/>
                <w:szCs w:val="21"/>
              </w:rPr>
            </w:pPr>
            <w:r>
              <w:rPr>
                <w:rFonts w:hint="eastAsia"/>
                <w:kern w:val="0"/>
                <w:szCs w:val="21"/>
              </w:rPr>
              <w:t>86</w:t>
            </w:r>
          </w:p>
        </w:tc>
        <w:tc>
          <w:tcPr>
            <w:tcW w:w="404" w:type="pct"/>
            <w:vAlign w:val="center"/>
          </w:tcPr>
          <w:p w14:paraId="258DA8AA">
            <w:pPr>
              <w:topLinePunct/>
              <w:adjustRightInd w:val="0"/>
              <w:snapToGrid w:val="0"/>
              <w:spacing w:before="0" w:beforeLines="0" w:line="240" w:lineRule="auto"/>
              <w:jc w:val="center"/>
              <w:rPr>
                <w:kern w:val="0"/>
                <w:szCs w:val="21"/>
              </w:rPr>
            </w:pPr>
            <w:r>
              <w:rPr>
                <w:rFonts w:hint="eastAsia"/>
                <w:kern w:val="0"/>
                <w:szCs w:val="21"/>
              </w:rPr>
              <w:t>40</w:t>
            </w:r>
          </w:p>
        </w:tc>
        <w:tc>
          <w:tcPr>
            <w:tcW w:w="433" w:type="pct"/>
            <w:vAlign w:val="center"/>
          </w:tcPr>
          <w:p w14:paraId="468C36A8">
            <w:pPr>
              <w:topLinePunct/>
              <w:adjustRightInd w:val="0"/>
              <w:snapToGrid w:val="0"/>
              <w:spacing w:before="0" w:beforeLines="0" w:line="240" w:lineRule="auto"/>
              <w:jc w:val="center"/>
              <w:rPr>
                <w:kern w:val="0"/>
                <w:szCs w:val="21"/>
              </w:rPr>
            </w:pPr>
            <w:r>
              <w:rPr>
                <w:rFonts w:hint="eastAsia"/>
                <w:kern w:val="0"/>
                <w:szCs w:val="21"/>
              </w:rPr>
              <w:t>2.0</w:t>
            </w:r>
          </w:p>
        </w:tc>
        <w:tc>
          <w:tcPr>
            <w:tcW w:w="606" w:type="pct"/>
            <w:vAlign w:val="center"/>
          </w:tcPr>
          <w:p w14:paraId="0C19AE04">
            <w:pPr>
              <w:spacing w:before="0" w:beforeLines="0" w:line="240" w:lineRule="auto"/>
              <w:jc w:val="center"/>
              <w:rPr>
                <w:kern w:val="0"/>
                <w:szCs w:val="21"/>
              </w:rPr>
            </w:pPr>
            <w:r>
              <w:rPr>
                <w:rFonts w:hint="eastAsia"/>
                <w:kern w:val="0"/>
                <w:szCs w:val="21"/>
              </w:rPr>
              <w:t>95</w:t>
            </w:r>
          </w:p>
        </w:tc>
        <w:tc>
          <w:tcPr>
            <w:tcW w:w="1200" w:type="pct"/>
            <w:vAlign w:val="center"/>
          </w:tcPr>
          <w:p w14:paraId="503580E8">
            <w:pPr>
              <w:topLinePunct/>
              <w:adjustRightInd w:val="0"/>
              <w:snapToGrid w:val="0"/>
              <w:spacing w:before="0" w:beforeLines="0" w:line="240" w:lineRule="auto"/>
              <w:jc w:val="center"/>
              <w:rPr>
                <w:kern w:val="0"/>
                <w:szCs w:val="21"/>
              </w:rPr>
            </w:pPr>
            <w:r>
              <w:rPr>
                <w:rFonts w:hint="eastAsia"/>
                <w:kern w:val="0"/>
                <w:szCs w:val="21"/>
              </w:rPr>
              <w:t>减振、消音、隔声罩</w:t>
            </w:r>
          </w:p>
        </w:tc>
        <w:tc>
          <w:tcPr>
            <w:tcW w:w="637" w:type="pct"/>
            <w:vAlign w:val="center"/>
          </w:tcPr>
          <w:p w14:paraId="2F9F19A0">
            <w:pPr>
              <w:topLinePunct/>
              <w:adjustRightInd w:val="0"/>
              <w:snapToGrid w:val="0"/>
              <w:spacing w:before="0" w:beforeLines="0" w:line="240" w:lineRule="auto"/>
              <w:jc w:val="center"/>
              <w:rPr>
                <w:kern w:val="0"/>
                <w:szCs w:val="21"/>
              </w:rPr>
            </w:pPr>
            <w:r>
              <w:rPr>
                <w:rFonts w:hint="eastAsia"/>
                <w:kern w:val="0"/>
                <w:szCs w:val="21"/>
              </w:rPr>
              <w:t>24h</w:t>
            </w:r>
          </w:p>
        </w:tc>
      </w:tr>
      <w:tr w14:paraId="3511359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54" w:hRule="atLeast"/>
          <w:jc w:val="center"/>
        </w:trPr>
        <w:tc>
          <w:tcPr>
            <w:tcW w:w="388" w:type="pct"/>
            <w:vAlign w:val="center"/>
          </w:tcPr>
          <w:p w14:paraId="138CFFD2">
            <w:pPr>
              <w:topLinePunct/>
              <w:adjustRightInd w:val="0"/>
              <w:snapToGrid w:val="0"/>
              <w:spacing w:before="0" w:beforeLines="0" w:line="240" w:lineRule="auto"/>
              <w:jc w:val="center"/>
              <w:rPr>
                <w:kern w:val="0"/>
                <w:szCs w:val="21"/>
              </w:rPr>
            </w:pPr>
            <w:r>
              <w:rPr>
                <w:rFonts w:hint="eastAsia"/>
                <w:kern w:val="0"/>
                <w:szCs w:val="21"/>
              </w:rPr>
              <w:t>3</w:t>
            </w:r>
          </w:p>
        </w:tc>
        <w:tc>
          <w:tcPr>
            <w:tcW w:w="887" w:type="pct"/>
            <w:vAlign w:val="center"/>
          </w:tcPr>
          <w:p w14:paraId="233EE9BE">
            <w:pPr>
              <w:topLinePunct/>
              <w:adjustRightInd w:val="0"/>
              <w:snapToGrid w:val="0"/>
              <w:spacing w:before="0" w:beforeLines="0" w:line="240" w:lineRule="auto"/>
              <w:jc w:val="center"/>
              <w:rPr>
                <w:szCs w:val="21"/>
              </w:rPr>
            </w:pPr>
            <w:r>
              <w:rPr>
                <w:rFonts w:hint="eastAsia"/>
                <w:kern w:val="0"/>
                <w:szCs w:val="21"/>
              </w:rPr>
              <w:t>除尘风机</w:t>
            </w:r>
          </w:p>
        </w:tc>
        <w:tc>
          <w:tcPr>
            <w:tcW w:w="446" w:type="pct"/>
            <w:vAlign w:val="center"/>
          </w:tcPr>
          <w:p w14:paraId="0C0C8168">
            <w:pPr>
              <w:topLinePunct/>
              <w:adjustRightInd w:val="0"/>
              <w:snapToGrid w:val="0"/>
              <w:spacing w:before="0" w:beforeLines="0" w:line="240" w:lineRule="auto"/>
              <w:jc w:val="center"/>
              <w:rPr>
                <w:kern w:val="0"/>
                <w:szCs w:val="21"/>
              </w:rPr>
            </w:pPr>
            <w:r>
              <w:rPr>
                <w:rFonts w:hint="eastAsia"/>
                <w:kern w:val="0"/>
                <w:szCs w:val="21"/>
              </w:rPr>
              <w:t>66</w:t>
            </w:r>
          </w:p>
        </w:tc>
        <w:tc>
          <w:tcPr>
            <w:tcW w:w="404" w:type="pct"/>
            <w:vAlign w:val="center"/>
          </w:tcPr>
          <w:p w14:paraId="56CD2E6C">
            <w:pPr>
              <w:topLinePunct/>
              <w:adjustRightInd w:val="0"/>
              <w:snapToGrid w:val="0"/>
              <w:spacing w:before="0" w:beforeLines="0" w:line="240" w:lineRule="auto"/>
              <w:jc w:val="center"/>
              <w:rPr>
                <w:kern w:val="0"/>
                <w:szCs w:val="21"/>
              </w:rPr>
            </w:pPr>
            <w:r>
              <w:rPr>
                <w:rFonts w:hint="eastAsia"/>
                <w:kern w:val="0"/>
                <w:szCs w:val="21"/>
              </w:rPr>
              <w:t>40</w:t>
            </w:r>
          </w:p>
        </w:tc>
        <w:tc>
          <w:tcPr>
            <w:tcW w:w="433" w:type="pct"/>
            <w:vAlign w:val="center"/>
          </w:tcPr>
          <w:p w14:paraId="187AD58E">
            <w:pPr>
              <w:topLinePunct/>
              <w:adjustRightInd w:val="0"/>
              <w:snapToGrid w:val="0"/>
              <w:spacing w:before="0" w:beforeLines="0" w:line="240" w:lineRule="auto"/>
              <w:jc w:val="center"/>
              <w:rPr>
                <w:kern w:val="0"/>
                <w:szCs w:val="21"/>
              </w:rPr>
            </w:pPr>
            <w:r>
              <w:rPr>
                <w:rFonts w:hint="eastAsia"/>
                <w:kern w:val="0"/>
                <w:szCs w:val="21"/>
              </w:rPr>
              <w:t>2.0</w:t>
            </w:r>
          </w:p>
        </w:tc>
        <w:tc>
          <w:tcPr>
            <w:tcW w:w="606" w:type="pct"/>
            <w:vAlign w:val="center"/>
          </w:tcPr>
          <w:p w14:paraId="3B5F66C7">
            <w:pPr>
              <w:topLinePunct/>
              <w:adjustRightInd w:val="0"/>
              <w:snapToGrid w:val="0"/>
              <w:spacing w:before="0" w:beforeLines="0" w:line="240" w:lineRule="auto"/>
              <w:jc w:val="center"/>
              <w:rPr>
                <w:kern w:val="0"/>
                <w:szCs w:val="21"/>
              </w:rPr>
            </w:pPr>
            <w:r>
              <w:rPr>
                <w:rFonts w:hint="eastAsia"/>
                <w:kern w:val="0"/>
                <w:szCs w:val="21"/>
              </w:rPr>
              <w:t>95</w:t>
            </w:r>
          </w:p>
        </w:tc>
        <w:tc>
          <w:tcPr>
            <w:tcW w:w="1200" w:type="pct"/>
            <w:vAlign w:val="center"/>
          </w:tcPr>
          <w:p w14:paraId="55F6B0FD">
            <w:pPr>
              <w:topLinePunct/>
              <w:adjustRightInd w:val="0"/>
              <w:snapToGrid w:val="0"/>
              <w:spacing w:before="0" w:beforeLines="0" w:line="240" w:lineRule="auto"/>
              <w:jc w:val="center"/>
              <w:rPr>
                <w:kern w:val="0"/>
                <w:szCs w:val="21"/>
              </w:rPr>
            </w:pPr>
            <w:r>
              <w:rPr>
                <w:rFonts w:hint="eastAsia"/>
                <w:kern w:val="0"/>
                <w:szCs w:val="21"/>
              </w:rPr>
              <w:t>减振、消音、隔声罩</w:t>
            </w:r>
          </w:p>
        </w:tc>
        <w:tc>
          <w:tcPr>
            <w:tcW w:w="637" w:type="pct"/>
            <w:vAlign w:val="center"/>
          </w:tcPr>
          <w:p w14:paraId="73F0CBCC">
            <w:pPr>
              <w:topLinePunct/>
              <w:adjustRightInd w:val="0"/>
              <w:snapToGrid w:val="0"/>
              <w:spacing w:before="0" w:beforeLines="0" w:line="240" w:lineRule="auto"/>
              <w:jc w:val="center"/>
              <w:rPr>
                <w:kern w:val="0"/>
                <w:szCs w:val="21"/>
              </w:rPr>
            </w:pPr>
            <w:r>
              <w:rPr>
                <w:rFonts w:hint="eastAsia"/>
                <w:kern w:val="0"/>
                <w:szCs w:val="21"/>
              </w:rPr>
              <w:t>24h</w:t>
            </w:r>
          </w:p>
        </w:tc>
      </w:tr>
      <w:tr w14:paraId="414487C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54" w:hRule="atLeast"/>
          <w:jc w:val="center"/>
        </w:trPr>
        <w:tc>
          <w:tcPr>
            <w:tcW w:w="388" w:type="pct"/>
            <w:vAlign w:val="center"/>
          </w:tcPr>
          <w:p w14:paraId="1DCBB2ED">
            <w:pPr>
              <w:topLinePunct/>
              <w:adjustRightInd w:val="0"/>
              <w:snapToGrid w:val="0"/>
              <w:spacing w:before="0" w:beforeLines="0" w:line="240" w:lineRule="auto"/>
              <w:jc w:val="center"/>
              <w:rPr>
                <w:kern w:val="0"/>
                <w:szCs w:val="21"/>
              </w:rPr>
            </w:pPr>
            <w:r>
              <w:rPr>
                <w:rFonts w:hint="eastAsia"/>
                <w:kern w:val="0"/>
                <w:szCs w:val="21"/>
              </w:rPr>
              <w:t>4</w:t>
            </w:r>
          </w:p>
        </w:tc>
        <w:tc>
          <w:tcPr>
            <w:tcW w:w="887" w:type="pct"/>
            <w:vAlign w:val="center"/>
          </w:tcPr>
          <w:p w14:paraId="2A9C02EB">
            <w:pPr>
              <w:topLinePunct/>
              <w:adjustRightInd w:val="0"/>
              <w:snapToGrid w:val="0"/>
              <w:spacing w:before="0" w:beforeLines="0" w:line="240" w:lineRule="auto"/>
              <w:jc w:val="center"/>
              <w:rPr>
                <w:kern w:val="0"/>
                <w:szCs w:val="21"/>
              </w:rPr>
            </w:pPr>
            <w:r>
              <w:rPr>
                <w:rFonts w:hint="eastAsia"/>
                <w:kern w:val="0"/>
                <w:szCs w:val="21"/>
              </w:rPr>
              <w:t>物料池泵</w:t>
            </w:r>
          </w:p>
        </w:tc>
        <w:tc>
          <w:tcPr>
            <w:tcW w:w="446" w:type="pct"/>
            <w:vAlign w:val="center"/>
          </w:tcPr>
          <w:p w14:paraId="3E28BC86">
            <w:pPr>
              <w:topLinePunct/>
              <w:adjustRightInd w:val="0"/>
              <w:snapToGrid w:val="0"/>
              <w:spacing w:before="0" w:beforeLines="0" w:line="240" w:lineRule="auto"/>
              <w:jc w:val="center"/>
              <w:rPr>
                <w:kern w:val="0"/>
                <w:szCs w:val="21"/>
              </w:rPr>
            </w:pPr>
            <w:r>
              <w:rPr>
                <w:rFonts w:hint="eastAsia"/>
                <w:kern w:val="0"/>
                <w:szCs w:val="21"/>
              </w:rPr>
              <w:t>50</w:t>
            </w:r>
          </w:p>
        </w:tc>
        <w:tc>
          <w:tcPr>
            <w:tcW w:w="404" w:type="pct"/>
            <w:vAlign w:val="center"/>
          </w:tcPr>
          <w:p w14:paraId="3BD541A3">
            <w:pPr>
              <w:topLinePunct/>
              <w:adjustRightInd w:val="0"/>
              <w:snapToGrid w:val="0"/>
              <w:spacing w:before="0" w:beforeLines="0" w:line="240" w:lineRule="auto"/>
              <w:jc w:val="center"/>
              <w:rPr>
                <w:kern w:val="0"/>
                <w:szCs w:val="21"/>
              </w:rPr>
            </w:pPr>
            <w:r>
              <w:rPr>
                <w:rFonts w:hint="eastAsia"/>
                <w:kern w:val="0"/>
                <w:szCs w:val="21"/>
              </w:rPr>
              <w:t>25</w:t>
            </w:r>
          </w:p>
        </w:tc>
        <w:tc>
          <w:tcPr>
            <w:tcW w:w="433" w:type="pct"/>
            <w:vAlign w:val="center"/>
          </w:tcPr>
          <w:p w14:paraId="7F43E5B3">
            <w:pPr>
              <w:topLinePunct/>
              <w:adjustRightInd w:val="0"/>
              <w:snapToGrid w:val="0"/>
              <w:spacing w:before="0" w:beforeLines="0" w:line="240" w:lineRule="auto"/>
              <w:jc w:val="center"/>
              <w:rPr>
                <w:kern w:val="0"/>
                <w:szCs w:val="21"/>
              </w:rPr>
            </w:pPr>
            <w:r>
              <w:rPr>
                <w:rFonts w:hint="eastAsia"/>
                <w:kern w:val="0"/>
                <w:szCs w:val="21"/>
              </w:rPr>
              <w:t>1.0</w:t>
            </w:r>
          </w:p>
        </w:tc>
        <w:tc>
          <w:tcPr>
            <w:tcW w:w="606" w:type="pct"/>
            <w:vAlign w:val="center"/>
          </w:tcPr>
          <w:p w14:paraId="6ACFFBE9">
            <w:pPr>
              <w:topLinePunct/>
              <w:adjustRightInd w:val="0"/>
              <w:snapToGrid w:val="0"/>
              <w:spacing w:before="0" w:beforeLines="0" w:line="240" w:lineRule="auto"/>
              <w:jc w:val="center"/>
              <w:rPr>
                <w:kern w:val="0"/>
                <w:szCs w:val="21"/>
              </w:rPr>
            </w:pPr>
            <w:r>
              <w:rPr>
                <w:rFonts w:hint="eastAsia"/>
                <w:kern w:val="0"/>
                <w:szCs w:val="21"/>
              </w:rPr>
              <w:t>90</w:t>
            </w:r>
          </w:p>
        </w:tc>
        <w:tc>
          <w:tcPr>
            <w:tcW w:w="1200" w:type="pct"/>
            <w:vAlign w:val="center"/>
          </w:tcPr>
          <w:p w14:paraId="48000B76">
            <w:pPr>
              <w:topLinePunct/>
              <w:adjustRightInd w:val="0"/>
              <w:snapToGrid w:val="0"/>
              <w:spacing w:before="0" w:beforeLines="0" w:line="240" w:lineRule="auto"/>
              <w:jc w:val="center"/>
              <w:rPr>
                <w:kern w:val="0"/>
                <w:szCs w:val="21"/>
              </w:rPr>
            </w:pPr>
            <w:r>
              <w:rPr>
                <w:rFonts w:hint="eastAsia"/>
                <w:kern w:val="0"/>
                <w:szCs w:val="21"/>
              </w:rPr>
              <w:t>减振</w:t>
            </w:r>
          </w:p>
        </w:tc>
        <w:tc>
          <w:tcPr>
            <w:tcW w:w="637" w:type="pct"/>
            <w:vAlign w:val="center"/>
          </w:tcPr>
          <w:p w14:paraId="44C48469">
            <w:pPr>
              <w:topLinePunct/>
              <w:adjustRightInd w:val="0"/>
              <w:snapToGrid w:val="0"/>
              <w:spacing w:before="0" w:beforeLines="0" w:line="240" w:lineRule="auto"/>
              <w:jc w:val="center"/>
              <w:rPr>
                <w:kern w:val="0"/>
                <w:szCs w:val="21"/>
              </w:rPr>
            </w:pPr>
            <w:r>
              <w:rPr>
                <w:rFonts w:hint="eastAsia"/>
                <w:kern w:val="0"/>
                <w:szCs w:val="21"/>
              </w:rPr>
              <w:t>24h</w:t>
            </w:r>
          </w:p>
        </w:tc>
      </w:tr>
      <w:tr w14:paraId="052C06E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54" w:hRule="atLeast"/>
          <w:jc w:val="center"/>
        </w:trPr>
        <w:tc>
          <w:tcPr>
            <w:tcW w:w="388" w:type="pct"/>
            <w:vAlign w:val="center"/>
          </w:tcPr>
          <w:p w14:paraId="731A2050">
            <w:pPr>
              <w:topLinePunct/>
              <w:adjustRightInd w:val="0"/>
              <w:snapToGrid w:val="0"/>
              <w:spacing w:before="0" w:beforeLines="0" w:line="240" w:lineRule="auto"/>
              <w:jc w:val="center"/>
              <w:rPr>
                <w:kern w:val="0"/>
                <w:szCs w:val="21"/>
              </w:rPr>
            </w:pPr>
            <w:r>
              <w:rPr>
                <w:rFonts w:hint="eastAsia"/>
                <w:kern w:val="0"/>
                <w:szCs w:val="21"/>
              </w:rPr>
              <w:t>5</w:t>
            </w:r>
          </w:p>
        </w:tc>
        <w:tc>
          <w:tcPr>
            <w:tcW w:w="887" w:type="pct"/>
            <w:vAlign w:val="center"/>
          </w:tcPr>
          <w:p w14:paraId="4C569A7E">
            <w:pPr>
              <w:topLinePunct/>
              <w:adjustRightInd w:val="0"/>
              <w:snapToGrid w:val="0"/>
              <w:spacing w:before="0" w:beforeLines="0" w:line="240" w:lineRule="auto"/>
              <w:jc w:val="center"/>
              <w:rPr>
                <w:kern w:val="0"/>
                <w:szCs w:val="21"/>
              </w:rPr>
            </w:pPr>
            <w:r>
              <w:rPr>
                <w:rFonts w:hint="eastAsia"/>
                <w:kern w:val="0"/>
                <w:szCs w:val="21"/>
              </w:rPr>
              <w:t>物料池泵</w:t>
            </w:r>
          </w:p>
        </w:tc>
        <w:tc>
          <w:tcPr>
            <w:tcW w:w="446" w:type="pct"/>
            <w:vAlign w:val="center"/>
          </w:tcPr>
          <w:p w14:paraId="3171B050">
            <w:pPr>
              <w:topLinePunct/>
              <w:adjustRightInd w:val="0"/>
              <w:snapToGrid w:val="0"/>
              <w:spacing w:before="0" w:beforeLines="0" w:line="240" w:lineRule="auto"/>
              <w:jc w:val="center"/>
              <w:rPr>
                <w:kern w:val="0"/>
                <w:szCs w:val="21"/>
              </w:rPr>
            </w:pPr>
            <w:r>
              <w:rPr>
                <w:rFonts w:hint="eastAsia"/>
                <w:kern w:val="0"/>
                <w:szCs w:val="21"/>
              </w:rPr>
              <w:t>55</w:t>
            </w:r>
          </w:p>
        </w:tc>
        <w:tc>
          <w:tcPr>
            <w:tcW w:w="404" w:type="pct"/>
            <w:vAlign w:val="center"/>
          </w:tcPr>
          <w:p w14:paraId="7185AD0C">
            <w:pPr>
              <w:topLinePunct/>
              <w:adjustRightInd w:val="0"/>
              <w:snapToGrid w:val="0"/>
              <w:spacing w:before="0" w:beforeLines="0" w:line="240" w:lineRule="auto"/>
              <w:jc w:val="center"/>
              <w:rPr>
                <w:kern w:val="0"/>
                <w:szCs w:val="21"/>
              </w:rPr>
            </w:pPr>
            <w:r>
              <w:rPr>
                <w:rFonts w:hint="eastAsia"/>
                <w:kern w:val="0"/>
                <w:szCs w:val="21"/>
              </w:rPr>
              <w:t>25</w:t>
            </w:r>
          </w:p>
        </w:tc>
        <w:tc>
          <w:tcPr>
            <w:tcW w:w="433" w:type="pct"/>
            <w:vAlign w:val="center"/>
          </w:tcPr>
          <w:p w14:paraId="304CAA35">
            <w:pPr>
              <w:topLinePunct/>
              <w:adjustRightInd w:val="0"/>
              <w:snapToGrid w:val="0"/>
              <w:spacing w:before="0" w:beforeLines="0" w:line="240" w:lineRule="auto"/>
              <w:jc w:val="center"/>
              <w:rPr>
                <w:kern w:val="0"/>
                <w:szCs w:val="21"/>
              </w:rPr>
            </w:pPr>
            <w:r>
              <w:rPr>
                <w:rFonts w:hint="eastAsia"/>
                <w:kern w:val="0"/>
                <w:szCs w:val="21"/>
              </w:rPr>
              <w:t>1.0</w:t>
            </w:r>
          </w:p>
        </w:tc>
        <w:tc>
          <w:tcPr>
            <w:tcW w:w="606" w:type="pct"/>
            <w:vAlign w:val="center"/>
          </w:tcPr>
          <w:p w14:paraId="082A8F0B">
            <w:pPr>
              <w:topLinePunct/>
              <w:adjustRightInd w:val="0"/>
              <w:snapToGrid w:val="0"/>
              <w:spacing w:before="0" w:beforeLines="0" w:line="240" w:lineRule="auto"/>
              <w:jc w:val="center"/>
              <w:rPr>
                <w:kern w:val="0"/>
                <w:szCs w:val="21"/>
              </w:rPr>
            </w:pPr>
            <w:r>
              <w:rPr>
                <w:rFonts w:hint="eastAsia"/>
                <w:kern w:val="0"/>
                <w:szCs w:val="21"/>
              </w:rPr>
              <w:t>90</w:t>
            </w:r>
          </w:p>
        </w:tc>
        <w:tc>
          <w:tcPr>
            <w:tcW w:w="1200" w:type="pct"/>
            <w:vAlign w:val="center"/>
          </w:tcPr>
          <w:p w14:paraId="63BE6007">
            <w:pPr>
              <w:topLinePunct/>
              <w:adjustRightInd w:val="0"/>
              <w:snapToGrid w:val="0"/>
              <w:spacing w:before="0" w:beforeLines="0" w:line="240" w:lineRule="auto"/>
              <w:jc w:val="center"/>
              <w:rPr>
                <w:kern w:val="0"/>
                <w:szCs w:val="21"/>
              </w:rPr>
            </w:pPr>
            <w:r>
              <w:rPr>
                <w:rFonts w:hint="eastAsia"/>
                <w:kern w:val="0"/>
                <w:szCs w:val="21"/>
              </w:rPr>
              <w:t>减振</w:t>
            </w:r>
          </w:p>
        </w:tc>
        <w:tc>
          <w:tcPr>
            <w:tcW w:w="637" w:type="pct"/>
            <w:vAlign w:val="center"/>
          </w:tcPr>
          <w:p w14:paraId="1976CDE1">
            <w:pPr>
              <w:topLinePunct/>
              <w:adjustRightInd w:val="0"/>
              <w:snapToGrid w:val="0"/>
              <w:spacing w:before="0" w:beforeLines="0" w:line="240" w:lineRule="auto"/>
              <w:jc w:val="center"/>
              <w:rPr>
                <w:kern w:val="0"/>
                <w:szCs w:val="21"/>
              </w:rPr>
            </w:pPr>
            <w:r>
              <w:rPr>
                <w:rFonts w:hint="eastAsia"/>
                <w:kern w:val="0"/>
                <w:szCs w:val="21"/>
              </w:rPr>
              <w:t>24h</w:t>
            </w:r>
          </w:p>
        </w:tc>
      </w:tr>
    </w:tbl>
    <w:p w14:paraId="70422F62">
      <w:pPr>
        <w:adjustRightInd w:val="0"/>
        <w:snapToGrid w:val="0"/>
        <w:spacing w:before="79" w:line="360" w:lineRule="auto"/>
        <w:jc w:val="left"/>
        <w:textAlignment w:val="baseline"/>
        <w:rPr>
          <w:b/>
          <w:bCs/>
          <w:snapToGrid w:val="0"/>
          <w:kern w:val="0"/>
          <w:szCs w:val="21"/>
        </w:rPr>
      </w:pPr>
      <w:r>
        <w:rPr>
          <w:b/>
          <w:bCs/>
          <w:snapToGrid w:val="0"/>
          <w:kern w:val="0"/>
          <w:szCs w:val="21"/>
        </w:rPr>
        <w:t>注：</w:t>
      </w:r>
      <w:r>
        <w:rPr>
          <w:rFonts w:hint="eastAsia"/>
          <w:b/>
          <w:bCs/>
          <w:snapToGrid w:val="0"/>
          <w:kern w:val="0"/>
          <w:szCs w:val="21"/>
        </w:rPr>
        <w:t>以1#厂区</w:t>
      </w:r>
      <w:r>
        <w:rPr>
          <w:b/>
          <w:bCs/>
          <w:snapToGrid w:val="0"/>
          <w:kern w:val="0"/>
          <w:szCs w:val="21"/>
        </w:rPr>
        <w:t>的西南角拐点为原点。</w:t>
      </w:r>
    </w:p>
    <w:p w14:paraId="3620A5A8">
      <w:pPr>
        <w:spacing w:before="79"/>
        <w:jc w:val="center"/>
        <w:rPr>
          <w:szCs w:val="21"/>
        </w:rPr>
      </w:pPr>
      <w:r>
        <w:rPr>
          <w:b/>
          <w:bCs/>
          <w:szCs w:val="21"/>
        </w:rPr>
        <w:t>表3.</w:t>
      </w:r>
      <w:r>
        <w:rPr>
          <w:rFonts w:hint="eastAsia"/>
          <w:b/>
          <w:bCs/>
          <w:szCs w:val="21"/>
        </w:rPr>
        <w:t>3</w:t>
      </w:r>
      <w:r>
        <w:rPr>
          <w:b/>
          <w:bCs/>
          <w:szCs w:val="21"/>
        </w:rPr>
        <w:t>-</w:t>
      </w:r>
      <w:r>
        <w:rPr>
          <w:rFonts w:hint="eastAsia"/>
          <w:b/>
          <w:bCs/>
          <w:szCs w:val="21"/>
        </w:rPr>
        <w:t xml:space="preserve">7  </w:t>
      </w:r>
      <w:r>
        <w:rPr>
          <w:b/>
          <w:bCs/>
          <w:szCs w:val="21"/>
        </w:rPr>
        <w:t xml:space="preserve"> </w:t>
      </w:r>
      <w:r>
        <w:rPr>
          <w:rFonts w:hint="eastAsia"/>
          <w:b/>
          <w:bCs/>
          <w:szCs w:val="21"/>
        </w:rPr>
        <w:t xml:space="preserve"> </w:t>
      </w:r>
      <w:r>
        <w:rPr>
          <w:b/>
          <w:bCs/>
          <w:szCs w:val="21"/>
        </w:rPr>
        <w:t xml:space="preserve"> 2#厂区噪声源情况一览表（室内声源）</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 w:type="dxa"/>
          <w:bottom w:w="0" w:type="dxa"/>
          <w:right w:w="10" w:type="dxa"/>
        </w:tblCellMar>
      </w:tblPr>
      <w:tblGrid>
        <w:gridCol w:w="515"/>
        <w:gridCol w:w="929"/>
        <w:gridCol w:w="1893"/>
        <w:gridCol w:w="545"/>
        <w:gridCol w:w="537"/>
        <w:gridCol w:w="662"/>
        <w:gridCol w:w="1017"/>
        <w:gridCol w:w="1117"/>
        <w:gridCol w:w="1454"/>
        <w:gridCol w:w="977"/>
        <w:gridCol w:w="898"/>
        <w:gridCol w:w="898"/>
        <w:gridCol w:w="898"/>
        <w:gridCol w:w="898"/>
      </w:tblGrid>
      <w:tr w14:paraId="6080B9B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34" w:hRule="atLeast"/>
          <w:jc w:val="center"/>
        </w:trPr>
        <w:tc>
          <w:tcPr>
            <w:tcW w:w="195" w:type="pct"/>
            <w:vMerge w:val="restart"/>
            <w:vAlign w:val="center"/>
          </w:tcPr>
          <w:p w14:paraId="1D7FFCF8">
            <w:pPr>
              <w:topLinePunct/>
              <w:adjustRightInd w:val="0"/>
              <w:snapToGrid w:val="0"/>
              <w:spacing w:before="0" w:beforeLines="0" w:line="240" w:lineRule="auto"/>
              <w:jc w:val="center"/>
              <w:rPr>
                <w:kern w:val="0"/>
                <w:szCs w:val="21"/>
              </w:rPr>
            </w:pPr>
            <w:r>
              <w:rPr>
                <w:kern w:val="0"/>
                <w:szCs w:val="21"/>
              </w:rPr>
              <w:t>序号</w:t>
            </w:r>
          </w:p>
        </w:tc>
        <w:tc>
          <w:tcPr>
            <w:tcW w:w="351" w:type="pct"/>
            <w:vMerge w:val="restart"/>
            <w:vAlign w:val="center"/>
          </w:tcPr>
          <w:p w14:paraId="52186EE3">
            <w:pPr>
              <w:topLinePunct/>
              <w:adjustRightInd w:val="0"/>
              <w:snapToGrid w:val="0"/>
              <w:spacing w:before="0" w:beforeLines="0" w:line="240" w:lineRule="auto"/>
              <w:jc w:val="center"/>
              <w:rPr>
                <w:kern w:val="0"/>
                <w:szCs w:val="21"/>
              </w:rPr>
            </w:pPr>
            <w:r>
              <w:rPr>
                <w:kern w:val="0"/>
                <w:szCs w:val="21"/>
              </w:rPr>
              <w:t>建筑物名称</w:t>
            </w:r>
          </w:p>
        </w:tc>
        <w:tc>
          <w:tcPr>
            <w:tcW w:w="715" w:type="pct"/>
            <w:vMerge w:val="restart"/>
            <w:vAlign w:val="center"/>
          </w:tcPr>
          <w:p w14:paraId="0E62EE88">
            <w:pPr>
              <w:topLinePunct/>
              <w:adjustRightInd w:val="0"/>
              <w:snapToGrid w:val="0"/>
              <w:spacing w:before="0" w:beforeLines="0" w:line="240" w:lineRule="auto"/>
              <w:jc w:val="center"/>
              <w:rPr>
                <w:kern w:val="0"/>
                <w:szCs w:val="21"/>
              </w:rPr>
            </w:pPr>
            <w:r>
              <w:rPr>
                <w:kern w:val="0"/>
                <w:szCs w:val="21"/>
              </w:rPr>
              <w:t>声源名称</w:t>
            </w:r>
          </w:p>
        </w:tc>
        <w:tc>
          <w:tcPr>
            <w:tcW w:w="659" w:type="pct"/>
            <w:gridSpan w:val="3"/>
            <w:vAlign w:val="center"/>
          </w:tcPr>
          <w:p w14:paraId="48A199D9">
            <w:pPr>
              <w:topLinePunct/>
              <w:adjustRightInd w:val="0"/>
              <w:snapToGrid w:val="0"/>
              <w:spacing w:before="0" w:beforeLines="0" w:line="240" w:lineRule="auto"/>
              <w:jc w:val="center"/>
              <w:rPr>
                <w:kern w:val="0"/>
                <w:szCs w:val="21"/>
              </w:rPr>
            </w:pPr>
            <w:r>
              <w:rPr>
                <w:kern w:val="0"/>
                <w:szCs w:val="21"/>
              </w:rPr>
              <w:t>空间相对位置/m</w:t>
            </w:r>
          </w:p>
        </w:tc>
        <w:tc>
          <w:tcPr>
            <w:tcW w:w="384" w:type="pct"/>
            <w:vMerge w:val="restart"/>
            <w:vAlign w:val="center"/>
          </w:tcPr>
          <w:p w14:paraId="7A97F817">
            <w:pPr>
              <w:topLinePunct/>
              <w:adjustRightInd w:val="0"/>
              <w:snapToGrid w:val="0"/>
              <w:spacing w:before="0" w:beforeLines="0" w:line="240" w:lineRule="auto"/>
              <w:jc w:val="center"/>
              <w:rPr>
                <w:kern w:val="0"/>
                <w:szCs w:val="21"/>
              </w:rPr>
            </w:pPr>
            <w:r>
              <w:rPr>
                <w:rFonts w:hint="eastAsia"/>
                <w:kern w:val="0"/>
                <w:szCs w:val="21"/>
              </w:rPr>
              <w:t>噪声源强声功率级dB(A)</w:t>
            </w:r>
          </w:p>
        </w:tc>
        <w:tc>
          <w:tcPr>
            <w:tcW w:w="422" w:type="pct"/>
            <w:vMerge w:val="restart"/>
            <w:vAlign w:val="center"/>
          </w:tcPr>
          <w:p w14:paraId="33157787">
            <w:pPr>
              <w:topLinePunct/>
              <w:adjustRightInd w:val="0"/>
              <w:snapToGrid w:val="0"/>
              <w:spacing w:before="0" w:beforeLines="0" w:line="240" w:lineRule="auto"/>
              <w:jc w:val="center"/>
              <w:rPr>
                <w:kern w:val="0"/>
                <w:szCs w:val="21"/>
              </w:rPr>
            </w:pPr>
            <w:r>
              <w:rPr>
                <w:kern w:val="0"/>
                <w:szCs w:val="21"/>
              </w:rPr>
              <w:t>声源控制措施</w:t>
            </w:r>
          </w:p>
        </w:tc>
        <w:tc>
          <w:tcPr>
            <w:tcW w:w="549" w:type="pct"/>
            <w:vMerge w:val="restart"/>
            <w:vAlign w:val="center"/>
          </w:tcPr>
          <w:p w14:paraId="5997428B">
            <w:pPr>
              <w:topLinePunct/>
              <w:adjustRightInd w:val="0"/>
              <w:snapToGrid w:val="0"/>
              <w:spacing w:before="0" w:beforeLines="0" w:line="240" w:lineRule="auto"/>
              <w:jc w:val="center"/>
              <w:rPr>
                <w:kern w:val="0"/>
                <w:szCs w:val="21"/>
              </w:rPr>
            </w:pPr>
            <w:r>
              <w:rPr>
                <w:kern w:val="0"/>
                <w:szCs w:val="21"/>
              </w:rPr>
              <w:t>距室内边界距离/m</w:t>
            </w:r>
          </w:p>
        </w:tc>
        <w:tc>
          <w:tcPr>
            <w:tcW w:w="369" w:type="pct"/>
            <w:vMerge w:val="restart"/>
            <w:vAlign w:val="center"/>
          </w:tcPr>
          <w:p w14:paraId="1AE0B9CC">
            <w:pPr>
              <w:topLinePunct/>
              <w:adjustRightInd w:val="0"/>
              <w:snapToGrid w:val="0"/>
              <w:spacing w:before="0" w:beforeLines="0" w:line="240" w:lineRule="auto"/>
              <w:jc w:val="center"/>
              <w:rPr>
                <w:kern w:val="0"/>
                <w:szCs w:val="21"/>
              </w:rPr>
            </w:pPr>
            <w:r>
              <w:rPr>
                <w:kern w:val="0"/>
                <w:szCs w:val="21"/>
              </w:rPr>
              <w:t>室内边界声级</w:t>
            </w:r>
            <w:r>
              <w:rPr>
                <w:szCs w:val="21"/>
              </w:rPr>
              <w:t>dB(A)</w:t>
            </w:r>
          </w:p>
        </w:tc>
        <w:tc>
          <w:tcPr>
            <w:tcW w:w="339" w:type="pct"/>
            <w:vMerge w:val="restart"/>
            <w:vAlign w:val="center"/>
          </w:tcPr>
          <w:p w14:paraId="3A447EC8">
            <w:pPr>
              <w:topLinePunct/>
              <w:adjustRightInd w:val="0"/>
              <w:snapToGrid w:val="0"/>
              <w:spacing w:before="0" w:beforeLines="0" w:line="240" w:lineRule="auto"/>
              <w:jc w:val="center"/>
              <w:rPr>
                <w:kern w:val="0"/>
                <w:szCs w:val="21"/>
              </w:rPr>
            </w:pPr>
            <w:r>
              <w:rPr>
                <w:kern w:val="0"/>
                <w:szCs w:val="21"/>
              </w:rPr>
              <w:t>运行</w:t>
            </w:r>
          </w:p>
          <w:p w14:paraId="70C096EB">
            <w:pPr>
              <w:topLinePunct/>
              <w:adjustRightInd w:val="0"/>
              <w:snapToGrid w:val="0"/>
              <w:spacing w:before="0" w:beforeLines="0" w:line="240" w:lineRule="auto"/>
              <w:jc w:val="center"/>
              <w:rPr>
                <w:kern w:val="0"/>
                <w:szCs w:val="21"/>
              </w:rPr>
            </w:pPr>
            <w:r>
              <w:rPr>
                <w:kern w:val="0"/>
                <w:szCs w:val="21"/>
              </w:rPr>
              <w:t>时段</w:t>
            </w:r>
          </w:p>
        </w:tc>
        <w:tc>
          <w:tcPr>
            <w:tcW w:w="339" w:type="pct"/>
            <w:vMerge w:val="restart"/>
            <w:vAlign w:val="center"/>
          </w:tcPr>
          <w:p w14:paraId="276AB487">
            <w:pPr>
              <w:topLinePunct/>
              <w:adjustRightInd w:val="0"/>
              <w:snapToGrid w:val="0"/>
              <w:spacing w:before="0" w:beforeLines="0" w:line="240" w:lineRule="auto"/>
              <w:jc w:val="center"/>
              <w:rPr>
                <w:kern w:val="0"/>
                <w:szCs w:val="21"/>
              </w:rPr>
            </w:pPr>
            <w:r>
              <w:rPr>
                <w:kern w:val="0"/>
                <w:szCs w:val="21"/>
              </w:rPr>
              <w:t>建筑物插入损失</w:t>
            </w:r>
          </w:p>
        </w:tc>
        <w:tc>
          <w:tcPr>
            <w:tcW w:w="678" w:type="pct"/>
            <w:gridSpan w:val="2"/>
            <w:vAlign w:val="center"/>
          </w:tcPr>
          <w:p w14:paraId="439C5BF6">
            <w:pPr>
              <w:topLinePunct/>
              <w:adjustRightInd w:val="0"/>
              <w:snapToGrid w:val="0"/>
              <w:spacing w:before="0" w:beforeLines="0" w:line="240" w:lineRule="auto"/>
              <w:jc w:val="center"/>
              <w:rPr>
                <w:kern w:val="0"/>
                <w:szCs w:val="21"/>
              </w:rPr>
            </w:pPr>
            <w:r>
              <w:rPr>
                <w:kern w:val="0"/>
                <w:szCs w:val="21"/>
              </w:rPr>
              <w:t>建筑物外噪声</w:t>
            </w:r>
          </w:p>
        </w:tc>
      </w:tr>
      <w:tr w14:paraId="38E301D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2" w:hRule="atLeast"/>
          <w:jc w:val="center"/>
        </w:trPr>
        <w:tc>
          <w:tcPr>
            <w:tcW w:w="195" w:type="pct"/>
            <w:vMerge w:val="continue"/>
            <w:vAlign w:val="center"/>
          </w:tcPr>
          <w:p w14:paraId="4560A686">
            <w:pPr>
              <w:topLinePunct/>
              <w:adjustRightInd w:val="0"/>
              <w:snapToGrid w:val="0"/>
              <w:spacing w:before="0" w:beforeLines="0" w:line="240" w:lineRule="auto"/>
              <w:jc w:val="center"/>
              <w:rPr>
                <w:szCs w:val="21"/>
              </w:rPr>
            </w:pPr>
          </w:p>
        </w:tc>
        <w:tc>
          <w:tcPr>
            <w:tcW w:w="351" w:type="pct"/>
            <w:vMerge w:val="continue"/>
            <w:vAlign w:val="center"/>
          </w:tcPr>
          <w:p w14:paraId="27E139C0">
            <w:pPr>
              <w:topLinePunct/>
              <w:adjustRightInd w:val="0"/>
              <w:snapToGrid w:val="0"/>
              <w:spacing w:before="0" w:beforeLines="0" w:line="240" w:lineRule="auto"/>
              <w:jc w:val="center"/>
              <w:rPr>
                <w:szCs w:val="21"/>
              </w:rPr>
            </w:pPr>
          </w:p>
        </w:tc>
        <w:tc>
          <w:tcPr>
            <w:tcW w:w="715" w:type="pct"/>
            <w:vMerge w:val="continue"/>
            <w:vAlign w:val="center"/>
          </w:tcPr>
          <w:p w14:paraId="067130C7">
            <w:pPr>
              <w:topLinePunct/>
              <w:adjustRightInd w:val="0"/>
              <w:snapToGrid w:val="0"/>
              <w:spacing w:before="0" w:beforeLines="0" w:line="240" w:lineRule="auto"/>
              <w:jc w:val="center"/>
              <w:rPr>
                <w:szCs w:val="21"/>
              </w:rPr>
            </w:pPr>
          </w:p>
        </w:tc>
        <w:tc>
          <w:tcPr>
            <w:tcW w:w="206" w:type="pct"/>
            <w:vAlign w:val="center"/>
          </w:tcPr>
          <w:p w14:paraId="3872BAB2">
            <w:pPr>
              <w:topLinePunct/>
              <w:adjustRightInd w:val="0"/>
              <w:snapToGrid w:val="0"/>
              <w:spacing w:before="0" w:beforeLines="0" w:line="240" w:lineRule="auto"/>
              <w:jc w:val="center"/>
              <w:rPr>
                <w:kern w:val="0"/>
                <w:szCs w:val="21"/>
              </w:rPr>
            </w:pPr>
            <w:r>
              <w:rPr>
                <w:kern w:val="0"/>
                <w:szCs w:val="21"/>
              </w:rPr>
              <w:t>X</w:t>
            </w:r>
          </w:p>
        </w:tc>
        <w:tc>
          <w:tcPr>
            <w:tcW w:w="203" w:type="pct"/>
            <w:vAlign w:val="center"/>
          </w:tcPr>
          <w:p w14:paraId="247119A1">
            <w:pPr>
              <w:topLinePunct/>
              <w:adjustRightInd w:val="0"/>
              <w:snapToGrid w:val="0"/>
              <w:spacing w:before="0" w:beforeLines="0" w:line="240" w:lineRule="auto"/>
              <w:jc w:val="center"/>
              <w:rPr>
                <w:kern w:val="0"/>
                <w:szCs w:val="21"/>
              </w:rPr>
            </w:pPr>
            <w:r>
              <w:rPr>
                <w:kern w:val="0"/>
                <w:szCs w:val="21"/>
              </w:rPr>
              <w:t>Y</w:t>
            </w:r>
          </w:p>
        </w:tc>
        <w:tc>
          <w:tcPr>
            <w:tcW w:w="250" w:type="pct"/>
            <w:vAlign w:val="center"/>
          </w:tcPr>
          <w:p w14:paraId="21F0FC99">
            <w:pPr>
              <w:topLinePunct/>
              <w:adjustRightInd w:val="0"/>
              <w:snapToGrid w:val="0"/>
              <w:spacing w:before="0" w:beforeLines="0" w:line="240" w:lineRule="auto"/>
              <w:jc w:val="center"/>
              <w:rPr>
                <w:kern w:val="0"/>
                <w:szCs w:val="21"/>
              </w:rPr>
            </w:pPr>
            <w:r>
              <w:rPr>
                <w:kern w:val="0"/>
                <w:szCs w:val="21"/>
              </w:rPr>
              <w:t>Z</w:t>
            </w:r>
          </w:p>
        </w:tc>
        <w:tc>
          <w:tcPr>
            <w:tcW w:w="384" w:type="pct"/>
            <w:vMerge w:val="continue"/>
            <w:vAlign w:val="center"/>
          </w:tcPr>
          <w:p w14:paraId="35173B85">
            <w:pPr>
              <w:topLinePunct/>
              <w:adjustRightInd w:val="0"/>
              <w:snapToGrid w:val="0"/>
              <w:spacing w:before="0" w:beforeLines="0" w:line="240" w:lineRule="auto"/>
              <w:jc w:val="center"/>
              <w:rPr>
                <w:kern w:val="0"/>
                <w:szCs w:val="21"/>
              </w:rPr>
            </w:pPr>
          </w:p>
        </w:tc>
        <w:tc>
          <w:tcPr>
            <w:tcW w:w="422" w:type="pct"/>
            <w:vMerge w:val="continue"/>
            <w:vAlign w:val="center"/>
          </w:tcPr>
          <w:p w14:paraId="57533129">
            <w:pPr>
              <w:topLinePunct/>
              <w:adjustRightInd w:val="0"/>
              <w:snapToGrid w:val="0"/>
              <w:spacing w:before="0" w:beforeLines="0" w:line="240" w:lineRule="auto"/>
              <w:jc w:val="center"/>
              <w:rPr>
                <w:kern w:val="0"/>
                <w:szCs w:val="21"/>
              </w:rPr>
            </w:pPr>
          </w:p>
        </w:tc>
        <w:tc>
          <w:tcPr>
            <w:tcW w:w="549" w:type="pct"/>
            <w:vMerge w:val="continue"/>
            <w:vAlign w:val="center"/>
          </w:tcPr>
          <w:p w14:paraId="2D91D58D">
            <w:pPr>
              <w:topLinePunct/>
              <w:adjustRightInd w:val="0"/>
              <w:snapToGrid w:val="0"/>
              <w:spacing w:before="0" w:beforeLines="0" w:line="240" w:lineRule="auto"/>
              <w:jc w:val="center"/>
              <w:rPr>
                <w:kern w:val="0"/>
                <w:szCs w:val="21"/>
              </w:rPr>
            </w:pPr>
          </w:p>
        </w:tc>
        <w:tc>
          <w:tcPr>
            <w:tcW w:w="369" w:type="pct"/>
            <w:vMerge w:val="continue"/>
            <w:vAlign w:val="center"/>
          </w:tcPr>
          <w:p w14:paraId="4EBA4C07">
            <w:pPr>
              <w:topLinePunct/>
              <w:adjustRightInd w:val="0"/>
              <w:snapToGrid w:val="0"/>
              <w:spacing w:before="0" w:beforeLines="0" w:line="240" w:lineRule="auto"/>
              <w:jc w:val="center"/>
              <w:rPr>
                <w:kern w:val="0"/>
                <w:szCs w:val="21"/>
              </w:rPr>
            </w:pPr>
          </w:p>
        </w:tc>
        <w:tc>
          <w:tcPr>
            <w:tcW w:w="339" w:type="pct"/>
            <w:vMerge w:val="continue"/>
            <w:vAlign w:val="center"/>
          </w:tcPr>
          <w:p w14:paraId="5C037F29">
            <w:pPr>
              <w:topLinePunct/>
              <w:adjustRightInd w:val="0"/>
              <w:snapToGrid w:val="0"/>
              <w:spacing w:before="0" w:beforeLines="0" w:line="240" w:lineRule="auto"/>
              <w:jc w:val="center"/>
              <w:rPr>
                <w:kern w:val="0"/>
                <w:szCs w:val="21"/>
              </w:rPr>
            </w:pPr>
          </w:p>
        </w:tc>
        <w:tc>
          <w:tcPr>
            <w:tcW w:w="339" w:type="pct"/>
            <w:vMerge w:val="continue"/>
            <w:vAlign w:val="center"/>
          </w:tcPr>
          <w:p w14:paraId="0D3220D6">
            <w:pPr>
              <w:topLinePunct/>
              <w:adjustRightInd w:val="0"/>
              <w:snapToGrid w:val="0"/>
              <w:spacing w:before="0" w:beforeLines="0" w:line="240" w:lineRule="auto"/>
              <w:jc w:val="center"/>
              <w:rPr>
                <w:kern w:val="0"/>
                <w:szCs w:val="21"/>
              </w:rPr>
            </w:pPr>
          </w:p>
        </w:tc>
        <w:tc>
          <w:tcPr>
            <w:tcW w:w="339" w:type="pct"/>
            <w:vAlign w:val="center"/>
          </w:tcPr>
          <w:p w14:paraId="57227C85">
            <w:pPr>
              <w:topLinePunct/>
              <w:adjustRightInd w:val="0"/>
              <w:snapToGrid w:val="0"/>
              <w:spacing w:before="0" w:beforeLines="0" w:line="240" w:lineRule="auto"/>
              <w:jc w:val="center"/>
              <w:rPr>
                <w:kern w:val="0"/>
                <w:szCs w:val="21"/>
              </w:rPr>
            </w:pPr>
            <w:r>
              <w:rPr>
                <w:kern w:val="0"/>
                <w:szCs w:val="21"/>
              </w:rPr>
              <w:t>声压级</w:t>
            </w:r>
          </w:p>
        </w:tc>
        <w:tc>
          <w:tcPr>
            <w:tcW w:w="339" w:type="pct"/>
            <w:vAlign w:val="center"/>
          </w:tcPr>
          <w:p w14:paraId="610FDECB">
            <w:pPr>
              <w:topLinePunct/>
              <w:adjustRightInd w:val="0"/>
              <w:snapToGrid w:val="0"/>
              <w:spacing w:before="0" w:beforeLines="0" w:line="240" w:lineRule="auto"/>
              <w:jc w:val="center"/>
              <w:rPr>
                <w:kern w:val="0"/>
                <w:szCs w:val="21"/>
              </w:rPr>
            </w:pPr>
            <w:r>
              <w:rPr>
                <w:kern w:val="0"/>
                <w:szCs w:val="21"/>
              </w:rPr>
              <w:t>距离m</w:t>
            </w:r>
          </w:p>
        </w:tc>
      </w:tr>
      <w:tr w14:paraId="731A3FE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195" w:type="pct"/>
            <w:vAlign w:val="center"/>
          </w:tcPr>
          <w:p w14:paraId="77CA64C0">
            <w:pPr>
              <w:widowControl/>
              <w:spacing w:before="0" w:beforeLines="0" w:line="240" w:lineRule="auto"/>
              <w:jc w:val="center"/>
              <w:textAlignment w:val="center"/>
              <w:rPr>
                <w:kern w:val="0"/>
                <w:szCs w:val="21"/>
              </w:rPr>
            </w:pPr>
            <w:r>
              <w:rPr>
                <w:kern w:val="0"/>
                <w:szCs w:val="21"/>
                <w:lang w:bidi="ar"/>
              </w:rPr>
              <w:t>1</w:t>
            </w:r>
          </w:p>
        </w:tc>
        <w:tc>
          <w:tcPr>
            <w:tcW w:w="351" w:type="pct"/>
            <w:vMerge w:val="restart"/>
            <w:vAlign w:val="center"/>
          </w:tcPr>
          <w:p w14:paraId="2A881D2D">
            <w:pPr>
              <w:topLinePunct/>
              <w:adjustRightInd w:val="0"/>
              <w:snapToGrid w:val="0"/>
              <w:spacing w:before="0" w:beforeLines="0" w:line="240" w:lineRule="auto"/>
              <w:jc w:val="center"/>
              <w:rPr>
                <w:kern w:val="0"/>
                <w:szCs w:val="21"/>
              </w:rPr>
            </w:pPr>
            <w:r>
              <w:rPr>
                <w:kern w:val="0"/>
                <w:szCs w:val="21"/>
              </w:rPr>
              <w:t>破碎车间</w:t>
            </w:r>
          </w:p>
        </w:tc>
        <w:tc>
          <w:tcPr>
            <w:tcW w:w="715" w:type="pct"/>
            <w:vAlign w:val="center"/>
          </w:tcPr>
          <w:p w14:paraId="42D411E7">
            <w:pPr>
              <w:spacing w:before="0" w:beforeLines="0" w:line="240" w:lineRule="auto"/>
              <w:jc w:val="center"/>
              <w:rPr>
                <w:kern w:val="0"/>
                <w:szCs w:val="21"/>
                <w:lang w:bidi="ar"/>
              </w:rPr>
            </w:pPr>
            <w:r>
              <w:rPr>
                <w:kern w:val="0"/>
                <w:szCs w:val="21"/>
                <w:lang w:bidi="ar"/>
              </w:rPr>
              <w:t>颚式破碎机</w:t>
            </w:r>
          </w:p>
        </w:tc>
        <w:tc>
          <w:tcPr>
            <w:tcW w:w="206" w:type="pct"/>
            <w:vAlign w:val="center"/>
          </w:tcPr>
          <w:p w14:paraId="3D96A9DE">
            <w:pPr>
              <w:topLinePunct/>
              <w:adjustRightInd w:val="0"/>
              <w:snapToGrid w:val="0"/>
              <w:spacing w:before="0" w:beforeLines="0" w:line="240" w:lineRule="auto"/>
              <w:jc w:val="center"/>
              <w:rPr>
                <w:kern w:val="0"/>
                <w:szCs w:val="21"/>
              </w:rPr>
            </w:pPr>
            <w:r>
              <w:rPr>
                <w:kern w:val="0"/>
                <w:szCs w:val="21"/>
              </w:rPr>
              <w:t>11</w:t>
            </w:r>
          </w:p>
        </w:tc>
        <w:tc>
          <w:tcPr>
            <w:tcW w:w="203" w:type="pct"/>
            <w:vAlign w:val="center"/>
          </w:tcPr>
          <w:p w14:paraId="57FF782C">
            <w:pPr>
              <w:topLinePunct/>
              <w:adjustRightInd w:val="0"/>
              <w:snapToGrid w:val="0"/>
              <w:spacing w:before="0" w:beforeLines="0" w:line="240" w:lineRule="auto"/>
              <w:jc w:val="center"/>
              <w:rPr>
                <w:kern w:val="0"/>
                <w:szCs w:val="21"/>
              </w:rPr>
            </w:pPr>
            <w:r>
              <w:rPr>
                <w:kern w:val="0"/>
                <w:szCs w:val="21"/>
              </w:rPr>
              <w:t>24</w:t>
            </w:r>
          </w:p>
        </w:tc>
        <w:tc>
          <w:tcPr>
            <w:tcW w:w="250" w:type="pct"/>
            <w:vAlign w:val="center"/>
          </w:tcPr>
          <w:p w14:paraId="7EB2179B">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14:paraId="11409D88">
            <w:pPr>
              <w:topLinePunct/>
              <w:adjustRightInd w:val="0"/>
              <w:snapToGrid w:val="0"/>
              <w:spacing w:before="0" w:beforeLines="0" w:line="240" w:lineRule="auto"/>
              <w:jc w:val="center"/>
              <w:rPr>
                <w:kern w:val="0"/>
                <w:szCs w:val="21"/>
              </w:rPr>
            </w:pPr>
            <w:r>
              <w:rPr>
                <w:kern w:val="0"/>
                <w:szCs w:val="21"/>
              </w:rPr>
              <w:t>100</w:t>
            </w:r>
          </w:p>
        </w:tc>
        <w:tc>
          <w:tcPr>
            <w:tcW w:w="422" w:type="pct"/>
            <w:vMerge w:val="restart"/>
            <w:vAlign w:val="center"/>
          </w:tcPr>
          <w:p w14:paraId="76E82692">
            <w:pPr>
              <w:topLinePunct/>
              <w:adjustRightInd w:val="0"/>
              <w:snapToGrid w:val="0"/>
              <w:spacing w:before="0" w:beforeLines="0" w:line="240" w:lineRule="auto"/>
              <w:jc w:val="center"/>
              <w:rPr>
                <w:kern w:val="0"/>
                <w:szCs w:val="21"/>
              </w:rPr>
            </w:pPr>
            <w:r>
              <w:rPr>
                <w:kern w:val="0"/>
                <w:szCs w:val="21"/>
              </w:rPr>
              <w:t>低噪声设备、减振</w:t>
            </w:r>
            <w:r>
              <w:rPr>
                <w:rFonts w:hint="eastAsia"/>
                <w:kern w:val="0"/>
                <w:szCs w:val="21"/>
              </w:rPr>
              <w:t>、隔声</w:t>
            </w:r>
          </w:p>
        </w:tc>
        <w:tc>
          <w:tcPr>
            <w:tcW w:w="549" w:type="pct"/>
            <w:vAlign w:val="center"/>
          </w:tcPr>
          <w:p w14:paraId="431CA9C6">
            <w:pPr>
              <w:topLinePunct/>
              <w:adjustRightInd w:val="0"/>
              <w:snapToGrid w:val="0"/>
              <w:spacing w:before="0" w:beforeLines="0" w:line="240" w:lineRule="auto"/>
              <w:jc w:val="center"/>
              <w:rPr>
                <w:kern w:val="0"/>
                <w:szCs w:val="21"/>
              </w:rPr>
            </w:pPr>
            <w:r>
              <w:rPr>
                <w:kern w:val="0"/>
                <w:szCs w:val="21"/>
              </w:rPr>
              <w:t>90</w:t>
            </w:r>
          </w:p>
        </w:tc>
        <w:tc>
          <w:tcPr>
            <w:tcW w:w="369" w:type="pct"/>
            <w:vAlign w:val="center"/>
          </w:tcPr>
          <w:p w14:paraId="3DA9D8C9">
            <w:pPr>
              <w:topLinePunct/>
              <w:adjustRightInd w:val="0"/>
              <w:snapToGrid w:val="0"/>
              <w:spacing w:before="0" w:beforeLines="0" w:line="240" w:lineRule="auto"/>
              <w:jc w:val="center"/>
              <w:rPr>
                <w:kern w:val="0"/>
                <w:szCs w:val="21"/>
              </w:rPr>
            </w:pPr>
            <w:r>
              <w:rPr>
                <w:kern w:val="0"/>
                <w:szCs w:val="21"/>
              </w:rPr>
              <w:t>60.92</w:t>
            </w:r>
          </w:p>
        </w:tc>
        <w:tc>
          <w:tcPr>
            <w:tcW w:w="339" w:type="pct"/>
            <w:vAlign w:val="center"/>
          </w:tcPr>
          <w:p w14:paraId="37EE7847">
            <w:pPr>
              <w:topLinePunct/>
              <w:adjustRightInd w:val="0"/>
              <w:snapToGrid w:val="0"/>
              <w:spacing w:before="0" w:beforeLines="0" w:line="240" w:lineRule="auto"/>
              <w:jc w:val="center"/>
              <w:rPr>
                <w:kern w:val="0"/>
                <w:szCs w:val="21"/>
              </w:rPr>
            </w:pPr>
            <w:r>
              <w:rPr>
                <w:kern w:val="0"/>
                <w:szCs w:val="21"/>
              </w:rPr>
              <w:t>24h</w:t>
            </w:r>
          </w:p>
        </w:tc>
        <w:tc>
          <w:tcPr>
            <w:tcW w:w="339" w:type="pct"/>
            <w:vMerge w:val="restart"/>
            <w:vAlign w:val="center"/>
          </w:tcPr>
          <w:p w14:paraId="52890CCA">
            <w:pPr>
              <w:topLinePunct/>
              <w:adjustRightInd w:val="0"/>
              <w:snapToGrid w:val="0"/>
              <w:spacing w:before="0" w:beforeLines="0" w:line="240" w:lineRule="auto"/>
              <w:jc w:val="center"/>
              <w:rPr>
                <w:kern w:val="0"/>
                <w:szCs w:val="21"/>
              </w:rPr>
            </w:pPr>
            <w:r>
              <w:rPr>
                <w:rFonts w:hint="eastAsia"/>
                <w:kern w:val="0"/>
                <w:szCs w:val="21"/>
              </w:rPr>
              <w:t>31</w:t>
            </w:r>
          </w:p>
        </w:tc>
        <w:tc>
          <w:tcPr>
            <w:tcW w:w="339" w:type="pct"/>
            <w:vMerge w:val="restart"/>
            <w:vAlign w:val="center"/>
          </w:tcPr>
          <w:p w14:paraId="6EBC88C8">
            <w:pPr>
              <w:topLinePunct/>
              <w:adjustRightInd w:val="0"/>
              <w:snapToGrid w:val="0"/>
              <w:spacing w:before="0" w:beforeLines="0" w:line="240" w:lineRule="auto"/>
              <w:jc w:val="center"/>
              <w:rPr>
                <w:kern w:val="0"/>
                <w:szCs w:val="21"/>
              </w:rPr>
            </w:pPr>
            <w:r>
              <w:rPr>
                <w:rFonts w:hint="eastAsia"/>
                <w:kern w:val="0"/>
                <w:szCs w:val="21"/>
              </w:rPr>
              <w:t>40.56</w:t>
            </w:r>
          </w:p>
        </w:tc>
        <w:tc>
          <w:tcPr>
            <w:tcW w:w="339" w:type="pct"/>
            <w:vAlign w:val="center"/>
          </w:tcPr>
          <w:p w14:paraId="51D853F8">
            <w:pPr>
              <w:topLinePunct/>
              <w:adjustRightInd w:val="0"/>
              <w:snapToGrid w:val="0"/>
              <w:spacing w:before="0" w:beforeLines="0" w:line="240" w:lineRule="auto"/>
              <w:jc w:val="center"/>
              <w:rPr>
                <w:kern w:val="0"/>
                <w:szCs w:val="21"/>
              </w:rPr>
            </w:pPr>
            <w:r>
              <w:rPr>
                <w:kern w:val="0"/>
                <w:szCs w:val="21"/>
              </w:rPr>
              <w:t>1</w:t>
            </w:r>
          </w:p>
        </w:tc>
      </w:tr>
      <w:tr w14:paraId="7718F08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195" w:type="pct"/>
            <w:vAlign w:val="center"/>
          </w:tcPr>
          <w:p w14:paraId="5112C049">
            <w:pPr>
              <w:widowControl/>
              <w:spacing w:before="0" w:beforeLines="0" w:line="240" w:lineRule="auto"/>
              <w:jc w:val="center"/>
              <w:textAlignment w:val="center"/>
              <w:rPr>
                <w:kern w:val="0"/>
                <w:szCs w:val="21"/>
              </w:rPr>
            </w:pPr>
            <w:r>
              <w:rPr>
                <w:kern w:val="0"/>
                <w:szCs w:val="21"/>
                <w:lang w:bidi="ar"/>
              </w:rPr>
              <w:t>2</w:t>
            </w:r>
          </w:p>
        </w:tc>
        <w:tc>
          <w:tcPr>
            <w:tcW w:w="351" w:type="pct"/>
            <w:vMerge w:val="continue"/>
            <w:vAlign w:val="center"/>
          </w:tcPr>
          <w:p w14:paraId="57678710">
            <w:pPr>
              <w:topLinePunct/>
              <w:adjustRightInd w:val="0"/>
              <w:snapToGrid w:val="0"/>
              <w:spacing w:before="0" w:beforeLines="0" w:line="240" w:lineRule="auto"/>
              <w:jc w:val="center"/>
              <w:rPr>
                <w:kern w:val="0"/>
                <w:szCs w:val="21"/>
              </w:rPr>
            </w:pPr>
          </w:p>
        </w:tc>
        <w:tc>
          <w:tcPr>
            <w:tcW w:w="715" w:type="pct"/>
            <w:vAlign w:val="center"/>
          </w:tcPr>
          <w:p w14:paraId="39B542C9">
            <w:pPr>
              <w:spacing w:before="0" w:beforeLines="0" w:line="240" w:lineRule="auto"/>
              <w:jc w:val="center"/>
              <w:rPr>
                <w:szCs w:val="21"/>
              </w:rPr>
            </w:pPr>
            <w:r>
              <w:rPr>
                <w:kern w:val="0"/>
                <w:szCs w:val="21"/>
                <w:lang w:bidi="ar"/>
              </w:rPr>
              <w:t>颚式破碎机</w:t>
            </w:r>
          </w:p>
        </w:tc>
        <w:tc>
          <w:tcPr>
            <w:tcW w:w="206" w:type="pct"/>
            <w:vAlign w:val="center"/>
          </w:tcPr>
          <w:p w14:paraId="3801067A">
            <w:pPr>
              <w:topLinePunct/>
              <w:adjustRightInd w:val="0"/>
              <w:snapToGrid w:val="0"/>
              <w:spacing w:before="0" w:beforeLines="0" w:line="240" w:lineRule="auto"/>
              <w:jc w:val="center"/>
              <w:rPr>
                <w:kern w:val="0"/>
                <w:szCs w:val="21"/>
              </w:rPr>
            </w:pPr>
            <w:r>
              <w:rPr>
                <w:kern w:val="0"/>
                <w:szCs w:val="21"/>
              </w:rPr>
              <w:t>21</w:t>
            </w:r>
          </w:p>
        </w:tc>
        <w:tc>
          <w:tcPr>
            <w:tcW w:w="203" w:type="pct"/>
            <w:vAlign w:val="center"/>
          </w:tcPr>
          <w:p w14:paraId="1A624393">
            <w:pPr>
              <w:topLinePunct/>
              <w:adjustRightInd w:val="0"/>
              <w:snapToGrid w:val="0"/>
              <w:spacing w:before="0" w:beforeLines="0" w:line="240" w:lineRule="auto"/>
              <w:jc w:val="center"/>
              <w:rPr>
                <w:kern w:val="0"/>
                <w:szCs w:val="21"/>
              </w:rPr>
            </w:pPr>
            <w:r>
              <w:rPr>
                <w:kern w:val="0"/>
                <w:szCs w:val="21"/>
              </w:rPr>
              <w:t>24</w:t>
            </w:r>
          </w:p>
        </w:tc>
        <w:tc>
          <w:tcPr>
            <w:tcW w:w="250" w:type="pct"/>
            <w:vAlign w:val="center"/>
          </w:tcPr>
          <w:p w14:paraId="46C71C4B">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14:paraId="5F95446F">
            <w:pPr>
              <w:topLinePunct/>
              <w:adjustRightInd w:val="0"/>
              <w:snapToGrid w:val="0"/>
              <w:spacing w:before="0" w:beforeLines="0" w:line="240" w:lineRule="auto"/>
              <w:jc w:val="center"/>
              <w:rPr>
                <w:kern w:val="0"/>
                <w:szCs w:val="21"/>
              </w:rPr>
            </w:pPr>
            <w:r>
              <w:rPr>
                <w:kern w:val="0"/>
                <w:szCs w:val="21"/>
              </w:rPr>
              <w:t>100</w:t>
            </w:r>
          </w:p>
        </w:tc>
        <w:tc>
          <w:tcPr>
            <w:tcW w:w="422" w:type="pct"/>
            <w:vMerge w:val="continue"/>
            <w:vAlign w:val="center"/>
          </w:tcPr>
          <w:p w14:paraId="7C6F3255">
            <w:pPr>
              <w:topLinePunct/>
              <w:adjustRightInd w:val="0"/>
              <w:snapToGrid w:val="0"/>
              <w:spacing w:before="0" w:beforeLines="0" w:line="240" w:lineRule="auto"/>
              <w:jc w:val="center"/>
              <w:rPr>
                <w:kern w:val="0"/>
                <w:szCs w:val="21"/>
              </w:rPr>
            </w:pPr>
          </w:p>
        </w:tc>
        <w:tc>
          <w:tcPr>
            <w:tcW w:w="549" w:type="pct"/>
            <w:vAlign w:val="center"/>
          </w:tcPr>
          <w:p w14:paraId="50EAE92E">
            <w:pPr>
              <w:topLinePunct/>
              <w:adjustRightInd w:val="0"/>
              <w:snapToGrid w:val="0"/>
              <w:spacing w:before="0" w:beforeLines="0" w:line="240" w:lineRule="auto"/>
              <w:jc w:val="center"/>
              <w:rPr>
                <w:kern w:val="0"/>
                <w:szCs w:val="21"/>
              </w:rPr>
            </w:pPr>
            <w:r>
              <w:rPr>
                <w:kern w:val="0"/>
                <w:szCs w:val="21"/>
              </w:rPr>
              <w:t>83</w:t>
            </w:r>
          </w:p>
        </w:tc>
        <w:tc>
          <w:tcPr>
            <w:tcW w:w="369" w:type="pct"/>
            <w:vAlign w:val="center"/>
          </w:tcPr>
          <w:p w14:paraId="5F005EC1">
            <w:pPr>
              <w:topLinePunct/>
              <w:adjustRightInd w:val="0"/>
              <w:snapToGrid w:val="0"/>
              <w:spacing w:before="0" w:beforeLines="0" w:line="240" w:lineRule="auto"/>
              <w:jc w:val="center"/>
              <w:rPr>
                <w:kern w:val="0"/>
                <w:szCs w:val="21"/>
              </w:rPr>
            </w:pPr>
            <w:r>
              <w:rPr>
                <w:kern w:val="0"/>
                <w:szCs w:val="21"/>
              </w:rPr>
              <w:t>61.62</w:t>
            </w:r>
          </w:p>
        </w:tc>
        <w:tc>
          <w:tcPr>
            <w:tcW w:w="339" w:type="pct"/>
            <w:vAlign w:val="center"/>
          </w:tcPr>
          <w:p w14:paraId="2C3FF22C">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2C3A5694">
            <w:pPr>
              <w:topLinePunct/>
              <w:adjustRightInd w:val="0"/>
              <w:snapToGrid w:val="0"/>
              <w:spacing w:before="0" w:beforeLines="0" w:line="240" w:lineRule="auto"/>
              <w:jc w:val="center"/>
              <w:rPr>
                <w:kern w:val="0"/>
                <w:szCs w:val="21"/>
              </w:rPr>
            </w:pPr>
          </w:p>
        </w:tc>
        <w:tc>
          <w:tcPr>
            <w:tcW w:w="339" w:type="pct"/>
            <w:vMerge w:val="continue"/>
            <w:vAlign w:val="center"/>
          </w:tcPr>
          <w:p w14:paraId="55184860">
            <w:pPr>
              <w:topLinePunct/>
              <w:adjustRightInd w:val="0"/>
              <w:snapToGrid w:val="0"/>
              <w:spacing w:before="0" w:beforeLines="0" w:line="240" w:lineRule="auto"/>
              <w:jc w:val="center"/>
              <w:rPr>
                <w:kern w:val="0"/>
                <w:szCs w:val="21"/>
              </w:rPr>
            </w:pPr>
          </w:p>
        </w:tc>
        <w:tc>
          <w:tcPr>
            <w:tcW w:w="339" w:type="pct"/>
            <w:vAlign w:val="center"/>
          </w:tcPr>
          <w:p w14:paraId="1F9D7833">
            <w:pPr>
              <w:topLinePunct/>
              <w:adjustRightInd w:val="0"/>
              <w:snapToGrid w:val="0"/>
              <w:spacing w:before="0" w:beforeLines="0" w:line="240" w:lineRule="auto"/>
              <w:jc w:val="center"/>
              <w:rPr>
                <w:kern w:val="0"/>
                <w:szCs w:val="21"/>
              </w:rPr>
            </w:pPr>
            <w:r>
              <w:rPr>
                <w:kern w:val="0"/>
                <w:szCs w:val="21"/>
              </w:rPr>
              <w:t>1</w:t>
            </w:r>
          </w:p>
        </w:tc>
      </w:tr>
      <w:tr w14:paraId="7BAA88E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195" w:type="pct"/>
            <w:vAlign w:val="center"/>
          </w:tcPr>
          <w:p w14:paraId="12D04722">
            <w:pPr>
              <w:widowControl/>
              <w:spacing w:before="0" w:beforeLines="0" w:line="240" w:lineRule="auto"/>
              <w:jc w:val="center"/>
              <w:textAlignment w:val="center"/>
              <w:rPr>
                <w:kern w:val="0"/>
                <w:szCs w:val="21"/>
              </w:rPr>
            </w:pPr>
            <w:r>
              <w:rPr>
                <w:kern w:val="0"/>
                <w:szCs w:val="21"/>
                <w:lang w:bidi="ar"/>
              </w:rPr>
              <w:t>3</w:t>
            </w:r>
          </w:p>
        </w:tc>
        <w:tc>
          <w:tcPr>
            <w:tcW w:w="351" w:type="pct"/>
            <w:vMerge w:val="continue"/>
            <w:vAlign w:val="center"/>
          </w:tcPr>
          <w:p w14:paraId="5B459FF8">
            <w:pPr>
              <w:topLinePunct/>
              <w:adjustRightInd w:val="0"/>
              <w:snapToGrid w:val="0"/>
              <w:spacing w:before="0" w:beforeLines="0" w:line="240" w:lineRule="auto"/>
              <w:jc w:val="center"/>
              <w:rPr>
                <w:kern w:val="0"/>
                <w:szCs w:val="21"/>
              </w:rPr>
            </w:pPr>
          </w:p>
        </w:tc>
        <w:tc>
          <w:tcPr>
            <w:tcW w:w="715" w:type="pct"/>
            <w:vAlign w:val="center"/>
          </w:tcPr>
          <w:p w14:paraId="1916C4EA">
            <w:pPr>
              <w:spacing w:before="0" w:beforeLines="0" w:line="240" w:lineRule="auto"/>
              <w:jc w:val="center"/>
              <w:rPr>
                <w:szCs w:val="21"/>
              </w:rPr>
            </w:pPr>
            <w:r>
              <w:rPr>
                <w:kern w:val="0"/>
                <w:szCs w:val="21"/>
                <w:lang w:bidi="ar"/>
              </w:rPr>
              <w:t>颚式破碎机</w:t>
            </w:r>
          </w:p>
        </w:tc>
        <w:tc>
          <w:tcPr>
            <w:tcW w:w="206" w:type="pct"/>
            <w:vAlign w:val="center"/>
          </w:tcPr>
          <w:p w14:paraId="4F79067A">
            <w:pPr>
              <w:topLinePunct/>
              <w:adjustRightInd w:val="0"/>
              <w:snapToGrid w:val="0"/>
              <w:spacing w:before="0" w:beforeLines="0" w:line="240" w:lineRule="auto"/>
              <w:jc w:val="center"/>
              <w:rPr>
                <w:kern w:val="0"/>
                <w:szCs w:val="21"/>
              </w:rPr>
            </w:pPr>
            <w:r>
              <w:rPr>
                <w:kern w:val="0"/>
                <w:szCs w:val="21"/>
              </w:rPr>
              <w:t>30</w:t>
            </w:r>
          </w:p>
        </w:tc>
        <w:tc>
          <w:tcPr>
            <w:tcW w:w="203" w:type="pct"/>
            <w:vAlign w:val="center"/>
          </w:tcPr>
          <w:p w14:paraId="70FA60CA">
            <w:pPr>
              <w:topLinePunct/>
              <w:adjustRightInd w:val="0"/>
              <w:snapToGrid w:val="0"/>
              <w:spacing w:before="0" w:beforeLines="0" w:line="240" w:lineRule="auto"/>
              <w:jc w:val="center"/>
              <w:rPr>
                <w:kern w:val="0"/>
                <w:szCs w:val="21"/>
              </w:rPr>
            </w:pPr>
            <w:r>
              <w:rPr>
                <w:kern w:val="0"/>
                <w:szCs w:val="21"/>
              </w:rPr>
              <w:t>24</w:t>
            </w:r>
          </w:p>
        </w:tc>
        <w:tc>
          <w:tcPr>
            <w:tcW w:w="250" w:type="pct"/>
            <w:vAlign w:val="center"/>
          </w:tcPr>
          <w:p w14:paraId="506029DB">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14:paraId="143295CC">
            <w:pPr>
              <w:topLinePunct/>
              <w:adjustRightInd w:val="0"/>
              <w:snapToGrid w:val="0"/>
              <w:spacing w:before="0" w:beforeLines="0" w:line="240" w:lineRule="auto"/>
              <w:jc w:val="center"/>
              <w:rPr>
                <w:kern w:val="0"/>
                <w:szCs w:val="21"/>
              </w:rPr>
            </w:pPr>
            <w:r>
              <w:rPr>
                <w:kern w:val="0"/>
                <w:szCs w:val="21"/>
              </w:rPr>
              <w:t>100</w:t>
            </w:r>
          </w:p>
        </w:tc>
        <w:tc>
          <w:tcPr>
            <w:tcW w:w="422" w:type="pct"/>
            <w:vMerge w:val="continue"/>
            <w:vAlign w:val="center"/>
          </w:tcPr>
          <w:p w14:paraId="73A9616A">
            <w:pPr>
              <w:topLinePunct/>
              <w:adjustRightInd w:val="0"/>
              <w:snapToGrid w:val="0"/>
              <w:spacing w:before="0" w:beforeLines="0" w:line="240" w:lineRule="auto"/>
              <w:jc w:val="center"/>
              <w:rPr>
                <w:kern w:val="0"/>
                <w:szCs w:val="21"/>
              </w:rPr>
            </w:pPr>
          </w:p>
        </w:tc>
        <w:tc>
          <w:tcPr>
            <w:tcW w:w="549" w:type="pct"/>
            <w:vAlign w:val="center"/>
          </w:tcPr>
          <w:p w14:paraId="440B0316">
            <w:pPr>
              <w:topLinePunct/>
              <w:adjustRightInd w:val="0"/>
              <w:snapToGrid w:val="0"/>
              <w:spacing w:before="0" w:beforeLines="0" w:line="240" w:lineRule="auto"/>
              <w:jc w:val="center"/>
              <w:rPr>
                <w:kern w:val="0"/>
                <w:szCs w:val="21"/>
              </w:rPr>
            </w:pPr>
            <w:r>
              <w:rPr>
                <w:kern w:val="0"/>
                <w:szCs w:val="21"/>
              </w:rPr>
              <w:t>74</w:t>
            </w:r>
          </w:p>
        </w:tc>
        <w:tc>
          <w:tcPr>
            <w:tcW w:w="369" w:type="pct"/>
            <w:vAlign w:val="center"/>
          </w:tcPr>
          <w:p w14:paraId="75824C43">
            <w:pPr>
              <w:topLinePunct/>
              <w:adjustRightInd w:val="0"/>
              <w:snapToGrid w:val="0"/>
              <w:spacing w:before="0" w:beforeLines="0" w:line="240" w:lineRule="auto"/>
              <w:jc w:val="center"/>
              <w:rPr>
                <w:kern w:val="0"/>
                <w:szCs w:val="21"/>
              </w:rPr>
            </w:pPr>
            <w:r>
              <w:rPr>
                <w:kern w:val="0"/>
                <w:szCs w:val="21"/>
              </w:rPr>
              <w:t>62.62</w:t>
            </w:r>
          </w:p>
        </w:tc>
        <w:tc>
          <w:tcPr>
            <w:tcW w:w="339" w:type="pct"/>
            <w:vAlign w:val="center"/>
          </w:tcPr>
          <w:p w14:paraId="22B4AE69">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0893C698">
            <w:pPr>
              <w:topLinePunct/>
              <w:adjustRightInd w:val="0"/>
              <w:snapToGrid w:val="0"/>
              <w:spacing w:before="0" w:beforeLines="0" w:line="240" w:lineRule="auto"/>
              <w:jc w:val="center"/>
              <w:rPr>
                <w:kern w:val="0"/>
                <w:szCs w:val="21"/>
              </w:rPr>
            </w:pPr>
          </w:p>
        </w:tc>
        <w:tc>
          <w:tcPr>
            <w:tcW w:w="339" w:type="pct"/>
            <w:vMerge w:val="continue"/>
            <w:vAlign w:val="center"/>
          </w:tcPr>
          <w:p w14:paraId="28365D88">
            <w:pPr>
              <w:topLinePunct/>
              <w:adjustRightInd w:val="0"/>
              <w:snapToGrid w:val="0"/>
              <w:spacing w:before="0" w:beforeLines="0" w:line="240" w:lineRule="auto"/>
              <w:jc w:val="center"/>
              <w:rPr>
                <w:kern w:val="0"/>
                <w:szCs w:val="21"/>
              </w:rPr>
            </w:pPr>
          </w:p>
        </w:tc>
        <w:tc>
          <w:tcPr>
            <w:tcW w:w="339" w:type="pct"/>
            <w:vAlign w:val="center"/>
          </w:tcPr>
          <w:p w14:paraId="48AEF99B">
            <w:pPr>
              <w:topLinePunct/>
              <w:adjustRightInd w:val="0"/>
              <w:snapToGrid w:val="0"/>
              <w:spacing w:before="0" w:beforeLines="0" w:line="240" w:lineRule="auto"/>
              <w:jc w:val="center"/>
              <w:rPr>
                <w:kern w:val="0"/>
                <w:szCs w:val="21"/>
              </w:rPr>
            </w:pPr>
            <w:r>
              <w:rPr>
                <w:kern w:val="0"/>
                <w:szCs w:val="21"/>
              </w:rPr>
              <w:t>1</w:t>
            </w:r>
          </w:p>
        </w:tc>
      </w:tr>
      <w:tr w14:paraId="37B9E84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195" w:type="pct"/>
            <w:vAlign w:val="center"/>
          </w:tcPr>
          <w:p w14:paraId="5853A8DD">
            <w:pPr>
              <w:widowControl/>
              <w:spacing w:before="0" w:beforeLines="0" w:line="240" w:lineRule="auto"/>
              <w:jc w:val="center"/>
              <w:textAlignment w:val="center"/>
              <w:rPr>
                <w:kern w:val="0"/>
                <w:szCs w:val="21"/>
              </w:rPr>
            </w:pPr>
            <w:r>
              <w:rPr>
                <w:kern w:val="0"/>
                <w:szCs w:val="21"/>
                <w:lang w:bidi="ar"/>
              </w:rPr>
              <w:t>4</w:t>
            </w:r>
          </w:p>
        </w:tc>
        <w:tc>
          <w:tcPr>
            <w:tcW w:w="351" w:type="pct"/>
            <w:vMerge w:val="continue"/>
            <w:vAlign w:val="center"/>
          </w:tcPr>
          <w:p w14:paraId="1C820C1D">
            <w:pPr>
              <w:topLinePunct/>
              <w:adjustRightInd w:val="0"/>
              <w:snapToGrid w:val="0"/>
              <w:spacing w:before="0" w:beforeLines="0" w:line="240" w:lineRule="auto"/>
              <w:jc w:val="center"/>
              <w:rPr>
                <w:kern w:val="0"/>
                <w:szCs w:val="21"/>
              </w:rPr>
            </w:pPr>
          </w:p>
        </w:tc>
        <w:tc>
          <w:tcPr>
            <w:tcW w:w="715" w:type="pct"/>
            <w:vAlign w:val="center"/>
          </w:tcPr>
          <w:p w14:paraId="4417889B">
            <w:pPr>
              <w:spacing w:before="0" w:beforeLines="0" w:line="240" w:lineRule="auto"/>
              <w:jc w:val="center"/>
              <w:rPr>
                <w:szCs w:val="21"/>
              </w:rPr>
            </w:pPr>
            <w:r>
              <w:rPr>
                <w:kern w:val="0"/>
                <w:szCs w:val="21"/>
                <w:lang w:bidi="ar"/>
              </w:rPr>
              <w:t>颚式破碎机</w:t>
            </w:r>
          </w:p>
        </w:tc>
        <w:tc>
          <w:tcPr>
            <w:tcW w:w="206" w:type="pct"/>
            <w:vAlign w:val="center"/>
          </w:tcPr>
          <w:p w14:paraId="1EE25CAC">
            <w:pPr>
              <w:topLinePunct/>
              <w:adjustRightInd w:val="0"/>
              <w:snapToGrid w:val="0"/>
              <w:spacing w:before="0" w:beforeLines="0" w:line="240" w:lineRule="auto"/>
              <w:jc w:val="center"/>
              <w:rPr>
                <w:kern w:val="0"/>
                <w:szCs w:val="21"/>
              </w:rPr>
            </w:pPr>
            <w:r>
              <w:rPr>
                <w:kern w:val="0"/>
                <w:szCs w:val="21"/>
              </w:rPr>
              <w:t>40</w:t>
            </w:r>
          </w:p>
        </w:tc>
        <w:tc>
          <w:tcPr>
            <w:tcW w:w="203" w:type="pct"/>
            <w:vAlign w:val="center"/>
          </w:tcPr>
          <w:p w14:paraId="6D09E3DC">
            <w:pPr>
              <w:topLinePunct/>
              <w:adjustRightInd w:val="0"/>
              <w:snapToGrid w:val="0"/>
              <w:spacing w:before="0" w:beforeLines="0" w:line="240" w:lineRule="auto"/>
              <w:jc w:val="center"/>
              <w:rPr>
                <w:kern w:val="0"/>
                <w:szCs w:val="21"/>
              </w:rPr>
            </w:pPr>
            <w:r>
              <w:rPr>
                <w:kern w:val="0"/>
                <w:szCs w:val="21"/>
              </w:rPr>
              <w:t>24</w:t>
            </w:r>
          </w:p>
        </w:tc>
        <w:tc>
          <w:tcPr>
            <w:tcW w:w="250" w:type="pct"/>
            <w:vAlign w:val="center"/>
          </w:tcPr>
          <w:p w14:paraId="2F7763A9">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14:paraId="1237243D">
            <w:pPr>
              <w:topLinePunct/>
              <w:adjustRightInd w:val="0"/>
              <w:snapToGrid w:val="0"/>
              <w:spacing w:before="0" w:beforeLines="0" w:line="240" w:lineRule="auto"/>
              <w:jc w:val="center"/>
              <w:rPr>
                <w:kern w:val="0"/>
                <w:szCs w:val="21"/>
              </w:rPr>
            </w:pPr>
            <w:r>
              <w:rPr>
                <w:kern w:val="0"/>
                <w:szCs w:val="21"/>
              </w:rPr>
              <w:t>100</w:t>
            </w:r>
          </w:p>
        </w:tc>
        <w:tc>
          <w:tcPr>
            <w:tcW w:w="422" w:type="pct"/>
            <w:vMerge w:val="continue"/>
            <w:vAlign w:val="center"/>
          </w:tcPr>
          <w:p w14:paraId="6875E377">
            <w:pPr>
              <w:topLinePunct/>
              <w:adjustRightInd w:val="0"/>
              <w:snapToGrid w:val="0"/>
              <w:spacing w:before="0" w:beforeLines="0" w:line="240" w:lineRule="auto"/>
              <w:jc w:val="center"/>
              <w:rPr>
                <w:kern w:val="0"/>
                <w:szCs w:val="21"/>
              </w:rPr>
            </w:pPr>
          </w:p>
        </w:tc>
        <w:tc>
          <w:tcPr>
            <w:tcW w:w="549" w:type="pct"/>
            <w:vAlign w:val="center"/>
          </w:tcPr>
          <w:p w14:paraId="0DA44BFD">
            <w:pPr>
              <w:topLinePunct/>
              <w:adjustRightInd w:val="0"/>
              <w:snapToGrid w:val="0"/>
              <w:spacing w:before="0" w:beforeLines="0" w:line="240" w:lineRule="auto"/>
              <w:jc w:val="center"/>
              <w:rPr>
                <w:kern w:val="0"/>
                <w:szCs w:val="21"/>
              </w:rPr>
            </w:pPr>
            <w:r>
              <w:rPr>
                <w:kern w:val="0"/>
                <w:szCs w:val="21"/>
              </w:rPr>
              <w:t>67</w:t>
            </w:r>
          </w:p>
        </w:tc>
        <w:tc>
          <w:tcPr>
            <w:tcW w:w="369" w:type="pct"/>
            <w:vAlign w:val="center"/>
          </w:tcPr>
          <w:p w14:paraId="7303D0C5">
            <w:pPr>
              <w:topLinePunct/>
              <w:adjustRightInd w:val="0"/>
              <w:snapToGrid w:val="0"/>
              <w:spacing w:before="0" w:beforeLines="0" w:line="240" w:lineRule="auto"/>
              <w:jc w:val="center"/>
              <w:rPr>
                <w:kern w:val="0"/>
                <w:szCs w:val="21"/>
              </w:rPr>
            </w:pPr>
            <w:r>
              <w:rPr>
                <w:kern w:val="0"/>
                <w:szCs w:val="21"/>
              </w:rPr>
              <w:t>63.48</w:t>
            </w:r>
          </w:p>
        </w:tc>
        <w:tc>
          <w:tcPr>
            <w:tcW w:w="339" w:type="pct"/>
            <w:vAlign w:val="center"/>
          </w:tcPr>
          <w:p w14:paraId="746D07AE">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15CC90A1">
            <w:pPr>
              <w:topLinePunct/>
              <w:adjustRightInd w:val="0"/>
              <w:snapToGrid w:val="0"/>
              <w:spacing w:before="0" w:beforeLines="0" w:line="240" w:lineRule="auto"/>
              <w:jc w:val="center"/>
              <w:rPr>
                <w:kern w:val="0"/>
                <w:szCs w:val="21"/>
              </w:rPr>
            </w:pPr>
          </w:p>
        </w:tc>
        <w:tc>
          <w:tcPr>
            <w:tcW w:w="339" w:type="pct"/>
            <w:vMerge w:val="continue"/>
            <w:vAlign w:val="center"/>
          </w:tcPr>
          <w:p w14:paraId="63D5320C">
            <w:pPr>
              <w:topLinePunct/>
              <w:adjustRightInd w:val="0"/>
              <w:snapToGrid w:val="0"/>
              <w:spacing w:before="0" w:beforeLines="0" w:line="240" w:lineRule="auto"/>
              <w:jc w:val="center"/>
              <w:rPr>
                <w:kern w:val="0"/>
                <w:szCs w:val="21"/>
              </w:rPr>
            </w:pPr>
          </w:p>
        </w:tc>
        <w:tc>
          <w:tcPr>
            <w:tcW w:w="339" w:type="pct"/>
            <w:vAlign w:val="center"/>
          </w:tcPr>
          <w:p w14:paraId="04EDF418">
            <w:pPr>
              <w:topLinePunct/>
              <w:adjustRightInd w:val="0"/>
              <w:snapToGrid w:val="0"/>
              <w:spacing w:before="0" w:beforeLines="0" w:line="240" w:lineRule="auto"/>
              <w:jc w:val="center"/>
              <w:rPr>
                <w:kern w:val="0"/>
                <w:szCs w:val="21"/>
              </w:rPr>
            </w:pPr>
            <w:r>
              <w:rPr>
                <w:kern w:val="0"/>
                <w:szCs w:val="21"/>
              </w:rPr>
              <w:t>1</w:t>
            </w:r>
          </w:p>
        </w:tc>
      </w:tr>
      <w:tr w14:paraId="6A9549B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195" w:type="pct"/>
            <w:vAlign w:val="center"/>
          </w:tcPr>
          <w:p w14:paraId="720FCD8B">
            <w:pPr>
              <w:widowControl/>
              <w:spacing w:before="0" w:beforeLines="0" w:line="240" w:lineRule="auto"/>
              <w:jc w:val="center"/>
              <w:textAlignment w:val="center"/>
              <w:rPr>
                <w:kern w:val="0"/>
                <w:szCs w:val="21"/>
              </w:rPr>
            </w:pPr>
            <w:r>
              <w:rPr>
                <w:kern w:val="0"/>
                <w:szCs w:val="21"/>
                <w:lang w:bidi="ar"/>
              </w:rPr>
              <w:t>5</w:t>
            </w:r>
          </w:p>
        </w:tc>
        <w:tc>
          <w:tcPr>
            <w:tcW w:w="351" w:type="pct"/>
            <w:vMerge w:val="continue"/>
            <w:vAlign w:val="center"/>
          </w:tcPr>
          <w:p w14:paraId="634D35B8">
            <w:pPr>
              <w:topLinePunct/>
              <w:adjustRightInd w:val="0"/>
              <w:snapToGrid w:val="0"/>
              <w:spacing w:before="0" w:beforeLines="0" w:line="240" w:lineRule="auto"/>
              <w:jc w:val="center"/>
              <w:rPr>
                <w:kern w:val="0"/>
                <w:szCs w:val="21"/>
              </w:rPr>
            </w:pPr>
          </w:p>
        </w:tc>
        <w:tc>
          <w:tcPr>
            <w:tcW w:w="715" w:type="pct"/>
            <w:vAlign w:val="center"/>
          </w:tcPr>
          <w:p w14:paraId="2412C729">
            <w:pPr>
              <w:spacing w:before="0" w:beforeLines="0" w:line="240" w:lineRule="auto"/>
              <w:jc w:val="center"/>
              <w:rPr>
                <w:szCs w:val="21"/>
              </w:rPr>
            </w:pPr>
            <w:r>
              <w:rPr>
                <w:kern w:val="0"/>
                <w:szCs w:val="21"/>
                <w:lang w:bidi="ar"/>
              </w:rPr>
              <w:t>颚式破碎机</w:t>
            </w:r>
          </w:p>
        </w:tc>
        <w:tc>
          <w:tcPr>
            <w:tcW w:w="206" w:type="pct"/>
            <w:vAlign w:val="center"/>
          </w:tcPr>
          <w:p w14:paraId="68CEC119">
            <w:pPr>
              <w:topLinePunct/>
              <w:adjustRightInd w:val="0"/>
              <w:snapToGrid w:val="0"/>
              <w:spacing w:before="0" w:beforeLines="0" w:line="240" w:lineRule="auto"/>
              <w:jc w:val="center"/>
              <w:rPr>
                <w:kern w:val="0"/>
                <w:szCs w:val="21"/>
              </w:rPr>
            </w:pPr>
            <w:r>
              <w:rPr>
                <w:kern w:val="0"/>
                <w:szCs w:val="21"/>
              </w:rPr>
              <w:t>49</w:t>
            </w:r>
          </w:p>
        </w:tc>
        <w:tc>
          <w:tcPr>
            <w:tcW w:w="203" w:type="pct"/>
            <w:vAlign w:val="center"/>
          </w:tcPr>
          <w:p w14:paraId="5ED2DD08">
            <w:pPr>
              <w:topLinePunct/>
              <w:adjustRightInd w:val="0"/>
              <w:snapToGrid w:val="0"/>
              <w:spacing w:before="0" w:beforeLines="0" w:line="240" w:lineRule="auto"/>
              <w:jc w:val="center"/>
              <w:rPr>
                <w:kern w:val="0"/>
                <w:szCs w:val="21"/>
              </w:rPr>
            </w:pPr>
            <w:r>
              <w:rPr>
                <w:kern w:val="0"/>
                <w:szCs w:val="21"/>
              </w:rPr>
              <w:t>24</w:t>
            </w:r>
          </w:p>
        </w:tc>
        <w:tc>
          <w:tcPr>
            <w:tcW w:w="250" w:type="pct"/>
            <w:vAlign w:val="center"/>
          </w:tcPr>
          <w:p w14:paraId="5A766CE6">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14:paraId="0C3C8A1A">
            <w:pPr>
              <w:topLinePunct/>
              <w:adjustRightInd w:val="0"/>
              <w:snapToGrid w:val="0"/>
              <w:spacing w:before="0" w:beforeLines="0" w:line="240" w:lineRule="auto"/>
              <w:jc w:val="center"/>
              <w:rPr>
                <w:kern w:val="0"/>
                <w:szCs w:val="21"/>
              </w:rPr>
            </w:pPr>
            <w:r>
              <w:rPr>
                <w:kern w:val="0"/>
                <w:szCs w:val="21"/>
              </w:rPr>
              <w:t>100</w:t>
            </w:r>
          </w:p>
        </w:tc>
        <w:tc>
          <w:tcPr>
            <w:tcW w:w="422" w:type="pct"/>
            <w:vMerge w:val="continue"/>
            <w:vAlign w:val="center"/>
          </w:tcPr>
          <w:p w14:paraId="098AB30F">
            <w:pPr>
              <w:topLinePunct/>
              <w:adjustRightInd w:val="0"/>
              <w:snapToGrid w:val="0"/>
              <w:spacing w:before="0" w:beforeLines="0" w:line="240" w:lineRule="auto"/>
              <w:jc w:val="center"/>
              <w:rPr>
                <w:kern w:val="0"/>
                <w:szCs w:val="21"/>
              </w:rPr>
            </w:pPr>
          </w:p>
        </w:tc>
        <w:tc>
          <w:tcPr>
            <w:tcW w:w="549" w:type="pct"/>
            <w:vAlign w:val="center"/>
          </w:tcPr>
          <w:p w14:paraId="2903EEFD">
            <w:pPr>
              <w:topLinePunct/>
              <w:adjustRightInd w:val="0"/>
              <w:snapToGrid w:val="0"/>
              <w:spacing w:before="0" w:beforeLines="0" w:line="240" w:lineRule="auto"/>
              <w:jc w:val="center"/>
              <w:rPr>
                <w:kern w:val="0"/>
                <w:szCs w:val="21"/>
              </w:rPr>
            </w:pPr>
            <w:r>
              <w:rPr>
                <w:kern w:val="0"/>
                <w:szCs w:val="21"/>
              </w:rPr>
              <w:t>60</w:t>
            </w:r>
          </w:p>
        </w:tc>
        <w:tc>
          <w:tcPr>
            <w:tcW w:w="369" w:type="pct"/>
            <w:vAlign w:val="center"/>
          </w:tcPr>
          <w:p w14:paraId="16F41DA7">
            <w:pPr>
              <w:topLinePunct/>
              <w:adjustRightInd w:val="0"/>
              <w:snapToGrid w:val="0"/>
              <w:spacing w:before="0" w:beforeLines="0" w:line="240" w:lineRule="auto"/>
              <w:jc w:val="center"/>
              <w:rPr>
                <w:kern w:val="0"/>
                <w:szCs w:val="21"/>
              </w:rPr>
            </w:pPr>
            <w:r>
              <w:rPr>
                <w:kern w:val="0"/>
                <w:szCs w:val="21"/>
              </w:rPr>
              <w:t>64.44</w:t>
            </w:r>
          </w:p>
        </w:tc>
        <w:tc>
          <w:tcPr>
            <w:tcW w:w="339" w:type="pct"/>
            <w:vAlign w:val="center"/>
          </w:tcPr>
          <w:p w14:paraId="2E225CEC">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7753879F">
            <w:pPr>
              <w:topLinePunct/>
              <w:adjustRightInd w:val="0"/>
              <w:snapToGrid w:val="0"/>
              <w:spacing w:before="0" w:beforeLines="0" w:line="240" w:lineRule="auto"/>
              <w:jc w:val="center"/>
              <w:rPr>
                <w:kern w:val="0"/>
                <w:szCs w:val="21"/>
              </w:rPr>
            </w:pPr>
          </w:p>
        </w:tc>
        <w:tc>
          <w:tcPr>
            <w:tcW w:w="339" w:type="pct"/>
            <w:vMerge w:val="continue"/>
            <w:vAlign w:val="center"/>
          </w:tcPr>
          <w:p w14:paraId="5A86E050">
            <w:pPr>
              <w:topLinePunct/>
              <w:adjustRightInd w:val="0"/>
              <w:snapToGrid w:val="0"/>
              <w:spacing w:before="0" w:beforeLines="0" w:line="240" w:lineRule="auto"/>
              <w:jc w:val="center"/>
              <w:rPr>
                <w:kern w:val="0"/>
                <w:szCs w:val="21"/>
              </w:rPr>
            </w:pPr>
          </w:p>
        </w:tc>
        <w:tc>
          <w:tcPr>
            <w:tcW w:w="339" w:type="pct"/>
            <w:vAlign w:val="center"/>
          </w:tcPr>
          <w:p w14:paraId="03583927">
            <w:pPr>
              <w:topLinePunct/>
              <w:adjustRightInd w:val="0"/>
              <w:snapToGrid w:val="0"/>
              <w:spacing w:before="0" w:beforeLines="0" w:line="240" w:lineRule="auto"/>
              <w:jc w:val="center"/>
              <w:rPr>
                <w:kern w:val="0"/>
                <w:szCs w:val="21"/>
              </w:rPr>
            </w:pPr>
            <w:r>
              <w:rPr>
                <w:kern w:val="0"/>
                <w:szCs w:val="21"/>
              </w:rPr>
              <w:t>1</w:t>
            </w:r>
          </w:p>
        </w:tc>
      </w:tr>
      <w:tr w14:paraId="08B4157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195" w:type="pct"/>
            <w:vAlign w:val="center"/>
          </w:tcPr>
          <w:p w14:paraId="7C399BF6">
            <w:pPr>
              <w:widowControl/>
              <w:spacing w:before="0" w:beforeLines="0" w:line="240" w:lineRule="auto"/>
              <w:jc w:val="center"/>
              <w:textAlignment w:val="center"/>
              <w:rPr>
                <w:kern w:val="0"/>
                <w:szCs w:val="21"/>
              </w:rPr>
            </w:pPr>
            <w:r>
              <w:rPr>
                <w:kern w:val="0"/>
                <w:szCs w:val="21"/>
                <w:lang w:bidi="ar"/>
              </w:rPr>
              <w:t>6</w:t>
            </w:r>
          </w:p>
        </w:tc>
        <w:tc>
          <w:tcPr>
            <w:tcW w:w="351" w:type="pct"/>
            <w:vMerge w:val="continue"/>
            <w:vAlign w:val="center"/>
          </w:tcPr>
          <w:p w14:paraId="49212C32">
            <w:pPr>
              <w:topLinePunct/>
              <w:adjustRightInd w:val="0"/>
              <w:snapToGrid w:val="0"/>
              <w:spacing w:before="0" w:beforeLines="0" w:line="240" w:lineRule="auto"/>
              <w:jc w:val="center"/>
              <w:rPr>
                <w:kern w:val="0"/>
                <w:szCs w:val="21"/>
              </w:rPr>
            </w:pPr>
          </w:p>
        </w:tc>
        <w:tc>
          <w:tcPr>
            <w:tcW w:w="715" w:type="pct"/>
            <w:vAlign w:val="center"/>
          </w:tcPr>
          <w:p w14:paraId="18A94F83">
            <w:pPr>
              <w:spacing w:before="0" w:beforeLines="0" w:line="240" w:lineRule="auto"/>
              <w:jc w:val="center"/>
              <w:rPr>
                <w:szCs w:val="21"/>
              </w:rPr>
            </w:pPr>
            <w:r>
              <w:rPr>
                <w:kern w:val="0"/>
                <w:szCs w:val="21"/>
                <w:lang w:bidi="ar"/>
              </w:rPr>
              <w:t>圆锥破碎机</w:t>
            </w:r>
          </w:p>
        </w:tc>
        <w:tc>
          <w:tcPr>
            <w:tcW w:w="206" w:type="pct"/>
            <w:vAlign w:val="center"/>
          </w:tcPr>
          <w:p w14:paraId="0F0A6D39">
            <w:pPr>
              <w:topLinePunct/>
              <w:adjustRightInd w:val="0"/>
              <w:snapToGrid w:val="0"/>
              <w:spacing w:before="0" w:beforeLines="0" w:line="240" w:lineRule="auto"/>
              <w:jc w:val="center"/>
              <w:rPr>
                <w:kern w:val="0"/>
                <w:szCs w:val="21"/>
              </w:rPr>
            </w:pPr>
            <w:r>
              <w:rPr>
                <w:kern w:val="0"/>
                <w:szCs w:val="21"/>
              </w:rPr>
              <w:t>12</w:t>
            </w:r>
          </w:p>
        </w:tc>
        <w:tc>
          <w:tcPr>
            <w:tcW w:w="203" w:type="pct"/>
            <w:vAlign w:val="center"/>
          </w:tcPr>
          <w:p w14:paraId="1E0CDB75">
            <w:pPr>
              <w:topLinePunct/>
              <w:adjustRightInd w:val="0"/>
              <w:snapToGrid w:val="0"/>
              <w:spacing w:before="0" w:beforeLines="0" w:line="240" w:lineRule="auto"/>
              <w:jc w:val="center"/>
              <w:rPr>
                <w:kern w:val="0"/>
                <w:szCs w:val="21"/>
              </w:rPr>
            </w:pPr>
            <w:r>
              <w:rPr>
                <w:kern w:val="0"/>
                <w:szCs w:val="21"/>
              </w:rPr>
              <w:t>39</w:t>
            </w:r>
          </w:p>
        </w:tc>
        <w:tc>
          <w:tcPr>
            <w:tcW w:w="250" w:type="pct"/>
            <w:vAlign w:val="center"/>
          </w:tcPr>
          <w:p w14:paraId="6E4BD05F">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14:paraId="6D85C78B">
            <w:pPr>
              <w:topLinePunct/>
              <w:adjustRightInd w:val="0"/>
              <w:snapToGrid w:val="0"/>
              <w:spacing w:before="0" w:beforeLines="0" w:line="240" w:lineRule="auto"/>
              <w:jc w:val="center"/>
              <w:rPr>
                <w:kern w:val="0"/>
                <w:szCs w:val="21"/>
              </w:rPr>
            </w:pPr>
            <w:r>
              <w:rPr>
                <w:kern w:val="0"/>
                <w:szCs w:val="21"/>
              </w:rPr>
              <w:t>100</w:t>
            </w:r>
          </w:p>
        </w:tc>
        <w:tc>
          <w:tcPr>
            <w:tcW w:w="422" w:type="pct"/>
            <w:vMerge w:val="continue"/>
            <w:vAlign w:val="center"/>
          </w:tcPr>
          <w:p w14:paraId="4045033A">
            <w:pPr>
              <w:topLinePunct/>
              <w:adjustRightInd w:val="0"/>
              <w:snapToGrid w:val="0"/>
              <w:spacing w:before="0" w:beforeLines="0" w:line="240" w:lineRule="auto"/>
              <w:jc w:val="center"/>
              <w:rPr>
                <w:kern w:val="0"/>
                <w:szCs w:val="21"/>
              </w:rPr>
            </w:pPr>
          </w:p>
        </w:tc>
        <w:tc>
          <w:tcPr>
            <w:tcW w:w="549" w:type="pct"/>
            <w:vAlign w:val="center"/>
          </w:tcPr>
          <w:p w14:paraId="329998EB">
            <w:pPr>
              <w:topLinePunct/>
              <w:adjustRightInd w:val="0"/>
              <w:snapToGrid w:val="0"/>
              <w:spacing w:before="0" w:beforeLines="0" w:line="240" w:lineRule="auto"/>
              <w:jc w:val="center"/>
              <w:rPr>
                <w:kern w:val="0"/>
                <w:szCs w:val="21"/>
              </w:rPr>
            </w:pPr>
            <w:r>
              <w:rPr>
                <w:kern w:val="0"/>
                <w:szCs w:val="21"/>
              </w:rPr>
              <w:t>82</w:t>
            </w:r>
          </w:p>
        </w:tc>
        <w:tc>
          <w:tcPr>
            <w:tcW w:w="369" w:type="pct"/>
            <w:vAlign w:val="center"/>
          </w:tcPr>
          <w:p w14:paraId="498C48D6">
            <w:pPr>
              <w:topLinePunct/>
              <w:adjustRightInd w:val="0"/>
              <w:snapToGrid w:val="0"/>
              <w:spacing w:before="0" w:beforeLines="0" w:line="240" w:lineRule="auto"/>
              <w:jc w:val="center"/>
              <w:rPr>
                <w:kern w:val="0"/>
                <w:szCs w:val="21"/>
              </w:rPr>
            </w:pPr>
            <w:r>
              <w:rPr>
                <w:kern w:val="0"/>
                <w:szCs w:val="21"/>
              </w:rPr>
              <w:t>61.72</w:t>
            </w:r>
          </w:p>
        </w:tc>
        <w:tc>
          <w:tcPr>
            <w:tcW w:w="339" w:type="pct"/>
            <w:vAlign w:val="center"/>
          </w:tcPr>
          <w:p w14:paraId="25D30EF0">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2CF0D4D2">
            <w:pPr>
              <w:topLinePunct/>
              <w:adjustRightInd w:val="0"/>
              <w:snapToGrid w:val="0"/>
              <w:spacing w:before="0" w:beforeLines="0" w:line="240" w:lineRule="auto"/>
              <w:jc w:val="center"/>
              <w:rPr>
                <w:kern w:val="0"/>
                <w:szCs w:val="21"/>
              </w:rPr>
            </w:pPr>
          </w:p>
        </w:tc>
        <w:tc>
          <w:tcPr>
            <w:tcW w:w="339" w:type="pct"/>
            <w:vMerge w:val="continue"/>
            <w:vAlign w:val="center"/>
          </w:tcPr>
          <w:p w14:paraId="2E2148A4">
            <w:pPr>
              <w:topLinePunct/>
              <w:adjustRightInd w:val="0"/>
              <w:snapToGrid w:val="0"/>
              <w:spacing w:before="0" w:beforeLines="0" w:line="240" w:lineRule="auto"/>
              <w:jc w:val="center"/>
              <w:rPr>
                <w:kern w:val="0"/>
                <w:szCs w:val="21"/>
              </w:rPr>
            </w:pPr>
          </w:p>
        </w:tc>
        <w:tc>
          <w:tcPr>
            <w:tcW w:w="339" w:type="pct"/>
            <w:vAlign w:val="center"/>
          </w:tcPr>
          <w:p w14:paraId="4DEC98F0">
            <w:pPr>
              <w:topLinePunct/>
              <w:adjustRightInd w:val="0"/>
              <w:snapToGrid w:val="0"/>
              <w:spacing w:before="0" w:beforeLines="0" w:line="240" w:lineRule="auto"/>
              <w:jc w:val="center"/>
              <w:rPr>
                <w:kern w:val="0"/>
                <w:szCs w:val="21"/>
              </w:rPr>
            </w:pPr>
            <w:r>
              <w:rPr>
                <w:kern w:val="0"/>
                <w:szCs w:val="21"/>
              </w:rPr>
              <w:t>1</w:t>
            </w:r>
          </w:p>
        </w:tc>
      </w:tr>
      <w:tr w14:paraId="5DE0FD5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195" w:type="pct"/>
            <w:vAlign w:val="center"/>
          </w:tcPr>
          <w:p w14:paraId="7FA84DBE">
            <w:pPr>
              <w:widowControl/>
              <w:spacing w:before="0" w:beforeLines="0" w:line="240" w:lineRule="auto"/>
              <w:jc w:val="center"/>
              <w:textAlignment w:val="center"/>
              <w:rPr>
                <w:kern w:val="0"/>
                <w:szCs w:val="21"/>
              </w:rPr>
            </w:pPr>
            <w:r>
              <w:rPr>
                <w:kern w:val="0"/>
                <w:szCs w:val="21"/>
                <w:lang w:bidi="ar"/>
              </w:rPr>
              <w:t>7</w:t>
            </w:r>
          </w:p>
        </w:tc>
        <w:tc>
          <w:tcPr>
            <w:tcW w:w="351" w:type="pct"/>
            <w:vMerge w:val="continue"/>
            <w:vAlign w:val="center"/>
          </w:tcPr>
          <w:p w14:paraId="76BB7838">
            <w:pPr>
              <w:topLinePunct/>
              <w:adjustRightInd w:val="0"/>
              <w:snapToGrid w:val="0"/>
              <w:spacing w:before="0" w:beforeLines="0" w:line="240" w:lineRule="auto"/>
              <w:jc w:val="center"/>
              <w:rPr>
                <w:kern w:val="0"/>
                <w:szCs w:val="21"/>
              </w:rPr>
            </w:pPr>
          </w:p>
        </w:tc>
        <w:tc>
          <w:tcPr>
            <w:tcW w:w="715" w:type="pct"/>
            <w:vAlign w:val="center"/>
          </w:tcPr>
          <w:p w14:paraId="10FFE279">
            <w:pPr>
              <w:spacing w:before="0" w:beforeLines="0" w:line="240" w:lineRule="auto"/>
              <w:jc w:val="center"/>
              <w:rPr>
                <w:kern w:val="0"/>
                <w:szCs w:val="21"/>
                <w:lang w:bidi="ar"/>
              </w:rPr>
            </w:pPr>
            <w:r>
              <w:rPr>
                <w:kern w:val="0"/>
                <w:szCs w:val="21"/>
                <w:lang w:bidi="ar"/>
              </w:rPr>
              <w:t>圆锥破碎机</w:t>
            </w:r>
          </w:p>
        </w:tc>
        <w:tc>
          <w:tcPr>
            <w:tcW w:w="206" w:type="pct"/>
            <w:vAlign w:val="center"/>
          </w:tcPr>
          <w:p w14:paraId="6D0420B7">
            <w:pPr>
              <w:topLinePunct/>
              <w:adjustRightInd w:val="0"/>
              <w:snapToGrid w:val="0"/>
              <w:spacing w:before="0" w:beforeLines="0" w:line="240" w:lineRule="auto"/>
              <w:jc w:val="center"/>
              <w:rPr>
                <w:kern w:val="0"/>
                <w:szCs w:val="21"/>
              </w:rPr>
            </w:pPr>
            <w:r>
              <w:rPr>
                <w:kern w:val="0"/>
                <w:szCs w:val="21"/>
              </w:rPr>
              <w:t>20</w:t>
            </w:r>
          </w:p>
        </w:tc>
        <w:tc>
          <w:tcPr>
            <w:tcW w:w="203" w:type="pct"/>
            <w:vAlign w:val="center"/>
          </w:tcPr>
          <w:p w14:paraId="5267EDA9">
            <w:pPr>
              <w:topLinePunct/>
              <w:adjustRightInd w:val="0"/>
              <w:snapToGrid w:val="0"/>
              <w:spacing w:before="0" w:beforeLines="0" w:line="240" w:lineRule="auto"/>
              <w:jc w:val="center"/>
              <w:rPr>
                <w:kern w:val="0"/>
                <w:szCs w:val="21"/>
              </w:rPr>
            </w:pPr>
            <w:r>
              <w:rPr>
                <w:kern w:val="0"/>
                <w:szCs w:val="21"/>
              </w:rPr>
              <w:t>39</w:t>
            </w:r>
          </w:p>
        </w:tc>
        <w:tc>
          <w:tcPr>
            <w:tcW w:w="250" w:type="pct"/>
            <w:vAlign w:val="center"/>
          </w:tcPr>
          <w:p w14:paraId="78155CDC">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14:paraId="66985669">
            <w:pPr>
              <w:topLinePunct/>
              <w:adjustRightInd w:val="0"/>
              <w:snapToGrid w:val="0"/>
              <w:spacing w:before="0" w:beforeLines="0" w:line="240" w:lineRule="auto"/>
              <w:jc w:val="center"/>
              <w:rPr>
                <w:kern w:val="0"/>
                <w:szCs w:val="21"/>
              </w:rPr>
            </w:pPr>
            <w:r>
              <w:rPr>
                <w:kern w:val="0"/>
                <w:szCs w:val="21"/>
              </w:rPr>
              <w:t>100</w:t>
            </w:r>
          </w:p>
        </w:tc>
        <w:tc>
          <w:tcPr>
            <w:tcW w:w="422" w:type="pct"/>
            <w:vMerge w:val="continue"/>
            <w:vAlign w:val="center"/>
          </w:tcPr>
          <w:p w14:paraId="7D37E8F6">
            <w:pPr>
              <w:topLinePunct/>
              <w:adjustRightInd w:val="0"/>
              <w:snapToGrid w:val="0"/>
              <w:spacing w:before="0" w:beforeLines="0" w:line="240" w:lineRule="auto"/>
              <w:jc w:val="center"/>
              <w:rPr>
                <w:kern w:val="0"/>
                <w:szCs w:val="21"/>
              </w:rPr>
            </w:pPr>
          </w:p>
        </w:tc>
        <w:tc>
          <w:tcPr>
            <w:tcW w:w="549" w:type="pct"/>
            <w:vAlign w:val="center"/>
          </w:tcPr>
          <w:p w14:paraId="64F11801">
            <w:pPr>
              <w:topLinePunct/>
              <w:adjustRightInd w:val="0"/>
              <w:snapToGrid w:val="0"/>
              <w:spacing w:before="0" w:beforeLines="0" w:line="240" w:lineRule="auto"/>
              <w:jc w:val="center"/>
              <w:rPr>
                <w:kern w:val="0"/>
                <w:szCs w:val="21"/>
              </w:rPr>
            </w:pPr>
            <w:r>
              <w:rPr>
                <w:kern w:val="0"/>
                <w:szCs w:val="21"/>
              </w:rPr>
              <w:t>75</w:t>
            </w:r>
          </w:p>
        </w:tc>
        <w:tc>
          <w:tcPr>
            <w:tcW w:w="369" w:type="pct"/>
            <w:vAlign w:val="center"/>
          </w:tcPr>
          <w:p w14:paraId="1032DB46">
            <w:pPr>
              <w:topLinePunct/>
              <w:adjustRightInd w:val="0"/>
              <w:snapToGrid w:val="0"/>
              <w:spacing w:before="0" w:beforeLines="0" w:line="240" w:lineRule="auto"/>
              <w:jc w:val="center"/>
              <w:rPr>
                <w:kern w:val="0"/>
                <w:szCs w:val="21"/>
              </w:rPr>
            </w:pPr>
            <w:r>
              <w:rPr>
                <w:kern w:val="0"/>
                <w:szCs w:val="21"/>
              </w:rPr>
              <w:t>62.50</w:t>
            </w:r>
          </w:p>
        </w:tc>
        <w:tc>
          <w:tcPr>
            <w:tcW w:w="339" w:type="pct"/>
            <w:vAlign w:val="center"/>
          </w:tcPr>
          <w:p w14:paraId="0A12B80B">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0B2B2689">
            <w:pPr>
              <w:topLinePunct/>
              <w:adjustRightInd w:val="0"/>
              <w:snapToGrid w:val="0"/>
              <w:spacing w:before="0" w:beforeLines="0" w:line="240" w:lineRule="auto"/>
              <w:jc w:val="center"/>
              <w:rPr>
                <w:kern w:val="0"/>
                <w:szCs w:val="21"/>
              </w:rPr>
            </w:pPr>
          </w:p>
        </w:tc>
        <w:tc>
          <w:tcPr>
            <w:tcW w:w="339" w:type="pct"/>
            <w:vMerge w:val="continue"/>
            <w:vAlign w:val="center"/>
          </w:tcPr>
          <w:p w14:paraId="11721383">
            <w:pPr>
              <w:topLinePunct/>
              <w:adjustRightInd w:val="0"/>
              <w:snapToGrid w:val="0"/>
              <w:spacing w:before="0" w:beforeLines="0" w:line="240" w:lineRule="auto"/>
              <w:jc w:val="center"/>
              <w:rPr>
                <w:kern w:val="0"/>
                <w:szCs w:val="21"/>
              </w:rPr>
            </w:pPr>
          </w:p>
        </w:tc>
        <w:tc>
          <w:tcPr>
            <w:tcW w:w="339" w:type="pct"/>
            <w:vAlign w:val="center"/>
          </w:tcPr>
          <w:p w14:paraId="606355D7">
            <w:pPr>
              <w:topLinePunct/>
              <w:adjustRightInd w:val="0"/>
              <w:snapToGrid w:val="0"/>
              <w:spacing w:before="0" w:beforeLines="0" w:line="240" w:lineRule="auto"/>
              <w:jc w:val="center"/>
              <w:rPr>
                <w:kern w:val="0"/>
                <w:szCs w:val="21"/>
              </w:rPr>
            </w:pPr>
            <w:r>
              <w:rPr>
                <w:kern w:val="0"/>
                <w:szCs w:val="21"/>
              </w:rPr>
              <w:t>1</w:t>
            </w:r>
          </w:p>
        </w:tc>
      </w:tr>
      <w:tr w14:paraId="69BA881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195" w:type="pct"/>
            <w:vAlign w:val="center"/>
          </w:tcPr>
          <w:p w14:paraId="1B648D9D">
            <w:pPr>
              <w:widowControl/>
              <w:spacing w:before="0" w:beforeLines="0" w:line="240" w:lineRule="auto"/>
              <w:jc w:val="center"/>
              <w:textAlignment w:val="center"/>
              <w:rPr>
                <w:kern w:val="0"/>
                <w:szCs w:val="21"/>
              </w:rPr>
            </w:pPr>
            <w:r>
              <w:rPr>
                <w:kern w:val="0"/>
                <w:szCs w:val="21"/>
                <w:lang w:bidi="ar"/>
              </w:rPr>
              <w:t>8</w:t>
            </w:r>
          </w:p>
        </w:tc>
        <w:tc>
          <w:tcPr>
            <w:tcW w:w="351" w:type="pct"/>
            <w:vMerge w:val="continue"/>
            <w:vAlign w:val="center"/>
          </w:tcPr>
          <w:p w14:paraId="7B9975AE">
            <w:pPr>
              <w:topLinePunct/>
              <w:adjustRightInd w:val="0"/>
              <w:snapToGrid w:val="0"/>
              <w:spacing w:before="0" w:beforeLines="0" w:line="240" w:lineRule="auto"/>
              <w:jc w:val="center"/>
              <w:rPr>
                <w:kern w:val="0"/>
                <w:szCs w:val="21"/>
              </w:rPr>
            </w:pPr>
          </w:p>
        </w:tc>
        <w:tc>
          <w:tcPr>
            <w:tcW w:w="715" w:type="pct"/>
            <w:vAlign w:val="center"/>
          </w:tcPr>
          <w:p w14:paraId="49449683">
            <w:pPr>
              <w:spacing w:before="0" w:beforeLines="0" w:line="240" w:lineRule="auto"/>
              <w:jc w:val="center"/>
              <w:rPr>
                <w:kern w:val="0"/>
                <w:szCs w:val="21"/>
                <w:lang w:bidi="ar"/>
              </w:rPr>
            </w:pPr>
            <w:r>
              <w:rPr>
                <w:kern w:val="0"/>
                <w:szCs w:val="21"/>
                <w:lang w:bidi="ar"/>
              </w:rPr>
              <w:t>圆锥破碎机</w:t>
            </w:r>
          </w:p>
        </w:tc>
        <w:tc>
          <w:tcPr>
            <w:tcW w:w="206" w:type="pct"/>
            <w:vAlign w:val="center"/>
          </w:tcPr>
          <w:p w14:paraId="5B0BCAE9">
            <w:pPr>
              <w:topLinePunct/>
              <w:adjustRightInd w:val="0"/>
              <w:snapToGrid w:val="0"/>
              <w:spacing w:before="0" w:beforeLines="0" w:line="240" w:lineRule="auto"/>
              <w:jc w:val="center"/>
              <w:rPr>
                <w:kern w:val="0"/>
                <w:szCs w:val="21"/>
              </w:rPr>
            </w:pPr>
            <w:r>
              <w:rPr>
                <w:kern w:val="0"/>
                <w:szCs w:val="21"/>
              </w:rPr>
              <w:t>30</w:t>
            </w:r>
          </w:p>
        </w:tc>
        <w:tc>
          <w:tcPr>
            <w:tcW w:w="203" w:type="pct"/>
            <w:vAlign w:val="center"/>
          </w:tcPr>
          <w:p w14:paraId="6E74213C">
            <w:pPr>
              <w:topLinePunct/>
              <w:adjustRightInd w:val="0"/>
              <w:snapToGrid w:val="0"/>
              <w:spacing w:before="0" w:beforeLines="0" w:line="240" w:lineRule="auto"/>
              <w:jc w:val="center"/>
              <w:rPr>
                <w:kern w:val="0"/>
                <w:szCs w:val="21"/>
              </w:rPr>
            </w:pPr>
            <w:r>
              <w:rPr>
                <w:kern w:val="0"/>
                <w:szCs w:val="21"/>
              </w:rPr>
              <w:t>39</w:t>
            </w:r>
          </w:p>
        </w:tc>
        <w:tc>
          <w:tcPr>
            <w:tcW w:w="250" w:type="pct"/>
            <w:vAlign w:val="center"/>
          </w:tcPr>
          <w:p w14:paraId="782BFDC5">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14:paraId="4AB35BE3">
            <w:pPr>
              <w:topLinePunct/>
              <w:adjustRightInd w:val="0"/>
              <w:snapToGrid w:val="0"/>
              <w:spacing w:before="0" w:beforeLines="0" w:line="240" w:lineRule="auto"/>
              <w:jc w:val="center"/>
              <w:rPr>
                <w:kern w:val="0"/>
                <w:szCs w:val="21"/>
              </w:rPr>
            </w:pPr>
            <w:r>
              <w:rPr>
                <w:kern w:val="0"/>
                <w:szCs w:val="21"/>
              </w:rPr>
              <w:t>100</w:t>
            </w:r>
          </w:p>
        </w:tc>
        <w:tc>
          <w:tcPr>
            <w:tcW w:w="422" w:type="pct"/>
            <w:vMerge w:val="continue"/>
            <w:vAlign w:val="center"/>
          </w:tcPr>
          <w:p w14:paraId="5DD8EDE7">
            <w:pPr>
              <w:topLinePunct/>
              <w:adjustRightInd w:val="0"/>
              <w:snapToGrid w:val="0"/>
              <w:spacing w:before="0" w:beforeLines="0" w:line="240" w:lineRule="auto"/>
              <w:jc w:val="center"/>
              <w:rPr>
                <w:kern w:val="0"/>
                <w:szCs w:val="21"/>
              </w:rPr>
            </w:pPr>
          </w:p>
        </w:tc>
        <w:tc>
          <w:tcPr>
            <w:tcW w:w="549" w:type="pct"/>
            <w:vAlign w:val="center"/>
          </w:tcPr>
          <w:p w14:paraId="662B99F9">
            <w:pPr>
              <w:topLinePunct/>
              <w:adjustRightInd w:val="0"/>
              <w:snapToGrid w:val="0"/>
              <w:spacing w:before="0" w:beforeLines="0" w:line="240" w:lineRule="auto"/>
              <w:jc w:val="center"/>
              <w:rPr>
                <w:kern w:val="0"/>
                <w:szCs w:val="21"/>
              </w:rPr>
            </w:pPr>
            <w:r>
              <w:rPr>
                <w:kern w:val="0"/>
                <w:szCs w:val="21"/>
              </w:rPr>
              <w:t>66</w:t>
            </w:r>
          </w:p>
        </w:tc>
        <w:tc>
          <w:tcPr>
            <w:tcW w:w="369" w:type="pct"/>
            <w:vAlign w:val="center"/>
          </w:tcPr>
          <w:p w14:paraId="31BEC43E">
            <w:pPr>
              <w:topLinePunct/>
              <w:adjustRightInd w:val="0"/>
              <w:snapToGrid w:val="0"/>
              <w:spacing w:before="0" w:beforeLines="0" w:line="240" w:lineRule="auto"/>
              <w:jc w:val="center"/>
              <w:rPr>
                <w:kern w:val="0"/>
                <w:szCs w:val="21"/>
              </w:rPr>
            </w:pPr>
            <w:r>
              <w:rPr>
                <w:kern w:val="0"/>
                <w:szCs w:val="21"/>
              </w:rPr>
              <w:t>63.61</w:t>
            </w:r>
          </w:p>
        </w:tc>
        <w:tc>
          <w:tcPr>
            <w:tcW w:w="339" w:type="pct"/>
            <w:vAlign w:val="center"/>
          </w:tcPr>
          <w:p w14:paraId="7E7B4FBE">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5BAF2854">
            <w:pPr>
              <w:topLinePunct/>
              <w:adjustRightInd w:val="0"/>
              <w:snapToGrid w:val="0"/>
              <w:spacing w:before="0" w:beforeLines="0" w:line="240" w:lineRule="auto"/>
              <w:jc w:val="center"/>
              <w:rPr>
                <w:kern w:val="0"/>
                <w:szCs w:val="21"/>
              </w:rPr>
            </w:pPr>
          </w:p>
        </w:tc>
        <w:tc>
          <w:tcPr>
            <w:tcW w:w="339" w:type="pct"/>
            <w:vMerge w:val="continue"/>
            <w:vAlign w:val="center"/>
          </w:tcPr>
          <w:p w14:paraId="69AB058A">
            <w:pPr>
              <w:topLinePunct/>
              <w:adjustRightInd w:val="0"/>
              <w:snapToGrid w:val="0"/>
              <w:spacing w:before="0" w:beforeLines="0" w:line="240" w:lineRule="auto"/>
              <w:jc w:val="center"/>
              <w:rPr>
                <w:kern w:val="0"/>
                <w:szCs w:val="21"/>
              </w:rPr>
            </w:pPr>
          </w:p>
        </w:tc>
        <w:tc>
          <w:tcPr>
            <w:tcW w:w="339" w:type="pct"/>
            <w:vAlign w:val="center"/>
          </w:tcPr>
          <w:p w14:paraId="610075F8">
            <w:pPr>
              <w:topLinePunct/>
              <w:adjustRightInd w:val="0"/>
              <w:snapToGrid w:val="0"/>
              <w:spacing w:before="0" w:beforeLines="0" w:line="240" w:lineRule="auto"/>
              <w:jc w:val="center"/>
              <w:rPr>
                <w:kern w:val="0"/>
                <w:szCs w:val="21"/>
              </w:rPr>
            </w:pPr>
            <w:r>
              <w:rPr>
                <w:kern w:val="0"/>
                <w:szCs w:val="21"/>
              </w:rPr>
              <w:t>1</w:t>
            </w:r>
          </w:p>
        </w:tc>
      </w:tr>
      <w:tr w14:paraId="2457D75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195" w:type="pct"/>
            <w:vAlign w:val="center"/>
          </w:tcPr>
          <w:p w14:paraId="34035111">
            <w:pPr>
              <w:widowControl/>
              <w:spacing w:before="0" w:beforeLines="0" w:line="240" w:lineRule="auto"/>
              <w:jc w:val="center"/>
              <w:textAlignment w:val="center"/>
              <w:rPr>
                <w:kern w:val="0"/>
                <w:szCs w:val="21"/>
              </w:rPr>
            </w:pPr>
            <w:r>
              <w:rPr>
                <w:kern w:val="0"/>
                <w:szCs w:val="21"/>
                <w:lang w:bidi="ar"/>
              </w:rPr>
              <w:t>9</w:t>
            </w:r>
          </w:p>
        </w:tc>
        <w:tc>
          <w:tcPr>
            <w:tcW w:w="351" w:type="pct"/>
            <w:vMerge w:val="continue"/>
            <w:vAlign w:val="center"/>
          </w:tcPr>
          <w:p w14:paraId="7E49BEEE">
            <w:pPr>
              <w:topLinePunct/>
              <w:adjustRightInd w:val="0"/>
              <w:snapToGrid w:val="0"/>
              <w:spacing w:before="0" w:beforeLines="0" w:line="240" w:lineRule="auto"/>
              <w:jc w:val="center"/>
              <w:rPr>
                <w:kern w:val="0"/>
                <w:szCs w:val="21"/>
              </w:rPr>
            </w:pPr>
          </w:p>
        </w:tc>
        <w:tc>
          <w:tcPr>
            <w:tcW w:w="715" w:type="pct"/>
            <w:vAlign w:val="center"/>
          </w:tcPr>
          <w:p w14:paraId="6E2EB4C8">
            <w:pPr>
              <w:spacing w:before="0" w:beforeLines="0" w:line="240" w:lineRule="auto"/>
              <w:jc w:val="center"/>
              <w:rPr>
                <w:kern w:val="0"/>
                <w:szCs w:val="21"/>
                <w:lang w:bidi="ar"/>
              </w:rPr>
            </w:pPr>
            <w:r>
              <w:rPr>
                <w:kern w:val="0"/>
                <w:szCs w:val="21"/>
                <w:lang w:bidi="ar"/>
              </w:rPr>
              <w:t>圆锥破碎机</w:t>
            </w:r>
          </w:p>
        </w:tc>
        <w:tc>
          <w:tcPr>
            <w:tcW w:w="206" w:type="pct"/>
            <w:vAlign w:val="center"/>
          </w:tcPr>
          <w:p w14:paraId="22E74428">
            <w:pPr>
              <w:topLinePunct/>
              <w:adjustRightInd w:val="0"/>
              <w:snapToGrid w:val="0"/>
              <w:spacing w:before="0" w:beforeLines="0" w:line="240" w:lineRule="auto"/>
              <w:jc w:val="center"/>
              <w:rPr>
                <w:kern w:val="0"/>
                <w:szCs w:val="21"/>
              </w:rPr>
            </w:pPr>
            <w:r>
              <w:rPr>
                <w:kern w:val="0"/>
                <w:szCs w:val="21"/>
              </w:rPr>
              <w:t>40</w:t>
            </w:r>
          </w:p>
        </w:tc>
        <w:tc>
          <w:tcPr>
            <w:tcW w:w="203" w:type="pct"/>
            <w:vAlign w:val="center"/>
          </w:tcPr>
          <w:p w14:paraId="1D2E6DBA">
            <w:pPr>
              <w:topLinePunct/>
              <w:adjustRightInd w:val="0"/>
              <w:snapToGrid w:val="0"/>
              <w:spacing w:before="0" w:beforeLines="0" w:line="240" w:lineRule="auto"/>
              <w:jc w:val="center"/>
              <w:rPr>
                <w:kern w:val="0"/>
                <w:szCs w:val="21"/>
              </w:rPr>
            </w:pPr>
            <w:r>
              <w:rPr>
                <w:kern w:val="0"/>
                <w:szCs w:val="21"/>
              </w:rPr>
              <w:t>39</w:t>
            </w:r>
          </w:p>
        </w:tc>
        <w:tc>
          <w:tcPr>
            <w:tcW w:w="250" w:type="pct"/>
            <w:vAlign w:val="center"/>
          </w:tcPr>
          <w:p w14:paraId="19343F15">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14:paraId="0464B930">
            <w:pPr>
              <w:topLinePunct/>
              <w:adjustRightInd w:val="0"/>
              <w:snapToGrid w:val="0"/>
              <w:spacing w:before="0" w:beforeLines="0" w:line="240" w:lineRule="auto"/>
              <w:jc w:val="center"/>
              <w:rPr>
                <w:kern w:val="0"/>
                <w:szCs w:val="21"/>
              </w:rPr>
            </w:pPr>
            <w:r>
              <w:rPr>
                <w:kern w:val="0"/>
                <w:szCs w:val="21"/>
              </w:rPr>
              <w:t>100</w:t>
            </w:r>
          </w:p>
        </w:tc>
        <w:tc>
          <w:tcPr>
            <w:tcW w:w="422" w:type="pct"/>
            <w:vMerge w:val="continue"/>
            <w:vAlign w:val="center"/>
          </w:tcPr>
          <w:p w14:paraId="27210E87">
            <w:pPr>
              <w:topLinePunct/>
              <w:adjustRightInd w:val="0"/>
              <w:snapToGrid w:val="0"/>
              <w:spacing w:before="0" w:beforeLines="0" w:line="240" w:lineRule="auto"/>
              <w:jc w:val="center"/>
              <w:rPr>
                <w:kern w:val="0"/>
                <w:szCs w:val="21"/>
              </w:rPr>
            </w:pPr>
          </w:p>
        </w:tc>
        <w:tc>
          <w:tcPr>
            <w:tcW w:w="549" w:type="pct"/>
            <w:vAlign w:val="center"/>
          </w:tcPr>
          <w:p w14:paraId="3A370B56">
            <w:pPr>
              <w:topLinePunct/>
              <w:adjustRightInd w:val="0"/>
              <w:snapToGrid w:val="0"/>
              <w:spacing w:before="0" w:beforeLines="0" w:line="240" w:lineRule="auto"/>
              <w:jc w:val="center"/>
              <w:rPr>
                <w:kern w:val="0"/>
                <w:szCs w:val="21"/>
              </w:rPr>
            </w:pPr>
            <w:r>
              <w:rPr>
                <w:kern w:val="0"/>
                <w:szCs w:val="21"/>
              </w:rPr>
              <w:t>58</w:t>
            </w:r>
          </w:p>
        </w:tc>
        <w:tc>
          <w:tcPr>
            <w:tcW w:w="369" w:type="pct"/>
            <w:vAlign w:val="center"/>
          </w:tcPr>
          <w:p w14:paraId="6CBAC838">
            <w:pPr>
              <w:topLinePunct/>
              <w:adjustRightInd w:val="0"/>
              <w:snapToGrid w:val="0"/>
              <w:spacing w:before="0" w:beforeLines="0" w:line="240" w:lineRule="auto"/>
              <w:jc w:val="center"/>
              <w:rPr>
                <w:kern w:val="0"/>
                <w:szCs w:val="21"/>
              </w:rPr>
            </w:pPr>
            <w:r>
              <w:rPr>
                <w:kern w:val="0"/>
                <w:szCs w:val="21"/>
              </w:rPr>
              <w:t>64.73</w:t>
            </w:r>
          </w:p>
        </w:tc>
        <w:tc>
          <w:tcPr>
            <w:tcW w:w="339" w:type="pct"/>
            <w:vAlign w:val="center"/>
          </w:tcPr>
          <w:p w14:paraId="549FEE59">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1687BCA7">
            <w:pPr>
              <w:topLinePunct/>
              <w:adjustRightInd w:val="0"/>
              <w:snapToGrid w:val="0"/>
              <w:spacing w:before="0" w:beforeLines="0" w:line="240" w:lineRule="auto"/>
              <w:jc w:val="center"/>
              <w:rPr>
                <w:kern w:val="0"/>
                <w:szCs w:val="21"/>
              </w:rPr>
            </w:pPr>
          </w:p>
        </w:tc>
        <w:tc>
          <w:tcPr>
            <w:tcW w:w="339" w:type="pct"/>
            <w:vMerge w:val="continue"/>
            <w:vAlign w:val="center"/>
          </w:tcPr>
          <w:p w14:paraId="705D10DB">
            <w:pPr>
              <w:topLinePunct/>
              <w:adjustRightInd w:val="0"/>
              <w:snapToGrid w:val="0"/>
              <w:spacing w:before="0" w:beforeLines="0" w:line="240" w:lineRule="auto"/>
              <w:jc w:val="center"/>
              <w:rPr>
                <w:kern w:val="0"/>
                <w:szCs w:val="21"/>
              </w:rPr>
            </w:pPr>
          </w:p>
        </w:tc>
        <w:tc>
          <w:tcPr>
            <w:tcW w:w="339" w:type="pct"/>
            <w:vAlign w:val="center"/>
          </w:tcPr>
          <w:p w14:paraId="3D5C989F">
            <w:pPr>
              <w:topLinePunct/>
              <w:adjustRightInd w:val="0"/>
              <w:snapToGrid w:val="0"/>
              <w:spacing w:before="0" w:beforeLines="0" w:line="240" w:lineRule="auto"/>
              <w:jc w:val="center"/>
              <w:rPr>
                <w:kern w:val="0"/>
                <w:szCs w:val="21"/>
              </w:rPr>
            </w:pPr>
            <w:r>
              <w:rPr>
                <w:kern w:val="0"/>
                <w:szCs w:val="21"/>
              </w:rPr>
              <w:t>1</w:t>
            </w:r>
          </w:p>
        </w:tc>
      </w:tr>
      <w:tr w14:paraId="0A7D343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195" w:type="pct"/>
            <w:vAlign w:val="center"/>
          </w:tcPr>
          <w:p w14:paraId="58EDEF30">
            <w:pPr>
              <w:widowControl/>
              <w:spacing w:before="0" w:beforeLines="0" w:line="240" w:lineRule="auto"/>
              <w:jc w:val="center"/>
              <w:textAlignment w:val="center"/>
              <w:rPr>
                <w:kern w:val="0"/>
                <w:szCs w:val="21"/>
              </w:rPr>
            </w:pPr>
            <w:r>
              <w:rPr>
                <w:kern w:val="0"/>
                <w:szCs w:val="21"/>
                <w:lang w:bidi="ar"/>
              </w:rPr>
              <w:t>10</w:t>
            </w:r>
          </w:p>
        </w:tc>
        <w:tc>
          <w:tcPr>
            <w:tcW w:w="351" w:type="pct"/>
            <w:vMerge w:val="continue"/>
            <w:vAlign w:val="center"/>
          </w:tcPr>
          <w:p w14:paraId="3AFDED90">
            <w:pPr>
              <w:topLinePunct/>
              <w:adjustRightInd w:val="0"/>
              <w:snapToGrid w:val="0"/>
              <w:spacing w:before="0" w:beforeLines="0" w:line="240" w:lineRule="auto"/>
              <w:jc w:val="center"/>
              <w:rPr>
                <w:kern w:val="0"/>
                <w:szCs w:val="21"/>
              </w:rPr>
            </w:pPr>
          </w:p>
        </w:tc>
        <w:tc>
          <w:tcPr>
            <w:tcW w:w="715" w:type="pct"/>
            <w:vAlign w:val="center"/>
          </w:tcPr>
          <w:p w14:paraId="3A8F8115">
            <w:pPr>
              <w:spacing w:before="0" w:beforeLines="0" w:line="240" w:lineRule="auto"/>
              <w:jc w:val="center"/>
              <w:rPr>
                <w:kern w:val="0"/>
                <w:szCs w:val="21"/>
                <w:lang w:bidi="ar"/>
              </w:rPr>
            </w:pPr>
            <w:r>
              <w:rPr>
                <w:kern w:val="0"/>
                <w:szCs w:val="21"/>
                <w:lang w:bidi="ar"/>
              </w:rPr>
              <w:t>圆锥破碎机</w:t>
            </w:r>
          </w:p>
        </w:tc>
        <w:tc>
          <w:tcPr>
            <w:tcW w:w="206" w:type="pct"/>
            <w:vAlign w:val="center"/>
          </w:tcPr>
          <w:p w14:paraId="7C1EF459">
            <w:pPr>
              <w:topLinePunct/>
              <w:adjustRightInd w:val="0"/>
              <w:snapToGrid w:val="0"/>
              <w:spacing w:before="0" w:beforeLines="0" w:line="240" w:lineRule="auto"/>
              <w:jc w:val="center"/>
              <w:rPr>
                <w:kern w:val="0"/>
                <w:szCs w:val="21"/>
              </w:rPr>
            </w:pPr>
            <w:r>
              <w:rPr>
                <w:kern w:val="0"/>
                <w:szCs w:val="21"/>
              </w:rPr>
              <w:t>50</w:t>
            </w:r>
          </w:p>
        </w:tc>
        <w:tc>
          <w:tcPr>
            <w:tcW w:w="203" w:type="pct"/>
            <w:vAlign w:val="center"/>
          </w:tcPr>
          <w:p w14:paraId="4A90F6F0">
            <w:pPr>
              <w:topLinePunct/>
              <w:adjustRightInd w:val="0"/>
              <w:snapToGrid w:val="0"/>
              <w:spacing w:before="0" w:beforeLines="0" w:line="240" w:lineRule="auto"/>
              <w:jc w:val="center"/>
              <w:rPr>
                <w:kern w:val="0"/>
                <w:szCs w:val="21"/>
              </w:rPr>
            </w:pPr>
            <w:r>
              <w:rPr>
                <w:kern w:val="0"/>
                <w:szCs w:val="21"/>
              </w:rPr>
              <w:t>39</w:t>
            </w:r>
          </w:p>
        </w:tc>
        <w:tc>
          <w:tcPr>
            <w:tcW w:w="250" w:type="pct"/>
            <w:vAlign w:val="center"/>
          </w:tcPr>
          <w:p w14:paraId="365E31BA">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14:paraId="56A66C8F">
            <w:pPr>
              <w:topLinePunct/>
              <w:adjustRightInd w:val="0"/>
              <w:snapToGrid w:val="0"/>
              <w:spacing w:before="0" w:beforeLines="0" w:line="240" w:lineRule="auto"/>
              <w:jc w:val="center"/>
              <w:rPr>
                <w:kern w:val="0"/>
                <w:szCs w:val="21"/>
              </w:rPr>
            </w:pPr>
            <w:r>
              <w:rPr>
                <w:kern w:val="0"/>
                <w:szCs w:val="21"/>
              </w:rPr>
              <w:t>100</w:t>
            </w:r>
          </w:p>
        </w:tc>
        <w:tc>
          <w:tcPr>
            <w:tcW w:w="422" w:type="pct"/>
            <w:vMerge w:val="continue"/>
            <w:vAlign w:val="center"/>
          </w:tcPr>
          <w:p w14:paraId="499F886F">
            <w:pPr>
              <w:topLinePunct/>
              <w:adjustRightInd w:val="0"/>
              <w:snapToGrid w:val="0"/>
              <w:spacing w:before="0" w:beforeLines="0" w:line="240" w:lineRule="auto"/>
              <w:jc w:val="center"/>
              <w:rPr>
                <w:kern w:val="0"/>
                <w:szCs w:val="21"/>
              </w:rPr>
            </w:pPr>
          </w:p>
        </w:tc>
        <w:tc>
          <w:tcPr>
            <w:tcW w:w="549" w:type="pct"/>
            <w:vAlign w:val="center"/>
          </w:tcPr>
          <w:p w14:paraId="0841E60A">
            <w:pPr>
              <w:topLinePunct/>
              <w:adjustRightInd w:val="0"/>
              <w:snapToGrid w:val="0"/>
              <w:spacing w:before="0" w:beforeLines="0" w:line="240" w:lineRule="auto"/>
              <w:jc w:val="center"/>
              <w:rPr>
                <w:kern w:val="0"/>
                <w:szCs w:val="21"/>
              </w:rPr>
            </w:pPr>
            <w:r>
              <w:rPr>
                <w:kern w:val="0"/>
                <w:szCs w:val="21"/>
              </w:rPr>
              <w:t>52</w:t>
            </w:r>
          </w:p>
        </w:tc>
        <w:tc>
          <w:tcPr>
            <w:tcW w:w="369" w:type="pct"/>
            <w:vAlign w:val="center"/>
          </w:tcPr>
          <w:p w14:paraId="6322CDB2">
            <w:pPr>
              <w:topLinePunct/>
              <w:adjustRightInd w:val="0"/>
              <w:snapToGrid w:val="0"/>
              <w:spacing w:before="0" w:beforeLines="0" w:line="240" w:lineRule="auto"/>
              <w:jc w:val="center"/>
              <w:rPr>
                <w:kern w:val="0"/>
                <w:szCs w:val="21"/>
              </w:rPr>
            </w:pPr>
            <w:r>
              <w:rPr>
                <w:kern w:val="0"/>
                <w:szCs w:val="21"/>
              </w:rPr>
              <w:t>65.68</w:t>
            </w:r>
          </w:p>
        </w:tc>
        <w:tc>
          <w:tcPr>
            <w:tcW w:w="339" w:type="pct"/>
            <w:vAlign w:val="center"/>
          </w:tcPr>
          <w:p w14:paraId="493A0B1E">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52C9557D">
            <w:pPr>
              <w:topLinePunct/>
              <w:adjustRightInd w:val="0"/>
              <w:snapToGrid w:val="0"/>
              <w:spacing w:before="0" w:beforeLines="0" w:line="240" w:lineRule="auto"/>
              <w:jc w:val="center"/>
              <w:rPr>
                <w:kern w:val="0"/>
                <w:szCs w:val="21"/>
              </w:rPr>
            </w:pPr>
          </w:p>
        </w:tc>
        <w:tc>
          <w:tcPr>
            <w:tcW w:w="339" w:type="pct"/>
            <w:vMerge w:val="continue"/>
            <w:vAlign w:val="center"/>
          </w:tcPr>
          <w:p w14:paraId="10E18337">
            <w:pPr>
              <w:topLinePunct/>
              <w:adjustRightInd w:val="0"/>
              <w:snapToGrid w:val="0"/>
              <w:spacing w:before="0" w:beforeLines="0" w:line="240" w:lineRule="auto"/>
              <w:jc w:val="center"/>
              <w:rPr>
                <w:kern w:val="0"/>
                <w:szCs w:val="21"/>
              </w:rPr>
            </w:pPr>
          </w:p>
        </w:tc>
        <w:tc>
          <w:tcPr>
            <w:tcW w:w="339" w:type="pct"/>
            <w:vAlign w:val="center"/>
          </w:tcPr>
          <w:p w14:paraId="3673908D">
            <w:pPr>
              <w:topLinePunct/>
              <w:adjustRightInd w:val="0"/>
              <w:snapToGrid w:val="0"/>
              <w:spacing w:before="0" w:beforeLines="0" w:line="240" w:lineRule="auto"/>
              <w:jc w:val="center"/>
              <w:rPr>
                <w:kern w:val="0"/>
                <w:szCs w:val="21"/>
              </w:rPr>
            </w:pPr>
            <w:r>
              <w:rPr>
                <w:kern w:val="0"/>
                <w:szCs w:val="21"/>
              </w:rPr>
              <w:t>1</w:t>
            </w:r>
          </w:p>
        </w:tc>
      </w:tr>
      <w:tr w14:paraId="38051E1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195" w:type="pct"/>
            <w:vAlign w:val="center"/>
          </w:tcPr>
          <w:p w14:paraId="0048BDEF">
            <w:pPr>
              <w:widowControl/>
              <w:spacing w:before="0" w:beforeLines="0" w:line="240" w:lineRule="auto"/>
              <w:jc w:val="center"/>
              <w:textAlignment w:val="center"/>
              <w:rPr>
                <w:kern w:val="0"/>
                <w:szCs w:val="21"/>
              </w:rPr>
            </w:pPr>
            <w:r>
              <w:rPr>
                <w:kern w:val="0"/>
                <w:szCs w:val="21"/>
                <w:lang w:bidi="ar"/>
              </w:rPr>
              <w:t>11</w:t>
            </w:r>
          </w:p>
        </w:tc>
        <w:tc>
          <w:tcPr>
            <w:tcW w:w="351" w:type="pct"/>
            <w:vMerge w:val="continue"/>
            <w:vAlign w:val="center"/>
          </w:tcPr>
          <w:p w14:paraId="01AB23CA">
            <w:pPr>
              <w:topLinePunct/>
              <w:adjustRightInd w:val="0"/>
              <w:snapToGrid w:val="0"/>
              <w:spacing w:before="0" w:beforeLines="0" w:line="240" w:lineRule="auto"/>
              <w:jc w:val="center"/>
              <w:rPr>
                <w:kern w:val="0"/>
                <w:szCs w:val="21"/>
              </w:rPr>
            </w:pPr>
          </w:p>
        </w:tc>
        <w:tc>
          <w:tcPr>
            <w:tcW w:w="715" w:type="pct"/>
            <w:vAlign w:val="center"/>
          </w:tcPr>
          <w:p w14:paraId="1D88A513">
            <w:pPr>
              <w:spacing w:before="0" w:beforeLines="0" w:line="240" w:lineRule="auto"/>
              <w:jc w:val="center"/>
              <w:rPr>
                <w:szCs w:val="21"/>
              </w:rPr>
            </w:pPr>
            <w:r>
              <w:rPr>
                <w:kern w:val="0"/>
                <w:szCs w:val="21"/>
                <w:lang w:bidi="ar"/>
              </w:rPr>
              <w:t>一段干选磁选机</w:t>
            </w:r>
          </w:p>
        </w:tc>
        <w:tc>
          <w:tcPr>
            <w:tcW w:w="206" w:type="pct"/>
            <w:vAlign w:val="center"/>
          </w:tcPr>
          <w:p w14:paraId="6BABF08B">
            <w:pPr>
              <w:topLinePunct/>
              <w:adjustRightInd w:val="0"/>
              <w:snapToGrid w:val="0"/>
              <w:spacing w:before="0" w:beforeLines="0" w:line="240" w:lineRule="auto"/>
              <w:jc w:val="center"/>
              <w:rPr>
                <w:kern w:val="0"/>
                <w:szCs w:val="21"/>
              </w:rPr>
            </w:pPr>
            <w:r>
              <w:rPr>
                <w:kern w:val="0"/>
                <w:szCs w:val="21"/>
              </w:rPr>
              <w:t>10</w:t>
            </w:r>
          </w:p>
        </w:tc>
        <w:tc>
          <w:tcPr>
            <w:tcW w:w="203" w:type="pct"/>
            <w:vAlign w:val="center"/>
          </w:tcPr>
          <w:p w14:paraId="3E37EF28">
            <w:pPr>
              <w:topLinePunct/>
              <w:adjustRightInd w:val="0"/>
              <w:snapToGrid w:val="0"/>
              <w:spacing w:before="0" w:beforeLines="0" w:line="240" w:lineRule="auto"/>
              <w:jc w:val="center"/>
              <w:rPr>
                <w:kern w:val="0"/>
                <w:szCs w:val="21"/>
              </w:rPr>
            </w:pPr>
            <w:r>
              <w:rPr>
                <w:kern w:val="0"/>
                <w:szCs w:val="21"/>
              </w:rPr>
              <w:t>56</w:t>
            </w:r>
          </w:p>
        </w:tc>
        <w:tc>
          <w:tcPr>
            <w:tcW w:w="250" w:type="pct"/>
            <w:vAlign w:val="center"/>
          </w:tcPr>
          <w:p w14:paraId="02DEADEC">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14:paraId="33C2E8CA">
            <w:pPr>
              <w:topLinePunct/>
              <w:adjustRightInd w:val="0"/>
              <w:snapToGrid w:val="0"/>
              <w:spacing w:before="0" w:beforeLines="0" w:line="240" w:lineRule="auto"/>
              <w:jc w:val="center"/>
              <w:rPr>
                <w:kern w:val="0"/>
                <w:szCs w:val="21"/>
              </w:rPr>
            </w:pPr>
            <w:r>
              <w:rPr>
                <w:kern w:val="0"/>
                <w:szCs w:val="21"/>
              </w:rPr>
              <w:t>100</w:t>
            </w:r>
          </w:p>
        </w:tc>
        <w:tc>
          <w:tcPr>
            <w:tcW w:w="422" w:type="pct"/>
            <w:vMerge w:val="continue"/>
            <w:vAlign w:val="center"/>
          </w:tcPr>
          <w:p w14:paraId="57694DBF">
            <w:pPr>
              <w:topLinePunct/>
              <w:adjustRightInd w:val="0"/>
              <w:snapToGrid w:val="0"/>
              <w:spacing w:before="0" w:beforeLines="0" w:line="240" w:lineRule="auto"/>
              <w:jc w:val="center"/>
              <w:rPr>
                <w:kern w:val="0"/>
                <w:szCs w:val="21"/>
              </w:rPr>
            </w:pPr>
          </w:p>
        </w:tc>
        <w:tc>
          <w:tcPr>
            <w:tcW w:w="549" w:type="pct"/>
            <w:vAlign w:val="center"/>
          </w:tcPr>
          <w:p w14:paraId="7DD88A59">
            <w:pPr>
              <w:topLinePunct/>
              <w:adjustRightInd w:val="0"/>
              <w:snapToGrid w:val="0"/>
              <w:spacing w:before="0" w:beforeLines="0" w:line="240" w:lineRule="auto"/>
              <w:jc w:val="center"/>
              <w:rPr>
                <w:kern w:val="0"/>
                <w:szCs w:val="21"/>
              </w:rPr>
            </w:pPr>
            <w:r>
              <w:rPr>
                <w:kern w:val="0"/>
                <w:szCs w:val="21"/>
              </w:rPr>
              <w:t>77</w:t>
            </w:r>
          </w:p>
        </w:tc>
        <w:tc>
          <w:tcPr>
            <w:tcW w:w="369" w:type="pct"/>
            <w:vAlign w:val="center"/>
          </w:tcPr>
          <w:p w14:paraId="77408319">
            <w:pPr>
              <w:topLinePunct/>
              <w:adjustRightInd w:val="0"/>
              <w:snapToGrid w:val="0"/>
              <w:spacing w:before="0" w:beforeLines="0" w:line="240" w:lineRule="auto"/>
              <w:jc w:val="center"/>
              <w:rPr>
                <w:kern w:val="0"/>
                <w:szCs w:val="21"/>
              </w:rPr>
            </w:pPr>
            <w:r>
              <w:rPr>
                <w:kern w:val="0"/>
                <w:szCs w:val="21"/>
              </w:rPr>
              <w:t>62.27</w:t>
            </w:r>
          </w:p>
        </w:tc>
        <w:tc>
          <w:tcPr>
            <w:tcW w:w="339" w:type="pct"/>
            <w:vAlign w:val="center"/>
          </w:tcPr>
          <w:p w14:paraId="00F23F36">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686FA819">
            <w:pPr>
              <w:topLinePunct/>
              <w:adjustRightInd w:val="0"/>
              <w:snapToGrid w:val="0"/>
              <w:spacing w:before="0" w:beforeLines="0" w:line="240" w:lineRule="auto"/>
              <w:jc w:val="center"/>
              <w:rPr>
                <w:kern w:val="0"/>
                <w:szCs w:val="21"/>
              </w:rPr>
            </w:pPr>
          </w:p>
        </w:tc>
        <w:tc>
          <w:tcPr>
            <w:tcW w:w="339" w:type="pct"/>
            <w:vMerge w:val="continue"/>
            <w:vAlign w:val="center"/>
          </w:tcPr>
          <w:p w14:paraId="1E90AABD">
            <w:pPr>
              <w:topLinePunct/>
              <w:adjustRightInd w:val="0"/>
              <w:snapToGrid w:val="0"/>
              <w:spacing w:before="0" w:beforeLines="0" w:line="240" w:lineRule="auto"/>
              <w:jc w:val="center"/>
              <w:rPr>
                <w:kern w:val="0"/>
                <w:szCs w:val="21"/>
              </w:rPr>
            </w:pPr>
          </w:p>
        </w:tc>
        <w:tc>
          <w:tcPr>
            <w:tcW w:w="339" w:type="pct"/>
            <w:vAlign w:val="center"/>
          </w:tcPr>
          <w:p w14:paraId="2EF2E9EE">
            <w:pPr>
              <w:topLinePunct/>
              <w:adjustRightInd w:val="0"/>
              <w:snapToGrid w:val="0"/>
              <w:spacing w:before="0" w:beforeLines="0" w:line="240" w:lineRule="auto"/>
              <w:jc w:val="center"/>
              <w:rPr>
                <w:kern w:val="0"/>
                <w:szCs w:val="21"/>
              </w:rPr>
            </w:pPr>
            <w:r>
              <w:rPr>
                <w:kern w:val="0"/>
                <w:szCs w:val="21"/>
              </w:rPr>
              <w:t>1</w:t>
            </w:r>
          </w:p>
        </w:tc>
      </w:tr>
      <w:tr w14:paraId="3B5CC57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73" w:hRule="atLeast"/>
          <w:jc w:val="center"/>
        </w:trPr>
        <w:tc>
          <w:tcPr>
            <w:tcW w:w="195" w:type="pct"/>
            <w:vAlign w:val="center"/>
          </w:tcPr>
          <w:p w14:paraId="375F140B">
            <w:pPr>
              <w:widowControl/>
              <w:spacing w:before="0" w:beforeLines="0" w:line="240" w:lineRule="auto"/>
              <w:jc w:val="center"/>
              <w:textAlignment w:val="center"/>
              <w:rPr>
                <w:kern w:val="0"/>
                <w:szCs w:val="21"/>
              </w:rPr>
            </w:pPr>
            <w:r>
              <w:rPr>
                <w:kern w:val="0"/>
                <w:szCs w:val="21"/>
                <w:lang w:bidi="ar"/>
              </w:rPr>
              <w:t>12</w:t>
            </w:r>
          </w:p>
        </w:tc>
        <w:tc>
          <w:tcPr>
            <w:tcW w:w="351" w:type="pct"/>
            <w:vMerge w:val="continue"/>
            <w:vAlign w:val="center"/>
          </w:tcPr>
          <w:p w14:paraId="5590C7BB">
            <w:pPr>
              <w:topLinePunct/>
              <w:adjustRightInd w:val="0"/>
              <w:snapToGrid w:val="0"/>
              <w:spacing w:before="0" w:beforeLines="0" w:line="240" w:lineRule="auto"/>
              <w:jc w:val="center"/>
              <w:rPr>
                <w:kern w:val="0"/>
                <w:szCs w:val="21"/>
              </w:rPr>
            </w:pPr>
          </w:p>
        </w:tc>
        <w:tc>
          <w:tcPr>
            <w:tcW w:w="715" w:type="pct"/>
            <w:vAlign w:val="center"/>
          </w:tcPr>
          <w:p w14:paraId="2E4B33B1">
            <w:pPr>
              <w:spacing w:before="0" w:beforeLines="0" w:line="240" w:lineRule="auto"/>
              <w:jc w:val="center"/>
              <w:rPr>
                <w:szCs w:val="21"/>
              </w:rPr>
            </w:pPr>
            <w:r>
              <w:rPr>
                <w:kern w:val="0"/>
                <w:szCs w:val="21"/>
                <w:lang w:bidi="ar"/>
              </w:rPr>
              <w:t>一段干选磁选机</w:t>
            </w:r>
          </w:p>
        </w:tc>
        <w:tc>
          <w:tcPr>
            <w:tcW w:w="206" w:type="pct"/>
            <w:vAlign w:val="center"/>
          </w:tcPr>
          <w:p w14:paraId="37E28953">
            <w:pPr>
              <w:topLinePunct/>
              <w:adjustRightInd w:val="0"/>
              <w:snapToGrid w:val="0"/>
              <w:spacing w:before="0" w:beforeLines="0" w:line="240" w:lineRule="auto"/>
              <w:jc w:val="center"/>
              <w:rPr>
                <w:kern w:val="0"/>
                <w:szCs w:val="21"/>
              </w:rPr>
            </w:pPr>
            <w:r>
              <w:rPr>
                <w:kern w:val="0"/>
                <w:szCs w:val="21"/>
              </w:rPr>
              <w:t>20</w:t>
            </w:r>
          </w:p>
        </w:tc>
        <w:tc>
          <w:tcPr>
            <w:tcW w:w="203" w:type="pct"/>
            <w:vAlign w:val="center"/>
          </w:tcPr>
          <w:p w14:paraId="08BB099A">
            <w:pPr>
              <w:topLinePunct/>
              <w:adjustRightInd w:val="0"/>
              <w:snapToGrid w:val="0"/>
              <w:spacing w:before="0" w:beforeLines="0" w:line="240" w:lineRule="auto"/>
              <w:jc w:val="center"/>
              <w:rPr>
                <w:kern w:val="0"/>
                <w:szCs w:val="21"/>
              </w:rPr>
            </w:pPr>
            <w:r>
              <w:rPr>
                <w:kern w:val="0"/>
                <w:szCs w:val="21"/>
              </w:rPr>
              <w:t>56</w:t>
            </w:r>
          </w:p>
        </w:tc>
        <w:tc>
          <w:tcPr>
            <w:tcW w:w="250" w:type="pct"/>
            <w:vAlign w:val="center"/>
          </w:tcPr>
          <w:p w14:paraId="0A6C0143">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14:paraId="6C79102C">
            <w:pPr>
              <w:topLinePunct/>
              <w:adjustRightInd w:val="0"/>
              <w:snapToGrid w:val="0"/>
              <w:spacing w:before="0" w:beforeLines="0" w:line="240" w:lineRule="auto"/>
              <w:jc w:val="center"/>
              <w:rPr>
                <w:kern w:val="0"/>
                <w:szCs w:val="21"/>
              </w:rPr>
            </w:pPr>
            <w:r>
              <w:rPr>
                <w:kern w:val="0"/>
                <w:szCs w:val="21"/>
              </w:rPr>
              <w:t>85</w:t>
            </w:r>
          </w:p>
        </w:tc>
        <w:tc>
          <w:tcPr>
            <w:tcW w:w="422" w:type="pct"/>
            <w:vMerge w:val="continue"/>
            <w:vAlign w:val="center"/>
          </w:tcPr>
          <w:p w14:paraId="7B6E67F5">
            <w:pPr>
              <w:topLinePunct/>
              <w:adjustRightInd w:val="0"/>
              <w:snapToGrid w:val="0"/>
              <w:spacing w:before="0" w:beforeLines="0" w:line="240" w:lineRule="auto"/>
              <w:jc w:val="center"/>
              <w:rPr>
                <w:kern w:val="0"/>
                <w:szCs w:val="21"/>
              </w:rPr>
            </w:pPr>
          </w:p>
        </w:tc>
        <w:tc>
          <w:tcPr>
            <w:tcW w:w="549" w:type="pct"/>
            <w:vAlign w:val="center"/>
          </w:tcPr>
          <w:p w14:paraId="55972B7F">
            <w:pPr>
              <w:topLinePunct/>
              <w:adjustRightInd w:val="0"/>
              <w:snapToGrid w:val="0"/>
              <w:spacing w:before="0" w:beforeLines="0" w:line="240" w:lineRule="auto"/>
              <w:jc w:val="center"/>
              <w:rPr>
                <w:kern w:val="0"/>
                <w:szCs w:val="21"/>
              </w:rPr>
            </w:pPr>
            <w:r>
              <w:rPr>
                <w:kern w:val="0"/>
                <w:szCs w:val="21"/>
              </w:rPr>
              <w:t>68</w:t>
            </w:r>
          </w:p>
        </w:tc>
        <w:tc>
          <w:tcPr>
            <w:tcW w:w="369" w:type="pct"/>
            <w:vAlign w:val="center"/>
          </w:tcPr>
          <w:p w14:paraId="236C8CF7">
            <w:pPr>
              <w:topLinePunct/>
              <w:adjustRightInd w:val="0"/>
              <w:snapToGrid w:val="0"/>
              <w:spacing w:before="0" w:beforeLines="0" w:line="240" w:lineRule="auto"/>
              <w:jc w:val="center"/>
              <w:rPr>
                <w:kern w:val="0"/>
                <w:szCs w:val="21"/>
              </w:rPr>
            </w:pPr>
            <w:r>
              <w:rPr>
                <w:kern w:val="0"/>
                <w:szCs w:val="21"/>
              </w:rPr>
              <w:t>48.35</w:t>
            </w:r>
          </w:p>
        </w:tc>
        <w:tc>
          <w:tcPr>
            <w:tcW w:w="339" w:type="pct"/>
            <w:vAlign w:val="center"/>
          </w:tcPr>
          <w:p w14:paraId="1668B3CE">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49C691AB">
            <w:pPr>
              <w:topLinePunct/>
              <w:adjustRightInd w:val="0"/>
              <w:snapToGrid w:val="0"/>
              <w:spacing w:before="0" w:beforeLines="0" w:line="240" w:lineRule="auto"/>
              <w:jc w:val="center"/>
              <w:rPr>
                <w:kern w:val="0"/>
                <w:szCs w:val="21"/>
              </w:rPr>
            </w:pPr>
          </w:p>
        </w:tc>
        <w:tc>
          <w:tcPr>
            <w:tcW w:w="339" w:type="pct"/>
            <w:vMerge w:val="continue"/>
            <w:vAlign w:val="center"/>
          </w:tcPr>
          <w:p w14:paraId="61CF30ED">
            <w:pPr>
              <w:topLinePunct/>
              <w:adjustRightInd w:val="0"/>
              <w:snapToGrid w:val="0"/>
              <w:spacing w:before="0" w:beforeLines="0" w:line="240" w:lineRule="auto"/>
              <w:jc w:val="center"/>
              <w:rPr>
                <w:kern w:val="0"/>
                <w:szCs w:val="21"/>
              </w:rPr>
            </w:pPr>
          </w:p>
        </w:tc>
        <w:tc>
          <w:tcPr>
            <w:tcW w:w="339" w:type="pct"/>
            <w:vAlign w:val="center"/>
          </w:tcPr>
          <w:p w14:paraId="6494CBD6">
            <w:pPr>
              <w:topLinePunct/>
              <w:adjustRightInd w:val="0"/>
              <w:snapToGrid w:val="0"/>
              <w:spacing w:before="0" w:beforeLines="0" w:line="240" w:lineRule="auto"/>
              <w:jc w:val="center"/>
              <w:rPr>
                <w:kern w:val="0"/>
                <w:szCs w:val="21"/>
              </w:rPr>
            </w:pPr>
            <w:r>
              <w:rPr>
                <w:kern w:val="0"/>
                <w:szCs w:val="21"/>
              </w:rPr>
              <w:t>1</w:t>
            </w:r>
          </w:p>
        </w:tc>
      </w:tr>
      <w:tr w14:paraId="20EB1E9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195" w:type="pct"/>
            <w:vAlign w:val="center"/>
          </w:tcPr>
          <w:p w14:paraId="7110D95F">
            <w:pPr>
              <w:widowControl/>
              <w:spacing w:before="0" w:beforeLines="0" w:line="240" w:lineRule="auto"/>
              <w:jc w:val="center"/>
              <w:textAlignment w:val="center"/>
              <w:rPr>
                <w:kern w:val="0"/>
                <w:szCs w:val="21"/>
              </w:rPr>
            </w:pPr>
            <w:r>
              <w:rPr>
                <w:kern w:val="0"/>
                <w:szCs w:val="21"/>
                <w:lang w:bidi="ar"/>
              </w:rPr>
              <w:t>13</w:t>
            </w:r>
          </w:p>
        </w:tc>
        <w:tc>
          <w:tcPr>
            <w:tcW w:w="351" w:type="pct"/>
            <w:vMerge w:val="continue"/>
            <w:vAlign w:val="center"/>
          </w:tcPr>
          <w:p w14:paraId="2E6FFB9D">
            <w:pPr>
              <w:topLinePunct/>
              <w:adjustRightInd w:val="0"/>
              <w:snapToGrid w:val="0"/>
              <w:spacing w:before="0" w:beforeLines="0" w:line="240" w:lineRule="auto"/>
              <w:jc w:val="center"/>
              <w:rPr>
                <w:kern w:val="0"/>
                <w:szCs w:val="21"/>
              </w:rPr>
            </w:pPr>
          </w:p>
        </w:tc>
        <w:tc>
          <w:tcPr>
            <w:tcW w:w="715" w:type="pct"/>
            <w:vAlign w:val="center"/>
          </w:tcPr>
          <w:p w14:paraId="1914714E">
            <w:pPr>
              <w:spacing w:before="0" w:beforeLines="0" w:line="240" w:lineRule="auto"/>
              <w:jc w:val="center"/>
              <w:rPr>
                <w:szCs w:val="21"/>
              </w:rPr>
            </w:pPr>
            <w:r>
              <w:rPr>
                <w:kern w:val="0"/>
                <w:szCs w:val="21"/>
                <w:lang w:bidi="ar"/>
              </w:rPr>
              <w:t>一段干选磁选机</w:t>
            </w:r>
          </w:p>
        </w:tc>
        <w:tc>
          <w:tcPr>
            <w:tcW w:w="206" w:type="pct"/>
            <w:vAlign w:val="center"/>
          </w:tcPr>
          <w:p w14:paraId="2D19205C">
            <w:pPr>
              <w:topLinePunct/>
              <w:adjustRightInd w:val="0"/>
              <w:snapToGrid w:val="0"/>
              <w:spacing w:before="0" w:beforeLines="0" w:line="240" w:lineRule="auto"/>
              <w:jc w:val="center"/>
              <w:rPr>
                <w:kern w:val="0"/>
                <w:szCs w:val="21"/>
              </w:rPr>
            </w:pPr>
            <w:r>
              <w:rPr>
                <w:kern w:val="0"/>
                <w:szCs w:val="21"/>
              </w:rPr>
              <w:t>30</w:t>
            </w:r>
          </w:p>
        </w:tc>
        <w:tc>
          <w:tcPr>
            <w:tcW w:w="203" w:type="pct"/>
            <w:vAlign w:val="center"/>
          </w:tcPr>
          <w:p w14:paraId="37FB383F">
            <w:pPr>
              <w:topLinePunct/>
              <w:adjustRightInd w:val="0"/>
              <w:snapToGrid w:val="0"/>
              <w:spacing w:before="0" w:beforeLines="0" w:line="240" w:lineRule="auto"/>
              <w:jc w:val="center"/>
              <w:rPr>
                <w:kern w:val="0"/>
                <w:szCs w:val="21"/>
              </w:rPr>
            </w:pPr>
            <w:r>
              <w:rPr>
                <w:kern w:val="0"/>
                <w:szCs w:val="21"/>
              </w:rPr>
              <w:t>56</w:t>
            </w:r>
          </w:p>
        </w:tc>
        <w:tc>
          <w:tcPr>
            <w:tcW w:w="250" w:type="pct"/>
            <w:vAlign w:val="center"/>
          </w:tcPr>
          <w:p w14:paraId="3BA9A606">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14:paraId="7653058C">
            <w:pPr>
              <w:topLinePunct/>
              <w:adjustRightInd w:val="0"/>
              <w:snapToGrid w:val="0"/>
              <w:spacing w:before="0" w:beforeLines="0" w:line="240" w:lineRule="auto"/>
              <w:jc w:val="center"/>
              <w:rPr>
                <w:kern w:val="0"/>
                <w:szCs w:val="21"/>
              </w:rPr>
            </w:pPr>
            <w:r>
              <w:rPr>
                <w:kern w:val="0"/>
                <w:szCs w:val="21"/>
              </w:rPr>
              <w:t>85</w:t>
            </w:r>
          </w:p>
        </w:tc>
        <w:tc>
          <w:tcPr>
            <w:tcW w:w="422" w:type="pct"/>
            <w:vMerge w:val="continue"/>
            <w:vAlign w:val="center"/>
          </w:tcPr>
          <w:p w14:paraId="6A08D61A">
            <w:pPr>
              <w:topLinePunct/>
              <w:adjustRightInd w:val="0"/>
              <w:snapToGrid w:val="0"/>
              <w:spacing w:before="0" w:beforeLines="0" w:line="240" w:lineRule="auto"/>
              <w:jc w:val="center"/>
              <w:rPr>
                <w:kern w:val="0"/>
                <w:szCs w:val="21"/>
              </w:rPr>
            </w:pPr>
          </w:p>
        </w:tc>
        <w:tc>
          <w:tcPr>
            <w:tcW w:w="549" w:type="pct"/>
            <w:vAlign w:val="center"/>
          </w:tcPr>
          <w:p w14:paraId="700A823A">
            <w:pPr>
              <w:topLinePunct/>
              <w:adjustRightInd w:val="0"/>
              <w:snapToGrid w:val="0"/>
              <w:spacing w:before="0" w:beforeLines="0" w:line="240" w:lineRule="auto"/>
              <w:jc w:val="center"/>
              <w:rPr>
                <w:kern w:val="0"/>
                <w:szCs w:val="21"/>
              </w:rPr>
            </w:pPr>
            <w:r>
              <w:rPr>
                <w:kern w:val="0"/>
                <w:szCs w:val="21"/>
              </w:rPr>
              <w:t>58</w:t>
            </w:r>
          </w:p>
        </w:tc>
        <w:tc>
          <w:tcPr>
            <w:tcW w:w="369" w:type="pct"/>
            <w:vAlign w:val="center"/>
          </w:tcPr>
          <w:p w14:paraId="5E32E2A8">
            <w:pPr>
              <w:topLinePunct/>
              <w:adjustRightInd w:val="0"/>
              <w:snapToGrid w:val="0"/>
              <w:spacing w:before="0" w:beforeLines="0" w:line="240" w:lineRule="auto"/>
              <w:jc w:val="center"/>
              <w:rPr>
                <w:kern w:val="0"/>
                <w:szCs w:val="21"/>
              </w:rPr>
            </w:pPr>
            <w:r>
              <w:rPr>
                <w:kern w:val="0"/>
                <w:szCs w:val="21"/>
              </w:rPr>
              <w:t>49.73</w:t>
            </w:r>
          </w:p>
        </w:tc>
        <w:tc>
          <w:tcPr>
            <w:tcW w:w="339" w:type="pct"/>
            <w:vAlign w:val="center"/>
          </w:tcPr>
          <w:p w14:paraId="612E1CF9">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411A6369">
            <w:pPr>
              <w:topLinePunct/>
              <w:adjustRightInd w:val="0"/>
              <w:snapToGrid w:val="0"/>
              <w:spacing w:before="0" w:beforeLines="0" w:line="240" w:lineRule="auto"/>
              <w:jc w:val="center"/>
              <w:rPr>
                <w:kern w:val="0"/>
                <w:szCs w:val="21"/>
              </w:rPr>
            </w:pPr>
          </w:p>
        </w:tc>
        <w:tc>
          <w:tcPr>
            <w:tcW w:w="339" w:type="pct"/>
            <w:vMerge w:val="continue"/>
            <w:vAlign w:val="center"/>
          </w:tcPr>
          <w:p w14:paraId="2C647CA7">
            <w:pPr>
              <w:topLinePunct/>
              <w:adjustRightInd w:val="0"/>
              <w:snapToGrid w:val="0"/>
              <w:spacing w:before="0" w:beforeLines="0" w:line="240" w:lineRule="auto"/>
              <w:jc w:val="center"/>
              <w:rPr>
                <w:kern w:val="0"/>
                <w:szCs w:val="21"/>
              </w:rPr>
            </w:pPr>
          </w:p>
        </w:tc>
        <w:tc>
          <w:tcPr>
            <w:tcW w:w="339" w:type="pct"/>
            <w:vAlign w:val="center"/>
          </w:tcPr>
          <w:p w14:paraId="260ECD6A">
            <w:pPr>
              <w:topLinePunct/>
              <w:adjustRightInd w:val="0"/>
              <w:snapToGrid w:val="0"/>
              <w:spacing w:before="0" w:beforeLines="0" w:line="240" w:lineRule="auto"/>
              <w:jc w:val="center"/>
              <w:rPr>
                <w:kern w:val="0"/>
                <w:szCs w:val="21"/>
              </w:rPr>
            </w:pPr>
            <w:r>
              <w:rPr>
                <w:kern w:val="0"/>
                <w:szCs w:val="21"/>
              </w:rPr>
              <w:t>1</w:t>
            </w:r>
          </w:p>
        </w:tc>
      </w:tr>
      <w:tr w14:paraId="15A0E69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195" w:type="pct"/>
            <w:vAlign w:val="center"/>
          </w:tcPr>
          <w:p w14:paraId="77009051">
            <w:pPr>
              <w:widowControl/>
              <w:spacing w:before="0" w:beforeLines="0" w:line="240" w:lineRule="auto"/>
              <w:jc w:val="center"/>
              <w:textAlignment w:val="center"/>
              <w:rPr>
                <w:kern w:val="0"/>
                <w:szCs w:val="21"/>
              </w:rPr>
            </w:pPr>
            <w:r>
              <w:rPr>
                <w:kern w:val="0"/>
                <w:szCs w:val="21"/>
                <w:lang w:bidi="ar"/>
              </w:rPr>
              <w:t>14</w:t>
            </w:r>
          </w:p>
        </w:tc>
        <w:tc>
          <w:tcPr>
            <w:tcW w:w="351" w:type="pct"/>
            <w:vMerge w:val="continue"/>
            <w:vAlign w:val="center"/>
          </w:tcPr>
          <w:p w14:paraId="6BAD65FD">
            <w:pPr>
              <w:topLinePunct/>
              <w:adjustRightInd w:val="0"/>
              <w:snapToGrid w:val="0"/>
              <w:spacing w:before="0" w:beforeLines="0" w:line="240" w:lineRule="auto"/>
              <w:jc w:val="center"/>
              <w:rPr>
                <w:kern w:val="0"/>
                <w:szCs w:val="21"/>
              </w:rPr>
            </w:pPr>
          </w:p>
        </w:tc>
        <w:tc>
          <w:tcPr>
            <w:tcW w:w="715" w:type="pct"/>
            <w:vAlign w:val="center"/>
          </w:tcPr>
          <w:p w14:paraId="762E90C5">
            <w:pPr>
              <w:spacing w:before="0" w:beforeLines="0" w:line="240" w:lineRule="auto"/>
              <w:jc w:val="center"/>
              <w:rPr>
                <w:szCs w:val="21"/>
              </w:rPr>
            </w:pPr>
            <w:r>
              <w:rPr>
                <w:kern w:val="0"/>
                <w:szCs w:val="21"/>
                <w:lang w:bidi="ar"/>
              </w:rPr>
              <w:t>一段干选磁选机</w:t>
            </w:r>
          </w:p>
        </w:tc>
        <w:tc>
          <w:tcPr>
            <w:tcW w:w="206" w:type="pct"/>
            <w:vAlign w:val="center"/>
          </w:tcPr>
          <w:p w14:paraId="62A18AAD">
            <w:pPr>
              <w:topLinePunct/>
              <w:adjustRightInd w:val="0"/>
              <w:snapToGrid w:val="0"/>
              <w:spacing w:before="0" w:beforeLines="0" w:line="240" w:lineRule="auto"/>
              <w:jc w:val="center"/>
              <w:rPr>
                <w:kern w:val="0"/>
                <w:szCs w:val="21"/>
              </w:rPr>
            </w:pPr>
            <w:r>
              <w:rPr>
                <w:kern w:val="0"/>
                <w:szCs w:val="21"/>
              </w:rPr>
              <w:t>40</w:t>
            </w:r>
          </w:p>
        </w:tc>
        <w:tc>
          <w:tcPr>
            <w:tcW w:w="203" w:type="pct"/>
            <w:vAlign w:val="center"/>
          </w:tcPr>
          <w:p w14:paraId="6A51F905">
            <w:pPr>
              <w:topLinePunct/>
              <w:adjustRightInd w:val="0"/>
              <w:snapToGrid w:val="0"/>
              <w:spacing w:before="0" w:beforeLines="0" w:line="240" w:lineRule="auto"/>
              <w:jc w:val="center"/>
              <w:rPr>
                <w:kern w:val="0"/>
                <w:szCs w:val="21"/>
              </w:rPr>
            </w:pPr>
            <w:r>
              <w:rPr>
                <w:kern w:val="0"/>
                <w:szCs w:val="21"/>
              </w:rPr>
              <w:t>56</w:t>
            </w:r>
          </w:p>
        </w:tc>
        <w:tc>
          <w:tcPr>
            <w:tcW w:w="250" w:type="pct"/>
            <w:vAlign w:val="center"/>
          </w:tcPr>
          <w:p w14:paraId="65CB1D6A">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14:paraId="3C345B3A">
            <w:pPr>
              <w:topLinePunct/>
              <w:adjustRightInd w:val="0"/>
              <w:snapToGrid w:val="0"/>
              <w:spacing w:before="0" w:beforeLines="0" w:line="240" w:lineRule="auto"/>
              <w:jc w:val="center"/>
              <w:rPr>
                <w:kern w:val="0"/>
                <w:szCs w:val="21"/>
              </w:rPr>
            </w:pPr>
            <w:r>
              <w:rPr>
                <w:kern w:val="0"/>
                <w:szCs w:val="21"/>
              </w:rPr>
              <w:t>85</w:t>
            </w:r>
          </w:p>
        </w:tc>
        <w:tc>
          <w:tcPr>
            <w:tcW w:w="422" w:type="pct"/>
            <w:vMerge w:val="continue"/>
            <w:vAlign w:val="center"/>
          </w:tcPr>
          <w:p w14:paraId="3F9C933E">
            <w:pPr>
              <w:topLinePunct/>
              <w:adjustRightInd w:val="0"/>
              <w:snapToGrid w:val="0"/>
              <w:spacing w:before="0" w:beforeLines="0" w:line="240" w:lineRule="auto"/>
              <w:jc w:val="center"/>
              <w:rPr>
                <w:kern w:val="0"/>
                <w:szCs w:val="21"/>
              </w:rPr>
            </w:pPr>
          </w:p>
        </w:tc>
        <w:tc>
          <w:tcPr>
            <w:tcW w:w="549" w:type="pct"/>
            <w:vAlign w:val="center"/>
          </w:tcPr>
          <w:p w14:paraId="74C97CD3">
            <w:pPr>
              <w:topLinePunct/>
              <w:adjustRightInd w:val="0"/>
              <w:snapToGrid w:val="0"/>
              <w:spacing w:before="0" w:beforeLines="0" w:line="240" w:lineRule="auto"/>
              <w:jc w:val="center"/>
              <w:rPr>
                <w:kern w:val="0"/>
                <w:szCs w:val="21"/>
              </w:rPr>
            </w:pPr>
            <w:r>
              <w:rPr>
                <w:kern w:val="0"/>
                <w:szCs w:val="21"/>
              </w:rPr>
              <w:t>50</w:t>
            </w:r>
          </w:p>
        </w:tc>
        <w:tc>
          <w:tcPr>
            <w:tcW w:w="369" w:type="pct"/>
            <w:vAlign w:val="center"/>
          </w:tcPr>
          <w:p w14:paraId="70C6998B">
            <w:pPr>
              <w:topLinePunct/>
              <w:adjustRightInd w:val="0"/>
              <w:snapToGrid w:val="0"/>
              <w:spacing w:before="0" w:beforeLines="0" w:line="240" w:lineRule="auto"/>
              <w:jc w:val="center"/>
              <w:rPr>
                <w:kern w:val="0"/>
                <w:szCs w:val="21"/>
              </w:rPr>
            </w:pPr>
            <w:r>
              <w:rPr>
                <w:kern w:val="0"/>
                <w:szCs w:val="21"/>
              </w:rPr>
              <w:t>51.02</w:t>
            </w:r>
          </w:p>
        </w:tc>
        <w:tc>
          <w:tcPr>
            <w:tcW w:w="339" w:type="pct"/>
            <w:vAlign w:val="center"/>
          </w:tcPr>
          <w:p w14:paraId="0DFD631C">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4CCFD528">
            <w:pPr>
              <w:topLinePunct/>
              <w:adjustRightInd w:val="0"/>
              <w:snapToGrid w:val="0"/>
              <w:spacing w:before="0" w:beforeLines="0" w:line="240" w:lineRule="auto"/>
              <w:jc w:val="center"/>
              <w:rPr>
                <w:kern w:val="0"/>
                <w:szCs w:val="21"/>
              </w:rPr>
            </w:pPr>
          </w:p>
        </w:tc>
        <w:tc>
          <w:tcPr>
            <w:tcW w:w="339" w:type="pct"/>
            <w:vMerge w:val="continue"/>
            <w:vAlign w:val="center"/>
          </w:tcPr>
          <w:p w14:paraId="5C312AE8">
            <w:pPr>
              <w:topLinePunct/>
              <w:adjustRightInd w:val="0"/>
              <w:snapToGrid w:val="0"/>
              <w:spacing w:before="0" w:beforeLines="0" w:line="240" w:lineRule="auto"/>
              <w:jc w:val="center"/>
              <w:rPr>
                <w:kern w:val="0"/>
                <w:szCs w:val="21"/>
              </w:rPr>
            </w:pPr>
          </w:p>
        </w:tc>
        <w:tc>
          <w:tcPr>
            <w:tcW w:w="339" w:type="pct"/>
            <w:vAlign w:val="center"/>
          </w:tcPr>
          <w:p w14:paraId="6547FC24">
            <w:pPr>
              <w:topLinePunct/>
              <w:adjustRightInd w:val="0"/>
              <w:snapToGrid w:val="0"/>
              <w:spacing w:before="0" w:beforeLines="0" w:line="240" w:lineRule="auto"/>
              <w:jc w:val="center"/>
              <w:rPr>
                <w:kern w:val="0"/>
                <w:szCs w:val="21"/>
              </w:rPr>
            </w:pPr>
            <w:r>
              <w:rPr>
                <w:kern w:val="0"/>
                <w:szCs w:val="21"/>
              </w:rPr>
              <w:t>1</w:t>
            </w:r>
          </w:p>
        </w:tc>
      </w:tr>
      <w:tr w14:paraId="3634E95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195" w:type="pct"/>
            <w:vAlign w:val="center"/>
          </w:tcPr>
          <w:p w14:paraId="58BA1B52">
            <w:pPr>
              <w:widowControl/>
              <w:spacing w:before="0" w:beforeLines="0" w:line="240" w:lineRule="auto"/>
              <w:jc w:val="center"/>
              <w:textAlignment w:val="center"/>
              <w:rPr>
                <w:kern w:val="0"/>
                <w:szCs w:val="21"/>
              </w:rPr>
            </w:pPr>
            <w:r>
              <w:rPr>
                <w:kern w:val="0"/>
                <w:szCs w:val="21"/>
                <w:lang w:bidi="ar"/>
              </w:rPr>
              <w:t>15</w:t>
            </w:r>
          </w:p>
        </w:tc>
        <w:tc>
          <w:tcPr>
            <w:tcW w:w="351" w:type="pct"/>
            <w:vMerge w:val="continue"/>
            <w:vAlign w:val="center"/>
          </w:tcPr>
          <w:p w14:paraId="76B7000A">
            <w:pPr>
              <w:topLinePunct/>
              <w:adjustRightInd w:val="0"/>
              <w:snapToGrid w:val="0"/>
              <w:spacing w:before="0" w:beforeLines="0" w:line="240" w:lineRule="auto"/>
              <w:jc w:val="center"/>
              <w:rPr>
                <w:kern w:val="0"/>
                <w:szCs w:val="21"/>
              </w:rPr>
            </w:pPr>
          </w:p>
        </w:tc>
        <w:tc>
          <w:tcPr>
            <w:tcW w:w="715" w:type="pct"/>
            <w:vAlign w:val="center"/>
          </w:tcPr>
          <w:p w14:paraId="65896502">
            <w:pPr>
              <w:spacing w:before="0" w:beforeLines="0" w:line="240" w:lineRule="auto"/>
              <w:jc w:val="center"/>
              <w:rPr>
                <w:szCs w:val="21"/>
              </w:rPr>
            </w:pPr>
            <w:r>
              <w:rPr>
                <w:kern w:val="0"/>
                <w:szCs w:val="21"/>
                <w:lang w:bidi="ar"/>
              </w:rPr>
              <w:t>一段干选磁选机</w:t>
            </w:r>
          </w:p>
        </w:tc>
        <w:tc>
          <w:tcPr>
            <w:tcW w:w="206" w:type="pct"/>
            <w:vAlign w:val="center"/>
          </w:tcPr>
          <w:p w14:paraId="6A5FB4E9">
            <w:pPr>
              <w:topLinePunct/>
              <w:adjustRightInd w:val="0"/>
              <w:snapToGrid w:val="0"/>
              <w:spacing w:before="0" w:beforeLines="0" w:line="240" w:lineRule="auto"/>
              <w:jc w:val="center"/>
              <w:rPr>
                <w:kern w:val="0"/>
                <w:szCs w:val="21"/>
              </w:rPr>
            </w:pPr>
            <w:r>
              <w:rPr>
                <w:kern w:val="0"/>
                <w:szCs w:val="21"/>
              </w:rPr>
              <w:t>50</w:t>
            </w:r>
          </w:p>
        </w:tc>
        <w:tc>
          <w:tcPr>
            <w:tcW w:w="203" w:type="pct"/>
            <w:vAlign w:val="center"/>
          </w:tcPr>
          <w:p w14:paraId="74AC2C14">
            <w:pPr>
              <w:topLinePunct/>
              <w:adjustRightInd w:val="0"/>
              <w:snapToGrid w:val="0"/>
              <w:spacing w:before="0" w:beforeLines="0" w:line="240" w:lineRule="auto"/>
              <w:jc w:val="center"/>
              <w:rPr>
                <w:kern w:val="0"/>
                <w:szCs w:val="21"/>
              </w:rPr>
            </w:pPr>
            <w:r>
              <w:rPr>
                <w:kern w:val="0"/>
                <w:szCs w:val="21"/>
              </w:rPr>
              <w:t>56</w:t>
            </w:r>
          </w:p>
        </w:tc>
        <w:tc>
          <w:tcPr>
            <w:tcW w:w="250" w:type="pct"/>
            <w:vAlign w:val="center"/>
          </w:tcPr>
          <w:p w14:paraId="0C23E884">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14:paraId="589BBD22">
            <w:pPr>
              <w:topLinePunct/>
              <w:adjustRightInd w:val="0"/>
              <w:snapToGrid w:val="0"/>
              <w:spacing w:before="0" w:beforeLines="0" w:line="240" w:lineRule="auto"/>
              <w:jc w:val="center"/>
              <w:rPr>
                <w:kern w:val="0"/>
                <w:szCs w:val="21"/>
              </w:rPr>
            </w:pPr>
            <w:r>
              <w:rPr>
                <w:kern w:val="0"/>
                <w:szCs w:val="21"/>
              </w:rPr>
              <w:t>85</w:t>
            </w:r>
          </w:p>
        </w:tc>
        <w:tc>
          <w:tcPr>
            <w:tcW w:w="422" w:type="pct"/>
            <w:vMerge w:val="continue"/>
            <w:vAlign w:val="center"/>
          </w:tcPr>
          <w:p w14:paraId="69B3AF7E">
            <w:pPr>
              <w:topLinePunct/>
              <w:adjustRightInd w:val="0"/>
              <w:snapToGrid w:val="0"/>
              <w:spacing w:before="0" w:beforeLines="0" w:line="240" w:lineRule="auto"/>
              <w:jc w:val="center"/>
              <w:rPr>
                <w:kern w:val="0"/>
                <w:szCs w:val="21"/>
              </w:rPr>
            </w:pPr>
          </w:p>
        </w:tc>
        <w:tc>
          <w:tcPr>
            <w:tcW w:w="549" w:type="pct"/>
            <w:vAlign w:val="center"/>
          </w:tcPr>
          <w:p w14:paraId="2D60756D">
            <w:pPr>
              <w:topLinePunct/>
              <w:adjustRightInd w:val="0"/>
              <w:snapToGrid w:val="0"/>
              <w:spacing w:before="0" w:beforeLines="0" w:line="240" w:lineRule="auto"/>
              <w:jc w:val="center"/>
              <w:rPr>
                <w:kern w:val="0"/>
                <w:szCs w:val="21"/>
              </w:rPr>
            </w:pPr>
            <w:r>
              <w:rPr>
                <w:kern w:val="0"/>
                <w:szCs w:val="21"/>
              </w:rPr>
              <w:t>42</w:t>
            </w:r>
          </w:p>
        </w:tc>
        <w:tc>
          <w:tcPr>
            <w:tcW w:w="369" w:type="pct"/>
            <w:vAlign w:val="center"/>
          </w:tcPr>
          <w:p w14:paraId="6885ABB7">
            <w:pPr>
              <w:topLinePunct/>
              <w:adjustRightInd w:val="0"/>
              <w:snapToGrid w:val="0"/>
              <w:spacing w:before="0" w:beforeLines="0" w:line="240" w:lineRule="auto"/>
              <w:jc w:val="center"/>
              <w:rPr>
                <w:kern w:val="0"/>
                <w:szCs w:val="21"/>
              </w:rPr>
            </w:pPr>
            <w:r>
              <w:rPr>
                <w:kern w:val="0"/>
                <w:szCs w:val="21"/>
              </w:rPr>
              <w:t>52.54</w:t>
            </w:r>
          </w:p>
        </w:tc>
        <w:tc>
          <w:tcPr>
            <w:tcW w:w="339" w:type="pct"/>
            <w:vAlign w:val="center"/>
          </w:tcPr>
          <w:p w14:paraId="6B197281">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4A4AB5B3">
            <w:pPr>
              <w:topLinePunct/>
              <w:adjustRightInd w:val="0"/>
              <w:snapToGrid w:val="0"/>
              <w:spacing w:before="0" w:beforeLines="0" w:line="240" w:lineRule="auto"/>
              <w:jc w:val="center"/>
              <w:rPr>
                <w:kern w:val="0"/>
                <w:szCs w:val="21"/>
              </w:rPr>
            </w:pPr>
          </w:p>
        </w:tc>
        <w:tc>
          <w:tcPr>
            <w:tcW w:w="339" w:type="pct"/>
            <w:vMerge w:val="continue"/>
            <w:vAlign w:val="center"/>
          </w:tcPr>
          <w:p w14:paraId="2F29712A">
            <w:pPr>
              <w:topLinePunct/>
              <w:adjustRightInd w:val="0"/>
              <w:snapToGrid w:val="0"/>
              <w:spacing w:before="0" w:beforeLines="0" w:line="240" w:lineRule="auto"/>
              <w:jc w:val="center"/>
              <w:rPr>
                <w:kern w:val="0"/>
                <w:szCs w:val="21"/>
              </w:rPr>
            </w:pPr>
          </w:p>
        </w:tc>
        <w:tc>
          <w:tcPr>
            <w:tcW w:w="339" w:type="pct"/>
            <w:vAlign w:val="center"/>
          </w:tcPr>
          <w:p w14:paraId="63E729A1">
            <w:pPr>
              <w:topLinePunct/>
              <w:adjustRightInd w:val="0"/>
              <w:snapToGrid w:val="0"/>
              <w:spacing w:before="0" w:beforeLines="0" w:line="240" w:lineRule="auto"/>
              <w:jc w:val="center"/>
              <w:rPr>
                <w:kern w:val="0"/>
                <w:szCs w:val="21"/>
              </w:rPr>
            </w:pPr>
            <w:r>
              <w:rPr>
                <w:kern w:val="0"/>
                <w:szCs w:val="21"/>
              </w:rPr>
              <w:t>1</w:t>
            </w:r>
          </w:p>
        </w:tc>
      </w:tr>
      <w:tr w14:paraId="0FD42B0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195" w:type="pct"/>
            <w:vAlign w:val="center"/>
          </w:tcPr>
          <w:p w14:paraId="26E999DC">
            <w:pPr>
              <w:widowControl/>
              <w:spacing w:before="0" w:beforeLines="0" w:line="240" w:lineRule="auto"/>
              <w:jc w:val="center"/>
              <w:textAlignment w:val="center"/>
              <w:rPr>
                <w:kern w:val="0"/>
                <w:szCs w:val="21"/>
              </w:rPr>
            </w:pPr>
            <w:r>
              <w:rPr>
                <w:kern w:val="0"/>
                <w:szCs w:val="21"/>
                <w:lang w:bidi="ar"/>
              </w:rPr>
              <w:t>16</w:t>
            </w:r>
          </w:p>
        </w:tc>
        <w:tc>
          <w:tcPr>
            <w:tcW w:w="351" w:type="pct"/>
            <w:vMerge w:val="continue"/>
            <w:vAlign w:val="center"/>
          </w:tcPr>
          <w:p w14:paraId="6AC0572C">
            <w:pPr>
              <w:topLinePunct/>
              <w:adjustRightInd w:val="0"/>
              <w:snapToGrid w:val="0"/>
              <w:spacing w:before="0" w:beforeLines="0" w:line="240" w:lineRule="auto"/>
              <w:jc w:val="center"/>
              <w:rPr>
                <w:kern w:val="0"/>
                <w:szCs w:val="21"/>
              </w:rPr>
            </w:pPr>
          </w:p>
        </w:tc>
        <w:tc>
          <w:tcPr>
            <w:tcW w:w="715" w:type="pct"/>
            <w:vAlign w:val="center"/>
          </w:tcPr>
          <w:p w14:paraId="6FDD3369">
            <w:pPr>
              <w:spacing w:before="0" w:beforeLines="0" w:line="240" w:lineRule="auto"/>
              <w:jc w:val="center"/>
              <w:rPr>
                <w:szCs w:val="21"/>
              </w:rPr>
            </w:pPr>
            <w:r>
              <w:rPr>
                <w:kern w:val="0"/>
                <w:szCs w:val="21"/>
                <w:lang w:bidi="ar"/>
              </w:rPr>
              <w:t>二段干选磁选机</w:t>
            </w:r>
          </w:p>
        </w:tc>
        <w:tc>
          <w:tcPr>
            <w:tcW w:w="206" w:type="pct"/>
            <w:vAlign w:val="center"/>
          </w:tcPr>
          <w:p w14:paraId="64EF6B4E">
            <w:pPr>
              <w:topLinePunct/>
              <w:adjustRightInd w:val="0"/>
              <w:snapToGrid w:val="0"/>
              <w:spacing w:before="0" w:beforeLines="0" w:line="240" w:lineRule="auto"/>
              <w:jc w:val="center"/>
              <w:rPr>
                <w:kern w:val="0"/>
                <w:szCs w:val="21"/>
              </w:rPr>
            </w:pPr>
            <w:r>
              <w:rPr>
                <w:kern w:val="0"/>
                <w:szCs w:val="21"/>
              </w:rPr>
              <w:t>71</w:t>
            </w:r>
          </w:p>
        </w:tc>
        <w:tc>
          <w:tcPr>
            <w:tcW w:w="203" w:type="pct"/>
            <w:vAlign w:val="center"/>
          </w:tcPr>
          <w:p w14:paraId="4FF48C04">
            <w:pPr>
              <w:topLinePunct/>
              <w:adjustRightInd w:val="0"/>
              <w:snapToGrid w:val="0"/>
              <w:spacing w:before="0" w:beforeLines="0" w:line="240" w:lineRule="auto"/>
              <w:jc w:val="center"/>
              <w:rPr>
                <w:kern w:val="0"/>
                <w:szCs w:val="21"/>
              </w:rPr>
            </w:pPr>
            <w:r>
              <w:rPr>
                <w:kern w:val="0"/>
                <w:szCs w:val="21"/>
              </w:rPr>
              <w:t>62</w:t>
            </w:r>
          </w:p>
        </w:tc>
        <w:tc>
          <w:tcPr>
            <w:tcW w:w="250" w:type="pct"/>
            <w:vAlign w:val="center"/>
          </w:tcPr>
          <w:p w14:paraId="73AC58E1">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14:paraId="35DAB15D">
            <w:pPr>
              <w:topLinePunct/>
              <w:adjustRightInd w:val="0"/>
              <w:snapToGrid w:val="0"/>
              <w:spacing w:before="0" w:beforeLines="0" w:line="240" w:lineRule="auto"/>
              <w:jc w:val="center"/>
              <w:rPr>
                <w:kern w:val="0"/>
                <w:szCs w:val="21"/>
              </w:rPr>
            </w:pPr>
            <w:r>
              <w:rPr>
                <w:kern w:val="0"/>
                <w:szCs w:val="21"/>
              </w:rPr>
              <w:t>85</w:t>
            </w:r>
          </w:p>
        </w:tc>
        <w:tc>
          <w:tcPr>
            <w:tcW w:w="422" w:type="pct"/>
            <w:vMerge w:val="continue"/>
            <w:vAlign w:val="center"/>
          </w:tcPr>
          <w:p w14:paraId="21D31FEB">
            <w:pPr>
              <w:topLinePunct/>
              <w:adjustRightInd w:val="0"/>
              <w:snapToGrid w:val="0"/>
              <w:spacing w:before="0" w:beforeLines="0" w:line="240" w:lineRule="auto"/>
              <w:jc w:val="center"/>
              <w:rPr>
                <w:kern w:val="0"/>
                <w:szCs w:val="21"/>
              </w:rPr>
            </w:pPr>
          </w:p>
        </w:tc>
        <w:tc>
          <w:tcPr>
            <w:tcW w:w="549" w:type="pct"/>
            <w:vAlign w:val="center"/>
          </w:tcPr>
          <w:p w14:paraId="3B7C39C3">
            <w:pPr>
              <w:topLinePunct/>
              <w:adjustRightInd w:val="0"/>
              <w:snapToGrid w:val="0"/>
              <w:spacing w:before="0" w:beforeLines="0" w:line="240" w:lineRule="auto"/>
              <w:jc w:val="center"/>
              <w:rPr>
                <w:kern w:val="0"/>
                <w:szCs w:val="21"/>
              </w:rPr>
            </w:pPr>
            <w:r>
              <w:rPr>
                <w:kern w:val="0"/>
                <w:szCs w:val="21"/>
              </w:rPr>
              <w:t>19</w:t>
            </w:r>
          </w:p>
        </w:tc>
        <w:tc>
          <w:tcPr>
            <w:tcW w:w="369" w:type="pct"/>
            <w:vAlign w:val="center"/>
          </w:tcPr>
          <w:p w14:paraId="27C0BAF1">
            <w:pPr>
              <w:topLinePunct/>
              <w:adjustRightInd w:val="0"/>
              <w:snapToGrid w:val="0"/>
              <w:spacing w:before="0" w:beforeLines="0" w:line="240" w:lineRule="auto"/>
              <w:jc w:val="center"/>
              <w:rPr>
                <w:kern w:val="0"/>
                <w:szCs w:val="21"/>
              </w:rPr>
            </w:pPr>
            <w:r>
              <w:rPr>
                <w:kern w:val="0"/>
                <w:szCs w:val="21"/>
              </w:rPr>
              <w:t>59.42</w:t>
            </w:r>
          </w:p>
        </w:tc>
        <w:tc>
          <w:tcPr>
            <w:tcW w:w="339" w:type="pct"/>
            <w:vAlign w:val="center"/>
          </w:tcPr>
          <w:p w14:paraId="27D085DF">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05AC7915">
            <w:pPr>
              <w:topLinePunct/>
              <w:adjustRightInd w:val="0"/>
              <w:snapToGrid w:val="0"/>
              <w:spacing w:before="0" w:beforeLines="0" w:line="240" w:lineRule="auto"/>
              <w:jc w:val="center"/>
              <w:rPr>
                <w:kern w:val="0"/>
                <w:szCs w:val="21"/>
              </w:rPr>
            </w:pPr>
          </w:p>
        </w:tc>
        <w:tc>
          <w:tcPr>
            <w:tcW w:w="339" w:type="pct"/>
            <w:vMerge w:val="continue"/>
            <w:vAlign w:val="center"/>
          </w:tcPr>
          <w:p w14:paraId="44ADCF87">
            <w:pPr>
              <w:topLinePunct/>
              <w:adjustRightInd w:val="0"/>
              <w:snapToGrid w:val="0"/>
              <w:spacing w:before="0" w:beforeLines="0" w:line="240" w:lineRule="auto"/>
              <w:jc w:val="center"/>
              <w:rPr>
                <w:kern w:val="0"/>
                <w:szCs w:val="21"/>
              </w:rPr>
            </w:pPr>
          </w:p>
        </w:tc>
        <w:tc>
          <w:tcPr>
            <w:tcW w:w="339" w:type="pct"/>
            <w:vAlign w:val="center"/>
          </w:tcPr>
          <w:p w14:paraId="5AFF5106">
            <w:pPr>
              <w:topLinePunct/>
              <w:adjustRightInd w:val="0"/>
              <w:snapToGrid w:val="0"/>
              <w:spacing w:before="0" w:beforeLines="0" w:line="240" w:lineRule="auto"/>
              <w:jc w:val="center"/>
              <w:rPr>
                <w:kern w:val="0"/>
                <w:szCs w:val="21"/>
              </w:rPr>
            </w:pPr>
            <w:r>
              <w:rPr>
                <w:kern w:val="0"/>
                <w:szCs w:val="21"/>
              </w:rPr>
              <w:t>1</w:t>
            </w:r>
          </w:p>
        </w:tc>
      </w:tr>
      <w:tr w14:paraId="4BA4210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195" w:type="pct"/>
            <w:vAlign w:val="center"/>
          </w:tcPr>
          <w:p w14:paraId="59824DFB">
            <w:pPr>
              <w:widowControl/>
              <w:spacing w:before="0" w:beforeLines="0" w:line="240" w:lineRule="auto"/>
              <w:jc w:val="center"/>
              <w:textAlignment w:val="center"/>
              <w:rPr>
                <w:kern w:val="0"/>
                <w:szCs w:val="21"/>
              </w:rPr>
            </w:pPr>
            <w:r>
              <w:rPr>
                <w:kern w:val="0"/>
                <w:szCs w:val="21"/>
                <w:lang w:bidi="ar"/>
              </w:rPr>
              <w:t>17</w:t>
            </w:r>
          </w:p>
        </w:tc>
        <w:tc>
          <w:tcPr>
            <w:tcW w:w="351" w:type="pct"/>
            <w:vMerge w:val="continue"/>
            <w:vAlign w:val="center"/>
          </w:tcPr>
          <w:p w14:paraId="76F66BC0">
            <w:pPr>
              <w:topLinePunct/>
              <w:adjustRightInd w:val="0"/>
              <w:snapToGrid w:val="0"/>
              <w:spacing w:before="0" w:beforeLines="0" w:line="240" w:lineRule="auto"/>
              <w:jc w:val="center"/>
              <w:rPr>
                <w:kern w:val="0"/>
                <w:szCs w:val="21"/>
              </w:rPr>
            </w:pPr>
          </w:p>
        </w:tc>
        <w:tc>
          <w:tcPr>
            <w:tcW w:w="715" w:type="pct"/>
            <w:vAlign w:val="center"/>
          </w:tcPr>
          <w:p w14:paraId="66908F39">
            <w:pPr>
              <w:spacing w:before="0" w:beforeLines="0" w:line="240" w:lineRule="auto"/>
              <w:jc w:val="center"/>
              <w:rPr>
                <w:szCs w:val="21"/>
              </w:rPr>
            </w:pPr>
            <w:r>
              <w:rPr>
                <w:kern w:val="0"/>
                <w:szCs w:val="21"/>
                <w:lang w:bidi="ar"/>
              </w:rPr>
              <w:t>破碎机</w:t>
            </w:r>
          </w:p>
        </w:tc>
        <w:tc>
          <w:tcPr>
            <w:tcW w:w="206" w:type="pct"/>
            <w:vAlign w:val="center"/>
          </w:tcPr>
          <w:p w14:paraId="11792009">
            <w:pPr>
              <w:topLinePunct/>
              <w:adjustRightInd w:val="0"/>
              <w:snapToGrid w:val="0"/>
              <w:spacing w:before="0" w:beforeLines="0" w:line="240" w:lineRule="auto"/>
              <w:jc w:val="center"/>
              <w:rPr>
                <w:kern w:val="0"/>
                <w:szCs w:val="21"/>
              </w:rPr>
            </w:pPr>
            <w:r>
              <w:rPr>
                <w:kern w:val="0"/>
                <w:szCs w:val="21"/>
              </w:rPr>
              <w:t>64</w:t>
            </w:r>
          </w:p>
        </w:tc>
        <w:tc>
          <w:tcPr>
            <w:tcW w:w="203" w:type="pct"/>
            <w:vAlign w:val="center"/>
          </w:tcPr>
          <w:p w14:paraId="6ECEA374">
            <w:pPr>
              <w:topLinePunct/>
              <w:adjustRightInd w:val="0"/>
              <w:snapToGrid w:val="0"/>
              <w:spacing w:before="0" w:beforeLines="0" w:line="240" w:lineRule="auto"/>
              <w:jc w:val="center"/>
              <w:rPr>
                <w:kern w:val="0"/>
                <w:szCs w:val="21"/>
              </w:rPr>
            </w:pPr>
            <w:r>
              <w:rPr>
                <w:kern w:val="0"/>
                <w:szCs w:val="21"/>
              </w:rPr>
              <w:t>63</w:t>
            </w:r>
          </w:p>
        </w:tc>
        <w:tc>
          <w:tcPr>
            <w:tcW w:w="250" w:type="pct"/>
            <w:vAlign w:val="center"/>
          </w:tcPr>
          <w:p w14:paraId="08617D19">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14:paraId="1F08E78C">
            <w:pPr>
              <w:topLinePunct/>
              <w:adjustRightInd w:val="0"/>
              <w:snapToGrid w:val="0"/>
              <w:spacing w:before="0" w:beforeLines="0" w:line="240" w:lineRule="auto"/>
              <w:jc w:val="center"/>
              <w:rPr>
                <w:kern w:val="0"/>
                <w:szCs w:val="21"/>
              </w:rPr>
            </w:pPr>
            <w:r>
              <w:rPr>
                <w:kern w:val="0"/>
                <w:szCs w:val="21"/>
              </w:rPr>
              <w:t>100</w:t>
            </w:r>
          </w:p>
        </w:tc>
        <w:tc>
          <w:tcPr>
            <w:tcW w:w="422" w:type="pct"/>
            <w:vMerge w:val="continue"/>
            <w:vAlign w:val="center"/>
          </w:tcPr>
          <w:p w14:paraId="33A7B9EE">
            <w:pPr>
              <w:topLinePunct/>
              <w:adjustRightInd w:val="0"/>
              <w:snapToGrid w:val="0"/>
              <w:spacing w:before="0" w:beforeLines="0" w:line="240" w:lineRule="auto"/>
              <w:jc w:val="center"/>
              <w:rPr>
                <w:kern w:val="0"/>
                <w:szCs w:val="21"/>
              </w:rPr>
            </w:pPr>
          </w:p>
        </w:tc>
        <w:tc>
          <w:tcPr>
            <w:tcW w:w="549" w:type="pct"/>
            <w:vAlign w:val="center"/>
          </w:tcPr>
          <w:p w14:paraId="4494B1A8">
            <w:pPr>
              <w:topLinePunct/>
              <w:adjustRightInd w:val="0"/>
              <w:snapToGrid w:val="0"/>
              <w:spacing w:before="0" w:beforeLines="0" w:line="240" w:lineRule="auto"/>
              <w:jc w:val="center"/>
              <w:rPr>
                <w:kern w:val="0"/>
                <w:szCs w:val="21"/>
              </w:rPr>
            </w:pPr>
            <w:r>
              <w:rPr>
                <w:kern w:val="0"/>
                <w:szCs w:val="21"/>
              </w:rPr>
              <w:t>26</w:t>
            </w:r>
          </w:p>
        </w:tc>
        <w:tc>
          <w:tcPr>
            <w:tcW w:w="369" w:type="pct"/>
            <w:vAlign w:val="center"/>
          </w:tcPr>
          <w:p w14:paraId="17705DD7">
            <w:pPr>
              <w:topLinePunct/>
              <w:adjustRightInd w:val="0"/>
              <w:snapToGrid w:val="0"/>
              <w:spacing w:before="0" w:beforeLines="0" w:line="240" w:lineRule="auto"/>
              <w:jc w:val="center"/>
              <w:rPr>
                <w:kern w:val="0"/>
                <w:szCs w:val="21"/>
              </w:rPr>
            </w:pPr>
            <w:r>
              <w:rPr>
                <w:kern w:val="0"/>
                <w:szCs w:val="21"/>
              </w:rPr>
              <w:t>71.7</w:t>
            </w:r>
          </w:p>
        </w:tc>
        <w:tc>
          <w:tcPr>
            <w:tcW w:w="339" w:type="pct"/>
            <w:vAlign w:val="center"/>
          </w:tcPr>
          <w:p w14:paraId="4CCCB27C">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63E80D6C">
            <w:pPr>
              <w:topLinePunct/>
              <w:adjustRightInd w:val="0"/>
              <w:snapToGrid w:val="0"/>
              <w:spacing w:before="0" w:beforeLines="0" w:line="240" w:lineRule="auto"/>
              <w:jc w:val="center"/>
              <w:rPr>
                <w:kern w:val="0"/>
                <w:szCs w:val="21"/>
              </w:rPr>
            </w:pPr>
          </w:p>
        </w:tc>
        <w:tc>
          <w:tcPr>
            <w:tcW w:w="339" w:type="pct"/>
            <w:vMerge w:val="continue"/>
            <w:vAlign w:val="center"/>
          </w:tcPr>
          <w:p w14:paraId="5857C1EC">
            <w:pPr>
              <w:topLinePunct/>
              <w:adjustRightInd w:val="0"/>
              <w:snapToGrid w:val="0"/>
              <w:spacing w:before="0" w:beforeLines="0" w:line="240" w:lineRule="auto"/>
              <w:jc w:val="center"/>
              <w:rPr>
                <w:kern w:val="0"/>
                <w:szCs w:val="21"/>
              </w:rPr>
            </w:pPr>
          </w:p>
        </w:tc>
        <w:tc>
          <w:tcPr>
            <w:tcW w:w="339" w:type="pct"/>
            <w:vAlign w:val="center"/>
          </w:tcPr>
          <w:p w14:paraId="39B764D5">
            <w:pPr>
              <w:topLinePunct/>
              <w:adjustRightInd w:val="0"/>
              <w:snapToGrid w:val="0"/>
              <w:spacing w:before="0" w:beforeLines="0" w:line="240" w:lineRule="auto"/>
              <w:jc w:val="center"/>
              <w:rPr>
                <w:kern w:val="0"/>
                <w:szCs w:val="21"/>
              </w:rPr>
            </w:pPr>
            <w:r>
              <w:rPr>
                <w:kern w:val="0"/>
                <w:szCs w:val="21"/>
              </w:rPr>
              <w:t>1</w:t>
            </w:r>
          </w:p>
        </w:tc>
      </w:tr>
      <w:tr w14:paraId="57D5F12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195" w:type="pct"/>
            <w:vAlign w:val="center"/>
          </w:tcPr>
          <w:p w14:paraId="72933D90">
            <w:pPr>
              <w:widowControl/>
              <w:spacing w:before="0" w:beforeLines="0" w:line="240" w:lineRule="auto"/>
              <w:jc w:val="center"/>
              <w:textAlignment w:val="center"/>
              <w:rPr>
                <w:kern w:val="0"/>
                <w:szCs w:val="21"/>
              </w:rPr>
            </w:pPr>
            <w:r>
              <w:rPr>
                <w:kern w:val="0"/>
                <w:szCs w:val="21"/>
                <w:lang w:bidi="ar"/>
              </w:rPr>
              <w:t>18</w:t>
            </w:r>
          </w:p>
        </w:tc>
        <w:tc>
          <w:tcPr>
            <w:tcW w:w="351" w:type="pct"/>
            <w:vMerge w:val="continue"/>
            <w:vAlign w:val="center"/>
          </w:tcPr>
          <w:p w14:paraId="15ADB679">
            <w:pPr>
              <w:topLinePunct/>
              <w:adjustRightInd w:val="0"/>
              <w:snapToGrid w:val="0"/>
              <w:spacing w:before="0" w:beforeLines="0" w:line="240" w:lineRule="auto"/>
              <w:jc w:val="center"/>
              <w:rPr>
                <w:kern w:val="0"/>
                <w:szCs w:val="21"/>
              </w:rPr>
            </w:pPr>
          </w:p>
        </w:tc>
        <w:tc>
          <w:tcPr>
            <w:tcW w:w="715" w:type="pct"/>
            <w:vAlign w:val="center"/>
          </w:tcPr>
          <w:p w14:paraId="443E0EDB">
            <w:pPr>
              <w:spacing w:before="0" w:beforeLines="0" w:line="240" w:lineRule="auto"/>
              <w:jc w:val="center"/>
              <w:rPr>
                <w:szCs w:val="21"/>
              </w:rPr>
            </w:pPr>
            <w:r>
              <w:rPr>
                <w:kern w:val="0"/>
                <w:szCs w:val="21"/>
                <w:lang w:bidi="ar"/>
              </w:rPr>
              <w:t>振动筛</w:t>
            </w:r>
          </w:p>
        </w:tc>
        <w:tc>
          <w:tcPr>
            <w:tcW w:w="206" w:type="pct"/>
            <w:vAlign w:val="center"/>
          </w:tcPr>
          <w:p w14:paraId="1AAE0603">
            <w:pPr>
              <w:topLinePunct/>
              <w:adjustRightInd w:val="0"/>
              <w:snapToGrid w:val="0"/>
              <w:spacing w:before="0" w:beforeLines="0" w:line="240" w:lineRule="auto"/>
              <w:jc w:val="center"/>
              <w:rPr>
                <w:kern w:val="0"/>
                <w:szCs w:val="21"/>
              </w:rPr>
            </w:pPr>
            <w:r>
              <w:rPr>
                <w:kern w:val="0"/>
                <w:szCs w:val="21"/>
              </w:rPr>
              <w:t>49</w:t>
            </w:r>
          </w:p>
        </w:tc>
        <w:tc>
          <w:tcPr>
            <w:tcW w:w="203" w:type="pct"/>
            <w:vAlign w:val="center"/>
          </w:tcPr>
          <w:p w14:paraId="21295EFC">
            <w:pPr>
              <w:topLinePunct/>
              <w:adjustRightInd w:val="0"/>
              <w:snapToGrid w:val="0"/>
              <w:spacing w:before="0" w:beforeLines="0" w:line="240" w:lineRule="auto"/>
              <w:jc w:val="center"/>
              <w:rPr>
                <w:kern w:val="0"/>
                <w:szCs w:val="21"/>
              </w:rPr>
            </w:pPr>
            <w:r>
              <w:rPr>
                <w:kern w:val="0"/>
                <w:szCs w:val="21"/>
              </w:rPr>
              <w:t>74</w:t>
            </w:r>
          </w:p>
        </w:tc>
        <w:tc>
          <w:tcPr>
            <w:tcW w:w="250" w:type="pct"/>
            <w:vAlign w:val="center"/>
          </w:tcPr>
          <w:p w14:paraId="4B2D9E5F">
            <w:pPr>
              <w:topLinePunct/>
              <w:adjustRightInd w:val="0"/>
              <w:snapToGrid w:val="0"/>
              <w:spacing w:before="0" w:beforeLines="0" w:line="240" w:lineRule="auto"/>
              <w:jc w:val="center"/>
              <w:rPr>
                <w:kern w:val="0"/>
                <w:szCs w:val="21"/>
              </w:rPr>
            </w:pPr>
            <w:r>
              <w:rPr>
                <w:kern w:val="0"/>
                <w:szCs w:val="21"/>
              </w:rPr>
              <w:t>2</w:t>
            </w:r>
          </w:p>
        </w:tc>
        <w:tc>
          <w:tcPr>
            <w:tcW w:w="384" w:type="pct"/>
            <w:vAlign w:val="center"/>
          </w:tcPr>
          <w:p w14:paraId="30217E86">
            <w:pPr>
              <w:topLinePunct/>
              <w:adjustRightInd w:val="0"/>
              <w:snapToGrid w:val="0"/>
              <w:spacing w:before="0" w:beforeLines="0" w:line="240" w:lineRule="auto"/>
              <w:jc w:val="center"/>
              <w:rPr>
                <w:kern w:val="0"/>
                <w:szCs w:val="21"/>
              </w:rPr>
            </w:pPr>
            <w:r>
              <w:rPr>
                <w:kern w:val="0"/>
                <w:szCs w:val="21"/>
              </w:rPr>
              <w:t>85</w:t>
            </w:r>
          </w:p>
        </w:tc>
        <w:tc>
          <w:tcPr>
            <w:tcW w:w="422" w:type="pct"/>
            <w:vMerge w:val="continue"/>
            <w:vAlign w:val="center"/>
          </w:tcPr>
          <w:p w14:paraId="0FFFB69F">
            <w:pPr>
              <w:topLinePunct/>
              <w:adjustRightInd w:val="0"/>
              <w:snapToGrid w:val="0"/>
              <w:spacing w:before="0" w:beforeLines="0" w:line="240" w:lineRule="auto"/>
              <w:jc w:val="center"/>
              <w:rPr>
                <w:kern w:val="0"/>
                <w:szCs w:val="21"/>
              </w:rPr>
            </w:pPr>
          </w:p>
        </w:tc>
        <w:tc>
          <w:tcPr>
            <w:tcW w:w="549" w:type="pct"/>
            <w:vAlign w:val="center"/>
          </w:tcPr>
          <w:p w14:paraId="600DA05E">
            <w:pPr>
              <w:topLinePunct/>
              <w:adjustRightInd w:val="0"/>
              <w:snapToGrid w:val="0"/>
              <w:spacing w:before="0" w:beforeLines="0" w:line="240" w:lineRule="auto"/>
              <w:jc w:val="center"/>
              <w:rPr>
                <w:kern w:val="0"/>
                <w:szCs w:val="21"/>
              </w:rPr>
            </w:pPr>
            <w:r>
              <w:rPr>
                <w:kern w:val="0"/>
                <w:szCs w:val="21"/>
              </w:rPr>
              <w:t>36</w:t>
            </w:r>
          </w:p>
        </w:tc>
        <w:tc>
          <w:tcPr>
            <w:tcW w:w="369" w:type="pct"/>
            <w:vAlign w:val="center"/>
          </w:tcPr>
          <w:p w14:paraId="05CE0F3E">
            <w:pPr>
              <w:topLinePunct/>
              <w:adjustRightInd w:val="0"/>
              <w:snapToGrid w:val="0"/>
              <w:spacing w:before="0" w:beforeLines="0" w:line="240" w:lineRule="auto"/>
              <w:jc w:val="center"/>
              <w:rPr>
                <w:kern w:val="0"/>
                <w:szCs w:val="21"/>
              </w:rPr>
            </w:pPr>
            <w:r>
              <w:rPr>
                <w:kern w:val="0"/>
                <w:szCs w:val="21"/>
              </w:rPr>
              <w:t>53.87</w:t>
            </w:r>
          </w:p>
        </w:tc>
        <w:tc>
          <w:tcPr>
            <w:tcW w:w="339" w:type="pct"/>
            <w:vAlign w:val="center"/>
          </w:tcPr>
          <w:p w14:paraId="4D2B6FE0">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166FC09D">
            <w:pPr>
              <w:topLinePunct/>
              <w:adjustRightInd w:val="0"/>
              <w:snapToGrid w:val="0"/>
              <w:spacing w:before="0" w:beforeLines="0" w:line="240" w:lineRule="auto"/>
              <w:jc w:val="center"/>
              <w:rPr>
                <w:kern w:val="0"/>
                <w:szCs w:val="21"/>
              </w:rPr>
            </w:pPr>
          </w:p>
        </w:tc>
        <w:tc>
          <w:tcPr>
            <w:tcW w:w="339" w:type="pct"/>
            <w:vMerge w:val="continue"/>
            <w:vAlign w:val="center"/>
          </w:tcPr>
          <w:p w14:paraId="583D1183">
            <w:pPr>
              <w:topLinePunct/>
              <w:adjustRightInd w:val="0"/>
              <w:snapToGrid w:val="0"/>
              <w:spacing w:before="0" w:beforeLines="0" w:line="240" w:lineRule="auto"/>
              <w:jc w:val="center"/>
              <w:rPr>
                <w:kern w:val="0"/>
                <w:szCs w:val="21"/>
              </w:rPr>
            </w:pPr>
          </w:p>
        </w:tc>
        <w:tc>
          <w:tcPr>
            <w:tcW w:w="339" w:type="pct"/>
            <w:vAlign w:val="center"/>
          </w:tcPr>
          <w:p w14:paraId="39D5BD8F">
            <w:pPr>
              <w:topLinePunct/>
              <w:adjustRightInd w:val="0"/>
              <w:snapToGrid w:val="0"/>
              <w:spacing w:before="0" w:beforeLines="0" w:line="240" w:lineRule="auto"/>
              <w:jc w:val="center"/>
              <w:rPr>
                <w:kern w:val="0"/>
                <w:szCs w:val="21"/>
              </w:rPr>
            </w:pPr>
            <w:r>
              <w:rPr>
                <w:kern w:val="0"/>
                <w:szCs w:val="21"/>
              </w:rPr>
              <w:t>1</w:t>
            </w:r>
          </w:p>
        </w:tc>
      </w:tr>
      <w:tr w14:paraId="4679AF3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195" w:type="pct"/>
            <w:vAlign w:val="center"/>
          </w:tcPr>
          <w:p w14:paraId="4591A668">
            <w:pPr>
              <w:widowControl/>
              <w:spacing w:before="0" w:beforeLines="0" w:line="240" w:lineRule="auto"/>
              <w:jc w:val="center"/>
              <w:textAlignment w:val="center"/>
              <w:rPr>
                <w:kern w:val="0"/>
                <w:szCs w:val="21"/>
              </w:rPr>
            </w:pPr>
            <w:r>
              <w:rPr>
                <w:kern w:val="0"/>
                <w:szCs w:val="21"/>
                <w:lang w:bidi="ar"/>
              </w:rPr>
              <w:t>19</w:t>
            </w:r>
          </w:p>
        </w:tc>
        <w:tc>
          <w:tcPr>
            <w:tcW w:w="351" w:type="pct"/>
            <w:vMerge w:val="continue"/>
            <w:vAlign w:val="center"/>
          </w:tcPr>
          <w:p w14:paraId="7FA9CEED">
            <w:pPr>
              <w:topLinePunct/>
              <w:adjustRightInd w:val="0"/>
              <w:snapToGrid w:val="0"/>
              <w:spacing w:before="0" w:beforeLines="0" w:line="240" w:lineRule="auto"/>
              <w:jc w:val="center"/>
              <w:rPr>
                <w:kern w:val="0"/>
                <w:szCs w:val="21"/>
              </w:rPr>
            </w:pPr>
          </w:p>
        </w:tc>
        <w:tc>
          <w:tcPr>
            <w:tcW w:w="715" w:type="pct"/>
            <w:vAlign w:val="center"/>
          </w:tcPr>
          <w:p w14:paraId="30745090">
            <w:pPr>
              <w:spacing w:before="0" w:beforeLines="0" w:line="240" w:lineRule="auto"/>
              <w:jc w:val="center"/>
              <w:rPr>
                <w:kern w:val="0"/>
                <w:szCs w:val="21"/>
                <w:lang w:bidi="ar"/>
              </w:rPr>
            </w:pPr>
            <w:r>
              <w:rPr>
                <w:kern w:val="0"/>
                <w:szCs w:val="21"/>
                <w:lang w:bidi="ar"/>
              </w:rPr>
              <w:t>振动筛</w:t>
            </w:r>
          </w:p>
        </w:tc>
        <w:tc>
          <w:tcPr>
            <w:tcW w:w="206" w:type="pct"/>
            <w:vAlign w:val="center"/>
          </w:tcPr>
          <w:p w14:paraId="288E666B">
            <w:pPr>
              <w:topLinePunct/>
              <w:adjustRightInd w:val="0"/>
              <w:snapToGrid w:val="0"/>
              <w:spacing w:before="0" w:beforeLines="0" w:line="240" w:lineRule="auto"/>
              <w:jc w:val="center"/>
              <w:rPr>
                <w:kern w:val="0"/>
                <w:szCs w:val="21"/>
              </w:rPr>
            </w:pPr>
            <w:r>
              <w:rPr>
                <w:kern w:val="0"/>
                <w:szCs w:val="21"/>
              </w:rPr>
              <w:t>55</w:t>
            </w:r>
          </w:p>
        </w:tc>
        <w:tc>
          <w:tcPr>
            <w:tcW w:w="203" w:type="pct"/>
            <w:vAlign w:val="center"/>
          </w:tcPr>
          <w:p w14:paraId="79FBD6A2">
            <w:pPr>
              <w:topLinePunct/>
              <w:adjustRightInd w:val="0"/>
              <w:snapToGrid w:val="0"/>
              <w:spacing w:before="0" w:beforeLines="0" w:line="240" w:lineRule="auto"/>
              <w:jc w:val="center"/>
              <w:rPr>
                <w:kern w:val="0"/>
                <w:szCs w:val="21"/>
              </w:rPr>
            </w:pPr>
            <w:r>
              <w:rPr>
                <w:kern w:val="0"/>
                <w:szCs w:val="21"/>
              </w:rPr>
              <w:t>74</w:t>
            </w:r>
          </w:p>
        </w:tc>
        <w:tc>
          <w:tcPr>
            <w:tcW w:w="250" w:type="pct"/>
            <w:vAlign w:val="center"/>
          </w:tcPr>
          <w:p w14:paraId="4D65F4CB">
            <w:pPr>
              <w:topLinePunct/>
              <w:adjustRightInd w:val="0"/>
              <w:snapToGrid w:val="0"/>
              <w:spacing w:before="0" w:beforeLines="0" w:line="240" w:lineRule="auto"/>
              <w:jc w:val="center"/>
              <w:rPr>
                <w:kern w:val="0"/>
                <w:szCs w:val="21"/>
              </w:rPr>
            </w:pPr>
            <w:r>
              <w:rPr>
                <w:kern w:val="0"/>
                <w:szCs w:val="21"/>
              </w:rPr>
              <w:t>2</w:t>
            </w:r>
          </w:p>
        </w:tc>
        <w:tc>
          <w:tcPr>
            <w:tcW w:w="384" w:type="pct"/>
            <w:vAlign w:val="center"/>
          </w:tcPr>
          <w:p w14:paraId="5B6CF7F8">
            <w:pPr>
              <w:topLinePunct/>
              <w:adjustRightInd w:val="0"/>
              <w:snapToGrid w:val="0"/>
              <w:spacing w:before="0" w:beforeLines="0" w:line="240" w:lineRule="auto"/>
              <w:jc w:val="center"/>
              <w:rPr>
                <w:kern w:val="0"/>
                <w:szCs w:val="21"/>
              </w:rPr>
            </w:pPr>
            <w:r>
              <w:rPr>
                <w:kern w:val="0"/>
                <w:szCs w:val="21"/>
              </w:rPr>
              <w:t>85</w:t>
            </w:r>
          </w:p>
        </w:tc>
        <w:tc>
          <w:tcPr>
            <w:tcW w:w="422" w:type="pct"/>
            <w:vMerge w:val="continue"/>
            <w:vAlign w:val="center"/>
          </w:tcPr>
          <w:p w14:paraId="7E71D854">
            <w:pPr>
              <w:topLinePunct/>
              <w:adjustRightInd w:val="0"/>
              <w:snapToGrid w:val="0"/>
              <w:spacing w:before="0" w:beforeLines="0" w:line="240" w:lineRule="auto"/>
              <w:jc w:val="center"/>
              <w:rPr>
                <w:kern w:val="0"/>
                <w:szCs w:val="21"/>
              </w:rPr>
            </w:pPr>
          </w:p>
        </w:tc>
        <w:tc>
          <w:tcPr>
            <w:tcW w:w="549" w:type="pct"/>
            <w:vAlign w:val="center"/>
          </w:tcPr>
          <w:p w14:paraId="70851CA7">
            <w:pPr>
              <w:topLinePunct/>
              <w:adjustRightInd w:val="0"/>
              <w:snapToGrid w:val="0"/>
              <w:spacing w:before="0" w:beforeLines="0" w:line="240" w:lineRule="auto"/>
              <w:jc w:val="center"/>
              <w:rPr>
                <w:kern w:val="0"/>
                <w:szCs w:val="21"/>
              </w:rPr>
            </w:pPr>
            <w:r>
              <w:rPr>
                <w:kern w:val="0"/>
                <w:szCs w:val="21"/>
              </w:rPr>
              <w:t>31</w:t>
            </w:r>
          </w:p>
        </w:tc>
        <w:tc>
          <w:tcPr>
            <w:tcW w:w="369" w:type="pct"/>
            <w:vAlign w:val="center"/>
          </w:tcPr>
          <w:p w14:paraId="3DA92289">
            <w:pPr>
              <w:topLinePunct/>
              <w:adjustRightInd w:val="0"/>
              <w:snapToGrid w:val="0"/>
              <w:spacing w:before="0" w:beforeLines="0" w:line="240" w:lineRule="auto"/>
              <w:jc w:val="center"/>
              <w:rPr>
                <w:kern w:val="0"/>
                <w:szCs w:val="21"/>
              </w:rPr>
            </w:pPr>
            <w:r>
              <w:rPr>
                <w:kern w:val="0"/>
                <w:szCs w:val="21"/>
              </w:rPr>
              <w:t>55.17</w:t>
            </w:r>
          </w:p>
        </w:tc>
        <w:tc>
          <w:tcPr>
            <w:tcW w:w="339" w:type="pct"/>
            <w:vAlign w:val="center"/>
          </w:tcPr>
          <w:p w14:paraId="1C9EC2F4">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14:paraId="11A9D4AC">
            <w:pPr>
              <w:topLinePunct/>
              <w:adjustRightInd w:val="0"/>
              <w:snapToGrid w:val="0"/>
              <w:spacing w:before="0" w:beforeLines="0" w:line="240" w:lineRule="auto"/>
              <w:jc w:val="center"/>
              <w:rPr>
                <w:kern w:val="0"/>
                <w:szCs w:val="21"/>
              </w:rPr>
            </w:pPr>
          </w:p>
        </w:tc>
        <w:tc>
          <w:tcPr>
            <w:tcW w:w="339" w:type="pct"/>
            <w:vMerge w:val="continue"/>
            <w:vAlign w:val="center"/>
          </w:tcPr>
          <w:p w14:paraId="3B508FA5">
            <w:pPr>
              <w:topLinePunct/>
              <w:adjustRightInd w:val="0"/>
              <w:snapToGrid w:val="0"/>
              <w:spacing w:before="0" w:beforeLines="0" w:line="240" w:lineRule="auto"/>
              <w:jc w:val="center"/>
              <w:rPr>
                <w:kern w:val="0"/>
                <w:szCs w:val="21"/>
              </w:rPr>
            </w:pPr>
          </w:p>
        </w:tc>
        <w:tc>
          <w:tcPr>
            <w:tcW w:w="339" w:type="pct"/>
            <w:vAlign w:val="center"/>
          </w:tcPr>
          <w:p w14:paraId="1CA37985">
            <w:pPr>
              <w:topLinePunct/>
              <w:adjustRightInd w:val="0"/>
              <w:snapToGrid w:val="0"/>
              <w:spacing w:before="0" w:beforeLines="0" w:line="240" w:lineRule="auto"/>
              <w:jc w:val="center"/>
              <w:rPr>
                <w:kern w:val="0"/>
                <w:szCs w:val="21"/>
              </w:rPr>
            </w:pPr>
            <w:r>
              <w:rPr>
                <w:kern w:val="0"/>
                <w:szCs w:val="21"/>
              </w:rPr>
              <w:t>1</w:t>
            </w:r>
          </w:p>
        </w:tc>
      </w:tr>
    </w:tbl>
    <w:p w14:paraId="40B90CF5">
      <w:pPr>
        <w:spacing w:before="79"/>
        <w:jc w:val="center"/>
        <w:rPr>
          <w:b/>
          <w:bCs/>
          <w:szCs w:val="21"/>
        </w:rPr>
      </w:pPr>
      <w:r>
        <w:rPr>
          <w:b/>
          <w:bCs/>
          <w:szCs w:val="21"/>
        </w:rPr>
        <w:t>表3.</w:t>
      </w:r>
      <w:r>
        <w:rPr>
          <w:rFonts w:hint="eastAsia"/>
          <w:b/>
          <w:bCs/>
          <w:szCs w:val="21"/>
        </w:rPr>
        <w:t xml:space="preserve">3-8   </w:t>
      </w:r>
      <w:r>
        <w:rPr>
          <w:b/>
          <w:bCs/>
          <w:szCs w:val="21"/>
        </w:rPr>
        <w:t xml:space="preserve">  </w:t>
      </w:r>
      <w:r>
        <w:rPr>
          <w:rFonts w:hint="eastAsia"/>
          <w:b/>
          <w:bCs/>
          <w:szCs w:val="21"/>
        </w:rPr>
        <w:t>2#</w:t>
      </w:r>
      <w:r>
        <w:rPr>
          <w:b/>
          <w:bCs/>
          <w:szCs w:val="21"/>
        </w:rPr>
        <w:t xml:space="preserve"> 厂区噪声源情况一览表（室外声源）</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 w:type="dxa"/>
          <w:bottom w:w="0" w:type="dxa"/>
          <w:right w:w="10" w:type="dxa"/>
        </w:tblCellMar>
      </w:tblPr>
      <w:tblGrid>
        <w:gridCol w:w="1027"/>
        <w:gridCol w:w="2346"/>
        <w:gridCol w:w="1181"/>
        <w:gridCol w:w="1070"/>
        <w:gridCol w:w="1146"/>
        <w:gridCol w:w="1604"/>
        <w:gridCol w:w="3177"/>
        <w:gridCol w:w="1687"/>
      </w:tblGrid>
      <w:tr w14:paraId="3A2F4B9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45" w:hRule="atLeast"/>
          <w:jc w:val="center"/>
        </w:trPr>
        <w:tc>
          <w:tcPr>
            <w:tcW w:w="388" w:type="pct"/>
            <w:vMerge w:val="restart"/>
            <w:vAlign w:val="center"/>
          </w:tcPr>
          <w:p w14:paraId="1632F4A3">
            <w:pPr>
              <w:topLinePunct/>
              <w:adjustRightInd w:val="0"/>
              <w:snapToGrid w:val="0"/>
              <w:spacing w:before="0" w:beforeLines="0" w:line="240" w:lineRule="auto"/>
              <w:jc w:val="center"/>
              <w:rPr>
                <w:kern w:val="0"/>
                <w:szCs w:val="21"/>
              </w:rPr>
            </w:pPr>
            <w:r>
              <w:rPr>
                <w:kern w:val="0"/>
                <w:szCs w:val="21"/>
              </w:rPr>
              <w:t>序号</w:t>
            </w:r>
          </w:p>
        </w:tc>
        <w:tc>
          <w:tcPr>
            <w:tcW w:w="886" w:type="pct"/>
            <w:vMerge w:val="restart"/>
            <w:vAlign w:val="center"/>
          </w:tcPr>
          <w:p w14:paraId="3BDFDEB1">
            <w:pPr>
              <w:topLinePunct/>
              <w:adjustRightInd w:val="0"/>
              <w:snapToGrid w:val="0"/>
              <w:spacing w:before="0" w:beforeLines="0" w:line="240" w:lineRule="auto"/>
              <w:jc w:val="center"/>
              <w:rPr>
                <w:kern w:val="0"/>
                <w:szCs w:val="21"/>
              </w:rPr>
            </w:pPr>
            <w:r>
              <w:rPr>
                <w:kern w:val="0"/>
                <w:szCs w:val="21"/>
              </w:rPr>
              <w:t>声源名称</w:t>
            </w:r>
          </w:p>
        </w:tc>
        <w:tc>
          <w:tcPr>
            <w:tcW w:w="1283" w:type="pct"/>
            <w:gridSpan w:val="3"/>
            <w:vAlign w:val="center"/>
          </w:tcPr>
          <w:p w14:paraId="3B3D30E8">
            <w:pPr>
              <w:topLinePunct/>
              <w:adjustRightInd w:val="0"/>
              <w:snapToGrid w:val="0"/>
              <w:spacing w:before="0" w:beforeLines="0" w:line="240" w:lineRule="auto"/>
              <w:jc w:val="center"/>
              <w:rPr>
                <w:kern w:val="0"/>
                <w:szCs w:val="21"/>
              </w:rPr>
            </w:pPr>
            <w:r>
              <w:rPr>
                <w:kern w:val="0"/>
                <w:szCs w:val="21"/>
              </w:rPr>
              <w:t>空间相对位置/m</w:t>
            </w:r>
          </w:p>
        </w:tc>
        <w:tc>
          <w:tcPr>
            <w:tcW w:w="606" w:type="pct"/>
            <w:vMerge w:val="restart"/>
            <w:vAlign w:val="center"/>
          </w:tcPr>
          <w:p w14:paraId="358A116B">
            <w:pPr>
              <w:topLinePunct/>
              <w:adjustRightInd w:val="0"/>
              <w:snapToGrid w:val="0"/>
              <w:spacing w:before="0" w:beforeLines="0" w:line="240" w:lineRule="auto"/>
              <w:jc w:val="center"/>
              <w:rPr>
                <w:kern w:val="0"/>
                <w:szCs w:val="21"/>
              </w:rPr>
            </w:pPr>
            <w:r>
              <w:rPr>
                <w:rFonts w:hint="eastAsia"/>
                <w:kern w:val="0"/>
                <w:szCs w:val="21"/>
              </w:rPr>
              <w:t>噪声源强声功率级dB(A)</w:t>
            </w:r>
          </w:p>
        </w:tc>
        <w:tc>
          <w:tcPr>
            <w:tcW w:w="1200" w:type="pct"/>
            <w:vMerge w:val="restart"/>
            <w:vAlign w:val="center"/>
          </w:tcPr>
          <w:p w14:paraId="0CCB073F">
            <w:pPr>
              <w:topLinePunct/>
              <w:adjustRightInd w:val="0"/>
              <w:snapToGrid w:val="0"/>
              <w:spacing w:before="0" w:beforeLines="0" w:line="240" w:lineRule="auto"/>
              <w:jc w:val="center"/>
              <w:rPr>
                <w:kern w:val="0"/>
                <w:szCs w:val="21"/>
              </w:rPr>
            </w:pPr>
            <w:r>
              <w:rPr>
                <w:kern w:val="0"/>
                <w:szCs w:val="21"/>
              </w:rPr>
              <w:t>声源控制措施</w:t>
            </w:r>
          </w:p>
        </w:tc>
        <w:tc>
          <w:tcPr>
            <w:tcW w:w="637" w:type="pct"/>
            <w:vMerge w:val="restart"/>
            <w:vAlign w:val="center"/>
          </w:tcPr>
          <w:p w14:paraId="63E1B967">
            <w:pPr>
              <w:topLinePunct/>
              <w:adjustRightInd w:val="0"/>
              <w:snapToGrid w:val="0"/>
              <w:spacing w:before="0" w:beforeLines="0" w:line="240" w:lineRule="auto"/>
              <w:jc w:val="center"/>
              <w:rPr>
                <w:kern w:val="0"/>
                <w:szCs w:val="21"/>
              </w:rPr>
            </w:pPr>
            <w:r>
              <w:rPr>
                <w:kern w:val="0"/>
                <w:szCs w:val="21"/>
              </w:rPr>
              <w:t>运行</w:t>
            </w:r>
          </w:p>
          <w:p w14:paraId="65928320">
            <w:pPr>
              <w:topLinePunct/>
              <w:adjustRightInd w:val="0"/>
              <w:snapToGrid w:val="0"/>
              <w:spacing w:before="0" w:beforeLines="0" w:line="240" w:lineRule="auto"/>
              <w:jc w:val="center"/>
              <w:rPr>
                <w:kern w:val="0"/>
                <w:szCs w:val="21"/>
              </w:rPr>
            </w:pPr>
            <w:r>
              <w:rPr>
                <w:kern w:val="0"/>
                <w:szCs w:val="21"/>
              </w:rPr>
              <w:t>时段</w:t>
            </w:r>
          </w:p>
        </w:tc>
      </w:tr>
      <w:tr w14:paraId="7AEB534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388" w:type="pct"/>
            <w:vMerge w:val="continue"/>
            <w:vAlign w:val="center"/>
          </w:tcPr>
          <w:p w14:paraId="4373A012">
            <w:pPr>
              <w:topLinePunct/>
              <w:adjustRightInd w:val="0"/>
              <w:snapToGrid w:val="0"/>
              <w:spacing w:before="0" w:beforeLines="0" w:line="240" w:lineRule="auto"/>
              <w:jc w:val="center"/>
              <w:rPr>
                <w:szCs w:val="21"/>
              </w:rPr>
            </w:pPr>
          </w:p>
        </w:tc>
        <w:tc>
          <w:tcPr>
            <w:tcW w:w="886" w:type="pct"/>
            <w:vMerge w:val="continue"/>
            <w:vAlign w:val="center"/>
          </w:tcPr>
          <w:p w14:paraId="45D09F91">
            <w:pPr>
              <w:topLinePunct/>
              <w:adjustRightInd w:val="0"/>
              <w:snapToGrid w:val="0"/>
              <w:spacing w:before="0" w:beforeLines="0" w:line="240" w:lineRule="auto"/>
              <w:jc w:val="center"/>
              <w:rPr>
                <w:szCs w:val="21"/>
              </w:rPr>
            </w:pPr>
          </w:p>
        </w:tc>
        <w:tc>
          <w:tcPr>
            <w:tcW w:w="446" w:type="pct"/>
            <w:vAlign w:val="center"/>
          </w:tcPr>
          <w:p w14:paraId="0E45C6BC">
            <w:pPr>
              <w:topLinePunct/>
              <w:adjustRightInd w:val="0"/>
              <w:snapToGrid w:val="0"/>
              <w:spacing w:before="0" w:beforeLines="0" w:line="240" w:lineRule="auto"/>
              <w:jc w:val="center"/>
              <w:rPr>
                <w:kern w:val="0"/>
                <w:szCs w:val="21"/>
              </w:rPr>
            </w:pPr>
            <w:r>
              <w:rPr>
                <w:kern w:val="0"/>
                <w:szCs w:val="21"/>
              </w:rPr>
              <w:t>X</w:t>
            </w:r>
          </w:p>
        </w:tc>
        <w:tc>
          <w:tcPr>
            <w:tcW w:w="404" w:type="pct"/>
            <w:vAlign w:val="center"/>
          </w:tcPr>
          <w:p w14:paraId="25E5CEF9">
            <w:pPr>
              <w:topLinePunct/>
              <w:adjustRightInd w:val="0"/>
              <w:snapToGrid w:val="0"/>
              <w:spacing w:before="0" w:beforeLines="0" w:line="240" w:lineRule="auto"/>
              <w:jc w:val="center"/>
              <w:rPr>
                <w:kern w:val="0"/>
                <w:szCs w:val="21"/>
              </w:rPr>
            </w:pPr>
            <w:r>
              <w:rPr>
                <w:kern w:val="0"/>
                <w:szCs w:val="21"/>
              </w:rPr>
              <w:t>Y</w:t>
            </w:r>
          </w:p>
        </w:tc>
        <w:tc>
          <w:tcPr>
            <w:tcW w:w="433" w:type="pct"/>
            <w:vAlign w:val="center"/>
          </w:tcPr>
          <w:p w14:paraId="7C41F487">
            <w:pPr>
              <w:topLinePunct/>
              <w:adjustRightInd w:val="0"/>
              <w:snapToGrid w:val="0"/>
              <w:spacing w:before="0" w:beforeLines="0" w:line="240" w:lineRule="auto"/>
              <w:jc w:val="center"/>
              <w:rPr>
                <w:kern w:val="0"/>
                <w:szCs w:val="21"/>
              </w:rPr>
            </w:pPr>
            <w:r>
              <w:rPr>
                <w:kern w:val="0"/>
                <w:szCs w:val="21"/>
              </w:rPr>
              <w:t>Z</w:t>
            </w:r>
          </w:p>
        </w:tc>
        <w:tc>
          <w:tcPr>
            <w:tcW w:w="606" w:type="pct"/>
            <w:vMerge w:val="continue"/>
            <w:vAlign w:val="center"/>
          </w:tcPr>
          <w:p w14:paraId="094EE997">
            <w:pPr>
              <w:topLinePunct/>
              <w:adjustRightInd w:val="0"/>
              <w:snapToGrid w:val="0"/>
              <w:spacing w:before="0" w:beforeLines="0" w:line="240" w:lineRule="auto"/>
              <w:jc w:val="center"/>
              <w:rPr>
                <w:kern w:val="0"/>
                <w:szCs w:val="21"/>
              </w:rPr>
            </w:pPr>
          </w:p>
        </w:tc>
        <w:tc>
          <w:tcPr>
            <w:tcW w:w="1200" w:type="pct"/>
            <w:vMerge w:val="continue"/>
            <w:vAlign w:val="center"/>
          </w:tcPr>
          <w:p w14:paraId="3363F3CA">
            <w:pPr>
              <w:topLinePunct/>
              <w:adjustRightInd w:val="0"/>
              <w:snapToGrid w:val="0"/>
              <w:spacing w:before="0" w:beforeLines="0" w:line="240" w:lineRule="auto"/>
              <w:jc w:val="center"/>
              <w:rPr>
                <w:kern w:val="0"/>
                <w:szCs w:val="21"/>
              </w:rPr>
            </w:pPr>
          </w:p>
        </w:tc>
        <w:tc>
          <w:tcPr>
            <w:tcW w:w="637" w:type="pct"/>
            <w:vMerge w:val="continue"/>
            <w:vAlign w:val="center"/>
          </w:tcPr>
          <w:p w14:paraId="1C8C4D20">
            <w:pPr>
              <w:topLinePunct/>
              <w:adjustRightInd w:val="0"/>
              <w:snapToGrid w:val="0"/>
              <w:spacing w:before="0" w:beforeLines="0" w:line="240" w:lineRule="auto"/>
              <w:jc w:val="center"/>
              <w:rPr>
                <w:kern w:val="0"/>
                <w:szCs w:val="21"/>
              </w:rPr>
            </w:pPr>
          </w:p>
        </w:tc>
      </w:tr>
      <w:tr w14:paraId="1C81427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65" w:hRule="atLeast"/>
          <w:jc w:val="center"/>
        </w:trPr>
        <w:tc>
          <w:tcPr>
            <w:tcW w:w="388" w:type="pct"/>
            <w:vAlign w:val="center"/>
          </w:tcPr>
          <w:p w14:paraId="30E5CECA">
            <w:pPr>
              <w:topLinePunct/>
              <w:adjustRightInd w:val="0"/>
              <w:snapToGrid w:val="0"/>
              <w:spacing w:before="0" w:beforeLines="0" w:line="240" w:lineRule="auto"/>
              <w:jc w:val="center"/>
              <w:rPr>
                <w:kern w:val="0"/>
                <w:szCs w:val="21"/>
              </w:rPr>
            </w:pPr>
            <w:r>
              <w:rPr>
                <w:kern w:val="0"/>
                <w:szCs w:val="21"/>
              </w:rPr>
              <w:t>1</w:t>
            </w:r>
          </w:p>
        </w:tc>
        <w:tc>
          <w:tcPr>
            <w:tcW w:w="886" w:type="pct"/>
            <w:vAlign w:val="center"/>
          </w:tcPr>
          <w:p w14:paraId="7B3ADDB1">
            <w:pPr>
              <w:widowControl/>
              <w:snapToGrid w:val="0"/>
              <w:spacing w:before="0" w:beforeLines="0" w:line="240" w:lineRule="auto"/>
              <w:jc w:val="center"/>
              <w:textAlignment w:val="center"/>
              <w:rPr>
                <w:kern w:val="0"/>
                <w:szCs w:val="21"/>
              </w:rPr>
            </w:pPr>
            <w:r>
              <w:rPr>
                <w:rFonts w:hint="eastAsia"/>
                <w:kern w:val="0"/>
                <w:szCs w:val="21"/>
              </w:rPr>
              <w:t>除尘风机</w:t>
            </w:r>
          </w:p>
        </w:tc>
        <w:tc>
          <w:tcPr>
            <w:tcW w:w="446" w:type="pct"/>
            <w:vAlign w:val="center"/>
          </w:tcPr>
          <w:p w14:paraId="6E5349F5">
            <w:pPr>
              <w:topLinePunct/>
              <w:adjustRightInd w:val="0"/>
              <w:snapToGrid w:val="0"/>
              <w:spacing w:before="0" w:beforeLines="0" w:line="240" w:lineRule="auto"/>
              <w:jc w:val="center"/>
              <w:rPr>
                <w:kern w:val="0"/>
                <w:szCs w:val="21"/>
              </w:rPr>
            </w:pPr>
            <w:r>
              <w:rPr>
                <w:rFonts w:hint="eastAsia"/>
                <w:kern w:val="0"/>
                <w:szCs w:val="21"/>
              </w:rPr>
              <w:t>95</w:t>
            </w:r>
          </w:p>
        </w:tc>
        <w:tc>
          <w:tcPr>
            <w:tcW w:w="404" w:type="pct"/>
            <w:vAlign w:val="center"/>
          </w:tcPr>
          <w:p w14:paraId="0C492E0C">
            <w:pPr>
              <w:topLinePunct/>
              <w:adjustRightInd w:val="0"/>
              <w:snapToGrid w:val="0"/>
              <w:spacing w:before="0" w:beforeLines="0" w:line="240" w:lineRule="auto"/>
              <w:jc w:val="center"/>
              <w:rPr>
                <w:kern w:val="0"/>
                <w:szCs w:val="21"/>
              </w:rPr>
            </w:pPr>
            <w:r>
              <w:rPr>
                <w:rFonts w:hint="eastAsia"/>
                <w:kern w:val="0"/>
                <w:szCs w:val="21"/>
              </w:rPr>
              <w:t>55</w:t>
            </w:r>
          </w:p>
        </w:tc>
        <w:tc>
          <w:tcPr>
            <w:tcW w:w="433" w:type="pct"/>
            <w:vAlign w:val="center"/>
          </w:tcPr>
          <w:p w14:paraId="6E784784">
            <w:pPr>
              <w:topLinePunct/>
              <w:adjustRightInd w:val="0"/>
              <w:snapToGrid w:val="0"/>
              <w:spacing w:before="0" w:beforeLines="0" w:line="240" w:lineRule="auto"/>
              <w:jc w:val="center"/>
              <w:rPr>
                <w:kern w:val="0"/>
                <w:szCs w:val="21"/>
              </w:rPr>
            </w:pPr>
            <w:r>
              <w:rPr>
                <w:rFonts w:hint="eastAsia"/>
                <w:kern w:val="0"/>
                <w:szCs w:val="21"/>
              </w:rPr>
              <w:t>2.0</w:t>
            </w:r>
          </w:p>
        </w:tc>
        <w:tc>
          <w:tcPr>
            <w:tcW w:w="606" w:type="pct"/>
            <w:vAlign w:val="center"/>
          </w:tcPr>
          <w:p w14:paraId="175C85E5">
            <w:pPr>
              <w:topLinePunct/>
              <w:adjustRightInd w:val="0"/>
              <w:snapToGrid w:val="0"/>
              <w:spacing w:before="0" w:beforeLines="0" w:line="240" w:lineRule="auto"/>
              <w:jc w:val="center"/>
              <w:rPr>
                <w:kern w:val="0"/>
                <w:szCs w:val="21"/>
              </w:rPr>
            </w:pPr>
            <w:r>
              <w:rPr>
                <w:rFonts w:hint="eastAsia"/>
                <w:kern w:val="0"/>
                <w:szCs w:val="21"/>
              </w:rPr>
              <w:t>95</w:t>
            </w:r>
          </w:p>
        </w:tc>
        <w:tc>
          <w:tcPr>
            <w:tcW w:w="1200" w:type="pct"/>
            <w:vAlign w:val="center"/>
          </w:tcPr>
          <w:p w14:paraId="53896E3E">
            <w:pPr>
              <w:topLinePunct/>
              <w:adjustRightInd w:val="0"/>
              <w:snapToGrid w:val="0"/>
              <w:spacing w:before="0" w:beforeLines="0" w:line="240" w:lineRule="auto"/>
              <w:jc w:val="center"/>
              <w:rPr>
                <w:kern w:val="0"/>
                <w:szCs w:val="21"/>
              </w:rPr>
            </w:pPr>
            <w:r>
              <w:rPr>
                <w:rFonts w:hint="eastAsia"/>
                <w:kern w:val="0"/>
                <w:szCs w:val="21"/>
              </w:rPr>
              <w:t>减振、消音、隔声罩</w:t>
            </w:r>
          </w:p>
        </w:tc>
        <w:tc>
          <w:tcPr>
            <w:tcW w:w="637" w:type="pct"/>
            <w:vAlign w:val="center"/>
          </w:tcPr>
          <w:p w14:paraId="5A57285F">
            <w:pPr>
              <w:topLinePunct/>
              <w:adjustRightInd w:val="0"/>
              <w:snapToGrid w:val="0"/>
              <w:spacing w:before="0" w:beforeLines="0" w:line="240" w:lineRule="auto"/>
              <w:jc w:val="center"/>
              <w:rPr>
                <w:kern w:val="0"/>
                <w:szCs w:val="21"/>
              </w:rPr>
            </w:pPr>
            <w:r>
              <w:rPr>
                <w:rFonts w:hint="eastAsia"/>
                <w:kern w:val="0"/>
                <w:szCs w:val="21"/>
              </w:rPr>
              <w:t>24h</w:t>
            </w:r>
          </w:p>
        </w:tc>
      </w:tr>
    </w:tbl>
    <w:p w14:paraId="63739ED0">
      <w:pPr>
        <w:pStyle w:val="53"/>
        <w:snapToGrid w:val="0"/>
        <w:spacing w:before="0" w:beforeLines="0" w:after="0" w:line="240" w:lineRule="auto"/>
        <w:ind w:left="0" w:leftChars="0"/>
      </w:pPr>
      <w:r>
        <w:rPr>
          <w:rFonts w:hint="eastAsia"/>
          <w:b/>
          <w:bCs/>
          <w:snapToGrid w:val="0"/>
          <w:kern w:val="0"/>
          <w:szCs w:val="21"/>
        </w:rPr>
        <w:t>注：以2#厂区的西南角拐点为原点。</w:t>
      </w:r>
    </w:p>
    <w:bookmarkEnd w:id="130"/>
    <w:p w14:paraId="7EB63066">
      <w:pPr>
        <w:pStyle w:val="54"/>
        <w:ind w:firstLine="240"/>
        <w:rPr>
          <w:rFonts w:hint="eastAsia"/>
          <w:lang w:val="en-US" w:bidi="ar-SA"/>
        </w:rPr>
        <w:sectPr>
          <w:headerReference r:id="rId19" w:type="default"/>
          <w:footerReference r:id="rId20" w:type="default"/>
          <w:pgSz w:w="16838" w:h="11906" w:orient="landscape"/>
          <w:pgMar w:top="1440" w:right="1800" w:bottom="1440" w:left="1800" w:header="851" w:footer="992" w:gutter="0"/>
          <w:cols w:space="0" w:num="1"/>
          <w:docGrid w:type="lines" w:linePitch="319" w:charSpace="0"/>
        </w:sectPr>
      </w:pPr>
    </w:p>
    <w:p w14:paraId="1165E276">
      <w:pPr>
        <w:keepLines/>
        <w:spacing w:before="78" w:line="416" w:lineRule="auto"/>
        <w:rPr>
          <w:b/>
          <w:bCs/>
          <w:sz w:val="24"/>
        </w:rPr>
      </w:pPr>
      <w:r>
        <w:rPr>
          <w:rFonts w:hint="eastAsia"/>
          <w:b/>
          <w:bCs/>
          <w:sz w:val="24"/>
        </w:rPr>
        <w:t>3.3.2.4</w:t>
      </w:r>
      <w:r>
        <w:rPr>
          <w:b/>
          <w:bCs/>
          <w:sz w:val="24"/>
        </w:rPr>
        <w:t>固废污染源分析</w:t>
      </w:r>
    </w:p>
    <w:p w14:paraId="0CAD857D">
      <w:pPr>
        <w:pStyle w:val="53"/>
        <w:snapToGrid w:val="0"/>
        <w:spacing w:before="0" w:beforeLines="0" w:after="0" w:line="360" w:lineRule="auto"/>
        <w:ind w:left="0" w:leftChars="0" w:firstLine="480" w:firstLineChars="200"/>
        <w:jc w:val="left"/>
        <w:rPr>
          <w:kern w:val="0"/>
          <w:sz w:val="24"/>
        </w:rPr>
      </w:pPr>
      <w:bookmarkStart w:id="133" w:name="_Hlk194415997"/>
      <w:r>
        <w:rPr>
          <w:kern w:val="0"/>
          <w:sz w:val="24"/>
        </w:rPr>
        <w:t>项目产生的固体废物主要为生活垃圾、泥饼、除尘灰、落地灰、废矿物油及废矿物油桶</w:t>
      </w:r>
      <w:r>
        <w:rPr>
          <w:rFonts w:hint="eastAsia"/>
          <w:kern w:val="0"/>
          <w:sz w:val="24"/>
        </w:rPr>
        <w:t>等</w:t>
      </w:r>
      <w:r>
        <w:rPr>
          <w:kern w:val="0"/>
          <w:sz w:val="24"/>
        </w:rPr>
        <w:t>。</w:t>
      </w:r>
    </w:p>
    <w:p w14:paraId="77E6BDDC">
      <w:pPr>
        <w:pStyle w:val="54"/>
        <w:snapToGrid w:val="0"/>
        <w:spacing w:line="360" w:lineRule="auto"/>
        <w:ind w:firstLine="480" w:firstLineChars="200"/>
        <w:rPr>
          <w:rFonts w:ascii="Times New Roman" w:hAnsi="Times New Roman" w:cs="Times New Roman"/>
          <w:lang w:val="en-US" w:bidi="ar-SA"/>
        </w:rPr>
      </w:pPr>
      <w:bookmarkStart w:id="134" w:name="_Hlk156552711"/>
      <w:r>
        <w:rPr>
          <w:rFonts w:hint="eastAsia" w:ascii="Times New Roman" w:hAnsi="Times New Roman" w:cs="Times New Roman"/>
          <w:lang w:val="en-US" w:bidi="ar-SA"/>
        </w:rPr>
        <w:t>（1）</w:t>
      </w:r>
      <w:r>
        <w:rPr>
          <w:rFonts w:ascii="Times New Roman" w:hAnsi="Times New Roman" w:cs="Times New Roman"/>
          <w:lang w:val="en-US" w:bidi="ar-SA"/>
        </w:rPr>
        <w:t>泥饼</w:t>
      </w:r>
      <w:r>
        <w:rPr>
          <w:rFonts w:hint="eastAsia" w:ascii="Times New Roman" w:hAnsi="Times New Roman" w:cs="Times New Roman"/>
          <w:lang w:val="en-US" w:bidi="ar-SA"/>
        </w:rPr>
        <w:t>和循环水池沉淀渣</w:t>
      </w:r>
    </w:p>
    <w:p w14:paraId="22E1432D">
      <w:pPr>
        <w:autoSpaceDE w:val="0"/>
        <w:autoSpaceDN w:val="0"/>
        <w:snapToGrid w:val="0"/>
        <w:spacing w:before="78" w:line="360" w:lineRule="auto"/>
        <w:ind w:firstLine="480" w:firstLineChars="200"/>
        <w:textAlignment w:val="bottom"/>
        <w:rPr>
          <w:kern w:val="0"/>
          <w:sz w:val="24"/>
        </w:rPr>
      </w:pPr>
      <w:r>
        <w:rPr>
          <w:kern w:val="0"/>
          <w:sz w:val="24"/>
        </w:rPr>
        <w:t>本项目泥饼</w:t>
      </w:r>
      <w:r>
        <w:rPr>
          <w:rFonts w:hint="eastAsia"/>
          <w:kern w:val="0"/>
          <w:sz w:val="24"/>
        </w:rPr>
        <w:t>及循环水池沉淀渣</w:t>
      </w:r>
      <w:r>
        <w:rPr>
          <w:kern w:val="0"/>
          <w:sz w:val="24"/>
        </w:rPr>
        <w:t>产生量为</w:t>
      </w:r>
      <w:r>
        <w:rPr>
          <w:rFonts w:hint="eastAsia"/>
          <w:kern w:val="0"/>
          <w:sz w:val="24"/>
        </w:rPr>
        <w:t>931697</w:t>
      </w:r>
      <w:r>
        <w:rPr>
          <w:kern w:val="0"/>
          <w:sz w:val="24"/>
        </w:rPr>
        <w:t>t/a</w:t>
      </w:r>
      <w:r>
        <w:rPr>
          <w:rFonts w:hint="eastAsia"/>
          <w:kern w:val="0"/>
          <w:sz w:val="24"/>
        </w:rPr>
        <w:t>。浓缩罐产生的上清液溢流到循环水池，脱水机排水也排入循环水池，经沉淀后清水回用于生产。</w:t>
      </w:r>
    </w:p>
    <w:p w14:paraId="6A0E9CA0">
      <w:pPr>
        <w:autoSpaceDE w:val="0"/>
        <w:autoSpaceDN w:val="0"/>
        <w:snapToGrid w:val="0"/>
        <w:spacing w:before="78" w:line="360" w:lineRule="auto"/>
        <w:ind w:firstLine="480" w:firstLineChars="200"/>
        <w:textAlignment w:val="bottom"/>
        <w:rPr>
          <w:sz w:val="24"/>
        </w:rPr>
      </w:pPr>
      <w:r>
        <w:rPr>
          <w:rFonts w:hint="eastAsia"/>
          <w:sz w:val="24"/>
        </w:rPr>
        <w:t>辽宁鑫岳矿业有限公司距离本项目约700米，处理原料为与本项目均位于“太平——大五家子——福兴地——平安地”成矿带上，处理工艺相似，因此泥饼成分基本一致。故本项目委托沈阳市中正环境检测技术有限公司对辽宁鑫岳矿业有限公司现有泥饼浸出液进行采样监测，监测结果见表3</w:t>
      </w:r>
      <w:r>
        <w:rPr>
          <w:sz w:val="24"/>
        </w:rPr>
        <w:t>.</w:t>
      </w:r>
      <w:r>
        <w:rPr>
          <w:rFonts w:hint="eastAsia"/>
          <w:sz w:val="24"/>
        </w:rPr>
        <w:t>3</w:t>
      </w:r>
      <w:r>
        <w:rPr>
          <w:sz w:val="24"/>
        </w:rPr>
        <w:t>-</w:t>
      </w:r>
      <w:r>
        <w:rPr>
          <w:rFonts w:hint="eastAsia"/>
          <w:sz w:val="24"/>
        </w:rPr>
        <w:t>9。</w:t>
      </w:r>
    </w:p>
    <w:p w14:paraId="4D9BA221">
      <w:pPr>
        <w:spacing w:before="0" w:beforeLines="0" w:line="240" w:lineRule="auto"/>
        <w:ind w:left="420"/>
        <w:jc w:val="center"/>
        <w:rPr>
          <w:b/>
          <w:bCs/>
          <w:szCs w:val="21"/>
        </w:rPr>
      </w:pPr>
      <w:bookmarkStart w:id="135" w:name="_Hlk113456536"/>
      <w:r>
        <w:rPr>
          <w:rFonts w:hint="eastAsia"/>
          <w:b/>
          <w:bCs/>
          <w:szCs w:val="21"/>
        </w:rPr>
        <w:t>表3</w:t>
      </w:r>
      <w:r>
        <w:rPr>
          <w:b/>
          <w:bCs/>
          <w:szCs w:val="21"/>
        </w:rPr>
        <w:t>.</w:t>
      </w:r>
      <w:r>
        <w:rPr>
          <w:rFonts w:hint="eastAsia"/>
          <w:b/>
          <w:bCs/>
          <w:szCs w:val="21"/>
        </w:rPr>
        <w:t>3</w:t>
      </w:r>
      <w:r>
        <w:rPr>
          <w:b/>
          <w:bCs/>
          <w:szCs w:val="21"/>
        </w:rPr>
        <w:t>-</w:t>
      </w:r>
      <w:r>
        <w:rPr>
          <w:rFonts w:hint="eastAsia"/>
          <w:b/>
          <w:bCs/>
          <w:szCs w:val="21"/>
        </w:rPr>
        <w:t>9</w:t>
      </w:r>
      <w:r>
        <w:rPr>
          <w:b/>
          <w:bCs/>
          <w:szCs w:val="21"/>
        </w:rPr>
        <w:t xml:space="preserve">  </w:t>
      </w:r>
      <w:r>
        <w:rPr>
          <w:rFonts w:hint="eastAsia"/>
          <w:b/>
          <w:bCs/>
          <w:szCs w:val="21"/>
        </w:rPr>
        <w:t>泥饼浸出液监测</w:t>
      </w:r>
      <w:bookmarkEnd w:id="135"/>
      <w:r>
        <w:rPr>
          <w:rFonts w:hint="eastAsia"/>
          <w:b/>
          <w:bCs/>
          <w:szCs w:val="21"/>
        </w:rPr>
        <w:t>结果</w:t>
      </w:r>
    </w:p>
    <w:tbl>
      <w:tblPr>
        <w:tblStyle w:val="89"/>
        <w:tblW w:w="5052" w:type="pct"/>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108" w:type="dxa"/>
          <w:bottom w:w="0" w:type="dxa"/>
          <w:right w:w="108" w:type="dxa"/>
        </w:tblCellMar>
      </w:tblPr>
      <w:tblGrid>
        <w:gridCol w:w="2563"/>
        <w:gridCol w:w="1594"/>
        <w:gridCol w:w="4241"/>
      </w:tblGrid>
      <w:tr w14:paraId="7DA3C89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4" w:hRule="atLeast"/>
          <w:jc w:val="center"/>
        </w:trPr>
        <w:tc>
          <w:tcPr>
            <w:tcW w:w="1526" w:type="pct"/>
            <w:tcBorders>
              <w:top w:val="single" w:color="000000" w:sz="12" w:space="0"/>
              <w:bottom w:val="single" w:color="000000" w:sz="4" w:space="0"/>
              <w:tl2br w:val="nil"/>
            </w:tcBorders>
            <w:vAlign w:val="center"/>
          </w:tcPr>
          <w:p w14:paraId="66A7BD6D">
            <w:pPr>
              <w:spacing w:before="0" w:beforeLines="0" w:line="240" w:lineRule="auto"/>
              <w:ind w:left="717" w:hanging="717" w:hangingChars="340"/>
              <w:jc w:val="center"/>
              <w:rPr>
                <w:b/>
                <w:iCs/>
                <w:szCs w:val="21"/>
              </w:rPr>
            </w:pPr>
            <w:r>
              <w:rPr>
                <w:rFonts w:hint="eastAsia"/>
                <w:b/>
                <w:iCs/>
                <w:szCs w:val="21"/>
              </w:rPr>
              <w:t>检测项目</w:t>
            </w:r>
          </w:p>
        </w:tc>
        <w:tc>
          <w:tcPr>
            <w:tcW w:w="949" w:type="pct"/>
            <w:tcBorders>
              <w:tl2br w:val="nil"/>
              <w:tr2bl w:val="nil"/>
            </w:tcBorders>
            <w:vAlign w:val="center"/>
          </w:tcPr>
          <w:p w14:paraId="4C1AFEF3">
            <w:pPr>
              <w:spacing w:before="0" w:beforeLines="0" w:line="240" w:lineRule="auto"/>
              <w:jc w:val="center"/>
              <w:rPr>
                <w:b/>
                <w:szCs w:val="21"/>
              </w:rPr>
            </w:pPr>
            <w:r>
              <w:rPr>
                <w:rFonts w:hint="eastAsia"/>
                <w:b/>
                <w:szCs w:val="21"/>
              </w:rPr>
              <w:t>监测结果</w:t>
            </w:r>
          </w:p>
        </w:tc>
        <w:tc>
          <w:tcPr>
            <w:tcW w:w="2525" w:type="pct"/>
            <w:tcBorders>
              <w:tl2br w:val="nil"/>
              <w:tr2bl w:val="nil"/>
            </w:tcBorders>
            <w:vAlign w:val="center"/>
          </w:tcPr>
          <w:p w14:paraId="42B38FE3">
            <w:pPr>
              <w:spacing w:before="0" w:beforeLines="0" w:line="240" w:lineRule="auto"/>
              <w:jc w:val="center"/>
              <w:rPr>
                <w:b/>
                <w:szCs w:val="21"/>
              </w:rPr>
            </w:pPr>
            <w:r>
              <w:rPr>
                <w:rFonts w:hint="eastAsia"/>
                <w:b/>
                <w:szCs w:val="21"/>
              </w:rPr>
              <w:t>参考标准《污水综合排放标准》（</w:t>
            </w:r>
            <w:r>
              <w:rPr>
                <w:b/>
                <w:szCs w:val="21"/>
              </w:rPr>
              <w:t>GB8978-1996</w:t>
            </w:r>
            <w:r>
              <w:rPr>
                <w:rFonts w:hint="eastAsia"/>
                <w:b/>
                <w:szCs w:val="21"/>
              </w:rPr>
              <w:t>）污染物最高允许排放浓度</w:t>
            </w:r>
          </w:p>
        </w:tc>
      </w:tr>
      <w:tr w14:paraId="18B3CE5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4" w:hRule="atLeast"/>
          <w:jc w:val="center"/>
        </w:trPr>
        <w:tc>
          <w:tcPr>
            <w:tcW w:w="1526" w:type="pct"/>
            <w:tcBorders>
              <w:top w:val="single" w:color="000000" w:sz="4" w:space="0"/>
              <w:tl2br w:val="nil"/>
              <w:tr2bl w:val="nil"/>
            </w:tcBorders>
            <w:vAlign w:val="center"/>
          </w:tcPr>
          <w:p w14:paraId="0F53FE03">
            <w:pPr>
              <w:spacing w:before="0" w:beforeLines="0" w:line="240" w:lineRule="auto"/>
              <w:ind w:right="-99"/>
              <w:jc w:val="center"/>
              <w:rPr>
                <w:szCs w:val="21"/>
              </w:rPr>
            </w:pPr>
            <w:r>
              <w:rPr>
                <w:szCs w:val="21"/>
              </w:rPr>
              <w:t>pH</w:t>
            </w:r>
            <w:r>
              <w:rPr>
                <w:rFonts w:hint="eastAsia"/>
                <w:szCs w:val="21"/>
              </w:rPr>
              <w:t>值（无量纲）</w:t>
            </w:r>
          </w:p>
        </w:tc>
        <w:tc>
          <w:tcPr>
            <w:tcW w:w="949" w:type="pct"/>
            <w:tcBorders>
              <w:tl2br w:val="nil"/>
              <w:tr2bl w:val="nil"/>
            </w:tcBorders>
            <w:vAlign w:val="center"/>
          </w:tcPr>
          <w:p w14:paraId="24447DF3">
            <w:pPr>
              <w:spacing w:before="0" w:beforeLines="0" w:line="240" w:lineRule="auto"/>
              <w:jc w:val="center"/>
              <w:rPr>
                <w:bCs/>
                <w:szCs w:val="21"/>
              </w:rPr>
            </w:pPr>
            <w:r>
              <w:rPr>
                <w:bCs/>
                <w:szCs w:val="21"/>
              </w:rPr>
              <w:t>8.17</w:t>
            </w:r>
          </w:p>
        </w:tc>
        <w:tc>
          <w:tcPr>
            <w:tcW w:w="2525" w:type="pct"/>
            <w:tcBorders>
              <w:tl2br w:val="nil"/>
              <w:tr2bl w:val="nil"/>
            </w:tcBorders>
            <w:vAlign w:val="center"/>
          </w:tcPr>
          <w:p w14:paraId="72A0AA57">
            <w:pPr>
              <w:spacing w:before="0" w:beforeLines="0" w:line="240" w:lineRule="auto"/>
              <w:jc w:val="center"/>
              <w:rPr>
                <w:bCs/>
                <w:szCs w:val="21"/>
              </w:rPr>
            </w:pPr>
            <w:r>
              <w:rPr>
                <w:bCs/>
                <w:szCs w:val="21"/>
              </w:rPr>
              <w:t>6~9</w:t>
            </w:r>
          </w:p>
        </w:tc>
      </w:tr>
      <w:tr w14:paraId="5026E67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4" w:hRule="atLeast"/>
          <w:jc w:val="center"/>
        </w:trPr>
        <w:tc>
          <w:tcPr>
            <w:tcW w:w="1526" w:type="pct"/>
            <w:tcBorders>
              <w:tl2br w:val="nil"/>
              <w:tr2bl w:val="nil"/>
            </w:tcBorders>
            <w:vAlign w:val="center"/>
          </w:tcPr>
          <w:p w14:paraId="4500518D">
            <w:pPr>
              <w:spacing w:before="0" w:beforeLines="0" w:line="240" w:lineRule="auto"/>
              <w:jc w:val="center"/>
              <w:rPr>
                <w:szCs w:val="21"/>
              </w:rPr>
            </w:pPr>
            <w:r>
              <w:rPr>
                <w:rFonts w:hint="eastAsia"/>
                <w:szCs w:val="21"/>
              </w:rPr>
              <w:t>石油类（</w:t>
            </w:r>
            <w:r>
              <w:rPr>
                <w:szCs w:val="21"/>
              </w:rPr>
              <w:t>mg/L</w:t>
            </w:r>
            <w:r>
              <w:rPr>
                <w:rFonts w:hint="eastAsia"/>
                <w:szCs w:val="21"/>
              </w:rPr>
              <w:t>）</w:t>
            </w:r>
          </w:p>
        </w:tc>
        <w:tc>
          <w:tcPr>
            <w:tcW w:w="949" w:type="pct"/>
            <w:tcBorders>
              <w:tl2br w:val="nil"/>
              <w:tr2bl w:val="nil"/>
            </w:tcBorders>
            <w:vAlign w:val="center"/>
          </w:tcPr>
          <w:p w14:paraId="3845558E">
            <w:pPr>
              <w:spacing w:before="0" w:beforeLines="0" w:line="240" w:lineRule="auto"/>
              <w:jc w:val="center"/>
              <w:rPr>
                <w:bCs/>
                <w:szCs w:val="21"/>
              </w:rPr>
            </w:pPr>
            <w:r>
              <w:rPr>
                <w:bCs/>
                <w:szCs w:val="21"/>
              </w:rPr>
              <w:t>1.28</w:t>
            </w:r>
          </w:p>
        </w:tc>
        <w:tc>
          <w:tcPr>
            <w:tcW w:w="2525" w:type="pct"/>
            <w:tcBorders>
              <w:tl2br w:val="nil"/>
              <w:tr2bl w:val="nil"/>
            </w:tcBorders>
            <w:vAlign w:val="center"/>
          </w:tcPr>
          <w:p w14:paraId="56EFFF6D">
            <w:pPr>
              <w:spacing w:before="0" w:beforeLines="0" w:line="240" w:lineRule="auto"/>
              <w:jc w:val="center"/>
              <w:rPr>
                <w:bCs/>
                <w:szCs w:val="21"/>
              </w:rPr>
            </w:pPr>
            <w:r>
              <w:rPr>
                <w:bCs/>
                <w:szCs w:val="21"/>
              </w:rPr>
              <w:t>10</w:t>
            </w:r>
          </w:p>
        </w:tc>
      </w:tr>
      <w:tr w14:paraId="1E71CBA9">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4" w:hRule="atLeast"/>
          <w:jc w:val="center"/>
        </w:trPr>
        <w:tc>
          <w:tcPr>
            <w:tcW w:w="1526" w:type="pct"/>
            <w:tcBorders>
              <w:tl2br w:val="nil"/>
              <w:tr2bl w:val="nil"/>
            </w:tcBorders>
            <w:vAlign w:val="center"/>
          </w:tcPr>
          <w:p w14:paraId="7F6361D3">
            <w:pPr>
              <w:spacing w:before="0" w:beforeLines="0" w:line="240" w:lineRule="auto"/>
              <w:jc w:val="center"/>
              <w:rPr>
                <w:szCs w:val="21"/>
              </w:rPr>
            </w:pPr>
            <w:r>
              <w:rPr>
                <w:rFonts w:hint="eastAsia"/>
                <w:szCs w:val="21"/>
              </w:rPr>
              <w:t>六价铬（</w:t>
            </w:r>
            <w:r>
              <w:rPr>
                <w:szCs w:val="21"/>
              </w:rPr>
              <w:t>mg/L</w:t>
            </w:r>
            <w:r>
              <w:rPr>
                <w:rFonts w:hint="eastAsia"/>
                <w:szCs w:val="21"/>
              </w:rPr>
              <w:t>）</w:t>
            </w:r>
          </w:p>
        </w:tc>
        <w:tc>
          <w:tcPr>
            <w:tcW w:w="949" w:type="pct"/>
            <w:tcBorders>
              <w:tl2br w:val="nil"/>
              <w:tr2bl w:val="nil"/>
            </w:tcBorders>
            <w:vAlign w:val="center"/>
          </w:tcPr>
          <w:p w14:paraId="22ACE79F">
            <w:pPr>
              <w:spacing w:before="0" w:beforeLines="0" w:line="240" w:lineRule="auto"/>
              <w:jc w:val="center"/>
              <w:rPr>
                <w:bCs/>
                <w:szCs w:val="21"/>
              </w:rPr>
            </w:pPr>
            <w:r>
              <w:rPr>
                <w:szCs w:val="21"/>
              </w:rPr>
              <w:t>&lt;0.004</w:t>
            </w:r>
          </w:p>
        </w:tc>
        <w:tc>
          <w:tcPr>
            <w:tcW w:w="2525" w:type="pct"/>
            <w:tcBorders>
              <w:tl2br w:val="nil"/>
              <w:tr2bl w:val="nil"/>
            </w:tcBorders>
            <w:vAlign w:val="center"/>
          </w:tcPr>
          <w:p w14:paraId="5E3E7DED">
            <w:pPr>
              <w:spacing w:before="0" w:beforeLines="0" w:line="240" w:lineRule="auto"/>
              <w:jc w:val="center"/>
              <w:rPr>
                <w:szCs w:val="21"/>
              </w:rPr>
            </w:pPr>
            <w:r>
              <w:rPr>
                <w:szCs w:val="21"/>
              </w:rPr>
              <w:t>0.5</w:t>
            </w:r>
          </w:p>
        </w:tc>
      </w:tr>
      <w:tr w14:paraId="39D748F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4" w:hRule="atLeast"/>
          <w:jc w:val="center"/>
        </w:trPr>
        <w:tc>
          <w:tcPr>
            <w:tcW w:w="1526" w:type="pct"/>
            <w:tcBorders>
              <w:tl2br w:val="nil"/>
              <w:tr2bl w:val="nil"/>
            </w:tcBorders>
            <w:vAlign w:val="center"/>
          </w:tcPr>
          <w:p w14:paraId="0E9ECEB7">
            <w:pPr>
              <w:spacing w:before="0" w:beforeLines="0" w:line="240" w:lineRule="auto"/>
              <w:jc w:val="center"/>
              <w:rPr>
                <w:bCs/>
                <w:szCs w:val="21"/>
              </w:rPr>
            </w:pPr>
            <w:r>
              <w:rPr>
                <w:rFonts w:hint="eastAsia"/>
                <w:bCs/>
                <w:szCs w:val="21"/>
              </w:rPr>
              <w:t>汞（</w:t>
            </w:r>
            <w:r>
              <w:rPr>
                <w:szCs w:val="21"/>
              </w:rPr>
              <w:t>mg/L</w:t>
            </w:r>
            <w:r>
              <w:rPr>
                <w:rFonts w:hint="eastAsia"/>
                <w:bCs/>
                <w:szCs w:val="21"/>
              </w:rPr>
              <w:t>）</w:t>
            </w:r>
          </w:p>
        </w:tc>
        <w:tc>
          <w:tcPr>
            <w:tcW w:w="949" w:type="pct"/>
            <w:tcBorders>
              <w:tl2br w:val="nil"/>
              <w:tr2bl w:val="nil"/>
            </w:tcBorders>
            <w:vAlign w:val="center"/>
          </w:tcPr>
          <w:p w14:paraId="7D6CFE6B">
            <w:pPr>
              <w:spacing w:before="0" w:beforeLines="0" w:line="240" w:lineRule="auto"/>
              <w:jc w:val="center"/>
              <w:rPr>
                <w:bCs/>
                <w:szCs w:val="21"/>
              </w:rPr>
            </w:pPr>
            <w:r>
              <w:rPr>
                <w:szCs w:val="21"/>
              </w:rPr>
              <w:t>0.00032</w:t>
            </w:r>
          </w:p>
        </w:tc>
        <w:tc>
          <w:tcPr>
            <w:tcW w:w="2525" w:type="pct"/>
            <w:tcBorders>
              <w:tl2br w:val="nil"/>
              <w:tr2bl w:val="nil"/>
            </w:tcBorders>
            <w:vAlign w:val="center"/>
          </w:tcPr>
          <w:p w14:paraId="59695B10">
            <w:pPr>
              <w:spacing w:before="0" w:beforeLines="0" w:line="240" w:lineRule="auto"/>
              <w:jc w:val="center"/>
              <w:rPr>
                <w:bCs/>
                <w:szCs w:val="21"/>
              </w:rPr>
            </w:pPr>
            <w:r>
              <w:rPr>
                <w:bCs/>
                <w:szCs w:val="21"/>
              </w:rPr>
              <w:t>0.05</w:t>
            </w:r>
          </w:p>
        </w:tc>
      </w:tr>
      <w:tr w14:paraId="5260C5F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4" w:hRule="atLeast"/>
          <w:jc w:val="center"/>
        </w:trPr>
        <w:tc>
          <w:tcPr>
            <w:tcW w:w="1526" w:type="pct"/>
            <w:tcBorders>
              <w:tl2br w:val="nil"/>
              <w:tr2bl w:val="nil"/>
            </w:tcBorders>
            <w:vAlign w:val="center"/>
          </w:tcPr>
          <w:p w14:paraId="1316B82C">
            <w:pPr>
              <w:spacing w:before="0" w:beforeLines="0" w:line="240" w:lineRule="auto"/>
              <w:jc w:val="center"/>
              <w:rPr>
                <w:bCs/>
                <w:szCs w:val="21"/>
              </w:rPr>
            </w:pPr>
            <w:r>
              <w:rPr>
                <w:rFonts w:hint="eastAsia"/>
                <w:szCs w:val="21"/>
              </w:rPr>
              <w:t>砷</w:t>
            </w:r>
            <w:r>
              <w:rPr>
                <w:rFonts w:hint="eastAsia"/>
                <w:bCs/>
                <w:szCs w:val="21"/>
              </w:rPr>
              <w:t>（</w:t>
            </w:r>
            <w:r>
              <w:rPr>
                <w:szCs w:val="21"/>
              </w:rPr>
              <w:t>mg/L</w:t>
            </w:r>
            <w:r>
              <w:rPr>
                <w:rFonts w:hint="eastAsia"/>
                <w:bCs/>
                <w:szCs w:val="21"/>
              </w:rPr>
              <w:t>）</w:t>
            </w:r>
          </w:p>
        </w:tc>
        <w:tc>
          <w:tcPr>
            <w:tcW w:w="949" w:type="pct"/>
            <w:tcBorders>
              <w:tl2br w:val="nil"/>
              <w:tr2bl w:val="nil"/>
            </w:tcBorders>
            <w:vAlign w:val="center"/>
          </w:tcPr>
          <w:p w14:paraId="69A4294D">
            <w:pPr>
              <w:spacing w:before="0" w:beforeLines="0" w:line="240" w:lineRule="auto"/>
              <w:jc w:val="center"/>
              <w:rPr>
                <w:bCs/>
                <w:szCs w:val="21"/>
              </w:rPr>
            </w:pPr>
            <w:r>
              <w:rPr>
                <w:szCs w:val="21"/>
              </w:rPr>
              <w:t>&lt;0.0003</w:t>
            </w:r>
          </w:p>
        </w:tc>
        <w:tc>
          <w:tcPr>
            <w:tcW w:w="2525" w:type="pct"/>
            <w:tcBorders>
              <w:tl2br w:val="nil"/>
              <w:tr2bl w:val="nil"/>
            </w:tcBorders>
            <w:vAlign w:val="center"/>
          </w:tcPr>
          <w:p w14:paraId="59D16D73">
            <w:pPr>
              <w:spacing w:before="0" w:beforeLines="0" w:line="240" w:lineRule="auto"/>
              <w:jc w:val="center"/>
              <w:rPr>
                <w:bCs/>
                <w:szCs w:val="21"/>
              </w:rPr>
            </w:pPr>
            <w:r>
              <w:rPr>
                <w:bCs/>
                <w:szCs w:val="21"/>
              </w:rPr>
              <w:t>0.5</w:t>
            </w:r>
          </w:p>
        </w:tc>
      </w:tr>
      <w:tr w14:paraId="4E4AEAD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4" w:hRule="atLeast"/>
          <w:jc w:val="center"/>
        </w:trPr>
        <w:tc>
          <w:tcPr>
            <w:tcW w:w="1526" w:type="pct"/>
            <w:tcBorders>
              <w:tl2br w:val="nil"/>
              <w:tr2bl w:val="nil"/>
            </w:tcBorders>
            <w:vAlign w:val="center"/>
          </w:tcPr>
          <w:p w14:paraId="65988CB8">
            <w:pPr>
              <w:spacing w:before="0" w:beforeLines="0" w:line="240" w:lineRule="auto"/>
              <w:jc w:val="center"/>
              <w:rPr>
                <w:szCs w:val="21"/>
              </w:rPr>
            </w:pPr>
            <w:r>
              <w:rPr>
                <w:rFonts w:hint="eastAsia"/>
                <w:szCs w:val="21"/>
              </w:rPr>
              <w:t>铍（</w:t>
            </w:r>
            <w:r>
              <w:rPr>
                <w:szCs w:val="21"/>
              </w:rPr>
              <w:t>mg/L</w:t>
            </w:r>
            <w:r>
              <w:rPr>
                <w:rFonts w:hint="eastAsia"/>
                <w:szCs w:val="21"/>
              </w:rPr>
              <w:t>）</w:t>
            </w:r>
          </w:p>
        </w:tc>
        <w:tc>
          <w:tcPr>
            <w:tcW w:w="949" w:type="pct"/>
            <w:tcBorders>
              <w:tl2br w:val="nil"/>
              <w:tr2bl w:val="nil"/>
            </w:tcBorders>
            <w:vAlign w:val="center"/>
          </w:tcPr>
          <w:p w14:paraId="285B5AD1">
            <w:pPr>
              <w:spacing w:before="0" w:beforeLines="0" w:line="240" w:lineRule="auto"/>
              <w:jc w:val="center"/>
              <w:rPr>
                <w:szCs w:val="21"/>
              </w:rPr>
            </w:pPr>
            <w:r>
              <w:rPr>
                <w:szCs w:val="21"/>
              </w:rPr>
              <w:t>0.00382</w:t>
            </w:r>
          </w:p>
        </w:tc>
        <w:tc>
          <w:tcPr>
            <w:tcW w:w="2525" w:type="pct"/>
            <w:tcBorders>
              <w:tl2br w:val="nil"/>
              <w:tr2bl w:val="nil"/>
            </w:tcBorders>
            <w:vAlign w:val="center"/>
          </w:tcPr>
          <w:p w14:paraId="53B7D3F3">
            <w:pPr>
              <w:spacing w:before="0" w:beforeLines="0" w:line="240" w:lineRule="auto"/>
              <w:jc w:val="center"/>
              <w:rPr>
                <w:szCs w:val="21"/>
              </w:rPr>
            </w:pPr>
            <w:r>
              <w:rPr>
                <w:szCs w:val="21"/>
              </w:rPr>
              <w:t>0.005</w:t>
            </w:r>
          </w:p>
        </w:tc>
      </w:tr>
      <w:tr w14:paraId="5853F6B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4" w:hRule="atLeast"/>
          <w:jc w:val="center"/>
        </w:trPr>
        <w:tc>
          <w:tcPr>
            <w:tcW w:w="1526" w:type="pct"/>
            <w:tcBorders>
              <w:tl2br w:val="nil"/>
              <w:tr2bl w:val="nil"/>
            </w:tcBorders>
            <w:vAlign w:val="center"/>
          </w:tcPr>
          <w:p w14:paraId="2B1F3017">
            <w:pPr>
              <w:spacing w:before="0" w:beforeLines="0" w:line="240" w:lineRule="auto"/>
              <w:jc w:val="center"/>
              <w:rPr>
                <w:szCs w:val="21"/>
              </w:rPr>
            </w:pPr>
            <w:r>
              <w:rPr>
                <w:rFonts w:hint="eastAsia"/>
                <w:szCs w:val="21"/>
              </w:rPr>
              <w:t>镍（</w:t>
            </w:r>
            <w:r>
              <w:rPr>
                <w:szCs w:val="21"/>
              </w:rPr>
              <w:t>mg/L</w:t>
            </w:r>
            <w:r>
              <w:rPr>
                <w:rFonts w:hint="eastAsia"/>
                <w:szCs w:val="21"/>
              </w:rPr>
              <w:t>）</w:t>
            </w:r>
          </w:p>
        </w:tc>
        <w:tc>
          <w:tcPr>
            <w:tcW w:w="949" w:type="pct"/>
            <w:tcBorders>
              <w:tl2br w:val="nil"/>
              <w:tr2bl w:val="nil"/>
            </w:tcBorders>
            <w:vAlign w:val="center"/>
          </w:tcPr>
          <w:p w14:paraId="6684A5DD">
            <w:pPr>
              <w:spacing w:before="0" w:beforeLines="0" w:line="240" w:lineRule="auto"/>
              <w:jc w:val="center"/>
              <w:rPr>
                <w:szCs w:val="21"/>
              </w:rPr>
            </w:pPr>
            <w:r>
              <w:rPr>
                <w:szCs w:val="21"/>
              </w:rPr>
              <w:t>&lt;0.05</w:t>
            </w:r>
          </w:p>
        </w:tc>
        <w:tc>
          <w:tcPr>
            <w:tcW w:w="2525" w:type="pct"/>
            <w:tcBorders>
              <w:tl2br w:val="nil"/>
              <w:tr2bl w:val="nil"/>
            </w:tcBorders>
            <w:vAlign w:val="center"/>
          </w:tcPr>
          <w:p w14:paraId="09DC0261">
            <w:pPr>
              <w:spacing w:before="0" w:beforeLines="0" w:line="240" w:lineRule="auto"/>
              <w:jc w:val="center"/>
              <w:rPr>
                <w:szCs w:val="21"/>
              </w:rPr>
            </w:pPr>
            <w:r>
              <w:rPr>
                <w:szCs w:val="21"/>
              </w:rPr>
              <w:t>1.0</w:t>
            </w:r>
          </w:p>
        </w:tc>
      </w:tr>
      <w:tr w14:paraId="5F845B19">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4" w:hRule="atLeast"/>
          <w:jc w:val="center"/>
        </w:trPr>
        <w:tc>
          <w:tcPr>
            <w:tcW w:w="1526" w:type="pct"/>
            <w:tcBorders>
              <w:tl2br w:val="nil"/>
              <w:tr2bl w:val="nil"/>
            </w:tcBorders>
            <w:vAlign w:val="center"/>
          </w:tcPr>
          <w:p w14:paraId="282C9C27">
            <w:pPr>
              <w:spacing w:before="0" w:beforeLines="0" w:line="240" w:lineRule="auto"/>
              <w:jc w:val="center"/>
              <w:rPr>
                <w:szCs w:val="21"/>
              </w:rPr>
            </w:pPr>
            <w:r>
              <w:rPr>
                <w:rFonts w:hint="eastAsia"/>
                <w:szCs w:val="21"/>
              </w:rPr>
              <w:t>铬（</w:t>
            </w:r>
            <w:r>
              <w:rPr>
                <w:szCs w:val="21"/>
              </w:rPr>
              <w:t>mg/L</w:t>
            </w:r>
            <w:r>
              <w:rPr>
                <w:rFonts w:hint="eastAsia"/>
                <w:szCs w:val="21"/>
              </w:rPr>
              <w:t>）</w:t>
            </w:r>
          </w:p>
        </w:tc>
        <w:tc>
          <w:tcPr>
            <w:tcW w:w="949" w:type="pct"/>
            <w:tcBorders>
              <w:tl2br w:val="nil"/>
              <w:tr2bl w:val="nil"/>
            </w:tcBorders>
            <w:vAlign w:val="center"/>
          </w:tcPr>
          <w:p w14:paraId="526F5D8E">
            <w:pPr>
              <w:spacing w:before="0" w:beforeLines="0" w:line="240" w:lineRule="auto"/>
              <w:jc w:val="center"/>
              <w:rPr>
                <w:szCs w:val="21"/>
              </w:rPr>
            </w:pPr>
            <w:r>
              <w:rPr>
                <w:szCs w:val="21"/>
              </w:rPr>
              <w:t>&lt;0.03</w:t>
            </w:r>
          </w:p>
        </w:tc>
        <w:tc>
          <w:tcPr>
            <w:tcW w:w="2525" w:type="pct"/>
            <w:tcBorders>
              <w:tl2br w:val="nil"/>
              <w:tr2bl w:val="nil"/>
            </w:tcBorders>
            <w:vAlign w:val="center"/>
          </w:tcPr>
          <w:p w14:paraId="1565052D">
            <w:pPr>
              <w:spacing w:before="0" w:beforeLines="0" w:line="240" w:lineRule="auto"/>
              <w:jc w:val="center"/>
              <w:rPr>
                <w:szCs w:val="21"/>
              </w:rPr>
            </w:pPr>
            <w:r>
              <w:rPr>
                <w:szCs w:val="21"/>
              </w:rPr>
              <w:t>1.5</w:t>
            </w:r>
          </w:p>
        </w:tc>
      </w:tr>
      <w:tr w14:paraId="41A5356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4" w:hRule="atLeast"/>
          <w:jc w:val="center"/>
        </w:trPr>
        <w:tc>
          <w:tcPr>
            <w:tcW w:w="1526" w:type="pct"/>
            <w:tcBorders>
              <w:tl2br w:val="nil"/>
              <w:tr2bl w:val="nil"/>
            </w:tcBorders>
            <w:vAlign w:val="center"/>
          </w:tcPr>
          <w:p w14:paraId="73A7C06B">
            <w:pPr>
              <w:spacing w:before="0" w:beforeLines="0" w:line="240" w:lineRule="auto"/>
              <w:jc w:val="center"/>
              <w:rPr>
                <w:szCs w:val="21"/>
              </w:rPr>
            </w:pPr>
            <w:r>
              <w:rPr>
                <w:rFonts w:hint="eastAsia"/>
                <w:szCs w:val="21"/>
              </w:rPr>
              <w:t>铅（</w:t>
            </w:r>
            <w:r>
              <w:rPr>
                <w:szCs w:val="21"/>
              </w:rPr>
              <w:t>mg/L</w:t>
            </w:r>
            <w:r>
              <w:rPr>
                <w:rFonts w:hint="eastAsia"/>
                <w:szCs w:val="21"/>
              </w:rPr>
              <w:t>）</w:t>
            </w:r>
          </w:p>
        </w:tc>
        <w:tc>
          <w:tcPr>
            <w:tcW w:w="949" w:type="pct"/>
            <w:tcBorders>
              <w:tl2br w:val="nil"/>
              <w:tr2bl w:val="nil"/>
            </w:tcBorders>
            <w:vAlign w:val="center"/>
          </w:tcPr>
          <w:p w14:paraId="058DD01F">
            <w:pPr>
              <w:spacing w:before="0" w:beforeLines="0" w:line="240" w:lineRule="auto"/>
              <w:jc w:val="center"/>
              <w:rPr>
                <w:szCs w:val="21"/>
              </w:rPr>
            </w:pPr>
            <w:r>
              <w:rPr>
                <w:szCs w:val="21"/>
              </w:rPr>
              <w:t>&lt;0.01</w:t>
            </w:r>
          </w:p>
        </w:tc>
        <w:tc>
          <w:tcPr>
            <w:tcW w:w="2525" w:type="pct"/>
            <w:tcBorders>
              <w:tl2br w:val="nil"/>
              <w:tr2bl w:val="nil"/>
            </w:tcBorders>
            <w:vAlign w:val="center"/>
          </w:tcPr>
          <w:p w14:paraId="2C75E37E">
            <w:pPr>
              <w:spacing w:before="0" w:beforeLines="0" w:line="240" w:lineRule="auto"/>
              <w:jc w:val="center"/>
              <w:rPr>
                <w:szCs w:val="21"/>
              </w:rPr>
            </w:pPr>
            <w:r>
              <w:rPr>
                <w:szCs w:val="21"/>
              </w:rPr>
              <w:t>1.0</w:t>
            </w:r>
          </w:p>
        </w:tc>
      </w:tr>
      <w:tr w14:paraId="7EF4AC4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4" w:hRule="atLeast"/>
          <w:jc w:val="center"/>
        </w:trPr>
        <w:tc>
          <w:tcPr>
            <w:tcW w:w="1526" w:type="pct"/>
            <w:tcBorders>
              <w:tl2br w:val="nil"/>
              <w:tr2bl w:val="nil"/>
            </w:tcBorders>
            <w:vAlign w:val="center"/>
          </w:tcPr>
          <w:p w14:paraId="79FDDDEB">
            <w:pPr>
              <w:spacing w:before="0" w:beforeLines="0" w:line="240" w:lineRule="auto"/>
              <w:jc w:val="center"/>
              <w:rPr>
                <w:szCs w:val="21"/>
              </w:rPr>
            </w:pPr>
            <w:r>
              <w:rPr>
                <w:rFonts w:hint="eastAsia"/>
                <w:szCs w:val="21"/>
              </w:rPr>
              <w:t>镉（</w:t>
            </w:r>
            <w:r>
              <w:rPr>
                <w:szCs w:val="21"/>
              </w:rPr>
              <w:t>mg/L</w:t>
            </w:r>
            <w:r>
              <w:rPr>
                <w:rFonts w:hint="eastAsia"/>
                <w:szCs w:val="21"/>
              </w:rPr>
              <w:t>）</w:t>
            </w:r>
          </w:p>
        </w:tc>
        <w:tc>
          <w:tcPr>
            <w:tcW w:w="949" w:type="pct"/>
            <w:tcBorders>
              <w:tl2br w:val="nil"/>
              <w:tr2bl w:val="nil"/>
            </w:tcBorders>
            <w:vAlign w:val="center"/>
          </w:tcPr>
          <w:p w14:paraId="1B37811A">
            <w:pPr>
              <w:spacing w:before="0" w:beforeLines="0" w:line="240" w:lineRule="auto"/>
              <w:jc w:val="center"/>
              <w:rPr>
                <w:szCs w:val="21"/>
              </w:rPr>
            </w:pPr>
            <w:r>
              <w:rPr>
                <w:szCs w:val="21"/>
              </w:rPr>
              <w:t>&lt;0.001</w:t>
            </w:r>
          </w:p>
        </w:tc>
        <w:tc>
          <w:tcPr>
            <w:tcW w:w="2525" w:type="pct"/>
            <w:tcBorders>
              <w:tl2br w:val="nil"/>
              <w:tr2bl w:val="nil"/>
            </w:tcBorders>
            <w:vAlign w:val="center"/>
          </w:tcPr>
          <w:p w14:paraId="3B607852">
            <w:pPr>
              <w:spacing w:before="0" w:beforeLines="0" w:line="240" w:lineRule="auto"/>
              <w:jc w:val="center"/>
              <w:rPr>
                <w:szCs w:val="21"/>
              </w:rPr>
            </w:pPr>
            <w:r>
              <w:rPr>
                <w:szCs w:val="21"/>
              </w:rPr>
              <w:t>0.1</w:t>
            </w:r>
          </w:p>
        </w:tc>
      </w:tr>
      <w:tr w14:paraId="39B9376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4" w:hRule="atLeast"/>
          <w:jc w:val="center"/>
        </w:trPr>
        <w:tc>
          <w:tcPr>
            <w:tcW w:w="1526" w:type="pct"/>
            <w:tcBorders>
              <w:tl2br w:val="nil"/>
              <w:tr2bl w:val="nil"/>
            </w:tcBorders>
            <w:vAlign w:val="center"/>
          </w:tcPr>
          <w:p w14:paraId="0B819BAD">
            <w:pPr>
              <w:spacing w:before="0" w:beforeLines="0" w:line="240" w:lineRule="auto"/>
              <w:jc w:val="center"/>
              <w:rPr>
                <w:szCs w:val="21"/>
              </w:rPr>
            </w:pPr>
            <w:r>
              <w:rPr>
                <w:rFonts w:hint="eastAsia"/>
                <w:szCs w:val="21"/>
              </w:rPr>
              <w:t>银（</w:t>
            </w:r>
            <w:r>
              <w:rPr>
                <w:szCs w:val="21"/>
              </w:rPr>
              <w:t>mg/L</w:t>
            </w:r>
            <w:r>
              <w:rPr>
                <w:rFonts w:hint="eastAsia"/>
                <w:szCs w:val="21"/>
              </w:rPr>
              <w:t>）</w:t>
            </w:r>
          </w:p>
        </w:tc>
        <w:tc>
          <w:tcPr>
            <w:tcW w:w="949" w:type="pct"/>
            <w:tcBorders>
              <w:tl2br w:val="nil"/>
              <w:tr2bl w:val="nil"/>
            </w:tcBorders>
            <w:vAlign w:val="center"/>
          </w:tcPr>
          <w:p w14:paraId="063DEFC7">
            <w:pPr>
              <w:spacing w:before="0" w:beforeLines="0" w:line="240" w:lineRule="auto"/>
              <w:jc w:val="center"/>
              <w:rPr>
                <w:szCs w:val="21"/>
              </w:rPr>
            </w:pPr>
            <w:r>
              <w:rPr>
                <w:szCs w:val="21"/>
              </w:rPr>
              <w:t xml:space="preserve">&lt;0.03 </w:t>
            </w:r>
          </w:p>
        </w:tc>
        <w:tc>
          <w:tcPr>
            <w:tcW w:w="2525" w:type="pct"/>
            <w:tcBorders>
              <w:tl2br w:val="nil"/>
              <w:tr2bl w:val="nil"/>
            </w:tcBorders>
            <w:vAlign w:val="center"/>
          </w:tcPr>
          <w:p w14:paraId="1124540D">
            <w:pPr>
              <w:spacing w:before="0" w:beforeLines="0" w:line="240" w:lineRule="auto"/>
              <w:jc w:val="center"/>
              <w:rPr>
                <w:szCs w:val="21"/>
              </w:rPr>
            </w:pPr>
            <w:r>
              <w:rPr>
                <w:szCs w:val="21"/>
              </w:rPr>
              <w:t>0.5</w:t>
            </w:r>
          </w:p>
        </w:tc>
      </w:tr>
      <w:tr w14:paraId="76EE584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4" w:hRule="atLeast"/>
          <w:jc w:val="center"/>
        </w:trPr>
        <w:tc>
          <w:tcPr>
            <w:tcW w:w="1526" w:type="pct"/>
            <w:tcBorders>
              <w:tl2br w:val="nil"/>
              <w:tr2bl w:val="nil"/>
            </w:tcBorders>
            <w:vAlign w:val="center"/>
          </w:tcPr>
          <w:p w14:paraId="118EA171">
            <w:pPr>
              <w:spacing w:before="0" w:beforeLines="0" w:line="240" w:lineRule="auto"/>
              <w:jc w:val="center"/>
              <w:rPr>
                <w:szCs w:val="21"/>
              </w:rPr>
            </w:pPr>
            <w:r>
              <w:rPr>
                <w:rFonts w:hint="eastAsia"/>
                <w:szCs w:val="21"/>
              </w:rPr>
              <w:t>硫化物（</w:t>
            </w:r>
            <w:r>
              <w:rPr>
                <w:szCs w:val="21"/>
              </w:rPr>
              <w:t>mg/L</w:t>
            </w:r>
            <w:r>
              <w:rPr>
                <w:rFonts w:hint="eastAsia"/>
                <w:szCs w:val="21"/>
              </w:rPr>
              <w:t>）</w:t>
            </w:r>
          </w:p>
        </w:tc>
        <w:tc>
          <w:tcPr>
            <w:tcW w:w="949" w:type="pct"/>
            <w:tcBorders>
              <w:tl2br w:val="nil"/>
              <w:tr2bl w:val="nil"/>
            </w:tcBorders>
            <w:vAlign w:val="center"/>
          </w:tcPr>
          <w:p w14:paraId="27D422AD">
            <w:pPr>
              <w:spacing w:before="0" w:beforeLines="0" w:line="240" w:lineRule="auto"/>
              <w:jc w:val="center"/>
              <w:rPr>
                <w:bCs/>
                <w:szCs w:val="21"/>
              </w:rPr>
            </w:pPr>
            <w:r>
              <w:rPr>
                <w:bCs/>
                <w:szCs w:val="21"/>
              </w:rPr>
              <w:t>&lt;0.01</w:t>
            </w:r>
          </w:p>
        </w:tc>
        <w:tc>
          <w:tcPr>
            <w:tcW w:w="2525" w:type="pct"/>
            <w:tcBorders>
              <w:tl2br w:val="nil"/>
              <w:tr2bl w:val="nil"/>
            </w:tcBorders>
            <w:vAlign w:val="center"/>
          </w:tcPr>
          <w:p w14:paraId="10430A49">
            <w:pPr>
              <w:spacing w:before="0" w:beforeLines="0" w:line="240" w:lineRule="auto"/>
              <w:jc w:val="center"/>
              <w:rPr>
                <w:bCs/>
                <w:szCs w:val="21"/>
              </w:rPr>
            </w:pPr>
            <w:r>
              <w:rPr>
                <w:bCs/>
                <w:szCs w:val="21"/>
              </w:rPr>
              <w:t>1.0</w:t>
            </w:r>
          </w:p>
        </w:tc>
      </w:tr>
    </w:tbl>
    <w:p w14:paraId="30BD79C1">
      <w:pPr>
        <w:snapToGrid w:val="0"/>
        <w:spacing w:before="0" w:beforeLines="0" w:line="360" w:lineRule="auto"/>
        <w:ind w:firstLine="480" w:firstLineChars="200"/>
        <w:rPr>
          <w:sz w:val="24"/>
        </w:rPr>
      </w:pPr>
      <w:bookmarkStart w:id="136" w:name="OLE_LINK61"/>
      <w:r>
        <w:rPr>
          <w:rFonts w:hint="eastAsia"/>
          <w:sz w:val="24"/>
        </w:rPr>
        <w:t>泥饼</w:t>
      </w:r>
      <w:r>
        <w:rPr>
          <w:sz w:val="24"/>
        </w:rPr>
        <w:t>浸出试验结果表明，浸出液中任何一种污染物的浓度均未超过《污水综合排放标准》（GB8978-1996）第一类污染物最高允许排放浓度以及第二类污染物一级标准限值要求，且pH在6~9之间。根据《一般工业固体废物贮存和填埋污染控制标准》（GB18599-2020）中相关要求，本项目</w:t>
      </w:r>
      <w:r>
        <w:rPr>
          <w:rFonts w:hint="eastAsia"/>
          <w:sz w:val="24"/>
        </w:rPr>
        <w:t>泥饼</w:t>
      </w:r>
      <w:r>
        <w:rPr>
          <w:sz w:val="24"/>
        </w:rPr>
        <w:t xml:space="preserve">为第Ⅰ类一般工业固体废物。 </w:t>
      </w:r>
    </w:p>
    <w:p w14:paraId="6FF4B28F">
      <w:pPr>
        <w:snapToGrid w:val="0"/>
        <w:spacing w:before="0" w:beforeLines="0" w:line="360" w:lineRule="auto"/>
        <w:ind w:firstLine="480" w:firstLineChars="200"/>
        <w:rPr>
          <w:sz w:val="24"/>
        </w:rPr>
      </w:pPr>
      <w:r>
        <w:rPr>
          <w:sz w:val="24"/>
        </w:rPr>
        <w:t>根据《一般工业固体废物贮存和填埋污染控制标准》（GB18599-2020）中第Ⅰ类工业固体废物充填及回填利用污染控制要求：</w:t>
      </w:r>
      <w:r>
        <w:rPr>
          <w:rFonts w:hint="eastAsia"/>
          <w:sz w:val="24"/>
        </w:rPr>
        <w:t>尾矿、矿山废石等</w:t>
      </w:r>
      <w:r>
        <w:rPr>
          <w:sz w:val="24"/>
        </w:rPr>
        <w:t>可在原矿开采区的矿井、矿坑等采空区中充填或回填。因此，本项目运营期</w:t>
      </w:r>
      <w:r>
        <w:rPr>
          <w:rFonts w:hint="eastAsia"/>
          <w:sz w:val="24"/>
        </w:rPr>
        <w:t>泥饼</w:t>
      </w:r>
      <w:r>
        <w:rPr>
          <w:sz w:val="24"/>
        </w:rPr>
        <w:t>可全部</w:t>
      </w:r>
      <w:r>
        <w:rPr>
          <w:rFonts w:hint="eastAsia"/>
          <w:sz w:val="24"/>
        </w:rPr>
        <w:t>回填</w:t>
      </w:r>
      <w:r>
        <w:rPr>
          <w:kern w:val="0"/>
          <w:sz w:val="24"/>
        </w:rPr>
        <w:t>至现有露天采坑</w:t>
      </w:r>
      <w:r>
        <w:rPr>
          <w:rFonts w:hint="eastAsia"/>
          <w:kern w:val="0"/>
          <w:sz w:val="24"/>
        </w:rPr>
        <w:t>作为采坑生态恢复充填综合利用，从工程及环境方面均是可行的</w:t>
      </w:r>
      <w:r>
        <w:rPr>
          <w:sz w:val="24"/>
        </w:rPr>
        <w:t>。</w:t>
      </w:r>
    </w:p>
    <w:bookmarkEnd w:id="134"/>
    <w:bookmarkEnd w:id="136"/>
    <w:p w14:paraId="197302CD">
      <w:pPr>
        <w:pStyle w:val="54"/>
        <w:snapToGrid w:val="0"/>
        <w:spacing w:line="360" w:lineRule="auto"/>
        <w:ind w:firstLine="480" w:firstLineChars="200"/>
        <w:rPr>
          <w:rFonts w:ascii="Times New Roman" w:hAnsi="Times New Roman" w:cs="Times New Roman"/>
          <w:lang w:val="en-US" w:bidi="ar-SA"/>
        </w:rPr>
      </w:pPr>
      <w:r>
        <w:rPr>
          <w:rFonts w:hint="eastAsia" w:ascii="Times New Roman" w:hAnsi="Times New Roman" w:cs="Times New Roman"/>
          <w:lang w:val="en-US" w:bidi="ar-SA"/>
        </w:rPr>
        <w:t>（2）</w:t>
      </w:r>
      <w:r>
        <w:rPr>
          <w:rFonts w:ascii="Times New Roman" w:hAnsi="Times New Roman" w:cs="Times New Roman"/>
          <w:lang w:val="en-US" w:bidi="ar-SA"/>
        </w:rPr>
        <w:t>除尘灰</w:t>
      </w:r>
      <w:r>
        <w:rPr>
          <w:rFonts w:hint="eastAsia" w:ascii="Times New Roman" w:hAnsi="Times New Roman" w:cs="Times New Roman"/>
          <w:lang w:val="en-US" w:bidi="ar-SA"/>
        </w:rPr>
        <w:t>和落地灰</w:t>
      </w:r>
    </w:p>
    <w:p w14:paraId="10CA8F5B">
      <w:pPr>
        <w:snapToGrid w:val="0"/>
        <w:spacing w:before="0" w:beforeLines="0" w:line="360" w:lineRule="auto"/>
        <w:ind w:firstLine="480" w:firstLineChars="200"/>
        <w:jc w:val="left"/>
        <w:rPr>
          <w:kern w:val="0"/>
          <w:sz w:val="24"/>
        </w:rPr>
      </w:pPr>
      <w:r>
        <w:rPr>
          <w:kern w:val="0"/>
          <w:sz w:val="24"/>
        </w:rPr>
        <w:t>经计算，本项目除尘灰的产生量共计为</w:t>
      </w:r>
      <w:r>
        <w:rPr>
          <w:rFonts w:hint="eastAsia"/>
          <w:kern w:val="0"/>
          <w:sz w:val="24"/>
        </w:rPr>
        <w:t>3337.11</w:t>
      </w:r>
      <w:r>
        <w:rPr>
          <w:kern w:val="0"/>
          <w:sz w:val="24"/>
        </w:rPr>
        <w:t>t/a</w:t>
      </w:r>
      <w:r>
        <w:rPr>
          <w:rFonts w:hint="eastAsia"/>
          <w:kern w:val="24"/>
          <w:sz w:val="24"/>
        </w:rPr>
        <w:t>。</w:t>
      </w:r>
      <w:r>
        <w:rPr>
          <w:kern w:val="0"/>
          <w:sz w:val="24"/>
        </w:rPr>
        <w:t>落地灰</w:t>
      </w:r>
      <w:r>
        <w:rPr>
          <w:rFonts w:hint="eastAsia"/>
          <w:kern w:val="0"/>
          <w:sz w:val="24"/>
        </w:rPr>
        <w:t>为</w:t>
      </w:r>
      <w:r>
        <w:rPr>
          <w:kern w:val="0"/>
          <w:sz w:val="24"/>
        </w:rPr>
        <w:t>各车间未被收集的粉尘通过车间</w:t>
      </w:r>
      <w:r>
        <w:rPr>
          <w:rFonts w:hint="eastAsia"/>
          <w:kern w:val="0"/>
          <w:sz w:val="24"/>
        </w:rPr>
        <w:t>封</w:t>
      </w:r>
      <w:r>
        <w:rPr>
          <w:kern w:val="0"/>
          <w:sz w:val="24"/>
        </w:rPr>
        <w:t>闭拦截等措施收集的灰尘，落地灰的产生量为</w:t>
      </w:r>
      <w:r>
        <w:rPr>
          <w:rFonts w:hint="eastAsia"/>
          <w:kern w:val="0"/>
          <w:sz w:val="24"/>
        </w:rPr>
        <w:t>353.65</w:t>
      </w:r>
      <w:r>
        <w:rPr>
          <w:kern w:val="0"/>
          <w:sz w:val="24"/>
        </w:rPr>
        <w:t>t/a</w:t>
      </w:r>
      <w:r>
        <w:rPr>
          <w:rFonts w:hint="eastAsia"/>
          <w:kern w:val="0"/>
          <w:sz w:val="24"/>
        </w:rPr>
        <w:t>。</w:t>
      </w:r>
    </w:p>
    <w:p w14:paraId="302B20B6">
      <w:pPr>
        <w:snapToGrid w:val="0"/>
        <w:spacing w:before="0" w:beforeLines="0" w:line="360" w:lineRule="auto"/>
        <w:ind w:firstLine="480" w:firstLineChars="200"/>
        <w:jc w:val="left"/>
        <w:rPr>
          <w:kern w:val="0"/>
          <w:sz w:val="24"/>
        </w:rPr>
      </w:pPr>
      <w:r>
        <w:rPr>
          <w:kern w:val="0"/>
          <w:sz w:val="24"/>
        </w:rPr>
        <w:t>项目投产后公司委托第三方检测单位对除尘灰和落地灰进行浸出试验，鉴定结果属于</w:t>
      </w:r>
      <w:bookmarkStart w:id="137" w:name="OLE_LINK62"/>
      <w:r>
        <w:rPr>
          <w:kern w:val="0"/>
          <w:sz w:val="24"/>
        </w:rPr>
        <w:t>Ⅰ类一般工业固体废物与泥饼一同</w:t>
      </w:r>
      <w:r>
        <w:rPr>
          <w:rFonts w:hint="eastAsia"/>
          <w:kern w:val="0"/>
          <w:sz w:val="24"/>
        </w:rPr>
        <w:t>直接</w:t>
      </w:r>
      <w:r>
        <w:rPr>
          <w:kern w:val="0"/>
          <w:sz w:val="24"/>
        </w:rPr>
        <w:t>由辽宁鑫岳矿业负责回填采坑；属于II类一般工业固体废物</w:t>
      </w:r>
      <w:bookmarkEnd w:id="137"/>
      <w:r>
        <w:rPr>
          <w:rFonts w:hint="eastAsia"/>
          <w:kern w:val="0"/>
          <w:sz w:val="24"/>
        </w:rPr>
        <w:t>，根据</w:t>
      </w:r>
      <w:r>
        <w:rPr>
          <w:kern w:val="0"/>
          <w:sz w:val="24"/>
        </w:rPr>
        <w:t>《辽宁省一般工业固体废物用于矿山露天采坑回填修复环境管理规定（试行）》（辽环发[2025]16号）</w:t>
      </w:r>
      <w:r>
        <w:rPr>
          <w:rFonts w:hint="eastAsia"/>
          <w:kern w:val="0"/>
          <w:sz w:val="24"/>
        </w:rPr>
        <w:t>开展环境风险评估后按照规定回填采坑</w:t>
      </w:r>
      <w:r>
        <w:rPr>
          <w:kern w:val="0"/>
          <w:sz w:val="24"/>
        </w:rPr>
        <w:t>。</w:t>
      </w:r>
    </w:p>
    <w:p w14:paraId="573DF603">
      <w:pPr>
        <w:snapToGrid w:val="0"/>
        <w:spacing w:before="0" w:beforeLines="0" w:line="360" w:lineRule="auto"/>
        <w:ind w:firstLine="480" w:firstLineChars="200"/>
        <w:jc w:val="left"/>
        <w:rPr>
          <w:kern w:val="0"/>
          <w:sz w:val="24"/>
        </w:rPr>
      </w:pPr>
      <w:r>
        <w:rPr>
          <w:kern w:val="0"/>
          <w:sz w:val="24"/>
        </w:rPr>
        <w:t>若因特殊原因导致</w:t>
      </w:r>
      <w:r>
        <w:rPr>
          <w:rFonts w:hint="eastAsia"/>
          <w:kern w:val="0"/>
          <w:sz w:val="24"/>
        </w:rPr>
        <w:t>除尘灰、</w:t>
      </w:r>
      <w:r>
        <w:rPr>
          <w:kern w:val="0"/>
          <w:sz w:val="24"/>
        </w:rPr>
        <w:t>泥饼和沉淀渣不能及时运输并回填采坑，应立即停产，不得在厂内堆存</w:t>
      </w:r>
      <w:r>
        <w:rPr>
          <w:rFonts w:hint="eastAsia"/>
          <w:kern w:val="0"/>
          <w:sz w:val="24"/>
        </w:rPr>
        <w:t>上述固体废物</w:t>
      </w:r>
      <w:r>
        <w:rPr>
          <w:kern w:val="0"/>
          <w:sz w:val="24"/>
        </w:rPr>
        <w:t>。</w:t>
      </w:r>
    </w:p>
    <w:p w14:paraId="68304639">
      <w:pPr>
        <w:snapToGrid w:val="0"/>
        <w:spacing w:before="0" w:beforeLines="0" w:line="360" w:lineRule="auto"/>
        <w:ind w:firstLine="480" w:firstLineChars="200"/>
        <w:jc w:val="left"/>
        <w:rPr>
          <w:kern w:val="0"/>
          <w:sz w:val="24"/>
        </w:rPr>
      </w:pPr>
      <w:r>
        <w:rPr>
          <w:rFonts w:hint="eastAsia"/>
          <w:kern w:val="0"/>
          <w:sz w:val="24"/>
        </w:rPr>
        <w:t>（3）废布袋</w:t>
      </w:r>
    </w:p>
    <w:p w14:paraId="306340EA">
      <w:pPr>
        <w:snapToGrid w:val="0"/>
        <w:spacing w:before="0" w:beforeLines="0" w:line="360" w:lineRule="auto"/>
        <w:ind w:firstLine="480" w:firstLineChars="200"/>
        <w:jc w:val="left"/>
        <w:rPr>
          <w:kern w:val="0"/>
          <w:sz w:val="24"/>
        </w:rPr>
      </w:pPr>
      <w:r>
        <w:rPr>
          <w:rFonts w:hint="eastAsia"/>
          <w:kern w:val="0"/>
          <w:sz w:val="24"/>
        </w:rPr>
        <w:t>布袋除尘器定期更换布袋，废布袋产生量约1.0t/a， 全部由外售物资回收进行再利用。</w:t>
      </w:r>
    </w:p>
    <w:p w14:paraId="1BF15386">
      <w:pPr>
        <w:snapToGrid w:val="0"/>
        <w:spacing w:before="0" w:beforeLines="0" w:line="360" w:lineRule="auto"/>
        <w:ind w:firstLine="480" w:firstLineChars="200"/>
        <w:jc w:val="left"/>
        <w:rPr>
          <w:kern w:val="0"/>
          <w:sz w:val="24"/>
        </w:rPr>
      </w:pPr>
      <w:r>
        <w:rPr>
          <w:rFonts w:hint="eastAsia"/>
          <w:kern w:val="0"/>
          <w:sz w:val="24"/>
        </w:rPr>
        <w:t>（4）</w:t>
      </w:r>
      <w:r>
        <w:rPr>
          <w:kern w:val="0"/>
          <w:sz w:val="24"/>
        </w:rPr>
        <w:t>废矿物油及废矿物油桶</w:t>
      </w:r>
    </w:p>
    <w:p w14:paraId="141DFB4C">
      <w:pPr>
        <w:snapToGrid w:val="0"/>
        <w:spacing w:before="0" w:beforeLines="0" w:line="360" w:lineRule="auto"/>
        <w:ind w:firstLine="480" w:firstLineChars="200"/>
        <w:jc w:val="left"/>
        <w:rPr>
          <w:kern w:val="0"/>
          <w:sz w:val="24"/>
        </w:rPr>
      </w:pPr>
      <w:r>
        <w:rPr>
          <w:kern w:val="0"/>
          <w:sz w:val="24"/>
        </w:rPr>
        <w:t>根据建设单位提供的资料可知，本项目设备维护时废矿物油的产生量为</w:t>
      </w:r>
      <w:r>
        <w:rPr>
          <w:rFonts w:hint="eastAsia"/>
          <w:kern w:val="0"/>
          <w:sz w:val="24"/>
        </w:rPr>
        <w:t>1.0</w:t>
      </w:r>
      <w:r>
        <w:rPr>
          <w:kern w:val="0"/>
          <w:sz w:val="24"/>
        </w:rPr>
        <w:t>t/a；废矿物油桶</w:t>
      </w:r>
      <w:r>
        <w:rPr>
          <w:rFonts w:hint="eastAsia"/>
          <w:kern w:val="0"/>
          <w:sz w:val="24"/>
        </w:rPr>
        <w:t>100</w:t>
      </w:r>
      <w:r>
        <w:rPr>
          <w:kern w:val="0"/>
          <w:sz w:val="24"/>
        </w:rPr>
        <w:t>个/a，每个按</w:t>
      </w:r>
      <w:r>
        <w:rPr>
          <w:rFonts w:hint="eastAsia"/>
          <w:kern w:val="0"/>
          <w:sz w:val="24"/>
        </w:rPr>
        <w:t>2.0</w:t>
      </w:r>
      <w:r>
        <w:rPr>
          <w:kern w:val="0"/>
          <w:sz w:val="24"/>
        </w:rPr>
        <w:t>kg/个计，则废矿物油桶量为</w:t>
      </w:r>
      <w:r>
        <w:rPr>
          <w:rFonts w:hint="eastAsia"/>
          <w:kern w:val="0"/>
          <w:sz w:val="24"/>
        </w:rPr>
        <w:t>0.2</w:t>
      </w:r>
      <w:r>
        <w:rPr>
          <w:kern w:val="0"/>
          <w:sz w:val="24"/>
        </w:rPr>
        <w:t>t/a，贮存于</w:t>
      </w:r>
      <w:r>
        <w:rPr>
          <w:rFonts w:hint="eastAsia"/>
          <w:kern w:val="0"/>
          <w:sz w:val="24"/>
        </w:rPr>
        <w:t>危废贮存点</w:t>
      </w:r>
      <w:r>
        <w:rPr>
          <w:kern w:val="0"/>
          <w:sz w:val="24"/>
        </w:rPr>
        <w:t>，定期交有资质单位处理。</w:t>
      </w:r>
    </w:p>
    <w:p w14:paraId="5D3E4E40">
      <w:pPr>
        <w:snapToGrid w:val="0"/>
        <w:spacing w:before="0" w:beforeLines="0" w:line="360" w:lineRule="auto"/>
        <w:ind w:firstLine="480" w:firstLineChars="200"/>
        <w:jc w:val="left"/>
        <w:rPr>
          <w:kern w:val="0"/>
          <w:sz w:val="24"/>
        </w:rPr>
      </w:pPr>
      <w:r>
        <w:rPr>
          <w:rFonts w:hint="eastAsia"/>
          <w:kern w:val="0"/>
          <w:sz w:val="24"/>
        </w:rPr>
        <w:t>（5）</w:t>
      </w:r>
      <w:r>
        <w:rPr>
          <w:kern w:val="0"/>
          <w:sz w:val="24"/>
        </w:rPr>
        <w:t>生活垃圾</w:t>
      </w:r>
    </w:p>
    <w:p w14:paraId="3A4CDD91">
      <w:pPr>
        <w:adjustRightInd w:val="0"/>
        <w:snapToGrid w:val="0"/>
        <w:spacing w:before="0" w:beforeLines="0" w:line="360" w:lineRule="auto"/>
        <w:ind w:firstLine="480" w:firstLineChars="200"/>
        <w:jc w:val="left"/>
        <w:textAlignment w:val="baseline"/>
        <w:rPr>
          <w:snapToGrid w:val="0"/>
          <w:kern w:val="0"/>
          <w:sz w:val="24"/>
        </w:rPr>
      </w:pPr>
      <w:r>
        <w:rPr>
          <w:snapToGrid w:val="0"/>
          <w:kern w:val="0"/>
          <w:sz w:val="24"/>
        </w:rPr>
        <w:t>本项目劳动定员30人，生活垃圾产生量按人均1.0kg/人·d计，生活垃圾产生量为9.9t/a。生活垃圾存放于办公区垃圾箱内，定期运至环卫部门指定地点，不随意排放。</w:t>
      </w:r>
    </w:p>
    <w:bookmarkEnd w:id="133"/>
    <w:p w14:paraId="31DCE83B">
      <w:pPr>
        <w:keepLines/>
        <w:numPr>
          <w:ilvl w:val="255"/>
          <w:numId w:val="0"/>
        </w:numPr>
        <w:tabs>
          <w:tab w:val="left" w:pos="312"/>
        </w:tabs>
        <w:snapToGrid w:val="0"/>
        <w:spacing w:before="0" w:beforeLines="0" w:line="360" w:lineRule="auto"/>
        <w:rPr>
          <w:b/>
          <w:bCs/>
          <w:sz w:val="24"/>
        </w:rPr>
      </w:pPr>
      <w:r>
        <w:rPr>
          <w:rFonts w:hint="eastAsia"/>
          <w:b/>
          <w:bCs/>
          <w:sz w:val="24"/>
        </w:rPr>
        <w:t>3.3.2.5</w:t>
      </w:r>
      <w:r>
        <w:rPr>
          <w:b/>
          <w:bCs/>
          <w:sz w:val="24"/>
        </w:rPr>
        <w:t>非正常排放</w:t>
      </w:r>
    </w:p>
    <w:p w14:paraId="02C5F023">
      <w:pPr>
        <w:pStyle w:val="135"/>
        <w:snapToGrid w:val="0"/>
        <w:spacing w:before="0" w:beforeLines="0" w:line="360" w:lineRule="auto"/>
        <w:ind w:firstLine="480" w:firstLineChars="200"/>
        <w:rPr>
          <w:sz w:val="24"/>
          <w:szCs w:val="24"/>
        </w:rPr>
      </w:pPr>
      <w:r>
        <w:rPr>
          <w:sz w:val="24"/>
          <w:szCs w:val="24"/>
        </w:rPr>
        <w:t>本项目涉及的非正常排放工况主要包括除尘器故障等非正常工况下的污染物排放。本项目非正常工况期间，大气污染源及源强见表3.</w:t>
      </w:r>
      <w:r>
        <w:rPr>
          <w:rFonts w:hint="eastAsia"/>
          <w:sz w:val="24"/>
          <w:szCs w:val="24"/>
        </w:rPr>
        <w:t>3</w:t>
      </w:r>
      <w:r>
        <w:rPr>
          <w:sz w:val="24"/>
          <w:szCs w:val="24"/>
        </w:rPr>
        <w:t>-</w:t>
      </w:r>
      <w:r>
        <w:rPr>
          <w:rFonts w:hint="eastAsia"/>
          <w:sz w:val="24"/>
          <w:szCs w:val="24"/>
        </w:rPr>
        <w:t>10</w:t>
      </w:r>
      <w:r>
        <w:rPr>
          <w:sz w:val="24"/>
          <w:szCs w:val="24"/>
        </w:rPr>
        <w:t>。</w:t>
      </w:r>
    </w:p>
    <w:p w14:paraId="7E9A13E0">
      <w:pPr>
        <w:pStyle w:val="135"/>
        <w:spacing w:before="78"/>
        <w:jc w:val="center"/>
        <w:rPr>
          <w:b/>
          <w:kern w:val="2"/>
        </w:rPr>
      </w:pPr>
      <w:bookmarkStart w:id="138" w:name="_Hlk195800628"/>
      <w:r>
        <w:rPr>
          <w:b/>
          <w:kern w:val="2"/>
        </w:rPr>
        <w:t>表3.</w:t>
      </w:r>
      <w:r>
        <w:rPr>
          <w:rFonts w:hint="eastAsia"/>
          <w:b/>
          <w:kern w:val="2"/>
        </w:rPr>
        <w:t>3</w:t>
      </w:r>
      <w:r>
        <w:rPr>
          <w:b/>
          <w:kern w:val="2"/>
        </w:rPr>
        <w:t>-</w:t>
      </w:r>
      <w:r>
        <w:rPr>
          <w:rFonts w:hint="eastAsia"/>
          <w:b/>
          <w:kern w:val="2"/>
        </w:rPr>
        <w:t xml:space="preserve">10     </w:t>
      </w:r>
      <w:r>
        <w:rPr>
          <w:b/>
          <w:kern w:val="2"/>
        </w:rPr>
        <w:t xml:space="preserve"> 项目非正常排放参数表</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313"/>
        <w:gridCol w:w="1343"/>
        <w:gridCol w:w="1681"/>
        <w:gridCol w:w="1438"/>
        <w:gridCol w:w="1247"/>
        <w:gridCol w:w="1290"/>
      </w:tblGrid>
      <w:tr w14:paraId="35D0680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598" w:type="pct"/>
            <w:gridSpan w:val="2"/>
            <w:tcBorders>
              <w:tl2br w:val="nil"/>
              <w:tr2bl w:val="nil"/>
            </w:tcBorders>
            <w:vAlign w:val="center"/>
          </w:tcPr>
          <w:p w14:paraId="77F97C2C">
            <w:pPr>
              <w:spacing w:before="0" w:beforeLines="0" w:line="240" w:lineRule="auto"/>
              <w:jc w:val="center"/>
              <w:rPr>
                <w:szCs w:val="21"/>
              </w:rPr>
            </w:pPr>
            <w:r>
              <w:rPr>
                <w:szCs w:val="21"/>
              </w:rPr>
              <w:t>非正常排放源</w:t>
            </w:r>
          </w:p>
        </w:tc>
        <w:tc>
          <w:tcPr>
            <w:tcW w:w="1011" w:type="pct"/>
            <w:vMerge w:val="restart"/>
            <w:tcBorders>
              <w:tl2br w:val="nil"/>
              <w:tr2bl w:val="nil"/>
            </w:tcBorders>
            <w:vAlign w:val="center"/>
          </w:tcPr>
          <w:p w14:paraId="391DA83C">
            <w:pPr>
              <w:spacing w:before="0" w:beforeLines="0" w:line="240" w:lineRule="auto"/>
              <w:jc w:val="center"/>
              <w:rPr>
                <w:szCs w:val="21"/>
              </w:rPr>
            </w:pPr>
            <w:r>
              <w:rPr>
                <w:szCs w:val="21"/>
              </w:rPr>
              <w:t>非正常排放原因</w:t>
            </w:r>
          </w:p>
        </w:tc>
        <w:tc>
          <w:tcPr>
            <w:tcW w:w="865" w:type="pct"/>
            <w:vMerge w:val="restart"/>
            <w:tcBorders>
              <w:tl2br w:val="nil"/>
              <w:tr2bl w:val="nil"/>
            </w:tcBorders>
            <w:vAlign w:val="center"/>
          </w:tcPr>
          <w:p w14:paraId="41CBD033">
            <w:pPr>
              <w:spacing w:before="0" w:beforeLines="0" w:line="240" w:lineRule="auto"/>
              <w:jc w:val="center"/>
              <w:rPr>
                <w:szCs w:val="21"/>
              </w:rPr>
            </w:pPr>
            <w:r>
              <w:rPr>
                <w:szCs w:val="21"/>
              </w:rPr>
              <w:t>排放量（kg/h）</w:t>
            </w:r>
          </w:p>
        </w:tc>
        <w:tc>
          <w:tcPr>
            <w:tcW w:w="750" w:type="pct"/>
            <w:vMerge w:val="restart"/>
            <w:tcBorders>
              <w:tl2br w:val="nil"/>
              <w:tr2bl w:val="nil"/>
            </w:tcBorders>
            <w:vAlign w:val="center"/>
          </w:tcPr>
          <w:p w14:paraId="42FF1C87">
            <w:pPr>
              <w:spacing w:before="0" w:beforeLines="0" w:line="240" w:lineRule="auto"/>
              <w:jc w:val="center"/>
              <w:rPr>
                <w:szCs w:val="21"/>
              </w:rPr>
            </w:pPr>
            <w:r>
              <w:rPr>
                <w:szCs w:val="21"/>
              </w:rPr>
              <w:t>单次持续时间/h</w:t>
            </w:r>
          </w:p>
        </w:tc>
        <w:tc>
          <w:tcPr>
            <w:tcW w:w="776" w:type="pct"/>
            <w:vMerge w:val="restart"/>
            <w:tcBorders>
              <w:tl2br w:val="nil"/>
              <w:tr2bl w:val="nil"/>
            </w:tcBorders>
            <w:vAlign w:val="center"/>
          </w:tcPr>
          <w:p w14:paraId="4FF64561">
            <w:pPr>
              <w:spacing w:before="0" w:beforeLines="0" w:line="240" w:lineRule="auto"/>
              <w:jc w:val="center"/>
              <w:rPr>
                <w:szCs w:val="21"/>
              </w:rPr>
            </w:pPr>
            <w:r>
              <w:rPr>
                <w:szCs w:val="21"/>
              </w:rPr>
              <w:t>年发生频率</w:t>
            </w:r>
          </w:p>
        </w:tc>
      </w:tr>
      <w:tr w14:paraId="21001E6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56" w:hRule="atLeast"/>
          <w:jc w:val="center"/>
        </w:trPr>
        <w:tc>
          <w:tcPr>
            <w:tcW w:w="790" w:type="pct"/>
            <w:tcBorders>
              <w:tl2br w:val="nil"/>
              <w:tr2bl w:val="nil"/>
            </w:tcBorders>
            <w:vAlign w:val="center"/>
          </w:tcPr>
          <w:p w14:paraId="173329C3">
            <w:pPr>
              <w:spacing w:before="0" w:beforeLines="0" w:line="240" w:lineRule="auto"/>
              <w:jc w:val="center"/>
              <w:rPr>
                <w:szCs w:val="21"/>
              </w:rPr>
            </w:pPr>
            <w:r>
              <w:rPr>
                <w:szCs w:val="21"/>
              </w:rPr>
              <w:t>排气筒</w:t>
            </w:r>
          </w:p>
        </w:tc>
        <w:tc>
          <w:tcPr>
            <w:tcW w:w="808" w:type="pct"/>
            <w:tcBorders>
              <w:tl2br w:val="nil"/>
              <w:tr2bl w:val="nil"/>
            </w:tcBorders>
            <w:vAlign w:val="center"/>
          </w:tcPr>
          <w:p w14:paraId="20D5DC2F">
            <w:pPr>
              <w:spacing w:before="0" w:beforeLines="0" w:line="240" w:lineRule="auto"/>
              <w:jc w:val="center"/>
              <w:rPr>
                <w:szCs w:val="21"/>
              </w:rPr>
            </w:pPr>
            <w:r>
              <w:rPr>
                <w:szCs w:val="21"/>
              </w:rPr>
              <w:t>污染物名称</w:t>
            </w:r>
          </w:p>
        </w:tc>
        <w:tc>
          <w:tcPr>
            <w:tcW w:w="1011" w:type="pct"/>
            <w:vMerge w:val="continue"/>
            <w:tcBorders>
              <w:tl2br w:val="nil"/>
              <w:tr2bl w:val="nil"/>
            </w:tcBorders>
            <w:vAlign w:val="center"/>
          </w:tcPr>
          <w:p w14:paraId="476CAF58">
            <w:pPr>
              <w:spacing w:before="0" w:beforeLines="0" w:line="240" w:lineRule="auto"/>
              <w:jc w:val="center"/>
              <w:rPr>
                <w:szCs w:val="21"/>
              </w:rPr>
            </w:pPr>
          </w:p>
        </w:tc>
        <w:tc>
          <w:tcPr>
            <w:tcW w:w="865" w:type="pct"/>
            <w:vMerge w:val="continue"/>
            <w:tcBorders>
              <w:tl2br w:val="nil"/>
              <w:tr2bl w:val="nil"/>
            </w:tcBorders>
            <w:vAlign w:val="center"/>
          </w:tcPr>
          <w:p w14:paraId="2F8FAC9E">
            <w:pPr>
              <w:spacing w:before="0" w:beforeLines="0" w:line="240" w:lineRule="auto"/>
              <w:jc w:val="center"/>
              <w:rPr>
                <w:szCs w:val="21"/>
              </w:rPr>
            </w:pPr>
          </w:p>
        </w:tc>
        <w:tc>
          <w:tcPr>
            <w:tcW w:w="750" w:type="pct"/>
            <w:vMerge w:val="continue"/>
            <w:tcBorders>
              <w:tl2br w:val="nil"/>
              <w:tr2bl w:val="nil"/>
            </w:tcBorders>
            <w:vAlign w:val="center"/>
          </w:tcPr>
          <w:p w14:paraId="35DE0796">
            <w:pPr>
              <w:spacing w:before="0" w:beforeLines="0" w:line="240" w:lineRule="auto"/>
              <w:jc w:val="center"/>
              <w:rPr>
                <w:szCs w:val="21"/>
              </w:rPr>
            </w:pPr>
          </w:p>
        </w:tc>
        <w:tc>
          <w:tcPr>
            <w:tcW w:w="776" w:type="pct"/>
            <w:vMerge w:val="continue"/>
            <w:tcBorders>
              <w:tl2br w:val="nil"/>
              <w:tr2bl w:val="nil"/>
            </w:tcBorders>
            <w:vAlign w:val="center"/>
          </w:tcPr>
          <w:p w14:paraId="21D5C555">
            <w:pPr>
              <w:spacing w:before="0" w:beforeLines="0" w:line="240" w:lineRule="auto"/>
              <w:jc w:val="center"/>
              <w:rPr>
                <w:szCs w:val="21"/>
              </w:rPr>
            </w:pPr>
          </w:p>
        </w:tc>
      </w:tr>
      <w:tr w14:paraId="13A334C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790" w:type="pct"/>
            <w:tcBorders>
              <w:tl2br w:val="nil"/>
              <w:tr2bl w:val="nil"/>
            </w:tcBorders>
            <w:vAlign w:val="center"/>
          </w:tcPr>
          <w:p w14:paraId="1C9C1F8E">
            <w:pPr>
              <w:widowControl/>
              <w:spacing w:before="0" w:beforeLines="0" w:line="240" w:lineRule="auto"/>
              <w:jc w:val="center"/>
              <w:textAlignment w:val="center"/>
              <w:rPr>
                <w:szCs w:val="21"/>
              </w:rPr>
            </w:pPr>
            <w:r>
              <w:rPr>
                <w:kern w:val="0"/>
                <w:szCs w:val="21"/>
                <w:lang w:bidi="ar"/>
              </w:rPr>
              <w:t>DA001</w:t>
            </w:r>
          </w:p>
        </w:tc>
        <w:tc>
          <w:tcPr>
            <w:tcW w:w="808" w:type="pct"/>
            <w:tcBorders>
              <w:tl2br w:val="nil"/>
              <w:tr2bl w:val="nil"/>
            </w:tcBorders>
            <w:vAlign w:val="center"/>
          </w:tcPr>
          <w:p w14:paraId="2C7349E7">
            <w:pPr>
              <w:widowControl/>
              <w:spacing w:before="0" w:beforeLines="0" w:line="240" w:lineRule="auto"/>
              <w:jc w:val="center"/>
              <w:textAlignment w:val="center"/>
              <w:rPr>
                <w:szCs w:val="21"/>
              </w:rPr>
            </w:pPr>
            <w:r>
              <w:rPr>
                <w:kern w:val="0"/>
                <w:szCs w:val="21"/>
                <w:lang w:bidi="ar"/>
              </w:rPr>
              <w:t>颗粒物</w:t>
            </w:r>
          </w:p>
        </w:tc>
        <w:tc>
          <w:tcPr>
            <w:tcW w:w="1011" w:type="pct"/>
            <w:tcBorders>
              <w:tl2br w:val="nil"/>
              <w:tr2bl w:val="nil"/>
            </w:tcBorders>
            <w:vAlign w:val="center"/>
          </w:tcPr>
          <w:p w14:paraId="5DE6E90D">
            <w:pPr>
              <w:widowControl/>
              <w:spacing w:before="0" w:beforeLines="0" w:line="240" w:lineRule="auto"/>
              <w:jc w:val="center"/>
              <w:textAlignment w:val="center"/>
              <w:rPr>
                <w:kern w:val="0"/>
                <w:szCs w:val="21"/>
                <w:lang w:bidi="ar"/>
              </w:rPr>
            </w:pPr>
            <w:r>
              <w:rPr>
                <w:szCs w:val="21"/>
              </w:rPr>
              <w:t>除尘器故障</w:t>
            </w:r>
          </w:p>
        </w:tc>
        <w:tc>
          <w:tcPr>
            <w:tcW w:w="865" w:type="pct"/>
            <w:tcBorders>
              <w:tl2br w:val="nil"/>
              <w:tr2bl w:val="nil"/>
            </w:tcBorders>
            <w:vAlign w:val="center"/>
          </w:tcPr>
          <w:p w14:paraId="7E877228">
            <w:pPr>
              <w:widowControl/>
              <w:spacing w:beforeLines="0" w:line="240" w:lineRule="auto"/>
              <w:jc w:val="center"/>
              <w:textAlignment w:val="center"/>
              <w:rPr>
                <w:szCs w:val="21"/>
              </w:rPr>
            </w:pPr>
            <w:r>
              <w:rPr>
                <w:rFonts w:hint="eastAsia" w:eastAsia="等线"/>
                <w:szCs w:val="21"/>
              </w:rPr>
              <w:t>121.59</w:t>
            </w:r>
          </w:p>
        </w:tc>
        <w:tc>
          <w:tcPr>
            <w:tcW w:w="750" w:type="pct"/>
            <w:tcBorders>
              <w:tl2br w:val="nil"/>
              <w:tr2bl w:val="nil"/>
            </w:tcBorders>
            <w:vAlign w:val="center"/>
          </w:tcPr>
          <w:p w14:paraId="2D3371F4">
            <w:pPr>
              <w:spacing w:before="0" w:beforeLines="0" w:line="240" w:lineRule="auto"/>
              <w:jc w:val="center"/>
              <w:rPr>
                <w:kern w:val="0"/>
                <w:szCs w:val="21"/>
                <w:lang w:bidi="ar"/>
              </w:rPr>
            </w:pPr>
            <w:r>
              <w:rPr>
                <w:rFonts w:hint="eastAsia"/>
                <w:szCs w:val="21"/>
              </w:rPr>
              <w:t>0.5</w:t>
            </w:r>
            <w:r>
              <w:rPr>
                <w:szCs w:val="21"/>
              </w:rPr>
              <w:t>h</w:t>
            </w:r>
          </w:p>
        </w:tc>
        <w:tc>
          <w:tcPr>
            <w:tcW w:w="776" w:type="pct"/>
            <w:tcBorders>
              <w:tl2br w:val="nil"/>
              <w:tr2bl w:val="nil"/>
            </w:tcBorders>
            <w:vAlign w:val="center"/>
          </w:tcPr>
          <w:p w14:paraId="29A75637">
            <w:pPr>
              <w:widowControl/>
              <w:spacing w:before="0" w:beforeLines="0" w:line="240" w:lineRule="auto"/>
              <w:jc w:val="center"/>
              <w:textAlignment w:val="center"/>
              <w:rPr>
                <w:kern w:val="0"/>
                <w:szCs w:val="21"/>
                <w:lang w:bidi="ar"/>
              </w:rPr>
            </w:pPr>
            <w:r>
              <w:rPr>
                <w:szCs w:val="21"/>
              </w:rPr>
              <w:t>1次/a</w:t>
            </w:r>
          </w:p>
        </w:tc>
      </w:tr>
      <w:tr w14:paraId="59421F0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790" w:type="pct"/>
            <w:tcBorders>
              <w:tl2br w:val="nil"/>
              <w:tr2bl w:val="nil"/>
            </w:tcBorders>
            <w:vAlign w:val="center"/>
          </w:tcPr>
          <w:p w14:paraId="772C83FE">
            <w:pPr>
              <w:widowControl/>
              <w:spacing w:before="0" w:beforeLines="0" w:line="240" w:lineRule="auto"/>
              <w:jc w:val="center"/>
              <w:textAlignment w:val="center"/>
              <w:rPr>
                <w:szCs w:val="21"/>
              </w:rPr>
            </w:pPr>
            <w:r>
              <w:rPr>
                <w:kern w:val="0"/>
                <w:szCs w:val="21"/>
                <w:lang w:bidi="ar"/>
              </w:rPr>
              <w:t>DA002</w:t>
            </w:r>
          </w:p>
        </w:tc>
        <w:tc>
          <w:tcPr>
            <w:tcW w:w="808" w:type="pct"/>
            <w:tcBorders>
              <w:tl2br w:val="nil"/>
              <w:tr2bl w:val="nil"/>
            </w:tcBorders>
            <w:vAlign w:val="center"/>
          </w:tcPr>
          <w:p w14:paraId="01D08EFA">
            <w:pPr>
              <w:widowControl/>
              <w:spacing w:before="0" w:beforeLines="0" w:line="240" w:lineRule="auto"/>
              <w:jc w:val="center"/>
              <w:textAlignment w:val="center"/>
              <w:rPr>
                <w:szCs w:val="21"/>
              </w:rPr>
            </w:pPr>
            <w:r>
              <w:rPr>
                <w:kern w:val="0"/>
                <w:szCs w:val="21"/>
                <w:lang w:bidi="ar"/>
              </w:rPr>
              <w:t>颗粒物</w:t>
            </w:r>
          </w:p>
        </w:tc>
        <w:tc>
          <w:tcPr>
            <w:tcW w:w="1011" w:type="pct"/>
            <w:tcBorders>
              <w:tl2br w:val="nil"/>
              <w:tr2bl w:val="nil"/>
            </w:tcBorders>
            <w:vAlign w:val="center"/>
          </w:tcPr>
          <w:p w14:paraId="3909CF48">
            <w:pPr>
              <w:widowControl/>
              <w:spacing w:before="0" w:beforeLines="0" w:line="240" w:lineRule="auto"/>
              <w:jc w:val="center"/>
              <w:textAlignment w:val="center"/>
              <w:rPr>
                <w:kern w:val="0"/>
                <w:szCs w:val="21"/>
                <w:lang w:bidi="ar"/>
              </w:rPr>
            </w:pPr>
            <w:r>
              <w:rPr>
                <w:szCs w:val="21"/>
              </w:rPr>
              <w:t>除尘器故障</w:t>
            </w:r>
          </w:p>
        </w:tc>
        <w:tc>
          <w:tcPr>
            <w:tcW w:w="865" w:type="pct"/>
            <w:tcBorders>
              <w:tl2br w:val="nil"/>
              <w:tr2bl w:val="nil"/>
            </w:tcBorders>
            <w:vAlign w:val="center"/>
          </w:tcPr>
          <w:p w14:paraId="4861DB6B">
            <w:pPr>
              <w:widowControl/>
              <w:spacing w:beforeLines="0" w:line="240" w:lineRule="auto"/>
              <w:jc w:val="center"/>
              <w:textAlignment w:val="center"/>
              <w:rPr>
                <w:szCs w:val="21"/>
              </w:rPr>
            </w:pPr>
            <w:r>
              <w:rPr>
                <w:rFonts w:hint="eastAsia" w:eastAsia="等线"/>
                <w:szCs w:val="21"/>
              </w:rPr>
              <w:t>125.53</w:t>
            </w:r>
          </w:p>
        </w:tc>
        <w:tc>
          <w:tcPr>
            <w:tcW w:w="750" w:type="pct"/>
            <w:tcBorders>
              <w:tl2br w:val="nil"/>
              <w:tr2bl w:val="nil"/>
            </w:tcBorders>
            <w:vAlign w:val="center"/>
          </w:tcPr>
          <w:p w14:paraId="6D2B75AE">
            <w:pPr>
              <w:spacing w:before="0" w:beforeLines="0" w:line="240" w:lineRule="auto"/>
              <w:jc w:val="center"/>
              <w:rPr>
                <w:kern w:val="0"/>
                <w:szCs w:val="21"/>
                <w:lang w:bidi="ar"/>
              </w:rPr>
            </w:pPr>
            <w:r>
              <w:rPr>
                <w:rFonts w:hint="eastAsia"/>
                <w:szCs w:val="21"/>
              </w:rPr>
              <w:t>0.5</w:t>
            </w:r>
            <w:r>
              <w:rPr>
                <w:szCs w:val="21"/>
              </w:rPr>
              <w:t>h</w:t>
            </w:r>
          </w:p>
        </w:tc>
        <w:tc>
          <w:tcPr>
            <w:tcW w:w="776" w:type="pct"/>
            <w:tcBorders>
              <w:tl2br w:val="nil"/>
              <w:tr2bl w:val="nil"/>
            </w:tcBorders>
            <w:vAlign w:val="center"/>
          </w:tcPr>
          <w:p w14:paraId="374E7DF0">
            <w:pPr>
              <w:widowControl/>
              <w:spacing w:before="0" w:beforeLines="0" w:line="240" w:lineRule="auto"/>
              <w:jc w:val="center"/>
              <w:textAlignment w:val="center"/>
              <w:rPr>
                <w:kern w:val="0"/>
                <w:szCs w:val="21"/>
                <w:lang w:bidi="ar"/>
              </w:rPr>
            </w:pPr>
            <w:r>
              <w:rPr>
                <w:szCs w:val="21"/>
              </w:rPr>
              <w:t>1次/a</w:t>
            </w:r>
          </w:p>
        </w:tc>
      </w:tr>
      <w:tr w14:paraId="30BBECA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790" w:type="pct"/>
            <w:tcBorders>
              <w:tl2br w:val="nil"/>
              <w:tr2bl w:val="nil"/>
            </w:tcBorders>
            <w:vAlign w:val="center"/>
          </w:tcPr>
          <w:p w14:paraId="58AE1EC5">
            <w:pPr>
              <w:widowControl/>
              <w:spacing w:before="0" w:beforeLines="0" w:line="240" w:lineRule="auto"/>
              <w:jc w:val="center"/>
              <w:textAlignment w:val="center"/>
              <w:rPr>
                <w:szCs w:val="21"/>
              </w:rPr>
            </w:pPr>
            <w:r>
              <w:rPr>
                <w:kern w:val="0"/>
                <w:szCs w:val="21"/>
                <w:lang w:bidi="ar"/>
              </w:rPr>
              <w:t>DA003</w:t>
            </w:r>
          </w:p>
        </w:tc>
        <w:tc>
          <w:tcPr>
            <w:tcW w:w="808" w:type="pct"/>
            <w:tcBorders>
              <w:tl2br w:val="nil"/>
              <w:tr2bl w:val="nil"/>
            </w:tcBorders>
            <w:vAlign w:val="center"/>
          </w:tcPr>
          <w:p w14:paraId="2ADF5EBC">
            <w:pPr>
              <w:widowControl/>
              <w:spacing w:before="0" w:beforeLines="0" w:line="240" w:lineRule="auto"/>
              <w:jc w:val="center"/>
              <w:textAlignment w:val="center"/>
              <w:rPr>
                <w:szCs w:val="21"/>
              </w:rPr>
            </w:pPr>
            <w:r>
              <w:rPr>
                <w:kern w:val="0"/>
                <w:szCs w:val="21"/>
                <w:lang w:bidi="ar"/>
              </w:rPr>
              <w:t>颗粒物</w:t>
            </w:r>
          </w:p>
        </w:tc>
        <w:tc>
          <w:tcPr>
            <w:tcW w:w="1011" w:type="pct"/>
            <w:tcBorders>
              <w:tl2br w:val="nil"/>
              <w:tr2bl w:val="nil"/>
            </w:tcBorders>
            <w:vAlign w:val="center"/>
          </w:tcPr>
          <w:p w14:paraId="56420CBD">
            <w:pPr>
              <w:widowControl/>
              <w:spacing w:before="0" w:beforeLines="0" w:line="240" w:lineRule="auto"/>
              <w:jc w:val="center"/>
              <w:textAlignment w:val="center"/>
              <w:rPr>
                <w:kern w:val="0"/>
                <w:szCs w:val="21"/>
                <w:lang w:bidi="ar"/>
              </w:rPr>
            </w:pPr>
            <w:r>
              <w:rPr>
                <w:szCs w:val="21"/>
              </w:rPr>
              <w:t>除尘器故障</w:t>
            </w:r>
          </w:p>
        </w:tc>
        <w:tc>
          <w:tcPr>
            <w:tcW w:w="865" w:type="pct"/>
            <w:tcBorders>
              <w:tl2br w:val="nil"/>
              <w:tr2bl w:val="nil"/>
            </w:tcBorders>
            <w:vAlign w:val="center"/>
          </w:tcPr>
          <w:p w14:paraId="3EEFA293">
            <w:pPr>
              <w:widowControl/>
              <w:spacing w:beforeLines="0" w:line="240" w:lineRule="auto"/>
              <w:jc w:val="center"/>
              <w:textAlignment w:val="center"/>
              <w:rPr>
                <w:szCs w:val="21"/>
              </w:rPr>
            </w:pPr>
            <w:r>
              <w:rPr>
                <w:rFonts w:hint="eastAsia" w:eastAsia="等线"/>
                <w:szCs w:val="21"/>
              </w:rPr>
              <w:t>159.97</w:t>
            </w:r>
          </w:p>
        </w:tc>
        <w:tc>
          <w:tcPr>
            <w:tcW w:w="750" w:type="pct"/>
            <w:tcBorders>
              <w:tl2br w:val="nil"/>
              <w:tr2bl w:val="nil"/>
            </w:tcBorders>
            <w:vAlign w:val="center"/>
          </w:tcPr>
          <w:p w14:paraId="0A3CBB2C">
            <w:pPr>
              <w:spacing w:before="0" w:beforeLines="0" w:line="240" w:lineRule="auto"/>
              <w:jc w:val="center"/>
              <w:rPr>
                <w:kern w:val="0"/>
                <w:szCs w:val="21"/>
                <w:lang w:bidi="ar"/>
              </w:rPr>
            </w:pPr>
            <w:r>
              <w:rPr>
                <w:rFonts w:hint="eastAsia"/>
                <w:szCs w:val="21"/>
              </w:rPr>
              <w:t>0.5</w:t>
            </w:r>
            <w:r>
              <w:rPr>
                <w:szCs w:val="21"/>
              </w:rPr>
              <w:t>h</w:t>
            </w:r>
          </w:p>
        </w:tc>
        <w:tc>
          <w:tcPr>
            <w:tcW w:w="776" w:type="pct"/>
            <w:tcBorders>
              <w:tl2br w:val="nil"/>
              <w:tr2bl w:val="nil"/>
            </w:tcBorders>
            <w:vAlign w:val="center"/>
          </w:tcPr>
          <w:p w14:paraId="56E52B53">
            <w:pPr>
              <w:widowControl/>
              <w:spacing w:before="0" w:beforeLines="0" w:line="240" w:lineRule="auto"/>
              <w:jc w:val="center"/>
              <w:textAlignment w:val="center"/>
              <w:rPr>
                <w:kern w:val="0"/>
                <w:szCs w:val="21"/>
                <w:lang w:bidi="ar"/>
              </w:rPr>
            </w:pPr>
            <w:r>
              <w:rPr>
                <w:szCs w:val="21"/>
              </w:rPr>
              <w:t>1次/a</w:t>
            </w:r>
          </w:p>
        </w:tc>
      </w:tr>
      <w:tr w14:paraId="65ED5FC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790" w:type="pct"/>
            <w:tcBorders>
              <w:tl2br w:val="nil"/>
              <w:tr2bl w:val="nil"/>
            </w:tcBorders>
            <w:vAlign w:val="center"/>
          </w:tcPr>
          <w:p w14:paraId="0CE49843">
            <w:pPr>
              <w:widowControl/>
              <w:spacing w:before="0" w:beforeLines="0" w:line="240" w:lineRule="auto"/>
              <w:jc w:val="center"/>
              <w:textAlignment w:val="center"/>
              <w:rPr>
                <w:szCs w:val="21"/>
              </w:rPr>
            </w:pPr>
            <w:r>
              <w:rPr>
                <w:kern w:val="0"/>
                <w:szCs w:val="21"/>
                <w:lang w:bidi="ar"/>
              </w:rPr>
              <w:t>DA00</w:t>
            </w:r>
            <w:r>
              <w:rPr>
                <w:rFonts w:hint="eastAsia"/>
                <w:kern w:val="0"/>
                <w:szCs w:val="21"/>
                <w:lang w:bidi="ar"/>
              </w:rPr>
              <w:t>4</w:t>
            </w:r>
          </w:p>
        </w:tc>
        <w:tc>
          <w:tcPr>
            <w:tcW w:w="808" w:type="pct"/>
            <w:tcBorders>
              <w:tl2br w:val="nil"/>
              <w:tr2bl w:val="nil"/>
            </w:tcBorders>
            <w:vAlign w:val="center"/>
          </w:tcPr>
          <w:p w14:paraId="38B20BFF">
            <w:pPr>
              <w:widowControl/>
              <w:spacing w:before="0" w:beforeLines="0" w:line="240" w:lineRule="auto"/>
              <w:jc w:val="center"/>
              <w:textAlignment w:val="center"/>
              <w:rPr>
                <w:szCs w:val="21"/>
              </w:rPr>
            </w:pPr>
            <w:r>
              <w:rPr>
                <w:kern w:val="0"/>
                <w:szCs w:val="21"/>
                <w:lang w:bidi="ar"/>
              </w:rPr>
              <w:t>颗粒物</w:t>
            </w:r>
          </w:p>
        </w:tc>
        <w:tc>
          <w:tcPr>
            <w:tcW w:w="1011" w:type="pct"/>
            <w:tcBorders>
              <w:tl2br w:val="nil"/>
              <w:tr2bl w:val="nil"/>
            </w:tcBorders>
            <w:vAlign w:val="center"/>
          </w:tcPr>
          <w:p w14:paraId="2182FE52">
            <w:pPr>
              <w:widowControl/>
              <w:spacing w:before="0" w:beforeLines="0" w:line="240" w:lineRule="auto"/>
              <w:jc w:val="center"/>
              <w:textAlignment w:val="center"/>
              <w:rPr>
                <w:kern w:val="0"/>
                <w:szCs w:val="21"/>
                <w:lang w:bidi="ar"/>
              </w:rPr>
            </w:pPr>
            <w:r>
              <w:rPr>
                <w:szCs w:val="21"/>
              </w:rPr>
              <w:t>除尘器故障</w:t>
            </w:r>
          </w:p>
        </w:tc>
        <w:tc>
          <w:tcPr>
            <w:tcW w:w="865" w:type="pct"/>
            <w:tcBorders>
              <w:tl2br w:val="nil"/>
              <w:tr2bl w:val="nil"/>
            </w:tcBorders>
            <w:vAlign w:val="center"/>
          </w:tcPr>
          <w:p w14:paraId="39634A9C">
            <w:pPr>
              <w:widowControl/>
              <w:spacing w:beforeLines="0" w:line="240" w:lineRule="auto"/>
              <w:jc w:val="center"/>
              <w:textAlignment w:val="center"/>
              <w:rPr>
                <w:szCs w:val="21"/>
              </w:rPr>
            </w:pPr>
            <w:r>
              <w:rPr>
                <w:rFonts w:hint="eastAsia" w:eastAsia="等线"/>
                <w:szCs w:val="21"/>
              </w:rPr>
              <w:t>58.26</w:t>
            </w:r>
          </w:p>
        </w:tc>
        <w:tc>
          <w:tcPr>
            <w:tcW w:w="750" w:type="pct"/>
            <w:tcBorders>
              <w:tl2br w:val="nil"/>
              <w:tr2bl w:val="nil"/>
            </w:tcBorders>
            <w:vAlign w:val="center"/>
          </w:tcPr>
          <w:p w14:paraId="31320CB4">
            <w:pPr>
              <w:spacing w:before="0" w:beforeLines="0" w:line="240" w:lineRule="auto"/>
              <w:jc w:val="center"/>
              <w:rPr>
                <w:kern w:val="0"/>
                <w:szCs w:val="21"/>
                <w:lang w:bidi="ar"/>
              </w:rPr>
            </w:pPr>
            <w:r>
              <w:rPr>
                <w:rFonts w:hint="eastAsia"/>
                <w:szCs w:val="21"/>
              </w:rPr>
              <w:t>0.5</w:t>
            </w:r>
            <w:r>
              <w:rPr>
                <w:szCs w:val="21"/>
              </w:rPr>
              <w:t>h</w:t>
            </w:r>
          </w:p>
        </w:tc>
        <w:tc>
          <w:tcPr>
            <w:tcW w:w="776" w:type="pct"/>
            <w:tcBorders>
              <w:tl2br w:val="nil"/>
              <w:tr2bl w:val="nil"/>
            </w:tcBorders>
            <w:vAlign w:val="center"/>
          </w:tcPr>
          <w:p w14:paraId="681E1A8C">
            <w:pPr>
              <w:widowControl/>
              <w:spacing w:before="0" w:beforeLines="0" w:line="240" w:lineRule="auto"/>
              <w:jc w:val="center"/>
              <w:textAlignment w:val="center"/>
              <w:rPr>
                <w:kern w:val="0"/>
                <w:szCs w:val="21"/>
                <w:lang w:bidi="ar"/>
              </w:rPr>
            </w:pPr>
            <w:r>
              <w:rPr>
                <w:szCs w:val="21"/>
              </w:rPr>
              <w:t>1次/a</w:t>
            </w:r>
          </w:p>
        </w:tc>
      </w:tr>
      <w:bookmarkEnd w:id="138"/>
    </w:tbl>
    <w:p w14:paraId="5E810760">
      <w:pPr>
        <w:keepLines/>
        <w:spacing w:before="78" w:line="416" w:lineRule="auto"/>
        <w:rPr>
          <w:b/>
          <w:bCs/>
          <w:sz w:val="24"/>
        </w:rPr>
      </w:pPr>
      <w:r>
        <w:rPr>
          <w:rFonts w:hint="eastAsia"/>
          <w:b/>
          <w:bCs/>
          <w:sz w:val="24"/>
        </w:rPr>
        <w:t>3.3.2.6</w:t>
      </w:r>
      <w:r>
        <w:rPr>
          <w:b/>
          <w:bCs/>
          <w:sz w:val="24"/>
        </w:rPr>
        <w:t>污染物排放汇总</w:t>
      </w:r>
    </w:p>
    <w:p w14:paraId="1704C7CB">
      <w:pPr>
        <w:pStyle w:val="54"/>
        <w:ind w:firstLine="480" w:firstLineChars="200"/>
        <w:rPr>
          <w:rFonts w:ascii="Times New Roman" w:hAnsi="Times New Roman" w:cs="Times New Roman"/>
          <w:lang w:val="en-US"/>
        </w:rPr>
      </w:pPr>
      <w:r>
        <w:rPr>
          <w:rFonts w:ascii="Times New Roman" w:hAnsi="Times New Roman" w:cs="Times New Roman"/>
        </w:rPr>
        <w:t>本项目污染物排放汇总见表</w:t>
      </w:r>
      <w:r>
        <w:rPr>
          <w:rFonts w:ascii="Times New Roman" w:hAnsi="Times New Roman" w:cs="Times New Roman"/>
          <w:lang w:val="en-US"/>
        </w:rPr>
        <w:t>3.</w:t>
      </w:r>
      <w:r>
        <w:rPr>
          <w:rFonts w:hint="eastAsia" w:ascii="Times New Roman" w:hAnsi="Times New Roman" w:cs="Times New Roman"/>
          <w:lang w:val="en-US"/>
        </w:rPr>
        <w:t>3</w:t>
      </w:r>
      <w:r>
        <w:rPr>
          <w:rFonts w:ascii="Times New Roman" w:hAnsi="Times New Roman" w:cs="Times New Roman"/>
          <w:lang w:val="en-US"/>
        </w:rPr>
        <w:t>-</w:t>
      </w:r>
      <w:r>
        <w:rPr>
          <w:rFonts w:hint="eastAsia" w:ascii="Times New Roman" w:hAnsi="Times New Roman" w:cs="Times New Roman"/>
          <w:lang w:val="en-US"/>
        </w:rPr>
        <w:t>11</w:t>
      </w:r>
      <w:r>
        <w:rPr>
          <w:rFonts w:ascii="Times New Roman" w:hAnsi="Times New Roman" w:cs="Times New Roman"/>
          <w:lang w:val="en-US"/>
        </w:rPr>
        <w:t>。</w:t>
      </w:r>
    </w:p>
    <w:p w14:paraId="386D6A61">
      <w:pPr>
        <w:pStyle w:val="217"/>
        <w:spacing w:before="78"/>
        <w:rPr>
          <w:color w:val="auto"/>
        </w:rPr>
      </w:pPr>
      <w:bookmarkStart w:id="139" w:name="_Hlk194847074"/>
      <w:r>
        <w:rPr>
          <w:color w:val="auto"/>
        </w:rPr>
        <w:t>表3.</w:t>
      </w:r>
      <w:r>
        <w:rPr>
          <w:rFonts w:hint="eastAsia"/>
          <w:color w:val="auto"/>
        </w:rPr>
        <w:t>3</w:t>
      </w:r>
      <w:r>
        <w:rPr>
          <w:color w:val="auto"/>
        </w:rPr>
        <w:t>-</w:t>
      </w:r>
      <w:r>
        <w:rPr>
          <w:rFonts w:hint="eastAsia"/>
          <w:color w:val="auto"/>
        </w:rPr>
        <w:t xml:space="preserve">11    </w:t>
      </w:r>
      <w:r>
        <w:rPr>
          <w:color w:val="auto"/>
        </w:rPr>
        <w:t xml:space="preserve">  项目污染物排放总汇表</w:t>
      </w:r>
    </w:p>
    <w:tbl>
      <w:tblPr>
        <w:tblStyle w:val="89"/>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416"/>
        <w:gridCol w:w="1004"/>
        <w:gridCol w:w="681"/>
        <w:gridCol w:w="1162"/>
        <w:gridCol w:w="646"/>
        <w:gridCol w:w="2144"/>
        <w:gridCol w:w="769"/>
        <w:gridCol w:w="771"/>
        <w:gridCol w:w="716"/>
      </w:tblGrid>
      <w:tr w14:paraId="5BC3283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250" w:type="pct"/>
            <w:vAlign w:val="center"/>
          </w:tcPr>
          <w:p w14:paraId="5896D38B">
            <w:pPr>
              <w:snapToGrid w:val="0"/>
              <w:spacing w:before="0" w:beforeLines="0" w:line="240" w:lineRule="auto"/>
              <w:jc w:val="center"/>
              <w:rPr>
                <w:kern w:val="0"/>
                <w:szCs w:val="21"/>
                <w:lang w:bidi="ar"/>
              </w:rPr>
            </w:pPr>
            <w:r>
              <w:rPr>
                <w:kern w:val="0"/>
                <w:szCs w:val="21"/>
                <w:lang w:bidi="ar"/>
              </w:rPr>
              <w:t>类别</w:t>
            </w:r>
          </w:p>
        </w:tc>
        <w:tc>
          <w:tcPr>
            <w:tcW w:w="604" w:type="pct"/>
            <w:vAlign w:val="center"/>
          </w:tcPr>
          <w:p w14:paraId="2D3E6034">
            <w:pPr>
              <w:snapToGrid w:val="0"/>
              <w:spacing w:before="0" w:beforeLines="0" w:line="240" w:lineRule="auto"/>
              <w:jc w:val="center"/>
              <w:rPr>
                <w:kern w:val="0"/>
                <w:szCs w:val="21"/>
                <w:lang w:bidi="ar"/>
              </w:rPr>
            </w:pPr>
            <w:r>
              <w:rPr>
                <w:kern w:val="0"/>
                <w:szCs w:val="21"/>
                <w:lang w:bidi="ar"/>
              </w:rPr>
              <w:t>产污环节</w:t>
            </w:r>
          </w:p>
        </w:tc>
        <w:tc>
          <w:tcPr>
            <w:tcW w:w="410" w:type="pct"/>
            <w:vAlign w:val="center"/>
          </w:tcPr>
          <w:p w14:paraId="4CFD6329">
            <w:pPr>
              <w:snapToGrid w:val="0"/>
              <w:spacing w:before="0" w:beforeLines="0" w:line="240" w:lineRule="auto"/>
              <w:jc w:val="center"/>
              <w:rPr>
                <w:kern w:val="0"/>
                <w:szCs w:val="21"/>
                <w:lang w:bidi="ar"/>
              </w:rPr>
            </w:pPr>
            <w:r>
              <w:rPr>
                <w:kern w:val="0"/>
                <w:szCs w:val="21"/>
                <w:lang w:bidi="ar"/>
              </w:rPr>
              <w:t>污染物</w:t>
            </w:r>
          </w:p>
        </w:tc>
        <w:tc>
          <w:tcPr>
            <w:tcW w:w="699" w:type="pct"/>
            <w:vAlign w:val="center"/>
          </w:tcPr>
          <w:p w14:paraId="2FD2058B">
            <w:pPr>
              <w:snapToGrid w:val="0"/>
              <w:spacing w:before="0" w:beforeLines="0" w:line="240" w:lineRule="auto"/>
              <w:jc w:val="center"/>
              <w:rPr>
                <w:kern w:val="0"/>
                <w:szCs w:val="21"/>
                <w:lang w:bidi="ar"/>
              </w:rPr>
            </w:pPr>
            <w:r>
              <w:rPr>
                <w:kern w:val="0"/>
                <w:szCs w:val="21"/>
                <w:lang w:bidi="ar"/>
              </w:rPr>
              <w:t>核算方法</w:t>
            </w:r>
          </w:p>
        </w:tc>
        <w:tc>
          <w:tcPr>
            <w:tcW w:w="389" w:type="pct"/>
            <w:vAlign w:val="center"/>
          </w:tcPr>
          <w:p w14:paraId="272B83AF">
            <w:pPr>
              <w:snapToGrid w:val="0"/>
              <w:spacing w:before="0" w:beforeLines="0" w:line="240" w:lineRule="auto"/>
              <w:jc w:val="center"/>
              <w:rPr>
                <w:kern w:val="0"/>
                <w:szCs w:val="21"/>
                <w:lang w:bidi="ar"/>
              </w:rPr>
            </w:pPr>
            <w:r>
              <w:rPr>
                <w:kern w:val="0"/>
                <w:szCs w:val="21"/>
                <w:lang w:bidi="ar"/>
              </w:rPr>
              <w:t>产生量t/a</w:t>
            </w:r>
          </w:p>
        </w:tc>
        <w:tc>
          <w:tcPr>
            <w:tcW w:w="1290" w:type="pct"/>
            <w:vAlign w:val="center"/>
          </w:tcPr>
          <w:p w14:paraId="4B67906A">
            <w:pPr>
              <w:snapToGrid w:val="0"/>
              <w:spacing w:before="0" w:beforeLines="0" w:line="240" w:lineRule="auto"/>
              <w:jc w:val="center"/>
              <w:rPr>
                <w:kern w:val="0"/>
                <w:szCs w:val="21"/>
                <w:lang w:bidi="ar"/>
              </w:rPr>
            </w:pPr>
            <w:r>
              <w:rPr>
                <w:kern w:val="0"/>
                <w:szCs w:val="21"/>
                <w:lang w:bidi="ar"/>
              </w:rPr>
              <w:t>污染防治措施</w:t>
            </w:r>
          </w:p>
        </w:tc>
        <w:tc>
          <w:tcPr>
            <w:tcW w:w="463" w:type="pct"/>
            <w:vAlign w:val="center"/>
          </w:tcPr>
          <w:p w14:paraId="5F1C030E">
            <w:pPr>
              <w:snapToGrid w:val="0"/>
              <w:spacing w:before="0" w:beforeLines="0" w:line="240" w:lineRule="auto"/>
              <w:jc w:val="center"/>
              <w:rPr>
                <w:kern w:val="0"/>
                <w:szCs w:val="21"/>
                <w:lang w:bidi="ar"/>
              </w:rPr>
            </w:pPr>
            <w:r>
              <w:rPr>
                <w:kern w:val="0"/>
                <w:szCs w:val="21"/>
                <w:lang w:bidi="ar"/>
              </w:rPr>
              <w:t>排放量t/a</w:t>
            </w:r>
          </w:p>
        </w:tc>
        <w:tc>
          <w:tcPr>
            <w:tcW w:w="464" w:type="pct"/>
            <w:vAlign w:val="center"/>
          </w:tcPr>
          <w:p w14:paraId="50AE140A">
            <w:pPr>
              <w:snapToGrid w:val="0"/>
              <w:spacing w:before="0" w:beforeLines="0" w:line="240" w:lineRule="auto"/>
              <w:jc w:val="center"/>
              <w:rPr>
                <w:kern w:val="0"/>
                <w:szCs w:val="21"/>
                <w:lang w:bidi="ar"/>
              </w:rPr>
            </w:pPr>
            <w:r>
              <w:rPr>
                <w:kern w:val="0"/>
                <w:szCs w:val="21"/>
                <w:lang w:bidi="ar"/>
              </w:rPr>
              <w:t>排放方式</w:t>
            </w:r>
          </w:p>
        </w:tc>
        <w:tc>
          <w:tcPr>
            <w:tcW w:w="431" w:type="pct"/>
            <w:vAlign w:val="center"/>
          </w:tcPr>
          <w:p w14:paraId="4143A950">
            <w:pPr>
              <w:snapToGrid w:val="0"/>
              <w:spacing w:before="0" w:beforeLines="0" w:line="240" w:lineRule="auto"/>
              <w:jc w:val="center"/>
              <w:rPr>
                <w:kern w:val="0"/>
                <w:szCs w:val="21"/>
                <w:lang w:bidi="ar"/>
              </w:rPr>
            </w:pPr>
            <w:r>
              <w:rPr>
                <w:kern w:val="0"/>
                <w:szCs w:val="21"/>
                <w:lang w:bidi="ar"/>
              </w:rPr>
              <w:t>排放去向</w:t>
            </w:r>
          </w:p>
        </w:tc>
      </w:tr>
      <w:tr w14:paraId="1ED4A39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250" w:type="pct"/>
            <w:vMerge w:val="restart"/>
            <w:vAlign w:val="center"/>
          </w:tcPr>
          <w:p w14:paraId="68E9E09A">
            <w:pPr>
              <w:snapToGrid w:val="0"/>
              <w:spacing w:before="0" w:beforeLines="0" w:line="240" w:lineRule="auto"/>
              <w:jc w:val="center"/>
              <w:rPr>
                <w:kern w:val="0"/>
                <w:szCs w:val="21"/>
                <w:lang w:bidi="ar"/>
              </w:rPr>
            </w:pPr>
            <w:r>
              <w:rPr>
                <w:kern w:val="0"/>
                <w:szCs w:val="21"/>
                <w:lang w:bidi="ar"/>
              </w:rPr>
              <w:t>大气污染物</w:t>
            </w:r>
          </w:p>
        </w:tc>
        <w:tc>
          <w:tcPr>
            <w:tcW w:w="604" w:type="pct"/>
            <w:vAlign w:val="center"/>
          </w:tcPr>
          <w:p w14:paraId="6F5A56FF">
            <w:pPr>
              <w:widowControl/>
              <w:snapToGrid w:val="0"/>
              <w:spacing w:before="0" w:beforeLines="0" w:line="240" w:lineRule="auto"/>
              <w:jc w:val="center"/>
              <w:textAlignment w:val="center"/>
              <w:rPr>
                <w:kern w:val="0"/>
                <w:szCs w:val="21"/>
                <w:lang w:bidi="ar"/>
              </w:rPr>
            </w:pPr>
            <w:r>
              <w:rPr>
                <w:kern w:val="0"/>
                <w:szCs w:val="21"/>
                <w:lang w:bidi="ar"/>
              </w:rPr>
              <w:t>G1</w:t>
            </w:r>
          </w:p>
        </w:tc>
        <w:tc>
          <w:tcPr>
            <w:tcW w:w="410" w:type="pct"/>
            <w:vMerge w:val="restart"/>
            <w:vAlign w:val="center"/>
          </w:tcPr>
          <w:p w14:paraId="77C879C8">
            <w:pPr>
              <w:snapToGrid w:val="0"/>
              <w:spacing w:before="0" w:beforeLines="0" w:line="240" w:lineRule="auto"/>
              <w:jc w:val="center"/>
              <w:rPr>
                <w:kern w:val="0"/>
                <w:szCs w:val="21"/>
                <w:lang w:bidi="ar"/>
              </w:rPr>
            </w:pPr>
            <w:r>
              <w:rPr>
                <w:kern w:val="0"/>
                <w:szCs w:val="21"/>
                <w:lang w:bidi="ar"/>
              </w:rPr>
              <w:t>颗粒物</w:t>
            </w:r>
          </w:p>
        </w:tc>
        <w:tc>
          <w:tcPr>
            <w:tcW w:w="699" w:type="pct"/>
            <w:vAlign w:val="center"/>
          </w:tcPr>
          <w:p w14:paraId="60F4E551">
            <w:pPr>
              <w:snapToGrid w:val="0"/>
              <w:spacing w:before="0" w:beforeLines="0" w:line="240" w:lineRule="auto"/>
              <w:jc w:val="center"/>
              <w:rPr>
                <w:kern w:val="0"/>
                <w:szCs w:val="21"/>
                <w:lang w:bidi="ar"/>
              </w:rPr>
            </w:pPr>
            <w:r>
              <w:rPr>
                <w:kern w:val="0"/>
                <w:szCs w:val="21"/>
                <w:lang w:bidi="ar"/>
              </w:rPr>
              <w:t>产污系数法</w:t>
            </w:r>
          </w:p>
        </w:tc>
        <w:tc>
          <w:tcPr>
            <w:tcW w:w="389" w:type="pct"/>
            <w:vAlign w:val="center"/>
          </w:tcPr>
          <w:p w14:paraId="2E0E316A">
            <w:pPr>
              <w:widowControl/>
              <w:snapToGrid w:val="0"/>
              <w:spacing w:before="0" w:beforeLines="0" w:line="240" w:lineRule="auto"/>
              <w:jc w:val="center"/>
              <w:textAlignment w:val="center"/>
              <w:rPr>
                <w:kern w:val="0"/>
                <w:szCs w:val="21"/>
                <w:lang w:bidi="ar"/>
              </w:rPr>
            </w:pPr>
            <w:r>
              <w:rPr>
                <w:kern w:val="0"/>
                <w:szCs w:val="21"/>
                <w:lang w:bidi="ar"/>
              </w:rPr>
              <w:t>972.7</w:t>
            </w:r>
          </w:p>
        </w:tc>
        <w:tc>
          <w:tcPr>
            <w:tcW w:w="1290" w:type="pct"/>
            <w:vAlign w:val="center"/>
          </w:tcPr>
          <w:p w14:paraId="718A72F1">
            <w:pPr>
              <w:widowControl/>
              <w:snapToGrid w:val="0"/>
              <w:spacing w:before="0" w:beforeLines="0" w:line="240" w:lineRule="auto"/>
              <w:jc w:val="center"/>
              <w:textAlignment w:val="center"/>
              <w:rPr>
                <w:kern w:val="0"/>
                <w:szCs w:val="21"/>
                <w:lang w:bidi="ar"/>
              </w:rPr>
            </w:pPr>
            <w:r>
              <w:rPr>
                <w:kern w:val="0"/>
                <w:szCs w:val="21"/>
                <w:lang w:bidi="ar"/>
              </w:rPr>
              <w:t>1#袋式除尘器</w:t>
            </w:r>
          </w:p>
        </w:tc>
        <w:tc>
          <w:tcPr>
            <w:tcW w:w="463" w:type="pct"/>
            <w:vAlign w:val="center"/>
          </w:tcPr>
          <w:p w14:paraId="676873AC">
            <w:pPr>
              <w:widowControl/>
              <w:snapToGrid w:val="0"/>
              <w:spacing w:before="0" w:beforeLines="0" w:line="240" w:lineRule="auto"/>
              <w:jc w:val="center"/>
              <w:textAlignment w:val="center"/>
              <w:rPr>
                <w:kern w:val="0"/>
                <w:szCs w:val="21"/>
                <w:lang w:bidi="ar"/>
              </w:rPr>
            </w:pPr>
            <w:r>
              <w:rPr>
                <w:kern w:val="0"/>
                <w:szCs w:val="21"/>
                <w:lang w:bidi="ar"/>
              </w:rPr>
              <w:t>3.50</w:t>
            </w:r>
          </w:p>
        </w:tc>
        <w:tc>
          <w:tcPr>
            <w:tcW w:w="464" w:type="pct"/>
            <w:vAlign w:val="center"/>
          </w:tcPr>
          <w:p w14:paraId="2D2A6B85">
            <w:pPr>
              <w:snapToGrid w:val="0"/>
              <w:spacing w:before="0" w:beforeLines="0" w:line="240" w:lineRule="auto"/>
              <w:jc w:val="center"/>
              <w:rPr>
                <w:kern w:val="0"/>
                <w:szCs w:val="21"/>
                <w:lang w:bidi="ar"/>
              </w:rPr>
            </w:pPr>
            <w:r>
              <w:rPr>
                <w:kern w:val="0"/>
                <w:szCs w:val="21"/>
                <w:lang w:bidi="ar"/>
              </w:rPr>
              <w:t>有组织</w:t>
            </w:r>
          </w:p>
        </w:tc>
        <w:tc>
          <w:tcPr>
            <w:tcW w:w="431" w:type="pct"/>
            <w:vMerge w:val="restart"/>
            <w:vAlign w:val="center"/>
          </w:tcPr>
          <w:p w14:paraId="4F6BA595">
            <w:pPr>
              <w:snapToGrid w:val="0"/>
              <w:spacing w:before="0" w:beforeLines="0" w:line="240" w:lineRule="auto"/>
              <w:jc w:val="center"/>
              <w:rPr>
                <w:kern w:val="0"/>
                <w:szCs w:val="21"/>
                <w:lang w:bidi="ar"/>
              </w:rPr>
            </w:pPr>
            <w:r>
              <w:rPr>
                <w:kern w:val="0"/>
                <w:szCs w:val="21"/>
                <w:lang w:bidi="ar"/>
              </w:rPr>
              <w:t>环境</w:t>
            </w:r>
          </w:p>
          <w:p w14:paraId="6FBC1DEB">
            <w:pPr>
              <w:snapToGrid w:val="0"/>
              <w:spacing w:before="0" w:beforeLines="0" w:line="240" w:lineRule="auto"/>
              <w:jc w:val="center"/>
              <w:rPr>
                <w:kern w:val="0"/>
                <w:szCs w:val="21"/>
                <w:lang w:bidi="ar"/>
              </w:rPr>
            </w:pPr>
            <w:r>
              <w:rPr>
                <w:kern w:val="0"/>
                <w:szCs w:val="21"/>
                <w:lang w:bidi="ar"/>
              </w:rPr>
              <w:t>空气</w:t>
            </w:r>
          </w:p>
        </w:tc>
      </w:tr>
      <w:tr w14:paraId="196F02E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250" w:type="pct"/>
            <w:vMerge w:val="continue"/>
            <w:vAlign w:val="center"/>
          </w:tcPr>
          <w:p w14:paraId="5E942B1F">
            <w:pPr>
              <w:snapToGrid w:val="0"/>
              <w:spacing w:before="0" w:beforeLines="0" w:line="240" w:lineRule="auto"/>
              <w:jc w:val="center"/>
              <w:rPr>
                <w:kern w:val="0"/>
                <w:szCs w:val="21"/>
                <w:lang w:bidi="ar"/>
              </w:rPr>
            </w:pPr>
          </w:p>
        </w:tc>
        <w:tc>
          <w:tcPr>
            <w:tcW w:w="604" w:type="pct"/>
            <w:vAlign w:val="center"/>
          </w:tcPr>
          <w:p w14:paraId="7547339A">
            <w:pPr>
              <w:widowControl/>
              <w:snapToGrid w:val="0"/>
              <w:spacing w:before="0" w:beforeLines="0" w:line="240" w:lineRule="auto"/>
              <w:jc w:val="center"/>
              <w:textAlignment w:val="center"/>
              <w:rPr>
                <w:kern w:val="0"/>
                <w:szCs w:val="21"/>
                <w:lang w:bidi="ar"/>
              </w:rPr>
            </w:pPr>
            <w:r>
              <w:rPr>
                <w:kern w:val="0"/>
                <w:szCs w:val="21"/>
                <w:lang w:bidi="ar"/>
              </w:rPr>
              <w:t>G2</w:t>
            </w:r>
          </w:p>
        </w:tc>
        <w:tc>
          <w:tcPr>
            <w:tcW w:w="410" w:type="pct"/>
            <w:vMerge w:val="continue"/>
            <w:vAlign w:val="center"/>
          </w:tcPr>
          <w:p w14:paraId="47939800">
            <w:pPr>
              <w:snapToGrid w:val="0"/>
              <w:spacing w:before="0" w:beforeLines="0" w:line="240" w:lineRule="auto"/>
              <w:jc w:val="center"/>
              <w:rPr>
                <w:kern w:val="0"/>
                <w:szCs w:val="21"/>
                <w:lang w:bidi="ar"/>
              </w:rPr>
            </w:pPr>
          </w:p>
        </w:tc>
        <w:tc>
          <w:tcPr>
            <w:tcW w:w="699" w:type="pct"/>
            <w:vAlign w:val="center"/>
          </w:tcPr>
          <w:p w14:paraId="043B17FD">
            <w:pPr>
              <w:snapToGrid w:val="0"/>
              <w:spacing w:before="0" w:beforeLines="0" w:line="240" w:lineRule="auto"/>
              <w:jc w:val="center"/>
              <w:rPr>
                <w:kern w:val="0"/>
                <w:szCs w:val="21"/>
                <w:lang w:bidi="ar"/>
              </w:rPr>
            </w:pPr>
            <w:r>
              <w:rPr>
                <w:kern w:val="0"/>
                <w:szCs w:val="21"/>
                <w:lang w:bidi="ar"/>
              </w:rPr>
              <w:t>产污系数法</w:t>
            </w:r>
          </w:p>
        </w:tc>
        <w:tc>
          <w:tcPr>
            <w:tcW w:w="389" w:type="pct"/>
            <w:vAlign w:val="center"/>
          </w:tcPr>
          <w:p w14:paraId="6A13EC2C">
            <w:pPr>
              <w:widowControl/>
              <w:snapToGrid w:val="0"/>
              <w:spacing w:before="0" w:beforeLines="0" w:line="240" w:lineRule="auto"/>
              <w:jc w:val="center"/>
              <w:textAlignment w:val="center"/>
              <w:rPr>
                <w:kern w:val="0"/>
                <w:szCs w:val="21"/>
                <w:lang w:bidi="ar"/>
              </w:rPr>
            </w:pPr>
            <w:r>
              <w:rPr>
                <w:kern w:val="0"/>
                <w:szCs w:val="21"/>
                <w:lang w:bidi="ar"/>
              </w:rPr>
              <w:t>951.4</w:t>
            </w:r>
          </w:p>
        </w:tc>
        <w:tc>
          <w:tcPr>
            <w:tcW w:w="1290" w:type="pct"/>
            <w:vAlign w:val="center"/>
          </w:tcPr>
          <w:p w14:paraId="195834B8">
            <w:pPr>
              <w:widowControl/>
              <w:snapToGrid w:val="0"/>
              <w:spacing w:before="0" w:beforeLines="0" w:line="240" w:lineRule="auto"/>
              <w:jc w:val="center"/>
              <w:textAlignment w:val="center"/>
              <w:rPr>
                <w:kern w:val="0"/>
                <w:szCs w:val="21"/>
                <w:lang w:bidi="ar"/>
              </w:rPr>
            </w:pPr>
            <w:r>
              <w:rPr>
                <w:kern w:val="0"/>
                <w:szCs w:val="21"/>
                <w:lang w:bidi="ar"/>
              </w:rPr>
              <w:t>2#袋式除尘器</w:t>
            </w:r>
          </w:p>
        </w:tc>
        <w:tc>
          <w:tcPr>
            <w:tcW w:w="463" w:type="pct"/>
            <w:vAlign w:val="center"/>
          </w:tcPr>
          <w:p w14:paraId="67EB3D6D">
            <w:pPr>
              <w:widowControl/>
              <w:snapToGrid w:val="0"/>
              <w:spacing w:before="0" w:beforeLines="0" w:line="240" w:lineRule="auto"/>
              <w:jc w:val="center"/>
              <w:textAlignment w:val="center"/>
              <w:rPr>
                <w:kern w:val="0"/>
                <w:szCs w:val="21"/>
                <w:lang w:bidi="ar"/>
              </w:rPr>
            </w:pPr>
            <w:r>
              <w:rPr>
                <w:kern w:val="0"/>
                <w:szCs w:val="21"/>
                <w:lang w:bidi="ar"/>
              </w:rPr>
              <w:t>3.62</w:t>
            </w:r>
          </w:p>
        </w:tc>
        <w:tc>
          <w:tcPr>
            <w:tcW w:w="464" w:type="pct"/>
            <w:vAlign w:val="center"/>
          </w:tcPr>
          <w:p w14:paraId="46A05C7C">
            <w:pPr>
              <w:snapToGrid w:val="0"/>
              <w:spacing w:before="0" w:beforeLines="0" w:line="240" w:lineRule="auto"/>
              <w:jc w:val="center"/>
              <w:rPr>
                <w:kern w:val="0"/>
                <w:szCs w:val="21"/>
                <w:lang w:bidi="ar"/>
              </w:rPr>
            </w:pPr>
            <w:r>
              <w:rPr>
                <w:kern w:val="0"/>
                <w:szCs w:val="21"/>
                <w:lang w:bidi="ar"/>
              </w:rPr>
              <w:t>有组织</w:t>
            </w:r>
          </w:p>
        </w:tc>
        <w:tc>
          <w:tcPr>
            <w:tcW w:w="431" w:type="pct"/>
            <w:vMerge w:val="continue"/>
            <w:vAlign w:val="center"/>
          </w:tcPr>
          <w:p w14:paraId="1108CB61">
            <w:pPr>
              <w:snapToGrid w:val="0"/>
              <w:spacing w:before="0" w:beforeLines="0" w:line="240" w:lineRule="auto"/>
              <w:jc w:val="center"/>
              <w:rPr>
                <w:kern w:val="0"/>
                <w:szCs w:val="21"/>
                <w:lang w:bidi="ar"/>
              </w:rPr>
            </w:pPr>
          </w:p>
        </w:tc>
      </w:tr>
      <w:tr w14:paraId="1184DA6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250" w:type="pct"/>
            <w:vMerge w:val="continue"/>
            <w:vAlign w:val="center"/>
          </w:tcPr>
          <w:p w14:paraId="52CF60BC">
            <w:pPr>
              <w:snapToGrid w:val="0"/>
              <w:spacing w:before="0" w:beforeLines="0" w:line="240" w:lineRule="auto"/>
              <w:jc w:val="center"/>
              <w:rPr>
                <w:kern w:val="0"/>
                <w:szCs w:val="21"/>
                <w:lang w:bidi="ar"/>
              </w:rPr>
            </w:pPr>
          </w:p>
        </w:tc>
        <w:tc>
          <w:tcPr>
            <w:tcW w:w="604" w:type="pct"/>
            <w:vAlign w:val="center"/>
          </w:tcPr>
          <w:p w14:paraId="78BF000F">
            <w:pPr>
              <w:widowControl/>
              <w:snapToGrid w:val="0"/>
              <w:spacing w:before="0" w:beforeLines="0" w:line="240" w:lineRule="auto"/>
              <w:jc w:val="center"/>
              <w:textAlignment w:val="center"/>
              <w:rPr>
                <w:kern w:val="0"/>
                <w:szCs w:val="21"/>
                <w:lang w:bidi="ar"/>
              </w:rPr>
            </w:pPr>
            <w:r>
              <w:rPr>
                <w:kern w:val="0"/>
                <w:szCs w:val="21"/>
                <w:lang w:bidi="ar"/>
              </w:rPr>
              <w:t>G3</w:t>
            </w:r>
            <w:r>
              <w:rPr>
                <w:rFonts w:hint="eastAsia"/>
                <w:kern w:val="0"/>
                <w:szCs w:val="21"/>
                <w:lang w:bidi="ar"/>
              </w:rPr>
              <w:t>、G4</w:t>
            </w:r>
          </w:p>
        </w:tc>
        <w:tc>
          <w:tcPr>
            <w:tcW w:w="410" w:type="pct"/>
            <w:vMerge w:val="continue"/>
            <w:vAlign w:val="center"/>
          </w:tcPr>
          <w:p w14:paraId="527231A4">
            <w:pPr>
              <w:snapToGrid w:val="0"/>
              <w:spacing w:before="0" w:beforeLines="0" w:line="240" w:lineRule="auto"/>
              <w:jc w:val="center"/>
              <w:rPr>
                <w:kern w:val="0"/>
                <w:szCs w:val="21"/>
                <w:lang w:bidi="ar"/>
              </w:rPr>
            </w:pPr>
          </w:p>
        </w:tc>
        <w:tc>
          <w:tcPr>
            <w:tcW w:w="699" w:type="pct"/>
            <w:vAlign w:val="center"/>
          </w:tcPr>
          <w:p w14:paraId="01E73387">
            <w:pPr>
              <w:snapToGrid w:val="0"/>
              <w:spacing w:before="0" w:beforeLines="0" w:line="240" w:lineRule="auto"/>
              <w:jc w:val="center"/>
              <w:rPr>
                <w:kern w:val="0"/>
                <w:szCs w:val="21"/>
                <w:lang w:bidi="ar"/>
              </w:rPr>
            </w:pPr>
            <w:r>
              <w:rPr>
                <w:kern w:val="0"/>
                <w:szCs w:val="21"/>
                <w:lang w:bidi="ar"/>
              </w:rPr>
              <w:t>产污系数法</w:t>
            </w:r>
          </w:p>
        </w:tc>
        <w:tc>
          <w:tcPr>
            <w:tcW w:w="389" w:type="pct"/>
            <w:vAlign w:val="center"/>
          </w:tcPr>
          <w:p w14:paraId="1DB07871">
            <w:pPr>
              <w:widowControl/>
              <w:snapToGrid w:val="0"/>
              <w:spacing w:before="0" w:beforeLines="0" w:line="240" w:lineRule="auto"/>
              <w:jc w:val="center"/>
              <w:textAlignment w:val="center"/>
              <w:rPr>
                <w:kern w:val="0"/>
                <w:szCs w:val="21"/>
                <w:lang w:bidi="ar"/>
              </w:rPr>
            </w:pPr>
            <w:r>
              <w:rPr>
                <w:rFonts w:hint="eastAsia"/>
                <w:kern w:val="0"/>
                <w:szCs w:val="21"/>
                <w:lang w:bidi="ar"/>
              </w:rPr>
              <w:t>1212.4</w:t>
            </w:r>
          </w:p>
        </w:tc>
        <w:tc>
          <w:tcPr>
            <w:tcW w:w="1290" w:type="pct"/>
            <w:vAlign w:val="center"/>
          </w:tcPr>
          <w:p w14:paraId="16095BF3">
            <w:pPr>
              <w:widowControl/>
              <w:snapToGrid w:val="0"/>
              <w:spacing w:before="0" w:beforeLines="0" w:line="240" w:lineRule="auto"/>
              <w:jc w:val="center"/>
              <w:textAlignment w:val="center"/>
              <w:rPr>
                <w:kern w:val="0"/>
                <w:szCs w:val="21"/>
                <w:lang w:bidi="ar"/>
              </w:rPr>
            </w:pPr>
            <w:r>
              <w:rPr>
                <w:kern w:val="0"/>
                <w:szCs w:val="21"/>
                <w:lang w:bidi="ar"/>
              </w:rPr>
              <w:t>3#袋式除尘器</w:t>
            </w:r>
          </w:p>
        </w:tc>
        <w:tc>
          <w:tcPr>
            <w:tcW w:w="463" w:type="pct"/>
            <w:vAlign w:val="center"/>
          </w:tcPr>
          <w:p w14:paraId="00193C0B">
            <w:pPr>
              <w:widowControl/>
              <w:snapToGrid w:val="0"/>
              <w:spacing w:before="0" w:beforeLines="0" w:line="240" w:lineRule="auto"/>
              <w:jc w:val="center"/>
              <w:textAlignment w:val="center"/>
              <w:rPr>
                <w:kern w:val="0"/>
                <w:szCs w:val="21"/>
                <w:lang w:bidi="ar"/>
              </w:rPr>
            </w:pPr>
            <w:r>
              <w:rPr>
                <w:rFonts w:hint="eastAsia"/>
                <w:kern w:val="0"/>
                <w:szCs w:val="21"/>
                <w:lang w:bidi="ar"/>
              </w:rPr>
              <w:t>4.61</w:t>
            </w:r>
          </w:p>
        </w:tc>
        <w:tc>
          <w:tcPr>
            <w:tcW w:w="464" w:type="pct"/>
            <w:vAlign w:val="center"/>
          </w:tcPr>
          <w:p w14:paraId="63211F67">
            <w:pPr>
              <w:snapToGrid w:val="0"/>
              <w:spacing w:before="0" w:beforeLines="0" w:line="240" w:lineRule="auto"/>
              <w:jc w:val="center"/>
              <w:rPr>
                <w:kern w:val="0"/>
                <w:szCs w:val="21"/>
                <w:lang w:bidi="ar"/>
              </w:rPr>
            </w:pPr>
            <w:r>
              <w:rPr>
                <w:kern w:val="0"/>
                <w:szCs w:val="21"/>
                <w:lang w:bidi="ar"/>
              </w:rPr>
              <w:t>有组织</w:t>
            </w:r>
          </w:p>
        </w:tc>
        <w:tc>
          <w:tcPr>
            <w:tcW w:w="431" w:type="pct"/>
            <w:vMerge w:val="continue"/>
            <w:vAlign w:val="center"/>
          </w:tcPr>
          <w:p w14:paraId="08BE8F1C">
            <w:pPr>
              <w:snapToGrid w:val="0"/>
              <w:spacing w:before="0" w:beforeLines="0" w:line="240" w:lineRule="auto"/>
              <w:jc w:val="center"/>
              <w:rPr>
                <w:kern w:val="0"/>
                <w:szCs w:val="21"/>
                <w:lang w:bidi="ar"/>
              </w:rPr>
            </w:pPr>
          </w:p>
        </w:tc>
      </w:tr>
      <w:tr w14:paraId="435BA52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250" w:type="pct"/>
            <w:vMerge w:val="continue"/>
            <w:vAlign w:val="center"/>
          </w:tcPr>
          <w:p w14:paraId="7FAEC043">
            <w:pPr>
              <w:snapToGrid w:val="0"/>
              <w:spacing w:before="0" w:beforeLines="0" w:line="240" w:lineRule="auto"/>
              <w:jc w:val="center"/>
              <w:rPr>
                <w:kern w:val="0"/>
                <w:szCs w:val="21"/>
                <w:lang w:bidi="ar"/>
              </w:rPr>
            </w:pPr>
          </w:p>
        </w:tc>
        <w:tc>
          <w:tcPr>
            <w:tcW w:w="604" w:type="pct"/>
            <w:vAlign w:val="center"/>
          </w:tcPr>
          <w:p w14:paraId="6E12D4F5">
            <w:pPr>
              <w:widowControl/>
              <w:snapToGrid w:val="0"/>
              <w:spacing w:before="0" w:beforeLines="0" w:line="240" w:lineRule="auto"/>
              <w:jc w:val="center"/>
              <w:textAlignment w:val="center"/>
              <w:rPr>
                <w:kern w:val="0"/>
                <w:szCs w:val="21"/>
                <w:lang w:bidi="ar"/>
              </w:rPr>
            </w:pPr>
            <w:r>
              <w:rPr>
                <w:kern w:val="0"/>
                <w:szCs w:val="21"/>
                <w:lang w:bidi="ar"/>
              </w:rPr>
              <w:t>G5</w:t>
            </w:r>
            <w:r>
              <w:rPr>
                <w:rFonts w:hint="eastAsia"/>
                <w:kern w:val="0"/>
                <w:szCs w:val="21"/>
                <w:lang w:bidi="ar"/>
              </w:rPr>
              <w:t>-</w:t>
            </w:r>
            <w:r>
              <w:rPr>
                <w:kern w:val="0"/>
                <w:szCs w:val="21"/>
                <w:lang w:bidi="ar"/>
              </w:rPr>
              <w:t>G10</w:t>
            </w:r>
          </w:p>
        </w:tc>
        <w:tc>
          <w:tcPr>
            <w:tcW w:w="410" w:type="pct"/>
            <w:vMerge w:val="continue"/>
            <w:vAlign w:val="center"/>
          </w:tcPr>
          <w:p w14:paraId="6380A493">
            <w:pPr>
              <w:snapToGrid w:val="0"/>
              <w:spacing w:before="0" w:beforeLines="0" w:line="240" w:lineRule="auto"/>
              <w:jc w:val="center"/>
              <w:rPr>
                <w:kern w:val="0"/>
                <w:szCs w:val="21"/>
                <w:lang w:bidi="ar"/>
              </w:rPr>
            </w:pPr>
          </w:p>
        </w:tc>
        <w:tc>
          <w:tcPr>
            <w:tcW w:w="699" w:type="pct"/>
            <w:vAlign w:val="center"/>
          </w:tcPr>
          <w:p w14:paraId="5936990E">
            <w:pPr>
              <w:snapToGrid w:val="0"/>
              <w:spacing w:before="0" w:beforeLines="0" w:line="240" w:lineRule="auto"/>
              <w:jc w:val="center"/>
              <w:rPr>
                <w:kern w:val="0"/>
                <w:szCs w:val="21"/>
                <w:lang w:bidi="ar"/>
              </w:rPr>
            </w:pPr>
            <w:r>
              <w:rPr>
                <w:kern w:val="0"/>
                <w:szCs w:val="21"/>
                <w:lang w:bidi="ar"/>
              </w:rPr>
              <w:t>产污系数法</w:t>
            </w:r>
          </w:p>
        </w:tc>
        <w:tc>
          <w:tcPr>
            <w:tcW w:w="389" w:type="pct"/>
            <w:vAlign w:val="center"/>
          </w:tcPr>
          <w:p w14:paraId="1E9A9F61">
            <w:pPr>
              <w:widowControl/>
              <w:snapToGrid w:val="0"/>
              <w:spacing w:before="0" w:beforeLines="0" w:line="240" w:lineRule="auto"/>
              <w:jc w:val="center"/>
              <w:textAlignment w:val="center"/>
              <w:rPr>
                <w:kern w:val="0"/>
                <w:szCs w:val="21"/>
                <w:lang w:bidi="ar"/>
              </w:rPr>
            </w:pPr>
            <w:r>
              <w:rPr>
                <w:kern w:val="0"/>
                <w:szCs w:val="21"/>
                <w:lang w:bidi="ar"/>
              </w:rPr>
              <w:t>448.65</w:t>
            </w:r>
          </w:p>
        </w:tc>
        <w:tc>
          <w:tcPr>
            <w:tcW w:w="1290" w:type="pct"/>
            <w:vAlign w:val="center"/>
          </w:tcPr>
          <w:p w14:paraId="2CE1184B">
            <w:pPr>
              <w:widowControl/>
              <w:snapToGrid w:val="0"/>
              <w:spacing w:before="0" w:beforeLines="0" w:line="240" w:lineRule="auto"/>
              <w:jc w:val="center"/>
              <w:textAlignment w:val="center"/>
              <w:rPr>
                <w:kern w:val="0"/>
                <w:szCs w:val="21"/>
                <w:lang w:bidi="ar"/>
              </w:rPr>
            </w:pPr>
            <w:r>
              <w:rPr>
                <w:rFonts w:hint="eastAsia"/>
                <w:kern w:val="0"/>
                <w:szCs w:val="21"/>
                <w:lang w:bidi="ar"/>
              </w:rPr>
              <w:t>4</w:t>
            </w:r>
            <w:r>
              <w:rPr>
                <w:kern w:val="0"/>
                <w:szCs w:val="21"/>
                <w:lang w:bidi="ar"/>
              </w:rPr>
              <w:t>#袋式除尘器</w:t>
            </w:r>
          </w:p>
        </w:tc>
        <w:tc>
          <w:tcPr>
            <w:tcW w:w="463" w:type="pct"/>
            <w:vAlign w:val="center"/>
          </w:tcPr>
          <w:p w14:paraId="526DB6BC">
            <w:pPr>
              <w:widowControl/>
              <w:snapToGrid w:val="0"/>
              <w:spacing w:before="0" w:beforeLines="0" w:line="240" w:lineRule="auto"/>
              <w:jc w:val="center"/>
              <w:textAlignment w:val="center"/>
              <w:rPr>
                <w:kern w:val="0"/>
                <w:szCs w:val="21"/>
                <w:lang w:bidi="ar"/>
              </w:rPr>
            </w:pPr>
            <w:r>
              <w:rPr>
                <w:kern w:val="0"/>
                <w:szCs w:val="21"/>
                <w:lang w:bidi="ar"/>
              </w:rPr>
              <w:t>1.68</w:t>
            </w:r>
          </w:p>
        </w:tc>
        <w:tc>
          <w:tcPr>
            <w:tcW w:w="464" w:type="pct"/>
            <w:vAlign w:val="center"/>
          </w:tcPr>
          <w:p w14:paraId="56081AB2">
            <w:pPr>
              <w:snapToGrid w:val="0"/>
              <w:spacing w:before="0" w:beforeLines="0" w:line="240" w:lineRule="auto"/>
              <w:jc w:val="center"/>
              <w:rPr>
                <w:kern w:val="0"/>
                <w:szCs w:val="21"/>
                <w:lang w:bidi="ar"/>
              </w:rPr>
            </w:pPr>
            <w:r>
              <w:rPr>
                <w:kern w:val="0"/>
                <w:szCs w:val="21"/>
                <w:lang w:bidi="ar"/>
              </w:rPr>
              <w:t>有组织</w:t>
            </w:r>
          </w:p>
        </w:tc>
        <w:tc>
          <w:tcPr>
            <w:tcW w:w="431" w:type="pct"/>
            <w:vMerge w:val="continue"/>
            <w:vAlign w:val="center"/>
          </w:tcPr>
          <w:p w14:paraId="0FF4F4AF">
            <w:pPr>
              <w:snapToGrid w:val="0"/>
              <w:spacing w:before="0" w:beforeLines="0" w:line="240" w:lineRule="auto"/>
              <w:jc w:val="center"/>
              <w:rPr>
                <w:kern w:val="0"/>
                <w:szCs w:val="21"/>
                <w:lang w:bidi="ar"/>
              </w:rPr>
            </w:pPr>
          </w:p>
        </w:tc>
      </w:tr>
      <w:tr w14:paraId="5C5A4DD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250" w:type="pct"/>
            <w:vMerge w:val="continue"/>
            <w:vAlign w:val="center"/>
          </w:tcPr>
          <w:p w14:paraId="2DDACEBD">
            <w:pPr>
              <w:snapToGrid w:val="0"/>
              <w:spacing w:before="0" w:beforeLines="0" w:line="240" w:lineRule="auto"/>
              <w:jc w:val="center"/>
              <w:rPr>
                <w:kern w:val="0"/>
                <w:szCs w:val="21"/>
                <w:lang w:bidi="ar"/>
              </w:rPr>
            </w:pPr>
          </w:p>
        </w:tc>
        <w:tc>
          <w:tcPr>
            <w:tcW w:w="604" w:type="pct"/>
            <w:vAlign w:val="center"/>
          </w:tcPr>
          <w:p w14:paraId="3E39E3C7">
            <w:pPr>
              <w:widowControl/>
              <w:snapToGrid w:val="0"/>
              <w:spacing w:before="0" w:beforeLines="0" w:line="240" w:lineRule="auto"/>
              <w:jc w:val="center"/>
              <w:textAlignment w:val="center"/>
              <w:rPr>
                <w:kern w:val="0"/>
                <w:szCs w:val="21"/>
                <w:lang w:bidi="ar"/>
              </w:rPr>
            </w:pPr>
            <w:r>
              <w:rPr>
                <w:kern w:val="0"/>
                <w:szCs w:val="21"/>
                <w:lang w:bidi="ar"/>
              </w:rPr>
              <w:t>抛砂车间</w:t>
            </w:r>
          </w:p>
        </w:tc>
        <w:tc>
          <w:tcPr>
            <w:tcW w:w="410" w:type="pct"/>
            <w:vMerge w:val="continue"/>
            <w:vAlign w:val="center"/>
          </w:tcPr>
          <w:p w14:paraId="4DE42F32">
            <w:pPr>
              <w:snapToGrid w:val="0"/>
              <w:spacing w:before="0" w:beforeLines="0" w:line="240" w:lineRule="auto"/>
              <w:jc w:val="center"/>
              <w:rPr>
                <w:kern w:val="0"/>
                <w:szCs w:val="21"/>
                <w:lang w:bidi="ar"/>
              </w:rPr>
            </w:pPr>
          </w:p>
        </w:tc>
        <w:tc>
          <w:tcPr>
            <w:tcW w:w="699" w:type="pct"/>
            <w:vAlign w:val="center"/>
          </w:tcPr>
          <w:p w14:paraId="45F36C34">
            <w:pPr>
              <w:snapToGrid w:val="0"/>
              <w:spacing w:before="0" w:beforeLines="0" w:line="240" w:lineRule="auto"/>
              <w:jc w:val="center"/>
              <w:rPr>
                <w:kern w:val="0"/>
                <w:szCs w:val="21"/>
                <w:lang w:bidi="ar"/>
              </w:rPr>
            </w:pPr>
            <w:r>
              <w:rPr>
                <w:kern w:val="0"/>
                <w:szCs w:val="21"/>
                <w:lang w:bidi="ar"/>
              </w:rPr>
              <w:t>产污系数法</w:t>
            </w:r>
          </w:p>
        </w:tc>
        <w:tc>
          <w:tcPr>
            <w:tcW w:w="389" w:type="pct"/>
            <w:vAlign w:val="center"/>
          </w:tcPr>
          <w:p w14:paraId="268AD4F8">
            <w:pPr>
              <w:widowControl/>
              <w:snapToGrid w:val="0"/>
              <w:spacing w:before="0" w:beforeLines="0" w:line="240" w:lineRule="auto"/>
              <w:jc w:val="center"/>
              <w:textAlignment w:val="center"/>
              <w:rPr>
                <w:kern w:val="0"/>
                <w:szCs w:val="21"/>
                <w:lang w:bidi="ar"/>
              </w:rPr>
            </w:pPr>
            <w:r>
              <w:rPr>
                <w:kern w:val="0"/>
                <w:szCs w:val="21"/>
                <w:lang w:bidi="ar"/>
              </w:rPr>
              <w:t>2</w:t>
            </w:r>
            <w:r>
              <w:rPr>
                <w:rFonts w:hint="eastAsia"/>
                <w:kern w:val="0"/>
                <w:szCs w:val="21"/>
                <w:lang w:bidi="ar"/>
              </w:rPr>
              <w:t>9</w:t>
            </w:r>
            <w:r>
              <w:rPr>
                <w:kern w:val="0"/>
                <w:szCs w:val="21"/>
                <w:lang w:bidi="ar"/>
              </w:rPr>
              <w:t>2.</w:t>
            </w:r>
            <w:r>
              <w:rPr>
                <w:rFonts w:hint="eastAsia"/>
                <w:kern w:val="0"/>
                <w:szCs w:val="21"/>
                <w:lang w:bidi="ar"/>
              </w:rPr>
              <w:t>23</w:t>
            </w:r>
          </w:p>
        </w:tc>
        <w:tc>
          <w:tcPr>
            <w:tcW w:w="1290" w:type="pct"/>
            <w:vMerge w:val="restart"/>
            <w:vAlign w:val="center"/>
          </w:tcPr>
          <w:p w14:paraId="3718EBE9">
            <w:pPr>
              <w:widowControl/>
              <w:snapToGrid w:val="0"/>
              <w:spacing w:before="0" w:beforeLines="0" w:line="240" w:lineRule="auto"/>
              <w:jc w:val="center"/>
              <w:textAlignment w:val="center"/>
              <w:rPr>
                <w:kern w:val="0"/>
                <w:szCs w:val="21"/>
                <w:lang w:bidi="ar"/>
              </w:rPr>
            </w:pPr>
            <w:r>
              <w:rPr>
                <w:kern w:val="0"/>
                <w:szCs w:val="21"/>
                <w:lang w:bidi="ar"/>
              </w:rPr>
              <w:t>车间洒水+车间</w:t>
            </w:r>
            <w:r>
              <w:rPr>
                <w:rFonts w:hint="eastAsia"/>
                <w:kern w:val="0"/>
                <w:szCs w:val="21"/>
                <w:lang w:bidi="ar"/>
              </w:rPr>
              <w:t>封闭</w:t>
            </w:r>
          </w:p>
        </w:tc>
        <w:tc>
          <w:tcPr>
            <w:tcW w:w="463" w:type="pct"/>
            <w:vAlign w:val="center"/>
          </w:tcPr>
          <w:p w14:paraId="521F1DDD">
            <w:pPr>
              <w:widowControl/>
              <w:snapToGrid w:val="0"/>
              <w:spacing w:before="0" w:beforeLines="0" w:line="240" w:lineRule="auto"/>
              <w:jc w:val="center"/>
              <w:textAlignment w:val="center"/>
              <w:rPr>
                <w:kern w:val="0"/>
                <w:szCs w:val="21"/>
                <w:lang w:bidi="ar"/>
              </w:rPr>
            </w:pPr>
            <w:r>
              <w:rPr>
                <w:rFonts w:hint="eastAsia"/>
                <w:kern w:val="0"/>
                <w:szCs w:val="21"/>
                <w:lang w:bidi="ar"/>
              </w:rPr>
              <w:t>14.61</w:t>
            </w:r>
          </w:p>
        </w:tc>
        <w:tc>
          <w:tcPr>
            <w:tcW w:w="464" w:type="pct"/>
            <w:vAlign w:val="center"/>
          </w:tcPr>
          <w:p w14:paraId="0EC9876C">
            <w:pPr>
              <w:snapToGrid w:val="0"/>
              <w:spacing w:before="0" w:beforeLines="0" w:line="240" w:lineRule="auto"/>
              <w:jc w:val="center"/>
              <w:rPr>
                <w:kern w:val="0"/>
                <w:szCs w:val="21"/>
                <w:lang w:bidi="ar"/>
              </w:rPr>
            </w:pPr>
            <w:r>
              <w:rPr>
                <w:kern w:val="0"/>
                <w:szCs w:val="21"/>
                <w:lang w:bidi="ar"/>
              </w:rPr>
              <w:t>无组织</w:t>
            </w:r>
          </w:p>
        </w:tc>
        <w:tc>
          <w:tcPr>
            <w:tcW w:w="431" w:type="pct"/>
            <w:vMerge w:val="continue"/>
            <w:vAlign w:val="center"/>
          </w:tcPr>
          <w:p w14:paraId="645CEF6E">
            <w:pPr>
              <w:snapToGrid w:val="0"/>
              <w:spacing w:before="0" w:beforeLines="0" w:line="240" w:lineRule="auto"/>
              <w:jc w:val="center"/>
              <w:rPr>
                <w:kern w:val="0"/>
                <w:szCs w:val="21"/>
                <w:lang w:bidi="ar"/>
              </w:rPr>
            </w:pPr>
          </w:p>
        </w:tc>
      </w:tr>
      <w:tr w14:paraId="3F98D74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250" w:type="pct"/>
            <w:vMerge w:val="continue"/>
            <w:vAlign w:val="center"/>
          </w:tcPr>
          <w:p w14:paraId="0F681243">
            <w:pPr>
              <w:snapToGrid w:val="0"/>
              <w:spacing w:before="0" w:beforeLines="0" w:line="240" w:lineRule="auto"/>
              <w:jc w:val="center"/>
              <w:rPr>
                <w:kern w:val="0"/>
                <w:szCs w:val="21"/>
                <w:lang w:bidi="ar"/>
              </w:rPr>
            </w:pPr>
          </w:p>
        </w:tc>
        <w:tc>
          <w:tcPr>
            <w:tcW w:w="604" w:type="pct"/>
            <w:vAlign w:val="center"/>
          </w:tcPr>
          <w:p w14:paraId="269144D2">
            <w:pPr>
              <w:widowControl/>
              <w:snapToGrid w:val="0"/>
              <w:spacing w:before="0" w:beforeLines="0" w:line="240" w:lineRule="auto"/>
              <w:jc w:val="center"/>
              <w:textAlignment w:val="center"/>
              <w:rPr>
                <w:kern w:val="0"/>
                <w:szCs w:val="21"/>
                <w:lang w:bidi="ar"/>
              </w:rPr>
            </w:pPr>
            <w:r>
              <w:rPr>
                <w:rFonts w:hint="eastAsia"/>
                <w:kern w:val="0"/>
                <w:szCs w:val="21"/>
                <w:lang w:bidi="ar"/>
              </w:rPr>
              <w:t>机制砂库</w:t>
            </w:r>
          </w:p>
        </w:tc>
        <w:tc>
          <w:tcPr>
            <w:tcW w:w="410" w:type="pct"/>
            <w:vMerge w:val="continue"/>
            <w:vAlign w:val="center"/>
          </w:tcPr>
          <w:p w14:paraId="2E09F3C6">
            <w:pPr>
              <w:snapToGrid w:val="0"/>
              <w:spacing w:before="0" w:beforeLines="0" w:line="240" w:lineRule="auto"/>
              <w:jc w:val="center"/>
              <w:rPr>
                <w:kern w:val="0"/>
                <w:szCs w:val="21"/>
                <w:lang w:bidi="ar"/>
              </w:rPr>
            </w:pPr>
          </w:p>
        </w:tc>
        <w:tc>
          <w:tcPr>
            <w:tcW w:w="699" w:type="pct"/>
            <w:vAlign w:val="center"/>
          </w:tcPr>
          <w:p w14:paraId="4ED9B158">
            <w:pPr>
              <w:snapToGrid w:val="0"/>
              <w:spacing w:before="0" w:beforeLines="0" w:line="240" w:lineRule="auto"/>
              <w:jc w:val="center"/>
              <w:rPr>
                <w:kern w:val="0"/>
                <w:szCs w:val="21"/>
                <w:lang w:bidi="ar"/>
              </w:rPr>
            </w:pPr>
            <w:r>
              <w:rPr>
                <w:kern w:val="0"/>
                <w:szCs w:val="21"/>
                <w:lang w:bidi="ar"/>
              </w:rPr>
              <w:t>产污系数法</w:t>
            </w:r>
          </w:p>
        </w:tc>
        <w:tc>
          <w:tcPr>
            <w:tcW w:w="389" w:type="pct"/>
            <w:vAlign w:val="center"/>
          </w:tcPr>
          <w:p w14:paraId="10756293">
            <w:pPr>
              <w:widowControl/>
              <w:snapToGrid w:val="0"/>
              <w:spacing w:before="0" w:beforeLines="0" w:line="240" w:lineRule="auto"/>
              <w:jc w:val="center"/>
              <w:textAlignment w:val="center"/>
              <w:rPr>
                <w:kern w:val="0"/>
                <w:szCs w:val="21"/>
                <w:lang w:bidi="ar"/>
              </w:rPr>
            </w:pPr>
            <w:r>
              <w:rPr>
                <w:rFonts w:hint="eastAsia"/>
                <w:kern w:val="0"/>
                <w:szCs w:val="21"/>
                <w:lang w:bidi="ar"/>
              </w:rPr>
              <w:t>40.62</w:t>
            </w:r>
          </w:p>
        </w:tc>
        <w:tc>
          <w:tcPr>
            <w:tcW w:w="1290" w:type="pct"/>
            <w:vMerge w:val="continue"/>
            <w:vAlign w:val="center"/>
          </w:tcPr>
          <w:p w14:paraId="02536092">
            <w:pPr>
              <w:snapToGrid w:val="0"/>
              <w:spacing w:before="0" w:beforeLines="0" w:line="240" w:lineRule="auto"/>
              <w:jc w:val="center"/>
              <w:textAlignment w:val="center"/>
              <w:rPr>
                <w:kern w:val="0"/>
                <w:szCs w:val="21"/>
                <w:lang w:bidi="ar"/>
              </w:rPr>
            </w:pPr>
          </w:p>
        </w:tc>
        <w:tc>
          <w:tcPr>
            <w:tcW w:w="463" w:type="pct"/>
            <w:vAlign w:val="center"/>
          </w:tcPr>
          <w:p w14:paraId="53AC793C">
            <w:pPr>
              <w:widowControl/>
              <w:snapToGrid w:val="0"/>
              <w:spacing w:before="0" w:beforeLines="0" w:line="240" w:lineRule="auto"/>
              <w:jc w:val="center"/>
              <w:textAlignment w:val="center"/>
              <w:rPr>
                <w:kern w:val="0"/>
                <w:szCs w:val="21"/>
                <w:lang w:bidi="ar"/>
              </w:rPr>
            </w:pPr>
            <w:r>
              <w:rPr>
                <w:rFonts w:hint="eastAsia"/>
                <w:kern w:val="0"/>
                <w:szCs w:val="21"/>
                <w:lang w:bidi="ar"/>
              </w:rPr>
              <w:t>2.03</w:t>
            </w:r>
          </w:p>
        </w:tc>
        <w:tc>
          <w:tcPr>
            <w:tcW w:w="464" w:type="pct"/>
            <w:vAlign w:val="center"/>
          </w:tcPr>
          <w:p w14:paraId="1AB3D57B">
            <w:pPr>
              <w:snapToGrid w:val="0"/>
              <w:spacing w:before="0" w:beforeLines="0" w:line="240" w:lineRule="auto"/>
              <w:jc w:val="center"/>
              <w:rPr>
                <w:kern w:val="0"/>
                <w:szCs w:val="21"/>
                <w:lang w:bidi="ar"/>
              </w:rPr>
            </w:pPr>
            <w:r>
              <w:rPr>
                <w:kern w:val="0"/>
                <w:szCs w:val="21"/>
                <w:lang w:bidi="ar"/>
              </w:rPr>
              <w:t>无组织</w:t>
            </w:r>
          </w:p>
        </w:tc>
        <w:tc>
          <w:tcPr>
            <w:tcW w:w="431" w:type="pct"/>
            <w:vMerge w:val="continue"/>
            <w:vAlign w:val="center"/>
          </w:tcPr>
          <w:p w14:paraId="0011A2A2">
            <w:pPr>
              <w:snapToGrid w:val="0"/>
              <w:spacing w:before="0" w:beforeLines="0" w:line="240" w:lineRule="auto"/>
              <w:jc w:val="center"/>
              <w:rPr>
                <w:kern w:val="0"/>
                <w:szCs w:val="21"/>
                <w:lang w:bidi="ar"/>
              </w:rPr>
            </w:pPr>
          </w:p>
        </w:tc>
      </w:tr>
      <w:tr w14:paraId="7F3051A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250" w:type="pct"/>
            <w:vMerge w:val="continue"/>
            <w:vAlign w:val="center"/>
          </w:tcPr>
          <w:p w14:paraId="7F9F6E77">
            <w:pPr>
              <w:snapToGrid w:val="0"/>
              <w:spacing w:before="0" w:beforeLines="0" w:line="240" w:lineRule="auto"/>
              <w:jc w:val="center"/>
              <w:rPr>
                <w:kern w:val="0"/>
                <w:szCs w:val="21"/>
                <w:lang w:bidi="ar"/>
              </w:rPr>
            </w:pPr>
          </w:p>
        </w:tc>
        <w:tc>
          <w:tcPr>
            <w:tcW w:w="604" w:type="pct"/>
            <w:vAlign w:val="center"/>
          </w:tcPr>
          <w:p w14:paraId="225DBA93">
            <w:pPr>
              <w:widowControl/>
              <w:snapToGrid w:val="0"/>
              <w:spacing w:before="0" w:beforeLines="0" w:line="240" w:lineRule="auto"/>
              <w:jc w:val="center"/>
              <w:textAlignment w:val="center"/>
              <w:rPr>
                <w:kern w:val="0"/>
                <w:szCs w:val="21"/>
                <w:lang w:bidi="ar"/>
              </w:rPr>
            </w:pPr>
            <w:r>
              <w:rPr>
                <w:kern w:val="0"/>
                <w:szCs w:val="21"/>
                <w:lang w:bidi="ar"/>
              </w:rPr>
              <w:t>破碎车间</w:t>
            </w:r>
          </w:p>
        </w:tc>
        <w:tc>
          <w:tcPr>
            <w:tcW w:w="410" w:type="pct"/>
            <w:vMerge w:val="continue"/>
            <w:vAlign w:val="center"/>
          </w:tcPr>
          <w:p w14:paraId="00CB7040">
            <w:pPr>
              <w:snapToGrid w:val="0"/>
              <w:spacing w:before="0" w:beforeLines="0" w:line="240" w:lineRule="auto"/>
              <w:jc w:val="center"/>
              <w:rPr>
                <w:kern w:val="0"/>
                <w:szCs w:val="21"/>
                <w:lang w:bidi="ar"/>
              </w:rPr>
            </w:pPr>
          </w:p>
        </w:tc>
        <w:tc>
          <w:tcPr>
            <w:tcW w:w="699" w:type="pct"/>
            <w:vAlign w:val="center"/>
          </w:tcPr>
          <w:p w14:paraId="179DE85F">
            <w:pPr>
              <w:snapToGrid w:val="0"/>
              <w:spacing w:before="0" w:beforeLines="0" w:line="240" w:lineRule="auto"/>
              <w:jc w:val="center"/>
              <w:rPr>
                <w:kern w:val="0"/>
                <w:szCs w:val="21"/>
                <w:lang w:bidi="ar"/>
              </w:rPr>
            </w:pPr>
            <w:r>
              <w:rPr>
                <w:kern w:val="0"/>
                <w:szCs w:val="21"/>
                <w:lang w:bidi="ar"/>
              </w:rPr>
              <w:t>产污系数法</w:t>
            </w:r>
          </w:p>
        </w:tc>
        <w:tc>
          <w:tcPr>
            <w:tcW w:w="389" w:type="pct"/>
            <w:vAlign w:val="center"/>
          </w:tcPr>
          <w:p w14:paraId="1FE842EE">
            <w:pPr>
              <w:widowControl/>
              <w:snapToGrid w:val="0"/>
              <w:spacing w:before="0" w:beforeLines="0" w:line="240" w:lineRule="auto"/>
              <w:jc w:val="center"/>
              <w:textAlignment w:val="center"/>
              <w:rPr>
                <w:kern w:val="0"/>
                <w:szCs w:val="21"/>
                <w:lang w:bidi="ar"/>
              </w:rPr>
            </w:pPr>
            <w:r>
              <w:rPr>
                <w:rFonts w:hint="eastAsia"/>
                <w:kern w:val="0"/>
                <w:szCs w:val="21"/>
                <w:lang w:bidi="ar"/>
              </w:rPr>
              <w:t>9.62</w:t>
            </w:r>
          </w:p>
        </w:tc>
        <w:tc>
          <w:tcPr>
            <w:tcW w:w="1290" w:type="pct"/>
            <w:vMerge w:val="continue"/>
            <w:vAlign w:val="center"/>
          </w:tcPr>
          <w:p w14:paraId="2C5C6F34">
            <w:pPr>
              <w:widowControl/>
              <w:snapToGrid w:val="0"/>
              <w:spacing w:before="0" w:beforeLines="0" w:line="240" w:lineRule="auto"/>
              <w:jc w:val="center"/>
              <w:textAlignment w:val="center"/>
              <w:rPr>
                <w:kern w:val="0"/>
                <w:szCs w:val="21"/>
                <w:lang w:bidi="ar"/>
              </w:rPr>
            </w:pPr>
          </w:p>
        </w:tc>
        <w:tc>
          <w:tcPr>
            <w:tcW w:w="463" w:type="pct"/>
            <w:vAlign w:val="center"/>
          </w:tcPr>
          <w:p w14:paraId="7122EBB3">
            <w:pPr>
              <w:widowControl/>
              <w:snapToGrid w:val="0"/>
              <w:spacing w:before="0" w:beforeLines="0" w:line="240" w:lineRule="auto"/>
              <w:jc w:val="center"/>
              <w:textAlignment w:val="center"/>
              <w:rPr>
                <w:kern w:val="0"/>
                <w:szCs w:val="21"/>
                <w:lang w:bidi="ar"/>
              </w:rPr>
            </w:pPr>
            <w:r>
              <w:rPr>
                <w:rFonts w:hint="eastAsia"/>
                <w:kern w:val="0"/>
                <w:szCs w:val="21"/>
                <w:lang w:bidi="ar"/>
              </w:rPr>
              <w:t>1.94</w:t>
            </w:r>
          </w:p>
        </w:tc>
        <w:tc>
          <w:tcPr>
            <w:tcW w:w="464" w:type="pct"/>
            <w:vAlign w:val="center"/>
          </w:tcPr>
          <w:p w14:paraId="63B9375C">
            <w:pPr>
              <w:snapToGrid w:val="0"/>
              <w:spacing w:before="0" w:beforeLines="0" w:line="240" w:lineRule="auto"/>
              <w:jc w:val="center"/>
              <w:rPr>
                <w:kern w:val="0"/>
                <w:szCs w:val="21"/>
                <w:lang w:bidi="ar"/>
              </w:rPr>
            </w:pPr>
            <w:r>
              <w:rPr>
                <w:kern w:val="0"/>
                <w:szCs w:val="21"/>
                <w:lang w:bidi="ar"/>
              </w:rPr>
              <w:t>无组织</w:t>
            </w:r>
          </w:p>
        </w:tc>
        <w:tc>
          <w:tcPr>
            <w:tcW w:w="431" w:type="pct"/>
            <w:vMerge w:val="continue"/>
            <w:vAlign w:val="center"/>
          </w:tcPr>
          <w:p w14:paraId="538DBA49">
            <w:pPr>
              <w:snapToGrid w:val="0"/>
              <w:spacing w:before="0" w:beforeLines="0" w:line="240" w:lineRule="auto"/>
              <w:jc w:val="center"/>
              <w:rPr>
                <w:kern w:val="0"/>
                <w:szCs w:val="21"/>
                <w:lang w:bidi="ar"/>
              </w:rPr>
            </w:pPr>
          </w:p>
        </w:tc>
      </w:tr>
      <w:tr w14:paraId="36B16B7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250" w:type="pct"/>
            <w:vMerge w:val="continue"/>
            <w:vAlign w:val="center"/>
          </w:tcPr>
          <w:p w14:paraId="7BB8F996">
            <w:pPr>
              <w:snapToGrid w:val="0"/>
              <w:spacing w:before="0" w:beforeLines="0" w:line="240" w:lineRule="auto"/>
              <w:jc w:val="center"/>
              <w:rPr>
                <w:kern w:val="0"/>
                <w:szCs w:val="21"/>
                <w:lang w:bidi="ar"/>
              </w:rPr>
            </w:pPr>
          </w:p>
        </w:tc>
        <w:tc>
          <w:tcPr>
            <w:tcW w:w="604" w:type="pct"/>
            <w:vAlign w:val="center"/>
          </w:tcPr>
          <w:p w14:paraId="024BD6D3">
            <w:pPr>
              <w:widowControl/>
              <w:snapToGrid w:val="0"/>
              <w:spacing w:before="0" w:beforeLines="0" w:line="240" w:lineRule="auto"/>
              <w:jc w:val="center"/>
              <w:textAlignment w:val="center"/>
              <w:rPr>
                <w:kern w:val="0"/>
                <w:szCs w:val="21"/>
                <w:lang w:bidi="ar"/>
              </w:rPr>
            </w:pPr>
            <w:r>
              <w:rPr>
                <w:rFonts w:hint="eastAsia"/>
                <w:kern w:val="0"/>
                <w:szCs w:val="21"/>
                <w:lang w:bidi="ar"/>
              </w:rPr>
              <w:t>精矿仓</w:t>
            </w:r>
          </w:p>
        </w:tc>
        <w:tc>
          <w:tcPr>
            <w:tcW w:w="410" w:type="pct"/>
            <w:vMerge w:val="continue"/>
            <w:vAlign w:val="center"/>
          </w:tcPr>
          <w:p w14:paraId="327CFC59">
            <w:pPr>
              <w:snapToGrid w:val="0"/>
              <w:spacing w:before="0" w:beforeLines="0" w:line="240" w:lineRule="auto"/>
              <w:jc w:val="center"/>
              <w:rPr>
                <w:kern w:val="0"/>
                <w:szCs w:val="21"/>
                <w:lang w:bidi="ar"/>
              </w:rPr>
            </w:pPr>
          </w:p>
        </w:tc>
        <w:tc>
          <w:tcPr>
            <w:tcW w:w="699" w:type="pct"/>
            <w:vAlign w:val="center"/>
          </w:tcPr>
          <w:p w14:paraId="7FE9B5CD">
            <w:pPr>
              <w:snapToGrid w:val="0"/>
              <w:spacing w:before="0" w:beforeLines="0" w:line="240" w:lineRule="auto"/>
              <w:jc w:val="center"/>
              <w:rPr>
                <w:kern w:val="0"/>
                <w:szCs w:val="21"/>
                <w:lang w:bidi="ar"/>
              </w:rPr>
            </w:pPr>
            <w:r>
              <w:rPr>
                <w:kern w:val="0"/>
                <w:szCs w:val="21"/>
                <w:lang w:bidi="ar"/>
              </w:rPr>
              <w:t>产污系数法</w:t>
            </w:r>
          </w:p>
        </w:tc>
        <w:tc>
          <w:tcPr>
            <w:tcW w:w="389" w:type="pct"/>
            <w:vAlign w:val="center"/>
          </w:tcPr>
          <w:p w14:paraId="43F077A7">
            <w:pPr>
              <w:widowControl/>
              <w:snapToGrid w:val="0"/>
              <w:spacing w:before="0" w:beforeLines="0" w:line="240" w:lineRule="auto"/>
              <w:jc w:val="center"/>
              <w:textAlignment w:val="center"/>
              <w:rPr>
                <w:kern w:val="0"/>
                <w:szCs w:val="21"/>
                <w:lang w:bidi="ar"/>
              </w:rPr>
            </w:pPr>
            <w:r>
              <w:rPr>
                <w:rFonts w:hint="eastAsia"/>
                <w:kern w:val="0"/>
                <w:szCs w:val="21"/>
                <w:lang w:bidi="ar"/>
              </w:rPr>
              <w:t>0.26</w:t>
            </w:r>
          </w:p>
        </w:tc>
        <w:tc>
          <w:tcPr>
            <w:tcW w:w="1290" w:type="pct"/>
            <w:vAlign w:val="center"/>
          </w:tcPr>
          <w:p w14:paraId="7B2B1702">
            <w:pPr>
              <w:widowControl/>
              <w:snapToGrid w:val="0"/>
              <w:spacing w:before="0" w:beforeLines="0" w:line="240" w:lineRule="auto"/>
              <w:jc w:val="center"/>
              <w:textAlignment w:val="center"/>
              <w:rPr>
                <w:kern w:val="0"/>
                <w:szCs w:val="21"/>
                <w:lang w:bidi="ar"/>
              </w:rPr>
            </w:pPr>
            <w:r>
              <w:rPr>
                <w:rFonts w:hint="eastAsia"/>
                <w:kern w:val="0"/>
                <w:szCs w:val="21"/>
                <w:lang w:bidi="ar"/>
              </w:rPr>
              <w:t>仓顶除尘</w:t>
            </w:r>
          </w:p>
        </w:tc>
        <w:tc>
          <w:tcPr>
            <w:tcW w:w="463" w:type="pct"/>
            <w:vAlign w:val="center"/>
          </w:tcPr>
          <w:p w14:paraId="3F1EA3A9">
            <w:pPr>
              <w:widowControl/>
              <w:snapToGrid w:val="0"/>
              <w:spacing w:before="0" w:beforeLines="0" w:line="240" w:lineRule="auto"/>
              <w:jc w:val="center"/>
              <w:textAlignment w:val="center"/>
              <w:rPr>
                <w:kern w:val="0"/>
                <w:szCs w:val="21"/>
                <w:lang w:bidi="ar"/>
              </w:rPr>
            </w:pPr>
            <w:r>
              <w:rPr>
                <w:kern w:val="0"/>
                <w:szCs w:val="21"/>
                <w:lang w:bidi="ar"/>
              </w:rPr>
              <w:t>0.0</w:t>
            </w:r>
            <w:r>
              <w:rPr>
                <w:rFonts w:hint="eastAsia"/>
                <w:kern w:val="0"/>
                <w:szCs w:val="21"/>
                <w:lang w:bidi="ar"/>
              </w:rPr>
              <w:t>03</w:t>
            </w:r>
          </w:p>
        </w:tc>
        <w:tc>
          <w:tcPr>
            <w:tcW w:w="464" w:type="pct"/>
            <w:vAlign w:val="center"/>
          </w:tcPr>
          <w:p w14:paraId="15794EA8">
            <w:pPr>
              <w:snapToGrid w:val="0"/>
              <w:spacing w:before="0" w:beforeLines="0" w:line="240" w:lineRule="auto"/>
              <w:jc w:val="center"/>
              <w:rPr>
                <w:kern w:val="0"/>
                <w:szCs w:val="21"/>
                <w:lang w:bidi="ar"/>
              </w:rPr>
            </w:pPr>
            <w:r>
              <w:rPr>
                <w:kern w:val="0"/>
                <w:szCs w:val="21"/>
                <w:lang w:bidi="ar"/>
              </w:rPr>
              <w:t>无组织</w:t>
            </w:r>
          </w:p>
        </w:tc>
        <w:tc>
          <w:tcPr>
            <w:tcW w:w="431" w:type="pct"/>
            <w:vMerge w:val="continue"/>
            <w:vAlign w:val="center"/>
          </w:tcPr>
          <w:p w14:paraId="69CB48B6">
            <w:pPr>
              <w:snapToGrid w:val="0"/>
              <w:spacing w:before="0" w:beforeLines="0" w:line="240" w:lineRule="auto"/>
              <w:jc w:val="center"/>
              <w:rPr>
                <w:kern w:val="0"/>
                <w:szCs w:val="21"/>
                <w:lang w:bidi="ar"/>
              </w:rPr>
            </w:pPr>
          </w:p>
        </w:tc>
      </w:tr>
      <w:tr w14:paraId="020FAF3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250" w:type="pct"/>
            <w:vMerge w:val="continue"/>
            <w:vAlign w:val="center"/>
          </w:tcPr>
          <w:p w14:paraId="7284B744">
            <w:pPr>
              <w:snapToGrid w:val="0"/>
              <w:spacing w:before="0" w:beforeLines="0" w:line="240" w:lineRule="auto"/>
              <w:jc w:val="center"/>
              <w:rPr>
                <w:kern w:val="0"/>
                <w:szCs w:val="21"/>
                <w:lang w:bidi="ar"/>
              </w:rPr>
            </w:pPr>
          </w:p>
        </w:tc>
        <w:tc>
          <w:tcPr>
            <w:tcW w:w="604" w:type="pct"/>
            <w:vAlign w:val="center"/>
          </w:tcPr>
          <w:p w14:paraId="6877AEAD">
            <w:pPr>
              <w:widowControl/>
              <w:snapToGrid w:val="0"/>
              <w:spacing w:before="0" w:beforeLines="0" w:line="240" w:lineRule="auto"/>
              <w:jc w:val="center"/>
              <w:textAlignment w:val="center"/>
              <w:rPr>
                <w:kern w:val="0"/>
                <w:szCs w:val="21"/>
                <w:lang w:bidi="ar"/>
              </w:rPr>
            </w:pPr>
            <w:r>
              <w:rPr>
                <w:rFonts w:hint="eastAsia"/>
                <w:kern w:val="0"/>
                <w:szCs w:val="21"/>
                <w:lang w:bidi="ar"/>
              </w:rPr>
              <w:t>碎石仓</w:t>
            </w:r>
          </w:p>
        </w:tc>
        <w:tc>
          <w:tcPr>
            <w:tcW w:w="410" w:type="pct"/>
            <w:vMerge w:val="continue"/>
            <w:vAlign w:val="center"/>
          </w:tcPr>
          <w:p w14:paraId="5275102B">
            <w:pPr>
              <w:snapToGrid w:val="0"/>
              <w:spacing w:before="0" w:beforeLines="0" w:line="240" w:lineRule="auto"/>
              <w:jc w:val="center"/>
              <w:rPr>
                <w:kern w:val="0"/>
                <w:szCs w:val="21"/>
                <w:lang w:bidi="ar"/>
              </w:rPr>
            </w:pPr>
          </w:p>
        </w:tc>
        <w:tc>
          <w:tcPr>
            <w:tcW w:w="699" w:type="pct"/>
            <w:vAlign w:val="center"/>
          </w:tcPr>
          <w:p w14:paraId="6FFA1BFB">
            <w:pPr>
              <w:snapToGrid w:val="0"/>
              <w:spacing w:before="0" w:beforeLines="0" w:line="240" w:lineRule="auto"/>
              <w:jc w:val="center"/>
              <w:rPr>
                <w:kern w:val="0"/>
                <w:szCs w:val="21"/>
                <w:lang w:bidi="ar"/>
              </w:rPr>
            </w:pPr>
            <w:r>
              <w:rPr>
                <w:kern w:val="0"/>
                <w:szCs w:val="21"/>
                <w:lang w:bidi="ar"/>
              </w:rPr>
              <w:t>产污系数法</w:t>
            </w:r>
          </w:p>
        </w:tc>
        <w:tc>
          <w:tcPr>
            <w:tcW w:w="389" w:type="pct"/>
            <w:vAlign w:val="center"/>
          </w:tcPr>
          <w:p w14:paraId="69106EA2">
            <w:pPr>
              <w:widowControl/>
              <w:snapToGrid w:val="0"/>
              <w:spacing w:before="0" w:beforeLines="0" w:line="240" w:lineRule="auto"/>
              <w:jc w:val="center"/>
              <w:textAlignment w:val="center"/>
              <w:rPr>
                <w:kern w:val="0"/>
                <w:szCs w:val="21"/>
                <w:lang w:bidi="ar"/>
              </w:rPr>
            </w:pPr>
            <w:r>
              <w:rPr>
                <w:rFonts w:hint="eastAsia"/>
                <w:kern w:val="0"/>
                <w:szCs w:val="21"/>
                <w:lang w:bidi="ar"/>
              </w:rPr>
              <w:t>0.55</w:t>
            </w:r>
          </w:p>
        </w:tc>
        <w:tc>
          <w:tcPr>
            <w:tcW w:w="1290" w:type="pct"/>
            <w:vAlign w:val="center"/>
          </w:tcPr>
          <w:p w14:paraId="36711FD5">
            <w:pPr>
              <w:widowControl/>
              <w:snapToGrid w:val="0"/>
              <w:spacing w:before="0" w:beforeLines="0" w:line="240" w:lineRule="auto"/>
              <w:jc w:val="center"/>
              <w:textAlignment w:val="center"/>
              <w:rPr>
                <w:kern w:val="0"/>
                <w:szCs w:val="21"/>
                <w:lang w:bidi="ar"/>
              </w:rPr>
            </w:pPr>
            <w:r>
              <w:rPr>
                <w:rFonts w:hint="eastAsia"/>
                <w:kern w:val="0"/>
                <w:szCs w:val="21"/>
                <w:lang w:bidi="ar"/>
              </w:rPr>
              <w:t>仓顶除尘</w:t>
            </w:r>
          </w:p>
        </w:tc>
        <w:tc>
          <w:tcPr>
            <w:tcW w:w="463" w:type="pct"/>
            <w:vAlign w:val="center"/>
          </w:tcPr>
          <w:p w14:paraId="2CDF0632">
            <w:pPr>
              <w:widowControl/>
              <w:snapToGrid w:val="0"/>
              <w:spacing w:before="0" w:beforeLines="0" w:line="240" w:lineRule="auto"/>
              <w:jc w:val="center"/>
              <w:textAlignment w:val="center"/>
              <w:rPr>
                <w:kern w:val="0"/>
                <w:szCs w:val="21"/>
                <w:lang w:bidi="ar"/>
              </w:rPr>
            </w:pPr>
            <w:r>
              <w:rPr>
                <w:rFonts w:hint="eastAsia"/>
                <w:kern w:val="0"/>
                <w:szCs w:val="21"/>
                <w:lang w:bidi="ar"/>
              </w:rPr>
              <w:t>0.01</w:t>
            </w:r>
          </w:p>
        </w:tc>
        <w:tc>
          <w:tcPr>
            <w:tcW w:w="464" w:type="pct"/>
            <w:vAlign w:val="center"/>
          </w:tcPr>
          <w:p w14:paraId="02FD8183">
            <w:pPr>
              <w:snapToGrid w:val="0"/>
              <w:spacing w:before="0" w:beforeLines="0" w:line="240" w:lineRule="auto"/>
              <w:jc w:val="center"/>
              <w:rPr>
                <w:kern w:val="0"/>
                <w:szCs w:val="21"/>
                <w:lang w:bidi="ar"/>
              </w:rPr>
            </w:pPr>
            <w:r>
              <w:rPr>
                <w:kern w:val="0"/>
                <w:szCs w:val="21"/>
                <w:lang w:bidi="ar"/>
              </w:rPr>
              <w:t>无组织</w:t>
            </w:r>
          </w:p>
        </w:tc>
        <w:tc>
          <w:tcPr>
            <w:tcW w:w="431" w:type="pct"/>
            <w:vMerge w:val="continue"/>
            <w:vAlign w:val="center"/>
          </w:tcPr>
          <w:p w14:paraId="525E2DCB">
            <w:pPr>
              <w:snapToGrid w:val="0"/>
              <w:spacing w:before="0" w:beforeLines="0" w:line="240" w:lineRule="auto"/>
              <w:jc w:val="center"/>
              <w:rPr>
                <w:kern w:val="0"/>
                <w:szCs w:val="21"/>
                <w:lang w:bidi="ar"/>
              </w:rPr>
            </w:pPr>
          </w:p>
        </w:tc>
      </w:tr>
      <w:tr w14:paraId="04322A3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250" w:type="pct"/>
            <w:vMerge w:val="continue"/>
            <w:vAlign w:val="center"/>
          </w:tcPr>
          <w:p w14:paraId="4F74D660">
            <w:pPr>
              <w:snapToGrid w:val="0"/>
              <w:spacing w:before="0" w:beforeLines="0" w:line="240" w:lineRule="auto"/>
              <w:jc w:val="center"/>
              <w:rPr>
                <w:kern w:val="0"/>
                <w:szCs w:val="21"/>
                <w:lang w:bidi="ar"/>
              </w:rPr>
            </w:pPr>
          </w:p>
        </w:tc>
        <w:tc>
          <w:tcPr>
            <w:tcW w:w="604" w:type="pct"/>
            <w:vAlign w:val="center"/>
          </w:tcPr>
          <w:p w14:paraId="5050FD69">
            <w:pPr>
              <w:widowControl/>
              <w:snapToGrid w:val="0"/>
              <w:spacing w:before="0" w:beforeLines="0" w:line="240" w:lineRule="auto"/>
              <w:jc w:val="center"/>
              <w:textAlignment w:val="center"/>
              <w:rPr>
                <w:kern w:val="0"/>
                <w:szCs w:val="21"/>
                <w:lang w:bidi="ar"/>
              </w:rPr>
            </w:pPr>
            <w:r>
              <w:rPr>
                <w:kern w:val="0"/>
                <w:szCs w:val="21"/>
                <w:lang w:bidi="ar"/>
              </w:rPr>
              <w:t>道路运输</w:t>
            </w:r>
          </w:p>
        </w:tc>
        <w:tc>
          <w:tcPr>
            <w:tcW w:w="410" w:type="pct"/>
            <w:vMerge w:val="continue"/>
            <w:vAlign w:val="center"/>
          </w:tcPr>
          <w:p w14:paraId="4E168B7F">
            <w:pPr>
              <w:snapToGrid w:val="0"/>
              <w:spacing w:before="0" w:beforeLines="0" w:line="240" w:lineRule="auto"/>
              <w:jc w:val="center"/>
              <w:rPr>
                <w:kern w:val="0"/>
                <w:szCs w:val="21"/>
                <w:lang w:bidi="ar"/>
              </w:rPr>
            </w:pPr>
          </w:p>
        </w:tc>
        <w:tc>
          <w:tcPr>
            <w:tcW w:w="699" w:type="pct"/>
            <w:vAlign w:val="center"/>
          </w:tcPr>
          <w:p w14:paraId="51F2659F">
            <w:pPr>
              <w:snapToGrid w:val="0"/>
              <w:spacing w:before="0" w:beforeLines="0" w:line="240" w:lineRule="auto"/>
              <w:jc w:val="center"/>
              <w:rPr>
                <w:kern w:val="0"/>
                <w:szCs w:val="21"/>
                <w:lang w:bidi="ar"/>
              </w:rPr>
            </w:pPr>
            <w:r>
              <w:rPr>
                <w:kern w:val="0"/>
                <w:szCs w:val="21"/>
                <w:lang w:bidi="ar"/>
              </w:rPr>
              <w:t>产污系数法</w:t>
            </w:r>
          </w:p>
        </w:tc>
        <w:tc>
          <w:tcPr>
            <w:tcW w:w="389" w:type="pct"/>
            <w:vAlign w:val="center"/>
          </w:tcPr>
          <w:p w14:paraId="5B316079">
            <w:pPr>
              <w:widowControl/>
              <w:snapToGrid w:val="0"/>
              <w:spacing w:before="0" w:beforeLines="0" w:line="240" w:lineRule="auto"/>
              <w:jc w:val="center"/>
              <w:textAlignment w:val="center"/>
              <w:rPr>
                <w:kern w:val="0"/>
                <w:szCs w:val="21"/>
                <w:lang w:bidi="ar"/>
              </w:rPr>
            </w:pPr>
            <w:r>
              <w:rPr>
                <w:rFonts w:hint="eastAsia"/>
                <w:kern w:val="0"/>
                <w:szCs w:val="21"/>
                <w:lang w:bidi="ar"/>
              </w:rPr>
              <w:t>38.76</w:t>
            </w:r>
          </w:p>
        </w:tc>
        <w:tc>
          <w:tcPr>
            <w:tcW w:w="1290" w:type="pct"/>
            <w:vAlign w:val="center"/>
          </w:tcPr>
          <w:p w14:paraId="104EE863">
            <w:pPr>
              <w:widowControl/>
              <w:snapToGrid w:val="0"/>
              <w:spacing w:before="0" w:beforeLines="0" w:line="240" w:lineRule="auto"/>
              <w:jc w:val="center"/>
              <w:textAlignment w:val="center"/>
              <w:rPr>
                <w:kern w:val="0"/>
                <w:szCs w:val="21"/>
                <w:lang w:bidi="ar"/>
              </w:rPr>
            </w:pPr>
            <w:r>
              <w:rPr>
                <w:kern w:val="0"/>
                <w:szCs w:val="21"/>
                <w:lang w:bidi="ar"/>
              </w:rPr>
              <w:t>洒水抑尘</w:t>
            </w:r>
          </w:p>
        </w:tc>
        <w:tc>
          <w:tcPr>
            <w:tcW w:w="463" w:type="pct"/>
            <w:vAlign w:val="center"/>
          </w:tcPr>
          <w:p w14:paraId="3E35DD0E">
            <w:pPr>
              <w:widowControl/>
              <w:snapToGrid w:val="0"/>
              <w:spacing w:before="0" w:beforeLines="0" w:line="240" w:lineRule="auto"/>
              <w:jc w:val="center"/>
              <w:textAlignment w:val="center"/>
              <w:rPr>
                <w:kern w:val="0"/>
                <w:szCs w:val="21"/>
                <w:lang w:bidi="ar"/>
              </w:rPr>
            </w:pPr>
            <w:r>
              <w:rPr>
                <w:rFonts w:hint="eastAsia"/>
                <w:kern w:val="0"/>
                <w:szCs w:val="21"/>
                <w:lang w:bidi="ar"/>
              </w:rPr>
              <w:t>10.08</w:t>
            </w:r>
          </w:p>
        </w:tc>
        <w:tc>
          <w:tcPr>
            <w:tcW w:w="464" w:type="pct"/>
            <w:vAlign w:val="center"/>
          </w:tcPr>
          <w:p w14:paraId="336E39AE">
            <w:pPr>
              <w:snapToGrid w:val="0"/>
              <w:spacing w:before="0" w:beforeLines="0" w:line="240" w:lineRule="auto"/>
              <w:jc w:val="center"/>
              <w:rPr>
                <w:kern w:val="0"/>
                <w:szCs w:val="21"/>
                <w:lang w:bidi="ar"/>
              </w:rPr>
            </w:pPr>
            <w:r>
              <w:rPr>
                <w:kern w:val="0"/>
                <w:szCs w:val="21"/>
                <w:lang w:bidi="ar"/>
              </w:rPr>
              <w:t>无组织</w:t>
            </w:r>
          </w:p>
        </w:tc>
        <w:tc>
          <w:tcPr>
            <w:tcW w:w="431" w:type="pct"/>
            <w:vMerge w:val="continue"/>
            <w:vAlign w:val="center"/>
          </w:tcPr>
          <w:p w14:paraId="26A788A7">
            <w:pPr>
              <w:snapToGrid w:val="0"/>
              <w:spacing w:before="0" w:beforeLines="0" w:line="240" w:lineRule="auto"/>
              <w:jc w:val="center"/>
              <w:rPr>
                <w:kern w:val="0"/>
                <w:szCs w:val="21"/>
                <w:lang w:bidi="ar"/>
              </w:rPr>
            </w:pPr>
          </w:p>
        </w:tc>
      </w:tr>
      <w:tr w14:paraId="6E3DF7D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85" w:type="dxa"/>
            <w:left w:w="0" w:type="dxa"/>
            <w:bottom w:w="85" w:type="dxa"/>
            <w:right w:w="0" w:type="dxa"/>
          </w:tblCellMar>
        </w:tblPrEx>
        <w:trPr>
          <w:trHeight w:val="340" w:hRule="exact"/>
          <w:tblHeader/>
          <w:jc w:val="center"/>
        </w:trPr>
        <w:tc>
          <w:tcPr>
            <w:tcW w:w="250" w:type="pct"/>
            <w:vMerge w:val="restart"/>
            <w:vAlign w:val="center"/>
          </w:tcPr>
          <w:p w14:paraId="138B2926">
            <w:pPr>
              <w:snapToGrid w:val="0"/>
              <w:spacing w:before="0" w:beforeLines="0" w:line="240" w:lineRule="auto"/>
              <w:jc w:val="center"/>
              <w:rPr>
                <w:kern w:val="0"/>
                <w:szCs w:val="21"/>
                <w:lang w:bidi="ar"/>
              </w:rPr>
            </w:pPr>
            <w:r>
              <w:rPr>
                <w:kern w:val="0"/>
                <w:szCs w:val="21"/>
                <w:lang w:bidi="ar"/>
              </w:rPr>
              <w:t>水污染物</w:t>
            </w:r>
          </w:p>
        </w:tc>
        <w:tc>
          <w:tcPr>
            <w:tcW w:w="604" w:type="pct"/>
            <w:vAlign w:val="center"/>
          </w:tcPr>
          <w:p w14:paraId="5CB6591D">
            <w:pPr>
              <w:snapToGrid w:val="0"/>
              <w:spacing w:before="0" w:beforeLines="0" w:line="240" w:lineRule="auto"/>
              <w:jc w:val="center"/>
              <w:rPr>
                <w:kern w:val="0"/>
                <w:szCs w:val="21"/>
                <w:lang w:bidi="ar"/>
              </w:rPr>
            </w:pPr>
            <w:r>
              <w:rPr>
                <w:kern w:val="0"/>
                <w:szCs w:val="21"/>
                <w:lang w:bidi="ar"/>
              </w:rPr>
              <w:t>选矿</w:t>
            </w:r>
          </w:p>
        </w:tc>
        <w:tc>
          <w:tcPr>
            <w:tcW w:w="410" w:type="pct"/>
            <w:vAlign w:val="center"/>
          </w:tcPr>
          <w:p w14:paraId="5A85A438">
            <w:pPr>
              <w:snapToGrid w:val="0"/>
              <w:spacing w:before="0" w:beforeLines="0" w:line="240" w:lineRule="auto"/>
              <w:jc w:val="center"/>
              <w:rPr>
                <w:kern w:val="0"/>
                <w:szCs w:val="21"/>
                <w:lang w:bidi="ar"/>
              </w:rPr>
            </w:pPr>
            <w:r>
              <w:rPr>
                <w:kern w:val="0"/>
                <w:szCs w:val="21"/>
                <w:lang w:bidi="ar"/>
              </w:rPr>
              <w:t>SS</w:t>
            </w:r>
          </w:p>
        </w:tc>
        <w:tc>
          <w:tcPr>
            <w:tcW w:w="699" w:type="pct"/>
            <w:vAlign w:val="center"/>
          </w:tcPr>
          <w:p w14:paraId="53F9EDC1">
            <w:pPr>
              <w:snapToGrid w:val="0"/>
              <w:spacing w:before="0" w:beforeLines="0" w:line="240" w:lineRule="auto"/>
              <w:jc w:val="center"/>
              <w:rPr>
                <w:kern w:val="0"/>
                <w:szCs w:val="21"/>
                <w:lang w:bidi="ar"/>
              </w:rPr>
            </w:pPr>
            <w:r>
              <w:rPr>
                <w:kern w:val="0"/>
                <w:szCs w:val="21"/>
                <w:lang w:bidi="ar"/>
              </w:rPr>
              <w:t>/</w:t>
            </w:r>
          </w:p>
        </w:tc>
        <w:tc>
          <w:tcPr>
            <w:tcW w:w="389" w:type="pct"/>
            <w:vAlign w:val="center"/>
          </w:tcPr>
          <w:p w14:paraId="3622F728">
            <w:pPr>
              <w:snapToGrid w:val="0"/>
              <w:spacing w:before="0" w:beforeLines="0" w:line="240" w:lineRule="auto"/>
              <w:jc w:val="center"/>
              <w:rPr>
                <w:kern w:val="0"/>
                <w:szCs w:val="21"/>
                <w:lang w:bidi="ar"/>
              </w:rPr>
            </w:pPr>
            <w:r>
              <w:rPr>
                <w:kern w:val="0"/>
                <w:szCs w:val="21"/>
                <w:lang w:bidi="ar"/>
              </w:rPr>
              <w:t>/</w:t>
            </w:r>
          </w:p>
        </w:tc>
        <w:tc>
          <w:tcPr>
            <w:tcW w:w="1290" w:type="pct"/>
            <w:vMerge w:val="restart"/>
            <w:vAlign w:val="center"/>
          </w:tcPr>
          <w:p w14:paraId="76707E8A">
            <w:pPr>
              <w:snapToGrid w:val="0"/>
              <w:spacing w:before="0" w:beforeLines="0" w:line="240" w:lineRule="auto"/>
              <w:rPr>
                <w:kern w:val="0"/>
                <w:szCs w:val="21"/>
                <w:lang w:bidi="ar"/>
              </w:rPr>
            </w:pPr>
            <w:r>
              <w:rPr>
                <w:kern w:val="0"/>
                <w:szCs w:val="21"/>
                <w:lang w:bidi="ar"/>
              </w:rPr>
              <w:t>废水进入循环水池，回用于</w:t>
            </w:r>
            <w:r>
              <w:rPr>
                <w:rFonts w:hint="eastAsia"/>
                <w:kern w:val="0"/>
                <w:szCs w:val="21"/>
                <w:lang w:bidi="ar"/>
              </w:rPr>
              <w:t>生产工序</w:t>
            </w:r>
          </w:p>
        </w:tc>
        <w:tc>
          <w:tcPr>
            <w:tcW w:w="463" w:type="pct"/>
            <w:vAlign w:val="center"/>
          </w:tcPr>
          <w:p w14:paraId="54B35923">
            <w:pPr>
              <w:snapToGrid w:val="0"/>
              <w:spacing w:before="0" w:beforeLines="0" w:line="240" w:lineRule="auto"/>
              <w:jc w:val="center"/>
              <w:rPr>
                <w:kern w:val="0"/>
                <w:szCs w:val="21"/>
                <w:lang w:bidi="ar"/>
              </w:rPr>
            </w:pPr>
            <w:r>
              <w:rPr>
                <w:kern w:val="0"/>
                <w:szCs w:val="21"/>
                <w:lang w:bidi="ar"/>
              </w:rPr>
              <w:t>0</w:t>
            </w:r>
          </w:p>
        </w:tc>
        <w:tc>
          <w:tcPr>
            <w:tcW w:w="464" w:type="pct"/>
            <w:vAlign w:val="center"/>
          </w:tcPr>
          <w:p w14:paraId="7F6F67DB">
            <w:pPr>
              <w:snapToGrid w:val="0"/>
              <w:spacing w:before="0" w:beforeLines="0" w:line="240" w:lineRule="auto"/>
              <w:jc w:val="center"/>
              <w:rPr>
                <w:kern w:val="0"/>
                <w:szCs w:val="21"/>
                <w:lang w:bidi="ar"/>
              </w:rPr>
            </w:pPr>
            <w:r>
              <w:rPr>
                <w:kern w:val="0"/>
                <w:szCs w:val="21"/>
                <w:lang w:bidi="ar"/>
              </w:rPr>
              <w:t>/</w:t>
            </w:r>
          </w:p>
        </w:tc>
        <w:tc>
          <w:tcPr>
            <w:tcW w:w="431" w:type="pct"/>
            <w:vMerge w:val="restart"/>
            <w:vAlign w:val="center"/>
          </w:tcPr>
          <w:p w14:paraId="6FF03C15">
            <w:pPr>
              <w:snapToGrid w:val="0"/>
              <w:spacing w:before="0" w:beforeLines="0" w:line="240" w:lineRule="auto"/>
              <w:jc w:val="center"/>
              <w:rPr>
                <w:kern w:val="0"/>
                <w:szCs w:val="21"/>
                <w:lang w:bidi="ar"/>
              </w:rPr>
            </w:pPr>
            <w:r>
              <w:rPr>
                <w:kern w:val="0"/>
                <w:szCs w:val="21"/>
                <w:lang w:bidi="ar"/>
              </w:rPr>
              <w:t>不外排</w:t>
            </w:r>
          </w:p>
        </w:tc>
      </w:tr>
      <w:tr w14:paraId="36552CF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85" w:type="dxa"/>
            <w:left w:w="0" w:type="dxa"/>
            <w:bottom w:w="85" w:type="dxa"/>
            <w:right w:w="0" w:type="dxa"/>
          </w:tblCellMar>
        </w:tblPrEx>
        <w:trPr>
          <w:trHeight w:val="340" w:hRule="exact"/>
          <w:tblHeader/>
          <w:jc w:val="center"/>
        </w:trPr>
        <w:tc>
          <w:tcPr>
            <w:tcW w:w="250" w:type="pct"/>
            <w:vMerge w:val="continue"/>
            <w:vAlign w:val="center"/>
          </w:tcPr>
          <w:p w14:paraId="5A593FC7">
            <w:pPr>
              <w:snapToGrid w:val="0"/>
              <w:spacing w:before="0" w:beforeLines="0" w:line="240" w:lineRule="auto"/>
              <w:jc w:val="center"/>
              <w:rPr>
                <w:kern w:val="0"/>
                <w:szCs w:val="21"/>
                <w:lang w:bidi="ar"/>
              </w:rPr>
            </w:pPr>
          </w:p>
        </w:tc>
        <w:tc>
          <w:tcPr>
            <w:tcW w:w="604" w:type="pct"/>
            <w:vAlign w:val="center"/>
          </w:tcPr>
          <w:p w14:paraId="2CF0A550">
            <w:pPr>
              <w:snapToGrid w:val="0"/>
              <w:spacing w:before="0" w:beforeLines="0" w:line="240" w:lineRule="auto"/>
              <w:jc w:val="center"/>
              <w:rPr>
                <w:kern w:val="0"/>
                <w:szCs w:val="21"/>
                <w:lang w:bidi="ar"/>
              </w:rPr>
            </w:pPr>
            <w:r>
              <w:rPr>
                <w:kern w:val="0"/>
                <w:szCs w:val="21"/>
                <w:lang w:bidi="ar"/>
              </w:rPr>
              <w:t>地面清洗</w:t>
            </w:r>
          </w:p>
        </w:tc>
        <w:tc>
          <w:tcPr>
            <w:tcW w:w="410" w:type="pct"/>
            <w:vAlign w:val="center"/>
          </w:tcPr>
          <w:p w14:paraId="2702B6BF">
            <w:pPr>
              <w:snapToGrid w:val="0"/>
              <w:spacing w:before="0" w:beforeLines="0" w:line="240" w:lineRule="auto"/>
              <w:jc w:val="center"/>
              <w:rPr>
                <w:kern w:val="0"/>
                <w:szCs w:val="21"/>
                <w:lang w:bidi="ar"/>
              </w:rPr>
            </w:pPr>
            <w:r>
              <w:rPr>
                <w:kern w:val="0"/>
                <w:szCs w:val="21"/>
                <w:lang w:bidi="ar"/>
              </w:rPr>
              <w:t>SS</w:t>
            </w:r>
          </w:p>
        </w:tc>
        <w:tc>
          <w:tcPr>
            <w:tcW w:w="699" w:type="pct"/>
            <w:vAlign w:val="center"/>
          </w:tcPr>
          <w:p w14:paraId="2E297835">
            <w:pPr>
              <w:snapToGrid w:val="0"/>
              <w:spacing w:before="0" w:beforeLines="0" w:line="240" w:lineRule="auto"/>
              <w:jc w:val="center"/>
              <w:rPr>
                <w:kern w:val="0"/>
                <w:szCs w:val="21"/>
                <w:lang w:bidi="ar"/>
              </w:rPr>
            </w:pPr>
            <w:r>
              <w:rPr>
                <w:kern w:val="0"/>
                <w:szCs w:val="21"/>
                <w:lang w:bidi="ar"/>
              </w:rPr>
              <w:t>/</w:t>
            </w:r>
          </w:p>
        </w:tc>
        <w:tc>
          <w:tcPr>
            <w:tcW w:w="389" w:type="pct"/>
            <w:vAlign w:val="center"/>
          </w:tcPr>
          <w:p w14:paraId="07F55349">
            <w:pPr>
              <w:snapToGrid w:val="0"/>
              <w:spacing w:before="0" w:beforeLines="0" w:line="240" w:lineRule="auto"/>
              <w:jc w:val="center"/>
              <w:rPr>
                <w:kern w:val="0"/>
                <w:szCs w:val="21"/>
                <w:lang w:bidi="ar"/>
              </w:rPr>
            </w:pPr>
            <w:r>
              <w:rPr>
                <w:kern w:val="0"/>
                <w:szCs w:val="21"/>
                <w:lang w:bidi="ar"/>
              </w:rPr>
              <w:t>/</w:t>
            </w:r>
          </w:p>
        </w:tc>
        <w:tc>
          <w:tcPr>
            <w:tcW w:w="1290" w:type="pct"/>
            <w:vMerge w:val="continue"/>
            <w:vAlign w:val="center"/>
          </w:tcPr>
          <w:p w14:paraId="6988DCAD">
            <w:pPr>
              <w:snapToGrid w:val="0"/>
              <w:spacing w:before="0" w:beforeLines="0" w:line="240" w:lineRule="auto"/>
              <w:jc w:val="center"/>
              <w:rPr>
                <w:kern w:val="0"/>
                <w:szCs w:val="21"/>
                <w:lang w:bidi="ar"/>
              </w:rPr>
            </w:pPr>
          </w:p>
        </w:tc>
        <w:tc>
          <w:tcPr>
            <w:tcW w:w="463" w:type="pct"/>
            <w:vAlign w:val="center"/>
          </w:tcPr>
          <w:p w14:paraId="4286CBCA">
            <w:pPr>
              <w:snapToGrid w:val="0"/>
              <w:spacing w:before="0" w:beforeLines="0" w:line="240" w:lineRule="auto"/>
              <w:jc w:val="center"/>
              <w:rPr>
                <w:kern w:val="0"/>
                <w:szCs w:val="21"/>
                <w:lang w:bidi="ar"/>
              </w:rPr>
            </w:pPr>
            <w:r>
              <w:rPr>
                <w:kern w:val="0"/>
                <w:szCs w:val="21"/>
                <w:lang w:bidi="ar"/>
              </w:rPr>
              <w:t>0</w:t>
            </w:r>
          </w:p>
        </w:tc>
        <w:tc>
          <w:tcPr>
            <w:tcW w:w="464" w:type="pct"/>
            <w:vAlign w:val="center"/>
          </w:tcPr>
          <w:p w14:paraId="4844D049">
            <w:pPr>
              <w:snapToGrid w:val="0"/>
              <w:spacing w:before="0" w:beforeLines="0" w:line="240" w:lineRule="auto"/>
              <w:jc w:val="center"/>
              <w:rPr>
                <w:kern w:val="0"/>
                <w:szCs w:val="21"/>
                <w:lang w:bidi="ar"/>
              </w:rPr>
            </w:pPr>
            <w:r>
              <w:rPr>
                <w:kern w:val="0"/>
                <w:szCs w:val="21"/>
                <w:lang w:bidi="ar"/>
              </w:rPr>
              <w:t>/</w:t>
            </w:r>
          </w:p>
        </w:tc>
        <w:tc>
          <w:tcPr>
            <w:tcW w:w="431" w:type="pct"/>
            <w:vMerge w:val="continue"/>
            <w:vAlign w:val="center"/>
          </w:tcPr>
          <w:p w14:paraId="12F75A70">
            <w:pPr>
              <w:snapToGrid w:val="0"/>
              <w:spacing w:before="0" w:beforeLines="0" w:line="240" w:lineRule="auto"/>
              <w:jc w:val="center"/>
              <w:rPr>
                <w:kern w:val="0"/>
                <w:szCs w:val="21"/>
                <w:lang w:bidi="ar"/>
              </w:rPr>
            </w:pPr>
          </w:p>
        </w:tc>
      </w:tr>
      <w:tr w14:paraId="35759EC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85" w:type="dxa"/>
            <w:left w:w="0" w:type="dxa"/>
            <w:bottom w:w="85" w:type="dxa"/>
            <w:right w:w="0" w:type="dxa"/>
          </w:tblCellMar>
        </w:tblPrEx>
        <w:trPr>
          <w:trHeight w:val="439" w:hRule="atLeast"/>
          <w:tblHeader/>
          <w:jc w:val="center"/>
        </w:trPr>
        <w:tc>
          <w:tcPr>
            <w:tcW w:w="250" w:type="pct"/>
            <w:vMerge w:val="continue"/>
            <w:vAlign w:val="center"/>
          </w:tcPr>
          <w:p w14:paraId="7CAAD4FF">
            <w:pPr>
              <w:snapToGrid w:val="0"/>
              <w:spacing w:before="0" w:beforeLines="0" w:line="240" w:lineRule="auto"/>
              <w:jc w:val="center"/>
              <w:rPr>
                <w:kern w:val="0"/>
                <w:szCs w:val="21"/>
                <w:lang w:bidi="ar"/>
              </w:rPr>
            </w:pPr>
          </w:p>
        </w:tc>
        <w:tc>
          <w:tcPr>
            <w:tcW w:w="604" w:type="pct"/>
            <w:vAlign w:val="center"/>
          </w:tcPr>
          <w:p w14:paraId="40BA2F9A">
            <w:pPr>
              <w:snapToGrid w:val="0"/>
              <w:spacing w:before="0" w:beforeLines="0" w:line="240" w:lineRule="auto"/>
              <w:jc w:val="center"/>
              <w:rPr>
                <w:kern w:val="0"/>
                <w:szCs w:val="21"/>
                <w:lang w:bidi="ar"/>
              </w:rPr>
            </w:pPr>
            <w:r>
              <w:rPr>
                <w:kern w:val="0"/>
                <w:szCs w:val="21"/>
                <w:lang w:bidi="ar"/>
              </w:rPr>
              <w:t>生活用水</w:t>
            </w:r>
          </w:p>
        </w:tc>
        <w:tc>
          <w:tcPr>
            <w:tcW w:w="410" w:type="pct"/>
            <w:vAlign w:val="center"/>
          </w:tcPr>
          <w:p w14:paraId="6DD04C04">
            <w:pPr>
              <w:snapToGrid w:val="0"/>
              <w:spacing w:before="0" w:beforeLines="0" w:line="240" w:lineRule="auto"/>
              <w:jc w:val="center"/>
              <w:rPr>
                <w:kern w:val="0"/>
                <w:szCs w:val="21"/>
                <w:lang w:bidi="ar"/>
              </w:rPr>
            </w:pPr>
            <w:r>
              <w:rPr>
                <w:kern w:val="0"/>
                <w:szCs w:val="21"/>
                <w:lang w:bidi="ar"/>
              </w:rPr>
              <w:t>COD</w:t>
            </w:r>
            <w:r>
              <w:rPr>
                <w:rFonts w:hint="eastAsia"/>
                <w:kern w:val="0"/>
                <w:szCs w:val="21"/>
                <w:lang w:bidi="ar"/>
              </w:rPr>
              <w:t>、</w:t>
            </w:r>
          </w:p>
          <w:p w14:paraId="6B011C1A">
            <w:pPr>
              <w:snapToGrid w:val="0"/>
              <w:spacing w:before="0" w:beforeLines="0" w:line="240" w:lineRule="auto"/>
              <w:jc w:val="center"/>
              <w:rPr>
                <w:kern w:val="0"/>
                <w:szCs w:val="21"/>
                <w:lang w:bidi="ar"/>
              </w:rPr>
            </w:pPr>
            <w:r>
              <w:rPr>
                <w:kern w:val="0"/>
                <w:szCs w:val="21"/>
                <w:lang w:bidi="ar"/>
              </w:rPr>
              <w:t>SS</w:t>
            </w:r>
            <w:r>
              <w:rPr>
                <w:rFonts w:hint="eastAsia"/>
                <w:kern w:val="0"/>
                <w:szCs w:val="21"/>
                <w:lang w:bidi="ar"/>
              </w:rPr>
              <w:t>、</w:t>
            </w:r>
          </w:p>
          <w:p w14:paraId="41C0EF40">
            <w:pPr>
              <w:snapToGrid w:val="0"/>
              <w:spacing w:before="0" w:beforeLines="0" w:line="240" w:lineRule="auto"/>
              <w:jc w:val="center"/>
              <w:rPr>
                <w:kern w:val="0"/>
                <w:szCs w:val="21"/>
                <w:lang w:bidi="ar"/>
              </w:rPr>
            </w:pPr>
            <w:r>
              <w:rPr>
                <w:kern w:val="0"/>
                <w:szCs w:val="21"/>
                <w:lang w:bidi="ar"/>
              </w:rPr>
              <w:t>NH</w:t>
            </w:r>
            <w:r>
              <w:rPr>
                <w:kern w:val="0"/>
                <w:szCs w:val="21"/>
                <w:vertAlign w:val="subscript"/>
                <w:lang w:bidi="ar"/>
              </w:rPr>
              <w:t>3</w:t>
            </w:r>
            <w:r>
              <w:rPr>
                <w:kern w:val="0"/>
                <w:szCs w:val="21"/>
                <w:lang w:bidi="ar"/>
              </w:rPr>
              <w:t>-N</w:t>
            </w:r>
          </w:p>
        </w:tc>
        <w:tc>
          <w:tcPr>
            <w:tcW w:w="699" w:type="pct"/>
            <w:vAlign w:val="center"/>
          </w:tcPr>
          <w:p w14:paraId="21A74EF5">
            <w:pPr>
              <w:snapToGrid w:val="0"/>
              <w:spacing w:before="0" w:beforeLines="0" w:line="240" w:lineRule="auto"/>
              <w:jc w:val="center"/>
              <w:rPr>
                <w:kern w:val="0"/>
                <w:szCs w:val="21"/>
                <w:lang w:bidi="ar"/>
              </w:rPr>
            </w:pPr>
            <w:r>
              <w:rPr>
                <w:kern w:val="0"/>
                <w:szCs w:val="21"/>
                <w:lang w:bidi="ar"/>
              </w:rPr>
              <w:t>/</w:t>
            </w:r>
          </w:p>
        </w:tc>
        <w:tc>
          <w:tcPr>
            <w:tcW w:w="389" w:type="pct"/>
            <w:vAlign w:val="center"/>
          </w:tcPr>
          <w:p w14:paraId="2A8CC547">
            <w:pPr>
              <w:snapToGrid w:val="0"/>
              <w:spacing w:before="0" w:beforeLines="0" w:line="240" w:lineRule="auto"/>
              <w:jc w:val="center"/>
              <w:rPr>
                <w:kern w:val="0"/>
                <w:szCs w:val="21"/>
                <w:lang w:bidi="ar"/>
              </w:rPr>
            </w:pPr>
            <w:r>
              <w:rPr>
                <w:kern w:val="0"/>
                <w:szCs w:val="21"/>
                <w:lang w:bidi="ar"/>
              </w:rPr>
              <w:t>/</w:t>
            </w:r>
          </w:p>
        </w:tc>
        <w:tc>
          <w:tcPr>
            <w:tcW w:w="1290" w:type="pct"/>
            <w:vAlign w:val="center"/>
          </w:tcPr>
          <w:p w14:paraId="7578F813">
            <w:pPr>
              <w:snapToGrid w:val="0"/>
              <w:spacing w:before="0" w:beforeLines="0" w:line="240" w:lineRule="auto"/>
              <w:jc w:val="center"/>
              <w:rPr>
                <w:kern w:val="0"/>
                <w:szCs w:val="21"/>
                <w:lang w:bidi="ar"/>
              </w:rPr>
            </w:pPr>
            <w:r>
              <w:rPr>
                <w:kern w:val="0"/>
                <w:szCs w:val="21"/>
                <w:lang w:bidi="ar"/>
              </w:rPr>
              <w:t>排入化粪池，定期清掏</w:t>
            </w:r>
          </w:p>
        </w:tc>
        <w:tc>
          <w:tcPr>
            <w:tcW w:w="463" w:type="pct"/>
            <w:vAlign w:val="center"/>
          </w:tcPr>
          <w:p w14:paraId="3CD1F573">
            <w:pPr>
              <w:snapToGrid w:val="0"/>
              <w:spacing w:before="0" w:beforeLines="0" w:line="240" w:lineRule="auto"/>
              <w:jc w:val="center"/>
              <w:rPr>
                <w:kern w:val="0"/>
                <w:szCs w:val="21"/>
                <w:lang w:bidi="ar"/>
              </w:rPr>
            </w:pPr>
            <w:r>
              <w:rPr>
                <w:kern w:val="0"/>
                <w:szCs w:val="21"/>
                <w:lang w:bidi="ar"/>
              </w:rPr>
              <w:t>0</w:t>
            </w:r>
          </w:p>
        </w:tc>
        <w:tc>
          <w:tcPr>
            <w:tcW w:w="464" w:type="pct"/>
            <w:vAlign w:val="center"/>
          </w:tcPr>
          <w:p w14:paraId="5DC2230E">
            <w:pPr>
              <w:snapToGrid w:val="0"/>
              <w:spacing w:before="0" w:beforeLines="0" w:line="240" w:lineRule="auto"/>
              <w:jc w:val="center"/>
              <w:rPr>
                <w:kern w:val="0"/>
                <w:szCs w:val="21"/>
                <w:lang w:bidi="ar"/>
              </w:rPr>
            </w:pPr>
            <w:r>
              <w:rPr>
                <w:kern w:val="0"/>
                <w:szCs w:val="21"/>
                <w:lang w:bidi="ar"/>
              </w:rPr>
              <w:t>/</w:t>
            </w:r>
          </w:p>
        </w:tc>
        <w:tc>
          <w:tcPr>
            <w:tcW w:w="431" w:type="pct"/>
            <w:vMerge w:val="continue"/>
            <w:vAlign w:val="center"/>
          </w:tcPr>
          <w:p w14:paraId="7BC7A799">
            <w:pPr>
              <w:snapToGrid w:val="0"/>
              <w:spacing w:before="0" w:beforeLines="0" w:line="240" w:lineRule="auto"/>
              <w:jc w:val="center"/>
              <w:rPr>
                <w:kern w:val="0"/>
                <w:szCs w:val="21"/>
                <w:lang w:bidi="ar"/>
              </w:rPr>
            </w:pPr>
          </w:p>
        </w:tc>
      </w:tr>
      <w:tr w14:paraId="188993C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85" w:type="dxa"/>
            <w:left w:w="0" w:type="dxa"/>
            <w:bottom w:w="85" w:type="dxa"/>
            <w:right w:w="0" w:type="dxa"/>
          </w:tblCellMar>
        </w:tblPrEx>
        <w:trPr>
          <w:trHeight w:val="590" w:hRule="atLeast"/>
          <w:tblHeader/>
          <w:jc w:val="center"/>
        </w:trPr>
        <w:tc>
          <w:tcPr>
            <w:tcW w:w="250" w:type="pct"/>
            <w:vAlign w:val="center"/>
          </w:tcPr>
          <w:p w14:paraId="347ABCC2">
            <w:pPr>
              <w:snapToGrid w:val="0"/>
              <w:spacing w:before="0" w:beforeLines="0" w:line="240" w:lineRule="auto"/>
              <w:jc w:val="center"/>
              <w:rPr>
                <w:kern w:val="0"/>
                <w:szCs w:val="21"/>
                <w:lang w:bidi="ar"/>
              </w:rPr>
            </w:pPr>
            <w:r>
              <w:rPr>
                <w:kern w:val="0"/>
                <w:szCs w:val="21"/>
                <w:lang w:bidi="ar"/>
              </w:rPr>
              <w:t>噪声</w:t>
            </w:r>
          </w:p>
        </w:tc>
        <w:tc>
          <w:tcPr>
            <w:tcW w:w="604" w:type="pct"/>
            <w:vAlign w:val="center"/>
          </w:tcPr>
          <w:p w14:paraId="63A83B3C">
            <w:pPr>
              <w:snapToGrid w:val="0"/>
              <w:spacing w:before="0" w:beforeLines="0" w:line="240" w:lineRule="auto"/>
              <w:jc w:val="center"/>
              <w:rPr>
                <w:kern w:val="0"/>
                <w:szCs w:val="21"/>
                <w:lang w:bidi="ar"/>
              </w:rPr>
            </w:pPr>
            <w:r>
              <w:rPr>
                <w:kern w:val="0"/>
                <w:szCs w:val="21"/>
                <w:lang w:bidi="ar"/>
              </w:rPr>
              <w:t>车间设备</w:t>
            </w:r>
          </w:p>
        </w:tc>
        <w:tc>
          <w:tcPr>
            <w:tcW w:w="410" w:type="pct"/>
            <w:vAlign w:val="center"/>
          </w:tcPr>
          <w:p w14:paraId="47F5680E">
            <w:pPr>
              <w:snapToGrid w:val="0"/>
              <w:spacing w:before="0" w:beforeLines="0" w:line="240" w:lineRule="auto"/>
              <w:jc w:val="center"/>
              <w:rPr>
                <w:kern w:val="0"/>
                <w:szCs w:val="21"/>
                <w:lang w:bidi="ar"/>
              </w:rPr>
            </w:pPr>
            <w:r>
              <w:rPr>
                <w:rFonts w:hint="eastAsia"/>
                <w:kern w:val="0"/>
                <w:szCs w:val="21"/>
                <w:lang w:bidi="ar"/>
              </w:rPr>
              <w:t>声功率级</w:t>
            </w:r>
          </w:p>
        </w:tc>
        <w:tc>
          <w:tcPr>
            <w:tcW w:w="699" w:type="pct"/>
            <w:vAlign w:val="center"/>
          </w:tcPr>
          <w:p w14:paraId="2CA5B335">
            <w:pPr>
              <w:snapToGrid w:val="0"/>
              <w:spacing w:before="0" w:beforeLines="0" w:line="240" w:lineRule="auto"/>
              <w:jc w:val="center"/>
              <w:rPr>
                <w:kern w:val="0"/>
                <w:szCs w:val="21"/>
                <w:lang w:bidi="ar"/>
              </w:rPr>
            </w:pPr>
            <w:r>
              <w:rPr>
                <w:kern w:val="0"/>
                <w:szCs w:val="21"/>
                <w:lang w:bidi="ar"/>
              </w:rPr>
              <w:t>——</w:t>
            </w:r>
          </w:p>
        </w:tc>
        <w:tc>
          <w:tcPr>
            <w:tcW w:w="389" w:type="pct"/>
            <w:vAlign w:val="center"/>
          </w:tcPr>
          <w:p w14:paraId="6BD8D516">
            <w:pPr>
              <w:snapToGrid w:val="0"/>
              <w:spacing w:before="0" w:beforeLines="0" w:line="240" w:lineRule="auto"/>
              <w:jc w:val="center"/>
              <w:rPr>
                <w:kern w:val="0"/>
                <w:szCs w:val="21"/>
                <w:lang w:bidi="ar"/>
              </w:rPr>
            </w:pPr>
            <w:r>
              <w:rPr>
                <w:kern w:val="0"/>
                <w:szCs w:val="21"/>
                <w:lang w:bidi="ar"/>
              </w:rPr>
              <w:t>70~100dB（A）</w:t>
            </w:r>
          </w:p>
        </w:tc>
        <w:tc>
          <w:tcPr>
            <w:tcW w:w="1290" w:type="pct"/>
            <w:vAlign w:val="center"/>
          </w:tcPr>
          <w:p w14:paraId="7873AF37">
            <w:pPr>
              <w:snapToGrid w:val="0"/>
              <w:spacing w:before="0" w:beforeLines="0" w:line="240" w:lineRule="auto"/>
              <w:jc w:val="center"/>
              <w:rPr>
                <w:kern w:val="0"/>
                <w:szCs w:val="21"/>
                <w:lang w:bidi="ar"/>
              </w:rPr>
            </w:pPr>
            <w:bookmarkStart w:id="140" w:name="_Hlk175230121"/>
            <w:r>
              <w:rPr>
                <w:kern w:val="0"/>
                <w:szCs w:val="21"/>
                <w:lang w:bidi="ar"/>
              </w:rPr>
              <w:t>低噪声设备、减振、隔声</w:t>
            </w:r>
            <w:bookmarkEnd w:id="140"/>
          </w:p>
        </w:tc>
        <w:tc>
          <w:tcPr>
            <w:tcW w:w="463" w:type="pct"/>
            <w:vAlign w:val="center"/>
          </w:tcPr>
          <w:p w14:paraId="0915C57F">
            <w:pPr>
              <w:snapToGrid w:val="0"/>
              <w:spacing w:before="0" w:beforeLines="0" w:line="240" w:lineRule="auto"/>
              <w:jc w:val="center"/>
              <w:rPr>
                <w:kern w:val="0"/>
                <w:szCs w:val="21"/>
                <w:lang w:bidi="ar"/>
              </w:rPr>
            </w:pPr>
            <w:r>
              <w:rPr>
                <w:kern w:val="0"/>
                <w:szCs w:val="21"/>
                <w:lang w:bidi="ar"/>
              </w:rPr>
              <w:t>40~70dB（A）</w:t>
            </w:r>
          </w:p>
        </w:tc>
        <w:tc>
          <w:tcPr>
            <w:tcW w:w="464" w:type="pct"/>
            <w:vAlign w:val="center"/>
          </w:tcPr>
          <w:p w14:paraId="23465DFF">
            <w:pPr>
              <w:snapToGrid w:val="0"/>
              <w:spacing w:before="0" w:beforeLines="0" w:line="240" w:lineRule="auto"/>
              <w:jc w:val="center"/>
              <w:rPr>
                <w:kern w:val="0"/>
                <w:szCs w:val="21"/>
                <w:lang w:bidi="ar"/>
              </w:rPr>
            </w:pPr>
            <w:r>
              <w:rPr>
                <w:kern w:val="0"/>
                <w:szCs w:val="21"/>
                <w:lang w:bidi="ar"/>
              </w:rPr>
              <w:t>连续排放</w:t>
            </w:r>
          </w:p>
        </w:tc>
        <w:tc>
          <w:tcPr>
            <w:tcW w:w="431" w:type="pct"/>
            <w:vAlign w:val="center"/>
          </w:tcPr>
          <w:p w14:paraId="5D90D6B4">
            <w:pPr>
              <w:snapToGrid w:val="0"/>
              <w:spacing w:before="0" w:beforeLines="0" w:line="240" w:lineRule="auto"/>
              <w:jc w:val="center"/>
              <w:rPr>
                <w:kern w:val="0"/>
                <w:szCs w:val="21"/>
                <w:lang w:bidi="ar"/>
              </w:rPr>
            </w:pPr>
            <w:r>
              <w:rPr>
                <w:kern w:val="0"/>
                <w:szCs w:val="21"/>
                <w:lang w:bidi="ar"/>
              </w:rPr>
              <w:t>周围环境</w:t>
            </w:r>
          </w:p>
        </w:tc>
      </w:tr>
      <w:tr w14:paraId="69D45C2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85" w:type="dxa"/>
            <w:left w:w="0" w:type="dxa"/>
            <w:bottom w:w="85" w:type="dxa"/>
            <w:right w:w="0" w:type="dxa"/>
          </w:tblCellMar>
        </w:tblPrEx>
        <w:trPr>
          <w:trHeight w:val="397" w:hRule="exact"/>
          <w:tblHeader/>
          <w:jc w:val="center"/>
        </w:trPr>
        <w:tc>
          <w:tcPr>
            <w:tcW w:w="250" w:type="pct"/>
            <w:vMerge w:val="restart"/>
            <w:vAlign w:val="center"/>
          </w:tcPr>
          <w:p w14:paraId="70F711B5">
            <w:pPr>
              <w:snapToGrid w:val="0"/>
              <w:spacing w:before="0" w:beforeLines="0" w:line="240" w:lineRule="auto"/>
              <w:jc w:val="center"/>
              <w:rPr>
                <w:kern w:val="0"/>
                <w:szCs w:val="21"/>
                <w:lang w:bidi="ar"/>
              </w:rPr>
            </w:pPr>
            <w:r>
              <w:rPr>
                <w:kern w:val="0"/>
                <w:szCs w:val="21"/>
                <w:lang w:bidi="ar"/>
              </w:rPr>
              <w:t>固体废物</w:t>
            </w:r>
          </w:p>
        </w:tc>
        <w:tc>
          <w:tcPr>
            <w:tcW w:w="604" w:type="pct"/>
            <w:vAlign w:val="center"/>
          </w:tcPr>
          <w:p w14:paraId="516F337B">
            <w:pPr>
              <w:snapToGrid w:val="0"/>
              <w:spacing w:before="0" w:beforeLines="0" w:line="240" w:lineRule="auto"/>
              <w:jc w:val="center"/>
              <w:rPr>
                <w:kern w:val="0"/>
                <w:szCs w:val="21"/>
                <w:lang w:bidi="ar"/>
              </w:rPr>
            </w:pPr>
            <w:r>
              <w:rPr>
                <w:kern w:val="0"/>
                <w:szCs w:val="21"/>
                <w:lang w:bidi="ar"/>
              </w:rPr>
              <w:t>除尘器</w:t>
            </w:r>
          </w:p>
        </w:tc>
        <w:tc>
          <w:tcPr>
            <w:tcW w:w="410" w:type="pct"/>
            <w:vAlign w:val="center"/>
          </w:tcPr>
          <w:p w14:paraId="3216D0B9">
            <w:pPr>
              <w:snapToGrid w:val="0"/>
              <w:spacing w:before="0" w:beforeLines="0" w:line="240" w:lineRule="auto"/>
              <w:jc w:val="center"/>
              <w:rPr>
                <w:kern w:val="0"/>
                <w:szCs w:val="21"/>
                <w:lang w:bidi="ar"/>
              </w:rPr>
            </w:pPr>
            <w:r>
              <w:rPr>
                <w:kern w:val="0"/>
                <w:szCs w:val="21"/>
                <w:lang w:bidi="ar"/>
              </w:rPr>
              <w:t>除尘灰</w:t>
            </w:r>
          </w:p>
        </w:tc>
        <w:tc>
          <w:tcPr>
            <w:tcW w:w="699" w:type="pct"/>
            <w:vAlign w:val="center"/>
          </w:tcPr>
          <w:p w14:paraId="30521749">
            <w:pPr>
              <w:snapToGrid w:val="0"/>
              <w:spacing w:before="0" w:beforeLines="0" w:line="240" w:lineRule="auto"/>
              <w:jc w:val="center"/>
              <w:rPr>
                <w:kern w:val="0"/>
                <w:szCs w:val="21"/>
                <w:lang w:bidi="ar"/>
              </w:rPr>
            </w:pPr>
            <w:r>
              <w:rPr>
                <w:kern w:val="0"/>
                <w:szCs w:val="21"/>
                <w:lang w:bidi="ar"/>
              </w:rPr>
              <w:t>产污系数法</w:t>
            </w:r>
          </w:p>
        </w:tc>
        <w:tc>
          <w:tcPr>
            <w:tcW w:w="389" w:type="pct"/>
            <w:vAlign w:val="center"/>
          </w:tcPr>
          <w:p w14:paraId="58540956">
            <w:pPr>
              <w:snapToGrid w:val="0"/>
              <w:spacing w:before="0" w:beforeLines="0" w:line="240" w:lineRule="auto"/>
              <w:jc w:val="center"/>
              <w:rPr>
                <w:kern w:val="0"/>
                <w:szCs w:val="21"/>
                <w:lang w:bidi="ar"/>
              </w:rPr>
            </w:pPr>
            <w:r>
              <w:rPr>
                <w:rFonts w:hint="eastAsia"/>
                <w:kern w:val="0"/>
                <w:szCs w:val="21"/>
                <w:lang w:bidi="ar"/>
              </w:rPr>
              <w:t>3337.1</w:t>
            </w:r>
          </w:p>
        </w:tc>
        <w:tc>
          <w:tcPr>
            <w:tcW w:w="1290" w:type="pct"/>
            <w:vMerge w:val="restart"/>
            <w:vAlign w:val="center"/>
          </w:tcPr>
          <w:p w14:paraId="2AF6FC77">
            <w:pPr>
              <w:snapToGrid w:val="0"/>
              <w:spacing w:before="0" w:beforeLines="0" w:line="240" w:lineRule="auto"/>
              <w:jc w:val="center"/>
              <w:rPr>
                <w:kern w:val="0"/>
                <w:szCs w:val="21"/>
                <w:lang w:bidi="ar"/>
              </w:rPr>
            </w:pPr>
            <w:r>
              <w:rPr>
                <w:kern w:val="0"/>
                <w:szCs w:val="21"/>
                <w:lang w:bidi="ar"/>
              </w:rPr>
              <w:t>辽宁鑫岳矿业负责回填采坑</w:t>
            </w:r>
            <w:r>
              <w:rPr>
                <w:rFonts w:hint="eastAsia"/>
                <w:kern w:val="0"/>
                <w:szCs w:val="21"/>
                <w:lang w:bidi="ar"/>
              </w:rPr>
              <w:t>并进行生态恢复</w:t>
            </w:r>
            <w:r>
              <w:rPr>
                <w:kern w:val="0"/>
                <w:szCs w:val="21"/>
                <w:lang w:bidi="ar"/>
              </w:rPr>
              <w:t>。</w:t>
            </w:r>
          </w:p>
        </w:tc>
        <w:tc>
          <w:tcPr>
            <w:tcW w:w="463" w:type="pct"/>
            <w:vAlign w:val="center"/>
          </w:tcPr>
          <w:p w14:paraId="60401B00">
            <w:pPr>
              <w:snapToGrid w:val="0"/>
              <w:spacing w:before="0" w:beforeLines="0" w:line="240" w:lineRule="auto"/>
              <w:jc w:val="center"/>
              <w:rPr>
                <w:kern w:val="0"/>
                <w:szCs w:val="21"/>
                <w:lang w:bidi="ar"/>
              </w:rPr>
            </w:pPr>
            <w:r>
              <w:rPr>
                <w:kern w:val="0"/>
                <w:szCs w:val="21"/>
                <w:lang w:bidi="ar"/>
              </w:rPr>
              <w:t>0</w:t>
            </w:r>
          </w:p>
        </w:tc>
        <w:tc>
          <w:tcPr>
            <w:tcW w:w="464" w:type="pct"/>
            <w:vAlign w:val="center"/>
          </w:tcPr>
          <w:p w14:paraId="1658AA91">
            <w:pPr>
              <w:snapToGrid w:val="0"/>
              <w:spacing w:before="0" w:beforeLines="0" w:line="240" w:lineRule="auto"/>
              <w:jc w:val="center"/>
              <w:rPr>
                <w:kern w:val="0"/>
                <w:szCs w:val="21"/>
                <w:lang w:bidi="ar"/>
              </w:rPr>
            </w:pPr>
            <w:r>
              <w:rPr>
                <w:kern w:val="0"/>
                <w:szCs w:val="21"/>
                <w:lang w:bidi="ar"/>
              </w:rPr>
              <w:t>/</w:t>
            </w:r>
          </w:p>
        </w:tc>
        <w:tc>
          <w:tcPr>
            <w:tcW w:w="431" w:type="pct"/>
            <w:vMerge w:val="restart"/>
            <w:vAlign w:val="center"/>
          </w:tcPr>
          <w:p w14:paraId="62942ECD">
            <w:pPr>
              <w:snapToGrid w:val="0"/>
              <w:spacing w:before="0" w:beforeLines="0" w:line="240" w:lineRule="auto"/>
              <w:jc w:val="center"/>
              <w:rPr>
                <w:kern w:val="0"/>
                <w:szCs w:val="21"/>
                <w:lang w:bidi="ar"/>
              </w:rPr>
            </w:pPr>
            <w:r>
              <w:rPr>
                <w:rFonts w:hint="eastAsia"/>
                <w:kern w:val="0"/>
                <w:szCs w:val="21"/>
                <w:lang w:bidi="ar"/>
              </w:rPr>
              <w:t>回填</w:t>
            </w:r>
          </w:p>
        </w:tc>
      </w:tr>
      <w:tr w14:paraId="7FA0DDA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85" w:type="dxa"/>
            <w:left w:w="0" w:type="dxa"/>
            <w:bottom w:w="85" w:type="dxa"/>
            <w:right w:w="0" w:type="dxa"/>
          </w:tblCellMar>
        </w:tblPrEx>
        <w:trPr>
          <w:trHeight w:val="397" w:hRule="exact"/>
          <w:tblHeader/>
          <w:jc w:val="center"/>
        </w:trPr>
        <w:tc>
          <w:tcPr>
            <w:tcW w:w="250" w:type="pct"/>
            <w:vMerge w:val="continue"/>
            <w:vAlign w:val="center"/>
          </w:tcPr>
          <w:p w14:paraId="12E0B477">
            <w:pPr>
              <w:snapToGrid w:val="0"/>
              <w:spacing w:before="0" w:beforeLines="0" w:line="240" w:lineRule="auto"/>
              <w:jc w:val="center"/>
              <w:rPr>
                <w:kern w:val="0"/>
                <w:szCs w:val="21"/>
                <w:lang w:bidi="ar"/>
              </w:rPr>
            </w:pPr>
          </w:p>
        </w:tc>
        <w:tc>
          <w:tcPr>
            <w:tcW w:w="604" w:type="pct"/>
            <w:vAlign w:val="center"/>
          </w:tcPr>
          <w:p w14:paraId="517800B6">
            <w:pPr>
              <w:snapToGrid w:val="0"/>
              <w:spacing w:before="0" w:beforeLines="0" w:line="240" w:lineRule="auto"/>
              <w:jc w:val="center"/>
              <w:rPr>
                <w:kern w:val="0"/>
                <w:szCs w:val="21"/>
                <w:lang w:bidi="ar"/>
              </w:rPr>
            </w:pPr>
            <w:r>
              <w:rPr>
                <w:kern w:val="0"/>
                <w:szCs w:val="21"/>
                <w:lang w:bidi="ar"/>
              </w:rPr>
              <w:t>地面清扫</w:t>
            </w:r>
          </w:p>
        </w:tc>
        <w:tc>
          <w:tcPr>
            <w:tcW w:w="410" w:type="pct"/>
            <w:vAlign w:val="center"/>
          </w:tcPr>
          <w:p w14:paraId="03C02AE6">
            <w:pPr>
              <w:snapToGrid w:val="0"/>
              <w:spacing w:before="0" w:beforeLines="0" w:line="240" w:lineRule="auto"/>
              <w:jc w:val="center"/>
              <w:rPr>
                <w:kern w:val="0"/>
                <w:szCs w:val="21"/>
                <w:lang w:bidi="ar"/>
              </w:rPr>
            </w:pPr>
            <w:r>
              <w:rPr>
                <w:kern w:val="0"/>
                <w:szCs w:val="21"/>
                <w:lang w:bidi="ar"/>
              </w:rPr>
              <w:t>落地灰</w:t>
            </w:r>
          </w:p>
        </w:tc>
        <w:tc>
          <w:tcPr>
            <w:tcW w:w="699" w:type="pct"/>
            <w:vAlign w:val="center"/>
          </w:tcPr>
          <w:p w14:paraId="7E3A78CA">
            <w:pPr>
              <w:snapToGrid w:val="0"/>
              <w:spacing w:before="0" w:beforeLines="0" w:line="240" w:lineRule="auto"/>
              <w:jc w:val="center"/>
              <w:rPr>
                <w:kern w:val="0"/>
                <w:szCs w:val="21"/>
                <w:lang w:bidi="ar"/>
              </w:rPr>
            </w:pPr>
            <w:r>
              <w:rPr>
                <w:kern w:val="0"/>
                <w:szCs w:val="21"/>
                <w:lang w:bidi="ar"/>
              </w:rPr>
              <w:t>产污系数法</w:t>
            </w:r>
          </w:p>
        </w:tc>
        <w:tc>
          <w:tcPr>
            <w:tcW w:w="389" w:type="pct"/>
            <w:vAlign w:val="center"/>
          </w:tcPr>
          <w:p w14:paraId="2438E947">
            <w:pPr>
              <w:snapToGrid w:val="0"/>
              <w:spacing w:before="0" w:beforeLines="0" w:line="240" w:lineRule="auto"/>
              <w:jc w:val="center"/>
              <w:rPr>
                <w:kern w:val="0"/>
                <w:szCs w:val="21"/>
                <w:lang w:bidi="ar"/>
              </w:rPr>
            </w:pPr>
            <w:r>
              <w:rPr>
                <w:rFonts w:hint="eastAsia"/>
                <w:kern w:val="0"/>
                <w:szCs w:val="21"/>
                <w:lang w:bidi="ar"/>
              </w:rPr>
              <w:t>353.65</w:t>
            </w:r>
          </w:p>
        </w:tc>
        <w:tc>
          <w:tcPr>
            <w:tcW w:w="1290" w:type="pct"/>
            <w:vMerge w:val="continue"/>
            <w:vAlign w:val="center"/>
          </w:tcPr>
          <w:p w14:paraId="365A0111">
            <w:pPr>
              <w:snapToGrid w:val="0"/>
              <w:spacing w:before="0" w:beforeLines="0" w:line="240" w:lineRule="auto"/>
              <w:jc w:val="center"/>
              <w:rPr>
                <w:kern w:val="0"/>
                <w:szCs w:val="21"/>
                <w:lang w:bidi="ar"/>
              </w:rPr>
            </w:pPr>
          </w:p>
        </w:tc>
        <w:tc>
          <w:tcPr>
            <w:tcW w:w="463" w:type="pct"/>
            <w:vAlign w:val="center"/>
          </w:tcPr>
          <w:p w14:paraId="35E7AC76">
            <w:pPr>
              <w:snapToGrid w:val="0"/>
              <w:spacing w:before="0" w:beforeLines="0" w:line="240" w:lineRule="auto"/>
              <w:jc w:val="center"/>
              <w:rPr>
                <w:kern w:val="0"/>
                <w:szCs w:val="21"/>
                <w:lang w:bidi="ar"/>
              </w:rPr>
            </w:pPr>
            <w:r>
              <w:rPr>
                <w:kern w:val="0"/>
                <w:szCs w:val="21"/>
                <w:lang w:bidi="ar"/>
              </w:rPr>
              <w:t>0</w:t>
            </w:r>
          </w:p>
        </w:tc>
        <w:tc>
          <w:tcPr>
            <w:tcW w:w="464" w:type="pct"/>
            <w:vAlign w:val="center"/>
          </w:tcPr>
          <w:p w14:paraId="13D0090E">
            <w:pPr>
              <w:snapToGrid w:val="0"/>
              <w:spacing w:before="0" w:beforeLines="0" w:line="240" w:lineRule="auto"/>
              <w:jc w:val="center"/>
              <w:rPr>
                <w:kern w:val="0"/>
                <w:szCs w:val="21"/>
                <w:lang w:bidi="ar"/>
              </w:rPr>
            </w:pPr>
            <w:r>
              <w:rPr>
                <w:kern w:val="0"/>
                <w:szCs w:val="21"/>
                <w:lang w:bidi="ar"/>
              </w:rPr>
              <w:t>/</w:t>
            </w:r>
          </w:p>
        </w:tc>
        <w:tc>
          <w:tcPr>
            <w:tcW w:w="431" w:type="pct"/>
            <w:vMerge w:val="continue"/>
            <w:vAlign w:val="center"/>
          </w:tcPr>
          <w:p w14:paraId="2EF81DED">
            <w:pPr>
              <w:snapToGrid w:val="0"/>
              <w:spacing w:before="0" w:beforeLines="0" w:line="240" w:lineRule="auto"/>
              <w:jc w:val="center"/>
              <w:rPr>
                <w:kern w:val="0"/>
                <w:szCs w:val="21"/>
                <w:lang w:bidi="ar"/>
              </w:rPr>
            </w:pPr>
          </w:p>
        </w:tc>
      </w:tr>
      <w:tr w14:paraId="5332821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85" w:type="dxa"/>
            <w:left w:w="0" w:type="dxa"/>
            <w:bottom w:w="85" w:type="dxa"/>
            <w:right w:w="0" w:type="dxa"/>
          </w:tblCellMar>
        </w:tblPrEx>
        <w:trPr>
          <w:trHeight w:val="397" w:hRule="exact"/>
          <w:tblHeader/>
          <w:jc w:val="center"/>
        </w:trPr>
        <w:tc>
          <w:tcPr>
            <w:tcW w:w="250" w:type="pct"/>
            <w:vMerge w:val="continue"/>
            <w:vAlign w:val="center"/>
          </w:tcPr>
          <w:p w14:paraId="5963E6E5">
            <w:pPr>
              <w:snapToGrid w:val="0"/>
              <w:spacing w:before="0" w:beforeLines="0" w:line="240" w:lineRule="auto"/>
              <w:jc w:val="center"/>
              <w:rPr>
                <w:kern w:val="0"/>
                <w:szCs w:val="21"/>
                <w:lang w:bidi="ar"/>
              </w:rPr>
            </w:pPr>
          </w:p>
        </w:tc>
        <w:tc>
          <w:tcPr>
            <w:tcW w:w="604" w:type="pct"/>
            <w:vAlign w:val="center"/>
          </w:tcPr>
          <w:p w14:paraId="689DC504">
            <w:pPr>
              <w:snapToGrid w:val="0"/>
              <w:spacing w:before="0" w:beforeLines="0" w:line="240" w:lineRule="auto"/>
              <w:jc w:val="center"/>
              <w:rPr>
                <w:kern w:val="0"/>
                <w:szCs w:val="21"/>
                <w:lang w:bidi="ar"/>
              </w:rPr>
            </w:pPr>
            <w:r>
              <w:rPr>
                <w:kern w:val="0"/>
                <w:szCs w:val="21"/>
                <w:lang w:bidi="ar"/>
              </w:rPr>
              <w:t>泥浆压滤</w:t>
            </w:r>
          </w:p>
        </w:tc>
        <w:tc>
          <w:tcPr>
            <w:tcW w:w="410" w:type="pct"/>
            <w:vAlign w:val="center"/>
          </w:tcPr>
          <w:p w14:paraId="079C24E4">
            <w:pPr>
              <w:snapToGrid w:val="0"/>
              <w:spacing w:before="0" w:beforeLines="0" w:line="240" w:lineRule="auto"/>
              <w:jc w:val="center"/>
              <w:rPr>
                <w:kern w:val="0"/>
                <w:szCs w:val="21"/>
                <w:lang w:bidi="ar"/>
              </w:rPr>
            </w:pPr>
            <w:r>
              <w:rPr>
                <w:kern w:val="0"/>
                <w:szCs w:val="21"/>
                <w:lang w:bidi="ar"/>
              </w:rPr>
              <w:t>泥饼</w:t>
            </w:r>
          </w:p>
        </w:tc>
        <w:tc>
          <w:tcPr>
            <w:tcW w:w="699" w:type="pct"/>
            <w:vAlign w:val="center"/>
          </w:tcPr>
          <w:p w14:paraId="0C3FEAAA">
            <w:pPr>
              <w:snapToGrid w:val="0"/>
              <w:spacing w:before="0" w:beforeLines="0" w:line="240" w:lineRule="auto"/>
              <w:jc w:val="center"/>
              <w:rPr>
                <w:kern w:val="0"/>
                <w:szCs w:val="21"/>
                <w:lang w:bidi="ar"/>
              </w:rPr>
            </w:pPr>
            <w:r>
              <w:rPr>
                <w:rFonts w:hint="eastAsia"/>
                <w:kern w:val="0"/>
                <w:szCs w:val="21"/>
                <w:lang w:bidi="ar"/>
              </w:rPr>
              <w:t>物料衡算</w:t>
            </w:r>
          </w:p>
        </w:tc>
        <w:tc>
          <w:tcPr>
            <w:tcW w:w="389" w:type="pct"/>
            <w:vAlign w:val="center"/>
          </w:tcPr>
          <w:p w14:paraId="0B1A3934">
            <w:pPr>
              <w:snapToGrid w:val="0"/>
              <w:spacing w:before="0" w:beforeLines="0" w:line="240" w:lineRule="auto"/>
              <w:jc w:val="center"/>
              <w:rPr>
                <w:kern w:val="0"/>
                <w:szCs w:val="21"/>
                <w:lang w:bidi="ar"/>
              </w:rPr>
            </w:pPr>
            <w:r>
              <w:rPr>
                <w:rFonts w:hint="eastAsia"/>
                <w:kern w:val="0"/>
                <w:szCs w:val="21"/>
                <w:lang w:bidi="ar"/>
              </w:rPr>
              <w:t>931697</w:t>
            </w:r>
          </w:p>
        </w:tc>
        <w:tc>
          <w:tcPr>
            <w:tcW w:w="1290" w:type="pct"/>
            <w:vMerge w:val="continue"/>
            <w:vAlign w:val="center"/>
          </w:tcPr>
          <w:p w14:paraId="08113146">
            <w:pPr>
              <w:snapToGrid w:val="0"/>
              <w:spacing w:before="0" w:beforeLines="0" w:line="240" w:lineRule="auto"/>
              <w:jc w:val="center"/>
              <w:rPr>
                <w:kern w:val="0"/>
                <w:szCs w:val="21"/>
                <w:lang w:bidi="ar"/>
              </w:rPr>
            </w:pPr>
          </w:p>
        </w:tc>
        <w:tc>
          <w:tcPr>
            <w:tcW w:w="463" w:type="pct"/>
            <w:vAlign w:val="center"/>
          </w:tcPr>
          <w:p w14:paraId="169BF272">
            <w:pPr>
              <w:snapToGrid w:val="0"/>
              <w:spacing w:before="0" w:beforeLines="0" w:line="240" w:lineRule="auto"/>
              <w:jc w:val="center"/>
              <w:rPr>
                <w:kern w:val="0"/>
                <w:szCs w:val="21"/>
                <w:lang w:bidi="ar"/>
              </w:rPr>
            </w:pPr>
            <w:r>
              <w:rPr>
                <w:kern w:val="0"/>
                <w:szCs w:val="21"/>
                <w:lang w:bidi="ar"/>
              </w:rPr>
              <w:t>0</w:t>
            </w:r>
          </w:p>
        </w:tc>
        <w:tc>
          <w:tcPr>
            <w:tcW w:w="464" w:type="pct"/>
            <w:vAlign w:val="center"/>
          </w:tcPr>
          <w:p w14:paraId="77B0B2BD">
            <w:pPr>
              <w:snapToGrid w:val="0"/>
              <w:spacing w:before="0" w:beforeLines="0" w:line="240" w:lineRule="auto"/>
              <w:jc w:val="center"/>
              <w:rPr>
                <w:kern w:val="0"/>
                <w:szCs w:val="21"/>
                <w:lang w:bidi="ar"/>
              </w:rPr>
            </w:pPr>
            <w:r>
              <w:rPr>
                <w:kern w:val="0"/>
                <w:szCs w:val="21"/>
                <w:lang w:bidi="ar"/>
              </w:rPr>
              <w:t>/</w:t>
            </w:r>
          </w:p>
        </w:tc>
        <w:tc>
          <w:tcPr>
            <w:tcW w:w="431" w:type="pct"/>
            <w:vMerge w:val="continue"/>
            <w:vAlign w:val="center"/>
          </w:tcPr>
          <w:p w14:paraId="50C5E6C2">
            <w:pPr>
              <w:snapToGrid w:val="0"/>
              <w:spacing w:before="0" w:beforeLines="0" w:line="240" w:lineRule="auto"/>
              <w:jc w:val="center"/>
              <w:rPr>
                <w:kern w:val="0"/>
                <w:szCs w:val="21"/>
                <w:lang w:bidi="ar"/>
              </w:rPr>
            </w:pPr>
          </w:p>
        </w:tc>
      </w:tr>
      <w:tr w14:paraId="33A3A76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85" w:type="dxa"/>
            <w:left w:w="0" w:type="dxa"/>
            <w:bottom w:w="85" w:type="dxa"/>
            <w:right w:w="0" w:type="dxa"/>
          </w:tblCellMar>
        </w:tblPrEx>
        <w:trPr>
          <w:trHeight w:val="397" w:hRule="exact"/>
          <w:tblHeader/>
          <w:jc w:val="center"/>
        </w:trPr>
        <w:tc>
          <w:tcPr>
            <w:tcW w:w="250" w:type="pct"/>
            <w:vMerge w:val="continue"/>
            <w:vAlign w:val="center"/>
          </w:tcPr>
          <w:p w14:paraId="4EE84743">
            <w:pPr>
              <w:snapToGrid w:val="0"/>
              <w:spacing w:before="0" w:beforeLines="0" w:line="240" w:lineRule="auto"/>
              <w:jc w:val="center"/>
              <w:rPr>
                <w:kern w:val="0"/>
                <w:szCs w:val="21"/>
                <w:lang w:bidi="ar"/>
              </w:rPr>
            </w:pPr>
          </w:p>
        </w:tc>
        <w:tc>
          <w:tcPr>
            <w:tcW w:w="604" w:type="pct"/>
            <w:vAlign w:val="center"/>
          </w:tcPr>
          <w:p w14:paraId="4002B087">
            <w:pPr>
              <w:snapToGrid w:val="0"/>
              <w:spacing w:before="0" w:beforeLines="0" w:line="240" w:lineRule="auto"/>
              <w:jc w:val="center"/>
              <w:rPr>
                <w:kern w:val="0"/>
                <w:szCs w:val="21"/>
                <w:lang w:bidi="ar"/>
              </w:rPr>
            </w:pPr>
            <w:r>
              <w:rPr>
                <w:rFonts w:hint="eastAsia"/>
                <w:kern w:val="0"/>
                <w:szCs w:val="21"/>
                <w:lang w:bidi="ar"/>
              </w:rPr>
              <w:t>除尘</w:t>
            </w:r>
          </w:p>
        </w:tc>
        <w:tc>
          <w:tcPr>
            <w:tcW w:w="410" w:type="pct"/>
            <w:vAlign w:val="center"/>
          </w:tcPr>
          <w:p w14:paraId="423B070E">
            <w:pPr>
              <w:snapToGrid w:val="0"/>
              <w:spacing w:before="0" w:beforeLines="0" w:line="240" w:lineRule="auto"/>
              <w:jc w:val="center"/>
              <w:rPr>
                <w:kern w:val="0"/>
                <w:szCs w:val="21"/>
                <w:lang w:bidi="ar"/>
              </w:rPr>
            </w:pPr>
            <w:r>
              <w:rPr>
                <w:rFonts w:hint="eastAsia"/>
                <w:kern w:val="0"/>
                <w:szCs w:val="21"/>
                <w:lang w:bidi="ar"/>
              </w:rPr>
              <w:t>废布袋</w:t>
            </w:r>
          </w:p>
        </w:tc>
        <w:tc>
          <w:tcPr>
            <w:tcW w:w="699" w:type="pct"/>
            <w:vAlign w:val="center"/>
          </w:tcPr>
          <w:p w14:paraId="6D8A8005">
            <w:pPr>
              <w:snapToGrid w:val="0"/>
              <w:spacing w:before="0" w:beforeLines="0" w:line="240" w:lineRule="auto"/>
              <w:jc w:val="center"/>
              <w:rPr>
                <w:kern w:val="0"/>
                <w:szCs w:val="21"/>
                <w:lang w:bidi="ar"/>
              </w:rPr>
            </w:pPr>
            <w:r>
              <w:rPr>
                <w:rFonts w:hint="eastAsia"/>
                <w:kern w:val="0"/>
                <w:szCs w:val="21"/>
                <w:lang w:bidi="ar"/>
              </w:rPr>
              <w:t>类比</w:t>
            </w:r>
          </w:p>
        </w:tc>
        <w:tc>
          <w:tcPr>
            <w:tcW w:w="389" w:type="pct"/>
            <w:vAlign w:val="center"/>
          </w:tcPr>
          <w:p w14:paraId="755E3B25">
            <w:pPr>
              <w:snapToGrid w:val="0"/>
              <w:spacing w:before="0" w:beforeLines="0" w:line="240" w:lineRule="auto"/>
              <w:jc w:val="center"/>
              <w:rPr>
                <w:kern w:val="0"/>
                <w:szCs w:val="21"/>
                <w:lang w:bidi="ar"/>
              </w:rPr>
            </w:pPr>
            <w:r>
              <w:rPr>
                <w:rFonts w:hint="eastAsia"/>
                <w:kern w:val="0"/>
                <w:szCs w:val="21"/>
                <w:lang w:bidi="ar"/>
              </w:rPr>
              <w:t>1.0</w:t>
            </w:r>
          </w:p>
        </w:tc>
        <w:tc>
          <w:tcPr>
            <w:tcW w:w="1290" w:type="pct"/>
            <w:vAlign w:val="center"/>
          </w:tcPr>
          <w:p w14:paraId="3B0FFA0B">
            <w:pPr>
              <w:snapToGrid w:val="0"/>
              <w:spacing w:before="0" w:beforeLines="0" w:line="240" w:lineRule="auto"/>
              <w:jc w:val="center"/>
              <w:rPr>
                <w:kern w:val="0"/>
                <w:szCs w:val="21"/>
                <w:lang w:bidi="ar"/>
              </w:rPr>
            </w:pPr>
            <w:r>
              <w:rPr>
                <w:rFonts w:hint="eastAsia"/>
                <w:kern w:val="0"/>
                <w:szCs w:val="21"/>
                <w:lang w:bidi="ar"/>
              </w:rPr>
              <w:t>外售物资公司</w:t>
            </w:r>
          </w:p>
        </w:tc>
        <w:tc>
          <w:tcPr>
            <w:tcW w:w="463" w:type="pct"/>
            <w:vAlign w:val="center"/>
          </w:tcPr>
          <w:p w14:paraId="6EF85EB8">
            <w:pPr>
              <w:snapToGrid w:val="0"/>
              <w:spacing w:before="0" w:beforeLines="0" w:line="240" w:lineRule="auto"/>
              <w:jc w:val="center"/>
              <w:rPr>
                <w:kern w:val="0"/>
                <w:szCs w:val="21"/>
                <w:lang w:bidi="ar"/>
              </w:rPr>
            </w:pPr>
            <w:r>
              <w:rPr>
                <w:rFonts w:hint="eastAsia"/>
                <w:kern w:val="0"/>
                <w:szCs w:val="21"/>
                <w:lang w:bidi="ar"/>
              </w:rPr>
              <w:t>0</w:t>
            </w:r>
          </w:p>
        </w:tc>
        <w:tc>
          <w:tcPr>
            <w:tcW w:w="464" w:type="pct"/>
            <w:vAlign w:val="center"/>
          </w:tcPr>
          <w:p w14:paraId="4956BA2B">
            <w:pPr>
              <w:snapToGrid w:val="0"/>
              <w:spacing w:before="0" w:beforeLines="0" w:line="240" w:lineRule="auto"/>
              <w:jc w:val="center"/>
              <w:rPr>
                <w:kern w:val="0"/>
                <w:szCs w:val="21"/>
                <w:lang w:bidi="ar"/>
              </w:rPr>
            </w:pPr>
            <w:r>
              <w:rPr>
                <w:kern w:val="0"/>
                <w:szCs w:val="21"/>
                <w:lang w:bidi="ar"/>
              </w:rPr>
              <w:t>/</w:t>
            </w:r>
          </w:p>
        </w:tc>
        <w:tc>
          <w:tcPr>
            <w:tcW w:w="431" w:type="pct"/>
            <w:vAlign w:val="center"/>
          </w:tcPr>
          <w:p w14:paraId="1F30F13E">
            <w:pPr>
              <w:snapToGrid w:val="0"/>
              <w:spacing w:before="0" w:beforeLines="0" w:line="240" w:lineRule="auto"/>
              <w:jc w:val="center"/>
              <w:rPr>
                <w:kern w:val="0"/>
                <w:szCs w:val="21"/>
                <w:lang w:bidi="ar"/>
              </w:rPr>
            </w:pPr>
            <w:r>
              <w:rPr>
                <w:rFonts w:hint="eastAsia"/>
                <w:kern w:val="0"/>
                <w:szCs w:val="21"/>
                <w:lang w:bidi="ar"/>
              </w:rPr>
              <w:t>外售</w:t>
            </w:r>
          </w:p>
        </w:tc>
      </w:tr>
      <w:tr w14:paraId="5A6681B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85" w:type="dxa"/>
            <w:left w:w="0" w:type="dxa"/>
            <w:bottom w:w="85" w:type="dxa"/>
            <w:right w:w="0" w:type="dxa"/>
          </w:tblCellMar>
        </w:tblPrEx>
        <w:trPr>
          <w:trHeight w:val="431" w:hRule="atLeast"/>
          <w:tblHeader/>
          <w:jc w:val="center"/>
        </w:trPr>
        <w:tc>
          <w:tcPr>
            <w:tcW w:w="250" w:type="pct"/>
            <w:vMerge w:val="continue"/>
            <w:vAlign w:val="center"/>
          </w:tcPr>
          <w:p w14:paraId="53B639A6">
            <w:pPr>
              <w:snapToGrid w:val="0"/>
              <w:spacing w:before="0" w:beforeLines="0" w:line="240" w:lineRule="auto"/>
              <w:jc w:val="center"/>
              <w:rPr>
                <w:kern w:val="0"/>
                <w:szCs w:val="21"/>
                <w:lang w:bidi="ar"/>
              </w:rPr>
            </w:pPr>
          </w:p>
        </w:tc>
        <w:tc>
          <w:tcPr>
            <w:tcW w:w="604" w:type="pct"/>
            <w:vAlign w:val="center"/>
          </w:tcPr>
          <w:p w14:paraId="10CE681B">
            <w:pPr>
              <w:snapToGrid w:val="0"/>
              <w:spacing w:before="0" w:beforeLines="0" w:line="240" w:lineRule="auto"/>
              <w:jc w:val="center"/>
              <w:rPr>
                <w:kern w:val="0"/>
                <w:szCs w:val="21"/>
                <w:lang w:bidi="ar"/>
              </w:rPr>
            </w:pPr>
            <w:r>
              <w:rPr>
                <w:kern w:val="0"/>
                <w:szCs w:val="21"/>
                <w:lang w:bidi="ar"/>
              </w:rPr>
              <w:t>设备维护</w:t>
            </w:r>
          </w:p>
        </w:tc>
        <w:tc>
          <w:tcPr>
            <w:tcW w:w="410" w:type="pct"/>
            <w:vAlign w:val="center"/>
          </w:tcPr>
          <w:p w14:paraId="597C7C45">
            <w:pPr>
              <w:snapToGrid w:val="0"/>
              <w:spacing w:before="0" w:beforeLines="0" w:line="240" w:lineRule="auto"/>
              <w:jc w:val="center"/>
              <w:rPr>
                <w:kern w:val="0"/>
                <w:szCs w:val="21"/>
                <w:lang w:bidi="ar"/>
              </w:rPr>
            </w:pPr>
            <w:r>
              <w:rPr>
                <w:kern w:val="0"/>
                <w:szCs w:val="21"/>
                <w:lang w:bidi="ar"/>
              </w:rPr>
              <w:t>废矿物油及废油桶</w:t>
            </w:r>
          </w:p>
        </w:tc>
        <w:tc>
          <w:tcPr>
            <w:tcW w:w="699" w:type="pct"/>
            <w:vAlign w:val="center"/>
          </w:tcPr>
          <w:p w14:paraId="17B84034">
            <w:pPr>
              <w:snapToGrid w:val="0"/>
              <w:spacing w:before="0" w:beforeLines="0" w:line="240" w:lineRule="auto"/>
              <w:jc w:val="center"/>
              <w:rPr>
                <w:kern w:val="0"/>
                <w:szCs w:val="21"/>
                <w:lang w:bidi="ar"/>
              </w:rPr>
            </w:pPr>
            <w:r>
              <w:rPr>
                <w:kern w:val="0"/>
                <w:szCs w:val="21"/>
                <w:lang w:bidi="ar"/>
              </w:rPr>
              <w:t>类比法</w:t>
            </w:r>
          </w:p>
        </w:tc>
        <w:tc>
          <w:tcPr>
            <w:tcW w:w="389" w:type="pct"/>
            <w:vAlign w:val="center"/>
          </w:tcPr>
          <w:p w14:paraId="1283DC44">
            <w:pPr>
              <w:snapToGrid w:val="0"/>
              <w:spacing w:before="0" w:beforeLines="0" w:line="240" w:lineRule="auto"/>
              <w:jc w:val="center"/>
              <w:rPr>
                <w:kern w:val="0"/>
                <w:szCs w:val="21"/>
                <w:lang w:bidi="ar"/>
              </w:rPr>
            </w:pPr>
            <w:r>
              <w:rPr>
                <w:rFonts w:hint="eastAsia"/>
                <w:kern w:val="0"/>
                <w:szCs w:val="21"/>
                <w:lang w:bidi="ar"/>
              </w:rPr>
              <w:t>1.2</w:t>
            </w:r>
          </w:p>
        </w:tc>
        <w:tc>
          <w:tcPr>
            <w:tcW w:w="1290" w:type="pct"/>
            <w:vAlign w:val="center"/>
          </w:tcPr>
          <w:p w14:paraId="67A5DA38">
            <w:pPr>
              <w:snapToGrid w:val="0"/>
              <w:spacing w:before="0" w:beforeLines="0" w:line="240" w:lineRule="auto"/>
              <w:jc w:val="center"/>
              <w:rPr>
                <w:kern w:val="0"/>
                <w:szCs w:val="21"/>
                <w:lang w:bidi="ar"/>
              </w:rPr>
            </w:pPr>
            <w:r>
              <w:rPr>
                <w:kern w:val="0"/>
                <w:szCs w:val="21"/>
                <w:lang w:bidi="ar"/>
              </w:rPr>
              <w:t>贮存于危废贮存点，委托有资质单位处理</w:t>
            </w:r>
          </w:p>
        </w:tc>
        <w:tc>
          <w:tcPr>
            <w:tcW w:w="463" w:type="pct"/>
            <w:vAlign w:val="center"/>
          </w:tcPr>
          <w:p w14:paraId="60B1750D">
            <w:pPr>
              <w:snapToGrid w:val="0"/>
              <w:spacing w:before="0" w:beforeLines="0" w:line="240" w:lineRule="auto"/>
              <w:jc w:val="center"/>
              <w:rPr>
                <w:kern w:val="0"/>
                <w:szCs w:val="21"/>
                <w:lang w:bidi="ar"/>
              </w:rPr>
            </w:pPr>
            <w:r>
              <w:rPr>
                <w:kern w:val="0"/>
                <w:szCs w:val="21"/>
                <w:lang w:bidi="ar"/>
              </w:rPr>
              <w:t>0</w:t>
            </w:r>
          </w:p>
        </w:tc>
        <w:tc>
          <w:tcPr>
            <w:tcW w:w="464" w:type="pct"/>
            <w:vAlign w:val="center"/>
          </w:tcPr>
          <w:p w14:paraId="12E46458">
            <w:pPr>
              <w:snapToGrid w:val="0"/>
              <w:spacing w:before="0" w:beforeLines="0" w:line="240" w:lineRule="auto"/>
              <w:jc w:val="center"/>
              <w:rPr>
                <w:kern w:val="0"/>
                <w:szCs w:val="21"/>
                <w:lang w:bidi="ar"/>
              </w:rPr>
            </w:pPr>
            <w:r>
              <w:rPr>
                <w:kern w:val="0"/>
                <w:szCs w:val="21"/>
                <w:lang w:bidi="ar"/>
              </w:rPr>
              <w:t>/</w:t>
            </w:r>
          </w:p>
        </w:tc>
        <w:tc>
          <w:tcPr>
            <w:tcW w:w="431" w:type="pct"/>
            <w:vAlign w:val="center"/>
          </w:tcPr>
          <w:p w14:paraId="5EEA37AB">
            <w:pPr>
              <w:snapToGrid w:val="0"/>
              <w:spacing w:before="0" w:beforeLines="0" w:line="240" w:lineRule="auto"/>
              <w:jc w:val="center"/>
              <w:rPr>
                <w:kern w:val="0"/>
                <w:szCs w:val="21"/>
                <w:lang w:bidi="ar"/>
              </w:rPr>
            </w:pPr>
            <w:r>
              <w:rPr>
                <w:kern w:val="0"/>
                <w:szCs w:val="21"/>
                <w:lang w:bidi="ar"/>
              </w:rPr>
              <w:t>委托有资质单位处理</w:t>
            </w:r>
          </w:p>
        </w:tc>
      </w:tr>
      <w:tr w14:paraId="05D7E0C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85" w:type="dxa"/>
            <w:left w:w="0" w:type="dxa"/>
            <w:bottom w:w="85" w:type="dxa"/>
            <w:right w:w="0" w:type="dxa"/>
          </w:tblCellMar>
        </w:tblPrEx>
        <w:trPr>
          <w:trHeight w:val="230" w:hRule="atLeast"/>
          <w:tblHeader/>
          <w:jc w:val="center"/>
        </w:trPr>
        <w:tc>
          <w:tcPr>
            <w:tcW w:w="250" w:type="pct"/>
            <w:vMerge w:val="continue"/>
            <w:vAlign w:val="center"/>
          </w:tcPr>
          <w:p w14:paraId="298A7D0E">
            <w:pPr>
              <w:snapToGrid w:val="0"/>
              <w:spacing w:before="0" w:beforeLines="0" w:line="240" w:lineRule="auto"/>
              <w:jc w:val="center"/>
              <w:rPr>
                <w:kern w:val="0"/>
                <w:szCs w:val="21"/>
                <w:lang w:bidi="ar"/>
              </w:rPr>
            </w:pPr>
          </w:p>
        </w:tc>
        <w:tc>
          <w:tcPr>
            <w:tcW w:w="604" w:type="pct"/>
            <w:vAlign w:val="center"/>
          </w:tcPr>
          <w:p w14:paraId="40EC516F">
            <w:pPr>
              <w:snapToGrid w:val="0"/>
              <w:spacing w:before="0" w:beforeLines="0" w:line="240" w:lineRule="auto"/>
              <w:jc w:val="center"/>
              <w:rPr>
                <w:kern w:val="0"/>
                <w:szCs w:val="21"/>
                <w:lang w:bidi="ar"/>
              </w:rPr>
            </w:pPr>
            <w:r>
              <w:rPr>
                <w:kern w:val="0"/>
                <w:szCs w:val="21"/>
                <w:lang w:bidi="ar"/>
              </w:rPr>
              <w:t>生活区</w:t>
            </w:r>
          </w:p>
        </w:tc>
        <w:tc>
          <w:tcPr>
            <w:tcW w:w="410" w:type="pct"/>
            <w:vAlign w:val="center"/>
          </w:tcPr>
          <w:p w14:paraId="44FCF6E0">
            <w:pPr>
              <w:snapToGrid w:val="0"/>
              <w:spacing w:before="0" w:beforeLines="0" w:line="240" w:lineRule="auto"/>
              <w:jc w:val="center"/>
              <w:rPr>
                <w:kern w:val="0"/>
                <w:szCs w:val="21"/>
                <w:lang w:bidi="ar"/>
              </w:rPr>
            </w:pPr>
            <w:r>
              <w:rPr>
                <w:kern w:val="0"/>
                <w:szCs w:val="21"/>
                <w:lang w:bidi="ar"/>
              </w:rPr>
              <w:t>生活垃圾</w:t>
            </w:r>
          </w:p>
        </w:tc>
        <w:tc>
          <w:tcPr>
            <w:tcW w:w="699" w:type="pct"/>
            <w:vAlign w:val="center"/>
          </w:tcPr>
          <w:p w14:paraId="3797CA44">
            <w:pPr>
              <w:snapToGrid w:val="0"/>
              <w:spacing w:before="0" w:beforeLines="0" w:line="240" w:lineRule="auto"/>
              <w:jc w:val="center"/>
              <w:rPr>
                <w:kern w:val="0"/>
                <w:szCs w:val="21"/>
                <w:lang w:bidi="ar"/>
              </w:rPr>
            </w:pPr>
            <w:r>
              <w:rPr>
                <w:kern w:val="0"/>
                <w:szCs w:val="21"/>
                <w:lang w:bidi="ar"/>
              </w:rPr>
              <w:t>产污系数法</w:t>
            </w:r>
          </w:p>
        </w:tc>
        <w:tc>
          <w:tcPr>
            <w:tcW w:w="389" w:type="pct"/>
            <w:vAlign w:val="center"/>
          </w:tcPr>
          <w:p w14:paraId="553752D7">
            <w:pPr>
              <w:snapToGrid w:val="0"/>
              <w:spacing w:before="0" w:beforeLines="0" w:line="240" w:lineRule="auto"/>
              <w:jc w:val="center"/>
              <w:rPr>
                <w:kern w:val="0"/>
                <w:szCs w:val="21"/>
                <w:lang w:bidi="ar"/>
              </w:rPr>
            </w:pPr>
            <w:r>
              <w:rPr>
                <w:kern w:val="0"/>
                <w:szCs w:val="21"/>
                <w:lang w:bidi="ar"/>
              </w:rPr>
              <w:t>9.9</w:t>
            </w:r>
          </w:p>
        </w:tc>
        <w:tc>
          <w:tcPr>
            <w:tcW w:w="1290" w:type="pct"/>
            <w:vAlign w:val="center"/>
          </w:tcPr>
          <w:p w14:paraId="4671EE87">
            <w:pPr>
              <w:snapToGrid w:val="0"/>
              <w:spacing w:before="0" w:beforeLines="0" w:line="240" w:lineRule="auto"/>
              <w:jc w:val="center"/>
              <w:rPr>
                <w:kern w:val="0"/>
                <w:szCs w:val="21"/>
                <w:lang w:bidi="ar"/>
              </w:rPr>
            </w:pPr>
            <w:r>
              <w:rPr>
                <w:kern w:val="0"/>
                <w:szCs w:val="21"/>
                <w:lang w:bidi="ar"/>
              </w:rPr>
              <w:t>统一收集后运至环卫部门指定地点</w:t>
            </w:r>
          </w:p>
        </w:tc>
        <w:tc>
          <w:tcPr>
            <w:tcW w:w="463" w:type="pct"/>
            <w:vAlign w:val="center"/>
          </w:tcPr>
          <w:p w14:paraId="1BD88484">
            <w:pPr>
              <w:snapToGrid w:val="0"/>
              <w:spacing w:before="0" w:beforeLines="0" w:line="240" w:lineRule="auto"/>
              <w:jc w:val="center"/>
              <w:rPr>
                <w:kern w:val="0"/>
                <w:szCs w:val="21"/>
                <w:lang w:bidi="ar"/>
              </w:rPr>
            </w:pPr>
            <w:r>
              <w:rPr>
                <w:kern w:val="0"/>
                <w:szCs w:val="21"/>
                <w:lang w:bidi="ar"/>
              </w:rPr>
              <w:t>0</w:t>
            </w:r>
          </w:p>
        </w:tc>
        <w:tc>
          <w:tcPr>
            <w:tcW w:w="464" w:type="pct"/>
            <w:vAlign w:val="center"/>
          </w:tcPr>
          <w:p w14:paraId="5C607CC4">
            <w:pPr>
              <w:snapToGrid w:val="0"/>
              <w:spacing w:before="0" w:beforeLines="0" w:line="240" w:lineRule="auto"/>
              <w:jc w:val="center"/>
              <w:rPr>
                <w:kern w:val="0"/>
                <w:szCs w:val="21"/>
                <w:lang w:bidi="ar"/>
              </w:rPr>
            </w:pPr>
            <w:r>
              <w:rPr>
                <w:kern w:val="0"/>
                <w:szCs w:val="21"/>
                <w:lang w:bidi="ar"/>
              </w:rPr>
              <w:t>/</w:t>
            </w:r>
          </w:p>
        </w:tc>
        <w:tc>
          <w:tcPr>
            <w:tcW w:w="431" w:type="pct"/>
            <w:vAlign w:val="center"/>
          </w:tcPr>
          <w:p w14:paraId="7C9F499C">
            <w:pPr>
              <w:snapToGrid w:val="0"/>
              <w:spacing w:before="0" w:beforeLines="0" w:line="240" w:lineRule="auto"/>
              <w:jc w:val="center"/>
              <w:rPr>
                <w:kern w:val="0"/>
                <w:szCs w:val="21"/>
                <w:lang w:bidi="ar"/>
              </w:rPr>
            </w:pPr>
            <w:r>
              <w:rPr>
                <w:kern w:val="0"/>
                <w:szCs w:val="21"/>
                <w:lang w:bidi="ar"/>
              </w:rPr>
              <w:t>环卫部门</w:t>
            </w:r>
          </w:p>
        </w:tc>
      </w:tr>
      <w:bookmarkEnd w:id="139"/>
    </w:tbl>
    <w:p w14:paraId="45D71CEA">
      <w:pPr>
        <w:pStyle w:val="3"/>
        <w:spacing w:before="156" w:after="156"/>
        <w:rPr>
          <w:color w:val="auto"/>
        </w:rPr>
      </w:pPr>
      <w:bookmarkStart w:id="141" w:name="_Toc239274271"/>
      <w:bookmarkStart w:id="142" w:name="_Toc17475984"/>
      <w:r>
        <w:rPr>
          <w:color w:val="auto"/>
        </w:rPr>
        <w:t>4.环境现状调查与评价</w:t>
      </w:r>
      <w:bookmarkEnd w:id="141"/>
    </w:p>
    <w:p w14:paraId="687D290D">
      <w:pPr>
        <w:pStyle w:val="4"/>
        <w:rPr>
          <w:rFonts w:ascii="Times New Roman" w:hAnsi="Times New Roman" w:eastAsia="宋体"/>
          <w:color w:val="auto"/>
        </w:rPr>
      </w:pPr>
      <w:bookmarkStart w:id="143" w:name="_Toc15545812"/>
      <w:bookmarkEnd w:id="143"/>
      <w:bookmarkStart w:id="144" w:name="_Toc17475968"/>
      <w:bookmarkEnd w:id="144"/>
      <w:bookmarkStart w:id="145" w:name="_Toc16628706"/>
      <w:bookmarkEnd w:id="145"/>
      <w:bookmarkStart w:id="146" w:name="_Toc16628642"/>
      <w:bookmarkEnd w:id="146"/>
      <w:bookmarkStart w:id="147" w:name="_Toc16837783"/>
      <w:bookmarkEnd w:id="147"/>
      <w:bookmarkStart w:id="148" w:name="_Toc10301545"/>
      <w:bookmarkStart w:id="149" w:name="_Toc239274272"/>
      <w:bookmarkStart w:id="150" w:name="_Toc17475972"/>
      <w:r>
        <w:rPr>
          <w:rFonts w:ascii="Times New Roman" w:hAnsi="Times New Roman" w:eastAsia="宋体"/>
          <w:color w:val="auto"/>
        </w:rPr>
        <w:t>4.1自然环境现状调查与评价</w:t>
      </w:r>
      <w:bookmarkEnd w:id="148"/>
      <w:bookmarkEnd w:id="149"/>
      <w:bookmarkEnd w:id="150"/>
    </w:p>
    <w:p w14:paraId="249CD514">
      <w:pPr>
        <w:pStyle w:val="5"/>
        <w:spacing w:line="416" w:lineRule="auto"/>
        <w:rPr>
          <w:color w:val="auto"/>
        </w:rPr>
      </w:pPr>
      <w:r>
        <w:rPr>
          <w:color w:val="auto"/>
        </w:rPr>
        <w:t>4.1.1地理位置</w:t>
      </w:r>
    </w:p>
    <w:p w14:paraId="2FA735AF">
      <w:pPr>
        <w:adjustRightInd w:val="0"/>
        <w:snapToGrid w:val="0"/>
        <w:spacing w:before="0" w:beforeLines="0" w:line="360" w:lineRule="auto"/>
        <w:ind w:firstLine="480" w:firstLineChars="200"/>
        <w:rPr>
          <w:sz w:val="24"/>
        </w:rPr>
      </w:pPr>
      <w:r>
        <w:rPr>
          <w:sz w:val="24"/>
        </w:rPr>
        <w:t>阜新蒙古族自治县位于辽宁省西北部。其地理坐标为北纬41°44'-42°34'，东经121°01'-122°25'。北与内蒙古自治区的库伦、奈曼二旗交界，西与北票市比邻，南与义县、北镇、黑山等县接壤，东与彰武、新民等县相连。县境东西长114km，南北宽94km。总面积为6339.4km</w:t>
      </w:r>
      <w:r>
        <w:rPr>
          <w:sz w:val="24"/>
          <w:vertAlign w:val="superscript"/>
        </w:rPr>
        <w:t>2</w:t>
      </w:r>
      <w:r>
        <w:rPr>
          <w:sz w:val="24"/>
        </w:rPr>
        <w:t>。京沈、广奈、沈阜公路贯通阜蒙县东西南北，县城距</w:t>
      </w:r>
      <w:r>
        <w:fldChar w:fldCharType="begin"/>
      </w:r>
      <w:r>
        <w:instrText xml:space="preserve">HYPERLINK "https://baike.baidu.com/item/%E9%94%A6%E5%B7%9E%E6%B8%AF" \t "https://baike.baidu.com/item/%E9%98%9C%E6%96%B0%E8%92%99%E5%8F%A4%E6%97%8F%E8%87%AA%E6%B2%BB%E5%8E%BF/_blank"</w:instrText>
      </w:r>
      <w:r>
        <w:fldChar w:fldCharType="separate"/>
      </w:r>
      <w:r>
        <w:rPr>
          <w:sz w:val="24"/>
        </w:rPr>
        <w:t>锦州港</w:t>
      </w:r>
      <w:r>
        <w:fldChar w:fldCharType="end"/>
      </w:r>
      <w:r>
        <w:rPr>
          <w:sz w:val="24"/>
        </w:rPr>
        <w:t>110公里，有</w:t>
      </w:r>
      <w:r>
        <w:fldChar w:fldCharType="begin"/>
      </w:r>
      <w:r>
        <w:instrText xml:space="preserve">HYPERLINK "https://baike.baidu.com/item/%E9%94%A6%E9%98%9C%E9%AB%98%E9%80%9F%E5%85%AC%E8%B7%AF" \t "https://baike.baidu.com/item/%E9%98%9C%E6%96%B0%E8%92%99%E5%8F%A4%E6%97%8F%E8%87%AA%E6%B2%BB%E5%8E%BF/_blank"</w:instrText>
      </w:r>
      <w:r>
        <w:fldChar w:fldCharType="separate"/>
      </w:r>
      <w:r>
        <w:rPr>
          <w:sz w:val="24"/>
        </w:rPr>
        <w:t>锦阜高速公路</w:t>
      </w:r>
      <w:r>
        <w:fldChar w:fldCharType="end"/>
      </w:r>
      <w:r>
        <w:rPr>
          <w:sz w:val="24"/>
        </w:rPr>
        <w:t>相连，铁阜、阜朝高速与国道101线横贯东西，省级公路沟奈线纵贯南北，并有沈阜公路相连。大郑、新义铁路越境而过，拥有阜新火车站。</w:t>
      </w:r>
      <w:r>
        <w:rPr>
          <w:rFonts w:hint="eastAsia"/>
          <w:sz w:val="24"/>
          <w:lang w:val="en-US" w:eastAsia="zh-CN"/>
        </w:rPr>
        <w:t>截至</w:t>
      </w:r>
      <w:r>
        <w:rPr>
          <w:sz w:val="24"/>
        </w:rPr>
        <w:t>2005年末，阜蒙县公路通车里程达1542.31公里，公路密度达22.18公里/万人，已实现</w:t>
      </w:r>
      <w:r>
        <w:rPr>
          <w:rFonts w:hint="eastAsia"/>
          <w:sz w:val="24"/>
        </w:rPr>
        <w:t>“</w:t>
      </w:r>
      <w:r>
        <w:rPr>
          <w:sz w:val="24"/>
        </w:rPr>
        <w:t>乡乡通油路</w:t>
      </w:r>
      <w:r>
        <w:rPr>
          <w:rFonts w:hint="eastAsia"/>
          <w:sz w:val="24"/>
        </w:rPr>
        <w:t>”</w:t>
      </w:r>
      <w:r>
        <w:rPr>
          <w:sz w:val="24"/>
        </w:rPr>
        <w:t>。</w:t>
      </w:r>
    </w:p>
    <w:p w14:paraId="3CC3571C">
      <w:pPr>
        <w:wordWrap w:val="0"/>
        <w:adjustRightInd w:val="0"/>
        <w:snapToGrid w:val="0"/>
        <w:spacing w:before="0" w:beforeLines="0" w:line="360" w:lineRule="auto"/>
        <w:ind w:firstLine="480" w:firstLineChars="200"/>
        <w:rPr>
          <w:sz w:val="24"/>
        </w:rPr>
      </w:pPr>
      <w:r>
        <w:rPr>
          <w:sz w:val="24"/>
        </w:rPr>
        <w:t>本项目位于辽宁省阜新市阜蒙县旧庙镇</w:t>
      </w:r>
      <w:r>
        <w:rPr>
          <w:rFonts w:hint="eastAsia"/>
          <w:sz w:val="24"/>
        </w:rPr>
        <w:t>阿哈来村</w:t>
      </w:r>
      <w:r>
        <w:rPr>
          <w:sz w:val="24"/>
        </w:rPr>
        <w:t>。1#厂区中心点坐标</w:t>
      </w:r>
      <w:r>
        <w:rPr>
          <w:rFonts w:hint="eastAsia"/>
          <w:sz w:val="24"/>
        </w:rPr>
        <w:t>东经：121.662607948，北纬：42.333870803</w:t>
      </w:r>
      <w:r>
        <w:rPr>
          <w:sz w:val="24"/>
        </w:rPr>
        <w:t>；2#厂区中心点坐标</w:t>
      </w:r>
      <w:r>
        <w:rPr>
          <w:rFonts w:hint="eastAsia"/>
          <w:sz w:val="24"/>
        </w:rPr>
        <w:t>东经：121.665928523，北纬： 42.336087509</w:t>
      </w:r>
      <w:r>
        <w:rPr>
          <w:sz w:val="24"/>
        </w:rPr>
        <w:t>。旧庙镇地处阜蒙县北部、距县城43公里，北与内蒙古自治区库伦旗接壤。总土地面积49.8万亩，其中耕地面积14.2万亩。可利用放牧地14.6万亩。</w:t>
      </w:r>
      <w:r>
        <w:rPr>
          <w:rFonts w:hint="eastAsia"/>
          <w:sz w:val="24"/>
          <w:lang w:val="en-US" w:eastAsia="zh-CN"/>
        </w:rPr>
        <w:t>林地</w:t>
      </w:r>
      <w:r>
        <w:rPr>
          <w:sz w:val="24"/>
        </w:rPr>
        <w:t>面积14.7万亩，森林覆盖率30％，总人口2.7万人，14个行政村，73个自然屯。沟奈线、古务线公路呈十字</w:t>
      </w:r>
      <w:r>
        <w:rPr>
          <w:rFonts w:hint="eastAsia"/>
          <w:sz w:val="24"/>
          <w:lang w:val="en-US" w:eastAsia="zh-CN"/>
        </w:rPr>
        <w:t>形</w:t>
      </w:r>
      <w:r>
        <w:rPr>
          <w:sz w:val="24"/>
        </w:rPr>
        <w:t>贯穿全镇，交通、通讯十分便利。旧庙镇的土地、矿产资源丰富，现已探明矿产资源有：金矿石、铁矿石、石灰石、</w:t>
      </w:r>
      <w:r>
        <w:rPr>
          <w:rFonts w:hint="eastAsia"/>
          <w:sz w:val="24"/>
          <w:lang w:eastAsia="zh-CN"/>
        </w:rPr>
        <w:t>萤石</w:t>
      </w:r>
      <w:r>
        <w:rPr>
          <w:sz w:val="24"/>
        </w:rPr>
        <w:t>、铜矿石、大理石等。通过招商引资现已开发利用的有：铁矿石、石灰石。</w:t>
      </w:r>
      <w:r>
        <w:rPr>
          <w:rFonts w:hint="eastAsia"/>
          <w:sz w:val="24"/>
          <w:lang w:eastAsia="zh-CN"/>
        </w:rPr>
        <w:t>其他</w:t>
      </w:r>
      <w:r>
        <w:rPr>
          <w:sz w:val="24"/>
        </w:rPr>
        <w:t>矿产资源有待开发利用。</w:t>
      </w:r>
    </w:p>
    <w:p w14:paraId="2D18F5E6">
      <w:pPr>
        <w:wordWrap w:val="0"/>
        <w:adjustRightInd w:val="0"/>
        <w:snapToGrid w:val="0"/>
        <w:spacing w:before="0" w:beforeLines="0" w:line="360" w:lineRule="auto"/>
        <w:ind w:firstLine="480" w:firstLineChars="200"/>
        <w:rPr>
          <w:sz w:val="24"/>
        </w:rPr>
      </w:pPr>
      <w:r>
        <w:rPr>
          <w:rFonts w:hint="eastAsia"/>
          <w:sz w:val="24"/>
        </w:rPr>
        <w:t>项目地理位置见图4.1-1。</w:t>
      </w:r>
    </w:p>
    <w:p w14:paraId="3ACF5E81">
      <w:pPr>
        <w:wordWrap w:val="0"/>
        <w:adjustRightInd w:val="0"/>
        <w:snapToGrid w:val="0"/>
        <w:spacing w:before="0" w:beforeLines="0" w:line="360" w:lineRule="auto"/>
        <w:ind w:firstLine="480" w:firstLineChars="200"/>
        <w:rPr>
          <w:sz w:val="24"/>
        </w:rPr>
      </w:pPr>
    </w:p>
    <w:p w14:paraId="6C1A9C56">
      <w:pPr>
        <w:wordWrap w:val="0"/>
        <w:adjustRightInd w:val="0"/>
        <w:snapToGrid w:val="0"/>
        <w:spacing w:before="0" w:beforeLines="0" w:line="360" w:lineRule="auto"/>
        <w:rPr>
          <w:sz w:val="24"/>
        </w:rPr>
      </w:pPr>
      <w:r>
        <mc:AlternateContent>
          <mc:Choice Requires="wps">
            <w:drawing>
              <wp:anchor distT="0" distB="0" distL="114300" distR="114300" simplePos="0" relativeHeight="251700224" behindDoc="0" locked="0" layoutInCell="1" allowOverlap="1">
                <wp:simplePos x="0" y="0"/>
                <wp:positionH relativeFrom="column">
                  <wp:posOffset>1908175</wp:posOffset>
                </wp:positionH>
                <wp:positionV relativeFrom="paragraph">
                  <wp:posOffset>1801495</wp:posOffset>
                </wp:positionV>
                <wp:extent cx="64770" cy="69215"/>
                <wp:effectExtent l="0" t="0" r="11430" b="26035"/>
                <wp:wrapNone/>
                <wp:docPr id="1378660064" name="椭圆 50"/>
                <wp:cNvGraphicFramePr/>
                <a:graphic xmlns:a="http://schemas.openxmlformats.org/drawingml/2006/main">
                  <a:graphicData uri="http://schemas.microsoft.com/office/word/2010/wordprocessingShape">
                    <wps:wsp>
                      <wps:cNvSpPr/>
                      <wps:spPr>
                        <a:xfrm>
                          <a:off x="0" y="0"/>
                          <a:ext cx="65005" cy="69338"/>
                        </a:xfrm>
                        <a:prstGeom prst="ellipse">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椭圆 50" o:spid="_x0000_s1026" o:spt="3" type="#_x0000_t3" style="position:absolute;left:0pt;margin-left:150.25pt;margin-top:141.85pt;height:5.45pt;width:5.1pt;z-index:251700224;v-text-anchor:middle;mso-width-relative:page;mso-height-relative:page;" fillcolor="#FF0000" filled="t" stroked="t" coordsize="21600,21600" o:gfxdata="UEsDBAoAAAAAAIdO4kAAAAAAAAAAAAAAAAAEAAAAZHJzL1BLAwQUAAAACACHTuJAHKN8NNYAAAAL&#10;AQAADwAAAGRycy9kb3ducmV2LnhtbE2PTU+EMBCG7yb+h2ZMvLkti+4iUvZg4s1ERV2vBUYg0mlD&#10;u4D/3vGkt/l48s4zxWG1o5hxCoMjDclGgUBqXDtQp+Ht9eEqAxGiodaMjlDDNwY4lOdnhclbt9AL&#10;zlXsBIdQyI2GPkafSxmaHq0JG+eRePfpJmsit1Mn28ksHG5HuVVqJ60ZiC/0xuN9j81XdbIa/PpY&#10;J+/+2R1D5i0u1cdsnkjry4tE3YGIuMY/GH71WR1KdqrdidogRg2pUjeMathm6R4EE2miuKh5cnu9&#10;A1kW8v8P5Q9QSwMEFAAAAAgAh07iQBpxSrBzAgAA/gQAAA4AAABkcnMvZTJvRG9jLnhtbK1UzW4T&#10;MRC+I/EOlu90N2mSplE3VdQoCKmCSgVxdrzerCX/YTvZlAfgKThy5bHgOfjsTZu2cOiBHJwZz+zM&#10;fN/M+OJyrxXZCR+kNRUdnJSUCMNtLc2mop8+rt5MKQmRmZopa0RF70Sgl/PXry46NxND21pVC08Q&#10;xIRZ5yraxuhmRRF4KzQLJ9YJA2NjvWYRqt8UtWcdomtVDMtyUnTW185bLkLA7bI30kNE/5KAtmkk&#10;F0vLt1qY2Ef1QrEISKGVLtB5rrZpBI8fmiaISFRFgTTmE0kgr9NZzC/YbOOZayU/lMBeUsIzTJpJ&#10;g6QPoZYsMrL18q9QWnJvg23iCbe66IFkRoBiUD7j5rZlTmQsoDq4B9LD/wvL3+9uPJE1JuH0bDqZ&#10;oEEjSgzT6PzvHz9/ff9GxpmlzoUZnG/djQdnSQsQE+R943X6Bxiyz8zePTAr9pFwXE7GZTmmhMMy&#10;OT89nSbei+Onzof4VlhNklBRoRSamJCzGdtdh9h733ul62CVrFdSqaz4zfpKebJj6PJqVeJ3SPDE&#10;TRnSAefwDGbCGWa3wcxA1A74g9lQwtQGS8Gjz7mffB1eliQVuWSh7YvJEfoh0zJib5TUFZ2mCu9L&#10;VAZUHPlM0trWd+iKt/24BsdXEmGvWYg3zGM+UT82OH7A0SgLUPYgUdJa//Vf98kfYwMrJR3mHYC/&#10;bJkXlKh3BgN1PhiN0oJkZTQ+G0Lxjy3rxxaz1VcWZA/wVjiexeQf1b3YeKs/Y9EXKStMzHDk7qk9&#10;KFex30M8FVwsFtkNS+FYvDa3jqfgqbnGLrbRNjIPwZGdA2lYizxJhxVOe/dYz17HZ2v+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ByjfDTWAAAACwEAAA8AAAAAAAAAAQAgAAAAIgAAAGRycy9kb3du&#10;cmV2LnhtbFBLAQIUABQAAAAIAIdO4kAacUqwcwIAAP4EAAAOAAAAAAAAAAEAIAAAACUBAABkcnMv&#10;ZTJvRG9jLnhtbFBLBQYAAAAABgAGAFkBAAAKBgAAAAA=&#10;">
                <v:fill on="t" focussize="0,0"/>
                <v:stroke weight="1pt" color="#FF0000 [3204]" miterlimit="8" joinstyle="miter"/>
                <v:imagedata o:title=""/>
                <o:lock v:ext="edit" aspectratio="f"/>
              </v:shape>
            </w:pict>
          </mc:Fallback>
        </mc:AlternateContent>
      </w:r>
      <w:r>
        <w:drawing>
          <wp:inline distT="0" distB="0" distL="0" distR="0">
            <wp:extent cx="5278120" cy="3971925"/>
            <wp:effectExtent l="0" t="0" r="0" b="9525"/>
            <wp:docPr id="133593850"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93850" name="图片 49"/>
                    <pic:cNvPicPr>
                      <a:picLocks noChangeAspect="1" noChangeArrowheads="1"/>
                    </pic:cNvPicPr>
                  </pic:nvPicPr>
                  <pic:blipFill>
                    <a:blip r:embed="rId45"/>
                    <a:srcRect/>
                    <a:stretch>
                      <a:fillRect/>
                    </a:stretch>
                  </pic:blipFill>
                  <pic:spPr>
                    <a:xfrm>
                      <a:off x="0" y="0"/>
                      <a:ext cx="5278120" cy="3971925"/>
                    </a:xfrm>
                    <a:prstGeom prst="rect">
                      <a:avLst/>
                    </a:prstGeom>
                    <a:noFill/>
                    <a:ln>
                      <a:noFill/>
                    </a:ln>
                  </pic:spPr>
                </pic:pic>
              </a:graphicData>
            </a:graphic>
          </wp:inline>
        </w:drawing>
      </w:r>
    </w:p>
    <w:p w14:paraId="27263A14">
      <w:pPr>
        <w:adjustRightInd w:val="0"/>
        <w:snapToGrid w:val="0"/>
        <w:spacing w:before="0" w:beforeLines="0" w:line="360" w:lineRule="auto"/>
        <w:jc w:val="center"/>
        <w:rPr>
          <w:b/>
          <w:bCs/>
          <w:sz w:val="24"/>
        </w:rPr>
      </w:pPr>
      <w:r>
        <w:rPr>
          <w:rFonts w:hint="eastAsia"/>
          <w:b/>
          <w:bCs/>
          <w:sz w:val="24"/>
        </w:rPr>
        <w:t>图4.1-1     地理位置图</w:t>
      </w:r>
    </w:p>
    <w:p w14:paraId="2CF1B387">
      <w:pPr>
        <w:pStyle w:val="5"/>
        <w:spacing w:line="416" w:lineRule="auto"/>
        <w:rPr>
          <w:color w:val="auto"/>
        </w:rPr>
      </w:pPr>
      <w:r>
        <w:rPr>
          <w:color w:val="auto"/>
        </w:rPr>
        <w:t>4.1.2地形地貌与地质</w:t>
      </w:r>
    </w:p>
    <w:p w14:paraId="4F80FA2A">
      <w:pPr>
        <w:pStyle w:val="190"/>
        <w:ind w:firstLine="480"/>
      </w:pPr>
      <w:bookmarkStart w:id="151" w:name="_Toc17332"/>
      <w:bookmarkStart w:id="152" w:name="_Toc23074"/>
      <w:r>
        <w:rPr>
          <w:szCs w:val="24"/>
        </w:rPr>
        <w:t>阜新蒙古族自治县属低山丘陵区。境内山丘起伏，沟壑纵横，整个地势由西北向东南倾斜，依次为低山、丘陵、缓丘和平洼，相对高差为785.6m。北部有</w:t>
      </w:r>
      <w:r>
        <w:fldChar w:fldCharType="begin"/>
      </w:r>
      <w:r>
        <w:instrText xml:space="preserve">HYPERLINK "https://baike.baidu.com/item/%E5%8A%AA%E9%B2%81%E5%B0%94%E8%99%8E%E5%B1%B1" \t "https://baike.baidu.com/item/%E9%98%9C%E6%96%B0%E8%92%99%E5%8F%A4%E6%97%8F%E8%87%AA%E6%B2%BB%E5%8E%BF/_blank"</w:instrText>
      </w:r>
      <w:r>
        <w:fldChar w:fldCharType="separate"/>
      </w:r>
      <w:r>
        <w:rPr>
          <w:szCs w:val="24"/>
        </w:rPr>
        <w:t>努鲁尔虎山</w:t>
      </w:r>
      <w:r>
        <w:fldChar w:fldCharType="end"/>
      </w:r>
      <w:r>
        <w:rPr>
          <w:szCs w:val="24"/>
        </w:rPr>
        <w:t>脉，南部有</w:t>
      </w:r>
      <w:r>
        <w:fldChar w:fldCharType="begin"/>
      </w:r>
      <w:r>
        <w:instrText xml:space="preserve"> HYPERLINK "https://baike.baidu.com/item/%E5%8C%BB%E5%B7%AB%E9%97%BE%E5%B1%B1" \t "https://baike.baidu.com/item/%E9%98%9C%E6%96%B0%E8%92%99%E5%8F%A4%E6%97%8F%E8%87%AA%E6%B2%BB%E5%8E%BF/_blank" </w:instrText>
      </w:r>
      <w:r>
        <w:fldChar w:fldCharType="separate"/>
      </w:r>
      <w:r>
        <w:rPr>
          <w:szCs w:val="24"/>
        </w:rPr>
        <w:t>医巫闾山</w:t>
      </w:r>
      <w:r>
        <w:rPr>
          <w:szCs w:val="24"/>
        </w:rPr>
        <w:fldChar w:fldCharType="end"/>
      </w:r>
      <w:r>
        <w:rPr>
          <w:szCs w:val="24"/>
        </w:rPr>
        <w:t>脉，两山脉北部末端在县大巴镇、招束沟</w:t>
      </w:r>
      <w:r>
        <w:rPr>
          <w:rFonts w:hint="eastAsia"/>
          <w:szCs w:val="24"/>
          <w:lang w:eastAsia="zh-CN"/>
        </w:rPr>
        <w:t>镇</w:t>
      </w:r>
      <w:r>
        <w:rPr>
          <w:szCs w:val="24"/>
        </w:rPr>
        <w:t>交汇，构成了县与辽河平原的一个天然区界峦岭连绵耸峙，搭起了低山丘陵之骨架，相对高度显著。县境内地势西北低山、丘陵，东部平洼，南部低山，北部丘陵，中部低丘、平原。有海拔高500米以上山头235个、600米以上山峰11座；有长度500m以上的大沟3720条，支、毛沟7.5万余条，沟壑面积5.47万公顷，占总面积的9%，沟壑密度为2.5km/km</w:t>
      </w:r>
      <w:r>
        <w:rPr>
          <w:szCs w:val="24"/>
          <w:vertAlign w:val="superscript"/>
        </w:rPr>
        <w:t>2</w:t>
      </w:r>
      <w:r>
        <w:rPr>
          <w:szCs w:val="24"/>
        </w:rPr>
        <w:t>。全县土地面积大，总土地面积6246.2km</w:t>
      </w:r>
      <w:r>
        <w:rPr>
          <w:szCs w:val="24"/>
          <w:vertAlign w:val="superscript"/>
        </w:rPr>
        <w:t>2</w:t>
      </w:r>
      <w:r>
        <w:rPr>
          <w:szCs w:val="24"/>
        </w:rPr>
        <w:t>，其中低山面积占3.6%，丘陵面积53.88万公顷，占86.3%。境内最高点位于西北</w:t>
      </w:r>
      <w:r>
        <w:fldChar w:fldCharType="begin"/>
      </w:r>
      <w:r>
        <w:instrText xml:space="preserve">HYPERLINK "https://baike.baidu.com/item/%E4%B9%8C%E5%85%B0%E6%9C%A8%E5%A4%B4%E5%B1%B1" \t "https://baike.baidu.com/item/%E9%98%9C%E6%96%B0%E8%92%99%E5%8F%A4%E6%97%8F%E8%87%AA%E6%B2%BB%E5%8E%BF/_blank"</w:instrText>
      </w:r>
      <w:r>
        <w:fldChar w:fldCharType="separate"/>
      </w:r>
      <w:r>
        <w:rPr>
          <w:szCs w:val="24"/>
        </w:rPr>
        <w:t>乌兰木头山</w:t>
      </w:r>
      <w:r>
        <w:fldChar w:fldCharType="end"/>
      </w:r>
      <w:r>
        <w:rPr>
          <w:szCs w:val="24"/>
        </w:rPr>
        <w:t>海拔831.4米，最低点为十家子镇南甸子村45.8米。县境大地构造处于阴山东西向复杂构造带中段，东端与大兴安岭—太行山新华夏构造隆起带的交接部位。属华北地台边缘，中朝准地台边缘的内蒙古地轴和燕山台褶皱带一部分。县域地貌成因形态大体分为三类：构造地形、剥蚀地形和堆积地形</w:t>
      </w:r>
      <w:bookmarkEnd w:id="151"/>
      <w:bookmarkEnd w:id="152"/>
      <w:r>
        <w:t>。</w:t>
      </w:r>
    </w:p>
    <w:p w14:paraId="2209F8F9">
      <w:pPr>
        <w:spacing w:before="0" w:beforeLines="0" w:line="360" w:lineRule="auto"/>
        <w:ind w:firstLine="480" w:firstLineChars="200"/>
        <w:rPr>
          <w:sz w:val="24"/>
        </w:rPr>
      </w:pPr>
      <w:r>
        <w:rPr>
          <w:rFonts w:hint="eastAsia"/>
          <w:sz w:val="24"/>
        </w:rPr>
        <w:t>项目所在区域处于辽宁省西部低山丘陵区的丘陵地带，出露的地貌单元有构造剥蚀丘陵，坡洪积裙裾。</w:t>
      </w:r>
    </w:p>
    <w:p w14:paraId="73A12885">
      <w:pPr>
        <w:spacing w:before="0" w:beforeLines="0" w:line="360" w:lineRule="auto"/>
        <w:ind w:firstLine="480" w:firstLineChars="200"/>
        <w:rPr>
          <w:sz w:val="24"/>
        </w:rPr>
      </w:pPr>
      <w:r>
        <w:rPr>
          <w:rFonts w:hint="eastAsia"/>
          <w:sz w:val="24"/>
        </w:rPr>
        <w:t>（1）剥蚀丘陵</w:t>
      </w:r>
    </w:p>
    <w:p w14:paraId="089C5BC6">
      <w:pPr>
        <w:spacing w:before="0" w:beforeLines="0" w:line="360" w:lineRule="auto"/>
        <w:ind w:firstLine="480" w:firstLineChars="200"/>
        <w:rPr>
          <w:sz w:val="24"/>
        </w:rPr>
      </w:pPr>
      <w:r>
        <w:rPr>
          <w:rFonts w:hint="eastAsia"/>
          <w:sz w:val="24"/>
        </w:rPr>
        <w:t>丘顶多呈圆顶状、馒头状、长垣状，丘脊呈长垣状、缓樑状，山体总体呈南~北向分布，丘陵坡面底部20-25°，中上部25-30°，坡面平缓、平直，冲沟不发育。</w:t>
      </w:r>
    </w:p>
    <w:p w14:paraId="71796C4E">
      <w:pPr>
        <w:spacing w:before="0" w:beforeLines="0" w:line="360" w:lineRule="auto"/>
        <w:ind w:firstLine="480" w:firstLineChars="200"/>
        <w:rPr>
          <w:sz w:val="24"/>
        </w:rPr>
      </w:pPr>
      <w:r>
        <w:rPr>
          <w:rFonts w:hint="eastAsia"/>
          <w:sz w:val="24"/>
        </w:rPr>
        <w:t>（2）坡洪积裙裾</w:t>
      </w:r>
    </w:p>
    <w:p w14:paraId="5A3CE113">
      <w:pPr>
        <w:spacing w:before="0" w:beforeLines="0" w:line="360" w:lineRule="auto"/>
        <w:ind w:firstLine="480" w:firstLineChars="200"/>
        <w:rPr>
          <w:sz w:val="24"/>
        </w:rPr>
      </w:pPr>
      <w:r>
        <w:rPr>
          <w:rFonts w:hint="eastAsia"/>
          <w:sz w:val="24"/>
        </w:rPr>
        <w:t>坡洪积裙裾，分布在丘陵坡麓山前地带。坡面呈缓坡状，坡面由西向东倾斜坡度1°-3°-5°-8°，表面冲沟不发育。</w:t>
      </w:r>
    </w:p>
    <w:p w14:paraId="6C936FBD">
      <w:pPr>
        <w:pStyle w:val="5"/>
        <w:spacing w:line="416" w:lineRule="auto"/>
        <w:rPr>
          <w:color w:val="auto"/>
        </w:rPr>
      </w:pPr>
      <w:r>
        <w:rPr>
          <w:color w:val="auto"/>
        </w:rPr>
        <w:t>4.1.3水系水文</w:t>
      </w:r>
    </w:p>
    <w:p w14:paraId="6F329DB1">
      <w:pPr>
        <w:spacing w:before="78"/>
        <w:ind w:firstLine="480" w:firstLineChars="200"/>
        <w:rPr>
          <w:sz w:val="24"/>
        </w:rPr>
      </w:pPr>
      <w:r>
        <w:rPr>
          <w:sz w:val="24"/>
        </w:rPr>
        <w:t>评价区所处盆地主要为太古界、元古界及中生界地层组成。太古界及元古界组成了盆地的基底，中生界地层为其上覆地层，是阜新—义县盆地内主要沉积含煤地层。 </w:t>
      </w:r>
    </w:p>
    <w:p w14:paraId="1FD73A83">
      <w:pPr>
        <w:spacing w:before="78"/>
        <w:ind w:firstLine="480" w:firstLineChars="200"/>
        <w:rPr>
          <w:sz w:val="24"/>
        </w:rPr>
      </w:pPr>
      <w:r>
        <w:rPr>
          <w:sz w:val="24"/>
        </w:rPr>
        <w:t>阜新蒙古族自治县河流基本受到大凌河、绕阳河、柳河三大水系控制。水资源总量4.8亿m</w:t>
      </w:r>
      <w:r>
        <w:rPr>
          <w:sz w:val="24"/>
          <w:vertAlign w:val="superscript"/>
        </w:rPr>
        <w:t>3</w:t>
      </w:r>
      <w:r>
        <w:rPr>
          <w:sz w:val="24"/>
        </w:rPr>
        <w:t>，其中：地表水2.9亿m</w:t>
      </w:r>
      <w:r>
        <w:rPr>
          <w:sz w:val="24"/>
          <w:vertAlign w:val="superscript"/>
        </w:rPr>
        <w:t>3</w:t>
      </w:r>
      <w:r>
        <w:rPr>
          <w:sz w:val="24"/>
        </w:rPr>
        <w:t>，地下水1.9亿m</w:t>
      </w:r>
      <w:r>
        <w:rPr>
          <w:sz w:val="24"/>
          <w:vertAlign w:val="superscript"/>
        </w:rPr>
        <w:t>3</w:t>
      </w:r>
      <w:r>
        <w:rPr>
          <w:sz w:val="24"/>
        </w:rPr>
        <w:t>，各水系在阜蒙县内的流域面积分别为2752km</w:t>
      </w:r>
      <w:r>
        <w:rPr>
          <w:sz w:val="24"/>
          <w:vertAlign w:val="superscript"/>
        </w:rPr>
        <w:t>2</w:t>
      </w:r>
      <w:r>
        <w:rPr>
          <w:sz w:val="24"/>
        </w:rPr>
        <w:t>、2530km</w:t>
      </w:r>
      <w:r>
        <w:rPr>
          <w:sz w:val="24"/>
          <w:vertAlign w:val="superscript"/>
        </w:rPr>
        <w:t>2</w:t>
      </w:r>
      <w:r>
        <w:rPr>
          <w:sz w:val="24"/>
        </w:rPr>
        <w:t>和963km</w:t>
      </w:r>
      <w:r>
        <w:rPr>
          <w:sz w:val="24"/>
          <w:vertAlign w:val="superscript"/>
        </w:rPr>
        <w:t>2</w:t>
      </w:r>
      <w:r>
        <w:rPr>
          <w:sz w:val="24"/>
        </w:rPr>
        <w:t>，分别占全县总面积的44.1%、40.5%、15.4%。据统计，河长5km以上河流252条，集水面积100km</w:t>
      </w:r>
      <w:r>
        <w:rPr>
          <w:sz w:val="24"/>
          <w:vertAlign w:val="superscript"/>
        </w:rPr>
        <w:t>2</w:t>
      </w:r>
      <w:r>
        <w:rPr>
          <w:sz w:val="24"/>
        </w:rPr>
        <w:t>以上河流21条，河流总长度3252km，河流密度0.5km/km</w:t>
      </w:r>
      <w:r>
        <w:rPr>
          <w:sz w:val="24"/>
          <w:vertAlign w:val="superscript"/>
        </w:rPr>
        <w:t>2</w:t>
      </w:r>
      <w:r>
        <w:rPr>
          <w:sz w:val="24"/>
        </w:rPr>
        <w:t>。评价区内主要河流为细河。细河发源于</w:t>
      </w:r>
      <w:r>
        <w:rPr>
          <w:rFonts w:hint="eastAsia"/>
          <w:sz w:val="24"/>
          <w:lang w:eastAsia="zh-CN"/>
        </w:rPr>
        <w:t>阜新蒙古族自治县</w:t>
      </w:r>
      <w:r>
        <w:rPr>
          <w:sz w:val="24"/>
        </w:rPr>
        <w:t>骆驼山，末端在义县境内汇入大凌河，在阜新境内全长113千米，主流长94.3千米，控制面积2290平方千米。境内细河水系的干支流分布在全市19个乡镇、210个村。在市区内主要支流有高林台河、九营子河、四官营子河、西灰同河、小胡家河、伊吗图河、汤头河、花儿楼河和清河，年均径流量1.72亿立方米。</w:t>
      </w:r>
      <w:r>
        <w:rPr>
          <w:rFonts w:hint="eastAsia"/>
          <w:sz w:val="24"/>
        </w:rPr>
        <w:t>该区域地表水系见图4.1-2。</w:t>
      </w:r>
    </w:p>
    <w:p w14:paraId="5582356A">
      <w:pPr>
        <w:spacing w:before="78"/>
        <w:rPr>
          <w:sz w:val="24"/>
        </w:rPr>
      </w:pPr>
    </w:p>
    <w:p w14:paraId="0889E89A">
      <w:pPr>
        <w:spacing w:before="78"/>
        <w:rPr>
          <w:sz w:val="24"/>
        </w:rPr>
      </w:pPr>
    </w:p>
    <w:p w14:paraId="6340F363">
      <w:pPr>
        <w:spacing w:before="78"/>
        <w:rPr>
          <w:sz w:val="24"/>
        </w:rPr>
      </w:pPr>
    </w:p>
    <w:p w14:paraId="41D02985">
      <w:pPr>
        <w:spacing w:before="78"/>
        <w:jc w:val="center"/>
        <w:rPr>
          <w:b/>
          <w:bCs/>
          <w:sz w:val="24"/>
        </w:rPr>
      </w:pPr>
      <w:r>
        <w:rPr>
          <w:rFonts w:hint="eastAsia"/>
          <w:b/>
          <w:bCs/>
          <w:sz w:val="24"/>
        </w:rPr>
        <w:t>图</w:t>
      </w:r>
      <w:r>
        <w:rPr>
          <w:b/>
          <w:bCs/>
          <w:sz w:val="24"/>
        </w:rPr>
        <w:drawing>
          <wp:anchor distT="0" distB="0" distL="114300" distR="114300" simplePos="0" relativeHeight="251714560" behindDoc="0" locked="0" layoutInCell="1" allowOverlap="1">
            <wp:simplePos x="0" y="0"/>
            <wp:positionH relativeFrom="margin">
              <wp:align>left</wp:align>
            </wp:positionH>
            <wp:positionV relativeFrom="margin">
              <wp:posOffset>43815</wp:posOffset>
            </wp:positionV>
            <wp:extent cx="5210175" cy="3088640"/>
            <wp:effectExtent l="0" t="0" r="9525" b="0"/>
            <wp:wrapSquare wrapText="bothSides"/>
            <wp:docPr id="481793171"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793171" name="图片 55"/>
                    <pic:cNvPicPr>
                      <a:picLocks noChangeAspect="1" noChangeArrowheads="1"/>
                    </pic:cNvPicPr>
                  </pic:nvPicPr>
                  <pic:blipFill>
                    <a:blip r:embed="rId46"/>
                    <a:srcRect/>
                    <a:stretch>
                      <a:fillRect/>
                    </a:stretch>
                  </pic:blipFill>
                  <pic:spPr>
                    <a:xfrm>
                      <a:off x="0" y="0"/>
                      <a:ext cx="5210175" cy="3088640"/>
                    </a:xfrm>
                    <a:prstGeom prst="rect">
                      <a:avLst/>
                    </a:prstGeom>
                    <a:noFill/>
                  </pic:spPr>
                </pic:pic>
              </a:graphicData>
            </a:graphic>
          </wp:anchor>
        </w:drawing>
      </w:r>
      <w:r>
        <w:rPr>
          <w:rFonts w:hint="eastAsia"/>
          <w:b/>
          <w:bCs/>
          <w:sz w:val="24"/>
        </w:rPr>
        <w:t>4.1-2   地表水系图</w:t>
      </w:r>
    </w:p>
    <w:p w14:paraId="25FA9A21">
      <w:pPr>
        <w:pStyle w:val="5"/>
        <w:spacing w:line="416" w:lineRule="auto"/>
        <w:rPr>
          <w:color w:val="auto"/>
        </w:rPr>
      </w:pPr>
      <w:r>
        <w:rPr>
          <w:color w:val="auto"/>
        </w:rPr>
        <w:t>4.1.4气象气候</w:t>
      </w:r>
    </w:p>
    <w:p w14:paraId="19F7AE78">
      <w:pPr>
        <w:spacing w:before="78" w:beforeLines="0" w:line="360" w:lineRule="auto"/>
        <w:ind w:firstLine="480" w:firstLineChars="200"/>
        <w:rPr>
          <w:sz w:val="24"/>
        </w:rPr>
      </w:pPr>
      <w:r>
        <w:rPr>
          <w:sz w:val="24"/>
        </w:rPr>
        <w:t>阜新地处中温带，属于温带半干旱大陆性季风气候。气候特点是春季干燥多风，有风沙和浮尘；夏季炎热，多降水和雷暴；秋季多晴天；冬季寒冷有降雪。春季西北风和西南风交替频繁活动，降水量少；夏季多西南风，气温较高，受全国雨带影响，形成年内明显雨季，6~8月降水量居多；秋季气温渐低，霜期来临，降水量逐渐减少；冬季寒冷干燥，降水量较少。降水量年际间变化大，多年平均降水量在550mm左右，年蒸发量1941.8mm，每年大部分降水集中在6、7、8月份，年内分配不均，常出现干旱的现象，造成多数年份春秋两季干旱。阜新地区年均气温6.5~7.5℃，历史极端最低气温-27.1℃（1992年12月），极端最高气温40.9℃（2000年7月）。由于“风洞”地形作用，大风是阜新地区最显著的天气特点，最多风向是西南，其次是北、西北，大风主要发生于春季，当地多年平均风速为2.6m/s。封冻期从11月下旬至翌年3月，冻结深度0.9m~1.4m。</w:t>
      </w:r>
    </w:p>
    <w:p w14:paraId="4DECFA33">
      <w:pPr>
        <w:pStyle w:val="5"/>
        <w:spacing w:line="416" w:lineRule="auto"/>
        <w:rPr>
          <w:color w:val="auto"/>
        </w:rPr>
      </w:pPr>
      <w:bookmarkStart w:id="153" w:name="_Toc7910"/>
      <w:r>
        <w:rPr>
          <w:color w:val="auto"/>
        </w:rPr>
        <w:t>4.1.5</w:t>
      </w:r>
      <w:r>
        <w:rPr>
          <w:rFonts w:hint="eastAsia"/>
          <w:color w:val="auto"/>
        </w:rPr>
        <w:t>区域地质与构造</w:t>
      </w:r>
      <w:bookmarkEnd w:id="153"/>
    </w:p>
    <w:p w14:paraId="174750BE">
      <w:pPr>
        <w:spacing w:before="0" w:beforeLines="0" w:line="360" w:lineRule="auto"/>
        <w:rPr>
          <w:b/>
          <w:bCs/>
          <w:sz w:val="24"/>
        </w:rPr>
      </w:pPr>
      <w:bookmarkStart w:id="154" w:name="_Toc324749438"/>
      <w:bookmarkStart w:id="155" w:name="_Toc353949605"/>
      <w:bookmarkStart w:id="156" w:name="_Toc8921"/>
      <w:bookmarkStart w:id="157" w:name="_Toc489514071"/>
      <w:bookmarkStart w:id="158" w:name="_Toc188605920"/>
      <w:bookmarkStart w:id="159" w:name="_Toc324749439"/>
      <w:bookmarkStart w:id="160" w:name="_Toc353949606"/>
      <w:r>
        <w:rPr>
          <w:b/>
          <w:bCs/>
          <w:sz w:val="24"/>
        </w:rPr>
        <w:t>4.1.5.</w:t>
      </w:r>
      <w:r>
        <w:rPr>
          <w:rFonts w:hint="eastAsia"/>
          <w:b/>
          <w:bCs/>
          <w:sz w:val="24"/>
        </w:rPr>
        <w:t>1地质</w:t>
      </w:r>
      <w:bookmarkEnd w:id="154"/>
      <w:bookmarkEnd w:id="155"/>
      <w:r>
        <w:rPr>
          <w:rFonts w:hint="eastAsia"/>
          <w:b/>
          <w:bCs/>
          <w:sz w:val="24"/>
        </w:rPr>
        <w:t>构造</w:t>
      </w:r>
      <w:bookmarkEnd w:id="156"/>
      <w:bookmarkEnd w:id="157"/>
    </w:p>
    <w:p w14:paraId="25F1572D">
      <w:pPr>
        <w:spacing w:before="0" w:beforeLines="0" w:line="360" w:lineRule="auto"/>
        <w:ind w:firstLine="480" w:firstLineChars="200"/>
        <w:rPr>
          <w:sz w:val="24"/>
        </w:rPr>
      </w:pPr>
      <w:r>
        <w:rPr>
          <w:rFonts w:hint="eastAsia"/>
          <w:sz w:val="24"/>
        </w:rPr>
        <w:t>根据《辽宁省区域地质志》及《辽宁省构造体系图》，评估区属中朝准台地台（Ⅰ）北缘的燕山台褶带（Ⅱ）－辽西台陷（Ⅲ）北镇凸起（Ⅳ）四级构造单元。</w:t>
      </w:r>
    </w:p>
    <w:p w14:paraId="36AA1E22">
      <w:pPr>
        <w:spacing w:before="0" w:beforeLines="0" w:line="360" w:lineRule="auto"/>
        <w:ind w:firstLine="480" w:firstLineChars="200"/>
        <w:rPr>
          <w:sz w:val="24"/>
        </w:rPr>
      </w:pPr>
      <w:r>
        <w:rPr>
          <w:rFonts w:hint="eastAsia"/>
          <w:sz w:val="24"/>
        </w:rPr>
        <w:t>该区位于阜新盆地西北部边缘，太古界地层和元古界地层构成本区最老基底，古生代以后长期处于隆起剥蚀未接受沉积，中生代以后受构造活动的影响，地壳活动强烈。至中晚侏罗－早白垩世北北东向断裂发育强烈，在本区的南东部形成阜新盆地。区域上北东向北北东向盆缘断裂较为发育。本区大的断裂位于项目区东部，是阜新盆地的盆缘断裂。</w:t>
      </w:r>
    </w:p>
    <w:p w14:paraId="3752CE73">
      <w:pPr>
        <w:spacing w:before="0" w:beforeLines="0" w:line="360" w:lineRule="auto"/>
        <w:ind w:firstLine="480" w:firstLineChars="200"/>
        <w:rPr>
          <w:sz w:val="24"/>
        </w:rPr>
      </w:pPr>
      <w:r>
        <w:rPr>
          <w:rFonts w:hint="eastAsia"/>
          <w:sz w:val="24"/>
        </w:rPr>
        <w:t>区域地层、岩性及地质构造带阜新地区以太古界、元古界变质岩系为基底，之上沉积了中生界上侏罗统义县组、九佛堂组，下白垩统沙海组、阜新组、孙家湾组及新生界的第四系地层。</w:t>
      </w:r>
    </w:p>
    <w:p w14:paraId="7EC6F248">
      <w:pPr>
        <w:spacing w:before="0" w:beforeLines="0" w:line="360" w:lineRule="auto"/>
        <w:ind w:firstLine="480" w:firstLineChars="200"/>
        <w:rPr>
          <w:sz w:val="24"/>
        </w:rPr>
      </w:pPr>
      <w:r>
        <w:rPr>
          <w:rFonts w:hint="eastAsia"/>
          <w:sz w:val="24"/>
        </w:rPr>
        <w:t>太古界、元古界地层：主要分布在阜新盆地的边缘及市区外围。 大部分为片麻岩、花岗片麻岩、石英岩、片岩、千枚岩、硅质灰岩、板岩、石英砂岩等。</w:t>
      </w:r>
    </w:p>
    <w:p w14:paraId="3149B290">
      <w:pPr>
        <w:spacing w:before="0" w:beforeLines="0" w:line="360" w:lineRule="auto"/>
        <w:ind w:firstLine="480" w:firstLineChars="200"/>
        <w:rPr>
          <w:sz w:val="24"/>
        </w:rPr>
      </w:pPr>
      <w:r>
        <w:rPr>
          <w:rFonts w:hint="eastAsia"/>
          <w:sz w:val="24"/>
        </w:rPr>
        <w:t>中生界地层：上</w:t>
      </w:r>
      <w:r>
        <w:rPr>
          <w:rFonts w:hint="eastAsia"/>
          <w:sz w:val="24"/>
          <w:lang w:eastAsia="zh-CN"/>
        </w:rPr>
        <w:t>侏罗纪</w:t>
      </w:r>
      <w:r>
        <w:rPr>
          <w:rFonts w:hint="eastAsia"/>
          <w:sz w:val="24"/>
        </w:rPr>
        <w:t>义县组火山岩系构成了中生界沉积地层的基底，有安山岩、凝灰岩、火山角砾岩等。之上沉积了上</w:t>
      </w:r>
      <w:r>
        <w:rPr>
          <w:rFonts w:hint="eastAsia"/>
          <w:sz w:val="24"/>
          <w:lang w:eastAsia="zh-CN"/>
        </w:rPr>
        <w:t>侏罗纪</w:t>
      </w:r>
      <w:r>
        <w:rPr>
          <w:rFonts w:hint="eastAsia"/>
          <w:sz w:val="24"/>
        </w:rPr>
        <w:t>九佛堂组、下</w:t>
      </w:r>
      <w:r>
        <w:rPr>
          <w:rFonts w:hint="eastAsia"/>
          <w:sz w:val="24"/>
          <w:lang w:eastAsia="zh-CN"/>
        </w:rPr>
        <w:t>白垩纪</w:t>
      </w:r>
      <w:r>
        <w:rPr>
          <w:rFonts w:hint="eastAsia"/>
          <w:sz w:val="24"/>
        </w:rPr>
        <w:t>沙海组、阜新组地层。九佛堂组由砂岩、粉砂岩、泥岩组成。沙海组和阜新组这两套地层为阜新矿区主要含煤地层，主要由砂岩、粉砂岩、泥岩、砾岩及煤层组成。在煤系地层之上为下</w:t>
      </w:r>
      <w:r>
        <w:rPr>
          <w:rFonts w:hint="eastAsia"/>
          <w:sz w:val="24"/>
          <w:lang w:eastAsia="zh-CN"/>
        </w:rPr>
        <w:t>白垩纪</w:t>
      </w:r>
      <w:r>
        <w:rPr>
          <w:rFonts w:hint="eastAsia"/>
          <w:sz w:val="24"/>
        </w:rPr>
        <w:t>孙家湾组砾岩层，为阜新组上覆地层，分布在阜新露天矿南侧。</w:t>
      </w:r>
    </w:p>
    <w:p w14:paraId="73540245">
      <w:pPr>
        <w:spacing w:before="0" w:beforeLines="0" w:line="360" w:lineRule="auto"/>
        <w:ind w:firstLine="480" w:firstLineChars="200"/>
        <w:rPr>
          <w:sz w:val="24"/>
        </w:rPr>
      </w:pPr>
      <w:r>
        <w:rPr>
          <w:rFonts w:hint="eastAsia"/>
          <w:sz w:val="24"/>
        </w:rPr>
        <w:t>新生界地层：第四系，大部分以洪积、坡积的粉土、细沙、中沙、粗沙、砾沙、角砾等组成。</w:t>
      </w:r>
    </w:p>
    <w:p w14:paraId="78E8079A">
      <w:pPr>
        <w:spacing w:before="0" w:beforeLines="0" w:line="360" w:lineRule="auto"/>
        <w:rPr>
          <w:b/>
          <w:bCs/>
          <w:sz w:val="24"/>
        </w:rPr>
      </w:pPr>
      <w:bookmarkStart w:id="161" w:name="_Toc23814"/>
      <w:bookmarkStart w:id="162" w:name="_Toc489514072"/>
      <w:r>
        <w:rPr>
          <w:b/>
          <w:bCs/>
          <w:sz w:val="24"/>
        </w:rPr>
        <w:t>4.1.5</w:t>
      </w:r>
      <w:r>
        <w:rPr>
          <w:rFonts w:hint="eastAsia"/>
          <w:b/>
          <w:bCs/>
          <w:sz w:val="24"/>
        </w:rPr>
        <w:t>.2地层岩性与基底形态</w:t>
      </w:r>
      <w:bookmarkEnd w:id="161"/>
      <w:bookmarkEnd w:id="162"/>
    </w:p>
    <w:p w14:paraId="78788691">
      <w:pPr>
        <w:spacing w:before="0" w:beforeLines="0" w:line="360" w:lineRule="auto"/>
        <w:ind w:firstLine="460" w:firstLineChars="192"/>
        <w:rPr>
          <w:bCs/>
          <w:sz w:val="24"/>
        </w:rPr>
      </w:pPr>
      <w:r>
        <w:rPr>
          <w:rFonts w:hint="eastAsia"/>
          <w:bCs/>
          <w:sz w:val="24"/>
        </w:rPr>
        <w:t>评价区地层区划上属华北地层区，燕山分区，朝阳—阜新小区。区域地层自下而上层序划分如下：</w:t>
      </w:r>
    </w:p>
    <w:p w14:paraId="42CF70F8">
      <w:pPr>
        <w:spacing w:before="0" w:beforeLines="0" w:line="360" w:lineRule="auto"/>
        <w:ind w:firstLine="460" w:firstLineChars="192"/>
        <w:rPr>
          <w:bCs/>
          <w:sz w:val="24"/>
        </w:rPr>
      </w:pPr>
      <w:r>
        <w:rPr>
          <w:rFonts w:hint="eastAsia"/>
          <w:bCs/>
          <w:sz w:val="24"/>
        </w:rPr>
        <w:t>太古界建平群小塔子沟组（Arjnx）：</w:t>
      </w:r>
    </w:p>
    <w:p w14:paraId="2B2DC385">
      <w:pPr>
        <w:spacing w:before="0" w:beforeLines="0" w:line="360" w:lineRule="auto"/>
        <w:ind w:firstLine="460" w:firstLineChars="192"/>
        <w:rPr>
          <w:bCs/>
          <w:sz w:val="24"/>
        </w:rPr>
      </w:pPr>
      <w:r>
        <w:rPr>
          <w:rFonts w:hint="eastAsia"/>
          <w:bCs/>
          <w:sz w:val="24"/>
        </w:rPr>
        <w:t>主要分布于评估区西部，分布面积较大，总体呈北东向分布，主要岩性为黑云角闪斜长片麻岩、混合质黑云斜长片麻岩、长英片麻岩、混合角闪斜长片麻岩、角闪片麻岩。</w:t>
      </w:r>
    </w:p>
    <w:p w14:paraId="15B28E99">
      <w:pPr>
        <w:spacing w:before="0" w:beforeLines="0" w:line="360" w:lineRule="auto"/>
        <w:ind w:firstLine="460" w:firstLineChars="192"/>
        <w:rPr>
          <w:bCs/>
          <w:sz w:val="24"/>
        </w:rPr>
      </w:pPr>
      <w:r>
        <w:rPr>
          <w:rFonts w:hint="eastAsia"/>
          <w:bCs/>
          <w:sz w:val="24"/>
        </w:rPr>
        <w:t>（2）元古界长城系</w:t>
      </w:r>
    </w:p>
    <w:p w14:paraId="7E154FC8">
      <w:pPr>
        <w:spacing w:before="0" w:beforeLines="0" w:line="360" w:lineRule="auto"/>
        <w:ind w:firstLine="460" w:firstLineChars="192"/>
        <w:rPr>
          <w:bCs/>
          <w:sz w:val="24"/>
        </w:rPr>
      </w:pPr>
      <w:r>
        <w:rPr>
          <w:rFonts w:hint="eastAsia"/>
          <w:bCs/>
          <w:sz w:val="24"/>
        </w:rPr>
        <w:t>常州沟组（Chc）：下部为灰紫色硅质胶结石英质砾岩。中部为灰白色中厚层石英砂岩及含长石石英砂岩。上部为紫灰色石英砂岩夹灰绿色薄层含云母石英砂岩。厚度大于790m。</w:t>
      </w:r>
    </w:p>
    <w:p w14:paraId="12A2A172">
      <w:pPr>
        <w:spacing w:before="0" w:beforeLines="0" w:line="360" w:lineRule="auto"/>
        <w:ind w:firstLine="460" w:firstLineChars="192"/>
        <w:rPr>
          <w:bCs/>
          <w:sz w:val="24"/>
        </w:rPr>
      </w:pPr>
      <w:r>
        <w:rPr>
          <w:rFonts w:hint="eastAsia"/>
          <w:bCs/>
          <w:sz w:val="24"/>
        </w:rPr>
        <w:t>串岭沟组（Chch）：下部为灰绿色薄层石英粉砂岩与含云母粉砂质页岩互层。上部灰色薄层、微薄层云母质页岩、汇演夹薄层石英砂岩及含锰灰岩透镜体。全组厚度153m。</w:t>
      </w:r>
    </w:p>
    <w:p w14:paraId="04185A93">
      <w:pPr>
        <w:spacing w:before="0" w:beforeLines="0" w:line="360" w:lineRule="auto"/>
        <w:ind w:firstLine="460" w:firstLineChars="192"/>
        <w:rPr>
          <w:bCs/>
          <w:sz w:val="24"/>
        </w:rPr>
      </w:pPr>
      <w:r>
        <w:rPr>
          <w:rFonts w:hint="eastAsia"/>
          <w:bCs/>
          <w:sz w:val="24"/>
        </w:rPr>
        <w:t>团山子组（Cht）：灰色中厚层白云质灰岩，含燧石条带白云质灰岩夹少量灰质砂岩。底部为灰白色中厚层长石石英砂岩。厚度339m。</w:t>
      </w:r>
    </w:p>
    <w:p w14:paraId="355769CF">
      <w:pPr>
        <w:spacing w:before="0" w:beforeLines="0" w:line="360" w:lineRule="auto"/>
        <w:ind w:firstLine="460" w:firstLineChars="192"/>
        <w:rPr>
          <w:bCs/>
          <w:sz w:val="24"/>
        </w:rPr>
      </w:pPr>
      <w:r>
        <w:rPr>
          <w:rFonts w:hint="eastAsia"/>
          <w:bCs/>
          <w:sz w:val="24"/>
        </w:rPr>
        <w:t>大红峪组（Chd）：灰白色中厚层石英砂岩，石英岩夹薄层石英砂岩。底部灰黑色夹灰绿色石英粉砂岩、石英砂岩夹含锰灰岩扁豆体。</w:t>
      </w:r>
    </w:p>
    <w:p w14:paraId="7582EAB6">
      <w:pPr>
        <w:spacing w:before="0" w:beforeLines="0" w:line="360" w:lineRule="auto"/>
        <w:ind w:firstLine="460" w:firstLineChars="192"/>
        <w:rPr>
          <w:bCs/>
          <w:sz w:val="24"/>
        </w:rPr>
      </w:pPr>
      <w:r>
        <w:rPr>
          <w:rFonts w:hint="eastAsia"/>
          <w:bCs/>
          <w:sz w:val="24"/>
        </w:rPr>
        <w:t>（3）中生界</w:t>
      </w:r>
    </w:p>
    <w:p w14:paraId="3A733104">
      <w:pPr>
        <w:spacing w:before="0" w:beforeLines="0" w:line="360" w:lineRule="auto"/>
        <w:ind w:firstLine="460" w:firstLineChars="192"/>
        <w:rPr>
          <w:bCs/>
          <w:sz w:val="24"/>
        </w:rPr>
      </w:pPr>
      <w:r>
        <w:rPr>
          <w:rFonts w:hint="eastAsia"/>
          <w:bCs/>
          <w:sz w:val="24"/>
        </w:rPr>
        <w:t>义县组（K1y）：底部为灰紫色凝灰质胶结砾岩。下部为黑色玄武岩夹玄武质集块岩、凝灰岩，中上部为灰黑色安山岩夹安山质角砾岩及集块岩。厚度大于3107m。</w:t>
      </w:r>
    </w:p>
    <w:p w14:paraId="702C4BAE">
      <w:pPr>
        <w:spacing w:before="0" w:beforeLines="0" w:line="360" w:lineRule="auto"/>
        <w:ind w:firstLine="460" w:firstLineChars="192"/>
        <w:rPr>
          <w:bCs/>
          <w:sz w:val="24"/>
        </w:rPr>
      </w:pPr>
      <w:r>
        <w:rPr>
          <w:rFonts w:hint="eastAsia"/>
          <w:bCs/>
          <w:sz w:val="24"/>
        </w:rPr>
        <w:t>九佛堂组（K1jf）：下部为灰白色凝灰质砂岩、砾岩夹砂页岩，含凝灰质较多，中上部为凝灰质砂岩，页岩。厚度大于1000m。</w:t>
      </w:r>
    </w:p>
    <w:p w14:paraId="6E603B42">
      <w:pPr>
        <w:spacing w:before="0" w:beforeLines="0" w:line="360" w:lineRule="auto"/>
        <w:ind w:firstLine="460" w:firstLineChars="192"/>
        <w:rPr>
          <w:bCs/>
          <w:sz w:val="24"/>
        </w:rPr>
      </w:pPr>
      <w:r>
        <w:rPr>
          <w:rFonts w:hint="eastAsia"/>
          <w:bCs/>
          <w:sz w:val="24"/>
        </w:rPr>
        <w:t>（4）新生界第四系</w:t>
      </w:r>
    </w:p>
    <w:p w14:paraId="7CCE464A">
      <w:pPr>
        <w:spacing w:before="0" w:beforeLines="0" w:line="360" w:lineRule="auto"/>
        <w:ind w:firstLine="460" w:firstLineChars="192"/>
        <w:rPr>
          <w:bCs/>
          <w:sz w:val="24"/>
        </w:rPr>
      </w:pPr>
      <w:r>
        <w:rPr>
          <w:rFonts w:hint="eastAsia"/>
          <w:bCs/>
          <w:sz w:val="24"/>
        </w:rPr>
        <w:t>区内基本上为基岩裸露，局部有第四系地层风化土。</w:t>
      </w:r>
    </w:p>
    <w:p w14:paraId="106B73B4">
      <w:pPr>
        <w:adjustRightInd w:val="0"/>
        <w:snapToGrid w:val="0"/>
        <w:spacing w:before="0" w:beforeLines="0" w:line="240" w:lineRule="auto"/>
        <w:jc w:val="center"/>
        <w:rPr>
          <w:sz w:val="28"/>
          <w:szCs w:val="28"/>
        </w:rPr>
      </w:pPr>
      <w:r>
        <mc:AlternateContent>
          <mc:Choice Requires="wps">
            <w:drawing>
              <wp:anchor distT="0" distB="0" distL="114300" distR="114300" simplePos="0" relativeHeight="251663360" behindDoc="0" locked="0" layoutInCell="1" allowOverlap="1">
                <wp:simplePos x="0" y="0"/>
                <wp:positionH relativeFrom="column">
                  <wp:posOffset>2462530</wp:posOffset>
                </wp:positionH>
                <wp:positionV relativeFrom="paragraph">
                  <wp:posOffset>1041400</wp:posOffset>
                </wp:positionV>
                <wp:extent cx="85725" cy="76200"/>
                <wp:effectExtent l="0" t="0" r="9525" b="0"/>
                <wp:wrapNone/>
                <wp:docPr id="707129084" name="矩形 45"/>
                <wp:cNvGraphicFramePr/>
                <a:graphic xmlns:a="http://schemas.openxmlformats.org/drawingml/2006/main">
                  <a:graphicData uri="http://schemas.microsoft.com/office/word/2010/wordprocessingShape">
                    <wps:wsp>
                      <wps:cNvSpPr/>
                      <wps:spPr>
                        <a:xfrm>
                          <a:off x="0" y="0"/>
                          <a:ext cx="85725" cy="76200"/>
                        </a:xfrm>
                        <a:prstGeom prst="rect">
                          <a:avLst/>
                        </a:prstGeom>
                        <a:solidFill>
                          <a:srgbClr val="FF0000"/>
                        </a:solidFill>
                        <a:ln w="9525" cap="flat" cmpd="sng">
                          <a:solidFill>
                            <a:srgbClr val="000000"/>
                          </a:solidFill>
                          <a:prstDash val="solid"/>
                          <a:miter/>
                          <a:headEnd type="none" w="med" len="med"/>
                          <a:tailEnd type="none" w="med" len="med"/>
                        </a:ln>
                        <a:effectLst/>
                      </wps:spPr>
                      <wps:bodyPr upright="1"/>
                    </wps:wsp>
                  </a:graphicData>
                </a:graphic>
              </wp:anchor>
            </w:drawing>
          </mc:Choice>
          <mc:Fallback>
            <w:pict>
              <v:rect id="矩形 45" o:spid="_x0000_s1026" o:spt="1" style="position:absolute;left:0pt;margin-left:193.9pt;margin-top:82pt;height:6pt;width:6.75pt;z-index:251663360;mso-width-relative:page;mso-height-relative:page;" fillcolor="#FF0000" filled="t" stroked="t" coordsize="21600,21600" o:gfxdata="UEsDBAoAAAAAAIdO4kAAAAAAAAAAAAAAAAAEAAAAZHJzL1BLAwQUAAAACACHTuJA5lD/mNkAAAAL&#10;AQAADwAAAGRycy9kb3ducmV2LnhtbE2PwU7DMBBE70j8g7VI3KgdUpI2jVOplTghDpRy4OYmbhIR&#10;ryN724S/ZznBcWdGs2/K7ewGcbUh9h41JAsFwmLtmx5bDcf354cViEgGGzN4tBq+bYRtdXtTmqLx&#10;E77Z64FawSUYC6OhIxoLKWPdWWfiwo8W2Tv74AzxGVrZBDNxuRvko1KZdKZH/tCZ0e47W38dLk7D&#10;5Hef6dPavOxzohDmj9fdsV5rfX+XqA0IsjP9heEXn9GhYqaTv2ATxaAhXeWMTmxkSx7FiaVKUhAn&#10;VvJMgaxK+X9D9QNQSwMEFAAAAAgAh07iQFC4+/4GAgAAMgQAAA4AAABkcnMvZTJvRG9jLnhtbK1T&#10;zY7TMBC+I/EOlu80abXddqOme6CUC4KVdnkA154klvwn223ap0HixkPwOIjXYOyE0l049EAOzow9&#10;/ma+b8ar+6NW5AA+SGtqOp2UlIDhVkjT1vTz0/bNkpIQmRFMWQM1PUGg9+vXr1a9q2BmO6sEeIIg&#10;JlS9q2kXo6uKIvAONAsT68DgYWO9ZhFd3xbCsx7RtSpmZXlb9NYL5y2HEHB3MxzSEdFfA2ibRnLY&#10;WL7XYOKA6kGxiJRCJ12g61xt0wCPn5omQCSqpsg05hWToL1La7Fesar1zHWSjyWwa0p4wUkzaTDp&#10;GWrDIiN7L/+C0pJ7G2wTJ9zqYiCSFUEW0/KFNo8dc5C5oNTBnUUP/w+Wfzw8eCJFTRflYjq7K5c3&#10;lBimsfE/v3z78f0ruZknkXoXKox9dA9+9AKaifGx8Tr9kQs5ZmFPZ2HhGAnHzeV8MZtTwvFkcYtD&#10;kBCLP1edD/E9WE2SUVOPXctissOHEIfQ3yEpU7BKiq1UKju+3b1VnhwYdni7LfEb0Z+FKUP6mt7N&#10;cxkMx7bBccGKtEPqwbQ537Mb4RI4wf4bOBW2YaEbCsgIKT+rtIyQtGJVB0y8M4LEk0NZDb4qmorR&#10;IChRgI8wWTkyMqmuiUTtlEnQkEd8VCn1aOhKsnZWnLC1e+dl26Gq0yxLOsFRyvKPY59m9dJH+/Kp&#10;r3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5lD/mNkAAAALAQAADwAAAAAAAAABACAAAAAiAAAA&#10;ZHJzL2Rvd25yZXYueG1sUEsBAhQAFAAAAAgAh07iQFC4+/4GAgAAMgQAAA4AAAAAAAAAAQAgAAAA&#10;KAEAAGRycy9lMm9Eb2MueG1sUEsFBgAAAAAGAAYAWQEAAKAFAAAAAA==&#10;">
                <v:fill on="t" focussize="0,0"/>
                <v:stroke color="#000000" joinstyle="miter"/>
                <v:imagedata o:title=""/>
                <o:lock v:ext="edit" aspectratio="f"/>
              </v:rect>
            </w:pict>
          </mc:Fallback>
        </mc:AlternateContent>
      </w:r>
      <w:r>
        <w:rPr>
          <w:rFonts w:hint="eastAsia"/>
          <w:sz w:val="28"/>
          <w:szCs w:val="28"/>
        </w:rPr>
        <w:drawing>
          <wp:inline distT="0" distB="0" distL="114300" distR="114300">
            <wp:extent cx="4876165" cy="4029710"/>
            <wp:effectExtent l="0" t="0" r="635" b="8890"/>
            <wp:docPr id="2087072031" name="图片 16" descr="辽宁大地构造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072031" name="图片 16" descr="辽宁大地构造图"/>
                    <pic:cNvPicPr>
                      <a:picLocks noChangeAspect="1"/>
                    </pic:cNvPicPr>
                  </pic:nvPicPr>
                  <pic:blipFill>
                    <a:blip r:embed="rId47"/>
                    <a:stretch>
                      <a:fillRect/>
                    </a:stretch>
                  </pic:blipFill>
                  <pic:spPr>
                    <a:xfrm>
                      <a:off x="0" y="0"/>
                      <a:ext cx="4876165" cy="4029710"/>
                    </a:xfrm>
                    <a:prstGeom prst="rect">
                      <a:avLst/>
                    </a:prstGeom>
                    <a:noFill/>
                    <a:ln>
                      <a:noFill/>
                    </a:ln>
                  </pic:spPr>
                </pic:pic>
              </a:graphicData>
            </a:graphic>
          </wp:inline>
        </w:drawing>
      </w:r>
    </w:p>
    <w:p w14:paraId="05428CBF">
      <w:pPr>
        <w:adjustRightInd w:val="0"/>
        <w:snapToGrid w:val="0"/>
        <w:spacing w:before="0" w:beforeLines="0" w:line="240" w:lineRule="auto"/>
        <w:jc w:val="center"/>
        <w:rPr>
          <w:rFonts w:cs="宋体"/>
          <w:b/>
          <w:szCs w:val="20"/>
        </w:rPr>
      </w:pPr>
      <w:r>
        <w:rPr>
          <w:rFonts w:hint="eastAsia" w:cs="宋体"/>
          <w:b/>
          <w:szCs w:val="20"/>
        </w:rPr>
        <w:t>图</w:t>
      </w:r>
      <w:r>
        <w:rPr>
          <w:rFonts w:cs="宋体"/>
          <w:b/>
          <w:szCs w:val="20"/>
        </w:rPr>
        <w:t>4.1</w:t>
      </w:r>
      <w:r>
        <w:rPr>
          <w:rFonts w:hint="eastAsia" w:cs="宋体"/>
          <w:b/>
          <w:szCs w:val="20"/>
        </w:rPr>
        <w:t>-3  区域大地构造图</w:t>
      </w:r>
    </w:p>
    <w:p w14:paraId="651E3262">
      <w:pPr>
        <w:adjustRightInd w:val="0"/>
        <w:snapToGrid w:val="0"/>
        <w:spacing w:before="0" w:beforeLines="0" w:line="240" w:lineRule="auto"/>
        <w:jc w:val="center"/>
        <w:rPr>
          <w:rFonts w:cs="宋体"/>
          <w:b/>
          <w:szCs w:val="20"/>
        </w:rPr>
      </w:pPr>
    </w:p>
    <w:tbl>
      <w:tblPr>
        <w:tblStyle w:val="89"/>
        <w:tblW w:w="5236" w:type="pct"/>
        <w:jc w:val="center"/>
        <w:tblLayout w:type="autofit"/>
        <w:tblCellMar>
          <w:top w:w="0" w:type="dxa"/>
          <w:left w:w="108" w:type="dxa"/>
          <w:bottom w:w="0" w:type="dxa"/>
          <w:right w:w="108" w:type="dxa"/>
        </w:tblCellMar>
      </w:tblPr>
      <w:tblGrid>
        <w:gridCol w:w="4476"/>
        <w:gridCol w:w="4506"/>
      </w:tblGrid>
      <w:tr w14:paraId="7B8A8771">
        <w:tblPrEx>
          <w:tblCellMar>
            <w:top w:w="0" w:type="dxa"/>
            <w:left w:w="108" w:type="dxa"/>
            <w:bottom w:w="0" w:type="dxa"/>
            <w:right w:w="108" w:type="dxa"/>
          </w:tblCellMar>
        </w:tblPrEx>
        <w:trPr>
          <w:jc w:val="center"/>
        </w:trPr>
        <w:tc>
          <w:tcPr>
            <w:tcW w:w="2489" w:type="pct"/>
            <w:vAlign w:val="center"/>
          </w:tcPr>
          <w:p w14:paraId="527FBFE1">
            <w:pPr>
              <w:adjustRightInd w:val="0"/>
              <w:snapToGrid w:val="0"/>
              <w:spacing w:before="0" w:beforeLines="0" w:line="360" w:lineRule="auto"/>
              <w:jc w:val="center"/>
              <w:rPr>
                <w:snapToGrid w:val="0"/>
                <w:kern w:val="0"/>
                <w:sz w:val="24"/>
              </w:rPr>
            </w:pPr>
            <w:r>
              <w:rPr>
                <w:kern w:val="0"/>
                <w:sz w:val="24"/>
              </w:rPr>
              <w:drawing>
                <wp:inline distT="0" distB="0" distL="0" distR="0">
                  <wp:extent cx="2686050" cy="2524125"/>
                  <wp:effectExtent l="19050" t="0" r="0" b="0"/>
                  <wp:docPr id="1893575529" name="图片 39" descr="辽宁省构造分区略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575529" name="图片 39" descr="辽宁省构造分区略图"/>
                          <pic:cNvPicPr>
                            <a:picLocks noChangeAspect="1" noChangeArrowheads="1"/>
                          </pic:cNvPicPr>
                        </pic:nvPicPr>
                        <pic:blipFill>
                          <a:blip r:embed="rId48"/>
                          <a:srcRect/>
                          <a:stretch>
                            <a:fillRect/>
                          </a:stretch>
                        </pic:blipFill>
                        <pic:spPr>
                          <a:xfrm>
                            <a:off x="0" y="0"/>
                            <a:ext cx="2686050" cy="2524125"/>
                          </a:xfrm>
                          <a:prstGeom prst="rect">
                            <a:avLst/>
                          </a:prstGeom>
                          <a:noFill/>
                          <a:ln w="9525">
                            <a:noFill/>
                            <a:miter lim="800000"/>
                            <a:headEnd/>
                            <a:tailEnd/>
                          </a:ln>
                        </pic:spPr>
                      </pic:pic>
                    </a:graphicData>
                  </a:graphic>
                </wp:inline>
              </w:drawing>
            </w:r>
          </w:p>
        </w:tc>
        <w:tc>
          <w:tcPr>
            <w:tcW w:w="2511" w:type="pct"/>
            <w:vAlign w:val="center"/>
          </w:tcPr>
          <w:p w14:paraId="09F0F242">
            <w:pPr>
              <w:adjustRightInd w:val="0"/>
              <w:snapToGrid w:val="0"/>
              <w:spacing w:before="0" w:beforeLines="0" w:line="360" w:lineRule="auto"/>
              <w:jc w:val="center"/>
              <w:rPr>
                <w:snapToGrid w:val="0"/>
                <w:kern w:val="0"/>
                <w:sz w:val="24"/>
              </w:rPr>
            </w:pPr>
            <w:r>
              <w:rPr>
                <w:kern w:val="0"/>
                <w:sz w:val="24"/>
              </w:rPr>
              <w:drawing>
                <wp:inline distT="0" distB="0" distL="0" distR="0">
                  <wp:extent cx="2705100" cy="2524125"/>
                  <wp:effectExtent l="19050" t="0" r="0" b="0"/>
                  <wp:docPr id="1631342042" name="图片 40" descr="辽宁省深部构造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342042" name="图片 40" descr="辽宁省深部构造图"/>
                          <pic:cNvPicPr>
                            <a:picLocks noChangeAspect="1" noChangeArrowheads="1"/>
                          </pic:cNvPicPr>
                        </pic:nvPicPr>
                        <pic:blipFill>
                          <a:blip r:embed="rId49"/>
                          <a:srcRect/>
                          <a:stretch>
                            <a:fillRect/>
                          </a:stretch>
                        </pic:blipFill>
                        <pic:spPr>
                          <a:xfrm>
                            <a:off x="0" y="0"/>
                            <a:ext cx="2705100" cy="2524125"/>
                          </a:xfrm>
                          <a:prstGeom prst="rect">
                            <a:avLst/>
                          </a:prstGeom>
                          <a:noFill/>
                          <a:ln w="9525">
                            <a:noFill/>
                            <a:miter lim="800000"/>
                            <a:headEnd/>
                            <a:tailEnd/>
                          </a:ln>
                        </pic:spPr>
                      </pic:pic>
                    </a:graphicData>
                  </a:graphic>
                </wp:inline>
              </w:drawing>
            </w:r>
          </w:p>
        </w:tc>
      </w:tr>
      <w:tr w14:paraId="1F7F32D5">
        <w:tblPrEx>
          <w:tblCellMar>
            <w:top w:w="0" w:type="dxa"/>
            <w:left w:w="108" w:type="dxa"/>
            <w:bottom w:w="0" w:type="dxa"/>
            <w:right w:w="108" w:type="dxa"/>
          </w:tblCellMar>
        </w:tblPrEx>
        <w:trPr>
          <w:jc w:val="center"/>
        </w:trPr>
        <w:tc>
          <w:tcPr>
            <w:tcW w:w="2489" w:type="pct"/>
            <w:vAlign w:val="center"/>
          </w:tcPr>
          <w:p w14:paraId="0C7B0678">
            <w:pPr>
              <w:numPr>
                <w:ilvl w:val="0"/>
                <w:numId w:val="62"/>
              </w:numPr>
              <w:spacing w:before="0" w:beforeLines="0" w:line="360" w:lineRule="auto"/>
              <w:jc w:val="center"/>
              <w:rPr>
                <w:b/>
                <w:kern w:val="0"/>
                <w:szCs w:val="21"/>
              </w:rPr>
            </w:pPr>
            <w:r>
              <w:rPr>
                <w:b/>
                <w:szCs w:val="21"/>
              </w:rPr>
              <w:t>图</w:t>
            </w:r>
            <w:r>
              <w:rPr>
                <w:rFonts w:cs="宋体"/>
                <w:b/>
                <w:szCs w:val="20"/>
              </w:rPr>
              <w:t>4.1</w:t>
            </w:r>
            <w:r>
              <w:rPr>
                <w:b/>
                <w:szCs w:val="21"/>
              </w:rPr>
              <w:t>-</w:t>
            </w:r>
            <w:r>
              <w:rPr>
                <w:rFonts w:hint="eastAsia"/>
                <w:b/>
                <w:szCs w:val="21"/>
              </w:rPr>
              <w:t xml:space="preserve">4 </w:t>
            </w:r>
            <w:r>
              <w:rPr>
                <w:b/>
                <w:szCs w:val="21"/>
              </w:rPr>
              <w:t xml:space="preserve"> 构造分区略图</w:t>
            </w:r>
          </w:p>
        </w:tc>
        <w:tc>
          <w:tcPr>
            <w:tcW w:w="2511" w:type="pct"/>
            <w:vAlign w:val="center"/>
          </w:tcPr>
          <w:p w14:paraId="66B3EC5A">
            <w:pPr>
              <w:numPr>
                <w:ilvl w:val="0"/>
                <w:numId w:val="62"/>
              </w:numPr>
              <w:spacing w:before="0" w:beforeLines="0" w:line="360" w:lineRule="auto"/>
              <w:jc w:val="center"/>
              <w:rPr>
                <w:b/>
                <w:kern w:val="0"/>
                <w:szCs w:val="21"/>
              </w:rPr>
            </w:pPr>
            <w:r>
              <w:rPr>
                <w:b/>
                <w:szCs w:val="21"/>
              </w:rPr>
              <w:t>图</w:t>
            </w:r>
            <w:r>
              <w:rPr>
                <w:rFonts w:cs="宋体"/>
                <w:b/>
                <w:szCs w:val="20"/>
              </w:rPr>
              <w:t>4.1</w:t>
            </w:r>
            <w:r>
              <w:rPr>
                <w:rFonts w:hint="eastAsia"/>
                <w:b/>
                <w:szCs w:val="21"/>
              </w:rPr>
              <w:t>-5</w:t>
            </w:r>
            <w:r>
              <w:rPr>
                <w:b/>
                <w:szCs w:val="21"/>
              </w:rPr>
              <w:t xml:space="preserve"> </w:t>
            </w:r>
            <w:r>
              <w:rPr>
                <w:rFonts w:hint="eastAsia"/>
                <w:b/>
                <w:szCs w:val="21"/>
              </w:rPr>
              <w:t xml:space="preserve"> </w:t>
            </w:r>
            <w:r>
              <w:rPr>
                <w:b/>
                <w:szCs w:val="21"/>
              </w:rPr>
              <w:t>深部构造图</w:t>
            </w:r>
          </w:p>
        </w:tc>
      </w:tr>
      <w:bookmarkEnd w:id="158"/>
      <w:bookmarkEnd w:id="159"/>
      <w:bookmarkEnd w:id="160"/>
    </w:tbl>
    <w:p w14:paraId="6DCDCBB3">
      <w:pPr>
        <w:spacing w:before="0" w:beforeLines="0" w:line="240" w:lineRule="auto"/>
        <w:jc w:val="center"/>
        <w:rPr>
          <w:bCs/>
          <w:sz w:val="24"/>
        </w:rPr>
      </w:pPr>
      <w:bookmarkStart w:id="163" w:name="_Toc232328214"/>
      <w:bookmarkStart w:id="164" w:name="_Toc324749440"/>
      <w:bookmarkStart w:id="165" w:name="_Toc353949607"/>
      <w:r>
        <w:rPr>
          <w:bCs/>
          <w:sz w:val="24"/>
        </w:rPr>
        <w:drawing>
          <wp:inline distT="0" distB="0" distL="0" distR="0">
            <wp:extent cx="5264785" cy="3638550"/>
            <wp:effectExtent l="0" t="0" r="0" b="0"/>
            <wp:docPr id="1248990371" name="图片 1248990371" descr="F:\项目汇总\卢哥项目\K51\K51\K5114\MAP\K51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990371" name="图片 1248990371" descr="F:\项目汇总\卢哥项目\K51\K51\K5114\MAP\K5114.gif"/>
                    <pic:cNvPicPr>
                      <a:picLocks noChangeAspect="1" noChangeArrowheads="1"/>
                    </pic:cNvPicPr>
                  </pic:nvPicPr>
                  <pic:blipFill>
                    <a:blip r:embed="rId50"/>
                    <a:srcRect t="9716" b="4307"/>
                    <a:stretch>
                      <a:fillRect/>
                    </a:stretch>
                  </pic:blipFill>
                  <pic:spPr>
                    <a:xfrm>
                      <a:off x="0" y="0"/>
                      <a:ext cx="5267583" cy="3640152"/>
                    </a:xfrm>
                    <a:prstGeom prst="rect">
                      <a:avLst/>
                    </a:prstGeom>
                    <a:noFill/>
                    <a:ln w="9525">
                      <a:noFill/>
                      <a:miter lim="800000"/>
                      <a:headEnd/>
                      <a:tailEnd/>
                    </a:ln>
                  </pic:spPr>
                </pic:pic>
              </a:graphicData>
            </a:graphic>
          </wp:inline>
        </w:drawing>
      </w:r>
    </w:p>
    <w:p w14:paraId="0B0C8652">
      <w:pPr>
        <w:spacing w:before="0" w:beforeLines="0" w:line="240" w:lineRule="auto"/>
        <w:jc w:val="center"/>
        <w:rPr>
          <w:b/>
          <w:szCs w:val="21"/>
        </w:rPr>
      </w:pPr>
      <w:r>
        <w:rPr>
          <w:b/>
          <w:szCs w:val="21"/>
        </w:rPr>
        <w:t>图</w:t>
      </w:r>
      <w:r>
        <w:rPr>
          <w:rFonts w:cs="宋体"/>
          <w:b/>
          <w:szCs w:val="20"/>
        </w:rPr>
        <w:t>4.1</w:t>
      </w:r>
      <w:r>
        <w:rPr>
          <w:rFonts w:hint="eastAsia"/>
          <w:b/>
          <w:szCs w:val="21"/>
        </w:rPr>
        <w:t>-6</w:t>
      </w:r>
      <w:r>
        <w:rPr>
          <w:b/>
          <w:szCs w:val="21"/>
        </w:rPr>
        <w:t xml:space="preserve"> </w:t>
      </w:r>
      <w:r>
        <w:rPr>
          <w:rFonts w:hint="eastAsia"/>
          <w:b/>
          <w:szCs w:val="21"/>
        </w:rPr>
        <w:t xml:space="preserve"> 区域地质图</w:t>
      </w:r>
    </w:p>
    <w:p w14:paraId="7A89A7AA">
      <w:pPr>
        <w:pStyle w:val="5"/>
        <w:spacing w:line="416" w:lineRule="auto"/>
        <w:rPr>
          <w:color w:val="auto"/>
        </w:rPr>
      </w:pPr>
      <w:bookmarkStart w:id="166" w:name="_Toc29148"/>
      <w:r>
        <w:rPr>
          <w:color w:val="auto"/>
        </w:rPr>
        <w:t>4.1.6</w:t>
      </w:r>
      <w:r>
        <w:rPr>
          <w:rFonts w:hint="eastAsia"/>
          <w:color w:val="auto"/>
        </w:rPr>
        <w:t>区域水文地质</w:t>
      </w:r>
      <w:bookmarkEnd w:id="163"/>
      <w:bookmarkEnd w:id="164"/>
      <w:r>
        <w:rPr>
          <w:rFonts w:hint="eastAsia"/>
          <w:color w:val="auto"/>
        </w:rPr>
        <w:t>概况</w:t>
      </w:r>
      <w:bookmarkEnd w:id="165"/>
      <w:bookmarkEnd w:id="166"/>
    </w:p>
    <w:p w14:paraId="0DF22796">
      <w:pPr>
        <w:spacing w:before="0" w:beforeLines="0" w:line="360" w:lineRule="auto"/>
        <w:rPr>
          <w:b/>
          <w:sz w:val="24"/>
        </w:rPr>
      </w:pPr>
      <w:bookmarkStart w:id="167" w:name="_Toc324749441"/>
      <w:bookmarkStart w:id="168" w:name="_Toc353949608"/>
      <w:bookmarkStart w:id="169" w:name="_Toc26871"/>
      <w:r>
        <w:rPr>
          <w:b/>
          <w:sz w:val="24"/>
        </w:rPr>
        <w:t>4.1.6</w:t>
      </w:r>
      <w:r>
        <w:rPr>
          <w:rFonts w:hint="eastAsia"/>
          <w:b/>
          <w:sz w:val="24"/>
        </w:rPr>
        <w:t>.1</w:t>
      </w:r>
      <w:bookmarkEnd w:id="167"/>
      <w:bookmarkEnd w:id="168"/>
      <w:bookmarkStart w:id="170" w:name="_Toc353949609"/>
      <w:r>
        <w:rPr>
          <w:rFonts w:hint="eastAsia"/>
          <w:b/>
          <w:sz w:val="24"/>
        </w:rPr>
        <w:t>地下水含水层类型及富水性</w:t>
      </w:r>
      <w:bookmarkEnd w:id="169"/>
    </w:p>
    <w:p w14:paraId="1DE55EAA">
      <w:pPr>
        <w:spacing w:before="0" w:beforeLines="0" w:line="360" w:lineRule="auto"/>
        <w:ind w:firstLine="480" w:firstLineChars="200"/>
        <w:rPr>
          <w:b/>
          <w:szCs w:val="21"/>
        </w:rPr>
      </w:pPr>
      <w:r>
        <w:rPr>
          <w:sz w:val="24"/>
        </w:rPr>
        <w:t>按地下水的埋藏特征和介质条件，将评价区地下水分为</w:t>
      </w:r>
      <w:r>
        <w:rPr>
          <w:rFonts w:hint="eastAsia"/>
          <w:sz w:val="24"/>
        </w:rPr>
        <w:t>两</w:t>
      </w:r>
      <w:r>
        <w:rPr>
          <w:sz w:val="24"/>
        </w:rPr>
        <w:t>大基本类型，即松散岩类孔隙水</w:t>
      </w:r>
      <w:r>
        <w:rPr>
          <w:rFonts w:hint="eastAsia"/>
          <w:sz w:val="24"/>
        </w:rPr>
        <w:t>及</w:t>
      </w:r>
      <w:r>
        <w:rPr>
          <w:sz w:val="24"/>
        </w:rPr>
        <w:t>基岩裂隙水。</w:t>
      </w:r>
    </w:p>
    <w:p w14:paraId="036D69F1">
      <w:pPr>
        <w:spacing w:before="0" w:beforeLines="0" w:line="360" w:lineRule="auto"/>
        <w:ind w:firstLine="480" w:firstLineChars="200"/>
        <w:rPr>
          <w:sz w:val="24"/>
          <w:lang w:val="en-GB"/>
        </w:rPr>
      </w:pPr>
      <w:r>
        <w:rPr>
          <w:rFonts w:hint="eastAsia" w:ascii="宋体" w:hAnsi="宋体" w:cs="宋体"/>
          <w:sz w:val="24"/>
        </w:rPr>
        <w:t>①</w:t>
      </w:r>
      <w:r>
        <w:rPr>
          <w:sz w:val="24"/>
          <w:lang w:val="en-GB"/>
        </w:rPr>
        <w:t>含水层类型及分布</w:t>
      </w:r>
    </w:p>
    <w:p w14:paraId="1785EF49">
      <w:pPr>
        <w:tabs>
          <w:tab w:val="left" w:pos="540"/>
        </w:tabs>
        <w:spacing w:before="0" w:beforeLines="0" w:line="360" w:lineRule="auto"/>
        <w:ind w:firstLine="480" w:firstLineChars="200"/>
        <w:rPr>
          <w:sz w:val="24"/>
        </w:rPr>
      </w:pPr>
      <w:r>
        <w:rPr>
          <w:sz w:val="24"/>
        </w:rPr>
        <w:t>a.松散岩类孔隙水</w:t>
      </w:r>
    </w:p>
    <w:p w14:paraId="083987DC">
      <w:pPr>
        <w:spacing w:before="0" w:beforeLines="0" w:line="360" w:lineRule="auto"/>
        <w:ind w:firstLine="480" w:firstLineChars="200"/>
        <w:rPr>
          <w:sz w:val="24"/>
        </w:rPr>
      </w:pPr>
      <w:r>
        <w:rPr>
          <w:sz w:val="24"/>
        </w:rPr>
        <w:t>在评价区内呈大面积连续分布。松散岩类的岩性结构为上细下粗的二元结构，近河岸处上层的细土层变薄或缺失。地下水位埋深由山前向平原由深变浅，由按水动力性质分为潜水、潜水～微承压水，其中潜水～微承压水构成了冲洪积扇含水层的主体。水量极丰富地段分布于</w:t>
      </w:r>
      <w:r>
        <w:rPr>
          <w:rFonts w:hint="eastAsia"/>
          <w:sz w:val="24"/>
        </w:rPr>
        <w:t>河流</w:t>
      </w:r>
      <w:r>
        <w:rPr>
          <w:sz w:val="24"/>
        </w:rPr>
        <w:t>冲积扇。富水岩层为砂、砾、卵石层。含水层岩性由扇顶的粗粒相砾卵石渐变为扇体的砂、砂砾石层，近扇缘变为亚粘土并夹有砂或砂砾石层。</w:t>
      </w:r>
    </w:p>
    <w:p w14:paraId="221DA936">
      <w:pPr>
        <w:spacing w:before="0" w:beforeLines="0" w:line="360" w:lineRule="auto"/>
        <w:ind w:firstLine="480" w:firstLineChars="200"/>
        <w:rPr>
          <w:sz w:val="24"/>
        </w:rPr>
      </w:pPr>
      <w:r>
        <w:rPr>
          <w:sz w:val="24"/>
        </w:rPr>
        <w:t>在</w:t>
      </w:r>
      <w:r>
        <w:rPr>
          <w:rFonts w:hint="eastAsia"/>
          <w:sz w:val="24"/>
        </w:rPr>
        <w:t>河流</w:t>
      </w:r>
      <w:r>
        <w:rPr>
          <w:sz w:val="24"/>
        </w:rPr>
        <w:t>冲洪积扇及</w:t>
      </w:r>
      <w:r>
        <w:rPr>
          <w:kern w:val="28"/>
          <w:sz w:val="24"/>
        </w:rPr>
        <w:t>冲积漫滩</w:t>
      </w:r>
      <w:r>
        <w:rPr>
          <w:sz w:val="24"/>
        </w:rPr>
        <w:t>地段</w:t>
      </w:r>
      <w:r>
        <w:rPr>
          <w:kern w:val="28"/>
          <w:sz w:val="24"/>
        </w:rPr>
        <w:t>，</w:t>
      </w:r>
      <w:r>
        <w:rPr>
          <w:sz w:val="24"/>
        </w:rPr>
        <w:t>地表及浅部岩性为薄层亚粘土，亚粘土、亚砂土，含水层岩性为砾卵石、砂卵石、砂砾石细砂、粉细砂。地下水水位略高于含水砂层的顶板，抽水或枯水期水位下降时水位可低于含水砂砾石层顶板。大气降水入渗和侧向径流是含水层的主要补给来源之一。</w:t>
      </w:r>
    </w:p>
    <w:p w14:paraId="66F14F7C">
      <w:pPr>
        <w:tabs>
          <w:tab w:val="left" w:pos="540"/>
        </w:tabs>
        <w:spacing w:before="0" w:beforeLines="0" w:line="360" w:lineRule="auto"/>
        <w:ind w:firstLine="480" w:firstLineChars="200"/>
        <w:rPr>
          <w:sz w:val="24"/>
        </w:rPr>
      </w:pPr>
      <w:r>
        <w:rPr>
          <w:rFonts w:hint="eastAsia"/>
          <w:sz w:val="24"/>
        </w:rPr>
        <w:t>b</w:t>
      </w:r>
      <w:r>
        <w:rPr>
          <w:sz w:val="24"/>
        </w:rPr>
        <w:t>.基岩裂隙水</w:t>
      </w:r>
    </w:p>
    <w:p w14:paraId="52834434">
      <w:pPr>
        <w:spacing w:before="0" w:beforeLines="0" w:line="360" w:lineRule="auto"/>
        <w:ind w:firstLine="480" w:firstLineChars="200"/>
        <w:rPr>
          <w:sz w:val="24"/>
        </w:rPr>
      </w:pPr>
      <w:r>
        <w:rPr>
          <w:rFonts w:hint="eastAsia"/>
          <w:sz w:val="24"/>
        </w:rPr>
        <w:t>本项目所在区域基岩裂隙水</w:t>
      </w:r>
      <w:r>
        <w:rPr>
          <w:sz w:val="24"/>
        </w:rPr>
        <w:t>分布于裸露丘陵区，为水量极贫区。</w:t>
      </w:r>
    </w:p>
    <w:p w14:paraId="10DC57E9">
      <w:pPr>
        <w:spacing w:before="0" w:beforeLines="0" w:line="360" w:lineRule="auto"/>
        <w:ind w:firstLine="480" w:firstLineChars="200"/>
        <w:rPr>
          <w:sz w:val="24"/>
        </w:rPr>
      </w:pPr>
      <w:r>
        <w:rPr>
          <w:sz w:val="24"/>
        </w:rPr>
        <w:fldChar w:fldCharType="begin"/>
      </w:r>
      <w:r>
        <w:rPr>
          <w:sz w:val="24"/>
        </w:rPr>
        <w:instrText xml:space="preserve"> = 2 \* GB3 </w:instrText>
      </w:r>
      <w:r>
        <w:rPr>
          <w:sz w:val="24"/>
        </w:rPr>
        <w:fldChar w:fldCharType="separate"/>
      </w:r>
      <w:r>
        <w:rPr>
          <w:rFonts w:hint="eastAsia" w:ascii="宋体" w:hAnsi="宋体" w:cs="宋体"/>
          <w:sz w:val="24"/>
        </w:rPr>
        <w:t>②</w:t>
      </w:r>
      <w:r>
        <w:rPr>
          <w:sz w:val="24"/>
        </w:rPr>
        <w:fldChar w:fldCharType="end"/>
      </w:r>
      <w:r>
        <w:rPr>
          <w:sz w:val="24"/>
        </w:rPr>
        <w:t>含水层富水性</w:t>
      </w:r>
    </w:p>
    <w:p w14:paraId="70253107">
      <w:pPr>
        <w:spacing w:before="0" w:beforeLines="0" w:line="360" w:lineRule="auto"/>
        <w:ind w:firstLine="480" w:firstLineChars="200"/>
        <w:rPr>
          <w:sz w:val="24"/>
        </w:rPr>
      </w:pPr>
      <w:r>
        <w:rPr>
          <w:sz w:val="24"/>
        </w:rPr>
        <w:t>评价区含水层按供水意义分以下类型：1、分布稳定具有供水意义的河谷冲积层孔隙潜水。2、富水不均匀、局部具有供水意义的山前冲洪积及坡洪积层孔隙承压水。本区</w:t>
      </w:r>
      <w:r>
        <w:rPr>
          <w:rFonts w:hint="eastAsia"/>
          <w:sz w:val="24"/>
        </w:rPr>
        <w:t>靠近河流区域为</w:t>
      </w:r>
      <w:r>
        <w:rPr>
          <w:sz w:val="24"/>
        </w:rPr>
        <w:t>富水区，含孔隙水—孔隙承压水，</w:t>
      </w:r>
      <w:r>
        <w:rPr>
          <w:rFonts w:hint="eastAsia"/>
          <w:sz w:val="24"/>
        </w:rPr>
        <w:t>河流</w:t>
      </w:r>
      <w:r>
        <w:rPr>
          <w:sz w:val="24"/>
        </w:rPr>
        <w:t>地下水埋深</w:t>
      </w:r>
      <w:r>
        <w:rPr>
          <w:rFonts w:hint="eastAsia"/>
          <w:sz w:val="24"/>
        </w:rPr>
        <w:t>2-5</w:t>
      </w:r>
      <w:r>
        <w:rPr>
          <w:sz w:val="24"/>
        </w:rPr>
        <w:t>m，第四系含水层厚度一般5-</w:t>
      </w:r>
      <w:r>
        <w:rPr>
          <w:rFonts w:hint="eastAsia"/>
          <w:sz w:val="24"/>
        </w:rPr>
        <w:t>20</w:t>
      </w:r>
      <w:r>
        <w:rPr>
          <w:sz w:val="24"/>
        </w:rPr>
        <w:t>m，富水岩层为全新统砂、砾、卵石层及细砂层。由山前向平原方向含水层厚度变化为，扇顶部位厚10-25m，扇中游部位厚达80-100m，含水层岩性由扇顶的粗粒相砾卵石渐变为扇中的砂、砂砾石层，近扇缘变为亚粘土并夹有10-25m的砂或砂砾石层。单井涌水量在扇顶与扇中达500t/d以上，最大可者达</w:t>
      </w:r>
      <w:r>
        <w:rPr>
          <w:rFonts w:hint="eastAsia"/>
          <w:sz w:val="24"/>
        </w:rPr>
        <w:t>1000</w:t>
      </w:r>
      <w:r>
        <w:rPr>
          <w:sz w:val="24"/>
        </w:rPr>
        <w:t>t/d，地下水埋藏深度0.5-6m，渗透系数70-100m/d，大者</w:t>
      </w:r>
      <w:r>
        <w:rPr>
          <w:rFonts w:hint="eastAsia"/>
          <w:sz w:val="24"/>
        </w:rPr>
        <w:t>8</w:t>
      </w:r>
      <w:r>
        <w:rPr>
          <w:sz w:val="24"/>
        </w:rPr>
        <w:t>0-</w:t>
      </w:r>
      <w:r>
        <w:rPr>
          <w:rFonts w:hint="eastAsia"/>
          <w:sz w:val="24"/>
        </w:rPr>
        <w:t>2</w:t>
      </w:r>
      <w:r>
        <w:rPr>
          <w:sz w:val="24"/>
        </w:rPr>
        <w:t>00m/d。地下水化学类型为重碳酸钙型，矿化度＜0.56g/L之间。</w:t>
      </w:r>
    </w:p>
    <w:p w14:paraId="5DD6B9E6">
      <w:pPr>
        <w:spacing w:before="0" w:beforeLines="0" w:line="360" w:lineRule="auto"/>
        <w:jc w:val="center"/>
        <w:rPr>
          <w:b/>
          <w:bCs/>
          <w:szCs w:val="21"/>
        </w:rPr>
      </w:pPr>
      <w:r>
        <mc:AlternateContent>
          <mc:Choice Requires="wps">
            <w:drawing>
              <wp:anchor distT="0" distB="0" distL="114300" distR="114300" simplePos="0" relativeHeight="251665408" behindDoc="0" locked="0" layoutInCell="1" allowOverlap="1">
                <wp:simplePos x="0" y="0"/>
                <wp:positionH relativeFrom="column">
                  <wp:posOffset>3112135</wp:posOffset>
                </wp:positionH>
                <wp:positionV relativeFrom="paragraph">
                  <wp:posOffset>904875</wp:posOffset>
                </wp:positionV>
                <wp:extent cx="949960" cy="283845"/>
                <wp:effectExtent l="266700" t="0" r="2540" b="611505"/>
                <wp:wrapNone/>
                <wp:docPr id="557595610" name="对话气泡: 矩形 44"/>
                <wp:cNvGraphicFramePr/>
                <a:graphic xmlns:a="http://schemas.openxmlformats.org/drawingml/2006/main">
                  <a:graphicData uri="http://schemas.microsoft.com/office/word/2010/wordprocessingShape">
                    <wps:wsp>
                      <wps:cNvSpPr/>
                      <wps:spPr>
                        <a:xfrm>
                          <a:off x="0" y="0"/>
                          <a:ext cx="949960" cy="283845"/>
                        </a:xfrm>
                        <a:prstGeom prst="wedgeRectCallout">
                          <a:avLst>
                            <a:gd name="adj1" fmla="val -72860"/>
                            <a:gd name="adj2" fmla="val 250000"/>
                          </a:avLst>
                        </a:prstGeom>
                        <a:solidFill>
                          <a:srgbClr val="FFFFFF"/>
                        </a:solidFill>
                        <a:ln w="9525" cap="flat" cmpd="sng">
                          <a:solidFill>
                            <a:srgbClr val="000000"/>
                          </a:solidFill>
                          <a:prstDash val="solid"/>
                          <a:miter/>
                          <a:headEnd type="none" w="med" len="med"/>
                          <a:tailEnd type="none" w="med" len="med"/>
                        </a:ln>
                      </wps:spPr>
                      <wps:txbx>
                        <w:txbxContent>
                          <w:p w14:paraId="3D1E101F">
                            <w:pPr>
                              <w:spacing w:before="0" w:beforeLines="0" w:line="240" w:lineRule="auto"/>
                              <w:jc w:val="center"/>
                            </w:pPr>
                            <w:r>
                              <w:rPr>
                                <w:rFonts w:hint="eastAsia"/>
                              </w:rPr>
                              <w:t>本项目</w:t>
                            </w:r>
                          </w:p>
                        </w:txbxContent>
                      </wps:txbx>
                      <wps:bodyPr upright="1"/>
                    </wps:wsp>
                  </a:graphicData>
                </a:graphic>
              </wp:anchor>
            </w:drawing>
          </mc:Choice>
          <mc:Fallback>
            <w:pict>
              <v:shape id="对话气泡: 矩形 44" o:spid="_x0000_s1026" o:spt="61" type="#_x0000_t61" style="position:absolute;left:0pt;margin-left:245.05pt;margin-top:71.25pt;height:22.35pt;width:74.8pt;z-index:251665408;mso-width-relative:page;mso-height-relative:page;" fillcolor="#FFFFFF" filled="t" stroked="t" coordsize="21600,21600" o:gfxdata="UEsDBAoAAAAAAIdO4kAAAAAAAAAAAAAAAAAEAAAAZHJzL1BLAwQUAAAACACHTuJACjZX/tsAAAAL&#10;AQAADwAAAGRycy9kb3ducmV2LnhtbE2PwU7DMAyG70i8Q2QkLmhLWkbXlaaTmIQExxU2xC1rTVvR&#10;OKXJtvL2mBMc7f/T78/5erK9OOHoO0caorkCgVS5uqNGw+vL4ywF4YOh2vSOUMM3elgXlxe5yWp3&#10;pi2eytAILiGfGQ1tCEMmpa9atMbP3YDE2YcbrQk8jo2sR3PmctvLWKlEWtMRX2jNgJsWq8/yaDXs&#10;pq8dpd3bvrx5fngaqEzezSbR+voqUvcgAk7hD4ZffVaHgp0O7ki1F72GxUpFjHKwiO9AMJHcrpYg&#10;DrxJlzHIIpf/fyh+AFBLAwQUAAAACACHTuJA5z3U20sCAACeBAAADgAAAGRycy9lMm9Eb2MueG1s&#10;rVTNjtMwEL4j8Q6W79u0odlto6Z72FIuCFYsPIAbO4mR/2S7TfseXBGCG6dF4sSBx9mFx2DshG67&#10;XHogh3Qcj7/5vm88nV1upUAbZh3XqsCjwRAjpkpNuaoL/O7t8myCkfNEUSK0YgXeMYcv50+fzFqT&#10;s1Q3WlBmEYAol7emwI33Jk8SVzZMEjfQhinYrLSVxMPS1gm1pAV0KZJ0ODxPWm2psbpkzsHXRbeJ&#10;e0R7CqCuKl6yhS7XkinfoVomiAdJruHG4XlkW1Ws9K+ryjGPRIFBqY9vKALxKryT+YzktSWm4WVP&#10;gZxC4ZEmSbiConuoBfEErS3/B0ry0mqnKz8otUw6IdERUDEaPvLmpiGGRS1gtTN7093/gy1fba4t&#10;4rTAWXaRTbPzETijiITG393++H378f7bh/vvn3P069PXu59f0HgcLGuNy+Hkjbm2/cpBGPRvKyvD&#10;LyhD22jzbm8z23pUwsfpeDo9hzIlbKWTZ5NxFjCTh8PGOv+CaYlCUOCW0Zq9gVZeESH02kejyeal&#10;89Fx2vMl9P0Io0oKaOCGCHR2kU6gTNfhg6T0MCnNhvD09XtMYPKXQSjgtOB0yYWIC1uvroRFUKDA&#10;y/j0h4/ShEItCM3SDGQSmJIKbieE0oDTTtVRwtEJdwgcOO1ZHaUFYgvimo5A3OoUSu6ZjVobRuhz&#10;RZHfGeiigiHGgYxkFCPBYOZDFDM94eKUTDBEKOhQaHvX6BD57WoLMCFcabqDa7Q2ltcNdGwUPQk7&#10;cG1ja/sRC3NxuI6gD38r8z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AKNlf+2wAAAAsBAAAPAAAA&#10;AAAAAAEAIAAAACIAAABkcnMvZG93bnJldi54bWxQSwECFAAUAAAACACHTuJA5z3U20sCAACeBAAA&#10;DgAAAAAAAAABACAAAAAqAQAAZHJzL2Uyb0RvYy54bWxQSwUGAAAAAAYABgBZAQAA5wUAAAAA&#10;" adj="-4938,64800">
                <v:fill on="t" focussize="0,0"/>
                <v:stroke color="#000000" joinstyle="miter"/>
                <v:imagedata o:title=""/>
                <o:lock v:ext="edit" aspectratio="f"/>
                <v:textbox>
                  <w:txbxContent>
                    <w:p w14:paraId="3D1E101F">
                      <w:pPr>
                        <w:spacing w:before="0" w:beforeLines="0" w:line="240" w:lineRule="auto"/>
                        <w:jc w:val="center"/>
                      </w:pPr>
                      <w:r>
                        <w:rPr>
                          <w:rFonts w:hint="eastAsia"/>
                        </w:rPr>
                        <w:t>本项目</w:t>
                      </w:r>
                    </w:p>
                  </w:txbxContent>
                </v:textbox>
              </v:shape>
            </w:pict>
          </mc:Fallback>
        </mc:AlternateContent>
      </w:r>
      <w:r>
        <w:rPr>
          <w:rFonts w:hint="eastAsia"/>
          <w:b/>
          <w:bCs/>
          <w:szCs w:val="21"/>
        </w:rPr>
        <w:drawing>
          <wp:anchor distT="0" distB="0" distL="114300" distR="114300" simplePos="0" relativeHeight="251664384" behindDoc="0" locked="0" layoutInCell="1" allowOverlap="1">
            <wp:simplePos x="0" y="0"/>
            <wp:positionH relativeFrom="column">
              <wp:posOffset>511175</wp:posOffset>
            </wp:positionH>
            <wp:positionV relativeFrom="paragraph">
              <wp:posOffset>645160</wp:posOffset>
            </wp:positionV>
            <wp:extent cx="1167130" cy="2814320"/>
            <wp:effectExtent l="0" t="0" r="1270" b="5080"/>
            <wp:wrapNone/>
            <wp:docPr id="775120182" name="图片 27"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120182" name="图片 27" descr="2"/>
                    <pic:cNvPicPr>
                      <a:picLocks noChangeAspect="1"/>
                    </pic:cNvPicPr>
                  </pic:nvPicPr>
                  <pic:blipFill>
                    <a:blip r:embed="rId51"/>
                    <a:stretch>
                      <a:fillRect/>
                    </a:stretch>
                  </pic:blipFill>
                  <pic:spPr>
                    <a:xfrm>
                      <a:off x="0" y="0"/>
                      <a:ext cx="1167130" cy="2814320"/>
                    </a:xfrm>
                    <a:prstGeom prst="rect">
                      <a:avLst/>
                    </a:prstGeom>
                    <a:noFill/>
                    <a:ln>
                      <a:noFill/>
                    </a:ln>
                  </pic:spPr>
                </pic:pic>
              </a:graphicData>
            </a:graphic>
          </wp:anchor>
        </w:drawing>
      </w:r>
      <w:r>
        <w:rPr>
          <w:b/>
          <w:bCs/>
          <w:szCs w:val="21"/>
        </w:rPr>
        <w:drawing>
          <wp:inline distT="0" distB="0" distL="0" distR="0">
            <wp:extent cx="4285615" cy="3365500"/>
            <wp:effectExtent l="0" t="0" r="635" b="6350"/>
            <wp:docPr id="1312450492"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450492" name="图片 59"/>
                    <pic:cNvPicPr>
                      <a:picLocks noChangeAspect="1" noChangeArrowheads="1"/>
                    </pic:cNvPicPr>
                  </pic:nvPicPr>
                  <pic:blipFill>
                    <a:blip r:embed="rId52"/>
                    <a:srcRect/>
                    <a:stretch>
                      <a:fillRect/>
                    </a:stretch>
                  </pic:blipFill>
                  <pic:spPr>
                    <a:xfrm>
                      <a:off x="0" y="0"/>
                      <a:ext cx="4285615" cy="3365500"/>
                    </a:xfrm>
                    <a:prstGeom prst="rect">
                      <a:avLst/>
                    </a:prstGeom>
                    <a:noFill/>
                  </pic:spPr>
                </pic:pic>
              </a:graphicData>
            </a:graphic>
          </wp:inline>
        </w:drawing>
      </w:r>
    </w:p>
    <w:p w14:paraId="11A69D2D">
      <w:pPr>
        <w:spacing w:before="0" w:beforeLines="0" w:line="360" w:lineRule="auto"/>
        <w:jc w:val="center"/>
        <w:rPr>
          <w:b/>
          <w:bCs/>
          <w:szCs w:val="21"/>
        </w:rPr>
      </w:pPr>
      <w:r>
        <w:rPr>
          <w:rFonts w:hint="eastAsia"/>
          <w:b/>
          <w:bCs/>
          <w:szCs w:val="21"/>
        </w:rPr>
        <w:t>图</w:t>
      </w:r>
      <w:r>
        <w:rPr>
          <w:rFonts w:cs="宋体"/>
          <w:b/>
          <w:szCs w:val="20"/>
        </w:rPr>
        <w:t>4.1</w:t>
      </w:r>
      <w:r>
        <w:rPr>
          <w:rFonts w:hint="eastAsia"/>
          <w:b/>
          <w:bCs/>
          <w:szCs w:val="21"/>
        </w:rPr>
        <w:t>-7  项目区域水文地质图</w:t>
      </w:r>
    </w:p>
    <w:p w14:paraId="3FE87B0C">
      <w:pPr>
        <w:spacing w:before="0" w:beforeLines="0" w:line="360" w:lineRule="auto"/>
        <w:rPr>
          <w:b/>
          <w:sz w:val="24"/>
        </w:rPr>
      </w:pPr>
      <w:bookmarkStart w:id="171" w:name="_Toc9154"/>
      <w:r>
        <w:rPr>
          <w:b/>
          <w:sz w:val="24"/>
        </w:rPr>
        <w:t>4.1.6</w:t>
      </w:r>
      <w:r>
        <w:rPr>
          <w:rFonts w:hint="eastAsia"/>
          <w:b/>
          <w:sz w:val="24"/>
        </w:rPr>
        <w:t>.2</w:t>
      </w:r>
      <w:bookmarkEnd w:id="170"/>
      <w:r>
        <w:rPr>
          <w:rFonts w:hint="eastAsia"/>
          <w:b/>
          <w:sz w:val="24"/>
        </w:rPr>
        <w:t>地下水的补给、径流与排泄条件</w:t>
      </w:r>
      <w:bookmarkEnd w:id="171"/>
    </w:p>
    <w:p w14:paraId="54C561EF">
      <w:pPr>
        <w:spacing w:before="0" w:beforeLines="0" w:line="360" w:lineRule="auto"/>
        <w:ind w:firstLine="480" w:firstLineChars="200"/>
        <w:rPr>
          <w:sz w:val="24"/>
        </w:rPr>
      </w:pPr>
      <w:r>
        <w:rPr>
          <w:rFonts w:hint="eastAsia"/>
          <w:sz w:val="24"/>
        </w:rPr>
        <w:t>评价区地下含水系统与大气圈联系较为密切，具有明显的垂向入渗补给和蒸发排泄作用，在含水系统不同的地段，都有补给、径流、排泄作用发生，三种不同的地下水动态要素交织在一起，共同作用于地下含水系统，显示出一个连续相关的信息输出过程。但在不同的地段每个信息要素反映的强弱不同。往往在靠近山前区以补给、径流作用为主，河流阶地除补给、径流作用外，排泄作用加强。</w:t>
      </w:r>
    </w:p>
    <w:p w14:paraId="334B0137">
      <w:pPr>
        <w:spacing w:before="0" w:beforeLines="0" w:line="360" w:lineRule="auto"/>
        <w:ind w:firstLine="480" w:firstLineChars="200"/>
        <w:rPr>
          <w:kern w:val="21"/>
          <w:sz w:val="24"/>
        </w:rPr>
      </w:pPr>
      <w:r>
        <w:rPr>
          <w:rFonts w:hint="eastAsia" w:ascii="宋体" w:hAnsi="宋体" w:cs="宋体"/>
          <w:sz w:val="24"/>
        </w:rPr>
        <w:t>①</w:t>
      </w:r>
      <w:r>
        <w:rPr>
          <w:kern w:val="21"/>
          <w:sz w:val="24"/>
        </w:rPr>
        <w:t>地下水补给特征</w:t>
      </w:r>
    </w:p>
    <w:p w14:paraId="5F7A6A54">
      <w:pPr>
        <w:spacing w:before="0" w:beforeLines="0" w:line="360" w:lineRule="auto"/>
        <w:ind w:firstLine="460" w:firstLineChars="192"/>
        <w:rPr>
          <w:sz w:val="24"/>
        </w:rPr>
      </w:pPr>
      <w:r>
        <w:rPr>
          <w:sz w:val="24"/>
        </w:rPr>
        <w:t>评价区地下水以垂向补给为主，</w:t>
      </w:r>
      <w:r>
        <w:rPr>
          <w:rFonts w:hint="eastAsia"/>
          <w:sz w:val="24"/>
        </w:rPr>
        <w:t>主要以</w:t>
      </w:r>
      <w:r>
        <w:rPr>
          <w:sz w:val="24"/>
        </w:rPr>
        <w:t>大气降水的渗入补给；次之为含水层的侧向径流补给。</w:t>
      </w:r>
    </w:p>
    <w:p w14:paraId="764E0010">
      <w:pPr>
        <w:spacing w:before="0" w:beforeLines="0" w:line="360" w:lineRule="auto"/>
        <w:ind w:firstLine="460" w:firstLineChars="192"/>
        <w:rPr>
          <w:sz w:val="24"/>
        </w:rPr>
      </w:pPr>
      <w:r>
        <w:rPr>
          <w:rFonts w:hint="eastAsia"/>
          <w:sz w:val="24"/>
        </w:rPr>
        <w:t>第四系</w:t>
      </w:r>
      <w:r>
        <w:rPr>
          <w:sz w:val="24"/>
        </w:rPr>
        <w:t>地表岩性以中细砂及细粉砂等为主，渗入条件较好；其他地区，地表岩性由扇的轴部向外缘依次渐变为粉砂、亚砂土、亚粘土等。</w:t>
      </w:r>
    </w:p>
    <w:p w14:paraId="29656711">
      <w:pPr>
        <w:spacing w:before="0" w:beforeLines="0" w:line="360" w:lineRule="auto"/>
        <w:ind w:firstLine="480" w:firstLineChars="200"/>
        <w:rPr>
          <w:kern w:val="21"/>
          <w:sz w:val="24"/>
        </w:rPr>
      </w:pPr>
      <w:r>
        <w:rPr>
          <w:rFonts w:hint="eastAsia" w:ascii="宋体" w:hAnsi="宋体" w:cs="宋体"/>
          <w:sz w:val="24"/>
        </w:rPr>
        <w:t>②</w:t>
      </w:r>
      <w:r>
        <w:rPr>
          <w:kern w:val="21"/>
          <w:sz w:val="24"/>
        </w:rPr>
        <w:t>地下水径流特征</w:t>
      </w:r>
    </w:p>
    <w:p w14:paraId="322FB764">
      <w:pPr>
        <w:spacing w:before="0" w:beforeLines="0" w:line="360" w:lineRule="auto"/>
        <w:ind w:firstLine="480" w:firstLineChars="200"/>
        <w:rPr>
          <w:sz w:val="24"/>
        </w:rPr>
      </w:pPr>
      <w:r>
        <w:rPr>
          <w:sz w:val="24"/>
        </w:rPr>
        <w:t>区域地下水的径流方向由</w:t>
      </w:r>
      <w:r>
        <w:rPr>
          <w:rFonts w:hint="eastAsia"/>
          <w:sz w:val="24"/>
        </w:rPr>
        <w:t>河流两侧</w:t>
      </w:r>
      <w:r>
        <w:rPr>
          <w:sz w:val="24"/>
        </w:rPr>
        <w:t>向</w:t>
      </w:r>
      <w:r>
        <w:rPr>
          <w:rFonts w:hint="eastAsia"/>
          <w:sz w:val="24"/>
        </w:rPr>
        <w:t>河流</w:t>
      </w:r>
      <w:r>
        <w:rPr>
          <w:sz w:val="24"/>
        </w:rPr>
        <w:t>河谷方向</w:t>
      </w:r>
      <w:r>
        <w:rPr>
          <w:rFonts w:hint="eastAsia"/>
          <w:sz w:val="24"/>
        </w:rPr>
        <w:t>，靠近河流沿河流向下游流向</w:t>
      </w:r>
      <w:r>
        <w:rPr>
          <w:sz w:val="24"/>
        </w:rPr>
        <w:t>。</w:t>
      </w:r>
    </w:p>
    <w:p w14:paraId="6B9B445A">
      <w:pPr>
        <w:spacing w:before="0" w:beforeLines="0" w:line="360" w:lineRule="auto"/>
        <w:ind w:firstLine="480" w:firstLineChars="200"/>
        <w:rPr>
          <w:kern w:val="21"/>
          <w:sz w:val="24"/>
        </w:rPr>
      </w:pPr>
      <w:r>
        <w:rPr>
          <w:rFonts w:hint="eastAsia" w:ascii="宋体" w:hAnsi="宋体" w:cs="宋体"/>
          <w:sz w:val="24"/>
        </w:rPr>
        <w:t>③</w:t>
      </w:r>
      <w:r>
        <w:rPr>
          <w:kern w:val="21"/>
          <w:sz w:val="24"/>
        </w:rPr>
        <w:t>地下水排泄特征</w:t>
      </w:r>
    </w:p>
    <w:p w14:paraId="3E9A2668">
      <w:pPr>
        <w:spacing w:before="0" w:beforeLines="0" w:line="360" w:lineRule="auto"/>
        <w:ind w:firstLine="480" w:firstLineChars="200"/>
        <w:rPr>
          <w:sz w:val="24"/>
        </w:rPr>
      </w:pPr>
      <w:r>
        <w:rPr>
          <w:sz w:val="24"/>
        </w:rPr>
        <w:t>地下水的主要排泄方式为地下径流排泄和人工开采。</w:t>
      </w:r>
    </w:p>
    <w:p w14:paraId="3AC04B68">
      <w:pPr>
        <w:tabs>
          <w:tab w:val="left" w:pos="540"/>
        </w:tabs>
        <w:spacing w:before="0" w:beforeLines="0" w:line="360" w:lineRule="auto"/>
        <w:ind w:firstLine="480" w:firstLineChars="200"/>
        <w:rPr>
          <w:sz w:val="24"/>
        </w:rPr>
      </w:pPr>
      <w:r>
        <w:rPr>
          <w:rFonts w:hint="eastAsia"/>
          <w:sz w:val="24"/>
        </w:rPr>
        <w:t>a</w:t>
      </w:r>
      <w:r>
        <w:rPr>
          <w:sz w:val="24"/>
        </w:rPr>
        <w:t>.地下径流排泄</w:t>
      </w:r>
    </w:p>
    <w:p w14:paraId="7E19B6A2">
      <w:pPr>
        <w:spacing w:before="0" w:beforeLines="0" w:line="360" w:lineRule="auto"/>
        <w:ind w:firstLine="480" w:firstLineChars="200"/>
        <w:rPr>
          <w:sz w:val="24"/>
        </w:rPr>
      </w:pPr>
      <w:r>
        <w:rPr>
          <w:rFonts w:hint="eastAsia"/>
          <w:sz w:val="24"/>
        </w:rPr>
        <w:t>在项目区域西侧及西北侧</w:t>
      </w:r>
      <w:r>
        <w:rPr>
          <w:sz w:val="24"/>
        </w:rPr>
        <w:t>含水层延伸到区外，而且区内地下水位高出区外的地下水位，因此，形成向区外的径流排泄，但排泄能力是有限的。</w:t>
      </w:r>
    </w:p>
    <w:p w14:paraId="3B806D99">
      <w:pPr>
        <w:tabs>
          <w:tab w:val="left" w:pos="540"/>
        </w:tabs>
        <w:spacing w:before="0" w:beforeLines="0" w:line="360" w:lineRule="auto"/>
        <w:ind w:firstLine="480" w:firstLineChars="200"/>
        <w:rPr>
          <w:sz w:val="24"/>
        </w:rPr>
      </w:pPr>
      <w:r>
        <w:rPr>
          <w:rFonts w:hint="eastAsia"/>
          <w:sz w:val="24"/>
        </w:rPr>
        <w:t>b</w:t>
      </w:r>
      <w:r>
        <w:rPr>
          <w:sz w:val="24"/>
        </w:rPr>
        <w:t>.人工开采</w:t>
      </w:r>
    </w:p>
    <w:p w14:paraId="48F94D17">
      <w:pPr>
        <w:spacing w:before="0" w:beforeLines="0" w:line="360" w:lineRule="auto"/>
        <w:ind w:firstLine="480" w:firstLineChars="200"/>
        <w:rPr>
          <w:b/>
          <w:sz w:val="24"/>
        </w:rPr>
      </w:pPr>
      <w:r>
        <w:rPr>
          <w:sz w:val="24"/>
        </w:rPr>
        <w:t>人工开采是区域地下水最重要的排泄方式；开采方式包括工业开采、农业开采、生活用水等，其中以</w:t>
      </w:r>
      <w:r>
        <w:rPr>
          <w:rFonts w:hint="eastAsia"/>
          <w:sz w:val="24"/>
        </w:rPr>
        <w:t>农业开采及生活用水</w:t>
      </w:r>
      <w:r>
        <w:rPr>
          <w:sz w:val="24"/>
        </w:rPr>
        <w:t>为主。</w:t>
      </w:r>
    </w:p>
    <w:p w14:paraId="1F0F4246">
      <w:pPr>
        <w:spacing w:before="0" w:beforeLines="0" w:line="360" w:lineRule="auto"/>
        <w:rPr>
          <w:b/>
          <w:sz w:val="24"/>
        </w:rPr>
      </w:pPr>
      <w:bookmarkStart w:id="172" w:name="_Toc4152"/>
      <w:r>
        <w:rPr>
          <w:b/>
          <w:sz w:val="24"/>
        </w:rPr>
        <w:t>4.1.6</w:t>
      </w:r>
      <w:r>
        <w:rPr>
          <w:rFonts w:hint="eastAsia"/>
          <w:b/>
          <w:sz w:val="24"/>
        </w:rPr>
        <w:t>.3地下水水位动态特征</w:t>
      </w:r>
      <w:bookmarkEnd w:id="172"/>
    </w:p>
    <w:p w14:paraId="276E45E2">
      <w:pPr>
        <w:spacing w:before="0" w:beforeLines="0" w:line="360" w:lineRule="auto"/>
        <w:ind w:firstLine="480" w:firstLineChars="200"/>
        <w:rPr>
          <w:sz w:val="24"/>
        </w:rPr>
      </w:pPr>
      <w:r>
        <w:rPr>
          <w:sz w:val="24"/>
        </w:rPr>
        <w:t>根据评价区地下水动态特征，评价区地下水动态受灌溉和开采影响。本区地下水主要开采层位是冲洪积潜水-微承压水，</w:t>
      </w:r>
      <w:r>
        <w:rPr>
          <w:rFonts w:hint="eastAsia"/>
          <w:sz w:val="24"/>
        </w:rPr>
        <w:t>开采深度约为20-30m</w:t>
      </w:r>
      <w:r>
        <w:rPr>
          <w:sz w:val="24"/>
        </w:rPr>
        <w:t>。同时，</w:t>
      </w:r>
      <w:r>
        <w:rPr>
          <w:rFonts w:hint="eastAsia"/>
          <w:sz w:val="24"/>
        </w:rPr>
        <w:t>区域内现状工业企业较少，工业用水量较小</w:t>
      </w:r>
      <w:r>
        <w:rPr>
          <w:sz w:val="24"/>
        </w:rPr>
        <w:t>。地下水动态曲线的变化与降水、采水的季节性变化密切相关。地下水动态为渗入—径流型和径流—开采型交替出现。年初的1-3月份为枯水期，地下水位下降，4-6月份灌溉开始，且7、8月份为降雨季节，但由于</w:t>
      </w:r>
      <w:r>
        <w:rPr>
          <w:rFonts w:hint="eastAsia"/>
          <w:sz w:val="24"/>
        </w:rPr>
        <w:t>附近农业</w:t>
      </w:r>
      <w:r>
        <w:rPr>
          <w:sz w:val="24"/>
        </w:rPr>
        <w:t>及生活用水开采，使地下水位仍在下降并处于较低水平。9、10月份后开采量减小，水位出现回升。潜水-微承压水位变化动态呈现渗入-径流型和径流-开采动态交替的特征。</w:t>
      </w:r>
    </w:p>
    <w:p w14:paraId="4C7BA965">
      <w:pPr>
        <w:spacing w:before="0" w:beforeLines="0" w:line="360" w:lineRule="auto"/>
        <w:rPr>
          <w:b/>
          <w:sz w:val="24"/>
        </w:rPr>
      </w:pPr>
      <w:bookmarkStart w:id="173" w:name="_Toc15553"/>
      <w:r>
        <w:rPr>
          <w:b/>
          <w:sz w:val="24"/>
        </w:rPr>
        <w:t>4.1.6</w:t>
      </w:r>
      <w:r>
        <w:rPr>
          <w:rFonts w:hint="eastAsia"/>
          <w:b/>
          <w:sz w:val="24"/>
        </w:rPr>
        <w:t>.4地下水化学类型</w:t>
      </w:r>
      <w:bookmarkEnd w:id="173"/>
    </w:p>
    <w:p w14:paraId="3F1E6DAB">
      <w:pPr>
        <w:spacing w:before="0" w:beforeLines="0" w:line="360" w:lineRule="auto"/>
        <w:ind w:firstLine="480" w:firstLineChars="200"/>
        <w:rPr>
          <w:sz w:val="24"/>
        </w:rPr>
      </w:pPr>
      <w:r>
        <w:rPr>
          <w:sz w:val="24"/>
        </w:rPr>
        <w:t>根据舒卡列夫分类法，地下水中Ca</w:t>
      </w:r>
      <w:r>
        <w:rPr>
          <w:sz w:val="24"/>
          <w:vertAlign w:val="superscript"/>
        </w:rPr>
        <w:t>2＋</w:t>
      </w:r>
      <w:r>
        <w:rPr>
          <w:sz w:val="24"/>
        </w:rPr>
        <w:t>、Mg</w:t>
      </w:r>
      <w:r>
        <w:rPr>
          <w:sz w:val="24"/>
          <w:vertAlign w:val="superscript"/>
        </w:rPr>
        <w:t>2＋</w:t>
      </w:r>
      <w:r>
        <w:rPr>
          <w:sz w:val="24"/>
        </w:rPr>
        <w:t>、Na</w:t>
      </w:r>
      <w:r>
        <w:rPr>
          <w:sz w:val="24"/>
          <w:vertAlign w:val="superscript"/>
        </w:rPr>
        <w:t>＋</w:t>
      </w:r>
      <w:r>
        <w:rPr>
          <w:sz w:val="24"/>
        </w:rPr>
        <w:t>（Na+K）、Cl</w:t>
      </w:r>
      <w:r>
        <w:rPr>
          <w:sz w:val="24"/>
          <w:vertAlign w:val="superscript"/>
        </w:rPr>
        <w:t>-</w:t>
      </w:r>
      <w:r>
        <w:rPr>
          <w:sz w:val="24"/>
        </w:rPr>
        <w:t>、SO</w:t>
      </w:r>
      <w:r>
        <w:rPr>
          <w:sz w:val="24"/>
          <w:vertAlign w:val="subscript"/>
        </w:rPr>
        <w:t>4</w:t>
      </w:r>
      <w:r>
        <w:rPr>
          <w:sz w:val="24"/>
          <w:vertAlign w:val="superscript"/>
        </w:rPr>
        <w:t>2-</w:t>
      </w:r>
      <w:r>
        <w:rPr>
          <w:sz w:val="24"/>
        </w:rPr>
        <w:t>、HCO</w:t>
      </w:r>
      <w:r>
        <w:rPr>
          <w:sz w:val="24"/>
          <w:vertAlign w:val="subscript"/>
        </w:rPr>
        <w:t>3</w:t>
      </w:r>
      <w:r>
        <w:rPr>
          <w:sz w:val="24"/>
          <w:vertAlign w:val="superscript"/>
        </w:rPr>
        <w:t>-</w:t>
      </w:r>
      <w:r>
        <w:rPr>
          <w:sz w:val="24"/>
        </w:rPr>
        <w:t>将Me（毫克当量）百分数大于25%的阴、阳离子进行组合，每种类型以阿拉伯数字为代号，共49类。舒卡列夫分类表见表4.1-1。</w:t>
      </w:r>
    </w:p>
    <w:p w14:paraId="0D621B21">
      <w:pPr>
        <w:spacing w:before="156" w:beforeLines="50" w:line="240" w:lineRule="auto"/>
        <w:jc w:val="center"/>
        <w:rPr>
          <w:rFonts w:cs="宋体"/>
          <w:b/>
          <w:szCs w:val="20"/>
        </w:rPr>
      </w:pPr>
      <w:r>
        <w:rPr>
          <w:rFonts w:cs="宋体"/>
          <w:b/>
          <w:szCs w:val="20"/>
        </w:rPr>
        <w:t>表4.1-1  舒卡列夫分类表</w:t>
      </w:r>
    </w:p>
    <w:tbl>
      <w:tblPr>
        <w:tblStyle w:val="89"/>
        <w:tblW w:w="508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627"/>
        <w:gridCol w:w="790"/>
        <w:gridCol w:w="1220"/>
        <w:gridCol w:w="1552"/>
        <w:gridCol w:w="1074"/>
        <w:gridCol w:w="738"/>
        <w:gridCol w:w="934"/>
        <w:gridCol w:w="523"/>
      </w:tblGrid>
      <w:tr w14:paraId="627B6A4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962" w:type="pct"/>
            <w:vAlign w:val="center"/>
          </w:tcPr>
          <w:p w14:paraId="07B78AF2">
            <w:pPr>
              <w:widowControl/>
              <w:spacing w:before="0" w:beforeLines="0" w:line="240" w:lineRule="auto"/>
              <w:jc w:val="center"/>
              <w:rPr>
                <w:szCs w:val="21"/>
              </w:rPr>
            </w:pPr>
            <w:r>
              <w:rPr>
                <w:szCs w:val="21"/>
              </w:rPr>
              <w:t>含量＞25%Meq的离子</w:t>
            </w:r>
          </w:p>
        </w:tc>
        <w:tc>
          <w:tcPr>
            <w:tcW w:w="467" w:type="pct"/>
            <w:vAlign w:val="center"/>
          </w:tcPr>
          <w:p w14:paraId="275A241B">
            <w:pPr>
              <w:widowControl/>
              <w:spacing w:before="0" w:beforeLines="0" w:line="240" w:lineRule="auto"/>
              <w:jc w:val="center"/>
              <w:rPr>
                <w:szCs w:val="21"/>
              </w:rPr>
            </w:pPr>
            <w:r>
              <w:rPr>
                <w:szCs w:val="21"/>
              </w:rPr>
              <w:t>HCO</w:t>
            </w:r>
            <w:r>
              <w:rPr>
                <w:szCs w:val="21"/>
                <w:vertAlign w:val="subscript"/>
              </w:rPr>
              <w:t>3</w:t>
            </w:r>
            <w:r>
              <w:rPr>
                <w:szCs w:val="21"/>
                <w:vertAlign w:val="superscript"/>
              </w:rPr>
              <w:t>-</w:t>
            </w:r>
          </w:p>
        </w:tc>
        <w:tc>
          <w:tcPr>
            <w:tcW w:w="721" w:type="pct"/>
            <w:vAlign w:val="center"/>
          </w:tcPr>
          <w:p w14:paraId="4827F082">
            <w:pPr>
              <w:widowControl/>
              <w:spacing w:before="0" w:beforeLines="0" w:line="240" w:lineRule="auto"/>
              <w:jc w:val="center"/>
              <w:rPr>
                <w:szCs w:val="21"/>
              </w:rPr>
            </w:pPr>
            <w:r>
              <w:rPr>
                <w:szCs w:val="21"/>
              </w:rPr>
              <w:t>HCO</w:t>
            </w:r>
            <w:r>
              <w:rPr>
                <w:szCs w:val="21"/>
                <w:vertAlign w:val="subscript"/>
              </w:rPr>
              <w:t>3</w:t>
            </w:r>
            <w:r>
              <w:rPr>
                <w:szCs w:val="21"/>
                <w:vertAlign w:val="superscript"/>
              </w:rPr>
              <w:t>-</w:t>
            </w:r>
            <w:r>
              <w:rPr>
                <w:szCs w:val="21"/>
              </w:rPr>
              <w:t>+SO</w:t>
            </w:r>
            <w:r>
              <w:rPr>
                <w:szCs w:val="21"/>
                <w:vertAlign w:val="subscript"/>
              </w:rPr>
              <w:t>4</w:t>
            </w:r>
            <w:r>
              <w:rPr>
                <w:szCs w:val="21"/>
                <w:vertAlign w:val="superscript"/>
              </w:rPr>
              <w:t>2-</w:t>
            </w:r>
          </w:p>
        </w:tc>
        <w:tc>
          <w:tcPr>
            <w:tcW w:w="917" w:type="pct"/>
            <w:vAlign w:val="center"/>
          </w:tcPr>
          <w:p w14:paraId="3F4276C1">
            <w:pPr>
              <w:widowControl/>
              <w:spacing w:before="0" w:beforeLines="0" w:line="240" w:lineRule="auto"/>
              <w:jc w:val="center"/>
              <w:rPr>
                <w:szCs w:val="21"/>
              </w:rPr>
            </w:pPr>
            <w:r>
              <w:rPr>
                <w:szCs w:val="21"/>
              </w:rPr>
              <w:t>HCO</w:t>
            </w:r>
            <w:r>
              <w:rPr>
                <w:szCs w:val="21"/>
                <w:vertAlign w:val="subscript"/>
              </w:rPr>
              <w:t>3</w:t>
            </w:r>
            <w:r>
              <w:rPr>
                <w:szCs w:val="21"/>
                <w:vertAlign w:val="superscript"/>
              </w:rPr>
              <w:t>-</w:t>
            </w:r>
            <w:r>
              <w:rPr>
                <w:szCs w:val="21"/>
              </w:rPr>
              <w:t>+SO</w:t>
            </w:r>
            <w:r>
              <w:rPr>
                <w:szCs w:val="21"/>
                <w:vertAlign w:val="subscript"/>
              </w:rPr>
              <w:t>4</w:t>
            </w:r>
            <w:r>
              <w:rPr>
                <w:szCs w:val="21"/>
                <w:vertAlign w:val="superscript"/>
              </w:rPr>
              <w:t>2-</w:t>
            </w:r>
            <w:r>
              <w:rPr>
                <w:szCs w:val="21"/>
              </w:rPr>
              <w:t>+Cl</w:t>
            </w:r>
            <w:r>
              <w:rPr>
                <w:szCs w:val="21"/>
                <w:vertAlign w:val="superscript"/>
              </w:rPr>
              <w:t>-</w:t>
            </w:r>
          </w:p>
        </w:tc>
        <w:tc>
          <w:tcPr>
            <w:tcW w:w="635" w:type="pct"/>
            <w:vAlign w:val="center"/>
          </w:tcPr>
          <w:p w14:paraId="73D2A78C">
            <w:pPr>
              <w:widowControl/>
              <w:spacing w:before="0" w:beforeLines="0" w:line="240" w:lineRule="auto"/>
              <w:jc w:val="center"/>
              <w:rPr>
                <w:szCs w:val="21"/>
              </w:rPr>
            </w:pPr>
            <w:r>
              <w:rPr>
                <w:szCs w:val="21"/>
              </w:rPr>
              <w:t>HCO</w:t>
            </w:r>
            <w:r>
              <w:rPr>
                <w:szCs w:val="21"/>
                <w:vertAlign w:val="subscript"/>
              </w:rPr>
              <w:t>3</w:t>
            </w:r>
            <w:r>
              <w:rPr>
                <w:szCs w:val="21"/>
                <w:vertAlign w:val="superscript"/>
              </w:rPr>
              <w:t>-</w:t>
            </w:r>
            <w:r>
              <w:rPr>
                <w:szCs w:val="21"/>
              </w:rPr>
              <w:t>+Cl</w:t>
            </w:r>
            <w:r>
              <w:rPr>
                <w:szCs w:val="21"/>
                <w:vertAlign w:val="superscript"/>
              </w:rPr>
              <w:t>-</w:t>
            </w:r>
          </w:p>
        </w:tc>
        <w:tc>
          <w:tcPr>
            <w:tcW w:w="436" w:type="pct"/>
            <w:vAlign w:val="center"/>
          </w:tcPr>
          <w:p w14:paraId="7372931A">
            <w:pPr>
              <w:widowControl/>
              <w:spacing w:before="0" w:beforeLines="0" w:line="240" w:lineRule="auto"/>
              <w:jc w:val="center"/>
              <w:rPr>
                <w:szCs w:val="21"/>
              </w:rPr>
            </w:pPr>
            <w:r>
              <w:rPr>
                <w:szCs w:val="21"/>
              </w:rPr>
              <w:t>SO</w:t>
            </w:r>
            <w:r>
              <w:rPr>
                <w:szCs w:val="21"/>
                <w:vertAlign w:val="subscript"/>
              </w:rPr>
              <w:t>4</w:t>
            </w:r>
            <w:r>
              <w:rPr>
                <w:szCs w:val="21"/>
                <w:vertAlign w:val="superscript"/>
              </w:rPr>
              <w:t>2-</w:t>
            </w:r>
          </w:p>
        </w:tc>
        <w:tc>
          <w:tcPr>
            <w:tcW w:w="552" w:type="pct"/>
            <w:vAlign w:val="center"/>
          </w:tcPr>
          <w:p w14:paraId="0D82465B">
            <w:pPr>
              <w:widowControl/>
              <w:spacing w:before="0" w:beforeLines="0" w:line="240" w:lineRule="auto"/>
              <w:jc w:val="center"/>
              <w:rPr>
                <w:szCs w:val="21"/>
              </w:rPr>
            </w:pPr>
            <w:r>
              <w:rPr>
                <w:szCs w:val="21"/>
              </w:rPr>
              <w:t>SO</w:t>
            </w:r>
            <w:r>
              <w:rPr>
                <w:szCs w:val="21"/>
                <w:vertAlign w:val="subscript"/>
              </w:rPr>
              <w:t>4</w:t>
            </w:r>
            <w:r>
              <w:rPr>
                <w:szCs w:val="21"/>
                <w:vertAlign w:val="superscript"/>
              </w:rPr>
              <w:t>2-</w:t>
            </w:r>
            <w:r>
              <w:rPr>
                <w:szCs w:val="21"/>
              </w:rPr>
              <w:t>+Cl</w:t>
            </w:r>
            <w:r>
              <w:rPr>
                <w:szCs w:val="21"/>
                <w:vertAlign w:val="superscript"/>
              </w:rPr>
              <w:t>-</w:t>
            </w:r>
          </w:p>
        </w:tc>
        <w:tc>
          <w:tcPr>
            <w:tcW w:w="309" w:type="pct"/>
            <w:vAlign w:val="center"/>
          </w:tcPr>
          <w:p w14:paraId="59D1D8EA">
            <w:pPr>
              <w:widowControl/>
              <w:spacing w:before="0" w:beforeLines="0" w:line="240" w:lineRule="auto"/>
              <w:jc w:val="center"/>
              <w:rPr>
                <w:szCs w:val="21"/>
              </w:rPr>
            </w:pPr>
            <w:r>
              <w:rPr>
                <w:szCs w:val="21"/>
              </w:rPr>
              <w:t>Cl</w:t>
            </w:r>
            <w:r>
              <w:rPr>
                <w:szCs w:val="21"/>
                <w:vertAlign w:val="superscript"/>
              </w:rPr>
              <w:t>-</w:t>
            </w:r>
          </w:p>
        </w:tc>
      </w:tr>
      <w:tr w14:paraId="182183B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962" w:type="pct"/>
            <w:vAlign w:val="center"/>
          </w:tcPr>
          <w:p w14:paraId="33A883B4">
            <w:pPr>
              <w:widowControl/>
              <w:spacing w:before="0" w:beforeLines="0" w:line="240" w:lineRule="auto"/>
              <w:jc w:val="center"/>
              <w:rPr>
                <w:szCs w:val="21"/>
              </w:rPr>
            </w:pPr>
            <w:r>
              <w:rPr>
                <w:szCs w:val="21"/>
              </w:rPr>
              <w:t>Ca</w:t>
            </w:r>
            <w:r>
              <w:rPr>
                <w:szCs w:val="21"/>
                <w:vertAlign w:val="superscript"/>
              </w:rPr>
              <w:t>2+</w:t>
            </w:r>
          </w:p>
        </w:tc>
        <w:tc>
          <w:tcPr>
            <w:tcW w:w="467" w:type="pct"/>
            <w:vAlign w:val="center"/>
          </w:tcPr>
          <w:p w14:paraId="62D1516D">
            <w:pPr>
              <w:widowControl/>
              <w:spacing w:before="0" w:beforeLines="0" w:line="240" w:lineRule="auto"/>
              <w:jc w:val="center"/>
              <w:rPr>
                <w:szCs w:val="21"/>
              </w:rPr>
            </w:pPr>
            <w:r>
              <w:rPr>
                <w:szCs w:val="21"/>
              </w:rPr>
              <w:t>1</w:t>
            </w:r>
          </w:p>
        </w:tc>
        <w:tc>
          <w:tcPr>
            <w:tcW w:w="721" w:type="pct"/>
            <w:vAlign w:val="center"/>
          </w:tcPr>
          <w:p w14:paraId="132DB5EA">
            <w:pPr>
              <w:widowControl/>
              <w:spacing w:before="0" w:beforeLines="0" w:line="240" w:lineRule="auto"/>
              <w:jc w:val="center"/>
              <w:rPr>
                <w:szCs w:val="21"/>
              </w:rPr>
            </w:pPr>
            <w:r>
              <w:rPr>
                <w:szCs w:val="21"/>
              </w:rPr>
              <w:t>8</w:t>
            </w:r>
          </w:p>
        </w:tc>
        <w:tc>
          <w:tcPr>
            <w:tcW w:w="917" w:type="pct"/>
            <w:vAlign w:val="center"/>
          </w:tcPr>
          <w:p w14:paraId="5BA89A63">
            <w:pPr>
              <w:widowControl/>
              <w:spacing w:before="0" w:beforeLines="0" w:line="240" w:lineRule="auto"/>
              <w:jc w:val="center"/>
              <w:rPr>
                <w:szCs w:val="21"/>
              </w:rPr>
            </w:pPr>
            <w:r>
              <w:rPr>
                <w:szCs w:val="21"/>
              </w:rPr>
              <w:t>15</w:t>
            </w:r>
          </w:p>
        </w:tc>
        <w:tc>
          <w:tcPr>
            <w:tcW w:w="635" w:type="pct"/>
            <w:vAlign w:val="center"/>
          </w:tcPr>
          <w:p w14:paraId="6E37B3A2">
            <w:pPr>
              <w:widowControl/>
              <w:spacing w:before="0" w:beforeLines="0" w:line="240" w:lineRule="auto"/>
              <w:jc w:val="center"/>
              <w:rPr>
                <w:szCs w:val="21"/>
              </w:rPr>
            </w:pPr>
            <w:r>
              <w:rPr>
                <w:szCs w:val="21"/>
              </w:rPr>
              <w:t>22</w:t>
            </w:r>
          </w:p>
        </w:tc>
        <w:tc>
          <w:tcPr>
            <w:tcW w:w="436" w:type="pct"/>
            <w:vAlign w:val="center"/>
          </w:tcPr>
          <w:p w14:paraId="69F34EBA">
            <w:pPr>
              <w:widowControl/>
              <w:spacing w:before="0" w:beforeLines="0" w:line="240" w:lineRule="auto"/>
              <w:jc w:val="center"/>
              <w:rPr>
                <w:szCs w:val="21"/>
              </w:rPr>
            </w:pPr>
            <w:r>
              <w:rPr>
                <w:szCs w:val="21"/>
              </w:rPr>
              <w:t>29</w:t>
            </w:r>
          </w:p>
        </w:tc>
        <w:tc>
          <w:tcPr>
            <w:tcW w:w="552" w:type="pct"/>
            <w:vAlign w:val="center"/>
          </w:tcPr>
          <w:p w14:paraId="36201F98">
            <w:pPr>
              <w:widowControl/>
              <w:spacing w:before="0" w:beforeLines="0" w:line="240" w:lineRule="auto"/>
              <w:jc w:val="center"/>
              <w:rPr>
                <w:szCs w:val="21"/>
              </w:rPr>
            </w:pPr>
            <w:r>
              <w:rPr>
                <w:szCs w:val="21"/>
              </w:rPr>
              <w:t>36</w:t>
            </w:r>
          </w:p>
        </w:tc>
        <w:tc>
          <w:tcPr>
            <w:tcW w:w="309" w:type="pct"/>
            <w:vAlign w:val="center"/>
          </w:tcPr>
          <w:p w14:paraId="0968E4E3">
            <w:pPr>
              <w:widowControl/>
              <w:spacing w:before="0" w:beforeLines="0" w:line="240" w:lineRule="auto"/>
              <w:jc w:val="center"/>
              <w:rPr>
                <w:szCs w:val="21"/>
              </w:rPr>
            </w:pPr>
            <w:r>
              <w:rPr>
                <w:szCs w:val="21"/>
              </w:rPr>
              <w:t>43</w:t>
            </w:r>
          </w:p>
        </w:tc>
      </w:tr>
      <w:tr w14:paraId="1A3FE52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962" w:type="pct"/>
            <w:vAlign w:val="center"/>
          </w:tcPr>
          <w:p w14:paraId="58C63C73">
            <w:pPr>
              <w:widowControl/>
              <w:spacing w:before="0" w:beforeLines="0" w:line="240" w:lineRule="auto"/>
              <w:jc w:val="center"/>
              <w:rPr>
                <w:szCs w:val="21"/>
              </w:rPr>
            </w:pPr>
            <w:r>
              <w:rPr>
                <w:szCs w:val="21"/>
              </w:rPr>
              <w:t>Ca</w:t>
            </w:r>
            <w:r>
              <w:rPr>
                <w:szCs w:val="21"/>
                <w:vertAlign w:val="superscript"/>
              </w:rPr>
              <w:t>2+</w:t>
            </w:r>
            <w:r>
              <w:rPr>
                <w:szCs w:val="21"/>
              </w:rPr>
              <w:t>+Mg</w:t>
            </w:r>
            <w:r>
              <w:rPr>
                <w:szCs w:val="21"/>
                <w:vertAlign w:val="superscript"/>
              </w:rPr>
              <w:t>2+</w:t>
            </w:r>
          </w:p>
        </w:tc>
        <w:tc>
          <w:tcPr>
            <w:tcW w:w="467" w:type="pct"/>
            <w:vAlign w:val="center"/>
          </w:tcPr>
          <w:p w14:paraId="4809DA20">
            <w:pPr>
              <w:widowControl/>
              <w:spacing w:before="0" w:beforeLines="0" w:line="240" w:lineRule="auto"/>
              <w:jc w:val="center"/>
              <w:rPr>
                <w:szCs w:val="21"/>
              </w:rPr>
            </w:pPr>
            <w:r>
              <w:rPr>
                <w:szCs w:val="21"/>
              </w:rPr>
              <w:t>2</w:t>
            </w:r>
          </w:p>
        </w:tc>
        <w:tc>
          <w:tcPr>
            <w:tcW w:w="721" w:type="pct"/>
            <w:vAlign w:val="center"/>
          </w:tcPr>
          <w:p w14:paraId="3D01C901">
            <w:pPr>
              <w:widowControl/>
              <w:spacing w:before="0" w:beforeLines="0" w:line="240" w:lineRule="auto"/>
              <w:jc w:val="center"/>
              <w:rPr>
                <w:szCs w:val="21"/>
              </w:rPr>
            </w:pPr>
            <w:r>
              <w:rPr>
                <w:szCs w:val="21"/>
              </w:rPr>
              <w:t>9</w:t>
            </w:r>
          </w:p>
        </w:tc>
        <w:tc>
          <w:tcPr>
            <w:tcW w:w="917" w:type="pct"/>
            <w:vAlign w:val="center"/>
          </w:tcPr>
          <w:p w14:paraId="0888FADE">
            <w:pPr>
              <w:widowControl/>
              <w:spacing w:before="0" w:beforeLines="0" w:line="240" w:lineRule="auto"/>
              <w:jc w:val="center"/>
              <w:rPr>
                <w:szCs w:val="21"/>
              </w:rPr>
            </w:pPr>
            <w:r>
              <w:rPr>
                <w:szCs w:val="21"/>
              </w:rPr>
              <w:t>16</w:t>
            </w:r>
          </w:p>
        </w:tc>
        <w:tc>
          <w:tcPr>
            <w:tcW w:w="635" w:type="pct"/>
            <w:vAlign w:val="center"/>
          </w:tcPr>
          <w:p w14:paraId="0A0CBF6A">
            <w:pPr>
              <w:widowControl/>
              <w:spacing w:before="0" w:beforeLines="0" w:line="240" w:lineRule="auto"/>
              <w:jc w:val="center"/>
              <w:rPr>
                <w:szCs w:val="21"/>
              </w:rPr>
            </w:pPr>
            <w:r>
              <w:rPr>
                <w:szCs w:val="21"/>
              </w:rPr>
              <w:t>23</w:t>
            </w:r>
          </w:p>
        </w:tc>
        <w:tc>
          <w:tcPr>
            <w:tcW w:w="436" w:type="pct"/>
            <w:vAlign w:val="center"/>
          </w:tcPr>
          <w:p w14:paraId="2617F1CB">
            <w:pPr>
              <w:widowControl/>
              <w:spacing w:before="0" w:beforeLines="0" w:line="240" w:lineRule="auto"/>
              <w:jc w:val="center"/>
              <w:rPr>
                <w:szCs w:val="21"/>
              </w:rPr>
            </w:pPr>
            <w:r>
              <w:rPr>
                <w:szCs w:val="21"/>
              </w:rPr>
              <w:t>30</w:t>
            </w:r>
          </w:p>
        </w:tc>
        <w:tc>
          <w:tcPr>
            <w:tcW w:w="552" w:type="pct"/>
            <w:vAlign w:val="center"/>
          </w:tcPr>
          <w:p w14:paraId="7FA3B9A1">
            <w:pPr>
              <w:widowControl/>
              <w:spacing w:before="0" w:beforeLines="0" w:line="240" w:lineRule="auto"/>
              <w:jc w:val="center"/>
              <w:rPr>
                <w:szCs w:val="21"/>
              </w:rPr>
            </w:pPr>
            <w:r>
              <w:rPr>
                <w:szCs w:val="21"/>
              </w:rPr>
              <w:t>37</w:t>
            </w:r>
          </w:p>
        </w:tc>
        <w:tc>
          <w:tcPr>
            <w:tcW w:w="309" w:type="pct"/>
            <w:vAlign w:val="center"/>
          </w:tcPr>
          <w:p w14:paraId="4715613B">
            <w:pPr>
              <w:widowControl/>
              <w:spacing w:before="0" w:beforeLines="0" w:line="240" w:lineRule="auto"/>
              <w:jc w:val="center"/>
              <w:rPr>
                <w:szCs w:val="21"/>
              </w:rPr>
            </w:pPr>
            <w:r>
              <w:rPr>
                <w:szCs w:val="21"/>
              </w:rPr>
              <w:t>44</w:t>
            </w:r>
          </w:p>
        </w:tc>
      </w:tr>
      <w:tr w14:paraId="6591CAD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962" w:type="pct"/>
            <w:vAlign w:val="center"/>
          </w:tcPr>
          <w:p w14:paraId="204614E2">
            <w:pPr>
              <w:widowControl/>
              <w:spacing w:before="0" w:beforeLines="0" w:line="240" w:lineRule="auto"/>
              <w:jc w:val="center"/>
              <w:rPr>
                <w:szCs w:val="21"/>
              </w:rPr>
            </w:pPr>
            <w:r>
              <w:rPr>
                <w:szCs w:val="21"/>
              </w:rPr>
              <w:t>Mg</w:t>
            </w:r>
            <w:r>
              <w:rPr>
                <w:szCs w:val="21"/>
                <w:vertAlign w:val="superscript"/>
              </w:rPr>
              <w:t>2+</w:t>
            </w:r>
          </w:p>
        </w:tc>
        <w:tc>
          <w:tcPr>
            <w:tcW w:w="467" w:type="pct"/>
            <w:vAlign w:val="center"/>
          </w:tcPr>
          <w:p w14:paraId="3B9BD92D">
            <w:pPr>
              <w:widowControl/>
              <w:spacing w:before="0" w:beforeLines="0" w:line="240" w:lineRule="auto"/>
              <w:jc w:val="center"/>
              <w:rPr>
                <w:szCs w:val="21"/>
              </w:rPr>
            </w:pPr>
            <w:r>
              <w:rPr>
                <w:szCs w:val="21"/>
              </w:rPr>
              <w:t>3</w:t>
            </w:r>
          </w:p>
        </w:tc>
        <w:tc>
          <w:tcPr>
            <w:tcW w:w="721" w:type="pct"/>
            <w:vAlign w:val="center"/>
          </w:tcPr>
          <w:p w14:paraId="64E75A3A">
            <w:pPr>
              <w:widowControl/>
              <w:spacing w:before="0" w:beforeLines="0" w:line="240" w:lineRule="auto"/>
              <w:jc w:val="center"/>
              <w:rPr>
                <w:szCs w:val="21"/>
              </w:rPr>
            </w:pPr>
            <w:r>
              <w:rPr>
                <w:szCs w:val="21"/>
              </w:rPr>
              <w:t>10</w:t>
            </w:r>
          </w:p>
        </w:tc>
        <w:tc>
          <w:tcPr>
            <w:tcW w:w="917" w:type="pct"/>
            <w:vAlign w:val="center"/>
          </w:tcPr>
          <w:p w14:paraId="1A7D5CD5">
            <w:pPr>
              <w:widowControl/>
              <w:spacing w:before="0" w:beforeLines="0" w:line="240" w:lineRule="auto"/>
              <w:jc w:val="center"/>
              <w:rPr>
                <w:szCs w:val="21"/>
              </w:rPr>
            </w:pPr>
            <w:r>
              <w:rPr>
                <w:szCs w:val="21"/>
              </w:rPr>
              <w:t>17</w:t>
            </w:r>
          </w:p>
        </w:tc>
        <w:tc>
          <w:tcPr>
            <w:tcW w:w="635" w:type="pct"/>
            <w:vAlign w:val="center"/>
          </w:tcPr>
          <w:p w14:paraId="565F1139">
            <w:pPr>
              <w:widowControl/>
              <w:spacing w:before="0" w:beforeLines="0" w:line="240" w:lineRule="auto"/>
              <w:jc w:val="center"/>
              <w:rPr>
                <w:szCs w:val="21"/>
              </w:rPr>
            </w:pPr>
            <w:r>
              <w:rPr>
                <w:szCs w:val="21"/>
              </w:rPr>
              <w:t>24</w:t>
            </w:r>
          </w:p>
        </w:tc>
        <w:tc>
          <w:tcPr>
            <w:tcW w:w="436" w:type="pct"/>
            <w:vAlign w:val="center"/>
          </w:tcPr>
          <w:p w14:paraId="18249A3E">
            <w:pPr>
              <w:widowControl/>
              <w:spacing w:before="0" w:beforeLines="0" w:line="240" w:lineRule="auto"/>
              <w:jc w:val="center"/>
              <w:rPr>
                <w:szCs w:val="21"/>
              </w:rPr>
            </w:pPr>
            <w:r>
              <w:rPr>
                <w:szCs w:val="21"/>
              </w:rPr>
              <w:t>31</w:t>
            </w:r>
          </w:p>
        </w:tc>
        <w:tc>
          <w:tcPr>
            <w:tcW w:w="552" w:type="pct"/>
            <w:vAlign w:val="center"/>
          </w:tcPr>
          <w:p w14:paraId="4F3DEA87">
            <w:pPr>
              <w:widowControl/>
              <w:spacing w:before="0" w:beforeLines="0" w:line="240" w:lineRule="auto"/>
              <w:jc w:val="center"/>
              <w:rPr>
                <w:szCs w:val="21"/>
              </w:rPr>
            </w:pPr>
            <w:r>
              <w:rPr>
                <w:szCs w:val="21"/>
              </w:rPr>
              <w:t>38</w:t>
            </w:r>
          </w:p>
        </w:tc>
        <w:tc>
          <w:tcPr>
            <w:tcW w:w="309" w:type="pct"/>
            <w:vAlign w:val="center"/>
          </w:tcPr>
          <w:p w14:paraId="155B2B1E">
            <w:pPr>
              <w:widowControl/>
              <w:spacing w:before="0" w:beforeLines="0" w:line="240" w:lineRule="auto"/>
              <w:jc w:val="center"/>
              <w:rPr>
                <w:szCs w:val="21"/>
              </w:rPr>
            </w:pPr>
            <w:r>
              <w:rPr>
                <w:szCs w:val="21"/>
              </w:rPr>
              <w:t>45</w:t>
            </w:r>
          </w:p>
        </w:tc>
      </w:tr>
      <w:tr w14:paraId="1210133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962" w:type="pct"/>
            <w:vAlign w:val="center"/>
          </w:tcPr>
          <w:p w14:paraId="25200CCD">
            <w:pPr>
              <w:widowControl/>
              <w:spacing w:before="0" w:beforeLines="0" w:line="240" w:lineRule="auto"/>
              <w:jc w:val="center"/>
              <w:rPr>
                <w:szCs w:val="21"/>
              </w:rPr>
            </w:pPr>
            <w:r>
              <w:rPr>
                <w:szCs w:val="21"/>
              </w:rPr>
              <w:t>Na</w:t>
            </w:r>
            <w:r>
              <w:rPr>
                <w:szCs w:val="21"/>
                <w:vertAlign w:val="superscript"/>
              </w:rPr>
              <w:t>+</w:t>
            </w:r>
            <w:r>
              <w:rPr>
                <w:szCs w:val="21"/>
              </w:rPr>
              <w:t>+Ca</w:t>
            </w:r>
            <w:r>
              <w:rPr>
                <w:szCs w:val="21"/>
                <w:vertAlign w:val="superscript"/>
              </w:rPr>
              <w:t>2+</w:t>
            </w:r>
          </w:p>
        </w:tc>
        <w:tc>
          <w:tcPr>
            <w:tcW w:w="467" w:type="pct"/>
            <w:vAlign w:val="center"/>
          </w:tcPr>
          <w:p w14:paraId="5997D4C3">
            <w:pPr>
              <w:widowControl/>
              <w:spacing w:before="0" w:beforeLines="0" w:line="240" w:lineRule="auto"/>
              <w:jc w:val="center"/>
              <w:rPr>
                <w:szCs w:val="21"/>
              </w:rPr>
            </w:pPr>
            <w:r>
              <w:rPr>
                <w:szCs w:val="21"/>
              </w:rPr>
              <w:t>4</w:t>
            </w:r>
          </w:p>
        </w:tc>
        <w:tc>
          <w:tcPr>
            <w:tcW w:w="721" w:type="pct"/>
            <w:vAlign w:val="center"/>
          </w:tcPr>
          <w:p w14:paraId="30CA10D6">
            <w:pPr>
              <w:widowControl/>
              <w:spacing w:before="0" w:beforeLines="0" w:line="240" w:lineRule="auto"/>
              <w:jc w:val="center"/>
              <w:rPr>
                <w:szCs w:val="21"/>
              </w:rPr>
            </w:pPr>
            <w:r>
              <w:rPr>
                <w:szCs w:val="21"/>
              </w:rPr>
              <w:t>11</w:t>
            </w:r>
          </w:p>
        </w:tc>
        <w:tc>
          <w:tcPr>
            <w:tcW w:w="917" w:type="pct"/>
            <w:vAlign w:val="center"/>
          </w:tcPr>
          <w:p w14:paraId="52F4ACF8">
            <w:pPr>
              <w:spacing w:before="0" w:beforeLines="0" w:line="240" w:lineRule="auto"/>
              <w:jc w:val="center"/>
              <w:rPr>
                <w:szCs w:val="21"/>
              </w:rPr>
            </w:pPr>
            <w:r>
              <w:rPr>
                <w:szCs w:val="21"/>
              </w:rPr>
              <w:t>18</w:t>
            </w:r>
          </w:p>
        </w:tc>
        <w:tc>
          <w:tcPr>
            <w:tcW w:w="635" w:type="pct"/>
            <w:vAlign w:val="center"/>
          </w:tcPr>
          <w:p w14:paraId="0F9C8E06">
            <w:pPr>
              <w:widowControl/>
              <w:spacing w:before="0" w:beforeLines="0" w:line="240" w:lineRule="auto"/>
              <w:jc w:val="center"/>
              <w:rPr>
                <w:szCs w:val="21"/>
              </w:rPr>
            </w:pPr>
            <w:r>
              <w:rPr>
                <w:szCs w:val="21"/>
              </w:rPr>
              <w:t>25</w:t>
            </w:r>
          </w:p>
        </w:tc>
        <w:tc>
          <w:tcPr>
            <w:tcW w:w="436" w:type="pct"/>
            <w:vAlign w:val="center"/>
          </w:tcPr>
          <w:p w14:paraId="04012D30">
            <w:pPr>
              <w:widowControl/>
              <w:spacing w:before="0" w:beforeLines="0" w:line="240" w:lineRule="auto"/>
              <w:jc w:val="center"/>
              <w:rPr>
                <w:szCs w:val="21"/>
              </w:rPr>
            </w:pPr>
            <w:r>
              <w:rPr>
                <w:szCs w:val="21"/>
              </w:rPr>
              <w:t>32</w:t>
            </w:r>
          </w:p>
        </w:tc>
        <w:tc>
          <w:tcPr>
            <w:tcW w:w="552" w:type="pct"/>
            <w:vAlign w:val="center"/>
          </w:tcPr>
          <w:p w14:paraId="3C2F35F9">
            <w:pPr>
              <w:widowControl/>
              <w:spacing w:before="0" w:beforeLines="0" w:line="240" w:lineRule="auto"/>
              <w:jc w:val="center"/>
              <w:rPr>
                <w:szCs w:val="21"/>
              </w:rPr>
            </w:pPr>
            <w:r>
              <w:rPr>
                <w:szCs w:val="21"/>
              </w:rPr>
              <w:t>39</w:t>
            </w:r>
          </w:p>
        </w:tc>
        <w:tc>
          <w:tcPr>
            <w:tcW w:w="309" w:type="pct"/>
            <w:vAlign w:val="center"/>
          </w:tcPr>
          <w:p w14:paraId="7A365963">
            <w:pPr>
              <w:widowControl/>
              <w:spacing w:before="0" w:beforeLines="0" w:line="240" w:lineRule="auto"/>
              <w:jc w:val="center"/>
              <w:rPr>
                <w:szCs w:val="21"/>
              </w:rPr>
            </w:pPr>
            <w:r>
              <w:rPr>
                <w:szCs w:val="21"/>
              </w:rPr>
              <w:t>46</w:t>
            </w:r>
          </w:p>
        </w:tc>
      </w:tr>
      <w:tr w14:paraId="2D5B3E5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962" w:type="pct"/>
            <w:vAlign w:val="center"/>
          </w:tcPr>
          <w:p w14:paraId="0DBD0BC1">
            <w:pPr>
              <w:widowControl/>
              <w:spacing w:before="0" w:beforeLines="0" w:line="240" w:lineRule="auto"/>
              <w:jc w:val="center"/>
              <w:rPr>
                <w:szCs w:val="21"/>
              </w:rPr>
            </w:pPr>
            <w:r>
              <w:rPr>
                <w:szCs w:val="21"/>
              </w:rPr>
              <w:t>Na</w:t>
            </w:r>
            <w:r>
              <w:rPr>
                <w:szCs w:val="21"/>
                <w:vertAlign w:val="superscript"/>
              </w:rPr>
              <w:t>+</w:t>
            </w:r>
            <w:r>
              <w:rPr>
                <w:szCs w:val="21"/>
              </w:rPr>
              <w:t>+Ca</w:t>
            </w:r>
            <w:r>
              <w:rPr>
                <w:szCs w:val="21"/>
                <w:vertAlign w:val="superscript"/>
              </w:rPr>
              <w:t>2+</w:t>
            </w:r>
            <w:r>
              <w:rPr>
                <w:szCs w:val="21"/>
              </w:rPr>
              <w:t>+Mg</w:t>
            </w:r>
            <w:r>
              <w:rPr>
                <w:szCs w:val="21"/>
                <w:vertAlign w:val="superscript"/>
              </w:rPr>
              <w:t>2+</w:t>
            </w:r>
          </w:p>
        </w:tc>
        <w:tc>
          <w:tcPr>
            <w:tcW w:w="467" w:type="pct"/>
            <w:vAlign w:val="center"/>
          </w:tcPr>
          <w:p w14:paraId="2878B37F">
            <w:pPr>
              <w:widowControl/>
              <w:spacing w:before="0" w:beforeLines="0" w:line="240" w:lineRule="auto"/>
              <w:jc w:val="center"/>
              <w:rPr>
                <w:szCs w:val="21"/>
              </w:rPr>
            </w:pPr>
            <w:r>
              <w:rPr>
                <w:szCs w:val="21"/>
              </w:rPr>
              <w:t>5</w:t>
            </w:r>
          </w:p>
        </w:tc>
        <w:tc>
          <w:tcPr>
            <w:tcW w:w="721" w:type="pct"/>
            <w:vAlign w:val="center"/>
          </w:tcPr>
          <w:p w14:paraId="398AD472">
            <w:pPr>
              <w:widowControl/>
              <w:spacing w:before="0" w:beforeLines="0" w:line="240" w:lineRule="auto"/>
              <w:jc w:val="center"/>
              <w:rPr>
                <w:szCs w:val="21"/>
              </w:rPr>
            </w:pPr>
            <w:r>
              <w:rPr>
                <w:szCs w:val="21"/>
              </w:rPr>
              <w:t>12</w:t>
            </w:r>
          </w:p>
        </w:tc>
        <w:tc>
          <w:tcPr>
            <w:tcW w:w="917" w:type="pct"/>
            <w:vAlign w:val="center"/>
          </w:tcPr>
          <w:p w14:paraId="1E04F3EE">
            <w:pPr>
              <w:widowControl/>
              <w:spacing w:before="0" w:beforeLines="0" w:line="240" w:lineRule="auto"/>
              <w:jc w:val="center"/>
              <w:rPr>
                <w:szCs w:val="21"/>
              </w:rPr>
            </w:pPr>
            <w:r>
              <w:rPr>
                <w:szCs w:val="21"/>
              </w:rPr>
              <w:t>19</w:t>
            </w:r>
          </w:p>
        </w:tc>
        <w:tc>
          <w:tcPr>
            <w:tcW w:w="635" w:type="pct"/>
            <w:vAlign w:val="center"/>
          </w:tcPr>
          <w:p w14:paraId="3F0EB51F">
            <w:pPr>
              <w:widowControl/>
              <w:spacing w:before="0" w:beforeLines="0" w:line="240" w:lineRule="auto"/>
              <w:jc w:val="center"/>
              <w:rPr>
                <w:szCs w:val="21"/>
              </w:rPr>
            </w:pPr>
            <w:r>
              <w:rPr>
                <w:szCs w:val="21"/>
              </w:rPr>
              <w:t>26</w:t>
            </w:r>
          </w:p>
        </w:tc>
        <w:tc>
          <w:tcPr>
            <w:tcW w:w="436" w:type="pct"/>
            <w:vAlign w:val="center"/>
          </w:tcPr>
          <w:p w14:paraId="324740ED">
            <w:pPr>
              <w:widowControl/>
              <w:spacing w:before="0" w:beforeLines="0" w:line="240" w:lineRule="auto"/>
              <w:jc w:val="center"/>
              <w:rPr>
                <w:szCs w:val="21"/>
              </w:rPr>
            </w:pPr>
            <w:r>
              <w:rPr>
                <w:szCs w:val="21"/>
              </w:rPr>
              <w:t>33</w:t>
            </w:r>
          </w:p>
        </w:tc>
        <w:tc>
          <w:tcPr>
            <w:tcW w:w="552" w:type="pct"/>
            <w:vAlign w:val="center"/>
          </w:tcPr>
          <w:p w14:paraId="729295B1">
            <w:pPr>
              <w:widowControl/>
              <w:spacing w:before="0" w:beforeLines="0" w:line="240" w:lineRule="auto"/>
              <w:jc w:val="center"/>
              <w:rPr>
                <w:szCs w:val="21"/>
              </w:rPr>
            </w:pPr>
            <w:r>
              <w:rPr>
                <w:szCs w:val="21"/>
              </w:rPr>
              <w:t>40</w:t>
            </w:r>
          </w:p>
        </w:tc>
        <w:tc>
          <w:tcPr>
            <w:tcW w:w="309" w:type="pct"/>
            <w:vAlign w:val="center"/>
          </w:tcPr>
          <w:p w14:paraId="7C85A015">
            <w:pPr>
              <w:widowControl/>
              <w:spacing w:before="0" w:beforeLines="0" w:line="240" w:lineRule="auto"/>
              <w:jc w:val="center"/>
              <w:rPr>
                <w:szCs w:val="21"/>
              </w:rPr>
            </w:pPr>
            <w:r>
              <w:rPr>
                <w:szCs w:val="21"/>
              </w:rPr>
              <w:t>47</w:t>
            </w:r>
          </w:p>
        </w:tc>
      </w:tr>
      <w:tr w14:paraId="6890CBE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8" w:hRule="atLeast"/>
          <w:jc w:val="center"/>
        </w:trPr>
        <w:tc>
          <w:tcPr>
            <w:tcW w:w="962" w:type="pct"/>
            <w:vAlign w:val="center"/>
          </w:tcPr>
          <w:p w14:paraId="20735B0F">
            <w:pPr>
              <w:widowControl/>
              <w:spacing w:before="0" w:beforeLines="0" w:line="240" w:lineRule="auto"/>
              <w:jc w:val="center"/>
              <w:rPr>
                <w:szCs w:val="21"/>
              </w:rPr>
            </w:pPr>
            <w:r>
              <w:rPr>
                <w:szCs w:val="21"/>
              </w:rPr>
              <w:t>Na</w:t>
            </w:r>
            <w:r>
              <w:rPr>
                <w:szCs w:val="21"/>
                <w:vertAlign w:val="superscript"/>
              </w:rPr>
              <w:t>+</w:t>
            </w:r>
            <w:r>
              <w:rPr>
                <w:szCs w:val="21"/>
              </w:rPr>
              <w:t>+Mg</w:t>
            </w:r>
            <w:r>
              <w:rPr>
                <w:szCs w:val="21"/>
                <w:vertAlign w:val="superscript"/>
              </w:rPr>
              <w:t>2+</w:t>
            </w:r>
          </w:p>
        </w:tc>
        <w:tc>
          <w:tcPr>
            <w:tcW w:w="467" w:type="pct"/>
            <w:vAlign w:val="center"/>
          </w:tcPr>
          <w:p w14:paraId="047924EC">
            <w:pPr>
              <w:widowControl/>
              <w:spacing w:before="0" w:beforeLines="0" w:line="240" w:lineRule="auto"/>
              <w:jc w:val="center"/>
              <w:rPr>
                <w:szCs w:val="21"/>
              </w:rPr>
            </w:pPr>
            <w:r>
              <w:rPr>
                <w:szCs w:val="21"/>
              </w:rPr>
              <w:t>6</w:t>
            </w:r>
          </w:p>
        </w:tc>
        <w:tc>
          <w:tcPr>
            <w:tcW w:w="721" w:type="pct"/>
            <w:vAlign w:val="center"/>
          </w:tcPr>
          <w:p w14:paraId="368A1660">
            <w:pPr>
              <w:widowControl/>
              <w:spacing w:before="0" w:beforeLines="0" w:line="240" w:lineRule="auto"/>
              <w:jc w:val="center"/>
              <w:rPr>
                <w:szCs w:val="21"/>
              </w:rPr>
            </w:pPr>
            <w:r>
              <w:rPr>
                <w:szCs w:val="21"/>
              </w:rPr>
              <w:t>13</w:t>
            </w:r>
          </w:p>
        </w:tc>
        <w:tc>
          <w:tcPr>
            <w:tcW w:w="917" w:type="pct"/>
            <w:vAlign w:val="center"/>
          </w:tcPr>
          <w:p w14:paraId="6A8933E5">
            <w:pPr>
              <w:widowControl/>
              <w:spacing w:before="0" w:beforeLines="0" w:line="240" w:lineRule="auto"/>
              <w:jc w:val="center"/>
              <w:rPr>
                <w:szCs w:val="21"/>
              </w:rPr>
            </w:pPr>
            <w:r>
              <w:rPr>
                <w:szCs w:val="21"/>
              </w:rPr>
              <w:t>20</w:t>
            </w:r>
          </w:p>
        </w:tc>
        <w:tc>
          <w:tcPr>
            <w:tcW w:w="635" w:type="pct"/>
            <w:vAlign w:val="center"/>
          </w:tcPr>
          <w:p w14:paraId="2C98BBEC">
            <w:pPr>
              <w:widowControl/>
              <w:spacing w:before="0" w:beforeLines="0" w:line="240" w:lineRule="auto"/>
              <w:jc w:val="center"/>
              <w:rPr>
                <w:szCs w:val="21"/>
              </w:rPr>
            </w:pPr>
            <w:r>
              <w:rPr>
                <w:szCs w:val="21"/>
              </w:rPr>
              <w:t>27</w:t>
            </w:r>
          </w:p>
        </w:tc>
        <w:tc>
          <w:tcPr>
            <w:tcW w:w="436" w:type="pct"/>
            <w:vAlign w:val="center"/>
          </w:tcPr>
          <w:p w14:paraId="7A6E1D81">
            <w:pPr>
              <w:widowControl/>
              <w:spacing w:before="0" w:beforeLines="0" w:line="240" w:lineRule="auto"/>
              <w:jc w:val="center"/>
              <w:rPr>
                <w:szCs w:val="21"/>
              </w:rPr>
            </w:pPr>
            <w:r>
              <w:rPr>
                <w:szCs w:val="21"/>
              </w:rPr>
              <w:t>34</w:t>
            </w:r>
          </w:p>
        </w:tc>
        <w:tc>
          <w:tcPr>
            <w:tcW w:w="552" w:type="pct"/>
            <w:vAlign w:val="center"/>
          </w:tcPr>
          <w:p w14:paraId="6D6ED6B8">
            <w:pPr>
              <w:widowControl/>
              <w:spacing w:before="0" w:beforeLines="0" w:line="240" w:lineRule="auto"/>
              <w:jc w:val="center"/>
              <w:rPr>
                <w:szCs w:val="21"/>
              </w:rPr>
            </w:pPr>
            <w:r>
              <w:rPr>
                <w:szCs w:val="21"/>
              </w:rPr>
              <w:t>41</w:t>
            </w:r>
          </w:p>
        </w:tc>
        <w:tc>
          <w:tcPr>
            <w:tcW w:w="309" w:type="pct"/>
            <w:vAlign w:val="center"/>
          </w:tcPr>
          <w:p w14:paraId="50305099">
            <w:pPr>
              <w:widowControl/>
              <w:spacing w:before="0" w:beforeLines="0" w:line="240" w:lineRule="auto"/>
              <w:jc w:val="center"/>
              <w:rPr>
                <w:szCs w:val="21"/>
              </w:rPr>
            </w:pPr>
            <w:r>
              <w:rPr>
                <w:szCs w:val="21"/>
              </w:rPr>
              <w:t>48</w:t>
            </w:r>
          </w:p>
        </w:tc>
      </w:tr>
      <w:tr w14:paraId="092AAED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962" w:type="pct"/>
            <w:vAlign w:val="center"/>
          </w:tcPr>
          <w:p w14:paraId="15EA6FD3">
            <w:pPr>
              <w:widowControl/>
              <w:spacing w:before="0" w:beforeLines="0" w:line="240" w:lineRule="auto"/>
              <w:jc w:val="center"/>
              <w:rPr>
                <w:szCs w:val="21"/>
              </w:rPr>
            </w:pPr>
            <w:r>
              <w:rPr>
                <w:szCs w:val="21"/>
              </w:rPr>
              <w:t>Na</w:t>
            </w:r>
            <w:r>
              <w:rPr>
                <w:szCs w:val="21"/>
                <w:vertAlign w:val="superscript"/>
              </w:rPr>
              <w:t>+</w:t>
            </w:r>
          </w:p>
        </w:tc>
        <w:tc>
          <w:tcPr>
            <w:tcW w:w="467" w:type="pct"/>
            <w:vAlign w:val="center"/>
          </w:tcPr>
          <w:p w14:paraId="5DD0B982">
            <w:pPr>
              <w:widowControl/>
              <w:spacing w:before="0" w:beforeLines="0" w:line="240" w:lineRule="auto"/>
              <w:jc w:val="center"/>
              <w:rPr>
                <w:szCs w:val="21"/>
              </w:rPr>
            </w:pPr>
            <w:r>
              <w:rPr>
                <w:szCs w:val="21"/>
              </w:rPr>
              <w:t>7</w:t>
            </w:r>
          </w:p>
        </w:tc>
        <w:tc>
          <w:tcPr>
            <w:tcW w:w="721" w:type="pct"/>
            <w:vAlign w:val="center"/>
          </w:tcPr>
          <w:p w14:paraId="2B69917C">
            <w:pPr>
              <w:widowControl/>
              <w:spacing w:before="0" w:beforeLines="0" w:line="240" w:lineRule="auto"/>
              <w:jc w:val="center"/>
              <w:rPr>
                <w:szCs w:val="21"/>
              </w:rPr>
            </w:pPr>
            <w:r>
              <w:rPr>
                <w:szCs w:val="21"/>
              </w:rPr>
              <w:t>14</w:t>
            </w:r>
          </w:p>
        </w:tc>
        <w:tc>
          <w:tcPr>
            <w:tcW w:w="917" w:type="pct"/>
            <w:vAlign w:val="center"/>
          </w:tcPr>
          <w:p w14:paraId="0BFF130C">
            <w:pPr>
              <w:widowControl/>
              <w:spacing w:before="0" w:beforeLines="0" w:line="240" w:lineRule="auto"/>
              <w:jc w:val="center"/>
              <w:rPr>
                <w:szCs w:val="21"/>
              </w:rPr>
            </w:pPr>
            <w:r>
              <w:rPr>
                <w:szCs w:val="21"/>
              </w:rPr>
              <w:t>21</w:t>
            </w:r>
          </w:p>
        </w:tc>
        <w:tc>
          <w:tcPr>
            <w:tcW w:w="635" w:type="pct"/>
            <w:vAlign w:val="center"/>
          </w:tcPr>
          <w:p w14:paraId="538A7465">
            <w:pPr>
              <w:widowControl/>
              <w:spacing w:before="0" w:beforeLines="0" w:line="240" w:lineRule="auto"/>
              <w:jc w:val="center"/>
              <w:rPr>
                <w:szCs w:val="21"/>
              </w:rPr>
            </w:pPr>
            <w:r>
              <w:rPr>
                <w:szCs w:val="21"/>
              </w:rPr>
              <w:t>28</w:t>
            </w:r>
          </w:p>
        </w:tc>
        <w:tc>
          <w:tcPr>
            <w:tcW w:w="436" w:type="pct"/>
            <w:vAlign w:val="center"/>
          </w:tcPr>
          <w:p w14:paraId="01A03A03">
            <w:pPr>
              <w:widowControl/>
              <w:spacing w:before="0" w:beforeLines="0" w:line="240" w:lineRule="auto"/>
              <w:jc w:val="center"/>
              <w:rPr>
                <w:szCs w:val="21"/>
              </w:rPr>
            </w:pPr>
            <w:r>
              <w:rPr>
                <w:szCs w:val="21"/>
              </w:rPr>
              <w:t>35</w:t>
            </w:r>
          </w:p>
        </w:tc>
        <w:tc>
          <w:tcPr>
            <w:tcW w:w="552" w:type="pct"/>
            <w:vAlign w:val="center"/>
          </w:tcPr>
          <w:p w14:paraId="7ADE271B">
            <w:pPr>
              <w:widowControl/>
              <w:spacing w:before="0" w:beforeLines="0" w:line="240" w:lineRule="auto"/>
              <w:jc w:val="center"/>
              <w:rPr>
                <w:szCs w:val="21"/>
              </w:rPr>
            </w:pPr>
            <w:r>
              <w:rPr>
                <w:szCs w:val="21"/>
              </w:rPr>
              <w:t>42</w:t>
            </w:r>
          </w:p>
        </w:tc>
        <w:tc>
          <w:tcPr>
            <w:tcW w:w="309" w:type="pct"/>
            <w:vAlign w:val="center"/>
          </w:tcPr>
          <w:p w14:paraId="378F227C">
            <w:pPr>
              <w:widowControl/>
              <w:spacing w:before="0" w:beforeLines="0" w:line="240" w:lineRule="auto"/>
              <w:jc w:val="center"/>
              <w:rPr>
                <w:szCs w:val="21"/>
              </w:rPr>
            </w:pPr>
            <w:r>
              <w:rPr>
                <w:szCs w:val="21"/>
              </w:rPr>
              <w:t>49</w:t>
            </w:r>
          </w:p>
        </w:tc>
      </w:tr>
    </w:tbl>
    <w:p w14:paraId="0760EC28">
      <w:pPr>
        <w:widowControl/>
        <w:adjustRightInd w:val="0"/>
        <w:spacing w:before="0" w:beforeLines="0" w:line="360" w:lineRule="auto"/>
        <w:ind w:firstLine="480" w:firstLineChars="200"/>
        <w:rPr>
          <w:sz w:val="24"/>
        </w:rPr>
      </w:pPr>
      <w:r>
        <w:rPr>
          <w:sz w:val="24"/>
        </w:rPr>
        <w:t>按矿化度又分为4组：A组矿化度&lt;1.5g/L，B组1.5-10g/L，C组10-40g/L，D组&gt;40g/L。命名时在数字与字母间加连接号，如1-A型：指的是M&lt;1.5g/L，阴离子只有HCO</w:t>
      </w:r>
      <w:r>
        <w:rPr>
          <w:sz w:val="24"/>
          <w:vertAlign w:val="subscript"/>
        </w:rPr>
        <w:t>3</w:t>
      </w:r>
      <w:r>
        <w:rPr>
          <w:sz w:val="24"/>
        </w:rPr>
        <w:t>&gt;25％Meq，阳离子只有Ca大于25%Meq。</w:t>
      </w:r>
    </w:p>
    <w:p w14:paraId="2C507979">
      <w:pPr>
        <w:spacing w:before="0" w:beforeLines="0" w:line="360" w:lineRule="auto"/>
        <w:ind w:firstLine="480" w:firstLineChars="200"/>
        <w:rPr>
          <w:rFonts w:hint="eastAsia" w:ascii="宋体" w:hAnsi="宋体"/>
          <w:sz w:val="24"/>
        </w:rPr>
      </w:pPr>
      <w:r>
        <w:rPr>
          <w:sz w:val="24"/>
        </w:rPr>
        <w:t>通过区域内潜水八大离子监测结果可知，本项目所在区域地下水化学类型为</w:t>
      </w:r>
      <w:r>
        <w:rPr>
          <w:rFonts w:hint="eastAsia"/>
          <w:sz w:val="24"/>
        </w:rPr>
        <w:t>1</w:t>
      </w:r>
      <w:r>
        <w:rPr>
          <w:sz w:val="24"/>
        </w:rPr>
        <w:t>-A型</w:t>
      </w:r>
      <w:r>
        <w:rPr>
          <w:rFonts w:hint="eastAsia"/>
          <w:sz w:val="24"/>
        </w:rPr>
        <w:t>（</w:t>
      </w:r>
      <w:r>
        <w:rPr>
          <w:sz w:val="24"/>
        </w:rPr>
        <w:t>HCO</w:t>
      </w:r>
      <w:r>
        <w:rPr>
          <w:sz w:val="24"/>
          <w:vertAlign w:val="subscript"/>
        </w:rPr>
        <w:t>3</w:t>
      </w:r>
      <w:r>
        <w:rPr>
          <w:sz w:val="24"/>
          <w:vertAlign w:val="superscript"/>
        </w:rPr>
        <w:t>-</w:t>
      </w:r>
      <w:r>
        <w:rPr>
          <w:rFonts w:hint="eastAsia"/>
          <w:sz w:val="24"/>
        </w:rPr>
        <w:t>-</w:t>
      </w:r>
      <w:r>
        <w:rPr>
          <w:sz w:val="24"/>
        </w:rPr>
        <w:t>Ca</w:t>
      </w:r>
      <w:r>
        <w:rPr>
          <w:sz w:val="24"/>
          <w:vertAlign w:val="superscript"/>
        </w:rPr>
        <w:t>2+</w:t>
      </w:r>
      <w:r>
        <w:rPr>
          <w:rFonts w:hint="eastAsia"/>
          <w:sz w:val="24"/>
        </w:rPr>
        <w:t>）及2</w:t>
      </w:r>
      <w:r>
        <w:rPr>
          <w:sz w:val="24"/>
        </w:rPr>
        <w:t>-A型</w:t>
      </w:r>
      <w:r>
        <w:rPr>
          <w:rFonts w:hint="eastAsia"/>
          <w:sz w:val="24"/>
        </w:rPr>
        <w:t>（</w:t>
      </w:r>
      <w:r>
        <w:rPr>
          <w:sz w:val="24"/>
        </w:rPr>
        <w:t>HCO</w:t>
      </w:r>
      <w:r>
        <w:rPr>
          <w:sz w:val="24"/>
          <w:vertAlign w:val="subscript"/>
        </w:rPr>
        <w:t>3</w:t>
      </w:r>
      <w:r>
        <w:rPr>
          <w:sz w:val="24"/>
          <w:vertAlign w:val="superscript"/>
        </w:rPr>
        <w:t>-</w:t>
      </w:r>
      <w:r>
        <w:rPr>
          <w:rFonts w:hint="eastAsia"/>
          <w:sz w:val="24"/>
        </w:rPr>
        <w:t>-</w:t>
      </w:r>
      <w:r>
        <w:rPr>
          <w:sz w:val="24"/>
        </w:rPr>
        <w:t>Ca</w:t>
      </w:r>
      <w:r>
        <w:rPr>
          <w:sz w:val="24"/>
          <w:vertAlign w:val="superscript"/>
        </w:rPr>
        <w:t>2+</w:t>
      </w:r>
      <w:r>
        <w:rPr>
          <w:sz w:val="24"/>
        </w:rPr>
        <w:t>+Mg</w:t>
      </w:r>
      <w:r>
        <w:rPr>
          <w:sz w:val="24"/>
          <w:vertAlign w:val="superscript"/>
        </w:rPr>
        <w:t>2+</w:t>
      </w:r>
      <w:r>
        <w:rPr>
          <w:rFonts w:hint="eastAsia"/>
          <w:sz w:val="24"/>
        </w:rPr>
        <w:t>）</w:t>
      </w:r>
      <w:r>
        <w:rPr>
          <w:sz w:val="24"/>
        </w:rPr>
        <w:t>淡水，地下水总矿化度小于1g/L，属于淡水，地下水矿化度较</w:t>
      </w:r>
      <w:r>
        <w:rPr>
          <w:rFonts w:hint="eastAsia"/>
          <w:sz w:val="24"/>
        </w:rPr>
        <w:t>大</w:t>
      </w:r>
      <w:r>
        <w:rPr>
          <w:sz w:val="24"/>
        </w:rPr>
        <w:t>。</w:t>
      </w:r>
    </w:p>
    <w:p w14:paraId="2650E09D">
      <w:pPr>
        <w:spacing w:before="0" w:beforeLines="0" w:line="360" w:lineRule="auto"/>
        <w:ind w:firstLine="480" w:firstLineChars="200"/>
        <w:rPr>
          <w:sz w:val="24"/>
        </w:rPr>
      </w:pPr>
      <w:r>
        <w:rPr>
          <w:rFonts w:hint="eastAsia"/>
          <w:sz w:val="24"/>
        </w:rPr>
        <w:t>就现有资料分析，大部分地段的矿化动态并不大，但由于含水层深浅部位不同，外界影响因素的影响程度不等，矿化度的动态变化亦有差异。总的规律是：浅层水矿化度高于深层水。雨季到来后，降雨量增加，蒸发量减小，浅层水矿化度下降。春秋季节降雨量减少，蒸发量加大，矿化度逐渐升高。但总体年变化幅度不大。</w:t>
      </w:r>
    </w:p>
    <w:p w14:paraId="07C5AFB8">
      <w:pPr>
        <w:pStyle w:val="5"/>
        <w:spacing w:line="416" w:lineRule="auto"/>
        <w:rPr>
          <w:color w:val="auto"/>
        </w:rPr>
      </w:pPr>
      <w:bookmarkStart w:id="174" w:name="_Toc18457"/>
      <w:r>
        <w:rPr>
          <w:color w:val="auto"/>
        </w:rPr>
        <w:t>4.1.7</w:t>
      </w:r>
      <w:r>
        <w:rPr>
          <w:rFonts w:hint="eastAsia"/>
          <w:color w:val="auto"/>
        </w:rPr>
        <w:t>区域地下水开发利用现状及规划</w:t>
      </w:r>
      <w:bookmarkEnd w:id="174"/>
    </w:p>
    <w:p w14:paraId="45F2E0AA">
      <w:pPr>
        <w:spacing w:before="0" w:beforeLines="0" w:line="360" w:lineRule="auto"/>
        <w:ind w:firstLine="480" w:firstLineChars="200"/>
        <w:rPr>
          <w:sz w:val="24"/>
        </w:rPr>
      </w:pPr>
      <w:r>
        <w:rPr>
          <w:rFonts w:hint="eastAsia"/>
          <w:sz w:val="24"/>
        </w:rPr>
        <w:t>周边村庄采取地下水作为灌溉用水及生活用水，部分地区以产生地下水水面下降趋势。</w:t>
      </w:r>
    </w:p>
    <w:p w14:paraId="11A1A3CA">
      <w:pPr>
        <w:spacing w:before="0" w:beforeLines="0" w:line="360" w:lineRule="auto"/>
        <w:ind w:firstLine="480" w:firstLineChars="200"/>
        <w:rPr>
          <w:sz w:val="24"/>
        </w:rPr>
      </w:pPr>
      <w:r>
        <w:rPr>
          <w:rFonts w:hint="eastAsia"/>
          <w:sz w:val="24"/>
        </w:rPr>
        <w:t>区域地下水主要以农业及生活用水为主，占全部使用地下水的80%以上。</w:t>
      </w:r>
    </w:p>
    <w:p w14:paraId="0115418C">
      <w:pPr>
        <w:spacing w:before="0" w:beforeLines="0" w:line="360" w:lineRule="auto"/>
        <w:ind w:firstLine="480" w:firstLineChars="200"/>
        <w:rPr>
          <w:sz w:val="24"/>
        </w:rPr>
      </w:pPr>
      <w:r>
        <w:rPr>
          <w:rFonts w:hint="eastAsia"/>
          <w:sz w:val="24"/>
        </w:rPr>
        <w:t>下游村民部分使用地下水作为饮用水，水井主要位于居民自家院内，均为分散式水源。区域无大型地下水开采规划。</w:t>
      </w:r>
    </w:p>
    <w:p w14:paraId="27803E13">
      <w:pPr>
        <w:pStyle w:val="5"/>
        <w:spacing w:line="416" w:lineRule="auto"/>
        <w:rPr>
          <w:color w:val="auto"/>
        </w:rPr>
      </w:pPr>
      <w:bookmarkStart w:id="175" w:name="_Toc32554"/>
      <w:r>
        <w:rPr>
          <w:color w:val="auto"/>
        </w:rPr>
        <w:t>4.1.8</w:t>
      </w:r>
      <w:r>
        <w:rPr>
          <w:rFonts w:hint="eastAsia"/>
          <w:color w:val="auto"/>
        </w:rPr>
        <w:t>区域地下水污染源调查</w:t>
      </w:r>
      <w:bookmarkEnd w:id="175"/>
    </w:p>
    <w:p w14:paraId="7DDA2ACD">
      <w:pPr>
        <w:spacing w:before="0" w:beforeLines="0" w:line="360" w:lineRule="auto"/>
        <w:ind w:firstLine="480" w:firstLineChars="200"/>
        <w:rPr>
          <w:sz w:val="24"/>
        </w:rPr>
      </w:pPr>
      <w:r>
        <w:rPr>
          <w:rFonts w:hint="eastAsia"/>
          <w:sz w:val="24"/>
        </w:rPr>
        <w:t>地下水污染源主要包括工业污染源、生活污染源和农业污染源。对调查区内的工业污染源，按原国家环保总局《工业污染源调查技术要求及其建档技术规定》的要求进行调查，最终调查结果如下：</w:t>
      </w:r>
    </w:p>
    <w:p w14:paraId="35A90641">
      <w:pPr>
        <w:spacing w:before="0" w:beforeLines="0" w:line="360" w:lineRule="auto"/>
        <w:ind w:firstLine="480" w:firstLineChars="200"/>
        <w:rPr>
          <w:sz w:val="24"/>
        </w:rPr>
      </w:pPr>
      <w:r>
        <w:rPr>
          <w:rFonts w:hint="eastAsia"/>
          <w:sz w:val="24"/>
        </w:rPr>
        <w:t>（1）工业污染源调查</w:t>
      </w:r>
    </w:p>
    <w:p w14:paraId="3061AC94">
      <w:pPr>
        <w:spacing w:before="0" w:beforeLines="0" w:line="360" w:lineRule="auto"/>
        <w:ind w:firstLine="480" w:firstLineChars="200"/>
        <w:rPr>
          <w:sz w:val="24"/>
        </w:rPr>
      </w:pPr>
      <w:r>
        <w:rPr>
          <w:rFonts w:hint="eastAsia"/>
          <w:sz w:val="24"/>
        </w:rPr>
        <w:t>本项目周边无大型工业园区，主要为矿山开采区域，造成地下水环境污染主要是重金属污染。</w:t>
      </w:r>
    </w:p>
    <w:p w14:paraId="2E266FC0">
      <w:pPr>
        <w:spacing w:before="0" w:beforeLines="0" w:line="360" w:lineRule="auto"/>
        <w:ind w:firstLine="480" w:firstLineChars="200"/>
        <w:rPr>
          <w:sz w:val="24"/>
        </w:rPr>
      </w:pPr>
      <w:r>
        <w:rPr>
          <w:rFonts w:hint="eastAsia"/>
          <w:sz w:val="24"/>
        </w:rPr>
        <w:t>（2）农业污染源调查</w:t>
      </w:r>
    </w:p>
    <w:p w14:paraId="1399E541">
      <w:pPr>
        <w:spacing w:before="0" w:beforeLines="0" w:line="360" w:lineRule="auto"/>
        <w:ind w:firstLine="480" w:firstLineChars="200"/>
        <w:rPr>
          <w:sz w:val="24"/>
        </w:rPr>
      </w:pPr>
      <w:r>
        <w:rPr>
          <w:rFonts w:hint="eastAsia"/>
          <w:sz w:val="24"/>
        </w:rPr>
        <w:t>根据调查结果可知，调查区范围内的农业污染源主要为化肥的使用，如铵肥、磷肥和尿素等。调查区范围有部分耕地，化肥和农药的施用可能会对地下水造成污染。</w:t>
      </w:r>
    </w:p>
    <w:p w14:paraId="11FCB38D">
      <w:pPr>
        <w:spacing w:before="0" w:beforeLines="0" w:line="360" w:lineRule="auto"/>
        <w:ind w:firstLine="480" w:firstLineChars="200"/>
        <w:rPr>
          <w:sz w:val="24"/>
        </w:rPr>
      </w:pPr>
      <w:r>
        <w:rPr>
          <w:rFonts w:hint="eastAsia"/>
          <w:sz w:val="24"/>
        </w:rPr>
        <w:t>（3）生活污染源</w:t>
      </w:r>
    </w:p>
    <w:p w14:paraId="2680DFE5">
      <w:pPr>
        <w:spacing w:before="0" w:beforeLines="0" w:line="360" w:lineRule="auto"/>
        <w:ind w:firstLine="480" w:firstLineChars="200"/>
        <w:rPr>
          <w:sz w:val="24"/>
        </w:rPr>
      </w:pPr>
      <w:r>
        <w:rPr>
          <w:rFonts w:hint="eastAsia"/>
          <w:sz w:val="24"/>
        </w:rPr>
        <w:t>根据调查结果可知，评价区内零散地分布着一些村落，村落居民生活垃圾的堆放、生活污水的排放以及厕所粪便淋滤渗漏皆对地下水造成污染。</w:t>
      </w:r>
    </w:p>
    <w:p w14:paraId="391A2C75">
      <w:pPr>
        <w:pStyle w:val="5"/>
        <w:spacing w:line="416" w:lineRule="auto"/>
        <w:rPr>
          <w:color w:val="auto"/>
        </w:rPr>
      </w:pPr>
      <w:bookmarkStart w:id="176" w:name="_Toc27354"/>
      <w:r>
        <w:rPr>
          <w:color w:val="auto"/>
        </w:rPr>
        <w:t>4.1.9</w:t>
      </w:r>
      <w:r>
        <w:rPr>
          <w:rFonts w:hint="eastAsia"/>
          <w:color w:val="auto"/>
        </w:rPr>
        <w:t>厂区水文地质条件</w:t>
      </w:r>
      <w:bookmarkEnd w:id="176"/>
    </w:p>
    <w:p w14:paraId="3C285D4B">
      <w:pPr>
        <w:spacing w:before="0" w:beforeLines="0" w:line="360" w:lineRule="auto"/>
        <w:rPr>
          <w:b/>
          <w:bCs/>
          <w:sz w:val="24"/>
        </w:rPr>
      </w:pPr>
      <w:bookmarkStart w:id="177" w:name="_Toc24718"/>
      <w:r>
        <w:rPr>
          <w:b/>
          <w:bCs/>
          <w:sz w:val="24"/>
        </w:rPr>
        <w:t>4.1.9</w:t>
      </w:r>
      <w:r>
        <w:rPr>
          <w:rFonts w:hint="eastAsia"/>
          <w:b/>
          <w:bCs/>
          <w:sz w:val="24"/>
        </w:rPr>
        <w:t>.1水文地质条件</w:t>
      </w:r>
      <w:bookmarkEnd w:id="177"/>
    </w:p>
    <w:p w14:paraId="738FE973">
      <w:pPr>
        <w:spacing w:before="0" w:beforeLines="0" w:line="360" w:lineRule="auto"/>
        <w:ind w:firstLine="480" w:firstLineChars="200"/>
        <w:rPr>
          <w:sz w:val="24"/>
        </w:rPr>
      </w:pPr>
      <w:r>
        <w:rPr>
          <w:sz w:val="24"/>
        </w:rPr>
        <w:t>按照地下水赋存条件，</w:t>
      </w:r>
      <w:r>
        <w:rPr>
          <w:rFonts w:hint="eastAsia"/>
          <w:sz w:val="24"/>
        </w:rPr>
        <w:t>项目所在地</w:t>
      </w:r>
      <w:r>
        <w:rPr>
          <w:sz w:val="24"/>
        </w:rPr>
        <w:t>地下水类型主要为碎屑岩类裂隙孔隙水</w:t>
      </w:r>
      <w:r>
        <w:rPr>
          <w:rFonts w:hint="eastAsia"/>
          <w:sz w:val="24"/>
        </w:rPr>
        <w:t>和</w:t>
      </w:r>
      <w:r>
        <w:rPr>
          <w:sz w:val="24"/>
        </w:rPr>
        <w:t>基岩裂隙水</w:t>
      </w:r>
      <w:r>
        <w:rPr>
          <w:rFonts w:hint="eastAsia"/>
          <w:sz w:val="24"/>
        </w:rPr>
        <w:t>两</w:t>
      </w:r>
      <w:r>
        <w:rPr>
          <w:sz w:val="24"/>
        </w:rPr>
        <w:t>类。项目建设区以基岩裂隙水为主。</w:t>
      </w:r>
    </w:p>
    <w:p w14:paraId="72FBCD7F">
      <w:pPr>
        <w:spacing w:before="0" w:beforeLines="0" w:line="360" w:lineRule="auto"/>
        <w:ind w:firstLine="480" w:firstLineChars="200"/>
        <w:rPr>
          <w:sz w:val="24"/>
        </w:rPr>
      </w:pPr>
      <w:r>
        <w:rPr>
          <w:sz w:val="24"/>
        </w:rPr>
        <w:t>（</w:t>
      </w:r>
      <w:r>
        <w:rPr>
          <w:rFonts w:hint="eastAsia"/>
          <w:sz w:val="24"/>
        </w:rPr>
        <w:t>1</w:t>
      </w:r>
      <w:r>
        <w:rPr>
          <w:sz w:val="24"/>
        </w:rPr>
        <w:t>）碎屑岩类裂隙孔隙水</w:t>
      </w:r>
    </w:p>
    <w:p w14:paraId="4107708E">
      <w:pPr>
        <w:spacing w:before="0" w:beforeLines="0" w:line="360" w:lineRule="auto"/>
        <w:ind w:firstLine="480" w:firstLineChars="200"/>
        <w:rPr>
          <w:sz w:val="24"/>
        </w:rPr>
      </w:pPr>
      <w:r>
        <w:rPr>
          <w:rFonts w:hint="eastAsia"/>
          <w:sz w:val="24"/>
        </w:rPr>
        <w:t>主要分布在厂区北侧及西侧</w:t>
      </w:r>
      <w:r>
        <w:rPr>
          <w:sz w:val="24"/>
        </w:rPr>
        <w:t>。地下水含水层</w:t>
      </w:r>
      <w:r>
        <w:rPr>
          <w:rFonts w:hint="eastAsia"/>
          <w:sz w:val="24"/>
        </w:rPr>
        <w:t>岩性以中砂及砂砾为主，</w:t>
      </w:r>
      <w:r>
        <w:rPr>
          <w:sz w:val="24"/>
        </w:rPr>
        <w:t>富水性</w:t>
      </w:r>
      <w:r>
        <w:rPr>
          <w:rFonts w:hint="eastAsia"/>
          <w:sz w:val="24"/>
        </w:rPr>
        <w:t>弱</w:t>
      </w:r>
      <w:r>
        <w:rPr>
          <w:sz w:val="24"/>
        </w:rPr>
        <w:t>。</w:t>
      </w:r>
      <w:r>
        <w:rPr>
          <w:rFonts w:hint="eastAsia"/>
          <w:sz w:val="24"/>
        </w:rPr>
        <w:t>地下水埋深5-20m，水量20-80m</w:t>
      </w:r>
      <w:r>
        <w:rPr>
          <w:rFonts w:hint="eastAsia"/>
          <w:sz w:val="24"/>
          <w:vertAlign w:val="superscript"/>
        </w:rPr>
        <w:t>3</w:t>
      </w:r>
      <w:r>
        <w:rPr>
          <w:rFonts w:hint="eastAsia"/>
          <w:sz w:val="24"/>
        </w:rPr>
        <w:t>/d。水质较好，为低矿化度重</w:t>
      </w:r>
      <w:r>
        <w:rPr>
          <w:rFonts w:hint="eastAsia"/>
          <w:sz w:val="24"/>
          <w:lang w:eastAsia="zh-CN"/>
        </w:rPr>
        <w:t>碳酸钙</w:t>
      </w:r>
      <w:r>
        <w:rPr>
          <w:rFonts w:hint="eastAsia"/>
          <w:sz w:val="24"/>
        </w:rPr>
        <w:t>、镁型水。</w:t>
      </w:r>
    </w:p>
    <w:p w14:paraId="5575D552">
      <w:pPr>
        <w:spacing w:before="0" w:beforeLines="0" w:line="360" w:lineRule="auto"/>
        <w:ind w:firstLine="480" w:firstLineChars="200"/>
        <w:rPr>
          <w:sz w:val="24"/>
        </w:rPr>
      </w:pPr>
      <w:r>
        <w:rPr>
          <w:sz w:val="24"/>
        </w:rPr>
        <w:t>（</w:t>
      </w:r>
      <w:r>
        <w:rPr>
          <w:rFonts w:hint="eastAsia"/>
          <w:sz w:val="24"/>
        </w:rPr>
        <w:t>2</w:t>
      </w:r>
      <w:r>
        <w:rPr>
          <w:sz w:val="24"/>
        </w:rPr>
        <w:t>）基岩裂隙水</w:t>
      </w:r>
    </w:p>
    <w:p w14:paraId="24858D8C">
      <w:pPr>
        <w:spacing w:before="0" w:beforeLines="0" w:line="360" w:lineRule="auto"/>
        <w:ind w:firstLine="480" w:firstLineChars="200"/>
        <w:rPr>
          <w:sz w:val="24"/>
        </w:rPr>
      </w:pPr>
      <w:r>
        <w:rPr>
          <w:rFonts w:hint="eastAsia"/>
          <w:sz w:val="24"/>
          <w:szCs w:val="28"/>
        </w:rPr>
        <w:t>中低山花岗岩裂隙潜水。主要分布在项目所在地大部分区域，含水层岩性为黑云角闪斜长片麻岩、混合质黑云斜长片麻岩、长英片麻岩、混合角闪斜长片麻岩、角闪片麻岩，</w:t>
      </w:r>
      <w:r>
        <w:rPr>
          <w:snapToGrid w:val="0"/>
          <w:kern w:val="0"/>
          <w:sz w:val="24"/>
          <w:szCs w:val="28"/>
        </w:rPr>
        <w:t>表层岩石风化强烈，节理裂隙较发育，但多为泥质充填</w:t>
      </w:r>
      <w:r>
        <w:rPr>
          <w:rFonts w:hint="eastAsia" w:eastAsia="仿宋_GB2312"/>
          <w:snapToGrid w:val="0"/>
          <w:kern w:val="0"/>
          <w:sz w:val="24"/>
          <w:szCs w:val="28"/>
        </w:rPr>
        <w:t>。</w:t>
      </w:r>
      <w:r>
        <w:rPr>
          <w:rFonts w:hint="eastAsia"/>
          <w:sz w:val="24"/>
          <w:szCs w:val="28"/>
        </w:rPr>
        <w:t>地下水埋深10-40m，含水层厚度20-50m,富水量弱，水量10-40m</w:t>
      </w:r>
      <w:r>
        <w:rPr>
          <w:rFonts w:hint="eastAsia"/>
          <w:sz w:val="24"/>
          <w:szCs w:val="28"/>
          <w:vertAlign w:val="superscript"/>
        </w:rPr>
        <w:t>3</w:t>
      </w:r>
      <w:r>
        <w:rPr>
          <w:rFonts w:hint="eastAsia"/>
          <w:sz w:val="24"/>
          <w:szCs w:val="28"/>
        </w:rPr>
        <w:t>/d。水质较好，为低矿化度重</w:t>
      </w:r>
      <w:r>
        <w:rPr>
          <w:rFonts w:hint="eastAsia"/>
          <w:sz w:val="24"/>
          <w:szCs w:val="28"/>
          <w:lang w:eastAsia="zh-CN"/>
        </w:rPr>
        <w:t>碳酸钙</w:t>
      </w:r>
      <w:r>
        <w:rPr>
          <w:rFonts w:hint="eastAsia"/>
          <w:sz w:val="24"/>
          <w:szCs w:val="28"/>
        </w:rPr>
        <w:t>型水。</w:t>
      </w:r>
    </w:p>
    <w:p w14:paraId="3293F6C6">
      <w:pPr>
        <w:spacing w:before="0" w:beforeLines="0" w:line="360" w:lineRule="auto"/>
        <w:ind w:firstLine="480" w:firstLineChars="200"/>
        <w:rPr>
          <w:sz w:val="24"/>
        </w:rPr>
      </w:pPr>
      <w:r>
        <w:rPr>
          <w:rFonts w:hint="eastAsia"/>
          <w:sz w:val="24"/>
        </w:rPr>
        <w:t>从区域构造上看，勘察区内无大的构造断裂通过，无活动断裂存在。</w:t>
      </w:r>
    </w:p>
    <w:p w14:paraId="716EC545">
      <w:pPr>
        <w:spacing w:before="0" w:beforeLines="0" w:line="360" w:lineRule="auto"/>
        <w:ind w:firstLine="480" w:firstLineChars="200"/>
        <w:rPr>
          <w:sz w:val="24"/>
        </w:rPr>
      </w:pPr>
      <w:r>
        <w:rPr>
          <w:rFonts w:hint="eastAsia"/>
          <w:sz w:val="24"/>
        </w:rPr>
        <w:t>区域无理想隔水层，可将深部基岩裂隙不发育段视为相对隔水层，潜水含水层区域以底部黏土不透水层作为隔水层。</w:t>
      </w:r>
    </w:p>
    <w:p w14:paraId="4192E2E0">
      <w:pPr>
        <w:spacing w:before="0" w:beforeLines="0" w:line="360" w:lineRule="auto"/>
        <w:ind w:firstLine="480" w:firstLineChars="200"/>
        <w:rPr>
          <w:sz w:val="24"/>
        </w:rPr>
      </w:pPr>
      <w:r>
        <w:rPr>
          <w:sz w:val="24"/>
        </w:rPr>
        <w:t>本区地下水的补给来源主要为大气降水的渗入补给和上游地下水的径流流入。孔隙潜水含水层广泛分布，主要接收大气降水垂直入渗补给，地下水向</w:t>
      </w:r>
      <w:r>
        <w:rPr>
          <w:rFonts w:hint="eastAsia"/>
          <w:sz w:val="24"/>
        </w:rPr>
        <w:t>河流区域</w:t>
      </w:r>
      <w:r>
        <w:rPr>
          <w:sz w:val="24"/>
        </w:rPr>
        <w:t>径流，以人工开采和向河谷排泄。</w:t>
      </w:r>
    </w:p>
    <w:p w14:paraId="3B167A20">
      <w:pPr>
        <w:spacing w:before="0" w:beforeLines="0" w:line="360" w:lineRule="auto"/>
        <w:rPr>
          <w:b/>
          <w:bCs/>
          <w:sz w:val="24"/>
        </w:rPr>
      </w:pPr>
      <w:bookmarkStart w:id="178" w:name="_Toc21209"/>
      <w:bookmarkStart w:id="179" w:name="_Toc21203"/>
      <w:r>
        <w:rPr>
          <w:b/>
          <w:bCs/>
          <w:sz w:val="24"/>
        </w:rPr>
        <w:t>4.1.9.2</w:t>
      </w:r>
      <w:r>
        <w:rPr>
          <w:rFonts w:hint="eastAsia"/>
          <w:b/>
          <w:bCs/>
          <w:sz w:val="24"/>
        </w:rPr>
        <w:t>水文地质现场勘查</w:t>
      </w:r>
      <w:bookmarkEnd w:id="178"/>
      <w:bookmarkEnd w:id="179"/>
    </w:p>
    <w:p w14:paraId="6857F3CA">
      <w:pPr>
        <w:spacing w:before="0" w:beforeLines="0" w:line="360" w:lineRule="auto"/>
        <w:ind w:firstLine="480" w:firstLineChars="200"/>
        <w:rPr>
          <w:sz w:val="24"/>
        </w:rPr>
      </w:pPr>
      <w:r>
        <w:rPr>
          <w:sz w:val="24"/>
        </w:rPr>
        <w:t>为查明场地环境水文地质问题和获取预测评价相关参数，在进行地下水环境影响评价工作时，可进行必要的水文地质勘查试验。本次根据评价内容需要，在</w:t>
      </w:r>
      <w:r>
        <w:rPr>
          <w:rFonts w:hint="eastAsia"/>
          <w:sz w:val="24"/>
        </w:rPr>
        <w:t>调查区域内</w:t>
      </w:r>
      <w:r>
        <w:rPr>
          <w:sz w:val="24"/>
        </w:rPr>
        <w:t>进行抽水试验和渗水试验，查明含水层的渗透系数和包气带土层渗透系数。</w:t>
      </w:r>
    </w:p>
    <w:p w14:paraId="1130883E">
      <w:pPr>
        <w:spacing w:before="0" w:beforeLines="0" w:line="360" w:lineRule="auto"/>
        <w:ind w:firstLine="480" w:firstLineChars="200"/>
        <w:rPr>
          <w:sz w:val="24"/>
        </w:rPr>
      </w:pPr>
      <w:r>
        <w:rPr>
          <w:sz w:val="24"/>
        </w:rPr>
        <w:t>（1）抽水试验</w:t>
      </w:r>
    </w:p>
    <w:p w14:paraId="0DE76FAB">
      <w:pPr>
        <w:spacing w:before="0" w:beforeLines="0" w:line="360" w:lineRule="auto"/>
        <w:ind w:firstLine="480" w:firstLineChars="200"/>
        <w:rPr>
          <w:sz w:val="24"/>
        </w:rPr>
      </w:pPr>
      <w:r>
        <w:rPr>
          <w:sz w:val="24"/>
        </w:rPr>
        <w:t>抽水试验是通过从钻孔或水井中抽水，定量评价含水层富水性，测定含水层水文地质参数和判断某些水文地质条件的一种野外试验工作方法。抽水试验包括稳定流抽水试验和非稳定流抽水试验。</w:t>
      </w:r>
    </w:p>
    <w:p w14:paraId="02B3AEFE">
      <w:pPr>
        <w:spacing w:before="0" w:beforeLines="0" w:line="360" w:lineRule="auto"/>
        <w:ind w:firstLine="480" w:firstLineChars="200"/>
        <w:rPr>
          <w:sz w:val="24"/>
        </w:rPr>
      </w:pPr>
      <w:r>
        <w:rPr>
          <w:sz w:val="24"/>
        </w:rPr>
        <w:t>为获取含水层组的水文地质参数，本次对</w:t>
      </w:r>
      <w:r>
        <w:rPr>
          <w:rFonts w:hint="eastAsia"/>
          <w:sz w:val="24"/>
        </w:rPr>
        <w:t>调查区域</w:t>
      </w:r>
      <w:r>
        <w:rPr>
          <w:sz w:val="24"/>
        </w:rPr>
        <w:t>内1个水井进行单孔稳定流非完整井抽水试验，抽水试验前期按非稳定流试验观测。</w:t>
      </w:r>
    </w:p>
    <w:p w14:paraId="424CFEC5">
      <w:pPr>
        <w:spacing w:before="0" w:beforeLines="0" w:line="360" w:lineRule="auto"/>
        <w:ind w:firstLine="480" w:firstLineChars="200"/>
        <w:rPr>
          <w:sz w:val="24"/>
        </w:rPr>
      </w:pPr>
      <w:r>
        <w:rPr>
          <w:rFonts w:hint="eastAsia"/>
          <w:sz w:val="24"/>
        </w:rPr>
        <w:t>1</w:t>
      </w:r>
      <w:r>
        <w:rPr>
          <w:sz w:val="24"/>
        </w:rPr>
        <w:t>）抽水试验要求</w:t>
      </w:r>
    </w:p>
    <w:p w14:paraId="1ED6A3C3">
      <w:pPr>
        <w:spacing w:before="0" w:beforeLines="0" w:line="360" w:lineRule="auto"/>
        <w:ind w:firstLine="480" w:firstLineChars="200"/>
        <w:rPr>
          <w:sz w:val="24"/>
        </w:rPr>
      </w:pPr>
      <w:r>
        <w:rPr>
          <w:sz w:val="24"/>
        </w:rPr>
        <w:t>根据项目场区水文地质条件，本次抽水试验进行1次水位降深，水位降深最大降深值根据水文地质条件，并考虑抽水设备能力确定。</w:t>
      </w:r>
    </w:p>
    <w:p w14:paraId="2B55324E">
      <w:pPr>
        <w:spacing w:before="0" w:beforeLines="0" w:line="360" w:lineRule="auto"/>
        <w:ind w:firstLine="480" w:firstLineChars="200"/>
        <w:rPr>
          <w:sz w:val="24"/>
        </w:rPr>
      </w:pPr>
      <w:r>
        <w:rPr>
          <w:sz w:val="24"/>
        </w:rPr>
        <w:t>抽水试验水位稳定标准是在稳定时间内，抽水孔水位波动值不超过水位降低值的1%，当降深小于10cm时，水位波动不超过5cm，水量波动值不能超过正常流量的5%。</w:t>
      </w:r>
    </w:p>
    <w:p w14:paraId="7E77923B">
      <w:pPr>
        <w:spacing w:before="0" w:beforeLines="0" w:line="360" w:lineRule="auto"/>
        <w:ind w:firstLine="480" w:firstLineChars="200"/>
        <w:rPr>
          <w:sz w:val="24"/>
        </w:rPr>
      </w:pPr>
      <w:bookmarkStart w:id="180" w:name="_Toc11852949"/>
      <w:bookmarkStart w:id="181" w:name="_Toc12892459"/>
      <w:r>
        <w:rPr>
          <w:rFonts w:hint="eastAsia"/>
          <w:sz w:val="24"/>
        </w:rPr>
        <w:t>2</w:t>
      </w:r>
      <w:r>
        <w:rPr>
          <w:sz w:val="24"/>
        </w:rPr>
        <w:t>）抽水试验成果</w:t>
      </w:r>
      <w:bookmarkEnd w:id="180"/>
      <w:bookmarkEnd w:id="181"/>
    </w:p>
    <w:p w14:paraId="4C31CE9B">
      <w:pPr>
        <w:spacing w:before="0" w:beforeLines="0" w:line="360" w:lineRule="auto"/>
        <w:ind w:firstLine="480" w:firstLineChars="200"/>
        <w:rPr>
          <w:sz w:val="24"/>
        </w:rPr>
      </w:pPr>
      <w:r>
        <w:rPr>
          <w:sz w:val="24"/>
        </w:rPr>
        <w:t>本次抽水试验采用单孔稳定流潜水非完整井计算公式计算渗透系数，计算成果</w:t>
      </w:r>
      <w:r>
        <w:rPr>
          <w:rFonts w:hint="eastAsia"/>
          <w:sz w:val="24"/>
          <w:lang w:eastAsia="zh-CN"/>
        </w:rPr>
        <w:t>：</w:t>
      </w:r>
    </w:p>
    <w:p w14:paraId="2DCFDCD0">
      <w:pPr>
        <w:spacing w:before="0" w:beforeLines="0" w:line="360" w:lineRule="auto"/>
        <w:ind w:firstLine="480" w:firstLineChars="200"/>
        <w:jc w:val="center"/>
        <w:rPr>
          <w:sz w:val="24"/>
        </w:rPr>
      </w:pPr>
      <w:bookmarkStart w:id="182" w:name="_Toc11852950"/>
      <w:bookmarkStart w:id="183" w:name="_Toc12892460"/>
      <w:r>
        <w:rPr>
          <w:sz w:val="24"/>
        </w:rPr>
        <w:t>K=</w:t>
      </w:r>
      <w:r>
        <w:rPr>
          <w:rFonts w:hint="eastAsia"/>
          <w:sz w:val="24"/>
        </w:rPr>
        <w:t>59.5</w:t>
      </w:r>
      <w:r>
        <w:rPr>
          <w:sz w:val="24"/>
        </w:rPr>
        <w:t>m/d</w:t>
      </w:r>
      <w:bookmarkEnd w:id="182"/>
      <w:bookmarkEnd w:id="183"/>
    </w:p>
    <w:p w14:paraId="1A56DC80">
      <w:pPr>
        <w:spacing w:before="0" w:beforeLines="0" w:line="360" w:lineRule="auto"/>
        <w:ind w:firstLine="480" w:firstLineChars="200"/>
        <w:rPr>
          <w:sz w:val="24"/>
        </w:rPr>
      </w:pPr>
      <w:r>
        <w:rPr>
          <w:sz w:val="24"/>
        </w:rPr>
        <w:t>（2）渗水试验</w:t>
      </w:r>
    </w:p>
    <w:p w14:paraId="1155D22D">
      <w:pPr>
        <w:spacing w:before="0" w:beforeLines="0" w:line="360" w:lineRule="auto"/>
        <w:ind w:firstLine="480" w:firstLineChars="200"/>
        <w:rPr>
          <w:sz w:val="24"/>
        </w:rPr>
      </w:pPr>
      <w:r>
        <w:rPr>
          <w:sz w:val="24"/>
        </w:rPr>
        <w:t>渗水试验是测定非饱和带松散岩层饱和渗透系数的一种方法。目前，野外现场进行渗水试验的方法是试坑渗水试验，包括试坑法、单环法、双环法及开口试验和密封试验几种</w:t>
      </w:r>
      <w:r>
        <w:rPr>
          <w:rFonts w:hint="eastAsia"/>
          <w:sz w:val="24"/>
        </w:rPr>
        <w:t>，</w:t>
      </w:r>
      <w:r>
        <w:rPr>
          <w:sz w:val="24"/>
        </w:rPr>
        <w:t>本次试验选择单环法。</w:t>
      </w:r>
    </w:p>
    <w:p w14:paraId="246CBA40">
      <w:pPr>
        <w:spacing w:before="0" w:beforeLines="0" w:line="360" w:lineRule="auto"/>
        <w:ind w:firstLine="480" w:firstLineChars="200"/>
        <w:rPr>
          <w:sz w:val="24"/>
        </w:rPr>
      </w:pPr>
      <w:bookmarkStart w:id="184" w:name="_Toc11852951"/>
      <w:bookmarkStart w:id="185" w:name="_Toc12892461"/>
      <w:r>
        <w:rPr>
          <w:sz w:val="24"/>
        </w:rPr>
        <w:t>1）渗水试验点布设</w:t>
      </w:r>
      <w:bookmarkEnd w:id="184"/>
      <w:bookmarkEnd w:id="185"/>
    </w:p>
    <w:p w14:paraId="7A320209">
      <w:pPr>
        <w:spacing w:before="0" w:beforeLines="0" w:line="360" w:lineRule="auto"/>
        <w:ind w:firstLine="480" w:firstLineChars="200"/>
        <w:rPr>
          <w:sz w:val="24"/>
        </w:rPr>
      </w:pPr>
      <w:r>
        <w:rPr>
          <w:sz w:val="24"/>
        </w:rPr>
        <w:t>根据项目水文地质勘查补充试验方案，结合拟建项目现场情况，在</w:t>
      </w:r>
      <w:r>
        <w:rPr>
          <w:rFonts w:hint="eastAsia"/>
          <w:sz w:val="24"/>
        </w:rPr>
        <w:t>厂区</w:t>
      </w:r>
      <w:r>
        <w:rPr>
          <w:sz w:val="24"/>
        </w:rPr>
        <w:t>内选取</w:t>
      </w:r>
      <w:r>
        <w:rPr>
          <w:rFonts w:hint="eastAsia"/>
          <w:sz w:val="24"/>
        </w:rPr>
        <w:t>1</w:t>
      </w:r>
      <w:r>
        <w:rPr>
          <w:sz w:val="24"/>
        </w:rPr>
        <w:t>个渗水试验点位，获取场区包气带渗透性能参数。</w:t>
      </w:r>
    </w:p>
    <w:p w14:paraId="6B851CD6">
      <w:pPr>
        <w:spacing w:before="0" w:beforeLines="0" w:line="360" w:lineRule="auto"/>
        <w:ind w:firstLine="480" w:firstLineChars="200"/>
        <w:rPr>
          <w:sz w:val="24"/>
        </w:rPr>
      </w:pPr>
      <w:r>
        <w:rPr>
          <w:sz w:val="24"/>
        </w:rPr>
        <w:t>2）渗水试验方法</w:t>
      </w:r>
    </w:p>
    <w:p w14:paraId="6CB02A76">
      <w:pPr>
        <w:spacing w:before="0" w:beforeLines="0" w:line="360" w:lineRule="auto"/>
        <w:ind w:firstLine="480" w:firstLineChars="200"/>
        <w:rPr>
          <w:sz w:val="24"/>
        </w:rPr>
      </w:pPr>
      <w:r>
        <w:rPr>
          <w:sz w:val="24"/>
        </w:rPr>
        <w:t>本次渗水试验主要参照《水利水电工程注水试验规程》（SL345-2007）中渗水试验要求，采用单环注水。试坑单环注水试验适用于地下水位以上的</w:t>
      </w:r>
      <w:r>
        <w:rPr>
          <w:rFonts w:hint="eastAsia"/>
          <w:sz w:val="24"/>
        </w:rPr>
        <w:t>亚黏土</w:t>
      </w:r>
      <w:r>
        <w:rPr>
          <w:sz w:val="24"/>
        </w:rPr>
        <w:t>层。</w:t>
      </w:r>
    </w:p>
    <w:p w14:paraId="3D59E049">
      <w:pPr>
        <w:spacing w:before="0" w:beforeLines="0" w:line="360" w:lineRule="auto"/>
        <w:ind w:firstLine="480" w:firstLineChars="200"/>
        <w:rPr>
          <w:sz w:val="24"/>
        </w:rPr>
      </w:pPr>
      <w:r>
        <w:rPr>
          <w:sz w:val="24"/>
        </w:rPr>
        <w:t>试验步骤如下：</w:t>
      </w:r>
    </w:p>
    <w:p w14:paraId="3BFE2E41">
      <w:pPr>
        <w:spacing w:before="0" w:beforeLines="0" w:line="360" w:lineRule="auto"/>
        <w:ind w:firstLine="480" w:firstLineChars="200"/>
        <w:rPr>
          <w:sz w:val="24"/>
        </w:rPr>
      </w:pPr>
      <w:r>
        <w:rPr>
          <w:rFonts w:hint="eastAsia" w:ascii="宋体" w:hAnsi="宋体" w:cs="宋体"/>
          <w:sz w:val="24"/>
        </w:rPr>
        <w:t>①</w:t>
      </w:r>
      <w:r>
        <w:rPr>
          <w:sz w:val="24"/>
        </w:rPr>
        <w:t>在选定的试验位置挖一个圆形或方形试坑至试验层；</w:t>
      </w:r>
    </w:p>
    <w:p w14:paraId="2141565F">
      <w:pPr>
        <w:spacing w:before="0" w:beforeLines="0" w:line="360" w:lineRule="auto"/>
        <w:ind w:firstLine="480" w:firstLineChars="200"/>
        <w:rPr>
          <w:sz w:val="24"/>
        </w:rPr>
      </w:pPr>
      <w:r>
        <w:rPr>
          <w:rFonts w:hint="eastAsia" w:ascii="宋体" w:hAnsi="宋体" w:cs="宋体"/>
          <w:sz w:val="24"/>
        </w:rPr>
        <w:t>②</w:t>
      </w:r>
      <w:r>
        <w:rPr>
          <w:sz w:val="24"/>
        </w:rPr>
        <w:t>在试坑底部再挖一个深注水试坑，坑底应修平并确保试验土层的结构不被扰动，注水试坑内放入铁环坏外用黏土填实确保四周不漏水；</w:t>
      </w:r>
    </w:p>
    <w:p w14:paraId="629B3D6C">
      <w:pPr>
        <w:spacing w:before="0" w:beforeLines="0" w:line="360" w:lineRule="auto"/>
        <w:ind w:firstLine="480" w:firstLineChars="200"/>
        <w:rPr>
          <w:sz w:val="24"/>
        </w:rPr>
      </w:pPr>
      <w:r>
        <w:rPr>
          <w:rFonts w:hint="eastAsia" w:ascii="宋体" w:hAnsi="宋体" w:cs="宋体"/>
          <w:sz w:val="24"/>
        </w:rPr>
        <w:t>③</w:t>
      </w:r>
      <w:r>
        <w:rPr>
          <w:sz w:val="24"/>
        </w:rPr>
        <w:t>在环底铺2-3cm厚的粒径5-10mm的砾石或碎石作为缓冲层；</w:t>
      </w:r>
    </w:p>
    <w:p w14:paraId="789039F0">
      <w:pPr>
        <w:spacing w:before="0" w:beforeLines="0" w:line="360" w:lineRule="auto"/>
        <w:ind w:firstLine="480" w:firstLineChars="200"/>
        <w:rPr>
          <w:sz w:val="24"/>
        </w:rPr>
      </w:pPr>
      <w:r>
        <w:rPr>
          <w:rFonts w:hint="eastAsia" w:ascii="宋体" w:hAnsi="宋体" w:cs="宋体"/>
          <w:sz w:val="24"/>
        </w:rPr>
        <w:t>④</w:t>
      </w:r>
      <w:r>
        <w:rPr>
          <w:sz w:val="24"/>
        </w:rPr>
        <w:t>向环内注水，当环内水深达到10cm时开始记录量测时间和注入水量。在试验过程中，应保持水深10cm，波动幅度不应大于0.5cm。</w:t>
      </w:r>
    </w:p>
    <w:p w14:paraId="500BA6FF">
      <w:pPr>
        <w:spacing w:before="0" w:beforeLines="0" w:line="360" w:lineRule="auto"/>
        <w:ind w:firstLine="480" w:firstLineChars="200"/>
        <w:rPr>
          <w:sz w:val="24"/>
        </w:rPr>
      </w:pPr>
      <w:r>
        <w:rPr>
          <w:rFonts w:hint="eastAsia" w:ascii="宋体" w:hAnsi="宋体" w:cs="宋体"/>
          <w:sz w:val="24"/>
        </w:rPr>
        <w:t>⑤</w:t>
      </w:r>
      <w:r>
        <w:rPr>
          <w:sz w:val="24"/>
        </w:rPr>
        <w:t>水量量测精度应达到0.1L，开始每隔5min量测一次，连续量测5次，以后每隔20min量测一次并至少连续量测6次，当连续2次量测的注入流量之差不大于最后一次流量的10%时，试验即可结束，取最后一次注入流量作为计算值。</w:t>
      </w:r>
    </w:p>
    <w:p w14:paraId="6A125362">
      <w:pPr>
        <w:spacing w:before="0" w:beforeLines="0" w:line="360" w:lineRule="auto"/>
        <w:ind w:firstLine="480" w:firstLineChars="200"/>
        <w:rPr>
          <w:sz w:val="24"/>
        </w:rPr>
      </w:pPr>
      <w:r>
        <w:rPr>
          <w:sz w:val="24"/>
        </w:rPr>
        <w:t>3）渗水试验成果</w:t>
      </w:r>
    </w:p>
    <w:p w14:paraId="5C15D322">
      <w:pPr>
        <w:spacing w:before="0" w:beforeLines="0" w:line="360" w:lineRule="auto"/>
        <w:ind w:firstLine="480" w:firstLineChars="200"/>
        <w:rPr>
          <w:sz w:val="24"/>
        </w:rPr>
      </w:pPr>
      <w:bookmarkStart w:id="186" w:name="_Toc11852952"/>
      <w:bookmarkStart w:id="187" w:name="_Toc12892462"/>
      <w:r>
        <w:rPr>
          <w:rFonts w:hint="eastAsia"/>
          <w:sz w:val="24"/>
        </w:rPr>
        <w:t>①</w:t>
      </w:r>
      <w:r>
        <w:rPr>
          <w:sz w:val="24"/>
        </w:rPr>
        <w:t>渗水速率历时曲线</w:t>
      </w:r>
      <w:bookmarkEnd w:id="186"/>
      <w:bookmarkEnd w:id="187"/>
    </w:p>
    <w:p w14:paraId="4C5194D8">
      <w:pPr>
        <w:spacing w:before="0" w:beforeLines="0" w:line="360" w:lineRule="auto"/>
        <w:ind w:firstLine="480" w:firstLineChars="200"/>
        <w:rPr>
          <w:sz w:val="24"/>
        </w:rPr>
      </w:pPr>
      <w:r>
        <w:rPr>
          <w:sz w:val="24"/>
        </w:rPr>
        <w:t>根据渗水试验过程中流量变化与时间关系，作出Q-t关系曲线图。</w:t>
      </w:r>
    </w:p>
    <w:p w14:paraId="70C805F9">
      <w:pPr>
        <w:spacing w:before="0" w:beforeLines="0" w:line="240" w:lineRule="auto"/>
        <w:jc w:val="center"/>
        <w:rPr>
          <w:b/>
          <w:szCs w:val="21"/>
        </w:rPr>
      </w:pPr>
      <w:r>
        <w:drawing>
          <wp:inline distT="0" distB="0" distL="114300" distR="114300">
            <wp:extent cx="4577715" cy="2585085"/>
            <wp:effectExtent l="4445" t="5080" r="5080" b="15875"/>
            <wp:docPr id="114"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449A03B0">
      <w:pPr>
        <w:spacing w:before="0" w:beforeLines="0" w:line="240" w:lineRule="auto"/>
        <w:jc w:val="center"/>
        <w:rPr>
          <w:b/>
          <w:szCs w:val="21"/>
        </w:rPr>
      </w:pPr>
      <w:r>
        <w:rPr>
          <w:rFonts w:hint="eastAsia"/>
          <w:b/>
          <w:szCs w:val="21"/>
        </w:rPr>
        <w:t>图</w:t>
      </w:r>
      <w:r>
        <w:rPr>
          <w:b/>
          <w:szCs w:val="21"/>
        </w:rPr>
        <w:t>4.1-</w:t>
      </w:r>
      <w:r>
        <w:rPr>
          <w:rFonts w:hint="eastAsia"/>
          <w:b/>
          <w:szCs w:val="21"/>
        </w:rPr>
        <w:t>8 渗水试验Q-t曲线图</w:t>
      </w:r>
    </w:p>
    <w:p w14:paraId="638C55DF">
      <w:pPr>
        <w:spacing w:before="0" w:beforeLines="0" w:line="360" w:lineRule="auto"/>
        <w:ind w:firstLine="480" w:firstLineChars="200"/>
        <w:rPr>
          <w:sz w:val="24"/>
        </w:rPr>
      </w:pPr>
      <w:bookmarkStart w:id="188" w:name="_Toc12892463"/>
      <w:bookmarkStart w:id="189" w:name="_Toc11852953"/>
      <w:r>
        <w:rPr>
          <w:rFonts w:hint="eastAsia"/>
          <w:sz w:val="24"/>
        </w:rPr>
        <w:t>②</w:t>
      </w:r>
      <w:r>
        <w:rPr>
          <w:sz w:val="24"/>
        </w:rPr>
        <w:t>渗水试验计算结果</w:t>
      </w:r>
      <w:bookmarkEnd w:id="188"/>
      <w:bookmarkEnd w:id="189"/>
    </w:p>
    <w:p w14:paraId="19C72B2C">
      <w:pPr>
        <w:spacing w:before="0" w:beforeLines="0" w:line="360" w:lineRule="auto"/>
        <w:ind w:firstLine="480" w:firstLineChars="200"/>
        <w:rPr>
          <w:sz w:val="24"/>
        </w:rPr>
      </w:pPr>
      <w:r>
        <w:rPr>
          <w:sz w:val="24"/>
        </w:rPr>
        <w:t>试验土层的渗透系数按下式计算：</w:t>
      </w:r>
    </w:p>
    <w:p w14:paraId="08D004B0">
      <w:pPr>
        <w:spacing w:before="0" w:beforeLines="0" w:line="360" w:lineRule="auto"/>
        <w:ind w:firstLine="480" w:firstLineChars="200"/>
        <w:jc w:val="center"/>
        <w:rPr>
          <w:sz w:val="24"/>
        </w:rPr>
      </w:pPr>
      <w:bookmarkStart w:id="190" w:name="_Toc11852954"/>
      <w:bookmarkStart w:id="191" w:name="_Toc12892464"/>
      <w:r>
        <w:rPr>
          <w:sz w:val="24"/>
        </w:rPr>
        <w:t>K=16.67Q/F</w:t>
      </w:r>
      <w:bookmarkEnd w:id="190"/>
      <w:bookmarkEnd w:id="191"/>
    </w:p>
    <w:p w14:paraId="2F509547">
      <w:pPr>
        <w:spacing w:before="0" w:beforeLines="0" w:line="360" w:lineRule="auto"/>
        <w:ind w:firstLine="480" w:firstLineChars="200"/>
        <w:rPr>
          <w:sz w:val="24"/>
        </w:rPr>
      </w:pPr>
      <w:r>
        <w:rPr>
          <w:sz w:val="24"/>
        </w:rPr>
        <w:t>式中：K-试验土层渗透系数，cm/s；</w:t>
      </w:r>
    </w:p>
    <w:p w14:paraId="417B8741">
      <w:pPr>
        <w:spacing w:before="0" w:beforeLines="0" w:line="360" w:lineRule="auto"/>
        <w:ind w:firstLine="1200" w:firstLineChars="500"/>
        <w:rPr>
          <w:sz w:val="24"/>
        </w:rPr>
      </w:pPr>
      <w:r>
        <w:rPr>
          <w:sz w:val="24"/>
        </w:rPr>
        <w:t>Q-注入流量，L/min；</w:t>
      </w:r>
    </w:p>
    <w:p w14:paraId="3B00A6E0">
      <w:pPr>
        <w:spacing w:before="0" w:beforeLines="0" w:line="360" w:lineRule="auto"/>
        <w:ind w:firstLine="1200" w:firstLineChars="500"/>
        <w:rPr>
          <w:sz w:val="24"/>
        </w:rPr>
      </w:pPr>
      <w:r>
        <w:rPr>
          <w:sz w:val="24"/>
        </w:rPr>
        <w:t>F-试环面积，cm</w:t>
      </w:r>
      <w:r>
        <w:rPr>
          <w:sz w:val="24"/>
          <w:vertAlign w:val="superscript"/>
        </w:rPr>
        <w:t>2</w:t>
      </w:r>
      <w:r>
        <w:rPr>
          <w:sz w:val="24"/>
        </w:rPr>
        <w:t>。</w:t>
      </w:r>
    </w:p>
    <w:p w14:paraId="230EA62F">
      <w:pPr>
        <w:spacing w:before="0" w:beforeLines="0" w:line="360" w:lineRule="auto"/>
        <w:ind w:firstLine="480" w:firstLineChars="200"/>
        <w:rPr>
          <w:sz w:val="24"/>
        </w:rPr>
      </w:pPr>
      <w:r>
        <w:rPr>
          <w:sz w:val="24"/>
        </w:rPr>
        <w:t>由公式可计算出场区包气带渗透系数值，见下表：</w:t>
      </w:r>
    </w:p>
    <w:p w14:paraId="040A2581">
      <w:pPr>
        <w:adjustRightInd w:val="0"/>
        <w:snapToGrid w:val="0"/>
        <w:spacing w:before="156" w:beforeLines="50" w:line="240" w:lineRule="auto"/>
        <w:jc w:val="center"/>
        <w:rPr>
          <w:b/>
          <w:bCs/>
          <w:snapToGrid w:val="0"/>
          <w:kern w:val="0"/>
          <w:szCs w:val="21"/>
        </w:rPr>
      </w:pPr>
      <w:r>
        <w:rPr>
          <w:b/>
          <w:bCs/>
          <w:snapToGrid w:val="0"/>
          <w:kern w:val="0"/>
          <w:szCs w:val="21"/>
        </w:rPr>
        <w:t>表4.1-2  场区内</w:t>
      </w:r>
      <w:r>
        <w:rPr>
          <w:rFonts w:hint="eastAsia"/>
          <w:b/>
          <w:bCs/>
          <w:snapToGrid w:val="0"/>
          <w:kern w:val="0"/>
          <w:szCs w:val="21"/>
        </w:rPr>
        <w:t>包气带岩性</w:t>
      </w:r>
      <w:r>
        <w:rPr>
          <w:b/>
          <w:bCs/>
          <w:snapToGrid w:val="0"/>
          <w:kern w:val="0"/>
          <w:szCs w:val="21"/>
        </w:rPr>
        <w:t>的渗透试验系数统计表</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108" w:type="dxa"/>
          <w:bottom w:w="0" w:type="dxa"/>
          <w:right w:w="108" w:type="dxa"/>
        </w:tblCellMar>
      </w:tblPr>
      <w:tblGrid>
        <w:gridCol w:w="552"/>
        <w:gridCol w:w="1228"/>
        <w:gridCol w:w="1149"/>
        <w:gridCol w:w="1836"/>
        <w:gridCol w:w="1836"/>
        <w:gridCol w:w="818"/>
        <w:gridCol w:w="893"/>
      </w:tblGrid>
      <w:tr w14:paraId="58E71F52">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185" w:hRule="atLeast"/>
          <w:jc w:val="center"/>
        </w:trPr>
        <w:tc>
          <w:tcPr>
            <w:tcW w:w="332" w:type="pct"/>
            <w:vAlign w:val="center"/>
          </w:tcPr>
          <w:p w14:paraId="144D83D5">
            <w:pPr>
              <w:spacing w:before="0" w:beforeLines="0" w:line="240" w:lineRule="auto"/>
              <w:jc w:val="center"/>
              <w:rPr>
                <w:szCs w:val="21"/>
              </w:rPr>
            </w:pPr>
            <w:r>
              <w:rPr>
                <w:rFonts w:hint="eastAsia"/>
                <w:szCs w:val="21"/>
              </w:rPr>
              <w:t>序号</w:t>
            </w:r>
          </w:p>
        </w:tc>
        <w:tc>
          <w:tcPr>
            <w:tcW w:w="738" w:type="pct"/>
            <w:vAlign w:val="center"/>
          </w:tcPr>
          <w:p w14:paraId="7CC73E2B">
            <w:pPr>
              <w:spacing w:before="0" w:beforeLines="0" w:line="240" w:lineRule="auto"/>
              <w:jc w:val="center"/>
              <w:rPr>
                <w:szCs w:val="21"/>
              </w:rPr>
            </w:pPr>
            <w:r>
              <w:rPr>
                <w:rFonts w:hint="eastAsia"/>
                <w:szCs w:val="21"/>
              </w:rPr>
              <w:t>包气带岩层</w:t>
            </w:r>
          </w:p>
        </w:tc>
        <w:tc>
          <w:tcPr>
            <w:tcW w:w="691" w:type="pct"/>
            <w:vAlign w:val="center"/>
          </w:tcPr>
          <w:p w14:paraId="02A8F5E1">
            <w:pPr>
              <w:spacing w:before="0" w:beforeLines="0" w:line="240" w:lineRule="auto"/>
              <w:jc w:val="center"/>
              <w:rPr>
                <w:szCs w:val="21"/>
              </w:rPr>
            </w:pPr>
            <w:r>
              <w:rPr>
                <w:rFonts w:hint="eastAsia"/>
                <w:szCs w:val="21"/>
              </w:rPr>
              <w:t>试坑直径（cm）</w:t>
            </w:r>
          </w:p>
        </w:tc>
        <w:tc>
          <w:tcPr>
            <w:tcW w:w="1104" w:type="pct"/>
            <w:vAlign w:val="center"/>
          </w:tcPr>
          <w:p w14:paraId="26ED6EC3">
            <w:pPr>
              <w:spacing w:before="0" w:beforeLines="0" w:line="240" w:lineRule="auto"/>
              <w:jc w:val="center"/>
              <w:rPr>
                <w:szCs w:val="21"/>
              </w:rPr>
            </w:pPr>
            <w:r>
              <w:rPr>
                <w:rFonts w:hint="eastAsia"/>
                <w:szCs w:val="21"/>
              </w:rPr>
              <w:t>延续时间t（min）</w:t>
            </w:r>
          </w:p>
        </w:tc>
        <w:tc>
          <w:tcPr>
            <w:tcW w:w="1104" w:type="pct"/>
            <w:vAlign w:val="center"/>
          </w:tcPr>
          <w:p w14:paraId="7DBF0741">
            <w:pPr>
              <w:spacing w:before="0" w:beforeLines="0" w:line="240" w:lineRule="auto"/>
              <w:jc w:val="center"/>
              <w:rPr>
                <w:szCs w:val="21"/>
              </w:rPr>
            </w:pPr>
            <w:r>
              <w:rPr>
                <w:rFonts w:hint="eastAsia"/>
                <w:szCs w:val="21"/>
              </w:rPr>
              <w:t>渗透系数（</w:t>
            </w:r>
            <w:r>
              <w:rPr>
                <w:rFonts w:hint="eastAsia"/>
              </w:rPr>
              <w:t>cm/s</w:t>
            </w:r>
            <w:r>
              <w:rPr>
                <w:rFonts w:hint="eastAsia"/>
                <w:szCs w:val="21"/>
              </w:rPr>
              <w:t>）</w:t>
            </w:r>
          </w:p>
        </w:tc>
        <w:tc>
          <w:tcPr>
            <w:tcW w:w="492" w:type="pct"/>
            <w:vAlign w:val="center"/>
          </w:tcPr>
          <w:p w14:paraId="24864658">
            <w:pPr>
              <w:spacing w:before="0" w:beforeLines="0" w:line="240" w:lineRule="auto"/>
              <w:jc w:val="center"/>
              <w:rPr>
                <w:szCs w:val="21"/>
              </w:rPr>
            </w:pPr>
            <w:r>
              <w:rPr>
                <w:rFonts w:hint="eastAsia"/>
                <w:szCs w:val="21"/>
              </w:rPr>
              <w:t>孔隙度</w:t>
            </w:r>
          </w:p>
        </w:tc>
        <w:tc>
          <w:tcPr>
            <w:tcW w:w="536" w:type="pct"/>
            <w:vAlign w:val="center"/>
          </w:tcPr>
          <w:p w14:paraId="4E457004">
            <w:pPr>
              <w:spacing w:before="0" w:beforeLines="0" w:line="240" w:lineRule="auto"/>
              <w:jc w:val="center"/>
              <w:rPr>
                <w:szCs w:val="21"/>
              </w:rPr>
            </w:pPr>
            <w:r>
              <w:rPr>
                <w:rFonts w:hint="eastAsia"/>
                <w:szCs w:val="21"/>
              </w:rPr>
              <w:t>给水度</w:t>
            </w:r>
          </w:p>
        </w:tc>
      </w:tr>
      <w:tr w14:paraId="1A4FF512">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56" w:hRule="atLeast"/>
          <w:jc w:val="center"/>
        </w:trPr>
        <w:tc>
          <w:tcPr>
            <w:tcW w:w="332" w:type="pct"/>
            <w:vAlign w:val="center"/>
          </w:tcPr>
          <w:p w14:paraId="35A96CC6">
            <w:pPr>
              <w:spacing w:before="0" w:beforeLines="0" w:line="240" w:lineRule="auto"/>
              <w:jc w:val="center"/>
              <w:rPr>
                <w:rFonts w:cs="宋体"/>
                <w:kern w:val="0"/>
                <w:szCs w:val="21"/>
              </w:rPr>
            </w:pPr>
            <w:r>
              <w:rPr>
                <w:rFonts w:hint="eastAsia" w:cs="宋体"/>
                <w:kern w:val="0"/>
                <w:szCs w:val="21"/>
              </w:rPr>
              <w:t>1</w:t>
            </w:r>
          </w:p>
        </w:tc>
        <w:tc>
          <w:tcPr>
            <w:tcW w:w="738" w:type="pct"/>
            <w:vAlign w:val="center"/>
          </w:tcPr>
          <w:p w14:paraId="3FBEB58E">
            <w:pPr>
              <w:spacing w:before="0" w:beforeLines="0" w:line="240" w:lineRule="auto"/>
              <w:jc w:val="center"/>
              <w:rPr>
                <w:rFonts w:cs="宋体"/>
                <w:kern w:val="0"/>
                <w:szCs w:val="21"/>
              </w:rPr>
            </w:pPr>
            <w:r>
              <w:rPr>
                <w:rFonts w:hint="eastAsia" w:cs="宋体"/>
                <w:kern w:val="0"/>
                <w:szCs w:val="21"/>
              </w:rPr>
              <w:t>亚黏土</w:t>
            </w:r>
          </w:p>
        </w:tc>
        <w:tc>
          <w:tcPr>
            <w:tcW w:w="691" w:type="pct"/>
            <w:vAlign w:val="center"/>
          </w:tcPr>
          <w:p w14:paraId="1247E952">
            <w:pPr>
              <w:spacing w:before="0" w:beforeLines="0" w:line="240" w:lineRule="auto"/>
              <w:jc w:val="center"/>
            </w:pPr>
            <w:r>
              <w:rPr>
                <w:rFonts w:hint="eastAsia"/>
              </w:rPr>
              <w:t>35.75</w:t>
            </w:r>
          </w:p>
        </w:tc>
        <w:tc>
          <w:tcPr>
            <w:tcW w:w="1104" w:type="pct"/>
            <w:vAlign w:val="center"/>
          </w:tcPr>
          <w:p w14:paraId="6BCEB55F">
            <w:pPr>
              <w:spacing w:before="0" w:beforeLines="0" w:line="240" w:lineRule="auto"/>
              <w:jc w:val="center"/>
            </w:pPr>
            <w:r>
              <w:rPr>
                <w:rFonts w:hint="eastAsia"/>
              </w:rPr>
              <w:t>60</w:t>
            </w:r>
          </w:p>
        </w:tc>
        <w:tc>
          <w:tcPr>
            <w:tcW w:w="1104" w:type="pct"/>
            <w:vAlign w:val="center"/>
          </w:tcPr>
          <w:p w14:paraId="7410DB65">
            <w:pPr>
              <w:spacing w:before="0" w:beforeLines="0" w:line="240" w:lineRule="auto"/>
              <w:jc w:val="center"/>
            </w:pPr>
            <w:r>
              <w:rPr>
                <w:rFonts w:hint="eastAsia"/>
              </w:rPr>
              <w:t>4.5*10</w:t>
            </w:r>
            <w:r>
              <w:rPr>
                <w:rFonts w:hint="eastAsia"/>
                <w:vertAlign w:val="superscript"/>
              </w:rPr>
              <w:t>-3</w:t>
            </w:r>
          </w:p>
        </w:tc>
        <w:tc>
          <w:tcPr>
            <w:tcW w:w="492" w:type="pct"/>
            <w:vAlign w:val="center"/>
          </w:tcPr>
          <w:p w14:paraId="45BDA275">
            <w:pPr>
              <w:spacing w:before="0" w:beforeLines="0" w:line="240" w:lineRule="auto"/>
              <w:jc w:val="center"/>
              <w:rPr>
                <w:szCs w:val="21"/>
              </w:rPr>
            </w:pPr>
            <w:r>
              <w:rPr>
                <w:rFonts w:hint="eastAsia"/>
                <w:szCs w:val="21"/>
              </w:rPr>
              <w:t>0.18</w:t>
            </w:r>
          </w:p>
        </w:tc>
        <w:tc>
          <w:tcPr>
            <w:tcW w:w="536" w:type="pct"/>
            <w:vAlign w:val="center"/>
          </w:tcPr>
          <w:p w14:paraId="170E4A95">
            <w:pPr>
              <w:spacing w:before="0" w:beforeLines="0" w:line="240" w:lineRule="auto"/>
              <w:jc w:val="center"/>
              <w:rPr>
                <w:szCs w:val="21"/>
              </w:rPr>
            </w:pPr>
            <w:r>
              <w:rPr>
                <w:rFonts w:hint="eastAsia"/>
                <w:szCs w:val="21"/>
              </w:rPr>
              <w:t>0.25</w:t>
            </w:r>
          </w:p>
        </w:tc>
      </w:tr>
    </w:tbl>
    <w:p w14:paraId="37C4AFD8">
      <w:pPr>
        <w:spacing w:before="0" w:beforeLines="0" w:line="360" w:lineRule="auto"/>
        <w:rPr>
          <w:b/>
          <w:bCs/>
          <w:sz w:val="24"/>
        </w:rPr>
      </w:pPr>
      <w:bookmarkStart w:id="192" w:name="_Toc324749446"/>
      <w:bookmarkStart w:id="193" w:name="_Toc353949612"/>
      <w:bookmarkStart w:id="194" w:name="_Toc14770972"/>
      <w:bookmarkStart w:id="195" w:name="_Toc18616"/>
      <w:r>
        <w:rPr>
          <w:b/>
          <w:bCs/>
          <w:sz w:val="24"/>
        </w:rPr>
        <w:t>4.1.9.</w:t>
      </w:r>
      <w:r>
        <w:rPr>
          <w:rFonts w:hint="eastAsia"/>
          <w:b/>
          <w:bCs/>
          <w:sz w:val="24"/>
        </w:rPr>
        <w:t>3厂区包气带现状及特征</w:t>
      </w:r>
      <w:bookmarkEnd w:id="192"/>
      <w:bookmarkEnd w:id="193"/>
      <w:bookmarkEnd w:id="194"/>
      <w:bookmarkEnd w:id="195"/>
    </w:p>
    <w:p w14:paraId="0F9AD2A7">
      <w:pPr>
        <w:spacing w:before="0" w:beforeLines="0" w:line="360" w:lineRule="auto"/>
        <w:ind w:firstLine="480" w:firstLineChars="200"/>
        <w:rPr>
          <w:sz w:val="24"/>
        </w:rPr>
      </w:pPr>
      <w:r>
        <w:rPr>
          <w:rFonts w:hint="eastAsia"/>
          <w:sz w:val="24"/>
        </w:rPr>
        <w:t>本地区</w:t>
      </w:r>
      <w:r>
        <w:rPr>
          <w:rFonts w:hint="eastAsia"/>
          <w:sz w:val="24"/>
          <w:lang w:val="en-US" w:eastAsia="zh-CN"/>
        </w:rPr>
        <w:t>以</w:t>
      </w:r>
      <w:r>
        <w:rPr>
          <w:rFonts w:hint="eastAsia"/>
          <w:sz w:val="24"/>
        </w:rPr>
        <w:t>第四纪松散地层粉质黏土及沙壤土为主。项目场地包气带主要分布如下：</w:t>
      </w:r>
    </w:p>
    <w:p w14:paraId="41901AB3">
      <w:pPr>
        <w:spacing w:before="0" w:beforeLines="0" w:line="360" w:lineRule="auto"/>
        <w:ind w:firstLine="480" w:firstLineChars="200"/>
        <w:rPr>
          <w:sz w:val="24"/>
        </w:rPr>
      </w:pPr>
      <w:r>
        <w:rPr>
          <w:rFonts w:hint="eastAsia"/>
          <w:sz w:val="24"/>
        </w:rPr>
        <w:t>第①层：亚黏土</w:t>
      </w:r>
    </w:p>
    <w:p w14:paraId="505D0A2F">
      <w:pPr>
        <w:spacing w:before="0" w:beforeLines="0" w:line="360" w:lineRule="auto"/>
        <w:ind w:firstLine="480" w:firstLineChars="200"/>
        <w:rPr>
          <w:sz w:val="24"/>
        </w:rPr>
      </w:pPr>
      <w:r>
        <w:rPr>
          <w:rFonts w:hint="eastAsia"/>
          <w:sz w:val="24"/>
        </w:rPr>
        <w:t>灰黄～灰褐色，干，软可塑，干强度中等，韧性中等，稍有光泽,夹多层薄层状中粗砂。在场区东侧区域均见有该层，场区部分缺失。层底埋深为2.0～1.8米，层厚1.50～4.5米。</w:t>
      </w:r>
    </w:p>
    <w:p w14:paraId="1C5CA004">
      <w:pPr>
        <w:spacing w:before="0" w:beforeLines="0" w:line="360" w:lineRule="auto"/>
        <w:ind w:firstLine="480" w:firstLineChars="200"/>
        <w:rPr>
          <w:sz w:val="24"/>
        </w:rPr>
      </w:pPr>
      <w:r>
        <w:rPr>
          <w:rFonts w:hint="eastAsia"/>
          <w:sz w:val="24"/>
        </w:rPr>
        <w:t>第②层：沙壤土</w:t>
      </w:r>
    </w:p>
    <w:p w14:paraId="2873855B">
      <w:pPr>
        <w:spacing w:before="0" w:beforeLines="0" w:line="360" w:lineRule="auto"/>
        <w:ind w:firstLine="480" w:firstLineChars="200"/>
        <w:rPr>
          <w:sz w:val="24"/>
        </w:rPr>
      </w:pPr>
      <w:r>
        <w:rPr>
          <w:rFonts w:hint="eastAsia"/>
          <w:sz w:val="24"/>
        </w:rPr>
        <w:t>杂色，稍湿，松散，主要以粘性土、砂土及碎石为主组成。层底埋深为0.3～2.5米。</w:t>
      </w:r>
    </w:p>
    <w:p w14:paraId="72CFCDF8">
      <w:pPr>
        <w:spacing w:before="0" w:beforeLines="0" w:line="360" w:lineRule="auto"/>
        <w:ind w:firstLine="480" w:firstLineChars="200"/>
        <w:rPr>
          <w:sz w:val="24"/>
        </w:rPr>
      </w:pPr>
      <w:r>
        <w:rPr>
          <w:rFonts w:hint="eastAsia"/>
          <w:sz w:val="24"/>
        </w:rPr>
        <w:t>包气带土壤</w:t>
      </w:r>
      <w:r>
        <w:rPr>
          <w:rFonts w:hint="eastAsia"/>
          <w:sz w:val="24"/>
          <w:lang w:val="en-US" w:eastAsia="zh-CN"/>
        </w:rPr>
        <w:t>对于</w:t>
      </w:r>
      <w:r>
        <w:rPr>
          <w:rFonts w:hint="eastAsia"/>
          <w:sz w:val="24"/>
        </w:rPr>
        <w:t>石油类污染物的吸附能力较差，很快即达到吸附饱和，这是因为包气带土壤中所含的粘土矿物中存在着大量可交换的亲水性无机阳离子，使其表面形成一层薄的水膜，阻碍了疏水性有机污染物的表面吸附，包气带土壤有机污染物的吸附主要是通过其层间结构来实现的。包气带土壤对于重金属离子较大的吸附量则是由于其含有的粘土矿物具有较大的比表面积及离子交换容量。胶泥土、粘土、粉砂质粘土对污染物的防护能力依次减小，即粒径越小，胶结程度越高，土壤对污染物的截留能力越强。本项目场地中包气带土壤对各种污染物的吸附能力均较低，这是由于所取用的包气带土壤以亚黏土及沙壤土为主，亚黏土相应的土壤颗粒的粒径较小，所含粘土矿物较多，故对各种污染物有一定截留吸附能力。</w:t>
      </w:r>
    </w:p>
    <w:p w14:paraId="291DA219">
      <w:pPr>
        <w:spacing w:before="0" w:beforeLines="0" w:line="360" w:lineRule="auto"/>
        <w:ind w:firstLine="480" w:firstLineChars="200"/>
        <w:rPr>
          <w:sz w:val="24"/>
        </w:rPr>
      </w:pPr>
      <w:r>
        <w:rPr>
          <w:rFonts w:hint="eastAsia"/>
          <w:sz w:val="24"/>
        </w:rPr>
        <w:t>潜水含水层脆弱性主控因素为包气带对污染物的阻隔能力，建设项目地下水脆弱性评价主要影响因子主要为地下水埋深、包气带岩性及其厚度。其中含粘性土较多的土壤包气带防污性能远远大于以粉砂土为主的土壤包气带的防污性能。本项目包气带土壤以亚黏土及沙壤土为主，其对石油类、苯系物、NH</w:t>
      </w:r>
      <w:r>
        <w:rPr>
          <w:rFonts w:hint="eastAsia"/>
          <w:sz w:val="24"/>
          <w:vertAlign w:val="subscript"/>
        </w:rPr>
        <w:t>3</w:t>
      </w:r>
      <w:r>
        <w:rPr>
          <w:rFonts w:hint="eastAsia"/>
          <w:sz w:val="24"/>
        </w:rPr>
        <w:t>N和CODcr等物质有一定吸附能力。</w:t>
      </w:r>
    </w:p>
    <w:p w14:paraId="70E06E6C">
      <w:pPr>
        <w:spacing w:before="0" w:beforeLines="0" w:line="360" w:lineRule="auto"/>
        <w:ind w:firstLine="480" w:firstLineChars="200"/>
        <w:rPr>
          <w:sz w:val="24"/>
        </w:rPr>
      </w:pPr>
      <w:r>
        <w:rPr>
          <w:rFonts w:hint="eastAsia"/>
          <w:sz w:val="24"/>
        </w:rPr>
        <w:t>现状包气带土壤质量较好，尚未受到污染。此外，考虑到评价区地下水水位埋深，包气带厚度属于中等程度，因此，即使在非正常状况条件下有污染物渗漏，污染物质在经由包气带向下迁移过程中，经过包气带介质降解和吸附作用后污染物浓度会得到大幅度衰减，因此，污染物比较不容易进入地下水环境。</w:t>
      </w:r>
    </w:p>
    <w:p w14:paraId="6CF9212A">
      <w:pPr>
        <w:spacing w:before="0" w:beforeLines="0" w:line="360" w:lineRule="auto"/>
        <w:ind w:firstLine="480" w:firstLineChars="200"/>
        <w:rPr>
          <w:sz w:val="24"/>
        </w:rPr>
      </w:pPr>
      <w:r>
        <w:rPr>
          <w:rFonts w:hint="eastAsia"/>
          <w:sz w:val="24"/>
        </w:rPr>
        <w:t>项目所在区域暂未发现现状包气带受到污染。</w:t>
      </w:r>
    </w:p>
    <w:p w14:paraId="2C7A32E2">
      <w:pPr>
        <w:spacing w:before="0" w:beforeLines="0" w:line="360" w:lineRule="auto"/>
        <w:ind w:firstLine="480" w:firstLineChars="200"/>
        <w:jc w:val="left"/>
        <w:rPr>
          <w:sz w:val="24"/>
        </w:rPr>
      </w:pPr>
      <w:r>
        <w:rPr>
          <w:rFonts w:hint="eastAsia"/>
          <w:sz w:val="24"/>
        </w:rPr>
        <w:t>建设项目场址包气带层厚Mb＞1.0m，分布连续、稳定，收集相关试验数据，渗透系数为4.5×10</w:t>
      </w:r>
      <w:r>
        <w:rPr>
          <w:rFonts w:hint="eastAsia"/>
          <w:sz w:val="24"/>
          <w:vertAlign w:val="superscript"/>
        </w:rPr>
        <w:t>-3</w:t>
      </w:r>
      <w:r>
        <w:rPr>
          <w:rFonts w:hint="eastAsia"/>
          <w:sz w:val="24"/>
        </w:rPr>
        <w:t>cm/s。根据天然包气带防污性能分级参照表划分，包气带岩土的抗污性能分级为弱。</w:t>
      </w:r>
    </w:p>
    <w:p w14:paraId="66FECDDC">
      <w:pPr>
        <w:pStyle w:val="5"/>
        <w:spacing w:line="416" w:lineRule="auto"/>
        <w:rPr>
          <w:color w:val="auto"/>
        </w:rPr>
      </w:pPr>
      <w:r>
        <w:rPr>
          <w:color w:val="auto"/>
        </w:rPr>
        <w:t>4.1.10土壤与植被</w:t>
      </w:r>
    </w:p>
    <w:p w14:paraId="582C4EE1">
      <w:pPr>
        <w:adjustRightInd w:val="0"/>
        <w:snapToGrid w:val="0"/>
        <w:spacing w:before="0" w:beforeLines="0" w:line="360" w:lineRule="auto"/>
        <w:ind w:firstLine="480" w:firstLineChars="200"/>
        <w:jc w:val="left"/>
        <w:rPr>
          <w:sz w:val="24"/>
        </w:rPr>
      </w:pPr>
      <w:r>
        <w:rPr>
          <w:sz w:val="24"/>
        </w:rPr>
        <w:t>阜新蒙古族自治县共有5个土类，12个亚类，38个土属，46个土种。其中，褐色森林土有662万多亩，分布在县境中部、北部、西部；次为棕色森林土，有107万多亩，分布于比较温暖和湿润的大板、国华、富荣镇、新民、卧凤沟等乡所处的医巫闾山及其他大山上部；再次为草甸土，有93万多亩，分布于绕阳河和伊吗图河流经本县境内的下游地区。此外，在较大河流两岸，分别有条带状的风沙土和小块水稻土分布。在平原低洼处，还有一些轻度的盐碱土分布。阜新蒙古族自治县地处华北植物区与内蒙古植物区交错地带。植物种类有110科、456个属、929种。阜新蒙古族自治县森林覆盖率27.59%。林木蓄积量395万m</w:t>
      </w:r>
      <w:r>
        <w:rPr>
          <w:sz w:val="24"/>
          <w:vertAlign w:val="superscript"/>
        </w:rPr>
        <w:t>3</w:t>
      </w:r>
      <w:r>
        <w:rPr>
          <w:sz w:val="24"/>
        </w:rPr>
        <w:t>，主要农作物有玉米、高粱、谷子、大豆、小杂粮、花生、薯类等；树种主要有松、柏、杨、柳、榆、柞、杏、枣、梨等174种。</w:t>
      </w:r>
    </w:p>
    <w:p w14:paraId="36DB0566">
      <w:pPr>
        <w:pStyle w:val="4"/>
        <w:keepNext w:val="0"/>
        <w:spacing w:line="416" w:lineRule="auto"/>
        <w:rPr>
          <w:rFonts w:ascii="Times New Roman" w:hAnsi="Times New Roman" w:eastAsia="宋体"/>
          <w:color w:val="auto"/>
        </w:rPr>
      </w:pPr>
      <w:bookmarkStart w:id="196" w:name="_Toc239274273"/>
      <w:bookmarkStart w:id="197" w:name="_Toc10301547"/>
      <w:bookmarkStart w:id="198" w:name="_Toc17475974"/>
      <w:bookmarkStart w:id="199" w:name="_Toc475833189"/>
      <w:bookmarkStart w:id="200" w:name="_Hlk48908128"/>
      <w:r>
        <w:rPr>
          <w:rFonts w:ascii="Times New Roman" w:hAnsi="Times New Roman" w:eastAsia="宋体"/>
          <w:color w:val="auto"/>
        </w:rPr>
        <w:t>4.2环境质量现状监测与评价</w:t>
      </w:r>
      <w:bookmarkEnd w:id="196"/>
      <w:bookmarkEnd w:id="197"/>
      <w:bookmarkEnd w:id="198"/>
      <w:bookmarkEnd w:id="199"/>
    </w:p>
    <w:p w14:paraId="0B6AF6F8">
      <w:pPr>
        <w:pStyle w:val="5"/>
        <w:rPr>
          <w:color w:val="auto"/>
        </w:rPr>
      </w:pPr>
      <w:r>
        <w:rPr>
          <w:color w:val="auto"/>
        </w:rPr>
        <w:t>4.2.1环境空气质量现状监测与评价</w:t>
      </w:r>
    </w:p>
    <w:p w14:paraId="21914490">
      <w:pPr>
        <w:pStyle w:val="190"/>
        <w:snapToGrid w:val="0"/>
        <w:ind w:firstLine="0" w:firstLineChars="0"/>
        <w:rPr>
          <w:b/>
          <w:bCs/>
        </w:rPr>
      </w:pPr>
      <w:r>
        <w:rPr>
          <w:rFonts w:hint="eastAsia"/>
          <w:b/>
          <w:bCs/>
        </w:rPr>
        <w:t>4.2.1.1</w:t>
      </w:r>
      <w:r>
        <w:rPr>
          <w:b/>
          <w:bCs/>
        </w:rPr>
        <w:t>区域达标判断及基本污染物环境质量现状</w:t>
      </w:r>
    </w:p>
    <w:bookmarkEnd w:id="200"/>
    <w:p w14:paraId="4D1EBC43">
      <w:pPr>
        <w:adjustRightInd w:val="0"/>
        <w:snapToGrid w:val="0"/>
        <w:spacing w:before="0" w:beforeLines="0" w:line="360" w:lineRule="auto"/>
        <w:ind w:left="480"/>
        <w:rPr>
          <w:b/>
          <w:sz w:val="24"/>
          <w:szCs w:val="20"/>
        </w:rPr>
      </w:pPr>
      <w:r>
        <w:rPr>
          <w:rFonts w:hint="eastAsia"/>
          <w:b/>
          <w:sz w:val="24"/>
          <w:szCs w:val="20"/>
        </w:rPr>
        <w:t>（1）区域环境质量达标情况</w:t>
      </w:r>
    </w:p>
    <w:p w14:paraId="6091EE38">
      <w:pPr>
        <w:adjustRightInd w:val="0"/>
        <w:snapToGrid w:val="0"/>
        <w:spacing w:before="0" w:beforeLines="0" w:line="360" w:lineRule="auto"/>
        <w:ind w:firstLine="480" w:firstLineChars="200"/>
        <w:rPr>
          <w:sz w:val="24"/>
          <w:szCs w:val="20"/>
        </w:rPr>
      </w:pPr>
      <w:r>
        <w:rPr>
          <w:sz w:val="24"/>
          <w:szCs w:val="20"/>
        </w:rPr>
        <w:t>根据2025年阜新市环境空气质量监测站监测结果，2025年1-12月：细颗粒物（PM</w:t>
      </w:r>
      <w:r>
        <w:rPr>
          <w:sz w:val="24"/>
          <w:szCs w:val="20"/>
          <w:vertAlign w:val="subscript"/>
        </w:rPr>
        <w:t>2.5</w:t>
      </w:r>
      <w:r>
        <w:rPr>
          <w:sz w:val="24"/>
          <w:szCs w:val="20"/>
        </w:rPr>
        <w:t>）年均值28</w:t>
      </w:r>
      <w:r>
        <w:rPr>
          <w:sz w:val="24"/>
        </w:rPr>
        <w:t>μg/m</w:t>
      </w:r>
      <w:r>
        <w:rPr>
          <w:sz w:val="24"/>
          <w:vertAlign w:val="superscript"/>
        </w:rPr>
        <w:t>3</w:t>
      </w:r>
      <w:r>
        <w:rPr>
          <w:sz w:val="24"/>
        </w:rPr>
        <w:t>，低于</w:t>
      </w:r>
      <w:r>
        <w:rPr>
          <w:sz w:val="24"/>
          <w:szCs w:val="20"/>
        </w:rPr>
        <w:t>《环境空气质量标准》</w:t>
      </w:r>
      <w:r>
        <w:rPr>
          <w:sz w:val="24"/>
        </w:rPr>
        <w:t>（GB3095-2026）</w:t>
      </w:r>
      <w:r>
        <w:rPr>
          <w:sz w:val="24"/>
          <w:szCs w:val="20"/>
        </w:rPr>
        <w:t>过渡阶段标准要求；可吸入颗粒物（PM</w:t>
      </w:r>
      <w:r>
        <w:rPr>
          <w:sz w:val="24"/>
          <w:szCs w:val="20"/>
          <w:vertAlign w:val="subscript"/>
        </w:rPr>
        <w:t>10</w:t>
      </w:r>
      <w:r>
        <w:rPr>
          <w:sz w:val="24"/>
          <w:szCs w:val="20"/>
        </w:rPr>
        <w:t>）年平均浓度53</w:t>
      </w:r>
      <w:r>
        <w:rPr>
          <w:sz w:val="24"/>
        </w:rPr>
        <w:t>μg/m</w:t>
      </w:r>
      <w:r>
        <w:rPr>
          <w:sz w:val="24"/>
          <w:vertAlign w:val="superscript"/>
        </w:rPr>
        <w:t>3</w:t>
      </w:r>
      <w:r>
        <w:rPr>
          <w:sz w:val="24"/>
        </w:rPr>
        <w:t>，低于</w:t>
      </w:r>
      <w:r>
        <w:rPr>
          <w:sz w:val="24"/>
          <w:szCs w:val="20"/>
        </w:rPr>
        <w:t>《环境空气质量标准》</w:t>
      </w:r>
      <w:r>
        <w:rPr>
          <w:sz w:val="24"/>
        </w:rPr>
        <w:t>（GB3095-2026）</w:t>
      </w:r>
      <w:r>
        <w:rPr>
          <w:sz w:val="24"/>
          <w:szCs w:val="20"/>
        </w:rPr>
        <w:t>过渡阶段标准要求；二氧化硫（SO</w:t>
      </w:r>
      <w:r>
        <w:rPr>
          <w:sz w:val="24"/>
          <w:szCs w:val="20"/>
          <w:vertAlign w:val="subscript"/>
        </w:rPr>
        <w:t>2</w:t>
      </w:r>
      <w:r>
        <w:rPr>
          <w:sz w:val="24"/>
          <w:szCs w:val="20"/>
        </w:rPr>
        <w:t>）年均值13</w:t>
      </w:r>
      <w:r>
        <w:rPr>
          <w:sz w:val="24"/>
        </w:rPr>
        <w:t>μg/m</w:t>
      </w:r>
      <w:r>
        <w:rPr>
          <w:sz w:val="24"/>
          <w:vertAlign w:val="superscript"/>
        </w:rPr>
        <w:t>3</w:t>
      </w:r>
      <w:r>
        <w:rPr>
          <w:sz w:val="24"/>
        </w:rPr>
        <w:t>，低于国家</w:t>
      </w:r>
      <w:r>
        <w:rPr>
          <w:sz w:val="24"/>
          <w:szCs w:val="20"/>
        </w:rPr>
        <w:t>《环境空气质量标准》</w:t>
      </w:r>
      <w:r>
        <w:rPr>
          <w:sz w:val="24"/>
        </w:rPr>
        <w:t>（GB3095-2026）</w:t>
      </w:r>
      <w:r>
        <w:rPr>
          <w:sz w:val="24"/>
          <w:szCs w:val="20"/>
        </w:rPr>
        <w:t>过渡阶段标准要求；二氧化氮（NO</w:t>
      </w:r>
      <w:r>
        <w:rPr>
          <w:sz w:val="24"/>
          <w:szCs w:val="20"/>
          <w:vertAlign w:val="subscript"/>
        </w:rPr>
        <w:t>2</w:t>
      </w:r>
      <w:r>
        <w:rPr>
          <w:sz w:val="24"/>
          <w:szCs w:val="20"/>
        </w:rPr>
        <w:t>）年平均浓度20</w:t>
      </w:r>
      <w:r>
        <w:rPr>
          <w:sz w:val="24"/>
        </w:rPr>
        <w:t>μg/m</w:t>
      </w:r>
      <w:r>
        <w:rPr>
          <w:sz w:val="24"/>
          <w:vertAlign w:val="superscript"/>
        </w:rPr>
        <w:t>3</w:t>
      </w:r>
      <w:r>
        <w:rPr>
          <w:sz w:val="24"/>
        </w:rPr>
        <w:t>，低于国家</w:t>
      </w:r>
      <w:r>
        <w:rPr>
          <w:sz w:val="24"/>
          <w:szCs w:val="20"/>
        </w:rPr>
        <w:t>《环境空气质量标准》</w:t>
      </w:r>
      <w:r>
        <w:rPr>
          <w:sz w:val="24"/>
        </w:rPr>
        <w:t>（GB3095-2026）</w:t>
      </w:r>
      <w:r>
        <w:rPr>
          <w:sz w:val="24"/>
          <w:szCs w:val="20"/>
        </w:rPr>
        <w:t>过渡阶段标准要求；一氧化碳（CO）日平均值第95百分位数为1.3</w:t>
      </w:r>
      <w:r>
        <w:rPr>
          <w:sz w:val="24"/>
        </w:rPr>
        <w:t>mg/m</w:t>
      </w:r>
      <w:r>
        <w:rPr>
          <w:sz w:val="24"/>
          <w:vertAlign w:val="superscript"/>
        </w:rPr>
        <w:t>3</w:t>
      </w:r>
      <w:r>
        <w:rPr>
          <w:sz w:val="24"/>
        </w:rPr>
        <w:t>，低于国家</w:t>
      </w:r>
      <w:r>
        <w:rPr>
          <w:sz w:val="24"/>
          <w:szCs w:val="20"/>
        </w:rPr>
        <w:t>《环境空气质量标准》</w:t>
      </w:r>
      <w:r>
        <w:rPr>
          <w:sz w:val="24"/>
        </w:rPr>
        <w:t>（GB3095-2026）</w:t>
      </w:r>
      <w:r>
        <w:rPr>
          <w:sz w:val="24"/>
          <w:szCs w:val="20"/>
        </w:rPr>
        <w:t>过渡阶段标准要求；臭氧（O</w:t>
      </w:r>
      <w:r>
        <w:rPr>
          <w:sz w:val="24"/>
          <w:szCs w:val="20"/>
          <w:vertAlign w:val="subscript"/>
        </w:rPr>
        <w:t>3</w:t>
      </w:r>
      <w:r>
        <w:rPr>
          <w:sz w:val="24"/>
          <w:szCs w:val="20"/>
        </w:rPr>
        <w:t>）日最大8小时平均值的第90百分位数为140</w:t>
      </w:r>
      <w:r>
        <w:rPr>
          <w:sz w:val="24"/>
        </w:rPr>
        <w:t>μg/m</w:t>
      </w:r>
      <w:r>
        <w:rPr>
          <w:sz w:val="24"/>
          <w:vertAlign w:val="superscript"/>
        </w:rPr>
        <w:t>3</w:t>
      </w:r>
      <w:r>
        <w:rPr>
          <w:sz w:val="24"/>
          <w:szCs w:val="20"/>
        </w:rPr>
        <w:t>，</w:t>
      </w:r>
      <w:r>
        <w:rPr>
          <w:sz w:val="24"/>
        </w:rPr>
        <w:t>低于</w:t>
      </w:r>
      <w:r>
        <w:rPr>
          <w:sz w:val="24"/>
          <w:szCs w:val="20"/>
        </w:rPr>
        <w:t>《环境空气质量标准》</w:t>
      </w:r>
      <w:r>
        <w:rPr>
          <w:sz w:val="24"/>
        </w:rPr>
        <w:t>（GB3095-2026）</w:t>
      </w:r>
      <w:r>
        <w:rPr>
          <w:sz w:val="24"/>
          <w:szCs w:val="20"/>
        </w:rPr>
        <w:t>过渡阶段标准要求。</w:t>
      </w:r>
    </w:p>
    <w:p w14:paraId="24ECA830">
      <w:pPr>
        <w:adjustRightInd w:val="0"/>
        <w:snapToGrid w:val="0"/>
        <w:spacing w:before="0" w:beforeLines="0" w:line="240" w:lineRule="auto"/>
        <w:ind w:firstLine="422" w:firstLineChars="200"/>
        <w:jc w:val="center"/>
        <w:rPr>
          <w:b/>
          <w:bCs/>
          <w:snapToGrid w:val="0"/>
          <w:szCs w:val="21"/>
        </w:rPr>
      </w:pPr>
      <w:r>
        <w:rPr>
          <w:b/>
          <w:bCs/>
          <w:szCs w:val="21"/>
        </w:rPr>
        <w:t>表</w:t>
      </w:r>
      <w:r>
        <w:rPr>
          <w:rFonts w:hint="eastAsia"/>
          <w:b/>
          <w:bCs/>
          <w:szCs w:val="21"/>
        </w:rPr>
        <w:t>4.2</w:t>
      </w:r>
      <w:r>
        <w:rPr>
          <w:b/>
          <w:bCs/>
          <w:szCs w:val="21"/>
        </w:rPr>
        <w:t>-</w:t>
      </w:r>
      <w:r>
        <w:rPr>
          <w:b/>
          <w:bCs/>
          <w:szCs w:val="21"/>
        </w:rPr>
        <w:fldChar w:fldCharType="begin"/>
      </w:r>
      <w:r>
        <w:rPr>
          <w:b/>
          <w:bCs/>
          <w:szCs w:val="21"/>
        </w:rPr>
        <w:instrText xml:space="preserve"> SEQ 表 \* ARABIC \s 1 </w:instrText>
      </w:r>
      <w:r>
        <w:rPr>
          <w:b/>
          <w:bCs/>
          <w:szCs w:val="21"/>
        </w:rPr>
        <w:fldChar w:fldCharType="separate"/>
      </w:r>
      <w:r>
        <w:rPr>
          <w:b/>
          <w:bCs/>
          <w:szCs w:val="21"/>
        </w:rPr>
        <w:t>1</w:t>
      </w:r>
      <w:r>
        <w:rPr>
          <w:b/>
          <w:bCs/>
          <w:szCs w:val="21"/>
        </w:rPr>
        <w:fldChar w:fldCharType="end"/>
      </w:r>
      <w:r>
        <w:rPr>
          <w:rFonts w:hint="eastAsia"/>
          <w:b/>
          <w:bCs/>
          <w:szCs w:val="21"/>
        </w:rPr>
        <w:t xml:space="preserve">    </w:t>
      </w:r>
      <w:r>
        <w:rPr>
          <w:b/>
          <w:bCs/>
          <w:snapToGrid w:val="0"/>
          <w:szCs w:val="21"/>
        </w:rPr>
        <w:t>阜新</w:t>
      </w:r>
      <w:r>
        <w:rPr>
          <w:rFonts w:hint="eastAsia"/>
          <w:b/>
          <w:bCs/>
          <w:snapToGrid w:val="0"/>
          <w:szCs w:val="21"/>
        </w:rPr>
        <w:t>区域</w:t>
      </w:r>
      <w:r>
        <w:rPr>
          <w:b/>
          <w:bCs/>
          <w:snapToGrid w:val="0"/>
          <w:szCs w:val="21"/>
        </w:rPr>
        <w:t>环境质量</w:t>
      </w:r>
      <w:r>
        <w:rPr>
          <w:rFonts w:hint="eastAsia"/>
          <w:b/>
          <w:bCs/>
          <w:snapToGrid w:val="0"/>
          <w:szCs w:val="21"/>
        </w:rPr>
        <w:t>达标情况</w:t>
      </w:r>
      <w:r>
        <w:rPr>
          <w:b/>
          <w:bCs/>
          <w:snapToGrid w:val="0"/>
          <w:szCs w:val="21"/>
        </w:rPr>
        <w:t>表（单位：μg/m</w:t>
      </w:r>
      <w:r>
        <w:rPr>
          <w:b/>
          <w:bCs/>
          <w:snapToGrid w:val="0"/>
          <w:szCs w:val="21"/>
          <w:vertAlign w:val="superscript"/>
        </w:rPr>
        <w:t>3</w:t>
      </w:r>
      <w:r>
        <w:rPr>
          <w:b/>
          <w:bCs/>
          <w:snapToGrid w:val="0"/>
          <w:szCs w:val="21"/>
        </w:rPr>
        <w:t>）</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28" w:type="dxa"/>
          <w:bottom w:w="0" w:type="dxa"/>
          <w:right w:w="28" w:type="dxa"/>
        </w:tblCellMar>
      </w:tblPr>
      <w:tblGrid>
        <w:gridCol w:w="869"/>
        <w:gridCol w:w="3448"/>
        <w:gridCol w:w="866"/>
        <w:gridCol w:w="1317"/>
        <w:gridCol w:w="871"/>
        <w:gridCol w:w="941"/>
      </w:tblGrid>
      <w:tr w14:paraId="2BA436BC">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537" w:hRule="atLeast"/>
          <w:jc w:val="center"/>
        </w:trPr>
        <w:tc>
          <w:tcPr>
            <w:tcW w:w="523" w:type="pct"/>
            <w:vAlign w:val="center"/>
          </w:tcPr>
          <w:p w14:paraId="25FCFE26">
            <w:pPr>
              <w:tabs>
                <w:tab w:val="left" w:pos="2880"/>
              </w:tabs>
              <w:adjustRightInd w:val="0"/>
              <w:snapToGrid w:val="0"/>
              <w:spacing w:before="0" w:beforeLines="0" w:line="240" w:lineRule="auto"/>
              <w:jc w:val="center"/>
              <w:rPr>
                <w:b/>
                <w:szCs w:val="21"/>
              </w:rPr>
            </w:pPr>
            <w:r>
              <w:rPr>
                <w:rFonts w:hint="eastAsia"/>
                <w:b/>
                <w:szCs w:val="21"/>
              </w:rPr>
              <w:t>污染物</w:t>
            </w:r>
          </w:p>
        </w:tc>
        <w:tc>
          <w:tcPr>
            <w:tcW w:w="2074" w:type="pct"/>
            <w:vAlign w:val="center"/>
          </w:tcPr>
          <w:p w14:paraId="75AEC0EF">
            <w:pPr>
              <w:tabs>
                <w:tab w:val="left" w:pos="2880"/>
              </w:tabs>
              <w:adjustRightInd w:val="0"/>
              <w:snapToGrid w:val="0"/>
              <w:spacing w:before="0" w:beforeLines="0" w:line="240" w:lineRule="auto"/>
              <w:jc w:val="center"/>
              <w:rPr>
                <w:b/>
                <w:szCs w:val="21"/>
              </w:rPr>
            </w:pPr>
            <w:r>
              <w:rPr>
                <w:rFonts w:hint="eastAsia"/>
                <w:b/>
                <w:szCs w:val="21"/>
              </w:rPr>
              <w:t>年评价指标</w:t>
            </w:r>
          </w:p>
        </w:tc>
        <w:tc>
          <w:tcPr>
            <w:tcW w:w="521" w:type="pct"/>
            <w:vAlign w:val="center"/>
          </w:tcPr>
          <w:p w14:paraId="4C2C7574">
            <w:pPr>
              <w:tabs>
                <w:tab w:val="left" w:pos="2880"/>
              </w:tabs>
              <w:adjustRightInd w:val="0"/>
              <w:snapToGrid w:val="0"/>
              <w:spacing w:before="0" w:beforeLines="0" w:line="240" w:lineRule="auto"/>
              <w:jc w:val="center"/>
              <w:rPr>
                <w:b/>
                <w:szCs w:val="21"/>
              </w:rPr>
            </w:pPr>
            <w:r>
              <w:rPr>
                <w:rFonts w:hint="eastAsia"/>
                <w:b/>
                <w:szCs w:val="21"/>
              </w:rPr>
              <w:t>评价</w:t>
            </w:r>
          </w:p>
          <w:p w14:paraId="60A2BAE1">
            <w:pPr>
              <w:tabs>
                <w:tab w:val="left" w:pos="2880"/>
              </w:tabs>
              <w:adjustRightInd w:val="0"/>
              <w:snapToGrid w:val="0"/>
              <w:spacing w:before="0" w:beforeLines="0" w:line="240" w:lineRule="auto"/>
              <w:jc w:val="center"/>
              <w:rPr>
                <w:b/>
                <w:szCs w:val="21"/>
              </w:rPr>
            </w:pPr>
            <w:r>
              <w:rPr>
                <w:rFonts w:hint="eastAsia"/>
                <w:b/>
                <w:szCs w:val="21"/>
              </w:rPr>
              <w:t>标准</w:t>
            </w:r>
          </w:p>
        </w:tc>
        <w:tc>
          <w:tcPr>
            <w:tcW w:w="792" w:type="pct"/>
            <w:vAlign w:val="center"/>
          </w:tcPr>
          <w:p w14:paraId="5DE83E7A">
            <w:pPr>
              <w:tabs>
                <w:tab w:val="left" w:pos="2880"/>
              </w:tabs>
              <w:adjustRightInd w:val="0"/>
              <w:snapToGrid w:val="0"/>
              <w:spacing w:before="0" w:beforeLines="0" w:line="240" w:lineRule="auto"/>
              <w:jc w:val="center"/>
              <w:rPr>
                <w:b/>
                <w:szCs w:val="21"/>
              </w:rPr>
            </w:pPr>
            <w:r>
              <w:rPr>
                <w:rFonts w:hint="eastAsia"/>
                <w:b/>
                <w:szCs w:val="21"/>
              </w:rPr>
              <w:t>现状</w:t>
            </w:r>
          </w:p>
          <w:p w14:paraId="31B1A803">
            <w:pPr>
              <w:tabs>
                <w:tab w:val="left" w:pos="2880"/>
              </w:tabs>
              <w:adjustRightInd w:val="0"/>
              <w:snapToGrid w:val="0"/>
              <w:spacing w:before="0" w:beforeLines="0" w:line="240" w:lineRule="auto"/>
              <w:jc w:val="center"/>
              <w:rPr>
                <w:b/>
                <w:szCs w:val="21"/>
              </w:rPr>
            </w:pPr>
            <w:r>
              <w:rPr>
                <w:rFonts w:hint="eastAsia"/>
                <w:b/>
                <w:szCs w:val="21"/>
              </w:rPr>
              <w:t>浓度</w:t>
            </w:r>
          </w:p>
        </w:tc>
        <w:tc>
          <w:tcPr>
            <w:tcW w:w="524" w:type="pct"/>
            <w:vAlign w:val="center"/>
          </w:tcPr>
          <w:p w14:paraId="07873ED4">
            <w:pPr>
              <w:tabs>
                <w:tab w:val="left" w:pos="2880"/>
              </w:tabs>
              <w:adjustRightInd w:val="0"/>
              <w:snapToGrid w:val="0"/>
              <w:spacing w:before="0" w:beforeLines="0" w:line="240" w:lineRule="auto"/>
              <w:jc w:val="center"/>
              <w:rPr>
                <w:b/>
                <w:szCs w:val="21"/>
              </w:rPr>
            </w:pPr>
            <w:r>
              <w:rPr>
                <w:rFonts w:hint="eastAsia"/>
                <w:b/>
                <w:szCs w:val="21"/>
              </w:rPr>
              <w:t>占标率</w:t>
            </w:r>
          </w:p>
          <w:p w14:paraId="6A820648">
            <w:pPr>
              <w:tabs>
                <w:tab w:val="left" w:pos="2880"/>
              </w:tabs>
              <w:adjustRightInd w:val="0"/>
              <w:snapToGrid w:val="0"/>
              <w:spacing w:before="0" w:beforeLines="0" w:line="240" w:lineRule="auto"/>
              <w:jc w:val="center"/>
              <w:rPr>
                <w:b/>
                <w:szCs w:val="21"/>
              </w:rPr>
            </w:pPr>
            <w:r>
              <w:rPr>
                <w:b/>
                <w:szCs w:val="21"/>
              </w:rPr>
              <w:t>%</w:t>
            </w:r>
          </w:p>
        </w:tc>
        <w:tc>
          <w:tcPr>
            <w:tcW w:w="566" w:type="pct"/>
            <w:vAlign w:val="center"/>
          </w:tcPr>
          <w:p w14:paraId="5132328F">
            <w:pPr>
              <w:tabs>
                <w:tab w:val="left" w:pos="2880"/>
              </w:tabs>
              <w:adjustRightInd w:val="0"/>
              <w:snapToGrid w:val="0"/>
              <w:spacing w:before="0" w:beforeLines="0" w:line="240" w:lineRule="auto"/>
              <w:jc w:val="center"/>
              <w:rPr>
                <w:b/>
                <w:szCs w:val="21"/>
              </w:rPr>
            </w:pPr>
            <w:r>
              <w:rPr>
                <w:rFonts w:hint="eastAsia"/>
                <w:b/>
                <w:szCs w:val="21"/>
              </w:rPr>
              <w:t>达标</w:t>
            </w:r>
          </w:p>
          <w:p w14:paraId="0DCA7982">
            <w:pPr>
              <w:tabs>
                <w:tab w:val="left" w:pos="2880"/>
              </w:tabs>
              <w:adjustRightInd w:val="0"/>
              <w:snapToGrid w:val="0"/>
              <w:spacing w:before="0" w:beforeLines="0" w:line="240" w:lineRule="auto"/>
              <w:jc w:val="center"/>
              <w:rPr>
                <w:b/>
                <w:szCs w:val="21"/>
              </w:rPr>
            </w:pPr>
            <w:r>
              <w:rPr>
                <w:rFonts w:hint="eastAsia"/>
                <w:b/>
                <w:szCs w:val="21"/>
              </w:rPr>
              <w:t>情况</w:t>
            </w:r>
          </w:p>
        </w:tc>
      </w:tr>
      <w:tr w14:paraId="29998EFA">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351" w:hRule="atLeast"/>
          <w:jc w:val="center"/>
        </w:trPr>
        <w:tc>
          <w:tcPr>
            <w:tcW w:w="523" w:type="pct"/>
            <w:vAlign w:val="center"/>
          </w:tcPr>
          <w:p w14:paraId="54AC1B39">
            <w:pPr>
              <w:tabs>
                <w:tab w:val="left" w:pos="2880"/>
              </w:tabs>
              <w:adjustRightInd w:val="0"/>
              <w:snapToGrid w:val="0"/>
              <w:spacing w:before="0" w:beforeLines="0" w:line="240" w:lineRule="auto"/>
              <w:jc w:val="center"/>
              <w:rPr>
                <w:szCs w:val="21"/>
              </w:rPr>
            </w:pPr>
            <w:r>
              <w:rPr>
                <w:szCs w:val="21"/>
              </w:rPr>
              <w:t>SO</w:t>
            </w:r>
            <w:r>
              <w:rPr>
                <w:szCs w:val="21"/>
                <w:vertAlign w:val="subscript"/>
              </w:rPr>
              <w:t>2</w:t>
            </w:r>
          </w:p>
        </w:tc>
        <w:tc>
          <w:tcPr>
            <w:tcW w:w="2074" w:type="pct"/>
            <w:vAlign w:val="center"/>
          </w:tcPr>
          <w:p w14:paraId="699D46F3">
            <w:pPr>
              <w:widowControl/>
              <w:snapToGrid w:val="0"/>
              <w:spacing w:before="0" w:beforeLines="0" w:line="240" w:lineRule="auto"/>
              <w:jc w:val="center"/>
              <w:rPr>
                <w:sz w:val="22"/>
                <w:szCs w:val="22"/>
              </w:rPr>
            </w:pPr>
            <w:r>
              <w:rPr>
                <w:rFonts w:hint="eastAsia"/>
                <w:sz w:val="22"/>
                <w:szCs w:val="22"/>
              </w:rPr>
              <w:t>年均浓度</w:t>
            </w:r>
          </w:p>
        </w:tc>
        <w:tc>
          <w:tcPr>
            <w:tcW w:w="521" w:type="pct"/>
            <w:vAlign w:val="center"/>
          </w:tcPr>
          <w:p w14:paraId="51B7D209">
            <w:pPr>
              <w:widowControl/>
              <w:snapToGrid w:val="0"/>
              <w:spacing w:before="0" w:beforeLines="0" w:line="240" w:lineRule="auto"/>
              <w:jc w:val="center"/>
              <w:rPr>
                <w:sz w:val="22"/>
                <w:szCs w:val="22"/>
              </w:rPr>
            </w:pPr>
            <w:r>
              <w:rPr>
                <w:sz w:val="22"/>
                <w:szCs w:val="22"/>
              </w:rPr>
              <w:t>60</w:t>
            </w:r>
          </w:p>
        </w:tc>
        <w:tc>
          <w:tcPr>
            <w:tcW w:w="792" w:type="pct"/>
            <w:vAlign w:val="center"/>
          </w:tcPr>
          <w:p w14:paraId="1401837B">
            <w:pPr>
              <w:widowControl/>
              <w:snapToGrid w:val="0"/>
              <w:spacing w:before="0" w:beforeLines="0" w:line="240" w:lineRule="auto"/>
              <w:jc w:val="center"/>
              <w:rPr>
                <w:sz w:val="22"/>
                <w:szCs w:val="22"/>
              </w:rPr>
            </w:pPr>
            <w:r>
              <w:rPr>
                <w:rFonts w:hint="eastAsia"/>
                <w:sz w:val="22"/>
                <w:szCs w:val="22"/>
              </w:rPr>
              <w:t>13</w:t>
            </w:r>
          </w:p>
        </w:tc>
        <w:tc>
          <w:tcPr>
            <w:tcW w:w="524" w:type="pct"/>
            <w:vAlign w:val="center"/>
          </w:tcPr>
          <w:p w14:paraId="191DC1DB">
            <w:pPr>
              <w:widowControl/>
              <w:snapToGrid w:val="0"/>
              <w:spacing w:before="0" w:beforeLines="0" w:line="240" w:lineRule="auto"/>
              <w:jc w:val="center"/>
              <w:rPr>
                <w:sz w:val="22"/>
                <w:szCs w:val="22"/>
              </w:rPr>
            </w:pPr>
            <w:r>
              <w:rPr>
                <w:rFonts w:hint="eastAsia"/>
                <w:sz w:val="22"/>
                <w:szCs w:val="22"/>
              </w:rPr>
              <w:t>21.7</w:t>
            </w:r>
          </w:p>
        </w:tc>
        <w:tc>
          <w:tcPr>
            <w:tcW w:w="566" w:type="pct"/>
            <w:vAlign w:val="center"/>
          </w:tcPr>
          <w:p w14:paraId="13C938ED">
            <w:pPr>
              <w:widowControl/>
              <w:snapToGrid w:val="0"/>
              <w:spacing w:before="0" w:beforeLines="0" w:line="240" w:lineRule="auto"/>
              <w:jc w:val="center"/>
              <w:rPr>
                <w:sz w:val="22"/>
                <w:szCs w:val="22"/>
              </w:rPr>
            </w:pPr>
            <w:r>
              <w:rPr>
                <w:rFonts w:hint="eastAsia"/>
                <w:sz w:val="22"/>
                <w:szCs w:val="22"/>
              </w:rPr>
              <w:t>达标</w:t>
            </w:r>
          </w:p>
        </w:tc>
      </w:tr>
      <w:tr w14:paraId="24C40EA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351" w:hRule="atLeast"/>
          <w:jc w:val="center"/>
        </w:trPr>
        <w:tc>
          <w:tcPr>
            <w:tcW w:w="523" w:type="pct"/>
            <w:vAlign w:val="center"/>
          </w:tcPr>
          <w:p w14:paraId="64775E7F">
            <w:pPr>
              <w:tabs>
                <w:tab w:val="left" w:pos="2880"/>
              </w:tabs>
              <w:adjustRightInd w:val="0"/>
              <w:snapToGrid w:val="0"/>
              <w:spacing w:before="0" w:beforeLines="0" w:line="240" w:lineRule="auto"/>
              <w:jc w:val="center"/>
              <w:rPr>
                <w:szCs w:val="21"/>
              </w:rPr>
            </w:pPr>
            <w:r>
              <w:rPr>
                <w:szCs w:val="21"/>
              </w:rPr>
              <w:t>NO</w:t>
            </w:r>
            <w:r>
              <w:rPr>
                <w:szCs w:val="21"/>
                <w:vertAlign w:val="subscript"/>
              </w:rPr>
              <w:t>2</w:t>
            </w:r>
          </w:p>
        </w:tc>
        <w:tc>
          <w:tcPr>
            <w:tcW w:w="2074" w:type="pct"/>
            <w:vAlign w:val="center"/>
          </w:tcPr>
          <w:p w14:paraId="52712173">
            <w:pPr>
              <w:widowControl/>
              <w:snapToGrid w:val="0"/>
              <w:spacing w:before="0" w:beforeLines="0" w:line="240" w:lineRule="auto"/>
              <w:jc w:val="center"/>
              <w:rPr>
                <w:sz w:val="22"/>
                <w:szCs w:val="22"/>
              </w:rPr>
            </w:pPr>
            <w:r>
              <w:rPr>
                <w:rFonts w:hint="eastAsia"/>
                <w:sz w:val="22"/>
                <w:szCs w:val="22"/>
              </w:rPr>
              <w:t>年均浓度</w:t>
            </w:r>
          </w:p>
        </w:tc>
        <w:tc>
          <w:tcPr>
            <w:tcW w:w="521" w:type="pct"/>
            <w:vAlign w:val="center"/>
          </w:tcPr>
          <w:p w14:paraId="591D2785">
            <w:pPr>
              <w:widowControl/>
              <w:snapToGrid w:val="0"/>
              <w:spacing w:before="0" w:beforeLines="0" w:line="240" w:lineRule="auto"/>
              <w:jc w:val="center"/>
              <w:rPr>
                <w:sz w:val="22"/>
                <w:szCs w:val="22"/>
              </w:rPr>
            </w:pPr>
            <w:r>
              <w:rPr>
                <w:sz w:val="22"/>
                <w:szCs w:val="22"/>
              </w:rPr>
              <w:t>40</w:t>
            </w:r>
          </w:p>
        </w:tc>
        <w:tc>
          <w:tcPr>
            <w:tcW w:w="792" w:type="pct"/>
            <w:vAlign w:val="center"/>
          </w:tcPr>
          <w:p w14:paraId="4E8204FD">
            <w:pPr>
              <w:widowControl/>
              <w:snapToGrid w:val="0"/>
              <w:spacing w:before="0" w:beforeLines="0" w:line="240" w:lineRule="auto"/>
              <w:jc w:val="center"/>
              <w:rPr>
                <w:sz w:val="22"/>
                <w:szCs w:val="22"/>
              </w:rPr>
            </w:pPr>
            <w:r>
              <w:rPr>
                <w:rFonts w:hint="eastAsia"/>
                <w:sz w:val="22"/>
                <w:szCs w:val="22"/>
              </w:rPr>
              <w:t>20</w:t>
            </w:r>
          </w:p>
        </w:tc>
        <w:tc>
          <w:tcPr>
            <w:tcW w:w="524" w:type="pct"/>
            <w:vAlign w:val="center"/>
          </w:tcPr>
          <w:p w14:paraId="6D06386C">
            <w:pPr>
              <w:widowControl/>
              <w:snapToGrid w:val="0"/>
              <w:spacing w:before="0" w:beforeLines="0" w:line="240" w:lineRule="auto"/>
              <w:jc w:val="center"/>
              <w:rPr>
                <w:sz w:val="22"/>
                <w:szCs w:val="22"/>
              </w:rPr>
            </w:pPr>
            <w:r>
              <w:rPr>
                <w:rFonts w:hint="eastAsia"/>
                <w:sz w:val="22"/>
                <w:szCs w:val="22"/>
              </w:rPr>
              <w:t>50.0</w:t>
            </w:r>
          </w:p>
        </w:tc>
        <w:tc>
          <w:tcPr>
            <w:tcW w:w="566" w:type="pct"/>
            <w:vAlign w:val="center"/>
          </w:tcPr>
          <w:p w14:paraId="63CC040B">
            <w:pPr>
              <w:widowControl/>
              <w:snapToGrid w:val="0"/>
              <w:spacing w:before="0" w:beforeLines="0" w:line="240" w:lineRule="auto"/>
              <w:jc w:val="center"/>
              <w:rPr>
                <w:sz w:val="22"/>
                <w:szCs w:val="22"/>
              </w:rPr>
            </w:pPr>
            <w:r>
              <w:rPr>
                <w:rFonts w:hint="eastAsia"/>
                <w:sz w:val="22"/>
                <w:szCs w:val="22"/>
              </w:rPr>
              <w:t>达标</w:t>
            </w:r>
          </w:p>
        </w:tc>
      </w:tr>
      <w:tr w14:paraId="4CD6C81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351" w:hRule="atLeast"/>
          <w:jc w:val="center"/>
        </w:trPr>
        <w:tc>
          <w:tcPr>
            <w:tcW w:w="523" w:type="pct"/>
            <w:vAlign w:val="center"/>
          </w:tcPr>
          <w:p w14:paraId="0457C7AF">
            <w:pPr>
              <w:tabs>
                <w:tab w:val="left" w:pos="2880"/>
              </w:tabs>
              <w:adjustRightInd w:val="0"/>
              <w:snapToGrid w:val="0"/>
              <w:spacing w:before="0" w:beforeLines="0" w:line="240" w:lineRule="auto"/>
              <w:jc w:val="center"/>
              <w:rPr>
                <w:szCs w:val="21"/>
              </w:rPr>
            </w:pPr>
            <w:r>
              <w:rPr>
                <w:szCs w:val="21"/>
              </w:rPr>
              <w:t>PM</w:t>
            </w:r>
            <w:r>
              <w:rPr>
                <w:szCs w:val="21"/>
                <w:vertAlign w:val="subscript"/>
              </w:rPr>
              <w:t>10</w:t>
            </w:r>
          </w:p>
        </w:tc>
        <w:tc>
          <w:tcPr>
            <w:tcW w:w="2074" w:type="pct"/>
            <w:vAlign w:val="center"/>
          </w:tcPr>
          <w:p w14:paraId="369434C1">
            <w:pPr>
              <w:widowControl/>
              <w:snapToGrid w:val="0"/>
              <w:spacing w:before="0" w:beforeLines="0" w:line="240" w:lineRule="auto"/>
              <w:jc w:val="center"/>
              <w:rPr>
                <w:sz w:val="22"/>
                <w:szCs w:val="22"/>
              </w:rPr>
            </w:pPr>
            <w:r>
              <w:rPr>
                <w:rFonts w:hint="eastAsia"/>
                <w:sz w:val="22"/>
                <w:szCs w:val="22"/>
              </w:rPr>
              <w:t>年均浓度</w:t>
            </w:r>
          </w:p>
        </w:tc>
        <w:tc>
          <w:tcPr>
            <w:tcW w:w="521" w:type="pct"/>
            <w:vAlign w:val="center"/>
          </w:tcPr>
          <w:p w14:paraId="6EB8A215">
            <w:pPr>
              <w:widowControl/>
              <w:snapToGrid w:val="0"/>
              <w:spacing w:before="0" w:beforeLines="0" w:line="240" w:lineRule="auto"/>
              <w:jc w:val="center"/>
              <w:rPr>
                <w:sz w:val="22"/>
                <w:szCs w:val="22"/>
              </w:rPr>
            </w:pPr>
            <w:r>
              <w:rPr>
                <w:rFonts w:hint="eastAsia"/>
                <w:sz w:val="22"/>
                <w:szCs w:val="22"/>
              </w:rPr>
              <w:t>6</w:t>
            </w:r>
            <w:r>
              <w:rPr>
                <w:sz w:val="22"/>
                <w:szCs w:val="22"/>
              </w:rPr>
              <w:t>0</w:t>
            </w:r>
          </w:p>
        </w:tc>
        <w:tc>
          <w:tcPr>
            <w:tcW w:w="792" w:type="pct"/>
            <w:vAlign w:val="center"/>
          </w:tcPr>
          <w:p w14:paraId="3C2EF4E4">
            <w:pPr>
              <w:widowControl/>
              <w:snapToGrid w:val="0"/>
              <w:spacing w:before="0" w:beforeLines="0" w:line="240" w:lineRule="auto"/>
              <w:jc w:val="center"/>
              <w:rPr>
                <w:sz w:val="22"/>
                <w:szCs w:val="22"/>
              </w:rPr>
            </w:pPr>
            <w:r>
              <w:rPr>
                <w:rFonts w:hint="eastAsia"/>
                <w:sz w:val="22"/>
                <w:szCs w:val="22"/>
              </w:rPr>
              <w:t>53</w:t>
            </w:r>
          </w:p>
        </w:tc>
        <w:tc>
          <w:tcPr>
            <w:tcW w:w="524" w:type="pct"/>
            <w:vAlign w:val="center"/>
          </w:tcPr>
          <w:p w14:paraId="7075B301">
            <w:pPr>
              <w:widowControl/>
              <w:snapToGrid w:val="0"/>
              <w:spacing w:before="0" w:beforeLines="0" w:line="240" w:lineRule="auto"/>
              <w:jc w:val="center"/>
              <w:rPr>
                <w:sz w:val="22"/>
                <w:szCs w:val="22"/>
              </w:rPr>
            </w:pPr>
            <w:r>
              <w:rPr>
                <w:rFonts w:hint="eastAsia"/>
                <w:sz w:val="22"/>
                <w:szCs w:val="22"/>
              </w:rPr>
              <w:t>88.3</w:t>
            </w:r>
          </w:p>
        </w:tc>
        <w:tc>
          <w:tcPr>
            <w:tcW w:w="566" w:type="pct"/>
            <w:vAlign w:val="center"/>
          </w:tcPr>
          <w:p w14:paraId="44535AFF">
            <w:pPr>
              <w:widowControl/>
              <w:snapToGrid w:val="0"/>
              <w:spacing w:before="0" w:beforeLines="0" w:line="240" w:lineRule="auto"/>
              <w:jc w:val="center"/>
              <w:rPr>
                <w:sz w:val="22"/>
                <w:szCs w:val="22"/>
              </w:rPr>
            </w:pPr>
            <w:r>
              <w:rPr>
                <w:rFonts w:hint="eastAsia"/>
                <w:sz w:val="22"/>
                <w:szCs w:val="22"/>
              </w:rPr>
              <w:t>达标</w:t>
            </w:r>
          </w:p>
        </w:tc>
      </w:tr>
      <w:tr w14:paraId="3274B8F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351" w:hRule="atLeast"/>
          <w:jc w:val="center"/>
        </w:trPr>
        <w:tc>
          <w:tcPr>
            <w:tcW w:w="523" w:type="pct"/>
            <w:vAlign w:val="center"/>
          </w:tcPr>
          <w:p w14:paraId="14FFE058">
            <w:pPr>
              <w:tabs>
                <w:tab w:val="left" w:pos="2880"/>
              </w:tabs>
              <w:snapToGrid w:val="0"/>
              <w:spacing w:before="0" w:beforeLines="0" w:line="240" w:lineRule="auto"/>
              <w:jc w:val="center"/>
              <w:rPr>
                <w:szCs w:val="21"/>
              </w:rPr>
            </w:pPr>
            <w:r>
              <w:rPr>
                <w:szCs w:val="21"/>
              </w:rPr>
              <w:t>PM</w:t>
            </w:r>
            <w:r>
              <w:rPr>
                <w:szCs w:val="21"/>
                <w:vertAlign w:val="subscript"/>
              </w:rPr>
              <w:t>2.5</w:t>
            </w:r>
          </w:p>
        </w:tc>
        <w:tc>
          <w:tcPr>
            <w:tcW w:w="2074" w:type="pct"/>
            <w:vAlign w:val="center"/>
          </w:tcPr>
          <w:p w14:paraId="374E495D">
            <w:pPr>
              <w:widowControl/>
              <w:snapToGrid w:val="0"/>
              <w:spacing w:before="0" w:beforeLines="0" w:line="240" w:lineRule="auto"/>
              <w:jc w:val="center"/>
              <w:rPr>
                <w:sz w:val="22"/>
                <w:szCs w:val="22"/>
              </w:rPr>
            </w:pPr>
            <w:r>
              <w:rPr>
                <w:rFonts w:hint="eastAsia"/>
                <w:sz w:val="22"/>
                <w:szCs w:val="22"/>
              </w:rPr>
              <w:t>年均浓度</w:t>
            </w:r>
          </w:p>
        </w:tc>
        <w:tc>
          <w:tcPr>
            <w:tcW w:w="521" w:type="pct"/>
            <w:vAlign w:val="center"/>
          </w:tcPr>
          <w:p w14:paraId="516153DE">
            <w:pPr>
              <w:widowControl/>
              <w:snapToGrid w:val="0"/>
              <w:spacing w:before="0" w:beforeLines="0" w:line="240" w:lineRule="auto"/>
              <w:jc w:val="center"/>
              <w:rPr>
                <w:sz w:val="22"/>
                <w:szCs w:val="22"/>
              </w:rPr>
            </w:pPr>
            <w:r>
              <w:rPr>
                <w:rFonts w:hint="eastAsia"/>
                <w:sz w:val="22"/>
                <w:szCs w:val="22"/>
              </w:rPr>
              <w:t>30</w:t>
            </w:r>
          </w:p>
        </w:tc>
        <w:tc>
          <w:tcPr>
            <w:tcW w:w="792" w:type="pct"/>
            <w:vAlign w:val="center"/>
          </w:tcPr>
          <w:p w14:paraId="1DDB58BF">
            <w:pPr>
              <w:widowControl/>
              <w:snapToGrid w:val="0"/>
              <w:spacing w:before="0" w:beforeLines="0" w:line="240" w:lineRule="auto"/>
              <w:jc w:val="center"/>
              <w:rPr>
                <w:sz w:val="22"/>
                <w:szCs w:val="22"/>
              </w:rPr>
            </w:pPr>
            <w:r>
              <w:rPr>
                <w:rFonts w:hint="eastAsia"/>
                <w:sz w:val="22"/>
                <w:szCs w:val="22"/>
              </w:rPr>
              <w:t>28</w:t>
            </w:r>
          </w:p>
        </w:tc>
        <w:tc>
          <w:tcPr>
            <w:tcW w:w="524" w:type="pct"/>
            <w:vAlign w:val="center"/>
          </w:tcPr>
          <w:p w14:paraId="02E85CD9">
            <w:pPr>
              <w:widowControl/>
              <w:snapToGrid w:val="0"/>
              <w:spacing w:before="0" w:beforeLines="0" w:line="240" w:lineRule="auto"/>
              <w:jc w:val="center"/>
              <w:rPr>
                <w:sz w:val="22"/>
                <w:szCs w:val="22"/>
              </w:rPr>
            </w:pPr>
            <w:r>
              <w:rPr>
                <w:rFonts w:hint="eastAsia"/>
                <w:sz w:val="22"/>
                <w:szCs w:val="22"/>
              </w:rPr>
              <w:t>93.3</w:t>
            </w:r>
          </w:p>
        </w:tc>
        <w:tc>
          <w:tcPr>
            <w:tcW w:w="566" w:type="pct"/>
            <w:vAlign w:val="center"/>
          </w:tcPr>
          <w:p w14:paraId="06E5A196">
            <w:pPr>
              <w:widowControl/>
              <w:adjustRightInd w:val="0"/>
              <w:snapToGrid w:val="0"/>
              <w:spacing w:before="0" w:beforeLines="0" w:line="240" w:lineRule="auto"/>
              <w:jc w:val="center"/>
              <w:rPr>
                <w:sz w:val="22"/>
                <w:szCs w:val="22"/>
              </w:rPr>
            </w:pPr>
            <w:r>
              <w:rPr>
                <w:rFonts w:hint="eastAsia"/>
                <w:sz w:val="22"/>
                <w:szCs w:val="22"/>
              </w:rPr>
              <w:t>达标</w:t>
            </w:r>
          </w:p>
        </w:tc>
      </w:tr>
      <w:tr w14:paraId="06950201">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325" w:hRule="atLeast"/>
          <w:jc w:val="center"/>
        </w:trPr>
        <w:tc>
          <w:tcPr>
            <w:tcW w:w="523" w:type="pct"/>
            <w:vAlign w:val="center"/>
          </w:tcPr>
          <w:p w14:paraId="4B555C84">
            <w:pPr>
              <w:tabs>
                <w:tab w:val="left" w:pos="2880"/>
              </w:tabs>
              <w:snapToGrid w:val="0"/>
              <w:spacing w:before="0" w:beforeLines="0" w:line="240" w:lineRule="auto"/>
              <w:jc w:val="center"/>
              <w:rPr>
                <w:szCs w:val="21"/>
              </w:rPr>
            </w:pPr>
            <w:r>
              <w:rPr>
                <w:szCs w:val="21"/>
              </w:rPr>
              <w:t>O</w:t>
            </w:r>
            <w:r>
              <w:rPr>
                <w:szCs w:val="21"/>
                <w:vertAlign w:val="subscript"/>
              </w:rPr>
              <w:t>3</w:t>
            </w:r>
          </w:p>
        </w:tc>
        <w:tc>
          <w:tcPr>
            <w:tcW w:w="2074" w:type="pct"/>
            <w:vAlign w:val="center"/>
          </w:tcPr>
          <w:p w14:paraId="1E5E2517">
            <w:pPr>
              <w:widowControl/>
              <w:snapToGrid w:val="0"/>
              <w:spacing w:before="0" w:beforeLines="0" w:line="240" w:lineRule="auto"/>
              <w:jc w:val="center"/>
              <w:rPr>
                <w:sz w:val="22"/>
                <w:szCs w:val="22"/>
              </w:rPr>
            </w:pPr>
            <w:r>
              <w:rPr>
                <w:sz w:val="22"/>
                <w:szCs w:val="22"/>
              </w:rPr>
              <w:t>8h</w:t>
            </w:r>
            <w:r>
              <w:rPr>
                <w:rFonts w:hint="eastAsia"/>
                <w:sz w:val="22"/>
                <w:szCs w:val="22"/>
              </w:rPr>
              <w:t>最大平均第</w:t>
            </w:r>
            <w:r>
              <w:rPr>
                <w:sz w:val="22"/>
                <w:szCs w:val="22"/>
              </w:rPr>
              <w:t>90</w:t>
            </w:r>
            <w:r>
              <w:rPr>
                <w:rFonts w:hint="eastAsia"/>
                <w:sz w:val="22"/>
                <w:szCs w:val="22"/>
              </w:rPr>
              <w:t>百分位数</w:t>
            </w:r>
          </w:p>
        </w:tc>
        <w:tc>
          <w:tcPr>
            <w:tcW w:w="521" w:type="pct"/>
            <w:vAlign w:val="center"/>
          </w:tcPr>
          <w:p w14:paraId="1CC1AD9D">
            <w:pPr>
              <w:widowControl/>
              <w:snapToGrid w:val="0"/>
              <w:spacing w:before="0" w:beforeLines="0" w:line="240" w:lineRule="auto"/>
              <w:jc w:val="center"/>
              <w:rPr>
                <w:sz w:val="22"/>
                <w:szCs w:val="22"/>
              </w:rPr>
            </w:pPr>
            <w:r>
              <w:rPr>
                <w:sz w:val="22"/>
                <w:szCs w:val="22"/>
              </w:rPr>
              <w:t>160</w:t>
            </w:r>
          </w:p>
        </w:tc>
        <w:tc>
          <w:tcPr>
            <w:tcW w:w="792" w:type="pct"/>
            <w:vAlign w:val="center"/>
          </w:tcPr>
          <w:p w14:paraId="4D2E13BC">
            <w:pPr>
              <w:widowControl/>
              <w:adjustRightInd w:val="0"/>
              <w:snapToGrid w:val="0"/>
              <w:spacing w:before="0" w:beforeLines="0" w:line="240" w:lineRule="auto"/>
              <w:jc w:val="center"/>
              <w:rPr>
                <w:sz w:val="22"/>
                <w:szCs w:val="22"/>
              </w:rPr>
            </w:pPr>
            <w:r>
              <w:rPr>
                <w:rFonts w:hint="eastAsia"/>
                <w:sz w:val="22"/>
                <w:szCs w:val="22"/>
              </w:rPr>
              <w:t>140</w:t>
            </w:r>
          </w:p>
        </w:tc>
        <w:tc>
          <w:tcPr>
            <w:tcW w:w="524" w:type="pct"/>
            <w:vAlign w:val="center"/>
          </w:tcPr>
          <w:p w14:paraId="7BB7F9DF">
            <w:pPr>
              <w:widowControl/>
              <w:adjustRightInd w:val="0"/>
              <w:snapToGrid w:val="0"/>
              <w:spacing w:before="0" w:beforeLines="0" w:line="240" w:lineRule="auto"/>
              <w:jc w:val="center"/>
              <w:rPr>
                <w:sz w:val="22"/>
                <w:szCs w:val="22"/>
              </w:rPr>
            </w:pPr>
            <w:r>
              <w:rPr>
                <w:rFonts w:hint="eastAsia"/>
                <w:sz w:val="22"/>
                <w:szCs w:val="22"/>
              </w:rPr>
              <w:t>87.5</w:t>
            </w:r>
          </w:p>
        </w:tc>
        <w:tc>
          <w:tcPr>
            <w:tcW w:w="566" w:type="pct"/>
            <w:vAlign w:val="center"/>
          </w:tcPr>
          <w:p w14:paraId="3A8E77C1">
            <w:pPr>
              <w:widowControl/>
              <w:adjustRightInd w:val="0"/>
              <w:snapToGrid w:val="0"/>
              <w:spacing w:before="0" w:beforeLines="0" w:line="240" w:lineRule="auto"/>
              <w:jc w:val="center"/>
              <w:rPr>
                <w:sz w:val="22"/>
                <w:szCs w:val="22"/>
              </w:rPr>
            </w:pPr>
            <w:r>
              <w:rPr>
                <w:rFonts w:hint="eastAsia"/>
                <w:sz w:val="22"/>
                <w:szCs w:val="22"/>
              </w:rPr>
              <w:t>达标</w:t>
            </w:r>
          </w:p>
        </w:tc>
      </w:tr>
      <w:tr w14:paraId="5738445D">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325" w:hRule="atLeast"/>
          <w:jc w:val="center"/>
        </w:trPr>
        <w:tc>
          <w:tcPr>
            <w:tcW w:w="523" w:type="pct"/>
            <w:vAlign w:val="center"/>
          </w:tcPr>
          <w:p w14:paraId="1D7AA081">
            <w:pPr>
              <w:tabs>
                <w:tab w:val="left" w:pos="2880"/>
              </w:tabs>
              <w:snapToGrid w:val="0"/>
              <w:spacing w:before="0" w:beforeLines="0" w:line="240" w:lineRule="auto"/>
              <w:jc w:val="center"/>
              <w:rPr>
                <w:szCs w:val="21"/>
              </w:rPr>
            </w:pPr>
            <w:r>
              <w:rPr>
                <w:szCs w:val="21"/>
              </w:rPr>
              <w:t>CO</w:t>
            </w:r>
          </w:p>
        </w:tc>
        <w:tc>
          <w:tcPr>
            <w:tcW w:w="2074" w:type="pct"/>
            <w:vAlign w:val="center"/>
          </w:tcPr>
          <w:p w14:paraId="046C3AED">
            <w:pPr>
              <w:widowControl/>
              <w:snapToGrid w:val="0"/>
              <w:spacing w:before="0" w:beforeLines="0" w:line="240" w:lineRule="auto"/>
              <w:jc w:val="center"/>
              <w:rPr>
                <w:sz w:val="22"/>
                <w:szCs w:val="22"/>
              </w:rPr>
            </w:pPr>
            <w:r>
              <w:rPr>
                <w:rFonts w:hint="eastAsia"/>
                <w:sz w:val="22"/>
                <w:szCs w:val="22"/>
              </w:rPr>
              <w:t>日平均第</w:t>
            </w:r>
            <w:r>
              <w:rPr>
                <w:sz w:val="22"/>
                <w:szCs w:val="22"/>
              </w:rPr>
              <w:t>95</w:t>
            </w:r>
            <w:r>
              <w:rPr>
                <w:rFonts w:hint="eastAsia"/>
                <w:sz w:val="22"/>
                <w:szCs w:val="22"/>
              </w:rPr>
              <w:t>百分位数</w:t>
            </w:r>
          </w:p>
        </w:tc>
        <w:tc>
          <w:tcPr>
            <w:tcW w:w="521" w:type="pct"/>
            <w:vAlign w:val="center"/>
          </w:tcPr>
          <w:p w14:paraId="471D4334">
            <w:pPr>
              <w:widowControl/>
              <w:snapToGrid w:val="0"/>
              <w:spacing w:before="0" w:beforeLines="0" w:line="240" w:lineRule="auto"/>
              <w:jc w:val="center"/>
              <w:rPr>
                <w:sz w:val="22"/>
                <w:szCs w:val="22"/>
              </w:rPr>
            </w:pPr>
            <w:r>
              <w:rPr>
                <w:sz w:val="22"/>
                <w:szCs w:val="22"/>
              </w:rPr>
              <w:t>4000</w:t>
            </w:r>
          </w:p>
        </w:tc>
        <w:tc>
          <w:tcPr>
            <w:tcW w:w="792" w:type="pct"/>
            <w:vAlign w:val="center"/>
          </w:tcPr>
          <w:p w14:paraId="48A80911">
            <w:pPr>
              <w:widowControl/>
              <w:adjustRightInd w:val="0"/>
              <w:snapToGrid w:val="0"/>
              <w:spacing w:before="0" w:beforeLines="0" w:line="240" w:lineRule="auto"/>
              <w:jc w:val="center"/>
              <w:rPr>
                <w:sz w:val="22"/>
                <w:szCs w:val="22"/>
              </w:rPr>
            </w:pPr>
            <w:r>
              <w:rPr>
                <w:rFonts w:hint="eastAsia"/>
                <w:sz w:val="22"/>
                <w:szCs w:val="22"/>
              </w:rPr>
              <w:t>1300</w:t>
            </w:r>
          </w:p>
        </w:tc>
        <w:tc>
          <w:tcPr>
            <w:tcW w:w="524" w:type="pct"/>
            <w:vAlign w:val="center"/>
          </w:tcPr>
          <w:p w14:paraId="7170AF95">
            <w:pPr>
              <w:widowControl/>
              <w:snapToGrid w:val="0"/>
              <w:spacing w:before="0" w:beforeLines="0" w:line="240" w:lineRule="auto"/>
              <w:jc w:val="center"/>
              <w:rPr>
                <w:sz w:val="22"/>
                <w:szCs w:val="22"/>
              </w:rPr>
            </w:pPr>
            <w:r>
              <w:rPr>
                <w:rFonts w:hint="eastAsia"/>
                <w:sz w:val="22"/>
                <w:szCs w:val="22"/>
              </w:rPr>
              <w:t>32.5</w:t>
            </w:r>
          </w:p>
        </w:tc>
        <w:tc>
          <w:tcPr>
            <w:tcW w:w="566" w:type="pct"/>
            <w:vAlign w:val="center"/>
          </w:tcPr>
          <w:p w14:paraId="0079AEEC">
            <w:pPr>
              <w:widowControl/>
              <w:adjustRightInd w:val="0"/>
              <w:snapToGrid w:val="0"/>
              <w:spacing w:before="0" w:beforeLines="0" w:line="240" w:lineRule="auto"/>
              <w:jc w:val="center"/>
              <w:rPr>
                <w:sz w:val="22"/>
                <w:szCs w:val="22"/>
              </w:rPr>
            </w:pPr>
            <w:r>
              <w:rPr>
                <w:rFonts w:hint="eastAsia"/>
                <w:sz w:val="22"/>
                <w:szCs w:val="22"/>
              </w:rPr>
              <w:t>达标</w:t>
            </w:r>
          </w:p>
        </w:tc>
      </w:tr>
    </w:tbl>
    <w:p w14:paraId="596CBA1A">
      <w:pPr>
        <w:adjustRightInd w:val="0"/>
        <w:snapToGrid w:val="0"/>
        <w:spacing w:before="0" w:beforeLines="0" w:line="360" w:lineRule="auto"/>
        <w:ind w:firstLine="480" w:firstLineChars="200"/>
        <w:rPr>
          <w:sz w:val="24"/>
          <w:szCs w:val="20"/>
        </w:rPr>
      </w:pPr>
      <w:r>
        <w:rPr>
          <w:sz w:val="24"/>
          <w:szCs w:val="20"/>
        </w:rPr>
        <w:t>综上，项目所在区域为达标区。</w:t>
      </w:r>
    </w:p>
    <w:p w14:paraId="15B91819">
      <w:pPr>
        <w:adjustRightInd w:val="0"/>
        <w:snapToGrid w:val="0"/>
        <w:spacing w:before="0" w:beforeLines="0" w:line="360" w:lineRule="auto"/>
        <w:ind w:left="480"/>
        <w:rPr>
          <w:b/>
          <w:sz w:val="24"/>
          <w:szCs w:val="20"/>
        </w:rPr>
      </w:pPr>
      <w:r>
        <w:rPr>
          <w:rFonts w:hint="eastAsia"/>
          <w:b/>
          <w:sz w:val="24"/>
          <w:szCs w:val="20"/>
        </w:rPr>
        <w:t>（2）环境质量现状数据统计</w:t>
      </w:r>
    </w:p>
    <w:p w14:paraId="7C1A338A">
      <w:pPr>
        <w:tabs>
          <w:tab w:val="left" w:pos="2880"/>
        </w:tabs>
        <w:adjustRightInd w:val="0"/>
        <w:snapToGrid w:val="0"/>
        <w:spacing w:before="0" w:beforeLines="0" w:line="360" w:lineRule="auto"/>
        <w:ind w:firstLine="480" w:firstLineChars="200"/>
        <w:rPr>
          <w:color w:val="0070C0"/>
          <w:sz w:val="24"/>
        </w:rPr>
      </w:pPr>
      <w:r>
        <w:rPr>
          <w:sz w:val="24"/>
        </w:rPr>
        <w:t>为具体了解项目所在地区的环境空气质量状况，本次评价收集了</w:t>
      </w:r>
      <w:r>
        <w:rPr>
          <w:sz w:val="24"/>
          <w:szCs w:val="20"/>
        </w:rPr>
        <w:t>阜新长青街环境空气质量监测站</w:t>
      </w:r>
      <w:r>
        <w:rPr>
          <w:sz w:val="24"/>
        </w:rPr>
        <w:t>2025年全年例行监测数据平均值，并按照《环境空气质量评价技术规范（试行）》（HJ663-2013）中各基本污染物的年评价指标进行评价，具体统计结果见表2-1。</w:t>
      </w:r>
    </w:p>
    <w:p w14:paraId="14381E09">
      <w:pPr>
        <w:tabs>
          <w:tab w:val="left" w:pos="2880"/>
        </w:tabs>
        <w:adjustRightInd w:val="0"/>
        <w:snapToGrid w:val="0"/>
        <w:spacing w:before="0" w:beforeLines="0" w:line="360" w:lineRule="auto"/>
        <w:ind w:firstLine="480" w:firstLineChars="200"/>
        <w:rPr>
          <w:color w:val="0070C0"/>
          <w:sz w:val="24"/>
        </w:rPr>
      </w:pPr>
      <w:r>
        <w:rPr>
          <w:sz w:val="24"/>
        </w:rPr>
        <w:t>由表可知：2025年，SO</w:t>
      </w:r>
      <w:r>
        <w:rPr>
          <w:sz w:val="24"/>
          <w:vertAlign w:val="subscript"/>
        </w:rPr>
        <w:t>2</w:t>
      </w:r>
      <w:r>
        <w:rPr>
          <w:sz w:val="24"/>
        </w:rPr>
        <w:t>、NO</w:t>
      </w:r>
      <w:r>
        <w:rPr>
          <w:sz w:val="24"/>
          <w:vertAlign w:val="subscript"/>
        </w:rPr>
        <w:t>2</w:t>
      </w:r>
      <w:r>
        <w:rPr>
          <w:sz w:val="24"/>
        </w:rPr>
        <w:t>的年均浓度分别为12.4μg/m</w:t>
      </w:r>
      <w:r>
        <w:rPr>
          <w:sz w:val="24"/>
          <w:vertAlign w:val="superscript"/>
        </w:rPr>
        <w:t>3</w:t>
      </w:r>
      <w:r>
        <w:rPr>
          <w:sz w:val="24"/>
        </w:rPr>
        <w:t>、19.9μg/m</w:t>
      </w:r>
      <w:r>
        <w:rPr>
          <w:sz w:val="24"/>
          <w:vertAlign w:val="superscript"/>
        </w:rPr>
        <w:t>3</w:t>
      </w:r>
      <w:r>
        <w:rPr>
          <w:sz w:val="24"/>
        </w:rPr>
        <w:t>，SO</w:t>
      </w:r>
      <w:r>
        <w:rPr>
          <w:sz w:val="24"/>
          <w:vertAlign w:val="subscript"/>
        </w:rPr>
        <w:t>2</w:t>
      </w:r>
      <w:r>
        <w:rPr>
          <w:sz w:val="24"/>
        </w:rPr>
        <w:t>、NO</w:t>
      </w:r>
      <w:r>
        <w:rPr>
          <w:sz w:val="24"/>
          <w:vertAlign w:val="subscript"/>
        </w:rPr>
        <w:t>2</w:t>
      </w:r>
      <w:r>
        <w:rPr>
          <w:sz w:val="24"/>
        </w:rPr>
        <w:t>均能满足《环境空气质量标准》（GB3095-2026）过渡阶段标准要求，占标率分别为20.67%、49.75%，PM</w:t>
      </w:r>
      <w:r>
        <w:rPr>
          <w:sz w:val="24"/>
          <w:vertAlign w:val="subscript"/>
        </w:rPr>
        <w:t>10</w:t>
      </w:r>
      <w:r>
        <w:rPr>
          <w:sz w:val="24"/>
        </w:rPr>
        <w:t>和PM</w:t>
      </w:r>
      <w:r>
        <w:rPr>
          <w:sz w:val="24"/>
          <w:vertAlign w:val="subscript"/>
        </w:rPr>
        <w:t>2.5</w:t>
      </w:r>
      <w:r>
        <w:rPr>
          <w:sz w:val="24"/>
        </w:rPr>
        <w:t>的年均浓度分别为47.86μg/m</w:t>
      </w:r>
      <w:r>
        <w:rPr>
          <w:sz w:val="24"/>
          <w:vertAlign w:val="superscript"/>
        </w:rPr>
        <w:t>3</w:t>
      </w:r>
      <w:r>
        <w:rPr>
          <w:sz w:val="24"/>
        </w:rPr>
        <w:t>、28.5μg/m</w:t>
      </w:r>
      <w:r>
        <w:rPr>
          <w:sz w:val="24"/>
          <w:vertAlign w:val="superscript"/>
        </w:rPr>
        <w:t>3</w:t>
      </w:r>
      <w:r>
        <w:rPr>
          <w:sz w:val="24"/>
        </w:rPr>
        <w:t>，PM</w:t>
      </w:r>
      <w:r>
        <w:rPr>
          <w:sz w:val="24"/>
          <w:vertAlign w:val="subscript"/>
        </w:rPr>
        <w:t>10</w:t>
      </w:r>
      <w:r>
        <w:rPr>
          <w:sz w:val="24"/>
        </w:rPr>
        <w:t>占标79.77%，PM</w:t>
      </w:r>
      <w:r>
        <w:rPr>
          <w:sz w:val="24"/>
          <w:vertAlign w:val="subscript"/>
        </w:rPr>
        <w:t>2.5</w:t>
      </w:r>
      <w:r>
        <w:rPr>
          <w:sz w:val="24"/>
        </w:rPr>
        <w:t>占标95%。</w:t>
      </w:r>
    </w:p>
    <w:p w14:paraId="47E4FE22">
      <w:pPr>
        <w:tabs>
          <w:tab w:val="left" w:pos="2880"/>
        </w:tabs>
        <w:adjustRightInd w:val="0"/>
        <w:snapToGrid w:val="0"/>
        <w:spacing w:before="0" w:beforeLines="0" w:line="360" w:lineRule="auto"/>
        <w:ind w:firstLine="480" w:firstLineChars="200"/>
        <w:rPr>
          <w:sz w:val="24"/>
        </w:rPr>
      </w:pPr>
      <w:r>
        <w:rPr>
          <w:sz w:val="24"/>
        </w:rPr>
        <w:t>SO</w:t>
      </w:r>
      <w:r>
        <w:rPr>
          <w:sz w:val="24"/>
          <w:vertAlign w:val="subscript"/>
        </w:rPr>
        <w:t>2</w:t>
      </w:r>
      <w:r>
        <w:rPr>
          <w:sz w:val="24"/>
        </w:rPr>
        <w:t>和NO</w:t>
      </w:r>
      <w:r>
        <w:rPr>
          <w:sz w:val="24"/>
          <w:vertAlign w:val="subscript"/>
        </w:rPr>
        <w:t>2</w:t>
      </w:r>
      <w:r>
        <w:rPr>
          <w:sz w:val="24"/>
        </w:rPr>
        <w:t>的第98百分位24小时平均浓度分别为29μg/m</w:t>
      </w:r>
      <w:r>
        <w:rPr>
          <w:sz w:val="24"/>
          <w:vertAlign w:val="superscript"/>
        </w:rPr>
        <w:t>3</w:t>
      </w:r>
      <w:r>
        <w:rPr>
          <w:sz w:val="24"/>
        </w:rPr>
        <w:t>和44.4μg/m</w:t>
      </w:r>
      <w:r>
        <w:rPr>
          <w:sz w:val="24"/>
          <w:vertAlign w:val="superscript"/>
        </w:rPr>
        <w:t>3</w:t>
      </w:r>
      <w:r>
        <w:rPr>
          <w:sz w:val="24"/>
        </w:rPr>
        <w:t>，均能满足《环境空气质量标准》（GB3095-2026）过渡阶段标准要求，占标率分别为19.33%和55.5%。</w:t>
      </w:r>
    </w:p>
    <w:p w14:paraId="36F64767">
      <w:pPr>
        <w:tabs>
          <w:tab w:val="left" w:pos="2880"/>
        </w:tabs>
        <w:adjustRightInd w:val="0"/>
        <w:snapToGrid w:val="0"/>
        <w:spacing w:before="0" w:beforeLines="0" w:line="360" w:lineRule="auto"/>
        <w:ind w:firstLine="720" w:firstLineChars="300"/>
        <w:rPr>
          <w:sz w:val="24"/>
        </w:rPr>
      </w:pPr>
      <w:r>
        <w:rPr>
          <w:sz w:val="24"/>
        </w:rPr>
        <w:t>PM</w:t>
      </w:r>
      <w:r>
        <w:rPr>
          <w:sz w:val="24"/>
          <w:vertAlign w:val="subscript"/>
        </w:rPr>
        <w:t>10</w:t>
      </w:r>
      <w:r>
        <w:rPr>
          <w:sz w:val="24"/>
        </w:rPr>
        <w:t>第95百分位24小时平均浓度为110.4μg/m</w:t>
      </w:r>
      <w:r>
        <w:rPr>
          <w:sz w:val="24"/>
          <w:vertAlign w:val="superscript"/>
        </w:rPr>
        <w:t>3</w:t>
      </w:r>
      <w:r>
        <w:rPr>
          <w:sz w:val="24"/>
        </w:rPr>
        <w:t>，低于《环境空气质量标准》（GB3095-2026）过渡阶段标准要求，占标率92%。</w:t>
      </w:r>
    </w:p>
    <w:p w14:paraId="211E0739">
      <w:pPr>
        <w:widowControl/>
        <w:tabs>
          <w:tab w:val="left" w:pos="2880"/>
        </w:tabs>
        <w:adjustRightInd w:val="0"/>
        <w:snapToGrid w:val="0"/>
        <w:spacing w:before="0" w:beforeLines="0" w:line="360" w:lineRule="auto"/>
        <w:ind w:firstLine="720" w:firstLineChars="300"/>
        <w:rPr>
          <w:sz w:val="24"/>
        </w:rPr>
      </w:pPr>
      <w:r>
        <w:rPr>
          <w:sz w:val="24"/>
        </w:rPr>
        <w:t>PM</w:t>
      </w:r>
      <w:r>
        <w:rPr>
          <w:sz w:val="24"/>
          <w:vertAlign w:val="subscript"/>
        </w:rPr>
        <w:t>2.5</w:t>
      </w:r>
      <w:r>
        <w:rPr>
          <w:sz w:val="24"/>
        </w:rPr>
        <w:t>第95百分位24小时平均浓度为75.9μg/m</w:t>
      </w:r>
      <w:r>
        <w:rPr>
          <w:sz w:val="24"/>
          <w:vertAlign w:val="superscript"/>
        </w:rPr>
        <w:t>3</w:t>
      </w:r>
      <w:r>
        <w:rPr>
          <w:sz w:val="24"/>
        </w:rPr>
        <w:t>，超过《环境空气质量标准》（GB3095-2026）过渡阶段标准要求。</w:t>
      </w:r>
    </w:p>
    <w:p w14:paraId="1807D027">
      <w:pPr>
        <w:widowControl/>
        <w:tabs>
          <w:tab w:val="left" w:pos="2880"/>
        </w:tabs>
        <w:adjustRightInd w:val="0"/>
        <w:snapToGrid w:val="0"/>
        <w:spacing w:before="0" w:beforeLines="0" w:line="360" w:lineRule="auto"/>
        <w:ind w:firstLine="720" w:firstLineChars="300"/>
        <w:rPr>
          <w:sz w:val="24"/>
          <w:szCs w:val="20"/>
        </w:rPr>
      </w:pPr>
      <w:r>
        <w:rPr>
          <w:sz w:val="24"/>
          <w:szCs w:val="20"/>
        </w:rPr>
        <w:t>CO日均值第95百分位数为1.639</w:t>
      </w:r>
      <w:r>
        <w:rPr>
          <w:sz w:val="24"/>
        </w:rPr>
        <w:t>mg/m</w:t>
      </w:r>
      <w:r>
        <w:rPr>
          <w:sz w:val="24"/>
          <w:vertAlign w:val="superscript"/>
        </w:rPr>
        <w:t>3</w:t>
      </w:r>
      <w:r>
        <w:rPr>
          <w:sz w:val="24"/>
        </w:rPr>
        <w:t>, 低于《环境空气质量标准》（GB3095-2026）过渡阶段标准要求，占标率40.975%。</w:t>
      </w:r>
    </w:p>
    <w:p w14:paraId="7EC935B7">
      <w:pPr>
        <w:adjustRightInd w:val="0"/>
        <w:snapToGrid w:val="0"/>
        <w:spacing w:before="0" w:beforeLines="0" w:after="120" w:line="360" w:lineRule="auto"/>
        <w:ind w:firstLine="480" w:firstLineChars="200"/>
        <w:rPr>
          <w:kern w:val="0"/>
          <w:sz w:val="24"/>
          <w:szCs w:val="22"/>
        </w:rPr>
      </w:pPr>
      <w:r>
        <w:rPr>
          <w:kern w:val="0"/>
          <w:sz w:val="24"/>
        </w:rPr>
        <w:t>臭氧（O</w:t>
      </w:r>
      <w:r>
        <w:rPr>
          <w:kern w:val="0"/>
          <w:sz w:val="24"/>
          <w:vertAlign w:val="subscript"/>
        </w:rPr>
        <w:t>3</w:t>
      </w:r>
      <w:r>
        <w:rPr>
          <w:kern w:val="0"/>
          <w:sz w:val="24"/>
        </w:rPr>
        <w:t>）日最大8小时滑动平均值第90百分位数浓度为112微克/立方米，低于国家环境空气质量二级标准，占标率70%。</w:t>
      </w:r>
    </w:p>
    <w:p w14:paraId="4CA757AE">
      <w:pPr>
        <w:pStyle w:val="190"/>
        <w:snapToGrid w:val="0"/>
        <w:spacing w:before="156" w:beforeLines="50"/>
        <w:ind w:firstLine="0" w:firstLineChars="0"/>
        <w:rPr>
          <w:b/>
          <w:bCs/>
        </w:rPr>
      </w:pPr>
      <w:r>
        <w:rPr>
          <w:rFonts w:hint="eastAsia"/>
          <w:b/>
          <w:bCs/>
        </w:rPr>
        <w:t>4.2.1.2</w:t>
      </w:r>
      <w:r>
        <w:rPr>
          <w:b/>
          <w:bCs/>
        </w:rPr>
        <w:t>其他污染物补充监测</w:t>
      </w:r>
    </w:p>
    <w:p w14:paraId="4ADB794A">
      <w:pPr>
        <w:pStyle w:val="190"/>
        <w:snapToGrid w:val="0"/>
        <w:ind w:firstLine="480"/>
      </w:pPr>
      <w:r>
        <w:fldChar w:fldCharType="begin"/>
      </w:r>
      <w:r>
        <w:instrText xml:space="preserve"> = 1 \* GB3 \* MERGEFORMAT </w:instrText>
      </w:r>
      <w:r>
        <w:fldChar w:fldCharType="separate"/>
      </w:r>
      <w:r>
        <w:t>①</w:t>
      </w:r>
      <w:r>
        <w:fldChar w:fldCharType="end"/>
      </w:r>
      <w:r>
        <w:t>监测因子</w:t>
      </w:r>
    </w:p>
    <w:p w14:paraId="60C8E5DF">
      <w:pPr>
        <w:pStyle w:val="190"/>
        <w:ind w:firstLine="480"/>
      </w:pPr>
      <w:r>
        <w:t>环境空气质量补充监测因子：TSP。</w:t>
      </w:r>
    </w:p>
    <w:p w14:paraId="16277BA0">
      <w:pPr>
        <w:pStyle w:val="190"/>
        <w:snapToGrid w:val="0"/>
        <w:spacing w:before="156" w:beforeLines="50"/>
        <w:ind w:firstLine="480"/>
      </w:pPr>
      <w:r>
        <w:fldChar w:fldCharType="begin"/>
      </w:r>
      <w:r>
        <w:instrText xml:space="preserve"> = 2 \* GB3 \* MERGEFORMAT </w:instrText>
      </w:r>
      <w:r>
        <w:fldChar w:fldCharType="separate"/>
      </w:r>
      <w:r>
        <w:t>②</w:t>
      </w:r>
      <w:r>
        <w:fldChar w:fldCharType="end"/>
      </w:r>
      <w:r>
        <w:t>监测点位</w:t>
      </w:r>
    </w:p>
    <w:p w14:paraId="03BE53EA">
      <w:pPr>
        <w:pStyle w:val="190"/>
        <w:ind w:firstLine="480"/>
      </w:pPr>
      <w:r>
        <w:t>根据评价等级要求，考虑功能区分布并结合全年主导风向，在1#厂区及2#厂区内分别布设1个监测点位1#、2#，在厂区北侧邵家窝堡设置1个监测点位3#。</w:t>
      </w:r>
    </w:p>
    <w:p w14:paraId="37A5E09F">
      <w:pPr>
        <w:pStyle w:val="151"/>
      </w:pPr>
      <w:r>
        <w:fldChar w:fldCharType="begin"/>
      </w:r>
      <w:r>
        <w:instrText xml:space="preserve"> = 3 \* GB3 \* MERGEFORMAT </w:instrText>
      </w:r>
      <w:r>
        <w:fldChar w:fldCharType="separate"/>
      </w:r>
      <w:r>
        <w:t>③</w:t>
      </w:r>
      <w:r>
        <w:fldChar w:fldCharType="end"/>
      </w:r>
      <w:r>
        <w:t>监测时间及频率</w:t>
      </w:r>
    </w:p>
    <w:p w14:paraId="71A6F878">
      <w:pPr>
        <w:pStyle w:val="151"/>
      </w:pPr>
      <w:r>
        <w:t>根据导则要求并结合本项目的实际情况，沈阳市中正检测技术有限公司于2023年9月22</w:t>
      </w:r>
      <w:r>
        <w:rPr>
          <w:rFonts w:hint="eastAsia"/>
        </w:rPr>
        <w:t>日</w:t>
      </w:r>
      <w:r>
        <w:t>-9月28日，连续监测7天，TSP平均24小时监测一次。采样时均观测并记录当时的天气状况、风向、</w:t>
      </w:r>
      <w:r>
        <w:rPr>
          <w:rFonts w:hint="eastAsia"/>
          <w:lang w:val="en-US" w:eastAsia="zh-CN"/>
        </w:rPr>
        <w:t>风速</w:t>
      </w:r>
      <w:r>
        <w:t>、气温气压等条件。</w:t>
      </w:r>
    </w:p>
    <w:p w14:paraId="2D970317">
      <w:pPr>
        <w:pStyle w:val="151"/>
      </w:pPr>
      <w:r>
        <w:fldChar w:fldCharType="begin"/>
      </w:r>
      <w:r>
        <w:instrText xml:space="preserve"> = 4 \* GB3 \* MERGEFORMAT </w:instrText>
      </w:r>
      <w:r>
        <w:fldChar w:fldCharType="separate"/>
      </w:r>
      <w:r>
        <w:t>④</w:t>
      </w:r>
      <w:r>
        <w:fldChar w:fldCharType="end"/>
      </w:r>
      <w:r>
        <w:t>监测方法</w:t>
      </w:r>
    </w:p>
    <w:p w14:paraId="155E47A0">
      <w:pPr>
        <w:pStyle w:val="190"/>
        <w:ind w:firstLine="480"/>
      </w:pPr>
      <w:r>
        <w:t>按照《环境空气质量标准》（GB3095-20</w:t>
      </w:r>
      <w:r>
        <w:rPr>
          <w:rFonts w:hint="eastAsia"/>
        </w:rPr>
        <w:t>26</w:t>
      </w:r>
      <w:r>
        <w:t>）、《环境空气质量监测规范（试行）》、《空气和废气监测分析方法》（第四版）等相关规定。监测分析方法见表4.2-2。</w:t>
      </w:r>
    </w:p>
    <w:p w14:paraId="5CEE766D">
      <w:pPr>
        <w:pStyle w:val="143"/>
        <w:spacing w:before="156"/>
        <w:rPr>
          <w:b/>
          <w:bCs w:val="0"/>
        </w:rPr>
      </w:pPr>
      <w:r>
        <w:rPr>
          <w:b/>
          <w:bCs w:val="0"/>
        </w:rPr>
        <w:t xml:space="preserve">表4.2-2  </w:t>
      </w:r>
      <w:r>
        <w:rPr>
          <w:rFonts w:hint="eastAsia"/>
          <w:b/>
          <w:bCs w:val="0"/>
        </w:rPr>
        <w:t xml:space="preserve">    </w:t>
      </w:r>
      <w:r>
        <w:rPr>
          <w:b/>
          <w:bCs w:val="0"/>
        </w:rPr>
        <w:t>监测项目分析方法</w:t>
      </w:r>
    </w:p>
    <w:tbl>
      <w:tblPr>
        <w:tblStyle w:val="90"/>
        <w:tblW w:w="4997"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89"/>
        <w:gridCol w:w="1096"/>
        <w:gridCol w:w="2351"/>
        <w:gridCol w:w="2517"/>
        <w:gridCol w:w="896"/>
        <w:gridCol w:w="758"/>
      </w:tblGrid>
      <w:tr w14:paraId="06F10CB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15" w:type="pct"/>
            <w:tcBorders>
              <w:tl2br w:val="nil"/>
              <w:tr2bl w:val="nil"/>
            </w:tcBorders>
            <w:vAlign w:val="center"/>
          </w:tcPr>
          <w:p w14:paraId="4342215E">
            <w:pPr>
              <w:spacing w:before="0" w:beforeLines="0" w:line="240" w:lineRule="auto"/>
              <w:jc w:val="center"/>
              <w:rPr>
                <w:szCs w:val="21"/>
              </w:rPr>
            </w:pPr>
            <w:r>
              <w:rPr>
                <w:szCs w:val="21"/>
              </w:rPr>
              <w:t>序号</w:t>
            </w:r>
          </w:p>
        </w:tc>
        <w:tc>
          <w:tcPr>
            <w:tcW w:w="659" w:type="pct"/>
            <w:tcBorders>
              <w:tl2br w:val="nil"/>
              <w:tr2bl w:val="nil"/>
            </w:tcBorders>
            <w:vAlign w:val="center"/>
          </w:tcPr>
          <w:p w14:paraId="5B06F0F5">
            <w:pPr>
              <w:spacing w:before="0" w:beforeLines="0" w:line="240" w:lineRule="auto"/>
              <w:jc w:val="center"/>
              <w:rPr>
                <w:szCs w:val="21"/>
              </w:rPr>
            </w:pPr>
            <w:r>
              <w:rPr>
                <w:szCs w:val="21"/>
              </w:rPr>
              <w:t>检测项目</w:t>
            </w:r>
          </w:p>
        </w:tc>
        <w:tc>
          <w:tcPr>
            <w:tcW w:w="1414" w:type="pct"/>
            <w:tcBorders>
              <w:tl2br w:val="nil"/>
              <w:tr2bl w:val="nil"/>
            </w:tcBorders>
            <w:vAlign w:val="center"/>
          </w:tcPr>
          <w:p w14:paraId="3456D0BB">
            <w:pPr>
              <w:spacing w:before="0" w:beforeLines="0" w:line="240" w:lineRule="auto"/>
              <w:jc w:val="center"/>
              <w:rPr>
                <w:szCs w:val="21"/>
              </w:rPr>
            </w:pPr>
            <w:r>
              <w:rPr>
                <w:szCs w:val="21"/>
              </w:rPr>
              <w:t>检测标准（方法）</w:t>
            </w:r>
          </w:p>
        </w:tc>
        <w:tc>
          <w:tcPr>
            <w:tcW w:w="1514" w:type="pct"/>
            <w:tcBorders>
              <w:tl2br w:val="nil"/>
              <w:tr2bl w:val="nil"/>
            </w:tcBorders>
            <w:vAlign w:val="center"/>
          </w:tcPr>
          <w:p w14:paraId="019254BA">
            <w:pPr>
              <w:spacing w:before="0" w:beforeLines="0" w:line="240" w:lineRule="auto"/>
              <w:jc w:val="center"/>
              <w:rPr>
                <w:szCs w:val="21"/>
              </w:rPr>
            </w:pPr>
            <w:r>
              <w:rPr>
                <w:szCs w:val="21"/>
              </w:rPr>
              <w:t>分析、采样仪器名称/型号/编号</w:t>
            </w:r>
          </w:p>
        </w:tc>
        <w:tc>
          <w:tcPr>
            <w:tcW w:w="539" w:type="pct"/>
            <w:tcBorders>
              <w:tl2br w:val="nil"/>
              <w:tr2bl w:val="nil"/>
            </w:tcBorders>
            <w:vAlign w:val="center"/>
          </w:tcPr>
          <w:p w14:paraId="65C91F49">
            <w:pPr>
              <w:spacing w:before="0" w:beforeLines="0" w:line="240" w:lineRule="auto"/>
              <w:jc w:val="center"/>
              <w:rPr>
                <w:szCs w:val="21"/>
              </w:rPr>
            </w:pPr>
            <w:r>
              <w:rPr>
                <w:szCs w:val="21"/>
              </w:rPr>
              <w:t>检出限</w:t>
            </w:r>
          </w:p>
        </w:tc>
        <w:tc>
          <w:tcPr>
            <w:tcW w:w="456" w:type="pct"/>
            <w:tcBorders>
              <w:tl2br w:val="nil"/>
              <w:tr2bl w:val="nil"/>
            </w:tcBorders>
            <w:vAlign w:val="center"/>
          </w:tcPr>
          <w:p w14:paraId="6FC22ACE">
            <w:pPr>
              <w:spacing w:before="0" w:beforeLines="0" w:line="240" w:lineRule="auto"/>
              <w:jc w:val="center"/>
              <w:rPr>
                <w:szCs w:val="21"/>
              </w:rPr>
            </w:pPr>
            <w:r>
              <w:rPr>
                <w:szCs w:val="21"/>
              </w:rPr>
              <w:t>单位</w:t>
            </w:r>
          </w:p>
        </w:tc>
      </w:tr>
      <w:tr w14:paraId="34B9F1B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5" w:type="pct"/>
            <w:vMerge w:val="restart"/>
            <w:tcBorders>
              <w:tl2br w:val="nil"/>
              <w:tr2bl w:val="nil"/>
            </w:tcBorders>
            <w:vAlign w:val="center"/>
          </w:tcPr>
          <w:p w14:paraId="6882515A">
            <w:pPr>
              <w:spacing w:before="0" w:beforeLines="0" w:line="240" w:lineRule="auto"/>
              <w:jc w:val="center"/>
              <w:rPr>
                <w:szCs w:val="21"/>
              </w:rPr>
            </w:pPr>
            <w:r>
              <w:rPr>
                <w:szCs w:val="21"/>
              </w:rPr>
              <w:t>1</w:t>
            </w:r>
          </w:p>
        </w:tc>
        <w:tc>
          <w:tcPr>
            <w:tcW w:w="659" w:type="pct"/>
            <w:vMerge w:val="restart"/>
            <w:tcBorders>
              <w:tl2br w:val="nil"/>
              <w:tr2bl w:val="nil"/>
            </w:tcBorders>
            <w:vAlign w:val="center"/>
          </w:tcPr>
          <w:p w14:paraId="6A77C75A">
            <w:pPr>
              <w:widowControl/>
              <w:spacing w:before="0" w:beforeLines="0" w:line="240" w:lineRule="auto"/>
              <w:jc w:val="center"/>
              <w:textAlignment w:val="center"/>
              <w:rPr>
                <w:szCs w:val="21"/>
              </w:rPr>
            </w:pPr>
            <w:r>
              <w:rPr>
                <w:kern w:val="0"/>
                <w:szCs w:val="21"/>
                <w:lang w:bidi="ar"/>
              </w:rPr>
              <w:t>TSP</w:t>
            </w:r>
          </w:p>
        </w:tc>
        <w:tc>
          <w:tcPr>
            <w:tcW w:w="1414" w:type="pct"/>
            <w:vMerge w:val="restart"/>
            <w:tcBorders>
              <w:tl2br w:val="nil"/>
              <w:tr2bl w:val="nil"/>
            </w:tcBorders>
            <w:vAlign w:val="center"/>
          </w:tcPr>
          <w:p w14:paraId="1027C9D9">
            <w:pPr>
              <w:widowControl/>
              <w:spacing w:before="0" w:beforeLines="0" w:line="240" w:lineRule="auto"/>
              <w:jc w:val="center"/>
              <w:textAlignment w:val="center"/>
              <w:rPr>
                <w:kern w:val="0"/>
                <w:szCs w:val="21"/>
                <w:lang w:bidi="ar"/>
              </w:rPr>
            </w:pPr>
            <w:r>
              <w:rPr>
                <w:kern w:val="0"/>
                <w:szCs w:val="21"/>
                <w:lang w:bidi="ar"/>
              </w:rPr>
              <w:t>环境空气 总悬浮颗粒物的测定 重量法</w:t>
            </w:r>
          </w:p>
          <w:p w14:paraId="617750DD">
            <w:pPr>
              <w:widowControl/>
              <w:spacing w:before="0" w:beforeLines="0" w:line="240" w:lineRule="auto"/>
              <w:jc w:val="center"/>
              <w:textAlignment w:val="center"/>
              <w:rPr>
                <w:szCs w:val="21"/>
              </w:rPr>
            </w:pPr>
            <w:r>
              <w:rPr>
                <w:kern w:val="0"/>
                <w:szCs w:val="21"/>
                <w:lang w:bidi="ar"/>
              </w:rPr>
              <w:t>HJ 1263-2022</w:t>
            </w:r>
          </w:p>
        </w:tc>
        <w:tc>
          <w:tcPr>
            <w:tcW w:w="1514" w:type="pct"/>
            <w:tcBorders>
              <w:tl2br w:val="nil"/>
              <w:tr2bl w:val="nil"/>
            </w:tcBorders>
            <w:vAlign w:val="center"/>
          </w:tcPr>
          <w:p w14:paraId="39660F9E">
            <w:pPr>
              <w:widowControl/>
              <w:spacing w:before="0" w:beforeLines="0" w:line="240" w:lineRule="auto"/>
              <w:jc w:val="center"/>
              <w:textAlignment w:val="center"/>
              <w:rPr>
                <w:szCs w:val="21"/>
              </w:rPr>
            </w:pPr>
            <w:r>
              <w:rPr>
                <w:szCs w:val="21"/>
              </w:rPr>
              <w:t>电子天平ME55/02</w:t>
            </w:r>
          </w:p>
          <w:p w14:paraId="1B71F85E">
            <w:pPr>
              <w:widowControl/>
              <w:spacing w:before="0" w:beforeLines="0" w:line="240" w:lineRule="auto"/>
              <w:jc w:val="center"/>
              <w:textAlignment w:val="center"/>
              <w:rPr>
                <w:szCs w:val="21"/>
              </w:rPr>
            </w:pPr>
            <w:r>
              <w:rPr>
                <w:szCs w:val="21"/>
              </w:rPr>
              <w:t>SYZZ-SB-007-03</w:t>
            </w:r>
          </w:p>
        </w:tc>
        <w:tc>
          <w:tcPr>
            <w:tcW w:w="539" w:type="pct"/>
            <w:vMerge w:val="restart"/>
            <w:tcBorders>
              <w:tl2br w:val="nil"/>
              <w:tr2bl w:val="nil"/>
            </w:tcBorders>
            <w:vAlign w:val="center"/>
          </w:tcPr>
          <w:p w14:paraId="7E51EB10">
            <w:pPr>
              <w:widowControl/>
              <w:spacing w:before="0" w:beforeLines="0" w:line="240" w:lineRule="auto"/>
              <w:jc w:val="center"/>
              <w:textAlignment w:val="center"/>
              <w:rPr>
                <w:szCs w:val="21"/>
              </w:rPr>
            </w:pPr>
            <w:r>
              <w:rPr>
                <w:kern w:val="0"/>
                <w:szCs w:val="21"/>
                <w:lang w:bidi="ar"/>
              </w:rPr>
              <w:t>7</w:t>
            </w:r>
          </w:p>
        </w:tc>
        <w:tc>
          <w:tcPr>
            <w:tcW w:w="456" w:type="pct"/>
            <w:vMerge w:val="restart"/>
            <w:tcBorders>
              <w:tl2br w:val="nil"/>
              <w:tr2bl w:val="nil"/>
            </w:tcBorders>
            <w:vAlign w:val="center"/>
          </w:tcPr>
          <w:p w14:paraId="27B3B881">
            <w:pPr>
              <w:spacing w:before="0" w:beforeLines="0" w:line="240" w:lineRule="auto"/>
              <w:jc w:val="center"/>
              <w:rPr>
                <w:szCs w:val="21"/>
              </w:rPr>
            </w:pPr>
            <w:r>
              <w:rPr>
                <w:szCs w:val="21"/>
              </w:rPr>
              <w:t>μg/m³</w:t>
            </w:r>
          </w:p>
        </w:tc>
      </w:tr>
      <w:tr w14:paraId="07A9843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5" w:type="pct"/>
            <w:vMerge w:val="continue"/>
            <w:tcBorders>
              <w:tl2br w:val="nil"/>
              <w:tr2bl w:val="nil"/>
            </w:tcBorders>
            <w:vAlign w:val="center"/>
          </w:tcPr>
          <w:p w14:paraId="5C7B1D46">
            <w:pPr>
              <w:spacing w:before="0" w:beforeLines="0" w:line="240" w:lineRule="auto"/>
              <w:jc w:val="center"/>
              <w:rPr>
                <w:szCs w:val="21"/>
              </w:rPr>
            </w:pPr>
          </w:p>
        </w:tc>
        <w:tc>
          <w:tcPr>
            <w:tcW w:w="659" w:type="pct"/>
            <w:vMerge w:val="continue"/>
            <w:tcBorders>
              <w:tl2br w:val="nil"/>
              <w:tr2bl w:val="nil"/>
            </w:tcBorders>
            <w:vAlign w:val="center"/>
          </w:tcPr>
          <w:p w14:paraId="7A1EE2D0">
            <w:pPr>
              <w:widowControl/>
              <w:spacing w:before="0" w:beforeLines="0" w:line="240" w:lineRule="auto"/>
              <w:jc w:val="center"/>
              <w:textAlignment w:val="center"/>
              <w:rPr>
                <w:szCs w:val="21"/>
              </w:rPr>
            </w:pPr>
          </w:p>
        </w:tc>
        <w:tc>
          <w:tcPr>
            <w:tcW w:w="1414" w:type="pct"/>
            <w:vMerge w:val="continue"/>
            <w:tcBorders>
              <w:tl2br w:val="nil"/>
              <w:tr2bl w:val="nil"/>
            </w:tcBorders>
            <w:vAlign w:val="center"/>
          </w:tcPr>
          <w:p w14:paraId="0DF04458">
            <w:pPr>
              <w:widowControl/>
              <w:spacing w:before="0" w:beforeLines="0" w:line="240" w:lineRule="auto"/>
              <w:jc w:val="center"/>
              <w:textAlignment w:val="center"/>
              <w:rPr>
                <w:szCs w:val="21"/>
              </w:rPr>
            </w:pPr>
          </w:p>
        </w:tc>
        <w:tc>
          <w:tcPr>
            <w:tcW w:w="1514" w:type="pct"/>
            <w:tcBorders>
              <w:tl2br w:val="nil"/>
              <w:tr2bl w:val="nil"/>
            </w:tcBorders>
            <w:vAlign w:val="center"/>
          </w:tcPr>
          <w:p w14:paraId="557AA455">
            <w:pPr>
              <w:widowControl/>
              <w:spacing w:before="0" w:beforeLines="0" w:line="240" w:lineRule="auto"/>
              <w:jc w:val="center"/>
              <w:textAlignment w:val="center"/>
              <w:rPr>
                <w:szCs w:val="21"/>
              </w:rPr>
            </w:pPr>
            <w:r>
              <w:rPr>
                <w:szCs w:val="21"/>
              </w:rPr>
              <w:t>环境空气综合颗粒物采样器ZR-3923型</w:t>
            </w:r>
          </w:p>
          <w:p w14:paraId="5CFF2BD7">
            <w:pPr>
              <w:widowControl/>
              <w:spacing w:before="0" w:beforeLines="0" w:line="240" w:lineRule="auto"/>
              <w:jc w:val="center"/>
              <w:textAlignment w:val="center"/>
              <w:rPr>
                <w:szCs w:val="21"/>
              </w:rPr>
            </w:pPr>
            <w:r>
              <w:rPr>
                <w:szCs w:val="21"/>
              </w:rPr>
              <w:t>SYZZ-SB-146-（01-03）</w:t>
            </w:r>
          </w:p>
        </w:tc>
        <w:tc>
          <w:tcPr>
            <w:tcW w:w="539" w:type="pct"/>
            <w:vMerge w:val="continue"/>
            <w:tcBorders>
              <w:tl2br w:val="nil"/>
              <w:tr2bl w:val="nil"/>
            </w:tcBorders>
            <w:vAlign w:val="center"/>
          </w:tcPr>
          <w:p w14:paraId="4441C493">
            <w:pPr>
              <w:spacing w:before="0" w:beforeLines="0" w:line="240" w:lineRule="auto"/>
              <w:jc w:val="center"/>
              <w:rPr>
                <w:szCs w:val="21"/>
              </w:rPr>
            </w:pPr>
          </w:p>
        </w:tc>
        <w:tc>
          <w:tcPr>
            <w:tcW w:w="456" w:type="pct"/>
            <w:vMerge w:val="continue"/>
            <w:tcBorders>
              <w:tl2br w:val="nil"/>
              <w:tr2bl w:val="nil"/>
            </w:tcBorders>
            <w:vAlign w:val="center"/>
          </w:tcPr>
          <w:p w14:paraId="2A1F23B4">
            <w:pPr>
              <w:spacing w:before="0" w:beforeLines="0" w:line="240" w:lineRule="auto"/>
              <w:jc w:val="center"/>
              <w:rPr>
                <w:szCs w:val="21"/>
              </w:rPr>
            </w:pPr>
          </w:p>
        </w:tc>
      </w:tr>
    </w:tbl>
    <w:p w14:paraId="0D42D574">
      <w:pPr>
        <w:pStyle w:val="190"/>
        <w:ind w:firstLine="480"/>
      </w:pPr>
      <w:r>
        <w:t>监测期间气象参数实测情况见表4.2-3。</w:t>
      </w:r>
    </w:p>
    <w:p w14:paraId="58038CF2">
      <w:pPr>
        <w:pStyle w:val="143"/>
        <w:spacing w:before="156"/>
        <w:rPr>
          <w:b/>
          <w:bCs w:val="0"/>
        </w:rPr>
      </w:pPr>
      <w:r>
        <w:t xml:space="preserve">   </w:t>
      </w:r>
      <w:r>
        <w:rPr>
          <w:b/>
          <w:bCs w:val="0"/>
        </w:rPr>
        <w:t xml:space="preserve">   表4.2-3  </w:t>
      </w:r>
      <w:r>
        <w:rPr>
          <w:rFonts w:hint="eastAsia"/>
          <w:b/>
          <w:bCs w:val="0"/>
        </w:rPr>
        <w:t xml:space="preserve">   </w:t>
      </w:r>
      <w:r>
        <w:rPr>
          <w:b/>
          <w:bCs w:val="0"/>
        </w:rPr>
        <w:t>环境空气监测期间气象参数</w:t>
      </w:r>
    </w:p>
    <w:tbl>
      <w:tblPr>
        <w:tblStyle w:val="89"/>
        <w:tblW w:w="5014"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361"/>
        <w:gridCol w:w="1014"/>
        <w:gridCol w:w="1209"/>
        <w:gridCol w:w="1434"/>
        <w:gridCol w:w="1157"/>
        <w:gridCol w:w="1160"/>
      </w:tblGrid>
      <w:tr w14:paraId="27AB95D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417" w:type="pct"/>
            <w:tcBorders>
              <w:tl2br w:val="nil"/>
              <w:tr2bl w:val="nil"/>
            </w:tcBorders>
            <w:vAlign w:val="center"/>
          </w:tcPr>
          <w:p w14:paraId="1B42F689">
            <w:pPr>
              <w:spacing w:before="0" w:beforeLines="0" w:line="240" w:lineRule="auto"/>
              <w:jc w:val="center"/>
              <w:rPr>
                <w:szCs w:val="21"/>
              </w:rPr>
            </w:pPr>
            <w:r>
              <w:rPr>
                <w:szCs w:val="21"/>
              </w:rPr>
              <w:t>采样日期</w:t>
            </w:r>
          </w:p>
        </w:tc>
        <w:tc>
          <w:tcPr>
            <w:tcW w:w="608" w:type="pct"/>
            <w:tcBorders>
              <w:tl2br w:val="nil"/>
              <w:tr2bl w:val="nil"/>
            </w:tcBorders>
            <w:vAlign w:val="center"/>
          </w:tcPr>
          <w:p w14:paraId="72F89858">
            <w:pPr>
              <w:spacing w:before="0" w:beforeLines="0" w:line="240" w:lineRule="auto"/>
              <w:jc w:val="center"/>
              <w:rPr>
                <w:szCs w:val="21"/>
              </w:rPr>
            </w:pPr>
            <w:r>
              <w:rPr>
                <w:szCs w:val="21"/>
              </w:rPr>
              <w:t>气温℃</w:t>
            </w:r>
          </w:p>
        </w:tc>
        <w:tc>
          <w:tcPr>
            <w:tcW w:w="725" w:type="pct"/>
            <w:tcBorders>
              <w:tl2br w:val="nil"/>
              <w:tr2bl w:val="nil"/>
            </w:tcBorders>
            <w:vAlign w:val="center"/>
          </w:tcPr>
          <w:p w14:paraId="45F9591C">
            <w:pPr>
              <w:spacing w:before="0" w:beforeLines="0" w:line="240" w:lineRule="auto"/>
              <w:jc w:val="center"/>
              <w:rPr>
                <w:szCs w:val="21"/>
              </w:rPr>
            </w:pPr>
            <w:r>
              <w:rPr>
                <w:szCs w:val="21"/>
              </w:rPr>
              <w:t>湿度%</w:t>
            </w:r>
          </w:p>
        </w:tc>
        <w:tc>
          <w:tcPr>
            <w:tcW w:w="860" w:type="pct"/>
            <w:tcBorders>
              <w:tl2br w:val="nil"/>
              <w:tr2bl w:val="nil"/>
            </w:tcBorders>
            <w:vAlign w:val="center"/>
          </w:tcPr>
          <w:p w14:paraId="09DC6BCE">
            <w:pPr>
              <w:spacing w:before="0" w:beforeLines="0" w:line="240" w:lineRule="auto"/>
              <w:jc w:val="center"/>
              <w:rPr>
                <w:szCs w:val="21"/>
              </w:rPr>
            </w:pPr>
            <w:r>
              <w:rPr>
                <w:szCs w:val="21"/>
              </w:rPr>
              <w:t>气压 hPa</w:t>
            </w:r>
          </w:p>
        </w:tc>
        <w:tc>
          <w:tcPr>
            <w:tcW w:w="694" w:type="pct"/>
            <w:tcBorders>
              <w:tl2br w:val="nil"/>
              <w:tr2bl w:val="nil"/>
            </w:tcBorders>
            <w:vAlign w:val="center"/>
          </w:tcPr>
          <w:p w14:paraId="68206F23">
            <w:pPr>
              <w:spacing w:before="0" w:beforeLines="0" w:line="240" w:lineRule="auto"/>
              <w:jc w:val="center"/>
              <w:rPr>
                <w:szCs w:val="21"/>
              </w:rPr>
            </w:pPr>
            <w:r>
              <w:rPr>
                <w:szCs w:val="21"/>
              </w:rPr>
              <w:t>风速m/s</w:t>
            </w:r>
          </w:p>
        </w:tc>
        <w:tc>
          <w:tcPr>
            <w:tcW w:w="696" w:type="pct"/>
            <w:tcBorders>
              <w:tl2br w:val="nil"/>
              <w:tr2bl w:val="nil"/>
            </w:tcBorders>
            <w:vAlign w:val="center"/>
          </w:tcPr>
          <w:p w14:paraId="3F547F7C">
            <w:pPr>
              <w:spacing w:before="0" w:beforeLines="0" w:line="240" w:lineRule="auto"/>
              <w:jc w:val="center"/>
              <w:rPr>
                <w:szCs w:val="21"/>
              </w:rPr>
            </w:pPr>
            <w:r>
              <w:rPr>
                <w:szCs w:val="21"/>
              </w:rPr>
              <w:t>风向</w:t>
            </w:r>
          </w:p>
        </w:tc>
      </w:tr>
      <w:tr w14:paraId="7108ADB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417" w:type="pct"/>
            <w:tcBorders>
              <w:tl2br w:val="nil"/>
              <w:tr2bl w:val="nil"/>
            </w:tcBorders>
            <w:vAlign w:val="center"/>
          </w:tcPr>
          <w:p w14:paraId="7CA0DC47">
            <w:pPr>
              <w:widowControl/>
              <w:spacing w:before="0" w:beforeLines="0" w:line="240" w:lineRule="auto"/>
              <w:jc w:val="center"/>
              <w:textAlignment w:val="center"/>
              <w:rPr>
                <w:szCs w:val="21"/>
                <w:lang w:bidi="ar"/>
              </w:rPr>
            </w:pPr>
            <w:r>
              <w:rPr>
                <w:szCs w:val="21"/>
                <w:lang w:bidi="ar"/>
              </w:rPr>
              <w:t>2023年09月22日</w:t>
            </w:r>
          </w:p>
        </w:tc>
        <w:tc>
          <w:tcPr>
            <w:tcW w:w="608" w:type="pct"/>
            <w:tcBorders>
              <w:tl2br w:val="nil"/>
              <w:tr2bl w:val="nil"/>
            </w:tcBorders>
            <w:vAlign w:val="center"/>
          </w:tcPr>
          <w:p w14:paraId="422F9B4F">
            <w:pPr>
              <w:widowControl/>
              <w:spacing w:before="0" w:beforeLines="0" w:line="240" w:lineRule="auto"/>
              <w:jc w:val="center"/>
              <w:textAlignment w:val="center"/>
              <w:rPr>
                <w:szCs w:val="21"/>
                <w:lang w:bidi="ar"/>
              </w:rPr>
            </w:pPr>
            <w:r>
              <w:rPr>
                <w:szCs w:val="21"/>
                <w:lang w:bidi="ar"/>
              </w:rPr>
              <w:t>4.3/20.1</w:t>
            </w:r>
          </w:p>
        </w:tc>
        <w:tc>
          <w:tcPr>
            <w:tcW w:w="725" w:type="pct"/>
            <w:tcBorders>
              <w:tl2br w:val="nil"/>
              <w:tr2bl w:val="nil"/>
            </w:tcBorders>
            <w:vAlign w:val="center"/>
          </w:tcPr>
          <w:p w14:paraId="376607EE">
            <w:pPr>
              <w:widowControl/>
              <w:spacing w:before="0" w:beforeLines="0" w:line="240" w:lineRule="auto"/>
              <w:jc w:val="center"/>
              <w:textAlignment w:val="center"/>
              <w:rPr>
                <w:szCs w:val="21"/>
                <w:lang w:bidi="ar"/>
              </w:rPr>
            </w:pPr>
            <w:r>
              <w:rPr>
                <w:szCs w:val="21"/>
                <w:lang w:bidi="ar"/>
              </w:rPr>
              <w:t>48.7/52.4</w:t>
            </w:r>
          </w:p>
        </w:tc>
        <w:tc>
          <w:tcPr>
            <w:tcW w:w="860" w:type="pct"/>
            <w:tcBorders>
              <w:tl2br w:val="nil"/>
              <w:tr2bl w:val="nil"/>
            </w:tcBorders>
            <w:vAlign w:val="center"/>
          </w:tcPr>
          <w:p w14:paraId="604B1452">
            <w:pPr>
              <w:widowControl/>
              <w:spacing w:before="0" w:beforeLines="0" w:line="240" w:lineRule="auto"/>
              <w:jc w:val="center"/>
              <w:textAlignment w:val="center"/>
              <w:rPr>
                <w:szCs w:val="21"/>
                <w:lang w:bidi="ar"/>
              </w:rPr>
            </w:pPr>
            <w:r>
              <w:rPr>
                <w:szCs w:val="21"/>
                <w:lang w:bidi="ar"/>
              </w:rPr>
              <w:t>1010.1/1011.3</w:t>
            </w:r>
          </w:p>
        </w:tc>
        <w:tc>
          <w:tcPr>
            <w:tcW w:w="694" w:type="pct"/>
            <w:tcBorders>
              <w:tl2br w:val="nil"/>
              <w:tr2bl w:val="nil"/>
            </w:tcBorders>
            <w:vAlign w:val="center"/>
          </w:tcPr>
          <w:p w14:paraId="3B5765FB">
            <w:pPr>
              <w:widowControl/>
              <w:spacing w:before="0" w:beforeLines="0" w:line="240" w:lineRule="auto"/>
              <w:jc w:val="center"/>
              <w:textAlignment w:val="center"/>
              <w:rPr>
                <w:szCs w:val="21"/>
                <w:lang w:bidi="ar"/>
              </w:rPr>
            </w:pPr>
            <w:r>
              <w:rPr>
                <w:szCs w:val="21"/>
                <w:lang w:bidi="ar"/>
              </w:rPr>
              <w:t>2.1/2.3</w:t>
            </w:r>
          </w:p>
        </w:tc>
        <w:tc>
          <w:tcPr>
            <w:tcW w:w="696" w:type="pct"/>
            <w:tcBorders>
              <w:tl2br w:val="nil"/>
              <w:tr2bl w:val="nil"/>
            </w:tcBorders>
            <w:vAlign w:val="center"/>
          </w:tcPr>
          <w:p w14:paraId="22F02002">
            <w:pPr>
              <w:widowControl/>
              <w:spacing w:before="0" w:beforeLines="0" w:line="240" w:lineRule="auto"/>
              <w:jc w:val="center"/>
              <w:textAlignment w:val="center"/>
              <w:rPr>
                <w:szCs w:val="21"/>
                <w:lang w:bidi="ar"/>
              </w:rPr>
            </w:pPr>
            <w:r>
              <w:rPr>
                <w:szCs w:val="21"/>
                <w:lang w:bidi="ar"/>
              </w:rPr>
              <w:t>东北</w:t>
            </w:r>
          </w:p>
        </w:tc>
      </w:tr>
      <w:tr w14:paraId="1588510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417" w:type="pct"/>
            <w:tcBorders>
              <w:tl2br w:val="nil"/>
              <w:tr2bl w:val="nil"/>
            </w:tcBorders>
            <w:vAlign w:val="center"/>
          </w:tcPr>
          <w:p w14:paraId="74FC2548">
            <w:pPr>
              <w:widowControl/>
              <w:spacing w:before="0" w:beforeLines="0" w:line="240" w:lineRule="auto"/>
              <w:jc w:val="center"/>
              <w:textAlignment w:val="center"/>
              <w:rPr>
                <w:szCs w:val="21"/>
                <w:lang w:bidi="ar"/>
              </w:rPr>
            </w:pPr>
            <w:r>
              <w:rPr>
                <w:szCs w:val="21"/>
                <w:lang w:bidi="ar"/>
              </w:rPr>
              <w:t>2023年09月23日</w:t>
            </w:r>
          </w:p>
        </w:tc>
        <w:tc>
          <w:tcPr>
            <w:tcW w:w="608" w:type="pct"/>
            <w:tcBorders>
              <w:tl2br w:val="nil"/>
              <w:tr2bl w:val="nil"/>
            </w:tcBorders>
            <w:vAlign w:val="center"/>
          </w:tcPr>
          <w:p w14:paraId="082F2E2D">
            <w:pPr>
              <w:widowControl/>
              <w:spacing w:before="0" w:beforeLines="0" w:line="240" w:lineRule="auto"/>
              <w:jc w:val="center"/>
              <w:textAlignment w:val="center"/>
              <w:rPr>
                <w:szCs w:val="21"/>
                <w:lang w:bidi="ar"/>
              </w:rPr>
            </w:pPr>
            <w:r>
              <w:rPr>
                <w:szCs w:val="21"/>
                <w:lang w:bidi="ar"/>
              </w:rPr>
              <w:t>5.6/22.4</w:t>
            </w:r>
          </w:p>
        </w:tc>
        <w:tc>
          <w:tcPr>
            <w:tcW w:w="725" w:type="pct"/>
            <w:tcBorders>
              <w:tl2br w:val="nil"/>
              <w:tr2bl w:val="nil"/>
            </w:tcBorders>
            <w:vAlign w:val="center"/>
          </w:tcPr>
          <w:p w14:paraId="150B20EF">
            <w:pPr>
              <w:widowControl/>
              <w:spacing w:before="0" w:beforeLines="0" w:line="240" w:lineRule="auto"/>
              <w:jc w:val="center"/>
              <w:textAlignment w:val="center"/>
              <w:rPr>
                <w:szCs w:val="21"/>
                <w:lang w:bidi="ar"/>
              </w:rPr>
            </w:pPr>
            <w:r>
              <w:rPr>
                <w:szCs w:val="21"/>
                <w:lang w:bidi="ar"/>
              </w:rPr>
              <w:t>47.2/49.3</w:t>
            </w:r>
          </w:p>
        </w:tc>
        <w:tc>
          <w:tcPr>
            <w:tcW w:w="860" w:type="pct"/>
            <w:tcBorders>
              <w:tl2br w:val="nil"/>
              <w:tr2bl w:val="nil"/>
            </w:tcBorders>
            <w:vAlign w:val="center"/>
          </w:tcPr>
          <w:p w14:paraId="66FB2738">
            <w:pPr>
              <w:widowControl/>
              <w:spacing w:before="0" w:beforeLines="0" w:line="240" w:lineRule="auto"/>
              <w:jc w:val="center"/>
              <w:textAlignment w:val="center"/>
              <w:rPr>
                <w:szCs w:val="21"/>
                <w:lang w:bidi="ar"/>
              </w:rPr>
            </w:pPr>
            <w:r>
              <w:rPr>
                <w:szCs w:val="21"/>
                <w:lang w:bidi="ar"/>
              </w:rPr>
              <w:t>1010.3/1011.0</w:t>
            </w:r>
          </w:p>
        </w:tc>
        <w:tc>
          <w:tcPr>
            <w:tcW w:w="694" w:type="pct"/>
            <w:tcBorders>
              <w:tl2br w:val="nil"/>
              <w:tr2bl w:val="nil"/>
            </w:tcBorders>
            <w:vAlign w:val="center"/>
          </w:tcPr>
          <w:p w14:paraId="4C1C8A9A">
            <w:pPr>
              <w:widowControl/>
              <w:spacing w:before="0" w:beforeLines="0" w:line="240" w:lineRule="auto"/>
              <w:jc w:val="center"/>
              <w:textAlignment w:val="center"/>
              <w:rPr>
                <w:szCs w:val="21"/>
                <w:lang w:bidi="ar"/>
              </w:rPr>
            </w:pPr>
            <w:r>
              <w:rPr>
                <w:szCs w:val="21"/>
                <w:lang w:bidi="ar"/>
              </w:rPr>
              <w:t>2.0/2.2</w:t>
            </w:r>
          </w:p>
        </w:tc>
        <w:tc>
          <w:tcPr>
            <w:tcW w:w="696" w:type="pct"/>
            <w:tcBorders>
              <w:tl2br w:val="nil"/>
              <w:tr2bl w:val="nil"/>
            </w:tcBorders>
            <w:vAlign w:val="center"/>
          </w:tcPr>
          <w:p w14:paraId="7DFE0810">
            <w:pPr>
              <w:widowControl/>
              <w:spacing w:before="0" w:beforeLines="0" w:line="240" w:lineRule="auto"/>
              <w:jc w:val="center"/>
              <w:textAlignment w:val="center"/>
              <w:rPr>
                <w:szCs w:val="21"/>
                <w:lang w:bidi="ar"/>
              </w:rPr>
            </w:pPr>
            <w:r>
              <w:rPr>
                <w:szCs w:val="21"/>
                <w:lang w:bidi="ar"/>
              </w:rPr>
              <w:t>东北</w:t>
            </w:r>
          </w:p>
        </w:tc>
      </w:tr>
      <w:tr w14:paraId="09B994D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417" w:type="pct"/>
            <w:tcBorders>
              <w:tl2br w:val="nil"/>
              <w:tr2bl w:val="nil"/>
            </w:tcBorders>
            <w:vAlign w:val="center"/>
          </w:tcPr>
          <w:p w14:paraId="2998BC07">
            <w:pPr>
              <w:widowControl/>
              <w:spacing w:before="0" w:beforeLines="0" w:line="240" w:lineRule="auto"/>
              <w:jc w:val="center"/>
              <w:textAlignment w:val="center"/>
              <w:rPr>
                <w:szCs w:val="21"/>
                <w:lang w:bidi="ar"/>
              </w:rPr>
            </w:pPr>
            <w:r>
              <w:rPr>
                <w:szCs w:val="21"/>
                <w:lang w:bidi="ar"/>
              </w:rPr>
              <w:t>2023年09月24日</w:t>
            </w:r>
          </w:p>
        </w:tc>
        <w:tc>
          <w:tcPr>
            <w:tcW w:w="608" w:type="pct"/>
            <w:tcBorders>
              <w:tl2br w:val="nil"/>
              <w:tr2bl w:val="nil"/>
            </w:tcBorders>
            <w:vAlign w:val="center"/>
          </w:tcPr>
          <w:p w14:paraId="63722D83">
            <w:pPr>
              <w:widowControl/>
              <w:spacing w:before="0" w:beforeLines="0" w:line="240" w:lineRule="auto"/>
              <w:jc w:val="center"/>
              <w:textAlignment w:val="center"/>
              <w:rPr>
                <w:szCs w:val="21"/>
                <w:lang w:bidi="ar"/>
              </w:rPr>
            </w:pPr>
            <w:r>
              <w:rPr>
                <w:szCs w:val="21"/>
                <w:lang w:bidi="ar"/>
              </w:rPr>
              <w:t>11.2/18.7</w:t>
            </w:r>
          </w:p>
        </w:tc>
        <w:tc>
          <w:tcPr>
            <w:tcW w:w="725" w:type="pct"/>
            <w:tcBorders>
              <w:tl2br w:val="nil"/>
              <w:tr2bl w:val="nil"/>
            </w:tcBorders>
            <w:vAlign w:val="center"/>
          </w:tcPr>
          <w:p w14:paraId="2E48D3AE">
            <w:pPr>
              <w:widowControl/>
              <w:spacing w:before="0" w:beforeLines="0" w:line="240" w:lineRule="auto"/>
              <w:jc w:val="center"/>
              <w:textAlignment w:val="center"/>
              <w:rPr>
                <w:szCs w:val="21"/>
                <w:lang w:bidi="ar"/>
              </w:rPr>
            </w:pPr>
            <w:r>
              <w:rPr>
                <w:szCs w:val="21"/>
                <w:lang w:bidi="ar"/>
              </w:rPr>
              <w:t>44.6/48.7</w:t>
            </w:r>
          </w:p>
        </w:tc>
        <w:tc>
          <w:tcPr>
            <w:tcW w:w="860" w:type="pct"/>
            <w:tcBorders>
              <w:tl2br w:val="nil"/>
              <w:tr2bl w:val="nil"/>
            </w:tcBorders>
            <w:vAlign w:val="center"/>
          </w:tcPr>
          <w:p w14:paraId="3AED92ED">
            <w:pPr>
              <w:widowControl/>
              <w:spacing w:before="0" w:beforeLines="0" w:line="240" w:lineRule="auto"/>
              <w:jc w:val="center"/>
              <w:textAlignment w:val="center"/>
              <w:rPr>
                <w:szCs w:val="21"/>
                <w:lang w:bidi="ar"/>
              </w:rPr>
            </w:pPr>
            <w:r>
              <w:rPr>
                <w:szCs w:val="21"/>
                <w:lang w:bidi="ar"/>
              </w:rPr>
              <w:t>1010.2/1011.5</w:t>
            </w:r>
          </w:p>
        </w:tc>
        <w:tc>
          <w:tcPr>
            <w:tcW w:w="694" w:type="pct"/>
            <w:tcBorders>
              <w:tl2br w:val="nil"/>
              <w:tr2bl w:val="nil"/>
            </w:tcBorders>
            <w:vAlign w:val="center"/>
          </w:tcPr>
          <w:p w14:paraId="472A6A56">
            <w:pPr>
              <w:widowControl/>
              <w:spacing w:before="0" w:beforeLines="0" w:line="240" w:lineRule="auto"/>
              <w:jc w:val="center"/>
              <w:textAlignment w:val="center"/>
              <w:rPr>
                <w:szCs w:val="21"/>
                <w:lang w:bidi="ar"/>
              </w:rPr>
            </w:pPr>
            <w:r>
              <w:rPr>
                <w:szCs w:val="21"/>
                <w:lang w:bidi="ar"/>
              </w:rPr>
              <w:t>2.2/2.5</w:t>
            </w:r>
          </w:p>
        </w:tc>
        <w:tc>
          <w:tcPr>
            <w:tcW w:w="696" w:type="pct"/>
            <w:tcBorders>
              <w:tl2br w:val="nil"/>
              <w:tr2bl w:val="nil"/>
            </w:tcBorders>
            <w:vAlign w:val="center"/>
          </w:tcPr>
          <w:p w14:paraId="413E2FB9">
            <w:pPr>
              <w:widowControl/>
              <w:spacing w:before="0" w:beforeLines="0" w:line="240" w:lineRule="auto"/>
              <w:jc w:val="center"/>
              <w:textAlignment w:val="center"/>
              <w:rPr>
                <w:szCs w:val="21"/>
                <w:lang w:bidi="ar"/>
              </w:rPr>
            </w:pPr>
            <w:r>
              <w:rPr>
                <w:szCs w:val="21"/>
                <w:lang w:bidi="ar"/>
              </w:rPr>
              <w:t>西南</w:t>
            </w:r>
          </w:p>
        </w:tc>
      </w:tr>
      <w:tr w14:paraId="7253241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417" w:type="pct"/>
            <w:tcBorders>
              <w:tl2br w:val="nil"/>
              <w:tr2bl w:val="nil"/>
            </w:tcBorders>
            <w:vAlign w:val="center"/>
          </w:tcPr>
          <w:p w14:paraId="2F8EC9C7">
            <w:pPr>
              <w:widowControl/>
              <w:spacing w:before="0" w:beforeLines="0" w:line="240" w:lineRule="auto"/>
              <w:jc w:val="center"/>
              <w:textAlignment w:val="center"/>
              <w:rPr>
                <w:szCs w:val="21"/>
                <w:lang w:bidi="ar"/>
              </w:rPr>
            </w:pPr>
            <w:r>
              <w:rPr>
                <w:szCs w:val="21"/>
                <w:lang w:bidi="ar"/>
              </w:rPr>
              <w:t>2023年09月25日</w:t>
            </w:r>
          </w:p>
        </w:tc>
        <w:tc>
          <w:tcPr>
            <w:tcW w:w="608" w:type="pct"/>
            <w:tcBorders>
              <w:tl2br w:val="nil"/>
              <w:tr2bl w:val="nil"/>
            </w:tcBorders>
            <w:vAlign w:val="center"/>
          </w:tcPr>
          <w:p w14:paraId="13DFA572">
            <w:pPr>
              <w:widowControl/>
              <w:spacing w:before="0" w:beforeLines="0" w:line="240" w:lineRule="auto"/>
              <w:jc w:val="center"/>
              <w:textAlignment w:val="center"/>
              <w:rPr>
                <w:szCs w:val="21"/>
                <w:lang w:bidi="ar"/>
              </w:rPr>
            </w:pPr>
            <w:r>
              <w:rPr>
                <w:szCs w:val="21"/>
                <w:lang w:bidi="ar"/>
              </w:rPr>
              <w:t>12.1/22.3</w:t>
            </w:r>
          </w:p>
        </w:tc>
        <w:tc>
          <w:tcPr>
            <w:tcW w:w="725" w:type="pct"/>
            <w:tcBorders>
              <w:tl2br w:val="nil"/>
              <w:tr2bl w:val="nil"/>
            </w:tcBorders>
            <w:vAlign w:val="center"/>
          </w:tcPr>
          <w:p w14:paraId="05DACB34">
            <w:pPr>
              <w:widowControl/>
              <w:spacing w:before="0" w:beforeLines="0" w:line="240" w:lineRule="auto"/>
              <w:jc w:val="center"/>
              <w:textAlignment w:val="center"/>
              <w:rPr>
                <w:szCs w:val="21"/>
                <w:lang w:bidi="ar"/>
              </w:rPr>
            </w:pPr>
            <w:r>
              <w:rPr>
                <w:szCs w:val="21"/>
                <w:lang w:bidi="ar"/>
              </w:rPr>
              <w:t>45.9/51.8</w:t>
            </w:r>
          </w:p>
        </w:tc>
        <w:tc>
          <w:tcPr>
            <w:tcW w:w="860" w:type="pct"/>
            <w:tcBorders>
              <w:tl2br w:val="nil"/>
              <w:tr2bl w:val="nil"/>
            </w:tcBorders>
            <w:vAlign w:val="center"/>
          </w:tcPr>
          <w:p w14:paraId="35B233A0">
            <w:pPr>
              <w:widowControl/>
              <w:spacing w:before="0" w:beforeLines="0" w:line="240" w:lineRule="auto"/>
              <w:jc w:val="center"/>
              <w:textAlignment w:val="center"/>
              <w:rPr>
                <w:szCs w:val="21"/>
                <w:lang w:bidi="ar"/>
              </w:rPr>
            </w:pPr>
            <w:r>
              <w:rPr>
                <w:szCs w:val="21"/>
                <w:lang w:bidi="ar"/>
              </w:rPr>
              <w:t>1009.7/1010.9</w:t>
            </w:r>
          </w:p>
        </w:tc>
        <w:tc>
          <w:tcPr>
            <w:tcW w:w="694" w:type="pct"/>
            <w:tcBorders>
              <w:tl2br w:val="nil"/>
              <w:tr2bl w:val="nil"/>
            </w:tcBorders>
            <w:vAlign w:val="center"/>
          </w:tcPr>
          <w:p w14:paraId="107361A3">
            <w:pPr>
              <w:widowControl/>
              <w:spacing w:before="0" w:beforeLines="0" w:line="240" w:lineRule="auto"/>
              <w:jc w:val="center"/>
              <w:textAlignment w:val="center"/>
              <w:rPr>
                <w:szCs w:val="21"/>
                <w:lang w:bidi="ar"/>
              </w:rPr>
            </w:pPr>
            <w:r>
              <w:rPr>
                <w:szCs w:val="21"/>
                <w:lang w:bidi="ar"/>
              </w:rPr>
              <w:t>2.3/2.6</w:t>
            </w:r>
          </w:p>
        </w:tc>
        <w:tc>
          <w:tcPr>
            <w:tcW w:w="696" w:type="pct"/>
            <w:tcBorders>
              <w:tl2br w:val="nil"/>
              <w:tr2bl w:val="nil"/>
            </w:tcBorders>
            <w:vAlign w:val="center"/>
          </w:tcPr>
          <w:p w14:paraId="35755BE5">
            <w:pPr>
              <w:widowControl/>
              <w:spacing w:before="0" w:beforeLines="0" w:line="240" w:lineRule="auto"/>
              <w:jc w:val="center"/>
              <w:textAlignment w:val="center"/>
              <w:rPr>
                <w:szCs w:val="21"/>
                <w:lang w:bidi="ar"/>
              </w:rPr>
            </w:pPr>
            <w:r>
              <w:rPr>
                <w:szCs w:val="21"/>
                <w:lang w:bidi="ar"/>
              </w:rPr>
              <w:t>西南</w:t>
            </w:r>
          </w:p>
        </w:tc>
      </w:tr>
      <w:tr w14:paraId="1BC297D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417" w:type="pct"/>
            <w:tcBorders>
              <w:tl2br w:val="nil"/>
              <w:tr2bl w:val="nil"/>
            </w:tcBorders>
            <w:vAlign w:val="center"/>
          </w:tcPr>
          <w:p w14:paraId="7A9BDC78">
            <w:pPr>
              <w:widowControl/>
              <w:spacing w:before="0" w:beforeLines="0" w:line="240" w:lineRule="auto"/>
              <w:jc w:val="center"/>
              <w:textAlignment w:val="center"/>
              <w:rPr>
                <w:szCs w:val="21"/>
                <w:lang w:bidi="ar"/>
              </w:rPr>
            </w:pPr>
            <w:r>
              <w:rPr>
                <w:szCs w:val="21"/>
                <w:lang w:bidi="ar"/>
              </w:rPr>
              <w:t>2023年09月26日</w:t>
            </w:r>
          </w:p>
        </w:tc>
        <w:tc>
          <w:tcPr>
            <w:tcW w:w="608" w:type="pct"/>
            <w:tcBorders>
              <w:tl2br w:val="nil"/>
              <w:tr2bl w:val="nil"/>
            </w:tcBorders>
            <w:vAlign w:val="center"/>
          </w:tcPr>
          <w:p w14:paraId="4865D344">
            <w:pPr>
              <w:widowControl/>
              <w:spacing w:before="0" w:beforeLines="0" w:line="240" w:lineRule="auto"/>
              <w:jc w:val="center"/>
              <w:textAlignment w:val="center"/>
              <w:rPr>
                <w:szCs w:val="21"/>
                <w:lang w:bidi="ar"/>
              </w:rPr>
            </w:pPr>
            <w:r>
              <w:rPr>
                <w:szCs w:val="21"/>
                <w:lang w:bidi="ar"/>
              </w:rPr>
              <w:t>12.4/24.6</w:t>
            </w:r>
          </w:p>
        </w:tc>
        <w:tc>
          <w:tcPr>
            <w:tcW w:w="725" w:type="pct"/>
            <w:tcBorders>
              <w:tl2br w:val="nil"/>
              <w:tr2bl w:val="nil"/>
            </w:tcBorders>
            <w:vAlign w:val="center"/>
          </w:tcPr>
          <w:p w14:paraId="0566B24C">
            <w:pPr>
              <w:widowControl/>
              <w:spacing w:before="0" w:beforeLines="0" w:line="240" w:lineRule="auto"/>
              <w:jc w:val="center"/>
              <w:textAlignment w:val="center"/>
              <w:rPr>
                <w:szCs w:val="21"/>
                <w:lang w:bidi="ar"/>
              </w:rPr>
            </w:pPr>
            <w:r>
              <w:rPr>
                <w:szCs w:val="21"/>
                <w:lang w:bidi="ar"/>
              </w:rPr>
              <w:t>47.3/50.4</w:t>
            </w:r>
          </w:p>
        </w:tc>
        <w:tc>
          <w:tcPr>
            <w:tcW w:w="860" w:type="pct"/>
            <w:tcBorders>
              <w:tl2br w:val="nil"/>
              <w:tr2bl w:val="nil"/>
            </w:tcBorders>
            <w:vAlign w:val="center"/>
          </w:tcPr>
          <w:p w14:paraId="4FD2B1E0">
            <w:pPr>
              <w:widowControl/>
              <w:spacing w:before="0" w:beforeLines="0" w:line="240" w:lineRule="auto"/>
              <w:jc w:val="center"/>
              <w:textAlignment w:val="center"/>
              <w:rPr>
                <w:szCs w:val="21"/>
                <w:lang w:bidi="ar"/>
              </w:rPr>
            </w:pPr>
            <w:r>
              <w:rPr>
                <w:szCs w:val="21"/>
                <w:lang w:bidi="ar"/>
              </w:rPr>
              <w:t>1010.0/1011.4</w:t>
            </w:r>
          </w:p>
        </w:tc>
        <w:tc>
          <w:tcPr>
            <w:tcW w:w="694" w:type="pct"/>
            <w:tcBorders>
              <w:tl2br w:val="nil"/>
              <w:tr2bl w:val="nil"/>
            </w:tcBorders>
            <w:vAlign w:val="center"/>
          </w:tcPr>
          <w:p w14:paraId="60FEB4EA">
            <w:pPr>
              <w:widowControl/>
              <w:spacing w:before="0" w:beforeLines="0" w:line="240" w:lineRule="auto"/>
              <w:jc w:val="center"/>
              <w:textAlignment w:val="center"/>
              <w:rPr>
                <w:szCs w:val="21"/>
                <w:lang w:bidi="ar"/>
              </w:rPr>
            </w:pPr>
            <w:r>
              <w:rPr>
                <w:szCs w:val="21"/>
                <w:lang w:bidi="ar"/>
              </w:rPr>
              <w:t>2.1/2.4</w:t>
            </w:r>
          </w:p>
        </w:tc>
        <w:tc>
          <w:tcPr>
            <w:tcW w:w="696" w:type="pct"/>
            <w:tcBorders>
              <w:tl2br w:val="nil"/>
              <w:tr2bl w:val="nil"/>
            </w:tcBorders>
            <w:vAlign w:val="center"/>
          </w:tcPr>
          <w:p w14:paraId="266F6D58">
            <w:pPr>
              <w:widowControl/>
              <w:spacing w:before="0" w:beforeLines="0" w:line="240" w:lineRule="auto"/>
              <w:jc w:val="center"/>
              <w:textAlignment w:val="center"/>
              <w:rPr>
                <w:szCs w:val="21"/>
                <w:lang w:bidi="ar"/>
              </w:rPr>
            </w:pPr>
            <w:r>
              <w:rPr>
                <w:szCs w:val="21"/>
                <w:lang w:bidi="ar"/>
              </w:rPr>
              <w:t>西南</w:t>
            </w:r>
          </w:p>
        </w:tc>
      </w:tr>
      <w:tr w14:paraId="6596B4D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417" w:type="pct"/>
            <w:tcBorders>
              <w:tl2br w:val="nil"/>
              <w:tr2bl w:val="nil"/>
            </w:tcBorders>
            <w:vAlign w:val="center"/>
          </w:tcPr>
          <w:p w14:paraId="134903C1">
            <w:pPr>
              <w:widowControl/>
              <w:spacing w:before="0" w:beforeLines="0" w:line="240" w:lineRule="auto"/>
              <w:jc w:val="center"/>
              <w:textAlignment w:val="center"/>
              <w:rPr>
                <w:szCs w:val="21"/>
                <w:lang w:bidi="ar"/>
              </w:rPr>
            </w:pPr>
            <w:r>
              <w:rPr>
                <w:szCs w:val="21"/>
                <w:lang w:bidi="ar"/>
              </w:rPr>
              <w:t>2023年09月27日</w:t>
            </w:r>
          </w:p>
        </w:tc>
        <w:tc>
          <w:tcPr>
            <w:tcW w:w="608" w:type="pct"/>
            <w:tcBorders>
              <w:tl2br w:val="nil"/>
              <w:tr2bl w:val="nil"/>
            </w:tcBorders>
            <w:vAlign w:val="center"/>
          </w:tcPr>
          <w:p w14:paraId="7321D05D">
            <w:pPr>
              <w:widowControl/>
              <w:spacing w:before="0" w:beforeLines="0" w:line="240" w:lineRule="auto"/>
              <w:jc w:val="center"/>
              <w:textAlignment w:val="center"/>
              <w:rPr>
                <w:szCs w:val="21"/>
                <w:lang w:bidi="ar"/>
              </w:rPr>
            </w:pPr>
            <w:r>
              <w:rPr>
                <w:szCs w:val="21"/>
                <w:lang w:bidi="ar"/>
              </w:rPr>
              <w:t>8.5/23.2</w:t>
            </w:r>
          </w:p>
        </w:tc>
        <w:tc>
          <w:tcPr>
            <w:tcW w:w="725" w:type="pct"/>
            <w:tcBorders>
              <w:tl2br w:val="nil"/>
              <w:tr2bl w:val="nil"/>
            </w:tcBorders>
            <w:vAlign w:val="center"/>
          </w:tcPr>
          <w:p w14:paraId="73436409">
            <w:pPr>
              <w:widowControl/>
              <w:spacing w:before="0" w:beforeLines="0" w:line="240" w:lineRule="auto"/>
              <w:jc w:val="center"/>
              <w:textAlignment w:val="center"/>
              <w:rPr>
                <w:szCs w:val="21"/>
                <w:lang w:bidi="ar"/>
              </w:rPr>
            </w:pPr>
            <w:r>
              <w:rPr>
                <w:szCs w:val="21"/>
                <w:lang w:bidi="ar"/>
              </w:rPr>
              <w:t>47.4/52.2</w:t>
            </w:r>
          </w:p>
        </w:tc>
        <w:tc>
          <w:tcPr>
            <w:tcW w:w="860" w:type="pct"/>
            <w:tcBorders>
              <w:tl2br w:val="nil"/>
              <w:tr2bl w:val="nil"/>
            </w:tcBorders>
            <w:vAlign w:val="center"/>
          </w:tcPr>
          <w:p w14:paraId="7B61AEF8">
            <w:pPr>
              <w:widowControl/>
              <w:spacing w:before="0" w:beforeLines="0" w:line="240" w:lineRule="auto"/>
              <w:jc w:val="center"/>
              <w:textAlignment w:val="center"/>
              <w:rPr>
                <w:szCs w:val="21"/>
                <w:lang w:bidi="ar"/>
              </w:rPr>
            </w:pPr>
            <w:r>
              <w:rPr>
                <w:szCs w:val="21"/>
                <w:lang w:bidi="ar"/>
              </w:rPr>
              <w:t>1010.2/1011.7</w:t>
            </w:r>
          </w:p>
        </w:tc>
        <w:tc>
          <w:tcPr>
            <w:tcW w:w="694" w:type="pct"/>
            <w:tcBorders>
              <w:tl2br w:val="nil"/>
              <w:tr2bl w:val="nil"/>
            </w:tcBorders>
            <w:vAlign w:val="center"/>
          </w:tcPr>
          <w:p w14:paraId="6D824A1D">
            <w:pPr>
              <w:widowControl/>
              <w:spacing w:before="0" w:beforeLines="0" w:line="240" w:lineRule="auto"/>
              <w:jc w:val="center"/>
              <w:textAlignment w:val="center"/>
              <w:rPr>
                <w:szCs w:val="21"/>
                <w:lang w:bidi="ar"/>
              </w:rPr>
            </w:pPr>
            <w:r>
              <w:rPr>
                <w:szCs w:val="21"/>
                <w:lang w:bidi="ar"/>
              </w:rPr>
              <w:t>2.0/2.3</w:t>
            </w:r>
          </w:p>
        </w:tc>
        <w:tc>
          <w:tcPr>
            <w:tcW w:w="696" w:type="pct"/>
            <w:tcBorders>
              <w:tl2br w:val="nil"/>
              <w:tr2bl w:val="nil"/>
            </w:tcBorders>
            <w:vAlign w:val="center"/>
          </w:tcPr>
          <w:p w14:paraId="3A623BA3">
            <w:pPr>
              <w:widowControl/>
              <w:spacing w:before="0" w:beforeLines="0" w:line="240" w:lineRule="auto"/>
              <w:jc w:val="center"/>
              <w:textAlignment w:val="center"/>
              <w:rPr>
                <w:szCs w:val="21"/>
                <w:lang w:bidi="ar"/>
              </w:rPr>
            </w:pPr>
            <w:r>
              <w:rPr>
                <w:szCs w:val="21"/>
                <w:lang w:bidi="ar"/>
              </w:rPr>
              <w:t>西北</w:t>
            </w:r>
          </w:p>
        </w:tc>
      </w:tr>
      <w:tr w14:paraId="45809FC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417" w:type="pct"/>
            <w:tcBorders>
              <w:tl2br w:val="nil"/>
              <w:tr2bl w:val="nil"/>
            </w:tcBorders>
            <w:vAlign w:val="center"/>
          </w:tcPr>
          <w:p w14:paraId="61A50AD3">
            <w:pPr>
              <w:widowControl/>
              <w:spacing w:before="0" w:beforeLines="0" w:line="240" w:lineRule="auto"/>
              <w:jc w:val="center"/>
              <w:textAlignment w:val="center"/>
              <w:rPr>
                <w:szCs w:val="21"/>
                <w:lang w:bidi="ar"/>
              </w:rPr>
            </w:pPr>
            <w:r>
              <w:rPr>
                <w:szCs w:val="21"/>
                <w:lang w:bidi="ar"/>
              </w:rPr>
              <w:t>2023年09月28日</w:t>
            </w:r>
          </w:p>
        </w:tc>
        <w:tc>
          <w:tcPr>
            <w:tcW w:w="608" w:type="pct"/>
            <w:tcBorders>
              <w:tl2br w:val="nil"/>
              <w:tr2bl w:val="nil"/>
            </w:tcBorders>
            <w:vAlign w:val="center"/>
          </w:tcPr>
          <w:p w14:paraId="139D359E">
            <w:pPr>
              <w:widowControl/>
              <w:spacing w:before="0" w:beforeLines="0" w:line="240" w:lineRule="auto"/>
              <w:jc w:val="center"/>
              <w:textAlignment w:val="center"/>
              <w:rPr>
                <w:szCs w:val="21"/>
                <w:lang w:bidi="ar"/>
              </w:rPr>
            </w:pPr>
            <w:r>
              <w:rPr>
                <w:szCs w:val="21"/>
                <w:lang w:bidi="ar"/>
              </w:rPr>
              <w:t>7.3/22.5</w:t>
            </w:r>
          </w:p>
        </w:tc>
        <w:tc>
          <w:tcPr>
            <w:tcW w:w="725" w:type="pct"/>
            <w:tcBorders>
              <w:tl2br w:val="nil"/>
              <w:tr2bl w:val="nil"/>
            </w:tcBorders>
            <w:vAlign w:val="center"/>
          </w:tcPr>
          <w:p w14:paraId="111EB6A2">
            <w:pPr>
              <w:widowControl/>
              <w:spacing w:before="0" w:beforeLines="0" w:line="240" w:lineRule="auto"/>
              <w:jc w:val="center"/>
              <w:textAlignment w:val="center"/>
              <w:rPr>
                <w:szCs w:val="21"/>
                <w:lang w:bidi="ar"/>
              </w:rPr>
            </w:pPr>
            <w:r>
              <w:rPr>
                <w:szCs w:val="21"/>
                <w:lang w:bidi="ar"/>
              </w:rPr>
              <w:t>46.8/51.3</w:t>
            </w:r>
          </w:p>
        </w:tc>
        <w:tc>
          <w:tcPr>
            <w:tcW w:w="860" w:type="pct"/>
            <w:tcBorders>
              <w:tl2br w:val="nil"/>
              <w:tr2bl w:val="nil"/>
            </w:tcBorders>
            <w:vAlign w:val="center"/>
          </w:tcPr>
          <w:p w14:paraId="62511C39">
            <w:pPr>
              <w:widowControl/>
              <w:spacing w:before="0" w:beforeLines="0" w:line="240" w:lineRule="auto"/>
              <w:jc w:val="center"/>
              <w:textAlignment w:val="center"/>
              <w:rPr>
                <w:szCs w:val="21"/>
                <w:lang w:bidi="ar"/>
              </w:rPr>
            </w:pPr>
            <w:r>
              <w:rPr>
                <w:szCs w:val="21"/>
                <w:lang w:bidi="ar"/>
              </w:rPr>
              <w:t>1009.3/1010.2</w:t>
            </w:r>
          </w:p>
        </w:tc>
        <w:tc>
          <w:tcPr>
            <w:tcW w:w="694" w:type="pct"/>
            <w:tcBorders>
              <w:tl2br w:val="nil"/>
              <w:tr2bl w:val="nil"/>
            </w:tcBorders>
            <w:vAlign w:val="center"/>
          </w:tcPr>
          <w:p w14:paraId="5CB49976">
            <w:pPr>
              <w:widowControl/>
              <w:spacing w:before="0" w:beforeLines="0" w:line="240" w:lineRule="auto"/>
              <w:jc w:val="center"/>
              <w:textAlignment w:val="center"/>
              <w:rPr>
                <w:szCs w:val="21"/>
                <w:lang w:bidi="ar"/>
              </w:rPr>
            </w:pPr>
            <w:r>
              <w:rPr>
                <w:szCs w:val="21"/>
                <w:lang w:bidi="ar"/>
              </w:rPr>
              <w:t>2.2/2.6</w:t>
            </w:r>
          </w:p>
        </w:tc>
        <w:tc>
          <w:tcPr>
            <w:tcW w:w="696" w:type="pct"/>
            <w:tcBorders>
              <w:tl2br w:val="nil"/>
              <w:tr2bl w:val="nil"/>
            </w:tcBorders>
            <w:vAlign w:val="center"/>
          </w:tcPr>
          <w:p w14:paraId="17702D25">
            <w:pPr>
              <w:widowControl/>
              <w:spacing w:before="0" w:beforeLines="0" w:line="240" w:lineRule="auto"/>
              <w:jc w:val="center"/>
              <w:textAlignment w:val="center"/>
              <w:rPr>
                <w:szCs w:val="21"/>
                <w:lang w:bidi="ar"/>
              </w:rPr>
            </w:pPr>
            <w:r>
              <w:rPr>
                <w:szCs w:val="21"/>
                <w:lang w:bidi="ar"/>
              </w:rPr>
              <w:t>西北</w:t>
            </w:r>
          </w:p>
        </w:tc>
      </w:tr>
    </w:tbl>
    <w:p w14:paraId="727EB676">
      <w:pPr>
        <w:pStyle w:val="151"/>
      </w:pPr>
      <w:r>
        <w:fldChar w:fldCharType="begin"/>
      </w:r>
      <w:r>
        <w:instrText xml:space="preserve"> = 5 \* GB3 \* MERGEFORMAT </w:instrText>
      </w:r>
      <w:r>
        <w:fldChar w:fldCharType="separate"/>
      </w:r>
      <w:r>
        <w:t>⑤</w:t>
      </w:r>
      <w:r>
        <w:fldChar w:fldCharType="end"/>
      </w:r>
      <w:r>
        <w:t>监测结果统计</w:t>
      </w:r>
    </w:p>
    <w:p w14:paraId="022AC1E9">
      <w:pPr>
        <w:pStyle w:val="190"/>
        <w:ind w:firstLine="480"/>
      </w:pPr>
      <w:r>
        <w:t>按照项目监测方案要求，于2023年09月22</w:t>
      </w:r>
      <w:r>
        <w:rPr>
          <w:rFonts w:hint="eastAsia"/>
        </w:rPr>
        <w:t>日</w:t>
      </w:r>
      <w:r>
        <w:t>-28日对本项目进行了现场采样，其监测结果见表4.2-4</w:t>
      </w:r>
      <w:r>
        <w:rPr>
          <w:rFonts w:hint="eastAsia"/>
        </w:rPr>
        <w:t>和表</w:t>
      </w:r>
      <w:r>
        <w:t>4.2-5。</w:t>
      </w:r>
    </w:p>
    <w:p w14:paraId="3D5DB0A1">
      <w:pPr>
        <w:pStyle w:val="143"/>
        <w:spacing w:before="156"/>
        <w:rPr>
          <w:b/>
        </w:rPr>
      </w:pPr>
      <w:r>
        <w:rPr>
          <w:b/>
        </w:rPr>
        <w:t xml:space="preserve">表4.2-4  </w:t>
      </w:r>
      <w:r>
        <w:rPr>
          <w:rFonts w:hint="eastAsia"/>
          <w:b/>
        </w:rPr>
        <w:t xml:space="preserve">  </w:t>
      </w:r>
      <w:r>
        <w:rPr>
          <w:b/>
        </w:rPr>
        <w:t>其他污染物补充监测点位基本信息</w:t>
      </w:r>
    </w:p>
    <w:tbl>
      <w:tblPr>
        <w:tblStyle w:val="89"/>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933"/>
        <w:gridCol w:w="1024"/>
        <w:gridCol w:w="1186"/>
        <w:gridCol w:w="1142"/>
        <w:gridCol w:w="1192"/>
        <w:gridCol w:w="1395"/>
        <w:gridCol w:w="1437"/>
      </w:tblGrid>
      <w:tr w14:paraId="1BEEC2F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72" w:hRule="atLeast"/>
          <w:jc w:val="center"/>
        </w:trPr>
        <w:tc>
          <w:tcPr>
            <w:tcW w:w="561" w:type="pct"/>
            <w:vMerge w:val="restart"/>
            <w:tcBorders>
              <w:tl2br w:val="nil"/>
              <w:tr2bl w:val="nil"/>
            </w:tcBorders>
            <w:vAlign w:val="center"/>
          </w:tcPr>
          <w:p w14:paraId="4E4DF80A">
            <w:pPr>
              <w:pStyle w:val="160"/>
              <w:rPr>
                <w:szCs w:val="21"/>
              </w:rPr>
            </w:pPr>
            <w:r>
              <w:rPr>
                <w:szCs w:val="21"/>
              </w:rPr>
              <w:t>监测点位名称</w:t>
            </w:r>
          </w:p>
        </w:tc>
        <w:tc>
          <w:tcPr>
            <w:tcW w:w="1329" w:type="pct"/>
            <w:gridSpan w:val="2"/>
            <w:tcBorders>
              <w:tl2br w:val="nil"/>
              <w:tr2bl w:val="nil"/>
            </w:tcBorders>
            <w:vAlign w:val="center"/>
          </w:tcPr>
          <w:p w14:paraId="20318987">
            <w:pPr>
              <w:pStyle w:val="160"/>
              <w:rPr>
                <w:szCs w:val="21"/>
              </w:rPr>
            </w:pPr>
            <w:r>
              <w:rPr>
                <w:szCs w:val="21"/>
              </w:rPr>
              <w:t>监测点坐标</w:t>
            </w:r>
          </w:p>
        </w:tc>
        <w:tc>
          <w:tcPr>
            <w:tcW w:w="687" w:type="pct"/>
            <w:vMerge w:val="restart"/>
            <w:tcBorders>
              <w:tl2br w:val="nil"/>
              <w:tr2bl w:val="nil"/>
            </w:tcBorders>
            <w:vAlign w:val="center"/>
          </w:tcPr>
          <w:p w14:paraId="2775B71E">
            <w:pPr>
              <w:pStyle w:val="160"/>
              <w:rPr>
                <w:szCs w:val="21"/>
              </w:rPr>
            </w:pPr>
            <w:r>
              <w:rPr>
                <w:szCs w:val="21"/>
              </w:rPr>
              <w:t>监测因子</w:t>
            </w:r>
          </w:p>
        </w:tc>
        <w:tc>
          <w:tcPr>
            <w:tcW w:w="717" w:type="pct"/>
            <w:vMerge w:val="restart"/>
            <w:tcBorders>
              <w:tl2br w:val="nil"/>
              <w:tr2bl w:val="nil"/>
            </w:tcBorders>
            <w:vAlign w:val="center"/>
          </w:tcPr>
          <w:p w14:paraId="69FEC0C7">
            <w:pPr>
              <w:pStyle w:val="160"/>
              <w:rPr>
                <w:szCs w:val="21"/>
              </w:rPr>
            </w:pPr>
            <w:r>
              <w:rPr>
                <w:szCs w:val="21"/>
              </w:rPr>
              <w:t>监测时段</w:t>
            </w:r>
          </w:p>
        </w:tc>
        <w:tc>
          <w:tcPr>
            <w:tcW w:w="839" w:type="pct"/>
            <w:vMerge w:val="restart"/>
            <w:tcBorders>
              <w:tl2br w:val="nil"/>
              <w:tr2bl w:val="nil"/>
            </w:tcBorders>
            <w:vAlign w:val="center"/>
          </w:tcPr>
          <w:p w14:paraId="6D368C0D">
            <w:pPr>
              <w:pStyle w:val="160"/>
              <w:rPr>
                <w:szCs w:val="21"/>
              </w:rPr>
            </w:pPr>
            <w:r>
              <w:rPr>
                <w:szCs w:val="21"/>
              </w:rPr>
              <w:t>相对场址方位</w:t>
            </w:r>
          </w:p>
        </w:tc>
        <w:tc>
          <w:tcPr>
            <w:tcW w:w="864" w:type="pct"/>
            <w:vMerge w:val="restart"/>
            <w:tcBorders>
              <w:tl2br w:val="nil"/>
              <w:tr2bl w:val="nil"/>
            </w:tcBorders>
            <w:vAlign w:val="center"/>
          </w:tcPr>
          <w:p w14:paraId="60A7AEEE">
            <w:pPr>
              <w:pStyle w:val="160"/>
              <w:rPr>
                <w:szCs w:val="21"/>
              </w:rPr>
            </w:pPr>
            <w:r>
              <w:rPr>
                <w:szCs w:val="21"/>
              </w:rPr>
              <w:t>相对2#厂区厂界距离/m</w:t>
            </w:r>
          </w:p>
        </w:tc>
      </w:tr>
      <w:tr w14:paraId="0E3C076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32" w:hRule="atLeast"/>
          <w:jc w:val="center"/>
        </w:trPr>
        <w:tc>
          <w:tcPr>
            <w:tcW w:w="561" w:type="pct"/>
            <w:vMerge w:val="continue"/>
            <w:tcBorders>
              <w:tl2br w:val="nil"/>
              <w:tr2bl w:val="nil"/>
            </w:tcBorders>
            <w:vAlign w:val="center"/>
          </w:tcPr>
          <w:p w14:paraId="31BB5EA5">
            <w:pPr>
              <w:pStyle w:val="160"/>
              <w:rPr>
                <w:szCs w:val="21"/>
              </w:rPr>
            </w:pPr>
          </w:p>
        </w:tc>
        <w:tc>
          <w:tcPr>
            <w:tcW w:w="616" w:type="pct"/>
            <w:tcBorders>
              <w:tl2br w:val="nil"/>
              <w:tr2bl w:val="nil"/>
            </w:tcBorders>
            <w:vAlign w:val="center"/>
          </w:tcPr>
          <w:p w14:paraId="7C2AA7A5">
            <w:pPr>
              <w:pStyle w:val="160"/>
              <w:rPr>
                <w:szCs w:val="21"/>
              </w:rPr>
            </w:pPr>
            <w:r>
              <w:rPr>
                <w:szCs w:val="21"/>
              </w:rPr>
              <w:t>X</w:t>
            </w:r>
          </w:p>
        </w:tc>
        <w:tc>
          <w:tcPr>
            <w:tcW w:w="713" w:type="pct"/>
            <w:tcBorders>
              <w:tl2br w:val="nil"/>
              <w:tr2bl w:val="nil"/>
            </w:tcBorders>
            <w:vAlign w:val="center"/>
          </w:tcPr>
          <w:p w14:paraId="0B6E5EA1">
            <w:pPr>
              <w:pStyle w:val="160"/>
              <w:rPr>
                <w:szCs w:val="21"/>
              </w:rPr>
            </w:pPr>
            <w:r>
              <w:rPr>
                <w:szCs w:val="21"/>
              </w:rPr>
              <w:t>Y</w:t>
            </w:r>
          </w:p>
        </w:tc>
        <w:tc>
          <w:tcPr>
            <w:tcW w:w="687" w:type="pct"/>
            <w:vMerge w:val="continue"/>
            <w:tcBorders>
              <w:tl2br w:val="nil"/>
              <w:tr2bl w:val="nil"/>
            </w:tcBorders>
            <w:vAlign w:val="center"/>
          </w:tcPr>
          <w:p w14:paraId="2430F95E">
            <w:pPr>
              <w:pStyle w:val="160"/>
              <w:rPr>
                <w:szCs w:val="21"/>
              </w:rPr>
            </w:pPr>
          </w:p>
        </w:tc>
        <w:tc>
          <w:tcPr>
            <w:tcW w:w="717" w:type="pct"/>
            <w:vMerge w:val="continue"/>
            <w:tcBorders>
              <w:tl2br w:val="nil"/>
              <w:tr2bl w:val="nil"/>
            </w:tcBorders>
            <w:vAlign w:val="center"/>
          </w:tcPr>
          <w:p w14:paraId="05DB4B71">
            <w:pPr>
              <w:pStyle w:val="160"/>
              <w:rPr>
                <w:szCs w:val="21"/>
              </w:rPr>
            </w:pPr>
          </w:p>
        </w:tc>
        <w:tc>
          <w:tcPr>
            <w:tcW w:w="839" w:type="pct"/>
            <w:vMerge w:val="continue"/>
            <w:tcBorders>
              <w:tl2br w:val="nil"/>
              <w:tr2bl w:val="nil"/>
            </w:tcBorders>
            <w:vAlign w:val="center"/>
          </w:tcPr>
          <w:p w14:paraId="48E9DBAF">
            <w:pPr>
              <w:pStyle w:val="160"/>
              <w:rPr>
                <w:szCs w:val="21"/>
              </w:rPr>
            </w:pPr>
          </w:p>
        </w:tc>
        <w:tc>
          <w:tcPr>
            <w:tcW w:w="864" w:type="pct"/>
            <w:vMerge w:val="continue"/>
            <w:tcBorders>
              <w:tl2br w:val="nil"/>
              <w:tr2bl w:val="nil"/>
            </w:tcBorders>
            <w:vAlign w:val="center"/>
          </w:tcPr>
          <w:p w14:paraId="4E9D93CD">
            <w:pPr>
              <w:pStyle w:val="160"/>
              <w:rPr>
                <w:szCs w:val="21"/>
              </w:rPr>
            </w:pPr>
          </w:p>
        </w:tc>
      </w:tr>
      <w:tr w14:paraId="3D26D1B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14" w:hRule="atLeast"/>
          <w:jc w:val="center"/>
        </w:trPr>
        <w:tc>
          <w:tcPr>
            <w:tcW w:w="561" w:type="pct"/>
            <w:tcBorders>
              <w:tl2br w:val="nil"/>
              <w:tr2bl w:val="nil"/>
            </w:tcBorders>
            <w:vAlign w:val="center"/>
          </w:tcPr>
          <w:p w14:paraId="2FF4AB6C">
            <w:pPr>
              <w:pStyle w:val="160"/>
              <w:widowControl w:val="0"/>
              <w:wordWrap w:val="0"/>
              <w:rPr>
                <w:szCs w:val="21"/>
              </w:rPr>
            </w:pPr>
            <w:r>
              <w:rPr>
                <w:szCs w:val="21"/>
              </w:rPr>
              <w:t>1#</w:t>
            </w:r>
          </w:p>
        </w:tc>
        <w:tc>
          <w:tcPr>
            <w:tcW w:w="616" w:type="pct"/>
            <w:tcBorders>
              <w:tl2br w:val="nil"/>
              <w:tr2bl w:val="nil"/>
            </w:tcBorders>
            <w:vAlign w:val="center"/>
          </w:tcPr>
          <w:p w14:paraId="58612021">
            <w:pPr>
              <w:pStyle w:val="160"/>
              <w:widowControl w:val="0"/>
              <w:wordWrap w:val="0"/>
              <w:rPr>
                <w:szCs w:val="21"/>
              </w:rPr>
            </w:pPr>
            <w:r>
              <w:rPr>
                <w:szCs w:val="21"/>
              </w:rPr>
              <w:t>389824.8</w:t>
            </w:r>
          </w:p>
        </w:tc>
        <w:tc>
          <w:tcPr>
            <w:tcW w:w="713" w:type="pct"/>
            <w:tcBorders>
              <w:tl2br w:val="nil"/>
              <w:tr2bl w:val="nil"/>
            </w:tcBorders>
            <w:vAlign w:val="center"/>
          </w:tcPr>
          <w:p w14:paraId="211A8049">
            <w:pPr>
              <w:pStyle w:val="160"/>
              <w:widowControl w:val="0"/>
              <w:wordWrap w:val="0"/>
              <w:rPr>
                <w:szCs w:val="21"/>
              </w:rPr>
            </w:pPr>
            <w:r>
              <w:rPr>
                <w:szCs w:val="21"/>
              </w:rPr>
              <w:t>4687728.9</w:t>
            </w:r>
          </w:p>
        </w:tc>
        <w:tc>
          <w:tcPr>
            <w:tcW w:w="687" w:type="pct"/>
            <w:tcBorders>
              <w:tl2br w:val="nil"/>
              <w:tr2bl w:val="nil"/>
            </w:tcBorders>
            <w:vAlign w:val="center"/>
          </w:tcPr>
          <w:p w14:paraId="10B83262">
            <w:pPr>
              <w:pStyle w:val="160"/>
              <w:widowControl w:val="0"/>
              <w:wordWrap w:val="0"/>
              <w:rPr>
                <w:szCs w:val="21"/>
              </w:rPr>
            </w:pPr>
            <w:r>
              <w:rPr>
                <w:szCs w:val="21"/>
              </w:rPr>
              <w:t>TSP</w:t>
            </w:r>
          </w:p>
        </w:tc>
        <w:tc>
          <w:tcPr>
            <w:tcW w:w="717" w:type="pct"/>
            <w:tcBorders>
              <w:tl2br w:val="nil"/>
              <w:tr2bl w:val="nil"/>
            </w:tcBorders>
            <w:vAlign w:val="center"/>
          </w:tcPr>
          <w:p w14:paraId="0571A67B">
            <w:pPr>
              <w:pStyle w:val="160"/>
              <w:widowControl w:val="0"/>
              <w:wordWrap w:val="0"/>
              <w:rPr>
                <w:szCs w:val="21"/>
              </w:rPr>
            </w:pPr>
            <w:r>
              <w:rPr>
                <w:szCs w:val="21"/>
              </w:rPr>
              <w:t>24h平均</w:t>
            </w:r>
          </w:p>
        </w:tc>
        <w:tc>
          <w:tcPr>
            <w:tcW w:w="839" w:type="pct"/>
            <w:tcBorders>
              <w:tl2br w:val="nil"/>
              <w:tr2bl w:val="nil"/>
            </w:tcBorders>
            <w:vAlign w:val="center"/>
          </w:tcPr>
          <w:p w14:paraId="740C7E18">
            <w:pPr>
              <w:pStyle w:val="160"/>
              <w:widowControl w:val="0"/>
              <w:wordWrap w:val="0"/>
              <w:rPr>
                <w:szCs w:val="21"/>
              </w:rPr>
            </w:pPr>
            <w:r>
              <w:rPr>
                <w:szCs w:val="21"/>
              </w:rPr>
              <w:t>1#厂区内</w:t>
            </w:r>
          </w:p>
        </w:tc>
        <w:tc>
          <w:tcPr>
            <w:tcW w:w="864" w:type="pct"/>
            <w:tcBorders>
              <w:tl2br w:val="nil"/>
              <w:tr2bl w:val="nil"/>
            </w:tcBorders>
            <w:vAlign w:val="center"/>
          </w:tcPr>
          <w:p w14:paraId="1E4E4E84">
            <w:pPr>
              <w:pStyle w:val="160"/>
              <w:widowControl w:val="0"/>
              <w:wordWrap w:val="0"/>
              <w:rPr>
                <w:szCs w:val="21"/>
              </w:rPr>
            </w:pPr>
            <w:r>
              <w:rPr>
                <w:szCs w:val="21"/>
              </w:rPr>
              <w:t>-</w:t>
            </w:r>
          </w:p>
        </w:tc>
      </w:tr>
      <w:tr w14:paraId="0367B59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14" w:hRule="atLeast"/>
          <w:jc w:val="center"/>
        </w:trPr>
        <w:tc>
          <w:tcPr>
            <w:tcW w:w="561" w:type="pct"/>
            <w:tcBorders>
              <w:tl2br w:val="nil"/>
              <w:tr2bl w:val="nil"/>
            </w:tcBorders>
            <w:vAlign w:val="center"/>
          </w:tcPr>
          <w:p w14:paraId="1548BA1E">
            <w:pPr>
              <w:pStyle w:val="160"/>
              <w:widowControl w:val="0"/>
              <w:wordWrap w:val="0"/>
              <w:rPr>
                <w:szCs w:val="21"/>
              </w:rPr>
            </w:pPr>
            <w:r>
              <w:rPr>
                <w:szCs w:val="21"/>
              </w:rPr>
              <w:t>2#</w:t>
            </w:r>
          </w:p>
        </w:tc>
        <w:tc>
          <w:tcPr>
            <w:tcW w:w="616" w:type="pct"/>
            <w:tcBorders>
              <w:tl2br w:val="nil"/>
              <w:tr2bl w:val="nil"/>
            </w:tcBorders>
            <w:vAlign w:val="center"/>
          </w:tcPr>
          <w:p w14:paraId="2218D9CE">
            <w:pPr>
              <w:pStyle w:val="160"/>
              <w:widowControl w:val="0"/>
              <w:wordWrap w:val="0"/>
              <w:rPr>
                <w:szCs w:val="21"/>
              </w:rPr>
            </w:pPr>
            <w:r>
              <w:rPr>
                <w:szCs w:val="21"/>
              </w:rPr>
              <w:t>390078.6</w:t>
            </w:r>
          </w:p>
        </w:tc>
        <w:tc>
          <w:tcPr>
            <w:tcW w:w="713" w:type="pct"/>
            <w:tcBorders>
              <w:tl2br w:val="nil"/>
              <w:tr2bl w:val="nil"/>
            </w:tcBorders>
            <w:vAlign w:val="center"/>
          </w:tcPr>
          <w:p w14:paraId="2E688390">
            <w:pPr>
              <w:pStyle w:val="160"/>
              <w:widowControl w:val="0"/>
              <w:wordWrap w:val="0"/>
              <w:rPr>
                <w:szCs w:val="21"/>
              </w:rPr>
            </w:pPr>
            <w:r>
              <w:rPr>
                <w:szCs w:val="21"/>
              </w:rPr>
              <w:t>4687904.9</w:t>
            </w:r>
          </w:p>
        </w:tc>
        <w:tc>
          <w:tcPr>
            <w:tcW w:w="687" w:type="pct"/>
            <w:tcBorders>
              <w:tl2br w:val="nil"/>
              <w:tr2bl w:val="nil"/>
            </w:tcBorders>
            <w:vAlign w:val="center"/>
          </w:tcPr>
          <w:p w14:paraId="7A8BE8FA">
            <w:pPr>
              <w:wordWrap w:val="0"/>
              <w:spacing w:before="0" w:beforeLines="0" w:line="240" w:lineRule="auto"/>
              <w:jc w:val="center"/>
              <w:rPr>
                <w:szCs w:val="21"/>
              </w:rPr>
            </w:pPr>
            <w:r>
              <w:rPr>
                <w:szCs w:val="21"/>
              </w:rPr>
              <w:t>TSP</w:t>
            </w:r>
          </w:p>
        </w:tc>
        <w:tc>
          <w:tcPr>
            <w:tcW w:w="717" w:type="pct"/>
            <w:tcBorders>
              <w:tl2br w:val="nil"/>
              <w:tr2bl w:val="nil"/>
            </w:tcBorders>
            <w:vAlign w:val="center"/>
          </w:tcPr>
          <w:p w14:paraId="6475AB77">
            <w:pPr>
              <w:pStyle w:val="160"/>
              <w:widowControl w:val="0"/>
              <w:wordWrap w:val="0"/>
              <w:rPr>
                <w:szCs w:val="21"/>
              </w:rPr>
            </w:pPr>
            <w:r>
              <w:rPr>
                <w:szCs w:val="21"/>
              </w:rPr>
              <w:t>24h平均</w:t>
            </w:r>
          </w:p>
        </w:tc>
        <w:tc>
          <w:tcPr>
            <w:tcW w:w="839" w:type="pct"/>
            <w:tcBorders>
              <w:tl2br w:val="nil"/>
              <w:tr2bl w:val="nil"/>
            </w:tcBorders>
            <w:vAlign w:val="center"/>
          </w:tcPr>
          <w:p w14:paraId="113FDCC2">
            <w:pPr>
              <w:pStyle w:val="160"/>
              <w:widowControl w:val="0"/>
              <w:wordWrap w:val="0"/>
              <w:rPr>
                <w:szCs w:val="21"/>
              </w:rPr>
            </w:pPr>
            <w:r>
              <w:rPr>
                <w:szCs w:val="21"/>
              </w:rPr>
              <w:t>2#厂区内</w:t>
            </w:r>
          </w:p>
        </w:tc>
        <w:tc>
          <w:tcPr>
            <w:tcW w:w="864" w:type="pct"/>
            <w:tcBorders>
              <w:tl2br w:val="nil"/>
              <w:tr2bl w:val="nil"/>
            </w:tcBorders>
            <w:vAlign w:val="center"/>
          </w:tcPr>
          <w:p w14:paraId="5A04C0DD">
            <w:pPr>
              <w:pStyle w:val="160"/>
              <w:widowControl w:val="0"/>
              <w:wordWrap w:val="0"/>
              <w:rPr>
                <w:szCs w:val="21"/>
              </w:rPr>
            </w:pPr>
            <w:r>
              <w:rPr>
                <w:szCs w:val="21"/>
              </w:rPr>
              <w:t>-</w:t>
            </w:r>
          </w:p>
        </w:tc>
      </w:tr>
      <w:tr w14:paraId="49ABBA2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14" w:hRule="atLeast"/>
          <w:jc w:val="center"/>
        </w:trPr>
        <w:tc>
          <w:tcPr>
            <w:tcW w:w="561" w:type="pct"/>
            <w:tcBorders>
              <w:tl2br w:val="nil"/>
              <w:tr2bl w:val="nil"/>
            </w:tcBorders>
            <w:vAlign w:val="center"/>
          </w:tcPr>
          <w:p w14:paraId="3CADB9B2">
            <w:pPr>
              <w:pStyle w:val="160"/>
              <w:widowControl w:val="0"/>
              <w:wordWrap w:val="0"/>
              <w:rPr>
                <w:szCs w:val="21"/>
              </w:rPr>
            </w:pPr>
            <w:r>
              <w:rPr>
                <w:szCs w:val="21"/>
              </w:rPr>
              <w:t>3#</w:t>
            </w:r>
          </w:p>
        </w:tc>
        <w:tc>
          <w:tcPr>
            <w:tcW w:w="616" w:type="pct"/>
            <w:tcBorders>
              <w:tl2br w:val="nil"/>
              <w:tr2bl w:val="nil"/>
            </w:tcBorders>
            <w:vAlign w:val="center"/>
          </w:tcPr>
          <w:p w14:paraId="6FB9ADB7">
            <w:pPr>
              <w:pStyle w:val="160"/>
              <w:widowControl w:val="0"/>
              <w:wordWrap w:val="0"/>
              <w:rPr>
                <w:szCs w:val="21"/>
              </w:rPr>
            </w:pPr>
            <w:r>
              <w:rPr>
                <w:szCs w:val="21"/>
              </w:rPr>
              <w:t>390485.4</w:t>
            </w:r>
          </w:p>
        </w:tc>
        <w:tc>
          <w:tcPr>
            <w:tcW w:w="713" w:type="pct"/>
            <w:tcBorders>
              <w:tl2br w:val="nil"/>
              <w:tr2bl w:val="nil"/>
            </w:tcBorders>
            <w:vAlign w:val="center"/>
          </w:tcPr>
          <w:p w14:paraId="414A2D55">
            <w:pPr>
              <w:pStyle w:val="160"/>
              <w:widowControl w:val="0"/>
              <w:wordWrap w:val="0"/>
              <w:rPr>
                <w:szCs w:val="21"/>
              </w:rPr>
            </w:pPr>
            <w:r>
              <w:rPr>
                <w:szCs w:val="21"/>
              </w:rPr>
              <w:t>4689435.7</w:t>
            </w:r>
          </w:p>
        </w:tc>
        <w:tc>
          <w:tcPr>
            <w:tcW w:w="687" w:type="pct"/>
            <w:tcBorders>
              <w:tl2br w:val="nil"/>
              <w:tr2bl w:val="nil"/>
            </w:tcBorders>
            <w:vAlign w:val="center"/>
          </w:tcPr>
          <w:p w14:paraId="55B9E66D">
            <w:pPr>
              <w:wordWrap w:val="0"/>
              <w:spacing w:before="0" w:beforeLines="0" w:line="240" w:lineRule="auto"/>
              <w:jc w:val="center"/>
              <w:rPr>
                <w:szCs w:val="21"/>
              </w:rPr>
            </w:pPr>
            <w:r>
              <w:rPr>
                <w:szCs w:val="21"/>
              </w:rPr>
              <w:t>TSP</w:t>
            </w:r>
          </w:p>
        </w:tc>
        <w:tc>
          <w:tcPr>
            <w:tcW w:w="717" w:type="pct"/>
            <w:tcBorders>
              <w:tl2br w:val="nil"/>
              <w:tr2bl w:val="nil"/>
            </w:tcBorders>
            <w:vAlign w:val="center"/>
          </w:tcPr>
          <w:p w14:paraId="57C9C78D">
            <w:pPr>
              <w:pStyle w:val="160"/>
              <w:widowControl w:val="0"/>
              <w:wordWrap w:val="0"/>
              <w:rPr>
                <w:szCs w:val="21"/>
              </w:rPr>
            </w:pPr>
            <w:r>
              <w:rPr>
                <w:szCs w:val="21"/>
              </w:rPr>
              <w:t>24h平均</w:t>
            </w:r>
          </w:p>
        </w:tc>
        <w:tc>
          <w:tcPr>
            <w:tcW w:w="839" w:type="pct"/>
            <w:tcBorders>
              <w:tl2br w:val="nil"/>
              <w:tr2bl w:val="nil"/>
            </w:tcBorders>
            <w:vAlign w:val="center"/>
          </w:tcPr>
          <w:p w14:paraId="72F951E6">
            <w:pPr>
              <w:pStyle w:val="160"/>
              <w:widowControl w:val="0"/>
              <w:wordWrap w:val="0"/>
              <w:rPr>
                <w:szCs w:val="21"/>
              </w:rPr>
            </w:pPr>
            <w:r>
              <w:rPr>
                <w:szCs w:val="21"/>
              </w:rPr>
              <w:t>NE</w:t>
            </w:r>
          </w:p>
        </w:tc>
        <w:tc>
          <w:tcPr>
            <w:tcW w:w="864" w:type="pct"/>
            <w:tcBorders>
              <w:tl2br w:val="nil"/>
              <w:tr2bl w:val="nil"/>
            </w:tcBorders>
            <w:vAlign w:val="center"/>
          </w:tcPr>
          <w:p w14:paraId="61C7D10D">
            <w:pPr>
              <w:pStyle w:val="160"/>
              <w:widowControl w:val="0"/>
              <w:wordWrap w:val="0"/>
              <w:rPr>
                <w:szCs w:val="21"/>
              </w:rPr>
            </w:pPr>
            <w:r>
              <w:rPr>
                <w:szCs w:val="21"/>
              </w:rPr>
              <w:t>1405</w:t>
            </w:r>
          </w:p>
        </w:tc>
      </w:tr>
    </w:tbl>
    <w:p w14:paraId="5C1199F3">
      <w:pPr>
        <w:pStyle w:val="143"/>
        <w:spacing w:before="156"/>
        <w:jc w:val="right"/>
      </w:pPr>
      <w:r>
        <w:rPr>
          <w:b/>
        </w:rPr>
        <w:t xml:space="preserve">表4.2-5  </w:t>
      </w:r>
      <w:r>
        <w:rPr>
          <w:rFonts w:hint="eastAsia"/>
          <w:b/>
        </w:rPr>
        <w:t xml:space="preserve">   </w:t>
      </w:r>
      <w:r>
        <w:rPr>
          <w:b/>
        </w:rPr>
        <w:t>其他污染物环境质量现状监测结果一览表</w:t>
      </w:r>
      <w:r>
        <w:t xml:space="preserve"> </w:t>
      </w:r>
      <w:r>
        <w:rPr>
          <w:b/>
          <w:bCs w:val="0"/>
        </w:rPr>
        <w:t xml:space="preserve">  单位：μg/m</w:t>
      </w:r>
      <w:r>
        <w:rPr>
          <w:b/>
          <w:bCs w:val="0"/>
          <w:vertAlign w:val="superscript"/>
        </w:rPr>
        <w:t>3</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28" w:type="dxa"/>
          <w:bottom w:w="0" w:type="dxa"/>
          <w:right w:w="28" w:type="dxa"/>
        </w:tblCellMar>
      </w:tblPr>
      <w:tblGrid>
        <w:gridCol w:w="848"/>
        <w:gridCol w:w="889"/>
        <w:gridCol w:w="958"/>
        <w:gridCol w:w="745"/>
        <w:gridCol w:w="1187"/>
        <w:gridCol w:w="1272"/>
        <w:gridCol w:w="1017"/>
        <w:gridCol w:w="623"/>
        <w:gridCol w:w="773"/>
      </w:tblGrid>
      <w:tr w14:paraId="7585DFC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510" w:type="pct"/>
            <w:vMerge w:val="restart"/>
            <w:tcBorders>
              <w:tl2br w:val="nil"/>
              <w:tr2bl w:val="nil"/>
            </w:tcBorders>
            <w:vAlign w:val="center"/>
          </w:tcPr>
          <w:p w14:paraId="2A4BDE10">
            <w:pPr>
              <w:pStyle w:val="160"/>
              <w:rPr>
                <w:szCs w:val="21"/>
              </w:rPr>
            </w:pPr>
            <w:r>
              <w:rPr>
                <w:szCs w:val="21"/>
              </w:rPr>
              <w:t>监测点位</w:t>
            </w:r>
          </w:p>
        </w:tc>
        <w:tc>
          <w:tcPr>
            <w:tcW w:w="1110" w:type="pct"/>
            <w:gridSpan w:val="2"/>
            <w:tcBorders>
              <w:tl2br w:val="nil"/>
              <w:tr2bl w:val="nil"/>
            </w:tcBorders>
            <w:vAlign w:val="center"/>
          </w:tcPr>
          <w:p w14:paraId="3B92DD09">
            <w:pPr>
              <w:pStyle w:val="160"/>
              <w:rPr>
                <w:szCs w:val="21"/>
              </w:rPr>
            </w:pPr>
            <w:r>
              <w:rPr>
                <w:szCs w:val="21"/>
              </w:rPr>
              <w:t>监测点位坐标</w:t>
            </w:r>
          </w:p>
        </w:tc>
        <w:tc>
          <w:tcPr>
            <w:tcW w:w="448" w:type="pct"/>
            <w:vMerge w:val="restart"/>
            <w:tcBorders>
              <w:tl2br w:val="nil"/>
              <w:tr2bl w:val="nil"/>
            </w:tcBorders>
            <w:vAlign w:val="center"/>
          </w:tcPr>
          <w:p w14:paraId="0C367837">
            <w:pPr>
              <w:pStyle w:val="160"/>
              <w:rPr>
                <w:szCs w:val="21"/>
              </w:rPr>
            </w:pPr>
            <w:r>
              <w:rPr>
                <w:szCs w:val="21"/>
              </w:rPr>
              <w:t>污染物</w:t>
            </w:r>
          </w:p>
        </w:tc>
        <w:tc>
          <w:tcPr>
            <w:tcW w:w="714" w:type="pct"/>
            <w:vMerge w:val="restart"/>
            <w:tcBorders>
              <w:tl2br w:val="nil"/>
              <w:tr2bl w:val="nil"/>
            </w:tcBorders>
            <w:vAlign w:val="center"/>
          </w:tcPr>
          <w:p w14:paraId="20AE9692">
            <w:pPr>
              <w:pStyle w:val="160"/>
              <w:rPr>
                <w:szCs w:val="21"/>
              </w:rPr>
            </w:pPr>
            <w:r>
              <w:rPr>
                <w:szCs w:val="21"/>
              </w:rPr>
              <w:t>评价标准（μg/m</w:t>
            </w:r>
            <w:r>
              <w:rPr>
                <w:szCs w:val="21"/>
                <w:vertAlign w:val="superscript"/>
              </w:rPr>
              <w:t>3</w:t>
            </w:r>
            <w:r>
              <w:rPr>
                <w:szCs w:val="21"/>
              </w:rPr>
              <w:t>）</w:t>
            </w:r>
          </w:p>
        </w:tc>
        <w:tc>
          <w:tcPr>
            <w:tcW w:w="765" w:type="pct"/>
            <w:vMerge w:val="restart"/>
            <w:tcBorders>
              <w:tl2br w:val="nil"/>
              <w:tr2bl w:val="nil"/>
            </w:tcBorders>
            <w:vAlign w:val="center"/>
          </w:tcPr>
          <w:p w14:paraId="64D3288B">
            <w:pPr>
              <w:pStyle w:val="160"/>
              <w:rPr>
                <w:szCs w:val="21"/>
              </w:rPr>
            </w:pPr>
            <w:r>
              <w:rPr>
                <w:szCs w:val="21"/>
              </w:rPr>
              <w:t>监测浓度范围（μg/m</w:t>
            </w:r>
            <w:r>
              <w:rPr>
                <w:szCs w:val="21"/>
                <w:vertAlign w:val="superscript"/>
              </w:rPr>
              <w:t>3</w:t>
            </w:r>
            <w:r>
              <w:rPr>
                <w:szCs w:val="21"/>
              </w:rPr>
              <w:t>）</w:t>
            </w:r>
          </w:p>
        </w:tc>
        <w:tc>
          <w:tcPr>
            <w:tcW w:w="612" w:type="pct"/>
            <w:vMerge w:val="restart"/>
            <w:tcBorders>
              <w:tl2br w:val="nil"/>
              <w:tr2bl w:val="nil"/>
            </w:tcBorders>
            <w:vAlign w:val="center"/>
          </w:tcPr>
          <w:p w14:paraId="13C73D9B">
            <w:pPr>
              <w:pStyle w:val="160"/>
              <w:rPr>
                <w:szCs w:val="21"/>
              </w:rPr>
            </w:pPr>
            <w:r>
              <w:rPr>
                <w:szCs w:val="21"/>
              </w:rPr>
              <w:t>最大浓度占标率</w:t>
            </w:r>
            <w:r>
              <w:rPr>
                <w:szCs w:val="21"/>
                <w:lang w:bidi="ar"/>
              </w:rPr>
              <w:t>/%</w:t>
            </w:r>
          </w:p>
        </w:tc>
        <w:tc>
          <w:tcPr>
            <w:tcW w:w="375" w:type="pct"/>
            <w:vMerge w:val="restart"/>
            <w:tcBorders>
              <w:tl2br w:val="nil"/>
              <w:tr2bl w:val="nil"/>
            </w:tcBorders>
            <w:vAlign w:val="center"/>
          </w:tcPr>
          <w:p w14:paraId="5D93265E">
            <w:pPr>
              <w:widowControl/>
              <w:spacing w:before="0" w:beforeLines="0" w:line="240" w:lineRule="auto"/>
              <w:jc w:val="center"/>
              <w:rPr>
                <w:szCs w:val="21"/>
              </w:rPr>
            </w:pPr>
            <w:r>
              <w:rPr>
                <w:kern w:val="0"/>
                <w:szCs w:val="21"/>
                <w:lang w:bidi="ar"/>
              </w:rPr>
              <w:t>超标率/%</w:t>
            </w:r>
          </w:p>
        </w:tc>
        <w:tc>
          <w:tcPr>
            <w:tcW w:w="466" w:type="pct"/>
            <w:vMerge w:val="restart"/>
            <w:tcBorders>
              <w:tl2br w:val="nil"/>
              <w:tr2bl w:val="nil"/>
            </w:tcBorders>
            <w:vAlign w:val="center"/>
          </w:tcPr>
          <w:p w14:paraId="7133D3CA">
            <w:pPr>
              <w:widowControl/>
              <w:spacing w:before="0" w:beforeLines="0" w:line="240" w:lineRule="auto"/>
              <w:jc w:val="center"/>
              <w:rPr>
                <w:kern w:val="0"/>
                <w:szCs w:val="21"/>
                <w:lang w:bidi="ar"/>
              </w:rPr>
            </w:pPr>
            <w:r>
              <w:rPr>
                <w:kern w:val="0"/>
                <w:szCs w:val="21"/>
                <w:lang w:bidi="ar"/>
              </w:rPr>
              <w:t>达标</w:t>
            </w:r>
          </w:p>
          <w:p w14:paraId="6C50DEF2">
            <w:pPr>
              <w:widowControl/>
              <w:spacing w:before="0" w:beforeLines="0" w:line="240" w:lineRule="auto"/>
              <w:jc w:val="center"/>
              <w:rPr>
                <w:szCs w:val="21"/>
              </w:rPr>
            </w:pPr>
            <w:r>
              <w:rPr>
                <w:kern w:val="0"/>
                <w:szCs w:val="21"/>
                <w:lang w:bidi="ar"/>
              </w:rPr>
              <w:t>情况</w:t>
            </w:r>
          </w:p>
        </w:tc>
      </w:tr>
      <w:tr w14:paraId="25F6E4F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70" w:hRule="atLeast"/>
          <w:jc w:val="center"/>
        </w:trPr>
        <w:tc>
          <w:tcPr>
            <w:tcW w:w="510" w:type="pct"/>
            <w:vMerge w:val="continue"/>
            <w:tcBorders>
              <w:tl2br w:val="nil"/>
              <w:tr2bl w:val="nil"/>
            </w:tcBorders>
            <w:vAlign w:val="center"/>
          </w:tcPr>
          <w:p w14:paraId="2BE6A47E">
            <w:pPr>
              <w:pStyle w:val="160"/>
              <w:rPr>
                <w:szCs w:val="21"/>
              </w:rPr>
            </w:pPr>
          </w:p>
        </w:tc>
        <w:tc>
          <w:tcPr>
            <w:tcW w:w="535" w:type="pct"/>
            <w:tcBorders>
              <w:tl2br w:val="nil"/>
              <w:tr2bl w:val="nil"/>
            </w:tcBorders>
            <w:vAlign w:val="center"/>
          </w:tcPr>
          <w:p w14:paraId="4A414F76">
            <w:pPr>
              <w:pStyle w:val="160"/>
              <w:rPr>
                <w:szCs w:val="21"/>
              </w:rPr>
            </w:pPr>
            <w:r>
              <w:rPr>
                <w:szCs w:val="21"/>
              </w:rPr>
              <w:t>X</w:t>
            </w:r>
          </w:p>
        </w:tc>
        <w:tc>
          <w:tcPr>
            <w:tcW w:w="576" w:type="pct"/>
            <w:tcBorders>
              <w:tl2br w:val="nil"/>
              <w:tr2bl w:val="nil"/>
            </w:tcBorders>
            <w:vAlign w:val="center"/>
          </w:tcPr>
          <w:p w14:paraId="46924BF7">
            <w:pPr>
              <w:pStyle w:val="160"/>
              <w:rPr>
                <w:szCs w:val="21"/>
              </w:rPr>
            </w:pPr>
            <w:r>
              <w:rPr>
                <w:szCs w:val="21"/>
              </w:rPr>
              <w:t>Y</w:t>
            </w:r>
          </w:p>
        </w:tc>
        <w:tc>
          <w:tcPr>
            <w:tcW w:w="448" w:type="pct"/>
            <w:vMerge w:val="continue"/>
            <w:tcBorders>
              <w:tl2br w:val="nil"/>
              <w:tr2bl w:val="nil"/>
            </w:tcBorders>
            <w:vAlign w:val="center"/>
          </w:tcPr>
          <w:p w14:paraId="7579245C">
            <w:pPr>
              <w:pStyle w:val="160"/>
              <w:rPr>
                <w:szCs w:val="21"/>
              </w:rPr>
            </w:pPr>
          </w:p>
        </w:tc>
        <w:tc>
          <w:tcPr>
            <w:tcW w:w="714" w:type="pct"/>
            <w:vMerge w:val="continue"/>
            <w:tcBorders>
              <w:tl2br w:val="nil"/>
              <w:tr2bl w:val="nil"/>
            </w:tcBorders>
            <w:vAlign w:val="center"/>
          </w:tcPr>
          <w:p w14:paraId="4374D143">
            <w:pPr>
              <w:pStyle w:val="160"/>
              <w:rPr>
                <w:szCs w:val="21"/>
              </w:rPr>
            </w:pPr>
          </w:p>
        </w:tc>
        <w:tc>
          <w:tcPr>
            <w:tcW w:w="765" w:type="pct"/>
            <w:vMerge w:val="continue"/>
            <w:tcBorders>
              <w:tl2br w:val="nil"/>
              <w:tr2bl w:val="nil"/>
            </w:tcBorders>
            <w:vAlign w:val="center"/>
          </w:tcPr>
          <w:p w14:paraId="738CCA48">
            <w:pPr>
              <w:pStyle w:val="160"/>
              <w:rPr>
                <w:szCs w:val="21"/>
              </w:rPr>
            </w:pPr>
          </w:p>
        </w:tc>
        <w:tc>
          <w:tcPr>
            <w:tcW w:w="612" w:type="pct"/>
            <w:vMerge w:val="continue"/>
            <w:tcBorders>
              <w:tl2br w:val="nil"/>
              <w:tr2bl w:val="nil"/>
            </w:tcBorders>
            <w:vAlign w:val="center"/>
          </w:tcPr>
          <w:p w14:paraId="7B392F47">
            <w:pPr>
              <w:pStyle w:val="160"/>
              <w:rPr>
                <w:szCs w:val="21"/>
              </w:rPr>
            </w:pPr>
          </w:p>
        </w:tc>
        <w:tc>
          <w:tcPr>
            <w:tcW w:w="375" w:type="pct"/>
            <w:vMerge w:val="continue"/>
            <w:tcBorders>
              <w:tl2br w:val="nil"/>
              <w:tr2bl w:val="nil"/>
            </w:tcBorders>
            <w:vAlign w:val="center"/>
          </w:tcPr>
          <w:p w14:paraId="5BD7B233">
            <w:pPr>
              <w:pStyle w:val="160"/>
              <w:rPr>
                <w:szCs w:val="21"/>
              </w:rPr>
            </w:pPr>
          </w:p>
        </w:tc>
        <w:tc>
          <w:tcPr>
            <w:tcW w:w="466" w:type="pct"/>
            <w:vMerge w:val="continue"/>
            <w:tcBorders>
              <w:tl2br w:val="nil"/>
              <w:tr2bl w:val="nil"/>
            </w:tcBorders>
            <w:vAlign w:val="center"/>
          </w:tcPr>
          <w:p w14:paraId="7CDC2EA8">
            <w:pPr>
              <w:pStyle w:val="160"/>
              <w:rPr>
                <w:szCs w:val="21"/>
              </w:rPr>
            </w:pPr>
          </w:p>
        </w:tc>
      </w:tr>
      <w:tr w14:paraId="53D3746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563" w:hRule="atLeast"/>
          <w:jc w:val="center"/>
        </w:trPr>
        <w:tc>
          <w:tcPr>
            <w:tcW w:w="510" w:type="pct"/>
            <w:tcBorders>
              <w:tl2br w:val="nil"/>
              <w:tr2bl w:val="nil"/>
            </w:tcBorders>
            <w:vAlign w:val="center"/>
          </w:tcPr>
          <w:p w14:paraId="0BBA63A6">
            <w:pPr>
              <w:pStyle w:val="160"/>
              <w:rPr>
                <w:szCs w:val="21"/>
              </w:rPr>
            </w:pPr>
            <w:r>
              <w:rPr>
                <w:szCs w:val="21"/>
              </w:rPr>
              <w:t>1#厂区内</w:t>
            </w:r>
          </w:p>
        </w:tc>
        <w:tc>
          <w:tcPr>
            <w:tcW w:w="535" w:type="pct"/>
            <w:tcBorders>
              <w:tl2br w:val="nil"/>
              <w:tr2bl w:val="nil"/>
            </w:tcBorders>
            <w:vAlign w:val="center"/>
          </w:tcPr>
          <w:p w14:paraId="088D8637">
            <w:pPr>
              <w:pStyle w:val="160"/>
              <w:widowControl w:val="0"/>
              <w:wordWrap w:val="0"/>
              <w:rPr>
                <w:szCs w:val="21"/>
              </w:rPr>
            </w:pPr>
            <w:r>
              <w:t>389824.8</w:t>
            </w:r>
          </w:p>
        </w:tc>
        <w:tc>
          <w:tcPr>
            <w:tcW w:w="576" w:type="pct"/>
            <w:tcBorders>
              <w:tl2br w:val="nil"/>
              <w:tr2bl w:val="nil"/>
            </w:tcBorders>
            <w:vAlign w:val="center"/>
          </w:tcPr>
          <w:p w14:paraId="38629438">
            <w:pPr>
              <w:pStyle w:val="160"/>
              <w:widowControl w:val="0"/>
              <w:wordWrap w:val="0"/>
              <w:rPr>
                <w:szCs w:val="21"/>
              </w:rPr>
            </w:pPr>
            <w:r>
              <w:t>4687728.9</w:t>
            </w:r>
          </w:p>
        </w:tc>
        <w:tc>
          <w:tcPr>
            <w:tcW w:w="448" w:type="pct"/>
            <w:tcBorders>
              <w:tl2br w:val="nil"/>
              <w:tr2bl w:val="nil"/>
            </w:tcBorders>
            <w:vAlign w:val="center"/>
          </w:tcPr>
          <w:p w14:paraId="38DCF093">
            <w:pPr>
              <w:pStyle w:val="160"/>
              <w:widowControl w:val="0"/>
              <w:wordWrap w:val="0"/>
              <w:rPr>
                <w:szCs w:val="21"/>
              </w:rPr>
            </w:pPr>
            <w:r>
              <w:t>TSP</w:t>
            </w:r>
          </w:p>
        </w:tc>
        <w:tc>
          <w:tcPr>
            <w:tcW w:w="714" w:type="pct"/>
            <w:tcBorders>
              <w:tl2br w:val="nil"/>
              <w:tr2bl w:val="nil"/>
            </w:tcBorders>
            <w:vAlign w:val="center"/>
          </w:tcPr>
          <w:p w14:paraId="0F061524">
            <w:pPr>
              <w:pStyle w:val="160"/>
              <w:rPr>
                <w:szCs w:val="21"/>
              </w:rPr>
            </w:pPr>
            <w:r>
              <w:rPr>
                <w:szCs w:val="21"/>
              </w:rPr>
              <w:t>300</w:t>
            </w:r>
          </w:p>
        </w:tc>
        <w:tc>
          <w:tcPr>
            <w:tcW w:w="765" w:type="pct"/>
            <w:tcBorders>
              <w:tl2br w:val="nil"/>
              <w:tr2bl w:val="nil"/>
            </w:tcBorders>
            <w:vAlign w:val="center"/>
          </w:tcPr>
          <w:p w14:paraId="7765C278">
            <w:pPr>
              <w:pStyle w:val="160"/>
              <w:rPr>
                <w:szCs w:val="21"/>
              </w:rPr>
            </w:pPr>
            <w:r>
              <w:rPr>
                <w:szCs w:val="21"/>
              </w:rPr>
              <w:t>115~128</w:t>
            </w:r>
          </w:p>
        </w:tc>
        <w:tc>
          <w:tcPr>
            <w:tcW w:w="612" w:type="pct"/>
            <w:tcBorders>
              <w:tl2br w:val="nil"/>
              <w:tr2bl w:val="nil"/>
            </w:tcBorders>
            <w:vAlign w:val="center"/>
          </w:tcPr>
          <w:p w14:paraId="15E25EDF">
            <w:pPr>
              <w:pStyle w:val="160"/>
              <w:rPr>
                <w:szCs w:val="21"/>
              </w:rPr>
            </w:pPr>
            <w:r>
              <w:rPr>
                <w:szCs w:val="21"/>
              </w:rPr>
              <w:t>42.7</w:t>
            </w:r>
          </w:p>
        </w:tc>
        <w:tc>
          <w:tcPr>
            <w:tcW w:w="375" w:type="pct"/>
            <w:tcBorders>
              <w:tl2br w:val="nil"/>
              <w:tr2bl w:val="nil"/>
            </w:tcBorders>
            <w:vAlign w:val="center"/>
          </w:tcPr>
          <w:p w14:paraId="285E4C6E">
            <w:pPr>
              <w:pStyle w:val="160"/>
              <w:rPr>
                <w:szCs w:val="21"/>
              </w:rPr>
            </w:pPr>
            <w:r>
              <w:rPr>
                <w:szCs w:val="21"/>
              </w:rPr>
              <w:t>0</w:t>
            </w:r>
          </w:p>
        </w:tc>
        <w:tc>
          <w:tcPr>
            <w:tcW w:w="466" w:type="pct"/>
            <w:tcBorders>
              <w:tl2br w:val="nil"/>
              <w:tr2bl w:val="nil"/>
            </w:tcBorders>
            <w:vAlign w:val="center"/>
          </w:tcPr>
          <w:p w14:paraId="44A6F360">
            <w:pPr>
              <w:pStyle w:val="160"/>
              <w:rPr>
                <w:szCs w:val="21"/>
              </w:rPr>
            </w:pPr>
            <w:r>
              <w:rPr>
                <w:szCs w:val="21"/>
              </w:rPr>
              <w:t>达标</w:t>
            </w:r>
          </w:p>
        </w:tc>
      </w:tr>
      <w:tr w14:paraId="1837C5A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563" w:hRule="atLeast"/>
          <w:jc w:val="center"/>
        </w:trPr>
        <w:tc>
          <w:tcPr>
            <w:tcW w:w="510" w:type="pct"/>
            <w:tcBorders>
              <w:tl2br w:val="nil"/>
              <w:tr2bl w:val="nil"/>
            </w:tcBorders>
            <w:vAlign w:val="center"/>
          </w:tcPr>
          <w:p w14:paraId="72266F88">
            <w:pPr>
              <w:pStyle w:val="160"/>
              <w:rPr>
                <w:szCs w:val="21"/>
              </w:rPr>
            </w:pPr>
            <w:r>
              <w:rPr>
                <w:szCs w:val="21"/>
              </w:rPr>
              <w:t>2#厂区内</w:t>
            </w:r>
          </w:p>
        </w:tc>
        <w:tc>
          <w:tcPr>
            <w:tcW w:w="535" w:type="pct"/>
            <w:tcBorders>
              <w:tl2br w:val="nil"/>
              <w:tr2bl w:val="nil"/>
            </w:tcBorders>
            <w:vAlign w:val="center"/>
          </w:tcPr>
          <w:p w14:paraId="4791B0DD">
            <w:pPr>
              <w:pStyle w:val="160"/>
              <w:widowControl w:val="0"/>
              <w:wordWrap w:val="0"/>
              <w:rPr>
                <w:szCs w:val="21"/>
              </w:rPr>
            </w:pPr>
            <w:r>
              <w:t>390078.6</w:t>
            </w:r>
          </w:p>
        </w:tc>
        <w:tc>
          <w:tcPr>
            <w:tcW w:w="576" w:type="pct"/>
            <w:tcBorders>
              <w:tl2br w:val="nil"/>
              <w:tr2bl w:val="nil"/>
            </w:tcBorders>
            <w:vAlign w:val="center"/>
          </w:tcPr>
          <w:p w14:paraId="3B3ADCE3">
            <w:pPr>
              <w:pStyle w:val="160"/>
              <w:widowControl w:val="0"/>
              <w:wordWrap w:val="0"/>
              <w:rPr>
                <w:szCs w:val="21"/>
              </w:rPr>
            </w:pPr>
            <w:r>
              <w:t>4687904.9</w:t>
            </w:r>
          </w:p>
        </w:tc>
        <w:tc>
          <w:tcPr>
            <w:tcW w:w="448" w:type="pct"/>
            <w:tcBorders>
              <w:tl2br w:val="nil"/>
              <w:tr2bl w:val="nil"/>
            </w:tcBorders>
            <w:vAlign w:val="center"/>
          </w:tcPr>
          <w:p w14:paraId="5C38B8B2">
            <w:pPr>
              <w:wordWrap w:val="0"/>
              <w:spacing w:beforeLines="0"/>
              <w:jc w:val="center"/>
              <w:rPr>
                <w:szCs w:val="21"/>
              </w:rPr>
            </w:pPr>
            <w:r>
              <w:t>TSP</w:t>
            </w:r>
          </w:p>
        </w:tc>
        <w:tc>
          <w:tcPr>
            <w:tcW w:w="714" w:type="pct"/>
            <w:tcBorders>
              <w:tl2br w:val="nil"/>
              <w:tr2bl w:val="nil"/>
            </w:tcBorders>
            <w:vAlign w:val="center"/>
          </w:tcPr>
          <w:p w14:paraId="07126267">
            <w:pPr>
              <w:pStyle w:val="160"/>
              <w:rPr>
                <w:szCs w:val="21"/>
              </w:rPr>
            </w:pPr>
            <w:r>
              <w:rPr>
                <w:szCs w:val="21"/>
              </w:rPr>
              <w:t>300</w:t>
            </w:r>
          </w:p>
        </w:tc>
        <w:tc>
          <w:tcPr>
            <w:tcW w:w="765" w:type="pct"/>
            <w:tcBorders>
              <w:tl2br w:val="nil"/>
              <w:tr2bl w:val="nil"/>
            </w:tcBorders>
            <w:vAlign w:val="center"/>
          </w:tcPr>
          <w:p w14:paraId="6755C5CF">
            <w:pPr>
              <w:pStyle w:val="160"/>
              <w:rPr>
                <w:szCs w:val="21"/>
              </w:rPr>
            </w:pPr>
            <w:r>
              <w:rPr>
                <w:szCs w:val="21"/>
              </w:rPr>
              <w:t>120~133</w:t>
            </w:r>
          </w:p>
        </w:tc>
        <w:tc>
          <w:tcPr>
            <w:tcW w:w="612" w:type="pct"/>
            <w:tcBorders>
              <w:tl2br w:val="nil"/>
              <w:tr2bl w:val="nil"/>
            </w:tcBorders>
            <w:vAlign w:val="center"/>
          </w:tcPr>
          <w:p w14:paraId="60927F79">
            <w:pPr>
              <w:pStyle w:val="160"/>
              <w:rPr>
                <w:szCs w:val="21"/>
              </w:rPr>
            </w:pPr>
            <w:r>
              <w:rPr>
                <w:szCs w:val="21"/>
              </w:rPr>
              <w:t>44.3</w:t>
            </w:r>
          </w:p>
        </w:tc>
        <w:tc>
          <w:tcPr>
            <w:tcW w:w="375" w:type="pct"/>
            <w:tcBorders>
              <w:tl2br w:val="nil"/>
              <w:tr2bl w:val="nil"/>
            </w:tcBorders>
            <w:vAlign w:val="center"/>
          </w:tcPr>
          <w:p w14:paraId="6F3126A9">
            <w:pPr>
              <w:pStyle w:val="160"/>
              <w:rPr>
                <w:szCs w:val="21"/>
              </w:rPr>
            </w:pPr>
            <w:r>
              <w:rPr>
                <w:szCs w:val="21"/>
              </w:rPr>
              <w:t>0</w:t>
            </w:r>
          </w:p>
        </w:tc>
        <w:tc>
          <w:tcPr>
            <w:tcW w:w="466" w:type="pct"/>
            <w:tcBorders>
              <w:tl2br w:val="nil"/>
              <w:tr2bl w:val="nil"/>
            </w:tcBorders>
            <w:vAlign w:val="center"/>
          </w:tcPr>
          <w:p w14:paraId="4BA51C34">
            <w:pPr>
              <w:pStyle w:val="160"/>
              <w:rPr>
                <w:szCs w:val="21"/>
              </w:rPr>
            </w:pPr>
            <w:r>
              <w:rPr>
                <w:szCs w:val="21"/>
              </w:rPr>
              <w:t>达标</w:t>
            </w:r>
          </w:p>
        </w:tc>
      </w:tr>
      <w:tr w14:paraId="2D8BE19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576" w:hRule="atLeast"/>
          <w:jc w:val="center"/>
        </w:trPr>
        <w:tc>
          <w:tcPr>
            <w:tcW w:w="510" w:type="pct"/>
            <w:tcBorders>
              <w:tl2br w:val="nil"/>
              <w:tr2bl w:val="nil"/>
            </w:tcBorders>
            <w:vAlign w:val="center"/>
          </w:tcPr>
          <w:p w14:paraId="2EA5FABF">
            <w:pPr>
              <w:pStyle w:val="160"/>
              <w:rPr>
                <w:szCs w:val="21"/>
              </w:rPr>
            </w:pPr>
            <w:r>
              <w:rPr>
                <w:szCs w:val="21"/>
              </w:rPr>
              <w:t>邵家窝堡</w:t>
            </w:r>
          </w:p>
        </w:tc>
        <w:tc>
          <w:tcPr>
            <w:tcW w:w="535" w:type="pct"/>
            <w:tcBorders>
              <w:tl2br w:val="nil"/>
              <w:tr2bl w:val="nil"/>
            </w:tcBorders>
            <w:vAlign w:val="center"/>
          </w:tcPr>
          <w:p w14:paraId="309146E2">
            <w:pPr>
              <w:pStyle w:val="160"/>
              <w:widowControl w:val="0"/>
              <w:wordWrap w:val="0"/>
              <w:rPr>
                <w:szCs w:val="21"/>
              </w:rPr>
            </w:pPr>
            <w:r>
              <w:t>390485.4</w:t>
            </w:r>
          </w:p>
        </w:tc>
        <w:tc>
          <w:tcPr>
            <w:tcW w:w="576" w:type="pct"/>
            <w:tcBorders>
              <w:tl2br w:val="nil"/>
              <w:tr2bl w:val="nil"/>
            </w:tcBorders>
            <w:vAlign w:val="center"/>
          </w:tcPr>
          <w:p w14:paraId="5059093E">
            <w:pPr>
              <w:pStyle w:val="160"/>
              <w:widowControl w:val="0"/>
              <w:wordWrap w:val="0"/>
              <w:rPr>
                <w:szCs w:val="21"/>
              </w:rPr>
            </w:pPr>
            <w:r>
              <w:t>4689435.7</w:t>
            </w:r>
          </w:p>
        </w:tc>
        <w:tc>
          <w:tcPr>
            <w:tcW w:w="448" w:type="pct"/>
            <w:tcBorders>
              <w:tl2br w:val="nil"/>
              <w:tr2bl w:val="nil"/>
            </w:tcBorders>
            <w:vAlign w:val="center"/>
          </w:tcPr>
          <w:p w14:paraId="02C471C2">
            <w:pPr>
              <w:wordWrap w:val="0"/>
              <w:spacing w:beforeLines="0"/>
              <w:jc w:val="center"/>
              <w:rPr>
                <w:szCs w:val="21"/>
              </w:rPr>
            </w:pPr>
            <w:r>
              <w:t>TSP</w:t>
            </w:r>
          </w:p>
        </w:tc>
        <w:tc>
          <w:tcPr>
            <w:tcW w:w="714" w:type="pct"/>
            <w:tcBorders>
              <w:tl2br w:val="nil"/>
              <w:tr2bl w:val="nil"/>
            </w:tcBorders>
            <w:vAlign w:val="center"/>
          </w:tcPr>
          <w:p w14:paraId="454CD7F9">
            <w:pPr>
              <w:pStyle w:val="160"/>
              <w:rPr>
                <w:szCs w:val="21"/>
              </w:rPr>
            </w:pPr>
            <w:r>
              <w:rPr>
                <w:szCs w:val="21"/>
              </w:rPr>
              <w:t>300</w:t>
            </w:r>
          </w:p>
        </w:tc>
        <w:tc>
          <w:tcPr>
            <w:tcW w:w="765" w:type="pct"/>
            <w:tcBorders>
              <w:tl2br w:val="nil"/>
              <w:tr2bl w:val="nil"/>
            </w:tcBorders>
            <w:vAlign w:val="center"/>
          </w:tcPr>
          <w:p w14:paraId="300643A7">
            <w:pPr>
              <w:pStyle w:val="160"/>
              <w:rPr>
                <w:szCs w:val="21"/>
              </w:rPr>
            </w:pPr>
            <w:r>
              <w:rPr>
                <w:szCs w:val="21"/>
              </w:rPr>
              <w:t>103~119</w:t>
            </w:r>
          </w:p>
        </w:tc>
        <w:tc>
          <w:tcPr>
            <w:tcW w:w="612" w:type="pct"/>
            <w:tcBorders>
              <w:tl2br w:val="nil"/>
              <w:tr2bl w:val="nil"/>
            </w:tcBorders>
            <w:vAlign w:val="center"/>
          </w:tcPr>
          <w:p w14:paraId="7B5E2020">
            <w:pPr>
              <w:pStyle w:val="160"/>
              <w:rPr>
                <w:szCs w:val="21"/>
              </w:rPr>
            </w:pPr>
            <w:r>
              <w:rPr>
                <w:szCs w:val="21"/>
              </w:rPr>
              <w:t>39.7</w:t>
            </w:r>
          </w:p>
        </w:tc>
        <w:tc>
          <w:tcPr>
            <w:tcW w:w="375" w:type="pct"/>
            <w:tcBorders>
              <w:tl2br w:val="nil"/>
              <w:tr2bl w:val="nil"/>
            </w:tcBorders>
            <w:vAlign w:val="center"/>
          </w:tcPr>
          <w:p w14:paraId="6503703F">
            <w:pPr>
              <w:pStyle w:val="160"/>
              <w:rPr>
                <w:szCs w:val="21"/>
              </w:rPr>
            </w:pPr>
            <w:r>
              <w:rPr>
                <w:szCs w:val="21"/>
              </w:rPr>
              <w:t>0</w:t>
            </w:r>
          </w:p>
        </w:tc>
        <w:tc>
          <w:tcPr>
            <w:tcW w:w="466" w:type="pct"/>
            <w:tcBorders>
              <w:tl2br w:val="nil"/>
              <w:tr2bl w:val="nil"/>
            </w:tcBorders>
            <w:vAlign w:val="center"/>
          </w:tcPr>
          <w:p w14:paraId="4FF60E35">
            <w:pPr>
              <w:pStyle w:val="160"/>
              <w:rPr>
                <w:szCs w:val="21"/>
              </w:rPr>
            </w:pPr>
            <w:r>
              <w:rPr>
                <w:szCs w:val="21"/>
              </w:rPr>
              <w:t>达标</w:t>
            </w:r>
          </w:p>
        </w:tc>
      </w:tr>
    </w:tbl>
    <w:p w14:paraId="6A5B467C">
      <w:pPr>
        <w:pStyle w:val="151"/>
      </w:pPr>
      <w:r>
        <w:fldChar w:fldCharType="begin"/>
      </w:r>
      <w:r>
        <w:instrText xml:space="preserve"> = 6 \* GB3 \* MERGEFORMAT </w:instrText>
      </w:r>
      <w:r>
        <w:fldChar w:fldCharType="separate"/>
      </w:r>
      <w:r>
        <w:t>⑥</w:t>
      </w:r>
      <w:r>
        <w:fldChar w:fldCharType="end"/>
      </w:r>
      <w:r>
        <w:t>环境质量评价结果</w:t>
      </w:r>
    </w:p>
    <w:p w14:paraId="4AABE5F4">
      <w:pPr>
        <w:pStyle w:val="151"/>
      </w:pPr>
      <w:r>
        <w:t>大气环境质量评价采用单因子评价指数法，公式如下：</w:t>
      </w:r>
    </w:p>
    <w:p w14:paraId="3FA1927D">
      <w:pPr>
        <w:pStyle w:val="151"/>
      </w:pPr>
      <w:r>
        <w:t>Ii=Ci/Coi</w:t>
      </w:r>
    </w:p>
    <w:p w14:paraId="347D9EE0">
      <w:pPr>
        <w:pStyle w:val="151"/>
      </w:pPr>
      <w:r>
        <w:t>式中：Ci—第i种污染物监测值，mg/m</w:t>
      </w:r>
      <w:r>
        <w:rPr>
          <w:vertAlign w:val="superscript"/>
        </w:rPr>
        <w:t>3</w:t>
      </w:r>
    </w:p>
    <w:p w14:paraId="5244CC91">
      <w:pPr>
        <w:pStyle w:val="151"/>
        <w:ind w:firstLine="1200" w:firstLineChars="500"/>
      </w:pPr>
      <w:r>
        <w:t>Coi—第i种污染物评价质量标准限值，mg/m</w:t>
      </w:r>
      <w:r>
        <w:rPr>
          <w:vertAlign w:val="superscript"/>
        </w:rPr>
        <w:t>3</w:t>
      </w:r>
    </w:p>
    <w:p w14:paraId="3468C4AC">
      <w:pPr>
        <w:pStyle w:val="151"/>
        <w:ind w:firstLine="1200" w:firstLineChars="500"/>
      </w:pPr>
      <w:r>
        <w:t>Ii—第i种污染物评价指数，Ii≤1，清洁；Ii＞1，污染。</w:t>
      </w:r>
    </w:p>
    <w:p w14:paraId="324DC6D6">
      <w:pPr>
        <w:pStyle w:val="151"/>
      </w:pPr>
      <w:r>
        <w:t>由上表可以看出Ii均小于1，各监测点位监测因子，均满足相应的标准限值要求。</w:t>
      </w:r>
    </w:p>
    <w:p w14:paraId="6CD1DD1A">
      <w:pPr>
        <w:pStyle w:val="5"/>
        <w:rPr>
          <w:color w:val="auto"/>
        </w:rPr>
      </w:pPr>
      <w:r>
        <w:rPr>
          <w:color w:val="auto"/>
        </w:rPr>
        <w:t>4.2.2声环境质量现状与评价</w:t>
      </w:r>
    </w:p>
    <w:p w14:paraId="4A1C14B9">
      <w:pPr>
        <w:pStyle w:val="151"/>
        <w:ind w:firstLine="482"/>
        <w:rPr>
          <w:b/>
          <w:bCs/>
        </w:rPr>
      </w:pPr>
      <w:r>
        <w:rPr>
          <w:b/>
          <w:bCs/>
        </w:rPr>
        <w:fldChar w:fldCharType="begin"/>
      </w:r>
      <w:r>
        <w:rPr>
          <w:b/>
          <w:bCs/>
        </w:rPr>
        <w:instrText xml:space="preserve"> = 1 \* GB2 \* MERGEFORMAT </w:instrText>
      </w:r>
      <w:r>
        <w:rPr>
          <w:b/>
          <w:bCs/>
        </w:rPr>
        <w:fldChar w:fldCharType="separate"/>
      </w:r>
      <w:r>
        <w:rPr>
          <w:b/>
          <w:bCs/>
        </w:rPr>
        <w:t>⑴</w:t>
      </w:r>
      <w:r>
        <w:rPr>
          <w:b/>
          <w:bCs/>
        </w:rPr>
        <w:fldChar w:fldCharType="end"/>
      </w:r>
      <w:r>
        <w:rPr>
          <w:b/>
          <w:bCs/>
        </w:rPr>
        <w:t>监测点位布设</w:t>
      </w:r>
    </w:p>
    <w:p w14:paraId="3253D4CD">
      <w:pPr>
        <w:pStyle w:val="151"/>
      </w:pPr>
      <w:r>
        <w:t>本次声环境质量现状调查共设置8个环境噪声监测点位，点位位置详见表4.2-6。</w:t>
      </w:r>
    </w:p>
    <w:p w14:paraId="55177CE9">
      <w:pPr>
        <w:pStyle w:val="143"/>
        <w:spacing w:before="156"/>
      </w:pPr>
      <w:r>
        <w:rPr>
          <w:b/>
          <w:bCs w:val="0"/>
        </w:rPr>
        <w:t xml:space="preserve">表4.2-6 </w:t>
      </w:r>
      <w:r>
        <w:rPr>
          <w:rFonts w:hint="eastAsia"/>
          <w:b/>
          <w:bCs w:val="0"/>
        </w:rPr>
        <w:t xml:space="preserve">    </w:t>
      </w:r>
      <w:r>
        <w:rPr>
          <w:b/>
          <w:bCs w:val="0"/>
        </w:rPr>
        <w:t xml:space="preserve"> 声环境监测点位</w:t>
      </w:r>
    </w:p>
    <w:tbl>
      <w:tblPr>
        <w:tblStyle w:val="89"/>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722"/>
        <w:gridCol w:w="1664"/>
        <w:gridCol w:w="4923"/>
      </w:tblGrid>
      <w:tr w14:paraId="41130F6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036" w:type="pct"/>
            <w:tcBorders>
              <w:tl2br w:val="nil"/>
              <w:tr2bl w:val="nil"/>
            </w:tcBorders>
            <w:vAlign w:val="center"/>
          </w:tcPr>
          <w:p w14:paraId="011FD894">
            <w:pPr>
              <w:pStyle w:val="160"/>
              <w:rPr>
                <w:szCs w:val="21"/>
              </w:rPr>
            </w:pPr>
            <w:r>
              <w:rPr>
                <w:szCs w:val="21"/>
              </w:rPr>
              <w:t>序号</w:t>
            </w:r>
          </w:p>
        </w:tc>
        <w:tc>
          <w:tcPr>
            <w:tcW w:w="1001" w:type="pct"/>
            <w:tcBorders>
              <w:tl2br w:val="nil"/>
              <w:tr2bl w:val="nil"/>
            </w:tcBorders>
            <w:vAlign w:val="center"/>
          </w:tcPr>
          <w:p w14:paraId="3DC468C1">
            <w:pPr>
              <w:pStyle w:val="160"/>
              <w:rPr>
                <w:szCs w:val="21"/>
              </w:rPr>
            </w:pPr>
            <w:r>
              <w:rPr>
                <w:szCs w:val="21"/>
              </w:rPr>
              <w:t>对应厂区</w:t>
            </w:r>
          </w:p>
        </w:tc>
        <w:tc>
          <w:tcPr>
            <w:tcW w:w="2962" w:type="pct"/>
            <w:tcBorders>
              <w:tl2br w:val="nil"/>
              <w:tr2bl w:val="nil"/>
            </w:tcBorders>
            <w:vAlign w:val="center"/>
          </w:tcPr>
          <w:p w14:paraId="32F3766D">
            <w:pPr>
              <w:pStyle w:val="160"/>
              <w:rPr>
                <w:szCs w:val="21"/>
              </w:rPr>
            </w:pPr>
            <w:r>
              <w:rPr>
                <w:szCs w:val="21"/>
              </w:rPr>
              <w:t>监测点位</w:t>
            </w:r>
          </w:p>
        </w:tc>
      </w:tr>
      <w:tr w14:paraId="7DA036B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036" w:type="pct"/>
            <w:tcBorders>
              <w:tl2br w:val="nil"/>
              <w:tr2bl w:val="nil"/>
            </w:tcBorders>
            <w:vAlign w:val="center"/>
          </w:tcPr>
          <w:p w14:paraId="13421000">
            <w:pPr>
              <w:pStyle w:val="160"/>
              <w:rPr>
                <w:szCs w:val="21"/>
              </w:rPr>
            </w:pPr>
            <w:r>
              <w:rPr>
                <w:szCs w:val="21"/>
              </w:rPr>
              <w:t>1</w:t>
            </w:r>
          </w:p>
        </w:tc>
        <w:tc>
          <w:tcPr>
            <w:tcW w:w="1001" w:type="pct"/>
            <w:vMerge w:val="restart"/>
            <w:tcBorders>
              <w:tl2br w:val="nil"/>
              <w:tr2bl w:val="nil"/>
            </w:tcBorders>
            <w:vAlign w:val="center"/>
          </w:tcPr>
          <w:p w14:paraId="686C8AF7">
            <w:pPr>
              <w:pStyle w:val="160"/>
              <w:rPr>
                <w:szCs w:val="21"/>
              </w:rPr>
            </w:pPr>
            <w:r>
              <w:rPr>
                <w:szCs w:val="21"/>
              </w:rPr>
              <w:t>1#厂区</w:t>
            </w:r>
          </w:p>
        </w:tc>
        <w:tc>
          <w:tcPr>
            <w:tcW w:w="2962" w:type="pct"/>
            <w:tcBorders>
              <w:tl2br w:val="nil"/>
              <w:tr2bl w:val="nil"/>
            </w:tcBorders>
            <w:vAlign w:val="center"/>
          </w:tcPr>
          <w:p w14:paraId="271C2410">
            <w:pPr>
              <w:pStyle w:val="160"/>
              <w:rPr>
                <w:szCs w:val="21"/>
              </w:rPr>
            </w:pPr>
            <w:r>
              <w:rPr>
                <w:szCs w:val="21"/>
              </w:rPr>
              <w:t>厂区东侧外1m</w:t>
            </w:r>
          </w:p>
        </w:tc>
      </w:tr>
      <w:tr w14:paraId="23BC0E9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036" w:type="pct"/>
            <w:tcBorders>
              <w:tl2br w:val="nil"/>
              <w:tr2bl w:val="nil"/>
            </w:tcBorders>
            <w:vAlign w:val="center"/>
          </w:tcPr>
          <w:p w14:paraId="06607143">
            <w:pPr>
              <w:pStyle w:val="160"/>
              <w:rPr>
                <w:szCs w:val="21"/>
              </w:rPr>
            </w:pPr>
            <w:r>
              <w:rPr>
                <w:szCs w:val="21"/>
              </w:rPr>
              <w:t>2</w:t>
            </w:r>
          </w:p>
        </w:tc>
        <w:tc>
          <w:tcPr>
            <w:tcW w:w="1001" w:type="pct"/>
            <w:vMerge w:val="continue"/>
            <w:tcBorders>
              <w:tl2br w:val="nil"/>
              <w:tr2bl w:val="nil"/>
            </w:tcBorders>
            <w:vAlign w:val="center"/>
          </w:tcPr>
          <w:p w14:paraId="3CE5DC33">
            <w:pPr>
              <w:pStyle w:val="160"/>
              <w:rPr>
                <w:szCs w:val="21"/>
              </w:rPr>
            </w:pPr>
          </w:p>
        </w:tc>
        <w:tc>
          <w:tcPr>
            <w:tcW w:w="2962" w:type="pct"/>
            <w:tcBorders>
              <w:tl2br w:val="nil"/>
              <w:tr2bl w:val="nil"/>
            </w:tcBorders>
            <w:vAlign w:val="center"/>
          </w:tcPr>
          <w:p w14:paraId="593D6798">
            <w:pPr>
              <w:pStyle w:val="160"/>
              <w:rPr>
                <w:szCs w:val="21"/>
              </w:rPr>
            </w:pPr>
            <w:r>
              <w:rPr>
                <w:szCs w:val="21"/>
              </w:rPr>
              <w:t>厂区南侧外1m</w:t>
            </w:r>
          </w:p>
        </w:tc>
      </w:tr>
      <w:tr w14:paraId="4870D5F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036" w:type="pct"/>
            <w:tcBorders>
              <w:tl2br w:val="nil"/>
              <w:tr2bl w:val="nil"/>
            </w:tcBorders>
            <w:vAlign w:val="center"/>
          </w:tcPr>
          <w:p w14:paraId="008928BA">
            <w:pPr>
              <w:pStyle w:val="160"/>
              <w:rPr>
                <w:szCs w:val="21"/>
              </w:rPr>
            </w:pPr>
            <w:r>
              <w:rPr>
                <w:szCs w:val="21"/>
              </w:rPr>
              <w:t>3</w:t>
            </w:r>
          </w:p>
        </w:tc>
        <w:tc>
          <w:tcPr>
            <w:tcW w:w="1001" w:type="pct"/>
            <w:vMerge w:val="continue"/>
            <w:tcBorders>
              <w:tl2br w:val="nil"/>
              <w:tr2bl w:val="nil"/>
            </w:tcBorders>
            <w:vAlign w:val="center"/>
          </w:tcPr>
          <w:p w14:paraId="28EC27EF">
            <w:pPr>
              <w:pStyle w:val="160"/>
              <w:rPr>
                <w:szCs w:val="21"/>
              </w:rPr>
            </w:pPr>
          </w:p>
        </w:tc>
        <w:tc>
          <w:tcPr>
            <w:tcW w:w="2962" w:type="pct"/>
            <w:tcBorders>
              <w:tl2br w:val="nil"/>
              <w:tr2bl w:val="nil"/>
            </w:tcBorders>
            <w:vAlign w:val="center"/>
          </w:tcPr>
          <w:p w14:paraId="06C4D6CB">
            <w:pPr>
              <w:pStyle w:val="160"/>
              <w:rPr>
                <w:szCs w:val="21"/>
              </w:rPr>
            </w:pPr>
            <w:r>
              <w:rPr>
                <w:szCs w:val="21"/>
              </w:rPr>
              <w:t>厂区西侧外1m</w:t>
            </w:r>
          </w:p>
        </w:tc>
      </w:tr>
      <w:tr w14:paraId="1256752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036" w:type="pct"/>
            <w:tcBorders>
              <w:tl2br w:val="nil"/>
              <w:tr2bl w:val="nil"/>
            </w:tcBorders>
            <w:vAlign w:val="center"/>
          </w:tcPr>
          <w:p w14:paraId="2BCE41DC">
            <w:pPr>
              <w:pStyle w:val="160"/>
              <w:rPr>
                <w:szCs w:val="21"/>
              </w:rPr>
            </w:pPr>
            <w:r>
              <w:rPr>
                <w:szCs w:val="21"/>
              </w:rPr>
              <w:t>4</w:t>
            </w:r>
          </w:p>
        </w:tc>
        <w:tc>
          <w:tcPr>
            <w:tcW w:w="1001" w:type="pct"/>
            <w:vMerge w:val="continue"/>
            <w:tcBorders>
              <w:tl2br w:val="nil"/>
              <w:tr2bl w:val="nil"/>
            </w:tcBorders>
            <w:vAlign w:val="center"/>
          </w:tcPr>
          <w:p w14:paraId="22C16925">
            <w:pPr>
              <w:pStyle w:val="160"/>
              <w:rPr>
                <w:szCs w:val="21"/>
              </w:rPr>
            </w:pPr>
          </w:p>
        </w:tc>
        <w:tc>
          <w:tcPr>
            <w:tcW w:w="2962" w:type="pct"/>
            <w:tcBorders>
              <w:tl2br w:val="nil"/>
              <w:tr2bl w:val="nil"/>
            </w:tcBorders>
            <w:vAlign w:val="center"/>
          </w:tcPr>
          <w:p w14:paraId="70EB6A35">
            <w:pPr>
              <w:pStyle w:val="160"/>
              <w:rPr>
                <w:szCs w:val="21"/>
              </w:rPr>
            </w:pPr>
            <w:r>
              <w:rPr>
                <w:szCs w:val="21"/>
              </w:rPr>
              <w:t>厂区北侧外1m</w:t>
            </w:r>
          </w:p>
        </w:tc>
      </w:tr>
      <w:tr w14:paraId="21889E1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036" w:type="pct"/>
            <w:tcBorders>
              <w:tl2br w:val="nil"/>
              <w:tr2bl w:val="nil"/>
            </w:tcBorders>
            <w:vAlign w:val="center"/>
          </w:tcPr>
          <w:p w14:paraId="19DA3E5B">
            <w:pPr>
              <w:pStyle w:val="160"/>
              <w:rPr>
                <w:szCs w:val="21"/>
              </w:rPr>
            </w:pPr>
            <w:r>
              <w:rPr>
                <w:szCs w:val="21"/>
              </w:rPr>
              <w:t>5</w:t>
            </w:r>
          </w:p>
        </w:tc>
        <w:tc>
          <w:tcPr>
            <w:tcW w:w="1001" w:type="pct"/>
            <w:vMerge w:val="restart"/>
            <w:tcBorders>
              <w:tl2br w:val="nil"/>
              <w:tr2bl w:val="nil"/>
            </w:tcBorders>
            <w:vAlign w:val="center"/>
          </w:tcPr>
          <w:p w14:paraId="6496D7F6">
            <w:pPr>
              <w:pStyle w:val="160"/>
              <w:rPr>
                <w:szCs w:val="21"/>
              </w:rPr>
            </w:pPr>
            <w:r>
              <w:rPr>
                <w:szCs w:val="21"/>
              </w:rPr>
              <w:t>2#厂区</w:t>
            </w:r>
          </w:p>
        </w:tc>
        <w:tc>
          <w:tcPr>
            <w:tcW w:w="2962" w:type="pct"/>
            <w:tcBorders>
              <w:tl2br w:val="nil"/>
              <w:tr2bl w:val="nil"/>
            </w:tcBorders>
            <w:vAlign w:val="center"/>
          </w:tcPr>
          <w:p w14:paraId="09E7ED55">
            <w:pPr>
              <w:pStyle w:val="160"/>
              <w:rPr>
                <w:szCs w:val="21"/>
              </w:rPr>
            </w:pPr>
            <w:r>
              <w:rPr>
                <w:szCs w:val="21"/>
              </w:rPr>
              <w:t>厂区东侧外1m</w:t>
            </w:r>
          </w:p>
        </w:tc>
      </w:tr>
      <w:tr w14:paraId="7CF9183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036" w:type="pct"/>
            <w:tcBorders>
              <w:tl2br w:val="nil"/>
              <w:tr2bl w:val="nil"/>
            </w:tcBorders>
            <w:vAlign w:val="center"/>
          </w:tcPr>
          <w:p w14:paraId="112675E9">
            <w:pPr>
              <w:pStyle w:val="160"/>
              <w:rPr>
                <w:szCs w:val="21"/>
              </w:rPr>
            </w:pPr>
            <w:r>
              <w:rPr>
                <w:szCs w:val="21"/>
              </w:rPr>
              <w:t>6</w:t>
            </w:r>
          </w:p>
        </w:tc>
        <w:tc>
          <w:tcPr>
            <w:tcW w:w="1001" w:type="pct"/>
            <w:vMerge w:val="continue"/>
            <w:tcBorders>
              <w:tl2br w:val="nil"/>
              <w:tr2bl w:val="nil"/>
            </w:tcBorders>
            <w:vAlign w:val="center"/>
          </w:tcPr>
          <w:p w14:paraId="0B86280A">
            <w:pPr>
              <w:pStyle w:val="160"/>
              <w:rPr>
                <w:szCs w:val="21"/>
              </w:rPr>
            </w:pPr>
          </w:p>
        </w:tc>
        <w:tc>
          <w:tcPr>
            <w:tcW w:w="2962" w:type="pct"/>
            <w:tcBorders>
              <w:tl2br w:val="nil"/>
              <w:tr2bl w:val="nil"/>
            </w:tcBorders>
            <w:vAlign w:val="center"/>
          </w:tcPr>
          <w:p w14:paraId="34BACA8B">
            <w:pPr>
              <w:pStyle w:val="160"/>
              <w:rPr>
                <w:szCs w:val="21"/>
              </w:rPr>
            </w:pPr>
            <w:r>
              <w:rPr>
                <w:szCs w:val="21"/>
              </w:rPr>
              <w:t>厂区南侧外1m</w:t>
            </w:r>
          </w:p>
        </w:tc>
      </w:tr>
      <w:tr w14:paraId="493EDE7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036" w:type="pct"/>
            <w:tcBorders>
              <w:tl2br w:val="nil"/>
              <w:tr2bl w:val="nil"/>
            </w:tcBorders>
            <w:vAlign w:val="center"/>
          </w:tcPr>
          <w:p w14:paraId="7B225755">
            <w:pPr>
              <w:pStyle w:val="160"/>
              <w:rPr>
                <w:szCs w:val="21"/>
              </w:rPr>
            </w:pPr>
            <w:r>
              <w:rPr>
                <w:szCs w:val="21"/>
              </w:rPr>
              <w:t>7</w:t>
            </w:r>
          </w:p>
        </w:tc>
        <w:tc>
          <w:tcPr>
            <w:tcW w:w="1001" w:type="pct"/>
            <w:vMerge w:val="continue"/>
            <w:tcBorders>
              <w:tl2br w:val="nil"/>
              <w:tr2bl w:val="nil"/>
            </w:tcBorders>
            <w:vAlign w:val="center"/>
          </w:tcPr>
          <w:p w14:paraId="6F7D4CFD">
            <w:pPr>
              <w:pStyle w:val="160"/>
              <w:rPr>
                <w:szCs w:val="21"/>
              </w:rPr>
            </w:pPr>
          </w:p>
        </w:tc>
        <w:tc>
          <w:tcPr>
            <w:tcW w:w="2962" w:type="pct"/>
            <w:tcBorders>
              <w:tl2br w:val="nil"/>
              <w:tr2bl w:val="nil"/>
            </w:tcBorders>
            <w:vAlign w:val="center"/>
          </w:tcPr>
          <w:p w14:paraId="34FF8284">
            <w:pPr>
              <w:pStyle w:val="160"/>
              <w:rPr>
                <w:szCs w:val="21"/>
              </w:rPr>
            </w:pPr>
            <w:r>
              <w:rPr>
                <w:szCs w:val="21"/>
              </w:rPr>
              <w:t>厂区西侧外1m</w:t>
            </w:r>
          </w:p>
        </w:tc>
      </w:tr>
      <w:tr w14:paraId="0C92B5B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036" w:type="pct"/>
            <w:tcBorders>
              <w:tl2br w:val="nil"/>
              <w:tr2bl w:val="nil"/>
            </w:tcBorders>
            <w:vAlign w:val="center"/>
          </w:tcPr>
          <w:p w14:paraId="0BEA47C4">
            <w:pPr>
              <w:pStyle w:val="160"/>
              <w:rPr>
                <w:szCs w:val="21"/>
              </w:rPr>
            </w:pPr>
            <w:r>
              <w:rPr>
                <w:szCs w:val="21"/>
              </w:rPr>
              <w:t>8</w:t>
            </w:r>
          </w:p>
        </w:tc>
        <w:tc>
          <w:tcPr>
            <w:tcW w:w="1001" w:type="pct"/>
            <w:vMerge w:val="continue"/>
            <w:tcBorders>
              <w:tl2br w:val="nil"/>
              <w:tr2bl w:val="nil"/>
            </w:tcBorders>
            <w:vAlign w:val="center"/>
          </w:tcPr>
          <w:p w14:paraId="35CFE253">
            <w:pPr>
              <w:pStyle w:val="160"/>
              <w:rPr>
                <w:szCs w:val="21"/>
              </w:rPr>
            </w:pPr>
          </w:p>
        </w:tc>
        <w:tc>
          <w:tcPr>
            <w:tcW w:w="2962" w:type="pct"/>
            <w:tcBorders>
              <w:tl2br w:val="nil"/>
              <w:tr2bl w:val="nil"/>
            </w:tcBorders>
            <w:vAlign w:val="center"/>
          </w:tcPr>
          <w:p w14:paraId="032A65DE">
            <w:pPr>
              <w:pStyle w:val="160"/>
              <w:rPr>
                <w:szCs w:val="21"/>
              </w:rPr>
            </w:pPr>
            <w:r>
              <w:rPr>
                <w:szCs w:val="21"/>
              </w:rPr>
              <w:t>厂区北侧外1m</w:t>
            </w:r>
          </w:p>
        </w:tc>
      </w:tr>
    </w:tbl>
    <w:p w14:paraId="7351EC92">
      <w:pPr>
        <w:pStyle w:val="151"/>
        <w:ind w:firstLine="482"/>
        <w:rPr>
          <w:b/>
          <w:bCs/>
        </w:rPr>
      </w:pPr>
      <w:r>
        <w:rPr>
          <w:b/>
          <w:bCs/>
        </w:rPr>
        <w:fldChar w:fldCharType="begin"/>
      </w:r>
      <w:r>
        <w:rPr>
          <w:b/>
          <w:bCs/>
        </w:rPr>
        <w:instrText xml:space="preserve"> = 2 \* GB2 \* MERGEFORMAT </w:instrText>
      </w:r>
      <w:r>
        <w:rPr>
          <w:b/>
          <w:bCs/>
        </w:rPr>
        <w:fldChar w:fldCharType="separate"/>
      </w:r>
      <w:r>
        <w:rPr>
          <w:b/>
          <w:bCs/>
        </w:rPr>
        <w:t>⑵</w:t>
      </w:r>
      <w:r>
        <w:rPr>
          <w:b/>
          <w:bCs/>
        </w:rPr>
        <w:fldChar w:fldCharType="end"/>
      </w:r>
      <w:r>
        <w:rPr>
          <w:b/>
          <w:bCs/>
        </w:rPr>
        <w:t>监测时间及频次</w:t>
      </w:r>
    </w:p>
    <w:p w14:paraId="28ED8BA0">
      <w:pPr>
        <w:spacing w:before="78" w:line="360" w:lineRule="auto"/>
        <w:ind w:firstLine="480" w:firstLineChars="200"/>
        <w:rPr>
          <w:sz w:val="24"/>
        </w:rPr>
      </w:pPr>
      <w:r>
        <w:rPr>
          <w:sz w:val="24"/>
        </w:rPr>
        <w:t>监测时间：</w:t>
      </w:r>
      <w:bookmarkStart w:id="201" w:name="_Hlk46579539"/>
      <w:r>
        <w:rPr>
          <w:sz w:val="24"/>
        </w:rPr>
        <w:t>2023年9月22</w:t>
      </w:r>
      <w:r>
        <w:rPr>
          <w:rFonts w:hint="eastAsia"/>
          <w:sz w:val="24"/>
        </w:rPr>
        <w:t>日</w:t>
      </w:r>
      <w:r>
        <w:rPr>
          <w:sz w:val="24"/>
        </w:rPr>
        <w:t>-23日</w:t>
      </w:r>
      <w:bookmarkEnd w:id="201"/>
      <w:r>
        <w:rPr>
          <w:sz w:val="24"/>
        </w:rPr>
        <w:t>。监测频次：连续检测两天，昼间和夜间各1次。</w:t>
      </w:r>
    </w:p>
    <w:p w14:paraId="3C1247BA">
      <w:pPr>
        <w:pStyle w:val="151"/>
        <w:ind w:firstLine="482"/>
        <w:rPr>
          <w:b/>
          <w:bCs/>
        </w:rPr>
      </w:pPr>
      <w:r>
        <w:rPr>
          <w:b/>
          <w:bCs/>
        </w:rPr>
        <w:fldChar w:fldCharType="begin"/>
      </w:r>
      <w:r>
        <w:rPr>
          <w:b/>
          <w:bCs/>
        </w:rPr>
        <w:instrText xml:space="preserve"> = 3 \* GB2 \* MERGEFORMAT </w:instrText>
      </w:r>
      <w:r>
        <w:rPr>
          <w:b/>
          <w:bCs/>
        </w:rPr>
        <w:fldChar w:fldCharType="separate"/>
      </w:r>
      <w:r>
        <w:rPr>
          <w:b/>
          <w:bCs/>
        </w:rPr>
        <w:t>⑶</w:t>
      </w:r>
      <w:r>
        <w:rPr>
          <w:b/>
          <w:bCs/>
        </w:rPr>
        <w:fldChar w:fldCharType="end"/>
      </w:r>
      <w:r>
        <w:rPr>
          <w:b/>
          <w:bCs/>
        </w:rPr>
        <w:t>评价标准</w:t>
      </w:r>
    </w:p>
    <w:p w14:paraId="245672CE">
      <w:pPr>
        <w:pStyle w:val="151"/>
      </w:pPr>
      <w:r>
        <w:t>本项目四周声环境质量执行(GB3096-2008)中的1类标准，详见表4.2-7。</w:t>
      </w:r>
    </w:p>
    <w:p w14:paraId="237F0036">
      <w:pPr>
        <w:pStyle w:val="143"/>
        <w:spacing w:before="156"/>
        <w:rPr>
          <w:b/>
          <w:bCs w:val="0"/>
        </w:rPr>
      </w:pPr>
      <w:r>
        <w:rPr>
          <w:b/>
          <w:bCs w:val="0"/>
        </w:rPr>
        <w:t xml:space="preserve">表4.2-7  </w:t>
      </w:r>
      <w:r>
        <w:rPr>
          <w:rFonts w:hint="eastAsia"/>
          <w:b/>
          <w:bCs w:val="0"/>
        </w:rPr>
        <w:t xml:space="preserve">  </w:t>
      </w:r>
      <w:r>
        <w:rPr>
          <w:b/>
          <w:bCs w:val="0"/>
        </w:rPr>
        <w:t xml:space="preserve"> 声环境质量标准</w:t>
      </w:r>
      <w:r>
        <w:rPr>
          <w:b/>
          <w:bCs w:val="0"/>
        </w:rPr>
        <w:tab/>
      </w:r>
    </w:p>
    <w:tbl>
      <w:tblPr>
        <w:tblStyle w:val="89"/>
        <w:tblW w:w="500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3152"/>
        <w:gridCol w:w="2595"/>
        <w:gridCol w:w="2565"/>
      </w:tblGrid>
      <w:tr w14:paraId="1E36F3B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7" w:hRule="atLeast"/>
        </w:trPr>
        <w:tc>
          <w:tcPr>
            <w:tcW w:w="1896" w:type="pct"/>
            <w:vMerge w:val="restart"/>
            <w:tcBorders>
              <w:tl2br w:val="nil"/>
              <w:tr2bl w:val="nil"/>
            </w:tcBorders>
            <w:vAlign w:val="center"/>
          </w:tcPr>
          <w:p w14:paraId="5A37D402">
            <w:pPr>
              <w:pStyle w:val="160"/>
              <w:autoSpaceDE w:val="0"/>
              <w:autoSpaceDN w:val="0"/>
            </w:pPr>
            <w:r>
              <w:t>声环境功能区类别</w:t>
            </w:r>
          </w:p>
        </w:tc>
        <w:tc>
          <w:tcPr>
            <w:tcW w:w="3104" w:type="pct"/>
            <w:gridSpan w:val="2"/>
            <w:tcBorders>
              <w:tl2br w:val="nil"/>
              <w:tr2bl w:val="nil"/>
            </w:tcBorders>
            <w:vAlign w:val="center"/>
          </w:tcPr>
          <w:p w14:paraId="2ACD3A01">
            <w:pPr>
              <w:pStyle w:val="160"/>
              <w:autoSpaceDE w:val="0"/>
              <w:autoSpaceDN w:val="0"/>
            </w:pPr>
            <w:r>
              <w:t>时段</w:t>
            </w:r>
          </w:p>
        </w:tc>
      </w:tr>
      <w:tr w14:paraId="2A66B00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7" w:hRule="atLeast"/>
        </w:trPr>
        <w:tc>
          <w:tcPr>
            <w:tcW w:w="1896" w:type="pct"/>
            <w:vMerge w:val="continue"/>
            <w:tcBorders>
              <w:tl2br w:val="nil"/>
              <w:tr2bl w:val="nil"/>
            </w:tcBorders>
            <w:vAlign w:val="center"/>
          </w:tcPr>
          <w:p w14:paraId="3D303B33">
            <w:pPr>
              <w:pStyle w:val="160"/>
              <w:autoSpaceDE w:val="0"/>
              <w:autoSpaceDN w:val="0"/>
              <w:rPr>
                <w:sz w:val="2"/>
                <w:szCs w:val="2"/>
              </w:rPr>
            </w:pPr>
          </w:p>
        </w:tc>
        <w:tc>
          <w:tcPr>
            <w:tcW w:w="1561" w:type="pct"/>
            <w:tcBorders>
              <w:tl2br w:val="nil"/>
              <w:tr2bl w:val="nil"/>
            </w:tcBorders>
            <w:vAlign w:val="center"/>
          </w:tcPr>
          <w:p w14:paraId="7E5BE233">
            <w:pPr>
              <w:pStyle w:val="160"/>
              <w:autoSpaceDE w:val="0"/>
              <w:autoSpaceDN w:val="0"/>
            </w:pPr>
            <w:r>
              <w:t>昼间（单位：dB(A)）</w:t>
            </w:r>
          </w:p>
        </w:tc>
        <w:tc>
          <w:tcPr>
            <w:tcW w:w="1543" w:type="pct"/>
            <w:tcBorders>
              <w:tl2br w:val="nil"/>
              <w:tr2bl w:val="nil"/>
            </w:tcBorders>
            <w:vAlign w:val="center"/>
          </w:tcPr>
          <w:p w14:paraId="2601B417">
            <w:pPr>
              <w:pStyle w:val="160"/>
              <w:autoSpaceDE w:val="0"/>
              <w:autoSpaceDN w:val="0"/>
            </w:pPr>
            <w:r>
              <w:t>夜间（单位：dB(A)）</w:t>
            </w:r>
          </w:p>
        </w:tc>
      </w:tr>
      <w:tr w14:paraId="510C96C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7" w:hRule="atLeast"/>
        </w:trPr>
        <w:tc>
          <w:tcPr>
            <w:tcW w:w="1896" w:type="pct"/>
            <w:tcBorders>
              <w:tl2br w:val="nil"/>
              <w:tr2bl w:val="nil"/>
            </w:tcBorders>
            <w:vAlign w:val="center"/>
          </w:tcPr>
          <w:p w14:paraId="407C8018">
            <w:pPr>
              <w:pStyle w:val="160"/>
              <w:autoSpaceDE w:val="0"/>
              <w:autoSpaceDN w:val="0"/>
            </w:pPr>
            <w:r>
              <w:t>1类</w:t>
            </w:r>
          </w:p>
        </w:tc>
        <w:tc>
          <w:tcPr>
            <w:tcW w:w="1561" w:type="pct"/>
            <w:tcBorders>
              <w:tl2br w:val="nil"/>
              <w:tr2bl w:val="nil"/>
            </w:tcBorders>
            <w:vAlign w:val="center"/>
          </w:tcPr>
          <w:p w14:paraId="034AFA5B">
            <w:pPr>
              <w:pStyle w:val="160"/>
              <w:autoSpaceDE w:val="0"/>
              <w:autoSpaceDN w:val="0"/>
            </w:pPr>
            <w:r>
              <w:t>55</w:t>
            </w:r>
          </w:p>
        </w:tc>
        <w:tc>
          <w:tcPr>
            <w:tcW w:w="1543" w:type="pct"/>
            <w:tcBorders>
              <w:tl2br w:val="nil"/>
              <w:tr2bl w:val="nil"/>
            </w:tcBorders>
            <w:vAlign w:val="center"/>
          </w:tcPr>
          <w:p w14:paraId="6E731C2B">
            <w:pPr>
              <w:pStyle w:val="160"/>
              <w:autoSpaceDE w:val="0"/>
              <w:autoSpaceDN w:val="0"/>
            </w:pPr>
            <w:r>
              <w:t>45</w:t>
            </w:r>
          </w:p>
        </w:tc>
      </w:tr>
    </w:tbl>
    <w:p w14:paraId="6B015C7B">
      <w:pPr>
        <w:pStyle w:val="151"/>
        <w:ind w:firstLine="482"/>
        <w:rPr>
          <w:b/>
          <w:bCs/>
        </w:rPr>
      </w:pPr>
      <w:r>
        <w:rPr>
          <w:b/>
          <w:bCs/>
        </w:rPr>
        <w:fldChar w:fldCharType="begin"/>
      </w:r>
      <w:r>
        <w:rPr>
          <w:b/>
          <w:bCs/>
        </w:rPr>
        <w:instrText xml:space="preserve"> = 4 \* GB2 \* MERGEFORMAT </w:instrText>
      </w:r>
      <w:r>
        <w:rPr>
          <w:b/>
          <w:bCs/>
        </w:rPr>
        <w:fldChar w:fldCharType="separate"/>
      </w:r>
      <w:r>
        <w:rPr>
          <w:b/>
          <w:bCs/>
        </w:rPr>
        <w:t>⑷</w:t>
      </w:r>
      <w:r>
        <w:rPr>
          <w:b/>
          <w:bCs/>
        </w:rPr>
        <w:fldChar w:fldCharType="end"/>
      </w:r>
      <w:r>
        <w:rPr>
          <w:b/>
          <w:bCs/>
        </w:rPr>
        <w:t>结果统计与分析</w:t>
      </w:r>
    </w:p>
    <w:p w14:paraId="2E45D51E">
      <w:pPr>
        <w:pStyle w:val="151"/>
      </w:pPr>
      <w:r>
        <w:t>监测结果统计见表4.2-8。</w:t>
      </w:r>
    </w:p>
    <w:p w14:paraId="480DB23F">
      <w:pPr>
        <w:pStyle w:val="143"/>
        <w:spacing w:before="156"/>
        <w:rPr>
          <w:b/>
          <w:bCs w:val="0"/>
        </w:rPr>
      </w:pPr>
      <w:r>
        <w:rPr>
          <w:b/>
          <w:bCs w:val="0"/>
        </w:rPr>
        <w:t xml:space="preserve">表4.2-8  </w:t>
      </w:r>
      <w:r>
        <w:rPr>
          <w:rFonts w:hint="eastAsia"/>
          <w:b/>
          <w:bCs w:val="0"/>
        </w:rPr>
        <w:t xml:space="preserve">   </w:t>
      </w:r>
      <w:r>
        <w:rPr>
          <w:b/>
          <w:bCs w:val="0"/>
        </w:rPr>
        <w:t xml:space="preserve"> 声环境监测数据统计表</w:t>
      </w:r>
    </w:p>
    <w:tbl>
      <w:tblPr>
        <w:tblStyle w:val="89"/>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049"/>
        <w:gridCol w:w="1352"/>
        <w:gridCol w:w="2251"/>
        <w:gridCol w:w="1672"/>
        <w:gridCol w:w="1985"/>
      </w:tblGrid>
      <w:tr w14:paraId="308FDC1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blHeader/>
        </w:trPr>
        <w:tc>
          <w:tcPr>
            <w:tcW w:w="1444" w:type="pct"/>
            <w:gridSpan w:val="2"/>
            <w:vMerge w:val="restart"/>
            <w:tcBorders>
              <w:tl2br w:val="nil"/>
              <w:tr2bl w:val="nil"/>
            </w:tcBorders>
            <w:vAlign w:val="center"/>
          </w:tcPr>
          <w:p w14:paraId="507BE644">
            <w:pPr>
              <w:pStyle w:val="160"/>
              <w:rPr>
                <w:rStyle w:val="155"/>
                <w:bCs/>
                <w:szCs w:val="21"/>
              </w:rPr>
            </w:pPr>
            <w:r>
              <w:rPr>
                <w:rStyle w:val="155"/>
                <w:bCs/>
                <w:szCs w:val="21"/>
              </w:rPr>
              <w:t>检测点位</w:t>
            </w:r>
          </w:p>
        </w:tc>
        <w:tc>
          <w:tcPr>
            <w:tcW w:w="1354" w:type="pct"/>
            <w:vMerge w:val="restart"/>
            <w:tcBorders>
              <w:tl2br w:val="nil"/>
              <w:tr2bl w:val="nil"/>
            </w:tcBorders>
            <w:vAlign w:val="center"/>
          </w:tcPr>
          <w:p w14:paraId="3C3D8E34">
            <w:pPr>
              <w:pStyle w:val="160"/>
              <w:rPr>
                <w:rStyle w:val="155"/>
                <w:bCs/>
                <w:szCs w:val="21"/>
              </w:rPr>
            </w:pPr>
            <w:r>
              <w:rPr>
                <w:rStyle w:val="155"/>
                <w:bCs/>
                <w:szCs w:val="21"/>
              </w:rPr>
              <w:t>检测时间</w:t>
            </w:r>
          </w:p>
        </w:tc>
        <w:tc>
          <w:tcPr>
            <w:tcW w:w="2200" w:type="pct"/>
            <w:gridSpan w:val="2"/>
            <w:tcBorders>
              <w:tl2br w:val="nil"/>
              <w:tr2bl w:val="nil"/>
            </w:tcBorders>
            <w:vAlign w:val="center"/>
          </w:tcPr>
          <w:p w14:paraId="20853004">
            <w:pPr>
              <w:pStyle w:val="160"/>
              <w:rPr>
                <w:bCs/>
                <w:szCs w:val="21"/>
              </w:rPr>
            </w:pPr>
            <w:r>
              <w:rPr>
                <w:rStyle w:val="155"/>
                <w:bCs/>
                <w:szCs w:val="21"/>
              </w:rPr>
              <w:t>检测结果</w:t>
            </w:r>
            <w:r>
              <w:rPr>
                <w:bCs/>
                <w:szCs w:val="21"/>
              </w:rPr>
              <w:t>Leq dB(A)</w:t>
            </w:r>
          </w:p>
        </w:tc>
      </w:tr>
      <w:tr w14:paraId="5F1D5E6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blHeader/>
        </w:trPr>
        <w:tc>
          <w:tcPr>
            <w:tcW w:w="1444" w:type="pct"/>
            <w:gridSpan w:val="2"/>
            <w:vMerge w:val="continue"/>
            <w:tcBorders>
              <w:tl2br w:val="nil"/>
              <w:tr2bl w:val="nil"/>
            </w:tcBorders>
            <w:vAlign w:val="center"/>
          </w:tcPr>
          <w:p w14:paraId="19FB9256">
            <w:pPr>
              <w:pStyle w:val="160"/>
              <w:rPr>
                <w:rStyle w:val="155"/>
                <w:bCs/>
                <w:szCs w:val="21"/>
              </w:rPr>
            </w:pPr>
          </w:p>
        </w:tc>
        <w:tc>
          <w:tcPr>
            <w:tcW w:w="1354" w:type="pct"/>
            <w:vMerge w:val="continue"/>
            <w:tcBorders>
              <w:tl2br w:val="nil"/>
              <w:tr2bl w:val="nil"/>
            </w:tcBorders>
            <w:vAlign w:val="center"/>
          </w:tcPr>
          <w:p w14:paraId="6329AC41">
            <w:pPr>
              <w:pStyle w:val="160"/>
              <w:rPr>
                <w:rStyle w:val="155"/>
                <w:bCs/>
                <w:szCs w:val="21"/>
              </w:rPr>
            </w:pPr>
          </w:p>
        </w:tc>
        <w:tc>
          <w:tcPr>
            <w:tcW w:w="1006" w:type="pct"/>
            <w:tcBorders>
              <w:tl2br w:val="nil"/>
              <w:tr2bl w:val="nil"/>
            </w:tcBorders>
            <w:vAlign w:val="center"/>
          </w:tcPr>
          <w:p w14:paraId="50C23099">
            <w:pPr>
              <w:pStyle w:val="160"/>
              <w:rPr>
                <w:rStyle w:val="155"/>
                <w:bCs/>
                <w:szCs w:val="21"/>
              </w:rPr>
            </w:pPr>
            <w:r>
              <w:rPr>
                <w:rStyle w:val="155"/>
                <w:bCs/>
                <w:szCs w:val="21"/>
              </w:rPr>
              <w:t>昼间</w:t>
            </w:r>
          </w:p>
        </w:tc>
        <w:tc>
          <w:tcPr>
            <w:tcW w:w="1194" w:type="pct"/>
            <w:tcBorders>
              <w:tl2br w:val="nil"/>
              <w:tr2bl w:val="nil"/>
            </w:tcBorders>
            <w:vAlign w:val="center"/>
          </w:tcPr>
          <w:p w14:paraId="44CF4881">
            <w:pPr>
              <w:pStyle w:val="160"/>
              <w:rPr>
                <w:rStyle w:val="155"/>
                <w:bCs/>
                <w:szCs w:val="21"/>
              </w:rPr>
            </w:pPr>
            <w:r>
              <w:rPr>
                <w:rStyle w:val="155"/>
                <w:bCs/>
                <w:szCs w:val="21"/>
              </w:rPr>
              <w:t>夜间</w:t>
            </w:r>
          </w:p>
        </w:tc>
      </w:tr>
      <w:tr w14:paraId="4D000FB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1" w:type="pct"/>
            <w:vMerge w:val="restart"/>
            <w:tcBorders>
              <w:tl2br w:val="nil"/>
              <w:tr2bl w:val="nil"/>
            </w:tcBorders>
            <w:vAlign w:val="center"/>
          </w:tcPr>
          <w:p w14:paraId="04BC1BBF">
            <w:pPr>
              <w:pStyle w:val="160"/>
            </w:pPr>
            <w:r>
              <w:rPr>
                <w:szCs w:val="21"/>
              </w:rPr>
              <w:t>1#厂区</w:t>
            </w:r>
          </w:p>
        </w:tc>
        <w:tc>
          <w:tcPr>
            <w:tcW w:w="813" w:type="pct"/>
            <w:tcBorders>
              <w:tl2br w:val="nil"/>
              <w:tr2bl w:val="nil"/>
            </w:tcBorders>
            <w:vAlign w:val="center"/>
          </w:tcPr>
          <w:p w14:paraId="3F811EF1">
            <w:pPr>
              <w:pStyle w:val="160"/>
              <w:rPr>
                <w:szCs w:val="21"/>
              </w:rPr>
            </w:pPr>
            <w:r>
              <w:rPr>
                <w:szCs w:val="21"/>
              </w:rPr>
              <w:t>厂界东侧</w:t>
            </w:r>
          </w:p>
        </w:tc>
        <w:tc>
          <w:tcPr>
            <w:tcW w:w="1354" w:type="pct"/>
            <w:tcBorders>
              <w:tl2br w:val="nil"/>
              <w:tr2bl w:val="nil"/>
            </w:tcBorders>
            <w:vAlign w:val="center"/>
          </w:tcPr>
          <w:p w14:paraId="578CD200">
            <w:pPr>
              <w:pStyle w:val="160"/>
              <w:rPr>
                <w:rStyle w:val="155"/>
                <w:szCs w:val="21"/>
              </w:rPr>
            </w:pPr>
            <w:r>
              <w:rPr>
                <w:rStyle w:val="155"/>
                <w:szCs w:val="21"/>
              </w:rPr>
              <w:t>2023年9月22日</w:t>
            </w:r>
          </w:p>
        </w:tc>
        <w:tc>
          <w:tcPr>
            <w:tcW w:w="1006" w:type="pct"/>
            <w:tcBorders>
              <w:tl2br w:val="nil"/>
              <w:tr2bl w:val="nil"/>
            </w:tcBorders>
            <w:vAlign w:val="center"/>
          </w:tcPr>
          <w:p w14:paraId="50612AA8">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53</w:t>
            </w:r>
          </w:p>
        </w:tc>
        <w:tc>
          <w:tcPr>
            <w:tcW w:w="1194" w:type="pct"/>
            <w:tcBorders>
              <w:tl2br w:val="nil"/>
              <w:tr2bl w:val="nil"/>
            </w:tcBorders>
            <w:vAlign w:val="center"/>
          </w:tcPr>
          <w:p w14:paraId="3AAE5502">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42</w:t>
            </w:r>
          </w:p>
        </w:tc>
      </w:tr>
      <w:tr w14:paraId="1924663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1" w:type="pct"/>
            <w:vMerge w:val="continue"/>
            <w:tcBorders>
              <w:tl2br w:val="nil"/>
              <w:tr2bl w:val="nil"/>
            </w:tcBorders>
            <w:vAlign w:val="center"/>
          </w:tcPr>
          <w:p w14:paraId="16686941">
            <w:pPr>
              <w:pStyle w:val="160"/>
              <w:rPr>
                <w:szCs w:val="21"/>
              </w:rPr>
            </w:pPr>
          </w:p>
        </w:tc>
        <w:tc>
          <w:tcPr>
            <w:tcW w:w="813" w:type="pct"/>
            <w:tcBorders>
              <w:tl2br w:val="nil"/>
              <w:tr2bl w:val="nil"/>
            </w:tcBorders>
            <w:vAlign w:val="center"/>
          </w:tcPr>
          <w:p w14:paraId="3E9AA0CE">
            <w:pPr>
              <w:pStyle w:val="160"/>
              <w:rPr>
                <w:szCs w:val="21"/>
              </w:rPr>
            </w:pPr>
            <w:r>
              <w:rPr>
                <w:szCs w:val="21"/>
              </w:rPr>
              <w:t>厂界南侧</w:t>
            </w:r>
          </w:p>
        </w:tc>
        <w:tc>
          <w:tcPr>
            <w:tcW w:w="1354" w:type="pct"/>
            <w:tcBorders>
              <w:tl2br w:val="nil"/>
              <w:tr2bl w:val="nil"/>
            </w:tcBorders>
            <w:vAlign w:val="center"/>
          </w:tcPr>
          <w:p w14:paraId="4D17CF89">
            <w:pPr>
              <w:pStyle w:val="160"/>
              <w:rPr>
                <w:rStyle w:val="155"/>
                <w:szCs w:val="21"/>
              </w:rPr>
            </w:pPr>
            <w:r>
              <w:rPr>
                <w:rStyle w:val="155"/>
                <w:szCs w:val="21"/>
              </w:rPr>
              <w:t>2023年9月22日</w:t>
            </w:r>
          </w:p>
        </w:tc>
        <w:tc>
          <w:tcPr>
            <w:tcW w:w="1006" w:type="pct"/>
            <w:tcBorders>
              <w:tl2br w:val="nil"/>
              <w:tr2bl w:val="nil"/>
            </w:tcBorders>
            <w:vAlign w:val="center"/>
          </w:tcPr>
          <w:p w14:paraId="2581864D">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53</w:t>
            </w:r>
          </w:p>
        </w:tc>
        <w:tc>
          <w:tcPr>
            <w:tcW w:w="1194" w:type="pct"/>
            <w:tcBorders>
              <w:tl2br w:val="nil"/>
              <w:tr2bl w:val="nil"/>
            </w:tcBorders>
            <w:vAlign w:val="center"/>
          </w:tcPr>
          <w:p w14:paraId="7509EF0B">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43</w:t>
            </w:r>
          </w:p>
        </w:tc>
      </w:tr>
      <w:tr w14:paraId="39EC56D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1" w:type="pct"/>
            <w:vMerge w:val="continue"/>
            <w:tcBorders>
              <w:tl2br w:val="nil"/>
              <w:tr2bl w:val="nil"/>
            </w:tcBorders>
            <w:vAlign w:val="center"/>
          </w:tcPr>
          <w:p w14:paraId="24732C12">
            <w:pPr>
              <w:pStyle w:val="160"/>
              <w:rPr>
                <w:szCs w:val="21"/>
              </w:rPr>
            </w:pPr>
          </w:p>
        </w:tc>
        <w:tc>
          <w:tcPr>
            <w:tcW w:w="813" w:type="pct"/>
            <w:tcBorders>
              <w:tl2br w:val="nil"/>
              <w:tr2bl w:val="nil"/>
            </w:tcBorders>
            <w:vAlign w:val="center"/>
          </w:tcPr>
          <w:p w14:paraId="716E7651">
            <w:pPr>
              <w:pStyle w:val="160"/>
              <w:rPr>
                <w:szCs w:val="21"/>
              </w:rPr>
            </w:pPr>
            <w:r>
              <w:rPr>
                <w:szCs w:val="21"/>
              </w:rPr>
              <w:t>厂界西侧</w:t>
            </w:r>
          </w:p>
        </w:tc>
        <w:tc>
          <w:tcPr>
            <w:tcW w:w="1354" w:type="pct"/>
            <w:tcBorders>
              <w:tl2br w:val="nil"/>
              <w:tr2bl w:val="nil"/>
            </w:tcBorders>
            <w:vAlign w:val="center"/>
          </w:tcPr>
          <w:p w14:paraId="35BE0214">
            <w:pPr>
              <w:pStyle w:val="160"/>
              <w:rPr>
                <w:rStyle w:val="155"/>
                <w:szCs w:val="21"/>
              </w:rPr>
            </w:pPr>
            <w:r>
              <w:rPr>
                <w:rStyle w:val="155"/>
                <w:szCs w:val="21"/>
              </w:rPr>
              <w:t>2023年9月22日</w:t>
            </w:r>
          </w:p>
        </w:tc>
        <w:tc>
          <w:tcPr>
            <w:tcW w:w="1006" w:type="pct"/>
            <w:tcBorders>
              <w:tl2br w:val="nil"/>
              <w:tr2bl w:val="nil"/>
            </w:tcBorders>
            <w:vAlign w:val="center"/>
          </w:tcPr>
          <w:p w14:paraId="55628E75">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54</w:t>
            </w:r>
          </w:p>
        </w:tc>
        <w:tc>
          <w:tcPr>
            <w:tcW w:w="1194" w:type="pct"/>
            <w:tcBorders>
              <w:tl2br w:val="nil"/>
              <w:tr2bl w:val="nil"/>
            </w:tcBorders>
            <w:vAlign w:val="center"/>
          </w:tcPr>
          <w:p w14:paraId="41000C80">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44</w:t>
            </w:r>
          </w:p>
        </w:tc>
      </w:tr>
      <w:tr w14:paraId="500B68F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1" w:type="pct"/>
            <w:vMerge w:val="continue"/>
            <w:tcBorders>
              <w:tl2br w:val="nil"/>
              <w:tr2bl w:val="nil"/>
            </w:tcBorders>
            <w:vAlign w:val="center"/>
          </w:tcPr>
          <w:p w14:paraId="3ACCC68E">
            <w:pPr>
              <w:pStyle w:val="160"/>
              <w:rPr>
                <w:szCs w:val="21"/>
              </w:rPr>
            </w:pPr>
          </w:p>
        </w:tc>
        <w:tc>
          <w:tcPr>
            <w:tcW w:w="813" w:type="pct"/>
            <w:tcBorders>
              <w:tl2br w:val="nil"/>
              <w:tr2bl w:val="nil"/>
            </w:tcBorders>
            <w:vAlign w:val="center"/>
          </w:tcPr>
          <w:p w14:paraId="5CEA1BDD">
            <w:pPr>
              <w:pStyle w:val="160"/>
              <w:rPr>
                <w:szCs w:val="21"/>
              </w:rPr>
            </w:pPr>
            <w:r>
              <w:rPr>
                <w:szCs w:val="21"/>
              </w:rPr>
              <w:t>厂界北侧</w:t>
            </w:r>
          </w:p>
        </w:tc>
        <w:tc>
          <w:tcPr>
            <w:tcW w:w="1354" w:type="pct"/>
            <w:tcBorders>
              <w:tl2br w:val="nil"/>
              <w:tr2bl w:val="nil"/>
            </w:tcBorders>
            <w:vAlign w:val="center"/>
          </w:tcPr>
          <w:p w14:paraId="1C3BC4CE">
            <w:pPr>
              <w:pStyle w:val="160"/>
              <w:rPr>
                <w:rStyle w:val="155"/>
                <w:szCs w:val="21"/>
              </w:rPr>
            </w:pPr>
            <w:r>
              <w:rPr>
                <w:rStyle w:val="155"/>
                <w:szCs w:val="21"/>
              </w:rPr>
              <w:t>2023年9月22日</w:t>
            </w:r>
          </w:p>
        </w:tc>
        <w:tc>
          <w:tcPr>
            <w:tcW w:w="1006" w:type="pct"/>
            <w:tcBorders>
              <w:tl2br w:val="nil"/>
              <w:tr2bl w:val="nil"/>
            </w:tcBorders>
            <w:vAlign w:val="center"/>
          </w:tcPr>
          <w:p w14:paraId="3BF9CC4E">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53</w:t>
            </w:r>
          </w:p>
        </w:tc>
        <w:tc>
          <w:tcPr>
            <w:tcW w:w="1194" w:type="pct"/>
            <w:tcBorders>
              <w:tl2br w:val="nil"/>
              <w:tr2bl w:val="nil"/>
            </w:tcBorders>
            <w:vAlign w:val="center"/>
          </w:tcPr>
          <w:p w14:paraId="791FB263">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42</w:t>
            </w:r>
          </w:p>
        </w:tc>
      </w:tr>
      <w:tr w14:paraId="6CB7CF3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1" w:type="pct"/>
            <w:vMerge w:val="continue"/>
            <w:tcBorders>
              <w:tl2br w:val="nil"/>
              <w:tr2bl w:val="nil"/>
            </w:tcBorders>
            <w:vAlign w:val="center"/>
          </w:tcPr>
          <w:p w14:paraId="60C5AB75">
            <w:pPr>
              <w:pStyle w:val="160"/>
              <w:rPr>
                <w:bCs/>
                <w:szCs w:val="21"/>
              </w:rPr>
            </w:pPr>
          </w:p>
        </w:tc>
        <w:tc>
          <w:tcPr>
            <w:tcW w:w="813" w:type="pct"/>
            <w:tcBorders>
              <w:tl2br w:val="nil"/>
              <w:tr2bl w:val="nil"/>
            </w:tcBorders>
            <w:vAlign w:val="center"/>
          </w:tcPr>
          <w:p w14:paraId="1A4F9367">
            <w:pPr>
              <w:pStyle w:val="160"/>
              <w:rPr>
                <w:bCs/>
                <w:szCs w:val="21"/>
              </w:rPr>
            </w:pPr>
            <w:r>
              <w:rPr>
                <w:szCs w:val="21"/>
              </w:rPr>
              <w:t>厂界东侧</w:t>
            </w:r>
          </w:p>
        </w:tc>
        <w:tc>
          <w:tcPr>
            <w:tcW w:w="1354" w:type="pct"/>
            <w:tcBorders>
              <w:tl2br w:val="nil"/>
              <w:tr2bl w:val="nil"/>
            </w:tcBorders>
            <w:vAlign w:val="center"/>
          </w:tcPr>
          <w:p w14:paraId="79D69F78">
            <w:pPr>
              <w:pStyle w:val="160"/>
              <w:rPr>
                <w:rStyle w:val="155"/>
                <w:szCs w:val="21"/>
              </w:rPr>
            </w:pPr>
            <w:r>
              <w:rPr>
                <w:rStyle w:val="155"/>
                <w:szCs w:val="21"/>
              </w:rPr>
              <w:t>2023年9月23日</w:t>
            </w:r>
          </w:p>
        </w:tc>
        <w:tc>
          <w:tcPr>
            <w:tcW w:w="1006" w:type="pct"/>
            <w:tcBorders>
              <w:tl2br w:val="nil"/>
              <w:tr2bl w:val="nil"/>
            </w:tcBorders>
            <w:vAlign w:val="center"/>
          </w:tcPr>
          <w:p w14:paraId="39B0C29E">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52</w:t>
            </w:r>
          </w:p>
        </w:tc>
        <w:tc>
          <w:tcPr>
            <w:tcW w:w="1194" w:type="pct"/>
            <w:tcBorders>
              <w:tl2br w:val="nil"/>
              <w:tr2bl w:val="nil"/>
            </w:tcBorders>
            <w:vAlign w:val="center"/>
          </w:tcPr>
          <w:p w14:paraId="4D270356">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40</w:t>
            </w:r>
          </w:p>
        </w:tc>
      </w:tr>
      <w:tr w14:paraId="575CDBA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1" w:type="pct"/>
            <w:vMerge w:val="continue"/>
            <w:tcBorders>
              <w:tl2br w:val="nil"/>
              <w:tr2bl w:val="nil"/>
            </w:tcBorders>
            <w:vAlign w:val="center"/>
          </w:tcPr>
          <w:p w14:paraId="629523B5">
            <w:pPr>
              <w:pStyle w:val="160"/>
              <w:rPr>
                <w:szCs w:val="21"/>
              </w:rPr>
            </w:pPr>
          </w:p>
        </w:tc>
        <w:tc>
          <w:tcPr>
            <w:tcW w:w="813" w:type="pct"/>
            <w:tcBorders>
              <w:tl2br w:val="nil"/>
              <w:tr2bl w:val="nil"/>
            </w:tcBorders>
            <w:vAlign w:val="center"/>
          </w:tcPr>
          <w:p w14:paraId="0E87AF8C">
            <w:pPr>
              <w:pStyle w:val="160"/>
              <w:rPr>
                <w:szCs w:val="21"/>
              </w:rPr>
            </w:pPr>
            <w:r>
              <w:rPr>
                <w:szCs w:val="21"/>
              </w:rPr>
              <w:t>厂界南侧</w:t>
            </w:r>
          </w:p>
        </w:tc>
        <w:tc>
          <w:tcPr>
            <w:tcW w:w="1354" w:type="pct"/>
            <w:tcBorders>
              <w:tl2br w:val="nil"/>
              <w:tr2bl w:val="nil"/>
            </w:tcBorders>
            <w:vAlign w:val="center"/>
          </w:tcPr>
          <w:p w14:paraId="06664AB4">
            <w:pPr>
              <w:pStyle w:val="160"/>
              <w:rPr>
                <w:rStyle w:val="155"/>
                <w:szCs w:val="21"/>
              </w:rPr>
            </w:pPr>
            <w:r>
              <w:rPr>
                <w:rStyle w:val="155"/>
                <w:szCs w:val="21"/>
              </w:rPr>
              <w:t>2023年9月23日</w:t>
            </w:r>
          </w:p>
        </w:tc>
        <w:tc>
          <w:tcPr>
            <w:tcW w:w="1006" w:type="pct"/>
            <w:tcBorders>
              <w:tl2br w:val="nil"/>
              <w:tr2bl w:val="nil"/>
            </w:tcBorders>
            <w:vAlign w:val="center"/>
          </w:tcPr>
          <w:p w14:paraId="1D4CA1C0">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54</w:t>
            </w:r>
          </w:p>
        </w:tc>
        <w:tc>
          <w:tcPr>
            <w:tcW w:w="1194" w:type="pct"/>
            <w:tcBorders>
              <w:tl2br w:val="nil"/>
              <w:tr2bl w:val="nil"/>
            </w:tcBorders>
            <w:vAlign w:val="center"/>
          </w:tcPr>
          <w:p w14:paraId="1FE60BBC">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43</w:t>
            </w:r>
          </w:p>
        </w:tc>
      </w:tr>
      <w:tr w14:paraId="58EBD6B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1" w:type="pct"/>
            <w:vMerge w:val="continue"/>
            <w:tcBorders>
              <w:tl2br w:val="nil"/>
              <w:tr2bl w:val="nil"/>
            </w:tcBorders>
            <w:vAlign w:val="center"/>
          </w:tcPr>
          <w:p w14:paraId="20626909">
            <w:pPr>
              <w:pStyle w:val="160"/>
              <w:rPr>
                <w:szCs w:val="21"/>
              </w:rPr>
            </w:pPr>
          </w:p>
        </w:tc>
        <w:tc>
          <w:tcPr>
            <w:tcW w:w="813" w:type="pct"/>
            <w:tcBorders>
              <w:tl2br w:val="nil"/>
              <w:tr2bl w:val="nil"/>
            </w:tcBorders>
            <w:vAlign w:val="center"/>
          </w:tcPr>
          <w:p w14:paraId="7A6444EC">
            <w:pPr>
              <w:pStyle w:val="160"/>
              <w:rPr>
                <w:szCs w:val="21"/>
              </w:rPr>
            </w:pPr>
            <w:r>
              <w:rPr>
                <w:szCs w:val="21"/>
              </w:rPr>
              <w:t>厂界西侧</w:t>
            </w:r>
          </w:p>
        </w:tc>
        <w:tc>
          <w:tcPr>
            <w:tcW w:w="1354" w:type="pct"/>
            <w:tcBorders>
              <w:tl2br w:val="nil"/>
              <w:tr2bl w:val="nil"/>
            </w:tcBorders>
            <w:vAlign w:val="center"/>
          </w:tcPr>
          <w:p w14:paraId="73B51CF3">
            <w:pPr>
              <w:pStyle w:val="160"/>
              <w:rPr>
                <w:rStyle w:val="155"/>
                <w:szCs w:val="21"/>
              </w:rPr>
            </w:pPr>
            <w:r>
              <w:rPr>
                <w:rStyle w:val="155"/>
                <w:szCs w:val="21"/>
              </w:rPr>
              <w:t>2023年9月23日</w:t>
            </w:r>
          </w:p>
        </w:tc>
        <w:tc>
          <w:tcPr>
            <w:tcW w:w="1006" w:type="pct"/>
            <w:tcBorders>
              <w:tl2br w:val="nil"/>
              <w:tr2bl w:val="nil"/>
            </w:tcBorders>
            <w:vAlign w:val="center"/>
          </w:tcPr>
          <w:p w14:paraId="06248301">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53</w:t>
            </w:r>
          </w:p>
        </w:tc>
        <w:tc>
          <w:tcPr>
            <w:tcW w:w="1194" w:type="pct"/>
            <w:tcBorders>
              <w:tl2br w:val="nil"/>
              <w:tr2bl w:val="nil"/>
            </w:tcBorders>
            <w:vAlign w:val="center"/>
          </w:tcPr>
          <w:p w14:paraId="41C2600E">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42</w:t>
            </w:r>
          </w:p>
        </w:tc>
      </w:tr>
      <w:tr w14:paraId="6C84391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1" w:type="pct"/>
            <w:vMerge w:val="continue"/>
            <w:tcBorders>
              <w:tl2br w:val="nil"/>
              <w:tr2bl w:val="nil"/>
            </w:tcBorders>
            <w:vAlign w:val="center"/>
          </w:tcPr>
          <w:p w14:paraId="6A9A392C">
            <w:pPr>
              <w:pStyle w:val="160"/>
              <w:rPr>
                <w:bCs/>
                <w:szCs w:val="21"/>
              </w:rPr>
            </w:pPr>
          </w:p>
        </w:tc>
        <w:tc>
          <w:tcPr>
            <w:tcW w:w="813" w:type="pct"/>
            <w:tcBorders>
              <w:tl2br w:val="nil"/>
              <w:tr2bl w:val="nil"/>
            </w:tcBorders>
            <w:vAlign w:val="center"/>
          </w:tcPr>
          <w:p w14:paraId="39903A61">
            <w:pPr>
              <w:pStyle w:val="160"/>
              <w:rPr>
                <w:bCs/>
                <w:szCs w:val="21"/>
              </w:rPr>
            </w:pPr>
            <w:r>
              <w:rPr>
                <w:szCs w:val="21"/>
              </w:rPr>
              <w:t>厂界北侧</w:t>
            </w:r>
          </w:p>
        </w:tc>
        <w:tc>
          <w:tcPr>
            <w:tcW w:w="1354" w:type="pct"/>
            <w:tcBorders>
              <w:tl2br w:val="nil"/>
              <w:tr2bl w:val="nil"/>
            </w:tcBorders>
            <w:vAlign w:val="center"/>
          </w:tcPr>
          <w:p w14:paraId="6D1C7C91">
            <w:pPr>
              <w:pStyle w:val="160"/>
              <w:rPr>
                <w:rStyle w:val="155"/>
                <w:szCs w:val="21"/>
              </w:rPr>
            </w:pPr>
            <w:r>
              <w:rPr>
                <w:rStyle w:val="155"/>
                <w:szCs w:val="21"/>
              </w:rPr>
              <w:t>2023年9月23日</w:t>
            </w:r>
          </w:p>
        </w:tc>
        <w:tc>
          <w:tcPr>
            <w:tcW w:w="1006" w:type="pct"/>
            <w:tcBorders>
              <w:tl2br w:val="nil"/>
              <w:tr2bl w:val="nil"/>
            </w:tcBorders>
            <w:vAlign w:val="center"/>
          </w:tcPr>
          <w:p w14:paraId="78E3C500">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51</w:t>
            </w:r>
          </w:p>
        </w:tc>
        <w:tc>
          <w:tcPr>
            <w:tcW w:w="1194" w:type="pct"/>
            <w:tcBorders>
              <w:tl2br w:val="nil"/>
              <w:tr2bl w:val="nil"/>
            </w:tcBorders>
            <w:vAlign w:val="center"/>
          </w:tcPr>
          <w:p w14:paraId="55099ACB">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40</w:t>
            </w:r>
          </w:p>
        </w:tc>
      </w:tr>
      <w:tr w14:paraId="45B507B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1" w:type="pct"/>
            <w:vMerge w:val="restart"/>
            <w:tcBorders>
              <w:tl2br w:val="nil"/>
              <w:tr2bl w:val="nil"/>
            </w:tcBorders>
            <w:vAlign w:val="center"/>
          </w:tcPr>
          <w:p w14:paraId="278EC494">
            <w:pPr>
              <w:pStyle w:val="160"/>
              <w:rPr>
                <w:bCs/>
                <w:szCs w:val="21"/>
              </w:rPr>
            </w:pPr>
            <w:r>
              <w:rPr>
                <w:szCs w:val="21"/>
              </w:rPr>
              <w:t>2#厂区</w:t>
            </w:r>
          </w:p>
        </w:tc>
        <w:tc>
          <w:tcPr>
            <w:tcW w:w="813" w:type="pct"/>
            <w:tcBorders>
              <w:tl2br w:val="nil"/>
              <w:tr2bl w:val="nil"/>
            </w:tcBorders>
            <w:vAlign w:val="center"/>
          </w:tcPr>
          <w:p w14:paraId="2B18359D">
            <w:pPr>
              <w:pStyle w:val="160"/>
              <w:rPr>
                <w:szCs w:val="21"/>
              </w:rPr>
            </w:pPr>
            <w:r>
              <w:rPr>
                <w:szCs w:val="21"/>
              </w:rPr>
              <w:t>厂界东侧</w:t>
            </w:r>
          </w:p>
        </w:tc>
        <w:tc>
          <w:tcPr>
            <w:tcW w:w="1354" w:type="pct"/>
            <w:tcBorders>
              <w:tl2br w:val="nil"/>
              <w:tr2bl w:val="nil"/>
            </w:tcBorders>
            <w:vAlign w:val="center"/>
          </w:tcPr>
          <w:p w14:paraId="5ACD8553">
            <w:pPr>
              <w:pStyle w:val="160"/>
              <w:rPr>
                <w:rStyle w:val="155"/>
                <w:szCs w:val="21"/>
              </w:rPr>
            </w:pPr>
            <w:r>
              <w:rPr>
                <w:rStyle w:val="155"/>
                <w:szCs w:val="21"/>
              </w:rPr>
              <w:t>2023年9月22日</w:t>
            </w:r>
          </w:p>
        </w:tc>
        <w:tc>
          <w:tcPr>
            <w:tcW w:w="1006" w:type="pct"/>
            <w:tcBorders>
              <w:tl2br w:val="nil"/>
              <w:tr2bl w:val="nil"/>
            </w:tcBorders>
            <w:vAlign w:val="center"/>
          </w:tcPr>
          <w:p w14:paraId="1980B153">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50</w:t>
            </w:r>
          </w:p>
        </w:tc>
        <w:tc>
          <w:tcPr>
            <w:tcW w:w="1194" w:type="pct"/>
            <w:tcBorders>
              <w:tl2br w:val="nil"/>
              <w:tr2bl w:val="nil"/>
            </w:tcBorders>
            <w:vAlign w:val="center"/>
          </w:tcPr>
          <w:p w14:paraId="791F6D67">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40</w:t>
            </w:r>
          </w:p>
        </w:tc>
      </w:tr>
      <w:tr w14:paraId="438A50D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1" w:type="pct"/>
            <w:vMerge w:val="continue"/>
            <w:tcBorders>
              <w:tl2br w:val="nil"/>
              <w:tr2bl w:val="nil"/>
            </w:tcBorders>
            <w:vAlign w:val="center"/>
          </w:tcPr>
          <w:p w14:paraId="4CF60F0F">
            <w:pPr>
              <w:pStyle w:val="160"/>
              <w:rPr>
                <w:bCs/>
                <w:szCs w:val="21"/>
              </w:rPr>
            </w:pPr>
          </w:p>
        </w:tc>
        <w:tc>
          <w:tcPr>
            <w:tcW w:w="813" w:type="pct"/>
            <w:tcBorders>
              <w:tl2br w:val="nil"/>
              <w:tr2bl w:val="nil"/>
            </w:tcBorders>
            <w:vAlign w:val="center"/>
          </w:tcPr>
          <w:p w14:paraId="16AC9DE6">
            <w:pPr>
              <w:pStyle w:val="160"/>
              <w:rPr>
                <w:szCs w:val="21"/>
              </w:rPr>
            </w:pPr>
            <w:r>
              <w:rPr>
                <w:szCs w:val="21"/>
              </w:rPr>
              <w:t>厂界南侧</w:t>
            </w:r>
          </w:p>
        </w:tc>
        <w:tc>
          <w:tcPr>
            <w:tcW w:w="1354" w:type="pct"/>
            <w:tcBorders>
              <w:tl2br w:val="nil"/>
              <w:tr2bl w:val="nil"/>
            </w:tcBorders>
            <w:vAlign w:val="center"/>
          </w:tcPr>
          <w:p w14:paraId="77324629">
            <w:pPr>
              <w:pStyle w:val="160"/>
              <w:rPr>
                <w:rStyle w:val="155"/>
                <w:szCs w:val="21"/>
              </w:rPr>
            </w:pPr>
            <w:r>
              <w:rPr>
                <w:rStyle w:val="155"/>
                <w:szCs w:val="21"/>
              </w:rPr>
              <w:t>2023年9月22日</w:t>
            </w:r>
          </w:p>
        </w:tc>
        <w:tc>
          <w:tcPr>
            <w:tcW w:w="1006" w:type="pct"/>
            <w:tcBorders>
              <w:tl2br w:val="nil"/>
              <w:tr2bl w:val="nil"/>
            </w:tcBorders>
            <w:vAlign w:val="center"/>
          </w:tcPr>
          <w:p w14:paraId="5EBA8948">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51</w:t>
            </w:r>
          </w:p>
        </w:tc>
        <w:tc>
          <w:tcPr>
            <w:tcW w:w="1194" w:type="pct"/>
            <w:tcBorders>
              <w:tl2br w:val="nil"/>
              <w:tr2bl w:val="nil"/>
            </w:tcBorders>
            <w:vAlign w:val="center"/>
          </w:tcPr>
          <w:p w14:paraId="353168B2">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42</w:t>
            </w:r>
          </w:p>
        </w:tc>
      </w:tr>
      <w:tr w14:paraId="0EEC318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1" w:type="pct"/>
            <w:vMerge w:val="continue"/>
            <w:tcBorders>
              <w:tl2br w:val="nil"/>
              <w:tr2bl w:val="nil"/>
            </w:tcBorders>
            <w:vAlign w:val="center"/>
          </w:tcPr>
          <w:p w14:paraId="2C4B9887">
            <w:pPr>
              <w:pStyle w:val="160"/>
              <w:rPr>
                <w:bCs/>
                <w:szCs w:val="21"/>
              </w:rPr>
            </w:pPr>
          </w:p>
        </w:tc>
        <w:tc>
          <w:tcPr>
            <w:tcW w:w="813" w:type="pct"/>
            <w:tcBorders>
              <w:tl2br w:val="nil"/>
              <w:tr2bl w:val="nil"/>
            </w:tcBorders>
            <w:vAlign w:val="center"/>
          </w:tcPr>
          <w:p w14:paraId="6B273FC4">
            <w:pPr>
              <w:pStyle w:val="160"/>
              <w:rPr>
                <w:szCs w:val="21"/>
              </w:rPr>
            </w:pPr>
            <w:r>
              <w:rPr>
                <w:szCs w:val="21"/>
              </w:rPr>
              <w:t>厂界西侧</w:t>
            </w:r>
          </w:p>
        </w:tc>
        <w:tc>
          <w:tcPr>
            <w:tcW w:w="1354" w:type="pct"/>
            <w:tcBorders>
              <w:tl2br w:val="nil"/>
              <w:tr2bl w:val="nil"/>
            </w:tcBorders>
            <w:vAlign w:val="center"/>
          </w:tcPr>
          <w:p w14:paraId="5BC64267">
            <w:pPr>
              <w:pStyle w:val="160"/>
              <w:rPr>
                <w:rStyle w:val="155"/>
                <w:szCs w:val="21"/>
              </w:rPr>
            </w:pPr>
            <w:r>
              <w:rPr>
                <w:rStyle w:val="155"/>
                <w:szCs w:val="21"/>
              </w:rPr>
              <w:t>2023年9月22日</w:t>
            </w:r>
          </w:p>
        </w:tc>
        <w:tc>
          <w:tcPr>
            <w:tcW w:w="1006" w:type="pct"/>
            <w:tcBorders>
              <w:tl2br w:val="nil"/>
              <w:tr2bl w:val="nil"/>
            </w:tcBorders>
            <w:vAlign w:val="center"/>
          </w:tcPr>
          <w:p w14:paraId="5FEE6187">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51</w:t>
            </w:r>
          </w:p>
        </w:tc>
        <w:tc>
          <w:tcPr>
            <w:tcW w:w="1194" w:type="pct"/>
            <w:tcBorders>
              <w:tl2br w:val="nil"/>
              <w:tr2bl w:val="nil"/>
            </w:tcBorders>
            <w:vAlign w:val="center"/>
          </w:tcPr>
          <w:p w14:paraId="57205866">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41</w:t>
            </w:r>
          </w:p>
        </w:tc>
      </w:tr>
      <w:tr w14:paraId="7ABC3B0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1" w:type="pct"/>
            <w:vMerge w:val="continue"/>
            <w:tcBorders>
              <w:tl2br w:val="nil"/>
              <w:tr2bl w:val="nil"/>
            </w:tcBorders>
            <w:vAlign w:val="center"/>
          </w:tcPr>
          <w:p w14:paraId="1634ADCF">
            <w:pPr>
              <w:pStyle w:val="160"/>
              <w:rPr>
                <w:bCs/>
                <w:szCs w:val="21"/>
              </w:rPr>
            </w:pPr>
          </w:p>
        </w:tc>
        <w:tc>
          <w:tcPr>
            <w:tcW w:w="813" w:type="pct"/>
            <w:tcBorders>
              <w:tl2br w:val="nil"/>
              <w:tr2bl w:val="nil"/>
            </w:tcBorders>
            <w:vAlign w:val="center"/>
          </w:tcPr>
          <w:p w14:paraId="7DFCA6A7">
            <w:pPr>
              <w:pStyle w:val="160"/>
              <w:rPr>
                <w:szCs w:val="21"/>
              </w:rPr>
            </w:pPr>
            <w:r>
              <w:rPr>
                <w:szCs w:val="21"/>
              </w:rPr>
              <w:t>厂界北侧</w:t>
            </w:r>
          </w:p>
        </w:tc>
        <w:tc>
          <w:tcPr>
            <w:tcW w:w="1354" w:type="pct"/>
            <w:tcBorders>
              <w:tl2br w:val="nil"/>
              <w:tr2bl w:val="nil"/>
            </w:tcBorders>
            <w:vAlign w:val="center"/>
          </w:tcPr>
          <w:p w14:paraId="6092474E">
            <w:pPr>
              <w:pStyle w:val="160"/>
              <w:rPr>
                <w:rStyle w:val="155"/>
                <w:szCs w:val="21"/>
              </w:rPr>
            </w:pPr>
            <w:r>
              <w:rPr>
                <w:rStyle w:val="155"/>
                <w:szCs w:val="21"/>
              </w:rPr>
              <w:t>2023年9月22日</w:t>
            </w:r>
          </w:p>
        </w:tc>
        <w:tc>
          <w:tcPr>
            <w:tcW w:w="1006" w:type="pct"/>
            <w:tcBorders>
              <w:tl2br w:val="nil"/>
              <w:tr2bl w:val="nil"/>
            </w:tcBorders>
            <w:vAlign w:val="center"/>
          </w:tcPr>
          <w:p w14:paraId="66C6783D">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52</w:t>
            </w:r>
          </w:p>
        </w:tc>
        <w:tc>
          <w:tcPr>
            <w:tcW w:w="1194" w:type="pct"/>
            <w:tcBorders>
              <w:tl2br w:val="nil"/>
              <w:tr2bl w:val="nil"/>
            </w:tcBorders>
            <w:vAlign w:val="center"/>
          </w:tcPr>
          <w:p w14:paraId="66FFB47E">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40</w:t>
            </w:r>
          </w:p>
        </w:tc>
      </w:tr>
      <w:tr w14:paraId="021D671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1" w:type="pct"/>
            <w:vMerge w:val="continue"/>
            <w:tcBorders>
              <w:tl2br w:val="nil"/>
              <w:tr2bl w:val="nil"/>
            </w:tcBorders>
            <w:vAlign w:val="center"/>
          </w:tcPr>
          <w:p w14:paraId="2231AC60">
            <w:pPr>
              <w:pStyle w:val="160"/>
              <w:rPr>
                <w:bCs/>
                <w:szCs w:val="21"/>
              </w:rPr>
            </w:pPr>
          </w:p>
        </w:tc>
        <w:tc>
          <w:tcPr>
            <w:tcW w:w="813" w:type="pct"/>
            <w:tcBorders>
              <w:tl2br w:val="nil"/>
              <w:tr2bl w:val="nil"/>
            </w:tcBorders>
            <w:vAlign w:val="center"/>
          </w:tcPr>
          <w:p w14:paraId="66AEAC20">
            <w:pPr>
              <w:pStyle w:val="160"/>
              <w:rPr>
                <w:szCs w:val="21"/>
              </w:rPr>
            </w:pPr>
            <w:r>
              <w:rPr>
                <w:szCs w:val="21"/>
              </w:rPr>
              <w:t>厂界东侧</w:t>
            </w:r>
          </w:p>
        </w:tc>
        <w:tc>
          <w:tcPr>
            <w:tcW w:w="1354" w:type="pct"/>
            <w:tcBorders>
              <w:tl2br w:val="nil"/>
              <w:tr2bl w:val="nil"/>
            </w:tcBorders>
            <w:vAlign w:val="center"/>
          </w:tcPr>
          <w:p w14:paraId="560E2BE1">
            <w:pPr>
              <w:pStyle w:val="160"/>
              <w:rPr>
                <w:rStyle w:val="155"/>
                <w:szCs w:val="21"/>
              </w:rPr>
            </w:pPr>
            <w:r>
              <w:rPr>
                <w:rStyle w:val="155"/>
                <w:szCs w:val="21"/>
              </w:rPr>
              <w:t>2023年9月23日</w:t>
            </w:r>
          </w:p>
        </w:tc>
        <w:tc>
          <w:tcPr>
            <w:tcW w:w="1006" w:type="pct"/>
            <w:tcBorders>
              <w:tl2br w:val="nil"/>
              <w:tr2bl w:val="nil"/>
            </w:tcBorders>
            <w:vAlign w:val="center"/>
          </w:tcPr>
          <w:p w14:paraId="78B631EC">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52</w:t>
            </w:r>
          </w:p>
        </w:tc>
        <w:tc>
          <w:tcPr>
            <w:tcW w:w="1194" w:type="pct"/>
            <w:tcBorders>
              <w:tl2br w:val="nil"/>
              <w:tr2bl w:val="nil"/>
            </w:tcBorders>
            <w:vAlign w:val="center"/>
          </w:tcPr>
          <w:p w14:paraId="00A62D1D">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41</w:t>
            </w:r>
          </w:p>
        </w:tc>
      </w:tr>
      <w:tr w14:paraId="5E2B76E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1" w:type="pct"/>
            <w:vMerge w:val="continue"/>
            <w:tcBorders>
              <w:tl2br w:val="nil"/>
              <w:tr2bl w:val="nil"/>
            </w:tcBorders>
            <w:vAlign w:val="center"/>
          </w:tcPr>
          <w:p w14:paraId="3D097224">
            <w:pPr>
              <w:pStyle w:val="160"/>
              <w:rPr>
                <w:bCs/>
                <w:szCs w:val="21"/>
              </w:rPr>
            </w:pPr>
          </w:p>
        </w:tc>
        <w:tc>
          <w:tcPr>
            <w:tcW w:w="813" w:type="pct"/>
            <w:tcBorders>
              <w:tl2br w:val="nil"/>
              <w:tr2bl w:val="nil"/>
            </w:tcBorders>
            <w:vAlign w:val="center"/>
          </w:tcPr>
          <w:p w14:paraId="2E6CB3AB">
            <w:pPr>
              <w:pStyle w:val="160"/>
              <w:rPr>
                <w:szCs w:val="21"/>
              </w:rPr>
            </w:pPr>
            <w:r>
              <w:rPr>
                <w:szCs w:val="21"/>
              </w:rPr>
              <w:t>厂界南侧</w:t>
            </w:r>
          </w:p>
        </w:tc>
        <w:tc>
          <w:tcPr>
            <w:tcW w:w="1354" w:type="pct"/>
            <w:tcBorders>
              <w:tl2br w:val="nil"/>
              <w:tr2bl w:val="nil"/>
            </w:tcBorders>
            <w:vAlign w:val="center"/>
          </w:tcPr>
          <w:p w14:paraId="1B357786">
            <w:pPr>
              <w:pStyle w:val="160"/>
              <w:rPr>
                <w:rStyle w:val="155"/>
                <w:szCs w:val="21"/>
              </w:rPr>
            </w:pPr>
            <w:r>
              <w:rPr>
                <w:rStyle w:val="155"/>
                <w:szCs w:val="21"/>
              </w:rPr>
              <w:t>2023年9月23日</w:t>
            </w:r>
          </w:p>
        </w:tc>
        <w:tc>
          <w:tcPr>
            <w:tcW w:w="1006" w:type="pct"/>
            <w:tcBorders>
              <w:tl2br w:val="nil"/>
              <w:tr2bl w:val="nil"/>
            </w:tcBorders>
            <w:vAlign w:val="center"/>
          </w:tcPr>
          <w:p w14:paraId="6D36FF55">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50</w:t>
            </w:r>
          </w:p>
        </w:tc>
        <w:tc>
          <w:tcPr>
            <w:tcW w:w="1194" w:type="pct"/>
            <w:tcBorders>
              <w:tl2br w:val="nil"/>
              <w:tr2bl w:val="nil"/>
            </w:tcBorders>
            <w:vAlign w:val="center"/>
          </w:tcPr>
          <w:p w14:paraId="71EE4DCC">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41</w:t>
            </w:r>
          </w:p>
        </w:tc>
      </w:tr>
      <w:tr w14:paraId="622EBBF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1" w:type="pct"/>
            <w:vMerge w:val="continue"/>
            <w:tcBorders>
              <w:tl2br w:val="nil"/>
              <w:tr2bl w:val="nil"/>
            </w:tcBorders>
            <w:vAlign w:val="center"/>
          </w:tcPr>
          <w:p w14:paraId="447E70FC">
            <w:pPr>
              <w:pStyle w:val="160"/>
              <w:rPr>
                <w:bCs/>
                <w:szCs w:val="21"/>
              </w:rPr>
            </w:pPr>
          </w:p>
        </w:tc>
        <w:tc>
          <w:tcPr>
            <w:tcW w:w="813" w:type="pct"/>
            <w:tcBorders>
              <w:tl2br w:val="nil"/>
              <w:tr2bl w:val="nil"/>
            </w:tcBorders>
            <w:vAlign w:val="center"/>
          </w:tcPr>
          <w:p w14:paraId="41C15C4C">
            <w:pPr>
              <w:pStyle w:val="160"/>
              <w:rPr>
                <w:szCs w:val="21"/>
              </w:rPr>
            </w:pPr>
            <w:r>
              <w:rPr>
                <w:szCs w:val="21"/>
              </w:rPr>
              <w:t>厂界西侧</w:t>
            </w:r>
          </w:p>
        </w:tc>
        <w:tc>
          <w:tcPr>
            <w:tcW w:w="1354" w:type="pct"/>
            <w:tcBorders>
              <w:tl2br w:val="nil"/>
              <w:tr2bl w:val="nil"/>
            </w:tcBorders>
            <w:vAlign w:val="center"/>
          </w:tcPr>
          <w:p w14:paraId="31FEA6E7">
            <w:pPr>
              <w:pStyle w:val="160"/>
              <w:rPr>
                <w:rStyle w:val="155"/>
                <w:szCs w:val="21"/>
              </w:rPr>
            </w:pPr>
            <w:r>
              <w:rPr>
                <w:rStyle w:val="155"/>
                <w:szCs w:val="21"/>
              </w:rPr>
              <w:t>2023年9月23日</w:t>
            </w:r>
          </w:p>
        </w:tc>
        <w:tc>
          <w:tcPr>
            <w:tcW w:w="1006" w:type="pct"/>
            <w:tcBorders>
              <w:tl2br w:val="nil"/>
              <w:tr2bl w:val="nil"/>
            </w:tcBorders>
            <w:vAlign w:val="center"/>
          </w:tcPr>
          <w:p w14:paraId="1155B6D9">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52</w:t>
            </w:r>
          </w:p>
        </w:tc>
        <w:tc>
          <w:tcPr>
            <w:tcW w:w="1194" w:type="pct"/>
            <w:tcBorders>
              <w:tl2br w:val="nil"/>
              <w:tr2bl w:val="nil"/>
            </w:tcBorders>
            <w:vAlign w:val="center"/>
          </w:tcPr>
          <w:p w14:paraId="20546EE3">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42</w:t>
            </w:r>
          </w:p>
        </w:tc>
      </w:tr>
      <w:tr w14:paraId="70599B8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1" w:type="pct"/>
            <w:vMerge w:val="continue"/>
            <w:tcBorders>
              <w:tl2br w:val="nil"/>
              <w:tr2bl w:val="nil"/>
            </w:tcBorders>
            <w:vAlign w:val="center"/>
          </w:tcPr>
          <w:p w14:paraId="35ED500A">
            <w:pPr>
              <w:pStyle w:val="160"/>
              <w:rPr>
                <w:bCs/>
                <w:szCs w:val="21"/>
              </w:rPr>
            </w:pPr>
          </w:p>
        </w:tc>
        <w:tc>
          <w:tcPr>
            <w:tcW w:w="813" w:type="pct"/>
            <w:tcBorders>
              <w:tl2br w:val="nil"/>
              <w:tr2bl w:val="nil"/>
            </w:tcBorders>
            <w:vAlign w:val="center"/>
          </w:tcPr>
          <w:p w14:paraId="6C2465A6">
            <w:pPr>
              <w:pStyle w:val="160"/>
              <w:rPr>
                <w:szCs w:val="21"/>
              </w:rPr>
            </w:pPr>
            <w:r>
              <w:rPr>
                <w:szCs w:val="21"/>
              </w:rPr>
              <w:t>厂界北侧</w:t>
            </w:r>
          </w:p>
        </w:tc>
        <w:tc>
          <w:tcPr>
            <w:tcW w:w="1354" w:type="pct"/>
            <w:tcBorders>
              <w:tl2br w:val="nil"/>
              <w:tr2bl w:val="nil"/>
            </w:tcBorders>
            <w:vAlign w:val="center"/>
          </w:tcPr>
          <w:p w14:paraId="4B5C7F39">
            <w:pPr>
              <w:pStyle w:val="160"/>
              <w:rPr>
                <w:rStyle w:val="155"/>
                <w:szCs w:val="21"/>
              </w:rPr>
            </w:pPr>
            <w:r>
              <w:rPr>
                <w:rStyle w:val="155"/>
                <w:szCs w:val="21"/>
              </w:rPr>
              <w:t>2023年9月23日</w:t>
            </w:r>
          </w:p>
        </w:tc>
        <w:tc>
          <w:tcPr>
            <w:tcW w:w="1006" w:type="pct"/>
            <w:tcBorders>
              <w:tl2br w:val="nil"/>
              <w:tr2bl w:val="nil"/>
            </w:tcBorders>
            <w:vAlign w:val="center"/>
          </w:tcPr>
          <w:p w14:paraId="36899988">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51</w:t>
            </w:r>
          </w:p>
        </w:tc>
        <w:tc>
          <w:tcPr>
            <w:tcW w:w="1194" w:type="pct"/>
            <w:tcBorders>
              <w:tl2br w:val="nil"/>
              <w:tr2bl w:val="nil"/>
            </w:tcBorders>
            <w:vAlign w:val="center"/>
          </w:tcPr>
          <w:p w14:paraId="57D3B87E">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40</w:t>
            </w:r>
          </w:p>
        </w:tc>
      </w:tr>
    </w:tbl>
    <w:p w14:paraId="38B17200">
      <w:pPr>
        <w:pStyle w:val="151"/>
      </w:pPr>
      <w:r>
        <w:t>各监测点声环境监测值满足《声环境质量标准》（GB3096－2008）中的1类标准。</w:t>
      </w:r>
    </w:p>
    <w:p w14:paraId="0A6F348F">
      <w:pPr>
        <w:pStyle w:val="5"/>
        <w:spacing w:before="156" w:after="156"/>
        <w:rPr>
          <w:color w:val="auto"/>
        </w:rPr>
      </w:pPr>
      <w:bookmarkStart w:id="202" w:name="_Hlk47605152"/>
      <w:r>
        <w:rPr>
          <w:color w:val="auto"/>
        </w:rPr>
        <w:t>4.2.3土壤环境质量现状与评价</w:t>
      </w:r>
    </w:p>
    <w:p w14:paraId="673FFB28">
      <w:pPr>
        <w:pStyle w:val="190"/>
        <w:ind w:firstLine="480"/>
      </w:pPr>
      <w:r>
        <w:t>本次土壤监测共布设</w:t>
      </w:r>
      <w:r>
        <w:rPr>
          <w:rFonts w:hint="eastAsia"/>
        </w:rPr>
        <w:t>3</w:t>
      </w:r>
      <w:r>
        <w:t>个监测点位，在1#厂区内布设</w:t>
      </w:r>
      <w:r>
        <w:rPr>
          <w:rFonts w:hint="eastAsia"/>
        </w:rPr>
        <w:t>2</w:t>
      </w:r>
      <w:r>
        <w:t>个表层样，2#厂区内布设1个表层样</w:t>
      </w:r>
      <w:r>
        <w:rPr>
          <w:rFonts w:hint="eastAsia"/>
        </w:rPr>
        <w:t>。</w:t>
      </w:r>
      <w:r>
        <w:t xml:space="preserve"> </w:t>
      </w:r>
    </w:p>
    <w:p w14:paraId="1C9329FD">
      <w:pPr>
        <w:pStyle w:val="190"/>
        <w:ind w:left="480" w:firstLine="0" w:firstLineChars="0"/>
        <w:rPr>
          <w:b/>
          <w:bCs/>
        </w:rPr>
      </w:pPr>
      <w:r>
        <w:rPr>
          <w:b/>
          <w:bCs/>
        </w:rPr>
        <w:fldChar w:fldCharType="begin"/>
      </w:r>
      <w:r>
        <w:rPr>
          <w:b/>
          <w:bCs/>
        </w:rPr>
        <w:instrText xml:space="preserve"> = 1 \* GB2 \* MERGEFORMAT </w:instrText>
      </w:r>
      <w:r>
        <w:rPr>
          <w:b/>
          <w:bCs/>
        </w:rPr>
        <w:fldChar w:fldCharType="separate"/>
      </w:r>
      <w:r>
        <w:rPr>
          <w:b/>
          <w:bCs/>
        </w:rPr>
        <w:t>⑴</w:t>
      </w:r>
      <w:r>
        <w:rPr>
          <w:b/>
          <w:bCs/>
        </w:rPr>
        <w:fldChar w:fldCharType="end"/>
      </w:r>
      <w:r>
        <w:rPr>
          <w:b/>
          <w:bCs/>
        </w:rPr>
        <w:t>监测点位布设及监测因子</w:t>
      </w:r>
    </w:p>
    <w:p w14:paraId="54BE9D6F">
      <w:pPr>
        <w:pStyle w:val="190"/>
        <w:ind w:firstLineChars="0"/>
      </w:pPr>
      <w:r>
        <w:t>具体情况见表4.2-9。</w:t>
      </w:r>
    </w:p>
    <w:p w14:paraId="2FAA92F4">
      <w:pPr>
        <w:pStyle w:val="143"/>
        <w:spacing w:before="156"/>
        <w:rPr>
          <w:b/>
          <w:bCs w:val="0"/>
        </w:rPr>
      </w:pPr>
      <w:r>
        <w:rPr>
          <w:b/>
          <w:bCs w:val="0"/>
        </w:rPr>
        <w:t xml:space="preserve">表4.2-9 </w:t>
      </w:r>
      <w:r>
        <w:rPr>
          <w:rFonts w:hint="eastAsia"/>
          <w:b/>
          <w:bCs w:val="0"/>
        </w:rPr>
        <w:t xml:space="preserve">   </w:t>
      </w:r>
      <w:r>
        <w:rPr>
          <w:b/>
          <w:bCs w:val="0"/>
        </w:rPr>
        <w:t xml:space="preserve">  土壤监测点位布设</w:t>
      </w:r>
    </w:p>
    <w:tbl>
      <w:tblPr>
        <w:tblStyle w:val="89"/>
        <w:tblW w:w="5203"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28" w:type="dxa"/>
          <w:bottom w:w="0" w:type="dxa"/>
          <w:right w:w="28" w:type="dxa"/>
        </w:tblCellMar>
      </w:tblPr>
      <w:tblGrid>
        <w:gridCol w:w="489"/>
        <w:gridCol w:w="1546"/>
        <w:gridCol w:w="919"/>
        <w:gridCol w:w="1135"/>
        <w:gridCol w:w="4560"/>
      </w:tblGrid>
      <w:tr w14:paraId="7D6845C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27" w:hRule="atLeast"/>
          <w:jc w:val="center"/>
        </w:trPr>
        <w:tc>
          <w:tcPr>
            <w:tcW w:w="283" w:type="pct"/>
            <w:tcBorders>
              <w:tl2br w:val="nil"/>
              <w:tr2bl w:val="nil"/>
            </w:tcBorders>
            <w:vAlign w:val="center"/>
          </w:tcPr>
          <w:p w14:paraId="3DD45622">
            <w:pPr>
              <w:snapToGrid w:val="0"/>
              <w:spacing w:before="0" w:beforeLines="0" w:line="240" w:lineRule="auto"/>
              <w:jc w:val="center"/>
              <w:textAlignment w:val="center"/>
              <w:rPr>
                <w:kern w:val="0"/>
                <w:szCs w:val="21"/>
              </w:rPr>
            </w:pPr>
            <w:r>
              <w:rPr>
                <w:kern w:val="0"/>
                <w:szCs w:val="21"/>
              </w:rPr>
              <w:t>序号</w:t>
            </w:r>
          </w:p>
        </w:tc>
        <w:tc>
          <w:tcPr>
            <w:tcW w:w="894" w:type="pct"/>
            <w:tcBorders>
              <w:bottom w:val="single" w:color="auto" w:sz="4" w:space="0"/>
              <w:tl2br w:val="nil"/>
              <w:tr2bl w:val="nil"/>
            </w:tcBorders>
            <w:vAlign w:val="center"/>
          </w:tcPr>
          <w:p w14:paraId="15F938BC">
            <w:pPr>
              <w:snapToGrid w:val="0"/>
              <w:spacing w:before="0" w:beforeLines="0" w:line="240" w:lineRule="auto"/>
              <w:jc w:val="center"/>
              <w:textAlignment w:val="center"/>
              <w:rPr>
                <w:kern w:val="0"/>
                <w:szCs w:val="21"/>
              </w:rPr>
            </w:pPr>
            <w:r>
              <w:rPr>
                <w:kern w:val="0"/>
                <w:szCs w:val="21"/>
              </w:rPr>
              <w:t>位置</w:t>
            </w:r>
          </w:p>
        </w:tc>
        <w:tc>
          <w:tcPr>
            <w:tcW w:w="531" w:type="pct"/>
            <w:tcBorders>
              <w:bottom w:val="single" w:color="auto" w:sz="4" w:space="0"/>
              <w:tl2br w:val="nil"/>
              <w:tr2bl w:val="nil"/>
            </w:tcBorders>
            <w:vAlign w:val="center"/>
          </w:tcPr>
          <w:p w14:paraId="15024ABB">
            <w:pPr>
              <w:snapToGrid w:val="0"/>
              <w:spacing w:before="0" w:beforeLines="0" w:line="240" w:lineRule="auto"/>
              <w:jc w:val="center"/>
              <w:textAlignment w:val="center"/>
              <w:rPr>
                <w:kern w:val="0"/>
                <w:szCs w:val="21"/>
              </w:rPr>
            </w:pPr>
            <w:r>
              <w:rPr>
                <w:kern w:val="0"/>
                <w:szCs w:val="21"/>
              </w:rPr>
              <w:t>样点类别</w:t>
            </w:r>
          </w:p>
        </w:tc>
        <w:tc>
          <w:tcPr>
            <w:tcW w:w="656" w:type="pct"/>
            <w:tcBorders>
              <w:tl2br w:val="nil"/>
              <w:tr2bl w:val="nil"/>
            </w:tcBorders>
            <w:vAlign w:val="center"/>
          </w:tcPr>
          <w:p w14:paraId="13F9B7E3">
            <w:pPr>
              <w:autoSpaceDE w:val="0"/>
              <w:autoSpaceDN w:val="0"/>
              <w:adjustRightInd w:val="0"/>
              <w:snapToGrid w:val="0"/>
              <w:spacing w:before="0" w:beforeLines="0" w:line="240" w:lineRule="auto"/>
              <w:jc w:val="center"/>
              <w:rPr>
                <w:kern w:val="0"/>
                <w:szCs w:val="21"/>
              </w:rPr>
            </w:pPr>
            <w:r>
              <w:rPr>
                <w:kern w:val="0"/>
                <w:szCs w:val="21"/>
              </w:rPr>
              <w:t>监测点位</w:t>
            </w:r>
          </w:p>
        </w:tc>
        <w:tc>
          <w:tcPr>
            <w:tcW w:w="2636" w:type="pct"/>
            <w:tcBorders>
              <w:tl2br w:val="nil"/>
              <w:tr2bl w:val="nil"/>
            </w:tcBorders>
            <w:vAlign w:val="center"/>
          </w:tcPr>
          <w:p w14:paraId="6E102BAC">
            <w:pPr>
              <w:snapToGrid w:val="0"/>
              <w:spacing w:before="0" w:beforeLines="0" w:line="240" w:lineRule="auto"/>
              <w:jc w:val="center"/>
              <w:textAlignment w:val="center"/>
              <w:rPr>
                <w:kern w:val="0"/>
                <w:szCs w:val="21"/>
              </w:rPr>
            </w:pPr>
            <w:r>
              <w:rPr>
                <w:kern w:val="0"/>
                <w:szCs w:val="21"/>
              </w:rPr>
              <w:t>监测项目</w:t>
            </w:r>
          </w:p>
        </w:tc>
      </w:tr>
      <w:tr w14:paraId="50934F0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283" w:type="pct"/>
            <w:tcBorders>
              <w:tl2br w:val="nil"/>
              <w:tr2bl w:val="nil"/>
            </w:tcBorders>
            <w:vAlign w:val="center"/>
          </w:tcPr>
          <w:p w14:paraId="244959C7">
            <w:pPr>
              <w:snapToGrid w:val="0"/>
              <w:spacing w:before="0" w:beforeLines="0" w:line="240" w:lineRule="auto"/>
              <w:jc w:val="center"/>
              <w:textAlignment w:val="center"/>
              <w:rPr>
                <w:kern w:val="0"/>
                <w:szCs w:val="21"/>
              </w:rPr>
            </w:pPr>
            <w:r>
              <w:rPr>
                <w:kern w:val="0"/>
                <w:szCs w:val="21"/>
              </w:rPr>
              <w:t>1</w:t>
            </w:r>
          </w:p>
        </w:tc>
        <w:tc>
          <w:tcPr>
            <w:tcW w:w="894" w:type="pct"/>
            <w:tcBorders>
              <w:top w:val="single" w:color="auto" w:sz="4" w:space="0"/>
              <w:tl2br w:val="nil"/>
              <w:tr2bl w:val="nil"/>
            </w:tcBorders>
            <w:vAlign w:val="center"/>
          </w:tcPr>
          <w:p w14:paraId="2D05FE96">
            <w:pPr>
              <w:snapToGrid w:val="0"/>
              <w:spacing w:before="0" w:beforeLines="0" w:line="240" w:lineRule="auto"/>
              <w:jc w:val="center"/>
              <w:textAlignment w:val="center"/>
              <w:rPr>
                <w:kern w:val="0"/>
                <w:szCs w:val="21"/>
              </w:rPr>
            </w:pPr>
            <w:r>
              <w:rPr>
                <w:szCs w:val="21"/>
              </w:rPr>
              <w:t>1#厂区内</w:t>
            </w:r>
          </w:p>
        </w:tc>
        <w:tc>
          <w:tcPr>
            <w:tcW w:w="531" w:type="pct"/>
            <w:vMerge w:val="restart"/>
            <w:tcBorders>
              <w:tl2br w:val="nil"/>
              <w:tr2bl w:val="nil"/>
            </w:tcBorders>
            <w:vAlign w:val="center"/>
          </w:tcPr>
          <w:p w14:paraId="5A048B6B">
            <w:pPr>
              <w:snapToGrid w:val="0"/>
              <w:spacing w:before="0" w:beforeLines="0" w:line="240" w:lineRule="auto"/>
              <w:jc w:val="center"/>
              <w:textAlignment w:val="center"/>
              <w:rPr>
                <w:kern w:val="0"/>
                <w:szCs w:val="21"/>
              </w:rPr>
            </w:pPr>
            <w:r>
              <w:rPr>
                <w:rFonts w:hint="eastAsia"/>
                <w:kern w:val="0"/>
                <w:szCs w:val="21"/>
              </w:rPr>
              <w:t>表层样</w:t>
            </w:r>
          </w:p>
        </w:tc>
        <w:tc>
          <w:tcPr>
            <w:tcW w:w="656" w:type="pct"/>
            <w:tcBorders>
              <w:bottom w:val="single" w:color="auto" w:sz="4" w:space="0"/>
              <w:tl2br w:val="nil"/>
              <w:tr2bl w:val="nil"/>
            </w:tcBorders>
            <w:vAlign w:val="center"/>
          </w:tcPr>
          <w:p w14:paraId="7B657A49">
            <w:pPr>
              <w:snapToGrid w:val="0"/>
              <w:spacing w:before="0" w:beforeLines="0" w:line="240" w:lineRule="auto"/>
              <w:jc w:val="center"/>
              <w:rPr>
                <w:szCs w:val="21"/>
              </w:rPr>
            </w:pPr>
            <w:r>
              <w:rPr>
                <w:szCs w:val="21"/>
              </w:rPr>
              <w:t>S3</w:t>
            </w:r>
          </w:p>
        </w:tc>
        <w:tc>
          <w:tcPr>
            <w:tcW w:w="2636" w:type="pct"/>
            <w:tcBorders>
              <w:tl2br w:val="nil"/>
              <w:tr2bl w:val="nil"/>
            </w:tcBorders>
            <w:vAlign w:val="center"/>
          </w:tcPr>
          <w:p w14:paraId="7F112A5E">
            <w:pPr>
              <w:snapToGrid w:val="0"/>
              <w:spacing w:before="0" w:beforeLines="0" w:line="240" w:lineRule="auto"/>
              <w:jc w:val="center"/>
              <w:textAlignment w:val="center"/>
              <w:rPr>
                <w:kern w:val="0"/>
                <w:szCs w:val="21"/>
              </w:rPr>
            </w:pPr>
            <w:r>
              <w:rPr>
                <w:szCs w:val="21"/>
              </w:rPr>
              <w:t>pH、砷、镉、铬（六价）、铜、铅、汞、镍、石油烃、钒</w:t>
            </w:r>
          </w:p>
        </w:tc>
      </w:tr>
      <w:tr w14:paraId="0B1AF8C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27" w:hRule="atLeast"/>
          <w:jc w:val="center"/>
        </w:trPr>
        <w:tc>
          <w:tcPr>
            <w:tcW w:w="283" w:type="pct"/>
            <w:tcBorders>
              <w:tl2br w:val="nil"/>
              <w:tr2bl w:val="nil"/>
            </w:tcBorders>
            <w:vAlign w:val="center"/>
          </w:tcPr>
          <w:p w14:paraId="3E4CD67B">
            <w:pPr>
              <w:snapToGrid w:val="0"/>
              <w:spacing w:before="0" w:beforeLines="0" w:line="240" w:lineRule="auto"/>
              <w:jc w:val="center"/>
              <w:textAlignment w:val="center"/>
              <w:rPr>
                <w:kern w:val="0"/>
                <w:szCs w:val="21"/>
              </w:rPr>
            </w:pPr>
            <w:r>
              <w:rPr>
                <w:rFonts w:hint="eastAsia"/>
                <w:kern w:val="0"/>
                <w:szCs w:val="21"/>
              </w:rPr>
              <w:t>2</w:t>
            </w:r>
          </w:p>
        </w:tc>
        <w:tc>
          <w:tcPr>
            <w:tcW w:w="894" w:type="pct"/>
            <w:tcBorders>
              <w:tl2br w:val="nil"/>
              <w:tr2bl w:val="nil"/>
            </w:tcBorders>
            <w:vAlign w:val="center"/>
          </w:tcPr>
          <w:p w14:paraId="24CCF2F8">
            <w:pPr>
              <w:snapToGrid w:val="0"/>
              <w:spacing w:before="0" w:beforeLines="0" w:line="240" w:lineRule="auto"/>
              <w:jc w:val="center"/>
              <w:textAlignment w:val="center"/>
              <w:rPr>
                <w:kern w:val="0"/>
                <w:szCs w:val="21"/>
              </w:rPr>
            </w:pPr>
            <w:r>
              <w:rPr>
                <w:szCs w:val="21"/>
              </w:rPr>
              <w:t>1#厂区内</w:t>
            </w:r>
          </w:p>
        </w:tc>
        <w:tc>
          <w:tcPr>
            <w:tcW w:w="531" w:type="pct"/>
            <w:vMerge w:val="continue"/>
            <w:tcBorders>
              <w:tl2br w:val="nil"/>
              <w:tr2bl w:val="nil"/>
            </w:tcBorders>
            <w:vAlign w:val="center"/>
          </w:tcPr>
          <w:p w14:paraId="6591D61B">
            <w:pPr>
              <w:snapToGrid w:val="0"/>
              <w:spacing w:before="0" w:beforeLines="0" w:line="240" w:lineRule="auto"/>
              <w:jc w:val="center"/>
              <w:textAlignment w:val="center"/>
              <w:rPr>
                <w:kern w:val="0"/>
                <w:szCs w:val="21"/>
              </w:rPr>
            </w:pPr>
          </w:p>
        </w:tc>
        <w:tc>
          <w:tcPr>
            <w:tcW w:w="656" w:type="pct"/>
            <w:tcBorders>
              <w:tl2br w:val="nil"/>
              <w:tr2bl w:val="nil"/>
            </w:tcBorders>
            <w:vAlign w:val="center"/>
          </w:tcPr>
          <w:p w14:paraId="26CFA4A0">
            <w:pPr>
              <w:snapToGrid w:val="0"/>
              <w:spacing w:before="0" w:beforeLines="0" w:line="240" w:lineRule="auto"/>
              <w:jc w:val="center"/>
              <w:textAlignment w:val="center"/>
              <w:rPr>
                <w:kern w:val="0"/>
                <w:szCs w:val="21"/>
              </w:rPr>
            </w:pPr>
            <w:r>
              <w:rPr>
                <w:kern w:val="0"/>
                <w:szCs w:val="21"/>
              </w:rPr>
              <w:t>S9</w:t>
            </w:r>
          </w:p>
        </w:tc>
        <w:tc>
          <w:tcPr>
            <w:tcW w:w="2636" w:type="pct"/>
            <w:tcBorders>
              <w:tl2br w:val="nil"/>
              <w:tr2bl w:val="nil"/>
            </w:tcBorders>
            <w:vAlign w:val="center"/>
          </w:tcPr>
          <w:p w14:paraId="06EB474D">
            <w:pPr>
              <w:snapToGrid w:val="0"/>
              <w:spacing w:before="0" w:beforeLines="0" w:line="240" w:lineRule="auto"/>
              <w:jc w:val="center"/>
              <w:textAlignment w:val="center"/>
              <w:rPr>
                <w:kern w:val="0"/>
                <w:szCs w:val="21"/>
              </w:rPr>
            </w:pPr>
            <w:r>
              <w:rPr>
                <w:szCs w:val="21"/>
              </w:rPr>
              <w:t>pH、砷、镉、铬（六价）、铜、铅、汞、镍、石油烃、钒</w:t>
            </w:r>
            <w:r>
              <w:rPr>
                <w:rFonts w:hint="eastAsia"/>
                <w:szCs w:val="21"/>
              </w:rPr>
              <w:t>钛</w:t>
            </w:r>
          </w:p>
        </w:tc>
      </w:tr>
      <w:tr w14:paraId="44226B3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27" w:hRule="atLeast"/>
          <w:jc w:val="center"/>
        </w:trPr>
        <w:tc>
          <w:tcPr>
            <w:tcW w:w="283" w:type="pct"/>
            <w:tcBorders>
              <w:tl2br w:val="nil"/>
              <w:tr2bl w:val="nil"/>
            </w:tcBorders>
            <w:vAlign w:val="center"/>
          </w:tcPr>
          <w:p w14:paraId="24C7307B">
            <w:pPr>
              <w:snapToGrid w:val="0"/>
              <w:spacing w:before="0" w:beforeLines="0" w:line="240" w:lineRule="auto"/>
              <w:jc w:val="center"/>
              <w:textAlignment w:val="center"/>
              <w:rPr>
                <w:kern w:val="0"/>
                <w:szCs w:val="21"/>
              </w:rPr>
            </w:pPr>
            <w:r>
              <w:rPr>
                <w:rFonts w:hint="eastAsia"/>
                <w:kern w:val="0"/>
                <w:szCs w:val="21"/>
              </w:rPr>
              <w:t>3</w:t>
            </w:r>
          </w:p>
        </w:tc>
        <w:tc>
          <w:tcPr>
            <w:tcW w:w="894" w:type="pct"/>
            <w:tcBorders>
              <w:tl2br w:val="nil"/>
              <w:tr2bl w:val="nil"/>
            </w:tcBorders>
            <w:vAlign w:val="center"/>
          </w:tcPr>
          <w:p w14:paraId="089BA306">
            <w:pPr>
              <w:snapToGrid w:val="0"/>
              <w:spacing w:before="0" w:beforeLines="0" w:line="240" w:lineRule="auto"/>
              <w:jc w:val="center"/>
              <w:textAlignment w:val="center"/>
              <w:rPr>
                <w:kern w:val="0"/>
                <w:szCs w:val="21"/>
              </w:rPr>
            </w:pPr>
            <w:r>
              <w:rPr>
                <w:szCs w:val="21"/>
              </w:rPr>
              <w:t>2#厂区内</w:t>
            </w:r>
          </w:p>
        </w:tc>
        <w:tc>
          <w:tcPr>
            <w:tcW w:w="531" w:type="pct"/>
            <w:vMerge w:val="continue"/>
            <w:tcBorders>
              <w:tl2br w:val="nil"/>
              <w:tr2bl w:val="nil"/>
            </w:tcBorders>
            <w:vAlign w:val="center"/>
          </w:tcPr>
          <w:p w14:paraId="55C9C378">
            <w:pPr>
              <w:snapToGrid w:val="0"/>
              <w:spacing w:before="0" w:beforeLines="0" w:line="240" w:lineRule="auto"/>
              <w:jc w:val="center"/>
              <w:textAlignment w:val="center"/>
              <w:rPr>
                <w:kern w:val="0"/>
                <w:szCs w:val="21"/>
              </w:rPr>
            </w:pPr>
          </w:p>
        </w:tc>
        <w:tc>
          <w:tcPr>
            <w:tcW w:w="656" w:type="pct"/>
            <w:tcBorders>
              <w:top w:val="single" w:color="auto" w:sz="4" w:space="0"/>
              <w:tl2br w:val="nil"/>
              <w:tr2bl w:val="nil"/>
            </w:tcBorders>
            <w:vAlign w:val="center"/>
          </w:tcPr>
          <w:p w14:paraId="385CA577">
            <w:pPr>
              <w:snapToGrid w:val="0"/>
              <w:spacing w:before="0" w:beforeLines="0" w:line="240" w:lineRule="auto"/>
              <w:jc w:val="center"/>
              <w:textAlignment w:val="center"/>
              <w:rPr>
                <w:kern w:val="0"/>
                <w:szCs w:val="21"/>
              </w:rPr>
            </w:pPr>
            <w:r>
              <w:rPr>
                <w:szCs w:val="21"/>
              </w:rPr>
              <w:t>S11</w:t>
            </w:r>
          </w:p>
        </w:tc>
        <w:tc>
          <w:tcPr>
            <w:tcW w:w="2636" w:type="pct"/>
            <w:tcBorders>
              <w:top w:val="single" w:color="auto" w:sz="4" w:space="0"/>
              <w:tl2br w:val="nil"/>
              <w:tr2bl w:val="nil"/>
            </w:tcBorders>
            <w:vAlign w:val="center"/>
          </w:tcPr>
          <w:p w14:paraId="55449C06">
            <w:pPr>
              <w:snapToGrid w:val="0"/>
              <w:spacing w:before="0" w:beforeLines="0" w:line="240" w:lineRule="auto"/>
              <w:jc w:val="center"/>
              <w:textAlignment w:val="center"/>
              <w:rPr>
                <w:b/>
                <w:bCs/>
                <w:szCs w:val="21"/>
              </w:rPr>
            </w:pPr>
            <w:r>
              <w:rPr>
                <w:b/>
                <w:bCs/>
                <w:szCs w:val="21"/>
              </w:rPr>
              <w:t>建设用地基本因子</w:t>
            </w:r>
            <w:r>
              <w:rPr>
                <w:szCs w:val="21"/>
              </w:rPr>
              <w:t>pH、砷、镉、铬（六价）、铜、铅、汞、镍、四氯化碳、氯仿、氯甲烷、1，1-二氯乙烷、1，2-二氯乙烷、1，1-二氯乙烯、顺-1，2-二氯乙烯、反-1，2-二氯乙烯、二氯甲烷、1，2-二氯丙烷、1，1，1，2-四氯乙烷、1，1，2，2-四氯乙烷、四氯乙烯、1，1，1-三氯乙烷、1，1，2-三氯乙烷、三氯乙烯、1,2,3-三氯丙烷、氯乙烯、苯、氯苯、1，2-二氯苯、1，4-二氯苯、乙苯、苯乙烯、甲苯、间二甲苯+对二甲苯、邻二甲苯、硝基苯、苯胺、2-氯酚、苯并〔a〕蒽、苯并〔a〕芘、苯并〔b〕荧蒽、苯并〔k〕荧蒽、䓛、二苯并〔a，h〕蒽、茚并〔1，2，3-cd〕芘、萘）+</w:t>
            </w:r>
            <w:r>
              <w:rPr>
                <w:b/>
                <w:bCs/>
                <w:szCs w:val="21"/>
              </w:rPr>
              <w:t>建设用地特征因子</w:t>
            </w:r>
            <w:r>
              <w:rPr>
                <w:szCs w:val="21"/>
              </w:rPr>
              <w:t>（石油烃、钒</w:t>
            </w:r>
            <w:r>
              <w:rPr>
                <w:rFonts w:hint="eastAsia"/>
                <w:szCs w:val="21"/>
              </w:rPr>
              <w:t>、钛</w:t>
            </w:r>
            <w:r>
              <w:rPr>
                <w:szCs w:val="21"/>
              </w:rPr>
              <w:t>）</w:t>
            </w:r>
          </w:p>
        </w:tc>
      </w:tr>
    </w:tbl>
    <w:p w14:paraId="77772EE8">
      <w:pPr>
        <w:pStyle w:val="190"/>
        <w:ind w:left="480" w:firstLine="0" w:firstLineChars="0"/>
        <w:rPr>
          <w:b/>
          <w:bCs/>
        </w:rPr>
      </w:pPr>
      <w:r>
        <w:rPr>
          <w:b/>
          <w:bCs/>
        </w:rPr>
        <w:fldChar w:fldCharType="begin"/>
      </w:r>
      <w:r>
        <w:rPr>
          <w:b/>
          <w:bCs/>
        </w:rPr>
        <w:instrText xml:space="preserve"> = 2 \* GB2 \* MERGEFORMAT </w:instrText>
      </w:r>
      <w:r>
        <w:rPr>
          <w:b/>
          <w:bCs/>
        </w:rPr>
        <w:fldChar w:fldCharType="separate"/>
      </w:r>
      <w:r>
        <w:rPr>
          <w:b/>
          <w:bCs/>
        </w:rPr>
        <w:t>⑵</w:t>
      </w:r>
      <w:r>
        <w:rPr>
          <w:b/>
          <w:bCs/>
        </w:rPr>
        <w:fldChar w:fldCharType="end"/>
      </w:r>
      <w:r>
        <w:rPr>
          <w:b/>
          <w:bCs/>
        </w:rPr>
        <w:t>监测时间</w:t>
      </w:r>
    </w:p>
    <w:p w14:paraId="324F8101">
      <w:pPr>
        <w:pStyle w:val="190"/>
        <w:ind w:firstLine="480"/>
      </w:pPr>
      <w:r>
        <w:t>沈阳市中正检测技术有限公司于2023年</w:t>
      </w:r>
      <w:r>
        <w:rPr>
          <w:kern w:val="24"/>
        </w:rPr>
        <w:t>9月25日对项目所在区域土壤环境质量进行了现状监测，浙江九安检测科技有限公司对项目所在区域土壤钒、钛进行了监测</w:t>
      </w:r>
      <w:r>
        <w:t>。</w:t>
      </w:r>
    </w:p>
    <w:p w14:paraId="2F14CD9E">
      <w:pPr>
        <w:pStyle w:val="190"/>
        <w:ind w:left="480" w:firstLine="0" w:firstLineChars="0"/>
        <w:rPr>
          <w:b/>
          <w:bCs/>
        </w:rPr>
      </w:pPr>
      <w:r>
        <w:rPr>
          <w:b/>
          <w:bCs/>
        </w:rPr>
        <w:fldChar w:fldCharType="begin"/>
      </w:r>
      <w:r>
        <w:rPr>
          <w:b/>
          <w:bCs/>
        </w:rPr>
        <w:instrText xml:space="preserve"> = 3 \* GB2 \* MERGEFORMAT </w:instrText>
      </w:r>
      <w:r>
        <w:rPr>
          <w:b/>
          <w:bCs/>
        </w:rPr>
        <w:fldChar w:fldCharType="separate"/>
      </w:r>
      <w:r>
        <w:rPr>
          <w:b/>
          <w:bCs/>
        </w:rPr>
        <w:t>⑶</w:t>
      </w:r>
      <w:r>
        <w:rPr>
          <w:b/>
          <w:bCs/>
        </w:rPr>
        <w:fldChar w:fldCharType="end"/>
      </w:r>
      <w:r>
        <w:rPr>
          <w:b/>
          <w:bCs/>
        </w:rPr>
        <w:t>监测项目分析方法</w:t>
      </w:r>
    </w:p>
    <w:p w14:paraId="4C210076">
      <w:pPr>
        <w:pStyle w:val="190"/>
        <w:ind w:firstLine="480"/>
      </w:pPr>
      <w:r>
        <w:t>土壤监测按国家《环境监测分析方法》、《土壤环境监测技术规范》、《土壤环境质量 建设用地土壤污染风险管控标准（试行）》、《土壤环境质量 农用地土壤污染风险管控标准（试行）》中规定的方法进行监测。</w:t>
      </w:r>
    </w:p>
    <w:p w14:paraId="291B9572">
      <w:pPr>
        <w:pStyle w:val="190"/>
        <w:ind w:firstLine="480"/>
      </w:pPr>
      <w:r>
        <w:t>本项目的监测项目及分析方法见表4.2-10。</w:t>
      </w:r>
    </w:p>
    <w:p w14:paraId="22410371">
      <w:pPr>
        <w:pStyle w:val="143"/>
        <w:spacing w:before="156"/>
        <w:rPr>
          <w:b/>
          <w:bCs w:val="0"/>
        </w:rPr>
      </w:pPr>
      <w:r>
        <w:rPr>
          <w:b/>
          <w:bCs w:val="0"/>
        </w:rPr>
        <w:t xml:space="preserve">表4.2-10  </w:t>
      </w:r>
      <w:r>
        <w:rPr>
          <w:rFonts w:hint="eastAsia"/>
          <w:b/>
          <w:bCs w:val="0"/>
        </w:rPr>
        <w:t xml:space="preserve">   </w:t>
      </w:r>
      <w:r>
        <w:rPr>
          <w:b/>
          <w:bCs w:val="0"/>
        </w:rPr>
        <w:t xml:space="preserve"> 监测项目及分析方法</w:t>
      </w:r>
    </w:p>
    <w:tbl>
      <w:tblPr>
        <w:tblStyle w:val="89"/>
        <w:tblW w:w="850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37"/>
        <w:gridCol w:w="1206"/>
        <w:gridCol w:w="2793"/>
        <w:gridCol w:w="2100"/>
        <w:gridCol w:w="876"/>
        <w:gridCol w:w="889"/>
      </w:tblGrid>
      <w:tr w14:paraId="3C8FE06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637" w:type="dxa"/>
            <w:tcBorders>
              <w:tl2br w:val="nil"/>
              <w:tr2bl w:val="nil"/>
            </w:tcBorders>
            <w:vAlign w:val="center"/>
          </w:tcPr>
          <w:p w14:paraId="332DD567">
            <w:pPr>
              <w:spacing w:before="0" w:beforeLines="0" w:line="240" w:lineRule="auto"/>
              <w:jc w:val="center"/>
              <w:rPr>
                <w:szCs w:val="21"/>
              </w:rPr>
            </w:pPr>
            <w:r>
              <w:rPr>
                <w:szCs w:val="21"/>
              </w:rPr>
              <w:t>序号</w:t>
            </w:r>
          </w:p>
        </w:tc>
        <w:tc>
          <w:tcPr>
            <w:tcW w:w="1206" w:type="dxa"/>
            <w:tcBorders>
              <w:tl2br w:val="nil"/>
              <w:tr2bl w:val="nil"/>
            </w:tcBorders>
            <w:vAlign w:val="center"/>
          </w:tcPr>
          <w:p w14:paraId="0060919C">
            <w:pPr>
              <w:spacing w:before="0" w:beforeLines="0" w:line="240" w:lineRule="auto"/>
              <w:jc w:val="center"/>
              <w:rPr>
                <w:szCs w:val="21"/>
              </w:rPr>
            </w:pPr>
            <w:r>
              <w:rPr>
                <w:szCs w:val="21"/>
              </w:rPr>
              <w:t>检测项目</w:t>
            </w:r>
          </w:p>
        </w:tc>
        <w:tc>
          <w:tcPr>
            <w:tcW w:w="2793" w:type="dxa"/>
            <w:tcBorders>
              <w:tl2br w:val="nil"/>
              <w:tr2bl w:val="nil"/>
            </w:tcBorders>
            <w:vAlign w:val="center"/>
          </w:tcPr>
          <w:p w14:paraId="13BEC233">
            <w:pPr>
              <w:widowControl/>
              <w:spacing w:before="0" w:beforeLines="0" w:line="240" w:lineRule="auto"/>
              <w:jc w:val="center"/>
              <w:textAlignment w:val="center"/>
              <w:rPr>
                <w:szCs w:val="21"/>
              </w:rPr>
            </w:pPr>
            <w:r>
              <w:rPr>
                <w:kern w:val="0"/>
                <w:szCs w:val="21"/>
                <w:lang w:bidi="ar"/>
              </w:rPr>
              <w:t>检测标准（方法）</w:t>
            </w:r>
          </w:p>
        </w:tc>
        <w:tc>
          <w:tcPr>
            <w:tcW w:w="2100" w:type="dxa"/>
            <w:tcBorders>
              <w:tl2br w:val="nil"/>
              <w:tr2bl w:val="nil"/>
            </w:tcBorders>
            <w:vAlign w:val="center"/>
          </w:tcPr>
          <w:p w14:paraId="182CDEAC">
            <w:pPr>
              <w:widowControl/>
              <w:spacing w:before="0" w:beforeLines="0" w:line="240" w:lineRule="auto"/>
              <w:jc w:val="center"/>
              <w:textAlignment w:val="center"/>
              <w:rPr>
                <w:szCs w:val="21"/>
              </w:rPr>
            </w:pPr>
            <w:r>
              <w:rPr>
                <w:kern w:val="0"/>
                <w:szCs w:val="21"/>
                <w:lang w:bidi="ar"/>
              </w:rPr>
              <w:t>分析仪器名称/型号/编号</w:t>
            </w:r>
          </w:p>
        </w:tc>
        <w:tc>
          <w:tcPr>
            <w:tcW w:w="876" w:type="dxa"/>
            <w:tcBorders>
              <w:tl2br w:val="nil"/>
              <w:tr2bl w:val="nil"/>
            </w:tcBorders>
            <w:vAlign w:val="center"/>
          </w:tcPr>
          <w:p w14:paraId="0C671A8D">
            <w:pPr>
              <w:widowControl/>
              <w:spacing w:before="0" w:beforeLines="0" w:line="240" w:lineRule="auto"/>
              <w:jc w:val="center"/>
              <w:textAlignment w:val="center"/>
              <w:rPr>
                <w:szCs w:val="21"/>
              </w:rPr>
            </w:pPr>
            <w:r>
              <w:rPr>
                <w:kern w:val="0"/>
                <w:szCs w:val="21"/>
                <w:lang w:bidi="ar"/>
              </w:rPr>
              <w:t>检出限</w:t>
            </w:r>
          </w:p>
        </w:tc>
        <w:tc>
          <w:tcPr>
            <w:tcW w:w="889" w:type="dxa"/>
            <w:tcBorders>
              <w:tl2br w:val="nil"/>
              <w:tr2bl w:val="nil"/>
            </w:tcBorders>
            <w:vAlign w:val="center"/>
          </w:tcPr>
          <w:p w14:paraId="6A724361">
            <w:pPr>
              <w:widowControl/>
              <w:spacing w:before="0" w:beforeLines="0" w:line="240" w:lineRule="auto"/>
              <w:jc w:val="center"/>
              <w:textAlignment w:val="center"/>
              <w:rPr>
                <w:szCs w:val="21"/>
              </w:rPr>
            </w:pPr>
            <w:r>
              <w:rPr>
                <w:kern w:val="0"/>
                <w:szCs w:val="21"/>
                <w:lang w:bidi="ar"/>
              </w:rPr>
              <w:t>单位</w:t>
            </w:r>
          </w:p>
        </w:tc>
      </w:tr>
      <w:tr w14:paraId="2386CA7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76A168C5">
            <w:pPr>
              <w:widowControl/>
              <w:spacing w:before="0" w:beforeLines="0" w:line="240" w:lineRule="auto"/>
              <w:jc w:val="center"/>
              <w:textAlignment w:val="center"/>
              <w:rPr>
                <w:szCs w:val="21"/>
              </w:rPr>
            </w:pPr>
            <w:r>
              <w:rPr>
                <w:kern w:val="0"/>
                <w:szCs w:val="21"/>
                <w:lang w:bidi="ar"/>
              </w:rPr>
              <w:t>1</w:t>
            </w:r>
          </w:p>
        </w:tc>
        <w:tc>
          <w:tcPr>
            <w:tcW w:w="1206" w:type="dxa"/>
            <w:tcBorders>
              <w:tl2br w:val="nil"/>
              <w:tr2bl w:val="nil"/>
            </w:tcBorders>
            <w:vAlign w:val="center"/>
          </w:tcPr>
          <w:p w14:paraId="293D5018">
            <w:pPr>
              <w:autoSpaceDN w:val="0"/>
              <w:spacing w:before="0" w:beforeLines="0" w:line="240" w:lineRule="auto"/>
              <w:jc w:val="center"/>
              <w:textAlignment w:val="center"/>
              <w:rPr>
                <w:szCs w:val="21"/>
              </w:rPr>
            </w:pPr>
            <w:r>
              <w:rPr>
                <w:szCs w:val="21"/>
              </w:rPr>
              <w:t>砷</w:t>
            </w:r>
          </w:p>
        </w:tc>
        <w:tc>
          <w:tcPr>
            <w:tcW w:w="2793" w:type="dxa"/>
            <w:tcBorders>
              <w:tl2br w:val="nil"/>
              <w:tr2bl w:val="nil"/>
            </w:tcBorders>
            <w:vAlign w:val="center"/>
          </w:tcPr>
          <w:p w14:paraId="30366C61">
            <w:pPr>
              <w:autoSpaceDN w:val="0"/>
              <w:spacing w:before="0" w:beforeLines="0" w:line="240" w:lineRule="auto"/>
              <w:jc w:val="center"/>
              <w:textAlignment w:val="center"/>
              <w:rPr>
                <w:szCs w:val="21"/>
              </w:rPr>
            </w:pPr>
            <w:r>
              <w:rPr>
                <w:szCs w:val="21"/>
              </w:rPr>
              <w:t>土壤和沉积物 汞、砷、硒、铋、锑的测定 微波消解/原子荧光法HJ 680-2013</w:t>
            </w:r>
          </w:p>
        </w:tc>
        <w:tc>
          <w:tcPr>
            <w:tcW w:w="2100" w:type="dxa"/>
            <w:tcBorders>
              <w:tl2br w:val="nil"/>
              <w:tr2bl w:val="nil"/>
            </w:tcBorders>
            <w:vAlign w:val="center"/>
          </w:tcPr>
          <w:p w14:paraId="32E89FE7">
            <w:pPr>
              <w:autoSpaceDN w:val="0"/>
              <w:spacing w:before="0" w:beforeLines="0" w:line="240" w:lineRule="auto"/>
              <w:jc w:val="center"/>
              <w:textAlignment w:val="center"/>
              <w:rPr>
                <w:szCs w:val="21"/>
              </w:rPr>
            </w:pPr>
            <w:r>
              <w:rPr>
                <w:szCs w:val="21"/>
              </w:rPr>
              <w:t>原子荧光光度计</w:t>
            </w:r>
          </w:p>
          <w:p w14:paraId="214B3284">
            <w:pPr>
              <w:autoSpaceDN w:val="0"/>
              <w:spacing w:before="0" w:beforeLines="0" w:line="240" w:lineRule="auto"/>
              <w:jc w:val="center"/>
              <w:textAlignment w:val="center"/>
              <w:rPr>
                <w:szCs w:val="21"/>
              </w:rPr>
            </w:pPr>
            <w:r>
              <w:rPr>
                <w:szCs w:val="21"/>
              </w:rPr>
              <w:t>AFS-8510</w:t>
            </w:r>
          </w:p>
          <w:p w14:paraId="5CDDC45F">
            <w:pPr>
              <w:autoSpaceDN w:val="0"/>
              <w:spacing w:before="0" w:beforeLines="0" w:line="240" w:lineRule="auto"/>
              <w:jc w:val="center"/>
              <w:textAlignment w:val="center"/>
              <w:rPr>
                <w:szCs w:val="21"/>
              </w:rPr>
            </w:pPr>
            <w:r>
              <w:rPr>
                <w:szCs w:val="21"/>
              </w:rPr>
              <w:t>SYZZ-SB-044-02</w:t>
            </w:r>
          </w:p>
        </w:tc>
        <w:tc>
          <w:tcPr>
            <w:tcW w:w="876" w:type="dxa"/>
            <w:tcBorders>
              <w:tl2br w:val="nil"/>
              <w:tr2bl w:val="nil"/>
            </w:tcBorders>
            <w:vAlign w:val="center"/>
          </w:tcPr>
          <w:p w14:paraId="42C36939">
            <w:pPr>
              <w:widowControl/>
              <w:spacing w:before="0" w:beforeLines="0" w:line="240" w:lineRule="auto"/>
              <w:jc w:val="center"/>
              <w:textAlignment w:val="center"/>
              <w:rPr>
                <w:kern w:val="0"/>
                <w:szCs w:val="21"/>
                <w:lang w:bidi="ar"/>
              </w:rPr>
            </w:pPr>
            <w:r>
              <w:rPr>
                <w:kern w:val="0"/>
                <w:szCs w:val="21"/>
              </w:rPr>
              <w:t>0.01</w:t>
            </w:r>
          </w:p>
        </w:tc>
        <w:tc>
          <w:tcPr>
            <w:tcW w:w="889" w:type="dxa"/>
            <w:tcBorders>
              <w:tl2br w:val="nil"/>
              <w:tr2bl w:val="nil"/>
            </w:tcBorders>
            <w:vAlign w:val="center"/>
          </w:tcPr>
          <w:p w14:paraId="5DA87B15">
            <w:pPr>
              <w:widowControl/>
              <w:spacing w:before="0" w:beforeLines="0" w:line="240" w:lineRule="auto"/>
              <w:jc w:val="center"/>
              <w:textAlignment w:val="center"/>
              <w:rPr>
                <w:kern w:val="0"/>
                <w:szCs w:val="21"/>
                <w:lang w:bidi="ar"/>
              </w:rPr>
            </w:pPr>
            <w:r>
              <w:rPr>
                <w:kern w:val="0"/>
                <w:szCs w:val="21"/>
              </w:rPr>
              <w:t>mg/kg</w:t>
            </w:r>
          </w:p>
        </w:tc>
      </w:tr>
      <w:tr w14:paraId="795E567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051312E7">
            <w:pPr>
              <w:widowControl/>
              <w:spacing w:before="0" w:beforeLines="0" w:line="240" w:lineRule="auto"/>
              <w:jc w:val="center"/>
              <w:textAlignment w:val="center"/>
              <w:rPr>
                <w:szCs w:val="21"/>
              </w:rPr>
            </w:pPr>
            <w:r>
              <w:rPr>
                <w:kern w:val="0"/>
                <w:szCs w:val="21"/>
                <w:lang w:bidi="ar"/>
              </w:rPr>
              <w:t>2</w:t>
            </w:r>
          </w:p>
        </w:tc>
        <w:tc>
          <w:tcPr>
            <w:tcW w:w="1206" w:type="dxa"/>
            <w:tcBorders>
              <w:tl2br w:val="nil"/>
              <w:tr2bl w:val="nil"/>
            </w:tcBorders>
            <w:vAlign w:val="center"/>
          </w:tcPr>
          <w:p w14:paraId="47C8D433">
            <w:pPr>
              <w:autoSpaceDN w:val="0"/>
              <w:spacing w:before="0" w:beforeLines="0" w:line="240" w:lineRule="auto"/>
              <w:jc w:val="center"/>
              <w:textAlignment w:val="center"/>
              <w:rPr>
                <w:szCs w:val="21"/>
              </w:rPr>
            </w:pPr>
            <w:r>
              <w:rPr>
                <w:szCs w:val="21"/>
              </w:rPr>
              <w:t>镉</w:t>
            </w:r>
          </w:p>
        </w:tc>
        <w:tc>
          <w:tcPr>
            <w:tcW w:w="2793" w:type="dxa"/>
            <w:tcBorders>
              <w:tl2br w:val="nil"/>
              <w:tr2bl w:val="nil"/>
            </w:tcBorders>
            <w:vAlign w:val="center"/>
          </w:tcPr>
          <w:p w14:paraId="7E818FC6">
            <w:pPr>
              <w:autoSpaceDN w:val="0"/>
              <w:spacing w:before="0" w:beforeLines="0" w:line="240" w:lineRule="auto"/>
              <w:jc w:val="center"/>
              <w:textAlignment w:val="center"/>
              <w:rPr>
                <w:szCs w:val="21"/>
              </w:rPr>
            </w:pPr>
            <w:r>
              <w:rPr>
                <w:szCs w:val="21"/>
              </w:rPr>
              <w:t>土壤质量 铅、镉的测定</w:t>
            </w:r>
          </w:p>
          <w:p w14:paraId="4B75AAAC">
            <w:pPr>
              <w:autoSpaceDN w:val="0"/>
              <w:spacing w:before="0" w:beforeLines="0" w:line="240" w:lineRule="auto"/>
              <w:jc w:val="center"/>
              <w:textAlignment w:val="center"/>
              <w:rPr>
                <w:szCs w:val="21"/>
              </w:rPr>
            </w:pPr>
            <w:r>
              <w:rPr>
                <w:szCs w:val="21"/>
              </w:rPr>
              <w:t>石墨炉原子吸收分光光度法GB/T 17141-1997</w:t>
            </w:r>
          </w:p>
        </w:tc>
        <w:tc>
          <w:tcPr>
            <w:tcW w:w="2100" w:type="dxa"/>
            <w:tcBorders>
              <w:tl2br w:val="nil"/>
              <w:tr2bl w:val="nil"/>
            </w:tcBorders>
            <w:vAlign w:val="center"/>
          </w:tcPr>
          <w:p w14:paraId="7C21592E">
            <w:pPr>
              <w:autoSpaceDE w:val="0"/>
              <w:autoSpaceDN w:val="0"/>
              <w:snapToGrid w:val="0"/>
              <w:spacing w:before="0" w:beforeLines="0" w:line="240" w:lineRule="auto"/>
              <w:jc w:val="center"/>
              <w:rPr>
                <w:szCs w:val="21"/>
              </w:rPr>
            </w:pPr>
            <w:r>
              <w:rPr>
                <w:szCs w:val="21"/>
              </w:rPr>
              <w:t>原子吸收分光光度计GGX-830</w:t>
            </w:r>
          </w:p>
          <w:p w14:paraId="26672B9B">
            <w:pPr>
              <w:widowControl/>
              <w:spacing w:before="0" w:beforeLines="0" w:line="240" w:lineRule="auto"/>
              <w:jc w:val="center"/>
              <w:textAlignment w:val="center"/>
              <w:rPr>
                <w:szCs w:val="21"/>
              </w:rPr>
            </w:pPr>
            <w:r>
              <w:rPr>
                <w:szCs w:val="21"/>
              </w:rPr>
              <w:t>SYZZ-SB-029-02</w:t>
            </w:r>
          </w:p>
        </w:tc>
        <w:tc>
          <w:tcPr>
            <w:tcW w:w="876" w:type="dxa"/>
            <w:tcBorders>
              <w:tl2br w:val="nil"/>
              <w:tr2bl w:val="nil"/>
            </w:tcBorders>
            <w:vAlign w:val="center"/>
          </w:tcPr>
          <w:p w14:paraId="5F009061">
            <w:pPr>
              <w:widowControl/>
              <w:spacing w:before="0" w:beforeLines="0" w:line="240" w:lineRule="auto"/>
              <w:jc w:val="center"/>
              <w:textAlignment w:val="center"/>
              <w:rPr>
                <w:kern w:val="0"/>
                <w:szCs w:val="21"/>
                <w:lang w:bidi="ar"/>
              </w:rPr>
            </w:pPr>
            <w:r>
              <w:rPr>
                <w:kern w:val="0"/>
                <w:szCs w:val="21"/>
              </w:rPr>
              <w:t>0.01</w:t>
            </w:r>
          </w:p>
        </w:tc>
        <w:tc>
          <w:tcPr>
            <w:tcW w:w="889" w:type="dxa"/>
            <w:tcBorders>
              <w:tl2br w:val="nil"/>
              <w:tr2bl w:val="nil"/>
            </w:tcBorders>
            <w:vAlign w:val="center"/>
          </w:tcPr>
          <w:p w14:paraId="33AFC67C">
            <w:pPr>
              <w:widowControl/>
              <w:spacing w:before="0" w:beforeLines="0" w:line="240" w:lineRule="auto"/>
              <w:jc w:val="center"/>
              <w:textAlignment w:val="center"/>
              <w:rPr>
                <w:kern w:val="0"/>
                <w:szCs w:val="21"/>
                <w:lang w:bidi="ar"/>
              </w:rPr>
            </w:pPr>
            <w:r>
              <w:rPr>
                <w:kern w:val="0"/>
                <w:szCs w:val="21"/>
              </w:rPr>
              <w:t>mg/kg</w:t>
            </w:r>
          </w:p>
        </w:tc>
      </w:tr>
      <w:tr w14:paraId="1E95B65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33270D43">
            <w:pPr>
              <w:widowControl/>
              <w:spacing w:before="0" w:beforeLines="0" w:line="240" w:lineRule="auto"/>
              <w:jc w:val="center"/>
              <w:textAlignment w:val="center"/>
              <w:rPr>
                <w:szCs w:val="21"/>
              </w:rPr>
            </w:pPr>
            <w:r>
              <w:rPr>
                <w:kern w:val="0"/>
                <w:szCs w:val="21"/>
                <w:lang w:bidi="ar"/>
              </w:rPr>
              <w:t>3</w:t>
            </w:r>
          </w:p>
        </w:tc>
        <w:tc>
          <w:tcPr>
            <w:tcW w:w="1206" w:type="dxa"/>
            <w:tcBorders>
              <w:tl2br w:val="nil"/>
              <w:tr2bl w:val="nil"/>
            </w:tcBorders>
            <w:vAlign w:val="center"/>
          </w:tcPr>
          <w:p w14:paraId="7C347F81">
            <w:pPr>
              <w:autoSpaceDN w:val="0"/>
              <w:spacing w:before="0" w:beforeLines="0" w:line="240" w:lineRule="auto"/>
              <w:jc w:val="center"/>
              <w:textAlignment w:val="center"/>
              <w:rPr>
                <w:szCs w:val="21"/>
              </w:rPr>
            </w:pPr>
            <w:r>
              <w:rPr>
                <w:szCs w:val="21"/>
              </w:rPr>
              <w:t>六价铬</w:t>
            </w:r>
          </w:p>
        </w:tc>
        <w:tc>
          <w:tcPr>
            <w:tcW w:w="2793" w:type="dxa"/>
            <w:tcBorders>
              <w:tl2br w:val="nil"/>
              <w:tr2bl w:val="nil"/>
            </w:tcBorders>
            <w:vAlign w:val="center"/>
          </w:tcPr>
          <w:p w14:paraId="050C729A">
            <w:pPr>
              <w:autoSpaceDN w:val="0"/>
              <w:spacing w:before="0" w:beforeLines="0" w:line="240" w:lineRule="auto"/>
              <w:jc w:val="center"/>
              <w:textAlignment w:val="center"/>
              <w:rPr>
                <w:szCs w:val="21"/>
              </w:rPr>
            </w:pPr>
            <w:r>
              <w:rPr>
                <w:szCs w:val="21"/>
              </w:rPr>
              <w:t>土壤和沉积物 六价铬的测定 碱溶液提取-火焰原子吸收分光光度法HJ 1082-2019</w:t>
            </w:r>
          </w:p>
        </w:tc>
        <w:tc>
          <w:tcPr>
            <w:tcW w:w="2100" w:type="dxa"/>
            <w:tcBorders>
              <w:tl2br w:val="nil"/>
              <w:tr2bl w:val="nil"/>
            </w:tcBorders>
            <w:vAlign w:val="center"/>
          </w:tcPr>
          <w:p w14:paraId="78E3ECF1">
            <w:pPr>
              <w:widowControl/>
              <w:spacing w:before="0" w:beforeLines="0" w:line="240" w:lineRule="auto"/>
              <w:jc w:val="center"/>
              <w:textAlignment w:val="center"/>
              <w:rPr>
                <w:szCs w:val="21"/>
              </w:rPr>
            </w:pPr>
            <w:r>
              <w:rPr>
                <w:szCs w:val="21"/>
              </w:rPr>
              <w:t>原子吸收分光光度计AA-7003</w:t>
            </w:r>
          </w:p>
          <w:p w14:paraId="5B05D0E9">
            <w:pPr>
              <w:autoSpaceDN w:val="0"/>
              <w:spacing w:before="0" w:beforeLines="0" w:line="240" w:lineRule="auto"/>
              <w:jc w:val="center"/>
              <w:textAlignment w:val="center"/>
              <w:rPr>
                <w:szCs w:val="21"/>
              </w:rPr>
            </w:pPr>
            <w:r>
              <w:rPr>
                <w:szCs w:val="21"/>
              </w:rPr>
              <w:t>SYZZ-SB-029-01</w:t>
            </w:r>
          </w:p>
        </w:tc>
        <w:tc>
          <w:tcPr>
            <w:tcW w:w="876" w:type="dxa"/>
            <w:tcBorders>
              <w:tl2br w:val="nil"/>
              <w:tr2bl w:val="nil"/>
            </w:tcBorders>
            <w:vAlign w:val="center"/>
          </w:tcPr>
          <w:p w14:paraId="092C6220">
            <w:pPr>
              <w:widowControl/>
              <w:spacing w:before="0" w:beforeLines="0" w:line="240" w:lineRule="auto"/>
              <w:jc w:val="center"/>
              <w:textAlignment w:val="center"/>
              <w:rPr>
                <w:kern w:val="0"/>
                <w:szCs w:val="21"/>
                <w:lang w:bidi="ar"/>
              </w:rPr>
            </w:pPr>
            <w:r>
              <w:rPr>
                <w:kern w:val="0"/>
                <w:szCs w:val="21"/>
                <w:lang w:bidi="ar"/>
              </w:rPr>
              <w:t>0.5</w:t>
            </w:r>
          </w:p>
        </w:tc>
        <w:tc>
          <w:tcPr>
            <w:tcW w:w="889" w:type="dxa"/>
            <w:tcBorders>
              <w:tl2br w:val="nil"/>
              <w:tr2bl w:val="nil"/>
            </w:tcBorders>
            <w:vAlign w:val="center"/>
          </w:tcPr>
          <w:p w14:paraId="06BD132F">
            <w:pPr>
              <w:widowControl/>
              <w:spacing w:before="0" w:beforeLines="0" w:line="240" w:lineRule="auto"/>
              <w:jc w:val="center"/>
              <w:textAlignment w:val="center"/>
              <w:rPr>
                <w:kern w:val="0"/>
                <w:szCs w:val="21"/>
                <w:lang w:bidi="ar"/>
              </w:rPr>
            </w:pPr>
            <w:r>
              <w:rPr>
                <w:kern w:val="0"/>
                <w:szCs w:val="21"/>
                <w:lang w:bidi="ar"/>
              </w:rPr>
              <w:t>mg/kg</w:t>
            </w:r>
          </w:p>
        </w:tc>
      </w:tr>
      <w:tr w14:paraId="7EB28D2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7080C6EC">
            <w:pPr>
              <w:widowControl/>
              <w:spacing w:before="0" w:beforeLines="0" w:line="240" w:lineRule="auto"/>
              <w:jc w:val="center"/>
              <w:textAlignment w:val="center"/>
              <w:rPr>
                <w:szCs w:val="21"/>
              </w:rPr>
            </w:pPr>
            <w:r>
              <w:rPr>
                <w:kern w:val="0"/>
                <w:szCs w:val="21"/>
                <w:lang w:bidi="ar"/>
              </w:rPr>
              <w:t>4</w:t>
            </w:r>
          </w:p>
        </w:tc>
        <w:tc>
          <w:tcPr>
            <w:tcW w:w="1206" w:type="dxa"/>
            <w:tcBorders>
              <w:tl2br w:val="nil"/>
              <w:tr2bl w:val="nil"/>
            </w:tcBorders>
            <w:vAlign w:val="center"/>
          </w:tcPr>
          <w:p w14:paraId="175C4918">
            <w:pPr>
              <w:autoSpaceDN w:val="0"/>
              <w:spacing w:before="0" w:beforeLines="0" w:line="240" w:lineRule="auto"/>
              <w:jc w:val="center"/>
              <w:textAlignment w:val="center"/>
              <w:rPr>
                <w:szCs w:val="21"/>
              </w:rPr>
            </w:pPr>
            <w:r>
              <w:rPr>
                <w:szCs w:val="21"/>
              </w:rPr>
              <w:t>铜</w:t>
            </w:r>
          </w:p>
        </w:tc>
        <w:tc>
          <w:tcPr>
            <w:tcW w:w="2793" w:type="dxa"/>
            <w:tcBorders>
              <w:tl2br w:val="nil"/>
              <w:tr2bl w:val="nil"/>
            </w:tcBorders>
            <w:vAlign w:val="center"/>
          </w:tcPr>
          <w:p w14:paraId="4A6CCCD9">
            <w:pPr>
              <w:autoSpaceDN w:val="0"/>
              <w:spacing w:before="0" w:beforeLines="0" w:line="240" w:lineRule="auto"/>
              <w:jc w:val="center"/>
              <w:rPr>
                <w:szCs w:val="21"/>
              </w:rPr>
            </w:pPr>
            <w:r>
              <w:rPr>
                <w:szCs w:val="21"/>
              </w:rPr>
              <w:t>土壤和沉积物 铜、锌、铅、镍、铬的测定 火焰原子吸收分光光度法HJ 491-2019</w:t>
            </w:r>
          </w:p>
        </w:tc>
        <w:tc>
          <w:tcPr>
            <w:tcW w:w="2100" w:type="dxa"/>
            <w:tcBorders>
              <w:tl2br w:val="nil"/>
              <w:tr2bl w:val="nil"/>
            </w:tcBorders>
            <w:vAlign w:val="center"/>
          </w:tcPr>
          <w:p w14:paraId="2E10B979">
            <w:pPr>
              <w:widowControl/>
              <w:spacing w:before="0" w:beforeLines="0" w:line="240" w:lineRule="auto"/>
              <w:jc w:val="center"/>
              <w:textAlignment w:val="center"/>
              <w:rPr>
                <w:szCs w:val="21"/>
              </w:rPr>
            </w:pPr>
            <w:r>
              <w:rPr>
                <w:szCs w:val="21"/>
              </w:rPr>
              <w:t>原子吸收分光光度计AA-7003</w:t>
            </w:r>
          </w:p>
          <w:p w14:paraId="52A835D1">
            <w:pPr>
              <w:widowControl/>
              <w:spacing w:before="0" w:beforeLines="0" w:line="240" w:lineRule="auto"/>
              <w:jc w:val="center"/>
              <w:textAlignment w:val="center"/>
              <w:rPr>
                <w:szCs w:val="21"/>
              </w:rPr>
            </w:pPr>
            <w:r>
              <w:rPr>
                <w:szCs w:val="21"/>
              </w:rPr>
              <w:t>SYZZ-SB-029-01</w:t>
            </w:r>
          </w:p>
        </w:tc>
        <w:tc>
          <w:tcPr>
            <w:tcW w:w="876" w:type="dxa"/>
            <w:tcBorders>
              <w:tl2br w:val="nil"/>
              <w:tr2bl w:val="nil"/>
            </w:tcBorders>
            <w:vAlign w:val="center"/>
          </w:tcPr>
          <w:p w14:paraId="1A256B1E">
            <w:pPr>
              <w:widowControl/>
              <w:spacing w:before="0" w:beforeLines="0" w:line="240" w:lineRule="auto"/>
              <w:jc w:val="center"/>
              <w:textAlignment w:val="center"/>
              <w:rPr>
                <w:kern w:val="0"/>
                <w:szCs w:val="21"/>
                <w:lang w:bidi="ar"/>
              </w:rPr>
            </w:pPr>
            <w:r>
              <w:rPr>
                <w:kern w:val="0"/>
                <w:szCs w:val="21"/>
              </w:rPr>
              <w:t>1</w:t>
            </w:r>
          </w:p>
        </w:tc>
        <w:tc>
          <w:tcPr>
            <w:tcW w:w="889" w:type="dxa"/>
            <w:tcBorders>
              <w:tl2br w:val="nil"/>
              <w:tr2bl w:val="nil"/>
            </w:tcBorders>
            <w:vAlign w:val="center"/>
          </w:tcPr>
          <w:p w14:paraId="288B2FB9">
            <w:pPr>
              <w:widowControl/>
              <w:spacing w:before="0" w:beforeLines="0" w:line="240" w:lineRule="auto"/>
              <w:jc w:val="center"/>
              <w:textAlignment w:val="center"/>
              <w:rPr>
                <w:kern w:val="0"/>
                <w:szCs w:val="21"/>
                <w:lang w:bidi="ar"/>
              </w:rPr>
            </w:pPr>
            <w:r>
              <w:rPr>
                <w:kern w:val="0"/>
                <w:szCs w:val="21"/>
              </w:rPr>
              <w:t>mg/kg</w:t>
            </w:r>
          </w:p>
        </w:tc>
      </w:tr>
      <w:tr w14:paraId="0A8C744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22DE96F8">
            <w:pPr>
              <w:widowControl/>
              <w:spacing w:before="0" w:beforeLines="0" w:line="240" w:lineRule="auto"/>
              <w:jc w:val="center"/>
              <w:textAlignment w:val="center"/>
              <w:rPr>
                <w:szCs w:val="21"/>
              </w:rPr>
            </w:pPr>
            <w:r>
              <w:rPr>
                <w:kern w:val="0"/>
                <w:szCs w:val="21"/>
                <w:lang w:bidi="ar"/>
              </w:rPr>
              <w:t>5</w:t>
            </w:r>
          </w:p>
        </w:tc>
        <w:tc>
          <w:tcPr>
            <w:tcW w:w="1206" w:type="dxa"/>
            <w:tcBorders>
              <w:tl2br w:val="nil"/>
              <w:tr2bl w:val="nil"/>
            </w:tcBorders>
            <w:vAlign w:val="center"/>
          </w:tcPr>
          <w:p w14:paraId="505274BF">
            <w:pPr>
              <w:autoSpaceDN w:val="0"/>
              <w:spacing w:before="0" w:beforeLines="0" w:line="240" w:lineRule="auto"/>
              <w:jc w:val="center"/>
              <w:textAlignment w:val="center"/>
              <w:rPr>
                <w:szCs w:val="21"/>
              </w:rPr>
            </w:pPr>
            <w:r>
              <w:rPr>
                <w:szCs w:val="21"/>
              </w:rPr>
              <w:t>铅</w:t>
            </w:r>
          </w:p>
        </w:tc>
        <w:tc>
          <w:tcPr>
            <w:tcW w:w="2793" w:type="dxa"/>
            <w:tcBorders>
              <w:tl2br w:val="nil"/>
              <w:tr2bl w:val="nil"/>
            </w:tcBorders>
            <w:vAlign w:val="center"/>
          </w:tcPr>
          <w:p w14:paraId="06559643">
            <w:pPr>
              <w:autoSpaceDN w:val="0"/>
              <w:spacing w:before="0" w:beforeLines="0" w:line="240" w:lineRule="auto"/>
              <w:jc w:val="center"/>
              <w:textAlignment w:val="center"/>
              <w:rPr>
                <w:szCs w:val="21"/>
              </w:rPr>
            </w:pPr>
            <w:r>
              <w:rPr>
                <w:szCs w:val="21"/>
              </w:rPr>
              <w:t>土壤和沉积物 铜、锌、铅、镍、铬的测定 火焰原子吸收分光光度法HJ 491-2019</w:t>
            </w:r>
          </w:p>
        </w:tc>
        <w:tc>
          <w:tcPr>
            <w:tcW w:w="2100" w:type="dxa"/>
            <w:tcBorders>
              <w:tl2br w:val="nil"/>
              <w:tr2bl w:val="nil"/>
            </w:tcBorders>
            <w:vAlign w:val="center"/>
          </w:tcPr>
          <w:p w14:paraId="64D25994">
            <w:pPr>
              <w:widowControl/>
              <w:spacing w:before="0" w:beforeLines="0" w:line="240" w:lineRule="auto"/>
              <w:jc w:val="center"/>
              <w:textAlignment w:val="center"/>
              <w:rPr>
                <w:szCs w:val="21"/>
              </w:rPr>
            </w:pPr>
            <w:r>
              <w:rPr>
                <w:szCs w:val="21"/>
              </w:rPr>
              <w:t>原子吸收分光光度计AA-7003</w:t>
            </w:r>
          </w:p>
          <w:p w14:paraId="74C37ADF">
            <w:pPr>
              <w:widowControl/>
              <w:spacing w:before="0" w:beforeLines="0" w:line="240" w:lineRule="auto"/>
              <w:jc w:val="center"/>
              <w:textAlignment w:val="center"/>
              <w:rPr>
                <w:szCs w:val="21"/>
              </w:rPr>
            </w:pPr>
            <w:r>
              <w:rPr>
                <w:szCs w:val="21"/>
              </w:rPr>
              <w:t>SYZZ-SB-029-01</w:t>
            </w:r>
          </w:p>
        </w:tc>
        <w:tc>
          <w:tcPr>
            <w:tcW w:w="876" w:type="dxa"/>
            <w:tcBorders>
              <w:tl2br w:val="nil"/>
              <w:tr2bl w:val="nil"/>
            </w:tcBorders>
            <w:vAlign w:val="center"/>
          </w:tcPr>
          <w:p w14:paraId="0A4DC3BD">
            <w:pPr>
              <w:widowControl/>
              <w:spacing w:before="0" w:beforeLines="0" w:line="240" w:lineRule="auto"/>
              <w:jc w:val="center"/>
              <w:textAlignment w:val="center"/>
              <w:rPr>
                <w:kern w:val="0"/>
                <w:szCs w:val="21"/>
                <w:lang w:bidi="ar"/>
              </w:rPr>
            </w:pPr>
            <w:r>
              <w:rPr>
                <w:kern w:val="0"/>
                <w:szCs w:val="21"/>
              </w:rPr>
              <w:t>10</w:t>
            </w:r>
          </w:p>
        </w:tc>
        <w:tc>
          <w:tcPr>
            <w:tcW w:w="889" w:type="dxa"/>
            <w:tcBorders>
              <w:tl2br w:val="nil"/>
              <w:tr2bl w:val="nil"/>
            </w:tcBorders>
            <w:vAlign w:val="center"/>
          </w:tcPr>
          <w:p w14:paraId="645ACD8D">
            <w:pPr>
              <w:widowControl/>
              <w:spacing w:before="0" w:beforeLines="0" w:line="240" w:lineRule="auto"/>
              <w:jc w:val="center"/>
              <w:textAlignment w:val="center"/>
              <w:rPr>
                <w:kern w:val="0"/>
                <w:szCs w:val="21"/>
                <w:lang w:bidi="ar"/>
              </w:rPr>
            </w:pPr>
            <w:r>
              <w:rPr>
                <w:kern w:val="0"/>
                <w:szCs w:val="21"/>
              </w:rPr>
              <w:t>mg/kg</w:t>
            </w:r>
          </w:p>
        </w:tc>
      </w:tr>
      <w:tr w14:paraId="30C22C3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4955FB19">
            <w:pPr>
              <w:widowControl/>
              <w:spacing w:before="0" w:beforeLines="0" w:line="240" w:lineRule="auto"/>
              <w:jc w:val="center"/>
              <w:textAlignment w:val="center"/>
              <w:rPr>
                <w:szCs w:val="21"/>
              </w:rPr>
            </w:pPr>
            <w:r>
              <w:rPr>
                <w:kern w:val="0"/>
                <w:szCs w:val="21"/>
                <w:lang w:bidi="ar"/>
              </w:rPr>
              <w:t>6</w:t>
            </w:r>
          </w:p>
        </w:tc>
        <w:tc>
          <w:tcPr>
            <w:tcW w:w="1206" w:type="dxa"/>
            <w:tcBorders>
              <w:tl2br w:val="nil"/>
              <w:tr2bl w:val="nil"/>
            </w:tcBorders>
            <w:vAlign w:val="center"/>
          </w:tcPr>
          <w:p w14:paraId="028EBB1D">
            <w:pPr>
              <w:autoSpaceDN w:val="0"/>
              <w:spacing w:before="0" w:beforeLines="0" w:line="240" w:lineRule="auto"/>
              <w:jc w:val="center"/>
              <w:textAlignment w:val="center"/>
              <w:rPr>
                <w:szCs w:val="21"/>
              </w:rPr>
            </w:pPr>
            <w:r>
              <w:rPr>
                <w:szCs w:val="21"/>
              </w:rPr>
              <w:t>汞</w:t>
            </w:r>
          </w:p>
        </w:tc>
        <w:tc>
          <w:tcPr>
            <w:tcW w:w="2793" w:type="dxa"/>
            <w:tcBorders>
              <w:tl2br w:val="nil"/>
              <w:tr2bl w:val="nil"/>
            </w:tcBorders>
            <w:vAlign w:val="center"/>
          </w:tcPr>
          <w:p w14:paraId="38ACF086">
            <w:pPr>
              <w:autoSpaceDN w:val="0"/>
              <w:spacing w:before="0" w:beforeLines="0" w:line="240" w:lineRule="auto"/>
              <w:jc w:val="center"/>
              <w:textAlignment w:val="center"/>
              <w:rPr>
                <w:szCs w:val="21"/>
              </w:rPr>
            </w:pPr>
            <w:r>
              <w:rPr>
                <w:szCs w:val="21"/>
              </w:rPr>
              <w:t>土壤和沉积物 汞、砷、硒、铋、锑的测定 微波消解/原子荧光法HJ 680-2013</w:t>
            </w:r>
          </w:p>
        </w:tc>
        <w:tc>
          <w:tcPr>
            <w:tcW w:w="2100" w:type="dxa"/>
            <w:tcBorders>
              <w:tl2br w:val="nil"/>
              <w:tr2bl w:val="nil"/>
            </w:tcBorders>
            <w:vAlign w:val="center"/>
          </w:tcPr>
          <w:p w14:paraId="5D9405DE">
            <w:pPr>
              <w:autoSpaceDN w:val="0"/>
              <w:spacing w:before="0" w:beforeLines="0" w:line="240" w:lineRule="auto"/>
              <w:jc w:val="center"/>
              <w:textAlignment w:val="center"/>
              <w:rPr>
                <w:szCs w:val="21"/>
              </w:rPr>
            </w:pPr>
            <w:r>
              <w:rPr>
                <w:szCs w:val="21"/>
              </w:rPr>
              <w:t>原子荧光光度计</w:t>
            </w:r>
          </w:p>
          <w:p w14:paraId="12B2078B">
            <w:pPr>
              <w:autoSpaceDN w:val="0"/>
              <w:spacing w:before="0" w:beforeLines="0" w:line="240" w:lineRule="auto"/>
              <w:jc w:val="center"/>
              <w:textAlignment w:val="center"/>
              <w:rPr>
                <w:szCs w:val="21"/>
              </w:rPr>
            </w:pPr>
            <w:r>
              <w:rPr>
                <w:szCs w:val="21"/>
              </w:rPr>
              <w:t>AFS-8510</w:t>
            </w:r>
          </w:p>
          <w:p w14:paraId="52D81691">
            <w:pPr>
              <w:autoSpaceDN w:val="0"/>
              <w:spacing w:before="0" w:beforeLines="0" w:line="240" w:lineRule="auto"/>
              <w:jc w:val="center"/>
              <w:textAlignment w:val="center"/>
              <w:rPr>
                <w:szCs w:val="21"/>
              </w:rPr>
            </w:pPr>
            <w:r>
              <w:rPr>
                <w:szCs w:val="21"/>
              </w:rPr>
              <w:t>SYZZ-SB-044-02</w:t>
            </w:r>
          </w:p>
        </w:tc>
        <w:tc>
          <w:tcPr>
            <w:tcW w:w="876" w:type="dxa"/>
            <w:tcBorders>
              <w:tl2br w:val="nil"/>
              <w:tr2bl w:val="nil"/>
            </w:tcBorders>
            <w:vAlign w:val="center"/>
          </w:tcPr>
          <w:p w14:paraId="46E6A5EC">
            <w:pPr>
              <w:widowControl/>
              <w:spacing w:before="0" w:beforeLines="0" w:line="240" w:lineRule="auto"/>
              <w:jc w:val="center"/>
              <w:textAlignment w:val="center"/>
              <w:rPr>
                <w:kern w:val="0"/>
                <w:szCs w:val="21"/>
                <w:lang w:bidi="ar"/>
              </w:rPr>
            </w:pPr>
            <w:r>
              <w:rPr>
                <w:kern w:val="0"/>
                <w:szCs w:val="21"/>
              </w:rPr>
              <w:t>0.002</w:t>
            </w:r>
          </w:p>
        </w:tc>
        <w:tc>
          <w:tcPr>
            <w:tcW w:w="889" w:type="dxa"/>
            <w:tcBorders>
              <w:tl2br w:val="nil"/>
              <w:tr2bl w:val="nil"/>
            </w:tcBorders>
            <w:vAlign w:val="center"/>
          </w:tcPr>
          <w:p w14:paraId="19782222">
            <w:pPr>
              <w:widowControl/>
              <w:spacing w:before="0" w:beforeLines="0" w:line="240" w:lineRule="auto"/>
              <w:jc w:val="center"/>
              <w:textAlignment w:val="center"/>
              <w:rPr>
                <w:kern w:val="0"/>
                <w:szCs w:val="21"/>
                <w:lang w:bidi="ar"/>
              </w:rPr>
            </w:pPr>
            <w:r>
              <w:rPr>
                <w:kern w:val="0"/>
                <w:szCs w:val="21"/>
              </w:rPr>
              <w:t>mg/kg</w:t>
            </w:r>
          </w:p>
        </w:tc>
      </w:tr>
      <w:tr w14:paraId="26DDD48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24265CB2">
            <w:pPr>
              <w:widowControl/>
              <w:spacing w:before="0" w:beforeLines="0" w:line="240" w:lineRule="auto"/>
              <w:jc w:val="center"/>
              <w:textAlignment w:val="center"/>
              <w:rPr>
                <w:szCs w:val="21"/>
              </w:rPr>
            </w:pPr>
            <w:r>
              <w:rPr>
                <w:kern w:val="0"/>
                <w:szCs w:val="21"/>
                <w:lang w:bidi="ar"/>
              </w:rPr>
              <w:t>7</w:t>
            </w:r>
          </w:p>
        </w:tc>
        <w:tc>
          <w:tcPr>
            <w:tcW w:w="1206" w:type="dxa"/>
            <w:tcBorders>
              <w:tl2br w:val="nil"/>
              <w:tr2bl w:val="nil"/>
            </w:tcBorders>
            <w:vAlign w:val="center"/>
          </w:tcPr>
          <w:p w14:paraId="6EBEED08">
            <w:pPr>
              <w:autoSpaceDN w:val="0"/>
              <w:spacing w:before="0" w:beforeLines="0" w:line="240" w:lineRule="auto"/>
              <w:jc w:val="center"/>
              <w:textAlignment w:val="center"/>
              <w:rPr>
                <w:szCs w:val="21"/>
              </w:rPr>
            </w:pPr>
            <w:r>
              <w:rPr>
                <w:szCs w:val="21"/>
              </w:rPr>
              <w:t>镍</w:t>
            </w:r>
          </w:p>
        </w:tc>
        <w:tc>
          <w:tcPr>
            <w:tcW w:w="2793" w:type="dxa"/>
            <w:tcBorders>
              <w:tl2br w:val="nil"/>
              <w:tr2bl w:val="nil"/>
            </w:tcBorders>
            <w:vAlign w:val="center"/>
          </w:tcPr>
          <w:p w14:paraId="2D9839FA">
            <w:pPr>
              <w:autoSpaceDN w:val="0"/>
              <w:spacing w:before="0" w:beforeLines="0" w:line="240" w:lineRule="auto"/>
              <w:jc w:val="center"/>
              <w:textAlignment w:val="center"/>
              <w:rPr>
                <w:szCs w:val="21"/>
              </w:rPr>
            </w:pPr>
            <w:r>
              <w:rPr>
                <w:szCs w:val="21"/>
              </w:rPr>
              <w:t>土壤和沉积物 铜、锌、铅、镍、铬的测定 火焰原子吸收分光光度法HJ 491-2019</w:t>
            </w:r>
          </w:p>
        </w:tc>
        <w:tc>
          <w:tcPr>
            <w:tcW w:w="2100" w:type="dxa"/>
            <w:tcBorders>
              <w:tl2br w:val="nil"/>
              <w:tr2bl w:val="nil"/>
            </w:tcBorders>
            <w:vAlign w:val="center"/>
          </w:tcPr>
          <w:p w14:paraId="28EFC131">
            <w:pPr>
              <w:widowControl/>
              <w:spacing w:before="0" w:beforeLines="0" w:line="240" w:lineRule="auto"/>
              <w:jc w:val="center"/>
              <w:textAlignment w:val="center"/>
              <w:rPr>
                <w:szCs w:val="21"/>
              </w:rPr>
            </w:pPr>
            <w:r>
              <w:rPr>
                <w:szCs w:val="21"/>
              </w:rPr>
              <w:t>原子吸收分光光度计AA-7003</w:t>
            </w:r>
          </w:p>
          <w:p w14:paraId="10D330F9">
            <w:pPr>
              <w:autoSpaceDN w:val="0"/>
              <w:spacing w:before="0" w:beforeLines="0" w:line="240" w:lineRule="auto"/>
              <w:jc w:val="center"/>
              <w:textAlignment w:val="center"/>
              <w:rPr>
                <w:szCs w:val="21"/>
              </w:rPr>
            </w:pPr>
            <w:r>
              <w:rPr>
                <w:szCs w:val="21"/>
              </w:rPr>
              <w:t>SYZZ-SB-029-01</w:t>
            </w:r>
          </w:p>
        </w:tc>
        <w:tc>
          <w:tcPr>
            <w:tcW w:w="876" w:type="dxa"/>
            <w:tcBorders>
              <w:tl2br w:val="nil"/>
              <w:tr2bl w:val="nil"/>
            </w:tcBorders>
            <w:vAlign w:val="center"/>
          </w:tcPr>
          <w:p w14:paraId="110A6E77">
            <w:pPr>
              <w:widowControl/>
              <w:spacing w:before="0" w:beforeLines="0" w:line="240" w:lineRule="auto"/>
              <w:jc w:val="center"/>
              <w:textAlignment w:val="center"/>
              <w:rPr>
                <w:kern w:val="0"/>
                <w:szCs w:val="21"/>
                <w:lang w:bidi="ar"/>
              </w:rPr>
            </w:pPr>
            <w:r>
              <w:rPr>
                <w:kern w:val="0"/>
                <w:szCs w:val="21"/>
              </w:rPr>
              <w:t>3</w:t>
            </w:r>
          </w:p>
        </w:tc>
        <w:tc>
          <w:tcPr>
            <w:tcW w:w="889" w:type="dxa"/>
            <w:tcBorders>
              <w:tl2br w:val="nil"/>
              <w:tr2bl w:val="nil"/>
            </w:tcBorders>
            <w:vAlign w:val="center"/>
          </w:tcPr>
          <w:p w14:paraId="583C92F0">
            <w:pPr>
              <w:widowControl/>
              <w:spacing w:before="0" w:beforeLines="0" w:line="240" w:lineRule="auto"/>
              <w:jc w:val="center"/>
              <w:textAlignment w:val="center"/>
              <w:rPr>
                <w:kern w:val="0"/>
                <w:szCs w:val="21"/>
                <w:lang w:bidi="ar"/>
              </w:rPr>
            </w:pPr>
            <w:r>
              <w:rPr>
                <w:kern w:val="0"/>
                <w:szCs w:val="21"/>
              </w:rPr>
              <w:t>mg/kg</w:t>
            </w:r>
          </w:p>
        </w:tc>
      </w:tr>
      <w:tr w14:paraId="473C536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272E5878">
            <w:pPr>
              <w:widowControl/>
              <w:spacing w:before="0" w:beforeLines="0" w:line="240" w:lineRule="auto"/>
              <w:jc w:val="center"/>
              <w:textAlignment w:val="center"/>
              <w:rPr>
                <w:szCs w:val="21"/>
              </w:rPr>
            </w:pPr>
            <w:r>
              <w:rPr>
                <w:kern w:val="0"/>
                <w:szCs w:val="21"/>
                <w:lang w:bidi="ar"/>
              </w:rPr>
              <w:t>8</w:t>
            </w:r>
          </w:p>
        </w:tc>
        <w:tc>
          <w:tcPr>
            <w:tcW w:w="1206" w:type="dxa"/>
            <w:tcBorders>
              <w:tl2br w:val="nil"/>
              <w:tr2bl w:val="nil"/>
            </w:tcBorders>
            <w:vAlign w:val="center"/>
          </w:tcPr>
          <w:p w14:paraId="3804B3E2">
            <w:pPr>
              <w:autoSpaceDN w:val="0"/>
              <w:spacing w:before="0" w:beforeLines="0" w:line="240" w:lineRule="auto"/>
              <w:jc w:val="center"/>
              <w:textAlignment w:val="center"/>
              <w:rPr>
                <w:szCs w:val="21"/>
              </w:rPr>
            </w:pPr>
            <w:r>
              <w:rPr>
                <w:szCs w:val="21"/>
              </w:rPr>
              <w:t>四氯化碳</w:t>
            </w:r>
          </w:p>
        </w:tc>
        <w:tc>
          <w:tcPr>
            <w:tcW w:w="2793" w:type="dxa"/>
            <w:tcBorders>
              <w:tl2br w:val="nil"/>
              <w:tr2bl w:val="nil"/>
            </w:tcBorders>
            <w:vAlign w:val="center"/>
          </w:tcPr>
          <w:p w14:paraId="2775B919">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14:paraId="6A4ABF4F">
            <w:pPr>
              <w:autoSpaceDN w:val="0"/>
              <w:spacing w:before="0" w:beforeLines="0" w:line="240" w:lineRule="auto"/>
              <w:jc w:val="center"/>
              <w:rPr>
                <w:szCs w:val="21"/>
              </w:rPr>
            </w:pPr>
            <w:r>
              <w:rPr>
                <w:szCs w:val="21"/>
              </w:rPr>
              <w:t>气相色谱质谱仪GCMS-QP2010 SE</w:t>
            </w:r>
          </w:p>
          <w:p w14:paraId="509A21A0">
            <w:pPr>
              <w:widowControl/>
              <w:spacing w:before="0" w:beforeLines="0" w:line="240" w:lineRule="auto"/>
              <w:jc w:val="center"/>
              <w:textAlignment w:val="center"/>
              <w:rPr>
                <w:kern w:val="0"/>
                <w:szCs w:val="21"/>
                <w:lang w:bidi="ar"/>
              </w:rPr>
            </w:pPr>
            <w:r>
              <w:rPr>
                <w:szCs w:val="21"/>
              </w:rPr>
              <w:t>SYZZ-SB-071-04</w:t>
            </w:r>
          </w:p>
        </w:tc>
        <w:tc>
          <w:tcPr>
            <w:tcW w:w="876" w:type="dxa"/>
            <w:tcBorders>
              <w:tl2br w:val="nil"/>
              <w:tr2bl w:val="nil"/>
            </w:tcBorders>
            <w:vAlign w:val="center"/>
          </w:tcPr>
          <w:p w14:paraId="4408CE7E">
            <w:pPr>
              <w:widowControl/>
              <w:spacing w:before="0" w:beforeLines="0" w:line="240" w:lineRule="auto"/>
              <w:jc w:val="center"/>
              <w:textAlignment w:val="center"/>
              <w:rPr>
                <w:kern w:val="0"/>
                <w:szCs w:val="21"/>
                <w:lang w:bidi="ar"/>
              </w:rPr>
            </w:pPr>
            <w:r>
              <w:rPr>
                <w:kern w:val="0"/>
                <w:szCs w:val="21"/>
              </w:rPr>
              <w:t>1.3</w:t>
            </w:r>
          </w:p>
        </w:tc>
        <w:tc>
          <w:tcPr>
            <w:tcW w:w="889" w:type="dxa"/>
            <w:tcBorders>
              <w:tl2br w:val="nil"/>
              <w:tr2bl w:val="nil"/>
            </w:tcBorders>
            <w:vAlign w:val="center"/>
          </w:tcPr>
          <w:p w14:paraId="20E689AC">
            <w:pPr>
              <w:widowControl/>
              <w:spacing w:before="0" w:beforeLines="0" w:line="240" w:lineRule="auto"/>
              <w:jc w:val="center"/>
              <w:textAlignment w:val="center"/>
              <w:rPr>
                <w:kern w:val="0"/>
                <w:szCs w:val="21"/>
                <w:lang w:bidi="ar"/>
              </w:rPr>
            </w:pPr>
            <w:r>
              <w:rPr>
                <w:kern w:val="0"/>
                <w:szCs w:val="21"/>
              </w:rPr>
              <w:t>μg/kg</w:t>
            </w:r>
          </w:p>
        </w:tc>
      </w:tr>
      <w:tr w14:paraId="4B294DF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7058F1BB">
            <w:pPr>
              <w:widowControl/>
              <w:spacing w:before="0" w:beforeLines="0" w:line="240" w:lineRule="auto"/>
              <w:jc w:val="center"/>
              <w:textAlignment w:val="center"/>
              <w:rPr>
                <w:szCs w:val="21"/>
              </w:rPr>
            </w:pPr>
            <w:r>
              <w:rPr>
                <w:kern w:val="0"/>
                <w:szCs w:val="21"/>
                <w:lang w:bidi="ar"/>
              </w:rPr>
              <w:t>9</w:t>
            </w:r>
          </w:p>
        </w:tc>
        <w:tc>
          <w:tcPr>
            <w:tcW w:w="1206" w:type="dxa"/>
            <w:tcBorders>
              <w:tl2br w:val="nil"/>
              <w:tr2bl w:val="nil"/>
            </w:tcBorders>
            <w:vAlign w:val="center"/>
          </w:tcPr>
          <w:p w14:paraId="1F3E862D">
            <w:pPr>
              <w:autoSpaceDN w:val="0"/>
              <w:spacing w:before="0" w:beforeLines="0" w:line="240" w:lineRule="auto"/>
              <w:jc w:val="center"/>
              <w:textAlignment w:val="center"/>
              <w:rPr>
                <w:szCs w:val="21"/>
              </w:rPr>
            </w:pPr>
            <w:r>
              <w:rPr>
                <w:szCs w:val="21"/>
              </w:rPr>
              <w:t>氯仿</w:t>
            </w:r>
          </w:p>
        </w:tc>
        <w:tc>
          <w:tcPr>
            <w:tcW w:w="2793" w:type="dxa"/>
            <w:tcBorders>
              <w:tl2br w:val="nil"/>
              <w:tr2bl w:val="nil"/>
            </w:tcBorders>
            <w:vAlign w:val="center"/>
          </w:tcPr>
          <w:p w14:paraId="3CAE2DE9">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14:paraId="01241B04">
            <w:pPr>
              <w:autoSpaceDN w:val="0"/>
              <w:spacing w:before="0" w:beforeLines="0" w:line="240" w:lineRule="auto"/>
              <w:jc w:val="center"/>
              <w:rPr>
                <w:szCs w:val="21"/>
              </w:rPr>
            </w:pPr>
            <w:r>
              <w:rPr>
                <w:szCs w:val="21"/>
              </w:rPr>
              <w:t>气相色谱质谱仪GCMS-QP2010 SE</w:t>
            </w:r>
          </w:p>
          <w:p w14:paraId="612D13FC">
            <w:pPr>
              <w:widowControl/>
              <w:spacing w:before="0" w:beforeLines="0" w:line="240" w:lineRule="auto"/>
              <w:jc w:val="center"/>
              <w:textAlignment w:val="center"/>
              <w:rPr>
                <w:szCs w:val="21"/>
              </w:rPr>
            </w:pPr>
            <w:r>
              <w:rPr>
                <w:szCs w:val="21"/>
              </w:rPr>
              <w:t>SYZZ-SB-071-04</w:t>
            </w:r>
          </w:p>
        </w:tc>
        <w:tc>
          <w:tcPr>
            <w:tcW w:w="876" w:type="dxa"/>
            <w:tcBorders>
              <w:tl2br w:val="nil"/>
              <w:tr2bl w:val="nil"/>
            </w:tcBorders>
            <w:vAlign w:val="center"/>
          </w:tcPr>
          <w:p w14:paraId="196498D8">
            <w:pPr>
              <w:widowControl/>
              <w:spacing w:before="0" w:beforeLines="0" w:line="240" w:lineRule="auto"/>
              <w:jc w:val="center"/>
              <w:textAlignment w:val="center"/>
              <w:rPr>
                <w:kern w:val="0"/>
                <w:szCs w:val="21"/>
                <w:lang w:bidi="ar"/>
              </w:rPr>
            </w:pPr>
            <w:r>
              <w:rPr>
                <w:kern w:val="0"/>
                <w:szCs w:val="21"/>
              </w:rPr>
              <w:t>1.1</w:t>
            </w:r>
          </w:p>
        </w:tc>
        <w:tc>
          <w:tcPr>
            <w:tcW w:w="889" w:type="dxa"/>
            <w:tcBorders>
              <w:tl2br w:val="nil"/>
              <w:tr2bl w:val="nil"/>
            </w:tcBorders>
            <w:vAlign w:val="center"/>
          </w:tcPr>
          <w:p w14:paraId="434863CB">
            <w:pPr>
              <w:widowControl/>
              <w:spacing w:before="0" w:beforeLines="0" w:line="240" w:lineRule="auto"/>
              <w:jc w:val="center"/>
              <w:textAlignment w:val="center"/>
              <w:rPr>
                <w:kern w:val="0"/>
                <w:szCs w:val="21"/>
                <w:lang w:bidi="ar"/>
              </w:rPr>
            </w:pPr>
            <w:r>
              <w:rPr>
                <w:kern w:val="0"/>
                <w:szCs w:val="21"/>
              </w:rPr>
              <w:t>μg/kg</w:t>
            </w:r>
          </w:p>
        </w:tc>
      </w:tr>
      <w:tr w14:paraId="4FBB000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0AA0FA2A">
            <w:pPr>
              <w:widowControl/>
              <w:spacing w:before="0" w:beforeLines="0" w:line="240" w:lineRule="auto"/>
              <w:jc w:val="center"/>
              <w:textAlignment w:val="center"/>
              <w:rPr>
                <w:szCs w:val="21"/>
              </w:rPr>
            </w:pPr>
            <w:r>
              <w:rPr>
                <w:kern w:val="0"/>
                <w:szCs w:val="21"/>
                <w:lang w:bidi="ar"/>
              </w:rPr>
              <w:t>10</w:t>
            </w:r>
          </w:p>
        </w:tc>
        <w:tc>
          <w:tcPr>
            <w:tcW w:w="1206" w:type="dxa"/>
            <w:tcBorders>
              <w:tl2br w:val="nil"/>
              <w:tr2bl w:val="nil"/>
            </w:tcBorders>
            <w:vAlign w:val="center"/>
          </w:tcPr>
          <w:p w14:paraId="5CA9D348">
            <w:pPr>
              <w:autoSpaceDN w:val="0"/>
              <w:spacing w:before="0" w:beforeLines="0" w:line="240" w:lineRule="auto"/>
              <w:jc w:val="center"/>
              <w:textAlignment w:val="center"/>
              <w:rPr>
                <w:szCs w:val="21"/>
              </w:rPr>
            </w:pPr>
            <w:r>
              <w:rPr>
                <w:szCs w:val="21"/>
              </w:rPr>
              <w:t>氯甲烷</w:t>
            </w:r>
          </w:p>
        </w:tc>
        <w:tc>
          <w:tcPr>
            <w:tcW w:w="2793" w:type="dxa"/>
            <w:tcBorders>
              <w:tl2br w:val="nil"/>
              <w:tr2bl w:val="nil"/>
            </w:tcBorders>
            <w:vAlign w:val="center"/>
          </w:tcPr>
          <w:p w14:paraId="7A1B4992">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14:paraId="03E24CC5">
            <w:pPr>
              <w:autoSpaceDN w:val="0"/>
              <w:spacing w:before="0" w:beforeLines="0" w:line="240" w:lineRule="auto"/>
              <w:jc w:val="center"/>
              <w:rPr>
                <w:szCs w:val="21"/>
              </w:rPr>
            </w:pPr>
            <w:r>
              <w:rPr>
                <w:szCs w:val="21"/>
              </w:rPr>
              <w:t>气相色谱质谱仪GCMS-QP2010 SE</w:t>
            </w:r>
          </w:p>
          <w:p w14:paraId="1BA7D63E">
            <w:pPr>
              <w:widowControl/>
              <w:spacing w:before="0" w:beforeLines="0" w:line="240" w:lineRule="auto"/>
              <w:jc w:val="center"/>
              <w:textAlignment w:val="center"/>
              <w:rPr>
                <w:szCs w:val="21"/>
              </w:rPr>
            </w:pPr>
            <w:r>
              <w:rPr>
                <w:szCs w:val="21"/>
              </w:rPr>
              <w:t>SYZZ-SB-071-04</w:t>
            </w:r>
          </w:p>
        </w:tc>
        <w:tc>
          <w:tcPr>
            <w:tcW w:w="876" w:type="dxa"/>
            <w:tcBorders>
              <w:tl2br w:val="nil"/>
              <w:tr2bl w:val="nil"/>
            </w:tcBorders>
            <w:vAlign w:val="center"/>
          </w:tcPr>
          <w:p w14:paraId="10D2D69A">
            <w:pPr>
              <w:widowControl/>
              <w:spacing w:before="0" w:beforeLines="0" w:line="240" w:lineRule="auto"/>
              <w:jc w:val="center"/>
              <w:textAlignment w:val="center"/>
              <w:rPr>
                <w:kern w:val="0"/>
                <w:szCs w:val="21"/>
                <w:lang w:bidi="ar"/>
              </w:rPr>
            </w:pPr>
            <w:r>
              <w:rPr>
                <w:kern w:val="0"/>
                <w:szCs w:val="21"/>
              </w:rPr>
              <w:t>1.0</w:t>
            </w:r>
          </w:p>
        </w:tc>
        <w:tc>
          <w:tcPr>
            <w:tcW w:w="889" w:type="dxa"/>
            <w:tcBorders>
              <w:tl2br w:val="nil"/>
              <w:tr2bl w:val="nil"/>
            </w:tcBorders>
            <w:vAlign w:val="center"/>
          </w:tcPr>
          <w:p w14:paraId="037F8FC4">
            <w:pPr>
              <w:widowControl/>
              <w:spacing w:before="0" w:beforeLines="0" w:line="240" w:lineRule="auto"/>
              <w:jc w:val="center"/>
              <w:textAlignment w:val="center"/>
              <w:rPr>
                <w:kern w:val="0"/>
                <w:szCs w:val="21"/>
                <w:lang w:bidi="ar"/>
              </w:rPr>
            </w:pPr>
            <w:r>
              <w:rPr>
                <w:kern w:val="0"/>
                <w:szCs w:val="21"/>
              </w:rPr>
              <w:t>μg/kg</w:t>
            </w:r>
          </w:p>
        </w:tc>
      </w:tr>
      <w:tr w14:paraId="47BAD41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53FE1F95">
            <w:pPr>
              <w:widowControl/>
              <w:spacing w:before="0" w:beforeLines="0" w:line="240" w:lineRule="auto"/>
              <w:jc w:val="center"/>
              <w:textAlignment w:val="center"/>
              <w:rPr>
                <w:szCs w:val="21"/>
              </w:rPr>
            </w:pPr>
            <w:r>
              <w:rPr>
                <w:kern w:val="0"/>
                <w:szCs w:val="21"/>
                <w:lang w:bidi="ar"/>
              </w:rPr>
              <w:t>11</w:t>
            </w:r>
          </w:p>
        </w:tc>
        <w:tc>
          <w:tcPr>
            <w:tcW w:w="1206" w:type="dxa"/>
            <w:tcBorders>
              <w:tl2br w:val="nil"/>
              <w:tr2bl w:val="nil"/>
            </w:tcBorders>
            <w:vAlign w:val="center"/>
          </w:tcPr>
          <w:p w14:paraId="570E72B1">
            <w:pPr>
              <w:autoSpaceDN w:val="0"/>
              <w:spacing w:before="0" w:beforeLines="0" w:line="240" w:lineRule="auto"/>
              <w:jc w:val="center"/>
              <w:textAlignment w:val="center"/>
              <w:rPr>
                <w:szCs w:val="21"/>
              </w:rPr>
            </w:pPr>
            <w:r>
              <w:rPr>
                <w:bCs/>
                <w:szCs w:val="21"/>
              </w:rPr>
              <w:t>1，1-二氯乙烷</w:t>
            </w:r>
          </w:p>
        </w:tc>
        <w:tc>
          <w:tcPr>
            <w:tcW w:w="2793" w:type="dxa"/>
            <w:tcBorders>
              <w:tl2br w:val="nil"/>
              <w:tr2bl w:val="nil"/>
            </w:tcBorders>
            <w:vAlign w:val="center"/>
          </w:tcPr>
          <w:p w14:paraId="6052C8CA">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14:paraId="62EDDB13">
            <w:pPr>
              <w:autoSpaceDN w:val="0"/>
              <w:spacing w:before="0" w:beforeLines="0" w:line="240" w:lineRule="auto"/>
              <w:jc w:val="center"/>
              <w:rPr>
                <w:szCs w:val="21"/>
              </w:rPr>
            </w:pPr>
            <w:r>
              <w:rPr>
                <w:szCs w:val="21"/>
              </w:rPr>
              <w:t>气相色谱质谱仪GCMS-QP2010 SE</w:t>
            </w:r>
          </w:p>
          <w:p w14:paraId="59FA651B">
            <w:pPr>
              <w:widowControl/>
              <w:spacing w:before="0" w:beforeLines="0" w:line="240" w:lineRule="auto"/>
              <w:jc w:val="center"/>
              <w:textAlignment w:val="center"/>
              <w:rPr>
                <w:szCs w:val="21"/>
              </w:rPr>
            </w:pPr>
            <w:r>
              <w:rPr>
                <w:szCs w:val="21"/>
              </w:rPr>
              <w:t>SYZZ-SB-071-04</w:t>
            </w:r>
          </w:p>
        </w:tc>
        <w:tc>
          <w:tcPr>
            <w:tcW w:w="876" w:type="dxa"/>
            <w:tcBorders>
              <w:tl2br w:val="nil"/>
              <w:tr2bl w:val="nil"/>
            </w:tcBorders>
            <w:vAlign w:val="center"/>
          </w:tcPr>
          <w:p w14:paraId="7605AAA7">
            <w:pPr>
              <w:widowControl/>
              <w:spacing w:before="0" w:beforeLines="0" w:line="240" w:lineRule="auto"/>
              <w:jc w:val="center"/>
              <w:textAlignment w:val="center"/>
              <w:rPr>
                <w:kern w:val="0"/>
                <w:szCs w:val="21"/>
                <w:lang w:bidi="ar"/>
              </w:rPr>
            </w:pPr>
            <w:r>
              <w:rPr>
                <w:kern w:val="0"/>
                <w:szCs w:val="21"/>
              </w:rPr>
              <w:t>1.2</w:t>
            </w:r>
          </w:p>
        </w:tc>
        <w:tc>
          <w:tcPr>
            <w:tcW w:w="889" w:type="dxa"/>
            <w:tcBorders>
              <w:tl2br w:val="nil"/>
              <w:tr2bl w:val="nil"/>
            </w:tcBorders>
            <w:vAlign w:val="center"/>
          </w:tcPr>
          <w:p w14:paraId="5270AD72">
            <w:pPr>
              <w:widowControl/>
              <w:spacing w:before="0" w:beforeLines="0" w:line="240" w:lineRule="auto"/>
              <w:jc w:val="center"/>
              <w:textAlignment w:val="center"/>
              <w:rPr>
                <w:kern w:val="0"/>
                <w:szCs w:val="21"/>
                <w:lang w:bidi="ar"/>
              </w:rPr>
            </w:pPr>
            <w:r>
              <w:rPr>
                <w:kern w:val="0"/>
                <w:szCs w:val="21"/>
              </w:rPr>
              <w:t>μg/kg</w:t>
            </w:r>
          </w:p>
        </w:tc>
      </w:tr>
      <w:tr w14:paraId="2A68615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656762DA">
            <w:pPr>
              <w:widowControl/>
              <w:spacing w:before="0" w:beforeLines="0" w:line="240" w:lineRule="auto"/>
              <w:jc w:val="center"/>
              <w:textAlignment w:val="center"/>
              <w:rPr>
                <w:szCs w:val="21"/>
              </w:rPr>
            </w:pPr>
            <w:r>
              <w:rPr>
                <w:kern w:val="0"/>
                <w:szCs w:val="21"/>
                <w:lang w:bidi="ar"/>
              </w:rPr>
              <w:t>12</w:t>
            </w:r>
          </w:p>
        </w:tc>
        <w:tc>
          <w:tcPr>
            <w:tcW w:w="1206" w:type="dxa"/>
            <w:tcBorders>
              <w:tl2br w:val="nil"/>
              <w:tr2bl w:val="nil"/>
            </w:tcBorders>
            <w:vAlign w:val="center"/>
          </w:tcPr>
          <w:p w14:paraId="4A481FA2">
            <w:pPr>
              <w:autoSpaceDN w:val="0"/>
              <w:spacing w:before="0" w:beforeLines="0" w:line="240" w:lineRule="auto"/>
              <w:jc w:val="center"/>
              <w:textAlignment w:val="center"/>
              <w:rPr>
                <w:szCs w:val="21"/>
              </w:rPr>
            </w:pPr>
            <w:r>
              <w:rPr>
                <w:bCs/>
                <w:szCs w:val="21"/>
              </w:rPr>
              <w:t>1，2-二氯乙烷</w:t>
            </w:r>
          </w:p>
        </w:tc>
        <w:tc>
          <w:tcPr>
            <w:tcW w:w="2793" w:type="dxa"/>
            <w:tcBorders>
              <w:tl2br w:val="nil"/>
              <w:tr2bl w:val="nil"/>
            </w:tcBorders>
            <w:vAlign w:val="center"/>
          </w:tcPr>
          <w:p w14:paraId="4BF26CE8">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14:paraId="2E48DF11">
            <w:pPr>
              <w:autoSpaceDN w:val="0"/>
              <w:spacing w:before="0" w:beforeLines="0" w:line="240" w:lineRule="auto"/>
              <w:jc w:val="center"/>
              <w:rPr>
                <w:szCs w:val="21"/>
              </w:rPr>
            </w:pPr>
            <w:r>
              <w:rPr>
                <w:szCs w:val="21"/>
              </w:rPr>
              <w:t>气相色谱质谱仪GCMS-QP2010 SE</w:t>
            </w:r>
          </w:p>
          <w:p w14:paraId="3CA26066">
            <w:pPr>
              <w:autoSpaceDN w:val="0"/>
              <w:spacing w:before="0" w:beforeLines="0" w:line="240" w:lineRule="auto"/>
              <w:jc w:val="center"/>
              <w:textAlignment w:val="center"/>
              <w:rPr>
                <w:szCs w:val="21"/>
              </w:rPr>
            </w:pPr>
            <w:r>
              <w:rPr>
                <w:szCs w:val="21"/>
              </w:rPr>
              <w:t>SYZZ-SB-071-04</w:t>
            </w:r>
          </w:p>
        </w:tc>
        <w:tc>
          <w:tcPr>
            <w:tcW w:w="876" w:type="dxa"/>
            <w:tcBorders>
              <w:tl2br w:val="nil"/>
              <w:tr2bl w:val="nil"/>
            </w:tcBorders>
            <w:vAlign w:val="center"/>
          </w:tcPr>
          <w:p w14:paraId="3C58FEFF">
            <w:pPr>
              <w:widowControl/>
              <w:spacing w:before="0" w:beforeLines="0" w:line="240" w:lineRule="auto"/>
              <w:jc w:val="center"/>
              <w:textAlignment w:val="center"/>
              <w:rPr>
                <w:kern w:val="0"/>
                <w:szCs w:val="21"/>
                <w:lang w:bidi="ar"/>
              </w:rPr>
            </w:pPr>
            <w:r>
              <w:rPr>
                <w:kern w:val="0"/>
                <w:szCs w:val="21"/>
              </w:rPr>
              <w:t>1.3</w:t>
            </w:r>
          </w:p>
        </w:tc>
        <w:tc>
          <w:tcPr>
            <w:tcW w:w="889" w:type="dxa"/>
            <w:tcBorders>
              <w:tl2br w:val="nil"/>
              <w:tr2bl w:val="nil"/>
            </w:tcBorders>
            <w:vAlign w:val="center"/>
          </w:tcPr>
          <w:p w14:paraId="3D3B6397">
            <w:pPr>
              <w:widowControl/>
              <w:spacing w:before="0" w:beforeLines="0" w:line="240" w:lineRule="auto"/>
              <w:jc w:val="center"/>
              <w:textAlignment w:val="center"/>
              <w:rPr>
                <w:kern w:val="0"/>
                <w:szCs w:val="21"/>
                <w:lang w:bidi="ar"/>
              </w:rPr>
            </w:pPr>
            <w:r>
              <w:rPr>
                <w:kern w:val="0"/>
                <w:szCs w:val="21"/>
              </w:rPr>
              <w:t>μg/kg</w:t>
            </w:r>
          </w:p>
        </w:tc>
      </w:tr>
      <w:tr w14:paraId="102DB01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016BE788">
            <w:pPr>
              <w:widowControl/>
              <w:spacing w:before="0" w:beforeLines="0" w:line="240" w:lineRule="auto"/>
              <w:jc w:val="center"/>
              <w:textAlignment w:val="center"/>
              <w:rPr>
                <w:szCs w:val="21"/>
              </w:rPr>
            </w:pPr>
            <w:r>
              <w:rPr>
                <w:kern w:val="0"/>
                <w:szCs w:val="21"/>
                <w:lang w:bidi="ar"/>
              </w:rPr>
              <w:t>13</w:t>
            </w:r>
          </w:p>
        </w:tc>
        <w:tc>
          <w:tcPr>
            <w:tcW w:w="1206" w:type="dxa"/>
            <w:tcBorders>
              <w:tl2br w:val="nil"/>
              <w:tr2bl w:val="nil"/>
            </w:tcBorders>
            <w:vAlign w:val="center"/>
          </w:tcPr>
          <w:p w14:paraId="239E0F78">
            <w:pPr>
              <w:adjustRightInd w:val="0"/>
              <w:snapToGrid w:val="0"/>
              <w:spacing w:before="0" w:beforeLines="0" w:line="240" w:lineRule="auto"/>
              <w:jc w:val="center"/>
              <w:rPr>
                <w:szCs w:val="21"/>
              </w:rPr>
            </w:pPr>
            <w:r>
              <w:rPr>
                <w:bCs/>
                <w:szCs w:val="21"/>
              </w:rPr>
              <w:t>1，1-二氯乙烯</w:t>
            </w:r>
          </w:p>
        </w:tc>
        <w:tc>
          <w:tcPr>
            <w:tcW w:w="2793" w:type="dxa"/>
            <w:tcBorders>
              <w:tl2br w:val="nil"/>
              <w:tr2bl w:val="nil"/>
            </w:tcBorders>
            <w:vAlign w:val="center"/>
          </w:tcPr>
          <w:p w14:paraId="01C437E1">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14:paraId="5FA06414">
            <w:pPr>
              <w:autoSpaceDN w:val="0"/>
              <w:spacing w:before="0" w:beforeLines="0" w:line="240" w:lineRule="auto"/>
              <w:jc w:val="center"/>
              <w:rPr>
                <w:szCs w:val="21"/>
              </w:rPr>
            </w:pPr>
            <w:r>
              <w:rPr>
                <w:szCs w:val="21"/>
              </w:rPr>
              <w:t>气相色谱质谱仪GCMS-QP2010 SE</w:t>
            </w:r>
          </w:p>
          <w:p w14:paraId="272C3158">
            <w:pPr>
              <w:widowControl/>
              <w:autoSpaceDN w:val="0"/>
              <w:spacing w:before="0" w:beforeLines="0" w:line="240" w:lineRule="auto"/>
              <w:jc w:val="center"/>
              <w:textAlignment w:val="center"/>
              <w:rPr>
                <w:szCs w:val="21"/>
              </w:rPr>
            </w:pPr>
            <w:r>
              <w:rPr>
                <w:szCs w:val="21"/>
              </w:rPr>
              <w:t>SYZZ-SB-071-04</w:t>
            </w:r>
          </w:p>
        </w:tc>
        <w:tc>
          <w:tcPr>
            <w:tcW w:w="876" w:type="dxa"/>
            <w:tcBorders>
              <w:tl2br w:val="nil"/>
              <w:tr2bl w:val="nil"/>
            </w:tcBorders>
            <w:vAlign w:val="center"/>
          </w:tcPr>
          <w:p w14:paraId="656DB623">
            <w:pPr>
              <w:widowControl/>
              <w:spacing w:before="0" w:beforeLines="0" w:line="240" w:lineRule="auto"/>
              <w:jc w:val="center"/>
              <w:textAlignment w:val="center"/>
              <w:rPr>
                <w:kern w:val="0"/>
                <w:szCs w:val="21"/>
                <w:lang w:bidi="ar"/>
              </w:rPr>
            </w:pPr>
            <w:r>
              <w:rPr>
                <w:kern w:val="0"/>
                <w:szCs w:val="21"/>
              </w:rPr>
              <w:t>1.0</w:t>
            </w:r>
          </w:p>
        </w:tc>
        <w:tc>
          <w:tcPr>
            <w:tcW w:w="889" w:type="dxa"/>
            <w:tcBorders>
              <w:tl2br w:val="nil"/>
              <w:tr2bl w:val="nil"/>
            </w:tcBorders>
            <w:vAlign w:val="center"/>
          </w:tcPr>
          <w:p w14:paraId="3CF14D42">
            <w:pPr>
              <w:widowControl/>
              <w:spacing w:before="0" w:beforeLines="0" w:line="240" w:lineRule="auto"/>
              <w:jc w:val="center"/>
              <w:textAlignment w:val="center"/>
              <w:rPr>
                <w:kern w:val="0"/>
                <w:szCs w:val="21"/>
                <w:lang w:bidi="ar"/>
              </w:rPr>
            </w:pPr>
            <w:r>
              <w:rPr>
                <w:kern w:val="0"/>
                <w:szCs w:val="21"/>
              </w:rPr>
              <w:t>μg/kg</w:t>
            </w:r>
          </w:p>
        </w:tc>
      </w:tr>
      <w:tr w14:paraId="074CFAC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43C88D3D">
            <w:pPr>
              <w:widowControl/>
              <w:spacing w:before="0" w:beforeLines="0" w:line="240" w:lineRule="auto"/>
              <w:jc w:val="center"/>
              <w:textAlignment w:val="center"/>
              <w:rPr>
                <w:szCs w:val="21"/>
              </w:rPr>
            </w:pPr>
            <w:r>
              <w:rPr>
                <w:kern w:val="0"/>
                <w:szCs w:val="21"/>
                <w:lang w:bidi="ar"/>
              </w:rPr>
              <w:t>14</w:t>
            </w:r>
          </w:p>
        </w:tc>
        <w:tc>
          <w:tcPr>
            <w:tcW w:w="1206" w:type="dxa"/>
            <w:tcBorders>
              <w:tl2br w:val="nil"/>
              <w:tr2bl w:val="nil"/>
            </w:tcBorders>
            <w:vAlign w:val="center"/>
          </w:tcPr>
          <w:p w14:paraId="7FDF29CF">
            <w:pPr>
              <w:autoSpaceDN w:val="0"/>
              <w:spacing w:before="0" w:beforeLines="0" w:line="240" w:lineRule="auto"/>
              <w:jc w:val="center"/>
              <w:textAlignment w:val="center"/>
              <w:rPr>
                <w:szCs w:val="21"/>
              </w:rPr>
            </w:pPr>
            <w:r>
              <w:rPr>
                <w:bCs/>
                <w:szCs w:val="21"/>
              </w:rPr>
              <w:t>顺式-1，2-二氯乙烯</w:t>
            </w:r>
          </w:p>
        </w:tc>
        <w:tc>
          <w:tcPr>
            <w:tcW w:w="2793" w:type="dxa"/>
            <w:tcBorders>
              <w:tl2br w:val="nil"/>
              <w:tr2bl w:val="nil"/>
            </w:tcBorders>
            <w:vAlign w:val="center"/>
          </w:tcPr>
          <w:p w14:paraId="2F53E36F">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14:paraId="4048EF44">
            <w:pPr>
              <w:autoSpaceDN w:val="0"/>
              <w:spacing w:before="0" w:beforeLines="0" w:line="240" w:lineRule="auto"/>
              <w:jc w:val="center"/>
              <w:rPr>
                <w:szCs w:val="21"/>
              </w:rPr>
            </w:pPr>
            <w:r>
              <w:rPr>
                <w:szCs w:val="21"/>
              </w:rPr>
              <w:t>气相色谱质谱仪GCMS-QP2010 SE</w:t>
            </w:r>
          </w:p>
          <w:p w14:paraId="490FEAA8">
            <w:pPr>
              <w:autoSpaceDN w:val="0"/>
              <w:spacing w:before="0" w:beforeLines="0" w:line="240" w:lineRule="auto"/>
              <w:jc w:val="center"/>
              <w:textAlignment w:val="center"/>
              <w:rPr>
                <w:szCs w:val="21"/>
              </w:rPr>
            </w:pPr>
            <w:r>
              <w:rPr>
                <w:szCs w:val="21"/>
              </w:rPr>
              <w:t>SYZZ-SB-071-04</w:t>
            </w:r>
          </w:p>
        </w:tc>
        <w:tc>
          <w:tcPr>
            <w:tcW w:w="876" w:type="dxa"/>
            <w:tcBorders>
              <w:tl2br w:val="nil"/>
              <w:tr2bl w:val="nil"/>
            </w:tcBorders>
            <w:vAlign w:val="center"/>
          </w:tcPr>
          <w:p w14:paraId="02A9F88A">
            <w:pPr>
              <w:widowControl/>
              <w:spacing w:before="0" w:beforeLines="0" w:line="240" w:lineRule="auto"/>
              <w:jc w:val="center"/>
              <w:textAlignment w:val="center"/>
              <w:rPr>
                <w:kern w:val="0"/>
                <w:szCs w:val="21"/>
                <w:lang w:bidi="ar"/>
              </w:rPr>
            </w:pPr>
            <w:r>
              <w:rPr>
                <w:kern w:val="0"/>
                <w:szCs w:val="21"/>
              </w:rPr>
              <w:t>1.3</w:t>
            </w:r>
          </w:p>
        </w:tc>
        <w:tc>
          <w:tcPr>
            <w:tcW w:w="889" w:type="dxa"/>
            <w:tcBorders>
              <w:tl2br w:val="nil"/>
              <w:tr2bl w:val="nil"/>
            </w:tcBorders>
            <w:vAlign w:val="center"/>
          </w:tcPr>
          <w:p w14:paraId="4DB080E0">
            <w:pPr>
              <w:widowControl/>
              <w:spacing w:before="0" w:beforeLines="0" w:line="240" w:lineRule="auto"/>
              <w:jc w:val="center"/>
              <w:textAlignment w:val="center"/>
              <w:rPr>
                <w:kern w:val="0"/>
                <w:szCs w:val="21"/>
                <w:lang w:bidi="ar"/>
              </w:rPr>
            </w:pPr>
            <w:r>
              <w:rPr>
                <w:kern w:val="0"/>
                <w:szCs w:val="21"/>
              </w:rPr>
              <w:t>μg/kg</w:t>
            </w:r>
          </w:p>
        </w:tc>
      </w:tr>
      <w:tr w14:paraId="30DFCFC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2F3E6AC2">
            <w:pPr>
              <w:widowControl/>
              <w:spacing w:before="0" w:beforeLines="0" w:line="240" w:lineRule="auto"/>
              <w:jc w:val="center"/>
              <w:textAlignment w:val="center"/>
              <w:rPr>
                <w:szCs w:val="21"/>
              </w:rPr>
            </w:pPr>
            <w:r>
              <w:rPr>
                <w:kern w:val="0"/>
                <w:szCs w:val="21"/>
                <w:lang w:bidi="ar"/>
              </w:rPr>
              <w:t>15</w:t>
            </w:r>
          </w:p>
        </w:tc>
        <w:tc>
          <w:tcPr>
            <w:tcW w:w="1206" w:type="dxa"/>
            <w:tcBorders>
              <w:tl2br w:val="nil"/>
              <w:tr2bl w:val="nil"/>
            </w:tcBorders>
            <w:vAlign w:val="center"/>
          </w:tcPr>
          <w:p w14:paraId="0892579E">
            <w:pPr>
              <w:autoSpaceDN w:val="0"/>
              <w:spacing w:before="0" w:beforeLines="0" w:line="240" w:lineRule="auto"/>
              <w:jc w:val="center"/>
              <w:textAlignment w:val="center"/>
              <w:rPr>
                <w:szCs w:val="21"/>
              </w:rPr>
            </w:pPr>
            <w:r>
              <w:rPr>
                <w:bCs/>
                <w:szCs w:val="21"/>
              </w:rPr>
              <w:t>反式-1，2-二氯乙烯</w:t>
            </w:r>
          </w:p>
        </w:tc>
        <w:tc>
          <w:tcPr>
            <w:tcW w:w="2793" w:type="dxa"/>
            <w:tcBorders>
              <w:tl2br w:val="nil"/>
              <w:tr2bl w:val="nil"/>
            </w:tcBorders>
            <w:vAlign w:val="center"/>
          </w:tcPr>
          <w:p w14:paraId="7137F248">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14:paraId="0A56A29B">
            <w:pPr>
              <w:autoSpaceDN w:val="0"/>
              <w:spacing w:before="0" w:beforeLines="0" w:line="240" w:lineRule="auto"/>
              <w:jc w:val="center"/>
              <w:rPr>
                <w:szCs w:val="21"/>
              </w:rPr>
            </w:pPr>
            <w:r>
              <w:rPr>
                <w:szCs w:val="21"/>
              </w:rPr>
              <w:t>气相色谱质谱仪GCMS-QP2010 SE</w:t>
            </w:r>
          </w:p>
          <w:p w14:paraId="38A8BDE5">
            <w:pPr>
              <w:widowControl/>
              <w:autoSpaceDN w:val="0"/>
              <w:spacing w:before="0" w:beforeLines="0" w:line="240" w:lineRule="auto"/>
              <w:jc w:val="center"/>
              <w:textAlignment w:val="center"/>
              <w:rPr>
                <w:szCs w:val="21"/>
              </w:rPr>
            </w:pPr>
            <w:r>
              <w:rPr>
                <w:szCs w:val="21"/>
              </w:rPr>
              <w:t>SYZZ-SB-071-04</w:t>
            </w:r>
          </w:p>
        </w:tc>
        <w:tc>
          <w:tcPr>
            <w:tcW w:w="876" w:type="dxa"/>
            <w:tcBorders>
              <w:tl2br w:val="nil"/>
              <w:tr2bl w:val="nil"/>
            </w:tcBorders>
            <w:vAlign w:val="center"/>
          </w:tcPr>
          <w:p w14:paraId="3C89CCC3">
            <w:pPr>
              <w:widowControl/>
              <w:spacing w:before="0" w:beforeLines="0" w:line="240" w:lineRule="auto"/>
              <w:jc w:val="center"/>
              <w:textAlignment w:val="center"/>
              <w:rPr>
                <w:kern w:val="0"/>
                <w:szCs w:val="21"/>
                <w:lang w:bidi="ar"/>
              </w:rPr>
            </w:pPr>
            <w:r>
              <w:rPr>
                <w:kern w:val="0"/>
                <w:szCs w:val="21"/>
              </w:rPr>
              <w:t>1.4</w:t>
            </w:r>
          </w:p>
        </w:tc>
        <w:tc>
          <w:tcPr>
            <w:tcW w:w="889" w:type="dxa"/>
            <w:tcBorders>
              <w:tl2br w:val="nil"/>
              <w:tr2bl w:val="nil"/>
            </w:tcBorders>
            <w:vAlign w:val="center"/>
          </w:tcPr>
          <w:p w14:paraId="0D813520">
            <w:pPr>
              <w:widowControl/>
              <w:spacing w:before="0" w:beforeLines="0" w:line="240" w:lineRule="auto"/>
              <w:jc w:val="center"/>
              <w:textAlignment w:val="center"/>
              <w:rPr>
                <w:kern w:val="0"/>
                <w:szCs w:val="21"/>
                <w:lang w:bidi="ar"/>
              </w:rPr>
            </w:pPr>
            <w:r>
              <w:rPr>
                <w:kern w:val="0"/>
                <w:szCs w:val="21"/>
              </w:rPr>
              <w:t>μg/kg</w:t>
            </w:r>
          </w:p>
        </w:tc>
      </w:tr>
      <w:tr w14:paraId="36008A6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15323C17">
            <w:pPr>
              <w:widowControl/>
              <w:spacing w:before="0" w:beforeLines="0" w:line="240" w:lineRule="auto"/>
              <w:jc w:val="center"/>
              <w:textAlignment w:val="center"/>
              <w:rPr>
                <w:szCs w:val="21"/>
              </w:rPr>
            </w:pPr>
            <w:r>
              <w:rPr>
                <w:kern w:val="0"/>
                <w:szCs w:val="21"/>
                <w:lang w:bidi="ar"/>
              </w:rPr>
              <w:t>16</w:t>
            </w:r>
          </w:p>
        </w:tc>
        <w:tc>
          <w:tcPr>
            <w:tcW w:w="1206" w:type="dxa"/>
            <w:tcBorders>
              <w:tl2br w:val="nil"/>
              <w:tr2bl w:val="nil"/>
            </w:tcBorders>
            <w:vAlign w:val="center"/>
          </w:tcPr>
          <w:p w14:paraId="43380670">
            <w:pPr>
              <w:autoSpaceDN w:val="0"/>
              <w:spacing w:before="0" w:beforeLines="0" w:line="240" w:lineRule="auto"/>
              <w:jc w:val="center"/>
              <w:textAlignment w:val="center"/>
              <w:rPr>
                <w:szCs w:val="21"/>
              </w:rPr>
            </w:pPr>
            <w:r>
              <w:rPr>
                <w:bCs/>
                <w:szCs w:val="21"/>
              </w:rPr>
              <w:t>二氯甲烷</w:t>
            </w:r>
          </w:p>
        </w:tc>
        <w:tc>
          <w:tcPr>
            <w:tcW w:w="2793" w:type="dxa"/>
            <w:tcBorders>
              <w:tl2br w:val="nil"/>
              <w:tr2bl w:val="nil"/>
            </w:tcBorders>
            <w:vAlign w:val="center"/>
          </w:tcPr>
          <w:p w14:paraId="575BC67C">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14:paraId="76DA6E0B">
            <w:pPr>
              <w:autoSpaceDN w:val="0"/>
              <w:spacing w:before="0" w:beforeLines="0" w:line="240" w:lineRule="auto"/>
              <w:jc w:val="center"/>
              <w:rPr>
                <w:szCs w:val="21"/>
              </w:rPr>
            </w:pPr>
            <w:r>
              <w:rPr>
                <w:szCs w:val="21"/>
              </w:rPr>
              <w:t>气相色谱质谱仪GCMS-QP2010 SE</w:t>
            </w:r>
          </w:p>
          <w:p w14:paraId="34BC8486">
            <w:pPr>
              <w:autoSpaceDN w:val="0"/>
              <w:spacing w:before="0" w:beforeLines="0" w:line="240" w:lineRule="auto"/>
              <w:jc w:val="center"/>
              <w:textAlignment w:val="center"/>
              <w:rPr>
                <w:szCs w:val="21"/>
              </w:rPr>
            </w:pPr>
            <w:r>
              <w:rPr>
                <w:szCs w:val="21"/>
              </w:rPr>
              <w:t>SYZZ-SB-071-04</w:t>
            </w:r>
          </w:p>
        </w:tc>
        <w:tc>
          <w:tcPr>
            <w:tcW w:w="876" w:type="dxa"/>
            <w:tcBorders>
              <w:tl2br w:val="nil"/>
              <w:tr2bl w:val="nil"/>
            </w:tcBorders>
            <w:vAlign w:val="center"/>
          </w:tcPr>
          <w:p w14:paraId="3F34CB24">
            <w:pPr>
              <w:widowControl/>
              <w:spacing w:before="0" w:beforeLines="0" w:line="240" w:lineRule="auto"/>
              <w:jc w:val="center"/>
              <w:textAlignment w:val="center"/>
              <w:rPr>
                <w:kern w:val="0"/>
                <w:szCs w:val="21"/>
                <w:lang w:bidi="ar"/>
              </w:rPr>
            </w:pPr>
            <w:r>
              <w:rPr>
                <w:kern w:val="0"/>
                <w:szCs w:val="21"/>
              </w:rPr>
              <w:t>1.5</w:t>
            </w:r>
          </w:p>
        </w:tc>
        <w:tc>
          <w:tcPr>
            <w:tcW w:w="889" w:type="dxa"/>
            <w:tcBorders>
              <w:tl2br w:val="nil"/>
              <w:tr2bl w:val="nil"/>
            </w:tcBorders>
            <w:vAlign w:val="center"/>
          </w:tcPr>
          <w:p w14:paraId="67620256">
            <w:pPr>
              <w:widowControl/>
              <w:spacing w:before="0" w:beforeLines="0" w:line="240" w:lineRule="auto"/>
              <w:jc w:val="center"/>
              <w:textAlignment w:val="center"/>
              <w:rPr>
                <w:kern w:val="0"/>
                <w:szCs w:val="21"/>
                <w:lang w:bidi="ar"/>
              </w:rPr>
            </w:pPr>
            <w:r>
              <w:rPr>
                <w:kern w:val="0"/>
                <w:szCs w:val="21"/>
              </w:rPr>
              <w:t>μg/kg</w:t>
            </w:r>
          </w:p>
        </w:tc>
      </w:tr>
      <w:tr w14:paraId="318D5AD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4DCAD0EF">
            <w:pPr>
              <w:widowControl/>
              <w:spacing w:before="0" w:beforeLines="0" w:line="240" w:lineRule="auto"/>
              <w:jc w:val="center"/>
              <w:textAlignment w:val="center"/>
              <w:rPr>
                <w:szCs w:val="21"/>
              </w:rPr>
            </w:pPr>
            <w:r>
              <w:rPr>
                <w:kern w:val="0"/>
                <w:szCs w:val="21"/>
                <w:lang w:bidi="ar"/>
              </w:rPr>
              <w:t>17</w:t>
            </w:r>
          </w:p>
        </w:tc>
        <w:tc>
          <w:tcPr>
            <w:tcW w:w="1206" w:type="dxa"/>
            <w:tcBorders>
              <w:tl2br w:val="nil"/>
              <w:tr2bl w:val="nil"/>
            </w:tcBorders>
            <w:vAlign w:val="center"/>
          </w:tcPr>
          <w:p w14:paraId="78BE4526">
            <w:pPr>
              <w:autoSpaceDN w:val="0"/>
              <w:spacing w:before="0" w:beforeLines="0" w:line="240" w:lineRule="auto"/>
              <w:jc w:val="center"/>
              <w:textAlignment w:val="center"/>
              <w:rPr>
                <w:szCs w:val="21"/>
              </w:rPr>
            </w:pPr>
            <w:r>
              <w:rPr>
                <w:bCs/>
                <w:szCs w:val="21"/>
              </w:rPr>
              <w:t>1，2-二氯丙烷</w:t>
            </w:r>
          </w:p>
        </w:tc>
        <w:tc>
          <w:tcPr>
            <w:tcW w:w="2793" w:type="dxa"/>
            <w:tcBorders>
              <w:tl2br w:val="nil"/>
              <w:tr2bl w:val="nil"/>
            </w:tcBorders>
            <w:vAlign w:val="center"/>
          </w:tcPr>
          <w:p w14:paraId="366FCB53">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14:paraId="79D80731">
            <w:pPr>
              <w:autoSpaceDN w:val="0"/>
              <w:spacing w:before="0" w:beforeLines="0" w:line="240" w:lineRule="auto"/>
              <w:jc w:val="center"/>
              <w:rPr>
                <w:szCs w:val="21"/>
              </w:rPr>
            </w:pPr>
            <w:r>
              <w:rPr>
                <w:szCs w:val="21"/>
              </w:rPr>
              <w:t>气相色谱质谱仪GCMS-QP2010 SE</w:t>
            </w:r>
          </w:p>
          <w:p w14:paraId="6F98CD0C">
            <w:pPr>
              <w:widowControl/>
              <w:autoSpaceDN w:val="0"/>
              <w:spacing w:before="0" w:beforeLines="0" w:line="240" w:lineRule="auto"/>
              <w:jc w:val="center"/>
              <w:textAlignment w:val="center"/>
              <w:rPr>
                <w:szCs w:val="21"/>
              </w:rPr>
            </w:pPr>
            <w:r>
              <w:rPr>
                <w:szCs w:val="21"/>
              </w:rPr>
              <w:t>SYZZ-SB-071-04</w:t>
            </w:r>
          </w:p>
        </w:tc>
        <w:tc>
          <w:tcPr>
            <w:tcW w:w="876" w:type="dxa"/>
            <w:tcBorders>
              <w:tl2br w:val="nil"/>
              <w:tr2bl w:val="nil"/>
            </w:tcBorders>
            <w:vAlign w:val="center"/>
          </w:tcPr>
          <w:p w14:paraId="53FF3514">
            <w:pPr>
              <w:widowControl/>
              <w:spacing w:before="0" w:beforeLines="0" w:line="240" w:lineRule="auto"/>
              <w:jc w:val="center"/>
              <w:textAlignment w:val="center"/>
              <w:rPr>
                <w:kern w:val="0"/>
                <w:szCs w:val="21"/>
                <w:lang w:bidi="ar"/>
              </w:rPr>
            </w:pPr>
            <w:r>
              <w:rPr>
                <w:kern w:val="0"/>
                <w:szCs w:val="21"/>
              </w:rPr>
              <w:t>1.1</w:t>
            </w:r>
          </w:p>
        </w:tc>
        <w:tc>
          <w:tcPr>
            <w:tcW w:w="889" w:type="dxa"/>
            <w:tcBorders>
              <w:tl2br w:val="nil"/>
              <w:tr2bl w:val="nil"/>
            </w:tcBorders>
            <w:vAlign w:val="center"/>
          </w:tcPr>
          <w:p w14:paraId="00A41384">
            <w:pPr>
              <w:widowControl/>
              <w:spacing w:before="0" w:beforeLines="0" w:line="240" w:lineRule="auto"/>
              <w:jc w:val="center"/>
              <w:textAlignment w:val="center"/>
              <w:rPr>
                <w:kern w:val="0"/>
                <w:szCs w:val="21"/>
                <w:lang w:bidi="ar"/>
              </w:rPr>
            </w:pPr>
            <w:r>
              <w:rPr>
                <w:kern w:val="0"/>
                <w:szCs w:val="21"/>
              </w:rPr>
              <w:t>μg/kg</w:t>
            </w:r>
          </w:p>
        </w:tc>
      </w:tr>
      <w:tr w14:paraId="5BE4E1A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16E394B3">
            <w:pPr>
              <w:widowControl/>
              <w:spacing w:before="0" w:beforeLines="0" w:line="240" w:lineRule="auto"/>
              <w:jc w:val="center"/>
              <w:textAlignment w:val="center"/>
              <w:rPr>
                <w:szCs w:val="21"/>
              </w:rPr>
            </w:pPr>
            <w:r>
              <w:rPr>
                <w:kern w:val="0"/>
                <w:szCs w:val="21"/>
                <w:lang w:bidi="ar"/>
              </w:rPr>
              <w:t>18</w:t>
            </w:r>
          </w:p>
        </w:tc>
        <w:tc>
          <w:tcPr>
            <w:tcW w:w="1206" w:type="dxa"/>
            <w:tcBorders>
              <w:tl2br w:val="nil"/>
              <w:tr2bl w:val="nil"/>
            </w:tcBorders>
            <w:vAlign w:val="center"/>
          </w:tcPr>
          <w:p w14:paraId="33CC4FC9">
            <w:pPr>
              <w:autoSpaceDN w:val="0"/>
              <w:spacing w:before="0" w:beforeLines="0" w:line="240" w:lineRule="auto"/>
              <w:jc w:val="center"/>
              <w:textAlignment w:val="center"/>
              <w:rPr>
                <w:szCs w:val="21"/>
              </w:rPr>
            </w:pPr>
            <w:r>
              <w:rPr>
                <w:bCs/>
                <w:szCs w:val="21"/>
              </w:rPr>
              <w:t>1，1，1，2-四氯乙烷</w:t>
            </w:r>
          </w:p>
        </w:tc>
        <w:tc>
          <w:tcPr>
            <w:tcW w:w="2793" w:type="dxa"/>
            <w:tcBorders>
              <w:tl2br w:val="nil"/>
              <w:tr2bl w:val="nil"/>
            </w:tcBorders>
            <w:vAlign w:val="center"/>
          </w:tcPr>
          <w:p w14:paraId="401DAF6B">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14:paraId="4DDF7273">
            <w:pPr>
              <w:autoSpaceDN w:val="0"/>
              <w:spacing w:before="0" w:beforeLines="0" w:line="240" w:lineRule="auto"/>
              <w:jc w:val="center"/>
              <w:rPr>
                <w:szCs w:val="21"/>
              </w:rPr>
            </w:pPr>
            <w:r>
              <w:rPr>
                <w:szCs w:val="21"/>
              </w:rPr>
              <w:t>气相色谱质谱仪GCMS-QP2010 SE</w:t>
            </w:r>
          </w:p>
          <w:p w14:paraId="10368E61">
            <w:pPr>
              <w:autoSpaceDN w:val="0"/>
              <w:spacing w:before="0" w:beforeLines="0" w:line="240" w:lineRule="auto"/>
              <w:jc w:val="center"/>
              <w:textAlignment w:val="center"/>
              <w:rPr>
                <w:szCs w:val="21"/>
              </w:rPr>
            </w:pPr>
            <w:r>
              <w:rPr>
                <w:szCs w:val="21"/>
              </w:rPr>
              <w:t>SYZZ-SB-071-04</w:t>
            </w:r>
          </w:p>
        </w:tc>
        <w:tc>
          <w:tcPr>
            <w:tcW w:w="876" w:type="dxa"/>
            <w:tcBorders>
              <w:tl2br w:val="nil"/>
              <w:tr2bl w:val="nil"/>
            </w:tcBorders>
            <w:vAlign w:val="center"/>
          </w:tcPr>
          <w:p w14:paraId="1800E899">
            <w:pPr>
              <w:widowControl/>
              <w:spacing w:before="0" w:beforeLines="0" w:line="240" w:lineRule="auto"/>
              <w:jc w:val="center"/>
              <w:textAlignment w:val="center"/>
              <w:rPr>
                <w:kern w:val="0"/>
                <w:szCs w:val="21"/>
                <w:lang w:bidi="ar"/>
              </w:rPr>
            </w:pPr>
            <w:r>
              <w:rPr>
                <w:kern w:val="0"/>
                <w:szCs w:val="21"/>
              </w:rPr>
              <w:t>1.2</w:t>
            </w:r>
          </w:p>
        </w:tc>
        <w:tc>
          <w:tcPr>
            <w:tcW w:w="889" w:type="dxa"/>
            <w:tcBorders>
              <w:tl2br w:val="nil"/>
              <w:tr2bl w:val="nil"/>
            </w:tcBorders>
            <w:vAlign w:val="center"/>
          </w:tcPr>
          <w:p w14:paraId="75E7E263">
            <w:pPr>
              <w:widowControl/>
              <w:spacing w:before="0" w:beforeLines="0" w:line="240" w:lineRule="auto"/>
              <w:jc w:val="center"/>
              <w:textAlignment w:val="center"/>
              <w:rPr>
                <w:kern w:val="0"/>
                <w:szCs w:val="21"/>
                <w:lang w:bidi="ar"/>
              </w:rPr>
            </w:pPr>
            <w:r>
              <w:rPr>
                <w:kern w:val="0"/>
                <w:szCs w:val="21"/>
              </w:rPr>
              <w:t>μg/kg</w:t>
            </w:r>
          </w:p>
        </w:tc>
      </w:tr>
      <w:tr w14:paraId="72E776F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76B0CC74">
            <w:pPr>
              <w:widowControl/>
              <w:spacing w:before="0" w:beforeLines="0" w:line="240" w:lineRule="auto"/>
              <w:jc w:val="center"/>
              <w:textAlignment w:val="center"/>
              <w:rPr>
                <w:szCs w:val="21"/>
              </w:rPr>
            </w:pPr>
            <w:r>
              <w:rPr>
                <w:kern w:val="0"/>
                <w:szCs w:val="21"/>
                <w:lang w:bidi="ar"/>
              </w:rPr>
              <w:t>19</w:t>
            </w:r>
          </w:p>
        </w:tc>
        <w:tc>
          <w:tcPr>
            <w:tcW w:w="1206" w:type="dxa"/>
            <w:tcBorders>
              <w:tl2br w:val="nil"/>
              <w:tr2bl w:val="nil"/>
            </w:tcBorders>
            <w:vAlign w:val="center"/>
          </w:tcPr>
          <w:p w14:paraId="77A07EB7">
            <w:pPr>
              <w:autoSpaceDN w:val="0"/>
              <w:spacing w:before="0" w:beforeLines="0" w:line="240" w:lineRule="auto"/>
              <w:jc w:val="center"/>
              <w:textAlignment w:val="center"/>
              <w:rPr>
                <w:szCs w:val="21"/>
              </w:rPr>
            </w:pPr>
            <w:r>
              <w:rPr>
                <w:bCs/>
                <w:szCs w:val="21"/>
              </w:rPr>
              <w:t>1，1，2，2-四氯乙烷</w:t>
            </w:r>
          </w:p>
        </w:tc>
        <w:tc>
          <w:tcPr>
            <w:tcW w:w="2793" w:type="dxa"/>
            <w:tcBorders>
              <w:tl2br w:val="nil"/>
              <w:tr2bl w:val="nil"/>
            </w:tcBorders>
            <w:vAlign w:val="center"/>
          </w:tcPr>
          <w:p w14:paraId="632A26FE">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14:paraId="6326C97E">
            <w:pPr>
              <w:autoSpaceDN w:val="0"/>
              <w:spacing w:before="0" w:beforeLines="0" w:line="240" w:lineRule="auto"/>
              <w:jc w:val="center"/>
              <w:rPr>
                <w:szCs w:val="21"/>
              </w:rPr>
            </w:pPr>
            <w:r>
              <w:rPr>
                <w:szCs w:val="21"/>
              </w:rPr>
              <w:t>气相色谱质谱仪GCMS-QP2010 SE</w:t>
            </w:r>
          </w:p>
          <w:p w14:paraId="620CE434">
            <w:pPr>
              <w:widowControl/>
              <w:autoSpaceDN w:val="0"/>
              <w:spacing w:before="0" w:beforeLines="0" w:line="240" w:lineRule="auto"/>
              <w:jc w:val="center"/>
              <w:textAlignment w:val="center"/>
              <w:rPr>
                <w:szCs w:val="21"/>
              </w:rPr>
            </w:pPr>
            <w:r>
              <w:rPr>
                <w:szCs w:val="21"/>
              </w:rPr>
              <w:t>SYZZ-SB-071-04</w:t>
            </w:r>
          </w:p>
        </w:tc>
        <w:tc>
          <w:tcPr>
            <w:tcW w:w="876" w:type="dxa"/>
            <w:tcBorders>
              <w:tl2br w:val="nil"/>
              <w:tr2bl w:val="nil"/>
            </w:tcBorders>
            <w:vAlign w:val="center"/>
          </w:tcPr>
          <w:p w14:paraId="239B7B47">
            <w:pPr>
              <w:widowControl/>
              <w:spacing w:before="0" w:beforeLines="0" w:line="240" w:lineRule="auto"/>
              <w:jc w:val="center"/>
              <w:textAlignment w:val="center"/>
              <w:rPr>
                <w:kern w:val="0"/>
                <w:szCs w:val="21"/>
                <w:lang w:bidi="ar"/>
              </w:rPr>
            </w:pPr>
            <w:r>
              <w:rPr>
                <w:kern w:val="0"/>
                <w:szCs w:val="21"/>
              </w:rPr>
              <w:t>1.2</w:t>
            </w:r>
          </w:p>
        </w:tc>
        <w:tc>
          <w:tcPr>
            <w:tcW w:w="889" w:type="dxa"/>
            <w:tcBorders>
              <w:tl2br w:val="nil"/>
              <w:tr2bl w:val="nil"/>
            </w:tcBorders>
            <w:vAlign w:val="center"/>
          </w:tcPr>
          <w:p w14:paraId="1ED52B36">
            <w:pPr>
              <w:widowControl/>
              <w:spacing w:before="0" w:beforeLines="0" w:line="240" w:lineRule="auto"/>
              <w:jc w:val="center"/>
              <w:textAlignment w:val="center"/>
              <w:rPr>
                <w:kern w:val="0"/>
                <w:szCs w:val="21"/>
                <w:lang w:bidi="ar"/>
              </w:rPr>
            </w:pPr>
            <w:r>
              <w:rPr>
                <w:kern w:val="0"/>
                <w:szCs w:val="21"/>
              </w:rPr>
              <w:t>μg/kg</w:t>
            </w:r>
          </w:p>
        </w:tc>
      </w:tr>
      <w:tr w14:paraId="1204A30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34CC5626">
            <w:pPr>
              <w:widowControl/>
              <w:spacing w:before="0" w:beforeLines="0" w:line="240" w:lineRule="auto"/>
              <w:jc w:val="center"/>
              <w:textAlignment w:val="center"/>
              <w:rPr>
                <w:szCs w:val="21"/>
              </w:rPr>
            </w:pPr>
            <w:r>
              <w:rPr>
                <w:kern w:val="0"/>
                <w:szCs w:val="21"/>
                <w:lang w:bidi="ar"/>
              </w:rPr>
              <w:t>20</w:t>
            </w:r>
          </w:p>
        </w:tc>
        <w:tc>
          <w:tcPr>
            <w:tcW w:w="1206" w:type="dxa"/>
            <w:tcBorders>
              <w:tl2br w:val="nil"/>
              <w:tr2bl w:val="nil"/>
            </w:tcBorders>
            <w:vAlign w:val="center"/>
          </w:tcPr>
          <w:p w14:paraId="1E11B710">
            <w:pPr>
              <w:autoSpaceDN w:val="0"/>
              <w:spacing w:before="0" w:beforeLines="0" w:line="240" w:lineRule="auto"/>
              <w:jc w:val="center"/>
              <w:textAlignment w:val="center"/>
              <w:rPr>
                <w:szCs w:val="21"/>
              </w:rPr>
            </w:pPr>
            <w:r>
              <w:rPr>
                <w:bCs/>
                <w:szCs w:val="21"/>
              </w:rPr>
              <w:t>四氯乙烯</w:t>
            </w:r>
          </w:p>
        </w:tc>
        <w:tc>
          <w:tcPr>
            <w:tcW w:w="2793" w:type="dxa"/>
            <w:tcBorders>
              <w:tl2br w:val="nil"/>
              <w:tr2bl w:val="nil"/>
            </w:tcBorders>
            <w:vAlign w:val="center"/>
          </w:tcPr>
          <w:p w14:paraId="28A8B0B0">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14:paraId="6A8F1B8A">
            <w:pPr>
              <w:autoSpaceDN w:val="0"/>
              <w:spacing w:before="0" w:beforeLines="0" w:line="240" w:lineRule="auto"/>
              <w:jc w:val="center"/>
              <w:rPr>
                <w:szCs w:val="21"/>
              </w:rPr>
            </w:pPr>
            <w:r>
              <w:rPr>
                <w:szCs w:val="21"/>
              </w:rPr>
              <w:t>气相色谱质谱仪GCMS-QP2010 SE</w:t>
            </w:r>
          </w:p>
          <w:p w14:paraId="0F20618A">
            <w:pPr>
              <w:autoSpaceDN w:val="0"/>
              <w:spacing w:before="0" w:beforeLines="0" w:line="240" w:lineRule="auto"/>
              <w:jc w:val="center"/>
              <w:textAlignment w:val="center"/>
              <w:rPr>
                <w:szCs w:val="21"/>
              </w:rPr>
            </w:pPr>
            <w:r>
              <w:rPr>
                <w:szCs w:val="21"/>
              </w:rPr>
              <w:t>SYZZ-SB-071-04</w:t>
            </w:r>
          </w:p>
        </w:tc>
        <w:tc>
          <w:tcPr>
            <w:tcW w:w="876" w:type="dxa"/>
            <w:tcBorders>
              <w:tl2br w:val="nil"/>
              <w:tr2bl w:val="nil"/>
            </w:tcBorders>
            <w:vAlign w:val="center"/>
          </w:tcPr>
          <w:p w14:paraId="684AADE4">
            <w:pPr>
              <w:widowControl/>
              <w:spacing w:before="0" w:beforeLines="0" w:line="240" w:lineRule="auto"/>
              <w:jc w:val="center"/>
              <w:textAlignment w:val="center"/>
              <w:rPr>
                <w:kern w:val="0"/>
                <w:szCs w:val="21"/>
                <w:lang w:bidi="ar"/>
              </w:rPr>
            </w:pPr>
            <w:r>
              <w:rPr>
                <w:kern w:val="0"/>
                <w:szCs w:val="21"/>
              </w:rPr>
              <w:t>1.4</w:t>
            </w:r>
          </w:p>
        </w:tc>
        <w:tc>
          <w:tcPr>
            <w:tcW w:w="889" w:type="dxa"/>
            <w:tcBorders>
              <w:tl2br w:val="nil"/>
              <w:tr2bl w:val="nil"/>
            </w:tcBorders>
            <w:vAlign w:val="center"/>
          </w:tcPr>
          <w:p w14:paraId="13FDFDF7">
            <w:pPr>
              <w:widowControl/>
              <w:spacing w:before="0" w:beforeLines="0" w:line="240" w:lineRule="auto"/>
              <w:jc w:val="center"/>
              <w:textAlignment w:val="center"/>
              <w:rPr>
                <w:kern w:val="0"/>
                <w:szCs w:val="21"/>
                <w:lang w:bidi="ar"/>
              </w:rPr>
            </w:pPr>
            <w:r>
              <w:rPr>
                <w:kern w:val="0"/>
                <w:szCs w:val="21"/>
              </w:rPr>
              <w:t>μg/kg</w:t>
            </w:r>
          </w:p>
        </w:tc>
      </w:tr>
      <w:tr w14:paraId="65575A3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56F01E03">
            <w:pPr>
              <w:widowControl/>
              <w:spacing w:before="0" w:beforeLines="0" w:line="240" w:lineRule="auto"/>
              <w:jc w:val="center"/>
              <w:textAlignment w:val="center"/>
              <w:rPr>
                <w:szCs w:val="21"/>
              </w:rPr>
            </w:pPr>
            <w:r>
              <w:rPr>
                <w:kern w:val="0"/>
                <w:szCs w:val="21"/>
                <w:lang w:bidi="ar"/>
              </w:rPr>
              <w:t>21</w:t>
            </w:r>
          </w:p>
        </w:tc>
        <w:tc>
          <w:tcPr>
            <w:tcW w:w="1206" w:type="dxa"/>
            <w:tcBorders>
              <w:tl2br w:val="nil"/>
              <w:tr2bl w:val="nil"/>
            </w:tcBorders>
            <w:vAlign w:val="center"/>
          </w:tcPr>
          <w:p w14:paraId="54BC2F55">
            <w:pPr>
              <w:autoSpaceDN w:val="0"/>
              <w:spacing w:before="0" w:beforeLines="0" w:line="240" w:lineRule="auto"/>
              <w:jc w:val="center"/>
              <w:textAlignment w:val="center"/>
              <w:rPr>
                <w:szCs w:val="21"/>
              </w:rPr>
            </w:pPr>
            <w:r>
              <w:rPr>
                <w:bCs/>
                <w:szCs w:val="21"/>
              </w:rPr>
              <w:t>1，1，1-三氯乙烷</w:t>
            </w:r>
          </w:p>
        </w:tc>
        <w:tc>
          <w:tcPr>
            <w:tcW w:w="2793" w:type="dxa"/>
            <w:tcBorders>
              <w:tl2br w:val="nil"/>
              <w:tr2bl w:val="nil"/>
            </w:tcBorders>
            <w:vAlign w:val="center"/>
          </w:tcPr>
          <w:p w14:paraId="5270AC57">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14:paraId="479064FD">
            <w:pPr>
              <w:autoSpaceDN w:val="0"/>
              <w:spacing w:before="0" w:beforeLines="0" w:line="240" w:lineRule="auto"/>
              <w:jc w:val="center"/>
              <w:rPr>
                <w:szCs w:val="21"/>
              </w:rPr>
            </w:pPr>
            <w:r>
              <w:rPr>
                <w:szCs w:val="21"/>
              </w:rPr>
              <w:t>气相色谱质谱仪GCMS-QP2010 SE</w:t>
            </w:r>
          </w:p>
          <w:p w14:paraId="097F2085">
            <w:pPr>
              <w:widowControl/>
              <w:autoSpaceDN w:val="0"/>
              <w:spacing w:before="0" w:beforeLines="0" w:line="240" w:lineRule="auto"/>
              <w:jc w:val="center"/>
              <w:textAlignment w:val="center"/>
              <w:rPr>
                <w:szCs w:val="21"/>
              </w:rPr>
            </w:pPr>
            <w:r>
              <w:rPr>
                <w:szCs w:val="21"/>
              </w:rPr>
              <w:t>SYZZ-SB-071-04</w:t>
            </w:r>
          </w:p>
        </w:tc>
        <w:tc>
          <w:tcPr>
            <w:tcW w:w="876" w:type="dxa"/>
            <w:tcBorders>
              <w:tl2br w:val="nil"/>
              <w:tr2bl w:val="nil"/>
            </w:tcBorders>
            <w:vAlign w:val="center"/>
          </w:tcPr>
          <w:p w14:paraId="6D0F434A">
            <w:pPr>
              <w:widowControl/>
              <w:spacing w:before="0" w:beforeLines="0" w:line="240" w:lineRule="auto"/>
              <w:jc w:val="center"/>
              <w:textAlignment w:val="center"/>
              <w:rPr>
                <w:kern w:val="0"/>
                <w:szCs w:val="21"/>
                <w:lang w:bidi="ar"/>
              </w:rPr>
            </w:pPr>
            <w:r>
              <w:rPr>
                <w:kern w:val="0"/>
                <w:szCs w:val="21"/>
              </w:rPr>
              <w:t>1.3</w:t>
            </w:r>
          </w:p>
        </w:tc>
        <w:tc>
          <w:tcPr>
            <w:tcW w:w="889" w:type="dxa"/>
            <w:tcBorders>
              <w:tl2br w:val="nil"/>
              <w:tr2bl w:val="nil"/>
            </w:tcBorders>
            <w:vAlign w:val="center"/>
          </w:tcPr>
          <w:p w14:paraId="7D9557D4">
            <w:pPr>
              <w:widowControl/>
              <w:spacing w:before="0" w:beforeLines="0" w:line="240" w:lineRule="auto"/>
              <w:jc w:val="center"/>
              <w:textAlignment w:val="center"/>
              <w:rPr>
                <w:kern w:val="0"/>
                <w:szCs w:val="21"/>
                <w:lang w:bidi="ar"/>
              </w:rPr>
            </w:pPr>
            <w:r>
              <w:rPr>
                <w:kern w:val="0"/>
                <w:szCs w:val="21"/>
              </w:rPr>
              <w:t>μg/kg</w:t>
            </w:r>
          </w:p>
        </w:tc>
      </w:tr>
      <w:tr w14:paraId="4CAD64D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632D206F">
            <w:pPr>
              <w:widowControl/>
              <w:spacing w:before="0" w:beforeLines="0" w:line="240" w:lineRule="auto"/>
              <w:jc w:val="center"/>
              <w:textAlignment w:val="center"/>
              <w:rPr>
                <w:szCs w:val="21"/>
              </w:rPr>
            </w:pPr>
            <w:r>
              <w:rPr>
                <w:kern w:val="0"/>
                <w:szCs w:val="21"/>
                <w:lang w:bidi="ar"/>
              </w:rPr>
              <w:t>22</w:t>
            </w:r>
          </w:p>
        </w:tc>
        <w:tc>
          <w:tcPr>
            <w:tcW w:w="1206" w:type="dxa"/>
            <w:tcBorders>
              <w:tl2br w:val="nil"/>
              <w:tr2bl w:val="nil"/>
            </w:tcBorders>
            <w:vAlign w:val="center"/>
          </w:tcPr>
          <w:p w14:paraId="55423976">
            <w:pPr>
              <w:autoSpaceDN w:val="0"/>
              <w:spacing w:before="0" w:beforeLines="0" w:line="240" w:lineRule="auto"/>
              <w:jc w:val="center"/>
              <w:textAlignment w:val="center"/>
              <w:rPr>
                <w:szCs w:val="21"/>
              </w:rPr>
            </w:pPr>
            <w:r>
              <w:rPr>
                <w:bCs/>
                <w:szCs w:val="21"/>
              </w:rPr>
              <w:t>1，1，2-三氯乙烷</w:t>
            </w:r>
          </w:p>
        </w:tc>
        <w:tc>
          <w:tcPr>
            <w:tcW w:w="2793" w:type="dxa"/>
            <w:tcBorders>
              <w:tl2br w:val="nil"/>
              <w:tr2bl w:val="nil"/>
            </w:tcBorders>
            <w:vAlign w:val="center"/>
          </w:tcPr>
          <w:p w14:paraId="68A3365C">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14:paraId="58696719">
            <w:pPr>
              <w:autoSpaceDN w:val="0"/>
              <w:spacing w:before="0" w:beforeLines="0" w:line="240" w:lineRule="auto"/>
              <w:jc w:val="center"/>
              <w:rPr>
                <w:szCs w:val="21"/>
              </w:rPr>
            </w:pPr>
            <w:r>
              <w:rPr>
                <w:szCs w:val="21"/>
              </w:rPr>
              <w:t>气相色谱质谱仪GCMS-QP2010 SE</w:t>
            </w:r>
          </w:p>
          <w:p w14:paraId="5EA517B3">
            <w:pPr>
              <w:autoSpaceDN w:val="0"/>
              <w:spacing w:before="0" w:beforeLines="0" w:line="240" w:lineRule="auto"/>
              <w:jc w:val="center"/>
              <w:textAlignment w:val="center"/>
              <w:rPr>
                <w:szCs w:val="21"/>
              </w:rPr>
            </w:pPr>
            <w:r>
              <w:rPr>
                <w:szCs w:val="21"/>
              </w:rPr>
              <w:t>SYZZ-SB-071-04</w:t>
            </w:r>
          </w:p>
        </w:tc>
        <w:tc>
          <w:tcPr>
            <w:tcW w:w="876" w:type="dxa"/>
            <w:tcBorders>
              <w:tl2br w:val="nil"/>
              <w:tr2bl w:val="nil"/>
            </w:tcBorders>
            <w:vAlign w:val="center"/>
          </w:tcPr>
          <w:p w14:paraId="7E8B2443">
            <w:pPr>
              <w:widowControl/>
              <w:spacing w:before="0" w:beforeLines="0" w:line="240" w:lineRule="auto"/>
              <w:jc w:val="center"/>
              <w:textAlignment w:val="center"/>
              <w:rPr>
                <w:kern w:val="0"/>
                <w:szCs w:val="21"/>
                <w:lang w:bidi="ar"/>
              </w:rPr>
            </w:pPr>
            <w:r>
              <w:rPr>
                <w:kern w:val="0"/>
                <w:szCs w:val="21"/>
              </w:rPr>
              <w:t>1.2</w:t>
            </w:r>
          </w:p>
        </w:tc>
        <w:tc>
          <w:tcPr>
            <w:tcW w:w="889" w:type="dxa"/>
            <w:tcBorders>
              <w:tl2br w:val="nil"/>
              <w:tr2bl w:val="nil"/>
            </w:tcBorders>
            <w:vAlign w:val="center"/>
          </w:tcPr>
          <w:p w14:paraId="3AFB104E">
            <w:pPr>
              <w:widowControl/>
              <w:spacing w:before="0" w:beforeLines="0" w:line="240" w:lineRule="auto"/>
              <w:jc w:val="center"/>
              <w:textAlignment w:val="center"/>
              <w:rPr>
                <w:kern w:val="0"/>
                <w:szCs w:val="21"/>
                <w:lang w:bidi="ar"/>
              </w:rPr>
            </w:pPr>
            <w:r>
              <w:rPr>
                <w:kern w:val="0"/>
                <w:szCs w:val="21"/>
              </w:rPr>
              <w:t>μg/kg</w:t>
            </w:r>
          </w:p>
        </w:tc>
      </w:tr>
      <w:tr w14:paraId="3B52EA2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33016FA8">
            <w:pPr>
              <w:widowControl/>
              <w:spacing w:before="0" w:beforeLines="0" w:line="240" w:lineRule="auto"/>
              <w:jc w:val="center"/>
              <w:textAlignment w:val="center"/>
              <w:rPr>
                <w:szCs w:val="21"/>
              </w:rPr>
            </w:pPr>
            <w:r>
              <w:rPr>
                <w:kern w:val="0"/>
                <w:szCs w:val="21"/>
                <w:lang w:bidi="ar"/>
              </w:rPr>
              <w:t>23</w:t>
            </w:r>
          </w:p>
        </w:tc>
        <w:tc>
          <w:tcPr>
            <w:tcW w:w="1206" w:type="dxa"/>
            <w:tcBorders>
              <w:tl2br w:val="nil"/>
              <w:tr2bl w:val="nil"/>
            </w:tcBorders>
            <w:vAlign w:val="center"/>
          </w:tcPr>
          <w:p w14:paraId="59254FAE">
            <w:pPr>
              <w:autoSpaceDN w:val="0"/>
              <w:spacing w:before="0" w:beforeLines="0" w:line="240" w:lineRule="auto"/>
              <w:jc w:val="center"/>
              <w:textAlignment w:val="center"/>
              <w:rPr>
                <w:szCs w:val="21"/>
              </w:rPr>
            </w:pPr>
            <w:r>
              <w:rPr>
                <w:bCs/>
                <w:szCs w:val="21"/>
              </w:rPr>
              <w:t>三氯乙烯</w:t>
            </w:r>
          </w:p>
        </w:tc>
        <w:tc>
          <w:tcPr>
            <w:tcW w:w="2793" w:type="dxa"/>
            <w:tcBorders>
              <w:tl2br w:val="nil"/>
              <w:tr2bl w:val="nil"/>
            </w:tcBorders>
            <w:vAlign w:val="center"/>
          </w:tcPr>
          <w:p w14:paraId="076EA347">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14:paraId="3A7A7ED6">
            <w:pPr>
              <w:autoSpaceDN w:val="0"/>
              <w:spacing w:before="0" w:beforeLines="0" w:line="240" w:lineRule="auto"/>
              <w:jc w:val="center"/>
              <w:rPr>
                <w:szCs w:val="21"/>
              </w:rPr>
            </w:pPr>
            <w:r>
              <w:rPr>
                <w:szCs w:val="21"/>
              </w:rPr>
              <w:t>气相色谱质谱仪GCMS-QP2010 SE</w:t>
            </w:r>
          </w:p>
          <w:p w14:paraId="08609962">
            <w:pPr>
              <w:widowControl/>
              <w:autoSpaceDN w:val="0"/>
              <w:spacing w:before="0" w:beforeLines="0" w:line="240" w:lineRule="auto"/>
              <w:jc w:val="center"/>
              <w:textAlignment w:val="center"/>
              <w:rPr>
                <w:szCs w:val="21"/>
              </w:rPr>
            </w:pPr>
            <w:r>
              <w:rPr>
                <w:szCs w:val="21"/>
              </w:rPr>
              <w:t>SYZZ-SB-071-04</w:t>
            </w:r>
          </w:p>
        </w:tc>
        <w:tc>
          <w:tcPr>
            <w:tcW w:w="876" w:type="dxa"/>
            <w:tcBorders>
              <w:tl2br w:val="nil"/>
              <w:tr2bl w:val="nil"/>
            </w:tcBorders>
            <w:vAlign w:val="center"/>
          </w:tcPr>
          <w:p w14:paraId="7CE8FC92">
            <w:pPr>
              <w:widowControl/>
              <w:spacing w:before="0" w:beforeLines="0" w:line="240" w:lineRule="auto"/>
              <w:jc w:val="center"/>
              <w:textAlignment w:val="center"/>
              <w:rPr>
                <w:kern w:val="0"/>
                <w:szCs w:val="21"/>
                <w:lang w:bidi="ar"/>
              </w:rPr>
            </w:pPr>
            <w:r>
              <w:rPr>
                <w:kern w:val="0"/>
                <w:szCs w:val="21"/>
              </w:rPr>
              <w:t>1.2</w:t>
            </w:r>
          </w:p>
        </w:tc>
        <w:tc>
          <w:tcPr>
            <w:tcW w:w="889" w:type="dxa"/>
            <w:tcBorders>
              <w:tl2br w:val="nil"/>
              <w:tr2bl w:val="nil"/>
            </w:tcBorders>
            <w:vAlign w:val="center"/>
          </w:tcPr>
          <w:p w14:paraId="112E612E">
            <w:pPr>
              <w:widowControl/>
              <w:spacing w:before="0" w:beforeLines="0" w:line="240" w:lineRule="auto"/>
              <w:jc w:val="center"/>
              <w:textAlignment w:val="center"/>
              <w:rPr>
                <w:kern w:val="0"/>
                <w:szCs w:val="21"/>
                <w:lang w:bidi="ar"/>
              </w:rPr>
            </w:pPr>
            <w:r>
              <w:rPr>
                <w:kern w:val="0"/>
                <w:szCs w:val="21"/>
              </w:rPr>
              <w:t>μg/kg</w:t>
            </w:r>
          </w:p>
        </w:tc>
      </w:tr>
      <w:tr w14:paraId="7CB4F1E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76EE3FE5">
            <w:pPr>
              <w:widowControl/>
              <w:spacing w:before="0" w:beforeLines="0" w:line="240" w:lineRule="auto"/>
              <w:jc w:val="center"/>
              <w:textAlignment w:val="center"/>
              <w:rPr>
                <w:szCs w:val="21"/>
              </w:rPr>
            </w:pPr>
            <w:r>
              <w:rPr>
                <w:kern w:val="0"/>
                <w:szCs w:val="21"/>
                <w:lang w:bidi="ar"/>
              </w:rPr>
              <w:t>24</w:t>
            </w:r>
          </w:p>
        </w:tc>
        <w:tc>
          <w:tcPr>
            <w:tcW w:w="1206" w:type="dxa"/>
            <w:tcBorders>
              <w:tl2br w:val="nil"/>
              <w:tr2bl w:val="nil"/>
            </w:tcBorders>
            <w:vAlign w:val="center"/>
          </w:tcPr>
          <w:p w14:paraId="2D1630F3">
            <w:pPr>
              <w:autoSpaceDN w:val="0"/>
              <w:spacing w:before="0" w:beforeLines="0" w:line="240" w:lineRule="auto"/>
              <w:jc w:val="center"/>
              <w:textAlignment w:val="center"/>
              <w:rPr>
                <w:szCs w:val="21"/>
              </w:rPr>
            </w:pPr>
            <w:r>
              <w:rPr>
                <w:bCs/>
                <w:szCs w:val="21"/>
              </w:rPr>
              <w:t>1，2，3-三氯丙烷</w:t>
            </w:r>
          </w:p>
        </w:tc>
        <w:tc>
          <w:tcPr>
            <w:tcW w:w="2793" w:type="dxa"/>
            <w:tcBorders>
              <w:tl2br w:val="nil"/>
              <w:tr2bl w:val="nil"/>
            </w:tcBorders>
            <w:vAlign w:val="center"/>
          </w:tcPr>
          <w:p w14:paraId="47609E63">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14:paraId="60A91A13">
            <w:pPr>
              <w:autoSpaceDN w:val="0"/>
              <w:spacing w:before="0" w:beforeLines="0" w:line="240" w:lineRule="auto"/>
              <w:jc w:val="center"/>
              <w:rPr>
                <w:szCs w:val="21"/>
              </w:rPr>
            </w:pPr>
            <w:r>
              <w:rPr>
                <w:szCs w:val="21"/>
              </w:rPr>
              <w:t>气相色谱质谱仪GCMS-QP2010 SE</w:t>
            </w:r>
          </w:p>
          <w:p w14:paraId="525A2A23">
            <w:pPr>
              <w:autoSpaceDN w:val="0"/>
              <w:spacing w:before="0" w:beforeLines="0" w:line="240" w:lineRule="auto"/>
              <w:jc w:val="center"/>
              <w:textAlignment w:val="center"/>
              <w:rPr>
                <w:szCs w:val="21"/>
              </w:rPr>
            </w:pPr>
            <w:r>
              <w:rPr>
                <w:szCs w:val="21"/>
              </w:rPr>
              <w:t>SYZZ-SB-071-04</w:t>
            </w:r>
          </w:p>
        </w:tc>
        <w:tc>
          <w:tcPr>
            <w:tcW w:w="876" w:type="dxa"/>
            <w:tcBorders>
              <w:tl2br w:val="nil"/>
              <w:tr2bl w:val="nil"/>
            </w:tcBorders>
            <w:vAlign w:val="center"/>
          </w:tcPr>
          <w:p w14:paraId="680F5562">
            <w:pPr>
              <w:widowControl/>
              <w:spacing w:before="0" w:beforeLines="0" w:line="240" w:lineRule="auto"/>
              <w:jc w:val="center"/>
              <w:textAlignment w:val="center"/>
              <w:rPr>
                <w:kern w:val="0"/>
                <w:szCs w:val="21"/>
                <w:lang w:bidi="ar"/>
              </w:rPr>
            </w:pPr>
            <w:r>
              <w:rPr>
                <w:kern w:val="0"/>
                <w:szCs w:val="21"/>
              </w:rPr>
              <w:t>1.2</w:t>
            </w:r>
          </w:p>
        </w:tc>
        <w:tc>
          <w:tcPr>
            <w:tcW w:w="889" w:type="dxa"/>
            <w:tcBorders>
              <w:tl2br w:val="nil"/>
              <w:tr2bl w:val="nil"/>
            </w:tcBorders>
            <w:vAlign w:val="center"/>
          </w:tcPr>
          <w:p w14:paraId="2F4B742F">
            <w:pPr>
              <w:widowControl/>
              <w:spacing w:before="0" w:beforeLines="0" w:line="240" w:lineRule="auto"/>
              <w:jc w:val="center"/>
              <w:textAlignment w:val="center"/>
              <w:rPr>
                <w:kern w:val="0"/>
                <w:szCs w:val="21"/>
                <w:lang w:bidi="ar"/>
              </w:rPr>
            </w:pPr>
            <w:r>
              <w:rPr>
                <w:kern w:val="0"/>
                <w:szCs w:val="21"/>
              </w:rPr>
              <w:t>μg/kg</w:t>
            </w:r>
          </w:p>
        </w:tc>
      </w:tr>
      <w:tr w14:paraId="4E74DBC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44B15262">
            <w:pPr>
              <w:widowControl/>
              <w:spacing w:before="0" w:beforeLines="0" w:line="240" w:lineRule="auto"/>
              <w:jc w:val="center"/>
              <w:textAlignment w:val="center"/>
              <w:rPr>
                <w:szCs w:val="21"/>
              </w:rPr>
            </w:pPr>
            <w:r>
              <w:rPr>
                <w:kern w:val="0"/>
                <w:szCs w:val="21"/>
                <w:lang w:bidi="ar"/>
              </w:rPr>
              <w:t>25</w:t>
            </w:r>
          </w:p>
        </w:tc>
        <w:tc>
          <w:tcPr>
            <w:tcW w:w="1206" w:type="dxa"/>
            <w:tcBorders>
              <w:tl2br w:val="nil"/>
              <w:tr2bl w:val="nil"/>
            </w:tcBorders>
            <w:vAlign w:val="center"/>
          </w:tcPr>
          <w:p w14:paraId="61B2523D">
            <w:pPr>
              <w:autoSpaceDN w:val="0"/>
              <w:spacing w:before="0" w:beforeLines="0" w:line="240" w:lineRule="auto"/>
              <w:jc w:val="center"/>
              <w:textAlignment w:val="center"/>
              <w:rPr>
                <w:szCs w:val="21"/>
              </w:rPr>
            </w:pPr>
            <w:r>
              <w:rPr>
                <w:bCs/>
                <w:szCs w:val="21"/>
              </w:rPr>
              <w:t>氯乙烯</w:t>
            </w:r>
          </w:p>
        </w:tc>
        <w:tc>
          <w:tcPr>
            <w:tcW w:w="2793" w:type="dxa"/>
            <w:tcBorders>
              <w:tl2br w:val="nil"/>
              <w:tr2bl w:val="nil"/>
            </w:tcBorders>
            <w:vAlign w:val="center"/>
          </w:tcPr>
          <w:p w14:paraId="1109E9CC">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14:paraId="445ADF59">
            <w:pPr>
              <w:autoSpaceDN w:val="0"/>
              <w:spacing w:before="0" w:beforeLines="0" w:line="240" w:lineRule="auto"/>
              <w:jc w:val="center"/>
              <w:rPr>
                <w:szCs w:val="21"/>
              </w:rPr>
            </w:pPr>
            <w:r>
              <w:rPr>
                <w:szCs w:val="21"/>
              </w:rPr>
              <w:t>气相色谱质谱仪GCMS-QP2010 SE</w:t>
            </w:r>
          </w:p>
          <w:p w14:paraId="6D37218F">
            <w:pPr>
              <w:widowControl/>
              <w:autoSpaceDN w:val="0"/>
              <w:spacing w:before="0" w:beforeLines="0" w:line="240" w:lineRule="auto"/>
              <w:jc w:val="center"/>
              <w:textAlignment w:val="center"/>
              <w:rPr>
                <w:szCs w:val="21"/>
              </w:rPr>
            </w:pPr>
            <w:r>
              <w:rPr>
                <w:szCs w:val="21"/>
              </w:rPr>
              <w:t>SYZZ-SB-071-04</w:t>
            </w:r>
          </w:p>
        </w:tc>
        <w:tc>
          <w:tcPr>
            <w:tcW w:w="876" w:type="dxa"/>
            <w:tcBorders>
              <w:tl2br w:val="nil"/>
              <w:tr2bl w:val="nil"/>
            </w:tcBorders>
            <w:vAlign w:val="center"/>
          </w:tcPr>
          <w:p w14:paraId="770F6F0B">
            <w:pPr>
              <w:widowControl/>
              <w:spacing w:before="0" w:beforeLines="0" w:line="240" w:lineRule="auto"/>
              <w:jc w:val="center"/>
              <w:textAlignment w:val="center"/>
              <w:rPr>
                <w:kern w:val="0"/>
                <w:szCs w:val="21"/>
                <w:lang w:bidi="ar"/>
              </w:rPr>
            </w:pPr>
            <w:r>
              <w:rPr>
                <w:kern w:val="0"/>
                <w:szCs w:val="21"/>
              </w:rPr>
              <w:t>1.0</w:t>
            </w:r>
          </w:p>
        </w:tc>
        <w:tc>
          <w:tcPr>
            <w:tcW w:w="889" w:type="dxa"/>
            <w:tcBorders>
              <w:tl2br w:val="nil"/>
              <w:tr2bl w:val="nil"/>
            </w:tcBorders>
            <w:vAlign w:val="center"/>
          </w:tcPr>
          <w:p w14:paraId="26240231">
            <w:pPr>
              <w:widowControl/>
              <w:spacing w:before="0" w:beforeLines="0" w:line="240" w:lineRule="auto"/>
              <w:jc w:val="center"/>
              <w:textAlignment w:val="center"/>
              <w:rPr>
                <w:kern w:val="0"/>
                <w:szCs w:val="21"/>
                <w:lang w:bidi="ar"/>
              </w:rPr>
            </w:pPr>
            <w:r>
              <w:rPr>
                <w:kern w:val="0"/>
                <w:szCs w:val="21"/>
              </w:rPr>
              <w:t>μg/kg</w:t>
            </w:r>
          </w:p>
        </w:tc>
      </w:tr>
      <w:tr w14:paraId="568223D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741F5FAA">
            <w:pPr>
              <w:widowControl/>
              <w:spacing w:before="0" w:beforeLines="0" w:line="240" w:lineRule="auto"/>
              <w:jc w:val="center"/>
              <w:textAlignment w:val="center"/>
              <w:rPr>
                <w:szCs w:val="21"/>
              </w:rPr>
            </w:pPr>
            <w:r>
              <w:rPr>
                <w:kern w:val="0"/>
                <w:szCs w:val="21"/>
                <w:lang w:bidi="ar"/>
              </w:rPr>
              <w:t>26</w:t>
            </w:r>
          </w:p>
        </w:tc>
        <w:tc>
          <w:tcPr>
            <w:tcW w:w="1206" w:type="dxa"/>
            <w:tcBorders>
              <w:tl2br w:val="nil"/>
              <w:tr2bl w:val="nil"/>
            </w:tcBorders>
            <w:vAlign w:val="center"/>
          </w:tcPr>
          <w:p w14:paraId="72A5F3D1">
            <w:pPr>
              <w:autoSpaceDN w:val="0"/>
              <w:spacing w:before="0" w:beforeLines="0" w:line="240" w:lineRule="auto"/>
              <w:jc w:val="center"/>
              <w:textAlignment w:val="center"/>
              <w:rPr>
                <w:szCs w:val="21"/>
              </w:rPr>
            </w:pPr>
            <w:r>
              <w:rPr>
                <w:bCs/>
                <w:szCs w:val="21"/>
              </w:rPr>
              <w:t>苯</w:t>
            </w:r>
          </w:p>
        </w:tc>
        <w:tc>
          <w:tcPr>
            <w:tcW w:w="2793" w:type="dxa"/>
            <w:tcBorders>
              <w:tl2br w:val="nil"/>
              <w:tr2bl w:val="nil"/>
            </w:tcBorders>
            <w:vAlign w:val="center"/>
          </w:tcPr>
          <w:p w14:paraId="63878AE4">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14:paraId="61E8314E">
            <w:pPr>
              <w:autoSpaceDN w:val="0"/>
              <w:spacing w:before="0" w:beforeLines="0" w:line="240" w:lineRule="auto"/>
              <w:jc w:val="center"/>
              <w:rPr>
                <w:szCs w:val="21"/>
              </w:rPr>
            </w:pPr>
            <w:r>
              <w:rPr>
                <w:szCs w:val="21"/>
              </w:rPr>
              <w:t>气相色谱质谱仪GCMS-QP2010 SE</w:t>
            </w:r>
          </w:p>
          <w:p w14:paraId="23B86D6E">
            <w:pPr>
              <w:autoSpaceDN w:val="0"/>
              <w:spacing w:before="0" w:beforeLines="0" w:line="240" w:lineRule="auto"/>
              <w:jc w:val="center"/>
              <w:textAlignment w:val="center"/>
              <w:rPr>
                <w:szCs w:val="21"/>
              </w:rPr>
            </w:pPr>
            <w:r>
              <w:rPr>
                <w:szCs w:val="21"/>
              </w:rPr>
              <w:t>SYZZ-SB-071-04</w:t>
            </w:r>
          </w:p>
        </w:tc>
        <w:tc>
          <w:tcPr>
            <w:tcW w:w="876" w:type="dxa"/>
            <w:tcBorders>
              <w:tl2br w:val="nil"/>
              <w:tr2bl w:val="nil"/>
            </w:tcBorders>
            <w:vAlign w:val="center"/>
          </w:tcPr>
          <w:p w14:paraId="754AE49B">
            <w:pPr>
              <w:widowControl/>
              <w:spacing w:before="0" w:beforeLines="0" w:line="240" w:lineRule="auto"/>
              <w:jc w:val="center"/>
              <w:textAlignment w:val="center"/>
              <w:rPr>
                <w:kern w:val="0"/>
                <w:szCs w:val="21"/>
                <w:lang w:bidi="ar"/>
              </w:rPr>
            </w:pPr>
            <w:r>
              <w:rPr>
                <w:kern w:val="0"/>
                <w:szCs w:val="21"/>
              </w:rPr>
              <w:t>1.9</w:t>
            </w:r>
          </w:p>
        </w:tc>
        <w:tc>
          <w:tcPr>
            <w:tcW w:w="889" w:type="dxa"/>
            <w:tcBorders>
              <w:tl2br w:val="nil"/>
              <w:tr2bl w:val="nil"/>
            </w:tcBorders>
            <w:vAlign w:val="center"/>
          </w:tcPr>
          <w:p w14:paraId="553111BB">
            <w:pPr>
              <w:widowControl/>
              <w:spacing w:before="0" w:beforeLines="0" w:line="240" w:lineRule="auto"/>
              <w:jc w:val="center"/>
              <w:textAlignment w:val="center"/>
              <w:rPr>
                <w:kern w:val="0"/>
                <w:szCs w:val="21"/>
                <w:lang w:bidi="ar"/>
              </w:rPr>
            </w:pPr>
            <w:r>
              <w:rPr>
                <w:kern w:val="0"/>
                <w:szCs w:val="21"/>
              </w:rPr>
              <w:t>μg/kg</w:t>
            </w:r>
          </w:p>
        </w:tc>
      </w:tr>
      <w:tr w14:paraId="4B3656A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59A631C5">
            <w:pPr>
              <w:widowControl/>
              <w:spacing w:before="0" w:beforeLines="0" w:line="240" w:lineRule="auto"/>
              <w:jc w:val="center"/>
              <w:textAlignment w:val="center"/>
              <w:rPr>
                <w:szCs w:val="21"/>
              </w:rPr>
            </w:pPr>
            <w:r>
              <w:rPr>
                <w:kern w:val="0"/>
                <w:szCs w:val="21"/>
                <w:lang w:bidi="ar"/>
              </w:rPr>
              <w:t>27</w:t>
            </w:r>
          </w:p>
        </w:tc>
        <w:tc>
          <w:tcPr>
            <w:tcW w:w="1206" w:type="dxa"/>
            <w:tcBorders>
              <w:tl2br w:val="nil"/>
              <w:tr2bl w:val="nil"/>
            </w:tcBorders>
            <w:vAlign w:val="center"/>
          </w:tcPr>
          <w:p w14:paraId="57D028A8">
            <w:pPr>
              <w:autoSpaceDN w:val="0"/>
              <w:spacing w:before="0" w:beforeLines="0" w:line="240" w:lineRule="auto"/>
              <w:jc w:val="center"/>
              <w:textAlignment w:val="center"/>
              <w:rPr>
                <w:szCs w:val="21"/>
              </w:rPr>
            </w:pPr>
            <w:r>
              <w:rPr>
                <w:bCs/>
                <w:szCs w:val="21"/>
              </w:rPr>
              <w:t>氯苯</w:t>
            </w:r>
          </w:p>
        </w:tc>
        <w:tc>
          <w:tcPr>
            <w:tcW w:w="2793" w:type="dxa"/>
            <w:tcBorders>
              <w:tl2br w:val="nil"/>
              <w:tr2bl w:val="nil"/>
            </w:tcBorders>
            <w:vAlign w:val="center"/>
          </w:tcPr>
          <w:p w14:paraId="67B4A9EB">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14:paraId="18E78400">
            <w:pPr>
              <w:autoSpaceDN w:val="0"/>
              <w:spacing w:before="0" w:beforeLines="0" w:line="240" w:lineRule="auto"/>
              <w:jc w:val="center"/>
              <w:rPr>
                <w:szCs w:val="21"/>
              </w:rPr>
            </w:pPr>
            <w:r>
              <w:rPr>
                <w:szCs w:val="21"/>
              </w:rPr>
              <w:t>气相色谱质谱仪GCMS-QP2010 SE</w:t>
            </w:r>
          </w:p>
          <w:p w14:paraId="04BFAF7F">
            <w:pPr>
              <w:autoSpaceDN w:val="0"/>
              <w:spacing w:before="0" w:beforeLines="0" w:line="240" w:lineRule="auto"/>
              <w:jc w:val="center"/>
              <w:rPr>
                <w:szCs w:val="21"/>
              </w:rPr>
            </w:pPr>
            <w:r>
              <w:rPr>
                <w:szCs w:val="21"/>
              </w:rPr>
              <w:t>SYZZ-SB-071-04</w:t>
            </w:r>
          </w:p>
        </w:tc>
        <w:tc>
          <w:tcPr>
            <w:tcW w:w="876" w:type="dxa"/>
            <w:tcBorders>
              <w:tl2br w:val="nil"/>
              <w:tr2bl w:val="nil"/>
            </w:tcBorders>
            <w:vAlign w:val="center"/>
          </w:tcPr>
          <w:p w14:paraId="48BC5727">
            <w:pPr>
              <w:widowControl/>
              <w:spacing w:before="0" w:beforeLines="0" w:line="240" w:lineRule="auto"/>
              <w:jc w:val="center"/>
              <w:textAlignment w:val="center"/>
              <w:rPr>
                <w:kern w:val="0"/>
                <w:szCs w:val="21"/>
                <w:lang w:bidi="ar"/>
              </w:rPr>
            </w:pPr>
            <w:r>
              <w:rPr>
                <w:kern w:val="0"/>
                <w:szCs w:val="21"/>
              </w:rPr>
              <w:t>1.2</w:t>
            </w:r>
          </w:p>
        </w:tc>
        <w:tc>
          <w:tcPr>
            <w:tcW w:w="889" w:type="dxa"/>
            <w:tcBorders>
              <w:tl2br w:val="nil"/>
              <w:tr2bl w:val="nil"/>
            </w:tcBorders>
            <w:vAlign w:val="center"/>
          </w:tcPr>
          <w:p w14:paraId="7C685FF6">
            <w:pPr>
              <w:widowControl/>
              <w:spacing w:before="0" w:beforeLines="0" w:line="240" w:lineRule="auto"/>
              <w:jc w:val="center"/>
              <w:textAlignment w:val="center"/>
              <w:rPr>
                <w:kern w:val="0"/>
                <w:szCs w:val="21"/>
                <w:lang w:bidi="ar"/>
              </w:rPr>
            </w:pPr>
            <w:r>
              <w:rPr>
                <w:kern w:val="0"/>
                <w:szCs w:val="21"/>
              </w:rPr>
              <w:t>μg/kg</w:t>
            </w:r>
          </w:p>
        </w:tc>
      </w:tr>
      <w:tr w14:paraId="3009061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7EA823DA">
            <w:pPr>
              <w:widowControl/>
              <w:spacing w:before="0" w:beforeLines="0" w:line="240" w:lineRule="auto"/>
              <w:jc w:val="center"/>
              <w:textAlignment w:val="center"/>
              <w:rPr>
                <w:szCs w:val="21"/>
              </w:rPr>
            </w:pPr>
            <w:r>
              <w:rPr>
                <w:kern w:val="0"/>
                <w:szCs w:val="21"/>
                <w:lang w:bidi="ar"/>
              </w:rPr>
              <w:t>28</w:t>
            </w:r>
          </w:p>
        </w:tc>
        <w:tc>
          <w:tcPr>
            <w:tcW w:w="1206" w:type="dxa"/>
            <w:tcBorders>
              <w:tl2br w:val="nil"/>
              <w:tr2bl w:val="nil"/>
            </w:tcBorders>
            <w:vAlign w:val="center"/>
          </w:tcPr>
          <w:p w14:paraId="13746FD0">
            <w:pPr>
              <w:autoSpaceDN w:val="0"/>
              <w:spacing w:before="0" w:beforeLines="0" w:line="240" w:lineRule="auto"/>
              <w:jc w:val="center"/>
              <w:textAlignment w:val="center"/>
              <w:rPr>
                <w:szCs w:val="21"/>
              </w:rPr>
            </w:pPr>
            <w:r>
              <w:rPr>
                <w:bCs/>
                <w:szCs w:val="21"/>
              </w:rPr>
              <w:t>1，2-二氯苯</w:t>
            </w:r>
          </w:p>
        </w:tc>
        <w:tc>
          <w:tcPr>
            <w:tcW w:w="2793" w:type="dxa"/>
            <w:tcBorders>
              <w:tl2br w:val="nil"/>
              <w:tr2bl w:val="nil"/>
            </w:tcBorders>
            <w:vAlign w:val="center"/>
          </w:tcPr>
          <w:p w14:paraId="74F23DB9">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14:paraId="0C36E722">
            <w:pPr>
              <w:autoSpaceDN w:val="0"/>
              <w:spacing w:before="0" w:beforeLines="0" w:line="240" w:lineRule="auto"/>
              <w:jc w:val="center"/>
              <w:rPr>
                <w:szCs w:val="21"/>
              </w:rPr>
            </w:pPr>
            <w:r>
              <w:rPr>
                <w:szCs w:val="21"/>
              </w:rPr>
              <w:t>气相色谱质谱仪GCMS-QP2010 SE</w:t>
            </w:r>
          </w:p>
          <w:p w14:paraId="314DBFD2">
            <w:pPr>
              <w:autoSpaceDN w:val="0"/>
              <w:spacing w:before="0" w:beforeLines="0" w:line="240" w:lineRule="auto"/>
              <w:jc w:val="center"/>
              <w:rPr>
                <w:szCs w:val="21"/>
              </w:rPr>
            </w:pPr>
            <w:r>
              <w:rPr>
                <w:szCs w:val="21"/>
              </w:rPr>
              <w:t>SYZZ-SB-071-04</w:t>
            </w:r>
          </w:p>
        </w:tc>
        <w:tc>
          <w:tcPr>
            <w:tcW w:w="876" w:type="dxa"/>
            <w:tcBorders>
              <w:tl2br w:val="nil"/>
              <w:tr2bl w:val="nil"/>
            </w:tcBorders>
            <w:vAlign w:val="center"/>
          </w:tcPr>
          <w:p w14:paraId="0EC4A52C">
            <w:pPr>
              <w:widowControl/>
              <w:spacing w:before="0" w:beforeLines="0" w:line="240" w:lineRule="auto"/>
              <w:jc w:val="center"/>
              <w:textAlignment w:val="center"/>
              <w:rPr>
                <w:kern w:val="0"/>
                <w:szCs w:val="21"/>
                <w:lang w:bidi="ar"/>
              </w:rPr>
            </w:pPr>
            <w:r>
              <w:rPr>
                <w:kern w:val="0"/>
                <w:szCs w:val="21"/>
              </w:rPr>
              <w:t>1.5</w:t>
            </w:r>
          </w:p>
        </w:tc>
        <w:tc>
          <w:tcPr>
            <w:tcW w:w="889" w:type="dxa"/>
            <w:tcBorders>
              <w:tl2br w:val="nil"/>
              <w:tr2bl w:val="nil"/>
            </w:tcBorders>
            <w:vAlign w:val="center"/>
          </w:tcPr>
          <w:p w14:paraId="29014035">
            <w:pPr>
              <w:widowControl/>
              <w:spacing w:before="0" w:beforeLines="0" w:line="240" w:lineRule="auto"/>
              <w:jc w:val="center"/>
              <w:textAlignment w:val="center"/>
              <w:rPr>
                <w:kern w:val="0"/>
                <w:szCs w:val="21"/>
                <w:lang w:bidi="ar"/>
              </w:rPr>
            </w:pPr>
            <w:r>
              <w:rPr>
                <w:kern w:val="0"/>
                <w:szCs w:val="21"/>
              </w:rPr>
              <w:t>μg/kg</w:t>
            </w:r>
          </w:p>
        </w:tc>
      </w:tr>
      <w:tr w14:paraId="166543F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653AD20E">
            <w:pPr>
              <w:widowControl/>
              <w:spacing w:before="0" w:beforeLines="0" w:line="240" w:lineRule="auto"/>
              <w:jc w:val="center"/>
              <w:textAlignment w:val="center"/>
              <w:rPr>
                <w:szCs w:val="21"/>
              </w:rPr>
            </w:pPr>
            <w:r>
              <w:rPr>
                <w:kern w:val="0"/>
                <w:szCs w:val="21"/>
                <w:lang w:bidi="ar"/>
              </w:rPr>
              <w:t>29</w:t>
            </w:r>
          </w:p>
        </w:tc>
        <w:tc>
          <w:tcPr>
            <w:tcW w:w="1206" w:type="dxa"/>
            <w:tcBorders>
              <w:tl2br w:val="nil"/>
              <w:tr2bl w:val="nil"/>
            </w:tcBorders>
            <w:vAlign w:val="center"/>
          </w:tcPr>
          <w:p w14:paraId="1C99440C">
            <w:pPr>
              <w:autoSpaceDN w:val="0"/>
              <w:spacing w:before="0" w:beforeLines="0" w:line="240" w:lineRule="auto"/>
              <w:jc w:val="center"/>
              <w:textAlignment w:val="center"/>
              <w:rPr>
                <w:szCs w:val="21"/>
              </w:rPr>
            </w:pPr>
            <w:r>
              <w:rPr>
                <w:bCs/>
                <w:szCs w:val="21"/>
              </w:rPr>
              <w:t>1，4-二氯苯</w:t>
            </w:r>
          </w:p>
        </w:tc>
        <w:tc>
          <w:tcPr>
            <w:tcW w:w="2793" w:type="dxa"/>
            <w:tcBorders>
              <w:tl2br w:val="nil"/>
              <w:tr2bl w:val="nil"/>
            </w:tcBorders>
            <w:vAlign w:val="center"/>
          </w:tcPr>
          <w:p w14:paraId="3ED4357C">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14:paraId="6E14A791">
            <w:pPr>
              <w:autoSpaceDN w:val="0"/>
              <w:spacing w:before="0" w:beforeLines="0" w:line="240" w:lineRule="auto"/>
              <w:jc w:val="center"/>
              <w:rPr>
                <w:szCs w:val="21"/>
              </w:rPr>
            </w:pPr>
            <w:r>
              <w:rPr>
                <w:szCs w:val="21"/>
              </w:rPr>
              <w:t>气相色谱质谱仪GCMS-QP2010 SE</w:t>
            </w:r>
          </w:p>
          <w:p w14:paraId="296D577E">
            <w:pPr>
              <w:autoSpaceDN w:val="0"/>
              <w:spacing w:before="0" w:beforeLines="0" w:line="240" w:lineRule="auto"/>
              <w:jc w:val="center"/>
              <w:rPr>
                <w:szCs w:val="21"/>
              </w:rPr>
            </w:pPr>
            <w:r>
              <w:rPr>
                <w:szCs w:val="21"/>
              </w:rPr>
              <w:t>SYZZ-SB-071-04</w:t>
            </w:r>
          </w:p>
        </w:tc>
        <w:tc>
          <w:tcPr>
            <w:tcW w:w="876" w:type="dxa"/>
            <w:tcBorders>
              <w:tl2br w:val="nil"/>
              <w:tr2bl w:val="nil"/>
            </w:tcBorders>
            <w:vAlign w:val="center"/>
          </w:tcPr>
          <w:p w14:paraId="62C25350">
            <w:pPr>
              <w:widowControl/>
              <w:spacing w:before="0" w:beforeLines="0" w:line="240" w:lineRule="auto"/>
              <w:jc w:val="center"/>
              <w:textAlignment w:val="center"/>
              <w:rPr>
                <w:kern w:val="0"/>
                <w:szCs w:val="21"/>
                <w:lang w:bidi="ar"/>
              </w:rPr>
            </w:pPr>
            <w:r>
              <w:rPr>
                <w:kern w:val="0"/>
                <w:szCs w:val="21"/>
              </w:rPr>
              <w:t>1.5</w:t>
            </w:r>
          </w:p>
        </w:tc>
        <w:tc>
          <w:tcPr>
            <w:tcW w:w="889" w:type="dxa"/>
            <w:tcBorders>
              <w:tl2br w:val="nil"/>
              <w:tr2bl w:val="nil"/>
            </w:tcBorders>
            <w:vAlign w:val="center"/>
          </w:tcPr>
          <w:p w14:paraId="54031C65">
            <w:pPr>
              <w:widowControl/>
              <w:spacing w:before="0" w:beforeLines="0" w:line="240" w:lineRule="auto"/>
              <w:jc w:val="center"/>
              <w:textAlignment w:val="center"/>
              <w:rPr>
                <w:kern w:val="0"/>
                <w:szCs w:val="21"/>
                <w:lang w:bidi="ar"/>
              </w:rPr>
            </w:pPr>
            <w:r>
              <w:rPr>
                <w:kern w:val="0"/>
                <w:szCs w:val="21"/>
              </w:rPr>
              <w:t>μg/kg</w:t>
            </w:r>
          </w:p>
        </w:tc>
      </w:tr>
      <w:tr w14:paraId="41F76BE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45ECCBBF">
            <w:pPr>
              <w:widowControl/>
              <w:spacing w:before="0" w:beforeLines="0" w:line="240" w:lineRule="auto"/>
              <w:jc w:val="center"/>
              <w:textAlignment w:val="center"/>
              <w:rPr>
                <w:szCs w:val="21"/>
              </w:rPr>
            </w:pPr>
            <w:r>
              <w:rPr>
                <w:kern w:val="0"/>
                <w:szCs w:val="21"/>
                <w:lang w:bidi="ar"/>
              </w:rPr>
              <w:t>30</w:t>
            </w:r>
          </w:p>
        </w:tc>
        <w:tc>
          <w:tcPr>
            <w:tcW w:w="1206" w:type="dxa"/>
            <w:tcBorders>
              <w:tl2br w:val="nil"/>
              <w:tr2bl w:val="nil"/>
            </w:tcBorders>
            <w:vAlign w:val="center"/>
          </w:tcPr>
          <w:p w14:paraId="28512BA4">
            <w:pPr>
              <w:autoSpaceDN w:val="0"/>
              <w:spacing w:before="0" w:beforeLines="0" w:line="240" w:lineRule="auto"/>
              <w:jc w:val="center"/>
              <w:textAlignment w:val="center"/>
              <w:rPr>
                <w:szCs w:val="21"/>
              </w:rPr>
            </w:pPr>
            <w:r>
              <w:rPr>
                <w:bCs/>
                <w:szCs w:val="21"/>
              </w:rPr>
              <w:t>乙苯</w:t>
            </w:r>
          </w:p>
        </w:tc>
        <w:tc>
          <w:tcPr>
            <w:tcW w:w="2793" w:type="dxa"/>
            <w:tcBorders>
              <w:tl2br w:val="nil"/>
              <w:tr2bl w:val="nil"/>
            </w:tcBorders>
            <w:vAlign w:val="center"/>
          </w:tcPr>
          <w:p w14:paraId="4D03F078">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14:paraId="2B2D06C8">
            <w:pPr>
              <w:autoSpaceDN w:val="0"/>
              <w:spacing w:before="0" w:beforeLines="0" w:line="240" w:lineRule="auto"/>
              <w:jc w:val="center"/>
              <w:rPr>
                <w:szCs w:val="21"/>
              </w:rPr>
            </w:pPr>
            <w:r>
              <w:rPr>
                <w:szCs w:val="21"/>
              </w:rPr>
              <w:t>气相色谱质谱仪GCMS-QP2010 SE</w:t>
            </w:r>
          </w:p>
          <w:p w14:paraId="796A02AA">
            <w:pPr>
              <w:autoSpaceDN w:val="0"/>
              <w:spacing w:before="0" w:beforeLines="0" w:line="240" w:lineRule="auto"/>
              <w:jc w:val="center"/>
              <w:rPr>
                <w:szCs w:val="21"/>
              </w:rPr>
            </w:pPr>
            <w:r>
              <w:rPr>
                <w:szCs w:val="21"/>
              </w:rPr>
              <w:t>SYZZ-SB-071-04</w:t>
            </w:r>
          </w:p>
        </w:tc>
        <w:tc>
          <w:tcPr>
            <w:tcW w:w="876" w:type="dxa"/>
            <w:tcBorders>
              <w:tl2br w:val="nil"/>
              <w:tr2bl w:val="nil"/>
            </w:tcBorders>
            <w:vAlign w:val="center"/>
          </w:tcPr>
          <w:p w14:paraId="72F5360E">
            <w:pPr>
              <w:widowControl/>
              <w:spacing w:before="0" w:beforeLines="0" w:line="240" w:lineRule="auto"/>
              <w:jc w:val="center"/>
              <w:textAlignment w:val="center"/>
              <w:rPr>
                <w:kern w:val="0"/>
                <w:szCs w:val="21"/>
                <w:lang w:bidi="ar"/>
              </w:rPr>
            </w:pPr>
            <w:r>
              <w:rPr>
                <w:kern w:val="0"/>
                <w:szCs w:val="21"/>
              </w:rPr>
              <w:t>1.2</w:t>
            </w:r>
          </w:p>
        </w:tc>
        <w:tc>
          <w:tcPr>
            <w:tcW w:w="889" w:type="dxa"/>
            <w:tcBorders>
              <w:tl2br w:val="nil"/>
              <w:tr2bl w:val="nil"/>
            </w:tcBorders>
            <w:vAlign w:val="center"/>
          </w:tcPr>
          <w:p w14:paraId="4427B27E">
            <w:pPr>
              <w:widowControl/>
              <w:spacing w:before="0" w:beforeLines="0" w:line="240" w:lineRule="auto"/>
              <w:jc w:val="center"/>
              <w:textAlignment w:val="center"/>
              <w:rPr>
                <w:kern w:val="0"/>
                <w:szCs w:val="21"/>
                <w:lang w:bidi="ar"/>
              </w:rPr>
            </w:pPr>
            <w:r>
              <w:rPr>
                <w:kern w:val="0"/>
                <w:szCs w:val="21"/>
              </w:rPr>
              <w:t>μg/kg</w:t>
            </w:r>
          </w:p>
        </w:tc>
      </w:tr>
      <w:tr w14:paraId="59FB5EF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4BF37ED8">
            <w:pPr>
              <w:widowControl/>
              <w:spacing w:before="0" w:beforeLines="0" w:line="240" w:lineRule="auto"/>
              <w:jc w:val="center"/>
              <w:textAlignment w:val="center"/>
              <w:rPr>
                <w:szCs w:val="21"/>
              </w:rPr>
            </w:pPr>
            <w:r>
              <w:rPr>
                <w:kern w:val="0"/>
                <w:szCs w:val="21"/>
                <w:lang w:bidi="ar"/>
              </w:rPr>
              <w:t>31</w:t>
            </w:r>
          </w:p>
        </w:tc>
        <w:tc>
          <w:tcPr>
            <w:tcW w:w="1206" w:type="dxa"/>
            <w:tcBorders>
              <w:tl2br w:val="nil"/>
              <w:tr2bl w:val="nil"/>
            </w:tcBorders>
            <w:vAlign w:val="center"/>
          </w:tcPr>
          <w:p w14:paraId="5755FCF5">
            <w:pPr>
              <w:autoSpaceDN w:val="0"/>
              <w:spacing w:before="0" w:beforeLines="0" w:line="240" w:lineRule="auto"/>
              <w:jc w:val="center"/>
              <w:textAlignment w:val="center"/>
              <w:rPr>
                <w:szCs w:val="21"/>
              </w:rPr>
            </w:pPr>
            <w:r>
              <w:rPr>
                <w:bCs/>
                <w:szCs w:val="21"/>
              </w:rPr>
              <w:t>苯乙烯</w:t>
            </w:r>
          </w:p>
        </w:tc>
        <w:tc>
          <w:tcPr>
            <w:tcW w:w="2793" w:type="dxa"/>
            <w:tcBorders>
              <w:tl2br w:val="nil"/>
              <w:tr2bl w:val="nil"/>
            </w:tcBorders>
            <w:vAlign w:val="center"/>
          </w:tcPr>
          <w:p w14:paraId="18D630B4">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14:paraId="6C1719DE">
            <w:pPr>
              <w:autoSpaceDN w:val="0"/>
              <w:spacing w:before="0" w:beforeLines="0" w:line="240" w:lineRule="auto"/>
              <w:jc w:val="center"/>
              <w:rPr>
                <w:szCs w:val="21"/>
              </w:rPr>
            </w:pPr>
            <w:r>
              <w:rPr>
                <w:szCs w:val="21"/>
              </w:rPr>
              <w:t>气相色谱质谱仪GCMS-QP2010 SE</w:t>
            </w:r>
          </w:p>
          <w:p w14:paraId="4D48477E">
            <w:pPr>
              <w:autoSpaceDN w:val="0"/>
              <w:spacing w:before="0" w:beforeLines="0" w:line="240" w:lineRule="auto"/>
              <w:jc w:val="center"/>
              <w:rPr>
                <w:szCs w:val="21"/>
              </w:rPr>
            </w:pPr>
            <w:r>
              <w:rPr>
                <w:szCs w:val="21"/>
              </w:rPr>
              <w:t>SYZZ-SB-071-04</w:t>
            </w:r>
          </w:p>
        </w:tc>
        <w:tc>
          <w:tcPr>
            <w:tcW w:w="876" w:type="dxa"/>
            <w:tcBorders>
              <w:tl2br w:val="nil"/>
              <w:tr2bl w:val="nil"/>
            </w:tcBorders>
            <w:vAlign w:val="center"/>
          </w:tcPr>
          <w:p w14:paraId="68EB91B3">
            <w:pPr>
              <w:widowControl/>
              <w:spacing w:before="0" w:beforeLines="0" w:line="240" w:lineRule="auto"/>
              <w:jc w:val="center"/>
              <w:textAlignment w:val="center"/>
              <w:rPr>
                <w:kern w:val="0"/>
                <w:szCs w:val="21"/>
                <w:lang w:bidi="ar"/>
              </w:rPr>
            </w:pPr>
            <w:r>
              <w:rPr>
                <w:kern w:val="0"/>
                <w:szCs w:val="21"/>
              </w:rPr>
              <w:t>1.1</w:t>
            </w:r>
          </w:p>
        </w:tc>
        <w:tc>
          <w:tcPr>
            <w:tcW w:w="889" w:type="dxa"/>
            <w:tcBorders>
              <w:tl2br w:val="nil"/>
              <w:tr2bl w:val="nil"/>
            </w:tcBorders>
            <w:vAlign w:val="center"/>
          </w:tcPr>
          <w:p w14:paraId="30417391">
            <w:pPr>
              <w:widowControl/>
              <w:spacing w:before="0" w:beforeLines="0" w:line="240" w:lineRule="auto"/>
              <w:jc w:val="center"/>
              <w:textAlignment w:val="center"/>
              <w:rPr>
                <w:kern w:val="0"/>
                <w:szCs w:val="21"/>
                <w:lang w:bidi="ar"/>
              </w:rPr>
            </w:pPr>
            <w:r>
              <w:rPr>
                <w:kern w:val="0"/>
                <w:szCs w:val="21"/>
              </w:rPr>
              <w:t>μg/kg</w:t>
            </w:r>
          </w:p>
        </w:tc>
      </w:tr>
      <w:tr w14:paraId="47EEDD0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1B76E2AE">
            <w:pPr>
              <w:widowControl/>
              <w:spacing w:before="0" w:beforeLines="0" w:line="240" w:lineRule="auto"/>
              <w:jc w:val="center"/>
              <w:textAlignment w:val="center"/>
              <w:rPr>
                <w:szCs w:val="21"/>
              </w:rPr>
            </w:pPr>
            <w:r>
              <w:rPr>
                <w:kern w:val="0"/>
                <w:szCs w:val="21"/>
                <w:lang w:bidi="ar"/>
              </w:rPr>
              <w:t>32</w:t>
            </w:r>
          </w:p>
        </w:tc>
        <w:tc>
          <w:tcPr>
            <w:tcW w:w="1206" w:type="dxa"/>
            <w:tcBorders>
              <w:tl2br w:val="nil"/>
              <w:tr2bl w:val="nil"/>
            </w:tcBorders>
            <w:vAlign w:val="center"/>
          </w:tcPr>
          <w:p w14:paraId="3AE2E27C">
            <w:pPr>
              <w:autoSpaceDN w:val="0"/>
              <w:spacing w:before="0" w:beforeLines="0" w:line="240" w:lineRule="auto"/>
              <w:jc w:val="center"/>
              <w:textAlignment w:val="center"/>
              <w:rPr>
                <w:szCs w:val="21"/>
              </w:rPr>
            </w:pPr>
            <w:r>
              <w:rPr>
                <w:bCs/>
                <w:szCs w:val="21"/>
              </w:rPr>
              <w:t>甲苯</w:t>
            </w:r>
          </w:p>
        </w:tc>
        <w:tc>
          <w:tcPr>
            <w:tcW w:w="2793" w:type="dxa"/>
            <w:tcBorders>
              <w:tl2br w:val="nil"/>
              <w:tr2bl w:val="nil"/>
            </w:tcBorders>
            <w:vAlign w:val="center"/>
          </w:tcPr>
          <w:p w14:paraId="2D178E82">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14:paraId="7BC2D46F">
            <w:pPr>
              <w:autoSpaceDN w:val="0"/>
              <w:spacing w:before="0" w:beforeLines="0" w:line="240" w:lineRule="auto"/>
              <w:jc w:val="center"/>
              <w:rPr>
                <w:szCs w:val="21"/>
              </w:rPr>
            </w:pPr>
            <w:r>
              <w:rPr>
                <w:szCs w:val="21"/>
              </w:rPr>
              <w:t>气相色谱质谱仪GCMS-QP2010 SE</w:t>
            </w:r>
          </w:p>
          <w:p w14:paraId="7C5CA3E7">
            <w:pPr>
              <w:autoSpaceDN w:val="0"/>
              <w:spacing w:before="0" w:beforeLines="0" w:line="240" w:lineRule="auto"/>
              <w:jc w:val="center"/>
              <w:rPr>
                <w:szCs w:val="21"/>
              </w:rPr>
            </w:pPr>
            <w:r>
              <w:rPr>
                <w:szCs w:val="21"/>
              </w:rPr>
              <w:t>SYZZ-SB-071-04</w:t>
            </w:r>
          </w:p>
        </w:tc>
        <w:tc>
          <w:tcPr>
            <w:tcW w:w="876" w:type="dxa"/>
            <w:tcBorders>
              <w:tl2br w:val="nil"/>
              <w:tr2bl w:val="nil"/>
            </w:tcBorders>
            <w:vAlign w:val="center"/>
          </w:tcPr>
          <w:p w14:paraId="0908BF3F">
            <w:pPr>
              <w:widowControl/>
              <w:spacing w:before="0" w:beforeLines="0" w:line="240" w:lineRule="auto"/>
              <w:jc w:val="center"/>
              <w:textAlignment w:val="center"/>
              <w:rPr>
                <w:kern w:val="0"/>
                <w:szCs w:val="21"/>
                <w:lang w:bidi="ar"/>
              </w:rPr>
            </w:pPr>
            <w:r>
              <w:rPr>
                <w:kern w:val="0"/>
                <w:szCs w:val="21"/>
              </w:rPr>
              <w:t>1.3</w:t>
            </w:r>
          </w:p>
        </w:tc>
        <w:tc>
          <w:tcPr>
            <w:tcW w:w="889" w:type="dxa"/>
            <w:tcBorders>
              <w:tl2br w:val="nil"/>
              <w:tr2bl w:val="nil"/>
            </w:tcBorders>
            <w:vAlign w:val="center"/>
          </w:tcPr>
          <w:p w14:paraId="2F9D7DC6">
            <w:pPr>
              <w:widowControl/>
              <w:spacing w:before="0" w:beforeLines="0" w:line="240" w:lineRule="auto"/>
              <w:jc w:val="center"/>
              <w:textAlignment w:val="center"/>
              <w:rPr>
                <w:kern w:val="0"/>
                <w:szCs w:val="21"/>
                <w:lang w:bidi="ar"/>
              </w:rPr>
            </w:pPr>
            <w:r>
              <w:rPr>
                <w:kern w:val="0"/>
                <w:szCs w:val="21"/>
              </w:rPr>
              <w:t>μg/kg</w:t>
            </w:r>
          </w:p>
        </w:tc>
      </w:tr>
      <w:tr w14:paraId="1441683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31A18BE4">
            <w:pPr>
              <w:widowControl/>
              <w:spacing w:before="0" w:beforeLines="0" w:line="240" w:lineRule="auto"/>
              <w:jc w:val="center"/>
              <w:textAlignment w:val="center"/>
              <w:rPr>
                <w:szCs w:val="21"/>
              </w:rPr>
            </w:pPr>
            <w:r>
              <w:rPr>
                <w:kern w:val="0"/>
                <w:szCs w:val="21"/>
                <w:lang w:bidi="ar"/>
              </w:rPr>
              <w:t>33</w:t>
            </w:r>
          </w:p>
        </w:tc>
        <w:tc>
          <w:tcPr>
            <w:tcW w:w="1206" w:type="dxa"/>
            <w:tcBorders>
              <w:tl2br w:val="nil"/>
              <w:tr2bl w:val="nil"/>
            </w:tcBorders>
            <w:vAlign w:val="center"/>
          </w:tcPr>
          <w:p w14:paraId="1D806E77">
            <w:pPr>
              <w:autoSpaceDN w:val="0"/>
              <w:spacing w:before="0" w:beforeLines="0" w:line="240" w:lineRule="auto"/>
              <w:jc w:val="center"/>
              <w:textAlignment w:val="center"/>
              <w:rPr>
                <w:szCs w:val="21"/>
              </w:rPr>
            </w:pPr>
            <w:r>
              <w:rPr>
                <w:bCs/>
                <w:szCs w:val="21"/>
              </w:rPr>
              <w:t>间，对-二甲苯</w:t>
            </w:r>
          </w:p>
        </w:tc>
        <w:tc>
          <w:tcPr>
            <w:tcW w:w="2793" w:type="dxa"/>
            <w:tcBorders>
              <w:tl2br w:val="nil"/>
              <w:tr2bl w:val="nil"/>
            </w:tcBorders>
            <w:vAlign w:val="center"/>
          </w:tcPr>
          <w:p w14:paraId="631A8D64">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14:paraId="0CAF1E15">
            <w:pPr>
              <w:autoSpaceDN w:val="0"/>
              <w:spacing w:before="0" w:beforeLines="0" w:line="240" w:lineRule="auto"/>
              <w:jc w:val="center"/>
              <w:rPr>
                <w:szCs w:val="21"/>
              </w:rPr>
            </w:pPr>
            <w:r>
              <w:rPr>
                <w:szCs w:val="21"/>
              </w:rPr>
              <w:t>气相色谱质谱仪GCMS-QP2010 SE</w:t>
            </w:r>
          </w:p>
          <w:p w14:paraId="3521BC8F">
            <w:pPr>
              <w:autoSpaceDN w:val="0"/>
              <w:spacing w:before="0" w:beforeLines="0" w:line="240" w:lineRule="auto"/>
              <w:jc w:val="center"/>
              <w:rPr>
                <w:szCs w:val="21"/>
              </w:rPr>
            </w:pPr>
            <w:r>
              <w:rPr>
                <w:szCs w:val="21"/>
              </w:rPr>
              <w:t>SYZZ-SB-071-04</w:t>
            </w:r>
          </w:p>
        </w:tc>
        <w:tc>
          <w:tcPr>
            <w:tcW w:w="876" w:type="dxa"/>
            <w:tcBorders>
              <w:tl2br w:val="nil"/>
              <w:tr2bl w:val="nil"/>
            </w:tcBorders>
            <w:vAlign w:val="center"/>
          </w:tcPr>
          <w:p w14:paraId="6A4B84E0">
            <w:pPr>
              <w:widowControl/>
              <w:spacing w:before="0" w:beforeLines="0" w:line="240" w:lineRule="auto"/>
              <w:jc w:val="center"/>
              <w:textAlignment w:val="center"/>
              <w:rPr>
                <w:kern w:val="0"/>
                <w:szCs w:val="21"/>
                <w:lang w:bidi="ar"/>
              </w:rPr>
            </w:pPr>
            <w:r>
              <w:rPr>
                <w:kern w:val="0"/>
                <w:szCs w:val="21"/>
              </w:rPr>
              <w:t>1.2</w:t>
            </w:r>
          </w:p>
        </w:tc>
        <w:tc>
          <w:tcPr>
            <w:tcW w:w="889" w:type="dxa"/>
            <w:tcBorders>
              <w:tl2br w:val="nil"/>
              <w:tr2bl w:val="nil"/>
            </w:tcBorders>
            <w:vAlign w:val="center"/>
          </w:tcPr>
          <w:p w14:paraId="6E3577CA">
            <w:pPr>
              <w:widowControl/>
              <w:spacing w:before="0" w:beforeLines="0" w:line="240" w:lineRule="auto"/>
              <w:jc w:val="center"/>
              <w:textAlignment w:val="center"/>
              <w:rPr>
                <w:kern w:val="0"/>
                <w:szCs w:val="21"/>
                <w:lang w:bidi="ar"/>
              </w:rPr>
            </w:pPr>
            <w:r>
              <w:rPr>
                <w:kern w:val="0"/>
                <w:szCs w:val="21"/>
              </w:rPr>
              <w:t>μg/kg</w:t>
            </w:r>
          </w:p>
        </w:tc>
      </w:tr>
      <w:tr w14:paraId="7CB1A7D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2C489659">
            <w:pPr>
              <w:widowControl/>
              <w:spacing w:before="0" w:beforeLines="0" w:line="240" w:lineRule="auto"/>
              <w:jc w:val="center"/>
              <w:textAlignment w:val="center"/>
              <w:rPr>
                <w:szCs w:val="21"/>
              </w:rPr>
            </w:pPr>
            <w:r>
              <w:rPr>
                <w:kern w:val="0"/>
                <w:szCs w:val="21"/>
                <w:lang w:bidi="ar"/>
              </w:rPr>
              <w:t>34</w:t>
            </w:r>
          </w:p>
        </w:tc>
        <w:tc>
          <w:tcPr>
            <w:tcW w:w="1206" w:type="dxa"/>
            <w:tcBorders>
              <w:tl2br w:val="nil"/>
              <w:tr2bl w:val="nil"/>
            </w:tcBorders>
            <w:vAlign w:val="center"/>
          </w:tcPr>
          <w:p w14:paraId="77BC91EC">
            <w:pPr>
              <w:autoSpaceDN w:val="0"/>
              <w:spacing w:before="0" w:beforeLines="0" w:line="240" w:lineRule="auto"/>
              <w:jc w:val="center"/>
              <w:textAlignment w:val="center"/>
              <w:rPr>
                <w:szCs w:val="21"/>
              </w:rPr>
            </w:pPr>
            <w:r>
              <w:rPr>
                <w:bCs/>
                <w:szCs w:val="21"/>
              </w:rPr>
              <w:t>邻-二甲苯</w:t>
            </w:r>
          </w:p>
        </w:tc>
        <w:tc>
          <w:tcPr>
            <w:tcW w:w="2793" w:type="dxa"/>
            <w:tcBorders>
              <w:tl2br w:val="nil"/>
              <w:tr2bl w:val="nil"/>
            </w:tcBorders>
            <w:vAlign w:val="center"/>
          </w:tcPr>
          <w:p w14:paraId="1836F06A">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14:paraId="0EB1D8B8">
            <w:pPr>
              <w:autoSpaceDN w:val="0"/>
              <w:spacing w:before="0" w:beforeLines="0" w:line="240" w:lineRule="auto"/>
              <w:jc w:val="center"/>
              <w:rPr>
                <w:szCs w:val="21"/>
              </w:rPr>
            </w:pPr>
            <w:r>
              <w:rPr>
                <w:szCs w:val="21"/>
              </w:rPr>
              <w:t>气相色谱质谱仪GCMS-QP2010 SE</w:t>
            </w:r>
          </w:p>
          <w:p w14:paraId="57D3C5E3">
            <w:pPr>
              <w:autoSpaceDN w:val="0"/>
              <w:spacing w:before="0" w:beforeLines="0" w:line="240" w:lineRule="auto"/>
              <w:jc w:val="center"/>
              <w:rPr>
                <w:szCs w:val="21"/>
              </w:rPr>
            </w:pPr>
            <w:r>
              <w:rPr>
                <w:szCs w:val="21"/>
              </w:rPr>
              <w:t>SYZZ-SB-071-04</w:t>
            </w:r>
          </w:p>
        </w:tc>
        <w:tc>
          <w:tcPr>
            <w:tcW w:w="876" w:type="dxa"/>
            <w:tcBorders>
              <w:tl2br w:val="nil"/>
              <w:tr2bl w:val="nil"/>
            </w:tcBorders>
            <w:vAlign w:val="center"/>
          </w:tcPr>
          <w:p w14:paraId="725B7465">
            <w:pPr>
              <w:widowControl/>
              <w:spacing w:before="0" w:beforeLines="0" w:line="240" w:lineRule="auto"/>
              <w:jc w:val="center"/>
              <w:textAlignment w:val="center"/>
              <w:rPr>
                <w:kern w:val="0"/>
                <w:szCs w:val="21"/>
                <w:lang w:bidi="ar"/>
              </w:rPr>
            </w:pPr>
            <w:r>
              <w:rPr>
                <w:kern w:val="0"/>
                <w:szCs w:val="21"/>
              </w:rPr>
              <w:t>1.2</w:t>
            </w:r>
          </w:p>
        </w:tc>
        <w:tc>
          <w:tcPr>
            <w:tcW w:w="889" w:type="dxa"/>
            <w:tcBorders>
              <w:tl2br w:val="nil"/>
              <w:tr2bl w:val="nil"/>
            </w:tcBorders>
            <w:vAlign w:val="center"/>
          </w:tcPr>
          <w:p w14:paraId="398D4C37">
            <w:pPr>
              <w:widowControl/>
              <w:spacing w:before="0" w:beforeLines="0" w:line="240" w:lineRule="auto"/>
              <w:jc w:val="center"/>
              <w:textAlignment w:val="center"/>
              <w:rPr>
                <w:kern w:val="0"/>
                <w:szCs w:val="21"/>
                <w:lang w:bidi="ar"/>
              </w:rPr>
            </w:pPr>
            <w:r>
              <w:rPr>
                <w:kern w:val="0"/>
                <w:szCs w:val="21"/>
              </w:rPr>
              <w:t>μg/kg</w:t>
            </w:r>
          </w:p>
        </w:tc>
      </w:tr>
      <w:tr w14:paraId="77A1EC2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468065A7">
            <w:pPr>
              <w:widowControl/>
              <w:spacing w:before="0" w:beforeLines="0" w:line="240" w:lineRule="auto"/>
              <w:jc w:val="center"/>
              <w:textAlignment w:val="center"/>
              <w:rPr>
                <w:szCs w:val="21"/>
              </w:rPr>
            </w:pPr>
            <w:r>
              <w:rPr>
                <w:kern w:val="0"/>
                <w:szCs w:val="21"/>
                <w:lang w:bidi="ar"/>
              </w:rPr>
              <w:t>35</w:t>
            </w:r>
          </w:p>
        </w:tc>
        <w:tc>
          <w:tcPr>
            <w:tcW w:w="1206" w:type="dxa"/>
            <w:tcBorders>
              <w:tl2br w:val="nil"/>
              <w:tr2bl w:val="nil"/>
            </w:tcBorders>
            <w:vAlign w:val="center"/>
          </w:tcPr>
          <w:p w14:paraId="46C89866">
            <w:pPr>
              <w:autoSpaceDN w:val="0"/>
              <w:spacing w:before="0" w:beforeLines="0" w:line="240" w:lineRule="auto"/>
              <w:jc w:val="center"/>
              <w:textAlignment w:val="center"/>
              <w:rPr>
                <w:szCs w:val="21"/>
              </w:rPr>
            </w:pPr>
            <w:r>
              <w:rPr>
                <w:bCs/>
                <w:szCs w:val="21"/>
              </w:rPr>
              <w:t>硝基苯</w:t>
            </w:r>
          </w:p>
        </w:tc>
        <w:tc>
          <w:tcPr>
            <w:tcW w:w="2793" w:type="dxa"/>
            <w:tcBorders>
              <w:tl2br w:val="nil"/>
              <w:tr2bl w:val="nil"/>
            </w:tcBorders>
            <w:vAlign w:val="center"/>
          </w:tcPr>
          <w:p w14:paraId="188B6E01">
            <w:pPr>
              <w:autoSpaceDN w:val="0"/>
              <w:spacing w:before="0" w:beforeLines="0" w:line="240" w:lineRule="auto"/>
              <w:jc w:val="center"/>
              <w:textAlignment w:val="center"/>
              <w:rPr>
                <w:szCs w:val="21"/>
              </w:rPr>
            </w:pPr>
            <w:r>
              <w:rPr>
                <w:szCs w:val="21"/>
              </w:rPr>
              <w:t>土壤和沉积物 半挥发性有机物的测定 气相色谱-质谱法HJ 834-2017</w:t>
            </w:r>
          </w:p>
        </w:tc>
        <w:tc>
          <w:tcPr>
            <w:tcW w:w="2100" w:type="dxa"/>
            <w:tcBorders>
              <w:tl2br w:val="nil"/>
              <w:tr2bl w:val="nil"/>
            </w:tcBorders>
            <w:vAlign w:val="center"/>
          </w:tcPr>
          <w:p w14:paraId="3807D3E3">
            <w:pPr>
              <w:autoSpaceDN w:val="0"/>
              <w:spacing w:before="0" w:beforeLines="0" w:line="240" w:lineRule="auto"/>
              <w:jc w:val="center"/>
              <w:rPr>
                <w:szCs w:val="21"/>
              </w:rPr>
            </w:pPr>
            <w:r>
              <w:rPr>
                <w:szCs w:val="21"/>
              </w:rPr>
              <w:t>气相色谱质谱仪GCMS-QP2010 SE</w:t>
            </w:r>
          </w:p>
          <w:p w14:paraId="1F5875CC">
            <w:pPr>
              <w:autoSpaceDN w:val="0"/>
              <w:spacing w:before="0" w:beforeLines="0" w:line="240" w:lineRule="auto"/>
              <w:jc w:val="center"/>
              <w:rPr>
                <w:szCs w:val="21"/>
              </w:rPr>
            </w:pPr>
            <w:r>
              <w:rPr>
                <w:szCs w:val="21"/>
              </w:rPr>
              <w:t>SYZZ-SB-071-03</w:t>
            </w:r>
          </w:p>
        </w:tc>
        <w:tc>
          <w:tcPr>
            <w:tcW w:w="876" w:type="dxa"/>
            <w:tcBorders>
              <w:tl2br w:val="nil"/>
              <w:tr2bl w:val="nil"/>
            </w:tcBorders>
            <w:vAlign w:val="center"/>
          </w:tcPr>
          <w:p w14:paraId="1FABCDC8">
            <w:pPr>
              <w:widowControl/>
              <w:spacing w:before="0" w:beforeLines="0" w:line="240" w:lineRule="auto"/>
              <w:jc w:val="center"/>
              <w:textAlignment w:val="center"/>
              <w:rPr>
                <w:kern w:val="0"/>
                <w:szCs w:val="21"/>
                <w:lang w:bidi="ar"/>
              </w:rPr>
            </w:pPr>
            <w:r>
              <w:rPr>
                <w:kern w:val="0"/>
                <w:szCs w:val="21"/>
              </w:rPr>
              <w:t>0.09</w:t>
            </w:r>
          </w:p>
        </w:tc>
        <w:tc>
          <w:tcPr>
            <w:tcW w:w="889" w:type="dxa"/>
            <w:tcBorders>
              <w:tl2br w:val="nil"/>
              <w:tr2bl w:val="nil"/>
            </w:tcBorders>
            <w:vAlign w:val="center"/>
          </w:tcPr>
          <w:p w14:paraId="1D022DC0">
            <w:pPr>
              <w:widowControl/>
              <w:spacing w:before="0" w:beforeLines="0" w:line="240" w:lineRule="auto"/>
              <w:jc w:val="center"/>
              <w:textAlignment w:val="center"/>
              <w:rPr>
                <w:kern w:val="0"/>
                <w:szCs w:val="21"/>
                <w:lang w:bidi="ar"/>
              </w:rPr>
            </w:pPr>
            <w:r>
              <w:rPr>
                <w:kern w:val="0"/>
                <w:szCs w:val="21"/>
              </w:rPr>
              <w:t>mg/kg</w:t>
            </w:r>
          </w:p>
        </w:tc>
      </w:tr>
      <w:tr w14:paraId="3DEC60D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19ED6000">
            <w:pPr>
              <w:widowControl/>
              <w:spacing w:before="0" w:beforeLines="0" w:line="240" w:lineRule="auto"/>
              <w:jc w:val="center"/>
              <w:textAlignment w:val="center"/>
              <w:rPr>
                <w:szCs w:val="21"/>
              </w:rPr>
            </w:pPr>
            <w:r>
              <w:rPr>
                <w:kern w:val="0"/>
                <w:szCs w:val="21"/>
                <w:lang w:bidi="ar"/>
              </w:rPr>
              <w:t>36</w:t>
            </w:r>
          </w:p>
        </w:tc>
        <w:tc>
          <w:tcPr>
            <w:tcW w:w="1206" w:type="dxa"/>
            <w:tcBorders>
              <w:tl2br w:val="nil"/>
              <w:tr2bl w:val="nil"/>
            </w:tcBorders>
            <w:vAlign w:val="center"/>
          </w:tcPr>
          <w:p w14:paraId="42888C95">
            <w:pPr>
              <w:autoSpaceDN w:val="0"/>
              <w:spacing w:before="0" w:beforeLines="0" w:line="240" w:lineRule="auto"/>
              <w:jc w:val="center"/>
              <w:textAlignment w:val="center"/>
              <w:rPr>
                <w:szCs w:val="21"/>
              </w:rPr>
            </w:pPr>
            <w:r>
              <w:rPr>
                <w:spacing w:val="20"/>
                <w:szCs w:val="21"/>
              </w:rPr>
              <w:t>2-氯苯酚</w:t>
            </w:r>
          </w:p>
        </w:tc>
        <w:tc>
          <w:tcPr>
            <w:tcW w:w="2793" w:type="dxa"/>
            <w:tcBorders>
              <w:tl2br w:val="nil"/>
              <w:tr2bl w:val="nil"/>
            </w:tcBorders>
            <w:vAlign w:val="center"/>
          </w:tcPr>
          <w:p w14:paraId="0B860CE5">
            <w:pPr>
              <w:autoSpaceDN w:val="0"/>
              <w:spacing w:before="0" w:beforeLines="0" w:line="240" w:lineRule="auto"/>
              <w:jc w:val="center"/>
              <w:textAlignment w:val="center"/>
              <w:rPr>
                <w:szCs w:val="21"/>
              </w:rPr>
            </w:pPr>
            <w:r>
              <w:rPr>
                <w:szCs w:val="21"/>
              </w:rPr>
              <w:t>土壤和沉积物 半挥发性有机物的测定 气相色谱-质谱法HJ 834-2017</w:t>
            </w:r>
          </w:p>
        </w:tc>
        <w:tc>
          <w:tcPr>
            <w:tcW w:w="2100" w:type="dxa"/>
            <w:tcBorders>
              <w:tl2br w:val="nil"/>
              <w:tr2bl w:val="nil"/>
            </w:tcBorders>
            <w:vAlign w:val="center"/>
          </w:tcPr>
          <w:p w14:paraId="30A95BB9">
            <w:pPr>
              <w:widowControl/>
              <w:spacing w:before="0" w:beforeLines="0" w:line="240" w:lineRule="auto"/>
              <w:jc w:val="center"/>
              <w:textAlignment w:val="center"/>
              <w:rPr>
                <w:szCs w:val="21"/>
              </w:rPr>
            </w:pPr>
            <w:r>
              <w:rPr>
                <w:szCs w:val="21"/>
              </w:rPr>
              <w:t>气相色谱质谱仪GCMS-QP2010 SE</w:t>
            </w:r>
          </w:p>
          <w:p w14:paraId="6C309A53">
            <w:pPr>
              <w:autoSpaceDN w:val="0"/>
              <w:spacing w:before="0" w:beforeLines="0" w:line="240" w:lineRule="auto"/>
              <w:jc w:val="center"/>
              <w:textAlignment w:val="center"/>
              <w:rPr>
                <w:szCs w:val="21"/>
              </w:rPr>
            </w:pPr>
            <w:r>
              <w:rPr>
                <w:szCs w:val="21"/>
              </w:rPr>
              <w:t>SYZZ-SB-071-03</w:t>
            </w:r>
          </w:p>
        </w:tc>
        <w:tc>
          <w:tcPr>
            <w:tcW w:w="876" w:type="dxa"/>
            <w:tcBorders>
              <w:tl2br w:val="nil"/>
              <w:tr2bl w:val="nil"/>
            </w:tcBorders>
            <w:vAlign w:val="center"/>
          </w:tcPr>
          <w:p w14:paraId="1F9D655B">
            <w:pPr>
              <w:widowControl/>
              <w:spacing w:before="0" w:beforeLines="0" w:line="240" w:lineRule="auto"/>
              <w:jc w:val="center"/>
              <w:textAlignment w:val="center"/>
              <w:rPr>
                <w:kern w:val="0"/>
                <w:szCs w:val="21"/>
                <w:lang w:bidi="ar"/>
              </w:rPr>
            </w:pPr>
            <w:r>
              <w:rPr>
                <w:kern w:val="0"/>
                <w:szCs w:val="21"/>
                <w:lang w:bidi="ar"/>
              </w:rPr>
              <w:t>0.06</w:t>
            </w:r>
          </w:p>
        </w:tc>
        <w:tc>
          <w:tcPr>
            <w:tcW w:w="889" w:type="dxa"/>
            <w:tcBorders>
              <w:tl2br w:val="nil"/>
              <w:tr2bl w:val="nil"/>
            </w:tcBorders>
            <w:vAlign w:val="center"/>
          </w:tcPr>
          <w:p w14:paraId="744609A1">
            <w:pPr>
              <w:widowControl/>
              <w:spacing w:before="0" w:beforeLines="0" w:line="240" w:lineRule="auto"/>
              <w:jc w:val="center"/>
              <w:textAlignment w:val="center"/>
              <w:rPr>
                <w:kern w:val="0"/>
                <w:szCs w:val="21"/>
                <w:lang w:bidi="ar"/>
              </w:rPr>
            </w:pPr>
            <w:r>
              <w:rPr>
                <w:kern w:val="0"/>
                <w:szCs w:val="21"/>
                <w:lang w:bidi="ar"/>
              </w:rPr>
              <w:t>mg/kg</w:t>
            </w:r>
          </w:p>
        </w:tc>
      </w:tr>
      <w:tr w14:paraId="059611C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304B3188">
            <w:pPr>
              <w:widowControl/>
              <w:spacing w:before="0" w:beforeLines="0" w:line="240" w:lineRule="auto"/>
              <w:jc w:val="center"/>
              <w:textAlignment w:val="center"/>
              <w:rPr>
                <w:szCs w:val="21"/>
              </w:rPr>
            </w:pPr>
            <w:r>
              <w:rPr>
                <w:kern w:val="0"/>
                <w:szCs w:val="21"/>
                <w:lang w:bidi="ar"/>
              </w:rPr>
              <w:t>37</w:t>
            </w:r>
          </w:p>
        </w:tc>
        <w:tc>
          <w:tcPr>
            <w:tcW w:w="1206" w:type="dxa"/>
            <w:tcBorders>
              <w:tl2br w:val="nil"/>
              <w:tr2bl w:val="nil"/>
            </w:tcBorders>
            <w:vAlign w:val="center"/>
          </w:tcPr>
          <w:p w14:paraId="4FB7EEB2">
            <w:pPr>
              <w:autoSpaceDN w:val="0"/>
              <w:spacing w:before="0" w:beforeLines="0" w:line="240" w:lineRule="auto"/>
              <w:jc w:val="center"/>
              <w:rPr>
                <w:szCs w:val="21"/>
              </w:rPr>
            </w:pPr>
            <w:r>
              <w:rPr>
                <w:szCs w:val="21"/>
              </w:rPr>
              <w:t>苯并（a）蒽</w:t>
            </w:r>
          </w:p>
        </w:tc>
        <w:tc>
          <w:tcPr>
            <w:tcW w:w="2793" w:type="dxa"/>
            <w:tcBorders>
              <w:tl2br w:val="nil"/>
              <w:tr2bl w:val="nil"/>
            </w:tcBorders>
            <w:vAlign w:val="center"/>
          </w:tcPr>
          <w:p w14:paraId="5E4CF6A8">
            <w:pPr>
              <w:autoSpaceDN w:val="0"/>
              <w:spacing w:before="0" w:beforeLines="0" w:line="240" w:lineRule="auto"/>
              <w:jc w:val="center"/>
              <w:textAlignment w:val="center"/>
              <w:rPr>
                <w:szCs w:val="21"/>
              </w:rPr>
            </w:pPr>
            <w:r>
              <w:rPr>
                <w:szCs w:val="21"/>
              </w:rPr>
              <w:t>土壤和沉积物 半挥发性有机物的测定 气相色谱-质谱法HJ 834-2017</w:t>
            </w:r>
          </w:p>
        </w:tc>
        <w:tc>
          <w:tcPr>
            <w:tcW w:w="2100" w:type="dxa"/>
            <w:tcBorders>
              <w:tl2br w:val="nil"/>
              <w:tr2bl w:val="nil"/>
            </w:tcBorders>
            <w:vAlign w:val="center"/>
          </w:tcPr>
          <w:p w14:paraId="499F7C9F">
            <w:pPr>
              <w:widowControl/>
              <w:spacing w:before="0" w:beforeLines="0" w:line="240" w:lineRule="auto"/>
              <w:jc w:val="center"/>
              <w:textAlignment w:val="center"/>
              <w:rPr>
                <w:szCs w:val="21"/>
              </w:rPr>
            </w:pPr>
            <w:r>
              <w:rPr>
                <w:szCs w:val="21"/>
              </w:rPr>
              <w:t>气相色谱质谱仪GCMS-QP2010 SE</w:t>
            </w:r>
          </w:p>
          <w:p w14:paraId="067CC7B1">
            <w:pPr>
              <w:widowControl/>
              <w:autoSpaceDN w:val="0"/>
              <w:spacing w:before="0" w:beforeLines="0" w:line="240" w:lineRule="auto"/>
              <w:jc w:val="center"/>
              <w:textAlignment w:val="center"/>
              <w:rPr>
                <w:kern w:val="0"/>
                <w:szCs w:val="21"/>
              </w:rPr>
            </w:pPr>
            <w:r>
              <w:rPr>
                <w:szCs w:val="21"/>
              </w:rPr>
              <w:t>SYZZ-SB-071-03</w:t>
            </w:r>
          </w:p>
        </w:tc>
        <w:tc>
          <w:tcPr>
            <w:tcW w:w="876" w:type="dxa"/>
            <w:tcBorders>
              <w:tl2br w:val="nil"/>
              <w:tr2bl w:val="nil"/>
            </w:tcBorders>
            <w:vAlign w:val="center"/>
          </w:tcPr>
          <w:p w14:paraId="7C05824D">
            <w:pPr>
              <w:widowControl/>
              <w:spacing w:before="0" w:beforeLines="0" w:line="240" w:lineRule="auto"/>
              <w:jc w:val="center"/>
              <w:textAlignment w:val="center"/>
              <w:rPr>
                <w:kern w:val="0"/>
                <w:szCs w:val="21"/>
              </w:rPr>
            </w:pPr>
            <w:r>
              <w:rPr>
                <w:kern w:val="0"/>
                <w:szCs w:val="21"/>
                <w:lang w:bidi="ar"/>
              </w:rPr>
              <w:t>0.1</w:t>
            </w:r>
          </w:p>
        </w:tc>
        <w:tc>
          <w:tcPr>
            <w:tcW w:w="889" w:type="dxa"/>
            <w:tcBorders>
              <w:tl2br w:val="nil"/>
              <w:tr2bl w:val="nil"/>
            </w:tcBorders>
            <w:vAlign w:val="center"/>
          </w:tcPr>
          <w:p w14:paraId="7A64BC3B">
            <w:pPr>
              <w:widowControl/>
              <w:spacing w:before="0" w:beforeLines="0" w:line="240" w:lineRule="auto"/>
              <w:jc w:val="center"/>
              <w:textAlignment w:val="center"/>
              <w:rPr>
                <w:kern w:val="0"/>
                <w:szCs w:val="21"/>
              </w:rPr>
            </w:pPr>
            <w:r>
              <w:rPr>
                <w:kern w:val="0"/>
                <w:szCs w:val="21"/>
                <w:lang w:bidi="ar"/>
              </w:rPr>
              <w:t>mg/kg</w:t>
            </w:r>
          </w:p>
        </w:tc>
      </w:tr>
      <w:tr w14:paraId="532C28D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6935D4BD">
            <w:pPr>
              <w:widowControl/>
              <w:spacing w:before="0" w:beforeLines="0" w:line="240" w:lineRule="auto"/>
              <w:jc w:val="center"/>
              <w:textAlignment w:val="center"/>
              <w:rPr>
                <w:szCs w:val="21"/>
              </w:rPr>
            </w:pPr>
            <w:r>
              <w:rPr>
                <w:kern w:val="0"/>
                <w:szCs w:val="21"/>
                <w:lang w:bidi="ar"/>
              </w:rPr>
              <w:t>38</w:t>
            </w:r>
          </w:p>
        </w:tc>
        <w:tc>
          <w:tcPr>
            <w:tcW w:w="1206" w:type="dxa"/>
            <w:tcBorders>
              <w:tl2br w:val="nil"/>
              <w:tr2bl w:val="nil"/>
            </w:tcBorders>
            <w:vAlign w:val="center"/>
          </w:tcPr>
          <w:p w14:paraId="512F4CBF">
            <w:pPr>
              <w:autoSpaceDN w:val="0"/>
              <w:spacing w:before="0" w:beforeLines="0" w:line="240" w:lineRule="auto"/>
              <w:jc w:val="center"/>
              <w:rPr>
                <w:szCs w:val="21"/>
              </w:rPr>
            </w:pPr>
            <w:r>
              <w:rPr>
                <w:szCs w:val="21"/>
              </w:rPr>
              <w:t>苯并（a）芘</w:t>
            </w:r>
          </w:p>
        </w:tc>
        <w:tc>
          <w:tcPr>
            <w:tcW w:w="2793" w:type="dxa"/>
            <w:tcBorders>
              <w:tl2br w:val="nil"/>
              <w:tr2bl w:val="nil"/>
            </w:tcBorders>
            <w:vAlign w:val="center"/>
          </w:tcPr>
          <w:p w14:paraId="1EA01F6B">
            <w:pPr>
              <w:autoSpaceDN w:val="0"/>
              <w:spacing w:before="0" w:beforeLines="0" w:line="240" w:lineRule="auto"/>
              <w:jc w:val="center"/>
              <w:textAlignment w:val="center"/>
              <w:rPr>
                <w:kern w:val="0"/>
                <w:szCs w:val="21"/>
                <w:lang w:bidi="ar"/>
              </w:rPr>
            </w:pPr>
            <w:r>
              <w:rPr>
                <w:szCs w:val="21"/>
              </w:rPr>
              <w:t>土壤和沉积物 半挥发性有机物的测定 气相色谱-质谱法HJ 834-2017</w:t>
            </w:r>
          </w:p>
        </w:tc>
        <w:tc>
          <w:tcPr>
            <w:tcW w:w="2100" w:type="dxa"/>
            <w:tcBorders>
              <w:tl2br w:val="nil"/>
              <w:tr2bl w:val="nil"/>
            </w:tcBorders>
            <w:vAlign w:val="center"/>
          </w:tcPr>
          <w:p w14:paraId="7FE21226">
            <w:pPr>
              <w:widowControl/>
              <w:spacing w:before="0" w:beforeLines="0" w:line="240" w:lineRule="auto"/>
              <w:jc w:val="center"/>
              <w:textAlignment w:val="center"/>
              <w:rPr>
                <w:szCs w:val="21"/>
              </w:rPr>
            </w:pPr>
            <w:r>
              <w:rPr>
                <w:szCs w:val="21"/>
              </w:rPr>
              <w:t>气相色谱质谱仪GCMS-QP2010 SE</w:t>
            </w:r>
          </w:p>
          <w:p w14:paraId="1EDF4A8C">
            <w:pPr>
              <w:widowControl/>
              <w:autoSpaceDN w:val="0"/>
              <w:spacing w:before="0" w:beforeLines="0" w:line="240" w:lineRule="auto"/>
              <w:jc w:val="center"/>
              <w:textAlignment w:val="center"/>
              <w:rPr>
                <w:kern w:val="0"/>
                <w:szCs w:val="21"/>
                <w:lang w:bidi="ar"/>
              </w:rPr>
            </w:pPr>
            <w:r>
              <w:rPr>
                <w:szCs w:val="21"/>
              </w:rPr>
              <w:t>SYZZ-SB-071-03</w:t>
            </w:r>
          </w:p>
        </w:tc>
        <w:tc>
          <w:tcPr>
            <w:tcW w:w="876" w:type="dxa"/>
            <w:tcBorders>
              <w:tl2br w:val="nil"/>
              <w:tr2bl w:val="nil"/>
            </w:tcBorders>
            <w:vAlign w:val="center"/>
          </w:tcPr>
          <w:p w14:paraId="773B9162">
            <w:pPr>
              <w:widowControl/>
              <w:spacing w:before="0" w:beforeLines="0" w:line="240" w:lineRule="auto"/>
              <w:jc w:val="center"/>
              <w:textAlignment w:val="center"/>
              <w:rPr>
                <w:kern w:val="0"/>
                <w:szCs w:val="21"/>
                <w:lang w:bidi="ar"/>
              </w:rPr>
            </w:pPr>
            <w:r>
              <w:rPr>
                <w:kern w:val="0"/>
                <w:szCs w:val="21"/>
                <w:lang w:bidi="ar"/>
              </w:rPr>
              <w:t>0.1</w:t>
            </w:r>
          </w:p>
        </w:tc>
        <w:tc>
          <w:tcPr>
            <w:tcW w:w="889" w:type="dxa"/>
            <w:tcBorders>
              <w:tl2br w:val="nil"/>
              <w:tr2bl w:val="nil"/>
            </w:tcBorders>
            <w:vAlign w:val="center"/>
          </w:tcPr>
          <w:p w14:paraId="4345431B">
            <w:pPr>
              <w:widowControl/>
              <w:spacing w:before="0" w:beforeLines="0" w:line="240" w:lineRule="auto"/>
              <w:jc w:val="center"/>
              <w:textAlignment w:val="center"/>
              <w:rPr>
                <w:kern w:val="0"/>
                <w:szCs w:val="21"/>
                <w:lang w:bidi="ar"/>
              </w:rPr>
            </w:pPr>
            <w:r>
              <w:rPr>
                <w:kern w:val="0"/>
                <w:szCs w:val="21"/>
                <w:lang w:bidi="ar"/>
              </w:rPr>
              <w:t>mg/kg</w:t>
            </w:r>
          </w:p>
        </w:tc>
      </w:tr>
      <w:tr w14:paraId="7C7ED1F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6028A01E">
            <w:pPr>
              <w:widowControl/>
              <w:spacing w:before="0" w:beforeLines="0" w:line="240" w:lineRule="auto"/>
              <w:jc w:val="center"/>
              <w:textAlignment w:val="center"/>
              <w:rPr>
                <w:szCs w:val="21"/>
              </w:rPr>
            </w:pPr>
            <w:r>
              <w:rPr>
                <w:kern w:val="0"/>
                <w:szCs w:val="21"/>
                <w:lang w:bidi="ar"/>
              </w:rPr>
              <w:t>39</w:t>
            </w:r>
          </w:p>
        </w:tc>
        <w:tc>
          <w:tcPr>
            <w:tcW w:w="1206" w:type="dxa"/>
            <w:tcBorders>
              <w:tl2br w:val="nil"/>
              <w:tr2bl w:val="nil"/>
            </w:tcBorders>
            <w:vAlign w:val="center"/>
          </w:tcPr>
          <w:p w14:paraId="11938614">
            <w:pPr>
              <w:autoSpaceDN w:val="0"/>
              <w:spacing w:before="0" w:beforeLines="0" w:line="240" w:lineRule="auto"/>
              <w:jc w:val="center"/>
              <w:rPr>
                <w:szCs w:val="21"/>
              </w:rPr>
            </w:pPr>
            <w:r>
              <w:rPr>
                <w:szCs w:val="21"/>
              </w:rPr>
              <w:t>苯并（b）荧蒽</w:t>
            </w:r>
          </w:p>
        </w:tc>
        <w:tc>
          <w:tcPr>
            <w:tcW w:w="2793" w:type="dxa"/>
            <w:tcBorders>
              <w:tl2br w:val="nil"/>
              <w:tr2bl w:val="nil"/>
            </w:tcBorders>
            <w:vAlign w:val="center"/>
          </w:tcPr>
          <w:p w14:paraId="638B654F">
            <w:pPr>
              <w:autoSpaceDN w:val="0"/>
              <w:spacing w:before="0" w:beforeLines="0" w:line="240" w:lineRule="auto"/>
              <w:jc w:val="center"/>
              <w:textAlignment w:val="center"/>
              <w:rPr>
                <w:kern w:val="0"/>
                <w:szCs w:val="21"/>
                <w:lang w:bidi="ar"/>
              </w:rPr>
            </w:pPr>
            <w:r>
              <w:rPr>
                <w:szCs w:val="21"/>
              </w:rPr>
              <w:t>土壤和沉积物 半挥发性有机物的测定 气相色谱-质谱法HJ 834-2017</w:t>
            </w:r>
          </w:p>
        </w:tc>
        <w:tc>
          <w:tcPr>
            <w:tcW w:w="2100" w:type="dxa"/>
            <w:tcBorders>
              <w:tl2br w:val="nil"/>
              <w:tr2bl w:val="nil"/>
            </w:tcBorders>
            <w:vAlign w:val="center"/>
          </w:tcPr>
          <w:p w14:paraId="75BA82CE">
            <w:pPr>
              <w:widowControl/>
              <w:spacing w:before="0" w:beforeLines="0" w:line="240" w:lineRule="auto"/>
              <w:jc w:val="center"/>
              <w:textAlignment w:val="center"/>
              <w:rPr>
                <w:szCs w:val="21"/>
              </w:rPr>
            </w:pPr>
            <w:r>
              <w:rPr>
                <w:szCs w:val="21"/>
              </w:rPr>
              <w:t>气相色谱质谱仪GCMS-QP2010 SE</w:t>
            </w:r>
          </w:p>
          <w:p w14:paraId="0F390363">
            <w:pPr>
              <w:autoSpaceDN w:val="0"/>
              <w:spacing w:before="0" w:beforeLines="0" w:line="240" w:lineRule="auto"/>
              <w:jc w:val="center"/>
              <w:rPr>
                <w:kern w:val="0"/>
                <w:szCs w:val="21"/>
                <w:lang w:bidi="ar"/>
              </w:rPr>
            </w:pPr>
            <w:r>
              <w:rPr>
                <w:szCs w:val="21"/>
              </w:rPr>
              <w:t>SYZZ-SB-071-03</w:t>
            </w:r>
          </w:p>
        </w:tc>
        <w:tc>
          <w:tcPr>
            <w:tcW w:w="876" w:type="dxa"/>
            <w:tcBorders>
              <w:tl2br w:val="nil"/>
              <w:tr2bl w:val="nil"/>
            </w:tcBorders>
            <w:vAlign w:val="center"/>
          </w:tcPr>
          <w:p w14:paraId="1943ABD5">
            <w:pPr>
              <w:widowControl/>
              <w:spacing w:before="0" w:beforeLines="0" w:line="240" w:lineRule="auto"/>
              <w:jc w:val="center"/>
              <w:textAlignment w:val="center"/>
              <w:rPr>
                <w:kern w:val="0"/>
                <w:szCs w:val="21"/>
                <w:lang w:bidi="ar"/>
              </w:rPr>
            </w:pPr>
            <w:r>
              <w:rPr>
                <w:kern w:val="0"/>
                <w:szCs w:val="21"/>
                <w:lang w:bidi="ar"/>
              </w:rPr>
              <w:t>0.2</w:t>
            </w:r>
          </w:p>
        </w:tc>
        <w:tc>
          <w:tcPr>
            <w:tcW w:w="889" w:type="dxa"/>
            <w:tcBorders>
              <w:tl2br w:val="nil"/>
              <w:tr2bl w:val="nil"/>
            </w:tcBorders>
            <w:vAlign w:val="center"/>
          </w:tcPr>
          <w:p w14:paraId="5423CD10">
            <w:pPr>
              <w:widowControl/>
              <w:spacing w:before="0" w:beforeLines="0" w:line="240" w:lineRule="auto"/>
              <w:jc w:val="center"/>
              <w:textAlignment w:val="center"/>
              <w:rPr>
                <w:kern w:val="0"/>
                <w:szCs w:val="21"/>
                <w:lang w:bidi="ar"/>
              </w:rPr>
            </w:pPr>
            <w:r>
              <w:rPr>
                <w:kern w:val="0"/>
                <w:szCs w:val="21"/>
                <w:lang w:bidi="ar"/>
              </w:rPr>
              <w:t>mg/kg</w:t>
            </w:r>
          </w:p>
        </w:tc>
      </w:tr>
      <w:tr w14:paraId="3B40351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284A44A1">
            <w:pPr>
              <w:widowControl/>
              <w:spacing w:before="0" w:beforeLines="0" w:line="240" w:lineRule="auto"/>
              <w:jc w:val="center"/>
              <w:textAlignment w:val="center"/>
              <w:rPr>
                <w:szCs w:val="21"/>
              </w:rPr>
            </w:pPr>
            <w:r>
              <w:rPr>
                <w:kern w:val="0"/>
                <w:szCs w:val="21"/>
                <w:lang w:bidi="ar"/>
              </w:rPr>
              <w:t>40</w:t>
            </w:r>
          </w:p>
        </w:tc>
        <w:tc>
          <w:tcPr>
            <w:tcW w:w="1206" w:type="dxa"/>
            <w:tcBorders>
              <w:tl2br w:val="nil"/>
              <w:tr2bl w:val="nil"/>
            </w:tcBorders>
            <w:vAlign w:val="center"/>
          </w:tcPr>
          <w:p w14:paraId="4437A20A">
            <w:pPr>
              <w:autoSpaceDN w:val="0"/>
              <w:spacing w:before="0" w:beforeLines="0" w:line="240" w:lineRule="auto"/>
              <w:jc w:val="center"/>
              <w:rPr>
                <w:szCs w:val="21"/>
              </w:rPr>
            </w:pPr>
            <w:r>
              <w:rPr>
                <w:szCs w:val="21"/>
              </w:rPr>
              <w:t>苯并（K）荧蒽</w:t>
            </w:r>
          </w:p>
        </w:tc>
        <w:tc>
          <w:tcPr>
            <w:tcW w:w="2793" w:type="dxa"/>
            <w:tcBorders>
              <w:tl2br w:val="nil"/>
              <w:tr2bl w:val="nil"/>
            </w:tcBorders>
            <w:vAlign w:val="center"/>
          </w:tcPr>
          <w:p w14:paraId="25503366">
            <w:pPr>
              <w:autoSpaceDN w:val="0"/>
              <w:spacing w:before="0" w:beforeLines="0" w:line="240" w:lineRule="auto"/>
              <w:jc w:val="center"/>
              <w:textAlignment w:val="center"/>
              <w:rPr>
                <w:kern w:val="0"/>
                <w:szCs w:val="21"/>
                <w:lang w:bidi="ar"/>
              </w:rPr>
            </w:pPr>
            <w:r>
              <w:rPr>
                <w:szCs w:val="21"/>
              </w:rPr>
              <w:t>土壤和沉积物 半挥发性有机物的测定 气相色谱-质谱法HJ 834-2017</w:t>
            </w:r>
          </w:p>
        </w:tc>
        <w:tc>
          <w:tcPr>
            <w:tcW w:w="2100" w:type="dxa"/>
            <w:tcBorders>
              <w:tl2br w:val="nil"/>
              <w:tr2bl w:val="nil"/>
            </w:tcBorders>
            <w:vAlign w:val="center"/>
          </w:tcPr>
          <w:p w14:paraId="10D09AC3">
            <w:pPr>
              <w:widowControl/>
              <w:spacing w:before="0" w:beforeLines="0" w:line="240" w:lineRule="auto"/>
              <w:jc w:val="center"/>
              <w:textAlignment w:val="center"/>
              <w:rPr>
                <w:szCs w:val="21"/>
              </w:rPr>
            </w:pPr>
            <w:r>
              <w:rPr>
                <w:szCs w:val="21"/>
              </w:rPr>
              <w:t>气相色谱质谱仪GCMS-QP2010 SE</w:t>
            </w:r>
          </w:p>
          <w:p w14:paraId="2DCDE1FD">
            <w:pPr>
              <w:widowControl/>
              <w:autoSpaceDN w:val="0"/>
              <w:spacing w:before="0" w:beforeLines="0" w:line="240" w:lineRule="auto"/>
              <w:jc w:val="center"/>
              <w:textAlignment w:val="center"/>
              <w:rPr>
                <w:kern w:val="0"/>
                <w:szCs w:val="21"/>
                <w:lang w:bidi="ar"/>
              </w:rPr>
            </w:pPr>
            <w:r>
              <w:rPr>
                <w:szCs w:val="21"/>
              </w:rPr>
              <w:t>SYZZ-SB-071-03</w:t>
            </w:r>
          </w:p>
        </w:tc>
        <w:tc>
          <w:tcPr>
            <w:tcW w:w="876" w:type="dxa"/>
            <w:tcBorders>
              <w:tl2br w:val="nil"/>
              <w:tr2bl w:val="nil"/>
            </w:tcBorders>
            <w:vAlign w:val="center"/>
          </w:tcPr>
          <w:p w14:paraId="4E6374C3">
            <w:pPr>
              <w:widowControl/>
              <w:spacing w:before="0" w:beforeLines="0" w:line="240" w:lineRule="auto"/>
              <w:jc w:val="center"/>
              <w:textAlignment w:val="center"/>
              <w:rPr>
                <w:kern w:val="0"/>
                <w:szCs w:val="21"/>
                <w:lang w:bidi="ar"/>
              </w:rPr>
            </w:pPr>
            <w:r>
              <w:rPr>
                <w:kern w:val="0"/>
                <w:szCs w:val="21"/>
                <w:lang w:bidi="ar"/>
              </w:rPr>
              <w:t>0.1</w:t>
            </w:r>
          </w:p>
        </w:tc>
        <w:tc>
          <w:tcPr>
            <w:tcW w:w="889" w:type="dxa"/>
            <w:tcBorders>
              <w:tl2br w:val="nil"/>
              <w:tr2bl w:val="nil"/>
            </w:tcBorders>
            <w:vAlign w:val="center"/>
          </w:tcPr>
          <w:p w14:paraId="58832C1D">
            <w:pPr>
              <w:widowControl/>
              <w:spacing w:before="0" w:beforeLines="0" w:line="240" w:lineRule="auto"/>
              <w:jc w:val="center"/>
              <w:textAlignment w:val="center"/>
              <w:rPr>
                <w:kern w:val="0"/>
                <w:szCs w:val="21"/>
                <w:lang w:bidi="ar"/>
              </w:rPr>
            </w:pPr>
            <w:r>
              <w:rPr>
                <w:kern w:val="0"/>
                <w:szCs w:val="21"/>
                <w:lang w:bidi="ar"/>
              </w:rPr>
              <w:t>mg/kg</w:t>
            </w:r>
          </w:p>
        </w:tc>
      </w:tr>
      <w:tr w14:paraId="35D3675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29429EE9">
            <w:pPr>
              <w:widowControl/>
              <w:spacing w:before="0" w:beforeLines="0" w:line="240" w:lineRule="auto"/>
              <w:jc w:val="center"/>
              <w:textAlignment w:val="center"/>
              <w:rPr>
                <w:szCs w:val="21"/>
              </w:rPr>
            </w:pPr>
            <w:r>
              <w:rPr>
                <w:kern w:val="0"/>
                <w:szCs w:val="21"/>
                <w:lang w:bidi="ar"/>
              </w:rPr>
              <w:t>41</w:t>
            </w:r>
          </w:p>
        </w:tc>
        <w:tc>
          <w:tcPr>
            <w:tcW w:w="1206" w:type="dxa"/>
            <w:tcBorders>
              <w:tl2br w:val="nil"/>
              <w:tr2bl w:val="nil"/>
            </w:tcBorders>
            <w:vAlign w:val="center"/>
          </w:tcPr>
          <w:p w14:paraId="7BD71068">
            <w:pPr>
              <w:autoSpaceDN w:val="0"/>
              <w:spacing w:before="0" w:beforeLines="0" w:line="240" w:lineRule="auto"/>
              <w:jc w:val="center"/>
              <w:rPr>
                <w:szCs w:val="21"/>
              </w:rPr>
            </w:pPr>
            <w:r>
              <w:rPr>
                <w:szCs w:val="21"/>
              </w:rPr>
              <w:t>䓛</w:t>
            </w:r>
          </w:p>
        </w:tc>
        <w:tc>
          <w:tcPr>
            <w:tcW w:w="2793" w:type="dxa"/>
            <w:tcBorders>
              <w:tl2br w:val="nil"/>
              <w:tr2bl w:val="nil"/>
            </w:tcBorders>
            <w:vAlign w:val="center"/>
          </w:tcPr>
          <w:p w14:paraId="049D55BA">
            <w:pPr>
              <w:autoSpaceDN w:val="0"/>
              <w:spacing w:before="0" w:beforeLines="0" w:line="240" w:lineRule="auto"/>
              <w:jc w:val="center"/>
              <w:textAlignment w:val="center"/>
              <w:rPr>
                <w:kern w:val="0"/>
                <w:szCs w:val="21"/>
                <w:lang w:bidi="ar"/>
              </w:rPr>
            </w:pPr>
            <w:r>
              <w:rPr>
                <w:szCs w:val="21"/>
              </w:rPr>
              <w:t>土壤和沉积物 半挥发性有机物的测定 气相色谱-质谱法HJ 834-2017</w:t>
            </w:r>
          </w:p>
        </w:tc>
        <w:tc>
          <w:tcPr>
            <w:tcW w:w="2100" w:type="dxa"/>
            <w:tcBorders>
              <w:tl2br w:val="nil"/>
              <w:tr2bl w:val="nil"/>
            </w:tcBorders>
            <w:vAlign w:val="center"/>
          </w:tcPr>
          <w:p w14:paraId="22EE826F">
            <w:pPr>
              <w:widowControl/>
              <w:spacing w:before="0" w:beforeLines="0" w:line="240" w:lineRule="auto"/>
              <w:jc w:val="center"/>
              <w:textAlignment w:val="center"/>
              <w:rPr>
                <w:szCs w:val="21"/>
              </w:rPr>
            </w:pPr>
            <w:r>
              <w:rPr>
                <w:szCs w:val="21"/>
              </w:rPr>
              <w:t>气相色谱质谱仪GCMS-QP2010 SE</w:t>
            </w:r>
          </w:p>
          <w:p w14:paraId="330EA934">
            <w:pPr>
              <w:widowControl/>
              <w:autoSpaceDN w:val="0"/>
              <w:spacing w:before="0" w:beforeLines="0" w:line="240" w:lineRule="auto"/>
              <w:jc w:val="center"/>
              <w:textAlignment w:val="center"/>
              <w:rPr>
                <w:kern w:val="0"/>
                <w:szCs w:val="21"/>
                <w:lang w:bidi="ar"/>
              </w:rPr>
            </w:pPr>
            <w:r>
              <w:rPr>
                <w:szCs w:val="21"/>
              </w:rPr>
              <w:t>SYZZ-SB-071-03</w:t>
            </w:r>
          </w:p>
        </w:tc>
        <w:tc>
          <w:tcPr>
            <w:tcW w:w="876" w:type="dxa"/>
            <w:tcBorders>
              <w:tl2br w:val="nil"/>
              <w:tr2bl w:val="nil"/>
            </w:tcBorders>
            <w:vAlign w:val="center"/>
          </w:tcPr>
          <w:p w14:paraId="547DF14D">
            <w:pPr>
              <w:widowControl/>
              <w:spacing w:before="0" w:beforeLines="0" w:line="240" w:lineRule="auto"/>
              <w:jc w:val="center"/>
              <w:textAlignment w:val="center"/>
              <w:rPr>
                <w:kern w:val="0"/>
                <w:szCs w:val="21"/>
                <w:lang w:bidi="ar"/>
              </w:rPr>
            </w:pPr>
            <w:r>
              <w:rPr>
                <w:kern w:val="0"/>
                <w:szCs w:val="21"/>
                <w:lang w:bidi="ar"/>
              </w:rPr>
              <w:t>0.1</w:t>
            </w:r>
          </w:p>
        </w:tc>
        <w:tc>
          <w:tcPr>
            <w:tcW w:w="889" w:type="dxa"/>
            <w:tcBorders>
              <w:tl2br w:val="nil"/>
              <w:tr2bl w:val="nil"/>
            </w:tcBorders>
            <w:vAlign w:val="center"/>
          </w:tcPr>
          <w:p w14:paraId="7E9F06C3">
            <w:pPr>
              <w:widowControl/>
              <w:spacing w:before="0" w:beforeLines="0" w:line="240" w:lineRule="auto"/>
              <w:jc w:val="center"/>
              <w:textAlignment w:val="center"/>
              <w:rPr>
                <w:kern w:val="0"/>
                <w:szCs w:val="21"/>
                <w:lang w:bidi="ar"/>
              </w:rPr>
            </w:pPr>
            <w:r>
              <w:rPr>
                <w:kern w:val="0"/>
                <w:szCs w:val="21"/>
                <w:lang w:bidi="ar"/>
              </w:rPr>
              <w:t>mg/kg</w:t>
            </w:r>
          </w:p>
        </w:tc>
      </w:tr>
      <w:tr w14:paraId="0533460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0A30623B">
            <w:pPr>
              <w:widowControl/>
              <w:spacing w:before="0" w:beforeLines="0" w:line="240" w:lineRule="auto"/>
              <w:jc w:val="center"/>
              <w:textAlignment w:val="center"/>
              <w:rPr>
                <w:szCs w:val="21"/>
              </w:rPr>
            </w:pPr>
            <w:r>
              <w:rPr>
                <w:kern w:val="0"/>
                <w:szCs w:val="21"/>
                <w:lang w:bidi="ar"/>
              </w:rPr>
              <w:t>42</w:t>
            </w:r>
          </w:p>
        </w:tc>
        <w:tc>
          <w:tcPr>
            <w:tcW w:w="1206" w:type="dxa"/>
            <w:tcBorders>
              <w:tl2br w:val="nil"/>
              <w:tr2bl w:val="nil"/>
            </w:tcBorders>
            <w:vAlign w:val="center"/>
          </w:tcPr>
          <w:p w14:paraId="7D351AF1">
            <w:pPr>
              <w:autoSpaceDN w:val="0"/>
              <w:spacing w:before="0" w:beforeLines="0" w:line="240" w:lineRule="auto"/>
              <w:jc w:val="center"/>
              <w:rPr>
                <w:szCs w:val="21"/>
              </w:rPr>
            </w:pPr>
            <w:r>
              <w:rPr>
                <w:szCs w:val="21"/>
              </w:rPr>
              <w:t>二苯并（a.h）蒽</w:t>
            </w:r>
          </w:p>
        </w:tc>
        <w:tc>
          <w:tcPr>
            <w:tcW w:w="2793" w:type="dxa"/>
            <w:tcBorders>
              <w:tl2br w:val="nil"/>
              <w:tr2bl w:val="nil"/>
            </w:tcBorders>
            <w:vAlign w:val="center"/>
          </w:tcPr>
          <w:p w14:paraId="79578183">
            <w:pPr>
              <w:autoSpaceDN w:val="0"/>
              <w:spacing w:before="0" w:beforeLines="0" w:line="240" w:lineRule="auto"/>
              <w:jc w:val="center"/>
              <w:textAlignment w:val="center"/>
              <w:rPr>
                <w:kern w:val="0"/>
                <w:szCs w:val="21"/>
                <w:lang w:bidi="ar"/>
              </w:rPr>
            </w:pPr>
            <w:r>
              <w:rPr>
                <w:szCs w:val="21"/>
              </w:rPr>
              <w:t>土壤和沉积物 半挥发性有机物的测定 气相色谱-质谱法HJ 834-2017</w:t>
            </w:r>
          </w:p>
        </w:tc>
        <w:tc>
          <w:tcPr>
            <w:tcW w:w="2100" w:type="dxa"/>
            <w:tcBorders>
              <w:tl2br w:val="nil"/>
              <w:tr2bl w:val="nil"/>
            </w:tcBorders>
            <w:vAlign w:val="center"/>
          </w:tcPr>
          <w:p w14:paraId="2D10896F">
            <w:pPr>
              <w:widowControl/>
              <w:spacing w:before="0" w:beforeLines="0" w:line="240" w:lineRule="auto"/>
              <w:jc w:val="center"/>
              <w:textAlignment w:val="center"/>
              <w:rPr>
                <w:szCs w:val="21"/>
              </w:rPr>
            </w:pPr>
            <w:r>
              <w:rPr>
                <w:szCs w:val="21"/>
              </w:rPr>
              <w:t>气相色谱质谱仪GCMS-QP2010 SE</w:t>
            </w:r>
          </w:p>
          <w:p w14:paraId="6E753120">
            <w:pPr>
              <w:autoSpaceDN w:val="0"/>
              <w:spacing w:before="0" w:beforeLines="0" w:line="240" w:lineRule="auto"/>
              <w:jc w:val="center"/>
              <w:rPr>
                <w:kern w:val="0"/>
                <w:szCs w:val="21"/>
                <w:lang w:bidi="ar"/>
              </w:rPr>
            </w:pPr>
            <w:r>
              <w:rPr>
                <w:szCs w:val="21"/>
              </w:rPr>
              <w:t>SYZZ-SB-071-03</w:t>
            </w:r>
          </w:p>
        </w:tc>
        <w:tc>
          <w:tcPr>
            <w:tcW w:w="876" w:type="dxa"/>
            <w:tcBorders>
              <w:tl2br w:val="nil"/>
              <w:tr2bl w:val="nil"/>
            </w:tcBorders>
            <w:vAlign w:val="center"/>
          </w:tcPr>
          <w:p w14:paraId="20EA959C">
            <w:pPr>
              <w:widowControl/>
              <w:spacing w:before="0" w:beforeLines="0" w:line="240" w:lineRule="auto"/>
              <w:jc w:val="center"/>
              <w:textAlignment w:val="center"/>
              <w:rPr>
                <w:kern w:val="0"/>
                <w:szCs w:val="21"/>
                <w:lang w:bidi="ar"/>
              </w:rPr>
            </w:pPr>
            <w:r>
              <w:rPr>
                <w:kern w:val="0"/>
                <w:szCs w:val="21"/>
                <w:lang w:bidi="ar"/>
              </w:rPr>
              <w:t>0.1</w:t>
            </w:r>
          </w:p>
        </w:tc>
        <w:tc>
          <w:tcPr>
            <w:tcW w:w="889" w:type="dxa"/>
            <w:tcBorders>
              <w:tl2br w:val="nil"/>
              <w:tr2bl w:val="nil"/>
            </w:tcBorders>
            <w:vAlign w:val="center"/>
          </w:tcPr>
          <w:p w14:paraId="627A343F">
            <w:pPr>
              <w:widowControl/>
              <w:spacing w:before="0" w:beforeLines="0" w:line="240" w:lineRule="auto"/>
              <w:jc w:val="center"/>
              <w:textAlignment w:val="center"/>
              <w:rPr>
                <w:kern w:val="0"/>
                <w:szCs w:val="21"/>
                <w:lang w:bidi="ar"/>
              </w:rPr>
            </w:pPr>
            <w:r>
              <w:rPr>
                <w:kern w:val="0"/>
                <w:szCs w:val="21"/>
                <w:lang w:bidi="ar"/>
              </w:rPr>
              <w:t>mg/kg</w:t>
            </w:r>
          </w:p>
        </w:tc>
      </w:tr>
      <w:tr w14:paraId="402D428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1B125F06">
            <w:pPr>
              <w:widowControl/>
              <w:spacing w:before="0" w:beforeLines="0" w:line="240" w:lineRule="auto"/>
              <w:jc w:val="center"/>
              <w:textAlignment w:val="center"/>
              <w:rPr>
                <w:szCs w:val="21"/>
              </w:rPr>
            </w:pPr>
            <w:r>
              <w:rPr>
                <w:kern w:val="0"/>
                <w:szCs w:val="21"/>
                <w:lang w:bidi="ar"/>
              </w:rPr>
              <w:t>43</w:t>
            </w:r>
          </w:p>
        </w:tc>
        <w:tc>
          <w:tcPr>
            <w:tcW w:w="1206" w:type="dxa"/>
            <w:tcBorders>
              <w:tl2br w:val="nil"/>
              <w:tr2bl w:val="nil"/>
            </w:tcBorders>
            <w:vAlign w:val="center"/>
          </w:tcPr>
          <w:p w14:paraId="2AD432E9">
            <w:pPr>
              <w:autoSpaceDN w:val="0"/>
              <w:spacing w:before="0" w:beforeLines="0" w:line="240" w:lineRule="auto"/>
              <w:jc w:val="center"/>
              <w:rPr>
                <w:szCs w:val="21"/>
              </w:rPr>
            </w:pPr>
            <w:r>
              <w:rPr>
                <w:szCs w:val="21"/>
              </w:rPr>
              <w:t>茚并（1，2，3-c，d）芘</w:t>
            </w:r>
          </w:p>
        </w:tc>
        <w:tc>
          <w:tcPr>
            <w:tcW w:w="2793" w:type="dxa"/>
            <w:tcBorders>
              <w:tl2br w:val="nil"/>
              <w:tr2bl w:val="nil"/>
            </w:tcBorders>
            <w:vAlign w:val="center"/>
          </w:tcPr>
          <w:p w14:paraId="29B1E44C">
            <w:pPr>
              <w:autoSpaceDN w:val="0"/>
              <w:spacing w:before="0" w:beforeLines="0" w:line="240" w:lineRule="auto"/>
              <w:jc w:val="center"/>
              <w:textAlignment w:val="center"/>
              <w:rPr>
                <w:kern w:val="0"/>
                <w:szCs w:val="21"/>
                <w:lang w:bidi="ar"/>
              </w:rPr>
            </w:pPr>
            <w:r>
              <w:rPr>
                <w:szCs w:val="21"/>
              </w:rPr>
              <w:t>土壤和沉积物 半挥发性有机物的测定 气相色谱-质谱法HJ 834-2017</w:t>
            </w:r>
          </w:p>
        </w:tc>
        <w:tc>
          <w:tcPr>
            <w:tcW w:w="2100" w:type="dxa"/>
            <w:tcBorders>
              <w:tl2br w:val="nil"/>
              <w:tr2bl w:val="nil"/>
            </w:tcBorders>
            <w:vAlign w:val="center"/>
          </w:tcPr>
          <w:p w14:paraId="288FEE4F">
            <w:pPr>
              <w:widowControl/>
              <w:spacing w:before="0" w:beforeLines="0" w:line="240" w:lineRule="auto"/>
              <w:jc w:val="center"/>
              <w:textAlignment w:val="center"/>
              <w:rPr>
                <w:szCs w:val="21"/>
              </w:rPr>
            </w:pPr>
            <w:r>
              <w:rPr>
                <w:szCs w:val="21"/>
              </w:rPr>
              <w:t>气相色谱质谱仪GCMS-QP2010 SE</w:t>
            </w:r>
          </w:p>
          <w:p w14:paraId="34B6171B">
            <w:pPr>
              <w:autoSpaceDN w:val="0"/>
              <w:spacing w:before="0" w:beforeLines="0" w:line="240" w:lineRule="auto"/>
              <w:jc w:val="center"/>
              <w:rPr>
                <w:kern w:val="0"/>
                <w:szCs w:val="21"/>
                <w:lang w:bidi="ar"/>
              </w:rPr>
            </w:pPr>
            <w:r>
              <w:rPr>
                <w:szCs w:val="21"/>
              </w:rPr>
              <w:t>SYZZ-SB-071-03</w:t>
            </w:r>
          </w:p>
        </w:tc>
        <w:tc>
          <w:tcPr>
            <w:tcW w:w="876" w:type="dxa"/>
            <w:tcBorders>
              <w:tl2br w:val="nil"/>
              <w:tr2bl w:val="nil"/>
            </w:tcBorders>
            <w:vAlign w:val="center"/>
          </w:tcPr>
          <w:p w14:paraId="48A12872">
            <w:pPr>
              <w:widowControl/>
              <w:spacing w:before="0" w:beforeLines="0" w:line="240" w:lineRule="auto"/>
              <w:jc w:val="center"/>
              <w:textAlignment w:val="center"/>
              <w:rPr>
                <w:kern w:val="0"/>
                <w:szCs w:val="21"/>
                <w:lang w:bidi="ar"/>
              </w:rPr>
            </w:pPr>
            <w:r>
              <w:rPr>
                <w:kern w:val="0"/>
                <w:szCs w:val="21"/>
                <w:lang w:bidi="ar"/>
              </w:rPr>
              <w:t>0.1</w:t>
            </w:r>
          </w:p>
        </w:tc>
        <w:tc>
          <w:tcPr>
            <w:tcW w:w="889" w:type="dxa"/>
            <w:tcBorders>
              <w:tl2br w:val="nil"/>
              <w:tr2bl w:val="nil"/>
            </w:tcBorders>
            <w:vAlign w:val="center"/>
          </w:tcPr>
          <w:p w14:paraId="69997BBF">
            <w:pPr>
              <w:widowControl/>
              <w:spacing w:before="0" w:beforeLines="0" w:line="240" w:lineRule="auto"/>
              <w:jc w:val="center"/>
              <w:textAlignment w:val="center"/>
              <w:rPr>
                <w:kern w:val="0"/>
                <w:szCs w:val="21"/>
                <w:lang w:bidi="ar"/>
              </w:rPr>
            </w:pPr>
            <w:r>
              <w:rPr>
                <w:kern w:val="0"/>
                <w:szCs w:val="21"/>
                <w:lang w:bidi="ar"/>
              </w:rPr>
              <w:t>mg/kg</w:t>
            </w:r>
          </w:p>
        </w:tc>
      </w:tr>
      <w:tr w14:paraId="4DEB13F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235DFD5A">
            <w:pPr>
              <w:widowControl/>
              <w:spacing w:before="0" w:beforeLines="0" w:line="240" w:lineRule="auto"/>
              <w:jc w:val="center"/>
              <w:textAlignment w:val="center"/>
              <w:rPr>
                <w:szCs w:val="21"/>
              </w:rPr>
            </w:pPr>
            <w:r>
              <w:rPr>
                <w:kern w:val="0"/>
                <w:szCs w:val="21"/>
                <w:lang w:bidi="ar"/>
              </w:rPr>
              <w:t>44</w:t>
            </w:r>
          </w:p>
        </w:tc>
        <w:tc>
          <w:tcPr>
            <w:tcW w:w="1206" w:type="dxa"/>
            <w:tcBorders>
              <w:tl2br w:val="nil"/>
              <w:tr2bl w:val="nil"/>
            </w:tcBorders>
            <w:vAlign w:val="center"/>
          </w:tcPr>
          <w:p w14:paraId="67CD2409">
            <w:pPr>
              <w:autoSpaceDN w:val="0"/>
              <w:spacing w:before="0" w:beforeLines="0" w:line="240" w:lineRule="auto"/>
              <w:jc w:val="center"/>
              <w:textAlignment w:val="center"/>
              <w:rPr>
                <w:szCs w:val="21"/>
              </w:rPr>
            </w:pPr>
            <w:r>
              <w:rPr>
                <w:bCs/>
                <w:szCs w:val="21"/>
              </w:rPr>
              <w:t>萘</w:t>
            </w:r>
          </w:p>
        </w:tc>
        <w:tc>
          <w:tcPr>
            <w:tcW w:w="2793" w:type="dxa"/>
            <w:tcBorders>
              <w:tl2br w:val="nil"/>
              <w:tr2bl w:val="nil"/>
            </w:tcBorders>
            <w:vAlign w:val="center"/>
          </w:tcPr>
          <w:p w14:paraId="43EC4BE7">
            <w:pPr>
              <w:autoSpaceDN w:val="0"/>
              <w:spacing w:before="0" w:beforeLines="0" w:line="240" w:lineRule="auto"/>
              <w:jc w:val="center"/>
              <w:textAlignment w:val="center"/>
              <w:rPr>
                <w:kern w:val="0"/>
                <w:szCs w:val="21"/>
                <w:lang w:bidi="ar"/>
              </w:rPr>
            </w:pPr>
            <w:r>
              <w:rPr>
                <w:szCs w:val="21"/>
              </w:rPr>
              <w:t>土壤和沉积物 半挥发性有机物的测定 气相色谱-质谱法HJ 834-2017</w:t>
            </w:r>
          </w:p>
        </w:tc>
        <w:tc>
          <w:tcPr>
            <w:tcW w:w="2100" w:type="dxa"/>
            <w:tcBorders>
              <w:tl2br w:val="nil"/>
              <w:tr2bl w:val="nil"/>
            </w:tcBorders>
            <w:vAlign w:val="center"/>
          </w:tcPr>
          <w:p w14:paraId="5B28C691">
            <w:pPr>
              <w:widowControl/>
              <w:spacing w:before="0" w:beforeLines="0" w:line="240" w:lineRule="auto"/>
              <w:jc w:val="center"/>
              <w:textAlignment w:val="center"/>
              <w:rPr>
                <w:szCs w:val="21"/>
              </w:rPr>
            </w:pPr>
            <w:r>
              <w:rPr>
                <w:szCs w:val="21"/>
              </w:rPr>
              <w:t>气相色谱质谱仪GCMS-QP2010 SE</w:t>
            </w:r>
          </w:p>
          <w:p w14:paraId="465686DC">
            <w:pPr>
              <w:autoSpaceDN w:val="0"/>
              <w:spacing w:before="0" w:beforeLines="0" w:line="240" w:lineRule="auto"/>
              <w:jc w:val="center"/>
              <w:textAlignment w:val="center"/>
              <w:rPr>
                <w:kern w:val="0"/>
                <w:szCs w:val="21"/>
                <w:lang w:bidi="ar"/>
              </w:rPr>
            </w:pPr>
            <w:r>
              <w:rPr>
                <w:szCs w:val="21"/>
              </w:rPr>
              <w:t>SYZZ-SB-071-03</w:t>
            </w:r>
          </w:p>
        </w:tc>
        <w:tc>
          <w:tcPr>
            <w:tcW w:w="876" w:type="dxa"/>
            <w:tcBorders>
              <w:tl2br w:val="nil"/>
              <w:tr2bl w:val="nil"/>
            </w:tcBorders>
            <w:vAlign w:val="center"/>
          </w:tcPr>
          <w:p w14:paraId="00808C21">
            <w:pPr>
              <w:widowControl/>
              <w:spacing w:before="0" w:beforeLines="0" w:line="240" w:lineRule="auto"/>
              <w:jc w:val="center"/>
              <w:textAlignment w:val="center"/>
              <w:rPr>
                <w:kern w:val="0"/>
                <w:szCs w:val="21"/>
                <w:lang w:bidi="ar"/>
              </w:rPr>
            </w:pPr>
            <w:r>
              <w:rPr>
                <w:kern w:val="0"/>
                <w:szCs w:val="21"/>
                <w:lang w:bidi="ar"/>
              </w:rPr>
              <w:t>0.09</w:t>
            </w:r>
          </w:p>
        </w:tc>
        <w:tc>
          <w:tcPr>
            <w:tcW w:w="889" w:type="dxa"/>
            <w:tcBorders>
              <w:tl2br w:val="nil"/>
              <w:tr2bl w:val="nil"/>
            </w:tcBorders>
            <w:vAlign w:val="center"/>
          </w:tcPr>
          <w:p w14:paraId="5E8C782C">
            <w:pPr>
              <w:widowControl/>
              <w:spacing w:before="0" w:beforeLines="0" w:line="240" w:lineRule="auto"/>
              <w:jc w:val="center"/>
              <w:textAlignment w:val="center"/>
              <w:rPr>
                <w:kern w:val="0"/>
                <w:szCs w:val="21"/>
                <w:lang w:bidi="ar"/>
              </w:rPr>
            </w:pPr>
            <w:r>
              <w:rPr>
                <w:kern w:val="0"/>
                <w:szCs w:val="21"/>
                <w:lang w:bidi="ar"/>
              </w:rPr>
              <w:t>mg/kg</w:t>
            </w:r>
          </w:p>
        </w:tc>
      </w:tr>
      <w:tr w14:paraId="73BCFDD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4E68CF54">
            <w:pPr>
              <w:widowControl/>
              <w:spacing w:before="0" w:beforeLines="0" w:line="240" w:lineRule="auto"/>
              <w:jc w:val="center"/>
              <w:textAlignment w:val="center"/>
              <w:rPr>
                <w:szCs w:val="21"/>
              </w:rPr>
            </w:pPr>
            <w:r>
              <w:rPr>
                <w:kern w:val="0"/>
                <w:szCs w:val="21"/>
                <w:lang w:bidi="ar"/>
              </w:rPr>
              <w:t>45</w:t>
            </w:r>
          </w:p>
        </w:tc>
        <w:tc>
          <w:tcPr>
            <w:tcW w:w="1206" w:type="dxa"/>
            <w:tcBorders>
              <w:tl2br w:val="nil"/>
              <w:tr2bl w:val="nil"/>
            </w:tcBorders>
            <w:vAlign w:val="center"/>
          </w:tcPr>
          <w:p w14:paraId="25E6ADFF">
            <w:pPr>
              <w:autoSpaceDN w:val="0"/>
              <w:spacing w:before="0" w:beforeLines="0" w:line="240" w:lineRule="auto"/>
              <w:jc w:val="center"/>
              <w:rPr>
                <w:szCs w:val="21"/>
              </w:rPr>
            </w:pPr>
            <w:r>
              <w:rPr>
                <w:szCs w:val="21"/>
              </w:rPr>
              <w:t>石油烃（C</w:t>
            </w:r>
            <w:r>
              <w:rPr>
                <w:szCs w:val="21"/>
                <w:vertAlign w:val="subscript"/>
              </w:rPr>
              <w:t>10</w:t>
            </w:r>
            <w:r>
              <w:rPr>
                <w:szCs w:val="21"/>
              </w:rPr>
              <w:t>-C</w:t>
            </w:r>
            <w:r>
              <w:rPr>
                <w:szCs w:val="21"/>
                <w:vertAlign w:val="subscript"/>
              </w:rPr>
              <w:t>40</w:t>
            </w:r>
            <w:r>
              <w:rPr>
                <w:szCs w:val="21"/>
              </w:rPr>
              <w:t>）</w:t>
            </w:r>
          </w:p>
        </w:tc>
        <w:tc>
          <w:tcPr>
            <w:tcW w:w="2793" w:type="dxa"/>
            <w:tcBorders>
              <w:tl2br w:val="nil"/>
              <w:tr2bl w:val="nil"/>
            </w:tcBorders>
            <w:vAlign w:val="center"/>
          </w:tcPr>
          <w:p w14:paraId="1DADD95E">
            <w:pPr>
              <w:autoSpaceDN w:val="0"/>
              <w:spacing w:before="0" w:beforeLines="0" w:line="240" w:lineRule="auto"/>
              <w:jc w:val="center"/>
              <w:textAlignment w:val="center"/>
              <w:rPr>
                <w:kern w:val="0"/>
                <w:szCs w:val="21"/>
                <w:lang w:bidi="ar"/>
              </w:rPr>
            </w:pPr>
            <w:r>
              <w:fldChar w:fldCharType="begin"/>
            </w:r>
            <w:r>
              <w:instrText xml:space="preserve"> HYPERLINK "http://kjs.mee.gov.cn/hjbhbz/bzwb/jcffbz/201905/W020190513594189619806.pdf" </w:instrText>
            </w:r>
            <w:r>
              <w:fldChar w:fldCharType="separate"/>
            </w:r>
            <w:r>
              <w:rPr>
                <w:szCs w:val="21"/>
              </w:rPr>
              <w:t>土壤和沉积物 石油烃（C</w:t>
            </w:r>
            <w:r>
              <w:rPr>
                <w:szCs w:val="21"/>
                <w:vertAlign w:val="subscript"/>
              </w:rPr>
              <w:t>10</w:t>
            </w:r>
            <w:r>
              <w:rPr>
                <w:szCs w:val="21"/>
              </w:rPr>
              <w:t>-C</w:t>
            </w:r>
            <w:r>
              <w:rPr>
                <w:szCs w:val="21"/>
                <w:vertAlign w:val="subscript"/>
              </w:rPr>
              <w:t>40</w:t>
            </w:r>
            <w:r>
              <w:rPr>
                <w:szCs w:val="21"/>
              </w:rPr>
              <w:t>）的测定 气相色谱法HJ 1021-2019</w:t>
            </w:r>
            <w:r>
              <w:rPr>
                <w:szCs w:val="21"/>
              </w:rPr>
              <w:fldChar w:fldCharType="end"/>
            </w:r>
          </w:p>
        </w:tc>
        <w:tc>
          <w:tcPr>
            <w:tcW w:w="2100" w:type="dxa"/>
            <w:tcBorders>
              <w:tl2br w:val="nil"/>
              <w:tr2bl w:val="nil"/>
            </w:tcBorders>
            <w:vAlign w:val="center"/>
          </w:tcPr>
          <w:p w14:paraId="3178BACC">
            <w:pPr>
              <w:autoSpaceDN w:val="0"/>
              <w:spacing w:before="0" w:beforeLines="0" w:line="240" w:lineRule="auto"/>
              <w:jc w:val="center"/>
              <w:textAlignment w:val="center"/>
              <w:rPr>
                <w:szCs w:val="21"/>
              </w:rPr>
            </w:pPr>
            <w:r>
              <w:rPr>
                <w:szCs w:val="21"/>
              </w:rPr>
              <w:t>气相色谱仪</w:t>
            </w:r>
          </w:p>
          <w:p w14:paraId="7FA3012B">
            <w:pPr>
              <w:autoSpaceDN w:val="0"/>
              <w:spacing w:before="0" w:beforeLines="0" w:line="240" w:lineRule="auto"/>
              <w:jc w:val="center"/>
              <w:textAlignment w:val="center"/>
              <w:rPr>
                <w:szCs w:val="21"/>
              </w:rPr>
            </w:pPr>
            <w:r>
              <w:rPr>
                <w:szCs w:val="21"/>
              </w:rPr>
              <w:t>GC-9790Plus</w:t>
            </w:r>
          </w:p>
          <w:p w14:paraId="2B70BF64">
            <w:pPr>
              <w:autoSpaceDN w:val="0"/>
              <w:spacing w:before="0" w:beforeLines="0" w:line="240" w:lineRule="auto"/>
              <w:jc w:val="center"/>
              <w:textAlignment w:val="center"/>
              <w:rPr>
                <w:kern w:val="0"/>
                <w:szCs w:val="21"/>
                <w:lang w:bidi="ar"/>
              </w:rPr>
            </w:pPr>
            <w:r>
              <w:rPr>
                <w:szCs w:val="21"/>
              </w:rPr>
              <w:t>SYZZ-SB-030-03</w:t>
            </w:r>
          </w:p>
        </w:tc>
        <w:tc>
          <w:tcPr>
            <w:tcW w:w="876" w:type="dxa"/>
            <w:tcBorders>
              <w:tl2br w:val="nil"/>
              <w:tr2bl w:val="nil"/>
            </w:tcBorders>
            <w:vAlign w:val="center"/>
          </w:tcPr>
          <w:p w14:paraId="1F6B210B">
            <w:pPr>
              <w:autoSpaceDN w:val="0"/>
              <w:spacing w:before="0" w:beforeLines="0" w:line="240" w:lineRule="auto"/>
              <w:jc w:val="center"/>
              <w:textAlignment w:val="center"/>
              <w:rPr>
                <w:kern w:val="0"/>
                <w:szCs w:val="21"/>
                <w:lang w:bidi="ar"/>
              </w:rPr>
            </w:pPr>
            <w:r>
              <w:rPr>
                <w:kern w:val="0"/>
                <w:szCs w:val="21"/>
                <w:lang w:bidi="ar"/>
              </w:rPr>
              <w:t>6</w:t>
            </w:r>
          </w:p>
        </w:tc>
        <w:tc>
          <w:tcPr>
            <w:tcW w:w="889" w:type="dxa"/>
            <w:tcBorders>
              <w:tl2br w:val="nil"/>
              <w:tr2bl w:val="nil"/>
            </w:tcBorders>
            <w:vAlign w:val="center"/>
          </w:tcPr>
          <w:p w14:paraId="6BDF61EF">
            <w:pPr>
              <w:autoSpaceDN w:val="0"/>
              <w:spacing w:before="0" w:beforeLines="0" w:line="240" w:lineRule="auto"/>
              <w:jc w:val="center"/>
              <w:textAlignment w:val="center"/>
              <w:rPr>
                <w:kern w:val="0"/>
                <w:szCs w:val="21"/>
                <w:lang w:bidi="ar"/>
              </w:rPr>
            </w:pPr>
            <w:r>
              <w:rPr>
                <w:kern w:val="0"/>
                <w:szCs w:val="21"/>
                <w:lang w:bidi="ar"/>
              </w:rPr>
              <w:t>mg/kg</w:t>
            </w:r>
          </w:p>
        </w:tc>
      </w:tr>
      <w:tr w14:paraId="4247622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3463103A">
            <w:pPr>
              <w:widowControl/>
              <w:spacing w:before="0" w:beforeLines="0" w:line="240" w:lineRule="auto"/>
              <w:jc w:val="center"/>
              <w:textAlignment w:val="center"/>
              <w:rPr>
                <w:kern w:val="0"/>
                <w:szCs w:val="21"/>
                <w:lang w:bidi="ar"/>
              </w:rPr>
            </w:pPr>
            <w:r>
              <w:rPr>
                <w:kern w:val="0"/>
                <w:szCs w:val="21"/>
                <w:lang w:bidi="ar"/>
              </w:rPr>
              <w:t>46</w:t>
            </w:r>
          </w:p>
        </w:tc>
        <w:tc>
          <w:tcPr>
            <w:tcW w:w="1206" w:type="dxa"/>
            <w:tcBorders>
              <w:tl2br w:val="nil"/>
              <w:tr2bl w:val="nil"/>
            </w:tcBorders>
            <w:vAlign w:val="center"/>
          </w:tcPr>
          <w:p w14:paraId="577242EE">
            <w:pPr>
              <w:autoSpaceDN w:val="0"/>
              <w:spacing w:before="0" w:beforeLines="0" w:line="240" w:lineRule="auto"/>
              <w:jc w:val="center"/>
              <w:rPr>
                <w:bCs/>
                <w:szCs w:val="21"/>
              </w:rPr>
            </w:pPr>
            <w:r>
              <w:rPr>
                <w:szCs w:val="21"/>
              </w:rPr>
              <w:t>苯胺</w:t>
            </w:r>
          </w:p>
        </w:tc>
        <w:tc>
          <w:tcPr>
            <w:tcW w:w="2793" w:type="dxa"/>
            <w:tcBorders>
              <w:tl2br w:val="nil"/>
              <w:tr2bl w:val="nil"/>
            </w:tcBorders>
            <w:vAlign w:val="center"/>
          </w:tcPr>
          <w:p w14:paraId="557E97B3">
            <w:pPr>
              <w:autoSpaceDN w:val="0"/>
              <w:spacing w:before="0" w:beforeLines="0" w:line="240" w:lineRule="auto"/>
              <w:jc w:val="center"/>
              <w:textAlignment w:val="center"/>
              <w:rPr>
                <w:szCs w:val="21"/>
              </w:rPr>
            </w:pPr>
            <w:r>
              <w:rPr>
                <w:szCs w:val="21"/>
              </w:rPr>
              <w:t xml:space="preserve">半挥发性有机物的测定 气相色谱-质谱法 </w:t>
            </w:r>
          </w:p>
          <w:p w14:paraId="748E95CD">
            <w:pPr>
              <w:autoSpaceDN w:val="0"/>
              <w:spacing w:before="0" w:beforeLines="0" w:line="240" w:lineRule="auto"/>
              <w:jc w:val="center"/>
              <w:textAlignment w:val="center"/>
              <w:rPr>
                <w:szCs w:val="21"/>
              </w:rPr>
            </w:pPr>
            <w:r>
              <w:rPr>
                <w:szCs w:val="21"/>
              </w:rPr>
              <w:t>U.S.EPA 8270E-2018</w:t>
            </w:r>
          </w:p>
        </w:tc>
        <w:tc>
          <w:tcPr>
            <w:tcW w:w="2100" w:type="dxa"/>
            <w:tcBorders>
              <w:tl2br w:val="nil"/>
              <w:tr2bl w:val="nil"/>
            </w:tcBorders>
            <w:vAlign w:val="center"/>
          </w:tcPr>
          <w:p w14:paraId="1D15C945">
            <w:pPr>
              <w:widowControl/>
              <w:spacing w:before="0" w:beforeLines="0" w:line="240" w:lineRule="auto"/>
              <w:jc w:val="center"/>
              <w:textAlignment w:val="center"/>
              <w:rPr>
                <w:szCs w:val="21"/>
              </w:rPr>
            </w:pPr>
            <w:r>
              <w:rPr>
                <w:szCs w:val="21"/>
              </w:rPr>
              <w:t>气相色谱质谱仪GCMS-QP2010 SE</w:t>
            </w:r>
          </w:p>
          <w:p w14:paraId="67D70FD7">
            <w:pPr>
              <w:autoSpaceDN w:val="0"/>
              <w:spacing w:before="0" w:beforeLines="0" w:line="240" w:lineRule="auto"/>
              <w:jc w:val="center"/>
              <w:textAlignment w:val="center"/>
              <w:rPr>
                <w:szCs w:val="21"/>
              </w:rPr>
            </w:pPr>
            <w:r>
              <w:rPr>
                <w:szCs w:val="21"/>
              </w:rPr>
              <w:t>SYZZ-SB-071-03</w:t>
            </w:r>
          </w:p>
        </w:tc>
        <w:tc>
          <w:tcPr>
            <w:tcW w:w="876" w:type="dxa"/>
            <w:tcBorders>
              <w:tl2br w:val="nil"/>
              <w:tr2bl w:val="nil"/>
            </w:tcBorders>
            <w:vAlign w:val="center"/>
          </w:tcPr>
          <w:p w14:paraId="408798A7">
            <w:pPr>
              <w:autoSpaceDN w:val="0"/>
              <w:spacing w:before="0" w:beforeLines="0" w:line="240" w:lineRule="auto"/>
              <w:jc w:val="center"/>
              <w:textAlignment w:val="center"/>
              <w:rPr>
                <w:kern w:val="0"/>
                <w:szCs w:val="21"/>
                <w:lang w:bidi="ar"/>
              </w:rPr>
            </w:pPr>
            <w:r>
              <w:rPr>
                <w:kern w:val="0"/>
                <w:szCs w:val="21"/>
                <w:lang w:bidi="ar"/>
              </w:rPr>
              <w:t>0.02</w:t>
            </w:r>
          </w:p>
        </w:tc>
        <w:tc>
          <w:tcPr>
            <w:tcW w:w="889" w:type="dxa"/>
            <w:tcBorders>
              <w:tl2br w:val="nil"/>
              <w:tr2bl w:val="nil"/>
            </w:tcBorders>
            <w:vAlign w:val="center"/>
          </w:tcPr>
          <w:p w14:paraId="2CF80793">
            <w:pPr>
              <w:autoSpaceDN w:val="0"/>
              <w:spacing w:before="0" w:beforeLines="0" w:line="240" w:lineRule="auto"/>
              <w:jc w:val="center"/>
              <w:textAlignment w:val="center"/>
              <w:rPr>
                <w:kern w:val="0"/>
                <w:szCs w:val="21"/>
                <w:lang w:bidi="ar"/>
              </w:rPr>
            </w:pPr>
            <w:r>
              <w:rPr>
                <w:kern w:val="0"/>
                <w:szCs w:val="21"/>
                <w:lang w:bidi="ar"/>
              </w:rPr>
              <w:t>mg/kg</w:t>
            </w:r>
          </w:p>
        </w:tc>
      </w:tr>
      <w:tr w14:paraId="75EA6DA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478C49A7">
            <w:pPr>
              <w:widowControl/>
              <w:spacing w:before="0" w:beforeLines="0" w:line="240" w:lineRule="auto"/>
              <w:jc w:val="center"/>
              <w:textAlignment w:val="center"/>
              <w:rPr>
                <w:kern w:val="0"/>
                <w:szCs w:val="21"/>
                <w:lang w:bidi="ar"/>
              </w:rPr>
            </w:pPr>
            <w:r>
              <w:rPr>
                <w:kern w:val="0"/>
                <w:szCs w:val="21"/>
                <w:lang w:bidi="ar"/>
              </w:rPr>
              <w:t>47</w:t>
            </w:r>
          </w:p>
        </w:tc>
        <w:tc>
          <w:tcPr>
            <w:tcW w:w="1206" w:type="dxa"/>
            <w:tcBorders>
              <w:tl2br w:val="nil"/>
              <w:tr2bl w:val="nil"/>
            </w:tcBorders>
            <w:vAlign w:val="center"/>
          </w:tcPr>
          <w:p w14:paraId="6BF27850">
            <w:pPr>
              <w:widowControl/>
              <w:spacing w:before="0" w:beforeLines="0" w:line="240" w:lineRule="auto"/>
              <w:jc w:val="center"/>
              <w:textAlignment w:val="center"/>
              <w:rPr>
                <w:szCs w:val="21"/>
              </w:rPr>
            </w:pPr>
            <w:r>
              <w:rPr>
                <w:szCs w:val="21"/>
              </w:rPr>
              <w:t>pH</w:t>
            </w:r>
          </w:p>
        </w:tc>
        <w:tc>
          <w:tcPr>
            <w:tcW w:w="2793" w:type="dxa"/>
            <w:tcBorders>
              <w:tl2br w:val="nil"/>
              <w:tr2bl w:val="nil"/>
            </w:tcBorders>
            <w:vAlign w:val="center"/>
          </w:tcPr>
          <w:p w14:paraId="4FFE7D70">
            <w:pPr>
              <w:widowControl/>
              <w:spacing w:before="0" w:beforeLines="0" w:line="240" w:lineRule="auto"/>
              <w:jc w:val="center"/>
              <w:textAlignment w:val="center"/>
              <w:rPr>
                <w:szCs w:val="21"/>
              </w:rPr>
            </w:pPr>
            <w:r>
              <w:rPr>
                <w:szCs w:val="21"/>
              </w:rPr>
              <w:fldChar w:fldCharType="begin"/>
            </w:r>
            <w:r>
              <w:rPr>
                <w:szCs w:val="21"/>
              </w:rPr>
              <w:instrText xml:space="preserve"> HYPERLINK "http://kjs.mee.gov.cn/hjbhbz/bzwb/jcffbz/201808/W020180815584753007210.pdf" </w:instrText>
            </w:r>
            <w:r>
              <w:rPr>
                <w:szCs w:val="21"/>
              </w:rPr>
              <w:fldChar w:fldCharType="separate"/>
            </w:r>
            <w:r>
              <w:rPr>
                <w:szCs w:val="21"/>
              </w:rPr>
              <w:t>土壤 pH 值的测定 电位法</w:t>
            </w:r>
          </w:p>
          <w:p w14:paraId="711F0C93">
            <w:pPr>
              <w:widowControl/>
              <w:spacing w:before="0" w:beforeLines="0" w:line="240" w:lineRule="auto"/>
              <w:jc w:val="center"/>
              <w:textAlignment w:val="center"/>
              <w:rPr>
                <w:szCs w:val="21"/>
              </w:rPr>
            </w:pPr>
            <w:r>
              <w:rPr>
                <w:szCs w:val="21"/>
              </w:rPr>
              <w:t>HJ 962-2018</w:t>
            </w:r>
            <w:r>
              <w:rPr>
                <w:szCs w:val="21"/>
              </w:rPr>
              <w:fldChar w:fldCharType="end"/>
            </w:r>
          </w:p>
        </w:tc>
        <w:tc>
          <w:tcPr>
            <w:tcW w:w="2100" w:type="dxa"/>
            <w:tcBorders>
              <w:tl2br w:val="nil"/>
              <w:tr2bl w:val="nil"/>
            </w:tcBorders>
            <w:vAlign w:val="center"/>
          </w:tcPr>
          <w:p w14:paraId="4F3249E7">
            <w:pPr>
              <w:widowControl/>
              <w:spacing w:before="0" w:beforeLines="0" w:line="240" w:lineRule="auto"/>
              <w:jc w:val="center"/>
              <w:textAlignment w:val="center"/>
              <w:rPr>
                <w:szCs w:val="21"/>
              </w:rPr>
            </w:pPr>
            <w:r>
              <w:rPr>
                <w:szCs w:val="21"/>
              </w:rPr>
              <w:t>PH计PHS-3C</w:t>
            </w:r>
          </w:p>
          <w:p w14:paraId="574A0F57">
            <w:pPr>
              <w:widowControl/>
              <w:spacing w:before="0" w:beforeLines="0" w:line="240" w:lineRule="auto"/>
              <w:jc w:val="center"/>
              <w:textAlignment w:val="center"/>
              <w:rPr>
                <w:szCs w:val="21"/>
              </w:rPr>
            </w:pPr>
            <w:r>
              <w:rPr>
                <w:szCs w:val="21"/>
              </w:rPr>
              <w:t>SYZZ-SB-014-01</w:t>
            </w:r>
          </w:p>
        </w:tc>
        <w:tc>
          <w:tcPr>
            <w:tcW w:w="876" w:type="dxa"/>
            <w:tcBorders>
              <w:tl2br w:val="nil"/>
              <w:tr2bl w:val="nil"/>
            </w:tcBorders>
            <w:vAlign w:val="center"/>
          </w:tcPr>
          <w:p w14:paraId="4F3B5013">
            <w:pPr>
              <w:widowControl/>
              <w:spacing w:before="0" w:beforeLines="0" w:line="240" w:lineRule="auto"/>
              <w:jc w:val="center"/>
              <w:textAlignment w:val="center"/>
              <w:rPr>
                <w:kern w:val="0"/>
                <w:szCs w:val="21"/>
                <w:lang w:bidi="ar"/>
              </w:rPr>
            </w:pPr>
            <w:r>
              <w:rPr>
                <w:kern w:val="0"/>
                <w:szCs w:val="21"/>
                <w:lang w:bidi="ar"/>
              </w:rPr>
              <w:t>——</w:t>
            </w:r>
          </w:p>
        </w:tc>
        <w:tc>
          <w:tcPr>
            <w:tcW w:w="889" w:type="dxa"/>
            <w:tcBorders>
              <w:tl2br w:val="nil"/>
              <w:tr2bl w:val="nil"/>
            </w:tcBorders>
            <w:vAlign w:val="center"/>
          </w:tcPr>
          <w:p w14:paraId="317BD014">
            <w:pPr>
              <w:widowControl/>
              <w:spacing w:before="0" w:beforeLines="0" w:line="240" w:lineRule="auto"/>
              <w:jc w:val="center"/>
              <w:textAlignment w:val="center"/>
              <w:rPr>
                <w:kern w:val="0"/>
                <w:szCs w:val="21"/>
                <w:lang w:bidi="ar"/>
              </w:rPr>
            </w:pPr>
            <w:r>
              <w:rPr>
                <w:kern w:val="0"/>
                <w:szCs w:val="21"/>
                <w:lang w:bidi="ar"/>
              </w:rPr>
              <w:t>无量纲</w:t>
            </w:r>
          </w:p>
        </w:tc>
      </w:tr>
      <w:tr w14:paraId="6952E25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3D7E5A98">
            <w:pPr>
              <w:widowControl/>
              <w:spacing w:before="0" w:beforeLines="0" w:line="240" w:lineRule="auto"/>
              <w:jc w:val="center"/>
              <w:textAlignment w:val="center"/>
              <w:rPr>
                <w:kern w:val="0"/>
                <w:szCs w:val="21"/>
                <w:lang w:bidi="ar"/>
              </w:rPr>
            </w:pPr>
            <w:r>
              <w:rPr>
                <w:kern w:val="0"/>
                <w:szCs w:val="21"/>
                <w:lang w:bidi="ar"/>
              </w:rPr>
              <w:t>48</w:t>
            </w:r>
          </w:p>
        </w:tc>
        <w:tc>
          <w:tcPr>
            <w:tcW w:w="1206" w:type="dxa"/>
            <w:tcBorders>
              <w:tl2br w:val="nil"/>
              <w:tr2bl w:val="nil"/>
            </w:tcBorders>
            <w:vAlign w:val="center"/>
          </w:tcPr>
          <w:p w14:paraId="33663D7B">
            <w:pPr>
              <w:autoSpaceDN w:val="0"/>
              <w:spacing w:before="0" w:beforeLines="0" w:line="240" w:lineRule="auto"/>
              <w:jc w:val="center"/>
              <w:rPr>
                <w:szCs w:val="21"/>
              </w:rPr>
            </w:pPr>
            <w:r>
              <w:rPr>
                <w:szCs w:val="21"/>
              </w:rPr>
              <w:t>锌</w:t>
            </w:r>
          </w:p>
        </w:tc>
        <w:tc>
          <w:tcPr>
            <w:tcW w:w="2793" w:type="dxa"/>
            <w:tcBorders>
              <w:tl2br w:val="nil"/>
              <w:tr2bl w:val="nil"/>
            </w:tcBorders>
            <w:vAlign w:val="center"/>
          </w:tcPr>
          <w:p w14:paraId="74515D5D">
            <w:pPr>
              <w:autoSpaceDN w:val="0"/>
              <w:spacing w:before="0" w:beforeLines="0" w:line="240" w:lineRule="auto"/>
              <w:jc w:val="center"/>
              <w:rPr>
                <w:szCs w:val="21"/>
              </w:rPr>
            </w:pPr>
            <w:r>
              <w:rPr>
                <w:szCs w:val="21"/>
              </w:rPr>
              <w:t>土壤和沉积物 铜、锌、铅、镍、铬的测定 火焰原子吸收分光光度法HJ 491-2019</w:t>
            </w:r>
          </w:p>
        </w:tc>
        <w:tc>
          <w:tcPr>
            <w:tcW w:w="2100" w:type="dxa"/>
            <w:tcBorders>
              <w:tl2br w:val="nil"/>
              <w:tr2bl w:val="nil"/>
            </w:tcBorders>
            <w:vAlign w:val="center"/>
          </w:tcPr>
          <w:p w14:paraId="7077B623">
            <w:pPr>
              <w:autoSpaceDN w:val="0"/>
              <w:spacing w:before="0" w:beforeLines="0" w:line="240" w:lineRule="auto"/>
              <w:jc w:val="center"/>
              <w:textAlignment w:val="center"/>
              <w:rPr>
                <w:szCs w:val="21"/>
              </w:rPr>
            </w:pPr>
            <w:r>
              <w:rPr>
                <w:szCs w:val="21"/>
              </w:rPr>
              <w:t>原子吸收分光光度计AA-7003</w:t>
            </w:r>
          </w:p>
          <w:p w14:paraId="3B935892">
            <w:pPr>
              <w:autoSpaceDN w:val="0"/>
              <w:spacing w:before="0" w:beforeLines="0" w:line="240" w:lineRule="auto"/>
              <w:jc w:val="center"/>
              <w:textAlignment w:val="center"/>
              <w:rPr>
                <w:szCs w:val="21"/>
              </w:rPr>
            </w:pPr>
            <w:r>
              <w:rPr>
                <w:szCs w:val="21"/>
              </w:rPr>
              <w:t>SYZZ-SB-029-01</w:t>
            </w:r>
          </w:p>
        </w:tc>
        <w:tc>
          <w:tcPr>
            <w:tcW w:w="876" w:type="dxa"/>
            <w:tcBorders>
              <w:tl2br w:val="nil"/>
              <w:tr2bl w:val="nil"/>
            </w:tcBorders>
            <w:vAlign w:val="center"/>
          </w:tcPr>
          <w:p w14:paraId="1EB9BC9F">
            <w:pPr>
              <w:widowControl/>
              <w:spacing w:before="0" w:beforeLines="0" w:line="240" w:lineRule="auto"/>
              <w:jc w:val="center"/>
              <w:textAlignment w:val="center"/>
              <w:rPr>
                <w:kern w:val="0"/>
                <w:szCs w:val="21"/>
                <w:lang w:bidi="ar"/>
              </w:rPr>
            </w:pPr>
            <w:r>
              <w:rPr>
                <w:kern w:val="0"/>
                <w:szCs w:val="21"/>
                <w:lang w:bidi="ar"/>
              </w:rPr>
              <w:t>1</w:t>
            </w:r>
          </w:p>
        </w:tc>
        <w:tc>
          <w:tcPr>
            <w:tcW w:w="889" w:type="dxa"/>
            <w:tcBorders>
              <w:tl2br w:val="nil"/>
              <w:tr2bl w:val="nil"/>
            </w:tcBorders>
            <w:vAlign w:val="center"/>
          </w:tcPr>
          <w:p w14:paraId="5685E299">
            <w:pPr>
              <w:widowControl/>
              <w:spacing w:before="0" w:beforeLines="0" w:line="240" w:lineRule="auto"/>
              <w:jc w:val="center"/>
              <w:textAlignment w:val="center"/>
              <w:rPr>
                <w:kern w:val="0"/>
                <w:szCs w:val="21"/>
                <w:lang w:bidi="ar"/>
              </w:rPr>
            </w:pPr>
            <w:r>
              <w:rPr>
                <w:kern w:val="0"/>
                <w:szCs w:val="21"/>
                <w:lang w:bidi="ar"/>
              </w:rPr>
              <w:t>mg/kg</w:t>
            </w:r>
          </w:p>
        </w:tc>
      </w:tr>
      <w:tr w14:paraId="30446EE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2BC13C5B">
            <w:pPr>
              <w:widowControl/>
              <w:spacing w:before="0" w:beforeLines="0" w:line="240" w:lineRule="auto"/>
              <w:jc w:val="center"/>
              <w:textAlignment w:val="center"/>
              <w:rPr>
                <w:kern w:val="0"/>
                <w:szCs w:val="21"/>
                <w:lang w:bidi="ar"/>
              </w:rPr>
            </w:pPr>
            <w:r>
              <w:rPr>
                <w:kern w:val="0"/>
                <w:szCs w:val="21"/>
                <w:lang w:bidi="ar"/>
              </w:rPr>
              <w:t>49</w:t>
            </w:r>
          </w:p>
        </w:tc>
        <w:tc>
          <w:tcPr>
            <w:tcW w:w="1206" w:type="dxa"/>
            <w:tcBorders>
              <w:tl2br w:val="nil"/>
              <w:tr2bl w:val="nil"/>
            </w:tcBorders>
            <w:vAlign w:val="center"/>
          </w:tcPr>
          <w:p w14:paraId="2F353D5C">
            <w:pPr>
              <w:autoSpaceDN w:val="0"/>
              <w:spacing w:before="0" w:beforeLines="0" w:line="240" w:lineRule="auto"/>
              <w:jc w:val="center"/>
              <w:textAlignment w:val="center"/>
              <w:rPr>
                <w:bCs/>
                <w:szCs w:val="21"/>
              </w:rPr>
            </w:pPr>
            <w:r>
              <w:rPr>
                <w:szCs w:val="21"/>
              </w:rPr>
              <w:t>总铬</w:t>
            </w:r>
          </w:p>
        </w:tc>
        <w:tc>
          <w:tcPr>
            <w:tcW w:w="2793" w:type="dxa"/>
            <w:tcBorders>
              <w:tl2br w:val="nil"/>
              <w:tr2bl w:val="nil"/>
            </w:tcBorders>
            <w:vAlign w:val="center"/>
          </w:tcPr>
          <w:p w14:paraId="287FC525">
            <w:pPr>
              <w:widowControl/>
              <w:spacing w:before="0" w:beforeLines="0" w:line="240" w:lineRule="auto"/>
              <w:jc w:val="center"/>
              <w:textAlignment w:val="center"/>
              <w:rPr>
                <w:szCs w:val="21"/>
              </w:rPr>
            </w:pPr>
            <w:r>
              <w:rPr>
                <w:szCs w:val="21"/>
              </w:rPr>
              <w:t>土壤和沉积物 铜、锌、铅、镍、铬的测定 火焰原子吸收分光光度法HJ 491-2019</w:t>
            </w:r>
          </w:p>
        </w:tc>
        <w:tc>
          <w:tcPr>
            <w:tcW w:w="2100" w:type="dxa"/>
            <w:tcBorders>
              <w:tl2br w:val="nil"/>
              <w:tr2bl w:val="nil"/>
            </w:tcBorders>
            <w:vAlign w:val="center"/>
          </w:tcPr>
          <w:p w14:paraId="48BAE44C">
            <w:pPr>
              <w:autoSpaceDN w:val="0"/>
              <w:spacing w:before="0" w:beforeLines="0" w:line="240" w:lineRule="auto"/>
              <w:jc w:val="center"/>
              <w:textAlignment w:val="center"/>
              <w:rPr>
                <w:szCs w:val="21"/>
              </w:rPr>
            </w:pPr>
            <w:r>
              <w:rPr>
                <w:szCs w:val="21"/>
              </w:rPr>
              <w:t>原子吸收分光光度计AA-7003</w:t>
            </w:r>
          </w:p>
          <w:p w14:paraId="44D518DE">
            <w:pPr>
              <w:autoSpaceDN w:val="0"/>
              <w:spacing w:before="0" w:beforeLines="0" w:line="240" w:lineRule="auto"/>
              <w:jc w:val="center"/>
              <w:textAlignment w:val="center"/>
              <w:rPr>
                <w:szCs w:val="21"/>
              </w:rPr>
            </w:pPr>
            <w:r>
              <w:rPr>
                <w:szCs w:val="21"/>
              </w:rPr>
              <w:t>SYZZ-SB-029-01</w:t>
            </w:r>
          </w:p>
        </w:tc>
        <w:tc>
          <w:tcPr>
            <w:tcW w:w="876" w:type="dxa"/>
            <w:tcBorders>
              <w:tl2br w:val="nil"/>
              <w:tr2bl w:val="nil"/>
            </w:tcBorders>
            <w:vAlign w:val="center"/>
          </w:tcPr>
          <w:p w14:paraId="3E27CDA5">
            <w:pPr>
              <w:widowControl/>
              <w:spacing w:before="0" w:beforeLines="0" w:line="240" w:lineRule="auto"/>
              <w:jc w:val="center"/>
              <w:textAlignment w:val="center"/>
              <w:rPr>
                <w:kern w:val="0"/>
                <w:szCs w:val="21"/>
                <w:lang w:bidi="ar"/>
              </w:rPr>
            </w:pPr>
            <w:r>
              <w:rPr>
                <w:kern w:val="0"/>
                <w:szCs w:val="21"/>
                <w:lang w:bidi="ar"/>
              </w:rPr>
              <w:t>4</w:t>
            </w:r>
          </w:p>
        </w:tc>
        <w:tc>
          <w:tcPr>
            <w:tcW w:w="889" w:type="dxa"/>
            <w:tcBorders>
              <w:tl2br w:val="nil"/>
              <w:tr2bl w:val="nil"/>
            </w:tcBorders>
            <w:vAlign w:val="center"/>
          </w:tcPr>
          <w:p w14:paraId="18091A58">
            <w:pPr>
              <w:widowControl/>
              <w:spacing w:before="0" w:beforeLines="0" w:line="240" w:lineRule="auto"/>
              <w:jc w:val="center"/>
              <w:textAlignment w:val="center"/>
              <w:rPr>
                <w:kern w:val="0"/>
                <w:szCs w:val="21"/>
                <w:lang w:bidi="ar"/>
              </w:rPr>
            </w:pPr>
            <w:r>
              <w:rPr>
                <w:kern w:val="0"/>
                <w:szCs w:val="21"/>
                <w:lang w:bidi="ar"/>
              </w:rPr>
              <w:t>mg/kg</w:t>
            </w:r>
          </w:p>
        </w:tc>
      </w:tr>
      <w:tr w14:paraId="1C21EF6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4C601C1D">
            <w:pPr>
              <w:widowControl/>
              <w:spacing w:before="0" w:beforeLines="0" w:line="240" w:lineRule="auto"/>
              <w:jc w:val="center"/>
              <w:textAlignment w:val="center"/>
              <w:rPr>
                <w:kern w:val="0"/>
                <w:szCs w:val="21"/>
                <w:lang w:bidi="ar"/>
              </w:rPr>
            </w:pPr>
            <w:r>
              <w:rPr>
                <w:kern w:val="0"/>
                <w:szCs w:val="21"/>
                <w:lang w:bidi="ar"/>
              </w:rPr>
              <w:t>50</w:t>
            </w:r>
          </w:p>
        </w:tc>
        <w:tc>
          <w:tcPr>
            <w:tcW w:w="1206" w:type="dxa"/>
            <w:tcBorders>
              <w:tl2br w:val="nil"/>
              <w:tr2bl w:val="nil"/>
            </w:tcBorders>
            <w:vAlign w:val="center"/>
          </w:tcPr>
          <w:p w14:paraId="1E237036">
            <w:pPr>
              <w:adjustRightInd w:val="0"/>
              <w:snapToGrid w:val="0"/>
              <w:spacing w:before="0" w:beforeLines="0" w:line="240" w:lineRule="auto"/>
              <w:jc w:val="center"/>
              <w:rPr>
                <w:szCs w:val="21"/>
              </w:rPr>
            </w:pPr>
            <w:r>
              <w:rPr>
                <w:szCs w:val="21"/>
              </w:rPr>
              <w:t>阳离子交换量</w:t>
            </w:r>
          </w:p>
        </w:tc>
        <w:tc>
          <w:tcPr>
            <w:tcW w:w="2793" w:type="dxa"/>
            <w:tcBorders>
              <w:tl2br w:val="nil"/>
              <w:tr2bl w:val="nil"/>
            </w:tcBorders>
            <w:vAlign w:val="center"/>
          </w:tcPr>
          <w:p w14:paraId="50947BC4">
            <w:pPr>
              <w:widowControl/>
              <w:spacing w:before="0" w:beforeLines="0" w:line="240" w:lineRule="auto"/>
              <w:jc w:val="center"/>
              <w:textAlignment w:val="center"/>
              <w:rPr>
                <w:szCs w:val="21"/>
              </w:rPr>
            </w:pPr>
            <w:r>
              <w:rPr>
                <w:szCs w:val="21"/>
              </w:rPr>
              <w:t>土壤 阳离子交换量的测定 三氯化六氨合钴浸提-分光光度法</w:t>
            </w:r>
          </w:p>
          <w:p w14:paraId="6B5CF839">
            <w:pPr>
              <w:widowControl/>
              <w:spacing w:before="0" w:beforeLines="0" w:line="240" w:lineRule="auto"/>
              <w:jc w:val="center"/>
              <w:textAlignment w:val="center"/>
              <w:rPr>
                <w:szCs w:val="21"/>
              </w:rPr>
            </w:pPr>
            <w:r>
              <w:rPr>
                <w:szCs w:val="21"/>
              </w:rPr>
              <w:t>HJ 889-2017 </w:t>
            </w:r>
          </w:p>
        </w:tc>
        <w:tc>
          <w:tcPr>
            <w:tcW w:w="2100" w:type="dxa"/>
            <w:tcBorders>
              <w:tl2br w:val="nil"/>
              <w:tr2bl w:val="nil"/>
            </w:tcBorders>
            <w:vAlign w:val="center"/>
          </w:tcPr>
          <w:p w14:paraId="68ABA3BB">
            <w:pPr>
              <w:widowControl/>
              <w:spacing w:before="0" w:beforeLines="0" w:line="240" w:lineRule="auto"/>
              <w:jc w:val="center"/>
              <w:textAlignment w:val="center"/>
              <w:rPr>
                <w:szCs w:val="21"/>
              </w:rPr>
            </w:pPr>
            <w:r>
              <w:rPr>
                <w:szCs w:val="21"/>
              </w:rPr>
              <w:t>紫外可见分光光度计UV2400</w:t>
            </w:r>
          </w:p>
          <w:p w14:paraId="1BB5350C">
            <w:pPr>
              <w:pStyle w:val="54"/>
              <w:ind w:firstLine="0" w:firstLineChars="0"/>
              <w:jc w:val="center"/>
              <w:rPr>
                <w:rFonts w:ascii="Times New Roman" w:hAnsi="Times New Roman" w:cs="Times New Roman"/>
                <w:sz w:val="21"/>
                <w:szCs w:val="21"/>
                <w:lang w:val="en-US" w:bidi="ar"/>
              </w:rPr>
            </w:pPr>
            <w:r>
              <w:rPr>
                <w:rFonts w:ascii="Times New Roman" w:hAnsi="Times New Roman" w:cs="Times New Roman"/>
                <w:sz w:val="21"/>
                <w:szCs w:val="21"/>
              </w:rPr>
              <w:t>SYZZ-SB-028-01</w:t>
            </w:r>
          </w:p>
        </w:tc>
        <w:tc>
          <w:tcPr>
            <w:tcW w:w="876" w:type="dxa"/>
            <w:tcBorders>
              <w:tl2br w:val="nil"/>
              <w:tr2bl w:val="nil"/>
            </w:tcBorders>
            <w:vAlign w:val="center"/>
          </w:tcPr>
          <w:p w14:paraId="11C0C75B">
            <w:pPr>
              <w:widowControl/>
              <w:spacing w:before="0" w:beforeLines="0" w:line="240" w:lineRule="auto"/>
              <w:jc w:val="center"/>
              <w:textAlignment w:val="center"/>
              <w:rPr>
                <w:kern w:val="0"/>
                <w:szCs w:val="21"/>
                <w:lang w:bidi="ar"/>
              </w:rPr>
            </w:pPr>
            <w:r>
              <w:rPr>
                <w:kern w:val="0"/>
                <w:szCs w:val="21"/>
                <w:lang w:bidi="ar"/>
              </w:rPr>
              <w:t>0.8</w:t>
            </w:r>
          </w:p>
        </w:tc>
        <w:tc>
          <w:tcPr>
            <w:tcW w:w="889" w:type="dxa"/>
            <w:tcBorders>
              <w:tl2br w:val="nil"/>
              <w:tr2bl w:val="nil"/>
            </w:tcBorders>
            <w:vAlign w:val="center"/>
          </w:tcPr>
          <w:p w14:paraId="2BACB82A">
            <w:pPr>
              <w:widowControl/>
              <w:spacing w:before="0" w:beforeLines="0" w:line="240" w:lineRule="auto"/>
              <w:jc w:val="center"/>
              <w:textAlignment w:val="center"/>
              <w:rPr>
                <w:kern w:val="0"/>
                <w:szCs w:val="21"/>
                <w:lang w:bidi="ar"/>
              </w:rPr>
            </w:pPr>
            <w:r>
              <w:rPr>
                <w:kern w:val="0"/>
                <w:szCs w:val="21"/>
                <w:lang w:bidi="ar"/>
              </w:rPr>
              <w:t>cmol</w:t>
            </w:r>
            <w:r>
              <w:rPr>
                <w:kern w:val="0"/>
                <w:szCs w:val="21"/>
                <w:vertAlign w:val="superscript"/>
                <w:lang w:bidi="ar"/>
              </w:rPr>
              <w:t>+</w:t>
            </w:r>
            <w:r>
              <w:rPr>
                <w:kern w:val="0"/>
                <w:szCs w:val="21"/>
                <w:lang w:bidi="ar"/>
              </w:rPr>
              <w:t>/kg</w:t>
            </w:r>
          </w:p>
        </w:tc>
      </w:tr>
      <w:tr w14:paraId="1BDD26E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5CE9716B">
            <w:pPr>
              <w:widowControl/>
              <w:spacing w:before="0" w:beforeLines="0" w:line="240" w:lineRule="auto"/>
              <w:jc w:val="center"/>
              <w:textAlignment w:val="center"/>
              <w:rPr>
                <w:kern w:val="0"/>
                <w:szCs w:val="21"/>
                <w:lang w:bidi="ar"/>
              </w:rPr>
            </w:pPr>
            <w:r>
              <w:rPr>
                <w:kern w:val="0"/>
                <w:szCs w:val="21"/>
                <w:lang w:bidi="ar"/>
              </w:rPr>
              <w:t>51</w:t>
            </w:r>
          </w:p>
        </w:tc>
        <w:tc>
          <w:tcPr>
            <w:tcW w:w="1206" w:type="dxa"/>
            <w:tcBorders>
              <w:tl2br w:val="nil"/>
              <w:tr2bl w:val="nil"/>
            </w:tcBorders>
            <w:vAlign w:val="center"/>
          </w:tcPr>
          <w:p w14:paraId="02B10884">
            <w:pPr>
              <w:autoSpaceDN w:val="0"/>
              <w:spacing w:before="0" w:beforeLines="0" w:line="240" w:lineRule="auto"/>
              <w:jc w:val="center"/>
              <w:textAlignment w:val="center"/>
              <w:rPr>
                <w:szCs w:val="21"/>
              </w:rPr>
            </w:pPr>
            <w:r>
              <w:rPr>
                <w:szCs w:val="21"/>
              </w:rPr>
              <w:t>氧化还原电位</w:t>
            </w:r>
          </w:p>
        </w:tc>
        <w:tc>
          <w:tcPr>
            <w:tcW w:w="2793" w:type="dxa"/>
            <w:tcBorders>
              <w:tl2br w:val="nil"/>
              <w:tr2bl w:val="nil"/>
            </w:tcBorders>
            <w:vAlign w:val="center"/>
          </w:tcPr>
          <w:p w14:paraId="5CA05FFB">
            <w:pPr>
              <w:widowControl/>
              <w:spacing w:before="0" w:beforeLines="0" w:line="240" w:lineRule="auto"/>
              <w:jc w:val="center"/>
              <w:textAlignment w:val="center"/>
              <w:rPr>
                <w:szCs w:val="21"/>
              </w:rPr>
            </w:pPr>
            <w:r>
              <w:rPr>
                <w:szCs w:val="21"/>
              </w:rPr>
              <w:fldChar w:fldCharType="begin"/>
            </w:r>
            <w:r>
              <w:rPr>
                <w:szCs w:val="21"/>
              </w:rPr>
              <w:instrText xml:space="preserve"> HYPERLINK "http://kjs.mee.gov.cn/hjbhbz/bzwb/jcffbz/201506/W020150616380762382954.pdf" </w:instrText>
            </w:r>
            <w:r>
              <w:rPr>
                <w:szCs w:val="21"/>
              </w:rPr>
              <w:fldChar w:fldCharType="separate"/>
            </w:r>
            <w:r>
              <w:rPr>
                <w:szCs w:val="21"/>
              </w:rPr>
              <w:t>土壤 氧化还原电位的测定</w:t>
            </w:r>
          </w:p>
          <w:p w14:paraId="0F8F0A96">
            <w:pPr>
              <w:widowControl/>
              <w:spacing w:before="0" w:beforeLines="0" w:line="240" w:lineRule="auto"/>
              <w:jc w:val="center"/>
              <w:textAlignment w:val="center"/>
              <w:rPr>
                <w:szCs w:val="21"/>
              </w:rPr>
            </w:pPr>
            <w:r>
              <w:rPr>
                <w:szCs w:val="21"/>
              </w:rPr>
              <w:t>电位法HJ 746-2015</w:t>
            </w:r>
            <w:r>
              <w:rPr>
                <w:szCs w:val="21"/>
              </w:rPr>
              <w:fldChar w:fldCharType="end"/>
            </w:r>
          </w:p>
        </w:tc>
        <w:tc>
          <w:tcPr>
            <w:tcW w:w="2100" w:type="dxa"/>
            <w:tcBorders>
              <w:tl2br w:val="nil"/>
              <w:tr2bl w:val="nil"/>
            </w:tcBorders>
            <w:vAlign w:val="center"/>
          </w:tcPr>
          <w:p w14:paraId="7D95E445">
            <w:pPr>
              <w:widowControl/>
              <w:spacing w:before="0" w:beforeLines="0" w:line="240" w:lineRule="auto"/>
              <w:jc w:val="center"/>
              <w:textAlignment w:val="center"/>
              <w:rPr>
                <w:kern w:val="0"/>
                <w:szCs w:val="21"/>
              </w:rPr>
            </w:pPr>
            <w:r>
              <w:rPr>
                <w:kern w:val="0"/>
                <w:szCs w:val="21"/>
              </w:rPr>
              <w:t>土壤ORP计TR-901</w:t>
            </w:r>
          </w:p>
          <w:p w14:paraId="7A632BB7">
            <w:pPr>
              <w:widowControl/>
              <w:spacing w:before="0" w:beforeLines="0" w:line="240" w:lineRule="auto"/>
              <w:jc w:val="center"/>
              <w:textAlignment w:val="center"/>
              <w:rPr>
                <w:szCs w:val="21"/>
              </w:rPr>
            </w:pPr>
            <w:r>
              <w:rPr>
                <w:kern w:val="0"/>
                <w:szCs w:val="21"/>
              </w:rPr>
              <w:t>SYZZ-SB-120-01</w:t>
            </w:r>
          </w:p>
        </w:tc>
        <w:tc>
          <w:tcPr>
            <w:tcW w:w="876" w:type="dxa"/>
            <w:tcBorders>
              <w:tl2br w:val="nil"/>
              <w:tr2bl w:val="nil"/>
            </w:tcBorders>
            <w:vAlign w:val="center"/>
          </w:tcPr>
          <w:p w14:paraId="49910709">
            <w:pPr>
              <w:widowControl/>
              <w:spacing w:before="0" w:beforeLines="0" w:line="240" w:lineRule="auto"/>
              <w:jc w:val="center"/>
              <w:textAlignment w:val="center"/>
              <w:rPr>
                <w:kern w:val="0"/>
                <w:szCs w:val="21"/>
                <w:lang w:bidi="ar"/>
              </w:rPr>
            </w:pPr>
            <w:r>
              <w:rPr>
                <w:kern w:val="0"/>
                <w:szCs w:val="21"/>
                <w:lang w:bidi="ar"/>
              </w:rPr>
              <w:t>——</w:t>
            </w:r>
          </w:p>
        </w:tc>
        <w:tc>
          <w:tcPr>
            <w:tcW w:w="889" w:type="dxa"/>
            <w:tcBorders>
              <w:tl2br w:val="nil"/>
              <w:tr2bl w:val="nil"/>
            </w:tcBorders>
            <w:vAlign w:val="center"/>
          </w:tcPr>
          <w:p w14:paraId="5BC7D256">
            <w:pPr>
              <w:widowControl/>
              <w:spacing w:before="0" w:beforeLines="0" w:line="240" w:lineRule="auto"/>
              <w:jc w:val="center"/>
              <w:textAlignment w:val="center"/>
              <w:rPr>
                <w:kern w:val="0"/>
                <w:szCs w:val="21"/>
                <w:lang w:bidi="ar"/>
              </w:rPr>
            </w:pPr>
            <w:r>
              <w:rPr>
                <w:kern w:val="0"/>
                <w:szCs w:val="21"/>
                <w:lang w:bidi="ar"/>
              </w:rPr>
              <w:t>mV</w:t>
            </w:r>
          </w:p>
        </w:tc>
      </w:tr>
      <w:tr w14:paraId="57CCB7F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0E2B2B57">
            <w:pPr>
              <w:widowControl/>
              <w:spacing w:before="0" w:beforeLines="0" w:line="240" w:lineRule="auto"/>
              <w:jc w:val="center"/>
              <w:textAlignment w:val="center"/>
              <w:rPr>
                <w:kern w:val="0"/>
                <w:szCs w:val="21"/>
                <w:lang w:bidi="ar"/>
              </w:rPr>
            </w:pPr>
            <w:r>
              <w:rPr>
                <w:kern w:val="0"/>
                <w:szCs w:val="21"/>
                <w:lang w:bidi="ar"/>
              </w:rPr>
              <w:t>52</w:t>
            </w:r>
          </w:p>
        </w:tc>
        <w:tc>
          <w:tcPr>
            <w:tcW w:w="1206" w:type="dxa"/>
            <w:tcBorders>
              <w:tl2br w:val="nil"/>
              <w:tr2bl w:val="nil"/>
            </w:tcBorders>
            <w:vAlign w:val="center"/>
          </w:tcPr>
          <w:p w14:paraId="292A68E5">
            <w:pPr>
              <w:autoSpaceDN w:val="0"/>
              <w:spacing w:before="0" w:beforeLines="0" w:line="240" w:lineRule="auto"/>
              <w:jc w:val="center"/>
              <w:textAlignment w:val="center"/>
              <w:rPr>
                <w:kern w:val="0"/>
                <w:szCs w:val="21"/>
                <w:lang w:bidi="ar"/>
              </w:rPr>
            </w:pPr>
            <w:r>
              <w:rPr>
                <w:bCs/>
                <w:szCs w:val="21"/>
              </w:rPr>
              <w:t>渗滤率</w:t>
            </w:r>
          </w:p>
        </w:tc>
        <w:tc>
          <w:tcPr>
            <w:tcW w:w="2793" w:type="dxa"/>
            <w:tcBorders>
              <w:tl2br w:val="nil"/>
              <w:tr2bl w:val="nil"/>
            </w:tcBorders>
            <w:vAlign w:val="center"/>
          </w:tcPr>
          <w:p w14:paraId="5B06ED2F">
            <w:pPr>
              <w:widowControl/>
              <w:spacing w:before="0" w:beforeLines="0" w:line="240" w:lineRule="auto"/>
              <w:jc w:val="center"/>
              <w:textAlignment w:val="center"/>
              <w:rPr>
                <w:szCs w:val="21"/>
              </w:rPr>
            </w:pPr>
            <w:r>
              <w:rPr>
                <w:szCs w:val="21"/>
              </w:rPr>
              <w:t>森林土壤渗透性的测定</w:t>
            </w:r>
          </w:p>
          <w:p w14:paraId="33C615AB">
            <w:pPr>
              <w:widowControl/>
              <w:spacing w:before="0" w:beforeLines="0" w:line="240" w:lineRule="auto"/>
              <w:jc w:val="center"/>
              <w:textAlignment w:val="center"/>
              <w:rPr>
                <w:szCs w:val="21"/>
              </w:rPr>
            </w:pPr>
            <w:r>
              <w:rPr>
                <w:szCs w:val="21"/>
              </w:rPr>
              <w:t>LY/T 1218-1999 3 环刀法</w:t>
            </w:r>
          </w:p>
        </w:tc>
        <w:tc>
          <w:tcPr>
            <w:tcW w:w="2100" w:type="dxa"/>
            <w:tcBorders>
              <w:tl2br w:val="nil"/>
              <w:tr2bl w:val="nil"/>
            </w:tcBorders>
            <w:vAlign w:val="center"/>
          </w:tcPr>
          <w:p w14:paraId="513A02AF">
            <w:pPr>
              <w:autoSpaceDN w:val="0"/>
              <w:spacing w:before="0" w:beforeLines="0" w:line="240" w:lineRule="auto"/>
              <w:jc w:val="center"/>
              <w:textAlignment w:val="center"/>
              <w:rPr>
                <w:szCs w:val="21"/>
                <w:vertAlign w:val="superscript"/>
              </w:rPr>
            </w:pPr>
            <w:r>
              <w:rPr>
                <w:szCs w:val="21"/>
              </w:rPr>
              <w:t>环刀100cm</w:t>
            </w:r>
            <w:r>
              <w:rPr>
                <w:szCs w:val="21"/>
                <w:vertAlign w:val="superscript"/>
              </w:rPr>
              <w:t>3</w:t>
            </w:r>
          </w:p>
          <w:p w14:paraId="3985CAF1">
            <w:pPr>
              <w:pStyle w:val="53"/>
              <w:spacing w:before="0" w:beforeLines="0" w:after="0" w:line="240" w:lineRule="auto"/>
              <w:ind w:left="0" w:leftChars="0"/>
              <w:jc w:val="center"/>
              <w:rPr>
                <w:kern w:val="0"/>
                <w:szCs w:val="21"/>
                <w:lang w:bidi="ar"/>
              </w:rPr>
            </w:pPr>
            <w:r>
              <w:rPr>
                <w:szCs w:val="21"/>
              </w:rPr>
              <w:t>SYZZ-SB-094-01</w:t>
            </w:r>
          </w:p>
        </w:tc>
        <w:tc>
          <w:tcPr>
            <w:tcW w:w="876" w:type="dxa"/>
            <w:tcBorders>
              <w:tl2br w:val="nil"/>
              <w:tr2bl w:val="nil"/>
            </w:tcBorders>
            <w:vAlign w:val="center"/>
          </w:tcPr>
          <w:p w14:paraId="5CC75172">
            <w:pPr>
              <w:widowControl/>
              <w:spacing w:before="0" w:beforeLines="0" w:line="240" w:lineRule="auto"/>
              <w:jc w:val="center"/>
              <w:textAlignment w:val="center"/>
              <w:rPr>
                <w:kern w:val="0"/>
                <w:szCs w:val="21"/>
                <w:lang w:bidi="ar"/>
              </w:rPr>
            </w:pPr>
            <w:r>
              <w:rPr>
                <w:kern w:val="0"/>
                <w:szCs w:val="21"/>
                <w:lang w:bidi="ar"/>
              </w:rPr>
              <w:t>——</w:t>
            </w:r>
          </w:p>
        </w:tc>
        <w:tc>
          <w:tcPr>
            <w:tcW w:w="889" w:type="dxa"/>
            <w:tcBorders>
              <w:tl2br w:val="nil"/>
              <w:tr2bl w:val="nil"/>
            </w:tcBorders>
            <w:vAlign w:val="center"/>
          </w:tcPr>
          <w:p w14:paraId="658C70B5">
            <w:pPr>
              <w:widowControl/>
              <w:spacing w:before="0" w:beforeLines="0" w:line="240" w:lineRule="auto"/>
              <w:jc w:val="center"/>
              <w:textAlignment w:val="center"/>
              <w:rPr>
                <w:kern w:val="0"/>
                <w:szCs w:val="21"/>
                <w:lang w:bidi="ar"/>
              </w:rPr>
            </w:pPr>
            <w:r>
              <w:rPr>
                <w:kern w:val="0"/>
                <w:szCs w:val="21"/>
                <w:lang w:bidi="ar"/>
              </w:rPr>
              <w:t>mm/min</w:t>
            </w:r>
          </w:p>
        </w:tc>
      </w:tr>
      <w:tr w14:paraId="785E063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63BAE50F">
            <w:pPr>
              <w:widowControl/>
              <w:spacing w:before="0" w:beforeLines="0" w:line="240" w:lineRule="auto"/>
              <w:jc w:val="center"/>
              <w:textAlignment w:val="center"/>
              <w:rPr>
                <w:kern w:val="0"/>
                <w:szCs w:val="21"/>
                <w:lang w:bidi="ar"/>
              </w:rPr>
            </w:pPr>
            <w:r>
              <w:rPr>
                <w:kern w:val="0"/>
                <w:szCs w:val="21"/>
                <w:lang w:bidi="ar"/>
              </w:rPr>
              <w:t>53</w:t>
            </w:r>
          </w:p>
        </w:tc>
        <w:tc>
          <w:tcPr>
            <w:tcW w:w="1206" w:type="dxa"/>
            <w:tcBorders>
              <w:tl2br w:val="nil"/>
              <w:tr2bl w:val="nil"/>
            </w:tcBorders>
            <w:vAlign w:val="center"/>
          </w:tcPr>
          <w:p w14:paraId="13F2583A">
            <w:pPr>
              <w:autoSpaceDN w:val="0"/>
              <w:spacing w:before="0" w:beforeLines="0" w:line="240" w:lineRule="auto"/>
              <w:jc w:val="center"/>
              <w:textAlignment w:val="center"/>
              <w:rPr>
                <w:szCs w:val="21"/>
              </w:rPr>
            </w:pPr>
            <w:r>
              <w:rPr>
                <w:bCs/>
                <w:szCs w:val="21"/>
              </w:rPr>
              <w:t>土壤容重</w:t>
            </w:r>
          </w:p>
        </w:tc>
        <w:tc>
          <w:tcPr>
            <w:tcW w:w="2793" w:type="dxa"/>
            <w:tcBorders>
              <w:tl2br w:val="nil"/>
              <w:tr2bl w:val="nil"/>
            </w:tcBorders>
            <w:vAlign w:val="center"/>
          </w:tcPr>
          <w:p w14:paraId="532F7280">
            <w:pPr>
              <w:widowControl/>
              <w:spacing w:before="0" w:beforeLines="0" w:line="240" w:lineRule="auto"/>
              <w:jc w:val="center"/>
              <w:textAlignment w:val="center"/>
              <w:rPr>
                <w:szCs w:val="21"/>
              </w:rPr>
            </w:pPr>
            <w:r>
              <w:rPr>
                <w:szCs w:val="21"/>
              </w:rPr>
              <w:t>土壤检测 第4部分：土壤容重的测定NY/T 1121.4-2006</w:t>
            </w:r>
          </w:p>
        </w:tc>
        <w:tc>
          <w:tcPr>
            <w:tcW w:w="2100" w:type="dxa"/>
            <w:tcBorders>
              <w:tl2br w:val="nil"/>
              <w:tr2bl w:val="nil"/>
            </w:tcBorders>
            <w:vAlign w:val="center"/>
          </w:tcPr>
          <w:p w14:paraId="5E4872A3">
            <w:pPr>
              <w:autoSpaceDN w:val="0"/>
              <w:spacing w:before="0" w:beforeLines="0" w:line="240" w:lineRule="auto"/>
              <w:jc w:val="center"/>
              <w:textAlignment w:val="center"/>
              <w:rPr>
                <w:szCs w:val="21"/>
              </w:rPr>
            </w:pPr>
            <w:r>
              <w:rPr>
                <w:szCs w:val="21"/>
              </w:rPr>
              <w:t>环刀100cm</w:t>
            </w:r>
            <w:r>
              <w:rPr>
                <w:szCs w:val="21"/>
                <w:vertAlign w:val="superscript"/>
              </w:rPr>
              <w:t>3</w:t>
            </w:r>
          </w:p>
          <w:p w14:paraId="1C62C4C3">
            <w:pPr>
              <w:autoSpaceDN w:val="0"/>
              <w:spacing w:before="0" w:beforeLines="0" w:line="240" w:lineRule="auto"/>
              <w:jc w:val="center"/>
              <w:textAlignment w:val="center"/>
              <w:rPr>
                <w:szCs w:val="21"/>
              </w:rPr>
            </w:pPr>
            <w:r>
              <w:rPr>
                <w:szCs w:val="21"/>
              </w:rPr>
              <w:t>SYZZ-SB-094-01</w:t>
            </w:r>
          </w:p>
        </w:tc>
        <w:tc>
          <w:tcPr>
            <w:tcW w:w="876" w:type="dxa"/>
            <w:tcBorders>
              <w:tl2br w:val="nil"/>
              <w:tr2bl w:val="nil"/>
            </w:tcBorders>
            <w:vAlign w:val="center"/>
          </w:tcPr>
          <w:p w14:paraId="142335C0">
            <w:pPr>
              <w:widowControl/>
              <w:spacing w:before="0" w:beforeLines="0" w:line="240" w:lineRule="auto"/>
              <w:jc w:val="center"/>
              <w:textAlignment w:val="center"/>
              <w:rPr>
                <w:kern w:val="0"/>
                <w:szCs w:val="21"/>
                <w:lang w:bidi="ar"/>
              </w:rPr>
            </w:pPr>
            <w:r>
              <w:rPr>
                <w:kern w:val="0"/>
                <w:szCs w:val="21"/>
                <w:lang w:bidi="ar"/>
              </w:rPr>
              <w:t>——</w:t>
            </w:r>
          </w:p>
        </w:tc>
        <w:tc>
          <w:tcPr>
            <w:tcW w:w="889" w:type="dxa"/>
            <w:tcBorders>
              <w:tl2br w:val="nil"/>
              <w:tr2bl w:val="nil"/>
            </w:tcBorders>
            <w:vAlign w:val="center"/>
          </w:tcPr>
          <w:p w14:paraId="25D1B01D">
            <w:pPr>
              <w:widowControl/>
              <w:spacing w:before="0" w:beforeLines="0" w:line="240" w:lineRule="auto"/>
              <w:jc w:val="center"/>
              <w:textAlignment w:val="center"/>
              <w:rPr>
                <w:kern w:val="0"/>
                <w:szCs w:val="21"/>
                <w:lang w:bidi="ar"/>
              </w:rPr>
            </w:pPr>
            <w:r>
              <w:rPr>
                <w:kern w:val="0"/>
                <w:szCs w:val="21"/>
                <w:lang w:bidi="ar"/>
              </w:rPr>
              <w:t>g/cm</w:t>
            </w:r>
            <w:r>
              <w:rPr>
                <w:kern w:val="0"/>
                <w:szCs w:val="21"/>
                <w:vertAlign w:val="superscript"/>
                <w:lang w:bidi="ar"/>
              </w:rPr>
              <w:t>3</w:t>
            </w:r>
          </w:p>
        </w:tc>
      </w:tr>
      <w:tr w14:paraId="4F575F2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4A20BF2C">
            <w:pPr>
              <w:widowControl/>
              <w:spacing w:before="0" w:beforeLines="0" w:line="240" w:lineRule="auto"/>
              <w:jc w:val="center"/>
              <w:textAlignment w:val="center"/>
              <w:rPr>
                <w:kern w:val="0"/>
                <w:szCs w:val="21"/>
                <w:lang w:bidi="ar"/>
              </w:rPr>
            </w:pPr>
            <w:r>
              <w:rPr>
                <w:kern w:val="0"/>
                <w:szCs w:val="21"/>
                <w:lang w:bidi="ar"/>
              </w:rPr>
              <w:t>54</w:t>
            </w:r>
          </w:p>
        </w:tc>
        <w:tc>
          <w:tcPr>
            <w:tcW w:w="1206" w:type="dxa"/>
            <w:tcBorders>
              <w:tl2br w:val="nil"/>
              <w:tr2bl w:val="nil"/>
            </w:tcBorders>
            <w:vAlign w:val="center"/>
          </w:tcPr>
          <w:p w14:paraId="6552E382">
            <w:pPr>
              <w:spacing w:before="0" w:beforeLines="0" w:line="240" w:lineRule="auto"/>
              <w:jc w:val="center"/>
              <w:rPr>
                <w:szCs w:val="21"/>
              </w:rPr>
            </w:pPr>
            <w:r>
              <w:rPr>
                <w:szCs w:val="21"/>
              </w:rPr>
              <w:t>总孔隙度</w:t>
            </w:r>
          </w:p>
        </w:tc>
        <w:tc>
          <w:tcPr>
            <w:tcW w:w="2793" w:type="dxa"/>
            <w:tcBorders>
              <w:tl2br w:val="nil"/>
              <w:tr2bl w:val="nil"/>
            </w:tcBorders>
            <w:vAlign w:val="center"/>
          </w:tcPr>
          <w:p w14:paraId="37EEDAFA">
            <w:pPr>
              <w:spacing w:before="0" w:beforeLines="0" w:line="240" w:lineRule="auto"/>
              <w:jc w:val="center"/>
              <w:rPr>
                <w:szCs w:val="21"/>
              </w:rPr>
            </w:pPr>
            <w:r>
              <w:rPr>
                <w:szCs w:val="21"/>
              </w:rPr>
              <w:t>森林土壤水分-物理性质的测定LY/T 1215-1999</w:t>
            </w:r>
          </w:p>
        </w:tc>
        <w:tc>
          <w:tcPr>
            <w:tcW w:w="2100" w:type="dxa"/>
            <w:tcBorders>
              <w:tl2br w:val="nil"/>
              <w:tr2bl w:val="nil"/>
            </w:tcBorders>
            <w:vAlign w:val="center"/>
          </w:tcPr>
          <w:p w14:paraId="6153801C">
            <w:pPr>
              <w:autoSpaceDN w:val="0"/>
              <w:spacing w:before="0" w:beforeLines="0" w:line="240" w:lineRule="auto"/>
              <w:jc w:val="center"/>
              <w:textAlignment w:val="center"/>
              <w:rPr>
                <w:szCs w:val="21"/>
              </w:rPr>
            </w:pPr>
            <w:r>
              <w:rPr>
                <w:szCs w:val="21"/>
              </w:rPr>
              <w:t>环刀100cm</w:t>
            </w:r>
            <w:r>
              <w:rPr>
                <w:szCs w:val="21"/>
                <w:vertAlign w:val="superscript"/>
              </w:rPr>
              <w:t>3</w:t>
            </w:r>
          </w:p>
          <w:p w14:paraId="5B66A376">
            <w:pPr>
              <w:autoSpaceDN w:val="0"/>
              <w:spacing w:before="0" w:beforeLines="0" w:line="240" w:lineRule="auto"/>
              <w:jc w:val="center"/>
              <w:textAlignment w:val="center"/>
              <w:rPr>
                <w:szCs w:val="21"/>
              </w:rPr>
            </w:pPr>
            <w:r>
              <w:rPr>
                <w:szCs w:val="21"/>
              </w:rPr>
              <w:t>SYZZ-SB-094-01</w:t>
            </w:r>
          </w:p>
        </w:tc>
        <w:tc>
          <w:tcPr>
            <w:tcW w:w="876" w:type="dxa"/>
            <w:tcBorders>
              <w:tl2br w:val="nil"/>
              <w:tr2bl w:val="nil"/>
            </w:tcBorders>
            <w:vAlign w:val="center"/>
          </w:tcPr>
          <w:p w14:paraId="0B99D849">
            <w:pPr>
              <w:widowControl/>
              <w:spacing w:before="0" w:beforeLines="0" w:line="240" w:lineRule="auto"/>
              <w:jc w:val="center"/>
              <w:textAlignment w:val="center"/>
              <w:rPr>
                <w:kern w:val="0"/>
                <w:szCs w:val="21"/>
                <w:lang w:bidi="ar"/>
              </w:rPr>
            </w:pPr>
            <w:r>
              <w:rPr>
                <w:kern w:val="0"/>
                <w:szCs w:val="21"/>
                <w:lang w:bidi="ar"/>
              </w:rPr>
              <w:t>——</w:t>
            </w:r>
          </w:p>
        </w:tc>
        <w:tc>
          <w:tcPr>
            <w:tcW w:w="889" w:type="dxa"/>
            <w:tcBorders>
              <w:tl2br w:val="nil"/>
              <w:tr2bl w:val="nil"/>
            </w:tcBorders>
            <w:vAlign w:val="center"/>
          </w:tcPr>
          <w:p w14:paraId="280B2A02">
            <w:pPr>
              <w:widowControl/>
              <w:spacing w:before="0" w:beforeLines="0" w:line="240" w:lineRule="auto"/>
              <w:jc w:val="center"/>
              <w:textAlignment w:val="center"/>
              <w:rPr>
                <w:kern w:val="0"/>
                <w:szCs w:val="21"/>
                <w:lang w:bidi="ar"/>
              </w:rPr>
            </w:pPr>
            <w:r>
              <w:rPr>
                <w:kern w:val="0"/>
                <w:szCs w:val="21"/>
                <w:lang w:bidi="ar"/>
              </w:rPr>
              <w:t>%</w:t>
            </w:r>
          </w:p>
        </w:tc>
      </w:tr>
      <w:tr w14:paraId="652963F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65E924A4">
            <w:pPr>
              <w:widowControl/>
              <w:spacing w:before="0" w:beforeLines="0" w:line="240" w:lineRule="auto"/>
              <w:jc w:val="center"/>
              <w:textAlignment w:val="center"/>
              <w:rPr>
                <w:kern w:val="0"/>
                <w:szCs w:val="21"/>
                <w:lang w:bidi="ar"/>
              </w:rPr>
            </w:pPr>
            <w:r>
              <w:rPr>
                <w:rFonts w:hint="eastAsia"/>
                <w:kern w:val="0"/>
                <w:szCs w:val="21"/>
                <w:lang w:bidi="ar"/>
              </w:rPr>
              <w:t>5</w:t>
            </w:r>
            <w:r>
              <w:rPr>
                <w:kern w:val="0"/>
                <w:szCs w:val="21"/>
                <w:lang w:bidi="ar"/>
              </w:rPr>
              <w:t>6</w:t>
            </w:r>
          </w:p>
        </w:tc>
        <w:tc>
          <w:tcPr>
            <w:tcW w:w="1206" w:type="dxa"/>
            <w:tcBorders>
              <w:tl2br w:val="nil"/>
              <w:tr2bl w:val="nil"/>
            </w:tcBorders>
            <w:vAlign w:val="center"/>
          </w:tcPr>
          <w:p w14:paraId="3C2F9580">
            <w:pPr>
              <w:spacing w:before="0" w:beforeLines="0" w:line="240" w:lineRule="auto"/>
              <w:jc w:val="center"/>
              <w:rPr>
                <w:szCs w:val="21"/>
              </w:rPr>
            </w:pPr>
            <w:r>
              <w:rPr>
                <w:rFonts w:hint="eastAsia"/>
                <w:szCs w:val="21"/>
              </w:rPr>
              <w:t>钒</w:t>
            </w:r>
          </w:p>
        </w:tc>
        <w:tc>
          <w:tcPr>
            <w:tcW w:w="2793" w:type="dxa"/>
            <w:vMerge w:val="restart"/>
            <w:tcBorders>
              <w:tl2br w:val="nil"/>
              <w:tr2bl w:val="nil"/>
            </w:tcBorders>
            <w:vAlign w:val="center"/>
          </w:tcPr>
          <w:p w14:paraId="088714E3">
            <w:pPr>
              <w:spacing w:before="0" w:beforeLines="0" w:line="240" w:lineRule="auto"/>
              <w:jc w:val="center"/>
              <w:rPr>
                <w:szCs w:val="21"/>
              </w:rPr>
            </w:pPr>
            <w:r>
              <w:rPr>
                <w:rFonts w:hint="eastAsia"/>
                <w:szCs w:val="21"/>
              </w:rPr>
              <w:t>土壤和沉积物11种元素的测定碱熔- 电感耦合等离子体发射光谱法HJ 974-2018</w:t>
            </w:r>
          </w:p>
        </w:tc>
        <w:tc>
          <w:tcPr>
            <w:tcW w:w="2100" w:type="dxa"/>
            <w:vMerge w:val="restart"/>
            <w:tcBorders>
              <w:tl2br w:val="nil"/>
              <w:tr2bl w:val="nil"/>
            </w:tcBorders>
            <w:vAlign w:val="center"/>
          </w:tcPr>
          <w:p w14:paraId="41390395">
            <w:pPr>
              <w:autoSpaceDN w:val="0"/>
              <w:spacing w:before="0" w:beforeLines="0" w:line="240" w:lineRule="auto"/>
              <w:jc w:val="center"/>
              <w:textAlignment w:val="center"/>
              <w:rPr>
                <w:szCs w:val="21"/>
              </w:rPr>
            </w:pPr>
            <w:r>
              <w:rPr>
                <w:kern w:val="0"/>
                <w:szCs w:val="21"/>
                <w:lang w:bidi="ar"/>
              </w:rPr>
              <w:t>——</w:t>
            </w:r>
          </w:p>
        </w:tc>
        <w:tc>
          <w:tcPr>
            <w:tcW w:w="876" w:type="dxa"/>
            <w:tcBorders>
              <w:tl2br w:val="nil"/>
              <w:tr2bl w:val="nil"/>
            </w:tcBorders>
            <w:vAlign w:val="center"/>
          </w:tcPr>
          <w:p w14:paraId="434B5108">
            <w:pPr>
              <w:widowControl/>
              <w:spacing w:before="0" w:beforeLines="0" w:line="240" w:lineRule="auto"/>
              <w:jc w:val="center"/>
              <w:textAlignment w:val="center"/>
              <w:rPr>
                <w:kern w:val="0"/>
                <w:szCs w:val="21"/>
                <w:lang w:bidi="ar"/>
              </w:rPr>
            </w:pPr>
            <w:r>
              <w:rPr>
                <w:rFonts w:hint="eastAsia"/>
                <w:szCs w:val="21"/>
              </w:rPr>
              <w:t>0</w:t>
            </w:r>
            <w:r>
              <w:rPr>
                <w:szCs w:val="21"/>
              </w:rPr>
              <w:t>.02</w:t>
            </w:r>
          </w:p>
        </w:tc>
        <w:tc>
          <w:tcPr>
            <w:tcW w:w="889" w:type="dxa"/>
            <w:tcBorders>
              <w:tl2br w:val="nil"/>
              <w:tr2bl w:val="nil"/>
            </w:tcBorders>
            <w:vAlign w:val="center"/>
          </w:tcPr>
          <w:p w14:paraId="3B707AF2">
            <w:pPr>
              <w:widowControl/>
              <w:spacing w:before="0" w:beforeLines="0" w:line="240" w:lineRule="auto"/>
              <w:jc w:val="center"/>
              <w:textAlignment w:val="center"/>
              <w:rPr>
                <w:kern w:val="0"/>
                <w:szCs w:val="21"/>
                <w:lang w:bidi="ar"/>
              </w:rPr>
            </w:pPr>
            <w:r>
              <w:rPr>
                <w:kern w:val="0"/>
                <w:szCs w:val="21"/>
                <w:lang w:bidi="ar"/>
              </w:rPr>
              <w:t>g/kg</w:t>
            </w:r>
          </w:p>
        </w:tc>
      </w:tr>
      <w:tr w14:paraId="30B5DA5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14:paraId="7FEDC516">
            <w:pPr>
              <w:widowControl/>
              <w:spacing w:before="0" w:beforeLines="0" w:line="240" w:lineRule="auto"/>
              <w:jc w:val="center"/>
              <w:textAlignment w:val="center"/>
              <w:rPr>
                <w:kern w:val="0"/>
                <w:szCs w:val="21"/>
                <w:lang w:bidi="ar"/>
              </w:rPr>
            </w:pPr>
            <w:r>
              <w:rPr>
                <w:rFonts w:hint="eastAsia"/>
                <w:kern w:val="0"/>
                <w:szCs w:val="21"/>
                <w:lang w:bidi="ar"/>
              </w:rPr>
              <w:t>5</w:t>
            </w:r>
            <w:r>
              <w:rPr>
                <w:kern w:val="0"/>
                <w:szCs w:val="21"/>
                <w:lang w:bidi="ar"/>
              </w:rPr>
              <w:t>7</w:t>
            </w:r>
          </w:p>
        </w:tc>
        <w:tc>
          <w:tcPr>
            <w:tcW w:w="1206" w:type="dxa"/>
            <w:tcBorders>
              <w:tl2br w:val="nil"/>
              <w:tr2bl w:val="nil"/>
            </w:tcBorders>
            <w:vAlign w:val="center"/>
          </w:tcPr>
          <w:p w14:paraId="5FAED793">
            <w:pPr>
              <w:spacing w:before="0" w:beforeLines="0" w:line="240" w:lineRule="auto"/>
              <w:jc w:val="center"/>
              <w:rPr>
                <w:szCs w:val="21"/>
              </w:rPr>
            </w:pPr>
            <w:r>
              <w:rPr>
                <w:rFonts w:hint="eastAsia"/>
                <w:szCs w:val="21"/>
              </w:rPr>
              <w:t>钛</w:t>
            </w:r>
          </w:p>
        </w:tc>
        <w:tc>
          <w:tcPr>
            <w:tcW w:w="2793" w:type="dxa"/>
            <w:vMerge w:val="continue"/>
            <w:tcBorders>
              <w:tl2br w:val="nil"/>
              <w:tr2bl w:val="nil"/>
            </w:tcBorders>
            <w:vAlign w:val="center"/>
          </w:tcPr>
          <w:p w14:paraId="51910289">
            <w:pPr>
              <w:spacing w:before="0" w:beforeLines="0" w:line="240" w:lineRule="auto"/>
              <w:jc w:val="center"/>
              <w:rPr>
                <w:szCs w:val="21"/>
              </w:rPr>
            </w:pPr>
          </w:p>
        </w:tc>
        <w:tc>
          <w:tcPr>
            <w:tcW w:w="2100" w:type="dxa"/>
            <w:vMerge w:val="continue"/>
            <w:tcBorders>
              <w:tl2br w:val="nil"/>
              <w:tr2bl w:val="nil"/>
            </w:tcBorders>
            <w:vAlign w:val="center"/>
          </w:tcPr>
          <w:p w14:paraId="431B1D55">
            <w:pPr>
              <w:autoSpaceDN w:val="0"/>
              <w:spacing w:before="0" w:beforeLines="0" w:line="240" w:lineRule="auto"/>
              <w:jc w:val="center"/>
              <w:textAlignment w:val="center"/>
              <w:rPr>
                <w:szCs w:val="21"/>
              </w:rPr>
            </w:pPr>
          </w:p>
        </w:tc>
        <w:tc>
          <w:tcPr>
            <w:tcW w:w="876" w:type="dxa"/>
            <w:tcBorders>
              <w:tl2br w:val="nil"/>
              <w:tr2bl w:val="nil"/>
            </w:tcBorders>
            <w:vAlign w:val="center"/>
          </w:tcPr>
          <w:p w14:paraId="02411E60">
            <w:pPr>
              <w:widowControl/>
              <w:spacing w:before="0" w:beforeLines="0" w:line="240" w:lineRule="auto"/>
              <w:jc w:val="center"/>
              <w:textAlignment w:val="center"/>
              <w:rPr>
                <w:kern w:val="0"/>
                <w:szCs w:val="21"/>
                <w:lang w:bidi="ar"/>
              </w:rPr>
            </w:pPr>
            <w:r>
              <w:rPr>
                <w:rFonts w:hint="eastAsia"/>
                <w:szCs w:val="21"/>
              </w:rPr>
              <w:t>0</w:t>
            </w:r>
            <w:r>
              <w:rPr>
                <w:szCs w:val="21"/>
              </w:rPr>
              <w:t>.01</w:t>
            </w:r>
          </w:p>
        </w:tc>
        <w:tc>
          <w:tcPr>
            <w:tcW w:w="889" w:type="dxa"/>
            <w:tcBorders>
              <w:tl2br w:val="nil"/>
              <w:tr2bl w:val="nil"/>
            </w:tcBorders>
            <w:vAlign w:val="center"/>
          </w:tcPr>
          <w:p w14:paraId="1736E9D9">
            <w:pPr>
              <w:widowControl/>
              <w:spacing w:before="0" w:beforeLines="0" w:line="240" w:lineRule="auto"/>
              <w:jc w:val="center"/>
              <w:textAlignment w:val="center"/>
              <w:rPr>
                <w:kern w:val="0"/>
                <w:szCs w:val="21"/>
                <w:lang w:bidi="ar"/>
              </w:rPr>
            </w:pPr>
            <w:r>
              <w:rPr>
                <w:kern w:val="0"/>
                <w:szCs w:val="21"/>
                <w:lang w:bidi="ar"/>
              </w:rPr>
              <w:t>g/kg</w:t>
            </w:r>
          </w:p>
        </w:tc>
      </w:tr>
    </w:tbl>
    <w:p w14:paraId="4B850D8C">
      <w:pPr>
        <w:pStyle w:val="190"/>
        <w:ind w:firstLine="482"/>
        <w:rPr>
          <w:b/>
          <w:bCs/>
        </w:rPr>
      </w:pPr>
      <w:r>
        <w:rPr>
          <w:b/>
          <w:bCs/>
        </w:rPr>
        <w:fldChar w:fldCharType="begin"/>
      </w:r>
      <w:r>
        <w:rPr>
          <w:b/>
          <w:bCs/>
        </w:rPr>
        <w:instrText xml:space="preserve"> = 4 \* GB2 \* MERGEFORMAT </w:instrText>
      </w:r>
      <w:r>
        <w:rPr>
          <w:b/>
          <w:bCs/>
        </w:rPr>
        <w:fldChar w:fldCharType="separate"/>
      </w:r>
      <w:r>
        <w:rPr>
          <w:b/>
          <w:bCs/>
        </w:rPr>
        <w:t>⑷</w:t>
      </w:r>
      <w:r>
        <w:rPr>
          <w:b/>
          <w:bCs/>
        </w:rPr>
        <w:fldChar w:fldCharType="end"/>
      </w:r>
      <w:r>
        <w:rPr>
          <w:b/>
          <w:bCs/>
        </w:rPr>
        <w:t>监测结果</w:t>
      </w:r>
    </w:p>
    <w:p w14:paraId="4A658F92">
      <w:pPr>
        <w:pStyle w:val="190"/>
        <w:ind w:firstLine="480"/>
      </w:pPr>
      <w:r>
        <w:t>土壤检测结果见表4.2-11~4.2-1</w:t>
      </w:r>
      <w:r>
        <w:rPr>
          <w:rFonts w:hint="eastAsia"/>
        </w:rPr>
        <w:t>2</w:t>
      </w:r>
      <w:r>
        <w:t>。</w:t>
      </w:r>
    </w:p>
    <w:p w14:paraId="3541BA78">
      <w:pPr>
        <w:pStyle w:val="143"/>
        <w:spacing w:before="156"/>
        <w:rPr>
          <w:b/>
          <w:bCs w:val="0"/>
        </w:rPr>
      </w:pPr>
      <w:r>
        <w:rPr>
          <w:b/>
          <w:bCs w:val="0"/>
        </w:rPr>
        <w:t>表4.2-1</w:t>
      </w:r>
      <w:r>
        <w:rPr>
          <w:rFonts w:hint="eastAsia"/>
          <w:b/>
          <w:bCs w:val="0"/>
        </w:rPr>
        <w:t>1</w:t>
      </w:r>
      <w:r>
        <w:rPr>
          <w:b/>
          <w:bCs w:val="0"/>
        </w:rPr>
        <w:t xml:space="preserve">   </w:t>
      </w:r>
      <w:r>
        <w:rPr>
          <w:rFonts w:hint="eastAsia"/>
          <w:b/>
          <w:bCs w:val="0"/>
        </w:rPr>
        <w:t xml:space="preserve">  </w:t>
      </w:r>
      <w:r>
        <w:rPr>
          <w:b/>
          <w:bCs w:val="0"/>
        </w:rPr>
        <w:t>点位S8-S9监测数据</w:t>
      </w:r>
    </w:p>
    <w:tbl>
      <w:tblPr>
        <w:tblStyle w:val="89"/>
        <w:tblW w:w="498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085"/>
        <w:gridCol w:w="1232"/>
        <w:gridCol w:w="1232"/>
        <w:gridCol w:w="1232"/>
        <w:gridCol w:w="1232"/>
        <w:gridCol w:w="1279"/>
      </w:tblGrid>
      <w:tr w14:paraId="39E5129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blHeader/>
        </w:trPr>
        <w:tc>
          <w:tcPr>
            <w:tcW w:w="1257" w:type="pct"/>
            <w:vMerge w:val="restart"/>
            <w:tcBorders>
              <w:tl2br w:val="nil"/>
              <w:tr2bl w:val="nil"/>
            </w:tcBorders>
            <w:vAlign w:val="center"/>
          </w:tcPr>
          <w:p w14:paraId="359B4CAF">
            <w:pPr>
              <w:spacing w:before="0" w:beforeLines="0" w:line="240" w:lineRule="auto"/>
              <w:jc w:val="center"/>
              <w:rPr>
                <w:szCs w:val="21"/>
              </w:rPr>
            </w:pPr>
            <w:r>
              <w:rPr>
                <w:szCs w:val="21"/>
              </w:rPr>
              <w:t>检测项目</w:t>
            </w:r>
          </w:p>
        </w:tc>
        <w:tc>
          <w:tcPr>
            <w:tcW w:w="1486" w:type="pct"/>
            <w:gridSpan w:val="2"/>
            <w:tcBorders>
              <w:tl2br w:val="nil"/>
              <w:tr2bl w:val="nil"/>
            </w:tcBorders>
            <w:vAlign w:val="center"/>
          </w:tcPr>
          <w:p w14:paraId="21D9AD2B">
            <w:pPr>
              <w:spacing w:before="0" w:beforeLines="0" w:line="240" w:lineRule="auto"/>
              <w:jc w:val="center"/>
              <w:rPr>
                <w:szCs w:val="21"/>
              </w:rPr>
            </w:pPr>
            <w:r>
              <w:rPr>
                <w:szCs w:val="21"/>
              </w:rPr>
              <w:t>S</w:t>
            </w:r>
            <w:r>
              <w:rPr>
                <w:rFonts w:hint="eastAsia"/>
                <w:szCs w:val="21"/>
              </w:rPr>
              <w:t>3</w:t>
            </w:r>
            <w:r>
              <w:rPr>
                <w:szCs w:val="21"/>
              </w:rPr>
              <w:t>表层</w:t>
            </w:r>
          </w:p>
        </w:tc>
        <w:tc>
          <w:tcPr>
            <w:tcW w:w="1486" w:type="pct"/>
            <w:gridSpan w:val="2"/>
            <w:tcBorders>
              <w:tl2br w:val="nil"/>
              <w:tr2bl w:val="nil"/>
            </w:tcBorders>
            <w:vAlign w:val="center"/>
          </w:tcPr>
          <w:p w14:paraId="36D50B0F">
            <w:pPr>
              <w:spacing w:before="0" w:beforeLines="0" w:line="240" w:lineRule="auto"/>
              <w:jc w:val="center"/>
              <w:rPr>
                <w:szCs w:val="21"/>
              </w:rPr>
            </w:pPr>
            <w:r>
              <w:rPr>
                <w:szCs w:val="21"/>
              </w:rPr>
              <w:t>S9表层</w:t>
            </w:r>
          </w:p>
        </w:tc>
        <w:tc>
          <w:tcPr>
            <w:tcW w:w="771" w:type="pct"/>
            <w:vMerge w:val="restart"/>
            <w:tcBorders>
              <w:tl2br w:val="nil"/>
              <w:tr2bl w:val="nil"/>
            </w:tcBorders>
            <w:vAlign w:val="center"/>
          </w:tcPr>
          <w:p w14:paraId="26162062">
            <w:pPr>
              <w:spacing w:before="0" w:beforeLines="0" w:line="240" w:lineRule="auto"/>
              <w:jc w:val="center"/>
              <w:rPr>
                <w:szCs w:val="21"/>
              </w:rPr>
            </w:pPr>
            <w:r>
              <w:rPr>
                <w:szCs w:val="21"/>
              </w:rPr>
              <w:t>单位</w:t>
            </w:r>
          </w:p>
        </w:tc>
      </w:tr>
      <w:tr w14:paraId="35596D2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blHeader/>
        </w:trPr>
        <w:tc>
          <w:tcPr>
            <w:tcW w:w="1257" w:type="pct"/>
            <w:vMerge w:val="continue"/>
            <w:tcBorders>
              <w:tl2br w:val="nil"/>
              <w:tr2bl w:val="nil"/>
            </w:tcBorders>
            <w:vAlign w:val="center"/>
          </w:tcPr>
          <w:p w14:paraId="2406ED2B">
            <w:pPr>
              <w:spacing w:before="0" w:beforeLines="0" w:line="240" w:lineRule="auto"/>
              <w:jc w:val="center"/>
              <w:rPr>
                <w:szCs w:val="21"/>
              </w:rPr>
            </w:pPr>
          </w:p>
        </w:tc>
        <w:tc>
          <w:tcPr>
            <w:tcW w:w="743" w:type="pct"/>
            <w:tcBorders>
              <w:tl2br w:val="nil"/>
              <w:tr2bl w:val="nil"/>
            </w:tcBorders>
            <w:vAlign w:val="center"/>
          </w:tcPr>
          <w:p w14:paraId="38C55AF2">
            <w:pPr>
              <w:spacing w:before="0" w:beforeLines="0" w:line="240" w:lineRule="auto"/>
              <w:jc w:val="center"/>
              <w:rPr>
                <w:szCs w:val="21"/>
              </w:rPr>
            </w:pPr>
            <w:r>
              <w:rPr>
                <w:szCs w:val="21"/>
              </w:rPr>
              <w:t>标准</w:t>
            </w:r>
          </w:p>
        </w:tc>
        <w:tc>
          <w:tcPr>
            <w:tcW w:w="743" w:type="pct"/>
            <w:tcBorders>
              <w:tl2br w:val="nil"/>
              <w:tr2bl w:val="nil"/>
            </w:tcBorders>
            <w:vAlign w:val="center"/>
          </w:tcPr>
          <w:p w14:paraId="063EC4F8">
            <w:pPr>
              <w:spacing w:before="0" w:beforeLines="0" w:line="240" w:lineRule="auto"/>
              <w:jc w:val="center"/>
              <w:rPr>
                <w:szCs w:val="21"/>
              </w:rPr>
            </w:pPr>
            <w:r>
              <w:rPr>
                <w:szCs w:val="21"/>
              </w:rPr>
              <w:t>检测结果</w:t>
            </w:r>
          </w:p>
        </w:tc>
        <w:tc>
          <w:tcPr>
            <w:tcW w:w="743" w:type="pct"/>
            <w:tcBorders>
              <w:tl2br w:val="nil"/>
              <w:tr2bl w:val="nil"/>
            </w:tcBorders>
            <w:vAlign w:val="center"/>
          </w:tcPr>
          <w:p w14:paraId="31170369">
            <w:pPr>
              <w:spacing w:before="0" w:beforeLines="0" w:line="240" w:lineRule="auto"/>
              <w:jc w:val="center"/>
              <w:rPr>
                <w:szCs w:val="21"/>
              </w:rPr>
            </w:pPr>
            <w:r>
              <w:rPr>
                <w:szCs w:val="21"/>
              </w:rPr>
              <w:t>标准</w:t>
            </w:r>
          </w:p>
        </w:tc>
        <w:tc>
          <w:tcPr>
            <w:tcW w:w="743" w:type="pct"/>
            <w:tcBorders>
              <w:tl2br w:val="nil"/>
              <w:tr2bl w:val="nil"/>
            </w:tcBorders>
            <w:vAlign w:val="center"/>
          </w:tcPr>
          <w:p w14:paraId="5AEA9827">
            <w:pPr>
              <w:spacing w:before="0" w:beforeLines="0" w:line="240" w:lineRule="auto"/>
              <w:jc w:val="center"/>
              <w:rPr>
                <w:szCs w:val="21"/>
              </w:rPr>
            </w:pPr>
            <w:r>
              <w:rPr>
                <w:szCs w:val="21"/>
              </w:rPr>
              <w:t>检测结果</w:t>
            </w:r>
          </w:p>
        </w:tc>
        <w:tc>
          <w:tcPr>
            <w:tcW w:w="771" w:type="pct"/>
            <w:vMerge w:val="continue"/>
            <w:tcBorders>
              <w:tl2br w:val="nil"/>
              <w:tr2bl w:val="nil"/>
            </w:tcBorders>
            <w:vAlign w:val="center"/>
          </w:tcPr>
          <w:p w14:paraId="74DBF52B">
            <w:pPr>
              <w:spacing w:before="0" w:beforeLines="0" w:line="240" w:lineRule="auto"/>
              <w:jc w:val="center"/>
              <w:rPr>
                <w:szCs w:val="21"/>
              </w:rPr>
            </w:pPr>
          </w:p>
        </w:tc>
      </w:tr>
      <w:tr w14:paraId="3BA31FB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57" w:type="pct"/>
            <w:tcBorders>
              <w:tl2br w:val="nil"/>
              <w:tr2bl w:val="nil"/>
            </w:tcBorders>
            <w:vAlign w:val="center"/>
          </w:tcPr>
          <w:p w14:paraId="42BC643A">
            <w:pPr>
              <w:spacing w:before="0" w:beforeLines="0" w:line="240" w:lineRule="auto"/>
              <w:jc w:val="center"/>
              <w:rPr>
                <w:szCs w:val="21"/>
              </w:rPr>
            </w:pPr>
            <w:r>
              <w:rPr>
                <w:szCs w:val="21"/>
              </w:rPr>
              <w:t>pH</w:t>
            </w:r>
          </w:p>
        </w:tc>
        <w:tc>
          <w:tcPr>
            <w:tcW w:w="743" w:type="pct"/>
            <w:tcBorders>
              <w:tl2br w:val="nil"/>
              <w:tr2bl w:val="nil"/>
            </w:tcBorders>
            <w:vAlign w:val="center"/>
          </w:tcPr>
          <w:p w14:paraId="505DEBB9">
            <w:pPr>
              <w:spacing w:before="0" w:beforeLines="0" w:line="240" w:lineRule="auto"/>
              <w:jc w:val="center"/>
              <w:rPr>
                <w:szCs w:val="21"/>
              </w:rPr>
            </w:pPr>
            <w:r>
              <w:rPr>
                <w:szCs w:val="21"/>
              </w:rPr>
              <w:t>-</w:t>
            </w:r>
          </w:p>
        </w:tc>
        <w:tc>
          <w:tcPr>
            <w:tcW w:w="743" w:type="pct"/>
            <w:tcBorders>
              <w:tl2br w:val="nil"/>
              <w:tr2bl w:val="nil"/>
            </w:tcBorders>
            <w:vAlign w:val="center"/>
          </w:tcPr>
          <w:p w14:paraId="3E28EC34">
            <w:pPr>
              <w:spacing w:before="0" w:beforeLines="0" w:line="240" w:lineRule="auto"/>
              <w:jc w:val="center"/>
              <w:rPr>
                <w:szCs w:val="21"/>
              </w:rPr>
            </w:pPr>
            <w:r>
              <w:rPr>
                <w:szCs w:val="21"/>
              </w:rPr>
              <w:t>8.33</w:t>
            </w:r>
          </w:p>
        </w:tc>
        <w:tc>
          <w:tcPr>
            <w:tcW w:w="743" w:type="pct"/>
            <w:tcBorders>
              <w:tl2br w:val="nil"/>
              <w:tr2bl w:val="nil"/>
            </w:tcBorders>
            <w:vAlign w:val="center"/>
          </w:tcPr>
          <w:p w14:paraId="42FA521E">
            <w:pPr>
              <w:spacing w:before="0" w:beforeLines="0" w:line="240" w:lineRule="auto"/>
              <w:jc w:val="center"/>
              <w:rPr>
                <w:szCs w:val="21"/>
              </w:rPr>
            </w:pPr>
            <w:r>
              <w:rPr>
                <w:szCs w:val="21"/>
              </w:rPr>
              <w:t>-</w:t>
            </w:r>
          </w:p>
        </w:tc>
        <w:tc>
          <w:tcPr>
            <w:tcW w:w="743" w:type="pct"/>
            <w:tcBorders>
              <w:tl2br w:val="nil"/>
              <w:tr2bl w:val="nil"/>
            </w:tcBorders>
            <w:vAlign w:val="center"/>
          </w:tcPr>
          <w:p w14:paraId="182D30D4">
            <w:pPr>
              <w:spacing w:before="0" w:beforeLines="0" w:line="240" w:lineRule="auto"/>
              <w:jc w:val="center"/>
              <w:rPr>
                <w:szCs w:val="21"/>
              </w:rPr>
            </w:pPr>
            <w:r>
              <w:rPr>
                <w:szCs w:val="21"/>
              </w:rPr>
              <w:t>8.45</w:t>
            </w:r>
          </w:p>
        </w:tc>
        <w:tc>
          <w:tcPr>
            <w:tcW w:w="771" w:type="pct"/>
            <w:tcBorders>
              <w:tl2br w:val="nil"/>
              <w:tr2bl w:val="nil"/>
            </w:tcBorders>
            <w:vAlign w:val="center"/>
          </w:tcPr>
          <w:p w14:paraId="18B6E605">
            <w:pPr>
              <w:spacing w:before="0" w:beforeLines="0" w:line="240" w:lineRule="auto"/>
              <w:jc w:val="center"/>
              <w:rPr>
                <w:szCs w:val="21"/>
              </w:rPr>
            </w:pPr>
            <w:r>
              <w:rPr>
                <w:szCs w:val="21"/>
              </w:rPr>
              <w:t>无量纲</w:t>
            </w:r>
          </w:p>
        </w:tc>
      </w:tr>
      <w:tr w14:paraId="45B283B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57" w:type="pct"/>
            <w:tcBorders>
              <w:tl2br w:val="nil"/>
              <w:tr2bl w:val="nil"/>
            </w:tcBorders>
            <w:vAlign w:val="center"/>
          </w:tcPr>
          <w:p w14:paraId="7C047769">
            <w:pPr>
              <w:spacing w:before="0" w:beforeLines="0" w:line="240" w:lineRule="auto"/>
              <w:jc w:val="center"/>
              <w:rPr>
                <w:szCs w:val="21"/>
              </w:rPr>
            </w:pPr>
            <w:r>
              <w:rPr>
                <w:szCs w:val="21"/>
              </w:rPr>
              <w:t>砷</w:t>
            </w:r>
          </w:p>
        </w:tc>
        <w:tc>
          <w:tcPr>
            <w:tcW w:w="743" w:type="pct"/>
            <w:tcBorders>
              <w:tl2br w:val="nil"/>
              <w:tr2bl w:val="nil"/>
            </w:tcBorders>
            <w:vAlign w:val="center"/>
          </w:tcPr>
          <w:p w14:paraId="5265DF5E">
            <w:pPr>
              <w:spacing w:before="0" w:beforeLines="0" w:line="240" w:lineRule="auto"/>
              <w:jc w:val="center"/>
              <w:rPr>
                <w:szCs w:val="21"/>
              </w:rPr>
            </w:pPr>
            <w:r>
              <w:rPr>
                <w:szCs w:val="21"/>
              </w:rPr>
              <w:t>60</w:t>
            </w:r>
          </w:p>
        </w:tc>
        <w:tc>
          <w:tcPr>
            <w:tcW w:w="743" w:type="pct"/>
            <w:tcBorders>
              <w:tl2br w:val="nil"/>
              <w:tr2bl w:val="nil"/>
            </w:tcBorders>
            <w:vAlign w:val="center"/>
          </w:tcPr>
          <w:p w14:paraId="29370C77">
            <w:pPr>
              <w:spacing w:before="0" w:beforeLines="0" w:line="240" w:lineRule="auto"/>
              <w:jc w:val="center"/>
              <w:rPr>
                <w:szCs w:val="21"/>
              </w:rPr>
            </w:pPr>
            <w:r>
              <w:rPr>
                <w:szCs w:val="21"/>
              </w:rPr>
              <w:t xml:space="preserve">4.75 </w:t>
            </w:r>
          </w:p>
        </w:tc>
        <w:tc>
          <w:tcPr>
            <w:tcW w:w="743" w:type="pct"/>
            <w:tcBorders>
              <w:tl2br w:val="nil"/>
              <w:tr2bl w:val="nil"/>
            </w:tcBorders>
            <w:vAlign w:val="center"/>
          </w:tcPr>
          <w:p w14:paraId="3FE5F99D">
            <w:pPr>
              <w:spacing w:before="0" w:beforeLines="0" w:line="240" w:lineRule="auto"/>
              <w:jc w:val="center"/>
              <w:rPr>
                <w:szCs w:val="21"/>
              </w:rPr>
            </w:pPr>
            <w:r>
              <w:rPr>
                <w:szCs w:val="21"/>
              </w:rPr>
              <w:t>60</w:t>
            </w:r>
          </w:p>
        </w:tc>
        <w:tc>
          <w:tcPr>
            <w:tcW w:w="743" w:type="pct"/>
            <w:tcBorders>
              <w:tl2br w:val="nil"/>
              <w:tr2bl w:val="nil"/>
            </w:tcBorders>
            <w:vAlign w:val="center"/>
          </w:tcPr>
          <w:p w14:paraId="74A5C157">
            <w:pPr>
              <w:spacing w:before="0" w:beforeLines="0" w:line="240" w:lineRule="auto"/>
              <w:jc w:val="center"/>
              <w:rPr>
                <w:szCs w:val="21"/>
              </w:rPr>
            </w:pPr>
            <w:r>
              <w:rPr>
                <w:szCs w:val="21"/>
              </w:rPr>
              <w:t xml:space="preserve">5.83 </w:t>
            </w:r>
          </w:p>
        </w:tc>
        <w:tc>
          <w:tcPr>
            <w:tcW w:w="771" w:type="pct"/>
            <w:tcBorders>
              <w:tl2br w:val="nil"/>
              <w:tr2bl w:val="nil"/>
            </w:tcBorders>
            <w:vAlign w:val="center"/>
          </w:tcPr>
          <w:p w14:paraId="15F7277C">
            <w:pPr>
              <w:spacing w:before="0" w:beforeLines="0" w:line="240" w:lineRule="auto"/>
              <w:jc w:val="center"/>
              <w:rPr>
                <w:szCs w:val="21"/>
              </w:rPr>
            </w:pPr>
            <w:r>
              <w:rPr>
                <w:szCs w:val="21"/>
              </w:rPr>
              <w:t>mg/kg</w:t>
            </w:r>
          </w:p>
        </w:tc>
      </w:tr>
      <w:tr w14:paraId="3814C02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57" w:type="pct"/>
            <w:tcBorders>
              <w:tl2br w:val="nil"/>
              <w:tr2bl w:val="nil"/>
            </w:tcBorders>
            <w:vAlign w:val="center"/>
          </w:tcPr>
          <w:p w14:paraId="6C73916A">
            <w:pPr>
              <w:spacing w:before="0" w:beforeLines="0" w:line="240" w:lineRule="auto"/>
              <w:jc w:val="center"/>
              <w:rPr>
                <w:szCs w:val="21"/>
              </w:rPr>
            </w:pPr>
            <w:r>
              <w:rPr>
                <w:szCs w:val="21"/>
              </w:rPr>
              <w:t>镉</w:t>
            </w:r>
          </w:p>
        </w:tc>
        <w:tc>
          <w:tcPr>
            <w:tcW w:w="743" w:type="pct"/>
            <w:tcBorders>
              <w:tl2br w:val="nil"/>
              <w:tr2bl w:val="nil"/>
            </w:tcBorders>
            <w:vAlign w:val="center"/>
          </w:tcPr>
          <w:p w14:paraId="289E8778">
            <w:pPr>
              <w:spacing w:before="0" w:beforeLines="0" w:line="240" w:lineRule="auto"/>
              <w:jc w:val="center"/>
              <w:rPr>
                <w:szCs w:val="21"/>
              </w:rPr>
            </w:pPr>
            <w:r>
              <w:rPr>
                <w:szCs w:val="21"/>
              </w:rPr>
              <w:t>65</w:t>
            </w:r>
          </w:p>
        </w:tc>
        <w:tc>
          <w:tcPr>
            <w:tcW w:w="743" w:type="pct"/>
            <w:tcBorders>
              <w:tl2br w:val="nil"/>
              <w:tr2bl w:val="nil"/>
            </w:tcBorders>
            <w:vAlign w:val="center"/>
          </w:tcPr>
          <w:p w14:paraId="64BFD916">
            <w:pPr>
              <w:spacing w:before="0" w:beforeLines="0" w:line="240" w:lineRule="auto"/>
              <w:jc w:val="center"/>
              <w:rPr>
                <w:szCs w:val="21"/>
              </w:rPr>
            </w:pPr>
            <w:r>
              <w:rPr>
                <w:szCs w:val="21"/>
              </w:rPr>
              <w:t>0.17</w:t>
            </w:r>
          </w:p>
        </w:tc>
        <w:tc>
          <w:tcPr>
            <w:tcW w:w="743" w:type="pct"/>
            <w:tcBorders>
              <w:tl2br w:val="nil"/>
              <w:tr2bl w:val="nil"/>
            </w:tcBorders>
            <w:vAlign w:val="center"/>
          </w:tcPr>
          <w:p w14:paraId="2EF820AC">
            <w:pPr>
              <w:spacing w:before="0" w:beforeLines="0" w:line="240" w:lineRule="auto"/>
              <w:jc w:val="center"/>
              <w:rPr>
                <w:szCs w:val="21"/>
              </w:rPr>
            </w:pPr>
            <w:r>
              <w:rPr>
                <w:szCs w:val="21"/>
              </w:rPr>
              <w:t>65</w:t>
            </w:r>
          </w:p>
        </w:tc>
        <w:tc>
          <w:tcPr>
            <w:tcW w:w="743" w:type="pct"/>
            <w:tcBorders>
              <w:tl2br w:val="nil"/>
              <w:tr2bl w:val="nil"/>
            </w:tcBorders>
            <w:vAlign w:val="center"/>
          </w:tcPr>
          <w:p w14:paraId="000A2DBF">
            <w:pPr>
              <w:spacing w:before="0" w:beforeLines="0" w:line="240" w:lineRule="auto"/>
              <w:jc w:val="center"/>
              <w:rPr>
                <w:szCs w:val="21"/>
              </w:rPr>
            </w:pPr>
            <w:r>
              <w:rPr>
                <w:szCs w:val="21"/>
              </w:rPr>
              <w:t>0.19</w:t>
            </w:r>
          </w:p>
        </w:tc>
        <w:tc>
          <w:tcPr>
            <w:tcW w:w="771" w:type="pct"/>
            <w:tcBorders>
              <w:tl2br w:val="nil"/>
              <w:tr2bl w:val="nil"/>
            </w:tcBorders>
            <w:vAlign w:val="center"/>
          </w:tcPr>
          <w:p w14:paraId="2189A1E6">
            <w:pPr>
              <w:spacing w:before="0" w:beforeLines="0" w:line="240" w:lineRule="auto"/>
              <w:jc w:val="center"/>
              <w:rPr>
                <w:szCs w:val="21"/>
              </w:rPr>
            </w:pPr>
            <w:r>
              <w:rPr>
                <w:szCs w:val="21"/>
              </w:rPr>
              <w:t>mg/kg</w:t>
            </w:r>
          </w:p>
        </w:tc>
      </w:tr>
      <w:tr w14:paraId="783AF57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57" w:type="pct"/>
            <w:tcBorders>
              <w:tl2br w:val="nil"/>
              <w:tr2bl w:val="nil"/>
            </w:tcBorders>
            <w:vAlign w:val="center"/>
          </w:tcPr>
          <w:p w14:paraId="0F1CB093">
            <w:pPr>
              <w:spacing w:before="0" w:beforeLines="0" w:line="240" w:lineRule="auto"/>
              <w:jc w:val="center"/>
              <w:rPr>
                <w:szCs w:val="21"/>
              </w:rPr>
            </w:pPr>
            <w:r>
              <w:rPr>
                <w:szCs w:val="21"/>
              </w:rPr>
              <w:t>六价铬</w:t>
            </w:r>
          </w:p>
        </w:tc>
        <w:tc>
          <w:tcPr>
            <w:tcW w:w="743" w:type="pct"/>
            <w:tcBorders>
              <w:tl2br w:val="nil"/>
              <w:tr2bl w:val="nil"/>
            </w:tcBorders>
            <w:vAlign w:val="center"/>
          </w:tcPr>
          <w:p w14:paraId="5AAEBC69">
            <w:pPr>
              <w:spacing w:before="0" w:beforeLines="0" w:line="240" w:lineRule="auto"/>
              <w:jc w:val="center"/>
              <w:rPr>
                <w:szCs w:val="21"/>
              </w:rPr>
            </w:pPr>
            <w:r>
              <w:rPr>
                <w:szCs w:val="21"/>
              </w:rPr>
              <w:t>5.7</w:t>
            </w:r>
          </w:p>
        </w:tc>
        <w:tc>
          <w:tcPr>
            <w:tcW w:w="743" w:type="pct"/>
            <w:tcBorders>
              <w:tl2br w:val="nil"/>
              <w:tr2bl w:val="nil"/>
            </w:tcBorders>
            <w:vAlign w:val="center"/>
          </w:tcPr>
          <w:p w14:paraId="7C7EED25">
            <w:pPr>
              <w:spacing w:before="0" w:beforeLines="0" w:line="240" w:lineRule="auto"/>
              <w:jc w:val="center"/>
              <w:rPr>
                <w:szCs w:val="21"/>
              </w:rPr>
            </w:pPr>
            <w:r>
              <w:rPr>
                <w:szCs w:val="21"/>
              </w:rPr>
              <w:t>未检出</w:t>
            </w:r>
          </w:p>
        </w:tc>
        <w:tc>
          <w:tcPr>
            <w:tcW w:w="743" w:type="pct"/>
            <w:tcBorders>
              <w:tl2br w:val="nil"/>
              <w:tr2bl w:val="nil"/>
            </w:tcBorders>
            <w:vAlign w:val="center"/>
          </w:tcPr>
          <w:p w14:paraId="2C5C9EF3">
            <w:pPr>
              <w:spacing w:before="0" w:beforeLines="0" w:line="240" w:lineRule="auto"/>
              <w:jc w:val="center"/>
              <w:rPr>
                <w:szCs w:val="21"/>
              </w:rPr>
            </w:pPr>
            <w:r>
              <w:rPr>
                <w:szCs w:val="21"/>
              </w:rPr>
              <w:t>5.7</w:t>
            </w:r>
          </w:p>
        </w:tc>
        <w:tc>
          <w:tcPr>
            <w:tcW w:w="743" w:type="pct"/>
            <w:tcBorders>
              <w:tl2br w:val="nil"/>
              <w:tr2bl w:val="nil"/>
            </w:tcBorders>
            <w:vAlign w:val="center"/>
          </w:tcPr>
          <w:p w14:paraId="784AA984">
            <w:pPr>
              <w:spacing w:before="0" w:beforeLines="0" w:line="240" w:lineRule="auto"/>
              <w:jc w:val="center"/>
              <w:rPr>
                <w:szCs w:val="21"/>
              </w:rPr>
            </w:pPr>
            <w:r>
              <w:rPr>
                <w:szCs w:val="21"/>
              </w:rPr>
              <w:t>未检出</w:t>
            </w:r>
          </w:p>
        </w:tc>
        <w:tc>
          <w:tcPr>
            <w:tcW w:w="771" w:type="pct"/>
            <w:tcBorders>
              <w:tl2br w:val="nil"/>
              <w:tr2bl w:val="nil"/>
            </w:tcBorders>
            <w:vAlign w:val="center"/>
          </w:tcPr>
          <w:p w14:paraId="6356139A">
            <w:pPr>
              <w:spacing w:before="0" w:beforeLines="0" w:line="240" w:lineRule="auto"/>
              <w:jc w:val="center"/>
              <w:rPr>
                <w:szCs w:val="21"/>
              </w:rPr>
            </w:pPr>
            <w:r>
              <w:rPr>
                <w:szCs w:val="21"/>
              </w:rPr>
              <w:t>mg/kg</w:t>
            </w:r>
          </w:p>
        </w:tc>
      </w:tr>
      <w:tr w14:paraId="5B6CB12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57" w:type="pct"/>
            <w:tcBorders>
              <w:tl2br w:val="nil"/>
              <w:tr2bl w:val="nil"/>
            </w:tcBorders>
            <w:vAlign w:val="center"/>
          </w:tcPr>
          <w:p w14:paraId="08E73C4F">
            <w:pPr>
              <w:spacing w:before="0" w:beforeLines="0" w:line="240" w:lineRule="auto"/>
              <w:jc w:val="center"/>
              <w:rPr>
                <w:szCs w:val="21"/>
              </w:rPr>
            </w:pPr>
            <w:r>
              <w:rPr>
                <w:szCs w:val="21"/>
              </w:rPr>
              <w:t>铜</w:t>
            </w:r>
          </w:p>
        </w:tc>
        <w:tc>
          <w:tcPr>
            <w:tcW w:w="743" w:type="pct"/>
            <w:tcBorders>
              <w:tl2br w:val="nil"/>
              <w:tr2bl w:val="nil"/>
            </w:tcBorders>
            <w:vAlign w:val="center"/>
          </w:tcPr>
          <w:p w14:paraId="2A015C2C">
            <w:pPr>
              <w:spacing w:before="0" w:beforeLines="0" w:line="240" w:lineRule="auto"/>
              <w:jc w:val="center"/>
              <w:rPr>
                <w:szCs w:val="21"/>
              </w:rPr>
            </w:pPr>
            <w:r>
              <w:rPr>
                <w:szCs w:val="21"/>
              </w:rPr>
              <w:t>18000</w:t>
            </w:r>
          </w:p>
        </w:tc>
        <w:tc>
          <w:tcPr>
            <w:tcW w:w="743" w:type="pct"/>
            <w:tcBorders>
              <w:tl2br w:val="nil"/>
              <w:tr2bl w:val="nil"/>
            </w:tcBorders>
            <w:vAlign w:val="center"/>
          </w:tcPr>
          <w:p w14:paraId="1139C3AD">
            <w:pPr>
              <w:spacing w:before="0" w:beforeLines="0" w:line="240" w:lineRule="auto"/>
              <w:jc w:val="center"/>
              <w:rPr>
                <w:szCs w:val="21"/>
              </w:rPr>
            </w:pPr>
            <w:r>
              <w:rPr>
                <w:szCs w:val="21"/>
              </w:rPr>
              <w:t>114</w:t>
            </w:r>
          </w:p>
        </w:tc>
        <w:tc>
          <w:tcPr>
            <w:tcW w:w="743" w:type="pct"/>
            <w:tcBorders>
              <w:tl2br w:val="nil"/>
              <w:tr2bl w:val="nil"/>
            </w:tcBorders>
            <w:vAlign w:val="center"/>
          </w:tcPr>
          <w:p w14:paraId="70148675">
            <w:pPr>
              <w:spacing w:before="0" w:beforeLines="0" w:line="240" w:lineRule="auto"/>
              <w:jc w:val="center"/>
              <w:rPr>
                <w:szCs w:val="21"/>
              </w:rPr>
            </w:pPr>
            <w:r>
              <w:rPr>
                <w:szCs w:val="21"/>
              </w:rPr>
              <w:t>18000</w:t>
            </w:r>
          </w:p>
        </w:tc>
        <w:tc>
          <w:tcPr>
            <w:tcW w:w="743" w:type="pct"/>
            <w:tcBorders>
              <w:tl2br w:val="nil"/>
              <w:tr2bl w:val="nil"/>
            </w:tcBorders>
            <w:vAlign w:val="center"/>
          </w:tcPr>
          <w:p w14:paraId="5E7722B3">
            <w:pPr>
              <w:spacing w:before="0" w:beforeLines="0" w:line="240" w:lineRule="auto"/>
              <w:jc w:val="center"/>
              <w:rPr>
                <w:szCs w:val="21"/>
              </w:rPr>
            </w:pPr>
            <w:r>
              <w:rPr>
                <w:szCs w:val="21"/>
              </w:rPr>
              <w:t>116</w:t>
            </w:r>
          </w:p>
        </w:tc>
        <w:tc>
          <w:tcPr>
            <w:tcW w:w="771" w:type="pct"/>
            <w:tcBorders>
              <w:tl2br w:val="nil"/>
              <w:tr2bl w:val="nil"/>
            </w:tcBorders>
            <w:vAlign w:val="center"/>
          </w:tcPr>
          <w:p w14:paraId="1B7B11F5">
            <w:pPr>
              <w:spacing w:before="0" w:beforeLines="0" w:line="240" w:lineRule="auto"/>
              <w:jc w:val="center"/>
              <w:rPr>
                <w:szCs w:val="21"/>
              </w:rPr>
            </w:pPr>
            <w:r>
              <w:rPr>
                <w:szCs w:val="21"/>
              </w:rPr>
              <w:t>mg/kg</w:t>
            </w:r>
          </w:p>
        </w:tc>
      </w:tr>
      <w:tr w14:paraId="50AAFA5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57" w:type="pct"/>
            <w:tcBorders>
              <w:tl2br w:val="nil"/>
              <w:tr2bl w:val="nil"/>
            </w:tcBorders>
            <w:vAlign w:val="center"/>
          </w:tcPr>
          <w:p w14:paraId="73D60EFE">
            <w:pPr>
              <w:spacing w:before="0" w:beforeLines="0" w:line="240" w:lineRule="auto"/>
              <w:jc w:val="center"/>
              <w:rPr>
                <w:szCs w:val="21"/>
              </w:rPr>
            </w:pPr>
            <w:r>
              <w:rPr>
                <w:szCs w:val="21"/>
              </w:rPr>
              <w:t>铅</w:t>
            </w:r>
          </w:p>
        </w:tc>
        <w:tc>
          <w:tcPr>
            <w:tcW w:w="743" w:type="pct"/>
            <w:tcBorders>
              <w:tl2br w:val="nil"/>
              <w:tr2bl w:val="nil"/>
            </w:tcBorders>
            <w:vAlign w:val="center"/>
          </w:tcPr>
          <w:p w14:paraId="760A2BF1">
            <w:pPr>
              <w:spacing w:before="0" w:beforeLines="0" w:line="240" w:lineRule="auto"/>
              <w:jc w:val="center"/>
              <w:rPr>
                <w:szCs w:val="21"/>
              </w:rPr>
            </w:pPr>
            <w:r>
              <w:rPr>
                <w:szCs w:val="21"/>
              </w:rPr>
              <w:t>800</w:t>
            </w:r>
          </w:p>
        </w:tc>
        <w:tc>
          <w:tcPr>
            <w:tcW w:w="743" w:type="pct"/>
            <w:tcBorders>
              <w:tl2br w:val="nil"/>
              <w:tr2bl w:val="nil"/>
            </w:tcBorders>
            <w:vAlign w:val="center"/>
          </w:tcPr>
          <w:p w14:paraId="7F44BE8C">
            <w:pPr>
              <w:spacing w:before="0" w:beforeLines="0" w:line="240" w:lineRule="auto"/>
              <w:jc w:val="center"/>
              <w:rPr>
                <w:szCs w:val="21"/>
              </w:rPr>
            </w:pPr>
            <w:r>
              <w:rPr>
                <w:szCs w:val="21"/>
              </w:rPr>
              <w:t>54</w:t>
            </w:r>
          </w:p>
        </w:tc>
        <w:tc>
          <w:tcPr>
            <w:tcW w:w="743" w:type="pct"/>
            <w:tcBorders>
              <w:tl2br w:val="nil"/>
              <w:tr2bl w:val="nil"/>
            </w:tcBorders>
            <w:vAlign w:val="center"/>
          </w:tcPr>
          <w:p w14:paraId="0B4F06C3">
            <w:pPr>
              <w:spacing w:before="0" w:beforeLines="0" w:line="240" w:lineRule="auto"/>
              <w:jc w:val="center"/>
              <w:rPr>
                <w:szCs w:val="21"/>
              </w:rPr>
            </w:pPr>
            <w:r>
              <w:rPr>
                <w:szCs w:val="21"/>
              </w:rPr>
              <w:t>800</w:t>
            </w:r>
          </w:p>
        </w:tc>
        <w:tc>
          <w:tcPr>
            <w:tcW w:w="743" w:type="pct"/>
            <w:tcBorders>
              <w:tl2br w:val="nil"/>
              <w:tr2bl w:val="nil"/>
            </w:tcBorders>
            <w:vAlign w:val="center"/>
          </w:tcPr>
          <w:p w14:paraId="71C30ABA">
            <w:pPr>
              <w:spacing w:before="0" w:beforeLines="0" w:line="240" w:lineRule="auto"/>
              <w:jc w:val="center"/>
              <w:rPr>
                <w:szCs w:val="21"/>
              </w:rPr>
            </w:pPr>
            <w:r>
              <w:rPr>
                <w:szCs w:val="21"/>
              </w:rPr>
              <w:t>53</w:t>
            </w:r>
          </w:p>
        </w:tc>
        <w:tc>
          <w:tcPr>
            <w:tcW w:w="771" w:type="pct"/>
            <w:tcBorders>
              <w:tl2br w:val="nil"/>
              <w:tr2bl w:val="nil"/>
            </w:tcBorders>
            <w:vAlign w:val="center"/>
          </w:tcPr>
          <w:p w14:paraId="627F81FF">
            <w:pPr>
              <w:spacing w:before="0" w:beforeLines="0" w:line="240" w:lineRule="auto"/>
              <w:jc w:val="center"/>
              <w:rPr>
                <w:szCs w:val="21"/>
              </w:rPr>
            </w:pPr>
            <w:r>
              <w:rPr>
                <w:szCs w:val="21"/>
              </w:rPr>
              <w:t>mg/kg</w:t>
            </w:r>
          </w:p>
        </w:tc>
      </w:tr>
      <w:tr w14:paraId="6CC67D2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57" w:type="pct"/>
            <w:tcBorders>
              <w:tl2br w:val="nil"/>
              <w:tr2bl w:val="nil"/>
            </w:tcBorders>
            <w:vAlign w:val="center"/>
          </w:tcPr>
          <w:p w14:paraId="4A539CBF">
            <w:pPr>
              <w:spacing w:before="0" w:beforeLines="0" w:line="240" w:lineRule="auto"/>
              <w:jc w:val="center"/>
              <w:rPr>
                <w:szCs w:val="21"/>
              </w:rPr>
            </w:pPr>
            <w:r>
              <w:rPr>
                <w:szCs w:val="21"/>
              </w:rPr>
              <w:t>汞</w:t>
            </w:r>
          </w:p>
        </w:tc>
        <w:tc>
          <w:tcPr>
            <w:tcW w:w="743" w:type="pct"/>
            <w:tcBorders>
              <w:tl2br w:val="nil"/>
              <w:tr2bl w:val="nil"/>
            </w:tcBorders>
            <w:vAlign w:val="center"/>
          </w:tcPr>
          <w:p w14:paraId="04B138DC">
            <w:pPr>
              <w:spacing w:before="0" w:beforeLines="0" w:line="240" w:lineRule="auto"/>
              <w:jc w:val="center"/>
              <w:rPr>
                <w:szCs w:val="21"/>
              </w:rPr>
            </w:pPr>
            <w:r>
              <w:rPr>
                <w:szCs w:val="21"/>
              </w:rPr>
              <w:t>38</w:t>
            </w:r>
          </w:p>
        </w:tc>
        <w:tc>
          <w:tcPr>
            <w:tcW w:w="743" w:type="pct"/>
            <w:tcBorders>
              <w:tl2br w:val="nil"/>
              <w:tr2bl w:val="nil"/>
            </w:tcBorders>
            <w:vAlign w:val="center"/>
          </w:tcPr>
          <w:p w14:paraId="1DDF11DC">
            <w:pPr>
              <w:spacing w:before="0" w:beforeLines="0" w:line="240" w:lineRule="auto"/>
              <w:jc w:val="center"/>
              <w:rPr>
                <w:szCs w:val="21"/>
              </w:rPr>
            </w:pPr>
            <w:r>
              <w:rPr>
                <w:szCs w:val="21"/>
              </w:rPr>
              <w:t xml:space="preserve">0.728 </w:t>
            </w:r>
          </w:p>
        </w:tc>
        <w:tc>
          <w:tcPr>
            <w:tcW w:w="743" w:type="pct"/>
            <w:tcBorders>
              <w:tl2br w:val="nil"/>
              <w:tr2bl w:val="nil"/>
            </w:tcBorders>
            <w:vAlign w:val="center"/>
          </w:tcPr>
          <w:p w14:paraId="11BCF8C5">
            <w:pPr>
              <w:spacing w:before="0" w:beforeLines="0" w:line="240" w:lineRule="auto"/>
              <w:jc w:val="center"/>
              <w:rPr>
                <w:szCs w:val="21"/>
              </w:rPr>
            </w:pPr>
            <w:r>
              <w:rPr>
                <w:szCs w:val="21"/>
              </w:rPr>
              <w:t>38</w:t>
            </w:r>
          </w:p>
        </w:tc>
        <w:tc>
          <w:tcPr>
            <w:tcW w:w="743" w:type="pct"/>
            <w:tcBorders>
              <w:tl2br w:val="nil"/>
              <w:tr2bl w:val="nil"/>
            </w:tcBorders>
            <w:vAlign w:val="center"/>
          </w:tcPr>
          <w:p w14:paraId="19A05ADC">
            <w:pPr>
              <w:spacing w:before="0" w:beforeLines="0" w:line="240" w:lineRule="auto"/>
              <w:jc w:val="center"/>
              <w:rPr>
                <w:szCs w:val="21"/>
              </w:rPr>
            </w:pPr>
            <w:r>
              <w:rPr>
                <w:szCs w:val="21"/>
              </w:rPr>
              <w:t xml:space="preserve">0.212 </w:t>
            </w:r>
          </w:p>
        </w:tc>
        <w:tc>
          <w:tcPr>
            <w:tcW w:w="771" w:type="pct"/>
            <w:tcBorders>
              <w:tl2br w:val="nil"/>
              <w:tr2bl w:val="nil"/>
            </w:tcBorders>
            <w:vAlign w:val="center"/>
          </w:tcPr>
          <w:p w14:paraId="37CA73BA">
            <w:pPr>
              <w:spacing w:before="0" w:beforeLines="0" w:line="240" w:lineRule="auto"/>
              <w:jc w:val="center"/>
              <w:rPr>
                <w:szCs w:val="21"/>
              </w:rPr>
            </w:pPr>
            <w:r>
              <w:rPr>
                <w:szCs w:val="21"/>
              </w:rPr>
              <w:t>mg/kg</w:t>
            </w:r>
          </w:p>
        </w:tc>
      </w:tr>
      <w:tr w14:paraId="3A1D543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57" w:type="pct"/>
            <w:tcBorders>
              <w:tl2br w:val="nil"/>
              <w:tr2bl w:val="nil"/>
            </w:tcBorders>
            <w:vAlign w:val="center"/>
          </w:tcPr>
          <w:p w14:paraId="15BD7361">
            <w:pPr>
              <w:spacing w:before="0" w:beforeLines="0" w:line="240" w:lineRule="auto"/>
              <w:jc w:val="center"/>
              <w:rPr>
                <w:szCs w:val="21"/>
              </w:rPr>
            </w:pPr>
            <w:r>
              <w:rPr>
                <w:szCs w:val="21"/>
              </w:rPr>
              <w:t>镍</w:t>
            </w:r>
          </w:p>
        </w:tc>
        <w:tc>
          <w:tcPr>
            <w:tcW w:w="743" w:type="pct"/>
            <w:tcBorders>
              <w:tl2br w:val="nil"/>
              <w:tr2bl w:val="nil"/>
            </w:tcBorders>
            <w:vAlign w:val="center"/>
          </w:tcPr>
          <w:p w14:paraId="20001B18">
            <w:pPr>
              <w:spacing w:before="0" w:beforeLines="0" w:line="240" w:lineRule="auto"/>
              <w:jc w:val="center"/>
              <w:rPr>
                <w:szCs w:val="21"/>
              </w:rPr>
            </w:pPr>
            <w:r>
              <w:rPr>
                <w:szCs w:val="21"/>
              </w:rPr>
              <w:t>900</w:t>
            </w:r>
          </w:p>
        </w:tc>
        <w:tc>
          <w:tcPr>
            <w:tcW w:w="743" w:type="pct"/>
            <w:tcBorders>
              <w:tl2br w:val="nil"/>
              <w:tr2bl w:val="nil"/>
            </w:tcBorders>
            <w:vAlign w:val="center"/>
          </w:tcPr>
          <w:p w14:paraId="3F1C2CCE">
            <w:pPr>
              <w:spacing w:before="0" w:beforeLines="0" w:line="240" w:lineRule="auto"/>
              <w:jc w:val="center"/>
              <w:rPr>
                <w:szCs w:val="21"/>
              </w:rPr>
            </w:pPr>
            <w:r>
              <w:rPr>
                <w:szCs w:val="21"/>
              </w:rPr>
              <w:t>86</w:t>
            </w:r>
          </w:p>
        </w:tc>
        <w:tc>
          <w:tcPr>
            <w:tcW w:w="743" w:type="pct"/>
            <w:tcBorders>
              <w:tl2br w:val="nil"/>
              <w:tr2bl w:val="nil"/>
            </w:tcBorders>
            <w:vAlign w:val="center"/>
          </w:tcPr>
          <w:p w14:paraId="36EFA072">
            <w:pPr>
              <w:spacing w:before="0" w:beforeLines="0" w:line="240" w:lineRule="auto"/>
              <w:jc w:val="center"/>
              <w:rPr>
                <w:szCs w:val="21"/>
              </w:rPr>
            </w:pPr>
            <w:r>
              <w:rPr>
                <w:szCs w:val="21"/>
              </w:rPr>
              <w:t>900</w:t>
            </w:r>
          </w:p>
        </w:tc>
        <w:tc>
          <w:tcPr>
            <w:tcW w:w="743" w:type="pct"/>
            <w:tcBorders>
              <w:tl2br w:val="nil"/>
              <w:tr2bl w:val="nil"/>
            </w:tcBorders>
            <w:vAlign w:val="center"/>
          </w:tcPr>
          <w:p w14:paraId="21EB0571">
            <w:pPr>
              <w:spacing w:before="0" w:beforeLines="0" w:line="240" w:lineRule="auto"/>
              <w:jc w:val="center"/>
              <w:rPr>
                <w:szCs w:val="21"/>
              </w:rPr>
            </w:pPr>
            <w:r>
              <w:rPr>
                <w:szCs w:val="21"/>
              </w:rPr>
              <w:t>83</w:t>
            </w:r>
          </w:p>
        </w:tc>
        <w:tc>
          <w:tcPr>
            <w:tcW w:w="771" w:type="pct"/>
            <w:tcBorders>
              <w:tl2br w:val="nil"/>
              <w:tr2bl w:val="nil"/>
            </w:tcBorders>
            <w:vAlign w:val="center"/>
          </w:tcPr>
          <w:p w14:paraId="503C733A">
            <w:pPr>
              <w:spacing w:before="0" w:beforeLines="0" w:line="240" w:lineRule="auto"/>
              <w:jc w:val="center"/>
              <w:rPr>
                <w:szCs w:val="21"/>
              </w:rPr>
            </w:pPr>
            <w:r>
              <w:rPr>
                <w:szCs w:val="21"/>
              </w:rPr>
              <w:t>mg/kg</w:t>
            </w:r>
          </w:p>
        </w:tc>
      </w:tr>
      <w:tr w14:paraId="0704BD2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57" w:type="pct"/>
            <w:tcBorders>
              <w:tl2br w:val="nil"/>
              <w:tr2bl w:val="nil"/>
            </w:tcBorders>
            <w:vAlign w:val="center"/>
          </w:tcPr>
          <w:p w14:paraId="1235454F">
            <w:pPr>
              <w:spacing w:before="0" w:beforeLines="0" w:line="240" w:lineRule="auto"/>
              <w:jc w:val="center"/>
              <w:rPr>
                <w:szCs w:val="21"/>
              </w:rPr>
            </w:pPr>
            <w:r>
              <w:rPr>
                <w:szCs w:val="21"/>
              </w:rPr>
              <w:t>石油烃（C10-C40）</w:t>
            </w:r>
          </w:p>
        </w:tc>
        <w:tc>
          <w:tcPr>
            <w:tcW w:w="743" w:type="pct"/>
            <w:tcBorders>
              <w:tl2br w:val="nil"/>
              <w:tr2bl w:val="nil"/>
            </w:tcBorders>
            <w:vAlign w:val="center"/>
          </w:tcPr>
          <w:p w14:paraId="20B0B46E">
            <w:pPr>
              <w:spacing w:before="0" w:beforeLines="0" w:line="240" w:lineRule="auto"/>
              <w:jc w:val="center"/>
              <w:rPr>
                <w:szCs w:val="21"/>
              </w:rPr>
            </w:pPr>
            <w:r>
              <w:rPr>
                <w:szCs w:val="21"/>
              </w:rPr>
              <w:t>4500</w:t>
            </w:r>
          </w:p>
        </w:tc>
        <w:tc>
          <w:tcPr>
            <w:tcW w:w="743" w:type="pct"/>
            <w:tcBorders>
              <w:tl2br w:val="nil"/>
              <w:tr2bl w:val="nil"/>
            </w:tcBorders>
            <w:vAlign w:val="center"/>
          </w:tcPr>
          <w:p w14:paraId="36069370">
            <w:pPr>
              <w:spacing w:before="0" w:beforeLines="0" w:line="240" w:lineRule="auto"/>
              <w:jc w:val="center"/>
              <w:rPr>
                <w:szCs w:val="21"/>
              </w:rPr>
            </w:pPr>
            <w:r>
              <w:rPr>
                <w:szCs w:val="21"/>
              </w:rPr>
              <w:t>未检出</w:t>
            </w:r>
          </w:p>
        </w:tc>
        <w:tc>
          <w:tcPr>
            <w:tcW w:w="743" w:type="pct"/>
            <w:tcBorders>
              <w:tl2br w:val="nil"/>
              <w:tr2bl w:val="nil"/>
            </w:tcBorders>
            <w:vAlign w:val="center"/>
          </w:tcPr>
          <w:p w14:paraId="3553015C">
            <w:pPr>
              <w:spacing w:before="0" w:beforeLines="0" w:line="240" w:lineRule="auto"/>
              <w:jc w:val="center"/>
              <w:rPr>
                <w:szCs w:val="21"/>
              </w:rPr>
            </w:pPr>
            <w:r>
              <w:rPr>
                <w:szCs w:val="21"/>
              </w:rPr>
              <w:t>4500</w:t>
            </w:r>
          </w:p>
        </w:tc>
        <w:tc>
          <w:tcPr>
            <w:tcW w:w="743" w:type="pct"/>
            <w:tcBorders>
              <w:tl2br w:val="nil"/>
              <w:tr2bl w:val="nil"/>
            </w:tcBorders>
            <w:vAlign w:val="center"/>
          </w:tcPr>
          <w:p w14:paraId="4C67FFD0">
            <w:pPr>
              <w:spacing w:before="0" w:beforeLines="0" w:line="240" w:lineRule="auto"/>
              <w:jc w:val="center"/>
              <w:rPr>
                <w:szCs w:val="21"/>
              </w:rPr>
            </w:pPr>
            <w:r>
              <w:rPr>
                <w:szCs w:val="21"/>
              </w:rPr>
              <w:t>未检出</w:t>
            </w:r>
          </w:p>
        </w:tc>
        <w:tc>
          <w:tcPr>
            <w:tcW w:w="771" w:type="pct"/>
            <w:tcBorders>
              <w:tl2br w:val="nil"/>
              <w:tr2bl w:val="nil"/>
            </w:tcBorders>
            <w:vAlign w:val="center"/>
          </w:tcPr>
          <w:p w14:paraId="4CCD9CCA">
            <w:pPr>
              <w:spacing w:before="0" w:beforeLines="0" w:line="240" w:lineRule="auto"/>
              <w:jc w:val="center"/>
              <w:rPr>
                <w:szCs w:val="21"/>
              </w:rPr>
            </w:pPr>
            <w:r>
              <w:rPr>
                <w:szCs w:val="21"/>
              </w:rPr>
              <w:t>mg/kg</w:t>
            </w:r>
          </w:p>
        </w:tc>
      </w:tr>
      <w:tr w14:paraId="744EDC6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57" w:type="pct"/>
            <w:tcBorders>
              <w:tl2br w:val="nil"/>
              <w:tr2bl w:val="nil"/>
            </w:tcBorders>
            <w:vAlign w:val="center"/>
          </w:tcPr>
          <w:p w14:paraId="5BD8B3B1">
            <w:pPr>
              <w:spacing w:before="0" w:beforeLines="0" w:line="240" w:lineRule="auto"/>
              <w:jc w:val="center"/>
              <w:rPr>
                <w:szCs w:val="21"/>
              </w:rPr>
            </w:pPr>
            <w:r>
              <w:rPr>
                <w:rFonts w:hint="eastAsia"/>
                <w:szCs w:val="21"/>
              </w:rPr>
              <w:t>钒</w:t>
            </w:r>
          </w:p>
        </w:tc>
        <w:tc>
          <w:tcPr>
            <w:tcW w:w="743" w:type="pct"/>
            <w:tcBorders>
              <w:tl2br w:val="nil"/>
              <w:tr2bl w:val="nil"/>
            </w:tcBorders>
            <w:vAlign w:val="center"/>
          </w:tcPr>
          <w:p w14:paraId="23726E2F">
            <w:pPr>
              <w:spacing w:before="0" w:beforeLines="0" w:line="240" w:lineRule="auto"/>
              <w:jc w:val="center"/>
              <w:rPr>
                <w:szCs w:val="21"/>
              </w:rPr>
            </w:pPr>
            <w:r>
              <w:rPr>
                <w:rFonts w:hint="eastAsia"/>
                <w:szCs w:val="21"/>
              </w:rPr>
              <w:t>7</w:t>
            </w:r>
            <w:r>
              <w:rPr>
                <w:szCs w:val="21"/>
              </w:rPr>
              <w:t>52</w:t>
            </w:r>
          </w:p>
        </w:tc>
        <w:tc>
          <w:tcPr>
            <w:tcW w:w="743" w:type="pct"/>
            <w:tcBorders>
              <w:tl2br w:val="nil"/>
              <w:tr2bl w:val="nil"/>
            </w:tcBorders>
            <w:vAlign w:val="center"/>
          </w:tcPr>
          <w:p w14:paraId="77F9D597">
            <w:pPr>
              <w:spacing w:before="0" w:beforeLines="0" w:line="240" w:lineRule="auto"/>
              <w:jc w:val="center"/>
              <w:rPr>
                <w:szCs w:val="21"/>
              </w:rPr>
            </w:pPr>
            <w:r>
              <w:rPr>
                <w:rFonts w:hint="eastAsia"/>
                <w:szCs w:val="21"/>
              </w:rPr>
              <w:t>7</w:t>
            </w:r>
            <w:r>
              <w:rPr>
                <w:szCs w:val="21"/>
              </w:rPr>
              <w:t>0</w:t>
            </w:r>
          </w:p>
        </w:tc>
        <w:tc>
          <w:tcPr>
            <w:tcW w:w="743" w:type="pct"/>
            <w:tcBorders>
              <w:tl2br w:val="nil"/>
              <w:tr2bl w:val="nil"/>
            </w:tcBorders>
            <w:vAlign w:val="center"/>
          </w:tcPr>
          <w:p w14:paraId="4683FDDD">
            <w:pPr>
              <w:spacing w:before="0" w:beforeLines="0" w:line="240" w:lineRule="auto"/>
              <w:jc w:val="center"/>
              <w:rPr>
                <w:szCs w:val="21"/>
              </w:rPr>
            </w:pPr>
            <w:r>
              <w:rPr>
                <w:rFonts w:hint="eastAsia"/>
                <w:szCs w:val="21"/>
              </w:rPr>
              <w:t>7</w:t>
            </w:r>
            <w:r>
              <w:rPr>
                <w:szCs w:val="21"/>
              </w:rPr>
              <w:t>52</w:t>
            </w:r>
          </w:p>
        </w:tc>
        <w:tc>
          <w:tcPr>
            <w:tcW w:w="743" w:type="pct"/>
            <w:tcBorders>
              <w:tl2br w:val="nil"/>
              <w:tr2bl w:val="nil"/>
            </w:tcBorders>
            <w:vAlign w:val="center"/>
          </w:tcPr>
          <w:p w14:paraId="50AED270">
            <w:pPr>
              <w:spacing w:before="0" w:beforeLines="0" w:line="240" w:lineRule="auto"/>
              <w:jc w:val="center"/>
              <w:rPr>
                <w:szCs w:val="21"/>
              </w:rPr>
            </w:pPr>
            <w:r>
              <w:rPr>
                <w:rFonts w:hint="eastAsia"/>
                <w:szCs w:val="21"/>
              </w:rPr>
              <w:t>1</w:t>
            </w:r>
            <w:r>
              <w:rPr>
                <w:szCs w:val="21"/>
              </w:rPr>
              <w:t>30</w:t>
            </w:r>
          </w:p>
        </w:tc>
        <w:tc>
          <w:tcPr>
            <w:tcW w:w="771" w:type="pct"/>
            <w:tcBorders>
              <w:tl2br w:val="nil"/>
              <w:tr2bl w:val="nil"/>
            </w:tcBorders>
            <w:vAlign w:val="center"/>
          </w:tcPr>
          <w:p w14:paraId="5DCBF3A5">
            <w:pPr>
              <w:spacing w:before="0" w:beforeLines="0" w:line="240" w:lineRule="auto"/>
              <w:jc w:val="center"/>
              <w:rPr>
                <w:szCs w:val="21"/>
              </w:rPr>
            </w:pPr>
            <w:r>
              <w:rPr>
                <w:szCs w:val="21"/>
              </w:rPr>
              <w:t>mg/kg</w:t>
            </w:r>
          </w:p>
        </w:tc>
      </w:tr>
      <w:tr w14:paraId="1FDD548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57" w:type="pct"/>
            <w:tcBorders>
              <w:tl2br w:val="nil"/>
              <w:tr2bl w:val="nil"/>
            </w:tcBorders>
            <w:vAlign w:val="center"/>
          </w:tcPr>
          <w:p w14:paraId="106B397C">
            <w:pPr>
              <w:spacing w:before="0" w:beforeLines="0" w:line="240" w:lineRule="auto"/>
              <w:jc w:val="center"/>
              <w:rPr>
                <w:szCs w:val="21"/>
              </w:rPr>
            </w:pPr>
            <w:r>
              <w:rPr>
                <w:rFonts w:hint="eastAsia"/>
                <w:szCs w:val="21"/>
              </w:rPr>
              <w:t>钛</w:t>
            </w:r>
          </w:p>
        </w:tc>
        <w:tc>
          <w:tcPr>
            <w:tcW w:w="743" w:type="pct"/>
            <w:tcBorders>
              <w:tl2br w:val="nil"/>
              <w:tr2bl w:val="nil"/>
            </w:tcBorders>
            <w:vAlign w:val="center"/>
          </w:tcPr>
          <w:p w14:paraId="7C89157F">
            <w:pPr>
              <w:spacing w:before="0" w:beforeLines="0" w:line="240" w:lineRule="auto"/>
              <w:jc w:val="center"/>
              <w:rPr>
                <w:szCs w:val="21"/>
              </w:rPr>
            </w:pPr>
            <w:r>
              <w:rPr>
                <w:rFonts w:hint="eastAsia"/>
                <w:szCs w:val="21"/>
              </w:rPr>
              <w:t>-</w:t>
            </w:r>
          </w:p>
        </w:tc>
        <w:tc>
          <w:tcPr>
            <w:tcW w:w="743" w:type="pct"/>
            <w:tcBorders>
              <w:tl2br w:val="nil"/>
              <w:tr2bl w:val="nil"/>
            </w:tcBorders>
            <w:vAlign w:val="center"/>
          </w:tcPr>
          <w:p w14:paraId="320AA5F8">
            <w:pPr>
              <w:spacing w:before="0" w:beforeLines="0" w:line="240" w:lineRule="auto"/>
              <w:jc w:val="center"/>
              <w:rPr>
                <w:szCs w:val="21"/>
              </w:rPr>
            </w:pPr>
            <w:r>
              <w:rPr>
                <w:rFonts w:hint="eastAsia"/>
                <w:szCs w:val="21"/>
              </w:rPr>
              <w:t>-</w:t>
            </w:r>
          </w:p>
        </w:tc>
        <w:tc>
          <w:tcPr>
            <w:tcW w:w="743" w:type="pct"/>
            <w:tcBorders>
              <w:tl2br w:val="nil"/>
              <w:tr2bl w:val="nil"/>
            </w:tcBorders>
            <w:vAlign w:val="center"/>
          </w:tcPr>
          <w:p w14:paraId="5D8DE63F">
            <w:pPr>
              <w:spacing w:before="0" w:beforeLines="0" w:line="240" w:lineRule="auto"/>
              <w:jc w:val="center"/>
              <w:rPr>
                <w:szCs w:val="21"/>
              </w:rPr>
            </w:pPr>
            <w:r>
              <w:rPr>
                <w:rFonts w:hint="eastAsia"/>
                <w:szCs w:val="21"/>
              </w:rPr>
              <w:t>-</w:t>
            </w:r>
          </w:p>
        </w:tc>
        <w:tc>
          <w:tcPr>
            <w:tcW w:w="743" w:type="pct"/>
            <w:tcBorders>
              <w:tl2br w:val="nil"/>
              <w:tr2bl w:val="nil"/>
            </w:tcBorders>
            <w:vAlign w:val="center"/>
          </w:tcPr>
          <w:p w14:paraId="27C6DFD9">
            <w:pPr>
              <w:spacing w:before="0" w:beforeLines="0" w:line="240" w:lineRule="auto"/>
              <w:jc w:val="center"/>
              <w:rPr>
                <w:szCs w:val="21"/>
              </w:rPr>
            </w:pPr>
            <w:r>
              <w:rPr>
                <w:rFonts w:hint="eastAsia"/>
                <w:szCs w:val="21"/>
              </w:rPr>
              <w:t>4540</w:t>
            </w:r>
          </w:p>
        </w:tc>
        <w:tc>
          <w:tcPr>
            <w:tcW w:w="771" w:type="pct"/>
            <w:tcBorders>
              <w:tl2br w:val="nil"/>
              <w:tr2bl w:val="nil"/>
            </w:tcBorders>
            <w:vAlign w:val="center"/>
          </w:tcPr>
          <w:p w14:paraId="13863CF6">
            <w:pPr>
              <w:spacing w:before="0" w:beforeLines="0" w:line="240" w:lineRule="auto"/>
              <w:jc w:val="center"/>
              <w:rPr>
                <w:szCs w:val="21"/>
              </w:rPr>
            </w:pPr>
            <w:r>
              <w:rPr>
                <w:szCs w:val="21"/>
              </w:rPr>
              <w:t>mg/kg</w:t>
            </w:r>
          </w:p>
        </w:tc>
      </w:tr>
    </w:tbl>
    <w:p w14:paraId="09008A80">
      <w:pPr>
        <w:pStyle w:val="143"/>
        <w:spacing w:before="156"/>
        <w:rPr>
          <w:b/>
          <w:bCs w:val="0"/>
        </w:rPr>
      </w:pPr>
      <w:r>
        <w:rPr>
          <w:b/>
          <w:bCs w:val="0"/>
        </w:rPr>
        <w:t>表4.2-1</w:t>
      </w:r>
      <w:r>
        <w:rPr>
          <w:rFonts w:hint="eastAsia"/>
          <w:b/>
          <w:bCs w:val="0"/>
        </w:rPr>
        <w:t xml:space="preserve">2 </w:t>
      </w:r>
      <w:r>
        <w:rPr>
          <w:b/>
          <w:bCs w:val="0"/>
        </w:rPr>
        <w:t xml:space="preserve"> </w:t>
      </w:r>
      <w:r>
        <w:rPr>
          <w:rFonts w:hint="eastAsia"/>
          <w:b/>
          <w:bCs w:val="0"/>
        </w:rPr>
        <w:t xml:space="preserve">   </w:t>
      </w:r>
      <w:r>
        <w:rPr>
          <w:b/>
          <w:bCs w:val="0"/>
        </w:rPr>
        <w:t>点位S11监测数据</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28" w:type="dxa"/>
          <w:bottom w:w="0" w:type="dxa"/>
          <w:right w:w="28" w:type="dxa"/>
        </w:tblCellMar>
      </w:tblPr>
      <w:tblGrid>
        <w:gridCol w:w="2949"/>
        <w:gridCol w:w="1420"/>
        <w:gridCol w:w="2713"/>
        <w:gridCol w:w="1230"/>
      </w:tblGrid>
      <w:tr w14:paraId="105FB21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vMerge w:val="restart"/>
            <w:tcBorders>
              <w:tl2br w:val="nil"/>
              <w:tr2bl w:val="nil"/>
            </w:tcBorders>
            <w:vAlign w:val="center"/>
          </w:tcPr>
          <w:p w14:paraId="74CE009A">
            <w:pPr>
              <w:widowControl/>
              <w:spacing w:before="0" w:beforeLines="0" w:line="240" w:lineRule="auto"/>
              <w:jc w:val="center"/>
              <w:textAlignment w:val="center"/>
              <w:rPr>
                <w:szCs w:val="21"/>
              </w:rPr>
            </w:pPr>
            <w:r>
              <w:rPr>
                <w:szCs w:val="21"/>
              </w:rPr>
              <w:t>检测项目</w:t>
            </w:r>
          </w:p>
        </w:tc>
        <w:tc>
          <w:tcPr>
            <w:tcW w:w="854" w:type="pct"/>
            <w:vMerge w:val="restart"/>
            <w:tcBorders>
              <w:tl2br w:val="nil"/>
              <w:tr2bl w:val="nil"/>
            </w:tcBorders>
            <w:vAlign w:val="center"/>
          </w:tcPr>
          <w:p w14:paraId="1DFA0550">
            <w:pPr>
              <w:widowControl/>
              <w:spacing w:before="0" w:beforeLines="0" w:line="240" w:lineRule="auto"/>
              <w:jc w:val="center"/>
              <w:textAlignment w:val="center"/>
              <w:rPr>
                <w:szCs w:val="21"/>
              </w:rPr>
            </w:pPr>
            <w:r>
              <w:rPr>
                <w:szCs w:val="21"/>
              </w:rPr>
              <w:t>标准</w:t>
            </w:r>
          </w:p>
        </w:tc>
        <w:tc>
          <w:tcPr>
            <w:tcW w:w="1632" w:type="pct"/>
            <w:tcBorders>
              <w:tl2br w:val="nil"/>
              <w:tr2bl w:val="nil"/>
            </w:tcBorders>
            <w:vAlign w:val="center"/>
          </w:tcPr>
          <w:p w14:paraId="1BAAA129">
            <w:pPr>
              <w:spacing w:before="0" w:beforeLines="0" w:line="240" w:lineRule="auto"/>
              <w:jc w:val="center"/>
              <w:rPr>
                <w:szCs w:val="21"/>
              </w:rPr>
            </w:pPr>
            <w:r>
              <w:rPr>
                <w:szCs w:val="21"/>
              </w:rPr>
              <w:t>检测结果</w:t>
            </w:r>
          </w:p>
        </w:tc>
        <w:tc>
          <w:tcPr>
            <w:tcW w:w="740" w:type="pct"/>
            <w:vMerge w:val="restart"/>
            <w:tcBorders>
              <w:tl2br w:val="nil"/>
              <w:tr2bl w:val="nil"/>
            </w:tcBorders>
            <w:vAlign w:val="center"/>
          </w:tcPr>
          <w:p w14:paraId="7BF5663A">
            <w:pPr>
              <w:spacing w:before="0" w:beforeLines="0" w:line="240" w:lineRule="auto"/>
              <w:jc w:val="center"/>
              <w:rPr>
                <w:szCs w:val="21"/>
              </w:rPr>
            </w:pPr>
            <w:r>
              <w:rPr>
                <w:szCs w:val="21"/>
              </w:rPr>
              <w:t>单位</w:t>
            </w:r>
          </w:p>
        </w:tc>
      </w:tr>
      <w:tr w14:paraId="5E5E48A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vMerge w:val="continue"/>
            <w:tcBorders>
              <w:tl2br w:val="nil"/>
              <w:tr2bl w:val="nil"/>
            </w:tcBorders>
            <w:vAlign w:val="center"/>
          </w:tcPr>
          <w:p w14:paraId="423FC8F0">
            <w:pPr>
              <w:widowControl/>
              <w:spacing w:before="0" w:beforeLines="0" w:line="240" w:lineRule="auto"/>
              <w:jc w:val="center"/>
              <w:textAlignment w:val="center"/>
              <w:rPr>
                <w:szCs w:val="21"/>
              </w:rPr>
            </w:pPr>
          </w:p>
        </w:tc>
        <w:tc>
          <w:tcPr>
            <w:tcW w:w="854" w:type="pct"/>
            <w:vMerge w:val="continue"/>
            <w:tcBorders>
              <w:tl2br w:val="nil"/>
              <w:tr2bl w:val="nil"/>
            </w:tcBorders>
            <w:vAlign w:val="center"/>
          </w:tcPr>
          <w:p w14:paraId="240C7BF3">
            <w:pPr>
              <w:widowControl/>
              <w:spacing w:before="0" w:beforeLines="0" w:line="240" w:lineRule="auto"/>
              <w:jc w:val="center"/>
              <w:textAlignment w:val="center"/>
              <w:rPr>
                <w:szCs w:val="21"/>
              </w:rPr>
            </w:pPr>
          </w:p>
        </w:tc>
        <w:tc>
          <w:tcPr>
            <w:tcW w:w="1632" w:type="pct"/>
            <w:tcBorders>
              <w:tl2br w:val="nil"/>
              <w:tr2bl w:val="nil"/>
            </w:tcBorders>
            <w:vAlign w:val="center"/>
          </w:tcPr>
          <w:p w14:paraId="0DFBEE2D">
            <w:pPr>
              <w:spacing w:before="0" w:beforeLines="0" w:line="240" w:lineRule="auto"/>
              <w:jc w:val="center"/>
              <w:rPr>
                <w:szCs w:val="21"/>
              </w:rPr>
            </w:pPr>
            <w:r>
              <w:rPr>
                <w:szCs w:val="21"/>
              </w:rPr>
              <w:t>S11表层</w:t>
            </w:r>
          </w:p>
        </w:tc>
        <w:tc>
          <w:tcPr>
            <w:tcW w:w="740" w:type="pct"/>
            <w:vMerge w:val="continue"/>
            <w:tcBorders>
              <w:tl2br w:val="nil"/>
              <w:tr2bl w:val="nil"/>
            </w:tcBorders>
            <w:vAlign w:val="center"/>
          </w:tcPr>
          <w:p w14:paraId="14ECE01C">
            <w:pPr>
              <w:spacing w:before="0" w:beforeLines="0" w:line="240" w:lineRule="auto"/>
              <w:jc w:val="center"/>
              <w:rPr>
                <w:szCs w:val="21"/>
              </w:rPr>
            </w:pPr>
          </w:p>
        </w:tc>
      </w:tr>
      <w:tr w14:paraId="4296CBF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6215BDCD">
            <w:pPr>
              <w:autoSpaceDN w:val="0"/>
              <w:spacing w:before="0" w:beforeLines="0" w:line="240" w:lineRule="auto"/>
              <w:jc w:val="center"/>
              <w:rPr>
                <w:szCs w:val="21"/>
              </w:rPr>
            </w:pPr>
            <w:r>
              <w:rPr>
                <w:szCs w:val="21"/>
              </w:rPr>
              <w:t>砷</w:t>
            </w:r>
          </w:p>
        </w:tc>
        <w:tc>
          <w:tcPr>
            <w:tcW w:w="854" w:type="pct"/>
            <w:tcBorders>
              <w:tl2br w:val="nil"/>
              <w:tr2bl w:val="nil"/>
            </w:tcBorders>
            <w:vAlign w:val="center"/>
          </w:tcPr>
          <w:p w14:paraId="771F55D5">
            <w:pPr>
              <w:spacing w:before="0" w:beforeLines="0" w:line="240" w:lineRule="auto"/>
              <w:jc w:val="center"/>
              <w:rPr>
                <w:szCs w:val="21"/>
              </w:rPr>
            </w:pPr>
            <w:r>
              <w:rPr>
                <w:szCs w:val="21"/>
              </w:rPr>
              <w:t>60</w:t>
            </w:r>
          </w:p>
        </w:tc>
        <w:tc>
          <w:tcPr>
            <w:tcW w:w="1632" w:type="pct"/>
            <w:tcBorders>
              <w:tl2br w:val="nil"/>
              <w:tr2bl w:val="nil"/>
            </w:tcBorders>
            <w:vAlign w:val="center"/>
          </w:tcPr>
          <w:p w14:paraId="082CCFF5">
            <w:pPr>
              <w:autoSpaceDN w:val="0"/>
              <w:spacing w:before="0" w:beforeLines="0" w:line="240" w:lineRule="auto"/>
              <w:jc w:val="center"/>
              <w:rPr>
                <w:szCs w:val="21"/>
              </w:rPr>
            </w:pPr>
            <w:r>
              <w:rPr>
                <w:szCs w:val="21"/>
              </w:rPr>
              <w:t>6.19</w:t>
            </w:r>
          </w:p>
        </w:tc>
        <w:tc>
          <w:tcPr>
            <w:tcW w:w="740" w:type="pct"/>
            <w:tcBorders>
              <w:tl2br w:val="nil"/>
              <w:tr2bl w:val="nil"/>
            </w:tcBorders>
            <w:vAlign w:val="center"/>
          </w:tcPr>
          <w:p w14:paraId="3A329BFB">
            <w:pPr>
              <w:autoSpaceDN w:val="0"/>
              <w:spacing w:before="0" w:beforeLines="0" w:line="240" w:lineRule="auto"/>
              <w:jc w:val="center"/>
              <w:rPr>
                <w:szCs w:val="21"/>
              </w:rPr>
            </w:pPr>
            <w:r>
              <w:rPr>
                <w:szCs w:val="21"/>
              </w:rPr>
              <w:t>mg/kg</w:t>
            </w:r>
          </w:p>
        </w:tc>
      </w:tr>
      <w:tr w14:paraId="3200565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2E1ABBA3">
            <w:pPr>
              <w:autoSpaceDN w:val="0"/>
              <w:spacing w:before="0" w:beforeLines="0" w:line="240" w:lineRule="auto"/>
              <w:jc w:val="center"/>
              <w:rPr>
                <w:szCs w:val="21"/>
              </w:rPr>
            </w:pPr>
            <w:r>
              <w:rPr>
                <w:szCs w:val="21"/>
              </w:rPr>
              <w:t>镉</w:t>
            </w:r>
          </w:p>
        </w:tc>
        <w:tc>
          <w:tcPr>
            <w:tcW w:w="854" w:type="pct"/>
            <w:tcBorders>
              <w:tl2br w:val="nil"/>
              <w:tr2bl w:val="nil"/>
            </w:tcBorders>
            <w:vAlign w:val="center"/>
          </w:tcPr>
          <w:p w14:paraId="529D22F2">
            <w:pPr>
              <w:spacing w:before="0" w:beforeLines="0" w:line="240" w:lineRule="auto"/>
              <w:jc w:val="center"/>
              <w:rPr>
                <w:szCs w:val="21"/>
              </w:rPr>
            </w:pPr>
            <w:r>
              <w:rPr>
                <w:szCs w:val="21"/>
              </w:rPr>
              <w:t>65</w:t>
            </w:r>
          </w:p>
        </w:tc>
        <w:tc>
          <w:tcPr>
            <w:tcW w:w="1632" w:type="pct"/>
            <w:tcBorders>
              <w:tl2br w:val="nil"/>
              <w:tr2bl w:val="nil"/>
            </w:tcBorders>
            <w:vAlign w:val="center"/>
          </w:tcPr>
          <w:p w14:paraId="715289BC">
            <w:pPr>
              <w:autoSpaceDN w:val="0"/>
              <w:spacing w:before="0" w:beforeLines="0" w:line="240" w:lineRule="auto"/>
              <w:jc w:val="center"/>
              <w:rPr>
                <w:szCs w:val="21"/>
              </w:rPr>
            </w:pPr>
            <w:r>
              <w:rPr>
                <w:szCs w:val="21"/>
              </w:rPr>
              <w:t>0.16</w:t>
            </w:r>
          </w:p>
        </w:tc>
        <w:tc>
          <w:tcPr>
            <w:tcW w:w="740" w:type="pct"/>
            <w:tcBorders>
              <w:tl2br w:val="nil"/>
              <w:tr2bl w:val="nil"/>
            </w:tcBorders>
            <w:vAlign w:val="center"/>
          </w:tcPr>
          <w:p w14:paraId="067AD9C0">
            <w:pPr>
              <w:autoSpaceDN w:val="0"/>
              <w:spacing w:before="0" w:beforeLines="0" w:line="240" w:lineRule="auto"/>
              <w:jc w:val="center"/>
              <w:rPr>
                <w:szCs w:val="21"/>
              </w:rPr>
            </w:pPr>
            <w:r>
              <w:rPr>
                <w:szCs w:val="21"/>
              </w:rPr>
              <w:t>mg/kg</w:t>
            </w:r>
          </w:p>
        </w:tc>
      </w:tr>
      <w:tr w14:paraId="51A7329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51FC4AC6">
            <w:pPr>
              <w:autoSpaceDN w:val="0"/>
              <w:spacing w:before="0" w:beforeLines="0" w:line="240" w:lineRule="auto"/>
              <w:jc w:val="center"/>
              <w:rPr>
                <w:szCs w:val="21"/>
              </w:rPr>
            </w:pPr>
            <w:r>
              <w:rPr>
                <w:szCs w:val="21"/>
              </w:rPr>
              <w:t>六价铬</w:t>
            </w:r>
          </w:p>
        </w:tc>
        <w:tc>
          <w:tcPr>
            <w:tcW w:w="854" w:type="pct"/>
            <w:tcBorders>
              <w:tl2br w:val="nil"/>
              <w:tr2bl w:val="nil"/>
            </w:tcBorders>
            <w:vAlign w:val="center"/>
          </w:tcPr>
          <w:p w14:paraId="56CD769A">
            <w:pPr>
              <w:spacing w:before="0" w:beforeLines="0" w:line="240" w:lineRule="auto"/>
              <w:jc w:val="center"/>
              <w:rPr>
                <w:szCs w:val="21"/>
              </w:rPr>
            </w:pPr>
            <w:r>
              <w:rPr>
                <w:szCs w:val="21"/>
              </w:rPr>
              <w:t>5.7</w:t>
            </w:r>
          </w:p>
        </w:tc>
        <w:tc>
          <w:tcPr>
            <w:tcW w:w="1632" w:type="pct"/>
            <w:tcBorders>
              <w:tl2br w:val="nil"/>
              <w:tr2bl w:val="nil"/>
            </w:tcBorders>
            <w:vAlign w:val="center"/>
          </w:tcPr>
          <w:p w14:paraId="234BE8A2">
            <w:pPr>
              <w:autoSpaceDN w:val="0"/>
              <w:spacing w:before="0" w:beforeLines="0" w:line="240" w:lineRule="auto"/>
              <w:jc w:val="center"/>
              <w:rPr>
                <w:szCs w:val="21"/>
              </w:rPr>
            </w:pPr>
            <w:r>
              <w:rPr>
                <w:szCs w:val="21"/>
              </w:rPr>
              <w:t>未检出</w:t>
            </w:r>
          </w:p>
        </w:tc>
        <w:tc>
          <w:tcPr>
            <w:tcW w:w="740" w:type="pct"/>
            <w:tcBorders>
              <w:tl2br w:val="nil"/>
              <w:tr2bl w:val="nil"/>
            </w:tcBorders>
            <w:vAlign w:val="center"/>
          </w:tcPr>
          <w:p w14:paraId="32285DE7">
            <w:pPr>
              <w:autoSpaceDN w:val="0"/>
              <w:spacing w:before="0" w:beforeLines="0" w:line="240" w:lineRule="auto"/>
              <w:jc w:val="center"/>
              <w:rPr>
                <w:szCs w:val="21"/>
              </w:rPr>
            </w:pPr>
            <w:r>
              <w:rPr>
                <w:szCs w:val="21"/>
              </w:rPr>
              <w:t>mg/kg</w:t>
            </w:r>
          </w:p>
        </w:tc>
      </w:tr>
      <w:tr w14:paraId="1B1DFB4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164CDC98">
            <w:pPr>
              <w:autoSpaceDN w:val="0"/>
              <w:spacing w:before="0" w:beforeLines="0" w:line="240" w:lineRule="auto"/>
              <w:jc w:val="center"/>
              <w:rPr>
                <w:szCs w:val="21"/>
              </w:rPr>
            </w:pPr>
            <w:r>
              <w:rPr>
                <w:szCs w:val="21"/>
              </w:rPr>
              <w:t>铜</w:t>
            </w:r>
          </w:p>
        </w:tc>
        <w:tc>
          <w:tcPr>
            <w:tcW w:w="854" w:type="pct"/>
            <w:tcBorders>
              <w:tl2br w:val="nil"/>
              <w:tr2bl w:val="nil"/>
            </w:tcBorders>
            <w:vAlign w:val="center"/>
          </w:tcPr>
          <w:p w14:paraId="1DB771DC">
            <w:pPr>
              <w:autoSpaceDN w:val="0"/>
              <w:spacing w:before="0" w:beforeLines="0" w:line="240" w:lineRule="auto"/>
              <w:jc w:val="center"/>
              <w:rPr>
                <w:szCs w:val="21"/>
              </w:rPr>
            </w:pPr>
            <w:r>
              <w:rPr>
                <w:szCs w:val="21"/>
              </w:rPr>
              <w:t>18000</w:t>
            </w:r>
          </w:p>
        </w:tc>
        <w:tc>
          <w:tcPr>
            <w:tcW w:w="1632" w:type="pct"/>
            <w:tcBorders>
              <w:tl2br w:val="nil"/>
              <w:tr2bl w:val="nil"/>
            </w:tcBorders>
            <w:vAlign w:val="center"/>
          </w:tcPr>
          <w:p w14:paraId="2197D912">
            <w:pPr>
              <w:autoSpaceDN w:val="0"/>
              <w:spacing w:before="0" w:beforeLines="0" w:line="240" w:lineRule="auto"/>
              <w:jc w:val="center"/>
              <w:rPr>
                <w:szCs w:val="21"/>
              </w:rPr>
            </w:pPr>
            <w:r>
              <w:rPr>
                <w:szCs w:val="21"/>
              </w:rPr>
              <w:t>153</w:t>
            </w:r>
          </w:p>
        </w:tc>
        <w:tc>
          <w:tcPr>
            <w:tcW w:w="740" w:type="pct"/>
            <w:tcBorders>
              <w:tl2br w:val="nil"/>
              <w:tr2bl w:val="nil"/>
            </w:tcBorders>
            <w:vAlign w:val="center"/>
          </w:tcPr>
          <w:p w14:paraId="596F3A57">
            <w:pPr>
              <w:autoSpaceDN w:val="0"/>
              <w:spacing w:before="0" w:beforeLines="0" w:line="240" w:lineRule="auto"/>
              <w:jc w:val="center"/>
              <w:rPr>
                <w:szCs w:val="21"/>
              </w:rPr>
            </w:pPr>
            <w:r>
              <w:rPr>
                <w:szCs w:val="21"/>
              </w:rPr>
              <w:t>mg/kg</w:t>
            </w:r>
          </w:p>
        </w:tc>
      </w:tr>
      <w:tr w14:paraId="4CFC4A5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683E1DFF">
            <w:pPr>
              <w:autoSpaceDN w:val="0"/>
              <w:spacing w:before="0" w:beforeLines="0" w:line="240" w:lineRule="auto"/>
              <w:jc w:val="center"/>
              <w:rPr>
                <w:szCs w:val="21"/>
              </w:rPr>
            </w:pPr>
            <w:r>
              <w:rPr>
                <w:szCs w:val="21"/>
              </w:rPr>
              <w:t>铅</w:t>
            </w:r>
          </w:p>
        </w:tc>
        <w:tc>
          <w:tcPr>
            <w:tcW w:w="854" w:type="pct"/>
            <w:tcBorders>
              <w:tl2br w:val="nil"/>
              <w:tr2bl w:val="nil"/>
            </w:tcBorders>
            <w:vAlign w:val="center"/>
          </w:tcPr>
          <w:p w14:paraId="3211B0DB">
            <w:pPr>
              <w:spacing w:before="0" w:beforeLines="0" w:line="240" w:lineRule="auto"/>
              <w:jc w:val="center"/>
              <w:rPr>
                <w:szCs w:val="21"/>
              </w:rPr>
            </w:pPr>
            <w:r>
              <w:rPr>
                <w:szCs w:val="21"/>
              </w:rPr>
              <w:t>800</w:t>
            </w:r>
          </w:p>
        </w:tc>
        <w:tc>
          <w:tcPr>
            <w:tcW w:w="1632" w:type="pct"/>
            <w:tcBorders>
              <w:tl2br w:val="nil"/>
              <w:tr2bl w:val="nil"/>
            </w:tcBorders>
            <w:vAlign w:val="center"/>
          </w:tcPr>
          <w:p w14:paraId="6BBA86A4">
            <w:pPr>
              <w:autoSpaceDN w:val="0"/>
              <w:spacing w:before="0" w:beforeLines="0" w:line="240" w:lineRule="auto"/>
              <w:jc w:val="center"/>
              <w:rPr>
                <w:szCs w:val="21"/>
              </w:rPr>
            </w:pPr>
            <w:r>
              <w:rPr>
                <w:szCs w:val="21"/>
              </w:rPr>
              <w:t>70</w:t>
            </w:r>
          </w:p>
        </w:tc>
        <w:tc>
          <w:tcPr>
            <w:tcW w:w="740" w:type="pct"/>
            <w:tcBorders>
              <w:tl2br w:val="nil"/>
              <w:tr2bl w:val="nil"/>
            </w:tcBorders>
            <w:vAlign w:val="center"/>
          </w:tcPr>
          <w:p w14:paraId="6DCC2D8C">
            <w:pPr>
              <w:autoSpaceDN w:val="0"/>
              <w:spacing w:before="0" w:beforeLines="0" w:line="240" w:lineRule="auto"/>
              <w:jc w:val="center"/>
              <w:rPr>
                <w:szCs w:val="21"/>
              </w:rPr>
            </w:pPr>
            <w:r>
              <w:rPr>
                <w:szCs w:val="21"/>
              </w:rPr>
              <w:t>mg/kg</w:t>
            </w:r>
          </w:p>
        </w:tc>
      </w:tr>
      <w:tr w14:paraId="6644655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05BC0C60">
            <w:pPr>
              <w:autoSpaceDN w:val="0"/>
              <w:spacing w:before="0" w:beforeLines="0" w:line="240" w:lineRule="auto"/>
              <w:jc w:val="center"/>
              <w:rPr>
                <w:szCs w:val="21"/>
              </w:rPr>
            </w:pPr>
            <w:r>
              <w:rPr>
                <w:szCs w:val="21"/>
              </w:rPr>
              <w:t>汞</w:t>
            </w:r>
          </w:p>
        </w:tc>
        <w:tc>
          <w:tcPr>
            <w:tcW w:w="854" w:type="pct"/>
            <w:tcBorders>
              <w:tl2br w:val="nil"/>
              <w:tr2bl w:val="nil"/>
            </w:tcBorders>
            <w:vAlign w:val="center"/>
          </w:tcPr>
          <w:p w14:paraId="1A337786">
            <w:pPr>
              <w:spacing w:before="0" w:beforeLines="0" w:line="240" w:lineRule="auto"/>
              <w:jc w:val="center"/>
              <w:rPr>
                <w:szCs w:val="21"/>
              </w:rPr>
            </w:pPr>
            <w:r>
              <w:rPr>
                <w:szCs w:val="21"/>
              </w:rPr>
              <w:t>38</w:t>
            </w:r>
          </w:p>
        </w:tc>
        <w:tc>
          <w:tcPr>
            <w:tcW w:w="1632" w:type="pct"/>
            <w:tcBorders>
              <w:tl2br w:val="nil"/>
              <w:tr2bl w:val="nil"/>
            </w:tcBorders>
            <w:vAlign w:val="center"/>
          </w:tcPr>
          <w:p w14:paraId="437D0F72">
            <w:pPr>
              <w:autoSpaceDN w:val="0"/>
              <w:spacing w:before="0" w:beforeLines="0" w:line="240" w:lineRule="auto"/>
              <w:jc w:val="center"/>
              <w:rPr>
                <w:szCs w:val="21"/>
              </w:rPr>
            </w:pPr>
            <w:r>
              <w:rPr>
                <w:szCs w:val="21"/>
              </w:rPr>
              <w:t>0.311</w:t>
            </w:r>
          </w:p>
        </w:tc>
        <w:tc>
          <w:tcPr>
            <w:tcW w:w="740" w:type="pct"/>
            <w:tcBorders>
              <w:tl2br w:val="nil"/>
              <w:tr2bl w:val="nil"/>
            </w:tcBorders>
            <w:vAlign w:val="center"/>
          </w:tcPr>
          <w:p w14:paraId="2FC651FF">
            <w:pPr>
              <w:autoSpaceDN w:val="0"/>
              <w:spacing w:before="0" w:beforeLines="0" w:line="240" w:lineRule="auto"/>
              <w:jc w:val="center"/>
              <w:rPr>
                <w:szCs w:val="21"/>
              </w:rPr>
            </w:pPr>
            <w:r>
              <w:rPr>
                <w:szCs w:val="21"/>
              </w:rPr>
              <w:t>mg/kg</w:t>
            </w:r>
          </w:p>
        </w:tc>
      </w:tr>
      <w:tr w14:paraId="093B4ED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68F0ECA2">
            <w:pPr>
              <w:autoSpaceDN w:val="0"/>
              <w:spacing w:before="0" w:beforeLines="0" w:line="240" w:lineRule="auto"/>
              <w:jc w:val="center"/>
              <w:rPr>
                <w:szCs w:val="21"/>
              </w:rPr>
            </w:pPr>
            <w:r>
              <w:rPr>
                <w:szCs w:val="21"/>
              </w:rPr>
              <w:t>镍</w:t>
            </w:r>
          </w:p>
        </w:tc>
        <w:tc>
          <w:tcPr>
            <w:tcW w:w="854" w:type="pct"/>
            <w:tcBorders>
              <w:tl2br w:val="nil"/>
              <w:tr2bl w:val="nil"/>
            </w:tcBorders>
            <w:vAlign w:val="center"/>
          </w:tcPr>
          <w:p w14:paraId="7DB2F2DE">
            <w:pPr>
              <w:spacing w:before="0" w:beforeLines="0" w:line="240" w:lineRule="auto"/>
              <w:jc w:val="center"/>
              <w:rPr>
                <w:szCs w:val="21"/>
              </w:rPr>
            </w:pPr>
            <w:r>
              <w:rPr>
                <w:szCs w:val="21"/>
              </w:rPr>
              <w:t>900</w:t>
            </w:r>
          </w:p>
        </w:tc>
        <w:tc>
          <w:tcPr>
            <w:tcW w:w="1632" w:type="pct"/>
            <w:tcBorders>
              <w:tl2br w:val="nil"/>
              <w:tr2bl w:val="nil"/>
            </w:tcBorders>
            <w:vAlign w:val="center"/>
          </w:tcPr>
          <w:p w14:paraId="551C1DB1">
            <w:pPr>
              <w:autoSpaceDN w:val="0"/>
              <w:spacing w:before="0" w:beforeLines="0" w:line="240" w:lineRule="auto"/>
              <w:jc w:val="center"/>
              <w:rPr>
                <w:szCs w:val="21"/>
              </w:rPr>
            </w:pPr>
            <w:r>
              <w:rPr>
                <w:szCs w:val="21"/>
              </w:rPr>
              <w:t>92</w:t>
            </w:r>
          </w:p>
        </w:tc>
        <w:tc>
          <w:tcPr>
            <w:tcW w:w="740" w:type="pct"/>
            <w:tcBorders>
              <w:tl2br w:val="nil"/>
              <w:tr2bl w:val="nil"/>
            </w:tcBorders>
            <w:vAlign w:val="center"/>
          </w:tcPr>
          <w:p w14:paraId="32ABF0A2">
            <w:pPr>
              <w:autoSpaceDN w:val="0"/>
              <w:spacing w:before="0" w:beforeLines="0" w:line="240" w:lineRule="auto"/>
              <w:jc w:val="center"/>
              <w:rPr>
                <w:szCs w:val="21"/>
              </w:rPr>
            </w:pPr>
            <w:r>
              <w:rPr>
                <w:szCs w:val="21"/>
              </w:rPr>
              <w:t>mg/kg</w:t>
            </w:r>
          </w:p>
        </w:tc>
      </w:tr>
      <w:tr w14:paraId="2FD91C3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434B8B35">
            <w:pPr>
              <w:widowControl/>
              <w:snapToGrid w:val="0"/>
              <w:spacing w:before="0" w:beforeLines="0" w:line="240" w:lineRule="auto"/>
              <w:jc w:val="center"/>
              <w:textAlignment w:val="center"/>
              <w:rPr>
                <w:szCs w:val="21"/>
              </w:rPr>
            </w:pPr>
            <w:r>
              <w:rPr>
                <w:spacing w:val="-5"/>
                <w:kern w:val="0"/>
                <w:szCs w:val="21"/>
              </w:rPr>
              <w:t>氯乙烯</w:t>
            </w:r>
          </w:p>
        </w:tc>
        <w:tc>
          <w:tcPr>
            <w:tcW w:w="854" w:type="pct"/>
            <w:tcBorders>
              <w:tl2br w:val="nil"/>
              <w:tr2bl w:val="nil"/>
            </w:tcBorders>
            <w:vAlign w:val="center"/>
          </w:tcPr>
          <w:p w14:paraId="44283D94">
            <w:pPr>
              <w:snapToGrid w:val="0"/>
              <w:spacing w:before="0" w:beforeLines="0" w:line="240" w:lineRule="auto"/>
              <w:jc w:val="center"/>
              <w:rPr>
                <w:szCs w:val="21"/>
              </w:rPr>
            </w:pPr>
            <w:r>
              <w:rPr>
                <w:szCs w:val="21"/>
              </w:rPr>
              <w:t>0.43</w:t>
            </w:r>
          </w:p>
        </w:tc>
        <w:tc>
          <w:tcPr>
            <w:tcW w:w="1632" w:type="pct"/>
            <w:tcBorders>
              <w:tl2br w:val="nil"/>
              <w:tr2bl w:val="nil"/>
            </w:tcBorders>
            <w:vAlign w:val="center"/>
          </w:tcPr>
          <w:p w14:paraId="56CF41FD">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68235DFA">
            <w:pPr>
              <w:autoSpaceDN w:val="0"/>
              <w:spacing w:before="0" w:beforeLines="0" w:line="240" w:lineRule="auto"/>
              <w:jc w:val="center"/>
              <w:rPr>
                <w:szCs w:val="21"/>
              </w:rPr>
            </w:pPr>
            <w:r>
              <w:rPr>
                <w:szCs w:val="21"/>
              </w:rPr>
              <w:t>μg/kg</w:t>
            </w:r>
          </w:p>
        </w:tc>
      </w:tr>
      <w:tr w14:paraId="0FA3B54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371BF5AC">
            <w:pPr>
              <w:widowControl/>
              <w:snapToGrid w:val="0"/>
              <w:spacing w:before="0" w:beforeLines="0" w:line="240" w:lineRule="auto"/>
              <w:jc w:val="center"/>
              <w:textAlignment w:val="center"/>
              <w:rPr>
                <w:szCs w:val="21"/>
              </w:rPr>
            </w:pPr>
            <w:r>
              <w:rPr>
                <w:szCs w:val="21"/>
              </w:rPr>
              <w:t>氯甲烷</w:t>
            </w:r>
          </w:p>
        </w:tc>
        <w:tc>
          <w:tcPr>
            <w:tcW w:w="854" w:type="pct"/>
            <w:tcBorders>
              <w:tl2br w:val="nil"/>
              <w:tr2bl w:val="nil"/>
            </w:tcBorders>
            <w:vAlign w:val="center"/>
          </w:tcPr>
          <w:p w14:paraId="46AC87D9">
            <w:pPr>
              <w:snapToGrid w:val="0"/>
              <w:spacing w:before="0" w:beforeLines="0" w:line="240" w:lineRule="auto"/>
              <w:jc w:val="center"/>
              <w:rPr>
                <w:szCs w:val="21"/>
              </w:rPr>
            </w:pPr>
            <w:r>
              <w:rPr>
                <w:szCs w:val="21"/>
              </w:rPr>
              <w:t>37</w:t>
            </w:r>
          </w:p>
        </w:tc>
        <w:tc>
          <w:tcPr>
            <w:tcW w:w="1632" w:type="pct"/>
            <w:tcBorders>
              <w:tl2br w:val="nil"/>
              <w:tr2bl w:val="nil"/>
            </w:tcBorders>
            <w:vAlign w:val="center"/>
          </w:tcPr>
          <w:p w14:paraId="63E46ACB">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4CE1DB37">
            <w:pPr>
              <w:autoSpaceDN w:val="0"/>
              <w:spacing w:before="0" w:beforeLines="0" w:line="240" w:lineRule="auto"/>
              <w:jc w:val="center"/>
              <w:rPr>
                <w:szCs w:val="21"/>
              </w:rPr>
            </w:pPr>
            <w:r>
              <w:rPr>
                <w:szCs w:val="21"/>
              </w:rPr>
              <w:t>μg/kg</w:t>
            </w:r>
          </w:p>
        </w:tc>
      </w:tr>
      <w:tr w14:paraId="50340E5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166E5F01">
            <w:pPr>
              <w:widowControl/>
              <w:snapToGrid w:val="0"/>
              <w:spacing w:before="0" w:beforeLines="0" w:line="240" w:lineRule="auto"/>
              <w:jc w:val="center"/>
              <w:textAlignment w:val="center"/>
              <w:rPr>
                <w:szCs w:val="21"/>
              </w:rPr>
            </w:pPr>
            <w:r>
              <w:rPr>
                <w:bCs/>
                <w:szCs w:val="21"/>
              </w:rPr>
              <w:t>间,对-二甲苯</w:t>
            </w:r>
          </w:p>
        </w:tc>
        <w:tc>
          <w:tcPr>
            <w:tcW w:w="854" w:type="pct"/>
            <w:tcBorders>
              <w:tl2br w:val="nil"/>
              <w:tr2bl w:val="nil"/>
            </w:tcBorders>
            <w:vAlign w:val="center"/>
          </w:tcPr>
          <w:p w14:paraId="233F66A8">
            <w:pPr>
              <w:snapToGrid w:val="0"/>
              <w:spacing w:before="0" w:beforeLines="0" w:line="240" w:lineRule="auto"/>
              <w:jc w:val="center"/>
              <w:rPr>
                <w:szCs w:val="21"/>
              </w:rPr>
            </w:pPr>
            <w:r>
              <w:rPr>
                <w:szCs w:val="21"/>
              </w:rPr>
              <w:t>570</w:t>
            </w:r>
          </w:p>
        </w:tc>
        <w:tc>
          <w:tcPr>
            <w:tcW w:w="1632" w:type="pct"/>
            <w:tcBorders>
              <w:tl2br w:val="nil"/>
              <w:tr2bl w:val="nil"/>
            </w:tcBorders>
            <w:vAlign w:val="center"/>
          </w:tcPr>
          <w:p w14:paraId="525204D6">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2F905C5C">
            <w:pPr>
              <w:autoSpaceDN w:val="0"/>
              <w:spacing w:before="0" w:beforeLines="0" w:line="240" w:lineRule="auto"/>
              <w:jc w:val="center"/>
              <w:rPr>
                <w:szCs w:val="21"/>
              </w:rPr>
            </w:pPr>
            <w:r>
              <w:rPr>
                <w:szCs w:val="21"/>
              </w:rPr>
              <w:t>μg/kg</w:t>
            </w:r>
          </w:p>
        </w:tc>
      </w:tr>
      <w:tr w14:paraId="44C8910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7817D08F">
            <w:pPr>
              <w:widowControl/>
              <w:snapToGrid w:val="0"/>
              <w:spacing w:before="0" w:beforeLines="0" w:line="240" w:lineRule="auto"/>
              <w:jc w:val="center"/>
              <w:textAlignment w:val="center"/>
              <w:rPr>
                <w:szCs w:val="21"/>
              </w:rPr>
            </w:pPr>
            <w:r>
              <w:rPr>
                <w:bCs/>
                <w:szCs w:val="21"/>
              </w:rPr>
              <w:t>邻-二甲苯</w:t>
            </w:r>
          </w:p>
        </w:tc>
        <w:tc>
          <w:tcPr>
            <w:tcW w:w="854" w:type="pct"/>
            <w:tcBorders>
              <w:tl2br w:val="nil"/>
              <w:tr2bl w:val="nil"/>
            </w:tcBorders>
            <w:vAlign w:val="center"/>
          </w:tcPr>
          <w:p w14:paraId="44A908CB">
            <w:pPr>
              <w:snapToGrid w:val="0"/>
              <w:spacing w:before="0" w:beforeLines="0" w:line="240" w:lineRule="auto"/>
              <w:jc w:val="center"/>
              <w:rPr>
                <w:szCs w:val="21"/>
              </w:rPr>
            </w:pPr>
            <w:r>
              <w:rPr>
                <w:szCs w:val="21"/>
              </w:rPr>
              <w:t>640</w:t>
            </w:r>
          </w:p>
        </w:tc>
        <w:tc>
          <w:tcPr>
            <w:tcW w:w="1632" w:type="pct"/>
            <w:tcBorders>
              <w:tl2br w:val="nil"/>
              <w:tr2bl w:val="nil"/>
            </w:tcBorders>
            <w:vAlign w:val="center"/>
          </w:tcPr>
          <w:p w14:paraId="23C31D8D">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0F5180D8">
            <w:pPr>
              <w:autoSpaceDN w:val="0"/>
              <w:spacing w:before="0" w:beforeLines="0" w:line="240" w:lineRule="auto"/>
              <w:jc w:val="center"/>
              <w:rPr>
                <w:szCs w:val="21"/>
              </w:rPr>
            </w:pPr>
            <w:r>
              <w:rPr>
                <w:szCs w:val="21"/>
              </w:rPr>
              <w:t>μg/kg</w:t>
            </w:r>
          </w:p>
        </w:tc>
      </w:tr>
      <w:tr w14:paraId="15E9A72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5D714423">
            <w:pPr>
              <w:widowControl/>
              <w:snapToGrid w:val="0"/>
              <w:spacing w:before="0" w:beforeLines="0" w:line="240" w:lineRule="auto"/>
              <w:jc w:val="center"/>
              <w:textAlignment w:val="center"/>
              <w:rPr>
                <w:szCs w:val="21"/>
              </w:rPr>
            </w:pPr>
            <w:r>
              <w:rPr>
                <w:spacing w:val="-5"/>
                <w:kern w:val="0"/>
                <w:szCs w:val="21"/>
              </w:rPr>
              <w:t>四氯乙烯</w:t>
            </w:r>
          </w:p>
        </w:tc>
        <w:tc>
          <w:tcPr>
            <w:tcW w:w="854" w:type="pct"/>
            <w:tcBorders>
              <w:tl2br w:val="nil"/>
              <w:tr2bl w:val="nil"/>
            </w:tcBorders>
            <w:vAlign w:val="center"/>
          </w:tcPr>
          <w:p w14:paraId="5D4FD731">
            <w:pPr>
              <w:snapToGrid w:val="0"/>
              <w:spacing w:before="0" w:beforeLines="0" w:line="240" w:lineRule="auto"/>
              <w:jc w:val="center"/>
              <w:rPr>
                <w:szCs w:val="21"/>
              </w:rPr>
            </w:pPr>
            <w:r>
              <w:rPr>
                <w:szCs w:val="21"/>
              </w:rPr>
              <w:t>53</w:t>
            </w:r>
          </w:p>
        </w:tc>
        <w:tc>
          <w:tcPr>
            <w:tcW w:w="1632" w:type="pct"/>
            <w:tcBorders>
              <w:tl2br w:val="nil"/>
              <w:tr2bl w:val="nil"/>
            </w:tcBorders>
            <w:vAlign w:val="center"/>
          </w:tcPr>
          <w:p w14:paraId="5AFF62E4">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1281BAD8">
            <w:pPr>
              <w:autoSpaceDN w:val="0"/>
              <w:spacing w:before="0" w:beforeLines="0" w:line="240" w:lineRule="auto"/>
              <w:jc w:val="center"/>
              <w:rPr>
                <w:szCs w:val="21"/>
              </w:rPr>
            </w:pPr>
            <w:r>
              <w:rPr>
                <w:szCs w:val="21"/>
              </w:rPr>
              <w:t>μg/kg</w:t>
            </w:r>
          </w:p>
        </w:tc>
      </w:tr>
      <w:tr w14:paraId="44B7B10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3FBEE706">
            <w:pPr>
              <w:widowControl/>
              <w:snapToGrid w:val="0"/>
              <w:spacing w:before="0" w:beforeLines="0" w:line="240" w:lineRule="auto"/>
              <w:jc w:val="center"/>
              <w:textAlignment w:val="center"/>
              <w:rPr>
                <w:szCs w:val="21"/>
              </w:rPr>
            </w:pPr>
            <w:r>
              <w:rPr>
                <w:spacing w:val="-5"/>
                <w:kern w:val="0"/>
                <w:szCs w:val="21"/>
              </w:rPr>
              <w:t>苯</w:t>
            </w:r>
          </w:p>
        </w:tc>
        <w:tc>
          <w:tcPr>
            <w:tcW w:w="854" w:type="pct"/>
            <w:tcBorders>
              <w:tl2br w:val="nil"/>
              <w:tr2bl w:val="nil"/>
            </w:tcBorders>
            <w:vAlign w:val="center"/>
          </w:tcPr>
          <w:p w14:paraId="19B1B92F">
            <w:pPr>
              <w:snapToGrid w:val="0"/>
              <w:spacing w:before="0" w:beforeLines="0" w:line="240" w:lineRule="auto"/>
              <w:jc w:val="center"/>
              <w:rPr>
                <w:szCs w:val="21"/>
              </w:rPr>
            </w:pPr>
            <w:r>
              <w:rPr>
                <w:szCs w:val="21"/>
              </w:rPr>
              <w:t>4</w:t>
            </w:r>
          </w:p>
        </w:tc>
        <w:tc>
          <w:tcPr>
            <w:tcW w:w="1632" w:type="pct"/>
            <w:tcBorders>
              <w:tl2br w:val="nil"/>
              <w:tr2bl w:val="nil"/>
            </w:tcBorders>
            <w:vAlign w:val="center"/>
          </w:tcPr>
          <w:p w14:paraId="5219F80B">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494DB222">
            <w:pPr>
              <w:autoSpaceDN w:val="0"/>
              <w:spacing w:before="0" w:beforeLines="0" w:line="240" w:lineRule="auto"/>
              <w:jc w:val="center"/>
              <w:rPr>
                <w:szCs w:val="21"/>
              </w:rPr>
            </w:pPr>
            <w:r>
              <w:rPr>
                <w:szCs w:val="21"/>
              </w:rPr>
              <w:t>μg/kg</w:t>
            </w:r>
          </w:p>
        </w:tc>
      </w:tr>
      <w:tr w14:paraId="0B66325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560EF185">
            <w:pPr>
              <w:widowControl/>
              <w:snapToGrid w:val="0"/>
              <w:spacing w:before="0" w:beforeLines="0" w:line="240" w:lineRule="auto"/>
              <w:jc w:val="center"/>
              <w:textAlignment w:val="center"/>
              <w:rPr>
                <w:szCs w:val="21"/>
              </w:rPr>
            </w:pPr>
            <w:r>
              <w:rPr>
                <w:spacing w:val="-5"/>
                <w:kern w:val="0"/>
                <w:szCs w:val="21"/>
              </w:rPr>
              <w:t>甲苯</w:t>
            </w:r>
          </w:p>
        </w:tc>
        <w:tc>
          <w:tcPr>
            <w:tcW w:w="854" w:type="pct"/>
            <w:tcBorders>
              <w:tl2br w:val="nil"/>
              <w:tr2bl w:val="nil"/>
            </w:tcBorders>
            <w:vAlign w:val="center"/>
          </w:tcPr>
          <w:p w14:paraId="165459F4">
            <w:pPr>
              <w:snapToGrid w:val="0"/>
              <w:spacing w:before="0" w:beforeLines="0" w:line="240" w:lineRule="auto"/>
              <w:jc w:val="center"/>
              <w:rPr>
                <w:szCs w:val="21"/>
              </w:rPr>
            </w:pPr>
            <w:r>
              <w:rPr>
                <w:szCs w:val="21"/>
              </w:rPr>
              <w:t>1200</w:t>
            </w:r>
          </w:p>
        </w:tc>
        <w:tc>
          <w:tcPr>
            <w:tcW w:w="1632" w:type="pct"/>
            <w:tcBorders>
              <w:tl2br w:val="nil"/>
              <w:tr2bl w:val="nil"/>
            </w:tcBorders>
            <w:vAlign w:val="center"/>
          </w:tcPr>
          <w:p w14:paraId="3D0BA8ED">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035C6A49">
            <w:pPr>
              <w:autoSpaceDN w:val="0"/>
              <w:spacing w:before="0" w:beforeLines="0" w:line="240" w:lineRule="auto"/>
              <w:jc w:val="center"/>
              <w:rPr>
                <w:szCs w:val="21"/>
              </w:rPr>
            </w:pPr>
            <w:r>
              <w:rPr>
                <w:szCs w:val="21"/>
              </w:rPr>
              <w:t>μg/kg</w:t>
            </w:r>
          </w:p>
        </w:tc>
      </w:tr>
      <w:tr w14:paraId="2B0F85A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6AA6C3F8">
            <w:pPr>
              <w:widowControl/>
              <w:snapToGrid w:val="0"/>
              <w:spacing w:before="0" w:beforeLines="0" w:line="240" w:lineRule="auto"/>
              <w:jc w:val="center"/>
              <w:textAlignment w:val="center"/>
              <w:rPr>
                <w:szCs w:val="21"/>
              </w:rPr>
            </w:pPr>
            <w:r>
              <w:rPr>
                <w:szCs w:val="21"/>
              </w:rPr>
              <w:t>氯仿</w:t>
            </w:r>
          </w:p>
        </w:tc>
        <w:tc>
          <w:tcPr>
            <w:tcW w:w="854" w:type="pct"/>
            <w:tcBorders>
              <w:tl2br w:val="nil"/>
              <w:tr2bl w:val="nil"/>
            </w:tcBorders>
            <w:vAlign w:val="center"/>
          </w:tcPr>
          <w:p w14:paraId="1AB8E50D">
            <w:pPr>
              <w:snapToGrid w:val="0"/>
              <w:spacing w:before="0" w:beforeLines="0" w:line="240" w:lineRule="auto"/>
              <w:jc w:val="center"/>
              <w:rPr>
                <w:szCs w:val="21"/>
              </w:rPr>
            </w:pPr>
            <w:r>
              <w:rPr>
                <w:szCs w:val="21"/>
              </w:rPr>
              <w:t>0.9</w:t>
            </w:r>
          </w:p>
        </w:tc>
        <w:tc>
          <w:tcPr>
            <w:tcW w:w="1632" w:type="pct"/>
            <w:tcBorders>
              <w:tl2br w:val="nil"/>
              <w:tr2bl w:val="nil"/>
            </w:tcBorders>
            <w:vAlign w:val="center"/>
          </w:tcPr>
          <w:p w14:paraId="4237E30A">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750DBCC3">
            <w:pPr>
              <w:autoSpaceDN w:val="0"/>
              <w:spacing w:before="0" w:beforeLines="0" w:line="240" w:lineRule="auto"/>
              <w:jc w:val="center"/>
              <w:rPr>
                <w:szCs w:val="21"/>
              </w:rPr>
            </w:pPr>
            <w:r>
              <w:rPr>
                <w:szCs w:val="21"/>
              </w:rPr>
              <w:t>μg/kg</w:t>
            </w:r>
          </w:p>
        </w:tc>
      </w:tr>
      <w:tr w14:paraId="22BB22D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0D86C7B6">
            <w:pPr>
              <w:widowControl/>
              <w:snapToGrid w:val="0"/>
              <w:spacing w:before="0" w:beforeLines="0" w:line="240" w:lineRule="auto"/>
              <w:jc w:val="center"/>
              <w:textAlignment w:val="center"/>
              <w:rPr>
                <w:szCs w:val="21"/>
              </w:rPr>
            </w:pPr>
            <w:r>
              <w:rPr>
                <w:spacing w:val="-5"/>
                <w:kern w:val="0"/>
                <w:szCs w:val="21"/>
              </w:rPr>
              <w:t>1，1-二氯乙烯</w:t>
            </w:r>
          </w:p>
        </w:tc>
        <w:tc>
          <w:tcPr>
            <w:tcW w:w="854" w:type="pct"/>
            <w:tcBorders>
              <w:tl2br w:val="nil"/>
              <w:tr2bl w:val="nil"/>
            </w:tcBorders>
            <w:vAlign w:val="center"/>
          </w:tcPr>
          <w:p w14:paraId="06A85083">
            <w:pPr>
              <w:snapToGrid w:val="0"/>
              <w:spacing w:before="0" w:beforeLines="0" w:line="240" w:lineRule="auto"/>
              <w:jc w:val="center"/>
              <w:rPr>
                <w:szCs w:val="21"/>
              </w:rPr>
            </w:pPr>
            <w:r>
              <w:rPr>
                <w:szCs w:val="21"/>
              </w:rPr>
              <w:t>66</w:t>
            </w:r>
          </w:p>
        </w:tc>
        <w:tc>
          <w:tcPr>
            <w:tcW w:w="1632" w:type="pct"/>
            <w:tcBorders>
              <w:tl2br w:val="nil"/>
              <w:tr2bl w:val="nil"/>
            </w:tcBorders>
            <w:vAlign w:val="center"/>
          </w:tcPr>
          <w:p w14:paraId="02255855">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6DBA64D5">
            <w:pPr>
              <w:autoSpaceDN w:val="0"/>
              <w:spacing w:before="0" w:beforeLines="0" w:line="240" w:lineRule="auto"/>
              <w:jc w:val="center"/>
              <w:rPr>
                <w:szCs w:val="21"/>
              </w:rPr>
            </w:pPr>
            <w:r>
              <w:rPr>
                <w:szCs w:val="21"/>
              </w:rPr>
              <w:t>μg/kg</w:t>
            </w:r>
          </w:p>
        </w:tc>
      </w:tr>
      <w:tr w14:paraId="6F530F7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00335178">
            <w:pPr>
              <w:snapToGrid w:val="0"/>
              <w:spacing w:before="0" w:beforeLines="0" w:line="240" w:lineRule="auto"/>
              <w:jc w:val="center"/>
              <w:rPr>
                <w:szCs w:val="21"/>
              </w:rPr>
            </w:pPr>
            <w:r>
              <w:rPr>
                <w:szCs w:val="21"/>
              </w:rPr>
              <w:t>二氯甲烷</w:t>
            </w:r>
          </w:p>
        </w:tc>
        <w:tc>
          <w:tcPr>
            <w:tcW w:w="854" w:type="pct"/>
            <w:tcBorders>
              <w:tl2br w:val="nil"/>
              <w:tr2bl w:val="nil"/>
            </w:tcBorders>
            <w:vAlign w:val="center"/>
          </w:tcPr>
          <w:p w14:paraId="4BC91C25">
            <w:pPr>
              <w:snapToGrid w:val="0"/>
              <w:spacing w:before="0" w:beforeLines="0" w:line="240" w:lineRule="auto"/>
              <w:jc w:val="center"/>
              <w:rPr>
                <w:szCs w:val="21"/>
              </w:rPr>
            </w:pPr>
            <w:r>
              <w:rPr>
                <w:szCs w:val="21"/>
              </w:rPr>
              <w:t>616</w:t>
            </w:r>
          </w:p>
        </w:tc>
        <w:tc>
          <w:tcPr>
            <w:tcW w:w="1632" w:type="pct"/>
            <w:tcBorders>
              <w:tl2br w:val="nil"/>
              <w:tr2bl w:val="nil"/>
            </w:tcBorders>
            <w:vAlign w:val="center"/>
          </w:tcPr>
          <w:p w14:paraId="7D499014">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0A29594A">
            <w:pPr>
              <w:autoSpaceDN w:val="0"/>
              <w:spacing w:before="0" w:beforeLines="0" w:line="240" w:lineRule="auto"/>
              <w:jc w:val="center"/>
              <w:rPr>
                <w:szCs w:val="21"/>
              </w:rPr>
            </w:pPr>
            <w:r>
              <w:rPr>
                <w:szCs w:val="21"/>
              </w:rPr>
              <w:t>μg/kg</w:t>
            </w:r>
          </w:p>
        </w:tc>
      </w:tr>
      <w:tr w14:paraId="36CE852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60857982">
            <w:pPr>
              <w:snapToGrid w:val="0"/>
              <w:spacing w:before="0" w:beforeLines="0" w:line="240" w:lineRule="auto"/>
              <w:jc w:val="center"/>
              <w:rPr>
                <w:szCs w:val="21"/>
              </w:rPr>
            </w:pPr>
            <w:r>
              <w:rPr>
                <w:spacing w:val="-5"/>
                <w:kern w:val="0"/>
                <w:szCs w:val="21"/>
              </w:rPr>
              <w:t>反1，2-二氯乙烯</w:t>
            </w:r>
          </w:p>
        </w:tc>
        <w:tc>
          <w:tcPr>
            <w:tcW w:w="854" w:type="pct"/>
            <w:tcBorders>
              <w:tl2br w:val="nil"/>
              <w:tr2bl w:val="nil"/>
            </w:tcBorders>
            <w:vAlign w:val="center"/>
          </w:tcPr>
          <w:p w14:paraId="7B93676F">
            <w:pPr>
              <w:snapToGrid w:val="0"/>
              <w:spacing w:before="0" w:beforeLines="0" w:line="240" w:lineRule="auto"/>
              <w:jc w:val="center"/>
              <w:rPr>
                <w:szCs w:val="21"/>
              </w:rPr>
            </w:pPr>
            <w:r>
              <w:rPr>
                <w:szCs w:val="21"/>
              </w:rPr>
              <w:t>54</w:t>
            </w:r>
          </w:p>
        </w:tc>
        <w:tc>
          <w:tcPr>
            <w:tcW w:w="1632" w:type="pct"/>
            <w:tcBorders>
              <w:tl2br w:val="nil"/>
              <w:tr2bl w:val="nil"/>
            </w:tcBorders>
            <w:vAlign w:val="center"/>
          </w:tcPr>
          <w:p w14:paraId="60F40D26">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0DA96684">
            <w:pPr>
              <w:autoSpaceDN w:val="0"/>
              <w:spacing w:before="0" w:beforeLines="0" w:line="240" w:lineRule="auto"/>
              <w:jc w:val="center"/>
              <w:rPr>
                <w:szCs w:val="21"/>
              </w:rPr>
            </w:pPr>
            <w:r>
              <w:rPr>
                <w:szCs w:val="21"/>
              </w:rPr>
              <w:t>μg/kg</w:t>
            </w:r>
          </w:p>
        </w:tc>
      </w:tr>
      <w:tr w14:paraId="7F7FF21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2BD73A02">
            <w:pPr>
              <w:snapToGrid w:val="0"/>
              <w:spacing w:before="0" w:beforeLines="0" w:line="240" w:lineRule="auto"/>
              <w:jc w:val="center"/>
              <w:rPr>
                <w:szCs w:val="21"/>
              </w:rPr>
            </w:pPr>
            <w:r>
              <w:rPr>
                <w:spacing w:val="-5"/>
                <w:kern w:val="0"/>
                <w:szCs w:val="21"/>
              </w:rPr>
              <w:t>1，1-二氯乙烷</w:t>
            </w:r>
          </w:p>
        </w:tc>
        <w:tc>
          <w:tcPr>
            <w:tcW w:w="854" w:type="pct"/>
            <w:tcBorders>
              <w:tl2br w:val="nil"/>
              <w:tr2bl w:val="nil"/>
            </w:tcBorders>
            <w:vAlign w:val="center"/>
          </w:tcPr>
          <w:p w14:paraId="7AD91678">
            <w:pPr>
              <w:snapToGrid w:val="0"/>
              <w:spacing w:before="0" w:beforeLines="0" w:line="240" w:lineRule="auto"/>
              <w:jc w:val="center"/>
              <w:rPr>
                <w:szCs w:val="21"/>
              </w:rPr>
            </w:pPr>
            <w:r>
              <w:rPr>
                <w:szCs w:val="21"/>
              </w:rPr>
              <w:t>9</w:t>
            </w:r>
          </w:p>
        </w:tc>
        <w:tc>
          <w:tcPr>
            <w:tcW w:w="1632" w:type="pct"/>
            <w:tcBorders>
              <w:tl2br w:val="nil"/>
              <w:tr2bl w:val="nil"/>
            </w:tcBorders>
            <w:vAlign w:val="center"/>
          </w:tcPr>
          <w:p w14:paraId="753FFF30">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332DCF8C">
            <w:pPr>
              <w:autoSpaceDN w:val="0"/>
              <w:spacing w:before="0" w:beforeLines="0" w:line="240" w:lineRule="auto"/>
              <w:jc w:val="center"/>
              <w:rPr>
                <w:szCs w:val="21"/>
              </w:rPr>
            </w:pPr>
            <w:r>
              <w:rPr>
                <w:szCs w:val="21"/>
              </w:rPr>
              <w:t>μg/kg</w:t>
            </w:r>
          </w:p>
        </w:tc>
      </w:tr>
      <w:tr w14:paraId="2EC1E51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6A7854F1">
            <w:pPr>
              <w:snapToGrid w:val="0"/>
              <w:spacing w:before="0" w:beforeLines="0" w:line="240" w:lineRule="auto"/>
              <w:jc w:val="center"/>
              <w:rPr>
                <w:szCs w:val="21"/>
              </w:rPr>
            </w:pPr>
            <w:r>
              <w:rPr>
                <w:spacing w:val="-5"/>
                <w:kern w:val="0"/>
                <w:szCs w:val="21"/>
              </w:rPr>
              <w:t>顺1，2-二氯乙烯</w:t>
            </w:r>
          </w:p>
        </w:tc>
        <w:tc>
          <w:tcPr>
            <w:tcW w:w="854" w:type="pct"/>
            <w:tcBorders>
              <w:tl2br w:val="nil"/>
              <w:tr2bl w:val="nil"/>
            </w:tcBorders>
            <w:vAlign w:val="center"/>
          </w:tcPr>
          <w:p w14:paraId="255F9F0F">
            <w:pPr>
              <w:snapToGrid w:val="0"/>
              <w:spacing w:before="0" w:beforeLines="0" w:line="240" w:lineRule="auto"/>
              <w:jc w:val="center"/>
              <w:rPr>
                <w:szCs w:val="21"/>
              </w:rPr>
            </w:pPr>
            <w:r>
              <w:rPr>
                <w:szCs w:val="21"/>
              </w:rPr>
              <w:t>596</w:t>
            </w:r>
          </w:p>
        </w:tc>
        <w:tc>
          <w:tcPr>
            <w:tcW w:w="1632" w:type="pct"/>
            <w:tcBorders>
              <w:tl2br w:val="nil"/>
              <w:tr2bl w:val="nil"/>
            </w:tcBorders>
            <w:vAlign w:val="center"/>
          </w:tcPr>
          <w:p w14:paraId="6065BF70">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3A6E2659">
            <w:pPr>
              <w:autoSpaceDN w:val="0"/>
              <w:spacing w:before="0" w:beforeLines="0" w:line="240" w:lineRule="auto"/>
              <w:jc w:val="center"/>
              <w:rPr>
                <w:szCs w:val="21"/>
              </w:rPr>
            </w:pPr>
            <w:r>
              <w:rPr>
                <w:szCs w:val="21"/>
              </w:rPr>
              <w:t>μg/kg</w:t>
            </w:r>
          </w:p>
        </w:tc>
      </w:tr>
      <w:tr w14:paraId="4DB5E5F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5F7DBAFB">
            <w:pPr>
              <w:widowControl/>
              <w:snapToGrid w:val="0"/>
              <w:spacing w:before="0" w:beforeLines="0" w:line="240" w:lineRule="auto"/>
              <w:jc w:val="center"/>
              <w:textAlignment w:val="center"/>
              <w:rPr>
                <w:szCs w:val="21"/>
              </w:rPr>
            </w:pPr>
            <w:r>
              <w:rPr>
                <w:spacing w:val="-5"/>
                <w:kern w:val="0"/>
                <w:szCs w:val="21"/>
              </w:rPr>
              <w:t>1，2-二氯乙烷</w:t>
            </w:r>
          </w:p>
        </w:tc>
        <w:tc>
          <w:tcPr>
            <w:tcW w:w="854" w:type="pct"/>
            <w:tcBorders>
              <w:tl2br w:val="nil"/>
              <w:tr2bl w:val="nil"/>
            </w:tcBorders>
            <w:vAlign w:val="center"/>
          </w:tcPr>
          <w:p w14:paraId="757B080C">
            <w:pPr>
              <w:snapToGrid w:val="0"/>
              <w:spacing w:before="0" w:beforeLines="0" w:line="240" w:lineRule="auto"/>
              <w:jc w:val="center"/>
              <w:rPr>
                <w:szCs w:val="21"/>
              </w:rPr>
            </w:pPr>
            <w:r>
              <w:rPr>
                <w:szCs w:val="21"/>
              </w:rPr>
              <w:t>5</w:t>
            </w:r>
          </w:p>
        </w:tc>
        <w:tc>
          <w:tcPr>
            <w:tcW w:w="1632" w:type="pct"/>
            <w:tcBorders>
              <w:tl2br w:val="nil"/>
              <w:tr2bl w:val="nil"/>
            </w:tcBorders>
            <w:vAlign w:val="center"/>
          </w:tcPr>
          <w:p w14:paraId="0BF09E89">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28FEB015">
            <w:pPr>
              <w:autoSpaceDN w:val="0"/>
              <w:spacing w:before="0" w:beforeLines="0" w:line="240" w:lineRule="auto"/>
              <w:jc w:val="center"/>
              <w:rPr>
                <w:szCs w:val="21"/>
              </w:rPr>
            </w:pPr>
            <w:r>
              <w:rPr>
                <w:szCs w:val="21"/>
              </w:rPr>
              <w:t>μg/kg</w:t>
            </w:r>
          </w:p>
        </w:tc>
      </w:tr>
      <w:tr w14:paraId="3B7E75D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564390B0">
            <w:pPr>
              <w:widowControl/>
              <w:snapToGrid w:val="0"/>
              <w:spacing w:before="0" w:beforeLines="0" w:line="240" w:lineRule="auto"/>
              <w:jc w:val="center"/>
              <w:textAlignment w:val="center"/>
              <w:rPr>
                <w:szCs w:val="21"/>
              </w:rPr>
            </w:pPr>
            <w:r>
              <w:rPr>
                <w:spacing w:val="-5"/>
                <w:kern w:val="0"/>
                <w:szCs w:val="21"/>
              </w:rPr>
              <w:t>1，1，1-三氯乙烷</w:t>
            </w:r>
          </w:p>
        </w:tc>
        <w:tc>
          <w:tcPr>
            <w:tcW w:w="854" w:type="pct"/>
            <w:tcBorders>
              <w:tl2br w:val="nil"/>
              <w:tr2bl w:val="nil"/>
            </w:tcBorders>
            <w:vAlign w:val="center"/>
          </w:tcPr>
          <w:p w14:paraId="7912A1FA">
            <w:pPr>
              <w:snapToGrid w:val="0"/>
              <w:spacing w:before="0" w:beforeLines="0" w:line="240" w:lineRule="auto"/>
              <w:jc w:val="center"/>
              <w:rPr>
                <w:szCs w:val="21"/>
              </w:rPr>
            </w:pPr>
            <w:r>
              <w:rPr>
                <w:szCs w:val="21"/>
              </w:rPr>
              <w:t>840</w:t>
            </w:r>
          </w:p>
        </w:tc>
        <w:tc>
          <w:tcPr>
            <w:tcW w:w="1632" w:type="pct"/>
            <w:tcBorders>
              <w:tl2br w:val="nil"/>
              <w:tr2bl w:val="nil"/>
            </w:tcBorders>
            <w:vAlign w:val="center"/>
          </w:tcPr>
          <w:p w14:paraId="5ADCDF31">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666B3FE1">
            <w:pPr>
              <w:autoSpaceDN w:val="0"/>
              <w:spacing w:before="0" w:beforeLines="0" w:line="240" w:lineRule="auto"/>
              <w:jc w:val="center"/>
              <w:rPr>
                <w:szCs w:val="21"/>
              </w:rPr>
            </w:pPr>
            <w:r>
              <w:rPr>
                <w:szCs w:val="21"/>
              </w:rPr>
              <w:t>μg/kg</w:t>
            </w:r>
          </w:p>
        </w:tc>
      </w:tr>
      <w:tr w14:paraId="4AF9D73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7D7C013C">
            <w:pPr>
              <w:widowControl/>
              <w:snapToGrid w:val="0"/>
              <w:spacing w:before="0" w:beforeLines="0" w:line="240" w:lineRule="auto"/>
              <w:jc w:val="center"/>
              <w:textAlignment w:val="center"/>
              <w:rPr>
                <w:szCs w:val="21"/>
              </w:rPr>
            </w:pPr>
            <w:r>
              <w:rPr>
                <w:spacing w:val="-5"/>
                <w:kern w:val="0"/>
                <w:szCs w:val="21"/>
              </w:rPr>
              <w:t>四氯化碳</w:t>
            </w:r>
          </w:p>
        </w:tc>
        <w:tc>
          <w:tcPr>
            <w:tcW w:w="854" w:type="pct"/>
            <w:tcBorders>
              <w:tl2br w:val="nil"/>
              <w:tr2bl w:val="nil"/>
            </w:tcBorders>
            <w:vAlign w:val="center"/>
          </w:tcPr>
          <w:p w14:paraId="19486139">
            <w:pPr>
              <w:snapToGrid w:val="0"/>
              <w:spacing w:before="0" w:beforeLines="0" w:line="240" w:lineRule="auto"/>
              <w:jc w:val="center"/>
              <w:rPr>
                <w:szCs w:val="21"/>
              </w:rPr>
            </w:pPr>
            <w:r>
              <w:rPr>
                <w:bCs/>
                <w:szCs w:val="21"/>
              </w:rPr>
              <w:t>2.8</w:t>
            </w:r>
          </w:p>
        </w:tc>
        <w:tc>
          <w:tcPr>
            <w:tcW w:w="1632" w:type="pct"/>
            <w:tcBorders>
              <w:tl2br w:val="nil"/>
              <w:tr2bl w:val="nil"/>
            </w:tcBorders>
            <w:vAlign w:val="center"/>
          </w:tcPr>
          <w:p w14:paraId="08C67617">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40AD148A">
            <w:pPr>
              <w:autoSpaceDN w:val="0"/>
              <w:spacing w:before="0" w:beforeLines="0" w:line="240" w:lineRule="auto"/>
              <w:jc w:val="center"/>
              <w:rPr>
                <w:szCs w:val="21"/>
              </w:rPr>
            </w:pPr>
            <w:r>
              <w:rPr>
                <w:szCs w:val="21"/>
              </w:rPr>
              <w:t>μg/kg</w:t>
            </w:r>
          </w:p>
        </w:tc>
      </w:tr>
      <w:tr w14:paraId="6ED8446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6DC20DBA">
            <w:pPr>
              <w:widowControl/>
              <w:snapToGrid w:val="0"/>
              <w:spacing w:before="0" w:beforeLines="0" w:line="240" w:lineRule="auto"/>
              <w:jc w:val="center"/>
              <w:textAlignment w:val="center"/>
              <w:rPr>
                <w:szCs w:val="21"/>
              </w:rPr>
            </w:pPr>
            <w:r>
              <w:rPr>
                <w:spacing w:val="-5"/>
                <w:kern w:val="0"/>
                <w:szCs w:val="21"/>
              </w:rPr>
              <w:t>1，2-二氯丙烷</w:t>
            </w:r>
          </w:p>
        </w:tc>
        <w:tc>
          <w:tcPr>
            <w:tcW w:w="854" w:type="pct"/>
            <w:tcBorders>
              <w:tl2br w:val="nil"/>
              <w:tr2bl w:val="nil"/>
            </w:tcBorders>
            <w:vAlign w:val="center"/>
          </w:tcPr>
          <w:p w14:paraId="489593FA">
            <w:pPr>
              <w:snapToGrid w:val="0"/>
              <w:spacing w:before="0" w:beforeLines="0" w:line="240" w:lineRule="auto"/>
              <w:jc w:val="center"/>
              <w:rPr>
                <w:szCs w:val="21"/>
              </w:rPr>
            </w:pPr>
            <w:r>
              <w:rPr>
                <w:szCs w:val="21"/>
              </w:rPr>
              <w:t>5</w:t>
            </w:r>
          </w:p>
        </w:tc>
        <w:tc>
          <w:tcPr>
            <w:tcW w:w="1632" w:type="pct"/>
            <w:tcBorders>
              <w:tl2br w:val="nil"/>
              <w:tr2bl w:val="nil"/>
            </w:tcBorders>
            <w:vAlign w:val="center"/>
          </w:tcPr>
          <w:p w14:paraId="2D5ABDF4">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0D361535">
            <w:pPr>
              <w:autoSpaceDN w:val="0"/>
              <w:spacing w:before="0" w:beforeLines="0" w:line="240" w:lineRule="auto"/>
              <w:jc w:val="center"/>
              <w:rPr>
                <w:szCs w:val="21"/>
              </w:rPr>
            </w:pPr>
            <w:r>
              <w:rPr>
                <w:szCs w:val="21"/>
              </w:rPr>
              <w:t>μg/kg</w:t>
            </w:r>
          </w:p>
        </w:tc>
      </w:tr>
      <w:tr w14:paraId="05FC6CA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79C42AEE">
            <w:pPr>
              <w:widowControl/>
              <w:snapToGrid w:val="0"/>
              <w:spacing w:before="0" w:beforeLines="0" w:line="240" w:lineRule="auto"/>
              <w:jc w:val="center"/>
              <w:textAlignment w:val="center"/>
              <w:rPr>
                <w:szCs w:val="21"/>
              </w:rPr>
            </w:pPr>
            <w:r>
              <w:rPr>
                <w:spacing w:val="-5"/>
                <w:kern w:val="0"/>
                <w:szCs w:val="21"/>
              </w:rPr>
              <w:t>三氯乙烯</w:t>
            </w:r>
          </w:p>
        </w:tc>
        <w:tc>
          <w:tcPr>
            <w:tcW w:w="854" w:type="pct"/>
            <w:tcBorders>
              <w:tl2br w:val="nil"/>
              <w:tr2bl w:val="nil"/>
            </w:tcBorders>
            <w:vAlign w:val="center"/>
          </w:tcPr>
          <w:p w14:paraId="75AFE9AA">
            <w:pPr>
              <w:snapToGrid w:val="0"/>
              <w:spacing w:before="0" w:beforeLines="0" w:line="240" w:lineRule="auto"/>
              <w:jc w:val="center"/>
              <w:rPr>
                <w:szCs w:val="21"/>
              </w:rPr>
            </w:pPr>
            <w:r>
              <w:rPr>
                <w:szCs w:val="21"/>
              </w:rPr>
              <w:t>2.8</w:t>
            </w:r>
          </w:p>
        </w:tc>
        <w:tc>
          <w:tcPr>
            <w:tcW w:w="1632" w:type="pct"/>
            <w:tcBorders>
              <w:tl2br w:val="nil"/>
              <w:tr2bl w:val="nil"/>
            </w:tcBorders>
            <w:vAlign w:val="center"/>
          </w:tcPr>
          <w:p w14:paraId="78A40CAD">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488734AB">
            <w:pPr>
              <w:autoSpaceDN w:val="0"/>
              <w:spacing w:before="0" w:beforeLines="0" w:line="240" w:lineRule="auto"/>
              <w:jc w:val="center"/>
              <w:rPr>
                <w:szCs w:val="21"/>
              </w:rPr>
            </w:pPr>
            <w:r>
              <w:rPr>
                <w:szCs w:val="21"/>
              </w:rPr>
              <w:t>μg/kg</w:t>
            </w:r>
          </w:p>
        </w:tc>
      </w:tr>
      <w:tr w14:paraId="7E7ED36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3FE0DEB1">
            <w:pPr>
              <w:widowControl/>
              <w:snapToGrid w:val="0"/>
              <w:spacing w:before="0" w:beforeLines="0" w:line="240" w:lineRule="auto"/>
              <w:jc w:val="center"/>
              <w:textAlignment w:val="center"/>
              <w:rPr>
                <w:szCs w:val="21"/>
              </w:rPr>
            </w:pPr>
            <w:r>
              <w:rPr>
                <w:spacing w:val="-5"/>
                <w:kern w:val="0"/>
                <w:szCs w:val="21"/>
              </w:rPr>
              <w:t>1，1，2-三氯乙烷</w:t>
            </w:r>
          </w:p>
        </w:tc>
        <w:tc>
          <w:tcPr>
            <w:tcW w:w="854" w:type="pct"/>
            <w:tcBorders>
              <w:tl2br w:val="nil"/>
              <w:tr2bl w:val="nil"/>
            </w:tcBorders>
            <w:vAlign w:val="center"/>
          </w:tcPr>
          <w:p w14:paraId="30CC0398">
            <w:pPr>
              <w:snapToGrid w:val="0"/>
              <w:spacing w:before="0" w:beforeLines="0" w:line="240" w:lineRule="auto"/>
              <w:jc w:val="center"/>
              <w:rPr>
                <w:szCs w:val="21"/>
              </w:rPr>
            </w:pPr>
            <w:r>
              <w:rPr>
                <w:szCs w:val="21"/>
              </w:rPr>
              <w:t>2.8</w:t>
            </w:r>
          </w:p>
        </w:tc>
        <w:tc>
          <w:tcPr>
            <w:tcW w:w="1632" w:type="pct"/>
            <w:tcBorders>
              <w:tl2br w:val="nil"/>
              <w:tr2bl w:val="nil"/>
            </w:tcBorders>
            <w:vAlign w:val="center"/>
          </w:tcPr>
          <w:p w14:paraId="1DB2A926">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6A0FE2DB">
            <w:pPr>
              <w:autoSpaceDN w:val="0"/>
              <w:spacing w:before="0" w:beforeLines="0" w:line="240" w:lineRule="auto"/>
              <w:jc w:val="center"/>
              <w:rPr>
                <w:szCs w:val="21"/>
              </w:rPr>
            </w:pPr>
            <w:r>
              <w:rPr>
                <w:szCs w:val="21"/>
              </w:rPr>
              <w:t>μg/kg</w:t>
            </w:r>
          </w:p>
        </w:tc>
      </w:tr>
      <w:tr w14:paraId="0902CC2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6281338A">
            <w:pPr>
              <w:widowControl/>
              <w:snapToGrid w:val="0"/>
              <w:spacing w:before="0" w:beforeLines="0" w:line="240" w:lineRule="auto"/>
              <w:jc w:val="center"/>
              <w:textAlignment w:val="center"/>
              <w:rPr>
                <w:szCs w:val="21"/>
              </w:rPr>
            </w:pPr>
            <w:r>
              <w:rPr>
                <w:spacing w:val="-5"/>
                <w:kern w:val="0"/>
                <w:szCs w:val="21"/>
              </w:rPr>
              <w:t>1，1，1，2-四氯乙烷</w:t>
            </w:r>
          </w:p>
        </w:tc>
        <w:tc>
          <w:tcPr>
            <w:tcW w:w="854" w:type="pct"/>
            <w:tcBorders>
              <w:tl2br w:val="nil"/>
              <w:tr2bl w:val="nil"/>
            </w:tcBorders>
            <w:vAlign w:val="center"/>
          </w:tcPr>
          <w:p w14:paraId="11A33198">
            <w:pPr>
              <w:snapToGrid w:val="0"/>
              <w:spacing w:before="0" w:beforeLines="0" w:line="240" w:lineRule="auto"/>
              <w:jc w:val="center"/>
              <w:rPr>
                <w:szCs w:val="21"/>
              </w:rPr>
            </w:pPr>
            <w:r>
              <w:rPr>
                <w:szCs w:val="21"/>
              </w:rPr>
              <w:t>10</w:t>
            </w:r>
          </w:p>
        </w:tc>
        <w:tc>
          <w:tcPr>
            <w:tcW w:w="1632" w:type="pct"/>
            <w:tcBorders>
              <w:tl2br w:val="nil"/>
              <w:tr2bl w:val="nil"/>
            </w:tcBorders>
            <w:vAlign w:val="center"/>
          </w:tcPr>
          <w:p w14:paraId="3CB23C61">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1CC33CDE">
            <w:pPr>
              <w:autoSpaceDN w:val="0"/>
              <w:spacing w:before="0" w:beforeLines="0" w:line="240" w:lineRule="auto"/>
              <w:jc w:val="center"/>
              <w:rPr>
                <w:szCs w:val="21"/>
              </w:rPr>
            </w:pPr>
            <w:r>
              <w:rPr>
                <w:szCs w:val="21"/>
              </w:rPr>
              <w:t>μg/kg</w:t>
            </w:r>
          </w:p>
        </w:tc>
      </w:tr>
      <w:tr w14:paraId="6D73DD7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4B5E6375">
            <w:pPr>
              <w:widowControl/>
              <w:snapToGrid w:val="0"/>
              <w:spacing w:before="0" w:beforeLines="0" w:line="240" w:lineRule="auto"/>
              <w:jc w:val="center"/>
              <w:textAlignment w:val="center"/>
              <w:rPr>
                <w:szCs w:val="21"/>
              </w:rPr>
            </w:pPr>
            <w:r>
              <w:rPr>
                <w:spacing w:val="-5"/>
                <w:kern w:val="0"/>
                <w:szCs w:val="21"/>
              </w:rPr>
              <w:t>氯苯</w:t>
            </w:r>
          </w:p>
        </w:tc>
        <w:tc>
          <w:tcPr>
            <w:tcW w:w="854" w:type="pct"/>
            <w:tcBorders>
              <w:tl2br w:val="nil"/>
              <w:tr2bl w:val="nil"/>
            </w:tcBorders>
            <w:vAlign w:val="center"/>
          </w:tcPr>
          <w:p w14:paraId="7F1A6C4C">
            <w:pPr>
              <w:snapToGrid w:val="0"/>
              <w:spacing w:before="0" w:beforeLines="0" w:line="240" w:lineRule="auto"/>
              <w:jc w:val="center"/>
              <w:rPr>
                <w:szCs w:val="21"/>
              </w:rPr>
            </w:pPr>
            <w:r>
              <w:rPr>
                <w:szCs w:val="21"/>
              </w:rPr>
              <w:t>270</w:t>
            </w:r>
          </w:p>
        </w:tc>
        <w:tc>
          <w:tcPr>
            <w:tcW w:w="1632" w:type="pct"/>
            <w:tcBorders>
              <w:tl2br w:val="nil"/>
              <w:tr2bl w:val="nil"/>
            </w:tcBorders>
            <w:vAlign w:val="center"/>
          </w:tcPr>
          <w:p w14:paraId="33B995EC">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71B95161">
            <w:pPr>
              <w:autoSpaceDN w:val="0"/>
              <w:spacing w:before="0" w:beforeLines="0" w:line="240" w:lineRule="auto"/>
              <w:jc w:val="center"/>
              <w:rPr>
                <w:szCs w:val="21"/>
              </w:rPr>
            </w:pPr>
            <w:r>
              <w:rPr>
                <w:szCs w:val="21"/>
              </w:rPr>
              <w:t>μg/kg</w:t>
            </w:r>
          </w:p>
        </w:tc>
      </w:tr>
      <w:tr w14:paraId="70090EB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1104E9F1">
            <w:pPr>
              <w:widowControl/>
              <w:snapToGrid w:val="0"/>
              <w:spacing w:before="0" w:beforeLines="0" w:line="240" w:lineRule="auto"/>
              <w:jc w:val="center"/>
              <w:textAlignment w:val="center"/>
              <w:rPr>
                <w:szCs w:val="21"/>
              </w:rPr>
            </w:pPr>
            <w:r>
              <w:rPr>
                <w:spacing w:val="-5"/>
                <w:kern w:val="0"/>
                <w:szCs w:val="21"/>
              </w:rPr>
              <w:t>乙苯</w:t>
            </w:r>
          </w:p>
        </w:tc>
        <w:tc>
          <w:tcPr>
            <w:tcW w:w="854" w:type="pct"/>
            <w:tcBorders>
              <w:tl2br w:val="nil"/>
              <w:tr2bl w:val="nil"/>
            </w:tcBorders>
            <w:vAlign w:val="center"/>
          </w:tcPr>
          <w:p w14:paraId="048F7AD3">
            <w:pPr>
              <w:snapToGrid w:val="0"/>
              <w:spacing w:before="0" w:beforeLines="0" w:line="240" w:lineRule="auto"/>
              <w:jc w:val="center"/>
              <w:rPr>
                <w:szCs w:val="21"/>
              </w:rPr>
            </w:pPr>
            <w:r>
              <w:rPr>
                <w:szCs w:val="21"/>
              </w:rPr>
              <w:t>28</w:t>
            </w:r>
          </w:p>
        </w:tc>
        <w:tc>
          <w:tcPr>
            <w:tcW w:w="1632" w:type="pct"/>
            <w:tcBorders>
              <w:tl2br w:val="nil"/>
              <w:tr2bl w:val="nil"/>
            </w:tcBorders>
            <w:vAlign w:val="center"/>
          </w:tcPr>
          <w:p w14:paraId="0F67B3F1">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186EDC60">
            <w:pPr>
              <w:autoSpaceDN w:val="0"/>
              <w:spacing w:before="0" w:beforeLines="0" w:line="240" w:lineRule="auto"/>
              <w:jc w:val="center"/>
              <w:rPr>
                <w:szCs w:val="21"/>
              </w:rPr>
            </w:pPr>
            <w:r>
              <w:rPr>
                <w:szCs w:val="21"/>
              </w:rPr>
              <w:t>μg/kg</w:t>
            </w:r>
          </w:p>
        </w:tc>
      </w:tr>
      <w:tr w14:paraId="53CEAA1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26865308">
            <w:pPr>
              <w:widowControl/>
              <w:snapToGrid w:val="0"/>
              <w:spacing w:before="0" w:beforeLines="0" w:line="240" w:lineRule="auto"/>
              <w:jc w:val="center"/>
              <w:textAlignment w:val="center"/>
              <w:rPr>
                <w:szCs w:val="21"/>
              </w:rPr>
            </w:pPr>
            <w:r>
              <w:rPr>
                <w:spacing w:val="-5"/>
                <w:kern w:val="0"/>
                <w:szCs w:val="21"/>
              </w:rPr>
              <w:t>苯乙烯</w:t>
            </w:r>
          </w:p>
        </w:tc>
        <w:tc>
          <w:tcPr>
            <w:tcW w:w="854" w:type="pct"/>
            <w:tcBorders>
              <w:tl2br w:val="nil"/>
              <w:tr2bl w:val="nil"/>
            </w:tcBorders>
            <w:vAlign w:val="center"/>
          </w:tcPr>
          <w:p w14:paraId="0A2C1793">
            <w:pPr>
              <w:snapToGrid w:val="0"/>
              <w:spacing w:before="0" w:beforeLines="0" w:line="240" w:lineRule="auto"/>
              <w:jc w:val="center"/>
              <w:rPr>
                <w:szCs w:val="21"/>
              </w:rPr>
            </w:pPr>
            <w:r>
              <w:rPr>
                <w:szCs w:val="21"/>
              </w:rPr>
              <w:t>129</w:t>
            </w:r>
          </w:p>
        </w:tc>
        <w:tc>
          <w:tcPr>
            <w:tcW w:w="1632" w:type="pct"/>
            <w:tcBorders>
              <w:tl2br w:val="nil"/>
              <w:tr2bl w:val="nil"/>
            </w:tcBorders>
            <w:vAlign w:val="center"/>
          </w:tcPr>
          <w:p w14:paraId="589128AF">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53D2A9F3">
            <w:pPr>
              <w:autoSpaceDN w:val="0"/>
              <w:spacing w:before="0" w:beforeLines="0" w:line="240" w:lineRule="auto"/>
              <w:jc w:val="center"/>
              <w:rPr>
                <w:szCs w:val="21"/>
              </w:rPr>
            </w:pPr>
            <w:r>
              <w:rPr>
                <w:szCs w:val="21"/>
              </w:rPr>
              <w:t>μg/kg</w:t>
            </w:r>
          </w:p>
        </w:tc>
      </w:tr>
      <w:tr w14:paraId="7575F38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3A6013E4">
            <w:pPr>
              <w:widowControl/>
              <w:snapToGrid w:val="0"/>
              <w:spacing w:before="0" w:beforeLines="0" w:line="240" w:lineRule="auto"/>
              <w:jc w:val="center"/>
              <w:textAlignment w:val="center"/>
              <w:rPr>
                <w:szCs w:val="21"/>
              </w:rPr>
            </w:pPr>
            <w:r>
              <w:rPr>
                <w:spacing w:val="-5"/>
                <w:kern w:val="0"/>
                <w:szCs w:val="21"/>
              </w:rPr>
              <w:t>1，1，2，2-四氯乙烷</w:t>
            </w:r>
          </w:p>
        </w:tc>
        <w:tc>
          <w:tcPr>
            <w:tcW w:w="854" w:type="pct"/>
            <w:tcBorders>
              <w:tl2br w:val="nil"/>
              <w:tr2bl w:val="nil"/>
            </w:tcBorders>
            <w:vAlign w:val="center"/>
          </w:tcPr>
          <w:p w14:paraId="12E7DC03">
            <w:pPr>
              <w:snapToGrid w:val="0"/>
              <w:spacing w:before="0" w:beforeLines="0" w:line="240" w:lineRule="auto"/>
              <w:jc w:val="center"/>
              <w:rPr>
                <w:szCs w:val="21"/>
              </w:rPr>
            </w:pPr>
            <w:r>
              <w:rPr>
                <w:szCs w:val="21"/>
              </w:rPr>
              <w:t>6.8</w:t>
            </w:r>
          </w:p>
        </w:tc>
        <w:tc>
          <w:tcPr>
            <w:tcW w:w="1632" w:type="pct"/>
            <w:tcBorders>
              <w:tl2br w:val="nil"/>
              <w:tr2bl w:val="nil"/>
            </w:tcBorders>
            <w:vAlign w:val="center"/>
          </w:tcPr>
          <w:p w14:paraId="63F00BD2">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0B0261FE">
            <w:pPr>
              <w:autoSpaceDN w:val="0"/>
              <w:spacing w:before="0" w:beforeLines="0" w:line="240" w:lineRule="auto"/>
              <w:jc w:val="center"/>
              <w:rPr>
                <w:szCs w:val="21"/>
              </w:rPr>
            </w:pPr>
            <w:r>
              <w:rPr>
                <w:szCs w:val="21"/>
              </w:rPr>
              <w:t>μg/kg</w:t>
            </w:r>
          </w:p>
        </w:tc>
      </w:tr>
      <w:tr w14:paraId="46F247A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490DAE2F">
            <w:pPr>
              <w:widowControl/>
              <w:snapToGrid w:val="0"/>
              <w:spacing w:before="0" w:beforeLines="0" w:line="240" w:lineRule="auto"/>
              <w:jc w:val="center"/>
              <w:textAlignment w:val="center"/>
              <w:rPr>
                <w:szCs w:val="21"/>
              </w:rPr>
            </w:pPr>
            <w:r>
              <w:rPr>
                <w:spacing w:val="-5"/>
                <w:kern w:val="0"/>
                <w:szCs w:val="21"/>
              </w:rPr>
              <w:t>1，2，3-三氯丙烷</w:t>
            </w:r>
          </w:p>
        </w:tc>
        <w:tc>
          <w:tcPr>
            <w:tcW w:w="854" w:type="pct"/>
            <w:tcBorders>
              <w:tl2br w:val="nil"/>
              <w:tr2bl w:val="nil"/>
            </w:tcBorders>
            <w:vAlign w:val="center"/>
          </w:tcPr>
          <w:p w14:paraId="2CE01705">
            <w:pPr>
              <w:snapToGrid w:val="0"/>
              <w:spacing w:before="0" w:beforeLines="0" w:line="240" w:lineRule="auto"/>
              <w:jc w:val="center"/>
              <w:rPr>
                <w:szCs w:val="21"/>
              </w:rPr>
            </w:pPr>
            <w:r>
              <w:rPr>
                <w:szCs w:val="21"/>
              </w:rPr>
              <w:t>0.5</w:t>
            </w:r>
          </w:p>
        </w:tc>
        <w:tc>
          <w:tcPr>
            <w:tcW w:w="1632" w:type="pct"/>
            <w:tcBorders>
              <w:tl2br w:val="nil"/>
              <w:tr2bl w:val="nil"/>
            </w:tcBorders>
            <w:vAlign w:val="center"/>
          </w:tcPr>
          <w:p w14:paraId="2BDFDB68">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45F0EE49">
            <w:pPr>
              <w:autoSpaceDN w:val="0"/>
              <w:spacing w:before="0" w:beforeLines="0" w:line="240" w:lineRule="auto"/>
              <w:jc w:val="center"/>
              <w:rPr>
                <w:szCs w:val="21"/>
              </w:rPr>
            </w:pPr>
            <w:r>
              <w:rPr>
                <w:szCs w:val="21"/>
              </w:rPr>
              <w:t>μg/kg</w:t>
            </w:r>
          </w:p>
        </w:tc>
      </w:tr>
      <w:tr w14:paraId="7C2F53F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57B2AE8C">
            <w:pPr>
              <w:widowControl/>
              <w:snapToGrid w:val="0"/>
              <w:spacing w:before="0" w:beforeLines="0" w:line="240" w:lineRule="auto"/>
              <w:jc w:val="center"/>
              <w:textAlignment w:val="center"/>
              <w:rPr>
                <w:szCs w:val="21"/>
              </w:rPr>
            </w:pPr>
            <w:r>
              <w:rPr>
                <w:spacing w:val="-5"/>
                <w:kern w:val="0"/>
                <w:szCs w:val="21"/>
              </w:rPr>
              <w:t>1，4-二氯苯</w:t>
            </w:r>
          </w:p>
        </w:tc>
        <w:tc>
          <w:tcPr>
            <w:tcW w:w="854" w:type="pct"/>
            <w:tcBorders>
              <w:tl2br w:val="nil"/>
              <w:tr2bl w:val="nil"/>
            </w:tcBorders>
            <w:vAlign w:val="center"/>
          </w:tcPr>
          <w:p w14:paraId="7CDF2080">
            <w:pPr>
              <w:snapToGrid w:val="0"/>
              <w:spacing w:before="0" w:beforeLines="0" w:line="240" w:lineRule="auto"/>
              <w:jc w:val="center"/>
              <w:rPr>
                <w:szCs w:val="21"/>
              </w:rPr>
            </w:pPr>
            <w:r>
              <w:rPr>
                <w:szCs w:val="21"/>
              </w:rPr>
              <w:t>20</w:t>
            </w:r>
          </w:p>
        </w:tc>
        <w:tc>
          <w:tcPr>
            <w:tcW w:w="1632" w:type="pct"/>
            <w:tcBorders>
              <w:tl2br w:val="nil"/>
              <w:tr2bl w:val="nil"/>
            </w:tcBorders>
            <w:vAlign w:val="center"/>
          </w:tcPr>
          <w:p w14:paraId="16EEC111">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607178AC">
            <w:pPr>
              <w:autoSpaceDN w:val="0"/>
              <w:spacing w:before="0" w:beforeLines="0" w:line="240" w:lineRule="auto"/>
              <w:jc w:val="center"/>
              <w:rPr>
                <w:szCs w:val="21"/>
              </w:rPr>
            </w:pPr>
            <w:r>
              <w:rPr>
                <w:szCs w:val="21"/>
              </w:rPr>
              <w:t>μg/kg</w:t>
            </w:r>
          </w:p>
        </w:tc>
      </w:tr>
      <w:tr w14:paraId="3C8CCE8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3EB54A1A">
            <w:pPr>
              <w:widowControl/>
              <w:snapToGrid w:val="0"/>
              <w:spacing w:before="0" w:beforeLines="0" w:line="240" w:lineRule="auto"/>
              <w:jc w:val="center"/>
              <w:textAlignment w:val="center"/>
              <w:rPr>
                <w:szCs w:val="21"/>
              </w:rPr>
            </w:pPr>
            <w:r>
              <w:rPr>
                <w:spacing w:val="-5"/>
                <w:kern w:val="0"/>
                <w:szCs w:val="21"/>
              </w:rPr>
              <w:t>1，2-二氯苯</w:t>
            </w:r>
          </w:p>
        </w:tc>
        <w:tc>
          <w:tcPr>
            <w:tcW w:w="854" w:type="pct"/>
            <w:tcBorders>
              <w:tl2br w:val="nil"/>
              <w:tr2bl w:val="nil"/>
            </w:tcBorders>
            <w:vAlign w:val="center"/>
          </w:tcPr>
          <w:p w14:paraId="4BE8AEC5">
            <w:pPr>
              <w:snapToGrid w:val="0"/>
              <w:spacing w:before="0" w:beforeLines="0" w:line="240" w:lineRule="auto"/>
              <w:jc w:val="center"/>
              <w:rPr>
                <w:szCs w:val="21"/>
              </w:rPr>
            </w:pPr>
            <w:r>
              <w:rPr>
                <w:szCs w:val="21"/>
              </w:rPr>
              <w:t>560</w:t>
            </w:r>
          </w:p>
        </w:tc>
        <w:tc>
          <w:tcPr>
            <w:tcW w:w="1632" w:type="pct"/>
            <w:tcBorders>
              <w:tl2br w:val="nil"/>
              <w:tr2bl w:val="nil"/>
            </w:tcBorders>
            <w:vAlign w:val="center"/>
          </w:tcPr>
          <w:p w14:paraId="3885A7EA">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7A878882">
            <w:pPr>
              <w:autoSpaceDN w:val="0"/>
              <w:spacing w:before="0" w:beforeLines="0" w:line="240" w:lineRule="auto"/>
              <w:jc w:val="center"/>
              <w:rPr>
                <w:szCs w:val="21"/>
              </w:rPr>
            </w:pPr>
            <w:r>
              <w:rPr>
                <w:szCs w:val="21"/>
              </w:rPr>
              <w:t>μg/kg</w:t>
            </w:r>
          </w:p>
        </w:tc>
      </w:tr>
      <w:tr w14:paraId="7FD99B1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00DBC8B8">
            <w:pPr>
              <w:widowControl/>
              <w:snapToGrid w:val="0"/>
              <w:spacing w:before="0" w:beforeLines="0" w:line="240" w:lineRule="auto"/>
              <w:jc w:val="center"/>
              <w:textAlignment w:val="center"/>
              <w:rPr>
                <w:szCs w:val="21"/>
              </w:rPr>
            </w:pPr>
            <w:r>
              <w:rPr>
                <w:szCs w:val="21"/>
              </w:rPr>
              <w:t>2-氯酚</w:t>
            </w:r>
          </w:p>
        </w:tc>
        <w:tc>
          <w:tcPr>
            <w:tcW w:w="854" w:type="pct"/>
            <w:tcBorders>
              <w:tl2br w:val="nil"/>
              <w:tr2bl w:val="nil"/>
            </w:tcBorders>
            <w:vAlign w:val="center"/>
          </w:tcPr>
          <w:p w14:paraId="0AAFECC0">
            <w:pPr>
              <w:snapToGrid w:val="0"/>
              <w:spacing w:before="0" w:beforeLines="0" w:line="240" w:lineRule="auto"/>
              <w:jc w:val="center"/>
              <w:rPr>
                <w:szCs w:val="21"/>
              </w:rPr>
            </w:pPr>
            <w:r>
              <w:rPr>
                <w:szCs w:val="21"/>
              </w:rPr>
              <w:t>2256</w:t>
            </w:r>
          </w:p>
        </w:tc>
        <w:tc>
          <w:tcPr>
            <w:tcW w:w="1632" w:type="pct"/>
            <w:tcBorders>
              <w:tl2br w:val="nil"/>
              <w:tr2bl w:val="nil"/>
            </w:tcBorders>
            <w:vAlign w:val="center"/>
          </w:tcPr>
          <w:p w14:paraId="1A1A342E">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7A50910D">
            <w:pPr>
              <w:autoSpaceDN w:val="0"/>
              <w:spacing w:before="0" w:beforeLines="0" w:line="240" w:lineRule="auto"/>
              <w:jc w:val="center"/>
              <w:rPr>
                <w:szCs w:val="21"/>
              </w:rPr>
            </w:pPr>
            <w:r>
              <w:rPr>
                <w:szCs w:val="21"/>
              </w:rPr>
              <w:t>mg/kg</w:t>
            </w:r>
          </w:p>
        </w:tc>
      </w:tr>
      <w:tr w14:paraId="3AD6C73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5A1FB139">
            <w:pPr>
              <w:widowControl/>
              <w:snapToGrid w:val="0"/>
              <w:spacing w:before="0" w:beforeLines="0" w:line="240" w:lineRule="auto"/>
              <w:jc w:val="center"/>
              <w:textAlignment w:val="center"/>
              <w:rPr>
                <w:szCs w:val="21"/>
              </w:rPr>
            </w:pPr>
            <w:r>
              <w:rPr>
                <w:spacing w:val="-5"/>
                <w:kern w:val="0"/>
                <w:szCs w:val="21"/>
              </w:rPr>
              <w:t>硝基苯</w:t>
            </w:r>
          </w:p>
        </w:tc>
        <w:tc>
          <w:tcPr>
            <w:tcW w:w="854" w:type="pct"/>
            <w:tcBorders>
              <w:tl2br w:val="nil"/>
              <w:tr2bl w:val="nil"/>
            </w:tcBorders>
            <w:vAlign w:val="center"/>
          </w:tcPr>
          <w:p w14:paraId="0CDEB8E4">
            <w:pPr>
              <w:snapToGrid w:val="0"/>
              <w:spacing w:before="0" w:beforeLines="0" w:line="240" w:lineRule="auto"/>
              <w:jc w:val="center"/>
              <w:rPr>
                <w:szCs w:val="21"/>
              </w:rPr>
            </w:pPr>
            <w:r>
              <w:rPr>
                <w:szCs w:val="21"/>
              </w:rPr>
              <w:t>76</w:t>
            </w:r>
          </w:p>
        </w:tc>
        <w:tc>
          <w:tcPr>
            <w:tcW w:w="1632" w:type="pct"/>
            <w:tcBorders>
              <w:tl2br w:val="nil"/>
              <w:tr2bl w:val="nil"/>
            </w:tcBorders>
            <w:vAlign w:val="center"/>
          </w:tcPr>
          <w:p w14:paraId="5767CCDB">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442AD915">
            <w:pPr>
              <w:autoSpaceDN w:val="0"/>
              <w:spacing w:before="0" w:beforeLines="0" w:line="240" w:lineRule="auto"/>
              <w:jc w:val="center"/>
              <w:rPr>
                <w:szCs w:val="21"/>
              </w:rPr>
            </w:pPr>
            <w:r>
              <w:rPr>
                <w:szCs w:val="21"/>
              </w:rPr>
              <w:t>mg/kg</w:t>
            </w:r>
          </w:p>
        </w:tc>
      </w:tr>
      <w:tr w14:paraId="6D2285A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5CA50828">
            <w:pPr>
              <w:widowControl/>
              <w:snapToGrid w:val="0"/>
              <w:spacing w:before="0" w:beforeLines="0" w:line="240" w:lineRule="auto"/>
              <w:jc w:val="center"/>
              <w:textAlignment w:val="center"/>
              <w:rPr>
                <w:szCs w:val="21"/>
              </w:rPr>
            </w:pPr>
            <w:r>
              <w:rPr>
                <w:spacing w:val="-5"/>
                <w:kern w:val="0"/>
                <w:szCs w:val="21"/>
              </w:rPr>
              <w:t>萘</w:t>
            </w:r>
          </w:p>
        </w:tc>
        <w:tc>
          <w:tcPr>
            <w:tcW w:w="854" w:type="pct"/>
            <w:tcBorders>
              <w:tl2br w:val="nil"/>
              <w:tr2bl w:val="nil"/>
            </w:tcBorders>
            <w:vAlign w:val="center"/>
          </w:tcPr>
          <w:p w14:paraId="4236C072">
            <w:pPr>
              <w:snapToGrid w:val="0"/>
              <w:spacing w:before="0" w:beforeLines="0" w:line="240" w:lineRule="auto"/>
              <w:jc w:val="center"/>
              <w:rPr>
                <w:szCs w:val="21"/>
              </w:rPr>
            </w:pPr>
            <w:r>
              <w:rPr>
                <w:szCs w:val="21"/>
              </w:rPr>
              <w:t>70</w:t>
            </w:r>
          </w:p>
        </w:tc>
        <w:tc>
          <w:tcPr>
            <w:tcW w:w="1632" w:type="pct"/>
            <w:tcBorders>
              <w:tl2br w:val="nil"/>
              <w:tr2bl w:val="nil"/>
            </w:tcBorders>
            <w:vAlign w:val="center"/>
          </w:tcPr>
          <w:p w14:paraId="4981AE0E">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0EFF245C">
            <w:pPr>
              <w:autoSpaceDN w:val="0"/>
              <w:spacing w:before="0" w:beforeLines="0" w:line="240" w:lineRule="auto"/>
              <w:jc w:val="center"/>
              <w:rPr>
                <w:szCs w:val="21"/>
              </w:rPr>
            </w:pPr>
            <w:r>
              <w:rPr>
                <w:szCs w:val="21"/>
              </w:rPr>
              <w:t>mg/kg</w:t>
            </w:r>
          </w:p>
        </w:tc>
      </w:tr>
      <w:tr w14:paraId="3F2DCDF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606E6CA0">
            <w:pPr>
              <w:widowControl/>
              <w:snapToGrid w:val="0"/>
              <w:spacing w:before="0" w:beforeLines="0" w:line="240" w:lineRule="auto"/>
              <w:jc w:val="center"/>
              <w:textAlignment w:val="center"/>
              <w:rPr>
                <w:szCs w:val="21"/>
              </w:rPr>
            </w:pPr>
            <w:r>
              <w:rPr>
                <w:spacing w:val="-5"/>
                <w:kern w:val="0"/>
                <w:szCs w:val="21"/>
              </w:rPr>
              <w:t>苯并［a］蒽</w:t>
            </w:r>
          </w:p>
        </w:tc>
        <w:tc>
          <w:tcPr>
            <w:tcW w:w="854" w:type="pct"/>
            <w:tcBorders>
              <w:tl2br w:val="nil"/>
              <w:tr2bl w:val="nil"/>
            </w:tcBorders>
            <w:vAlign w:val="center"/>
          </w:tcPr>
          <w:p w14:paraId="074A13DD">
            <w:pPr>
              <w:snapToGrid w:val="0"/>
              <w:spacing w:before="0" w:beforeLines="0" w:line="240" w:lineRule="auto"/>
              <w:jc w:val="center"/>
              <w:rPr>
                <w:szCs w:val="21"/>
              </w:rPr>
            </w:pPr>
            <w:r>
              <w:rPr>
                <w:szCs w:val="21"/>
              </w:rPr>
              <w:t>15</w:t>
            </w:r>
          </w:p>
        </w:tc>
        <w:tc>
          <w:tcPr>
            <w:tcW w:w="1632" w:type="pct"/>
            <w:tcBorders>
              <w:tl2br w:val="nil"/>
              <w:tr2bl w:val="nil"/>
            </w:tcBorders>
            <w:vAlign w:val="center"/>
          </w:tcPr>
          <w:p w14:paraId="3FE8C1AD">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5F5AF31F">
            <w:pPr>
              <w:autoSpaceDN w:val="0"/>
              <w:spacing w:before="0" w:beforeLines="0" w:line="240" w:lineRule="auto"/>
              <w:jc w:val="center"/>
              <w:rPr>
                <w:szCs w:val="21"/>
              </w:rPr>
            </w:pPr>
            <w:r>
              <w:rPr>
                <w:szCs w:val="21"/>
              </w:rPr>
              <w:t>mg/kg</w:t>
            </w:r>
          </w:p>
        </w:tc>
      </w:tr>
      <w:tr w14:paraId="69D4E44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5B437789">
            <w:pPr>
              <w:widowControl/>
              <w:snapToGrid w:val="0"/>
              <w:spacing w:before="0" w:beforeLines="0" w:line="240" w:lineRule="auto"/>
              <w:jc w:val="center"/>
              <w:textAlignment w:val="center"/>
              <w:rPr>
                <w:szCs w:val="21"/>
              </w:rPr>
            </w:pPr>
            <w:r>
              <w:rPr>
                <w:spacing w:val="-5"/>
                <w:kern w:val="0"/>
                <w:szCs w:val="21"/>
              </w:rPr>
              <w:t>䓛</w:t>
            </w:r>
          </w:p>
        </w:tc>
        <w:tc>
          <w:tcPr>
            <w:tcW w:w="854" w:type="pct"/>
            <w:tcBorders>
              <w:tl2br w:val="nil"/>
              <w:tr2bl w:val="nil"/>
            </w:tcBorders>
            <w:vAlign w:val="center"/>
          </w:tcPr>
          <w:p w14:paraId="464DB7CF">
            <w:pPr>
              <w:snapToGrid w:val="0"/>
              <w:spacing w:before="0" w:beforeLines="0" w:line="240" w:lineRule="auto"/>
              <w:jc w:val="center"/>
              <w:rPr>
                <w:szCs w:val="21"/>
              </w:rPr>
            </w:pPr>
            <w:r>
              <w:rPr>
                <w:szCs w:val="21"/>
              </w:rPr>
              <w:t>1293</w:t>
            </w:r>
          </w:p>
        </w:tc>
        <w:tc>
          <w:tcPr>
            <w:tcW w:w="1632" w:type="pct"/>
            <w:tcBorders>
              <w:tl2br w:val="nil"/>
              <w:tr2bl w:val="nil"/>
            </w:tcBorders>
            <w:vAlign w:val="center"/>
          </w:tcPr>
          <w:p w14:paraId="2E914F66">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179FD5AC">
            <w:pPr>
              <w:autoSpaceDN w:val="0"/>
              <w:spacing w:before="0" w:beforeLines="0" w:line="240" w:lineRule="auto"/>
              <w:jc w:val="center"/>
              <w:rPr>
                <w:szCs w:val="21"/>
              </w:rPr>
            </w:pPr>
            <w:r>
              <w:rPr>
                <w:szCs w:val="21"/>
              </w:rPr>
              <w:t>mg/kg</w:t>
            </w:r>
          </w:p>
        </w:tc>
      </w:tr>
      <w:tr w14:paraId="02F3BB2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27455101">
            <w:pPr>
              <w:widowControl/>
              <w:snapToGrid w:val="0"/>
              <w:spacing w:before="0" w:beforeLines="0" w:line="240" w:lineRule="auto"/>
              <w:jc w:val="center"/>
              <w:textAlignment w:val="center"/>
              <w:rPr>
                <w:szCs w:val="21"/>
              </w:rPr>
            </w:pPr>
            <w:r>
              <w:rPr>
                <w:spacing w:val="-5"/>
                <w:kern w:val="0"/>
                <w:szCs w:val="21"/>
              </w:rPr>
              <w:t>苯并［b］荧蒽</w:t>
            </w:r>
          </w:p>
        </w:tc>
        <w:tc>
          <w:tcPr>
            <w:tcW w:w="854" w:type="pct"/>
            <w:tcBorders>
              <w:tl2br w:val="nil"/>
              <w:tr2bl w:val="nil"/>
            </w:tcBorders>
            <w:vAlign w:val="center"/>
          </w:tcPr>
          <w:p w14:paraId="29416077">
            <w:pPr>
              <w:snapToGrid w:val="0"/>
              <w:spacing w:before="0" w:beforeLines="0" w:line="240" w:lineRule="auto"/>
              <w:jc w:val="center"/>
              <w:rPr>
                <w:szCs w:val="21"/>
              </w:rPr>
            </w:pPr>
            <w:r>
              <w:rPr>
                <w:szCs w:val="21"/>
              </w:rPr>
              <w:t>15</w:t>
            </w:r>
          </w:p>
        </w:tc>
        <w:tc>
          <w:tcPr>
            <w:tcW w:w="1632" w:type="pct"/>
            <w:tcBorders>
              <w:tl2br w:val="nil"/>
              <w:tr2bl w:val="nil"/>
            </w:tcBorders>
            <w:vAlign w:val="center"/>
          </w:tcPr>
          <w:p w14:paraId="4C1E8B8C">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4ADC5D4A">
            <w:pPr>
              <w:autoSpaceDN w:val="0"/>
              <w:spacing w:before="0" w:beforeLines="0" w:line="240" w:lineRule="auto"/>
              <w:jc w:val="center"/>
              <w:rPr>
                <w:szCs w:val="21"/>
              </w:rPr>
            </w:pPr>
            <w:r>
              <w:rPr>
                <w:szCs w:val="21"/>
              </w:rPr>
              <w:t>mg/kg</w:t>
            </w:r>
          </w:p>
        </w:tc>
      </w:tr>
      <w:tr w14:paraId="682E74A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5B5F5D6C">
            <w:pPr>
              <w:widowControl/>
              <w:snapToGrid w:val="0"/>
              <w:spacing w:before="0" w:beforeLines="0" w:line="240" w:lineRule="auto"/>
              <w:jc w:val="center"/>
              <w:textAlignment w:val="center"/>
              <w:rPr>
                <w:szCs w:val="21"/>
              </w:rPr>
            </w:pPr>
            <w:r>
              <w:rPr>
                <w:spacing w:val="-5"/>
                <w:kern w:val="0"/>
                <w:szCs w:val="21"/>
              </w:rPr>
              <w:t>苯并［k］荧蒽</w:t>
            </w:r>
          </w:p>
        </w:tc>
        <w:tc>
          <w:tcPr>
            <w:tcW w:w="854" w:type="pct"/>
            <w:tcBorders>
              <w:tl2br w:val="nil"/>
              <w:tr2bl w:val="nil"/>
            </w:tcBorders>
            <w:vAlign w:val="center"/>
          </w:tcPr>
          <w:p w14:paraId="748FD00D">
            <w:pPr>
              <w:snapToGrid w:val="0"/>
              <w:spacing w:before="0" w:beforeLines="0" w:line="240" w:lineRule="auto"/>
              <w:jc w:val="center"/>
              <w:rPr>
                <w:szCs w:val="21"/>
              </w:rPr>
            </w:pPr>
            <w:r>
              <w:rPr>
                <w:szCs w:val="21"/>
              </w:rPr>
              <w:t>151</w:t>
            </w:r>
          </w:p>
        </w:tc>
        <w:tc>
          <w:tcPr>
            <w:tcW w:w="1632" w:type="pct"/>
            <w:tcBorders>
              <w:tl2br w:val="nil"/>
              <w:tr2bl w:val="nil"/>
            </w:tcBorders>
            <w:vAlign w:val="center"/>
          </w:tcPr>
          <w:p w14:paraId="4C2D6F12">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060AD232">
            <w:pPr>
              <w:autoSpaceDN w:val="0"/>
              <w:spacing w:before="0" w:beforeLines="0" w:line="240" w:lineRule="auto"/>
              <w:jc w:val="center"/>
              <w:rPr>
                <w:szCs w:val="21"/>
              </w:rPr>
            </w:pPr>
            <w:r>
              <w:rPr>
                <w:szCs w:val="21"/>
              </w:rPr>
              <w:t>mg/kg</w:t>
            </w:r>
          </w:p>
        </w:tc>
      </w:tr>
      <w:tr w14:paraId="53828D8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593EC047">
            <w:pPr>
              <w:widowControl/>
              <w:snapToGrid w:val="0"/>
              <w:spacing w:before="0" w:beforeLines="0" w:line="240" w:lineRule="auto"/>
              <w:jc w:val="center"/>
              <w:textAlignment w:val="center"/>
              <w:rPr>
                <w:szCs w:val="21"/>
              </w:rPr>
            </w:pPr>
            <w:r>
              <w:rPr>
                <w:spacing w:val="-5"/>
                <w:kern w:val="0"/>
                <w:szCs w:val="21"/>
              </w:rPr>
              <w:t>苯并［a］芘</w:t>
            </w:r>
          </w:p>
        </w:tc>
        <w:tc>
          <w:tcPr>
            <w:tcW w:w="854" w:type="pct"/>
            <w:tcBorders>
              <w:tl2br w:val="nil"/>
              <w:tr2bl w:val="nil"/>
            </w:tcBorders>
            <w:vAlign w:val="center"/>
          </w:tcPr>
          <w:p w14:paraId="57633CCF">
            <w:pPr>
              <w:snapToGrid w:val="0"/>
              <w:spacing w:before="0" w:beforeLines="0" w:line="240" w:lineRule="auto"/>
              <w:jc w:val="center"/>
              <w:rPr>
                <w:szCs w:val="21"/>
              </w:rPr>
            </w:pPr>
            <w:r>
              <w:rPr>
                <w:szCs w:val="21"/>
              </w:rPr>
              <w:t>1.5</w:t>
            </w:r>
          </w:p>
        </w:tc>
        <w:tc>
          <w:tcPr>
            <w:tcW w:w="1632" w:type="pct"/>
            <w:tcBorders>
              <w:tl2br w:val="nil"/>
              <w:tr2bl w:val="nil"/>
            </w:tcBorders>
            <w:vAlign w:val="center"/>
          </w:tcPr>
          <w:p w14:paraId="1520A2F3">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2017FE46">
            <w:pPr>
              <w:autoSpaceDN w:val="0"/>
              <w:spacing w:before="0" w:beforeLines="0" w:line="240" w:lineRule="auto"/>
              <w:jc w:val="center"/>
              <w:rPr>
                <w:szCs w:val="21"/>
              </w:rPr>
            </w:pPr>
            <w:r>
              <w:rPr>
                <w:szCs w:val="21"/>
              </w:rPr>
              <w:t>mg/kg</w:t>
            </w:r>
          </w:p>
        </w:tc>
      </w:tr>
      <w:tr w14:paraId="1EC9578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527C8CE5">
            <w:pPr>
              <w:widowControl/>
              <w:snapToGrid w:val="0"/>
              <w:spacing w:before="0" w:beforeLines="0" w:line="240" w:lineRule="auto"/>
              <w:jc w:val="center"/>
              <w:textAlignment w:val="center"/>
              <w:rPr>
                <w:szCs w:val="21"/>
              </w:rPr>
            </w:pPr>
            <w:r>
              <w:rPr>
                <w:spacing w:val="-5"/>
                <w:kern w:val="0"/>
                <w:szCs w:val="21"/>
              </w:rPr>
              <w:t>茚并［1，2，3-cd］芘</w:t>
            </w:r>
          </w:p>
        </w:tc>
        <w:tc>
          <w:tcPr>
            <w:tcW w:w="854" w:type="pct"/>
            <w:tcBorders>
              <w:tl2br w:val="nil"/>
              <w:tr2bl w:val="nil"/>
            </w:tcBorders>
            <w:vAlign w:val="center"/>
          </w:tcPr>
          <w:p w14:paraId="0F361C03">
            <w:pPr>
              <w:snapToGrid w:val="0"/>
              <w:spacing w:before="0" w:beforeLines="0" w:line="240" w:lineRule="auto"/>
              <w:jc w:val="center"/>
              <w:rPr>
                <w:szCs w:val="21"/>
              </w:rPr>
            </w:pPr>
            <w:r>
              <w:rPr>
                <w:szCs w:val="21"/>
              </w:rPr>
              <w:t>15</w:t>
            </w:r>
          </w:p>
        </w:tc>
        <w:tc>
          <w:tcPr>
            <w:tcW w:w="1632" w:type="pct"/>
            <w:tcBorders>
              <w:tl2br w:val="nil"/>
              <w:tr2bl w:val="nil"/>
            </w:tcBorders>
            <w:vAlign w:val="center"/>
          </w:tcPr>
          <w:p w14:paraId="29DD6B5E">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2E6CCB8B">
            <w:pPr>
              <w:autoSpaceDN w:val="0"/>
              <w:spacing w:before="0" w:beforeLines="0" w:line="240" w:lineRule="auto"/>
              <w:jc w:val="center"/>
              <w:rPr>
                <w:szCs w:val="21"/>
              </w:rPr>
            </w:pPr>
            <w:r>
              <w:rPr>
                <w:szCs w:val="21"/>
              </w:rPr>
              <w:t>mg/kg</w:t>
            </w:r>
          </w:p>
        </w:tc>
      </w:tr>
      <w:tr w14:paraId="245747D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2D2FD38D">
            <w:pPr>
              <w:widowControl/>
              <w:snapToGrid w:val="0"/>
              <w:spacing w:before="0" w:beforeLines="0" w:line="240" w:lineRule="auto"/>
              <w:jc w:val="center"/>
              <w:textAlignment w:val="center"/>
              <w:rPr>
                <w:szCs w:val="21"/>
              </w:rPr>
            </w:pPr>
            <w:r>
              <w:rPr>
                <w:spacing w:val="-5"/>
                <w:kern w:val="0"/>
                <w:szCs w:val="21"/>
              </w:rPr>
              <w:t>二苯并［a，h］蒽</w:t>
            </w:r>
          </w:p>
        </w:tc>
        <w:tc>
          <w:tcPr>
            <w:tcW w:w="854" w:type="pct"/>
            <w:tcBorders>
              <w:tl2br w:val="nil"/>
              <w:tr2bl w:val="nil"/>
            </w:tcBorders>
            <w:vAlign w:val="center"/>
          </w:tcPr>
          <w:p w14:paraId="1ED38537">
            <w:pPr>
              <w:snapToGrid w:val="0"/>
              <w:spacing w:before="0" w:beforeLines="0" w:line="240" w:lineRule="auto"/>
              <w:jc w:val="center"/>
              <w:rPr>
                <w:szCs w:val="21"/>
              </w:rPr>
            </w:pPr>
            <w:r>
              <w:rPr>
                <w:szCs w:val="21"/>
              </w:rPr>
              <w:t>1.5</w:t>
            </w:r>
          </w:p>
        </w:tc>
        <w:tc>
          <w:tcPr>
            <w:tcW w:w="1632" w:type="pct"/>
            <w:tcBorders>
              <w:tl2br w:val="nil"/>
              <w:tr2bl w:val="nil"/>
            </w:tcBorders>
            <w:vAlign w:val="center"/>
          </w:tcPr>
          <w:p w14:paraId="33AA6347">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2AAF5B88">
            <w:pPr>
              <w:autoSpaceDN w:val="0"/>
              <w:spacing w:before="0" w:beforeLines="0" w:line="240" w:lineRule="auto"/>
              <w:jc w:val="center"/>
              <w:rPr>
                <w:szCs w:val="21"/>
              </w:rPr>
            </w:pPr>
            <w:r>
              <w:rPr>
                <w:szCs w:val="21"/>
              </w:rPr>
              <w:t>mg/kg</w:t>
            </w:r>
          </w:p>
        </w:tc>
      </w:tr>
      <w:tr w14:paraId="05BB986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436C28B2">
            <w:pPr>
              <w:snapToGrid w:val="0"/>
              <w:spacing w:before="0" w:beforeLines="0" w:line="240" w:lineRule="auto"/>
              <w:jc w:val="center"/>
              <w:rPr>
                <w:szCs w:val="21"/>
              </w:rPr>
            </w:pPr>
            <w:r>
              <w:rPr>
                <w:szCs w:val="21"/>
              </w:rPr>
              <w:t>苯胺</w:t>
            </w:r>
          </w:p>
        </w:tc>
        <w:tc>
          <w:tcPr>
            <w:tcW w:w="854" w:type="pct"/>
            <w:tcBorders>
              <w:tl2br w:val="nil"/>
              <w:tr2bl w:val="nil"/>
            </w:tcBorders>
            <w:vAlign w:val="center"/>
          </w:tcPr>
          <w:p w14:paraId="27621ED7">
            <w:pPr>
              <w:snapToGrid w:val="0"/>
              <w:spacing w:before="0" w:beforeLines="0" w:line="240" w:lineRule="auto"/>
              <w:jc w:val="center"/>
              <w:rPr>
                <w:szCs w:val="21"/>
              </w:rPr>
            </w:pPr>
            <w:r>
              <w:rPr>
                <w:szCs w:val="21"/>
              </w:rPr>
              <w:t>260</w:t>
            </w:r>
          </w:p>
        </w:tc>
        <w:tc>
          <w:tcPr>
            <w:tcW w:w="1632" w:type="pct"/>
            <w:tcBorders>
              <w:tl2br w:val="nil"/>
              <w:tr2bl w:val="nil"/>
            </w:tcBorders>
            <w:vAlign w:val="center"/>
          </w:tcPr>
          <w:p w14:paraId="7A45E057">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65BC5952">
            <w:pPr>
              <w:autoSpaceDN w:val="0"/>
              <w:spacing w:before="0" w:beforeLines="0" w:line="240" w:lineRule="auto"/>
              <w:jc w:val="center"/>
              <w:rPr>
                <w:szCs w:val="21"/>
              </w:rPr>
            </w:pPr>
            <w:r>
              <w:rPr>
                <w:szCs w:val="21"/>
              </w:rPr>
              <w:t>mg/kg</w:t>
            </w:r>
          </w:p>
        </w:tc>
      </w:tr>
      <w:tr w14:paraId="204DAE6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08D25354">
            <w:pPr>
              <w:autoSpaceDN w:val="0"/>
              <w:spacing w:before="0" w:beforeLines="0" w:line="240" w:lineRule="auto"/>
              <w:jc w:val="center"/>
              <w:rPr>
                <w:szCs w:val="21"/>
              </w:rPr>
            </w:pPr>
            <w:r>
              <w:rPr>
                <w:szCs w:val="21"/>
              </w:rPr>
              <w:t>石油烃（C</w:t>
            </w:r>
            <w:r>
              <w:rPr>
                <w:szCs w:val="21"/>
                <w:vertAlign w:val="subscript"/>
              </w:rPr>
              <w:t>10</w:t>
            </w:r>
            <w:r>
              <w:rPr>
                <w:szCs w:val="21"/>
              </w:rPr>
              <w:t>-C</w:t>
            </w:r>
            <w:r>
              <w:rPr>
                <w:szCs w:val="21"/>
                <w:vertAlign w:val="subscript"/>
              </w:rPr>
              <w:t>40</w:t>
            </w:r>
            <w:r>
              <w:rPr>
                <w:szCs w:val="21"/>
              </w:rPr>
              <w:t>）</w:t>
            </w:r>
          </w:p>
        </w:tc>
        <w:tc>
          <w:tcPr>
            <w:tcW w:w="854" w:type="pct"/>
            <w:tcBorders>
              <w:tl2br w:val="nil"/>
              <w:tr2bl w:val="nil"/>
            </w:tcBorders>
            <w:vAlign w:val="center"/>
          </w:tcPr>
          <w:p w14:paraId="07D381EE">
            <w:pPr>
              <w:autoSpaceDN w:val="0"/>
              <w:spacing w:before="0" w:beforeLines="0" w:line="240" w:lineRule="auto"/>
              <w:jc w:val="center"/>
              <w:rPr>
                <w:szCs w:val="21"/>
              </w:rPr>
            </w:pPr>
            <w:r>
              <w:rPr>
                <w:szCs w:val="21"/>
              </w:rPr>
              <w:t>4500</w:t>
            </w:r>
          </w:p>
        </w:tc>
        <w:tc>
          <w:tcPr>
            <w:tcW w:w="1632" w:type="pct"/>
            <w:tcBorders>
              <w:tl2br w:val="nil"/>
              <w:tr2bl w:val="nil"/>
            </w:tcBorders>
            <w:vAlign w:val="center"/>
          </w:tcPr>
          <w:p w14:paraId="582C34B7">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14:paraId="32EF4598">
            <w:pPr>
              <w:autoSpaceDN w:val="0"/>
              <w:spacing w:before="0" w:beforeLines="0" w:line="240" w:lineRule="auto"/>
              <w:jc w:val="center"/>
              <w:textAlignment w:val="center"/>
              <w:rPr>
                <w:szCs w:val="21"/>
              </w:rPr>
            </w:pPr>
            <w:r>
              <w:rPr>
                <w:kern w:val="0"/>
                <w:szCs w:val="21"/>
                <w:lang w:bidi="ar"/>
              </w:rPr>
              <w:t>mg/kg</w:t>
            </w:r>
          </w:p>
        </w:tc>
      </w:tr>
      <w:tr w14:paraId="4DAC02A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5F27E175">
            <w:pPr>
              <w:autoSpaceDN w:val="0"/>
              <w:spacing w:before="0" w:beforeLines="0" w:line="240" w:lineRule="auto"/>
              <w:jc w:val="center"/>
              <w:rPr>
                <w:szCs w:val="21"/>
              </w:rPr>
            </w:pPr>
            <w:r>
              <w:rPr>
                <w:szCs w:val="21"/>
              </w:rPr>
              <w:t>pH</w:t>
            </w:r>
          </w:p>
        </w:tc>
        <w:tc>
          <w:tcPr>
            <w:tcW w:w="854" w:type="pct"/>
            <w:tcBorders>
              <w:tl2br w:val="nil"/>
              <w:tr2bl w:val="nil"/>
            </w:tcBorders>
            <w:vAlign w:val="center"/>
          </w:tcPr>
          <w:p w14:paraId="18012903">
            <w:pPr>
              <w:autoSpaceDN w:val="0"/>
              <w:spacing w:before="0" w:beforeLines="0" w:line="240" w:lineRule="auto"/>
              <w:jc w:val="center"/>
              <w:rPr>
                <w:szCs w:val="21"/>
              </w:rPr>
            </w:pPr>
            <w:r>
              <w:rPr>
                <w:szCs w:val="21"/>
              </w:rPr>
              <w:t>/</w:t>
            </w:r>
          </w:p>
        </w:tc>
        <w:tc>
          <w:tcPr>
            <w:tcW w:w="1632" w:type="pct"/>
            <w:tcBorders>
              <w:tl2br w:val="nil"/>
              <w:tr2bl w:val="nil"/>
            </w:tcBorders>
            <w:vAlign w:val="center"/>
          </w:tcPr>
          <w:p w14:paraId="7F8F13F4">
            <w:pPr>
              <w:autoSpaceDN w:val="0"/>
              <w:spacing w:before="0" w:beforeLines="0" w:line="240" w:lineRule="auto"/>
              <w:jc w:val="center"/>
              <w:rPr>
                <w:szCs w:val="21"/>
              </w:rPr>
            </w:pPr>
            <w:r>
              <w:rPr>
                <w:szCs w:val="21"/>
              </w:rPr>
              <w:t>8.64</w:t>
            </w:r>
          </w:p>
        </w:tc>
        <w:tc>
          <w:tcPr>
            <w:tcW w:w="740" w:type="pct"/>
            <w:tcBorders>
              <w:tl2br w:val="nil"/>
              <w:tr2bl w:val="nil"/>
            </w:tcBorders>
            <w:vAlign w:val="center"/>
          </w:tcPr>
          <w:p w14:paraId="2EFD7CDD">
            <w:pPr>
              <w:autoSpaceDN w:val="0"/>
              <w:spacing w:before="0" w:beforeLines="0" w:line="240" w:lineRule="auto"/>
              <w:jc w:val="center"/>
              <w:rPr>
                <w:szCs w:val="21"/>
              </w:rPr>
            </w:pPr>
            <w:r>
              <w:rPr>
                <w:szCs w:val="21"/>
              </w:rPr>
              <w:t>无量纲</w:t>
            </w:r>
          </w:p>
        </w:tc>
      </w:tr>
      <w:tr w14:paraId="5E660C8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5AED93E2">
            <w:pPr>
              <w:adjustRightInd w:val="0"/>
              <w:snapToGrid w:val="0"/>
              <w:spacing w:before="0" w:beforeLines="0" w:line="240" w:lineRule="auto"/>
              <w:jc w:val="center"/>
              <w:rPr>
                <w:szCs w:val="21"/>
              </w:rPr>
            </w:pPr>
            <w:r>
              <w:rPr>
                <w:szCs w:val="21"/>
              </w:rPr>
              <w:t>阳离子交换量</w:t>
            </w:r>
          </w:p>
        </w:tc>
        <w:tc>
          <w:tcPr>
            <w:tcW w:w="854" w:type="pct"/>
            <w:tcBorders>
              <w:tl2br w:val="nil"/>
              <w:tr2bl w:val="nil"/>
            </w:tcBorders>
            <w:vAlign w:val="center"/>
          </w:tcPr>
          <w:p w14:paraId="674F242F">
            <w:pPr>
              <w:adjustRightInd w:val="0"/>
              <w:snapToGrid w:val="0"/>
              <w:spacing w:before="0" w:beforeLines="0" w:line="240" w:lineRule="auto"/>
              <w:jc w:val="center"/>
              <w:rPr>
                <w:szCs w:val="21"/>
              </w:rPr>
            </w:pPr>
            <w:r>
              <w:rPr>
                <w:szCs w:val="21"/>
              </w:rPr>
              <w:t>/</w:t>
            </w:r>
          </w:p>
        </w:tc>
        <w:tc>
          <w:tcPr>
            <w:tcW w:w="1632" w:type="pct"/>
            <w:tcBorders>
              <w:tl2br w:val="nil"/>
              <w:tr2bl w:val="nil"/>
            </w:tcBorders>
            <w:vAlign w:val="center"/>
          </w:tcPr>
          <w:p w14:paraId="622C0C2B">
            <w:pPr>
              <w:widowControl/>
              <w:spacing w:before="0" w:beforeLines="0" w:line="240" w:lineRule="auto"/>
              <w:jc w:val="center"/>
              <w:textAlignment w:val="center"/>
              <w:rPr>
                <w:kern w:val="0"/>
                <w:szCs w:val="21"/>
                <w:lang w:bidi="ar"/>
              </w:rPr>
            </w:pPr>
            <w:r>
              <w:rPr>
                <w:kern w:val="0"/>
                <w:szCs w:val="21"/>
                <w:lang w:bidi="ar"/>
              </w:rPr>
              <w:t>11.4</w:t>
            </w:r>
          </w:p>
        </w:tc>
        <w:tc>
          <w:tcPr>
            <w:tcW w:w="740" w:type="pct"/>
            <w:tcBorders>
              <w:tl2br w:val="nil"/>
              <w:tr2bl w:val="nil"/>
            </w:tcBorders>
            <w:vAlign w:val="center"/>
          </w:tcPr>
          <w:p w14:paraId="4EDBB971">
            <w:pPr>
              <w:widowControl/>
              <w:spacing w:before="0" w:beforeLines="0" w:line="240" w:lineRule="auto"/>
              <w:jc w:val="center"/>
              <w:textAlignment w:val="center"/>
              <w:rPr>
                <w:kern w:val="0"/>
                <w:szCs w:val="21"/>
                <w:lang w:bidi="ar"/>
              </w:rPr>
            </w:pPr>
            <w:r>
              <w:rPr>
                <w:kern w:val="0"/>
                <w:szCs w:val="21"/>
                <w:lang w:bidi="ar"/>
              </w:rPr>
              <w:t>cmol</w:t>
            </w:r>
            <w:r>
              <w:rPr>
                <w:kern w:val="0"/>
                <w:szCs w:val="21"/>
                <w:vertAlign w:val="superscript"/>
                <w:lang w:bidi="ar"/>
              </w:rPr>
              <w:t>+</w:t>
            </w:r>
            <w:r>
              <w:rPr>
                <w:kern w:val="0"/>
                <w:szCs w:val="21"/>
                <w:lang w:bidi="ar"/>
              </w:rPr>
              <w:t>/kg</w:t>
            </w:r>
          </w:p>
        </w:tc>
      </w:tr>
      <w:tr w14:paraId="431867D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0BFA6C49">
            <w:pPr>
              <w:autoSpaceDN w:val="0"/>
              <w:spacing w:before="0" w:beforeLines="0" w:line="240" w:lineRule="auto"/>
              <w:jc w:val="center"/>
              <w:textAlignment w:val="center"/>
              <w:rPr>
                <w:szCs w:val="21"/>
              </w:rPr>
            </w:pPr>
            <w:r>
              <w:rPr>
                <w:szCs w:val="21"/>
              </w:rPr>
              <w:t>氧化还原电位</w:t>
            </w:r>
          </w:p>
        </w:tc>
        <w:tc>
          <w:tcPr>
            <w:tcW w:w="854" w:type="pct"/>
            <w:tcBorders>
              <w:tl2br w:val="nil"/>
              <w:tr2bl w:val="nil"/>
            </w:tcBorders>
            <w:vAlign w:val="center"/>
          </w:tcPr>
          <w:p w14:paraId="2118E192">
            <w:pPr>
              <w:autoSpaceDN w:val="0"/>
              <w:spacing w:before="0" w:beforeLines="0" w:line="240" w:lineRule="auto"/>
              <w:jc w:val="center"/>
              <w:textAlignment w:val="center"/>
              <w:rPr>
                <w:szCs w:val="21"/>
              </w:rPr>
            </w:pPr>
            <w:r>
              <w:rPr>
                <w:szCs w:val="21"/>
              </w:rPr>
              <w:t>/</w:t>
            </w:r>
          </w:p>
        </w:tc>
        <w:tc>
          <w:tcPr>
            <w:tcW w:w="1632" w:type="pct"/>
            <w:tcBorders>
              <w:tl2br w:val="nil"/>
              <w:tr2bl w:val="nil"/>
            </w:tcBorders>
            <w:vAlign w:val="center"/>
          </w:tcPr>
          <w:p w14:paraId="52926898">
            <w:pPr>
              <w:widowControl/>
              <w:spacing w:before="0" w:beforeLines="0" w:line="240" w:lineRule="auto"/>
              <w:jc w:val="center"/>
              <w:textAlignment w:val="center"/>
              <w:rPr>
                <w:szCs w:val="21"/>
              </w:rPr>
            </w:pPr>
            <w:r>
              <w:rPr>
                <w:szCs w:val="21"/>
              </w:rPr>
              <w:t>345</w:t>
            </w:r>
          </w:p>
        </w:tc>
        <w:tc>
          <w:tcPr>
            <w:tcW w:w="740" w:type="pct"/>
            <w:tcBorders>
              <w:tl2br w:val="nil"/>
              <w:tr2bl w:val="nil"/>
            </w:tcBorders>
            <w:vAlign w:val="center"/>
          </w:tcPr>
          <w:p w14:paraId="55C35ECB">
            <w:pPr>
              <w:widowControl/>
              <w:spacing w:before="0" w:beforeLines="0" w:line="240" w:lineRule="auto"/>
              <w:jc w:val="center"/>
              <w:textAlignment w:val="center"/>
              <w:rPr>
                <w:kern w:val="0"/>
                <w:szCs w:val="21"/>
                <w:lang w:bidi="ar"/>
              </w:rPr>
            </w:pPr>
            <w:r>
              <w:rPr>
                <w:kern w:val="0"/>
                <w:szCs w:val="21"/>
                <w:lang w:bidi="ar"/>
              </w:rPr>
              <w:t>mV</w:t>
            </w:r>
          </w:p>
        </w:tc>
      </w:tr>
      <w:tr w14:paraId="7BF4A58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1A5471A2">
            <w:pPr>
              <w:autoSpaceDN w:val="0"/>
              <w:spacing w:before="0" w:beforeLines="0" w:line="240" w:lineRule="auto"/>
              <w:jc w:val="center"/>
              <w:textAlignment w:val="center"/>
              <w:rPr>
                <w:kern w:val="0"/>
                <w:szCs w:val="21"/>
                <w:lang w:bidi="ar"/>
              </w:rPr>
            </w:pPr>
            <w:r>
              <w:rPr>
                <w:bCs/>
                <w:szCs w:val="21"/>
              </w:rPr>
              <w:t>渗滤率</w:t>
            </w:r>
          </w:p>
        </w:tc>
        <w:tc>
          <w:tcPr>
            <w:tcW w:w="854" w:type="pct"/>
            <w:tcBorders>
              <w:tl2br w:val="nil"/>
              <w:tr2bl w:val="nil"/>
            </w:tcBorders>
            <w:vAlign w:val="center"/>
          </w:tcPr>
          <w:p w14:paraId="3498151D">
            <w:pPr>
              <w:autoSpaceDN w:val="0"/>
              <w:spacing w:before="0" w:beforeLines="0" w:line="240" w:lineRule="auto"/>
              <w:jc w:val="center"/>
              <w:textAlignment w:val="center"/>
              <w:rPr>
                <w:bCs/>
                <w:szCs w:val="21"/>
              </w:rPr>
            </w:pPr>
            <w:r>
              <w:rPr>
                <w:bCs/>
                <w:szCs w:val="21"/>
              </w:rPr>
              <w:t>/</w:t>
            </w:r>
          </w:p>
        </w:tc>
        <w:tc>
          <w:tcPr>
            <w:tcW w:w="1632" w:type="pct"/>
            <w:tcBorders>
              <w:tl2br w:val="nil"/>
              <w:tr2bl w:val="nil"/>
            </w:tcBorders>
            <w:vAlign w:val="center"/>
          </w:tcPr>
          <w:p w14:paraId="496EDB64">
            <w:pPr>
              <w:widowControl/>
              <w:spacing w:before="0" w:beforeLines="0" w:line="240" w:lineRule="auto"/>
              <w:jc w:val="center"/>
              <w:textAlignment w:val="center"/>
              <w:rPr>
                <w:szCs w:val="21"/>
              </w:rPr>
            </w:pPr>
            <w:r>
              <w:rPr>
                <w:szCs w:val="21"/>
              </w:rPr>
              <w:t>1.25</w:t>
            </w:r>
          </w:p>
        </w:tc>
        <w:tc>
          <w:tcPr>
            <w:tcW w:w="740" w:type="pct"/>
            <w:tcBorders>
              <w:tl2br w:val="nil"/>
              <w:tr2bl w:val="nil"/>
            </w:tcBorders>
            <w:vAlign w:val="center"/>
          </w:tcPr>
          <w:p w14:paraId="3CE36DB6">
            <w:pPr>
              <w:widowControl/>
              <w:spacing w:before="0" w:beforeLines="0" w:line="240" w:lineRule="auto"/>
              <w:jc w:val="center"/>
              <w:textAlignment w:val="center"/>
              <w:rPr>
                <w:kern w:val="0"/>
                <w:szCs w:val="21"/>
                <w:lang w:bidi="ar"/>
              </w:rPr>
            </w:pPr>
            <w:r>
              <w:rPr>
                <w:kern w:val="0"/>
                <w:szCs w:val="21"/>
                <w:lang w:bidi="ar"/>
              </w:rPr>
              <w:t>mm/min</w:t>
            </w:r>
          </w:p>
        </w:tc>
      </w:tr>
      <w:tr w14:paraId="7462252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737FE22B">
            <w:pPr>
              <w:autoSpaceDN w:val="0"/>
              <w:spacing w:before="0" w:beforeLines="0" w:line="240" w:lineRule="auto"/>
              <w:jc w:val="center"/>
              <w:textAlignment w:val="center"/>
              <w:rPr>
                <w:szCs w:val="21"/>
              </w:rPr>
            </w:pPr>
            <w:r>
              <w:rPr>
                <w:bCs/>
                <w:szCs w:val="21"/>
              </w:rPr>
              <w:t>土壤容重</w:t>
            </w:r>
          </w:p>
        </w:tc>
        <w:tc>
          <w:tcPr>
            <w:tcW w:w="854" w:type="pct"/>
            <w:tcBorders>
              <w:tl2br w:val="nil"/>
              <w:tr2bl w:val="nil"/>
            </w:tcBorders>
            <w:vAlign w:val="center"/>
          </w:tcPr>
          <w:p w14:paraId="0C1484A2">
            <w:pPr>
              <w:autoSpaceDN w:val="0"/>
              <w:spacing w:before="0" w:beforeLines="0" w:line="240" w:lineRule="auto"/>
              <w:jc w:val="center"/>
              <w:textAlignment w:val="center"/>
              <w:rPr>
                <w:bCs/>
                <w:szCs w:val="21"/>
              </w:rPr>
            </w:pPr>
            <w:r>
              <w:rPr>
                <w:bCs/>
                <w:szCs w:val="21"/>
              </w:rPr>
              <w:t>/</w:t>
            </w:r>
          </w:p>
        </w:tc>
        <w:tc>
          <w:tcPr>
            <w:tcW w:w="1632" w:type="pct"/>
            <w:tcBorders>
              <w:tl2br w:val="nil"/>
              <w:tr2bl w:val="nil"/>
            </w:tcBorders>
            <w:vAlign w:val="center"/>
          </w:tcPr>
          <w:p w14:paraId="0A30FBD1">
            <w:pPr>
              <w:widowControl/>
              <w:spacing w:before="0" w:beforeLines="0" w:line="240" w:lineRule="auto"/>
              <w:jc w:val="center"/>
              <w:textAlignment w:val="center"/>
              <w:rPr>
                <w:szCs w:val="21"/>
              </w:rPr>
            </w:pPr>
            <w:r>
              <w:rPr>
                <w:szCs w:val="21"/>
              </w:rPr>
              <w:t>1.22</w:t>
            </w:r>
          </w:p>
        </w:tc>
        <w:tc>
          <w:tcPr>
            <w:tcW w:w="740" w:type="pct"/>
            <w:tcBorders>
              <w:tl2br w:val="nil"/>
              <w:tr2bl w:val="nil"/>
            </w:tcBorders>
            <w:vAlign w:val="center"/>
          </w:tcPr>
          <w:p w14:paraId="143946E9">
            <w:pPr>
              <w:widowControl/>
              <w:spacing w:before="0" w:beforeLines="0" w:line="240" w:lineRule="auto"/>
              <w:jc w:val="center"/>
              <w:textAlignment w:val="center"/>
              <w:rPr>
                <w:kern w:val="0"/>
                <w:szCs w:val="21"/>
                <w:lang w:bidi="ar"/>
              </w:rPr>
            </w:pPr>
            <w:r>
              <w:rPr>
                <w:kern w:val="0"/>
                <w:szCs w:val="21"/>
                <w:lang w:bidi="ar"/>
              </w:rPr>
              <w:t>g/cm</w:t>
            </w:r>
            <w:r>
              <w:rPr>
                <w:kern w:val="0"/>
                <w:szCs w:val="21"/>
                <w:vertAlign w:val="superscript"/>
                <w:lang w:bidi="ar"/>
              </w:rPr>
              <w:t>3</w:t>
            </w:r>
          </w:p>
        </w:tc>
      </w:tr>
      <w:tr w14:paraId="1CCBA68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7437E7BC">
            <w:pPr>
              <w:spacing w:before="0" w:beforeLines="0" w:line="240" w:lineRule="auto"/>
              <w:jc w:val="center"/>
              <w:rPr>
                <w:szCs w:val="21"/>
              </w:rPr>
            </w:pPr>
            <w:r>
              <w:rPr>
                <w:szCs w:val="21"/>
              </w:rPr>
              <w:t>总孔隙度</w:t>
            </w:r>
          </w:p>
        </w:tc>
        <w:tc>
          <w:tcPr>
            <w:tcW w:w="854" w:type="pct"/>
            <w:tcBorders>
              <w:tl2br w:val="nil"/>
              <w:tr2bl w:val="nil"/>
            </w:tcBorders>
            <w:vAlign w:val="center"/>
          </w:tcPr>
          <w:p w14:paraId="1FC21BB3">
            <w:pPr>
              <w:spacing w:before="0" w:beforeLines="0" w:line="240" w:lineRule="auto"/>
              <w:jc w:val="center"/>
              <w:rPr>
                <w:szCs w:val="21"/>
              </w:rPr>
            </w:pPr>
            <w:r>
              <w:rPr>
                <w:szCs w:val="21"/>
              </w:rPr>
              <w:t>/</w:t>
            </w:r>
          </w:p>
        </w:tc>
        <w:tc>
          <w:tcPr>
            <w:tcW w:w="1632" w:type="pct"/>
            <w:tcBorders>
              <w:tl2br w:val="nil"/>
              <w:tr2bl w:val="nil"/>
            </w:tcBorders>
            <w:vAlign w:val="center"/>
          </w:tcPr>
          <w:p w14:paraId="74AD5400">
            <w:pPr>
              <w:widowControl/>
              <w:spacing w:before="0" w:beforeLines="0" w:line="240" w:lineRule="auto"/>
              <w:jc w:val="center"/>
              <w:textAlignment w:val="center"/>
              <w:rPr>
                <w:szCs w:val="21"/>
              </w:rPr>
            </w:pPr>
            <w:r>
              <w:rPr>
                <w:szCs w:val="21"/>
              </w:rPr>
              <w:t>21.0</w:t>
            </w:r>
          </w:p>
        </w:tc>
        <w:tc>
          <w:tcPr>
            <w:tcW w:w="740" w:type="pct"/>
            <w:tcBorders>
              <w:tl2br w:val="nil"/>
              <w:tr2bl w:val="nil"/>
            </w:tcBorders>
            <w:vAlign w:val="center"/>
          </w:tcPr>
          <w:p w14:paraId="387C8A1F">
            <w:pPr>
              <w:widowControl/>
              <w:spacing w:before="0" w:beforeLines="0" w:line="240" w:lineRule="auto"/>
              <w:jc w:val="center"/>
              <w:textAlignment w:val="center"/>
              <w:rPr>
                <w:kern w:val="0"/>
                <w:szCs w:val="21"/>
                <w:lang w:bidi="ar"/>
              </w:rPr>
            </w:pPr>
            <w:r>
              <w:rPr>
                <w:kern w:val="0"/>
                <w:szCs w:val="21"/>
                <w:lang w:bidi="ar"/>
              </w:rPr>
              <w:t>%</w:t>
            </w:r>
          </w:p>
        </w:tc>
      </w:tr>
      <w:tr w14:paraId="069E035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4BBF2ACE">
            <w:pPr>
              <w:spacing w:before="0" w:beforeLines="0" w:line="240" w:lineRule="auto"/>
              <w:jc w:val="center"/>
              <w:rPr>
                <w:szCs w:val="21"/>
              </w:rPr>
            </w:pPr>
            <w:r>
              <w:rPr>
                <w:rFonts w:hint="eastAsia"/>
                <w:szCs w:val="21"/>
              </w:rPr>
              <w:t>钒</w:t>
            </w:r>
          </w:p>
        </w:tc>
        <w:tc>
          <w:tcPr>
            <w:tcW w:w="854" w:type="pct"/>
            <w:tcBorders>
              <w:tl2br w:val="nil"/>
              <w:tr2bl w:val="nil"/>
            </w:tcBorders>
            <w:vAlign w:val="center"/>
          </w:tcPr>
          <w:p w14:paraId="7FDA0469">
            <w:pPr>
              <w:spacing w:before="0" w:beforeLines="0" w:line="240" w:lineRule="auto"/>
              <w:jc w:val="center"/>
              <w:rPr>
                <w:szCs w:val="21"/>
              </w:rPr>
            </w:pPr>
            <w:r>
              <w:rPr>
                <w:rFonts w:hint="eastAsia"/>
                <w:szCs w:val="21"/>
              </w:rPr>
              <w:t>7</w:t>
            </w:r>
            <w:r>
              <w:rPr>
                <w:szCs w:val="21"/>
              </w:rPr>
              <w:t>52</w:t>
            </w:r>
          </w:p>
        </w:tc>
        <w:tc>
          <w:tcPr>
            <w:tcW w:w="1632" w:type="pct"/>
            <w:tcBorders>
              <w:tl2br w:val="nil"/>
              <w:tr2bl w:val="nil"/>
            </w:tcBorders>
            <w:vAlign w:val="center"/>
          </w:tcPr>
          <w:p w14:paraId="69E83FB4">
            <w:pPr>
              <w:widowControl/>
              <w:spacing w:before="0" w:beforeLines="0" w:line="240" w:lineRule="auto"/>
              <w:jc w:val="center"/>
              <w:textAlignment w:val="center"/>
              <w:rPr>
                <w:szCs w:val="21"/>
              </w:rPr>
            </w:pPr>
            <w:r>
              <w:rPr>
                <w:rFonts w:hint="eastAsia"/>
                <w:szCs w:val="21"/>
              </w:rPr>
              <w:t>7</w:t>
            </w:r>
            <w:r>
              <w:rPr>
                <w:szCs w:val="21"/>
              </w:rPr>
              <w:t>0</w:t>
            </w:r>
          </w:p>
        </w:tc>
        <w:tc>
          <w:tcPr>
            <w:tcW w:w="740" w:type="pct"/>
            <w:tcBorders>
              <w:tl2br w:val="nil"/>
              <w:tr2bl w:val="nil"/>
            </w:tcBorders>
            <w:vAlign w:val="center"/>
          </w:tcPr>
          <w:p w14:paraId="0DE0DD7F">
            <w:pPr>
              <w:widowControl/>
              <w:spacing w:before="0" w:beforeLines="0" w:line="240" w:lineRule="auto"/>
              <w:jc w:val="center"/>
              <w:textAlignment w:val="center"/>
              <w:rPr>
                <w:kern w:val="0"/>
                <w:szCs w:val="21"/>
                <w:lang w:bidi="ar"/>
              </w:rPr>
            </w:pPr>
            <w:r>
              <w:rPr>
                <w:szCs w:val="21"/>
              </w:rPr>
              <w:t>mg/kg</w:t>
            </w:r>
          </w:p>
        </w:tc>
      </w:tr>
      <w:tr w14:paraId="39F514F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14:paraId="76F2EEE7">
            <w:pPr>
              <w:spacing w:before="0" w:beforeLines="0" w:line="240" w:lineRule="auto"/>
              <w:jc w:val="center"/>
              <w:rPr>
                <w:szCs w:val="21"/>
              </w:rPr>
            </w:pPr>
            <w:r>
              <w:rPr>
                <w:rFonts w:hint="eastAsia"/>
                <w:szCs w:val="21"/>
              </w:rPr>
              <w:t>钛</w:t>
            </w:r>
          </w:p>
        </w:tc>
        <w:tc>
          <w:tcPr>
            <w:tcW w:w="854" w:type="pct"/>
            <w:tcBorders>
              <w:tl2br w:val="nil"/>
              <w:tr2bl w:val="nil"/>
            </w:tcBorders>
            <w:vAlign w:val="center"/>
          </w:tcPr>
          <w:p w14:paraId="60C40D00">
            <w:pPr>
              <w:spacing w:before="0" w:beforeLines="0" w:line="240" w:lineRule="auto"/>
              <w:jc w:val="center"/>
              <w:rPr>
                <w:szCs w:val="21"/>
              </w:rPr>
            </w:pPr>
            <w:r>
              <w:rPr>
                <w:rFonts w:hint="eastAsia"/>
                <w:szCs w:val="21"/>
              </w:rPr>
              <w:t>-</w:t>
            </w:r>
          </w:p>
        </w:tc>
        <w:tc>
          <w:tcPr>
            <w:tcW w:w="1632" w:type="pct"/>
            <w:tcBorders>
              <w:tl2br w:val="nil"/>
              <w:tr2bl w:val="nil"/>
            </w:tcBorders>
            <w:vAlign w:val="center"/>
          </w:tcPr>
          <w:p w14:paraId="5C33A738">
            <w:pPr>
              <w:widowControl/>
              <w:spacing w:before="0" w:beforeLines="0" w:line="240" w:lineRule="auto"/>
              <w:jc w:val="center"/>
              <w:textAlignment w:val="center"/>
              <w:rPr>
                <w:szCs w:val="21"/>
              </w:rPr>
            </w:pPr>
            <w:r>
              <w:rPr>
                <w:rFonts w:hint="eastAsia"/>
                <w:szCs w:val="21"/>
              </w:rPr>
              <w:t>3410</w:t>
            </w:r>
          </w:p>
        </w:tc>
        <w:tc>
          <w:tcPr>
            <w:tcW w:w="740" w:type="pct"/>
            <w:tcBorders>
              <w:tl2br w:val="nil"/>
              <w:tr2bl w:val="nil"/>
            </w:tcBorders>
            <w:vAlign w:val="center"/>
          </w:tcPr>
          <w:p w14:paraId="44A2F09A">
            <w:pPr>
              <w:widowControl/>
              <w:spacing w:before="0" w:beforeLines="0" w:line="240" w:lineRule="auto"/>
              <w:jc w:val="center"/>
              <w:textAlignment w:val="center"/>
              <w:rPr>
                <w:szCs w:val="21"/>
              </w:rPr>
            </w:pPr>
            <w:r>
              <w:rPr>
                <w:szCs w:val="21"/>
              </w:rPr>
              <w:t>mg/kg</w:t>
            </w:r>
          </w:p>
        </w:tc>
      </w:tr>
    </w:tbl>
    <w:p w14:paraId="0A3148F5">
      <w:pPr>
        <w:pStyle w:val="190"/>
        <w:ind w:firstLine="480"/>
      </w:pPr>
      <w:r>
        <w:t>由监测结果可知，各监测点的监测因子均能满足《土壤环境质量 建设用地土壤污染风险管控标准（试行）》（GB36600-2018）中二类用地筛选值标准。</w:t>
      </w:r>
    </w:p>
    <w:p w14:paraId="1FC88598">
      <w:pPr>
        <w:pStyle w:val="5"/>
        <w:rPr>
          <w:color w:val="auto"/>
        </w:rPr>
      </w:pPr>
      <w:r>
        <w:rPr>
          <w:color w:val="auto"/>
        </w:rPr>
        <w:t>4.2.4地下水环境质量现状与评价</w:t>
      </w:r>
    </w:p>
    <w:bookmarkEnd w:id="202"/>
    <w:p w14:paraId="6AB9E099">
      <w:pPr>
        <w:spacing w:before="78" w:line="360" w:lineRule="auto"/>
        <w:ind w:firstLine="480" w:firstLineChars="200"/>
        <w:jc w:val="left"/>
        <w:rPr>
          <w:sz w:val="24"/>
        </w:rPr>
      </w:pPr>
      <w:r>
        <w:rPr>
          <w:sz w:val="24"/>
        </w:rPr>
        <w:t>沈阳市中正</w:t>
      </w:r>
      <w:r>
        <w:rPr>
          <w:rFonts w:hint="eastAsia"/>
          <w:sz w:val="24"/>
        </w:rPr>
        <w:t>检测技术有限公司</w:t>
      </w:r>
      <w:r>
        <w:rPr>
          <w:sz w:val="24"/>
        </w:rPr>
        <w:t>于2023年9月26日对项目区域地下水环境质量进行现状监测。</w:t>
      </w:r>
    </w:p>
    <w:p w14:paraId="77EA3940">
      <w:pPr>
        <w:spacing w:before="78" w:line="360" w:lineRule="auto"/>
        <w:ind w:firstLine="482" w:firstLineChars="200"/>
        <w:rPr>
          <w:b/>
          <w:bCs/>
          <w:sz w:val="24"/>
        </w:rPr>
      </w:pPr>
      <w:r>
        <w:rPr>
          <w:b/>
          <w:bCs/>
          <w:sz w:val="24"/>
        </w:rPr>
        <w:fldChar w:fldCharType="begin"/>
      </w:r>
      <w:r>
        <w:rPr>
          <w:b/>
          <w:bCs/>
          <w:sz w:val="24"/>
        </w:rPr>
        <w:instrText xml:space="preserve"> = 1 \* GB2 \* MERGEFORMAT </w:instrText>
      </w:r>
      <w:r>
        <w:rPr>
          <w:b/>
          <w:bCs/>
          <w:sz w:val="24"/>
        </w:rPr>
        <w:fldChar w:fldCharType="separate"/>
      </w:r>
      <w:r>
        <w:rPr>
          <w:b/>
          <w:bCs/>
          <w:sz w:val="24"/>
        </w:rPr>
        <w:t>⑴</w:t>
      </w:r>
      <w:r>
        <w:rPr>
          <w:b/>
          <w:bCs/>
          <w:sz w:val="24"/>
        </w:rPr>
        <w:fldChar w:fldCharType="end"/>
      </w:r>
      <w:r>
        <w:rPr>
          <w:b/>
          <w:bCs/>
          <w:sz w:val="24"/>
        </w:rPr>
        <w:t>监测点位</w:t>
      </w:r>
    </w:p>
    <w:p w14:paraId="6FA34D20">
      <w:pPr>
        <w:spacing w:before="78" w:line="360" w:lineRule="auto"/>
        <w:ind w:firstLine="480" w:firstLineChars="200"/>
        <w:rPr>
          <w:sz w:val="24"/>
        </w:rPr>
      </w:pPr>
      <w:r>
        <w:rPr>
          <w:sz w:val="24"/>
        </w:rPr>
        <w:t>根据敏感目标分布及周边地形情况，在评价区域内共布设</w:t>
      </w:r>
      <w:r>
        <w:rPr>
          <w:rFonts w:hint="eastAsia"/>
          <w:sz w:val="24"/>
        </w:rPr>
        <w:t>5</w:t>
      </w:r>
      <w:r>
        <w:rPr>
          <w:sz w:val="24"/>
        </w:rPr>
        <w:t>个地下水水质监测点（1#~</w:t>
      </w:r>
      <w:r>
        <w:rPr>
          <w:rFonts w:hint="eastAsia"/>
          <w:sz w:val="24"/>
        </w:rPr>
        <w:t>5</w:t>
      </w:r>
      <w:r>
        <w:rPr>
          <w:sz w:val="24"/>
        </w:rPr>
        <w:t>#），布设</w:t>
      </w:r>
      <w:r>
        <w:rPr>
          <w:rFonts w:hint="eastAsia"/>
          <w:sz w:val="24"/>
        </w:rPr>
        <w:t>10</w:t>
      </w:r>
      <w:r>
        <w:rPr>
          <w:sz w:val="24"/>
        </w:rPr>
        <w:t>个地下水水位监测点（1#~</w:t>
      </w:r>
      <w:r>
        <w:rPr>
          <w:rFonts w:hint="eastAsia"/>
          <w:sz w:val="24"/>
        </w:rPr>
        <w:t>10</w:t>
      </w:r>
      <w:r>
        <w:rPr>
          <w:sz w:val="24"/>
        </w:rPr>
        <w:t xml:space="preserve">#），监测点位置及功能见表4.2-16。 </w:t>
      </w:r>
    </w:p>
    <w:p w14:paraId="66D2AEA6">
      <w:pPr>
        <w:spacing w:before="156" w:beforeLines="50"/>
        <w:jc w:val="center"/>
        <w:rPr>
          <w:b/>
          <w:bCs/>
          <w:szCs w:val="21"/>
        </w:rPr>
      </w:pPr>
      <w:r>
        <w:rPr>
          <w:b/>
          <w:bCs/>
          <w:szCs w:val="21"/>
        </w:rPr>
        <w:t>表4.2-16</w:t>
      </w:r>
      <w:r>
        <w:rPr>
          <w:rFonts w:hint="eastAsia"/>
          <w:b/>
          <w:bCs/>
          <w:szCs w:val="21"/>
        </w:rPr>
        <w:t xml:space="preserve">    </w:t>
      </w:r>
      <w:r>
        <w:rPr>
          <w:b/>
          <w:bCs/>
          <w:szCs w:val="21"/>
        </w:rPr>
        <w:t xml:space="preserve">  地下水监测点位布设</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712"/>
        <w:gridCol w:w="2446"/>
        <w:gridCol w:w="2079"/>
        <w:gridCol w:w="2075"/>
      </w:tblGrid>
      <w:tr w14:paraId="4383585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0" w:type="pct"/>
            <w:vAlign w:val="center"/>
          </w:tcPr>
          <w:p w14:paraId="3B82F10B">
            <w:pPr>
              <w:spacing w:before="0" w:beforeLines="0" w:line="240" w:lineRule="auto"/>
              <w:jc w:val="center"/>
              <w:rPr>
                <w:szCs w:val="21"/>
              </w:rPr>
            </w:pPr>
            <w:r>
              <w:rPr>
                <w:szCs w:val="21"/>
              </w:rPr>
              <w:t>监测点编号</w:t>
            </w:r>
          </w:p>
        </w:tc>
        <w:tc>
          <w:tcPr>
            <w:tcW w:w="1471" w:type="pct"/>
            <w:vAlign w:val="center"/>
          </w:tcPr>
          <w:p w14:paraId="29660B90">
            <w:pPr>
              <w:spacing w:before="0" w:beforeLines="0" w:line="240" w:lineRule="auto"/>
              <w:jc w:val="center"/>
              <w:rPr>
                <w:szCs w:val="21"/>
              </w:rPr>
            </w:pPr>
            <w:r>
              <w:rPr>
                <w:szCs w:val="21"/>
              </w:rPr>
              <w:t>监测点名称</w:t>
            </w:r>
          </w:p>
        </w:tc>
        <w:tc>
          <w:tcPr>
            <w:tcW w:w="1250" w:type="pct"/>
            <w:vAlign w:val="center"/>
          </w:tcPr>
          <w:p w14:paraId="4AD6619D">
            <w:pPr>
              <w:spacing w:before="0" w:beforeLines="0" w:line="240" w:lineRule="auto"/>
              <w:jc w:val="center"/>
              <w:rPr>
                <w:szCs w:val="21"/>
              </w:rPr>
            </w:pPr>
            <w:r>
              <w:rPr>
                <w:szCs w:val="21"/>
              </w:rPr>
              <w:t>方位</w:t>
            </w:r>
          </w:p>
        </w:tc>
        <w:tc>
          <w:tcPr>
            <w:tcW w:w="1248" w:type="pct"/>
            <w:vAlign w:val="center"/>
          </w:tcPr>
          <w:p w14:paraId="1D6B96C2">
            <w:pPr>
              <w:spacing w:before="0" w:beforeLines="0" w:line="240" w:lineRule="auto"/>
              <w:jc w:val="center"/>
              <w:rPr>
                <w:szCs w:val="21"/>
              </w:rPr>
            </w:pPr>
            <w:r>
              <w:rPr>
                <w:szCs w:val="21"/>
              </w:rPr>
              <w:t>监测因子</w:t>
            </w:r>
          </w:p>
        </w:tc>
      </w:tr>
      <w:tr w14:paraId="5448247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0" w:type="pct"/>
            <w:vAlign w:val="center"/>
          </w:tcPr>
          <w:p w14:paraId="20E09623">
            <w:pPr>
              <w:spacing w:before="0" w:beforeLines="0" w:line="240" w:lineRule="auto"/>
              <w:jc w:val="center"/>
              <w:rPr>
                <w:szCs w:val="21"/>
              </w:rPr>
            </w:pPr>
            <w:r>
              <w:rPr>
                <w:szCs w:val="21"/>
              </w:rPr>
              <w:t>D1</w:t>
            </w:r>
          </w:p>
        </w:tc>
        <w:tc>
          <w:tcPr>
            <w:tcW w:w="1471" w:type="pct"/>
            <w:vAlign w:val="center"/>
          </w:tcPr>
          <w:p w14:paraId="62EC8DB6">
            <w:pPr>
              <w:tabs>
                <w:tab w:val="left" w:pos="700"/>
                <w:tab w:val="left" w:pos="840"/>
                <w:tab w:val="left" w:pos="900"/>
              </w:tabs>
              <w:adjustRightInd w:val="0"/>
              <w:snapToGrid w:val="0"/>
              <w:spacing w:before="0" w:beforeLines="0" w:line="240" w:lineRule="auto"/>
              <w:jc w:val="center"/>
              <w:rPr>
                <w:szCs w:val="21"/>
              </w:rPr>
            </w:pPr>
            <w:r>
              <w:rPr>
                <w:rFonts w:hint="eastAsia"/>
              </w:rPr>
              <w:t>邵家窝堡</w:t>
            </w:r>
          </w:p>
        </w:tc>
        <w:tc>
          <w:tcPr>
            <w:tcW w:w="1250" w:type="pct"/>
            <w:vAlign w:val="center"/>
          </w:tcPr>
          <w:p w14:paraId="28056685">
            <w:pPr>
              <w:tabs>
                <w:tab w:val="left" w:pos="700"/>
                <w:tab w:val="left" w:pos="840"/>
                <w:tab w:val="left" w:pos="900"/>
              </w:tabs>
              <w:adjustRightInd w:val="0"/>
              <w:snapToGrid w:val="0"/>
              <w:spacing w:before="0" w:beforeLines="0" w:line="240" w:lineRule="auto"/>
              <w:jc w:val="center"/>
              <w:rPr>
                <w:szCs w:val="21"/>
              </w:rPr>
            </w:pPr>
            <w:r>
              <w:rPr>
                <w:rFonts w:hint="eastAsia"/>
              </w:rPr>
              <w:t>东北偏北</w:t>
            </w:r>
          </w:p>
        </w:tc>
        <w:tc>
          <w:tcPr>
            <w:tcW w:w="1248" w:type="pct"/>
            <w:vMerge w:val="restart"/>
            <w:vAlign w:val="center"/>
          </w:tcPr>
          <w:p w14:paraId="723AC944">
            <w:pPr>
              <w:tabs>
                <w:tab w:val="left" w:pos="700"/>
                <w:tab w:val="left" w:pos="840"/>
                <w:tab w:val="left" w:pos="900"/>
              </w:tabs>
              <w:adjustRightInd w:val="0"/>
              <w:snapToGrid w:val="0"/>
              <w:spacing w:before="0" w:beforeLines="0" w:line="240" w:lineRule="auto"/>
              <w:jc w:val="center"/>
              <w:rPr>
                <w:szCs w:val="21"/>
              </w:rPr>
            </w:pPr>
            <w:r>
              <w:rPr>
                <w:szCs w:val="21"/>
              </w:rPr>
              <w:t>水质水位监测点</w:t>
            </w:r>
          </w:p>
        </w:tc>
      </w:tr>
      <w:tr w14:paraId="7C37DA1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0" w:type="pct"/>
            <w:vAlign w:val="center"/>
          </w:tcPr>
          <w:p w14:paraId="6EAB153C">
            <w:pPr>
              <w:spacing w:before="0" w:beforeLines="0" w:line="240" w:lineRule="auto"/>
              <w:jc w:val="center"/>
              <w:rPr>
                <w:szCs w:val="21"/>
              </w:rPr>
            </w:pPr>
            <w:r>
              <w:rPr>
                <w:szCs w:val="21"/>
              </w:rPr>
              <w:t>D2</w:t>
            </w:r>
          </w:p>
        </w:tc>
        <w:tc>
          <w:tcPr>
            <w:tcW w:w="1471" w:type="pct"/>
            <w:vAlign w:val="center"/>
          </w:tcPr>
          <w:p w14:paraId="345A873F">
            <w:pPr>
              <w:pStyle w:val="58"/>
              <w:adjustRightInd w:val="0"/>
              <w:spacing w:before="0" w:beforeLines="0" w:line="240" w:lineRule="auto"/>
              <w:jc w:val="center"/>
              <w:rPr>
                <w:sz w:val="21"/>
                <w:szCs w:val="21"/>
              </w:rPr>
            </w:pPr>
            <w:r>
              <w:rPr>
                <w:rFonts w:hint="eastAsia"/>
                <w:sz w:val="21"/>
                <w:szCs w:val="21"/>
              </w:rPr>
              <w:t>满汉营子</w:t>
            </w:r>
          </w:p>
        </w:tc>
        <w:tc>
          <w:tcPr>
            <w:tcW w:w="1250" w:type="pct"/>
            <w:vAlign w:val="center"/>
          </w:tcPr>
          <w:p w14:paraId="10035DD2">
            <w:pPr>
              <w:tabs>
                <w:tab w:val="left" w:pos="700"/>
                <w:tab w:val="left" w:pos="840"/>
                <w:tab w:val="left" w:pos="900"/>
              </w:tabs>
              <w:adjustRightInd w:val="0"/>
              <w:snapToGrid w:val="0"/>
              <w:spacing w:before="0" w:beforeLines="0" w:line="240" w:lineRule="auto"/>
              <w:jc w:val="center"/>
              <w:rPr>
                <w:szCs w:val="21"/>
              </w:rPr>
            </w:pPr>
            <w:r>
              <w:rPr>
                <w:rFonts w:hint="eastAsia"/>
              </w:rPr>
              <w:t>东北偏东</w:t>
            </w:r>
          </w:p>
        </w:tc>
        <w:tc>
          <w:tcPr>
            <w:tcW w:w="1248" w:type="pct"/>
            <w:vMerge w:val="continue"/>
            <w:vAlign w:val="center"/>
          </w:tcPr>
          <w:p w14:paraId="6C330446">
            <w:pPr>
              <w:tabs>
                <w:tab w:val="left" w:pos="700"/>
                <w:tab w:val="left" w:pos="840"/>
                <w:tab w:val="left" w:pos="900"/>
              </w:tabs>
              <w:adjustRightInd w:val="0"/>
              <w:snapToGrid w:val="0"/>
              <w:spacing w:before="0" w:beforeLines="0" w:line="240" w:lineRule="auto"/>
              <w:jc w:val="center"/>
              <w:rPr>
                <w:szCs w:val="21"/>
              </w:rPr>
            </w:pPr>
          </w:p>
        </w:tc>
      </w:tr>
      <w:tr w14:paraId="0D34B6E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0" w:type="pct"/>
            <w:vAlign w:val="center"/>
          </w:tcPr>
          <w:p w14:paraId="05B70E36">
            <w:pPr>
              <w:spacing w:before="0" w:beforeLines="0" w:line="240" w:lineRule="auto"/>
              <w:jc w:val="center"/>
              <w:rPr>
                <w:szCs w:val="21"/>
              </w:rPr>
            </w:pPr>
            <w:r>
              <w:rPr>
                <w:szCs w:val="21"/>
              </w:rPr>
              <w:t>D3</w:t>
            </w:r>
          </w:p>
        </w:tc>
        <w:tc>
          <w:tcPr>
            <w:tcW w:w="1471" w:type="pct"/>
            <w:vAlign w:val="center"/>
          </w:tcPr>
          <w:p w14:paraId="5AA8DD58">
            <w:pPr>
              <w:tabs>
                <w:tab w:val="left" w:pos="700"/>
                <w:tab w:val="left" w:pos="840"/>
                <w:tab w:val="left" w:pos="900"/>
              </w:tabs>
              <w:adjustRightInd w:val="0"/>
              <w:snapToGrid w:val="0"/>
              <w:spacing w:before="0" w:beforeLines="0" w:line="240" w:lineRule="auto"/>
              <w:jc w:val="center"/>
              <w:rPr>
                <w:szCs w:val="21"/>
              </w:rPr>
            </w:pPr>
            <w:r>
              <w:rPr>
                <w:rFonts w:hint="eastAsia"/>
              </w:rPr>
              <w:t>孟家窝堡</w:t>
            </w:r>
          </w:p>
        </w:tc>
        <w:tc>
          <w:tcPr>
            <w:tcW w:w="1250" w:type="pct"/>
            <w:vAlign w:val="center"/>
          </w:tcPr>
          <w:p w14:paraId="1B406DDC">
            <w:pPr>
              <w:tabs>
                <w:tab w:val="left" w:pos="700"/>
                <w:tab w:val="left" w:pos="840"/>
                <w:tab w:val="left" w:pos="900"/>
              </w:tabs>
              <w:adjustRightInd w:val="0"/>
              <w:snapToGrid w:val="0"/>
              <w:spacing w:before="0" w:beforeLines="0" w:line="240" w:lineRule="auto"/>
              <w:jc w:val="center"/>
              <w:rPr>
                <w:szCs w:val="21"/>
              </w:rPr>
            </w:pPr>
            <w:r>
              <w:rPr>
                <w:rFonts w:hint="eastAsia"/>
              </w:rPr>
              <w:t>西南偏西</w:t>
            </w:r>
          </w:p>
        </w:tc>
        <w:tc>
          <w:tcPr>
            <w:tcW w:w="1248" w:type="pct"/>
            <w:vMerge w:val="continue"/>
            <w:vAlign w:val="center"/>
          </w:tcPr>
          <w:p w14:paraId="11C35230">
            <w:pPr>
              <w:tabs>
                <w:tab w:val="left" w:pos="700"/>
                <w:tab w:val="left" w:pos="840"/>
                <w:tab w:val="left" w:pos="900"/>
              </w:tabs>
              <w:adjustRightInd w:val="0"/>
              <w:snapToGrid w:val="0"/>
              <w:spacing w:before="0" w:beforeLines="0" w:line="240" w:lineRule="auto"/>
              <w:jc w:val="center"/>
              <w:rPr>
                <w:szCs w:val="21"/>
              </w:rPr>
            </w:pPr>
          </w:p>
        </w:tc>
      </w:tr>
      <w:tr w14:paraId="575FB2A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0" w:type="pct"/>
            <w:vAlign w:val="center"/>
          </w:tcPr>
          <w:p w14:paraId="3A5AAAD8">
            <w:pPr>
              <w:spacing w:before="0" w:beforeLines="0" w:line="240" w:lineRule="auto"/>
              <w:jc w:val="center"/>
              <w:rPr>
                <w:szCs w:val="21"/>
              </w:rPr>
            </w:pPr>
            <w:r>
              <w:rPr>
                <w:szCs w:val="21"/>
              </w:rPr>
              <w:t>D4</w:t>
            </w:r>
          </w:p>
        </w:tc>
        <w:tc>
          <w:tcPr>
            <w:tcW w:w="1471" w:type="pct"/>
            <w:vAlign w:val="center"/>
          </w:tcPr>
          <w:p w14:paraId="4358E6E7">
            <w:pPr>
              <w:tabs>
                <w:tab w:val="left" w:pos="700"/>
                <w:tab w:val="left" w:pos="840"/>
                <w:tab w:val="left" w:pos="900"/>
              </w:tabs>
              <w:adjustRightInd w:val="0"/>
              <w:snapToGrid w:val="0"/>
              <w:spacing w:before="0" w:beforeLines="0" w:line="240" w:lineRule="auto"/>
              <w:jc w:val="center"/>
              <w:rPr>
                <w:szCs w:val="21"/>
              </w:rPr>
            </w:pPr>
            <w:r>
              <w:rPr>
                <w:rFonts w:hint="eastAsia"/>
              </w:rPr>
              <w:t>胡家沟</w:t>
            </w:r>
          </w:p>
        </w:tc>
        <w:tc>
          <w:tcPr>
            <w:tcW w:w="1250" w:type="pct"/>
            <w:vAlign w:val="center"/>
          </w:tcPr>
          <w:p w14:paraId="449EFBDE">
            <w:pPr>
              <w:tabs>
                <w:tab w:val="left" w:pos="700"/>
                <w:tab w:val="left" w:pos="840"/>
                <w:tab w:val="left" w:pos="900"/>
              </w:tabs>
              <w:adjustRightInd w:val="0"/>
              <w:snapToGrid w:val="0"/>
              <w:spacing w:before="0" w:beforeLines="0" w:line="240" w:lineRule="auto"/>
              <w:jc w:val="center"/>
              <w:rPr>
                <w:szCs w:val="21"/>
              </w:rPr>
            </w:pPr>
            <w:r>
              <w:rPr>
                <w:rFonts w:hint="eastAsia"/>
              </w:rPr>
              <w:t>西南偏南</w:t>
            </w:r>
          </w:p>
        </w:tc>
        <w:tc>
          <w:tcPr>
            <w:tcW w:w="1248" w:type="pct"/>
            <w:vMerge w:val="continue"/>
            <w:vAlign w:val="center"/>
          </w:tcPr>
          <w:p w14:paraId="22314639">
            <w:pPr>
              <w:tabs>
                <w:tab w:val="left" w:pos="700"/>
                <w:tab w:val="left" w:pos="840"/>
                <w:tab w:val="left" w:pos="900"/>
              </w:tabs>
              <w:adjustRightInd w:val="0"/>
              <w:snapToGrid w:val="0"/>
              <w:spacing w:before="0" w:beforeLines="0" w:line="240" w:lineRule="auto"/>
              <w:jc w:val="center"/>
              <w:rPr>
                <w:szCs w:val="21"/>
              </w:rPr>
            </w:pPr>
          </w:p>
        </w:tc>
      </w:tr>
      <w:tr w14:paraId="4CB31A3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0" w:type="pct"/>
            <w:vAlign w:val="center"/>
          </w:tcPr>
          <w:p w14:paraId="0D548DA1">
            <w:pPr>
              <w:spacing w:before="0" w:beforeLines="0" w:line="240" w:lineRule="auto"/>
              <w:jc w:val="center"/>
              <w:rPr>
                <w:szCs w:val="21"/>
              </w:rPr>
            </w:pPr>
            <w:r>
              <w:rPr>
                <w:szCs w:val="21"/>
              </w:rPr>
              <w:t>D5</w:t>
            </w:r>
          </w:p>
        </w:tc>
        <w:tc>
          <w:tcPr>
            <w:tcW w:w="1471" w:type="pct"/>
            <w:vAlign w:val="center"/>
          </w:tcPr>
          <w:p w14:paraId="7FCA035F">
            <w:pPr>
              <w:tabs>
                <w:tab w:val="left" w:pos="700"/>
                <w:tab w:val="left" w:pos="840"/>
                <w:tab w:val="left" w:pos="900"/>
              </w:tabs>
              <w:adjustRightInd w:val="0"/>
              <w:snapToGrid w:val="0"/>
              <w:spacing w:before="0" w:beforeLines="0" w:line="240" w:lineRule="auto"/>
              <w:jc w:val="center"/>
              <w:rPr>
                <w:szCs w:val="21"/>
              </w:rPr>
            </w:pPr>
            <w:r>
              <w:rPr>
                <w:rFonts w:hint="eastAsia"/>
              </w:rPr>
              <w:t>那四板营子</w:t>
            </w:r>
          </w:p>
        </w:tc>
        <w:tc>
          <w:tcPr>
            <w:tcW w:w="1250" w:type="pct"/>
            <w:vAlign w:val="center"/>
          </w:tcPr>
          <w:p w14:paraId="03F041F6">
            <w:pPr>
              <w:tabs>
                <w:tab w:val="left" w:pos="700"/>
                <w:tab w:val="left" w:pos="840"/>
                <w:tab w:val="left" w:pos="900"/>
              </w:tabs>
              <w:adjustRightInd w:val="0"/>
              <w:snapToGrid w:val="0"/>
              <w:spacing w:before="0" w:beforeLines="0" w:line="240" w:lineRule="auto"/>
              <w:jc w:val="center"/>
              <w:rPr>
                <w:szCs w:val="21"/>
              </w:rPr>
            </w:pPr>
            <w:r>
              <w:rPr>
                <w:rFonts w:hint="eastAsia"/>
              </w:rPr>
              <w:t>东南</w:t>
            </w:r>
          </w:p>
        </w:tc>
        <w:tc>
          <w:tcPr>
            <w:tcW w:w="1248" w:type="pct"/>
            <w:vMerge w:val="continue"/>
            <w:vAlign w:val="center"/>
          </w:tcPr>
          <w:p w14:paraId="331F23F4">
            <w:pPr>
              <w:tabs>
                <w:tab w:val="left" w:pos="700"/>
                <w:tab w:val="left" w:pos="840"/>
                <w:tab w:val="left" w:pos="900"/>
              </w:tabs>
              <w:adjustRightInd w:val="0"/>
              <w:snapToGrid w:val="0"/>
              <w:spacing w:before="0" w:beforeLines="0" w:line="240" w:lineRule="auto"/>
              <w:jc w:val="center"/>
              <w:rPr>
                <w:szCs w:val="21"/>
              </w:rPr>
            </w:pPr>
          </w:p>
        </w:tc>
      </w:tr>
      <w:tr w14:paraId="79A2EDF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0" w:type="pct"/>
            <w:vAlign w:val="center"/>
          </w:tcPr>
          <w:p w14:paraId="0E0169E7">
            <w:pPr>
              <w:spacing w:before="0" w:beforeLines="0" w:line="240" w:lineRule="auto"/>
              <w:jc w:val="center"/>
              <w:rPr>
                <w:szCs w:val="21"/>
              </w:rPr>
            </w:pPr>
            <w:r>
              <w:rPr>
                <w:szCs w:val="21"/>
              </w:rPr>
              <w:t>D6</w:t>
            </w:r>
          </w:p>
        </w:tc>
        <w:tc>
          <w:tcPr>
            <w:tcW w:w="1471" w:type="pct"/>
            <w:vAlign w:val="center"/>
          </w:tcPr>
          <w:p w14:paraId="6748860D">
            <w:pPr>
              <w:tabs>
                <w:tab w:val="left" w:pos="700"/>
                <w:tab w:val="left" w:pos="840"/>
                <w:tab w:val="left" w:pos="900"/>
              </w:tabs>
              <w:adjustRightInd w:val="0"/>
              <w:snapToGrid w:val="0"/>
              <w:spacing w:before="0" w:beforeLines="0" w:line="240" w:lineRule="auto"/>
              <w:jc w:val="center"/>
              <w:rPr>
                <w:szCs w:val="21"/>
              </w:rPr>
            </w:pPr>
            <w:r>
              <w:rPr>
                <w:rFonts w:hint="eastAsia"/>
              </w:rPr>
              <w:t>四方庙子村</w:t>
            </w:r>
          </w:p>
        </w:tc>
        <w:tc>
          <w:tcPr>
            <w:tcW w:w="1250" w:type="pct"/>
            <w:vAlign w:val="center"/>
          </w:tcPr>
          <w:p w14:paraId="644B9755">
            <w:pPr>
              <w:tabs>
                <w:tab w:val="left" w:pos="700"/>
                <w:tab w:val="left" w:pos="840"/>
                <w:tab w:val="left" w:pos="900"/>
              </w:tabs>
              <w:adjustRightInd w:val="0"/>
              <w:snapToGrid w:val="0"/>
              <w:spacing w:before="0" w:beforeLines="0" w:line="240" w:lineRule="auto"/>
              <w:jc w:val="center"/>
              <w:rPr>
                <w:szCs w:val="21"/>
              </w:rPr>
            </w:pPr>
            <w:r>
              <w:rPr>
                <w:rFonts w:hint="eastAsia"/>
              </w:rPr>
              <w:t>东南</w:t>
            </w:r>
          </w:p>
        </w:tc>
        <w:tc>
          <w:tcPr>
            <w:tcW w:w="1248" w:type="pct"/>
            <w:vMerge w:val="restart"/>
            <w:vAlign w:val="center"/>
          </w:tcPr>
          <w:p w14:paraId="42F98653">
            <w:pPr>
              <w:tabs>
                <w:tab w:val="left" w:pos="700"/>
                <w:tab w:val="left" w:pos="840"/>
                <w:tab w:val="left" w:pos="900"/>
              </w:tabs>
              <w:adjustRightInd w:val="0"/>
              <w:snapToGrid w:val="0"/>
              <w:spacing w:before="78" w:line="240" w:lineRule="auto"/>
              <w:jc w:val="center"/>
              <w:rPr>
                <w:szCs w:val="21"/>
              </w:rPr>
            </w:pPr>
            <w:r>
              <w:rPr>
                <w:szCs w:val="21"/>
              </w:rPr>
              <w:t>水位监测点</w:t>
            </w:r>
          </w:p>
        </w:tc>
      </w:tr>
      <w:tr w14:paraId="3CC0577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0" w:type="pct"/>
            <w:vAlign w:val="center"/>
          </w:tcPr>
          <w:p w14:paraId="7A8F6E46">
            <w:pPr>
              <w:spacing w:before="0" w:beforeLines="0" w:line="240" w:lineRule="auto"/>
              <w:jc w:val="center"/>
              <w:rPr>
                <w:szCs w:val="21"/>
              </w:rPr>
            </w:pPr>
            <w:r>
              <w:rPr>
                <w:szCs w:val="21"/>
              </w:rPr>
              <w:t>D7</w:t>
            </w:r>
          </w:p>
        </w:tc>
        <w:tc>
          <w:tcPr>
            <w:tcW w:w="1471" w:type="pct"/>
            <w:vAlign w:val="center"/>
          </w:tcPr>
          <w:p w14:paraId="6B865BF4">
            <w:pPr>
              <w:tabs>
                <w:tab w:val="left" w:pos="700"/>
                <w:tab w:val="left" w:pos="840"/>
                <w:tab w:val="left" w:pos="900"/>
              </w:tabs>
              <w:adjustRightInd w:val="0"/>
              <w:snapToGrid w:val="0"/>
              <w:spacing w:before="0" w:beforeLines="0" w:line="240" w:lineRule="auto"/>
              <w:jc w:val="center"/>
              <w:rPr>
                <w:szCs w:val="21"/>
              </w:rPr>
            </w:pPr>
            <w:r>
              <w:rPr>
                <w:rFonts w:hint="eastAsia"/>
              </w:rPr>
              <w:t>南山</w:t>
            </w:r>
          </w:p>
        </w:tc>
        <w:tc>
          <w:tcPr>
            <w:tcW w:w="1250" w:type="pct"/>
            <w:vAlign w:val="center"/>
          </w:tcPr>
          <w:p w14:paraId="1C828878">
            <w:pPr>
              <w:tabs>
                <w:tab w:val="left" w:pos="700"/>
                <w:tab w:val="left" w:pos="840"/>
                <w:tab w:val="left" w:pos="900"/>
              </w:tabs>
              <w:adjustRightInd w:val="0"/>
              <w:snapToGrid w:val="0"/>
              <w:spacing w:before="0" w:beforeLines="0" w:line="240" w:lineRule="auto"/>
              <w:jc w:val="center"/>
              <w:rPr>
                <w:szCs w:val="21"/>
              </w:rPr>
            </w:pPr>
            <w:r>
              <w:rPr>
                <w:rFonts w:hint="eastAsia"/>
              </w:rPr>
              <w:t>西南偏西</w:t>
            </w:r>
          </w:p>
        </w:tc>
        <w:tc>
          <w:tcPr>
            <w:tcW w:w="1248" w:type="pct"/>
            <w:vMerge w:val="continue"/>
            <w:vAlign w:val="center"/>
          </w:tcPr>
          <w:p w14:paraId="56BA1B90">
            <w:pPr>
              <w:tabs>
                <w:tab w:val="left" w:pos="700"/>
                <w:tab w:val="left" w:pos="840"/>
                <w:tab w:val="left" w:pos="900"/>
              </w:tabs>
              <w:adjustRightInd w:val="0"/>
              <w:snapToGrid w:val="0"/>
              <w:spacing w:before="78" w:line="240" w:lineRule="auto"/>
              <w:jc w:val="center"/>
              <w:rPr>
                <w:szCs w:val="21"/>
              </w:rPr>
            </w:pPr>
          </w:p>
        </w:tc>
      </w:tr>
      <w:tr w14:paraId="03F4F26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0" w:type="pct"/>
            <w:vAlign w:val="center"/>
          </w:tcPr>
          <w:p w14:paraId="39E7C572">
            <w:pPr>
              <w:spacing w:before="0" w:beforeLines="0" w:line="240" w:lineRule="auto"/>
              <w:jc w:val="center"/>
              <w:rPr>
                <w:szCs w:val="21"/>
              </w:rPr>
            </w:pPr>
            <w:r>
              <w:rPr>
                <w:szCs w:val="21"/>
              </w:rPr>
              <w:t>D8</w:t>
            </w:r>
          </w:p>
        </w:tc>
        <w:tc>
          <w:tcPr>
            <w:tcW w:w="1471" w:type="pct"/>
            <w:vAlign w:val="center"/>
          </w:tcPr>
          <w:p w14:paraId="0B8E8B1F">
            <w:pPr>
              <w:tabs>
                <w:tab w:val="left" w:pos="700"/>
                <w:tab w:val="left" w:pos="840"/>
                <w:tab w:val="left" w:pos="900"/>
              </w:tabs>
              <w:adjustRightInd w:val="0"/>
              <w:snapToGrid w:val="0"/>
              <w:spacing w:before="0" w:beforeLines="0" w:line="240" w:lineRule="auto"/>
              <w:jc w:val="center"/>
              <w:rPr>
                <w:szCs w:val="21"/>
              </w:rPr>
            </w:pPr>
            <w:r>
              <w:rPr>
                <w:rFonts w:hint="eastAsia"/>
              </w:rPr>
              <w:t>邵家窝堡2</w:t>
            </w:r>
          </w:p>
        </w:tc>
        <w:tc>
          <w:tcPr>
            <w:tcW w:w="1250" w:type="pct"/>
            <w:vAlign w:val="center"/>
          </w:tcPr>
          <w:p w14:paraId="767BDC88">
            <w:pPr>
              <w:tabs>
                <w:tab w:val="left" w:pos="700"/>
                <w:tab w:val="left" w:pos="840"/>
                <w:tab w:val="left" w:pos="900"/>
              </w:tabs>
              <w:adjustRightInd w:val="0"/>
              <w:snapToGrid w:val="0"/>
              <w:spacing w:before="0" w:beforeLines="0" w:line="240" w:lineRule="auto"/>
              <w:jc w:val="center"/>
              <w:rPr>
                <w:szCs w:val="21"/>
              </w:rPr>
            </w:pPr>
            <w:r>
              <w:rPr>
                <w:rFonts w:hint="eastAsia"/>
              </w:rPr>
              <w:t>东北偏北</w:t>
            </w:r>
          </w:p>
        </w:tc>
        <w:tc>
          <w:tcPr>
            <w:tcW w:w="1248" w:type="pct"/>
            <w:vMerge w:val="continue"/>
            <w:vAlign w:val="center"/>
          </w:tcPr>
          <w:p w14:paraId="08C8370F">
            <w:pPr>
              <w:tabs>
                <w:tab w:val="left" w:pos="700"/>
                <w:tab w:val="left" w:pos="840"/>
                <w:tab w:val="left" w:pos="900"/>
              </w:tabs>
              <w:adjustRightInd w:val="0"/>
              <w:snapToGrid w:val="0"/>
              <w:spacing w:before="78" w:line="240" w:lineRule="auto"/>
              <w:jc w:val="center"/>
              <w:rPr>
                <w:szCs w:val="21"/>
              </w:rPr>
            </w:pPr>
          </w:p>
        </w:tc>
      </w:tr>
      <w:tr w14:paraId="41E3F3C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0" w:type="pct"/>
            <w:vAlign w:val="center"/>
          </w:tcPr>
          <w:p w14:paraId="6704E702">
            <w:pPr>
              <w:spacing w:before="0" w:beforeLines="0" w:line="240" w:lineRule="auto"/>
              <w:jc w:val="center"/>
              <w:rPr>
                <w:szCs w:val="21"/>
              </w:rPr>
            </w:pPr>
            <w:r>
              <w:rPr>
                <w:szCs w:val="21"/>
              </w:rPr>
              <w:t>D9</w:t>
            </w:r>
          </w:p>
        </w:tc>
        <w:tc>
          <w:tcPr>
            <w:tcW w:w="1471" w:type="pct"/>
            <w:vAlign w:val="center"/>
          </w:tcPr>
          <w:p w14:paraId="421F2665">
            <w:pPr>
              <w:tabs>
                <w:tab w:val="left" w:pos="700"/>
                <w:tab w:val="left" w:pos="840"/>
                <w:tab w:val="left" w:pos="900"/>
              </w:tabs>
              <w:adjustRightInd w:val="0"/>
              <w:snapToGrid w:val="0"/>
              <w:spacing w:before="0" w:beforeLines="0" w:line="240" w:lineRule="auto"/>
              <w:jc w:val="center"/>
              <w:rPr>
                <w:szCs w:val="21"/>
              </w:rPr>
            </w:pPr>
            <w:r>
              <w:rPr>
                <w:rFonts w:hint="eastAsia"/>
                <w:szCs w:val="21"/>
              </w:rPr>
              <w:t>阿哈来村</w:t>
            </w:r>
          </w:p>
        </w:tc>
        <w:tc>
          <w:tcPr>
            <w:tcW w:w="1250" w:type="pct"/>
            <w:vAlign w:val="center"/>
          </w:tcPr>
          <w:p w14:paraId="4010D565">
            <w:pPr>
              <w:tabs>
                <w:tab w:val="left" w:pos="700"/>
                <w:tab w:val="left" w:pos="840"/>
                <w:tab w:val="left" w:pos="900"/>
              </w:tabs>
              <w:adjustRightInd w:val="0"/>
              <w:snapToGrid w:val="0"/>
              <w:spacing w:before="0" w:beforeLines="0" w:line="240" w:lineRule="auto"/>
              <w:jc w:val="center"/>
              <w:rPr>
                <w:szCs w:val="21"/>
              </w:rPr>
            </w:pPr>
            <w:r>
              <w:rPr>
                <w:rFonts w:hint="eastAsia"/>
              </w:rPr>
              <w:t>东北偏东</w:t>
            </w:r>
          </w:p>
        </w:tc>
        <w:tc>
          <w:tcPr>
            <w:tcW w:w="1248" w:type="pct"/>
            <w:vMerge w:val="continue"/>
            <w:vAlign w:val="center"/>
          </w:tcPr>
          <w:p w14:paraId="60D76253">
            <w:pPr>
              <w:tabs>
                <w:tab w:val="left" w:pos="700"/>
                <w:tab w:val="left" w:pos="840"/>
                <w:tab w:val="left" w:pos="900"/>
              </w:tabs>
              <w:adjustRightInd w:val="0"/>
              <w:snapToGrid w:val="0"/>
              <w:spacing w:before="0" w:beforeLines="0" w:line="240" w:lineRule="auto"/>
              <w:jc w:val="center"/>
              <w:rPr>
                <w:szCs w:val="21"/>
              </w:rPr>
            </w:pPr>
          </w:p>
        </w:tc>
      </w:tr>
      <w:tr w14:paraId="59B1B46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0" w:type="pct"/>
            <w:vAlign w:val="center"/>
          </w:tcPr>
          <w:p w14:paraId="610CDDA8">
            <w:pPr>
              <w:spacing w:before="0" w:beforeLines="0" w:line="240" w:lineRule="auto"/>
              <w:jc w:val="center"/>
              <w:rPr>
                <w:szCs w:val="21"/>
              </w:rPr>
            </w:pPr>
            <w:r>
              <w:rPr>
                <w:szCs w:val="21"/>
              </w:rPr>
              <w:t>D10</w:t>
            </w:r>
          </w:p>
        </w:tc>
        <w:tc>
          <w:tcPr>
            <w:tcW w:w="1471" w:type="pct"/>
            <w:vAlign w:val="center"/>
          </w:tcPr>
          <w:p w14:paraId="45A05C3C">
            <w:pPr>
              <w:tabs>
                <w:tab w:val="left" w:pos="700"/>
                <w:tab w:val="left" w:pos="840"/>
                <w:tab w:val="left" w:pos="900"/>
              </w:tabs>
              <w:adjustRightInd w:val="0"/>
              <w:snapToGrid w:val="0"/>
              <w:spacing w:before="0" w:beforeLines="0" w:line="240" w:lineRule="auto"/>
              <w:jc w:val="center"/>
              <w:rPr>
                <w:szCs w:val="21"/>
              </w:rPr>
            </w:pPr>
            <w:r>
              <w:rPr>
                <w:rFonts w:hint="eastAsia"/>
              </w:rPr>
              <w:t>胡家沟2</w:t>
            </w:r>
          </w:p>
        </w:tc>
        <w:tc>
          <w:tcPr>
            <w:tcW w:w="1250" w:type="pct"/>
            <w:vAlign w:val="center"/>
          </w:tcPr>
          <w:p w14:paraId="33FF3A59">
            <w:pPr>
              <w:tabs>
                <w:tab w:val="left" w:pos="700"/>
                <w:tab w:val="left" w:pos="840"/>
                <w:tab w:val="left" w:pos="900"/>
              </w:tabs>
              <w:adjustRightInd w:val="0"/>
              <w:snapToGrid w:val="0"/>
              <w:spacing w:before="0" w:beforeLines="0" w:line="240" w:lineRule="auto"/>
              <w:jc w:val="center"/>
              <w:rPr>
                <w:szCs w:val="21"/>
              </w:rPr>
            </w:pPr>
            <w:r>
              <w:rPr>
                <w:rFonts w:hint="eastAsia"/>
              </w:rPr>
              <w:t>西南偏南</w:t>
            </w:r>
          </w:p>
        </w:tc>
        <w:tc>
          <w:tcPr>
            <w:tcW w:w="1248" w:type="pct"/>
            <w:vMerge w:val="continue"/>
            <w:vAlign w:val="center"/>
          </w:tcPr>
          <w:p w14:paraId="616E25EC">
            <w:pPr>
              <w:tabs>
                <w:tab w:val="left" w:pos="700"/>
                <w:tab w:val="left" w:pos="840"/>
                <w:tab w:val="left" w:pos="900"/>
              </w:tabs>
              <w:adjustRightInd w:val="0"/>
              <w:snapToGrid w:val="0"/>
              <w:spacing w:before="0" w:beforeLines="0" w:line="240" w:lineRule="auto"/>
              <w:jc w:val="center"/>
              <w:rPr>
                <w:szCs w:val="21"/>
              </w:rPr>
            </w:pPr>
          </w:p>
        </w:tc>
      </w:tr>
    </w:tbl>
    <w:p w14:paraId="11630CA5">
      <w:pPr>
        <w:spacing w:before="78" w:line="360" w:lineRule="auto"/>
        <w:ind w:firstLine="482" w:firstLineChars="200"/>
        <w:rPr>
          <w:b/>
          <w:bCs/>
          <w:sz w:val="24"/>
        </w:rPr>
      </w:pPr>
      <w:r>
        <w:rPr>
          <w:b/>
          <w:bCs/>
          <w:sz w:val="24"/>
        </w:rPr>
        <w:fldChar w:fldCharType="begin"/>
      </w:r>
      <w:r>
        <w:rPr>
          <w:b/>
          <w:bCs/>
          <w:sz w:val="24"/>
        </w:rPr>
        <w:instrText xml:space="preserve"> = 2 \* GB2 \* MERGEFORMAT </w:instrText>
      </w:r>
      <w:r>
        <w:rPr>
          <w:b/>
          <w:bCs/>
          <w:sz w:val="24"/>
        </w:rPr>
        <w:fldChar w:fldCharType="separate"/>
      </w:r>
      <w:r>
        <w:rPr>
          <w:b/>
          <w:bCs/>
          <w:sz w:val="24"/>
        </w:rPr>
        <w:t>⑵</w:t>
      </w:r>
      <w:r>
        <w:rPr>
          <w:b/>
          <w:bCs/>
          <w:sz w:val="24"/>
        </w:rPr>
        <w:fldChar w:fldCharType="end"/>
      </w:r>
      <w:r>
        <w:rPr>
          <w:b/>
          <w:bCs/>
          <w:sz w:val="24"/>
        </w:rPr>
        <w:t>监测时间、频率</w:t>
      </w:r>
    </w:p>
    <w:p w14:paraId="1FE8CA05">
      <w:pPr>
        <w:spacing w:before="78" w:line="360" w:lineRule="auto"/>
        <w:ind w:firstLine="480" w:firstLineChars="200"/>
        <w:rPr>
          <w:sz w:val="24"/>
        </w:rPr>
      </w:pPr>
      <w:r>
        <w:rPr>
          <w:sz w:val="24"/>
        </w:rPr>
        <w:t>监测1天，监测一次。</w:t>
      </w:r>
    </w:p>
    <w:p w14:paraId="409ADE82">
      <w:pPr>
        <w:spacing w:before="78" w:line="360" w:lineRule="auto"/>
        <w:ind w:firstLine="482" w:firstLineChars="200"/>
        <w:rPr>
          <w:b/>
          <w:bCs/>
          <w:sz w:val="24"/>
        </w:rPr>
      </w:pPr>
      <w:r>
        <w:rPr>
          <w:b/>
          <w:bCs/>
          <w:sz w:val="24"/>
        </w:rPr>
        <w:fldChar w:fldCharType="begin"/>
      </w:r>
      <w:r>
        <w:rPr>
          <w:b/>
          <w:bCs/>
          <w:sz w:val="24"/>
        </w:rPr>
        <w:instrText xml:space="preserve"> = 3 \* GB2 \* MERGEFORMAT </w:instrText>
      </w:r>
      <w:r>
        <w:rPr>
          <w:b/>
          <w:bCs/>
          <w:sz w:val="24"/>
        </w:rPr>
        <w:fldChar w:fldCharType="separate"/>
      </w:r>
      <w:r>
        <w:rPr>
          <w:b/>
          <w:bCs/>
          <w:sz w:val="24"/>
        </w:rPr>
        <w:t>⑶</w:t>
      </w:r>
      <w:r>
        <w:rPr>
          <w:b/>
          <w:bCs/>
          <w:sz w:val="24"/>
        </w:rPr>
        <w:fldChar w:fldCharType="end"/>
      </w:r>
      <w:r>
        <w:rPr>
          <w:b/>
          <w:bCs/>
          <w:sz w:val="24"/>
        </w:rPr>
        <w:t>监测项目（水质）</w:t>
      </w:r>
    </w:p>
    <w:p w14:paraId="10570004">
      <w:pPr>
        <w:spacing w:before="156" w:beforeLines="50" w:line="360" w:lineRule="auto"/>
        <w:ind w:firstLine="480" w:firstLineChars="200"/>
        <w:rPr>
          <w:sz w:val="24"/>
        </w:rPr>
      </w:pPr>
      <w:r>
        <w:rPr>
          <w:sz w:val="24"/>
        </w:rPr>
        <w:t>①八大离子：K+、Na+、Ca</w:t>
      </w:r>
      <w:r>
        <w:rPr>
          <w:sz w:val="24"/>
          <w:vertAlign w:val="superscript"/>
        </w:rPr>
        <w:t>2+</w:t>
      </w:r>
      <w:r>
        <w:rPr>
          <w:sz w:val="24"/>
        </w:rPr>
        <w:t>、Mg</w:t>
      </w:r>
      <w:r>
        <w:rPr>
          <w:sz w:val="24"/>
          <w:vertAlign w:val="superscript"/>
        </w:rPr>
        <w:t>2+</w:t>
      </w:r>
      <w:r>
        <w:rPr>
          <w:sz w:val="24"/>
        </w:rPr>
        <w:t>、CO</w:t>
      </w:r>
      <w:r>
        <w:rPr>
          <w:sz w:val="24"/>
          <w:vertAlign w:val="subscript"/>
        </w:rPr>
        <w:t>3</w:t>
      </w:r>
      <w:r>
        <w:rPr>
          <w:sz w:val="24"/>
          <w:vertAlign w:val="superscript"/>
        </w:rPr>
        <w:t>2-</w:t>
      </w:r>
      <w:r>
        <w:rPr>
          <w:sz w:val="24"/>
        </w:rPr>
        <w:t>、HCO</w:t>
      </w:r>
      <w:r>
        <w:rPr>
          <w:sz w:val="24"/>
          <w:vertAlign w:val="subscript"/>
        </w:rPr>
        <w:t>3</w:t>
      </w:r>
      <w:r>
        <w:rPr>
          <w:sz w:val="24"/>
          <w:vertAlign w:val="superscript"/>
        </w:rPr>
        <w:t>-</w:t>
      </w:r>
      <w:r>
        <w:rPr>
          <w:sz w:val="24"/>
        </w:rPr>
        <w:t>、Cl-、SO</w:t>
      </w:r>
      <w:r>
        <w:rPr>
          <w:sz w:val="24"/>
          <w:vertAlign w:val="subscript"/>
        </w:rPr>
        <w:t>4</w:t>
      </w:r>
      <w:r>
        <w:rPr>
          <w:sz w:val="24"/>
          <w:vertAlign w:val="superscript"/>
        </w:rPr>
        <w:t>2-</w:t>
      </w:r>
      <w:r>
        <w:rPr>
          <w:sz w:val="24"/>
        </w:rPr>
        <w:t>。</w:t>
      </w:r>
    </w:p>
    <w:p w14:paraId="74A8444F">
      <w:pPr>
        <w:spacing w:before="78" w:line="360" w:lineRule="auto"/>
        <w:ind w:firstLine="480" w:firstLineChars="200"/>
        <w:rPr>
          <w:sz w:val="24"/>
        </w:rPr>
      </w:pPr>
      <w:r>
        <w:rPr>
          <w:sz w:val="24"/>
        </w:rPr>
        <w:t>②基本+特征因子：pH、氨氮、硝酸盐、亚硝酸盐、挥发性酚类、氰化物、砷、汞、铬(六价)、总硬度、铅、氟、镉、铁、锰、溶解性总固体、</w:t>
      </w:r>
      <w:r>
        <w:rPr>
          <w:rFonts w:hint="eastAsia"/>
          <w:sz w:val="24"/>
        </w:rPr>
        <w:t>耗氧量</w:t>
      </w:r>
      <w:r>
        <w:rPr>
          <w:sz w:val="24"/>
        </w:rPr>
        <w:t>、硫酸盐、氯化物、总大肠菌群、细菌总数、总硬度、石油类、铝、硫化物。</w:t>
      </w:r>
    </w:p>
    <w:p w14:paraId="76518701">
      <w:pPr>
        <w:spacing w:before="78" w:line="360" w:lineRule="auto"/>
        <w:ind w:firstLine="480" w:firstLineChars="200"/>
        <w:rPr>
          <w:sz w:val="24"/>
        </w:rPr>
      </w:pPr>
      <w:r>
        <w:rPr>
          <w:rFonts w:hint="eastAsia"/>
          <w:sz w:val="24"/>
        </w:rPr>
        <w:t>③特征因子：钒、钛</w:t>
      </w:r>
    </w:p>
    <w:p w14:paraId="30B51864">
      <w:pPr>
        <w:spacing w:before="78" w:line="360" w:lineRule="auto"/>
        <w:ind w:firstLine="482" w:firstLineChars="200"/>
        <w:rPr>
          <w:b/>
          <w:bCs/>
          <w:sz w:val="24"/>
        </w:rPr>
      </w:pPr>
      <w:r>
        <w:rPr>
          <w:b/>
          <w:bCs/>
          <w:sz w:val="24"/>
        </w:rPr>
        <w:fldChar w:fldCharType="begin"/>
      </w:r>
      <w:r>
        <w:rPr>
          <w:b/>
          <w:bCs/>
          <w:sz w:val="24"/>
        </w:rPr>
        <w:instrText xml:space="preserve"> = 4 \* GB2 \* MERGEFORMAT </w:instrText>
      </w:r>
      <w:r>
        <w:rPr>
          <w:b/>
          <w:bCs/>
          <w:sz w:val="24"/>
        </w:rPr>
        <w:fldChar w:fldCharType="separate"/>
      </w:r>
      <w:r>
        <w:rPr>
          <w:b/>
          <w:bCs/>
          <w:sz w:val="24"/>
        </w:rPr>
        <w:t>⑷</w:t>
      </w:r>
      <w:r>
        <w:rPr>
          <w:b/>
          <w:bCs/>
          <w:sz w:val="24"/>
        </w:rPr>
        <w:fldChar w:fldCharType="end"/>
      </w:r>
      <w:r>
        <w:rPr>
          <w:b/>
          <w:bCs/>
          <w:sz w:val="24"/>
        </w:rPr>
        <w:t>监测结果</w:t>
      </w:r>
    </w:p>
    <w:p w14:paraId="3BEDE8CC">
      <w:pPr>
        <w:snapToGrid w:val="0"/>
        <w:spacing w:before="156" w:beforeLines="50"/>
        <w:jc w:val="center"/>
        <w:rPr>
          <w:b/>
          <w:szCs w:val="21"/>
        </w:rPr>
        <w:sectPr>
          <w:footerReference r:id="rId21" w:type="even"/>
          <w:pgSz w:w="11906" w:h="16838"/>
          <w:pgMar w:top="1440" w:right="1797" w:bottom="1440" w:left="1797" w:header="850" w:footer="850" w:gutter="0"/>
          <w:cols w:space="720" w:num="1"/>
          <w:docGrid w:type="lines" w:linePitch="312" w:charSpace="0"/>
        </w:sectPr>
      </w:pPr>
    </w:p>
    <w:p w14:paraId="6D776954">
      <w:pPr>
        <w:spacing w:before="0" w:beforeLines="0" w:line="240" w:lineRule="auto"/>
        <w:jc w:val="center"/>
        <w:rPr>
          <w:b/>
          <w:bCs/>
          <w:szCs w:val="21"/>
        </w:rPr>
      </w:pPr>
      <w:r>
        <w:rPr>
          <w:b/>
          <w:bCs/>
          <w:szCs w:val="21"/>
        </w:rPr>
        <w:t xml:space="preserve"> 表4.2-17  地下水监测结果统计表</w:t>
      </w:r>
    </w:p>
    <w:tbl>
      <w:tblPr>
        <w:tblStyle w:val="89"/>
        <w:tblW w:w="500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560"/>
        <w:gridCol w:w="990"/>
        <w:gridCol w:w="2013"/>
        <w:gridCol w:w="2013"/>
        <w:gridCol w:w="2013"/>
        <w:gridCol w:w="2013"/>
        <w:gridCol w:w="2013"/>
        <w:gridCol w:w="1343"/>
      </w:tblGrid>
      <w:tr w14:paraId="3E67177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559" w:type="pct"/>
            <w:vMerge w:val="restart"/>
            <w:tcBorders>
              <w:tl2br w:val="nil"/>
              <w:tr2bl w:val="nil"/>
            </w:tcBorders>
            <w:vAlign w:val="center"/>
          </w:tcPr>
          <w:p w14:paraId="1910A132">
            <w:pPr>
              <w:spacing w:before="0" w:beforeLines="0" w:line="240" w:lineRule="auto"/>
              <w:jc w:val="center"/>
              <w:rPr>
                <w:szCs w:val="21"/>
              </w:rPr>
            </w:pPr>
            <w:r>
              <w:rPr>
                <w:szCs w:val="21"/>
              </w:rPr>
              <w:t>检测项目</w:t>
            </w:r>
          </w:p>
        </w:tc>
        <w:tc>
          <w:tcPr>
            <w:tcW w:w="355" w:type="pct"/>
            <w:vMerge w:val="restart"/>
            <w:tcBorders>
              <w:tl2br w:val="nil"/>
              <w:tr2bl w:val="nil"/>
            </w:tcBorders>
            <w:vAlign w:val="center"/>
          </w:tcPr>
          <w:p w14:paraId="2E04C160">
            <w:pPr>
              <w:spacing w:before="0" w:beforeLines="0" w:line="240" w:lineRule="auto"/>
              <w:jc w:val="center"/>
              <w:rPr>
                <w:szCs w:val="21"/>
              </w:rPr>
            </w:pPr>
            <w:r>
              <w:rPr>
                <w:szCs w:val="21"/>
              </w:rPr>
              <w:t>标准</w:t>
            </w:r>
          </w:p>
        </w:tc>
        <w:tc>
          <w:tcPr>
            <w:tcW w:w="3605" w:type="pct"/>
            <w:gridSpan w:val="5"/>
            <w:tcBorders>
              <w:tl2br w:val="nil"/>
              <w:tr2bl w:val="nil"/>
            </w:tcBorders>
            <w:vAlign w:val="center"/>
          </w:tcPr>
          <w:p w14:paraId="077B3AEC">
            <w:pPr>
              <w:spacing w:before="0" w:beforeLines="0" w:line="240" w:lineRule="auto"/>
              <w:jc w:val="center"/>
              <w:rPr>
                <w:szCs w:val="21"/>
              </w:rPr>
            </w:pPr>
            <w:r>
              <w:rPr>
                <w:szCs w:val="21"/>
              </w:rPr>
              <w:t>检测结果</w:t>
            </w:r>
          </w:p>
        </w:tc>
        <w:tc>
          <w:tcPr>
            <w:tcW w:w="481" w:type="pct"/>
            <w:vMerge w:val="restart"/>
            <w:tcBorders>
              <w:tl2br w:val="nil"/>
              <w:tr2bl w:val="nil"/>
            </w:tcBorders>
            <w:vAlign w:val="center"/>
          </w:tcPr>
          <w:p w14:paraId="1D90284F">
            <w:pPr>
              <w:spacing w:before="0" w:beforeLines="0" w:line="240" w:lineRule="auto"/>
              <w:jc w:val="center"/>
              <w:rPr>
                <w:szCs w:val="21"/>
              </w:rPr>
            </w:pPr>
            <w:r>
              <w:rPr>
                <w:szCs w:val="21"/>
              </w:rPr>
              <w:t>单位</w:t>
            </w:r>
          </w:p>
        </w:tc>
      </w:tr>
      <w:tr w14:paraId="08E085B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vMerge w:val="continue"/>
            <w:tcBorders>
              <w:tl2br w:val="nil"/>
              <w:tr2bl w:val="nil"/>
            </w:tcBorders>
            <w:vAlign w:val="center"/>
          </w:tcPr>
          <w:p w14:paraId="13FD30D7">
            <w:pPr>
              <w:spacing w:before="0" w:beforeLines="0" w:line="240" w:lineRule="auto"/>
              <w:jc w:val="center"/>
              <w:rPr>
                <w:szCs w:val="21"/>
              </w:rPr>
            </w:pPr>
          </w:p>
        </w:tc>
        <w:tc>
          <w:tcPr>
            <w:tcW w:w="355" w:type="pct"/>
            <w:vMerge w:val="continue"/>
            <w:tcBorders>
              <w:tl2br w:val="nil"/>
              <w:tr2bl w:val="nil"/>
            </w:tcBorders>
            <w:vAlign w:val="center"/>
          </w:tcPr>
          <w:p w14:paraId="73476971">
            <w:pPr>
              <w:spacing w:before="0" w:beforeLines="0" w:line="240" w:lineRule="auto"/>
              <w:jc w:val="center"/>
              <w:rPr>
                <w:szCs w:val="21"/>
              </w:rPr>
            </w:pPr>
          </w:p>
        </w:tc>
        <w:tc>
          <w:tcPr>
            <w:tcW w:w="721" w:type="pct"/>
            <w:tcBorders>
              <w:tl2br w:val="nil"/>
              <w:tr2bl w:val="nil"/>
            </w:tcBorders>
            <w:vAlign w:val="center"/>
          </w:tcPr>
          <w:p w14:paraId="15A4FCE1">
            <w:pPr>
              <w:spacing w:before="0" w:beforeLines="0" w:line="240" w:lineRule="auto"/>
              <w:jc w:val="center"/>
              <w:rPr>
                <w:szCs w:val="21"/>
              </w:rPr>
            </w:pPr>
            <w:r>
              <w:rPr>
                <w:szCs w:val="21"/>
              </w:rPr>
              <w:t>邵家窝堡D1</w:t>
            </w:r>
          </w:p>
        </w:tc>
        <w:tc>
          <w:tcPr>
            <w:tcW w:w="721" w:type="pct"/>
            <w:tcBorders>
              <w:tl2br w:val="nil"/>
              <w:tr2bl w:val="nil"/>
            </w:tcBorders>
            <w:vAlign w:val="center"/>
          </w:tcPr>
          <w:p w14:paraId="7585FBB5">
            <w:pPr>
              <w:spacing w:before="0" w:beforeLines="0" w:line="240" w:lineRule="auto"/>
              <w:jc w:val="center"/>
              <w:rPr>
                <w:szCs w:val="21"/>
              </w:rPr>
            </w:pPr>
            <w:r>
              <w:rPr>
                <w:szCs w:val="21"/>
              </w:rPr>
              <w:t>满汉营子D2</w:t>
            </w:r>
          </w:p>
        </w:tc>
        <w:tc>
          <w:tcPr>
            <w:tcW w:w="721" w:type="pct"/>
            <w:tcBorders>
              <w:tl2br w:val="nil"/>
              <w:tr2bl w:val="nil"/>
            </w:tcBorders>
            <w:vAlign w:val="center"/>
          </w:tcPr>
          <w:p w14:paraId="301642E5">
            <w:pPr>
              <w:spacing w:before="0" w:beforeLines="0" w:line="240" w:lineRule="auto"/>
              <w:jc w:val="center"/>
              <w:rPr>
                <w:rFonts w:eastAsiaTheme="minorEastAsia"/>
                <w:szCs w:val="21"/>
              </w:rPr>
            </w:pPr>
            <w:r>
              <w:rPr>
                <w:rFonts w:hint="eastAsia"/>
                <w:szCs w:val="21"/>
              </w:rPr>
              <w:t>孟家窝堡D3</w:t>
            </w:r>
          </w:p>
        </w:tc>
        <w:tc>
          <w:tcPr>
            <w:tcW w:w="721" w:type="pct"/>
            <w:tcBorders>
              <w:right w:val="single" w:color="000000" w:sz="6" w:space="0"/>
              <w:tl2br w:val="nil"/>
              <w:tr2bl w:val="nil"/>
            </w:tcBorders>
            <w:vAlign w:val="center"/>
          </w:tcPr>
          <w:p w14:paraId="611113A5">
            <w:pPr>
              <w:spacing w:before="0" w:beforeLines="0" w:line="240" w:lineRule="auto"/>
              <w:jc w:val="center"/>
              <w:rPr>
                <w:szCs w:val="21"/>
              </w:rPr>
            </w:pPr>
            <w:r>
              <w:rPr>
                <w:szCs w:val="21"/>
              </w:rPr>
              <w:t>1-胡家沟D</w:t>
            </w:r>
            <w:r>
              <w:rPr>
                <w:rFonts w:hint="eastAsia"/>
                <w:szCs w:val="21"/>
              </w:rPr>
              <w:t>4</w:t>
            </w:r>
          </w:p>
        </w:tc>
        <w:tc>
          <w:tcPr>
            <w:tcW w:w="721" w:type="pct"/>
            <w:tcBorders>
              <w:tl2br w:val="nil"/>
              <w:tr2bl w:val="nil"/>
            </w:tcBorders>
          </w:tcPr>
          <w:p w14:paraId="672B9394">
            <w:pPr>
              <w:spacing w:before="0" w:beforeLines="0" w:line="240" w:lineRule="auto"/>
              <w:jc w:val="center"/>
              <w:rPr>
                <w:szCs w:val="21"/>
              </w:rPr>
            </w:pPr>
            <w:r>
              <w:rPr>
                <w:rFonts w:hint="eastAsia"/>
                <w:szCs w:val="21"/>
              </w:rPr>
              <w:t>那四板营子</w:t>
            </w:r>
            <w:r>
              <w:rPr>
                <w:szCs w:val="21"/>
              </w:rPr>
              <w:t>D</w:t>
            </w:r>
            <w:r>
              <w:rPr>
                <w:rFonts w:hint="eastAsia"/>
                <w:szCs w:val="21"/>
              </w:rPr>
              <w:t>5</w:t>
            </w:r>
          </w:p>
        </w:tc>
        <w:tc>
          <w:tcPr>
            <w:tcW w:w="481" w:type="pct"/>
            <w:vMerge w:val="continue"/>
            <w:tcBorders>
              <w:tl2br w:val="nil"/>
              <w:tr2bl w:val="nil"/>
            </w:tcBorders>
            <w:vAlign w:val="center"/>
          </w:tcPr>
          <w:p w14:paraId="0DC99186">
            <w:pPr>
              <w:spacing w:before="0" w:beforeLines="0" w:line="240" w:lineRule="auto"/>
              <w:jc w:val="center"/>
              <w:rPr>
                <w:szCs w:val="21"/>
              </w:rPr>
            </w:pPr>
          </w:p>
        </w:tc>
      </w:tr>
      <w:tr w14:paraId="0CBECE4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14:paraId="287694A0">
            <w:pPr>
              <w:widowControl/>
              <w:spacing w:before="0" w:beforeLines="0" w:line="240" w:lineRule="auto"/>
              <w:jc w:val="center"/>
              <w:textAlignment w:val="center"/>
              <w:rPr>
                <w:rFonts w:eastAsiaTheme="minorEastAsia"/>
                <w:szCs w:val="21"/>
              </w:rPr>
            </w:pPr>
            <w:r>
              <w:rPr>
                <w:kern w:val="0"/>
                <w:szCs w:val="21"/>
                <w:lang w:bidi="ar"/>
              </w:rPr>
              <w:t>K</w:t>
            </w:r>
            <w:r>
              <w:rPr>
                <w:kern w:val="0"/>
                <w:szCs w:val="21"/>
                <w:vertAlign w:val="superscript"/>
                <w:lang w:bidi="ar"/>
              </w:rPr>
              <w:t>+</w:t>
            </w:r>
          </w:p>
        </w:tc>
        <w:tc>
          <w:tcPr>
            <w:tcW w:w="355" w:type="pct"/>
            <w:tcBorders>
              <w:tl2br w:val="nil"/>
              <w:tr2bl w:val="nil"/>
            </w:tcBorders>
            <w:vAlign w:val="center"/>
          </w:tcPr>
          <w:p w14:paraId="68307B1D">
            <w:pPr>
              <w:widowControl/>
              <w:spacing w:before="0" w:beforeLines="0" w:line="240" w:lineRule="auto"/>
              <w:jc w:val="center"/>
              <w:textAlignment w:val="center"/>
              <w:rPr>
                <w:kern w:val="0"/>
                <w:szCs w:val="21"/>
                <w:lang w:bidi="ar"/>
              </w:rPr>
            </w:pPr>
            <w:r>
              <w:rPr>
                <w:kern w:val="0"/>
                <w:szCs w:val="21"/>
                <w:lang w:bidi="ar"/>
              </w:rPr>
              <w:t>/</w:t>
            </w:r>
          </w:p>
        </w:tc>
        <w:tc>
          <w:tcPr>
            <w:tcW w:w="721" w:type="pct"/>
            <w:tcBorders>
              <w:tl2br w:val="nil"/>
              <w:tr2bl w:val="nil"/>
            </w:tcBorders>
            <w:vAlign w:val="center"/>
          </w:tcPr>
          <w:p w14:paraId="26F00232">
            <w:pPr>
              <w:widowControl/>
              <w:spacing w:before="0" w:beforeLines="0" w:line="240" w:lineRule="auto"/>
              <w:jc w:val="center"/>
              <w:textAlignment w:val="center"/>
              <w:rPr>
                <w:szCs w:val="21"/>
              </w:rPr>
            </w:pPr>
            <w:r>
              <w:rPr>
                <w:szCs w:val="21"/>
              </w:rPr>
              <w:t xml:space="preserve">4.41 </w:t>
            </w:r>
          </w:p>
        </w:tc>
        <w:tc>
          <w:tcPr>
            <w:tcW w:w="721" w:type="pct"/>
            <w:tcBorders>
              <w:tl2br w:val="nil"/>
              <w:tr2bl w:val="nil"/>
            </w:tcBorders>
            <w:vAlign w:val="center"/>
          </w:tcPr>
          <w:p w14:paraId="6090F8E7">
            <w:pPr>
              <w:widowControl/>
              <w:spacing w:before="0" w:beforeLines="0" w:line="240" w:lineRule="auto"/>
              <w:jc w:val="center"/>
              <w:textAlignment w:val="center"/>
              <w:rPr>
                <w:szCs w:val="21"/>
              </w:rPr>
            </w:pPr>
            <w:r>
              <w:rPr>
                <w:szCs w:val="21"/>
              </w:rPr>
              <w:t xml:space="preserve">1.07 </w:t>
            </w:r>
          </w:p>
        </w:tc>
        <w:tc>
          <w:tcPr>
            <w:tcW w:w="721" w:type="pct"/>
            <w:tcBorders>
              <w:tl2br w:val="nil"/>
              <w:tr2bl w:val="nil"/>
            </w:tcBorders>
            <w:vAlign w:val="center"/>
          </w:tcPr>
          <w:p w14:paraId="34A98D5C">
            <w:pPr>
              <w:widowControl/>
              <w:spacing w:before="0" w:beforeLines="0" w:line="240" w:lineRule="auto"/>
              <w:jc w:val="center"/>
              <w:textAlignment w:val="center"/>
              <w:rPr>
                <w:szCs w:val="21"/>
              </w:rPr>
            </w:pPr>
            <w:r>
              <w:rPr>
                <w:rFonts w:hint="eastAsia"/>
                <w:kern w:val="0"/>
                <w:szCs w:val="21"/>
                <w:lang w:bidi="ar"/>
              </w:rPr>
              <w:t xml:space="preserve">2.42 </w:t>
            </w:r>
          </w:p>
        </w:tc>
        <w:tc>
          <w:tcPr>
            <w:tcW w:w="721" w:type="pct"/>
            <w:tcBorders>
              <w:tl2br w:val="nil"/>
              <w:tr2bl w:val="nil"/>
            </w:tcBorders>
            <w:vAlign w:val="center"/>
          </w:tcPr>
          <w:p w14:paraId="67A0DB49">
            <w:pPr>
              <w:widowControl/>
              <w:spacing w:before="0" w:beforeLines="0" w:line="240" w:lineRule="auto"/>
              <w:jc w:val="center"/>
              <w:textAlignment w:val="center"/>
              <w:rPr>
                <w:szCs w:val="21"/>
              </w:rPr>
            </w:pPr>
            <w:r>
              <w:rPr>
                <w:szCs w:val="21"/>
              </w:rPr>
              <w:t xml:space="preserve">1.83 </w:t>
            </w:r>
          </w:p>
        </w:tc>
        <w:tc>
          <w:tcPr>
            <w:tcW w:w="721" w:type="pct"/>
            <w:tcBorders>
              <w:tl2br w:val="nil"/>
              <w:tr2bl w:val="nil"/>
            </w:tcBorders>
            <w:vAlign w:val="center"/>
          </w:tcPr>
          <w:p w14:paraId="210969B2">
            <w:pPr>
              <w:autoSpaceDN w:val="0"/>
              <w:spacing w:before="0" w:beforeLines="0" w:line="240" w:lineRule="auto"/>
              <w:jc w:val="center"/>
              <w:textAlignment w:val="center"/>
              <w:rPr>
                <w:kern w:val="0"/>
                <w:szCs w:val="21"/>
                <w:lang w:bidi="ar"/>
              </w:rPr>
            </w:pPr>
            <w:r>
              <w:rPr>
                <w:rFonts w:hint="eastAsia"/>
                <w:kern w:val="0"/>
                <w:szCs w:val="21"/>
                <w:lang w:bidi="ar"/>
              </w:rPr>
              <w:t xml:space="preserve">1.81 </w:t>
            </w:r>
          </w:p>
        </w:tc>
        <w:tc>
          <w:tcPr>
            <w:tcW w:w="481" w:type="pct"/>
            <w:tcBorders>
              <w:tl2br w:val="nil"/>
              <w:tr2bl w:val="nil"/>
            </w:tcBorders>
            <w:vAlign w:val="center"/>
          </w:tcPr>
          <w:p w14:paraId="012893E8">
            <w:pPr>
              <w:autoSpaceDN w:val="0"/>
              <w:spacing w:before="0" w:beforeLines="0" w:line="240" w:lineRule="auto"/>
              <w:jc w:val="center"/>
              <w:textAlignment w:val="center"/>
              <w:rPr>
                <w:rFonts w:eastAsiaTheme="minorEastAsia"/>
                <w:kern w:val="0"/>
                <w:szCs w:val="21"/>
              </w:rPr>
            </w:pPr>
            <w:r>
              <w:rPr>
                <w:kern w:val="0"/>
                <w:szCs w:val="21"/>
                <w:lang w:bidi="ar"/>
              </w:rPr>
              <w:t>mg/L</w:t>
            </w:r>
          </w:p>
        </w:tc>
      </w:tr>
      <w:tr w14:paraId="2A125A4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14:paraId="0EFC269B">
            <w:pPr>
              <w:widowControl/>
              <w:spacing w:before="0" w:beforeLines="0" w:line="240" w:lineRule="auto"/>
              <w:jc w:val="center"/>
              <w:textAlignment w:val="center"/>
              <w:rPr>
                <w:rFonts w:eastAsiaTheme="minorEastAsia"/>
                <w:szCs w:val="21"/>
              </w:rPr>
            </w:pPr>
            <w:r>
              <w:rPr>
                <w:kern w:val="0"/>
                <w:szCs w:val="21"/>
                <w:lang w:bidi="ar"/>
              </w:rPr>
              <w:t>Na</w:t>
            </w:r>
            <w:r>
              <w:rPr>
                <w:kern w:val="0"/>
                <w:szCs w:val="21"/>
                <w:vertAlign w:val="superscript"/>
                <w:lang w:bidi="ar"/>
              </w:rPr>
              <w:t>+</w:t>
            </w:r>
          </w:p>
        </w:tc>
        <w:tc>
          <w:tcPr>
            <w:tcW w:w="355" w:type="pct"/>
            <w:tcBorders>
              <w:tl2br w:val="nil"/>
              <w:tr2bl w:val="nil"/>
            </w:tcBorders>
            <w:vAlign w:val="center"/>
          </w:tcPr>
          <w:p w14:paraId="7A61B8BF">
            <w:pPr>
              <w:widowControl/>
              <w:spacing w:before="0" w:beforeLines="0" w:line="240" w:lineRule="auto"/>
              <w:jc w:val="center"/>
              <w:textAlignment w:val="center"/>
              <w:rPr>
                <w:kern w:val="0"/>
                <w:szCs w:val="21"/>
                <w:lang w:bidi="ar"/>
              </w:rPr>
            </w:pPr>
            <w:r>
              <w:rPr>
                <w:kern w:val="0"/>
                <w:szCs w:val="21"/>
                <w:lang w:bidi="ar"/>
              </w:rPr>
              <w:t>/</w:t>
            </w:r>
          </w:p>
        </w:tc>
        <w:tc>
          <w:tcPr>
            <w:tcW w:w="721" w:type="pct"/>
            <w:tcBorders>
              <w:tl2br w:val="nil"/>
              <w:tr2bl w:val="nil"/>
            </w:tcBorders>
            <w:vAlign w:val="center"/>
          </w:tcPr>
          <w:p w14:paraId="11F974EF">
            <w:pPr>
              <w:widowControl/>
              <w:spacing w:before="0" w:beforeLines="0" w:line="240" w:lineRule="auto"/>
              <w:jc w:val="center"/>
              <w:textAlignment w:val="center"/>
              <w:rPr>
                <w:szCs w:val="21"/>
              </w:rPr>
            </w:pPr>
            <w:r>
              <w:rPr>
                <w:szCs w:val="21"/>
              </w:rPr>
              <w:t xml:space="preserve">21.1 </w:t>
            </w:r>
          </w:p>
        </w:tc>
        <w:tc>
          <w:tcPr>
            <w:tcW w:w="721" w:type="pct"/>
            <w:tcBorders>
              <w:tl2br w:val="nil"/>
              <w:tr2bl w:val="nil"/>
            </w:tcBorders>
            <w:vAlign w:val="center"/>
          </w:tcPr>
          <w:p w14:paraId="2A07A228">
            <w:pPr>
              <w:widowControl/>
              <w:spacing w:before="0" w:beforeLines="0" w:line="240" w:lineRule="auto"/>
              <w:jc w:val="center"/>
              <w:textAlignment w:val="center"/>
              <w:rPr>
                <w:szCs w:val="21"/>
              </w:rPr>
            </w:pPr>
            <w:r>
              <w:rPr>
                <w:szCs w:val="21"/>
              </w:rPr>
              <w:t xml:space="preserve">30.0 </w:t>
            </w:r>
          </w:p>
        </w:tc>
        <w:tc>
          <w:tcPr>
            <w:tcW w:w="721" w:type="pct"/>
            <w:tcBorders>
              <w:tl2br w:val="nil"/>
              <w:tr2bl w:val="nil"/>
            </w:tcBorders>
            <w:vAlign w:val="center"/>
          </w:tcPr>
          <w:p w14:paraId="01E4AE41">
            <w:pPr>
              <w:widowControl/>
              <w:spacing w:before="0" w:beforeLines="0" w:line="240" w:lineRule="auto"/>
              <w:jc w:val="center"/>
              <w:textAlignment w:val="center"/>
              <w:rPr>
                <w:szCs w:val="21"/>
              </w:rPr>
            </w:pPr>
            <w:r>
              <w:rPr>
                <w:rFonts w:hint="eastAsia"/>
                <w:kern w:val="0"/>
                <w:szCs w:val="21"/>
                <w:lang w:bidi="ar"/>
              </w:rPr>
              <w:t xml:space="preserve">8.62 </w:t>
            </w:r>
          </w:p>
        </w:tc>
        <w:tc>
          <w:tcPr>
            <w:tcW w:w="721" w:type="pct"/>
            <w:tcBorders>
              <w:tl2br w:val="nil"/>
              <w:tr2bl w:val="nil"/>
            </w:tcBorders>
            <w:vAlign w:val="center"/>
          </w:tcPr>
          <w:p w14:paraId="3CFD9F4C">
            <w:pPr>
              <w:widowControl/>
              <w:spacing w:before="0" w:beforeLines="0" w:line="240" w:lineRule="auto"/>
              <w:jc w:val="center"/>
              <w:textAlignment w:val="center"/>
              <w:rPr>
                <w:szCs w:val="21"/>
              </w:rPr>
            </w:pPr>
            <w:r>
              <w:rPr>
                <w:szCs w:val="21"/>
              </w:rPr>
              <w:t xml:space="preserve">20.8 </w:t>
            </w:r>
          </w:p>
        </w:tc>
        <w:tc>
          <w:tcPr>
            <w:tcW w:w="721" w:type="pct"/>
            <w:tcBorders>
              <w:tl2br w:val="nil"/>
              <w:tr2bl w:val="nil"/>
            </w:tcBorders>
            <w:vAlign w:val="center"/>
          </w:tcPr>
          <w:p w14:paraId="68D4FC7A">
            <w:pPr>
              <w:widowControl/>
              <w:spacing w:before="0" w:beforeLines="0" w:line="240" w:lineRule="auto"/>
              <w:jc w:val="center"/>
              <w:textAlignment w:val="center"/>
              <w:rPr>
                <w:kern w:val="0"/>
                <w:szCs w:val="21"/>
                <w:lang w:bidi="ar"/>
              </w:rPr>
            </w:pPr>
            <w:r>
              <w:rPr>
                <w:rFonts w:hint="eastAsia"/>
                <w:kern w:val="0"/>
                <w:szCs w:val="21"/>
                <w:lang w:bidi="ar"/>
              </w:rPr>
              <w:t xml:space="preserve">9.88 </w:t>
            </w:r>
          </w:p>
        </w:tc>
        <w:tc>
          <w:tcPr>
            <w:tcW w:w="481" w:type="pct"/>
            <w:tcBorders>
              <w:tl2br w:val="nil"/>
              <w:tr2bl w:val="nil"/>
            </w:tcBorders>
            <w:vAlign w:val="center"/>
          </w:tcPr>
          <w:p w14:paraId="4DE6CB4E">
            <w:pPr>
              <w:widowControl/>
              <w:spacing w:before="0" w:beforeLines="0" w:line="240" w:lineRule="auto"/>
              <w:jc w:val="center"/>
              <w:textAlignment w:val="center"/>
              <w:rPr>
                <w:rFonts w:eastAsiaTheme="minorEastAsia"/>
                <w:kern w:val="0"/>
                <w:szCs w:val="21"/>
              </w:rPr>
            </w:pPr>
            <w:r>
              <w:rPr>
                <w:kern w:val="0"/>
                <w:szCs w:val="21"/>
                <w:lang w:bidi="ar"/>
              </w:rPr>
              <w:t>mg/L</w:t>
            </w:r>
          </w:p>
        </w:tc>
      </w:tr>
      <w:tr w14:paraId="0FEFE40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14:paraId="1D1D7789">
            <w:pPr>
              <w:widowControl/>
              <w:spacing w:before="0" w:beforeLines="0" w:line="240" w:lineRule="auto"/>
              <w:jc w:val="center"/>
              <w:textAlignment w:val="center"/>
              <w:rPr>
                <w:rFonts w:eastAsiaTheme="minorEastAsia"/>
                <w:szCs w:val="21"/>
              </w:rPr>
            </w:pPr>
            <w:r>
              <w:rPr>
                <w:kern w:val="0"/>
                <w:szCs w:val="21"/>
                <w:lang w:bidi="ar"/>
              </w:rPr>
              <w:t>Ca</w:t>
            </w:r>
            <w:r>
              <w:rPr>
                <w:kern w:val="0"/>
                <w:szCs w:val="21"/>
                <w:vertAlign w:val="superscript"/>
                <w:lang w:bidi="ar"/>
              </w:rPr>
              <w:t>2+</w:t>
            </w:r>
          </w:p>
        </w:tc>
        <w:tc>
          <w:tcPr>
            <w:tcW w:w="355" w:type="pct"/>
            <w:tcBorders>
              <w:tl2br w:val="nil"/>
              <w:tr2bl w:val="nil"/>
            </w:tcBorders>
            <w:vAlign w:val="center"/>
          </w:tcPr>
          <w:p w14:paraId="0E7F8948">
            <w:pPr>
              <w:widowControl/>
              <w:spacing w:before="0" w:beforeLines="0" w:line="240" w:lineRule="auto"/>
              <w:jc w:val="center"/>
              <w:textAlignment w:val="center"/>
              <w:rPr>
                <w:kern w:val="0"/>
                <w:szCs w:val="21"/>
                <w:lang w:bidi="ar"/>
              </w:rPr>
            </w:pPr>
            <w:r>
              <w:rPr>
                <w:kern w:val="0"/>
                <w:szCs w:val="21"/>
                <w:lang w:bidi="ar"/>
              </w:rPr>
              <w:t>/</w:t>
            </w:r>
          </w:p>
        </w:tc>
        <w:tc>
          <w:tcPr>
            <w:tcW w:w="721" w:type="pct"/>
            <w:tcBorders>
              <w:tl2br w:val="nil"/>
              <w:tr2bl w:val="nil"/>
            </w:tcBorders>
            <w:vAlign w:val="center"/>
          </w:tcPr>
          <w:p w14:paraId="4DC23FB6">
            <w:pPr>
              <w:widowControl/>
              <w:spacing w:before="0" w:beforeLines="0" w:line="240" w:lineRule="auto"/>
              <w:jc w:val="center"/>
              <w:textAlignment w:val="center"/>
              <w:rPr>
                <w:szCs w:val="21"/>
              </w:rPr>
            </w:pPr>
            <w:r>
              <w:rPr>
                <w:szCs w:val="21"/>
              </w:rPr>
              <w:t xml:space="preserve">82.9 </w:t>
            </w:r>
          </w:p>
        </w:tc>
        <w:tc>
          <w:tcPr>
            <w:tcW w:w="721" w:type="pct"/>
            <w:tcBorders>
              <w:tl2br w:val="nil"/>
              <w:tr2bl w:val="nil"/>
            </w:tcBorders>
            <w:vAlign w:val="center"/>
          </w:tcPr>
          <w:p w14:paraId="3012F792">
            <w:pPr>
              <w:widowControl/>
              <w:spacing w:before="0" w:beforeLines="0" w:line="240" w:lineRule="auto"/>
              <w:jc w:val="center"/>
              <w:textAlignment w:val="center"/>
              <w:rPr>
                <w:szCs w:val="21"/>
              </w:rPr>
            </w:pPr>
            <w:r>
              <w:rPr>
                <w:szCs w:val="21"/>
              </w:rPr>
              <w:t xml:space="preserve">72.2 </w:t>
            </w:r>
          </w:p>
        </w:tc>
        <w:tc>
          <w:tcPr>
            <w:tcW w:w="721" w:type="pct"/>
            <w:tcBorders>
              <w:tl2br w:val="nil"/>
              <w:tr2bl w:val="nil"/>
            </w:tcBorders>
            <w:vAlign w:val="center"/>
          </w:tcPr>
          <w:p w14:paraId="62B05655">
            <w:pPr>
              <w:widowControl/>
              <w:spacing w:before="0" w:beforeLines="0" w:line="240" w:lineRule="auto"/>
              <w:jc w:val="center"/>
              <w:textAlignment w:val="center"/>
              <w:rPr>
                <w:szCs w:val="21"/>
              </w:rPr>
            </w:pPr>
            <w:r>
              <w:rPr>
                <w:rFonts w:hint="eastAsia"/>
                <w:kern w:val="0"/>
                <w:szCs w:val="21"/>
                <w:lang w:bidi="ar"/>
              </w:rPr>
              <w:t xml:space="preserve">88.2 </w:t>
            </w:r>
          </w:p>
        </w:tc>
        <w:tc>
          <w:tcPr>
            <w:tcW w:w="721" w:type="pct"/>
            <w:tcBorders>
              <w:tl2br w:val="nil"/>
              <w:tr2bl w:val="nil"/>
            </w:tcBorders>
            <w:vAlign w:val="center"/>
          </w:tcPr>
          <w:p w14:paraId="21ECE0DC">
            <w:pPr>
              <w:widowControl/>
              <w:spacing w:before="0" w:beforeLines="0" w:line="240" w:lineRule="auto"/>
              <w:jc w:val="center"/>
              <w:textAlignment w:val="center"/>
              <w:rPr>
                <w:szCs w:val="21"/>
              </w:rPr>
            </w:pPr>
            <w:r>
              <w:rPr>
                <w:szCs w:val="21"/>
              </w:rPr>
              <w:t xml:space="preserve">89.8 </w:t>
            </w:r>
          </w:p>
        </w:tc>
        <w:tc>
          <w:tcPr>
            <w:tcW w:w="721" w:type="pct"/>
            <w:tcBorders>
              <w:tl2br w:val="nil"/>
              <w:tr2bl w:val="nil"/>
            </w:tcBorders>
            <w:vAlign w:val="center"/>
          </w:tcPr>
          <w:p w14:paraId="177B1391">
            <w:pPr>
              <w:widowControl/>
              <w:spacing w:before="0" w:beforeLines="0" w:line="240" w:lineRule="auto"/>
              <w:jc w:val="center"/>
              <w:textAlignment w:val="center"/>
              <w:rPr>
                <w:kern w:val="0"/>
                <w:szCs w:val="21"/>
                <w:lang w:bidi="ar"/>
              </w:rPr>
            </w:pPr>
            <w:r>
              <w:rPr>
                <w:rFonts w:hint="eastAsia"/>
                <w:kern w:val="0"/>
                <w:szCs w:val="21"/>
                <w:lang w:bidi="ar"/>
              </w:rPr>
              <w:t xml:space="preserve">40.5 </w:t>
            </w:r>
          </w:p>
        </w:tc>
        <w:tc>
          <w:tcPr>
            <w:tcW w:w="481" w:type="pct"/>
            <w:tcBorders>
              <w:tl2br w:val="nil"/>
              <w:tr2bl w:val="nil"/>
            </w:tcBorders>
            <w:vAlign w:val="center"/>
          </w:tcPr>
          <w:p w14:paraId="67AA6BA1">
            <w:pPr>
              <w:widowControl/>
              <w:spacing w:before="0" w:beforeLines="0" w:line="240" w:lineRule="auto"/>
              <w:jc w:val="center"/>
              <w:textAlignment w:val="center"/>
              <w:rPr>
                <w:rFonts w:eastAsiaTheme="minorEastAsia"/>
                <w:kern w:val="0"/>
                <w:szCs w:val="21"/>
              </w:rPr>
            </w:pPr>
            <w:r>
              <w:rPr>
                <w:kern w:val="0"/>
                <w:szCs w:val="21"/>
                <w:lang w:bidi="ar"/>
              </w:rPr>
              <w:t>mg/L</w:t>
            </w:r>
          </w:p>
        </w:tc>
      </w:tr>
      <w:tr w14:paraId="3C675EB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14:paraId="010C4AB3">
            <w:pPr>
              <w:widowControl/>
              <w:spacing w:before="0" w:beforeLines="0" w:line="240" w:lineRule="auto"/>
              <w:jc w:val="center"/>
              <w:textAlignment w:val="center"/>
              <w:rPr>
                <w:rFonts w:eastAsiaTheme="minorEastAsia"/>
                <w:szCs w:val="21"/>
              </w:rPr>
            </w:pPr>
            <w:r>
              <w:rPr>
                <w:kern w:val="0"/>
                <w:szCs w:val="21"/>
                <w:lang w:bidi="ar"/>
              </w:rPr>
              <w:t>Mg</w:t>
            </w:r>
            <w:r>
              <w:rPr>
                <w:kern w:val="0"/>
                <w:szCs w:val="21"/>
                <w:vertAlign w:val="superscript"/>
                <w:lang w:bidi="ar"/>
              </w:rPr>
              <w:t>2+</w:t>
            </w:r>
          </w:p>
        </w:tc>
        <w:tc>
          <w:tcPr>
            <w:tcW w:w="355" w:type="pct"/>
            <w:tcBorders>
              <w:tl2br w:val="nil"/>
              <w:tr2bl w:val="nil"/>
            </w:tcBorders>
            <w:vAlign w:val="center"/>
          </w:tcPr>
          <w:p w14:paraId="4F9A5A31">
            <w:pPr>
              <w:widowControl/>
              <w:spacing w:before="0" w:beforeLines="0" w:line="240" w:lineRule="auto"/>
              <w:jc w:val="center"/>
              <w:textAlignment w:val="center"/>
              <w:rPr>
                <w:kern w:val="0"/>
                <w:szCs w:val="21"/>
                <w:lang w:bidi="ar"/>
              </w:rPr>
            </w:pPr>
            <w:r>
              <w:rPr>
                <w:kern w:val="0"/>
                <w:szCs w:val="21"/>
                <w:lang w:bidi="ar"/>
              </w:rPr>
              <w:t>/</w:t>
            </w:r>
          </w:p>
        </w:tc>
        <w:tc>
          <w:tcPr>
            <w:tcW w:w="721" w:type="pct"/>
            <w:tcBorders>
              <w:tl2br w:val="nil"/>
              <w:tr2bl w:val="nil"/>
            </w:tcBorders>
            <w:vAlign w:val="center"/>
          </w:tcPr>
          <w:p w14:paraId="6F82E73C">
            <w:pPr>
              <w:widowControl/>
              <w:spacing w:before="0" w:beforeLines="0" w:line="240" w:lineRule="auto"/>
              <w:jc w:val="center"/>
              <w:textAlignment w:val="center"/>
              <w:rPr>
                <w:szCs w:val="21"/>
              </w:rPr>
            </w:pPr>
            <w:r>
              <w:rPr>
                <w:szCs w:val="21"/>
              </w:rPr>
              <w:t xml:space="preserve">6.93 </w:t>
            </w:r>
          </w:p>
        </w:tc>
        <w:tc>
          <w:tcPr>
            <w:tcW w:w="721" w:type="pct"/>
            <w:tcBorders>
              <w:tl2br w:val="nil"/>
              <w:tr2bl w:val="nil"/>
            </w:tcBorders>
            <w:vAlign w:val="center"/>
          </w:tcPr>
          <w:p w14:paraId="0BEDE183">
            <w:pPr>
              <w:widowControl/>
              <w:spacing w:before="0" w:beforeLines="0" w:line="240" w:lineRule="auto"/>
              <w:jc w:val="center"/>
              <w:textAlignment w:val="center"/>
              <w:rPr>
                <w:szCs w:val="21"/>
              </w:rPr>
            </w:pPr>
            <w:r>
              <w:rPr>
                <w:szCs w:val="21"/>
              </w:rPr>
              <w:t xml:space="preserve">9.87 </w:t>
            </w:r>
          </w:p>
        </w:tc>
        <w:tc>
          <w:tcPr>
            <w:tcW w:w="721" w:type="pct"/>
            <w:tcBorders>
              <w:tl2br w:val="nil"/>
              <w:tr2bl w:val="nil"/>
            </w:tcBorders>
            <w:vAlign w:val="center"/>
          </w:tcPr>
          <w:p w14:paraId="3FF103AE">
            <w:pPr>
              <w:widowControl/>
              <w:spacing w:before="0" w:beforeLines="0" w:line="240" w:lineRule="auto"/>
              <w:jc w:val="center"/>
              <w:textAlignment w:val="center"/>
              <w:rPr>
                <w:szCs w:val="21"/>
              </w:rPr>
            </w:pPr>
            <w:r>
              <w:rPr>
                <w:rFonts w:hint="eastAsia"/>
                <w:kern w:val="0"/>
                <w:szCs w:val="21"/>
                <w:lang w:bidi="ar"/>
              </w:rPr>
              <w:t xml:space="preserve">50.0 </w:t>
            </w:r>
          </w:p>
        </w:tc>
        <w:tc>
          <w:tcPr>
            <w:tcW w:w="721" w:type="pct"/>
            <w:tcBorders>
              <w:tl2br w:val="nil"/>
              <w:tr2bl w:val="nil"/>
            </w:tcBorders>
            <w:vAlign w:val="center"/>
          </w:tcPr>
          <w:p w14:paraId="1C2700AE">
            <w:pPr>
              <w:widowControl/>
              <w:spacing w:before="0" w:beforeLines="0" w:line="240" w:lineRule="auto"/>
              <w:jc w:val="center"/>
              <w:textAlignment w:val="center"/>
              <w:rPr>
                <w:szCs w:val="21"/>
              </w:rPr>
            </w:pPr>
            <w:r>
              <w:rPr>
                <w:szCs w:val="21"/>
              </w:rPr>
              <w:t xml:space="preserve">7.47 </w:t>
            </w:r>
          </w:p>
        </w:tc>
        <w:tc>
          <w:tcPr>
            <w:tcW w:w="721" w:type="pct"/>
            <w:tcBorders>
              <w:tl2br w:val="nil"/>
              <w:tr2bl w:val="nil"/>
            </w:tcBorders>
            <w:vAlign w:val="center"/>
          </w:tcPr>
          <w:p w14:paraId="1F51DE37">
            <w:pPr>
              <w:widowControl/>
              <w:spacing w:before="0" w:beforeLines="0" w:line="240" w:lineRule="auto"/>
              <w:jc w:val="center"/>
              <w:textAlignment w:val="center"/>
              <w:rPr>
                <w:kern w:val="0"/>
                <w:szCs w:val="21"/>
                <w:lang w:bidi="ar"/>
              </w:rPr>
            </w:pPr>
            <w:r>
              <w:rPr>
                <w:rFonts w:hint="eastAsia"/>
                <w:kern w:val="0"/>
                <w:szCs w:val="21"/>
                <w:lang w:bidi="ar"/>
              </w:rPr>
              <w:t xml:space="preserve">22.4 </w:t>
            </w:r>
          </w:p>
        </w:tc>
        <w:tc>
          <w:tcPr>
            <w:tcW w:w="481" w:type="pct"/>
            <w:tcBorders>
              <w:tl2br w:val="nil"/>
              <w:tr2bl w:val="nil"/>
            </w:tcBorders>
            <w:vAlign w:val="center"/>
          </w:tcPr>
          <w:p w14:paraId="22C6B701">
            <w:pPr>
              <w:widowControl/>
              <w:spacing w:before="0" w:beforeLines="0" w:line="240" w:lineRule="auto"/>
              <w:jc w:val="center"/>
              <w:textAlignment w:val="center"/>
              <w:rPr>
                <w:rFonts w:eastAsiaTheme="minorEastAsia"/>
                <w:kern w:val="0"/>
                <w:szCs w:val="21"/>
              </w:rPr>
            </w:pPr>
            <w:r>
              <w:rPr>
                <w:kern w:val="0"/>
                <w:szCs w:val="21"/>
                <w:lang w:bidi="ar"/>
              </w:rPr>
              <w:t>mg/L</w:t>
            </w:r>
          </w:p>
        </w:tc>
      </w:tr>
      <w:tr w14:paraId="3065AFC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14:paraId="64A9FCB4">
            <w:pPr>
              <w:autoSpaceDN w:val="0"/>
              <w:spacing w:before="0" w:beforeLines="0" w:line="240" w:lineRule="auto"/>
              <w:jc w:val="center"/>
              <w:rPr>
                <w:rFonts w:eastAsiaTheme="minorEastAsia"/>
                <w:szCs w:val="21"/>
              </w:rPr>
            </w:pPr>
            <w:r>
              <w:rPr>
                <w:szCs w:val="21"/>
              </w:rPr>
              <w:t>碳酸盐碱度（CO</w:t>
            </w:r>
            <w:r>
              <w:rPr>
                <w:szCs w:val="21"/>
                <w:vertAlign w:val="subscript"/>
              </w:rPr>
              <w:t>3</w:t>
            </w:r>
            <w:r>
              <w:rPr>
                <w:szCs w:val="21"/>
                <w:vertAlign w:val="superscript"/>
              </w:rPr>
              <w:t>2-</w:t>
            </w:r>
            <w:r>
              <w:rPr>
                <w:szCs w:val="21"/>
              </w:rPr>
              <w:t>）</w:t>
            </w:r>
          </w:p>
        </w:tc>
        <w:tc>
          <w:tcPr>
            <w:tcW w:w="355" w:type="pct"/>
            <w:tcBorders>
              <w:tl2br w:val="nil"/>
              <w:tr2bl w:val="nil"/>
            </w:tcBorders>
            <w:vAlign w:val="center"/>
          </w:tcPr>
          <w:p w14:paraId="68507E3F">
            <w:pPr>
              <w:autoSpaceDN w:val="0"/>
              <w:spacing w:before="0" w:beforeLines="0" w:line="240" w:lineRule="auto"/>
              <w:jc w:val="center"/>
              <w:rPr>
                <w:szCs w:val="21"/>
              </w:rPr>
            </w:pPr>
            <w:r>
              <w:rPr>
                <w:szCs w:val="21"/>
              </w:rPr>
              <w:t>/</w:t>
            </w:r>
          </w:p>
        </w:tc>
        <w:tc>
          <w:tcPr>
            <w:tcW w:w="721" w:type="pct"/>
            <w:tcBorders>
              <w:tl2br w:val="nil"/>
              <w:tr2bl w:val="nil"/>
            </w:tcBorders>
            <w:vAlign w:val="center"/>
          </w:tcPr>
          <w:p w14:paraId="73083690">
            <w:pPr>
              <w:widowControl/>
              <w:spacing w:before="0" w:beforeLines="0" w:line="240" w:lineRule="auto"/>
              <w:jc w:val="center"/>
              <w:textAlignment w:val="center"/>
              <w:rPr>
                <w:szCs w:val="21"/>
              </w:rPr>
            </w:pPr>
            <w:r>
              <w:rPr>
                <w:szCs w:val="21"/>
              </w:rPr>
              <w:t>未检出</w:t>
            </w:r>
          </w:p>
        </w:tc>
        <w:tc>
          <w:tcPr>
            <w:tcW w:w="721" w:type="pct"/>
            <w:tcBorders>
              <w:tl2br w:val="nil"/>
              <w:tr2bl w:val="nil"/>
            </w:tcBorders>
            <w:vAlign w:val="center"/>
          </w:tcPr>
          <w:p w14:paraId="1D221FEF">
            <w:pPr>
              <w:widowControl/>
              <w:spacing w:before="0" w:beforeLines="0" w:line="240" w:lineRule="auto"/>
              <w:jc w:val="center"/>
              <w:textAlignment w:val="center"/>
              <w:rPr>
                <w:szCs w:val="21"/>
              </w:rPr>
            </w:pPr>
            <w:r>
              <w:rPr>
                <w:szCs w:val="21"/>
              </w:rPr>
              <w:t>未检出</w:t>
            </w:r>
          </w:p>
        </w:tc>
        <w:tc>
          <w:tcPr>
            <w:tcW w:w="721" w:type="pct"/>
            <w:tcBorders>
              <w:tl2br w:val="nil"/>
              <w:tr2bl w:val="nil"/>
            </w:tcBorders>
            <w:vAlign w:val="center"/>
          </w:tcPr>
          <w:p w14:paraId="412FE3C6">
            <w:pPr>
              <w:widowControl/>
              <w:spacing w:before="0" w:beforeLines="0" w:line="240" w:lineRule="auto"/>
              <w:jc w:val="center"/>
              <w:textAlignment w:val="center"/>
              <w:rPr>
                <w:szCs w:val="21"/>
              </w:rPr>
            </w:pPr>
            <w:r>
              <w:rPr>
                <w:rFonts w:hint="eastAsia"/>
                <w:kern w:val="0"/>
                <w:szCs w:val="21"/>
                <w:lang w:bidi="ar"/>
              </w:rPr>
              <w:t>未检出</w:t>
            </w:r>
          </w:p>
        </w:tc>
        <w:tc>
          <w:tcPr>
            <w:tcW w:w="721" w:type="pct"/>
            <w:tcBorders>
              <w:tl2br w:val="nil"/>
              <w:tr2bl w:val="nil"/>
            </w:tcBorders>
            <w:vAlign w:val="center"/>
          </w:tcPr>
          <w:p w14:paraId="6541F580">
            <w:pPr>
              <w:widowControl/>
              <w:spacing w:before="0" w:beforeLines="0" w:line="240" w:lineRule="auto"/>
              <w:jc w:val="center"/>
              <w:textAlignment w:val="center"/>
              <w:rPr>
                <w:szCs w:val="21"/>
              </w:rPr>
            </w:pPr>
            <w:r>
              <w:rPr>
                <w:szCs w:val="21"/>
              </w:rPr>
              <w:t>未检出</w:t>
            </w:r>
          </w:p>
        </w:tc>
        <w:tc>
          <w:tcPr>
            <w:tcW w:w="721" w:type="pct"/>
            <w:tcBorders>
              <w:tl2br w:val="nil"/>
              <w:tr2bl w:val="nil"/>
            </w:tcBorders>
            <w:vAlign w:val="center"/>
          </w:tcPr>
          <w:p w14:paraId="2E740FC9">
            <w:pPr>
              <w:widowControl/>
              <w:spacing w:before="0" w:beforeLines="0" w:line="240" w:lineRule="auto"/>
              <w:jc w:val="center"/>
              <w:textAlignment w:val="center"/>
              <w:rPr>
                <w:kern w:val="0"/>
                <w:szCs w:val="21"/>
                <w:lang w:bidi="ar"/>
              </w:rPr>
            </w:pPr>
            <w:r>
              <w:rPr>
                <w:rFonts w:hint="eastAsia"/>
                <w:kern w:val="0"/>
                <w:szCs w:val="21"/>
                <w:lang w:bidi="ar"/>
              </w:rPr>
              <w:t>未检出</w:t>
            </w:r>
          </w:p>
        </w:tc>
        <w:tc>
          <w:tcPr>
            <w:tcW w:w="481" w:type="pct"/>
            <w:tcBorders>
              <w:tl2br w:val="nil"/>
              <w:tr2bl w:val="nil"/>
            </w:tcBorders>
            <w:vAlign w:val="center"/>
          </w:tcPr>
          <w:p w14:paraId="358E5528">
            <w:pPr>
              <w:widowControl/>
              <w:spacing w:before="0" w:beforeLines="0" w:line="240" w:lineRule="auto"/>
              <w:jc w:val="center"/>
              <w:textAlignment w:val="center"/>
              <w:rPr>
                <w:rFonts w:eastAsiaTheme="minorEastAsia"/>
                <w:kern w:val="0"/>
                <w:szCs w:val="21"/>
              </w:rPr>
            </w:pPr>
            <w:r>
              <w:rPr>
                <w:kern w:val="0"/>
                <w:szCs w:val="21"/>
                <w:lang w:bidi="ar"/>
              </w:rPr>
              <w:t>mg/L</w:t>
            </w:r>
          </w:p>
        </w:tc>
      </w:tr>
      <w:tr w14:paraId="6D49033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14:paraId="481553BD">
            <w:pPr>
              <w:autoSpaceDN w:val="0"/>
              <w:spacing w:before="0" w:beforeLines="0" w:line="240" w:lineRule="auto"/>
              <w:jc w:val="center"/>
              <w:rPr>
                <w:rFonts w:eastAsiaTheme="minorEastAsia"/>
                <w:szCs w:val="21"/>
              </w:rPr>
            </w:pPr>
            <w:r>
              <w:rPr>
                <w:szCs w:val="21"/>
              </w:rPr>
              <w:t>重碳酸盐碱度（HCO</w:t>
            </w:r>
            <w:r>
              <w:rPr>
                <w:szCs w:val="21"/>
                <w:vertAlign w:val="subscript"/>
              </w:rPr>
              <w:t>3</w:t>
            </w:r>
            <w:r>
              <w:rPr>
                <w:szCs w:val="21"/>
                <w:vertAlign w:val="superscript"/>
              </w:rPr>
              <w:t>-</w:t>
            </w:r>
            <w:r>
              <w:rPr>
                <w:szCs w:val="21"/>
              </w:rPr>
              <w:t>）</w:t>
            </w:r>
          </w:p>
        </w:tc>
        <w:tc>
          <w:tcPr>
            <w:tcW w:w="355" w:type="pct"/>
            <w:tcBorders>
              <w:tl2br w:val="nil"/>
              <w:tr2bl w:val="nil"/>
            </w:tcBorders>
            <w:vAlign w:val="center"/>
          </w:tcPr>
          <w:p w14:paraId="753A4975">
            <w:pPr>
              <w:autoSpaceDN w:val="0"/>
              <w:spacing w:before="0" w:beforeLines="0" w:line="240" w:lineRule="auto"/>
              <w:jc w:val="center"/>
              <w:rPr>
                <w:szCs w:val="21"/>
              </w:rPr>
            </w:pPr>
            <w:r>
              <w:rPr>
                <w:szCs w:val="21"/>
              </w:rPr>
              <w:t>/</w:t>
            </w:r>
          </w:p>
        </w:tc>
        <w:tc>
          <w:tcPr>
            <w:tcW w:w="721" w:type="pct"/>
            <w:tcBorders>
              <w:tl2br w:val="nil"/>
              <w:tr2bl w:val="nil"/>
            </w:tcBorders>
            <w:vAlign w:val="center"/>
          </w:tcPr>
          <w:p w14:paraId="5820F880">
            <w:pPr>
              <w:widowControl/>
              <w:spacing w:before="0" w:beforeLines="0" w:line="240" w:lineRule="auto"/>
              <w:jc w:val="center"/>
              <w:textAlignment w:val="center"/>
              <w:rPr>
                <w:szCs w:val="21"/>
              </w:rPr>
            </w:pPr>
            <w:r>
              <w:rPr>
                <w:szCs w:val="21"/>
              </w:rPr>
              <w:t xml:space="preserve">243 </w:t>
            </w:r>
          </w:p>
        </w:tc>
        <w:tc>
          <w:tcPr>
            <w:tcW w:w="721" w:type="pct"/>
            <w:tcBorders>
              <w:tl2br w:val="nil"/>
              <w:tr2bl w:val="nil"/>
            </w:tcBorders>
            <w:vAlign w:val="center"/>
          </w:tcPr>
          <w:p w14:paraId="03EA2F07">
            <w:pPr>
              <w:widowControl/>
              <w:spacing w:before="0" w:beforeLines="0" w:line="240" w:lineRule="auto"/>
              <w:jc w:val="center"/>
              <w:textAlignment w:val="center"/>
              <w:rPr>
                <w:szCs w:val="21"/>
              </w:rPr>
            </w:pPr>
            <w:r>
              <w:rPr>
                <w:szCs w:val="21"/>
              </w:rPr>
              <w:t xml:space="preserve">251 </w:t>
            </w:r>
          </w:p>
        </w:tc>
        <w:tc>
          <w:tcPr>
            <w:tcW w:w="721" w:type="pct"/>
            <w:tcBorders>
              <w:tl2br w:val="nil"/>
              <w:tr2bl w:val="nil"/>
            </w:tcBorders>
            <w:vAlign w:val="center"/>
          </w:tcPr>
          <w:p w14:paraId="4A1AE1EE">
            <w:pPr>
              <w:widowControl/>
              <w:spacing w:before="0" w:beforeLines="0" w:line="240" w:lineRule="auto"/>
              <w:jc w:val="center"/>
              <w:textAlignment w:val="center"/>
              <w:rPr>
                <w:szCs w:val="21"/>
              </w:rPr>
            </w:pPr>
            <w:r>
              <w:rPr>
                <w:rFonts w:hint="eastAsia"/>
                <w:kern w:val="0"/>
                <w:szCs w:val="21"/>
                <w:lang w:bidi="ar"/>
              </w:rPr>
              <w:t xml:space="preserve">233 </w:t>
            </w:r>
          </w:p>
        </w:tc>
        <w:tc>
          <w:tcPr>
            <w:tcW w:w="721" w:type="pct"/>
            <w:tcBorders>
              <w:tl2br w:val="nil"/>
              <w:tr2bl w:val="nil"/>
            </w:tcBorders>
            <w:vAlign w:val="center"/>
          </w:tcPr>
          <w:p w14:paraId="045A3EC2">
            <w:pPr>
              <w:widowControl/>
              <w:spacing w:before="0" w:beforeLines="0" w:line="240" w:lineRule="auto"/>
              <w:jc w:val="center"/>
              <w:textAlignment w:val="center"/>
              <w:rPr>
                <w:szCs w:val="21"/>
              </w:rPr>
            </w:pPr>
            <w:r>
              <w:rPr>
                <w:szCs w:val="21"/>
              </w:rPr>
              <w:t xml:space="preserve">269 </w:t>
            </w:r>
          </w:p>
        </w:tc>
        <w:tc>
          <w:tcPr>
            <w:tcW w:w="721" w:type="pct"/>
            <w:tcBorders>
              <w:tl2br w:val="nil"/>
              <w:tr2bl w:val="nil"/>
            </w:tcBorders>
            <w:vAlign w:val="center"/>
          </w:tcPr>
          <w:p w14:paraId="15263D0B">
            <w:pPr>
              <w:widowControl/>
              <w:spacing w:before="0" w:beforeLines="0" w:line="240" w:lineRule="auto"/>
              <w:jc w:val="center"/>
              <w:textAlignment w:val="center"/>
              <w:rPr>
                <w:kern w:val="0"/>
                <w:szCs w:val="21"/>
                <w:lang w:bidi="ar"/>
              </w:rPr>
            </w:pPr>
            <w:r>
              <w:rPr>
                <w:rFonts w:hint="eastAsia"/>
                <w:kern w:val="0"/>
                <w:szCs w:val="21"/>
                <w:lang w:bidi="ar"/>
              </w:rPr>
              <w:t xml:space="preserve">168 </w:t>
            </w:r>
          </w:p>
        </w:tc>
        <w:tc>
          <w:tcPr>
            <w:tcW w:w="481" w:type="pct"/>
            <w:tcBorders>
              <w:tl2br w:val="nil"/>
              <w:tr2bl w:val="nil"/>
            </w:tcBorders>
            <w:vAlign w:val="center"/>
          </w:tcPr>
          <w:p w14:paraId="77009B0C">
            <w:pPr>
              <w:widowControl/>
              <w:spacing w:before="0" w:beforeLines="0" w:line="240" w:lineRule="auto"/>
              <w:jc w:val="center"/>
              <w:textAlignment w:val="center"/>
              <w:rPr>
                <w:rFonts w:eastAsiaTheme="minorEastAsia"/>
                <w:kern w:val="0"/>
                <w:szCs w:val="21"/>
              </w:rPr>
            </w:pPr>
            <w:r>
              <w:rPr>
                <w:kern w:val="0"/>
                <w:szCs w:val="21"/>
                <w:lang w:bidi="ar"/>
              </w:rPr>
              <w:t>mg/L</w:t>
            </w:r>
          </w:p>
        </w:tc>
      </w:tr>
      <w:tr w14:paraId="64E9C8D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14:paraId="250CFF2B">
            <w:pPr>
              <w:widowControl/>
              <w:spacing w:before="0" w:beforeLines="0" w:line="240" w:lineRule="auto"/>
              <w:jc w:val="center"/>
              <w:textAlignment w:val="center"/>
              <w:rPr>
                <w:szCs w:val="21"/>
              </w:rPr>
            </w:pPr>
            <w:r>
              <w:rPr>
                <w:kern w:val="0"/>
                <w:szCs w:val="21"/>
                <w:lang w:bidi="ar"/>
              </w:rPr>
              <w:t>Cl</w:t>
            </w:r>
            <w:r>
              <w:rPr>
                <w:kern w:val="0"/>
                <w:szCs w:val="21"/>
                <w:vertAlign w:val="superscript"/>
                <w:lang w:bidi="ar"/>
              </w:rPr>
              <w:t>-</w:t>
            </w:r>
          </w:p>
        </w:tc>
        <w:tc>
          <w:tcPr>
            <w:tcW w:w="355" w:type="pct"/>
            <w:tcBorders>
              <w:tl2br w:val="nil"/>
              <w:tr2bl w:val="nil"/>
            </w:tcBorders>
            <w:vAlign w:val="center"/>
          </w:tcPr>
          <w:p w14:paraId="7EA5D249">
            <w:pPr>
              <w:widowControl/>
              <w:spacing w:before="0" w:beforeLines="0" w:line="240" w:lineRule="auto"/>
              <w:jc w:val="center"/>
              <w:textAlignment w:val="center"/>
              <w:rPr>
                <w:kern w:val="0"/>
                <w:szCs w:val="21"/>
                <w:lang w:bidi="ar"/>
              </w:rPr>
            </w:pPr>
            <w:r>
              <w:rPr>
                <w:kern w:val="0"/>
                <w:szCs w:val="21"/>
                <w:lang w:bidi="ar"/>
              </w:rPr>
              <w:t>/</w:t>
            </w:r>
          </w:p>
        </w:tc>
        <w:tc>
          <w:tcPr>
            <w:tcW w:w="721" w:type="pct"/>
            <w:tcBorders>
              <w:tl2br w:val="nil"/>
              <w:tr2bl w:val="nil"/>
            </w:tcBorders>
            <w:vAlign w:val="center"/>
          </w:tcPr>
          <w:p w14:paraId="3A81272B">
            <w:pPr>
              <w:widowControl/>
              <w:spacing w:before="0" w:beforeLines="0" w:line="240" w:lineRule="auto"/>
              <w:jc w:val="center"/>
              <w:textAlignment w:val="center"/>
              <w:rPr>
                <w:szCs w:val="21"/>
              </w:rPr>
            </w:pPr>
            <w:r>
              <w:rPr>
                <w:szCs w:val="21"/>
              </w:rPr>
              <w:t xml:space="preserve">39.8 </w:t>
            </w:r>
          </w:p>
        </w:tc>
        <w:tc>
          <w:tcPr>
            <w:tcW w:w="721" w:type="pct"/>
            <w:tcBorders>
              <w:tl2br w:val="nil"/>
              <w:tr2bl w:val="nil"/>
            </w:tcBorders>
            <w:vAlign w:val="center"/>
          </w:tcPr>
          <w:p w14:paraId="07C85EC9">
            <w:pPr>
              <w:widowControl/>
              <w:spacing w:before="0" w:beforeLines="0" w:line="240" w:lineRule="auto"/>
              <w:jc w:val="center"/>
              <w:textAlignment w:val="center"/>
              <w:rPr>
                <w:szCs w:val="21"/>
              </w:rPr>
            </w:pPr>
            <w:r>
              <w:rPr>
                <w:szCs w:val="21"/>
              </w:rPr>
              <w:t xml:space="preserve">39.8 </w:t>
            </w:r>
          </w:p>
        </w:tc>
        <w:tc>
          <w:tcPr>
            <w:tcW w:w="721" w:type="pct"/>
            <w:tcBorders>
              <w:tl2br w:val="nil"/>
              <w:tr2bl w:val="nil"/>
            </w:tcBorders>
            <w:vAlign w:val="center"/>
          </w:tcPr>
          <w:p w14:paraId="2CE90768">
            <w:pPr>
              <w:widowControl/>
              <w:spacing w:before="0" w:beforeLines="0" w:line="240" w:lineRule="auto"/>
              <w:jc w:val="center"/>
              <w:textAlignment w:val="center"/>
              <w:rPr>
                <w:szCs w:val="21"/>
              </w:rPr>
            </w:pPr>
            <w:r>
              <w:rPr>
                <w:rFonts w:hint="eastAsia"/>
                <w:kern w:val="0"/>
                <w:szCs w:val="21"/>
                <w:lang w:bidi="ar"/>
              </w:rPr>
              <w:t xml:space="preserve">42.0 </w:t>
            </w:r>
          </w:p>
        </w:tc>
        <w:tc>
          <w:tcPr>
            <w:tcW w:w="721" w:type="pct"/>
            <w:tcBorders>
              <w:tl2br w:val="nil"/>
              <w:tr2bl w:val="nil"/>
            </w:tcBorders>
            <w:vAlign w:val="center"/>
          </w:tcPr>
          <w:p w14:paraId="02CDF814">
            <w:pPr>
              <w:widowControl/>
              <w:spacing w:before="0" w:beforeLines="0" w:line="240" w:lineRule="auto"/>
              <w:jc w:val="center"/>
              <w:textAlignment w:val="center"/>
              <w:rPr>
                <w:szCs w:val="21"/>
              </w:rPr>
            </w:pPr>
            <w:r>
              <w:rPr>
                <w:szCs w:val="21"/>
              </w:rPr>
              <w:t xml:space="preserve">39.4 </w:t>
            </w:r>
          </w:p>
        </w:tc>
        <w:tc>
          <w:tcPr>
            <w:tcW w:w="721" w:type="pct"/>
            <w:tcBorders>
              <w:tl2br w:val="nil"/>
              <w:tr2bl w:val="nil"/>
            </w:tcBorders>
            <w:vAlign w:val="center"/>
          </w:tcPr>
          <w:p w14:paraId="32B2BBD5">
            <w:pPr>
              <w:widowControl/>
              <w:spacing w:before="0" w:beforeLines="0" w:line="240" w:lineRule="auto"/>
              <w:jc w:val="center"/>
              <w:textAlignment w:val="center"/>
              <w:rPr>
                <w:kern w:val="0"/>
                <w:szCs w:val="21"/>
                <w:lang w:bidi="ar"/>
              </w:rPr>
            </w:pPr>
            <w:r>
              <w:rPr>
                <w:rFonts w:hint="eastAsia"/>
                <w:kern w:val="0"/>
                <w:szCs w:val="21"/>
                <w:lang w:bidi="ar"/>
              </w:rPr>
              <w:t xml:space="preserve">13.9 </w:t>
            </w:r>
          </w:p>
        </w:tc>
        <w:tc>
          <w:tcPr>
            <w:tcW w:w="481" w:type="pct"/>
            <w:tcBorders>
              <w:tl2br w:val="nil"/>
              <w:tr2bl w:val="nil"/>
            </w:tcBorders>
            <w:vAlign w:val="center"/>
          </w:tcPr>
          <w:p w14:paraId="0DDCA670">
            <w:pPr>
              <w:widowControl/>
              <w:spacing w:before="0" w:beforeLines="0" w:line="240" w:lineRule="auto"/>
              <w:jc w:val="center"/>
              <w:textAlignment w:val="center"/>
              <w:rPr>
                <w:szCs w:val="21"/>
              </w:rPr>
            </w:pPr>
            <w:r>
              <w:rPr>
                <w:kern w:val="0"/>
                <w:szCs w:val="21"/>
                <w:lang w:bidi="ar"/>
              </w:rPr>
              <w:t>mg/L</w:t>
            </w:r>
          </w:p>
        </w:tc>
      </w:tr>
      <w:tr w14:paraId="633D5AC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14:paraId="77C9C141">
            <w:pPr>
              <w:widowControl/>
              <w:spacing w:before="0" w:beforeLines="0" w:line="240" w:lineRule="auto"/>
              <w:jc w:val="center"/>
              <w:textAlignment w:val="center"/>
              <w:rPr>
                <w:szCs w:val="21"/>
              </w:rPr>
            </w:pPr>
            <w:r>
              <w:rPr>
                <w:kern w:val="0"/>
                <w:szCs w:val="21"/>
                <w:lang w:bidi="ar"/>
              </w:rPr>
              <w:t>SO</w:t>
            </w:r>
            <w:r>
              <w:rPr>
                <w:kern w:val="0"/>
                <w:szCs w:val="21"/>
                <w:vertAlign w:val="subscript"/>
                <w:lang w:bidi="ar"/>
              </w:rPr>
              <w:t>4</w:t>
            </w:r>
            <w:r>
              <w:rPr>
                <w:kern w:val="0"/>
                <w:szCs w:val="21"/>
                <w:vertAlign w:val="superscript"/>
                <w:lang w:bidi="ar"/>
              </w:rPr>
              <w:t>2-</w:t>
            </w:r>
          </w:p>
        </w:tc>
        <w:tc>
          <w:tcPr>
            <w:tcW w:w="355" w:type="pct"/>
            <w:tcBorders>
              <w:tl2br w:val="nil"/>
              <w:tr2bl w:val="nil"/>
            </w:tcBorders>
            <w:vAlign w:val="center"/>
          </w:tcPr>
          <w:p w14:paraId="1207D7D2">
            <w:pPr>
              <w:widowControl/>
              <w:spacing w:before="0" w:beforeLines="0" w:line="240" w:lineRule="auto"/>
              <w:jc w:val="center"/>
              <w:textAlignment w:val="center"/>
              <w:rPr>
                <w:kern w:val="0"/>
                <w:szCs w:val="21"/>
                <w:lang w:bidi="ar"/>
              </w:rPr>
            </w:pPr>
            <w:r>
              <w:rPr>
                <w:kern w:val="0"/>
                <w:szCs w:val="21"/>
                <w:lang w:bidi="ar"/>
              </w:rPr>
              <w:t>/</w:t>
            </w:r>
          </w:p>
        </w:tc>
        <w:tc>
          <w:tcPr>
            <w:tcW w:w="721" w:type="pct"/>
            <w:tcBorders>
              <w:tl2br w:val="nil"/>
              <w:tr2bl w:val="nil"/>
            </w:tcBorders>
            <w:vAlign w:val="center"/>
          </w:tcPr>
          <w:p w14:paraId="51EF5AD8">
            <w:pPr>
              <w:widowControl/>
              <w:spacing w:before="0" w:beforeLines="0" w:line="240" w:lineRule="auto"/>
              <w:jc w:val="center"/>
              <w:textAlignment w:val="center"/>
              <w:rPr>
                <w:szCs w:val="21"/>
              </w:rPr>
            </w:pPr>
            <w:r>
              <w:rPr>
                <w:szCs w:val="21"/>
              </w:rPr>
              <w:t xml:space="preserve">55.2 </w:t>
            </w:r>
          </w:p>
        </w:tc>
        <w:tc>
          <w:tcPr>
            <w:tcW w:w="721" w:type="pct"/>
            <w:tcBorders>
              <w:tl2br w:val="nil"/>
              <w:tr2bl w:val="nil"/>
            </w:tcBorders>
            <w:vAlign w:val="center"/>
          </w:tcPr>
          <w:p w14:paraId="667CFC37">
            <w:pPr>
              <w:widowControl/>
              <w:spacing w:before="0" w:beforeLines="0" w:line="240" w:lineRule="auto"/>
              <w:jc w:val="center"/>
              <w:textAlignment w:val="center"/>
              <w:rPr>
                <w:szCs w:val="21"/>
              </w:rPr>
            </w:pPr>
            <w:r>
              <w:rPr>
                <w:szCs w:val="21"/>
              </w:rPr>
              <w:t xml:space="preserve">51.9 </w:t>
            </w:r>
          </w:p>
        </w:tc>
        <w:tc>
          <w:tcPr>
            <w:tcW w:w="721" w:type="pct"/>
            <w:tcBorders>
              <w:tl2br w:val="nil"/>
              <w:tr2bl w:val="nil"/>
            </w:tcBorders>
            <w:vAlign w:val="center"/>
          </w:tcPr>
          <w:p w14:paraId="63E4AB76">
            <w:pPr>
              <w:widowControl/>
              <w:spacing w:before="0" w:beforeLines="0" w:line="240" w:lineRule="auto"/>
              <w:jc w:val="center"/>
              <w:textAlignment w:val="center"/>
              <w:rPr>
                <w:szCs w:val="21"/>
              </w:rPr>
            </w:pPr>
            <w:r>
              <w:rPr>
                <w:rFonts w:hint="eastAsia"/>
                <w:kern w:val="0"/>
                <w:szCs w:val="21"/>
                <w:lang w:bidi="ar"/>
              </w:rPr>
              <w:t xml:space="preserve">209 </w:t>
            </w:r>
          </w:p>
        </w:tc>
        <w:tc>
          <w:tcPr>
            <w:tcW w:w="721" w:type="pct"/>
            <w:tcBorders>
              <w:tl2br w:val="nil"/>
              <w:tr2bl w:val="nil"/>
            </w:tcBorders>
            <w:vAlign w:val="center"/>
          </w:tcPr>
          <w:p w14:paraId="5692B3C5">
            <w:pPr>
              <w:widowControl/>
              <w:spacing w:before="0" w:beforeLines="0" w:line="240" w:lineRule="auto"/>
              <w:jc w:val="center"/>
              <w:textAlignment w:val="center"/>
              <w:rPr>
                <w:szCs w:val="21"/>
              </w:rPr>
            </w:pPr>
            <w:r>
              <w:rPr>
                <w:szCs w:val="21"/>
              </w:rPr>
              <w:t xml:space="preserve">55.3 </w:t>
            </w:r>
          </w:p>
        </w:tc>
        <w:tc>
          <w:tcPr>
            <w:tcW w:w="721" w:type="pct"/>
            <w:tcBorders>
              <w:tl2br w:val="nil"/>
              <w:tr2bl w:val="nil"/>
            </w:tcBorders>
            <w:vAlign w:val="center"/>
          </w:tcPr>
          <w:p w14:paraId="5507679A">
            <w:pPr>
              <w:widowControl/>
              <w:spacing w:before="0" w:beforeLines="0" w:line="240" w:lineRule="auto"/>
              <w:jc w:val="center"/>
              <w:textAlignment w:val="center"/>
              <w:rPr>
                <w:kern w:val="0"/>
                <w:szCs w:val="21"/>
                <w:lang w:bidi="ar"/>
              </w:rPr>
            </w:pPr>
            <w:r>
              <w:rPr>
                <w:rFonts w:hint="eastAsia"/>
                <w:kern w:val="0"/>
                <w:szCs w:val="21"/>
                <w:lang w:bidi="ar"/>
              </w:rPr>
              <w:t xml:space="preserve">54.4 </w:t>
            </w:r>
          </w:p>
        </w:tc>
        <w:tc>
          <w:tcPr>
            <w:tcW w:w="481" w:type="pct"/>
            <w:tcBorders>
              <w:tl2br w:val="nil"/>
              <w:tr2bl w:val="nil"/>
            </w:tcBorders>
            <w:vAlign w:val="center"/>
          </w:tcPr>
          <w:p w14:paraId="181E7363">
            <w:pPr>
              <w:widowControl/>
              <w:spacing w:before="0" w:beforeLines="0" w:line="240" w:lineRule="auto"/>
              <w:jc w:val="center"/>
              <w:textAlignment w:val="center"/>
              <w:rPr>
                <w:szCs w:val="21"/>
              </w:rPr>
            </w:pPr>
            <w:r>
              <w:rPr>
                <w:kern w:val="0"/>
                <w:szCs w:val="21"/>
                <w:lang w:bidi="ar"/>
              </w:rPr>
              <w:t>mg/L</w:t>
            </w:r>
          </w:p>
        </w:tc>
      </w:tr>
      <w:tr w14:paraId="51E8ED7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14:paraId="43D07EE0">
            <w:pPr>
              <w:adjustRightInd w:val="0"/>
              <w:snapToGrid w:val="0"/>
              <w:spacing w:before="0" w:beforeLines="0" w:line="240" w:lineRule="auto"/>
              <w:jc w:val="center"/>
              <w:rPr>
                <w:rFonts w:eastAsiaTheme="minorEastAsia"/>
                <w:szCs w:val="21"/>
              </w:rPr>
            </w:pPr>
            <w:r>
              <w:rPr>
                <w:szCs w:val="21"/>
              </w:rPr>
              <w:t>氯化物</w:t>
            </w:r>
          </w:p>
        </w:tc>
        <w:tc>
          <w:tcPr>
            <w:tcW w:w="355" w:type="pct"/>
            <w:tcBorders>
              <w:tl2br w:val="nil"/>
              <w:tr2bl w:val="nil"/>
            </w:tcBorders>
            <w:vAlign w:val="center"/>
          </w:tcPr>
          <w:p w14:paraId="30A03782">
            <w:pPr>
              <w:adjustRightInd w:val="0"/>
              <w:snapToGrid w:val="0"/>
              <w:spacing w:before="0" w:beforeLines="0" w:line="240" w:lineRule="auto"/>
              <w:jc w:val="center"/>
              <w:rPr>
                <w:szCs w:val="21"/>
              </w:rPr>
            </w:pPr>
            <w:r>
              <w:rPr>
                <w:szCs w:val="21"/>
              </w:rPr>
              <w:t>250</w:t>
            </w:r>
          </w:p>
        </w:tc>
        <w:tc>
          <w:tcPr>
            <w:tcW w:w="721" w:type="pct"/>
            <w:tcBorders>
              <w:tl2br w:val="nil"/>
              <w:tr2bl w:val="nil"/>
            </w:tcBorders>
            <w:vAlign w:val="center"/>
          </w:tcPr>
          <w:p w14:paraId="0D7E51CB">
            <w:pPr>
              <w:widowControl/>
              <w:spacing w:before="0" w:beforeLines="0" w:line="240" w:lineRule="auto"/>
              <w:jc w:val="center"/>
              <w:textAlignment w:val="center"/>
              <w:rPr>
                <w:szCs w:val="21"/>
              </w:rPr>
            </w:pPr>
            <w:r>
              <w:rPr>
                <w:szCs w:val="21"/>
              </w:rPr>
              <w:t>39.8</w:t>
            </w:r>
          </w:p>
        </w:tc>
        <w:tc>
          <w:tcPr>
            <w:tcW w:w="721" w:type="pct"/>
            <w:tcBorders>
              <w:tl2br w:val="nil"/>
              <w:tr2bl w:val="nil"/>
            </w:tcBorders>
            <w:vAlign w:val="center"/>
          </w:tcPr>
          <w:p w14:paraId="42148AE0">
            <w:pPr>
              <w:widowControl/>
              <w:spacing w:before="0" w:beforeLines="0" w:line="240" w:lineRule="auto"/>
              <w:jc w:val="center"/>
              <w:textAlignment w:val="center"/>
              <w:rPr>
                <w:szCs w:val="21"/>
              </w:rPr>
            </w:pPr>
            <w:r>
              <w:rPr>
                <w:szCs w:val="21"/>
              </w:rPr>
              <w:t>39.8</w:t>
            </w:r>
          </w:p>
        </w:tc>
        <w:tc>
          <w:tcPr>
            <w:tcW w:w="721" w:type="pct"/>
            <w:tcBorders>
              <w:tl2br w:val="nil"/>
              <w:tr2bl w:val="nil"/>
            </w:tcBorders>
            <w:vAlign w:val="center"/>
          </w:tcPr>
          <w:p w14:paraId="29207AB5">
            <w:pPr>
              <w:widowControl/>
              <w:spacing w:before="0" w:beforeLines="0" w:line="240" w:lineRule="auto"/>
              <w:jc w:val="center"/>
              <w:textAlignment w:val="center"/>
              <w:rPr>
                <w:szCs w:val="21"/>
              </w:rPr>
            </w:pPr>
            <w:r>
              <w:rPr>
                <w:rFonts w:hint="eastAsia"/>
                <w:kern w:val="0"/>
                <w:szCs w:val="21"/>
                <w:lang w:bidi="ar"/>
              </w:rPr>
              <w:t>42.3</w:t>
            </w:r>
          </w:p>
        </w:tc>
        <w:tc>
          <w:tcPr>
            <w:tcW w:w="721" w:type="pct"/>
            <w:tcBorders>
              <w:tl2br w:val="nil"/>
              <w:tr2bl w:val="nil"/>
            </w:tcBorders>
            <w:vAlign w:val="center"/>
          </w:tcPr>
          <w:p w14:paraId="5E104898">
            <w:pPr>
              <w:widowControl/>
              <w:spacing w:before="0" w:beforeLines="0" w:line="240" w:lineRule="auto"/>
              <w:jc w:val="center"/>
              <w:textAlignment w:val="center"/>
              <w:rPr>
                <w:szCs w:val="21"/>
              </w:rPr>
            </w:pPr>
            <w:r>
              <w:rPr>
                <w:szCs w:val="21"/>
              </w:rPr>
              <w:t>39.4</w:t>
            </w:r>
          </w:p>
        </w:tc>
        <w:tc>
          <w:tcPr>
            <w:tcW w:w="721" w:type="pct"/>
            <w:tcBorders>
              <w:tl2br w:val="nil"/>
              <w:tr2bl w:val="nil"/>
            </w:tcBorders>
            <w:vAlign w:val="center"/>
          </w:tcPr>
          <w:p w14:paraId="31BDDD11">
            <w:pPr>
              <w:autoSpaceDN w:val="0"/>
              <w:spacing w:before="0" w:beforeLines="0" w:line="240" w:lineRule="auto"/>
              <w:jc w:val="center"/>
              <w:textAlignment w:val="center"/>
              <w:rPr>
                <w:kern w:val="0"/>
                <w:szCs w:val="21"/>
              </w:rPr>
            </w:pPr>
            <w:r>
              <w:rPr>
                <w:rFonts w:hint="eastAsia"/>
                <w:kern w:val="0"/>
                <w:szCs w:val="21"/>
                <w:lang w:bidi="ar"/>
              </w:rPr>
              <w:t>14.1</w:t>
            </w:r>
          </w:p>
        </w:tc>
        <w:tc>
          <w:tcPr>
            <w:tcW w:w="481" w:type="pct"/>
            <w:tcBorders>
              <w:tl2br w:val="nil"/>
              <w:tr2bl w:val="nil"/>
            </w:tcBorders>
            <w:vAlign w:val="center"/>
          </w:tcPr>
          <w:p w14:paraId="5BD69397">
            <w:pPr>
              <w:autoSpaceDN w:val="0"/>
              <w:spacing w:before="0" w:beforeLines="0" w:line="240" w:lineRule="auto"/>
              <w:jc w:val="center"/>
              <w:textAlignment w:val="center"/>
              <w:rPr>
                <w:rFonts w:eastAsiaTheme="minorEastAsia"/>
                <w:kern w:val="0"/>
                <w:szCs w:val="21"/>
              </w:rPr>
            </w:pPr>
            <w:r>
              <w:rPr>
                <w:kern w:val="0"/>
                <w:szCs w:val="21"/>
              </w:rPr>
              <w:t>mg/L</w:t>
            </w:r>
          </w:p>
        </w:tc>
      </w:tr>
      <w:tr w14:paraId="3F68DBB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14:paraId="6FEA8707">
            <w:pPr>
              <w:adjustRightInd w:val="0"/>
              <w:snapToGrid w:val="0"/>
              <w:spacing w:before="0" w:beforeLines="0" w:line="240" w:lineRule="auto"/>
              <w:jc w:val="center"/>
              <w:rPr>
                <w:rFonts w:eastAsiaTheme="minorEastAsia"/>
                <w:szCs w:val="21"/>
              </w:rPr>
            </w:pPr>
            <w:r>
              <w:rPr>
                <w:szCs w:val="21"/>
              </w:rPr>
              <w:t>氨氮</w:t>
            </w:r>
          </w:p>
        </w:tc>
        <w:tc>
          <w:tcPr>
            <w:tcW w:w="355" w:type="pct"/>
            <w:tcBorders>
              <w:tl2br w:val="nil"/>
              <w:tr2bl w:val="nil"/>
            </w:tcBorders>
            <w:vAlign w:val="center"/>
          </w:tcPr>
          <w:p w14:paraId="134B1C78">
            <w:pPr>
              <w:adjustRightInd w:val="0"/>
              <w:snapToGrid w:val="0"/>
              <w:spacing w:before="0" w:beforeLines="0" w:line="240" w:lineRule="auto"/>
              <w:jc w:val="center"/>
              <w:rPr>
                <w:szCs w:val="21"/>
              </w:rPr>
            </w:pPr>
            <w:r>
              <w:rPr>
                <w:szCs w:val="21"/>
              </w:rPr>
              <w:t>0.5</w:t>
            </w:r>
          </w:p>
        </w:tc>
        <w:tc>
          <w:tcPr>
            <w:tcW w:w="721" w:type="pct"/>
            <w:tcBorders>
              <w:tl2br w:val="nil"/>
              <w:tr2bl w:val="nil"/>
            </w:tcBorders>
            <w:vAlign w:val="center"/>
          </w:tcPr>
          <w:p w14:paraId="438FE410">
            <w:pPr>
              <w:widowControl/>
              <w:spacing w:before="0" w:beforeLines="0" w:line="240" w:lineRule="auto"/>
              <w:jc w:val="center"/>
              <w:textAlignment w:val="center"/>
              <w:rPr>
                <w:szCs w:val="21"/>
              </w:rPr>
            </w:pPr>
            <w:r>
              <w:rPr>
                <w:szCs w:val="21"/>
              </w:rPr>
              <w:t>0.35</w:t>
            </w:r>
          </w:p>
        </w:tc>
        <w:tc>
          <w:tcPr>
            <w:tcW w:w="721" w:type="pct"/>
            <w:tcBorders>
              <w:tl2br w:val="nil"/>
              <w:tr2bl w:val="nil"/>
            </w:tcBorders>
            <w:vAlign w:val="center"/>
          </w:tcPr>
          <w:p w14:paraId="022D03B2">
            <w:pPr>
              <w:widowControl/>
              <w:spacing w:before="0" w:beforeLines="0" w:line="240" w:lineRule="auto"/>
              <w:jc w:val="center"/>
              <w:textAlignment w:val="center"/>
              <w:rPr>
                <w:szCs w:val="21"/>
              </w:rPr>
            </w:pPr>
            <w:r>
              <w:rPr>
                <w:szCs w:val="21"/>
              </w:rPr>
              <w:t>0.27</w:t>
            </w:r>
          </w:p>
        </w:tc>
        <w:tc>
          <w:tcPr>
            <w:tcW w:w="721" w:type="pct"/>
            <w:tcBorders>
              <w:tl2br w:val="nil"/>
              <w:tr2bl w:val="nil"/>
            </w:tcBorders>
            <w:vAlign w:val="center"/>
          </w:tcPr>
          <w:p w14:paraId="13F37AE4">
            <w:pPr>
              <w:widowControl/>
              <w:spacing w:before="0" w:beforeLines="0" w:line="240" w:lineRule="auto"/>
              <w:jc w:val="center"/>
              <w:textAlignment w:val="center"/>
              <w:rPr>
                <w:szCs w:val="21"/>
              </w:rPr>
            </w:pPr>
            <w:r>
              <w:rPr>
                <w:rFonts w:hint="eastAsia"/>
                <w:kern w:val="0"/>
                <w:szCs w:val="21"/>
                <w:lang w:bidi="ar"/>
              </w:rPr>
              <w:t>0.12</w:t>
            </w:r>
          </w:p>
        </w:tc>
        <w:tc>
          <w:tcPr>
            <w:tcW w:w="721" w:type="pct"/>
            <w:tcBorders>
              <w:tl2br w:val="nil"/>
              <w:tr2bl w:val="nil"/>
            </w:tcBorders>
            <w:vAlign w:val="center"/>
          </w:tcPr>
          <w:p w14:paraId="7EBE2B48">
            <w:pPr>
              <w:widowControl/>
              <w:spacing w:before="0" w:beforeLines="0" w:line="240" w:lineRule="auto"/>
              <w:jc w:val="center"/>
              <w:textAlignment w:val="center"/>
              <w:rPr>
                <w:szCs w:val="21"/>
              </w:rPr>
            </w:pPr>
            <w:r>
              <w:rPr>
                <w:szCs w:val="21"/>
              </w:rPr>
              <w:t>0.32</w:t>
            </w:r>
          </w:p>
        </w:tc>
        <w:tc>
          <w:tcPr>
            <w:tcW w:w="721" w:type="pct"/>
            <w:tcBorders>
              <w:tl2br w:val="nil"/>
              <w:tr2bl w:val="nil"/>
            </w:tcBorders>
            <w:vAlign w:val="center"/>
          </w:tcPr>
          <w:p w14:paraId="608F71AD">
            <w:pPr>
              <w:autoSpaceDN w:val="0"/>
              <w:spacing w:before="0" w:beforeLines="0" w:line="240" w:lineRule="auto"/>
              <w:jc w:val="center"/>
              <w:textAlignment w:val="center"/>
              <w:rPr>
                <w:szCs w:val="21"/>
              </w:rPr>
            </w:pPr>
            <w:r>
              <w:rPr>
                <w:rFonts w:hint="eastAsia"/>
                <w:kern w:val="0"/>
                <w:szCs w:val="21"/>
                <w:lang w:bidi="ar"/>
              </w:rPr>
              <w:t>0.12</w:t>
            </w:r>
          </w:p>
        </w:tc>
        <w:tc>
          <w:tcPr>
            <w:tcW w:w="481" w:type="pct"/>
            <w:tcBorders>
              <w:tl2br w:val="nil"/>
              <w:tr2bl w:val="nil"/>
            </w:tcBorders>
            <w:vAlign w:val="center"/>
          </w:tcPr>
          <w:p w14:paraId="7A08D1E3">
            <w:pPr>
              <w:autoSpaceDN w:val="0"/>
              <w:spacing w:before="0" w:beforeLines="0" w:line="240" w:lineRule="auto"/>
              <w:jc w:val="center"/>
              <w:textAlignment w:val="center"/>
              <w:rPr>
                <w:rFonts w:eastAsiaTheme="minorEastAsia"/>
                <w:kern w:val="0"/>
                <w:szCs w:val="21"/>
              </w:rPr>
            </w:pPr>
            <w:r>
              <w:rPr>
                <w:szCs w:val="21"/>
              </w:rPr>
              <w:t>mg/L</w:t>
            </w:r>
          </w:p>
        </w:tc>
      </w:tr>
      <w:tr w14:paraId="5154DD9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14:paraId="34C1C4D6">
            <w:pPr>
              <w:adjustRightInd w:val="0"/>
              <w:snapToGrid w:val="0"/>
              <w:spacing w:before="0" w:beforeLines="0" w:line="240" w:lineRule="auto"/>
              <w:jc w:val="center"/>
              <w:rPr>
                <w:rFonts w:eastAsiaTheme="minorEastAsia"/>
                <w:szCs w:val="21"/>
              </w:rPr>
            </w:pPr>
            <w:r>
              <w:rPr>
                <w:szCs w:val="21"/>
              </w:rPr>
              <w:t>硝酸盐氮</w:t>
            </w:r>
          </w:p>
        </w:tc>
        <w:tc>
          <w:tcPr>
            <w:tcW w:w="355" w:type="pct"/>
            <w:tcBorders>
              <w:tl2br w:val="nil"/>
              <w:tr2bl w:val="nil"/>
            </w:tcBorders>
            <w:vAlign w:val="center"/>
          </w:tcPr>
          <w:p w14:paraId="08A918EB">
            <w:pPr>
              <w:adjustRightInd w:val="0"/>
              <w:snapToGrid w:val="0"/>
              <w:spacing w:before="0" w:beforeLines="0" w:line="240" w:lineRule="auto"/>
              <w:jc w:val="center"/>
              <w:rPr>
                <w:szCs w:val="21"/>
              </w:rPr>
            </w:pPr>
            <w:r>
              <w:rPr>
                <w:szCs w:val="21"/>
              </w:rPr>
              <w:t>20</w:t>
            </w:r>
          </w:p>
        </w:tc>
        <w:tc>
          <w:tcPr>
            <w:tcW w:w="721" w:type="pct"/>
            <w:tcBorders>
              <w:tl2br w:val="nil"/>
              <w:tr2bl w:val="nil"/>
            </w:tcBorders>
            <w:vAlign w:val="center"/>
          </w:tcPr>
          <w:p w14:paraId="5A2D944F">
            <w:pPr>
              <w:widowControl/>
              <w:spacing w:before="0" w:beforeLines="0" w:line="240" w:lineRule="auto"/>
              <w:jc w:val="center"/>
              <w:textAlignment w:val="center"/>
              <w:rPr>
                <w:szCs w:val="21"/>
              </w:rPr>
            </w:pPr>
            <w:r>
              <w:rPr>
                <w:szCs w:val="21"/>
              </w:rPr>
              <w:t>0.7</w:t>
            </w:r>
          </w:p>
        </w:tc>
        <w:tc>
          <w:tcPr>
            <w:tcW w:w="721" w:type="pct"/>
            <w:tcBorders>
              <w:tl2br w:val="nil"/>
              <w:tr2bl w:val="nil"/>
            </w:tcBorders>
            <w:vAlign w:val="center"/>
          </w:tcPr>
          <w:p w14:paraId="219F8998">
            <w:pPr>
              <w:widowControl/>
              <w:spacing w:before="0" w:beforeLines="0" w:line="240" w:lineRule="auto"/>
              <w:jc w:val="center"/>
              <w:textAlignment w:val="center"/>
              <w:rPr>
                <w:szCs w:val="21"/>
              </w:rPr>
            </w:pPr>
            <w:r>
              <w:rPr>
                <w:szCs w:val="21"/>
              </w:rPr>
              <w:t>0.5</w:t>
            </w:r>
          </w:p>
        </w:tc>
        <w:tc>
          <w:tcPr>
            <w:tcW w:w="721" w:type="pct"/>
            <w:tcBorders>
              <w:tl2br w:val="nil"/>
              <w:tr2bl w:val="nil"/>
            </w:tcBorders>
            <w:vAlign w:val="center"/>
          </w:tcPr>
          <w:p w14:paraId="006E5F78">
            <w:pPr>
              <w:widowControl/>
              <w:spacing w:before="0" w:beforeLines="0" w:line="240" w:lineRule="auto"/>
              <w:jc w:val="center"/>
              <w:textAlignment w:val="center"/>
              <w:rPr>
                <w:szCs w:val="21"/>
              </w:rPr>
            </w:pPr>
            <w:r>
              <w:rPr>
                <w:rFonts w:hint="eastAsia"/>
                <w:kern w:val="0"/>
                <w:szCs w:val="21"/>
                <w:lang w:bidi="ar"/>
              </w:rPr>
              <w:t>18.6</w:t>
            </w:r>
          </w:p>
        </w:tc>
        <w:tc>
          <w:tcPr>
            <w:tcW w:w="721" w:type="pct"/>
            <w:tcBorders>
              <w:tl2br w:val="nil"/>
              <w:tr2bl w:val="nil"/>
            </w:tcBorders>
            <w:vAlign w:val="center"/>
          </w:tcPr>
          <w:p w14:paraId="25512A81">
            <w:pPr>
              <w:widowControl/>
              <w:spacing w:before="0" w:beforeLines="0" w:line="240" w:lineRule="auto"/>
              <w:jc w:val="center"/>
              <w:textAlignment w:val="center"/>
              <w:rPr>
                <w:szCs w:val="21"/>
              </w:rPr>
            </w:pPr>
            <w:r>
              <w:rPr>
                <w:szCs w:val="21"/>
              </w:rPr>
              <w:t>0.7</w:t>
            </w:r>
          </w:p>
        </w:tc>
        <w:tc>
          <w:tcPr>
            <w:tcW w:w="721" w:type="pct"/>
            <w:tcBorders>
              <w:tl2br w:val="nil"/>
              <w:tr2bl w:val="nil"/>
            </w:tcBorders>
            <w:vAlign w:val="center"/>
          </w:tcPr>
          <w:p w14:paraId="35D85B46">
            <w:pPr>
              <w:autoSpaceDN w:val="0"/>
              <w:spacing w:before="0" w:beforeLines="0" w:line="240" w:lineRule="auto"/>
              <w:jc w:val="center"/>
              <w:textAlignment w:val="center"/>
              <w:rPr>
                <w:kern w:val="0"/>
                <w:szCs w:val="21"/>
                <w:lang w:bidi="ar"/>
              </w:rPr>
            </w:pPr>
            <w:r>
              <w:rPr>
                <w:rFonts w:hint="eastAsia"/>
                <w:kern w:val="0"/>
                <w:szCs w:val="21"/>
                <w:lang w:bidi="ar"/>
              </w:rPr>
              <w:t>1.8</w:t>
            </w:r>
          </w:p>
        </w:tc>
        <w:tc>
          <w:tcPr>
            <w:tcW w:w="481" w:type="pct"/>
            <w:tcBorders>
              <w:tl2br w:val="nil"/>
              <w:tr2bl w:val="nil"/>
            </w:tcBorders>
            <w:vAlign w:val="center"/>
          </w:tcPr>
          <w:p w14:paraId="48326B8D">
            <w:pPr>
              <w:autoSpaceDN w:val="0"/>
              <w:spacing w:before="0" w:beforeLines="0" w:line="240" w:lineRule="auto"/>
              <w:jc w:val="center"/>
              <w:textAlignment w:val="center"/>
              <w:rPr>
                <w:rFonts w:eastAsiaTheme="minorEastAsia"/>
                <w:kern w:val="0"/>
                <w:szCs w:val="21"/>
              </w:rPr>
            </w:pPr>
            <w:r>
              <w:rPr>
                <w:kern w:val="0"/>
                <w:szCs w:val="21"/>
                <w:lang w:bidi="ar"/>
              </w:rPr>
              <w:t>mg/L</w:t>
            </w:r>
          </w:p>
        </w:tc>
      </w:tr>
      <w:tr w14:paraId="5610D8D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14:paraId="3FC58368">
            <w:pPr>
              <w:spacing w:before="0" w:beforeLines="0" w:line="240" w:lineRule="auto"/>
              <w:jc w:val="center"/>
              <w:rPr>
                <w:rFonts w:eastAsiaTheme="minorEastAsia"/>
                <w:szCs w:val="21"/>
              </w:rPr>
            </w:pPr>
            <w:r>
              <w:rPr>
                <w:szCs w:val="21"/>
              </w:rPr>
              <w:t>亚硝酸盐氮</w:t>
            </w:r>
          </w:p>
        </w:tc>
        <w:tc>
          <w:tcPr>
            <w:tcW w:w="355" w:type="pct"/>
            <w:tcBorders>
              <w:tl2br w:val="nil"/>
              <w:tr2bl w:val="nil"/>
            </w:tcBorders>
            <w:vAlign w:val="center"/>
          </w:tcPr>
          <w:p w14:paraId="174F044D">
            <w:pPr>
              <w:spacing w:before="0" w:beforeLines="0" w:line="240" w:lineRule="auto"/>
              <w:jc w:val="center"/>
              <w:rPr>
                <w:szCs w:val="21"/>
              </w:rPr>
            </w:pPr>
            <w:r>
              <w:rPr>
                <w:szCs w:val="21"/>
              </w:rPr>
              <w:t>≤1.0</w:t>
            </w:r>
          </w:p>
        </w:tc>
        <w:tc>
          <w:tcPr>
            <w:tcW w:w="721" w:type="pct"/>
            <w:tcBorders>
              <w:tl2br w:val="nil"/>
              <w:tr2bl w:val="nil"/>
            </w:tcBorders>
            <w:vAlign w:val="center"/>
          </w:tcPr>
          <w:p w14:paraId="4D64B771">
            <w:pPr>
              <w:widowControl/>
              <w:spacing w:before="0" w:beforeLines="0" w:line="240" w:lineRule="auto"/>
              <w:jc w:val="center"/>
              <w:textAlignment w:val="center"/>
              <w:rPr>
                <w:szCs w:val="21"/>
              </w:rPr>
            </w:pPr>
            <w:r>
              <w:rPr>
                <w:szCs w:val="21"/>
              </w:rPr>
              <w:t>0.002</w:t>
            </w:r>
          </w:p>
        </w:tc>
        <w:tc>
          <w:tcPr>
            <w:tcW w:w="721" w:type="pct"/>
            <w:tcBorders>
              <w:tl2br w:val="nil"/>
              <w:tr2bl w:val="nil"/>
            </w:tcBorders>
            <w:vAlign w:val="center"/>
          </w:tcPr>
          <w:p w14:paraId="2BDE501B">
            <w:pPr>
              <w:widowControl/>
              <w:spacing w:before="0" w:beforeLines="0" w:line="240" w:lineRule="auto"/>
              <w:jc w:val="center"/>
              <w:textAlignment w:val="center"/>
              <w:rPr>
                <w:szCs w:val="21"/>
              </w:rPr>
            </w:pPr>
            <w:r>
              <w:rPr>
                <w:szCs w:val="21"/>
              </w:rPr>
              <w:t>0.003</w:t>
            </w:r>
          </w:p>
        </w:tc>
        <w:tc>
          <w:tcPr>
            <w:tcW w:w="721" w:type="pct"/>
            <w:tcBorders>
              <w:tl2br w:val="nil"/>
              <w:tr2bl w:val="nil"/>
            </w:tcBorders>
            <w:vAlign w:val="center"/>
          </w:tcPr>
          <w:p w14:paraId="0AB3DE6C">
            <w:pPr>
              <w:widowControl/>
              <w:spacing w:before="0" w:beforeLines="0" w:line="240" w:lineRule="auto"/>
              <w:jc w:val="center"/>
              <w:textAlignment w:val="center"/>
              <w:rPr>
                <w:szCs w:val="21"/>
              </w:rPr>
            </w:pPr>
            <w:r>
              <w:rPr>
                <w:rFonts w:hint="eastAsia"/>
                <w:kern w:val="0"/>
                <w:szCs w:val="21"/>
                <w:lang w:bidi="ar"/>
              </w:rPr>
              <w:t>0.003</w:t>
            </w:r>
          </w:p>
        </w:tc>
        <w:tc>
          <w:tcPr>
            <w:tcW w:w="721" w:type="pct"/>
            <w:tcBorders>
              <w:tl2br w:val="nil"/>
              <w:tr2bl w:val="nil"/>
            </w:tcBorders>
            <w:vAlign w:val="center"/>
          </w:tcPr>
          <w:p w14:paraId="31689B12">
            <w:pPr>
              <w:widowControl/>
              <w:spacing w:before="0" w:beforeLines="0" w:line="240" w:lineRule="auto"/>
              <w:jc w:val="center"/>
              <w:textAlignment w:val="center"/>
              <w:rPr>
                <w:szCs w:val="21"/>
              </w:rPr>
            </w:pPr>
            <w:r>
              <w:rPr>
                <w:szCs w:val="21"/>
              </w:rPr>
              <w:t>0.002</w:t>
            </w:r>
          </w:p>
        </w:tc>
        <w:tc>
          <w:tcPr>
            <w:tcW w:w="721" w:type="pct"/>
            <w:tcBorders>
              <w:tl2br w:val="nil"/>
              <w:tr2bl w:val="nil"/>
            </w:tcBorders>
            <w:vAlign w:val="center"/>
          </w:tcPr>
          <w:p w14:paraId="1511C01B">
            <w:pPr>
              <w:widowControl/>
              <w:spacing w:before="0" w:beforeLines="0" w:line="240" w:lineRule="auto"/>
              <w:jc w:val="center"/>
              <w:textAlignment w:val="center"/>
              <w:rPr>
                <w:kern w:val="0"/>
                <w:szCs w:val="21"/>
                <w:lang w:bidi="ar"/>
              </w:rPr>
            </w:pPr>
            <w:r>
              <w:rPr>
                <w:rFonts w:hint="eastAsia"/>
                <w:kern w:val="0"/>
                <w:szCs w:val="21"/>
                <w:lang w:bidi="ar"/>
              </w:rPr>
              <w:t>0.003</w:t>
            </w:r>
          </w:p>
        </w:tc>
        <w:tc>
          <w:tcPr>
            <w:tcW w:w="481" w:type="pct"/>
            <w:tcBorders>
              <w:tl2br w:val="nil"/>
              <w:tr2bl w:val="nil"/>
            </w:tcBorders>
            <w:vAlign w:val="center"/>
          </w:tcPr>
          <w:p w14:paraId="650398FC">
            <w:pPr>
              <w:widowControl/>
              <w:spacing w:before="0" w:beforeLines="0" w:line="240" w:lineRule="auto"/>
              <w:jc w:val="center"/>
              <w:textAlignment w:val="center"/>
              <w:rPr>
                <w:rFonts w:eastAsiaTheme="minorEastAsia"/>
                <w:kern w:val="0"/>
                <w:szCs w:val="21"/>
              </w:rPr>
            </w:pPr>
            <w:r>
              <w:rPr>
                <w:kern w:val="0"/>
                <w:szCs w:val="21"/>
                <w:lang w:bidi="ar"/>
              </w:rPr>
              <w:t>mg/L</w:t>
            </w:r>
          </w:p>
        </w:tc>
      </w:tr>
      <w:tr w14:paraId="04418A1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14:paraId="5F5B42B0">
            <w:pPr>
              <w:adjustRightInd w:val="0"/>
              <w:snapToGrid w:val="0"/>
              <w:spacing w:before="0" w:beforeLines="0" w:line="240" w:lineRule="auto"/>
              <w:jc w:val="center"/>
              <w:rPr>
                <w:rFonts w:eastAsiaTheme="minorEastAsia"/>
                <w:szCs w:val="21"/>
              </w:rPr>
            </w:pPr>
            <w:r>
              <w:rPr>
                <w:szCs w:val="21"/>
              </w:rPr>
              <w:t>挥发酚（类）</w:t>
            </w:r>
          </w:p>
        </w:tc>
        <w:tc>
          <w:tcPr>
            <w:tcW w:w="355" w:type="pct"/>
            <w:tcBorders>
              <w:tl2br w:val="nil"/>
              <w:tr2bl w:val="nil"/>
            </w:tcBorders>
            <w:vAlign w:val="center"/>
          </w:tcPr>
          <w:p w14:paraId="4B1A3593">
            <w:pPr>
              <w:adjustRightInd w:val="0"/>
              <w:snapToGrid w:val="0"/>
              <w:spacing w:before="0" w:beforeLines="0" w:line="240" w:lineRule="auto"/>
              <w:jc w:val="center"/>
              <w:rPr>
                <w:szCs w:val="21"/>
              </w:rPr>
            </w:pPr>
            <w:r>
              <w:rPr>
                <w:szCs w:val="21"/>
              </w:rPr>
              <w:t>≤0.002</w:t>
            </w:r>
          </w:p>
        </w:tc>
        <w:tc>
          <w:tcPr>
            <w:tcW w:w="721" w:type="pct"/>
            <w:tcBorders>
              <w:tl2br w:val="nil"/>
              <w:tr2bl w:val="nil"/>
            </w:tcBorders>
            <w:vAlign w:val="center"/>
          </w:tcPr>
          <w:p w14:paraId="478627DC">
            <w:pPr>
              <w:widowControl/>
              <w:spacing w:before="0" w:beforeLines="0" w:line="240" w:lineRule="auto"/>
              <w:jc w:val="center"/>
              <w:textAlignment w:val="center"/>
              <w:rPr>
                <w:szCs w:val="21"/>
              </w:rPr>
            </w:pPr>
            <w:r>
              <w:rPr>
                <w:szCs w:val="21"/>
              </w:rPr>
              <w:t>0.002（L）</w:t>
            </w:r>
          </w:p>
        </w:tc>
        <w:tc>
          <w:tcPr>
            <w:tcW w:w="721" w:type="pct"/>
            <w:tcBorders>
              <w:tl2br w:val="nil"/>
              <w:tr2bl w:val="nil"/>
            </w:tcBorders>
            <w:vAlign w:val="center"/>
          </w:tcPr>
          <w:p w14:paraId="00B40C80">
            <w:pPr>
              <w:widowControl/>
              <w:spacing w:before="0" w:beforeLines="0" w:line="240" w:lineRule="auto"/>
              <w:jc w:val="center"/>
              <w:textAlignment w:val="center"/>
              <w:rPr>
                <w:szCs w:val="21"/>
              </w:rPr>
            </w:pPr>
            <w:r>
              <w:rPr>
                <w:szCs w:val="21"/>
              </w:rPr>
              <w:t>0.002（L）</w:t>
            </w:r>
          </w:p>
        </w:tc>
        <w:tc>
          <w:tcPr>
            <w:tcW w:w="721" w:type="pct"/>
            <w:tcBorders>
              <w:tl2br w:val="nil"/>
              <w:tr2bl w:val="nil"/>
            </w:tcBorders>
            <w:vAlign w:val="center"/>
          </w:tcPr>
          <w:p w14:paraId="16503B5B">
            <w:pPr>
              <w:widowControl/>
              <w:spacing w:before="0" w:beforeLines="0" w:line="240" w:lineRule="auto"/>
              <w:jc w:val="center"/>
              <w:textAlignment w:val="center"/>
              <w:rPr>
                <w:szCs w:val="21"/>
              </w:rPr>
            </w:pPr>
            <w:r>
              <w:rPr>
                <w:rFonts w:hint="eastAsia"/>
                <w:kern w:val="0"/>
                <w:szCs w:val="21"/>
                <w:lang w:bidi="ar"/>
              </w:rPr>
              <w:t>0.002(L)</w:t>
            </w:r>
          </w:p>
        </w:tc>
        <w:tc>
          <w:tcPr>
            <w:tcW w:w="721" w:type="pct"/>
            <w:tcBorders>
              <w:tl2br w:val="nil"/>
              <w:tr2bl w:val="nil"/>
            </w:tcBorders>
            <w:vAlign w:val="center"/>
          </w:tcPr>
          <w:p w14:paraId="1F01D606">
            <w:pPr>
              <w:widowControl/>
              <w:spacing w:before="0" w:beforeLines="0" w:line="240" w:lineRule="auto"/>
              <w:jc w:val="center"/>
              <w:textAlignment w:val="center"/>
              <w:rPr>
                <w:szCs w:val="21"/>
              </w:rPr>
            </w:pPr>
            <w:r>
              <w:rPr>
                <w:szCs w:val="21"/>
              </w:rPr>
              <w:t>0.002（L）</w:t>
            </w:r>
          </w:p>
        </w:tc>
        <w:tc>
          <w:tcPr>
            <w:tcW w:w="721" w:type="pct"/>
            <w:tcBorders>
              <w:tl2br w:val="nil"/>
              <w:tr2bl w:val="nil"/>
            </w:tcBorders>
            <w:vAlign w:val="center"/>
          </w:tcPr>
          <w:p w14:paraId="247C597E">
            <w:pPr>
              <w:autoSpaceDN w:val="0"/>
              <w:spacing w:before="0" w:beforeLines="0" w:line="240" w:lineRule="auto"/>
              <w:jc w:val="center"/>
              <w:textAlignment w:val="center"/>
              <w:rPr>
                <w:szCs w:val="21"/>
              </w:rPr>
            </w:pPr>
            <w:r>
              <w:rPr>
                <w:rFonts w:hint="eastAsia"/>
                <w:kern w:val="0"/>
                <w:szCs w:val="21"/>
                <w:lang w:bidi="ar"/>
              </w:rPr>
              <w:t>0.002(L)</w:t>
            </w:r>
          </w:p>
        </w:tc>
        <w:tc>
          <w:tcPr>
            <w:tcW w:w="481" w:type="pct"/>
            <w:tcBorders>
              <w:tl2br w:val="nil"/>
              <w:tr2bl w:val="nil"/>
            </w:tcBorders>
            <w:vAlign w:val="center"/>
          </w:tcPr>
          <w:p w14:paraId="51820689">
            <w:pPr>
              <w:autoSpaceDN w:val="0"/>
              <w:spacing w:before="0" w:beforeLines="0" w:line="240" w:lineRule="auto"/>
              <w:jc w:val="center"/>
              <w:textAlignment w:val="center"/>
              <w:rPr>
                <w:rFonts w:eastAsiaTheme="minorEastAsia"/>
                <w:kern w:val="0"/>
                <w:szCs w:val="21"/>
              </w:rPr>
            </w:pPr>
            <w:r>
              <w:rPr>
                <w:szCs w:val="21"/>
              </w:rPr>
              <w:t>mg/L</w:t>
            </w:r>
          </w:p>
        </w:tc>
      </w:tr>
      <w:tr w14:paraId="34506C0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14:paraId="615BDECF">
            <w:pPr>
              <w:adjustRightInd w:val="0"/>
              <w:snapToGrid w:val="0"/>
              <w:spacing w:before="0" w:beforeLines="0" w:line="240" w:lineRule="auto"/>
              <w:jc w:val="center"/>
              <w:rPr>
                <w:rFonts w:eastAsiaTheme="minorEastAsia"/>
                <w:szCs w:val="21"/>
              </w:rPr>
            </w:pPr>
            <w:r>
              <w:rPr>
                <w:szCs w:val="21"/>
              </w:rPr>
              <w:t>氟化物</w:t>
            </w:r>
          </w:p>
        </w:tc>
        <w:tc>
          <w:tcPr>
            <w:tcW w:w="355" w:type="pct"/>
            <w:tcBorders>
              <w:tl2br w:val="nil"/>
              <w:tr2bl w:val="nil"/>
            </w:tcBorders>
            <w:vAlign w:val="center"/>
          </w:tcPr>
          <w:p w14:paraId="1C7FA376">
            <w:pPr>
              <w:adjustRightInd w:val="0"/>
              <w:snapToGrid w:val="0"/>
              <w:spacing w:before="0" w:beforeLines="0" w:line="240" w:lineRule="auto"/>
              <w:jc w:val="center"/>
              <w:rPr>
                <w:szCs w:val="21"/>
              </w:rPr>
            </w:pPr>
            <w:r>
              <w:rPr>
                <w:szCs w:val="21"/>
              </w:rPr>
              <w:t>≤1.0</w:t>
            </w:r>
          </w:p>
        </w:tc>
        <w:tc>
          <w:tcPr>
            <w:tcW w:w="721" w:type="pct"/>
            <w:tcBorders>
              <w:tl2br w:val="nil"/>
              <w:tr2bl w:val="nil"/>
            </w:tcBorders>
            <w:vAlign w:val="center"/>
          </w:tcPr>
          <w:p w14:paraId="67AEADCC">
            <w:pPr>
              <w:widowControl/>
              <w:spacing w:before="0" w:beforeLines="0" w:line="240" w:lineRule="auto"/>
              <w:jc w:val="center"/>
              <w:textAlignment w:val="center"/>
              <w:rPr>
                <w:szCs w:val="21"/>
              </w:rPr>
            </w:pPr>
            <w:r>
              <w:rPr>
                <w:szCs w:val="21"/>
              </w:rPr>
              <w:t>0.3</w:t>
            </w:r>
          </w:p>
        </w:tc>
        <w:tc>
          <w:tcPr>
            <w:tcW w:w="721" w:type="pct"/>
            <w:tcBorders>
              <w:tl2br w:val="nil"/>
              <w:tr2bl w:val="nil"/>
            </w:tcBorders>
            <w:vAlign w:val="center"/>
          </w:tcPr>
          <w:p w14:paraId="334E5356">
            <w:pPr>
              <w:widowControl/>
              <w:spacing w:before="0" w:beforeLines="0" w:line="240" w:lineRule="auto"/>
              <w:jc w:val="center"/>
              <w:textAlignment w:val="center"/>
              <w:rPr>
                <w:szCs w:val="21"/>
              </w:rPr>
            </w:pPr>
            <w:r>
              <w:rPr>
                <w:szCs w:val="21"/>
              </w:rPr>
              <w:t>0.7</w:t>
            </w:r>
          </w:p>
        </w:tc>
        <w:tc>
          <w:tcPr>
            <w:tcW w:w="721" w:type="pct"/>
            <w:tcBorders>
              <w:tl2br w:val="nil"/>
              <w:tr2bl w:val="nil"/>
            </w:tcBorders>
            <w:vAlign w:val="center"/>
          </w:tcPr>
          <w:p w14:paraId="5EDFD71E">
            <w:pPr>
              <w:widowControl/>
              <w:spacing w:before="0" w:beforeLines="0" w:line="240" w:lineRule="auto"/>
              <w:jc w:val="center"/>
              <w:textAlignment w:val="center"/>
              <w:rPr>
                <w:szCs w:val="21"/>
              </w:rPr>
            </w:pPr>
            <w:r>
              <w:rPr>
                <w:rFonts w:hint="eastAsia"/>
                <w:kern w:val="0"/>
                <w:szCs w:val="21"/>
                <w:lang w:bidi="ar"/>
              </w:rPr>
              <w:t>0.2</w:t>
            </w:r>
          </w:p>
        </w:tc>
        <w:tc>
          <w:tcPr>
            <w:tcW w:w="721" w:type="pct"/>
            <w:tcBorders>
              <w:tl2br w:val="nil"/>
              <w:tr2bl w:val="nil"/>
            </w:tcBorders>
            <w:vAlign w:val="center"/>
          </w:tcPr>
          <w:p w14:paraId="4C4C81AC">
            <w:pPr>
              <w:widowControl/>
              <w:spacing w:before="0" w:beforeLines="0" w:line="240" w:lineRule="auto"/>
              <w:jc w:val="center"/>
              <w:textAlignment w:val="center"/>
              <w:rPr>
                <w:szCs w:val="21"/>
              </w:rPr>
            </w:pPr>
            <w:r>
              <w:rPr>
                <w:szCs w:val="21"/>
              </w:rPr>
              <w:t>0.3</w:t>
            </w:r>
          </w:p>
        </w:tc>
        <w:tc>
          <w:tcPr>
            <w:tcW w:w="721" w:type="pct"/>
            <w:tcBorders>
              <w:tl2br w:val="nil"/>
              <w:tr2bl w:val="nil"/>
            </w:tcBorders>
            <w:vAlign w:val="center"/>
          </w:tcPr>
          <w:p w14:paraId="2E179347">
            <w:pPr>
              <w:autoSpaceDN w:val="0"/>
              <w:spacing w:before="0" w:beforeLines="0" w:line="240" w:lineRule="auto"/>
              <w:jc w:val="center"/>
              <w:textAlignment w:val="center"/>
              <w:rPr>
                <w:szCs w:val="21"/>
              </w:rPr>
            </w:pPr>
            <w:r>
              <w:rPr>
                <w:rFonts w:hint="eastAsia"/>
                <w:kern w:val="0"/>
                <w:szCs w:val="21"/>
                <w:lang w:bidi="ar"/>
              </w:rPr>
              <w:t>0.4</w:t>
            </w:r>
          </w:p>
        </w:tc>
        <w:tc>
          <w:tcPr>
            <w:tcW w:w="481" w:type="pct"/>
            <w:tcBorders>
              <w:tl2br w:val="nil"/>
              <w:tr2bl w:val="nil"/>
            </w:tcBorders>
            <w:vAlign w:val="center"/>
          </w:tcPr>
          <w:p w14:paraId="5979E4EE">
            <w:pPr>
              <w:autoSpaceDN w:val="0"/>
              <w:spacing w:before="0" w:beforeLines="0" w:line="240" w:lineRule="auto"/>
              <w:jc w:val="center"/>
              <w:textAlignment w:val="center"/>
              <w:rPr>
                <w:rFonts w:eastAsiaTheme="minorEastAsia"/>
                <w:kern w:val="0"/>
                <w:szCs w:val="21"/>
              </w:rPr>
            </w:pPr>
            <w:r>
              <w:rPr>
                <w:szCs w:val="21"/>
              </w:rPr>
              <w:t>mg/L</w:t>
            </w:r>
          </w:p>
        </w:tc>
      </w:tr>
      <w:tr w14:paraId="6EA53B4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14:paraId="0C4C51A3">
            <w:pPr>
              <w:adjustRightInd w:val="0"/>
              <w:snapToGrid w:val="0"/>
              <w:spacing w:before="0" w:beforeLines="0" w:line="240" w:lineRule="auto"/>
              <w:jc w:val="center"/>
              <w:rPr>
                <w:rFonts w:eastAsiaTheme="minorEastAsia"/>
                <w:szCs w:val="21"/>
              </w:rPr>
            </w:pPr>
            <w:r>
              <w:rPr>
                <w:bCs/>
                <w:szCs w:val="21"/>
              </w:rPr>
              <w:t>耗氧量</w:t>
            </w:r>
          </w:p>
        </w:tc>
        <w:tc>
          <w:tcPr>
            <w:tcW w:w="355" w:type="pct"/>
            <w:tcBorders>
              <w:tl2br w:val="nil"/>
              <w:tr2bl w:val="nil"/>
            </w:tcBorders>
            <w:vAlign w:val="center"/>
          </w:tcPr>
          <w:p w14:paraId="66E48393">
            <w:pPr>
              <w:adjustRightInd w:val="0"/>
              <w:snapToGrid w:val="0"/>
              <w:spacing w:before="0" w:beforeLines="0" w:line="240" w:lineRule="auto"/>
              <w:jc w:val="center"/>
              <w:rPr>
                <w:bCs/>
                <w:szCs w:val="21"/>
              </w:rPr>
            </w:pPr>
            <w:r>
              <w:rPr>
                <w:szCs w:val="21"/>
              </w:rPr>
              <w:t>≤3.0</w:t>
            </w:r>
          </w:p>
        </w:tc>
        <w:tc>
          <w:tcPr>
            <w:tcW w:w="721" w:type="pct"/>
            <w:tcBorders>
              <w:tl2br w:val="nil"/>
              <w:tr2bl w:val="nil"/>
            </w:tcBorders>
            <w:vAlign w:val="center"/>
          </w:tcPr>
          <w:p w14:paraId="6798826E">
            <w:pPr>
              <w:widowControl/>
              <w:spacing w:before="0" w:beforeLines="0" w:line="240" w:lineRule="auto"/>
              <w:jc w:val="center"/>
              <w:textAlignment w:val="center"/>
              <w:rPr>
                <w:szCs w:val="21"/>
              </w:rPr>
            </w:pPr>
            <w:r>
              <w:rPr>
                <w:szCs w:val="21"/>
              </w:rPr>
              <w:t>1.11</w:t>
            </w:r>
          </w:p>
        </w:tc>
        <w:tc>
          <w:tcPr>
            <w:tcW w:w="721" w:type="pct"/>
            <w:tcBorders>
              <w:tl2br w:val="nil"/>
              <w:tr2bl w:val="nil"/>
            </w:tcBorders>
            <w:vAlign w:val="center"/>
          </w:tcPr>
          <w:p w14:paraId="60D0A29B">
            <w:pPr>
              <w:widowControl/>
              <w:spacing w:before="0" w:beforeLines="0" w:line="240" w:lineRule="auto"/>
              <w:jc w:val="center"/>
              <w:textAlignment w:val="center"/>
              <w:rPr>
                <w:szCs w:val="21"/>
              </w:rPr>
            </w:pPr>
            <w:r>
              <w:rPr>
                <w:szCs w:val="21"/>
              </w:rPr>
              <w:t>1.20</w:t>
            </w:r>
          </w:p>
        </w:tc>
        <w:tc>
          <w:tcPr>
            <w:tcW w:w="721" w:type="pct"/>
            <w:tcBorders>
              <w:tl2br w:val="nil"/>
              <w:tr2bl w:val="nil"/>
            </w:tcBorders>
            <w:vAlign w:val="center"/>
          </w:tcPr>
          <w:p w14:paraId="3EFAFCAF">
            <w:pPr>
              <w:widowControl/>
              <w:spacing w:before="0" w:beforeLines="0" w:line="240" w:lineRule="auto"/>
              <w:jc w:val="center"/>
              <w:textAlignment w:val="center"/>
              <w:rPr>
                <w:szCs w:val="21"/>
              </w:rPr>
            </w:pPr>
            <w:r>
              <w:rPr>
                <w:rFonts w:hint="eastAsia"/>
                <w:kern w:val="0"/>
                <w:szCs w:val="21"/>
                <w:lang w:bidi="ar"/>
              </w:rPr>
              <w:t xml:space="preserve">2.90 </w:t>
            </w:r>
          </w:p>
        </w:tc>
        <w:tc>
          <w:tcPr>
            <w:tcW w:w="721" w:type="pct"/>
            <w:tcBorders>
              <w:tl2br w:val="nil"/>
              <w:tr2bl w:val="nil"/>
            </w:tcBorders>
            <w:vAlign w:val="center"/>
          </w:tcPr>
          <w:p w14:paraId="3DBCA063">
            <w:pPr>
              <w:widowControl/>
              <w:spacing w:before="0" w:beforeLines="0" w:line="240" w:lineRule="auto"/>
              <w:jc w:val="center"/>
              <w:textAlignment w:val="center"/>
              <w:rPr>
                <w:szCs w:val="21"/>
              </w:rPr>
            </w:pPr>
            <w:r>
              <w:rPr>
                <w:szCs w:val="21"/>
              </w:rPr>
              <w:t>1.14</w:t>
            </w:r>
          </w:p>
        </w:tc>
        <w:tc>
          <w:tcPr>
            <w:tcW w:w="721" w:type="pct"/>
            <w:tcBorders>
              <w:tl2br w:val="nil"/>
              <w:tr2bl w:val="nil"/>
            </w:tcBorders>
            <w:vAlign w:val="center"/>
          </w:tcPr>
          <w:p w14:paraId="0861D581">
            <w:pPr>
              <w:autoSpaceDN w:val="0"/>
              <w:spacing w:before="0" w:beforeLines="0" w:line="240" w:lineRule="auto"/>
              <w:jc w:val="center"/>
              <w:textAlignment w:val="center"/>
              <w:rPr>
                <w:szCs w:val="21"/>
              </w:rPr>
            </w:pPr>
            <w:r>
              <w:rPr>
                <w:kern w:val="0"/>
                <w:szCs w:val="21"/>
                <w:lang w:bidi="ar"/>
              </w:rPr>
              <w:t>2.98</w:t>
            </w:r>
          </w:p>
        </w:tc>
        <w:tc>
          <w:tcPr>
            <w:tcW w:w="481" w:type="pct"/>
            <w:tcBorders>
              <w:tl2br w:val="nil"/>
              <w:tr2bl w:val="nil"/>
            </w:tcBorders>
            <w:vAlign w:val="center"/>
          </w:tcPr>
          <w:p w14:paraId="2C4859AE">
            <w:pPr>
              <w:autoSpaceDN w:val="0"/>
              <w:spacing w:before="0" w:beforeLines="0" w:line="240" w:lineRule="auto"/>
              <w:jc w:val="center"/>
              <w:textAlignment w:val="center"/>
              <w:rPr>
                <w:rFonts w:eastAsiaTheme="minorEastAsia"/>
                <w:kern w:val="0"/>
                <w:szCs w:val="21"/>
              </w:rPr>
            </w:pPr>
            <w:r>
              <w:rPr>
                <w:szCs w:val="21"/>
              </w:rPr>
              <w:t>mg/L</w:t>
            </w:r>
          </w:p>
        </w:tc>
      </w:tr>
      <w:tr w14:paraId="157DC76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14:paraId="53E10A08">
            <w:pPr>
              <w:adjustRightInd w:val="0"/>
              <w:snapToGrid w:val="0"/>
              <w:spacing w:before="0" w:beforeLines="0" w:line="240" w:lineRule="auto"/>
              <w:jc w:val="center"/>
              <w:rPr>
                <w:rFonts w:eastAsiaTheme="minorEastAsia"/>
                <w:szCs w:val="21"/>
              </w:rPr>
            </w:pPr>
            <w:r>
              <w:rPr>
                <w:szCs w:val="21"/>
              </w:rPr>
              <w:t>汞</w:t>
            </w:r>
          </w:p>
        </w:tc>
        <w:tc>
          <w:tcPr>
            <w:tcW w:w="355" w:type="pct"/>
            <w:tcBorders>
              <w:tl2br w:val="nil"/>
              <w:tr2bl w:val="nil"/>
            </w:tcBorders>
            <w:vAlign w:val="center"/>
          </w:tcPr>
          <w:p w14:paraId="7B4AC7EB">
            <w:pPr>
              <w:adjustRightInd w:val="0"/>
              <w:snapToGrid w:val="0"/>
              <w:spacing w:before="0" w:beforeLines="0" w:line="240" w:lineRule="auto"/>
              <w:jc w:val="center"/>
              <w:rPr>
                <w:szCs w:val="21"/>
              </w:rPr>
            </w:pPr>
            <w:r>
              <w:rPr>
                <w:szCs w:val="21"/>
              </w:rPr>
              <w:t>≤0.001</w:t>
            </w:r>
          </w:p>
        </w:tc>
        <w:tc>
          <w:tcPr>
            <w:tcW w:w="721" w:type="pct"/>
            <w:tcBorders>
              <w:tl2br w:val="nil"/>
              <w:tr2bl w:val="nil"/>
            </w:tcBorders>
            <w:vAlign w:val="center"/>
          </w:tcPr>
          <w:p w14:paraId="7EE47B9A">
            <w:pPr>
              <w:widowControl/>
              <w:spacing w:before="0" w:beforeLines="0" w:line="240" w:lineRule="auto"/>
              <w:jc w:val="center"/>
              <w:textAlignment w:val="center"/>
              <w:rPr>
                <w:szCs w:val="21"/>
              </w:rPr>
            </w:pPr>
            <w:r>
              <w:rPr>
                <w:szCs w:val="21"/>
              </w:rPr>
              <w:t>0.0001（L）</w:t>
            </w:r>
          </w:p>
        </w:tc>
        <w:tc>
          <w:tcPr>
            <w:tcW w:w="721" w:type="pct"/>
            <w:tcBorders>
              <w:tl2br w:val="nil"/>
              <w:tr2bl w:val="nil"/>
            </w:tcBorders>
            <w:vAlign w:val="center"/>
          </w:tcPr>
          <w:p w14:paraId="1E66BF41">
            <w:pPr>
              <w:widowControl/>
              <w:spacing w:before="0" w:beforeLines="0" w:line="240" w:lineRule="auto"/>
              <w:jc w:val="center"/>
              <w:textAlignment w:val="center"/>
              <w:rPr>
                <w:szCs w:val="21"/>
              </w:rPr>
            </w:pPr>
            <w:r>
              <w:rPr>
                <w:szCs w:val="21"/>
              </w:rPr>
              <w:t>0.0001（L）</w:t>
            </w:r>
          </w:p>
        </w:tc>
        <w:tc>
          <w:tcPr>
            <w:tcW w:w="721" w:type="pct"/>
            <w:tcBorders>
              <w:tl2br w:val="nil"/>
              <w:tr2bl w:val="nil"/>
            </w:tcBorders>
            <w:vAlign w:val="center"/>
          </w:tcPr>
          <w:p w14:paraId="66C3E146">
            <w:pPr>
              <w:widowControl/>
              <w:spacing w:before="0" w:beforeLines="0" w:line="240" w:lineRule="auto"/>
              <w:jc w:val="center"/>
              <w:textAlignment w:val="center"/>
              <w:rPr>
                <w:szCs w:val="21"/>
              </w:rPr>
            </w:pPr>
            <w:r>
              <w:rPr>
                <w:szCs w:val="21"/>
              </w:rPr>
              <w:t>0.0001（L）</w:t>
            </w:r>
          </w:p>
        </w:tc>
        <w:tc>
          <w:tcPr>
            <w:tcW w:w="721" w:type="pct"/>
            <w:tcBorders>
              <w:tl2br w:val="nil"/>
              <w:tr2bl w:val="nil"/>
            </w:tcBorders>
            <w:vAlign w:val="center"/>
          </w:tcPr>
          <w:p w14:paraId="03A63145">
            <w:pPr>
              <w:widowControl/>
              <w:spacing w:before="0" w:beforeLines="0" w:line="240" w:lineRule="auto"/>
              <w:jc w:val="center"/>
              <w:textAlignment w:val="center"/>
              <w:rPr>
                <w:szCs w:val="21"/>
              </w:rPr>
            </w:pPr>
            <w:r>
              <w:rPr>
                <w:szCs w:val="21"/>
              </w:rPr>
              <w:t>0.0001（L）</w:t>
            </w:r>
          </w:p>
        </w:tc>
        <w:tc>
          <w:tcPr>
            <w:tcW w:w="721" w:type="pct"/>
            <w:tcBorders>
              <w:tl2br w:val="nil"/>
              <w:tr2bl w:val="nil"/>
            </w:tcBorders>
            <w:vAlign w:val="center"/>
          </w:tcPr>
          <w:p w14:paraId="19BCDAB1">
            <w:pPr>
              <w:autoSpaceDN w:val="0"/>
              <w:spacing w:before="0" w:beforeLines="0" w:line="240" w:lineRule="auto"/>
              <w:jc w:val="center"/>
              <w:textAlignment w:val="center"/>
              <w:rPr>
                <w:szCs w:val="21"/>
              </w:rPr>
            </w:pPr>
            <w:r>
              <w:rPr>
                <w:szCs w:val="21"/>
              </w:rPr>
              <w:t>0.0001（L）</w:t>
            </w:r>
          </w:p>
        </w:tc>
        <w:tc>
          <w:tcPr>
            <w:tcW w:w="481" w:type="pct"/>
            <w:tcBorders>
              <w:tl2br w:val="nil"/>
              <w:tr2bl w:val="nil"/>
            </w:tcBorders>
            <w:vAlign w:val="center"/>
          </w:tcPr>
          <w:p w14:paraId="7D1E7BBC">
            <w:pPr>
              <w:autoSpaceDN w:val="0"/>
              <w:spacing w:before="0" w:beforeLines="0" w:line="240" w:lineRule="auto"/>
              <w:jc w:val="center"/>
              <w:textAlignment w:val="center"/>
              <w:rPr>
                <w:rFonts w:eastAsiaTheme="minorEastAsia"/>
                <w:kern w:val="0"/>
                <w:szCs w:val="21"/>
              </w:rPr>
            </w:pPr>
            <w:r>
              <w:rPr>
                <w:szCs w:val="21"/>
              </w:rPr>
              <w:t>mg/L</w:t>
            </w:r>
          </w:p>
        </w:tc>
      </w:tr>
      <w:tr w14:paraId="52B352B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14:paraId="155831E9">
            <w:pPr>
              <w:adjustRightInd w:val="0"/>
              <w:snapToGrid w:val="0"/>
              <w:spacing w:before="0" w:beforeLines="0" w:line="240" w:lineRule="auto"/>
              <w:jc w:val="center"/>
              <w:rPr>
                <w:rFonts w:eastAsiaTheme="minorEastAsia"/>
                <w:szCs w:val="21"/>
              </w:rPr>
            </w:pPr>
            <w:r>
              <w:rPr>
                <w:szCs w:val="21"/>
              </w:rPr>
              <w:t>砷</w:t>
            </w:r>
          </w:p>
        </w:tc>
        <w:tc>
          <w:tcPr>
            <w:tcW w:w="355" w:type="pct"/>
            <w:tcBorders>
              <w:tl2br w:val="nil"/>
              <w:tr2bl w:val="nil"/>
            </w:tcBorders>
            <w:vAlign w:val="center"/>
          </w:tcPr>
          <w:p w14:paraId="737F698B">
            <w:pPr>
              <w:adjustRightInd w:val="0"/>
              <w:snapToGrid w:val="0"/>
              <w:spacing w:before="0" w:beforeLines="0" w:line="240" w:lineRule="auto"/>
              <w:jc w:val="center"/>
              <w:rPr>
                <w:szCs w:val="21"/>
              </w:rPr>
            </w:pPr>
            <w:r>
              <w:rPr>
                <w:szCs w:val="21"/>
              </w:rPr>
              <w:t>≤0.01</w:t>
            </w:r>
          </w:p>
        </w:tc>
        <w:tc>
          <w:tcPr>
            <w:tcW w:w="721" w:type="pct"/>
            <w:tcBorders>
              <w:tl2br w:val="nil"/>
              <w:tr2bl w:val="nil"/>
            </w:tcBorders>
            <w:vAlign w:val="center"/>
          </w:tcPr>
          <w:p w14:paraId="7A00F8A5">
            <w:pPr>
              <w:widowControl/>
              <w:spacing w:before="0" w:beforeLines="0" w:line="240" w:lineRule="auto"/>
              <w:jc w:val="center"/>
              <w:textAlignment w:val="center"/>
              <w:rPr>
                <w:szCs w:val="21"/>
              </w:rPr>
            </w:pPr>
            <w:r>
              <w:rPr>
                <w:szCs w:val="21"/>
              </w:rPr>
              <w:t>0.001（L）</w:t>
            </w:r>
          </w:p>
        </w:tc>
        <w:tc>
          <w:tcPr>
            <w:tcW w:w="721" w:type="pct"/>
            <w:tcBorders>
              <w:tl2br w:val="nil"/>
              <w:tr2bl w:val="nil"/>
            </w:tcBorders>
            <w:vAlign w:val="center"/>
          </w:tcPr>
          <w:p w14:paraId="124FDB96">
            <w:pPr>
              <w:widowControl/>
              <w:spacing w:before="0" w:beforeLines="0" w:line="240" w:lineRule="auto"/>
              <w:jc w:val="center"/>
              <w:textAlignment w:val="center"/>
              <w:rPr>
                <w:szCs w:val="21"/>
              </w:rPr>
            </w:pPr>
            <w:r>
              <w:rPr>
                <w:szCs w:val="21"/>
              </w:rPr>
              <w:t>0.001（L）</w:t>
            </w:r>
          </w:p>
        </w:tc>
        <w:tc>
          <w:tcPr>
            <w:tcW w:w="721" w:type="pct"/>
            <w:tcBorders>
              <w:tl2br w:val="nil"/>
              <w:tr2bl w:val="nil"/>
            </w:tcBorders>
            <w:vAlign w:val="center"/>
          </w:tcPr>
          <w:p w14:paraId="1CA7D6E5">
            <w:pPr>
              <w:widowControl/>
              <w:spacing w:before="0" w:beforeLines="0" w:line="240" w:lineRule="auto"/>
              <w:jc w:val="center"/>
              <w:textAlignment w:val="center"/>
              <w:rPr>
                <w:szCs w:val="21"/>
              </w:rPr>
            </w:pPr>
            <w:r>
              <w:rPr>
                <w:szCs w:val="21"/>
              </w:rPr>
              <w:t>0.001（L）</w:t>
            </w:r>
          </w:p>
        </w:tc>
        <w:tc>
          <w:tcPr>
            <w:tcW w:w="721" w:type="pct"/>
            <w:tcBorders>
              <w:tl2br w:val="nil"/>
              <w:tr2bl w:val="nil"/>
            </w:tcBorders>
            <w:vAlign w:val="center"/>
          </w:tcPr>
          <w:p w14:paraId="6DEBDB04">
            <w:pPr>
              <w:widowControl/>
              <w:spacing w:before="0" w:beforeLines="0" w:line="240" w:lineRule="auto"/>
              <w:jc w:val="center"/>
              <w:textAlignment w:val="center"/>
              <w:rPr>
                <w:szCs w:val="21"/>
              </w:rPr>
            </w:pPr>
            <w:r>
              <w:rPr>
                <w:szCs w:val="21"/>
              </w:rPr>
              <w:t>0.001（L）</w:t>
            </w:r>
          </w:p>
        </w:tc>
        <w:tc>
          <w:tcPr>
            <w:tcW w:w="721" w:type="pct"/>
            <w:tcBorders>
              <w:tl2br w:val="nil"/>
              <w:tr2bl w:val="nil"/>
            </w:tcBorders>
            <w:vAlign w:val="center"/>
          </w:tcPr>
          <w:p w14:paraId="0C3E21C4">
            <w:pPr>
              <w:autoSpaceDN w:val="0"/>
              <w:spacing w:before="0" w:beforeLines="0" w:line="240" w:lineRule="auto"/>
              <w:jc w:val="center"/>
              <w:textAlignment w:val="center"/>
              <w:rPr>
                <w:szCs w:val="21"/>
              </w:rPr>
            </w:pPr>
            <w:r>
              <w:rPr>
                <w:szCs w:val="21"/>
              </w:rPr>
              <w:t>0.001（L）</w:t>
            </w:r>
          </w:p>
        </w:tc>
        <w:tc>
          <w:tcPr>
            <w:tcW w:w="481" w:type="pct"/>
            <w:tcBorders>
              <w:tl2br w:val="nil"/>
              <w:tr2bl w:val="nil"/>
            </w:tcBorders>
            <w:vAlign w:val="center"/>
          </w:tcPr>
          <w:p w14:paraId="46A212AD">
            <w:pPr>
              <w:autoSpaceDN w:val="0"/>
              <w:spacing w:before="0" w:beforeLines="0" w:line="240" w:lineRule="auto"/>
              <w:jc w:val="center"/>
              <w:textAlignment w:val="center"/>
              <w:rPr>
                <w:rFonts w:eastAsiaTheme="minorEastAsia"/>
                <w:kern w:val="0"/>
                <w:szCs w:val="21"/>
              </w:rPr>
            </w:pPr>
            <w:r>
              <w:rPr>
                <w:szCs w:val="21"/>
              </w:rPr>
              <w:t>mg/L</w:t>
            </w:r>
          </w:p>
        </w:tc>
      </w:tr>
      <w:tr w14:paraId="4A52AED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14:paraId="4478DE1E">
            <w:pPr>
              <w:adjustRightInd w:val="0"/>
              <w:snapToGrid w:val="0"/>
              <w:spacing w:before="0" w:beforeLines="0" w:line="240" w:lineRule="auto"/>
              <w:jc w:val="center"/>
              <w:rPr>
                <w:rFonts w:eastAsiaTheme="minorEastAsia"/>
                <w:szCs w:val="21"/>
              </w:rPr>
            </w:pPr>
            <w:r>
              <w:rPr>
                <w:szCs w:val="21"/>
              </w:rPr>
              <w:t>铬（六价）</w:t>
            </w:r>
          </w:p>
        </w:tc>
        <w:tc>
          <w:tcPr>
            <w:tcW w:w="355" w:type="pct"/>
            <w:tcBorders>
              <w:tl2br w:val="nil"/>
              <w:tr2bl w:val="nil"/>
            </w:tcBorders>
            <w:vAlign w:val="center"/>
          </w:tcPr>
          <w:p w14:paraId="6BEE021B">
            <w:pPr>
              <w:adjustRightInd w:val="0"/>
              <w:snapToGrid w:val="0"/>
              <w:spacing w:before="0" w:beforeLines="0" w:line="240" w:lineRule="auto"/>
              <w:jc w:val="center"/>
              <w:rPr>
                <w:szCs w:val="21"/>
              </w:rPr>
            </w:pPr>
            <w:r>
              <w:rPr>
                <w:szCs w:val="21"/>
              </w:rPr>
              <w:t>≤0.05</w:t>
            </w:r>
          </w:p>
        </w:tc>
        <w:tc>
          <w:tcPr>
            <w:tcW w:w="721" w:type="pct"/>
            <w:tcBorders>
              <w:tl2br w:val="nil"/>
              <w:tr2bl w:val="nil"/>
            </w:tcBorders>
            <w:vAlign w:val="center"/>
          </w:tcPr>
          <w:p w14:paraId="24D3C484">
            <w:pPr>
              <w:widowControl/>
              <w:spacing w:before="0" w:beforeLines="0" w:line="240" w:lineRule="auto"/>
              <w:jc w:val="center"/>
              <w:textAlignment w:val="center"/>
              <w:rPr>
                <w:szCs w:val="21"/>
              </w:rPr>
            </w:pPr>
            <w:r>
              <w:rPr>
                <w:szCs w:val="21"/>
              </w:rPr>
              <w:t>0.004（L）</w:t>
            </w:r>
          </w:p>
        </w:tc>
        <w:tc>
          <w:tcPr>
            <w:tcW w:w="721" w:type="pct"/>
            <w:tcBorders>
              <w:tl2br w:val="nil"/>
              <w:tr2bl w:val="nil"/>
            </w:tcBorders>
            <w:vAlign w:val="center"/>
          </w:tcPr>
          <w:p w14:paraId="6B26B56C">
            <w:pPr>
              <w:widowControl/>
              <w:spacing w:before="0" w:beforeLines="0" w:line="240" w:lineRule="auto"/>
              <w:jc w:val="center"/>
              <w:textAlignment w:val="center"/>
              <w:rPr>
                <w:szCs w:val="21"/>
              </w:rPr>
            </w:pPr>
            <w:r>
              <w:rPr>
                <w:szCs w:val="21"/>
              </w:rPr>
              <w:t>0.004（L）</w:t>
            </w:r>
          </w:p>
        </w:tc>
        <w:tc>
          <w:tcPr>
            <w:tcW w:w="721" w:type="pct"/>
            <w:tcBorders>
              <w:tl2br w:val="nil"/>
              <w:tr2bl w:val="nil"/>
            </w:tcBorders>
            <w:vAlign w:val="center"/>
          </w:tcPr>
          <w:p w14:paraId="470AD649">
            <w:pPr>
              <w:widowControl/>
              <w:spacing w:before="0" w:beforeLines="0" w:line="240" w:lineRule="auto"/>
              <w:jc w:val="center"/>
              <w:textAlignment w:val="center"/>
              <w:rPr>
                <w:szCs w:val="21"/>
              </w:rPr>
            </w:pPr>
            <w:r>
              <w:rPr>
                <w:szCs w:val="21"/>
              </w:rPr>
              <w:t>0.004（L）</w:t>
            </w:r>
          </w:p>
        </w:tc>
        <w:tc>
          <w:tcPr>
            <w:tcW w:w="721" w:type="pct"/>
            <w:tcBorders>
              <w:tl2br w:val="nil"/>
              <w:tr2bl w:val="nil"/>
            </w:tcBorders>
            <w:vAlign w:val="center"/>
          </w:tcPr>
          <w:p w14:paraId="05CB97A6">
            <w:pPr>
              <w:widowControl/>
              <w:spacing w:before="0" w:beforeLines="0" w:line="240" w:lineRule="auto"/>
              <w:jc w:val="center"/>
              <w:textAlignment w:val="center"/>
              <w:rPr>
                <w:szCs w:val="21"/>
              </w:rPr>
            </w:pPr>
            <w:r>
              <w:rPr>
                <w:szCs w:val="21"/>
              </w:rPr>
              <w:t>0.004（L）</w:t>
            </w:r>
          </w:p>
        </w:tc>
        <w:tc>
          <w:tcPr>
            <w:tcW w:w="721" w:type="pct"/>
            <w:tcBorders>
              <w:tl2br w:val="nil"/>
              <w:tr2bl w:val="nil"/>
            </w:tcBorders>
            <w:vAlign w:val="center"/>
          </w:tcPr>
          <w:p w14:paraId="6E8568B5">
            <w:pPr>
              <w:autoSpaceDN w:val="0"/>
              <w:spacing w:before="0" w:beforeLines="0" w:line="240" w:lineRule="auto"/>
              <w:jc w:val="center"/>
              <w:textAlignment w:val="center"/>
              <w:rPr>
                <w:szCs w:val="21"/>
              </w:rPr>
            </w:pPr>
            <w:r>
              <w:rPr>
                <w:szCs w:val="21"/>
              </w:rPr>
              <w:t>0.004（L）</w:t>
            </w:r>
          </w:p>
        </w:tc>
        <w:tc>
          <w:tcPr>
            <w:tcW w:w="481" w:type="pct"/>
            <w:tcBorders>
              <w:tl2br w:val="nil"/>
              <w:tr2bl w:val="nil"/>
            </w:tcBorders>
            <w:vAlign w:val="center"/>
          </w:tcPr>
          <w:p w14:paraId="0F0EEACF">
            <w:pPr>
              <w:autoSpaceDN w:val="0"/>
              <w:spacing w:before="0" w:beforeLines="0" w:line="240" w:lineRule="auto"/>
              <w:jc w:val="center"/>
              <w:textAlignment w:val="center"/>
              <w:rPr>
                <w:rFonts w:eastAsiaTheme="minorEastAsia"/>
                <w:kern w:val="0"/>
                <w:szCs w:val="21"/>
              </w:rPr>
            </w:pPr>
            <w:r>
              <w:rPr>
                <w:szCs w:val="21"/>
              </w:rPr>
              <w:t>mg/L</w:t>
            </w:r>
          </w:p>
        </w:tc>
      </w:tr>
      <w:tr w14:paraId="01E1000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14:paraId="610A24F4">
            <w:pPr>
              <w:adjustRightInd w:val="0"/>
              <w:snapToGrid w:val="0"/>
              <w:spacing w:before="0" w:beforeLines="0" w:line="240" w:lineRule="auto"/>
              <w:jc w:val="center"/>
              <w:rPr>
                <w:rFonts w:eastAsiaTheme="minorEastAsia"/>
                <w:szCs w:val="21"/>
              </w:rPr>
            </w:pPr>
            <w:r>
              <w:rPr>
                <w:szCs w:val="21"/>
              </w:rPr>
              <w:t>铅</w:t>
            </w:r>
          </w:p>
        </w:tc>
        <w:tc>
          <w:tcPr>
            <w:tcW w:w="355" w:type="pct"/>
            <w:tcBorders>
              <w:tl2br w:val="nil"/>
              <w:tr2bl w:val="nil"/>
            </w:tcBorders>
            <w:vAlign w:val="center"/>
          </w:tcPr>
          <w:p w14:paraId="5D387CFB">
            <w:pPr>
              <w:adjustRightInd w:val="0"/>
              <w:snapToGrid w:val="0"/>
              <w:spacing w:before="0" w:beforeLines="0" w:line="240" w:lineRule="auto"/>
              <w:jc w:val="center"/>
              <w:rPr>
                <w:szCs w:val="21"/>
              </w:rPr>
            </w:pPr>
            <w:r>
              <w:rPr>
                <w:szCs w:val="21"/>
              </w:rPr>
              <w:t>≤0.01</w:t>
            </w:r>
          </w:p>
        </w:tc>
        <w:tc>
          <w:tcPr>
            <w:tcW w:w="721" w:type="pct"/>
            <w:tcBorders>
              <w:tl2br w:val="nil"/>
              <w:tr2bl w:val="nil"/>
            </w:tcBorders>
            <w:vAlign w:val="center"/>
          </w:tcPr>
          <w:p w14:paraId="5B1F88F1">
            <w:pPr>
              <w:widowControl/>
              <w:spacing w:before="0" w:beforeLines="0" w:line="240" w:lineRule="auto"/>
              <w:jc w:val="center"/>
              <w:textAlignment w:val="center"/>
              <w:rPr>
                <w:szCs w:val="21"/>
              </w:rPr>
            </w:pPr>
            <w:r>
              <w:rPr>
                <w:szCs w:val="21"/>
              </w:rPr>
              <w:t>0.0025（L）</w:t>
            </w:r>
          </w:p>
        </w:tc>
        <w:tc>
          <w:tcPr>
            <w:tcW w:w="721" w:type="pct"/>
            <w:tcBorders>
              <w:tl2br w:val="nil"/>
              <w:tr2bl w:val="nil"/>
            </w:tcBorders>
            <w:vAlign w:val="center"/>
          </w:tcPr>
          <w:p w14:paraId="63D564A2">
            <w:pPr>
              <w:widowControl/>
              <w:spacing w:before="0" w:beforeLines="0" w:line="240" w:lineRule="auto"/>
              <w:jc w:val="center"/>
              <w:textAlignment w:val="center"/>
              <w:rPr>
                <w:szCs w:val="21"/>
              </w:rPr>
            </w:pPr>
            <w:r>
              <w:rPr>
                <w:szCs w:val="21"/>
              </w:rPr>
              <w:t>0.0025（L）</w:t>
            </w:r>
          </w:p>
        </w:tc>
        <w:tc>
          <w:tcPr>
            <w:tcW w:w="721" w:type="pct"/>
            <w:tcBorders>
              <w:tl2br w:val="nil"/>
              <w:tr2bl w:val="nil"/>
            </w:tcBorders>
            <w:vAlign w:val="center"/>
          </w:tcPr>
          <w:p w14:paraId="0C8287F3">
            <w:pPr>
              <w:widowControl/>
              <w:spacing w:before="0" w:beforeLines="0" w:line="240" w:lineRule="auto"/>
              <w:jc w:val="center"/>
              <w:textAlignment w:val="center"/>
              <w:rPr>
                <w:szCs w:val="21"/>
              </w:rPr>
            </w:pPr>
            <w:r>
              <w:rPr>
                <w:szCs w:val="21"/>
              </w:rPr>
              <w:t>0.0025（L）</w:t>
            </w:r>
          </w:p>
        </w:tc>
        <w:tc>
          <w:tcPr>
            <w:tcW w:w="721" w:type="pct"/>
            <w:tcBorders>
              <w:tl2br w:val="nil"/>
              <w:tr2bl w:val="nil"/>
            </w:tcBorders>
            <w:vAlign w:val="center"/>
          </w:tcPr>
          <w:p w14:paraId="06A63ABD">
            <w:pPr>
              <w:widowControl/>
              <w:spacing w:before="0" w:beforeLines="0" w:line="240" w:lineRule="auto"/>
              <w:jc w:val="center"/>
              <w:textAlignment w:val="center"/>
              <w:rPr>
                <w:szCs w:val="21"/>
              </w:rPr>
            </w:pPr>
            <w:r>
              <w:rPr>
                <w:szCs w:val="21"/>
              </w:rPr>
              <w:t>0.0025（L）</w:t>
            </w:r>
          </w:p>
        </w:tc>
        <w:tc>
          <w:tcPr>
            <w:tcW w:w="721" w:type="pct"/>
            <w:tcBorders>
              <w:tl2br w:val="nil"/>
              <w:tr2bl w:val="nil"/>
            </w:tcBorders>
            <w:vAlign w:val="center"/>
          </w:tcPr>
          <w:p w14:paraId="322826C0">
            <w:pPr>
              <w:autoSpaceDE w:val="0"/>
              <w:autoSpaceDN w:val="0"/>
              <w:snapToGrid w:val="0"/>
              <w:spacing w:before="0" w:beforeLines="0" w:line="240" w:lineRule="auto"/>
              <w:jc w:val="center"/>
              <w:rPr>
                <w:szCs w:val="21"/>
              </w:rPr>
            </w:pPr>
            <w:r>
              <w:rPr>
                <w:szCs w:val="21"/>
              </w:rPr>
              <w:t>0.0025（L）</w:t>
            </w:r>
          </w:p>
        </w:tc>
        <w:tc>
          <w:tcPr>
            <w:tcW w:w="481" w:type="pct"/>
            <w:tcBorders>
              <w:tl2br w:val="nil"/>
              <w:tr2bl w:val="nil"/>
            </w:tcBorders>
            <w:vAlign w:val="center"/>
          </w:tcPr>
          <w:p w14:paraId="49634F2B">
            <w:pPr>
              <w:autoSpaceDE w:val="0"/>
              <w:autoSpaceDN w:val="0"/>
              <w:snapToGrid w:val="0"/>
              <w:spacing w:before="0" w:beforeLines="0" w:line="240" w:lineRule="auto"/>
              <w:jc w:val="center"/>
              <w:rPr>
                <w:rFonts w:eastAsiaTheme="minorEastAsia"/>
                <w:kern w:val="0"/>
                <w:szCs w:val="21"/>
              </w:rPr>
            </w:pPr>
            <w:r>
              <w:rPr>
                <w:szCs w:val="21"/>
              </w:rPr>
              <w:t>mg/L</w:t>
            </w:r>
          </w:p>
        </w:tc>
      </w:tr>
      <w:tr w14:paraId="36D6237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14:paraId="2FCB23D3">
            <w:pPr>
              <w:adjustRightInd w:val="0"/>
              <w:snapToGrid w:val="0"/>
              <w:spacing w:before="0" w:beforeLines="0" w:line="240" w:lineRule="auto"/>
              <w:jc w:val="center"/>
              <w:rPr>
                <w:rFonts w:eastAsiaTheme="minorEastAsia"/>
                <w:szCs w:val="21"/>
              </w:rPr>
            </w:pPr>
            <w:r>
              <w:rPr>
                <w:szCs w:val="21"/>
              </w:rPr>
              <w:t>镉</w:t>
            </w:r>
          </w:p>
        </w:tc>
        <w:tc>
          <w:tcPr>
            <w:tcW w:w="355" w:type="pct"/>
            <w:tcBorders>
              <w:tl2br w:val="nil"/>
              <w:tr2bl w:val="nil"/>
            </w:tcBorders>
            <w:vAlign w:val="center"/>
          </w:tcPr>
          <w:p w14:paraId="1F2A253B">
            <w:pPr>
              <w:adjustRightInd w:val="0"/>
              <w:snapToGrid w:val="0"/>
              <w:spacing w:before="0" w:beforeLines="0" w:line="240" w:lineRule="auto"/>
              <w:jc w:val="center"/>
              <w:rPr>
                <w:szCs w:val="21"/>
              </w:rPr>
            </w:pPr>
            <w:r>
              <w:rPr>
                <w:szCs w:val="21"/>
              </w:rPr>
              <w:t>≤0.05</w:t>
            </w:r>
          </w:p>
        </w:tc>
        <w:tc>
          <w:tcPr>
            <w:tcW w:w="721" w:type="pct"/>
            <w:tcBorders>
              <w:tl2br w:val="nil"/>
              <w:tr2bl w:val="nil"/>
            </w:tcBorders>
            <w:vAlign w:val="center"/>
          </w:tcPr>
          <w:p w14:paraId="2EE30F2B">
            <w:pPr>
              <w:widowControl/>
              <w:spacing w:before="0" w:beforeLines="0" w:line="240" w:lineRule="auto"/>
              <w:jc w:val="center"/>
              <w:textAlignment w:val="center"/>
              <w:rPr>
                <w:szCs w:val="21"/>
              </w:rPr>
            </w:pPr>
            <w:r>
              <w:rPr>
                <w:szCs w:val="21"/>
              </w:rPr>
              <w:t>0.0005（L）</w:t>
            </w:r>
          </w:p>
        </w:tc>
        <w:tc>
          <w:tcPr>
            <w:tcW w:w="721" w:type="pct"/>
            <w:tcBorders>
              <w:tl2br w:val="nil"/>
              <w:tr2bl w:val="nil"/>
            </w:tcBorders>
            <w:vAlign w:val="center"/>
          </w:tcPr>
          <w:p w14:paraId="57C9AA14">
            <w:pPr>
              <w:widowControl/>
              <w:spacing w:before="0" w:beforeLines="0" w:line="240" w:lineRule="auto"/>
              <w:jc w:val="center"/>
              <w:textAlignment w:val="center"/>
              <w:rPr>
                <w:szCs w:val="21"/>
              </w:rPr>
            </w:pPr>
            <w:r>
              <w:rPr>
                <w:szCs w:val="21"/>
              </w:rPr>
              <w:t>0.0005（L）</w:t>
            </w:r>
          </w:p>
        </w:tc>
        <w:tc>
          <w:tcPr>
            <w:tcW w:w="721" w:type="pct"/>
            <w:tcBorders>
              <w:tl2br w:val="nil"/>
              <w:tr2bl w:val="nil"/>
            </w:tcBorders>
            <w:vAlign w:val="center"/>
          </w:tcPr>
          <w:p w14:paraId="6E8EA9B7">
            <w:pPr>
              <w:widowControl/>
              <w:spacing w:before="0" w:beforeLines="0" w:line="240" w:lineRule="auto"/>
              <w:jc w:val="center"/>
              <w:textAlignment w:val="center"/>
              <w:rPr>
                <w:szCs w:val="21"/>
              </w:rPr>
            </w:pPr>
            <w:r>
              <w:rPr>
                <w:szCs w:val="21"/>
              </w:rPr>
              <w:t>0.0005（L）</w:t>
            </w:r>
          </w:p>
        </w:tc>
        <w:tc>
          <w:tcPr>
            <w:tcW w:w="721" w:type="pct"/>
            <w:tcBorders>
              <w:tl2br w:val="nil"/>
              <w:tr2bl w:val="nil"/>
            </w:tcBorders>
            <w:vAlign w:val="center"/>
          </w:tcPr>
          <w:p w14:paraId="7211B342">
            <w:pPr>
              <w:widowControl/>
              <w:spacing w:before="0" w:beforeLines="0" w:line="240" w:lineRule="auto"/>
              <w:jc w:val="center"/>
              <w:textAlignment w:val="center"/>
              <w:rPr>
                <w:szCs w:val="21"/>
              </w:rPr>
            </w:pPr>
            <w:r>
              <w:rPr>
                <w:szCs w:val="21"/>
              </w:rPr>
              <w:t>0.0005（L）</w:t>
            </w:r>
          </w:p>
        </w:tc>
        <w:tc>
          <w:tcPr>
            <w:tcW w:w="721" w:type="pct"/>
            <w:tcBorders>
              <w:tl2br w:val="nil"/>
              <w:tr2bl w:val="nil"/>
            </w:tcBorders>
            <w:vAlign w:val="center"/>
          </w:tcPr>
          <w:p w14:paraId="2C16ECD4">
            <w:pPr>
              <w:autoSpaceDE w:val="0"/>
              <w:autoSpaceDN w:val="0"/>
              <w:snapToGrid w:val="0"/>
              <w:spacing w:before="0" w:beforeLines="0" w:line="240" w:lineRule="auto"/>
              <w:jc w:val="center"/>
              <w:rPr>
                <w:szCs w:val="21"/>
              </w:rPr>
            </w:pPr>
            <w:r>
              <w:rPr>
                <w:szCs w:val="21"/>
              </w:rPr>
              <w:t>0.0005（L）</w:t>
            </w:r>
          </w:p>
        </w:tc>
        <w:tc>
          <w:tcPr>
            <w:tcW w:w="481" w:type="pct"/>
            <w:tcBorders>
              <w:tl2br w:val="nil"/>
              <w:tr2bl w:val="nil"/>
            </w:tcBorders>
            <w:vAlign w:val="center"/>
          </w:tcPr>
          <w:p w14:paraId="0688529E">
            <w:pPr>
              <w:autoSpaceDE w:val="0"/>
              <w:autoSpaceDN w:val="0"/>
              <w:snapToGrid w:val="0"/>
              <w:spacing w:before="0" w:beforeLines="0" w:line="240" w:lineRule="auto"/>
              <w:jc w:val="center"/>
              <w:rPr>
                <w:rFonts w:eastAsiaTheme="minorEastAsia"/>
                <w:kern w:val="0"/>
                <w:szCs w:val="21"/>
              </w:rPr>
            </w:pPr>
            <w:r>
              <w:rPr>
                <w:szCs w:val="21"/>
              </w:rPr>
              <w:t>mg/L</w:t>
            </w:r>
          </w:p>
        </w:tc>
      </w:tr>
      <w:tr w14:paraId="7C5304C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14:paraId="501B11D9">
            <w:pPr>
              <w:widowControl/>
              <w:spacing w:before="0" w:beforeLines="0" w:line="240" w:lineRule="auto"/>
              <w:jc w:val="center"/>
              <w:textAlignment w:val="center"/>
              <w:rPr>
                <w:rFonts w:eastAsiaTheme="minorEastAsia"/>
                <w:szCs w:val="21"/>
              </w:rPr>
            </w:pPr>
            <w:r>
              <w:rPr>
                <w:szCs w:val="21"/>
              </w:rPr>
              <w:t>铁</w:t>
            </w:r>
          </w:p>
        </w:tc>
        <w:tc>
          <w:tcPr>
            <w:tcW w:w="355" w:type="pct"/>
            <w:tcBorders>
              <w:tl2br w:val="nil"/>
              <w:tr2bl w:val="nil"/>
            </w:tcBorders>
            <w:vAlign w:val="center"/>
          </w:tcPr>
          <w:p w14:paraId="3988A393">
            <w:pPr>
              <w:widowControl/>
              <w:spacing w:before="0" w:beforeLines="0" w:line="240" w:lineRule="auto"/>
              <w:jc w:val="center"/>
              <w:textAlignment w:val="center"/>
              <w:rPr>
                <w:szCs w:val="21"/>
              </w:rPr>
            </w:pPr>
            <w:r>
              <w:rPr>
                <w:szCs w:val="21"/>
              </w:rPr>
              <w:t>≤0.3</w:t>
            </w:r>
          </w:p>
        </w:tc>
        <w:tc>
          <w:tcPr>
            <w:tcW w:w="721" w:type="pct"/>
            <w:tcBorders>
              <w:tl2br w:val="nil"/>
              <w:tr2bl w:val="nil"/>
            </w:tcBorders>
            <w:vAlign w:val="center"/>
          </w:tcPr>
          <w:p w14:paraId="49F80DE7">
            <w:pPr>
              <w:widowControl/>
              <w:spacing w:before="0" w:beforeLines="0" w:line="240" w:lineRule="auto"/>
              <w:jc w:val="center"/>
              <w:textAlignment w:val="center"/>
              <w:rPr>
                <w:szCs w:val="21"/>
              </w:rPr>
            </w:pPr>
            <w:r>
              <w:rPr>
                <w:szCs w:val="21"/>
              </w:rPr>
              <w:t>0.12</w:t>
            </w:r>
          </w:p>
        </w:tc>
        <w:tc>
          <w:tcPr>
            <w:tcW w:w="721" w:type="pct"/>
            <w:tcBorders>
              <w:tl2br w:val="nil"/>
              <w:tr2bl w:val="nil"/>
            </w:tcBorders>
            <w:vAlign w:val="center"/>
          </w:tcPr>
          <w:p w14:paraId="4C3A260B">
            <w:pPr>
              <w:widowControl/>
              <w:spacing w:before="0" w:beforeLines="0" w:line="240" w:lineRule="auto"/>
              <w:jc w:val="center"/>
              <w:textAlignment w:val="center"/>
              <w:rPr>
                <w:szCs w:val="21"/>
              </w:rPr>
            </w:pPr>
            <w:r>
              <w:rPr>
                <w:szCs w:val="21"/>
              </w:rPr>
              <w:t>0.12</w:t>
            </w:r>
          </w:p>
        </w:tc>
        <w:tc>
          <w:tcPr>
            <w:tcW w:w="721" w:type="pct"/>
            <w:tcBorders>
              <w:tl2br w:val="nil"/>
              <w:tr2bl w:val="nil"/>
            </w:tcBorders>
            <w:vAlign w:val="center"/>
          </w:tcPr>
          <w:p w14:paraId="6DD246A4">
            <w:pPr>
              <w:widowControl/>
              <w:spacing w:before="0" w:beforeLines="0" w:line="240" w:lineRule="auto"/>
              <w:jc w:val="center"/>
              <w:textAlignment w:val="center"/>
              <w:rPr>
                <w:szCs w:val="21"/>
              </w:rPr>
            </w:pPr>
            <w:r>
              <w:rPr>
                <w:rFonts w:hint="eastAsia"/>
                <w:kern w:val="0"/>
                <w:szCs w:val="21"/>
                <w:lang w:bidi="ar"/>
              </w:rPr>
              <w:t>0.10</w:t>
            </w:r>
          </w:p>
        </w:tc>
        <w:tc>
          <w:tcPr>
            <w:tcW w:w="721" w:type="pct"/>
            <w:tcBorders>
              <w:tl2br w:val="nil"/>
              <w:tr2bl w:val="nil"/>
            </w:tcBorders>
            <w:vAlign w:val="center"/>
          </w:tcPr>
          <w:p w14:paraId="36ECE8D5">
            <w:pPr>
              <w:widowControl/>
              <w:spacing w:before="0" w:beforeLines="0" w:line="240" w:lineRule="auto"/>
              <w:jc w:val="center"/>
              <w:textAlignment w:val="center"/>
              <w:rPr>
                <w:szCs w:val="21"/>
              </w:rPr>
            </w:pPr>
            <w:r>
              <w:rPr>
                <w:szCs w:val="21"/>
              </w:rPr>
              <w:t>0.21</w:t>
            </w:r>
          </w:p>
        </w:tc>
        <w:tc>
          <w:tcPr>
            <w:tcW w:w="721" w:type="pct"/>
            <w:tcBorders>
              <w:tl2br w:val="nil"/>
              <w:tr2bl w:val="nil"/>
            </w:tcBorders>
            <w:vAlign w:val="center"/>
          </w:tcPr>
          <w:p w14:paraId="39ACF28B">
            <w:pPr>
              <w:autoSpaceDN w:val="0"/>
              <w:spacing w:before="0" w:beforeLines="0" w:line="240" w:lineRule="auto"/>
              <w:jc w:val="center"/>
              <w:textAlignment w:val="center"/>
              <w:rPr>
                <w:szCs w:val="21"/>
              </w:rPr>
            </w:pPr>
            <w:r>
              <w:rPr>
                <w:rFonts w:hint="eastAsia"/>
                <w:kern w:val="0"/>
                <w:szCs w:val="21"/>
                <w:lang w:bidi="ar"/>
              </w:rPr>
              <w:t>0.10</w:t>
            </w:r>
          </w:p>
        </w:tc>
        <w:tc>
          <w:tcPr>
            <w:tcW w:w="481" w:type="pct"/>
            <w:tcBorders>
              <w:tl2br w:val="nil"/>
              <w:tr2bl w:val="nil"/>
            </w:tcBorders>
            <w:vAlign w:val="center"/>
          </w:tcPr>
          <w:p w14:paraId="3AE19D0E">
            <w:pPr>
              <w:autoSpaceDN w:val="0"/>
              <w:spacing w:before="0" w:beforeLines="0" w:line="240" w:lineRule="auto"/>
              <w:jc w:val="center"/>
              <w:textAlignment w:val="center"/>
              <w:rPr>
                <w:rFonts w:eastAsiaTheme="minorEastAsia"/>
                <w:kern w:val="0"/>
                <w:szCs w:val="21"/>
              </w:rPr>
            </w:pPr>
            <w:r>
              <w:rPr>
                <w:szCs w:val="21"/>
              </w:rPr>
              <w:t>mg/L</w:t>
            </w:r>
          </w:p>
        </w:tc>
      </w:tr>
      <w:tr w14:paraId="39774F7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14:paraId="17EAB583">
            <w:pPr>
              <w:widowControl/>
              <w:spacing w:before="0" w:beforeLines="0" w:line="240" w:lineRule="auto"/>
              <w:jc w:val="center"/>
              <w:textAlignment w:val="center"/>
              <w:rPr>
                <w:rFonts w:eastAsiaTheme="minorEastAsia"/>
                <w:szCs w:val="21"/>
              </w:rPr>
            </w:pPr>
            <w:r>
              <w:rPr>
                <w:szCs w:val="21"/>
              </w:rPr>
              <w:t>锰</w:t>
            </w:r>
          </w:p>
        </w:tc>
        <w:tc>
          <w:tcPr>
            <w:tcW w:w="355" w:type="pct"/>
            <w:tcBorders>
              <w:tl2br w:val="nil"/>
              <w:tr2bl w:val="nil"/>
            </w:tcBorders>
            <w:vAlign w:val="center"/>
          </w:tcPr>
          <w:p w14:paraId="2242220E">
            <w:pPr>
              <w:widowControl/>
              <w:spacing w:before="0" w:beforeLines="0" w:line="240" w:lineRule="auto"/>
              <w:jc w:val="center"/>
              <w:textAlignment w:val="center"/>
              <w:rPr>
                <w:szCs w:val="21"/>
              </w:rPr>
            </w:pPr>
            <w:r>
              <w:rPr>
                <w:szCs w:val="21"/>
              </w:rPr>
              <w:t>≤0.1</w:t>
            </w:r>
          </w:p>
        </w:tc>
        <w:tc>
          <w:tcPr>
            <w:tcW w:w="721" w:type="pct"/>
            <w:tcBorders>
              <w:tl2br w:val="nil"/>
              <w:tr2bl w:val="nil"/>
            </w:tcBorders>
            <w:vAlign w:val="center"/>
          </w:tcPr>
          <w:p w14:paraId="5E214727">
            <w:pPr>
              <w:widowControl/>
              <w:spacing w:before="0" w:beforeLines="0" w:line="240" w:lineRule="auto"/>
              <w:jc w:val="center"/>
              <w:textAlignment w:val="center"/>
              <w:rPr>
                <w:szCs w:val="21"/>
              </w:rPr>
            </w:pPr>
            <w:r>
              <w:rPr>
                <w:szCs w:val="21"/>
              </w:rPr>
              <w:t>0.06</w:t>
            </w:r>
          </w:p>
        </w:tc>
        <w:tc>
          <w:tcPr>
            <w:tcW w:w="721" w:type="pct"/>
            <w:tcBorders>
              <w:tl2br w:val="nil"/>
              <w:tr2bl w:val="nil"/>
            </w:tcBorders>
            <w:vAlign w:val="center"/>
          </w:tcPr>
          <w:p w14:paraId="3DB39BBA">
            <w:pPr>
              <w:widowControl/>
              <w:spacing w:before="0" w:beforeLines="0" w:line="240" w:lineRule="auto"/>
              <w:jc w:val="center"/>
              <w:textAlignment w:val="center"/>
              <w:rPr>
                <w:szCs w:val="21"/>
              </w:rPr>
            </w:pPr>
            <w:r>
              <w:rPr>
                <w:szCs w:val="21"/>
              </w:rPr>
              <w:t>0.06</w:t>
            </w:r>
          </w:p>
        </w:tc>
        <w:tc>
          <w:tcPr>
            <w:tcW w:w="721" w:type="pct"/>
            <w:tcBorders>
              <w:tl2br w:val="nil"/>
              <w:tr2bl w:val="nil"/>
            </w:tcBorders>
            <w:vAlign w:val="center"/>
          </w:tcPr>
          <w:p w14:paraId="2E6A1260">
            <w:pPr>
              <w:widowControl/>
              <w:spacing w:before="0" w:beforeLines="0" w:line="240" w:lineRule="auto"/>
              <w:jc w:val="center"/>
              <w:textAlignment w:val="center"/>
              <w:rPr>
                <w:szCs w:val="21"/>
              </w:rPr>
            </w:pPr>
            <w:r>
              <w:rPr>
                <w:rFonts w:hint="eastAsia"/>
                <w:kern w:val="0"/>
                <w:szCs w:val="21"/>
                <w:lang w:bidi="ar"/>
              </w:rPr>
              <w:t>0.08</w:t>
            </w:r>
          </w:p>
        </w:tc>
        <w:tc>
          <w:tcPr>
            <w:tcW w:w="721" w:type="pct"/>
            <w:tcBorders>
              <w:tl2br w:val="nil"/>
              <w:tr2bl w:val="nil"/>
            </w:tcBorders>
            <w:vAlign w:val="center"/>
          </w:tcPr>
          <w:p w14:paraId="364FC49E">
            <w:pPr>
              <w:widowControl/>
              <w:spacing w:before="0" w:beforeLines="0" w:line="240" w:lineRule="auto"/>
              <w:jc w:val="center"/>
              <w:textAlignment w:val="center"/>
              <w:rPr>
                <w:szCs w:val="21"/>
              </w:rPr>
            </w:pPr>
            <w:r>
              <w:rPr>
                <w:szCs w:val="21"/>
              </w:rPr>
              <w:t>0.04</w:t>
            </w:r>
          </w:p>
        </w:tc>
        <w:tc>
          <w:tcPr>
            <w:tcW w:w="721" w:type="pct"/>
            <w:tcBorders>
              <w:tl2br w:val="nil"/>
              <w:tr2bl w:val="nil"/>
            </w:tcBorders>
            <w:vAlign w:val="center"/>
          </w:tcPr>
          <w:p w14:paraId="2D36AFC6">
            <w:pPr>
              <w:autoSpaceDN w:val="0"/>
              <w:spacing w:before="0" w:beforeLines="0" w:line="240" w:lineRule="auto"/>
              <w:jc w:val="center"/>
              <w:textAlignment w:val="center"/>
              <w:rPr>
                <w:szCs w:val="21"/>
              </w:rPr>
            </w:pPr>
            <w:r>
              <w:rPr>
                <w:rFonts w:hint="eastAsia"/>
                <w:kern w:val="0"/>
                <w:szCs w:val="21"/>
                <w:lang w:bidi="ar"/>
              </w:rPr>
              <w:t>0.05</w:t>
            </w:r>
          </w:p>
        </w:tc>
        <w:tc>
          <w:tcPr>
            <w:tcW w:w="481" w:type="pct"/>
            <w:tcBorders>
              <w:tl2br w:val="nil"/>
              <w:tr2bl w:val="nil"/>
            </w:tcBorders>
            <w:vAlign w:val="center"/>
          </w:tcPr>
          <w:p w14:paraId="2602189F">
            <w:pPr>
              <w:autoSpaceDN w:val="0"/>
              <w:spacing w:before="0" w:beforeLines="0" w:line="240" w:lineRule="auto"/>
              <w:jc w:val="center"/>
              <w:textAlignment w:val="center"/>
              <w:rPr>
                <w:rFonts w:eastAsiaTheme="minorEastAsia"/>
                <w:kern w:val="0"/>
                <w:szCs w:val="21"/>
              </w:rPr>
            </w:pPr>
            <w:r>
              <w:rPr>
                <w:szCs w:val="21"/>
              </w:rPr>
              <w:t>mg/L</w:t>
            </w:r>
          </w:p>
        </w:tc>
      </w:tr>
      <w:tr w14:paraId="0723744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14:paraId="31319CC5">
            <w:pPr>
              <w:spacing w:before="0" w:beforeLines="0" w:line="240" w:lineRule="auto"/>
              <w:jc w:val="center"/>
              <w:rPr>
                <w:rFonts w:eastAsiaTheme="minorEastAsia"/>
                <w:szCs w:val="21"/>
              </w:rPr>
            </w:pPr>
            <w:r>
              <w:rPr>
                <w:szCs w:val="21"/>
              </w:rPr>
              <w:t>硫酸盐</w:t>
            </w:r>
          </w:p>
        </w:tc>
        <w:tc>
          <w:tcPr>
            <w:tcW w:w="355" w:type="pct"/>
            <w:tcBorders>
              <w:tl2br w:val="nil"/>
              <w:tr2bl w:val="nil"/>
            </w:tcBorders>
            <w:vAlign w:val="center"/>
          </w:tcPr>
          <w:p w14:paraId="5757FF0B">
            <w:pPr>
              <w:spacing w:before="0" w:beforeLines="0" w:line="240" w:lineRule="auto"/>
              <w:jc w:val="center"/>
              <w:rPr>
                <w:szCs w:val="21"/>
              </w:rPr>
            </w:pPr>
            <w:r>
              <w:rPr>
                <w:szCs w:val="21"/>
              </w:rPr>
              <w:t>≤250</w:t>
            </w:r>
          </w:p>
        </w:tc>
        <w:tc>
          <w:tcPr>
            <w:tcW w:w="721" w:type="pct"/>
            <w:tcBorders>
              <w:tl2br w:val="nil"/>
              <w:tr2bl w:val="nil"/>
            </w:tcBorders>
            <w:vAlign w:val="center"/>
          </w:tcPr>
          <w:p w14:paraId="65E01BCA">
            <w:pPr>
              <w:widowControl/>
              <w:spacing w:before="0" w:beforeLines="0" w:line="240" w:lineRule="auto"/>
              <w:jc w:val="center"/>
              <w:textAlignment w:val="center"/>
              <w:rPr>
                <w:szCs w:val="21"/>
              </w:rPr>
            </w:pPr>
            <w:r>
              <w:rPr>
                <w:szCs w:val="21"/>
              </w:rPr>
              <w:t xml:space="preserve">54 </w:t>
            </w:r>
          </w:p>
        </w:tc>
        <w:tc>
          <w:tcPr>
            <w:tcW w:w="721" w:type="pct"/>
            <w:tcBorders>
              <w:tl2br w:val="nil"/>
              <w:tr2bl w:val="nil"/>
            </w:tcBorders>
            <w:vAlign w:val="center"/>
          </w:tcPr>
          <w:p w14:paraId="61970992">
            <w:pPr>
              <w:widowControl/>
              <w:spacing w:before="0" w:beforeLines="0" w:line="240" w:lineRule="auto"/>
              <w:jc w:val="center"/>
              <w:textAlignment w:val="center"/>
              <w:rPr>
                <w:szCs w:val="21"/>
              </w:rPr>
            </w:pPr>
            <w:r>
              <w:rPr>
                <w:szCs w:val="21"/>
              </w:rPr>
              <w:t xml:space="preserve">51 </w:t>
            </w:r>
          </w:p>
        </w:tc>
        <w:tc>
          <w:tcPr>
            <w:tcW w:w="721" w:type="pct"/>
            <w:tcBorders>
              <w:tl2br w:val="nil"/>
              <w:tr2bl w:val="nil"/>
            </w:tcBorders>
            <w:vAlign w:val="center"/>
          </w:tcPr>
          <w:p w14:paraId="7A57032C">
            <w:pPr>
              <w:widowControl/>
              <w:spacing w:before="0" w:beforeLines="0" w:line="240" w:lineRule="auto"/>
              <w:jc w:val="center"/>
              <w:textAlignment w:val="center"/>
              <w:rPr>
                <w:szCs w:val="21"/>
              </w:rPr>
            </w:pPr>
            <w:r>
              <w:rPr>
                <w:rFonts w:hint="eastAsia"/>
                <w:kern w:val="0"/>
                <w:szCs w:val="21"/>
                <w:lang w:bidi="ar"/>
              </w:rPr>
              <w:t>207</w:t>
            </w:r>
          </w:p>
        </w:tc>
        <w:tc>
          <w:tcPr>
            <w:tcW w:w="721" w:type="pct"/>
            <w:tcBorders>
              <w:tl2br w:val="nil"/>
              <w:tr2bl w:val="nil"/>
            </w:tcBorders>
            <w:vAlign w:val="center"/>
          </w:tcPr>
          <w:p w14:paraId="7721A6B7">
            <w:pPr>
              <w:widowControl/>
              <w:spacing w:before="0" w:beforeLines="0" w:line="240" w:lineRule="auto"/>
              <w:jc w:val="center"/>
              <w:textAlignment w:val="center"/>
              <w:rPr>
                <w:szCs w:val="21"/>
              </w:rPr>
            </w:pPr>
            <w:r>
              <w:rPr>
                <w:szCs w:val="21"/>
              </w:rPr>
              <w:t xml:space="preserve">55 </w:t>
            </w:r>
          </w:p>
        </w:tc>
        <w:tc>
          <w:tcPr>
            <w:tcW w:w="721" w:type="pct"/>
            <w:tcBorders>
              <w:tl2br w:val="nil"/>
              <w:tr2bl w:val="nil"/>
            </w:tcBorders>
            <w:vAlign w:val="center"/>
          </w:tcPr>
          <w:p w14:paraId="6105C4DF">
            <w:pPr>
              <w:spacing w:before="0" w:beforeLines="0" w:line="240" w:lineRule="auto"/>
              <w:jc w:val="center"/>
              <w:rPr>
                <w:szCs w:val="21"/>
              </w:rPr>
            </w:pPr>
            <w:r>
              <w:rPr>
                <w:rFonts w:hint="eastAsia"/>
                <w:kern w:val="0"/>
                <w:szCs w:val="21"/>
                <w:lang w:bidi="ar"/>
              </w:rPr>
              <w:t>53</w:t>
            </w:r>
          </w:p>
        </w:tc>
        <w:tc>
          <w:tcPr>
            <w:tcW w:w="481" w:type="pct"/>
            <w:tcBorders>
              <w:tl2br w:val="nil"/>
              <w:tr2bl w:val="nil"/>
            </w:tcBorders>
            <w:vAlign w:val="center"/>
          </w:tcPr>
          <w:p w14:paraId="355E8BBC">
            <w:pPr>
              <w:spacing w:before="0" w:beforeLines="0" w:line="240" w:lineRule="auto"/>
              <w:jc w:val="center"/>
              <w:rPr>
                <w:rFonts w:eastAsiaTheme="minorEastAsia"/>
                <w:kern w:val="0"/>
                <w:szCs w:val="21"/>
              </w:rPr>
            </w:pPr>
            <w:r>
              <w:rPr>
                <w:szCs w:val="21"/>
              </w:rPr>
              <w:t>mg/L</w:t>
            </w:r>
          </w:p>
        </w:tc>
      </w:tr>
      <w:tr w14:paraId="1B1567C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14:paraId="76309E7B">
            <w:pPr>
              <w:spacing w:before="0" w:beforeLines="0" w:line="240" w:lineRule="auto"/>
              <w:jc w:val="center"/>
              <w:rPr>
                <w:rFonts w:eastAsiaTheme="minorEastAsia"/>
                <w:szCs w:val="21"/>
              </w:rPr>
            </w:pPr>
            <w:r>
              <w:rPr>
                <w:szCs w:val="21"/>
              </w:rPr>
              <w:t>菌落总数</w:t>
            </w:r>
          </w:p>
        </w:tc>
        <w:tc>
          <w:tcPr>
            <w:tcW w:w="355" w:type="pct"/>
            <w:tcBorders>
              <w:tl2br w:val="nil"/>
              <w:tr2bl w:val="nil"/>
            </w:tcBorders>
            <w:vAlign w:val="center"/>
          </w:tcPr>
          <w:p w14:paraId="423CDAF5">
            <w:pPr>
              <w:spacing w:before="0" w:beforeLines="0" w:line="240" w:lineRule="auto"/>
              <w:jc w:val="center"/>
              <w:rPr>
                <w:szCs w:val="21"/>
              </w:rPr>
            </w:pPr>
            <w:r>
              <w:rPr>
                <w:szCs w:val="21"/>
              </w:rPr>
              <w:t>≤100</w:t>
            </w:r>
          </w:p>
        </w:tc>
        <w:tc>
          <w:tcPr>
            <w:tcW w:w="721" w:type="pct"/>
            <w:tcBorders>
              <w:tl2br w:val="nil"/>
              <w:tr2bl w:val="nil"/>
            </w:tcBorders>
            <w:vAlign w:val="center"/>
          </w:tcPr>
          <w:p w14:paraId="33A8AFAA">
            <w:pPr>
              <w:widowControl/>
              <w:spacing w:before="0" w:beforeLines="0" w:line="240" w:lineRule="auto"/>
              <w:jc w:val="center"/>
              <w:textAlignment w:val="center"/>
              <w:rPr>
                <w:szCs w:val="21"/>
              </w:rPr>
            </w:pPr>
            <w:r>
              <w:rPr>
                <w:szCs w:val="21"/>
              </w:rPr>
              <w:t>43</w:t>
            </w:r>
          </w:p>
        </w:tc>
        <w:tc>
          <w:tcPr>
            <w:tcW w:w="721" w:type="pct"/>
            <w:tcBorders>
              <w:tl2br w:val="nil"/>
              <w:tr2bl w:val="nil"/>
            </w:tcBorders>
            <w:vAlign w:val="center"/>
          </w:tcPr>
          <w:p w14:paraId="6967CB3F">
            <w:pPr>
              <w:widowControl/>
              <w:spacing w:before="0" w:beforeLines="0" w:line="240" w:lineRule="auto"/>
              <w:jc w:val="center"/>
              <w:textAlignment w:val="center"/>
              <w:rPr>
                <w:szCs w:val="21"/>
              </w:rPr>
            </w:pPr>
            <w:r>
              <w:rPr>
                <w:szCs w:val="21"/>
              </w:rPr>
              <w:t>38</w:t>
            </w:r>
          </w:p>
        </w:tc>
        <w:tc>
          <w:tcPr>
            <w:tcW w:w="721" w:type="pct"/>
            <w:tcBorders>
              <w:tl2br w:val="nil"/>
              <w:tr2bl w:val="nil"/>
            </w:tcBorders>
            <w:vAlign w:val="center"/>
          </w:tcPr>
          <w:p w14:paraId="4DED1C75">
            <w:pPr>
              <w:widowControl/>
              <w:spacing w:before="0" w:beforeLines="0" w:line="240" w:lineRule="auto"/>
              <w:jc w:val="center"/>
              <w:textAlignment w:val="center"/>
              <w:rPr>
                <w:szCs w:val="21"/>
              </w:rPr>
            </w:pPr>
            <w:r>
              <w:rPr>
                <w:kern w:val="0"/>
                <w:szCs w:val="21"/>
                <w:lang w:bidi="ar"/>
              </w:rPr>
              <w:t>90</w:t>
            </w:r>
          </w:p>
        </w:tc>
        <w:tc>
          <w:tcPr>
            <w:tcW w:w="721" w:type="pct"/>
            <w:tcBorders>
              <w:tl2br w:val="nil"/>
              <w:tr2bl w:val="nil"/>
            </w:tcBorders>
            <w:vAlign w:val="center"/>
          </w:tcPr>
          <w:p w14:paraId="1C6995EA">
            <w:pPr>
              <w:widowControl/>
              <w:spacing w:before="0" w:beforeLines="0" w:line="240" w:lineRule="auto"/>
              <w:jc w:val="center"/>
              <w:textAlignment w:val="center"/>
              <w:rPr>
                <w:szCs w:val="21"/>
              </w:rPr>
            </w:pPr>
            <w:r>
              <w:rPr>
                <w:szCs w:val="21"/>
              </w:rPr>
              <w:t>56</w:t>
            </w:r>
          </w:p>
        </w:tc>
        <w:tc>
          <w:tcPr>
            <w:tcW w:w="721" w:type="pct"/>
            <w:tcBorders>
              <w:tl2br w:val="nil"/>
              <w:tr2bl w:val="nil"/>
            </w:tcBorders>
            <w:vAlign w:val="center"/>
          </w:tcPr>
          <w:p w14:paraId="19A8EA95">
            <w:pPr>
              <w:widowControl/>
              <w:spacing w:before="0" w:beforeLines="0" w:line="240" w:lineRule="auto"/>
              <w:jc w:val="center"/>
              <w:textAlignment w:val="center"/>
              <w:rPr>
                <w:kern w:val="0"/>
                <w:szCs w:val="21"/>
              </w:rPr>
            </w:pPr>
            <w:r>
              <w:rPr>
                <w:kern w:val="0"/>
                <w:szCs w:val="21"/>
                <w:lang w:bidi="ar"/>
              </w:rPr>
              <w:t>98</w:t>
            </w:r>
          </w:p>
        </w:tc>
        <w:tc>
          <w:tcPr>
            <w:tcW w:w="481" w:type="pct"/>
            <w:tcBorders>
              <w:tl2br w:val="nil"/>
              <w:tr2bl w:val="nil"/>
            </w:tcBorders>
            <w:vAlign w:val="center"/>
          </w:tcPr>
          <w:p w14:paraId="003C0EEE">
            <w:pPr>
              <w:widowControl/>
              <w:spacing w:before="0" w:beforeLines="0" w:line="240" w:lineRule="auto"/>
              <w:jc w:val="center"/>
              <w:textAlignment w:val="center"/>
              <w:rPr>
                <w:rFonts w:eastAsiaTheme="minorEastAsia"/>
                <w:kern w:val="0"/>
                <w:szCs w:val="21"/>
              </w:rPr>
            </w:pPr>
            <w:r>
              <w:rPr>
                <w:kern w:val="0"/>
                <w:szCs w:val="21"/>
              </w:rPr>
              <w:t>CFU/mL</w:t>
            </w:r>
          </w:p>
        </w:tc>
      </w:tr>
      <w:tr w14:paraId="1E68BD1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14:paraId="1F3BE4D0">
            <w:pPr>
              <w:adjustRightInd w:val="0"/>
              <w:snapToGrid w:val="0"/>
              <w:spacing w:before="0" w:beforeLines="0" w:line="240" w:lineRule="auto"/>
              <w:jc w:val="center"/>
              <w:rPr>
                <w:rFonts w:eastAsiaTheme="minorEastAsia"/>
                <w:szCs w:val="21"/>
              </w:rPr>
            </w:pPr>
            <w:r>
              <w:rPr>
                <w:szCs w:val="21"/>
              </w:rPr>
              <w:t>铝</w:t>
            </w:r>
          </w:p>
        </w:tc>
        <w:tc>
          <w:tcPr>
            <w:tcW w:w="355" w:type="pct"/>
            <w:tcBorders>
              <w:tl2br w:val="nil"/>
              <w:tr2bl w:val="nil"/>
            </w:tcBorders>
            <w:vAlign w:val="center"/>
          </w:tcPr>
          <w:p w14:paraId="57C5D069">
            <w:pPr>
              <w:adjustRightInd w:val="0"/>
              <w:snapToGrid w:val="0"/>
              <w:spacing w:before="0" w:beforeLines="0" w:line="240" w:lineRule="auto"/>
              <w:jc w:val="center"/>
              <w:rPr>
                <w:szCs w:val="21"/>
              </w:rPr>
            </w:pPr>
            <w:r>
              <w:rPr>
                <w:szCs w:val="21"/>
              </w:rPr>
              <w:t>≤0.2</w:t>
            </w:r>
          </w:p>
        </w:tc>
        <w:tc>
          <w:tcPr>
            <w:tcW w:w="721" w:type="pct"/>
            <w:tcBorders>
              <w:tl2br w:val="nil"/>
              <w:tr2bl w:val="nil"/>
            </w:tcBorders>
            <w:vAlign w:val="center"/>
          </w:tcPr>
          <w:p w14:paraId="5AD9259C">
            <w:pPr>
              <w:widowControl/>
              <w:spacing w:before="0" w:beforeLines="0" w:line="240" w:lineRule="auto"/>
              <w:jc w:val="center"/>
              <w:textAlignment w:val="center"/>
              <w:rPr>
                <w:szCs w:val="21"/>
              </w:rPr>
            </w:pPr>
            <w:r>
              <w:rPr>
                <w:szCs w:val="21"/>
              </w:rPr>
              <w:t>0.008（L）</w:t>
            </w:r>
          </w:p>
        </w:tc>
        <w:tc>
          <w:tcPr>
            <w:tcW w:w="721" w:type="pct"/>
            <w:tcBorders>
              <w:tl2br w:val="nil"/>
              <w:tr2bl w:val="nil"/>
            </w:tcBorders>
            <w:vAlign w:val="center"/>
          </w:tcPr>
          <w:p w14:paraId="5784A6DD">
            <w:pPr>
              <w:widowControl/>
              <w:spacing w:before="0" w:beforeLines="0" w:line="240" w:lineRule="auto"/>
              <w:jc w:val="center"/>
              <w:textAlignment w:val="center"/>
              <w:rPr>
                <w:szCs w:val="21"/>
              </w:rPr>
            </w:pPr>
            <w:r>
              <w:rPr>
                <w:szCs w:val="21"/>
              </w:rPr>
              <w:t>0.008（L）</w:t>
            </w:r>
          </w:p>
        </w:tc>
        <w:tc>
          <w:tcPr>
            <w:tcW w:w="721" w:type="pct"/>
            <w:tcBorders>
              <w:tl2br w:val="nil"/>
              <w:tr2bl w:val="nil"/>
            </w:tcBorders>
            <w:vAlign w:val="center"/>
          </w:tcPr>
          <w:p w14:paraId="17025A48">
            <w:pPr>
              <w:widowControl/>
              <w:spacing w:before="0" w:beforeLines="0" w:line="240" w:lineRule="auto"/>
              <w:jc w:val="center"/>
              <w:textAlignment w:val="center"/>
              <w:rPr>
                <w:szCs w:val="21"/>
              </w:rPr>
            </w:pPr>
            <w:r>
              <w:rPr>
                <w:rFonts w:hint="eastAsia"/>
                <w:kern w:val="0"/>
                <w:szCs w:val="21"/>
                <w:lang w:bidi="ar"/>
              </w:rPr>
              <w:t>0.008(L)</w:t>
            </w:r>
          </w:p>
        </w:tc>
        <w:tc>
          <w:tcPr>
            <w:tcW w:w="721" w:type="pct"/>
            <w:tcBorders>
              <w:tl2br w:val="nil"/>
              <w:tr2bl w:val="nil"/>
            </w:tcBorders>
            <w:vAlign w:val="center"/>
          </w:tcPr>
          <w:p w14:paraId="504E4882">
            <w:pPr>
              <w:widowControl/>
              <w:spacing w:before="0" w:beforeLines="0" w:line="240" w:lineRule="auto"/>
              <w:jc w:val="center"/>
              <w:textAlignment w:val="center"/>
              <w:rPr>
                <w:szCs w:val="21"/>
              </w:rPr>
            </w:pPr>
            <w:r>
              <w:rPr>
                <w:szCs w:val="21"/>
              </w:rPr>
              <w:t>0.008（L）</w:t>
            </w:r>
          </w:p>
        </w:tc>
        <w:tc>
          <w:tcPr>
            <w:tcW w:w="721" w:type="pct"/>
            <w:tcBorders>
              <w:tl2br w:val="nil"/>
              <w:tr2bl w:val="nil"/>
            </w:tcBorders>
            <w:vAlign w:val="center"/>
          </w:tcPr>
          <w:p w14:paraId="66408096">
            <w:pPr>
              <w:widowControl/>
              <w:spacing w:before="0" w:beforeLines="0" w:line="240" w:lineRule="auto"/>
              <w:jc w:val="center"/>
              <w:textAlignment w:val="center"/>
              <w:rPr>
                <w:szCs w:val="21"/>
              </w:rPr>
            </w:pPr>
            <w:r>
              <w:rPr>
                <w:rFonts w:hint="eastAsia"/>
                <w:kern w:val="0"/>
                <w:szCs w:val="21"/>
                <w:lang w:bidi="ar"/>
              </w:rPr>
              <w:t>0.008(L)</w:t>
            </w:r>
          </w:p>
        </w:tc>
        <w:tc>
          <w:tcPr>
            <w:tcW w:w="481" w:type="pct"/>
            <w:tcBorders>
              <w:tl2br w:val="nil"/>
              <w:tr2bl w:val="nil"/>
            </w:tcBorders>
            <w:vAlign w:val="center"/>
          </w:tcPr>
          <w:p w14:paraId="5391E0C5">
            <w:pPr>
              <w:widowControl/>
              <w:spacing w:before="0" w:beforeLines="0" w:line="240" w:lineRule="auto"/>
              <w:jc w:val="center"/>
              <w:textAlignment w:val="center"/>
              <w:rPr>
                <w:rFonts w:eastAsiaTheme="minorEastAsia"/>
                <w:kern w:val="0"/>
                <w:szCs w:val="21"/>
              </w:rPr>
            </w:pPr>
            <w:r>
              <w:rPr>
                <w:szCs w:val="21"/>
              </w:rPr>
              <w:t>mg/L</w:t>
            </w:r>
          </w:p>
        </w:tc>
      </w:tr>
      <w:tr w14:paraId="49FFEEA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14:paraId="332AAE77">
            <w:pPr>
              <w:adjustRightInd w:val="0"/>
              <w:snapToGrid w:val="0"/>
              <w:spacing w:before="0" w:beforeLines="0" w:line="240" w:lineRule="auto"/>
              <w:jc w:val="center"/>
              <w:rPr>
                <w:rFonts w:eastAsiaTheme="minorEastAsia"/>
                <w:szCs w:val="21"/>
              </w:rPr>
            </w:pPr>
            <w:r>
              <w:rPr>
                <w:szCs w:val="21"/>
              </w:rPr>
              <w:t>氰化物</w:t>
            </w:r>
          </w:p>
        </w:tc>
        <w:tc>
          <w:tcPr>
            <w:tcW w:w="355" w:type="pct"/>
            <w:tcBorders>
              <w:tl2br w:val="nil"/>
              <w:tr2bl w:val="nil"/>
            </w:tcBorders>
            <w:vAlign w:val="center"/>
          </w:tcPr>
          <w:p w14:paraId="0773CAEC">
            <w:pPr>
              <w:adjustRightInd w:val="0"/>
              <w:snapToGrid w:val="0"/>
              <w:spacing w:before="0" w:beforeLines="0" w:line="240" w:lineRule="auto"/>
              <w:jc w:val="center"/>
              <w:rPr>
                <w:szCs w:val="21"/>
              </w:rPr>
            </w:pPr>
            <w:r>
              <w:rPr>
                <w:szCs w:val="21"/>
              </w:rPr>
              <w:t>≤0.05</w:t>
            </w:r>
          </w:p>
        </w:tc>
        <w:tc>
          <w:tcPr>
            <w:tcW w:w="721" w:type="pct"/>
            <w:tcBorders>
              <w:tl2br w:val="nil"/>
              <w:tr2bl w:val="nil"/>
            </w:tcBorders>
            <w:vAlign w:val="center"/>
          </w:tcPr>
          <w:p w14:paraId="003C825A">
            <w:pPr>
              <w:widowControl/>
              <w:spacing w:before="0" w:beforeLines="0" w:line="240" w:lineRule="auto"/>
              <w:jc w:val="center"/>
              <w:textAlignment w:val="center"/>
              <w:rPr>
                <w:szCs w:val="21"/>
              </w:rPr>
            </w:pPr>
            <w:r>
              <w:rPr>
                <w:szCs w:val="21"/>
              </w:rPr>
              <w:t>0.002（L）</w:t>
            </w:r>
          </w:p>
        </w:tc>
        <w:tc>
          <w:tcPr>
            <w:tcW w:w="721" w:type="pct"/>
            <w:tcBorders>
              <w:tl2br w:val="nil"/>
              <w:tr2bl w:val="nil"/>
            </w:tcBorders>
            <w:vAlign w:val="center"/>
          </w:tcPr>
          <w:p w14:paraId="2C61562B">
            <w:pPr>
              <w:widowControl/>
              <w:spacing w:before="0" w:beforeLines="0" w:line="240" w:lineRule="auto"/>
              <w:jc w:val="center"/>
              <w:textAlignment w:val="center"/>
              <w:rPr>
                <w:szCs w:val="21"/>
              </w:rPr>
            </w:pPr>
            <w:r>
              <w:rPr>
                <w:szCs w:val="21"/>
              </w:rPr>
              <w:t>0.002（L）</w:t>
            </w:r>
          </w:p>
        </w:tc>
        <w:tc>
          <w:tcPr>
            <w:tcW w:w="721" w:type="pct"/>
            <w:tcBorders>
              <w:tl2br w:val="nil"/>
              <w:tr2bl w:val="nil"/>
            </w:tcBorders>
            <w:vAlign w:val="center"/>
          </w:tcPr>
          <w:p w14:paraId="2D336E30">
            <w:pPr>
              <w:widowControl/>
              <w:spacing w:before="0" w:beforeLines="0" w:line="240" w:lineRule="auto"/>
              <w:jc w:val="center"/>
              <w:textAlignment w:val="center"/>
              <w:rPr>
                <w:szCs w:val="21"/>
              </w:rPr>
            </w:pPr>
            <w:r>
              <w:rPr>
                <w:rFonts w:hint="eastAsia"/>
                <w:kern w:val="0"/>
                <w:szCs w:val="21"/>
                <w:lang w:bidi="ar"/>
              </w:rPr>
              <w:t>0.002(L)</w:t>
            </w:r>
          </w:p>
        </w:tc>
        <w:tc>
          <w:tcPr>
            <w:tcW w:w="721" w:type="pct"/>
            <w:tcBorders>
              <w:tl2br w:val="nil"/>
              <w:tr2bl w:val="nil"/>
            </w:tcBorders>
            <w:vAlign w:val="center"/>
          </w:tcPr>
          <w:p w14:paraId="29170300">
            <w:pPr>
              <w:widowControl/>
              <w:spacing w:before="0" w:beforeLines="0" w:line="240" w:lineRule="auto"/>
              <w:jc w:val="center"/>
              <w:textAlignment w:val="center"/>
              <w:rPr>
                <w:szCs w:val="21"/>
              </w:rPr>
            </w:pPr>
            <w:r>
              <w:rPr>
                <w:szCs w:val="21"/>
              </w:rPr>
              <w:t>0.002（L）</w:t>
            </w:r>
          </w:p>
        </w:tc>
        <w:tc>
          <w:tcPr>
            <w:tcW w:w="721" w:type="pct"/>
            <w:tcBorders>
              <w:tl2br w:val="nil"/>
              <w:tr2bl w:val="nil"/>
            </w:tcBorders>
            <w:vAlign w:val="center"/>
          </w:tcPr>
          <w:p w14:paraId="72DAEF7D">
            <w:pPr>
              <w:autoSpaceDN w:val="0"/>
              <w:spacing w:before="0" w:beforeLines="0" w:line="240" w:lineRule="auto"/>
              <w:jc w:val="center"/>
              <w:textAlignment w:val="center"/>
              <w:rPr>
                <w:szCs w:val="21"/>
              </w:rPr>
            </w:pPr>
            <w:r>
              <w:rPr>
                <w:rFonts w:hint="eastAsia"/>
                <w:kern w:val="0"/>
                <w:szCs w:val="21"/>
                <w:lang w:bidi="ar"/>
              </w:rPr>
              <w:t>0.002(L)</w:t>
            </w:r>
          </w:p>
        </w:tc>
        <w:tc>
          <w:tcPr>
            <w:tcW w:w="481" w:type="pct"/>
            <w:tcBorders>
              <w:tl2br w:val="nil"/>
              <w:tr2bl w:val="nil"/>
            </w:tcBorders>
            <w:vAlign w:val="center"/>
          </w:tcPr>
          <w:p w14:paraId="54227C1B">
            <w:pPr>
              <w:autoSpaceDN w:val="0"/>
              <w:spacing w:before="0" w:beforeLines="0" w:line="240" w:lineRule="auto"/>
              <w:jc w:val="center"/>
              <w:textAlignment w:val="center"/>
              <w:rPr>
                <w:rFonts w:eastAsiaTheme="minorEastAsia"/>
                <w:kern w:val="0"/>
                <w:szCs w:val="21"/>
              </w:rPr>
            </w:pPr>
            <w:r>
              <w:rPr>
                <w:szCs w:val="21"/>
              </w:rPr>
              <w:t>mg/L</w:t>
            </w:r>
          </w:p>
        </w:tc>
      </w:tr>
      <w:tr w14:paraId="3CF38FB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14:paraId="7A734425">
            <w:pPr>
              <w:adjustRightInd w:val="0"/>
              <w:snapToGrid w:val="0"/>
              <w:spacing w:before="0" w:beforeLines="0" w:line="240" w:lineRule="auto"/>
              <w:jc w:val="center"/>
              <w:rPr>
                <w:rFonts w:eastAsiaTheme="minorEastAsia"/>
                <w:szCs w:val="21"/>
              </w:rPr>
            </w:pPr>
            <w:r>
              <w:rPr>
                <w:szCs w:val="21"/>
              </w:rPr>
              <w:t>总硬度</w:t>
            </w:r>
          </w:p>
        </w:tc>
        <w:tc>
          <w:tcPr>
            <w:tcW w:w="355" w:type="pct"/>
            <w:tcBorders>
              <w:tl2br w:val="nil"/>
              <w:tr2bl w:val="nil"/>
            </w:tcBorders>
            <w:vAlign w:val="center"/>
          </w:tcPr>
          <w:p w14:paraId="330A4A96">
            <w:pPr>
              <w:adjustRightInd w:val="0"/>
              <w:snapToGrid w:val="0"/>
              <w:spacing w:before="0" w:beforeLines="0" w:line="240" w:lineRule="auto"/>
              <w:jc w:val="center"/>
              <w:rPr>
                <w:szCs w:val="21"/>
              </w:rPr>
            </w:pPr>
            <w:r>
              <w:rPr>
                <w:szCs w:val="21"/>
              </w:rPr>
              <w:t>≤450</w:t>
            </w:r>
          </w:p>
        </w:tc>
        <w:tc>
          <w:tcPr>
            <w:tcW w:w="721" w:type="pct"/>
            <w:tcBorders>
              <w:tl2br w:val="nil"/>
              <w:tr2bl w:val="nil"/>
            </w:tcBorders>
            <w:vAlign w:val="center"/>
          </w:tcPr>
          <w:p w14:paraId="2CDC1BCF">
            <w:pPr>
              <w:widowControl/>
              <w:spacing w:before="0" w:beforeLines="0" w:line="240" w:lineRule="auto"/>
              <w:jc w:val="center"/>
              <w:textAlignment w:val="center"/>
              <w:rPr>
                <w:szCs w:val="21"/>
              </w:rPr>
            </w:pPr>
            <w:r>
              <w:rPr>
                <w:szCs w:val="21"/>
              </w:rPr>
              <w:t>236</w:t>
            </w:r>
          </w:p>
        </w:tc>
        <w:tc>
          <w:tcPr>
            <w:tcW w:w="721" w:type="pct"/>
            <w:tcBorders>
              <w:tl2br w:val="nil"/>
              <w:tr2bl w:val="nil"/>
            </w:tcBorders>
            <w:vAlign w:val="center"/>
          </w:tcPr>
          <w:p w14:paraId="13239A56">
            <w:pPr>
              <w:widowControl/>
              <w:spacing w:before="0" w:beforeLines="0" w:line="240" w:lineRule="auto"/>
              <w:jc w:val="center"/>
              <w:textAlignment w:val="center"/>
              <w:rPr>
                <w:szCs w:val="21"/>
              </w:rPr>
            </w:pPr>
            <w:r>
              <w:rPr>
                <w:szCs w:val="21"/>
              </w:rPr>
              <w:t>223</w:t>
            </w:r>
          </w:p>
        </w:tc>
        <w:tc>
          <w:tcPr>
            <w:tcW w:w="721" w:type="pct"/>
            <w:tcBorders>
              <w:tl2br w:val="nil"/>
              <w:tr2bl w:val="nil"/>
            </w:tcBorders>
            <w:vAlign w:val="center"/>
          </w:tcPr>
          <w:p w14:paraId="57E48951">
            <w:pPr>
              <w:widowControl/>
              <w:spacing w:before="0" w:beforeLines="0" w:line="240" w:lineRule="auto"/>
              <w:jc w:val="center"/>
              <w:textAlignment w:val="center"/>
              <w:rPr>
                <w:szCs w:val="21"/>
              </w:rPr>
            </w:pPr>
            <w:r>
              <w:rPr>
                <w:rFonts w:hint="eastAsia"/>
                <w:kern w:val="0"/>
                <w:szCs w:val="21"/>
                <w:lang w:bidi="ar"/>
              </w:rPr>
              <w:t>429</w:t>
            </w:r>
          </w:p>
        </w:tc>
        <w:tc>
          <w:tcPr>
            <w:tcW w:w="721" w:type="pct"/>
            <w:tcBorders>
              <w:tl2br w:val="nil"/>
              <w:tr2bl w:val="nil"/>
            </w:tcBorders>
            <w:vAlign w:val="center"/>
          </w:tcPr>
          <w:p w14:paraId="7574CB7A">
            <w:pPr>
              <w:widowControl/>
              <w:spacing w:before="0" w:beforeLines="0" w:line="240" w:lineRule="auto"/>
              <w:jc w:val="center"/>
              <w:textAlignment w:val="center"/>
              <w:rPr>
                <w:szCs w:val="21"/>
              </w:rPr>
            </w:pPr>
            <w:r>
              <w:rPr>
                <w:szCs w:val="21"/>
              </w:rPr>
              <w:t>247</w:t>
            </w:r>
          </w:p>
        </w:tc>
        <w:tc>
          <w:tcPr>
            <w:tcW w:w="721" w:type="pct"/>
            <w:tcBorders>
              <w:tl2br w:val="nil"/>
              <w:tr2bl w:val="nil"/>
            </w:tcBorders>
            <w:vAlign w:val="center"/>
          </w:tcPr>
          <w:p w14:paraId="1CAF0C78">
            <w:pPr>
              <w:autoSpaceDN w:val="0"/>
              <w:spacing w:before="0" w:beforeLines="0" w:line="240" w:lineRule="auto"/>
              <w:jc w:val="center"/>
              <w:textAlignment w:val="center"/>
              <w:rPr>
                <w:szCs w:val="21"/>
              </w:rPr>
            </w:pPr>
            <w:r>
              <w:rPr>
                <w:rFonts w:hint="eastAsia"/>
                <w:kern w:val="0"/>
                <w:szCs w:val="21"/>
                <w:lang w:bidi="ar"/>
              </w:rPr>
              <w:t>196</w:t>
            </w:r>
          </w:p>
        </w:tc>
        <w:tc>
          <w:tcPr>
            <w:tcW w:w="481" w:type="pct"/>
            <w:tcBorders>
              <w:tl2br w:val="nil"/>
              <w:tr2bl w:val="nil"/>
            </w:tcBorders>
            <w:vAlign w:val="center"/>
          </w:tcPr>
          <w:p w14:paraId="027E28E5">
            <w:pPr>
              <w:autoSpaceDN w:val="0"/>
              <w:spacing w:before="0" w:beforeLines="0" w:line="240" w:lineRule="auto"/>
              <w:jc w:val="center"/>
              <w:textAlignment w:val="center"/>
              <w:rPr>
                <w:rFonts w:eastAsiaTheme="minorEastAsia"/>
                <w:kern w:val="0"/>
                <w:szCs w:val="21"/>
              </w:rPr>
            </w:pPr>
            <w:r>
              <w:rPr>
                <w:szCs w:val="21"/>
              </w:rPr>
              <w:t>mg/L</w:t>
            </w:r>
          </w:p>
        </w:tc>
      </w:tr>
      <w:tr w14:paraId="6D28AB0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14:paraId="66DE287E">
            <w:pPr>
              <w:adjustRightInd w:val="0"/>
              <w:snapToGrid w:val="0"/>
              <w:spacing w:before="0" w:beforeLines="0" w:line="240" w:lineRule="auto"/>
              <w:jc w:val="center"/>
              <w:rPr>
                <w:rFonts w:eastAsiaTheme="minorEastAsia"/>
                <w:szCs w:val="21"/>
              </w:rPr>
            </w:pPr>
            <w:r>
              <w:rPr>
                <w:szCs w:val="21"/>
              </w:rPr>
              <w:t>溶解性总固体</w:t>
            </w:r>
          </w:p>
        </w:tc>
        <w:tc>
          <w:tcPr>
            <w:tcW w:w="355" w:type="pct"/>
            <w:tcBorders>
              <w:tl2br w:val="nil"/>
              <w:tr2bl w:val="nil"/>
            </w:tcBorders>
            <w:vAlign w:val="center"/>
          </w:tcPr>
          <w:p w14:paraId="73C44AA7">
            <w:pPr>
              <w:adjustRightInd w:val="0"/>
              <w:snapToGrid w:val="0"/>
              <w:spacing w:before="0" w:beforeLines="0" w:line="240" w:lineRule="auto"/>
              <w:jc w:val="center"/>
              <w:rPr>
                <w:szCs w:val="21"/>
              </w:rPr>
            </w:pPr>
            <w:r>
              <w:rPr>
                <w:szCs w:val="21"/>
              </w:rPr>
              <w:t>≤1000</w:t>
            </w:r>
          </w:p>
        </w:tc>
        <w:tc>
          <w:tcPr>
            <w:tcW w:w="721" w:type="pct"/>
            <w:tcBorders>
              <w:tl2br w:val="nil"/>
              <w:tr2bl w:val="nil"/>
            </w:tcBorders>
            <w:vAlign w:val="center"/>
          </w:tcPr>
          <w:p w14:paraId="4C70E38D">
            <w:pPr>
              <w:widowControl/>
              <w:spacing w:before="0" w:beforeLines="0" w:line="240" w:lineRule="auto"/>
              <w:jc w:val="center"/>
              <w:textAlignment w:val="center"/>
              <w:rPr>
                <w:szCs w:val="21"/>
              </w:rPr>
            </w:pPr>
            <w:r>
              <w:rPr>
                <w:szCs w:val="21"/>
              </w:rPr>
              <w:t>456</w:t>
            </w:r>
          </w:p>
        </w:tc>
        <w:tc>
          <w:tcPr>
            <w:tcW w:w="721" w:type="pct"/>
            <w:tcBorders>
              <w:tl2br w:val="nil"/>
              <w:tr2bl w:val="nil"/>
            </w:tcBorders>
            <w:vAlign w:val="center"/>
          </w:tcPr>
          <w:p w14:paraId="21D66DDE">
            <w:pPr>
              <w:widowControl/>
              <w:spacing w:before="0" w:beforeLines="0" w:line="240" w:lineRule="auto"/>
              <w:jc w:val="center"/>
              <w:textAlignment w:val="center"/>
              <w:rPr>
                <w:szCs w:val="21"/>
              </w:rPr>
            </w:pPr>
            <w:r>
              <w:rPr>
                <w:szCs w:val="21"/>
              </w:rPr>
              <w:t>418</w:t>
            </w:r>
          </w:p>
        </w:tc>
        <w:tc>
          <w:tcPr>
            <w:tcW w:w="721" w:type="pct"/>
            <w:tcBorders>
              <w:tl2br w:val="nil"/>
              <w:tr2bl w:val="nil"/>
            </w:tcBorders>
            <w:vAlign w:val="center"/>
          </w:tcPr>
          <w:p w14:paraId="3A41A8BA">
            <w:pPr>
              <w:widowControl/>
              <w:spacing w:before="0" w:beforeLines="0" w:line="240" w:lineRule="auto"/>
              <w:jc w:val="center"/>
              <w:textAlignment w:val="center"/>
              <w:rPr>
                <w:szCs w:val="21"/>
              </w:rPr>
            </w:pPr>
            <w:r>
              <w:rPr>
                <w:rFonts w:hint="eastAsia"/>
                <w:kern w:val="0"/>
                <w:szCs w:val="21"/>
                <w:lang w:bidi="ar"/>
              </w:rPr>
              <w:t>816</w:t>
            </w:r>
          </w:p>
        </w:tc>
        <w:tc>
          <w:tcPr>
            <w:tcW w:w="721" w:type="pct"/>
            <w:tcBorders>
              <w:tl2br w:val="nil"/>
              <w:tr2bl w:val="nil"/>
            </w:tcBorders>
            <w:vAlign w:val="center"/>
          </w:tcPr>
          <w:p w14:paraId="03F2C190">
            <w:pPr>
              <w:widowControl/>
              <w:spacing w:before="0" w:beforeLines="0" w:line="240" w:lineRule="auto"/>
              <w:jc w:val="center"/>
              <w:textAlignment w:val="center"/>
              <w:rPr>
                <w:szCs w:val="21"/>
              </w:rPr>
            </w:pPr>
            <w:r>
              <w:rPr>
                <w:szCs w:val="21"/>
              </w:rPr>
              <w:t>418</w:t>
            </w:r>
          </w:p>
        </w:tc>
        <w:tc>
          <w:tcPr>
            <w:tcW w:w="721" w:type="pct"/>
            <w:tcBorders>
              <w:tl2br w:val="nil"/>
              <w:tr2bl w:val="nil"/>
            </w:tcBorders>
            <w:vAlign w:val="center"/>
          </w:tcPr>
          <w:p w14:paraId="12F86A90">
            <w:pPr>
              <w:autoSpaceDN w:val="0"/>
              <w:spacing w:before="0" w:beforeLines="0" w:line="240" w:lineRule="auto"/>
              <w:jc w:val="center"/>
              <w:textAlignment w:val="center"/>
              <w:rPr>
                <w:kern w:val="0"/>
                <w:szCs w:val="21"/>
                <w:lang w:bidi="ar"/>
              </w:rPr>
            </w:pPr>
            <w:r>
              <w:rPr>
                <w:rFonts w:hint="eastAsia"/>
                <w:kern w:val="0"/>
                <w:szCs w:val="21"/>
                <w:lang w:bidi="ar"/>
              </w:rPr>
              <w:t>350</w:t>
            </w:r>
          </w:p>
        </w:tc>
        <w:tc>
          <w:tcPr>
            <w:tcW w:w="481" w:type="pct"/>
            <w:tcBorders>
              <w:tl2br w:val="nil"/>
              <w:tr2bl w:val="nil"/>
            </w:tcBorders>
            <w:vAlign w:val="center"/>
          </w:tcPr>
          <w:p w14:paraId="5F1CC118">
            <w:pPr>
              <w:autoSpaceDN w:val="0"/>
              <w:spacing w:before="0" w:beforeLines="0" w:line="240" w:lineRule="auto"/>
              <w:jc w:val="center"/>
              <w:textAlignment w:val="center"/>
              <w:rPr>
                <w:rFonts w:eastAsiaTheme="minorEastAsia"/>
                <w:kern w:val="0"/>
                <w:szCs w:val="21"/>
              </w:rPr>
            </w:pPr>
            <w:r>
              <w:rPr>
                <w:kern w:val="0"/>
                <w:szCs w:val="21"/>
                <w:lang w:bidi="ar"/>
              </w:rPr>
              <w:t>mg/L</w:t>
            </w:r>
          </w:p>
        </w:tc>
      </w:tr>
      <w:tr w14:paraId="70B824E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14:paraId="4C372328">
            <w:pPr>
              <w:spacing w:before="0" w:beforeLines="0" w:line="240" w:lineRule="auto"/>
              <w:jc w:val="center"/>
              <w:rPr>
                <w:rFonts w:eastAsiaTheme="minorEastAsia"/>
                <w:szCs w:val="21"/>
              </w:rPr>
            </w:pPr>
            <w:r>
              <w:rPr>
                <w:szCs w:val="21"/>
              </w:rPr>
              <w:t>pH值</w:t>
            </w:r>
          </w:p>
        </w:tc>
        <w:tc>
          <w:tcPr>
            <w:tcW w:w="355" w:type="pct"/>
            <w:tcBorders>
              <w:tl2br w:val="nil"/>
              <w:tr2bl w:val="nil"/>
            </w:tcBorders>
            <w:vAlign w:val="center"/>
          </w:tcPr>
          <w:p w14:paraId="7A4CA519">
            <w:pPr>
              <w:spacing w:before="0" w:beforeLines="0" w:line="240" w:lineRule="auto"/>
              <w:jc w:val="center"/>
              <w:rPr>
                <w:szCs w:val="21"/>
              </w:rPr>
            </w:pPr>
            <w:r>
              <w:rPr>
                <w:szCs w:val="21"/>
              </w:rPr>
              <w:t>6.5~8.5</w:t>
            </w:r>
          </w:p>
        </w:tc>
        <w:tc>
          <w:tcPr>
            <w:tcW w:w="721" w:type="pct"/>
            <w:tcBorders>
              <w:tl2br w:val="nil"/>
              <w:tr2bl w:val="nil"/>
            </w:tcBorders>
            <w:vAlign w:val="center"/>
          </w:tcPr>
          <w:p w14:paraId="69669BAD">
            <w:pPr>
              <w:widowControl/>
              <w:spacing w:before="0" w:beforeLines="0" w:line="240" w:lineRule="auto"/>
              <w:jc w:val="center"/>
              <w:textAlignment w:val="center"/>
              <w:rPr>
                <w:szCs w:val="21"/>
              </w:rPr>
            </w:pPr>
            <w:r>
              <w:rPr>
                <w:szCs w:val="21"/>
              </w:rPr>
              <w:t>7.5</w:t>
            </w:r>
          </w:p>
        </w:tc>
        <w:tc>
          <w:tcPr>
            <w:tcW w:w="721" w:type="pct"/>
            <w:tcBorders>
              <w:tl2br w:val="nil"/>
              <w:tr2bl w:val="nil"/>
            </w:tcBorders>
            <w:vAlign w:val="center"/>
          </w:tcPr>
          <w:p w14:paraId="206F35C2">
            <w:pPr>
              <w:widowControl/>
              <w:spacing w:before="0" w:beforeLines="0" w:line="240" w:lineRule="auto"/>
              <w:jc w:val="center"/>
              <w:textAlignment w:val="center"/>
              <w:rPr>
                <w:szCs w:val="21"/>
              </w:rPr>
            </w:pPr>
            <w:r>
              <w:rPr>
                <w:szCs w:val="21"/>
              </w:rPr>
              <w:t>7.4</w:t>
            </w:r>
          </w:p>
        </w:tc>
        <w:tc>
          <w:tcPr>
            <w:tcW w:w="721" w:type="pct"/>
            <w:tcBorders>
              <w:tl2br w:val="nil"/>
              <w:tr2bl w:val="nil"/>
            </w:tcBorders>
            <w:vAlign w:val="center"/>
          </w:tcPr>
          <w:p w14:paraId="656E1B42">
            <w:pPr>
              <w:widowControl/>
              <w:spacing w:before="0" w:beforeLines="0" w:line="240" w:lineRule="auto"/>
              <w:jc w:val="center"/>
              <w:textAlignment w:val="center"/>
              <w:rPr>
                <w:szCs w:val="21"/>
              </w:rPr>
            </w:pPr>
            <w:r>
              <w:rPr>
                <w:rFonts w:hint="eastAsia"/>
                <w:kern w:val="0"/>
                <w:szCs w:val="21"/>
                <w:lang w:bidi="ar"/>
              </w:rPr>
              <w:t>7.2</w:t>
            </w:r>
          </w:p>
        </w:tc>
        <w:tc>
          <w:tcPr>
            <w:tcW w:w="721" w:type="pct"/>
            <w:tcBorders>
              <w:tl2br w:val="nil"/>
              <w:tr2bl w:val="nil"/>
            </w:tcBorders>
            <w:vAlign w:val="center"/>
          </w:tcPr>
          <w:p w14:paraId="4C188D44">
            <w:pPr>
              <w:widowControl/>
              <w:spacing w:before="0" w:beforeLines="0" w:line="240" w:lineRule="auto"/>
              <w:jc w:val="center"/>
              <w:textAlignment w:val="center"/>
              <w:rPr>
                <w:szCs w:val="21"/>
              </w:rPr>
            </w:pPr>
            <w:r>
              <w:rPr>
                <w:szCs w:val="21"/>
              </w:rPr>
              <w:t>7.4</w:t>
            </w:r>
          </w:p>
        </w:tc>
        <w:tc>
          <w:tcPr>
            <w:tcW w:w="721" w:type="pct"/>
            <w:tcBorders>
              <w:tl2br w:val="nil"/>
              <w:tr2bl w:val="nil"/>
            </w:tcBorders>
            <w:vAlign w:val="center"/>
          </w:tcPr>
          <w:p w14:paraId="64F03ED2">
            <w:pPr>
              <w:widowControl/>
              <w:spacing w:before="0" w:beforeLines="0" w:line="240" w:lineRule="auto"/>
              <w:jc w:val="center"/>
              <w:textAlignment w:val="center"/>
              <w:rPr>
                <w:kern w:val="0"/>
                <w:szCs w:val="21"/>
                <w:lang w:bidi="ar"/>
              </w:rPr>
            </w:pPr>
            <w:r>
              <w:rPr>
                <w:rFonts w:hint="eastAsia"/>
                <w:kern w:val="0"/>
                <w:szCs w:val="21"/>
                <w:lang w:bidi="ar"/>
              </w:rPr>
              <w:t>7.4</w:t>
            </w:r>
          </w:p>
        </w:tc>
        <w:tc>
          <w:tcPr>
            <w:tcW w:w="481" w:type="pct"/>
            <w:tcBorders>
              <w:tl2br w:val="nil"/>
              <w:tr2bl w:val="nil"/>
            </w:tcBorders>
            <w:vAlign w:val="center"/>
          </w:tcPr>
          <w:p w14:paraId="6FA6E550">
            <w:pPr>
              <w:widowControl/>
              <w:spacing w:before="0" w:beforeLines="0" w:line="240" w:lineRule="auto"/>
              <w:jc w:val="center"/>
              <w:textAlignment w:val="center"/>
              <w:rPr>
                <w:rFonts w:eastAsiaTheme="minorEastAsia"/>
                <w:kern w:val="0"/>
                <w:szCs w:val="21"/>
              </w:rPr>
            </w:pPr>
            <w:r>
              <w:rPr>
                <w:kern w:val="0"/>
                <w:szCs w:val="21"/>
                <w:lang w:bidi="ar"/>
              </w:rPr>
              <w:t>无量纲</w:t>
            </w:r>
          </w:p>
        </w:tc>
      </w:tr>
      <w:tr w14:paraId="5A2413E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14:paraId="636C68B0">
            <w:pPr>
              <w:adjustRightInd w:val="0"/>
              <w:snapToGrid w:val="0"/>
              <w:spacing w:before="0" w:beforeLines="0" w:line="240" w:lineRule="auto"/>
              <w:jc w:val="center"/>
              <w:rPr>
                <w:rFonts w:eastAsiaTheme="minorEastAsia"/>
                <w:szCs w:val="21"/>
              </w:rPr>
            </w:pPr>
            <w:r>
              <w:rPr>
                <w:szCs w:val="21"/>
              </w:rPr>
              <w:t>硫化物</w:t>
            </w:r>
          </w:p>
        </w:tc>
        <w:tc>
          <w:tcPr>
            <w:tcW w:w="355" w:type="pct"/>
            <w:tcBorders>
              <w:tl2br w:val="nil"/>
              <w:tr2bl w:val="nil"/>
            </w:tcBorders>
            <w:vAlign w:val="center"/>
          </w:tcPr>
          <w:p w14:paraId="50F91FBF">
            <w:pPr>
              <w:adjustRightInd w:val="0"/>
              <w:snapToGrid w:val="0"/>
              <w:spacing w:before="0" w:beforeLines="0" w:line="240" w:lineRule="auto"/>
              <w:jc w:val="center"/>
              <w:rPr>
                <w:szCs w:val="21"/>
              </w:rPr>
            </w:pPr>
            <w:r>
              <w:rPr>
                <w:szCs w:val="21"/>
              </w:rPr>
              <w:t>≤0.02</w:t>
            </w:r>
          </w:p>
        </w:tc>
        <w:tc>
          <w:tcPr>
            <w:tcW w:w="721" w:type="pct"/>
            <w:tcBorders>
              <w:tl2br w:val="nil"/>
              <w:tr2bl w:val="nil"/>
            </w:tcBorders>
            <w:vAlign w:val="center"/>
          </w:tcPr>
          <w:p w14:paraId="0043CD3D">
            <w:pPr>
              <w:widowControl/>
              <w:spacing w:before="0" w:beforeLines="0" w:line="240" w:lineRule="auto"/>
              <w:jc w:val="center"/>
              <w:textAlignment w:val="center"/>
              <w:rPr>
                <w:szCs w:val="21"/>
              </w:rPr>
            </w:pPr>
            <w:r>
              <w:rPr>
                <w:szCs w:val="21"/>
              </w:rPr>
              <w:t>0.02（L）</w:t>
            </w:r>
          </w:p>
        </w:tc>
        <w:tc>
          <w:tcPr>
            <w:tcW w:w="721" w:type="pct"/>
            <w:tcBorders>
              <w:tl2br w:val="nil"/>
              <w:tr2bl w:val="nil"/>
            </w:tcBorders>
            <w:vAlign w:val="center"/>
          </w:tcPr>
          <w:p w14:paraId="44255163">
            <w:pPr>
              <w:widowControl/>
              <w:spacing w:before="0" w:beforeLines="0" w:line="240" w:lineRule="auto"/>
              <w:jc w:val="center"/>
              <w:textAlignment w:val="center"/>
              <w:rPr>
                <w:szCs w:val="21"/>
              </w:rPr>
            </w:pPr>
            <w:r>
              <w:rPr>
                <w:szCs w:val="21"/>
              </w:rPr>
              <w:t>0.02（L）</w:t>
            </w:r>
          </w:p>
        </w:tc>
        <w:tc>
          <w:tcPr>
            <w:tcW w:w="721" w:type="pct"/>
            <w:tcBorders>
              <w:tl2br w:val="nil"/>
              <w:tr2bl w:val="nil"/>
            </w:tcBorders>
            <w:vAlign w:val="center"/>
          </w:tcPr>
          <w:p w14:paraId="66B00D98">
            <w:pPr>
              <w:widowControl/>
              <w:spacing w:before="0" w:beforeLines="0" w:line="240" w:lineRule="auto"/>
              <w:jc w:val="center"/>
              <w:textAlignment w:val="center"/>
              <w:rPr>
                <w:szCs w:val="21"/>
              </w:rPr>
            </w:pPr>
            <w:r>
              <w:rPr>
                <w:rFonts w:hint="eastAsia"/>
                <w:kern w:val="0"/>
                <w:szCs w:val="21"/>
                <w:lang w:bidi="ar"/>
              </w:rPr>
              <w:t>0.02(L)</w:t>
            </w:r>
          </w:p>
        </w:tc>
        <w:tc>
          <w:tcPr>
            <w:tcW w:w="721" w:type="pct"/>
            <w:tcBorders>
              <w:tl2br w:val="nil"/>
              <w:tr2bl w:val="nil"/>
            </w:tcBorders>
            <w:vAlign w:val="center"/>
          </w:tcPr>
          <w:p w14:paraId="0B066527">
            <w:pPr>
              <w:widowControl/>
              <w:spacing w:before="0" w:beforeLines="0" w:line="240" w:lineRule="auto"/>
              <w:jc w:val="center"/>
              <w:textAlignment w:val="center"/>
              <w:rPr>
                <w:szCs w:val="21"/>
              </w:rPr>
            </w:pPr>
            <w:r>
              <w:rPr>
                <w:szCs w:val="21"/>
              </w:rPr>
              <w:t>0.02（L）</w:t>
            </w:r>
          </w:p>
        </w:tc>
        <w:tc>
          <w:tcPr>
            <w:tcW w:w="721" w:type="pct"/>
            <w:tcBorders>
              <w:tl2br w:val="nil"/>
              <w:tr2bl w:val="nil"/>
            </w:tcBorders>
            <w:vAlign w:val="center"/>
          </w:tcPr>
          <w:p w14:paraId="0F632FFC">
            <w:pPr>
              <w:autoSpaceDN w:val="0"/>
              <w:spacing w:before="0" w:beforeLines="0" w:line="240" w:lineRule="auto"/>
              <w:jc w:val="center"/>
              <w:textAlignment w:val="center"/>
              <w:rPr>
                <w:szCs w:val="21"/>
              </w:rPr>
            </w:pPr>
            <w:r>
              <w:rPr>
                <w:rFonts w:hint="eastAsia"/>
                <w:kern w:val="0"/>
                <w:szCs w:val="21"/>
                <w:lang w:bidi="ar"/>
              </w:rPr>
              <w:t>0.02(L)</w:t>
            </w:r>
          </w:p>
        </w:tc>
        <w:tc>
          <w:tcPr>
            <w:tcW w:w="481" w:type="pct"/>
            <w:tcBorders>
              <w:tl2br w:val="nil"/>
              <w:tr2bl w:val="nil"/>
            </w:tcBorders>
            <w:vAlign w:val="center"/>
          </w:tcPr>
          <w:p w14:paraId="6B348D78">
            <w:pPr>
              <w:autoSpaceDN w:val="0"/>
              <w:spacing w:before="0" w:beforeLines="0" w:line="240" w:lineRule="auto"/>
              <w:jc w:val="center"/>
              <w:textAlignment w:val="center"/>
              <w:rPr>
                <w:rFonts w:eastAsiaTheme="minorEastAsia"/>
                <w:kern w:val="0"/>
                <w:szCs w:val="21"/>
              </w:rPr>
            </w:pPr>
            <w:r>
              <w:rPr>
                <w:szCs w:val="21"/>
              </w:rPr>
              <w:t>mg/L</w:t>
            </w:r>
          </w:p>
        </w:tc>
      </w:tr>
      <w:tr w14:paraId="598A6B5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14:paraId="351C608E">
            <w:pPr>
              <w:autoSpaceDN w:val="0"/>
              <w:spacing w:before="0" w:beforeLines="0" w:line="240" w:lineRule="auto"/>
              <w:jc w:val="center"/>
              <w:rPr>
                <w:rFonts w:eastAsiaTheme="minorEastAsia"/>
                <w:szCs w:val="21"/>
              </w:rPr>
            </w:pPr>
            <w:r>
              <w:rPr>
                <w:szCs w:val="21"/>
              </w:rPr>
              <w:t>石油类</w:t>
            </w:r>
          </w:p>
        </w:tc>
        <w:tc>
          <w:tcPr>
            <w:tcW w:w="355" w:type="pct"/>
            <w:tcBorders>
              <w:tl2br w:val="nil"/>
              <w:tr2bl w:val="nil"/>
            </w:tcBorders>
            <w:vAlign w:val="center"/>
          </w:tcPr>
          <w:p w14:paraId="1CB1070C">
            <w:pPr>
              <w:autoSpaceDN w:val="0"/>
              <w:spacing w:before="0" w:beforeLines="0" w:line="240" w:lineRule="auto"/>
              <w:jc w:val="center"/>
              <w:rPr>
                <w:szCs w:val="21"/>
              </w:rPr>
            </w:pPr>
            <w:r>
              <w:rPr>
                <w:szCs w:val="21"/>
              </w:rPr>
              <w:t>0.3</w:t>
            </w:r>
          </w:p>
        </w:tc>
        <w:tc>
          <w:tcPr>
            <w:tcW w:w="721" w:type="pct"/>
            <w:tcBorders>
              <w:tl2br w:val="nil"/>
              <w:tr2bl w:val="nil"/>
            </w:tcBorders>
            <w:vAlign w:val="center"/>
          </w:tcPr>
          <w:p w14:paraId="4E681A92">
            <w:pPr>
              <w:widowControl/>
              <w:spacing w:before="0" w:beforeLines="0" w:line="240" w:lineRule="auto"/>
              <w:jc w:val="center"/>
              <w:textAlignment w:val="center"/>
              <w:rPr>
                <w:szCs w:val="21"/>
              </w:rPr>
            </w:pPr>
            <w:r>
              <w:rPr>
                <w:szCs w:val="21"/>
              </w:rPr>
              <w:t>0.01（L）</w:t>
            </w:r>
          </w:p>
        </w:tc>
        <w:tc>
          <w:tcPr>
            <w:tcW w:w="721" w:type="pct"/>
            <w:tcBorders>
              <w:tl2br w:val="nil"/>
              <w:tr2bl w:val="nil"/>
            </w:tcBorders>
            <w:vAlign w:val="center"/>
          </w:tcPr>
          <w:p w14:paraId="0AD02A42">
            <w:pPr>
              <w:widowControl/>
              <w:spacing w:before="0" w:beforeLines="0" w:line="240" w:lineRule="auto"/>
              <w:jc w:val="center"/>
              <w:textAlignment w:val="center"/>
              <w:rPr>
                <w:szCs w:val="21"/>
              </w:rPr>
            </w:pPr>
            <w:r>
              <w:rPr>
                <w:szCs w:val="21"/>
              </w:rPr>
              <w:t>0.01（L）</w:t>
            </w:r>
          </w:p>
        </w:tc>
        <w:tc>
          <w:tcPr>
            <w:tcW w:w="721" w:type="pct"/>
            <w:tcBorders>
              <w:tl2br w:val="nil"/>
              <w:tr2bl w:val="nil"/>
            </w:tcBorders>
            <w:vAlign w:val="center"/>
          </w:tcPr>
          <w:p w14:paraId="6EF1E9EF">
            <w:pPr>
              <w:widowControl/>
              <w:spacing w:before="0" w:beforeLines="0" w:line="240" w:lineRule="auto"/>
              <w:jc w:val="center"/>
              <w:textAlignment w:val="center"/>
              <w:rPr>
                <w:szCs w:val="21"/>
              </w:rPr>
            </w:pPr>
            <w:r>
              <w:rPr>
                <w:rFonts w:hint="eastAsia"/>
                <w:kern w:val="0"/>
                <w:szCs w:val="21"/>
                <w:lang w:bidi="ar"/>
              </w:rPr>
              <w:t>0.01(L)</w:t>
            </w:r>
          </w:p>
        </w:tc>
        <w:tc>
          <w:tcPr>
            <w:tcW w:w="721" w:type="pct"/>
            <w:tcBorders>
              <w:tl2br w:val="nil"/>
              <w:tr2bl w:val="nil"/>
            </w:tcBorders>
            <w:vAlign w:val="center"/>
          </w:tcPr>
          <w:p w14:paraId="51A86C5C">
            <w:pPr>
              <w:widowControl/>
              <w:spacing w:before="0" w:beforeLines="0" w:line="240" w:lineRule="auto"/>
              <w:jc w:val="center"/>
              <w:textAlignment w:val="center"/>
              <w:rPr>
                <w:szCs w:val="21"/>
              </w:rPr>
            </w:pPr>
            <w:r>
              <w:rPr>
                <w:szCs w:val="21"/>
              </w:rPr>
              <w:t>0.01（L）</w:t>
            </w:r>
          </w:p>
        </w:tc>
        <w:tc>
          <w:tcPr>
            <w:tcW w:w="721" w:type="pct"/>
            <w:tcBorders>
              <w:tl2br w:val="nil"/>
              <w:tr2bl w:val="nil"/>
            </w:tcBorders>
            <w:vAlign w:val="center"/>
          </w:tcPr>
          <w:p w14:paraId="4551ED0C">
            <w:pPr>
              <w:autoSpaceDN w:val="0"/>
              <w:spacing w:before="0" w:beforeLines="0" w:line="240" w:lineRule="auto"/>
              <w:jc w:val="center"/>
              <w:textAlignment w:val="center"/>
              <w:rPr>
                <w:kern w:val="0"/>
                <w:szCs w:val="21"/>
                <w:lang w:bidi="ar"/>
              </w:rPr>
            </w:pPr>
            <w:r>
              <w:rPr>
                <w:rFonts w:hint="eastAsia"/>
                <w:kern w:val="0"/>
                <w:szCs w:val="21"/>
                <w:lang w:bidi="ar"/>
              </w:rPr>
              <w:t>0.01(L)</w:t>
            </w:r>
          </w:p>
        </w:tc>
        <w:tc>
          <w:tcPr>
            <w:tcW w:w="481" w:type="pct"/>
            <w:tcBorders>
              <w:tl2br w:val="nil"/>
              <w:tr2bl w:val="nil"/>
            </w:tcBorders>
            <w:vAlign w:val="center"/>
          </w:tcPr>
          <w:p w14:paraId="72FFC737">
            <w:pPr>
              <w:autoSpaceDN w:val="0"/>
              <w:spacing w:before="0" w:beforeLines="0" w:line="240" w:lineRule="auto"/>
              <w:jc w:val="center"/>
              <w:textAlignment w:val="center"/>
              <w:rPr>
                <w:rFonts w:eastAsiaTheme="minorEastAsia"/>
                <w:kern w:val="0"/>
                <w:szCs w:val="21"/>
              </w:rPr>
            </w:pPr>
            <w:r>
              <w:rPr>
                <w:kern w:val="0"/>
                <w:szCs w:val="21"/>
                <w:lang w:bidi="ar"/>
              </w:rPr>
              <w:t>mg/L</w:t>
            </w:r>
          </w:p>
        </w:tc>
      </w:tr>
      <w:tr w14:paraId="4021393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14:paraId="2E45954B">
            <w:pPr>
              <w:spacing w:before="0" w:beforeLines="0" w:line="240" w:lineRule="auto"/>
              <w:jc w:val="center"/>
              <w:rPr>
                <w:rFonts w:eastAsiaTheme="minorEastAsia"/>
                <w:szCs w:val="21"/>
              </w:rPr>
            </w:pPr>
            <w:r>
              <w:rPr>
                <w:szCs w:val="21"/>
              </w:rPr>
              <w:t>总大肠菌群</w:t>
            </w:r>
          </w:p>
        </w:tc>
        <w:tc>
          <w:tcPr>
            <w:tcW w:w="355" w:type="pct"/>
            <w:tcBorders>
              <w:tl2br w:val="nil"/>
              <w:tr2bl w:val="nil"/>
            </w:tcBorders>
            <w:vAlign w:val="center"/>
          </w:tcPr>
          <w:p w14:paraId="3E7D352A">
            <w:pPr>
              <w:spacing w:before="0" w:beforeLines="0" w:line="240" w:lineRule="auto"/>
              <w:jc w:val="center"/>
              <w:rPr>
                <w:szCs w:val="21"/>
              </w:rPr>
            </w:pPr>
            <w:r>
              <w:rPr>
                <w:szCs w:val="21"/>
              </w:rPr>
              <w:t>≤30</w:t>
            </w:r>
          </w:p>
        </w:tc>
        <w:tc>
          <w:tcPr>
            <w:tcW w:w="721" w:type="pct"/>
            <w:tcBorders>
              <w:tl2br w:val="nil"/>
              <w:tr2bl w:val="nil"/>
            </w:tcBorders>
            <w:vAlign w:val="center"/>
          </w:tcPr>
          <w:p w14:paraId="646D5AB5">
            <w:pPr>
              <w:widowControl/>
              <w:spacing w:before="0" w:beforeLines="0" w:line="240" w:lineRule="auto"/>
              <w:jc w:val="center"/>
              <w:textAlignment w:val="center"/>
              <w:rPr>
                <w:szCs w:val="21"/>
              </w:rPr>
            </w:pPr>
            <w:r>
              <w:rPr>
                <w:szCs w:val="21"/>
              </w:rPr>
              <w:t>未检出</w:t>
            </w:r>
          </w:p>
        </w:tc>
        <w:tc>
          <w:tcPr>
            <w:tcW w:w="721" w:type="pct"/>
            <w:tcBorders>
              <w:tl2br w:val="nil"/>
              <w:tr2bl w:val="nil"/>
            </w:tcBorders>
            <w:vAlign w:val="center"/>
          </w:tcPr>
          <w:p w14:paraId="523DB269">
            <w:pPr>
              <w:widowControl/>
              <w:spacing w:before="0" w:beforeLines="0" w:line="240" w:lineRule="auto"/>
              <w:jc w:val="center"/>
              <w:textAlignment w:val="center"/>
              <w:rPr>
                <w:szCs w:val="21"/>
              </w:rPr>
            </w:pPr>
            <w:r>
              <w:rPr>
                <w:szCs w:val="21"/>
              </w:rPr>
              <w:t>未检出</w:t>
            </w:r>
          </w:p>
        </w:tc>
        <w:tc>
          <w:tcPr>
            <w:tcW w:w="721" w:type="pct"/>
            <w:tcBorders>
              <w:tl2br w:val="nil"/>
              <w:tr2bl w:val="nil"/>
            </w:tcBorders>
            <w:vAlign w:val="center"/>
          </w:tcPr>
          <w:p w14:paraId="23F24C20">
            <w:pPr>
              <w:widowControl/>
              <w:spacing w:before="0" w:beforeLines="0" w:line="240" w:lineRule="auto"/>
              <w:jc w:val="center"/>
              <w:textAlignment w:val="center"/>
              <w:rPr>
                <w:szCs w:val="21"/>
              </w:rPr>
            </w:pPr>
            <w:r>
              <w:rPr>
                <w:rFonts w:hint="eastAsia"/>
                <w:kern w:val="0"/>
                <w:szCs w:val="21"/>
                <w:lang w:bidi="ar"/>
              </w:rPr>
              <w:t>未检出</w:t>
            </w:r>
          </w:p>
        </w:tc>
        <w:tc>
          <w:tcPr>
            <w:tcW w:w="721" w:type="pct"/>
            <w:tcBorders>
              <w:right w:val="single" w:color="000000" w:sz="6" w:space="0"/>
              <w:tl2br w:val="nil"/>
              <w:tr2bl w:val="nil"/>
            </w:tcBorders>
            <w:vAlign w:val="center"/>
          </w:tcPr>
          <w:p w14:paraId="215F2345">
            <w:pPr>
              <w:widowControl/>
              <w:spacing w:before="0" w:beforeLines="0" w:line="240" w:lineRule="auto"/>
              <w:jc w:val="center"/>
              <w:textAlignment w:val="center"/>
              <w:rPr>
                <w:szCs w:val="21"/>
              </w:rPr>
            </w:pPr>
            <w:r>
              <w:rPr>
                <w:szCs w:val="21"/>
              </w:rPr>
              <w:t>未检出</w:t>
            </w:r>
          </w:p>
        </w:tc>
        <w:tc>
          <w:tcPr>
            <w:tcW w:w="721" w:type="pct"/>
            <w:tcBorders>
              <w:right w:val="single" w:color="000000" w:sz="6" w:space="0"/>
              <w:tl2br w:val="nil"/>
              <w:tr2bl w:val="nil"/>
            </w:tcBorders>
            <w:vAlign w:val="center"/>
          </w:tcPr>
          <w:p w14:paraId="59D8D805">
            <w:pPr>
              <w:widowControl/>
              <w:spacing w:before="0" w:beforeLines="0" w:line="240" w:lineRule="auto"/>
              <w:jc w:val="center"/>
              <w:textAlignment w:val="center"/>
              <w:rPr>
                <w:kern w:val="0"/>
                <w:szCs w:val="21"/>
              </w:rPr>
            </w:pPr>
            <w:r>
              <w:rPr>
                <w:rFonts w:hint="eastAsia"/>
                <w:kern w:val="0"/>
                <w:szCs w:val="21"/>
                <w:lang w:bidi="ar"/>
              </w:rPr>
              <w:t>未检出</w:t>
            </w:r>
          </w:p>
        </w:tc>
        <w:tc>
          <w:tcPr>
            <w:tcW w:w="481" w:type="pct"/>
            <w:tcBorders>
              <w:left w:val="single" w:color="000000" w:sz="6" w:space="0"/>
              <w:tl2br w:val="nil"/>
              <w:tr2bl w:val="nil"/>
            </w:tcBorders>
            <w:vAlign w:val="center"/>
          </w:tcPr>
          <w:p w14:paraId="6EE41C5E">
            <w:pPr>
              <w:widowControl/>
              <w:spacing w:before="0" w:beforeLines="0" w:line="240" w:lineRule="auto"/>
              <w:jc w:val="center"/>
              <w:textAlignment w:val="center"/>
              <w:rPr>
                <w:rFonts w:eastAsiaTheme="minorEastAsia"/>
                <w:kern w:val="0"/>
                <w:szCs w:val="21"/>
              </w:rPr>
            </w:pPr>
            <w:r>
              <w:rPr>
                <w:kern w:val="0"/>
                <w:szCs w:val="21"/>
              </w:rPr>
              <w:t>MPN/100mL</w:t>
            </w:r>
          </w:p>
        </w:tc>
      </w:tr>
      <w:tr w14:paraId="2F22E15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14:paraId="559C9838">
            <w:pPr>
              <w:spacing w:before="0" w:beforeLines="0" w:line="240" w:lineRule="auto"/>
              <w:jc w:val="center"/>
              <w:rPr>
                <w:szCs w:val="21"/>
              </w:rPr>
            </w:pPr>
            <w:r>
              <w:rPr>
                <w:rFonts w:hint="eastAsia"/>
                <w:szCs w:val="21"/>
              </w:rPr>
              <w:t>钒</w:t>
            </w:r>
          </w:p>
        </w:tc>
        <w:tc>
          <w:tcPr>
            <w:tcW w:w="355" w:type="pct"/>
            <w:tcBorders>
              <w:tl2br w:val="nil"/>
              <w:tr2bl w:val="nil"/>
            </w:tcBorders>
            <w:vAlign w:val="center"/>
          </w:tcPr>
          <w:p w14:paraId="738880BF">
            <w:pPr>
              <w:spacing w:before="0" w:beforeLines="0" w:line="240" w:lineRule="auto"/>
              <w:jc w:val="center"/>
              <w:rPr>
                <w:szCs w:val="21"/>
              </w:rPr>
            </w:pPr>
            <w:r>
              <w:rPr>
                <w:szCs w:val="21"/>
              </w:rPr>
              <w:t>0.05</w:t>
            </w:r>
          </w:p>
        </w:tc>
        <w:tc>
          <w:tcPr>
            <w:tcW w:w="721" w:type="pct"/>
            <w:tcBorders>
              <w:tl2br w:val="nil"/>
              <w:tr2bl w:val="nil"/>
            </w:tcBorders>
            <w:vAlign w:val="center"/>
          </w:tcPr>
          <w:p w14:paraId="56C00883">
            <w:pPr>
              <w:widowControl/>
              <w:spacing w:before="0" w:beforeLines="0" w:line="240" w:lineRule="auto"/>
              <w:jc w:val="center"/>
              <w:textAlignment w:val="center"/>
              <w:rPr>
                <w:szCs w:val="21"/>
              </w:rPr>
            </w:pPr>
            <w:r>
              <w:rPr>
                <w:szCs w:val="21"/>
              </w:rPr>
              <w:t>0.01</w:t>
            </w:r>
            <w:r>
              <w:rPr>
                <w:rFonts w:hint="eastAsia"/>
                <w:szCs w:val="21"/>
              </w:rPr>
              <w:t>(L)</w:t>
            </w:r>
          </w:p>
        </w:tc>
        <w:tc>
          <w:tcPr>
            <w:tcW w:w="721" w:type="pct"/>
            <w:tcBorders>
              <w:tl2br w:val="nil"/>
              <w:tr2bl w:val="nil"/>
            </w:tcBorders>
            <w:vAlign w:val="center"/>
          </w:tcPr>
          <w:p w14:paraId="20135D70">
            <w:pPr>
              <w:widowControl/>
              <w:spacing w:before="0" w:beforeLines="0" w:line="240" w:lineRule="auto"/>
              <w:jc w:val="center"/>
              <w:textAlignment w:val="center"/>
              <w:rPr>
                <w:szCs w:val="21"/>
              </w:rPr>
            </w:pPr>
            <w:r>
              <w:rPr>
                <w:szCs w:val="21"/>
              </w:rPr>
              <w:t>0.01</w:t>
            </w:r>
            <w:r>
              <w:rPr>
                <w:rFonts w:hint="eastAsia"/>
                <w:szCs w:val="21"/>
              </w:rPr>
              <w:t>(L)</w:t>
            </w:r>
          </w:p>
        </w:tc>
        <w:tc>
          <w:tcPr>
            <w:tcW w:w="721" w:type="pct"/>
            <w:tcBorders>
              <w:tl2br w:val="nil"/>
              <w:tr2bl w:val="nil"/>
            </w:tcBorders>
            <w:vAlign w:val="center"/>
          </w:tcPr>
          <w:p w14:paraId="21F44EFB">
            <w:pPr>
              <w:widowControl/>
              <w:spacing w:before="0" w:beforeLines="0" w:line="240" w:lineRule="auto"/>
              <w:jc w:val="center"/>
              <w:textAlignment w:val="center"/>
              <w:rPr>
                <w:szCs w:val="21"/>
              </w:rPr>
            </w:pPr>
            <w:r>
              <w:rPr>
                <w:szCs w:val="21"/>
              </w:rPr>
              <w:t>0.01</w:t>
            </w:r>
            <w:r>
              <w:rPr>
                <w:rFonts w:hint="eastAsia"/>
                <w:szCs w:val="21"/>
              </w:rPr>
              <w:t>(L)</w:t>
            </w:r>
          </w:p>
        </w:tc>
        <w:tc>
          <w:tcPr>
            <w:tcW w:w="721" w:type="pct"/>
            <w:tcBorders>
              <w:right w:val="single" w:color="000000" w:sz="6" w:space="0"/>
              <w:tl2br w:val="nil"/>
              <w:tr2bl w:val="nil"/>
            </w:tcBorders>
            <w:vAlign w:val="center"/>
          </w:tcPr>
          <w:p w14:paraId="3486BCFD">
            <w:pPr>
              <w:widowControl/>
              <w:spacing w:before="0" w:beforeLines="0" w:line="240" w:lineRule="auto"/>
              <w:jc w:val="center"/>
              <w:textAlignment w:val="center"/>
              <w:rPr>
                <w:szCs w:val="21"/>
              </w:rPr>
            </w:pPr>
            <w:r>
              <w:rPr>
                <w:szCs w:val="21"/>
              </w:rPr>
              <w:t>0.01</w:t>
            </w:r>
            <w:r>
              <w:rPr>
                <w:rFonts w:hint="eastAsia"/>
                <w:szCs w:val="21"/>
              </w:rPr>
              <w:t>(L)</w:t>
            </w:r>
          </w:p>
        </w:tc>
        <w:tc>
          <w:tcPr>
            <w:tcW w:w="721" w:type="pct"/>
            <w:tcBorders>
              <w:right w:val="single" w:color="000000" w:sz="6" w:space="0"/>
              <w:tl2br w:val="nil"/>
              <w:tr2bl w:val="nil"/>
            </w:tcBorders>
            <w:vAlign w:val="center"/>
          </w:tcPr>
          <w:p w14:paraId="300D0C87">
            <w:pPr>
              <w:widowControl/>
              <w:spacing w:before="0" w:beforeLines="0" w:line="240" w:lineRule="auto"/>
              <w:jc w:val="center"/>
              <w:textAlignment w:val="center"/>
              <w:rPr>
                <w:kern w:val="0"/>
                <w:szCs w:val="21"/>
              </w:rPr>
            </w:pPr>
            <w:r>
              <w:rPr>
                <w:szCs w:val="21"/>
              </w:rPr>
              <w:t>0.01</w:t>
            </w:r>
            <w:r>
              <w:rPr>
                <w:rFonts w:hint="eastAsia"/>
                <w:szCs w:val="21"/>
              </w:rPr>
              <w:t>(L)</w:t>
            </w:r>
          </w:p>
        </w:tc>
        <w:tc>
          <w:tcPr>
            <w:tcW w:w="481" w:type="pct"/>
            <w:tcBorders>
              <w:left w:val="single" w:color="000000" w:sz="6" w:space="0"/>
              <w:tl2br w:val="nil"/>
              <w:tr2bl w:val="nil"/>
            </w:tcBorders>
            <w:vAlign w:val="center"/>
          </w:tcPr>
          <w:p w14:paraId="7FA66FFB">
            <w:pPr>
              <w:widowControl/>
              <w:spacing w:before="0" w:beforeLines="0" w:line="240" w:lineRule="auto"/>
              <w:jc w:val="center"/>
              <w:textAlignment w:val="center"/>
              <w:rPr>
                <w:kern w:val="0"/>
                <w:szCs w:val="21"/>
              </w:rPr>
            </w:pPr>
            <w:r>
              <w:rPr>
                <w:kern w:val="0"/>
                <w:szCs w:val="21"/>
                <w:lang w:bidi="ar"/>
              </w:rPr>
              <w:t>mg/L</w:t>
            </w:r>
          </w:p>
        </w:tc>
      </w:tr>
      <w:tr w14:paraId="6200B97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14:paraId="682B11C7">
            <w:pPr>
              <w:spacing w:before="0" w:beforeLines="0" w:line="240" w:lineRule="auto"/>
              <w:jc w:val="center"/>
              <w:rPr>
                <w:szCs w:val="21"/>
              </w:rPr>
            </w:pPr>
            <w:r>
              <w:rPr>
                <w:rFonts w:hint="eastAsia"/>
                <w:szCs w:val="21"/>
              </w:rPr>
              <w:t>钛</w:t>
            </w:r>
          </w:p>
        </w:tc>
        <w:tc>
          <w:tcPr>
            <w:tcW w:w="355" w:type="pct"/>
            <w:tcBorders>
              <w:tl2br w:val="nil"/>
              <w:tr2bl w:val="nil"/>
            </w:tcBorders>
            <w:vAlign w:val="center"/>
          </w:tcPr>
          <w:p w14:paraId="5755FD52">
            <w:pPr>
              <w:spacing w:before="0" w:beforeLines="0" w:line="240" w:lineRule="auto"/>
              <w:jc w:val="center"/>
              <w:rPr>
                <w:szCs w:val="21"/>
              </w:rPr>
            </w:pPr>
            <w:r>
              <w:rPr>
                <w:szCs w:val="21"/>
              </w:rPr>
              <w:t>0.1</w:t>
            </w:r>
          </w:p>
        </w:tc>
        <w:tc>
          <w:tcPr>
            <w:tcW w:w="721" w:type="pct"/>
            <w:tcBorders>
              <w:tl2br w:val="nil"/>
              <w:tr2bl w:val="nil"/>
            </w:tcBorders>
            <w:vAlign w:val="center"/>
          </w:tcPr>
          <w:p w14:paraId="18E42090">
            <w:pPr>
              <w:widowControl/>
              <w:spacing w:before="0" w:beforeLines="0" w:line="240" w:lineRule="auto"/>
              <w:jc w:val="center"/>
              <w:textAlignment w:val="center"/>
              <w:rPr>
                <w:szCs w:val="21"/>
              </w:rPr>
            </w:pPr>
            <w:r>
              <w:rPr>
                <w:rFonts w:hint="eastAsia"/>
                <w:szCs w:val="21"/>
              </w:rPr>
              <w:t>0.020(L)</w:t>
            </w:r>
          </w:p>
        </w:tc>
        <w:tc>
          <w:tcPr>
            <w:tcW w:w="721" w:type="pct"/>
            <w:tcBorders>
              <w:tl2br w:val="nil"/>
              <w:tr2bl w:val="nil"/>
            </w:tcBorders>
            <w:vAlign w:val="center"/>
          </w:tcPr>
          <w:p w14:paraId="02C1EBC3">
            <w:pPr>
              <w:widowControl/>
              <w:spacing w:before="0" w:beforeLines="0" w:line="240" w:lineRule="auto"/>
              <w:jc w:val="center"/>
              <w:textAlignment w:val="center"/>
              <w:rPr>
                <w:szCs w:val="21"/>
              </w:rPr>
            </w:pPr>
            <w:r>
              <w:rPr>
                <w:rFonts w:hint="eastAsia"/>
                <w:szCs w:val="21"/>
              </w:rPr>
              <w:t>0.020(L)</w:t>
            </w:r>
          </w:p>
        </w:tc>
        <w:tc>
          <w:tcPr>
            <w:tcW w:w="721" w:type="pct"/>
            <w:tcBorders>
              <w:tl2br w:val="nil"/>
              <w:tr2bl w:val="nil"/>
            </w:tcBorders>
            <w:vAlign w:val="center"/>
          </w:tcPr>
          <w:p w14:paraId="647E5B33">
            <w:pPr>
              <w:widowControl/>
              <w:spacing w:before="0" w:beforeLines="0" w:line="240" w:lineRule="auto"/>
              <w:jc w:val="center"/>
              <w:textAlignment w:val="center"/>
              <w:rPr>
                <w:szCs w:val="21"/>
              </w:rPr>
            </w:pPr>
            <w:r>
              <w:rPr>
                <w:rFonts w:hint="eastAsia"/>
                <w:szCs w:val="21"/>
              </w:rPr>
              <w:t>0.020(L)</w:t>
            </w:r>
          </w:p>
        </w:tc>
        <w:tc>
          <w:tcPr>
            <w:tcW w:w="721" w:type="pct"/>
            <w:tcBorders>
              <w:right w:val="single" w:color="000000" w:sz="6" w:space="0"/>
              <w:tl2br w:val="nil"/>
              <w:tr2bl w:val="nil"/>
            </w:tcBorders>
            <w:vAlign w:val="center"/>
          </w:tcPr>
          <w:p w14:paraId="5E7D98AE">
            <w:pPr>
              <w:widowControl/>
              <w:spacing w:before="0" w:beforeLines="0" w:line="240" w:lineRule="auto"/>
              <w:jc w:val="center"/>
              <w:textAlignment w:val="center"/>
              <w:rPr>
                <w:szCs w:val="21"/>
              </w:rPr>
            </w:pPr>
            <w:r>
              <w:rPr>
                <w:rFonts w:hint="eastAsia"/>
                <w:szCs w:val="21"/>
              </w:rPr>
              <w:t>0.020(L)</w:t>
            </w:r>
          </w:p>
        </w:tc>
        <w:tc>
          <w:tcPr>
            <w:tcW w:w="721" w:type="pct"/>
            <w:tcBorders>
              <w:right w:val="single" w:color="000000" w:sz="6" w:space="0"/>
              <w:tl2br w:val="nil"/>
              <w:tr2bl w:val="nil"/>
            </w:tcBorders>
            <w:vAlign w:val="center"/>
          </w:tcPr>
          <w:p w14:paraId="1357444C">
            <w:pPr>
              <w:widowControl/>
              <w:spacing w:before="0" w:beforeLines="0" w:line="240" w:lineRule="auto"/>
              <w:jc w:val="center"/>
              <w:textAlignment w:val="center"/>
              <w:rPr>
                <w:kern w:val="0"/>
                <w:szCs w:val="21"/>
              </w:rPr>
            </w:pPr>
            <w:r>
              <w:rPr>
                <w:rFonts w:hint="eastAsia"/>
                <w:szCs w:val="21"/>
              </w:rPr>
              <w:t>0.020(L)</w:t>
            </w:r>
          </w:p>
        </w:tc>
        <w:tc>
          <w:tcPr>
            <w:tcW w:w="481" w:type="pct"/>
            <w:tcBorders>
              <w:left w:val="single" w:color="000000" w:sz="6" w:space="0"/>
              <w:tl2br w:val="nil"/>
              <w:tr2bl w:val="nil"/>
            </w:tcBorders>
            <w:vAlign w:val="center"/>
          </w:tcPr>
          <w:p w14:paraId="15E3DF78">
            <w:pPr>
              <w:widowControl/>
              <w:spacing w:before="0" w:beforeLines="0" w:line="240" w:lineRule="auto"/>
              <w:jc w:val="center"/>
              <w:textAlignment w:val="center"/>
              <w:rPr>
                <w:kern w:val="0"/>
                <w:szCs w:val="21"/>
              </w:rPr>
            </w:pPr>
            <w:r>
              <w:rPr>
                <w:kern w:val="0"/>
                <w:szCs w:val="21"/>
                <w:lang w:bidi="ar"/>
              </w:rPr>
              <w:t>mg/L</w:t>
            </w:r>
          </w:p>
        </w:tc>
      </w:tr>
      <w:tr w14:paraId="26809A2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gridSpan w:val="8"/>
            <w:tcBorders>
              <w:tl2br w:val="nil"/>
              <w:tr2bl w:val="nil"/>
            </w:tcBorders>
            <w:vAlign w:val="center"/>
          </w:tcPr>
          <w:p w14:paraId="50D8C168">
            <w:pPr>
              <w:autoSpaceDN w:val="0"/>
              <w:spacing w:before="0" w:beforeLines="0" w:line="240" w:lineRule="auto"/>
              <w:textAlignment w:val="center"/>
              <w:rPr>
                <w:szCs w:val="21"/>
              </w:rPr>
            </w:pPr>
            <w:r>
              <w:rPr>
                <w:szCs w:val="21"/>
              </w:rPr>
              <w:t>备注：检测结果小于检出限报最低检出限值加（L）。</w:t>
            </w:r>
          </w:p>
        </w:tc>
      </w:tr>
    </w:tbl>
    <w:p w14:paraId="0B228A2E">
      <w:pPr>
        <w:pStyle w:val="58"/>
        <w:spacing w:before="79"/>
        <w:sectPr>
          <w:pgSz w:w="16838" w:h="11906" w:orient="landscape"/>
          <w:pgMar w:top="1797" w:right="1440" w:bottom="1797" w:left="1440" w:header="850" w:footer="850" w:gutter="0"/>
          <w:cols w:space="0" w:num="1"/>
          <w:docGrid w:type="lines" w:linePitch="319" w:charSpace="0"/>
        </w:sectPr>
      </w:pPr>
    </w:p>
    <w:p w14:paraId="75FE36EC">
      <w:pPr>
        <w:spacing w:before="0" w:beforeLines="0" w:line="240" w:lineRule="auto"/>
        <w:jc w:val="center"/>
        <w:rPr>
          <w:b/>
          <w:bCs/>
          <w:szCs w:val="21"/>
        </w:rPr>
      </w:pPr>
      <w:r>
        <w:rPr>
          <w:b/>
          <w:bCs/>
          <w:szCs w:val="21"/>
        </w:rPr>
        <w:t>4.2-18   水位监测结果</w:t>
      </w:r>
    </w:p>
    <w:tbl>
      <w:tblPr>
        <w:tblStyle w:val="89"/>
        <w:tblW w:w="500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810"/>
        <w:gridCol w:w="1609"/>
        <w:gridCol w:w="2701"/>
        <w:gridCol w:w="1062"/>
        <w:gridCol w:w="1062"/>
        <w:gridCol w:w="1062"/>
      </w:tblGrid>
      <w:tr w14:paraId="5A443B4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488" w:type="pct"/>
            <w:tcBorders>
              <w:tl2br w:val="nil"/>
              <w:tr2bl w:val="nil"/>
            </w:tcBorders>
            <w:vAlign w:val="center"/>
          </w:tcPr>
          <w:p w14:paraId="348DE768">
            <w:pPr>
              <w:spacing w:before="0" w:beforeLines="0" w:line="240" w:lineRule="auto"/>
              <w:jc w:val="center"/>
              <w:rPr>
                <w:szCs w:val="21"/>
              </w:rPr>
            </w:pPr>
            <w:r>
              <w:rPr>
                <w:szCs w:val="21"/>
              </w:rPr>
              <w:t>序号</w:t>
            </w:r>
          </w:p>
        </w:tc>
        <w:tc>
          <w:tcPr>
            <w:tcW w:w="969" w:type="pct"/>
            <w:tcBorders>
              <w:tl2br w:val="nil"/>
              <w:tr2bl w:val="nil"/>
            </w:tcBorders>
            <w:vAlign w:val="center"/>
          </w:tcPr>
          <w:p w14:paraId="42F35B5F">
            <w:pPr>
              <w:spacing w:before="0" w:beforeLines="0" w:line="240" w:lineRule="auto"/>
              <w:jc w:val="center"/>
              <w:rPr>
                <w:szCs w:val="21"/>
              </w:rPr>
            </w:pPr>
            <w:r>
              <w:rPr>
                <w:szCs w:val="21"/>
              </w:rPr>
              <w:t>点位名称</w:t>
            </w:r>
          </w:p>
        </w:tc>
        <w:tc>
          <w:tcPr>
            <w:tcW w:w="1626" w:type="pct"/>
            <w:tcBorders>
              <w:tl2br w:val="nil"/>
              <w:tr2bl w:val="nil"/>
            </w:tcBorders>
            <w:vAlign w:val="center"/>
          </w:tcPr>
          <w:p w14:paraId="0D051625">
            <w:pPr>
              <w:spacing w:before="0" w:beforeLines="0" w:line="240" w:lineRule="auto"/>
              <w:jc w:val="center"/>
              <w:rPr>
                <w:szCs w:val="21"/>
              </w:rPr>
            </w:pPr>
            <w:r>
              <w:rPr>
                <w:szCs w:val="21"/>
              </w:rPr>
              <w:t>坐标</w:t>
            </w:r>
          </w:p>
        </w:tc>
        <w:tc>
          <w:tcPr>
            <w:tcW w:w="639" w:type="pct"/>
            <w:tcBorders>
              <w:tl2br w:val="nil"/>
              <w:tr2bl w:val="nil"/>
            </w:tcBorders>
            <w:vAlign w:val="center"/>
          </w:tcPr>
          <w:p w14:paraId="172F39A0">
            <w:pPr>
              <w:spacing w:before="0" w:beforeLines="0" w:line="240" w:lineRule="auto"/>
              <w:jc w:val="center"/>
              <w:rPr>
                <w:szCs w:val="21"/>
              </w:rPr>
            </w:pPr>
            <w:r>
              <w:rPr>
                <w:szCs w:val="21"/>
              </w:rPr>
              <w:t>井深（m）</w:t>
            </w:r>
          </w:p>
        </w:tc>
        <w:tc>
          <w:tcPr>
            <w:tcW w:w="639" w:type="pct"/>
            <w:tcBorders>
              <w:tl2br w:val="nil"/>
              <w:tr2bl w:val="nil"/>
            </w:tcBorders>
            <w:vAlign w:val="center"/>
          </w:tcPr>
          <w:p w14:paraId="09C25ABD">
            <w:pPr>
              <w:spacing w:before="0" w:beforeLines="0" w:line="240" w:lineRule="auto"/>
              <w:jc w:val="center"/>
              <w:rPr>
                <w:szCs w:val="21"/>
              </w:rPr>
            </w:pPr>
            <w:r>
              <w:rPr>
                <w:szCs w:val="21"/>
              </w:rPr>
              <w:t>水位（m）</w:t>
            </w:r>
          </w:p>
        </w:tc>
        <w:tc>
          <w:tcPr>
            <w:tcW w:w="640" w:type="pct"/>
            <w:tcBorders>
              <w:tl2br w:val="nil"/>
              <w:tr2bl w:val="nil"/>
            </w:tcBorders>
            <w:vAlign w:val="center"/>
          </w:tcPr>
          <w:p w14:paraId="001FAD33">
            <w:pPr>
              <w:spacing w:before="0" w:beforeLines="0" w:line="240" w:lineRule="auto"/>
              <w:jc w:val="center"/>
              <w:rPr>
                <w:szCs w:val="21"/>
              </w:rPr>
            </w:pPr>
            <w:r>
              <w:rPr>
                <w:szCs w:val="21"/>
              </w:rPr>
              <w:t>水温（℃）</w:t>
            </w:r>
          </w:p>
        </w:tc>
      </w:tr>
      <w:tr w14:paraId="6E3D39F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8" w:type="pct"/>
            <w:tcBorders>
              <w:tl2br w:val="nil"/>
              <w:tr2bl w:val="nil"/>
            </w:tcBorders>
            <w:vAlign w:val="center"/>
          </w:tcPr>
          <w:p w14:paraId="06A29353">
            <w:pPr>
              <w:widowControl/>
              <w:spacing w:before="0" w:beforeLines="0" w:line="240" w:lineRule="auto"/>
              <w:jc w:val="center"/>
              <w:textAlignment w:val="center"/>
              <w:rPr>
                <w:szCs w:val="21"/>
                <w:lang w:bidi="ar"/>
              </w:rPr>
            </w:pPr>
            <w:r>
              <w:rPr>
                <w:rFonts w:hint="eastAsia"/>
              </w:rPr>
              <w:t>D1</w:t>
            </w:r>
          </w:p>
        </w:tc>
        <w:tc>
          <w:tcPr>
            <w:tcW w:w="969" w:type="pct"/>
            <w:tcBorders>
              <w:tl2br w:val="nil"/>
              <w:tr2bl w:val="nil"/>
            </w:tcBorders>
            <w:vAlign w:val="center"/>
          </w:tcPr>
          <w:p w14:paraId="25FA7D11">
            <w:pPr>
              <w:widowControl/>
              <w:spacing w:before="0" w:beforeLines="0" w:line="240" w:lineRule="auto"/>
              <w:jc w:val="center"/>
              <w:textAlignment w:val="center"/>
              <w:rPr>
                <w:szCs w:val="21"/>
                <w:lang w:bidi="ar"/>
              </w:rPr>
            </w:pPr>
            <w:r>
              <w:rPr>
                <w:rFonts w:hint="eastAsia"/>
              </w:rPr>
              <w:t>邵家窝堡</w:t>
            </w:r>
          </w:p>
        </w:tc>
        <w:tc>
          <w:tcPr>
            <w:tcW w:w="1626" w:type="pct"/>
            <w:tcBorders>
              <w:tl2br w:val="nil"/>
              <w:tr2bl w:val="nil"/>
            </w:tcBorders>
            <w:vAlign w:val="center"/>
          </w:tcPr>
          <w:p w14:paraId="159CCB92">
            <w:pPr>
              <w:widowControl/>
              <w:spacing w:before="0" w:beforeLines="0" w:line="240" w:lineRule="auto"/>
              <w:jc w:val="center"/>
              <w:textAlignment w:val="center"/>
              <w:rPr>
                <w:szCs w:val="21"/>
                <w:lang w:bidi="ar"/>
              </w:rPr>
            </w:pPr>
            <w:r>
              <w:rPr>
                <w:rFonts w:hint="eastAsia"/>
                <w:szCs w:val="21"/>
                <w:lang w:bidi="ar"/>
              </w:rPr>
              <w:t>42.349422，121.669198</w:t>
            </w:r>
          </w:p>
        </w:tc>
        <w:tc>
          <w:tcPr>
            <w:tcW w:w="639" w:type="pct"/>
            <w:tcBorders>
              <w:tl2br w:val="nil"/>
              <w:tr2bl w:val="nil"/>
            </w:tcBorders>
            <w:vAlign w:val="center"/>
          </w:tcPr>
          <w:p w14:paraId="3B3A6413">
            <w:pPr>
              <w:spacing w:before="0" w:beforeLines="0" w:line="240" w:lineRule="auto"/>
              <w:jc w:val="center"/>
              <w:rPr>
                <w:szCs w:val="21"/>
              </w:rPr>
            </w:pPr>
            <w:r>
              <w:rPr>
                <w:rFonts w:hint="eastAsia"/>
              </w:rPr>
              <w:t>13</w:t>
            </w:r>
          </w:p>
        </w:tc>
        <w:tc>
          <w:tcPr>
            <w:tcW w:w="639" w:type="pct"/>
            <w:tcBorders>
              <w:tl2br w:val="nil"/>
              <w:tr2bl w:val="nil"/>
            </w:tcBorders>
            <w:vAlign w:val="center"/>
          </w:tcPr>
          <w:p w14:paraId="4A1E040B">
            <w:pPr>
              <w:spacing w:before="0" w:beforeLines="0" w:line="240" w:lineRule="auto"/>
              <w:jc w:val="center"/>
              <w:rPr>
                <w:szCs w:val="21"/>
              </w:rPr>
            </w:pPr>
            <w:r>
              <w:rPr>
                <w:rFonts w:hint="eastAsia"/>
              </w:rPr>
              <w:t>6</w:t>
            </w:r>
          </w:p>
        </w:tc>
        <w:tc>
          <w:tcPr>
            <w:tcW w:w="640" w:type="pct"/>
            <w:tcBorders>
              <w:tl2br w:val="nil"/>
              <w:tr2bl w:val="nil"/>
            </w:tcBorders>
            <w:vAlign w:val="center"/>
          </w:tcPr>
          <w:p w14:paraId="7C8DFD59">
            <w:pPr>
              <w:spacing w:before="0" w:beforeLines="0" w:line="240" w:lineRule="auto"/>
              <w:jc w:val="center"/>
              <w:rPr>
                <w:szCs w:val="21"/>
              </w:rPr>
            </w:pPr>
            <w:r>
              <w:rPr>
                <w:rFonts w:hint="eastAsia"/>
              </w:rPr>
              <w:t>7.5</w:t>
            </w:r>
          </w:p>
        </w:tc>
      </w:tr>
      <w:tr w14:paraId="1204B17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8" w:type="pct"/>
            <w:tcBorders>
              <w:tl2br w:val="nil"/>
              <w:tr2bl w:val="nil"/>
            </w:tcBorders>
            <w:vAlign w:val="center"/>
          </w:tcPr>
          <w:p w14:paraId="3DE68616">
            <w:pPr>
              <w:widowControl/>
              <w:spacing w:before="0" w:beforeLines="0" w:line="240" w:lineRule="auto"/>
              <w:jc w:val="center"/>
              <w:textAlignment w:val="center"/>
              <w:rPr>
                <w:szCs w:val="21"/>
                <w:lang w:bidi="ar"/>
              </w:rPr>
            </w:pPr>
            <w:r>
              <w:rPr>
                <w:rFonts w:hint="eastAsia"/>
              </w:rPr>
              <w:t>D2</w:t>
            </w:r>
          </w:p>
        </w:tc>
        <w:tc>
          <w:tcPr>
            <w:tcW w:w="969" w:type="pct"/>
            <w:tcBorders>
              <w:tl2br w:val="nil"/>
              <w:tr2bl w:val="nil"/>
            </w:tcBorders>
            <w:vAlign w:val="center"/>
          </w:tcPr>
          <w:p w14:paraId="4FB2D87A">
            <w:pPr>
              <w:widowControl/>
              <w:spacing w:before="0" w:beforeLines="0" w:line="240" w:lineRule="auto"/>
              <w:jc w:val="center"/>
              <w:textAlignment w:val="center"/>
              <w:rPr>
                <w:szCs w:val="21"/>
                <w:lang w:bidi="ar"/>
              </w:rPr>
            </w:pPr>
            <w:r>
              <w:rPr>
                <w:rFonts w:hint="eastAsia"/>
              </w:rPr>
              <w:t>满汉营子</w:t>
            </w:r>
          </w:p>
        </w:tc>
        <w:tc>
          <w:tcPr>
            <w:tcW w:w="1626" w:type="pct"/>
            <w:tcBorders>
              <w:tl2br w:val="nil"/>
              <w:tr2bl w:val="nil"/>
            </w:tcBorders>
            <w:vAlign w:val="center"/>
          </w:tcPr>
          <w:p w14:paraId="1B279C09">
            <w:pPr>
              <w:widowControl/>
              <w:spacing w:before="0" w:beforeLines="0" w:line="240" w:lineRule="auto"/>
              <w:jc w:val="center"/>
              <w:textAlignment w:val="center"/>
              <w:rPr>
                <w:szCs w:val="21"/>
                <w:lang w:bidi="ar"/>
              </w:rPr>
            </w:pPr>
            <w:r>
              <w:rPr>
                <w:rFonts w:hint="eastAsia"/>
                <w:szCs w:val="21"/>
                <w:lang w:bidi="ar"/>
              </w:rPr>
              <w:t>42.341555，121.691986</w:t>
            </w:r>
          </w:p>
        </w:tc>
        <w:tc>
          <w:tcPr>
            <w:tcW w:w="639" w:type="pct"/>
            <w:tcBorders>
              <w:tl2br w:val="nil"/>
              <w:tr2bl w:val="nil"/>
            </w:tcBorders>
            <w:vAlign w:val="center"/>
          </w:tcPr>
          <w:p w14:paraId="5999C555">
            <w:pPr>
              <w:spacing w:before="0" w:beforeLines="0" w:line="240" w:lineRule="auto"/>
              <w:jc w:val="center"/>
              <w:rPr>
                <w:szCs w:val="21"/>
              </w:rPr>
            </w:pPr>
            <w:r>
              <w:rPr>
                <w:rFonts w:hint="eastAsia"/>
              </w:rPr>
              <w:t>12</w:t>
            </w:r>
          </w:p>
        </w:tc>
        <w:tc>
          <w:tcPr>
            <w:tcW w:w="639" w:type="pct"/>
            <w:tcBorders>
              <w:tl2br w:val="nil"/>
              <w:tr2bl w:val="nil"/>
            </w:tcBorders>
            <w:vAlign w:val="center"/>
          </w:tcPr>
          <w:p w14:paraId="7B343354">
            <w:pPr>
              <w:spacing w:before="0" w:beforeLines="0" w:line="240" w:lineRule="auto"/>
              <w:jc w:val="center"/>
              <w:rPr>
                <w:szCs w:val="21"/>
              </w:rPr>
            </w:pPr>
            <w:r>
              <w:rPr>
                <w:rFonts w:hint="eastAsia"/>
              </w:rPr>
              <w:t>5</w:t>
            </w:r>
          </w:p>
        </w:tc>
        <w:tc>
          <w:tcPr>
            <w:tcW w:w="640" w:type="pct"/>
            <w:tcBorders>
              <w:tl2br w:val="nil"/>
              <w:tr2bl w:val="nil"/>
            </w:tcBorders>
            <w:vAlign w:val="center"/>
          </w:tcPr>
          <w:p w14:paraId="1CA21B79">
            <w:pPr>
              <w:spacing w:before="0" w:beforeLines="0" w:line="240" w:lineRule="auto"/>
              <w:jc w:val="center"/>
              <w:rPr>
                <w:szCs w:val="21"/>
              </w:rPr>
            </w:pPr>
            <w:r>
              <w:rPr>
                <w:rFonts w:hint="eastAsia"/>
              </w:rPr>
              <w:t>7.8</w:t>
            </w:r>
          </w:p>
        </w:tc>
      </w:tr>
      <w:tr w14:paraId="4637742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8" w:type="pct"/>
            <w:tcBorders>
              <w:tl2br w:val="nil"/>
              <w:tr2bl w:val="nil"/>
            </w:tcBorders>
            <w:vAlign w:val="center"/>
          </w:tcPr>
          <w:p w14:paraId="5919317E">
            <w:pPr>
              <w:widowControl/>
              <w:spacing w:before="0" w:beforeLines="0" w:line="240" w:lineRule="auto"/>
              <w:jc w:val="center"/>
              <w:textAlignment w:val="center"/>
              <w:rPr>
                <w:szCs w:val="21"/>
                <w:lang w:bidi="ar"/>
              </w:rPr>
            </w:pPr>
            <w:r>
              <w:rPr>
                <w:rFonts w:hint="eastAsia"/>
              </w:rPr>
              <w:t>D3</w:t>
            </w:r>
          </w:p>
        </w:tc>
        <w:tc>
          <w:tcPr>
            <w:tcW w:w="969" w:type="pct"/>
            <w:tcBorders>
              <w:tl2br w:val="nil"/>
              <w:tr2bl w:val="nil"/>
            </w:tcBorders>
            <w:vAlign w:val="center"/>
          </w:tcPr>
          <w:p w14:paraId="368C9401">
            <w:pPr>
              <w:widowControl/>
              <w:spacing w:before="0" w:beforeLines="0" w:line="240" w:lineRule="auto"/>
              <w:jc w:val="center"/>
              <w:textAlignment w:val="center"/>
              <w:rPr>
                <w:szCs w:val="21"/>
                <w:lang w:bidi="ar"/>
              </w:rPr>
            </w:pPr>
            <w:r>
              <w:rPr>
                <w:rFonts w:hint="eastAsia"/>
              </w:rPr>
              <w:t>孟家窝堡</w:t>
            </w:r>
          </w:p>
        </w:tc>
        <w:tc>
          <w:tcPr>
            <w:tcW w:w="1626" w:type="pct"/>
            <w:tcBorders>
              <w:tl2br w:val="nil"/>
              <w:tr2bl w:val="nil"/>
            </w:tcBorders>
            <w:vAlign w:val="center"/>
          </w:tcPr>
          <w:p w14:paraId="4A16AD0D">
            <w:pPr>
              <w:widowControl/>
              <w:spacing w:before="0" w:beforeLines="0" w:line="240" w:lineRule="auto"/>
              <w:jc w:val="center"/>
              <w:textAlignment w:val="center"/>
              <w:rPr>
                <w:szCs w:val="21"/>
                <w:lang w:bidi="ar"/>
              </w:rPr>
            </w:pPr>
            <w:r>
              <w:rPr>
                <w:rFonts w:hint="eastAsia"/>
                <w:szCs w:val="21"/>
                <w:lang w:bidi="ar"/>
              </w:rPr>
              <w:t>42.331024，121.647818</w:t>
            </w:r>
          </w:p>
        </w:tc>
        <w:tc>
          <w:tcPr>
            <w:tcW w:w="639" w:type="pct"/>
            <w:tcBorders>
              <w:tl2br w:val="nil"/>
              <w:tr2bl w:val="nil"/>
            </w:tcBorders>
            <w:vAlign w:val="center"/>
          </w:tcPr>
          <w:p w14:paraId="62F99886">
            <w:pPr>
              <w:spacing w:before="0" w:beforeLines="0" w:line="240" w:lineRule="auto"/>
              <w:jc w:val="center"/>
              <w:rPr>
                <w:szCs w:val="21"/>
              </w:rPr>
            </w:pPr>
            <w:r>
              <w:rPr>
                <w:rFonts w:hint="eastAsia"/>
              </w:rPr>
              <w:t>13</w:t>
            </w:r>
          </w:p>
        </w:tc>
        <w:tc>
          <w:tcPr>
            <w:tcW w:w="639" w:type="pct"/>
            <w:tcBorders>
              <w:tl2br w:val="nil"/>
              <w:tr2bl w:val="nil"/>
            </w:tcBorders>
            <w:vAlign w:val="center"/>
          </w:tcPr>
          <w:p w14:paraId="1C5D2D7D">
            <w:pPr>
              <w:spacing w:before="0" w:beforeLines="0" w:line="240" w:lineRule="auto"/>
              <w:jc w:val="center"/>
              <w:rPr>
                <w:szCs w:val="21"/>
              </w:rPr>
            </w:pPr>
            <w:r>
              <w:rPr>
                <w:rFonts w:hint="eastAsia"/>
              </w:rPr>
              <w:t>6</w:t>
            </w:r>
          </w:p>
        </w:tc>
        <w:tc>
          <w:tcPr>
            <w:tcW w:w="640" w:type="pct"/>
            <w:tcBorders>
              <w:tl2br w:val="nil"/>
              <w:tr2bl w:val="nil"/>
            </w:tcBorders>
            <w:vAlign w:val="center"/>
          </w:tcPr>
          <w:p w14:paraId="3DA6E1F6">
            <w:pPr>
              <w:spacing w:before="0" w:beforeLines="0" w:line="240" w:lineRule="auto"/>
              <w:jc w:val="center"/>
              <w:rPr>
                <w:szCs w:val="21"/>
              </w:rPr>
            </w:pPr>
            <w:r>
              <w:rPr>
                <w:rFonts w:hint="eastAsia"/>
              </w:rPr>
              <w:t>7.6</w:t>
            </w:r>
          </w:p>
        </w:tc>
      </w:tr>
      <w:tr w14:paraId="05C963D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8" w:type="pct"/>
            <w:tcBorders>
              <w:tl2br w:val="nil"/>
              <w:tr2bl w:val="nil"/>
            </w:tcBorders>
            <w:vAlign w:val="center"/>
          </w:tcPr>
          <w:p w14:paraId="586F070E">
            <w:pPr>
              <w:widowControl/>
              <w:spacing w:before="0" w:beforeLines="0" w:line="240" w:lineRule="auto"/>
              <w:jc w:val="center"/>
              <w:textAlignment w:val="center"/>
              <w:rPr>
                <w:szCs w:val="21"/>
                <w:lang w:bidi="ar"/>
              </w:rPr>
            </w:pPr>
            <w:r>
              <w:rPr>
                <w:rFonts w:hint="eastAsia"/>
              </w:rPr>
              <w:t>D4</w:t>
            </w:r>
          </w:p>
        </w:tc>
        <w:tc>
          <w:tcPr>
            <w:tcW w:w="969" w:type="pct"/>
            <w:tcBorders>
              <w:tl2br w:val="nil"/>
              <w:tr2bl w:val="nil"/>
            </w:tcBorders>
            <w:vAlign w:val="center"/>
          </w:tcPr>
          <w:p w14:paraId="366E8199">
            <w:pPr>
              <w:widowControl/>
              <w:spacing w:before="0" w:beforeLines="0" w:line="240" w:lineRule="auto"/>
              <w:jc w:val="center"/>
              <w:textAlignment w:val="center"/>
              <w:rPr>
                <w:szCs w:val="21"/>
                <w:lang w:bidi="ar"/>
              </w:rPr>
            </w:pPr>
            <w:r>
              <w:rPr>
                <w:rFonts w:hint="eastAsia"/>
              </w:rPr>
              <w:t>胡家沟</w:t>
            </w:r>
          </w:p>
        </w:tc>
        <w:tc>
          <w:tcPr>
            <w:tcW w:w="1626" w:type="pct"/>
            <w:tcBorders>
              <w:tl2br w:val="nil"/>
              <w:tr2bl w:val="nil"/>
            </w:tcBorders>
            <w:vAlign w:val="center"/>
          </w:tcPr>
          <w:p w14:paraId="486E986F">
            <w:pPr>
              <w:widowControl/>
              <w:spacing w:before="0" w:beforeLines="0" w:line="240" w:lineRule="auto"/>
              <w:jc w:val="center"/>
              <w:textAlignment w:val="center"/>
              <w:rPr>
                <w:szCs w:val="21"/>
                <w:lang w:bidi="ar"/>
              </w:rPr>
            </w:pPr>
            <w:r>
              <w:rPr>
                <w:rFonts w:hint="eastAsia"/>
                <w:szCs w:val="21"/>
                <w:lang w:bidi="ar"/>
              </w:rPr>
              <w:t>42.319989，121.659966</w:t>
            </w:r>
          </w:p>
        </w:tc>
        <w:tc>
          <w:tcPr>
            <w:tcW w:w="639" w:type="pct"/>
            <w:tcBorders>
              <w:tl2br w:val="nil"/>
              <w:tr2bl w:val="nil"/>
            </w:tcBorders>
            <w:vAlign w:val="center"/>
          </w:tcPr>
          <w:p w14:paraId="55DAA999">
            <w:pPr>
              <w:spacing w:before="0" w:beforeLines="0" w:line="240" w:lineRule="auto"/>
              <w:jc w:val="center"/>
              <w:rPr>
                <w:szCs w:val="21"/>
              </w:rPr>
            </w:pPr>
            <w:r>
              <w:rPr>
                <w:rFonts w:hint="eastAsia"/>
              </w:rPr>
              <w:t>12</w:t>
            </w:r>
          </w:p>
        </w:tc>
        <w:tc>
          <w:tcPr>
            <w:tcW w:w="639" w:type="pct"/>
            <w:tcBorders>
              <w:tl2br w:val="nil"/>
              <w:tr2bl w:val="nil"/>
            </w:tcBorders>
            <w:vAlign w:val="center"/>
          </w:tcPr>
          <w:p w14:paraId="40A9332A">
            <w:pPr>
              <w:spacing w:before="0" w:beforeLines="0" w:line="240" w:lineRule="auto"/>
              <w:jc w:val="center"/>
              <w:rPr>
                <w:szCs w:val="21"/>
              </w:rPr>
            </w:pPr>
            <w:r>
              <w:rPr>
                <w:rFonts w:hint="eastAsia"/>
              </w:rPr>
              <w:t>7</w:t>
            </w:r>
          </w:p>
        </w:tc>
        <w:tc>
          <w:tcPr>
            <w:tcW w:w="640" w:type="pct"/>
            <w:tcBorders>
              <w:tl2br w:val="nil"/>
              <w:tr2bl w:val="nil"/>
            </w:tcBorders>
            <w:vAlign w:val="center"/>
          </w:tcPr>
          <w:p w14:paraId="361CB145">
            <w:pPr>
              <w:spacing w:before="0" w:beforeLines="0" w:line="240" w:lineRule="auto"/>
              <w:jc w:val="center"/>
              <w:rPr>
                <w:szCs w:val="21"/>
              </w:rPr>
            </w:pPr>
            <w:r>
              <w:rPr>
                <w:rFonts w:hint="eastAsia"/>
              </w:rPr>
              <w:t>7.4</w:t>
            </w:r>
          </w:p>
        </w:tc>
      </w:tr>
      <w:tr w14:paraId="1403083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8" w:type="pct"/>
            <w:tcBorders>
              <w:tl2br w:val="nil"/>
              <w:tr2bl w:val="nil"/>
            </w:tcBorders>
            <w:vAlign w:val="center"/>
          </w:tcPr>
          <w:p w14:paraId="1A07ABF6">
            <w:pPr>
              <w:widowControl/>
              <w:spacing w:before="0" w:beforeLines="0" w:line="240" w:lineRule="auto"/>
              <w:jc w:val="center"/>
              <w:textAlignment w:val="center"/>
              <w:rPr>
                <w:szCs w:val="21"/>
                <w:lang w:bidi="ar"/>
              </w:rPr>
            </w:pPr>
            <w:r>
              <w:rPr>
                <w:rFonts w:hint="eastAsia"/>
              </w:rPr>
              <w:t>D5</w:t>
            </w:r>
          </w:p>
        </w:tc>
        <w:tc>
          <w:tcPr>
            <w:tcW w:w="969" w:type="pct"/>
            <w:tcBorders>
              <w:tl2br w:val="nil"/>
              <w:tr2bl w:val="nil"/>
            </w:tcBorders>
            <w:vAlign w:val="center"/>
          </w:tcPr>
          <w:p w14:paraId="335CBE15">
            <w:pPr>
              <w:widowControl/>
              <w:spacing w:before="0" w:beforeLines="0" w:line="240" w:lineRule="auto"/>
              <w:jc w:val="center"/>
              <w:textAlignment w:val="center"/>
              <w:rPr>
                <w:szCs w:val="21"/>
                <w:lang w:bidi="ar"/>
              </w:rPr>
            </w:pPr>
            <w:r>
              <w:rPr>
                <w:rFonts w:hint="eastAsia"/>
              </w:rPr>
              <w:t>那四板营子</w:t>
            </w:r>
          </w:p>
        </w:tc>
        <w:tc>
          <w:tcPr>
            <w:tcW w:w="1626" w:type="pct"/>
            <w:tcBorders>
              <w:tl2br w:val="nil"/>
              <w:tr2bl w:val="nil"/>
            </w:tcBorders>
            <w:vAlign w:val="center"/>
          </w:tcPr>
          <w:p w14:paraId="07F4EA93">
            <w:pPr>
              <w:widowControl/>
              <w:spacing w:before="0" w:beforeLines="0" w:line="240" w:lineRule="auto"/>
              <w:jc w:val="center"/>
              <w:textAlignment w:val="center"/>
              <w:rPr>
                <w:szCs w:val="21"/>
                <w:lang w:bidi="ar"/>
              </w:rPr>
            </w:pPr>
            <w:r>
              <w:rPr>
                <w:rFonts w:hint="eastAsia"/>
                <w:szCs w:val="21"/>
                <w:lang w:bidi="ar"/>
              </w:rPr>
              <w:t>42.320693，121.681177</w:t>
            </w:r>
          </w:p>
        </w:tc>
        <w:tc>
          <w:tcPr>
            <w:tcW w:w="639" w:type="pct"/>
            <w:tcBorders>
              <w:tl2br w:val="nil"/>
              <w:tr2bl w:val="nil"/>
            </w:tcBorders>
            <w:vAlign w:val="center"/>
          </w:tcPr>
          <w:p w14:paraId="59D7ACB1">
            <w:pPr>
              <w:spacing w:before="0" w:beforeLines="0" w:line="240" w:lineRule="auto"/>
              <w:jc w:val="center"/>
              <w:rPr>
                <w:szCs w:val="21"/>
              </w:rPr>
            </w:pPr>
            <w:r>
              <w:rPr>
                <w:rFonts w:hint="eastAsia"/>
              </w:rPr>
              <w:t>12</w:t>
            </w:r>
          </w:p>
        </w:tc>
        <w:tc>
          <w:tcPr>
            <w:tcW w:w="639" w:type="pct"/>
            <w:tcBorders>
              <w:tl2br w:val="nil"/>
              <w:tr2bl w:val="nil"/>
            </w:tcBorders>
            <w:vAlign w:val="center"/>
          </w:tcPr>
          <w:p w14:paraId="4208F158">
            <w:pPr>
              <w:spacing w:before="0" w:beforeLines="0" w:line="240" w:lineRule="auto"/>
              <w:jc w:val="center"/>
              <w:rPr>
                <w:szCs w:val="21"/>
              </w:rPr>
            </w:pPr>
            <w:r>
              <w:rPr>
                <w:rFonts w:hint="eastAsia"/>
              </w:rPr>
              <w:t>5</w:t>
            </w:r>
          </w:p>
        </w:tc>
        <w:tc>
          <w:tcPr>
            <w:tcW w:w="640" w:type="pct"/>
            <w:tcBorders>
              <w:tl2br w:val="nil"/>
              <w:tr2bl w:val="nil"/>
            </w:tcBorders>
            <w:vAlign w:val="center"/>
          </w:tcPr>
          <w:p w14:paraId="6C1F9E26">
            <w:pPr>
              <w:spacing w:before="0" w:beforeLines="0" w:line="240" w:lineRule="auto"/>
              <w:jc w:val="center"/>
              <w:rPr>
                <w:szCs w:val="21"/>
              </w:rPr>
            </w:pPr>
            <w:r>
              <w:rPr>
                <w:rFonts w:hint="eastAsia"/>
              </w:rPr>
              <w:t>7.5</w:t>
            </w:r>
          </w:p>
        </w:tc>
      </w:tr>
      <w:tr w14:paraId="67B11CA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8" w:type="pct"/>
            <w:tcBorders>
              <w:tl2br w:val="nil"/>
              <w:tr2bl w:val="nil"/>
            </w:tcBorders>
            <w:vAlign w:val="center"/>
          </w:tcPr>
          <w:p w14:paraId="535E51AF">
            <w:pPr>
              <w:widowControl/>
              <w:spacing w:before="0" w:beforeLines="0" w:line="240" w:lineRule="auto"/>
              <w:jc w:val="center"/>
              <w:textAlignment w:val="center"/>
              <w:rPr>
                <w:szCs w:val="21"/>
                <w:lang w:bidi="ar"/>
              </w:rPr>
            </w:pPr>
            <w:r>
              <w:rPr>
                <w:rFonts w:hint="eastAsia"/>
              </w:rPr>
              <w:t>D6</w:t>
            </w:r>
          </w:p>
        </w:tc>
        <w:tc>
          <w:tcPr>
            <w:tcW w:w="969" w:type="pct"/>
            <w:tcBorders>
              <w:tl2br w:val="nil"/>
              <w:tr2bl w:val="nil"/>
            </w:tcBorders>
            <w:vAlign w:val="center"/>
          </w:tcPr>
          <w:p w14:paraId="64709983">
            <w:pPr>
              <w:widowControl/>
              <w:spacing w:before="0" w:beforeLines="0" w:line="240" w:lineRule="auto"/>
              <w:jc w:val="center"/>
              <w:textAlignment w:val="center"/>
              <w:rPr>
                <w:szCs w:val="21"/>
                <w:lang w:bidi="ar"/>
              </w:rPr>
            </w:pPr>
            <w:r>
              <w:rPr>
                <w:rFonts w:hint="eastAsia"/>
              </w:rPr>
              <w:t>四方庙子村</w:t>
            </w:r>
          </w:p>
        </w:tc>
        <w:tc>
          <w:tcPr>
            <w:tcW w:w="1626" w:type="pct"/>
            <w:tcBorders>
              <w:tl2br w:val="nil"/>
              <w:tr2bl w:val="nil"/>
            </w:tcBorders>
            <w:vAlign w:val="center"/>
          </w:tcPr>
          <w:p w14:paraId="4EBE28DB">
            <w:pPr>
              <w:widowControl/>
              <w:spacing w:before="0" w:beforeLines="0" w:line="240" w:lineRule="auto"/>
              <w:jc w:val="center"/>
              <w:textAlignment w:val="center"/>
              <w:rPr>
                <w:szCs w:val="21"/>
                <w:lang w:bidi="ar"/>
              </w:rPr>
            </w:pPr>
            <w:r>
              <w:rPr>
                <w:rFonts w:hint="eastAsia"/>
              </w:rPr>
              <w:t>42.307644，121.692578</w:t>
            </w:r>
          </w:p>
        </w:tc>
        <w:tc>
          <w:tcPr>
            <w:tcW w:w="639" w:type="pct"/>
            <w:tcBorders>
              <w:tl2br w:val="nil"/>
              <w:tr2bl w:val="nil"/>
            </w:tcBorders>
            <w:vAlign w:val="center"/>
          </w:tcPr>
          <w:p w14:paraId="70323378">
            <w:pPr>
              <w:spacing w:before="0" w:beforeLines="0" w:line="240" w:lineRule="auto"/>
              <w:jc w:val="center"/>
              <w:rPr>
                <w:szCs w:val="21"/>
              </w:rPr>
            </w:pPr>
            <w:r>
              <w:rPr>
                <w:rFonts w:hint="eastAsia"/>
              </w:rPr>
              <w:t>15</w:t>
            </w:r>
          </w:p>
        </w:tc>
        <w:tc>
          <w:tcPr>
            <w:tcW w:w="639" w:type="pct"/>
            <w:tcBorders>
              <w:tl2br w:val="nil"/>
              <w:tr2bl w:val="nil"/>
            </w:tcBorders>
            <w:vAlign w:val="center"/>
          </w:tcPr>
          <w:p w14:paraId="50ED8199">
            <w:pPr>
              <w:spacing w:before="0" w:beforeLines="0" w:line="240" w:lineRule="auto"/>
              <w:jc w:val="center"/>
              <w:rPr>
                <w:szCs w:val="21"/>
              </w:rPr>
            </w:pPr>
            <w:r>
              <w:rPr>
                <w:rFonts w:hint="eastAsia"/>
              </w:rPr>
              <w:t>7</w:t>
            </w:r>
          </w:p>
        </w:tc>
        <w:tc>
          <w:tcPr>
            <w:tcW w:w="640" w:type="pct"/>
            <w:tcBorders>
              <w:tl2br w:val="nil"/>
              <w:tr2bl w:val="nil"/>
            </w:tcBorders>
            <w:vAlign w:val="center"/>
          </w:tcPr>
          <w:p w14:paraId="42919FED">
            <w:pPr>
              <w:spacing w:before="0" w:beforeLines="0" w:line="240" w:lineRule="auto"/>
              <w:jc w:val="center"/>
              <w:rPr>
                <w:szCs w:val="21"/>
              </w:rPr>
            </w:pPr>
            <w:r>
              <w:rPr>
                <w:rFonts w:hint="eastAsia"/>
              </w:rPr>
              <w:t>7.5</w:t>
            </w:r>
          </w:p>
        </w:tc>
      </w:tr>
      <w:tr w14:paraId="3624707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8" w:type="pct"/>
            <w:tcBorders>
              <w:tl2br w:val="nil"/>
              <w:tr2bl w:val="nil"/>
            </w:tcBorders>
            <w:vAlign w:val="center"/>
          </w:tcPr>
          <w:p w14:paraId="10A5903C">
            <w:pPr>
              <w:widowControl/>
              <w:spacing w:before="0" w:beforeLines="0" w:line="240" w:lineRule="auto"/>
              <w:jc w:val="center"/>
              <w:textAlignment w:val="center"/>
              <w:rPr>
                <w:szCs w:val="21"/>
                <w:lang w:bidi="ar"/>
              </w:rPr>
            </w:pPr>
            <w:r>
              <w:rPr>
                <w:rFonts w:hint="eastAsia"/>
              </w:rPr>
              <w:t>D7</w:t>
            </w:r>
          </w:p>
        </w:tc>
        <w:tc>
          <w:tcPr>
            <w:tcW w:w="969" w:type="pct"/>
            <w:tcBorders>
              <w:tl2br w:val="nil"/>
              <w:tr2bl w:val="nil"/>
            </w:tcBorders>
            <w:vAlign w:val="center"/>
          </w:tcPr>
          <w:p w14:paraId="3A9B058B">
            <w:pPr>
              <w:widowControl/>
              <w:spacing w:before="0" w:beforeLines="0" w:line="240" w:lineRule="auto"/>
              <w:jc w:val="center"/>
              <w:textAlignment w:val="center"/>
              <w:rPr>
                <w:szCs w:val="21"/>
                <w:lang w:bidi="ar"/>
              </w:rPr>
            </w:pPr>
            <w:r>
              <w:rPr>
                <w:rFonts w:hint="eastAsia"/>
              </w:rPr>
              <w:t>南山</w:t>
            </w:r>
          </w:p>
        </w:tc>
        <w:tc>
          <w:tcPr>
            <w:tcW w:w="1626" w:type="pct"/>
            <w:tcBorders>
              <w:tl2br w:val="nil"/>
              <w:tr2bl w:val="nil"/>
            </w:tcBorders>
            <w:vAlign w:val="center"/>
          </w:tcPr>
          <w:p w14:paraId="683084BA">
            <w:pPr>
              <w:widowControl/>
              <w:spacing w:before="0" w:beforeLines="0" w:line="240" w:lineRule="auto"/>
              <w:jc w:val="center"/>
              <w:textAlignment w:val="center"/>
              <w:rPr>
                <w:szCs w:val="21"/>
                <w:lang w:bidi="ar"/>
              </w:rPr>
            </w:pPr>
            <w:r>
              <w:rPr>
                <w:rFonts w:hint="eastAsia"/>
              </w:rPr>
              <w:t>42.325241，121.631605</w:t>
            </w:r>
          </w:p>
        </w:tc>
        <w:tc>
          <w:tcPr>
            <w:tcW w:w="639" w:type="pct"/>
            <w:tcBorders>
              <w:tl2br w:val="nil"/>
              <w:tr2bl w:val="nil"/>
            </w:tcBorders>
            <w:vAlign w:val="center"/>
          </w:tcPr>
          <w:p w14:paraId="2860CE9B">
            <w:pPr>
              <w:spacing w:before="0" w:beforeLines="0" w:line="240" w:lineRule="auto"/>
              <w:jc w:val="center"/>
              <w:rPr>
                <w:szCs w:val="21"/>
              </w:rPr>
            </w:pPr>
            <w:r>
              <w:rPr>
                <w:rFonts w:hint="eastAsia"/>
              </w:rPr>
              <w:t>17</w:t>
            </w:r>
          </w:p>
        </w:tc>
        <w:tc>
          <w:tcPr>
            <w:tcW w:w="639" w:type="pct"/>
            <w:tcBorders>
              <w:tl2br w:val="nil"/>
              <w:tr2bl w:val="nil"/>
            </w:tcBorders>
            <w:vAlign w:val="center"/>
          </w:tcPr>
          <w:p w14:paraId="24E2CD87">
            <w:pPr>
              <w:spacing w:before="0" w:beforeLines="0" w:line="240" w:lineRule="auto"/>
              <w:jc w:val="center"/>
              <w:rPr>
                <w:szCs w:val="21"/>
              </w:rPr>
            </w:pPr>
            <w:r>
              <w:rPr>
                <w:rFonts w:hint="eastAsia"/>
              </w:rPr>
              <w:t>8</w:t>
            </w:r>
          </w:p>
        </w:tc>
        <w:tc>
          <w:tcPr>
            <w:tcW w:w="640" w:type="pct"/>
            <w:tcBorders>
              <w:tl2br w:val="nil"/>
              <w:tr2bl w:val="nil"/>
            </w:tcBorders>
            <w:vAlign w:val="center"/>
          </w:tcPr>
          <w:p w14:paraId="2BF376E1">
            <w:pPr>
              <w:spacing w:before="0" w:beforeLines="0" w:line="240" w:lineRule="auto"/>
              <w:jc w:val="center"/>
              <w:rPr>
                <w:szCs w:val="21"/>
              </w:rPr>
            </w:pPr>
            <w:r>
              <w:rPr>
                <w:rFonts w:hint="eastAsia"/>
              </w:rPr>
              <w:t>7.6</w:t>
            </w:r>
          </w:p>
        </w:tc>
      </w:tr>
      <w:tr w14:paraId="0C181BA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8" w:type="pct"/>
            <w:tcBorders>
              <w:tl2br w:val="nil"/>
              <w:tr2bl w:val="nil"/>
            </w:tcBorders>
            <w:vAlign w:val="center"/>
          </w:tcPr>
          <w:p w14:paraId="2EFBD0E3">
            <w:pPr>
              <w:widowControl/>
              <w:spacing w:before="0" w:beforeLines="0" w:line="240" w:lineRule="auto"/>
              <w:jc w:val="center"/>
              <w:textAlignment w:val="center"/>
              <w:rPr>
                <w:szCs w:val="21"/>
                <w:lang w:bidi="ar"/>
              </w:rPr>
            </w:pPr>
            <w:r>
              <w:rPr>
                <w:rFonts w:hint="eastAsia"/>
              </w:rPr>
              <w:t>D8</w:t>
            </w:r>
          </w:p>
        </w:tc>
        <w:tc>
          <w:tcPr>
            <w:tcW w:w="969" w:type="pct"/>
            <w:tcBorders>
              <w:tl2br w:val="nil"/>
              <w:tr2bl w:val="nil"/>
            </w:tcBorders>
            <w:vAlign w:val="center"/>
          </w:tcPr>
          <w:p w14:paraId="0D8962C5">
            <w:pPr>
              <w:widowControl/>
              <w:spacing w:before="0" w:beforeLines="0" w:line="240" w:lineRule="auto"/>
              <w:jc w:val="center"/>
              <w:textAlignment w:val="center"/>
              <w:rPr>
                <w:szCs w:val="21"/>
                <w:lang w:bidi="ar"/>
              </w:rPr>
            </w:pPr>
            <w:r>
              <w:rPr>
                <w:rFonts w:hint="eastAsia"/>
              </w:rPr>
              <w:t>庙沟</w:t>
            </w:r>
          </w:p>
        </w:tc>
        <w:tc>
          <w:tcPr>
            <w:tcW w:w="1626" w:type="pct"/>
            <w:tcBorders>
              <w:tl2br w:val="nil"/>
              <w:tr2bl w:val="nil"/>
            </w:tcBorders>
            <w:vAlign w:val="center"/>
          </w:tcPr>
          <w:p w14:paraId="6A9ECBEC">
            <w:pPr>
              <w:widowControl/>
              <w:spacing w:before="0" w:beforeLines="0" w:line="240" w:lineRule="auto"/>
              <w:jc w:val="center"/>
              <w:textAlignment w:val="center"/>
              <w:rPr>
                <w:szCs w:val="21"/>
                <w:lang w:bidi="ar"/>
              </w:rPr>
            </w:pPr>
            <w:r>
              <w:rPr>
                <w:rFonts w:hint="eastAsia"/>
              </w:rPr>
              <w:t>42.360134，121.646003</w:t>
            </w:r>
          </w:p>
        </w:tc>
        <w:tc>
          <w:tcPr>
            <w:tcW w:w="639" w:type="pct"/>
            <w:tcBorders>
              <w:tl2br w:val="nil"/>
              <w:tr2bl w:val="nil"/>
            </w:tcBorders>
            <w:vAlign w:val="center"/>
          </w:tcPr>
          <w:p w14:paraId="69020AF4">
            <w:pPr>
              <w:spacing w:before="0" w:beforeLines="0" w:line="240" w:lineRule="auto"/>
              <w:jc w:val="center"/>
              <w:rPr>
                <w:szCs w:val="21"/>
              </w:rPr>
            </w:pPr>
            <w:r>
              <w:rPr>
                <w:rFonts w:hint="eastAsia"/>
              </w:rPr>
              <w:t>20</w:t>
            </w:r>
          </w:p>
        </w:tc>
        <w:tc>
          <w:tcPr>
            <w:tcW w:w="639" w:type="pct"/>
            <w:tcBorders>
              <w:tl2br w:val="nil"/>
              <w:tr2bl w:val="nil"/>
            </w:tcBorders>
            <w:vAlign w:val="center"/>
          </w:tcPr>
          <w:p w14:paraId="0E6B13E7">
            <w:pPr>
              <w:spacing w:before="0" w:beforeLines="0" w:line="240" w:lineRule="auto"/>
              <w:jc w:val="center"/>
              <w:rPr>
                <w:szCs w:val="21"/>
              </w:rPr>
            </w:pPr>
            <w:r>
              <w:rPr>
                <w:rFonts w:hint="eastAsia"/>
              </w:rPr>
              <w:t>10</w:t>
            </w:r>
          </w:p>
        </w:tc>
        <w:tc>
          <w:tcPr>
            <w:tcW w:w="640" w:type="pct"/>
            <w:tcBorders>
              <w:tl2br w:val="nil"/>
              <w:tr2bl w:val="nil"/>
            </w:tcBorders>
            <w:vAlign w:val="center"/>
          </w:tcPr>
          <w:p w14:paraId="3CE72F8D">
            <w:pPr>
              <w:spacing w:before="0" w:beforeLines="0" w:line="240" w:lineRule="auto"/>
              <w:jc w:val="center"/>
              <w:rPr>
                <w:szCs w:val="21"/>
              </w:rPr>
            </w:pPr>
            <w:r>
              <w:rPr>
                <w:rFonts w:hint="eastAsia"/>
              </w:rPr>
              <w:t>7.4</w:t>
            </w:r>
          </w:p>
        </w:tc>
      </w:tr>
      <w:tr w14:paraId="6E5587C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8" w:type="pct"/>
            <w:tcBorders>
              <w:tl2br w:val="nil"/>
              <w:tr2bl w:val="nil"/>
            </w:tcBorders>
            <w:vAlign w:val="center"/>
          </w:tcPr>
          <w:p w14:paraId="13E89614">
            <w:pPr>
              <w:widowControl/>
              <w:spacing w:before="0" w:beforeLines="0" w:line="240" w:lineRule="auto"/>
              <w:jc w:val="center"/>
              <w:textAlignment w:val="center"/>
              <w:rPr>
                <w:szCs w:val="21"/>
                <w:lang w:bidi="ar"/>
              </w:rPr>
            </w:pPr>
            <w:r>
              <w:rPr>
                <w:rFonts w:hint="eastAsia"/>
              </w:rPr>
              <w:t>D9</w:t>
            </w:r>
          </w:p>
        </w:tc>
        <w:tc>
          <w:tcPr>
            <w:tcW w:w="969" w:type="pct"/>
            <w:tcBorders>
              <w:tl2br w:val="nil"/>
              <w:tr2bl w:val="nil"/>
            </w:tcBorders>
            <w:vAlign w:val="center"/>
          </w:tcPr>
          <w:p w14:paraId="5CD245A5">
            <w:pPr>
              <w:widowControl/>
              <w:spacing w:before="0" w:beforeLines="0" w:line="240" w:lineRule="auto"/>
              <w:jc w:val="center"/>
              <w:textAlignment w:val="center"/>
              <w:rPr>
                <w:szCs w:val="21"/>
                <w:lang w:bidi="ar"/>
              </w:rPr>
            </w:pPr>
            <w:r>
              <w:rPr>
                <w:rFonts w:hint="eastAsia"/>
              </w:rPr>
              <w:t>邵家窝堡2</w:t>
            </w:r>
          </w:p>
        </w:tc>
        <w:tc>
          <w:tcPr>
            <w:tcW w:w="1626" w:type="pct"/>
            <w:tcBorders>
              <w:tl2br w:val="nil"/>
              <w:tr2bl w:val="nil"/>
            </w:tcBorders>
            <w:vAlign w:val="center"/>
          </w:tcPr>
          <w:p w14:paraId="09C6B69E">
            <w:pPr>
              <w:widowControl/>
              <w:spacing w:before="0" w:beforeLines="0" w:line="240" w:lineRule="auto"/>
              <w:jc w:val="center"/>
              <w:textAlignment w:val="center"/>
              <w:rPr>
                <w:szCs w:val="21"/>
                <w:lang w:bidi="ar"/>
              </w:rPr>
            </w:pPr>
            <w:r>
              <w:rPr>
                <w:rFonts w:hint="eastAsia"/>
              </w:rPr>
              <w:t>42.349679，121.670039</w:t>
            </w:r>
          </w:p>
        </w:tc>
        <w:tc>
          <w:tcPr>
            <w:tcW w:w="639" w:type="pct"/>
            <w:tcBorders>
              <w:tl2br w:val="nil"/>
              <w:tr2bl w:val="nil"/>
            </w:tcBorders>
            <w:vAlign w:val="center"/>
          </w:tcPr>
          <w:p w14:paraId="27587F8D">
            <w:pPr>
              <w:spacing w:before="0" w:beforeLines="0" w:line="240" w:lineRule="auto"/>
              <w:jc w:val="center"/>
              <w:rPr>
                <w:szCs w:val="21"/>
              </w:rPr>
            </w:pPr>
            <w:r>
              <w:rPr>
                <w:rFonts w:hint="eastAsia"/>
              </w:rPr>
              <w:t>18</w:t>
            </w:r>
          </w:p>
        </w:tc>
        <w:tc>
          <w:tcPr>
            <w:tcW w:w="639" w:type="pct"/>
            <w:tcBorders>
              <w:tl2br w:val="nil"/>
              <w:tr2bl w:val="nil"/>
            </w:tcBorders>
            <w:vAlign w:val="center"/>
          </w:tcPr>
          <w:p w14:paraId="092207E3">
            <w:pPr>
              <w:spacing w:before="0" w:beforeLines="0" w:line="240" w:lineRule="auto"/>
              <w:jc w:val="center"/>
              <w:rPr>
                <w:szCs w:val="21"/>
              </w:rPr>
            </w:pPr>
            <w:r>
              <w:rPr>
                <w:rFonts w:hint="eastAsia"/>
              </w:rPr>
              <w:t>9</w:t>
            </w:r>
          </w:p>
        </w:tc>
        <w:tc>
          <w:tcPr>
            <w:tcW w:w="640" w:type="pct"/>
            <w:tcBorders>
              <w:tl2br w:val="nil"/>
              <w:tr2bl w:val="nil"/>
            </w:tcBorders>
            <w:vAlign w:val="center"/>
          </w:tcPr>
          <w:p w14:paraId="799543C3">
            <w:pPr>
              <w:spacing w:before="0" w:beforeLines="0" w:line="240" w:lineRule="auto"/>
              <w:jc w:val="center"/>
              <w:rPr>
                <w:szCs w:val="21"/>
              </w:rPr>
            </w:pPr>
            <w:r>
              <w:rPr>
                <w:rFonts w:hint="eastAsia"/>
              </w:rPr>
              <w:t>7.5</w:t>
            </w:r>
          </w:p>
        </w:tc>
      </w:tr>
      <w:tr w14:paraId="19A718E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8" w:type="pct"/>
            <w:tcBorders>
              <w:tl2br w:val="nil"/>
              <w:tr2bl w:val="nil"/>
            </w:tcBorders>
            <w:vAlign w:val="center"/>
          </w:tcPr>
          <w:p w14:paraId="624795F8">
            <w:pPr>
              <w:widowControl/>
              <w:spacing w:before="0" w:beforeLines="0" w:line="240" w:lineRule="auto"/>
              <w:jc w:val="center"/>
              <w:textAlignment w:val="center"/>
              <w:rPr>
                <w:szCs w:val="21"/>
                <w:lang w:bidi="ar"/>
              </w:rPr>
            </w:pPr>
            <w:r>
              <w:rPr>
                <w:rFonts w:hint="eastAsia"/>
              </w:rPr>
              <w:t>D10</w:t>
            </w:r>
          </w:p>
        </w:tc>
        <w:tc>
          <w:tcPr>
            <w:tcW w:w="969" w:type="pct"/>
            <w:tcBorders>
              <w:tl2br w:val="nil"/>
              <w:tr2bl w:val="nil"/>
            </w:tcBorders>
            <w:vAlign w:val="center"/>
          </w:tcPr>
          <w:p w14:paraId="6F51247B">
            <w:pPr>
              <w:widowControl/>
              <w:spacing w:before="0" w:beforeLines="0" w:line="240" w:lineRule="auto"/>
              <w:jc w:val="center"/>
              <w:textAlignment w:val="center"/>
              <w:rPr>
                <w:szCs w:val="21"/>
                <w:lang w:bidi="ar"/>
              </w:rPr>
            </w:pPr>
            <w:r>
              <w:rPr>
                <w:rFonts w:hint="eastAsia"/>
              </w:rPr>
              <w:t>胡家沟2</w:t>
            </w:r>
          </w:p>
        </w:tc>
        <w:tc>
          <w:tcPr>
            <w:tcW w:w="1626" w:type="pct"/>
            <w:tcBorders>
              <w:tl2br w:val="nil"/>
              <w:tr2bl w:val="nil"/>
            </w:tcBorders>
            <w:vAlign w:val="center"/>
          </w:tcPr>
          <w:p w14:paraId="16F17746">
            <w:pPr>
              <w:widowControl/>
              <w:spacing w:before="0" w:beforeLines="0" w:line="240" w:lineRule="auto"/>
              <w:jc w:val="center"/>
              <w:textAlignment w:val="center"/>
              <w:rPr>
                <w:szCs w:val="21"/>
                <w:lang w:bidi="ar"/>
              </w:rPr>
            </w:pPr>
            <w:r>
              <w:rPr>
                <w:rFonts w:hint="eastAsia"/>
                <w:szCs w:val="21"/>
                <w:lang w:bidi="ar"/>
              </w:rPr>
              <w:t>42.319453，121.659890</w:t>
            </w:r>
          </w:p>
        </w:tc>
        <w:tc>
          <w:tcPr>
            <w:tcW w:w="639" w:type="pct"/>
            <w:tcBorders>
              <w:tl2br w:val="nil"/>
              <w:tr2bl w:val="nil"/>
            </w:tcBorders>
            <w:vAlign w:val="center"/>
          </w:tcPr>
          <w:p w14:paraId="4879842F">
            <w:pPr>
              <w:spacing w:before="0" w:beforeLines="0" w:line="240" w:lineRule="auto"/>
              <w:jc w:val="center"/>
              <w:rPr>
                <w:szCs w:val="21"/>
              </w:rPr>
            </w:pPr>
            <w:r>
              <w:rPr>
                <w:rFonts w:hint="eastAsia"/>
              </w:rPr>
              <w:t>20</w:t>
            </w:r>
          </w:p>
        </w:tc>
        <w:tc>
          <w:tcPr>
            <w:tcW w:w="639" w:type="pct"/>
            <w:tcBorders>
              <w:tl2br w:val="nil"/>
              <w:tr2bl w:val="nil"/>
            </w:tcBorders>
            <w:vAlign w:val="center"/>
          </w:tcPr>
          <w:p w14:paraId="78D0CB0C">
            <w:pPr>
              <w:spacing w:before="0" w:beforeLines="0" w:line="240" w:lineRule="auto"/>
              <w:jc w:val="center"/>
              <w:rPr>
                <w:szCs w:val="21"/>
              </w:rPr>
            </w:pPr>
            <w:r>
              <w:rPr>
                <w:rFonts w:hint="eastAsia"/>
              </w:rPr>
              <w:t>8</w:t>
            </w:r>
          </w:p>
        </w:tc>
        <w:tc>
          <w:tcPr>
            <w:tcW w:w="640" w:type="pct"/>
            <w:tcBorders>
              <w:tl2br w:val="nil"/>
              <w:tr2bl w:val="nil"/>
            </w:tcBorders>
            <w:vAlign w:val="center"/>
          </w:tcPr>
          <w:p w14:paraId="7D0A929A">
            <w:pPr>
              <w:spacing w:before="0" w:beforeLines="0" w:line="240" w:lineRule="auto"/>
              <w:jc w:val="center"/>
              <w:rPr>
                <w:szCs w:val="21"/>
              </w:rPr>
            </w:pPr>
            <w:r>
              <w:rPr>
                <w:rFonts w:hint="eastAsia"/>
              </w:rPr>
              <w:t>7.8</w:t>
            </w:r>
          </w:p>
        </w:tc>
      </w:tr>
    </w:tbl>
    <w:p w14:paraId="3A73329B">
      <w:pPr>
        <w:pStyle w:val="190"/>
        <w:ind w:firstLine="482"/>
        <w:rPr>
          <w:b/>
          <w:bCs/>
          <w:spacing w:val="-3"/>
        </w:rPr>
      </w:pPr>
      <w:r>
        <w:rPr>
          <w:b/>
          <w:bCs/>
        </w:rPr>
        <w:fldChar w:fldCharType="begin"/>
      </w:r>
      <w:r>
        <w:rPr>
          <w:b/>
          <w:bCs/>
        </w:rPr>
        <w:instrText xml:space="preserve"> = 5 \* GB2 \* MERGEFORMAT </w:instrText>
      </w:r>
      <w:r>
        <w:rPr>
          <w:b/>
          <w:bCs/>
        </w:rPr>
        <w:fldChar w:fldCharType="separate"/>
      </w:r>
      <w:r>
        <w:rPr>
          <w:b/>
          <w:bCs/>
        </w:rPr>
        <w:t>⑸</w:t>
      </w:r>
      <w:r>
        <w:rPr>
          <w:b/>
          <w:bCs/>
        </w:rPr>
        <w:fldChar w:fldCharType="end"/>
      </w:r>
      <w:r>
        <w:rPr>
          <w:b/>
          <w:bCs/>
          <w:spacing w:val="-3"/>
        </w:rPr>
        <w:t>监测结果与评价</w:t>
      </w:r>
    </w:p>
    <w:p w14:paraId="7069323B">
      <w:pPr>
        <w:pStyle w:val="151"/>
      </w:pPr>
      <w:r>
        <w:t>由表4.2-18可知，</w:t>
      </w:r>
      <w:r>
        <w:rPr>
          <w:szCs w:val="21"/>
        </w:rPr>
        <w:t>地下</w:t>
      </w:r>
      <w:r>
        <w:t>水各污染因子均符合《地下水质量标准》(GB/T14848-2017)中Ⅲ类标准。</w:t>
      </w:r>
    </w:p>
    <w:p w14:paraId="0EB8FE0B">
      <w:pPr>
        <w:spacing w:before="0" w:beforeLines="0" w:line="240" w:lineRule="auto"/>
        <w:jc w:val="center"/>
        <w:rPr>
          <w:b/>
          <w:szCs w:val="21"/>
        </w:rPr>
      </w:pPr>
      <w:r>
        <w:drawing>
          <wp:inline distT="0" distB="0" distL="0" distR="0">
            <wp:extent cx="5274310" cy="3717290"/>
            <wp:effectExtent l="0" t="0" r="2540" b="0"/>
            <wp:docPr id="209478434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784348" name="图片 1"/>
                    <pic:cNvPicPr>
                      <a:picLocks noChangeAspect="1"/>
                    </pic:cNvPicPr>
                  </pic:nvPicPr>
                  <pic:blipFill>
                    <a:blip r:embed="rId54"/>
                    <a:stretch>
                      <a:fillRect/>
                    </a:stretch>
                  </pic:blipFill>
                  <pic:spPr>
                    <a:xfrm>
                      <a:off x="0" y="0"/>
                      <a:ext cx="5274310" cy="3717290"/>
                    </a:xfrm>
                    <a:prstGeom prst="rect">
                      <a:avLst/>
                    </a:prstGeom>
                  </pic:spPr>
                </pic:pic>
              </a:graphicData>
            </a:graphic>
          </wp:inline>
        </w:drawing>
      </w:r>
    </w:p>
    <w:p w14:paraId="69F6A22B">
      <w:pPr>
        <w:spacing w:before="0" w:beforeLines="0" w:line="240" w:lineRule="auto"/>
        <w:jc w:val="center"/>
        <w:rPr>
          <w:b/>
          <w:szCs w:val="21"/>
        </w:rPr>
      </w:pPr>
      <w:r>
        <w:rPr>
          <w:b/>
          <w:szCs w:val="21"/>
        </w:rPr>
        <w:t xml:space="preserve">图4.2-1 </w:t>
      </w:r>
      <w:r>
        <w:rPr>
          <w:rFonts w:hint="eastAsia"/>
          <w:b/>
          <w:szCs w:val="21"/>
        </w:rPr>
        <w:t xml:space="preserve">   </w:t>
      </w:r>
      <w:r>
        <w:rPr>
          <w:b/>
          <w:szCs w:val="21"/>
        </w:rPr>
        <w:t xml:space="preserve"> 环境空气、声环境监测点位图</w:t>
      </w:r>
    </w:p>
    <w:p w14:paraId="35B831F9">
      <w:pPr>
        <w:spacing w:before="0" w:beforeLines="0" w:line="240" w:lineRule="auto"/>
        <w:jc w:val="center"/>
        <w:rPr>
          <w:b/>
          <w:szCs w:val="21"/>
        </w:rPr>
      </w:pPr>
    </w:p>
    <w:p w14:paraId="3BF9094D">
      <w:pPr>
        <w:spacing w:before="0" w:beforeLines="0" w:line="240" w:lineRule="auto"/>
        <w:jc w:val="center"/>
        <w:rPr>
          <w:b/>
          <w:szCs w:val="21"/>
        </w:rPr>
      </w:pPr>
      <w:r>
        <w:drawing>
          <wp:inline distT="0" distB="0" distL="0" distR="0">
            <wp:extent cx="5274310" cy="3646805"/>
            <wp:effectExtent l="0" t="0" r="2540" b="0"/>
            <wp:docPr id="202543520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435206" name="图片 1"/>
                    <pic:cNvPicPr>
                      <a:picLocks noChangeAspect="1"/>
                    </pic:cNvPicPr>
                  </pic:nvPicPr>
                  <pic:blipFill>
                    <a:blip r:embed="rId55"/>
                    <a:stretch>
                      <a:fillRect/>
                    </a:stretch>
                  </pic:blipFill>
                  <pic:spPr>
                    <a:xfrm>
                      <a:off x="0" y="0"/>
                      <a:ext cx="5274310" cy="3646805"/>
                    </a:xfrm>
                    <a:prstGeom prst="rect">
                      <a:avLst/>
                    </a:prstGeom>
                  </pic:spPr>
                </pic:pic>
              </a:graphicData>
            </a:graphic>
          </wp:inline>
        </w:drawing>
      </w:r>
    </w:p>
    <w:p w14:paraId="280B2844">
      <w:pPr>
        <w:spacing w:before="0" w:beforeLines="0" w:line="240" w:lineRule="auto"/>
        <w:jc w:val="center"/>
      </w:pPr>
      <w:r>
        <w:rPr>
          <w:b/>
          <w:szCs w:val="21"/>
        </w:rPr>
        <w:t>图4.2-</w:t>
      </w:r>
      <w:r>
        <w:rPr>
          <w:rFonts w:hint="eastAsia"/>
          <w:b/>
          <w:szCs w:val="21"/>
        </w:rPr>
        <w:t xml:space="preserve">2  </w:t>
      </w:r>
      <w:r>
        <w:rPr>
          <w:b/>
          <w:szCs w:val="21"/>
        </w:rPr>
        <w:t xml:space="preserve">  地下水</w:t>
      </w:r>
      <w:r>
        <w:rPr>
          <w:rFonts w:hint="eastAsia"/>
          <w:b/>
          <w:szCs w:val="21"/>
        </w:rPr>
        <w:t>、土壤</w:t>
      </w:r>
      <w:r>
        <w:rPr>
          <w:b/>
          <w:szCs w:val="21"/>
        </w:rPr>
        <w:t>监测点位图</w:t>
      </w:r>
    </w:p>
    <w:p w14:paraId="4F1478C4">
      <w:pPr>
        <w:pStyle w:val="5"/>
        <w:spacing w:before="156" w:after="156"/>
        <w:rPr>
          <w:color w:val="auto"/>
        </w:rPr>
      </w:pPr>
      <w:r>
        <w:rPr>
          <w:color w:val="auto"/>
        </w:rPr>
        <w:t>4.2.5生态环境质量现状与评价</w:t>
      </w:r>
    </w:p>
    <w:p w14:paraId="5984AFDA">
      <w:pPr>
        <w:pStyle w:val="135"/>
        <w:snapToGrid w:val="0"/>
        <w:spacing w:before="0" w:beforeLines="0" w:line="360" w:lineRule="auto"/>
        <w:jc w:val="left"/>
        <w:rPr>
          <w:sz w:val="24"/>
          <w:szCs w:val="24"/>
        </w:rPr>
      </w:pPr>
      <w:bookmarkStart w:id="203" w:name="_Hlk194570185"/>
      <w:r>
        <w:rPr>
          <w:rFonts w:hint="eastAsia"/>
          <w:sz w:val="24"/>
          <w:szCs w:val="24"/>
        </w:rPr>
        <w:t>（1）生态功能区划</w:t>
      </w:r>
    </w:p>
    <w:p w14:paraId="6222258D">
      <w:pPr>
        <w:spacing w:before="0" w:beforeLines="0" w:line="360" w:lineRule="auto"/>
        <w:ind w:firstLine="480" w:firstLineChars="200"/>
        <w:rPr>
          <w:sz w:val="24"/>
        </w:rPr>
      </w:pPr>
      <w:r>
        <w:rPr>
          <w:rFonts w:hint="eastAsia"/>
          <w:sz w:val="24"/>
        </w:rPr>
        <w:t>评价区域在辽宁省生态功能区划中，一级功能属于“</w:t>
      </w:r>
      <w:r>
        <w:rPr>
          <w:sz w:val="24"/>
        </w:rPr>
        <w:fldChar w:fldCharType="begin"/>
      </w:r>
      <w:r>
        <w:rPr>
          <w:sz w:val="24"/>
        </w:rPr>
        <w:instrText xml:space="preserve"> </w:instrText>
      </w:r>
      <w:r>
        <w:rPr>
          <w:rFonts w:hint="eastAsia"/>
          <w:sz w:val="24"/>
        </w:rPr>
        <w:instrText xml:space="preserve">= 4 \* ROMAN</w:instrText>
      </w:r>
      <w:r>
        <w:rPr>
          <w:sz w:val="24"/>
        </w:rPr>
        <w:instrText xml:space="preserve"> </w:instrText>
      </w:r>
      <w:r>
        <w:rPr>
          <w:sz w:val="24"/>
        </w:rPr>
        <w:fldChar w:fldCharType="separate"/>
      </w:r>
      <w:r>
        <w:rPr>
          <w:sz w:val="24"/>
        </w:rPr>
        <w:t>IV</w:t>
      </w:r>
      <w:r>
        <w:rPr>
          <w:sz w:val="24"/>
        </w:rPr>
        <w:fldChar w:fldCharType="end"/>
      </w:r>
      <w:r>
        <w:rPr>
          <w:rFonts w:hint="eastAsia"/>
          <w:sz w:val="24"/>
        </w:rPr>
        <w:t>辽西北半干旱沙化生态区”，二级功能属于“</w:t>
      </w:r>
      <w:r>
        <w:rPr>
          <w:sz w:val="24"/>
        </w:rPr>
        <w:fldChar w:fldCharType="begin"/>
      </w:r>
      <w:r>
        <w:rPr>
          <w:sz w:val="24"/>
        </w:rPr>
        <w:instrText xml:space="preserve"> </w:instrText>
      </w:r>
      <w:r>
        <w:rPr>
          <w:rFonts w:hint="eastAsia"/>
          <w:sz w:val="24"/>
        </w:rPr>
        <w:instrText xml:space="preserve">= 4 \* ROMAN</w:instrText>
      </w:r>
      <w:r>
        <w:rPr>
          <w:sz w:val="24"/>
        </w:rPr>
        <w:instrText xml:space="preserve"> </w:instrText>
      </w:r>
      <w:r>
        <w:rPr>
          <w:sz w:val="24"/>
        </w:rPr>
        <w:fldChar w:fldCharType="separate"/>
      </w:r>
      <w:r>
        <w:rPr>
          <w:sz w:val="24"/>
        </w:rPr>
        <w:t>IV</w:t>
      </w:r>
      <w:r>
        <w:rPr>
          <w:sz w:val="24"/>
        </w:rPr>
        <w:fldChar w:fldCharType="end"/>
      </w:r>
      <w:r>
        <w:rPr>
          <w:rFonts w:hint="eastAsia"/>
          <w:sz w:val="24"/>
        </w:rPr>
        <w:t>1辽西北沙化控制生态区”，三级功能属于“</w:t>
      </w:r>
      <w:r>
        <w:rPr>
          <w:sz w:val="24"/>
        </w:rPr>
        <w:t>IV</w:t>
      </w:r>
      <w:r>
        <w:rPr>
          <w:rFonts w:hint="eastAsia"/>
          <w:sz w:val="24"/>
        </w:rPr>
        <w:t>1-2努鲁儿虎山沙化屏障生态功能区”。项目在辽宁省生态功能区划中的位置见图4.2-3。</w:t>
      </w:r>
    </w:p>
    <w:p w14:paraId="6535F6E5">
      <w:pPr>
        <w:tabs>
          <w:tab w:val="left" w:pos="0"/>
        </w:tabs>
        <w:spacing w:before="0" w:beforeLines="0" w:line="360" w:lineRule="auto"/>
        <w:ind w:firstLine="480" w:firstLineChars="200"/>
        <w:rPr>
          <w:sz w:val="24"/>
        </w:rPr>
      </w:pPr>
      <w:r>
        <w:rPr>
          <w:sz w:val="24"/>
        </w:rPr>
        <w:t>自然概况：主要山脉为努鲁儿虎山。主要地貌是山地丘陵。半干旱季风型气候。年均气温7-8℃左右，年降雨量350-500毫米，无霜期125-150天。主要自然植被类型有：小青杨、小叶杨、油松林、灌丛、羊草等。</w:t>
      </w:r>
    </w:p>
    <w:p w14:paraId="624D99BD">
      <w:pPr>
        <w:tabs>
          <w:tab w:val="left" w:pos="0"/>
        </w:tabs>
        <w:spacing w:before="0" w:beforeLines="0" w:line="360" w:lineRule="auto"/>
        <w:ind w:firstLine="480" w:firstLineChars="200"/>
        <w:rPr>
          <w:sz w:val="24"/>
        </w:rPr>
      </w:pPr>
      <w:r>
        <w:rPr>
          <w:sz w:val="24"/>
        </w:rPr>
        <w:t>社会经济概况：本区南部经济相对发达，北部地区自然条件差，经济发展较慢。通过农业综合开发，农业生产条件得到改善。矿产、杂粮与畜牧业是本区的主导产业部门。</w:t>
      </w:r>
    </w:p>
    <w:p w14:paraId="560FCCBD">
      <w:pPr>
        <w:tabs>
          <w:tab w:val="left" w:pos="0"/>
        </w:tabs>
        <w:spacing w:before="0" w:beforeLines="0" w:line="360" w:lineRule="auto"/>
        <w:ind w:firstLine="480" w:firstLineChars="200"/>
        <w:rPr>
          <w:sz w:val="24"/>
        </w:rPr>
      </w:pPr>
      <w:r>
        <w:rPr>
          <w:sz w:val="24"/>
        </w:rPr>
        <w:t>主要生态环境问题：本区接壤于内蒙，是全省最为干旱的地区，植被质量较差，风沙严重。山地丘陵及山间坡地，沟蚀和面蚀强烈。北部地区台地及沿河两岸土地沙化比较突出。</w:t>
      </w:r>
    </w:p>
    <w:p w14:paraId="27BE3D7E">
      <w:pPr>
        <w:spacing w:before="0" w:beforeLines="0" w:line="360" w:lineRule="auto"/>
        <w:rPr>
          <w:sz w:val="24"/>
        </w:rPr>
      </w:pPr>
      <w:r>
        <mc:AlternateContent>
          <mc:Choice Requires="wpg">
            <w:drawing>
              <wp:anchor distT="0" distB="0" distL="114300" distR="114300" simplePos="0" relativeHeight="251716608" behindDoc="0" locked="0" layoutInCell="1" allowOverlap="1">
                <wp:simplePos x="0" y="0"/>
                <wp:positionH relativeFrom="column">
                  <wp:posOffset>762000</wp:posOffset>
                </wp:positionH>
                <wp:positionV relativeFrom="paragraph">
                  <wp:posOffset>2257425</wp:posOffset>
                </wp:positionV>
                <wp:extent cx="3267075" cy="2647950"/>
                <wp:effectExtent l="0" t="400050" r="333375" b="19050"/>
                <wp:wrapNone/>
                <wp:docPr id="110192556" name="组合 59"/>
                <wp:cNvGraphicFramePr/>
                <a:graphic xmlns:a="http://schemas.openxmlformats.org/drawingml/2006/main">
                  <a:graphicData uri="http://schemas.microsoft.com/office/word/2010/wordprocessingGroup">
                    <wpg:wgp>
                      <wpg:cNvGrpSpPr/>
                      <wpg:grpSpPr>
                        <a:xfrm>
                          <a:off x="0" y="0"/>
                          <a:ext cx="3267075" cy="2647950"/>
                          <a:chOff x="0" y="0"/>
                          <a:chExt cx="3267075" cy="2647950"/>
                        </a:xfrm>
                      </wpg:grpSpPr>
                      <wps:wsp>
                        <wps:cNvPr id="715781294" name="自选图形 22022"/>
                        <wps:cNvSpPr>
                          <a:spLocks noChangeArrowheads="1"/>
                        </wps:cNvSpPr>
                        <wps:spPr bwMode="auto">
                          <a:xfrm>
                            <a:off x="0" y="0"/>
                            <a:ext cx="1365250" cy="447040"/>
                          </a:xfrm>
                          <a:prstGeom prst="wedgeRoundRectCallout">
                            <a:avLst>
                              <a:gd name="adj1" fmla="val 72259"/>
                              <a:gd name="adj2" fmla="val -131173"/>
                              <a:gd name="adj3" fmla="val 16667"/>
                            </a:avLst>
                          </a:prstGeom>
                          <a:noFill/>
                          <a:ln w="19050" algn="ctr">
                            <a:solidFill>
                              <a:srgbClr val="FF0000"/>
                            </a:solidFill>
                            <a:miter lim="800000"/>
                          </a:ln>
                          <a:effectLst/>
                        </wps:spPr>
                        <wps:txbx>
                          <w:txbxContent>
                            <w:p w14:paraId="14CDF381">
                              <w:pPr>
                                <w:spacing w:before="81"/>
                                <w:jc w:val="center"/>
                                <w:rPr>
                                  <w:b/>
                                  <w:color w:val="FF0000"/>
                                  <w:sz w:val="24"/>
                                </w:rPr>
                              </w:pPr>
                              <w:r>
                                <w:rPr>
                                  <w:rFonts w:hint="eastAsia"/>
                                  <w:b/>
                                  <w:color w:val="FF0000"/>
                                  <w:sz w:val="24"/>
                                </w:rPr>
                                <w:t>本项目位置</w:t>
                              </w:r>
                            </w:p>
                          </w:txbxContent>
                        </wps:txbx>
                        <wps:bodyPr rot="0" vert="horz" wrap="square" lIns="0" tIns="0" rIns="0" bIns="0" anchor="t" anchorCtr="0" upright="1">
                          <a:noAutofit/>
                        </wps:bodyPr>
                      </wps:wsp>
                      <wpg:grpSp>
                        <wpg:cNvPr id="1785584884" name="组合 58"/>
                        <wpg:cNvGrpSpPr/>
                        <wpg:grpSpPr>
                          <a:xfrm>
                            <a:off x="1828800" y="2171700"/>
                            <a:ext cx="1438275" cy="476250"/>
                            <a:chOff x="0" y="0"/>
                            <a:chExt cx="1438275" cy="476250"/>
                          </a:xfrm>
                        </wpg:grpSpPr>
                        <wps:wsp>
                          <wps:cNvPr id="1798639236" name="自选图形 22025"/>
                          <wps:cNvSpPr>
                            <a:spLocks noChangeArrowheads="1"/>
                          </wps:cNvSpPr>
                          <wps:spPr bwMode="auto">
                            <a:xfrm>
                              <a:off x="9525" y="0"/>
                              <a:ext cx="1428750" cy="476250"/>
                            </a:xfrm>
                            <a:prstGeom prst="wedgeRectCallout">
                              <a:avLst>
                                <a:gd name="adj1" fmla="val 72236"/>
                                <a:gd name="adj2" fmla="val -32696"/>
                              </a:avLst>
                            </a:prstGeom>
                            <a:noFill/>
                            <a:ln w="19050" algn="ctr">
                              <a:solidFill>
                                <a:srgbClr val="FF0000"/>
                              </a:solidFill>
                              <a:miter lim="800000"/>
                            </a:ln>
                            <a:effectLst/>
                          </wps:spPr>
                          <wps:txbx>
                            <w:txbxContent>
                              <w:p w14:paraId="656F3521">
                                <w:pPr>
                                  <w:spacing w:before="81"/>
                                </w:pPr>
                              </w:p>
                            </w:txbxContent>
                          </wps:txbx>
                          <wps:bodyPr rot="0" vert="horz" wrap="square" lIns="0" tIns="0" rIns="0" bIns="0" anchor="t" anchorCtr="0" upright="1">
                            <a:noAutofit/>
                          </wps:bodyPr>
                        </wps:wsp>
                        <pic:pic xmlns:pic="http://schemas.openxmlformats.org/drawingml/2006/picture">
                          <pic:nvPicPr>
                            <pic:cNvPr id="1450753216" name="图片 1"/>
                            <pic:cNvPicPr>
                              <a:picLocks noChangeAspect="1"/>
                            </pic:cNvPicPr>
                          </pic:nvPicPr>
                          <pic:blipFill>
                            <a:blip r:embed="rId56"/>
                            <a:srcRect t="8911" r="23143"/>
                            <a:stretch>
                              <a:fillRect/>
                            </a:stretch>
                          </pic:blipFill>
                          <pic:spPr>
                            <a:xfrm>
                              <a:off x="0" y="9525"/>
                              <a:ext cx="1428750" cy="446405"/>
                            </a:xfrm>
                            <a:prstGeom prst="rect">
                              <a:avLst/>
                            </a:prstGeom>
                            <a:ln>
                              <a:noFill/>
                            </a:ln>
                          </pic:spPr>
                        </pic:pic>
                      </wpg:grpSp>
                    </wpg:wgp>
                  </a:graphicData>
                </a:graphic>
              </wp:anchor>
            </w:drawing>
          </mc:Choice>
          <mc:Fallback>
            <w:pict>
              <v:group id="组合 59" o:spid="_x0000_s1026" o:spt="203" style="position:absolute;left:0pt;margin-left:60pt;margin-top:177.75pt;height:208.5pt;width:257.25pt;z-index:251716608;mso-width-relative:page;mso-height-relative:page;" coordsize="3267075,2647950" o:gfxdata="UEsDBAoAAAAAAIdO4kAAAAAAAAAAAAAAAAAEAAAAZHJzL1BLAwQUAAAACACHTuJAsCGANtoAAAAL&#10;AQAADwAAAGRycy9kb3ducmV2LnhtbE2PwUrDQBCG74LvsIzgzW7SuK3EbIoU9VQEW0G8bbPTJDQ7&#10;G7LbpH17x5O9zc/8fPNNsTq7Tow4hNaThnSWgECqvG2p1vC1e3t4AhGiIWs6T6jhggFW5e1NYXLr&#10;J/rEcRtrwRAKudHQxNjnUoaqQWfCzPdIvDv4wZnIcailHczEcNfJeZIspDMt8YXG9LhusDpuT07D&#10;+2Smlyx9HTfHw/rys1Mf35sUtb6/S5NnEBHP8b8Mf/qsDiU77f2JbBAdZ8ZzVUOmlALBjUX2yMNe&#10;w3I5VyDLQl7/UP4CUEsDBBQAAAAIAIdO4kDxJxeBVAQAALAMAAAOAAAAZHJzL2Uyb0RvYy54bWzt&#10;V81u3DYQvhfoOxC8xytq9beCtUFg10aAtDWS9gG4FPXTSqJKclfrnHookObWe2459hWK9m2MtG/R&#10;IfWzP45rN23QSxfYNSkNhzPfzHwzPn28rSu04VKVokkwOXEw4g0TadnkCf76q4tHEUZK0yallWh4&#10;gq+5wo+Xn35y2rUxd0UhqpRLBEoaFXdtggut23g2U6zgNVUnouUNvMyErKmGrcxnqaQdaK+rmes4&#10;wawTMm2lYFwpeHrev8SDRvkQhSLLSsbPBVvXvNG9VskrqsElVZStwktrbZZxpr/MMsU1qhIMnmr7&#10;C5fAemV+Z8tTGueStkXJBhPoQ0w48qmmZQOXTqrOqaZoLctbquqSSaFEpk+YqGe9IxYR8II4R9hc&#10;SrFurS953OXtBDoE6gj1D1bLvthcSVSmkAnEIQvX9wOMGlpD4N/98sPNTz8if2FA6to8BtlL2b5o&#10;r+TwIO93xu9tJmvzFzxCWwvv9QQv32rE4OHcDUIn9DFi8M4NvHDhDwFgBUTp1jlWfHbPydl48czY&#10;N5nTtZCaaoeX+md4vShoy20YlMFgwCskfhgRd+GNeP3+6uc/vn998+a3m1/fItd1XLcHzh4yqBl8&#10;VPtMsG8VasRZQZucP5FSdAWnKdhIjDx4snfAbBQcRavuc5FCUOhaC5toDwGczAPfBYwt4J4XOp7F&#10;e0KNxq1U+pKLGplFgjue5vy5WDfpc6icM1pVYq3tdXTzTGmb4OmQHjT9hmCU1RXUy4ZWKHTdPlWg&#10;CPZk3H2ZR2ROSDg3fh5KzfelSBAEocWCxsO9YPJoqjnaiIuyqqyWqkEdQLdwjJ+0yoHTmJbWZiWq&#10;MjWCFniZr84qicDUBF9cOPAZrjgQq0sN7FaVdYIjIzMKVY1Rwi2jABJjoExsTHGoWG9XW3hqliuR&#10;XkPIpOjZBrgWFoWQLzHqgGkSrL5bU8kxqp42EHZDS+NCjovVuKANg6MJ1uCdXZ7pnr7WrSzzAjQT&#10;62wjnkBqZOVkWm/FkFBQDX0N2xr5yEQSRr4feVE0VcbIJJFB/G8yCYncCCKBkeEMEpKwDwnEYuAG&#10;4s0jd2QVLwxMwtvMuI9U7jg4Vcd/wCkkXETBfOHOJxK+RSp+j+EeR3w8UlkAe1jgB0R3kLtROPHK&#10;BPmE3K5YD3jlQygFkLDBvJtSoKssrBBc/z9b/Hts0ZYshu/AFbC61UTvH/XglF4D0y1PjbZmc1Uy&#10;w5dms2ukxPNhKpi7ZEp66KHvXr9Cth+Osv1JyKySHXVQ1UJijd3zUHxmtgfXrqqyHVuCWQ/uAaUe&#10;TVTvca6f1v5q7EQy5vWKpwmWT1NrPhSnZKaZmtEzWhBomXCXOwfy6RNback1K0x3yaBVGVFIeMjl&#10;6YV1Yme3calvO+PwczR12aq1RfP+evUCz7Escne9SrDCdhVbUL09+/2374ZTFwZF5ok1tDfNLsFS&#10;236GyWxYwyBr/RuGbjMp7++t1O4fjeWfUEsDBAoAAAAAAIdO4kAAAAAAAAAAAAAAAAAKAAAAZHJz&#10;L21lZGlhL1BLAwQUAAAACACHTuJAjP57dkxbAABHWwAAFAAAAGRycy9tZWRpYS9pbWFnZTEucG5n&#10;AUdbuKSJUE5HDQoaCgAAAA1JSERSAAAA4AAAADsIBgAAAGLUhg0AAAAJcEhZcwAAEOoAABDqAYLT&#10;CpgAACAASURBVHicvL3Xj2VJeuD3i2Out5k3vTflu0yXad8z09M9HMcZcqAlAa4AQYCIFQRoIUGr&#10;BwF64YMkQAZ6239gSay4u5R2yaETOb6np3u6urrLm8zKSm/vvXm9PSb0EOdck5lV1cMldBrZmXXO&#10;iYgvIj7/ffEd8d73fiD/6//139JuNelesvuXlPRfAiEEmqZ+g0RKaNZr/PTP/5jd1WXe/NYP+PAv&#10;/y0X33iP9eX7JNLDzJ5+hU/+/t+jGwYjU3O8+Y0fkB4aV2O4Lo+++IS//tf/koULr9Ju1PjdP/zv&#10;CQRDSEATgtJhjk9+/Bfsrj0lEAhSyO4wuXCOi6+/RyI9SLvV4Gc//FOsdourb/8W0mny5M6vWX18&#10;nz/8H/9PHAf+6l//S8KRGLmdDQZGxrj+3ncxzBDRaJJHX/wKy2pz91c/IppIYhgmrUad4ck5zlx5&#10;g5//xZ9w473f5uq738S2HZ49us2dj/6e3/r9PySeHGDr2RPuffoznnzxMbZtMzo1x9TiOc5dfZvD&#10;7B4/+/M/YWRyFoRgYvYUxewek4vnuHDtHW798u/45Q//lG/+wT/js5/9Ne9++/e4+Yu/Yf7cFd75&#10;9u/RatQxAga760v8/Z/9CT/4L/4FAV3QrJWwHIdbv/wxj2/9ivkLVwkEQ9RrFdqtFq+999u0mnU+&#10;/8XfMDI1TyG7S6vd5Nzl1/n8w/+Xb/3Bf0mjUuRH//e/IpUZo1oukBmdZHBkjHAsxvDELMV8lt31&#10;FQLBCJfeeo/tZ09Ye3KXr37vnxJPDvThSgc/NBAI9USCEBJXen/3vC57/iEEuFKAEOhCokkX20W1&#10;67tkd0TZ+Z/Xh0DTNIQQSOnjbn8HPjprmgBEH55LKUEovO550mknhEAI+tq4xwHsGVMgpXt8fUT3&#10;R586dfaP3vit38e2bUB2gFedCITQPGKj08gfQ2jqnnQFzWaD7N4GkXiacCSBGQwRTw0QCIYJRxMk&#10;BjMEgkFMM0BmbJrx2dPohonrOriuS7VUIBKNoWs6o3OLTMyfRtN0BBKJpF4p0KiWmJg7TSgcpdVs&#10;oBs6h/vb6IZOMBRFSpvRqWki8RjBUJDR8Rk0zWRy4Rzba0+IxJJceuvrFPP7mIZJIbtHMZclEo1h&#10;t9uMzS4yMXea8ZlFHMvCDEY4d+UtZs9ewrIsJqYXSaQH2d1c5c5HPyKZznDxjfeolYvsrD4mFE0w&#10;OnOKM6++QTozSrVcIDk4gmkGAMno5BwzZy4SicbJbq8ze/YSQ+NTmIEAzUaNyVPnqBQOiMZTVIp5&#10;RqbmyIxOsvr4DrsbKxSy+1itGtKx2F1fplYpYphBjEAIMxjCDARwpaReKXH+2tuEYwmGJ+eYPXWR&#10;UCxBu1ln7sxlsjubtJsNLtx4B9d1yB/skR4aJTmQITM6SaVcpHCwQ3poFCmgViowMDyG1WwgAMMw&#10;cWybgaFRD196iUCia8LDbekRjOz8jZAIzf+tmKvQAA0ELhIbIW2QEikFSNFDJ7JnrH5E9gnKo6EO&#10;nrqu9PBZePAdJT7ZwXchFOPw3zsqfHQN0LrtfCLsJWR1r/u8Sz+iAzPQuSfe/s7vyv/u//gzWs26&#10;16B/ACG0nkWW9MLkd+I4LrZt0W7U0XQD17XRdQNXumhCAwSBYJhAMNjpw3HsvnE0XVdjAZoucFwL&#10;6XqTk2oThRDoukGrUadUyNGoVXAch4HMKGYgiG21CEXDmIaOkBIklItl9ECEUiFHOjNMMJKg3WyQ&#10;39+mVi5gBkKkhkYQAiLRJMFwBNtqUynm0Q2DeGoQ27KoFA8JBEKYoSDNRp3c7hZDo2PEUhmKh1nq&#10;pQKZsWnq5QKOdEkNDlOvVdB1HduyyO/vEI7GFVI7FpVSnngqQygSodVsUq+WCIRCOLbNyMQEuf19&#10;cCXhaIzDg11sy0I3NDRdw2430YUgGIwQjKYwAhEqpSLZnXWcdptoKs3w5ByGYYAmcC2Lva1VYskB&#10;Yok0u5srBAIhMqPjtJtNcntbaIZJKBwFoHCwgxkMMTAyjus41Ctlb69cTwIIItEEkUSqB1/oIrgu&#10;+hDxqBLVbdJFSCHAdR2ktNFwwRU4ro6Lwok+0dOHm11C6Uo39cx1Ja7roohLO4Lf/X31wuhLuqME&#10;qAkBmtdGgisl0u22Pb4Woo+eeqVlR6C9+93flf/N//bvaLcanUaapnUA86n7JAL0N6P33T4ghKeG&#10;uC5SuvjMQnS4Vz+36ExU6x26q+aq/j0YdR2hqc1xHcdbExcpbYR00CRoQkMKg2bbVZ1KFxDomoam&#10;G2i6hnRdHMcB4XFLT1fS1C4qFUKqDfTVFE1oaKaBdBxc1wE0hKbhurYaE4mQah2lB7vQNbUGjoOm&#10;CXRDx3VdXCkV09E0XOmqcRwHoWtKjZMumq77LBnpOggcdCHAgbYtsVyJpusYhqnG7zA4t7OQQlfj&#10;ScdB1w21p66j1lDrzg2keu71ISUIHx+kj/i+dHGP7R34mlH/vS6Sdt7q60sIBY+UDpqQ4AosR+Ai&#10;0Hy86iB0L27KYwTY7VeeMC7H3u1VVX2BcxIBCqHm5reXUuI6vUSlebQDJ9HPSf0ZCnG6eqrW0XM1&#10;T/KcDDQohPUn1tFMfWmFh+94Wru/SC5K/RD6EUC7nbvSI7Qe6S5E9x0pJY4tPWL2nkmBlA5Sys4C&#10;CgGO4yrCdNyOOiAB6djYjuhaFLIHYKRHWP7gHcA9bcDFabe7vEe4OLYDSBzpIgFd03BlF15pKYkv&#10;hcc5bdntG4/7A1I6HjLKzjPp2mpFpUS6LgJXcXl8bADpODiuxNFEVzLgcziJa1udFXYcyxtaIF0H&#10;eueKxHbb3T131ZiIfg6u6zrPv46rZf1S7zgu9RmIPRqi6OnP31Nf1XzR+F1V1O/lhQ2eS6jPe+/4&#10;1W34m8Bo+BzQ50TS60jr/N1D4RyfhpSyo4qq993OSwoJQEiB9FZd9Cxur27uA9WlZIWsCgrh87rO&#10;+z4snTsdg77XkO5KTAWP6GmhqFf0wiC0HqO5y0GF90z4Et0fp2dlhCdghTgyI9l9p7u6R3dZAeLz&#10;mH70Fd019OYp8DHLm59nc8kelad/1/qB8WGSuD3aiOh5rZer+3MWL0VOf7hepcZHxi6DPgnZfYC6&#10;+6D5/gWPGfchzkuuXvi1HnWq3zY7KjF5af/y2P71rsmXXJ8OjKpHQxMauiaw/QGki3SVOextV88E&#10;XDU5TUPzvVzeuij1skuyErWAvhTz7zuOrZoYojOdeqUEwlPDXIdwJAa6huhsSJeIyoU8mq4TjSX7&#10;kE34ZCo0NF0oSS7V+JrrIjUN4RF1u9Wk3WpgBoKeZqVsWN0wCATDCKFhW22k66IbAYQmaLXqtJsN&#10;ovEkumF2Ja2mUa+UaLdbhCIx6pUS4UiMUDQGfeSq/nZsZU+GwhEi8bgCSPgz8GYjNKqlAq5tEUsP&#10;KGnjLaArJa50EGhongQUHnJZloXr2ARCYXRNP6IEPR8JurZU79uyQ3zH2IXwieMEFu+bKtBH1L39&#10;HlXP+toKqfYOTdlcQtBLG71OmBdfvZD3jq3+fcRSUg6fztxe0GufGt41pU565yicJ0l+Q6k9Lvsb&#10;KxzsbhAMR3Esi3h6gOGJOUr5A8rFPENj05iBANvPnpAYyGC329Rr5c6A9UqRdGaM+QtXyW6tsr/1&#10;TDliHF+9UQZxs14lmRlm/sxl9EAQpOTJnV9jGCaBSJTiwS6X3nyPcCyGFIqQ6pUCjXqN5MAwj7/4&#10;hEAozOyZi5QPDxgYHieWGqBZq3J4sEOzUUEIiSZRhGS71OsNpk+9QjSRwjBMVh/d5dmDW4zNnkIA&#10;tm2R291kaHyaU5deIxiKkNvdIr+/xcT8WZIDGbI7G6w9vsulN75OcnCos/i6afD49q/I721z5e1v&#10;cPujH7H4ynXmL7zqzV0hQqWYo5jbwzACPPjsQ6ZPn+fslTc8m6K7SS5gmCZPvviY8mGON37rdwjH&#10;4rSadUwzgOtY7G2u0CgViScHcdFwXGWP1SolHNtm4fyrhKPxHlHTi3xd4ulFnqN2VNfD2ItYR6Xj&#10;i1SybhvRQweiZwy1Mj0Mvm8gJdmFR69d6XXy+P1wiB4mAULIHonc7/jpb+tBJF9MhN3xfd+A348P&#10;Xy+TkD3PjvWAoSbrsvn0IR//6D8wMX+GYm6PqYXzDA5PsrO2zPrSfW68912SmREe3volg6OThKMx&#10;mvUqVqvF5tMHlA4PuP7e91m8eI1qKc/O6hJCE6w9voMZCFErFRienCcSTyrCdCWGt7C53Q3C0QSh&#10;Vp2N5fucefU1rHaTUDRKJJakXqty/5OfkR4eJ7e7RSgSo1GrsLu6zOsffJ94apBGvcre5gqF3B52&#10;q8n6k/uMzS4SiiRoNVsMjEwQTaTQdYODnTU+/fGfs/DKdTShYbVb7G2ucOntD1h85Tqu69Ju1dnd&#10;WKFRrzI6NU+9UiK7u8nO+jLBSJhgKIqm6dTLRZbufEooEkPTTXIH24yW59nfWkXXDVKDI+imwdqT&#10;uzz+/GPOXXub3P4W6aERGrUK+YNdRiZn0TSNnbUlKqUiifQg93/9c0qHWTIT04QiMYq5PSZmTzEw&#10;NMz6k0esPb7L6YvXicTTCN1ge3WJerXC9KkLCsF6HAtSHrdHuq57hRxd+84nvF6p+Hwq61dde9/t&#10;UfV5ObHKrq7vwes57Tjq1Oi0OIL4dMZSsUB1R4UhPA1DqP46mpOUR4hP/e5KN7//HtNKnDzn4/30&#10;rsHxifuMwHBdF93QiSbThMIRRqfmCQRCWO0Wtt0mGI4wOjVLanDEkzyXaDaqzJx+hXgqw6Nbv2Rn&#10;bYl3fvsPmD93Fdd1SWVGGRiZoF4p0m42FKJWSwghSKaHGByZpN1qsL50j1J+n40n9zh15Q3lSZQu&#10;a0/usf7kHte++i1mz10mkc5gBsMs3/2UdqOBGQpjGCYDw+MEgmFcxyaeGuD0ldexrRb1coG1Jw9Y&#10;PP8qk/PnsF0IhKK+Xox0HBAaoXAUoelouoFhBgiGI2iGSW5vg9zuJvHkAKX8Act3bzK1cBYhYPPp&#10;A3bXl7j2le8wND7J6sM7PHt4m2//0/+KaDzpSc9Nnj26zeL5q6QGh2k16hxsr9OolamVDqkcZtnd&#10;WCEQjpDf2yIcjZJID9FutbHbTfJ725QLeQ73d9lYesjMqfOYhqk2UoCua8STKXRdx3Vs0oMj3Nnd&#10;JD00xuKFq4Qi0SMc92QE6Nq5XQTyba9e2/kkInyezSTRgK5TR0mJfrv9GH4egUv6hrDXSr6AAZx0&#10;+bB3ia9776hN2k88J89PMY9e/0C/9Oyq8mpNjzOik21OIcDw/R6arqNpGpFonPDcaZbv3WRvY4VW&#10;s0ZmbIpgOMLhwTbNeoWd9SUm5k6Tyoywu7qEGQhx8fX30D3O02422Fy+j6bpmIEQumGiGybtZp2t&#10;Z4+JD2QYHJvohBLwsxdcycHWGrFkmnRmlEgihWO12Vl/imW3iKUGebr5GQhNEYSukd3fIpZK0azX&#10;qJYPka5LvVKi2ahTKRxSymcpFYtkdze58fXvYQaDBAIhJufOMrVwHikkVqtNo16hVi7hWG2E0Cjk&#10;djnYWkdoOo5tdYh0eGKGx198wtrjuwRCQe588hPKhweEo3GEEFSLh6zcv8W5q28xNDGDYZjsbj7D&#10;are4+PrXiMZTmMEwoXCURDpDcmCIcCRGIBhk8ZVXsdttPvnxDxFCcP297+C6Ns1GlTOXXiOaTOE4&#10;bRCCaCzBwPAoj27f5ObP/xZNN1m4cI1ILNmHYL0IePTqd793uXI3cOwTYa87/0io6SjiAgiNEwm0&#10;Q4HHbUNfnVPeZtdzyPSqis+TtEdtTXW5XjjpWOD7BNiONn/e/PrNhaPte+H1VdmTmFb3klJi+OJa&#10;CDWlQDBIMjPE3Y9/wt7mM0LhCMm5MximSSgSJZZM06zXsNst1YsmiMTjKuDucQDTNAnHEkSicYxA&#10;UKUsScno9AKtVgPDNAlHYsyfvYzjvkJ2dwMjEAQgHI1x+uJ1Zs5eIhhS0k0TgqGxaQLBINmddYKh&#10;CIsXr+HH6FqNBqV8lsP9LaTr0qiXqVfL5A920A2TarVKvVKi1WgQCFTRTZNkZpj8wTbZ7XWiqQHi&#10;qUGk49CsVxkcHmfxlRscbK6R3dngtfe/R2pwmPz+FpZt4boO8dQA2Z1NSoUck4vnka7D/s462Z0N&#10;hsamuP617zA0NkWr2aBayBNPpEkOjiCRaLqBbhg061Vc1yUYPoNAkD/YYen2p+xvrBCKxmi3W2RG&#10;J1i++xmrj+5w+vINTl+6hiZUHHRsZoH15Scs3/2U89e/wsDwuIoZdhDkZCTtT9XqR6ougfVjy4uI&#10;7hiCiaOI2ffWCQjfJWxlEfm2c7dN//telkxPeOIonEdt1f659Y+tbL4Xz08tyclz8R04J8N7Moy+&#10;1mF0BvY5haGTHhokGI6yv7XG6NQ8wVAEoWmkBkewrTarj++g6QbtZoN2q4kZCHrBWhAIlUImYXdj&#10;hbGZRaYWzvH0/k2W7nyCGQwxtXBOgSZUTMqxLOUU0DQGRyYYnzuD61ocHhTQNJ2Htz7CdWyklOS2&#10;1wmEwjx7FMexLexWCyElkwtnSWcyIF2q5QL3P/2QyfnTTM2fx3YFmqkk2PryQ6rlIvFUmmqpyPb6&#10;MhPaaUam5ilm91i+d5Ozl9/gcG8L13F45bWvcPry6xT2dyhm99hceczs6YtMLZ6l2Whw5a0PePz5&#10;R6w8uIXjKr/ua+/9NsPj0xxm94jEEoxOLxCJJ6gUD7GsNla7hdVqKuai6Wi6TqtZY/3JfUr5A4KR&#10;KI5jk9tZ58qb72EGAhxsPiPuOZEEGq7jkN3eoNGocunNDyhkd3l6/zOuvvtNzEDAQ0LRQ4ZdJNA0&#10;5ThwXbdPfeqqnceJz3dMnOxMOIauHEGr47gpjz/3CUX6sLygf/w4VQ+Rd8JhUnpE2kt8x4msd17w&#10;ZeYmOtJNNVDq8cnaRb9k7A2BdbUKF8O3cV3bwbZtHMchFEmQHMjw9P4tJuZOY4YiCCFoNWqsLz0g&#10;v7dNdneT9aX7PP78V9z4+vdoN+pqrGAYKQS5vW2Kh/tcefsDBkfGufrut1hfus/hwQ4CjVajztbq&#10;Y9aX7rF891NefeebBENhbNum3apz8GyD/N4Wb33zB5y/9hYCges2qBTyhGMJLlx/F93QQUrSQ2Mk&#10;BjLouoYQLoFwiFA0RmpwmMGRCWypgQZWyyIcSzAxfxrDDHB4sENub4uJuTMsvHKNeqVEJJZAIll9&#10;fAeJy7WvfJNoIk3xYJdWq0k6M8rr73+fYDhGOJZicu40N3/6QxLpDGevvU2tXEAzDGqVQ+5+/GMu&#10;vfl1BkcmiMYTDIyM06hVSaQHyYxNcuriDVzHxrEsjEAQISS5/W1iqQEyo5MEQhE2lh+A0KhXq8RT&#10;Ayp0IuBgdxOAodEprn3lu9z75GcU9neoFg9JDY928dIjQh8ZtE6mh0IGty9XuIfQelC9n4OLPtX1&#10;GIqqTGyv/xOuI3aQ+t2LnLLj+YQXUWH3mU9cvTE/Tes6YPrit0cM0V4792UMxo9H07HnXuScOi4Z&#10;e7Ns/DU1XBdabZtKKY9jW1TLJVxXZ2LxHHtbawyNTxMKRxDA2pP7rDz8gtkzF9l8+ohSfh/bdSnk&#10;9vjpD/+YcDjGhdfeRUpBrVbGti1WH99hfek+riupV9U9zdCp1yoc7GwoiTd/hkAojBkIUsjucveT&#10;n7O+dI9QMET09/9zZs9eQgiBY7dZunOHWDLN7JmLBIIhz0UtEXTSbpRXz3E7aWUqG1+gBUxGJmZx&#10;cdE0jWAoRGJgiKGxaaYWz+HYFrqu4zguicEMjutg2TZLtz/l4ee/ZPb0Ra68/Q2Gx6fVWF62SzgS&#10;Z/78VRbOX+Szn/4ly3c+pVYu8vT+LQZGlFpotVsgoVGvAtButSgXcuT2tigfHnD21Tcp5A7QdQNd&#10;0zHCEeYuXOXRzQ+9hPY4tm3jShfLsbCsNqnBEYYnppGuy+zZK+T3N3ly99e88vpXiSVSiJ6cAj94&#10;70sXpB+kdjsnFfwFlF7WTwdh+1RU760XIurJd6WURyi7V1L22GZeOp+iRK2vUwkqz7fnUqkJXQ1M&#10;TdWbWze5qQuz54zrdns03PI85tI7OaHgk92HPm13AvZHuxH9oR2haRj+Ys+cucjAyASx5AAIwZnL&#10;rzMyOUd6aBShCRzXYXRmnvTIGInkALVKifWnDxmZXqDVqJHf3WRkaoH00CTZnVVOXbrB5PxZRiZm&#10;caSN0HQqh3nyu5sMjk+THh7lxnvfVUFtoRFPphken6GQ26NRrTA6Oc+pS9ewWyop2wVcVyOezhBN&#10;pBEIpON2HWm+/QAIzWRgdAIzGsHRPS7vebmFoaMJAwEEwlGGJ2eIpQY8b6hig7qhceryG2wu3+fJ&#10;7U/QNIPXP/hdxYyiMTUWLtJ1MEIhJhfPMTQxTTAS4/Lb32Br5RHZ3U1OXbrB4MgEuf0tT/IrGCfn&#10;T6PpOquP72JbbUKhCKYR4PpXvwvAyv3Puffpz2jUP6TdajExd4bz194hlRnCtlrEE4NkxqZpuw67&#10;22vgKsxwHBvDDCr7Qmgg/JMIdH2J0kFKP5GiR//yPI8+AvloLbsL3FELpadWHbMg+1x9og8Bj2c9&#10;CU+F83oSap86aqimKc+jkD3jeNJKdD2lfnsHF+mToQDXYzgdIhHgdgKKPYq5dwDAH6GXF3UFs+hJ&#10;tOpKa6REdqYpO/B1VAjREypB4mFNJ8FEIBBf+f4/kf/t//5vaDbrdG0BL8n5mJHuP1f/dmxL/Tg2&#10;rmtj6EGCkRiW1cKxbcxAEMMwu124EtexQWgqfcrbJKvdQGg6umFitxu4to0mdIxAwEsc9niKlDRq&#10;FXTDIBSO0NWv/TlLwMV2HCrlQyKxOLoZBLcbB+twSMC2bZrNOoYZ9I4MdfHRdRwc20J6CdIdO9d3&#10;2Xtc1rbaWK0moUgU3TCwLQvbauA6EqEZGKY6ciU9Vix8aeR2iUPTdAzT7KgoVqtBq1VTq65pBAJh&#10;AsEIQlM5o1a7pfI5hVBn6HpUHU3TMMxAN8HakwB+ErGCoSdlrSOVfDTqv3zJ2RdKkKg4XY/rHYE6&#10;t9Cba/bCqz8gLjRf8qh+XXlUPe5RF/vgptNH79w6U/IWoMtIugy7HwbfMeJ2CbtHOoMneXvmJpH0&#10;gnjUxpTukQCKh3e9Yxroynup6T0ivPv+sQwDvMkLIdCNALoZ6JKntzGGYWKYQZVK5IPqI4JhKInm&#10;q4eAGQgpe1oIzFAErcOGjvA+IYjEEt0F7SyS6ARyJaDpGsmBIdxjhyE7U0BKFXqJROMn4otuKOLx&#10;uWUnU6SnD0ARbzAEXjBb0w0CRqznmIrE0I1+ZDtmQvVsqpTe+b5wnxHfgUEIzGAQUwRxAen6BPgc&#10;pO+Zb7+a1TOuoONQ6DQTgqNBcH+N3Z718GUmUuCKLrQvv3z7TIMevFYk2LPOnX3+kr32CQ3paUby&#10;iPD1jyb1wyKlVEKnV1PtmT/yBXM74cGxHZH970kpMeg1UH/jq6sG+B2q3121wr/fOc7k0uFsogd3&#10;lKbgq0snL/jRJOEuYtBp12+zHJ91BxG95i/NzuhFvqN9+LaDv3mu23nXR3DlDOhyPFBnOrWXoKnf&#10;h+gxJtS6gOMBLvvm5atUXw5Rj6KHf2zKv3ytotu/69nWnirnM5IOZP5RLfFSAuyFVXoZ7ML1VObe&#10;/XsBTzm6b0cZTO++HZ9Xj2CQrvcbjwC7Y/gY5gfgNV97+Ue8tO4wX5Z3nfyeOobklxB4HuJ2M/o7&#10;HP2kRe5ZSZXwrCsbTes/AiN8kSelyhvUtD4JpUIihnI8aL53rmfyXvIBsuuG77cB/NhmL+Erz6v0&#10;VUihYnK+3dTLbLxRjhPFUeTpvSW7qotE9PSn9DT/bIhAJZv/RtzzOe8eRdLuPQWFClf4mOlxLbd3&#10;vl1Nw5Wyb89PGuvEe1L2iL6XX8/D1JdisOQI0SmBoKYkPUbjdubfq3X2MbwvD+oLL6NXlehXPo9D&#10;7tOWsou894R3pkyiRLtv1EpwHUsdePHjHqBsH8+ugq5a4wtM15XY7TbBUAih6bSbDaqVoqfymkRi&#10;STRNORwc28EwVFC7WszjODbRVBrhqdOu41LY3yUUiVOvVkgNjmIaRodI8wc7GEaAaCJFtaROKJiB&#10;ID6TqVdL2JYKXWi6gdVqUj7MkhwYRjcNhJRUSgXKhzkyo+OYgVDftkjX9bzLNomBIaWSSzybquvd&#10;E4B0HRzHVelllo0t3c6ZO+H1ZdltgpEIQvc5jFL9+nC6o26dsIcddbRfmvff69UY3J7nXanffc/v&#10;tx9zXi4BO3913nY12WkrPTZzVEb3TuJ5yC/7B+jJcZXdEV0NP0zSJx1RYaznXUdn3seaJUjR44h5&#10;wdW7/kZHuXmOMOodvlmv8uDTn2O129SrJebOXGJsdpG7H/+UifkzTMydIb+3TrNaY+r0K5TyOZ7c&#10;/gTDMDGDQRzHoZzLInE5f+NdKsUCpfwBjVoZMxCg1WgQjsRoNRu89tVvE4klyGb3uHfrQ3RNIxJN&#10;cP7GV4gkkjjtFhtLDymX8py7+jobT+9Tr9W5+Pq7BPQQEkG9VuWjv/kzzl59h82l+7z2/vcxkmm1&#10;1Jrk6d3PiMSSTMyf4d7HPyE5OMT8+atE4gmyOxs8uvUhifQQc+dVsaNqqcDdj/6eN7/1T6Dh8uzR&#10;berVMrVqmetf/Q7pwQiOV8/Ettu0W01WH92hVjrk4pvvY7VamGYAXddYfXibQnYP13XQEFhWCxC8&#10;9sHvktvdZHPlIaNTc55nEeq1ClK6XLj+FsFotHvYl37VvaOA9Nl3z0ME9V4/Qfi/RQd5+7NoQFdK&#10;ANILhPf5DZ5H/H1jdv/uxAu9Y1n95NIB5QQYX3y9KBe2q9537XL/t5TqJOyL1PHjg9E1aY4aesfg&#10;6vYlpcRwoU/MngSwfwUCQdYe3SGezrC3sUI0lmBwdJLdtSVOXXkTy2px88d/SbmQ4z+7gJytcAAA&#10;IABJREFU+Cq6aVItFYgl02TGp9hYfsjW6hNmTl0gGArTCtYJBIM8+uwOqcwI28+ecOntDwhFlIez&#10;Xq+S298it71ONJnGbltsrz4BIUikM1h2m2L+gJs//Vt2Vp9gmAbBYIDJhTNE04OsPLhFo1ZDCEEp&#10;v8/26hP2N1e5/vXvUcrvc/fjn+BYDpnxSerlIqFonP2tdc5fe5v15Qd8+uMfkh4a42B7A8MwiMSS&#10;7G+u4kqLYvaAmz/+S0YmZ6iWDtldX2b5zqdkxqcZGp9id22ZciHP5z//G1rNBqFIHIDh8WkGh8cR&#10;QkPisrl0H1c6zJ69ggRC4QiFgx2yO+sYgSCpwSFqlTKPv/iYG1/7DmYwfIJ61CMVXoCfJ+2xfE6j&#10;k87dddv3JBx7hNM5vtRPLceu3kjFMZutIz67JUheNqd+mE+C/8Q3OXleJ/9bEaB3+rJ3XaTsZxR0&#10;4X/5PkjfCfMCOI8AHQiq6lsDw+PEkgMU8/s06lXCsQQDmWEkEEsNsr+xghAOpewepYMdwpEYscQA&#10;uhDMnH6Fy299QDw9wN76CrmdDcqFnHfEqEwpt4eQ4Ng2u1srrDz4gna7xVA8SW57g3q1zOzZy7RC&#10;DVYf3aZWLeM6Do16hbHpebZXlyiXDpm78Co3f/LXJNKDRKJxauUSdz7+KcPj0wRDYcKxJMnBEUr5&#10;fZq1MoFQCOk6HHrFmgoH27SbTQ621igfZonEk8yfv+qpohb5/V1GphYYnpiiVlXnIqOJJKFIjEAg&#10;RGpojPz+Lo5jMzg2SXZng4VXrpIcHCYQDFEpHRKOJEkODmNZFtFEiuz2BuFoCKFpZEanyYxM8OzR&#10;bTafPuLUxessnL+CYRqqho1va0mNF3HclyHB866u1HupQulpvT4B+m1eTIQn3vfaudK3C7/M+CdA&#10;9EIG8OXn1X2v/12f3Z04ym/ILDQ/eCpf+uPHBZUNN3vmInvrK+ysLjE8OYsrXUwzQGpwGCMYBHTi&#10;6WHSI+Pohk671aDVbBBNJAmElJ1VLmRBCOLpDJOnzpMaHCHoIadm6EzOnWL+3GUi0Tiu4xBLDXLx&#10;9a+xcOEKA0OjpDIj5He3SA+NMnvmkjpx0Wqg6zr7m88IRyJoQH5vi0J2j6HRGV774PtICYXcPrm9&#10;TdqtOoFgmKHxGVKZUXTDJJ7OMDA0pgg1EsM0A0SicRULFEoVr5ULLF66ht1u4lgW9UoJCQTDYRzX&#10;5TC7y+bKQzTdJBAI49gOt3/59+ysLmO12zRqFVYf36HZqFEpZll9dIfRqQXP0STRdZ2x6UXK+QMO&#10;ttcYmZglEAh5NWGOI8fL96//58sgiO8ZPN5Wcizm1XFD/QZY2HedYFv+A+b1ojS5LzOvE1r0wdJ7&#10;V/4D4esdS+tywhf/+G5qH/jk4BBWu83Dm79kcuFMB0Cr3cRut5EuhCJRzGCIZq2mbL1q2XM+KE6n&#10;6QblwxzpoTHGphcYHJtif2vNYwgujWqJarWk3PtSkhrIMDQ+TSF3QCm/T6teY2h8ios3vsLgyCRb&#10;q0s4jsPkwjnG506zcPE67VZL2aFmkCvvfgOr3WLr2WMEqDqhb77P+evvcLC5iuvanLv+DvF0hnA8&#10;QWZskrmzl0gMDBONpwhFooAgFIlz5sqbRGJJ2u0WttXCdV3MQBBdNygX86w9uoPVbKCKGVmMzswT&#10;iSUxAgHMQIiphfOEo3Fc18WxbaLxJGeuvIF0lSRp1CvsrD8lMz7Nhde+ws7GUyrlAuCnaXVRobuh&#10;v+nPi64X4IJ8nhQ7Zsscu7on7ft/OvPwNVHR61z6/29eirkcaXEi0/Il4H/c2ht++OClurZAHZ9x&#10;bMqFHJbVVjmhK4+JxtIIoSmPZekQBBTzWWqVEuVCnnazQW5/m521JdB0AoEgo9MLSCkpF3PMnXsV&#10;gDOX32Bvc4XDvS3azQaPP/81q0v3QArMYIhSIcv9m7+gXMgzNj1Ps1FleGKWVqOuCtlOznP26msM&#10;T84ghSAciREMRTj96ps49i9Yf6IOALuOy5V3PyCWSKFpuvJyGuq0hG4Y1KtlQpE4qaFRWo06ycwI&#10;U6fO0W610E0DKSX1Whm73fLOOhqYgQB2q0l2e41oapB2o47Q9U5d0d31pyoLCKhVi+iGQWZ0grVS&#10;HjMYJj08ztqTu4zPqUTxjeX7tJtNxmdPkRmdYGP5IasPb3Pu2huYoZDaEtFFmi8h1Pq38x8hnHW0&#10;LoyUzys69SUvCf2Rld98Xl3YXjCMfN47Er8c2fH7cHx28uV08xIY9Ylz5//ozff/E1zbfmmDeq1M&#10;u1lHN0wGR6dID42SGhplZHIewzBoN+vUa1WGRqeIxpO4rkMknmRi7jTNWhXXtnFti3q1THxgENMI&#10;EI4nSQ+NoiE6iBwKRxifPU0smWJ4cg7TDDE8MUOtUiK7s04iNcD47GlVB1PXqJQLBENhzlx5nbGZ&#10;BXTTBCm9YrdRZk6/QrNRZ2ftCa1GXR2UDZgcbK0RiSaQUkljMxDEsW3C0TgDQ2Nouk48neHctbcZ&#10;HJkgu7NBMjNMZmyS9cd3qRRytBp1FRsUUD7M0mo2SGfGSKQHCYTCtFtNlfgdjjB79hIjU/PUK2UK&#10;Bzu4UhIMR0kMDGEGQtQrRaKJNMFAkNJhjmgiiZQOVquJJgRWu8nQxAzBcLiDPccdaL8ZAjzvelGf&#10;muaVdzyGfT2Z/r8ZJHRUaaHEq/iPmBc8f24n9dl9V/Qcaep9ruATmuizCL+MvH0ZjOL1H/ye/Bf/&#10;y/9Fu9l4AWBqGNd1vbxGiW6YaF4mg9B0Lx6ogphIjzvSZTVO28K2WqoqmpdSZts2UrrohtnxoEnp&#10;Im1bncAQAtu2aTXqBIMhLNvGsdsEAkEMM4BltVSJet0gGIqgGwaqGpPayGatimO7BEJRbEv1I3Sd&#10;YCiMdF2atSpmIIQRCOBnZICPYDrNWhUpHVXgSAga9Sq6rk7521abXl7YOYemCQzdRPdOQNSqJVzH&#10;xQwGCUfjGLoB0lW5oUd2T0rplX23sG3Lg8uzFYR6rhsGmqGSCly8zBTnH44Az7teRoC6rqmaq31l&#10;GrwEAXE80+fFmTq+W0PVH/VK0uLY//gS8EX99R5pOlp02D+t0cl39Z7afvYTPYR5TML6/Rxx5giv&#10;JIVvQhyHTfb9LYRaeGEonV2gKeLzeIFKsPaSp2XHiQyAFgp2nC9+OpBuGMcWRAgdzQx0oNcNg0gs&#10;rhwcpokQ0U7amip3H+4snpq8R/ZCEIrEcKWL6wiVGB5QOZsCgdQlsVTwBG2puxDhWLwvbSkaS3R0&#10;dT0Y7t2e44utCcxQiGQgqOYouuuheXVoer2FvetgBIKYwWDfnvgx/N7guN/uxUh68sOXxete2KOU&#10;ffVWeu/7cUsE9KunL4KnF33pMyWfP7fnT/ofPjc/SeS4F1dKvx5rd/SjGUTHFFfpmwnHYfVh9Kqi&#10;+YL16Iv+PZ/ivedeqpSu9Rx2lH5t/24/ovMhC6+8uPfElbJzpkv2jKKd8Jf0/ieR4Epsx8JxHXXK&#10;QoJttzEDAXUKX0glmXQNzTA6R1mkxEsAd9F1DddxcaSrathoal7SOx2u6Vqn5Lw6VaDKuDuOC37p&#10;eNfFstoEgyGlLvkrKiW2ZSOR6KbZPfKD8FR8xaQcCYaXWieRSEdpFuq7Gg62Y6Nrel/1addxOhIW&#10;oSoX+Ejg2I6nRqvy85qfvif8tUPVutE0dNNEui62ZSmbV9eRXol8/3sdhhHoYII6tKJO4DtWG907&#10;be/KXrHrOVFcieW0CJgmoHfgtm27M1fVp9ZZL0lv0Sbh7aHjldL3DggfQ19/2OcRYfcLSS+zI/vz&#10;Qn0mcjKT6KQ+qn92BNeRHrsvHCO+XmarVF196vS5P3rzg9/DdRxPv+3+19cfxyMina8mIdRXdva3&#10;2Xm2RKWYp14uEoxEKeWzVAt5QuEoruN4NpHec3q5e9ntNna7pY7mdMFFSpVWVi4esnzvJutL94nG&#10;UzSqZR59/hGpzAihiPpi0v2bP6fdahJNpHFcC6vVQhcBGtUKqw9vE40naTXrPHv4OQiIJQdwHYfD&#10;g11215aJxpIU8/tsPX1AMBwjFIkhpcu2d8YvHI1TPszy2U/+ksn5sxiGiXQd7HYbx7ZYf3KX3O4m&#10;oUi0U9zXdd1O6cZK8ZDtlUc06hUCwQhmIEAxu8fT+5+TzozSbNRYefA5AkEiPQiomOizh1+wu/GU&#10;Zr3G4f4OifSgQjJHsvX0MTtrTzGMAHvry2R3toglUwgBtmVRLR2ydPsT2q0mqaFRGtUyD29+SDAU&#10;IRxT8ylk9zjYXqNcyJEaHOlIa8dW383Y21jh4We/YGBkAum4OI6FpmnYbUsdybJaVEtFlu9+SiKd&#10;IRAK4zouOxtPWb57E9tqkd3ZoFI4BOkSjsYoHWZZX1LOpmq5QK1UYH97lfXlByQHhgkEwx4B+ph3&#10;BAOfF0884l193uUH2E+SmCepsH6iea90lsdgOwrj8zQQZUcbooPmCoheD8/zIacHEMUGNE3ncH+H&#10;j//2/2H23GXqlSLvjvynbD99hBkMkcqMsHz3Uw73d7j61W+TSGeQqAK6AI7r8OTupxT3drj+3neI&#10;RBOKQ3qL02zU2N9c5fEXH5NIDbKz+oRms0Z2Zx3pvImmaWS311WKV26PWrVEq1XncH+XK29/G+lC&#10;fn+b8uE+cxeusbn8gGatzNj0Ai7QrJV59uBzHLtNo1Ymu71OOKa+lhQIBCkXcpQLeVzHJbu9zqNb&#10;H3Hu+rsMDI/RqJVYfXgHkDy9dxOh6RTzB9h2i4nZ0wTDMdYe3yEQDJPb3aRdr+BKyZV3vsmZSzeo&#10;18psPH2IiySRzJDf28LQDVKDGULROO1mnSe3P2Fy/gz1aolibo9oIkkkmUIzTLaePWJ3fYWdtSXa&#10;zTqF3AGH+1sMjoyTzIxw75Ofsr3yiPTIGMFolIP1FZ49uMXo9Dytep2lO59RKxcwAiamGWBgaAzT&#10;DBIIh9nffEarUWdj6T6PvviYUDSJ1awRjMSYPXuZ9cd32F1fwTANookB9jdWmJg7g6Ypr/ijW7+i&#10;WsxzsLVK6TBLOJIgPpDhjd/6HQ6zO6zc/4zFizeIRGO0LJun9z9nZGoWIxDowcd+R0/31/Nx9GXx&#10;wGMI3WfvvahP/29//OMfMjqpz77RRNeDbXRTiF4gTV+onnZtNaHplAs5BkcnyO9uUsodIKUkHIkR&#10;iSeQrsve5jParaaXK9nwHDbq8G0oHGV9+T6X3nyfiF/G0xui1ahRzO2R293EajTIjE7RbjWUQ8A0&#10;aTXrHGxvMDI5Dxo0KiWazRqarmNbbXaeLWE1awgiPHvwBc1qhYm5s7TqNWzbYmP5IUbA5OFnH1LM&#10;7ZPOjPL03i1ye9vMnr1IuZhnb+MZ+b0tGtUqextP+ehv/4wrb3+D+XOXqVWK7G88o1IqYpgmud0N&#10;2q0Gk7NnyO6us7n8UFVoKx1iGiaNeoWl278mmR5i8+lDYsk09z75KZqmM714js2VB+xvPePqu98k&#10;t7fF5spDzl9/G9uy2Xj6kGJ+n4tvvUc8PUyrUcOxLLafPUYIjWA4zPazJ6SHRinlD8jvbyFxKWb3&#10;2Vp+yNbTR7SaDTRdp3h4wM76EvHUIIXsPrqmEQzdJ5YaZGxmnnhKVbRr1mtIx2F/Y4WFV14lkR4i&#10;FIkyMj3H0v1bzCyep5TPcrC9zp2PfoIZMJmYO012e10xx91NpOuQHhpDNwyyW+s0a6o8h18vtXh4&#10;QLVY4Pp73/E0iJOdFy9G8n689BEeTrInfzM7UeKba1+GsH3duddnerytJjThEUH/j9+4P3XnqIjt&#10;n4Cmqwpfk/NnCYajrNz7DCMQJBSNYZgBosmkquMC5Ha3eHDzl9z79c94cvsT6pUSycEhhFD2hX+s&#10;RXqeiFhiADMYolGvYoZCHvFKGrUqxdw+5WKeSCJJJJGkUshRr1aIJlJcfvM90kNjpIfHKOT2KeQP&#10;2H76kGRmBCE0Htz8BbVKiWg8xf7mKu1mk+HxGSKxBKFwhGoxRzmfpVGtUi7mePbwjqoDGkuQHBgC&#10;IBiJoGk6tXKRcFR9H6JRLYOURJNpAmYQx1XeX8M0ye5tEQhFqVfLuI5NYmCY3c0V6tUyA0Pj3sc2&#10;w9QqJQ6zu6w9vk+71cIwg+T2N1Xpw4kZhifnQArsVptKKU+zUSeeHmRq8Ty1SqnjoRSA1WxQKWSp&#10;Fg+x2k3PLrSpFPLEEinGZxYJBFRlgEg8SWJwCDMYRtMNSoc59jZXGJ2ax7Utnj247cFjMDI5QzSR&#10;YmLxDKevvM7w5ByJ9ACH+zsEgqrOj+3YhCJRxmYX0XSdaumw82k5zdBZvHSDnY0Vfvzv/xXz568w&#10;NDaFn2zQh5N00c535HWruD0fL5939Xpkv1R2EP5h5KOezqPGWf8Y/SpuP6yaEAL/g6ZHBWjnuzhC&#10;9CxEr37d64UTKkdDuqSHxjBDYR7c/DmhcITB4Qmka6Nr3ieENUEknmTYQ6LB0UkCwRCaZiid3HP1&#10;dhKOkbi2TTG3S7Ne5TC7j+M41ColNp8+4Om9m0SicTRNZ3t1mXqtimGabCzdZ+3xXRXbi6hUsuL+&#10;DoXsDoFQiHh6kGL+gGoxTzw1QLNeZer0ec5cewvbarO+dI9wNMH43GlGphcZm1lk4cJVxudOI12H&#10;Rq2MbatTDO1mnVqlSG5vi2q5yP72GvVquRNKMIyAOjkvNJqNKjvPHrN47lWGJ2YIhEJUi4csnL/C&#10;G9/4HcqFHF989HeEo3HiyUEm5k4TjsRYW7rP9uoSZ6+8wekrr6vShDvrbK0+YWh8hrkzF7FbDZ58&#10;/isS6TTDEzMgXWyrRSAcpZg/QNM0QpEYArBdm1AkRmZ0kmcPbrG5fJ+Np/d5eOsX1Ip5rHaLpTuf&#10;sv74DpFYkmajzvj8WcqHB9z+xd9QL5fJ7WxTzu2R3dwgu7NJLJkinhogFFUlOhCqEptuGOxvrtJs&#10;1AFBOjOqzlG60CgXMcwAqcERsrsbNBo178Mz/UTRwcEjxHYUN/vxkp73jhLJl1VR/deld5xOqbe9&#10;HuoTf/rGPpl2jOPnrnp67QPSF58n6OOouEmr1aJZq9JuNRgYHuNWPkutXCSeGqDdapDf3ye3t0Ux&#10;u8/sucvEEilPMKtyNc8efcFhbo/D7B7x1GAXBE0ju79JamCEc1feIhAOMzA8TunQYPrUK1x6833a&#10;jTr7GyuMTS9QKanShedvvMPNH/8VkwuX2X72mDu//Dt+8M/+B7ZWHlArF9hYus/A8DgDw+N89Lf/&#10;jvTwOOevvkMxt0+tUmRofJrz19+h1aiT316lXipSKxdIDY0zOrVIo1xk/fFdXrnxVSV9UhlFZN66&#10;VQo57FYLMxhmaHIWu9WmXikRT6Rp1uvsbD5jfHeT9Sf3MAyTt771O5QOC2R3N5haOM/Vd7/J4Og4&#10;wZCGbbUoHx4wPrWIK212V5epVUtMLl7g/I23MYwg06cvsrXyiPUnd7nx9e8RDKswzMjUAgJJbneT&#10;1NAIoViM2oOCyjedOcXI1Bzzr1zj0c0P0XWNC69/jXqtiuNYROJJGvUau2vLXHjtKzTrVerVCvPn&#10;XwUhuPvxTxGaTnZvk8L+LvPnLlMtF9F1A4nEMA10PUarWadWLjE45jB39jKV0iG2Y1OvFHj4+a+Y&#10;OXWBa+9+i1//5C/YWV1m9txlNE30xziFX3bpaCL083GzmzZ3JNRBT9gE6Tlln6/ySun7U3r7eYGk&#10;7Ui9o/TTD5/hO1OOEWGPiO14XuVxjuR3ZLeb2LbN0MQMuZ1NphfOceNr3yHlnZJoNuu02y0SqQyN&#10;SgnXsjCCQYSnKjsuHO5vMzg8RrWYQyIxdcVBhSaUpBwZp1TMMjF/houvv8PKwy/I721iGAblgvqm&#10;eiga4+mDz0gMZphcPIfrusQSCYYnZzh1+TWuf+0DJC6Pbn7IivU5Y9MLBMMRJufPkt1eY3P1MYWD&#10;fWbPXuGV175KLJVm/cl9LLvNqcuvIYCnD77g/I13aNarNKoVWvUqQ2OTzJ27giYEzUaDWqXI+tI9&#10;daZOSkzDxAyESLtjBEIhJmbPYLWaWO0W8+dfpdWosfF0ia2VJ4xOLfL6+98nmR7AdSSaEWR89hQ3&#10;vvbb1GsV7n78I+qVEoFIhFq5SK1cJBiOs7+zQa1SIhiOsvH0EfHkDsMTM2hCZ2vlIeOzi0wsnKdW&#10;yrPx+C5IQWF/m0oprwpUNdTRrfWlBxzubTE2d4p2s87YzCJ2q8Xg6CTZnXUCXjnHQCDEpTffV19s&#10;2nhGNJbAslrsri0zf/YKgUCI5OAI7WadUDROJJ4gkRoku7NGq1EjkR7EsW3iyQGiyRStZp35s5fI&#10;7m0yPDlHJJbqR1rZQ3p9Hs5+d39vvM7H205VAbqfY+vi9HHnSm+xKf+B9Aova7r6Eq4rVLLAiVfn&#10;mFa3z34Y1RzEuz/4ffnP/6c/xWofzYTx1U/ZsTt7sx7Us27ajuPY1MsF2q02ZjhCLJ7EtproegDD&#10;VJkmrnQ955X0VBNB5wQ9YDvqMKuQeJ9cNrxPPqsYnd1usbnymEQ6w9DYFIfZXXZWl5k/f4VQOIKU&#10;0KhVeXz3E8ZnFxmenkLXTWwLquUKue015s9dpVTIsrXyCDTBxOwisUSaSumQ3N4G7WaTzNgUA0Nj&#10;CF1HoOJs/kdMG/UqG8sPsLwMnMzoJMNTcxxsrxEMBtEME9d1KRcOadVrTJ06h2kGcWxVEdt1XfY3&#10;npEcyDAyOYeh69TrVfY2nlEvF0kMjjA2s6iqV7tqvRy7zerSPcZnTiGExtbKI9pWk8zEDKFonI0n&#10;D4klB4nGk/gJza6rvhOYHMwgpWRj+RHJ9AADI+NsrTzhcH+L6bOXaVSKVEqHSqnz5ui6qrDW4Nik&#10;SjhvNnh67yaVYoFgOMrMmVfIjE17lb019jZWsJoNRqYXyO9tcbC1yuLFG+i6xuH+NuXDHLHUINHE&#10;ABtL97CsFrOnXiEUi5Pd2VDxTtklBmEYjE4vYAYiz4/h9VS2Ou7xPFL1rQf5+4vjHsH4joTr4ndX&#10;krrgyM5nAXRd1YS1nkeAHRtWnkiAHfp593d/T/7z//nf0PYIUBzroCv5jhLg0cv/CItfRt5fJ+VM&#10;UUFsoWnet8DVGC4gXBWA1Q0dIXQVtJbqC0aaT6CeJKyVSxjBEKFQGJAYhq6C31Itbm5/W33WLB5H&#10;CgfXBcdSFqqmmziOja5rXhaOxLZanQC3SsSuUK8USaSHMAKBTgDc3xcpVVwsFPI+5Gk7OFYLoXuB&#10;delSr5RVBk80ju19Z92x2thWC6RE10zMYKjzGS3f2a7rBo6rAt6O46DKIaoSg4GggWO7NOsNbKdF&#10;YnAA23aw2ja6EVDMp1Kl3awRjavwBDhecWIwQkHyO5tohqZKaugGltUGvOwmj1OXi3l0XSeaSOHa&#10;DlLaNBt19fWoUATbsgiFQ9iWjW3bal90HUMIHNvx1EYX17YIBINoekAlN7gOruOoD/IIDcuy1P6Z&#10;pjJBvG8Buqh6LJbV5tgnIvpwU/b9++VOFM/poZ1Aec+5On36dpurEkg0r6ymlGA/lySO0o/soaPu&#10;W0b3EOWJEDzXTO3tRA3i8uzBLZbufkY8mSYQDHH+ta+y+2yJdrvB/PlXcRyHeqVEemgEMxhUH7h3&#10;XbzPxlPY3eMwu8PoxDzxZIpOBgzqDN7u5gr3P/0FphkkEo9jGAZIOHXpNYbHpsllt/jJn/8xltVE&#10;AJfffp+585cx9CgSQa1SYvXh54SiMVzHRjdMFi68im23kY7KlNlbf8qtn/4V4WiMWGqAhQvXGJma&#10;86ShoJjdU+X43/8dL1DsgqZx88d/QTAS5+Lr77J851M0TePM1TcxgmGkdNj4/yo7s+Y4riy//25m&#10;1r6vKKwFggBIcJFIUTun1VK0Ombc7bC7w/b4weHwuyP8HebJD/4ingc7whEztts9PZ7W0lopkSLF&#10;BSIIAsReQFWh9i0zrx9uZlYWSKrlUkBEoSpv3pv3nHv2/9l4wOHWBpliCXM0ZGFpjXShhNB0Tg73&#10;uPVPf0d59arCQdV0dp48IJFK88rbv+Dbj/439ZNDSgvLdFoNDrZ/4NylV5lZWmVqbpnGyT7b6/fQ&#10;dIP68QFX3/mAZLqIEBLbNjFHI4Qu+PR//i2l8jJX3n6feuWAZKbgIIEr9VPaNjsbD4nE4ly8/jYg&#10;aFRP+OIP/4Op2UUi0Rj1yj6ZqVliqSxLa1f55O/+G8LQyRSmALCGA3qtFrnSLOWVK2iWS4hK6oyG&#10;k4mr5kA1+VHeeIEULhO+jCh/nBb978dSTvwkxhtrdNLJe3aEiA5CKmcSOMhpvn6KLzAvvYm8fBnO&#10;wXhWeP+k1wsu0HRVxnP/q48UOvTGA1ZeeZNaZZ9wLIamaXz/1cfsbjzgg9/+e7LFGQcLVNlItcoB&#10;9z77RwLBIE/ufsMv/tV/cACSQGoCyzZZv/MlzzbuY5smqWwB0xphaDrLV1+ncrjDR3//X9lev8+w&#10;38Uc9Wmf1rClzfnLb2E4vfSOdjcJRyJINEKhEKuvvIFpDjna3WLj+2+oHezy9OEd0vkpup0WvXab&#10;eCbnIVj3e12O958xGqjSq1gyxaDXx+z3OT05plE74Xhn00H8Fixdvk4gGGZvc512o0quNEunecqj&#10;O18QjSdYe+0m/U6L9TtfMRqZ9Lstkpk83/3pD1x58+cgJZuP7nBytE8skWZv6wdajRqtz/5ILJUl&#10;VyqzvX6P9TtfkEhnqR7sEoulsAVceOUN1Wh05wmGEeLR7c84PtghGInSadYpr1zBti0279+mdrjH&#10;/Moljna3iKezhMMRYqkMdz//v9z77B/ZzuTotE5JpLIU55dZWLnEwvIq63c/p1AqE4pGiUTjbNz/&#10;Fk3oLK69qpoN+ojGdYg8x1yOlHDzr9yUtBeRmls8J85cP9ZQXkKyjg34siD7y15COOhzwu/6UXO1&#10;z/pVfsLr7Py0n37U+AxVn8fJ1ZM1wyAciRMKR1i58hqhSJSjnU2C4Qjp7BSReIpopYpGAAAa4UlE&#10;QVRAKEiv01IVDv0ujdoxzdoxrdManVaDcDxBKlfgaPcJtmniwhzoQCSimq3YpkkgGKQ4t8hw0Cea&#10;SKtNEyoUoKoO4kyXV2g169QqB4wGAzVrF99RD6geDA4aNkD7tMr2o7s0T0+Qts1w2EdiE0klMYwg&#10;699+zu7WY2xbEo7EaTdP+e7T33Ow/YTq4S616hGddoOHtz6h12kSTabYf/qIJ/ducbj9mK2HtwkE&#10;wgQiMU6O9nl0+zM0TScYiqBpOslMnqTTanvY7xONJVi6/BpGMEAoGiORStNpNWhUj5ESTmtHHDz9&#10;gVbthNrRLlNz50hmC6pkRteJxhNO67gUxdlFdjcfkCvNo+kap8eHFGcXiSXTXhqfRJLMFRkMejRq&#10;Fe5++U8c7WzS67TJTM1hBMMIYRBLZ+n3OuxvPaZxUiUYUA4iOTJ5/N1X1I8PWXvtXXLFWU9V83fi&#10;fU5VPBv7chXyFzgGf2pyy9mQhMv8vOj+Z8Yf52lqjomg8nk9dHMpvXIsDd8B8/8txZx7jG01hV3v&#10;h6AYj/2ChFY5GdcQUiVZ25ZFdmqWYCjM+u0vCEWiRBIJhCZIpFJE43GEgKNnT7n9ye+59dHvePD1&#10;x4QjMc5dfo2D3S0uXHsbPRhUWS5OA89Bv8ew3yWTLzEaDNh/us780gVs2+LRnS9VS+tIHF3TKUwv&#10;qOYkaDxbv09l56my94Z9LHNELJXBdVtblom0lZMlnkozd36NdHGaXrtJOJIgU5jGCAboNOtYo6Gn&#10;cZijIe1GjdFwwHT5PKFwhMOtDc5feY3p8jJIybCvVOF+u0UgEAIk9coeJ3tbnL94jeXLNwiGQiqL&#10;SBfUjvZpnVbpNOoEHBtzNBghbDCMEN1OC8saEU+lSWbyGMEgnUaNcDRBtjSnwlS2zWjYZzQaEIpE&#10;VYhgb5va4S7tRo38zALH+9vc/vh31Cv7ROMKlyaaTJFIZ9VPKovSGzVyUzOEIhFiyQyFmQUSqTyF&#10;0izFuUXiaRVGisTjZEsz/HDnC4SUZKdmAQVK7BGx52RhQgq9LDvFi6O5XOHjPj/Pju3zF93DF5TD&#10;Tep4nrPHdDz+m+bGrB3pbNk2lg8fVdO0CeT3cdz6+Xv4+cl/CAmBYkAhQdggLakCjbZvAG/dcmIA&#10;V+0VvsW6tmAslSEcTfD47lcIID81C9JGWrZymNg2xdky125+yOvv/RVX33iPWDzJ5t1viEYT5Evz&#10;6C4ArkRFCS2TYCRKLJGk12nSrJ0oFdM0KV+4QiKTJ5UvMhz0qFf2qew+5WR3i/L5S6SyU2hoNE8q&#10;nB4fMrOwqpKMpeR4f5tG7RjbMoklU1imqTyApXluvP8rZssrSMtCOAFlbNWURdq2KuINBBG2pFmt&#10;MHduhbc++BXxVIbtR3fBtplZWGZ26SJLl65zsv+M7Qd3yU/Nc+H6uzRqFbrNhnL8dFpU9jZp1RWS&#10;QLfdZG/zEe1GjV6nRbN6TKdRZzQY0O90lWag6aSzRRYvXMPQA/Sapwy6XYb9HuFQGAEc7W5R2dsG&#10;IWhUKyTSOaYXVpQGYAQ4PTmksrvF8d42dz75A+ZwSGF6nng8RTgcJZ7MkkxlSWVy9Lstdjfu02u3&#10;iMaThEJqj9qnVepH+1x58z0CgSBbj+44TTYZ76EQjgdSmyREKR0eUVAl0vkRrp9FooCKbek4QRzG&#10;kn5N7IyTY4KdhachuVQvcGw6/O3aXOXXoWmp6jk0BDoCQyiGE55n0+EBiWro68wPWz7H4C4jPQ8d&#10;AobuK510G4iAU/0r8ff9eH5A79uqFGnQ62DbNu3TGlPz54jE4pijAdFYnGF/QK/TxRwO6LWaFEoL&#10;RKJxb5OePPiW/ScPyU/PsXHvFucuvooqV1S1Z5F4kovX3iYWT2LbNrNLFxgNBtRPDskWZ0hni45U&#10;CClvrDSwpc380irZ/BSd5ik7m+sk0jlyU7OM+l0OaxVOq8cU58u06lU0zcAajTh36TqdZp12vcrT&#10;h3eZO78GQtBqVLGtEQC1ygH9ThtNaAwHfaQtmS6fxxx0GfX7TC8scePnv6Iws4DQVHOXVKZAefUK&#10;J4e77G9vcLj9mLXX/4L6yRHXb/4lrVoFczQkXyrTbJxw85/9a5A2wUiUhdXLSs0eDmhUDynNn8Mc&#10;DOi32wrmIxQmEksQikRIpHNoWoDj/Wc4QPIIIZg9t4I1Gqqc1XoVITQOnj1hOOhz8do7nFYrTr7q&#10;KaNBn6ARpCstYokUOKEJTWgUZhZoVivUjtQB+ODWpyxfvsH5teskkhmO959RPdpTmThjuveIfEyI&#10;bh6yYkxLathoCOyJg99tMwcqVIItXowcMUGRk04YPPYa/0VzKhKUdio9ip7Qip2DDnxlU45ER/qL&#10;qqXncVZpdqoV3J+D+9bPra79zVsf/rXqtuN5jxy9fTKfxvvM/Ve4fbdRKlmjWkHXdVKFEsWZMqls&#10;gen5ZeIplQkz6LZJpDIk0nliyZSjGahTcDTsE4rECMfilOaXKEzPe7aDQMUATw53Od7fZX55jVgi&#10;zcnhDtPz55lZXMEIBGg41QrF+UVypWki0RiXX7tJOJZi/9kGjdoRN97/NZFInOrRLnubP2COhuSm&#10;Zuj3ukgU2NTyldeR0uZg+zGGYVCcX1SpcrqOEQqRyU9hjkZoms7s0kViyRSj4QAhBPWK6hd//eYv&#10;KcwsqNCEbdNp1Elmc8ydX6N6uENlbwtN1ynMzGObIzKFaUbDAa++8wGWZRKKxli6eBWJTatxyuU3&#10;fsaVNz+gVL5AKpvnvV//W5YuvqoanW6uUz8+oNdp4dZn1ip7jAZ9CrMLRGNxp8K/hUDlrq69/jNm&#10;z18gNzVLYWaeQa9LOBojUyix8+QhuakZZhZX6DYbmKYqOTq39irhSIxG/RhzOGBmcYV24xRd04jE&#10;E/Q6LaUZON2kclNz+D0kaqvdLlGOjaXpTiaURDpVowIbMWEGjRlLuPHjs5zio02Psc96XHyXCcZS&#10;1+/UOStvXA3PleCa29XLN7Vx/FAwlvTgZZn45qe0RF9q2vu//q38T//lvzPodycj9Q7zSa/HnKt0&#10;yjMDugY2jj1lIvSAOjUsyyl6VcWZ0mvUJzxVxH1GthMblFIqSAdNczZFrbDX7dConxAMR4nFk0hp&#10;M+i2FVxgOOqEGZpYliQcDYM9pN86VfV+0qBRrxIIhgnHVHclc9Cj120jDI1AKEirUcMajUjmioTC&#10;UYb9roLCCIdVTSCquNRVt6VtIS2LQCiCoat+7/1uh2AoTDASIxAwxnskJf1OC8u2icSTKs7nxOCC&#10;oTDDYY/hcAhSKBW73UToGqlsDmlDs14jHI1hhML0u30G/S6pTAoNyWgwYjQyPSxNt2eFpmvqJ2Ag&#10;pU2v22bYU3scjkUJRRQ8htBg2O8z6PUIO0nl7UadQDBEJByl31UHk7QtYsk0w756bqFQmGhc1VYK&#10;J9dTYquiX1S8V9N1X+xr7Ftw7asx/IO70wGU0jcCW8Vwld/Dtb2EJxwkto82ffwgx4T+QvgL6WfA&#10;Mf168JzPX+G91Hx9/TokKIhWe6KrkhJOOPg2LnDT8yMLITCCIacvHuK5xYy/6X5jsqe2n72ltOl1&#10;2nTbDdXvTjdIprN0202VbpTOqhiX40Xy3Mbuw9B0pGUq1cDNDvfp+qFwhFxpDmtkcrD9hGA4TDqb&#10;p9tpEzdUsDoUiYHQEcJm++E9Mtksmq4hpIFu6Jwc7lBaWMYyTXRNIxyJ0es1kcEA4UiUrtkgEAjS&#10;btRUWdXUnHIgIbAtk8NnT9A0HdMcEk9myE/NKPVJ06gfH2KOhkwvnFeo1kaAbFGV3limyaDfp9Nq&#10;YFsWyWwOOxBke/17SgtLCjrDbnnSLBJLUFpYcjJhdBLpLFLaNGvH7D/borx6RWGW2JaDg6NjOXZS&#10;v9Nmd/MhS5euEQyGQBMc7j6lVtmlvHKFyv4zpJQEjDBoOr1Wm+ODZ0QTKUbDPkhV+iWEwChMK/XT&#10;2QtNFwQCASKJpIdoEInF8R/MynHhMJabuCGfZxKPiPwNL93fvK8L3AabY0ZR3/KURZ9Uc3M7X8p8&#10;Z17uge/5MP7sFZPfcJchpZNR7Ve3Xakux390nZzqrWJ+I5FI+Fbg05HFuAupP7fuZWk8QhMc7Tzh&#10;zif/wHR5mdGgz1sf/gu21+8hNI2ltevsb/1A+7TKxdfeVb3Y5djmHPa6PLn/DYNej9L8EjPl8wgP&#10;kkEgNI3uaZ3K3lPufPp7LMsmGk8QjSV468Pf0GnVebp+H00LkJ+e5ZuPf0e+NMWb7/1zoqkizfoJ&#10;3332DzRqJwQDQfRAgOrBM0bWkIs33mUw6PPw1qcsX32dbqvBwdZjtGvvEAwtEQgE6HXbfPfZH5hb&#10;ukjteJ/ZcxfRhUYskSYUiXL/m09o1aveOkejIeWVK0zNL2LbNt9/+RGDQY/c1Axz5y4Agntff0Qq&#10;pyrb1+98zmg4oFGvkivOkMrmAEkwFKWyv02/2+FwZ5P7t/7EaPgbkCbxWJx0boqDnS0atWNAkMwW&#10;uf/1HynNn0M3AnS7DR589TEnRzv0u22+//JjssUZZsorrN14l1plj2/++L+4+NpNhU7ebnJaPVKI&#10;d9mCOgPdTA7bVQHPWjXjd+MSMnXNmDXHVQvOoOOrhFAq5xlid73rZ0ZxPnbgLHyM8VOYzv32WG10&#10;pyBdbvqRK8cHhccSnpN1EoTM11LXN+vn1WLDdCAH1Ic+I1a4Rbr2xBBnluG90/UAtmmy93SdxYuv&#10;cLD1A53mKYNeh3g6Rygcpn58wJP737J44arjoBl51zdrJ+xvbyAlnBztUJidJ6ipbkNCgGXa9Jp1&#10;Oo2aiiGeHLPdrLNy9XUatWOqR7tsr98D4MmDW2RyeRrVKrc++T0Xr93kYGsD3Qjy6PZnBINBEuk8&#10;B9vrlC++im4EOVi/h21ZfP/lHz2o/Cf3v6VZP+Hcmqr8rh/tc+nGTWqVPar7z9j8/hZvf/hbAOrH&#10;h5yeHDIaDWmf1giEQvxw90uCkYgqln36A3ogQLelvJ6xxNhubJ/W2Lh3i0yhxMnBDtZwgGEEiCVT&#10;LKxcwbJMep0W+1uPGfb7HO08pTg9rTo0OdrE7pOHhGOqC1T9+JD7X39MZmqaQCTC0/W7pLJ5Ht76&#10;E3ub6yRSWY73tpg+t0y/16XdOKXbajLo9xTgcafNhVfeIBxNTDgnpES1ejuz9xMkKiV43bNcehQ+&#10;2lbX+hOkXanpd4aMGctv/+GYL/5xxsLU/3dvPj5q9b5zpqh2HL4QP8qEEzmnfnXTGXLSjvTfw8e4&#10;MPFstI5Tlex/WLgiXIhxYexEFPT5k0ZoOkYgSCBgUF69TDgaY+uhgmGIxhMEwxGSmTyBoOphXjva&#10;59Gdz3nwzadsfP8NQhMsrV2jWT923L2a74TU6LYbnBzu0qpXlVOjdUo6WyAaT9Jp1rEti2gyzWg4&#10;ZGfjPqY5wrIstn64x8nRLolUlkg0gbQt2s06umOjZQolQpEYw8GARq1Co1ZB13QFuITN0e5TKnvP&#10;2Lx/W/WEN4I0To54cOsTUpkC8VTGsUt0WvWqg9eSp7z6ioJBdJ5VKBzGHPQ9WHtzOEQIGA2HnBzu&#10;kivNMXvuArpuoGm6gpxIpNENnXQ2jzkaUD3cITs1S6+t8FnjiRTxdJb55ctkizOsvvo2hdky8VSW&#10;waDL4c4TpG0TCAQwR0M03aC8eoVYIoVpDhl0O9hSEo7FSReK7G0+ZP32F+RKs6SyRe8QFg6VjmNZ&#10;fsL10+vz8TQfhXiqqXet7SZHSBf9aYKt/eqa6/yYkKBenz9HQv+Y8PLRrXdP9c4XpxsvZnJtL64l&#10;HIfk3FCK87TcQ8qbIy/lH8216zjjZnUfunMrnxHtDuRf7TiFyLZtcqV5jGCY77/6iFA0RiZfUkho&#10;DhKYSsrWMYygg0YdwAgGyRZKlOYWadSOkdJ07uwQcCRGfmYe0zTpNE4pziyQnZolU5xm9twyCGid&#10;VjGCQTK5KZCSSDRGeeUypfIK0WQGc9hjemGJRrWi0MM0hSJmBILkS3OcHh9RmFnk4o2bIITqihQI&#10;YlpDZs+vEU9nOdp9ytHuNquvvcPVd3+Bbhjsb66z/s1npHNFCtPz9NoNdjfuq2r3TI5gOEy320Yi&#10;aZ1WMYdDp8+E5gV3o/EEmw9uc/Rsk52N+zy6/RmDnkIif3jnC55tPCSeztFtNyjOlXn66C73vvyI&#10;zmmddrNOr92i127Q6zQplZcVqFEwjBEIEIrGMS2LdGGabrvp9T2MJdIYTmlNKKSwUtvNGiNzOLbN&#10;8TsebB+xu+9tj4DHnsLnm5KOPYljW044+KtIHFQ615HhSjfbZ6P5JZxDga7j6SV0KRxGEC5TaEJh&#10;qdq297nLkP5EadueXJv6ruZzwozXNe4/6PGed+i6U5pMxp6co6Gg785q337G8hu/P5JLJyWmqVDI&#10;NCFI54t898n/od9tkcoVMZ0GJu1mnW6nRWl+iWgi6Unng52n7G7cJ5FMs35SwTYtCLjqtMSyLA6f&#10;PWFv+wfQDVL5EoXSLOFQhFA4RiQWJ1eapzBd5puP/p54MoOuCcKRGKFQlPsbf+Jod4uf/8t/x8Gz&#10;TQqlBVq1Y9yKiO31uyQzea689T6jQY/1258TCIRYefVNssVpmtkiD77+iOP9LbJT08wsrtKsVdm4&#10;9zWvvPU+q9feIp7O8tp7f8WTB7fptZosrFwmnS/R63XIFKaJJ9Mc7z8jnS+SSGc43BUYRoBza69i&#10;mmvUjg4YjYbkCyVeefdnCC2qutNaCrB31B+ga7rn+Elk8nS7bb7/6hOapzX2tzZo1CpcvP4O7cYp&#10;QSebxggEPeTv4bCPbUvml1fRDAPbknQadfaePmZ2aY3i3Dma1QonBztMzS8pDFi/08Tb7jM0c4bB&#10;nrMSJV5mzLj3vAPsLP1aoZ/6zhzzvrH9hO7R6nPE6aNXz3QUznLGIYFJje4sE/uX7szoJRq4cC9w&#10;P9YEeP0GXzQ/MEzbfqn/Rwicejw5Njqfm6xajGWOGAx7hKMxapV9ZsorLF58lXA4iqEbKo/RiR9V&#10;j3YpzpVV9bhzcqYyOdabp9SO9rh04yZGIOQ5gmyp3OAzi6tous7je7fIT6t0t8Odp8wurzGzuEp+&#10;+hzRZJb1O58p1G0NhsOhireVZtl/+ojy6mXSuSkGgwGP732FZY0IBkMkM3ls26bXalDZ3SJfnOXC&#10;jZsUZhYwDEPFA2fKLL/yJs/W77H14DtCkSit2gmvvPUBoUgU27bodVpY5gjLtqlXK+hOGU9xtky/&#10;1SRXnGHp0nVHrdKQUjr5sSoOG4kmHJXY4mjne6bK52k3qoTCERLpLMncNN12g1A4SigcIRqLs7h2&#10;jdmlS1T2NokkkrQbp+xtrXP9Z78EaZNM59B0nUA4zPTCMlkHmrCyt+2VZem6Tm5qBiEEwVCIRq1C&#10;KltUKjaolEAcopfP08lYvZMv/Hf8nbOHuOYR9dg+c1U5+QLK9KmlYlxG5RcQLwTC9U9WaN417j68&#10;rFrCp4T/hNfk4aMhnO5xwqPzs+vQF1fX/uatX/4bLNMc30o4KoAaxQu4uws8q+cLIRywXIP51cvE&#10;U1nyU3PMnV8jX5pDD6i44NRMmQvX3iY/XcYIKNg5VzUIR2LMn79AefUKCxeuOp/jnYqBQNDpv5eg&#10;WTvh5GCPdvOUVK7A9MIyiUyBaDyNEQxhjoaU5uZJ5wqks3nS+WnC0STp/BT5qXlCsbhnRxZnFijM&#10;LBCOxtENg2G/R3G2zIXr75ApTisnBzAaqAr+mcULCluzo2Jh5y/fIBiO0G7UKS2cJ5ufIhpX/S7i&#10;yTSJZIbc1AzpXJFYKsPK1TcozCzQatSJRBMUpuc5PT6gfVplOOyRSGcJRWP0u12EppMtzjB3fo1M&#10;vshgMGA0GhKJxbl04x0Wli8RiaVIpAv0Ok3iyQzLV153uknZXHr9L7Clqrlzm8GUV66odt62xdT8&#10;Esm0wvCMJZIK33SkuvgqPJoswUBI6UHCkV7C7aXuJ/pxTwV8TpsJ0hT+Ri5jZG1pqwNWufqUdNSE&#10;dKzBsV33oqC6eAFt+l0h/ms8NRa/5FS/eU4gKX1dgcdj+MuUwK8mTwrtifshFe/ok0kBZxMExIe/&#10;+Wv5H//z3zIc9NWA/tND4AIcP/c6a1QK4Ypnxe26sxmuvq17BatgWSNsy4EA14TndFE1YeMg58Q8&#10;3M2QqtrbRWbWhO6gQGsgDCQ6MEAXEh0bKQWmpe5rMx7X9dZhCNVz3TEqPJwQ4fSp8G2YQG24BDQn&#10;509dptCodUNHStUjw7JVrqkQKiAuxFiVUzaL5WyGjpvSJJFIoexolRGpOWvUVNcgaTnaiKZyOaWt&#10;Co6tccxNEZKKYGuGga3ZINQtXJKznXH89pEnWRzq0+RYogkh0PWxLWh5BdfCs/cmVM8x15yhF7zr&#10;XDXSzQpRHBVAoqOJEUhVj+evAffoQqB4VXdGOsPv/mybM9PwklNcutSEPyHA2Tdcm094vwtvX9T9&#10;XeeM7baYPrNOb47ay+aoiNnQHXi4PxuI9z6arJaYlISObq95Xx3PxRHzlmU53i/FrJrvpJLKAh6P&#10;7aX9yAmDW2g6hjA8CAX3PxsNW6qNFFhoQhVPClvNQmPcZFQdmtoE8eE76fyQfuqjSdtE6AYaKvsH&#10;KdB1XdUA2jamdOcLuluKg0owcLM+8EMjCFVJr7jZ2WQ3m8T5nsr+CGBKxyRg3M3KzaccP3IBmu6s&#10;VQHku4cYLmNLcMNO7oEzXq+TI2nbCgfFMUVcTQeJSozWz8I7yAmnhJu87BKl7eV0jqvKNYTn3LBs&#10;Pw0KJsMFZ/VezrycZz7xsaKxib85CAtuQrXQBJquusHYlnNQCQf13eUeXKZ26AmXTvAOML/Dxj/b&#10;56epCtDdzwxbjhPNXHkq3SEc4pV+CfQyJkU96LEq4qQLOcajew9PpGvCqRXTvM3nbMcgiVf6785J&#10;SU3NswE0TR+rITbYls+idTZQijFDjBOCfe5hpyRfTj4I5ykJPxf6piZx5ZQUSnJ5GfLC/XFUM82t&#10;AHD/Nx7jzLCAyjgRaN6hJZxMfFtoCBOHST35xYSl5O2hqy5IFx/IUfMm7zXxrD01aUy4am2as4+u&#10;riWV/9w9H4V4bm1jhtccieF6M8cHilsdoUCOBNISCiVBuvNwt2PsDffsJGffbHcPX2iYirHAnNg7&#10;D3DT2T+HxibWJZyC8fG+ucL7rDaslj2WOuq9o9V4JC0nGNRdy/8Dj6FuHyZonZQAAAAASUVORK5C&#10;YI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qiYOvrYAAAAhAQAAGQAAAGRycy9fcmVscy9lMm9Eb2MueG1sLnJlbHOFj0FqwzAQRfeF3EHMPpad&#10;RSjFsjeh4G1IDjBIY1nEGglJLfXtI8gmgUCX8z//PaYf//wqfillF1hB17QgiHUwjq2C6+V7/wki&#10;F2SDa2BSsFGGcdh99GdasdRRXlzMolI4K1hKiV9SZr2Qx9yESFybOSSPpZ7Jyoj6hpbkoW2PMj0z&#10;YHhhiskoSJPpQFy2WM3/s8M8O02noH88cXmjkM5XdwVislQUeDIOH2HXRLYgh16+PDbcAVBLAwQU&#10;AAAACACHTuJAeee6BAQBAAATAgAAEwAAAFtDb250ZW50X1R5cGVzXS54bWyVkcFOwzAMhu9IvEOU&#10;K2pTdkAIrd2BjiMgNB4gStw2onGiOJTt7Um6TYKJIe0Y29/vL8lytbUjmyCQcVjz27LiDFA5bbCv&#10;+fvmqbjnjKJELUeHUPMdEF8111fLzc4DsUQj1XyI0T8IQWoAK6l0HjB1OhesjOkYeuGl+pA9iEVV&#10;3QnlMALGIuYM3ixb6OTnGNl6m8p7E489Z4/7ubyq5sZmPtfFn0SAkU4Q6f1olIzpbmJCfeJVHJzK&#10;RM4zNBhPN0n8zIbc+e30c8GBe0mPGYwG9ipDfJY2mQsdSGj3hQGm8v+QbGmpcF1nFJRtoDZhbzAd&#10;rc6lw8K1Tl0avp6pY7aYv7T5BlBLAQIUABQAAAAIAIdO4kB557oEBAEAABMCAAATAAAAAAAAAAEA&#10;IAAAAIJjAABbQ29udGVudF9UeXBlc10ueG1sUEsBAhQACgAAAAAAh07iQAAAAAAAAAAAAAAAAAYA&#10;AAAAAAAAAAAQAAAAT2EAAF9yZWxzL1BLAQIUABQAAAAIAIdO4kCKFGY80QAAAJQBAAALAAAAAAAA&#10;AAEAIAAAAHNhAABfcmVscy8ucmVsc1BLAQIUAAoAAAAAAIdO4kAAAAAAAAAAAAAAAAAEAAAAAAAA&#10;AAAAEAAAAAAAAABkcnMvUEsBAhQACgAAAAAAh07iQAAAAAAAAAAAAAAAAAoAAAAAAAAAAAAQAAAA&#10;bWIAAGRycy9fcmVscy9QSwECFAAUAAAACACHTuJAqiYOvrYAAAAhAQAAGQAAAAAAAAABACAAAACV&#10;YgAAZHJzL19yZWxzL2Uyb0RvYy54bWwucmVsc1BLAQIUABQAAAAIAIdO4kCwIYA22gAAAAsBAAAP&#10;AAAAAAAAAAEAIAAAACIAAABkcnMvZG93bnJldi54bWxQSwECFAAUAAAACACHTuJA8ScXgVQEAACw&#10;DAAADgAAAAAAAAABACAAAAApAQAAZHJzL2Uyb0RvYy54bWxQSwECFAAKAAAAAACHTuJAAAAAAAAA&#10;AAAAAAAACgAAAAAAAAAAABAAAACpBQAAZHJzL21lZGlhL1BLAQIUABQAAAAIAIdO4kCM/nt2TFsA&#10;AEdbAAAUAAAAAAAAAAEAIAAAANEFAABkcnMvbWVkaWEvaW1hZ2UxLnBuZ1BLBQYAAAAACgAKAFIC&#10;AAC3ZAAAAAA=&#10;">
                <o:lock v:ext="edit" aspectratio="f"/>
                <v:shape id="自选图形 22022" o:spid="_x0000_s1026" o:spt="62" type="#_x0000_t62" style="position:absolute;left:0;top:0;height:447040;width:1365250;" filled="f" stroked="t" coordsize="21600,21600" o:gfxdata="UEsDBAoAAAAAAIdO4kAAAAAAAAAAAAAAAAAEAAAAZHJzL1BLAwQUAAAACACHTuJAJ1ND9cUAAADi&#10;AAAADwAAAGRycy9kb3ducmV2LnhtbEWPQUvDQBSE74L/YXlCb3aTUE2TdtuDIhSqFFsPPT6yzySa&#10;fZvubtPor3cFweMwM98wy/VoOjGQ861lBek0AUFcWd1yreDt8HQ7B+EDssbOMin4Ig/r1fXVEktt&#10;L/xKwz7UIkLYl6igCaEvpfRVQwb91PbE0Xu3zmCI0tVSO7xEuOlkliT30mDLcaHBnh4aqj73Z6Pg&#10;sB3G583j6aX40OG4K1yefZ+cUpObNFmACDSG//Bfe6MV5OldPk+zYga/l+IdkKsfUEsDBBQAAAAI&#10;AIdO4kAzLwWeOwAAADkAAAAQAAAAZHJzL3NoYXBleG1sLnhtbLOxr8jNUShLLSrOzM+zVTLUM1BS&#10;SM1Lzk/JzEu3VQoNcdO1UFIoLknMS0nMyc9LtVWqTC1Wsrfj5QIAUEsDBAoAAAAAAIdO4kAAAAAA&#10;AAAAAAAAAAAGAAAAX3JlbHMvUEsDBBQAAAAIAIdO4kDVXCYozAAAAI8BAAALAAAAX3JlbHMvLnJl&#10;bHOlkLFqAzEMhvdA38Fo7/mSoZQQX7ZC1pBCV2Hr7kzOlrHMNXn7uJRCL2TLoEG/0PcJ7faXMKmZ&#10;sniOBtZNC4qiZefjYODz9PH6DkoKRocTRzJwJYF997LaHWnCUpdk9ElUpUQxMJaStlqLHSmgNJwo&#10;1knPOWCpbR50QnvGgfSmbd90/s+AbsFUB2cgH9wG1OmaqvmOHbzNLNyXxnLQ3PfePqJqGTHRV5gq&#10;BvNAxYDL8pvW05paoB+b10+aHX/HI81L8U+Yaf7z6sUbuxtQSwMEFAAAAAgAh07iQFrjEWb3AAAA&#10;4gEAABMAAABbQ29udGVudF9UeXBlc10ueG1slZFNT8QgEIbvJv4HMlfTUj0YY0r3YPWoRtcfMIFp&#10;S7YFwmDd/ffS/bgY18QjzLzP+wTq1XYaxUyRrXcKrssKBDntjXW9go/1U3EHghM6g6N3pGBHDKvm&#10;8qJe7wKxyGnHCoaUwr2UrAeakEsfyOVJ5+OEKR9jLwPqDfYkb6rqVmrvErlUpIUBTd1Sh59jEo/b&#10;fH0wiTQyiIfD4tKlAEMYrcaUTeXszI+W4thQ5uR+hwcb+CprgPy1YZmcLzjmXvLTRGtIvGJMzzhl&#10;DWkiS+O/XKS5/BuyWE5c+K6zmso2cptjbzSfrM7RecBAGf1f/PuSO8Hl/oeab1BLAQIUABQAAAAI&#10;AIdO4kBa4xFm9wAAAOIBAAATAAAAAAAAAAEAIAAAAJYCAABbQ29udGVudF9UeXBlc10ueG1sUEsB&#10;AhQACgAAAAAAh07iQAAAAAAAAAAAAAAAAAYAAAAAAAAAAAAQAAAAfQEAAF9yZWxzL1BLAQIUABQA&#10;AAAIAIdO4kDVXCYozAAAAI8BAAALAAAAAAAAAAEAIAAAAKEBAABfcmVscy8ucmVsc1BLAQIUAAoA&#10;AAAAAIdO4kAAAAAAAAAAAAAAAAAEAAAAAAAAAAAAEAAAAAAAAABkcnMvUEsBAhQAFAAAAAgAh07i&#10;QCdTQ/XFAAAA4gAAAA8AAAAAAAAAAQAgAAAAIgAAAGRycy9kb3ducmV2LnhtbFBLAQIUABQAAAAI&#10;AIdO4kAzLwWeOwAAADkAAAAQAAAAAAAAAAEAIAAAABQBAABkcnMvc2hhcGV4bWwueG1sUEsFBgAA&#10;AAAGAAYAWwEAAL4DAAAAAA==&#10;" adj="26408,-17533,14400">
                  <v:fill on="f" focussize="0,0"/>
                  <v:stroke weight="1.5pt" color="#FF0000" miterlimit="8" joinstyle="miter"/>
                  <v:imagedata o:title=""/>
                  <o:lock v:ext="edit" aspectratio="f"/>
                  <v:textbox inset="0mm,0mm,0mm,0mm">
                    <w:txbxContent>
                      <w:p w14:paraId="14CDF381">
                        <w:pPr>
                          <w:spacing w:before="81"/>
                          <w:jc w:val="center"/>
                          <w:rPr>
                            <w:b/>
                            <w:color w:val="FF0000"/>
                            <w:sz w:val="24"/>
                          </w:rPr>
                        </w:pPr>
                        <w:r>
                          <w:rPr>
                            <w:rFonts w:hint="eastAsia"/>
                            <w:b/>
                            <w:color w:val="FF0000"/>
                            <w:sz w:val="24"/>
                          </w:rPr>
                          <w:t>本项目位置</w:t>
                        </w:r>
                      </w:p>
                    </w:txbxContent>
                  </v:textbox>
                </v:shape>
                <v:group id="组合 58" o:spid="_x0000_s1026" o:spt="203" style="position:absolute;left:1828800;top:2171700;height:476250;width:1438275;" coordsize="1438275,476250" o:gfxdata="UEsDBAoAAAAAAIdO4kAAAAAAAAAAAAAAAAAEAAAAZHJzL1BLAwQUAAAACACHTuJAksbO0sIAAADj&#10;AAAADwAAAGRycy9kb3ducmV2LnhtbEVPX2vCMBB/F/Ydwg32NtNudgudUYZM8UGE6WDs7WjOtthc&#10;ShNb/fZGGPh4v/83nZ9tI3rqfO1YQzpOQBAXztRcavjZL58VCB+QDTaOScOFPMxnD6Mp5sYN/E39&#10;LpQihrDPUUMVQptL6YuKLPqxa4kjd3CdxRDPrpSmwyGG20a+JMmbtFhzbKiwpUVFxXF3shpWAw6f&#10;r+lXvzkeFpe/fbb93aSk9dNjmnyACHQOd/G/e23i/HeVZWqi1ARuP0UA5OwKUEsDBBQAAAAIAIdO&#10;4kAzLwWeOwAAADkAAAAVAAAAZHJzL2dyb3Vwc2hhcGV4bWwueG1ss7GvyM1RKEstKs7Mz7NVMtQz&#10;UFJIzUvOT8nMS7dVCg1x07VQUiguScxLSczJz0u1VapMLVayt+PlAgBQSwMECgAAAAAAh07iQAAA&#10;AAAAAAAAAAAAAAYAAABfcmVscy9QSwMEFAAAAAgAh07iQAkttwTTAAAAmQEAAAsAAABfcmVscy8u&#10;cmVsc6WQQUsDMRCF74L/IczdzbYHEWm2N6HXWsFrSGazwU0mzMTV/ntTRHClNw9zmHnM9x5vt/9M&#10;s1qQJVI2sOl6UJgd+ZiDgZfT090DKKk2eztTRgNnFNgPtze7I862tieZYhHVKFkMTLWWR63FTZis&#10;dFQwN2UkTra2lYMu1r3ZgHrb9/eafzNgWDHVwRvgg9+COp1Lc/7DTtExCY21c5Q0jWN016g6ML2X&#10;58kWfE1zY1kOWA14lm9JLlIL2bUBfT3D5p8ZPH3kIy5r98uRcfnx1atChy9QSwMEFAAAAAgAh07i&#10;QFR96Cf+AAAA7AEAABMAAABbQ29udGVudF9UeXBlc10ueG1slZHLTsMwEEX3SPyD5S1KHFgghJp0&#10;QYAdICgfMLIniUViWx43tH/PuI8Nokhd2jP3niN7sdxMo5gxkvWultdlJQU67Y11fS0/V0/FnRSU&#10;wBkYvcNabpHksrm8WKy2AUlw2lEth5TCvVKkB5yASh/Q8aTzcYLEx9irAPoLelQ3VXWrtHcJXSpS&#10;7pDNosUO1mMSjxu+3ptEHEmKh/1iZtUSQhithsSmanbmF6U4EEpO7nZosIGuWEOqPwl5chpwyL3y&#10;00RrULxBTC8wsYYykZTx3y7iXP5fki0nKnzXWY1lG6nl2DvOR6tT7X3060ADBOT+cxnPOfyRw0eM&#10;2v1V8wNQSwECFAAUAAAACACHTuJAVH3oJ/4AAADsAQAAEwAAAAAAAAABACAAAACfAgAAW0NvbnRl&#10;bnRfVHlwZXNdLnhtbFBLAQIUAAoAAAAAAIdO4kAAAAAAAAAAAAAAAAAGAAAAAAAAAAAAEAAAAH8B&#10;AABfcmVscy9QSwECFAAUAAAACACHTuJACS23BNMAAACZAQAACwAAAAAAAAABACAAAACjAQAAX3Jl&#10;bHMvLnJlbHNQSwECFAAKAAAAAACHTuJAAAAAAAAAAAAAAAAABAAAAAAAAAAAABAAAAAAAAAAZHJz&#10;L1BLAQIUABQAAAAIAIdO4kCSxs7SwgAAAOMAAAAPAAAAAAAAAAEAIAAAACIAAABkcnMvZG93bnJl&#10;di54bWxQSwECFAAUAAAACACHTuJAMy8FnjsAAAA5AAAAFQAAAAAAAAABACAAAAARAQAAZHJzL2dy&#10;b3Vwc2hhcGV4bWwueG1sUEsFBgAAAAAGAAYAYAEAAM4DAAAAAA==&#10;">
                  <o:lock v:ext="edit" aspectratio="f"/>
                  <v:shape id="自选图形 22025" o:spid="_x0000_s1026" o:spt="61" type="#_x0000_t61" style="position:absolute;left:9525;top:0;height:476250;width:1428750;" filled="f" stroked="t" coordsize="21600,21600" o:gfxdata="UEsDBAoAAAAAAIdO4kAAAAAAAAAAAAAAAAAEAAAAZHJzL1BLAwQUAAAACACHTuJAcqC0OsIAAADj&#10;AAAADwAAAGRycy9kb3ducmV2LnhtbEVPS2sCMRC+F/wPYQRvNVkXtro1ShWEVuhBq63HYTPdXbqZ&#10;LEnq4983hUKP871nvrzaTpzJh9axhmysQBBXzrRcazi8be6nIEJENtg5Jg03CrBcDO7mWBp34R2d&#10;97EWKYRDiRqaGPtSylA1ZDGMXU+cuE/nLcZ0+loaj5cUbjs5UaqQFltODQ32tG6o+tp/Ww38vt0e&#10;T/El4Or0ejMh+3jyKtd6NMzUI4hI1/gv/nM/mzT/YTYt8tkkL+D3pwSAXPwA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HKg&#10;tDrCAAAA4wAAAA8AAAAAAAAAAQAgAAAAIgAAAGRycy9kb3ducmV2LnhtbFBLAQIUABQAAAAIAIdO&#10;4kAzLwWeOwAAADkAAAAQAAAAAAAAAAEAIAAAABEBAABkcnMvc2hhcGV4bWwueG1sUEsFBgAAAAAG&#10;AAYAWwEAALsDAAAAAA==&#10;" adj="26403,3738">
                    <v:fill on="f" focussize="0,0"/>
                    <v:stroke weight="1.5pt" color="#FF0000" miterlimit="8" joinstyle="miter"/>
                    <v:imagedata o:title=""/>
                    <o:lock v:ext="edit" aspectratio="f"/>
                    <v:textbox inset="0mm,0mm,0mm,0mm">
                      <w:txbxContent>
                        <w:p w14:paraId="656F3521">
                          <w:pPr>
                            <w:spacing w:before="81"/>
                          </w:pPr>
                        </w:p>
                      </w:txbxContent>
                    </v:textbox>
                  </v:shape>
                  <v:shape id="图片 1" o:spid="_x0000_s1026" o:spt="75" type="#_x0000_t75" style="position:absolute;left:0;top:9525;height:446405;width:1428750;" filled="f" o:preferrelative="t" stroked="f" coordsize="21600,21600" o:gfxdata="UEsDBAoAAAAAAIdO4kAAAAAAAAAAAAAAAAAEAAAAZHJzL1BLAwQUAAAACACHTuJAqbLWOsIAAADj&#10;AAAADwAAAGRycy9kb3ducmV2LnhtbEVPzUoDMRC+C75DmIIXscm2drXbpj0ISqEgtPoAw2aabLuZ&#10;LJvYrj69EYQe5/uf5XrwrThTH5vAGoqxAkFcB9Ow1fD58frwDCImZINtYNLwTRHWq9ubJVYmXHhH&#10;532yIodwrFCDS6mrpIy1I49xHDrizB1C7zHls7fS9HjJ4b6VE6VK6bHh3OCwoxdH9Wn/5TVs1Wbe&#10;He3RqvnUlW/3P8NWvu+0vhsVagEi0ZCu4n/3xuT5jzP1NJtOihL+fsoAyNUv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Kmy&#10;1jrCAAAA4wAAAA8AAAAAAAAAAQAgAAAAIgAAAGRycy9kb3ducmV2LnhtbFBLAQIUABQAAAAIAIdO&#10;4kAzLwWeOwAAADkAAAAQAAAAAAAAAAEAIAAAABEBAABkcnMvc2hhcGV4bWwueG1sUEsFBgAAAAAG&#10;AAYAWwEAALsDAAAAAA==&#10;">
                    <v:fill on="f" focussize="0,0"/>
                    <v:stroke on="f"/>
                    <v:imagedata r:id="rId56" croptop="5840f" cropright="15167f" o:title=""/>
                    <o:lock v:ext="edit" aspectratio="t"/>
                  </v:shape>
                </v:group>
              </v:group>
            </w:pict>
          </mc:Fallback>
        </mc:AlternateContent>
      </w:r>
      <w:r>
        <w:t xml:space="preserve"> </w:t>
      </w:r>
      <w:r>
        <w:drawing>
          <wp:inline distT="0" distB="0" distL="0" distR="0">
            <wp:extent cx="5274310" cy="4984115"/>
            <wp:effectExtent l="19050" t="19050" r="21590" b="26035"/>
            <wp:docPr id="1633818678"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818678" name="图片 56"/>
                    <pic:cNvPicPr>
                      <a:picLocks noChangeAspect="1" noChangeArrowheads="1"/>
                    </pic:cNvPicPr>
                  </pic:nvPicPr>
                  <pic:blipFill>
                    <a:blip r:embed="rId57"/>
                    <a:srcRect/>
                    <a:stretch>
                      <a:fillRect/>
                    </a:stretch>
                  </pic:blipFill>
                  <pic:spPr>
                    <a:xfrm>
                      <a:off x="0" y="0"/>
                      <a:ext cx="5274310" cy="4984115"/>
                    </a:xfrm>
                    <a:prstGeom prst="rect">
                      <a:avLst/>
                    </a:prstGeom>
                    <a:noFill/>
                    <a:ln w="9525">
                      <a:solidFill>
                        <a:srgbClr val="000000"/>
                      </a:solidFill>
                      <a:miter lim="800000"/>
                      <a:headEnd/>
                      <a:tailEnd/>
                    </a:ln>
                  </pic:spPr>
                </pic:pic>
              </a:graphicData>
            </a:graphic>
          </wp:inline>
        </w:drawing>
      </w:r>
    </w:p>
    <w:p w14:paraId="35C8B20F">
      <w:pPr>
        <w:spacing w:before="0" w:beforeLines="0" w:line="360" w:lineRule="auto"/>
        <w:jc w:val="center"/>
        <w:rPr>
          <w:sz w:val="24"/>
        </w:rPr>
      </w:pPr>
      <w:r>
        <w:rPr>
          <w:rFonts w:hint="eastAsia" w:eastAsia="黑体"/>
          <w:sz w:val="24"/>
        </w:rPr>
        <w:t>图4.2-3</w:t>
      </w:r>
      <w:r>
        <w:rPr>
          <w:rFonts w:eastAsia="黑体"/>
          <w:sz w:val="24"/>
        </w:rPr>
        <w:t xml:space="preserve">    </w:t>
      </w:r>
      <w:r>
        <w:rPr>
          <w:rFonts w:hint="eastAsia" w:eastAsia="黑体"/>
          <w:sz w:val="24"/>
        </w:rPr>
        <w:t>项目在辽宁省生态功能区划中的位置关系图</w:t>
      </w:r>
    </w:p>
    <w:bookmarkEnd w:id="203"/>
    <w:p w14:paraId="775E78CA">
      <w:pPr>
        <w:spacing w:before="0" w:beforeLines="0" w:line="360" w:lineRule="auto"/>
        <w:rPr>
          <w:sz w:val="24"/>
        </w:rPr>
      </w:pPr>
      <w:r>
        <w:rPr>
          <w:rFonts w:hint="eastAsia"/>
          <w:sz w:val="24"/>
        </w:rPr>
        <w:t>（2）土地利用现状</w:t>
      </w:r>
    </w:p>
    <w:p w14:paraId="1B81FCE8">
      <w:pPr>
        <w:pStyle w:val="212"/>
        <w:spacing w:before="0" w:beforeLines="0"/>
        <w:ind w:firstLine="480"/>
      </w:pPr>
      <w:r>
        <w:t>本项目</w:t>
      </w:r>
      <w:r>
        <w:rPr>
          <w:rFonts w:hint="eastAsia"/>
        </w:rPr>
        <w:t>租用土地约</w:t>
      </w:r>
      <w:r>
        <w:t>41031m</w:t>
      </w:r>
      <w:r>
        <w:rPr>
          <w:vertAlign w:val="superscript"/>
        </w:rPr>
        <w:t>2</w:t>
      </w:r>
      <w:r>
        <w:t>，</w:t>
      </w:r>
      <w:r>
        <w:rPr>
          <w:rFonts w:hint="eastAsia"/>
        </w:rPr>
        <w:t>现状</w:t>
      </w:r>
      <w:r>
        <w:t>占地类型为</w:t>
      </w:r>
      <w:r>
        <w:rPr>
          <w:rFonts w:hint="eastAsia"/>
        </w:rPr>
        <w:t>采矿</w:t>
      </w:r>
      <w:r>
        <w:t>用地。</w:t>
      </w:r>
      <w:r>
        <w:rPr>
          <w:rFonts w:hint="eastAsia"/>
        </w:rPr>
        <w:t>项目</w:t>
      </w:r>
      <w:r>
        <w:t>分两个厂区建设，1#厂区占地面积为</w:t>
      </w:r>
      <w:r>
        <w:rPr>
          <w:rFonts w:hint="eastAsia"/>
        </w:rPr>
        <w:t>18712.71</w:t>
      </w:r>
      <w:r>
        <w:t>m</w:t>
      </w:r>
      <w:r>
        <w:rPr>
          <w:vertAlign w:val="superscript"/>
        </w:rPr>
        <w:t>2</w:t>
      </w:r>
      <w:r>
        <w:t>，</w:t>
      </w:r>
      <w:r>
        <w:rPr>
          <w:rFonts w:hint="eastAsia"/>
        </w:rPr>
        <w:t>主要建设磁选车间、球磨车间、重选车间、压滤车间等；</w:t>
      </w:r>
      <w:r>
        <w:t>2#厂区占地面积为</w:t>
      </w:r>
      <w:r>
        <w:rPr>
          <w:rFonts w:hint="eastAsia"/>
        </w:rPr>
        <w:t>22318.56</w:t>
      </w:r>
      <w:r>
        <w:t>m</w:t>
      </w:r>
      <w:r>
        <w:rPr>
          <w:vertAlign w:val="superscript"/>
        </w:rPr>
        <w:t>2</w:t>
      </w:r>
      <w:r>
        <w:rPr>
          <w:rFonts w:hint="eastAsia"/>
        </w:rPr>
        <w:t>，主要建设破碎车间。</w:t>
      </w:r>
      <w:r>
        <w:t>项目位于辽宁西部山区，为冀北辽西中低山区之辽西低山丘陵区，属于燕山山系，努鲁儿虎山脉以低山丘陵为主要特征，山脉走向北东-北北东。海拔604-909.20m，相对高差305.20m。区内地貌山势总体显现西高东低，北高南低之势。地形陡峻，切割较剧烈，植被不发育，岩石裸露面积较大</w:t>
      </w:r>
      <w:r>
        <w:rPr>
          <w:rFonts w:hint="eastAsia"/>
        </w:rPr>
        <w:t>。土地利用现状见图4.2-4。</w:t>
      </w:r>
    </w:p>
    <w:p w14:paraId="7CF761DA">
      <w:pPr>
        <w:spacing w:before="0" w:beforeLines="0" w:line="360" w:lineRule="auto"/>
        <w:rPr>
          <w:sz w:val="24"/>
        </w:rPr>
      </w:pPr>
      <w:r>
        <w:drawing>
          <wp:inline distT="0" distB="0" distL="0" distR="0">
            <wp:extent cx="5274310" cy="3729355"/>
            <wp:effectExtent l="0" t="0" r="2540" b="4445"/>
            <wp:docPr id="18186107"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6107" name="图片 56"/>
                    <pic:cNvPicPr>
                      <a:picLocks noChangeAspect="1" noChangeArrowheads="1"/>
                    </pic:cNvPicPr>
                  </pic:nvPicPr>
                  <pic:blipFill>
                    <a:blip r:embed="rId58"/>
                    <a:srcRect/>
                    <a:stretch>
                      <a:fillRect/>
                    </a:stretch>
                  </pic:blipFill>
                  <pic:spPr>
                    <a:xfrm>
                      <a:off x="0" y="0"/>
                      <a:ext cx="5274310" cy="3729355"/>
                    </a:xfrm>
                    <a:prstGeom prst="rect">
                      <a:avLst/>
                    </a:prstGeom>
                    <a:noFill/>
                    <a:ln>
                      <a:noFill/>
                    </a:ln>
                  </pic:spPr>
                </pic:pic>
              </a:graphicData>
            </a:graphic>
          </wp:inline>
        </w:drawing>
      </w:r>
    </w:p>
    <w:p w14:paraId="37ECE004">
      <w:pPr>
        <w:spacing w:before="0" w:beforeLines="0" w:after="163" w:afterLines="50" w:line="240" w:lineRule="auto"/>
        <w:jc w:val="center"/>
        <w:rPr>
          <w:sz w:val="24"/>
        </w:rPr>
      </w:pPr>
      <w:r>
        <w:rPr>
          <w:rFonts w:hint="eastAsia"/>
          <w:sz w:val="24"/>
        </w:rPr>
        <w:t>图4.2-4    项目周边土地利用现状图</w:t>
      </w:r>
    </w:p>
    <w:p w14:paraId="2CECB9B8">
      <w:pPr>
        <w:spacing w:before="0" w:beforeLines="0" w:line="360" w:lineRule="auto"/>
        <w:rPr>
          <w:sz w:val="24"/>
        </w:rPr>
      </w:pPr>
      <w:bookmarkStart w:id="204" w:name="_Hlk194841403"/>
      <w:r>
        <w:rPr>
          <w:rFonts w:hint="eastAsia"/>
          <w:sz w:val="24"/>
        </w:rPr>
        <w:t>（3）植被现状</w:t>
      </w:r>
    </w:p>
    <w:p w14:paraId="25FD0CE5">
      <w:pPr>
        <w:snapToGrid w:val="0"/>
        <w:spacing w:before="0" w:beforeLines="0" w:line="360" w:lineRule="auto"/>
        <w:ind w:firstLine="480" w:firstLineChars="200"/>
        <w:contextualSpacing/>
        <w:rPr>
          <w:sz w:val="24"/>
        </w:rPr>
      </w:pPr>
      <w:r>
        <w:rPr>
          <w:sz w:val="24"/>
        </w:rPr>
        <w:t>本项目所在区域属于中国华北植物区系的华北平原和山地亚地区，由于北邻内蒙古植物区系区，加之气候旱化和人为活动的影响，蒙古区系植物成分由西北向东南大量渗入。本区包括彰武县西北部、阜蒙县北部、北票市、朝阳县和喀左县的中北部及建平县南部、凌源县和建昌县的北部</w:t>
      </w:r>
      <w:r>
        <w:rPr>
          <w:rFonts w:hint="eastAsia"/>
          <w:sz w:val="24"/>
        </w:rPr>
        <w:t>，</w:t>
      </w:r>
      <w:r>
        <w:rPr>
          <w:sz w:val="24"/>
        </w:rPr>
        <w:t>为辽西山地西北部温暖带半湿润-半干旱的侧柏矮林、山杏矮林、黄榆矮林及草原化灌丛区</w:t>
      </w:r>
      <w:r>
        <w:rPr>
          <w:rFonts w:hint="eastAsia"/>
          <w:sz w:val="24"/>
        </w:rPr>
        <w:t>。</w:t>
      </w:r>
      <w:r>
        <w:rPr>
          <w:sz w:val="24"/>
        </w:rPr>
        <w:t xml:space="preserve"> </w:t>
      </w:r>
    </w:p>
    <w:p w14:paraId="1A8B5C3F">
      <w:pPr>
        <w:widowControl/>
        <w:adjustRightInd w:val="0"/>
        <w:snapToGrid w:val="0"/>
        <w:spacing w:before="0" w:beforeLines="0" w:line="360" w:lineRule="auto"/>
        <w:ind w:firstLine="480" w:firstLineChars="200"/>
        <w:jc w:val="left"/>
        <w:rPr>
          <w:sz w:val="24"/>
        </w:rPr>
      </w:pPr>
      <w:r>
        <w:rPr>
          <w:kern w:val="0"/>
          <w:sz w:val="24"/>
          <w:lang w:bidi="ar"/>
        </w:rPr>
        <w:t>根据调查访问和现场勘察，本项目所在地及周边区域已形成以工矿生产和林地为主的生态环境。</w:t>
      </w:r>
      <w:r>
        <w:rPr>
          <w:rFonts w:hint="eastAsia"/>
          <w:kern w:val="0"/>
          <w:sz w:val="24"/>
          <w:lang w:bidi="ar"/>
        </w:rPr>
        <w:t>项目所在区域</w:t>
      </w:r>
      <w:r>
        <w:rPr>
          <w:kern w:val="0"/>
          <w:sz w:val="24"/>
          <w:lang w:bidi="ar"/>
        </w:rPr>
        <w:t>内已经无原生植被，周围区域植被覆盖度与群落结构较差，物种量与生物多样性较低</w:t>
      </w:r>
      <w:r>
        <w:rPr>
          <w:rFonts w:hint="eastAsia"/>
          <w:kern w:val="0"/>
          <w:sz w:val="24"/>
          <w:lang w:bidi="ar"/>
        </w:rPr>
        <w:t>。评价区植被类型见图4.2-5。</w:t>
      </w:r>
    </w:p>
    <w:p w14:paraId="42849FB6">
      <w:pPr>
        <w:spacing w:before="0" w:beforeLines="0" w:line="360" w:lineRule="auto"/>
        <w:rPr>
          <w:sz w:val="24"/>
        </w:rPr>
      </w:pPr>
      <w:r>
        <w:drawing>
          <wp:inline distT="0" distB="0" distL="0" distR="0">
            <wp:extent cx="5274310" cy="3729355"/>
            <wp:effectExtent l="0" t="0" r="2540" b="4445"/>
            <wp:docPr id="1492374304"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374304" name="图片 57"/>
                    <pic:cNvPicPr>
                      <a:picLocks noChangeAspect="1" noChangeArrowheads="1"/>
                    </pic:cNvPicPr>
                  </pic:nvPicPr>
                  <pic:blipFill>
                    <a:blip r:embed="rId59"/>
                    <a:srcRect/>
                    <a:stretch>
                      <a:fillRect/>
                    </a:stretch>
                  </pic:blipFill>
                  <pic:spPr>
                    <a:xfrm>
                      <a:off x="0" y="0"/>
                      <a:ext cx="5274310" cy="3729355"/>
                    </a:xfrm>
                    <a:prstGeom prst="rect">
                      <a:avLst/>
                    </a:prstGeom>
                    <a:noFill/>
                    <a:ln>
                      <a:noFill/>
                    </a:ln>
                  </pic:spPr>
                </pic:pic>
              </a:graphicData>
            </a:graphic>
          </wp:inline>
        </w:drawing>
      </w:r>
    </w:p>
    <w:p w14:paraId="325B5D3F">
      <w:pPr>
        <w:spacing w:before="0" w:beforeLines="0" w:line="360" w:lineRule="auto"/>
        <w:jc w:val="center"/>
        <w:rPr>
          <w:sz w:val="24"/>
        </w:rPr>
      </w:pPr>
      <w:r>
        <w:rPr>
          <w:rFonts w:hint="eastAsia"/>
          <w:sz w:val="24"/>
        </w:rPr>
        <w:t>图4.2-5   植被类型图</w:t>
      </w:r>
    </w:p>
    <w:p w14:paraId="1EA03AE7">
      <w:pPr>
        <w:snapToGrid w:val="0"/>
        <w:spacing w:before="0" w:beforeLines="0" w:line="360" w:lineRule="auto"/>
        <w:rPr>
          <w:sz w:val="24"/>
        </w:rPr>
      </w:pPr>
      <w:r>
        <w:rPr>
          <w:rFonts w:hint="eastAsia"/>
          <w:sz w:val="24"/>
        </w:rPr>
        <w:t>（3）动物现状</w:t>
      </w:r>
    </w:p>
    <w:p w14:paraId="4B15CBDF">
      <w:pPr>
        <w:widowControl/>
        <w:adjustRightInd w:val="0"/>
        <w:snapToGrid w:val="0"/>
        <w:spacing w:before="0" w:beforeLines="0" w:line="360" w:lineRule="auto"/>
        <w:ind w:firstLine="480" w:firstLineChars="200"/>
        <w:jc w:val="left"/>
        <w:rPr>
          <w:kern w:val="0"/>
          <w:sz w:val="24"/>
          <w:lang w:bidi="ar"/>
        </w:rPr>
      </w:pPr>
      <w:r>
        <w:rPr>
          <w:kern w:val="0"/>
          <w:sz w:val="24"/>
          <w:lang w:bidi="ar"/>
        </w:rPr>
        <w:t>项目所在区域由于人类活动频繁，对野生动物活动干扰性大，项目所在地的野生动物种类很少。本项目评价范围内常见的动物有昆虫、爬行类、两栖类、小哺乳类及常见的鸟类，该区域自然条件适合上述生物栖息、繁衍、生长，分布有多类常见的野生动物，无脊椎动物，其中节肢动物主要有竹筒蜂、蟋蟀、蜈蚣等，脊椎动物以鸟类为多，爬行类主要有蛇，鸟类主要有乌鸦、山雀等，哺乳类主要有鼠类，人工养殖的牛、马等。根据调查，评价区内未发现国家级和省级保护级别的动物的栖息繁殖地，也未在评价范围内观察到大型野生哺乳动物。</w:t>
      </w:r>
    </w:p>
    <w:bookmarkEnd w:id="204"/>
    <w:p w14:paraId="08C3068A">
      <w:pPr>
        <w:pStyle w:val="4"/>
        <w:keepNext w:val="0"/>
        <w:spacing w:line="416" w:lineRule="auto"/>
        <w:rPr>
          <w:rFonts w:ascii="Times New Roman" w:hAnsi="Times New Roman" w:eastAsia="宋体"/>
          <w:color w:val="auto"/>
        </w:rPr>
      </w:pPr>
      <w:bookmarkStart w:id="205" w:name="_Toc799"/>
      <w:bookmarkStart w:id="206" w:name="_Toc17166"/>
      <w:bookmarkStart w:id="207" w:name="_Toc239274274"/>
      <w:bookmarkStart w:id="208" w:name="_Toc523130967"/>
      <w:r>
        <w:rPr>
          <w:rFonts w:hint="eastAsia" w:ascii="Times New Roman" w:hAnsi="Times New Roman" w:eastAsia="宋体"/>
          <w:color w:val="auto"/>
        </w:rPr>
        <w:t>4</w:t>
      </w:r>
      <w:r>
        <w:rPr>
          <w:rFonts w:ascii="Times New Roman" w:hAnsi="Times New Roman" w:eastAsia="宋体"/>
          <w:color w:val="auto"/>
        </w:rPr>
        <w:t>.3 区域污染源调查</w:t>
      </w:r>
      <w:bookmarkEnd w:id="205"/>
      <w:bookmarkEnd w:id="206"/>
      <w:bookmarkEnd w:id="207"/>
      <w:bookmarkEnd w:id="208"/>
    </w:p>
    <w:p w14:paraId="5686870A">
      <w:pPr>
        <w:adjustRightInd w:val="0"/>
        <w:snapToGrid w:val="0"/>
        <w:spacing w:before="0" w:beforeLines="0" w:line="360" w:lineRule="auto"/>
        <w:ind w:firstLine="480" w:firstLineChars="200"/>
        <w:rPr>
          <w:kern w:val="0"/>
          <w:sz w:val="24"/>
          <w:lang w:bidi="ar"/>
        </w:rPr>
      </w:pPr>
      <w:r>
        <w:rPr>
          <w:sz w:val="24"/>
          <w:szCs w:val="21"/>
        </w:rPr>
        <w:t>本项目位于</w:t>
      </w:r>
      <w:r>
        <w:rPr>
          <w:rFonts w:hint="eastAsia"/>
          <w:kern w:val="0"/>
          <w:sz w:val="24"/>
          <w:szCs w:val="21"/>
        </w:rPr>
        <w:t>辽宁省阜新市阜蒙县旧庙镇阿哈来村</w:t>
      </w:r>
      <w:r>
        <w:rPr>
          <w:sz w:val="24"/>
          <w:szCs w:val="21"/>
        </w:rPr>
        <w:t>，项目临近无其他工业企业</w:t>
      </w:r>
      <w:r>
        <w:rPr>
          <w:rFonts w:hint="eastAsia"/>
          <w:sz w:val="24"/>
          <w:szCs w:val="21"/>
        </w:rPr>
        <w:t>；</w:t>
      </w:r>
      <w:r>
        <w:rPr>
          <w:sz w:val="24"/>
          <w:szCs w:val="21"/>
        </w:rPr>
        <w:t>项目所</w:t>
      </w:r>
      <w:r>
        <w:rPr>
          <w:rFonts w:hint="eastAsia"/>
          <w:sz w:val="24"/>
          <w:szCs w:val="21"/>
        </w:rPr>
        <w:t>处</w:t>
      </w:r>
      <w:r>
        <w:rPr>
          <w:sz w:val="24"/>
          <w:szCs w:val="21"/>
        </w:rPr>
        <w:t>区域</w:t>
      </w:r>
      <w:r>
        <w:rPr>
          <w:rFonts w:hint="eastAsia"/>
          <w:sz w:val="24"/>
          <w:szCs w:val="21"/>
        </w:rPr>
        <w:t>有辽宁鑫岳矿业有限公司、阜新亿升达铁选厂和阜新兴泰新型建材有限公司</w:t>
      </w:r>
      <w:r>
        <w:rPr>
          <w:sz w:val="24"/>
          <w:szCs w:val="21"/>
        </w:rPr>
        <w:t>。</w:t>
      </w:r>
      <w:r>
        <w:rPr>
          <w:rFonts w:hint="eastAsia"/>
          <w:sz w:val="24"/>
          <w:szCs w:val="21"/>
        </w:rPr>
        <w:t>矿山企业均已停产多年，其他企业为已建企业，无拟建和在建企业。</w:t>
      </w:r>
    </w:p>
    <w:p w14:paraId="05B5BCBD">
      <w:pPr>
        <w:pStyle w:val="3"/>
        <w:spacing w:before="156" w:after="156"/>
        <w:rPr>
          <w:color w:val="auto"/>
        </w:rPr>
      </w:pPr>
      <w:bookmarkStart w:id="209" w:name="_Toc239274275"/>
      <w:r>
        <w:rPr>
          <w:color w:val="auto"/>
        </w:rPr>
        <w:t>5.</w:t>
      </w:r>
      <w:r>
        <w:rPr>
          <w:rFonts w:hint="eastAsia"/>
          <w:color w:val="auto"/>
        </w:rPr>
        <w:t>生态</w:t>
      </w:r>
      <w:r>
        <w:rPr>
          <w:color w:val="auto"/>
        </w:rPr>
        <w:t>环境影响预测与评价</w:t>
      </w:r>
      <w:bookmarkEnd w:id="209"/>
    </w:p>
    <w:p w14:paraId="28165D60">
      <w:pPr>
        <w:pStyle w:val="4"/>
        <w:rPr>
          <w:rFonts w:ascii="Times New Roman" w:hAnsi="Times New Roman" w:eastAsia="宋体"/>
          <w:color w:val="auto"/>
        </w:rPr>
      </w:pPr>
      <w:bookmarkStart w:id="210" w:name="_Toc239274276"/>
      <w:bookmarkStart w:id="211" w:name="_Toc17475977"/>
      <w:bookmarkStart w:id="212" w:name="_Toc10471210"/>
      <w:r>
        <w:rPr>
          <w:rFonts w:ascii="Times New Roman" w:hAnsi="Times New Roman" w:eastAsia="宋体"/>
          <w:color w:val="auto"/>
        </w:rPr>
        <w:t>5.1施工期</w:t>
      </w:r>
      <w:r>
        <w:rPr>
          <w:rFonts w:hint="eastAsia" w:ascii="Times New Roman" w:hAnsi="Times New Roman" w:eastAsia="宋体"/>
          <w:color w:val="auto"/>
        </w:rPr>
        <w:t>生态</w:t>
      </w:r>
      <w:r>
        <w:rPr>
          <w:rFonts w:ascii="Times New Roman" w:hAnsi="Times New Roman" w:eastAsia="宋体"/>
          <w:color w:val="auto"/>
        </w:rPr>
        <w:t>环境影响预测与评价</w:t>
      </w:r>
      <w:bookmarkEnd w:id="210"/>
    </w:p>
    <w:p w14:paraId="7D0906FC">
      <w:pPr>
        <w:pStyle w:val="5"/>
        <w:spacing w:before="156" w:after="156"/>
        <w:rPr>
          <w:color w:val="auto"/>
        </w:rPr>
      </w:pPr>
      <w:r>
        <w:rPr>
          <w:color w:val="auto"/>
        </w:rPr>
        <w:t>5.1.1施工期环境空气影响分析</w:t>
      </w:r>
    </w:p>
    <w:p w14:paraId="27DDB54A">
      <w:pPr>
        <w:pStyle w:val="190"/>
        <w:ind w:firstLine="480"/>
      </w:pPr>
      <w:r>
        <w:t>在本项目施工过程中，影响大气环境的废气排放源主要为基础开挖、场地平整、材料装卸以及材料设备运输产生扬尘、汽车尾气和挖掘机、推土机外排废气等，以上污染源中主要污染因子为粉尘。</w:t>
      </w:r>
    </w:p>
    <w:p w14:paraId="78B099C2">
      <w:pPr>
        <w:pStyle w:val="190"/>
        <w:ind w:firstLine="0" w:firstLineChars="0"/>
      </w:pPr>
      <w:r>
        <w:rPr>
          <w:rFonts w:hint="eastAsia"/>
        </w:rPr>
        <w:t>（1）扬尘影响</w:t>
      </w:r>
    </w:p>
    <w:p w14:paraId="43B5A7C7">
      <w:pPr>
        <w:pStyle w:val="190"/>
        <w:ind w:firstLine="480"/>
      </w:pPr>
      <w:r>
        <w:t>施工期间产生的粉尘（扬尘）污染主要取决于施工作业方式、材料的堆放及风力等因素，其中受风力因素的影响最大。根据相关资料，在一般气象条件下，</w:t>
      </w:r>
      <w:r>
        <w:rPr>
          <w:rFonts w:hint="eastAsia"/>
        </w:rPr>
        <w:t>平均风速2~3m/s的情况下，建筑工地下风向TSP浓度为上风向对照点的2.0～2.5倍。如果不采取防护措施，300m以内将会受到扬尘的严重影响；采用一般的防护措施，150m内会有影响；在做好施工期扬尘的防护措施下施工，下风向50m处的TSP浓度会小于0.3mg/m</w:t>
      </w:r>
      <w:r>
        <w:rPr>
          <w:rFonts w:hint="eastAsia"/>
          <w:vertAlign w:val="superscript"/>
        </w:rPr>
        <w:t>3</w:t>
      </w:r>
      <w:r>
        <w:rPr>
          <w:rFonts w:hint="eastAsia"/>
        </w:rPr>
        <w:t>，符合《环境空气质量标准》（GB3095-2026）二级标准的要求。</w:t>
      </w:r>
    </w:p>
    <w:p w14:paraId="43DE5B9F">
      <w:pPr>
        <w:spacing w:before="0" w:beforeLines="0" w:line="360" w:lineRule="auto"/>
        <w:ind w:firstLine="482"/>
        <w:rPr>
          <w:sz w:val="24"/>
        </w:rPr>
      </w:pPr>
      <w:r>
        <w:rPr>
          <w:rFonts w:hint="eastAsia"/>
          <w:sz w:val="24"/>
        </w:rPr>
        <w:t>由于运输车辆往来，在运输土方、砂石料、水泥等建筑材料以及弃土、废料等废弃物运输过程因密闭不好而引起粉尘泄漏均会对环境产生明显不利影响。运输车辆扬尘的产生量及扬尘污染程度与车辆的运输方式、路面状况、天气条件等因素关系密切，类比调查在施工过程中拉、运、卸、平土石方过程其周围产生的</w:t>
      </w:r>
      <w:r>
        <w:rPr>
          <w:sz w:val="24"/>
        </w:rPr>
        <w:t>TSP</w:t>
      </w:r>
      <w:r>
        <w:rPr>
          <w:rFonts w:hint="eastAsia"/>
          <w:sz w:val="24"/>
        </w:rPr>
        <w:t>的平均值可达到</w:t>
      </w:r>
      <w:r>
        <w:rPr>
          <w:sz w:val="24"/>
        </w:rPr>
        <w:t>0.768mg/m</w:t>
      </w:r>
      <w:r>
        <w:rPr>
          <w:sz w:val="24"/>
          <w:vertAlign w:val="superscript"/>
        </w:rPr>
        <w:t>3</w:t>
      </w:r>
      <w:r>
        <w:rPr>
          <w:rFonts w:hint="eastAsia"/>
          <w:sz w:val="24"/>
        </w:rPr>
        <w:t>。</w:t>
      </w:r>
    </w:p>
    <w:p w14:paraId="6F535143">
      <w:pPr>
        <w:spacing w:before="0" w:beforeLines="0" w:line="360" w:lineRule="auto"/>
        <w:ind w:firstLine="480"/>
        <w:rPr>
          <w:sz w:val="24"/>
        </w:rPr>
      </w:pPr>
      <w:r>
        <w:rPr>
          <w:rFonts w:hint="eastAsia"/>
          <w:sz w:val="24"/>
        </w:rPr>
        <w:t>综上所述，建筑工地扬尘对环境空气的影响范围主要是在工地围墙外</w:t>
      </w:r>
      <w:r>
        <w:rPr>
          <w:sz w:val="24"/>
        </w:rPr>
        <w:t>100m</w:t>
      </w:r>
      <w:r>
        <w:rPr>
          <w:rFonts w:hint="eastAsia"/>
          <w:sz w:val="24"/>
        </w:rPr>
        <w:t>以内：下风向一侧</w:t>
      </w:r>
      <w:r>
        <w:rPr>
          <w:sz w:val="24"/>
        </w:rPr>
        <w:t>0~50m</w:t>
      </w:r>
      <w:r>
        <w:rPr>
          <w:rFonts w:hint="eastAsia"/>
          <w:sz w:val="24"/>
        </w:rPr>
        <w:t>为重污染带；</w:t>
      </w:r>
      <w:r>
        <w:rPr>
          <w:sz w:val="24"/>
        </w:rPr>
        <w:t>50~150m</w:t>
      </w:r>
      <w:r>
        <w:rPr>
          <w:rFonts w:hint="eastAsia"/>
          <w:sz w:val="24"/>
        </w:rPr>
        <w:t>为较重污染带；大于</w:t>
      </w:r>
      <w:r>
        <w:rPr>
          <w:sz w:val="24"/>
        </w:rPr>
        <w:t>150m</w:t>
      </w:r>
      <w:r>
        <w:rPr>
          <w:rFonts w:hint="eastAsia"/>
          <w:sz w:val="24"/>
        </w:rPr>
        <w:t>为轻污染带，为减轻扬尘对周围环境的影响，在作业现场应采取相应的防护措施，如加盖遮盖物，干燥的天气时洒水以增加地面湿度，以减轻扬尘对周围环境的影响。目前距离本项目厂址区施工场地最近的敏感点为大于1000</w:t>
      </w:r>
      <w:r>
        <w:rPr>
          <w:sz w:val="24"/>
        </w:rPr>
        <w:t>m</w:t>
      </w:r>
      <w:r>
        <w:rPr>
          <w:rFonts w:hint="eastAsia"/>
          <w:sz w:val="24"/>
        </w:rPr>
        <w:t>，因此施工对周边居民区造成的影响较小。</w:t>
      </w:r>
      <w:r>
        <w:rPr>
          <w:sz w:val="24"/>
        </w:rPr>
        <w:t>施工扬尘符合《施工及堆料场地扬尘排放标准》（DB21/2642-2016）中的相关标准要求。</w:t>
      </w:r>
    </w:p>
    <w:p w14:paraId="6A616508">
      <w:pPr>
        <w:pStyle w:val="5"/>
        <w:spacing w:before="156" w:after="156"/>
        <w:rPr>
          <w:color w:val="auto"/>
        </w:rPr>
      </w:pPr>
      <w:r>
        <w:rPr>
          <w:color w:val="auto"/>
        </w:rPr>
        <w:t>5.1.2施工期声环境影响分析</w:t>
      </w:r>
    </w:p>
    <w:p w14:paraId="356DE11D">
      <w:pPr>
        <w:pStyle w:val="190"/>
        <w:ind w:firstLine="480"/>
      </w:pPr>
      <w:r>
        <w:t>本项目施工期间噪声主要</w:t>
      </w:r>
      <w:r>
        <w:rPr>
          <w:rFonts w:hint="eastAsia"/>
          <w:lang w:val="en-US" w:eastAsia="zh-CN"/>
        </w:rPr>
        <w:t>来自</w:t>
      </w:r>
      <w:r>
        <w:t>场地平整各类机械设备（装载机、挖掘机、推土机等）噪声和厂房内地面、墙体的冲钻、打孔。其噪声值大约在75~95dB（A）左右。由于项目建设场地距最近的村庄均在</w:t>
      </w:r>
      <w:r>
        <w:rPr>
          <w:rFonts w:hint="eastAsia"/>
        </w:rPr>
        <w:t>10</w:t>
      </w:r>
      <w:r>
        <w:t>00m以上，因此项目施工噪声对环境影响小。</w:t>
      </w:r>
    </w:p>
    <w:p w14:paraId="5361DD04">
      <w:pPr>
        <w:pStyle w:val="190"/>
        <w:ind w:firstLine="480"/>
      </w:pPr>
      <w:r>
        <w:t>为了最大限度地减小项目施工噪声，施工方应按照国家和地方等有关规定和要求开展施工。通过采取有效的噪声防治措施后，施工噪声对周边环境影响小。施工结束后，该影响消失。</w:t>
      </w:r>
    </w:p>
    <w:p w14:paraId="6C68C73B">
      <w:pPr>
        <w:pStyle w:val="5"/>
        <w:spacing w:before="156" w:after="156"/>
        <w:rPr>
          <w:color w:val="auto"/>
        </w:rPr>
      </w:pPr>
      <w:r>
        <w:rPr>
          <w:color w:val="auto"/>
        </w:rPr>
        <w:t>5.1.3施工期水环境影响分析</w:t>
      </w:r>
    </w:p>
    <w:p w14:paraId="0AB0080A">
      <w:pPr>
        <w:pStyle w:val="190"/>
        <w:ind w:firstLine="480"/>
      </w:pPr>
      <w:r>
        <w:t>工程施工将产生一定量的施工废水。项目主体建筑物施工过程中的废水主要产生于建筑物砼浇筑与养护过程中，施工废水中主要污染物为SS，其产生时段主要集中于建筑物砼浇筑高峰期。施工废水中含SS浓度较高，约500~1000mg/L，施工废水沉淀池沉淀后回用不外排。生活污水经化粪池处理后定期清掏，则施工期废水对项目区域水环境质量影响不大。</w:t>
      </w:r>
    </w:p>
    <w:p w14:paraId="1E3126CD">
      <w:pPr>
        <w:pStyle w:val="5"/>
        <w:spacing w:before="156" w:after="156"/>
        <w:rPr>
          <w:color w:val="auto"/>
        </w:rPr>
      </w:pPr>
      <w:r>
        <w:rPr>
          <w:color w:val="auto"/>
        </w:rPr>
        <w:t>5.1.4施工期固体废物影响分析</w:t>
      </w:r>
    </w:p>
    <w:p w14:paraId="5EAA3EAB">
      <w:pPr>
        <w:pStyle w:val="190"/>
        <w:ind w:firstLine="480"/>
      </w:pPr>
      <w:r>
        <w:t>施工期间产生的固体废物主要有生活垃圾、建筑垃圾等。</w:t>
      </w:r>
    </w:p>
    <w:p w14:paraId="443308CD">
      <w:pPr>
        <w:pStyle w:val="190"/>
        <w:ind w:firstLine="480"/>
      </w:pPr>
      <w:r>
        <w:t>生活垃圾如果乱堆乱放，不仅会影响施工场地的美观和卫生，而且容易引起细菌、蝇和</w:t>
      </w:r>
      <w:r>
        <w:rPr>
          <w:rFonts w:hint="eastAsia"/>
          <w:lang w:val="en-US" w:eastAsia="zh-CN"/>
        </w:rPr>
        <w:t>蚊虫</w:t>
      </w:r>
      <w:r>
        <w:t>等的滋生，危害施工人员的身体健康。本项目施工人员产生的生活垃圾经分类收集后全部交由环卫部门统一处理处置，能够有效减少生活垃圾对环境造成的不利影响。</w:t>
      </w:r>
    </w:p>
    <w:p w14:paraId="74E582C7">
      <w:pPr>
        <w:pStyle w:val="190"/>
        <w:ind w:firstLine="480"/>
      </w:pPr>
      <w:r>
        <w:t>建筑垃圾均由施工单位运至指定位置进行处理，不会对环境造成不利影响。</w:t>
      </w:r>
    </w:p>
    <w:p w14:paraId="23D6F21F">
      <w:pPr>
        <w:pStyle w:val="5"/>
        <w:spacing w:before="156" w:after="156"/>
        <w:rPr>
          <w:color w:val="auto"/>
        </w:rPr>
      </w:pPr>
      <w:r>
        <w:rPr>
          <w:color w:val="auto"/>
        </w:rPr>
        <w:t>5.1.5施工期生态影响分析</w:t>
      </w:r>
    </w:p>
    <w:p w14:paraId="08136369">
      <w:pPr>
        <w:autoSpaceDE w:val="0"/>
        <w:autoSpaceDN w:val="0"/>
        <w:spacing w:before="81" w:line="360" w:lineRule="auto"/>
        <w:ind w:firstLine="480" w:firstLineChars="200"/>
        <w:textAlignment w:val="bottom"/>
        <w:rPr>
          <w:kern w:val="0"/>
          <w:sz w:val="24"/>
          <w:szCs w:val="20"/>
        </w:rPr>
      </w:pPr>
      <w:r>
        <w:rPr>
          <w:kern w:val="0"/>
          <w:sz w:val="24"/>
          <w:szCs w:val="20"/>
        </w:rPr>
        <w:t>本项目为</w:t>
      </w:r>
      <w:r>
        <w:rPr>
          <w:rFonts w:hint="eastAsia"/>
          <w:kern w:val="0"/>
          <w:sz w:val="24"/>
          <w:szCs w:val="20"/>
        </w:rPr>
        <w:t>新建</w:t>
      </w:r>
      <w:r>
        <w:rPr>
          <w:kern w:val="0"/>
          <w:sz w:val="24"/>
          <w:szCs w:val="20"/>
        </w:rPr>
        <w:t>项目，</w:t>
      </w:r>
      <w:r>
        <w:rPr>
          <w:rFonts w:hint="eastAsia"/>
          <w:kern w:val="0"/>
          <w:sz w:val="24"/>
          <w:szCs w:val="20"/>
        </w:rPr>
        <w:t>租用亿升达采矿用地，分为</w:t>
      </w:r>
      <w:r>
        <w:rPr>
          <w:kern w:val="0"/>
          <w:sz w:val="24"/>
          <w:szCs w:val="20"/>
        </w:rPr>
        <w:t>1#厂区和2#厂区</w:t>
      </w:r>
      <w:r>
        <w:rPr>
          <w:rFonts w:hint="eastAsia"/>
          <w:kern w:val="0"/>
          <w:sz w:val="24"/>
          <w:szCs w:val="20"/>
        </w:rPr>
        <w:t>建设</w:t>
      </w:r>
      <w:r>
        <w:rPr>
          <w:kern w:val="0"/>
          <w:sz w:val="24"/>
          <w:szCs w:val="20"/>
        </w:rPr>
        <w:t>，</w:t>
      </w:r>
      <w:r>
        <w:rPr>
          <w:rFonts w:hint="eastAsia"/>
          <w:kern w:val="0"/>
          <w:sz w:val="24"/>
          <w:szCs w:val="20"/>
        </w:rPr>
        <w:t>租用土</w:t>
      </w:r>
      <w:r>
        <w:rPr>
          <w:kern w:val="0"/>
          <w:sz w:val="24"/>
          <w:szCs w:val="20"/>
        </w:rPr>
        <w:t>地面积41031m</w:t>
      </w:r>
      <w:r>
        <w:rPr>
          <w:kern w:val="0"/>
          <w:sz w:val="24"/>
          <w:szCs w:val="20"/>
          <w:vertAlign w:val="superscript"/>
        </w:rPr>
        <w:t>2</w:t>
      </w:r>
      <w:r>
        <w:rPr>
          <w:kern w:val="0"/>
          <w:sz w:val="24"/>
          <w:szCs w:val="20"/>
        </w:rPr>
        <w:t>。</w:t>
      </w:r>
    </w:p>
    <w:p w14:paraId="714A4638">
      <w:pPr>
        <w:wordWrap w:val="0"/>
        <w:autoSpaceDE w:val="0"/>
        <w:autoSpaceDN w:val="0"/>
        <w:spacing w:before="0" w:beforeLines="0" w:line="360" w:lineRule="auto"/>
        <w:ind w:firstLine="480" w:firstLineChars="200"/>
        <w:jc w:val="left"/>
        <w:textAlignment w:val="bottom"/>
        <w:rPr>
          <w:sz w:val="24"/>
        </w:rPr>
      </w:pPr>
      <w:r>
        <w:rPr>
          <w:kern w:val="0"/>
          <w:sz w:val="24"/>
          <w:szCs w:val="20"/>
        </w:rPr>
        <w:t>本工程生态影响主要是新建厂房开挖对土地的扰动影响，</w:t>
      </w:r>
      <w:r>
        <w:rPr>
          <w:rFonts w:hint="eastAsia"/>
          <w:kern w:val="0"/>
          <w:sz w:val="24"/>
          <w:szCs w:val="20"/>
        </w:rPr>
        <w:t>租用土地</w:t>
      </w:r>
      <w:r>
        <w:rPr>
          <w:kern w:val="0"/>
          <w:sz w:val="24"/>
          <w:szCs w:val="20"/>
        </w:rPr>
        <w:t>现状为</w:t>
      </w:r>
      <w:r>
        <w:rPr>
          <w:rFonts w:hint="eastAsia"/>
          <w:kern w:val="0"/>
          <w:sz w:val="24"/>
          <w:szCs w:val="20"/>
        </w:rPr>
        <w:t>采矿用地，基本无植被。因此施工期生态影响</w:t>
      </w:r>
      <w:r>
        <w:rPr>
          <w:rFonts w:hint="eastAsia"/>
          <w:sz w:val="24"/>
        </w:rPr>
        <w:t>主要表现在：</w:t>
      </w:r>
      <w:r>
        <w:rPr>
          <w:rFonts w:hint="eastAsia" w:ascii="宋体" w:hAnsi="宋体" w:cs="宋体"/>
          <w:sz w:val="24"/>
        </w:rPr>
        <w:t>①</w:t>
      </w:r>
      <w:r>
        <w:rPr>
          <w:rFonts w:hint="eastAsia"/>
          <w:sz w:val="24"/>
        </w:rPr>
        <w:t>施工过程中，占地范围内的土地利用类型发生改变，这些土地利用类型的变化将会引起局部区域内景观生态类型与格局的改变；</w:t>
      </w:r>
      <w:r>
        <w:rPr>
          <w:rFonts w:hint="eastAsia" w:ascii="宋体" w:hAnsi="宋体" w:cs="宋体"/>
          <w:sz w:val="24"/>
        </w:rPr>
        <w:t>②</w:t>
      </w:r>
      <w:r>
        <w:rPr>
          <w:rFonts w:hint="eastAsia"/>
          <w:sz w:val="24"/>
        </w:rPr>
        <w:t>施工过程中，对地表土体的扰动，将会在短期内引起区域土壤侵蚀量的增加，在不同程度上对原有水土保持设施造成了一定的破坏，从而增加了一定量的水土流失；</w:t>
      </w:r>
      <w:r>
        <w:rPr>
          <w:sz w:val="24"/>
        </w:rPr>
        <w:fldChar w:fldCharType="begin"/>
      </w:r>
      <w:r>
        <w:rPr>
          <w:sz w:val="24"/>
        </w:rPr>
        <w:instrText xml:space="preserve"> </w:instrText>
      </w:r>
      <w:r>
        <w:rPr>
          <w:rFonts w:hint="eastAsia"/>
          <w:sz w:val="24"/>
        </w:rPr>
        <w:instrText xml:space="preserve">= 3 \* GB3</w:instrText>
      </w:r>
      <w:r>
        <w:rPr>
          <w:sz w:val="24"/>
        </w:rPr>
        <w:instrText xml:space="preserve"> </w:instrText>
      </w:r>
      <w:r>
        <w:rPr>
          <w:sz w:val="24"/>
        </w:rPr>
        <w:fldChar w:fldCharType="separate"/>
      </w:r>
      <w:r>
        <w:rPr>
          <w:rFonts w:hint="eastAsia"/>
          <w:sz w:val="24"/>
        </w:rPr>
        <w:t>③</w:t>
      </w:r>
      <w:r>
        <w:rPr>
          <w:sz w:val="24"/>
        </w:rPr>
        <w:fldChar w:fldCharType="end"/>
      </w:r>
      <w:r>
        <w:rPr>
          <w:rFonts w:hint="eastAsia"/>
          <w:sz w:val="24"/>
        </w:rPr>
        <w:t>施工机械噪声、人员活动等，将惊吓和驱赶施工区及周围一定范围内的野生动物，影响野生动物的活动和栖息。</w:t>
      </w:r>
    </w:p>
    <w:p w14:paraId="6C94F3B2">
      <w:pPr>
        <w:wordWrap w:val="0"/>
        <w:autoSpaceDE w:val="0"/>
        <w:autoSpaceDN w:val="0"/>
        <w:spacing w:before="0" w:beforeLines="0" w:line="360" w:lineRule="auto"/>
        <w:ind w:firstLine="480" w:firstLineChars="200"/>
        <w:jc w:val="left"/>
        <w:textAlignment w:val="bottom"/>
        <w:rPr>
          <w:kern w:val="0"/>
          <w:sz w:val="24"/>
          <w:szCs w:val="20"/>
        </w:rPr>
      </w:pPr>
      <w:r>
        <w:rPr>
          <w:rFonts w:hint="eastAsia"/>
          <w:kern w:val="0"/>
          <w:sz w:val="24"/>
          <w:szCs w:val="20"/>
        </w:rPr>
        <w:t>施工期生态影响主要是施工期间开挖、平整对土地的扰动等造成的短期水土流失加剧，对局部生态环境有不利影响。根据其工程建设的施工特征及场地现状情况，评价要求建设单位严格限制施工范围，加强对开挖、土方堆存等影响环节的影响控制，最大程度的减轻对植被的破坏和水土流失的影响。通过加强对施工人员的管理，乱捕乱猎行为可以杜绝，项目的施工建设不会使评价区野生动物物种数发生较大变化，种群数量也不会发生明显改变。</w:t>
      </w:r>
    </w:p>
    <w:p w14:paraId="3128D499">
      <w:pPr>
        <w:pStyle w:val="4"/>
        <w:rPr>
          <w:rFonts w:ascii="Times New Roman" w:hAnsi="Times New Roman" w:eastAsia="宋体"/>
          <w:color w:val="auto"/>
        </w:rPr>
      </w:pPr>
      <w:bookmarkStart w:id="213" w:name="_Toc239274277"/>
      <w:r>
        <w:rPr>
          <w:rFonts w:ascii="Times New Roman" w:hAnsi="Times New Roman" w:eastAsia="宋体"/>
          <w:color w:val="auto"/>
        </w:rPr>
        <w:t>5.2环境空气影响预测与评价</w:t>
      </w:r>
      <w:bookmarkEnd w:id="211"/>
      <w:bookmarkEnd w:id="212"/>
      <w:bookmarkEnd w:id="213"/>
    </w:p>
    <w:p w14:paraId="0670C9C7">
      <w:pPr>
        <w:keepNext/>
        <w:keepLines/>
        <w:numPr>
          <w:ilvl w:val="2"/>
          <w:numId w:val="0"/>
        </w:numPr>
        <w:spacing w:before="260" w:beforeLines="0" w:after="260" w:line="415" w:lineRule="auto"/>
        <w:outlineLvl w:val="2"/>
        <w:rPr>
          <w:b/>
          <w:bCs/>
          <w:sz w:val="28"/>
          <w:szCs w:val="28"/>
        </w:rPr>
      </w:pPr>
      <w:bookmarkStart w:id="214" w:name="_Toc17475978"/>
      <w:r>
        <w:rPr>
          <w:rFonts w:hint="eastAsia"/>
          <w:b/>
          <w:bCs/>
          <w:sz w:val="28"/>
          <w:szCs w:val="28"/>
        </w:rPr>
        <w:t>5.2.1大气环境影响预测方案</w:t>
      </w:r>
    </w:p>
    <w:p w14:paraId="2FF982C1">
      <w:pPr>
        <w:widowControl/>
        <w:spacing w:before="0" w:beforeLines="0" w:line="360" w:lineRule="auto"/>
        <w:contextualSpacing/>
        <w:rPr>
          <w:b/>
          <w:sz w:val="24"/>
          <w:szCs w:val="20"/>
        </w:rPr>
      </w:pPr>
      <w:r>
        <w:rPr>
          <w:rFonts w:hint="eastAsia"/>
          <w:b/>
          <w:sz w:val="24"/>
          <w:szCs w:val="20"/>
        </w:rPr>
        <w:t>5.2.1.1评价基准年和预测模型选取</w:t>
      </w:r>
    </w:p>
    <w:p w14:paraId="1219E714">
      <w:pPr>
        <w:widowControl/>
        <w:spacing w:before="0" w:beforeLines="0" w:line="360" w:lineRule="auto"/>
        <w:ind w:firstLine="482" w:firstLineChars="200"/>
        <w:contextualSpacing/>
        <w:rPr>
          <w:b/>
          <w:sz w:val="24"/>
          <w:szCs w:val="20"/>
        </w:rPr>
      </w:pPr>
      <w:r>
        <w:rPr>
          <w:rFonts w:hint="eastAsia"/>
          <w:b/>
          <w:sz w:val="24"/>
          <w:szCs w:val="20"/>
        </w:rPr>
        <w:t>⑴评价基准年筛选</w:t>
      </w:r>
    </w:p>
    <w:p w14:paraId="06C2B041">
      <w:pPr>
        <w:widowControl/>
        <w:spacing w:before="0" w:beforeLines="0" w:line="360" w:lineRule="auto"/>
        <w:ind w:firstLine="480" w:firstLineChars="200"/>
        <w:contextualSpacing/>
        <w:rPr>
          <w:sz w:val="24"/>
          <w:szCs w:val="20"/>
        </w:rPr>
      </w:pPr>
      <w:r>
        <w:rPr>
          <w:rFonts w:hint="eastAsia"/>
          <w:sz w:val="24"/>
          <w:szCs w:val="20"/>
        </w:rPr>
        <w:t>根据本次大气预测工作中所需的气象资料数据和区域环境空气质量现状数据的获取情况，选取</w:t>
      </w:r>
      <w:r>
        <w:rPr>
          <w:sz w:val="24"/>
          <w:szCs w:val="20"/>
        </w:rPr>
        <w:t>202</w:t>
      </w:r>
      <w:r>
        <w:rPr>
          <w:rFonts w:hint="eastAsia"/>
          <w:sz w:val="24"/>
          <w:szCs w:val="20"/>
        </w:rPr>
        <w:t>5年作为评价基准年，预测时段连续取</w:t>
      </w:r>
      <w:r>
        <w:rPr>
          <w:sz w:val="24"/>
          <w:szCs w:val="20"/>
        </w:rPr>
        <w:t>1</w:t>
      </w:r>
      <w:r>
        <w:rPr>
          <w:rFonts w:hint="eastAsia"/>
          <w:sz w:val="24"/>
          <w:szCs w:val="20"/>
        </w:rPr>
        <w:t>个完整日历年。具体筛选结果见表5.2-1。</w:t>
      </w:r>
    </w:p>
    <w:p w14:paraId="75F053C0">
      <w:pPr>
        <w:keepNext/>
        <w:spacing w:before="0" w:beforeLines="0" w:line="240" w:lineRule="auto"/>
        <w:jc w:val="center"/>
        <w:rPr>
          <w:b/>
          <w:bCs/>
          <w:szCs w:val="21"/>
        </w:rPr>
      </w:pPr>
      <w:r>
        <w:rPr>
          <w:b/>
          <w:bCs/>
          <w:szCs w:val="21"/>
        </w:rPr>
        <w:t xml:space="preserve">表 </w:t>
      </w:r>
      <w:r>
        <w:rPr>
          <w:rFonts w:hint="eastAsia"/>
          <w:b/>
          <w:bCs/>
          <w:szCs w:val="21"/>
        </w:rPr>
        <w:t>5.2-</w:t>
      </w:r>
      <w:r>
        <w:rPr>
          <w:b/>
          <w:bCs/>
          <w:szCs w:val="21"/>
        </w:rPr>
        <w:noBreakHyphen/>
      </w:r>
      <w:r>
        <w:rPr>
          <w:b/>
          <w:bCs/>
          <w:szCs w:val="21"/>
        </w:rPr>
        <w:fldChar w:fldCharType="begin"/>
      </w:r>
      <w:r>
        <w:rPr>
          <w:b/>
          <w:bCs/>
          <w:szCs w:val="21"/>
        </w:rPr>
        <w:instrText xml:space="preserve"> SEQ 表 \* ARABIC \s 1 </w:instrText>
      </w:r>
      <w:r>
        <w:rPr>
          <w:b/>
          <w:bCs/>
          <w:szCs w:val="21"/>
        </w:rPr>
        <w:fldChar w:fldCharType="separate"/>
      </w:r>
      <w:r>
        <w:rPr>
          <w:b/>
          <w:bCs/>
          <w:szCs w:val="21"/>
        </w:rPr>
        <w:t>1</w:t>
      </w:r>
      <w:r>
        <w:rPr>
          <w:b/>
          <w:bCs/>
          <w:szCs w:val="21"/>
        </w:rPr>
        <w:fldChar w:fldCharType="end"/>
      </w:r>
      <w:r>
        <w:rPr>
          <w:rFonts w:hint="eastAsia"/>
          <w:b/>
          <w:bCs/>
          <w:szCs w:val="21"/>
        </w:rPr>
        <w:t xml:space="preserve">  评价基准年筛选结果</w:t>
      </w:r>
    </w:p>
    <w:tbl>
      <w:tblPr>
        <w:tblStyle w:val="89"/>
        <w:tblW w:w="8306" w:type="dxa"/>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2764"/>
        <w:gridCol w:w="2771"/>
        <w:gridCol w:w="2771"/>
      </w:tblGrid>
      <w:tr w14:paraId="5B2E13C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2764" w:type="dxa"/>
            <w:vAlign w:val="center"/>
          </w:tcPr>
          <w:p w14:paraId="1FC9D80D">
            <w:pPr>
              <w:widowControl/>
              <w:spacing w:before="0" w:beforeLines="0" w:line="240" w:lineRule="auto"/>
              <w:contextualSpacing/>
              <w:jc w:val="center"/>
              <w:rPr>
                <w:b/>
                <w:szCs w:val="21"/>
              </w:rPr>
            </w:pPr>
            <w:r>
              <w:rPr>
                <w:rFonts w:hint="eastAsia"/>
                <w:b/>
                <w:szCs w:val="21"/>
              </w:rPr>
              <w:t>资料名称</w:t>
            </w:r>
          </w:p>
        </w:tc>
        <w:tc>
          <w:tcPr>
            <w:tcW w:w="2771" w:type="dxa"/>
            <w:vAlign w:val="center"/>
          </w:tcPr>
          <w:p w14:paraId="1D722266">
            <w:pPr>
              <w:widowControl/>
              <w:spacing w:before="0" w:beforeLines="0" w:line="240" w:lineRule="auto"/>
              <w:contextualSpacing/>
              <w:jc w:val="center"/>
              <w:rPr>
                <w:b/>
                <w:szCs w:val="21"/>
              </w:rPr>
            </w:pPr>
            <w:r>
              <w:rPr>
                <w:rFonts w:hint="eastAsia"/>
                <w:b/>
                <w:szCs w:val="21"/>
              </w:rPr>
              <w:t>数据获取情况</w:t>
            </w:r>
          </w:p>
        </w:tc>
        <w:tc>
          <w:tcPr>
            <w:tcW w:w="2771" w:type="dxa"/>
            <w:vAlign w:val="center"/>
          </w:tcPr>
          <w:p w14:paraId="3E9E54F5">
            <w:pPr>
              <w:widowControl/>
              <w:spacing w:before="0" w:beforeLines="0" w:line="240" w:lineRule="auto"/>
              <w:contextualSpacing/>
              <w:jc w:val="center"/>
              <w:rPr>
                <w:b/>
                <w:szCs w:val="21"/>
              </w:rPr>
            </w:pPr>
            <w:r>
              <w:rPr>
                <w:rFonts w:hint="eastAsia"/>
                <w:b/>
                <w:szCs w:val="21"/>
              </w:rPr>
              <w:t>评价基准年筛选</w:t>
            </w:r>
          </w:p>
        </w:tc>
      </w:tr>
      <w:tr w14:paraId="058A73E1">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2764" w:type="dxa"/>
            <w:vAlign w:val="center"/>
          </w:tcPr>
          <w:p w14:paraId="11BA35F4">
            <w:pPr>
              <w:widowControl/>
              <w:spacing w:before="0" w:beforeLines="0" w:line="240" w:lineRule="auto"/>
              <w:contextualSpacing/>
              <w:jc w:val="center"/>
              <w:rPr>
                <w:szCs w:val="21"/>
              </w:rPr>
            </w:pPr>
            <w:r>
              <w:rPr>
                <w:rFonts w:hint="eastAsia"/>
                <w:szCs w:val="21"/>
              </w:rPr>
              <w:t>环境空气质量现状资料</w:t>
            </w:r>
          </w:p>
        </w:tc>
        <w:tc>
          <w:tcPr>
            <w:tcW w:w="2771" w:type="dxa"/>
            <w:vAlign w:val="center"/>
          </w:tcPr>
          <w:p w14:paraId="2FB49800">
            <w:pPr>
              <w:widowControl/>
              <w:spacing w:before="0" w:beforeLines="0" w:line="240" w:lineRule="auto"/>
              <w:contextualSpacing/>
              <w:jc w:val="center"/>
              <w:rPr>
                <w:szCs w:val="21"/>
              </w:rPr>
            </w:pPr>
            <w:r>
              <w:rPr>
                <w:rFonts w:hint="eastAsia"/>
                <w:szCs w:val="21"/>
              </w:rPr>
              <w:t>2</w:t>
            </w:r>
            <w:r>
              <w:rPr>
                <w:szCs w:val="21"/>
              </w:rPr>
              <w:t>02</w:t>
            </w:r>
            <w:r>
              <w:rPr>
                <w:rFonts w:hint="eastAsia"/>
                <w:szCs w:val="21"/>
              </w:rPr>
              <w:t>5年</w:t>
            </w:r>
          </w:p>
        </w:tc>
        <w:tc>
          <w:tcPr>
            <w:tcW w:w="2771" w:type="dxa"/>
            <w:vMerge w:val="restart"/>
            <w:vAlign w:val="center"/>
          </w:tcPr>
          <w:p w14:paraId="3E3800FB">
            <w:pPr>
              <w:widowControl/>
              <w:spacing w:before="0" w:beforeLines="0" w:line="240" w:lineRule="auto"/>
              <w:contextualSpacing/>
              <w:jc w:val="center"/>
              <w:rPr>
                <w:szCs w:val="21"/>
              </w:rPr>
            </w:pPr>
            <w:r>
              <w:rPr>
                <w:rFonts w:hint="eastAsia"/>
                <w:szCs w:val="21"/>
              </w:rPr>
              <w:t>2</w:t>
            </w:r>
            <w:r>
              <w:rPr>
                <w:szCs w:val="21"/>
              </w:rPr>
              <w:t>02</w:t>
            </w:r>
            <w:r>
              <w:rPr>
                <w:rFonts w:hint="eastAsia"/>
                <w:szCs w:val="21"/>
              </w:rPr>
              <w:t>5年</w:t>
            </w:r>
          </w:p>
        </w:tc>
      </w:tr>
      <w:tr w14:paraId="399F8F1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2764" w:type="dxa"/>
            <w:vAlign w:val="center"/>
          </w:tcPr>
          <w:p w14:paraId="2B8C3849">
            <w:pPr>
              <w:widowControl/>
              <w:spacing w:before="0" w:beforeLines="0" w:line="240" w:lineRule="auto"/>
              <w:contextualSpacing/>
              <w:jc w:val="center"/>
              <w:rPr>
                <w:szCs w:val="21"/>
              </w:rPr>
            </w:pPr>
            <w:r>
              <w:rPr>
                <w:rFonts w:hint="eastAsia"/>
                <w:szCs w:val="21"/>
              </w:rPr>
              <w:t>气象资料</w:t>
            </w:r>
          </w:p>
        </w:tc>
        <w:tc>
          <w:tcPr>
            <w:tcW w:w="2771" w:type="dxa"/>
            <w:vAlign w:val="center"/>
          </w:tcPr>
          <w:p w14:paraId="3D580F2D">
            <w:pPr>
              <w:widowControl/>
              <w:spacing w:before="0" w:beforeLines="0" w:line="240" w:lineRule="auto"/>
              <w:contextualSpacing/>
              <w:jc w:val="center"/>
              <w:rPr>
                <w:szCs w:val="21"/>
              </w:rPr>
            </w:pPr>
            <w:r>
              <w:rPr>
                <w:rFonts w:hint="eastAsia"/>
                <w:szCs w:val="21"/>
              </w:rPr>
              <w:t>2</w:t>
            </w:r>
            <w:r>
              <w:rPr>
                <w:szCs w:val="21"/>
              </w:rPr>
              <w:t>02</w:t>
            </w:r>
            <w:r>
              <w:rPr>
                <w:rFonts w:hint="eastAsia"/>
                <w:szCs w:val="21"/>
              </w:rPr>
              <w:t>5年</w:t>
            </w:r>
          </w:p>
        </w:tc>
        <w:tc>
          <w:tcPr>
            <w:tcW w:w="2771" w:type="dxa"/>
            <w:vMerge w:val="continue"/>
            <w:vAlign w:val="center"/>
          </w:tcPr>
          <w:p w14:paraId="764B1633">
            <w:pPr>
              <w:widowControl/>
              <w:spacing w:before="0" w:beforeLines="0" w:line="240" w:lineRule="auto"/>
              <w:contextualSpacing/>
              <w:jc w:val="center"/>
              <w:rPr>
                <w:szCs w:val="21"/>
              </w:rPr>
            </w:pPr>
          </w:p>
        </w:tc>
      </w:tr>
    </w:tbl>
    <w:p w14:paraId="39419391">
      <w:pPr>
        <w:widowControl/>
        <w:spacing w:before="0" w:beforeLines="0" w:line="360" w:lineRule="auto"/>
        <w:ind w:firstLine="482" w:firstLineChars="200"/>
        <w:contextualSpacing/>
        <w:rPr>
          <w:b/>
          <w:sz w:val="24"/>
          <w:szCs w:val="20"/>
        </w:rPr>
      </w:pPr>
      <w:r>
        <w:rPr>
          <w:rFonts w:hint="eastAsia"/>
          <w:b/>
          <w:sz w:val="24"/>
          <w:szCs w:val="20"/>
        </w:rPr>
        <w:t>⑵预测模型</w:t>
      </w:r>
    </w:p>
    <w:p w14:paraId="23C6E138">
      <w:pPr>
        <w:widowControl/>
        <w:spacing w:before="0" w:beforeLines="0" w:line="360" w:lineRule="auto"/>
        <w:ind w:firstLine="480" w:firstLineChars="200"/>
        <w:contextualSpacing/>
        <w:rPr>
          <w:sz w:val="24"/>
          <w:szCs w:val="20"/>
        </w:rPr>
      </w:pPr>
      <w:r>
        <w:rPr>
          <w:rFonts w:hint="eastAsia"/>
          <w:sz w:val="24"/>
          <w:szCs w:val="20"/>
        </w:rPr>
        <w:t>根据估算模型</w:t>
      </w:r>
      <w:r>
        <w:rPr>
          <w:sz w:val="24"/>
          <w:szCs w:val="20"/>
        </w:rPr>
        <w:t>A</w:t>
      </w:r>
      <w:r>
        <w:rPr>
          <w:rFonts w:hint="eastAsia"/>
          <w:sz w:val="24"/>
          <w:szCs w:val="20"/>
        </w:rPr>
        <w:t>er</w:t>
      </w:r>
      <w:r>
        <w:rPr>
          <w:sz w:val="24"/>
          <w:szCs w:val="20"/>
        </w:rPr>
        <w:t>S</w:t>
      </w:r>
      <w:r>
        <w:rPr>
          <w:rFonts w:hint="eastAsia"/>
          <w:sz w:val="24"/>
          <w:szCs w:val="20"/>
        </w:rPr>
        <w:t>creen计算结果，本项目环境空气评价等级为一级，按照《环境影响评价技术导则 大气环境》（HJ2.2-2018）中的要求，应采用进一步预测模型开展大气环境影响预测与评价。根据H</w:t>
      </w:r>
      <w:r>
        <w:rPr>
          <w:sz w:val="24"/>
          <w:szCs w:val="20"/>
        </w:rPr>
        <w:t>J</w:t>
      </w:r>
      <w:r>
        <w:rPr>
          <w:rFonts w:hint="eastAsia"/>
          <w:sz w:val="24"/>
          <w:szCs w:val="20"/>
        </w:rPr>
        <w:t>2.2-2018推荐的进一步预测模型适用范围，满足进一步预测的模型有Calpuff、Aermod和A</w:t>
      </w:r>
      <w:r>
        <w:rPr>
          <w:sz w:val="24"/>
          <w:szCs w:val="20"/>
        </w:rPr>
        <w:t>DMS</w:t>
      </w:r>
      <w:r>
        <w:rPr>
          <w:rFonts w:hint="eastAsia"/>
          <w:sz w:val="24"/>
          <w:szCs w:val="20"/>
        </w:rPr>
        <w:t>。</w:t>
      </w:r>
    </w:p>
    <w:p w14:paraId="1FBAD605">
      <w:pPr>
        <w:widowControl/>
        <w:spacing w:before="0" w:beforeLines="0" w:line="360" w:lineRule="auto"/>
        <w:ind w:firstLine="480" w:firstLineChars="200"/>
        <w:contextualSpacing/>
        <w:rPr>
          <w:sz w:val="24"/>
          <w:szCs w:val="20"/>
        </w:rPr>
      </w:pPr>
      <w:r>
        <w:rPr>
          <w:rFonts w:hint="eastAsia"/>
          <w:sz w:val="24"/>
          <w:szCs w:val="20"/>
        </w:rPr>
        <w:t>地面气象数据采用与项目所在区域气象特征基本一致的阜新县发展</w:t>
      </w:r>
      <w:r>
        <w:rPr>
          <w:sz w:val="24"/>
          <w:szCs w:val="20"/>
        </w:rPr>
        <w:t>大街</w:t>
      </w:r>
      <w:r>
        <w:rPr>
          <w:rFonts w:hint="eastAsia"/>
          <w:sz w:val="24"/>
          <w:szCs w:val="20"/>
        </w:rPr>
        <w:t>站2</w:t>
      </w:r>
      <w:r>
        <w:rPr>
          <w:sz w:val="24"/>
          <w:szCs w:val="20"/>
        </w:rPr>
        <w:t>02</w:t>
      </w:r>
      <w:r>
        <w:rPr>
          <w:rFonts w:hint="eastAsia"/>
          <w:sz w:val="24"/>
          <w:szCs w:val="20"/>
        </w:rPr>
        <w:t>3年的地面气象数据，评价基准年内出现风速≤0.5m/s的持续时间为</w:t>
      </w:r>
      <w:r>
        <w:rPr>
          <w:sz w:val="24"/>
          <w:szCs w:val="20"/>
        </w:rPr>
        <w:t>3</w:t>
      </w:r>
      <w:r>
        <w:rPr>
          <w:rFonts w:hint="eastAsia"/>
          <w:sz w:val="24"/>
          <w:szCs w:val="20"/>
        </w:rPr>
        <w:t>h，未超过72h。本项目周边3.0km范围内不存在海域，因此不需要采用Calpuff模型进行进一步预测。</w:t>
      </w:r>
    </w:p>
    <w:p w14:paraId="5DB14BE4">
      <w:pPr>
        <w:widowControl/>
        <w:adjustRightInd w:val="0"/>
        <w:snapToGrid w:val="0"/>
        <w:spacing w:before="0" w:beforeLines="0" w:line="360" w:lineRule="auto"/>
        <w:ind w:firstLine="480" w:firstLineChars="200"/>
        <w:jc w:val="left"/>
        <w:rPr>
          <w:sz w:val="24"/>
          <w:szCs w:val="20"/>
        </w:rPr>
      </w:pPr>
      <w:r>
        <w:rPr>
          <w:sz w:val="24"/>
          <w:szCs w:val="20"/>
        </w:rPr>
        <w:t>A</w:t>
      </w:r>
      <w:r>
        <w:rPr>
          <w:rFonts w:hint="eastAsia"/>
          <w:sz w:val="24"/>
          <w:szCs w:val="20"/>
        </w:rPr>
        <w:t>ermod</w:t>
      </w:r>
      <w:r>
        <w:rPr>
          <w:sz w:val="24"/>
          <w:szCs w:val="20"/>
        </w:rPr>
        <w:t>是稳态烟羽扩散模式，可基于大气边界层数据特征模拟点源、</w:t>
      </w:r>
      <w:r>
        <w:rPr>
          <w:rFonts w:hint="eastAsia"/>
          <w:sz w:val="24"/>
          <w:szCs w:val="20"/>
        </w:rPr>
        <w:t>线源、</w:t>
      </w:r>
      <w:r>
        <w:rPr>
          <w:sz w:val="24"/>
          <w:szCs w:val="20"/>
        </w:rPr>
        <w:t>面源、体源等排放出的污染物在短期</w:t>
      </w:r>
      <w:r>
        <w:rPr>
          <w:rFonts w:hint="eastAsia"/>
          <w:sz w:val="24"/>
          <w:szCs w:val="20"/>
        </w:rPr>
        <w:t>（1h</w:t>
      </w:r>
      <w:r>
        <w:rPr>
          <w:sz w:val="24"/>
          <w:szCs w:val="20"/>
        </w:rPr>
        <w:t>平均、</w:t>
      </w:r>
      <w:r>
        <w:rPr>
          <w:rFonts w:hint="eastAsia"/>
          <w:sz w:val="24"/>
          <w:szCs w:val="20"/>
        </w:rPr>
        <w:t>24h平</w:t>
      </w:r>
      <w:r>
        <w:rPr>
          <w:sz w:val="24"/>
          <w:szCs w:val="20"/>
        </w:rPr>
        <w:t>均</w:t>
      </w:r>
      <w:r>
        <w:rPr>
          <w:rFonts w:hint="eastAsia"/>
          <w:sz w:val="24"/>
          <w:szCs w:val="20"/>
        </w:rPr>
        <w:t>）和</w:t>
      </w:r>
      <w:r>
        <w:rPr>
          <w:sz w:val="24"/>
          <w:szCs w:val="20"/>
        </w:rPr>
        <w:t>长期</w:t>
      </w:r>
      <w:r>
        <w:rPr>
          <w:rFonts w:hint="eastAsia"/>
          <w:sz w:val="24"/>
          <w:szCs w:val="20"/>
        </w:rPr>
        <w:t>（年平均）</w:t>
      </w:r>
      <w:r>
        <w:rPr>
          <w:sz w:val="24"/>
          <w:szCs w:val="20"/>
        </w:rPr>
        <w:t>的浓度</w:t>
      </w:r>
      <w:r>
        <w:rPr>
          <w:rFonts w:hint="eastAsia"/>
          <w:sz w:val="24"/>
          <w:szCs w:val="20"/>
        </w:rPr>
        <w:t>场</w:t>
      </w:r>
      <w:r>
        <w:rPr>
          <w:sz w:val="24"/>
          <w:szCs w:val="20"/>
        </w:rPr>
        <w:t>分布，</w:t>
      </w:r>
      <w:r>
        <w:rPr>
          <w:rFonts w:hint="eastAsia"/>
          <w:sz w:val="24"/>
          <w:szCs w:val="20"/>
        </w:rPr>
        <w:t>并</w:t>
      </w:r>
      <w:r>
        <w:rPr>
          <w:sz w:val="24"/>
          <w:szCs w:val="20"/>
        </w:rPr>
        <w:t>适用于农村或城市地区、简单或复杂地形</w:t>
      </w:r>
      <w:r>
        <w:rPr>
          <w:rFonts w:hint="eastAsia"/>
          <w:sz w:val="24"/>
          <w:szCs w:val="20"/>
        </w:rPr>
        <w:t>的局地尺度（≤50km）范围内的环境空气质量预测</w:t>
      </w:r>
      <w:r>
        <w:rPr>
          <w:sz w:val="24"/>
          <w:szCs w:val="20"/>
        </w:rPr>
        <w:t>。</w:t>
      </w:r>
      <w:r>
        <w:rPr>
          <w:rFonts w:hint="eastAsia"/>
          <w:sz w:val="24"/>
          <w:szCs w:val="20"/>
        </w:rPr>
        <w:t>因此，本次评价采用导则推荐的Aermod模型进行大气环境影响预测计算。本次计算过程不考虑建筑物下洗、考虑颗粒物干湿沉降，不考虑N</w:t>
      </w:r>
      <w:r>
        <w:rPr>
          <w:sz w:val="24"/>
          <w:szCs w:val="20"/>
        </w:rPr>
        <w:t>Ox</w:t>
      </w:r>
      <w:r>
        <w:rPr>
          <w:rFonts w:hint="eastAsia"/>
          <w:sz w:val="24"/>
          <w:szCs w:val="20"/>
        </w:rPr>
        <w:t>化学转化。</w:t>
      </w:r>
    </w:p>
    <w:p w14:paraId="75B94E01">
      <w:pPr>
        <w:widowControl/>
        <w:spacing w:before="0" w:beforeLines="0" w:line="360" w:lineRule="auto"/>
        <w:contextualSpacing/>
        <w:rPr>
          <w:b/>
          <w:sz w:val="24"/>
          <w:szCs w:val="20"/>
        </w:rPr>
      </w:pPr>
      <w:r>
        <w:rPr>
          <w:rFonts w:hint="eastAsia"/>
          <w:b/>
          <w:sz w:val="24"/>
          <w:szCs w:val="20"/>
        </w:rPr>
        <w:t>5.2.1.2预测因子和范围</w:t>
      </w:r>
    </w:p>
    <w:p w14:paraId="60F276F2">
      <w:pPr>
        <w:widowControl/>
        <w:spacing w:before="0" w:beforeLines="0" w:line="360" w:lineRule="auto"/>
        <w:ind w:firstLine="482" w:firstLineChars="200"/>
        <w:contextualSpacing/>
        <w:rPr>
          <w:b/>
          <w:sz w:val="24"/>
          <w:szCs w:val="20"/>
        </w:rPr>
      </w:pPr>
      <w:r>
        <w:rPr>
          <w:rFonts w:hint="eastAsia"/>
          <w:b/>
          <w:sz w:val="24"/>
          <w:szCs w:val="20"/>
        </w:rPr>
        <w:t>⑴预测因子</w:t>
      </w:r>
    </w:p>
    <w:p w14:paraId="50CA020C">
      <w:pPr>
        <w:widowControl/>
        <w:spacing w:before="0" w:beforeLines="0" w:line="360" w:lineRule="auto"/>
        <w:ind w:firstLine="480" w:firstLineChars="200"/>
        <w:contextualSpacing/>
        <w:rPr>
          <w:sz w:val="24"/>
          <w:szCs w:val="20"/>
        </w:rPr>
      </w:pPr>
      <w:r>
        <w:rPr>
          <w:rFonts w:hint="eastAsia"/>
          <w:sz w:val="24"/>
          <w:szCs w:val="20"/>
        </w:rPr>
        <w:t>根据导则要求，大气预测选取有环境空气质量标准的因子作为预测因子，结合本项目工程分析结果，确定本次</w:t>
      </w:r>
      <w:r>
        <w:rPr>
          <w:sz w:val="24"/>
          <w:szCs w:val="20"/>
        </w:rPr>
        <w:t>大气</w:t>
      </w:r>
      <w:r>
        <w:rPr>
          <w:rFonts w:hint="eastAsia"/>
          <w:sz w:val="24"/>
          <w:szCs w:val="20"/>
        </w:rPr>
        <w:t>环境</w:t>
      </w:r>
      <w:r>
        <w:rPr>
          <w:sz w:val="24"/>
          <w:szCs w:val="20"/>
        </w:rPr>
        <w:t>影响评价</w:t>
      </w:r>
      <w:r>
        <w:rPr>
          <w:rFonts w:hint="eastAsia"/>
          <w:sz w:val="24"/>
          <w:szCs w:val="20"/>
        </w:rPr>
        <w:t>的</w:t>
      </w:r>
      <w:r>
        <w:rPr>
          <w:sz w:val="24"/>
          <w:szCs w:val="20"/>
        </w:rPr>
        <w:t>预测因子为PM</w:t>
      </w:r>
      <w:r>
        <w:rPr>
          <w:sz w:val="24"/>
          <w:szCs w:val="20"/>
          <w:vertAlign w:val="subscript"/>
        </w:rPr>
        <w:t>10</w:t>
      </w:r>
      <w:r>
        <w:rPr>
          <w:rFonts w:hint="eastAsia"/>
          <w:sz w:val="24"/>
          <w:szCs w:val="20"/>
        </w:rPr>
        <w:t>和</w:t>
      </w:r>
      <w:r>
        <w:rPr>
          <w:bCs/>
          <w:szCs w:val="21"/>
        </w:rPr>
        <w:t>TSP</w:t>
      </w:r>
      <w:r>
        <w:rPr>
          <w:rFonts w:hint="eastAsia"/>
          <w:sz w:val="24"/>
          <w:szCs w:val="20"/>
        </w:rPr>
        <w:t>。</w:t>
      </w:r>
    </w:p>
    <w:p w14:paraId="70BD61EB">
      <w:pPr>
        <w:widowControl/>
        <w:spacing w:before="0" w:beforeLines="0" w:line="360" w:lineRule="auto"/>
        <w:ind w:firstLine="482" w:firstLineChars="200"/>
        <w:contextualSpacing/>
        <w:rPr>
          <w:b/>
          <w:sz w:val="24"/>
          <w:szCs w:val="20"/>
        </w:rPr>
      </w:pPr>
      <w:r>
        <w:rPr>
          <w:rFonts w:hint="eastAsia"/>
          <w:b/>
          <w:sz w:val="24"/>
          <w:szCs w:val="20"/>
        </w:rPr>
        <w:t>⑵预测范围</w:t>
      </w:r>
    </w:p>
    <w:p w14:paraId="2C62733A">
      <w:pPr>
        <w:widowControl/>
        <w:spacing w:before="0" w:beforeLines="0" w:line="360" w:lineRule="auto"/>
        <w:ind w:firstLine="480" w:firstLineChars="200"/>
        <w:contextualSpacing/>
        <w:rPr>
          <w:sz w:val="24"/>
          <w:szCs w:val="20"/>
        </w:rPr>
      </w:pPr>
      <w:r>
        <w:rPr>
          <w:rFonts w:hint="eastAsia"/>
          <w:sz w:val="24"/>
          <w:szCs w:val="20"/>
        </w:rPr>
        <w:t>计算环境空气影响评价范围时，取东西向为X坐标轴，南北向为Y坐标轴，具体</w:t>
      </w:r>
      <w:r>
        <w:rPr>
          <w:sz w:val="24"/>
          <w:szCs w:val="20"/>
        </w:rPr>
        <w:t>以DA001为中心，边长为5.</w:t>
      </w:r>
      <w:r>
        <w:rPr>
          <w:rFonts w:hint="eastAsia"/>
          <w:sz w:val="24"/>
          <w:szCs w:val="20"/>
        </w:rPr>
        <w:t>5k</w:t>
      </w:r>
      <w:r>
        <w:rPr>
          <w:sz w:val="24"/>
          <w:szCs w:val="20"/>
        </w:rPr>
        <w:t>m(</w:t>
      </w:r>
      <w:r>
        <w:rPr>
          <w:rFonts w:hint="eastAsia" w:hAnsi="宋体"/>
          <w:sz w:val="24"/>
          <w:szCs w:val="20"/>
        </w:rPr>
        <w:t>东西向</w:t>
      </w:r>
      <w:r>
        <w:rPr>
          <w:sz w:val="24"/>
          <w:szCs w:val="20"/>
        </w:rPr>
        <w:t>)×5.</w:t>
      </w:r>
      <w:r>
        <w:rPr>
          <w:rFonts w:hint="eastAsia"/>
          <w:sz w:val="24"/>
          <w:szCs w:val="20"/>
        </w:rPr>
        <w:t>5k</w:t>
      </w:r>
      <w:r>
        <w:rPr>
          <w:sz w:val="24"/>
          <w:szCs w:val="20"/>
        </w:rPr>
        <w:t>m(</w:t>
      </w:r>
      <w:r>
        <w:rPr>
          <w:rFonts w:hint="eastAsia" w:hAnsi="宋体"/>
          <w:sz w:val="24"/>
          <w:szCs w:val="20"/>
        </w:rPr>
        <w:t>南北向</w:t>
      </w:r>
      <w:r>
        <w:rPr>
          <w:sz w:val="24"/>
          <w:szCs w:val="20"/>
        </w:rPr>
        <w:t>)的</w:t>
      </w:r>
      <w:r>
        <w:rPr>
          <w:rFonts w:hint="eastAsia"/>
          <w:sz w:val="24"/>
          <w:szCs w:val="20"/>
        </w:rPr>
        <w:t>矩形</w:t>
      </w:r>
      <w:r>
        <w:rPr>
          <w:sz w:val="24"/>
          <w:szCs w:val="20"/>
        </w:rPr>
        <w:t>范围。</w:t>
      </w:r>
    </w:p>
    <w:p w14:paraId="4826CEB8">
      <w:pPr>
        <w:widowControl/>
        <w:spacing w:before="0" w:beforeLines="0" w:line="240" w:lineRule="auto"/>
        <w:jc w:val="center"/>
        <w:rPr>
          <w:rFonts w:hint="eastAsia" w:ascii="宋体" w:hAnsi="宋体" w:cs="宋体" w:eastAsiaTheme="minorEastAsia"/>
          <w:kern w:val="0"/>
          <w:sz w:val="24"/>
        </w:rPr>
      </w:pPr>
      <w:r>
        <w:rPr>
          <w:rFonts w:eastAsia="Times New Roman"/>
          <w:w w:val="0"/>
          <w:kern w:val="0"/>
          <w:sz w:val="0"/>
          <w:szCs w:val="0"/>
          <w:u w:color="000000"/>
          <w:shd w:val="clear" w:color="000000" w:fill="000000"/>
        </w:rPr>
        <w:drawing>
          <wp:anchor distT="0" distB="0" distL="114300" distR="114300" simplePos="0" relativeHeight="251713536" behindDoc="0" locked="0" layoutInCell="1" allowOverlap="1">
            <wp:simplePos x="0" y="0"/>
            <wp:positionH relativeFrom="column">
              <wp:posOffset>3438525</wp:posOffset>
            </wp:positionH>
            <wp:positionV relativeFrom="paragraph">
              <wp:posOffset>166370</wp:posOffset>
            </wp:positionV>
            <wp:extent cx="564515" cy="577850"/>
            <wp:effectExtent l="0" t="0" r="7620" b="0"/>
            <wp:wrapNone/>
            <wp:docPr id="25" name="图片 25" descr="C:\Users\Administrator\Documents\WeChat Files\wxid_8343143431221\FileStorage\Temp\17433072451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C:\Users\Administrator\Documents\WeChat Files\wxid_8343143431221\FileStorage\Temp\1743307245120.pn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a:xfrm>
                      <a:off x="0" y="0"/>
                      <a:ext cx="564198" cy="577970"/>
                    </a:xfrm>
                    <a:prstGeom prst="rect">
                      <a:avLst/>
                    </a:prstGeom>
                    <a:noFill/>
                    <a:ln>
                      <a:noFill/>
                    </a:ln>
                  </pic:spPr>
                </pic:pic>
              </a:graphicData>
            </a:graphic>
          </wp:anchor>
        </w:drawing>
      </w:r>
      <w:r>
        <w:rPr>
          <w:rFonts w:hint="eastAsia" w:ascii="宋体" w:hAnsi="宋体" w:cs="宋体" w:eastAsiaTheme="minorEastAsia"/>
          <w:kern w:val="0"/>
          <w:sz w:val="24"/>
        </w:rPr>
        <w:drawing>
          <wp:inline distT="0" distB="0" distL="0" distR="0">
            <wp:extent cx="5273675" cy="3389630"/>
            <wp:effectExtent l="0" t="0" r="3175" b="1270"/>
            <wp:docPr id="128860757"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60757" name="图片 59"/>
                    <pic:cNvPicPr>
                      <a:picLocks noChangeAspect="1" noChangeArrowheads="1"/>
                    </pic:cNvPicPr>
                  </pic:nvPicPr>
                  <pic:blipFill>
                    <a:blip r:embed="rId61"/>
                    <a:srcRect/>
                    <a:stretch>
                      <a:fillRect/>
                    </a:stretch>
                  </pic:blipFill>
                  <pic:spPr>
                    <a:xfrm>
                      <a:off x="0" y="0"/>
                      <a:ext cx="5273675" cy="3389630"/>
                    </a:xfrm>
                    <a:prstGeom prst="rect">
                      <a:avLst/>
                    </a:prstGeom>
                    <a:noFill/>
                  </pic:spPr>
                </pic:pic>
              </a:graphicData>
            </a:graphic>
          </wp:inline>
        </w:drawing>
      </w:r>
    </w:p>
    <w:p w14:paraId="1C7711DF">
      <w:pPr>
        <w:widowControl/>
        <w:spacing w:before="0" w:beforeLines="0" w:line="240" w:lineRule="auto"/>
        <w:jc w:val="center"/>
        <w:rPr>
          <w:kern w:val="0"/>
          <w:sz w:val="24"/>
        </w:rPr>
      </w:pPr>
      <w:r>
        <w:rPr>
          <w:kern w:val="0"/>
          <w:sz w:val="24"/>
        </w:rPr>
        <w:t>污染源DA001: 122.663°E  42.33369°N</w:t>
      </w:r>
    </w:p>
    <w:p w14:paraId="4B3E20B6">
      <w:pPr>
        <w:widowControl/>
        <w:spacing w:before="0" w:beforeLines="0" w:line="360" w:lineRule="auto"/>
        <w:ind w:firstLine="482" w:firstLineChars="200"/>
        <w:contextualSpacing/>
        <w:jc w:val="center"/>
        <w:rPr>
          <w:b/>
          <w:bCs/>
          <w:sz w:val="24"/>
        </w:rPr>
      </w:pPr>
      <w:r>
        <w:rPr>
          <w:b/>
          <w:bCs/>
          <w:sz w:val="24"/>
        </w:rPr>
        <w:t>图 5.2-</w:t>
      </w:r>
      <w:r>
        <w:rPr>
          <w:b/>
          <w:bCs/>
          <w:sz w:val="24"/>
        </w:rPr>
        <w:fldChar w:fldCharType="begin"/>
      </w:r>
      <w:r>
        <w:rPr>
          <w:b/>
          <w:bCs/>
          <w:sz w:val="24"/>
        </w:rPr>
        <w:instrText xml:space="preserve"> SEQ 图 \* ARABIC \s 1 </w:instrText>
      </w:r>
      <w:r>
        <w:rPr>
          <w:b/>
          <w:bCs/>
          <w:sz w:val="24"/>
        </w:rPr>
        <w:fldChar w:fldCharType="separate"/>
      </w:r>
      <w:r>
        <w:rPr>
          <w:b/>
          <w:bCs/>
          <w:sz w:val="24"/>
        </w:rPr>
        <w:t>1</w:t>
      </w:r>
      <w:r>
        <w:rPr>
          <w:b/>
          <w:bCs/>
          <w:sz w:val="24"/>
        </w:rPr>
        <w:fldChar w:fldCharType="end"/>
      </w:r>
      <w:r>
        <w:rPr>
          <w:rFonts w:hint="eastAsia"/>
          <w:b/>
          <w:bCs/>
          <w:sz w:val="24"/>
        </w:rPr>
        <w:t xml:space="preserve">    </w:t>
      </w:r>
      <w:r>
        <w:rPr>
          <w:b/>
          <w:bCs/>
          <w:sz w:val="24"/>
        </w:rPr>
        <w:t>项目预测范围基本信息图</w:t>
      </w:r>
    </w:p>
    <w:p w14:paraId="2979CB59">
      <w:pPr>
        <w:widowControl/>
        <w:spacing w:before="0" w:beforeLines="0" w:line="360" w:lineRule="auto"/>
        <w:contextualSpacing/>
        <w:rPr>
          <w:b/>
          <w:sz w:val="24"/>
          <w:szCs w:val="20"/>
        </w:rPr>
      </w:pPr>
      <w:r>
        <w:rPr>
          <w:rFonts w:hint="eastAsia"/>
          <w:b/>
          <w:sz w:val="24"/>
          <w:szCs w:val="20"/>
        </w:rPr>
        <w:t>5.2.1.3预测模型基准参数选取</w:t>
      </w:r>
    </w:p>
    <w:p w14:paraId="407AD805">
      <w:pPr>
        <w:widowControl/>
        <w:snapToGrid w:val="0"/>
        <w:spacing w:before="0" w:beforeLines="0" w:line="360" w:lineRule="auto"/>
        <w:ind w:firstLine="482" w:firstLineChars="200"/>
        <w:rPr>
          <w:b/>
          <w:sz w:val="24"/>
          <w:szCs w:val="20"/>
        </w:rPr>
      </w:pPr>
      <w:r>
        <w:rPr>
          <w:rFonts w:hint="eastAsia"/>
          <w:b/>
          <w:sz w:val="24"/>
          <w:szCs w:val="20"/>
        </w:rPr>
        <w:t>1）气象数据</w:t>
      </w:r>
    </w:p>
    <w:p w14:paraId="43BE049E">
      <w:pPr>
        <w:widowControl/>
        <w:snapToGrid w:val="0"/>
        <w:spacing w:before="0" w:beforeLines="0" w:line="360" w:lineRule="auto"/>
        <w:ind w:firstLine="480" w:firstLineChars="200"/>
        <w:rPr>
          <w:sz w:val="24"/>
          <w:szCs w:val="20"/>
        </w:rPr>
      </w:pPr>
      <w:r>
        <w:rPr>
          <w:rFonts w:hint="eastAsia"/>
          <w:sz w:val="24"/>
          <w:szCs w:val="20"/>
        </w:rPr>
        <w:t>本次预测所采用的气象数据主要为地面气象数据和高空气象数据两种：</w:t>
      </w:r>
    </w:p>
    <w:p w14:paraId="6BC40234">
      <w:pPr>
        <w:widowControl/>
        <w:numPr>
          <w:ilvl w:val="0"/>
          <w:numId w:val="63"/>
        </w:numPr>
        <w:adjustRightInd w:val="0"/>
        <w:snapToGrid w:val="0"/>
        <w:spacing w:before="0" w:beforeLines="0" w:line="360" w:lineRule="auto"/>
        <w:ind w:left="0" w:firstLine="480" w:firstLineChars="200"/>
        <w:rPr>
          <w:sz w:val="24"/>
          <w:szCs w:val="20"/>
        </w:rPr>
      </w:pPr>
      <w:r>
        <w:rPr>
          <w:rFonts w:hint="eastAsia"/>
          <w:sz w:val="24"/>
          <w:szCs w:val="20"/>
        </w:rPr>
        <w:t xml:space="preserve"> 地面常规气象数据</w:t>
      </w:r>
    </w:p>
    <w:p w14:paraId="599578CE">
      <w:pPr>
        <w:widowControl/>
        <w:snapToGrid w:val="0"/>
        <w:spacing w:before="0" w:beforeLines="0" w:line="360" w:lineRule="auto"/>
        <w:ind w:firstLine="480" w:firstLineChars="200"/>
        <w:rPr>
          <w:sz w:val="24"/>
          <w:szCs w:val="20"/>
        </w:rPr>
      </w:pPr>
      <w:r>
        <w:rPr>
          <w:rFonts w:hint="eastAsia"/>
          <w:sz w:val="24"/>
          <w:szCs w:val="20"/>
        </w:rPr>
        <w:t>根据HJ2.2-2018要求，本次评价采用阜新市彰武站20</w:t>
      </w:r>
      <w:r>
        <w:rPr>
          <w:sz w:val="24"/>
          <w:szCs w:val="20"/>
        </w:rPr>
        <w:t>2</w:t>
      </w:r>
      <w:r>
        <w:rPr>
          <w:rFonts w:hint="eastAsia"/>
          <w:sz w:val="24"/>
          <w:szCs w:val="20"/>
        </w:rPr>
        <w:t>5年全年逐日逐时地面常规气象观测资料，具体参数包括时间（年、月、日、时）、风向、风速、干球温度、总云量、低云量等数据。阜新市彰武</w:t>
      </w:r>
      <w:r>
        <w:rPr>
          <w:sz w:val="24"/>
          <w:szCs w:val="20"/>
        </w:rPr>
        <w:t>气象站位于</w:t>
      </w:r>
      <w:r>
        <w:rPr>
          <w:rFonts w:hint="eastAsia"/>
          <w:sz w:val="24"/>
          <w:szCs w:val="20"/>
        </w:rPr>
        <w:t>厂区东北</w:t>
      </w:r>
      <w:r>
        <w:rPr>
          <w:sz w:val="24"/>
          <w:szCs w:val="20"/>
        </w:rPr>
        <w:t>方向，直线距离约35.</w:t>
      </w:r>
      <w:r>
        <w:rPr>
          <w:rFonts w:hint="eastAsia"/>
          <w:sz w:val="24"/>
          <w:szCs w:val="20"/>
        </w:rPr>
        <w:t>8</w:t>
      </w:r>
      <w:r>
        <w:rPr>
          <w:sz w:val="24"/>
          <w:szCs w:val="20"/>
        </w:rPr>
        <w:t>km，对本工程地点具有较好的代表性。气象站</w:t>
      </w:r>
      <w:r>
        <w:rPr>
          <w:rFonts w:hint="eastAsia"/>
          <w:sz w:val="24"/>
          <w:szCs w:val="20"/>
        </w:rPr>
        <w:t>基本情况见表5.2-2。</w:t>
      </w:r>
    </w:p>
    <w:p w14:paraId="564850AD">
      <w:pPr>
        <w:keepNext/>
        <w:spacing w:before="0" w:beforeLines="0" w:line="240" w:lineRule="auto"/>
        <w:jc w:val="center"/>
        <w:rPr>
          <w:b/>
          <w:bCs/>
          <w:snapToGrid w:val="0"/>
          <w:kern w:val="0"/>
          <w:szCs w:val="21"/>
        </w:rPr>
      </w:pPr>
      <w:r>
        <w:rPr>
          <w:b/>
          <w:bCs/>
          <w:szCs w:val="21"/>
        </w:rPr>
        <w:t>表 5.2</w:t>
      </w:r>
      <w:r>
        <w:rPr>
          <w:b/>
          <w:bCs/>
          <w:szCs w:val="21"/>
        </w:rPr>
        <w:noBreakHyphen/>
      </w:r>
      <w:r>
        <w:rPr>
          <w:b/>
          <w:bCs/>
          <w:szCs w:val="21"/>
        </w:rPr>
        <w:fldChar w:fldCharType="begin"/>
      </w:r>
      <w:r>
        <w:rPr>
          <w:b/>
          <w:bCs/>
          <w:szCs w:val="21"/>
        </w:rPr>
        <w:instrText xml:space="preserve"> SEQ 表 \* ARABIC \s 1 </w:instrText>
      </w:r>
      <w:r>
        <w:rPr>
          <w:b/>
          <w:bCs/>
          <w:szCs w:val="21"/>
        </w:rPr>
        <w:fldChar w:fldCharType="separate"/>
      </w:r>
      <w:r>
        <w:rPr>
          <w:b/>
          <w:bCs/>
          <w:szCs w:val="21"/>
        </w:rPr>
        <w:t>2</w:t>
      </w:r>
      <w:r>
        <w:rPr>
          <w:b/>
          <w:bCs/>
          <w:szCs w:val="21"/>
        </w:rPr>
        <w:fldChar w:fldCharType="end"/>
      </w:r>
      <w:r>
        <w:rPr>
          <w:rFonts w:hint="eastAsia"/>
          <w:b/>
          <w:bCs/>
          <w:szCs w:val="21"/>
        </w:rPr>
        <w:t xml:space="preserve">       </w:t>
      </w:r>
      <w:r>
        <w:rPr>
          <w:b/>
          <w:bCs/>
          <w:snapToGrid w:val="0"/>
          <w:kern w:val="0"/>
          <w:szCs w:val="21"/>
        </w:rPr>
        <w:t>地面气象观测站基本情况</w:t>
      </w:r>
    </w:p>
    <w:tbl>
      <w:tblPr>
        <w:tblStyle w:val="89"/>
        <w:tblW w:w="8306" w:type="dxa"/>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0" w:type="dxa"/>
          <w:bottom w:w="0" w:type="dxa"/>
          <w:right w:w="0" w:type="dxa"/>
        </w:tblCellMar>
      </w:tblPr>
      <w:tblGrid>
        <w:gridCol w:w="781"/>
        <w:gridCol w:w="711"/>
        <w:gridCol w:w="699"/>
        <w:gridCol w:w="1036"/>
        <w:gridCol w:w="955"/>
        <w:gridCol w:w="850"/>
        <w:gridCol w:w="780"/>
        <w:gridCol w:w="719"/>
        <w:gridCol w:w="1775"/>
      </w:tblGrid>
      <w:tr w14:paraId="769898CA">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173" w:hRule="atLeast"/>
        </w:trPr>
        <w:tc>
          <w:tcPr>
            <w:tcW w:w="781" w:type="dxa"/>
            <w:vMerge w:val="restart"/>
            <w:vAlign w:val="center"/>
          </w:tcPr>
          <w:p w14:paraId="2F4BCE85">
            <w:pPr>
              <w:spacing w:before="0" w:beforeLines="0" w:line="240" w:lineRule="auto"/>
              <w:jc w:val="center"/>
              <w:rPr>
                <w:b/>
                <w:snapToGrid w:val="0"/>
                <w:kern w:val="0"/>
                <w:szCs w:val="21"/>
              </w:rPr>
            </w:pPr>
            <w:r>
              <w:rPr>
                <w:rFonts w:hint="eastAsia"/>
                <w:b/>
                <w:snapToGrid w:val="0"/>
                <w:kern w:val="0"/>
                <w:szCs w:val="21"/>
              </w:rPr>
              <w:t>气象站名称</w:t>
            </w:r>
          </w:p>
        </w:tc>
        <w:tc>
          <w:tcPr>
            <w:tcW w:w="711" w:type="dxa"/>
            <w:vMerge w:val="restart"/>
            <w:vAlign w:val="center"/>
          </w:tcPr>
          <w:p w14:paraId="0A3E9DB6">
            <w:pPr>
              <w:spacing w:before="0" w:beforeLines="0" w:line="240" w:lineRule="auto"/>
              <w:jc w:val="center"/>
              <w:rPr>
                <w:b/>
                <w:snapToGrid w:val="0"/>
                <w:kern w:val="0"/>
                <w:szCs w:val="21"/>
              </w:rPr>
            </w:pPr>
            <w:r>
              <w:rPr>
                <w:rFonts w:hint="eastAsia"/>
                <w:b/>
                <w:snapToGrid w:val="0"/>
                <w:kern w:val="0"/>
                <w:szCs w:val="21"/>
              </w:rPr>
              <w:t>气象站编号</w:t>
            </w:r>
          </w:p>
        </w:tc>
        <w:tc>
          <w:tcPr>
            <w:tcW w:w="699" w:type="dxa"/>
            <w:vMerge w:val="restart"/>
            <w:vAlign w:val="center"/>
          </w:tcPr>
          <w:p w14:paraId="1F34F6FB">
            <w:pPr>
              <w:spacing w:before="0" w:beforeLines="0" w:line="240" w:lineRule="auto"/>
              <w:jc w:val="center"/>
              <w:rPr>
                <w:b/>
                <w:snapToGrid w:val="0"/>
                <w:kern w:val="0"/>
                <w:szCs w:val="21"/>
              </w:rPr>
            </w:pPr>
            <w:r>
              <w:rPr>
                <w:rFonts w:hint="eastAsia"/>
                <w:b/>
                <w:snapToGrid w:val="0"/>
                <w:kern w:val="0"/>
                <w:szCs w:val="21"/>
              </w:rPr>
              <w:t>气象站等级</w:t>
            </w:r>
          </w:p>
        </w:tc>
        <w:tc>
          <w:tcPr>
            <w:tcW w:w="1991" w:type="dxa"/>
            <w:gridSpan w:val="2"/>
            <w:vAlign w:val="center"/>
          </w:tcPr>
          <w:p w14:paraId="4DF3C6F0">
            <w:pPr>
              <w:spacing w:before="0" w:beforeLines="0" w:line="240" w:lineRule="auto"/>
              <w:jc w:val="center"/>
              <w:rPr>
                <w:b/>
                <w:snapToGrid w:val="0"/>
                <w:kern w:val="0"/>
                <w:szCs w:val="21"/>
              </w:rPr>
            </w:pPr>
            <w:r>
              <w:rPr>
                <w:rFonts w:hint="eastAsia"/>
                <w:b/>
                <w:snapToGrid w:val="0"/>
                <w:kern w:val="0"/>
                <w:szCs w:val="21"/>
              </w:rPr>
              <w:t>位置</w:t>
            </w:r>
          </w:p>
        </w:tc>
        <w:tc>
          <w:tcPr>
            <w:tcW w:w="850" w:type="dxa"/>
            <w:vMerge w:val="restart"/>
            <w:tcBorders>
              <w:right w:val="single" w:color="auto" w:sz="4" w:space="0"/>
            </w:tcBorders>
            <w:vAlign w:val="center"/>
          </w:tcPr>
          <w:p w14:paraId="1C23B12B">
            <w:pPr>
              <w:spacing w:before="0" w:beforeLines="0" w:line="240" w:lineRule="auto"/>
              <w:jc w:val="center"/>
              <w:rPr>
                <w:b/>
                <w:snapToGrid w:val="0"/>
                <w:kern w:val="0"/>
                <w:szCs w:val="21"/>
              </w:rPr>
            </w:pPr>
            <w:r>
              <w:rPr>
                <w:rFonts w:hint="eastAsia"/>
                <w:b/>
                <w:snapToGrid w:val="0"/>
                <w:kern w:val="0"/>
                <w:szCs w:val="21"/>
              </w:rPr>
              <w:t>相对距离/km</w:t>
            </w:r>
          </w:p>
        </w:tc>
        <w:tc>
          <w:tcPr>
            <w:tcW w:w="780" w:type="dxa"/>
            <w:vMerge w:val="restart"/>
            <w:tcBorders>
              <w:left w:val="single" w:color="auto" w:sz="4" w:space="0"/>
              <w:right w:val="single" w:color="auto" w:sz="4" w:space="0"/>
            </w:tcBorders>
            <w:vAlign w:val="center"/>
          </w:tcPr>
          <w:p w14:paraId="20507924">
            <w:pPr>
              <w:spacing w:before="0" w:beforeLines="0" w:line="240" w:lineRule="auto"/>
              <w:jc w:val="center"/>
              <w:rPr>
                <w:b/>
                <w:snapToGrid w:val="0"/>
                <w:kern w:val="0"/>
                <w:szCs w:val="21"/>
              </w:rPr>
            </w:pPr>
            <w:r>
              <w:rPr>
                <w:rFonts w:hint="eastAsia"/>
                <w:b/>
                <w:snapToGrid w:val="0"/>
                <w:kern w:val="0"/>
                <w:szCs w:val="21"/>
              </w:rPr>
              <w:t>海拔高度/m</w:t>
            </w:r>
          </w:p>
        </w:tc>
        <w:tc>
          <w:tcPr>
            <w:tcW w:w="719" w:type="dxa"/>
            <w:vMerge w:val="restart"/>
            <w:tcBorders>
              <w:left w:val="single" w:color="auto" w:sz="4" w:space="0"/>
              <w:right w:val="single" w:color="auto" w:sz="4" w:space="0"/>
            </w:tcBorders>
            <w:vAlign w:val="center"/>
          </w:tcPr>
          <w:p w14:paraId="4A442E99">
            <w:pPr>
              <w:spacing w:before="0" w:beforeLines="0" w:line="240" w:lineRule="auto"/>
              <w:jc w:val="center"/>
              <w:rPr>
                <w:b/>
                <w:snapToGrid w:val="0"/>
                <w:kern w:val="0"/>
                <w:szCs w:val="21"/>
              </w:rPr>
            </w:pPr>
            <w:r>
              <w:rPr>
                <w:rFonts w:hint="eastAsia"/>
                <w:b/>
                <w:snapToGrid w:val="0"/>
                <w:kern w:val="0"/>
                <w:szCs w:val="21"/>
              </w:rPr>
              <w:t>数据</w:t>
            </w:r>
          </w:p>
          <w:p w14:paraId="34BC793A">
            <w:pPr>
              <w:spacing w:before="0" w:beforeLines="0" w:line="240" w:lineRule="auto"/>
              <w:jc w:val="center"/>
              <w:rPr>
                <w:b/>
                <w:snapToGrid w:val="0"/>
                <w:kern w:val="0"/>
                <w:szCs w:val="21"/>
              </w:rPr>
            </w:pPr>
            <w:r>
              <w:rPr>
                <w:rFonts w:hint="eastAsia"/>
                <w:b/>
                <w:snapToGrid w:val="0"/>
                <w:kern w:val="0"/>
                <w:szCs w:val="21"/>
              </w:rPr>
              <w:t>年份</w:t>
            </w:r>
          </w:p>
        </w:tc>
        <w:tc>
          <w:tcPr>
            <w:tcW w:w="1775" w:type="dxa"/>
            <w:vMerge w:val="restart"/>
            <w:tcBorders>
              <w:left w:val="single" w:color="auto" w:sz="4" w:space="0"/>
            </w:tcBorders>
            <w:vAlign w:val="center"/>
          </w:tcPr>
          <w:p w14:paraId="3D837126">
            <w:pPr>
              <w:spacing w:before="0" w:beforeLines="0" w:line="240" w:lineRule="auto"/>
              <w:jc w:val="center"/>
              <w:rPr>
                <w:b/>
                <w:snapToGrid w:val="0"/>
                <w:kern w:val="0"/>
                <w:szCs w:val="21"/>
              </w:rPr>
            </w:pPr>
            <w:r>
              <w:rPr>
                <w:rFonts w:hint="eastAsia"/>
                <w:b/>
                <w:snapToGrid w:val="0"/>
                <w:kern w:val="0"/>
                <w:szCs w:val="21"/>
              </w:rPr>
              <w:t>气象要素</w:t>
            </w:r>
          </w:p>
        </w:tc>
      </w:tr>
      <w:tr w14:paraId="742CC431">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c>
          <w:tcPr>
            <w:tcW w:w="781" w:type="dxa"/>
            <w:vMerge w:val="continue"/>
            <w:vAlign w:val="center"/>
          </w:tcPr>
          <w:p w14:paraId="572A835A">
            <w:pPr>
              <w:spacing w:before="0" w:beforeLines="0" w:line="240" w:lineRule="auto"/>
              <w:jc w:val="center"/>
              <w:rPr>
                <w:snapToGrid w:val="0"/>
                <w:kern w:val="0"/>
                <w:szCs w:val="21"/>
              </w:rPr>
            </w:pPr>
          </w:p>
        </w:tc>
        <w:tc>
          <w:tcPr>
            <w:tcW w:w="711" w:type="dxa"/>
            <w:vMerge w:val="continue"/>
            <w:vAlign w:val="center"/>
          </w:tcPr>
          <w:p w14:paraId="14FE0B35">
            <w:pPr>
              <w:spacing w:before="0" w:beforeLines="0" w:line="240" w:lineRule="auto"/>
              <w:jc w:val="center"/>
              <w:rPr>
                <w:snapToGrid w:val="0"/>
                <w:kern w:val="0"/>
                <w:szCs w:val="21"/>
              </w:rPr>
            </w:pPr>
          </w:p>
        </w:tc>
        <w:tc>
          <w:tcPr>
            <w:tcW w:w="699" w:type="dxa"/>
            <w:vMerge w:val="continue"/>
            <w:vAlign w:val="center"/>
          </w:tcPr>
          <w:p w14:paraId="7100BF3A">
            <w:pPr>
              <w:spacing w:before="0" w:beforeLines="0" w:line="240" w:lineRule="auto"/>
              <w:jc w:val="center"/>
              <w:rPr>
                <w:snapToGrid w:val="0"/>
                <w:kern w:val="0"/>
                <w:szCs w:val="21"/>
              </w:rPr>
            </w:pPr>
          </w:p>
        </w:tc>
        <w:tc>
          <w:tcPr>
            <w:tcW w:w="1036" w:type="dxa"/>
            <w:vAlign w:val="center"/>
          </w:tcPr>
          <w:p w14:paraId="44B4FF25">
            <w:pPr>
              <w:spacing w:before="0" w:beforeLines="0" w:line="240" w:lineRule="auto"/>
              <w:jc w:val="center"/>
              <w:rPr>
                <w:b/>
                <w:snapToGrid w:val="0"/>
                <w:kern w:val="0"/>
                <w:szCs w:val="21"/>
              </w:rPr>
            </w:pPr>
            <w:r>
              <w:rPr>
                <w:rFonts w:hint="eastAsia"/>
                <w:b/>
                <w:snapToGrid w:val="0"/>
                <w:kern w:val="0"/>
                <w:szCs w:val="21"/>
              </w:rPr>
              <w:t>经度</w:t>
            </w:r>
          </w:p>
        </w:tc>
        <w:tc>
          <w:tcPr>
            <w:tcW w:w="955" w:type="dxa"/>
            <w:vAlign w:val="center"/>
          </w:tcPr>
          <w:p w14:paraId="6EACF7A5">
            <w:pPr>
              <w:spacing w:before="0" w:beforeLines="0" w:line="240" w:lineRule="auto"/>
              <w:jc w:val="center"/>
              <w:rPr>
                <w:b/>
                <w:snapToGrid w:val="0"/>
                <w:kern w:val="0"/>
                <w:szCs w:val="21"/>
              </w:rPr>
            </w:pPr>
            <w:r>
              <w:rPr>
                <w:rFonts w:hint="eastAsia"/>
                <w:b/>
                <w:snapToGrid w:val="0"/>
                <w:kern w:val="0"/>
                <w:szCs w:val="21"/>
              </w:rPr>
              <w:t>纬度</w:t>
            </w:r>
          </w:p>
        </w:tc>
        <w:tc>
          <w:tcPr>
            <w:tcW w:w="850" w:type="dxa"/>
            <w:vMerge w:val="continue"/>
            <w:tcBorders>
              <w:right w:val="single" w:color="auto" w:sz="4" w:space="0"/>
            </w:tcBorders>
            <w:vAlign w:val="center"/>
          </w:tcPr>
          <w:p w14:paraId="7CA56089">
            <w:pPr>
              <w:spacing w:before="0" w:beforeLines="0" w:line="240" w:lineRule="auto"/>
              <w:jc w:val="center"/>
              <w:rPr>
                <w:snapToGrid w:val="0"/>
                <w:kern w:val="0"/>
                <w:szCs w:val="21"/>
              </w:rPr>
            </w:pPr>
          </w:p>
        </w:tc>
        <w:tc>
          <w:tcPr>
            <w:tcW w:w="780" w:type="dxa"/>
            <w:vMerge w:val="continue"/>
            <w:tcBorders>
              <w:left w:val="single" w:color="auto" w:sz="4" w:space="0"/>
              <w:right w:val="single" w:color="auto" w:sz="4" w:space="0"/>
            </w:tcBorders>
            <w:vAlign w:val="center"/>
          </w:tcPr>
          <w:p w14:paraId="6F7561AD">
            <w:pPr>
              <w:spacing w:before="0" w:beforeLines="0" w:line="240" w:lineRule="auto"/>
              <w:jc w:val="center"/>
              <w:rPr>
                <w:snapToGrid w:val="0"/>
                <w:kern w:val="0"/>
                <w:szCs w:val="21"/>
              </w:rPr>
            </w:pPr>
          </w:p>
        </w:tc>
        <w:tc>
          <w:tcPr>
            <w:tcW w:w="719" w:type="dxa"/>
            <w:vMerge w:val="continue"/>
            <w:tcBorders>
              <w:left w:val="single" w:color="auto" w:sz="4" w:space="0"/>
              <w:right w:val="single" w:color="auto" w:sz="4" w:space="0"/>
            </w:tcBorders>
            <w:vAlign w:val="center"/>
          </w:tcPr>
          <w:p w14:paraId="05311812">
            <w:pPr>
              <w:spacing w:before="0" w:beforeLines="0" w:line="240" w:lineRule="auto"/>
              <w:jc w:val="center"/>
              <w:rPr>
                <w:snapToGrid w:val="0"/>
                <w:kern w:val="0"/>
                <w:szCs w:val="21"/>
              </w:rPr>
            </w:pPr>
          </w:p>
        </w:tc>
        <w:tc>
          <w:tcPr>
            <w:tcW w:w="1775" w:type="dxa"/>
            <w:vMerge w:val="continue"/>
            <w:tcBorders>
              <w:left w:val="single" w:color="auto" w:sz="4" w:space="0"/>
            </w:tcBorders>
            <w:vAlign w:val="center"/>
          </w:tcPr>
          <w:p w14:paraId="47752582">
            <w:pPr>
              <w:spacing w:before="0" w:beforeLines="0" w:line="240" w:lineRule="auto"/>
              <w:jc w:val="center"/>
              <w:rPr>
                <w:snapToGrid w:val="0"/>
                <w:kern w:val="0"/>
                <w:szCs w:val="21"/>
              </w:rPr>
            </w:pPr>
          </w:p>
        </w:tc>
      </w:tr>
      <w:tr w14:paraId="4E9B2C6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c>
          <w:tcPr>
            <w:tcW w:w="781" w:type="dxa"/>
            <w:vAlign w:val="center"/>
          </w:tcPr>
          <w:p w14:paraId="746F6F14">
            <w:pPr>
              <w:spacing w:before="0" w:beforeLines="0" w:line="240" w:lineRule="auto"/>
              <w:jc w:val="center"/>
              <w:rPr>
                <w:snapToGrid w:val="0"/>
                <w:kern w:val="0"/>
                <w:szCs w:val="21"/>
              </w:rPr>
            </w:pPr>
            <w:r>
              <w:rPr>
                <w:rFonts w:hint="eastAsia" w:ascii="Arial" w:hAnsi="Arial" w:cs="Arial"/>
                <w:snapToGrid w:val="0"/>
                <w:kern w:val="0"/>
                <w:szCs w:val="21"/>
                <w:shd w:val="clear" w:color="auto" w:fill="FFFFFF"/>
              </w:rPr>
              <w:t>阜新市彰武</w:t>
            </w:r>
          </w:p>
        </w:tc>
        <w:tc>
          <w:tcPr>
            <w:tcW w:w="711" w:type="dxa"/>
            <w:vAlign w:val="center"/>
          </w:tcPr>
          <w:p w14:paraId="72054607">
            <w:pPr>
              <w:spacing w:before="0" w:beforeLines="0" w:line="240" w:lineRule="auto"/>
              <w:jc w:val="center"/>
              <w:rPr>
                <w:snapToGrid w:val="0"/>
                <w:kern w:val="0"/>
                <w:szCs w:val="21"/>
              </w:rPr>
            </w:pPr>
            <w:r>
              <w:rPr>
                <w:snapToGrid w:val="0"/>
                <w:kern w:val="0"/>
                <w:szCs w:val="21"/>
              </w:rPr>
              <w:t>54236</w:t>
            </w:r>
          </w:p>
        </w:tc>
        <w:tc>
          <w:tcPr>
            <w:tcW w:w="699" w:type="dxa"/>
            <w:vAlign w:val="center"/>
          </w:tcPr>
          <w:p w14:paraId="4F5C6CCF">
            <w:pPr>
              <w:spacing w:before="0" w:beforeLines="0" w:line="240" w:lineRule="auto"/>
              <w:jc w:val="center"/>
              <w:rPr>
                <w:snapToGrid w:val="0"/>
                <w:kern w:val="0"/>
                <w:szCs w:val="21"/>
              </w:rPr>
            </w:pPr>
            <w:r>
              <w:rPr>
                <w:rFonts w:hint="eastAsia"/>
                <w:snapToGrid w:val="0"/>
                <w:kern w:val="0"/>
                <w:szCs w:val="21"/>
              </w:rPr>
              <w:t>基本站</w:t>
            </w:r>
          </w:p>
        </w:tc>
        <w:tc>
          <w:tcPr>
            <w:tcW w:w="1036" w:type="dxa"/>
            <w:vAlign w:val="center"/>
          </w:tcPr>
          <w:p w14:paraId="27C71B31">
            <w:pPr>
              <w:spacing w:before="0" w:beforeLines="0" w:line="240" w:lineRule="auto"/>
              <w:jc w:val="center"/>
              <w:rPr>
                <w:snapToGrid w:val="0"/>
                <w:kern w:val="0"/>
                <w:szCs w:val="21"/>
              </w:rPr>
            </w:pPr>
            <w:bookmarkStart w:id="215" w:name="OLE_LINK36"/>
            <w:r>
              <w:rPr>
                <w:snapToGrid w:val="0"/>
                <w:kern w:val="0"/>
                <w:szCs w:val="21"/>
              </w:rPr>
              <w:t>12</w:t>
            </w:r>
            <w:bookmarkEnd w:id="215"/>
            <w:bookmarkStart w:id="216" w:name="OLE_LINK23"/>
            <w:bookmarkStart w:id="217" w:name="OLE_LINK14"/>
            <w:r>
              <w:rPr>
                <w:snapToGrid w:val="0"/>
                <w:kern w:val="0"/>
                <w:szCs w:val="21"/>
              </w:rPr>
              <w:t>2.55E</w:t>
            </w:r>
            <w:bookmarkEnd w:id="216"/>
            <w:bookmarkEnd w:id="217"/>
          </w:p>
        </w:tc>
        <w:tc>
          <w:tcPr>
            <w:tcW w:w="955" w:type="dxa"/>
            <w:vAlign w:val="center"/>
          </w:tcPr>
          <w:p w14:paraId="1C6AE00C">
            <w:pPr>
              <w:spacing w:before="0" w:beforeLines="0" w:line="240" w:lineRule="auto"/>
              <w:jc w:val="center"/>
              <w:rPr>
                <w:snapToGrid w:val="0"/>
                <w:kern w:val="0"/>
                <w:szCs w:val="21"/>
              </w:rPr>
            </w:pPr>
            <w:r>
              <w:rPr>
                <w:snapToGrid w:val="0"/>
                <w:kern w:val="0"/>
                <w:szCs w:val="21"/>
              </w:rPr>
              <w:t>42.38N</w:t>
            </w:r>
          </w:p>
        </w:tc>
        <w:tc>
          <w:tcPr>
            <w:tcW w:w="850" w:type="dxa"/>
            <w:tcBorders>
              <w:right w:val="single" w:color="auto" w:sz="4" w:space="0"/>
            </w:tcBorders>
            <w:vAlign w:val="center"/>
          </w:tcPr>
          <w:p w14:paraId="4B21FD82">
            <w:pPr>
              <w:spacing w:before="0" w:beforeLines="0" w:line="240" w:lineRule="auto"/>
              <w:jc w:val="center"/>
              <w:rPr>
                <w:snapToGrid w:val="0"/>
                <w:kern w:val="0"/>
                <w:szCs w:val="21"/>
              </w:rPr>
            </w:pPr>
            <w:r>
              <w:rPr>
                <w:snapToGrid w:val="0"/>
                <w:kern w:val="0"/>
                <w:szCs w:val="21"/>
              </w:rPr>
              <w:t>35.9</w:t>
            </w:r>
          </w:p>
        </w:tc>
        <w:tc>
          <w:tcPr>
            <w:tcW w:w="780" w:type="dxa"/>
            <w:tcBorders>
              <w:left w:val="single" w:color="auto" w:sz="4" w:space="0"/>
              <w:right w:val="single" w:color="auto" w:sz="4" w:space="0"/>
            </w:tcBorders>
            <w:vAlign w:val="center"/>
          </w:tcPr>
          <w:p w14:paraId="72073333">
            <w:pPr>
              <w:spacing w:before="0" w:beforeLines="0" w:line="240" w:lineRule="auto"/>
              <w:jc w:val="center"/>
              <w:rPr>
                <w:snapToGrid w:val="0"/>
                <w:kern w:val="0"/>
                <w:szCs w:val="21"/>
              </w:rPr>
            </w:pPr>
            <w:r>
              <w:rPr>
                <w:snapToGrid w:val="0"/>
                <w:kern w:val="0"/>
                <w:szCs w:val="21"/>
              </w:rPr>
              <w:t>171</w:t>
            </w:r>
          </w:p>
        </w:tc>
        <w:tc>
          <w:tcPr>
            <w:tcW w:w="719" w:type="dxa"/>
            <w:tcBorders>
              <w:left w:val="single" w:color="auto" w:sz="4" w:space="0"/>
              <w:right w:val="single" w:color="auto" w:sz="4" w:space="0"/>
            </w:tcBorders>
            <w:vAlign w:val="center"/>
          </w:tcPr>
          <w:p w14:paraId="1944169A">
            <w:pPr>
              <w:spacing w:before="0" w:beforeLines="0" w:line="240" w:lineRule="auto"/>
              <w:jc w:val="center"/>
              <w:rPr>
                <w:snapToGrid w:val="0"/>
                <w:kern w:val="0"/>
                <w:szCs w:val="21"/>
              </w:rPr>
            </w:pPr>
            <w:r>
              <w:rPr>
                <w:rFonts w:hint="eastAsia"/>
                <w:snapToGrid w:val="0"/>
                <w:kern w:val="0"/>
                <w:szCs w:val="21"/>
              </w:rPr>
              <w:t>2</w:t>
            </w:r>
            <w:r>
              <w:rPr>
                <w:snapToGrid w:val="0"/>
                <w:kern w:val="0"/>
                <w:szCs w:val="21"/>
              </w:rPr>
              <w:t>02</w:t>
            </w:r>
            <w:r>
              <w:rPr>
                <w:rFonts w:hint="eastAsia"/>
                <w:snapToGrid w:val="0"/>
                <w:kern w:val="0"/>
                <w:szCs w:val="21"/>
              </w:rPr>
              <w:t>5年</w:t>
            </w:r>
          </w:p>
        </w:tc>
        <w:tc>
          <w:tcPr>
            <w:tcW w:w="1775" w:type="dxa"/>
            <w:tcBorders>
              <w:left w:val="single" w:color="auto" w:sz="4" w:space="0"/>
            </w:tcBorders>
            <w:vAlign w:val="center"/>
          </w:tcPr>
          <w:p w14:paraId="6423DB26">
            <w:pPr>
              <w:spacing w:before="0" w:beforeLines="0" w:line="240" w:lineRule="auto"/>
              <w:jc w:val="center"/>
              <w:rPr>
                <w:snapToGrid w:val="0"/>
                <w:kern w:val="0"/>
                <w:szCs w:val="21"/>
              </w:rPr>
            </w:pPr>
            <w:r>
              <w:rPr>
                <w:rFonts w:hint="eastAsia"/>
                <w:snapToGrid w:val="0"/>
                <w:kern w:val="0"/>
                <w:szCs w:val="21"/>
              </w:rPr>
              <w:t>风向、风速、干球温度、总云量、低云量、站点气压</w:t>
            </w:r>
          </w:p>
        </w:tc>
      </w:tr>
    </w:tbl>
    <w:p w14:paraId="32033EF7">
      <w:pPr>
        <w:widowControl/>
        <w:numPr>
          <w:ilvl w:val="0"/>
          <w:numId w:val="63"/>
        </w:numPr>
        <w:adjustRightInd w:val="0"/>
        <w:snapToGrid w:val="0"/>
        <w:spacing w:before="0" w:beforeLines="0" w:line="360" w:lineRule="auto"/>
        <w:ind w:left="0" w:firstLine="480" w:firstLineChars="200"/>
        <w:rPr>
          <w:sz w:val="24"/>
          <w:szCs w:val="20"/>
        </w:rPr>
      </w:pPr>
      <w:r>
        <w:rPr>
          <w:rFonts w:hint="eastAsia"/>
          <w:sz w:val="24"/>
          <w:szCs w:val="20"/>
        </w:rPr>
        <w:t>高空气象数据</w:t>
      </w:r>
    </w:p>
    <w:p w14:paraId="41935183">
      <w:pPr>
        <w:widowControl/>
        <w:snapToGrid w:val="0"/>
        <w:spacing w:before="0" w:beforeLines="0" w:line="360" w:lineRule="auto"/>
        <w:ind w:firstLine="480" w:firstLineChars="200"/>
        <w:rPr>
          <w:sz w:val="24"/>
          <w:szCs w:val="20"/>
        </w:rPr>
      </w:pPr>
      <w:r>
        <w:rPr>
          <w:rFonts w:hint="eastAsia"/>
          <w:sz w:val="24"/>
          <w:szCs w:val="20"/>
        </w:rPr>
        <w:t>根据HJ2.2-2018的要求，本次评价采用经</w:t>
      </w:r>
      <w:r>
        <w:rPr>
          <w:sz w:val="24"/>
          <w:szCs w:val="20"/>
        </w:rPr>
        <w:t>中尺度数值模式WRF</w:t>
      </w:r>
      <w:r>
        <w:rPr>
          <w:rFonts w:hint="eastAsia"/>
          <w:sz w:val="24"/>
          <w:szCs w:val="20"/>
        </w:rPr>
        <w:t>模拟的区域20</w:t>
      </w:r>
      <w:r>
        <w:rPr>
          <w:sz w:val="24"/>
          <w:szCs w:val="20"/>
        </w:rPr>
        <w:t>2</w:t>
      </w:r>
      <w:r>
        <w:rPr>
          <w:rFonts w:hint="eastAsia"/>
          <w:sz w:val="24"/>
          <w:szCs w:val="20"/>
        </w:rPr>
        <w:t>5年全年逐日高空气象数据（早晚各一次），具体参数包括时间（年、月、日、时）、探空数据层数（离地高度3000m以内的有效数据层数为</w:t>
      </w:r>
      <w:r>
        <w:rPr>
          <w:sz w:val="24"/>
          <w:szCs w:val="20"/>
        </w:rPr>
        <w:t>24</w:t>
      </w:r>
      <w:r>
        <w:rPr>
          <w:rFonts w:hint="eastAsia"/>
          <w:sz w:val="24"/>
          <w:szCs w:val="20"/>
        </w:rPr>
        <w:t>层）、离地高度、风速、风向、干球温度、露点温度和气压。具体模拟高空气象数据信息见表5.2-3。</w:t>
      </w:r>
    </w:p>
    <w:p w14:paraId="4BAAE8E1">
      <w:pPr>
        <w:keepNext/>
        <w:spacing w:before="0" w:beforeLines="0" w:line="240" w:lineRule="auto"/>
        <w:jc w:val="center"/>
        <w:rPr>
          <w:b/>
          <w:bCs/>
          <w:szCs w:val="21"/>
        </w:rPr>
      </w:pPr>
      <w:r>
        <w:rPr>
          <w:b/>
          <w:bCs/>
          <w:szCs w:val="21"/>
        </w:rPr>
        <w:t xml:space="preserve">表 </w:t>
      </w:r>
      <w:r>
        <w:rPr>
          <w:rFonts w:hint="eastAsia"/>
          <w:b/>
          <w:bCs/>
          <w:szCs w:val="21"/>
        </w:rPr>
        <w:t>5.2</w:t>
      </w:r>
      <w:r>
        <w:rPr>
          <w:b/>
          <w:bCs/>
          <w:szCs w:val="21"/>
        </w:rPr>
        <w:noBreakHyphen/>
      </w:r>
      <w:r>
        <w:rPr>
          <w:b/>
          <w:bCs/>
          <w:szCs w:val="21"/>
        </w:rPr>
        <w:fldChar w:fldCharType="begin"/>
      </w:r>
      <w:r>
        <w:rPr>
          <w:b/>
          <w:bCs/>
          <w:szCs w:val="21"/>
        </w:rPr>
        <w:instrText xml:space="preserve"> SEQ 表 \* ARABIC \s 1 </w:instrText>
      </w:r>
      <w:r>
        <w:rPr>
          <w:b/>
          <w:bCs/>
          <w:szCs w:val="21"/>
        </w:rPr>
        <w:fldChar w:fldCharType="separate"/>
      </w:r>
      <w:r>
        <w:rPr>
          <w:b/>
          <w:bCs/>
          <w:szCs w:val="21"/>
        </w:rPr>
        <w:t>3</w:t>
      </w:r>
      <w:r>
        <w:rPr>
          <w:b/>
          <w:bCs/>
          <w:szCs w:val="21"/>
        </w:rPr>
        <w:fldChar w:fldCharType="end"/>
      </w:r>
      <w:r>
        <w:rPr>
          <w:rFonts w:hint="eastAsia"/>
          <w:b/>
          <w:bCs/>
          <w:szCs w:val="21"/>
        </w:rPr>
        <w:t xml:space="preserve">    模拟气象数据信息</w:t>
      </w:r>
    </w:p>
    <w:tbl>
      <w:tblPr>
        <w:tblStyle w:val="89"/>
        <w:tblW w:w="8306" w:type="dxa"/>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1132"/>
        <w:gridCol w:w="1156"/>
        <w:gridCol w:w="999"/>
        <w:gridCol w:w="1248"/>
        <w:gridCol w:w="2223"/>
        <w:gridCol w:w="1548"/>
      </w:tblGrid>
      <w:tr w14:paraId="3B4BEC1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2288" w:type="dxa"/>
            <w:gridSpan w:val="2"/>
            <w:vAlign w:val="center"/>
          </w:tcPr>
          <w:p w14:paraId="76B4D4DB">
            <w:pPr>
              <w:spacing w:before="0" w:beforeLines="0" w:line="240" w:lineRule="auto"/>
              <w:jc w:val="center"/>
              <w:rPr>
                <w:b/>
                <w:snapToGrid w:val="0"/>
                <w:kern w:val="0"/>
                <w:szCs w:val="21"/>
              </w:rPr>
            </w:pPr>
            <w:r>
              <w:rPr>
                <w:rFonts w:hint="eastAsia"/>
                <w:b/>
                <w:snapToGrid w:val="0"/>
                <w:kern w:val="0"/>
                <w:szCs w:val="21"/>
              </w:rPr>
              <w:t>模拟点坐标</w:t>
            </w:r>
          </w:p>
        </w:tc>
        <w:tc>
          <w:tcPr>
            <w:tcW w:w="999" w:type="dxa"/>
            <w:vMerge w:val="restart"/>
            <w:tcBorders>
              <w:right w:val="single" w:color="auto" w:sz="4" w:space="0"/>
            </w:tcBorders>
            <w:vAlign w:val="center"/>
          </w:tcPr>
          <w:p w14:paraId="1256BC97">
            <w:pPr>
              <w:spacing w:before="0" w:beforeLines="0" w:line="240" w:lineRule="auto"/>
              <w:jc w:val="center"/>
              <w:rPr>
                <w:b/>
                <w:snapToGrid w:val="0"/>
                <w:kern w:val="0"/>
                <w:szCs w:val="21"/>
              </w:rPr>
            </w:pPr>
            <w:r>
              <w:rPr>
                <w:rFonts w:hint="eastAsia"/>
                <w:b/>
                <w:snapToGrid w:val="0"/>
                <w:kern w:val="0"/>
                <w:szCs w:val="21"/>
              </w:rPr>
              <w:t>相对距离/km</w:t>
            </w:r>
          </w:p>
        </w:tc>
        <w:tc>
          <w:tcPr>
            <w:tcW w:w="1248" w:type="dxa"/>
            <w:vMerge w:val="restart"/>
            <w:tcBorders>
              <w:left w:val="single" w:color="auto" w:sz="4" w:space="0"/>
              <w:right w:val="single" w:color="auto" w:sz="4" w:space="0"/>
            </w:tcBorders>
            <w:vAlign w:val="center"/>
          </w:tcPr>
          <w:p w14:paraId="248D970B">
            <w:pPr>
              <w:spacing w:before="0" w:beforeLines="0" w:line="240" w:lineRule="auto"/>
              <w:jc w:val="center"/>
              <w:rPr>
                <w:b/>
                <w:snapToGrid w:val="0"/>
                <w:kern w:val="0"/>
                <w:szCs w:val="21"/>
              </w:rPr>
            </w:pPr>
            <w:r>
              <w:rPr>
                <w:rFonts w:hint="eastAsia"/>
                <w:b/>
                <w:snapToGrid w:val="0"/>
                <w:kern w:val="0"/>
                <w:szCs w:val="21"/>
              </w:rPr>
              <w:t>数据年份</w:t>
            </w:r>
          </w:p>
        </w:tc>
        <w:tc>
          <w:tcPr>
            <w:tcW w:w="2223" w:type="dxa"/>
            <w:vMerge w:val="restart"/>
            <w:tcBorders>
              <w:left w:val="single" w:color="auto" w:sz="4" w:space="0"/>
              <w:right w:val="single" w:color="auto" w:sz="4" w:space="0"/>
            </w:tcBorders>
            <w:vAlign w:val="center"/>
          </w:tcPr>
          <w:p w14:paraId="66E83E96">
            <w:pPr>
              <w:spacing w:before="0" w:beforeLines="0" w:line="240" w:lineRule="auto"/>
              <w:jc w:val="center"/>
              <w:rPr>
                <w:b/>
                <w:snapToGrid w:val="0"/>
                <w:kern w:val="0"/>
                <w:szCs w:val="21"/>
              </w:rPr>
            </w:pPr>
            <w:r>
              <w:rPr>
                <w:rFonts w:hint="eastAsia"/>
                <w:b/>
                <w:snapToGrid w:val="0"/>
                <w:kern w:val="0"/>
                <w:szCs w:val="21"/>
              </w:rPr>
              <w:t>模拟气象要素</w:t>
            </w:r>
          </w:p>
        </w:tc>
        <w:tc>
          <w:tcPr>
            <w:tcW w:w="1548" w:type="dxa"/>
            <w:vMerge w:val="restart"/>
            <w:tcBorders>
              <w:left w:val="single" w:color="auto" w:sz="4" w:space="0"/>
            </w:tcBorders>
            <w:vAlign w:val="center"/>
          </w:tcPr>
          <w:p w14:paraId="76B5E62B">
            <w:pPr>
              <w:spacing w:before="0" w:beforeLines="0" w:line="240" w:lineRule="auto"/>
              <w:jc w:val="center"/>
              <w:rPr>
                <w:b/>
                <w:snapToGrid w:val="0"/>
                <w:kern w:val="0"/>
                <w:szCs w:val="21"/>
              </w:rPr>
            </w:pPr>
            <w:r>
              <w:rPr>
                <w:rFonts w:hint="eastAsia"/>
                <w:b/>
                <w:snapToGrid w:val="0"/>
                <w:kern w:val="0"/>
                <w:szCs w:val="21"/>
              </w:rPr>
              <w:t>模拟方式</w:t>
            </w:r>
          </w:p>
        </w:tc>
      </w:tr>
      <w:tr w14:paraId="42867FCF">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1132" w:type="dxa"/>
            <w:vAlign w:val="center"/>
          </w:tcPr>
          <w:p w14:paraId="6AAE1556">
            <w:pPr>
              <w:spacing w:before="0" w:beforeLines="0" w:line="240" w:lineRule="auto"/>
              <w:jc w:val="center"/>
              <w:rPr>
                <w:b/>
                <w:snapToGrid w:val="0"/>
                <w:kern w:val="0"/>
                <w:szCs w:val="21"/>
              </w:rPr>
            </w:pPr>
            <w:r>
              <w:rPr>
                <w:rFonts w:hint="eastAsia"/>
                <w:b/>
                <w:snapToGrid w:val="0"/>
                <w:kern w:val="0"/>
                <w:szCs w:val="21"/>
              </w:rPr>
              <w:t>经度</w:t>
            </w:r>
          </w:p>
        </w:tc>
        <w:tc>
          <w:tcPr>
            <w:tcW w:w="1156" w:type="dxa"/>
            <w:vAlign w:val="center"/>
          </w:tcPr>
          <w:p w14:paraId="3375674C">
            <w:pPr>
              <w:spacing w:before="0" w:beforeLines="0" w:line="240" w:lineRule="auto"/>
              <w:jc w:val="center"/>
              <w:rPr>
                <w:b/>
                <w:snapToGrid w:val="0"/>
                <w:kern w:val="0"/>
                <w:szCs w:val="21"/>
              </w:rPr>
            </w:pPr>
            <w:r>
              <w:rPr>
                <w:rFonts w:hint="eastAsia"/>
                <w:b/>
                <w:snapToGrid w:val="0"/>
                <w:kern w:val="0"/>
                <w:szCs w:val="21"/>
              </w:rPr>
              <w:t>纬度</w:t>
            </w:r>
          </w:p>
        </w:tc>
        <w:tc>
          <w:tcPr>
            <w:tcW w:w="999" w:type="dxa"/>
            <w:vMerge w:val="continue"/>
            <w:tcBorders>
              <w:right w:val="single" w:color="auto" w:sz="4" w:space="0"/>
            </w:tcBorders>
            <w:vAlign w:val="center"/>
          </w:tcPr>
          <w:p w14:paraId="3A08AD65">
            <w:pPr>
              <w:spacing w:before="0" w:beforeLines="0" w:line="240" w:lineRule="auto"/>
              <w:jc w:val="center"/>
              <w:rPr>
                <w:snapToGrid w:val="0"/>
                <w:kern w:val="0"/>
                <w:szCs w:val="21"/>
              </w:rPr>
            </w:pPr>
          </w:p>
        </w:tc>
        <w:tc>
          <w:tcPr>
            <w:tcW w:w="1248" w:type="dxa"/>
            <w:vMerge w:val="continue"/>
            <w:tcBorders>
              <w:left w:val="single" w:color="auto" w:sz="4" w:space="0"/>
              <w:right w:val="single" w:color="auto" w:sz="4" w:space="0"/>
            </w:tcBorders>
            <w:vAlign w:val="center"/>
          </w:tcPr>
          <w:p w14:paraId="79F0CCE9">
            <w:pPr>
              <w:spacing w:before="0" w:beforeLines="0" w:line="240" w:lineRule="auto"/>
              <w:jc w:val="center"/>
              <w:rPr>
                <w:snapToGrid w:val="0"/>
                <w:kern w:val="0"/>
                <w:szCs w:val="21"/>
              </w:rPr>
            </w:pPr>
          </w:p>
        </w:tc>
        <w:tc>
          <w:tcPr>
            <w:tcW w:w="2223" w:type="dxa"/>
            <w:vMerge w:val="continue"/>
            <w:tcBorders>
              <w:left w:val="single" w:color="auto" w:sz="4" w:space="0"/>
              <w:right w:val="single" w:color="auto" w:sz="4" w:space="0"/>
            </w:tcBorders>
            <w:vAlign w:val="center"/>
          </w:tcPr>
          <w:p w14:paraId="25F202F4">
            <w:pPr>
              <w:spacing w:before="0" w:beforeLines="0" w:line="240" w:lineRule="auto"/>
              <w:jc w:val="center"/>
              <w:rPr>
                <w:snapToGrid w:val="0"/>
                <w:kern w:val="0"/>
                <w:szCs w:val="21"/>
              </w:rPr>
            </w:pPr>
          </w:p>
        </w:tc>
        <w:tc>
          <w:tcPr>
            <w:tcW w:w="1548" w:type="dxa"/>
            <w:vMerge w:val="continue"/>
            <w:tcBorders>
              <w:left w:val="single" w:color="auto" w:sz="4" w:space="0"/>
            </w:tcBorders>
            <w:vAlign w:val="center"/>
          </w:tcPr>
          <w:p w14:paraId="50680B4E">
            <w:pPr>
              <w:spacing w:before="0" w:beforeLines="0" w:line="240" w:lineRule="auto"/>
              <w:jc w:val="center"/>
              <w:rPr>
                <w:snapToGrid w:val="0"/>
                <w:kern w:val="0"/>
                <w:szCs w:val="21"/>
              </w:rPr>
            </w:pPr>
          </w:p>
        </w:tc>
      </w:tr>
      <w:tr w14:paraId="7826E1B5">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1132" w:type="dxa"/>
            <w:vAlign w:val="center"/>
          </w:tcPr>
          <w:p w14:paraId="3CE20530">
            <w:pPr>
              <w:spacing w:before="0" w:beforeLines="0" w:line="240" w:lineRule="auto"/>
              <w:jc w:val="center"/>
              <w:rPr>
                <w:snapToGrid w:val="0"/>
                <w:kern w:val="0"/>
                <w:szCs w:val="21"/>
              </w:rPr>
            </w:pPr>
            <w:bookmarkStart w:id="218" w:name="OLE_LINK39"/>
            <w:r>
              <w:rPr>
                <w:snapToGrid w:val="0"/>
                <w:kern w:val="0"/>
                <w:szCs w:val="21"/>
              </w:rPr>
              <w:t>12</w:t>
            </w:r>
            <w:bookmarkEnd w:id="218"/>
            <w:r>
              <w:rPr>
                <w:snapToGrid w:val="0"/>
                <w:kern w:val="0"/>
                <w:szCs w:val="21"/>
              </w:rPr>
              <w:t>2.55E</w:t>
            </w:r>
          </w:p>
        </w:tc>
        <w:tc>
          <w:tcPr>
            <w:tcW w:w="1156" w:type="dxa"/>
            <w:vAlign w:val="center"/>
          </w:tcPr>
          <w:p w14:paraId="45EDC5DF">
            <w:pPr>
              <w:spacing w:before="0" w:beforeLines="0" w:line="240" w:lineRule="auto"/>
              <w:jc w:val="center"/>
              <w:rPr>
                <w:snapToGrid w:val="0"/>
                <w:kern w:val="0"/>
                <w:szCs w:val="21"/>
              </w:rPr>
            </w:pPr>
            <w:r>
              <w:rPr>
                <w:snapToGrid w:val="0"/>
                <w:kern w:val="0"/>
                <w:szCs w:val="21"/>
              </w:rPr>
              <w:t>42.3833N</w:t>
            </w:r>
          </w:p>
        </w:tc>
        <w:tc>
          <w:tcPr>
            <w:tcW w:w="999" w:type="dxa"/>
            <w:tcBorders>
              <w:right w:val="single" w:color="auto" w:sz="4" w:space="0"/>
            </w:tcBorders>
            <w:vAlign w:val="center"/>
          </w:tcPr>
          <w:p w14:paraId="4DCCE822">
            <w:pPr>
              <w:spacing w:before="0" w:beforeLines="0" w:line="240" w:lineRule="auto"/>
              <w:jc w:val="center"/>
              <w:rPr>
                <w:snapToGrid w:val="0"/>
                <w:kern w:val="0"/>
                <w:szCs w:val="21"/>
              </w:rPr>
            </w:pPr>
            <w:r>
              <w:rPr>
                <w:snapToGrid w:val="0"/>
                <w:kern w:val="0"/>
                <w:szCs w:val="21"/>
              </w:rPr>
              <w:t>33.</w:t>
            </w:r>
            <w:r>
              <w:rPr>
                <w:rFonts w:hint="eastAsia"/>
                <w:snapToGrid w:val="0"/>
                <w:kern w:val="0"/>
                <w:szCs w:val="21"/>
              </w:rPr>
              <w:t>3</w:t>
            </w:r>
          </w:p>
        </w:tc>
        <w:tc>
          <w:tcPr>
            <w:tcW w:w="1248" w:type="dxa"/>
            <w:tcBorders>
              <w:left w:val="single" w:color="auto" w:sz="4" w:space="0"/>
              <w:right w:val="single" w:color="auto" w:sz="4" w:space="0"/>
            </w:tcBorders>
            <w:vAlign w:val="center"/>
          </w:tcPr>
          <w:p w14:paraId="48F23E50">
            <w:pPr>
              <w:spacing w:before="0" w:beforeLines="0" w:line="240" w:lineRule="auto"/>
              <w:jc w:val="center"/>
              <w:rPr>
                <w:snapToGrid w:val="0"/>
                <w:kern w:val="0"/>
                <w:szCs w:val="21"/>
              </w:rPr>
            </w:pPr>
            <w:r>
              <w:rPr>
                <w:rFonts w:hint="eastAsia"/>
                <w:snapToGrid w:val="0"/>
                <w:kern w:val="0"/>
                <w:szCs w:val="21"/>
              </w:rPr>
              <w:t>2</w:t>
            </w:r>
            <w:r>
              <w:rPr>
                <w:snapToGrid w:val="0"/>
                <w:kern w:val="0"/>
                <w:szCs w:val="21"/>
              </w:rPr>
              <w:t>02</w:t>
            </w:r>
            <w:r>
              <w:rPr>
                <w:rFonts w:hint="eastAsia"/>
                <w:snapToGrid w:val="0"/>
                <w:kern w:val="0"/>
                <w:szCs w:val="21"/>
              </w:rPr>
              <w:t>5年</w:t>
            </w:r>
          </w:p>
        </w:tc>
        <w:tc>
          <w:tcPr>
            <w:tcW w:w="2223" w:type="dxa"/>
            <w:tcBorders>
              <w:left w:val="single" w:color="auto" w:sz="4" w:space="0"/>
              <w:right w:val="single" w:color="auto" w:sz="4" w:space="0"/>
            </w:tcBorders>
            <w:vAlign w:val="center"/>
          </w:tcPr>
          <w:p w14:paraId="104D545D">
            <w:pPr>
              <w:spacing w:before="0" w:beforeLines="0" w:line="240" w:lineRule="auto"/>
              <w:jc w:val="center"/>
              <w:rPr>
                <w:snapToGrid w:val="0"/>
                <w:kern w:val="0"/>
                <w:szCs w:val="21"/>
              </w:rPr>
            </w:pPr>
            <w:r>
              <w:rPr>
                <w:rFonts w:hint="eastAsia"/>
                <w:snapToGrid w:val="0"/>
                <w:kern w:val="0"/>
                <w:szCs w:val="21"/>
              </w:rPr>
              <w:t>离地高度、风速、风向干球温度、露点温度、气压</w:t>
            </w:r>
          </w:p>
        </w:tc>
        <w:tc>
          <w:tcPr>
            <w:tcW w:w="1548" w:type="dxa"/>
            <w:tcBorders>
              <w:left w:val="single" w:color="auto" w:sz="4" w:space="0"/>
            </w:tcBorders>
            <w:vAlign w:val="center"/>
          </w:tcPr>
          <w:p w14:paraId="01AA2A56">
            <w:pPr>
              <w:spacing w:before="0" w:beforeLines="0" w:line="240" w:lineRule="auto"/>
              <w:jc w:val="center"/>
              <w:rPr>
                <w:snapToGrid w:val="0"/>
                <w:kern w:val="0"/>
                <w:szCs w:val="21"/>
              </w:rPr>
            </w:pPr>
            <w:r>
              <w:rPr>
                <w:snapToGrid w:val="0"/>
                <w:kern w:val="0"/>
                <w:szCs w:val="21"/>
              </w:rPr>
              <w:t>WRF</w:t>
            </w:r>
            <w:r>
              <w:rPr>
                <w:rFonts w:hint="eastAsia"/>
                <w:snapToGrid w:val="0"/>
                <w:kern w:val="0"/>
                <w:szCs w:val="21"/>
              </w:rPr>
              <w:t>模拟</w:t>
            </w:r>
          </w:p>
        </w:tc>
      </w:tr>
    </w:tbl>
    <w:p w14:paraId="06ADCD00">
      <w:pPr>
        <w:widowControl/>
        <w:spacing w:before="0" w:beforeLines="0" w:line="360" w:lineRule="auto"/>
        <w:ind w:firstLine="482" w:firstLineChars="200"/>
        <w:contextualSpacing/>
        <w:rPr>
          <w:b/>
          <w:sz w:val="24"/>
          <w:szCs w:val="20"/>
        </w:rPr>
      </w:pPr>
      <w:r>
        <w:rPr>
          <w:rFonts w:hint="eastAsia"/>
          <w:b/>
          <w:sz w:val="24"/>
          <w:szCs w:val="20"/>
        </w:rPr>
        <w:t>2）地形数据</w:t>
      </w:r>
    </w:p>
    <w:p w14:paraId="549E3BC3">
      <w:pPr>
        <w:widowControl/>
        <w:snapToGrid w:val="0"/>
        <w:spacing w:before="0" w:beforeLines="0" w:line="360" w:lineRule="auto"/>
        <w:ind w:firstLine="480" w:firstLineChars="200"/>
        <w:rPr>
          <w:sz w:val="24"/>
          <w:szCs w:val="20"/>
        </w:rPr>
      </w:pPr>
      <w:r>
        <w:rPr>
          <w:rFonts w:hint="eastAsia"/>
          <w:sz w:val="24"/>
          <w:szCs w:val="20"/>
        </w:rPr>
        <w:t>本次评价</w:t>
      </w:r>
      <w:r>
        <w:rPr>
          <w:sz w:val="24"/>
          <w:szCs w:val="20"/>
        </w:rPr>
        <w:t>区域地形</w:t>
      </w:r>
      <w:r>
        <w:rPr>
          <w:rFonts w:hint="eastAsia"/>
          <w:sz w:val="24"/>
          <w:szCs w:val="20"/>
        </w:rPr>
        <w:t>数据采用SRTM（Shuttle</w:t>
      </w:r>
      <w:r>
        <w:rPr>
          <w:sz w:val="24"/>
          <w:szCs w:val="20"/>
        </w:rPr>
        <w:t xml:space="preserve"> R</w:t>
      </w:r>
      <w:r>
        <w:rPr>
          <w:rFonts w:hint="eastAsia"/>
          <w:sz w:val="24"/>
          <w:szCs w:val="20"/>
        </w:rPr>
        <w:t>adar</w:t>
      </w:r>
      <w:r>
        <w:rPr>
          <w:sz w:val="24"/>
          <w:szCs w:val="20"/>
        </w:rPr>
        <w:t xml:space="preserve"> T</w:t>
      </w:r>
      <w:r>
        <w:rPr>
          <w:rFonts w:hint="eastAsia"/>
          <w:sz w:val="24"/>
          <w:szCs w:val="20"/>
        </w:rPr>
        <w:t>opography</w:t>
      </w:r>
      <w:r>
        <w:rPr>
          <w:sz w:val="24"/>
          <w:szCs w:val="20"/>
        </w:rPr>
        <w:t xml:space="preserve"> M</w:t>
      </w:r>
      <w:r>
        <w:rPr>
          <w:rFonts w:hint="eastAsia"/>
          <w:sz w:val="24"/>
          <w:szCs w:val="20"/>
        </w:rPr>
        <w:t>ission）的90m分辨率地形数据，数据来源</w:t>
      </w:r>
      <w:r>
        <w:rPr>
          <w:sz w:val="24"/>
          <w:szCs w:val="20"/>
        </w:rPr>
        <w:t>http：//srtm.csi.cgiar.org</w:t>
      </w:r>
      <w:r>
        <w:rPr>
          <w:rFonts w:hint="eastAsia"/>
          <w:sz w:val="24"/>
          <w:szCs w:val="20"/>
        </w:rPr>
        <w:t>，地形数据范围为Srtm61-0</w:t>
      </w:r>
      <w:r>
        <w:rPr>
          <w:sz w:val="24"/>
          <w:szCs w:val="20"/>
        </w:rPr>
        <w:t>5</w:t>
      </w:r>
      <w:r>
        <w:rPr>
          <w:rFonts w:hint="eastAsia"/>
          <w:sz w:val="24"/>
          <w:szCs w:val="20"/>
        </w:rPr>
        <w:t>，</w:t>
      </w:r>
      <w:r>
        <w:rPr>
          <w:sz w:val="24"/>
          <w:szCs w:val="20"/>
        </w:rPr>
        <w:t>覆盖范围为6km×6km</w:t>
      </w:r>
      <w:r>
        <w:rPr>
          <w:rFonts w:hint="eastAsia"/>
          <w:sz w:val="24"/>
          <w:szCs w:val="20"/>
        </w:rPr>
        <w:t>。</w:t>
      </w:r>
      <w:r>
        <w:rPr>
          <w:sz w:val="24"/>
          <w:szCs w:val="20"/>
        </w:rPr>
        <w:t>经AERMAP处理后得到接收区域最大落地浓度点上各点的实际地理高程、有效高度及各污染源点的实际高程数据。</w:t>
      </w:r>
      <w:r>
        <w:rPr>
          <w:rFonts w:hint="eastAsia"/>
          <w:sz w:val="24"/>
          <w:szCs w:val="20"/>
        </w:rPr>
        <w:t>本项目预测范围内地形见图5.2-2。</w:t>
      </w:r>
    </w:p>
    <w:p w14:paraId="20C01383">
      <w:pPr>
        <w:widowControl/>
        <w:spacing w:before="0" w:beforeLines="0" w:line="240" w:lineRule="auto"/>
        <w:jc w:val="center"/>
        <w:rPr>
          <w:sz w:val="24"/>
          <w:szCs w:val="20"/>
        </w:rPr>
      </w:pPr>
      <w:r>
        <w:rPr>
          <w:sz w:val="24"/>
          <w:szCs w:val="20"/>
        </w:rPr>
        <w:drawing>
          <wp:inline distT="0" distB="0" distL="0" distR="0">
            <wp:extent cx="5273675" cy="3078480"/>
            <wp:effectExtent l="0" t="0" r="3175" b="7620"/>
            <wp:docPr id="687694019"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694019" name="图片 60"/>
                    <pic:cNvPicPr>
                      <a:picLocks noChangeAspect="1" noChangeArrowheads="1"/>
                    </pic:cNvPicPr>
                  </pic:nvPicPr>
                  <pic:blipFill>
                    <a:blip r:embed="rId62"/>
                    <a:srcRect/>
                    <a:stretch>
                      <a:fillRect/>
                    </a:stretch>
                  </pic:blipFill>
                  <pic:spPr>
                    <a:xfrm>
                      <a:off x="0" y="0"/>
                      <a:ext cx="5273675" cy="3078480"/>
                    </a:xfrm>
                    <a:prstGeom prst="rect">
                      <a:avLst/>
                    </a:prstGeom>
                    <a:noFill/>
                  </pic:spPr>
                </pic:pic>
              </a:graphicData>
            </a:graphic>
          </wp:inline>
        </w:drawing>
      </w:r>
    </w:p>
    <w:p w14:paraId="03B946DC">
      <w:pPr>
        <w:widowControl/>
        <w:spacing w:before="0" w:beforeLines="0" w:line="240" w:lineRule="auto"/>
        <w:jc w:val="center"/>
        <w:rPr>
          <w:b/>
          <w:bCs/>
          <w:sz w:val="24"/>
          <w:szCs w:val="20"/>
        </w:rPr>
      </w:pPr>
      <w:r>
        <w:rPr>
          <w:b/>
          <w:bCs/>
          <w:sz w:val="24"/>
          <w:szCs w:val="20"/>
        </w:rPr>
        <w:t xml:space="preserve">图 </w:t>
      </w:r>
      <w:r>
        <w:rPr>
          <w:rFonts w:hint="eastAsia"/>
          <w:b/>
          <w:bCs/>
          <w:sz w:val="24"/>
          <w:szCs w:val="20"/>
        </w:rPr>
        <w:t>5.2-</w:t>
      </w:r>
      <w:r>
        <w:rPr>
          <w:b/>
          <w:bCs/>
          <w:sz w:val="24"/>
          <w:szCs w:val="20"/>
        </w:rPr>
        <w:fldChar w:fldCharType="begin"/>
      </w:r>
      <w:r>
        <w:rPr>
          <w:b/>
          <w:bCs/>
          <w:sz w:val="24"/>
          <w:szCs w:val="20"/>
        </w:rPr>
        <w:instrText xml:space="preserve"> SEQ 图 \* ARABIC \s 1 </w:instrText>
      </w:r>
      <w:r>
        <w:rPr>
          <w:b/>
          <w:bCs/>
          <w:sz w:val="24"/>
          <w:szCs w:val="20"/>
        </w:rPr>
        <w:fldChar w:fldCharType="separate"/>
      </w:r>
      <w:r>
        <w:rPr>
          <w:b/>
          <w:bCs/>
          <w:sz w:val="24"/>
          <w:szCs w:val="20"/>
        </w:rPr>
        <w:t>2</w:t>
      </w:r>
      <w:r>
        <w:rPr>
          <w:b/>
          <w:bCs/>
          <w:sz w:val="24"/>
          <w:szCs w:val="20"/>
        </w:rPr>
        <w:fldChar w:fldCharType="end"/>
      </w:r>
      <w:r>
        <w:rPr>
          <w:rFonts w:hint="eastAsia"/>
          <w:b/>
          <w:bCs/>
          <w:sz w:val="24"/>
          <w:szCs w:val="20"/>
        </w:rPr>
        <w:t xml:space="preserve">    </w:t>
      </w:r>
      <w:r>
        <w:rPr>
          <w:b/>
          <w:bCs/>
          <w:sz w:val="24"/>
          <w:szCs w:val="20"/>
        </w:rPr>
        <w:t xml:space="preserve"> </w:t>
      </w:r>
      <w:r>
        <w:rPr>
          <w:rFonts w:hint="eastAsia"/>
          <w:b/>
          <w:bCs/>
          <w:sz w:val="24"/>
          <w:szCs w:val="20"/>
        </w:rPr>
        <w:t>评价区域地形等值线示意图</w:t>
      </w:r>
    </w:p>
    <w:p w14:paraId="2FD66BFB">
      <w:pPr>
        <w:widowControl/>
        <w:snapToGrid w:val="0"/>
        <w:spacing w:before="0" w:beforeLines="0" w:line="360" w:lineRule="auto"/>
        <w:ind w:firstLine="480" w:firstLineChars="200"/>
        <w:rPr>
          <w:sz w:val="24"/>
          <w:szCs w:val="20"/>
        </w:rPr>
      </w:pPr>
    </w:p>
    <w:p w14:paraId="55677B9C">
      <w:pPr>
        <w:widowControl/>
        <w:snapToGrid w:val="0"/>
        <w:spacing w:before="0" w:beforeLines="0" w:line="360" w:lineRule="auto"/>
        <w:ind w:firstLine="482" w:firstLineChars="200"/>
        <w:rPr>
          <w:b/>
          <w:sz w:val="24"/>
          <w:szCs w:val="20"/>
        </w:rPr>
      </w:pPr>
      <w:r>
        <w:rPr>
          <w:rFonts w:hint="eastAsia"/>
          <w:b/>
          <w:sz w:val="24"/>
          <w:szCs w:val="20"/>
        </w:rPr>
        <w:t>3）地表参数</w:t>
      </w:r>
    </w:p>
    <w:p w14:paraId="7DFDEC5B">
      <w:pPr>
        <w:widowControl/>
        <w:snapToGrid w:val="0"/>
        <w:spacing w:before="0" w:beforeLines="0" w:line="360" w:lineRule="auto"/>
        <w:ind w:firstLine="480" w:firstLineChars="200"/>
        <w:rPr>
          <w:sz w:val="24"/>
          <w:szCs w:val="20"/>
        </w:rPr>
      </w:pPr>
      <w:r>
        <w:rPr>
          <w:rFonts w:hint="eastAsia" w:ascii="宋体" w:hAnsi="宋体"/>
          <w:sz w:val="24"/>
          <w:szCs w:val="20"/>
        </w:rPr>
        <w:t>①</w:t>
      </w:r>
      <w:r>
        <w:rPr>
          <w:rFonts w:hint="eastAsia"/>
          <w:sz w:val="24"/>
          <w:szCs w:val="20"/>
        </w:rPr>
        <w:t>区域湿度条件</w:t>
      </w:r>
    </w:p>
    <w:p w14:paraId="1161535A">
      <w:pPr>
        <w:widowControl/>
        <w:snapToGrid w:val="0"/>
        <w:spacing w:before="0" w:beforeLines="0" w:line="360" w:lineRule="auto"/>
        <w:ind w:firstLine="480" w:firstLineChars="200"/>
        <w:rPr>
          <w:sz w:val="24"/>
          <w:szCs w:val="20"/>
        </w:rPr>
      </w:pPr>
      <w:r>
        <w:rPr>
          <w:rFonts w:hint="eastAsia"/>
          <w:sz w:val="24"/>
          <w:szCs w:val="20"/>
        </w:rPr>
        <w:t>根据中国干湿地区划分图，本项目所在区域属于中等湿度气候。</w:t>
      </w:r>
    </w:p>
    <w:p w14:paraId="5DC75393">
      <w:pPr>
        <w:widowControl/>
        <w:adjustRightInd w:val="0"/>
        <w:snapToGrid w:val="0"/>
        <w:spacing w:before="0" w:beforeLines="0" w:line="360" w:lineRule="auto"/>
        <w:ind w:firstLine="480" w:firstLineChars="200"/>
        <w:rPr>
          <w:sz w:val="24"/>
          <w:szCs w:val="20"/>
        </w:rPr>
      </w:pPr>
      <w:r>
        <w:rPr>
          <w:sz w:val="24"/>
          <w:szCs w:val="20"/>
        </w:rPr>
        <w:fldChar w:fldCharType="begin"/>
      </w:r>
      <w:r>
        <w:rPr>
          <w:sz w:val="24"/>
          <w:szCs w:val="20"/>
        </w:rPr>
        <w:instrText xml:space="preserve"> </w:instrText>
      </w:r>
      <w:r>
        <w:rPr>
          <w:rFonts w:hint="eastAsia"/>
          <w:sz w:val="24"/>
          <w:szCs w:val="20"/>
        </w:rPr>
        <w:instrText xml:space="preserve">= 2 \* GB3</w:instrText>
      </w:r>
      <w:r>
        <w:rPr>
          <w:sz w:val="24"/>
          <w:szCs w:val="20"/>
        </w:rPr>
        <w:instrText xml:space="preserve"> </w:instrText>
      </w:r>
      <w:r>
        <w:rPr>
          <w:sz w:val="24"/>
          <w:szCs w:val="20"/>
        </w:rPr>
        <w:fldChar w:fldCharType="separate"/>
      </w:r>
      <w:r>
        <w:rPr>
          <w:rFonts w:hint="eastAsia"/>
          <w:sz w:val="24"/>
          <w:szCs w:val="20"/>
        </w:rPr>
        <w:t>②</w:t>
      </w:r>
      <w:r>
        <w:rPr>
          <w:sz w:val="24"/>
          <w:szCs w:val="20"/>
        </w:rPr>
        <w:fldChar w:fldCharType="end"/>
      </w:r>
      <w:r>
        <w:rPr>
          <w:rFonts w:hint="eastAsia"/>
          <w:sz w:val="24"/>
          <w:szCs w:val="20"/>
        </w:rPr>
        <w:t>土地利用类型</w:t>
      </w:r>
    </w:p>
    <w:p w14:paraId="42DE0ADD">
      <w:pPr>
        <w:widowControl/>
        <w:snapToGrid w:val="0"/>
        <w:spacing w:before="0" w:beforeLines="0" w:line="360" w:lineRule="auto"/>
        <w:ind w:firstLine="480" w:firstLineChars="200"/>
        <w:rPr>
          <w:sz w:val="24"/>
          <w:szCs w:val="20"/>
        </w:rPr>
      </w:pPr>
      <w:r>
        <w:rPr>
          <w:rFonts w:hint="eastAsia"/>
          <w:sz w:val="24"/>
          <w:szCs w:val="20"/>
        </w:rPr>
        <w:t>拟建项目厂址地理坐标为：</w:t>
      </w:r>
      <w:bookmarkStart w:id="219" w:name="OLE_LINK34"/>
      <w:bookmarkStart w:id="220" w:name="OLE_LINK35"/>
      <w:r>
        <w:rPr>
          <w:rFonts w:hint="eastAsia"/>
          <w:sz w:val="24"/>
          <w:szCs w:val="20"/>
        </w:rPr>
        <w:t>东经</w:t>
      </w:r>
      <w:r>
        <w:rPr>
          <w:sz w:val="24"/>
          <w:szCs w:val="21"/>
        </w:rPr>
        <w:t>122.663°</w:t>
      </w:r>
      <w:r>
        <w:rPr>
          <w:rFonts w:hint="eastAsia"/>
          <w:sz w:val="24"/>
          <w:szCs w:val="20"/>
        </w:rPr>
        <w:t>，北纬</w:t>
      </w:r>
      <w:r>
        <w:rPr>
          <w:sz w:val="24"/>
          <w:szCs w:val="20"/>
        </w:rPr>
        <w:t>42.333</w:t>
      </w:r>
      <w:bookmarkEnd w:id="219"/>
      <w:bookmarkEnd w:id="220"/>
      <w:r>
        <w:rPr>
          <w:sz w:val="24"/>
          <w:szCs w:val="21"/>
        </w:rPr>
        <w:t>°</w:t>
      </w:r>
      <w:r>
        <w:rPr>
          <w:rFonts w:hint="eastAsia"/>
          <w:sz w:val="24"/>
          <w:szCs w:val="20"/>
        </w:rPr>
        <w:t>，项目周边3km范围的土地利用类型按</w:t>
      </w:r>
      <w:r>
        <w:rPr>
          <w:sz w:val="24"/>
          <w:szCs w:val="20"/>
        </w:rPr>
        <w:t>1</w:t>
      </w:r>
      <w:r>
        <w:rPr>
          <w:rFonts w:hint="eastAsia"/>
          <w:sz w:val="24"/>
          <w:szCs w:val="20"/>
        </w:rPr>
        <w:t>个区域划分，土地类型为针叶林。模式计算的地面</w:t>
      </w:r>
      <w:r>
        <w:rPr>
          <w:sz w:val="24"/>
          <w:szCs w:val="20"/>
        </w:rPr>
        <w:t>特征</w:t>
      </w:r>
      <w:r>
        <w:rPr>
          <w:rFonts w:hint="eastAsia"/>
          <w:sz w:val="24"/>
          <w:szCs w:val="20"/>
        </w:rPr>
        <w:t>参数见表5.2-4。</w:t>
      </w:r>
    </w:p>
    <w:p w14:paraId="5B539FAB">
      <w:pPr>
        <w:keepNext/>
        <w:spacing w:before="0" w:beforeLines="0" w:line="240" w:lineRule="auto"/>
        <w:jc w:val="center"/>
        <w:rPr>
          <w:b/>
          <w:bCs/>
          <w:szCs w:val="21"/>
        </w:rPr>
      </w:pPr>
      <w:r>
        <w:rPr>
          <w:b/>
          <w:bCs/>
          <w:szCs w:val="21"/>
        </w:rPr>
        <w:t xml:space="preserve">表 </w:t>
      </w:r>
      <w:r>
        <w:rPr>
          <w:rFonts w:hint="eastAsia"/>
          <w:b/>
          <w:bCs/>
          <w:szCs w:val="21"/>
        </w:rPr>
        <w:t>5.2</w:t>
      </w:r>
      <w:r>
        <w:rPr>
          <w:b/>
          <w:bCs/>
          <w:szCs w:val="21"/>
        </w:rPr>
        <w:noBreakHyphen/>
      </w:r>
      <w:r>
        <w:rPr>
          <w:b/>
          <w:bCs/>
          <w:szCs w:val="21"/>
        </w:rPr>
        <w:fldChar w:fldCharType="begin"/>
      </w:r>
      <w:r>
        <w:rPr>
          <w:b/>
          <w:bCs/>
          <w:szCs w:val="21"/>
        </w:rPr>
        <w:instrText xml:space="preserve"> SEQ 表 \* ARABIC \s 1 </w:instrText>
      </w:r>
      <w:r>
        <w:rPr>
          <w:b/>
          <w:bCs/>
          <w:szCs w:val="21"/>
        </w:rPr>
        <w:fldChar w:fldCharType="separate"/>
      </w:r>
      <w:r>
        <w:rPr>
          <w:b/>
          <w:bCs/>
          <w:szCs w:val="21"/>
        </w:rPr>
        <w:t>4</w:t>
      </w:r>
      <w:r>
        <w:rPr>
          <w:b/>
          <w:bCs/>
          <w:szCs w:val="21"/>
        </w:rPr>
        <w:fldChar w:fldCharType="end"/>
      </w:r>
      <w:r>
        <w:rPr>
          <w:rFonts w:hint="eastAsia"/>
          <w:b/>
          <w:bCs/>
          <w:szCs w:val="21"/>
        </w:rPr>
        <w:t xml:space="preserve">    </w:t>
      </w:r>
      <w:r>
        <w:rPr>
          <w:b/>
          <w:bCs/>
          <w:szCs w:val="21"/>
        </w:rPr>
        <w:t xml:space="preserve"> </w:t>
      </w:r>
      <w:r>
        <w:rPr>
          <w:rFonts w:hint="eastAsia"/>
          <w:b/>
          <w:bCs/>
          <w:szCs w:val="21"/>
        </w:rPr>
        <w:t>项目周边3km范围内地面特征参数</w:t>
      </w:r>
    </w:p>
    <w:tbl>
      <w:tblPr>
        <w:tblStyle w:val="348"/>
        <w:tblW w:w="5042"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108" w:type="dxa"/>
          <w:bottom w:w="0" w:type="dxa"/>
          <w:right w:w="108" w:type="dxa"/>
        </w:tblCellMar>
      </w:tblPr>
      <w:tblGrid>
        <w:gridCol w:w="1256"/>
        <w:gridCol w:w="1256"/>
        <w:gridCol w:w="2027"/>
        <w:gridCol w:w="1328"/>
        <w:gridCol w:w="1257"/>
        <w:gridCol w:w="1252"/>
      </w:tblGrid>
      <w:tr w14:paraId="752A183A">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750" w:type="pct"/>
            <w:noWrap/>
            <w:vAlign w:val="center"/>
          </w:tcPr>
          <w:p w14:paraId="322145BA">
            <w:pPr>
              <w:widowControl/>
              <w:spacing w:before="0" w:beforeLines="0" w:after="163" w:line="240" w:lineRule="auto"/>
              <w:contextualSpacing/>
              <w:jc w:val="center"/>
              <w:rPr>
                <w:kern w:val="0"/>
                <w:sz w:val="22"/>
                <w:szCs w:val="22"/>
              </w:rPr>
            </w:pPr>
            <w:r>
              <w:rPr>
                <w:kern w:val="0"/>
                <w:sz w:val="22"/>
                <w:szCs w:val="22"/>
              </w:rPr>
              <w:t>序号</w:t>
            </w:r>
          </w:p>
        </w:tc>
        <w:tc>
          <w:tcPr>
            <w:tcW w:w="750" w:type="pct"/>
            <w:noWrap/>
            <w:vAlign w:val="center"/>
          </w:tcPr>
          <w:p w14:paraId="417CCBE8">
            <w:pPr>
              <w:widowControl/>
              <w:spacing w:before="0" w:beforeLines="0" w:after="163" w:line="240" w:lineRule="auto"/>
              <w:contextualSpacing/>
              <w:jc w:val="center"/>
              <w:rPr>
                <w:kern w:val="0"/>
                <w:sz w:val="22"/>
                <w:szCs w:val="22"/>
              </w:rPr>
            </w:pPr>
            <w:r>
              <w:rPr>
                <w:kern w:val="0"/>
                <w:sz w:val="22"/>
                <w:szCs w:val="22"/>
              </w:rPr>
              <w:t>扇区</w:t>
            </w:r>
          </w:p>
        </w:tc>
        <w:tc>
          <w:tcPr>
            <w:tcW w:w="1210" w:type="pct"/>
            <w:noWrap/>
            <w:vAlign w:val="center"/>
          </w:tcPr>
          <w:p w14:paraId="6BA76D3A">
            <w:pPr>
              <w:widowControl/>
              <w:spacing w:before="0" w:beforeLines="0" w:after="163" w:line="240" w:lineRule="auto"/>
              <w:contextualSpacing/>
              <w:jc w:val="center"/>
              <w:rPr>
                <w:kern w:val="0"/>
                <w:sz w:val="22"/>
                <w:szCs w:val="22"/>
              </w:rPr>
            </w:pPr>
            <w:r>
              <w:rPr>
                <w:kern w:val="0"/>
                <w:sz w:val="22"/>
                <w:szCs w:val="22"/>
              </w:rPr>
              <w:t>时段</w:t>
            </w:r>
          </w:p>
        </w:tc>
        <w:tc>
          <w:tcPr>
            <w:tcW w:w="793" w:type="pct"/>
            <w:noWrap/>
            <w:vAlign w:val="center"/>
          </w:tcPr>
          <w:p w14:paraId="11164422">
            <w:pPr>
              <w:widowControl/>
              <w:spacing w:before="0" w:beforeLines="0" w:after="163" w:line="240" w:lineRule="auto"/>
              <w:contextualSpacing/>
              <w:jc w:val="center"/>
              <w:rPr>
                <w:kern w:val="0"/>
                <w:sz w:val="22"/>
                <w:szCs w:val="22"/>
              </w:rPr>
            </w:pPr>
            <w:r>
              <w:rPr>
                <w:kern w:val="0"/>
                <w:sz w:val="22"/>
                <w:szCs w:val="22"/>
              </w:rPr>
              <w:t>正午反照率</w:t>
            </w:r>
          </w:p>
        </w:tc>
        <w:tc>
          <w:tcPr>
            <w:tcW w:w="750" w:type="pct"/>
            <w:noWrap/>
            <w:vAlign w:val="center"/>
          </w:tcPr>
          <w:p w14:paraId="1E407BC9">
            <w:pPr>
              <w:widowControl/>
              <w:spacing w:before="0" w:beforeLines="0" w:after="163" w:line="240" w:lineRule="auto"/>
              <w:contextualSpacing/>
              <w:jc w:val="center"/>
              <w:rPr>
                <w:kern w:val="0"/>
                <w:sz w:val="22"/>
                <w:szCs w:val="22"/>
              </w:rPr>
            </w:pPr>
            <w:r>
              <w:rPr>
                <w:kern w:val="0"/>
                <w:sz w:val="22"/>
                <w:szCs w:val="22"/>
              </w:rPr>
              <w:t>BOWEN</w:t>
            </w:r>
          </w:p>
        </w:tc>
        <w:tc>
          <w:tcPr>
            <w:tcW w:w="748" w:type="pct"/>
            <w:noWrap/>
            <w:vAlign w:val="center"/>
          </w:tcPr>
          <w:p w14:paraId="2AD980AC">
            <w:pPr>
              <w:widowControl/>
              <w:spacing w:before="0" w:beforeLines="0" w:after="163" w:line="240" w:lineRule="auto"/>
              <w:contextualSpacing/>
              <w:jc w:val="center"/>
              <w:rPr>
                <w:kern w:val="0"/>
                <w:sz w:val="22"/>
                <w:szCs w:val="22"/>
              </w:rPr>
            </w:pPr>
            <w:r>
              <w:rPr>
                <w:kern w:val="0"/>
                <w:sz w:val="22"/>
                <w:szCs w:val="22"/>
              </w:rPr>
              <w:t>粗糙度</w:t>
            </w:r>
          </w:p>
        </w:tc>
      </w:tr>
      <w:tr w14:paraId="57AEDAB3">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750" w:type="pct"/>
            <w:noWrap/>
            <w:vAlign w:val="center"/>
          </w:tcPr>
          <w:p w14:paraId="6AF06FCA">
            <w:pPr>
              <w:widowControl/>
              <w:spacing w:before="0" w:beforeLines="0" w:after="163" w:line="240" w:lineRule="auto"/>
              <w:contextualSpacing/>
              <w:jc w:val="center"/>
              <w:rPr>
                <w:kern w:val="0"/>
                <w:szCs w:val="21"/>
              </w:rPr>
            </w:pPr>
            <w:r>
              <w:rPr>
                <w:kern w:val="0"/>
                <w:szCs w:val="21"/>
              </w:rPr>
              <w:t>1</w:t>
            </w:r>
          </w:p>
        </w:tc>
        <w:tc>
          <w:tcPr>
            <w:tcW w:w="750" w:type="pct"/>
            <w:noWrap/>
            <w:vAlign w:val="center"/>
          </w:tcPr>
          <w:p w14:paraId="24FD8901">
            <w:pPr>
              <w:widowControl/>
              <w:spacing w:before="0" w:beforeLines="0" w:after="163" w:line="240" w:lineRule="auto"/>
              <w:contextualSpacing/>
              <w:jc w:val="center"/>
              <w:rPr>
                <w:kern w:val="0"/>
                <w:szCs w:val="21"/>
              </w:rPr>
            </w:pPr>
            <w:r>
              <w:rPr>
                <w:kern w:val="0"/>
                <w:szCs w:val="21"/>
              </w:rPr>
              <w:t>0-360</w:t>
            </w:r>
          </w:p>
        </w:tc>
        <w:tc>
          <w:tcPr>
            <w:tcW w:w="1210" w:type="pct"/>
            <w:noWrap/>
            <w:vAlign w:val="center"/>
          </w:tcPr>
          <w:p w14:paraId="2D7D9F24">
            <w:pPr>
              <w:widowControl/>
              <w:spacing w:before="0" w:beforeLines="0" w:after="163" w:line="240" w:lineRule="auto"/>
              <w:contextualSpacing/>
              <w:jc w:val="center"/>
              <w:rPr>
                <w:kern w:val="0"/>
                <w:szCs w:val="21"/>
              </w:rPr>
            </w:pPr>
            <w:r>
              <w:rPr>
                <w:kern w:val="0"/>
                <w:szCs w:val="21"/>
              </w:rPr>
              <w:t>冬季(12,1,2月)</w:t>
            </w:r>
          </w:p>
        </w:tc>
        <w:tc>
          <w:tcPr>
            <w:tcW w:w="793" w:type="pct"/>
            <w:noWrap/>
            <w:vAlign w:val="center"/>
          </w:tcPr>
          <w:p w14:paraId="474EEF43">
            <w:pPr>
              <w:widowControl/>
              <w:spacing w:before="0" w:beforeLines="0" w:after="163" w:line="240" w:lineRule="auto"/>
              <w:contextualSpacing/>
              <w:jc w:val="center"/>
              <w:rPr>
                <w:kern w:val="0"/>
                <w:szCs w:val="21"/>
              </w:rPr>
            </w:pPr>
            <w:r>
              <w:rPr>
                <w:szCs w:val="21"/>
              </w:rPr>
              <w:t>0.35</w:t>
            </w:r>
          </w:p>
        </w:tc>
        <w:tc>
          <w:tcPr>
            <w:tcW w:w="750" w:type="pct"/>
            <w:noWrap/>
            <w:vAlign w:val="center"/>
          </w:tcPr>
          <w:p w14:paraId="3A3DA63F">
            <w:pPr>
              <w:widowControl/>
              <w:spacing w:before="0" w:beforeLines="0" w:after="163" w:line="240" w:lineRule="auto"/>
              <w:contextualSpacing/>
              <w:jc w:val="center"/>
              <w:rPr>
                <w:kern w:val="0"/>
                <w:szCs w:val="21"/>
              </w:rPr>
            </w:pPr>
            <w:r>
              <w:rPr>
                <w:szCs w:val="21"/>
              </w:rPr>
              <w:t>1.5</w:t>
            </w:r>
          </w:p>
        </w:tc>
        <w:tc>
          <w:tcPr>
            <w:tcW w:w="748" w:type="pct"/>
            <w:noWrap/>
            <w:vAlign w:val="center"/>
          </w:tcPr>
          <w:p w14:paraId="6A1F8E9C">
            <w:pPr>
              <w:widowControl/>
              <w:spacing w:before="0" w:beforeLines="0" w:after="163" w:line="240" w:lineRule="auto"/>
              <w:contextualSpacing/>
              <w:jc w:val="center"/>
              <w:rPr>
                <w:kern w:val="0"/>
                <w:szCs w:val="21"/>
              </w:rPr>
            </w:pPr>
            <w:r>
              <w:rPr>
                <w:szCs w:val="21"/>
              </w:rPr>
              <w:t>1.3</w:t>
            </w:r>
          </w:p>
        </w:tc>
      </w:tr>
      <w:tr w14:paraId="1A7392B2">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750" w:type="pct"/>
            <w:noWrap/>
            <w:vAlign w:val="center"/>
          </w:tcPr>
          <w:p w14:paraId="6A08F1AC">
            <w:pPr>
              <w:widowControl/>
              <w:spacing w:before="0" w:beforeLines="0" w:after="163" w:line="240" w:lineRule="auto"/>
              <w:contextualSpacing/>
              <w:jc w:val="center"/>
              <w:rPr>
                <w:kern w:val="0"/>
                <w:szCs w:val="21"/>
              </w:rPr>
            </w:pPr>
            <w:r>
              <w:rPr>
                <w:kern w:val="0"/>
                <w:szCs w:val="21"/>
              </w:rPr>
              <w:t>2</w:t>
            </w:r>
          </w:p>
        </w:tc>
        <w:tc>
          <w:tcPr>
            <w:tcW w:w="750" w:type="pct"/>
            <w:noWrap/>
            <w:vAlign w:val="center"/>
          </w:tcPr>
          <w:p w14:paraId="742C3BDB">
            <w:pPr>
              <w:widowControl/>
              <w:spacing w:before="0" w:beforeLines="0" w:after="163" w:line="240" w:lineRule="auto"/>
              <w:contextualSpacing/>
              <w:jc w:val="center"/>
              <w:rPr>
                <w:kern w:val="0"/>
                <w:szCs w:val="21"/>
              </w:rPr>
            </w:pPr>
            <w:r>
              <w:rPr>
                <w:kern w:val="0"/>
                <w:szCs w:val="21"/>
              </w:rPr>
              <w:t>0-360</w:t>
            </w:r>
          </w:p>
        </w:tc>
        <w:tc>
          <w:tcPr>
            <w:tcW w:w="1210" w:type="pct"/>
            <w:noWrap/>
            <w:vAlign w:val="center"/>
          </w:tcPr>
          <w:p w14:paraId="600141BC">
            <w:pPr>
              <w:widowControl/>
              <w:spacing w:before="0" w:beforeLines="0" w:after="163" w:line="240" w:lineRule="auto"/>
              <w:contextualSpacing/>
              <w:jc w:val="center"/>
              <w:rPr>
                <w:kern w:val="0"/>
                <w:szCs w:val="21"/>
              </w:rPr>
            </w:pPr>
            <w:r>
              <w:rPr>
                <w:kern w:val="0"/>
                <w:szCs w:val="21"/>
              </w:rPr>
              <w:t>春季(3,4,5月)</w:t>
            </w:r>
          </w:p>
        </w:tc>
        <w:tc>
          <w:tcPr>
            <w:tcW w:w="793" w:type="pct"/>
            <w:noWrap/>
            <w:vAlign w:val="center"/>
          </w:tcPr>
          <w:p w14:paraId="2B43A8D5">
            <w:pPr>
              <w:widowControl/>
              <w:spacing w:before="0" w:beforeLines="0" w:after="163" w:line="240" w:lineRule="auto"/>
              <w:contextualSpacing/>
              <w:jc w:val="center"/>
              <w:rPr>
                <w:kern w:val="0"/>
                <w:szCs w:val="21"/>
              </w:rPr>
            </w:pPr>
            <w:r>
              <w:rPr>
                <w:szCs w:val="21"/>
              </w:rPr>
              <w:t>0.12</w:t>
            </w:r>
          </w:p>
        </w:tc>
        <w:tc>
          <w:tcPr>
            <w:tcW w:w="750" w:type="pct"/>
            <w:noWrap/>
            <w:vAlign w:val="center"/>
          </w:tcPr>
          <w:p w14:paraId="5DB0BD8E">
            <w:pPr>
              <w:widowControl/>
              <w:spacing w:before="0" w:beforeLines="0" w:after="163" w:line="240" w:lineRule="auto"/>
              <w:contextualSpacing/>
              <w:jc w:val="center"/>
              <w:rPr>
                <w:kern w:val="0"/>
                <w:szCs w:val="21"/>
              </w:rPr>
            </w:pPr>
            <w:r>
              <w:rPr>
                <w:szCs w:val="21"/>
              </w:rPr>
              <w:t>0.7</w:t>
            </w:r>
          </w:p>
        </w:tc>
        <w:tc>
          <w:tcPr>
            <w:tcW w:w="748" w:type="pct"/>
            <w:noWrap/>
            <w:vAlign w:val="center"/>
          </w:tcPr>
          <w:p w14:paraId="6064EA0B">
            <w:pPr>
              <w:widowControl/>
              <w:spacing w:before="0" w:beforeLines="0" w:after="163" w:line="240" w:lineRule="auto"/>
              <w:contextualSpacing/>
              <w:jc w:val="center"/>
              <w:rPr>
                <w:kern w:val="0"/>
                <w:szCs w:val="21"/>
              </w:rPr>
            </w:pPr>
            <w:r>
              <w:rPr>
                <w:szCs w:val="21"/>
              </w:rPr>
              <w:t>1.3</w:t>
            </w:r>
          </w:p>
        </w:tc>
      </w:tr>
      <w:tr w14:paraId="5441D9A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750" w:type="pct"/>
            <w:noWrap/>
            <w:vAlign w:val="center"/>
          </w:tcPr>
          <w:p w14:paraId="5ECF8350">
            <w:pPr>
              <w:widowControl/>
              <w:spacing w:before="0" w:beforeLines="0" w:after="163" w:line="240" w:lineRule="auto"/>
              <w:contextualSpacing/>
              <w:jc w:val="center"/>
              <w:rPr>
                <w:kern w:val="0"/>
                <w:szCs w:val="21"/>
              </w:rPr>
            </w:pPr>
            <w:r>
              <w:rPr>
                <w:kern w:val="0"/>
                <w:szCs w:val="21"/>
              </w:rPr>
              <w:t>3</w:t>
            </w:r>
          </w:p>
        </w:tc>
        <w:tc>
          <w:tcPr>
            <w:tcW w:w="750" w:type="pct"/>
            <w:noWrap/>
            <w:vAlign w:val="center"/>
          </w:tcPr>
          <w:p w14:paraId="59ED8D4C">
            <w:pPr>
              <w:widowControl/>
              <w:spacing w:before="0" w:beforeLines="0" w:after="163" w:line="240" w:lineRule="auto"/>
              <w:contextualSpacing/>
              <w:jc w:val="center"/>
              <w:rPr>
                <w:kern w:val="0"/>
                <w:szCs w:val="21"/>
              </w:rPr>
            </w:pPr>
            <w:r>
              <w:rPr>
                <w:kern w:val="0"/>
                <w:szCs w:val="21"/>
              </w:rPr>
              <w:t>0-360</w:t>
            </w:r>
          </w:p>
        </w:tc>
        <w:tc>
          <w:tcPr>
            <w:tcW w:w="1210" w:type="pct"/>
            <w:noWrap/>
            <w:vAlign w:val="center"/>
          </w:tcPr>
          <w:p w14:paraId="09527268">
            <w:pPr>
              <w:widowControl/>
              <w:spacing w:before="0" w:beforeLines="0" w:after="163" w:line="240" w:lineRule="auto"/>
              <w:contextualSpacing/>
              <w:jc w:val="center"/>
              <w:rPr>
                <w:kern w:val="0"/>
                <w:szCs w:val="21"/>
              </w:rPr>
            </w:pPr>
            <w:r>
              <w:rPr>
                <w:kern w:val="0"/>
                <w:szCs w:val="21"/>
              </w:rPr>
              <w:t>夏季(6,7,8月)</w:t>
            </w:r>
          </w:p>
        </w:tc>
        <w:tc>
          <w:tcPr>
            <w:tcW w:w="793" w:type="pct"/>
            <w:noWrap/>
            <w:vAlign w:val="center"/>
          </w:tcPr>
          <w:p w14:paraId="3AFBB26F">
            <w:pPr>
              <w:widowControl/>
              <w:spacing w:before="0" w:beforeLines="0" w:after="163" w:line="240" w:lineRule="auto"/>
              <w:contextualSpacing/>
              <w:jc w:val="center"/>
              <w:rPr>
                <w:kern w:val="0"/>
                <w:szCs w:val="21"/>
              </w:rPr>
            </w:pPr>
            <w:r>
              <w:rPr>
                <w:szCs w:val="21"/>
              </w:rPr>
              <w:t>0.12</w:t>
            </w:r>
          </w:p>
        </w:tc>
        <w:tc>
          <w:tcPr>
            <w:tcW w:w="750" w:type="pct"/>
            <w:noWrap/>
            <w:vAlign w:val="center"/>
          </w:tcPr>
          <w:p w14:paraId="64F91E12">
            <w:pPr>
              <w:widowControl/>
              <w:spacing w:before="0" w:beforeLines="0" w:after="163" w:line="240" w:lineRule="auto"/>
              <w:contextualSpacing/>
              <w:jc w:val="center"/>
              <w:rPr>
                <w:kern w:val="0"/>
                <w:szCs w:val="21"/>
              </w:rPr>
            </w:pPr>
            <w:r>
              <w:rPr>
                <w:szCs w:val="21"/>
              </w:rPr>
              <w:t>0.3</w:t>
            </w:r>
          </w:p>
        </w:tc>
        <w:tc>
          <w:tcPr>
            <w:tcW w:w="748" w:type="pct"/>
            <w:noWrap/>
            <w:vAlign w:val="center"/>
          </w:tcPr>
          <w:p w14:paraId="440378E6">
            <w:pPr>
              <w:widowControl/>
              <w:spacing w:before="0" w:beforeLines="0" w:after="163" w:line="240" w:lineRule="auto"/>
              <w:contextualSpacing/>
              <w:jc w:val="center"/>
              <w:rPr>
                <w:kern w:val="0"/>
                <w:szCs w:val="21"/>
              </w:rPr>
            </w:pPr>
            <w:r>
              <w:rPr>
                <w:szCs w:val="21"/>
              </w:rPr>
              <w:t>1.3</w:t>
            </w:r>
          </w:p>
        </w:tc>
      </w:tr>
      <w:tr w14:paraId="6DA37B35">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750" w:type="pct"/>
            <w:noWrap/>
            <w:vAlign w:val="center"/>
          </w:tcPr>
          <w:p w14:paraId="7D47F485">
            <w:pPr>
              <w:widowControl/>
              <w:spacing w:before="0" w:beforeLines="0" w:after="163" w:line="240" w:lineRule="auto"/>
              <w:contextualSpacing/>
              <w:jc w:val="center"/>
              <w:rPr>
                <w:kern w:val="0"/>
                <w:szCs w:val="21"/>
              </w:rPr>
            </w:pPr>
            <w:r>
              <w:rPr>
                <w:kern w:val="0"/>
                <w:szCs w:val="21"/>
              </w:rPr>
              <w:t>4</w:t>
            </w:r>
          </w:p>
        </w:tc>
        <w:tc>
          <w:tcPr>
            <w:tcW w:w="750" w:type="pct"/>
            <w:noWrap/>
            <w:vAlign w:val="center"/>
          </w:tcPr>
          <w:p w14:paraId="4C7C8123">
            <w:pPr>
              <w:widowControl/>
              <w:spacing w:before="0" w:beforeLines="0" w:after="163" w:line="240" w:lineRule="auto"/>
              <w:contextualSpacing/>
              <w:jc w:val="center"/>
              <w:rPr>
                <w:kern w:val="0"/>
                <w:szCs w:val="21"/>
              </w:rPr>
            </w:pPr>
            <w:r>
              <w:rPr>
                <w:kern w:val="0"/>
                <w:szCs w:val="21"/>
              </w:rPr>
              <w:t>0-360</w:t>
            </w:r>
          </w:p>
        </w:tc>
        <w:tc>
          <w:tcPr>
            <w:tcW w:w="1210" w:type="pct"/>
            <w:noWrap/>
            <w:vAlign w:val="center"/>
          </w:tcPr>
          <w:p w14:paraId="5F72E811">
            <w:pPr>
              <w:widowControl/>
              <w:spacing w:before="0" w:beforeLines="0" w:after="163" w:line="240" w:lineRule="auto"/>
              <w:contextualSpacing/>
              <w:jc w:val="center"/>
              <w:rPr>
                <w:kern w:val="0"/>
                <w:szCs w:val="21"/>
              </w:rPr>
            </w:pPr>
            <w:r>
              <w:rPr>
                <w:kern w:val="0"/>
                <w:szCs w:val="21"/>
              </w:rPr>
              <w:t>秋季(9,10,11月)</w:t>
            </w:r>
          </w:p>
        </w:tc>
        <w:tc>
          <w:tcPr>
            <w:tcW w:w="793" w:type="pct"/>
            <w:noWrap/>
            <w:vAlign w:val="center"/>
          </w:tcPr>
          <w:p w14:paraId="563DB189">
            <w:pPr>
              <w:widowControl/>
              <w:spacing w:before="0" w:beforeLines="0" w:after="163" w:line="240" w:lineRule="auto"/>
              <w:contextualSpacing/>
              <w:jc w:val="center"/>
              <w:rPr>
                <w:kern w:val="0"/>
                <w:szCs w:val="21"/>
              </w:rPr>
            </w:pPr>
            <w:r>
              <w:rPr>
                <w:szCs w:val="21"/>
              </w:rPr>
              <w:t>0.12</w:t>
            </w:r>
          </w:p>
        </w:tc>
        <w:tc>
          <w:tcPr>
            <w:tcW w:w="750" w:type="pct"/>
            <w:noWrap/>
            <w:vAlign w:val="center"/>
          </w:tcPr>
          <w:p w14:paraId="17D0BB0D">
            <w:pPr>
              <w:widowControl/>
              <w:spacing w:before="0" w:beforeLines="0" w:after="163" w:line="240" w:lineRule="auto"/>
              <w:contextualSpacing/>
              <w:jc w:val="center"/>
              <w:rPr>
                <w:kern w:val="0"/>
                <w:szCs w:val="21"/>
              </w:rPr>
            </w:pPr>
            <w:r>
              <w:rPr>
                <w:szCs w:val="21"/>
              </w:rPr>
              <w:t>0.8</w:t>
            </w:r>
          </w:p>
        </w:tc>
        <w:tc>
          <w:tcPr>
            <w:tcW w:w="748" w:type="pct"/>
            <w:noWrap/>
            <w:vAlign w:val="center"/>
          </w:tcPr>
          <w:p w14:paraId="3DA492E0">
            <w:pPr>
              <w:widowControl/>
              <w:spacing w:before="0" w:beforeLines="0" w:after="163" w:line="240" w:lineRule="auto"/>
              <w:contextualSpacing/>
              <w:jc w:val="center"/>
              <w:rPr>
                <w:kern w:val="0"/>
                <w:szCs w:val="21"/>
              </w:rPr>
            </w:pPr>
            <w:r>
              <w:rPr>
                <w:szCs w:val="21"/>
              </w:rPr>
              <w:t>1.3</w:t>
            </w:r>
          </w:p>
        </w:tc>
      </w:tr>
    </w:tbl>
    <w:p w14:paraId="15BF4777">
      <w:pPr>
        <w:widowControl/>
        <w:spacing w:before="0" w:beforeLines="0" w:line="360" w:lineRule="auto"/>
        <w:contextualSpacing/>
        <w:rPr>
          <w:b/>
          <w:sz w:val="24"/>
          <w:szCs w:val="20"/>
        </w:rPr>
      </w:pPr>
      <w:r>
        <w:rPr>
          <w:rFonts w:hint="eastAsia"/>
          <w:b/>
          <w:sz w:val="24"/>
          <w:szCs w:val="20"/>
        </w:rPr>
        <w:t>5.2.1.4预测区域最大落地浓度点和计算点</w:t>
      </w:r>
    </w:p>
    <w:p w14:paraId="66254DA3">
      <w:pPr>
        <w:widowControl/>
        <w:spacing w:before="0" w:beforeLines="0" w:line="360" w:lineRule="auto"/>
        <w:ind w:firstLine="480" w:firstLineChars="200"/>
        <w:contextualSpacing/>
        <w:rPr>
          <w:sz w:val="24"/>
          <w:szCs w:val="20"/>
        </w:rPr>
      </w:pPr>
      <w:r>
        <w:rPr>
          <w:rFonts w:hint="eastAsia"/>
          <w:sz w:val="24"/>
          <w:szCs w:val="20"/>
        </w:rPr>
        <w:t>⑴预测区域最大落地浓度点设置</w:t>
      </w:r>
    </w:p>
    <w:p w14:paraId="402042E7">
      <w:pPr>
        <w:widowControl/>
        <w:spacing w:before="0" w:beforeLines="0" w:line="360" w:lineRule="auto"/>
        <w:ind w:firstLine="480" w:firstLineChars="200"/>
        <w:contextualSpacing/>
        <w:rPr>
          <w:sz w:val="24"/>
          <w:szCs w:val="20"/>
        </w:rPr>
      </w:pPr>
      <w:r>
        <w:rPr>
          <w:rFonts w:hint="eastAsia"/>
          <w:sz w:val="24"/>
          <w:szCs w:val="20"/>
        </w:rPr>
        <w:t>本次</w:t>
      </w:r>
      <w:r>
        <w:rPr>
          <w:sz w:val="24"/>
          <w:szCs w:val="20"/>
        </w:rPr>
        <w:t>预测范围</w:t>
      </w:r>
      <w:r>
        <w:rPr>
          <w:rFonts w:hint="eastAsia"/>
          <w:sz w:val="24"/>
          <w:szCs w:val="20"/>
        </w:rPr>
        <w:t>以拟建项目</w:t>
      </w:r>
      <w:r>
        <w:rPr>
          <w:sz w:val="24"/>
          <w:szCs w:val="20"/>
        </w:rPr>
        <w:t>DA001为中心，边长为5</w:t>
      </w:r>
      <w:r>
        <w:rPr>
          <w:rFonts w:hint="eastAsia"/>
          <w:sz w:val="24"/>
          <w:szCs w:val="20"/>
        </w:rPr>
        <w:t>km×</w:t>
      </w:r>
      <w:r>
        <w:rPr>
          <w:sz w:val="24"/>
          <w:szCs w:val="20"/>
        </w:rPr>
        <w:t>5</w:t>
      </w:r>
      <w:r>
        <w:rPr>
          <w:rFonts w:hint="eastAsia"/>
          <w:sz w:val="24"/>
          <w:szCs w:val="20"/>
        </w:rPr>
        <w:t>km</w:t>
      </w:r>
      <w:r>
        <w:rPr>
          <w:sz w:val="24"/>
          <w:szCs w:val="20"/>
        </w:rPr>
        <w:t>的</w:t>
      </w:r>
      <w:r>
        <w:rPr>
          <w:rFonts w:hint="eastAsia"/>
          <w:sz w:val="24"/>
          <w:szCs w:val="20"/>
        </w:rPr>
        <w:t>矩形</w:t>
      </w:r>
      <w:r>
        <w:rPr>
          <w:sz w:val="24"/>
          <w:szCs w:val="20"/>
        </w:rPr>
        <w:t>范围。</w:t>
      </w:r>
      <w:r>
        <w:rPr>
          <w:rFonts w:hint="eastAsia"/>
          <w:sz w:val="24"/>
          <w:szCs w:val="20"/>
        </w:rPr>
        <w:t>网格点间距采用</w:t>
      </w:r>
      <w:r>
        <w:rPr>
          <w:sz w:val="24"/>
          <w:szCs w:val="20"/>
        </w:rPr>
        <w:t>等间距</w:t>
      </w:r>
      <w:r>
        <w:rPr>
          <w:rFonts w:hint="eastAsia"/>
          <w:sz w:val="24"/>
          <w:szCs w:val="20"/>
        </w:rPr>
        <w:t>进行设置，具体设置方法见表5.2</w:t>
      </w:r>
      <w:r>
        <w:rPr>
          <w:sz w:val="24"/>
          <w:szCs w:val="20"/>
        </w:rPr>
        <w:t>-5</w:t>
      </w:r>
      <w:r>
        <w:rPr>
          <w:rFonts w:hint="eastAsia"/>
          <w:sz w:val="24"/>
          <w:szCs w:val="20"/>
        </w:rPr>
        <w:t>。</w:t>
      </w:r>
    </w:p>
    <w:p w14:paraId="30B365D8">
      <w:pPr>
        <w:keepNext/>
        <w:spacing w:before="0" w:beforeLines="0" w:line="240" w:lineRule="auto"/>
        <w:jc w:val="center"/>
        <w:rPr>
          <w:b/>
          <w:bCs/>
          <w:szCs w:val="21"/>
        </w:rPr>
      </w:pPr>
      <w:r>
        <w:rPr>
          <w:b/>
          <w:bCs/>
          <w:szCs w:val="21"/>
        </w:rPr>
        <w:t xml:space="preserve">表 </w:t>
      </w:r>
      <w:r>
        <w:rPr>
          <w:rFonts w:hint="eastAsia"/>
          <w:b/>
          <w:bCs/>
          <w:szCs w:val="21"/>
        </w:rPr>
        <w:t>5.2</w:t>
      </w:r>
      <w:r>
        <w:rPr>
          <w:b/>
          <w:bCs/>
          <w:szCs w:val="21"/>
        </w:rPr>
        <w:noBreakHyphen/>
      </w:r>
      <w:r>
        <w:rPr>
          <w:b/>
          <w:bCs/>
          <w:szCs w:val="21"/>
        </w:rPr>
        <w:fldChar w:fldCharType="begin"/>
      </w:r>
      <w:r>
        <w:rPr>
          <w:b/>
          <w:bCs/>
          <w:szCs w:val="21"/>
        </w:rPr>
        <w:instrText xml:space="preserve"> SEQ 表 \* ARABIC \s 1 </w:instrText>
      </w:r>
      <w:r>
        <w:rPr>
          <w:b/>
          <w:bCs/>
          <w:szCs w:val="21"/>
        </w:rPr>
        <w:fldChar w:fldCharType="separate"/>
      </w:r>
      <w:r>
        <w:rPr>
          <w:b/>
          <w:bCs/>
          <w:szCs w:val="21"/>
        </w:rPr>
        <w:t>5</w:t>
      </w:r>
      <w:r>
        <w:rPr>
          <w:b/>
          <w:bCs/>
          <w:szCs w:val="21"/>
        </w:rPr>
        <w:fldChar w:fldCharType="end"/>
      </w:r>
      <w:r>
        <w:rPr>
          <w:rFonts w:hint="eastAsia"/>
          <w:b/>
          <w:bCs/>
          <w:szCs w:val="21"/>
        </w:rPr>
        <w:t xml:space="preserve">     网格点设置方法</w:t>
      </w:r>
    </w:p>
    <w:tbl>
      <w:tblPr>
        <w:tblStyle w:val="89"/>
        <w:tblW w:w="7889" w:type="dxa"/>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3261"/>
        <w:gridCol w:w="2693"/>
        <w:gridCol w:w="1935"/>
      </w:tblGrid>
      <w:tr w14:paraId="490E344D">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5954" w:type="dxa"/>
            <w:gridSpan w:val="2"/>
            <w:vAlign w:val="center"/>
          </w:tcPr>
          <w:p w14:paraId="6D56E5B5">
            <w:pPr>
              <w:widowControl/>
              <w:spacing w:before="0" w:beforeLines="0" w:line="240" w:lineRule="auto"/>
              <w:contextualSpacing/>
              <w:jc w:val="center"/>
              <w:rPr>
                <w:b/>
                <w:szCs w:val="21"/>
              </w:rPr>
            </w:pPr>
            <w:r>
              <w:rPr>
                <w:rFonts w:hint="eastAsia"/>
                <w:b/>
                <w:szCs w:val="21"/>
              </w:rPr>
              <w:t>预测网格设置方法</w:t>
            </w:r>
          </w:p>
        </w:tc>
        <w:tc>
          <w:tcPr>
            <w:tcW w:w="1935" w:type="dxa"/>
            <w:vAlign w:val="center"/>
          </w:tcPr>
          <w:p w14:paraId="39B75394">
            <w:pPr>
              <w:widowControl/>
              <w:spacing w:before="0" w:beforeLines="0" w:line="240" w:lineRule="auto"/>
              <w:contextualSpacing/>
              <w:jc w:val="center"/>
              <w:rPr>
                <w:b/>
                <w:szCs w:val="21"/>
              </w:rPr>
            </w:pPr>
            <w:r>
              <w:rPr>
                <w:rFonts w:hint="eastAsia"/>
                <w:b/>
                <w:szCs w:val="21"/>
              </w:rPr>
              <w:t>直角坐标网格</w:t>
            </w:r>
          </w:p>
        </w:tc>
      </w:tr>
      <w:tr w14:paraId="1A48A84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3261" w:type="dxa"/>
            <w:vAlign w:val="center"/>
          </w:tcPr>
          <w:p w14:paraId="40F93827">
            <w:pPr>
              <w:spacing w:before="0" w:beforeLines="0" w:line="240" w:lineRule="auto"/>
              <w:contextualSpacing/>
              <w:jc w:val="center"/>
              <w:rPr>
                <w:szCs w:val="21"/>
              </w:rPr>
            </w:pPr>
            <w:r>
              <w:rPr>
                <w:rFonts w:hint="eastAsia"/>
                <w:szCs w:val="21"/>
              </w:rPr>
              <w:t>预测网格点网格距</w:t>
            </w:r>
          </w:p>
        </w:tc>
        <w:tc>
          <w:tcPr>
            <w:tcW w:w="2693" w:type="dxa"/>
            <w:vAlign w:val="center"/>
          </w:tcPr>
          <w:p w14:paraId="33EC0344">
            <w:pPr>
              <w:widowControl/>
              <w:spacing w:before="0" w:beforeLines="0" w:line="240" w:lineRule="auto"/>
              <w:contextualSpacing/>
              <w:jc w:val="center"/>
              <w:rPr>
                <w:szCs w:val="21"/>
              </w:rPr>
            </w:pPr>
            <w:r>
              <w:rPr>
                <w:rFonts w:hint="eastAsia"/>
                <w:szCs w:val="21"/>
              </w:rPr>
              <w:t>距离源中心≤</w:t>
            </w:r>
            <w:r>
              <w:rPr>
                <w:szCs w:val="21"/>
              </w:rPr>
              <w:t>2</w:t>
            </w:r>
            <w:r>
              <w:rPr>
                <w:rFonts w:hint="eastAsia"/>
                <w:szCs w:val="21"/>
              </w:rPr>
              <w:t>50</w:t>
            </w:r>
            <w:r>
              <w:rPr>
                <w:szCs w:val="21"/>
              </w:rPr>
              <w:t>0</w:t>
            </w:r>
            <w:r>
              <w:rPr>
                <w:rFonts w:hint="eastAsia"/>
                <w:szCs w:val="21"/>
              </w:rPr>
              <w:t>m</w:t>
            </w:r>
          </w:p>
        </w:tc>
        <w:tc>
          <w:tcPr>
            <w:tcW w:w="1935" w:type="dxa"/>
            <w:vAlign w:val="center"/>
          </w:tcPr>
          <w:p w14:paraId="00460C0B">
            <w:pPr>
              <w:widowControl/>
              <w:spacing w:before="0" w:beforeLines="0" w:line="240" w:lineRule="auto"/>
              <w:contextualSpacing/>
              <w:jc w:val="center"/>
              <w:rPr>
                <w:szCs w:val="21"/>
              </w:rPr>
            </w:pPr>
            <w:r>
              <w:rPr>
                <w:rFonts w:hint="eastAsia"/>
                <w:szCs w:val="21"/>
              </w:rPr>
              <w:t>100m</w:t>
            </w:r>
          </w:p>
        </w:tc>
      </w:tr>
    </w:tbl>
    <w:p w14:paraId="706CCB64">
      <w:pPr>
        <w:widowControl/>
        <w:spacing w:before="0" w:beforeLines="0" w:line="360" w:lineRule="auto"/>
        <w:ind w:firstLine="482" w:firstLineChars="200"/>
        <w:contextualSpacing/>
        <w:rPr>
          <w:b/>
          <w:sz w:val="24"/>
          <w:szCs w:val="20"/>
        </w:rPr>
      </w:pPr>
      <w:r>
        <w:rPr>
          <w:rFonts w:hint="eastAsia"/>
          <w:b/>
          <w:sz w:val="24"/>
          <w:szCs w:val="20"/>
        </w:rPr>
        <w:t>⑵计算点</w:t>
      </w:r>
    </w:p>
    <w:p w14:paraId="18C39F7E">
      <w:pPr>
        <w:widowControl/>
        <w:spacing w:before="0" w:beforeLines="0" w:line="360" w:lineRule="auto"/>
        <w:ind w:firstLine="480" w:firstLineChars="200"/>
        <w:rPr>
          <w:sz w:val="24"/>
          <w:szCs w:val="20"/>
        </w:rPr>
      </w:pPr>
      <w:r>
        <w:rPr>
          <w:rFonts w:hint="eastAsia"/>
          <w:sz w:val="24"/>
          <w:szCs w:val="20"/>
        </w:rPr>
        <w:t>选择环境空气敏感区中的环境空气保护目标为计算点，各计算点坐标及与本工程的相对位置见表5.2-</w:t>
      </w:r>
      <w:r>
        <w:rPr>
          <w:sz w:val="24"/>
          <w:szCs w:val="20"/>
        </w:rPr>
        <w:t>6</w:t>
      </w:r>
      <w:r>
        <w:rPr>
          <w:rFonts w:hint="eastAsia"/>
          <w:sz w:val="24"/>
          <w:szCs w:val="20"/>
        </w:rPr>
        <w:t>。</w:t>
      </w:r>
    </w:p>
    <w:p w14:paraId="23CA5A80">
      <w:pPr>
        <w:keepNext/>
        <w:spacing w:before="0" w:beforeLines="0" w:line="240" w:lineRule="auto"/>
        <w:jc w:val="center"/>
        <w:rPr>
          <w:b/>
          <w:bCs/>
          <w:szCs w:val="21"/>
        </w:rPr>
      </w:pPr>
      <w:r>
        <w:rPr>
          <w:b/>
          <w:bCs/>
          <w:szCs w:val="21"/>
        </w:rPr>
        <w:t>表</w:t>
      </w:r>
      <w:r>
        <w:rPr>
          <w:rFonts w:hint="eastAsia"/>
          <w:b/>
          <w:bCs/>
          <w:szCs w:val="21"/>
        </w:rPr>
        <w:t>5.2</w:t>
      </w:r>
      <w:r>
        <w:rPr>
          <w:b/>
          <w:bCs/>
          <w:szCs w:val="21"/>
        </w:rPr>
        <w:noBreakHyphen/>
      </w:r>
      <w:r>
        <w:rPr>
          <w:b/>
          <w:bCs/>
          <w:szCs w:val="21"/>
        </w:rPr>
        <w:fldChar w:fldCharType="begin"/>
      </w:r>
      <w:r>
        <w:rPr>
          <w:b/>
          <w:bCs/>
          <w:szCs w:val="21"/>
        </w:rPr>
        <w:instrText xml:space="preserve"> SEQ 表 \* ARABIC \s 1 </w:instrText>
      </w:r>
      <w:r>
        <w:rPr>
          <w:b/>
          <w:bCs/>
          <w:szCs w:val="21"/>
        </w:rPr>
        <w:fldChar w:fldCharType="separate"/>
      </w:r>
      <w:r>
        <w:rPr>
          <w:b/>
          <w:bCs/>
          <w:szCs w:val="21"/>
        </w:rPr>
        <w:t>6</w:t>
      </w:r>
      <w:r>
        <w:rPr>
          <w:b/>
          <w:bCs/>
          <w:szCs w:val="21"/>
        </w:rPr>
        <w:fldChar w:fldCharType="end"/>
      </w:r>
      <w:r>
        <w:rPr>
          <w:rFonts w:hint="eastAsia"/>
          <w:b/>
          <w:bCs/>
          <w:szCs w:val="21"/>
        </w:rPr>
        <w:t xml:space="preserve">     预测范围内各环境保护目标</w:t>
      </w:r>
      <w:r>
        <w:rPr>
          <w:b/>
          <w:bCs/>
          <w:szCs w:val="21"/>
        </w:rPr>
        <w:t>与项目</w:t>
      </w:r>
      <w:r>
        <w:rPr>
          <w:rFonts w:hint="eastAsia"/>
          <w:b/>
          <w:bCs/>
          <w:szCs w:val="21"/>
        </w:rPr>
        <w:t>厂址</w:t>
      </w:r>
      <w:r>
        <w:rPr>
          <w:b/>
          <w:bCs/>
          <w:szCs w:val="21"/>
        </w:rPr>
        <w:t>的相对位置</w:t>
      </w:r>
    </w:p>
    <w:tbl>
      <w:tblPr>
        <w:tblStyle w:val="348"/>
        <w:tblW w:w="5036"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108" w:type="dxa"/>
          <w:bottom w:w="0" w:type="dxa"/>
          <w:right w:w="108" w:type="dxa"/>
        </w:tblCellMar>
      </w:tblPr>
      <w:tblGrid>
        <w:gridCol w:w="1155"/>
        <w:gridCol w:w="2269"/>
        <w:gridCol w:w="1263"/>
        <w:gridCol w:w="1263"/>
        <w:gridCol w:w="1263"/>
        <w:gridCol w:w="1153"/>
      </w:tblGrid>
      <w:tr w14:paraId="669B6E5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16" w:hRule="atLeast"/>
          <w:jc w:val="center"/>
        </w:trPr>
        <w:tc>
          <w:tcPr>
            <w:tcW w:w="690" w:type="pct"/>
            <w:noWrap/>
            <w:vAlign w:val="center"/>
          </w:tcPr>
          <w:p w14:paraId="24FE9D0B">
            <w:pPr>
              <w:widowControl/>
              <w:spacing w:before="0" w:beforeLines="0" w:after="163" w:line="240" w:lineRule="auto"/>
              <w:contextualSpacing/>
              <w:jc w:val="center"/>
              <w:rPr>
                <w:kern w:val="0"/>
                <w:szCs w:val="21"/>
              </w:rPr>
            </w:pPr>
            <w:r>
              <w:rPr>
                <w:kern w:val="0"/>
                <w:szCs w:val="21"/>
              </w:rPr>
              <w:t>序号</w:t>
            </w:r>
          </w:p>
        </w:tc>
        <w:tc>
          <w:tcPr>
            <w:tcW w:w="1356" w:type="pct"/>
            <w:noWrap/>
            <w:vAlign w:val="center"/>
          </w:tcPr>
          <w:p w14:paraId="56DB7FD8">
            <w:pPr>
              <w:widowControl/>
              <w:spacing w:before="0" w:beforeLines="0" w:after="163" w:line="240" w:lineRule="auto"/>
              <w:contextualSpacing/>
              <w:jc w:val="center"/>
              <w:rPr>
                <w:kern w:val="0"/>
                <w:szCs w:val="21"/>
              </w:rPr>
            </w:pPr>
            <w:r>
              <w:rPr>
                <w:kern w:val="0"/>
                <w:szCs w:val="21"/>
              </w:rPr>
              <w:t>名称</w:t>
            </w:r>
          </w:p>
        </w:tc>
        <w:tc>
          <w:tcPr>
            <w:tcW w:w="755" w:type="pct"/>
            <w:noWrap/>
            <w:vAlign w:val="center"/>
          </w:tcPr>
          <w:p w14:paraId="3DC45AEF">
            <w:pPr>
              <w:widowControl/>
              <w:spacing w:before="0" w:beforeLines="0" w:after="163" w:line="240" w:lineRule="auto"/>
              <w:contextualSpacing/>
              <w:jc w:val="center"/>
              <w:rPr>
                <w:kern w:val="0"/>
                <w:szCs w:val="21"/>
              </w:rPr>
            </w:pPr>
            <w:r>
              <w:rPr>
                <w:kern w:val="0"/>
                <w:szCs w:val="21"/>
              </w:rPr>
              <w:t>X</w:t>
            </w:r>
          </w:p>
        </w:tc>
        <w:tc>
          <w:tcPr>
            <w:tcW w:w="755" w:type="pct"/>
            <w:noWrap/>
            <w:vAlign w:val="center"/>
          </w:tcPr>
          <w:p w14:paraId="30E15805">
            <w:pPr>
              <w:widowControl/>
              <w:spacing w:before="0" w:beforeLines="0" w:after="163" w:line="240" w:lineRule="auto"/>
              <w:contextualSpacing/>
              <w:jc w:val="center"/>
              <w:rPr>
                <w:kern w:val="0"/>
                <w:szCs w:val="21"/>
              </w:rPr>
            </w:pPr>
            <w:r>
              <w:rPr>
                <w:kern w:val="0"/>
                <w:szCs w:val="21"/>
              </w:rPr>
              <w:t>Y</w:t>
            </w:r>
          </w:p>
        </w:tc>
        <w:tc>
          <w:tcPr>
            <w:tcW w:w="755" w:type="pct"/>
            <w:noWrap/>
            <w:vAlign w:val="center"/>
          </w:tcPr>
          <w:p w14:paraId="4FFA7F72">
            <w:pPr>
              <w:widowControl/>
              <w:spacing w:before="0" w:beforeLines="0" w:after="163" w:line="240" w:lineRule="auto"/>
              <w:contextualSpacing/>
              <w:jc w:val="center"/>
              <w:rPr>
                <w:kern w:val="0"/>
                <w:szCs w:val="21"/>
              </w:rPr>
            </w:pPr>
            <w:r>
              <w:rPr>
                <w:kern w:val="0"/>
                <w:szCs w:val="21"/>
              </w:rPr>
              <w:t>地面高程</w:t>
            </w:r>
          </w:p>
        </w:tc>
        <w:tc>
          <w:tcPr>
            <w:tcW w:w="689" w:type="pct"/>
            <w:noWrap/>
            <w:vAlign w:val="center"/>
          </w:tcPr>
          <w:p w14:paraId="57F82B21">
            <w:pPr>
              <w:widowControl/>
              <w:spacing w:before="0" w:beforeLines="0" w:after="163" w:line="240" w:lineRule="auto"/>
              <w:contextualSpacing/>
              <w:jc w:val="center"/>
              <w:rPr>
                <w:kern w:val="0"/>
                <w:szCs w:val="21"/>
              </w:rPr>
            </w:pPr>
            <w:r>
              <w:rPr>
                <w:kern w:val="0"/>
                <w:szCs w:val="21"/>
              </w:rPr>
              <w:t>离地高H</w:t>
            </w:r>
          </w:p>
        </w:tc>
      </w:tr>
      <w:tr w14:paraId="60881C2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16" w:hRule="atLeast"/>
          <w:jc w:val="center"/>
        </w:trPr>
        <w:tc>
          <w:tcPr>
            <w:tcW w:w="690" w:type="pct"/>
            <w:noWrap/>
            <w:vAlign w:val="center"/>
          </w:tcPr>
          <w:p w14:paraId="73E5329B">
            <w:pPr>
              <w:widowControl/>
              <w:spacing w:before="0" w:beforeLines="0" w:after="163" w:line="240" w:lineRule="auto"/>
              <w:contextualSpacing/>
              <w:jc w:val="center"/>
              <w:rPr>
                <w:kern w:val="0"/>
                <w:szCs w:val="21"/>
              </w:rPr>
            </w:pPr>
            <w:r>
              <w:rPr>
                <w:kern w:val="0"/>
                <w:szCs w:val="21"/>
              </w:rPr>
              <w:t>1</w:t>
            </w:r>
          </w:p>
        </w:tc>
        <w:tc>
          <w:tcPr>
            <w:tcW w:w="1356" w:type="pct"/>
            <w:noWrap/>
            <w:vAlign w:val="center"/>
          </w:tcPr>
          <w:p w14:paraId="3AD36230">
            <w:pPr>
              <w:widowControl/>
              <w:spacing w:before="0" w:beforeLines="0" w:after="163" w:line="240" w:lineRule="auto"/>
              <w:contextualSpacing/>
              <w:jc w:val="center"/>
              <w:rPr>
                <w:kern w:val="0"/>
                <w:szCs w:val="21"/>
              </w:rPr>
            </w:pPr>
            <w:r>
              <w:rPr>
                <w:kern w:val="0"/>
                <w:szCs w:val="21"/>
              </w:rPr>
              <w:t>孟家窝堡</w:t>
            </w:r>
          </w:p>
        </w:tc>
        <w:tc>
          <w:tcPr>
            <w:tcW w:w="755" w:type="pct"/>
            <w:noWrap/>
            <w:vAlign w:val="top"/>
          </w:tcPr>
          <w:p w14:paraId="5A6AAB45">
            <w:pPr>
              <w:widowControl/>
              <w:spacing w:before="0" w:beforeLines="0" w:after="163" w:line="240" w:lineRule="auto"/>
              <w:contextualSpacing/>
              <w:jc w:val="center"/>
              <w:rPr>
                <w:kern w:val="0"/>
                <w:szCs w:val="21"/>
              </w:rPr>
            </w:pPr>
            <w:r>
              <w:rPr>
                <w:kern w:val="0"/>
                <w:szCs w:val="21"/>
              </w:rPr>
              <w:t>-1345</w:t>
            </w:r>
          </w:p>
        </w:tc>
        <w:tc>
          <w:tcPr>
            <w:tcW w:w="755" w:type="pct"/>
            <w:noWrap/>
            <w:vAlign w:val="top"/>
          </w:tcPr>
          <w:p w14:paraId="49395C1E">
            <w:pPr>
              <w:widowControl/>
              <w:spacing w:before="0" w:beforeLines="0" w:after="163" w:line="240" w:lineRule="auto"/>
              <w:contextualSpacing/>
              <w:jc w:val="center"/>
              <w:rPr>
                <w:kern w:val="0"/>
                <w:szCs w:val="21"/>
              </w:rPr>
            </w:pPr>
            <w:r>
              <w:rPr>
                <w:kern w:val="0"/>
                <w:szCs w:val="21"/>
              </w:rPr>
              <w:t>-349</w:t>
            </w:r>
          </w:p>
        </w:tc>
        <w:tc>
          <w:tcPr>
            <w:tcW w:w="755" w:type="pct"/>
            <w:noWrap/>
            <w:vAlign w:val="top"/>
          </w:tcPr>
          <w:p w14:paraId="388FD3E0">
            <w:pPr>
              <w:widowControl/>
              <w:spacing w:before="0" w:beforeLines="0" w:after="163" w:line="240" w:lineRule="auto"/>
              <w:contextualSpacing/>
              <w:jc w:val="center"/>
              <w:rPr>
                <w:kern w:val="0"/>
                <w:szCs w:val="21"/>
              </w:rPr>
            </w:pPr>
            <w:r>
              <w:rPr>
                <w:kern w:val="0"/>
                <w:szCs w:val="21"/>
              </w:rPr>
              <w:t>271.56</w:t>
            </w:r>
          </w:p>
        </w:tc>
        <w:tc>
          <w:tcPr>
            <w:tcW w:w="689" w:type="pct"/>
            <w:noWrap/>
            <w:vAlign w:val="center"/>
          </w:tcPr>
          <w:p w14:paraId="00BFFE36">
            <w:pPr>
              <w:widowControl/>
              <w:spacing w:before="0" w:beforeLines="0" w:after="163" w:line="240" w:lineRule="auto"/>
              <w:contextualSpacing/>
              <w:jc w:val="center"/>
              <w:rPr>
                <w:kern w:val="0"/>
                <w:szCs w:val="21"/>
              </w:rPr>
            </w:pPr>
            <w:r>
              <w:rPr>
                <w:kern w:val="0"/>
                <w:szCs w:val="21"/>
              </w:rPr>
              <w:t>0</w:t>
            </w:r>
          </w:p>
        </w:tc>
      </w:tr>
      <w:tr w14:paraId="508DF1A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16" w:hRule="atLeast"/>
          <w:jc w:val="center"/>
        </w:trPr>
        <w:tc>
          <w:tcPr>
            <w:tcW w:w="690" w:type="pct"/>
            <w:noWrap/>
            <w:vAlign w:val="center"/>
          </w:tcPr>
          <w:p w14:paraId="60AE0440">
            <w:pPr>
              <w:widowControl/>
              <w:spacing w:before="0" w:beforeLines="0" w:after="163" w:line="240" w:lineRule="auto"/>
              <w:contextualSpacing/>
              <w:jc w:val="center"/>
              <w:rPr>
                <w:kern w:val="0"/>
                <w:szCs w:val="21"/>
              </w:rPr>
            </w:pPr>
            <w:r>
              <w:rPr>
                <w:kern w:val="0"/>
                <w:szCs w:val="21"/>
              </w:rPr>
              <w:t>2</w:t>
            </w:r>
          </w:p>
        </w:tc>
        <w:tc>
          <w:tcPr>
            <w:tcW w:w="1356" w:type="pct"/>
            <w:noWrap/>
            <w:vAlign w:val="center"/>
          </w:tcPr>
          <w:p w14:paraId="0EE5F401">
            <w:pPr>
              <w:widowControl/>
              <w:spacing w:before="0" w:beforeLines="0" w:after="163" w:line="240" w:lineRule="auto"/>
              <w:contextualSpacing/>
              <w:jc w:val="center"/>
              <w:rPr>
                <w:kern w:val="0"/>
                <w:szCs w:val="21"/>
              </w:rPr>
            </w:pPr>
            <w:r>
              <w:rPr>
                <w:kern w:val="0"/>
                <w:szCs w:val="21"/>
              </w:rPr>
              <w:t>阿哈来村</w:t>
            </w:r>
          </w:p>
        </w:tc>
        <w:tc>
          <w:tcPr>
            <w:tcW w:w="755" w:type="pct"/>
            <w:noWrap/>
            <w:vAlign w:val="top"/>
          </w:tcPr>
          <w:p w14:paraId="26CE7B4B">
            <w:pPr>
              <w:widowControl/>
              <w:spacing w:before="0" w:beforeLines="0" w:after="163" w:line="240" w:lineRule="auto"/>
              <w:contextualSpacing/>
              <w:jc w:val="center"/>
              <w:rPr>
                <w:kern w:val="0"/>
                <w:szCs w:val="21"/>
              </w:rPr>
            </w:pPr>
            <w:r>
              <w:rPr>
                <w:kern w:val="0"/>
                <w:szCs w:val="21"/>
              </w:rPr>
              <w:t>-2099</w:t>
            </w:r>
          </w:p>
        </w:tc>
        <w:tc>
          <w:tcPr>
            <w:tcW w:w="755" w:type="pct"/>
            <w:noWrap/>
            <w:vAlign w:val="top"/>
          </w:tcPr>
          <w:p w14:paraId="5A5CB72C">
            <w:pPr>
              <w:widowControl/>
              <w:spacing w:before="0" w:beforeLines="0" w:after="163" w:line="240" w:lineRule="auto"/>
              <w:contextualSpacing/>
              <w:jc w:val="center"/>
              <w:rPr>
                <w:kern w:val="0"/>
                <w:szCs w:val="21"/>
              </w:rPr>
            </w:pPr>
            <w:r>
              <w:rPr>
                <w:kern w:val="0"/>
                <w:szCs w:val="21"/>
              </w:rPr>
              <w:t>589</w:t>
            </w:r>
          </w:p>
        </w:tc>
        <w:tc>
          <w:tcPr>
            <w:tcW w:w="755" w:type="pct"/>
            <w:noWrap/>
            <w:vAlign w:val="top"/>
          </w:tcPr>
          <w:p w14:paraId="31EC0567">
            <w:pPr>
              <w:widowControl/>
              <w:spacing w:before="0" w:beforeLines="0" w:after="163" w:line="240" w:lineRule="auto"/>
              <w:contextualSpacing/>
              <w:jc w:val="center"/>
              <w:rPr>
                <w:kern w:val="0"/>
                <w:szCs w:val="21"/>
              </w:rPr>
            </w:pPr>
            <w:r>
              <w:rPr>
                <w:kern w:val="0"/>
                <w:szCs w:val="21"/>
              </w:rPr>
              <w:t>267.78</w:t>
            </w:r>
          </w:p>
        </w:tc>
        <w:tc>
          <w:tcPr>
            <w:tcW w:w="689" w:type="pct"/>
            <w:noWrap/>
            <w:vAlign w:val="center"/>
          </w:tcPr>
          <w:p w14:paraId="469801E8">
            <w:pPr>
              <w:widowControl/>
              <w:spacing w:before="0" w:beforeLines="0" w:after="163" w:line="240" w:lineRule="auto"/>
              <w:contextualSpacing/>
              <w:jc w:val="center"/>
              <w:rPr>
                <w:kern w:val="0"/>
                <w:szCs w:val="21"/>
              </w:rPr>
            </w:pPr>
            <w:r>
              <w:rPr>
                <w:kern w:val="0"/>
                <w:szCs w:val="21"/>
              </w:rPr>
              <w:t>0</w:t>
            </w:r>
          </w:p>
        </w:tc>
      </w:tr>
      <w:tr w14:paraId="617E1301">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16" w:hRule="atLeast"/>
          <w:jc w:val="center"/>
        </w:trPr>
        <w:tc>
          <w:tcPr>
            <w:tcW w:w="690" w:type="pct"/>
            <w:noWrap/>
            <w:vAlign w:val="center"/>
          </w:tcPr>
          <w:p w14:paraId="707D763A">
            <w:pPr>
              <w:widowControl/>
              <w:spacing w:before="0" w:beforeLines="0" w:after="163" w:line="240" w:lineRule="auto"/>
              <w:contextualSpacing/>
              <w:jc w:val="center"/>
              <w:rPr>
                <w:kern w:val="0"/>
                <w:szCs w:val="21"/>
              </w:rPr>
            </w:pPr>
            <w:r>
              <w:rPr>
                <w:kern w:val="0"/>
                <w:szCs w:val="21"/>
              </w:rPr>
              <w:t>3</w:t>
            </w:r>
          </w:p>
        </w:tc>
        <w:tc>
          <w:tcPr>
            <w:tcW w:w="1356" w:type="pct"/>
            <w:noWrap/>
            <w:vAlign w:val="center"/>
          </w:tcPr>
          <w:p w14:paraId="182D7CFE">
            <w:pPr>
              <w:widowControl/>
              <w:spacing w:before="0" w:beforeLines="0" w:after="163" w:line="240" w:lineRule="auto"/>
              <w:contextualSpacing/>
              <w:jc w:val="center"/>
              <w:rPr>
                <w:kern w:val="0"/>
                <w:szCs w:val="21"/>
              </w:rPr>
            </w:pPr>
            <w:r>
              <w:rPr>
                <w:kern w:val="0"/>
                <w:szCs w:val="21"/>
              </w:rPr>
              <w:t>庙沟</w:t>
            </w:r>
          </w:p>
        </w:tc>
        <w:tc>
          <w:tcPr>
            <w:tcW w:w="755" w:type="pct"/>
            <w:noWrap/>
            <w:vAlign w:val="top"/>
          </w:tcPr>
          <w:p w14:paraId="2420E1BC">
            <w:pPr>
              <w:widowControl/>
              <w:spacing w:before="0" w:beforeLines="0" w:after="163" w:line="240" w:lineRule="auto"/>
              <w:contextualSpacing/>
              <w:jc w:val="center"/>
              <w:rPr>
                <w:kern w:val="0"/>
                <w:szCs w:val="21"/>
              </w:rPr>
            </w:pPr>
            <w:r>
              <w:rPr>
                <w:kern w:val="0"/>
                <w:szCs w:val="21"/>
              </w:rPr>
              <w:t>-1444</w:t>
            </w:r>
          </w:p>
        </w:tc>
        <w:tc>
          <w:tcPr>
            <w:tcW w:w="755" w:type="pct"/>
            <w:noWrap/>
            <w:vAlign w:val="top"/>
          </w:tcPr>
          <w:p w14:paraId="1C80AB63">
            <w:pPr>
              <w:widowControl/>
              <w:spacing w:before="0" w:beforeLines="0" w:after="163" w:line="240" w:lineRule="auto"/>
              <w:contextualSpacing/>
              <w:jc w:val="center"/>
              <w:rPr>
                <w:kern w:val="0"/>
                <w:szCs w:val="21"/>
              </w:rPr>
            </w:pPr>
            <w:r>
              <w:rPr>
                <w:kern w:val="0"/>
                <w:szCs w:val="21"/>
              </w:rPr>
              <w:t>2465</w:t>
            </w:r>
          </w:p>
        </w:tc>
        <w:tc>
          <w:tcPr>
            <w:tcW w:w="755" w:type="pct"/>
            <w:noWrap/>
            <w:vAlign w:val="top"/>
          </w:tcPr>
          <w:p w14:paraId="0F3BB063">
            <w:pPr>
              <w:widowControl/>
              <w:spacing w:before="0" w:beforeLines="0" w:after="163" w:line="240" w:lineRule="auto"/>
              <w:contextualSpacing/>
              <w:jc w:val="center"/>
              <w:rPr>
                <w:kern w:val="0"/>
                <w:szCs w:val="21"/>
              </w:rPr>
            </w:pPr>
            <w:r>
              <w:rPr>
                <w:kern w:val="0"/>
                <w:szCs w:val="21"/>
              </w:rPr>
              <w:t>269.41</w:t>
            </w:r>
          </w:p>
        </w:tc>
        <w:tc>
          <w:tcPr>
            <w:tcW w:w="689" w:type="pct"/>
            <w:noWrap/>
            <w:vAlign w:val="center"/>
          </w:tcPr>
          <w:p w14:paraId="7FEA7B03">
            <w:pPr>
              <w:widowControl/>
              <w:spacing w:before="0" w:beforeLines="0" w:after="163" w:line="240" w:lineRule="auto"/>
              <w:contextualSpacing/>
              <w:jc w:val="center"/>
              <w:rPr>
                <w:kern w:val="0"/>
                <w:szCs w:val="21"/>
              </w:rPr>
            </w:pPr>
            <w:r>
              <w:rPr>
                <w:kern w:val="0"/>
                <w:szCs w:val="21"/>
              </w:rPr>
              <w:t>0</w:t>
            </w:r>
          </w:p>
        </w:tc>
      </w:tr>
      <w:tr w14:paraId="18F5168D">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16" w:hRule="atLeast"/>
          <w:jc w:val="center"/>
        </w:trPr>
        <w:tc>
          <w:tcPr>
            <w:tcW w:w="690" w:type="pct"/>
            <w:noWrap/>
            <w:vAlign w:val="center"/>
          </w:tcPr>
          <w:p w14:paraId="3CAC0360">
            <w:pPr>
              <w:widowControl/>
              <w:spacing w:before="0" w:beforeLines="0" w:after="163" w:line="240" w:lineRule="auto"/>
              <w:contextualSpacing/>
              <w:jc w:val="center"/>
              <w:rPr>
                <w:kern w:val="0"/>
                <w:szCs w:val="21"/>
              </w:rPr>
            </w:pPr>
            <w:r>
              <w:rPr>
                <w:kern w:val="0"/>
                <w:szCs w:val="21"/>
              </w:rPr>
              <w:t>4</w:t>
            </w:r>
          </w:p>
        </w:tc>
        <w:tc>
          <w:tcPr>
            <w:tcW w:w="1356" w:type="pct"/>
            <w:noWrap/>
            <w:vAlign w:val="center"/>
          </w:tcPr>
          <w:p w14:paraId="2E0A56F0">
            <w:pPr>
              <w:widowControl/>
              <w:spacing w:before="0" w:beforeLines="0" w:after="163" w:line="240" w:lineRule="auto"/>
              <w:contextualSpacing/>
              <w:jc w:val="center"/>
              <w:rPr>
                <w:kern w:val="0"/>
                <w:szCs w:val="21"/>
              </w:rPr>
            </w:pPr>
            <w:r>
              <w:rPr>
                <w:kern w:val="0"/>
                <w:szCs w:val="21"/>
              </w:rPr>
              <w:t>南山</w:t>
            </w:r>
          </w:p>
        </w:tc>
        <w:tc>
          <w:tcPr>
            <w:tcW w:w="755" w:type="pct"/>
            <w:noWrap/>
            <w:vAlign w:val="top"/>
          </w:tcPr>
          <w:p w14:paraId="5DB5FF97">
            <w:pPr>
              <w:widowControl/>
              <w:spacing w:before="0" w:beforeLines="0" w:after="163" w:line="240" w:lineRule="auto"/>
              <w:contextualSpacing/>
              <w:jc w:val="center"/>
              <w:rPr>
                <w:kern w:val="0"/>
                <w:szCs w:val="21"/>
              </w:rPr>
            </w:pPr>
            <w:r>
              <w:rPr>
                <w:kern w:val="0"/>
                <w:szCs w:val="21"/>
              </w:rPr>
              <w:t>-2423</w:t>
            </w:r>
          </w:p>
        </w:tc>
        <w:tc>
          <w:tcPr>
            <w:tcW w:w="755" w:type="pct"/>
            <w:noWrap/>
            <w:vAlign w:val="top"/>
          </w:tcPr>
          <w:p w14:paraId="2A1B2BDC">
            <w:pPr>
              <w:widowControl/>
              <w:spacing w:before="0" w:beforeLines="0" w:after="163" w:line="240" w:lineRule="auto"/>
              <w:contextualSpacing/>
              <w:jc w:val="center"/>
              <w:rPr>
                <w:kern w:val="0"/>
                <w:szCs w:val="21"/>
              </w:rPr>
            </w:pPr>
            <w:r>
              <w:rPr>
                <w:kern w:val="0"/>
                <w:szCs w:val="21"/>
              </w:rPr>
              <w:t>-913</w:t>
            </w:r>
          </w:p>
        </w:tc>
        <w:tc>
          <w:tcPr>
            <w:tcW w:w="755" w:type="pct"/>
            <w:noWrap/>
            <w:vAlign w:val="top"/>
          </w:tcPr>
          <w:p w14:paraId="6F6E4EE4">
            <w:pPr>
              <w:widowControl/>
              <w:spacing w:before="0" w:beforeLines="0" w:after="163" w:line="240" w:lineRule="auto"/>
              <w:contextualSpacing/>
              <w:jc w:val="center"/>
              <w:rPr>
                <w:kern w:val="0"/>
                <w:szCs w:val="21"/>
              </w:rPr>
            </w:pPr>
            <w:r>
              <w:rPr>
                <w:kern w:val="0"/>
                <w:szCs w:val="21"/>
              </w:rPr>
              <w:t>282.64</w:t>
            </w:r>
          </w:p>
        </w:tc>
        <w:tc>
          <w:tcPr>
            <w:tcW w:w="689" w:type="pct"/>
            <w:noWrap/>
            <w:vAlign w:val="center"/>
          </w:tcPr>
          <w:p w14:paraId="75D574F7">
            <w:pPr>
              <w:widowControl/>
              <w:spacing w:before="0" w:beforeLines="0" w:after="163" w:line="240" w:lineRule="auto"/>
              <w:contextualSpacing/>
              <w:jc w:val="center"/>
              <w:rPr>
                <w:kern w:val="0"/>
                <w:szCs w:val="21"/>
              </w:rPr>
            </w:pPr>
            <w:r>
              <w:rPr>
                <w:kern w:val="0"/>
                <w:szCs w:val="21"/>
              </w:rPr>
              <w:t>0</w:t>
            </w:r>
          </w:p>
        </w:tc>
      </w:tr>
      <w:tr w14:paraId="440BA636">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16" w:hRule="atLeast"/>
          <w:jc w:val="center"/>
        </w:trPr>
        <w:tc>
          <w:tcPr>
            <w:tcW w:w="690" w:type="pct"/>
            <w:noWrap/>
            <w:vAlign w:val="center"/>
          </w:tcPr>
          <w:p w14:paraId="0D6EEB94">
            <w:pPr>
              <w:widowControl/>
              <w:spacing w:before="0" w:beforeLines="0" w:after="163" w:line="240" w:lineRule="auto"/>
              <w:contextualSpacing/>
              <w:jc w:val="center"/>
              <w:rPr>
                <w:kern w:val="0"/>
                <w:szCs w:val="21"/>
              </w:rPr>
            </w:pPr>
            <w:r>
              <w:rPr>
                <w:kern w:val="0"/>
                <w:szCs w:val="21"/>
              </w:rPr>
              <w:t>5</w:t>
            </w:r>
          </w:p>
        </w:tc>
        <w:tc>
          <w:tcPr>
            <w:tcW w:w="1356" w:type="pct"/>
            <w:noWrap/>
            <w:vAlign w:val="center"/>
          </w:tcPr>
          <w:p w14:paraId="735043C3">
            <w:pPr>
              <w:widowControl/>
              <w:spacing w:before="0" w:beforeLines="0" w:after="163" w:line="240" w:lineRule="auto"/>
              <w:contextualSpacing/>
              <w:jc w:val="center"/>
              <w:rPr>
                <w:kern w:val="0"/>
                <w:szCs w:val="21"/>
              </w:rPr>
            </w:pPr>
            <w:r>
              <w:rPr>
                <w:kern w:val="0"/>
                <w:szCs w:val="21"/>
              </w:rPr>
              <w:t>邵家窝堡</w:t>
            </w:r>
          </w:p>
        </w:tc>
        <w:tc>
          <w:tcPr>
            <w:tcW w:w="755" w:type="pct"/>
            <w:noWrap/>
            <w:vAlign w:val="top"/>
          </w:tcPr>
          <w:p w14:paraId="6944761D">
            <w:pPr>
              <w:widowControl/>
              <w:spacing w:before="0" w:beforeLines="0" w:after="163" w:line="240" w:lineRule="auto"/>
              <w:contextualSpacing/>
              <w:jc w:val="center"/>
              <w:rPr>
                <w:kern w:val="0"/>
                <w:szCs w:val="21"/>
              </w:rPr>
            </w:pPr>
            <w:r>
              <w:rPr>
                <w:kern w:val="0"/>
                <w:szCs w:val="21"/>
              </w:rPr>
              <w:t>760</w:t>
            </w:r>
          </w:p>
        </w:tc>
        <w:tc>
          <w:tcPr>
            <w:tcW w:w="755" w:type="pct"/>
            <w:noWrap/>
            <w:vAlign w:val="top"/>
          </w:tcPr>
          <w:p w14:paraId="0274347E">
            <w:pPr>
              <w:widowControl/>
              <w:spacing w:before="0" w:beforeLines="0" w:after="163" w:line="240" w:lineRule="auto"/>
              <w:contextualSpacing/>
              <w:jc w:val="center"/>
              <w:rPr>
                <w:kern w:val="0"/>
                <w:szCs w:val="21"/>
              </w:rPr>
            </w:pPr>
            <w:r>
              <w:rPr>
                <w:kern w:val="0"/>
                <w:szCs w:val="21"/>
              </w:rPr>
              <w:t>1865</w:t>
            </w:r>
          </w:p>
        </w:tc>
        <w:tc>
          <w:tcPr>
            <w:tcW w:w="755" w:type="pct"/>
            <w:noWrap/>
            <w:vAlign w:val="top"/>
          </w:tcPr>
          <w:p w14:paraId="3F0E8636">
            <w:pPr>
              <w:widowControl/>
              <w:spacing w:before="0" w:beforeLines="0" w:after="163" w:line="240" w:lineRule="auto"/>
              <w:contextualSpacing/>
              <w:jc w:val="center"/>
              <w:rPr>
                <w:kern w:val="0"/>
                <w:szCs w:val="21"/>
              </w:rPr>
            </w:pPr>
            <w:r>
              <w:rPr>
                <w:kern w:val="0"/>
                <w:szCs w:val="21"/>
              </w:rPr>
              <w:t>256.3</w:t>
            </w:r>
          </w:p>
        </w:tc>
        <w:tc>
          <w:tcPr>
            <w:tcW w:w="689" w:type="pct"/>
            <w:noWrap/>
            <w:vAlign w:val="center"/>
          </w:tcPr>
          <w:p w14:paraId="2B3FA78D">
            <w:pPr>
              <w:widowControl/>
              <w:spacing w:before="0" w:beforeLines="0" w:after="163" w:line="240" w:lineRule="auto"/>
              <w:contextualSpacing/>
              <w:jc w:val="center"/>
              <w:rPr>
                <w:kern w:val="0"/>
                <w:szCs w:val="21"/>
              </w:rPr>
            </w:pPr>
            <w:r>
              <w:rPr>
                <w:kern w:val="0"/>
                <w:szCs w:val="21"/>
              </w:rPr>
              <w:t>0</w:t>
            </w:r>
          </w:p>
        </w:tc>
      </w:tr>
      <w:tr w14:paraId="3BDBB6F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16" w:hRule="atLeast"/>
          <w:jc w:val="center"/>
        </w:trPr>
        <w:tc>
          <w:tcPr>
            <w:tcW w:w="690" w:type="pct"/>
            <w:noWrap/>
            <w:vAlign w:val="center"/>
          </w:tcPr>
          <w:p w14:paraId="0DF4453B">
            <w:pPr>
              <w:widowControl/>
              <w:spacing w:before="0" w:beforeLines="0" w:after="163" w:line="240" w:lineRule="auto"/>
              <w:contextualSpacing/>
              <w:jc w:val="center"/>
              <w:rPr>
                <w:kern w:val="0"/>
                <w:szCs w:val="21"/>
              </w:rPr>
            </w:pPr>
            <w:r>
              <w:rPr>
                <w:kern w:val="0"/>
                <w:szCs w:val="21"/>
              </w:rPr>
              <w:t>6</w:t>
            </w:r>
          </w:p>
        </w:tc>
        <w:tc>
          <w:tcPr>
            <w:tcW w:w="1356" w:type="pct"/>
            <w:noWrap/>
            <w:vAlign w:val="center"/>
          </w:tcPr>
          <w:p w14:paraId="6F109337">
            <w:pPr>
              <w:widowControl/>
              <w:spacing w:before="0" w:beforeLines="0" w:after="163" w:line="240" w:lineRule="auto"/>
              <w:contextualSpacing/>
              <w:jc w:val="center"/>
              <w:rPr>
                <w:kern w:val="0"/>
                <w:szCs w:val="21"/>
              </w:rPr>
            </w:pPr>
            <w:r>
              <w:rPr>
                <w:kern w:val="0"/>
                <w:szCs w:val="21"/>
              </w:rPr>
              <w:t>满汉营子</w:t>
            </w:r>
          </w:p>
        </w:tc>
        <w:tc>
          <w:tcPr>
            <w:tcW w:w="755" w:type="pct"/>
            <w:noWrap/>
            <w:vAlign w:val="top"/>
          </w:tcPr>
          <w:p w14:paraId="69EC9A51">
            <w:pPr>
              <w:widowControl/>
              <w:spacing w:before="0" w:beforeLines="0" w:after="163" w:line="240" w:lineRule="auto"/>
              <w:contextualSpacing/>
              <w:jc w:val="center"/>
              <w:rPr>
                <w:kern w:val="0"/>
                <w:szCs w:val="21"/>
              </w:rPr>
            </w:pPr>
            <w:r>
              <w:rPr>
                <w:kern w:val="0"/>
                <w:szCs w:val="21"/>
              </w:rPr>
              <w:t>2366</w:t>
            </w:r>
          </w:p>
        </w:tc>
        <w:tc>
          <w:tcPr>
            <w:tcW w:w="755" w:type="pct"/>
            <w:noWrap/>
            <w:vAlign w:val="top"/>
          </w:tcPr>
          <w:p w14:paraId="34E900A6">
            <w:pPr>
              <w:widowControl/>
              <w:spacing w:before="0" w:beforeLines="0" w:after="163" w:line="240" w:lineRule="auto"/>
              <w:contextualSpacing/>
              <w:jc w:val="center"/>
              <w:rPr>
                <w:kern w:val="0"/>
                <w:szCs w:val="21"/>
              </w:rPr>
            </w:pPr>
            <w:r>
              <w:rPr>
                <w:kern w:val="0"/>
                <w:szCs w:val="21"/>
              </w:rPr>
              <w:t>1019</w:t>
            </w:r>
          </w:p>
        </w:tc>
        <w:tc>
          <w:tcPr>
            <w:tcW w:w="755" w:type="pct"/>
            <w:noWrap/>
            <w:vAlign w:val="top"/>
          </w:tcPr>
          <w:p w14:paraId="69CAB75E">
            <w:pPr>
              <w:widowControl/>
              <w:spacing w:before="0" w:beforeLines="0" w:after="163" w:line="240" w:lineRule="auto"/>
              <w:contextualSpacing/>
              <w:jc w:val="center"/>
              <w:rPr>
                <w:kern w:val="0"/>
                <w:szCs w:val="21"/>
              </w:rPr>
            </w:pPr>
            <w:r>
              <w:rPr>
                <w:kern w:val="0"/>
                <w:szCs w:val="21"/>
              </w:rPr>
              <w:t>263.12</w:t>
            </w:r>
          </w:p>
        </w:tc>
        <w:tc>
          <w:tcPr>
            <w:tcW w:w="689" w:type="pct"/>
            <w:noWrap/>
            <w:vAlign w:val="center"/>
          </w:tcPr>
          <w:p w14:paraId="20E993E7">
            <w:pPr>
              <w:widowControl/>
              <w:spacing w:before="0" w:beforeLines="0" w:after="163" w:line="240" w:lineRule="auto"/>
              <w:contextualSpacing/>
              <w:jc w:val="center"/>
              <w:rPr>
                <w:kern w:val="0"/>
                <w:szCs w:val="21"/>
              </w:rPr>
            </w:pPr>
            <w:r>
              <w:rPr>
                <w:kern w:val="0"/>
                <w:szCs w:val="21"/>
              </w:rPr>
              <w:t>0</w:t>
            </w:r>
          </w:p>
        </w:tc>
      </w:tr>
      <w:tr w14:paraId="6B7551E3">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16" w:hRule="atLeast"/>
          <w:jc w:val="center"/>
        </w:trPr>
        <w:tc>
          <w:tcPr>
            <w:tcW w:w="690" w:type="pct"/>
            <w:noWrap/>
            <w:vAlign w:val="center"/>
          </w:tcPr>
          <w:p w14:paraId="77072ED1">
            <w:pPr>
              <w:widowControl/>
              <w:spacing w:before="0" w:beforeLines="0" w:after="163" w:line="240" w:lineRule="auto"/>
              <w:contextualSpacing/>
              <w:jc w:val="center"/>
              <w:rPr>
                <w:kern w:val="0"/>
                <w:szCs w:val="21"/>
              </w:rPr>
            </w:pPr>
            <w:r>
              <w:rPr>
                <w:kern w:val="0"/>
                <w:szCs w:val="21"/>
              </w:rPr>
              <w:t>7</w:t>
            </w:r>
          </w:p>
        </w:tc>
        <w:tc>
          <w:tcPr>
            <w:tcW w:w="1356" w:type="pct"/>
            <w:noWrap/>
            <w:vAlign w:val="center"/>
          </w:tcPr>
          <w:p w14:paraId="699C0940">
            <w:pPr>
              <w:widowControl/>
              <w:spacing w:before="0" w:beforeLines="0" w:after="163" w:line="240" w:lineRule="auto"/>
              <w:contextualSpacing/>
              <w:jc w:val="center"/>
              <w:rPr>
                <w:kern w:val="0"/>
                <w:szCs w:val="21"/>
              </w:rPr>
            </w:pPr>
            <w:r>
              <w:rPr>
                <w:kern w:val="0"/>
                <w:szCs w:val="21"/>
              </w:rPr>
              <w:t>郎家窝堡</w:t>
            </w:r>
          </w:p>
        </w:tc>
        <w:tc>
          <w:tcPr>
            <w:tcW w:w="755" w:type="pct"/>
            <w:noWrap/>
            <w:vAlign w:val="top"/>
          </w:tcPr>
          <w:p w14:paraId="221BC9DF">
            <w:pPr>
              <w:widowControl/>
              <w:spacing w:before="0" w:beforeLines="0" w:after="163" w:line="240" w:lineRule="auto"/>
              <w:contextualSpacing/>
              <w:jc w:val="center"/>
              <w:rPr>
                <w:kern w:val="0"/>
                <w:szCs w:val="21"/>
              </w:rPr>
            </w:pPr>
            <w:r>
              <w:rPr>
                <w:kern w:val="0"/>
                <w:szCs w:val="21"/>
              </w:rPr>
              <w:t>2451</w:t>
            </w:r>
          </w:p>
        </w:tc>
        <w:tc>
          <w:tcPr>
            <w:tcW w:w="755" w:type="pct"/>
            <w:noWrap/>
            <w:vAlign w:val="top"/>
          </w:tcPr>
          <w:p w14:paraId="1F1C3FE3">
            <w:pPr>
              <w:widowControl/>
              <w:spacing w:before="0" w:beforeLines="0" w:after="163" w:line="240" w:lineRule="auto"/>
              <w:contextualSpacing/>
              <w:jc w:val="center"/>
              <w:rPr>
                <w:kern w:val="0"/>
                <w:szCs w:val="21"/>
              </w:rPr>
            </w:pPr>
            <w:r>
              <w:rPr>
                <w:kern w:val="0"/>
                <w:szCs w:val="21"/>
              </w:rPr>
              <w:t>2436</w:t>
            </w:r>
          </w:p>
        </w:tc>
        <w:tc>
          <w:tcPr>
            <w:tcW w:w="755" w:type="pct"/>
            <w:noWrap/>
            <w:vAlign w:val="top"/>
          </w:tcPr>
          <w:p w14:paraId="19CBB312">
            <w:pPr>
              <w:widowControl/>
              <w:spacing w:before="0" w:beforeLines="0" w:after="163" w:line="240" w:lineRule="auto"/>
              <w:contextualSpacing/>
              <w:jc w:val="center"/>
              <w:rPr>
                <w:kern w:val="0"/>
                <w:szCs w:val="21"/>
              </w:rPr>
            </w:pPr>
            <w:r>
              <w:rPr>
                <w:kern w:val="0"/>
                <w:szCs w:val="21"/>
              </w:rPr>
              <w:t>278.89</w:t>
            </w:r>
          </w:p>
        </w:tc>
        <w:tc>
          <w:tcPr>
            <w:tcW w:w="689" w:type="pct"/>
            <w:noWrap/>
            <w:vAlign w:val="center"/>
          </w:tcPr>
          <w:p w14:paraId="36A17795">
            <w:pPr>
              <w:widowControl/>
              <w:spacing w:before="0" w:beforeLines="0" w:after="163" w:line="240" w:lineRule="auto"/>
              <w:contextualSpacing/>
              <w:jc w:val="center"/>
              <w:rPr>
                <w:kern w:val="0"/>
                <w:szCs w:val="21"/>
              </w:rPr>
            </w:pPr>
            <w:r>
              <w:rPr>
                <w:kern w:val="0"/>
                <w:szCs w:val="21"/>
              </w:rPr>
              <w:t>0</w:t>
            </w:r>
          </w:p>
        </w:tc>
      </w:tr>
      <w:tr w14:paraId="5BE6CB3F">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16" w:hRule="atLeast"/>
          <w:jc w:val="center"/>
        </w:trPr>
        <w:tc>
          <w:tcPr>
            <w:tcW w:w="690" w:type="pct"/>
            <w:noWrap/>
            <w:vAlign w:val="center"/>
          </w:tcPr>
          <w:p w14:paraId="0ED36B9A">
            <w:pPr>
              <w:widowControl/>
              <w:spacing w:before="0" w:beforeLines="0" w:after="163" w:line="240" w:lineRule="auto"/>
              <w:contextualSpacing/>
              <w:jc w:val="center"/>
              <w:rPr>
                <w:kern w:val="0"/>
                <w:szCs w:val="21"/>
              </w:rPr>
            </w:pPr>
            <w:r>
              <w:rPr>
                <w:kern w:val="0"/>
                <w:szCs w:val="21"/>
              </w:rPr>
              <w:t>8</w:t>
            </w:r>
          </w:p>
        </w:tc>
        <w:tc>
          <w:tcPr>
            <w:tcW w:w="1356" w:type="pct"/>
            <w:noWrap/>
            <w:vAlign w:val="center"/>
          </w:tcPr>
          <w:p w14:paraId="5FD3A96B">
            <w:pPr>
              <w:widowControl/>
              <w:spacing w:before="0" w:beforeLines="0" w:after="163" w:line="240" w:lineRule="auto"/>
              <w:contextualSpacing/>
              <w:jc w:val="center"/>
              <w:rPr>
                <w:kern w:val="0"/>
                <w:szCs w:val="21"/>
              </w:rPr>
            </w:pPr>
            <w:r>
              <w:rPr>
                <w:kern w:val="0"/>
                <w:szCs w:val="21"/>
              </w:rPr>
              <w:t>那四板营子</w:t>
            </w:r>
          </w:p>
        </w:tc>
        <w:tc>
          <w:tcPr>
            <w:tcW w:w="755" w:type="pct"/>
            <w:noWrap/>
            <w:vAlign w:val="top"/>
          </w:tcPr>
          <w:p w14:paraId="561749BB">
            <w:pPr>
              <w:widowControl/>
              <w:spacing w:before="0" w:beforeLines="0" w:after="163" w:line="240" w:lineRule="auto"/>
              <w:contextualSpacing/>
              <w:jc w:val="center"/>
              <w:rPr>
                <w:kern w:val="0"/>
                <w:szCs w:val="21"/>
              </w:rPr>
            </w:pPr>
            <w:r>
              <w:rPr>
                <w:kern w:val="0"/>
                <w:szCs w:val="21"/>
              </w:rPr>
              <w:t>1704</w:t>
            </w:r>
          </w:p>
        </w:tc>
        <w:tc>
          <w:tcPr>
            <w:tcW w:w="755" w:type="pct"/>
            <w:noWrap/>
            <w:vAlign w:val="top"/>
          </w:tcPr>
          <w:p w14:paraId="56747F4C">
            <w:pPr>
              <w:widowControl/>
              <w:spacing w:before="0" w:beforeLines="0" w:after="163" w:line="240" w:lineRule="auto"/>
              <w:contextualSpacing/>
              <w:jc w:val="center"/>
              <w:rPr>
                <w:kern w:val="0"/>
                <w:szCs w:val="21"/>
              </w:rPr>
            </w:pPr>
            <w:r>
              <w:rPr>
                <w:kern w:val="0"/>
                <w:szCs w:val="21"/>
              </w:rPr>
              <w:t>-1626</w:t>
            </w:r>
          </w:p>
        </w:tc>
        <w:tc>
          <w:tcPr>
            <w:tcW w:w="755" w:type="pct"/>
            <w:noWrap/>
            <w:vAlign w:val="top"/>
          </w:tcPr>
          <w:p w14:paraId="4E4463D2">
            <w:pPr>
              <w:widowControl/>
              <w:spacing w:before="0" w:beforeLines="0" w:after="163" w:line="240" w:lineRule="auto"/>
              <w:contextualSpacing/>
              <w:jc w:val="center"/>
              <w:rPr>
                <w:kern w:val="0"/>
                <w:szCs w:val="21"/>
              </w:rPr>
            </w:pPr>
            <w:r>
              <w:rPr>
                <w:kern w:val="0"/>
                <w:szCs w:val="21"/>
              </w:rPr>
              <w:t>283.79</w:t>
            </w:r>
          </w:p>
        </w:tc>
        <w:tc>
          <w:tcPr>
            <w:tcW w:w="689" w:type="pct"/>
            <w:noWrap/>
            <w:vAlign w:val="center"/>
          </w:tcPr>
          <w:p w14:paraId="30B647A1">
            <w:pPr>
              <w:widowControl/>
              <w:spacing w:before="0" w:beforeLines="0" w:after="163" w:line="240" w:lineRule="auto"/>
              <w:contextualSpacing/>
              <w:jc w:val="center"/>
              <w:rPr>
                <w:kern w:val="0"/>
                <w:szCs w:val="21"/>
              </w:rPr>
            </w:pPr>
            <w:r>
              <w:rPr>
                <w:kern w:val="0"/>
                <w:szCs w:val="21"/>
              </w:rPr>
              <w:t>0</w:t>
            </w:r>
          </w:p>
        </w:tc>
      </w:tr>
      <w:tr w14:paraId="6299A63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16" w:hRule="atLeast"/>
          <w:jc w:val="center"/>
        </w:trPr>
        <w:tc>
          <w:tcPr>
            <w:tcW w:w="690" w:type="pct"/>
            <w:noWrap/>
            <w:vAlign w:val="center"/>
          </w:tcPr>
          <w:p w14:paraId="40100EF9">
            <w:pPr>
              <w:widowControl/>
              <w:spacing w:before="0" w:beforeLines="0" w:after="163" w:line="240" w:lineRule="auto"/>
              <w:contextualSpacing/>
              <w:jc w:val="center"/>
              <w:rPr>
                <w:kern w:val="0"/>
                <w:szCs w:val="21"/>
              </w:rPr>
            </w:pPr>
            <w:r>
              <w:rPr>
                <w:kern w:val="0"/>
                <w:szCs w:val="21"/>
              </w:rPr>
              <w:t>9</w:t>
            </w:r>
          </w:p>
        </w:tc>
        <w:tc>
          <w:tcPr>
            <w:tcW w:w="1356" w:type="pct"/>
            <w:noWrap/>
            <w:vAlign w:val="center"/>
          </w:tcPr>
          <w:p w14:paraId="431B2D31">
            <w:pPr>
              <w:widowControl/>
              <w:spacing w:before="0" w:beforeLines="0" w:after="163" w:line="240" w:lineRule="auto"/>
              <w:contextualSpacing/>
              <w:jc w:val="center"/>
              <w:rPr>
                <w:kern w:val="0"/>
                <w:szCs w:val="21"/>
              </w:rPr>
            </w:pPr>
            <w:r>
              <w:rPr>
                <w:kern w:val="0"/>
                <w:szCs w:val="21"/>
              </w:rPr>
              <w:t>四方庙子村部分居民</w:t>
            </w:r>
          </w:p>
        </w:tc>
        <w:tc>
          <w:tcPr>
            <w:tcW w:w="755" w:type="pct"/>
            <w:noWrap/>
            <w:vAlign w:val="top"/>
          </w:tcPr>
          <w:p w14:paraId="04A17643">
            <w:pPr>
              <w:widowControl/>
              <w:spacing w:before="0" w:beforeLines="0" w:after="163" w:line="240" w:lineRule="auto"/>
              <w:contextualSpacing/>
              <w:jc w:val="center"/>
              <w:rPr>
                <w:kern w:val="0"/>
                <w:szCs w:val="21"/>
              </w:rPr>
            </w:pPr>
            <w:r>
              <w:rPr>
                <w:kern w:val="0"/>
                <w:szCs w:val="21"/>
              </w:rPr>
              <w:t>2408</w:t>
            </w:r>
          </w:p>
        </w:tc>
        <w:tc>
          <w:tcPr>
            <w:tcW w:w="755" w:type="pct"/>
            <w:noWrap/>
            <w:vAlign w:val="top"/>
          </w:tcPr>
          <w:p w14:paraId="4142AA6D">
            <w:pPr>
              <w:widowControl/>
              <w:spacing w:before="0" w:beforeLines="0" w:after="163" w:line="240" w:lineRule="auto"/>
              <w:contextualSpacing/>
              <w:jc w:val="center"/>
              <w:rPr>
                <w:kern w:val="0"/>
                <w:szCs w:val="21"/>
              </w:rPr>
            </w:pPr>
            <w:r>
              <w:rPr>
                <w:kern w:val="0"/>
                <w:szCs w:val="21"/>
              </w:rPr>
              <w:t>-2472</w:t>
            </w:r>
          </w:p>
        </w:tc>
        <w:tc>
          <w:tcPr>
            <w:tcW w:w="755" w:type="pct"/>
            <w:noWrap/>
            <w:vAlign w:val="top"/>
          </w:tcPr>
          <w:p w14:paraId="3590F961">
            <w:pPr>
              <w:widowControl/>
              <w:spacing w:before="0" w:beforeLines="0" w:after="163" w:line="240" w:lineRule="auto"/>
              <w:contextualSpacing/>
              <w:jc w:val="center"/>
              <w:rPr>
                <w:kern w:val="0"/>
                <w:szCs w:val="21"/>
              </w:rPr>
            </w:pPr>
            <w:r>
              <w:rPr>
                <w:kern w:val="0"/>
                <w:szCs w:val="21"/>
              </w:rPr>
              <w:t>288.83</w:t>
            </w:r>
          </w:p>
        </w:tc>
        <w:tc>
          <w:tcPr>
            <w:tcW w:w="689" w:type="pct"/>
            <w:noWrap/>
            <w:vAlign w:val="center"/>
          </w:tcPr>
          <w:p w14:paraId="15BBD9A7">
            <w:pPr>
              <w:widowControl/>
              <w:spacing w:before="0" w:beforeLines="0" w:after="163" w:line="240" w:lineRule="auto"/>
              <w:contextualSpacing/>
              <w:jc w:val="center"/>
              <w:rPr>
                <w:kern w:val="0"/>
                <w:szCs w:val="21"/>
              </w:rPr>
            </w:pPr>
            <w:r>
              <w:rPr>
                <w:kern w:val="0"/>
                <w:szCs w:val="21"/>
              </w:rPr>
              <w:t>0</w:t>
            </w:r>
          </w:p>
        </w:tc>
      </w:tr>
      <w:tr w14:paraId="221162C2">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16" w:hRule="atLeast"/>
          <w:jc w:val="center"/>
        </w:trPr>
        <w:tc>
          <w:tcPr>
            <w:tcW w:w="690" w:type="pct"/>
            <w:noWrap/>
            <w:vAlign w:val="center"/>
          </w:tcPr>
          <w:p w14:paraId="3B8AA848">
            <w:pPr>
              <w:widowControl/>
              <w:spacing w:before="0" w:beforeLines="0" w:after="163" w:line="240" w:lineRule="auto"/>
              <w:contextualSpacing/>
              <w:jc w:val="center"/>
              <w:rPr>
                <w:kern w:val="0"/>
                <w:szCs w:val="21"/>
              </w:rPr>
            </w:pPr>
            <w:r>
              <w:rPr>
                <w:kern w:val="0"/>
                <w:szCs w:val="21"/>
              </w:rPr>
              <w:t>10</w:t>
            </w:r>
          </w:p>
        </w:tc>
        <w:tc>
          <w:tcPr>
            <w:tcW w:w="1356" w:type="pct"/>
            <w:noWrap/>
            <w:vAlign w:val="center"/>
          </w:tcPr>
          <w:p w14:paraId="5166A840">
            <w:pPr>
              <w:widowControl/>
              <w:spacing w:before="0" w:beforeLines="0" w:after="163" w:line="240" w:lineRule="auto"/>
              <w:contextualSpacing/>
              <w:jc w:val="center"/>
              <w:rPr>
                <w:kern w:val="0"/>
                <w:szCs w:val="21"/>
              </w:rPr>
            </w:pPr>
            <w:r>
              <w:rPr>
                <w:kern w:val="0"/>
                <w:szCs w:val="21"/>
              </w:rPr>
              <w:t>胡家沟</w:t>
            </w:r>
          </w:p>
        </w:tc>
        <w:tc>
          <w:tcPr>
            <w:tcW w:w="755" w:type="pct"/>
            <w:noWrap/>
            <w:vAlign w:val="top"/>
          </w:tcPr>
          <w:p w14:paraId="6A516DC6">
            <w:pPr>
              <w:widowControl/>
              <w:spacing w:before="0" w:beforeLines="0" w:after="163" w:line="240" w:lineRule="auto"/>
              <w:contextualSpacing/>
              <w:jc w:val="center"/>
              <w:rPr>
                <w:kern w:val="0"/>
                <w:szCs w:val="21"/>
              </w:rPr>
            </w:pPr>
            <w:r>
              <w:rPr>
                <w:kern w:val="0"/>
                <w:szCs w:val="21"/>
              </w:rPr>
              <w:t>-232</w:t>
            </w:r>
          </w:p>
        </w:tc>
        <w:tc>
          <w:tcPr>
            <w:tcW w:w="755" w:type="pct"/>
            <w:noWrap/>
            <w:vAlign w:val="top"/>
          </w:tcPr>
          <w:p w14:paraId="50ED2C8E">
            <w:pPr>
              <w:widowControl/>
              <w:spacing w:before="0" w:beforeLines="0" w:after="163" w:line="240" w:lineRule="auto"/>
              <w:contextualSpacing/>
              <w:jc w:val="center"/>
              <w:rPr>
                <w:kern w:val="0"/>
                <w:szCs w:val="21"/>
              </w:rPr>
            </w:pPr>
            <w:r>
              <w:rPr>
                <w:kern w:val="0"/>
                <w:szCs w:val="21"/>
              </w:rPr>
              <w:t>-1675</w:t>
            </w:r>
          </w:p>
        </w:tc>
        <w:tc>
          <w:tcPr>
            <w:tcW w:w="755" w:type="pct"/>
            <w:noWrap/>
            <w:vAlign w:val="top"/>
          </w:tcPr>
          <w:p w14:paraId="35D32571">
            <w:pPr>
              <w:widowControl/>
              <w:spacing w:before="0" w:beforeLines="0" w:after="163" w:line="240" w:lineRule="auto"/>
              <w:contextualSpacing/>
              <w:jc w:val="center"/>
              <w:rPr>
                <w:kern w:val="0"/>
                <w:szCs w:val="21"/>
              </w:rPr>
            </w:pPr>
            <w:r>
              <w:rPr>
                <w:kern w:val="0"/>
                <w:szCs w:val="21"/>
              </w:rPr>
              <w:t>293.38</w:t>
            </w:r>
          </w:p>
        </w:tc>
        <w:tc>
          <w:tcPr>
            <w:tcW w:w="689" w:type="pct"/>
            <w:noWrap/>
            <w:vAlign w:val="center"/>
          </w:tcPr>
          <w:p w14:paraId="00504270">
            <w:pPr>
              <w:widowControl/>
              <w:spacing w:before="0" w:beforeLines="0" w:after="163" w:line="240" w:lineRule="auto"/>
              <w:contextualSpacing/>
              <w:jc w:val="center"/>
              <w:rPr>
                <w:kern w:val="0"/>
                <w:szCs w:val="21"/>
              </w:rPr>
            </w:pPr>
            <w:r>
              <w:rPr>
                <w:kern w:val="0"/>
                <w:szCs w:val="21"/>
              </w:rPr>
              <w:t>0</w:t>
            </w:r>
          </w:p>
        </w:tc>
      </w:tr>
    </w:tbl>
    <w:p w14:paraId="10067C6E">
      <w:pPr>
        <w:widowControl/>
        <w:spacing w:before="0" w:beforeLines="0" w:line="360" w:lineRule="auto"/>
        <w:contextualSpacing/>
        <w:rPr>
          <w:b/>
          <w:sz w:val="24"/>
          <w:szCs w:val="20"/>
        </w:rPr>
      </w:pPr>
      <w:r>
        <w:rPr>
          <w:rFonts w:hint="eastAsia"/>
          <w:b/>
          <w:sz w:val="24"/>
          <w:szCs w:val="20"/>
        </w:rPr>
        <w:t>5.2.1.5预测叠加浓度选取</w:t>
      </w:r>
    </w:p>
    <w:p w14:paraId="63E0428E">
      <w:pPr>
        <w:spacing w:before="0" w:beforeLines="0" w:line="360" w:lineRule="auto"/>
        <w:ind w:firstLine="480" w:firstLineChars="200"/>
        <w:contextualSpacing/>
        <w:rPr>
          <w:bCs/>
          <w:sz w:val="24"/>
          <w:szCs w:val="20"/>
        </w:rPr>
      </w:pPr>
      <w:r>
        <w:rPr>
          <w:rFonts w:hint="eastAsia"/>
          <w:bCs/>
          <w:sz w:val="24"/>
          <w:szCs w:val="20"/>
        </w:rPr>
        <w:t>根据HJ2.2-2018的相关要求：对于位于环境空气质量达标区的项目，在进行环境空气保护目标和区域最大落地浓度点的环境影响分析时，应叠加当地大气环境质量现状监测浓度。因此本次预测基本污染物PM</w:t>
      </w:r>
      <w:r>
        <w:rPr>
          <w:rFonts w:hint="eastAsia"/>
          <w:bCs/>
          <w:sz w:val="24"/>
          <w:szCs w:val="20"/>
          <w:vertAlign w:val="subscript"/>
        </w:rPr>
        <w:t>10</w:t>
      </w:r>
      <w:r>
        <w:rPr>
          <w:rFonts w:hint="eastAsia"/>
          <w:bCs/>
          <w:sz w:val="24"/>
          <w:szCs w:val="20"/>
        </w:rPr>
        <w:t>环境保护目标处和区域最大落地浓度点贡献浓度与监测浓度叠加，特征污染物叠加监测浓度</w:t>
      </w:r>
      <w:r>
        <w:rPr>
          <w:rFonts w:hint="eastAsia"/>
          <w:sz w:val="24"/>
          <w:szCs w:val="20"/>
        </w:rPr>
        <w:t>。</w:t>
      </w:r>
    </w:p>
    <w:p w14:paraId="2D661D13">
      <w:pPr>
        <w:widowControl/>
        <w:spacing w:before="0" w:beforeLines="0" w:line="360" w:lineRule="auto"/>
        <w:contextualSpacing/>
        <w:rPr>
          <w:b/>
          <w:sz w:val="24"/>
          <w:szCs w:val="20"/>
        </w:rPr>
      </w:pPr>
      <w:r>
        <w:rPr>
          <w:rFonts w:hint="eastAsia"/>
          <w:b/>
          <w:sz w:val="24"/>
          <w:szCs w:val="20"/>
        </w:rPr>
        <w:t>5.2.1.6预测方案和源强</w:t>
      </w:r>
    </w:p>
    <w:p w14:paraId="4176336D">
      <w:pPr>
        <w:widowControl/>
        <w:spacing w:before="0" w:beforeLines="0" w:line="360" w:lineRule="auto"/>
        <w:ind w:firstLine="482" w:firstLineChars="200"/>
        <w:rPr>
          <w:b/>
          <w:sz w:val="24"/>
          <w:szCs w:val="20"/>
        </w:rPr>
      </w:pPr>
      <w:r>
        <w:rPr>
          <w:rFonts w:hint="eastAsia"/>
          <w:b/>
          <w:sz w:val="24"/>
          <w:szCs w:val="20"/>
        </w:rPr>
        <w:t>⑴预测方案</w:t>
      </w:r>
    </w:p>
    <w:p w14:paraId="6E9FA80C">
      <w:pPr>
        <w:widowControl/>
        <w:spacing w:before="0" w:beforeLines="0" w:line="360" w:lineRule="auto"/>
        <w:ind w:firstLine="480" w:firstLineChars="200"/>
        <w:rPr>
          <w:sz w:val="24"/>
          <w:szCs w:val="20"/>
        </w:rPr>
      </w:pPr>
      <w:r>
        <w:rPr>
          <w:rFonts w:hint="eastAsia"/>
          <w:sz w:val="24"/>
          <w:szCs w:val="20"/>
        </w:rPr>
        <w:t>根据达标区判定结果，本项目属于达标区的评价项目，因此主要进行达标区的评价，项目贡献浓度</w:t>
      </w:r>
      <w:r>
        <w:rPr>
          <w:sz w:val="24"/>
          <w:szCs w:val="20"/>
        </w:rPr>
        <w:t>按照项目运行后排放的</w:t>
      </w:r>
      <w:r>
        <w:rPr>
          <w:rFonts w:hint="eastAsia"/>
          <w:sz w:val="24"/>
          <w:szCs w:val="20"/>
        </w:rPr>
        <w:t>废</w:t>
      </w:r>
      <w:r>
        <w:rPr>
          <w:sz w:val="24"/>
          <w:szCs w:val="20"/>
        </w:rPr>
        <w:t>气</w:t>
      </w:r>
      <w:r>
        <w:rPr>
          <w:rFonts w:hint="eastAsia"/>
          <w:sz w:val="24"/>
          <w:szCs w:val="20"/>
        </w:rPr>
        <w:t>进行</w:t>
      </w:r>
      <w:r>
        <w:rPr>
          <w:sz w:val="24"/>
          <w:szCs w:val="20"/>
        </w:rPr>
        <w:t>计算，</w:t>
      </w:r>
      <w:r>
        <w:rPr>
          <w:rFonts w:hint="eastAsia"/>
          <w:sz w:val="24"/>
          <w:szCs w:val="20"/>
        </w:rPr>
        <w:t>再叠加环境</w:t>
      </w:r>
      <w:r>
        <w:rPr>
          <w:sz w:val="24"/>
          <w:szCs w:val="20"/>
        </w:rPr>
        <w:t>质量现状浓度</w:t>
      </w:r>
      <w:r>
        <w:rPr>
          <w:rFonts w:hint="eastAsia"/>
          <w:sz w:val="24"/>
          <w:szCs w:val="20"/>
        </w:rPr>
        <w:t>。根</w:t>
      </w:r>
      <w:r>
        <w:rPr>
          <w:sz w:val="24"/>
          <w:szCs w:val="20"/>
        </w:rPr>
        <w:t>据</w:t>
      </w:r>
      <w:r>
        <w:rPr>
          <w:bCs/>
          <w:sz w:val="24"/>
          <w:szCs w:val="20"/>
        </w:rPr>
        <w:t>HJ2.2-20</w:t>
      </w:r>
      <w:r>
        <w:rPr>
          <w:rFonts w:hint="eastAsia"/>
          <w:bCs/>
          <w:sz w:val="24"/>
          <w:szCs w:val="20"/>
        </w:rPr>
        <w:t>1</w:t>
      </w:r>
      <w:r>
        <w:rPr>
          <w:bCs/>
          <w:sz w:val="24"/>
          <w:szCs w:val="20"/>
        </w:rPr>
        <w:t>8</w:t>
      </w:r>
      <w:r>
        <w:rPr>
          <w:rFonts w:hint="eastAsia"/>
          <w:bCs/>
          <w:sz w:val="24"/>
          <w:szCs w:val="20"/>
        </w:rPr>
        <w:t>要求，</w:t>
      </w:r>
      <w:r>
        <w:rPr>
          <w:rFonts w:hint="eastAsia"/>
          <w:sz w:val="24"/>
          <w:szCs w:val="20"/>
        </w:rPr>
        <w:t>确定本次评价预测内容和评价要求</w:t>
      </w:r>
      <w:r>
        <w:rPr>
          <w:sz w:val="24"/>
          <w:szCs w:val="20"/>
        </w:rPr>
        <w:t>见</w:t>
      </w:r>
      <w:r>
        <w:rPr>
          <w:rFonts w:hint="eastAsia"/>
          <w:sz w:val="24"/>
          <w:szCs w:val="20"/>
        </w:rPr>
        <w:t>下表</w:t>
      </w:r>
      <w:r>
        <w:rPr>
          <w:sz w:val="24"/>
          <w:szCs w:val="20"/>
        </w:rPr>
        <w:t>。</w:t>
      </w:r>
    </w:p>
    <w:p w14:paraId="7DFED130">
      <w:pPr>
        <w:keepNext/>
        <w:spacing w:before="0" w:beforeLines="0" w:line="240" w:lineRule="auto"/>
        <w:jc w:val="center"/>
        <w:rPr>
          <w:b/>
          <w:bCs/>
          <w:szCs w:val="21"/>
        </w:rPr>
      </w:pPr>
      <w:r>
        <w:rPr>
          <w:b/>
          <w:bCs/>
          <w:szCs w:val="21"/>
        </w:rPr>
        <w:t xml:space="preserve">表 </w:t>
      </w:r>
      <w:r>
        <w:rPr>
          <w:rFonts w:hint="eastAsia"/>
          <w:b/>
          <w:bCs/>
          <w:szCs w:val="21"/>
        </w:rPr>
        <w:t>5.2</w:t>
      </w:r>
      <w:r>
        <w:rPr>
          <w:b/>
          <w:bCs/>
          <w:szCs w:val="21"/>
        </w:rPr>
        <w:noBreakHyphen/>
      </w:r>
      <w:r>
        <w:rPr>
          <w:b/>
          <w:bCs/>
          <w:szCs w:val="21"/>
        </w:rPr>
        <w:fldChar w:fldCharType="begin"/>
      </w:r>
      <w:r>
        <w:rPr>
          <w:b/>
          <w:bCs/>
          <w:szCs w:val="21"/>
        </w:rPr>
        <w:instrText xml:space="preserve"> SEQ 表 \* ARABIC \s 1 </w:instrText>
      </w:r>
      <w:r>
        <w:rPr>
          <w:b/>
          <w:bCs/>
          <w:szCs w:val="21"/>
        </w:rPr>
        <w:fldChar w:fldCharType="separate"/>
      </w:r>
      <w:r>
        <w:rPr>
          <w:b/>
          <w:bCs/>
          <w:szCs w:val="21"/>
        </w:rPr>
        <w:t>7</w:t>
      </w:r>
      <w:r>
        <w:rPr>
          <w:b/>
          <w:bCs/>
          <w:szCs w:val="21"/>
        </w:rPr>
        <w:fldChar w:fldCharType="end"/>
      </w:r>
      <w:r>
        <w:rPr>
          <w:rFonts w:hint="eastAsia"/>
          <w:b/>
          <w:bCs/>
          <w:szCs w:val="21"/>
        </w:rPr>
        <w:t xml:space="preserve">      预测内容和评价要求</w:t>
      </w:r>
    </w:p>
    <w:tbl>
      <w:tblPr>
        <w:tblStyle w:val="89"/>
        <w:tblW w:w="5000" w:type="pct"/>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108" w:type="dxa"/>
          <w:bottom w:w="0" w:type="dxa"/>
          <w:right w:w="108" w:type="dxa"/>
        </w:tblCellMar>
      </w:tblPr>
      <w:tblGrid>
        <w:gridCol w:w="898"/>
        <w:gridCol w:w="1086"/>
        <w:gridCol w:w="1135"/>
        <w:gridCol w:w="1417"/>
        <w:gridCol w:w="1135"/>
        <w:gridCol w:w="2635"/>
      </w:tblGrid>
      <w:tr w14:paraId="3ED70B4D">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541" w:type="pct"/>
            <w:tcBorders>
              <w:right w:val="single" w:color="auto" w:sz="4" w:space="0"/>
            </w:tcBorders>
            <w:vAlign w:val="center"/>
          </w:tcPr>
          <w:p w14:paraId="33AC0FF4">
            <w:pPr>
              <w:snapToGrid w:val="0"/>
              <w:spacing w:before="0" w:beforeLines="0" w:line="240" w:lineRule="atLeast"/>
              <w:jc w:val="center"/>
              <w:rPr>
                <w:b/>
                <w:szCs w:val="21"/>
              </w:rPr>
            </w:pPr>
            <w:r>
              <w:rPr>
                <w:rFonts w:hint="eastAsia"/>
                <w:b/>
                <w:szCs w:val="21"/>
              </w:rPr>
              <w:t>评价对</w:t>
            </w:r>
            <w:r>
              <w:rPr>
                <w:b/>
                <w:szCs w:val="21"/>
              </w:rPr>
              <w:t>象</w:t>
            </w:r>
          </w:p>
        </w:tc>
        <w:tc>
          <w:tcPr>
            <w:tcW w:w="654" w:type="pct"/>
            <w:tcBorders>
              <w:right w:val="single" w:color="auto" w:sz="4" w:space="0"/>
            </w:tcBorders>
            <w:vAlign w:val="center"/>
          </w:tcPr>
          <w:p w14:paraId="6AECE4AC">
            <w:pPr>
              <w:snapToGrid w:val="0"/>
              <w:spacing w:before="0" w:beforeLines="0" w:line="240" w:lineRule="atLeast"/>
              <w:jc w:val="center"/>
              <w:rPr>
                <w:b/>
                <w:szCs w:val="21"/>
              </w:rPr>
            </w:pPr>
            <w:r>
              <w:rPr>
                <w:rFonts w:hint="eastAsia"/>
                <w:b/>
                <w:szCs w:val="21"/>
              </w:rPr>
              <w:t>污染源</w:t>
            </w:r>
          </w:p>
        </w:tc>
        <w:tc>
          <w:tcPr>
            <w:tcW w:w="683" w:type="pct"/>
            <w:tcBorders>
              <w:left w:val="single" w:color="auto" w:sz="4" w:space="0"/>
            </w:tcBorders>
            <w:vAlign w:val="center"/>
          </w:tcPr>
          <w:p w14:paraId="1D0D7CF1">
            <w:pPr>
              <w:snapToGrid w:val="0"/>
              <w:spacing w:before="0" w:beforeLines="0" w:line="240" w:lineRule="atLeast"/>
              <w:jc w:val="center"/>
              <w:rPr>
                <w:b/>
                <w:szCs w:val="21"/>
              </w:rPr>
            </w:pPr>
            <w:r>
              <w:rPr>
                <w:rFonts w:hint="eastAsia"/>
                <w:b/>
                <w:szCs w:val="21"/>
              </w:rPr>
              <w:t>排放形式</w:t>
            </w:r>
          </w:p>
        </w:tc>
        <w:tc>
          <w:tcPr>
            <w:tcW w:w="853" w:type="pct"/>
            <w:vAlign w:val="center"/>
          </w:tcPr>
          <w:p w14:paraId="297EF71A">
            <w:pPr>
              <w:snapToGrid w:val="0"/>
              <w:spacing w:before="0" w:beforeLines="0" w:line="240" w:lineRule="atLeast"/>
              <w:jc w:val="center"/>
              <w:rPr>
                <w:b/>
                <w:szCs w:val="21"/>
              </w:rPr>
            </w:pPr>
            <w:r>
              <w:rPr>
                <w:rFonts w:hint="eastAsia"/>
                <w:b/>
                <w:szCs w:val="21"/>
              </w:rPr>
              <w:t>预测因子</w:t>
            </w:r>
          </w:p>
        </w:tc>
        <w:tc>
          <w:tcPr>
            <w:tcW w:w="683" w:type="pct"/>
            <w:tcBorders>
              <w:right w:val="single" w:color="auto" w:sz="4" w:space="0"/>
            </w:tcBorders>
            <w:vAlign w:val="center"/>
          </w:tcPr>
          <w:p w14:paraId="06DA7A37">
            <w:pPr>
              <w:snapToGrid w:val="0"/>
              <w:spacing w:before="0" w:beforeLines="0" w:line="240" w:lineRule="atLeast"/>
              <w:jc w:val="center"/>
              <w:rPr>
                <w:b/>
                <w:szCs w:val="21"/>
              </w:rPr>
            </w:pPr>
            <w:r>
              <w:rPr>
                <w:b/>
                <w:szCs w:val="21"/>
              </w:rPr>
              <w:t>预测内容</w:t>
            </w:r>
          </w:p>
        </w:tc>
        <w:tc>
          <w:tcPr>
            <w:tcW w:w="1586" w:type="pct"/>
            <w:tcBorders>
              <w:left w:val="single" w:color="auto" w:sz="4" w:space="0"/>
            </w:tcBorders>
            <w:vAlign w:val="center"/>
          </w:tcPr>
          <w:p w14:paraId="068F3453">
            <w:pPr>
              <w:snapToGrid w:val="0"/>
              <w:spacing w:before="0" w:beforeLines="0" w:line="240" w:lineRule="atLeast"/>
              <w:jc w:val="center"/>
              <w:rPr>
                <w:b/>
                <w:szCs w:val="21"/>
              </w:rPr>
            </w:pPr>
            <w:r>
              <w:rPr>
                <w:rFonts w:hint="eastAsia"/>
                <w:b/>
                <w:szCs w:val="21"/>
              </w:rPr>
              <w:t>评价内容</w:t>
            </w:r>
          </w:p>
        </w:tc>
      </w:tr>
      <w:tr w14:paraId="317764C6">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541" w:type="pct"/>
            <w:vMerge w:val="restart"/>
            <w:tcBorders>
              <w:right w:val="single" w:color="auto" w:sz="4" w:space="0"/>
            </w:tcBorders>
            <w:vAlign w:val="center"/>
          </w:tcPr>
          <w:p w14:paraId="5AD956D2">
            <w:pPr>
              <w:snapToGrid w:val="0"/>
              <w:spacing w:before="0" w:beforeLines="0" w:line="240" w:lineRule="atLeast"/>
              <w:jc w:val="center"/>
              <w:rPr>
                <w:szCs w:val="21"/>
              </w:rPr>
            </w:pPr>
            <w:r>
              <w:rPr>
                <w:rFonts w:hint="eastAsia"/>
                <w:szCs w:val="21"/>
              </w:rPr>
              <w:t>达标</w:t>
            </w:r>
            <w:r>
              <w:rPr>
                <w:szCs w:val="21"/>
              </w:rPr>
              <w:t>区</w:t>
            </w:r>
          </w:p>
        </w:tc>
        <w:tc>
          <w:tcPr>
            <w:tcW w:w="654" w:type="pct"/>
            <w:tcBorders>
              <w:right w:val="single" w:color="auto" w:sz="4" w:space="0"/>
            </w:tcBorders>
            <w:vAlign w:val="center"/>
          </w:tcPr>
          <w:p w14:paraId="5EE4ABED">
            <w:pPr>
              <w:snapToGrid w:val="0"/>
              <w:spacing w:before="0" w:beforeLines="0" w:line="240" w:lineRule="atLeast"/>
              <w:jc w:val="center"/>
              <w:rPr>
                <w:szCs w:val="21"/>
              </w:rPr>
            </w:pPr>
            <w:r>
              <w:rPr>
                <w:rFonts w:hint="eastAsia"/>
                <w:szCs w:val="21"/>
              </w:rPr>
              <w:t>新增污染源</w:t>
            </w:r>
          </w:p>
        </w:tc>
        <w:tc>
          <w:tcPr>
            <w:tcW w:w="683" w:type="pct"/>
            <w:tcBorders>
              <w:left w:val="single" w:color="auto" w:sz="4" w:space="0"/>
            </w:tcBorders>
            <w:vAlign w:val="center"/>
          </w:tcPr>
          <w:p w14:paraId="05A483AF">
            <w:pPr>
              <w:snapToGrid w:val="0"/>
              <w:spacing w:before="0" w:beforeLines="0" w:line="240" w:lineRule="atLeast"/>
              <w:jc w:val="center"/>
              <w:rPr>
                <w:szCs w:val="21"/>
              </w:rPr>
            </w:pPr>
            <w:r>
              <w:rPr>
                <w:rFonts w:hint="eastAsia"/>
                <w:szCs w:val="21"/>
              </w:rPr>
              <w:t>正常排放</w:t>
            </w:r>
          </w:p>
        </w:tc>
        <w:tc>
          <w:tcPr>
            <w:tcW w:w="853" w:type="pct"/>
            <w:vAlign w:val="center"/>
          </w:tcPr>
          <w:p w14:paraId="135C8939">
            <w:pPr>
              <w:snapToGrid w:val="0"/>
              <w:spacing w:before="0" w:beforeLines="0" w:line="240" w:lineRule="atLeast"/>
              <w:rPr>
                <w:szCs w:val="21"/>
              </w:rPr>
            </w:pPr>
            <w:r>
              <w:rPr>
                <w:szCs w:val="21"/>
              </w:rPr>
              <w:t>PM</w:t>
            </w:r>
            <w:r>
              <w:rPr>
                <w:szCs w:val="21"/>
                <w:vertAlign w:val="subscript"/>
              </w:rPr>
              <w:t>10</w:t>
            </w:r>
            <w:r>
              <w:rPr>
                <w:rFonts w:hint="eastAsia"/>
                <w:szCs w:val="21"/>
              </w:rPr>
              <w:t>、</w:t>
            </w:r>
            <w:r>
              <w:rPr>
                <w:szCs w:val="21"/>
              </w:rPr>
              <w:t>TSP</w:t>
            </w:r>
          </w:p>
        </w:tc>
        <w:tc>
          <w:tcPr>
            <w:tcW w:w="683" w:type="pct"/>
            <w:tcBorders>
              <w:right w:val="single" w:color="auto" w:sz="4" w:space="0"/>
            </w:tcBorders>
            <w:vAlign w:val="center"/>
          </w:tcPr>
          <w:p w14:paraId="60090F78">
            <w:pPr>
              <w:snapToGrid w:val="0"/>
              <w:spacing w:before="0" w:beforeLines="0" w:line="240" w:lineRule="atLeast"/>
              <w:jc w:val="center"/>
              <w:rPr>
                <w:szCs w:val="21"/>
              </w:rPr>
            </w:pPr>
            <w:bookmarkStart w:id="221" w:name="OLE_LINK10"/>
            <w:r>
              <w:rPr>
                <w:rFonts w:hint="eastAsia"/>
                <w:szCs w:val="21"/>
              </w:rPr>
              <w:t>短期浓度</w:t>
            </w:r>
            <w:bookmarkEnd w:id="221"/>
          </w:p>
          <w:p w14:paraId="56A35E89">
            <w:pPr>
              <w:snapToGrid w:val="0"/>
              <w:spacing w:before="0" w:beforeLines="0" w:line="240" w:lineRule="atLeast"/>
              <w:jc w:val="center"/>
              <w:rPr>
                <w:szCs w:val="21"/>
              </w:rPr>
            </w:pPr>
            <w:r>
              <w:rPr>
                <w:rFonts w:hint="eastAsia"/>
                <w:szCs w:val="21"/>
              </w:rPr>
              <w:t>长期浓度</w:t>
            </w:r>
          </w:p>
        </w:tc>
        <w:tc>
          <w:tcPr>
            <w:tcW w:w="1586" w:type="pct"/>
            <w:tcBorders>
              <w:left w:val="single" w:color="auto" w:sz="4" w:space="0"/>
            </w:tcBorders>
            <w:vAlign w:val="center"/>
          </w:tcPr>
          <w:p w14:paraId="546E95D8">
            <w:pPr>
              <w:snapToGrid w:val="0"/>
              <w:spacing w:before="0" w:beforeLines="0" w:line="240" w:lineRule="atLeast"/>
              <w:jc w:val="center"/>
              <w:rPr>
                <w:szCs w:val="21"/>
              </w:rPr>
            </w:pPr>
            <w:r>
              <w:rPr>
                <w:rFonts w:hint="eastAsia"/>
                <w:szCs w:val="21"/>
              </w:rPr>
              <w:t>区域最大落地浓度点</w:t>
            </w:r>
            <w:r>
              <w:rPr>
                <w:szCs w:val="21"/>
              </w:rPr>
              <w:t>点和</w:t>
            </w:r>
            <w:r>
              <w:rPr>
                <w:rFonts w:hint="eastAsia"/>
                <w:szCs w:val="21"/>
              </w:rPr>
              <w:t>环境保护</w:t>
            </w:r>
            <w:r>
              <w:rPr>
                <w:szCs w:val="21"/>
              </w:rPr>
              <w:t>目标处</w:t>
            </w:r>
            <w:r>
              <w:rPr>
                <w:rFonts w:hint="eastAsia"/>
                <w:szCs w:val="21"/>
              </w:rPr>
              <w:t>最大贡献浓度及占标率</w:t>
            </w:r>
          </w:p>
        </w:tc>
      </w:tr>
      <w:tr w14:paraId="6A70EE2C">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541" w:type="pct"/>
            <w:vMerge w:val="continue"/>
            <w:tcBorders>
              <w:right w:val="single" w:color="auto" w:sz="4" w:space="0"/>
            </w:tcBorders>
            <w:vAlign w:val="center"/>
          </w:tcPr>
          <w:p w14:paraId="4C61C995">
            <w:pPr>
              <w:snapToGrid w:val="0"/>
              <w:spacing w:before="0" w:beforeLines="0" w:line="240" w:lineRule="atLeast"/>
              <w:jc w:val="center"/>
              <w:rPr>
                <w:szCs w:val="21"/>
              </w:rPr>
            </w:pPr>
          </w:p>
        </w:tc>
        <w:tc>
          <w:tcPr>
            <w:tcW w:w="654" w:type="pct"/>
            <w:tcBorders>
              <w:right w:val="single" w:color="auto" w:sz="4" w:space="0"/>
            </w:tcBorders>
            <w:vAlign w:val="center"/>
          </w:tcPr>
          <w:p w14:paraId="5E7F482C">
            <w:pPr>
              <w:snapToGrid w:val="0"/>
              <w:spacing w:before="0" w:beforeLines="0" w:line="240" w:lineRule="atLeast"/>
              <w:jc w:val="center"/>
              <w:rPr>
                <w:szCs w:val="21"/>
              </w:rPr>
            </w:pPr>
            <w:r>
              <w:rPr>
                <w:rFonts w:hint="eastAsia"/>
                <w:szCs w:val="21"/>
              </w:rPr>
              <w:t>新增污染源</w:t>
            </w:r>
          </w:p>
        </w:tc>
        <w:tc>
          <w:tcPr>
            <w:tcW w:w="683" w:type="pct"/>
            <w:tcBorders>
              <w:left w:val="single" w:color="auto" w:sz="4" w:space="0"/>
            </w:tcBorders>
            <w:vAlign w:val="center"/>
          </w:tcPr>
          <w:p w14:paraId="5400A12A">
            <w:pPr>
              <w:snapToGrid w:val="0"/>
              <w:spacing w:before="0" w:beforeLines="0" w:line="240" w:lineRule="atLeast"/>
              <w:jc w:val="center"/>
              <w:rPr>
                <w:szCs w:val="21"/>
              </w:rPr>
            </w:pPr>
            <w:r>
              <w:rPr>
                <w:rFonts w:hint="eastAsia"/>
                <w:szCs w:val="21"/>
              </w:rPr>
              <w:t>正常排放</w:t>
            </w:r>
          </w:p>
        </w:tc>
        <w:tc>
          <w:tcPr>
            <w:tcW w:w="853" w:type="pct"/>
            <w:vAlign w:val="center"/>
          </w:tcPr>
          <w:p w14:paraId="3733B8A7">
            <w:pPr>
              <w:snapToGrid w:val="0"/>
              <w:spacing w:before="0" w:beforeLines="0" w:line="240" w:lineRule="atLeast"/>
              <w:rPr>
                <w:szCs w:val="21"/>
              </w:rPr>
            </w:pPr>
            <w:r>
              <w:rPr>
                <w:szCs w:val="21"/>
              </w:rPr>
              <w:t>PM</w:t>
            </w:r>
            <w:r>
              <w:rPr>
                <w:szCs w:val="21"/>
                <w:vertAlign w:val="subscript"/>
              </w:rPr>
              <w:t>10</w:t>
            </w:r>
            <w:r>
              <w:rPr>
                <w:rFonts w:hint="eastAsia"/>
                <w:szCs w:val="21"/>
              </w:rPr>
              <w:t>、</w:t>
            </w:r>
            <w:r>
              <w:rPr>
                <w:szCs w:val="21"/>
              </w:rPr>
              <w:t>TSP</w:t>
            </w:r>
          </w:p>
        </w:tc>
        <w:tc>
          <w:tcPr>
            <w:tcW w:w="683" w:type="pct"/>
            <w:tcBorders>
              <w:right w:val="single" w:color="auto" w:sz="4" w:space="0"/>
            </w:tcBorders>
            <w:vAlign w:val="center"/>
          </w:tcPr>
          <w:p w14:paraId="563FA3D3">
            <w:pPr>
              <w:snapToGrid w:val="0"/>
              <w:spacing w:before="0" w:beforeLines="0" w:line="240" w:lineRule="atLeast"/>
              <w:jc w:val="center"/>
              <w:rPr>
                <w:szCs w:val="21"/>
              </w:rPr>
            </w:pPr>
            <w:r>
              <w:rPr>
                <w:rFonts w:hint="eastAsia"/>
                <w:szCs w:val="21"/>
              </w:rPr>
              <w:t>短期浓度</w:t>
            </w:r>
          </w:p>
          <w:p w14:paraId="627CC897">
            <w:pPr>
              <w:snapToGrid w:val="0"/>
              <w:spacing w:before="0" w:beforeLines="0" w:line="240" w:lineRule="atLeast"/>
              <w:jc w:val="center"/>
              <w:rPr>
                <w:szCs w:val="21"/>
              </w:rPr>
            </w:pPr>
            <w:r>
              <w:rPr>
                <w:rFonts w:hint="eastAsia"/>
                <w:szCs w:val="21"/>
              </w:rPr>
              <w:t>长期浓度</w:t>
            </w:r>
          </w:p>
        </w:tc>
        <w:tc>
          <w:tcPr>
            <w:tcW w:w="1586" w:type="pct"/>
            <w:tcBorders>
              <w:left w:val="single" w:color="auto" w:sz="4" w:space="0"/>
            </w:tcBorders>
            <w:vAlign w:val="center"/>
          </w:tcPr>
          <w:p w14:paraId="68283B1E">
            <w:pPr>
              <w:snapToGrid w:val="0"/>
              <w:spacing w:before="0" w:beforeLines="0" w:line="240" w:lineRule="atLeast"/>
              <w:jc w:val="center"/>
              <w:rPr>
                <w:szCs w:val="21"/>
              </w:rPr>
            </w:pPr>
            <w:r>
              <w:rPr>
                <w:rFonts w:hint="eastAsia"/>
                <w:szCs w:val="21"/>
              </w:rPr>
              <w:t>叠加环境质量</w:t>
            </w:r>
            <w:r>
              <w:rPr>
                <w:szCs w:val="21"/>
              </w:rPr>
              <w:t>现状</w:t>
            </w:r>
            <w:r>
              <w:rPr>
                <w:rFonts w:hint="eastAsia"/>
                <w:szCs w:val="21"/>
              </w:rPr>
              <w:t>浓度后的保证率日平均质量浓度和年平均质量浓度及占标率</w:t>
            </w:r>
          </w:p>
        </w:tc>
      </w:tr>
      <w:tr w14:paraId="70BD6876">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541" w:type="pct"/>
            <w:vMerge w:val="continue"/>
            <w:tcBorders>
              <w:right w:val="single" w:color="auto" w:sz="4" w:space="0"/>
            </w:tcBorders>
            <w:vAlign w:val="center"/>
          </w:tcPr>
          <w:p w14:paraId="096E0CFE">
            <w:pPr>
              <w:snapToGrid w:val="0"/>
              <w:spacing w:before="0" w:beforeLines="0" w:line="240" w:lineRule="atLeast"/>
              <w:jc w:val="center"/>
              <w:rPr>
                <w:szCs w:val="21"/>
              </w:rPr>
            </w:pPr>
          </w:p>
        </w:tc>
        <w:tc>
          <w:tcPr>
            <w:tcW w:w="654" w:type="pct"/>
            <w:tcBorders>
              <w:right w:val="single" w:color="auto" w:sz="4" w:space="0"/>
            </w:tcBorders>
            <w:vAlign w:val="center"/>
          </w:tcPr>
          <w:p w14:paraId="5DF51B2D">
            <w:pPr>
              <w:snapToGrid w:val="0"/>
              <w:spacing w:before="0" w:beforeLines="0" w:line="240" w:lineRule="atLeast"/>
              <w:jc w:val="center"/>
              <w:rPr>
                <w:szCs w:val="21"/>
              </w:rPr>
            </w:pPr>
            <w:r>
              <w:rPr>
                <w:rFonts w:hint="eastAsia"/>
                <w:szCs w:val="21"/>
              </w:rPr>
              <w:t>新增污染源</w:t>
            </w:r>
          </w:p>
        </w:tc>
        <w:tc>
          <w:tcPr>
            <w:tcW w:w="683" w:type="pct"/>
            <w:tcBorders>
              <w:left w:val="single" w:color="auto" w:sz="4" w:space="0"/>
            </w:tcBorders>
            <w:vAlign w:val="center"/>
          </w:tcPr>
          <w:p w14:paraId="1F208250">
            <w:pPr>
              <w:snapToGrid w:val="0"/>
              <w:spacing w:before="0" w:beforeLines="0" w:line="240" w:lineRule="atLeast"/>
              <w:jc w:val="center"/>
              <w:rPr>
                <w:szCs w:val="21"/>
              </w:rPr>
            </w:pPr>
            <w:r>
              <w:rPr>
                <w:rFonts w:hint="eastAsia"/>
                <w:szCs w:val="21"/>
              </w:rPr>
              <w:t>无组织排放</w:t>
            </w:r>
          </w:p>
        </w:tc>
        <w:tc>
          <w:tcPr>
            <w:tcW w:w="853" w:type="pct"/>
            <w:vAlign w:val="center"/>
          </w:tcPr>
          <w:p w14:paraId="3D33FF4B">
            <w:pPr>
              <w:snapToGrid w:val="0"/>
              <w:spacing w:before="0" w:beforeLines="0" w:line="240" w:lineRule="atLeast"/>
              <w:jc w:val="center"/>
              <w:rPr>
                <w:szCs w:val="21"/>
              </w:rPr>
            </w:pPr>
            <w:r>
              <w:rPr>
                <w:szCs w:val="21"/>
              </w:rPr>
              <w:t>TSP</w:t>
            </w:r>
          </w:p>
        </w:tc>
        <w:tc>
          <w:tcPr>
            <w:tcW w:w="683" w:type="pct"/>
            <w:tcBorders>
              <w:right w:val="single" w:color="auto" w:sz="4" w:space="0"/>
            </w:tcBorders>
            <w:vAlign w:val="center"/>
          </w:tcPr>
          <w:p w14:paraId="0ED5BDFC">
            <w:pPr>
              <w:snapToGrid w:val="0"/>
              <w:spacing w:before="0" w:beforeLines="0" w:line="240" w:lineRule="atLeast"/>
              <w:jc w:val="center"/>
              <w:rPr>
                <w:szCs w:val="21"/>
              </w:rPr>
            </w:pPr>
            <w:r>
              <w:rPr>
                <w:rFonts w:hint="eastAsia"/>
                <w:szCs w:val="21"/>
              </w:rPr>
              <w:t>1h平均质量浓度</w:t>
            </w:r>
          </w:p>
        </w:tc>
        <w:tc>
          <w:tcPr>
            <w:tcW w:w="1586" w:type="pct"/>
            <w:tcBorders>
              <w:left w:val="single" w:color="auto" w:sz="4" w:space="0"/>
            </w:tcBorders>
            <w:vAlign w:val="center"/>
          </w:tcPr>
          <w:p w14:paraId="38E628F1">
            <w:pPr>
              <w:snapToGrid w:val="0"/>
              <w:spacing w:before="0" w:beforeLines="0" w:line="240" w:lineRule="atLeast"/>
              <w:jc w:val="center"/>
              <w:rPr>
                <w:szCs w:val="21"/>
              </w:rPr>
            </w:pPr>
            <w:r>
              <w:rPr>
                <w:rFonts w:hint="eastAsia"/>
                <w:szCs w:val="21"/>
              </w:rPr>
              <w:t>厂界最大1h贡献浓度及占标率</w:t>
            </w:r>
          </w:p>
        </w:tc>
      </w:tr>
      <w:tr w14:paraId="17AD2A4A">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541" w:type="pct"/>
            <w:tcBorders>
              <w:right w:val="single" w:color="auto" w:sz="4" w:space="0"/>
            </w:tcBorders>
            <w:vAlign w:val="center"/>
          </w:tcPr>
          <w:p w14:paraId="2D5D5893">
            <w:pPr>
              <w:snapToGrid w:val="0"/>
              <w:spacing w:before="0" w:beforeLines="0" w:line="240" w:lineRule="atLeast"/>
              <w:jc w:val="center"/>
              <w:rPr>
                <w:szCs w:val="21"/>
              </w:rPr>
            </w:pPr>
            <w:r>
              <w:rPr>
                <w:rFonts w:hint="eastAsia"/>
                <w:szCs w:val="21"/>
              </w:rPr>
              <w:t>大气环境防护距离</w:t>
            </w:r>
          </w:p>
        </w:tc>
        <w:tc>
          <w:tcPr>
            <w:tcW w:w="654" w:type="pct"/>
            <w:tcBorders>
              <w:right w:val="single" w:color="auto" w:sz="4" w:space="0"/>
            </w:tcBorders>
            <w:vAlign w:val="center"/>
          </w:tcPr>
          <w:p w14:paraId="711BD3D8">
            <w:pPr>
              <w:snapToGrid w:val="0"/>
              <w:spacing w:before="0" w:beforeLines="0" w:line="240" w:lineRule="atLeast"/>
              <w:jc w:val="center"/>
              <w:rPr>
                <w:szCs w:val="21"/>
              </w:rPr>
            </w:pPr>
            <w:r>
              <w:rPr>
                <w:rFonts w:hint="eastAsia"/>
                <w:szCs w:val="21"/>
              </w:rPr>
              <w:t>全厂源</w:t>
            </w:r>
          </w:p>
        </w:tc>
        <w:tc>
          <w:tcPr>
            <w:tcW w:w="683" w:type="pct"/>
            <w:tcBorders>
              <w:left w:val="single" w:color="auto" w:sz="4" w:space="0"/>
            </w:tcBorders>
            <w:vAlign w:val="center"/>
          </w:tcPr>
          <w:p w14:paraId="539AFA82">
            <w:pPr>
              <w:snapToGrid w:val="0"/>
              <w:spacing w:before="0" w:beforeLines="0" w:line="240" w:lineRule="atLeast"/>
              <w:jc w:val="center"/>
              <w:rPr>
                <w:szCs w:val="21"/>
              </w:rPr>
            </w:pPr>
            <w:r>
              <w:rPr>
                <w:rFonts w:hint="eastAsia"/>
                <w:szCs w:val="21"/>
              </w:rPr>
              <w:t>正常</w:t>
            </w:r>
            <w:r>
              <w:rPr>
                <w:szCs w:val="21"/>
              </w:rPr>
              <w:t>排放</w:t>
            </w:r>
          </w:p>
        </w:tc>
        <w:tc>
          <w:tcPr>
            <w:tcW w:w="853" w:type="pct"/>
            <w:vAlign w:val="center"/>
          </w:tcPr>
          <w:p w14:paraId="7B891C93">
            <w:pPr>
              <w:snapToGrid w:val="0"/>
              <w:spacing w:before="0" w:beforeLines="0" w:line="240" w:lineRule="atLeast"/>
              <w:rPr>
                <w:szCs w:val="21"/>
              </w:rPr>
            </w:pPr>
            <w:r>
              <w:rPr>
                <w:szCs w:val="21"/>
              </w:rPr>
              <w:t>PM</w:t>
            </w:r>
            <w:r>
              <w:rPr>
                <w:szCs w:val="21"/>
                <w:vertAlign w:val="subscript"/>
              </w:rPr>
              <w:t>10</w:t>
            </w:r>
            <w:r>
              <w:rPr>
                <w:rFonts w:hint="eastAsia"/>
                <w:szCs w:val="21"/>
              </w:rPr>
              <w:t>、</w:t>
            </w:r>
            <w:r>
              <w:rPr>
                <w:szCs w:val="21"/>
              </w:rPr>
              <w:t>TSP</w:t>
            </w:r>
          </w:p>
        </w:tc>
        <w:tc>
          <w:tcPr>
            <w:tcW w:w="683" w:type="pct"/>
            <w:tcBorders>
              <w:right w:val="single" w:color="auto" w:sz="4" w:space="0"/>
            </w:tcBorders>
            <w:vAlign w:val="center"/>
          </w:tcPr>
          <w:p w14:paraId="561A1AF4">
            <w:pPr>
              <w:snapToGrid w:val="0"/>
              <w:spacing w:before="0" w:beforeLines="0" w:line="240" w:lineRule="atLeast"/>
              <w:jc w:val="center"/>
              <w:rPr>
                <w:szCs w:val="21"/>
              </w:rPr>
            </w:pPr>
            <w:r>
              <w:rPr>
                <w:rFonts w:hint="eastAsia"/>
                <w:szCs w:val="21"/>
              </w:rPr>
              <w:t>短期浓度</w:t>
            </w:r>
          </w:p>
        </w:tc>
        <w:tc>
          <w:tcPr>
            <w:tcW w:w="1586" w:type="pct"/>
            <w:tcBorders>
              <w:left w:val="single" w:color="auto" w:sz="4" w:space="0"/>
            </w:tcBorders>
            <w:vAlign w:val="center"/>
          </w:tcPr>
          <w:p w14:paraId="4288DDAE">
            <w:pPr>
              <w:snapToGrid w:val="0"/>
              <w:spacing w:before="0" w:beforeLines="0" w:line="240" w:lineRule="atLeast"/>
              <w:jc w:val="center"/>
              <w:rPr>
                <w:szCs w:val="21"/>
              </w:rPr>
            </w:pPr>
            <w:r>
              <w:rPr>
                <w:rFonts w:hint="eastAsia"/>
                <w:szCs w:val="21"/>
              </w:rPr>
              <w:t>大气环境防护距离</w:t>
            </w:r>
          </w:p>
        </w:tc>
      </w:tr>
    </w:tbl>
    <w:p w14:paraId="693C16B2">
      <w:pPr>
        <w:widowControl/>
        <w:spacing w:before="0" w:beforeLines="0" w:line="360" w:lineRule="auto"/>
        <w:ind w:firstLine="482" w:firstLineChars="200"/>
        <w:rPr>
          <w:b/>
          <w:sz w:val="24"/>
          <w:szCs w:val="20"/>
        </w:rPr>
      </w:pPr>
      <w:r>
        <w:rPr>
          <w:rFonts w:hint="eastAsia" w:ascii="宋体" w:hAnsi="宋体" w:cs="宋体"/>
          <w:b/>
          <w:sz w:val="24"/>
          <w:szCs w:val="20"/>
        </w:rPr>
        <w:t>⑵</w:t>
      </w:r>
      <w:r>
        <w:rPr>
          <w:b/>
          <w:sz w:val="24"/>
          <w:szCs w:val="20"/>
        </w:rPr>
        <w:t>污染源排放清单</w:t>
      </w:r>
    </w:p>
    <w:p w14:paraId="413FA53F">
      <w:pPr>
        <w:adjustRightInd w:val="0"/>
        <w:snapToGrid w:val="0"/>
        <w:spacing w:before="81" w:after="81" w:afterLines="25" w:line="360" w:lineRule="auto"/>
        <w:ind w:firstLine="480" w:firstLineChars="200"/>
        <w:rPr>
          <w:kern w:val="0"/>
          <w:sz w:val="24"/>
          <w:szCs w:val="30"/>
        </w:rPr>
      </w:pPr>
      <w:r>
        <w:rPr>
          <w:kern w:val="0"/>
          <w:sz w:val="24"/>
          <w:szCs w:val="30"/>
        </w:rPr>
        <w:t>根据源强分析，本项目正常工况下项目新增源排放参数见表</w:t>
      </w:r>
      <w:r>
        <w:rPr>
          <w:rFonts w:hint="eastAsia"/>
          <w:kern w:val="0"/>
          <w:sz w:val="24"/>
          <w:szCs w:val="30"/>
        </w:rPr>
        <w:t>2.4</w:t>
      </w:r>
      <w:r>
        <w:rPr>
          <w:kern w:val="0"/>
          <w:sz w:val="24"/>
          <w:szCs w:val="30"/>
        </w:rPr>
        <w:t>-1</w:t>
      </w:r>
      <w:r>
        <w:rPr>
          <w:rFonts w:hint="eastAsia"/>
          <w:kern w:val="0"/>
          <w:sz w:val="24"/>
          <w:szCs w:val="30"/>
        </w:rPr>
        <w:t>~2.4-</w:t>
      </w:r>
      <w:r>
        <w:rPr>
          <w:kern w:val="0"/>
          <w:sz w:val="24"/>
          <w:szCs w:val="30"/>
        </w:rPr>
        <w:t>2。</w:t>
      </w:r>
    </w:p>
    <w:p w14:paraId="41B34205">
      <w:pPr>
        <w:pStyle w:val="5"/>
        <w:spacing w:before="156" w:after="156"/>
        <w:rPr>
          <w:color w:val="auto"/>
        </w:rPr>
      </w:pPr>
      <w:r>
        <w:rPr>
          <w:rFonts w:hint="eastAsia"/>
          <w:color w:val="auto"/>
        </w:rPr>
        <w:t>5.2.2大气环境影响预测结果与分析</w:t>
      </w:r>
    </w:p>
    <w:p w14:paraId="6874402E">
      <w:pPr>
        <w:spacing w:before="0" w:beforeLines="0" w:line="360" w:lineRule="auto"/>
        <w:contextualSpacing/>
        <w:rPr>
          <w:b/>
          <w:bCs/>
          <w:sz w:val="24"/>
          <w:szCs w:val="20"/>
        </w:rPr>
      </w:pPr>
      <w:r>
        <w:rPr>
          <w:rFonts w:hint="eastAsia"/>
          <w:b/>
          <w:bCs/>
          <w:sz w:val="24"/>
          <w:szCs w:val="20"/>
        </w:rPr>
        <w:t>5.2.2.1正常工况预测结果与分析</w:t>
      </w:r>
    </w:p>
    <w:p w14:paraId="1F8782BB">
      <w:pPr>
        <w:spacing w:before="0" w:beforeLines="0" w:line="360" w:lineRule="auto"/>
        <w:ind w:firstLine="482" w:firstLineChars="200"/>
        <w:contextualSpacing/>
        <w:rPr>
          <w:b/>
          <w:bCs/>
          <w:sz w:val="24"/>
          <w:szCs w:val="20"/>
        </w:rPr>
      </w:pPr>
      <w:r>
        <w:rPr>
          <w:rFonts w:hint="eastAsia"/>
          <w:b/>
          <w:bCs/>
          <w:sz w:val="24"/>
          <w:szCs w:val="20"/>
        </w:rPr>
        <w:t>一、项目贡献质量浓度预测结果</w:t>
      </w:r>
    </w:p>
    <w:p w14:paraId="2CAF0744">
      <w:pPr>
        <w:tabs>
          <w:tab w:val="left" w:pos="2880"/>
        </w:tabs>
        <w:adjustRightInd w:val="0"/>
        <w:spacing w:before="0" w:beforeLines="0" w:line="360" w:lineRule="auto"/>
        <w:ind w:firstLine="480" w:firstLineChars="200"/>
        <w:rPr>
          <w:sz w:val="24"/>
          <w:szCs w:val="20"/>
        </w:rPr>
      </w:pPr>
      <w:r>
        <w:rPr>
          <w:sz w:val="24"/>
          <w:szCs w:val="20"/>
        </w:rPr>
        <w:t>根据预测结果本项目短期浓度</w:t>
      </w:r>
      <w:r>
        <w:rPr>
          <w:rFonts w:hint="eastAsia"/>
          <w:sz w:val="24"/>
          <w:szCs w:val="20"/>
        </w:rPr>
        <w:t>（1h平均和24h平均）</w:t>
      </w:r>
      <w:r>
        <w:rPr>
          <w:sz w:val="24"/>
          <w:szCs w:val="20"/>
        </w:rPr>
        <w:t>及长期浓度</w:t>
      </w:r>
      <w:r>
        <w:rPr>
          <w:rFonts w:hint="eastAsia"/>
          <w:sz w:val="24"/>
          <w:szCs w:val="20"/>
        </w:rPr>
        <w:t>（年平均）</w:t>
      </w:r>
      <w:r>
        <w:rPr>
          <w:sz w:val="24"/>
          <w:szCs w:val="20"/>
        </w:rPr>
        <w:t>预测结果见</w:t>
      </w:r>
      <w:r>
        <w:rPr>
          <w:rFonts w:hint="eastAsia"/>
          <w:sz w:val="24"/>
          <w:szCs w:val="20"/>
        </w:rPr>
        <w:t>表5.2-</w:t>
      </w:r>
      <w:r>
        <w:rPr>
          <w:sz w:val="24"/>
          <w:szCs w:val="20"/>
        </w:rPr>
        <w:t>8</w:t>
      </w:r>
      <w:r>
        <w:rPr>
          <w:rFonts w:hint="eastAsia"/>
          <w:sz w:val="24"/>
          <w:szCs w:val="20"/>
        </w:rPr>
        <w:t>~5.2-</w:t>
      </w:r>
      <w:r>
        <w:rPr>
          <w:sz w:val="24"/>
          <w:szCs w:val="20"/>
        </w:rPr>
        <w:t>9。</w:t>
      </w:r>
      <w:r>
        <w:rPr>
          <w:rFonts w:hint="eastAsia"/>
          <w:sz w:val="24"/>
          <w:szCs w:val="20"/>
        </w:rPr>
        <w:t>各污染物的短期和长期浓度贡献值分布图分别见图5.2-3</w:t>
      </w:r>
      <w:bookmarkStart w:id="222" w:name="OLE_LINK6"/>
      <w:r>
        <w:rPr>
          <w:rFonts w:hint="eastAsia"/>
          <w:sz w:val="24"/>
          <w:szCs w:val="20"/>
        </w:rPr>
        <w:t>~5.2-</w:t>
      </w:r>
      <w:bookmarkEnd w:id="222"/>
      <w:r>
        <w:rPr>
          <w:sz w:val="24"/>
          <w:szCs w:val="20"/>
        </w:rPr>
        <w:t>6</w:t>
      </w:r>
      <w:r>
        <w:rPr>
          <w:rFonts w:hint="eastAsia"/>
          <w:sz w:val="24"/>
          <w:szCs w:val="20"/>
        </w:rPr>
        <w:t>。</w:t>
      </w:r>
      <w:bookmarkStart w:id="223" w:name="_Ref533330235"/>
    </w:p>
    <w:p w14:paraId="09851C5B">
      <w:pPr>
        <w:spacing w:before="0" w:beforeLines="0" w:line="360" w:lineRule="auto"/>
        <w:ind w:firstLine="480" w:firstLineChars="200"/>
        <w:rPr>
          <w:kern w:val="0"/>
          <w:sz w:val="24"/>
        </w:rPr>
      </w:pPr>
      <w:bookmarkStart w:id="224" w:name="OLE_LINK5"/>
      <w:bookmarkStart w:id="225" w:name="OLE_LINK3"/>
      <w:r>
        <w:rPr>
          <w:kern w:val="0"/>
          <w:sz w:val="24"/>
        </w:rPr>
        <w:t>PM</w:t>
      </w:r>
      <w:r>
        <w:rPr>
          <w:kern w:val="0"/>
          <w:sz w:val="24"/>
          <w:vertAlign w:val="subscript"/>
        </w:rPr>
        <w:t>10</w:t>
      </w:r>
      <w:r>
        <w:rPr>
          <w:kern w:val="0"/>
          <w:sz w:val="24"/>
        </w:rPr>
        <w:t>：环境保护目标处日平均最大浓度贡献值（出现在胡家沟）为3.6168µg/m</w:t>
      </w:r>
      <w:r>
        <w:rPr>
          <w:kern w:val="0"/>
          <w:sz w:val="24"/>
          <w:vertAlign w:val="superscript"/>
        </w:rPr>
        <w:t>3</w:t>
      </w:r>
      <w:r>
        <w:rPr>
          <w:kern w:val="0"/>
          <w:sz w:val="24"/>
          <w:szCs w:val="22"/>
        </w:rPr>
        <w:t>，</w:t>
      </w:r>
      <w:r>
        <w:rPr>
          <w:kern w:val="0"/>
          <w:sz w:val="24"/>
        </w:rPr>
        <w:t>占标准的3.01%；区域最大落地浓度点点日平均最大浓度贡献值分别为14.3405</w:t>
      </w:r>
      <w:r>
        <w:rPr>
          <w:kern w:val="0"/>
          <w:sz w:val="24"/>
          <w:szCs w:val="22"/>
        </w:rPr>
        <w:t>μg/m</w:t>
      </w:r>
      <w:r>
        <w:rPr>
          <w:kern w:val="0"/>
          <w:sz w:val="24"/>
          <w:szCs w:val="22"/>
          <w:vertAlign w:val="superscript"/>
        </w:rPr>
        <w:t>3</w:t>
      </w:r>
      <w:r>
        <w:rPr>
          <w:kern w:val="0"/>
          <w:sz w:val="24"/>
        </w:rPr>
        <w:t>，占标准的11.95%。环境保护目标处PM</w:t>
      </w:r>
      <w:r>
        <w:rPr>
          <w:kern w:val="0"/>
          <w:sz w:val="24"/>
          <w:vertAlign w:val="subscript"/>
        </w:rPr>
        <w:t>10</w:t>
      </w:r>
      <w:r>
        <w:rPr>
          <w:kern w:val="0"/>
          <w:sz w:val="24"/>
        </w:rPr>
        <w:t>年平均最大</w:t>
      </w:r>
      <w:r>
        <w:rPr>
          <w:kern w:val="0"/>
          <w:sz w:val="24"/>
          <w:szCs w:val="22"/>
        </w:rPr>
        <w:t>贡献</w:t>
      </w:r>
      <w:r>
        <w:rPr>
          <w:kern w:val="0"/>
          <w:sz w:val="24"/>
        </w:rPr>
        <w:t>浓度为0.107</w:t>
      </w:r>
      <w:r>
        <w:rPr>
          <w:kern w:val="0"/>
          <w:sz w:val="24"/>
          <w:szCs w:val="22"/>
        </w:rPr>
        <w:t>μg/m</w:t>
      </w:r>
      <w:r>
        <w:rPr>
          <w:kern w:val="0"/>
          <w:sz w:val="24"/>
          <w:szCs w:val="22"/>
          <w:vertAlign w:val="superscript"/>
        </w:rPr>
        <w:t>3</w:t>
      </w:r>
      <w:r>
        <w:rPr>
          <w:kern w:val="0"/>
          <w:sz w:val="24"/>
        </w:rPr>
        <w:t>，</w:t>
      </w:r>
      <w:r>
        <w:rPr>
          <w:kern w:val="0"/>
          <w:sz w:val="24"/>
          <w:szCs w:val="22"/>
        </w:rPr>
        <w:t>占标接近于</w:t>
      </w:r>
      <w:r>
        <w:rPr>
          <w:kern w:val="0"/>
          <w:sz w:val="24"/>
        </w:rPr>
        <w:t>0.18%，区域最大落地浓度</w:t>
      </w:r>
      <w:r>
        <w:rPr>
          <w:rFonts w:hint="eastAsia"/>
          <w:kern w:val="0"/>
          <w:sz w:val="24"/>
          <w:lang w:eastAsia="zh-CN"/>
        </w:rPr>
        <w:t>点</w:t>
      </w:r>
      <w:r>
        <w:rPr>
          <w:kern w:val="0"/>
          <w:sz w:val="24"/>
        </w:rPr>
        <w:t>年平均最大</w:t>
      </w:r>
      <w:r>
        <w:rPr>
          <w:kern w:val="0"/>
          <w:sz w:val="24"/>
          <w:szCs w:val="22"/>
        </w:rPr>
        <w:t>贡献</w:t>
      </w:r>
      <w:r>
        <w:rPr>
          <w:kern w:val="0"/>
          <w:sz w:val="24"/>
        </w:rPr>
        <w:t>浓度为2.3692</w:t>
      </w:r>
      <w:r>
        <w:rPr>
          <w:kern w:val="0"/>
          <w:sz w:val="24"/>
          <w:szCs w:val="22"/>
        </w:rPr>
        <w:t>μg/m</w:t>
      </w:r>
      <w:r>
        <w:rPr>
          <w:kern w:val="0"/>
          <w:sz w:val="24"/>
          <w:szCs w:val="22"/>
          <w:vertAlign w:val="superscript"/>
        </w:rPr>
        <w:t>3</w:t>
      </w:r>
      <w:r>
        <w:rPr>
          <w:kern w:val="0"/>
          <w:sz w:val="24"/>
        </w:rPr>
        <w:t>，</w:t>
      </w:r>
      <w:r>
        <w:rPr>
          <w:kern w:val="0"/>
          <w:sz w:val="24"/>
          <w:szCs w:val="22"/>
        </w:rPr>
        <w:t>占标准的3.95</w:t>
      </w:r>
      <w:r>
        <w:rPr>
          <w:kern w:val="0"/>
          <w:sz w:val="24"/>
        </w:rPr>
        <w:t>%。</w:t>
      </w:r>
    </w:p>
    <w:p w14:paraId="529D7618">
      <w:pPr>
        <w:spacing w:before="0" w:beforeLines="0" w:line="360" w:lineRule="auto"/>
        <w:ind w:firstLine="420" w:firstLineChars="200"/>
        <w:rPr>
          <w:kern w:val="0"/>
          <w:sz w:val="24"/>
        </w:rPr>
      </w:pPr>
      <w:r>
        <w:rPr>
          <w:kern w:val="0"/>
          <w:szCs w:val="21"/>
        </w:rPr>
        <w:t>TSP</w:t>
      </w:r>
      <w:r>
        <w:rPr>
          <w:kern w:val="0"/>
          <w:sz w:val="24"/>
        </w:rPr>
        <w:t>：环境保护目标处日平均最大浓度贡献值（出现在胡家沟）为9.9801µg/m</w:t>
      </w:r>
      <w:r>
        <w:rPr>
          <w:kern w:val="0"/>
          <w:sz w:val="24"/>
          <w:vertAlign w:val="superscript"/>
        </w:rPr>
        <w:t>3</w:t>
      </w:r>
      <w:r>
        <w:rPr>
          <w:kern w:val="0"/>
          <w:sz w:val="24"/>
          <w:szCs w:val="22"/>
        </w:rPr>
        <w:t>，</w:t>
      </w:r>
      <w:r>
        <w:rPr>
          <w:kern w:val="0"/>
          <w:sz w:val="24"/>
        </w:rPr>
        <w:t>占标准的3.33%；区域最大落地浓度点点日平均最大浓度贡献值分别为130.9183</w:t>
      </w:r>
      <w:r>
        <w:rPr>
          <w:kern w:val="0"/>
          <w:sz w:val="24"/>
          <w:szCs w:val="22"/>
        </w:rPr>
        <w:t>μg/m</w:t>
      </w:r>
      <w:r>
        <w:rPr>
          <w:kern w:val="0"/>
          <w:sz w:val="24"/>
          <w:szCs w:val="22"/>
          <w:vertAlign w:val="superscript"/>
        </w:rPr>
        <w:t>3</w:t>
      </w:r>
      <w:r>
        <w:rPr>
          <w:kern w:val="0"/>
          <w:sz w:val="24"/>
        </w:rPr>
        <w:t>，占标准的43.64%。环境保护目标处TSP年平均最大</w:t>
      </w:r>
      <w:r>
        <w:rPr>
          <w:kern w:val="0"/>
          <w:sz w:val="24"/>
          <w:szCs w:val="22"/>
        </w:rPr>
        <w:t>贡献</w:t>
      </w:r>
      <w:r>
        <w:rPr>
          <w:kern w:val="0"/>
          <w:sz w:val="24"/>
        </w:rPr>
        <w:t>浓度为0.6609</w:t>
      </w:r>
      <w:r>
        <w:rPr>
          <w:kern w:val="0"/>
          <w:sz w:val="24"/>
          <w:szCs w:val="22"/>
        </w:rPr>
        <w:t>μg/m</w:t>
      </w:r>
      <w:r>
        <w:rPr>
          <w:kern w:val="0"/>
          <w:sz w:val="24"/>
          <w:szCs w:val="22"/>
          <w:vertAlign w:val="superscript"/>
        </w:rPr>
        <w:t>3</w:t>
      </w:r>
      <w:r>
        <w:rPr>
          <w:kern w:val="0"/>
          <w:sz w:val="24"/>
        </w:rPr>
        <w:t>，</w:t>
      </w:r>
      <w:r>
        <w:rPr>
          <w:kern w:val="0"/>
          <w:sz w:val="24"/>
          <w:szCs w:val="22"/>
        </w:rPr>
        <w:t>占标接近于</w:t>
      </w:r>
      <w:r>
        <w:rPr>
          <w:kern w:val="0"/>
          <w:sz w:val="24"/>
        </w:rPr>
        <w:t>0.33%，区域最大落地浓度点年平均最大</w:t>
      </w:r>
      <w:r>
        <w:rPr>
          <w:kern w:val="0"/>
          <w:sz w:val="24"/>
          <w:szCs w:val="22"/>
        </w:rPr>
        <w:t>贡献</w:t>
      </w:r>
      <w:r>
        <w:rPr>
          <w:kern w:val="0"/>
          <w:sz w:val="24"/>
        </w:rPr>
        <w:t>浓度为35.8941</w:t>
      </w:r>
      <w:r>
        <w:rPr>
          <w:kern w:val="0"/>
          <w:sz w:val="24"/>
          <w:szCs w:val="22"/>
        </w:rPr>
        <w:t>μg/m</w:t>
      </w:r>
      <w:r>
        <w:rPr>
          <w:kern w:val="0"/>
          <w:sz w:val="24"/>
          <w:szCs w:val="22"/>
          <w:vertAlign w:val="superscript"/>
        </w:rPr>
        <w:t>3</w:t>
      </w:r>
      <w:r>
        <w:rPr>
          <w:kern w:val="0"/>
          <w:sz w:val="24"/>
        </w:rPr>
        <w:t>，</w:t>
      </w:r>
      <w:r>
        <w:rPr>
          <w:kern w:val="0"/>
          <w:sz w:val="24"/>
          <w:szCs w:val="22"/>
        </w:rPr>
        <w:t>占标准的17.95</w:t>
      </w:r>
      <w:r>
        <w:rPr>
          <w:kern w:val="0"/>
          <w:sz w:val="24"/>
        </w:rPr>
        <w:t>%。</w:t>
      </w:r>
    </w:p>
    <w:bookmarkEnd w:id="224"/>
    <w:bookmarkEnd w:id="225"/>
    <w:p w14:paraId="7DC868E8">
      <w:pPr>
        <w:spacing w:before="0" w:beforeLines="0" w:line="360" w:lineRule="auto"/>
        <w:ind w:firstLine="720" w:firstLineChars="300"/>
        <w:contextualSpacing/>
        <w:rPr>
          <w:sz w:val="24"/>
        </w:rPr>
      </w:pPr>
      <w:r>
        <w:rPr>
          <w:sz w:val="24"/>
          <w:szCs w:val="20"/>
        </w:rPr>
        <w:t>根据计算结果，基本污染物的短期浓度贡献值的最大浓度占标均小于100%，污染物年均浓度贡献值的最大浓度占标率小于30%。</w:t>
      </w:r>
    </w:p>
    <w:p w14:paraId="4250A4C2">
      <w:pPr>
        <w:spacing w:before="0" w:beforeLines="0" w:line="360" w:lineRule="auto"/>
        <w:ind w:firstLine="480" w:firstLineChars="200"/>
        <w:rPr>
          <w:kern w:val="0"/>
          <w:sz w:val="24"/>
          <w:szCs w:val="22"/>
        </w:rPr>
        <w:sectPr>
          <w:pgSz w:w="11906" w:h="16838"/>
          <w:pgMar w:top="1440" w:right="1800" w:bottom="1440" w:left="1800" w:header="851" w:footer="992" w:gutter="0"/>
          <w:cols w:space="425" w:num="1"/>
          <w:docGrid w:type="lines" w:linePitch="326" w:charSpace="0"/>
        </w:sectPr>
      </w:pPr>
    </w:p>
    <w:p w14:paraId="180A2342">
      <w:pPr>
        <w:tabs>
          <w:tab w:val="left" w:pos="4320"/>
          <w:tab w:val="center" w:pos="7219"/>
          <w:tab w:val="left" w:pos="10893"/>
        </w:tabs>
        <w:spacing w:before="0" w:beforeLines="0" w:line="240" w:lineRule="auto"/>
        <w:ind w:firstLine="420" w:firstLineChars="200"/>
        <w:contextualSpacing/>
        <w:jc w:val="center"/>
        <w:rPr>
          <w:szCs w:val="21"/>
        </w:rPr>
      </w:pPr>
      <w:bookmarkStart w:id="226" w:name="_Hlk175482608"/>
      <w:r>
        <w:rPr>
          <w:rFonts w:hint="eastAsia"/>
          <w:szCs w:val="21"/>
        </w:rPr>
        <w:t xml:space="preserve"> </w:t>
      </w:r>
      <w:r>
        <w:rPr>
          <w:b/>
          <w:bCs/>
          <w:szCs w:val="21"/>
        </w:rPr>
        <w:t xml:space="preserve">表 </w:t>
      </w:r>
      <w:r>
        <w:rPr>
          <w:rFonts w:hint="eastAsia"/>
          <w:b/>
          <w:bCs/>
          <w:szCs w:val="21"/>
        </w:rPr>
        <w:t>5.2-8</w:t>
      </w:r>
      <w:r>
        <w:rPr>
          <w:b/>
          <w:bCs/>
          <w:szCs w:val="21"/>
        </w:rPr>
        <w:t xml:space="preserve"> </w:t>
      </w:r>
      <w:r>
        <w:rPr>
          <w:rFonts w:hint="eastAsia"/>
          <w:b/>
          <w:bCs/>
          <w:szCs w:val="21"/>
        </w:rPr>
        <w:t xml:space="preserve">      本项目</w:t>
      </w:r>
      <w:r>
        <w:rPr>
          <w:b/>
          <w:bCs/>
          <w:szCs w:val="21"/>
        </w:rPr>
        <w:t>PM</w:t>
      </w:r>
      <w:r>
        <w:rPr>
          <w:b/>
          <w:bCs/>
          <w:szCs w:val="21"/>
          <w:vertAlign w:val="subscript"/>
        </w:rPr>
        <w:t>10</w:t>
      </w:r>
      <w:r>
        <w:rPr>
          <w:rFonts w:hint="eastAsia"/>
          <w:b/>
          <w:bCs/>
          <w:szCs w:val="21"/>
        </w:rPr>
        <w:t>最大贡献浓度预测结果</w:t>
      </w:r>
    </w:p>
    <w:tbl>
      <w:tblPr>
        <w:tblStyle w:val="2196"/>
        <w:tblW w:w="5000" w:type="pct"/>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108" w:type="dxa"/>
          <w:bottom w:w="0" w:type="dxa"/>
          <w:right w:w="108" w:type="dxa"/>
        </w:tblCellMar>
      </w:tblPr>
      <w:tblGrid>
        <w:gridCol w:w="559"/>
        <w:gridCol w:w="1759"/>
        <w:gridCol w:w="1690"/>
        <w:gridCol w:w="1150"/>
        <w:gridCol w:w="902"/>
        <w:gridCol w:w="1754"/>
        <w:gridCol w:w="2065"/>
        <w:gridCol w:w="1583"/>
        <w:gridCol w:w="873"/>
        <w:gridCol w:w="903"/>
      </w:tblGrid>
      <w:tr w14:paraId="1E6B876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noWrap/>
            <w:vAlign w:val="center"/>
          </w:tcPr>
          <w:p w14:paraId="57F7690D">
            <w:pPr>
              <w:widowControl/>
              <w:adjustRightInd w:val="0"/>
              <w:snapToGrid w:val="0"/>
              <w:spacing w:before="0" w:beforeLines="0" w:line="240" w:lineRule="auto"/>
              <w:jc w:val="center"/>
              <w:rPr>
                <w:kern w:val="0"/>
                <w:szCs w:val="21"/>
              </w:rPr>
            </w:pPr>
            <w:r>
              <w:rPr>
                <w:rFonts w:hint="eastAsia"/>
                <w:kern w:val="0"/>
                <w:szCs w:val="21"/>
              </w:rPr>
              <w:t>序号</w:t>
            </w:r>
          </w:p>
        </w:tc>
        <w:tc>
          <w:tcPr>
            <w:tcW w:w="664" w:type="pct"/>
            <w:noWrap/>
            <w:vAlign w:val="center"/>
          </w:tcPr>
          <w:p w14:paraId="4985FBE7">
            <w:pPr>
              <w:widowControl/>
              <w:adjustRightInd w:val="0"/>
              <w:snapToGrid w:val="0"/>
              <w:spacing w:before="0" w:beforeLines="0" w:line="240" w:lineRule="auto"/>
              <w:jc w:val="center"/>
              <w:rPr>
                <w:kern w:val="0"/>
                <w:szCs w:val="21"/>
              </w:rPr>
            </w:pPr>
            <w:r>
              <w:rPr>
                <w:rFonts w:hint="eastAsia"/>
                <w:kern w:val="0"/>
                <w:szCs w:val="21"/>
              </w:rPr>
              <w:t>点名称</w:t>
            </w:r>
          </w:p>
        </w:tc>
        <w:tc>
          <w:tcPr>
            <w:tcW w:w="638" w:type="pct"/>
            <w:noWrap/>
            <w:vAlign w:val="center"/>
          </w:tcPr>
          <w:p w14:paraId="341DA123">
            <w:pPr>
              <w:widowControl/>
              <w:adjustRightInd w:val="0"/>
              <w:snapToGrid w:val="0"/>
              <w:spacing w:before="0" w:beforeLines="0" w:line="240" w:lineRule="auto"/>
              <w:jc w:val="center"/>
              <w:rPr>
                <w:kern w:val="0"/>
                <w:szCs w:val="21"/>
              </w:rPr>
            </w:pPr>
            <w:r>
              <w:rPr>
                <w:rFonts w:hint="eastAsia"/>
                <w:kern w:val="0"/>
                <w:szCs w:val="21"/>
              </w:rPr>
              <w:t>点坐标(x或r,y或a)</w:t>
            </w:r>
          </w:p>
        </w:tc>
        <w:tc>
          <w:tcPr>
            <w:tcW w:w="434" w:type="pct"/>
            <w:noWrap/>
            <w:vAlign w:val="center"/>
          </w:tcPr>
          <w:p w14:paraId="6FBB9BD8">
            <w:pPr>
              <w:widowControl/>
              <w:adjustRightInd w:val="0"/>
              <w:snapToGrid w:val="0"/>
              <w:spacing w:before="0" w:beforeLines="0" w:line="240" w:lineRule="auto"/>
              <w:jc w:val="center"/>
              <w:rPr>
                <w:kern w:val="0"/>
                <w:szCs w:val="21"/>
              </w:rPr>
            </w:pPr>
            <w:r>
              <w:rPr>
                <w:rFonts w:hint="eastAsia"/>
                <w:kern w:val="0"/>
                <w:szCs w:val="21"/>
              </w:rPr>
              <w:t>地面高程(m)</w:t>
            </w:r>
          </w:p>
        </w:tc>
        <w:tc>
          <w:tcPr>
            <w:tcW w:w="341" w:type="pct"/>
            <w:noWrap/>
            <w:vAlign w:val="center"/>
          </w:tcPr>
          <w:p w14:paraId="0B56AF66">
            <w:pPr>
              <w:widowControl/>
              <w:adjustRightInd w:val="0"/>
              <w:snapToGrid w:val="0"/>
              <w:spacing w:before="0" w:beforeLines="0" w:line="240" w:lineRule="auto"/>
              <w:jc w:val="center"/>
              <w:rPr>
                <w:kern w:val="0"/>
                <w:szCs w:val="21"/>
              </w:rPr>
            </w:pPr>
            <w:r>
              <w:rPr>
                <w:rFonts w:hint="eastAsia"/>
                <w:kern w:val="0"/>
                <w:szCs w:val="21"/>
              </w:rPr>
              <w:t>平均时段</w:t>
            </w:r>
          </w:p>
        </w:tc>
        <w:tc>
          <w:tcPr>
            <w:tcW w:w="662" w:type="pct"/>
            <w:noWrap/>
            <w:vAlign w:val="center"/>
          </w:tcPr>
          <w:p w14:paraId="17938E56">
            <w:pPr>
              <w:widowControl/>
              <w:adjustRightInd w:val="0"/>
              <w:snapToGrid w:val="0"/>
              <w:spacing w:before="0" w:beforeLines="0" w:line="240" w:lineRule="auto"/>
              <w:jc w:val="center"/>
              <w:rPr>
                <w:kern w:val="0"/>
                <w:szCs w:val="21"/>
              </w:rPr>
            </w:pPr>
            <w:r>
              <w:rPr>
                <w:rFonts w:hint="eastAsia"/>
                <w:kern w:val="0"/>
                <w:szCs w:val="21"/>
              </w:rPr>
              <w:t>最大贡献值(mg/m^3)</w:t>
            </w:r>
          </w:p>
        </w:tc>
        <w:tc>
          <w:tcPr>
            <w:tcW w:w="780" w:type="pct"/>
            <w:noWrap/>
            <w:vAlign w:val="center"/>
          </w:tcPr>
          <w:p w14:paraId="12C82826">
            <w:pPr>
              <w:widowControl/>
              <w:adjustRightInd w:val="0"/>
              <w:snapToGrid w:val="0"/>
              <w:spacing w:before="0" w:beforeLines="0" w:line="240" w:lineRule="auto"/>
              <w:jc w:val="center"/>
              <w:rPr>
                <w:kern w:val="0"/>
                <w:szCs w:val="21"/>
              </w:rPr>
            </w:pPr>
            <w:r>
              <w:rPr>
                <w:rFonts w:hint="eastAsia"/>
                <w:kern w:val="0"/>
                <w:szCs w:val="21"/>
              </w:rPr>
              <w:t>出现时间(YYMMDDHH)</w:t>
            </w:r>
          </w:p>
        </w:tc>
        <w:tc>
          <w:tcPr>
            <w:tcW w:w="598" w:type="pct"/>
            <w:noWrap/>
            <w:vAlign w:val="center"/>
          </w:tcPr>
          <w:p w14:paraId="23B90868">
            <w:pPr>
              <w:widowControl/>
              <w:adjustRightInd w:val="0"/>
              <w:snapToGrid w:val="0"/>
              <w:spacing w:before="0" w:beforeLines="0" w:line="240" w:lineRule="auto"/>
              <w:jc w:val="center"/>
              <w:rPr>
                <w:kern w:val="0"/>
                <w:szCs w:val="21"/>
              </w:rPr>
            </w:pPr>
            <w:r>
              <w:rPr>
                <w:rFonts w:hint="eastAsia"/>
                <w:kern w:val="0"/>
                <w:szCs w:val="21"/>
              </w:rPr>
              <w:t>评价标准(mg/m^3)</w:t>
            </w:r>
          </w:p>
        </w:tc>
        <w:tc>
          <w:tcPr>
            <w:tcW w:w="330" w:type="pct"/>
            <w:noWrap/>
            <w:vAlign w:val="center"/>
          </w:tcPr>
          <w:p w14:paraId="0C844604">
            <w:pPr>
              <w:widowControl/>
              <w:adjustRightInd w:val="0"/>
              <w:snapToGrid w:val="0"/>
              <w:spacing w:before="0" w:beforeLines="0" w:line="240" w:lineRule="auto"/>
              <w:jc w:val="center"/>
              <w:rPr>
                <w:kern w:val="0"/>
                <w:szCs w:val="21"/>
              </w:rPr>
            </w:pPr>
            <w:r>
              <w:rPr>
                <w:rFonts w:hint="eastAsia"/>
                <w:kern w:val="0"/>
                <w:szCs w:val="21"/>
              </w:rPr>
              <w:t>占标率%</w:t>
            </w:r>
          </w:p>
        </w:tc>
        <w:tc>
          <w:tcPr>
            <w:tcW w:w="341" w:type="pct"/>
            <w:noWrap/>
            <w:vAlign w:val="center"/>
          </w:tcPr>
          <w:p w14:paraId="497EBED3">
            <w:pPr>
              <w:widowControl/>
              <w:adjustRightInd w:val="0"/>
              <w:snapToGrid w:val="0"/>
              <w:spacing w:before="0" w:beforeLines="0" w:line="240" w:lineRule="auto"/>
              <w:jc w:val="center"/>
              <w:rPr>
                <w:kern w:val="0"/>
                <w:szCs w:val="21"/>
              </w:rPr>
            </w:pPr>
            <w:r>
              <w:rPr>
                <w:rFonts w:hint="eastAsia"/>
                <w:kern w:val="0"/>
                <w:szCs w:val="21"/>
              </w:rPr>
              <w:t>达标情况</w:t>
            </w:r>
          </w:p>
        </w:tc>
      </w:tr>
      <w:tr w14:paraId="7A1A2250">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14:paraId="1E368A0F">
            <w:pPr>
              <w:widowControl/>
              <w:adjustRightInd w:val="0"/>
              <w:snapToGrid w:val="0"/>
              <w:spacing w:before="0" w:beforeLines="0" w:line="240" w:lineRule="auto"/>
              <w:jc w:val="center"/>
              <w:rPr>
                <w:kern w:val="0"/>
                <w:szCs w:val="21"/>
              </w:rPr>
            </w:pPr>
            <w:bookmarkStart w:id="227" w:name="_Hlk194215938"/>
            <w:r>
              <w:rPr>
                <w:rFonts w:hint="eastAsia"/>
                <w:kern w:val="0"/>
                <w:szCs w:val="21"/>
              </w:rPr>
              <w:t>1</w:t>
            </w:r>
          </w:p>
        </w:tc>
        <w:tc>
          <w:tcPr>
            <w:tcW w:w="664" w:type="pct"/>
            <w:vMerge w:val="restart"/>
            <w:noWrap/>
            <w:vAlign w:val="center"/>
          </w:tcPr>
          <w:p w14:paraId="2D5B1CCB">
            <w:pPr>
              <w:widowControl/>
              <w:adjustRightInd w:val="0"/>
              <w:snapToGrid w:val="0"/>
              <w:spacing w:before="0" w:beforeLines="0" w:line="240" w:lineRule="auto"/>
              <w:jc w:val="center"/>
              <w:rPr>
                <w:kern w:val="0"/>
                <w:szCs w:val="21"/>
              </w:rPr>
            </w:pPr>
            <w:r>
              <w:rPr>
                <w:rFonts w:hint="eastAsia"/>
                <w:kern w:val="0"/>
                <w:szCs w:val="21"/>
              </w:rPr>
              <w:t>孟家窝堡</w:t>
            </w:r>
          </w:p>
        </w:tc>
        <w:tc>
          <w:tcPr>
            <w:tcW w:w="638" w:type="pct"/>
            <w:vMerge w:val="restart"/>
            <w:noWrap/>
            <w:vAlign w:val="center"/>
          </w:tcPr>
          <w:p w14:paraId="1B6C6C31">
            <w:pPr>
              <w:widowControl/>
              <w:adjustRightInd w:val="0"/>
              <w:snapToGrid w:val="0"/>
              <w:spacing w:before="0" w:beforeLines="0" w:line="240" w:lineRule="auto"/>
              <w:jc w:val="center"/>
              <w:rPr>
                <w:kern w:val="0"/>
                <w:szCs w:val="21"/>
              </w:rPr>
            </w:pPr>
            <w:r>
              <w:rPr>
                <w:rFonts w:hint="eastAsia"/>
                <w:kern w:val="0"/>
                <w:szCs w:val="21"/>
              </w:rPr>
              <w:t>-1345,-349</w:t>
            </w:r>
          </w:p>
        </w:tc>
        <w:tc>
          <w:tcPr>
            <w:tcW w:w="434" w:type="pct"/>
            <w:vMerge w:val="restart"/>
            <w:noWrap/>
            <w:vAlign w:val="center"/>
          </w:tcPr>
          <w:p w14:paraId="297F627A">
            <w:pPr>
              <w:widowControl/>
              <w:adjustRightInd w:val="0"/>
              <w:snapToGrid w:val="0"/>
              <w:spacing w:before="0" w:beforeLines="0" w:line="240" w:lineRule="auto"/>
              <w:jc w:val="center"/>
              <w:rPr>
                <w:kern w:val="0"/>
                <w:szCs w:val="21"/>
              </w:rPr>
            </w:pPr>
            <w:r>
              <w:rPr>
                <w:rFonts w:hint="eastAsia"/>
                <w:kern w:val="0"/>
                <w:szCs w:val="21"/>
              </w:rPr>
              <w:t>272.58</w:t>
            </w:r>
          </w:p>
        </w:tc>
        <w:tc>
          <w:tcPr>
            <w:tcW w:w="341" w:type="pct"/>
            <w:noWrap/>
            <w:vAlign w:val="center"/>
          </w:tcPr>
          <w:p w14:paraId="16F1B186">
            <w:pPr>
              <w:widowControl/>
              <w:adjustRightInd w:val="0"/>
              <w:snapToGrid w:val="0"/>
              <w:spacing w:before="0" w:beforeLines="0" w:line="240" w:lineRule="auto"/>
              <w:jc w:val="center"/>
              <w:rPr>
                <w:kern w:val="0"/>
                <w:szCs w:val="21"/>
              </w:rPr>
            </w:pPr>
            <w:r>
              <w:rPr>
                <w:color w:val="000000"/>
                <w:kern w:val="0"/>
                <w:szCs w:val="21"/>
              </w:rPr>
              <w:t>日平均</w:t>
            </w:r>
          </w:p>
        </w:tc>
        <w:tc>
          <w:tcPr>
            <w:tcW w:w="662" w:type="pct"/>
            <w:noWrap/>
            <w:vAlign w:val="center"/>
          </w:tcPr>
          <w:p w14:paraId="513414EE">
            <w:pPr>
              <w:widowControl/>
              <w:adjustRightInd w:val="0"/>
              <w:snapToGrid w:val="0"/>
              <w:spacing w:before="0" w:beforeLines="0" w:line="240" w:lineRule="auto"/>
              <w:jc w:val="center"/>
              <w:rPr>
                <w:kern w:val="0"/>
                <w:szCs w:val="21"/>
              </w:rPr>
            </w:pPr>
            <w:r>
              <w:rPr>
                <w:color w:val="000000"/>
                <w:kern w:val="0"/>
                <w:szCs w:val="21"/>
              </w:rPr>
              <w:t>0.9950</w:t>
            </w:r>
          </w:p>
        </w:tc>
        <w:tc>
          <w:tcPr>
            <w:tcW w:w="780" w:type="pct"/>
            <w:noWrap/>
            <w:vAlign w:val="center"/>
          </w:tcPr>
          <w:p w14:paraId="5613D197">
            <w:pPr>
              <w:widowControl/>
              <w:adjustRightInd w:val="0"/>
              <w:snapToGrid w:val="0"/>
              <w:spacing w:before="0" w:beforeLines="0" w:line="240" w:lineRule="auto"/>
              <w:jc w:val="center"/>
              <w:rPr>
                <w:kern w:val="0"/>
                <w:szCs w:val="21"/>
              </w:rPr>
            </w:pPr>
            <w:r>
              <w:rPr>
                <w:color w:val="000000"/>
                <w:kern w:val="0"/>
                <w:szCs w:val="21"/>
              </w:rPr>
              <w:t>250817</w:t>
            </w:r>
          </w:p>
        </w:tc>
        <w:tc>
          <w:tcPr>
            <w:tcW w:w="598" w:type="pct"/>
            <w:noWrap/>
            <w:vAlign w:val="center"/>
          </w:tcPr>
          <w:p w14:paraId="515C739B">
            <w:pPr>
              <w:widowControl/>
              <w:adjustRightInd w:val="0"/>
              <w:snapToGrid w:val="0"/>
              <w:spacing w:before="0" w:beforeLines="0" w:line="240" w:lineRule="auto"/>
              <w:jc w:val="center"/>
              <w:rPr>
                <w:kern w:val="0"/>
                <w:szCs w:val="21"/>
              </w:rPr>
            </w:pPr>
            <w:r>
              <w:rPr>
                <w:color w:val="000000"/>
                <w:kern w:val="0"/>
                <w:szCs w:val="21"/>
              </w:rPr>
              <w:t>120.0000</w:t>
            </w:r>
          </w:p>
        </w:tc>
        <w:tc>
          <w:tcPr>
            <w:tcW w:w="330" w:type="pct"/>
            <w:noWrap/>
            <w:vAlign w:val="center"/>
          </w:tcPr>
          <w:p w14:paraId="62CBF4C5">
            <w:pPr>
              <w:widowControl/>
              <w:adjustRightInd w:val="0"/>
              <w:snapToGrid w:val="0"/>
              <w:spacing w:before="0" w:beforeLines="0" w:line="240" w:lineRule="auto"/>
              <w:jc w:val="center"/>
              <w:rPr>
                <w:kern w:val="0"/>
                <w:szCs w:val="21"/>
              </w:rPr>
            </w:pPr>
            <w:r>
              <w:rPr>
                <w:color w:val="000000"/>
                <w:kern w:val="0"/>
                <w:szCs w:val="21"/>
              </w:rPr>
              <w:t>0.83</w:t>
            </w:r>
          </w:p>
        </w:tc>
        <w:tc>
          <w:tcPr>
            <w:tcW w:w="341" w:type="pct"/>
            <w:noWrap/>
            <w:vAlign w:val="center"/>
          </w:tcPr>
          <w:p w14:paraId="457A263F">
            <w:pPr>
              <w:widowControl/>
              <w:adjustRightInd w:val="0"/>
              <w:snapToGrid w:val="0"/>
              <w:spacing w:before="0" w:beforeLines="0" w:line="240" w:lineRule="auto"/>
              <w:jc w:val="center"/>
              <w:rPr>
                <w:kern w:val="0"/>
                <w:szCs w:val="21"/>
              </w:rPr>
            </w:pPr>
            <w:r>
              <w:rPr>
                <w:color w:val="000000"/>
                <w:kern w:val="0"/>
                <w:szCs w:val="21"/>
              </w:rPr>
              <w:t>达标</w:t>
            </w:r>
          </w:p>
        </w:tc>
      </w:tr>
      <w:tr w14:paraId="7DF781A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14:paraId="57A358B0">
            <w:pPr>
              <w:widowControl/>
              <w:adjustRightInd w:val="0"/>
              <w:snapToGrid w:val="0"/>
              <w:spacing w:before="0" w:beforeLines="0" w:line="240" w:lineRule="auto"/>
              <w:jc w:val="center"/>
              <w:rPr>
                <w:kern w:val="0"/>
                <w:szCs w:val="21"/>
              </w:rPr>
            </w:pPr>
          </w:p>
        </w:tc>
        <w:tc>
          <w:tcPr>
            <w:tcW w:w="664" w:type="pct"/>
            <w:vMerge w:val="continue"/>
            <w:vAlign w:val="center"/>
          </w:tcPr>
          <w:p w14:paraId="308E3B12">
            <w:pPr>
              <w:widowControl/>
              <w:adjustRightInd w:val="0"/>
              <w:snapToGrid w:val="0"/>
              <w:spacing w:before="0" w:beforeLines="0" w:line="240" w:lineRule="auto"/>
              <w:jc w:val="center"/>
              <w:rPr>
                <w:kern w:val="0"/>
                <w:szCs w:val="21"/>
              </w:rPr>
            </w:pPr>
          </w:p>
        </w:tc>
        <w:tc>
          <w:tcPr>
            <w:tcW w:w="638" w:type="pct"/>
            <w:vMerge w:val="continue"/>
            <w:vAlign w:val="center"/>
          </w:tcPr>
          <w:p w14:paraId="5B7CE0ED">
            <w:pPr>
              <w:widowControl/>
              <w:adjustRightInd w:val="0"/>
              <w:snapToGrid w:val="0"/>
              <w:spacing w:before="0" w:beforeLines="0" w:line="240" w:lineRule="auto"/>
              <w:jc w:val="center"/>
              <w:rPr>
                <w:kern w:val="0"/>
                <w:szCs w:val="21"/>
              </w:rPr>
            </w:pPr>
          </w:p>
        </w:tc>
        <w:tc>
          <w:tcPr>
            <w:tcW w:w="434" w:type="pct"/>
            <w:vMerge w:val="continue"/>
            <w:vAlign w:val="center"/>
          </w:tcPr>
          <w:p w14:paraId="60CDD78F">
            <w:pPr>
              <w:widowControl/>
              <w:adjustRightInd w:val="0"/>
              <w:snapToGrid w:val="0"/>
              <w:spacing w:before="0" w:beforeLines="0" w:line="240" w:lineRule="auto"/>
              <w:jc w:val="center"/>
              <w:rPr>
                <w:kern w:val="0"/>
                <w:szCs w:val="21"/>
              </w:rPr>
            </w:pPr>
          </w:p>
        </w:tc>
        <w:tc>
          <w:tcPr>
            <w:tcW w:w="341" w:type="pct"/>
            <w:noWrap/>
            <w:vAlign w:val="center"/>
          </w:tcPr>
          <w:p w14:paraId="53D385A1">
            <w:pPr>
              <w:widowControl/>
              <w:adjustRightInd w:val="0"/>
              <w:snapToGrid w:val="0"/>
              <w:spacing w:before="0" w:beforeLines="0" w:line="240" w:lineRule="auto"/>
              <w:jc w:val="center"/>
              <w:rPr>
                <w:kern w:val="0"/>
                <w:szCs w:val="21"/>
              </w:rPr>
            </w:pPr>
            <w:r>
              <w:rPr>
                <w:color w:val="000000"/>
                <w:kern w:val="0"/>
                <w:szCs w:val="21"/>
              </w:rPr>
              <w:t>全时段</w:t>
            </w:r>
          </w:p>
        </w:tc>
        <w:tc>
          <w:tcPr>
            <w:tcW w:w="662" w:type="pct"/>
            <w:noWrap/>
            <w:vAlign w:val="center"/>
          </w:tcPr>
          <w:p w14:paraId="74BA54EA">
            <w:pPr>
              <w:widowControl/>
              <w:adjustRightInd w:val="0"/>
              <w:snapToGrid w:val="0"/>
              <w:spacing w:before="0" w:beforeLines="0" w:line="240" w:lineRule="auto"/>
              <w:jc w:val="center"/>
              <w:rPr>
                <w:kern w:val="0"/>
                <w:szCs w:val="21"/>
              </w:rPr>
            </w:pPr>
            <w:r>
              <w:rPr>
                <w:color w:val="000000"/>
                <w:kern w:val="0"/>
                <w:szCs w:val="21"/>
              </w:rPr>
              <w:t>0.0508</w:t>
            </w:r>
          </w:p>
        </w:tc>
        <w:tc>
          <w:tcPr>
            <w:tcW w:w="780" w:type="pct"/>
            <w:noWrap/>
            <w:vAlign w:val="center"/>
          </w:tcPr>
          <w:p w14:paraId="2B5896A3">
            <w:pPr>
              <w:widowControl/>
              <w:adjustRightInd w:val="0"/>
              <w:snapToGrid w:val="0"/>
              <w:spacing w:before="0" w:beforeLines="0" w:line="240" w:lineRule="auto"/>
              <w:jc w:val="center"/>
              <w:rPr>
                <w:kern w:val="0"/>
                <w:szCs w:val="21"/>
              </w:rPr>
            </w:pPr>
            <w:r>
              <w:rPr>
                <w:color w:val="000000"/>
                <w:kern w:val="0"/>
                <w:szCs w:val="21"/>
              </w:rPr>
              <w:t>平均值</w:t>
            </w:r>
          </w:p>
        </w:tc>
        <w:tc>
          <w:tcPr>
            <w:tcW w:w="598" w:type="pct"/>
            <w:noWrap/>
            <w:vAlign w:val="center"/>
          </w:tcPr>
          <w:p w14:paraId="0097A7FC">
            <w:pPr>
              <w:widowControl/>
              <w:adjustRightInd w:val="0"/>
              <w:snapToGrid w:val="0"/>
              <w:spacing w:before="0" w:beforeLines="0" w:line="240" w:lineRule="auto"/>
              <w:jc w:val="center"/>
              <w:rPr>
                <w:kern w:val="0"/>
                <w:szCs w:val="21"/>
              </w:rPr>
            </w:pPr>
            <w:r>
              <w:rPr>
                <w:color w:val="000000"/>
                <w:kern w:val="0"/>
                <w:szCs w:val="21"/>
              </w:rPr>
              <w:t>60.0000</w:t>
            </w:r>
          </w:p>
        </w:tc>
        <w:tc>
          <w:tcPr>
            <w:tcW w:w="330" w:type="pct"/>
            <w:noWrap/>
            <w:vAlign w:val="center"/>
          </w:tcPr>
          <w:p w14:paraId="55142DEF">
            <w:pPr>
              <w:widowControl/>
              <w:adjustRightInd w:val="0"/>
              <w:snapToGrid w:val="0"/>
              <w:spacing w:before="0" w:beforeLines="0" w:line="240" w:lineRule="auto"/>
              <w:jc w:val="center"/>
              <w:rPr>
                <w:kern w:val="0"/>
                <w:szCs w:val="21"/>
              </w:rPr>
            </w:pPr>
            <w:r>
              <w:rPr>
                <w:color w:val="000000"/>
                <w:kern w:val="0"/>
                <w:szCs w:val="21"/>
              </w:rPr>
              <w:t>0.08</w:t>
            </w:r>
          </w:p>
        </w:tc>
        <w:tc>
          <w:tcPr>
            <w:tcW w:w="341" w:type="pct"/>
            <w:noWrap/>
            <w:vAlign w:val="center"/>
          </w:tcPr>
          <w:p w14:paraId="02331D4B">
            <w:pPr>
              <w:widowControl/>
              <w:adjustRightInd w:val="0"/>
              <w:snapToGrid w:val="0"/>
              <w:spacing w:before="0" w:beforeLines="0" w:line="240" w:lineRule="auto"/>
              <w:jc w:val="center"/>
              <w:rPr>
                <w:kern w:val="0"/>
                <w:szCs w:val="21"/>
              </w:rPr>
            </w:pPr>
            <w:r>
              <w:rPr>
                <w:color w:val="000000"/>
                <w:kern w:val="0"/>
                <w:szCs w:val="21"/>
              </w:rPr>
              <w:t>达标</w:t>
            </w:r>
          </w:p>
        </w:tc>
      </w:tr>
      <w:tr w14:paraId="0B7EC43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14:paraId="1B36322D">
            <w:pPr>
              <w:widowControl/>
              <w:adjustRightInd w:val="0"/>
              <w:snapToGrid w:val="0"/>
              <w:spacing w:before="0" w:beforeLines="0" w:line="240" w:lineRule="auto"/>
              <w:jc w:val="center"/>
              <w:rPr>
                <w:kern w:val="0"/>
                <w:szCs w:val="21"/>
              </w:rPr>
            </w:pPr>
            <w:r>
              <w:rPr>
                <w:rFonts w:hint="eastAsia"/>
                <w:kern w:val="0"/>
                <w:szCs w:val="21"/>
              </w:rPr>
              <w:t>2</w:t>
            </w:r>
          </w:p>
        </w:tc>
        <w:tc>
          <w:tcPr>
            <w:tcW w:w="664" w:type="pct"/>
            <w:vMerge w:val="restart"/>
            <w:noWrap/>
            <w:vAlign w:val="center"/>
          </w:tcPr>
          <w:p w14:paraId="092FA39F">
            <w:pPr>
              <w:widowControl/>
              <w:adjustRightInd w:val="0"/>
              <w:snapToGrid w:val="0"/>
              <w:spacing w:before="0" w:beforeLines="0" w:line="240" w:lineRule="auto"/>
              <w:jc w:val="center"/>
              <w:rPr>
                <w:kern w:val="0"/>
                <w:szCs w:val="21"/>
              </w:rPr>
            </w:pPr>
            <w:r>
              <w:rPr>
                <w:rFonts w:hint="eastAsia"/>
                <w:kern w:val="0"/>
                <w:szCs w:val="21"/>
              </w:rPr>
              <w:t>阿哈来村</w:t>
            </w:r>
          </w:p>
        </w:tc>
        <w:tc>
          <w:tcPr>
            <w:tcW w:w="638" w:type="pct"/>
            <w:vMerge w:val="restart"/>
            <w:noWrap/>
            <w:vAlign w:val="center"/>
          </w:tcPr>
          <w:p w14:paraId="03A4B1E1">
            <w:pPr>
              <w:widowControl/>
              <w:adjustRightInd w:val="0"/>
              <w:snapToGrid w:val="0"/>
              <w:spacing w:before="0" w:beforeLines="0" w:line="240" w:lineRule="auto"/>
              <w:jc w:val="center"/>
              <w:rPr>
                <w:kern w:val="0"/>
                <w:szCs w:val="21"/>
              </w:rPr>
            </w:pPr>
            <w:r>
              <w:rPr>
                <w:rFonts w:hint="eastAsia"/>
                <w:kern w:val="0"/>
                <w:szCs w:val="21"/>
              </w:rPr>
              <w:t>-2099，589</w:t>
            </w:r>
          </w:p>
        </w:tc>
        <w:tc>
          <w:tcPr>
            <w:tcW w:w="434" w:type="pct"/>
            <w:vMerge w:val="restart"/>
            <w:noWrap/>
            <w:vAlign w:val="center"/>
          </w:tcPr>
          <w:p w14:paraId="6048B12B">
            <w:pPr>
              <w:widowControl/>
              <w:adjustRightInd w:val="0"/>
              <w:snapToGrid w:val="0"/>
              <w:spacing w:before="0" w:beforeLines="0" w:line="240" w:lineRule="auto"/>
              <w:jc w:val="center"/>
              <w:rPr>
                <w:kern w:val="0"/>
                <w:szCs w:val="21"/>
              </w:rPr>
            </w:pPr>
            <w:r>
              <w:rPr>
                <w:rFonts w:hint="eastAsia"/>
                <w:kern w:val="0"/>
                <w:szCs w:val="21"/>
              </w:rPr>
              <w:t>266.66</w:t>
            </w:r>
          </w:p>
        </w:tc>
        <w:tc>
          <w:tcPr>
            <w:tcW w:w="341" w:type="pct"/>
            <w:noWrap/>
            <w:vAlign w:val="center"/>
          </w:tcPr>
          <w:p w14:paraId="5FC1B3CF">
            <w:pPr>
              <w:widowControl/>
              <w:adjustRightInd w:val="0"/>
              <w:snapToGrid w:val="0"/>
              <w:spacing w:before="0" w:beforeLines="0" w:line="240" w:lineRule="auto"/>
              <w:jc w:val="center"/>
              <w:rPr>
                <w:kern w:val="0"/>
                <w:szCs w:val="21"/>
              </w:rPr>
            </w:pPr>
            <w:r>
              <w:rPr>
                <w:color w:val="000000"/>
                <w:kern w:val="0"/>
                <w:szCs w:val="21"/>
              </w:rPr>
              <w:t>日平均</w:t>
            </w:r>
          </w:p>
        </w:tc>
        <w:tc>
          <w:tcPr>
            <w:tcW w:w="662" w:type="pct"/>
            <w:noWrap/>
            <w:vAlign w:val="center"/>
          </w:tcPr>
          <w:p w14:paraId="251BE956">
            <w:pPr>
              <w:widowControl/>
              <w:adjustRightInd w:val="0"/>
              <w:snapToGrid w:val="0"/>
              <w:spacing w:before="0" w:beforeLines="0" w:line="240" w:lineRule="auto"/>
              <w:jc w:val="center"/>
              <w:rPr>
                <w:kern w:val="0"/>
                <w:szCs w:val="21"/>
              </w:rPr>
            </w:pPr>
            <w:r>
              <w:rPr>
                <w:color w:val="000000"/>
                <w:kern w:val="0"/>
                <w:szCs w:val="21"/>
              </w:rPr>
              <w:t>1.1900</w:t>
            </w:r>
          </w:p>
        </w:tc>
        <w:tc>
          <w:tcPr>
            <w:tcW w:w="780" w:type="pct"/>
            <w:noWrap/>
            <w:vAlign w:val="center"/>
          </w:tcPr>
          <w:p w14:paraId="3AD3599D">
            <w:pPr>
              <w:widowControl/>
              <w:adjustRightInd w:val="0"/>
              <w:snapToGrid w:val="0"/>
              <w:spacing w:before="0" w:beforeLines="0" w:line="240" w:lineRule="auto"/>
              <w:jc w:val="center"/>
              <w:rPr>
                <w:kern w:val="0"/>
                <w:szCs w:val="21"/>
              </w:rPr>
            </w:pPr>
            <w:r>
              <w:rPr>
                <w:color w:val="000000"/>
                <w:kern w:val="0"/>
                <w:szCs w:val="21"/>
              </w:rPr>
              <w:t>250921</w:t>
            </w:r>
          </w:p>
        </w:tc>
        <w:tc>
          <w:tcPr>
            <w:tcW w:w="598" w:type="pct"/>
            <w:noWrap/>
            <w:vAlign w:val="center"/>
          </w:tcPr>
          <w:p w14:paraId="5921BFEA">
            <w:pPr>
              <w:widowControl/>
              <w:adjustRightInd w:val="0"/>
              <w:snapToGrid w:val="0"/>
              <w:spacing w:before="0" w:beforeLines="0" w:line="240" w:lineRule="auto"/>
              <w:jc w:val="center"/>
              <w:rPr>
                <w:kern w:val="0"/>
                <w:szCs w:val="21"/>
              </w:rPr>
            </w:pPr>
            <w:r>
              <w:rPr>
                <w:color w:val="000000"/>
                <w:kern w:val="0"/>
                <w:szCs w:val="21"/>
              </w:rPr>
              <w:t>120.0000</w:t>
            </w:r>
          </w:p>
        </w:tc>
        <w:tc>
          <w:tcPr>
            <w:tcW w:w="330" w:type="pct"/>
            <w:noWrap/>
            <w:vAlign w:val="center"/>
          </w:tcPr>
          <w:p w14:paraId="7ECC52B7">
            <w:pPr>
              <w:widowControl/>
              <w:adjustRightInd w:val="0"/>
              <w:snapToGrid w:val="0"/>
              <w:spacing w:before="0" w:beforeLines="0" w:line="240" w:lineRule="auto"/>
              <w:jc w:val="center"/>
              <w:rPr>
                <w:kern w:val="0"/>
                <w:szCs w:val="21"/>
              </w:rPr>
            </w:pPr>
            <w:r>
              <w:rPr>
                <w:color w:val="000000"/>
                <w:kern w:val="0"/>
                <w:szCs w:val="21"/>
              </w:rPr>
              <w:t>0.99</w:t>
            </w:r>
          </w:p>
        </w:tc>
        <w:tc>
          <w:tcPr>
            <w:tcW w:w="341" w:type="pct"/>
            <w:noWrap/>
            <w:vAlign w:val="center"/>
          </w:tcPr>
          <w:p w14:paraId="7F8E2718">
            <w:pPr>
              <w:widowControl/>
              <w:adjustRightInd w:val="0"/>
              <w:snapToGrid w:val="0"/>
              <w:spacing w:before="0" w:beforeLines="0" w:line="240" w:lineRule="auto"/>
              <w:jc w:val="center"/>
              <w:rPr>
                <w:kern w:val="0"/>
                <w:szCs w:val="21"/>
              </w:rPr>
            </w:pPr>
            <w:r>
              <w:rPr>
                <w:color w:val="000000"/>
                <w:kern w:val="0"/>
                <w:szCs w:val="21"/>
              </w:rPr>
              <w:t>达标</w:t>
            </w:r>
          </w:p>
        </w:tc>
      </w:tr>
      <w:tr w14:paraId="4CEA4AA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14:paraId="193A85F7">
            <w:pPr>
              <w:widowControl/>
              <w:adjustRightInd w:val="0"/>
              <w:snapToGrid w:val="0"/>
              <w:spacing w:before="0" w:beforeLines="0" w:line="240" w:lineRule="auto"/>
              <w:jc w:val="center"/>
              <w:rPr>
                <w:kern w:val="0"/>
                <w:szCs w:val="21"/>
              </w:rPr>
            </w:pPr>
          </w:p>
        </w:tc>
        <w:tc>
          <w:tcPr>
            <w:tcW w:w="664" w:type="pct"/>
            <w:vMerge w:val="continue"/>
            <w:vAlign w:val="center"/>
          </w:tcPr>
          <w:p w14:paraId="7532249A">
            <w:pPr>
              <w:widowControl/>
              <w:adjustRightInd w:val="0"/>
              <w:snapToGrid w:val="0"/>
              <w:spacing w:before="0" w:beforeLines="0" w:line="240" w:lineRule="auto"/>
              <w:jc w:val="center"/>
              <w:rPr>
                <w:kern w:val="0"/>
                <w:szCs w:val="21"/>
              </w:rPr>
            </w:pPr>
          </w:p>
        </w:tc>
        <w:tc>
          <w:tcPr>
            <w:tcW w:w="638" w:type="pct"/>
            <w:vMerge w:val="continue"/>
            <w:vAlign w:val="center"/>
          </w:tcPr>
          <w:p w14:paraId="1FB319EA">
            <w:pPr>
              <w:widowControl/>
              <w:adjustRightInd w:val="0"/>
              <w:snapToGrid w:val="0"/>
              <w:spacing w:before="0" w:beforeLines="0" w:line="240" w:lineRule="auto"/>
              <w:jc w:val="center"/>
              <w:rPr>
                <w:kern w:val="0"/>
                <w:szCs w:val="21"/>
              </w:rPr>
            </w:pPr>
          </w:p>
        </w:tc>
        <w:tc>
          <w:tcPr>
            <w:tcW w:w="434" w:type="pct"/>
            <w:vMerge w:val="continue"/>
            <w:vAlign w:val="center"/>
          </w:tcPr>
          <w:p w14:paraId="34F5E420">
            <w:pPr>
              <w:widowControl/>
              <w:adjustRightInd w:val="0"/>
              <w:snapToGrid w:val="0"/>
              <w:spacing w:before="0" w:beforeLines="0" w:line="240" w:lineRule="auto"/>
              <w:jc w:val="center"/>
              <w:rPr>
                <w:kern w:val="0"/>
                <w:szCs w:val="21"/>
              </w:rPr>
            </w:pPr>
          </w:p>
        </w:tc>
        <w:tc>
          <w:tcPr>
            <w:tcW w:w="341" w:type="pct"/>
            <w:noWrap/>
            <w:vAlign w:val="center"/>
          </w:tcPr>
          <w:p w14:paraId="583D695A">
            <w:pPr>
              <w:widowControl/>
              <w:adjustRightInd w:val="0"/>
              <w:snapToGrid w:val="0"/>
              <w:spacing w:before="0" w:beforeLines="0" w:line="240" w:lineRule="auto"/>
              <w:jc w:val="center"/>
              <w:rPr>
                <w:kern w:val="0"/>
                <w:szCs w:val="21"/>
              </w:rPr>
            </w:pPr>
            <w:r>
              <w:rPr>
                <w:color w:val="000000"/>
                <w:kern w:val="0"/>
                <w:szCs w:val="21"/>
              </w:rPr>
              <w:t>全时段</w:t>
            </w:r>
          </w:p>
        </w:tc>
        <w:tc>
          <w:tcPr>
            <w:tcW w:w="662" w:type="pct"/>
            <w:noWrap/>
            <w:vAlign w:val="center"/>
          </w:tcPr>
          <w:p w14:paraId="46FF97B5">
            <w:pPr>
              <w:widowControl/>
              <w:adjustRightInd w:val="0"/>
              <w:snapToGrid w:val="0"/>
              <w:spacing w:before="0" w:beforeLines="0" w:line="240" w:lineRule="auto"/>
              <w:jc w:val="center"/>
              <w:rPr>
                <w:kern w:val="0"/>
                <w:szCs w:val="21"/>
              </w:rPr>
            </w:pPr>
            <w:r>
              <w:rPr>
                <w:color w:val="000000"/>
                <w:kern w:val="0"/>
                <w:szCs w:val="21"/>
              </w:rPr>
              <w:t>0.0298</w:t>
            </w:r>
          </w:p>
        </w:tc>
        <w:tc>
          <w:tcPr>
            <w:tcW w:w="780" w:type="pct"/>
            <w:noWrap/>
            <w:vAlign w:val="center"/>
          </w:tcPr>
          <w:p w14:paraId="566BD7D0">
            <w:pPr>
              <w:widowControl/>
              <w:adjustRightInd w:val="0"/>
              <w:snapToGrid w:val="0"/>
              <w:spacing w:before="0" w:beforeLines="0" w:line="240" w:lineRule="auto"/>
              <w:jc w:val="center"/>
              <w:rPr>
                <w:kern w:val="0"/>
                <w:szCs w:val="21"/>
              </w:rPr>
            </w:pPr>
            <w:r>
              <w:rPr>
                <w:color w:val="000000"/>
                <w:kern w:val="0"/>
                <w:szCs w:val="21"/>
              </w:rPr>
              <w:t>平均值</w:t>
            </w:r>
          </w:p>
        </w:tc>
        <w:tc>
          <w:tcPr>
            <w:tcW w:w="598" w:type="pct"/>
            <w:noWrap/>
            <w:vAlign w:val="center"/>
          </w:tcPr>
          <w:p w14:paraId="02433755">
            <w:pPr>
              <w:widowControl/>
              <w:adjustRightInd w:val="0"/>
              <w:snapToGrid w:val="0"/>
              <w:spacing w:before="0" w:beforeLines="0" w:line="240" w:lineRule="auto"/>
              <w:jc w:val="center"/>
              <w:rPr>
                <w:kern w:val="0"/>
                <w:szCs w:val="21"/>
              </w:rPr>
            </w:pPr>
            <w:r>
              <w:rPr>
                <w:color w:val="000000"/>
                <w:kern w:val="0"/>
                <w:szCs w:val="21"/>
              </w:rPr>
              <w:t>60.0000</w:t>
            </w:r>
          </w:p>
        </w:tc>
        <w:tc>
          <w:tcPr>
            <w:tcW w:w="330" w:type="pct"/>
            <w:noWrap/>
            <w:vAlign w:val="center"/>
          </w:tcPr>
          <w:p w14:paraId="67AE7984">
            <w:pPr>
              <w:widowControl/>
              <w:adjustRightInd w:val="0"/>
              <w:snapToGrid w:val="0"/>
              <w:spacing w:before="0" w:beforeLines="0" w:line="240" w:lineRule="auto"/>
              <w:jc w:val="center"/>
              <w:rPr>
                <w:kern w:val="0"/>
                <w:szCs w:val="21"/>
              </w:rPr>
            </w:pPr>
            <w:r>
              <w:rPr>
                <w:color w:val="000000"/>
                <w:kern w:val="0"/>
                <w:szCs w:val="21"/>
              </w:rPr>
              <w:t>0.05</w:t>
            </w:r>
          </w:p>
        </w:tc>
        <w:tc>
          <w:tcPr>
            <w:tcW w:w="341" w:type="pct"/>
            <w:noWrap/>
            <w:vAlign w:val="center"/>
          </w:tcPr>
          <w:p w14:paraId="2B789B4B">
            <w:pPr>
              <w:widowControl/>
              <w:adjustRightInd w:val="0"/>
              <w:snapToGrid w:val="0"/>
              <w:spacing w:before="0" w:beforeLines="0" w:line="240" w:lineRule="auto"/>
              <w:jc w:val="center"/>
              <w:rPr>
                <w:kern w:val="0"/>
                <w:szCs w:val="21"/>
              </w:rPr>
            </w:pPr>
            <w:r>
              <w:rPr>
                <w:color w:val="000000"/>
                <w:kern w:val="0"/>
                <w:szCs w:val="21"/>
              </w:rPr>
              <w:t>达标</w:t>
            </w:r>
          </w:p>
        </w:tc>
      </w:tr>
      <w:tr w14:paraId="5228D490">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14:paraId="533F1AFF">
            <w:pPr>
              <w:widowControl/>
              <w:adjustRightInd w:val="0"/>
              <w:snapToGrid w:val="0"/>
              <w:spacing w:before="0" w:beforeLines="0" w:line="240" w:lineRule="auto"/>
              <w:jc w:val="center"/>
              <w:rPr>
                <w:kern w:val="0"/>
                <w:szCs w:val="21"/>
              </w:rPr>
            </w:pPr>
            <w:r>
              <w:rPr>
                <w:rFonts w:hint="eastAsia"/>
                <w:kern w:val="0"/>
                <w:szCs w:val="21"/>
              </w:rPr>
              <w:t>3</w:t>
            </w:r>
          </w:p>
        </w:tc>
        <w:tc>
          <w:tcPr>
            <w:tcW w:w="664" w:type="pct"/>
            <w:vMerge w:val="restart"/>
            <w:noWrap/>
            <w:vAlign w:val="center"/>
          </w:tcPr>
          <w:p w14:paraId="36FB8E2A">
            <w:pPr>
              <w:widowControl/>
              <w:adjustRightInd w:val="0"/>
              <w:snapToGrid w:val="0"/>
              <w:spacing w:before="0" w:beforeLines="0" w:line="240" w:lineRule="auto"/>
              <w:jc w:val="center"/>
              <w:rPr>
                <w:kern w:val="0"/>
                <w:szCs w:val="21"/>
              </w:rPr>
            </w:pPr>
            <w:r>
              <w:rPr>
                <w:rFonts w:hint="eastAsia"/>
                <w:kern w:val="0"/>
                <w:szCs w:val="21"/>
              </w:rPr>
              <w:t>庙沟</w:t>
            </w:r>
          </w:p>
        </w:tc>
        <w:tc>
          <w:tcPr>
            <w:tcW w:w="638" w:type="pct"/>
            <w:vMerge w:val="restart"/>
            <w:noWrap/>
            <w:vAlign w:val="center"/>
          </w:tcPr>
          <w:p w14:paraId="6B89BFD1">
            <w:pPr>
              <w:widowControl/>
              <w:adjustRightInd w:val="0"/>
              <w:snapToGrid w:val="0"/>
              <w:spacing w:before="0" w:beforeLines="0" w:line="240" w:lineRule="auto"/>
              <w:jc w:val="center"/>
              <w:rPr>
                <w:kern w:val="0"/>
                <w:szCs w:val="21"/>
              </w:rPr>
            </w:pPr>
            <w:r>
              <w:rPr>
                <w:rFonts w:hint="eastAsia"/>
                <w:kern w:val="0"/>
                <w:szCs w:val="21"/>
              </w:rPr>
              <w:t>-1444，2465</w:t>
            </w:r>
          </w:p>
        </w:tc>
        <w:tc>
          <w:tcPr>
            <w:tcW w:w="434" w:type="pct"/>
            <w:vMerge w:val="restart"/>
            <w:noWrap/>
            <w:vAlign w:val="center"/>
          </w:tcPr>
          <w:p w14:paraId="1E90979C">
            <w:pPr>
              <w:widowControl/>
              <w:adjustRightInd w:val="0"/>
              <w:snapToGrid w:val="0"/>
              <w:spacing w:before="0" w:beforeLines="0" w:line="240" w:lineRule="auto"/>
              <w:jc w:val="center"/>
              <w:rPr>
                <w:kern w:val="0"/>
                <w:szCs w:val="21"/>
              </w:rPr>
            </w:pPr>
            <w:r>
              <w:rPr>
                <w:rFonts w:hint="eastAsia"/>
                <w:kern w:val="0"/>
                <w:szCs w:val="21"/>
              </w:rPr>
              <w:t>269.82</w:t>
            </w:r>
          </w:p>
        </w:tc>
        <w:tc>
          <w:tcPr>
            <w:tcW w:w="341" w:type="pct"/>
            <w:noWrap/>
            <w:vAlign w:val="center"/>
          </w:tcPr>
          <w:p w14:paraId="2C14F7B1">
            <w:pPr>
              <w:widowControl/>
              <w:adjustRightInd w:val="0"/>
              <w:snapToGrid w:val="0"/>
              <w:spacing w:before="0" w:beforeLines="0" w:line="240" w:lineRule="auto"/>
              <w:jc w:val="center"/>
              <w:rPr>
                <w:kern w:val="0"/>
                <w:szCs w:val="21"/>
              </w:rPr>
            </w:pPr>
            <w:r>
              <w:rPr>
                <w:color w:val="000000"/>
                <w:kern w:val="0"/>
                <w:szCs w:val="21"/>
              </w:rPr>
              <w:t>日平均</w:t>
            </w:r>
          </w:p>
        </w:tc>
        <w:tc>
          <w:tcPr>
            <w:tcW w:w="662" w:type="pct"/>
            <w:noWrap/>
            <w:vAlign w:val="center"/>
          </w:tcPr>
          <w:p w14:paraId="3B6F07BC">
            <w:pPr>
              <w:widowControl/>
              <w:adjustRightInd w:val="0"/>
              <w:snapToGrid w:val="0"/>
              <w:spacing w:before="0" w:beforeLines="0" w:line="240" w:lineRule="auto"/>
              <w:jc w:val="center"/>
              <w:rPr>
                <w:kern w:val="0"/>
                <w:szCs w:val="21"/>
              </w:rPr>
            </w:pPr>
            <w:r>
              <w:rPr>
                <w:color w:val="000000"/>
                <w:kern w:val="0"/>
                <w:szCs w:val="21"/>
              </w:rPr>
              <w:t>0.9871</w:t>
            </w:r>
          </w:p>
        </w:tc>
        <w:tc>
          <w:tcPr>
            <w:tcW w:w="780" w:type="pct"/>
            <w:noWrap/>
            <w:vAlign w:val="center"/>
          </w:tcPr>
          <w:p w14:paraId="2D88873F">
            <w:pPr>
              <w:widowControl/>
              <w:adjustRightInd w:val="0"/>
              <w:snapToGrid w:val="0"/>
              <w:spacing w:before="0" w:beforeLines="0" w:line="240" w:lineRule="auto"/>
              <w:jc w:val="center"/>
              <w:rPr>
                <w:kern w:val="0"/>
                <w:szCs w:val="21"/>
              </w:rPr>
            </w:pPr>
            <w:r>
              <w:rPr>
                <w:color w:val="000000"/>
                <w:kern w:val="0"/>
                <w:szCs w:val="21"/>
              </w:rPr>
              <w:t>250921</w:t>
            </w:r>
          </w:p>
        </w:tc>
        <w:tc>
          <w:tcPr>
            <w:tcW w:w="598" w:type="pct"/>
            <w:noWrap/>
            <w:vAlign w:val="center"/>
          </w:tcPr>
          <w:p w14:paraId="69B94E75">
            <w:pPr>
              <w:widowControl/>
              <w:adjustRightInd w:val="0"/>
              <w:snapToGrid w:val="0"/>
              <w:spacing w:before="0" w:beforeLines="0" w:line="240" w:lineRule="auto"/>
              <w:jc w:val="center"/>
              <w:rPr>
                <w:kern w:val="0"/>
                <w:szCs w:val="21"/>
              </w:rPr>
            </w:pPr>
            <w:r>
              <w:rPr>
                <w:color w:val="000000"/>
                <w:kern w:val="0"/>
                <w:szCs w:val="21"/>
              </w:rPr>
              <w:t>120.0000</w:t>
            </w:r>
          </w:p>
        </w:tc>
        <w:tc>
          <w:tcPr>
            <w:tcW w:w="330" w:type="pct"/>
            <w:noWrap/>
            <w:vAlign w:val="center"/>
          </w:tcPr>
          <w:p w14:paraId="0503BECA">
            <w:pPr>
              <w:widowControl/>
              <w:adjustRightInd w:val="0"/>
              <w:snapToGrid w:val="0"/>
              <w:spacing w:before="0" w:beforeLines="0" w:line="240" w:lineRule="auto"/>
              <w:jc w:val="center"/>
              <w:rPr>
                <w:kern w:val="0"/>
                <w:szCs w:val="21"/>
              </w:rPr>
            </w:pPr>
            <w:r>
              <w:rPr>
                <w:color w:val="000000"/>
                <w:kern w:val="0"/>
                <w:szCs w:val="21"/>
              </w:rPr>
              <w:t>0.82</w:t>
            </w:r>
          </w:p>
        </w:tc>
        <w:tc>
          <w:tcPr>
            <w:tcW w:w="341" w:type="pct"/>
            <w:noWrap/>
            <w:vAlign w:val="center"/>
          </w:tcPr>
          <w:p w14:paraId="7BBB0E84">
            <w:pPr>
              <w:widowControl/>
              <w:adjustRightInd w:val="0"/>
              <w:snapToGrid w:val="0"/>
              <w:spacing w:before="0" w:beforeLines="0" w:line="240" w:lineRule="auto"/>
              <w:jc w:val="center"/>
              <w:rPr>
                <w:kern w:val="0"/>
                <w:szCs w:val="21"/>
              </w:rPr>
            </w:pPr>
            <w:r>
              <w:rPr>
                <w:color w:val="000000"/>
                <w:kern w:val="0"/>
                <w:szCs w:val="21"/>
              </w:rPr>
              <w:t>达标</w:t>
            </w:r>
          </w:p>
        </w:tc>
      </w:tr>
      <w:tr w14:paraId="4C8B8201">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14:paraId="036F86D6">
            <w:pPr>
              <w:widowControl/>
              <w:adjustRightInd w:val="0"/>
              <w:snapToGrid w:val="0"/>
              <w:spacing w:before="0" w:beforeLines="0" w:line="240" w:lineRule="auto"/>
              <w:jc w:val="center"/>
              <w:rPr>
                <w:kern w:val="0"/>
                <w:szCs w:val="21"/>
              </w:rPr>
            </w:pPr>
          </w:p>
        </w:tc>
        <w:tc>
          <w:tcPr>
            <w:tcW w:w="664" w:type="pct"/>
            <w:vMerge w:val="continue"/>
            <w:vAlign w:val="center"/>
          </w:tcPr>
          <w:p w14:paraId="68947025">
            <w:pPr>
              <w:widowControl/>
              <w:adjustRightInd w:val="0"/>
              <w:snapToGrid w:val="0"/>
              <w:spacing w:before="0" w:beforeLines="0" w:line="240" w:lineRule="auto"/>
              <w:jc w:val="center"/>
              <w:rPr>
                <w:kern w:val="0"/>
                <w:szCs w:val="21"/>
              </w:rPr>
            </w:pPr>
          </w:p>
        </w:tc>
        <w:tc>
          <w:tcPr>
            <w:tcW w:w="638" w:type="pct"/>
            <w:vMerge w:val="continue"/>
            <w:vAlign w:val="center"/>
          </w:tcPr>
          <w:p w14:paraId="219F2252">
            <w:pPr>
              <w:widowControl/>
              <w:adjustRightInd w:val="0"/>
              <w:snapToGrid w:val="0"/>
              <w:spacing w:before="0" w:beforeLines="0" w:line="240" w:lineRule="auto"/>
              <w:jc w:val="center"/>
              <w:rPr>
                <w:kern w:val="0"/>
                <w:szCs w:val="21"/>
              </w:rPr>
            </w:pPr>
          </w:p>
        </w:tc>
        <w:tc>
          <w:tcPr>
            <w:tcW w:w="434" w:type="pct"/>
            <w:vMerge w:val="continue"/>
            <w:vAlign w:val="center"/>
          </w:tcPr>
          <w:p w14:paraId="70F46653">
            <w:pPr>
              <w:widowControl/>
              <w:adjustRightInd w:val="0"/>
              <w:snapToGrid w:val="0"/>
              <w:spacing w:before="0" w:beforeLines="0" w:line="240" w:lineRule="auto"/>
              <w:jc w:val="center"/>
              <w:rPr>
                <w:kern w:val="0"/>
                <w:szCs w:val="21"/>
              </w:rPr>
            </w:pPr>
          </w:p>
        </w:tc>
        <w:tc>
          <w:tcPr>
            <w:tcW w:w="341" w:type="pct"/>
            <w:noWrap/>
            <w:vAlign w:val="center"/>
          </w:tcPr>
          <w:p w14:paraId="6B066361">
            <w:pPr>
              <w:widowControl/>
              <w:adjustRightInd w:val="0"/>
              <w:snapToGrid w:val="0"/>
              <w:spacing w:before="0" w:beforeLines="0" w:line="240" w:lineRule="auto"/>
              <w:jc w:val="center"/>
              <w:rPr>
                <w:kern w:val="0"/>
                <w:szCs w:val="21"/>
              </w:rPr>
            </w:pPr>
            <w:r>
              <w:rPr>
                <w:color w:val="000000"/>
                <w:kern w:val="0"/>
                <w:szCs w:val="21"/>
              </w:rPr>
              <w:t>全时段</w:t>
            </w:r>
          </w:p>
        </w:tc>
        <w:tc>
          <w:tcPr>
            <w:tcW w:w="662" w:type="pct"/>
            <w:noWrap/>
            <w:vAlign w:val="center"/>
          </w:tcPr>
          <w:p w14:paraId="6F1F695C">
            <w:pPr>
              <w:widowControl/>
              <w:adjustRightInd w:val="0"/>
              <w:snapToGrid w:val="0"/>
              <w:spacing w:before="0" w:beforeLines="0" w:line="240" w:lineRule="auto"/>
              <w:jc w:val="center"/>
              <w:rPr>
                <w:kern w:val="0"/>
                <w:szCs w:val="21"/>
              </w:rPr>
            </w:pPr>
            <w:r>
              <w:rPr>
                <w:color w:val="000000"/>
                <w:kern w:val="0"/>
                <w:szCs w:val="21"/>
              </w:rPr>
              <w:t>0.0541</w:t>
            </w:r>
          </w:p>
        </w:tc>
        <w:tc>
          <w:tcPr>
            <w:tcW w:w="780" w:type="pct"/>
            <w:noWrap/>
            <w:vAlign w:val="center"/>
          </w:tcPr>
          <w:p w14:paraId="2319E8A2">
            <w:pPr>
              <w:widowControl/>
              <w:adjustRightInd w:val="0"/>
              <w:snapToGrid w:val="0"/>
              <w:spacing w:before="0" w:beforeLines="0" w:line="240" w:lineRule="auto"/>
              <w:jc w:val="center"/>
              <w:rPr>
                <w:kern w:val="0"/>
                <w:szCs w:val="21"/>
              </w:rPr>
            </w:pPr>
            <w:r>
              <w:rPr>
                <w:color w:val="000000"/>
                <w:kern w:val="0"/>
                <w:szCs w:val="21"/>
              </w:rPr>
              <w:t>平均值</w:t>
            </w:r>
          </w:p>
        </w:tc>
        <w:tc>
          <w:tcPr>
            <w:tcW w:w="598" w:type="pct"/>
            <w:noWrap/>
            <w:vAlign w:val="center"/>
          </w:tcPr>
          <w:p w14:paraId="33FE4C38">
            <w:pPr>
              <w:widowControl/>
              <w:adjustRightInd w:val="0"/>
              <w:snapToGrid w:val="0"/>
              <w:spacing w:before="0" w:beforeLines="0" w:line="240" w:lineRule="auto"/>
              <w:jc w:val="center"/>
              <w:rPr>
                <w:kern w:val="0"/>
                <w:szCs w:val="21"/>
              </w:rPr>
            </w:pPr>
            <w:r>
              <w:rPr>
                <w:color w:val="000000"/>
                <w:kern w:val="0"/>
                <w:szCs w:val="21"/>
              </w:rPr>
              <w:t>60.0000</w:t>
            </w:r>
          </w:p>
        </w:tc>
        <w:tc>
          <w:tcPr>
            <w:tcW w:w="330" w:type="pct"/>
            <w:noWrap/>
            <w:vAlign w:val="center"/>
          </w:tcPr>
          <w:p w14:paraId="3DBED11E">
            <w:pPr>
              <w:widowControl/>
              <w:adjustRightInd w:val="0"/>
              <w:snapToGrid w:val="0"/>
              <w:spacing w:before="0" w:beforeLines="0" w:line="240" w:lineRule="auto"/>
              <w:jc w:val="center"/>
              <w:rPr>
                <w:kern w:val="0"/>
                <w:szCs w:val="21"/>
              </w:rPr>
            </w:pPr>
            <w:r>
              <w:rPr>
                <w:color w:val="000000"/>
                <w:kern w:val="0"/>
                <w:szCs w:val="21"/>
              </w:rPr>
              <w:t>0.09</w:t>
            </w:r>
          </w:p>
        </w:tc>
        <w:tc>
          <w:tcPr>
            <w:tcW w:w="341" w:type="pct"/>
            <w:noWrap/>
            <w:vAlign w:val="center"/>
          </w:tcPr>
          <w:p w14:paraId="5C693E65">
            <w:pPr>
              <w:widowControl/>
              <w:adjustRightInd w:val="0"/>
              <w:snapToGrid w:val="0"/>
              <w:spacing w:before="0" w:beforeLines="0" w:line="240" w:lineRule="auto"/>
              <w:jc w:val="center"/>
              <w:rPr>
                <w:kern w:val="0"/>
                <w:szCs w:val="21"/>
              </w:rPr>
            </w:pPr>
            <w:r>
              <w:rPr>
                <w:color w:val="000000"/>
                <w:kern w:val="0"/>
                <w:szCs w:val="21"/>
              </w:rPr>
              <w:t>达标</w:t>
            </w:r>
          </w:p>
        </w:tc>
      </w:tr>
      <w:tr w14:paraId="6C60B3F2">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14:paraId="1F074DFC">
            <w:pPr>
              <w:widowControl/>
              <w:adjustRightInd w:val="0"/>
              <w:snapToGrid w:val="0"/>
              <w:spacing w:before="0" w:beforeLines="0" w:line="240" w:lineRule="auto"/>
              <w:jc w:val="center"/>
              <w:rPr>
                <w:kern w:val="0"/>
                <w:szCs w:val="21"/>
              </w:rPr>
            </w:pPr>
            <w:r>
              <w:rPr>
                <w:rFonts w:hint="eastAsia"/>
                <w:kern w:val="0"/>
                <w:szCs w:val="21"/>
              </w:rPr>
              <w:t>4</w:t>
            </w:r>
          </w:p>
        </w:tc>
        <w:tc>
          <w:tcPr>
            <w:tcW w:w="664" w:type="pct"/>
            <w:vMerge w:val="restart"/>
            <w:noWrap/>
            <w:vAlign w:val="center"/>
          </w:tcPr>
          <w:p w14:paraId="76478C6B">
            <w:pPr>
              <w:widowControl/>
              <w:adjustRightInd w:val="0"/>
              <w:snapToGrid w:val="0"/>
              <w:spacing w:before="0" w:beforeLines="0" w:line="240" w:lineRule="auto"/>
              <w:jc w:val="center"/>
              <w:rPr>
                <w:kern w:val="0"/>
                <w:szCs w:val="21"/>
              </w:rPr>
            </w:pPr>
            <w:r>
              <w:rPr>
                <w:rFonts w:hint="eastAsia"/>
                <w:kern w:val="0"/>
                <w:szCs w:val="21"/>
              </w:rPr>
              <w:t>南山</w:t>
            </w:r>
          </w:p>
        </w:tc>
        <w:tc>
          <w:tcPr>
            <w:tcW w:w="638" w:type="pct"/>
            <w:vMerge w:val="restart"/>
            <w:noWrap/>
            <w:vAlign w:val="center"/>
          </w:tcPr>
          <w:p w14:paraId="31E2D6D7">
            <w:pPr>
              <w:widowControl/>
              <w:adjustRightInd w:val="0"/>
              <w:snapToGrid w:val="0"/>
              <w:spacing w:before="0" w:beforeLines="0" w:line="240" w:lineRule="auto"/>
              <w:jc w:val="center"/>
              <w:rPr>
                <w:kern w:val="0"/>
                <w:szCs w:val="21"/>
              </w:rPr>
            </w:pPr>
            <w:r>
              <w:rPr>
                <w:rFonts w:hint="eastAsia"/>
                <w:kern w:val="0"/>
                <w:szCs w:val="21"/>
              </w:rPr>
              <w:t>-2423,-913</w:t>
            </w:r>
          </w:p>
        </w:tc>
        <w:tc>
          <w:tcPr>
            <w:tcW w:w="434" w:type="pct"/>
            <w:vMerge w:val="restart"/>
            <w:noWrap/>
            <w:vAlign w:val="center"/>
          </w:tcPr>
          <w:p w14:paraId="6658B438">
            <w:pPr>
              <w:widowControl/>
              <w:adjustRightInd w:val="0"/>
              <w:snapToGrid w:val="0"/>
              <w:spacing w:before="0" w:beforeLines="0" w:line="240" w:lineRule="auto"/>
              <w:jc w:val="center"/>
              <w:rPr>
                <w:kern w:val="0"/>
                <w:szCs w:val="21"/>
              </w:rPr>
            </w:pPr>
            <w:r>
              <w:rPr>
                <w:rFonts w:hint="eastAsia"/>
                <w:kern w:val="0"/>
                <w:szCs w:val="21"/>
              </w:rPr>
              <w:t>284.09</w:t>
            </w:r>
          </w:p>
        </w:tc>
        <w:tc>
          <w:tcPr>
            <w:tcW w:w="341" w:type="pct"/>
            <w:noWrap/>
            <w:vAlign w:val="center"/>
          </w:tcPr>
          <w:p w14:paraId="7406B86F">
            <w:pPr>
              <w:widowControl/>
              <w:adjustRightInd w:val="0"/>
              <w:snapToGrid w:val="0"/>
              <w:spacing w:before="0" w:beforeLines="0" w:line="240" w:lineRule="auto"/>
              <w:jc w:val="center"/>
              <w:rPr>
                <w:kern w:val="0"/>
                <w:szCs w:val="21"/>
              </w:rPr>
            </w:pPr>
            <w:r>
              <w:rPr>
                <w:color w:val="000000"/>
                <w:kern w:val="0"/>
                <w:szCs w:val="21"/>
              </w:rPr>
              <w:t>日平均</w:t>
            </w:r>
          </w:p>
        </w:tc>
        <w:tc>
          <w:tcPr>
            <w:tcW w:w="662" w:type="pct"/>
            <w:noWrap/>
            <w:vAlign w:val="center"/>
          </w:tcPr>
          <w:p w14:paraId="40DE7056">
            <w:pPr>
              <w:widowControl/>
              <w:adjustRightInd w:val="0"/>
              <w:snapToGrid w:val="0"/>
              <w:spacing w:before="0" w:beforeLines="0" w:line="240" w:lineRule="auto"/>
              <w:jc w:val="center"/>
              <w:rPr>
                <w:kern w:val="0"/>
                <w:szCs w:val="21"/>
              </w:rPr>
            </w:pPr>
            <w:r>
              <w:rPr>
                <w:color w:val="000000"/>
                <w:kern w:val="0"/>
                <w:szCs w:val="21"/>
              </w:rPr>
              <w:t>0.4189</w:t>
            </w:r>
          </w:p>
        </w:tc>
        <w:tc>
          <w:tcPr>
            <w:tcW w:w="780" w:type="pct"/>
            <w:noWrap/>
            <w:vAlign w:val="center"/>
          </w:tcPr>
          <w:p w14:paraId="30887061">
            <w:pPr>
              <w:widowControl/>
              <w:adjustRightInd w:val="0"/>
              <w:snapToGrid w:val="0"/>
              <w:spacing w:before="0" w:beforeLines="0" w:line="240" w:lineRule="auto"/>
              <w:jc w:val="center"/>
              <w:rPr>
                <w:kern w:val="0"/>
                <w:szCs w:val="21"/>
              </w:rPr>
            </w:pPr>
            <w:r>
              <w:rPr>
                <w:color w:val="000000"/>
                <w:kern w:val="0"/>
                <w:szCs w:val="21"/>
              </w:rPr>
              <w:t>251007</w:t>
            </w:r>
          </w:p>
        </w:tc>
        <w:tc>
          <w:tcPr>
            <w:tcW w:w="598" w:type="pct"/>
            <w:noWrap/>
            <w:vAlign w:val="center"/>
          </w:tcPr>
          <w:p w14:paraId="7D4C0A9B">
            <w:pPr>
              <w:widowControl/>
              <w:adjustRightInd w:val="0"/>
              <w:snapToGrid w:val="0"/>
              <w:spacing w:before="0" w:beforeLines="0" w:line="240" w:lineRule="auto"/>
              <w:jc w:val="center"/>
              <w:rPr>
                <w:kern w:val="0"/>
                <w:szCs w:val="21"/>
              </w:rPr>
            </w:pPr>
            <w:r>
              <w:rPr>
                <w:color w:val="000000"/>
                <w:kern w:val="0"/>
                <w:szCs w:val="21"/>
              </w:rPr>
              <w:t>120.0000</w:t>
            </w:r>
          </w:p>
        </w:tc>
        <w:tc>
          <w:tcPr>
            <w:tcW w:w="330" w:type="pct"/>
            <w:noWrap/>
            <w:vAlign w:val="center"/>
          </w:tcPr>
          <w:p w14:paraId="693FE68D">
            <w:pPr>
              <w:widowControl/>
              <w:adjustRightInd w:val="0"/>
              <w:snapToGrid w:val="0"/>
              <w:spacing w:before="0" w:beforeLines="0" w:line="240" w:lineRule="auto"/>
              <w:jc w:val="center"/>
              <w:rPr>
                <w:kern w:val="0"/>
                <w:szCs w:val="21"/>
              </w:rPr>
            </w:pPr>
            <w:r>
              <w:rPr>
                <w:color w:val="000000"/>
                <w:kern w:val="0"/>
                <w:szCs w:val="21"/>
              </w:rPr>
              <w:t>0.35</w:t>
            </w:r>
          </w:p>
        </w:tc>
        <w:tc>
          <w:tcPr>
            <w:tcW w:w="341" w:type="pct"/>
            <w:noWrap/>
            <w:vAlign w:val="center"/>
          </w:tcPr>
          <w:p w14:paraId="537C8E02">
            <w:pPr>
              <w:widowControl/>
              <w:adjustRightInd w:val="0"/>
              <w:snapToGrid w:val="0"/>
              <w:spacing w:before="0" w:beforeLines="0" w:line="240" w:lineRule="auto"/>
              <w:jc w:val="center"/>
              <w:rPr>
                <w:kern w:val="0"/>
                <w:szCs w:val="21"/>
              </w:rPr>
            </w:pPr>
            <w:r>
              <w:rPr>
                <w:color w:val="000000"/>
                <w:kern w:val="0"/>
                <w:szCs w:val="21"/>
              </w:rPr>
              <w:t>达标</w:t>
            </w:r>
          </w:p>
        </w:tc>
      </w:tr>
      <w:tr w14:paraId="1AD14C4D">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14:paraId="54E44738">
            <w:pPr>
              <w:widowControl/>
              <w:adjustRightInd w:val="0"/>
              <w:snapToGrid w:val="0"/>
              <w:spacing w:before="0" w:beforeLines="0" w:line="240" w:lineRule="auto"/>
              <w:jc w:val="center"/>
              <w:rPr>
                <w:kern w:val="0"/>
                <w:szCs w:val="21"/>
              </w:rPr>
            </w:pPr>
          </w:p>
        </w:tc>
        <w:tc>
          <w:tcPr>
            <w:tcW w:w="664" w:type="pct"/>
            <w:vMerge w:val="continue"/>
            <w:vAlign w:val="center"/>
          </w:tcPr>
          <w:p w14:paraId="548D165F">
            <w:pPr>
              <w:widowControl/>
              <w:adjustRightInd w:val="0"/>
              <w:snapToGrid w:val="0"/>
              <w:spacing w:before="0" w:beforeLines="0" w:line="240" w:lineRule="auto"/>
              <w:jc w:val="center"/>
              <w:rPr>
                <w:kern w:val="0"/>
                <w:szCs w:val="21"/>
              </w:rPr>
            </w:pPr>
          </w:p>
        </w:tc>
        <w:tc>
          <w:tcPr>
            <w:tcW w:w="638" w:type="pct"/>
            <w:vMerge w:val="continue"/>
            <w:vAlign w:val="center"/>
          </w:tcPr>
          <w:p w14:paraId="43A00AFC">
            <w:pPr>
              <w:widowControl/>
              <w:adjustRightInd w:val="0"/>
              <w:snapToGrid w:val="0"/>
              <w:spacing w:before="0" w:beforeLines="0" w:line="240" w:lineRule="auto"/>
              <w:jc w:val="center"/>
              <w:rPr>
                <w:kern w:val="0"/>
                <w:szCs w:val="21"/>
              </w:rPr>
            </w:pPr>
          </w:p>
        </w:tc>
        <w:tc>
          <w:tcPr>
            <w:tcW w:w="434" w:type="pct"/>
            <w:vMerge w:val="continue"/>
            <w:vAlign w:val="center"/>
          </w:tcPr>
          <w:p w14:paraId="6DD24288">
            <w:pPr>
              <w:widowControl/>
              <w:adjustRightInd w:val="0"/>
              <w:snapToGrid w:val="0"/>
              <w:spacing w:before="0" w:beforeLines="0" w:line="240" w:lineRule="auto"/>
              <w:jc w:val="center"/>
              <w:rPr>
                <w:kern w:val="0"/>
                <w:szCs w:val="21"/>
              </w:rPr>
            </w:pPr>
          </w:p>
        </w:tc>
        <w:tc>
          <w:tcPr>
            <w:tcW w:w="341" w:type="pct"/>
            <w:noWrap/>
            <w:vAlign w:val="center"/>
          </w:tcPr>
          <w:p w14:paraId="364F4535">
            <w:pPr>
              <w:widowControl/>
              <w:adjustRightInd w:val="0"/>
              <w:snapToGrid w:val="0"/>
              <w:spacing w:before="0" w:beforeLines="0" w:line="240" w:lineRule="auto"/>
              <w:jc w:val="center"/>
              <w:rPr>
                <w:kern w:val="0"/>
                <w:szCs w:val="21"/>
              </w:rPr>
            </w:pPr>
            <w:r>
              <w:rPr>
                <w:color w:val="000000"/>
                <w:kern w:val="0"/>
                <w:szCs w:val="21"/>
              </w:rPr>
              <w:t>全时段</w:t>
            </w:r>
          </w:p>
        </w:tc>
        <w:tc>
          <w:tcPr>
            <w:tcW w:w="662" w:type="pct"/>
            <w:noWrap/>
            <w:vAlign w:val="center"/>
          </w:tcPr>
          <w:p w14:paraId="1A1EC804">
            <w:pPr>
              <w:widowControl/>
              <w:adjustRightInd w:val="0"/>
              <w:snapToGrid w:val="0"/>
              <w:spacing w:before="0" w:beforeLines="0" w:line="240" w:lineRule="auto"/>
              <w:jc w:val="center"/>
              <w:rPr>
                <w:kern w:val="0"/>
                <w:szCs w:val="21"/>
              </w:rPr>
            </w:pPr>
            <w:r>
              <w:rPr>
                <w:color w:val="000000"/>
                <w:kern w:val="0"/>
                <w:szCs w:val="21"/>
              </w:rPr>
              <w:t>0.0273</w:t>
            </w:r>
          </w:p>
        </w:tc>
        <w:tc>
          <w:tcPr>
            <w:tcW w:w="780" w:type="pct"/>
            <w:noWrap/>
            <w:vAlign w:val="center"/>
          </w:tcPr>
          <w:p w14:paraId="29EBF90D">
            <w:pPr>
              <w:widowControl/>
              <w:adjustRightInd w:val="0"/>
              <w:snapToGrid w:val="0"/>
              <w:spacing w:before="0" w:beforeLines="0" w:line="240" w:lineRule="auto"/>
              <w:jc w:val="center"/>
              <w:rPr>
                <w:kern w:val="0"/>
                <w:szCs w:val="21"/>
              </w:rPr>
            </w:pPr>
            <w:r>
              <w:rPr>
                <w:color w:val="000000"/>
                <w:kern w:val="0"/>
                <w:szCs w:val="21"/>
              </w:rPr>
              <w:t>平均值</w:t>
            </w:r>
          </w:p>
        </w:tc>
        <w:tc>
          <w:tcPr>
            <w:tcW w:w="598" w:type="pct"/>
            <w:noWrap/>
            <w:vAlign w:val="center"/>
          </w:tcPr>
          <w:p w14:paraId="5CBE3905">
            <w:pPr>
              <w:widowControl/>
              <w:adjustRightInd w:val="0"/>
              <w:snapToGrid w:val="0"/>
              <w:spacing w:before="0" w:beforeLines="0" w:line="240" w:lineRule="auto"/>
              <w:jc w:val="center"/>
              <w:rPr>
                <w:kern w:val="0"/>
                <w:szCs w:val="21"/>
              </w:rPr>
            </w:pPr>
            <w:r>
              <w:rPr>
                <w:color w:val="000000"/>
                <w:kern w:val="0"/>
                <w:szCs w:val="21"/>
              </w:rPr>
              <w:t>60.0000</w:t>
            </w:r>
          </w:p>
        </w:tc>
        <w:tc>
          <w:tcPr>
            <w:tcW w:w="330" w:type="pct"/>
            <w:noWrap/>
            <w:vAlign w:val="center"/>
          </w:tcPr>
          <w:p w14:paraId="089E51BB">
            <w:pPr>
              <w:widowControl/>
              <w:adjustRightInd w:val="0"/>
              <w:snapToGrid w:val="0"/>
              <w:spacing w:before="0" w:beforeLines="0" w:line="240" w:lineRule="auto"/>
              <w:jc w:val="center"/>
              <w:rPr>
                <w:kern w:val="0"/>
                <w:szCs w:val="21"/>
              </w:rPr>
            </w:pPr>
            <w:r>
              <w:rPr>
                <w:color w:val="000000"/>
                <w:kern w:val="0"/>
                <w:szCs w:val="21"/>
              </w:rPr>
              <w:t>0.05</w:t>
            </w:r>
          </w:p>
        </w:tc>
        <w:tc>
          <w:tcPr>
            <w:tcW w:w="341" w:type="pct"/>
            <w:noWrap/>
            <w:vAlign w:val="center"/>
          </w:tcPr>
          <w:p w14:paraId="3CB22F67">
            <w:pPr>
              <w:widowControl/>
              <w:adjustRightInd w:val="0"/>
              <w:snapToGrid w:val="0"/>
              <w:spacing w:before="0" w:beforeLines="0" w:line="240" w:lineRule="auto"/>
              <w:jc w:val="center"/>
              <w:rPr>
                <w:kern w:val="0"/>
                <w:szCs w:val="21"/>
              </w:rPr>
            </w:pPr>
            <w:r>
              <w:rPr>
                <w:color w:val="000000"/>
                <w:kern w:val="0"/>
                <w:szCs w:val="21"/>
              </w:rPr>
              <w:t>达标</w:t>
            </w:r>
          </w:p>
        </w:tc>
      </w:tr>
      <w:tr w14:paraId="3FCD02BF">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14:paraId="6A68DD31">
            <w:pPr>
              <w:widowControl/>
              <w:adjustRightInd w:val="0"/>
              <w:snapToGrid w:val="0"/>
              <w:spacing w:before="0" w:beforeLines="0" w:line="240" w:lineRule="auto"/>
              <w:jc w:val="center"/>
              <w:rPr>
                <w:kern w:val="0"/>
                <w:szCs w:val="21"/>
              </w:rPr>
            </w:pPr>
            <w:r>
              <w:rPr>
                <w:rFonts w:hint="eastAsia"/>
                <w:kern w:val="0"/>
                <w:szCs w:val="21"/>
              </w:rPr>
              <w:t>5</w:t>
            </w:r>
          </w:p>
        </w:tc>
        <w:tc>
          <w:tcPr>
            <w:tcW w:w="664" w:type="pct"/>
            <w:vMerge w:val="restart"/>
            <w:noWrap/>
            <w:vAlign w:val="center"/>
          </w:tcPr>
          <w:p w14:paraId="53FA9BFB">
            <w:pPr>
              <w:widowControl/>
              <w:adjustRightInd w:val="0"/>
              <w:snapToGrid w:val="0"/>
              <w:spacing w:before="0" w:beforeLines="0" w:line="240" w:lineRule="auto"/>
              <w:jc w:val="center"/>
              <w:rPr>
                <w:kern w:val="0"/>
                <w:szCs w:val="21"/>
              </w:rPr>
            </w:pPr>
            <w:r>
              <w:rPr>
                <w:rFonts w:hint="eastAsia"/>
                <w:kern w:val="0"/>
                <w:szCs w:val="21"/>
              </w:rPr>
              <w:t>邵家窝堡</w:t>
            </w:r>
          </w:p>
        </w:tc>
        <w:tc>
          <w:tcPr>
            <w:tcW w:w="638" w:type="pct"/>
            <w:vMerge w:val="restart"/>
            <w:noWrap/>
            <w:vAlign w:val="center"/>
          </w:tcPr>
          <w:p w14:paraId="503EDDB3">
            <w:pPr>
              <w:widowControl/>
              <w:adjustRightInd w:val="0"/>
              <w:snapToGrid w:val="0"/>
              <w:spacing w:before="0" w:beforeLines="0" w:line="240" w:lineRule="auto"/>
              <w:jc w:val="center"/>
              <w:rPr>
                <w:kern w:val="0"/>
                <w:szCs w:val="21"/>
              </w:rPr>
            </w:pPr>
            <w:r>
              <w:rPr>
                <w:rFonts w:hint="eastAsia"/>
                <w:kern w:val="0"/>
                <w:szCs w:val="21"/>
              </w:rPr>
              <w:t>760，1865</w:t>
            </w:r>
          </w:p>
        </w:tc>
        <w:tc>
          <w:tcPr>
            <w:tcW w:w="434" w:type="pct"/>
            <w:vMerge w:val="restart"/>
            <w:noWrap/>
            <w:vAlign w:val="center"/>
          </w:tcPr>
          <w:p w14:paraId="16CBFCFD">
            <w:pPr>
              <w:widowControl/>
              <w:adjustRightInd w:val="0"/>
              <w:snapToGrid w:val="0"/>
              <w:spacing w:before="0" w:beforeLines="0" w:line="240" w:lineRule="auto"/>
              <w:jc w:val="center"/>
              <w:rPr>
                <w:kern w:val="0"/>
                <w:szCs w:val="21"/>
              </w:rPr>
            </w:pPr>
            <w:r>
              <w:rPr>
                <w:rFonts w:hint="eastAsia"/>
                <w:kern w:val="0"/>
                <w:szCs w:val="21"/>
              </w:rPr>
              <w:t>257.54</w:t>
            </w:r>
          </w:p>
        </w:tc>
        <w:tc>
          <w:tcPr>
            <w:tcW w:w="341" w:type="pct"/>
            <w:noWrap/>
            <w:vAlign w:val="center"/>
          </w:tcPr>
          <w:p w14:paraId="2AB52B09">
            <w:pPr>
              <w:widowControl/>
              <w:adjustRightInd w:val="0"/>
              <w:snapToGrid w:val="0"/>
              <w:spacing w:before="0" w:beforeLines="0" w:line="240" w:lineRule="auto"/>
              <w:jc w:val="center"/>
              <w:rPr>
                <w:kern w:val="0"/>
                <w:szCs w:val="21"/>
              </w:rPr>
            </w:pPr>
            <w:r>
              <w:rPr>
                <w:color w:val="000000"/>
                <w:kern w:val="0"/>
                <w:szCs w:val="21"/>
              </w:rPr>
              <w:t>日平均</w:t>
            </w:r>
          </w:p>
        </w:tc>
        <w:tc>
          <w:tcPr>
            <w:tcW w:w="662" w:type="pct"/>
            <w:noWrap/>
            <w:vAlign w:val="center"/>
          </w:tcPr>
          <w:p w14:paraId="0340C9CC">
            <w:pPr>
              <w:widowControl/>
              <w:adjustRightInd w:val="0"/>
              <w:snapToGrid w:val="0"/>
              <w:spacing w:before="0" w:beforeLines="0" w:line="240" w:lineRule="auto"/>
              <w:jc w:val="center"/>
              <w:rPr>
                <w:kern w:val="0"/>
                <w:szCs w:val="21"/>
              </w:rPr>
            </w:pPr>
            <w:r>
              <w:rPr>
                <w:color w:val="000000"/>
                <w:kern w:val="0"/>
                <w:szCs w:val="21"/>
              </w:rPr>
              <w:t>0.8342</w:t>
            </w:r>
          </w:p>
        </w:tc>
        <w:tc>
          <w:tcPr>
            <w:tcW w:w="780" w:type="pct"/>
            <w:noWrap/>
            <w:vAlign w:val="center"/>
          </w:tcPr>
          <w:p w14:paraId="678A3C32">
            <w:pPr>
              <w:widowControl/>
              <w:adjustRightInd w:val="0"/>
              <w:snapToGrid w:val="0"/>
              <w:spacing w:before="0" w:beforeLines="0" w:line="240" w:lineRule="auto"/>
              <w:jc w:val="center"/>
              <w:rPr>
                <w:kern w:val="0"/>
                <w:szCs w:val="21"/>
              </w:rPr>
            </w:pPr>
            <w:r>
              <w:rPr>
                <w:color w:val="000000"/>
                <w:kern w:val="0"/>
                <w:szCs w:val="21"/>
              </w:rPr>
              <w:t>250909</w:t>
            </w:r>
          </w:p>
        </w:tc>
        <w:tc>
          <w:tcPr>
            <w:tcW w:w="598" w:type="pct"/>
            <w:noWrap/>
            <w:vAlign w:val="center"/>
          </w:tcPr>
          <w:p w14:paraId="3D3446FF">
            <w:pPr>
              <w:widowControl/>
              <w:adjustRightInd w:val="0"/>
              <w:snapToGrid w:val="0"/>
              <w:spacing w:before="0" w:beforeLines="0" w:line="240" w:lineRule="auto"/>
              <w:jc w:val="center"/>
              <w:rPr>
                <w:kern w:val="0"/>
                <w:szCs w:val="21"/>
              </w:rPr>
            </w:pPr>
            <w:r>
              <w:rPr>
                <w:color w:val="000000"/>
                <w:kern w:val="0"/>
                <w:szCs w:val="21"/>
              </w:rPr>
              <w:t>120.0000</w:t>
            </w:r>
          </w:p>
        </w:tc>
        <w:tc>
          <w:tcPr>
            <w:tcW w:w="330" w:type="pct"/>
            <w:noWrap/>
            <w:vAlign w:val="center"/>
          </w:tcPr>
          <w:p w14:paraId="199486A5">
            <w:pPr>
              <w:widowControl/>
              <w:adjustRightInd w:val="0"/>
              <w:snapToGrid w:val="0"/>
              <w:spacing w:before="0" w:beforeLines="0" w:line="240" w:lineRule="auto"/>
              <w:jc w:val="center"/>
              <w:rPr>
                <w:kern w:val="0"/>
                <w:szCs w:val="21"/>
              </w:rPr>
            </w:pPr>
            <w:r>
              <w:rPr>
                <w:color w:val="000000"/>
                <w:kern w:val="0"/>
                <w:szCs w:val="21"/>
              </w:rPr>
              <w:t>0.70</w:t>
            </w:r>
          </w:p>
        </w:tc>
        <w:tc>
          <w:tcPr>
            <w:tcW w:w="341" w:type="pct"/>
            <w:noWrap/>
            <w:vAlign w:val="center"/>
          </w:tcPr>
          <w:p w14:paraId="71FE31E5">
            <w:pPr>
              <w:widowControl/>
              <w:adjustRightInd w:val="0"/>
              <w:snapToGrid w:val="0"/>
              <w:spacing w:before="0" w:beforeLines="0" w:line="240" w:lineRule="auto"/>
              <w:jc w:val="center"/>
              <w:rPr>
                <w:kern w:val="0"/>
                <w:szCs w:val="21"/>
              </w:rPr>
            </w:pPr>
            <w:r>
              <w:rPr>
                <w:color w:val="000000"/>
                <w:kern w:val="0"/>
                <w:szCs w:val="21"/>
              </w:rPr>
              <w:t>达标</w:t>
            </w:r>
          </w:p>
        </w:tc>
      </w:tr>
      <w:tr w14:paraId="7609F31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14:paraId="36EF2A3C">
            <w:pPr>
              <w:widowControl/>
              <w:adjustRightInd w:val="0"/>
              <w:snapToGrid w:val="0"/>
              <w:spacing w:before="0" w:beforeLines="0" w:line="240" w:lineRule="auto"/>
              <w:jc w:val="center"/>
              <w:rPr>
                <w:kern w:val="0"/>
                <w:szCs w:val="21"/>
              </w:rPr>
            </w:pPr>
          </w:p>
        </w:tc>
        <w:tc>
          <w:tcPr>
            <w:tcW w:w="664" w:type="pct"/>
            <w:vMerge w:val="continue"/>
            <w:vAlign w:val="center"/>
          </w:tcPr>
          <w:p w14:paraId="10341944">
            <w:pPr>
              <w:widowControl/>
              <w:adjustRightInd w:val="0"/>
              <w:snapToGrid w:val="0"/>
              <w:spacing w:before="0" w:beforeLines="0" w:line="240" w:lineRule="auto"/>
              <w:jc w:val="center"/>
              <w:rPr>
                <w:kern w:val="0"/>
                <w:szCs w:val="21"/>
              </w:rPr>
            </w:pPr>
          </w:p>
        </w:tc>
        <w:tc>
          <w:tcPr>
            <w:tcW w:w="638" w:type="pct"/>
            <w:vMerge w:val="continue"/>
            <w:vAlign w:val="center"/>
          </w:tcPr>
          <w:p w14:paraId="39B9F489">
            <w:pPr>
              <w:widowControl/>
              <w:adjustRightInd w:val="0"/>
              <w:snapToGrid w:val="0"/>
              <w:spacing w:before="0" w:beforeLines="0" w:line="240" w:lineRule="auto"/>
              <w:jc w:val="center"/>
              <w:rPr>
                <w:kern w:val="0"/>
                <w:szCs w:val="21"/>
              </w:rPr>
            </w:pPr>
          </w:p>
        </w:tc>
        <w:tc>
          <w:tcPr>
            <w:tcW w:w="434" w:type="pct"/>
            <w:vMerge w:val="continue"/>
            <w:vAlign w:val="center"/>
          </w:tcPr>
          <w:p w14:paraId="2DE6F367">
            <w:pPr>
              <w:widowControl/>
              <w:adjustRightInd w:val="0"/>
              <w:snapToGrid w:val="0"/>
              <w:spacing w:before="0" w:beforeLines="0" w:line="240" w:lineRule="auto"/>
              <w:jc w:val="center"/>
              <w:rPr>
                <w:kern w:val="0"/>
                <w:szCs w:val="21"/>
              </w:rPr>
            </w:pPr>
          </w:p>
        </w:tc>
        <w:tc>
          <w:tcPr>
            <w:tcW w:w="341" w:type="pct"/>
            <w:noWrap/>
            <w:vAlign w:val="center"/>
          </w:tcPr>
          <w:p w14:paraId="101482C6">
            <w:pPr>
              <w:widowControl/>
              <w:adjustRightInd w:val="0"/>
              <w:snapToGrid w:val="0"/>
              <w:spacing w:before="0" w:beforeLines="0" w:line="240" w:lineRule="auto"/>
              <w:jc w:val="center"/>
              <w:rPr>
                <w:kern w:val="0"/>
                <w:szCs w:val="21"/>
              </w:rPr>
            </w:pPr>
            <w:r>
              <w:rPr>
                <w:color w:val="000000"/>
                <w:kern w:val="0"/>
                <w:szCs w:val="21"/>
              </w:rPr>
              <w:t>全时段</w:t>
            </w:r>
          </w:p>
        </w:tc>
        <w:tc>
          <w:tcPr>
            <w:tcW w:w="662" w:type="pct"/>
            <w:noWrap/>
            <w:vAlign w:val="center"/>
          </w:tcPr>
          <w:p w14:paraId="7DE99CEC">
            <w:pPr>
              <w:widowControl/>
              <w:adjustRightInd w:val="0"/>
              <w:snapToGrid w:val="0"/>
              <w:spacing w:before="0" w:beforeLines="0" w:line="240" w:lineRule="auto"/>
              <w:jc w:val="center"/>
              <w:rPr>
                <w:kern w:val="0"/>
                <w:szCs w:val="21"/>
              </w:rPr>
            </w:pPr>
            <w:r>
              <w:rPr>
                <w:color w:val="000000"/>
                <w:kern w:val="0"/>
                <w:szCs w:val="21"/>
              </w:rPr>
              <w:t>0.1070</w:t>
            </w:r>
          </w:p>
        </w:tc>
        <w:tc>
          <w:tcPr>
            <w:tcW w:w="780" w:type="pct"/>
            <w:noWrap/>
            <w:vAlign w:val="center"/>
          </w:tcPr>
          <w:p w14:paraId="06361661">
            <w:pPr>
              <w:widowControl/>
              <w:adjustRightInd w:val="0"/>
              <w:snapToGrid w:val="0"/>
              <w:spacing w:before="0" w:beforeLines="0" w:line="240" w:lineRule="auto"/>
              <w:jc w:val="center"/>
              <w:rPr>
                <w:kern w:val="0"/>
                <w:szCs w:val="21"/>
              </w:rPr>
            </w:pPr>
            <w:r>
              <w:rPr>
                <w:color w:val="000000"/>
                <w:kern w:val="0"/>
                <w:szCs w:val="21"/>
              </w:rPr>
              <w:t>平均值</w:t>
            </w:r>
          </w:p>
        </w:tc>
        <w:tc>
          <w:tcPr>
            <w:tcW w:w="598" w:type="pct"/>
            <w:noWrap/>
            <w:vAlign w:val="center"/>
          </w:tcPr>
          <w:p w14:paraId="64053877">
            <w:pPr>
              <w:widowControl/>
              <w:adjustRightInd w:val="0"/>
              <w:snapToGrid w:val="0"/>
              <w:spacing w:before="0" w:beforeLines="0" w:line="240" w:lineRule="auto"/>
              <w:jc w:val="center"/>
              <w:rPr>
                <w:kern w:val="0"/>
                <w:szCs w:val="21"/>
              </w:rPr>
            </w:pPr>
            <w:r>
              <w:rPr>
                <w:color w:val="000000"/>
                <w:kern w:val="0"/>
                <w:szCs w:val="21"/>
              </w:rPr>
              <w:t>60.0000</w:t>
            </w:r>
          </w:p>
        </w:tc>
        <w:tc>
          <w:tcPr>
            <w:tcW w:w="330" w:type="pct"/>
            <w:noWrap/>
            <w:vAlign w:val="center"/>
          </w:tcPr>
          <w:p w14:paraId="37541408">
            <w:pPr>
              <w:widowControl/>
              <w:adjustRightInd w:val="0"/>
              <w:snapToGrid w:val="0"/>
              <w:spacing w:before="0" w:beforeLines="0" w:line="240" w:lineRule="auto"/>
              <w:jc w:val="center"/>
              <w:rPr>
                <w:kern w:val="0"/>
                <w:szCs w:val="21"/>
              </w:rPr>
            </w:pPr>
            <w:r>
              <w:rPr>
                <w:color w:val="000000"/>
                <w:kern w:val="0"/>
                <w:szCs w:val="21"/>
              </w:rPr>
              <w:t>0.18</w:t>
            </w:r>
          </w:p>
        </w:tc>
        <w:tc>
          <w:tcPr>
            <w:tcW w:w="341" w:type="pct"/>
            <w:noWrap/>
            <w:vAlign w:val="center"/>
          </w:tcPr>
          <w:p w14:paraId="2F9158D7">
            <w:pPr>
              <w:widowControl/>
              <w:adjustRightInd w:val="0"/>
              <w:snapToGrid w:val="0"/>
              <w:spacing w:before="0" w:beforeLines="0" w:line="240" w:lineRule="auto"/>
              <w:jc w:val="center"/>
              <w:rPr>
                <w:kern w:val="0"/>
                <w:szCs w:val="21"/>
              </w:rPr>
            </w:pPr>
            <w:r>
              <w:rPr>
                <w:color w:val="000000"/>
                <w:kern w:val="0"/>
                <w:szCs w:val="21"/>
              </w:rPr>
              <w:t>达标</w:t>
            </w:r>
          </w:p>
        </w:tc>
      </w:tr>
      <w:tr w14:paraId="63F4ECBD">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14:paraId="76BFA207">
            <w:pPr>
              <w:widowControl/>
              <w:adjustRightInd w:val="0"/>
              <w:snapToGrid w:val="0"/>
              <w:spacing w:before="0" w:beforeLines="0" w:line="240" w:lineRule="auto"/>
              <w:jc w:val="center"/>
              <w:rPr>
                <w:kern w:val="0"/>
                <w:szCs w:val="21"/>
              </w:rPr>
            </w:pPr>
            <w:r>
              <w:rPr>
                <w:rFonts w:hint="eastAsia"/>
                <w:kern w:val="0"/>
                <w:szCs w:val="21"/>
              </w:rPr>
              <w:t>6</w:t>
            </w:r>
          </w:p>
        </w:tc>
        <w:tc>
          <w:tcPr>
            <w:tcW w:w="664" w:type="pct"/>
            <w:vMerge w:val="restart"/>
            <w:noWrap/>
            <w:vAlign w:val="center"/>
          </w:tcPr>
          <w:p w14:paraId="30B7DD4E">
            <w:pPr>
              <w:widowControl/>
              <w:adjustRightInd w:val="0"/>
              <w:snapToGrid w:val="0"/>
              <w:spacing w:before="0" w:beforeLines="0" w:line="240" w:lineRule="auto"/>
              <w:jc w:val="center"/>
              <w:rPr>
                <w:kern w:val="0"/>
                <w:szCs w:val="21"/>
              </w:rPr>
            </w:pPr>
            <w:r>
              <w:rPr>
                <w:rFonts w:hint="eastAsia"/>
                <w:kern w:val="0"/>
                <w:szCs w:val="21"/>
              </w:rPr>
              <w:t>满汉营子</w:t>
            </w:r>
          </w:p>
        </w:tc>
        <w:tc>
          <w:tcPr>
            <w:tcW w:w="638" w:type="pct"/>
            <w:vMerge w:val="restart"/>
            <w:noWrap/>
            <w:vAlign w:val="center"/>
          </w:tcPr>
          <w:p w14:paraId="18B1CF6E">
            <w:pPr>
              <w:widowControl/>
              <w:adjustRightInd w:val="0"/>
              <w:snapToGrid w:val="0"/>
              <w:spacing w:before="0" w:beforeLines="0" w:line="240" w:lineRule="auto"/>
              <w:jc w:val="center"/>
              <w:rPr>
                <w:kern w:val="0"/>
                <w:szCs w:val="21"/>
              </w:rPr>
            </w:pPr>
            <w:r>
              <w:rPr>
                <w:rFonts w:hint="eastAsia"/>
                <w:kern w:val="0"/>
                <w:szCs w:val="21"/>
              </w:rPr>
              <w:t>2366，1019</w:t>
            </w:r>
          </w:p>
        </w:tc>
        <w:tc>
          <w:tcPr>
            <w:tcW w:w="434" w:type="pct"/>
            <w:vMerge w:val="restart"/>
            <w:noWrap/>
            <w:vAlign w:val="center"/>
          </w:tcPr>
          <w:p w14:paraId="786F7D7C">
            <w:pPr>
              <w:widowControl/>
              <w:adjustRightInd w:val="0"/>
              <w:snapToGrid w:val="0"/>
              <w:spacing w:before="0" w:beforeLines="0" w:line="240" w:lineRule="auto"/>
              <w:jc w:val="center"/>
              <w:rPr>
                <w:kern w:val="0"/>
                <w:szCs w:val="21"/>
              </w:rPr>
            </w:pPr>
            <w:r>
              <w:rPr>
                <w:rFonts w:hint="eastAsia"/>
                <w:kern w:val="0"/>
                <w:szCs w:val="21"/>
              </w:rPr>
              <w:t>262.39</w:t>
            </w:r>
          </w:p>
        </w:tc>
        <w:tc>
          <w:tcPr>
            <w:tcW w:w="341" w:type="pct"/>
            <w:noWrap/>
            <w:vAlign w:val="center"/>
          </w:tcPr>
          <w:p w14:paraId="682DE5AC">
            <w:pPr>
              <w:widowControl/>
              <w:adjustRightInd w:val="0"/>
              <w:snapToGrid w:val="0"/>
              <w:spacing w:before="0" w:beforeLines="0" w:line="240" w:lineRule="auto"/>
              <w:jc w:val="center"/>
              <w:rPr>
                <w:kern w:val="0"/>
                <w:szCs w:val="21"/>
              </w:rPr>
            </w:pPr>
            <w:r>
              <w:rPr>
                <w:color w:val="000000"/>
                <w:kern w:val="0"/>
                <w:szCs w:val="21"/>
              </w:rPr>
              <w:t>日平均</w:t>
            </w:r>
          </w:p>
        </w:tc>
        <w:tc>
          <w:tcPr>
            <w:tcW w:w="662" w:type="pct"/>
            <w:noWrap/>
            <w:vAlign w:val="center"/>
          </w:tcPr>
          <w:p w14:paraId="43D0D96A">
            <w:pPr>
              <w:widowControl/>
              <w:adjustRightInd w:val="0"/>
              <w:snapToGrid w:val="0"/>
              <w:spacing w:before="0" w:beforeLines="0" w:line="240" w:lineRule="auto"/>
              <w:jc w:val="center"/>
              <w:rPr>
                <w:kern w:val="0"/>
                <w:szCs w:val="21"/>
              </w:rPr>
            </w:pPr>
            <w:r>
              <w:rPr>
                <w:color w:val="000000"/>
                <w:kern w:val="0"/>
                <w:szCs w:val="21"/>
              </w:rPr>
              <w:t>0.3878</w:t>
            </w:r>
          </w:p>
        </w:tc>
        <w:tc>
          <w:tcPr>
            <w:tcW w:w="780" w:type="pct"/>
            <w:noWrap/>
            <w:vAlign w:val="center"/>
          </w:tcPr>
          <w:p w14:paraId="3E31A0DC">
            <w:pPr>
              <w:widowControl/>
              <w:adjustRightInd w:val="0"/>
              <w:snapToGrid w:val="0"/>
              <w:spacing w:before="0" w:beforeLines="0" w:line="240" w:lineRule="auto"/>
              <w:jc w:val="center"/>
              <w:rPr>
                <w:kern w:val="0"/>
                <w:szCs w:val="21"/>
              </w:rPr>
            </w:pPr>
            <w:r>
              <w:rPr>
                <w:color w:val="000000"/>
                <w:kern w:val="0"/>
                <w:szCs w:val="21"/>
              </w:rPr>
              <w:t>250919</w:t>
            </w:r>
          </w:p>
        </w:tc>
        <w:tc>
          <w:tcPr>
            <w:tcW w:w="598" w:type="pct"/>
            <w:noWrap/>
            <w:vAlign w:val="center"/>
          </w:tcPr>
          <w:p w14:paraId="10F4DA3D">
            <w:pPr>
              <w:widowControl/>
              <w:adjustRightInd w:val="0"/>
              <w:snapToGrid w:val="0"/>
              <w:spacing w:before="0" w:beforeLines="0" w:line="240" w:lineRule="auto"/>
              <w:jc w:val="center"/>
              <w:rPr>
                <w:kern w:val="0"/>
                <w:szCs w:val="21"/>
              </w:rPr>
            </w:pPr>
            <w:r>
              <w:rPr>
                <w:color w:val="000000"/>
                <w:kern w:val="0"/>
                <w:szCs w:val="21"/>
              </w:rPr>
              <w:t>120.0000</w:t>
            </w:r>
          </w:p>
        </w:tc>
        <w:tc>
          <w:tcPr>
            <w:tcW w:w="330" w:type="pct"/>
            <w:noWrap/>
            <w:vAlign w:val="center"/>
          </w:tcPr>
          <w:p w14:paraId="1C65001F">
            <w:pPr>
              <w:widowControl/>
              <w:adjustRightInd w:val="0"/>
              <w:snapToGrid w:val="0"/>
              <w:spacing w:before="0" w:beforeLines="0" w:line="240" w:lineRule="auto"/>
              <w:jc w:val="center"/>
              <w:rPr>
                <w:kern w:val="0"/>
                <w:szCs w:val="21"/>
              </w:rPr>
            </w:pPr>
            <w:r>
              <w:rPr>
                <w:color w:val="000000"/>
                <w:kern w:val="0"/>
                <w:szCs w:val="21"/>
              </w:rPr>
              <w:t>0.32</w:t>
            </w:r>
          </w:p>
        </w:tc>
        <w:tc>
          <w:tcPr>
            <w:tcW w:w="341" w:type="pct"/>
            <w:noWrap/>
            <w:vAlign w:val="center"/>
          </w:tcPr>
          <w:p w14:paraId="69C2744F">
            <w:pPr>
              <w:widowControl/>
              <w:adjustRightInd w:val="0"/>
              <w:snapToGrid w:val="0"/>
              <w:spacing w:before="0" w:beforeLines="0" w:line="240" w:lineRule="auto"/>
              <w:jc w:val="center"/>
              <w:rPr>
                <w:kern w:val="0"/>
                <w:szCs w:val="21"/>
              </w:rPr>
            </w:pPr>
            <w:r>
              <w:rPr>
                <w:color w:val="000000"/>
                <w:kern w:val="0"/>
                <w:szCs w:val="21"/>
              </w:rPr>
              <w:t>达标</w:t>
            </w:r>
          </w:p>
        </w:tc>
      </w:tr>
      <w:tr w14:paraId="0AED2FB3">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14:paraId="462AFA08">
            <w:pPr>
              <w:widowControl/>
              <w:adjustRightInd w:val="0"/>
              <w:snapToGrid w:val="0"/>
              <w:spacing w:before="0" w:beforeLines="0" w:line="240" w:lineRule="auto"/>
              <w:jc w:val="center"/>
              <w:rPr>
                <w:kern w:val="0"/>
                <w:szCs w:val="21"/>
              </w:rPr>
            </w:pPr>
          </w:p>
        </w:tc>
        <w:tc>
          <w:tcPr>
            <w:tcW w:w="664" w:type="pct"/>
            <w:vMerge w:val="continue"/>
            <w:vAlign w:val="center"/>
          </w:tcPr>
          <w:p w14:paraId="79C6E9E8">
            <w:pPr>
              <w:widowControl/>
              <w:adjustRightInd w:val="0"/>
              <w:snapToGrid w:val="0"/>
              <w:spacing w:before="0" w:beforeLines="0" w:line="240" w:lineRule="auto"/>
              <w:jc w:val="center"/>
              <w:rPr>
                <w:kern w:val="0"/>
                <w:szCs w:val="21"/>
              </w:rPr>
            </w:pPr>
          </w:p>
        </w:tc>
        <w:tc>
          <w:tcPr>
            <w:tcW w:w="638" w:type="pct"/>
            <w:vMerge w:val="continue"/>
            <w:vAlign w:val="center"/>
          </w:tcPr>
          <w:p w14:paraId="5F0863CA">
            <w:pPr>
              <w:widowControl/>
              <w:adjustRightInd w:val="0"/>
              <w:snapToGrid w:val="0"/>
              <w:spacing w:before="0" w:beforeLines="0" w:line="240" w:lineRule="auto"/>
              <w:jc w:val="center"/>
              <w:rPr>
                <w:kern w:val="0"/>
                <w:szCs w:val="21"/>
              </w:rPr>
            </w:pPr>
          </w:p>
        </w:tc>
        <w:tc>
          <w:tcPr>
            <w:tcW w:w="434" w:type="pct"/>
            <w:vMerge w:val="continue"/>
            <w:vAlign w:val="center"/>
          </w:tcPr>
          <w:p w14:paraId="5FE9159F">
            <w:pPr>
              <w:widowControl/>
              <w:adjustRightInd w:val="0"/>
              <w:snapToGrid w:val="0"/>
              <w:spacing w:before="0" w:beforeLines="0" w:line="240" w:lineRule="auto"/>
              <w:jc w:val="center"/>
              <w:rPr>
                <w:kern w:val="0"/>
                <w:szCs w:val="21"/>
              </w:rPr>
            </w:pPr>
          </w:p>
        </w:tc>
        <w:tc>
          <w:tcPr>
            <w:tcW w:w="341" w:type="pct"/>
            <w:noWrap/>
            <w:vAlign w:val="center"/>
          </w:tcPr>
          <w:p w14:paraId="0BEF5B6B">
            <w:pPr>
              <w:widowControl/>
              <w:adjustRightInd w:val="0"/>
              <w:snapToGrid w:val="0"/>
              <w:spacing w:before="0" w:beforeLines="0" w:line="240" w:lineRule="auto"/>
              <w:jc w:val="center"/>
              <w:rPr>
                <w:kern w:val="0"/>
                <w:szCs w:val="21"/>
              </w:rPr>
            </w:pPr>
            <w:r>
              <w:rPr>
                <w:color w:val="000000"/>
                <w:kern w:val="0"/>
                <w:szCs w:val="21"/>
              </w:rPr>
              <w:t>全时段</w:t>
            </w:r>
          </w:p>
        </w:tc>
        <w:tc>
          <w:tcPr>
            <w:tcW w:w="662" w:type="pct"/>
            <w:noWrap/>
            <w:vAlign w:val="center"/>
          </w:tcPr>
          <w:p w14:paraId="7892C580">
            <w:pPr>
              <w:widowControl/>
              <w:adjustRightInd w:val="0"/>
              <w:snapToGrid w:val="0"/>
              <w:spacing w:before="0" w:beforeLines="0" w:line="240" w:lineRule="auto"/>
              <w:jc w:val="center"/>
              <w:rPr>
                <w:kern w:val="0"/>
                <w:szCs w:val="21"/>
              </w:rPr>
            </w:pPr>
            <w:r>
              <w:rPr>
                <w:color w:val="000000"/>
                <w:kern w:val="0"/>
                <w:szCs w:val="21"/>
              </w:rPr>
              <w:t>0.0235</w:t>
            </w:r>
          </w:p>
        </w:tc>
        <w:tc>
          <w:tcPr>
            <w:tcW w:w="780" w:type="pct"/>
            <w:noWrap/>
            <w:vAlign w:val="center"/>
          </w:tcPr>
          <w:p w14:paraId="31AFB118">
            <w:pPr>
              <w:widowControl/>
              <w:adjustRightInd w:val="0"/>
              <w:snapToGrid w:val="0"/>
              <w:spacing w:before="0" w:beforeLines="0" w:line="240" w:lineRule="auto"/>
              <w:jc w:val="center"/>
              <w:rPr>
                <w:kern w:val="0"/>
                <w:szCs w:val="21"/>
              </w:rPr>
            </w:pPr>
            <w:r>
              <w:rPr>
                <w:color w:val="000000"/>
                <w:kern w:val="0"/>
                <w:szCs w:val="21"/>
              </w:rPr>
              <w:t>平均值</w:t>
            </w:r>
          </w:p>
        </w:tc>
        <w:tc>
          <w:tcPr>
            <w:tcW w:w="598" w:type="pct"/>
            <w:noWrap/>
            <w:vAlign w:val="center"/>
          </w:tcPr>
          <w:p w14:paraId="3C29A748">
            <w:pPr>
              <w:widowControl/>
              <w:adjustRightInd w:val="0"/>
              <w:snapToGrid w:val="0"/>
              <w:spacing w:before="0" w:beforeLines="0" w:line="240" w:lineRule="auto"/>
              <w:jc w:val="center"/>
              <w:rPr>
                <w:kern w:val="0"/>
                <w:szCs w:val="21"/>
              </w:rPr>
            </w:pPr>
            <w:r>
              <w:rPr>
                <w:color w:val="000000"/>
                <w:kern w:val="0"/>
                <w:szCs w:val="21"/>
              </w:rPr>
              <w:t>60.0000</w:t>
            </w:r>
          </w:p>
        </w:tc>
        <w:tc>
          <w:tcPr>
            <w:tcW w:w="330" w:type="pct"/>
            <w:noWrap/>
            <w:vAlign w:val="center"/>
          </w:tcPr>
          <w:p w14:paraId="25034C86">
            <w:pPr>
              <w:widowControl/>
              <w:adjustRightInd w:val="0"/>
              <w:snapToGrid w:val="0"/>
              <w:spacing w:before="0" w:beforeLines="0" w:line="240" w:lineRule="auto"/>
              <w:jc w:val="center"/>
              <w:rPr>
                <w:kern w:val="0"/>
                <w:szCs w:val="21"/>
              </w:rPr>
            </w:pPr>
            <w:r>
              <w:rPr>
                <w:color w:val="000000"/>
                <w:kern w:val="0"/>
                <w:szCs w:val="21"/>
              </w:rPr>
              <w:t>0.04</w:t>
            </w:r>
          </w:p>
        </w:tc>
        <w:tc>
          <w:tcPr>
            <w:tcW w:w="341" w:type="pct"/>
            <w:noWrap/>
            <w:vAlign w:val="center"/>
          </w:tcPr>
          <w:p w14:paraId="0A9B8294">
            <w:pPr>
              <w:widowControl/>
              <w:adjustRightInd w:val="0"/>
              <w:snapToGrid w:val="0"/>
              <w:spacing w:before="0" w:beforeLines="0" w:line="240" w:lineRule="auto"/>
              <w:jc w:val="center"/>
              <w:rPr>
                <w:kern w:val="0"/>
                <w:szCs w:val="21"/>
              </w:rPr>
            </w:pPr>
            <w:r>
              <w:rPr>
                <w:color w:val="000000"/>
                <w:kern w:val="0"/>
                <w:szCs w:val="21"/>
              </w:rPr>
              <w:t>达标</w:t>
            </w:r>
          </w:p>
        </w:tc>
      </w:tr>
      <w:tr w14:paraId="08757514">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14:paraId="484BA7E4">
            <w:pPr>
              <w:widowControl/>
              <w:adjustRightInd w:val="0"/>
              <w:snapToGrid w:val="0"/>
              <w:spacing w:before="0" w:beforeLines="0" w:line="240" w:lineRule="auto"/>
              <w:jc w:val="center"/>
              <w:rPr>
                <w:kern w:val="0"/>
                <w:szCs w:val="21"/>
              </w:rPr>
            </w:pPr>
            <w:r>
              <w:rPr>
                <w:rFonts w:hint="eastAsia"/>
                <w:kern w:val="0"/>
                <w:szCs w:val="21"/>
              </w:rPr>
              <w:t>7</w:t>
            </w:r>
          </w:p>
        </w:tc>
        <w:tc>
          <w:tcPr>
            <w:tcW w:w="664" w:type="pct"/>
            <w:vMerge w:val="restart"/>
            <w:noWrap/>
            <w:vAlign w:val="center"/>
          </w:tcPr>
          <w:p w14:paraId="1974A2B5">
            <w:pPr>
              <w:widowControl/>
              <w:adjustRightInd w:val="0"/>
              <w:snapToGrid w:val="0"/>
              <w:spacing w:before="0" w:beforeLines="0" w:line="240" w:lineRule="auto"/>
              <w:jc w:val="center"/>
              <w:rPr>
                <w:kern w:val="0"/>
                <w:szCs w:val="21"/>
              </w:rPr>
            </w:pPr>
            <w:r>
              <w:rPr>
                <w:rFonts w:hint="eastAsia"/>
                <w:kern w:val="0"/>
                <w:szCs w:val="21"/>
              </w:rPr>
              <w:t>郎家窝堡</w:t>
            </w:r>
          </w:p>
        </w:tc>
        <w:tc>
          <w:tcPr>
            <w:tcW w:w="638" w:type="pct"/>
            <w:vMerge w:val="restart"/>
            <w:noWrap/>
            <w:vAlign w:val="center"/>
          </w:tcPr>
          <w:p w14:paraId="2A92BB2B">
            <w:pPr>
              <w:widowControl/>
              <w:adjustRightInd w:val="0"/>
              <w:snapToGrid w:val="0"/>
              <w:spacing w:before="0" w:beforeLines="0" w:line="240" w:lineRule="auto"/>
              <w:jc w:val="center"/>
              <w:rPr>
                <w:kern w:val="0"/>
                <w:szCs w:val="21"/>
              </w:rPr>
            </w:pPr>
            <w:r>
              <w:rPr>
                <w:rFonts w:hint="eastAsia"/>
                <w:kern w:val="0"/>
                <w:szCs w:val="21"/>
              </w:rPr>
              <w:t>2451，2436</w:t>
            </w:r>
          </w:p>
        </w:tc>
        <w:tc>
          <w:tcPr>
            <w:tcW w:w="434" w:type="pct"/>
            <w:vMerge w:val="restart"/>
            <w:noWrap/>
            <w:vAlign w:val="center"/>
          </w:tcPr>
          <w:p w14:paraId="5A232A0D">
            <w:pPr>
              <w:widowControl/>
              <w:adjustRightInd w:val="0"/>
              <w:snapToGrid w:val="0"/>
              <w:spacing w:before="0" w:beforeLines="0" w:line="240" w:lineRule="auto"/>
              <w:jc w:val="center"/>
              <w:rPr>
                <w:kern w:val="0"/>
                <w:szCs w:val="21"/>
              </w:rPr>
            </w:pPr>
            <w:r>
              <w:rPr>
                <w:rFonts w:hint="eastAsia"/>
                <w:kern w:val="0"/>
                <w:szCs w:val="21"/>
              </w:rPr>
              <w:t>278.19</w:t>
            </w:r>
          </w:p>
        </w:tc>
        <w:tc>
          <w:tcPr>
            <w:tcW w:w="341" w:type="pct"/>
            <w:noWrap/>
            <w:vAlign w:val="center"/>
          </w:tcPr>
          <w:p w14:paraId="12110EDD">
            <w:pPr>
              <w:widowControl/>
              <w:adjustRightInd w:val="0"/>
              <w:snapToGrid w:val="0"/>
              <w:spacing w:before="0" w:beforeLines="0" w:line="240" w:lineRule="auto"/>
              <w:jc w:val="center"/>
              <w:rPr>
                <w:kern w:val="0"/>
                <w:szCs w:val="21"/>
              </w:rPr>
            </w:pPr>
            <w:r>
              <w:rPr>
                <w:color w:val="000000"/>
                <w:kern w:val="0"/>
                <w:szCs w:val="21"/>
              </w:rPr>
              <w:t>日平均</w:t>
            </w:r>
          </w:p>
        </w:tc>
        <w:tc>
          <w:tcPr>
            <w:tcW w:w="662" w:type="pct"/>
            <w:noWrap/>
            <w:vAlign w:val="center"/>
          </w:tcPr>
          <w:p w14:paraId="3373FB78">
            <w:pPr>
              <w:widowControl/>
              <w:adjustRightInd w:val="0"/>
              <w:snapToGrid w:val="0"/>
              <w:spacing w:before="0" w:beforeLines="0" w:line="240" w:lineRule="auto"/>
              <w:jc w:val="center"/>
              <w:rPr>
                <w:kern w:val="0"/>
                <w:szCs w:val="21"/>
              </w:rPr>
            </w:pPr>
            <w:r>
              <w:rPr>
                <w:color w:val="000000"/>
                <w:kern w:val="0"/>
                <w:szCs w:val="21"/>
              </w:rPr>
              <w:t>0.3259</w:t>
            </w:r>
          </w:p>
        </w:tc>
        <w:tc>
          <w:tcPr>
            <w:tcW w:w="780" w:type="pct"/>
            <w:noWrap/>
            <w:vAlign w:val="center"/>
          </w:tcPr>
          <w:p w14:paraId="0382F381">
            <w:pPr>
              <w:widowControl/>
              <w:adjustRightInd w:val="0"/>
              <w:snapToGrid w:val="0"/>
              <w:spacing w:before="0" w:beforeLines="0" w:line="240" w:lineRule="auto"/>
              <w:jc w:val="center"/>
              <w:rPr>
                <w:kern w:val="0"/>
                <w:szCs w:val="21"/>
              </w:rPr>
            </w:pPr>
            <w:r>
              <w:rPr>
                <w:color w:val="000000"/>
                <w:kern w:val="0"/>
                <w:szCs w:val="21"/>
              </w:rPr>
              <w:t>250826</w:t>
            </w:r>
          </w:p>
        </w:tc>
        <w:tc>
          <w:tcPr>
            <w:tcW w:w="598" w:type="pct"/>
            <w:noWrap/>
            <w:vAlign w:val="center"/>
          </w:tcPr>
          <w:p w14:paraId="51C44539">
            <w:pPr>
              <w:widowControl/>
              <w:adjustRightInd w:val="0"/>
              <w:snapToGrid w:val="0"/>
              <w:spacing w:before="0" w:beforeLines="0" w:line="240" w:lineRule="auto"/>
              <w:jc w:val="center"/>
              <w:rPr>
                <w:kern w:val="0"/>
                <w:szCs w:val="21"/>
              </w:rPr>
            </w:pPr>
            <w:r>
              <w:rPr>
                <w:color w:val="000000"/>
                <w:kern w:val="0"/>
                <w:szCs w:val="21"/>
              </w:rPr>
              <w:t>120.0000</w:t>
            </w:r>
          </w:p>
        </w:tc>
        <w:tc>
          <w:tcPr>
            <w:tcW w:w="330" w:type="pct"/>
            <w:noWrap/>
            <w:vAlign w:val="center"/>
          </w:tcPr>
          <w:p w14:paraId="71A07FBC">
            <w:pPr>
              <w:widowControl/>
              <w:adjustRightInd w:val="0"/>
              <w:snapToGrid w:val="0"/>
              <w:spacing w:before="0" w:beforeLines="0" w:line="240" w:lineRule="auto"/>
              <w:jc w:val="center"/>
              <w:rPr>
                <w:kern w:val="0"/>
                <w:szCs w:val="21"/>
              </w:rPr>
            </w:pPr>
            <w:r>
              <w:rPr>
                <w:color w:val="000000"/>
                <w:kern w:val="0"/>
                <w:szCs w:val="21"/>
              </w:rPr>
              <w:t>0.27</w:t>
            </w:r>
          </w:p>
        </w:tc>
        <w:tc>
          <w:tcPr>
            <w:tcW w:w="341" w:type="pct"/>
            <w:noWrap/>
            <w:vAlign w:val="center"/>
          </w:tcPr>
          <w:p w14:paraId="35513BF2">
            <w:pPr>
              <w:widowControl/>
              <w:adjustRightInd w:val="0"/>
              <w:snapToGrid w:val="0"/>
              <w:spacing w:before="0" w:beforeLines="0" w:line="240" w:lineRule="auto"/>
              <w:jc w:val="center"/>
              <w:rPr>
                <w:kern w:val="0"/>
                <w:szCs w:val="21"/>
              </w:rPr>
            </w:pPr>
            <w:r>
              <w:rPr>
                <w:color w:val="000000"/>
                <w:kern w:val="0"/>
                <w:szCs w:val="21"/>
              </w:rPr>
              <w:t>达标</w:t>
            </w:r>
          </w:p>
        </w:tc>
      </w:tr>
      <w:tr w14:paraId="5EE6E30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14:paraId="1D1942A8">
            <w:pPr>
              <w:widowControl/>
              <w:adjustRightInd w:val="0"/>
              <w:snapToGrid w:val="0"/>
              <w:spacing w:before="0" w:beforeLines="0" w:line="240" w:lineRule="auto"/>
              <w:jc w:val="center"/>
              <w:rPr>
                <w:kern w:val="0"/>
                <w:szCs w:val="21"/>
              </w:rPr>
            </w:pPr>
          </w:p>
        </w:tc>
        <w:tc>
          <w:tcPr>
            <w:tcW w:w="664" w:type="pct"/>
            <w:vMerge w:val="continue"/>
            <w:vAlign w:val="center"/>
          </w:tcPr>
          <w:p w14:paraId="6D1ED7F5">
            <w:pPr>
              <w:widowControl/>
              <w:adjustRightInd w:val="0"/>
              <w:snapToGrid w:val="0"/>
              <w:spacing w:before="0" w:beforeLines="0" w:line="240" w:lineRule="auto"/>
              <w:jc w:val="center"/>
              <w:rPr>
                <w:kern w:val="0"/>
                <w:szCs w:val="21"/>
              </w:rPr>
            </w:pPr>
          </w:p>
        </w:tc>
        <w:tc>
          <w:tcPr>
            <w:tcW w:w="638" w:type="pct"/>
            <w:vMerge w:val="continue"/>
            <w:vAlign w:val="center"/>
          </w:tcPr>
          <w:p w14:paraId="534FC34B">
            <w:pPr>
              <w:widowControl/>
              <w:adjustRightInd w:val="0"/>
              <w:snapToGrid w:val="0"/>
              <w:spacing w:before="0" w:beforeLines="0" w:line="240" w:lineRule="auto"/>
              <w:jc w:val="center"/>
              <w:rPr>
                <w:kern w:val="0"/>
                <w:szCs w:val="21"/>
              </w:rPr>
            </w:pPr>
          </w:p>
        </w:tc>
        <w:tc>
          <w:tcPr>
            <w:tcW w:w="434" w:type="pct"/>
            <w:vMerge w:val="continue"/>
            <w:vAlign w:val="center"/>
          </w:tcPr>
          <w:p w14:paraId="360406AA">
            <w:pPr>
              <w:widowControl/>
              <w:adjustRightInd w:val="0"/>
              <w:snapToGrid w:val="0"/>
              <w:spacing w:before="0" w:beforeLines="0" w:line="240" w:lineRule="auto"/>
              <w:jc w:val="center"/>
              <w:rPr>
                <w:kern w:val="0"/>
                <w:szCs w:val="21"/>
              </w:rPr>
            </w:pPr>
          </w:p>
        </w:tc>
        <w:tc>
          <w:tcPr>
            <w:tcW w:w="341" w:type="pct"/>
            <w:noWrap/>
            <w:vAlign w:val="center"/>
          </w:tcPr>
          <w:p w14:paraId="5380693F">
            <w:pPr>
              <w:widowControl/>
              <w:adjustRightInd w:val="0"/>
              <w:snapToGrid w:val="0"/>
              <w:spacing w:before="0" w:beforeLines="0" w:line="240" w:lineRule="auto"/>
              <w:jc w:val="center"/>
              <w:rPr>
                <w:kern w:val="0"/>
                <w:szCs w:val="21"/>
              </w:rPr>
            </w:pPr>
            <w:r>
              <w:rPr>
                <w:color w:val="000000"/>
                <w:kern w:val="0"/>
                <w:szCs w:val="21"/>
              </w:rPr>
              <w:t>全时段</w:t>
            </w:r>
          </w:p>
        </w:tc>
        <w:tc>
          <w:tcPr>
            <w:tcW w:w="662" w:type="pct"/>
            <w:noWrap/>
            <w:vAlign w:val="center"/>
          </w:tcPr>
          <w:p w14:paraId="0052664A">
            <w:pPr>
              <w:widowControl/>
              <w:adjustRightInd w:val="0"/>
              <w:snapToGrid w:val="0"/>
              <w:spacing w:before="0" w:beforeLines="0" w:line="240" w:lineRule="auto"/>
              <w:jc w:val="center"/>
              <w:rPr>
                <w:kern w:val="0"/>
                <w:szCs w:val="21"/>
              </w:rPr>
            </w:pPr>
            <w:r>
              <w:rPr>
                <w:color w:val="000000"/>
                <w:kern w:val="0"/>
                <w:szCs w:val="21"/>
              </w:rPr>
              <w:t>0.0239</w:t>
            </w:r>
          </w:p>
        </w:tc>
        <w:tc>
          <w:tcPr>
            <w:tcW w:w="780" w:type="pct"/>
            <w:noWrap/>
            <w:vAlign w:val="center"/>
          </w:tcPr>
          <w:p w14:paraId="742AD489">
            <w:pPr>
              <w:widowControl/>
              <w:adjustRightInd w:val="0"/>
              <w:snapToGrid w:val="0"/>
              <w:spacing w:before="0" w:beforeLines="0" w:line="240" w:lineRule="auto"/>
              <w:jc w:val="center"/>
              <w:rPr>
                <w:kern w:val="0"/>
                <w:szCs w:val="21"/>
              </w:rPr>
            </w:pPr>
            <w:r>
              <w:rPr>
                <w:color w:val="000000"/>
                <w:kern w:val="0"/>
                <w:szCs w:val="21"/>
              </w:rPr>
              <w:t>平均值</w:t>
            </w:r>
          </w:p>
        </w:tc>
        <w:tc>
          <w:tcPr>
            <w:tcW w:w="598" w:type="pct"/>
            <w:noWrap/>
            <w:vAlign w:val="center"/>
          </w:tcPr>
          <w:p w14:paraId="2A2879B1">
            <w:pPr>
              <w:widowControl/>
              <w:adjustRightInd w:val="0"/>
              <w:snapToGrid w:val="0"/>
              <w:spacing w:before="0" w:beforeLines="0" w:line="240" w:lineRule="auto"/>
              <w:jc w:val="center"/>
              <w:rPr>
                <w:kern w:val="0"/>
                <w:szCs w:val="21"/>
              </w:rPr>
            </w:pPr>
            <w:r>
              <w:rPr>
                <w:color w:val="000000"/>
                <w:kern w:val="0"/>
                <w:szCs w:val="21"/>
              </w:rPr>
              <w:t>60.0000</w:t>
            </w:r>
          </w:p>
        </w:tc>
        <w:tc>
          <w:tcPr>
            <w:tcW w:w="330" w:type="pct"/>
            <w:noWrap/>
            <w:vAlign w:val="center"/>
          </w:tcPr>
          <w:p w14:paraId="6DD14F25">
            <w:pPr>
              <w:widowControl/>
              <w:adjustRightInd w:val="0"/>
              <w:snapToGrid w:val="0"/>
              <w:spacing w:before="0" w:beforeLines="0" w:line="240" w:lineRule="auto"/>
              <w:jc w:val="center"/>
              <w:rPr>
                <w:kern w:val="0"/>
                <w:szCs w:val="21"/>
              </w:rPr>
            </w:pPr>
            <w:r>
              <w:rPr>
                <w:color w:val="000000"/>
                <w:kern w:val="0"/>
                <w:szCs w:val="21"/>
              </w:rPr>
              <w:t>0.04</w:t>
            </w:r>
          </w:p>
        </w:tc>
        <w:tc>
          <w:tcPr>
            <w:tcW w:w="341" w:type="pct"/>
            <w:noWrap/>
            <w:vAlign w:val="center"/>
          </w:tcPr>
          <w:p w14:paraId="11D62219">
            <w:pPr>
              <w:widowControl/>
              <w:adjustRightInd w:val="0"/>
              <w:snapToGrid w:val="0"/>
              <w:spacing w:before="0" w:beforeLines="0" w:line="240" w:lineRule="auto"/>
              <w:jc w:val="center"/>
              <w:rPr>
                <w:kern w:val="0"/>
                <w:szCs w:val="21"/>
              </w:rPr>
            </w:pPr>
            <w:r>
              <w:rPr>
                <w:color w:val="000000"/>
                <w:kern w:val="0"/>
                <w:szCs w:val="21"/>
              </w:rPr>
              <w:t>达标</w:t>
            </w:r>
          </w:p>
        </w:tc>
      </w:tr>
      <w:tr w14:paraId="0D6EBE92">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14:paraId="5AA0B4D2">
            <w:pPr>
              <w:widowControl/>
              <w:adjustRightInd w:val="0"/>
              <w:snapToGrid w:val="0"/>
              <w:spacing w:before="0" w:beforeLines="0" w:line="240" w:lineRule="auto"/>
              <w:jc w:val="center"/>
              <w:rPr>
                <w:kern w:val="0"/>
                <w:szCs w:val="21"/>
              </w:rPr>
            </w:pPr>
            <w:r>
              <w:rPr>
                <w:rFonts w:hint="eastAsia"/>
                <w:kern w:val="0"/>
                <w:szCs w:val="21"/>
              </w:rPr>
              <w:t>8</w:t>
            </w:r>
          </w:p>
        </w:tc>
        <w:tc>
          <w:tcPr>
            <w:tcW w:w="664" w:type="pct"/>
            <w:vMerge w:val="restart"/>
            <w:noWrap/>
            <w:vAlign w:val="center"/>
          </w:tcPr>
          <w:p w14:paraId="6245D359">
            <w:pPr>
              <w:widowControl/>
              <w:adjustRightInd w:val="0"/>
              <w:snapToGrid w:val="0"/>
              <w:spacing w:before="0" w:beforeLines="0" w:line="240" w:lineRule="auto"/>
              <w:jc w:val="center"/>
              <w:rPr>
                <w:kern w:val="0"/>
                <w:szCs w:val="21"/>
              </w:rPr>
            </w:pPr>
            <w:r>
              <w:rPr>
                <w:rFonts w:hint="eastAsia"/>
                <w:kern w:val="0"/>
                <w:szCs w:val="21"/>
              </w:rPr>
              <w:t>那四板营子</w:t>
            </w:r>
          </w:p>
        </w:tc>
        <w:tc>
          <w:tcPr>
            <w:tcW w:w="638" w:type="pct"/>
            <w:vMerge w:val="restart"/>
            <w:noWrap/>
            <w:vAlign w:val="center"/>
          </w:tcPr>
          <w:p w14:paraId="2BC9EF39">
            <w:pPr>
              <w:widowControl/>
              <w:adjustRightInd w:val="0"/>
              <w:snapToGrid w:val="0"/>
              <w:spacing w:before="0" w:beforeLines="0" w:line="240" w:lineRule="auto"/>
              <w:jc w:val="center"/>
              <w:rPr>
                <w:kern w:val="0"/>
                <w:szCs w:val="21"/>
              </w:rPr>
            </w:pPr>
            <w:r>
              <w:rPr>
                <w:rFonts w:hint="eastAsia"/>
                <w:kern w:val="0"/>
                <w:szCs w:val="21"/>
              </w:rPr>
              <w:t>1704,-1626</w:t>
            </w:r>
          </w:p>
        </w:tc>
        <w:tc>
          <w:tcPr>
            <w:tcW w:w="434" w:type="pct"/>
            <w:vMerge w:val="restart"/>
            <w:noWrap/>
            <w:vAlign w:val="center"/>
          </w:tcPr>
          <w:p w14:paraId="7CEB3B24">
            <w:pPr>
              <w:widowControl/>
              <w:adjustRightInd w:val="0"/>
              <w:snapToGrid w:val="0"/>
              <w:spacing w:before="0" w:beforeLines="0" w:line="240" w:lineRule="auto"/>
              <w:jc w:val="center"/>
              <w:rPr>
                <w:kern w:val="0"/>
                <w:szCs w:val="21"/>
              </w:rPr>
            </w:pPr>
            <w:r>
              <w:rPr>
                <w:rFonts w:hint="eastAsia"/>
                <w:kern w:val="0"/>
                <w:szCs w:val="21"/>
              </w:rPr>
              <w:t>282.04</w:t>
            </w:r>
          </w:p>
        </w:tc>
        <w:tc>
          <w:tcPr>
            <w:tcW w:w="341" w:type="pct"/>
            <w:noWrap/>
            <w:vAlign w:val="center"/>
          </w:tcPr>
          <w:p w14:paraId="6748C152">
            <w:pPr>
              <w:widowControl/>
              <w:adjustRightInd w:val="0"/>
              <w:snapToGrid w:val="0"/>
              <w:spacing w:before="0" w:beforeLines="0" w:line="240" w:lineRule="auto"/>
              <w:jc w:val="center"/>
              <w:rPr>
                <w:kern w:val="0"/>
                <w:szCs w:val="21"/>
              </w:rPr>
            </w:pPr>
            <w:r>
              <w:rPr>
                <w:color w:val="000000"/>
                <w:kern w:val="0"/>
                <w:szCs w:val="21"/>
              </w:rPr>
              <w:t>日平均</w:t>
            </w:r>
          </w:p>
        </w:tc>
        <w:tc>
          <w:tcPr>
            <w:tcW w:w="662" w:type="pct"/>
            <w:noWrap/>
            <w:vAlign w:val="center"/>
          </w:tcPr>
          <w:p w14:paraId="6D2D60B2">
            <w:pPr>
              <w:widowControl/>
              <w:adjustRightInd w:val="0"/>
              <w:snapToGrid w:val="0"/>
              <w:spacing w:before="0" w:beforeLines="0" w:line="240" w:lineRule="auto"/>
              <w:jc w:val="center"/>
              <w:rPr>
                <w:kern w:val="0"/>
                <w:szCs w:val="21"/>
              </w:rPr>
            </w:pPr>
            <w:r>
              <w:rPr>
                <w:color w:val="000000"/>
                <w:kern w:val="0"/>
                <w:szCs w:val="21"/>
              </w:rPr>
              <w:t>0.9430</w:t>
            </w:r>
          </w:p>
        </w:tc>
        <w:tc>
          <w:tcPr>
            <w:tcW w:w="780" w:type="pct"/>
            <w:noWrap/>
            <w:vAlign w:val="center"/>
          </w:tcPr>
          <w:p w14:paraId="00E37AD0">
            <w:pPr>
              <w:widowControl/>
              <w:adjustRightInd w:val="0"/>
              <w:snapToGrid w:val="0"/>
              <w:spacing w:before="0" w:beforeLines="0" w:line="240" w:lineRule="auto"/>
              <w:jc w:val="center"/>
              <w:rPr>
                <w:kern w:val="0"/>
                <w:szCs w:val="21"/>
              </w:rPr>
            </w:pPr>
            <w:r>
              <w:rPr>
                <w:color w:val="000000"/>
                <w:kern w:val="0"/>
                <w:szCs w:val="21"/>
              </w:rPr>
              <w:t>251002</w:t>
            </w:r>
          </w:p>
        </w:tc>
        <w:tc>
          <w:tcPr>
            <w:tcW w:w="598" w:type="pct"/>
            <w:noWrap/>
            <w:vAlign w:val="center"/>
          </w:tcPr>
          <w:p w14:paraId="31EB31A4">
            <w:pPr>
              <w:widowControl/>
              <w:adjustRightInd w:val="0"/>
              <w:snapToGrid w:val="0"/>
              <w:spacing w:before="0" w:beforeLines="0" w:line="240" w:lineRule="auto"/>
              <w:jc w:val="center"/>
              <w:rPr>
                <w:kern w:val="0"/>
                <w:szCs w:val="21"/>
              </w:rPr>
            </w:pPr>
            <w:r>
              <w:rPr>
                <w:color w:val="000000"/>
                <w:kern w:val="0"/>
                <w:szCs w:val="21"/>
              </w:rPr>
              <w:t>120.0000</w:t>
            </w:r>
          </w:p>
        </w:tc>
        <w:tc>
          <w:tcPr>
            <w:tcW w:w="330" w:type="pct"/>
            <w:noWrap/>
            <w:vAlign w:val="center"/>
          </w:tcPr>
          <w:p w14:paraId="26DC1D46">
            <w:pPr>
              <w:widowControl/>
              <w:adjustRightInd w:val="0"/>
              <w:snapToGrid w:val="0"/>
              <w:spacing w:before="0" w:beforeLines="0" w:line="240" w:lineRule="auto"/>
              <w:jc w:val="center"/>
              <w:rPr>
                <w:kern w:val="0"/>
                <w:szCs w:val="21"/>
              </w:rPr>
            </w:pPr>
            <w:r>
              <w:rPr>
                <w:color w:val="000000"/>
                <w:kern w:val="0"/>
                <w:szCs w:val="21"/>
              </w:rPr>
              <w:t>0.79</w:t>
            </w:r>
          </w:p>
        </w:tc>
        <w:tc>
          <w:tcPr>
            <w:tcW w:w="341" w:type="pct"/>
            <w:noWrap/>
            <w:vAlign w:val="center"/>
          </w:tcPr>
          <w:p w14:paraId="655BCA5A">
            <w:pPr>
              <w:widowControl/>
              <w:adjustRightInd w:val="0"/>
              <w:snapToGrid w:val="0"/>
              <w:spacing w:before="0" w:beforeLines="0" w:line="240" w:lineRule="auto"/>
              <w:jc w:val="center"/>
              <w:rPr>
                <w:kern w:val="0"/>
                <w:szCs w:val="21"/>
              </w:rPr>
            </w:pPr>
            <w:r>
              <w:rPr>
                <w:color w:val="000000"/>
                <w:kern w:val="0"/>
                <w:szCs w:val="21"/>
              </w:rPr>
              <w:t>达标</w:t>
            </w:r>
          </w:p>
        </w:tc>
      </w:tr>
      <w:tr w14:paraId="0BBBD18F">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14:paraId="6C9196FE">
            <w:pPr>
              <w:widowControl/>
              <w:adjustRightInd w:val="0"/>
              <w:snapToGrid w:val="0"/>
              <w:spacing w:before="0" w:beforeLines="0" w:line="240" w:lineRule="auto"/>
              <w:jc w:val="center"/>
              <w:rPr>
                <w:kern w:val="0"/>
                <w:szCs w:val="21"/>
              </w:rPr>
            </w:pPr>
          </w:p>
        </w:tc>
        <w:tc>
          <w:tcPr>
            <w:tcW w:w="664" w:type="pct"/>
            <w:vMerge w:val="continue"/>
            <w:vAlign w:val="center"/>
          </w:tcPr>
          <w:p w14:paraId="285A71B4">
            <w:pPr>
              <w:widowControl/>
              <w:adjustRightInd w:val="0"/>
              <w:snapToGrid w:val="0"/>
              <w:spacing w:before="0" w:beforeLines="0" w:line="240" w:lineRule="auto"/>
              <w:jc w:val="center"/>
              <w:rPr>
                <w:kern w:val="0"/>
                <w:szCs w:val="21"/>
              </w:rPr>
            </w:pPr>
          </w:p>
        </w:tc>
        <w:tc>
          <w:tcPr>
            <w:tcW w:w="638" w:type="pct"/>
            <w:vMerge w:val="continue"/>
            <w:vAlign w:val="center"/>
          </w:tcPr>
          <w:p w14:paraId="30C8E1BB">
            <w:pPr>
              <w:widowControl/>
              <w:adjustRightInd w:val="0"/>
              <w:snapToGrid w:val="0"/>
              <w:spacing w:before="0" w:beforeLines="0" w:line="240" w:lineRule="auto"/>
              <w:jc w:val="center"/>
              <w:rPr>
                <w:kern w:val="0"/>
                <w:szCs w:val="21"/>
              </w:rPr>
            </w:pPr>
          </w:p>
        </w:tc>
        <w:tc>
          <w:tcPr>
            <w:tcW w:w="434" w:type="pct"/>
            <w:vMerge w:val="continue"/>
            <w:vAlign w:val="center"/>
          </w:tcPr>
          <w:p w14:paraId="25888685">
            <w:pPr>
              <w:widowControl/>
              <w:adjustRightInd w:val="0"/>
              <w:snapToGrid w:val="0"/>
              <w:spacing w:before="0" w:beforeLines="0" w:line="240" w:lineRule="auto"/>
              <w:jc w:val="center"/>
              <w:rPr>
                <w:kern w:val="0"/>
                <w:szCs w:val="21"/>
              </w:rPr>
            </w:pPr>
          </w:p>
        </w:tc>
        <w:tc>
          <w:tcPr>
            <w:tcW w:w="341" w:type="pct"/>
            <w:noWrap/>
            <w:vAlign w:val="center"/>
          </w:tcPr>
          <w:p w14:paraId="019D7004">
            <w:pPr>
              <w:widowControl/>
              <w:adjustRightInd w:val="0"/>
              <w:snapToGrid w:val="0"/>
              <w:spacing w:before="0" w:beforeLines="0" w:line="240" w:lineRule="auto"/>
              <w:jc w:val="center"/>
              <w:rPr>
                <w:kern w:val="0"/>
                <w:szCs w:val="21"/>
              </w:rPr>
            </w:pPr>
            <w:r>
              <w:rPr>
                <w:color w:val="000000"/>
                <w:kern w:val="0"/>
                <w:szCs w:val="21"/>
              </w:rPr>
              <w:t>全时段</w:t>
            </w:r>
          </w:p>
        </w:tc>
        <w:tc>
          <w:tcPr>
            <w:tcW w:w="662" w:type="pct"/>
            <w:noWrap/>
            <w:vAlign w:val="center"/>
          </w:tcPr>
          <w:p w14:paraId="0FDEF8D0">
            <w:pPr>
              <w:widowControl/>
              <w:adjustRightInd w:val="0"/>
              <w:snapToGrid w:val="0"/>
              <w:spacing w:before="0" w:beforeLines="0" w:line="240" w:lineRule="auto"/>
              <w:jc w:val="center"/>
              <w:rPr>
                <w:kern w:val="0"/>
                <w:szCs w:val="21"/>
              </w:rPr>
            </w:pPr>
            <w:r>
              <w:rPr>
                <w:color w:val="000000"/>
                <w:kern w:val="0"/>
                <w:szCs w:val="21"/>
              </w:rPr>
              <w:t>0.0680</w:t>
            </w:r>
          </w:p>
        </w:tc>
        <w:tc>
          <w:tcPr>
            <w:tcW w:w="780" w:type="pct"/>
            <w:noWrap/>
            <w:vAlign w:val="center"/>
          </w:tcPr>
          <w:p w14:paraId="77FBEF3E">
            <w:pPr>
              <w:widowControl/>
              <w:adjustRightInd w:val="0"/>
              <w:snapToGrid w:val="0"/>
              <w:spacing w:before="0" w:beforeLines="0" w:line="240" w:lineRule="auto"/>
              <w:jc w:val="center"/>
              <w:rPr>
                <w:kern w:val="0"/>
                <w:szCs w:val="21"/>
              </w:rPr>
            </w:pPr>
            <w:r>
              <w:rPr>
                <w:color w:val="000000"/>
                <w:kern w:val="0"/>
                <w:szCs w:val="21"/>
              </w:rPr>
              <w:t>平均值</w:t>
            </w:r>
          </w:p>
        </w:tc>
        <w:tc>
          <w:tcPr>
            <w:tcW w:w="598" w:type="pct"/>
            <w:noWrap/>
            <w:vAlign w:val="center"/>
          </w:tcPr>
          <w:p w14:paraId="17162542">
            <w:pPr>
              <w:widowControl/>
              <w:adjustRightInd w:val="0"/>
              <w:snapToGrid w:val="0"/>
              <w:spacing w:before="0" w:beforeLines="0" w:line="240" w:lineRule="auto"/>
              <w:jc w:val="center"/>
              <w:rPr>
                <w:kern w:val="0"/>
                <w:szCs w:val="21"/>
              </w:rPr>
            </w:pPr>
            <w:r>
              <w:rPr>
                <w:color w:val="000000"/>
                <w:kern w:val="0"/>
                <w:szCs w:val="21"/>
              </w:rPr>
              <w:t>60.0000</w:t>
            </w:r>
          </w:p>
        </w:tc>
        <w:tc>
          <w:tcPr>
            <w:tcW w:w="330" w:type="pct"/>
            <w:noWrap/>
            <w:vAlign w:val="center"/>
          </w:tcPr>
          <w:p w14:paraId="47A01D48">
            <w:pPr>
              <w:widowControl/>
              <w:adjustRightInd w:val="0"/>
              <w:snapToGrid w:val="0"/>
              <w:spacing w:before="0" w:beforeLines="0" w:line="240" w:lineRule="auto"/>
              <w:jc w:val="center"/>
              <w:rPr>
                <w:kern w:val="0"/>
                <w:szCs w:val="21"/>
              </w:rPr>
            </w:pPr>
            <w:r>
              <w:rPr>
                <w:color w:val="000000"/>
                <w:kern w:val="0"/>
                <w:szCs w:val="21"/>
              </w:rPr>
              <w:t>0.11</w:t>
            </w:r>
          </w:p>
        </w:tc>
        <w:tc>
          <w:tcPr>
            <w:tcW w:w="341" w:type="pct"/>
            <w:noWrap/>
            <w:vAlign w:val="center"/>
          </w:tcPr>
          <w:p w14:paraId="649037DC">
            <w:pPr>
              <w:widowControl/>
              <w:adjustRightInd w:val="0"/>
              <w:snapToGrid w:val="0"/>
              <w:spacing w:before="0" w:beforeLines="0" w:line="240" w:lineRule="auto"/>
              <w:jc w:val="center"/>
              <w:rPr>
                <w:kern w:val="0"/>
                <w:szCs w:val="21"/>
              </w:rPr>
            </w:pPr>
            <w:r>
              <w:rPr>
                <w:color w:val="000000"/>
                <w:kern w:val="0"/>
                <w:szCs w:val="21"/>
              </w:rPr>
              <w:t>达标</w:t>
            </w:r>
          </w:p>
        </w:tc>
      </w:tr>
      <w:tr w14:paraId="37ED306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14:paraId="3F631E3C">
            <w:pPr>
              <w:widowControl/>
              <w:adjustRightInd w:val="0"/>
              <w:snapToGrid w:val="0"/>
              <w:spacing w:before="0" w:beforeLines="0" w:line="240" w:lineRule="auto"/>
              <w:jc w:val="center"/>
              <w:rPr>
                <w:kern w:val="0"/>
                <w:szCs w:val="21"/>
              </w:rPr>
            </w:pPr>
            <w:r>
              <w:rPr>
                <w:rFonts w:hint="eastAsia"/>
                <w:kern w:val="0"/>
                <w:szCs w:val="21"/>
              </w:rPr>
              <w:t>9</w:t>
            </w:r>
          </w:p>
        </w:tc>
        <w:tc>
          <w:tcPr>
            <w:tcW w:w="664" w:type="pct"/>
            <w:vMerge w:val="restart"/>
            <w:noWrap/>
            <w:vAlign w:val="center"/>
          </w:tcPr>
          <w:p w14:paraId="588BC1FB">
            <w:pPr>
              <w:widowControl/>
              <w:adjustRightInd w:val="0"/>
              <w:snapToGrid w:val="0"/>
              <w:spacing w:before="0" w:beforeLines="0" w:line="240" w:lineRule="auto"/>
              <w:jc w:val="center"/>
              <w:rPr>
                <w:kern w:val="0"/>
                <w:szCs w:val="21"/>
              </w:rPr>
            </w:pPr>
            <w:r>
              <w:rPr>
                <w:rFonts w:hint="eastAsia"/>
                <w:kern w:val="0"/>
                <w:szCs w:val="21"/>
              </w:rPr>
              <w:t>四方庙子村</w:t>
            </w:r>
          </w:p>
        </w:tc>
        <w:tc>
          <w:tcPr>
            <w:tcW w:w="638" w:type="pct"/>
            <w:vMerge w:val="restart"/>
            <w:noWrap/>
            <w:vAlign w:val="center"/>
          </w:tcPr>
          <w:p w14:paraId="049DA064">
            <w:pPr>
              <w:widowControl/>
              <w:adjustRightInd w:val="0"/>
              <w:snapToGrid w:val="0"/>
              <w:spacing w:before="0" w:beforeLines="0" w:line="240" w:lineRule="auto"/>
              <w:jc w:val="center"/>
              <w:rPr>
                <w:kern w:val="0"/>
                <w:szCs w:val="21"/>
              </w:rPr>
            </w:pPr>
            <w:r>
              <w:rPr>
                <w:rFonts w:hint="eastAsia"/>
                <w:kern w:val="0"/>
                <w:szCs w:val="21"/>
              </w:rPr>
              <w:t>2408,-2472</w:t>
            </w:r>
          </w:p>
        </w:tc>
        <w:tc>
          <w:tcPr>
            <w:tcW w:w="434" w:type="pct"/>
            <w:vMerge w:val="restart"/>
            <w:noWrap/>
            <w:vAlign w:val="center"/>
          </w:tcPr>
          <w:p w14:paraId="2E1EC684">
            <w:pPr>
              <w:widowControl/>
              <w:adjustRightInd w:val="0"/>
              <w:snapToGrid w:val="0"/>
              <w:spacing w:before="0" w:beforeLines="0" w:line="240" w:lineRule="auto"/>
              <w:jc w:val="center"/>
              <w:rPr>
                <w:kern w:val="0"/>
                <w:szCs w:val="21"/>
              </w:rPr>
            </w:pPr>
            <w:r>
              <w:rPr>
                <w:rFonts w:hint="eastAsia"/>
                <w:kern w:val="0"/>
                <w:szCs w:val="21"/>
              </w:rPr>
              <w:t>289.69</w:t>
            </w:r>
          </w:p>
        </w:tc>
        <w:tc>
          <w:tcPr>
            <w:tcW w:w="341" w:type="pct"/>
            <w:noWrap/>
            <w:vAlign w:val="center"/>
          </w:tcPr>
          <w:p w14:paraId="6DB2738B">
            <w:pPr>
              <w:widowControl/>
              <w:adjustRightInd w:val="0"/>
              <w:snapToGrid w:val="0"/>
              <w:spacing w:before="0" w:beforeLines="0" w:line="240" w:lineRule="auto"/>
              <w:jc w:val="center"/>
              <w:rPr>
                <w:kern w:val="0"/>
                <w:szCs w:val="21"/>
              </w:rPr>
            </w:pPr>
            <w:r>
              <w:rPr>
                <w:color w:val="000000"/>
                <w:kern w:val="0"/>
                <w:szCs w:val="21"/>
              </w:rPr>
              <w:t>日平均</w:t>
            </w:r>
          </w:p>
        </w:tc>
        <w:tc>
          <w:tcPr>
            <w:tcW w:w="662" w:type="pct"/>
            <w:noWrap/>
            <w:vAlign w:val="center"/>
          </w:tcPr>
          <w:p w14:paraId="7207812C">
            <w:pPr>
              <w:widowControl/>
              <w:adjustRightInd w:val="0"/>
              <w:snapToGrid w:val="0"/>
              <w:spacing w:before="0" w:beforeLines="0" w:line="240" w:lineRule="auto"/>
              <w:jc w:val="center"/>
              <w:rPr>
                <w:kern w:val="0"/>
                <w:szCs w:val="21"/>
              </w:rPr>
            </w:pPr>
            <w:r>
              <w:rPr>
                <w:color w:val="000000"/>
                <w:kern w:val="0"/>
                <w:szCs w:val="21"/>
              </w:rPr>
              <w:t>0.6477</w:t>
            </w:r>
          </w:p>
        </w:tc>
        <w:tc>
          <w:tcPr>
            <w:tcW w:w="780" w:type="pct"/>
            <w:noWrap/>
            <w:vAlign w:val="center"/>
          </w:tcPr>
          <w:p w14:paraId="24F3618F">
            <w:pPr>
              <w:widowControl/>
              <w:adjustRightInd w:val="0"/>
              <w:snapToGrid w:val="0"/>
              <w:spacing w:before="0" w:beforeLines="0" w:line="240" w:lineRule="auto"/>
              <w:jc w:val="center"/>
              <w:rPr>
                <w:kern w:val="0"/>
                <w:szCs w:val="21"/>
              </w:rPr>
            </w:pPr>
            <w:r>
              <w:rPr>
                <w:color w:val="000000"/>
                <w:kern w:val="0"/>
                <w:szCs w:val="21"/>
              </w:rPr>
              <w:t>250926</w:t>
            </w:r>
          </w:p>
        </w:tc>
        <w:tc>
          <w:tcPr>
            <w:tcW w:w="598" w:type="pct"/>
            <w:noWrap/>
            <w:vAlign w:val="center"/>
          </w:tcPr>
          <w:p w14:paraId="27F26612">
            <w:pPr>
              <w:widowControl/>
              <w:adjustRightInd w:val="0"/>
              <w:snapToGrid w:val="0"/>
              <w:spacing w:before="0" w:beforeLines="0" w:line="240" w:lineRule="auto"/>
              <w:jc w:val="center"/>
              <w:rPr>
                <w:kern w:val="0"/>
                <w:szCs w:val="21"/>
              </w:rPr>
            </w:pPr>
            <w:r>
              <w:rPr>
                <w:color w:val="000000"/>
                <w:kern w:val="0"/>
                <w:szCs w:val="21"/>
              </w:rPr>
              <w:t>120.0000</w:t>
            </w:r>
          </w:p>
        </w:tc>
        <w:tc>
          <w:tcPr>
            <w:tcW w:w="330" w:type="pct"/>
            <w:noWrap/>
            <w:vAlign w:val="center"/>
          </w:tcPr>
          <w:p w14:paraId="19428015">
            <w:pPr>
              <w:widowControl/>
              <w:adjustRightInd w:val="0"/>
              <w:snapToGrid w:val="0"/>
              <w:spacing w:before="0" w:beforeLines="0" w:line="240" w:lineRule="auto"/>
              <w:jc w:val="center"/>
              <w:rPr>
                <w:kern w:val="0"/>
                <w:szCs w:val="21"/>
              </w:rPr>
            </w:pPr>
            <w:r>
              <w:rPr>
                <w:color w:val="000000"/>
                <w:kern w:val="0"/>
                <w:szCs w:val="21"/>
              </w:rPr>
              <w:t>0.54</w:t>
            </w:r>
          </w:p>
        </w:tc>
        <w:tc>
          <w:tcPr>
            <w:tcW w:w="341" w:type="pct"/>
            <w:noWrap/>
            <w:vAlign w:val="center"/>
          </w:tcPr>
          <w:p w14:paraId="27385A4E">
            <w:pPr>
              <w:widowControl/>
              <w:adjustRightInd w:val="0"/>
              <w:snapToGrid w:val="0"/>
              <w:spacing w:before="0" w:beforeLines="0" w:line="240" w:lineRule="auto"/>
              <w:jc w:val="center"/>
              <w:rPr>
                <w:kern w:val="0"/>
                <w:szCs w:val="21"/>
              </w:rPr>
            </w:pPr>
            <w:r>
              <w:rPr>
                <w:color w:val="000000"/>
                <w:kern w:val="0"/>
                <w:szCs w:val="21"/>
              </w:rPr>
              <w:t>达标</w:t>
            </w:r>
          </w:p>
        </w:tc>
      </w:tr>
      <w:tr w14:paraId="6C70B142">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14:paraId="21671053">
            <w:pPr>
              <w:widowControl/>
              <w:adjustRightInd w:val="0"/>
              <w:snapToGrid w:val="0"/>
              <w:spacing w:before="0" w:beforeLines="0" w:line="240" w:lineRule="auto"/>
              <w:jc w:val="center"/>
              <w:rPr>
                <w:kern w:val="0"/>
                <w:szCs w:val="21"/>
              </w:rPr>
            </w:pPr>
          </w:p>
        </w:tc>
        <w:tc>
          <w:tcPr>
            <w:tcW w:w="664" w:type="pct"/>
            <w:vMerge w:val="continue"/>
            <w:vAlign w:val="center"/>
          </w:tcPr>
          <w:p w14:paraId="09EA1460">
            <w:pPr>
              <w:widowControl/>
              <w:adjustRightInd w:val="0"/>
              <w:snapToGrid w:val="0"/>
              <w:spacing w:before="0" w:beforeLines="0" w:line="240" w:lineRule="auto"/>
              <w:jc w:val="center"/>
              <w:rPr>
                <w:kern w:val="0"/>
                <w:szCs w:val="21"/>
              </w:rPr>
            </w:pPr>
          </w:p>
        </w:tc>
        <w:tc>
          <w:tcPr>
            <w:tcW w:w="638" w:type="pct"/>
            <w:vMerge w:val="continue"/>
            <w:vAlign w:val="center"/>
          </w:tcPr>
          <w:p w14:paraId="741C60A4">
            <w:pPr>
              <w:widowControl/>
              <w:adjustRightInd w:val="0"/>
              <w:snapToGrid w:val="0"/>
              <w:spacing w:before="0" w:beforeLines="0" w:line="240" w:lineRule="auto"/>
              <w:jc w:val="center"/>
              <w:rPr>
                <w:kern w:val="0"/>
                <w:szCs w:val="21"/>
              </w:rPr>
            </w:pPr>
          </w:p>
        </w:tc>
        <w:tc>
          <w:tcPr>
            <w:tcW w:w="434" w:type="pct"/>
            <w:vMerge w:val="continue"/>
            <w:vAlign w:val="center"/>
          </w:tcPr>
          <w:p w14:paraId="7FB47580">
            <w:pPr>
              <w:widowControl/>
              <w:adjustRightInd w:val="0"/>
              <w:snapToGrid w:val="0"/>
              <w:spacing w:before="0" w:beforeLines="0" w:line="240" w:lineRule="auto"/>
              <w:jc w:val="center"/>
              <w:rPr>
                <w:kern w:val="0"/>
                <w:szCs w:val="21"/>
              </w:rPr>
            </w:pPr>
          </w:p>
        </w:tc>
        <w:tc>
          <w:tcPr>
            <w:tcW w:w="341" w:type="pct"/>
            <w:noWrap/>
            <w:vAlign w:val="center"/>
          </w:tcPr>
          <w:p w14:paraId="490CAE81">
            <w:pPr>
              <w:widowControl/>
              <w:adjustRightInd w:val="0"/>
              <w:snapToGrid w:val="0"/>
              <w:spacing w:before="0" w:beforeLines="0" w:line="240" w:lineRule="auto"/>
              <w:jc w:val="center"/>
              <w:rPr>
                <w:kern w:val="0"/>
                <w:szCs w:val="21"/>
              </w:rPr>
            </w:pPr>
            <w:r>
              <w:rPr>
                <w:color w:val="000000"/>
                <w:kern w:val="0"/>
                <w:szCs w:val="21"/>
              </w:rPr>
              <w:t>全时段</w:t>
            </w:r>
          </w:p>
        </w:tc>
        <w:tc>
          <w:tcPr>
            <w:tcW w:w="662" w:type="pct"/>
            <w:noWrap/>
            <w:vAlign w:val="center"/>
          </w:tcPr>
          <w:p w14:paraId="068F6036">
            <w:pPr>
              <w:widowControl/>
              <w:adjustRightInd w:val="0"/>
              <w:snapToGrid w:val="0"/>
              <w:spacing w:before="0" w:beforeLines="0" w:line="240" w:lineRule="auto"/>
              <w:jc w:val="center"/>
              <w:rPr>
                <w:kern w:val="0"/>
                <w:szCs w:val="21"/>
              </w:rPr>
            </w:pPr>
            <w:r>
              <w:rPr>
                <w:color w:val="000000"/>
                <w:kern w:val="0"/>
                <w:szCs w:val="21"/>
              </w:rPr>
              <w:t>0.0460</w:t>
            </w:r>
          </w:p>
        </w:tc>
        <w:tc>
          <w:tcPr>
            <w:tcW w:w="780" w:type="pct"/>
            <w:noWrap/>
            <w:vAlign w:val="center"/>
          </w:tcPr>
          <w:p w14:paraId="456AA6D2">
            <w:pPr>
              <w:widowControl/>
              <w:adjustRightInd w:val="0"/>
              <w:snapToGrid w:val="0"/>
              <w:spacing w:before="0" w:beforeLines="0" w:line="240" w:lineRule="auto"/>
              <w:jc w:val="center"/>
              <w:rPr>
                <w:kern w:val="0"/>
                <w:szCs w:val="21"/>
              </w:rPr>
            </w:pPr>
            <w:r>
              <w:rPr>
                <w:color w:val="000000"/>
                <w:kern w:val="0"/>
                <w:szCs w:val="21"/>
              </w:rPr>
              <w:t>平均值</w:t>
            </w:r>
          </w:p>
        </w:tc>
        <w:tc>
          <w:tcPr>
            <w:tcW w:w="598" w:type="pct"/>
            <w:noWrap/>
            <w:vAlign w:val="center"/>
          </w:tcPr>
          <w:p w14:paraId="278EB0C4">
            <w:pPr>
              <w:widowControl/>
              <w:adjustRightInd w:val="0"/>
              <w:snapToGrid w:val="0"/>
              <w:spacing w:before="0" w:beforeLines="0" w:line="240" w:lineRule="auto"/>
              <w:jc w:val="center"/>
              <w:rPr>
                <w:kern w:val="0"/>
                <w:szCs w:val="21"/>
              </w:rPr>
            </w:pPr>
            <w:r>
              <w:rPr>
                <w:color w:val="000000"/>
                <w:kern w:val="0"/>
                <w:szCs w:val="21"/>
              </w:rPr>
              <w:t>60.0000</w:t>
            </w:r>
          </w:p>
        </w:tc>
        <w:tc>
          <w:tcPr>
            <w:tcW w:w="330" w:type="pct"/>
            <w:noWrap/>
            <w:vAlign w:val="center"/>
          </w:tcPr>
          <w:p w14:paraId="282006F4">
            <w:pPr>
              <w:widowControl/>
              <w:adjustRightInd w:val="0"/>
              <w:snapToGrid w:val="0"/>
              <w:spacing w:before="0" w:beforeLines="0" w:line="240" w:lineRule="auto"/>
              <w:jc w:val="center"/>
              <w:rPr>
                <w:kern w:val="0"/>
                <w:szCs w:val="21"/>
              </w:rPr>
            </w:pPr>
            <w:r>
              <w:rPr>
                <w:color w:val="000000"/>
                <w:kern w:val="0"/>
                <w:szCs w:val="21"/>
              </w:rPr>
              <w:t>0.08</w:t>
            </w:r>
          </w:p>
        </w:tc>
        <w:tc>
          <w:tcPr>
            <w:tcW w:w="341" w:type="pct"/>
            <w:noWrap/>
            <w:vAlign w:val="center"/>
          </w:tcPr>
          <w:p w14:paraId="6FB77782">
            <w:pPr>
              <w:widowControl/>
              <w:adjustRightInd w:val="0"/>
              <w:snapToGrid w:val="0"/>
              <w:spacing w:before="0" w:beforeLines="0" w:line="240" w:lineRule="auto"/>
              <w:jc w:val="center"/>
              <w:rPr>
                <w:kern w:val="0"/>
                <w:szCs w:val="21"/>
              </w:rPr>
            </w:pPr>
            <w:r>
              <w:rPr>
                <w:color w:val="000000"/>
                <w:kern w:val="0"/>
                <w:szCs w:val="21"/>
              </w:rPr>
              <w:t>达标</w:t>
            </w:r>
          </w:p>
        </w:tc>
      </w:tr>
      <w:tr w14:paraId="2A62EB8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14:paraId="3A4D14B5">
            <w:pPr>
              <w:widowControl/>
              <w:adjustRightInd w:val="0"/>
              <w:snapToGrid w:val="0"/>
              <w:spacing w:before="0" w:beforeLines="0" w:line="240" w:lineRule="auto"/>
              <w:jc w:val="center"/>
              <w:rPr>
                <w:kern w:val="0"/>
                <w:szCs w:val="21"/>
              </w:rPr>
            </w:pPr>
            <w:r>
              <w:rPr>
                <w:rFonts w:hint="eastAsia"/>
                <w:kern w:val="0"/>
                <w:szCs w:val="21"/>
              </w:rPr>
              <w:t>10</w:t>
            </w:r>
          </w:p>
        </w:tc>
        <w:tc>
          <w:tcPr>
            <w:tcW w:w="664" w:type="pct"/>
            <w:vMerge w:val="restart"/>
            <w:noWrap/>
            <w:vAlign w:val="center"/>
          </w:tcPr>
          <w:p w14:paraId="3A20349A">
            <w:pPr>
              <w:widowControl/>
              <w:adjustRightInd w:val="0"/>
              <w:snapToGrid w:val="0"/>
              <w:spacing w:before="0" w:beforeLines="0" w:line="240" w:lineRule="auto"/>
              <w:jc w:val="center"/>
              <w:rPr>
                <w:kern w:val="0"/>
                <w:szCs w:val="21"/>
              </w:rPr>
            </w:pPr>
            <w:r>
              <w:rPr>
                <w:rFonts w:hint="eastAsia"/>
                <w:kern w:val="0"/>
                <w:szCs w:val="21"/>
              </w:rPr>
              <w:t>胡家沟</w:t>
            </w:r>
          </w:p>
        </w:tc>
        <w:tc>
          <w:tcPr>
            <w:tcW w:w="638" w:type="pct"/>
            <w:vMerge w:val="restart"/>
            <w:noWrap/>
            <w:vAlign w:val="center"/>
          </w:tcPr>
          <w:p w14:paraId="008ED16A">
            <w:pPr>
              <w:widowControl/>
              <w:adjustRightInd w:val="0"/>
              <w:snapToGrid w:val="0"/>
              <w:spacing w:before="0" w:beforeLines="0" w:line="240" w:lineRule="auto"/>
              <w:jc w:val="center"/>
              <w:rPr>
                <w:kern w:val="0"/>
                <w:szCs w:val="21"/>
              </w:rPr>
            </w:pPr>
            <w:r>
              <w:rPr>
                <w:rFonts w:hint="eastAsia"/>
                <w:kern w:val="0"/>
                <w:szCs w:val="21"/>
              </w:rPr>
              <w:t>-232,-1675</w:t>
            </w:r>
          </w:p>
        </w:tc>
        <w:tc>
          <w:tcPr>
            <w:tcW w:w="434" w:type="pct"/>
            <w:vMerge w:val="restart"/>
            <w:noWrap/>
            <w:vAlign w:val="center"/>
          </w:tcPr>
          <w:p w14:paraId="02047E58">
            <w:pPr>
              <w:widowControl/>
              <w:adjustRightInd w:val="0"/>
              <w:snapToGrid w:val="0"/>
              <w:spacing w:before="0" w:beforeLines="0" w:line="240" w:lineRule="auto"/>
              <w:jc w:val="center"/>
              <w:rPr>
                <w:kern w:val="0"/>
                <w:szCs w:val="21"/>
              </w:rPr>
            </w:pPr>
            <w:r>
              <w:rPr>
                <w:rFonts w:hint="eastAsia"/>
                <w:kern w:val="0"/>
                <w:szCs w:val="21"/>
              </w:rPr>
              <w:t>293.25</w:t>
            </w:r>
          </w:p>
        </w:tc>
        <w:tc>
          <w:tcPr>
            <w:tcW w:w="341" w:type="pct"/>
            <w:noWrap/>
            <w:vAlign w:val="center"/>
          </w:tcPr>
          <w:p w14:paraId="016F973E">
            <w:pPr>
              <w:widowControl/>
              <w:adjustRightInd w:val="0"/>
              <w:snapToGrid w:val="0"/>
              <w:spacing w:before="0" w:beforeLines="0" w:line="240" w:lineRule="auto"/>
              <w:jc w:val="center"/>
              <w:rPr>
                <w:kern w:val="0"/>
                <w:szCs w:val="21"/>
              </w:rPr>
            </w:pPr>
            <w:r>
              <w:rPr>
                <w:color w:val="000000"/>
                <w:kern w:val="0"/>
                <w:szCs w:val="21"/>
              </w:rPr>
              <w:t>日平均</w:t>
            </w:r>
          </w:p>
        </w:tc>
        <w:tc>
          <w:tcPr>
            <w:tcW w:w="662" w:type="pct"/>
            <w:noWrap/>
            <w:vAlign w:val="center"/>
          </w:tcPr>
          <w:p w14:paraId="3109D703">
            <w:pPr>
              <w:widowControl/>
              <w:adjustRightInd w:val="0"/>
              <w:snapToGrid w:val="0"/>
              <w:spacing w:before="0" w:beforeLines="0" w:line="240" w:lineRule="auto"/>
              <w:jc w:val="center"/>
              <w:rPr>
                <w:kern w:val="0"/>
                <w:szCs w:val="21"/>
              </w:rPr>
            </w:pPr>
            <w:r>
              <w:rPr>
                <w:color w:val="000000"/>
                <w:kern w:val="0"/>
                <w:szCs w:val="21"/>
              </w:rPr>
              <w:t>3.6168</w:t>
            </w:r>
          </w:p>
        </w:tc>
        <w:tc>
          <w:tcPr>
            <w:tcW w:w="780" w:type="pct"/>
            <w:noWrap/>
            <w:vAlign w:val="center"/>
          </w:tcPr>
          <w:p w14:paraId="618A631A">
            <w:pPr>
              <w:widowControl/>
              <w:adjustRightInd w:val="0"/>
              <w:snapToGrid w:val="0"/>
              <w:spacing w:before="0" w:beforeLines="0" w:line="240" w:lineRule="auto"/>
              <w:jc w:val="center"/>
              <w:rPr>
                <w:kern w:val="0"/>
                <w:szCs w:val="21"/>
              </w:rPr>
            </w:pPr>
            <w:r>
              <w:rPr>
                <w:color w:val="000000"/>
                <w:kern w:val="0"/>
                <w:szCs w:val="21"/>
              </w:rPr>
              <w:t>251010</w:t>
            </w:r>
          </w:p>
        </w:tc>
        <w:tc>
          <w:tcPr>
            <w:tcW w:w="598" w:type="pct"/>
            <w:noWrap/>
            <w:vAlign w:val="center"/>
          </w:tcPr>
          <w:p w14:paraId="1508CFF3">
            <w:pPr>
              <w:widowControl/>
              <w:adjustRightInd w:val="0"/>
              <w:snapToGrid w:val="0"/>
              <w:spacing w:before="0" w:beforeLines="0" w:line="240" w:lineRule="auto"/>
              <w:jc w:val="center"/>
              <w:rPr>
                <w:kern w:val="0"/>
                <w:szCs w:val="21"/>
              </w:rPr>
            </w:pPr>
            <w:r>
              <w:rPr>
                <w:color w:val="000000"/>
                <w:kern w:val="0"/>
                <w:szCs w:val="21"/>
              </w:rPr>
              <w:t>120.0000</w:t>
            </w:r>
          </w:p>
        </w:tc>
        <w:tc>
          <w:tcPr>
            <w:tcW w:w="330" w:type="pct"/>
            <w:noWrap/>
            <w:vAlign w:val="center"/>
          </w:tcPr>
          <w:p w14:paraId="0E1E63DD">
            <w:pPr>
              <w:widowControl/>
              <w:adjustRightInd w:val="0"/>
              <w:snapToGrid w:val="0"/>
              <w:spacing w:before="0" w:beforeLines="0" w:line="240" w:lineRule="auto"/>
              <w:jc w:val="center"/>
              <w:rPr>
                <w:kern w:val="0"/>
                <w:szCs w:val="21"/>
              </w:rPr>
            </w:pPr>
            <w:r>
              <w:rPr>
                <w:color w:val="000000"/>
                <w:kern w:val="0"/>
                <w:szCs w:val="21"/>
              </w:rPr>
              <w:t>3.01</w:t>
            </w:r>
          </w:p>
        </w:tc>
        <w:tc>
          <w:tcPr>
            <w:tcW w:w="341" w:type="pct"/>
            <w:noWrap/>
            <w:vAlign w:val="center"/>
          </w:tcPr>
          <w:p w14:paraId="3EE9CCCF">
            <w:pPr>
              <w:widowControl/>
              <w:adjustRightInd w:val="0"/>
              <w:snapToGrid w:val="0"/>
              <w:spacing w:before="0" w:beforeLines="0" w:line="240" w:lineRule="auto"/>
              <w:jc w:val="center"/>
              <w:rPr>
                <w:kern w:val="0"/>
                <w:szCs w:val="21"/>
              </w:rPr>
            </w:pPr>
            <w:r>
              <w:rPr>
                <w:color w:val="000000"/>
                <w:kern w:val="0"/>
                <w:szCs w:val="21"/>
              </w:rPr>
              <w:t>达标</w:t>
            </w:r>
          </w:p>
        </w:tc>
      </w:tr>
      <w:bookmarkEnd w:id="227"/>
      <w:tr w14:paraId="47C767DC">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14:paraId="2FF27B14">
            <w:pPr>
              <w:widowControl/>
              <w:adjustRightInd w:val="0"/>
              <w:snapToGrid w:val="0"/>
              <w:spacing w:before="0" w:beforeLines="0" w:line="240" w:lineRule="auto"/>
              <w:jc w:val="center"/>
              <w:rPr>
                <w:kern w:val="0"/>
                <w:szCs w:val="21"/>
              </w:rPr>
            </w:pPr>
          </w:p>
        </w:tc>
        <w:tc>
          <w:tcPr>
            <w:tcW w:w="664" w:type="pct"/>
            <w:vMerge w:val="continue"/>
            <w:vAlign w:val="center"/>
          </w:tcPr>
          <w:p w14:paraId="04686A5D">
            <w:pPr>
              <w:widowControl/>
              <w:adjustRightInd w:val="0"/>
              <w:snapToGrid w:val="0"/>
              <w:spacing w:before="0" w:beforeLines="0" w:line="240" w:lineRule="auto"/>
              <w:jc w:val="center"/>
              <w:rPr>
                <w:kern w:val="0"/>
                <w:szCs w:val="21"/>
              </w:rPr>
            </w:pPr>
          </w:p>
        </w:tc>
        <w:tc>
          <w:tcPr>
            <w:tcW w:w="638" w:type="pct"/>
            <w:vMerge w:val="continue"/>
            <w:vAlign w:val="center"/>
          </w:tcPr>
          <w:p w14:paraId="34C518D3">
            <w:pPr>
              <w:widowControl/>
              <w:adjustRightInd w:val="0"/>
              <w:snapToGrid w:val="0"/>
              <w:spacing w:before="0" w:beforeLines="0" w:line="240" w:lineRule="auto"/>
              <w:jc w:val="center"/>
              <w:rPr>
                <w:kern w:val="0"/>
                <w:szCs w:val="21"/>
              </w:rPr>
            </w:pPr>
          </w:p>
        </w:tc>
        <w:tc>
          <w:tcPr>
            <w:tcW w:w="434" w:type="pct"/>
            <w:vMerge w:val="continue"/>
            <w:vAlign w:val="center"/>
          </w:tcPr>
          <w:p w14:paraId="0856227C">
            <w:pPr>
              <w:widowControl/>
              <w:adjustRightInd w:val="0"/>
              <w:snapToGrid w:val="0"/>
              <w:spacing w:before="0" w:beforeLines="0" w:line="240" w:lineRule="auto"/>
              <w:jc w:val="center"/>
              <w:rPr>
                <w:kern w:val="0"/>
                <w:szCs w:val="21"/>
              </w:rPr>
            </w:pPr>
          </w:p>
        </w:tc>
        <w:tc>
          <w:tcPr>
            <w:tcW w:w="341" w:type="pct"/>
            <w:noWrap/>
            <w:vAlign w:val="center"/>
          </w:tcPr>
          <w:p w14:paraId="6B759BA0">
            <w:pPr>
              <w:widowControl/>
              <w:adjustRightInd w:val="0"/>
              <w:snapToGrid w:val="0"/>
              <w:spacing w:before="0" w:beforeLines="0" w:line="240" w:lineRule="auto"/>
              <w:jc w:val="center"/>
              <w:rPr>
                <w:kern w:val="0"/>
                <w:szCs w:val="21"/>
              </w:rPr>
            </w:pPr>
            <w:r>
              <w:rPr>
                <w:color w:val="000000"/>
                <w:kern w:val="0"/>
                <w:szCs w:val="21"/>
              </w:rPr>
              <w:t>全时段</w:t>
            </w:r>
          </w:p>
        </w:tc>
        <w:tc>
          <w:tcPr>
            <w:tcW w:w="662" w:type="pct"/>
            <w:noWrap/>
            <w:vAlign w:val="center"/>
          </w:tcPr>
          <w:p w14:paraId="19E04C41">
            <w:pPr>
              <w:widowControl/>
              <w:adjustRightInd w:val="0"/>
              <w:snapToGrid w:val="0"/>
              <w:spacing w:before="0" w:beforeLines="0" w:line="240" w:lineRule="auto"/>
              <w:jc w:val="center"/>
              <w:rPr>
                <w:kern w:val="0"/>
                <w:szCs w:val="21"/>
              </w:rPr>
            </w:pPr>
            <w:r>
              <w:rPr>
                <w:color w:val="000000"/>
                <w:kern w:val="0"/>
                <w:szCs w:val="21"/>
              </w:rPr>
              <w:t>0.0981</w:t>
            </w:r>
          </w:p>
        </w:tc>
        <w:tc>
          <w:tcPr>
            <w:tcW w:w="780" w:type="pct"/>
            <w:noWrap/>
            <w:vAlign w:val="center"/>
          </w:tcPr>
          <w:p w14:paraId="4CDA084B">
            <w:pPr>
              <w:widowControl/>
              <w:adjustRightInd w:val="0"/>
              <w:snapToGrid w:val="0"/>
              <w:spacing w:before="0" w:beforeLines="0" w:line="240" w:lineRule="auto"/>
              <w:jc w:val="center"/>
              <w:rPr>
                <w:kern w:val="0"/>
                <w:szCs w:val="21"/>
              </w:rPr>
            </w:pPr>
            <w:r>
              <w:rPr>
                <w:color w:val="000000"/>
                <w:kern w:val="0"/>
                <w:szCs w:val="21"/>
              </w:rPr>
              <w:t>平均值</w:t>
            </w:r>
          </w:p>
        </w:tc>
        <w:tc>
          <w:tcPr>
            <w:tcW w:w="598" w:type="pct"/>
            <w:noWrap/>
            <w:vAlign w:val="center"/>
          </w:tcPr>
          <w:p w14:paraId="637D054D">
            <w:pPr>
              <w:widowControl/>
              <w:adjustRightInd w:val="0"/>
              <w:snapToGrid w:val="0"/>
              <w:spacing w:before="0" w:beforeLines="0" w:line="240" w:lineRule="auto"/>
              <w:jc w:val="center"/>
              <w:rPr>
                <w:kern w:val="0"/>
                <w:szCs w:val="21"/>
              </w:rPr>
            </w:pPr>
            <w:r>
              <w:rPr>
                <w:color w:val="000000"/>
                <w:kern w:val="0"/>
                <w:szCs w:val="21"/>
              </w:rPr>
              <w:t>60.0000</w:t>
            </w:r>
          </w:p>
        </w:tc>
        <w:tc>
          <w:tcPr>
            <w:tcW w:w="330" w:type="pct"/>
            <w:noWrap/>
            <w:vAlign w:val="center"/>
          </w:tcPr>
          <w:p w14:paraId="4E4155EE">
            <w:pPr>
              <w:widowControl/>
              <w:adjustRightInd w:val="0"/>
              <w:snapToGrid w:val="0"/>
              <w:spacing w:before="0" w:beforeLines="0" w:line="240" w:lineRule="auto"/>
              <w:jc w:val="center"/>
              <w:rPr>
                <w:kern w:val="0"/>
                <w:szCs w:val="21"/>
              </w:rPr>
            </w:pPr>
            <w:r>
              <w:rPr>
                <w:color w:val="000000"/>
                <w:kern w:val="0"/>
                <w:szCs w:val="21"/>
              </w:rPr>
              <w:t>0.16</w:t>
            </w:r>
          </w:p>
        </w:tc>
        <w:tc>
          <w:tcPr>
            <w:tcW w:w="341" w:type="pct"/>
            <w:noWrap/>
            <w:vAlign w:val="center"/>
          </w:tcPr>
          <w:p w14:paraId="3B8A6813">
            <w:pPr>
              <w:widowControl/>
              <w:adjustRightInd w:val="0"/>
              <w:snapToGrid w:val="0"/>
              <w:spacing w:before="0" w:beforeLines="0" w:line="240" w:lineRule="auto"/>
              <w:jc w:val="center"/>
              <w:rPr>
                <w:kern w:val="0"/>
                <w:szCs w:val="21"/>
              </w:rPr>
            </w:pPr>
            <w:r>
              <w:rPr>
                <w:color w:val="000000"/>
                <w:kern w:val="0"/>
                <w:szCs w:val="21"/>
              </w:rPr>
              <w:t>达标</w:t>
            </w:r>
          </w:p>
        </w:tc>
      </w:tr>
      <w:tr w14:paraId="688D44AC">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14:paraId="47E83D49">
            <w:pPr>
              <w:widowControl/>
              <w:adjustRightInd w:val="0"/>
              <w:snapToGrid w:val="0"/>
              <w:spacing w:before="0" w:beforeLines="0" w:line="240" w:lineRule="auto"/>
              <w:jc w:val="center"/>
              <w:rPr>
                <w:kern w:val="0"/>
                <w:szCs w:val="21"/>
              </w:rPr>
            </w:pPr>
            <w:r>
              <w:rPr>
                <w:rFonts w:hint="eastAsia"/>
                <w:kern w:val="0"/>
                <w:szCs w:val="21"/>
              </w:rPr>
              <w:t>11</w:t>
            </w:r>
          </w:p>
        </w:tc>
        <w:tc>
          <w:tcPr>
            <w:tcW w:w="664" w:type="pct"/>
            <w:vMerge w:val="restart"/>
            <w:noWrap/>
            <w:vAlign w:val="center"/>
          </w:tcPr>
          <w:p w14:paraId="3383F59C">
            <w:pPr>
              <w:widowControl/>
              <w:adjustRightInd w:val="0"/>
              <w:snapToGrid w:val="0"/>
              <w:spacing w:before="0" w:beforeLines="0" w:line="240" w:lineRule="auto"/>
              <w:jc w:val="center"/>
              <w:rPr>
                <w:kern w:val="0"/>
                <w:szCs w:val="21"/>
              </w:rPr>
            </w:pPr>
            <w:r>
              <w:rPr>
                <w:rFonts w:hint="eastAsia"/>
                <w:kern w:val="0"/>
                <w:szCs w:val="21"/>
              </w:rPr>
              <w:t xml:space="preserve">区域最大落地浓度点 </w:t>
            </w:r>
          </w:p>
        </w:tc>
        <w:tc>
          <w:tcPr>
            <w:tcW w:w="638" w:type="pct"/>
            <w:noWrap/>
            <w:vAlign w:val="center"/>
          </w:tcPr>
          <w:p w14:paraId="68721E36">
            <w:pPr>
              <w:widowControl/>
              <w:adjustRightInd w:val="0"/>
              <w:snapToGrid w:val="0"/>
              <w:spacing w:before="0" w:beforeLines="0" w:line="240" w:lineRule="auto"/>
              <w:jc w:val="center"/>
              <w:rPr>
                <w:kern w:val="0"/>
                <w:szCs w:val="21"/>
              </w:rPr>
            </w:pPr>
            <w:r>
              <w:rPr>
                <w:rFonts w:hint="eastAsia"/>
                <w:kern w:val="0"/>
                <w:szCs w:val="21"/>
              </w:rPr>
              <w:t>-100,400</w:t>
            </w:r>
          </w:p>
        </w:tc>
        <w:tc>
          <w:tcPr>
            <w:tcW w:w="434" w:type="pct"/>
            <w:noWrap/>
            <w:vAlign w:val="center"/>
          </w:tcPr>
          <w:p w14:paraId="7CFDF4D3">
            <w:pPr>
              <w:widowControl/>
              <w:adjustRightInd w:val="0"/>
              <w:snapToGrid w:val="0"/>
              <w:spacing w:before="0" w:beforeLines="0" w:line="240" w:lineRule="auto"/>
              <w:jc w:val="center"/>
              <w:rPr>
                <w:kern w:val="0"/>
                <w:szCs w:val="21"/>
              </w:rPr>
            </w:pPr>
            <w:r>
              <w:rPr>
                <w:rFonts w:hint="eastAsia"/>
                <w:kern w:val="0"/>
                <w:szCs w:val="21"/>
              </w:rPr>
              <w:t>311.20</w:t>
            </w:r>
          </w:p>
        </w:tc>
        <w:tc>
          <w:tcPr>
            <w:tcW w:w="341" w:type="pct"/>
            <w:noWrap/>
            <w:vAlign w:val="center"/>
          </w:tcPr>
          <w:p w14:paraId="35A6427B">
            <w:pPr>
              <w:widowControl/>
              <w:adjustRightInd w:val="0"/>
              <w:snapToGrid w:val="0"/>
              <w:spacing w:before="0" w:beforeLines="0" w:line="240" w:lineRule="auto"/>
              <w:jc w:val="center"/>
              <w:rPr>
                <w:kern w:val="0"/>
                <w:szCs w:val="21"/>
              </w:rPr>
            </w:pPr>
            <w:r>
              <w:rPr>
                <w:color w:val="000000"/>
                <w:kern w:val="0"/>
                <w:szCs w:val="21"/>
              </w:rPr>
              <w:t>日平均</w:t>
            </w:r>
          </w:p>
        </w:tc>
        <w:tc>
          <w:tcPr>
            <w:tcW w:w="662" w:type="pct"/>
            <w:noWrap/>
            <w:vAlign w:val="center"/>
          </w:tcPr>
          <w:p w14:paraId="46513E07">
            <w:pPr>
              <w:widowControl/>
              <w:adjustRightInd w:val="0"/>
              <w:snapToGrid w:val="0"/>
              <w:spacing w:before="0" w:beforeLines="0" w:line="240" w:lineRule="auto"/>
              <w:jc w:val="center"/>
              <w:rPr>
                <w:kern w:val="0"/>
                <w:szCs w:val="21"/>
              </w:rPr>
            </w:pPr>
            <w:r>
              <w:rPr>
                <w:color w:val="000000"/>
                <w:kern w:val="0"/>
                <w:szCs w:val="21"/>
              </w:rPr>
              <w:t>14.3405</w:t>
            </w:r>
          </w:p>
        </w:tc>
        <w:tc>
          <w:tcPr>
            <w:tcW w:w="780" w:type="pct"/>
            <w:noWrap/>
            <w:vAlign w:val="center"/>
          </w:tcPr>
          <w:p w14:paraId="35C5681D">
            <w:pPr>
              <w:widowControl/>
              <w:adjustRightInd w:val="0"/>
              <w:snapToGrid w:val="0"/>
              <w:spacing w:before="0" w:beforeLines="0" w:line="240" w:lineRule="auto"/>
              <w:jc w:val="center"/>
              <w:rPr>
                <w:kern w:val="0"/>
                <w:szCs w:val="21"/>
              </w:rPr>
            </w:pPr>
            <w:r>
              <w:rPr>
                <w:color w:val="000000"/>
                <w:kern w:val="0"/>
                <w:szCs w:val="21"/>
              </w:rPr>
              <w:t>251006</w:t>
            </w:r>
          </w:p>
        </w:tc>
        <w:tc>
          <w:tcPr>
            <w:tcW w:w="598" w:type="pct"/>
            <w:noWrap/>
            <w:vAlign w:val="center"/>
          </w:tcPr>
          <w:p w14:paraId="7137E4A4">
            <w:pPr>
              <w:widowControl/>
              <w:adjustRightInd w:val="0"/>
              <w:snapToGrid w:val="0"/>
              <w:spacing w:before="0" w:beforeLines="0" w:line="240" w:lineRule="auto"/>
              <w:jc w:val="center"/>
              <w:rPr>
                <w:kern w:val="0"/>
                <w:szCs w:val="21"/>
              </w:rPr>
            </w:pPr>
            <w:r>
              <w:rPr>
                <w:color w:val="000000"/>
                <w:kern w:val="0"/>
                <w:szCs w:val="21"/>
              </w:rPr>
              <w:t>120.0000</w:t>
            </w:r>
          </w:p>
        </w:tc>
        <w:tc>
          <w:tcPr>
            <w:tcW w:w="330" w:type="pct"/>
            <w:noWrap/>
            <w:vAlign w:val="center"/>
          </w:tcPr>
          <w:p w14:paraId="084B6C0E">
            <w:pPr>
              <w:widowControl/>
              <w:adjustRightInd w:val="0"/>
              <w:snapToGrid w:val="0"/>
              <w:spacing w:before="0" w:beforeLines="0" w:line="240" w:lineRule="auto"/>
              <w:jc w:val="center"/>
              <w:rPr>
                <w:kern w:val="0"/>
                <w:szCs w:val="21"/>
              </w:rPr>
            </w:pPr>
            <w:r>
              <w:rPr>
                <w:color w:val="000000"/>
                <w:kern w:val="0"/>
                <w:szCs w:val="21"/>
              </w:rPr>
              <w:t>11.95</w:t>
            </w:r>
          </w:p>
        </w:tc>
        <w:tc>
          <w:tcPr>
            <w:tcW w:w="341" w:type="pct"/>
            <w:noWrap/>
            <w:vAlign w:val="center"/>
          </w:tcPr>
          <w:p w14:paraId="507D0DF5">
            <w:pPr>
              <w:widowControl/>
              <w:adjustRightInd w:val="0"/>
              <w:snapToGrid w:val="0"/>
              <w:spacing w:before="0" w:beforeLines="0" w:line="240" w:lineRule="auto"/>
              <w:jc w:val="center"/>
              <w:rPr>
                <w:kern w:val="0"/>
                <w:szCs w:val="21"/>
              </w:rPr>
            </w:pPr>
            <w:r>
              <w:rPr>
                <w:color w:val="000000"/>
                <w:kern w:val="0"/>
                <w:szCs w:val="21"/>
              </w:rPr>
              <w:t>达标</w:t>
            </w:r>
          </w:p>
        </w:tc>
      </w:tr>
      <w:tr w14:paraId="768F472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14:paraId="0E905E11">
            <w:pPr>
              <w:widowControl/>
              <w:adjustRightInd w:val="0"/>
              <w:snapToGrid w:val="0"/>
              <w:spacing w:before="0" w:beforeLines="0" w:line="240" w:lineRule="auto"/>
              <w:jc w:val="center"/>
              <w:rPr>
                <w:kern w:val="0"/>
                <w:szCs w:val="21"/>
              </w:rPr>
            </w:pPr>
          </w:p>
        </w:tc>
        <w:tc>
          <w:tcPr>
            <w:tcW w:w="664" w:type="pct"/>
            <w:vMerge w:val="continue"/>
            <w:vAlign w:val="center"/>
          </w:tcPr>
          <w:p w14:paraId="53757503">
            <w:pPr>
              <w:widowControl/>
              <w:adjustRightInd w:val="0"/>
              <w:snapToGrid w:val="0"/>
              <w:spacing w:before="0" w:beforeLines="0" w:line="240" w:lineRule="auto"/>
              <w:jc w:val="center"/>
              <w:rPr>
                <w:kern w:val="0"/>
                <w:szCs w:val="21"/>
              </w:rPr>
            </w:pPr>
          </w:p>
        </w:tc>
        <w:tc>
          <w:tcPr>
            <w:tcW w:w="638" w:type="pct"/>
            <w:noWrap/>
            <w:vAlign w:val="center"/>
          </w:tcPr>
          <w:p w14:paraId="5C16CED4">
            <w:pPr>
              <w:widowControl/>
              <w:adjustRightInd w:val="0"/>
              <w:snapToGrid w:val="0"/>
              <w:spacing w:before="0" w:beforeLines="0" w:line="240" w:lineRule="auto"/>
              <w:jc w:val="center"/>
              <w:rPr>
                <w:kern w:val="0"/>
                <w:szCs w:val="21"/>
              </w:rPr>
            </w:pPr>
            <w:r>
              <w:rPr>
                <w:rFonts w:hint="eastAsia"/>
                <w:kern w:val="0"/>
                <w:szCs w:val="21"/>
              </w:rPr>
              <w:t>100,100</w:t>
            </w:r>
          </w:p>
        </w:tc>
        <w:tc>
          <w:tcPr>
            <w:tcW w:w="434" w:type="pct"/>
            <w:noWrap/>
            <w:vAlign w:val="center"/>
          </w:tcPr>
          <w:p w14:paraId="72097394">
            <w:pPr>
              <w:widowControl/>
              <w:adjustRightInd w:val="0"/>
              <w:snapToGrid w:val="0"/>
              <w:spacing w:before="0" w:beforeLines="0" w:line="240" w:lineRule="auto"/>
              <w:jc w:val="center"/>
              <w:rPr>
                <w:kern w:val="0"/>
                <w:szCs w:val="21"/>
              </w:rPr>
            </w:pPr>
            <w:r>
              <w:rPr>
                <w:rFonts w:hint="eastAsia"/>
                <w:kern w:val="0"/>
                <w:szCs w:val="21"/>
              </w:rPr>
              <w:t>297.40</w:t>
            </w:r>
          </w:p>
        </w:tc>
        <w:tc>
          <w:tcPr>
            <w:tcW w:w="341" w:type="pct"/>
            <w:noWrap/>
            <w:vAlign w:val="center"/>
          </w:tcPr>
          <w:p w14:paraId="6FA3E96D">
            <w:pPr>
              <w:widowControl/>
              <w:adjustRightInd w:val="0"/>
              <w:snapToGrid w:val="0"/>
              <w:spacing w:before="0" w:beforeLines="0" w:line="240" w:lineRule="auto"/>
              <w:jc w:val="center"/>
              <w:rPr>
                <w:kern w:val="0"/>
                <w:szCs w:val="21"/>
              </w:rPr>
            </w:pPr>
            <w:r>
              <w:rPr>
                <w:color w:val="000000"/>
                <w:kern w:val="0"/>
                <w:szCs w:val="21"/>
              </w:rPr>
              <w:t>全时段</w:t>
            </w:r>
          </w:p>
        </w:tc>
        <w:tc>
          <w:tcPr>
            <w:tcW w:w="662" w:type="pct"/>
            <w:noWrap/>
            <w:vAlign w:val="center"/>
          </w:tcPr>
          <w:p w14:paraId="7E3EF3C1">
            <w:pPr>
              <w:widowControl/>
              <w:adjustRightInd w:val="0"/>
              <w:snapToGrid w:val="0"/>
              <w:spacing w:before="0" w:beforeLines="0" w:line="240" w:lineRule="auto"/>
              <w:jc w:val="center"/>
              <w:rPr>
                <w:kern w:val="0"/>
                <w:szCs w:val="21"/>
              </w:rPr>
            </w:pPr>
            <w:r>
              <w:rPr>
                <w:color w:val="000000"/>
                <w:kern w:val="0"/>
                <w:szCs w:val="21"/>
              </w:rPr>
              <w:t>2.3692</w:t>
            </w:r>
          </w:p>
        </w:tc>
        <w:tc>
          <w:tcPr>
            <w:tcW w:w="780" w:type="pct"/>
            <w:noWrap/>
            <w:vAlign w:val="center"/>
          </w:tcPr>
          <w:p w14:paraId="501A2860">
            <w:pPr>
              <w:widowControl/>
              <w:adjustRightInd w:val="0"/>
              <w:snapToGrid w:val="0"/>
              <w:spacing w:before="0" w:beforeLines="0" w:line="240" w:lineRule="auto"/>
              <w:jc w:val="center"/>
              <w:rPr>
                <w:kern w:val="0"/>
                <w:szCs w:val="21"/>
              </w:rPr>
            </w:pPr>
            <w:r>
              <w:rPr>
                <w:color w:val="000000"/>
                <w:kern w:val="0"/>
                <w:szCs w:val="21"/>
              </w:rPr>
              <w:t>平均值</w:t>
            </w:r>
          </w:p>
        </w:tc>
        <w:tc>
          <w:tcPr>
            <w:tcW w:w="598" w:type="pct"/>
            <w:noWrap/>
            <w:vAlign w:val="center"/>
          </w:tcPr>
          <w:p w14:paraId="168BCF0F">
            <w:pPr>
              <w:widowControl/>
              <w:adjustRightInd w:val="0"/>
              <w:snapToGrid w:val="0"/>
              <w:spacing w:before="0" w:beforeLines="0" w:line="240" w:lineRule="auto"/>
              <w:jc w:val="center"/>
              <w:rPr>
                <w:kern w:val="0"/>
                <w:szCs w:val="21"/>
              </w:rPr>
            </w:pPr>
            <w:r>
              <w:rPr>
                <w:color w:val="000000"/>
                <w:kern w:val="0"/>
                <w:szCs w:val="21"/>
              </w:rPr>
              <w:t>60.0000</w:t>
            </w:r>
          </w:p>
        </w:tc>
        <w:tc>
          <w:tcPr>
            <w:tcW w:w="330" w:type="pct"/>
            <w:noWrap/>
            <w:vAlign w:val="center"/>
          </w:tcPr>
          <w:p w14:paraId="0C93204F">
            <w:pPr>
              <w:widowControl/>
              <w:adjustRightInd w:val="0"/>
              <w:snapToGrid w:val="0"/>
              <w:spacing w:before="0" w:beforeLines="0" w:line="240" w:lineRule="auto"/>
              <w:jc w:val="center"/>
              <w:rPr>
                <w:kern w:val="0"/>
                <w:szCs w:val="21"/>
              </w:rPr>
            </w:pPr>
            <w:r>
              <w:rPr>
                <w:color w:val="000000"/>
                <w:kern w:val="0"/>
                <w:szCs w:val="21"/>
              </w:rPr>
              <w:t>3.95</w:t>
            </w:r>
          </w:p>
        </w:tc>
        <w:tc>
          <w:tcPr>
            <w:tcW w:w="341" w:type="pct"/>
            <w:noWrap/>
            <w:vAlign w:val="center"/>
          </w:tcPr>
          <w:p w14:paraId="034B3079">
            <w:pPr>
              <w:widowControl/>
              <w:adjustRightInd w:val="0"/>
              <w:snapToGrid w:val="0"/>
              <w:spacing w:before="0" w:beforeLines="0" w:line="240" w:lineRule="auto"/>
              <w:jc w:val="center"/>
              <w:rPr>
                <w:kern w:val="0"/>
                <w:szCs w:val="21"/>
              </w:rPr>
            </w:pPr>
            <w:r>
              <w:rPr>
                <w:color w:val="000000"/>
                <w:kern w:val="0"/>
                <w:szCs w:val="21"/>
              </w:rPr>
              <w:t>达标</w:t>
            </w:r>
          </w:p>
        </w:tc>
      </w:tr>
    </w:tbl>
    <w:p w14:paraId="1C141F60">
      <w:pPr>
        <w:tabs>
          <w:tab w:val="left" w:pos="4320"/>
          <w:tab w:val="center" w:pos="7219"/>
          <w:tab w:val="left" w:pos="10893"/>
        </w:tabs>
        <w:spacing w:before="0" w:beforeLines="0" w:line="360" w:lineRule="auto"/>
        <w:ind w:firstLine="420" w:firstLineChars="200"/>
        <w:contextualSpacing/>
        <w:jc w:val="left"/>
        <w:rPr>
          <w:szCs w:val="21"/>
        </w:rPr>
      </w:pPr>
      <w:r>
        <w:rPr>
          <w:szCs w:val="21"/>
        </w:rPr>
        <w:tab/>
      </w:r>
    </w:p>
    <w:p w14:paraId="245BF724">
      <w:pPr>
        <w:tabs>
          <w:tab w:val="left" w:pos="4320"/>
          <w:tab w:val="center" w:pos="7219"/>
          <w:tab w:val="left" w:pos="10893"/>
        </w:tabs>
        <w:spacing w:before="0" w:beforeLines="0" w:line="360" w:lineRule="auto"/>
        <w:ind w:firstLine="420" w:firstLineChars="200"/>
        <w:contextualSpacing/>
        <w:jc w:val="left"/>
        <w:rPr>
          <w:szCs w:val="21"/>
        </w:rPr>
      </w:pPr>
    </w:p>
    <w:p w14:paraId="010A01B1">
      <w:pPr>
        <w:tabs>
          <w:tab w:val="left" w:pos="4320"/>
          <w:tab w:val="center" w:pos="7219"/>
          <w:tab w:val="left" w:pos="10893"/>
        </w:tabs>
        <w:spacing w:before="0" w:beforeLines="0" w:line="360" w:lineRule="auto"/>
        <w:ind w:firstLine="420" w:firstLineChars="200"/>
        <w:contextualSpacing/>
        <w:jc w:val="left"/>
        <w:rPr>
          <w:szCs w:val="21"/>
        </w:rPr>
      </w:pPr>
    </w:p>
    <w:p w14:paraId="71A9A205">
      <w:pPr>
        <w:tabs>
          <w:tab w:val="left" w:pos="4320"/>
          <w:tab w:val="center" w:pos="7219"/>
          <w:tab w:val="left" w:pos="10893"/>
        </w:tabs>
        <w:spacing w:before="0" w:beforeLines="0" w:line="240" w:lineRule="auto"/>
        <w:ind w:firstLine="422" w:firstLineChars="200"/>
        <w:contextualSpacing/>
        <w:jc w:val="center"/>
        <w:rPr>
          <w:b/>
          <w:bCs/>
          <w:szCs w:val="21"/>
        </w:rPr>
      </w:pPr>
      <w:r>
        <w:rPr>
          <w:b/>
          <w:bCs/>
          <w:szCs w:val="21"/>
        </w:rPr>
        <w:t xml:space="preserve">表 </w:t>
      </w:r>
      <w:r>
        <w:rPr>
          <w:rFonts w:hint="eastAsia"/>
          <w:b/>
          <w:bCs/>
          <w:szCs w:val="21"/>
        </w:rPr>
        <w:t xml:space="preserve">5.2-9    </w:t>
      </w:r>
      <w:r>
        <w:rPr>
          <w:b/>
          <w:bCs/>
          <w:szCs w:val="21"/>
        </w:rPr>
        <w:t xml:space="preserve"> </w:t>
      </w:r>
      <w:r>
        <w:rPr>
          <w:rFonts w:hint="eastAsia"/>
          <w:b/>
          <w:bCs/>
          <w:szCs w:val="21"/>
        </w:rPr>
        <w:t>本项目</w:t>
      </w:r>
      <w:r>
        <w:rPr>
          <w:b/>
          <w:bCs/>
          <w:szCs w:val="21"/>
        </w:rPr>
        <w:t>TSP</w:t>
      </w:r>
      <w:r>
        <w:rPr>
          <w:rFonts w:hint="eastAsia"/>
          <w:b/>
          <w:bCs/>
          <w:szCs w:val="21"/>
        </w:rPr>
        <w:t>最大贡献浓度预测结果</w:t>
      </w:r>
    </w:p>
    <w:tbl>
      <w:tblPr>
        <w:tblStyle w:val="2196"/>
        <w:tblW w:w="5000" w:type="pct"/>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108" w:type="dxa"/>
          <w:bottom w:w="0" w:type="dxa"/>
          <w:right w:w="108" w:type="dxa"/>
        </w:tblCellMar>
      </w:tblPr>
      <w:tblGrid>
        <w:gridCol w:w="559"/>
        <w:gridCol w:w="1759"/>
        <w:gridCol w:w="1690"/>
        <w:gridCol w:w="1150"/>
        <w:gridCol w:w="902"/>
        <w:gridCol w:w="1754"/>
        <w:gridCol w:w="2065"/>
        <w:gridCol w:w="1583"/>
        <w:gridCol w:w="873"/>
        <w:gridCol w:w="903"/>
      </w:tblGrid>
      <w:tr w14:paraId="7AD2DEBA">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noWrap/>
            <w:vAlign w:val="center"/>
          </w:tcPr>
          <w:p w14:paraId="13B99E84">
            <w:pPr>
              <w:widowControl/>
              <w:adjustRightInd w:val="0"/>
              <w:snapToGrid w:val="0"/>
              <w:spacing w:before="0" w:beforeLines="0" w:line="240" w:lineRule="auto"/>
              <w:jc w:val="center"/>
              <w:rPr>
                <w:kern w:val="0"/>
                <w:szCs w:val="21"/>
              </w:rPr>
            </w:pPr>
            <w:r>
              <w:rPr>
                <w:rFonts w:hint="eastAsia"/>
                <w:kern w:val="0"/>
                <w:szCs w:val="21"/>
              </w:rPr>
              <w:t>序号</w:t>
            </w:r>
          </w:p>
        </w:tc>
        <w:tc>
          <w:tcPr>
            <w:tcW w:w="664" w:type="pct"/>
            <w:noWrap/>
            <w:vAlign w:val="center"/>
          </w:tcPr>
          <w:p w14:paraId="5302FBCE">
            <w:pPr>
              <w:widowControl/>
              <w:adjustRightInd w:val="0"/>
              <w:snapToGrid w:val="0"/>
              <w:spacing w:before="0" w:beforeLines="0" w:line="240" w:lineRule="auto"/>
              <w:jc w:val="center"/>
              <w:rPr>
                <w:kern w:val="0"/>
                <w:szCs w:val="21"/>
              </w:rPr>
            </w:pPr>
            <w:r>
              <w:rPr>
                <w:rFonts w:hint="eastAsia"/>
                <w:kern w:val="0"/>
                <w:szCs w:val="21"/>
              </w:rPr>
              <w:t>点名称</w:t>
            </w:r>
          </w:p>
        </w:tc>
        <w:tc>
          <w:tcPr>
            <w:tcW w:w="638" w:type="pct"/>
            <w:noWrap/>
            <w:vAlign w:val="center"/>
          </w:tcPr>
          <w:p w14:paraId="3482DD1C">
            <w:pPr>
              <w:widowControl/>
              <w:adjustRightInd w:val="0"/>
              <w:snapToGrid w:val="0"/>
              <w:spacing w:before="0" w:beforeLines="0" w:line="240" w:lineRule="auto"/>
              <w:jc w:val="center"/>
              <w:rPr>
                <w:kern w:val="0"/>
                <w:szCs w:val="21"/>
              </w:rPr>
            </w:pPr>
            <w:r>
              <w:rPr>
                <w:rFonts w:hint="eastAsia"/>
                <w:kern w:val="0"/>
                <w:szCs w:val="21"/>
              </w:rPr>
              <w:t>点坐标(x或r,y或a)</w:t>
            </w:r>
          </w:p>
        </w:tc>
        <w:tc>
          <w:tcPr>
            <w:tcW w:w="434" w:type="pct"/>
            <w:noWrap/>
            <w:vAlign w:val="center"/>
          </w:tcPr>
          <w:p w14:paraId="1B695BC2">
            <w:pPr>
              <w:widowControl/>
              <w:adjustRightInd w:val="0"/>
              <w:snapToGrid w:val="0"/>
              <w:spacing w:before="0" w:beforeLines="0" w:line="240" w:lineRule="auto"/>
              <w:jc w:val="center"/>
              <w:rPr>
                <w:kern w:val="0"/>
                <w:szCs w:val="21"/>
              </w:rPr>
            </w:pPr>
            <w:r>
              <w:rPr>
                <w:rFonts w:hint="eastAsia"/>
                <w:kern w:val="0"/>
                <w:szCs w:val="21"/>
              </w:rPr>
              <w:t>地面高程(m)</w:t>
            </w:r>
          </w:p>
        </w:tc>
        <w:tc>
          <w:tcPr>
            <w:tcW w:w="341" w:type="pct"/>
            <w:noWrap/>
            <w:vAlign w:val="center"/>
          </w:tcPr>
          <w:p w14:paraId="33F1DA20">
            <w:pPr>
              <w:widowControl/>
              <w:adjustRightInd w:val="0"/>
              <w:snapToGrid w:val="0"/>
              <w:spacing w:before="0" w:beforeLines="0" w:line="240" w:lineRule="auto"/>
              <w:jc w:val="center"/>
              <w:rPr>
                <w:kern w:val="0"/>
                <w:szCs w:val="21"/>
              </w:rPr>
            </w:pPr>
            <w:r>
              <w:rPr>
                <w:rFonts w:hint="eastAsia"/>
                <w:kern w:val="0"/>
                <w:szCs w:val="21"/>
              </w:rPr>
              <w:t>平均时段</w:t>
            </w:r>
          </w:p>
        </w:tc>
        <w:tc>
          <w:tcPr>
            <w:tcW w:w="662" w:type="pct"/>
            <w:noWrap/>
            <w:vAlign w:val="center"/>
          </w:tcPr>
          <w:p w14:paraId="6049BD63">
            <w:pPr>
              <w:widowControl/>
              <w:adjustRightInd w:val="0"/>
              <w:snapToGrid w:val="0"/>
              <w:spacing w:before="0" w:beforeLines="0" w:line="240" w:lineRule="auto"/>
              <w:jc w:val="center"/>
              <w:rPr>
                <w:kern w:val="0"/>
                <w:szCs w:val="21"/>
              </w:rPr>
            </w:pPr>
            <w:r>
              <w:rPr>
                <w:rFonts w:hint="eastAsia"/>
                <w:kern w:val="0"/>
                <w:szCs w:val="21"/>
              </w:rPr>
              <w:t>最大贡献值(mg/m^3)</w:t>
            </w:r>
          </w:p>
        </w:tc>
        <w:tc>
          <w:tcPr>
            <w:tcW w:w="780" w:type="pct"/>
            <w:noWrap/>
            <w:vAlign w:val="center"/>
          </w:tcPr>
          <w:p w14:paraId="07F36EE9">
            <w:pPr>
              <w:widowControl/>
              <w:adjustRightInd w:val="0"/>
              <w:snapToGrid w:val="0"/>
              <w:spacing w:before="0" w:beforeLines="0" w:line="240" w:lineRule="auto"/>
              <w:jc w:val="center"/>
              <w:rPr>
                <w:kern w:val="0"/>
                <w:szCs w:val="21"/>
              </w:rPr>
            </w:pPr>
            <w:r>
              <w:rPr>
                <w:rFonts w:hint="eastAsia"/>
                <w:kern w:val="0"/>
                <w:szCs w:val="21"/>
              </w:rPr>
              <w:t>出现时间(YYMMDDHH)</w:t>
            </w:r>
          </w:p>
        </w:tc>
        <w:tc>
          <w:tcPr>
            <w:tcW w:w="598" w:type="pct"/>
            <w:noWrap/>
            <w:vAlign w:val="center"/>
          </w:tcPr>
          <w:p w14:paraId="20F2A25C">
            <w:pPr>
              <w:widowControl/>
              <w:adjustRightInd w:val="0"/>
              <w:snapToGrid w:val="0"/>
              <w:spacing w:before="0" w:beforeLines="0" w:line="240" w:lineRule="auto"/>
              <w:jc w:val="center"/>
              <w:rPr>
                <w:kern w:val="0"/>
                <w:szCs w:val="21"/>
              </w:rPr>
            </w:pPr>
            <w:r>
              <w:rPr>
                <w:rFonts w:hint="eastAsia"/>
                <w:kern w:val="0"/>
                <w:szCs w:val="21"/>
              </w:rPr>
              <w:t>评价标准(mg/m^3)</w:t>
            </w:r>
          </w:p>
        </w:tc>
        <w:tc>
          <w:tcPr>
            <w:tcW w:w="330" w:type="pct"/>
            <w:noWrap/>
            <w:vAlign w:val="center"/>
          </w:tcPr>
          <w:p w14:paraId="174B625D">
            <w:pPr>
              <w:widowControl/>
              <w:adjustRightInd w:val="0"/>
              <w:snapToGrid w:val="0"/>
              <w:spacing w:before="0" w:beforeLines="0" w:line="240" w:lineRule="auto"/>
              <w:jc w:val="center"/>
              <w:rPr>
                <w:kern w:val="0"/>
                <w:szCs w:val="21"/>
              </w:rPr>
            </w:pPr>
            <w:r>
              <w:rPr>
                <w:rFonts w:hint="eastAsia"/>
                <w:kern w:val="0"/>
                <w:szCs w:val="21"/>
              </w:rPr>
              <w:t>占标率%</w:t>
            </w:r>
          </w:p>
        </w:tc>
        <w:tc>
          <w:tcPr>
            <w:tcW w:w="341" w:type="pct"/>
            <w:noWrap/>
            <w:vAlign w:val="center"/>
          </w:tcPr>
          <w:p w14:paraId="42095371">
            <w:pPr>
              <w:widowControl/>
              <w:adjustRightInd w:val="0"/>
              <w:snapToGrid w:val="0"/>
              <w:spacing w:before="0" w:beforeLines="0" w:line="240" w:lineRule="auto"/>
              <w:jc w:val="center"/>
              <w:rPr>
                <w:kern w:val="0"/>
                <w:szCs w:val="21"/>
              </w:rPr>
            </w:pPr>
            <w:r>
              <w:rPr>
                <w:rFonts w:hint="eastAsia"/>
                <w:kern w:val="0"/>
                <w:szCs w:val="21"/>
              </w:rPr>
              <w:t>达标情况</w:t>
            </w:r>
          </w:p>
        </w:tc>
      </w:tr>
      <w:tr w14:paraId="6A0CBA4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14:paraId="06B78D1F">
            <w:pPr>
              <w:widowControl/>
              <w:adjustRightInd w:val="0"/>
              <w:snapToGrid w:val="0"/>
              <w:spacing w:before="0" w:beforeLines="0" w:line="240" w:lineRule="auto"/>
              <w:jc w:val="center"/>
              <w:rPr>
                <w:kern w:val="0"/>
                <w:szCs w:val="21"/>
              </w:rPr>
            </w:pPr>
            <w:r>
              <w:rPr>
                <w:rFonts w:hint="eastAsia"/>
                <w:kern w:val="0"/>
                <w:szCs w:val="21"/>
              </w:rPr>
              <w:t>1</w:t>
            </w:r>
          </w:p>
        </w:tc>
        <w:tc>
          <w:tcPr>
            <w:tcW w:w="664" w:type="pct"/>
            <w:vMerge w:val="restart"/>
            <w:noWrap/>
            <w:vAlign w:val="center"/>
          </w:tcPr>
          <w:p w14:paraId="4AAD8201">
            <w:pPr>
              <w:widowControl/>
              <w:adjustRightInd w:val="0"/>
              <w:snapToGrid w:val="0"/>
              <w:spacing w:before="0" w:beforeLines="0" w:line="240" w:lineRule="auto"/>
              <w:jc w:val="center"/>
              <w:rPr>
                <w:kern w:val="0"/>
                <w:szCs w:val="21"/>
              </w:rPr>
            </w:pPr>
            <w:r>
              <w:rPr>
                <w:rFonts w:hint="eastAsia"/>
                <w:kern w:val="0"/>
                <w:szCs w:val="21"/>
              </w:rPr>
              <w:t>孟家窝堡</w:t>
            </w:r>
          </w:p>
        </w:tc>
        <w:tc>
          <w:tcPr>
            <w:tcW w:w="638" w:type="pct"/>
            <w:vMerge w:val="restart"/>
            <w:noWrap/>
            <w:vAlign w:val="center"/>
          </w:tcPr>
          <w:p w14:paraId="7D612C7D">
            <w:pPr>
              <w:widowControl/>
              <w:adjustRightInd w:val="0"/>
              <w:snapToGrid w:val="0"/>
              <w:spacing w:before="0" w:beforeLines="0" w:line="240" w:lineRule="auto"/>
              <w:jc w:val="center"/>
              <w:rPr>
                <w:kern w:val="0"/>
                <w:szCs w:val="21"/>
              </w:rPr>
            </w:pPr>
            <w:r>
              <w:rPr>
                <w:kern w:val="0"/>
                <w:szCs w:val="21"/>
              </w:rPr>
              <w:t>-1345,-349</w:t>
            </w:r>
          </w:p>
        </w:tc>
        <w:tc>
          <w:tcPr>
            <w:tcW w:w="434" w:type="pct"/>
            <w:vMerge w:val="restart"/>
            <w:noWrap/>
            <w:vAlign w:val="center"/>
          </w:tcPr>
          <w:p w14:paraId="13F4A63B">
            <w:pPr>
              <w:widowControl/>
              <w:adjustRightInd w:val="0"/>
              <w:snapToGrid w:val="0"/>
              <w:spacing w:before="0" w:beforeLines="0" w:line="240" w:lineRule="auto"/>
              <w:jc w:val="center"/>
              <w:rPr>
                <w:kern w:val="0"/>
                <w:szCs w:val="21"/>
              </w:rPr>
            </w:pPr>
            <w:r>
              <w:rPr>
                <w:kern w:val="0"/>
                <w:szCs w:val="21"/>
              </w:rPr>
              <w:t>272.58</w:t>
            </w:r>
          </w:p>
        </w:tc>
        <w:tc>
          <w:tcPr>
            <w:tcW w:w="341" w:type="pct"/>
            <w:noWrap/>
            <w:vAlign w:val="center"/>
          </w:tcPr>
          <w:p w14:paraId="2B99F1C9">
            <w:pPr>
              <w:widowControl/>
              <w:adjustRightInd w:val="0"/>
              <w:snapToGrid w:val="0"/>
              <w:spacing w:before="0" w:beforeLines="0" w:line="240" w:lineRule="auto"/>
              <w:jc w:val="center"/>
              <w:rPr>
                <w:bCs/>
                <w:kern w:val="0"/>
                <w:szCs w:val="21"/>
              </w:rPr>
            </w:pPr>
            <w:r>
              <w:rPr>
                <w:rFonts w:hint="eastAsia"/>
                <w:bCs/>
                <w:kern w:val="0"/>
                <w:szCs w:val="21"/>
              </w:rPr>
              <w:t>日平均</w:t>
            </w:r>
          </w:p>
        </w:tc>
        <w:tc>
          <w:tcPr>
            <w:tcW w:w="662" w:type="pct"/>
            <w:noWrap/>
          </w:tcPr>
          <w:p w14:paraId="4BDD8961">
            <w:pPr>
              <w:widowControl/>
              <w:adjustRightInd w:val="0"/>
              <w:snapToGrid w:val="0"/>
              <w:spacing w:before="0" w:beforeLines="0" w:line="240" w:lineRule="auto"/>
              <w:jc w:val="center"/>
              <w:rPr>
                <w:kern w:val="0"/>
                <w:szCs w:val="21"/>
              </w:rPr>
            </w:pPr>
            <w:r>
              <w:rPr>
                <w:rFonts w:hint="eastAsia"/>
                <w:bCs/>
                <w:color w:val="000000"/>
                <w:kern w:val="0"/>
                <w:sz w:val="22"/>
                <w:szCs w:val="22"/>
              </w:rPr>
              <w:t>9.9381</w:t>
            </w:r>
          </w:p>
        </w:tc>
        <w:tc>
          <w:tcPr>
            <w:tcW w:w="780" w:type="pct"/>
            <w:noWrap/>
          </w:tcPr>
          <w:p w14:paraId="0CEC3485">
            <w:pPr>
              <w:widowControl/>
              <w:adjustRightInd w:val="0"/>
              <w:snapToGrid w:val="0"/>
              <w:spacing w:before="0" w:beforeLines="0" w:line="240" w:lineRule="auto"/>
              <w:jc w:val="center"/>
              <w:rPr>
                <w:kern w:val="0"/>
                <w:szCs w:val="21"/>
              </w:rPr>
            </w:pPr>
            <w:r>
              <w:rPr>
                <w:rFonts w:hint="eastAsia"/>
                <w:bCs/>
                <w:color w:val="000000"/>
                <w:kern w:val="0"/>
                <w:sz w:val="22"/>
                <w:szCs w:val="22"/>
              </w:rPr>
              <w:t>251213</w:t>
            </w:r>
          </w:p>
        </w:tc>
        <w:tc>
          <w:tcPr>
            <w:tcW w:w="598" w:type="pct"/>
            <w:noWrap/>
            <w:vAlign w:val="bottom"/>
          </w:tcPr>
          <w:p w14:paraId="5CA78378">
            <w:pPr>
              <w:widowControl/>
              <w:adjustRightInd w:val="0"/>
              <w:snapToGrid w:val="0"/>
              <w:spacing w:before="0" w:beforeLines="0" w:line="240" w:lineRule="auto"/>
              <w:jc w:val="center"/>
              <w:rPr>
                <w:kern w:val="0"/>
                <w:szCs w:val="21"/>
              </w:rPr>
            </w:pPr>
            <w:r>
              <w:rPr>
                <w:rFonts w:hint="eastAsia"/>
                <w:bCs/>
                <w:color w:val="000000"/>
                <w:kern w:val="0"/>
                <w:sz w:val="22"/>
                <w:szCs w:val="22"/>
              </w:rPr>
              <w:t>300</w:t>
            </w:r>
          </w:p>
        </w:tc>
        <w:tc>
          <w:tcPr>
            <w:tcW w:w="330" w:type="pct"/>
            <w:noWrap/>
          </w:tcPr>
          <w:p w14:paraId="216B726E">
            <w:pPr>
              <w:widowControl/>
              <w:adjustRightInd w:val="0"/>
              <w:snapToGrid w:val="0"/>
              <w:spacing w:before="0" w:beforeLines="0" w:line="240" w:lineRule="auto"/>
              <w:jc w:val="center"/>
              <w:rPr>
                <w:kern w:val="0"/>
                <w:szCs w:val="21"/>
              </w:rPr>
            </w:pPr>
            <w:r>
              <w:rPr>
                <w:rFonts w:hint="eastAsia"/>
                <w:bCs/>
                <w:color w:val="000000"/>
                <w:kern w:val="0"/>
                <w:sz w:val="22"/>
                <w:szCs w:val="22"/>
              </w:rPr>
              <w:t>3.31</w:t>
            </w:r>
          </w:p>
        </w:tc>
        <w:tc>
          <w:tcPr>
            <w:tcW w:w="341" w:type="pct"/>
            <w:noWrap/>
            <w:vAlign w:val="center"/>
          </w:tcPr>
          <w:p w14:paraId="3211A5A7">
            <w:pPr>
              <w:widowControl/>
              <w:adjustRightInd w:val="0"/>
              <w:snapToGrid w:val="0"/>
              <w:spacing w:before="0" w:beforeLines="0" w:line="240" w:lineRule="auto"/>
              <w:jc w:val="center"/>
              <w:rPr>
                <w:bCs/>
                <w:kern w:val="0"/>
                <w:szCs w:val="21"/>
              </w:rPr>
            </w:pPr>
            <w:r>
              <w:rPr>
                <w:rFonts w:hint="eastAsia"/>
                <w:bCs/>
                <w:color w:val="000000"/>
                <w:kern w:val="0"/>
                <w:sz w:val="22"/>
                <w:szCs w:val="22"/>
              </w:rPr>
              <w:t>达标</w:t>
            </w:r>
          </w:p>
        </w:tc>
      </w:tr>
      <w:tr w14:paraId="7DDFA8C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14:paraId="055321FE">
            <w:pPr>
              <w:widowControl/>
              <w:adjustRightInd w:val="0"/>
              <w:snapToGrid w:val="0"/>
              <w:spacing w:before="0" w:beforeLines="0" w:line="240" w:lineRule="auto"/>
              <w:jc w:val="center"/>
              <w:rPr>
                <w:kern w:val="0"/>
                <w:szCs w:val="21"/>
              </w:rPr>
            </w:pPr>
          </w:p>
        </w:tc>
        <w:tc>
          <w:tcPr>
            <w:tcW w:w="664" w:type="pct"/>
            <w:vMerge w:val="continue"/>
            <w:vAlign w:val="center"/>
          </w:tcPr>
          <w:p w14:paraId="614BCBD6">
            <w:pPr>
              <w:widowControl/>
              <w:adjustRightInd w:val="0"/>
              <w:snapToGrid w:val="0"/>
              <w:spacing w:before="0" w:beforeLines="0" w:line="240" w:lineRule="auto"/>
              <w:jc w:val="center"/>
              <w:rPr>
                <w:kern w:val="0"/>
                <w:szCs w:val="21"/>
              </w:rPr>
            </w:pPr>
          </w:p>
        </w:tc>
        <w:tc>
          <w:tcPr>
            <w:tcW w:w="638" w:type="pct"/>
            <w:vMerge w:val="continue"/>
            <w:vAlign w:val="center"/>
          </w:tcPr>
          <w:p w14:paraId="33D7C448">
            <w:pPr>
              <w:widowControl/>
              <w:adjustRightInd w:val="0"/>
              <w:snapToGrid w:val="0"/>
              <w:spacing w:before="0" w:beforeLines="0" w:line="240" w:lineRule="auto"/>
              <w:jc w:val="center"/>
              <w:rPr>
                <w:kern w:val="0"/>
                <w:szCs w:val="21"/>
              </w:rPr>
            </w:pPr>
          </w:p>
        </w:tc>
        <w:tc>
          <w:tcPr>
            <w:tcW w:w="434" w:type="pct"/>
            <w:vMerge w:val="continue"/>
            <w:vAlign w:val="center"/>
          </w:tcPr>
          <w:p w14:paraId="7791DB70">
            <w:pPr>
              <w:widowControl/>
              <w:adjustRightInd w:val="0"/>
              <w:snapToGrid w:val="0"/>
              <w:spacing w:before="0" w:beforeLines="0" w:line="240" w:lineRule="auto"/>
              <w:jc w:val="center"/>
              <w:rPr>
                <w:kern w:val="0"/>
                <w:szCs w:val="21"/>
              </w:rPr>
            </w:pPr>
          </w:p>
        </w:tc>
        <w:tc>
          <w:tcPr>
            <w:tcW w:w="341" w:type="pct"/>
            <w:noWrap/>
            <w:vAlign w:val="center"/>
          </w:tcPr>
          <w:p w14:paraId="319C5D5C">
            <w:pPr>
              <w:widowControl/>
              <w:adjustRightInd w:val="0"/>
              <w:snapToGrid w:val="0"/>
              <w:spacing w:before="0" w:beforeLines="0" w:line="240" w:lineRule="auto"/>
              <w:jc w:val="center"/>
              <w:rPr>
                <w:kern w:val="0"/>
                <w:szCs w:val="21"/>
              </w:rPr>
            </w:pPr>
            <w:r>
              <w:rPr>
                <w:rFonts w:hint="eastAsia"/>
                <w:kern w:val="0"/>
                <w:szCs w:val="21"/>
              </w:rPr>
              <w:t>全时段</w:t>
            </w:r>
          </w:p>
        </w:tc>
        <w:tc>
          <w:tcPr>
            <w:tcW w:w="662" w:type="pct"/>
            <w:noWrap/>
          </w:tcPr>
          <w:p w14:paraId="56B66E0F">
            <w:pPr>
              <w:widowControl/>
              <w:adjustRightInd w:val="0"/>
              <w:snapToGrid w:val="0"/>
              <w:spacing w:before="0" w:beforeLines="0" w:line="240" w:lineRule="auto"/>
              <w:jc w:val="center"/>
              <w:rPr>
                <w:kern w:val="0"/>
                <w:szCs w:val="21"/>
              </w:rPr>
            </w:pPr>
            <w:r>
              <w:rPr>
                <w:rFonts w:hint="eastAsia"/>
                <w:bCs/>
                <w:color w:val="000000"/>
                <w:kern w:val="0"/>
                <w:sz w:val="22"/>
                <w:szCs w:val="22"/>
              </w:rPr>
              <w:t>0.4435</w:t>
            </w:r>
          </w:p>
        </w:tc>
        <w:tc>
          <w:tcPr>
            <w:tcW w:w="780" w:type="pct"/>
            <w:noWrap/>
          </w:tcPr>
          <w:p w14:paraId="2FA914E9">
            <w:pPr>
              <w:widowControl/>
              <w:adjustRightInd w:val="0"/>
              <w:snapToGrid w:val="0"/>
              <w:spacing w:before="0" w:beforeLines="0" w:line="240" w:lineRule="auto"/>
              <w:jc w:val="center"/>
              <w:rPr>
                <w:kern w:val="0"/>
                <w:szCs w:val="21"/>
              </w:rPr>
            </w:pPr>
            <w:r>
              <w:rPr>
                <w:rFonts w:hint="eastAsia"/>
                <w:bCs/>
                <w:color w:val="000000"/>
                <w:kern w:val="0"/>
                <w:sz w:val="22"/>
                <w:szCs w:val="22"/>
              </w:rPr>
              <w:t>平均值</w:t>
            </w:r>
          </w:p>
        </w:tc>
        <w:tc>
          <w:tcPr>
            <w:tcW w:w="598" w:type="pct"/>
            <w:noWrap/>
            <w:vAlign w:val="bottom"/>
          </w:tcPr>
          <w:p w14:paraId="0493F1DC">
            <w:pPr>
              <w:widowControl/>
              <w:adjustRightInd w:val="0"/>
              <w:snapToGrid w:val="0"/>
              <w:spacing w:before="0" w:beforeLines="0" w:line="240" w:lineRule="auto"/>
              <w:jc w:val="center"/>
              <w:rPr>
                <w:kern w:val="0"/>
                <w:szCs w:val="21"/>
              </w:rPr>
            </w:pPr>
            <w:r>
              <w:rPr>
                <w:rFonts w:hint="eastAsia"/>
                <w:bCs/>
                <w:color w:val="000000"/>
                <w:kern w:val="0"/>
                <w:sz w:val="22"/>
                <w:szCs w:val="22"/>
              </w:rPr>
              <w:t>200</w:t>
            </w:r>
          </w:p>
        </w:tc>
        <w:tc>
          <w:tcPr>
            <w:tcW w:w="330" w:type="pct"/>
            <w:noWrap/>
          </w:tcPr>
          <w:p w14:paraId="3AB235C7">
            <w:pPr>
              <w:widowControl/>
              <w:adjustRightInd w:val="0"/>
              <w:snapToGrid w:val="0"/>
              <w:spacing w:before="0" w:beforeLines="0" w:line="240" w:lineRule="auto"/>
              <w:jc w:val="center"/>
              <w:rPr>
                <w:kern w:val="0"/>
                <w:szCs w:val="21"/>
              </w:rPr>
            </w:pPr>
            <w:r>
              <w:rPr>
                <w:rFonts w:hint="eastAsia"/>
                <w:bCs/>
                <w:color w:val="000000"/>
                <w:kern w:val="0"/>
                <w:sz w:val="22"/>
                <w:szCs w:val="22"/>
              </w:rPr>
              <w:t>0.22</w:t>
            </w:r>
          </w:p>
        </w:tc>
        <w:tc>
          <w:tcPr>
            <w:tcW w:w="341" w:type="pct"/>
            <w:noWrap/>
            <w:vAlign w:val="center"/>
          </w:tcPr>
          <w:p w14:paraId="61C5D740">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tr w14:paraId="7D1AFB8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14:paraId="085B0E80">
            <w:pPr>
              <w:widowControl/>
              <w:adjustRightInd w:val="0"/>
              <w:snapToGrid w:val="0"/>
              <w:spacing w:before="0" w:beforeLines="0" w:line="240" w:lineRule="auto"/>
              <w:jc w:val="center"/>
              <w:rPr>
                <w:kern w:val="0"/>
                <w:szCs w:val="21"/>
              </w:rPr>
            </w:pPr>
            <w:r>
              <w:rPr>
                <w:rFonts w:hint="eastAsia"/>
                <w:kern w:val="0"/>
                <w:szCs w:val="21"/>
              </w:rPr>
              <w:t>2</w:t>
            </w:r>
          </w:p>
        </w:tc>
        <w:tc>
          <w:tcPr>
            <w:tcW w:w="664" w:type="pct"/>
            <w:vMerge w:val="restart"/>
            <w:noWrap/>
            <w:vAlign w:val="center"/>
          </w:tcPr>
          <w:p w14:paraId="2847F222">
            <w:pPr>
              <w:widowControl/>
              <w:adjustRightInd w:val="0"/>
              <w:snapToGrid w:val="0"/>
              <w:spacing w:before="0" w:beforeLines="0" w:line="240" w:lineRule="auto"/>
              <w:jc w:val="center"/>
              <w:rPr>
                <w:kern w:val="0"/>
                <w:szCs w:val="21"/>
              </w:rPr>
            </w:pPr>
            <w:r>
              <w:rPr>
                <w:rFonts w:hint="eastAsia"/>
                <w:kern w:val="0"/>
                <w:szCs w:val="21"/>
              </w:rPr>
              <w:t>阿哈来村</w:t>
            </w:r>
          </w:p>
        </w:tc>
        <w:tc>
          <w:tcPr>
            <w:tcW w:w="638" w:type="pct"/>
            <w:vMerge w:val="restart"/>
            <w:noWrap/>
            <w:vAlign w:val="center"/>
          </w:tcPr>
          <w:p w14:paraId="6B20CD94">
            <w:pPr>
              <w:widowControl/>
              <w:adjustRightInd w:val="0"/>
              <w:snapToGrid w:val="0"/>
              <w:spacing w:before="0" w:beforeLines="0" w:line="240" w:lineRule="auto"/>
              <w:jc w:val="center"/>
              <w:rPr>
                <w:kern w:val="0"/>
                <w:szCs w:val="21"/>
              </w:rPr>
            </w:pPr>
            <w:r>
              <w:rPr>
                <w:kern w:val="0"/>
                <w:szCs w:val="21"/>
              </w:rPr>
              <w:t>-2099</w:t>
            </w:r>
            <w:r>
              <w:rPr>
                <w:rFonts w:hint="eastAsia"/>
                <w:kern w:val="0"/>
                <w:szCs w:val="21"/>
              </w:rPr>
              <w:t>，</w:t>
            </w:r>
            <w:r>
              <w:rPr>
                <w:kern w:val="0"/>
                <w:szCs w:val="21"/>
              </w:rPr>
              <w:t>589</w:t>
            </w:r>
          </w:p>
        </w:tc>
        <w:tc>
          <w:tcPr>
            <w:tcW w:w="434" w:type="pct"/>
            <w:vMerge w:val="restart"/>
            <w:noWrap/>
            <w:vAlign w:val="center"/>
          </w:tcPr>
          <w:p w14:paraId="647B8EB0">
            <w:pPr>
              <w:widowControl/>
              <w:adjustRightInd w:val="0"/>
              <w:snapToGrid w:val="0"/>
              <w:spacing w:before="0" w:beforeLines="0" w:line="240" w:lineRule="auto"/>
              <w:jc w:val="center"/>
              <w:rPr>
                <w:kern w:val="0"/>
                <w:szCs w:val="21"/>
              </w:rPr>
            </w:pPr>
            <w:r>
              <w:rPr>
                <w:kern w:val="0"/>
                <w:szCs w:val="21"/>
              </w:rPr>
              <w:t>266.66</w:t>
            </w:r>
          </w:p>
        </w:tc>
        <w:tc>
          <w:tcPr>
            <w:tcW w:w="341" w:type="pct"/>
            <w:noWrap/>
            <w:vAlign w:val="center"/>
          </w:tcPr>
          <w:p w14:paraId="731DF3BD">
            <w:pPr>
              <w:widowControl/>
              <w:adjustRightInd w:val="0"/>
              <w:snapToGrid w:val="0"/>
              <w:spacing w:before="0" w:beforeLines="0" w:line="240" w:lineRule="auto"/>
              <w:jc w:val="center"/>
              <w:rPr>
                <w:kern w:val="0"/>
                <w:szCs w:val="21"/>
              </w:rPr>
            </w:pPr>
            <w:r>
              <w:rPr>
                <w:rFonts w:hint="eastAsia"/>
                <w:kern w:val="0"/>
                <w:szCs w:val="21"/>
              </w:rPr>
              <w:t>日平均</w:t>
            </w:r>
          </w:p>
        </w:tc>
        <w:tc>
          <w:tcPr>
            <w:tcW w:w="662" w:type="pct"/>
            <w:noWrap/>
          </w:tcPr>
          <w:p w14:paraId="5F1C98E3">
            <w:pPr>
              <w:widowControl/>
              <w:adjustRightInd w:val="0"/>
              <w:snapToGrid w:val="0"/>
              <w:spacing w:before="0" w:beforeLines="0" w:line="240" w:lineRule="auto"/>
              <w:jc w:val="center"/>
              <w:rPr>
                <w:kern w:val="0"/>
                <w:szCs w:val="21"/>
              </w:rPr>
            </w:pPr>
            <w:r>
              <w:rPr>
                <w:rFonts w:hint="eastAsia"/>
                <w:bCs/>
                <w:color w:val="000000"/>
                <w:kern w:val="0"/>
                <w:sz w:val="22"/>
                <w:szCs w:val="22"/>
              </w:rPr>
              <w:t>3.8127</w:t>
            </w:r>
          </w:p>
        </w:tc>
        <w:tc>
          <w:tcPr>
            <w:tcW w:w="780" w:type="pct"/>
            <w:noWrap/>
          </w:tcPr>
          <w:p w14:paraId="672226C9">
            <w:pPr>
              <w:widowControl/>
              <w:adjustRightInd w:val="0"/>
              <w:snapToGrid w:val="0"/>
              <w:spacing w:before="0" w:beforeLines="0" w:line="240" w:lineRule="auto"/>
              <w:jc w:val="center"/>
              <w:rPr>
                <w:kern w:val="0"/>
                <w:szCs w:val="21"/>
              </w:rPr>
            </w:pPr>
            <w:r>
              <w:rPr>
                <w:rFonts w:hint="eastAsia"/>
                <w:bCs/>
                <w:color w:val="000000"/>
                <w:kern w:val="0"/>
                <w:sz w:val="22"/>
                <w:szCs w:val="22"/>
              </w:rPr>
              <w:t>250921</w:t>
            </w:r>
          </w:p>
        </w:tc>
        <w:tc>
          <w:tcPr>
            <w:tcW w:w="598" w:type="pct"/>
            <w:noWrap/>
            <w:vAlign w:val="bottom"/>
          </w:tcPr>
          <w:p w14:paraId="2436E38F">
            <w:pPr>
              <w:widowControl/>
              <w:adjustRightInd w:val="0"/>
              <w:snapToGrid w:val="0"/>
              <w:spacing w:before="0" w:beforeLines="0" w:line="240" w:lineRule="auto"/>
              <w:jc w:val="center"/>
              <w:rPr>
                <w:kern w:val="0"/>
                <w:szCs w:val="21"/>
              </w:rPr>
            </w:pPr>
            <w:r>
              <w:rPr>
                <w:rFonts w:hint="eastAsia"/>
                <w:bCs/>
                <w:color w:val="000000"/>
                <w:kern w:val="0"/>
                <w:sz w:val="22"/>
                <w:szCs w:val="22"/>
              </w:rPr>
              <w:t>300</w:t>
            </w:r>
          </w:p>
        </w:tc>
        <w:tc>
          <w:tcPr>
            <w:tcW w:w="330" w:type="pct"/>
            <w:noWrap/>
          </w:tcPr>
          <w:p w14:paraId="68C4A60F">
            <w:pPr>
              <w:widowControl/>
              <w:adjustRightInd w:val="0"/>
              <w:snapToGrid w:val="0"/>
              <w:spacing w:before="0" w:beforeLines="0" w:line="240" w:lineRule="auto"/>
              <w:jc w:val="center"/>
              <w:rPr>
                <w:kern w:val="0"/>
                <w:szCs w:val="21"/>
              </w:rPr>
            </w:pPr>
            <w:r>
              <w:rPr>
                <w:rFonts w:hint="eastAsia"/>
                <w:bCs/>
                <w:color w:val="000000"/>
                <w:kern w:val="0"/>
                <w:sz w:val="22"/>
                <w:szCs w:val="22"/>
              </w:rPr>
              <w:t>1.27</w:t>
            </w:r>
          </w:p>
        </w:tc>
        <w:tc>
          <w:tcPr>
            <w:tcW w:w="341" w:type="pct"/>
            <w:noWrap/>
            <w:vAlign w:val="center"/>
          </w:tcPr>
          <w:p w14:paraId="5B2387BB">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tr w14:paraId="2195EDFD">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14:paraId="0F3162A3">
            <w:pPr>
              <w:widowControl/>
              <w:adjustRightInd w:val="0"/>
              <w:snapToGrid w:val="0"/>
              <w:spacing w:before="0" w:beforeLines="0" w:line="240" w:lineRule="auto"/>
              <w:jc w:val="center"/>
              <w:rPr>
                <w:kern w:val="0"/>
                <w:szCs w:val="21"/>
              </w:rPr>
            </w:pPr>
          </w:p>
        </w:tc>
        <w:tc>
          <w:tcPr>
            <w:tcW w:w="664" w:type="pct"/>
            <w:vMerge w:val="continue"/>
            <w:vAlign w:val="center"/>
          </w:tcPr>
          <w:p w14:paraId="74A1B7FE">
            <w:pPr>
              <w:widowControl/>
              <w:adjustRightInd w:val="0"/>
              <w:snapToGrid w:val="0"/>
              <w:spacing w:before="0" w:beforeLines="0" w:line="240" w:lineRule="auto"/>
              <w:jc w:val="center"/>
              <w:rPr>
                <w:kern w:val="0"/>
                <w:szCs w:val="21"/>
              </w:rPr>
            </w:pPr>
          </w:p>
        </w:tc>
        <w:tc>
          <w:tcPr>
            <w:tcW w:w="638" w:type="pct"/>
            <w:vMerge w:val="continue"/>
            <w:vAlign w:val="center"/>
          </w:tcPr>
          <w:p w14:paraId="7B1C6EA0">
            <w:pPr>
              <w:widowControl/>
              <w:adjustRightInd w:val="0"/>
              <w:snapToGrid w:val="0"/>
              <w:spacing w:before="0" w:beforeLines="0" w:line="240" w:lineRule="auto"/>
              <w:jc w:val="center"/>
              <w:rPr>
                <w:kern w:val="0"/>
                <w:szCs w:val="21"/>
              </w:rPr>
            </w:pPr>
          </w:p>
        </w:tc>
        <w:tc>
          <w:tcPr>
            <w:tcW w:w="434" w:type="pct"/>
            <w:vMerge w:val="continue"/>
            <w:vAlign w:val="center"/>
          </w:tcPr>
          <w:p w14:paraId="0CCCEAF0">
            <w:pPr>
              <w:widowControl/>
              <w:adjustRightInd w:val="0"/>
              <w:snapToGrid w:val="0"/>
              <w:spacing w:before="0" w:beforeLines="0" w:line="240" w:lineRule="auto"/>
              <w:jc w:val="center"/>
              <w:rPr>
                <w:kern w:val="0"/>
                <w:szCs w:val="21"/>
              </w:rPr>
            </w:pPr>
          </w:p>
        </w:tc>
        <w:tc>
          <w:tcPr>
            <w:tcW w:w="341" w:type="pct"/>
            <w:noWrap/>
            <w:vAlign w:val="center"/>
          </w:tcPr>
          <w:p w14:paraId="2C5DA193">
            <w:pPr>
              <w:widowControl/>
              <w:adjustRightInd w:val="0"/>
              <w:snapToGrid w:val="0"/>
              <w:spacing w:before="0" w:beforeLines="0" w:line="240" w:lineRule="auto"/>
              <w:jc w:val="center"/>
              <w:rPr>
                <w:kern w:val="0"/>
                <w:szCs w:val="21"/>
              </w:rPr>
            </w:pPr>
            <w:r>
              <w:rPr>
                <w:rFonts w:hint="eastAsia"/>
                <w:kern w:val="0"/>
                <w:szCs w:val="21"/>
              </w:rPr>
              <w:t>全时段</w:t>
            </w:r>
          </w:p>
        </w:tc>
        <w:tc>
          <w:tcPr>
            <w:tcW w:w="662" w:type="pct"/>
            <w:noWrap/>
          </w:tcPr>
          <w:p w14:paraId="1F0C5A92">
            <w:pPr>
              <w:widowControl/>
              <w:adjustRightInd w:val="0"/>
              <w:snapToGrid w:val="0"/>
              <w:spacing w:before="0" w:beforeLines="0" w:line="240" w:lineRule="auto"/>
              <w:jc w:val="center"/>
              <w:rPr>
                <w:kern w:val="0"/>
                <w:szCs w:val="21"/>
              </w:rPr>
            </w:pPr>
            <w:r>
              <w:rPr>
                <w:rFonts w:hint="eastAsia"/>
                <w:bCs/>
                <w:color w:val="000000"/>
                <w:kern w:val="0"/>
                <w:sz w:val="22"/>
                <w:szCs w:val="22"/>
              </w:rPr>
              <w:t>0.1941</w:t>
            </w:r>
          </w:p>
        </w:tc>
        <w:tc>
          <w:tcPr>
            <w:tcW w:w="780" w:type="pct"/>
            <w:noWrap/>
          </w:tcPr>
          <w:p w14:paraId="37FB6888">
            <w:pPr>
              <w:widowControl/>
              <w:adjustRightInd w:val="0"/>
              <w:snapToGrid w:val="0"/>
              <w:spacing w:before="0" w:beforeLines="0" w:line="240" w:lineRule="auto"/>
              <w:jc w:val="center"/>
              <w:rPr>
                <w:kern w:val="0"/>
                <w:szCs w:val="21"/>
              </w:rPr>
            </w:pPr>
            <w:r>
              <w:rPr>
                <w:rFonts w:hint="eastAsia"/>
                <w:bCs/>
                <w:color w:val="000000"/>
                <w:kern w:val="0"/>
                <w:sz w:val="22"/>
                <w:szCs w:val="22"/>
              </w:rPr>
              <w:t>平均值</w:t>
            </w:r>
          </w:p>
        </w:tc>
        <w:tc>
          <w:tcPr>
            <w:tcW w:w="598" w:type="pct"/>
            <w:noWrap/>
            <w:vAlign w:val="bottom"/>
          </w:tcPr>
          <w:p w14:paraId="42E60CE9">
            <w:pPr>
              <w:widowControl/>
              <w:adjustRightInd w:val="0"/>
              <w:snapToGrid w:val="0"/>
              <w:spacing w:before="0" w:beforeLines="0" w:line="240" w:lineRule="auto"/>
              <w:jc w:val="center"/>
              <w:rPr>
                <w:kern w:val="0"/>
                <w:szCs w:val="21"/>
              </w:rPr>
            </w:pPr>
            <w:r>
              <w:rPr>
                <w:rFonts w:hint="eastAsia"/>
                <w:bCs/>
                <w:color w:val="000000"/>
                <w:kern w:val="0"/>
                <w:sz w:val="22"/>
                <w:szCs w:val="22"/>
              </w:rPr>
              <w:t>200</w:t>
            </w:r>
          </w:p>
        </w:tc>
        <w:tc>
          <w:tcPr>
            <w:tcW w:w="330" w:type="pct"/>
            <w:noWrap/>
          </w:tcPr>
          <w:p w14:paraId="0E8A28E1">
            <w:pPr>
              <w:widowControl/>
              <w:adjustRightInd w:val="0"/>
              <w:snapToGrid w:val="0"/>
              <w:spacing w:before="0" w:beforeLines="0" w:line="240" w:lineRule="auto"/>
              <w:jc w:val="center"/>
              <w:rPr>
                <w:kern w:val="0"/>
                <w:szCs w:val="21"/>
              </w:rPr>
            </w:pPr>
            <w:r>
              <w:rPr>
                <w:rFonts w:hint="eastAsia"/>
                <w:bCs/>
                <w:color w:val="000000"/>
                <w:kern w:val="0"/>
                <w:sz w:val="22"/>
                <w:szCs w:val="22"/>
              </w:rPr>
              <w:t>0.10</w:t>
            </w:r>
          </w:p>
        </w:tc>
        <w:tc>
          <w:tcPr>
            <w:tcW w:w="341" w:type="pct"/>
            <w:noWrap/>
            <w:vAlign w:val="center"/>
          </w:tcPr>
          <w:p w14:paraId="654EF83B">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tr w14:paraId="7EF30FF6">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14:paraId="0FD7D4BC">
            <w:pPr>
              <w:widowControl/>
              <w:adjustRightInd w:val="0"/>
              <w:snapToGrid w:val="0"/>
              <w:spacing w:before="0" w:beforeLines="0" w:line="240" w:lineRule="auto"/>
              <w:jc w:val="center"/>
              <w:rPr>
                <w:kern w:val="0"/>
                <w:szCs w:val="21"/>
              </w:rPr>
            </w:pPr>
            <w:r>
              <w:rPr>
                <w:rFonts w:hint="eastAsia"/>
                <w:kern w:val="0"/>
                <w:szCs w:val="21"/>
              </w:rPr>
              <w:t>3</w:t>
            </w:r>
          </w:p>
        </w:tc>
        <w:tc>
          <w:tcPr>
            <w:tcW w:w="664" w:type="pct"/>
            <w:vMerge w:val="restart"/>
            <w:noWrap/>
            <w:vAlign w:val="center"/>
          </w:tcPr>
          <w:p w14:paraId="6608F142">
            <w:pPr>
              <w:widowControl/>
              <w:adjustRightInd w:val="0"/>
              <w:snapToGrid w:val="0"/>
              <w:spacing w:before="0" w:beforeLines="0" w:line="240" w:lineRule="auto"/>
              <w:jc w:val="center"/>
              <w:rPr>
                <w:kern w:val="0"/>
                <w:szCs w:val="21"/>
              </w:rPr>
            </w:pPr>
            <w:r>
              <w:rPr>
                <w:rFonts w:hint="eastAsia"/>
                <w:kern w:val="0"/>
                <w:szCs w:val="21"/>
              </w:rPr>
              <w:t>庙沟</w:t>
            </w:r>
          </w:p>
        </w:tc>
        <w:tc>
          <w:tcPr>
            <w:tcW w:w="638" w:type="pct"/>
            <w:vMerge w:val="restart"/>
            <w:noWrap/>
            <w:vAlign w:val="center"/>
          </w:tcPr>
          <w:p w14:paraId="001C5D54">
            <w:pPr>
              <w:widowControl/>
              <w:adjustRightInd w:val="0"/>
              <w:snapToGrid w:val="0"/>
              <w:spacing w:before="0" w:beforeLines="0" w:line="240" w:lineRule="auto"/>
              <w:jc w:val="center"/>
              <w:rPr>
                <w:kern w:val="0"/>
                <w:szCs w:val="21"/>
              </w:rPr>
            </w:pPr>
            <w:r>
              <w:rPr>
                <w:kern w:val="0"/>
                <w:szCs w:val="21"/>
              </w:rPr>
              <w:t>-1444</w:t>
            </w:r>
            <w:r>
              <w:rPr>
                <w:rFonts w:hint="eastAsia"/>
                <w:kern w:val="0"/>
                <w:szCs w:val="21"/>
              </w:rPr>
              <w:t>，</w:t>
            </w:r>
            <w:r>
              <w:rPr>
                <w:kern w:val="0"/>
                <w:szCs w:val="21"/>
              </w:rPr>
              <w:t>2465</w:t>
            </w:r>
          </w:p>
        </w:tc>
        <w:tc>
          <w:tcPr>
            <w:tcW w:w="434" w:type="pct"/>
            <w:vMerge w:val="restart"/>
            <w:noWrap/>
            <w:vAlign w:val="center"/>
          </w:tcPr>
          <w:p w14:paraId="5B3505A7">
            <w:pPr>
              <w:widowControl/>
              <w:adjustRightInd w:val="0"/>
              <w:snapToGrid w:val="0"/>
              <w:spacing w:before="0" w:beforeLines="0" w:line="240" w:lineRule="auto"/>
              <w:jc w:val="center"/>
              <w:rPr>
                <w:kern w:val="0"/>
                <w:szCs w:val="21"/>
              </w:rPr>
            </w:pPr>
            <w:r>
              <w:rPr>
                <w:kern w:val="0"/>
                <w:szCs w:val="21"/>
              </w:rPr>
              <w:t>269.82</w:t>
            </w:r>
          </w:p>
        </w:tc>
        <w:tc>
          <w:tcPr>
            <w:tcW w:w="341" w:type="pct"/>
            <w:noWrap/>
            <w:vAlign w:val="center"/>
          </w:tcPr>
          <w:p w14:paraId="1C26C2F8">
            <w:pPr>
              <w:widowControl/>
              <w:adjustRightInd w:val="0"/>
              <w:snapToGrid w:val="0"/>
              <w:spacing w:before="0" w:beforeLines="0" w:line="240" w:lineRule="auto"/>
              <w:jc w:val="center"/>
              <w:rPr>
                <w:kern w:val="0"/>
                <w:szCs w:val="21"/>
              </w:rPr>
            </w:pPr>
            <w:r>
              <w:rPr>
                <w:rFonts w:hint="eastAsia"/>
                <w:kern w:val="0"/>
                <w:szCs w:val="21"/>
              </w:rPr>
              <w:t>日平均</w:t>
            </w:r>
          </w:p>
        </w:tc>
        <w:tc>
          <w:tcPr>
            <w:tcW w:w="662" w:type="pct"/>
            <w:noWrap/>
          </w:tcPr>
          <w:p w14:paraId="16126A28">
            <w:pPr>
              <w:widowControl/>
              <w:adjustRightInd w:val="0"/>
              <w:snapToGrid w:val="0"/>
              <w:spacing w:before="0" w:beforeLines="0" w:line="240" w:lineRule="auto"/>
              <w:jc w:val="center"/>
              <w:rPr>
                <w:kern w:val="0"/>
                <w:szCs w:val="21"/>
              </w:rPr>
            </w:pPr>
            <w:r>
              <w:rPr>
                <w:rFonts w:hint="eastAsia"/>
                <w:bCs/>
                <w:color w:val="000000"/>
                <w:kern w:val="0"/>
                <w:sz w:val="22"/>
                <w:szCs w:val="22"/>
              </w:rPr>
              <w:t>3.5058</w:t>
            </w:r>
          </w:p>
        </w:tc>
        <w:tc>
          <w:tcPr>
            <w:tcW w:w="780" w:type="pct"/>
            <w:noWrap/>
          </w:tcPr>
          <w:p w14:paraId="5B7F2DA3">
            <w:pPr>
              <w:widowControl/>
              <w:adjustRightInd w:val="0"/>
              <w:snapToGrid w:val="0"/>
              <w:spacing w:before="0" w:beforeLines="0" w:line="240" w:lineRule="auto"/>
              <w:jc w:val="center"/>
              <w:rPr>
                <w:kern w:val="0"/>
                <w:szCs w:val="21"/>
              </w:rPr>
            </w:pPr>
            <w:r>
              <w:rPr>
                <w:rFonts w:hint="eastAsia"/>
                <w:bCs/>
                <w:color w:val="000000"/>
                <w:kern w:val="0"/>
                <w:sz w:val="22"/>
                <w:szCs w:val="22"/>
              </w:rPr>
              <w:t>250921</w:t>
            </w:r>
          </w:p>
        </w:tc>
        <w:tc>
          <w:tcPr>
            <w:tcW w:w="598" w:type="pct"/>
            <w:noWrap/>
            <w:vAlign w:val="bottom"/>
          </w:tcPr>
          <w:p w14:paraId="3906AD64">
            <w:pPr>
              <w:widowControl/>
              <w:adjustRightInd w:val="0"/>
              <w:snapToGrid w:val="0"/>
              <w:spacing w:before="0" w:beforeLines="0" w:line="240" w:lineRule="auto"/>
              <w:jc w:val="center"/>
              <w:rPr>
                <w:kern w:val="0"/>
                <w:szCs w:val="21"/>
              </w:rPr>
            </w:pPr>
            <w:r>
              <w:rPr>
                <w:rFonts w:hint="eastAsia"/>
                <w:bCs/>
                <w:color w:val="000000"/>
                <w:kern w:val="0"/>
                <w:sz w:val="22"/>
                <w:szCs w:val="22"/>
              </w:rPr>
              <w:t>300</w:t>
            </w:r>
          </w:p>
        </w:tc>
        <w:tc>
          <w:tcPr>
            <w:tcW w:w="330" w:type="pct"/>
            <w:noWrap/>
          </w:tcPr>
          <w:p w14:paraId="5036B3BD">
            <w:pPr>
              <w:widowControl/>
              <w:adjustRightInd w:val="0"/>
              <w:snapToGrid w:val="0"/>
              <w:spacing w:before="0" w:beforeLines="0" w:line="240" w:lineRule="auto"/>
              <w:jc w:val="center"/>
              <w:rPr>
                <w:kern w:val="0"/>
                <w:szCs w:val="21"/>
              </w:rPr>
            </w:pPr>
            <w:r>
              <w:rPr>
                <w:rFonts w:hint="eastAsia"/>
                <w:bCs/>
                <w:color w:val="000000"/>
                <w:kern w:val="0"/>
                <w:sz w:val="22"/>
                <w:szCs w:val="22"/>
              </w:rPr>
              <w:t>1.17</w:t>
            </w:r>
          </w:p>
        </w:tc>
        <w:tc>
          <w:tcPr>
            <w:tcW w:w="341" w:type="pct"/>
            <w:noWrap/>
            <w:vAlign w:val="center"/>
          </w:tcPr>
          <w:p w14:paraId="5D9A2E67">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tr w14:paraId="1D615F4D">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14:paraId="4DB85BCF">
            <w:pPr>
              <w:widowControl/>
              <w:adjustRightInd w:val="0"/>
              <w:snapToGrid w:val="0"/>
              <w:spacing w:before="0" w:beforeLines="0" w:line="240" w:lineRule="auto"/>
              <w:jc w:val="center"/>
              <w:rPr>
                <w:kern w:val="0"/>
                <w:szCs w:val="21"/>
              </w:rPr>
            </w:pPr>
          </w:p>
        </w:tc>
        <w:tc>
          <w:tcPr>
            <w:tcW w:w="664" w:type="pct"/>
            <w:vMerge w:val="continue"/>
            <w:vAlign w:val="center"/>
          </w:tcPr>
          <w:p w14:paraId="34A6EF63">
            <w:pPr>
              <w:widowControl/>
              <w:adjustRightInd w:val="0"/>
              <w:snapToGrid w:val="0"/>
              <w:spacing w:before="0" w:beforeLines="0" w:line="240" w:lineRule="auto"/>
              <w:jc w:val="center"/>
              <w:rPr>
                <w:kern w:val="0"/>
                <w:szCs w:val="21"/>
              </w:rPr>
            </w:pPr>
          </w:p>
        </w:tc>
        <w:tc>
          <w:tcPr>
            <w:tcW w:w="638" w:type="pct"/>
            <w:vMerge w:val="continue"/>
            <w:vAlign w:val="center"/>
          </w:tcPr>
          <w:p w14:paraId="033A84FB">
            <w:pPr>
              <w:widowControl/>
              <w:adjustRightInd w:val="0"/>
              <w:snapToGrid w:val="0"/>
              <w:spacing w:before="0" w:beforeLines="0" w:line="240" w:lineRule="auto"/>
              <w:jc w:val="center"/>
              <w:rPr>
                <w:kern w:val="0"/>
                <w:szCs w:val="21"/>
              </w:rPr>
            </w:pPr>
          </w:p>
        </w:tc>
        <w:tc>
          <w:tcPr>
            <w:tcW w:w="434" w:type="pct"/>
            <w:vMerge w:val="continue"/>
            <w:vAlign w:val="center"/>
          </w:tcPr>
          <w:p w14:paraId="770C46C1">
            <w:pPr>
              <w:widowControl/>
              <w:adjustRightInd w:val="0"/>
              <w:snapToGrid w:val="0"/>
              <w:spacing w:before="0" w:beforeLines="0" w:line="240" w:lineRule="auto"/>
              <w:jc w:val="center"/>
              <w:rPr>
                <w:kern w:val="0"/>
                <w:szCs w:val="21"/>
              </w:rPr>
            </w:pPr>
          </w:p>
        </w:tc>
        <w:tc>
          <w:tcPr>
            <w:tcW w:w="341" w:type="pct"/>
            <w:noWrap/>
            <w:vAlign w:val="center"/>
          </w:tcPr>
          <w:p w14:paraId="2D035573">
            <w:pPr>
              <w:widowControl/>
              <w:adjustRightInd w:val="0"/>
              <w:snapToGrid w:val="0"/>
              <w:spacing w:before="0" w:beforeLines="0" w:line="240" w:lineRule="auto"/>
              <w:jc w:val="center"/>
              <w:rPr>
                <w:kern w:val="0"/>
                <w:szCs w:val="21"/>
              </w:rPr>
            </w:pPr>
            <w:r>
              <w:rPr>
                <w:rFonts w:hint="eastAsia"/>
                <w:kern w:val="0"/>
                <w:szCs w:val="21"/>
              </w:rPr>
              <w:t>全时段</w:t>
            </w:r>
          </w:p>
        </w:tc>
        <w:tc>
          <w:tcPr>
            <w:tcW w:w="662" w:type="pct"/>
            <w:noWrap/>
          </w:tcPr>
          <w:p w14:paraId="73F1E694">
            <w:pPr>
              <w:widowControl/>
              <w:adjustRightInd w:val="0"/>
              <w:snapToGrid w:val="0"/>
              <w:spacing w:before="0" w:beforeLines="0" w:line="240" w:lineRule="auto"/>
              <w:jc w:val="center"/>
              <w:rPr>
                <w:kern w:val="0"/>
                <w:szCs w:val="21"/>
              </w:rPr>
            </w:pPr>
            <w:r>
              <w:rPr>
                <w:rFonts w:hint="eastAsia"/>
                <w:bCs/>
                <w:color w:val="000000"/>
                <w:kern w:val="0"/>
                <w:sz w:val="22"/>
                <w:szCs w:val="22"/>
              </w:rPr>
              <w:t>0.2110</w:t>
            </w:r>
          </w:p>
        </w:tc>
        <w:tc>
          <w:tcPr>
            <w:tcW w:w="780" w:type="pct"/>
            <w:noWrap/>
          </w:tcPr>
          <w:p w14:paraId="2227B8C0">
            <w:pPr>
              <w:widowControl/>
              <w:adjustRightInd w:val="0"/>
              <w:snapToGrid w:val="0"/>
              <w:spacing w:before="0" w:beforeLines="0" w:line="240" w:lineRule="auto"/>
              <w:jc w:val="center"/>
              <w:rPr>
                <w:kern w:val="0"/>
                <w:szCs w:val="21"/>
              </w:rPr>
            </w:pPr>
            <w:r>
              <w:rPr>
                <w:rFonts w:hint="eastAsia"/>
                <w:bCs/>
                <w:color w:val="000000"/>
                <w:kern w:val="0"/>
                <w:sz w:val="22"/>
                <w:szCs w:val="22"/>
              </w:rPr>
              <w:t>平均值</w:t>
            </w:r>
          </w:p>
        </w:tc>
        <w:tc>
          <w:tcPr>
            <w:tcW w:w="598" w:type="pct"/>
            <w:noWrap/>
            <w:vAlign w:val="bottom"/>
          </w:tcPr>
          <w:p w14:paraId="68E75053">
            <w:pPr>
              <w:widowControl/>
              <w:adjustRightInd w:val="0"/>
              <w:snapToGrid w:val="0"/>
              <w:spacing w:before="0" w:beforeLines="0" w:line="240" w:lineRule="auto"/>
              <w:jc w:val="center"/>
              <w:rPr>
                <w:kern w:val="0"/>
                <w:szCs w:val="21"/>
              </w:rPr>
            </w:pPr>
            <w:r>
              <w:rPr>
                <w:rFonts w:hint="eastAsia"/>
                <w:bCs/>
                <w:color w:val="000000"/>
                <w:kern w:val="0"/>
                <w:sz w:val="22"/>
                <w:szCs w:val="22"/>
              </w:rPr>
              <w:t>200</w:t>
            </w:r>
          </w:p>
        </w:tc>
        <w:tc>
          <w:tcPr>
            <w:tcW w:w="330" w:type="pct"/>
            <w:noWrap/>
          </w:tcPr>
          <w:p w14:paraId="0D01714C">
            <w:pPr>
              <w:widowControl/>
              <w:adjustRightInd w:val="0"/>
              <w:snapToGrid w:val="0"/>
              <w:spacing w:before="0" w:beforeLines="0" w:line="240" w:lineRule="auto"/>
              <w:jc w:val="center"/>
              <w:rPr>
                <w:kern w:val="0"/>
                <w:szCs w:val="21"/>
              </w:rPr>
            </w:pPr>
            <w:r>
              <w:rPr>
                <w:rFonts w:hint="eastAsia"/>
                <w:bCs/>
                <w:color w:val="000000"/>
                <w:kern w:val="0"/>
                <w:sz w:val="22"/>
                <w:szCs w:val="22"/>
              </w:rPr>
              <w:t>0.11</w:t>
            </w:r>
          </w:p>
        </w:tc>
        <w:tc>
          <w:tcPr>
            <w:tcW w:w="341" w:type="pct"/>
            <w:noWrap/>
            <w:vAlign w:val="center"/>
          </w:tcPr>
          <w:p w14:paraId="0B642EBA">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tr w14:paraId="046D59AC">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14:paraId="3B91DC9F">
            <w:pPr>
              <w:widowControl/>
              <w:adjustRightInd w:val="0"/>
              <w:snapToGrid w:val="0"/>
              <w:spacing w:before="0" w:beforeLines="0" w:line="240" w:lineRule="auto"/>
              <w:jc w:val="center"/>
              <w:rPr>
                <w:kern w:val="0"/>
                <w:szCs w:val="21"/>
              </w:rPr>
            </w:pPr>
            <w:r>
              <w:rPr>
                <w:rFonts w:hint="eastAsia"/>
                <w:kern w:val="0"/>
                <w:szCs w:val="21"/>
              </w:rPr>
              <w:t>4</w:t>
            </w:r>
          </w:p>
        </w:tc>
        <w:tc>
          <w:tcPr>
            <w:tcW w:w="664" w:type="pct"/>
            <w:vMerge w:val="restart"/>
            <w:noWrap/>
            <w:vAlign w:val="center"/>
          </w:tcPr>
          <w:p w14:paraId="65C99CD2">
            <w:pPr>
              <w:widowControl/>
              <w:adjustRightInd w:val="0"/>
              <w:snapToGrid w:val="0"/>
              <w:spacing w:before="0" w:beforeLines="0" w:line="240" w:lineRule="auto"/>
              <w:jc w:val="center"/>
              <w:rPr>
                <w:kern w:val="0"/>
                <w:szCs w:val="21"/>
              </w:rPr>
            </w:pPr>
            <w:r>
              <w:rPr>
                <w:rFonts w:hint="eastAsia"/>
                <w:kern w:val="0"/>
                <w:szCs w:val="21"/>
              </w:rPr>
              <w:t>南山</w:t>
            </w:r>
          </w:p>
        </w:tc>
        <w:tc>
          <w:tcPr>
            <w:tcW w:w="638" w:type="pct"/>
            <w:vMerge w:val="restart"/>
            <w:noWrap/>
            <w:vAlign w:val="center"/>
          </w:tcPr>
          <w:p w14:paraId="0292150F">
            <w:pPr>
              <w:widowControl/>
              <w:adjustRightInd w:val="0"/>
              <w:snapToGrid w:val="0"/>
              <w:spacing w:before="0" w:beforeLines="0" w:line="240" w:lineRule="auto"/>
              <w:jc w:val="center"/>
              <w:rPr>
                <w:kern w:val="0"/>
                <w:szCs w:val="21"/>
              </w:rPr>
            </w:pPr>
            <w:r>
              <w:rPr>
                <w:kern w:val="0"/>
                <w:szCs w:val="21"/>
              </w:rPr>
              <w:t>-2423,-913</w:t>
            </w:r>
          </w:p>
        </w:tc>
        <w:tc>
          <w:tcPr>
            <w:tcW w:w="434" w:type="pct"/>
            <w:vMerge w:val="restart"/>
            <w:noWrap/>
            <w:vAlign w:val="center"/>
          </w:tcPr>
          <w:p w14:paraId="393EA216">
            <w:pPr>
              <w:widowControl/>
              <w:adjustRightInd w:val="0"/>
              <w:snapToGrid w:val="0"/>
              <w:spacing w:before="0" w:beforeLines="0" w:line="240" w:lineRule="auto"/>
              <w:jc w:val="center"/>
              <w:rPr>
                <w:kern w:val="0"/>
                <w:szCs w:val="21"/>
              </w:rPr>
            </w:pPr>
            <w:r>
              <w:rPr>
                <w:kern w:val="0"/>
                <w:szCs w:val="21"/>
              </w:rPr>
              <w:t>284.09</w:t>
            </w:r>
          </w:p>
        </w:tc>
        <w:tc>
          <w:tcPr>
            <w:tcW w:w="341" w:type="pct"/>
            <w:noWrap/>
            <w:vAlign w:val="center"/>
          </w:tcPr>
          <w:p w14:paraId="32DD0455">
            <w:pPr>
              <w:widowControl/>
              <w:adjustRightInd w:val="0"/>
              <w:snapToGrid w:val="0"/>
              <w:spacing w:before="0" w:beforeLines="0" w:line="240" w:lineRule="auto"/>
              <w:jc w:val="center"/>
              <w:rPr>
                <w:kern w:val="0"/>
                <w:szCs w:val="21"/>
              </w:rPr>
            </w:pPr>
            <w:r>
              <w:rPr>
                <w:rFonts w:hint="eastAsia"/>
                <w:kern w:val="0"/>
                <w:szCs w:val="21"/>
              </w:rPr>
              <w:t>日平均</w:t>
            </w:r>
          </w:p>
        </w:tc>
        <w:tc>
          <w:tcPr>
            <w:tcW w:w="662" w:type="pct"/>
            <w:noWrap/>
          </w:tcPr>
          <w:p w14:paraId="63FBEF4B">
            <w:pPr>
              <w:widowControl/>
              <w:adjustRightInd w:val="0"/>
              <w:snapToGrid w:val="0"/>
              <w:spacing w:before="0" w:beforeLines="0" w:line="240" w:lineRule="auto"/>
              <w:jc w:val="center"/>
              <w:rPr>
                <w:kern w:val="0"/>
                <w:szCs w:val="21"/>
              </w:rPr>
            </w:pPr>
            <w:r>
              <w:rPr>
                <w:rFonts w:hint="eastAsia"/>
                <w:bCs/>
                <w:color w:val="000000"/>
                <w:kern w:val="0"/>
                <w:sz w:val="22"/>
                <w:szCs w:val="22"/>
              </w:rPr>
              <w:t>4.7177</w:t>
            </w:r>
          </w:p>
        </w:tc>
        <w:tc>
          <w:tcPr>
            <w:tcW w:w="780" w:type="pct"/>
            <w:noWrap/>
          </w:tcPr>
          <w:p w14:paraId="5317F5D9">
            <w:pPr>
              <w:widowControl/>
              <w:adjustRightInd w:val="0"/>
              <w:snapToGrid w:val="0"/>
              <w:spacing w:before="0" w:beforeLines="0" w:line="240" w:lineRule="auto"/>
              <w:jc w:val="center"/>
              <w:rPr>
                <w:kern w:val="0"/>
                <w:szCs w:val="21"/>
              </w:rPr>
            </w:pPr>
            <w:r>
              <w:rPr>
                <w:rFonts w:hint="eastAsia"/>
                <w:bCs/>
                <w:color w:val="000000"/>
                <w:kern w:val="0"/>
                <w:sz w:val="22"/>
                <w:szCs w:val="22"/>
              </w:rPr>
              <w:t>251120</w:t>
            </w:r>
          </w:p>
        </w:tc>
        <w:tc>
          <w:tcPr>
            <w:tcW w:w="598" w:type="pct"/>
            <w:noWrap/>
            <w:vAlign w:val="bottom"/>
          </w:tcPr>
          <w:p w14:paraId="593F6B5C">
            <w:pPr>
              <w:widowControl/>
              <w:adjustRightInd w:val="0"/>
              <w:snapToGrid w:val="0"/>
              <w:spacing w:before="0" w:beforeLines="0" w:line="240" w:lineRule="auto"/>
              <w:jc w:val="center"/>
              <w:rPr>
                <w:kern w:val="0"/>
                <w:szCs w:val="21"/>
              </w:rPr>
            </w:pPr>
            <w:r>
              <w:rPr>
                <w:rFonts w:hint="eastAsia"/>
                <w:bCs/>
                <w:color w:val="000000"/>
                <w:kern w:val="0"/>
                <w:sz w:val="22"/>
                <w:szCs w:val="22"/>
              </w:rPr>
              <w:t>300</w:t>
            </w:r>
          </w:p>
        </w:tc>
        <w:tc>
          <w:tcPr>
            <w:tcW w:w="330" w:type="pct"/>
            <w:noWrap/>
          </w:tcPr>
          <w:p w14:paraId="710686FB">
            <w:pPr>
              <w:widowControl/>
              <w:adjustRightInd w:val="0"/>
              <w:snapToGrid w:val="0"/>
              <w:spacing w:before="0" w:beforeLines="0" w:line="240" w:lineRule="auto"/>
              <w:jc w:val="center"/>
              <w:rPr>
                <w:kern w:val="0"/>
                <w:szCs w:val="21"/>
              </w:rPr>
            </w:pPr>
            <w:r>
              <w:rPr>
                <w:rFonts w:hint="eastAsia"/>
                <w:bCs/>
                <w:color w:val="000000"/>
                <w:kern w:val="0"/>
                <w:sz w:val="22"/>
                <w:szCs w:val="22"/>
              </w:rPr>
              <w:t>1.57</w:t>
            </w:r>
          </w:p>
        </w:tc>
        <w:tc>
          <w:tcPr>
            <w:tcW w:w="341" w:type="pct"/>
            <w:noWrap/>
            <w:vAlign w:val="center"/>
          </w:tcPr>
          <w:p w14:paraId="22752DDE">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tr w14:paraId="068288F2">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14:paraId="7215BB8D">
            <w:pPr>
              <w:widowControl/>
              <w:adjustRightInd w:val="0"/>
              <w:snapToGrid w:val="0"/>
              <w:spacing w:before="0" w:beforeLines="0" w:line="240" w:lineRule="auto"/>
              <w:jc w:val="center"/>
              <w:rPr>
                <w:kern w:val="0"/>
                <w:szCs w:val="21"/>
              </w:rPr>
            </w:pPr>
          </w:p>
        </w:tc>
        <w:tc>
          <w:tcPr>
            <w:tcW w:w="664" w:type="pct"/>
            <w:vMerge w:val="continue"/>
            <w:vAlign w:val="center"/>
          </w:tcPr>
          <w:p w14:paraId="46C90689">
            <w:pPr>
              <w:widowControl/>
              <w:adjustRightInd w:val="0"/>
              <w:snapToGrid w:val="0"/>
              <w:spacing w:before="0" w:beforeLines="0" w:line="240" w:lineRule="auto"/>
              <w:jc w:val="center"/>
              <w:rPr>
                <w:kern w:val="0"/>
                <w:szCs w:val="21"/>
              </w:rPr>
            </w:pPr>
          </w:p>
        </w:tc>
        <w:tc>
          <w:tcPr>
            <w:tcW w:w="638" w:type="pct"/>
            <w:vMerge w:val="continue"/>
            <w:vAlign w:val="center"/>
          </w:tcPr>
          <w:p w14:paraId="290C886B">
            <w:pPr>
              <w:widowControl/>
              <w:adjustRightInd w:val="0"/>
              <w:snapToGrid w:val="0"/>
              <w:spacing w:before="0" w:beforeLines="0" w:line="240" w:lineRule="auto"/>
              <w:jc w:val="center"/>
              <w:rPr>
                <w:kern w:val="0"/>
                <w:szCs w:val="21"/>
              </w:rPr>
            </w:pPr>
          </w:p>
        </w:tc>
        <w:tc>
          <w:tcPr>
            <w:tcW w:w="434" w:type="pct"/>
            <w:vMerge w:val="continue"/>
            <w:vAlign w:val="center"/>
          </w:tcPr>
          <w:p w14:paraId="60DA31C2">
            <w:pPr>
              <w:widowControl/>
              <w:adjustRightInd w:val="0"/>
              <w:snapToGrid w:val="0"/>
              <w:spacing w:before="0" w:beforeLines="0" w:line="240" w:lineRule="auto"/>
              <w:jc w:val="center"/>
              <w:rPr>
                <w:kern w:val="0"/>
                <w:szCs w:val="21"/>
              </w:rPr>
            </w:pPr>
          </w:p>
        </w:tc>
        <w:tc>
          <w:tcPr>
            <w:tcW w:w="341" w:type="pct"/>
            <w:noWrap/>
            <w:vAlign w:val="center"/>
          </w:tcPr>
          <w:p w14:paraId="2DB3C4DB">
            <w:pPr>
              <w:widowControl/>
              <w:adjustRightInd w:val="0"/>
              <w:snapToGrid w:val="0"/>
              <w:spacing w:before="0" w:beforeLines="0" w:line="240" w:lineRule="auto"/>
              <w:jc w:val="center"/>
              <w:rPr>
                <w:kern w:val="0"/>
                <w:szCs w:val="21"/>
              </w:rPr>
            </w:pPr>
            <w:r>
              <w:rPr>
                <w:rFonts w:hint="eastAsia"/>
                <w:kern w:val="0"/>
                <w:szCs w:val="21"/>
              </w:rPr>
              <w:t>全时段</w:t>
            </w:r>
          </w:p>
        </w:tc>
        <w:tc>
          <w:tcPr>
            <w:tcW w:w="662" w:type="pct"/>
            <w:noWrap/>
          </w:tcPr>
          <w:p w14:paraId="6493D62E">
            <w:pPr>
              <w:widowControl/>
              <w:adjustRightInd w:val="0"/>
              <w:snapToGrid w:val="0"/>
              <w:spacing w:before="0" w:beforeLines="0" w:line="240" w:lineRule="auto"/>
              <w:jc w:val="center"/>
              <w:rPr>
                <w:kern w:val="0"/>
                <w:szCs w:val="21"/>
              </w:rPr>
            </w:pPr>
            <w:r>
              <w:rPr>
                <w:rFonts w:hint="eastAsia"/>
                <w:bCs/>
                <w:color w:val="000000"/>
                <w:kern w:val="0"/>
                <w:sz w:val="22"/>
                <w:szCs w:val="22"/>
              </w:rPr>
              <w:t>0.2051</w:t>
            </w:r>
          </w:p>
        </w:tc>
        <w:tc>
          <w:tcPr>
            <w:tcW w:w="780" w:type="pct"/>
            <w:noWrap/>
          </w:tcPr>
          <w:p w14:paraId="168C8DA3">
            <w:pPr>
              <w:widowControl/>
              <w:adjustRightInd w:val="0"/>
              <w:snapToGrid w:val="0"/>
              <w:spacing w:before="0" w:beforeLines="0" w:line="240" w:lineRule="auto"/>
              <w:jc w:val="center"/>
              <w:rPr>
                <w:kern w:val="0"/>
                <w:szCs w:val="21"/>
              </w:rPr>
            </w:pPr>
            <w:r>
              <w:rPr>
                <w:rFonts w:hint="eastAsia"/>
                <w:bCs/>
                <w:color w:val="000000"/>
                <w:kern w:val="0"/>
                <w:sz w:val="22"/>
                <w:szCs w:val="22"/>
              </w:rPr>
              <w:t>平均值</w:t>
            </w:r>
          </w:p>
        </w:tc>
        <w:tc>
          <w:tcPr>
            <w:tcW w:w="598" w:type="pct"/>
            <w:noWrap/>
            <w:vAlign w:val="bottom"/>
          </w:tcPr>
          <w:p w14:paraId="29226169">
            <w:pPr>
              <w:widowControl/>
              <w:adjustRightInd w:val="0"/>
              <w:snapToGrid w:val="0"/>
              <w:spacing w:before="0" w:beforeLines="0" w:line="240" w:lineRule="auto"/>
              <w:jc w:val="center"/>
              <w:rPr>
                <w:kern w:val="0"/>
                <w:szCs w:val="21"/>
              </w:rPr>
            </w:pPr>
            <w:r>
              <w:rPr>
                <w:rFonts w:hint="eastAsia"/>
                <w:bCs/>
                <w:color w:val="000000"/>
                <w:kern w:val="0"/>
                <w:sz w:val="22"/>
                <w:szCs w:val="22"/>
              </w:rPr>
              <w:t>200</w:t>
            </w:r>
          </w:p>
        </w:tc>
        <w:tc>
          <w:tcPr>
            <w:tcW w:w="330" w:type="pct"/>
            <w:noWrap/>
          </w:tcPr>
          <w:p w14:paraId="26FFBFA7">
            <w:pPr>
              <w:widowControl/>
              <w:adjustRightInd w:val="0"/>
              <w:snapToGrid w:val="0"/>
              <w:spacing w:before="0" w:beforeLines="0" w:line="240" w:lineRule="auto"/>
              <w:jc w:val="center"/>
              <w:rPr>
                <w:kern w:val="0"/>
                <w:szCs w:val="21"/>
              </w:rPr>
            </w:pPr>
            <w:r>
              <w:rPr>
                <w:rFonts w:hint="eastAsia"/>
                <w:bCs/>
                <w:color w:val="000000"/>
                <w:kern w:val="0"/>
                <w:sz w:val="22"/>
                <w:szCs w:val="22"/>
              </w:rPr>
              <w:t>0.10</w:t>
            </w:r>
          </w:p>
        </w:tc>
        <w:tc>
          <w:tcPr>
            <w:tcW w:w="341" w:type="pct"/>
            <w:noWrap/>
            <w:vAlign w:val="center"/>
          </w:tcPr>
          <w:p w14:paraId="3C684096">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tr w14:paraId="55A2FA6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14:paraId="58CC6635">
            <w:pPr>
              <w:widowControl/>
              <w:adjustRightInd w:val="0"/>
              <w:snapToGrid w:val="0"/>
              <w:spacing w:before="0" w:beforeLines="0" w:line="240" w:lineRule="auto"/>
              <w:jc w:val="center"/>
              <w:rPr>
                <w:bCs/>
                <w:kern w:val="0"/>
                <w:szCs w:val="21"/>
              </w:rPr>
            </w:pPr>
            <w:r>
              <w:rPr>
                <w:rFonts w:hint="eastAsia"/>
                <w:bCs/>
                <w:kern w:val="0"/>
                <w:szCs w:val="21"/>
              </w:rPr>
              <w:t>5</w:t>
            </w:r>
          </w:p>
        </w:tc>
        <w:tc>
          <w:tcPr>
            <w:tcW w:w="664" w:type="pct"/>
            <w:vMerge w:val="restart"/>
            <w:noWrap/>
            <w:vAlign w:val="center"/>
          </w:tcPr>
          <w:p w14:paraId="3479E53B">
            <w:pPr>
              <w:widowControl/>
              <w:adjustRightInd w:val="0"/>
              <w:snapToGrid w:val="0"/>
              <w:spacing w:before="0" w:beforeLines="0" w:line="240" w:lineRule="auto"/>
              <w:jc w:val="center"/>
              <w:rPr>
                <w:bCs/>
                <w:kern w:val="0"/>
                <w:szCs w:val="21"/>
              </w:rPr>
            </w:pPr>
            <w:r>
              <w:rPr>
                <w:rFonts w:hint="eastAsia"/>
                <w:bCs/>
                <w:kern w:val="0"/>
                <w:szCs w:val="21"/>
              </w:rPr>
              <w:t>邵家窝堡</w:t>
            </w:r>
          </w:p>
        </w:tc>
        <w:tc>
          <w:tcPr>
            <w:tcW w:w="638" w:type="pct"/>
            <w:vMerge w:val="restart"/>
            <w:noWrap/>
            <w:vAlign w:val="center"/>
          </w:tcPr>
          <w:p w14:paraId="435BEA71">
            <w:pPr>
              <w:widowControl/>
              <w:adjustRightInd w:val="0"/>
              <w:snapToGrid w:val="0"/>
              <w:spacing w:before="0" w:beforeLines="0" w:line="240" w:lineRule="auto"/>
              <w:jc w:val="center"/>
              <w:rPr>
                <w:bCs/>
                <w:kern w:val="0"/>
                <w:szCs w:val="21"/>
              </w:rPr>
            </w:pPr>
            <w:r>
              <w:rPr>
                <w:bCs/>
                <w:kern w:val="0"/>
                <w:szCs w:val="21"/>
              </w:rPr>
              <w:t>760</w:t>
            </w:r>
            <w:r>
              <w:rPr>
                <w:rFonts w:hint="eastAsia"/>
                <w:bCs/>
                <w:kern w:val="0"/>
                <w:szCs w:val="21"/>
              </w:rPr>
              <w:t>，</w:t>
            </w:r>
            <w:r>
              <w:rPr>
                <w:bCs/>
                <w:kern w:val="0"/>
                <w:szCs w:val="21"/>
              </w:rPr>
              <w:t>1865</w:t>
            </w:r>
          </w:p>
        </w:tc>
        <w:tc>
          <w:tcPr>
            <w:tcW w:w="434" w:type="pct"/>
            <w:vMerge w:val="restart"/>
            <w:noWrap/>
            <w:vAlign w:val="center"/>
          </w:tcPr>
          <w:p w14:paraId="383DBB01">
            <w:pPr>
              <w:widowControl/>
              <w:adjustRightInd w:val="0"/>
              <w:snapToGrid w:val="0"/>
              <w:spacing w:before="0" w:beforeLines="0" w:line="240" w:lineRule="auto"/>
              <w:jc w:val="center"/>
              <w:rPr>
                <w:bCs/>
                <w:kern w:val="0"/>
                <w:szCs w:val="21"/>
              </w:rPr>
            </w:pPr>
            <w:r>
              <w:rPr>
                <w:bCs/>
                <w:kern w:val="0"/>
                <w:szCs w:val="21"/>
              </w:rPr>
              <w:t>257.54</w:t>
            </w:r>
          </w:p>
        </w:tc>
        <w:tc>
          <w:tcPr>
            <w:tcW w:w="341" w:type="pct"/>
            <w:noWrap/>
            <w:vAlign w:val="center"/>
          </w:tcPr>
          <w:p w14:paraId="333BF9EB">
            <w:pPr>
              <w:widowControl/>
              <w:adjustRightInd w:val="0"/>
              <w:snapToGrid w:val="0"/>
              <w:spacing w:before="0" w:beforeLines="0" w:line="240" w:lineRule="auto"/>
              <w:jc w:val="center"/>
              <w:rPr>
                <w:bCs/>
                <w:kern w:val="0"/>
                <w:szCs w:val="21"/>
              </w:rPr>
            </w:pPr>
            <w:r>
              <w:rPr>
                <w:rFonts w:hint="eastAsia"/>
                <w:bCs/>
                <w:kern w:val="0"/>
                <w:szCs w:val="21"/>
              </w:rPr>
              <w:t>日平均</w:t>
            </w:r>
          </w:p>
        </w:tc>
        <w:tc>
          <w:tcPr>
            <w:tcW w:w="662" w:type="pct"/>
            <w:noWrap/>
          </w:tcPr>
          <w:p w14:paraId="1EEF7D12">
            <w:pPr>
              <w:widowControl/>
              <w:adjustRightInd w:val="0"/>
              <w:snapToGrid w:val="0"/>
              <w:spacing w:before="0" w:beforeLines="0" w:line="240" w:lineRule="auto"/>
              <w:jc w:val="center"/>
              <w:rPr>
                <w:bCs/>
                <w:kern w:val="0"/>
                <w:szCs w:val="21"/>
              </w:rPr>
            </w:pPr>
            <w:r>
              <w:rPr>
                <w:rFonts w:hint="eastAsia"/>
                <w:bCs/>
                <w:color w:val="000000"/>
                <w:kern w:val="0"/>
                <w:sz w:val="22"/>
                <w:szCs w:val="22"/>
              </w:rPr>
              <w:t>4.8579</w:t>
            </w:r>
          </w:p>
        </w:tc>
        <w:tc>
          <w:tcPr>
            <w:tcW w:w="780" w:type="pct"/>
            <w:noWrap/>
          </w:tcPr>
          <w:p w14:paraId="649DE711">
            <w:pPr>
              <w:widowControl/>
              <w:adjustRightInd w:val="0"/>
              <w:snapToGrid w:val="0"/>
              <w:spacing w:before="0" w:beforeLines="0" w:line="240" w:lineRule="auto"/>
              <w:jc w:val="center"/>
              <w:rPr>
                <w:bCs/>
                <w:kern w:val="0"/>
                <w:szCs w:val="21"/>
              </w:rPr>
            </w:pPr>
            <w:r>
              <w:rPr>
                <w:rFonts w:hint="eastAsia"/>
                <w:bCs/>
                <w:color w:val="000000"/>
                <w:kern w:val="0"/>
                <w:sz w:val="22"/>
                <w:szCs w:val="22"/>
              </w:rPr>
              <w:t>251117</w:t>
            </w:r>
          </w:p>
        </w:tc>
        <w:tc>
          <w:tcPr>
            <w:tcW w:w="598" w:type="pct"/>
            <w:noWrap/>
            <w:vAlign w:val="bottom"/>
          </w:tcPr>
          <w:p w14:paraId="18B6549D">
            <w:pPr>
              <w:widowControl/>
              <w:adjustRightInd w:val="0"/>
              <w:snapToGrid w:val="0"/>
              <w:spacing w:before="0" w:beforeLines="0" w:line="240" w:lineRule="auto"/>
              <w:jc w:val="center"/>
              <w:rPr>
                <w:bCs/>
                <w:kern w:val="0"/>
                <w:szCs w:val="21"/>
              </w:rPr>
            </w:pPr>
            <w:r>
              <w:rPr>
                <w:rFonts w:hint="eastAsia"/>
                <w:bCs/>
                <w:color w:val="000000"/>
                <w:kern w:val="0"/>
                <w:sz w:val="22"/>
                <w:szCs w:val="22"/>
              </w:rPr>
              <w:t>300</w:t>
            </w:r>
          </w:p>
        </w:tc>
        <w:tc>
          <w:tcPr>
            <w:tcW w:w="330" w:type="pct"/>
            <w:noWrap/>
          </w:tcPr>
          <w:p w14:paraId="25D8D1EB">
            <w:pPr>
              <w:widowControl/>
              <w:adjustRightInd w:val="0"/>
              <w:snapToGrid w:val="0"/>
              <w:spacing w:before="0" w:beforeLines="0" w:line="240" w:lineRule="auto"/>
              <w:jc w:val="center"/>
              <w:rPr>
                <w:bCs/>
                <w:kern w:val="0"/>
                <w:szCs w:val="21"/>
              </w:rPr>
            </w:pPr>
            <w:r>
              <w:rPr>
                <w:rFonts w:hint="eastAsia"/>
                <w:bCs/>
                <w:color w:val="000000"/>
                <w:kern w:val="0"/>
                <w:sz w:val="22"/>
                <w:szCs w:val="22"/>
              </w:rPr>
              <w:t>1.62</w:t>
            </w:r>
          </w:p>
        </w:tc>
        <w:tc>
          <w:tcPr>
            <w:tcW w:w="341" w:type="pct"/>
            <w:noWrap/>
            <w:vAlign w:val="center"/>
          </w:tcPr>
          <w:p w14:paraId="09F9F7C5">
            <w:pPr>
              <w:widowControl/>
              <w:adjustRightInd w:val="0"/>
              <w:snapToGrid w:val="0"/>
              <w:spacing w:before="0" w:beforeLines="0" w:line="240" w:lineRule="auto"/>
              <w:jc w:val="center"/>
              <w:rPr>
                <w:bCs/>
                <w:kern w:val="0"/>
                <w:szCs w:val="21"/>
              </w:rPr>
            </w:pPr>
            <w:r>
              <w:rPr>
                <w:rFonts w:hint="eastAsia"/>
                <w:bCs/>
                <w:color w:val="000000"/>
                <w:kern w:val="0"/>
                <w:sz w:val="22"/>
                <w:szCs w:val="22"/>
              </w:rPr>
              <w:t>达标</w:t>
            </w:r>
          </w:p>
        </w:tc>
      </w:tr>
      <w:tr w14:paraId="301B79E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14:paraId="686D70AC">
            <w:pPr>
              <w:widowControl/>
              <w:adjustRightInd w:val="0"/>
              <w:snapToGrid w:val="0"/>
              <w:spacing w:before="0" w:beforeLines="0" w:line="240" w:lineRule="auto"/>
              <w:jc w:val="center"/>
              <w:rPr>
                <w:bCs/>
                <w:kern w:val="0"/>
                <w:szCs w:val="21"/>
              </w:rPr>
            </w:pPr>
          </w:p>
        </w:tc>
        <w:tc>
          <w:tcPr>
            <w:tcW w:w="664" w:type="pct"/>
            <w:vMerge w:val="continue"/>
            <w:vAlign w:val="center"/>
          </w:tcPr>
          <w:p w14:paraId="49887137">
            <w:pPr>
              <w:widowControl/>
              <w:adjustRightInd w:val="0"/>
              <w:snapToGrid w:val="0"/>
              <w:spacing w:before="0" w:beforeLines="0" w:line="240" w:lineRule="auto"/>
              <w:jc w:val="center"/>
              <w:rPr>
                <w:bCs/>
                <w:kern w:val="0"/>
                <w:szCs w:val="21"/>
              </w:rPr>
            </w:pPr>
          </w:p>
        </w:tc>
        <w:tc>
          <w:tcPr>
            <w:tcW w:w="638" w:type="pct"/>
            <w:vMerge w:val="continue"/>
            <w:vAlign w:val="center"/>
          </w:tcPr>
          <w:p w14:paraId="126C390E">
            <w:pPr>
              <w:widowControl/>
              <w:adjustRightInd w:val="0"/>
              <w:snapToGrid w:val="0"/>
              <w:spacing w:before="0" w:beforeLines="0" w:line="240" w:lineRule="auto"/>
              <w:jc w:val="center"/>
              <w:rPr>
                <w:bCs/>
                <w:kern w:val="0"/>
                <w:szCs w:val="21"/>
              </w:rPr>
            </w:pPr>
          </w:p>
        </w:tc>
        <w:tc>
          <w:tcPr>
            <w:tcW w:w="434" w:type="pct"/>
            <w:vMerge w:val="continue"/>
            <w:vAlign w:val="center"/>
          </w:tcPr>
          <w:p w14:paraId="5CD57B0B">
            <w:pPr>
              <w:widowControl/>
              <w:adjustRightInd w:val="0"/>
              <w:snapToGrid w:val="0"/>
              <w:spacing w:before="0" w:beforeLines="0" w:line="240" w:lineRule="auto"/>
              <w:jc w:val="center"/>
              <w:rPr>
                <w:bCs/>
                <w:kern w:val="0"/>
                <w:szCs w:val="21"/>
              </w:rPr>
            </w:pPr>
          </w:p>
        </w:tc>
        <w:tc>
          <w:tcPr>
            <w:tcW w:w="341" w:type="pct"/>
            <w:noWrap/>
            <w:vAlign w:val="center"/>
          </w:tcPr>
          <w:p w14:paraId="04DE2E3D">
            <w:pPr>
              <w:widowControl/>
              <w:adjustRightInd w:val="0"/>
              <w:snapToGrid w:val="0"/>
              <w:spacing w:before="0" w:beforeLines="0" w:line="240" w:lineRule="auto"/>
              <w:jc w:val="center"/>
              <w:rPr>
                <w:bCs/>
                <w:kern w:val="0"/>
                <w:szCs w:val="21"/>
              </w:rPr>
            </w:pPr>
            <w:r>
              <w:rPr>
                <w:rFonts w:hint="eastAsia"/>
                <w:bCs/>
                <w:kern w:val="0"/>
                <w:szCs w:val="21"/>
              </w:rPr>
              <w:t>全时段</w:t>
            </w:r>
          </w:p>
        </w:tc>
        <w:tc>
          <w:tcPr>
            <w:tcW w:w="662" w:type="pct"/>
            <w:noWrap/>
          </w:tcPr>
          <w:p w14:paraId="5AA09A73">
            <w:pPr>
              <w:widowControl/>
              <w:adjustRightInd w:val="0"/>
              <w:snapToGrid w:val="0"/>
              <w:spacing w:before="0" w:beforeLines="0" w:line="240" w:lineRule="auto"/>
              <w:jc w:val="center"/>
              <w:rPr>
                <w:bCs/>
                <w:kern w:val="0"/>
                <w:szCs w:val="21"/>
              </w:rPr>
            </w:pPr>
            <w:r>
              <w:rPr>
                <w:rFonts w:hint="eastAsia"/>
                <w:bCs/>
                <w:color w:val="000000"/>
                <w:kern w:val="0"/>
                <w:sz w:val="22"/>
                <w:szCs w:val="22"/>
              </w:rPr>
              <w:t>0.3464</w:t>
            </w:r>
          </w:p>
        </w:tc>
        <w:tc>
          <w:tcPr>
            <w:tcW w:w="780" w:type="pct"/>
            <w:noWrap/>
          </w:tcPr>
          <w:p w14:paraId="5E5201C5">
            <w:pPr>
              <w:widowControl/>
              <w:adjustRightInd w:val="0"/>
              <w:snapToGrid w:val="0"/>
              <w:spacing w:before="0" w:beforeLines="0" w:line="240" w:lineRule="auto"/>
              <w:jc w:val="center"/>
              <w:rPr>
                <w:bCs/>
                <w:kern w:val="0"/>
                <w:szCs w:val="21"/>
              </w:rPr>
            </w:pPr>
            <w:r>
              <w:rPr>
                <w:rFonts w:hint="eastAsia"/>
                <w:bCs/>
                <w:color w:val="000000"/>
                <w:kern w:val="0"/>
                <w:sz w:val="22"/>
                <w:szCs w:val="22"/>
              </w:rPr>
              <w:t>平均值</w:t>
            </w:r>
          </w:p>
        </w:tc>
        <w:tc>
          <w:tcPr>
            <w:tcW w:w="598" w:type="pct"/>
            <w:noWrap/>
            <w:vAlign w:val="bottom"/>
          </w:tcPr>
          <w:p w14:paraId="0B1AD429">
            <w:pPr>
              <w:widowControl/>
              <w:adjustRightInd w:val="0"/>
              <w:snapToGrid w:val="0"/>
              <w:spacing w:before="0" w:beforeLines="0" w:line="240" w:lineRule="auto"/>
              <w:jc w:val="center"/>
              <w:rPr>
                <w:bCs/>
                <w:kern w:val="0"/>
                <w:szCs w:val="21"/>
              </w:rPr>
            </w:pPr>
            <w:r>
              <w:rPr>
                <w:rFonts w:hint="eastAsia"/>
                <w:bCs/>
                <w:color w:val="000000"/>
                <w:kern w:val="0"/>
                <w:sz w:val="22"/>
                <w:szCs w:val="22"/>
              </w:rPr>
              <w:t>200</w:t>
            </w:r>
          </w:p>
        </w:tc>
        <w:tc>
          <w:tcPr>
            <w:tcW w:w="330" w:type="pct"/>
            <w:noWrap/>
          </w:tcPr>
          <w:p w14:paraId="1F49EA76">
            <w:pPr>
              <w:widowControl/>
              <w:adjustRightInd w:val="0"/>
              <w:snapToGrid w:val="0"/>
              <w:spacing w:before="0" w:beforeLines="0" w:line="240" w:lineRule="auto"/>
              <w:jc w:val="center"/>
              <w:rPr>
                <w:bCs/>
                <w:kern w:val="0"/>
                <w:szCs w:val="21"/>
              </w:rPr>
            </w:pPr>
            <w:r>
              <w:rPr>
                <w:rFonts w:hint="eastAsia"/>
                <w:bCs/>
                <w:color w:val="000000"/>
                <w:kern w:val="0"/>
                <w:sz w:val="22"/>
                <w:szCs w:val="22"/>
              </w:rPr>
              <w:t>0.17</w:t>
            </w:r>
          </w:p>
        </w:tc>
        <w:tc>
          <w:tcPr>
            <w:tcW w:w="341" w:type="pct"/>
            <w:noWrap/>
            <w:vAlign w:val="center"/>
          </w:tcPr>
          <w:p w14:paraId="71B461DE">
            <w:pPr>
              <w:widowControl/>
              <w:adjustRightInd w:val="0"/>
              <w:snapToGrid w:val="0"/>
              <w:spacing w:before="0" w:beforeLines="0" w:line="240" w:lineRule="auto"/>
              <w:jc w:val="center"/>
              <w:rPr>
                <w:bCs/>
                <w:kern w:val="0"/>
                <w:szCs w:val="21"/>
              </w:rPr>
            </w:pPr>
            <w:r>
              <w:rPr>
                <w:rFonts w:hint="eastAsia"/>
                <w:bCs/>
                <w:color w:val="000000"/>
                <w:kern w:val="0"/>
                <w:sz w:val="22"/>
                <w:szCs w:val="22"/>
              </w:rPr>
              <w:t>达标</w:t>
            </w:r>
          </w:p>
        </w:tc>
      </w:tr>
      <w:tr w14:paraId="1F03533D">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14:paraId="2920A7A7">
            <w:pPr>
              <w:widowControl/>
              <w:adjustRightInd w:val="0"/>
              <w:snapToGrid w:val="0"/>
              <w:spacing w:before="0" w:beforeLines="0" w:line="240" w:lineRule="auto"/>
              <w:jc w:val="center"/>
              <w:rPr>
                <w:bCs/>
                <w:kern w:val="0"/>
                <w:szCs w:val="21"/>
              </w:rPr>
            </w:pPr>
            <w:r>
              <w:rPr>
                <w:rFonts w:hint="eastAsia"/>
                <w:bCs/>
                <w:kern w:val="0"/>
                <w:szCs w:val="21"/>
              </w:rPr>
              <w:t>6</w:t>
            </w:r>
          </w:p>
        </w:tc>
        <w:tc>
          <w:tcPr>
            <w:tcW w:w="664" w:type="pct"/>
            <w:vMerge w:val="restart"/>
            <w:noWrap/>
            <w:vAlign w:val="center"/>
          </w:tcPr>
          <w:p w14:paraId="64CC7A7F">
            <w:pPr>
              <w:widowControl/>
              <w:adjustRightInd w:val="0"/>
              <w:snapToGrid w:val="0"/>
              <w:spacing w:before="0" w:beforeLines="0" w:line="240" w:lineRule="auto"/>
              <w:jc w:val="center"/>
              <w:rPr>
                <w:bCs/>
                <w:kern w:val="0"/>
                <w:szCs w:val="21"/>
              </w:rPr>
            </w:pPr>
            <w:r>
              <w:rPr>
                <w:rFonts w:hint="eastAsia"/>
                <w:bCs/>
                <w:kern w:val="0"/>
                <w:szCs w:val="21"/>
              </w:rPr>
              <w:t>满汉营子</w:t>
            </w:r>
          </w:p>
        </w:tc>
        <w:tc>
          <w:tcPr>
            <w:tcW w:w="638" w:type="pct"/>
            <w:vMerge w:val="restart"/>
            <w:noWrap/>
            <w:vAlign w:val="center"/>
          </w:tcPr>
          <w:p w14:paraId="13844942">
            <w:pPr>
              <w:widowControl/>
              <w:adjustRightInd w:val="0"/>
              <w:snapToGrid w:val="0"/>
              <w:spacing w:before="0" w:beforeLines="0" w:line="240" w:lineRule="auto"/>
              <w:jc w:val="center"/>
              <w:rPr>
                <w:bCs/>
                <w:kern w:val="0"/>
                <w:szCs w:val="21"/>
              </w:rPr>
            </w:pPr>
            <w:r>
              <w:rPr>
                <w:bCs/>
                <w:kern w:val="0"/>
                <w:szCs w:val="21"/>
              </w:rPr>
              <w:t>2366</w:t>
            </w:r>
            <w:r>
              <w:rPr>
                <w:rFonts w:hint="eastAsia"/>
                <w:bCs/>
                <w:kern w:val="0"/>
                <w:szCs w:val="21"/>
              </w:rPr>
              <w:t>，</w:t>
            </w:r>
            <w:r>
              <w:rPr>
                <w:bCs/>
                <w:kern w:val="0"/>
                <w:szCs w:val="21"/>
              </w:rPr>
              <w:t>1019</w:t>
            </w:r>
          </w:p>
        </w:tc>
        <w:tc>
          <w:tcPr>
            <w:tcW w:w="434" w:type="pct"/>
            <w:vMerge w:val="restart"/>
            <w:noWrap/>
            <w:vAlign w:val="center"/>
          </w:tcPr>
          <w:p w14:paraId="54FB2AC3">
            <w:pPr>
              <w:widowControl/>
              <w:adjustRightInd w:val="0"/>
              <w:snapToGrid w:val="0"/>
              <w:spacing w:before="0" w:beforeLines="0" w:line="240" w:lineRule="auto"/>
              <w:jc w:val="center"/>
              <w:rPr>
                <w:bCs/>
                <w:kern w:val="0"/>
                <w:szCs w:val="21"/>
              </w:rPr>
            </w:pPr>
            <w:r>
              <w:rPr>
                <w:bCs/>
                <w:kern w:val="0"/>
                <w:szCs w:val="21"/>
              </w:rPr>
              <w:t>262.39</w:t>
            </w:r>
          </w:p>
        </w:tc>
        <w:tc>
          <w:tcPr>
            <w:tcW w:w="341" w:type="pct"/>
            <w:noWrap/>
            <w:vAlign w:val="center"/>
          </w:tcPr>
          <w:p w14:paraId="42A4671D">
            <w:pPr>
              <w:widowControl/>
              <w:adjustRightInd w:val="0"/>
              <w:snapToGrid w:val="0"/>
              <w:spacing w:before="0" w:beforeLines="0" w:line="240" w:lineRule="auto"/>
              <w:jc w:val="center"/>
              <w:rPr>
                <w:bCs/>
                <w:kern w:val="0"/>
                <w:szCs w:val="21"/>
              </w:rPr>
            </w:pPr>
            <w:r>
              <w:rPr>
                <w:rFonts w:hint="eastAsia"/>
                <w:bCs/>
                <w:kern w:val="0"/>
                <w:szCs w:val="21"/>
              </w:rPr>
              <w:t>日平均</w:t>
            </w:r>
          </w:p>
        </w:tc>
        <w:tc>
          <w:tcPr>
            <w:tcW w:w="662" w:type="pct"/>
            <w:noWrap/>
          </w:tcPr>
          <w:p w14:paraId="38148912">
            <w:pPr>
              <w:widowControl/>
              <w:adjustRightInd w:val="0"/>
              <w:snapToGrid w:val="0"/>
              <w:spacing w:before="0" w:beforeLines="0" w:line="240" w:lineRule="auto"/>
              <w:jc w:val="center"/>
              <w:rPr>
                <w:bCs/>
                <w:kern w:val="0"/>
                <w:szCs w:val="21"/>
              </w:rPr>
            </w:pPr>
            <w:r>
              <w:rPr>
                <w:rFonts w:hint="eastAsia"/>
                <w:bCs/>
                <w:color w:val="000000"/>
                <w:kern w:val="0"/>
                <w:sz w:val="22"/>
                <w:szCs w:val="22"/>
              </w:rPr>
              <w:t>4.6222</w:t>
            </w:r>
          </w:p>
        </w:tc>
        <w:tc>
          <w:tcPr>
            <w:tcW w:w="780" w:type="pct"/>
            <w:noWrap/>
          </w:tcPr>
          <w:p w14:paraId="06DB4099">
            <w:pPr>
              <w:widowControl/>
              <w:adjustRightInd w:val="0"/>
              <w:snapToGrid w:val="0"/>
              <w:spacing w:before="0" w:beforeLines="0" w:line="240" w:lineRule="auto"/>
              <w:jc w:val="center"/>
              <w:rPr>
                <w:bCs/>
                <w:kern w:val="0"/>
                <w:szCs w:val="21"/>
              </w:rPr>
            </w:pPr>
            <w:r>
              <w:rPr>
                <w:rFonts w:hint="eastAsia"/>
                <w:bCs/>
                <w:color w:val="000000"/>
                <w:kern w:val="0"/>
                <w:sz w:val="22"/>
                <w:szCs w:val="22"/>
              </w:rPr>
              <w:t>251125</w:t>
            </w:r>
          </w:p>
        </w:tc>
        <w:tc>
          <w:tcPr>
            <w:tcW w:w="598" w:type="pct"/>
            <w:noWrap/>
            <w:vAlign w:val="bottom"/>
          </w:tcPr>
          <w:p w14:paraId="2449E4E2">
            <w:pPr>
              <w:widowControl/>
              <w:adjustRightInd w:val="0"/>
              <w:snapToGrid w:val="0"/>
              <w:spacing w:before="0" w:beforeLines="0" w:line="240" w:lineRule="auto"/>
              <w:jc w:val="center"/>
              <w:rPr>
                <w:bCs/>
                <w:kern w:val="0"/>
                <w:szCs w:val="21"/>
              </w:rPr>
            </w:pPr>
            <w:r>
              <w:rPr>
                <w:rFonts w:hint="eastAsia"/>
                <w:bCs/>
                <w:color w:val="000000"/>
                <w:kern w:val="0"/>
                <w:sz w:val="22"/>
                <w:szCs w:val="22"/>
              </w:rPr>
              <w:t>300</w:t>
            </w:r>
          </w:p>
        </w:tc>
        <w:tc>
          <w:tcPr>
            <w:tcW w:w="330" w:type="pct"/>
            <w:noWrap/>
          </w:tcPr>
          <w:p w14:paraId="41DE6787">
            <w:pPr>
              <w:widowControl/>
              <w:adjustRightInd w:val="0"/>
              <w:snapToGrid w:val="0"/>
              <w:spacing w:before="0" w:beforeLines="0" w:line="240" w:lineRule="auto"/>
              <w:jc w:val="center"/>
              <w:rPr>
                <w:bCs/>
                <w:kern w:val="0"/>
                <w:szCs w:val="21"/>
              </w:rPr>
            </w:pPr>
            <w:r>
              <w:rPr>
                <w:rFonts w:hint="eastAsia"/>
                <w:bCs/>
                <w:color w:val="000000"/>
                <w:kern w:val="0"/>
                <w:sz w:val="22"/>
                <w:szCs w:val="22"/>
              </w:rPr>
              <w:t>1.54</w:t>
            </w:r>
          </w:p>
        </w:tc>
        <w:tc>
          <w:tcPr>
            <w:tcW w:w="341" w:type="pct"/>
            <w:noWrap/>
            <w:vAlign w:val="center"/>
          </w:tcPr>
          <w:p w14:paraId="0C366D14">
            <w:pPr>
              <w:widowControl/>
              <w:adjustRightInd w:val="0"/>
              <w:snapToGrid w:val="0"/>
              <w:spacing w:before="0" w:beforeLines="0" w:line="240" w:lineRule="auto"/>
              <w:jc w:val="center"/>
              <w:rPr>
                <w:bCs/>
                <w:kern w:val="0"/>
                <w:szCs w:val="21"/>
              </w:rPr>
            </w:pPr>
            <w:r>
              <w:rPr>
                <w:rFonts w:hint="eastAsia"/>
                <w:bCs/>
                <w:color w:val="000000"/>
                <w:kern w:val="0"/>
                <w:sz w:val="22"/>
                <w:szCs w:val="22"/>
              </w:rPr>
              <w:t>达标</w:t>
            </w:r>
          </w:p>
        </w:tc>
      </w:tr>
      <w:tr w14:paraId="3812A601">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14:paraId="5D9CFCC3">
            <w:pPr>
              <w:widowControl/>
              <w:adjustRightInd w:val="0"/>
              <w:snapToGrid w:val="0"/>
              <w:spacing w:before="0" w:beforeLines="0" w:line="240" w:lineRule="auto"/>
              <w:jc w:val="center"/>
              <w:rPr>
                <w:bCs/>
                <w:kern w:val="0"/>
                <w:szCs w:val="21"/>
              </w:rPr>
            </w:pPr>
          </w:p>
        </w:tc>
        <w:tc>
          <w:tcPr>
            <w:tcW w:w="664" w:type="pct"/>
            <w:vMerge w:val="continue"/>
            <w:vAlign w:val="center"/>
          </w:tcPr>
          <w:p w14:paraId="6A99A81E">
            <w:pPr>
              <w:widowControl/>
              <w:adjustRightInd w:val="0"/>
              <w:snapToGrid w:val="0"/>
              <w:spacing w:before="0" w:beforeLines="0" w:line="240" w:lineRule="auto"/>
              <w:jc w:val="center"/>
              <w:rPr>
                <w:bCs/>
                <w:kern w:val="0"/>
                <w:szCs w:val="21"/>
              </w:rPr>
            </w:pPr>
          </w:p>
        </w:tc>
        <w:tc>
          <w:tcPr>
            <w:tcW w:w="638" w:type="pct"/>
            <w:vMerge w:val="continue"/>
            <w:vAlign w:val="center"/>
          </w:tcPr>
          <w:p w14:paraId="23D37A97">
            <w:pPr>
              <w:widowControl/>
              <w:adjustRightInd w:val="0"/>
              <w:snapToGrid w:val="0"/>
              <w:spacing w:before="0" w:beforeLines="0" w:line="240" w:lineRule="auto"/>
              <w:jc w:val="center"/>
              <w:rPr>
                <w:bCs/>
                <w:kern w:val="0"/>
                <w:szCs w:val="21"/>
              </w:rPr>
            </w:pPr>
          </w:p>
        </w:tc>
        <w:tc>
          <w:tcPr>
            <w:tcW w:w="434" w:type="pct"/>
            <w:vMerge w:val="continue"/>
            <w:vAlign w:val="center"/>
          </w:tcPr>
          <w:p w14:paraId="0312B7B8">
            <w:pPr>
              <w:widowControl/>
              <w:adjustRightInd w:val="0"/>
              <w:snapToGrid w:val="0"/>
              <w:spacing w:before="0" w:beforeLines="0" w:line="240" w:lineRule="auto"/>
              <w:jc w:val="center"/>
              <w:rPr>
                <w:bCs/>
                <w:kern w:val="0"/>
                <w:szCs w:val="21"/>
              </w:rPr>
            </w:pPr>
          </w:p>
        </w:tc>
        <w:tc>
          <w:tcPr>
            <w:tcW w:w="341" w:type="pct"/>
            <w:noWrap/>
            <w:vAlign w:val="center"/>
          </w:tcPr>
          <w:p w14:paraId="001EBE8D">
            <w:pPr>
              <w:widowControl/>
              <w:adjustRightInd w:val="0"/>
              <w:snapToGrid w:val="0"/>
              <w:spacing w:before="0" w:beforeLines="0" w:line="240" w:lineRule="auto"/>
              <w:jc w:val="center"/>
              <w:rPr>
                <w:bCs/>
                <w:kern w:val="0"/>
                <w:szCs w:val="21"/>
              </w:rPr>
            </w:pPr>
            <w:r>
              <w:rPr>
                <w:rFonts w:hint="eastAsia"/>
                <w:bCs/>
                <w:kern w:val="0"/>
                <w:szCs w:val="21"/>
              </w:rPr>
              <w:t>全时段</w:t>
            </w:r>
          </w:p>
        </w:tc>
        <w:tc>
          <w:tcPr>
            <w:tcW w:w="662" w:type="pct"/>
            <w:noWrap/>
          </w:tcPr>
          <w:p w14:paraId="3680DD40">
            <w:pPr>
              <w:widowControl/>
              <w:adjustRightInd w:val="0"/>
              <w:snapToGrid w:val="0"/>
              <w:spacing w:before="0" w:beforeLines="0" w:line="240" w:lineRule="auto"/>
              <w:jc w:val="center"/>
              <w:rPr>
                <w:bCs/>
                <w:kern w:val="0"/>
                <w:szCs w:val="21"/>
              </w:rPr>
            </w:pPr>
            <w:r>
              <w:rPr>
                <w:rFonts w:hint="eastAsia"/>
                <w:bCs/>
                <w:color w:val="000000"/>
                <w:kern w:val="0"/>
                <w:sz w:val="22"/>
                <w:szCs w:val="22"/>
              </w:rPr>
              <w:t>0.1157</w:t>
            </w:r>
          </w:p>
        </w:tc>
        <w:tc>
          <w:tcPr>
            <w:tcW w:w="780" w:type="pct"/>
            <w:noWrap/>
          </w:tcPr>
          <w:p w14:paraId="08B4A94E">
            <w:pPr>
              <w:widowControl/>
              <w:adjustRightInd w:val="0"/>
              <w:snapToGrid w:val="0"/>
              <w:spacing w:before="0" w:beforeLines="0" w:line="240" w:lineRule="auto"/>
              <w:jc w:val="center"/>
              <w:rPr>
                <w:bCs/>
                <w:kern w:val="0"/>
                <w:szCs w:val="21"/>
              </w:rPr>
            </w:pPr>
            <w:r>
              <w:rPr>
                <w:rFonts w:hint="eastAsia"/>
                <w:bCs/>
                <w:color w:val="000000"/>
                <w:kern w:val="0"/>
                <w:sz w:val="22"/>
                <w:szCs w:val="22"/>
              </w:rPr>
              <w:t>平均值</w:t>
            </w:r>
          </w:p>
        </w:tc>
        <w:tc>
          <w:tcPr>
            <w:tcW w:w="598" w:type="pct"/>
            <w:noWrap/>
            <w:vAlign w:val="bottom"/>
          </w:tcPr>
          <w:p w14:paraId="15CFBC60">
            <w:pPr>
              <w:widowControl/>
              <w:adjustRightInd w:val="0"/>
              <w:snapToGrid w:val="0"/>
              <w:spacing w:before="0" w:beforeLines="0" w:line="240" w:lineRule="auto"/>
              <w:jc w:val="center"/>
              <w:rPr>
                <w:bCs/>
                <w:kern w:val="0"/>
                <w:szCs w:val="21"/>
              </w:rPr>
            </w:pPr>
            <w:r>
              <w:rPr>
                <w:rFonts w:hint="eastAsia"/>
                <w:bCs/>
                <w:color w:val="000000"/>
                <w:kern w:val="0"/>
                <w:sz w:val="22"/>
                <w:szCs w:val="22"/>
              </w:rPr>
              <w:t>200</w:t>
            </w:r>
          </w:p>
        </w:tc>
        <w:tc>
          <w:tcPr>
            <w:tcW w:w="330" w:type="pct"/>
            <w:noWrap/>
          </w:tcPr>
          <w:p w14:paraId="5D7A7AB3">
            <w:pPr>
              <w:widowControl/>
              <w:adjustRightInd w:val="0"/>
              <w:snapToGrid w:val="0"/>
              <w:spacing w:before="0" w:beforeLines="0" w:line="240" w:lineRule="auto"/>
              <w:jc w:val="center"/>
              <w:rPr>
                <w:bCs/>
                <w:kern w:val="0"/>
                <w:szCs w:val="21"/>
              </w:rPr>
            </w:pPr>
            <w:r>
              <w:rPr>
                <w:rFonts w:hint="eastAsia"/>
                <w:bCs/>
                <w:color w:val="000000"/>
                <w:kern w:val="0"/>
                <w:sz w:val="22"/>
                <w:szCs w:val="22"/>
              </w:rPr>
              <w:t>0.06</w:t>
            </w:r>
          </w:p>
        </w:tc>
        <w:tc>
          <w:tcPr>
            <w:tcW w:w="341" w:type="pct"/>
            <w:noWrap/>
            <w:vAlign w:val="center"/>
          </w:tcPr>
          <w:p w14:paraId="3EC21E56">
            <w:pPr>
              <w:widowControl/>
              <w:adjustRightInd w:val="0"/>
              <w:snapToGrid w:val="0"/>
              <w:spacing w:before="0" w:beforeLines="0" w:line="240" w:lineRule="auto"/>
              <w:jc w:val="center"/>
              <w:rPr>
                <w:bCs/>
                <w:kern w:val="0"/>
                <w:szCs w:val="21"/>
              </w:rPr>
            </w:pPr>
            <w:r>
              <w:rPr>
                <w:rFonts w:hint="eastAsia"/>
                <w:bCs/>
                <w:color w:val="000000"/>
                <w:kern w:val="0"/>
                <w:sz w:val="22"/>
                <w:szCs w:val="22"/>
              </w:rPr>
              <w:t>达标</w:t>
            </w:r>
          </w:p>
        </w:tc>
      </w:tr>
      <w:tr w14:paraId="08489BD4">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14:paraId="3E774942">
            <w:pPr>
              <w:widowControl/>
              <w:adjustRightInd w:val="0"/>
              <w:snapToGrid w:val="0"/>
              <w:spacing w:before="0" w:beforeLines="0" w:line="240" w:lineRule="auto"/>
              <w:jc w:val="center"/>
              <w:rPr>
                <w:bCs/>
                <w:kern w:val="0"/>
                <w:szCs w:val="21"/>
              </w:rPr>
            </w:pPr>
            <w:r>
              <w:rPr>
                <w:rFonts w:hint="eastAsia"/>
                <w:bCs/>
                <w:kern w:val="0"/>
                <w:szCs w:val="21"/>
              </w:rPr>
              <w:t>7</w:t>
            </w:r>
          </w:p>
        </w:tc>
        <w:tc>
          <w:tcPr>
            <w:tcW w:w="664" w:type="pct"/>
            <w:vMerge w:val="restart"/>
            <w:noWrap/>
            <w:vAlign w:val="center"/>
          </w:tcPr>
          <w:p w14:paraId="01423B1A">
            <w:pPr>
              <w:widowControl/>
              <w:adjustRightInd w:val="0"/>
              <w:snapToGrid w:val="0"/>
              <w:spacing w:before="0" w:beforeLines="0" w:line="240" w:lineRule="auto"/>
              <w:jc w:val="center"/>
              <w:rPr>
                <w:bCs/>
                <w:kern w:val="0"/>
                <w:szCs w:val="21"/>
              </w:rPr>
            </w:pPr>
            <w:r>
              <w:rPr>
                <w:rFonts w:hint="eastAsia"/>
                <w:bCs/>
                <w:kern w:val="0"/>
                <w:szCs w:val="21"/>
              </w:rPr>
              <w:t>郎家窝堡</w:t>
            </w:r>
          </w:p>
        </w:tc>
        <w:tc>
          <w:tcPr>
            <w:tcW w:w="638" w:type="pct"/>
            <w:vMerge w:val="restart"/>
            <w:noWrap/>
            <w:vAlign w:val="center"/>
          </w:tcPr>
          <w:p w14:paraId="64E20AEB">
            <w:pPr>
              <w:widowControl/>
              <w:adjustRightInd w:val="0"/>
              <w:snapToGrid w:val="0"/>
              <w:spacing w:before="0" w:beforeLines="0" w:line="240" w:lineRule="auto"/>
              <w:jc w:val="center"/>
              <w:rPr>
                <w:bCs/>
                <w:kern w:val="0"/>
                <w:szCs w:val="21"/>
              </w:rPr>
            </w:pPr>
            <w:r>
              <w:rPr>
                <w:bCs/>
                <w:kern w:val="0"/>
                <w:szCs w:val="21"/>
              </w:rPr>
              <w:t>2451</w:t>
            </w:r>
            <w:r>
              <w:rPr>
                <w:rFonts w:hint="eastAsia"/>
                <w:bCs/>
                <w:kern w:val="0"/>
                <w:szCs w:val="21"/>
              </w:rPr>
              <w:t>，</w:t>
            </w:r>
            <w:r>
              <w:rPr>
                <w:bCs/>
                <w:kern w:val="0"/>
                <w:szCs w:val="21"/>
              </w:rPr>
              <w:t>2436</w:t>
            </w:r>
          </w:p>
        </w:tc>
        <w:tc>
          <w:tcPr>
            <w:tcW w:w="434" w:type="pct"/>
            <w:vMerge w:val="restart"/>
            <w:noWrap/>
            <w:vAlign w:val="center"/>
          </w:tcPr>
          <w:p w14:paraId="4EC9B53C">
            <w:pPr>
              <w:widowControl/>
              <w:adjustRightInd w:val="0"/>
              <w:snapToGrid w:val="0"/>
              <w:spacing w:before="0" w:beforeLines="0" w:line="240" w:lineRule="auto"/>
              <w:jc w:val="center"/>
              <w:rPr>
                <w:bCs/>
                <w:kern w:val="0"/>
                <w:szCs w:val="21"/>
              </w:rPr>
            </w:pPr>
            <w:r>
              <w:rPr>
                <w:bCs/>
                <w:kern w:val="0"/>
                <w:szCs w:val="21"/>
              </w:rPr>
              <w:t>278.19</w:t>
            </w:r>
          </w:p>
        </w:tc>
        <w:tc>
          <w:tcPr>
            <w:tcW w:w="341" w:type="pct"/>
            <w:noWrap/>
            <w:vAlign w:val="center"/>
          </w:tcPr>
          <w:p w14:paraId="2B3A9843">
            <w:pPr>
              <w:widowControl/>
              <w:adjustRightInd w:val="0"/>
              <w:snapToGrid w:val="0"/>
              <w:spacing w:before="0" w:beforeLines="0" w:line="240" w:lineRule="auto"/>
              <w:jc w:val="center"/>
              <w:rPr>
                <w:bCs/>
                <w:kern w:val="0"/>
                <w:szCs w:val="21"/>
              </w:rPr>
            </w:pPr>
            <w:r>
              <w:rPr>
                <w:rFonts w:hint="eastAsia"/>
                <w:bCs/>
                <w:kern w:val="0"/>
                <w:szCs w:val="21"/>
              </w:rPr>
              <w:t>日平均</w:t>
            </w:r>
          </w:p>
        </w:tc>
        <w:tc>
          <w:tcPr>
            <w:tcW w:w="662" w:type="pct"/>
            <w:noWrap/>
          </w:tcPr>
          <w:p w14:paraId="01F0178A">
            <w:pPr>
              <w:widowControl/>
              <w:adjustRightInd w:val="0"/>
              <w:snapToGrid w:val="0"/>
              <w:spacing w:before="0" w:beforeLines="0" w:line="240" w:lineRule="auto"/>
              <w:jc w:val="center"/>
              <w:rPr>
                <w:bCs/>
                <w:kern w:val="0"/>
                <w:szCs w:val="21"/>
              </w:rPr>
            </w:pPr>
            <w:r>
              <w:rPr>
                <w:rFonts w:hint="eastAsia"/>
                <w:bCs/>
                <w:color w:val="000000"/>
                <w:kern w:val="0"/>
                <w:sz w:val="22"/>
                <w:szCs w:val="22"/>
              </w:rPr>
              <w:t>2.3540</w:t>
            </w:r>
          </w:p>
        </w:tc>
        <w:tc>
          <w:tcPr>
            <w:tcW w:w="780" w:type="pct"/>
            <w:noWrap/>
          </w:tcPr>
          <w:p w14:paraId="72C3AA66">
            <w:pPr>
              <w:widowControl/>
              <w:adjustRightInd w:val="0"/>
              <w:snapToGrid w:val="0"/>
              <w:spacing w:before="0" w:beforeLines="0" w:line="240" w:lineRule="auto"/>
              <w:jc w:val="center"/>
              <w:rPr>
                <w:bCs/>
                <w:kern w:val="0"/>
                <w:szCs w:val="21"/>
              </w:rPr>
            </w:pPr>
            <w:r>
              <w:rPr>
                <w:rFonts w:hint="eastAsia"/>
                <w:bCs/>
                <w:color w:val="000000"/>
                <w:kern w:val="0"/>
                <w:sz w:val="22"/>
                <w:szCs w:val="22"/>
              </w:rPr>
              <w:t>251211</w:t>
            </w:r>
          </w:p>
        </w:tc>
        <w:tc>
          <w:tcPr>
            <w:tcW w:w="598" w:type="pct"/>
            <w:noWrap/>
            <w:vAlign w:val="bottom"/>
          </w:tcPr>
          <w:p w14:paraId="576CFDC5">
            <w:pPr>
              <w:widowControl/>
              <w:adjustRightInd w:val="0"/>
              <w:snapToGrid w:val="0"/>
              <w:spacing w:before="0" w:beforeLines="0" w:line="240" w:lineRule="auto"/>
              <w:jc w:val="center"/>
              <w:rPr>
                <w:bCs/>
                <w:kern w:val="0"/>
                <w:szCs w:val="21"/>
              </w:rPr>
            </w:pPr>
            <w:r>
              <w:rPr>
                <w:rFonts w:hint="eastAsia"/>
                <w:bCs/>
                <w:color w:val="000000"/>
                <w:kern w:val="0"/>
                <w:sz w:val="22"/>
                <w:szCs w:val="22"/>
              </w:rPr>
              <w:t>300</w:t>
            </w:r>
          </w:p>
        </w:tc>
        <w:tc>
          <w:tcPr>
            <w:tcW w:w="330" w:type="pct"/>
            <w:noWrap/>
          </w:tcPr>
          <w:p w14:paraId="0B5062EF">
            <w:pPr>
              <w:widowControl/>
              <w:adjustRightInd w:val="0"/>
              <w:snapToGrid w:val="0"/>
              <w:spacing w:before="0" w:beforeLines="0" w:line="240" w:lineRule="auto"/>
              <w:jc w:val="center"/>
              <w:rPr>
                <w:bCs/>
                <w:kern w:val="0"/>
                <w:szCs w:val="21"/>
              </w:rPr>
            </w:pPr>
            <w:r>
              <w:rPr>
                <w:rFonts w:hint="eastAsia"/>
                <w:bCs/>
                <w:color w:val="000000"/>
                <w:kern w:val="0"/>
                <w:sz w:val="22"/>
                <w:szCs w:val="22"/>
              </w:rPr>
              <w:t>0.78</w:t>
            </w:r>
          </w:p>
        </w:tc>
        <w:tc>
          <w:tcPr>
            <w:tcW w:w="341" w:type="pct"/>
            <w:noWrap/>
            <w:vAlign w:val="center"/>
          </w:tcPr>
          <w:p w14:paraId="25F021AC">
            <w:pPr>
              <w:widowControl/>
              <w:adjustRightInd w:val="0"/>
              <w:snapToGrid w:val="0"/>
              <w:spacing w:before="0" w:beforeLines="0" w:line="240" w:lineRule="auto"/>
              <w:jc w:val="center"/>
              <w:rPr>
                <w:bCs/>
                <w:kern w:val="0"/>
                <w:szCs w:val="21"/>
              </w:rPr>
            </w:pPr>
            <w:r>
              <w:rPr>
                <w:rFonts w:hint="eastAsia"/>
                <w:bCs/>
                <w:color w:val="000000"/>
                <w:kern w:val="0"/>
                <w:sz w:val="22"/>
                <w:szCs w:val="22"/>
              </w:rPr>
              <w:t>达标</w:t>
            </w:r>
          </w:p>
        </w:tc>
      </w:tr>
      <w:tr w14:paraId="40382F00">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14:paraId="648ECD69">
            <w:pPr>
              <w:widowControl/>
              <w:adjustRightInd w:val="0"/>
              <w:snapToGrid w:val="0"/>
              <w:spacing w:before="0" w:beforeLines="0" w:line="240" w:lineRule="auto"/>
              <w:jc w:val="center"/>
              <w:rPr>
                <w:bCs/>
                <w:kern w:val="0"/>
                <w:szCs w:val="21"/>
              </w:rPr>
            </w:pPr>
          </w:p>
        </w:tc>
        <w:tc>
          <w:tcPr>
            <w:tcW w:w="664" w:type="pct"/>
            <w:vMerge w:val="continue"/>
            <w:vAlign w:val="center"/>
          </w:tcPr>
          <w:p w14:paraId="556B143A">
            <w:pPr>
              <w:widowControl/>
              <w:adjustRightInd w:val="0"/>
              <w:snapToGrid w:val="0"/>
              <w:spacing w:before="0" w:beforeLines="0" w:line="240" w:lineRule="auto"/>
              <w:jc w:val="center"/>
              <w:rPr>
                <w:bCs/>
                <w:kern w:val="0"/>
                <w:szCs w:val="21"/>
              </w:rPr>
            </w:pPr>
          </w:p>
        </w:tc>
        <w:tc>
          <w:tcPr>
            <w:tcW w:w="638" w:type="pct"/>
            <w:vMerge w:val="continue"/>
            <w:vAlign w:val="center"/>
          </w:tcPr>
          <w:p w14:paraId="07F3E22B">
            <w:pPr>
              <w:widowControl/>
              <w:adjustRightInd w:val="0"/>
              <w:snapToGrid w:val="0"/>
              <w:spacing w:before="0" w:beforeLines="0" w:line="240" w:lineRule="auto"/>
              <w:jc w:val="center"/>
              <w:rPr>
                <w:bCs/>
                <w:kern w:val="0"/>
                <w:szCs w:val="21"/>
              </w:rPr>
            </w:pPr>
          </w:p>
        </w:tc>
        <w:tc>
          <w:tcPr>
            <w:tcW w:w="434" w:type="pct"/>
            <w:vMerge w:val="continue"/>
            <w:vAlign w:val="center"/>
          </w:tcPr>
          <w:p w14:paraId="32385115">
            <w:pPr>
              <w:widowControl/>
              <w:adjustRightInd w:val="0"/>
              <w:snapToGrid w:val="0"/>
              <w:spacing w:before="0" w:beforeLines="0" w:line="240" w:lineRule="auto"/>
              <w:jc w:val="center"/>
              <w:rPr>
                <w:bCs/>
                <w:kern w:val="0"/>
                <w:szCs w:val="21"/>
              </w:rPr>
            </w:pPr>
          </w:p>
        </w:tc>
        <w:tc>
          <w:tcPr>
            <w:tcW w:w="341" w:type="pct"/>
            <w:noWrap/>
            <w:vAlign w:val="center"/>
          </w:tcPr>
          <w:p w14:paraId="358B54B7">
            <w:pPr>
              <w:widowControl/>
              <w:adjustRightInd w:val="0"/>
              <w:snapToGrid w:val="0"/>
              <w:spacing w:before="0" w:beforeLines="0" w:line="240" w:lineRule="auto"/>
              <w:jc w:val="center"/>
              <w:rPr>
                <w:bCs/>
                <w:kern w:val="0"/>
                <w:szCs w:val="21"/>
              </w:rPr>
            </w:pPr>
            <w:r>
              <w:rPr>
                <w:rFonts w:hint="eastAsia"/>
                <w:bCs/>
                <w:kern w:val="0"/>
                <w:szCs w:val="21"/>
              </w:rPr>
              <w:t>全时段</w:t>
            </w:r>
          </w:p>
        </w:tc>
        <w:tc>
          <w:tcPr>
            <w:tcW w:w="662" w:type="pct"/>
            <w:noWrap/>
          </w:tcPr>
          <w:p w14:paraId="3D3DD243">
            <w:pPr>
              <w:widowControl/>
              <w:adjustRightInd w:val="0"/>
              <w:snapToGrid w:val="0"/>
              <w:spacing w:before="0" w:beforeLines="0" w:line="240" w:lineRule="auto"/>
              <w:jc w:val="center"/>
              <w:rPr>
                <w:bCs/>
                <w:kern w:val="0"/>
                <w:szCs w:val="21"/>
              </w:rPr>
            </w:pPr>
            <w:r>
              <w:rPr>
                <w:rFonts w:hint="eastAsia"/>
                <w:bCs/>
                <w:color w:val="000000"/>
                <w:kern w:val="0"/>
                <w:sz w:val="22"/>
                <w:szCs w:val="22"/>
              </w:rPr>
              <w:t>0.0875</w:t>
            </w:r>
          </w:p>
        </w:tc>
        <w:tc>
          <w:tcPr>
            <w:tcW w:w="780" w:type="pct"/>
            <w:noWrap/>
          </w:tcPr>
          <w:p w14:paraId="07B82FC2">
            <w:pPr>
              <w:widowControl/>
              <w:adjustRightInd w:val="0"/>
              <w:snapToGrid w:val="0"/>
              <w:spacing w:before="0" w:beforeLines="0" w:line="240" w:lineRule="auto"/>
              <w:jc w:val="center"/>
              <w:rPr>
                <w:bCs/>
                <w:kern w:val="0"/>
                <w:szCs w:val="21"/>
              </w:rPr>
            </w:pPr>
            <w:r>
              <w:rPr>
                <w:rFonts w:hint="eastAsia"/>
                <w:bCs/>
                <w:color w:val="000000"/>
                <w:kern w:val="0"/>
                <w:sz w:val="22"/>
                <w:szCs w:val="22"/>
              </w:rPr>
              <w:t>平均值</w:t>
            </w:r>
          </w:p>
        </w:tc>
        <w:tc>
          <w:tcPr>
            <w:tcW w:w="598" w:type="pct"/>
            <w:noWrap/>
            <w:vAlign w:val="bottom"/>
          </w:tcPr>
          <w:p w14:paraId="400CC9AB">
            <w:pPr>
              <w:widowControl/>
              <w:adjustRightInd w:val="0"/>
              <w:snapToGrid w:val="0"/>
              <w:spacing w:before="0" w:beforeLines="0" w:line="240" w:lineRule="auto"/>
              <w:jc w:val="center"/>
              <w:rPr>
                <w:bCs/>
                <w:kern w:val="0"/>
                <w:szCs w:val="21"/>
              </w:rPr>
            </w:pPr>
            <w:r>
              <w:rPr>
                <w:rFonts w:hint="eastAsia"/>
                <w:bCs/>
                <w:color w:val="000000"/>
                <w:kern w:val="0"/>
                <w:sz w:val="22"/>
                <w:szCs w:val="22"/>
              </w:rPr>
              <w:t>200</w:t>
            </w:r>
          </w:p>
        </w:tc>
        <w:tc>
          <w:tcPr>
            <w:tcW w:w="330" w:type="pct"/>
            <w:noWrap/>
          </w:tcPr>
          <w:p w14:paraId="45A174B2">
            <w:pPr>
              <w:widowControl/>
              <w:adjustRightInd w:val="0"/>
              <w:snapToGrid w:val="0"/>
              <w:spacing w:before="0" w:beforeLines="0" w:line="240" w:lineRule="auto"/>
              <w:jc w:val="center"/>
              <w:rPr>
                <w:bCs/>
                <w:kern w:val="0"/>
                <w:szCs w:val="21"/>
              </w:rPr>
            </w:pPr>
            <w:r>
              <w:rPr>
                <w:rFonts w:hint="eastAsia"/>
                <w:bCs/>
                <w:color w:val="000000"/>
                <w:kern w:val="0"/>
                <w:sz w:val="22"/>
                <w:szCs w:val="22"/>
              </w:rPr>
              <w:t>0.04</w:t>
            </w:r>
          </w:p>
        </w:tc>
        <w:tc>
          <w:tcPr>
            <w:tcW w:w="341" w:type="pct"/>
            <w:noWrap/>
            <w:vAlign w:val="center"/>
          </w:tcPr>
          <w:p w14:paraId="5E06A6C1">
            <w:pPr>
              <w:widowControl/>
              <w:adjustRightInd w:val="0"/>
              <w:snapToGrid w:val="0"/>
              <w:spacing w:before="0" w:beforeLines="0" w:line="240" w:lineRule="auto"/>
              <w:jc w:val="center"/>
              <w:rPr>
                <w:bCs/>
                <w:kern w:val="0"/>
                <w:szCs w:val="21"/>
              </w:rPr>
            </w:pPr>
            <w:r>
              <w:rPr>
                <w:rFonts w:hint="eastAsia"/>
                <w:bCs/>
                <w:color w:val="000000"/>
                <w:kern w:val="0"/>
                <w:sz w:val="22"/>
                <w:szCs w:val="22"/>
              </w:rPr>
              <w:t>达标</w:t>
            </w:r>
          </w:p>
        </w:tc>
      </w:tr>
      <w:tr w14:paraId="7BEE5D04">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14:paraId="466FFAA0">
            <w:pPr>
              <w:widowControl/>
              <w:adjustRightInd w:val="0"/>
              <w:snapToGrid w:val="0"/>
              <w:spacing w:before="0" w:beforeLines="0" w:line="240" w:lineRule="auto"/>
              <w:jc w:val="center"/>
              <w:rPr>
                <w:bCs/>
                <w:kern w:val="0"/>
                <w:szCs w:val="21"/>
              </w:rPr>
            </w:pPr>
            <w:r>
              <w:rPr>
                <w:rFonts w:hint="eastAsia"/>
                <w:bCs/>
                <w:kern w:val="0"/>
                <w:szCs w:val="21"/>
              </w:rPr>
              <w:t>8</w:t>
            </w:r>
          </w:p>
        </w:tc>
        <w:tc>
          <w:tcPr>
            <w:tcW w:w="664" w:type="pct"/>
            <w:vMerge w:val="restart"/>
            <w:noWrap/>
            <w:vAlign w:val="center"/>
          </w:tcPr>
          <w:p w14:paraId="50EEADFB">
            <w:pPr>
              <w:widowControl/>
              <w:adjustRightInd w:val="0"/>
              <w:snapToGrid w:val="0"/>
              <w:spacing w:before="0" w:beforeLines="0" w:line="240" w:lineRule="auto"/>
              <w:jc w:val="center"/>
              <w:rPr>
                <w:bCs/>
                <w:kern w:val="0"/>
                <w:szCs w:val="21"/>
              </w:rPr>
            </w:pPr>
            <w:r>
              <w:rPr>
                <w:rFonts w:hint="eastAsia"/>
                <w:bCs/>
                <w:kern w:val="0"/>
                <w:szCs w:val="21"/>
              </w:rPr>
              <w:t>那四板营子</w:t>
            </w:r>
          </w:p>
        </w:tc>
        <w:tc>
          <w:tcPr>
            <w:tcW w:w="638" w:type="pct"/>
            <w:vMerge w:val="restart"/>
            <w:noWrap/>
            <w:vAlign w:val="center"/>
          </w:tcPr>
          <w:p w14:paraId="6F955890">
            <w:pPr>
              <w:widowControl/>
              <w:adjustRightInd w:val="0"/>
              <w:snapToGrid w:val="0"/>
              <w:spacing w:before="0" w:beforeLines="0" w:line="240" w:lineRule="auto"/>
              <w:jc w:val="center"/>
              <w:rPr>
                <w:bCs/>
                <w:kern w:val="0"/>
                <w:szCs w:val="21"/>
              </w:rPr>
            </w:pPr>
            <w:r>
              <w:rPr>
                <w:bCs/>
                <w:kern w:val="0"/>
                <w:szCs w:val="21"/>
              </w:rPr>
              <w:t>1704,-1626</w:t>
            </w:r>
          </w:p>
        </w:tc>
        <w:tc>
          <w:tcPr>
            <w:tcW w:w="434" w:type="pct"/>
            <w:vMerge w:val="restart"/>
            <w:noWrap/>
            <w:vAlign w:val="center"/>
          </w:tcPr>
          <w:p w14:paraId="4F73791C">
            <w:pPr>
              <w:widowControl/>
              <w:adjustRightInd w:val="0"/>
              <w:snapToGrid w:val="0"/>
              <w:spacing w:before="0" w:beforeLines="0" w:line="240" w:lineRule="auto"/>
              <w:jc w:val="center"/>
              <w:rPr>
                <w:bCs/>
                <w:kern w:val="0"/>
                <w:szCs w:val="21"/>
              </w:rPr>
            </w:pPr>
            <w:r>
              <w:rPr>
                <w:bCs/>
                <w:kern w:val="0"/>
                <w:szCs w:val="21"/>
              </w:rPr>
              <w:t>282.04</w:t>
            </w:r>
          </w:p>
        </w:tc>
        <w:tc>
          <w:tcPr>
            <w:tcW w:w="341" w:type="pct"/>
            <w:noWrap/>
            <w:vAlign w:val="center"/>
          </w:tcPr>
          <w:p w14:paraId="1BF9F71F">
            <w:pPr>
              <w:widowControl/>
              <w:adjustRightInd w:val="0"/>
              <w:snapToGrid w:val="0"/>
              <w:spacing w:before="0" w:beforeLines="0" w:line="240" w:lineRule="auto"/>
              <w:jc w:val="center"/>
              <w:rPr>
                <w:bCs/>
                <w:kern w:val="0"/>
                <w:szCs w:val="21"/>
              </w:rPr>
            </w:pPr>
            <w:r>
              <w:rPr>
                <w:rFonts w:hint="eastAsia"/>
                <w:bCs/>
                <w:kern w:val="0"/>
                <w:szCs w:val="21"/>
              </w:rPr>
              <w:t>日平均</w:t>
            </w:r>
          </w:p>
        </w:tc>
        <w:tc>
          <w:tcPr>
            <w:tcW w:w="662" w:type="pct"/>
            <w:noWrap/>
          </w:tcPr>
          <w:p w14:paraId="5F8A32D5">
            <w:pPr>
              <w:widowControl/>
              <w:adjustRightInd w:val="0"/>
              <w:snapToGrid w:val="0"/>
              <w:spacing w:before="0" w:beforeLines="0" w:line="240" w:lineRule="auto"/>
              <w:jc w:val="center"/>
              <w:rPr>
                <w:bCs/>
                <w:kern w:val="0"/>
                <w:szCs w:val="21"/>
              </w:rPr>
            </w:pPr>
            <w:r>
              <w:rPr>
                <w:rFonts w:hint="eastAsia"/>
                <w:bCs/>
                <w:color w:val="000000"/>
                <w:kern w:val="0"/>
                <w:sz w:val="22"/>
                <w:szCs w:val="22"/>
              </w:rPr>
              <w:t>6.0637</w:t>
            </w:r>
          </w:p>
        </w:tc>
        <w:tc>
          <w:tcPr>
            <w:tcW w:w="780" w:type="pct"/>
            <w:noWrap/>
          </w:tcPr>
          <w:p w14:paraId="53CCF5A9">
            <w:pPr>
              <w:widowControl/>
              <w:adjustRightInd w:val="0"/>
              <w:snapToGrid w:val="0"/>
              <w:spacing w:before="0" w:beforeLines="0" w:line="240" w:lineRule="auto"/>
              <w:jc w:val="center"/>
              <w:rPr>
                <w:bCs/>
                <w:kern w:val="0"/>
                <w:szCs w:val="21"/>
              </w:rPr>
            </w:pPr>
            <w:r>
              <w:rPr>
                <w:rFonts w:hint="eastAsia"/>
                <w:bCs/>
                <w:color w:val="000000"/>
                <w:kern w:val="0"/>
                <w:sz w:val="22"/>
                <w:szCs w:val="22"/>
              </w:rPr>
              <w:t>250317</w:t>
            </w:r>
          </w:p>
        </w:tc>
        <w:tc>
          <w:tcPr>
            <w:tcW w:w="598" w:type="pct"/>
            <w:noWrap/>
            <w:vAlign w:val="bottom"/>
          </w:tcPr>
          <w:p w14:paraId="78F93DE4">
            <w:pPr>
              <w:widowControl/>
              <w:adjustRightInd w:val="0"/>
              <w:snapToGrid w:val="0"/>
              <w:spacing w:before="0" w:beforeLines="0" w:line="240" w:lineRule="auto"/>
              <w:jc w:val="center"/>
              <w:rPr>
                <w:bCs/>
                <w:kern w:val="0"/>
                <w:szCs w:val="21"/>
              </w:rPr>
            </w:pPr>
            <w:r>
              <w:rPr>
                <w:rFonts w:hint="eastAsia"/>
                <w:bCs/>
                <w:color w:val="000000"/>
                <w:kern w:val="0"/>
                <w:sz w:val="22"/>
                <w:szCs w:val="22"/>
              </w:rPr>
              <w:t>300</w:t>
            </w:r>
          </w:p>
        </w:tc>
        <w:tc>
          <w:tcPr>
            <w:tcW w:w="330" w:type="pct"/>
            <w:noWrap/>
          </w:tcPr>
          <w:p w14:paraId="0CC84A71">
            <w:pPr>
              <w:widowControl/>
              <w:adjustRightInd w:val="0"/>
              <w:snapToGrid w:val="0"/>
              <w:spacing w:before="0" w:beforeLines="0" w:line="240" w:lineRule="auto"/>
              <w:jc w:val="center"/>
              <w:rPr>
                <w:bCs/>
                <w:kern w:val="0"/>
                <w:szCs w:val="21"/>
              </w:rPr>
            </w:pPr>
            <w:r>
              <w:rPr>
                <w:rFonts w:hint="eastAsia"/>
                <w:bCs/>
                <w:color w:val="000000"/>
                <w:kern w:val="0"/>
                <w:sz w:val="22"/>
                <w:szCs w:val="22"/>
              </w:rPr>
              <w:t>2.02</w:t>
            </w:r>
          </w:p>
        </w:tc>
        <w:tc>
          <w:tcPr>
            <w:tcW w:w="341" w:type="pct"/>
            <w:noWrap/>
            <w:vAlign w:val="center"/>
          </w:tcPr>
          <w:p w14:paraId="7ADC9934">
            <w:pPr>
              <w:widowControl/>
              <w:adjustRightInd w:val="0"/>
              <w:snapToGrid w:val="0"/>
              <w:spacing w:before="0" w:beforeLines="0" w:line="240" w:lineRule="auto"/>
              <w:jc w:val="center"/>
              <w:rPr>
                <w:bCs/>
                <w:kern w:val="0"/>
                <w:szCs w:val="21"/>
              </w:rPr>
            </w:pPr>
            <w:r>
              <w:rPr>
                <w:rFonts w:hint="eastAsia"/>
                <w:bCs/>
                <w:color w:val="000000"/>
                <w:kern w:val="0"/>
                <w:sz w:val="22"/>
                <w:szCs w:val="22"/>
              </w:rPr>
              <w:t>达标</w:t>
            </w:r>
          </w:p>
        </w:tc>
      </w:tr>
      <w:tr w14:paraId="2B547690">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14:paraId="02736FD9">
            <w:pPr>
              <w:widowControl/>
              <w:adjustRightInd w:val="0"/>
              <w:snapToGrid w:val="0"/>
              <w:spacing w:before="0" w:beforeLines="0" w:line="240" w:lineRule="auto"/>
              <w:jc w:val="center"/>
              <w:rPr>
                <w:bCs/>
                <w:kern w:val="0"/>
                <w:szCs w:val="21"/>
              </w:rPr>
            </w:pPr>
          </w:p>
        </w:tc>
        <w:tc>
          <w:tcPr>
            <w:tcW w:w="664" w:type="pct"/>
            <w:vMerge w:val="continue"/>
            <w:vAlign w:val="center"/>
          </w:tcPr>
          <w:p w14:paraId="21968205">
            <w:pPr>
              <w:widowControl/>
              <w:adjustRightInd w:val="0"/>
              <w:snapToGrid w:val="0"/>
              <w:spacing w:before="0" w:beforeLines="0" w:line="240" w:lineRule="auto"/>
              <w:jc w:val="center"/>
              <w:rPr>
                <w:bCs/>
                <w:kern w:val="0"/>
                <w:szCs w:val="21"/>
              </w:rPr>
            </w:pPr>
          </w:p>
        </w:tc>
        <w:tc>
          <w:tcPr>
            <w:tcW w:w="638" w:type="pct"/>
            <w:vMerge w:val="continue"/>
            <w:vAlign w:val="center"/>
          </w:tcPr>
          <w:p w14:paraId="2606B769">
            <w:pPr>
              <w:widowControl/>
              <w:adjustRightInd w:val="0"/>
              <w:snapToGrid w:val="0"/>
              <w:spacing w:before="0" w:beforeLines="0" w:line="240" w:lineRule="auto"/>
              <w:jc w:val="center"/>
              <w:rPr>
                <w:bCs/>
                <w:kern w:val="0"/>
                <w:szCs w:val="21"/>
              </w:rPr>
            </w:pPr>
          </w:p>
        </w:tc>
        <w:tc>
          <w:tcPr>
            <w:tcW w:w="434" w:type="pct"/>
            <w:vMerge w:val="continue"/>
            <w:vAlign w:val="center"/>
          </w:tcPr>
          <w:p w14:paraId="6AB70D76">
            <w:pPr>
              <w:widowControl/>
              <w:adjustRightInd w:val="0"/>
              <w:snapToGrid w:val="0"/>
              <w:spacing w:before="0" w:beforeLines="0" w:line="240" w:lineRule="auto"/>
              <w:jc w:val="center"/>
              <w:rPr>
                <w:bCs/>
                <w:kern w:val="0"/>
                <w:szCs w:val="21"/>
              </w:rPr>
            </w:pPr>
          </w:p>
        </w:tc>
        <w:tc>
          <w:tcPr>
            <w:tcW w:w="341" w:type="pct"/>
            <w:noWrap/>
            <w:vAlign w:val="center"/>
          </w:tcPr>
          <w:p w14:paraId="0B8C4B4D">
            <w:pPr>
              <w:widowControl/>
              <w:adjustRightInd w:val="0"/>
              <w:snapToGrid w:val="0"/>
              <w:spacing w:before="0" w:beforeLines="0" w:line="240" w:lineRule="auto"/>
              <w:jc w:val="center"/>
              <w:rPr>
                <w:bCs/>
                <w:kern w:val="0"/>
                <w:szCs w:val="21"/>
              </w:rPr>
            </w:pPr>
            <w:r>
              <w:rPr>
                <w:rFonts w:hint="eastAsia"/>
                <w:bCs/>
                <w:kern w:val="0"/>
                <w:szCs w:val="21"/>
              </w:rPr>
              <w:t>全时段</w:t>
            </w:r>
          </w:p>
        </w:tc>
        <w:tc>
          <w:tcPr>
            <w:tcW w:w="662" w:type="pct"/>
            <w:noWrap/>
          </w:tcPr>
          <w:p w14:paraId="20317DE0">
            <w:pPr>
              <w:widowControl/>
              <w:adjustRightInd w:val="0"/>
              <w:snapToGrid w:val="0"/>
              <w:spacing w:before="0" w:beforeLines="0" w:line="240" w:lineRule="auto"/>
              <w:jc w:val="center"/>
              <w:rPr>
                <w:bCs/>
                <w:kern w:val="0"/>
                <w:szCs w:val="21"/>
              </w:rPr>
            </w:pPr>
            <w:r>
              <w:rPr>
                <w:rFonts w:hint="eastAsia"/>
                <w:bCs/>
                <w:color w:val="000000"/>
                <w:kern w:val="0"/>
                <w:sz w:val="22"/>
                <w:szCs w:val="22"/>
              </w:rPr>
              <w:t>0.3765</w:t>
            </w:r>
          </w:p>
        </w:tc>
        <w:tc>
          <w:tcPr>
            <w:tcW w:w="780" w:type="pct"/>
            <w:noWrap/>
          </w:tcPr>
          <w:p w14:paraId="25B6B6FE">
            <w:pPr>
              <w:widowControl/>
              <w:adjustRightInd w:val="0"/>
              <w:snapToGrid w:val="0"/>
              <w:spacing w:before="0" w:beforeLines="0" w:line="240" w:lineRule="auto"/>
              <w:jc w:val="center"/>
              <w:rPr>
                <w:bCs/>
                <w:kern w:val="0"/>
                <w:szCs w:val="21"/>
              </w:rPr>
            </w:pPr>
            <w:r>
              <w:rPr>
                <w:rFonts w:hint="eastAsia"/>
                <w:bCs/>
                <w:color w:val="000000"/>
                <w:kern w:val="0"/>
                <w:sz w:val="22"/>
                <w:szCs w:val="22"/>
              </w:rPr>
              <w:t>平均值</w:t>
            </w:r>
          </w:p>
        </w:tc>
        <w:tc>
          <w:tcPr>
            <w:tcW w:w="598" w:type="pct"/>
            <w:noWrap/>
            <w:vAlign w:val="bottom"/>
          </w:tcPr>
          <w:p w14:paraId="6D970616">
            <w:pPr>
              <w:widowControl/>
              <w:adjustRightInd w:val="0"/>
              <w:snapToGrid w:val="0"/>
              <w:spacing w:before="0" w:beforeLines="0" w:line="240" w:lineRule="auto"/>
              <w:jc w:val="center"/>
              <w:rPr>
                <w:bCs/>
                <w:kern w:val="0"/>
                <w:szCs w:val="21"/>
              </w:rPr>
            </w:pPr>
            <w:r>
              <w:rPr>
                <w:rFonts w:hint="eastAsia"/>
                <w:bCs/>
                <w:color w:val="000000"/>
                <w:kern w:val="0"/>
                <w:sz w:val="22"/>
                <w:szCs w:val="22"/>
              </w:rPr>
              <w:t>200</w:t>
            </w:r>
          </w:p>
        </w:tc>
        <w:tc>
          <w:tcPr>
            <w:tcW w:w="330" w:type="pct"/>
            <w:noWrap/>
          </w:tcPr>
          <w:p w14:paraId="55D175B3">
            <w:pPr>
              <w:widowControl/>
              <w:adjustRightInd w:val="0"/>
              <w:snapToGrid w:val="0"/>
              <w:spacing w:before="0" w:beforeLines="0" w:line="240" w:lineRule="auto"/>
              <w:jc w:val="center"/>
              <w:rPr>
                <w:bCs/>
                <w:kern w:val="0"/>
                <w:szCs w:val="21"/>
              </w:rPr>
            </w:pPr>
            <w:r>
              <w:rPr>
                <w:rFonts w:hint="eastAsia"/>
                <w:bCs/>
                <w:color w:val="000000"/>
                <w:kern w:val="0"/>
                <w:sz w:val="22"/>
                <w:szCs w:val="22"/>
              </w:rPr>
              <w:t>0.19</w:t>
            </w:r>
          </w:p>
        </w:tc>
        <w:tc>
          <w:tcPr>
            <w:tcW w:w="341" w:type="pct"/>
            <w:noWrap/>
            <w:vAlign w:val="center"/>
          </w:tcPr>
          <w:p w14:paraId="5F9D29AB">
            <w:pPr>
              <w:widowControl/>
              <w:adjustRightInd w:val="0"/>
              <w:snapToGrid w:val="0"/>
              <w:spacing w:before="0" w:beforeLines="0" w:line="240" w:lineRule="auto"/>
              <w:jc w:val="center"/>
              <w:rPr>
                <w:bCs/>
                <w:kern w:val="0"/>
                <w:szCs w:val="21"/>
              </w:rPr>
            </w:pPr>
            <w:r>
              <w:rPr>
                <w:rFonts w:hint="eastAsia"/>
                <w:bCs/>
                <w:color w:val="000000"/>
                <w:kern w:val="0"/>
                <w:sz w:val="22"/>
                <w:szCs w:val="22"/>
              </w:rPr>
              <w:t>达标</w:t>
            </w:r>
          </w:p>
        </w:tc>
      </w:tr>
      <w:tr w14:paraId="559BAB12">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14:paraId="62554C4D">
            <w:pPr>
              <w:widowControl/>
              <w:adjustRightInd w:val="0"/>
              <w:snapToGrid w:val="0"/>
              <w:spacing w:before="0" w:beforeLines="0" w:line="240" w:lineRule="auto"/>
              <w:jc w:val="center"/>
              <w:rPr>
                <w:bCs/>
                <w:kern w:val="0"/>
                <w:szCs w:val="21"/>
              </w:rPr>
            </w:pPr>
            <w:r>
              <w:rPr>
                <w:rFonts w:hint="eastAsia"/>
                <w:bCs/>
                <w:kern w:val="0"/>
                <w:szCs w:val="21"/>
              </w:rPr>
              <w:t>9</w:t>
            </w:r>
          </w:p>
        </w:tc>
        <w:tc>
          <w:tcPr>
            <w:tcW w:w="664" w:type="pct"/>
            <w:vMerge w:val="restart"/>
            <w:noWrap/>
            <w:vAlign w:val="center"/>
          </w:tcPr>
          <w:p w14:paraId="7D5D0594">
            <w:pPr>
              <w:widowControl/>
              <w:adjustRightInd w:val="0"/>
              <w:snapToGrid w:val="0"/>
              <w:spacing w:before="0" w:beforeLines="0" w:line="240" w:lineRule="auto"/>
              <w:jc w:val="center"/>
              <w:rPr>
                <w:bCs/>
                <w:kern w:val="0"/>
                <w:szCs w:val="21"/>
              </w:rPr>
            </w:pPr>
            <w:r>
              <w:rPr>
                <w:rFonts w:hint="eastAsia"/>
                <w:bCs/>
                <w:kern w:val="0"/>
                <w:szCs w:val="21"/>
              </w:rPr>
              <w:t>四方庙子村</w:t>
            </w:r>
          </w:p>
        </w:tc>
        <w:tc>
          <w:tcPr>
            <w:tcW w:w="638" w:type="pct"/>
            <w:vMerge w:val="restart"/>
            <w:noWrap/>
            <w:vAlign w:val="center"/>
          </w:tcPr>
          <w:p w14:paraId="74ABF646">
            <w:pPr>
              <w:widowControl/>
              <w:adjustRightInd w:val="0"/>
              <w:snapToGrid w:val="0"/>
              <w:spacing w:before="0" w:beforeLines="0" w:line="240" w:lineRule="auto"/>
              <w:jc w:val="center"/>
              <w:rPr>
                <w:bCs/>
                <w:kern w:val="0"/>
                <w:szCs w:val="21"/>
              </w:rPr>
            </w:pPr>
            <w:r>
              <w:rPr>
                <w:bCs/>
                <w:kern w:val="0"/>
                <w:szCs w:val="21"/>
              </w:rPr>
              <w:t>2408,-2472</w:t>
            </w:r>
          </w:p>
        </w:tc>
        <w:tc>
          <w:tcPr>
            <w:tcW w:w="434" w:type="pct"/>
            <w:vMerge w:val="restart"/>
            <w:noWrap/>
            <w:vAlign w:val="center"/>
          </w:tcPr>
          <w:p w14:paraId="0413D0D9">
            <w:pPr>
              <w:widowControl/>
              <w:adjustRightInd w:val="0"/>
              <w:snapToGrid w:val="0"/>
              <w:spacing w:before="0" w:beforeLines="0" w:line="240" w:lineRule="auto"/>
              <w:jc w:val="center"/>
              <w:rPr>
                <w:bCs/>
                <w:kern w:val="0"/>
                <w:szCs w:val="21"/>
              </w:rPr>
            </w:pPr>
            <w:r>
              <w:rPr>
                <w:bCs/>
                <w:kern w:val="0"/>
                <w:szCs w:val="21"/>
              </w:rPr>
              <w:t>289.69</w:t>
            </w:r>
          </w:p>
        </w:tc>
        <w:tc>
          <w:tcPr>
            <w:tcW w:w="341" w:type="pct"/>
            <w:noWrap/>
            <w:vAlign w:val="center"/>
          </w:tcPr>
          <w:p w14:paraId="073FBA3A">
            <w:pPr>
              <w:widowControl/>
              <w:adjustRightInd w:val="0"/>
              <w:snapToGrid w:val="0"/>
              <w:spacing w:before="0" w:beforeLines="0" w:line="240" w:lineRule="auto"/>
              <w:jc w:val="center"/>
              <w:rPr>
                <w:bCs/>
                <w:kern w:val="0"/>
                <w:szCs w:val="21"/>
              </w:rPr>
            </w:pPr>
            <w:r>
              <w:rPr>
                <w:rFonts w:hint="eastAsia"/>
                <w:bCs/>
                <w:kern w:val="0"/>
                <w:szCs w:val="21"/>
              </w:rPr>
              <w:t>日平均</w:t>
            </w:r>
          </w:p>
        </w:tc>
        <w:tc>
          <w:tcPr>
            <w:tcW w:w="662" w:type="pct"/>
            <w:noWrap/>
          </w:tcPr>
          <w:p w14:paraId="32D7E8AF">
            <w:pPr>
              <w:widowControl/>
              <w:adjustRightInd w:val="0"/>
              <w:snapToGrid w:val="0"/>
              <w:spacing w:before="0" w:beforeLines="0" w:line="240" w:lineRule="auto"/>
              <w:jc w:val="center"/>
              <w:rPr>
                <w:bCs/>
                <w:kern w:val="0"/>
                <w:szCs w:val="21"/>
              </w:rPr>
            </w:pPr>
            <w:r>
              <w:rPr>
                <w:rFonts w:hint="eastAsia"/>
                <w:bCs/>
                <w:color w:val="000000"/>
                <w:kern w:val="0"/>
                <w:sz w:val="22"/>
                <w:szCs w:val="22"/>
              </w:rPr>
              <w:t>3.7567</w:t>
            </w:r>
          </w:p>
        </w:tc>
        <w:tc>
          <w:tcPr>
            <w:tcW w:w="780" w:type="pct"/>
            <w:noWrap/>
          </w:tcPr>
          <w:p w14:paraId="20066275">
            <w:pPr>
              <w:widowControl/>
              <w:adjustRightInd w:val="0"/>
              <w:snapToGrid w:val="0"/>
              <w:spacing w:before="0" w:beforeLines="0" w:line="240" w:lineRule="auto"/>
              <w:jc w:val="center"/>
              <w:rPr>
                <w:bCs/>
                <w:kern w:val="0"/>
                <w:szCs w:val="21"/>
              </w:rPr>
            </w:pPr>
            <w:r>
              <w:rPr>
                <w:rFonts w:hint="eastAsia"/>
                <w:bCs/>
                <w:color w:val="000000"/>
                <w:kern w:val="0"/>
                <w:sz w:val="22"/>
                <w:szCs w:val="22"/>
              </w:rPr>
              <w:t>250317</w:t>
            </w:r>
          </w:p>
        </w:tc>
        <w:tc>
          <w:tcPr>
            <w:tcW w:w="598" w:type="pct"/>
            <w:noWrap/>
            <w:vAlign w:val="bottom"/>
          </w:tcPr>
          <w:p w14:paraId="2FFBF706">
            <w:pPr>
              <w:widowControl/>
              <w:adjustRightInd w:val="0"/>
              <w:snapToGrid w:val="0"/>
              <w:spacing w:before="0" w:beforeLines="0" w:line="240" w:lineRule="auto"/>
              <w:jc w:val="center"/>
              <w:rPr>
                <w:bCs/>
                <w:kern w:val="0"/>
                <w:szCs w:val="21"/>
              </w:rPr>
            </w:pPr>
            <w:r>
              <w:rPr>
                <w:rFonts w:hint="eastAsia"/>
                <w:bCs/>
                <w:color w:val="000000"/>
                <w:kern w:val="0"/>
                <w:sz w:val="22"/>
                <w:szCs w:val="22"/>
              </w:rPr>
              <w:t>300</w:t>
            </w:r>
          </w:p>
        </w:tc>
        <w:tc>
          <w:tcPr>
            <w:tcW w:w="330" w:type="pct"/>
            <w:noWrap/>
          </w:tcPr>
          <w:p w14:paraId="704076D2">
            <w:pPr>
              <w:widowControl/>
              <w:adjustRightInd w:val="0"/>
              <w:snapToGrid w:val="0"/>
              <w:spacing w:before="0" w:beforeLines="0" w:line="240" w:lineRule="auto"/>
              <w:jc w:val="center"/>
              <w:rPr>
                <w:bCs/>
                <w:kern w:val="0"/>
                <w:szCs w:val="21"/>
              </w:rPr>
            </w:pPr>
            <w:r>
              <w:rPr>
                <w:rFonts w:hint="eastAsia"/>
                <w:bCs/>
                <w:color w:val="000000"/>
                <w:kern w:val="0"/>
                <w:sz w:val="22"/>
                <w:szCs w:val="22"/>
              </w:rPr>
              <w:t>1.25</w:t>
            </w:r>
          </w:p>
        </w:tc>
        <w:tc>
          <w:tcPr>
            <w:tcW w:w="341" w:type="pct"/>
            <w:noWrap/>
            <w:vAlign w:val="center"/>
          </w:tcPr>
          <w:p w14:paraId="741B47BA">
            <w:pPr>
              <w:widowControl/>
              <w:adjustRightInd w:val="0"/>
              <w:snapToGrid w:val="0"/>
              <w:spacing w:before="0" w:beforeLines="0" w:line="240" w:lineRule="auto"/>
              <w:jc w:val="center"/>
              <w:rPr>
                <w:bCs/>
                <w:kern w:val="0"/>
                <w:szCs w:val="21"/>
              </w:rPr>
            </w:pPr>
            <w:r>
              <w:rPr>
                <w:rFonts w:hint="eastAsia"/>
                <w:bCs/>
                <w:color w:val="000000"/>
                <w:kern w:val="0"/>
                <w:sz w:val="22"/>
                <w:szCs w:val="22"/>
              </w:rPr>
              <w:t>达标</w:t>
            </w:r>
          </w:p>
        </w:tc>
      </w:tr>
      <w:tr w14:paraId="4000F68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14:paraId="4FFEBF29">
            <w:pPr>
              <w:widowControl/>
              <w:adjustRightInd w:val="0"/>
              <w:snapToGrid w:val="0"/>
              <w:spacing w:before="0" w:beforeLines="0" w:line="240" w:lineRule="auto"/>
              <w:jc w:val="center"/>
              <w:rPr>
                <w:bCs/>
                <w:kern w:val="0"/>
                <w:szCs w:val="21"/>
              </w:rPr>
            </w:pPr>
          </w:p>
        </w:tc>
        <w:tc>
          <w:tcPr>
            <w:tcW w:w="664" w:type="pct"/>
            <w:vMerge w:val="continue"/>
            <w:vAlign w:val="center"/>
          </w:tcPr>
          <w:p w14:paraId="7AF857C4">
            <w:pPr>
              <w:widowControl/>
              <w:adjustRightInd w:val="0"/>
              <w:snapToGrid w:val="0"/>
              <w:spacing w:before="0" w:beforeLines="0" w:line="240" w:lineRule="auto"/>
              <w:jc w:val="center"/>
              <w:rPr>
                <w:bCs/>
                <w:kern w:val="0"/>
                <w:szCs w:val="21"/>
              </w:rPr>
            </w:pPr>
          </w:p>
        </w:tc>
        <w:tc>
          <w:tcPr>
            <w:tcW w:w="638" w:type="pct"/>
            <w:vMerge w:val="continue"/>
            <w:vAlign w:val="center"/>
          </w:tcPr>
          <w:p w14:paraId="244BEC2C">
            <w:pPr>
              <w:widowControl/>
              <w:adjustRightInd w:val="0"/>
              <w:snapToGrid w:val="0"/>
              <w:spacing w:before="0" w:beforeLines="0" w:line="240" w:lineRule="auto"/>
              <w:jc w:val="center"/>
              <w:rPr>
                <w:bCs/>
                <w:kern w:val="0"/>
                <w:szCs w:val="21"/>
              </w:rPr>
            </w:pPr>
          </w:p>
        </w:tc>
        <w:tc>
          <w:tcPr>
            <w:tcW w:w="434" w:type="pct"/>
            <w:vMerge w:val="continue"/>
            <w:vAlign w:val="center"/>
          </w:tcPr>
          <w:p w14:paraId="0FB0121A">
            <w:pPr>
              <w:widowControl/>
              <w:adjustRightInd w:val="0"/>
              <w:snapToGrid w:val="0"/>
              <w:spacing w:before="0" w:beforeLines="0" w:line="240" w:lineRule="auto"/>
              <w:jc w:val="center"/>
              <w:rPr>
                <w:bCs/>
                <w:kern w:val="0"/>
                <w:szCs w:val="21"/>
              </w:rPr>
            </w:pPr>
          </w:p>
        </w:tc>
        <w:tc>
          <w:tcPr>
            <w:tcW w:w="341" w:type="pct"/>
            <w:noWrap/>
            <w:vAlign w:val="center"/>
          </w:tcPr>
          <w:p w14:paraId="70B3392C">
            <w:pPr>
              <w:widowControl/>
              <w:adjustRightInd w:val="0"/>
              <w:snapToGrid w:val="0"/>
              <w:spacing w:before="0" w:beforeLines="0" w:line="240" w:lineRule="auto"/>
              <w:jc w:val="center"/>
              <w:rPr>
                <w:bCs/>
                <w:kern w:val="0"/>
                <w:szCs w:val="21"/>
              </w:rPr>
            </w:pPr>
            <w:r>
              <w:rPr>
                <w:rFonts w:hint="eastAsia"/>
                <w:bCs/>
                <w:kern w:val="0"/>
                <w:szCs w:val="21"/>
              </w:rPr>
              <w:t>全时段</w:t>
            </w:r>
          </w:p>
        </w:tc>
        <w:tc>
          <w:tcPr>
            <w:tcW w:w="662" w:type="pct"/>
            <w:noWrap/>
          </w:tcPr>
          <w:p w14:paraId="26A54300">
            <w:pPr>
              <w:widowControl/>
              <w:adjustRightInd w:val="0"/>
              <w:snapToGrid w:val="0"/>
              <w:spacing w:before="0" w:beforeLines="0" w:line="240" w:lineRule="auto"/>
              <w:jc w:val="center"/>
              <w:rPr>
                <w:bCs/>
                <w:kern w:val="0"/>
                <w:szCs w:val="21"/>
              </w:rPr>
            </w:pPr>
            <w:r>
              <w:rPr>
                <w:rFonts w:hint="eastAsia"/>
                <w:bCs/>
                <w:color w:val="000000"/>
                <w:kern w:val="0"/>
                <w:sz w:val="22"/>
                <w:szCs w:val="22"/>
              </w:rPr>
              <w:t>0.2095</w:t>
            </w:r>
          </w:p>
        </w:tc>
        <w:tc>
          <w:tcPr>
            <w:tcW w:w="780" w:type="pct"/>
            <w:noWrap/>
          </w:tcPr>
          <w:p w14:paraId="2D080DC6">
            <w:pPr>
              <w:widowControl/>
              <w:adjustRightInd w:val="0"/>
              <w:snapToGrid w:val="0"/>
              <w:spacing w:before="0" w:beforeLines="0" w:line="240" w:lineRule="auto"/>
              <w:jc w:val="center"/>
              <w:rPr>
                <w:bCs/>
                <w:kern w:val="0"/>
                <w:szCs w:val="21"/>
              </w:rPr>
            </w:pPr>
            <w:r>
              <w:rPr>
                <w:rFonts w:hint="eastAsia"/>
                <w:bCs/>
                <w:color w:val="000000"/>
                <w:kern w:val="0"/>
                <w:sz w:val="22"/>
                <w:szCs w:val="22"/>
              </w:rPr>
              <w:t>平均值</w:t>
            </w:r>
          </w:p>
        </w:tc>
        <w:tc>
          <w:tcPr>
            <w:tcW w:w="598" w:type="pct"/>
            <w:noWrap/>
            <w:vAlign w:val="bottom"/>
          </w:tcPr>
          <w:p w14:paraId="2905364E">
            <w:pPr>
              <w:widowControl/>
              <w:adjustRightInd w:val="0"/>
              <w:snapToGrid w:val="0"/>
              <w:spacing w:before="0" w:beforeLines="0" w:line="240" w:lineRule="auto"/>
              <w:jc w:val="center"/>
              <w:rPr>
                <w:bCs/>
                <w:kern w:val="0"/>
                <w:szCs w:val="21"/>
              </w:rPr>
            </w:pPr>
            <w:r>
              <w:rPr>
                <w:rFonts w:hint="eastAsia"/>
                <w:bCs/>
                <w:color w:val="000000"/>
                <w:kern w:val="0"/>
                <w:sz w:val="22"/>
                <w:szCs w:val="22"/>
              </w:rPr>
              <w:t>200</w:t>
            </w:r>
          </w:p>
        </w:tc>
        <w:tc>
          <w:tcPr>
            <w:tcW w:w="330" w:type="pct"/>
            <w:noWrap/>
          </w:tcPr>
          <w:p w14:paraId="48010BDA">
            <w:pPr>
              <w:widowControl/>
              <w:adjustRightInd w:val="0"/>
              <w:snapToGrid w:val="0"/>
              <w:spacing w:before="0" w:beforeLines="0" w:line="240" w:lineRule="auto"/>
              <w:jc w:val="center"/>
              <w:rPr>
                <w:bCs/>
                <w:kern w:val="0"/>
                <w:szCs w:val="21"/>
              </w:rPr>
            </w:pPr>
            <w:r>
              <w:rPr>
                <w:rFonts w:hint="eastAsia"/>
                <w:bCs/>
                <w:color w:val="000000"/>
                <w:kern w:val="0"/>
                <w:sz w:val="22"/>
                <w:szCs w:val="22"/>
              </w:rPr>
              <w:t>0.10</w:t>
            </w:r>
          </w:p>
        </w:tc>
        <w:tc>
          <w:tcPr>
            <w:tcW w:w="341" w:type="pct"/>
            <w:noWrap/>
            <w:vAlign w:val="center"/>
          </w:tcPr>
          <w:p w14:paraId="6B3088E7">
            <w:pPr>
              <w:widowControl/>
              <w:adjustRightInd w:val="0"/>
              <w:snapToGrid w:val="0"/>
              <w:spacing w:before="0" w:beforeLines="0" w:line="240" w:lineRule="auto"/>
              <w:jc w:val="center"/>
              <w:rPr>
                <w:bCs/>
                <w:kern w:val="0"/>
                <w:szCs w:val="21"/>
              </w:rPr>
            </w:pPr>
            <w:r>
              <w:rPr>
                <w:rFonts w:hint="eastAsia"/>
                <w:bCs/>
                <w:color w:val="000000"/>
                <w:kern w:val="0"/>
                <w:sz w:val="22"/>
                <w:szCs w:val="22"/>
              </w:rPr>
              <w:t>达标</w:t>
            </w:r>
          </w:p>
        </w:tc>
      </w:tr>
      <w:tr w14:paraId="1600070A">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14:paraId="7FFEBFE8">
            <w:pPr>
              <w:widowControl/>
              <w:adjustRightInd w:val="0"/>
              <w:snapToGrid w:val="0"/>
              <w:spacing w:before="0" w:beforeLines="0" w:line="240" w:lineRule="auto"/>
              <w:jc w:val="center"/>
              <w:rPr>
                <w:bCs/>
                <w:kern w:val="0"/>
                <w:szCs w:val="21"/>
              </w:rPr>
            </w:pPr>
            <w:r>
              <w:rPr>
                <w:rFonts w:hint="eastAsia"/>
                <w:bCs/>
                <w:kern w:val="0"/>
                <w:szCs w:val="21"/>
              </w:rPr>
              <w:t>10</w:t>
            </w:r>
          </w:p>
        </w:tc>
        <w:tc>
          <w:tcPr>
            <w:tcW w:w="664" w:type="pct"/>
            <w:vMerge w:val="restart"/>
            <w:noWrap/>
            <w:vAlign w:val="center"/>
          </w:tcPr>
          <w:p w14:paraId="6B1514D3">
            <w:pPr>
              <w:widowControl/>
              <w:adjustRightInd w:val="0"/>
              <w:snapToGrid w:val="0"/>
              <w:spacing w:before="0" w:beforeLines="0" w:line="240" w:lineRule="auto"/>
              <w:jc w:val="center"/>
              <w:rPr>
                <w:bCs/>
                <w:kern w:val="0"/>
                <w:szCs w:val="21"/>
              </w:rPr>
            </w:pPr>
            <w:r>
              <w:rPr>
                <w:rFonts w:hint="eastAsia"/>
                <w:bCs/>
                <w:kern w:val="0"/>
                <w:szCs w:val="21"/>
              </w:rPr>
              <w:t>胡家沟</w:t>
            </w:r>
          </w:p>
        </w:tc>
        <w:tc>
          <w:tcPr>
            <w:tcW w:w="638" w:type="pct"/>
            <w:vMerge w:val="restart"/>
            <w:noWrap/>
            <w:vAlign w:val="center"/>
          </w:tcPr>
          <w:p w14:paraId="22CCD213">
            <w:pPr>
              <w:widowControl/>
              <w:adjustRightInd w:val="0"/>
              <w:snapToGrid w:val="0"/>
              <w:spacing w:before="0" w:beforeLines="0" w:line="240" w:lineRule="auto"/>
              <w:jc w:val="center"/>
              <w:rPr>
                <w:bCs/>
                <w:kern w:val="0"/>
                <w:szCs w:val="21"/>
              </w:rPr>
            </w:pPr>
            <w:r>
              <w:rPr>
                <w:bCs/>
                <w:kern w:val="0"/>
                <w:szCs w:val="21"/>
              </w:rPr>
              <w:t>-232,-1675</w:t>
            </w:r>
          </w:p>
        </w:tc>
        <w:tc>
          <w:tcPr>
            <w:tcW w:w="434" w:type="pct"/>
            <w:vMerge w:val="restart"/>
            <w:noWrap/>
            <w:vAlign w:val="center"/>
          </w:tcPr>
          <w:p w14:paraId="26A3DA47">
            <w:pPr>
              <w:widowControl/>
              <w:adjustRightInd w:val="0"/>
              <w:snapToGrid w:val="0"/>
              <w:spacing w:before="0" w:beforeLines="0" w:line="240" w:lineRule="auto"/>
              <w:jc w:val="center"/>
              <w:rPr>
                <w:bCs/>
                <w:kern w:val="0"/>
                <w:szCs w:val="21"/>
              </w:rPr>
            </w:pPr>
            <w:r>
              <w:rPr>
                <w:bCs/>
                <w:kern w:val="0"/>
                <w:szCs w:val="21"/>
              </w:rPr>
              <w:t>293.25</w:t>
            </w:r>
          </w:p>
        </w:tc>
        <w:tc>
          <w:tcPr>
            <w:tcW w:w="341" w:type="pct"/>
            <w:noWrap/>
            <w:vAlign w:val="center"/>
          </w:tcPr>
          <w:p w14:paraId="76F9922F">
            <w:pPr>
              <w:widowControl/>
              <w:adjustRightInd w:val="0"/>
              <w:snapToGrid w:val="0"/>
              <w:spacing w:before="0" w:beforeLines="0" w:line="240" w:lineRule="auto"/>
              <w:jc w:val="center"/>
              <w:rPr>
                <w:bCs/>
                <w:kern w:val="0"/>
                <w:szCs w:val="21"/>
              </w:rPr>
            </w:pPr>
            <w:r>
              <w:rPr>
                <w:rFonts w:hint="eastAsia"/>
                <w:bCs/>
                <w:kern w:val="0"/>
                <w:szCs w:val="21"/>
              </w:rPr>
              <w:t>日平均</w:t>
            </w:r>
          </w:p>
        </w:tc>
        <w:tc>
          <w:tcPr>
            <w:tcW w:w="662" w:type="pct"/>
            <w:noWrap/>
          </w:tcPr>
          <w:p w14:paraId="5F69FE59">
            <w:pPr>
              <w:widowControl/>
              <w:adjustRightInd w:val="0"/>
              <w:snapToGrid w:val="0"/>
              <w:spacing w:before="0" w:beforeLines="0" w:line="240" w:lineRule="auto"/>
              <w:jc w:val="center"/>
              <w:rPr>
                <w:bCs/>
                <w:kern w:val="0"/>
                <w:szCs w:val="21"/>
              </w:rPr>
            </w:pPr>
            <w:r>
              <w:rPr>
                <w:rFonts w:hint="eastAsia"/>
                <w:bCs/>
                <w:color w:val="000000"/>
                <w:kern w:val="0"/>
                <w:sz w:val="22"/>
                <w:szCs w:val="22"/>
              </w:rPr>
              <w:t>9.9801</w:t>
            </w:r>
          </w:p>
        </w:tc>
        <w:tc>
          <w:tcPr>
            <w:tcW w:w="780" w:type="pct"/>
            <w:noWrap/>
          </w:tcPr>
          <w:p w14:paraId="004F7E1E">
            <w:pPr>
              <w:widowControl/>
              <w:adjustRightInd w:val="0"/>
              <w:snapToGrid w:val="0"/>
              <w:spacing w:before="0" w:beforeLines="0" w:line="240" w:lineRule="auto"/>
              <w:jc w:val="center"/>
              <w:rPr>
                <w:bCs/>
                <w:kern w:val="0"/>
                <w:szCs w:val="21"/>
              </w:rPr>
            </w:pPr>
            <w:r>
              <w:rPr>
                <w:rFonts w:hint="eastAsia"/>
                <w:bCs/>
                <w:color w:val="000000"/>
                <w:kern w:val="0"/>
                <w:sz w:val="22"/>
                <w:szCs w:val="22"/>
              </w:rPr>
              <w:t>251118</w:t>
            </w:r>
          </w:p>
        </w:tc>
        <w:tc>
          <w:tcPr>
            <w:tcW w:w="598" w:type="pct"/>
            <w:noWrap/>
            <w:vAlign w:val="bottom"/>
          </w:tcPr>
          <w:p w14:paraId="04A5F9F4">
            <w:pPr>
              <w:widowControl/>
              <w:adjustRightInd w:val="0"/>
              <w:snapToGrid w:val="0"/>
              <w:spacing w:before="0" w:beforeLines="0" w:line="240" w:lineRule="auto"/>
              <w:jc w:val="center"/>
              <w:rPr>
                <w:bCs/>
                <w:kern w:val="0"/>
                <w:szCs w:val="21"/>
              </w:rPr>
            </w:pPr>
            <w:r>
              <w:rPr>
                <w:rFonts w:hint="eastAsia"/>
                <w:bCs/>
                <w:color w:val="000000"/>
                <w:kern w:val="0"/>
                <w:sz w:val="22"/>
                <w:szCs w:val="22"/>
              </w:rPr>
              <w:t>300</w:t>
            </w:r>
          </w:p>
        </w:tc>
        <w:tc>
          <w:tcPr>
            <w:tcW w:w="330" w:type="pct"/>
            <w:noWrap/>
          </w:tcPr>
          <w:p w14:paraId="6E72A9D4">
            <w:pPr>
              <w:widowControl/>
              <w:adjustRightInd w:val="0"/>
              <w:snapToGrid w:val="0"/>
              <w:spacing w:before="0" w:beforeLines="0" w:line="240" w:lineRule="auto"/>
              <w:jc w:val="center"/>
              <w:rPr>
                <w:bCs/>
                <w:kern w:val="0"/>
                <w:szCs w:val="21"/>
              </w:rPr>
            </w:pPr>
            <w:r>
              <w:rPr>
                <w:rFonts w:hint="eastAsia"/>
                <w:bCs/>
                <w:color w:val="000000"/>
                <w:kern w:val="0"/>
                <w:sz w:val="22"/>
                <w:szCs w:val="22"/>
              </w:rPr>
              <w:t>3.33</w:t>
            </w:r>
          </w:p>
        </w:tc>
        <w:tc>
          <w:tcPr>
            <w:tcW w:w="341" w:type="pct"/>
            <w:noWrap/>
            <w:vAlign w:val="center"/>
          </w:tcPr>
          <w:p w14:paraId="3FEA2E53">
            <w:pPr>
              <w:widowControl/>
              <w:adjustRightInd w:val="0"/>
              <w:snapToGrid w:val="0"/>
              <w:spacing w:before="0" w:beforeLines="0" w:line="240" w:lineRule="auto"/>
              <w:jc w:val="center"/>
              <w:rPr>
                <w:bCs/>
                <w:kern w:val="0"/>
                <w:szCs w:val="21"/>
              </w:rPr>
            </w:pPr>
            <w:r>
              <w:rPr>
                <w:rFonts w:hint="eastAsia"/>
                <w:bCs/>
                <w:color w:val="000000"/>
                <w:kern w:val="0"/>
                <w:sz w:val="22"/>
                <w:szCs w:val="22"/>
              </w:rPr>
              <w:t>达标</w:t>
            </w:r>
          </w:p>
        </w:tc>
      </w:tr>
      <w:tr w14:paraId="797228E2">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14:paraId="1A1AB8CB">
            <w:pPr>
              <w:widowControl/>
              <w:adjustRightInd w:val="0"/>
              <w:snapToGrid w:val="0"/>
              <w:spacing w:before="0" w:beforeLines="0" w:line="240" w:lineRule="auto"/>
              <w:jc w:val="center"/>
              <w:rPr>
                <w:bCs/>
                <w:kern w:val="0"/>
                <w:szCs w:val="21"/>
              </w:rPr>
            </w:pPr>
          </w:p>
        </w:tc>
        <w:tc>
          <w:tcPr>
            <w:tcW w:w="664" w:type="pct"/>
            <w:vMerge w:val="continue"/>
            <w:vAlign w:val="center"/>
          </w:tcPr>
          <w:p w14:paraId="0E2FF307">
            <w:pPr>
              <w:widowControl/>
              <w:adjustRightInd w:val="0"/>
              <w:snapToGrid w:val="0"/>
              <w:spacing w:before="0" w:beforeLines="0" w:line="240" w:lineRule="auto"/>
              <w:jc w:val="center"/>
              <w:rPr>
                <w:bCs/>
                <w:kern w:val="0"/>
                <w:szCs w:val="21"/>
              </w:rPr>
            </w:pPr>
          </w:p>
        </w:tc>
        <w:tc>
          <w:tcPr>
            <w:tcW w:w="638" w:type="pct"/>
            <w:vMerge w:val="continue"/>
            <w:vAlign w:val="center"/>
          </w:tcPr>
          <w:p w14:paraId="608B1E9F">
            <w:pPr>
              <w:widowControl/>
              <w:adjustRightInd w:val="0"/>
              <w:snapToGrid w:val="0"/>
              <w:spacing w:before="0" w:beforeLines="0" w:line="240" w:lineRule="auto"/>
              <w:jc w:val="center"/>
              <w:rPr>
                <w:bCs/>
                <w:kern w:val="0"/>
                <w:szCs w:val="21"/>
              </w:rPr>
            </w:pPr>
          </w:p>
        </w:tc>
        <w:tc>
          <w:tcPr>
            <w:tcW w:w="434" w:type="pct"/>
            <w:vMerge w:val="continue"/>
            <w:vAlign w:val="center"/>
          </w:tcPr>
          <w:p w14:paraId="542293C0">
            <w:pPr>
              <w:widowControl/>
              <w:adjustRightInd w:val="0"/>
              <w:snapToGrid w:val="0"/>
              <w:spacing w:before="0" w:beforeLines="0" w:line="240" w:lineRule="auto"/>
              <w:jc w:val="center"/>
              <w:rPr>
                <w:bCs/>
                <w:kern w:val="0"/>
                <w:szCs w:val="21"/>
              </w:rPr>
            </w:pPr>
          </w:p>
        </w:tc>
        <w:tc>
          <w:tcPr>
            <w:tcW w:w="341" w:type="pct"/>
            <w:noWrap/>
            <w:vAlign w:val="center"/>
          </w:tcPr>
          <w:p w14:paraId="4D8B0C5C">
            <w:pPr>
              <w:widowControl/>
              <w:adjustRightInd w:val="0"/>
              <w:snapToGrid w:val="0"/>
              <w:spacing w:before="0" w:beforeLines="0" w:line="240" w:lineRule="auto"/>
              <w:jc w:val="center"/>
              <w:rPr>
                <w:bCs/>
                <w:kern w:val="0"/>
                <w:szCs w:val="21"/>
              </w:rPr>
            </w:pPr>
            <w:r>
              <w:rPr>
                <w:rFonts w:hint="eastAsia"/>
                <w:bCs/>
                <w:kern w:val="0"/>
                <w:szCs w:val="21"/>
              </w:rPr>
              <w:t>全时段</w:t>
            </w:r>
          </w:p>
        </w:tc>
        <w:tc>
          <w:tcPr>
            <w:tcW w:w="662" w:type="pct"/>
            <w:noWrap/>
          </w:tcPr>
          <w:p w14:paraId="6A65F691">
            <w:pPr>
              <w:widowControl/>
              <w:adjustRightInd w:val="0"/>
              <w:snapToGrid w:val="0"/>
              <w:spacing w:before="0" w:beforeLines="0" w:line="240" w:lineRule="auto"/>
              <w:jc w:val="center"/>
              <w:rPr>
                <w:bCs/>
                <w:kern w:val="0"/>
                <w:szCs w:val="21"/>
              </w:rPr>
            </w:pPr>
            <w:r>
              <w:rPr>
                <w:rFonts w:hint="eastAsia"/>
                <w:bCs/>
                <w:color w:val="000000"/>
                <w:kern w:val="0"/>
                <w:sz w:val="22"/>
                <w:szCs w:val="22"/>
              </w:rPr>
              <w:t>0.6609</w:t>
            </w:r>
          </w:p>
        </w:tc>
        <w:tc>
          <w:tcPr>
            <w:tcW w:w="780" w:type="pct"/>
            <w:noWrap/>
          </w:tcPr>
          <w:p w14:paraId="64B10E03">
            <w:pPr>
              <w:widowControl/>
              <w:adjustRightInd w:val="0"/>
              <w:snapToGrid w:val="0"/>
              <w:spacing w:before="0" w:beforeLines="0" w:line="240" w:lineRule="auto"/>
              <w:jc w:val="center"/>
              <w:rPr>
                <w:bCs/>
                <w:kern w:val="0"/>
                <w:szCs w:val="21"/>
              </w:rPr>
            </w:pPr>
            <w:r>
              <w:rPr>
                <w:rFonts w:hint="eastAsia"/>
                <w:bCs/>
                <w:color w:val="000000"/>
                <w:kern w:val="0"/>
                <w:sz w:val="22"/>
                <w:szCs w:val="22"/>
              </w:rPr>
              <w:t>平均值</w:t>
            </w:r>
          </w:p>
        </w:tc>
        <w:tc>
          <w:tcPr>
            <w:tcW w:w="598" w:type="pct"/>
            <w:noWrap/>
            <w:vAlign w:val="bottom"/>
          </w:tcPr>
          <w:p w14:paraId="77737429">
            <w:pPr>
              <w:widowControl/>
              <w:adjustRightInd w:val="0"/>
              <w:snapToGrid w:val="0"/>
              <w:spacing w:before="0" w:beforeLines="0" w:line="240" w:lineRule="auto"/>
              <w:jc w:val="center"/>
              <w:rPr>
                <w:bCs/>
                <w:kern w:val="0"/>
                <w:szCs w:val="21"/>
              </w:rPr>
            </w:pPr>
            <w:r>
              <w:rPr>
                <w:rFonts w:hint="eastAsia"/>
                <w:bCs/>
                <w:color w:val="000000"/>
                <w:kern w:val="0"/>
                <w:sz w:val="22"/>
                <w:szCs w:val="22"/>
              </w:rPr>
              <w:t>200</w:t>
            </w:r>
          </w:p>
        </w:tc>
        <w:tc>
          <w:tcPr>
            <w:tcW w:w="330" w:type="pct"/>
            <w:noWrap/>
          </w:tcPr>
          <w:p w14:paraId="233C3864">
            <w:pPr>
              <w:widowControl/>
              <w:adjustRightInd w:val="0"/>
              <w:snapToGrid w:val="0"/>
              <w:spacing w:before="0" w:beforeLines="0" w:line="240" w:lineRule="auto"/>
              <w:jc w:val="center"/>
              <w:rPr>
                <w:bCs/>
                <w:kern w:val="0"/>
                <w:szCs w:val="21"/>
              </w:rPr>
            </w:pPr>
            <w:r>
              <w:rPr>
                <w:rFonts w:hint="eastAsia"/>
                <w:bCs/>
                <w:color w:val="000000"/>
                <w:kern w:val="0"/>
                <w:sz w:val="22"/>
                <w:szCs w:val="22"/>
              </w:rPr>
              <w:t>0.33</w:t>
            </w:r>
          </w:p>
        </w:tc>
        <w:tc>
          <w:tcPr>
            <w:tcW w:w="341" w:type="pct"/>
            <w:noWrap/>
            <w:vAlign w:val="center"/>
          </w:tcPr>
          <w:p w14:paraId="584C1298">
            <w:pPr>
              <w:widowControl/>
              <w:adjustRightInd w:val="0"/>
              <w:snapToGrid w:val="0"/>
              <w:spacing w:before="0" w:beforeLines="0" w:line="240" w:lineRule="auto"/>
              <w:jc w:val="center"/>
              <w:rPr>
                <w:bCs/>
                <w:kern w:val="0"/>
                <w:szCs w:val="21"/>
              </w:rPr>
            </w:pPr>
            <w:r>
              <w:rPr>
                <w:rFonts w:hint="eastAsia"/>
                <w:bCs/>
                <w:color w:val="000000"/>
                <w:kern w:val="0"/>
                <w:sz w:val="22"/>
                <w:szCs w:val="22"/>
              </w:rPr>
              <w:t>达标</w:t>
            </w:r>
          </w:p>
        </w:tc>
      </w:tr>
      <w:tr w14:paraId="6CAC8FD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14:paraId="2B9753E0">
            <w:pPr>
              <w:widowControl/>
              <w:adjustRightInd w:val="0"/>
              <w:snapToGrid w:val="0"/>
              <w:spacing w:before="0" w:beforeLines="0" w:line="240" w:lineRule="auto"/>
              <w:jc w:val="center"/>
              <w:rPr>
                <w:kern w:val="0"/>
                <w:szCs w:val="21"/>
              </w:rPr>
            </w:pPr>
            <w:r>
              <w:rPr>
                <w:rFonts w:hint="eastAsia"/>
                <w:kern w:val="0"/>
                <w:szCs w:val="21"/>
              </w:rPr>
              <w:t>11</w:t>
            </w:r>
          </w:p>
        </w:tc>
        <w:tc>
          <w:tcPr>
            <w:tcW w:w="664" w:type="pct"/>
            <w:vMerge w:val="restart"/>
            <w:noWrap/>
            <w:vAlign w:val="center"/>
          </w:tcPr>
          <w:p w14:paraId="67796FE5">
            <w:pPr>
              <w:widowControl/>
              <w:adjustRightInd w:val="0"/>
              <w:snapToGrid w:val="0"/>
              <w:spacing w:before="0" w:beforeLines="0" w:line="240" w:lineRule="auto"/>
              <w:jc w:val="center"/>
              <w:rPr>
                <w:kern w:val="0"/>
                <w:szCs w:val="21"/>
              </w:rPr>
            </w:pPr>
            <w:r>
              <w:rPr>
                <w:rFonts w:hint="eastAsia"/>
                <w:kern w:val="0"/>
                <w:szCs w:val="21"/>
              </w:rPr>
              <w:t xml:space="preserve">区域最大落地浓度点 </w:t>
            </w:r>
          </w:p>
        </w:tc>
        <w:tc>
          <w:tcPr>
            <w:tcW w:w="638" w:type="pct"/>
            <w:noWrap/>
            <w:vAlign w:val="bottom"/>
          </w:tcPr>
          <w:p w14:paraId="38C694E2">
            <w:pPr>
              <w:widowControl/>
              <w:adjustRightInd w:val="0"/>
              <w:snapToGrid w:val="0"/>
              <w:spacing w:before="0" w:beforeLines="0" w:line="240" w:lineRule="auto"/>
              <w:jc w:val="center"/>
              <w:rPr>
                <w:kern w:val="0"/>
                <w:szCs w:val="21"/>
              </w:rPr>
            </w:pPr>
            <w:r>
              <w:rPr>
                <w:rFonts w:hint="eastAsia"/>
                <w:kern w:val="0"/>
                <w:szCs w:val="21"/>
              </w:rPr>
              <w:t>100,100</w:t>
            </w:r>
          </w:p>
        </w:tc>
        <w:tc>
          <w:tcPr>
            <w:tcW w:w="434" w:type="pct"/>
            <w:noWrap/>
            <w:vAlign w:val="bottom"/>
          </w:tcPr>
          <w:p w14:paraId="354A8322">
            <w:pPr>
              <w:widowControl/>
              <w:adjustRightInd w:val="0"/>
              <w:snapToGrid w:val="0"/>
              <w:spacing w:before="0" w:beforeLines="0" w:line="240" w:lineRule="auto"/>
              <w:jc w:val="center"/>
              <w:rPr>
                <w:kern w:val="0"/>
                <w:szCs w:val="21"/>
              </w:rPr>
            </w:pPr>
            <w:r>
              <w:rPr>
                <w:rFonts w:hint="eastAsia"/>
                <w:kern w:val="0"/>
                <w:szCs w:val="21"/>
              </w:rPr>
              <w:t>297.40</w:t>
            </w:r>
          </w:p>
        </w:tc>
        <w:tc>
          <w:tcPr>
            <w:tcW w:w="341" w:type="pct"/>
            <w:noWrap/>
            <w:vAlign w:val="center"/>
          </w:tcPr>
          <w:p w14:paraId="069591D0">
            <w:pPr>
              <w:widowControl/>
              <w:adjustRightInd w:val="0"/>
              <w:snapToGrid w:val="0"/>
              <w:spacing w:before="0" w:beforeLines="0" w:line="240" w:lineRule="auto"/>
              <w:jc w:val="center"/>
              <w:rPr>
                <w:kern w:val="0"/>
                <w:szCs w:val="21"/>
              </w:rPr>
            </w:pPr>
            <w:r>
              <w:rPr>
                <w:rFonts w:hint="eastAsia"/>
                <w:kern w:val="0"/>
                <w:szCs w:val="21"/>
              </w:rPr>
              <w:t>日平均</w:t>
            </w:r>
          </w:p>
        </w:tc>
        <w:tc>
          <w:tcPr>
            <w:tcW w:w="662" w:type="pct"/>
            <w:noWrap/>
          </w:tcPr>
          <w:p w14:paraId="33077F9A">
            <w:pPr>
              <w:widowControl/>
              <w:adjustRightInd w:val="0"/>
              <w:snapToGrid w:val="0"/>
              <w:spacing w:before="0" w:beforeLines="0" w:line="240" w:lineRule="auto"/>
              <w:jc w:val="center"/>
              <w:rPr>
                <w:kern w:val="0"/>
                <w:szCs w:val="21"/>
              </w:rPr>
            </w:pPr>
            <w:r>
              <w:rPr>
                <w:rFonts w:hint="eastAsia"/>
                <w:bCs/>
                <w:color w:val="000000"/>
                <w:kern w:val="0"/>
                <w:sz w:val="22"/>
                <w:szCs w:val="22"/>
              </w:rPr>
              <w:t>130.9183</w:t>
            </w:r>
          </w:p>
        </w:tc>
        <w:tc>
          <w:tcPr>
            <w:tcW w:w="780" w:type="pct"/>
            <w:noWrap/>
          </w:tcPr>
          <w:p w14:paraId="41B702C6">
            <w:pPr>
              <w:widowControl/>
              <w:adjustRightInd w:val="0"/>
              <w:snapToGrid w:val="0"/>
              <w:spacing w:before="0" w:beforeLines="0" w:line="240" w:lineRule="auto"/>
              <w:jc w:val="center"/>
              <w:rPr>
                <w:kern w:val="0"/>
                <w:szCs w:val="21"/>
              </w:rPr>
            </w:pPr>
            <w:r>
              <w:rPr>
                <w:rFonts w:hint="eastAsia"/>
                <w:bCs/>
                <w:color w:val="000000"/>
                <w:kern w:val="0"/>
                <w:sz w:val="22"/>
                <w:szCs w:val="22"/>
              </w:rPr>
              <w:t>250101</w:t>
            </w:r>
          </w:p>
        </w:tc>
        <w:tc>
          <w:tcPr>
            <w:tcW w:w="598" w:type="pct"/>
            <w:noWrap/>
            <w:vAlign w:val="bottom"/>
          </w:tcPr>
          <w:p w14:paraId="24F238E1">
            <w:pPr>
              <w:widowControl/>
              <w:adjustRightInd w:val="0"/>
              <w:snapToGrid w:val="0"/>
              <w:spacing w:before="0" w:beforeLines="0" w:line="240" w:lineRule="auto"/>
              <w:jc w:val="center"/>
              <w:rPr>
                <w:kern w:val="0"/>
                <w:szCs w:val="21"/>
              </w:rPr>
            </w:pPr>
            <w:r>
              <w:rPr>
                <w:rFonts w:hint="eastAsia"/>
                <w:bCs/>
                <w:color w:val="000000"/>
                <w:kern w:val="0"/>
                <w:sz w:val="22"/>
                <w:szCs w:val="22"/>
              </w:rPr>
              <w:t>300</w:t>
            </w:r>
          </w:p>
        </w:tc>
        <w:tc>
          <w:tcPr>
            <w:tcW w:w="330" w:type="pct"/>
            <w:noWrap/>
          </w:tcPr>
          <w:p w14:paraId="7B7CC622">
            <w:pPr>
              <w:widowControl/>
              <w:adjustRightInd w:val="0"/>
              <w:snapToGrid w:val="0"/>
              <w:spacing w:before="0" w:beforeLines="0" w:line="240" w:lineRule="auto"/>
              <w:jc w:val="center"/>
              <w:rPr>
                <w:kern w:val="0"/>
                <w:szCs w:val="21"/>
              </w:rPr>
            </w:pPr>
            <w:r>
              <w:rPr>
                <w:rFonts w:hint="eastAsia"/>
                <w:bCs/>
                <w:color w:val="000000"/>
                <w:kern w:val="0"/>
                <w:sz w:val="22"/>
                <w:szCs w:val="22"/>
              </w:rPr>
              <w:t>43.64</w:t>
            </w:r>
          </w:p>
        </w:tc>
        <w:tc>
          <w:tcPr>
            <w:tcW w:w="341" w:type="pct"/>
            <w:noWrap/>
            <w:vAlign w:val="center"/>
          </w:tcPr>
          <w:p w14:paraId="7CCA019B">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tr w14:paraId="0B254190">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14:paraId="33181B87">
            <w:pPr>
              <w:widowControl/>
              <w:adjustRightInd w:val="0"/>
              <w:snapToGrid w:val="0"/>
              <w:spacing w:before="0" w:beforeLines="0" w:line="240" w:lineRule="auto"/>
              <w:jc w:val="center"/>
              <w:rPr>
                <w:kern w:val="0"/>
                <w:szCs w:val="21"/>
              </w:rPr>
            </w:pPr>
            <w:bookmarkStart w:id="228" w:name="_Hlk194223722"/>
          </w:p>
        </w:tc>
        <w:tc>
          <w:tcPr>
            <w:tcW w:w="664" w:type="pct"/>
            <w:vMerge w:val="continue"/>
            <w:vAlign w:val="center"/>
          </w:tcPr>
          <w:p w14:paraId="3EE4E8D4">
            <w:pPr>
              <w:widowControl/>
              <w:adjustRightInd w:val="0"/>
              <w:snapToGrid w:val="0"/>
              <w:spacing w:before="0" w:beforeLines="0" w:line="240" w:lineRule="auto"/>
              <w:jc w:val="center"/>
              <w:rPr>
                <w:kern w:val="0"/>
                <w:szCs w:val="21"/>
              </w:rPr>
            </w:pPr>
          </w:p>
        </w:tc>
        <w:tc>
          <w:tcPr>
            <w:tcW w:w="638" w:type="pct"/>
            <w:noWrap/>
            <w:vAlign w:val="bottom"/>
          </w:tcPr>
          <w:p w14:paraId="6EC4DE3C">
            <w:pPr>
              <w:widowControl/>
              <w:adjustRightInd w:val="0"/>
              <w:snapToGrid w:val="0"/>
              <w:spacing w:before="0" w:beforeLines="0" w:line="240" w:lineRule="auto"/>
              <w:jc w:val="center"/>
              <w:rPr>
                <w:kern w:val="0"/>
                <w:szCs w:val="21"/>
              </w:rPr>
            </w:pPr>
            <w:r>
              <w:rPr>
                <w:rFonts w:hint="eastAsia"/>
                <w:kern w:val="0"/>
                <w:szCs w:val="21"/>
              </w:rPr>
              <w:t>100,100</w:t>
            </w:r>
          </w:p>
        </w:tc>
        <w:tc>
          <w:tcPr>
            <w:tcW w:w="434" w:type="pct"/>
            <w:noWrap/>
            <w:vAlign w:val="bottom"/>
          </w:tcPr>
          <w:p w14:paraId="118EA01B">
            <w:pPr>
              <w:widowControl/>
              <w:adjustRightInd w:val="0"/>
              <w:snapToGrid w:val="0"/>
              <w:spacing w:before="0" w:beforeLines="0" w:line="240" w:lineRule="auto"/>
              <w:jc w:val="center"/>
              <w:rPr>
                <w:kern w:val="0"/>
                <w:szCs w:val="21"/>
              </w:rPr>
            </w:pPr>
            <w:r>
              <w:rPr>
                <w:rFonts w:hint="eastAsia"/>
                <w:kern w:val="0"/>
                <w:szCs w:val="21"/>
              </w:rPr>
              <w:t>297.40</w:t>
            </w:r>
          </w:p>
        </w:tc>
        <w:tc>
          <w:tcPr>
            <w:tcW w:w="341" w:type="pct"/>
            <w:noWrap/>
            <w:vAlign w:val="center"/>
          </w:tcPr>
          <w:p w14:paraId="27A0EC79">
            <w:pPr>
              <w:widowControl/>
              <w:adjustRightInd w:val="0"/>
              <w:snapToGrid w:val="0"/>
              <w:spacing w:before="0" w:beforeLines="0" w:line="240" w:lineRule="auto"/>
              <w:jc w:val="center"/>
              <w:rPr>
                <w:kern w:val="0"/>
                <w:szCs w:val="21"/>
              </w:rPr>
            </w:pPr>
            <w:r>
              <w:rPr>
                <w:rFonts w:hint="eastAsia"/>
                <w:kern w:val="0"/>
                <w:szCs w:val="21"/>
              </w:rPr>
              <w:t>全时段</w:t>
            </w:r>
          </w:p>
        </w:tc>
        <w:tc>
          <w:tcPr>
            <w:tcW w:w="662" w:type="pct"/>
            <w:noWrap/>
          </w:tcPr>
          <w:p w14:paraId="639CAE6E">
            <w:pPr>
              <w:widowControl/>
              <w:adjustRightInd w:val="0"/>
              <w:snapToGrid w:val="0"/>
              <w:spacing w:before="0" w:beforeLines="0" w:line="240" w:lineRule="auto"/>
              <w:jc w:val="center"/>
              <w:rPr>
                <w:kern w:val="0"/>
                <w:szCs w:val="21"/>
              </w:rPr>
            </w:pPr>
            <w:r>
              <w:rPr>
                <w:rFonts w:hint="eastAsia"/>
                <w:bCs/>
                <w:color w:val="000000"/>
                <w:kern w:val="0"/>
                <w:sz w:val="22"/>
                <w:szCs w:val="22"/>
              </w:rPr>
              <w:t>35.8941</w:t>
            </w:r>
          </w:p>
        </w:tc>
        <w:tc>
          <w:tcPr>
            <w:tcW w:w="780" w:type="pct"/>
            <w:noWrap/>
          </w:tcPr>
          <w:p w14:paraId="0CDC8EF3">
            <w:pPr>
              <w:widowControl/>
              <w:adjustRightInd w:val="0"/>
              <w:snapToGrid w:val="0"/>
              <w:spacing w:before="0" w:beforeLines="0" w:line="240" w:lineRule="auto"/>
              <w:jc w:val="center"/>
              <w:rPr>
                <w:kern w:val="0"/>
                <w:szCs w:val="21"/>
              </w:rPr>
            </w:pPr>
            <w:r>
              <w:rPr>
                <w:rFonts w:hint="eastAsia"/>
                <w:bCs/>
                <w:color w:val="000000"/>
                <w:kern w:val="0"/>
                <w:sz w:val="22"/>
                <w:szCs w:val="22"/>
              </w:rPr>
              <w:t>平均值</w:t>
            </w:r>
          </w:p>
        </w:tc>
        <w:tc>
          <w:tcPr>
            <w:tcW w:w="598" w:type="pct"/>
            <w:noWrap/>
            <w:vAlign w:val="bottom"/>
          </w:tcPr>
          <w:p w14:paraId="0464C3B7">
            <w:pPr>
              <w:widowControl/>
              <w:adjustRightInd w:val="0"/>
              <w:snapToGrid w:val="0"/>
              <w:spacing w:before="0" w:beforeLines="0" w:line="240" w:lineRule="auto"/>
              <w:jc w:val="center"/>
              <w:rPr>
                <w:kern w:val="0"/>
                <w:szCs w:val="21"/>
              </w:rPr>
            </w:pPr>
            <w:r>
              <w:rPr>
                <w:rFonts w:hint="eastAsia"/>
                <w:bCs/>
                <w:color w:val="000000"/>
                <w:kern w:val="0"/>
                <w:sz w:val="22"/>
                <w:szCs w:val="22"/>
              </w:rPr>
              <w:t>200</w:t>
            </w:r>
          </w:p>
        </w:tc>
        <w:tc>
          <w:tcPr>
            <w:tcW w:w="330" w:type="pct"/>
            <w:noWrap/>
          </w:tcPr>
          <w:p w14:paraId="28B5093E">
            <w:pPr>
              <w:widowControl/>
              <w:adjustRightInd w:val="0"/>
              <w:snapToGrid w:val="0"/>
              <w:spacing w:before="0" w:beforeLines="0" w:line="240" w:lineRule="auto"/>
              <w:jc w:val="center"/>
              <w:rPr>
                <w:kern w:val="0"/>
                <w:szCs w:val="21"/>
              </w:rPr>
            </w:pPr>
            <w:r>
              <w:rPr>
                <w:rFonts w:hint="eastAsia"/>
                <w:bCs/>
                <w:color w:val="000000"/>
                <w:kern w:val="0"/>
                <w:sz w:val="22"/>
                <w:szCs w:val="22"/>
              </w:rPr>
              <w:t>17.95</w:t>
            </w:r>
          </w:p>
        </w:tc>
        <w:tc>
          <w:tcPr>
            <w:tcW w:w="341" w:type="pct"/>
            <w:noWrap/>
            <w:vAlign w:val="center"/>
          </w:tcPr>
          <w:p w14:paraId="4430471F">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bookmarkEnd w:id="228"/>
    </w:tbl>
    <w:p w14:paraId="2F50E7DD">
      <w:pPr>
        <w:spacing w:before="0" w:beforeLines="0" w:after="120" w:line="360" w:lineRule="auto"/>
        <w:ind w:left="420" w:leftChars="200" w:firstLine="420" w:firstLineChars="200"/>
        <w:rPr>
          <w:kern w:val="0"/>
          <w:szCs w:val="21"/>
        </w:rPr>
        <w:sectPr>
          <w:pgSz w:w="16838" w:h="11906" w:orient="landscape"/>
          <w:pgMar w:top="1440" w:right="1800" w:bottom="1440" w:left="1800" w:header="851" w:footer="992" w:gutter="0"/>
          <w:cols w:space="425" w:num="1"/>
          <w:docGrid w:type="lines" w:linePitch="326" w:charSpace="0"/>
        </w:sectPr>
      </w:pPr>
    </w:p>
    <w:p w14:paraId="4DDBC5C0">
      <w:pPr>
        <w:adjustRightInd w:val="0"/>
        <w:snapToGrid w:val="0"/>
        <w:spacing w:before="0" w:beforeLines="0" w:line="360" w:lineRule="auto"/>
        <w:ind w:left="480" w:hanging="480" w:hangingChars="200"/>
        <w:jc w:val="center"/>
        <w:rPr>
          <w:sz w:val="24"/>
          <w:szCs w:val="20"/>
        </w:rPr>
      </w:pPr>
      <w:r>
        <w:rPr>
          <w:sz w:val="24"/>
          <w:szCs w:val="20"/>
        </w:rPr>
        <w:drawing>
          <wp:inline distT="0" distB="0" distL="114300" distR="114300">
            <wp:extent cx="5269230" cy="3084830"/>
            <wp:effectExtent l="0" t="0" r="7620" b="1270"/>
            <wp:docPr id="1" name="图片 1" descr="20e0dada-cca8-45bd-8af8-0814bdaf0c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0e0dada-cca8-45bd-8af8-0814bdaf0c25"/>
                    <pic:cNvPicPr>
                      <a:picLocks noChangeAspect="1"/>
                    </pic:cNvPicPr>
                  </pic:nvPicPr>
                  <pic:blipFill>
                    <a:blip r:embed="rId63"/>
                    <a:stretch>
                      <a:fillRect/>
                    </a:stretch>
                  </pic:blipFill>
                  <pic:spPr>
                    <a:xfrm>
                      <a:off x="0" y="0"/>
                      <a:ext cx="5269230" cy="3084830"/>
                    </a:xfrm>
                    <a:prstGeom prst="rect">
                      <a:avLst/>
                    </a:prstGeom>
                  </pic:spPr>
                </pic:pic>
              </a:graphicData>
            </a:graphic>
          </wp:inline>
        </w:drawing>
      </w:r>
      <w:r>
        <w:rPr>
          <w:b/>
          <w:bCs/>
          <w:sz w:val="24"/>
          <w:szCs w:val="20"/>
        </w:rPr>
        <w:t>图</w:t>
      </w:r>
      <w:r>
        <w:rPr>
          <w:rFonts w:hint="eastAsia"/>
          <w:b/>
          <w:bCs/>
          <w:sz w:val="24"/>
          <w:szCs w:val="20"/>
        </w:rPr>
        <w:t>5.2-</w:t>
      </w:r>
      <w:r>
        <w:rPr>
          <w:b/>
          <w:bCs/>
          <w:sz w:val="24"/>
          <w:szCs w:val="20"/>
        </w:rPr>
        <w:fldChar w:fldCharType="begin"/>
      </w:r>
      <w:r>
        <w:rPr>
          <w:b/>
          <w:bCs/>
          <w:sz w:val="24"/>
          <w:szCs w:val="20"/>
        </w:rPr>
        <w:instrText xml:space="preserve"> SEQ 图 \* ARABIC \s 1 </w:instrText>
      </w:r>
      <w:r>
        <w:rPr>
          <w:b/>
          <w:bCs/>
          <w:sz w:val="24"/>
          <w:szCs w:val="20"/>
        </w:rPr>
        <w:fldChar w:fldCharType="separate"/>
      </w:r>
      <w:r>
        <w:rPr>
          <w:b/>
          <w:bCs/>
          <w:sz w:val="24"/>
          <w:szCs w:val="20"/>
        </w:rPr>
        <w:t>3</w:t>
      </w:r>
      <w:r>
        <w:rPr>
          <w:b/>
          <w:bCs/>
          <w:sz w:val="24"/>
          <w:szCs w:val="20"/>
        </w:rPr>
        <w:fldChar w:fldCharType="end"/>
      </w:r>
      <w:r>
        <w:rPr>
          <w:b/>
          <w:bCs/>
          <w:sz w:val="24"/>
          <w:szCs w:val="20"/>
        </w:rPr>
        <w:t xml:space="preserve"> </w:t>
      </w:r>
      <w:r>
        <w:rPr>
          <w:rFonts w:hint="eastAsia"/>
          <w:b/>
          <w:bCs/>
          <w:sz w:val="24"/>
          <w:szCs w:val="20"/>
        </w:rPr>
        <w:t xml:space="preserve">    </w:t>
      </w:r>
      <w:r>
        <w:rPr>
          <w:b/>
          <w:bCs/>
          <w:sz w:val="24"/>
          <w:szCs w:val="20"/>
        </w:rPr>
        <w:t>PM</w:t>
      </w:r>
      <w:r>
        <w:rPr>
          <w:b/>
          <w:bCs/>
          <w:sz w:val="24"/>
          <w:szCs w:val="20"/>
          <w:vertAlign w:val="subscript"/>
        </w:rPr>
        <w:t>10</w:t>
      </w:r>
      <w:r>
        <w:rPr>
          <w:rFonts w:hint="eastAsia"/>
          <w:b/>
          <w:bCs/>
          <w:sz w:val="24"/>
          <w:szCs w:val="20"/>
        </w:rPr>
        <w:t>日平均最大贡献浓度分布图（单位：</w:t>
      </w:r>
      <w:r>
        <w:rPr>
          <w:b/>
          <w:bCs/>
          <w:kern w:val="0"/>
          <w:szCs w:val="21"/>
        </w:rPr>
        <w:t>µg/m</w:t>
      </w:r>
      <w:r>
        <w:rPr>
          <w:b/>
          <w:bCs/>
          <w:kern w:val="0"/>
          <w:szCs w:val="21"/>
          <w:vertAlign w:val="superscript"/>
        </w:rPr>
        <w:t>3</w:t>
      </w:r>
      <w:r>
        <w:rPr>
          <w:rFonts w:hint="eastAsia"/>
          <w:b/>
          <w:bCs/>
          <w:sz w:val="24"/>
          <w:szCs w:val="20"/>
        </w:rPr>
        <w:t>）</w:t>
      </w:r>
    </w:p>
    <w:p w14:paraId="6FB5B82E">
      <w:pPr>
        <w:adjustRightInd w:val="0"/>
        <w:snapToGrid w:val="0"/>
        <w:spacing w:before="0" w:beforeLines="0" w:line="360" w:lineRule="auto"/>
        <w:ind w:left="480" w:hanging="480" w:hangingChars="200"/>
        <w:jc w:val="center"/>
        <w:rPr>
          <w:b/>
          <w:bCs/>
          <w:sz w:val="24"/>
          <w:szCs w:val="20"/>
        </w:rPr>
      </w:pPr>
      <w:r>
        <w:rPr>
          <w:sz w:val="24"/>
          <w:szCs w:val="20"/>
        </w:rPr>
        <w:drawing>
          <wp:inline distT="0" distB="0" distL="114300" distR="114300">
            <wp:extent cx="5273675" cy="3091180"/>
            <wp:effectExtent l="0" t="0" r="3175" b="13970"/>
            <wp:docPr id="1282977909" name="图片 1282977909" descr="da32c193-08f5-413e-8898-900fb005ea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977909" name="图片 1282977909" descr="da32c193-08f5-413e-8898-900fb005ea89"/>
                    <pic:cNvPicPr>
                      <a:picLocks noChangeAspect="1"/>
                    </pic:cNvPicPr>
                  </pic:nvPicPr>
                  <pic:blipFill>
                    <a:blip r:embed="rId64"/>
                    <a:stretch>
                      <a:fillRect/>
                    </a:stretch>
                  </pic:blipFill>
                  <pic:spPr>
                    <a:xfrm>
                      <a:off x="0" y="0"/>
                      <a:ext cx="5273675" cy="3091180"/>
                    </a:xfrm>
                    <a:prstGeom prst="rect">
                      <a:avLst/>
                    </a:prstGeom>
                  </pic:spPr>
                </pic:pic>
              </a:graphicData>
            </a:graphic>
          </wp:inline>
        </w:drawing>
      </w:r>
    </w:p>
    <w:p w14:paraId="033E46FF">
      <w:pPr>
        <w:adjustRightInd w:val="0"/>
        <w:snapToGrid w:val="0"/>
        <w:spacing w:before="0" w:beforeLines="0" w:line="360" w:lineRule="auto"/>
        <w:ind w:left="482" w:hanging="482" w:hangingChars="200"/>
        <w:jc w:val="center"/>
        <w:rPr>
          <w:sz w:val="24"/>
          <w:szCs w:val="20"/>
        </w:rPr>
      </w:pPr>
      <w:r>
        <w:rPr>
          <w:b/>
          <w:bCs/>
          <w:sz w:val="24"/>
          <w:szCs w:val="20"/>
        </w:rPr>
        <w:t xml:space="preserve">图 </w:t>
      </w:r>
      <w:r>
        <w:rPr>
          <w:rFonts w:hint="eastAsia"/>
          <w:b/>
          <w:bCs/>
          <w:sz w:val="24"/>
          <w:szCs w:val="20"/>
        </w:rPr>
        <w:t xml:space="preserve">5.2-4  </w:t>
      </w:r>
      <w:r>
        <w:rPr>
          <w:b/>
          <w:bCs/>
          <w:sz w:val="24"/>
          <w:szCs w:val="20"/>
        </w:rPr>
        <w:t xml:space="preserve"> </w:t>
      </w:r>
      <w:r>
        <w:rPr>
          <w:rFonts w:hint="eastAsia"/>
          <w:b/>
          <w:bCs/>
          <w:sz w:val="24"/>
          <w:szCs w:val="20"/>
        </w:rPr>
        <w:t xml:space="preserve"> </w:t>
      </w:r>
      <w:r>
        <w:rPr>
          <w:b/>
          <w:bCs/>
          <w:sz w:val="24"/>
          <w:szCs w:val="20"/>
        </w:rPr>
        <w:t>PM</w:t>
      </w:r>
      <w:r>
        <w:rPr>
          <w:b/>
          <w:bCs/>
          <w:sz w:val="24"/>
          <w:szCs w:val="20"/>
          <w:vertAlign w:val="subscript"/>
        </w:rPr>
        <w:t>10</w:t>
      </w:r>
      <w:r>
        <w:rPr>
          <w:b/>
          <w:bCs/>
          <w:sz w:val="24"/>
          <w:szCs w:val="20"/>
        </w:rPr>
        <w:t xml:space="preserve"> </w:t>
      </w:r>
      <w:r>
        <w:rPr>
          <w:rFonts w:hint="eastAsia"/>
          <w:b/>
          <w:bCs/>
          <w:sz w:val="24"/>
          <w:szCs w:val="20"/>
        </w:rPr>
        <w:t>年平均最大贡献浓度分布图（单位：</w:t>
      </w:r>
      <w:r>
        <w:rPr>
          <w:b/>
          <w:bCs/>
          <w:kern w:val="0"/>
          <w:szCs w:val="21"/>
        </w:rPr>
        <w:t>µg/m</w:t>
      </w:r>
      <w:r>
        <w:rPr>
          <w:b/>
          <w:bCs/>
          <w:kern w:val="0"/>
          <w:szCs w:val="21"/>
          <w:vertAlign w:val="superscript"/>
        </w:rPr>
        <w:t>3</w:t>
      </w:r>
      <w:r>
        <w:rPr>
          <w:rFonts w:hint="eastAsia"/>
          <w:b/>
          <w:bCs/>
          <w:sz w:val="24"/>
          <w:szCs w:val="20"/>
        </w:rPr>
        <w:t>）</w:t>
      </w:r>
    </w:p>
    <w:p w14:paraId="524E9F16">
      <w:pPr>
        <w:adjustRightInd w:val="0"/>
        <w:snapToGrid w:val="0"/>
        <w:spacing w:before="0" w:beforeLines="0" w:line="360" w:lineRule="auto"/>
        <w:ind w:left="660" w:leftChars="200" w:hanging="240" w:hangingChars="100"/>
        <w:jc w:val="center"/>
        <w:rPr>
          <w:sz w:val="24"/>
          <w:szCs w:val="20"/>
        </w:rPr>
      </w:pPr>
      <w:r>
        <w:rPr>
          <w:sz w:val="24"/>
          <w:szCs w:val="20"/>
        </w:rPr>
        <w:drawing>
          <wp:inline distT="0" distB="0" distL="114300" distR="114300">
            <wp:extent cx="5271135" cy="3049270"/>
            <wp:effectExtent l="0" t="0" r="5715" b="17780"/>
            <wp:docPr id="775794204" name="图片 775794204" descr="c445698f-530f-46ea-9d33-d61384a29f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794204" name="图片 775794204" descr="c445698f-530f-46ea-9d33-d61384a29f87"/>
                    <pic:cNvPicPr>
                      <a:picLocks noChangeAspect="1"/>
                    </pic:cNvPicPr>
                  </pic:nvPicPr>
                  <pic:blipFill>
                    <a:blip r:embed="rId65"/>
                    <a:stretch>
                      <a:fillRect/>
                    </a:stretch>
                  </pic:blipFill>
                  <pic:spPr>
                    <a:xfrm>
                      <a:off x="0" y="0"/>
                      <a:ext cx="5271135" cy="3049270"/>
                    </a:xfrm>
                    <a:prstGeom prst="rect">
                      <a:avLst/>
                    </a:prstGeom>
                  </pic:spPr>
                </pic:pic>
              </a:graphicData>
            </a:graphic>
          </wp:inline>
        </w:drawing>
      </w:r>
    </w:p>
    <w:p w14:paraId="07365BDD">
      <w:pPr>
        <w:adjustRightInd w:val="0"/>
        <w:snapToGrid w:val="0"/>
        <w:spacing w:before="0" w:beforeLines="0" w:line="360" w:lineRule="auto"/>
        <w:ind w:left="661" w:leftChars="200" w:hanging="241" w:hangingChars="100"/>
        <w:jc w:val="center"/>
        <w:rPr>
          <w:sz w:val="24"/>
          <w:szCs w:val="20"/>
        </w:rPr>
      </w:pPr>
      <w:r>
        <w:rPr>
          <w:b/>
          <w:bCs/>
          <w:sz w:val="24"/>
          <w:szCs w:val="20"/>
        </w:rPr>
        <w:t xml:space="preserve">图 </w:t>
      </w:r>
      <w:r>
        <w:rPr>
          <w:rFonts w:hint="eastAsia"/>
          <w:b/>
          <w:bCs/>
          <w:sz w:val="24"/>
          <w:szCs w:val="20"/>
        </w:rPr>
        <w:t xml:space="preserve">5.2-5    </w:t>
      </w:r>
      <w:r>
        <w:rPr>
          <w:b/>
          <w:bCs/>
          <w:szCs w:val="21"/>
        </w:rPr>
        <w:t>TSP</w:t>
      </w:r>
      <w:r>
        <w:rPr>
          <w:rFonts w:hint="eastAsia"/>
          <w:b/>
          <w:bCs/>
          <w:sz w:val="24"/>
          <w:szCs w:val="20"/>
        </w:rPr>
        <w:t>日平均最大贡献浓度分布图（单位：</w:t>
      </w:r>
      <w:r>
        <w:rPr>
          <w:b/>
          <w:bCs/>
          <w:kern w:val="0"/>
          <w:szCs w:val="21"/>
        </w:rPr>
        <w:t>µg/m</w:t>
      </w:r>
      <w:r>
        <w:rPr>
          <w:b/>
          <w:bCs/>
          <w:kern w:val="0"/>
          <w:szCs w:val="21"/>
          <w:vertAlign w:val="superscript"/>
        </w:rPr>
        <w:t>3</w:t>
      </w:r>
      <w:r>
        <w:rPr>
          <w:rFonts w:hint="eastAsia"/>
          <w:b/>
          <w:bCs/>
          <w:sz w:val="24"/>
          <w:szCs w:val="20"/>
        </w:rPr>
        <w:t>）</w:t>
      </w:r>
    </w:p>
    <w:p w14:paraId="1AEB4DAA">
      <w:pPr>
        <w:tabs>
          <w:tab w:val="left" w:pos="2880"/>
        </w:tabs>
        <w:spacing w:before="0" w:beforeLines="0" w:line="360" w:lineRule="auto"/>
        <w:ind w:left="640" w:leftChars="200" w:hanging="220" w:hangingChars="100"/>
        <w:contextualSpacing/>
        <w:jc w:val="center"/>
        <w:rPr>
          <w:rFonts w:ascii="Cambria" w:hAnsi="Cambria" w:eastAsia="黑体"/>
          <w:sz w:val="22"/>
          <w:szCs w:val="20"/>
        </w:rPr>
      </w:pPr>
      <w:r>
        <w:rPr>
          <w:rFonts w:ascii="Cambria" w:hAnsi="Cambria" w:eastAsia="黑体"/>
          <w:sz w:val="22"/>
          <w:szCs w:val="20"/>
        </w:rPr>
        <w:drawing>
          <wp:inline distT="0" distB="0" distL="0" distR="0">
            <wp:extent cx="5267325" cy="3091180"/>
            <wp:effectExtent l="0" t="0" r="9525" b="0"/>
            <wp:docPr id="288965749"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965749" name="图片 58"/>
                    <pic:cNvPicPr>
                      <a:picLocks noChangeAspect="1" noChangeArrowheads="1"/>
                    </pic:cNvPicPr>
                  </pic:nvPicPr>
                  <pic:blipFill>
                    <a:blip r:embed="rId66"/>
                    <a:srcRect/>
                    <a:stretch>
                      <a:fillRect/>
                    </a:stretch>
                  </pic:blipFill>
                  <pic:spPr>
                    <a:xfrm>
                      <a:off x="0" y="0"/>
                      <a:ext cx="5267325" cy="3091180"/>
                    </a:xfrm>
                    <a:prstGeom prst="rect">
                      <a:avLst/>
                    </a:prstGeom>
                    <a:noFill/>
                  </pic:spPr>
                </pic:pic>
              </a:graphicData>
            </a:graphic>
          </wp:inline>
        </w:drawing>
      </w:r>
    </w:p>
    <w:p w14:paraId="4B6EDBBE">
      <w:pPr>
        <w:tabs>
          <w:tab w:val="left" w:pos="2880"/>
        </w:tabs>
        <w:spacing w:before="0" w:beforeLines="0" w:line="360" w:lineRule="auto"/>
        <w:ind w:left="661" w:leftChars="200" w:hanging="241" w:hangingChars="100"/>
        <w:contextualSpacing/>
        <w:jc w:val="center"/>
        <w:rPr>
          <w:rFonts w:ascii="Cambria" w:hAnsi="Cambria" w:eastAsia="黑体"/>
          <w:sz w:val="22"/>
          <w:szCs w:val="20"/>
        </w:rPr>
      </w:pPr>
      <w:r>
        <w:rPr>
          <w:b/>
          <w:bCs/>
          <w:sz w:val="24"/>
          <w:szCs w:val="20"/>
        </w:rPr>
        <w:t xml:space="preserve">图 </w:t>
      </w:r>
      <w:r>
        <w:rPr>
          <w:rFonts w:hint="eastAsia"/>
          <w:b/>
          <w:bCs/>
          <w:sz w:val="24"/>
          <w:szCs w:val="20"/>
        </w:rPr>
        <w:t xml:space="preserve">5.2-6   </w:t>
      </w:r>
      <w:r>
        <w:rPr>
          <w:b/>
          <w:bCs/>
          <w:sz w:val="24"/>
          <w:szCs w:val="20"/>
        </w:rPr>
        <w:t xml:space="preserve">  TSP</w:t>
      </w:r>
      <w:r>
        <w:rPr>
          <w:rFonts w:hint="eastAsia"/>
          <w:b/>
          <w:bCs/>
          <w:sz w:val="24"/>
          <w:szCs w:val="20"/>
        </w:rPr>
        <w:t>年平均最大贡献浓度分布图（单位：</w:t>
      </w:r>
      <w:r>
        <w:rPr>
          <w:b/>
          <w:bCs/>
          <w:sz w:val="24"/>
          <w:szCs w:val="20"/>
        </w:rPr>
        <w:t>µg/m</w:t>
      </w:r>
      <w:r>
        <w:rPr>
          <w:b/>
          <w:bCs/>
          <w:sz w:val="24"/>
          <w:szCs w:val="20"/>
          <w:vertAlign w:val="superscript"/>
        </w:rPr>
        <w:t>3</w:t>
      </w:r>
      <w:r>
        <w:rPr>
          <w:rFonts w:hint="eastAsia"/>
          <w:b/>
          <w:bCs/>
          <w:sz w:val="24"/>
          <w:szCs w:val="20"/>
        </w:rPr>
        <w:t>）</w:t>
      </w:r>
    </w:p>
    <w:p w14:paraId="027CC100">
      <w:pPr>
        <w:tabs>
          <w:tab w:val="left" w:pos="2880"/>
        </w:tabs>
        <w:spacing w:before="0" w:beforeLines="0" w:line="360" w:lineRule="auto"/>
        <w:ind w:firstLine="480" w:firstLineChars="200"/>
        <w:contextualSpacing/>
        <w:rPr>
          <w:sz w:val="24"/>
          <w:szCs w:val="20"/>
        </w:rPr>
      </w:pPr>
      <w:r>
        <w:rPr>
          <w:sz w:val="24"/>
          <w:szCs w:val="20"/>
        </w:rPr>
        <w:t>根据预测结果可知，本项目各污染物的短期浓度贡献值的最大浓度占标均小于100%，污染物年均浓度贡献值的最大浓度占标率</w:t>
      </w:r>
      <w:r>
        <w:rPr>
          <w:rFonts w:hint="eastAsia"/>
          <w:sz w:val="24"/>
          <w:szCs w:val="20"/>
        </w:rPr>
        <w:t>小于</w:t>
      </w:r>
      <w:r>
        <w:rPr>
          <w:sz w:val="24"/>
          <w:szCs w:val="20"/>
        </w:rPr>
        <w:t>30%。</w:t>
      </w:r>
      <w:bookmarkEnd w:id="223"/>
      <w:bookmarkEnd w:id="226"/>
    </w:p>
    <w:p w14:paraId="3FE249EE">
      <w:pPr>
        <w:snapToGrid w:val="0"/>
        <w:spacing w:before="0" w:beforeLines="0" w:line="360" w:lineRule="auto"/>
        <w:ind w:firstLine="482" w:firstLineChars="200"/>
        <w:rPr>
          <w:b/>
          <w:bCs/>
          <w:sz w:val="24"/>
        </w:rPr>
      </w:pPr>
      <w:r>
        <w:rPr>
          <w:b/>
          <w:bCs/>
          <w:sz w:val="24"/>
        </w:rPr>
        <w:t>二、叠加背景浓度后预测结果</w:t>
      </w:r>
    </w:p>
    <w:p w14:paraId="673AF8BD">
      <w:pPr>
        <w:tabs>
          <w:tab w:val="left" w:pos="2880"/>
        </w:tabs>
        <w:snapToGrid w:val="0"/>
        <w:spacing w:before="0" w:beforeLines="0" w:line="360" w:lineRule="auto"/>
        <w:ind w:firstLine="480" w:firstLineChars="200"/>
        <w:rPr>
          <w:sz w:val="24"/>
        </w:rPr>
      </w:pPr>
      <w:r>
        <w:rPr>
          <w:sz w:val="24"/>
        </w:rPr>
        <w:t>拟建项目正常排放下，各污染物在考虑项目建成后排放并叠加区域环境质量现状浓度后预测结果：</w:t>
      </w:r>
    </w:p>
    <w:p w14:paraId="5C655D39">
      <w:pPr>
        <w:keepNext/>
        <w:snapToGrid w:val="0"/>
        <w:spacing w:before="0" w:beforeLines="0" w:line="360" w:lineRule="auto"/>
        <w:ind w:firstLine="480" w:firstLineChars="200"/>
        <w:jc w:val="left"/>
        <w:rPr>
          <w:sz w:val="24"/>
        </w:rPr>
      </w:pPr>
      <w:r>
        <w:rPr>
          <w:sz w:val="24"/>
        </w:rPr>
        <w:t>（一）PM</w:t>
      </w:r>
      <w:r>
        <w:rPr>
          <w:sz w:val="24"/>
          <w:vertAlign w:val="subscript"/>
        </w:rPr>
        <w:t>10</w:t>
      </w:r>
      <w:r>
        <w:rPr>
          <w:sz w:val="24"/>
        </w:rPr>
        <w:t>叠加背景浓度后预测结果</w:t>
      </w:r>
    </w:p>
    <w:p w14:paraId="6CE71E65">
      <w:pPr>
        <w:tabs>
          <w:tab w:val="left" w:pos="2880"/>
        </w:tabs>
        <w:spacing w:before="0" w:beforeLines="0" w:line="360" w:lineRule="auto"/>
        <w:ind w:firstLine="480" w:firstLineChars="200"/>
        <w:contextualSpacing/>
        <w:rPr>
          <w:sz w:val="24"/>
          <w:szCs w:val="20"/>
        </w:rPr>
      </w:pPr>
      <w:r>
        <w:rPr>
          <w:sz w:val="24"/>
          <w:szCs w:val="20"/>
        </w:rPr>
        <w:t>叠加背景浓度后区域最大点PM</w:t>
      </w:r>
      <w:r>
        <w:rPr>
          <w:sz w:val="24"/>
          <w:szCs w:val="20"/>
          <w:vertAlign w:val="subscript"/>
        </w:rPr>
        <w:t>10</w:t>
      </w:r>
      <w:r>
        <w:rPr>
          <w:sz w:val="24"/>
          <w:szCs w:val="20"/>
        </w:rPr>
        <w:t>的95%保证率24h平均质量浓度为117.5098μg/m</w:t>
      </w:r>
      <w:r>
        <w:rPr>
          <w:sz w:val="24"/>
          <w:szCs w:val="20"/>
          <w:vertAlign w:val="superscript"/>
        </w:rPr>
        <w:t>3</w:t>
      </w:r>
      <w:r>
        <w:rPr>
          <w:sz w:val="24"/>
          <w:szCs w:val="20"/>
        </w:rPr>
        <w:t>，占标准的97.92%，符合拟建项目所在区域的标准要求；PM</w:t>
      </w:r>
      <w:r>
        <w:rPr>
          <w:sz w:val="24"/>
          <w:szCs w:val="20"/>
          <w:vertAlign w:val="subscript"/>
        </w:rPr>
        <w:t>10</w:t>
      </w:r>
      <w:r>
        <w:rPr>
          <w:sz w:val="24"/>
          <w:szCs w:val="20"/>
        </w:rPr>
        <w:t>的年平均质量浓度为49.8349μg/m</w:t>
      </w:r>
      <w:r>
        <w:rPr>
          <w:sz w:val="24"/>
          <w:szCs w:val="20"/>
          <w:vertAlign w:val="superscript"/>
        </w:rPr>
        <w:t>3</w:t>
      </w:r>
      <w:r>
        <w:rPr>
          <w:sz w:val="24"/>
          <w:szCs w:val="20"/>
        </w:rPr>
        <w:t>，占标准的83.06%，符合拟建项目所在区域的标准要求。</w:t>
      </w:r>
    </w:p>
    <w:p w14:paraId="672E554A">
      <w:pPr>
        <w:tabs>
          <w:tab w:val="left" w:pos="2880"/>
        </w:tabs>
        <w:spacing w:before="0" w:beforeLines="0" w:line="360" w:lineRule="auto"/>
        <w:ind w:firstLine="600" w:firstLineChars="250"/>
        <w:contextualSpacing/>
        <w:rPr>
          <w:sz w:val="24"/>
        </w:rPr>
      </w:pPr>
      <w:r>
        <w:rPr>
          <w:sz w:val="24"/>
          <w:szCs w:val="20"/>
        </w:rPr>
        <w:t>叠加背景浓度后环境保护目标处PM</w:t>
      </w:r>
      <w:r>
        <w:rPr>
          <w:sz w:val="24"/>
          <w:szCs w:val="20"/>
          <w:vertAlign w:val="subscript"/>
        </w:rPr>
        <w:t>10</w:t>
      </w:r>
      <w:r>
        <w:rPr>
          <w:sz w:val="24"/>
          <w:szCs w:val="20"/>
        </w:rPr>
        <w:t>的95%保证率24h平均质量浓度最大值（出现在邵家窝堡）为110.8349μg/m</w:t>
      </w:r>
      <w:r>
        <w:rPr>
          <w:sz w:val="24"/>
          <w:szCs w:val="20"/>
          <w:vertAlign w:val="superscript"/>
        </w:rPr>
        <w:t>3</w:t>
      </w:r>
      <w:r>
        <w:rPr>
          <w:sz w:val="24"/>
          <w:szCs w:val="20"/>
        </w:rPr>
        <w:t>，占标准的92.36%，符合拟建项目所在区域的标准要求；PM</w:t>
      </w:r>
      <w:r>
        <w:rPr>
          <w:sz w:val="24"/>
          <w:szCs w:val="20"/>
          <w:vertAlign w:val="subscript"/>
        </w:rPr>
        <w:t>10</w:t>
      </w:r>
      <w:r>
        <w:rPr>
          <w:sz w:val="24"/>
          <w:szCs w:val="20"/>
        </w:rPr>
        <w:t>的年平均质量浓度最大值（出现在邵家窝堡）为47.9606μg/m</w:t>
      </w:r>
      <w:r>
        <w:rPr>
          <w:sz w:val="24"/>
          <w:szCs w:val="20"/>
          <w:vertAlign w:val="superscript"/>
        </w:rPr>
        <w:t>3</w:t>
      </w:r>
      <w:r>
        <w:rPr>
          <w:sz w:val="24"/>
          <w:szCs w:val="20"/>
        </w:rPr>
        <w:t>，占标准的79.93%，符合拟建项目所在区域的标准要求。</w:t>
      </w:r>
    </w:p>
    <w:p w14:paraId="778AF503">
      <w:pPr>
        <w:keepNext/>
        <w:snapToGrid w:val="0"/>
        <w:spacing w:before="0" w:beforeLines="0" w:line="360" w:lineRule="auto"/>
        <w:ind w:firstLine="480" w:firstLineChars="200"/>
        <w:jc w:val="left"/>
        <w:rPr>
          <w:sz w:val="24"/>
        </w:rPr>
      </w:pPr>
      <w:r>
        <w:rPr>
          <w:sz w:val="24"/>
        </w:rPr>
        <w:t>（二）TSP叠加背景浓度后预测结果</w:t>
      </w:r>
    </w:p>
    <w:p w14:paraId="62B6CFBB">
      <w:pPr>
        <w:tabs>
          <w:tab w:val="left" w:pos="2880"/>
        </w:tabs>
        <w:spacing w:before="0" w:beforeLines="0" w:line="360" w:lineRule="auto"/>
        <w:ind w:firstLine="600" w:firstLineChars="250"/>
        <w:contextualSpacing/>
        <w:rPr>
          <w:sz w:val="24"/>
          <w:szCs w:val="20"/>
        </w:rPr>
      </w:pPr>
      <w:r>
        <w:rPr>
          <w:sz w:val="24"/>
          <w:szCs w:val="20"/>
        </w:rPr>
        <w:t>叠加背景浓度后区域最大点TSP的日平均质量浓度为256.9183μg/m</w:t>
      </w:r>
      <w:r>
        <w:rPr>
          <w:sz w:val="24"/>
          <w:szCs w:val="20"/>
          <w:vertAlign w:val="superscript"/>
        </w:rPr>
        <w:t>3</w:t>
      </w:r>
      <w:r>
        <w:rPr>
          <w:sz w:val="24"/>
          <w:szCs w:val="20"/>
        </w:rPr>
        <w:t>，占标准的85.64%，符合拟建项目所在区域的标准要求。</w:t>
      </w:r>
    </w:p>
    <w:p w14:paraId="1A4C27FB">
      <w:pPr>
        <w:tabs>
          <w:tab w:val="left" w:pos="2880"/>
        </w:tabs>
        <w:spacing w:before="0" w:beforeLines="0" w:line="360" w:lineRule="auto"/>
        <w:ind w:firstLine="600" w:firstLineChars="250"/>
        <w:contextualSpacing/>
        <w:rPr>
          <w:sz w:val="24"/>
          <w:szCs w:val="20"/>
        </w:rPr>
      </w:pPr>
      <w:r>
        <w:rPr>
          <w:sz w:val="24"/>
          <w:szCs w:val="20"/>
        </w:rPr>
        <w:t>叠加背景浓度后环境保护目标处TSP的日平均质量浓度最大值（出现在胡家沟）为135.9801μg/m</w:t>
      </w:r>
      <w:r>
        <w:rPr>
          <w:sz w:val="24"/>
          <w:szCs w:val="20"/>
          <w:vertAlign w:val="superscript"/>
        </w:rPr>
        <w:t>3</w:t>
      </w:r>
      <w:r>
        <w:rPr>
          <w:sz w:val="24"/>
          <w:szCs w:val="20"/>
        </w:rPr>
        <w:t>，占标准的45.33%，符合拟建项目所在区域的标准要求。</w:t>
      </w:r>
    </w:p>
    <w:p w14:paraId="38A14B96">
      <w:pPr>
        <w:tabs>
          <w:tab w:val="left" w:pos="2880"/>
        </w:tabs>
        <w:snapToGrid w:val="0"/>
        <w:spacing w:before="0" w:beforeLines="0" w:line="360" w:lineRule="auto"/>
        <w:ind w:firstLine="600" w:firstLineChars="250"/>
        <w:rPr>
          <w:sz w:val="24"/>
        </w:rPr>
      </w:pPr>
      <w:r>
        <w:rPr>
          <w:sz w:val="24"/>
          <w:szCs w:val="20"/>
        </w:rPr>
        <w:t>根据计算结果，项目所在区域为达标区，在考虑新增源贡献浓度，并叠加区域环境质量现状浓度，拟建项目正常排放下，PM</w:t>
      </w:r>
      <w:r>
        <w:rPr>
          <w:sz w:val="24"/>
          <w:szCs w:val="20"/>
          <w:vertAlign w:val="subscript"/>
        </w:rPr>
        <w:t>10</w:t>
      </w:r>
      <w:r>
        <w:rPr>
          <w:sz w:val="24"/>
          <w:szCs w:val="20"/>
        </w:rPr>
        <w:t>在环境保护目标和区域最大落地点95%保证率日平均和年平均质量浓度均符合拟建项目所在区域的环境标准要求；TSP在考虑新增源贡献浓度，并叠加区域环境质量现状浓度，环境保护目标和区域最大落地点短期平均浓度和均符合拟建项目所在区域的环境标准要求</w:t>
      </w:r>
      <w:r>
        <w:rPr>
          <w:sz w:val="24"/>
        </w:rPr>
        <w:t>。</w:t>
      </w:r>
    </w:p>
    <w:p w14:paraId="12003261">
      <w:pPr>
        <w:tabs>
          <w:tab w:val="left" w:pos="2880"/>
        </w:tabs>
        <w:spacing w:before="0" w:beforeLines="0" w:line="360" w:lineRule="auto"/>
        <w:ind w:firstLine="480" w:firstLineChars="200"/>
        <w:contextualSpacing/>
        <w:rPr>
          <w:sz w:val="24"/>
          <w:szCs w:val="20"/>
        </w:rPr>
        <w:sectPr>
          <w:pgSz w:w="11906" w:h="16838"/>
          <w:pgMar w:top="1440" w:right="1800" w:bottom="1440" w:left="1800" w:header="851" w:footer="992" w:gutter="0"/>
          <w:cols w:space="425" w:num="1"/>
          <w:docGrid w:type="lines" w:linePitch="326" w:charSpace="0"/>
        </w:sectPr>
      </w:pPr>
    </w:p>
    <w:p w14:paraId="4AAE6C1E">
      <w:pPr>
        <w:keepNext/>
        <w:spacing w:before="0" w:beforeLines="0" w:line="240" w:lineRule="auto"/>
        <w:contextualSpacing/>
        <w:jc w:val="center"/>
        <w:rPr>
          <w:b/>
          <w:bCs/>
          <w:szCs w:val="21"/>
        </w:rPr>
      </w:pPr>
      <w:r>
        <w:rPr>
          <w:b/>
          <w:bCs/>
          <w:szCs w:val="21"/>
        </w:rPr>
        <w:t>表 5.2-10        叠加后PM</w:t>
      </w:r>
      <w:r>
        <w:rPr>
          <w:b/>
          <w:bCs/>
          <w:szCs w:val="21"/>
          <w:vertAlign w:val="subscript"/>
        </w:rPr>
        <w:t>10</w:t>
      </w:r>
      <w:r>
        <w:rPr>
          <w:b/>
          <w:bCs/>
          <w:szCs w:val="21"/>
        </w:rPr>
        <w:t>95%保证率日平均质量浓度预测结果表</w:t>
      </w:r>
    </w:p>
    <w:tbl>
      <w:tblPr>
        <w:tblStyle w:val="2151"/>
        <w:tblW w:w="4999" w:type="pct"/>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451"/>
        <w:gridCol w:w="1295"/>
        <w:gridCol w:w="1482"/>
        <w:gridCol w:w="937"/>
        <w:gridCol w:w="940"/>
        <w:gridCol w:w="937"/>
        <w:gridCol w:w="1347"/>
        <w:gridCol w:w="1212"/>
        <w:gridCol w:w="1612"/>
        <w:gridCol w:w="1077"/>
        <w:gridCol w:w="1241"/>
        <w:gridCol w:w="704"/>
      </w:tblGrid>
      <w:tr w14:paraId="26B44D83">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14:paraId="20769317">
            <w:pPr>
              <w:widowControl/>
              <w:adjustRightInd w:val="0"/>
              <w:snapToGrid w:val="0"/>
              <w:spacing w:before="0" w:beforeLines="0" w:line="240" w:lineRule="auto"/>
              <w:jc w:val="center"/>
              <w:rPr>
                <w:kern w:val="0"/>
                <w:szCs w:val="21"/>
              </w:rPr>
            </w:pPr>
            <w:r>
              <w:rPr>
                <w:rFonts w:hint="eastAsia"/>
                <w:kern w:val="0"/>
                <w:szCs w:val="21"/>
              </w:rPr>
              <w:t>序号</w:t>
            </w:r>
          </w:p>
        </w:tc>
        <w:tc>
          <w:tcPr>
            <w:tcW w:w="489" w:type="pct"/>
            <w:noWrap/>
            <w:vAlign w:val="center"/>
          </w:tcPr>
          <w:p w14:paraId="7FF5AB2C">
            <w:pPr>
              <w:widowControl/>
              <w:adjustRightInd w:val="0"/>
              <w:snapToGrid w:val="0"/>
              <w:spacing w:before="0" w:beforeLines="0" w:line="240" w:lineRule="auto"/>
              <w:jc w:val="center"/>
              <w:rPr>
                <w:kern w:val="0"/>
                <w:szCs w:val="21"/>
              </w:rPr>
            </w:pPr>
            <w:r>
              <w:rPr>
                <w:rFonts w:hint="eastAsia"/>
                <w:kern w:val="0"/>
                <w:szCs w:val="21"/>
              </w:rPr>
              <w:t>点名称</w:t>
            </w:r>
          </w:p>
        </w:tc>
        <w:tc>
          <w:tcPr>
            <w:tcW w:w="560" w:type="pct"/>
            <w:noWrap/>
            <w:vAlign w:val="center"/>
          </w:tcPr>
          <w:p w14:paraId="0EB4C4AD">
            <w:pPr>
              <w:widowControl/>
              <w:adjustRightInd w:val="0"/>
              <w:snapToGrid w:val="0"/>
              <w:spacing w:before="0" w:beforeLines="0" w:line="240" w:lineRule="auto"/>
              <w:jc w:val="center"/>
              <w:rPr>
                <w:kern w:val="0"/>
                <w:szCs w:val="21"/>
              </w:rPr>
            </w:pPr>
            <w:r>
              <w:rPr>
                <w:rFonts w:hint="eastAsia"/>
                <w:kern w:val="0"/>
                <w:szCs w:val="21"/>
              </w:rPr>
              <w:t>点坐标(x或r,y或a)</w:t>
            </w:r>
          </w:p>
        </w:tc>
        <w:tc>
          <w:tcPr>
            <w:tcW w:w="354" w:type="pct"/>
            <w:noWrap/>
            <w:vAlign w:val="center"/>
          </w:tcPr>
          <w:p w14:paraId="47E9E6E8">
            <w:pPr>
              <w:widowControl/>
              <w:adjustRightInd w:val="0"/>
              <w:snapToGrid w:val="0"/>
              <w:spacing w:before="0" w:beforeLines="0" w:line="240" w:lineRule="auto"/>
              <w:jc w:val="center"/>
              <w:rPr>
                <w:kern w:val="0"/>
                <w:szCs w:val="21"/>
              </w:rPr>
            </w:pPr>
            <w:r>
              <w:rPr>
                <w:rFonts w:hint="eastAsia"/>
                <w:kern w:val="0"/>
                <w:szCs w:val="21"/>
              </w:rPr>
              <w:t>地面高程(m)</w:t>
            </w:r>
          </w:p>
        </w:tc>
        <w:tc>
          <w:tcPr>
            <w:tcW w:w="355" w:type="pct"/>
            <w:noWrap/>
            <w:vAlign w:val="center"/>
          </w:tcPr>
          <w:p w14:paraId="734C25C0">
            <w:pPr>
              <w:widowControl/>
              <w:adjustRightInd w:val="0"/>
              <w:snapToGrid w:val="0"/>
              <w:spacing w:before="0" w:beforeLines="0" w:line="240" w:lineRule="auto"/>
              <w:jc w:val="center"/>
              <w:rPr>
                <w:kern w:val="0"/>
                <w:szCs w:val="21"/>
              </w:rPr>
            </w:pPr>
            <w:r>
              <w:rPr>
                <w:rFonts w:hint="eastAsia"/>
                <w:kern w:val="0"/>
                <w:szCs w:val="21"/>
              </w:rPr>
              <w:t>浓度类型</w:t>
            </w:r>
          </w:p>
        </w:tc>
        <w:tc>
          <w:tcPr>
            <w:tcW w:w="354" w:type="pct"/>
            <w:noWrap/>
            <w:vAlign w:val="center"/>
          </w:tcPr>
          <w:p w14:paraId="4B511DED">
            <w:pPr>
              <w:widowControl/>
              <w:adjustRightInd w:val="0"/>
              <w:snapToGrid w:val="0"/>
              <w:spacing w:before="0" w:beforeLines="0" w:line="240" w:lineRule="auto"/>
              <w:jc w:val="center"/>
              <w:rPr>
                <w:kern w:val="0"/>
                <w:szCs w:val="21"/>
              </w:rPr>
            </w:pPr>
            <w:r>
              <w:rPr>
                <w:rFonts w:hint="eastAsia"/>
                <w:kern w:val="0"/>
                <w:szCs w:val="21"/>
              </w:rPr>
              <w:t>浓度增量(μg/m^3)</w:t>
            </w:r>
          </w:p>
        </w:tc>
        <w:tc>
          <w:tcPr>
            <w:tcW w:w="509" w:type="pct"/>
            <w:noWrap/>
            <w:vAlign w:val="center"/>
          </w:tcPr>
          <w:p w14:paraId="01F5EB96">
            <w:pPr>
              <w:widowControl/>
              <w:adjustRightInd w:val="0"/>
              <w:snapToGrid w:val="0"/>
              <w:spacing w:before="0" w:beforeLines="0" w:line="240" w:lineRule="auto"/>
              <w:jc w:val="center"/>
              <w:rPr>
                <w:kern w:val="0"/>
                <w:szCs w:val="21"/>
              </w:rPr>
            </w:pPr>
            <w:r>
              <w:rPr>
                <w:rFonts w:hint="eastAsia"/>
                <w:kern w:val="0"/>
                <w:szCs w:val="21"/>
              </w:rPr>
              <w:t>出现时间(YYMMDDHH)</w:t>
            </w:r>
          </w:p>
        </w:tc>
        <w:tc>
          <w:tcPr>
            <w:tcW w:w="458" w:type="pct"/>
            <w:noWrap/>
            <w:vAlign w:val="center"/>
          </w:tcPr>
          <w:p w14:paraId="525B8ED7">
            <w:pPr>
              <w:widowControl/>
              <w:adjustRightInd w:val="0"/>
              <w:snapToGrid w:val="0"/>
              <w:spacing w:before="0" w:beforeLines="0" w:line="240" w:lineRule="auto"/>
              <w:jc w:val="center"/>
              <w:rPr>
                <w:kern w:val="0"/>
                <w:szCs w:val="21"/>
              </w:rPr>
            </w:pPr>
            <w:r>
              <w:rPr>
                <w:rFonts w:hint="eastAsia"/>
                <w:kern w:val="0"/>
                <w:szCs w:val="21"/>
              </w:rPr>
              <w:t>背景浓度(μg/m^3)</w:t>
            </w:r>
          </w:p>
        </w:tc>
        <w:tc>
          <w:tcPr>
            <w:tcW w:w="609" w:type="pct"/>
            <w:noWrap/>
            <w:vAlign w:val="center"/>
          </w:tcPr>
          <w:p w14:paraId="1D83B48A">
            <w:pPr>
              <w:widowControl/>
              <w:adjustRightInd w:val="0"/>
              <w:snapToGrid w:val="0"/>
              <w:spacing w:before="0" w:beforeLines="0" w:line="240" w:lineRule="auto"/>
              <w:jc w:val="center"/>
              <w:rPr>
                <w:kern w:val="0"/>
                <w:szCs w:val="21"/>
              </w:rPr>
            </w:pPr>
            <w:r>
              <w:rPr>
                <w:rFonts w:hint="eastAsia"/>
                <w:kern w:val="0"/>
                <w:szCs w:val="21"/>
              </w:rPr>
              <w:t>叠加背景后的浓度(μg/m^3)</w:t>
            </w:r>
          </w:p>
        </w:tc>
        <w:tc>
          <w:tcPr>
            <w:tcW w:w="407" w:type="pct"/>
            <w:noWrap/>
            <w:vAlign w:val="center"/>
          </w:tcPr>
          <w:p w14:paraId="60B1C1DC">
            <w:pPr>
              <w:widowControl/>
              <w:adjustRightInd w:val="0"/>
              <w:snapToGrid w:val="0"/>
              <w:spacing w:before="0" w:beforeLines="0" w:line="240" w:lineRule="auto"/>
              <w:jc w:val="center"/>
              <w:rPr>
                <w:kern w:val="0"/>
                <w:szCs w:val="21"/>
              </w:rPr>
            </w:pPr>
            <w:r>
              <w:rPr>
                <w:rFonts w:hint="eastAsia"/>
                <w:kern w:val="0"/>
                <w:szCs w:val="21"/>
              </w:rPr>
              <w:t>评价标准(μg/m^3)</w:t>
            </w:r>
          </w:p>
        </w:tc>
        <w:tc>
          <w:tcPr>
            <w:tcW w:w="469" w:type="pct"/>
            <w:noWrap/>
            <w:vAlign w:val="center"/>
          </w:tcPr>
          <w:p w14:paraId="1E6709D0">
            <w:pPr>
              <w:widowControl/>
              <w:adjustRightInd w:val="0"/>
              <w:snapToGrid w:val="0"/>
              <w:spacing w:before="0" w:beforeLines="0" w:line="240" w:lineRule="auto"/>
              <w:jc w:val="center"/>
              <w:rPr>
                <w:kern w:val="0"/>
                <w:szCs w:val="21"/>
              </w:rPr>
            </w:pPr>
            <w:r>
              <w:rPr>
                <w:rFonts w:hint="eastAsia"/>
                <w:kern w:val="0"/>
                <w:szCs w:val="21"/>
              </w:rPr>
              <w:t>占标率%(叠加背景以后)</w:t>
            </w:r>
          </w:p>
        </w:tc>
        <w:tc>
          <w:tcPr>
            <w:tcW w:w="266" w:type="pct"/>
            <w:noWrap/>
            <w:vAlign w:val="center"/>
          </w:tcPr>
          <w:p w14:paraId="71F031D3">
            <w:pPr>
              <w:widowControl/>
              <w:adjustRightInd w:val="0"/>
              <w:snapToGrid w:val="0"/>
              <w:spacing w:before="0" w:beforeLines="0" w:line="240" w:lineRule="auto"/>
              <w:jc w:val="center"/>
              <w:rPr>
                <w:kern w:val="0"/>
                <w:szCs w:val="21"/>
              </w:rPr>
            </w:pPr>
            <w:r>
              <w:rPr>
                <w:rFonts w:hint="eastAsia"/>
                <w:kern w:val="0"/>
                <w:szCs w:val="21"/>
              </w:rPr>
              <w:t>是否超标</w:t>
            </w:r>
          </w:p>
        </w:tc>
      </w:tr>
      <w:tr w14:paraId="35A04030">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14:paraId="6E0E56C1">
            <w:pPr>
              <w:widowControl/>
              <w:adjustRightInd w:val="0"/>
              <w:snapToGrid w:val="0"/>
              <w:spacing w:before="0" w:beforeLines="0" w:line="240" w:lineRule="auto"/>
              <w:jc w:val="center"/>
              <w:rPr>
                <w:kern w:val="0"/>
                <w:szCs w:val="21"/>
              </w:rPr>
            </w:pPr>
            <w:r>
              <w:rPr>
                <w:rFonts w:hint="eastAsia"/>
                <w:kern w:val="0"/>
                <w:szCs w:val="21"/>
              </w:rPr>
              <w:t>1</w:t>
            </w:r>
          </w:p>
        </w:tc>
        <w:tc>
          <w:tcPr>
            <w:tcW w:w="489" w:type="pct"/>
            <w:noWrap/>
            <w:vAlign w:val="bottom"/>
          </w:tcPr>
          <w:p w14:paraId="372324D9">
            <w:pPr>
              <w:widowControl/>
              <w:adjustRightInd w:val="0"/>
              <w:snapToGrid w:val="0"/>
              <w:spacing w:before="0" w:beforeLines="0" w:line="240" w:lineRule="auto"/>
              <w:jc w:val="center"/>
              <w:rPr>
                <w:kern w:val="0"/>
                <w:szCs w:val="21"/>
              </w:rPr>
            </w:pPr>
            <w:r>
              <w:rPr>
                <w:rFonts w:hint="eastAsia"/>
                <w:kern w:val="0"/>
                <w:szCs w:val="21"/>
              </w:rPr>
              <w:t>孟家窝堡</w:t>
            </w:r>
          </w:p>
        </w:tc>
        <w:tc>
          <w:tcPr>
            <w:tcW w:w="560" w:type="pct"/>
            <w:noWrap/>
            <w:vAlign w:val="bottom"/>
          </w:tcPr>
          <w:p w14:paraId="5A4960B0">
            <w:pPr>
              <w:widowControl/>
              <w:adjustRightInd w:val="0"/>
              <w:snapToGrid w:val="0"/>
              <w:spacing w:before="0" w:beforeLines="0" w:line="240" w:lineRule="auto"/>
              <w:jc w:val="center"/>
              <w:rPr>
                <w:kern w:val="0"/>
                <w:szCs w:val="21"/>
              </w:rPr>
            </w:pPr>
            <w:r>
              <w:rPr>
                <w:rFonts w:hint="eastAsia"/>
                <w:kern w:val="0"/>
                <w:szCs w:val="21"/>
              </w:rPr>
              <w:t>-1472,-281</w:t>
            </w:r>
          </w:p>
        </w:tc>
        <w:tc>
          <w:tcPr>
            <w:tcW w:w="354" w:type="pct"/>
            <w:noWrap/>
            <w:vAlign w:val="bottom"/>
          </w:tcPr>
          <w:p w14:paraId="4C0F2132">
            <w:pPr>
              <w:widowControl/>
              <w:adjustRightInd w:val="0"/>
              <w:snapToGrid w:val="0"/>
              <w:spacing w:before="0" w:beforeLines="0" w:line="240" w:lineRule="auto"/>
              <w:jc w:val="center"/>
              <w:rPr>
                <w:kern w:val="0"/>
                <w:szCs w:val="21"/>
              </w:rPr>
            </w:pPr>
            <w:r>
              <w:rPr>
                <w:rFonts w:hint="eastAsia"/>
                <w:kern w:val="0"/>
                <w:szCs w:val="21"/>
              </w:rPr>
              <w:t>274.17</w:t>
            </w:r>
          </w:p>
        </w:tc>
        <w:tc>
          <w:tcPr>
            <w:tcW w:w="355" w:type="pct"/>
            <w:noWrap/>
            <w:vAlign w:val="center"/>
          </w:tcPr>
          <w:p w14:paraId="7B794C29">
            <w:pPr>
              <w:widowControl/>
              <w:adjustRightInd w:val="0"/>
              <w:snapToGrid w:val="0"/>
              <w:spacing w:before="0" w:beforeLines="0" w:line="240" w:lineRule="auto"/>
              <w:jc w:val="center"/>
              <w:rPr>
                <w:kern w:val="0"/>
                <w:szCs w:val="21"/>
              </w:rPr>
            </w:pPr>
            <w:r>
              <w:rPr>
                <w:rFonts w:hint="eastAsia"/>
                <w:kern w:val="0"/>
                <w:szCs w:val="21"/>
              </w:rPr>
              <w:t>日平均</w:t>
            </w:r>
          </w:p>
        </w:tc>
        <w:tc>
          <w:tcPr>
            <w:tcW w:w="354" w:type="pct"/>
            <w:noWrap/>
            <w:vAlign w:val="center"/>
          </w:tcPr>
          <w:p w14:paraId="776BA84B">
            <w:pPr>
              <w:widowControl/>
              <w:adjustRightInd w:val="0"/>
              <w:snapToGrid w:val="0"/>
              <w:spacing w:before="0" w:beforeLines="0" w:line="240" w:lineRule="auto"/>
              <w:jc w:val="center"/>
              <w:rPr>
                <w:kern w:val="0"/>
                <w:szCs w:val="21"/>
              </w:rPr>
            </w:pPr>
            <w:r>
              <w:rPr>
                <w:rFonts w:hint="eastAsia"/>
                <w:color w:val="000000"/>
                <w:kern w:val="0"/>
                <w:sz w:val="22"/>
                <w:szCs w:val="22"/>
              </w:rPr>
              <w:t>0.2105</w:t>
            </w:r>
          </w:p>
        </w:tc>
        <w:tc>
          <w:tcPr>
            <w:tcW w:w="509" w:type="pct"/>
            <w:noWrap/>
            <w:vAlign w:val="center"/>
          </w:tcPr>
          <w:p w14:paraId="7824388F">
            <w:pPr>
              <w:widowControl/>
              <w:adjustRightInd w:val="0"/>
              <w:snapToGrid w:val="0"/>
              <w:spacing w:before="0" w:beforeLines="0" w:line="240" w:lineRule="auto"/>
              <w:jc w:val="center"/>
              <w:rPr>
                <w:kern w:val="0"/>
                <w:szCs w:val="21"/>
              </w:rPr>
            </w:pPr>
            <w:r>
              <w:rPr>
                <w:rFonts w:hint="eastAsia"/>
                <w:color w:val="000000"/>
                <w:kern w:val="0"/>
                <w:sz w:val="22"/>
                <w:szCs w:val="22"/>
              </w:rPr>
              <w:t>250203</w:t>
            </w:r>
          </w:p>
        </w:tc>
        <w:tc>
          <w:tcPr>
            <w:tcW w:w="458" w:type="pct"/>
            <w:noWrap/>
            <w:vAlign w:val="center"/>
          </w:tcPr>
          <w:p w14:paraId="209AB4C5">
            <w:pPr>
              <w:widowControl/>
              <w:adjustRightInd w:val="0"/>
              <w:snapToGrid w:val="0"/>
              <w:spacing w:before="0" w:beforeLines="0" w:line="240" w:lineRule="auto"/>
              <w:jc w:val="center"/>
              <w:rPr>
                <w:kern w:val="0"/>
                <w:szCs w:val="21"/>
              </w:rPr>
            </w:pPr>
            <w:r>
              <w:rPr>
                <w:rFonts w:hint="eastAsia"/>
                <w:color w:val="000000"/>
                <w:kern w:val="0"/>
                <w:sz w:val="22"/>
                <w:szCs w:val="22"/>
              </w:rPr>
              <w:t>110.4</w:t>
            </w:r>
          </w:p>
        </w:tc>
        <w:tc>
          <w:tcPr>
            <w:tcW w:w="609" w:type="pct"/>
            <w:noWrap/>
            <w:vAlign w:val="center"/>
          </w:tcPr>
          <w:p w14:paraId="6A15B5EB">
            <w:pPr>
              <w:widowControl/>
              <w:adjustRightInd w:val="0"/>
              <w:snapToGrid w:val="0"/>
              <w:spacing w:before="0" w:beforeLines="0" w:line="240" w:lineRule="auto"/>
              <w:jc w:val="center"/>
              <w:rPr>
                <w:kern w:val="0"/>
                <w:szCs w:val="21"/>
              </w:rPr>
            </w:pPr>
            <w:r>
              <w:rPr>
                <w:rFonts w:hint="eastAsia"/>
                <w:color w:val="000000"/>
                <w:kern w:val="0"/>
                <w:sz w:val="22"/>
                <w:szCs w:val="22"/>
              </w:rPr>
              <w:t>110.6105</w:t>
            </w:r>
          </w:p>
        </w:tc>
        <w:tc>
          <w:tcPr>
            <w:tcW w:w="407" w:type="pct"/>
            <w:noWrap/>
            <w:vAlign w:val="center"/>
          </w:tcPr>
          <w:p w14:paraId="5DF0D5BB">
            <w:pPr>
              <w:widowControl/>
              <w:adjustRightInd w:val="0"/>
              <w:snapToGrid w:val="0"/>
              <w:spacing w:before="0" w:beforeLines="0" w:line="240" w:lineRule="auto"/>
              <w:jc w:val="center"/>
              <w:rPr>
                <w:kern w:val="0"/>
                <w:szCs w:val="21"/>
              </w:rPr>
            </w:pPr>
            <w:r>
              <w:rPr>
                <w:rFonts w:hint="eastAsia"/>
                <w:color w:val="000000"/>
                <w:kern w:val="0"/>
                <w:sz w:val="22"/>
                <w:szCs w:val="22"/>
              </w:rPr>
              <w:t>120</w:t>
            </w:r>
          </w:p>
        </w:tc>
        <w:tc>
          <w:tcPr>
            <w:tcW w:w="469" w:type="pct"/>
            <w:noWrap/>
            <w:vAlign w:val="center"/>
          </w:tcPr>
          <w:p w14:paraId="7B444D35">
            <w:pPr>
              <w:widowControl/>
              <w:adjustRightInd w:val="0"/>
              <w:snapToGrid w:val="0"/>
              <w:spacing w:before="0" w:beforeLines="0" w:line="240" w:lineRule="auto"/>
              <w:jc w:val="center"/>
              <w:rPr>
                <w:kern w:val="0"/>
                <w:szCs w:val="21"/>
              </w:rPr>
            </w:pPr>
            <w:r>
              <w:rPr>
                <w:rFonts w:hint="eastAsia"/>
                <w:color w:val="000000"/>
                <w:kern w:val="0"/>
                <w:sz w:val="22"/>
                <w:szCs w:val="22"/>
              </w:rPr>
              <w:t>92.18</w:t>
            </w:r>
          </w:p>
        </w:tc>
        <w:tc>
          <w:tcPr>
            <w:tcW w:w="266" w:type="pct"/>
            <w:noWrap/>
            <w:vAlign w:val="center"/>
          </w:tcPr>
          <w:p w14:paraId="0652E823">
            <w:pPr>
              <w:widowControl/>
              <w:adjustRightInd w:val="0"/>
              <w:snapToGrid w:val="0"/>
              <w:spacing w:before="0" w:beforeLines="0" w:line="240" w:lineRule="auto"/>
              <w:jc w:val="center"/>
              <w:rPr>
                <w:kern w:val="0"/>
                <w:szCs w:val="21"/>
              </w:rPr>
            </w:pPr>
            <w:r>
              <w:rPr>
                <w:rFonts w:hint="eastAsia"/>
                <w:kern w:val="0"/>
                <w:szCs w:val="21"/>
              </w:rPr>
              <w:t>达标</w:t>
            </w:r>
          </w:p>
        </w:tc>
      </w:tr>
      <w:tr w14:paraId="3B3D6DA4">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14:paraId="5FCB3120">
            <w:pPr>
              <w:widowControl/>
              <w:adjustRightInd w:val="0"/>
              <w:snapToGrid w:val="0"/>
              <w:spacing w:before="0" w:beforeLines="0" w:line="240" w:lineRule="auto"/>
              <w:jc w:val="center"/>
              <w:rPr>
                <w:kern w:val="0"/>
                <w:szCs w:val="21"/>
              </w:rPr>
            </w:pPr>
            <w:r>
              <w:rPr>
                <w:rFonts w:hint="eastAsia"/>
                <w:kern w:val="0"/>
                <w:szCs w:val="21"/>
              </w:rPr>
              <w:t>2</w:t>
            </w:r>
          </w:p>
        </w:tc>
        <w:tc>
          <w:tcPr>
            <w:tcW w:w="489" w:type="pct"/>
            <w:noWrap/>
            <w:vAlign w:val="bottom"/>
          </w:tcPr>
          <w:p w14:paraId="1128819A">
            <w:pPr>
              <w:widowControl/>
              <w:adjustRightInd w:val="0"/>
              <w:snapToGrid w:val="0"/>
              <w:spacing w:before="0" w:beforeLines="0" w:line="240" w:lineRule="auto"/>
              <w:jc w:val="center"/>
              <w:rPr>
                <w:kern w:val="0"/>
                <w:szCs w:val="21"/>
              </w:rPr>
            </w:pPr>
            <w:r>
              <w:rPr>
                <w:rFonts w:hint="eastAsia"/>
                <w:kern w:val="0"/>
                <w:szCs w:val="21"/>
              </w:rPr>
              <w:t>阿哈来村</w:t>
            </w:r>
          </w:p>
        </w:tc>
        <w:tc>
          <w:tcPr>
            <w:tcW w:w="560" w:type="pct"/>
            <w:noWrap/>
            <w:vAlign w:val="bottom"/>
          </w:tcPr>
          <w:p w14:paraId="5A00B6C7">
            <w:pPr>
              <w:widowControl/>
              <w:adjustRightInd w:val="0"/>
              <w:snapToGrid w:val="0"/>
              <w:spacing w:before="0" w:beforeLines="0" w:line="240" w:lineRule="auto"/>
              <w:jc w:val="center"/>
              <w:rPr>
                <w:kern w:val="0"/>
                <w:szCs w:val="21"/>
              </w:rPr>
            </w:pPr>
            <w:r>
              <w:rPr>
                <w:rFonts w:hint="eastAsia"/>
                <w:kern w:val="0"/>
                <w:szCs w:val="21"/>
              </w:rPr>
              <w:t>-2343,584</w:t>
            </w:r>
          </w:p>
        </w:tc>
        <w:tc>
          <w:tcPr>
            <w:tcW w:w="354" w:type="pct"/>
            <w:noWrap/>
            <w:vAlign w:val="bottom"/>
          </w:tcPr>
          <w:p w14:paraId="6870D538">
            <w:pPr>
              <w:widowControl/>
              <w:adjustRightInd w:val="0"/>
              <w:snapToGrid w:val="0"/>
              <w:spacing w:before="0" w:beforeLines="0" w:line="240" w:lineRule="auto"/>
              <w:jc w:val="center"/>
              <w:rPr>
                <w:kern w:val="0"/>
                <w:szCs w:val="21"/>
              </w:rPr>
            </w:pPr>
            <w:r>
              <w:rPr>
                <w:rFonts w:hint="eastAsia"/>
                <w:kern w:val="0"/>
                <w:szCs w:val="21"/>
              </w:rPr>
              <w:t>269.17</w:t>
            </w:r>
          </w:p>
        </w:tc>
        <w:tc>
          <w:tcPr>
            <w:tcW w:w="355" w:type="pct"/>
            <w:noWrap/>
            <w:vAlign w:val="center"/>
          </w:tcPr>
          <w:p w14:paraId="4BB0B8E2">
            <w:pPr>
              <w:widowControl/>
              <w:adjustRightInd w:val="0"/>
              <w:snapToGrid w:val="0"/>
              <w:spacing w:before="0" w:beforeLines="0" w:line="240" w:lineRule="auto"/>
              <w:jc w:val="center"/>
              <w:rPr>
                <w:kern w:val="0"/>
                <w:szCs w:val="21"/>
              </w:rPr>
            </w:pPr>
            <w:r>
              <w:rPr>
                <w:rFonts w:hint="eastAsia"/>
                <w:kern w:val="0"/>
                <w:szCs w:val="21"/>
              </w:rPr>
              <w:t>日平均</w:t>
            </w:r>
          </w:p>
        </w:tc>
        <w:tc>
          <w:tcPr>
            <w:tcW w:w="354" w:type="pct"/>
            <w:noWrap/>
            <w:vAlign w:val="center"/>
          </w:tcPr>
          <w:p w14:paraId="55B19363">
            <w:pPr>
              <w:widowControl/>
              <w:adjustRightInd w:val="0"/>
              <w:snapToGrid w:val="0"/>
              <w:spacing w:before="0" w:beforeLines="0" w:line="240" w:lineRule="auto"/>
              <w:jc w:val="center"/>
              <w:rPr>
                <w:kern w:val="0"/>
                <w:szCs w:val="21"/>
              </w:rPr>
            </w:pPr>
            <w:r>
              <w:rPr>
                <w:rFonts w:hint="eastAsia"/>
                <w:color w:val="000000"/>
                <w:kern w:val="0"/>
                <w:sz w:val="22"/>
                <w:szCs w:val="22"/>
              </w:rPr>
              <w:t>0.1391</w:t>
            </w:r>
          </w:p>
        </w:tc>
        <w:tc>
          <w:tcPr>
            <w:tcW w:w="509" w:type="pct"/>
            <w:noWrap/>
            <w:vAlign w:val="center"/>
          </w:tcPr>
          <w:p w14:paraId="18701C47">
            <w:pPr>
              <w:widowControl/>
              <w:adjustRightInd w:val="0"/>
              <w:snapToGrid w:val="0"/>
              <w:spacing w:before="0" w:beforeLines="0" w:line="240" w:lineRule="auto"/>
              <w:jc w:val="center"/>
              <w:rPr>
                <w:kern w:val="0"/>
                <w:szCs w:val="21"/>
              </w:rPr>
            </w:pPr>
            <w:r>
              <w:rPr>
                <w:rFonts w:hint="eastAsia"/>
                <w:color w:val="000000"/>
                <w:kern w:val="0"/>
                <w:sz w:val="22"/>
                <w:szCs w:val="22"/>
              </w:rPr>
              <w:t>250804</w:t>
            </w:r>
          </w:p>
        </w:tc>
        <w:tc>
          <w:tcPr>
            <w:tcW w:w="458" w:type="pct"/>
            <w:noWrap/>
            <w:vAlign w:val="center"/>
          </w:tcPr>
          <w:p w14:paraId="1FF98512">
            <w:pPr>
              <w:widowControl/>
              <w:adjustRightInd w:val="0"/>
              <w:snapToGrid w:val="0"/>
              <w:spacing w:before="0" w:beforeLines="0" w:line="240" w:lineRule="auto"/>
              <w:jc w:val="center"/>
              <w:rPr>
                <w:kern w:val="0"/>
                <w:szCs w:val="21"/>
              </w:rPr>
            </w:pPr>
            <w:r>
              <w:rPr>
                <w:rFonts w:hint="eastAsia"/>
                <w:color w:val="000000"/>
                <w:kern w:val="0"/>
                <w:sz w:val="22"/>
                <w:szCs w:val="22"/>
              </w:rPr>
              <w:t>110.4</w:t>
            </w:r>
          </w:p>
        </w:tc>
        <w:tc>
          <w:tcPr>
            <w:tcW w:w="609" w:type="pct"/>
            <w:noWrap/>
            <w:vAlign w:val="center"/>
          </w:tcPr>
          <w:p w14:paraId="4272BCA2">
            <w:pPr>
              <w:widowControl/>
              <w:adjustRightInd w:val="0"/>
              <w:snapToGrid w:val="0"/>
              <w:spacing w:before="0" w:beforeLines="0" w:line="240" w:lineRule="auto"/>
              <w:jc w:val="center"/>
              <w:rPr>
                <w:kern w:val="0"/>
                <w:szCs w:val="21"/>
              </w:rPr>
            </w:pPr>
            <w:r>
              <w:rPr>
                <w:rFonts w:hint="eastAsia"/>
                <w:color w:val="000000"/>
                <w:kern w:val="0"/>
                <w:sz w:val="22"/>
                <w:szCs w:val="22"/>
              </w:rPr>
              <w:t>110.5391</w:t>
            </w:r>
          </w:p>
        </w:tc>
        <w:tc>
          <w:tcPr>
            <w:tcW w:w="407" w:type="pct"/>
            <w:noWrap/>
            <w:vAlign w:val="center"/>
          </w:tcPr>
          <w:p w14:paraId="46BB7C6D">
            <w:pPr>
              <w:widowControl/>
              <w:adjustRightInd w:val="0"/>
              <w:snapToGrid w:val="0"/>
              <w:spacing w:before="0" w:beforeLines="0" w:line="240" w:lineRule="auto"/>
              <w:jc w:val="center"/>
              <w:rPr>
                <w:kern w:val="0"/>
                <w:szCs w:val="21"/>
              </w:rPr>
            </w:pPr>
            <w:r>
              <w:rPr>
                <w:rFonts w:hint="eastAsia"/>
                <w:color w:val="000000"/>
                <w:kern w:val="0"/>
                <w:sz w:val="22"/>
                <w:szCs w:val="22"/>
              </w:rPr>
              <w:t>120</w:t>
            </w:r>
          </w:p>
        </w:tc>
        <w:tc>
          <w:tcPr>
            <w:tcW w:w="469" w:type="pct"/>
            <w:noWrap/>
            <w:vAlign w:val="center"/>
          </w:tcPr>
          <w:p w14:paraId="21A138D1">
            <w:pPr>
              <w:widowControl/>
              <w:adjustRightInd w:val="0"/>
              <w:snapToGrid w:val="0"/>
              <w:spacing w:before="0" w:beforeLines="0" w:line="240" w:lineRule="auto"/>
              <w:jc w:val="center"/>
              <w:rPr>
                <w:kern w:val="0"/>
                <w:szCs w:val="21"/>
              </w:rPr>
            </w:pPr>
            <w:r>
              <w:rPr>
                <w:rFonts w:hint="eastAsia"/>
                <w:color w:val="000000"/>
                <w:kern w:val="0"/>
                <w:sz w:val="22"/>
                <w:szCs w:val="22"/>
              </w:rPr>
              <w:t>92.12</w:t>
            </w:r>
          </w:p>
        </w:tc>
        <w:tc>
          <w:tcPr>
            <w:tcW w:w="266" w:type="pct"/>
            <w:noWrap/>
          </w:tcPr>
          <w:p w14:paraId="410D6DE3">
            <w:pPr>
              <w:widowControl/>
              <w:adjustRightInd w:val="0"/>
              <w:snapToGrid w:val="0"/>
              <w:spacing w:before="0" w:beforeLines="0" w:line="240" w:lineRule="auto"/>
              <w:jc w:val="center"/>
              <w:rPr>
                <w:kern w:val="0"/>
                <w:szCs w:val="21"/>
              </w:rPr>
            </w:pPr>
            <w:r>
              <w:rPr>
                <w:rFonts w:hint="eastAsia"/>
                <w:kern w:val="0"/>
                <w:szCs w:val="21"/>
              </w:rPr>
              <w:t>达标</w:t>
            </w:r>
          </w:p>
        </w:tc>
      </w:tr>
      <w:tr w14:paraId="56436471">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14:paraId="3EA3EDB1">
            <w:pPr>
              <w:widowControl/>
              <w:adjustRightInd w:val="0"/>
              <w:snapToGrid w:val="0"/>
              <w:spacing w:before="0" w:beforeLines="0" w:line="240" w:lineRule="auto"/>
              <w:jc w:val="center"/>
              <w:rPr>
                <w:kern w:val="0"/>
                <w:szCs w:val="21"/>
              </w:rPr>
            </w:pPr>
            <w:r>
              <w:rPr>
                <w:rFonts w:hint="eastAsia"/>
                <w:kern w:val="0"/>
                <w:szCs w:val="21"/>
              </w:rPr>
              <w:t>3</w:t>
            </w:r>
          </w:p>
        </w:tc>
        <w:tc>
          <w:tcPr>
            <w:tcW w:w="489" w:type="pct"/>
            <w:noWrap/>
            <w:vAlign w:val="bottom"/>
          </w:tcPr>
          <w:p w14:paraId="31E27339">
            <w:pPr>
              <w:widowControl/>
              <w:adjustRightInd w:val="0"/>
              <w:snapToGrid w:val="0"/>
              <w:spacing w:before="0" w:beforeLines="0" w:line="240" w:lineRule="auto"/>
              <w:jc w:val="center"/>
              <w:rPr>
                <w:kern w:val="0"/>
                <w:szCs w:val="21"/>
              </w:rPr>
            </w:pPr>
            <w:r>
              <w:rPr>
                <w:rFonts w:hint="eastAsia"/>
                <w:kern w:val="0"/>
                <w:szCs w:val="21"/>
              </w:rPr>
              <w:t>庙沟</w:t>
            </w:r>
          </w:p>
        </w:tc>
        <w:tc>
          <w:tcPr>
            <w:tcW w:w="560" w:type="pct"/>
            <w:noWrap/>
            <w:vAlign w:val="bottom"/>
          </w:tcPr>
          <w:p w14:paraId="576B15F7">
            <w:pPr>
              <w:widowControl/>
              <w:adjustRightInd w:val="0"/>
              <w:snapToGrid w:val="0"/>
              <w:spacing w:before="0" w:beforeLines="0" w:line="240" w:lineRule="auto"/>
              <w:jc w:val="center"/>
              <w:rPr>
                <w:kern w:val="0"/>
                <w:szCs w:val="21"/>
              </w:rPr>
            </w:pPr>
            <w:r>
              <w:rPr>
                <w:rFonts w:hint="eastAsia"/>
                <w:kern w:val="0"/>
                <w:szCs w:val="21"/>
              </w:rPr>
              <w:t>-1661，2637</w:t>
            </w:r>
          </w:p>
        </w:tc>
        <w:tc>
          <w:tcPr>
            <w:tcW w:w="354" w:type="pct"/>
            <w:noWrap/>
            <w:vAlign w:val="bottom"/>
          </w:tcPr>
          <w:p w14:paraId="423690C7">
            <w:pPr>
              <w:widowControl/>
              <w:adjustRightInd w:val="0"/>
              <w:snapToGrid w:val="0"/>
              <w:spacing w:before="0" w:beforeLines="0" w:line="240" w:lineRule="auto"/>
              <w:jc w:val="center"/>
              <w:rPr>
                <w:kern w:val="0"/>
                <w:szCs w:val="21"/>
              </w:rPr>
            </w:pPr>
            <w:r>
              <w:rPr>
                <w:rFonts w:hint="eastAsia"/>
                <w:kern w:val="0"/>
                <w:szCs w:val="21"/>
              </w:rPr>
              <w:t>272.07</w:t>
            </w:r>
          </w:p>
        </w:tc>
        <w:tc>
          <w:tcPr>
            <w:tcW w:w="355" w:type="pct"/>
            <w:noWrap/>
            <w:vAlign w:val="center"/>
          </w:tcPr>
          <w:p w14:paraId="425CF949">
            <w:pPr>
              <w:widowControl/>
              <w:adjustRightInd w:val="0"/>
              <w:snapToGrid w:val="0"/>
              <w:spacing w:before="0" w:beforeLines="0" w:line="240" w:lineRule="auto"/>
              <w:jc w:val="center"/>
              <w:rPr>
                <w:kern w:val="0"/>
                <w:szCs w:val="21"/>
              </w:rPr>
            </w:pPr>
            <w:r>
              <w:rPr>
                <w:rFonts w:hint="eastAsia"/>
                <w:kern w:val="0"/>
                <w:szCs w:val="21"/>
              </w:rPr>
              <w:t>日平均</w:t>
            </w:r>
          </w:p>
        </w:tc>
        <w:tc>
          <w:tcPr>
            <w:tcW w:w="354" w:type="pct"/>
            <w:noWrap/>
            <w:vAlign w:val="center"/>
          </w:tcPr>
          <w:p w14:paraId="03D43AF1">
            <w:pPr>
              <w:widowControl/>
              <w:adjustRightInd w:val="0"/>
              <w:snapToGrid w:val="0"/>
              <w:spacing w:before="0" w:beforeLines="0" w:line="240" w:lineRule="auto"/>
              <w:jc w:val="center"/>
              <w:rPr>
                <w:kern w:val="0"/>
                <w:szCs w:val="21"/>
              </w:rPr>
            </w:pPr>
            <w:r>
              <w:rPr>
                <w:rFonts w:hint="eastAsia"/>
                <w:color w:val="000000"/>
                <w:kern w:val="0"/>
                <w:sz w:val="22"/>
                <w:szCs w:val="22"/>
              </w:rPr>
              <w:t>0.2267</w:t>
            </w:r>
          </w:p>
        </w:tc>
        <w:tc>
          <w:tcPr>
            <w:tcW w:w="509" w:type="pct"/>
            <w:noWrap/>
            <w:vAlign w:val="center"/>
          </w:tcPr>
          <w:p w14:paraId="7FE5E5B8">
            <w:pPr>
              <w:widowControl/>
              <w:adjustRightInd w:val="0"/>
              <w:snapToGrid w:val="0"/>
              <w:spacing w:before="0" w:beforeLines="0" w:line="240" w:lineRule="auto"/>
              <w:jc w:val="center"/>
              <w:rPr>
                <w:kern w:val="0"/>
                <w:szCs w:val="21"/>
              </w:rPr>
            </w:pPr>
            <w:r>
              <w:rPr>
                <w:rFonts w:hint="eastAsia"/>
                <w:color w:val="000000"/>
                <w:kern w:val="0"/>
                <w:sz w:val="22"/>
                <w:szCs w:val="22"/>
              </w:rPr>
              <w:t>251118</w:t>
            </w:r>
          </w:p>
        </w:tc>
        <w:tc>
          <w:tcPr>
            <w:tcW w:w="458" w:type="pct"/>
            <w:noWrap/>
            <w:vAlign w:val="center"/>
          </w:tcPr>
          <w:p w14:paraId="31AAD08F">
            <w:pPr>
              <w:widowControl/>
              <w:adjustRightInd w:val="0"/>
              <w:snapToGrid w:val="0"/>
              <w:spacing w:before="0" w:beforeLines="0" w:line="240" w:lineRule="auto"/>
              <w:jc w:val="center"/>
              <w:rPr>
                <w:kern w:val="0"/>
                <w:szCs w:val="21"/>
              </w:rPr>
            </w:pPr>
            <w:r>
              <w:rPr>
                <w:rFonts w:hint="eastAsia"/>
                <w:color w:val="000000"/>
                <w:kern w:val="0"/>
                <w:sz w:val="22"/>
                <w:szCs w:val="22"/>
              </w:rPr>
              <w:t>110.4</w:t>
            </w:r>
          </w:p>
        </w:tc>
        <w:tc>
          <w:tcPr>
            <w:tcW w:w="609" w:type="pct"/>
            <w:noWrap/>
            <w:vAlign w:val="center"/>
          </w:tcPr>
          <w:p w14:paraId="010FDC96">
            <w:pPr>
              <w:widowControl/>
              <w:adjustRightInd w:val="0"/>
              <w:snapToGrid w:val="0"/>
              <w:spacing w:before="0" w:beforeLines="0" w:line="240" w:lineRule="auto"/>
              <w:jc w:val="center"/>
              <w:rPr>
                <w:kern w:val="0"/>
                <w:szCs w:val="21"/>
              </w:rPr>
            </w:pPr>
            <w:r>
              <w:rPr>
                <w:rFonts w:hint="eastAsia"/>
                <w:color w:val="000000"/>
                <w:kern w:val="0"/>
                <w:sz w:val="22"/>
                <w:szCs w:val="22"/>
              </w:rPr>
              <w:t>110.6267</w:t>
            </w:r>
          </w:p>
        </w:tc>
        <w:tc>
          <w:tcPr>
            <w:tcW w:w="407" w:type="pct"/>
            <w:noWrap/>
            <w:vAlign w:val="center"/>
          </w:tcPr>
          <w:p w14:paraId="588E29C7">
            <w:pPr>
              <w:widowControl/>
              <w:adjustRightInd w:val="0"/>
              <w:snapToGrid w:val="0"/>
              <w:spacing w:before="0" w:beforeLines="0" w:line="240" w:lineRule="auto"/>
              <w:jc w:val="center"/>
              <w:rPr>
                <w:kern w:val="0"/>
                <w:szCs w:val="21"/>
              </w:rPr>
            </w:pPr>
            <w:r>
              <w:rPr>
                <w:rFonts w:hint="eastAsia"/>
                <w:color w:val="000000"/>
                <w:kern w:val="0"/>
                <w:sz w:val="22"/>
                <w:szCs w:val="22"/>
              </w:rPr>
              <w:t>120</w:t>
            </w:r>
          </w:p>
        </w:tc>
        <w:tc>
          <w:tcPr>
            <w:tcW w:w="469" w:type="pct"/>
            <w:noWrap/>
            <w:vAlign w:val="center"/>
          </w:tcPr>
          <w:p w14:paraId="60E5957A">
            <w:pPr>
              <w:widowControl/>
              <w:adjustRightInd w:val="0"/>
              <w:snapToGrid w:val="0"/>
              <w:spacing w:before="0" w:beforeLines="0" w:line="240" w:lineRule="auto"/>
              <w:jc w:val="center"/>
              <w:rPr>
                <w:kern w:val="0"/>
                <w:szCs w:val="21"/>
              </w:rPr>
            </w:pPr>
            <w:r>
              <w:rPr>
                <w:rFonts w:hint="eastAsia"/>
                <w:color w:val="000000"/>
                <w:kern w:val="0"/>
                <w:sz w:val="22"/>
                <w:szCs w:val="22"/>
              </w:rPr>
              <w:t>92.19</w:t>
            </w:r>
          </w:p>
        </w:tc>
        <w:tc>
          <w:tcPr>
            <w:tcW w:w="266" w:type="pct"/>
            <w:noWrap/>
          </w:tcPr>
          <w:p w14:paraId="62A45AFC">
            <w:pPr>
              <w:widowControl/>
              <w:adjustRightInd w:val="0"/>
              <w:snapToGrid w:val="0"/>
              <w:spacing w:before="0" w:beforeLines="0" w:line="240" w:lineRule="auto"/>
              <w:jc w:val="center"/>
              <w:rPr>
                <w:kern w:val="0"/>
                <w:szCs w:val="21"/>
              </w:rPr>
            </w:pPr>
            <w:r>
              <w:rPr>
                <w:rFonts w:hint="eastAsia"/>
                <w:kern w:val="0"/>
                <w:szCs w:val="21"/>
              </w:rPr>
              <w:t>达标</w:t>
            </w:r>
          </w:p>
        </w:tc>
      </w:tr>
      <w:tr w14:paraId="0D58ED6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14:paraId="7271164B">
            <w:pPr>
              <w:widowControl/>
              <w:adjustRightInd w:val="0"/>
              <w:snapToGrid w:val="0"/>
              <w:spacing w:before="0" w:beforeLines="0" w:line="240" w:lineRule="auto"/>
              <w:jc w:val="center"/>
              <w:rPr>
                <w:kern w:val="0"/>
                <w:szCs w:val="21"/>
              </w:rPr>
            </w:pPr>
            <w:r>
              <w:rPr>
                <w:rFonts w:hint="eastAsia"/>
                <w:kern w:val="0"/>
                <w:szCs w:val="21"/>
              </w:rPr>
              <w:t>4</w:t>
            </w:r>
          </w:p>
        </w:tc>
        <w:tc>
          <w:tcPr>
            <w:tcW w:w="489" w:type="pct"/>
            <w:noWrap/>
            <w:vAlign w:val="bottom"/>
          </w:tcPr>
          <w:p w14:paraId="777133E1">
            <w:pPr>
              <w:widowControl/>
              <w:adjustRightInd w:val="0"/>
              <w:snapToGrid w:val="0"/>
              <w:spacing w:before="0" w:beforeLines="0" w:line="240" w:lineRule="auto"/>
              <w:jc w:val="center"/>
              <w:rPr>
                <w:kern w:val="0"/>
                <w:szCs w:val="21"/>
              </w:rPr>
            </w:pPr>
            <w:r>
              <w:rPr>
                <w:rFonts w:hint="eastAsia"/>
                <w:kern w:val="0"/>
                <w:szCs w:val="21"/>
              </w:rPr>
              <w:t>南山</w:t>
            </w:r>
          </w:p>
        </w:tc>
        <w:tc>
          <w:tcPr>
            <w:tcW w:w="560" w:type="pct"/>
            <w:noWrap/>
            <w:vAlign w:val="bottom"/>
          </w:tcPr>
          <w:p w14:paraId="4CE029A9">
            <w:pPr>
              <w:widowControl/>
              <w:adjustRightInd w:val="0"/>
              <w:snapToGrid w:val="0"/>
              <w:spacing w:before="0" w:beforeLines="0" w:line="240" w:lineRule="auto"/>
              <w:jc w:val="center"/>
              <w:rPr>
                <w:kern w:val="0"/>
                <w:szCs w:val="21"/>
              </w:rPr>
            </w:pPr>
            <w:r>
              <w:rPr>
                <w:rFonts w:hint="eastAsia"/>
                <w:kern w:val="0"/>
                <w:szCs w:val="21"/>
              </w:rPr>
              <w:t>-2638,-689</w:t>
            </w:r>
          </w:p>
        </w:tc>
        <w:tc>
          <w:tcPr>
            <w:tcW w:w="354" w:type="pct"/>
            <w:noWrap/>
            <w:vAlign w:val="bottom"/>
          </w:tcPr>
          <w:p w14:paraId="4EAB1A07">
            <w:pPr>
              <w:widowControl/>
              <w:adjustRightInd w:val="0"/>
              <w:snapToGrid w:val="0"/>
              <w:spacing w:before="0" w:beforeLines="0" w:line="240" w:lineRule="auto"/>
              <w:jc w:val="center"/>
              <w:rPr>
                <w:kern w:val="0"/>
                <w:szCs w:val="21"/>
              </w:rPr>
            </w:pPr>
            <w:r>
              <w:rPr>
                <w:rFonts w:hint="eastAsia"/>
                <w:kern w:val="0"/>
                <w:szCs w:val="21"/>
              </w:rPr>
              <w:t>276.62</w:t>
            </w:r>
          </w:p>
        </w:tc>
        <w:tc>
          <w:tcPr>
            <w:tcW w:w="355" w:type="pct"/>
            <w:noWrap/>
            <w:vAlign w:val="center"/>
          </w:tcPr>
          <w:p w14:paraId="15124C06">
            <w:pPr>
              <w:widowControl/>
              <w:adjustRightInd w:val="0"/>
              <w:snapToGrid w:val="0"/>
              <w:spacing w:before="0" w:beforeLines="0" w:line="240" w:lineRule="auto"/>
              <w:jc w:val="center"/>
              <w:rPr>
                <w:kern w:val="0"/>
                <w:szCs w:val="21"/>
              </w:rPr>
            </w:pPr>
            <w:r>
              <w:rPr>
                <w:rFonts w:hint="eastAsia"/>
                <w:kern w:val="0"/>
                <w:szCs w:val="21"/>
              </w:rPr>
              <w:t>日平均</w:t>
            </w:r>
          </w:p>
        </w:tc>
        <w:tc>
          <w:tcPr>
            <w:tcW w:w="354" w:type="pct"/>
            <w:noWrap/>
            <w:vAlign w:val="center"/>
          </w:tcPr>
          <w:p w14:paraId="79FB2E9C">
            <w:pPr>
              <w:widowControl/>
              <w:adjustRightInd w:val="0"/>
              <w:snapToGrid w:val="0"/>
              <w:spacing w:before="0" w:beforeLines="0" w:line="240" w:lineRule="auto"/>
              <w:jc w:val="center"/>
              <w:rPr>
                <w:kern w:val="0"/>
                <w:szCs w:val="21"/>
              </w:rPr>
            </w:pPr>
            <w:r>
              <w:rPr>
                <w:rFonts w:hint="eastAsia"/>
                <w:color w:val="000000"/>
                <w:kern w:val="0"/>
                <w:sz w:val="22"/>
                <w:szCs w:val="22"/>
              </w:rPr>
              <w:t>0.1888</w:t>
            </w:r>
          </w:p>
        </w:tc>
        <w:tc>
          <w:tcPr>
            <w:tcW w:w="509" w:type="pct"/>
            <w:noWrap/>
            <w:vAlign w:val="center"/>
          </w:tcPr>
          <w:p w14:paraId="34380BDC">
            <w:pPr>
              <w:widowControl/>
              <w:adjustRightInd w:val="0"/>
              <w:snapToGrid w:val="0"/>
              <w:spacing w:before="0" w:beforeLines="0" w:line="240" w:lineRule="auto"/>
              <w:jc w:val="center"/>
              <w:rPr>
                <w:kern w:val="0"/>
                <w:szCs w:val="21"/>
              </w:rPr>
            </w:pPr>
            <w:r>
              <w:rPr>
                <w:rFonts w:hint="eastAsia"/>
                <w:color w:val="000000"/>
                <w:kern w:val="0"/>
                <w:sz w:val="22"/>
                <w:szCs w:val="22"/>
              </w:rPr>
              <w:t>251019</w:t>
            </w:r>
          </w:p>
        </w:tc>
        <w:tc>
          <w:tcPr>
            <w:tcW w:w="458" w:type="pct"/>
            <w:noWrap/>
            <w:vAlign w:val="center"/>
          </w:tcPr>
          <w:p w14:paraId="652BD40E">
            <w:pPr>
              <w:widowControl/>
              <w:adjustRightInd w:val="0"/>
              <w:snapToGrid w:val="0"/>
              <w:spacing w:before="0" w:beforeLines="0" w:line="240" w:lineRule="auto"/>
              <w:jc w:val="center"/>
              <w:rPr>
                <w:kern w:val="0"/>
                <w:szCs w:val="21"/>
              </w:rPr>
            </w:pPr>
            <w:r>
              <w:rPr>
                <w:rFonts w:hint="eastAsia"/>
                <w:color w:val="000000"/>
                <w:kern w:val="0"/>
                <w:sz w:val="22"/>
                <w:szCs w:val="22"/>
              </w:rPr>
              <w:t>110.4</w:t>
            </w:r>
          </w:p>
        </w:tc>
        <w:tc>
          <w:tcPr>
            <w:tcW w:w="609" w:type="pct"/>
            <w:noWrap/>
            <w:vAlign w:val="center"/>
          </w:tcPr>
          <w:p w14:paraId="5D7314D2">
            <w:pPr>
              <w:widowControl/>
              <w:adjustRightInd w:val="0"/>
              <w:snapToGrid w:val="0"/>
              <w:spacing w:before="0" w:beforeLines="0" w:line="240" w:lineRule="auto"/>
              <w:jc w:val="center"/>
              <w:rPr>
                <w:kern w:val="0"/>
                <w:szCs w:val="21"/>
              </w:rPr>
            </w:pPr>
            <w:r>
              <w:rPr>
                <w:rFonts w:hint="eastAsia"/>
                <w:color w:val="000000"/>
                <w:kern w:val="0"/>
                <w:sz w:val="22"/>
                <w:szCs w:val="22"/>
              </w:rPr>
              <w:t>110.5888</w:t>
            </w:r>
          </w:p>
        </w:tc>
        <w:tc>
          <w:tcPr>
            <w:tcW w:w="407" w:type="pct"/>
            <w:noWrap/>
            <w:vAlign w:val="center"/>
          </w:tcPr>
          <w:p w14:paraId="22F2A02C">
            <w:pPr>
              <w:widowControl/>
              <w:adjustRightInd w:val="0"/>
              <w:snapToGrid w:val="0"/>
              <w:spacing w:before="0" w:beforeLines="0" w:line="240" w:lineRule="auto"/>
              <w:jc w:val="center"/>
              <w:rPr>
                <w:kern w:val="0"/>
                <w:szCs w:val="21"/>
              </w:rPr>
            </w:pPr>
            <w:r>
              <w:rPr>
                <w:rFonts w:hint="eastAsia"/>
                <w:color w:val="000000"/>
                <w:kern w:val="0"/>
                <w:sz w:val="22"/>
                <w:szCs w:val="22"/>
              </w:rPr>
              <w:t>120</w:t>
            </w:r>
          </w:p>
        </w:tc>
        <w:tc>
          <w:tcPr>
            <w:tcW w:w="469" w:type="pct"/>
            <w:noWrap/>
            <w:vAlign w:val="center"/>
          </w:tcPr>
          <w:p w14:paraId="50F77054">
            <w:pPr>
              <w:widowControl/>
              <w:adjustRightInd w:val="0"/>
              <w:snapToGrid w:val="0"/>
              <w:spacing w:before="0" w:beforeLines="0" w:line="240" w:lineRule="auto"/>
              <w:jc w:val="center"/>
              <w:rPr>
                <w:kern w:val="0"/>
                <w:szCs w:val="21"/>
              </w:rPr>
            </w:pPr>
            <w:r>
              <w:rPr>
                <w:rFonts w:hint="eastAsia"/>
                <w:color w:val="000000"/>
                <w:kern w:val="0"/>
                <w:sz w:val="22"/>
                <w:szCs w:val="22"/>
              </w:rPr>
              <w:t>92.16</w:t>
            </w:r>
          </w:p>
        </w:tc>
        <w:tc>
          <w:tcPr>
            <w:tcW w:w="266" w:type="pct"/>
            <w:noWrap/>
          </w:tcPr>
          <w:p w14:paraId="3F9D3722">
            <w:pPr>
              <w:widowControl/>
              <w:adjustRightInd w:val="0"/>
              <w:snapToGrid w:val="0"/>
              <w:spacing w:before="0" w:beforeLines="0" w:line="240" w:lineRule="auto"/>
              <w:jc w:val="center"/>
              <w:rPr>
                <w:kern w:val="0"/>
                <w:szCs w:val="21"/>
              </w:rPr>
            </w:pPr>
            <w:r>
              <w:rPr>
                <w:rFonts w:hint="eastAsia"/>
                <w:kern w:val="0"/>
                <w:szCs w:val="21"/>
              </w:rPr>
              <w:t>达标</w:t>
            </w:r>
          </w:p>
        </w:tc>
      </w:tr>
      <w:tr w14:paraId="4341BDCA">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14:paraId="2798E216">
            <w:pPr>
              <w:widowControl/>
              <w:adjustRightInd w:val="0"/>
              <w:snapToGrid w:val="0"/>
              <w:spacing w:before="0" w:beforeLines="0" w:line="240" w:lineRule="auto"/>
              <w:jc w:val="center"/>
              <w:rPr>
                <w:kern w:val="0"/>
                <w:szCs w:val="21"/>
              </w:rPr>
            </w:pPr>
            <w:r>
              <w:rPr>
                <w:rFonts w:hint="eastAsia"/>
                <w:kern w:val="0"/>
                <w:szCs w:val="21"/>
              </w:rPr>
              <w:t>5</w:t>
            </w:r>
          </w:p>
        </w:tc>
        <w:tc>
          <w:tcPr>
            <w:tcW w:w="489" w:type="pct"/>
            <w:noWrap/>
            <w:vAlign w:val="bottom"/>
          </w:tcPr>
          <w:p w14:paraId="2F263305">
            <w:pPr>
              <w:widowControl/>
              <w:adjustRightInd w:val="0"/>
              <w:snapToGrid w:val="0"/>
              <w:spacing w:before="0" w:beforeLines="0" w:line="240" w:lineRule="auto"/>
              <w:jc w:val="center"/>
              <w:rPr>
                <w:kern w:val="0"/>
                <w:szCs w:val="21"/>
              </w:rPr>
            </w:pPr>
            <w:r>
              <w:rPr>
                <w:rFonts w:hint="eastAsia"/>
                <w:kern w:val="0"/>
                <w:szCs w:val="21"/>
              </w:rPr>
              <w:t>邵家窝堡</w:t>
            </w:r>
          </w:p>
        </w:tc>
        <w:tc>
          <w:tcPr>
            <w:tcW w:w="560" w:type="pct"/>
            <w:noWrap/>
            <w:vAlign w:val="bottom"/>
          </w:tcPr>
          <w:p w14:paraId="6780162A">
            <w:pPr>
              <w:widowControl/>
              <w:adjustRightInd w:val="0"/>
              <w:snapToGrid w:val="0"/>
              <w:spacing w:before="0" w:beforeLines="0" w:line="240" w:lineRule="auto"/>
              <w:jc w:val="center"/>
              <w:rPr>
                <w:kern w:val="0"/>
                <w:szCs w:val="21"/>
              </w:rPr>
            </w:pPr>
            <w:r>
              <w:rPr>
                <w:rFonts w:hint="eastAsia"/>
                <w:kern w:val="0"/>
                <w:szCs w:val="21"/>
              </w:rPr>
              <w:t>636，1878</w:t>
            </w:r>
          </w:p>
        </w:tc>
        <w:tc>
          <w:tcPr>
            <w:tcW w:w="354" w:type="pct"/>
            <w:noWrap/>
            <w:vAlign w:val="bottom"/>
          </w:tcPr>
          <w:p w14:paraId="37DF30CF">
            <w:pPr>
              <w:widowControl/>
              <w:adjustRightInd w:val="0"/>
              <w:snapToGrid w:val="0"/>
              <w:spacing w:before="0" w:beforeLines="0" w:line="240" w:lineRule="auto"/>
              <w:jc w:val="center"/>
              <w:rPr>
                <w:kern w:val="0"/>
                <w:szCs w:val="21"/>
              </w:rPr>
            </w:pPr>
            <w:r>
              <w:rPr>
                <w:rFonts w:hint="eastAsia"/>
                <w:kern w:val="0"/>
                <w:szCs w:val="21"/>
              </w:rPr>
              <w:t>261.61</w:t>
            </w:r>
          </w:p>
        </w:tc>
        <w:tc>
          <w:tcPr>
            <w:tcW w:w="355" w:type="pct"/>
            <w:noWrap/>
            <w:vAlign w:val="center"/>
          </w:tcPr>
          <w:p w14:paraId="08605017">
            <w:pPr>
              <w:widowControl/>
              <w:adjustRightInd w:val="0"/>
              <w:snapToGrid w:val="0"/>
              <w:spacing w:before="0" w:beforeLines="0" w:line="240" w:lineRule="auto"/>
              <w:jc w:val="center"/>
              <w:rPr>
                <w:kern w:val="0"/>
                <w:szCs w:val="21"/>
              </w:rPr>
            </w:pPr>
            <w:r>
              <w:rPr>
                <w:rFonts w:hint="eastAsia"/>
                <w:kern w:val="0"/>
                <w:szCs w:val="21"/>
              </w:rPr>
              <w:t>日平均</w:t>
            </w:r>
          </w:p>
        </w:tc>
        <w:tc>
          <w:tcPr>
            <w:tcW w:w="354" w:type="pct"/>
            <w:noWrap/>
            <w:vAlign w:val="center"/>
          </w:tcPr>
          <w:p w14:paraId="71ED427E">
            <w:pPr>
              <w:widowControl/>
              <w:adjustRightInd w:val="0"/>
              <w:snapToGrid w:val="0"/>
              <w:spacing w:before="0" w:beforeLines="0" w:line="240" w:lineRule="auto"/>
              <w:jc w:val="center"/>
              <w:rPr>
                <w:kern w:val="0"/>
                <w:szCs w:val="21"/>
              </w:rPr>
            </w:pPr>
            <w:r>
              <w:rPr>
                <w:rFonts w:hint="eastAsia"/>
                <w:color w:val="000000"/>
                <w:kern w:val="0"/>
                <w:sz w:val="22"/>
                <w:szCs w:val="22"/>
              </w:rPr>
              <w:t>0.4349</w:t>
            </w:r>
          </w:p>
        </w:tc>
        <w:tc>
          <w:tcPr>
            <w:tcW w:w="509" w:type="pct"/>
            <w:noWrap/>
            <w:vAlign w:val="center"/>
          </w:tcPr>
          <w:p w14:paraId="361CC832">
            <w:pPr>
              <w:widowControl/>
              <w:adjustRightInd w:val="0"/>
              <w:snapToGrid w:val="0"/>
              <w:spacing w:before="0" w:beforeLines="0" w:line="240" w:lineRule="auto"/>
              <w:jc w:val="center"/>
              <w:rPr>
                <w:kern w:val="0"/>
                <w:szCs w:val="21"/>
              </w:rPr>
            </w:pPr>
            <w:r>
              <w:rPr>
                <w:rFonts w:hint="eastAsia"/>
                <w:color w:val="000000"/>
                <w:kern w:val="0"/>
                <w:sz w:val="22"/>
                <w:szCs w:val="22"/>
              </w:rPr>
              <w:t>251007</w:t>
            </w:r>
          </w:p>
        </w:tc>
        <w:tc>
          <w:tcPr>
            <w:tcW w:w="458" w:type="pct"/>
            <w:noWrap/>
            <w:vAlign w:val="center"/>
          </w:tcPr>
          <w:p w14:paraId="0938F9B6">
            <w:pPr>
              <w:widowControl/>
              <w:adjustRightInd w:val="0"/>
              <w:snapToGrid w:val="0"/>
              <w:spacing w:before="0" w:beforeLines="0" w:line="240" w:lineRule="auto"/>
              <w:jc w:val="center"/>
              <w:rPr>
                <w:kern w:val="0"/>
                <w:szCs w:val="21"/>
              </w:rPr>
            </w:pPr>
            <w:r>
              <w:rPr>
                <w:rFonts w:hint="eastAsia"/>
                <w:color w:val="000000"/>
                <w:kern w:val="0"/>
                <w:sz w:val="22"/>
                <w:szCs w:val="22"/>
              </w:rPr>
              <w:t>110.4</w:t>
            </w:r>
          </w:p>
        </w:tc>
        <w:tc>
          <w:tcPr>
            <w:tcW w:w="609" w:type="pct"/>
            <w:noWrap/>
            <w:vAlign w:val="center"/>
          </w:tcPr>
          <w:p w14:paraId="69D082E5">
            <w:pPr>
              <w:widowControl/>
              <w:adjustRightInd w:val="0"/>
              <w:snapToGrid w:val="0"/>
              <w:spacing w:before="0" w:beforeLines="0" w:line="240" w:lineRule="auto"/>
              <w:jc w:val="center"/>
              <w:rPr>
                <w:kern w:val="0"/>
                <w:szCs w:val="21"/>
              </w:rPr>
            </w:pPr>
            <w:r>
              <w:rPr>
                <w:rFonts w:hint="eastAsia"/>
                <w:color w:val="000000"/>
                <w:kern w:val="0"/>
                <w:sz w:val="22"/>
                <w:szCs w:val="22"/>
              </w:rPr>
              <w:t>110.8349</w:t>
            </w:r>
          </w:p>
        </w:tc>
        <w:tc>
          <w:tcPr>
            <w:tcW w:w="407" w:type="pct"/>
            <w:noWrap/>
            <w:vAlign w:val="center"/>
          </w:tcPr>
          <w:p w14:paraId="7F3A8BD7">
            <w:pPr>
              <w:widowControl/>
              <w:adjustRightInd w:val="0"/>
              <w:snapToGrid w:val="0"/>
              <w:spacing w:before="0" w:beforeLines="0" w:line="240" w:lineRule="auto"/>
              <w:jc w:val="center"/>
              <w:rPr>
                <w:kern w:val="0"/>
                <w:szCs w:val="21"/>
              </w:rPr>
            </w:pPr>
            <w:r>
              <w:rPr>
                <w:rFonts w:hint="eastAsia"/>
                <w:color w:val="000000"/>
                <w:kern w:val="0"/>
                <w:sz w:val="22"/>
                <w:szCs w:val="22"/>
              </w:rPr>
              <w:t>120</w:t>
            </w:r>
          </w:p>
        </w:tc>
        <w:tc>
          <w:tcPr>
            <w:tcW w:w="469" w:type="pct"/>
            <w:noWrap/>
            <w:vAlign w:val="center"/>
          </w:tcPr>
          <w:p w14:paraId="0413B297">
            <w:pPr>
              <w:widowControl/>
              <w:adjustRightInd w:val="0"/>
              <w:snapToGrid w:val="0"/>
              <w:spacing w:before="0" w:beforeLines="0" w:line="240" w:lineRule="auto"/>
              <w:jc w:val="center"/>
              <w:rPr>
                <w:kern w:val="0"/>
                <w:szCs w:val="21"/>
              </w:rPr>
            </w:pPr>
            <w:r>
              <w:rPr>
                <w:rFonts w:hint="eastAsia"/>
                <w:color w:val="000000"/>
                <w:kern w:val="0"/>
                <w:sz w:val="22"/>
                <w:szCs w:val="22"/>
              </w:rPr>
              <w:t>92.36</w:t>
            </w:r>
          </w:p>
        </w:tc>
        <w:tc>
          <w:tcPr>
            <w:tcW w:w="266" w:type="pct"/>
            <w:noWrap/>
          </w:tcPr>
          <w:p w14:paraId="02B70B86">
            <w:pPr>
              <w:widowControl/>
              <w:adjustRightInd w:val="0"/>
              <w:snapToGrid w:val="0"/>
              <w:spacing w:before="0" w:beforeLines="0" w:line="240" w:lineRule="auto"/>
              <w:jc w:val="center"/>
              <w:rPr>
                <w:kern w:val="0"/>
                <w:szCs w:val="21"/>
              </w:rPr>
            </w:pPr>
            <w:r>
              <w:rPr>
                <w:rFonts w:hint="eastAsia"/>
                <w:kern w:val="0"/>
                <w:szCs w:val="21"/>
              </w:rPr>
              <w:t>达标</w:t>
            </w:r>
          </w:p>
        </w:tc>
      </w:tr>
      <w:tr w14:paraId="23CF27B2">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14:paraId="4C1ACB5F">
            <w:pPr>
              <w:widowControl/>
              <w:adjustRightInd w:val="0"/>
              <w:snapToGrid w:val="0"/>
              <w:spacing w:before="0" w:beforeLines="0" w:line="240" w:lineRule="auto"/>
              <w:jc w:val="center"/>
              <w:rPr>
                <w:kern w:val="0"/>
                <w:szCs w:val="21"/>
              </w:rPr>
            </w:pPr>
            <w:r>
              <w:rPr>
                <w:rFonts w:hint="eastAsia"/>
                <w:kern w:val="0"/>
                <w:szCs w:val="21"/>
              </w:rPr>
              <w:t>6</w:t>
            </w:r>
          </w:p>
        </w:tc>
        <w:tc>
          <w:tcPr>
            <w:tcW w:w="489" w:type="pct"/>
            <w:noWrap/>
            <w:vAlign w:val="bottom"/>
          </w:tcPr>
          <w:p w14:paraId="3AF8D5F3">
            <w:pPr>
              <w:widowControl/>
              <w:adjustRightInd w:val="0"/>
              <w:snapToGrid w:val="0"/>
              <w:spacing w:before="0" w:beforeLines="0" w:line="240" w:lineRule="auto"/>
              <w:jc w:val="center"/>
              <w:rPr>
                <w:kern w:val="0"/>
                <w:szCs w:val="21"/>
              </w:rPr>
            </w:pPr>
            <w:r>
              <w:rPr>
                <w:rFonts w:hint="eastAsia"/>
                <w:kern w:val="0"/>
                <w:szCs w:val="21"/>
              </w:rPr>
              <w:t>满汉营子</w:t>
            </w:r>
          </w:p>
        </w:tc>
        <w:tc>
          <w:tcPr>
            <w:tcW w:w="560" w:type="pct"/>
            <w:noWrap/>
            <w:vAlign w:val="center"/>
          </w:tcPr>
          <w:p w14:paraId="7734AE54">
            <w:pPr>
              <w:widowControl/>
              <w:adjustRightInd w:val="0"/>
              <w:snapToGrid w:val="0"/>
              <w:spacing w:before="0" w:beforeLines="0" w:line="240" w:lineRule="auto"/>
              <w:jc w:val="center"/>
              <w:rPr>
                <w:kern w:val="0"/>
                <w:szCs w:val="21"/>
              </w:rPr>
            </w:pPr>
            <w:r>
              <w:rPr>
                <w:rFonts w:hint="eastAsia"/>
                <w:kern w:val="0"/>
                <w:szCs w:val="21"/>
              </w:rPr>
              <w:t>2366，1014</w:t>
            </w:r>
          </w:p>
        </w:tc>
        <w:tc>
          <w:tcPr>
            <w:tcW w:w="354" w:type="pct"/>
            <w:noWrap/>
            <w:vAlign w:val="bottom"/>
          </w:tcPr>
          <w:p w14:paraId="3B10D1AA">
            <w:pPr>
              <w:widowControl/>
              <w:adjustRightInd w:val="0"/>
              <w:snapToGrid w:val="0"/>
              <w:spacing w:before="0" w:beforeLines="0" w:line="240" w:lineRule="auto"/>
              <w:jc w:val="center"/>
              <w:rPr>
                <w:kern w:val="0"/>
                <w:szCs w:val="21"/>
              </w:rPr>
            </w:pPr>
            <w:r>
              <w:rPr>
                <w:rFonts w:hint="eastAsia"/>
                <w:kern w:val="0"/>
                <w:szCs w:val="21"/>
              </w:rPr>
              <w:t>262.59</w:t>
            </w:r>
          </w:p>
        </w:tc>
        <w:tc>
          <w:tcPr>
            <w:tcW w:w="355" w:type="pct"/>
            <w:noWrap/>
            <w:vAlign w:val="center"/>
          </w:tcPr>
          <w:p w14:paraId="0F48380F">
            <w:pPr>
              <w:widowControl/>
              <w:adjustRightInd w:val="0"/>
              <w:snapToGrid w:val="0"/>
              <w:spacing w:before="0" w:beforeLines="0" w:line="240" w:lineRule="auto"/>
              <w:jc w:val="center"/>
              <w:rPr>
                <w:kern w:val="0"/>
                <w:szCs w:val="21"/>
              </w:rPr>
            </w:pPr>
            <w:r>
              <w:rPr>
                <w:rFonts w:hint="eastAsia"/>
                <w:kern w:val="0"/>
                <w:szCs w:val="21"/>
              </w:rPr>
              <w:t>日平均</w:t>
            </w:r>
          </w:p>
        </w:tc>
        <w:tc>
          <w:tcPr>
            <w:tcW w:w="354" w:type="pct"/>
            <w:noWrap/>
            <w:vAlign w:val="center"/>
          </w:tcPr>
          <w:p w14:paraId="609B4DFF">
            <w:pPr>
              <w:widowControl/>
              <w:adjustRightInd w:val="0"/>
              <w:snapToGrid w:val="0"/>
              <w:spacing w:before="0" w:beforeLines="0" w:line="240" w:lineRule="auto"/>
              <w:jc w:val="center"/>
              <w:rPr>
                <w:kern w:val="0"/>
                <w:szCs w:val="21"/>
              </w:rPr>
            </w:pPr>
            <w:r>
              <w:rPr>
                <w:rFonts w:hint="eastAsia"/>
                <w:color w:val="000000"/>
                <w:kern w:val="0"/>
                <w:sz w:val="22"/>
                <w:szCs w:val="22"/>
              </w:rPr>
              <w:t>0.0813</w:t>
            </w:r>
          </w:p>
        </w:tc>
        <w:tc>
          <w:tcPr>
            <w:tcW w:w="509" w:type="pct"/>
            <w:noWrap/>
            <w:vAlign w:val="center"/>
          </w:tcPr>
          <w:p w14:paraId="410C1278">
            <w:pPr>
              <w:widowControl/>
              <w:adjustRightInd w:val="0"/>
              <w:snapToGrid w:val="0"/>
              <w:spacing w:before="0" w:beforeLines="0" w:line="240" w:lineRule="auto"/>
              <w:jc w:val="center"/>
              <w:rPr>
                <w:kern w:val="0"/>
                <w:szCs w:val="21"/>
              </w:rPr>
            </w:pPr>
            <w:r>
              <w:rPr>
                <w:rFonts w:hint="eastAsia"/>
                <w:color w:val="000000"/>
                <w:kern w:val="0"/>
                <w:sz w:val="22"/>
                <w:szCs w:val="22"/>
              </w:rPr>
              <w:t>250102</w:t>
            </w:r>
          </w:p>
        </w:tc>
        <w:tc>
          <w:tcPr>
            <w:tcW w:w="458" w:type="pct"/>
            <w:noWrap/>
            <w:vAlign w:val="center"/>
          </w:tcPr>
          <w:p w14:paraId="072D4F7A">
            <w:pPr>
              <w:widowControl/>
              <w:adjustRightInd w:val="0"/>
              <w:snapToGrid w:val="0"/>
              <w:spacing w:before="0" w:beforeLines="0" w:line="240" w:lineRule="auto"/>
              <w:jc w:val="center"/>
              <w:rPr>
                <w:kern w:val="0"/>
                <w:szCs w:val="21"/>
              </w:rPr>
            </w:pPr>
            <w:r>
              <w:rPr>
                <w:rFonts w:hint="eastAsia"/>
                <w:color w:val="000000"/>
                <w:kern w:val="0"/>
                <w:sz w:val="22"/>
                <w:szCs w:val="22"/>
              </w:rPr>
              <w:t>110.4</w:t>
            </w:r>
          </w:p>
        </w:tc>
        <w:tc>
          <w:tcPr>
            <w:tcW w:w="609" w:type="pct"/>
            <w:noWrap/>
            <w:vAlign w:val="center"/>
          </w:tcPr>
          <w:p w14:paraId="704EB28A">
            <w:pPr>
              <w:widowControl/>
              <w:adjustRightInd w:val="0"/>
              <w:snapToGrid w:val="0"/>
              <w:spacing w:before="0" w:beforeLines="0" w:line="240" w:lineRule="auto"/>
              <w:jc w:val="center"/>
              <w:rPr>
                <w:kern w:val="0"/>
                <w:szCs w:val="21"/>
              </w:rPr>
            </w:pPr>
            <w:r>
              <w:rPr>
                <w:rFonts w:hint="eastAsia"/>
                <w:color w:val="000000"/>
                <w:kern w:val="0"/>
                <w:sz w:val="22"/>
                <w:szCs w:val="22"/>
              </w:rPr>
              <w:t>110.4813</w:t>
            </w:r>
          </w:p>
        </w:tc>
        <w:tc>
          <w:tcPr>
            <w:tcW w:w="407" w:type="pct"/>
            <w:noWrap/>
            <w:vAlign w:val="center"/>
          </w:tcPr>
          <w:p w14:paraId="16245351">
            <w:pPr>
              <w:widowControl/>
              <w:adjustRightInd w:val="0"/>
              <w:snapToGrid w:val="0"/>
              <w:spacing w:before="0" w:beforeLines="0" w:line="240" w:lineRule="auto"/>
              <w:jc w:val="center"/>
              <w:rPr>
                <w:kern w:val="0"/>
                <w:szCs w:val="21"/>
              </w:rPr>
            </w:pPr>
            <w:r>
              <w:rPr>
                <w:rFonts w:hint="eastAsia"/>
                <w:color w:val="000000"/>
                <w:kern w:val="0"/>
                <w:sz w:val="22"/>
                <w:szCs w:val="22"/>
              </w:rPr>
              <w:t>120</w:t>
            </w:r>
          </w:p>
        </w:tc>
        <w:tc>
          <w:tcPr>
            <w:tcW w:w="469" w:type="pct"/>
            <w:noWrap/>
            <w:vAlign w:val="center"/>
          </w:tcPr>
          <w:p w14:paraId="0A9D1595">
            <w:pPr>
              <w:widowControl/>
              <w:adjustRightInd w:val="0"/>
              <w:snapToGrid w:val="0"/>
              <w:spacing w:before="0" w:beforeLines="0" w:line="240" w:lineRule="auto"/>
              <w:jc w:val="center"/>
              <w:rPr>
                <w:kern w:val="0"/>
                <w:szCs w:val="21"/>
              </w:rPr>
            </w:pPr>
            <w:r>
              <w:rPr>
                <w:rFonts w:hint="eastAsia"/>
                <w:color w:val="000000"/>
                <w:kern w:val="0"/>
                <w:sz w:val="22"/>
                <w:szCs w:val="22"/>
              </w:rPr>
              <w:t>92.07</w:t>
            </w:r>
          </w:p>
        </w:tc>
        <w:tc>
          <w:tcPr>
            <w:tcW w:w="266" w:type="pct"/>
            <w:noWrap/>
          </w:tcPr>
          <w:p w14:paraId="4751AFB9">
            <w:pPr>
              <w:widowControl/>
              <w:adjustRightInd w:val="0"/>
              <w:snapToGrid w:val="0"/>
              <w:spacing w:before="0" w:beforeLines="0" w:line="240" w:lineRule="auto"/>
              <w:jc w:val="center"/>
              <w:rPr>
                <w:kern w:val="0"/>
                <w:szCs w:val="21"/>
              </w:rPr>
            </w:pPr>
            <w:r>
              <w:rPr>
                <w:rFonts w:hint="eastAsia"/>
                <w:kern w:val="0"/>
                <w:szCs w:val="21"/>
              </w:rPr>
              <w:t>达标</w:t>
            </w:r>
          </w:p>
        </w:tc>
      </w:tr>
      <w:tr w14:paraId="0CB97EA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14:paraId="5D32A92F">
            <w:pPr>
              <w:widowControl/>
              <w:adjustRightInd w:val="0"/>
              <w:snapToGrid w:val="0"/>
              <w:spacing w:before="0" w:beforeLines="0" w:line="240" w:lineRule="auto"/>
              <w:jc w:val="center"/>
              <w:rPr>
                <w:kern w:val="0"/>
                <w:szCs w:val="21"/>
              </w:rPr>
            </w:pPr>
            <w:r>
              <w:rPr>
                <w:rFonts w:hint="eastAsia"/>
                <w:kern w:val="0"/>
                <w:szCs w:val="21"/>
              </w:rPr>
              <w:t>7</w:t>
            </w:r>
          </w:p>
        </w:tc>
        <w:tc>
          <w:tcPr>
            <w:tcW w:w="489" w:type="pct"/>
            <w:noWrap/>
            <w:vAlign w:val="center"/>
          </w:tcPr>
          <w:p w14:paraId="7B9161E3">
            <w:pPr>
              <w:widowControl/>
              <w:adjustRightInd w:val="0"/>
              <w:snapToGrid w:val="0"/>
              <w:spacing w:before="0" w:beforeLines="0" w:line="240" w:lineRule="auto"/>
              <w:jc w:val="center"/>
              <w:rPr>
                <w:kern w:val="0"/>
                <w:szCs w:val="21"/>
              </w:rPr>
            </w:pPr>
            <w:r>
              <w:rPr>
                <w:rFonts w:hint="eastAsia"/>
                <w:kern w:val="0"/>
                <w:szCs w:val="21"/>
              </w:rPr>
              <w:t>他布朗营子</w:t>
            </w:r>
          </w:p>
        </w:tc>
        <w:tc>
          <w:tcPr>
            <w:tcW w:w="560" w:type="pct"/>
            <w:noWrap/>
            <w:vAlign w:val="center"/>
          </w:tcPr>
          <w:p w14:paraId="13653E4C">
            <w:pPr>
              <w:widowControl/>
              <w:adjustRightInd w:val="0"/>
              <w:snapToGrid w:val="0"/>
              <w:spacing w:before="0" w:beforeLines="0" w:line="240" w:lineRule="auto"/>
              <w:jc w:val="center"/>
              <w:rPr>
                <w:kern w:val="0"/>
                <w:szCs w:val="21"/>
              </w:rPr>
            </w:pPr>
            <w:r>
              <w:rPr>
                <w:rFonts w:hint="eastAsia"/>
                <w:kern w:val="0"/>
                <w:szCs w:val="21"/>
              </w:rPr>
              <w:t>2373，-2437</w:t>
            </w:r>
          </w:p>
        </w:tc>
        <w:tc>
          <w:tcPr>
            <w:tcW w:w="354" w:type="pct"/>
            <w:noWrap/>
            <w:vAlign w:val="center"/>
          </w:tcPr>
          <w:p w14:paraId="2E13B4C4">
            <w:pPr>
              <w:widowControl/>
              <w:adjustRightInd w:val="0"/>
              <w:snapToGrid w:val="0"/>
              <w:spacing w:before="0" w:beforeLines="0" w:line="240" w:lineRule="auto"/>
              <w:jc w:val="center"/>
              <w:rPr>
                <w:kern w:val="0"/>
                <w:szCs w:val="21"/>
              </w:rPr>
            </w:pPr>
            <w:r>
              <w:rPr>
                <w:rFonts w:hint="eastAsia"/>
                <w:kern w:val="0"/>
                <w:szCs w:val="21"/>
              </w:rPr>
              <w:t>288.91</w:t>
            </w:r>
          </w:p>
        </w:tc>
        <w:tc>
          <w:tcPr>
            <w:tcW w:w="355" w:type="pct"/>
            <w:noWrap/>
            <w:vAlign w:val="center"/>
          </w:tcPr>
          <w:p w14:paraId="450A7DCC">
            <w:pPr>
              <w:widowControl/>
              <w:adjustRightInd w:val="0"/>
              <w:snapToGrid w:val="0"/>
              <w:spacing w:before="0" w:beforeLines="0" w:line="240" w:lineRule="auto"/>
              <w:jc w:val="center"/>
              <w:rPr>
                <w:kern w:val="0"/>
                <w:szCs w:val="21"/>
              </w:rPr>
            </w:pPr>
            <w:r>
              <w:rPr>
                <w:rFonts w:hint="eastAsia"/>
                <w:kern w:val="0"/>
                <w:szCs w:val="21"/>
              </w:rPr>
              <w:t>日平均</w:t>
            </w:r>
          </w:p>
        </w:tc>
        <w:tc>
          <w:tcPr>
            <w:tcW w:w="354" w:type="pct"/>
            <w:noWrap/>
            <w:vAlign w:val="center"/>
          </w:tcPr>
          <w:p w14:paraId="3E88D699">
            <w:pPr>
              <w:widowControl/>
              <w:adjustRightInd w:val="0"/>
              <w:snapToGrid w:val="0"/>
              <w:spacing w:before="0" w:beforeLines="0" w:line="240" w:lineRule="auto"/>
              <w:jc w:val="center"/>
              <w:rPr>
                <w:kern w:val="0"/>
                <w:szCs w:val="21"/>
              </w:rPr>
            </w:pPr>
            <w:r>
              <w:rPr>
                <w:rFonts w:hint="eastAsia"/>
                <w:color w:val="000000"/>
                <w:kern w:val="0"/>
                <w:sz w:val="22"/>
                <w:szCs w:val="22"/>
              </w:rPr>
              <w:t>0.0875</w:t>
            </w:r>
          </w:p>
        </w:tc>
        <w:tc>
          <w:tcPr>
            <w:tcW w:w="509" w:type="pct"/>
            <w:noWrap/>
            <w:vAlign w:val="center"/>
          </w:tcPr>
          <w:p w14:paraId="229D7D1B">
            <w:pPr>
              <w:widowControl/>
              <w:adjustRightInd w:val="0"/>
              <w:snapToGrid w:val="0"/>
              <w:spacing w:before="0" w:beforeLines="0" w:line="240" w:lineRule="auto"/>
              <w:jc w:val="center"/>
              <w:rPr>
                <w:kern w:val="0"/>
                <w:szCs w:val="21"/>
              </w:rPr>
            </w:pPr>
            <w:r>
              <w:rPr>
                <w:rFonts w:hint="eastAsia"/>
                <w:color w:val="000000"/>
                <w:kern w:val="0"/>
                <w:sz w:val="22"/>
                <w:szCs w:val="22"/>
              </w:rPr>
              <w:t>250116</w:t>
            </w:r>
          </w:p>
        </w:tc>
        <w:tc>
          <w:tcPr>
            <w:tcW w:w="458" w:type="pct"/>
            <w:noWrap/>
            <w:vAlign w:val="center"/>
          </w:tcPr>
          <w:p w14:paraId="0ED54044">
            <w:pPr>
              <w:widowControl/>
              <w:adjustRightInd w:val="0"/>
              <w:snapToGrid w:val="0"/>
              <w:spacing w:before="0" w:beforeLines="0" w:line="240" w:lineRule="auto"/>
              <w:jc w:val="center"/>
              <w:rPr>
                <w:kern w:val="0"/>
                <w:szCs w:val="21"/>
              </w:rPr>
            </w:pPr>
            <w:r>
              <w:rPr>
                <w:rFonts w:hint="eastAsia"/>
                <w:color w:val="000000"/>
                <w:kern w:val="0"/>
                <w:sz w:val="22"/>
                <w:szCs w:val="22"/>
              </w:rPr>
              <w:t>110.4</w:t>
            </w:r>
          </w:p>
        </w:tc>
        <w:tc>
          <w:tcPr>
            <w:tcW w:w="609" w:type="pct"/>
            <w:noWrap/>
            <w:vAlign w:val="center"/>
          </w:tcPr>
          <w:p w14:paraId="260F20CF">
            <w:pPr>
              <w:widowControl/>
              <w:adjustRightInd w:val="0"/>
              <w:snapToGrid w:val="0"/>
              <w:spacing w:before="0" w:beforeLines="0" w:line="240" w:lineRule="auto"/>
              <w:jc w:val="center"/>
              <w:rPr>
                <w:kern w:val="0"/>
                <w:szCs w:val="21"/>
              </w:rPr>
            </w:pPr>
            <w:r>
              <w:rPr>
                <w:rFonts w:hint="eastAsia"/>
                <w:color w:val="000000"/>
                <w:kern w:val="0"/>
                <w:sz w:val="22"/>
                <w:szCs w:val="22"/>
              </w:rPr>
              <w:t>110.4875</w:t>
            </w:r>
          </w:p>
        </w:tc>
        <w:tc>
          <w:tcPr>
            <w:tcW w:w="407" w:type="pct"/>
            <w:noWrap/>
            <w:vAlign w:val="center"/>
          </w:tcPr>
          <w:p w14:paraId="2D6A7034">
            <w:pPr>
              <w:widowControl/>
              <w:adjustRightInd w:val="0"/>
              <w:snapToGrid w:val="0"/>
              <w:spacing w:before="0" w:beforeLines="0" w:line="240" w:lineRule="auto"/>
              <w:jc w:val="center"/>
              <w:rPr>
                <w:kern w:val="0"/>
                <w:szCs w:val="21"/>
              </w:rPr>
            </w:pPr>
            <w:r>
              <w:rPr>
                <w:rFonts w:hint="eastAsia"/>
                <w:color w:val="000000"/>
                <w:kern w:val="0"/>
                <w:sz w:val="22"/>
                <w:szCs w:val="22"/>
              </w:rPr>
              <w:t>120</w:t>
            </w:r>
          </w:p>
        </w:tc>
        <w:tc>
          <w:tcPr>
            <w:tcW w:w="469" w:type="pct"/>
            <w:noWrap/>
            <w:vAlign w:val="center"/>
          </w:tcPr>
          <w:p w14:paraId="675F4DE9">
            <w:pPr>
              <w:widowControl/>
              <w:adjustRightInd w:val="0"/>
              <w:snapToGrid w:val="0"/>
              <w:spacing w:before="0" w:beforeLines="0" w:line="240" w:lineRule="auto"/>
              <w:jc w:val="center"/>
              <w:rPr>
                <w:kern w:val="0"/>
                <w:szCs w:val="21"/>
              </w:rPr>
            </w:pPr>
            <w:r>
              <w:rPr>
                <w:rFonts w:hint="eastAsia"/>
                <w:color w:val="000000"/>
                <w:kern w:val="0"/>
                <w:sz w:val="22"/>
                <w:szCs w:val="22"/>
              </w:rPr>
              <w:t>92.07</w:t>
            </w:r>
          </w:p>
        </w:tc>
        <w:tc>
          <w:tcPr>
            <w:tcW w:w="266" w:type="pct"/>
            <w:noWrap/>
          </w:tcPr>
          <w:p w14:paraId="4E3CC760">
            <w:pPr>
              <w:widowControl/>
              <w:adjustRightInd w:val="0"/>
              <w:snapToGrid w:val="0"/>
              <w:spacing w:before="0" w:beforeLines="0" w:line="240" w:lineRule="auto"/>
              <w:jc w:val="center"/>
              <w:rPr>
                <w:kern w:val="0"/>
                <w:szCs w:val="21"/>
              </w:rPr>
            </w:pPr>
            <w:r>
              <w:rPr>
                <w:rFonts w:hint="eastAsia"/>
                <w:kern w:val="0"/>
                <w:szCs w:val="21"/>
              </w:rPr>
              <w:t>达标</w:t>
            </w:r>
          </w:p>
        </w:tc>
      </w:tr>
      <w:tr w14:paraId="33F9EB0C">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14:paraId="433C78CD">
            <w:pPr>
              <w:widowControl/>
              <w:adjustRightInd w:val="0"/>
              <w:snapToGrid w:val="0"/>
              <w:spacing w:before="0" w:beforeLines="0" w:line="240" w:lineRule="auto"/>
              <w:jc w:val="center"/>
              <w:rPr>
                <w:kern w:val="0"/>
                <w:szCs w:val="21"/>
              </w:rPr>
            </w:pPr>
            <w:r>
              <w:rPr>
                <w:rFonts w:hint="eastAsia"/>
                <w:kern w:val="0"/>
                <w:szCs w:val="21"/>
              </w:rPr>
              <w:t>8</w:t>
            </w:r>
          </w:p>
        </w:tc>
        <w:tc>
          <w:tcPr>
            <w:tcW w:w="489" w:type="pct"/>
            <w:noWrap/>
            <w:vAlign w:val="center"/>
          </w:tcPr>
          <w:p w14:paraId="01F329CB">
            <w:pPr>
              <w:widowControl/>
              <w:adjustRightInd w:val="0"/>
              <w:snapToGrid w:val="0"/>
              <w:spacing w:before="0" w:beforeLines="0" w:line="240" w:lineRule="auto"/>
              <w:jc w:val="center"/>
              <w:rPr>
                <w:kern w:val="0"/>
                <w:szCs w:val="21"/>
              </w:rPr>
            </w:pPr>
            <w:r>
              <w:rPr>
                <w:rFonts w:hint="eastAsia"/>
                <w:kern w:val="0"/>
                <w:szCs w:val="21"/>
              </w:rPr>
              <w:t>那四板营子</w:t>
            </w:r>
          </w:p>
        </w:tc>
        <w:tc>
          <w:tcPr>
            <w:tcW w:w="560" w:type="pct"/>
            <w:noWrap/>
            <w:vAlign w:val="center"/>
          </w:tcPr>
          <w:p w14:paraId="6896F1A3">
            <w:pPr>
              <w:widowControl/>
              <w:adjustRightInd w:val="0"/>
              <w:snapToGrid w:val="0"/>
              <w:spacing w:before="0" w:beforeLines="0" w:line="240" w:lineRule="auto"/>
              <w:jc w:val="center"/>
              <w:rPr>
                <w:kern w:val="0"/>
                <w:szCs w:val="21"/>
              </w:rPr>
            </w:pPr>
            <w:r>
              <w:rPr>
                <w:rFonts w:hint="eastAsia"/>
                <w:kern w:val="0"/>
                <w:szCs w:val="21"/>
              </w:rPr>
              <w:t>1689,-1723</w:t>
            </w:r>
          </w:p>
        </w:tc>
        <w:tc>
          <w:tcPr>
            <w:tcW w:w="354" w:type="pct"/>
            <w:noWrap/>
            <w:vAlign w:val="center"/>
          </w:tcPr>
          <w:p w14:paraId="01C0F075">
            <w:pPr>
              <w:widowControl/>
              <w:adjustRightInd w:val="0"/>
              <w:snapToGrid w:val="0"/>
              <w:spacing w:before="0" w:beforeLines="0" w:line="240" w:lineRule="auto"/>
              <w:jc w:val="center"/>
              <w:rPr>
                <w:kern w:val="0"/>
                <w:szCs w:val="21"/>
              </w:rPr>
            </w:pPr>
            <w:r>
              <w:rPr>
                <w:rFonts w:hint="eastAsia"/>
                <w:kern w:val="0"/>
                <w:szCs w:val="21"/>
              </w:rPr>
              <w:t>292.07</w:t>
            </w:r>
          </w:p>
        </w:tc>
        <w:tc>
          <w:tcPr>
            <w:tcW w:w="355" w:type="pct"/>
            <w:noWrap/>
            <w:vAlign w:val="center"/>
          </w:tcPr>
          <w:p w14:paraId="61D574BF">
            <w:pPr>
              <w:widowControl/>
              <w:adjustRightInd w:val="0"/>
              <w:snapToGrid w:val="0"/>
              <w:spacing w:before="0" w:beforeLines="0" w:line="240" w:lineRule="auto"/>
              <w:jc w:val="center"/>
              <w:rPr>
                <w:kern w:val="0"/>
                <w:szCs w:val="21"/>
              </w:rPr>
            </w:pPr>
            <w:r>
              <w:rPr>
                <w:rFonts w:hint="eastAsia"/>
                <w:kern w:val="0"/>
                <w:szCs w:val="21"/>
              </w:rPr>
              <w:t>日平均</w:t>
            </w:r>
          </w:p>
        </w:tc>
        <w:tc>
          <w:tcPr>
            <w:tcW w:w="354" w:type="pct"/>
            <w:noWrap/>
            <w:vAlign w:val="center"/>
          </w:tcPr>
          <w:p w14:paraId="54EC9EBA">
            <w:pPr>
              <w:widowControl/>
              <w:adjustRightInd w:val="0"/>
              <w:snapToGrid w:val="0"/>
              <w:spacing w:before="0" w:beforeLines="0" w:line="240" w:lineRule="auto"/>
              <w:jc w:val="center"/>
              <w:rPr>
                <w:kern w:val="0"/>
                <w:szCs w:val="21"/>
              </w:rPr>
            </w:pPr>
            <w:r>
              <w:rPr>
                <w:rFonts w:hint="eastAsia"/>
                <w:color w:val="000000"/>
                <w:kern w:val="0"/>
                <w:sz w:val="22"/>
                <w:szCs w:val="22"/>
              </w:rPr>
              <w:t>0.2397</w:t>
            </w:r>
          </w:p>
        </w:tc>
        <w:tc>
          <w:tcPr>
            <w:tcW w:w="509" w:type="pct"/>
            <w:noWrap/>
            <w:vAlign w:val="center"/>
          </w:tcPr>
          <w:p w14:paraId="14922029">
            <w:pPr>
              <w:widowControl/>
              <w:adjustRightInd w:val="0"/>
              <w:snapToGrid w:val="0"/>
              <w:spacing w:before="0" w:beforeLines="0" w:line="240" w:lineRule="auto"/>
              <w:jc w:val="center"/>
              <w:rPr>
                <w:kern w:val="0"/>
                <w:szCs w:val="21"/>
              </w:rPr>
            </w:pPr>
            <w:r>
              <w:rPr>
                <w:rFonts w:hint="eastAsia"/>
                <w:color w:val="000000"/>
                <w:kern w:val="0"/>
                <w:sz w:val="22"/>
                <w:szCs w:val="22"/>
              </w:rPr>
              <w:t>250925</w:t>
            </w:r>
          </w:p>
        </w:tc>
        <w:tc>
          <w:tcPr>
            <w:tcW w:w="458" w:type="pct"/>
            <w:noWrap/>
            <w:vAlign w:val="center"/>
          </w:tcPr>
          <w:p w14:paraId="44E88F86">
            <w:pPr>
              <w:widowControl/>
              <w:adjustRightInd w:val="0"/>
              <w:snapToGrid w:val="0"/>
              <w:spacing w:before="0" w:beforeLines="0" w:line="240" w:lineRule="auto"/>
              <w:jc w:val="center"/>
              <w:rPr>
                <w:kern w:val="0"/>
                <w:szCs w:val="21"/>
              </w:rPr>
            </w:pPr>
            <w:r>
              <w:rPr>
                <w:rFonts w:hint="eastAsia"/>
                <w:color w:val="000000"/>
                <w:kern w:val="0"/>
                <w:sz w:val="22"/>
                <w:szCs w:val="22"/>
              </w:rPr>
              <w:t>110.4</w:t>
            </w:r>
          </w:p>
        </w:tc>
        <w:tc>
          <w:tcPr>
            <w:tcW w:w="609" w:type="pct"/>
            <w:noWrap/>
            <w:vAlign w:val="center"/>
          </w:tcPr>
          <w:p w14:paraId="28D6DE39">
            <w:pPr>
              <w:widowControl/>
              <w:adjustRightInd w:val="0"/>
              <w:snapToGrid w:val="0"/>
              <w:spacing w:before="0" w:beforeLines="0" w:line="240" w:lineRule="auto"/>
              <w:jc w:val="center"/>
              <w:rPr>
                <w:kern w:val="0"/>
                <w:szCs w:val="21"/>
              </w:rPr>
            </w:pPr>
            <w:r>
              <w:rPr>
                <w:rFonts w:hint="eastAsia"/>
                <w:color w:val="000000"/>
                <w:kern w:val="0"/>
                <w:sz w:val="22"/>
                <w:szCs w:val="22"/>
              </w:rPr>
              <w:t>110.6397</w:t>
            </w:r>
          </w:p>
        </w:tc>
        <w:tc>
          <w:tcPr>
            <w:tcW w:w="407" w:type="pct"/>
            <w:noWrap/>
            <w:vAlign w:val="center"/>
          </w:tcPr>
          <w:p w14:paraId="561802AD">
            <w:pPr>
              <w:widowControl/>
              <w:adjustRightInd w:val="0"/>
              <w:snapToGrid w:val="0"/>
              <w:spacing w:before="0" w:beforeLines="0" w:line="240" w:lineRule="auto"/>
              <w:jc w:val="center"/>
              <w:rPr>
                <w:kern w:val="0"/>
                <w:szCs w:val="21"/>
              </w:rPr>
            </w:pPr>
            <w:r>
              <w:rPr>
                <w:rFonts w:hint="eastAsia"/>
                <w:color w:val="000000"/>
                <w:kern w:val="0"/>
                <w:sz w:val="22"/>
                <w:szCs w:val="22"/>
              </w:rPr>
              <w:t>120</w:t>
            </w:r>
          </w:p>
        </w:tc>
        <w:tc>
          <w:tcPr>
            <w:tcW w:w="469" w:type="pct"/>
            <w:noWrap/>
            <w:vAlign w:val="center"/>
          </w:tcPr>
          <w:p w14:paraId="722B9C1C">
            <w:pPr>
              <w:widowControl/>
              <w:adjustRightInd w:val="0"/>
              <w:snapToGrid w:val="0"/>
              <w:spacing w:before="0" w:beforeLines="0" w:line="240" w:lineRule="auto"/>
              <w:jc w:val="center"/>
              <w:rPr>
                <w:kern w:val="0"/>
                <w:szCs w:val="21"/>
              </w:rPr>
            </w:pPr>
            <w:r>
              <w:rPr>
                <w:rFonts w:hint="eastAsia"/>
                <w:color w:val="000000"/>
                <w:kern w:val="0"/>
                <w:sz w:val="22"/>
                <w:szCs w:val="22"/>
              </w:rPr>
              <w:t>92.2</w:t>
            </w:r>
          </w:p>
        </w:tc>
        <w:tc>
          <w:tcPr>
            <w:tcW w:w="266" w:type="pct"/>
            <w:noWrap/>
          </w:tcPr>
          <w:p w14:paraId="0E10C248">
            <w:pPr>
              <w:widowControl/>
              <w:adjustRightInd w:val="0"/>
              <w:snapToGrid w:val="0"/>
              <w:spacing w:before="0" w:beforeLines="0" w:line="240" w:lineRule="auto"/>
              <w:jc w:val="center"/>
              <w:rPr>
                <w:kern w:val="0"/>
                <w:szCs w:val="21"/>
              </w:rPr>
            </w:pPr>
            <w:r>
              <w:rPr>
                <w:rFonts w:hint="eastAsia"/>
                <w:kern w:val="0"/>
                <w:szCs w:val="21"/>
              </w:rPr>
              <w:t>达标</w:t>
            </w:r>
          </w:p>
        </w:tc>
      </w:tr>
      <w:tr w14:paraId="4CA6418A">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14:paraId="15BAE941">
            <w:pPr>
              <w:widowControl/>
              <w:adjustRightInd w:val="0"/>
              <w:snapToGrid w:val="0"/>
              <w:spacing w:before="0" w:beforeLines="0" w:line="240" w:lineRule="auto"/>
              <w:jc w:val="center"/>
              <w:rPr>
                <w:kern w:val="0"/>
                <w:szCs w:val="21"/>
              </w:rPr>
            </w:pPr>
            <w:r>
              <w:rPr>
                <w:rFonts w:hint="eastAsia"/>
                <w:kern w:val="0"/>
                <w:szCs w:val="21"/>
              </w:rPr>
              <w:t>9</w:t>
            </w:r>
          </w:p>
        </w:tc>
        <w:tc>
          <w:tcPr>
            <w:tcW w:w="489" w:type="pct"/>
            <w:noWrap/>
            <w:vAlign w:val="center"/>
          </w:tcPr>
          <w:p w14:paraId="3E931770">
            <w:pPr>
              <w:widowControl/>
              <w:adjustRightInd w:val="0"/>
              <w:snapToGrid w:val="0"/>
              <w:spacing w:before="0" w:beforeLines="0" w:line="240" w:lineRule="auto"/>
              <w:jc w:val="center"/>
              <w:rPr>
                <w:kern w:val="0"/>
                <w:szCs w:val="21"/>
              </w:rPr>
            </w:pPr>
            <w:r>
              <w:rPr>
                <w:rFonts w:hint="eastAsia"/>
                <w:kern w:val="0"/>
                <w:szCs w:val="21"/>
              </w:rPr>
              <w:t>四方庙子村部分居民</w:t>
            </w:r>
          </w:p>
        </w:tc>
        <w:tc>
          <w:tcPr>
            <w:tcW w:w="560" w:type="pct"/>
            <w:noWrap/>
            <w:vAlign w:val="center"/>
          </w:tcPr>
          <w:p w14:paraId="2BF6FFB3">
            <w:pPr>
              <w:widowControl/>
              <w:adjustRightInd w:val="0"/>
              <w:snapToGrid w:val="0"/>
              <w:spacing w:before="0" w:beforeLines="0" w:line="240" w:lineRule="auto"/>
              <w:jc w:val="center"/>
              <w:rPr>
                <w:kern w:val="0"/>
                <w:szCs w:val="21"/>
              </w:rPr>
            </w:pPr>
            <w:r>
              <w:rPr>
                <w:rFonts w:hint="eastAsia"/>
                <w:kern w:val="0"/>
                <w:szCs w:val="21"/>
              </w:rPr>
              <w:t>2265,-2493</w:t>
            </w:r>
          </w:p>
        </w:tc>
        <w:tc>
          <w:tcPr>
            <w:tcW w:w="354" w:type="pct"/>
            <w:noWrap/>
            <w:vAlign w:val="center"/>
          </w:tcPr>
          <w:p w14:paraId="3DBC51F7">
            <w:pPr>
              <w:widowControl/>
              <w:adjustRightInd w:val="0"/>
              <w:snapToGrid w:val="0"/>
              <w:spacing w:before="0" w:beforeLines="0" w:line="240" w:lineRule="auto"/>
              <w:jc w:val="center"/>
              <w:rPr>
                <w:kern w:val="0"/>
                <w:szCs w:val="21"/>
              </w:rPr>
            </w:pPr>
            <w:r>
              <w:rPr>
                <w:rFonts w:hint="eastAsia"/>
                <w:kern w:val="0"/>
                <w:szCs w:val="21"/>
              </w:rPr>
              <w:t>292.07</w:t>
            </w:r>
          </w:p>
        </w:tc>
        <w:tc>
          <w:tcPr>
            <w:tcW w:w="355" w:type="pct"/>
            <w:noWrap/>
            <w:vAlign w:val="center"/>
          </w:tcPr>
          <w:p w14:paraId="7CA145B2">
            <w:pPr>
              <w:widowControl/>
              <w:adjustRightInd w:val="0"/>
              <w:snapToGrid w:val="0"/>
              <w:spacing w:before="0" w:beforeLines="0" w:line="240" w:lineRule="auto"/>
              <w:jc w:val="center"/>
              <w:rPr>
                <w:kern w:val="0"/>
                <w:szCs w:val="21"/>
              </w:rPr>
            </w:pPr>
            <w:r>
              <w:rPr>
                <w:rFonts w:hint="eastAsia"/>
                <w:kern w:val="0"/>
                <w:szCs w:val="21"/>
              </w:rPr>
              <w:t>日平均</w:t>
            </w:r>
          </w:p>
        </w:tc>
        <w:tc>
          <w:tcPr>
            <w:tcW w:w="354" w:type="pct"/>
            <w:noWrap/>
            <w:vAlign w:val="center"/>
          </w:tcPr>
          <w:p w14:paraId="51FBBD1E">
            <w:pPr>
              <w:widowControl/>
              <w:adjustRightInd w:val="0"/>
              <w:snapToGrid w:val="0"/>
              <w:spacing w:before="0" w:beforeLines="0" w:line="240" w:lineRule="auto"/>
              <w:jc w:val="center"/>
              <w:rPr>
                <w:kern w:val="0"/>
                <w:szCs w:val="21"/>
              </w:rPr>
            </w:pPr>
            <w:r>
              <w:rPr>
                <w:rFonts w:hint="eastAsia"/>
                <w:color w:val="000000"/>
                <w:kern w:val="0"/>
                <w:sz w:val="22"/>
                <w:szCs w:val="22"/>
              </w:rPr>
              <w:t>0.1624</w:t>
            </w:r>
          </w:p>
        </w:tc>
        <w:tc>
          <w:tcPr>
            <w:tcW w:w="509" w:type="pct"/>
            <w:noWrap/>
            <w:vAlign w:val="center"/>
          </w:tcPr>
          <w:p w14:paraId="419300B0">
            <w:pPr>
              <w:widowControl/>
              <w:adjustRightInd w:val="0"/>
              <w:snapToGrid w:val="0"/>
              <w:spacing w:before="0" w:beforeLines="0" w:line="240" w:lineRule="auto"/>
              <w:jc w:val="center"/>
              <w:rPr>
                <w:kern w:val="0"/>
                <w:szCs w:val="21"/>
              </w:rPr>
            </w:pPr>
            <w:r>
              <w:rPr>
                <w:rFonts w:hint="eastAsia"/>
                <w:color w:val="000000"/>
                <w:kern w:val="0"/>
                <w:sz w:val="22"/>
                <w:szCs w:val="22"/>
              </w:rPr>
              <w:t>250119</w:t>
            </w:r>
          </w:p>
        </w:tc>
        <w:tc>
          <w:tcPr>
            <w:tcW w:w="458" w:type="pct"/>
            <w:noWrap/>
            <w:vAlign w:val="center"/>
          </w:tcPr>
          <w:p w14:paraId="3F8E4325">
            <w:pPr>
              <w:widowControl/>
              <w:adjustRightInd w:val="0"/>
              <w:snapToGrid w:val="0"/>
              <w:spacing w:before="0" w:beforeLines="0" w:line="240" w:lineRule="auto"/>
              <w:jc w:val="center"/>
              <w:rPr>
                <w:kern w:val="0"/>
                <w:szCs w:val="21"/>
              </w:rPr>
            </w:pPr>
            <w:r>
              <w:rPr>
                <w:rFonts w:hint="eastAsia"/>
                <w:color w:val="000000"/>
                <w:kern w:val="0"/>
                <w:sz w:val="22"/>
                <w:szCs w:val="22"/>
              </w:rPr>
              <w:t>110.4</w:t>
            </w:r>
          </w:p>
        </w:tc>
        <w:tc>
          <w:tcPr>
            <w:tcW w:w="609" w:type="pct"/>
            <w:noWrap/>
            <w:vAlign w:val="center"/>
          </w:tcPr>
          <w:p w14:paraId="4FB2A8CC">
            <w:pPr>
              <w:widowControl/>
              <w:adjustRightInd w:val="0"/>
              <w:snapToGrid w:val="0"/>
              <w:spacing w:before="0" w:beforeLines="0" w:line="240" w:lineRule="auto"/>
              <w:jc w:val="center"/>
              <w:rPr>
                <w:kern w:val="0"/>
                <w:szCs w:val="21"/>
              </w:rPr>
            </w:pPr>
            <w:r>
              <w:rPr>
                <w:rFonts w:hint="eastAsia"/>
                <w:color w:val="000000"/>
                <w:kern w:val="0"/>
                <w:sz w:val="22"/>
                <w:szCs w:val="22"/>
              </w:rPr>
              <w:t>110.5624</w:t>
            </w:r>
          </w:p>
        </w:tc>
        <w:tc>
          <w:tcPr>
            <w:tcW w:w="407" w:type="pct"/>
            <w:noWrap/>
            <w:vAlign w:val="center"/>
          </w:tcPr>
          <w:p w14:paraId="14028975">
            <w:pPr>
              <w:widowControl/>
              <w:adjustRightInd w:val="0"/>
              <w:snapToGrid w:val="0"/>
              <w:spacing w:before="0" w:beforeLines="0" w:line="240" w:lineRule="auto"/>
              <w:jc w:val="center"/>
              <w:rPr>
                <w:kern w:val="0"/>
                <w:szCs w:val="21"/>
              </w:rPr>
            </w:pPr>
            <w:r>
              <w:rPr>
                <w:rFonts w:hint="eastAsia"/>
                <w:color w:val="000000"/>
                <w:kern w:val="0"/>
                <w:sz w:val="22"/>
                <w:szCs w:val="22"/>
              </w:rPr>
              <w:t>120</w:t>
            </w:r>
          </w:p>
        </w:tc>
        <w:tc>
          <w:tcPr>
            <w:tcW w:w="469" w:type="pct"/>
            <w:noWrap/>
            <w:vAlign w:val="center"/>
          </w:tcPr>
          <w:p w14:paraId="405FFDD5">
            <w:pPr>
              <w:widowControl/>
              <w:adjustRightInd w:val="0"/>
              <w:snapToGrid w:val="0"/>
              <w:spacing w:before="0" w:beforeLines="0" w:line="240" w:lineRule="auto"/>
              <w:jc w:val="center"/>
              <w:rPr>
                <w:kern w:val="0"/>
                <w:szCs w:val="21"/>
              </w:rPr>
            </w:pPr>
            <w:r>
              <w:rPr>
                <w:rFonts w:hint="eastAsia"/>
                <w:color w:val="000000"/>
                <w:kern w:val="0"/>
                <w:sz w:val="22"/>
                <w:szCs w:val="22"/>
              </w:rPr>
              <w:t>92.14</w:t>
            </w:r>
          </w:p>
        </w:tc>
        <w:tc>
          <w:tcPr>
            <w:tcW w:w="266" w:type="pct"/>
            <w:noWrap/>
          </w:tcPr>
          <w:p w14:paraId="3D99B44A">
            <w:pPr>
              <w:widowControl/>
              <w:adjustRightInd w:val="0"/>
              <w:snapToGrid w:val="0"/>
              <w:spacing w:before="0" w:beforeLines="0" w:line="240" w:lineRule="auto"/>
              <w:jc w:val="center"/>
              <w:rPr>
                <w:kern w:val="0"/>
                <w:szCs w:val="21"/>
              </w:rPr>
            </w:pPr>
            <w:r>
              <w:rPr>
                <w:rFonts w:hint="eastAsia"/>
                <w:kern w:val="0"/>
                <w:szCs w:val="21"/>
              </w:rPr>
              <w:t>达标</w:t>
            </w:r>
          </w:p>
        </w:tc>
      </w:tr>
      <w:tr w14:paraId="2D3299FA">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14:paraId="212D2FFD">
            <w:pPr>
              <w:widowControl/>
              <w:adjustRightInd w:val="0"/>
              <w:snapToGrid w:val="0"/>
              <w:spacing w:before="0" w:beforeLines="0" w:line="240" w:lineRule="auto"/>
              <w:jc w:val="center"/>
              <w:rPr>
                <w:kern w:val="0"/>
                <w:szCs w:val="21"/>
              </w:rPr>
            </w:pPr>
            <w:r>
              <w:rPr>
                <w:rFonts w:hint="eastAsia"/>
                <w:kern w:val="0"/>
                <w:szCs w:val="21"/>
              </w:rPr>
              <w:t>10</w:t>
            </w:r>
          </w:p>
        </w:tc>
        <w:tc>
          <w:tcPr>
            <w:tcW w:w="489" w:type="pct"/>
            <w:noWrap/>
            <w:vAlign w:val="center"/>
          </w:tcPr>
          <w:p w14:paraId="5D96C31E">
            <w:pPr>
              <w:widowControl/>
              <w:adjustRightInd w:val="0"/>
              <w:snapToGrid w:val="0"/>
              <w:spacing w:before="0" w:beforeLines="0" w:line="240" w:lineRule="auto"/>
              <w:jc w:val="center"/>
              <w:rPr>
                <w:kern w:val="0"/>
                <w:szCs w:val="21"/>
              </w:rPr>
            </w:pPr>
            <w:r>
              <w:rPr>
                <w:rFonts w:hint="eastAsia"/>
                <w:kern w:val="0"/>
                <w:szCs w:val="21"/>
              </w:rPr>
              <w:t>胡家沟</w:t>
            </w:r>
          </w:p>
        </w:tc>
        <w:tc>
          <w:tcPr>
            <w:tcW w:w="560" w:type="pct"/>
            <w:noWrap/>
            <w:vAlign w:val="center"/>
          </w:tcPr>
          <w:p w14:paraId="7BC8374D">
            <w:pPr>
              <w:widowControl/>
              <w:adjustRightInd w:val="0"/>
              <w:snapToGrid w:val="0"/>
              <w:spacing w:before="0" w:beforeLines="0" w:line="240" w:lineRule="auto"/>
              <w:jc w:val="center"/>
              <w:rPr>
                <w:kern w:val="0"/>
                <w:szCs w:val="21"/>
              </w:rPr>
            </w:pPr>
            <w:r>
              <w:rPr>
                <w:rFonts w:hint="eastAsia"/>
                <w:kern w:val="0"/>
                <w:szCs w:val="21"/>
              </w:rPr>
              <w:t>-348,-1765</w:t>
            </w:r>
          </w:p>
        </w:tc>
        <w:tc>
          <w:tcPr>
            <w:tcW w:w="354" w:type="pct"/>
            <w:noWrap/>
            <w:vAlign w:val="center"/>
          </w:tcPr>
          <w:p w14:paraId="4AFE8A45">
            <w:pPr>
              <w:widowControl/>
              <w:adjustRightInd w:val="0"/>
              <w:snapToGrid w:val="0"/>
              <w:spacing w:before="0" w:beforeLines="0" w:line="240" w:lineRule="auto"/>
              <w:jc w:val="center"/>
              <w:rPr>
                <w:kern w:val="0"/>
                <w:szCs w:val="21"/>
              </w:rPr>
            </w:pPr>
            <w:r>
              <w:rPr>
                <w:rFonts w:hint="eastAsia"/>
                <w:kern w:val="0"/>
                <w:szCs w:val="21"/>
              </w:rPr>
              <w:t>297.65</w:t>
            </w:r>
          </w:p>
        </w:tc>
        <w:tc>
          <w:tcPr>
            <w:tcW w:w="355" w:type="pct"/>
            <w:noWrap/>
            <w:vAlign w:val="center"/>
          </w:tcPr>
          <w:p w14:paraId="220B584D">
            <w:pPr>
              <w:widowControl/>
              <w:adjustRightInd w:val="0"/>
              <w:snapToGrid w:val="0"/>
              <w:spacing w:before="0" w:beforeLines="0" w:line="240" w:lineRule="auto"/>
              <w:jc w:val="center"/>
              <w:rPr>
                <w:kern w:val="0"/>
                <w:szCs w:val="21"/>
              </w:rPr>
            </w:pPr>
            <w:r>
              <w:rPr>
                <w:rFonts w:hint="eastAsia"/>
                <w:kern w:val="0"/>
                <w:szCs w:val="21"/>
              </w:rPr>
              <w:t>日平均</w:t>
            </w:r>
          </w:p>
        </w:tc>
        <w:tc>
          <w:tcPr>
            <w:tcW w:w="354" w:type="pct"/>
            <w:noWrap/>
            <w:vAlign w:val="center"/>
          </w:tcPr>
          <w:p w14:paraId="284756A5">
            <w:pPr>
              <w:widowControl/>
              <w:adjustRightInd w:val="0"/>
              <w:snapToGrid w:val="0"/>
              <w:spacing w:before="0" w:beforeLines="0" w:line="240" w:lineRule="auto"/>
              <w:jc w:val="center"/>
              <w:rPr>
                <w:kern w:val="0"/>
                <w:szCs w:val="21"/>
              </w:rPr>
            </w:pPr>
            <w:r>
              <w:rPr>
                <w:rFonts w:hint="eastAsia"/>
                <w:color w:val="000000"/>
                <w:kern w:val="0"/>
                <w:sz w:val="22"/>
                <w:szCs w:val="22"/>
              </w:rPr>
              <w:t>0.3188</w:t>
            </w:r>
          </w:p>
        </w:tc>
        <w:tc>
          <w:tcPr>
            <w:tcW w:w="509" w:type="pct"/>
            <w:noWrap/>
            <w:vAlign w:val="center"/>
          </w:tcPr>
          <w:p w14:paraId="53D3B528">
            <w:pPr>
              <w:widowControl/>
              <w:adjustRightInd w:val="0"/>
              <w:snapToGrid w:val="0"/>
              <w:spacing w:before="0" w:beforeLines="0" w:line="240" w:lineRule="auto"/>
              <w:jc w:val="center"/>
              <w:rPr>
                <w:kern w:val="0"/>
                <w:szCs w:val="21"/>
              </w:rPr>
            </w:pPr>
            <w:r>
              <w:rPr>
                <w:rFonts w:hint="eastAsia"/>
                <w:color w:val="000000"/>
                <w:kern w:val="0"/>
                <w:sz w:val="22"/>
                <w:szCs w:val="22"/>
              </w:rPr>
              <w:t>250206</w:t>
            </w:r>
          </w:p>
        </w:tc>
        <w:tc>
          <w:tcPr>
            <w:tcW w:w="458" w:type="pct"/>
            <w:noWrap/>
            <w:vAlign w:val="center"/>
          </w:tcPr>
          <w:p w14:paraId="7BD9A8BA">
            <w:pPr>
              <w:widowControl/>
              <w:adjustRightInd w:val="0"/>
              <w:snapToGrid w:val="0"/>
              <w:spacing w:before="0" w:beforeLines="0" w:line="240" w:lineRule="auto"/>
              <w:jc w:val="center"/>
              <w:rPr>
                <w:kern w:val="0"/>
                <w:szCs w:val="21"/>
              </w:rPr>
            </w:pPr>
            <w:r>
              <w:rPr>
                <w:rFonts w:hint="eastAsia"/>
                <w:color w:val="000000"/>
                <w:kern w:val="0"/>
                <w:sz w:val="22"/>
                <w:szCs w:val="22"/>
              </w:rPr>
              <w:t>110.4</w:t>
            </w:r>
          </w:p>
        </w:tc>
        <w:tc>
          <w:tcPr>
            <w:tcW w:w="609" w:type="pct"/>
            <w:noWrap/>
            <w:vAlign w:val="center"/>
          </w:tcPr>
          <w:p w14:paraId="682AE8AB">
            <w:pPr>
              <w:widowControl/>
              <w:adjustRightInd w:val="0"/>
              <w:snapToGrid w:val="0"/>
              <w:spacing w:before="0" w:beforeLines="0" w:line="240" w:lineRule="auto"/>
              <w:jc w:val="center"/>
              <w:rPr>
                <w:kern w:val="0"/>
                <w:szCs w:val="21"/>
              </w:rPr>
            </w:pPr>
            <w:r>
              <w:rPr>
                <w:rFonts w:hint="eastAsia"/>
                <w:color w:val="000000"/>
                <w:kern w:val="0"/>
                <w:sz w:val="22"/>
                <w:szCs w:val="22"/>
              </w:rPr>
              <w:t>110.7188</w:t>
            </w:r>
          </w:p>
        </w:tc>
        <w:tc>
          <w:tcPr>
            <w:tcW w:w="407" w:type="pct"/>
            <w:noWrap/>
            <w:vAlign w:val="center"/>
          </w:tcPr>
          <w:p w14:paraId="512CE720">
            <w:pPr>
              <w:widowControl/>
              <w:adjustRightInd w:val="0"/>
              <w:snapToGrid w:val="0"/>
              <w:spacing w:before="0" w:beforeLines="0" w:line="240" w:lineRule="auto"/>
              <w:jc w:val="center"/>
              <w:rPr>
                <w:kern w:val="0"/>
                <w:szCs w:val="21"/>
              </w:rPr>
            </w:pPr>
            <w:r>
              <w:rPr>
                <w:rFonts w:hint="eastAsia"/>
                <w:color w:val="000000"/>
                <w:kern w:val="0"/>
                <w:sz w:val="22"/>
                <w:szCs w:val="22"/>
              </w:rPr>
              <w:t>120</w:t>
            </w:r>
          </w:p>
        </w:tc>
        <w:tc>
          <w:tcPr>
            <w:tcW w:w="469" w:type="pct"/>
            <w:noWrap/>
            <w:vAlign w:val="center"/>
          </w:tcPr>
          <w:p w14:paraId="42AB8BE5">
            <w:pPr>
              <w:widowControl/>
              <w:adjustRightInd w:val="0"/>
              <w:snapToGrid w:val="0"/>
              <w:spacing w:before="0" w:beforeLines="0" w:line="240" w:lineRule="auto"/>
              <w:jc w:val="center"/>
              <w:rPr>
                <w:kern w:val="0"/>
                <w:szCs w:val="21"/>
              </w:rPr>
            </w:pPr>
            <w:r>
              <w:rPr>
                <w:rFonts w:hint="eastAsia"/>
                <w:color w:val="000000"/>
                <w:kern w:val="0"/>
                <w:sz w:val="22"/>
                <w:szCs w:val="22"/>
              </w:rPr>
              <w:t>92.27</w:t>
            </w:r>
          </w:p>
        </w:tc>
        <w:tc>
          <w:tcPr>
            <w:tcW w:w="266" w:type="pct"/>
            <w:noWrap/>
          </w:tcPr>
          <w:p w14:paraId="4A229ECA">
            <w:pPr>
              <w:widowControl/>
              <w:adjustRightInd w:val="0"/>
              <w:snapToGrid w:val="0"/>
              <w:spacing w:before="0" w:beforeLines="0" w:line="240" w:lineRule="auto"/>
              <w:jc w:val="center"/>
              <w:rPr>
                <w:kern w:val="0"/>
                <w:szCs w:val="21"/>
              </w:rPr>
            </w:pPr>
            <w:r>
              <w:rPr>
                <w:rFonts w:hint="eastAsia"/>
                <w:kern w:val="0"/>
                <w:szCs w:val="21"/>
              </w:rPr>
              <w:t>达标</w:t>
            </w:r>
          </w:p>
        </w:tc>
      </w:tr>
      <w:tr w14:paraId="1D842156">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14:paraId="0949E98F">
            <w:pPr>
              <w:widowControl/>
              <w:adjustRightInd w:val="0"/>
              <w:snapToGrid w:val="0"/>
              <w:spacing w:before="0" w:beforeLines="0" w:line="240" w:lineRule="auto"/>
              <w:jc w:val="center"/>
              <w:rPr>
                <w:kern w:val="0"/>
                <w:szCs w:val="21"/>
              </w:rPr>
            </w:pPr>
            <w:r>
              <w:rPr>
                <w:rFonts w:hint="eastAsia"/>
                <w:kern w:val="0"/>
                <w:szCs w:val="21"/>
              </w:rPr>
              <w:t>11</w:t>
            </w:r>
          </w:p>
        </w:tc>
        <w:tc>
          <w:tcPr>
            <w:tcW w:w="489" w:type="pct"/>
            <w:noWrap/>
            <w:vAlign w:val="center"/>
          </w:tcPr>
          <w:p w14:paraId="7391CF57">
            <w:pPr>
              <w:widowControl/>
              <w:adjustRightInd w:val="0"/>
              <w:snapToGrid w:val="0"/>
              <w:spacing w:before="0" w:beforeLines="0" w:line="240" w:lineRule="auto"/>
              <w:jc w:val="center"/>
              <w:rPr>
                <w:kern w:val="0"/>
                <w:szCs w:val="21"/>
              </w:rPr>
            </w:pPr>
            <w:r>
              <w:rPr>
                <w:rFonts w:hint="eastAsia"/>
                <w:kern w:val="0"/>
                <w:szCs w:val="21"/>
              </w:rPr>
              <w:t>区域最大落地浓度点</w:t>
            </w:r>
          </w:p>
        </w:tc>
        <w:tc>
          <w:tcPr>
            <w:tcW w:w="560" w:type="pct"/>
            <w:noWrap/>
            <w:vAlign w:val="center"/>
          </w:tcPr>
          <w:p w14:paraId="3BCC25E1">
            <w:pPr>
              <w:widowControl/>
              <w:adjustRightInd w:val="0"/>
              <w:snapToGrid w:val="0"/>
              <w:spacing w:before="0" w:beforeLines="0" w:line="240" w:lineRule="auto"/>
              <w:jc w:val="center"/>
              <w:rPr>
                <w:kern w:val="0"/>
                <w:szCs w:val="21"/>
              </w:rPr>
            </w:pPr>
            <w:r>
              <w:rPr>
                <w:rFonts w:hint="eastAsia"/>
                <w:kern w:val="0"/>
                <w:szCs w:val="21"/>
              </w:rPr>
              <w:t>0,100</w:t>
            </w:r>
          </w:p>
        </w:tc>
        <w:tc>
          <w:tcPr>
            <w:tcW w:w="354" w:type="pct"/>
            <w:noWrap/>
            <w:vAlign w:val="center"/>
          </w:tcPr>
          <w:p w14:paraId="21D60A86">
            <w:pPr>
              <w:widowControl/>
              <w:adjustRightInd w:val="0"/>
              <w:snapToGrid w:val="0"/>
              <w:spacing w:before="0" w:beforeLines="0" w:line="240" w:lineRule="auto"/>
              <w:jc w:val="center"/>
              <w:rPr>
                <w:kern w:val="0"/>
                <w:szCs w:val="21"/>
              </w:rPr>
            </w:pPr>
            <w:r>
              <w:rPr>
                <w:rFonts w:hint="eastAsia"/>
                <w:kern w:val="0"/>
                <w:szCs w:val="21"/>
              </w:rPr>
              <w:t>298.80</w:t>
            </w:r>
          </w:p>
        </w:tc>
        <w:tc>
          <w:tcPr>
            <w:tcW w:w="355" w:type="pct"/>
            <w:noWrap/>
            <w:vAlign w:val="center"/>
          </w:tcPr>
          <w:p w14:paraId="2B5E6BBB">
            <w:pPr>
              <w:widowControl/>
              <w:adjustRightInd w:val="0"/>
              <w:snapToGrid w:val="0"/>
              <w:spacing w:before="0" w:beforeLines="0" w:line="240" w:lineRule="auto"/>
              <w:jc w:val="center"/>
              <w:rPr>
                <w:kern w:val="0"/>
                <w:szCs w:val="21"/>
              </w:rPr>
            </w:pPr>
            <w:r>
              <w:rPr>
                <w:rFonts w:hint="eastAsia"/>
                <w:kern w:val="0"/>
                <w:szCs w:val="21"/>
              </w:rPr>
              <w:t>日平均</w:t>
            </w:r>
          </w:p>
        </w:tc>
        <w:tc>
          <w:tcPr>
            <w:tcW w:w="354" w:type="pct"/>
            <w:noWrap/>
            <w:vAlign w:val="center"/>
          </w:tcPr>
          <w:p w14:paraId="6057AF7C">
            <w:pPr>
              <w:widowControl/>
              <w:adjustRightInd w:val="0"/>
              <w:snapToGrid w:val="0"/>
              <w:spacing w:before="0" w:beforeLines="0" w:line="240" w:lineRule="auto"/>
              <w:jc w:val="center"/>
              <w:rPr>
                <w:kern w:val="0"/>
                <w:szCs w:val="21"/>
              </w:rPr>
            </w:pPr>
            <w:r>
              <w:rPr>
                <w:rFonts w:hint="eastAsia"/>
                <w:color w:val="000000"/>
                <w:kern w:val="0"/>
                <w:sz w:val="22"/>
                <w:szCs w:val="22"/>
              </w:rPr>
              <w:t>7.1099</w:t>
            </w:r>
          </w:p>
        </w:tc>
        <w:tc>
          <w:tcPr>
            <w:tcW w:w="509" w:type="pct"/>
            <w:noWrap/>
            <w:vAlign w:val="center"/>
          </w:tcPr>
          <w:p w14:paraId="1EF41DFD">
            <w:pPr>
              <w:widowControl/>
              <w:adjustRightInd w:val="0"/>
              <w:snapToGrid w:val="0"/>
              <w:spacing w:before="0" w:beforeLines="0" w:line="240" w:lineRule="auto"/>
              <w:jc w:val="center"/>
              <w:rPr>
                <w:kern w:val="0"/>
                <w:szCs w:val="21"/>
              </w:rPr>
            </w:pPr>
            <w:r>
              <w:rPr>
                <w:rFonts w:hint="eastAsia"/>
                <w:color w:val="000000"/>
                <w:kern w:val="0"/>
                <w:sz w:val="22"/>
                <w:szCs w:val="22"/>
              </w:rPr>
              <w:t>250624</w:t>
            </w:r>
          </w:p>
        </w:tc>
        <w:tc>
          <w:tcPr>
            <w:tcW w:w="458" w:type="pct"/>
            <w:noWrap/>
            <w:vAlign w:val="center"/>
          </w:tcPr>
          <w:p w14:paraId="162F22A4">
            <w:pPr>
              <w:widowControl/>
              <w:adjustRightInd w:val="0"/>
              <w:snapToGrid w:val="0"/>
              <w:spacing w:before="0" w:beforeLines="0" w:line="240" w:lineRule="auto"/>
              <w:jc w:val="center"/>
              <w:rPr>
                <w:kern w:val="0"/>
                <w:szCs w:val="21"/>
              </w:rPr>
            </w:pPr>
            <w:r>
              <w:rPr>
                <w:rFonts w:hint="eastAsia"/>
                <w:color w:val="000000"/>
                <w:kern w:val="0"/>
                <w:sz w:val="22"/>
                <w:szCs w:val="22"/>
              </w:rPr>
              <w:t>110.4</w:t>
            </w:r>
          </w:p>
        </w:tc>
        <w:tc>
          <w:tcPr>
            <w:tcW w:w="609" w:type="pct"/>
            <w:noWrap/>
            <w:vAlign w:val="center"/>
          </w:tcPr>
          <w:p w14:paraId="2950BC1B">
            <w:pPr>
              <w:widowControl/>
              <w:adjustRightInd w:val="0"/>
              <w:snapToGrid w:val="0"/>
              <w:spacing w:before="0" w:beforeLines="0" w:line="240" w:lineRule="auto"/>
              <w:jc w:val="center"/>
              <w:rPr>
                <w:kern w:val="0"/>
                <w:szCs w:val="21"/>
              </w:rPr>
            </w:pPr>
            <w:r>
              <w:rPr>
                <w:rFonts w:hint="eastAsia"/>
                <w:color w:val="000000"/>
                <w:kern w:val="0"/>
                <w:sz w:val="22"/>
                <w:szCs w:val="22"/>
              </w:rPr>
              <w:t>117.5098</w:t>
            </w:r>
          </w:p>
        </w:tc>
        <w:tc>
          <w:tcPr>
            <w:tcW w:w="407" w:type="pct"/>
            <w:noWrap/>
            <w:vAlign w:val="center"/>
          </w:tcPr>
          <w:p w14:paraId="194D1913">
            <w:pPr>
              <w:widowControl/>
              <w:adjustRightInd w:val="0"/>
              <w:snapToGrid w:val="0"/>
              <w:spacing w:before="0" w:beforeLines="0" w:line="240" w:lineRule="auto"/>
              <w:jc w:val="center"/>
              <w:rPr>
                <w:kern w:val="0"/>
                <w:szCs w:val="21"/>
              </w:rPr>
            </w:pPr>
            <w:r>
              <w:rPr>
                <w:rFonts w:hint="eastAsia"/>
                <w:color w:val="000000"/>
                <w:kern w:val="0"/>
                <w:sz w:val="22"/>
                <w:szCs w:val="22"/>
              </w:rPr>
              <w:t>120</w:t>
            </w:r>
          </w:p>
        </w:tc>
        <w:tc>
          <w:tcPr>
            <w:tcW w:w="469" w:type="pct"/>
            <w:noWrap/>
            <w:vAlign w:val="center"/>
          </w:tcPr>
          <w:p w14:paraId="3DC7A965">
            <w:pPr>
              <w:widowControl/>
              <w:adjustRightInd w:val="0"/>
              <w:snapToGrid w:val="0"/>
              <w:spacing w:before="0" w:beforeLines="0" w:line="240" w:lineRule="auto"/>
              <w:jc w:val="center"/>
              <w:rPr>
                <w:kern w:val="0"/>
                <w:szCs w:val="21"/>
              </w:rPr>
            </w:pPr>
            <w:r>
              <w:rPr>
                <w:rFonts w:hint="eastAsia"/>
                <w:color w:val="000000"/>
                <w:kern w:val="0"/>
                <w:sz w:val="22"/>
                <w:szCs w:val="22"/>
              </w:rPr>
              <w:t>97.92</w:t>
            </w:r>
          </w:p>
        </w:tc>
        <w:tc>
          <w:tcPr>
            <w:tcW w:w="266" w:type="pct"/>
            <w:noWrap/>
            <w:vAlign w:val="center"/>
          </w:tcPr>
          <w:p w14:paraId="2FBA6A13">
            <w:pPr>
              <w:widowControl/>
              <w:adjustRightInd w:val="0"/>
              <w:snapToGrid w:val="0"/>
              <w:spacing w:before="0" w:beforeLines="0" w:line="240" w:lineRule="auto"/>
              <w:jc w:val="center"/>
              <w:rPr>
                <w:kern w:val="0"/>
                <w:szCs w:val="21"/>
              </w:rPr>
            </w:pPr>
            <w:r>
              <w:rPr>
                <w:rFonts w:hint="eastAsia"/>
                <w:kern w:val="0"/>
                <w:szCs w:val="21"/>
              </w:rPr>
              <w:t>达标</w:t>
            </w:r>
          </w:p>
        </w:tc>
      </w:tr>
    </w:tbl>
    <w:p w14:paraId="1B32F385">
      <w:pPr>
        <w:tabs>
          <w:tab w:val="left" w:pos="2880"/>
        </w:tabs>
        <w:snapToGrid w:val="0"/>
        <w:spacing w:before="0" w:beforeLines="0" w:line="360" w:lineRule="auto"/>
        <w:ind w:firstLine="525" w:firstLineChars="250"/>
        <w:rPr>
          <w:rFonts w:ascii="Cambria" w:hAnsi="Cambria" w:eastAsia="黑体"/>
          <w:szCs w:val="21"/>
        </w:rPr>
      </w:pPr>
    </w:p>
    <w:p w14:paraId="2E98E360">
      <w:pPr>
        <w:tabs>
          <w:tab w:val="left" w:pos="2880"/>
        </w:tabs>
        <w:snapToGrid w:val="0"/>
        <w:spacing w:before="0" w:beforeLines="0" w:line="360" w:lineRule="auto"/>
        <w:ind w:firstLine="525" w:firstLineChars="250"/>
        <w:rPr>
          <w:rFonts w:ascii="Cambria" w:hAnsi="Cambria" w:eastAsia="黑体"/>
          <w:szCs w:val="21"/>
        </w:rPr>
      </w:pPr>
    </w:p>
    <w:p w14:paraId="515CC7BD">
      <w:pPr>
        <w:tabs>
          <w:tab w:val="left" w:pos="2880"/>
        </w:tabs>
        <w:snapToGrid w:val="0"/>
        <w:spacing w:before="0" w:beforeLines="0" w:line="360" w:lineRule="auto"/>
        <w:ind w:firstLine="525" w:firstLineChars="250"/>
        <w:rPr>
          <w:rFonts w:ascii="Cambria" w:hAnsi="Cambria" w:eastAsia="黑体"/>
          <w:szCs w:val="21"/>
        </w:rPr>
      </w:pPr>
    </w:p>
    <w:p w14:paraId="7029721E">
      <w:pPr>
        <w:tabs>
          <w:tab w:val="left" w:pos="2880"/>
        </w:tabs>
        <w:snapToGrid w:val="0"/>
        <w:spacing w:before="0" w:beforeLines="0" w:line="360" w:lineRule="auto"/>
        <w:ind w:firstLine="525" w:firstLineChars="250"/>
        <w:rPr>
          <w:rFonts w:ascii="Cambria" w:hAnsi="Cambria" w:eastAsia="黑体"/>
          <w:szCs w:val="21"/>
        </w:rPr>
      </w:pPr>
    </w:p>
    <w:p w14:paraId="3DEC7F5F">
      <w:pPr>
        <w:tabs>
          <w:tab w:val="left" w:pos="2880"/>
        </w:tabs>
        <w:snapToGrid w:val="0"/>
        <w:spacing w:before="0" w:beforeLines="0" w:line="360" w:lineRule="auto"/>
        <w:ind w:firstLine="525" w:firstLineChars="250"/>
        <w:rPr>
          <w:rFonts w:ascii="Cambria" w:hAnsi="Cambria" w:eastAsia="黑体"/>
          <w:szCs w:val="21"/>
        </w:rPr>
      </w:pPr>
    </w:p>
    <w:p w14:paraId="6F24574F">
      <w:pPr>
        <w:tabs>
          <w:tab w:val="left" w:pos="2880"/>
        </w:tabs>
        <w:snapToGrid w:val="0"/>
        <w:spacing w:before="0" w:beforeLines="0" w:line="360" w:lineRule="auto"/>
        <w:ind w:firstLine="525" w:firstLineChars="250"/>
        <w:rPr>
          <w:rFonts w:ascii="Cambria" w:hAnsi="Cambria" w:eastAsia="黑体"/>
          <w:szCs w:val="21"/>
        </w:rPr>
      </w:pPr>
    </w:p>
    <w:p w14:paraId="204CE43E">
      <w:pPr>
        <w:tabs>
          <w:tab w:val="left" w:pos="2880"/>
        </w:tabs>
        <w:snapToGrid w:val="0"/>
        <w:spacing w:before="0" w:beforeLines="0" w:line="360" w:lineRule="auto"/>
        <w:ind w:firstLine="525" w:firstLineChars="250"/>
        <w:rPr>
          <w:rFonts w:ascii="Cambria" w:hAnsi="Cambria" w:eastAsia="黑体"/>
          <w:szCs w:val="21"/>
        </w:rPr>
      </w:pPr>
    </w:p>
    <w:p w14:paraId="72AD78F4">
      <w:pPr>
        <w:tabs>
          <w:tab w:val="left" w:pos="2880"/>
        </w:tabs>
        <w:snapToGrid w:val="0"/>
        <w:spacing w:before="0" w:beforeLines="0" w:line="360" w:lineRule="auto"/>
        <w:ind w:firstLine="525" w:firstLineChars="250"/>
        <w:rPr>
          <w:rFonts w:ascii="Cambria" w:hAnsi="Cambria" w:eastAsia="黑体"/>
          <w:szCs w:val="21"/>
        </w:rPr>
      </w:pPr>
    </w:p>
    <w:p w14:paraId="79CFEA01">
      <w:pPr>
        <w:tabs>
          <w:tab w:val="left" w:pos="2880"/>
        </w:tabs>
        <w:snapToGrid w:val="0"/>
        <w:spacing w:before="0" w:beforeLines="0" w:line="360" w:lineRule="auto"/>
        <w:ind w:firstLine="525" w:firstLineChars="250"/>
        <w:rPr>
          <w:rFonts w:ascii="Cambria" w:hAnsi="Cambria" w:eastAsia="黑体"/>
          <w:szCs w:val="21"/>
        </w:rPr>
      </w:pPr>
    </w:p>
    <w:p w14:paraId="1CF2AFF9">
      <w:pPr>
        <w:tabs>
          <w:tab w:val="left" w:pos="2880"/>
        </w:tabs>
        <w:snapToGrid w:val="0"/>
        <w:spacing w:before="0" w:beforeLines="0" w:line="360" w:lineRule="auto"/>
        <w:ind w:firstLine="525" w:firstLineChars="250"/>
        <w:rPr>
          <w:rFonts w:ascii="Cambria" w:hAnsi="Cambria" w:eastAsia="黑体"/>
          <w:szCs w:val="21"/>
        </w:rPr>
      </w:pPr>
    </w:p>
    <w:p w14:paraId="62F3194F">
      <w:pPr>
        <w:tabs>
          <w:tab w:val="left" w:pos="2880"/>
        </w:tabs>
        <w:snapToGrid w:val="0"/>
        <w:spacing w:before="0" w:beforeLines="0" w:line="360" w:lineRule="auto"/>
        <w:ind w:firstLine="525" w:firstLineChars="250"/>
        <w:rPr>
          <w:rFonts w:ascii="Cambria" w:hAnsi="Cambria" w:eastAsia="黑体"/>
          <w:szCs w:val="21"/>
        </w:rPr>
      </w:pPr>
    </w:p>
    <w:p w14:paraId="70FFB030">
      <w:pPr>
        <w:keepNext/>
        <w:spacing w:before="0" w:beforeLines="0" w:line="240" w:lineRule="auto"/>
        <w:contextualSpacing/>
        <w:jc w:val="center"/>
        <w:rPr>
          <w:b/>
          <w:bCs/>
          <w:szCs w:val="21"/>
        </w:rPr>
      </w:pPr>
      <w:r>
        <w:rPr>
          <w:b/>
          <w:bCs/>
          <w:szCs w:val="21"/>
        </w:rPr>
        <w:t xml:space="preserve">表 </w:t>
      </w:r>
      <w:r>
        <w:rPr>
          <w:rFonts w:hint="eastAsia"/>
          <w:b/>
          <w:bCs/>
          <w:szCs w:val="21"/>
        </w:rPr>
        <w:t>5.2-11      叠加后</w:t>
      </w:r>
      <w:r>
        <w:rPr>
          <w:b/>
          <w:bCs/>
          <w:szCs w:val="21"/>
        </w:rPr>
        <w:t>PM</w:t>
      </w:r>
      <w:r>
        <w:rPr>
          <w:b/>
          <w:bCs/>
          <w:szCs w:val="21"/>
          <w:vertAlign w:val="subscript"/>
        </w:rPr>
        <w:t>10</w:t>
      </w:r>
      <w:r>
        <w:rPr>
          <w:b/>
          <w:bCs/>
          <w:szCs w:val="21"/>
        </w:rPr>
        <w:t>年平均</w:t>
      </w:r>
      <w:r>
        <w:rPr>
          <w:rFonts w:hint="eastAsia"/>
          <w:b/>
          <w:bCs/>
          <w:szCs w:val="21"/>
        </w:rPr>
        <w:t>质量浓度预测结果表</w:t>
      </w:r>
    </w:p>
    <w:tbl>
      <w:tblPr>
        <w:tblStyle w:val="2151"/>
        <w:tblW w:w="4999" w:type="pct"/>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451"/>
        <w:gridCol w:w="1295"/>
        <w:gridCol w:w="1482"/>
        <w:gridCol w:w="937"/>
        <w:gridCol w:w="940"/>
        <w:gridCol w:w="937"/>
        <w:gridCol w:w="1347"/>
        <w:gridCol w:w="1212"/>
        <w:gridCol w:w="1612"/>
        <w:gridCol w:w="1077"/>
        <w:gridCol w:w="1241"/>
        <w:gridCol w:w="704"/>
      </w:tblGrid>
      <w:tr w14:paraId="6A791CFF">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14:paraId="1C171A60">
            <w:pPr>
              <w:widowControl/>
              <w:adjustRightInd w:val="0"/>
              <w:snapToGrid w:val="0"/>
              <w:spacing w:before="0" w:beforeLines="0" w:line="240" w:lineRule="auto"/>
              <w:jc w:val="center"/>
              <w:rPr>
                <w:kern w:val="0"/>
                <w:szCs w:val="21"/>
              </w:rPr>
            </w:pPr>
            <w:r>
              <w:rPr>
                <w:rFonts w:hint="eastAsia"/>
                <w:kern w:val="0"/>
                <w:szCs w:val="21"/>
              </w:rPr>
              <w:t>序号</w:t>
            </w:r>
          </w:p>
        </w:tc>
        <w:tc>
          <w:tcPr>
            <w:tcW w:w="489" w:type="pct"/>
            <w:noWrap/>
            <w:vAlign w:val="center"/>
          </w:tcPr>
          <w:p w14:paraId="3D5B8EF2">
            <w:pPr>
              <w:widowControl/>
              <w:adjustRightInd w:val="0"/>
              <w:snapToGrid w:val="0"/>
              <w:spacing w:before="0" w:beforeLines="0" w:line="240" w:lineRule="auto"/>
              <w:jc w:val="center"/>
              <w:rPr>
                <w:kern w:val="0"/>
                <w:szCs w:val="21"/>
              </w:rPr>
            </w:pPr>
            <w:r>
              <w:rPr>
                <w:rFonts w:hint="eastAsia"/>
                <w:kern w:val="0"/>
                <w:szCs w:val="21"/>
              </w:rPr>
              <w:t>点名称</w:t>
            </w:r>
          </w:p>
        </w:tc>
        <w:tc>
          <w:tcPr>
            <w:tcW w:w="560" w:type="pct"/>
            <w:noWrap/>
            <w:vAlign w:val="center"/>
          </w:tcPr>
          <w:p w14:paraId="7C87AAFC">
            <w:pPr>
              <w:widowControl/>
              <w:adjustRightInd w:val="0"/>
              <w:snapToGrid w:val="0"/>
              <w:spacing w:before="0" w:beforeLines="0" w:line="240" w:lineRule="auto"/>
              <w:jc w:val="center"/>
              <w:rPr>
                <w:kern w:val="0"/>
                <w:szCs w:val="21"/>
              </w:rPr>
            </w:pPr>
            <w:r>
              <w:rPr>
                <w:rFonts w:hint="eastAsia"/>
                <w:kern w:val="0"/>
                <w:szCs w:val="21"/>
              </w:rPr>
              <w:t>点坐标(x或r,y或a)</w:t>
            </w:r>
          </w:p>
        </w:tc>
        <w:tc>
          <w:tcPr>
            <w:tcW w:w="354" w:type="pct"/>
            <w:noWrap/>
            <w:vAlign w:val="center"/>
          </w:tcPr>
          <w:p w14:paraId="7BB773EA">
            <w:pPr>
              <w:widowControl/>
              <w:adjustRightInd w:val="0"/>
              <w:snapToGrid w:val="0"/>
              <w:spacing w:before="0" w:beforeLines="0" w:line="240" w:lineRule="auto"/>
              <w:jc w:val="center"/>
              <w:rPr>
                <w:kern w:val="0"/>
                <w:szCs w:val="21"/>
              </w:rPr>
            </w:pPr>
            <w:r>
              <w:rPr>
                <w:rFonts w:hint="eastAsia"/>
                <w:kern w:val="0"/>
                <w:szCs w:val="21"/>
              </w:rPr>
              <w:t>地面高程(m)</w:t>
            </w:r>
          </w:p>
        </w:tc>
        <w:tc>
          <w:tcPr>
            <w:tcW w:w="355" w:type="pct"/>
            <w:noWrap/>
            <w:vAlign w:val="center"/>
          </w:tcPr>
          <w:p w14:paraId="47E6C747">
            <w:pPr>
              <w:widowControl/>
              <w:adjustRightInd w:val="0"/>
              <w:snapToGrid w:val="0"/>
              <w:spacing w:before="0" w:beforeLines="0" w:line="240" w:lineRule="auto"/>
              <w:jc w:val="center"/>
              <w:rPr>
                <w:kern w:val="0"/>
                <w:szCs w:val="21"/>
              </w:rPr>
            </w:pPr>
            <w:r>
              <w:rPr>
                <w:rFonts w:hint="eastAsia"/>
                <w:kern w:val="0"/>
                <w:szCs w:val="21"/>
              </w:rPr>
              <w:t>浓度类型</w:t>
            </w:r>
          </w:p>
        </w:tc>
        <w:tc>
          <w:tcPr>
            <w:tcW w:w="354" w:type="pct"/>
            <w:noWrap/>
            <w:vAlign w:val="center"/>
          </w:tcPr>
          <w:p w14:paraId="7B77BE97">
            <w:pPr>
              <w:widowControl/>
              <w:adjustRightInd w:val="0"/>
              <w:snapToGrid w:val="0"/>
              <w:spacing w:before="0" w:beforeLines="0" w:line="240" w:lineRule="auto"/>
              <w:jc w:val="center"/>
              <w:rPr>
                <w:kern w:val="0"/>
                <w:szCs w:val="21"/>
              </w:rPr>
            </w:pPr>
            <w:r>
              <w:rPr>
                <w:rFonts w:hint="eastAsia"/>
                <w:kern w:val="0"/>
                <w:szCs w:val="21"/>
              </w:rPr>
              <w:t>浓度增量(μg/m^3)</w:t>
            </w:r>
          </w:p>
        </w:tc>
        <w:tc>
          <w:tcPr>
            <w:tcW w:w="509" w:type="pct"/>
            <w:noWrap/>
            <w:vAlign w:val="center"/>
          </w:tcPr>
          <w:p w14:paraId="3BD791DB">
            <w:pPr>
              <w:widowControl/>
              <w:adjustRightInd w:val="0"/>
              <w:snapToGrid w:val="0"/>
              <w:spacing w:before="0" w:beforeLines="0" w:line="240" w:lineRule="auto"/>
              <w:jc w:val="center"/>
              <w:rPr>
                <w:kern w:val="0"/>
                <w:szCs w:val="21"/>
              </w:rPr>
            </w:pPr>
            <w:r>
              <w:rPr>
                <w:rFonts w:hint="eastAsia"/>
                <w:kern w:val="0"/>
                <w:szCs w:val="21"/>
              </w:rPr>
              <w:t>出现时间(YYMMDDHH)</w:t>
            </w:r>
          </w:p>
        </w:tc>
        <w:tc>
          <w:tcPr>
            <w:tcW w:w="458" w:type="pct"/>
            <w:noWrap/>
            <w:vAlign w:val="center"/>
          </w:tcPr>
          <w:p w14:paraId="580340B8">
            <w:pPr>
              <w:widowControl/>
              <w:adjustRightInd w:val="0"/>
              <w:snapToGrid w:val="0"/>
              <w:spacing w:before="0" w:beforeLines="0" w:line="240" w:lineRule="auto"/>
              <w:jc w:val="center"/>
              <w:rPr>
                <w:kern w:val="0"/>
                <w:szCs w:val="21"/>
              </w:rPr>
            </w:pPr>
            <w:r>
              <w:rPr>
                <w:rFonts w:hint="eastAsia"/>
                <w:kern w:val="0"/>
                <w:szCs w:val="21"/>
              </w:rPr>
              <w:t>背景浓度(μg/m^3)</w:t>
            </w:r>
          </w:p>
        </w:tc>
        <w:tc>
          <w:tcPr>
            <w:tcW w:w="609" w:type="pct"/>
            <w:noWrap/>
            <w:vAlign w:val="center"/>
          </w:tcPr>
          <w:p w14:paraId="0FD6BB99">
            <w:pPr>
              <w:widowControl/>
              <w:adjustRightInd w:val="0"/>
              <w:snapToGrid w:val="0"/>
              <w:spacing w:before="0" w:beforeLines="0" w:line="240" w:lineRule="auto"/>
              <w:jc w:val="center"/>
              <w:rPr>
                <w:kern w:val="0"/>
                <w:szCs w:val="21"/>
              </w:rPr>
            </w:pPr>
            <w:r>
              <w:rPr>
                <w:rFonts w:hint="eastAsia"/>
                <w:kern w:val="0"/>
                <w:szCs w:val="21"/>
              </w:rPr>
              <w:t>叠加背景后的浓度(μg/m^3)</w:t>
            </w:r>
          </w:p>
        </w:tc>
        <w:tc>
          <w:tcPr>
            <w:tcW w:w="407" w:type="pct"/>
            <w:noWrap/>
            <w:vAlign w:val="center"/>
          </w:tcPr>
          <w:p w14:paraId="3BE78D83">
            <w:pPr>
              <w:widowControl/>
              <w:adjustRightInd w:val="0"/>
              <w:snapToGrid w:val="0"/>
              <w:spacing w:before="0" w:beforeLines="0" w:line="240" w:lineRule="auto"/>
              <w:jc w:val="center"/>
              <w:rPr>
                <w:kern w:val="0"/>
                <w:szCs w:val="21"/>
              </w:rPr>
            </w:pPr>
            <w:r>
              <w:rPr>
                <w:rFonts w:hint="eastAsia"/>
                <w:kern w:val="0"/>
                <w:szCs w:val="21"/>
              </w:rPr>
              <w:t>评价标准(μg/m^3)</w:t>
            </w:r>
          </w:p>
        </w:tc>
        <w:tc>
          <w:tcPr>
            <w:tcW w:w="469" w:type="pct"/>
            <w:noWrap/>
            <w:vAlign w:val="center"/>
          </w:tcPr>
          <w:p w14:paraId="3D2CA585">
            <w:pPr>
              <w:widowControl/>
              <w:adjustRightInd w:val="0"/>
              <w:snapToGrid w:val="0"/>
              <w:spacing w:before="0" w:beforeLines="0" w:line="240" w:lineRule="auto"/>
              <w:jc w:val="center"/>
              <w:rPr>
                <w:kern w:val="0"/>
                <w:szCs w:val="21"/>
              </w:rPr>
            </w:pPr>
            <w:r>
              <w:rPr>
                <w:rFonts w:hint="eastAsia"/>
                <w:kern w:val="0"/>
                <w:szCs w:val="21"/>
              </w:rPr>
              <w:t>占标率%(叠加背景以后)</w:t>
            </w:r>
          </w:p>
        </w:tc>
        <w:tc>
          <w:tcPr>
            <w:tcW w:w="266" w:type="pct"/>
            <w:noWrap/>
            <w:vAlign w:val="center"/>
          </w:tcPr>
          <w:p w14:paraId="74D6AB5E">
            <w:pPr>
              <w:widowControl/>
              <w:adjustRightInd w:val="0"/>
              <w:snapToGrid w:val="0"/>
              <w:spacing w:before="0" w:beforeLines="0" w:line="240" w:lineRule="auto"/>
              <w:jc w:val="center"/>
              <w:rPr>
                <w:kern w:val="0"/>
                <w:szCs w:val="21"/>
              </w:rPr>
            </w:pPr>
            <w:r>
              <w:rPr>
                <w:rFonts w:hint="eastAsia"/>
                <w:kern w:val="0"/>
                <w:szCs w:val="21"/>
              </w:rPr>
              <w:t>是否超标</w:t>
            </w:r>
          </w:p>
        </w:tc>
      </w:tr>
      <w:tr w14:paraId="7596477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14:paraId="435A598C">
            <w:pPr>
              <w:widowControl/>
              <w:adjustRightInd w:val="0"/>
              <w:snapToGrid w:val="0"/>
              <w:spacing w:before="0" w:beforeLines="0" w:line="240" w:lineRule="auto"/>
              <w:jc w:val="center"/>
              <w:rPr>
                <w:kern w:val="0"/>
                <w:szCs w:val="21"/>
              </w:rPr>
            </w:pPr>
            <w:r>
              <w:rPr>
                <w:rFonts w:hint="eastAsia"/>
                <w:kern w:val="0"/>
                <w:szCs w:val="21"/>
              </w:rPr>
              <w:t>1</w:t>
            </w:r>
          </w:p>
        </w:tc>
        <w:tc>
          <w:tcPr>
            <w:tcW w:w="489" w:type="pct"/>
            <w:noWrap/>
            <w:vAlign w:val="bottom"/>
          </w:tcPr>
          <w:p w14:paraId="7C2A33CF">
            <w:pPr>
              <w:widowControl/>
              <w:adjustRightInd w:val="0"/>
              <w:snapToGrid w:val="0"/>
              <w:spacing w:before="0" w:beforeLines="0" w:line="240" w:lineRule="auto"/>
              <w:jc w:val="center"/>
              <w:rPr>
                <w:kern w:val="0"/>
                <w:szCs w:val="21"/>
              </w:rPr>
            </w:pPr>
            <w:r>
              <w:rPr>
                <w:rFonts w:hint="eastAsia"/>
                <w:kern w:val="0"/>
                <w:szCs w:val="21"/>
              </w:rPr>
              <w:t>孟家窝堡</w:t>
            </w:r>
          </w:p>
        </w:tc>
        <w:tc>
          <w:tcPr>
            <w:tcW w:w="560" w:type="pct"/>
            <w:noWrap/>
            <w:vAlign w:val="bottom"/>
          </w:tcPr>
          <w:p w14:paraId="7A12983D">
            <w:pPr>
              <w:widowControl/>
              <w:adjustRightInd w:val="0"/>
              <w:snapToGrid w:val="0"/>
              <w:spacing w:before="0" w:beforeLines="0" w:line="240" w:lineRule="auto"/>
              <w:jc w:val="center"/>
              <w:rPr>
                <w:kern w:val="0"/>
                <w:szCs w:val="21"/>
              </w:rPr>
            </w:pPr>
            <w:r>
              <w:rPr>
                <w:rFonts w:hint="eastAsia"/>
                <w:kern w:val="0"/>
                <w:szCs w:val="21"/>
              </w:rPr>
              <w:t>-1472,-281</w:t>
            </w:r>
          </w:p>
        </w:tc>
        <w:tc>
          <w:tcPr>
            <w:tcW w:w="354" w:type="pct"/>
            <w:noWrap/>
            <w:vAlign w:val="bottom"/>
          </w:tcPr>
          <w:p w14:paraId="366748BB">
            <w:pPr>
              <w:widowControl/>
              <w:adjustRightInd w:val="0"/>
              <w:snapToGrid w:val="0"/>
              <w:spacing w:before="0" w:beforeLines="0" w:line="240" w:lineRule="auto"/>
              <w:jc w:val="center"/>
              <w:rPr>
                <w:kern w:val="0"/>
                <w:szCs w:val="21"/>
              </w:rPr>
            </w:pPr>
            <w:r>
              <w:rPr>
                <w:rFonts w:hint="eastAsia"/>
                <w:kern w:val="0"/>
                <w:szCs w:val="21"/>
              </w:rPr>
              <w:t>274.17</w:t>
            </w:r>
          </w:p>
        </w:tc>
        <w:tc>
          <w:tcPr>
            <w:tcW w:w="355" w:type="pct"/>
            <w:noWrap/>
            <w:vAlign w:val="center"/>
          </w:tcPr>
          <w:p w14:paraId="335E0F6B">
            <w:pPr>
              <w:widowControl/>
              <w:adjustRightInd w:val="0"/>
              <w:snapToGrid w:val="0"/>
              <w:spacing w:before="0" w:beforeLines="0" w:line="240" w:lineRule="auto"/>
              <w:jc w:val="center"/>
              <w:rPr>
                <w:kern w:val="0"/>
                <w:szCs w:val="21"/>
              </w:rPr>
            </w:pPr>
            <w:r>
              <w:rPr>
                <w:rFonts w:hint="eastAsia"/>
                <w:kern w:val="0"/>
                <w:szCs w:val="21"/>
              </w:rPr>
              <w:t>年平均</w:t>
            </w:r>
          </w:p>
        </w:tc>
        <w:tc>
          <w:tcPr>
            <w:tcW w:w="354" w:type="pct"/>
            <w:noWrap/>
            <w:vAlign w:val="center"/>
          </w:tcPr>
          <w:p w14:paraId="3A823B69">
            <w:pPr>
              <w:widowControl/>
              <w:adjustRightInd w:val="0"/>
              <w:snapToGrid w:val="0"/>
              <w:spacing w:before="0" w:beforeLines="0" w:line="240" w:lineRule="auto"/>
              <w:jc w:val="center"/>
              <w:rPr>
                <w:kern w:val="0"/>
                <w:szCs w:val="21"/>
              </w:rPr>
            </w:pPr>
            <w:r>
              <w:rPr>
                <w:rFonts w:hint="eastAsia"/>
                <w:color w:val="000000"/>
                <w:kern w:val="0"/>
                <w:sz w:val="22"/>
                <w:szCs w:val="22"/>
              </w:rPr>
              <w:t>0.0459</w:t>
            </w:r>
          </w:p>
        </w:tc>
        <w:tc>
          <w:tcPr>
            <w:tcW w:w="509" w:type="pct"/>
            <w:noWrap/>
            <w:vAlign w:val="center"/>
          </w:tcPr>
          <w:p w14:paraId="312E062F">
            <w:pPr>
              <w:widowControl/>
              <w:adjustRightInd w:val="0"/>
              <w:snapToGrid w:val="0"/>
              <w:spacing w:before="0" w:beforeLines="0" w:line="240" w:lineRule="auto"/>
              <w:jc w:val="center"/>
              <w:rPr>
                <w:kern w:val="0"/>
                <w:szCs w:val="21"/>
              </w:rPr>
            </w:pPr>
            <w:r>
              <w:rPr>
                <w:rFonts w:hint="eastAsia"/>
                <w:color w:val="000000"/>
                <w:kern w:val="0"/>
                <w:sz w:val="22"/>
                <w:szCs w:val="22"/>
              </w:rPr>
              <w:t>平均值</w:t>
            </w:r>
          </w:p>
        </w:tc>
        <w:tc>
          <w:tcPr>
            <w:tcW w:w="458" w:type="pct"/>
            <w:noWrap/>
            <w:vAlign w:val="center"/>
          </w:tcPr>
          <w:p w14:paraId="4DB00726">
            <w:pPr>
              <w:widowControl/>
              <w:adjustRightInd w:val="0"/>
              <w:snapToGrid w:val="0"/>
              <w:spacing w:before="0" w:beforeLines="0" w:line="240" w:lineRule="auto"/>
              <w:jc w:val="center"/>
              <w:rPr>
                <w:kern w:val="0"/>
                <w:szCs w:val="21"/>
              </w:rPr>
            </w:pPr>
            <w:r>
              <w:rPr>
                <w:rFonts w:hint="eastAsia"/>
                <w:color w:val="000000"/>
                <w:kern w:val="0"/>
                <w:sz w:val="22"/>
                <w:szCs w:val="22"/>
              </w:rPr>
              <w:t>47.86</w:t>
            </w:r>
          </w:p>
        </w:tc>
        <w:tc>
          <w:tcPr>
            <w:tcW w:w="609" w:type="pct"/>
            <w:noWrap/>
            <w:vAlign w:val="center"/>
          </w:tcPr>
          <w:p w14:paraId="750F20FB">
            <w:pPr>
              <w:widowControl/>
              <w:adjustRightInd w:val="0"/>
              <w:snapToGrid w:val="0"/>
              <w:spacing w:before="0" w:beforeLines="0" w:line="240" w:lineRule="auto"/>
              <w:jc w:val="center"/>
              <w:rPr>
                <w:kern w:val="0"/>
                <w:szCs w:val="21"/>
              </w:rPr>
            </w:pPr>
            <w:r>
              <w:rPr>
                <w:rFonts w:hint="eastAsia"/>
                <w:color w:val="000000"/>
                <w:kern w:val="0"/>
                <w:sz w:val="22"/>
                <w:szCs w:val="22"/>
              </w:rPr>
              <w:t>47.9059</w:t>
            </w:r>
          </w:p>
        </w:tc>
        <w:tc>
          <w:tcPr>
            <w:tcW w:w="407" w:type="pct"/>
            <w:noWrap/>
            <w:vAlign w:val="center"/>
          </w:tcPr>
          <w:p w14:paraId="607137C4">
            <w:pPr>
              <w:widowControl/>
              <w:adjustRightInd w:val="0"/>
              <w:snapToGrid w:val="0"/>
              <w:spacing w:before="0" w:beforeLines="0" w:line="240" w:lineRule="auto"/>
              <w:jc w:val="center"/>
              <w:rPr>
                <w:kern w:val="0"/>
                <w:szCs w:val="21"/>
              </w:rPr>
            </w:pPr>
            <w:r>
              <w:rPr>
                <w:rFonts w:hint="eastAsia"/>
                <w:color w:val="000000"/>
                <w:kern w:val="0"/>
                <w:sz w:val="22"/>
                <w:szCs w:val="22"/>
              </w:rPr>
              <w:t>60</w:t>
            </w:r>
          </w:p>
        </w:tc>
        <w:tc>
          <w:tcPr>
            <w:tcW w:w="469" w:type="pct"/>
            <w:noWrap/>
            <w:vAlign w:val="center"/>
          </w:tcPr>
          <w:p w14:paraId="72753A55">
            <w:pPr>
              <w:widowControl/>
              <w:adjustRightInd w:val="0"/>
              <w:snapToGrid w:val="0"/>
              <w:spacing w:before="0" w:beforeLines="0" w:line="240" w:lineRule="auto"/>
              <w:jc w:val="center"/>
              <w:rPr>
                <w:kern w:val="0"/>
                <w:szCs w:val="21"/>
              </w:rPr>
            </w:pPr>
            <w:r>
              <w:rPr>
                <w:rFonts w:hint="eastAsia"/>
                <w:color w:val="000000"/>
                <w:kern w:val="0"/>
                <w:sz w:val="22"/>
                <w:szCs w:val="22"/>
              </w:rPr>
              <w:t>79.84</w:t>
            </w:r>
          </w:p>
        </w:tc>
        <w:tc>
          <w:tcPr>
            <w:tcW w:w="266" w:type="pct"/>
            <w:noWrap/>
            <w:vAlign w:val="bottom"/>
          </w:tcPr>
          <w:p w14:paraId="164BD0CF">
            <w:pPr>
              <w:widowControl/>
              <w:adjustRightInd w:val="0"/>
              <w:snapToGrid w:val="0"/>
              <w:spacing w:before="0" w:beforeLines="0" w:line="240" w:lineRule="auto"/>
              <w:jc w:val="center"/>
              <w:rPr>
                <w:kern w:val="0"/>
                <w:szCs w:val="21"/>
              </w:rPr>
            </w:pPr>
            <w:r>
              <w:rPr>
                <w:rFonts w:hint="eastAsia"/>
                <w:kern w:val="0"/>
                <w:szCs w:val="21"/>
              </w:rPr>
              <w:t>达标</w:t>
            </w:r>
          </w:p>
        </w:tc>
      </w:tr>
      <w:tr w14:paraId="722E0A1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14:paraId="2140E897">
            <w:pPr>
              <w:widowControl/>
              <w:adjustRightInd w:val="0"/>
              <w:snapToGrid w:val="0"/>
              <w:spacing w:before="0" w:beforeLines="0" w:line="240" w:lineRule="auto"/>
              <w:jc w:val="center"/>
              <w:rPr>
                <w:kern w:val="0"/>
                <w:szCs w:val="21"/>
              </w:rPr>
            </w:pPr>
            <w:r>
              <w:rPr>
                <w:rFonts w:hint="eastAsia"/>
                <w:kern w:val="0"/>
                <w:szCs w:val="21"/>
              </w:rPr>
              <w:t>2</w:t>
            </w:r>
          </w:p>
        </w:tc>
        <w:tc>
          <w:tcPr>
            <w:tcW w:w="489" w:type="pct"/>
            <w:noWrap/>
            <w:vAlign w:val="bottom"/>
          </w:tcPr>
          <w:p w14:paraId="5227B79B">
            <w:pPr>
              <w:widowControl/>
              <w:adjustRightInd w:val="0"/>
              <w:snapToGrid w:val="0"/>
              <w:spacing w:before="0" w:beforeLines="0" w:line="240" w:lineRule="auto"/>
              <w:jc w:val="center"/>
              <w:rPr>
                <w:kern w:val="0"/>
                <w:szCs w:val="21"/>
              </w:rPr>
            </w:pPr>
            <w:r>
              <w:rPr>
                <w:rFonts w:hint="eastAsia"/>
                <w:kern w:val="0"/>
                <w:szCs w:val="21"/>
              </w:rPr>
              <w:t>阿哈来村</w:t>
            </w:r>
          </w:p>
        </w:tc>
        <w:tc>
          <w:tcPr>
            <w:tcW w:w="560" w:type="pct"/>
            <w:noWrap/>
            <w:vAlign w:val="bottom"/>
          </w:tcPr>
          <w:p w14:paraId="58BB8B7A">
            <w:pPr>
              <w:widowControl/>
              <w:adjustRightInd w:val="0"/>
              <w:snapToGrid w:val="0"/>
              <w:spacing w:before="0" w:beforeLines="0" w:line="240" w:lineRule="auto"/>
              <w:jc w:val="center"/>
              <w:rPr>
                <w:kern w:val="0"/>
                <w:szCs w:val="21"/>
              </w:rPr>
            </w:pPr>
            <w:r>
              <w:rPr>
                <w:rFonts w:hint="eastAsia"/>
                <w:kern w:val="0"/>
                <w:szCs w:val="21"/>
              </w:rPr>
              <w:t>-2343,584</w:t>
            </w:r>
          </w:p>
        </w:tc>
        <w:tc>
          <w:tcPr>
            <w:tcW w:w="354" w:type="pct"/>
            <w:noWrap/>
            <w:vAlign w:val="bottom"/>
          </w:tcPr>
          <w:p w14:paraId="2DE29CD1">
            <w:pPr>
              <w:widowControl/>
              <w:adjustRightInd w:val="0"/>
              <w:snapToGrid w:val="0"/>
              <w:spacing w:before="0" w:beforeLines="0" w:line="240" w:lineRule="auto"/>
              <w:jc w:val="center"/>
              <w:rPr>
                <w:kern w:val="0"/>
                <w:szCs w:val="21"/>
              </w:rPr>
            </w:pPr>
            <w:r>
              <w:rPr>
                <w:rFonts w:hint="eastAsia"/>
                <w:kern w:val="0"/>
                <w:szCs w:val="21"/>
              </w:rPr>
              <w:t>269.17</w:t>
            </w:r>
          </w:p>
        </w:tc>
        <w:tc>
          <w:tcPr>
            <w:tcW w:w="355" w:type="pct"/>
            <w:noWrap/>
            <w:vAlign w:val="center"/>
          </w:tcPr>
          <w:p w14:paraId="69A6BB11">
            <w:pPr>
              <w:widowControl/>
              <w:adjustRightInd w:val="0"/>
              <w:snapToGrid w:val="0"/>
              <w:spacing w:before="0" w:beforeLines="0" w:line="240" w:lineRule="auto"/>
              <w:jc w:val="center"/>
              <w:rPr>
                <w:kern w:val="0"/>
                <w:szCs w:val="21"/>
              </w:rPr>
            </w:pPr>
            <w:r>
              <w:rPr>
                <w:rFonts w:hint="eastAsia"/>
                <w:kern w:val="0"/>
                <w:szCs w:val="21"/>
              </w:rPr>
              <w:t>年平均</w:t>
            </w:r>
          </w:p>
        </w:tc>
        <w:tc>
          <w:tcPr>
            <w:tcW w:w="354" w:type="pct"/>
            <w:noWrap/>
            <w:vAlign w:val="center"/>
          </w:tcPr>
          <w:p w14:paraId="3C635D68">
            <w:pPr>
              <w:widowControl/>
              <w:adjustRightInd w:val="0"/>
              <w:snapToGrid w:val="0"/>
              <w:spacing w:before="0" w:beforeLines="0" w:line="240" w:lineRule="auto"/>
              <w:jc w:val="center"/>
              <w:rPr>
                <w:kern w:val="0"/>
                <w:szCs w:val="21"/>
              </w:rPr>
            </w:pPr>
            <w:r>
              <w:rPr>
                <w:rFonts w:hint="eastAsia"/>
                <w:color w:val="000000"/>
                <w:kern w:val="0"/>
                <w:sz w:val="22"/>
                <w:szCs w:val="22"/>
              </w:rPr>
              <w:t>0.0274</w:t>
            </w:r>
          </w:p>
        </w:tc>
        <w:tc>
          <w:tcPr>
            <w:tcW w:w="509" w:type="pct"/>
            <w:noWrap/>
            <w:vAlign w:val="center"/>
          </w:tcPr>
          <w:p w14:paraId="4B033DA4">
            <w:pPr>
              <w:widowControl/>
              <w:adjustRightInd w:val="0"/>
              <w:snapToGrid w:val="0"/>
              <w:spacing w:before="0" w:beforeLines="0" w:line="240" w:lineRule="auto"/>
              <w:jc w:val="center"/>
              <w:rPr>
                <w:kern w:val="0"/>
                <w:szCs w:val="21"/>
              </w:rPr>
            </w:pPr>
            <w:r>
              <w:rPr>
                <w:rFonts w:hint="eastAsia"/>
                <w:color w:val="000000"/>
                <w:kern w:val="0"/>
                <w:sz w:val="22"/>
                <w:szCs w:val="22"/>
              </w:rPr>
              <w:t>平均值</w:t>
            </w:r>
          </w:p>
        </w:tc>
        <w:tc>
          <w:tcPr>
            <w:tcW w:w="458" w:type="pct"/>
            <w:noWrap/>
            <w:vAlign w:val="center"/>
          </w:tcPr>
          <w:p w14:paraId="566094C5">
            <w:pPr>
              <w:widowControl/>
              <w:adjustRightInd w:val="0"/>
              <w:snapToGrid w:val="0"/>
              <w:spacing w:before="0" w:beforeLines="0" w:line="240" w:lineRule="auto"/>
              <w:jc w:val="center"/>
              <w:rPr>
                <w:kern w:val="0"/>
                <w:szCs w:val="21"/>
              </w:rPr>
            </w:pPr>
            <w:r>
              <w:rPr>
                <w:rFonts w:hint="eastAsia"/>
                <w:color w:val="000000"/>
                <w:kern w:val="0"/>
                <w:sz w:val="22"/>
                <w:szCs w:val="22"/>
              </w:rPr>
              <w:t>47.86</w:t>
            </w:r>
          </w:p>
        </w:tc>
        <w:tc>
          <w:tcPr>
            <w:tcW w:w="609" w:type="pct"/>
            <w:noWrap/>
            <w:vAlign w:val="center"/>
          </w:tcPr>
          <w:p w14:paraId="52381B63">
            <w:pPr>
              <w:widowControl/>
              <w:adjustRightInd w:val="0"/>
              <w:snapToGrid w:val="0"/>
              <w:spacing w:before="0" w:beforeLines="0" w:line="240" w:lineRule="auto"/>
              <w:jc w:val="center"/>
              <w:rPr>
                <w:kern w:val="0"/>
                <w:szCs w:val="21"/>
              </w:rPr>
            </w:pPr>
            <w:r>
              <w:rPr>
                <w:rFonts w:hint="eastAsia"/>
                <w:color w:val="000000"/>
                <w:kern w:val="0"/>
                <w:sz w:val="22"/>
                <w:szCs w:val="22"/>
              </w:rPr>
              <w:t>47.8874</w:t>
            </w:r>
          </w:p>
        </w:tc>
        <w:tc>
          <w:tcPr>
            <w:tcW w:w="407" w:type="pct"/>
            <w:noWrap/>
            <w:vAlign w:val="center"/>
          </w:tcPr>
          <w:p w14:paraId="4D7F8C4A">
            <w:pPr>
              <w:widowControl/>
              <w:adjustRightInd w:val="0"/>
              <w:snapToGrid w:val="0"/>
              <w:spacing w:before="0" w:beforeLines="0" w:line="240" w:lineRule="auto"/>
              <w:jc w:val="center"/>
              <w:rPr>
                <w:kern w:val="0"/>
                <w:szCs w:val="21"/>
              </w:rPr>
            </w:pPr>
            <w:r>
              <w:rPr>
                <w:rFonts w:hint="eastAsia"/>
                <w:color w:val="000000"/>
                <w:kern w:val="0"/>
                <w:sz w:val="22"/>
                <w:szCs w:val="22"/>
              </w:rPr>
              <w:t>60</w:t>
            </w:r>
          </w:p>
        </w:tc>
        <w:tc>
          <w:tcPr>
            <w:tcW w:w="469" w:type="pct"/>
            <w:noWrap/>
            <w:vAlign w:val="center"/>
          </w:tcPr>
          <w:p w14:paraId="3135DF3B">
            <w:pPr>
              <w:widowControl/>
              <w:adjustRightInd w:val="0"/>
              <w:snapToGrid w:val="0"/>
              <w:spacing w:before="0" w:beforeLines="0" w:line="240" w:lineRule="auto"/>
              <w:jc w:val="center"/>
              <w:rPr>
                <w:kern w:val="0"/>
                <w:szCs w:val="21"/>
              </w:rPr>
            </w:pPr>
            <w:r>
              <w:rPr>
                <w:rFonts w:hint="eastAsia"/>
                <w:color w:val="000000"/>
                <w:kern w:val="0"/>
                <w:sz w:val="22"/>
                <w:szCs w:val="22"/>
              </w:rPr>
              <w:t>79.81</w:t>
            </w:r>
          </w:p>
        </w:tc>
        <w:tc>
          <w:tcPr>
            <w:tcW w:w="266" w:type="pct"/>
            <w:noWrap/>
            <w:vAlign w:val="bottom"/>
          </w:tcPr>
          <w:p w14:paraId="7AC1A6EF">
            <w:pPr>
              <w:widowControl/>
              <w:adjustRightInd w:val="0"/>
              <w:snapToGrid w:val="0"/>
              <w:spacing w:before="0" w:beforeLines="0" w:line="240" w:lineRule="auto"/>
              <w:jc w:val="center"/>
              <w:rPr>
                <w:kern w:val="0"/>
                <w:szCs w:val="21"/>
              </w:rPr>
            </w:pPr>
            <w:r>
              <w:rPr>
                <w:rFonts w:hint="eastAsia"/>
                <w:kern w:val="0"/>
                <w:szCs w:val="21"/>
              </w:rPr>
              <w:t>达标</w:t>
            </w:r>
          </w:p>
        </w:tc>
      </w:tr>
      <w:tr w14:paraId="71ABB1E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14:paraId="6B47254B">
            <w:pPr>
              <w:widowControl/>
              <w:adjustRightInd w:val="0"/>
              <w:snapToGrid w:val="0"/>
              <w:spacing w:before="0" w:beforeLines="0" w:line="240" w:lineRule="auto"/>
              <w:jc w:val="center"/>
              <w:rPr>
                <w:kern w:val="0"/>
                <w:szCs w:val="21"/>
              </w:rPr>
            </w:pPr>
            <w:r>
              <w:rPr>
                <w:rFonts w:hint="eastAsia"/>
                <w:kern w:val="0"/>
                <w:szCs w:val="21"/>
              </w:rPr>
              <w:t>3</w:t>
            </w:r>
          </w:p>
        </w:tc>
        <w:tc>
          <w:tcPr>
            <w:tcW w:w="489" w:type="pct"/>
            <w:noWrap/>
            <w:vAlign w:val="bottom"/>
          </w:tcPr>
          <w:p w14:paraId="236EACF4">
            <w:pPr>
              <w:widowControl/>
              <w:adjustRightInd w:val="0"/>
              <w:snapToGrid w:val="0"/>
              <w:spacing w:before="0" w:beforeLines="0" w:line="240" w:lineRule="auto"/>
              <w:jc w:val="center"/>
              <w:rPr>
                <w:kern w:val="0"/>
                <w:szCs w:val="21"/>
              </w:rPr>
            </w:pPr>
            <w:r>
              <w:rPr>
                <w:rFonts w:hint="eastAsia"/>
                <w:kern w:val="0"/>
                <w:szCs w:val="21"/>
              </w:rPr>
              <w:t>庙沟</w:t>
            </w:r>
          </w:p>
        </w:tc>
        <w:tc>
          <w:tcPr>
            <w:tcW w:w="560" w:type="pct"/>
            <w:noWrap/>
            <w:vAlign w:val="bottom"/>
          </w:tcPr>
          <w:p w14:paraId="67EDC61C">
            <w:pPr>
              <w:widowControl/>
              <w:adjustRightInd w:val="0"/>
              <w:snapToGrid w:val="0"/>
              <w:spacing w:before="0" w:beforeLines="0" w:line="240" w:lineRule="auto"/>
              <w:jc w:val="center"/>
              <w:rPr>
                <w:kern w:val="0"/>
                <w:szCs w:val="21"/>
              </w:rPr>
            </w:pPr>
            <w:r>
              <w:rPr>
                <w:rFonts w:hint="eastAsia"/>
                <w:kern w:val="0"/>
                <w:szCs w:val="21"/>
              </w:rPr>
              <w:t>-1661，2637</w:t>
            </w:r>
          </w:p>
        </w:tc>
        <w:tc>
          <w:tcPr>
            <w:tcW w:w="354" w:type="pct"/>
            <w:noWrap/>
            <w:vAlign w:val="bottom"/>
          </w:tcPr>
          <w:p w14:paraId="27D6063A">
            <w:pPr>
              <w:widowControl/>
              <w:adjustRightInd w:val="0"/>
              <w:snapToGrid w:val="0"/>
              <w:spacing w:before="0" w:beforeLines="0" w:line="240" w:lineRule="auto"/>
              <w:jc w:val="center"/>
              <w:rPr>
                <w:kern w:val="0"/>
                <w:szCs w:val="21"/>
              </w:rPr>
            </w:pPr>
            <w:r>
              <w:rPr>
                <w:rFonts w:hint="eastAsia"/>
                <w:kern w:val="0"/>
                <w:szCs w:val="21"/>
              </w:rPr>
              <w:t>272.07</w:t>
            </w:r>
          </w:p>
        </w:tc>
        <w:tc>
          <w:tcPr>
            <w:tcW w:w="355" w:type="pct"/>
            <w:noWrap/>
            <w:vAlign w:val="center"/>
          </w:tcPr>
          <w:p w14:paraId="58B9A1AE">
            <w:pPr>
              <w:widowControl/>
              <w:adjustRightInd w:val="0"/>
              <w:snapToGrid w:val="0"/>
              <w:spacing w:before="0" w:beforeLines="0" w:line="240" w:lineRule="auto"/>
              <w:jc w:val="center"/>
              <w:rPr>
                <w:kern w:val="0"/>
                <w:szCs w:val="21"/>
              </w:rPr>
            </w:pPr>
            <w:r>
              <w:rPr>
                <w:rFonts w:hint="eastAsia"/>
                <w:kern w:val="0"/>
                <w:szCs w:val="21"/>
              </w:rPr>
              <w:t>年平均</w:t>
            </w:r>
          </w:p>
        </w:tc>
        <w:tc>
          <w:tcPr>
            <w:tcW w:w="354" w:type="pct"/>
            <w:noWrap/>
            <w:vAlign w:val="center"/>
          </w:tcPr>
          <w:p w14:paraId="647C7C68">
            <w:pPr>
              <w:widowControl/>
              <w:adjustRightInd w:val="0"/>
              <w:snapToGrid w:val="0"/>
              <w:spacing w:before="0" w:beforeLines="0" w:line="240" w:lineRule="auto"/>
              <w:jc w:val="center"/>
              <w:rPr>
                <w:kern w:val="0"/>
                <w:szCs w:val="21"/>
              </w:rPr>
            </w:pPr>
            <w:r>
              <w:rPr>
                <w:rFonts w:hint="eastAsia"/>
                <w:color w:val="000000"/>
                <w:kern w:val="0"/>
                <w:sz w:val="22"/>
                <w:szCs w:val="22"/>
              </w:rPr>
              <w:t>0.0503</w:t>
            </w:r>
          </w:p>
        </w:tc>
        <w:tc>
          <w:tcPr>
            <w:tcW w:w="509" w:type="pct"/>
            <w:noWrap/>
            <w:vAlign w:val="center"/>
          </w:tcPr>
          <w:p w14:paraId="16BD86B6">
            <w:pPr>
              <w:widowControl/>
              <w:adjustRightInd w:val="0"/>
              <w:snapToGrid w:val="0"/>
              <w:spacing w:before="0" w:beforeLines="0" w:line="240" w:lineRule="auto"/>
              <w:jc w:val="center"/>
              <w:rPr>
                <w:kern w:val="0"/>
                <w:szCs w:val="21"/>
              </w:rPr>
            </w:pPr>
            <w:r>
              <w:rPr>
                <w:rFonts w:hint="eastAsia"/>
                <w:color w:val="000000"/>
                <w:kern w:val="0"/>
                <w:sz w:val="22"/>
                <w:szCs w:val="22"/>
              </w:rPr>
              <w:t>平均值</w:t>
            </w:r>
          </w:p>
        </w:tc>
        <w:tc>
          <w:tcPr>
            <w:tcW w:w="458" w:type="pct"/>
            <w:noWrap/>
            <w:vAlign w:val="center"/>
          </w:tcPr>
          <w:p w14:paraId="7FE5C14A">
            <w:pPr>
              <w:widowControl/>
              <w:adjustRightInd w:val="0"/>
              <w:snapToGrid w:val="0"/>
              <w:spacing w:before="0" w:beforeLines="0" w:line="240" w:lineRule="auto"/>
              <w:jc w:val="center"/>
              <w:rPr>
                <w:kern w:val="0"/>
                <w:szCs w:val="21"/>
              </w:rPr>
            </w:pPr>
            <w:r>
              <w:rPr>
                <w:rFonts w:hint="eastAsia"/>
                <w:color w:val="000000"/>
                <w:kern w:val="0"/>
                <w:sz w:val="22"/>
                <w:szCs w:val="22"/>
              </w:rPr>
              <w:t>47.86</w:t>
            </w:r>
          </w:p>
        </w:tc>
        <w:tc>
          <w:tcPr>
            <w:tcW w:w="609" w:type="pct"/>
            <w:noWrap/>
            <w:vAlign w:val="center"/>
          </w:tcPr>
          <w:p w14:paraId="2C353789">
            <w:pPr>
              <w:widowControl/>
              <w:adjustRightInd w:val="0"/>
              <w:snapToGrid w:val="0"/>
              <w:spacing w:before="0" w:beforeLines="0" w:line="240" w:lineRule="auto"/>
              <w:jc w:val="center"/>
              <w:rPr>
                <w:kern w:val="0"/>
                <w:szCs w:val="21"/>
              </w:rPr>
            </w:pPr>
            <w:r>
              <w:rPr>
                <w:rFonts w:hint="eastAsia"/>
                <w:color w:val="000000"/>
                <w:kern w:val="0"/>
                <w:sz w:val="22"/>
                <w:szCs w:val="22"/>
              </w:rPr>
              <w:t>47.9103</w:t>
            </w:r>
          </w:p>
        </w:tc>
        <w:tc>
          <w:tcPr>
            <w:tcW w:w="407" w:type="pct"/>
            <w:noWrap/>
            <w:vAlign w:val="center"/>
          </w:tcPr>
          <w:p w14:paraId="10A03BCB">
            <w:pPr>
              <w:widowControl/>
              <w:adjustRightInd w:val="0"/>
              <w:snapToGrid w:val="0"/>
              <w:spacing w:before="0" w:beforeLines="0" w:line="240" w:lineRule="auto"/>
              <w:jc w:val="center"/>
              <w:rPr>
                <w:kern w:val="0"/>
                <w:szCs w:val="21"/>
              </w:rPr>
            </w:pPr>
            <w:r>
              <w:rPr>
                <w:rFonts w:hint="eastAsia"/>
                <w:color w:val="000000"/>
                <w:kern w:val="0"/>
                <w:sz w:val="22"/>
                <w:szCs w:val="22"/>
              </w:rPr>
              <w:t>60</w:t>
            </w:r>
          </w:p>
        </w:tc>
        <w:tc>
          <w:tcPr>
            <w:tcW w:w="469" w:type="pct"/>
            <w:noWrap/>
            <w:vAlign w:val="center"/>
          </w:tcPr>
          <w:p w14:paraId="6E2296FC">
            <w:pPr>
              <w:widowControl/>
              <w:adjustRightInd w:val="0"/>
              <w:snapToGrid w:val="0"/>
              <w:spacing w:before="0" w:beforeLines="0" w:line="240" w:lineRule="auto"/>
              <w:jc w:val="center"/>
              <w:rPr>
                <w:kern w:val="0"/>
                <w:szCs w:val="21"/>
              </w:rPr>
            </w:pPr>
            <w:r>
              <w:rPr>
                <w:rFonts w:hint="eastAsia"/>
                <w:color w:val="000000"/>
                <w:kern w:val="0"/>
                <w:sz w:val="22"/>
                <w:szCs w:val="22"/>
              </w:rPr>
              <w:t>79.85</w:t>
            </w:r>
          </w:p>
        </w:tc>
        <w:tc>
          <w:tcPr>
            <w:tcW w:w="266" w:type="pct"/>
            <w:noWrap/>
            <w:vAlign w:val="bottom"/>
          </w:tcPr>
          <w:p w14:paraId="40074340">
            <w:pPr>
              <w:widowControl/>
              <w:adjustRightInd w:val="0"/>
              <w:snapToGrid w:val="0"/>
              <w:spacing w:before="0" w:beforeLines="0" w:line="240" w:lineRule="auto"/>
              <w:jc w:val="center"/>
              <w:rPr>
                <w:kern w:val="0"/>
                <w:szCs w:val="21"/>
              </w:rPr>
            </w:pPr>
            <w:r>
              <w:rPr>
                <w:rFonts w:hint="eastAsia"/>
                <w:kern w:val="0"/>
                <w:szCs w:val="21"/>
              </w:rPr>
              <w:t>达标</w:t>
            </w:r>
          </w:p>
        </w:tc>
      </w:tr>
      <w:tr w14:paraId="06148BE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14:paraId="62D5124E">
            <w:pPr>
              <w:widowControl/>
              <w:adjustRightInd w:val="0"/>
              <w:snapToGrid w:val="0"/>
              <w:spacing w:before="0" w:beforeLines="0" w:line="240" w:lineRule="auto"/>
              <w:jc w:val="center"/>
              <w:rPr>
                <w:kern w:val="0"/>
                <w:szCs w:val="21"/>
              </w:rPr>
            </w:pPr>
            <w:r>
              <w:rPr>
                <w:rFonts w:hint="eastAsia"/>
                <w:kern w:val="0"/>
                <w:szCs w:val="21"/>
              </w:rPr>
              <w:t>4</w:t>
            </w:r>
          </w:p>
        </w:tc>
        <w:tc>
          <w:tcPr>
            <w:tcW w:w="489" w:type="pct"/>
            <w:noWrap/>
            <w:vAlign w:val="bottom"/>
          </w:tcPr>
          <w:p w14:paraId="232C3273">
            <w:pPr>
              <w:widowControl/>
              <w:adjustRightInd w:val="0"/>
              <w:snapToGrid w:val="0"/>
              <w:spacing w:before="0" w:beforeLines="0" w:line="240" w:lineRule="auto"/>
              <w:jc w:val="center"/>
              <w:rPr>
                <w:kern w:val="0"/>
                <w:szCs w:val="21"/>
              </w:rPr>
            </w:pPr>
            <w:r>
              <w:rPr>
                <w:rFonts w:hint="eastAsia"/>
                <w:kern w:val="0"/>
                <w:szCs w:val="21"/>
              </w:rPr>
              <w:t>南山</w:t>
            </w:r>
          </w:p>
        </w:tc>
        <w:tc>
          <w:tcPr>
            <w:tcW w:w="560" w:type="pct"/>
            <w:noWrap/>
            <w:vAlign w:val="bottom"/>
          </w:tcPr>
          <w:p w14:paraId="71981FC5">
            <w:pPr>
              <w:widowControl/>
              <w:adjustRightInd w:val="0"/>
              <w:snapToGrid w:val="0"/>
              <w:spacing w:before="0" w:beforeLines="0" w:line="240" w:lineRule="auto"/>
              <w:jc w:val="center"/>
              <w:rPr>
                <w:kern w:val="0"/>
                <w:szCs w:val="21"/>
              </w:rPr>
            </w:pPr>
            <w:r>
              <w:rPr>
                <w:rFonts w:hint="eastAsia"/>
                <w:kern w:val="0"/>
                <w:szCs w:val="21"/>
              </w:rPr>
              <w:t>-2638,-689</w:t>
            </w:r>
          </w:p>
        </w:tc>
        <w:tc>
          <w:tcPr>
            <w:tcW w:w="354" w:type="pct"/>
            <w:noWrap/>
            <w:vAlign w:val="bottom"/>
          </w:tcPr>
          <w:p w14:paraId="7407B908">
            <w:pPr>
              <w:widowControl/>
              <w:adjustRightInd w:val="0"/>
              <w:snapToGrid w:val="0"/>
              <w:spacing w:before="0" w:beforeLines="0" w:line="240" w:lineRule="auto"/>
              <w:jc w:val="center"/>
              <w:rPr>
                <w:kern w:val="0"/>
                <w:szCs w:val="21"/>
              </w:rPr>
            </w:pPr>
            <w:r>
              <w:rPr>
                <w:rFonts w:hint="eastAsia"/>
                <w:kern w:val="0"/>
                <w:szCs w:val="21"/>
              </w:rPr>
              <w:t>276.62</w:t>
            </w:r>
          </w:p>
        </w:tc>
        <w:tc>
          <w:tcPr>
            <w:tcW w:w="355" w:type="pct"/>
            <w:noWrap/>
            <w:vAlign w:val="center"/>
          </w:tcPr>
          <w:p w14:paraId="67525A78">
            <w:pPr>
              <w:widowControl/>
              <w:adjustRightInd w:val="0"/>
              <w:snapToGrid w:val="0"/>
              <w:spacing w:before="0" w:beforeLines="0" w:line="240" w:lineRule="auto"/>
              <w:jc w:val="center"/>
              <w:rPr>
                <w:kern w:val="0"/>
                <w:szCs w:val="21"/>
              </w:rPr>
            </w:pPr>
            <w:r>
              <w:rPr>
                <w:rFonts w:hint="eastAsia"/>
                <w:kern w:val="0"/>
                <w:szCs w:val="21"/>
              </w:rPr>
              <w:t>年平均</w:t>
            </w:r>
          </w:p>
        </w:tc>
        <w:tc>
          <w:tcPr>
            <w:tcW w:w="354" w:type="pct"/>
            <w:noWrap/>
            <w:vAlign w:val="center"/>
          </w:tcPr>
          <w:p w14:paraId="5D65A374">
            <w:pPr>
              <w:widowControl/>
              <w:adjustRightInd w:val="0"/>
              <w:snapToGrid w:val="0"/>
              <w:spacing w:before="0" w:beforeLines="0" w:line="240" w:lineRule="auto"/>
              <w:jc w:val="center"/>
              <w:rPr>
                <w:kern w:val="0"/>
                <w:szCs w:val="21"/>
              </w:rPr>
            </w:pPr>
            <w:r>
              <w:rPr>
                <w:rFonts w:hint="eastAsia"/>
                <w:color w:val="000000"/>
                <w:kern w:val="0"/>
                <w:sz w:val="22"/>
                <w:szCs w:val="22"/>
              </w:rPr>
              <w:t>0.0251</w:t>
            </w:r>
          </w:p>
        </w:tc>
        <w:tc>
          <w:tcPr>
            <w:tcW w:w="509" w:type="pct"/>
            <w:noWrap/>
            <w:vAlign w:val="center"/>
          </w:tcPr>
          <w:p w14:paraId="1F3C8EA1">
            <w:pPr>
              <w:widowControl/>
              <w:adjustRightInd w:val="0"/>
              <w:snapToGrid w:val="0"/>
              <w:spacing w:before="0" w:beforeLines="0" w:line="240" w:lineRule="auto"/>
              <w:jc w:val="center"/>
              <w:rPr>
                <w:kern w:val="0"/>
                <w:szCs w:val="21"/>
              </w:rPr>
            </w:pPr>
            <w:r>
              <w:rPr>
                <w:rFonts w:hint="eastAsia"/>
                <w:color w:val="000000"/>
                <w:kern w:val="0"/>
                <w:sz w:val="22"/>
                <w:szCs w:val="22"/>
              </w:rPr>
              <w:t>平均值</w:t>
            </w:r>
          </w:p>
        </w:tc>
        <w:tc>
          <w:tcPr>
            <w:tcW w:w="458" w:type="pct"/>
            <w:noWrap/>
            <w:vAlign w:val="center"/>
          </w:tcPr>
          <w:p w14:paraId="71388922">
            <w:pPr>
              <w:widowControl/>
              <w:adjustRightInd w:val="0"/>
              <w:snapToGrid w:val="0"/>
              <w:spacing w:before="0" w:beforeLines="0" w:line="240" w:lineRule="auto"/>
              <w:jc w:val="center"/>
              <w:rPr>
                <w:kern w:val="0"/>
                <w:szCs w:val="21"/>
              </w:rPr>
            </w:pPr>
            <w:r>
              <w:rPr>
                <w:rFonts w:hint="eastAsia"/>
                <w:color w:val="000000"/>
                <w:kern w:val="0"/>
                <w:sz w:val="22"/>
                <w:szCs w:val="22"/>
              </w:rPr>
              <w:t>47.86</w:t>
            </w:r>
          </w:p>
        </w:tc>
        <w:tc>
          <w:tcPr>
            <w:tcW w:w="609" w:type="pct"/>
            <w:noWrap/>
            <w:vAlign w:val="center"/>
          </w:tcPr>
          <w:p w14:paraId="20F1C49B">
            <w:pPr>
              <w:widowControl/>
              <w:adjustRightInd w:val="0"/>
              <w:snapToGrid w:val="0"/>
              <w:spacing w:before="0" w:beforeLines="0" w:line="240" w:lineRule="auto"/>
              <w:jc w:val="center"/>
              <w:rPr>
                <w:kern w:val="0"/>
                <w:szCs w:val="21"/>
              </w:rPr>
            </w:pPr>
            <w:r>
              <w:rPr>
                <w:rFonts w:hint="eastAsia"/>
                <w:color w:val="000000"/>
                <w:kern w:val="0"/>
                <w:sz w:val="22"/>
                <w:szCs w:val="22"/>
              </w:rPr>
              <w:t>47.8851</w:t>
            </w:r>
          </w:p>
        </w:tc>
        <w:tc>
          <w:tcPr>
            <w:tcW w:w="407" w:type="pct"/>
            <w:noWrap/>
            <w:vAlign w:val="center"/>
          </w:tcPr>
          <w:p w14:paraId="76102D78">
            <w:pPr>
              <w:widowControl/>
              <w:adjustRightInd w:val="0"/>
              <w:snapToGrid w:val="0"/>
              <w:spacing w:before="0" w:beforeLines="0" w:line="240" w:lineRule="auto"/>
              <w:jc w:val="center"/>
              <w:rPr>
                <w:kern w:val="0"/>
                <w:szCs w:val="21"/>
              </w:rPr>
            </w:pPr>
            <w:r>
              <w:rPr>
                <w:rFonts w:hint="eastAsia"/>
                <w:color w:val="000000"/>
                <w:kern w:val="0"/>
                <w:sz w:val="22"/>
                <w:szCs w:val="22"/>
              </w:rPr>
              <w:t>60</w:t>
            </w:r>
          </w:p>
        </w:tc>
        <w:tc>
          <w:tcPr>
            <w:tcW w:w="469" w:type="pct"/>
            <w:noWrap/>
            <w:vAlign w:val="center"/>
          </w:tcPr>
          <w:p w14:paraId="65AD5984">
            <w:pPr>
              <w:widowControl/>
              <w:adjustRightInd w:val="0"/>
              <w:snapToGrid w:val="0"/>
              <w:spacing w:before="0" w:beforeLines="0" w:line="240" w:lineRule="auto"/>
              <w:jc w:val="center"/>
              <w:rPr>
                <w:kern w:val="0"/>
                <w:szCs w:val="21"/>
              </w:rPr>
            </w:pPr>
            <w:r>
              <w:rPr>
                <w:rFonts w:hint="eastAsia"/>
                <w:color w:val="000000"/>
                <w:kern w:val="0"/>
                <w:sz w:val="22"/>
                <w:szCs w:val="22"/>
              </w:rPr>
              <w:t>79.81</w:t>
            </w:r>
          </w:p>
        </w:tc>
        <w:tc>
          <w:tcPr>
            <w:tcW w:w="266" w:type="pct"/>
            <w:noWrap/>
            <w:vAlign w:val="bottom"/>
          </w:tcPr>
          <w:p w14:paraId="464FFFC9">
            <w:pPr>
              <w:widowControl/>
              <w:adjustRightInd w:val="0"/>
              <w:snapToGrid w:val="0"/>
              <w:spacing w:before="0" w:beforeLines="0" w:line="240" w:lineRule="auto"/>
              <w:jc w:val="center"/>
              <w:rPr>
                <w:kern w:val="0"/>
                <w:szCs w:val="21"/>
              </w:rPr>
            </w:pPr>
            <w:r>
              <w:rPr>
                <w:rFonts w:hint="eastAsia"/>
                <w:kern w:val="0"/>
                <w:szCs w:val="21"/>
              </w:rPr>
              <w:t>达标</w:t>
            </w:r>
          </w:p>
        </w:tc>
      </w:tr>
      <w:tr w14:paraId="0961E6CD">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14:paraId="5D47D423">
            <w:pPr>
              <w:widowControl/>
              <w:adjustRightInd w:val="0"/>
              <w:snapToGrid w:val="0"/>
              <w:spacing w:before="0" w:beforeLines="0" w:line="240" w:lineRule="auto"/>
              <w:jc w:val="center"/>
              <w:rPr>
                <w:kern w:val="0"/>
                <w:szCs w:val="21"/>
              </w:rPr>
            </w:pPr>
            <w:r>
              <w:rPr>
                <w:rFonts w:hint="eastAsia"/>
                <w:kern w:val="0"/>
                <w:szCs w:val="21"/>
              </w:rPr>
              <w:t>5</w:t>
            </w:r>
          </w:p>
        </w:tc>
        <w:tc>
          <w:tcPr>
            <w:tcW w:w="489" w:type="pct"/>
            <w:noWrap/>
            <w:vAlign w:val="bottom"/>
          </w:tcPr>
          <w:p w14:paraId="27A23DE6">
            <w:pPr>
              <w:widowControl/>
              <w:adjustRightInd w:val="0"/>
              <w:snapToGrid w:val="0"/>
              <w:spacing w:before="0" w:beforeLines="0" w:line="240" w:lineRule="auto"/>
              <w:jc w:val="center"/>
              <w:rPr>
                <w:kern w:val="0"/>
                <w:szCs w:val="21"/>
              </w:rPr>
            </w:pPr>
            <w:r>
              <w:rPr>
                <w:rFonts w:hint="eastAsia"/>
                <w:kern w:val="0"/>
                <w:szCs w:val="21"/>
              </w:rPr>
              <w:t>邵家窝堡</w:t>
            </w:r>
          </w:p>
        </w:tc>
        <w:tc>
          <w:tcPr>
            <w:tcW w:w="560" w:type="pct"/>
            <w:noWrap/>
            <w:vAlign w:val="bottom"/>
          </w:tcPr>
          <w:p w14:paraId="162D6BB6">
            <w:pPr>
              <w:widowControl/>
              <w:adjustRightInd w:val="0"/>
              <w:snapToGrid w:val="0"/>
              <w:spacing w:before="0" w:beforeLines="0" w:line="240" w:lineRule="auto"/>
              <w:jc w:val="center"/>
              <w:rPr>
                <w:kern w:val="0"/>
                <w:szCs w:val="21"/>
              </w:rPr>
            </w:pPr>
            <w:r>
              <w:rPr>
                <w:rFonts w:hint="eastAsia"/>
                <w:kern w:val="0"/>
                <w:szCs w:val="21"/>
              </w:rPr>
              <w:t>636，1878</w:t>
            </w:r>
          </w:p>
        </w:tc>
        <w:tc>
          <w:tcPr>
            <w:tcW w:w="354" w:type="pct"/>
            <w:noWrap/>
            <w:vAlign w:val="bottom"/>
          </w:tcPr>
          <w:p w14:paraId="6789DFB6">
            <w:pPr>
              <w:widowControl/>
              <w:adjustRightInd w:val="0"/>
              <w:snapToGrid w:val="0"/>
              <w:spacing w:before="0" w:beforeLines="0" w:line="240" w:lineRule="auto"/>
              <w:jc w:val="center"/>
              <w:rPr>
                <w:kern w:val="0"/>
                <w:szCs w:val="21"/>
              </w:rPr>
            </w:pPr>
            <w:r>
              <w:rPr>
                <w:rFonts w:hint="eastAsia"/>
                <w:kern w:val="0"/>
                <w:szCs w:val="21"/>
              </w:rPr>
              <w:t>261.61</w:t>
            </w:r>
          </w:p>
        </w:tc>
        <w:tc>
          <w:tcPr>
            <w:tcW w:w="355" w:type="pct"/>
            <w:noWrap/>
            <w:vAlign w:val="center"/>
          </w:tcPr>
          <w:p w14:paraId="2F58249B">
            <w:pPr>
              <w:widowControl/>
              <w:adjustRightInd w:val="0"/>
              <w:snapToGrid w:val="0"/>
              <w:spacing w:before="0" w:beforeLines="0" w:line="240" w:lineRule="auto"/>
              <w:jc w:val="center"/>
              <w:rPr>
                <w:kern w:val="0"/>
                <w:szCs w:val="21"/>
              </w:rPr>
            </w:pPr>
            <w:r>
              <w:rPr>
                <w:rFonts w:hint="eastAsia"/>
                <w:kern w:val="0"/>
                <w:szCs w:val="21"/>
              </w:rPr>
              <w:t>年平均</w:t>
            </w:r>
          </w:p>
        </w:tc>
        <w:tc>
          <w:tcPr>
            <w:tcW w:w="354" w:type="pct"/>
            <w:noWrap/>
            <w:vAlign w:val="center"/>
          </w:tcPr>
          <w:p w14:paraId="63811FD4">
            <w:pPr>
              <w:widowControl/>
              <w:adjustRightInd w:val="0"/>
              <w:snapToGrid w:val="0"/>
              <w:spacing w:before="0" w:beforeLines="0" w:line="240" w:lineRule="auto"/>
              <w:jc w:val="center"/>
              <w:rPr>
                <w:kern w:val="0"/>
                <w:szCs w:val="21"/>
              </w:rPr>
            </w:pPr>
            <w:r>
              <w:rPr>
                <w:rFonts w:hint="eastAsia"/>
                <w:color w:val="000000"/>
                <w:kern w:val="0"/>
                <w:sz w:val="22"/>
                <w:szCs w:val="22"/>
              </w:rPr>
              <w:t>0.1006</w:t>
            </w:r>
          </w:p>
        </w:tc>
        <w:tc>
          <w:tcPr>
            <w:tcW w:w="509" w:type="pct"/>
            <w:noWrap/>
            <w:vAlign w:val="center"/>
          </w:tcPr>
          <w:p w14:paraId="6BAEF9D4">
            <w:pPr>
              <w:widowControl/>
              <w:adjustRightInd w:val="0"/>
              <w:snapToGrid w:val="0"/>
              <w:spacing w:before="0" w:beforeLines="0" w:line="240" w:lineRule="auto"/>
              <w:jc w:val="center"/>
              <w:rPr>
                <w:kern w:val="0"/>
                <w:szCs w:val="21"/>
              </w:rPr>
            </w:pPr>
            <w:r>
              <w:rPr>
                <w:rFonts w:hint="eastAsia"/>
                <w:color w:val="000000"/>
                <w:kern w:val="0"/>
                <w:sz w:val="22"/>
                <w:szCs w:val="22"/>
              </w:rPr>
              <w:t>平均值</w:t>
            </w:r>
          </w:p>
        </w:tc>
        <w:tc>
          <w:tcPr>
            <w:tcW w:w="458" w:type="pct"/>
            <w:noWrap/>
            <w:vAlign w:val="center"/>
          </w:tcPr>
          <w:p w14:paraId="32B336D9">
            <w:pPr>
              <w:widowControl/>
              <w:adjustRightInd w:val="0"/>
              <w:snapToGrid w:val="0"/>
              <w:spacing w:before="0" w:beforeLines="0" w:line="240" w:lineRule="auto"/>
              <w:jc w:val="center"/>
              <w:rPr>
                <w:kern w:val="0"/>
                <w:szCs w:val="21"/>
              </w:rPr>
            </w:pPr>
            <w:r>
              <w:rPr>
                <w:rFonts w:hint="eastAsia"/>
                <w:color w:val="000000"/>
                <w:kern w:val="0"/>
                <w:sz w:val="22"/>
                <w:szCs w:val="22"/>
              </w:rPr>
              <w:t>47.86</w:t>
            </w:r>
          </w:p>
        </w:tc>
        <w:tc>
          <w:tcPr>
            <w:tcW w:w="609" w:type="pct"/>
            <w:noWrap/>
            <w:vAlign w:val="center"/>
          </w:tcPr>
          <w:p w14:paraId="204BEDFD">
            <w:pPr>
              <w:widowControl/>
              <w:adjustRightInd w:val="0"/>
              <w:snapToGrid w:val="0"/>
              <w:spacing w:before="0" w:beforeLines="0" w:line="240" w:lineRule="auto"/>
              <w:jc w:val="center"/>
              <w:rPr>
                <w:kern w:val="0"/>
                <w:szCs w:val="21"/>
              </w:rPr>
            </w:pPr>
            <w:r>
              <w:rPr>
                <w:rFonts w:hint="eastAsia"/>
                <w:color w:val="000000"/>
                <w:kern w:val="0"/>
                <w:sz w:val="22"/>
                <w:szCs w:val="22"/>
              </w:rPr>
              <w:t>47.9606</w:t>
            </w:r>
          </w:p>
        </w:tc>
        <w:tc>
          <w:tcPr>
            <w:tcW w:w="407" w:type="pct"/>
            <w:noWrap/>
            <w:vAlign w:val="center"/>
          </w:tcPr>
          <w:p w14:paraId="1BF5BD82">
            <w:pPr>
              <w:widowControl/>
              <w:adjustRightInd w:val="0"/>
              <w:snapToGrid w:val="0"/>
              <w:spacing w:before="0" w:beforeLines="0" w:line="240" w:lineRule="auto"/>
              <w:jc w:val="center"/>
              <w:rPr>
                <w:kern w:val="0"/>
                <w:szCs w:val="21"/>
              </w:rPr>
            </w:pPr>
            <w:r>
              <w:rPr>
                <w:rFonts w:hint="eastAsia"/>
                <w:color w:val="000000"/>
                <w:kern w:val="0"/>
                <w:sz w:val="22"/>
                <w:szCs w:val="22"/>
              </w:rPr>
              <w:t>60</w:t>
            </w:r>
          </w:p>
        </w:tc>
        <w:tc>
          <w:tcPr>
            <w:tcW w:w="469" w:type="pct"/>
            <w:noWrap/>
            <w:vAlign w:val="center"/>
          </w:tcPr>
          <w:p w14:paraId="3D73D95A">
            <w:pPr>
              <w:widowControl/>
              <w:adjustRightInd w:val="0"/>
              <w:snapToGrid w:val="0"/>
              <w:spacing w:before="0" w:beforeLines="0" w:line="240" w:lineRule="auto"/>
              <w:jc w:val="center"/>
              <w:rPr>
                <w:kern w:val="0"/>
                <w:szCs w:val="21"/>
              </w:rPr>
            </w:pPr>
            <w:r>
              <w:rPr>
                <w:rFonts w:hint="eastAsia"/>
                <w:color w:val="000000"/>
                <w:kern w:val="0"/>
                <w:sz w:val="22"/>
                <w:szCs w:val="22"/>
              </w:rPr>
              <w:t>79.93</w:t>
            </w:r>
          </w:p>
        </w:tc>
        <w:tc>
          <w:tcPr>
            <w:tcW w:w="266" w:type="pct"/>
            <w:noWrap/>
            <w:vAlign w:val="bottom"/>
          </w:tcPr>
          <w:p w14:paraId="20662338">
            <w:pPr>
              <w:widowControl/>
              <w:adjustRightInd w:val="0"/>
              <w:snapToGrid w:val="0"/>
              <w:spacing w:before="0" w:beforeLines="0" w:line="240" w:lineRule="auto"/>
              <w:jc w:val="center"/>
              <w:rPr>
                <w:kern w:val="0"/>
                <w:szCs w:val="21"/>
              </w:rPr>
            </w:pPr>
            <w:r>
              <w:rPr>
                <w:rFonts w:hint="eastAsia"/>
                <w:kern w:val="0"/>
                <w:szCs w:val="21"/>
              </w:rPr>
              <w:t>达标</w:t>
            </w:r>
          </w:p>
        </w:tc>
      </w:tr>
      <w:tr w14:paraId="1EDA38B3">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14:paraId="0BDFF695">
            <w:pPr>
              <w:widowControl/>
              <w:adjustRightInd w:val="0"/>
              <w:snapToGrid w:val="0"/>
              <w:spacing w:before="0" w:beforeLines="0" w:line="240" w:lineRule="auto"/>
              <w:jc w:val="center"/>
              <w:rPr>
                <w:kern w:val="0"/>
                <w:szCs w:val="21"/>
              </w:rPr>
            </w:pPr>
            <w:r>
              <w:rPr>
                <w:rFonts w:hint="eastAsia"/>
                <w:kern w:val="0"/>
                <w:szCs w:val="21"/>
              </w:rPr>
              <w:t>6</w:t>
            </w:r>
          </w:p>
        </w:tc>
        <w:tc>
          <w:tcPr>
            <w:tcW w:w="489" w:type="pct"/>
            <w:noWrap/>
            <w:vAlign w:val="bottom"/>
          </w:tcPr>
          <w:p w14:paraId="2A0356C5">
            <w:pPr>
              <w:widowControl/>
              <w:adjustRightInd w:val="0"/>
              <w:snapToGrid w:val="0"/>
              <w:spacing w:before="0" w:beforeLines="0" w:line="240" w:lineRule="auto"/>
              <w:jc w:val="center"/>
              <w:rPr>
                <w:kern w:val="0"/>
                <w:szCs w:val="21"/>
              </w:rPr>
            </w:pPr>
            <w:r>
              <w:rPr>
                <w:rFonts w:hint="eastAsia"/>
                <w:kern w:val="0"/>
                <w:szCs w:val="21"/>
              </w:rPr>
              <w:t>满汉营子</w:t>
            </w:r>
          </w:p>
        </w:tc>
        <w:tc>
          <w:tcPr>
            <w:tcW w:w="560" w:type="pct"/>
            <w:noWrap/>
            <w:vAlign w:val="center"/>
          </w:tcPr>
          <w:p w14:paraId="5D249696">
            <w:pPr>
              <w:widowControl/>
              <w:adjustRightInd w:val="0"/>
              <w:snapToGrid w:val="0"/>
              <w:spacing w:before="0" w:beforeLines="0" w:line="240" w:lineRule="auto"/>
              <w:jc w:val="center"/>
              <w:rPr>
                <w:kern w:val="0"/>
                <w:szCs w:val="21"/>
              </w:rPr>
            </w:pPr>
            <w:r>
              <w:rPr>
                <w:rFonts w:hint="eastAsia"/>
                <w:kern w:val="0"/>
                <w:szCs w:val="21"/>
              </w:rPr>
              <w:t>2366，1014</w:t>
            </w:r>
          </w:p>
        </w:tc>
        <w:tc>
          <w:tcPr>
            <w:tcW w:w="354" w:type="pct"/>
            <w:noWrap/>
            <w:vAlign w:val="bottom"/>
          </w:tcPr>
          <w:p w14:paraId="5FB1DC38">
            <w:pPr>
              <w:widowControl/>
              <w:adjustRightInd w:val="0"/>
              <w:snapToGrid w:val="0"/>
              <w:spacing w:before="0" w:beforeLines="0" w:line="240" w:lineRule="auto"/>
              <w:jc w:val="center"/>
              <w:rPr>
                <w:kern w:val="0"/>
                <w:szCs w:val="21"/>
              </w:rPr>
            </w:pPr>
            <w:r>
              <w:rPr>
                <w:rFonts w:hint="eastAsia"/>
                <w:kern w:val="0"/>
                <w:szCs w:val="21"/>
              </w:rPr>
              <w:t>262.59</w:t>
            </w:r>
          </w:p>
        </w:tc>
        <w:tc>
          <w:tcPr>
            <w:tcW w:w="355" w:type="pct"/>
            <w:noWrap/>
            <w:vAlign w:val="center"/>
          </w:tcPr>
          <w:p w14:paraId="455A477B">
            <w:pPr>
              <w:widowControl/>
              <w:adjustRightInd w:val="0"/>
              <w:snapToGrid w:val="0"/>
              <w:spacing w:before="0" w:beforeLines="0" w:line="240" w:lineRule="auto"/>
              <w:jc w:val="center"/>
              <w:rPr>
                <w:kern w:val="0"/>
                <w:szCs w:val="21"/>
              </w:rPr>
            </w:pPr>
            <w:r>
              <w:rPr>
                <w:rFonts w:hint="eastAsia"/>
                <w:kern w:val="0"/>
                <w:szCs w:val="21"/>
              </w:rPr>
              <w:t>年平均</w:t>
            </w:r>
          </w:p>
        </w:tc>
        <w:tc>
          <w:tcPr>
            <w:tcW w:w="354" w:type="pct"/>
            <w:noWrap/>
            <w:vAlign w:val="center"/>
          </w:tcPr>
          <w:p w14:paraId="33750C2E">
            <w:pPr>
              <w:widowControl/>
              <w:adjustRightInd w:val="0"/>
              <w:snapToGrid w:val="0"/>
              <w:spacing w:before="0" w:beforeLines="0" w:line="240" w:lineRule="auto"/>
              <w:jc w:val="center"/>
              <w:rPr>
                <w:kern w:val="0"/>
                <w:szCs w:val="21"/>
              </w:rPr>
            </w:pPr>
            <w:r>
              <w:rPr>
                <w:rFonts w:hint="eastAsia"/>
                <w:color w:val="000000"/>
                <w:kern w:val="0"/>
                <w:sz w:val="22"/>
                <w:szCs w:val="22"/>
              </w:rPr>
              <w:t>0.0219</w:t>
            </w:r>
          </w:p>
        </w:tc>
        <w:tc>
          <w:tcPr>
            <w:tcW w:w="509" w:type="pct"/>
            <w:noWrap/>
            <w:vAlign w:val="center"/>
          </w:tcPr>
          <w:p w14:paraId="2C611A07">
            <w:pPr>
              <w:widowControl/>
              <w:adjustRightInd w:val="0"/>
              <w:snapToGrid w:val="0"/>
              <w:spacing w:before="0" w:beforeLines="0" w:line="240" w:lineRule="auto"/>
              <w:jc w:val="center"/>
              <w:rPr>
                <w:kern w:val="0"/>
                <w:szCs w:val="21"/>
              </w:rPr>
            </w:pPr>
            <w:r>
              <w:rPr>
                <w:rFonts w:hint="eastAsia"/>
                <w:color w:val="000000"/>
                <w:kern w:val="0"/>
                <w:sz w:val="22"/>
                <w:szCs w:val="22"/>
              </w:rPr>
              <w:t>平均值</w:t>
            </w:r>
          </w:p>
        </w:tc>
        <w:tc>
          <w:tcPr>
            <w:tcW w:w="458" w:type="pct"/>
            <w:noWrap/>
            <w:vAlign w:val="center"/>
          </w:tcPr>
          <w:p w14:paraId="243045CD">
            <w:pPr>
              <w:widowControl/>
              <w:adjustRightInd w:val="0"/>
              <w:snapToGrid w:val="0"/>
              <w:spacing w:before="0" w:beforeLines="0" w:line="240" w:lineRule="auto"/>
              <w:jc w:val="center"/>
              <w:rPr>
                <w:kern w:val="0"/>
                <w:szCs w:val="21"/>
              </w:rPr>
            </w:pPr>
            <w:r>
              <w:rPr>
                <w:rFonts w:hint="eastAsia"/>
                <w:color w:val="000000"/>
                <w:kern w:val="0"/>
                <w:sz w:val="22"/>
                <w:szCs w:val="22"/>
              </w:rPr>
              <w:t>47.86</w:t>
            </w:r>
          </w:p>
        </w:tc>
        <w:tc>
          <w:tcPr>
            <w:tcW w:w="609" w:type="pct"/>
            <w:noWrap/>
            <w:vAlign w:val="center"/>
          </w:tcPr>
          <w:p w14:paraId="6AF29958">
            <w:pPr>
              <w:widowControl/>
              <w:adjustRightInd w:val="0"/>
              <w:snapToGrid w:val="0"/>
              <w:spacing w:before="0" w:beforeLines="0" w:line="240" w:lineRule="auto"/>
              <w:jc w:val="center"/>
              <w:rPr>
                <w:kern w:val="0"/>
                <w:szCs w:val="21"/>
              </w:rPr>
            </w:pPr>
            <w:r>
              <w:rPr>
                <w:rFonts w:hint="eastAsia"/>
                <w:color w:val="000000"/>
                <w:kern w:val="0"/>
                <w:sz w:val="22"/>
                <w:szCs w:val="22"/>
              </w:rPr>
              <w:t>47.8819</w:t>
            </w:r>
          </w:p>
        </w:tc>
        <w:tc>
          <w:tcPr>
            <w:tcW w:w="407" w:type="pct"/>
            <w:noWrap/>
            <w:vAlign w:val="center"/>
          </w:tcPr>
          <w:p w14:paraId="77F1B6EE">
            <w:pPr>
              <w:widowControl/>
              <w:adjustRightInd w:val="0"/>
              <w:snapToGrid w:val="0"/>
              <w:spacing w:before="0" w:beforeLines="0" w:line="240" w:lineRule="auto"/>
              <w:jc w:val="center"/>
              <w:rPr>
                <w:kern w:val="0"/>
                <w:szCs w:val="21"/>
              </w:rPr>
            </w:pPr>
            <w:r>
              <w:rPr>
                <w:rFonts w:hint="eastAsia"/>
                <w:color w:val="000000"/>
                <w:kern w:val="0"/>
                <w:sz w:val="22"/>
                <w:szCs w:val="22"/>
              </w:rPr>
              <w:t>60</w:t>
            </w:r>
          </w:p>
        </w:tc>
        <w:tc>
          <w:tcPr>
            <w:tcW w:w="469" w:type="pct"/>
            <w:noWrap/>
            <w:vAlign w:val="center"/>
          </w:tcPr>
          <w:p w14:paraId="0F03D34E">
            <w:pPr>
              <w:widowControl/>
              <w:adjustRightInd w:val="0"/>
              <w:snapToGrid w:val="0"/>
              <w:spacing w:before="0" w:beforeLines="0" w:line="240" w:lineRule="auto"/>
              <w:jc w:val="center"/>
              <w:rPr>
                <w:kern w:val="0"/>
                <w:szCs w:val="21"/>
              </w:rPr>
            </w:pPr>
            <w:r>
              <w:rPr>
                <w:rFonts w:hint="eastAsia"/>
                <w:color w:val="000000"/>
                <w:kern w:val="0"/>
                <w:sz w:val="22"/>
                <w:szCs w:val="22"/>
              </w:rPr>
              <w:t>79.8</w:t>
            </w:r>
          </w:p>
        </w:tc>
        <w:tc>
          <w:tcPr>
            <w:tcW w:w="266" w:type="pct"/>
            <w:noWrap/>
            <w:vAlign w:val="bottom"/>
          </w:tcPr>
          <w:p w14:paraId="20CE2124">
            <w:pPr>
              <w:widowControl/>
              <w:adjustRightInd w:val="0"/>
              <w:snapToGrid w:val="0"/>
              <w:spacing w:before="0" w:beforeLines="0" w:line="240" w:lineRule="auto"/>
              <w:jc w:val="center"/>
              <w:rPr>
                <w:kern w:val="0"/>
                <w:szCs w:val="21"/>
              </w:rPr>
            </w:pPr>
            <w:r>
              <w:rPr>
                <w:rFonts w:hint="eastAsia"/>
                <w:kern w:val="0"/>
                <w:szCs w:val="21"/>
              </w:rPr>
              <w:t>达标</w:t>
            </w:r>
          </w:p>
        </w:tc>
      </w:tr>
      <w:tr w14:paraId="7AFC2FB3">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14:paraId="34BDDD9B">
            <w:pPr>
              <w:widowControl/>
              <w:adjustRightInd w:val="0"/>
              <w:snapToGrid w:val="0"/>
              <w:spacing w:before="0" w:beforeLines="0" w:line="240" w:lineRule="auto"/>
              <w:jc w:val="center"/>
              <w:rPr>
                <w:kern w:val="0"/>
                <w:szCs w:val="21"/>
              </w:rPr>
            </w:pPr>
            <w:r>
              <w:rPr>
                <w:rFonts w:hint="eastAsia"/>
                <w:kern w:val="0"/>
                <w:szCs w:val="21"/>
              </w:rPr>
              <w:t>7</w:t>
            </w:r>
          </w:p>
        </w:tc>
        <w:tc>
          <w:tcPr>
            <w:tcW w:w="489" w:type="pct"/>
            <w:noWrap/>
            <w:vAlign w:val="center"/>
          </w:tcPr>
          <w:p w14:paraId="72EB4E16">
            <w:pPr>
              <w:widowControl/>
              <w:adjustRightInd w:val="0"/>
              <w:snapToGrid w:val="0"/>
              <w:spacing w:before="0" w:beforeLines="0" w:line="240" w:lineRule="auto"/>
              <w:jc w:val="center"/>
              <w:rPr>
                <w:kern w:val="0"/>
                <w:szCs w:val="21"/>
              </w:rPr>
            </w:pPr>
            <w:r>
              <w:rPr>
                <w:rFonts w:hint="eastAsia"/>
                <w:kern w:val="0"/>
                <w:szCs w:val="21"/>
              </w:rPr>
              <w:t>他布朗营子</w:t>
            </w:r>
          </w:p>
        </w:tc>
        <w:tc>
          <w:tcPr>
            <w:tcW w:w="560" w:type="pct"/>
            <w:noWrap/>
            <w:vAlign w:val="center"/>
          </w:tcPr>
          <w:p w14:paraId="481F8679">
            <w:pPr>
              <w:widowControl/>
              <w:adjustRightInd w:val="0"/>
              <w:snapToGrid w:val="0"/>
              <w:spacing w:before="0" w:beforeLines="0" w:line="240" w:lineRule="auto"/>
              <w:jc w:val="center"/>
              <w:rPr>
                <w:kern w:val="0"/>
                <w:szCs w:val="21"/>
              </w:rPr>
            </w:pPr>
            <w:r>
              <w:rPr>
                <w:rFonts w:hint="eastAsia"/>
                <w:kern w:val="0"/>
                <w:szCs w:val="21"/>
              </w:rPr>
              <w:t>2373，-2437</w:t>
            </w:r>
          </w:p>
        </w:tc>
        <w:tc>
          <w:tcPr>
            <w:tcW w:w="354" w:type="pct"/>
            <w:noWrap/>
            <w:vAlign w:val="center"/>
          </w:tcPr>
          <w:p w14:paraId="7C7699C2">
            <w:pPr>
              <w:widowControl/>
              <w:adjustRightInd w:val="0"/>
              <w:snapToGrid w:val="0"/>
              <w:spacing w:before="0" w:beforeLines="0" w:line="240" w:lineRule="auto"/>
              <w:jc w:val="center"/>
              <w:rPr>
                <w:kern w:val="0"/>
                <w:szCs w:val="21"/>
              </w:rPr>
            </w:pPr>
            <w:r>
              <w:rPr>
                <w:rFonts w:hint="eastAsia"/>
                <w:kern w:val="0"/>
                <w:szCs w:val="21"/>
              </w:rPr>
              <w:t>288.91</w:t>
            </w:r>
          </w:p>
        </w:tc>
        <w:tc>
          <w:tcPr>
            <w:tcW w:w="355" w:type="pct"/>
            <w:noWrap/>
            <w:vAlign w:val="center"/>
          </w:tcPr>
          <w:p w14:paraId="6CF5A474">
            <w:pPr>
              <w:widowControl/>
              <w:adjustRightInd w:val="0"/>
              <w:snapToGrid w:val="0"/>
              <w:spacing w:before="0" w:beforeLines="0" w:line="240" w:lineRule="auto"/>
              <w:jc w:val="center"/>
              <w:rPr>
                <w:kern w:val="0"/>
                <w:szCs w:val="21"/>
              </w:rPr>
            </w:pPr>
            <w:r>
              <w:rPr>
                <w:rFonts w:hint="eastAsia"/>
                <w:kern w:val="0"/>
                <w:szCs w:val="21"/>
              </w:rPr>
              <w:t>年平均</w:t>
            </w:r>
          </w:p>
        </w:tc>
        <w:tc>
          <w:tcPr>
            <w:tcW w:w="354" w:type="pct"/>
            <w:noWrap/>
            <w:vAlign w:val="center"/>
          </w:tcPr>
          <w:p w14:paraId="26B2F572">
            <w:pPr>
              <w:widowControl/>
              <w:adjustRightInd w:val="0"/>
              <w:snapToGrid w:val="0"/>
              <w:spacing w:before="0" w:beforeLines="0" w:line="240" w:lineRule="auto"/>
              <w:jc w:val="center"/>
              <w:rPr>
                <w:kern w:val="0"/>
                <w:szCs w:val="21"/>
              </w:rPr>
            </w:pPr>
            <w:r>
              <w:rPr>
                <w:rFonts w:hint="eastAsia"/>
                <w:color w:val="000000"/>
                <w:kern w:val="0"/>
                <w:sz w:val="22"/>
                <w:szCs w:val="22"/>
              </w:rPr>
              <w:t>0.0224</w:t>
            </w:r>
          </w:p>
        </w:tc>
        <w:tc>
          <w:tcPr>
            <w:tcW w:w="509" w:type="pct"/>
            <w:noWrap/>
            <w:vAlign w:val="center"/>
          </w:tcPr>
          <w:p w14:paraId="3A7EE145">
            <w:pPr>
              <w:widowControl/>
              <w:adjustRightInd w:val="0"/>
              <w:snapToGrid w:val="0"/>
              <w:spacing w:before="0" w:beforeLines="0" w:line="240" w:lineRule="auto"/>
              <w:jc w:val="center"/>
              <w:rPr>
                <w:kern w:val="0"/>
                <w:szCs w:val="21"/>
              </w:rPr>
            </w:pPr>
            <w:r>
              <w:rPr>
                <w:rFonts w:hint="eastAsia"/>
                <w:color w:val="000000"/>
                <w:kern w:val="0"/>
                <w:sz w:val="22"/>
                <w:szCs w:val="22"/>
              </w:rPr>
              <w:t>平均值</w:t>
            </w:r>
          </w:p>
        </w:tc>
        <w:tc>
          <w:tcPr>
            <w:tcW w:w="458" w:type="pct"/>
            <w:noWrap/>
            <w:vAlign w:val="center"/>
          </w:tcPr>
          <w:p w14:paraId="3094D927">
            <w:pPr>
              <w:widowControl/>
              <w:adjustRightInd w:val="0"/>
              <w:snapToGrid w:val="0"/>
              <w:spacing w:before="0" w:beforeLines="0" w:line="240" w:lineRule="auto"/>
              <w:jc w:val="center"/>
              <w:rPr>
                <w:kern w:val="0"/>
                <w:szCs w:val="21"/>
              </w:rPr>
            </w:pPr>
            <w:r>
              <w:rPr>
                <w:rFonts w:hint="eastAsia"/>
                <w:color w:val="000000"/>
                <w:kern w:val="0"/>
                <w:sz w:val="22"/>
                <w:szCs w:val="22"/>
              </w:rPr>
              <w:t>47.86</w:t>
            </w:r>
          </w:p>
        </w:tc>
        <w:tc>
          <w:tcPr>
            <w:tcW w:w="609" w:type="pct"/>
            <w:noWrap/>
            <w:vAlign w:val="center"/>
          </w:tcPr>
          <w:p w14:paraId="595B72C6">
            <w:pPr>
              <w:widowControl/>
              <w:adjustRightInd w:val="0"/>
              <w:snapToGrid w:val="0"/>
              <w:spacing w:before="0" w:beforeLines="0" w:line="240" w:lineRule="auto"/>
              <w:jc w:val="center"/>
              <w:rPr>
                <w:kern w:val="0"/>
                <w:szCs w:val="21"/>
              </w:rPr>
            </w:pPr>
            <w:r>
              <w:rPr>
                <w:rFonts w:hint="eastAsia"/>
                <w:color w:val="000000"/>
                <w:kern w:val="0"/>
                <w:sz w:val="22"/>
                <w:szCs w:val="22"/>
              </w:rPr>
              <w:t>47.8824</w:t>
            </w:r>
          </w:p>
        </w:tc>
        <w:tc>
          <w:tcPr>
            <w:tcW w:w="407" w:type="pct"/>
            <w:noWrap/>
            <w:vAlign w:val="center"/>
          </w:tcPr>
          <w:p w14:paraId="244F0C52">
            <w:pPr>
              <w:widowControl/>
              <w:adjustRightInd w:val="0"/>
              <w:snapToGrid w:val="0"/>
              <w:spacing w:before="0" w:beforeLines="0" w:line="240" w:lineRule="auto"/>
              <w:jc w:val="center"/>
              <w:rPr>
                <w:kern w:val="0"/>
                <w:szCs w:val="21"/>
              </w:rPr>
            </w:pPr>
            <w:r>
              <w:rPr>
                <w:rFonts w:hint="eastAsia"/>
                <w:color w:val="000000"/>
                <w:kern w:val="0"/>
                <w:sz w:val="22"/>
                <w:szCs w:val="22"/>
              </w:rPr>
              <w:t>60</w:t>
            </w:r>
          </w:p>
        </w:tc>
        <w:tc>
          <w:tcPr>
            <w:tcW w:w="469" w:type="pct"/>
            <w:noWrap/>
            <w:vAlign w:val="center"/>
          </w:tcPr>
          <w:p w14:paraId="079858F8">
            <w:pPr>
              <w:widowControl/>
              <w:adjustRightInd w:val="0"/>
              <w:snapToGrid w:val="0"/>
              <w:spacing w:before="0" w:beforeLines="0" w:line="240" w:lineRule="auto"/>
              <w:jc w:val="center"/>
              <w:rPr>
                <w:kern w:val="0"/>
                <w:szCs w:val="21"/>
              </w:rPr>
            </w:pPr>
            <w:r>
              <w:rPr>
                <w:rFonts w:hint="eastAsia"/>
                <w:color w:val="000000"/>
                <w:kern w:val="0"/>
                <w:sz w:val="22"/>
                <w:szCs w:val="22"/>
              </w:rPr>
              <w:t>79.8</w:t>
            </w:r>
          </w:p>
        </w:tc>
        <w:tc>
          <w:tcPr>
            <w:tcW w:w="266" w:type="pct"/>
            <w:noWrap/>
            <w:vAlign w:val="bottom"/>
          </w:tcPr>
          <w:p w14:paraId="7A99D7E4">
            <w:pPr>
              <w:widowControl/>
              <w:adjustRightInd w:val="0"/>
              <w:snapToGrid w:val="0"/>
              <w:spacing w:before="0" w:beforeLines="0" w:line="240" w:lineRule="auto"/>
              <w:jc w:val="center"/>
              <w:rPr>
                <w:kern w:val="0"/>
                <w:szCs w:val="21"/>
              </w:rPr>
            </w:pPr>
            <w:r>
              <w:rPr>
                <w:rFonts w:hint="eastAsia"/>
                <w:kern w:val="0"/>
                <w:szCs w:val="21"/>
              </w:rPr>
              <w:t>达标</w:t>
            </w:r>
          </w:p>
        </w:tc>
      </w:tr>
      <w:tr w14:paraId="311BBC0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14:paraId="37BED931">
            <w:pPr>
              <w:widowControl/>
              <w:adjustRightInd w:val="0"/>
              <w:snapToGrid w:val="0"/>
              <w:spacing w:before="0" w:beforeLines="0" w:line="240" w:lineRule="auto"/>
              <w:jc w:val="center"/>
              <w:rPr>
                <w:kern w:val="0"/>
                <w:szCs w:val="21"/>
              </w:rPr>
            </w:pPr>
            <w:r>
              <w:rPr>
                <w:rFonts w:hint="eastAsia"/>
                <w:kern w:val="0"/>
                <w:szCs w:val="21"/>
              </w:rPr>
              <w:t>8</w:t>
            </w:r>
          </w:p>
        </w:tc>
        <w:tc>
          <w:tcPr>
            <w:tcW w:w="489" w:type="pct"/>
            <w:noWrap/>
            <w:vAlign w:val="center"/>
          </w:tcPr>
          <w:p w14:paraId="2F9F0DAF">
            <w:pPr>
              <w:widowControl/>
              <w:adjustRightInd w:val="0"/>
              <w:snapToGrid w:val="0"/>
              <w:spacing w:before="0" w:beforeLines="0" w:line="240" w:lineRule="auto"/>
              <w:jc w:val="center"/>
              <w:rPr>
                <w:kern w:val="0"/>
                <w:szCs w:val="21"/>
              </w:rPr>
            </w:pPr>
            <w:r>
              <w:rPr>
                <w:rFonts w:hint="eastAsia"/>
                <w:kern w:val="0"/>
                <w:szCs w:val="21"/>
              </w:rPr>
              <w:t>那四板营子</w:t>
            </w:r>
          </w:p>
        </w:tc>
        <w:tc>
          <w:tcPr>
            <w:tcW w:w="560" w:type="pct"/>
            <w:noWrap/>
            <w:vAlign w:val="center"/>
          </w:tcPr>
          <w:p w14:paraId="03DCC719">
            <w:pPr>
              <w:widowControl/>
              <w:adjustRightInd w:val="0"/>
              <w:snapToGrid w:val="0"/>
              <w:spacing w:before="0" w:beforeLines="0" w:line="240" w:lineRule="auto"/>
              <w:jc w:val="center"/>
              <w:rPr>
                <w:kern w:val="0"/>
                <w:szCs w:val="21"/>
              </w:rPr>
            </w:pPr>
            <w:r>
              <w:rPr>
                <w:rFonts w:hint="eastAsia"/>
                <w:kern w:val="0"/>
                <w:szCs w:val="21"/>
              </w:rPr>
              <w:t>1689,-1723</w:t>
            </w:r>
          </w:p>
        </w:tc>
        <w:tc>
          <w:tcPr>
            <w:tcW w:w="354" w:type="pct"/>
            <w:noWrap/>
            <w:vAlign w:val="center"/>
          </w:tcPr>
          <w:p w14:paraId="47CEB95D">
            <w:pPr>
              <w:widowControl/>
              <w:adjustRightInd w:val="0"/>
              <w:snapToGrid w:val="0"/>
              <w:spacing w:before="0" w:beforeLines="0" w:line="240" w:lineRule="auto"/>
              <w:jc w:val="center"/>
              <w:rPr>
                <w:kern w:val="0"/>
                <w:szCs w:val="21"/>
              </w:rPr>
            </w:pPr>
            <w:r>
              <w:rPr>
                <w:rFonts w:hint="eastAsia"/>
                <w:kern w:val="0"/>
                <w:szCs w:val="21"/>
              </w:rPr>
              <w:t>292.07</w:t>
            </w:r>
          </w:p>
        </w:tc>
        <w:tc>
          <w:tcPr>
            <w:tcW w:w="355" w:type="pct"/>
            <w:noWrap/>
            <w:vAlign w:val="center"/>
          </w:tcPr>
          <w:p w14:paraId="60A9EFDD">
            <w:pPr>
              <w:widowControl/>
              <w:adjustRightInd w:val="0"/>
              <w:snapToGrid w:val="0"/>
              <w:spacing w:before="0" w:beforeLines="0" w:line="240" w:lineRule="auto"/>
              <w:jc w:val="center"/>
              <w:rPr>
                <w:kern w:val="0"/>
                <w:szCs w:val="21"/>
              </w:rPr>
            </w:pPr>
            <w:r>
              <w:rPr>
                <w:rFonts w:hint="eastAsia"/>
                <w:kern w:val="0"/>
                <w:szCs w:val="21"/>
              </w:rPr>
              <w:t>年平均</w:t>
            </w:r>
          </w:p>
        </w:tc>
        <w:tc>
          <w:tcPr>
            <w:tcW w:w="354" w:type="pct"/>
            <w:noWrap/>
            <w:vAlign w:val="center"/>
          </w:tcPr>
          <w:p w14:paraId="7263CB45">
            <w:pPr>
              <w:widowControl/>
              <w:adjustRightInd w:val="0"/>
              <w:snapToGrid w:val="0"/>
              <w:spacing w:before="0" w:beforeLines="0" w:line="240" w:lineRule="auto"/>
              <w:jc w:val="center"/>
              <w:rPr>
                <w:kern w:val="0"/>
                <w:szCs w:val="21"/>
              </w:rPr>
            </w:pPr>
            <w:r>
              <w:rPr>
                <w:rFonts w:hint="eastAsia"/>
                <w:color w:val="000000"/>
                <w:kern w:val="0"/>
                <w:sz w:val="22"/>
                <w:szCs w:val="22"/>
              </w:rPr>
              <w:t>0.0633</w:t>
            </w:r>
          </w:p>
        </w:tc>
        <w:tc>
          <w:tcPr>
            <w:tcW w:w="509" w:type="pct"/>
            <w:noWrap/>
            <w:vAlign w:val="center"/>
          </w:tcPr>
          <w:p w14:paraId="797A1C09">
            <w:pPr>
              <w:widowControl/>
              <w:adjustRightInd w:val="0"/>
              <w:snapToGrid w:val="0"/>
              <w:spacing w:before="0" w:beforeLines="0" w:line="240" w:lineRule="auto"/>
              <w:jc w:val="center"/>
              <w:rPr>
                <w:kern w:val="0"/>
                <w:szCs w:val="21"/>
              </w:rPr>
            </w:pPr>
            <w:r>
              <w:rPr>
                <w:rFonts w:hint="eastAsia"/>
                <w:color w:val="000000"/>
                <w:kern w:val="0"/>
                <w:sz w:val="22"/>
                <w:szCs w:val="22"/>
              </w:rPr>
              <w:t>平均值</w:t>
            </w:r>
          </w:p>
        </w:tc>
        <w:tc>
          <w:tcPr>
            <w:tcW w:w="458" w:type="pct"/>
            <w:noWrap/>
            <w:vAlign w:val="center"/>
          </w:tcPr>
          <w:p w14:paraId="5C927CC7">
            <w:pPr>
              <w:widowControl/>
              <w:adjustRightInd w:val="0"/>
              <w:snapToGrid w:val="0"/>
              <w:spacing w:before="0" w:beforeLines="0" w:line="240" w:lineRule="auto"/>
              <w:jc w:val="center"/>
              <w:rPr>
                <w:kern w:val="0"/>
                <w:szCs w:val="21"/>
              </w:rPr>
            </w:pPr>
            <w:r>
              <w:rPr>
                <w:rFonts w:hint="eastAsia"/>
                <w:color w:val="000000"/>
                <w:kern w:val="0"/>
                <w:sz w:val="22"/>
                <w:szCs w:val="22"/>
              </w:rPr>
              <w:t>47.86</w:t>
            </w:r>
          </w:p>
        </w:tc>
        <w:tc>
          <w:tcPr>
            <w:tcW w:w="609" w:type="pct"/>
            <w:noWrap/>
            <w:vAlign w:val="center"/>
          </w:tcPr>
          <w:p w14:paraId="7AC9D3B4">
            <w:pPr>
              <w:widowControl/>
              <w:adjustRightInd w:val="0"/>
              <w:snapToGrid w:val="0"/>
              <w:spacing w:before="0" w:beforeLines="0" w:line="240" w:lineRule="auto"/>
              <w:jc w:val="center"/>
              <w:rPr>
                <w:kern w:val="0"/>
                <w:szCs w:val="21"/>
              </w:rPr>
            </w:pPr>
            <w:r>
              <w:rPr>
                <w:rFonts w:hint="eastAsia"/>
                <w:color w:val="000000"/>
                <w:kern w:val="0"/>
                <w:sz w:val="22"/>
                <w:szCs w:val="22"/>
              </w:rPr>
              <w:t>47.9233</w:t>
            </w:r>
          </w:p>
        </w:tc>
        <w:tc>
          <w:tcPr>
            <w:tcW w:w="407" w:type="pct"/>
            <w:noWrap/>
            <w:vAlign w:val="center"/>
          </w:tcPr>
          <w:p w14:paraId="2BCB926F">
            <w:pPr>
              <w:widowControl/>
              <w:adjustRightInd w:val="0"/>
              <w:snapToGrid w:val="0"/>
              <w:spacing w:before="0" w:beforeLines="0" w:line="240" w:lineRule="auto"/>
              <w:jc w:val="center"/>
              <w:rPr>
                <w:kern w:val="0"/>
                <w:szCs w:val="21"/>
              </w:rPr>
            </w:pPr>
            <w:r>
              <w:rPr>
                <w:rFonts w:hint="eastAsia"/>
                <w:color w:val="000000"/>
                <w:kern w:val="0"/>
                <w:sz w:val="22"/>
                <w:szCs w:val="22"/>
              </w:rPr>
              <w:t>60</w:t>
            </w:r>
          </w:p>
        </w:tc>
        <w:tc>
          <w:tcPr>
            <w:tcW w:w="469" w:type="pct"/>
            <w:noWrap/>
            <w:vAlign w:val="center"/>
          </w:tcPr>
          <w:p w14:paraId="3BBD717C">
            <w:pPr>
              <w:widowControl/>
              <w:adjustRightInd w:val="0"/>
              <w:snapToGrid w:val="0"/>
              <w:spacing w:before="0" w:beforeLines="0" w:line="240" w:lineRule="auto"/>
              <w:jc w:val="center"/>
              <w:rPr>
                <w:kern w:val="0"/>
                <w:szCs w:val="21"/>
              </w:rPr>
            </w:pPr>
            <w:r>
              <w:rPr>
                <w:rFonts w:hint="eastAsia"/>
                <w:color w:val="000000"/>
                <w:kern w:val="0"/>
                <w:sz w:val="22"/>
                <w:szCs w:val="22"/>
              </w:rPr>
              <w:t>79.87</w:t>
            </w:r>
          </w:p>
        </w:tc>
        <w:tc>
          <w:tcPr>
            <w:tcW w:w="266" w:type="pct"/>
            <w:noWrap/>
            <w:vAlign w:val="bottom"/>
          </w:tcPr>
          <w:p w14:paraId="6DB76E9F">
            <w:pPr>
              <w:widowControl/>
              <w:adjustRightInd w:val="0"/>
              <w:snapToGrid w:val="0"/>
              <w:spacing w:before="0" w:beforeLines="0" w:line="240" w:lineRule="auto"/>
              <w:jc w:val="center"/>
              <w:rPr>
                <w:kern w:val="0"/>
                <w:szCs w:val="21"/>
              </w:rPr>
            </w:pPr>
            <w:r>
              <w:rPr>
                <w:rFonts w:hint="eastAsia"/>
                <w:kern w:val="0"/>
                <w:szCs w:val="21"/>
              </w:rPr>
              <w:t>达标</w:t>
            </w:r>
          </w:p>
        </w:tc>
      </w:tr>
      <w:tr w14:paraId="64D06C2D">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14:paraId="10093289">
            <w:pPr>
              <w:widowControl/>
              <w:adjustRightInd w:val="0"/>
              <w:snapToGrid w:val="0"/>
              <w:spacing w:before="0" w:beforeLines="0" w:line="240" w:lineRule="auto"/>
              <w:jc w:val="center"/>
              <w:rPr>
                <w:kern w:val="0"/>
                <w:szCs w:val="21"/>
              </w:rPr>
            </w:pPr>
            <w:r>
              <w:rPr>
                <w:rFonts w:hint="eastAsia"/>
                <w:kern w:val="0"/>
                <w:szCs w:val="21"/>
              </w:rPr>
              <w:t>9</w:t>
            </w:r>
          </w:p>
        </w:tc>
        <w:tc>
          <w:tcPr>
            <w:tcW w:w="489" w:type="pct"/>
            <w:noWrap/>
            <w:vAlign w:val="center"/>
          </w:tcPr>
          <w:p w14:paraId="4BE46B04">
            <w:pPr>
              <w:widowControl/>
              <w:adjustRightInd w:val="0"/>
              <w:snapToGrid w:val="0"/>
              <w:spacing w:before="0" w:beforeLines="0" w:line="240" w:lineRule="auto"/>
              <w:jc w:val="center"/>
              <w:rPr>
                <w:kern w:val="0"/>
                <w:szCs w:val="21"/>
              </w:rPr>
            </w:pPr>
            <w:r>
              <w:rPr>
                <w:rFonts w:hint="eastAsia"/>
                <w:kern w:val="0"/>
                <w:szCs w:val="21"/>
              </w:rPr>
              <w:t>四方庙子村部分居民</w:t>
            </w:r>
          </w:p>
        </w:tc>
        <w:tc>
          <w:tcPr>
            <w:tcW w:w="560" w:type="pct"/>
            <w:noWrap/>
            <w:vAlign w:val="center"/>
          </w:tcPr>
          <w:p w14:paraId="14EA499A">
            <w:pPr>
              <w:widowControl/>
              <w:adjustRightInd w:val="0"/>
              <w:snapToGrid w:val="0"/>
              <w:spacing w:before="0" w:beforeLines="0" w:line="240" w:lineRule="auto"/>
              <w:jc w:val="center"/>
              <w:rPr>
                <w:kern w:val="0"/>
                <w:szCs w:val="21"/>
              </w:rPr>
            </w:pPr>
            <w:r>
              <w:rPr>
                <w:rFonts w:hint="eastAsia"/>
                <w:kern w:val="0"/>
                <w:szCs w:val="21"/>
              </w:rPr>
              <w:t>2265,-2493</w:t>
            </w:r>
          </w:p>
        </w:tc>
        <w:tc>
          <w:tcPr>
            <w:tcW w:w="354" w:type="pct"/>
            <w:noWrap/>
            <w:vAlign w:val="center"/>
          </w:tcPr>
          <w:p w14:paraId="7B1667EB">
            <w:pPr>
              <w:widowControl/>
              <w:adjustRightInd w:val="0"/>
              <w:snapToGrid w:val="0"/>
              <w:spacing w:before="0" w:beforeLines="0" w:line="240" w:lineRule="auto"/>
              <w:jc w:val="center"/>
              <w:rPr>
                <w:kern w:val="0"/>
                <w:szCs w:val="21"/>
              </w:rPr>
            </w:pPr>
            <w:r>
              <w:rPr>
                <w:rFonts w:hint="eastAsia"/>
                <w:kern w:val="0"/>
                <w:szCs w:val="21"/>
              </w:rPr>
              <w:t>292.07</w:t>
            </w:r>
          </w:p>
        </w:tc>
        <w:tc>
          <w:tcPr>
            <w:tcW w:w="355" w:type="pct"/>
            <w:noWrap/>
            <w:vAlign w:val="center"/>
          </w:tcPr>
          <w:p w14:paraId="259D8D72">
            <w:pPr>
              <w:widowControl/>
              <w:adjustRightInd w:val="0"/>
              <w:snapToGrid w:val="0"/>
              <w:spacing w:before="0" w:beforeLines="0" w:line="240" w:lineRule="auto"/>
              <w:jc w:val="center"/>
              <w:rPr>
                <w:kern w:val="0"/>
                <w:szCs w:val="21"/>
              </w:rPr>
            </w:pPr>
            <w:r>
              <w:rPr>
                <w:rFonts w:hint="eastAsia"/>
                <w:kern w:val="0"/>
                <w:szCs w:val="21"/>
              </w:rPr>
              <w:t>年平均</w:t>
            </w:r>
          </w:p>
        </w:tc>
        <w:tc>
          <w:tcPr>
            <w:tcW w:w="354" w:type="pct"/>
            <w:noWrap/>
            <w:vAlign w:val="center"/>
          </w:tcPr>
          <w:p w14:paraId="2848179F">
            <w:pPr>
              <w:widowControl/>
              <w:adjustRightInd w:val="0"/>
              <w:snapToGrid w:val="0"/>
              <w:spacing w:before="0" w:beforeLines="0" w:line="240" w:lineRule="auto"/>
              <w:jc w:val="center"/>
              <w:rPr>
                <w:kern w:val="0"/>
                <w:szCs w:val="21"/>
              </w:rPr>
            </w:pPr>
            <w:r>
              <w:rPr>
                <w:rFonts w:hint="eastAsia"/>
                <w:color w:val="000000"/>
                <w:kern w:val="0"/>
                <w:sz w:val="22"/>
                <w:szCs w:val="22"/>
              </w:rPr>
              <w:t>0.0431</w:t>
            </w:r>
          </w:p>
        </w:tc>
        <w:tc>
          <w:tcPr>
            <w:tcW w:w="509" w:type="pct"/>
            <w:noWrap/>
            <w:vAlign w:val="center"/>
          </w:tcPr>
          <w:p w14:paraId="70BEF3FE">
            <w:pPr>
              <w:widowControl/>
              <w:adjustRightInd w:val="0"/>
              <w:snapToGrid w:val="0"/>
              <w:spacing w:before="0" w:beforeLines="0" w:line="240" w:lineRule="auto"/>
              <w:jc w:val="center"/>
              <w:rPr>
                <w:kern w:val="0"/>
                <w:szCs w:val="21"/>
              </w:rPr>
            </w:pPr>
            <w:r>
              <w:rPr>
                <w:rFonts w:hint="eastAsia"/>
                <w:color w:val="000000"/>
                <w:kern w:val="0"/>
                <w:sz w:val="22"/>
                <w:szCs w:val="22"/>
              </w:rPr>
              <w:t>平均值</w:t>
            </w:r>
          </w:p>
        </w:tc>
        <w:tc>
          <w:tcPr>
            <w:tcW w:w="458" w:type="pct"/>
            <w:noWrap/>
            <w:vAlign w:val="center"/>
          </w:tcPr>
          <w:p w14:paraId="68A3512E">
            <w:pPr>
              <w:widowControl/>
              <w:adjustRightInd w:val="0"/>
              <w:snapToGrid w:val="0"/>
              <w:spacing w:before="0" w:beforeLines="0" w:line="240" w:lineRule="auto"/>
              <w:jc w:val="center"/>
              <w:rPr>
                <w:kern w:val="0"/>
                <w:szCs w:val="21"/>
              </w:rPr>
            </w:pPr>
            <w:r>
              <w:rPr>
                <w:rFonts w:hint="eastAsia"/>
                <w:color w:val="000000"/>
                <w:kern w:val="0"/>
                <w:sz w:val="22"/>
                <w:szCs w:val="22"/>
              </w:rPr>
              <w:t>47.86</w:t>
            </w:r>
          </w:p>
        </w:tc>
        <w:tc>
          <w:tcPr>
            <w:tcW w:w="609" w:type="pct"/>
            <w:noWrap/>
            <w:vAlign w:val="center"/>
          </w:tcPr>
          <w:p w14:paraId="5C6E3FEE">
            <w:pPr>
              <w:widowControl/>
              <w:adjustRightInd w:val="0"/>
              <w:snapToGrid w:val="0"/>
              <w:spacing w:before="0" w:beforeLines="0" w:line="240" w:lineRule="auto"/>
              <w:jc w:val="center"/>
              <w:rPr>
                <w:kern w:val="0"/>
                <w:szCs w:val="21"/>
              </w:rPr>
            </w:pPr>
            <w:r>
              <w:rPr>
                <w:rFonts w:hint="eastAsia"/>
                <w:color w:val="000000"/>
                <w:kern w:val="0"/>
                <w:sz w:val="22"/>
                <w:szCs w:val="22"/>
              </w:rPr>
              <w:t>47.9031</w:t>
            </w:r>
          </w:p>
        </w:tc>
        <w:tc>
          <w:tcPr>
            <w:tcW w:w="407" w:type="pct"/>
            <w:noWrap/>
            <w:vAlign w:val="center"/>
          </w:tcPr>
          <w:p w14:paraId="0C976EB9">
            <w:pPr>
              <w:widowControl/>
              <w:adjustRightInd w:val="0"/>
              <w:snapToGrid w:val="0"/>
              <w:spacing w:before="0" w:beforeLines="0" w:line="240" w:lineRule="auto"/>
              <w:jc w:val="center"/>
              <w:rPr>
                <w:kern w:val="0"/>
                <w:szCs w:val="21"/>
              </w:rPr>
            </w:pPr>
            <w:r>
              <w:rPr>
                <w:rFonts w:hint="eastAsia"/>
                <w:color w:val="000000"/>
                <w:kern w:val="0"/>
                <w:sz w:val="22"/>
                <w:szCs w:val="22"/>
              </w:rPr>
              <w:t>60</w:t>
            </w:r>
          </w:p>
        </w:tc>
        <w:tc>
          <w:tcPr>
            <w:tcW w:w="469" w:type="pct"/>
            <w:noWrap/>
            <w:vAlign w:val="center"/>
          </w:tcPr>
          <w:p w14:paraId="287F59D8">
            <w:pPr>
              <w:widowControl/>
              <w:adjustRightInd w:val="0"/>
              <w:snapToGrid w:val="0"/>
              <w:spacing w:before="0" w:beforeLines="0" w:line="240" w:lineRule="auto"/>
              <w:jc w:val="center"/>
              <w:rPr>
                <w:kern w:val="0"/>
                <w:szCs w:val="21"/>
              </w:rPr>
            </w:pPr>
            <w:r>
              <w:rPr>
                <w:rFonts w:hint="eastAsia"/>
                <w:color w:val="000000"/>
                <w:kern w:val="0"/>
                <w:sz w:val="22"/>
                <w:szCs w:val="22"/>
              </w:rPr>
              <w:t>79.84</w:t>
            </w:r>
          </w:p>
        </w:tc>
        <w:tc>
          <w:tcPr>
            <w:tcW w:w="266" w:type="pct"/>
            <w:noWrap/>
            <w:vAlign w:val="center"/>
          </w:tcPr>
          <w:p w14:paraId="38A67482">
            <w:pPr>
              <w:widowControl/>
              <w:adjustRightInd w:val="0"/>
              <w:snapToGrid w:val="0"/>
              <w:spacing w:before="0" w:beforeLines="0" w:line="240" w:lineRule="auto"/>
              <w:jc w:val="center"/>
              <w:rPr>
                <w:kern w:val="0"/>
                <w:szCs w:val="21"/>
              </w:rPr>
            </w:pPr>
            <w:r>
              <w:rPr>
                <w:rFonts w:hint="eastAsia"/>
                <w:kern w:val="0"/>
                <w:szCs w:val="21"/>
              </w:rPr>
              <w:t>达标</w:t>
            </w:r>
          </w:p>
        </w:tc>
      </w:tr>
      <w:tr w14:paraId="65775B85">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14:paraId="2AD2E918">
            <w:pPr>
              <w:widowControl/>
              <w:adjustRightInd w:val="0"/>
              <w:snapToGrid w:val="0"/>
              <w:spacing w:before="0" w:beforeLines="0" w:line="240" w:lineRule="auto"/>
              <w:jc w:val="center"/>
              <w:rPr>
                <w:kern w:val="0"/>
                <w:szCs w:val="21"/>
              </w:rPr>
            </w:pPr>
            <w:r>
              <w:rPr>
                <w:rFonts w:hint="eastAsia"/>
                <w:kern w:val="0"/>
                <w:szCs w:val="21"/>
              </w:rPr>
              <w:t>10</w:t>
            </w:r>
          </w:p>
        </w:tc>
        <w:tc>
          <w:tcPr>
            <w:tcW w:w="489" w:type="pct"/>
            <w:noWrap/>
            <w:vAlign w:val="center"/>
          </w:tcPr>
          <w:p w14:paraId="78450306">
            <w:pPr>
              <w:widowControl/>
              <w:adjustRightInd w:val="0"/>
              <w:snapToGrid w:val="0"/>
              <w:spacing w:before="0" w:beforeLines="0" w:line="240" w:lineRule="auto"/>
              <w:jc w:val="center"/>
              <w:rPr>
                <w:kern w:val="0"/>
                <w:szCs w:val="21"/>
              </w:rPr>
            </w:pPr>
            <w:r>
              <w:rPr>
                <w:rFonts w:hint="eastAsia"/>
                <w:kern w:val="0"/>
                <w:szCs w:val="21"/>
              </w:rPr>
              <w:t>胡家沟</w:t>
            </w:r>
          </w:p>
        </w:tc>
        <w:tc>
          <w:tcPr>
            <w:tcW w:w="560" w:type="pct"/>
            <w:noWrap/>
            <w:vAlign w:val="center"/>
          </w:tcPr>
          <w:p w14:paraId="0A91FE0F">
            <w:pPr>
              <w:widowControl/>
              <w:adjustRightInd w:val="0"/>
              <w:snapToGrid w:val="0"/>
              <w:spacing w:before="0" w:beforeLines="0" w:line="240" w:lineRule="auto"/>
              <w:jc w:val="center"/>
              <w:rPr>
                <w:kern w:val="0"/>
                <w:szCs w:val="21"/>
              </w:rPr>
            </w:pPr>
            <w:r>
              <w:rPr>
                <w:rFonts w:hint="eastAsia"/>
                <w:kern w:val="0"/>
                <w:szCs w:val="21"/>
              </w:rPr>
              <w:t>-348,-1765</w:t>
            </w:r>
          </w:p>
        </w:tc>
        <w:tc>
          <w:tcPr>
            <w:tcW w:w="354" w:type="pct"/>
            <w:noWrap/>
            <w:vAlign w:val="center"/>
          </w:tcPr>
          <w:p w14:paraId="1DCC491D">
            <w:pPr>
              <w:widowControl/>
              <w:adjustRightInd w:val="0"/>
              <w:snapToGrid w:val="0"/>
              <w:spacing w:before="0" w:beforeLines="0" w:line="240" w:lineRule="auto"/>
              <w:jc w:val="center"/>
              <w:rPr>
                <w:kern w:val="0"/>
                <w:szCs w:val="21"/>
              </w:rPr>
            </w:pPr>
            <w:r>
              <w:rPr>
                <w:rFonts w:hint="eastAsia"/>
                <w:kern w:val="0"/>
                <w:szCs w:val="21"/>
              </w:rPr>
              <w:t>297.65</w:t>
            </w:r>
          </w:p>
        </w:tc>
        <w:tc>
          <w:tcPr>
            <w:tcW w:w="355" w:type="pct"/>
            <w:noWrap/>
            <w:vAlign w:val="center"/>
          </w:tcPr>
          <w:p w14:paraId="411D91D6">
            <w:pPr>
              <w:widowControl/>
              <w:adjustRightInd w:val="0"/>
              <w:snapToGrid w:val="0"/>
              <w:spacing w:before="0" w:beforeLines="0" w:line="240" w:lineRule="auto"/>
              <w:jc w:val="center"/>
              <w:rPr>
                <w:kern w:val="0"/>
                <w:szCs w:val="21"/>
              </w:rPr>
            </w:pPr>
            <w:r>
              <w:rPr>
                <w:rFonts w:hint="eastAsia"/>
                <w:kern w:val="0"/>
                <w:szCs w:val="21"/>
              </w:rPr>
              <w:t>年平均</w:t>
            </w:r>
          </w:p>
        </w:tc>
        <w:tc>
          <w:tcPr>
            <w:tcW w:w="354" w:type="pct"/>
            <w:noWrap/>
            <w:vAlign w:val="center"/>
          </w:tcPr>
          <w:p w14:paraId="26709057">
            <w:pPr>
              <w:widowControl/>
              <w:adjustRightInd w:val="0"/>
              <w:snapToGrid w:val="0"/>
              <w:spacing w:before="0" w:beforeLines="0" w:line="240" w:lineRule="auto"/>
              <w:jc w:val="center"/>
              <w:rPr>
                <w:kern w:val="0"/>
                <w:szCs w:val="21"/>
              </w:rPr>
            </w:pPr>
            <w:r>
              <w:rPr>
                <w:rFonts w:hint="eastAsia"/>
                <w:color w:val="000000"/>
                <w:kern w:val="0"/>
                <w:sz w:val="22"/>
                <w:szCs w:val="22"/>
              </w:rPr>
              <w:t>0.091</w:t>
            </w:r>
          </w:p>
        </w:tc>
        <w:tc>
          <w:tcPr>
            <w:tcW w:w="509" w:type="pct"/>
            <w:noWrap/>
            <w:vAlign w:val="center"/>
          </w:tcPr>
          <w:p w14:paraId="475E2C07">
            <w:pPr>
              <w:widowControl/>
              <w:adjustRightInd w:val="0"/>
              <w:snapToGrid w:val="0"/>
              <w:spacing w:before="0" w:beforeLines="0" w:line="240" w:lineRule="auto"/>
              <w:jc w:val="center"/>
              <w:rPr>
                <w:kern w:val="0"/>
                <w:szCs w:val="21"/>
              </w:rPr>
            </w:pPr>
            <w:r>
              <w:rPr>
                <w:rFonts w:hint="eastAsia"/>
                <w:color w:val="000000"/>
                <w:kern w:val="0"/>
                <w:sz w:val="22"/>
                <w:szCs w:val="22"/>
              </w:rPr>
              <w:t>平均值</w:t>
            </w:r>
          </w:p>
        </w:tc>
        <w:tc>
          <w:tcPr>
            <w:tcW w:w="458" w:type="pct"/>
            <w:noWrap/>
            <w:vAlign w:val="center"/>
          </w:tcPr>
          <w:p w14:paraId="02CBDAE5">
            <w:pPr>
              <w:widowControl/>
              <w:adjustRightInd w:val="0"/>
              <w:snapToGrid w:val="0"/>
              <w:spacing w:before="0" w:beforeLines="0" w:line="240" w:lineRule="auto"/>
              <w:jc w:val="center"/>
              <w:rPr>
                <w:kern w:val="0"/>
                <w:szCs w:val="21"/>
              </w:rPr>
            </w:pPr>
            <w:r>
              <w:rPr>
                <w:rFonts w:hint="eastAsia"/>
                <w:color w:val="000000"/>
                <w:kern w:val="0"/>
                <w:sz w:val="22"/>
                <w:szCs w:val="22"/>
              </w:rPr>
              <w:t>47.86</w:t>
            </w:r>
          </w:p>
        </w:tc>
        <w:tc>
          <w:tcPr>
            <w:tcW w:w="609" w:type="pct"/>
            <w:noWrap/>
            <w:vAlign w:val="center"/>
          </w:tcPr>
          <w:p w14:paraId="61992834">
            <w:pPr>
              <w:widowControl/>
              <w:adjustRightInd w:val="0"/>
              <w:snapToGrid w:val="0"/>
              <w:spacing w:before="0" w:beforeLines="0" w:line="240" w:lineRule="auto"/>
              <w:jc w:val="center"/>
              <w:rPr>
                <w:kern w:val="0"/>
                <w:szCs w:val="21"/>
              </w:rPr>
            </w:pPr>
            <w:r>
              <w:rPr>
                <w:rFonts w:hint="eastAsia"/>
                <w:color w:val="000000"/>
                <w:kern w:val="0"/>
                <w:sz w:val="22"/>
                <w:szCs w:val="22"/>
              </w:rPr>
              <w:t>47.951</w:t>
            </w:r>
          </w:p>
        </w:tc>
        <w:tc>
          <w:tcPr>
            <w:tcW w:w="407" w:type="pct"/>
            <w:noWrap/>
            <w:vAlign w:val="center"/>
          </w:tcPr>
          <w:p w14:paraId="4BA848C1">
            <w:pPr>
              <w:widowControl/>
              <w:adjustRightInd w:val="0"/>
              <w:snapToGrid w:val="0"/>
              <w:spacing w:before="0" w:beforeLines="0" w:line="240" w:lineRule="auto"/>
              <w:jc w:val="center"/>
              <w:rPr>
                <w:kern w:val="0"/>
                <w:szCs w:val="21"/>
              </w:rPr>
            </w:pPr>
            <w:r>
              <w:rPr>
                <w:rFonts w:hint="eastAsia"/>
                <w:color w:val="000000"/>
                <w:kern w:val="0"/>
                <w:sz w:val="22"/>
                <w:szCs w:val="22"/>
              </w:rPr>
              <w:t>60</w:t>
            </w:r>
          </w:p>
        </w:tc>
        <w:tc>
          <w:tcPr>
            <w:tcW w:w="469" w:type="pct"/>
            <w:noWrap/>
            <w:vAlign w:val="center"/>
          </w:tcPr>
          <w:p w14:paraId="11FBFA3E">
            <w:pPr>
              <w:widowControl/>
              <w:adjustRightInd w:val="0"/>
              <w:snapToGrid w:val="0"/>
              <w:spacing w:before="0" w:beforeLines="0" w:line="240" w:lineRule="auto"/>
              <w:jc w:val="center"/>
              <w:rPr>
                <w:kern w:val="0"/>
                <w:szCs w:val="21"/>
              </w:rPr>
            </w:pPr>
            <w:r>
              <w:rPr>
                <w:rFonts w:hint="eastAsia"/>
                <w:color w:val="000000"/>
                <w:kern w:val="0"/>
                <w:sz w:val="22"/>
                <w:szCs w:val="22"/>
              </w:rPr>
              <w:t>79.92</w:t>
            </w:r>
          </w:p>
        </w:tc>
        <w:tc>
          <w:tcPr>
            <w:tcW w:w="266" w:type="pct"/>
            <w:noWrap/>
            <w:vAlign w:val="center"/>
          </w:tcPr>
          <w:p w14:paraId="0ABBE61B">
            <w:pPr>
              <w:widowControl/>
              <w:adjustRightInd w:val="0"/>
              <w:snapToGrid w:val="0"/>
              <w:spacing w:before="0" w:beforeLines="0" w:line="240" w:lineRule="auto"/>
              <w:jc w:val="center"/>
              <w:rPr>
                <w:kern w:val="0"/>
                <w:szCs w:val="21"/>
              </w:rPr>
            </w:pPr>
            <w:r>
              <w:rPr>
                <w:rFonts w:hint="eastAsia"/>
                <w:kern w:val="0"/>
                <w:szCs w:val="21"/>
              </w:rPr>
              <w:t>达标</w:t>
            </w:r>
          </w:p>
        </w:tc>
      </w:tr>
      <w:tr w14:paraId="54DF7203">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14:paraId="2EFEE29F">
            <w:pPr>
              <w:widowControl/>
              <w:adjustRightInd w:val="0"/>
              <w:snapToGrid w:val="0"/>
              <w:spacing w:before="0" w:beforeLines="0" w:line="240" w:lineRule="auto"/>
              <w:jc w:val="center"/>
              <w:rPr>
                <w:kern w:val="0"/>
                <w:szCs w:val="21"/>
              </w:rPr>
            </w:pPr>
            <w:r>
              <w:rPr>
                <w:rFonts w:hint="eastAsia"/>
                <w:kern w:val="0"/>
                <w:szCs w:val="21"/>
              </w:rPr>
              <w:t>11</w:t>
            </w:r>
          </w:p>
        </w:tc>
        <w:tc>
          <w:tcPr>
            <w:tcW w:w="489" w:type="pct"/>
            <w:noWrap/>
            <w:vAlign w:val="center"/>
          </w:tcPr>
          <w:p w14:paraId="0348B76C">
            <w:pPr>
              <w:widowControl/>
              <w:adjustRightInd w:val="0"/>
              <w:snapToGrid w:val="0"/>
              <w:spacing w:before="0" w:beforeLines="0" w:line="240" w:lineRule="auto"/>
              <w:jc w:val="center"/>
              <w:rPr>
                <w:kern w:val="0"/>
                <w:szCs w:val="21"/>
              </w:rPr>
            </w:pPr>
            <w:r>
              <w:rPr>
                <w:rFonts w:hint="eastAsia"/>
                <w:kern w:val="0"/>
                <w:szCs w:val="21"/>
              </w:rPr>
              <w:t>区域最大落地浓度点</w:t>
            </w:r>
          </w:p>
        </w:tc>
        <w:tc>
          <w:tcPr>
            <w:tcW w:w="560" w:type="pct"/>
            <w:noWrap/>
            <w:vAlign w:val="center"/>
          </w:tcPr>
          <w:p w14:paraId="17B14C8E">
            <w:pPr>
              <w:widowControl/>
              <w:adjustRightInd w:val="0"/>
              <w:snapToGrid w:val="0"/>
              <w:spacing w:before="0" w:beforeLines="0" w:line="240" w:lineRule="auto"/>
              <w:jc w:val="center"/>
              <w:rPr>
                <w:kern w:val="0"/>
                <w:szCs w:val="21"/>
              </w:rPr>
            </w:pPr>
            <w:r>
              <w:rPr>
                <w:rFonts w:hint="eastAsia"/>
                <w:kern w:val="0"/>
                <w:szCs w:val="21"/>
              </w:rPr>
              <w:t>100,100</w:t>
            </w:r>
          </w:p>
        </w:tc>
        <w:tc>
          <w:tcPr>
            <w:tcW w:w="354" w:type="pct"/>
            <w:noWrap/>
            <w:vAlign w:val="center"/>
          </w:tcPr>
          <w:p w14:paraId="07D29E69">
            <w:pPr>
              <w:widowControl/>
              <w:adjustRightInd w:val="0"/>
              <w:snapToGrid w:val="0"/>
              <w:spacing w:before="0" w:beforeLines="0" w:line="240" w:lineRule="auto"/>
              <w:jc w:val="center"/>
              <w:rPr>
                <w:kern w:val="0"/>
                <w:szCs w:val="21"/>
              </w:rPr>
            </w:pPr>
            <w:r>
              <w:rPr>
                <w:rFonts w:hint="eastAsia"/>
                <w:kern w:val="0"/>
                <w:szCs w:val="21"/>
              </w:rPr>
              <w:t>297.4</w:t>
            </w:r>
          </w:p>
        </w:tc>
        <w:tc>
          <w:tcPr>
            <w:tcW w:w="355" w:type="pct"/>
            <w:noWrap/>
            <w:vAlign w:val="center"/>
          </w:tcPr>
          <w:p w14:paraId="3613DCD0">
            <w:pPr>
              <w:widowControl/>
              <w:adjustRightInd w:val="0"/>
              <w:snapToGrid w:val="0"/>
              <w:spacing w:before="0" w:beforeLines="0" w:line="240" w:lineRule="auto"/>
              <w:jc w:val="center"/>
              <w:rPr>
                <w:kern w:val="0"/>
                <w:szCs w:val="21"/>
              </w:rPr>
            </w:pPr>
            <w:r>
              <w:rPr>
                <w:rFonts w:hint="eastAsia"/>
                <w:kern w:val="0"/>
                <w:szCs w:val="21"/>
              </w:rPr>
              <w:t>年平均</w:t>
            </w:r>
          </w:p>
        </w:tc>
        <w:tc>
          <w:tcPr>
            <w:tcW w:w="354" w:type="pct"/>
            <w:noWrap/>
            <w:vAlign w:val="center"/>
          </w:tcPr>
          <w:p w14:paraId="330AFA05">
            <w:pPr>
              <w:widowControl/>
              <w:adjustRightInd w:val="0"/>
              <w:snapToGrid w:val="0"/>
              <w:spacing w:before="0" w:beforeLines="0" w:line="240" w:lineRule="auto"/>
              <w:jc w:val="center"/>
              <w:rPr>
                <w:kern w:val="0"/>
                <w:szCs w:val="21"/>
              </w:rPr>
            </w:pPr>
            <w:r>
              <w:rPr>
                <w:rFonts w:hint="eastAsia"/>
                <w:color w:val="000000"/>
                <w:kern w:val="0"/>
                <w:sz w:val="22"/>
                <w:szCs w:val="22"/>
              </w:rPr>
              <w:t>1.9749</w:t>
            </w:r>
          </w:p>
        </w:tc>
        <w:tc>
          <w:tcPr>
            <w:tcW w:w="509" w:type="pct"/>
            <w:noWrap/>
            <w:vAlign w:val="center"/>
          </w:tcPr>
          <w:p w14:paraId="47265F38">
            <w:pPr>
              <w:widowControl/>
              <w:adjustRightInd w:val="0"/>
              <w:snapToGrid w:val="0"/>
              <w:spacing w:before="0" w:beforeLines="0" w:line="240" w:lineRule="auto"/>
              <w:jc w:val="center"/>
              <w:rPr>
                <w:kern w:val="0"/>
                <w:szCs w:val="21"/>
              </w:rPr>
            </w:pPr>
            <w:r>
              <w:rPr>
                <w:rFonts w:hint="eastAsia"/>
                <w:color w:val="000000"/>
                <w:kern w:val="0"/>
                <w:sz w:val="22"/>
                <w:szCs w:val="22"/>
              </w:rPr>
              <w:t>平均值</w:t>
            </w:r>
          </w:p>
        </w:tc>
        <w:tc>
          <w:tcPr>
            <w:tcW w:w="458" w:type="pct"/>
            <w:noWrap/>
            <w:vAlign w:val="center"/>
          </w:tcPr>
          <w:p w14:paraId="261FB32C">
            <w:pPr>
              <w:widowControl/>
              <w:adjustRightInd w:val="0"/>
              <w:snapToGrid w:val="0"/>
              <w:spacing w:before="0" w:beforeLines="0" w:line="240" w:lineRule="auto"/>
              <w:jc w:val="center"/>
              <w:rPr>
                <w:kern w:val="0"/>
                <w:szCs w:val="21"/>
              </w:rPr>
            </w:pPr>
            <w:r>
              <w:rPr>
                <w:rFonts w:hint="eastAsia"/>
                <w:color w:val="000000"/>
                <w:kern w:val="0"/>
                <w:sz w:val="22"/>
                <w:szCs w:val="22"/>
              </w:rPr>
              <w:t>47.86</w:t>
            </w:r>
          </w:p>
        </w:tc>
        <w:tc>
          <w:tcPr>
            <w:tcW w:w="609" w:type="pct"/>
            <w:noWrap/>
            <w:vAlign w:val="center"/>
          </w:tcPr>
          <w:p w14:paraId="292971EF">
            <w:pPr>
              <w:widowControl/>
              <w:adjustRightInd w:val="0"/>
              <w:snapToGrid w:val="0"/>
              <w:spacing w:before="0" w:beforeLines="0" w:line="240" w:lineRule="auto"/>
              <w:jc w:val="center"/>
              <w:rPr>
                <w:kern w:val="0"/>
                <w:szCs w:val="21"/>
              </w:rPr>
            </w:pPr>
            <w:r>
              <w:rPr>
                <w:rFonts w:hint="eastAsia"/>
                <w:color w:val="000000"/>
                <w:kern w:val="0"/>
                <w:sz w:val="22"/>
                <w:szCs w:val="22"/>
              </w:rPr>
              <w:t>49.8349</w:t>
            </w:r>
          </w:p>
        </w:tc>
        <w:tc>
          <w:tcPr>
            <w:tcW w:w="407" w:type="pct"/>
            <w:noWrap/>
            <w:vAlign w:val="center"/>
          </w:tcPr>
          <w:p w14:paraId="36049439">
            <w:pPr>
              <w:widowControl/>
              <w:adjustRightInd w:val="0"/>
              <w:snapToGrid w:val="0"/>
              <w:spacing w:before="0" w:beforeLines="0" w:line="240" w:lineRule="auto"/>
              <w:jc w:val="center"/>
              <w:rPr>
                <w:kern w:val="0"/>
                <w:szCs w:val="21"/>
              </w:rPr>
            </w:pPr>
            <w:r>
              <w:rPr>
                <w:rFonts w:hint="eastAsia"/>
                <w:color w:val="000000"/>
                <w:kern w:val="0"/>
                <w:sz w:val="22"/>
                <w:szCs w:val="22"/>
              </w:rPr>
              <w:t>60</w:t>
            </w:r>
          </w:p>
        </w:tc>
        <w:tc>
          <w:tcPr>
            <w:tcW w:w="469" w:type="pct"/>
            <w:noWrap/>
            <w:vAlign w:val="center"/>
          </w:tcPr>
          <w:p w14:paraId="68B72399">
            <w:pPr>
              <w:widowControl/>
              <w:adjustRightInd w:val="0"/>
              <w:snapToGrid w:val="0"/>
              <w:spacing w:before="0" w:beforeLines="0" w:line="240" w:lineRule="auto"/>
              <w:jc w:val="center"/>
              <w:rPr>
                <w:kern w:val="0"/>
                <w:szCs w:val="21"/>
              </w:rPr>
            </w:pPr>
            <w:r>
              <w:rPr>
                <w:rFonts w:hint="eastAsia"/>
                <w:color w:val="000000"/>
                <w:kern w:val="0"/>
                <w:sz w:val="22"/>
                <w:szCs w:val="22"/>
              </w:rPr>
              <w:t>83.06</w:t>
            </w:r>
          </w:p>
        </w:tc>
        <w:tc>
          <w:tcPr>
            <w:tcW w:w="266" w:type="pct"/>
            <w:noWrap/>
            <w:vAlign w:val="center"/>
          </w:tcPr>
          <w:p w14:paraId="54DD9D11">
            <w:pPr>
              <w:widowControl/>
              <w:adjustRightInd w:val="0"/>
              <w:snapToGrid w:val="0"/>
              <w:spacing w:before="0" w:beforeLines="0" w:line="240" w:lineRule="auto"/>
              <w:jc w:val="center"/>
              <w:rPr>
                <w:kern w:val="0"/>
                <w:szCs w:val="21"/>
              </w:rPr>
            </w:pPr>
            <w:r>
              <w:rPr>
                <w:rFonts w:hint="eastAsia"/>
                <w:kern w:val="0"/>
                <w:szCs w:val="21"/>
              </w:rPr>
              <w:t>达标</w:t>
            </w:r>
          </w:p>
        </w:tc>
      </w:tr>
    </w:tbl>
    <w:p w14:paraId="077A5384">
      <w:pPr>
        <w:tabs>
          <w:tab w:val="left" w:pos="2880"/>
        </w:tabs>
        <w:snapToGrid w:val="0"/>
        <w:spacing w:before="0" w:beforeLines="0" w:line="360" w:lineRule="auto"/>
        <w:ind w:firstLine="525" w:firstLineChars="250"/>
        <w:rPr>
          <w:rFonts w:ascii="Cambria" w:hAnsi="Cambria" w:eastAsia="黑体"/>
          <w:szCs w:val="21"/>
        </w:rPr>
      </w:pPr>
    </w:p>
    <w:p w14:paraId="6469DD07">
      <w:pPr>
        <w:tabs>
          <w:tab w:val="left" w:pos="2880"/>
        </w:tabs>
        <w:snapToGrid w:val="0"/>
        <w:spacing w:before="0" w:beforeLines="0" w:line="360" w:lineRule="auto"/>
        <w:ind w:firstLine="525" w:firstLineChars="250"/>
        <w:rPr>
          <w:rFonts w:ascii="Cambria" w:hAnsi="Cambria" w:eastAsia="黑体"/>
          <w:szCs w:val="21"/>
        </w:rPr>
      </w:pPr>
    </w:p>
    <w:p w14:paraId="629C0860">
      <w:pPr>
        <w:tabs>
          <w:tab w:val="left" w:pos="2880"/>
        </w:tabs>
        <w:snapToGrid w:val="0"/>
        <w:spacing w:before="0" w:beforeLines="0" w:line="360" w:lineRule="auto"/>
        <w:ind w:firstLine="525" w:firstLineChars="250"/>
        <w:rPr>
          <w:rFonts w:ascii="Cambria" w:hAnsi="Cambria" w:eastAsia="黑体"/>
          <w:szCs w:val="21"/>
        </w:rPr>
      </w:pPr>
    </w:p>
    <w:p w14:paraId="1A5F0238">
      <w:pPr>
        <w:tabs>
          <w:tab w:val="left" w:pos="2880"/>
        </w:tabs>
        <w:snapToGrid w:val="0"/>
        <w:spacing w:before="0" w:beforeLines="0" w:line="360" w:lineRule="auto"/>
        <w:ind w:firstLine="525" w:firstLineChars="250"/>
        <w:rPr>
          <w:rFonts w:ascii="Cambria" w:hAnsi="Cambria" w:eastAsia="黑体"/>
          <w:szCs w:val="21"/>
        </w:rPr>
      </w:pPr>
    </w:p>
    <w:p w14:paraId="69E22A5F">
      <w:pPr>
        <w:tabs>
          <w:tab w:val="left" w:pos="2880"/>
        </w:tabs>
        <w:snapToGrid w:val="0"/>
        <w:spacing w:before="0" w:beforeLines="0" w:line="360" w:lineRule="auto"/>
        <w:ind w:firstLine="525" w:firstLineChars="250"/>
        <w:rPr>
          <w:rFonts w:ascii="Cambria" w:hAnsi="Cambria" w:eastAsia="黑体"/>
          <w:szCs w:val="21"/>
        </w:rPr>
      </w:pPr>
    </w:p>
    <w:p w14:paraId="6C45B54B">
      <w:pPr>
        <w:tabs>
          <w:tab w:val="left" w:pos="2880"/>
        </w:tabs>
        <w:snapToGrid w:val="0"/>
        <w:spacing w:before="0" w:beforeLines="0" w:line="360" w:lineRule="auto"/>
        <w:ind w:firstLine="525" w:firstLineChars="250"/>
        <w:rPr>
          <w:rFonts w:ascii="Cambria" w:hAnsi="Cambria" w:eastAsia="黑体"/>
          <w:szCs w:val="21"/>
        </w:rPr>
      </w:pPr>
    </w:p>
    <w:p w14:paraId="0F3CA034">
      <w:pPr>
        <w:tabs>
          <w:tab w:val="left" w:pos="2880"/>
        </w:tabs>
        <w:snapToGrid w:val="0"/>
        <w:spacing w:before="0" w:beforeLines="0" w:line="360" w:lineRule="auto"/>
        <w:ind w:firstLine="525" w:firstLineChars="250"/>
        <w:rPr>
          <w:rFonts w:ascii="Cambria" w:hAnsi="Cambria" w:eastAsia="黑体"/>
          <w:szCs w:val="21"/>
        </w:rPr>
      </w:pPr>
    </w:p>
    <w:p w14:paraId="15FA8B2C">
      <w:pPr>
        <w:tabs>
          <w:tab w:val="left" w:pos="2880"/>
        </w:tabs>
        <w:snapToGrid w:val="0"/>
        <w:spacing w:before="0" w:beforeLines="0" w:line="360" w:lineRule="auto"/>
        <w:ind w:firstLine="525" w:firstLineChars="250"/>
        <w:rPr>
          <w:rFonts w:ascii="Cambria" w:hAnsi="Cambria" w:eastAsia="黑体"/>
          <w:szCs w:val="21"/>
        </w:rPr>
      </w:pPr>
    </w:p>
    <w:p w14:paraId="1B25B8F4">
      <w:pPr>
        <w:keepNext/>
        <w:spacing w:before="0" w:beforeLines="0" w:line="240" w:lineRule="auto"/>
        <w:contextualSpacing/>
        <w:jc w:val="center"/>
        <w:rPr>
          <w:b/>
          <w:bCs/>
          <w:szCs w:val="21"/>
        </w:rPr>
      </w:pPr>
      <w:r>
        <w:rPr>
          <w:b/>
          <w:bCs/>
          <w:szCs w:val="21"/>
        </w:rPr>
        <w:t xml:space="preserve">表 </w:t>
      </w:r>
      <w:r>
        <w:rPr>
          <w:rFonts w:hint="eastAsia"/>
          <w:b/>
          <w:bCs/>
          <w:szCs w:val="21"/>
        </w:rPr>
        <w:t>5.2-12      叠加后</w:t>
      </w:r>
      <w:r>
        <w:rPr>
          <w:b/>
          <w:bCs/>
          <w:szCs w:val="21"/>
        </w:rPr>
        <w:t>TSP</w:t>
      </w:r>
      <w:r>
        <w:rPr>
          <w:rFonts w:hint="eastAsia"/>
          <w:b/>
          <w:bCs/>
          <w:szCs w:val="21"/>
        </w:rPr>
        <w:t>日</w:t>
      </w:r>
      <w:r>
        <w:rPr>
          <w:b/>
          <w:bCs/>
          <w:szCs w:val="21"/>
        </w:rPr>
        <w:t>平均</w:t>
      </w:r>
      <w:r>
        <w:rPr>
          <w:rFonts w:hint="eastAsia"/>
          <w:b/>
          <w:bCs/>
          <w:szCs w:val="21"/>
        </w:rPr>
        <w:t>质量浓度预测结果表</w:t>
      </w:r>
    </w:p>
    <w:tbl>
      <w:tblPr>
        <w:tblStyle w:val="2151"/>
        <w:tblW w:w="4999" w:type="pct"/>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451"/>
        <w:gridCol w:w="1295"/>
        <w:gridCol w:w="1482"/>
        <w:gridCol w:w="937"/>
        <w:gridCol w:w="940"/>
        <w:gridCol w:w="1056"/>
        <w:gridCol w:w="1231"/>
        <w:gridCol w:w="1212"/>
        <w:gridCol w:w="1612"/>
        <w:gridCol w:w="1077"/>
        <w:gridCol w:w="1241"/>
        <w:gridCol w:w="701"/>
      </w:tblGrid>
      <w:tr w14:paraId="562D461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14:paraId="113536A5">
            <w:pPr>
              <w:widowControl/>
              <w:adjustRightInd w:val="0"/>
              <w:snapToGrid w:val="0"/>
              <w:spacing w:before="0" w:beforeLines="0" w:line="240" w:lineRule="auto"/>
              <w:jc w:val="center"/>
              <w:rPr>
                <w:kern w:val="0"/>
                <w:szCs w:val="21"/>
              </w:rPr>
            </w:pPr>
            <w:r>
              <w:rPr>
                <w:rFonts w:hint="eastAsia"/>
                <w:kern w:val="0"/>
                <w:szCs w:val="21"/>
              </w:rPr>
              <w:t>序号</w:t>
            </w:r>
          </w:p>
        </w:tc>
        <w:tc>
          <w:tcPr>
            <w:tcW w:w="489" w:type="pct"/>
            <w:noWrap/>
            <w:vAlign w:val="center"/>
          </w:tcPr>
          <w:p w14:paraId="417E0ECA">
            <w:pPr>
              <w:widowControl/>
              <w:adjustRightInd w:val="0"/>
              <w:snapToGrid w:val="0"/>
              <w:spacing w:before="0" w:beforeLines="0" w:line="240" w:lineRule="auto"/>
              <w:jc w:val="center"/>
              <w:rPr>
                <w:kern w:val="0"/>
                <w:szCs w:val="21"/>
              </w:rPr>
            </w:pPr>
            <w:r>
              <w:rPr>
                <w:rFonts w:hint="eastAsia"/>
                <w:kern w:val="0"/>
                <w:szCs w:val="21"/>
              </w:rPr>
              <w:t>点名称</w:t>
            </w:r>
          </w:p>
        </w:tc>
        <w:tc>
          <w:tcPr>
            <w:tcW w:w="560" w:type="pct"/>
            <w:noWrap/>
            <w:vAlign w:val="center"/>
          </w:tcPr>
          <w:p w14:paraId="1C0A33BA">
            <w:pPr>
              <w:widowControl/>
              <w:adjustRightInd w:val="0"/>
              <w:snapToGrid w:val="0"/>
              <w:spacing w:before="0" w:beforeLines="0" w:line="240" w:lineRule="auto"/>
              <w:jc w:val="center"/>
              <w:rPr>
                <w:kern w:val="0"/>
                <w:szCs w:val="21"/>
              </w:rPr>
            </w:pPr>
            <w:r>
              <w:rPr>
                <w:rFonts w:hint="eastAsia"/>
                <w:kern w:val="0"/>
                <w:szCs w:val="21"/>
              </w:rPr>
              <w:t>点坐标(x或r,y或a)</w:t>
            </w:r>
          </w:p>
        </w:tc>
        <w:tc>
          <w:tcPr>
            <w:tcW w:w="354" w:type="pct"/>
            <w:noWrap/>
            <w:vAlign w:val="center"/>
          </w:tcPr>
          <w:p w14:paraId="4E6F1FF7">
            <w:pPr>
              <w:widowControl/>
              <w:adjustRightInd w:val="0"/>
              <w:snapToGrid w:val="0"/>
              <w:spacing w:before="0" w:beforeLines="0" w:line="240" w:lineRule="auto"/>
              <w:jc w:val="center"/>
              <w:rPr>
                <w:kern w:val="0"/>
                <w:szCs w:val="21"/>
              </w:rPr>
            </w:pPr>
            <w:r>
              <w:rPr>
                <w:rFonts w:hint="eastAsia"/>
                <w:kern w:val="0"/>
                <w:szCs w:val="21"/>
              </w:rPr>
              <w:t>地面高程(m)</w:t>
            </w:r>
          </w:p>
        </w:tc>
        <w:tc>
          <w:tcPr>
            <w:tcW w:w="355" w:type="pct"/>
            <w:noWrap/>
            <w:vAlign w:val="center"/>
          </w:tcPr>
          <w:p w14:paraId="182A25D1">
            <w:pPr>
              <w:widowControl/>
              <w:adjustRightInd w:val="0"/>
              <w:snapToGrid w:val="0"/>
              <w:spacing w:before="0" w:beforeLines="0" w:line="240" w:lineRule="auto"/>
              <w:jc w:val="center"/>
              <w:rPr>
                <w:kern w:val="0"/>
                <w:szCs w:val="21"/>
              </w:rPr>
            </w:pPr>
            <w:r>
              <w:rPr>
                <w:rFonts w:hint="eastAsia"/>
                <w:kern w:val="0"/>
                <w:szCs w:val="21"/>
              </w:rPr>
              <w:t>浓度类型</w:t>
            </w:r>
          </w:p>
        </w:tc>
        <w:tc>
          <w:tcPr>
            <w:tcW w:w="399" w:type="pct"/>
            <w:noWrap/>
            <w:vAlign w:val="center"/>
          </w:tcPr>
          <w:p w14:paraId="23F989A9">
            <w:pPr>
              <w:widowControl/>
              <w:adjustRightInd w:val="0"/>
              <w:snapToGrid w:val="0"/>
              <w:spacing w:before="0" w:beforeLines="0" w:line="240" w:lineRule="auto"/>
              <w:jc w:val="center"/>
              <w:rPr>
                <w:kern w:val="0"/>
                <w:szCs w:val="21"/>
              </w:rPr>
            </w:pPr>
            <w:r>
              <w:rPr>
                <w:rFonts w:hint="eastAsia"/>
                <w:kern w:val="0"/>
                <w:szCs w:val="21"/>
              </w:rPr>
              <w:t>浓度增量(μg/m^3)</w:t>
            </w:r>
          </w:p>
        </w:tc>
        <w:tc>
          <w:tcPr>
            <w:tcW w:w="465" w:type="pct"/>
            <w:noWrap/>
            <w:vAlign w:val="center"/>
          </w:tcPr>
          <w:p w14:paraId="3722DDDB">
            <w:pPr>
              <w:widowControl/>
              <w:adjustRightInd w:val="0"/>
              <w:snapToGrid w:val="0"/>
              <w:spacing w:before="0" w:beforeLines="0" w:line="240" w:lineRule="auto"/>
              <w:jc w:val="center"/>
              <w:rPr>
                <w:kern w:val="0"/>
                <w:szCs w:val="21"/>
              </w:rPr>
            </w:pPr>
            <w:r>
              <w:rPr>
                <w:rFonts w:hint="eastAsia"/>
                <w:kern w:val="0"/>
                <w:szCs w:val="21"/>
              </w:rPr>
              <w:t>出现时间(YYMMDDHH)</w:t>
            </w:r>
          </w:p>
        </w:tc>
        <w:tc>
          <w:tcPr>
            <w:tcW w:w="458" w:type="pct"/>
            <w:noWrap/>
            <w:vAlign w:val="center"/>
          </w:tcPr>
          <w:p w14:paraId="4FA5DCA5">
            <w:pPr>
              <w:widowControl/>
              <w:adjustRightInd w:val="0"/>
              <w:snapToGrid w:val="0"/>
              <w:spacing w:before="0" w:beforeLines="0" w:line="240" w:lineRule="auto"/>
              <w:jc w:val="center"/>
              <w:rPr>
                <w:kern w:val="0"/>
                <w:szCs w:val="21"/>
              </w:rPr>
            </w:pPr>
            <w:r>
              <w:rPr>
                <w:rFonts w:hint="eastAsia"/>
                <w:kern w:val="0"/>
                <w:szCs w:val="21"/>
              </w:rPr>
              <w:t>背景浓度(μg/m^3)</w:t>
            </w:r>
          </w:p>
        </w:tc>
        <w:tc>
          <w:tcPr>
            <w:tcW w:w="609" w:type="pct"/>
            <w:noWrap/>
            <w:vAlign w:val="center"/>
          </w:tcPr>
          <w:p w14:paraId="290E87B9">
            <w:pPr>
              <w:widowControl/>
              <w:adjustRightInd w:val="0"/>
              <w:snapToGrid w:val="0"/>
              <w:spacing w:before="0" w:beforeLines="0" w:line="240" w:lineRule="auto"/>
              <w:jc w:val="center"/>
              <w:rPr>
                <w:kern w:val="0"/>
                <w:szCs w:val="21"/>
              </w:rPr>
            </w:pPr>
            <w:r>
              <w:rPr>
                <w:rFonts w:hint="eastAsia"/>
                <w:kern w:val="0"/>
                <w:szCs w:val="21"/>
              </w:rPr>
              <w:t>叠加背景后的浓度(μg/m^3)</w:t>
            </w:r>
          </w:p>
        </w:tc>
        <w:tc>
          <w:tcPr>
            <w:tcW w:w="407" w:type="pct"/>
            <w:noWrap/>
            <w:vAlign w:val="center"/>
          </w:tcPr>
          <w:p w14:paraId="2D799F9F">
            <w:pPr>
              <w:widowControl/>
              <w:adjustRightInd w:val="0"/>
              <w:snapToGrid w:val="0"/>
              <w:spacing w:before="0" w:beforeLines="0" w:line="240" w:lineRule="auto"/>
              <w:jc w:val="center"/>
              <w:rPr>
                <w:kern w:val="0"/>
                <w:szCs w:val="21"/>
              </w:rPr>
            </w:pPr>
            <w:r>
              <w:rPr>
                <w:rFonts w:hint="eastAsia"/>
                <w:kern w:val="0"/>
                <w:szCs w:val="21"/>
              </w:rPr>
              <w:t>评价标准(μg/m^3)</w:t>
            </w:r>
          </w:p>
        </w:tc>
        <w:tc>
          <w:tcPr>
            <w:tcW w:w="469" w:type="pct"/>
            <w:noWrap/>
            <w:vAlign w:val="center"/>
          </w:tcPr>
          <w:p w14:paraId="2DED6151">
            <w:pPr>
              <w:widowControl/>
              <w:adjustRightInd w:val="0"/>
              <w:snapToGrid w:val="0"/>
              <w:spacing w:before="0" w:beforeLines="0" w:line="240" w:lineRule="auto"/>
              <w:jc w:val="center"/>
              <w:rPr>
                <w:kern w:val="0"/>
                <w:szCs w:val="21"/>
              </w:rPr>
            </w:pPr>
            <w:r>
              <w:rPr>
                <w:rFonts w:hint="eastAsia"/>
                <w:kern w:val="0"/>
                <w:szCs w:val="21"/>
              </w:rPr>
              <w:t>占标率%(叠加背景以后)</w:t>
            </w:r>
          </w:p>
        </w:tc>
        <w:tc>
          <w:tcPr>
            <w:tcW w:w="265" w:type="pct"/>
            <w:noWrap/>
            <w:vAlign w:val="center"/>
          </w:tcPr>
          <w:p w14:paraId="06BB3001">
            <w:pPr>
              <w:widowControl/>
              <w:adjustRightInd w:val="0"/>
              <w:snapToGrid w:val="0"/>
              <w:spacing w:before="0" w:beforeLines="0" w:line="240" w:lineRule="auto"/>
              <w:jc w:val="center"/>
              <w:rPr>
                <w:kern w:val="0"/>
                <w:szCs w:val="21"/>
              </w:rPr>
            </w:pPr>
            <w:r>
              <w:rPr>
                <w:rFonts w:hint="eastAsia"/>
                <w:kern w:val="0"/>
                <w:szCs w:val="21"/>
              </w:rPr>
              <w:t>是否超标</w:t>
            </w:r>
          </w:p>
        </w:tc>
      </w:tr>
      <w:tr w14:paraId="15B3A32C">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14:paraId="21E6D53F">
            <w:pPr>
              <w:widowControl/>
              <w:adjustRightInd w:val="0"/>
              <w:snapToGrid w:val="0"/>
              <w:spacing w:before="0" w:beforeLines="0" w:line="240" w:lineRule="auto"/>
              <w:jc w:val="center"/>
              <w:rPr>
                <w:kern w:val="0"/>
                <w:szCs w:val="21"/>
              </w:rPr>
            </w:pPr>
            <w:bookmarkStart w:id="229" w:name="_Hlk194217124"/>
            <w:r>
              <w:rPr>
                <w:rFonts w:hint="eastAsia"/>
                <w:kern w:val="0"/>
                <w:szCs w:val="21"/>
              </w:rPr>
              <w:t>1</w:t>
            </w:r>
          </w:p>
        </w:tc>
        <w:tc>
          <w:tcPr>
            <w:tcW w:w="489" w:type="pct"/>
            <w:noWrap/>
            <w:vAlign w:val="center"/>
          </w:tcPr>
          <w:p w14:paraId="2F8F9327">
            <w:pPr>
              <w:widowControl/>
              <w:adjustRightInd w:val="0"/>
              <w:snapToGrid w:val="0"/>
              <w:spacing w:before="0" w:beforeLines="0" w:line="240" w:lineRule="auto"/>
              <w:jc w:val="center"/>
              <w:rPr>
                <w:kern w:val="0"/>
                <w:szCs w:val="21"/>
              </w:rPr>
            </w:pPr>
            <w:r>
              <w:rPr>
                <w:rFonts w:hint="eastAsia"/>
                <w:kern w:val="0"/>
                <w:szCs w:val="21"/>
              </w:rPr>
              <w:t>孟家窝堡</w:t>
            </w:r>
          </w:p>
        </w:tc>
        <w:tc>
          <w:tcPr>
            <w:tcW w:w="560" w:type="pct"/>
            <w:noWrap/>
            <w:vAlign w:val="center"/>
          </w:tcPr>
          <w:p w14:paraId="320CFAAA">
            <w:pPr>
              <w:widowControl/>
              <w:adjustRightInd w:val="0"/>
              <w:snapToGrid w:val="0"/>
              <w:spacing w:before="0" w:beforeLines="0" w:line="240" w:lineRule="auto"/>
              <w:jc w:val="center"/>
              <w:rPr>
                <w:kern w:val="0"/>
                <w:szCs w:val="21"/>
              </w:rPr>
            </w:pPr>
            <w:r>
              <w:rPr>
                <w:rFonts w:hint="eastAsia"/>
                <w:kern w:val="0"/>
                <w:szCs w:val="21"/>
              </w:rPr>
              <w:t>-1345,-349</w:t>
            </w:r>
          </w:p>
        </w:tc>
        <w:tc>
          <w:tcPr>
            <w:tcW w:w="354" w:type="pct"/>
            <w:noWrap/>
            <w:vAlign w:val="center"/>
          </w:tcPr>
          <w:p w14:paraId="36F907C7">
            <w:pPr>
              <w:widowControl/>
              <w:adjustRightInd w:val="0"/>
              <w:snapToGrid w:val="0"/>
              <w:spacing w:before="0" w:beforeLines="0" w:line="240" w:lineRule="auto"/>
              <w:jc w:val="center"/>
              <w:rPr>
                <w:kern w:val="0"/>
                <w:szCs w:val="21"/>
              </w:rPr>
            </w:pPr>
            <w:r>
              <w:rPr>
                <w:rFonts w:hint="eastAsia"/>
                <w:kern w:val="0"/>
                <w:szCs w:val="21"/>
              </w:rPr>
              <w:t>272.58</w:t>
            </w:r>
          </w:p>
        </w:tc>
        <w:tc>
          <w:tcPr>
            <w:tcW w:w="355" w:type="pct"/>
            <w:noWrap/>
            <w:vAlign w:val="center"/>
          </w:tcPr>
          <w:p w14:paraId="0AAC23BB">
            <w:pPr>
              <w:widowControl/>
              <w:adjustRightInd w:val="0"/>
              <w:snapToGrid w:val="0"/>
              <w:spacing w:before="0" w:beforeLines="0" w:line="240" w:lineRule="auto"/>
              <w:jc w:val="center"/>
              <w:rPr>
                <w:kern w:val="0"/>
                <w:szCs w:val="21"/>
              </w:rPr>
            </w:pPr>
            <w:r>
              <w:rPr>
                <w:rFonts w:hint="eastAsia"/>
                <w:kern w:val="0"/>
                <w:szCs w:val="21"/>
              </w:rPr>
              <w:t>日平均</w:t>
            </w:r>
          </w:p>
        </w:tc>
        <w:tc>
          <w:tcPr>
            <w:tcW w:w="399" w:type="pct"/>
            <w:noWrap/>
            <w:vAlign w:val="center"/>
          </w:tcPr>
          <w:p w14:paraId="08E36686">
            <w:pPr>
              <w:widowControl/>
              <w:adjustRightInd w:val="0"/>
              <w:snapToGrid w:val="0"/>
              <w:spacing w:before="0" w:beforeLines="0" w:line="240" w:lineRule="auto"/>
              <w:jc w:val="center"/>
              <w:rPr>
                <w:kern w:val="0"/>
                <w:szCs w:val="21"/>
              </w:rPr>
            </w:pPr>
            <w:r>
              <w:rPr>
                <w:color w:val="000000"/>
                <w:kern w:val="0"/>
                <w:sz w:val="22"/>
                <w:szCs w:val="22"/>
              </w:rPr>
              <w:t>9.9381</w:t>
            </w:r>
          </w:p>
        </w:tc>
        <w:tc>
          <w:tcPr>
            <w:tcW w:w="465" w:type="pct"/>
            <w:noWrap/>
            <w:vAlign w:val="center"/>
          </w:tcPr>
          <w:p w14:paraId="16E0CEE4">
            <w:pPr>
              <w:widowControl/>
              <w:adjustRightInd w:val="0"/>
              <w:snapToGrid w:val="0"/>
              <w:spacing w:before="0" w:beforeLines="0" w:line="240" w:lineRule="auto"/>
              <w:jc w:val="center"/>
              <w:rPr>
                <w:kern w:val="0"/>
                <w:szCs w:val="21"/>
              </w:rPr>
            </w:pPr>
            <w:r>
              <w:rPr>
                <w:color w:val="000000"/>
                <w:kern w:val="0"/>
                <w:sz w:val="22"/>
                <w:szCs w:val="22"/>
              </w:rPr>
              <w:t>251213</w:t>
            </w:r>
          </w:p>
        </w:tc>
        <w:tc>
          <w:tcPr>
            <w:tcW w:w="458" w:type="pct"/>
            <w:noWrap/>
            <w:vAlign w:val="center"/>
          </w:tcPr>
          <w:p w14:paraId="496DBABF">
            <w:pPr>
              <w:widowControl/>
              <w:adjustRightInd w:val="0"/>
              <w:snapToGrid w:val="0"/>
              <w:spacing w:before="0" w:beforeLines="0" w:line="240" w:lineRule="auto"/>
              <w:jc w:val="center"/>
              <w:rPr>
                <w:kern w:val="0"/>
                <w:szCs w:val="21"/>
              </w:rPr>
            </w:pPr>
            <w:r>
              <w:rPr>
                <w:color w:val="000000"/>
                <w:kern w:val="0"/>
                <w:sz w:val="22"/>
                <w:szCs w:val="22"/>
              </w:rPr>
              <w:t>126</w:t>
            </w:r>
          </w:p>
        </w:tc>
        <w:tc>
          <w:tcPr>
            <w:tcW w:w="609" w:type="pct"/>
            <w:noWrap/>
            <w:vAlign w:val="center"/>
          </w:tcPr>
          <w:p w14:paraId="11A21AE4">
            <w:pPr>
              <w:widowControl/>
              <w:adjustRightInd w:val="0"/>
              <w:snapToGrid w:val="0"/>
              <w:spacing w:before="0" w:beforeLines="0" w:line="240" w:lineRule="auto"/>
              <w:jc w:val="center"/>
              <w:rPr>
                <w:kern w:val="0"/>
                <w:szCs w:val="21"/>
              </w:rPr>
            </w:pPr>
            <w:r>
              <w:rPr>
                <w:color w:val="000000"/>
                <w:kern w:val="0"/>
                <w:sz w:val="22"/>
                <w:szCs w:val="22"/>
              </w:rPr>
              <w:t>135.938</w:t>
            </w:r>
          </w:p>
        </w:tc>
        <w:tc>
          <w:tcPr>
            <w:tcW w:w="407" w:type="pct"/>
            <w:noWrap/>
            <w:vAlign w:val="center"/>
          </w:tcPr>
          <w:p w14:paraId="12EE46B7">
            <w:pPr>
              <w:widowControl/>
              <w:adjustRightInd w:val="0"/>
              <w:snapToGrid w:val="0"/>
              <w:spacing w:before="0" w:beforeLines="0" w:line="240" w:lineRule="auto"/>
              <w:jc w:val="center"/>
              <w:rPr>
                <w:kern w:val="0"/>
                <w:szCs w:val="21"/>
              </w:rPr>
            </w:pPr>
            <w:r>
              <w:rPr>
                <w:color w:val="000000"/>
                <w:kern w:val="0"/>
                <w:sz w:val="22"/>
                <w:szCs w:val="22"/>
              </w:rPr>
              <w:t>300</w:t>
            </w:r>
          </w:p>
        </w:tc>
        <w:tc>
          <w:tcPr>
            <w:tcW w:w="469" w:type="pct"/>
            <w:noWrap/>
            <w:vAlign w:val="center"/>
          </w:tcPr>
          <w:p w14:paraId="5A1BA28F">
            <w:pPr>
              <w:widowControl/>
              <w:adjustRightInd w:val="0"/>
              <w:snapToGrid w:val="0"/>
              <w:spacing w:before="0" w:beforeLines="0" w:line="240" w:lineRule="auto"/>
              <w:jc w:val="center"/>
              <w:rPr>
                <w:kern w:val="0"/>
                <w:szCs w:val="21"/>
              </w:rPr>
            </w:pPr>
            <w:r>
              <w:rPr>
                <w:color w:val="000000"/>
                <w:kern w:val="0"/>
                <w:sz w:val="22"/>
                <w:szCs w:val="22"/>
              </w:rPr>
              <w:t>45.31</w:t>
            </w:r>
          </w:p>
        </w:tc>
        <w:tc>
          <w:tcPr>
            <w:tcW w:w="265" w:type="pct"/>
            <w:noWrap/>
            <w:vAlign w:val="center"/>
          </w:tcPr>
          <w:p w14:paraId="71383E1C">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tr w14:paraId="17EFAC3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14:paraId="27879126">
            <w:pPr>
              <w:widowControl/>
              <w:adjustRightInd w:val="0"/>
              <w:snapToGrid w:val="0"/>
              <w:spacing w:before="0" w:beforeLines="0" w:line="240" w:lineRule="auto"/>
              <w:jc w:val="center"/>
              <w:rPr>
                <w:kern w:val="0"/>
                <w:szCs w:val="21"/>
              </w:rPr>
            </w:pPr>
            <w:r>
              <w:rPr>
                <w:rFonts w:hint="eastAsia"/>
                <w:kern w:val="0"/>
                <w:szCs w:val="21"/>
              </w:rPr>
              <w:t>2</w:t>
            </w:r>
          </w:p>
        </w:tc>
        <w:tc>
          <w:tcPr>
            <w:tcW w:w="489" w:type="pct"/>
            <w:noWrap/>
            <w:vAlign w:val="center"/>
          </w:tcPr>
          <w:p w14:paraId="16D82132">
            <w:pPr>
              <w:widowControl/>
              <w:adjustRightInd w:val="0"/>
              <w:snapToGrid w:val="0"/>
              <w:spacing w:before="0" w:beforeLines="0" w:line="240" w:lineRule="auto"/>
              <w:jc w:val="center"/>
              <w:rPr>
                <w:kern w:val="0"/>
                <w:szCs w:val="21"/>
              </w:rPr>
            </w:pPr>
            <w:r>
              <w:rPr>
                <w:rFonts w:hint="eastAsia"/>
                <w:kern w:val="0"/>
                <w:szCs w:val="21"/>
              </w:rPr>
              <w:t>阿哈来村</w:t>
            </w:r>
          </w:p>
        </w:tc>
        <w:tc>
          <w:tcPr>
            <w:tcW w:w="560" w:type="pct"/>
            <w:noWrap/>
            <w:vAlign w:val="center"/>
          </w:tcPr>
          <w:p w14:paraId="7C7E2C17">
            <w:pPr>
              <w:widowControl/>
              <w:adjustRightInd w:val="0"/>
              <w:snapToGrid w:val="0"/>
              <w:spacing w:before="0" w:beforeLines="0" w:line="240" w:lineRule="auto"/>
              <w:jc w:val="center"/>
              <w:rPr>
                <w:kern w:val="0"/>
                <w:szCs w:val="21"/>
              </w:rPr>
            </w:pPr>
            <w:r>
              <w:rPr>
                <w:rFonts w:hint="eastAsia"/>
                <w:kern w:val="0"/>
                <w:szCs w:val="21"/>
              </w:rPr>
              <w:t>-2099,589</w:t>
            </w:r>
          </w:p>
        </w:tc>
        <w:tc>
          <w:tcPr>
            <w:tcW w:w="354" w:type="pct"/>
            <w:noWrap/>
            <w:vAlign w:val="center"/>
          </w:tcPr>
          <w:p w14:paraId="0F6E5FA6">
            <w:pPr>
              <w:widowControl/>
              <w:adjustRightInd w:val="0"/>
              <w:snapToGrid w:val="0"/>
              <w:spacing w:before="0" w:beforeLines="0" w:line="240" w:lineRule="auto"/>
              <w:jc w:val="center"/>
              <w:rPr>
                <w:kern w:val="0"/>
                <w:szCs w:val="21"/>
              </w:rPr>
            </w:pPr>
            <w:r>
              <w:rPr>
                <w:rFonts w:hint="eastAsia"/>
                <w:kern w:val="0"/>
                <w:szCs w:val="21"/>
              </w:rPr>
              <w:t>266.66</w:t>
            </w:r>
          </w:p>
        </w:tc>
        <w:tc>
          <w:tcPr>
            <w:tcW w:w="355" w:type="pct"/>
            <w:noWrap/>
            <w:vAlign w:val="center"/>
          </w:tcPr>
          <w:p w14:paraId="18582F5C">
            <w:pPr>
              <w:widowControl/>
              <w:adjustRightInd w:val="0"/>
              <w:snapToGrid w:val="0"/>
              <w:spacing w:before="0" w:beforeLines="0" w:line="240" w:lineRule="auto"/>
              <w:jc w:val="center"/>
              <w:rPr>
                <w:kern w:val="0"/>
                <w:szCs w:val="21"/>
              </w:rPr>
            </w:pPr>
            <w:r>
              <w:rPr>
                <w:rFonts w:hint="eastAsia"/>
                <w:kern w:val="0"/>
                <w:szCs w:val="21"/>
              </w:rPr>
              <w:t>日平均</w:t>
            </w:r>
          </w:p>
        </w:tc>
        <w:tc>
          <w:tcPr>
            <w:tcW w:w="399" w:type="pct"/>
            <w:noWrap/>
            <w:vAlign w:val="center"/>
          </w:tcPr>
          <w:p w14:paraId="0A1D9DEA">
            <w:pPr>
              <w:widowControl/>
              <w:adjustRightInd w:val="0"/>
              <w:snapToGrid w:val="0"/>
              <w:spacing w:before="0" w:beforeLines="0" w:line="240" w:lineRule="auto"/>
              <w:jc w:val="center"/>
              <w:rPr>
                <w:kern w:val="0"/>
                <w:szCs w:val="21"/>
              </w:rPr>
            </w:pPr>
            <w:r>
              <w:rPr>
                <w:color w:val="000000"/>
                <w:kern w:val="0"/>
                <w:sz w:val="22"/>
                <w:szCs w:val="22"/>
              </w:rPr>
              <w:t>3.8127</w:t>
            </w:r>
          </w:p>
        </w:tc>
        <w:tc>
          <w:tcPr>
            <w:tcW w:w="465" w:type="pct"/>
            <w:noWrap/>
            <w:vAlign w:val="center"/>
          </w:tcPr>
          <w:p w14:paraId="2D3FC40B">
            <w:pPr>
              <w:widowControl/>
              <w:adjustRightInd w:val="0"/>
              <w:snapToGrid w:val="0"/>
              <w:spacing w:before="0" w:beforeLines="0" w:line="240" w:lineRule="auto"/>
              <w:jc w:val="center"/>
              <w:rPr>
                <w:kern w:val="0"/>
                <w:szCs w:val="21"/>
              </w:rPr>
            </w:pPr>
            <w:r>
              <w:rPr>
                <w:color w:val="000000"/>
                <w:kern w:val="0"/>
                <w:sz w:val="22"/>
                <w:szCs w:val="22"/>
              </w:rPr>
              <w:t>250921</w:t>
            </w:r>
          </w:p>
        </w:tc>
        <w:tc>
          <w:tcPr>
            <w:tcW w:w="458" w:type="pct"/>
            <w:noWrap/>
            <w:vAlign w:val="center"/>
          </w:tcPr>
          <w:p w14:paraId="0250B005">
            <w:pPr>
              <w:widowControl/>
              <w:adjustRightInd w:val="0"/>
              <w:snapToGrid w:val="0"/>
              <w:spacing w:before="0" w:beforeLines="0" w:line="240" w:lineRule="auto"/>
              <w:jc w:val="center"/>
              <w:rPr>
                <w:kern w:val="0"/>
                <w:szCs w:val="21"/>
              </w:rPr>
            </w:pPr>
            <w:r>
              <w:rPr>
                <w:color w:val="000000"/>
                <w:kern w:val="0"/>
                <w:sz w:val="22"/>
                <w:szCs w:val="22"/>
              </w:rPr>
              <w:t>126</w:t>
            </w:r>
          </w:p>
        </w:tc>
        <w:tc>
          <w:tcPr>
            <w:tcW w:w="609" w:type="pct"/>
            <w:noWrap/>
            <w:vAlign w:val="center"/>
          </w:tcPr>
          <w:p w14:paraId="6C7D5102">
            <w:pPr>
              <w:widowControl/>
              <w:adjustRightInd w:val="0"/>
              <w:snapToGrid w:val="0"/>
              <w:spacing w:before="0" w:beforeLines="0" w:line="240" w:lineRule="auto"/>
              <w:jc w:val="center"/>
              <w:rPr>
                <w:kern w:val="0"/>
                <w:szCs w:val="21"/>
              </w:rPr>
            </w:pPr>
            <w:r>
              <w:rPr>
                <w:color w:val="000000"/>
                <w:kern w:val="0"/>
                <w:sz w:val="22"/>
                <w:szCs w:val="22"/>
              </w:rPr>
              <w:t>129.8127</w:t>
            </w:r>
          </w:p>
        </w:tc>
        <w:tc>
          <w:tcPr>
            <w:tcW w:w="407" w:type="pct"/>
            <w:noWrap/>
            <w:vAlign w:val="center"/>
          </w:tcPr>
          <w:p w14:paraId="1E99A57A">
            <w:pPr>
              <w:widowControl/>
              <w:adjustRightInd w:val="0"/>
              <w:snapToGrid w:val="0"/>
              <w:spacing w:before="0" w:beforeLines="0" w:line="240" w:lineRule="auto"/>
              <w:jc w:val="center"/>
              <w:rPr>
                <w:kern w:val="0"/>
                <w:szCs w:val="21"/>
              </w:rPr>
            </w:pPr>
            <w:r>
              <w:rPr>
                <w:color w:val="000000"/>
                <w:kern w:val="0"/>
                <w:sz w:val="22"/>
                <w:szCs w:val="22"/>
              </w:rPr>
              <w:t>300</w:t>
            </w:r>
          </w:p>
        </w:tc>
        <w:tc>
          <w:tcPr>
            <w:tcW w:w="469" w:type="pct"/>
            <w:noWrap/>
            <w:vAlign w:val="center"/>
          </w:tcPr>
          <w:p w14:paraId="076E0B85">
            <w:pPr>
              <w:widowControl/>
              <w:adjustRightInd w:val="0"/>
              <w:snapToGrid w:val="0"/>
              <w:spacing w:before="0" w:beforeLines="0" w:line="240" w:lineRule="auto"/>
              <w:jc w:val="center"/>
              <w:rPr>
                <w:kern w:val="0"/>
                <w:szCs w:val="21"/>
              </w:rPr>
            </w:pPr>
            <w:r>
              <w:rPr>
                <w:color w:val="000000"/>
                <w:kern w:val="0"/>
                <w:sz w:val="22"/>
                <w:szCs w:val="22"/>
              </w:rPr>
              <w:t>43.27</w:t>
            </w:r>
          </w:p>
        </w:tc>
        <w:tc>
          <w:tcPr>
            <w:tcW w:w="265" w:type="pct"/>
            <w:noWrap/>
          </w:tcPr>
          <w:p w14:paraId="23BCAAC2">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tr w14:paraId="60E19AD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14:paraId="60AEAEB8">
            <w:pPr>
              <w:widowControl/>
              <w:adjustRightInd w:val="0"/>
              <w:snapToGrid w:val="0"/>
              <w:spacing w:before="0" w:beforeLines="0" w:line="240" w:lineRule="auto"/>
              <w:jc w:val="center"/>
              <w:rPr>
                <w:kern w:val="0"/>
                <w:szCs w:val="21"/>
              </w:rPr>
            </w:pPr>
            <w:r>
              <w:rPr>
                <w:rFonts w:hint="eastAsia"/>
                <w:kern w:val="0"/>
                <w:szCs w:val="21"/>
              </w:rPr>
              <w:t>3</w:t>
            </w:r>
          </w:p>
        </w:tc>
        <w:tc>
          <w:tcPr>
            <w:tcW w:w="489" w:type="pct"/>
            <w:noWrap/>
            <w:vAlign w:val="center"/>
          </w:tcPr>
          <w:p w14:paraId="2871A289">
            <w:pPr>
              <w:widowControl/>
              <w:adjustRightInd w:val="0"/>
              <w:snapToGrid w:val="0"/>
              <w:spacing w:before="0" w:beforeLines="0" w:line="240" w:lineRule="auto"/>
              <w:jc w:val="center"/>
              <w:rPr>
                <w:kern w:val="0"/>
                <w:szCs w:val="21"/>
              </w:rPr>
            </w:pPr>
            <w:r>
              <w:rPr>
                <w:rFonts w:hint="eastAsia"/>
                <w:kern w:val="0"/>
                <w:szCs w:val="21"/>
              </w:rPr>
              <w:t>庙沟</w:t>
            </w:r>
          </w:p>
        </w:tc>
        <w:tc>
          <w:tcPr>
            <w:tcW w:w="560" w:type="pct"/>
            <w:noWrap/>
            <w:vAlign w:val="center"/>
          </w:tcPr>
          <w:p w14:paraId="2A752582">
            <w:pPr>
              <w:widowControl/>
              <w:adjustRightInd w:val="0"/>
              <w:snapToGrid w:val="0"/>
              <w:spacing w:before="0" w:beforeLines="0" w:line="240" w:lineRule="auto"/>
              <w:jc w:val="center"/>
              <w:rPr>
                <w:kern w:val="0"/>
                <w:szCs w:val="21"/>
              </w:rPr>
            </w:pPr>
            <w:r>
              <w:rPr>
                <w:rFonts w:hint="eastAsia"/>
                <w:kern w:val="0"/>
                <w:szCs w:val="21"/>
              </w:rPr>
              <w:t>-1444，2465</w:t>
            </w:r>
          </w:p>
        </w:tc>
        <w:tc>
          <w:tcPr>
            <w:tcW w:w="354" w:type="pct"/>
            <w:noWrap/>
            <w:vAlign w:val="center"/>
          </w:tcPr>
          <w:p w14:paraId="6B2CA77E">
            <w:pPr>
              <w:widowControl/>
              <w:adjustRightInd w:val="0"/>
              <w:snapToGrid w:val="0"/>
              <w:spacing w:before="0" w:beforeLines="0" w:line="240" w:lineRule="auto"/>
              <w:jc w:val="center"/>
              <w:rPr>
                <w:kern w:val="0"/>
                <w:szCs w:val="21"/>
              </w:rPr>
            </w:pPr>
            <w:r>
              <w:rPr>
                <w:rFonts w:hint="eastAsia"/>
                <w:kern w:val="0"/>
                <w:szCs w:val="21"/>
              </w:rPr>
              <w:t>269.82</w:t>
            </w:r>
          </w:p>
        </w:tc>
        <w:tc>
          <w:tcPr>
            <w:tcW w:w="355" w:type="pct"/>
            <w:noWrap/>
            <w:vAlign w:val="center"/>
          </w:tcPr>
          <w:p w14:paraId="2B22809D">
            <w:pPr>
              <w:widowControl/>
              <w:adjustRightInd w:val="0"/>
              <w:snapToGrid w:val="0"/>
              <w:spacing w:before="0" w:beforeLines="0" w:line="240" w:lineRule="auto"/>
              <w:jc w:val="center"/>
              <w:rPr>
                <w:kern w:val="0"/>
                <w:szCs w:val="21"/>
              </w:rPr>
            </w:pPr>
            <w:r>
              <w:rPr>
                <w:rFonts w:hint="eastAsia"/>
                <w:kern w:val="0"/>
                <w:szCs w:val="21"/>
              </w:rPr>
              <w:t>日平均</w:t>
            </w:r>
          </w:p>
        </w:tc>
        <w:tc>
          <w:tcPr>
            <w:tcW w:w="399" w:type="pct"/>
            <w:noWrap/>
            <w:vAlign w:val="center"/>
          </w:tcPr>
          <w:p w14:paraId="65ACD9FB">
            <w:pPr>
              <w:widowControl/>
              <w:adjustRightInd w:val="0"/>
              <w:snapToGrid w:val="0"/>
              <w:spacing w:before="0" w:beforeLines="0" w:line="240" w:lineRule="auto"/>
              <w:jc w:val="center"/>
              <w:rPr>
                <w:kern w:val="0"/>
                <w:szCs w:val="21"/>
              </w:rPr>
            </w:pPr>
            <w:r>
              <w:rPr>
                <w:color w:val="000000"/>
                <w:kern w:val="0"/>
                <w:sz w:val="22"/>
                <w:szCs w:val="22"/>
              </w:rPr>
              <w:t>3.5058</w:t>
            </w:r>
          </w:p>
        </w:tc>
        <w:tc>
          <w:tcPr>
            <w:tcW w:w="465" w:type="pct"/>
            <w:noWrap/>
            <w:vAlign w:val="center"/>
          </w:tcPr>
          <w:p w14:paraId="33334EF2">
            <w:pPr>
              <w:widowControl/>
              <w:adjustRightInd w:val="0"/>
              <w:snapToGrid w:val="0"/>
              <w:spacing w:before="0" w:beforeLines="0" w:line="240" w:lineRule="auto"/>
              <w:jc w:val="center"/>
              <w:rPr>
                <w:kern w:val="0"/>
                <w:szCs w:val="21"/>
              </w:rPr>
            </w:pPr>
            <w:r>
              <w:rPr>
                <w:color w:val="000000"/>
                <w:kern w:val="0"/>
                <w:sz w:val="22"/>
                <w:szCs w:val="22"/>
              </w:rPr>
              <w:t>250921</w:t>
            </w:r>
          </w:p>
        </w:tc>
        <w:tc>
          <w:tcPr>
            <w:tcW w:w="458" w:type="pct"/>
            <w:noWrap/>
            <w:vAlign w:val="center"/>
          </w:tcPr>
          <w:p w14:paraId="52686ECF">
            <w:pPr>
              <w:widowControl/>
              <w:adjustRightInd w:val="0"/>
              <w:snapToGrid w:val="0"/>
              <w:spacing w:before="0" w:beforeLines="0" w:line="240" w:lineRule="auto"/>
              <w:jc w:val="center"/>
              <w:rPr>
                <w:kern w:val="0"/>
                <w:szCs w:val="21"/>
              </w:rPr>
            </w:pPr>
            <w:r>
              <w:rPr>
                <w:color w:val="000000"/>
                <w:kern w:val="0"/>
                <w:sz w:val="22"/>
                <w:szCs w:val="22"/>
              </w:rPr>
              <w:t>126</w:t>
            </w:r>
          </w:p>
        </w:tc>
        <w:tc>
          <w:tcPr>
            <w:tcW w:w="609" w:type="pct"/>
            <w:noWrap/>
            <w:vAlign w:val="center"/>
          </w:tcPr>
          <w:p w14:paraId="0B6FCD53">
            <w:pPr>
              <w:widowControl/>
              <w:adjustRightInd w:val="0"/>
              <w:snapToGrid w:val="0"/>
              <w:spacing w:before="0" w:beforeLines="0" w:line="240" w:lineRule="auto"/>
              <w:jc w:val="center"/>
              <w:rPr>
                <w:kern w:val="0"/>
                <w:szCs w:val="21"/>
              </w:rPr>
            </w:pPr>
            <w:r>
              <w:rPr>
                <w:color w:val="000000"/>
                <w:kern w:val="0"/>
                <w:sz w:val="22"/>
                <w:szCs w:val="22"/>
              </w:rPr>
              <w:t>129.5058</w:t>
            </w:r>
          </w:p>
        </w:tc>
        <w:tc>
          <w:tcPr>
            <w:tcW w:w="407" w:type="pct"/>
            <w:noWrap/>
            <w:vAlign w:val="center"/>
          </w:tcPr>
          <w:p w14:paraId="5B249FA0">
            <w:pPr>
              <w:widowControl/>
              <w:adjustRightInd w:val="0"/>
              <w:snapToGrid w:val="0"/>
              <w:spacing w:before="0" w:beforeLines="0" w:line="240" w:lineRule="auto"/>
              <w:jc w:val="center"/>
              <w:rPr>
                <w:kern w:val="0"/>
                <w:szCs w:val="21"/>
              </w:rPr>
            </w:pPr>
            <w:r>
              <w:rPr>
                <w:color w:val="000000"/>
                <w:kern w:val="0"/>
                <w:sz w:val="22"/>
                <w:szCs w:val="22"/>
              </w:rPr>
              <w:t>300</w:t>
            </w:r>
          </w:p>
        </w:tc>
        <w:tc>
          <w:tcPr>
            <w:tcW w:w="469" w:type="pct"/>
            <w:noWrap/>
            <w:vAlign w:val="center"/>
          </w:tcPr>
          <w:p w14:paraId="270C98FD">
            <w:pPr>
              <w:widowControl/>
              <w:adjustRightInd w:val="0"/>
              <w:snapToGrid w:val="0"/>
              <w:spacing w:before="0" w:beforeLines="0" w:line="240" w:lineRule="auto"/>
              <w:jc w:val="center"/>
              <w:rPr>
                <w:kern w:val="0"/>
                <w:szCs w:val="21"/>
              </w:rPr>
            </w:pPr>
            <w:r>
              <w:rPr>
                <w:color w:val="000000"/>
                <w:kern w:val="0"/>
                <w:sz w:val="22"/>
                <w:szCs w:val="22"/>
              </w:rPr>
              <w:t>43.17</w:t>
            </w:r>
          </w:p>
        </w:tc>
        <w:tc>
          <w:tcPr>
            <w:tcW w:w="265" w:type="pct"/>
            <w:noWrap/>
          </w:tcPr>
          <w:p w14:paraId="2955EFEA">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tr w14:paraId="10AE1FF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14:paraId="49FE9BE6">
            <w:pPr>
              <w:widowControl/>
              <w:adjustRightInd w:val="0"/>
              <w:snapToGrid w:val="0"/>
              <w:spacing w:before="0" w:beforeLines="0" w:line="240" w:lineRule="auto"/>
              <w:jc w:val="center"/>
              <w:rPr>
                <w:kern w:val="0"/>
                <w:szCs w:val="21"/>
              </w:rPr>
            </w:pPr>
            <w:r>
              <w:rPr>
                <w:rFonts w:hint="eastAsia"/>
                <w:kern w:val="0"/>
                <w:szCs w:val="21"/>
              </w:rPr>
              <w:t>4</w:t>
            </w:r>
          </w:p>
        </w:tc>
        <w:tc>
          <w:tcPr>
            <w:tcW w:w="489" w:type="pct"/>
            <w:noWrap/>
            <w:vAlign w:val="center"/>
          </w:tcPr>
          <w:p w14:paraId="47AFA650">
            <w:pPr>
              <w:widowControl/>
              <w:adjustRightInd w:val="0"/>
              <w:snapToGrid w:val="0"/>
              <w:spacing w:before="0" w:beforeLines="0" w:line="240" w:lineRule="auto"/>
              <w:jc w:val="center"/>
              <w:rPr>
                <w:kern w:val="0"/>
                <w:szCs w:val="21"/>
              </w:rPr>
            </w:pPr>
            <w:r>
              <w:rPr>
                <w:rFonts w:hint="eastAsia"/>
                <w:kern w:val="0"/>
                <w:szCs w:val="21"/>
              </w:rPr>
              <w:t>南山</w:t>
            </w:r>
          </w:p>
        </w:tc>
        <w:tc>
          <w:tcPr>
            <w:tcW w:w="560" w:type="pct"/>
            <w:noWrap/>
            <w:vAlign w:val="center"/>
          </w:tcPr>
          <w:p w14:paraId="388C2A26">
            <w:pPr>
              <w:widowControl/>
              <w:adjustRightInd w:val="0"/>
              <w:snapToGrid w:val="0"/>
              <w:spacing w:before="0" w:beforeLines="0" w:line="240" w:lineRule="auto"/>
              <w:jc w:val="center"/>
              <w:rPr>
                <w:kern w:val="0"/>
                <w:szCs w:val="21"/>
              </w:rPr>
            </w:pPr>
            <w:r>
              <w:rPr>
                <w:rFonts w:hint="eastAsia"/>
                <w:kern w:val="0"/>
                <w:szCs w:val="21"/>
              </w:rPr>
              <w:t>-2423,-913</w:t>
            </w:r>
          </w:p>
        </w:tc>
        <w:tc>
          <w:tcPr>
            <w:tcW w:w="354" w:type="pct"/>
            <w:noWrap/>
            <w:vAlign w:val="center"/>
          </w:tcPr>
          <w:p w14:paraId="7439BA89">
            <w:pPr>
              <w:widowControl/>
              <w:adjustRightInd w:val="0"/>
              <w:snapToGrid w:val="0"/>
              <w:spacing w:before="0" w:beforeLines="0" w:line="240" w:lineRule="auto"/>
              <w:jc w:val="center"/>
              <w:rPr>
                <w:kern w:val="0"/>
                <w:szCs w:val="21"/>
              </w:rPr>
            </w:pPr>
            <w:r>
              <w:rPr>
                <w:rFonts w:hint="eastAsia"/>
                <w:kern w:val="0"/>
                <w:szCs w:val="21"/>
              </w:rPr>
              <w:t>284.09</w:t>
            </w:r>
          </w:p>
        </w:tc>
        <w:tc>
          <w:tcPr>
            <w:tcW w:w="355" w:type="pct"/>
            <w:noWrap/>
            <w:vAlign w:val="center"/>
          </w:tcPr>
          <w:p w14:paraId="65B60597">
            <w:pPr>
              <w:widowControl/>
              <w:adjustRightInd w:val="0"/>
              <w:snapToGrid w:val="0"/>
              <w:spacing w:before="0" w:beforeLines="0" w:line="240" w:lineRule="auto"/>
              <w:jc w:val="center"/>
              <w:rPr>
                <w:kern w:val="0"/>
                <w:szCs w:val="21"/>
              </w:rPr>
            </w:pPr>
            <w:r>
              <w:rPr>
                <w:rFonts w:hint="eastAsia"/>
                <w:kern w:val="0"/>
                <w:szCs w:val="21"/>
              </w:rPr>
              <w:t>日平均</w:t>
            </w:r>
          </w:p>
        </w:tc>
        <w:tc>
          <w:tcPr>
            <w:tcW w:w="399" w:type="pct"/>
            <w:noWrap/>
            <w:vAlign w:val="center"/>
          </w:tcPr>
          <w:p w14:paraId="13015A62">
            <w:pPr>
              <w:widowControl/>
              <w:adjustRightInd w:val="0"/>
              <w:snapToGrid w:val="0"/>
              <w:spacing w:before="0" w:beforeLines="0" w:line="240" w:lineRule="auto"/>
              <w:jc w:val="center"/>
              <w:rPr>
                <w:kern w:val="0"/>
                <w:szCs w:val="21"/>
              </w:rPr>
            </w:pPr>
            <w:r>
              <w:rPr>
                <w:color w:val="000000"/>
                <w:kern w:val="0"/>
                <w:sz w:val="22"/>
                <w:szCs w:val="22"/>
              </w:rPr>
              <w:t>4.7177</w:t>
            </w:r>
          </w:p>
        </w:tc>
        <w:tc>
          <w:tcPr>
            <w:tcW w:w="465" w:type="pct"/>
            <w:noWrap/>
            <w:vAlign w:val="center"/>
          </w:tcPr>
          <w:p w14:paraId="35F523FD">
            <w:pPr>
              <w:widowControl/>
              <w:adjustRightInd w:val="0"/>
              <w:snapToGrid w:val="0"/>
              <w:spacing w:before="0" w:beforeLines="0" w:line="240" w:lineRule="auto"/>
              <w:jc w:val="center"/>
              <w:rPr>
                <w:kern w:val="0"/>
                <w:szCs w:val="21"/>
              </w:rPr>
            </w:pPr>
            <w:r>
              <w:rPr>
                <w:color w:val="000000"/>
                <w:kern w:val="0"/>
                <w:sz w:val="22"/>
                <w:szCs w:val="22"/>
              </w:rPr>
              <w:t>251120</w:t>
            </w:r>
          </w:p>
        </w:tc>
        <w:tc>
          <w:tcPr>
            <w:tcW w:w="458" w:type="pct"/>
            <w:noWrap/>
            <w:vAlign w:val="center"/>
          </w:tcPr>
          <w:p w14:paraId="18727834">
            <w:pPr>
              <w:widowControl/>
              <w:adjustRightInd w:val="0"/>
              <w:snapToGrid w:val="0"/>
              <w:spacing w:before="0" w:beforeLines="0" w:line="240" w:lineRule="auto"/>
              <w:jc w:val="center"/>
              <w:rPr>
                <w:kern w:val="0"/>
                <w:szCs w:val="21"/>
              </w:rPr>
            </w:pPr>
            <w:r>
              <w:rPr>
                <w:color w:val="000000"/>
                <w:kern w:val="0"/>
                <w:sz w:val="22"/>
                <w:szCs w:val="22"/>
              </w:rPr>
              <w:t>126</w:t>
            </w:r>
          </w:p>
        </w:tc>
        <w:tc>
          <w:tcPr>
            <w:tcW w:w="609" w:type="pct"/>
            <w:noWrap/>
            <w:vAlign w:val="center"/>
          </w:tcPr>
          <w:p w14:paraId="7A7A2DD1">
            <w:pPr>
              <w:widowControl/>
              <w:adjustRightInd w:val="0"/>
              <w:snapToGrid w:val="0"/>
              <w:spacing w:before="0" w:beforeLines="0" w:line="240" w:lineRule="auto"/>
              <w:jc w:val="center"/>
              <w:rPr>
                <w:kern w:val="0"/>
                <w:szCs w:val="21"/>
              </w:rPr>
            </w:pPr>
            <w:r>
              <w:rPr>
                <w:color w:val="000000"/>
                <w:kern w:val="0"/>
                <w:sz w:val="22"/>
                <w:szCs w:val="22"/>
              </w:rPr>
              <w:t>130.7177</w:t>
            </w:r>
          </w:p>
        </w:tc>
        <w:tc>
          <w:tcPr>
            <w:tcW w:w="407" w:type="pct"/>
            <w:noWrap/>
            <w:vAlign w:val="center"/>
          </w:tcPr>
          <w:p w14:paraId="3C3C9D58">
            <w:pPr>
              <w:widowControl/>
              <w:adjustRightInd w:val="0"/>
              <w:snapToGrid w:val="0"/>
              <w:spacing w:before="0" w:beforeLines="0" w:line="240" w:lineRule="auto"/>
              <w:jc w:val="center"/>
              <w:rPr>
                <w:kern w:val="0"/>
                <w:szCs w:val="21"/>
              </w:rPr>
            </w:pPr>
            <w:r>
              <w:rPr>
                <w:color w:val="000000"/>
                <w:kern w:val="0"/>
                <w:sz w:val="22"/>
                <w:szCs w:val="22"/>
              </w:rPr>
              <w:t>300</w:t>
            </w:r>
          </w:p>
        </w:tc>
        <w:tc>
          <w:tcPr>
            <w:tcW w:w="469" w:type="pct"/>
            <w:noWrap/>
            <w:vAlign w:val="center"/>
          </w:tcPr>
          <w:p w14:paraId="7C6CFA87">
            <w:pPr>
              <w:widowControl/>
              <w:adjustRightInd w:val="0"/>
              <w:snapToGrid w:val="0"/>
              <w:spacing w:before="0" w:beforeLines="0" w:line="240" w:lineRule="auto"/>
              <w:jc w:val="center"/>
              <w:rPr>
                <w:kern w:val="0"/>
                <w:szCs w:val="21"/>
              </w:rPr>
            </w:pPr>
            <w:r>
              <w:rPr>
                <w:color w:val="000000"/>
                <w:kern w:val="0"/>
                <w:sz w:val="22"/>
                <w:szCs w:val="22"/>
              </w:rPr>
              <w:t>43.57</w:t>
            </w:r>
          </w:p>
        </w:tc>
        <w:tc>
          <w:tcPr>
            <w:tcW w:w="265" w:type="pct"/>
            <w:noWrap/>
          </w:tcPr>
          <w:p w14:paraId="7BD40AC5">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tr w14:paraId="4BEF57C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14:paraId="030D8FC4">
            <w:pPr>
              <w:widowControl/>
              <w:adjustRightInd w:val="0"/>
              <w:snapToGrid w:val="0"/>
              <w:spacing w:before="0" w:beforeLines="0" w:line="240" w:lineRule="auto"/>
              <w:jc w:val="center"/>
              <w:rPr>
                <w:kern w:val="0"/>
                <w:szCs w:val="21"/>
              </w:rPr>
            </w:pPr>
            <w:r>
              <w:rPr>
                <w:rFonts w:hint="eastAsia"/>
                <w:kern w:val="0"/>
                <w:szCs w:val="21"/>
              </w:rPr>
              <w:t>5</w:t>
            </w:r>
          </w:p>
        </w:tc>
        <w:tc>
          <w:tcPr>
            <w:tcW w:w="489" w:type="pct"/>
            <w:noWrap/>
            <w:vAlign w:val="center"/>
          </w:tcPr>
          <w:p w14:paraId="3A5112CB">
            <w:pPr>
              <w:widowControl/>
              <w:adjustRightInd w:val="0"/>
              <w:snapToGrid w:val="0"/>
              <w:spacing w:before="0" w:beforeLines="0" w:line="240" w:lineRule="auto"/>
              <w:jc w:val="center"/>
              <w:rPr>
                <w:kern w:val="0"/>
                <w:szCs w:val="21"/>
              </w:rPr>
            </w:pPr>
            <w:r>
              <w:rPr>
                <w:rFonts w:hint="eastAsia"/>
                <w:kern w:val="0"/>
                <w:szCs w:val="21"/>
              </w:rPr>
              <w:t>邵家窝堡</w:t>
            </w:r>
          </w:p>
        </w:tc>
        <w:tc>
          <w:tcPr>
            <w:tcW w:w="560" w:type="pct"/>
            <w:noWrap/>
            <w:vAlign w:val="center"/>
          </w:tcPr>
          <w:p w14:paraId="534ABF41">
            <w:pPr>
              <w:widowControl/>
              <w:adjustRightInd w:val="0"/>
              <w:snapToGrid w:val="0"/>
              <w:spacing w:before="0" w:beforeLines="0" w:line="240" w:lineRule="auto"/>
              <w:jc w:val="center"/>
              <w:rPr>
                <w:kern w:val="0"/>
                <w:szCs w:val="21"/>
              </w:rPr>
            </w:pPr>
            <w:r>
              <w:rPr>
                <w:rFonts w:hint="eastAsia"/>
                <w:kern w:val="0"/>
                <w:szCs w:val="21"/>
              </w:rPr>
              <w:t>760，1865</w:t>
            </w:r>
          </w:p>
        </w:tc>
        <w:tc>
          <w:tcPr>
            <w:tcW w:w="354" w:type="pct"/>
            <w:noWrap/>
            <w:vAlign w:val="center"/>
          </w:tcPr>
          <w:p w14:paraId="7597F25B">
            <w:pPr>
              <w:widowControl/>
              <w:adjustRightInd w:val="0"/>
              <w:snapToGrid w:val="0"/>
              <w:spacing w:before="0" w:beforeLines="0" w:line="240" w:lineRule="auto"/>
              <w:jc w:val="center"/>
              <w:rPr>
                <w:kern w:val="0"/>
                <w:szCs w:val="21"/>
              </w:rPr>
            </w:pPr>
            <w:r>
              <w:rPr>
                <w:rFonts w:hint="eastAsia"/>
                <w:kern w:val="0"/>
                <w:szCs w:val="21"/>
              </w:rPr>
              <w:t>257.54</w:t>
            </w:r>
          </w:p>
        </w:tc>
        <w:tc>
          <w:tcPr>
            <w:tcW w:w="355" w:type="pct"/>
            <w:noWrap/>
            <w:vAlign w:val="center"/>
          </w:tcPr>
          <w:p w14:paraId="613993C7">
            <w:pPr>
              <w:widowControl/>
              <w:adjustRightInd w:val="0"/>
              <w:snapToGrid w:val="0"/>
              <w:spacing w:before="0" w:beforeLines="0" w:line="240" w:lineRule="auto"/>
              <w:jc w:val="center"/>
              <w:rPr>
                <w:kern w:val="0"/>
                <w:szCs w:val="21"/>
              </w:rPr>
            </w:pPr>
            <w:r>
              <w:rPr>
                <w:rFonts w:hint="eastAsia"/>
                <w:kern w:val="0"/>
                <w:szCs w:val="21"/>
              </w:rPr>
              <w:t>日平均</w:t>
            </w:r>
          </w:p>
        </w:tc>
        <w:tc>
          <w:tcPr>
            <w:tcW w:w="399" w:type="pct"/>
            <w:noWrap/>
            <w:vAlign w:val="center"/>
          </w:tcPr>
          <w:p w14:paraId="78E729E8">
            <w:pPr>
              <w:widowControl/>
              <w:adjustRightInd w:val="0"/>
              <w:snapToGrid w:val="0"/>
              <w:spacing w:before="0" w:beforeLines="0" w:line="240" w:lineRule="auto"/>
              <w:jc w:val="center"/>
              <w:rPr>
                <w:kern w:val="0"/>
                <w:szCs w:val="21"/>
              </w:rPr>
            </w:pPr>
            <w:r>
              <w:rPr>
                <w:color w:val="000000"/>
                <w:kern w:val="0"/>
                <w:sz w:val="22"/>
                <w:szCs w:val="22"/>
              </w:rPr>
              <w:t>4.8579</w:t>
            </w:r>
          </w:p>
        </w:tc>
        <w:tc>
          <w:tcPr>
            <w:tcW w:w="465" w:type="pct"/>
            <w:noWrap/>
            <w:vAlign w:val="center"/>
          </w:tcPr>
          <w:p w14:paraId="573FA9B5">
            <w:pPr>
              <w:widowControl/>
              <w:adjustRightInd w:val="0"/>
              <w:snapToGrid w:val="0"/>
              <w:spacing w:before="0" w:beforeLines="0" w:line="240" w:lineRule="auto"/>
              <w:jc w:val="center"/>
              <w:rPr>
                <w:kern w:val="0"/>
                <w:szCs w:val="21"/>
              </w:rPr>
            </w:pPr>
            <w:r>
              <w:rPr>
                <w:color w:val="000000"/>
                <w:kern w:val="0"/>
                <w:sz w:val="22"/>
                <w:szCs w:val="22"/>
              </w:rPr>
              <w:t>251117</w:t>
            </w:r>
          </w:p>
        </w:tc>
        <w:tc>
          <w:tcPr>
            <w:tcW w:w="458" w:type="pct"/>
            <w:noWrap/>
            <w:vAlign w:val="center"/>
          </w:tcPr>
          <w:p w14:paraId="405E6B7B">
            <w:pPr>
              <w:widowControl/>
              <w:adjustRightInd w:val="0"/>
              <w:snapToGrid w:val="0"/>
              <w:spacing w:before="0" w:beforeLines="0" w:line="240" w:lineRule="auto"/>
              <w:jc w:val="center"/>
              <w:rPr>
                <w:kern w:val="0"/>
                <w:szCs w:val="21"/>
              </w:rPr>
            </w:pPr>
            <w:r>
              <w:rPr>
                <w:color w:val="000000"/>
                <w:kern w:val="0"/>
                <w:sz w:val="22"/>
                <w:szCs w:val="22"/>
              </w:rPr>
              <w:t>126</w:t>
            </w:r>
          </w:p>
        </w:tc>
        <w:tc>
          <w:tcPr>
            <w:tcW w:w="609" w:type="pct"/>
            <w:noWrap/>
            <w:vAlign w:val="center"/>
          </w:tcPr>
          <w:p w14:paraId="014E28A7">
            <w:pPr>
              <w:widowControl/>
              <w:adjustRightInd w:val="0"/>
              <w:snapToGrid w:val="0"/>
              <w:spacing w:before="0" w:beforeLines="0" w:line="240" w:lineRule="auto"/>
              <w:jc w:val="center"/>
              <w:rPr>
                <w:kern w:val="0"/>
                <w:szCs w:val="21"/>
              </w:rPr>
            </w:pPr>
            <w:r>
              <w:rPr>
                <w:color w:val="000000"/>
                <w:kern w:val="0"/>
                <w:sz w:val="22"/>
                <w:szCs w:val="22"/>
              </w:rPr>
              <w:t>130.8579</w:t>
            </w:r>
          </w:p>
        </w:tc>
        <w:tc>
          <w:tcPr>
            <w:tcW w:w="407" w:type="pct"/>
            <w:noWrap/>
            <w:vAlign w:val="center"/>
          </w:tcPr>
          <w:p w14:paraId="2E7A2F6A">
            <w:pPr>
              <w:widowControl/>
              <w:adjustRightInd w:val="0"/>
              <w:snapToGrid w:val="0"/>
              <w:spacing w:before="0" w:beforeLines="0" w:line="240" w:lineRule="auto"/>
              <w:jc w:val="center"/>
              <w:rPr>
                <w:kern w:val="0"/>
                <w:szCs w:val="21"/>
              </w:rPr>
            </w:pPr>
            <w:r>
              <w:rPr>
                <w:color w:val="000000"/>
                <w:kern w:val="0"/>
                <w:sz w:val="22"/>
                <w:szCs w:val="22"/>
              </w:rPr>
              <w:t>300</w:t>
            </w:r>
          </w:p>
        </w:tc>
        <w:tc>
          <w:tcPr>
            <w:tcW w:w="469" w:type="pct"/>
            <w:noWrap/>
            <w:vAlign w:val="center"/>
          </w:tcPr>
          <w:p w14:paraId="2079B773">
            <w:pPr>
              <w:widowControl/>
              <w:adjustRightInd w:val="0"/>
              <w:snapToGrid w:val="0"/>
              <w:spacing w:before="0" w:beforeLines="0" w:line="240" w:lineRule="auto"/>
              <w:jc w:val="center"/>
              <w:rPr>
                <w:kern w:val="0"/>
                <w:szCs w:val="21"/>
              </w:rPr>
            </w:pPr>
            <w:r>
              <w:rPr>
                <w:color w:val="000000"/>
                <w:kern w:val="0"/>
                <w:sz w:val="22"/>
                <w:szCs w:val="22"/>
              </w:rPr>
              <w:t>43.62</w:t>
            </w:r>
          </w:p>
        </w:tc>
        <w:tc>
          <w:tcPr>
            <w:tcW w:w="265" w:type="pct"/>
            <w:noWrap/>
          </w:tcPr>
          <w:p w14:paraId="787F6FC2">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tr w14:paraId="579D4E1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14:paraId="38075DE9">
            <w:pPr>
              <w:widowControl/>
              <w:adjustRightInd w:val="0"/>
              <w:snapToGrid w:val="0"/>
              <w:spacing w:before="0" w:beforeLines="0" w:line="240" w:lineRule="auto"/>
              <w:jc w:val="center"/>
              <w:rPr>
                <w:kern w:val="0"/>
                <w:szCs w:val="21"/>
              </w:rPr>
            </w:pPr>
            <w:r>
              <w:rPr>
                <w:rFonts w:hint="eastAsia"/>
                <w:kern w:val="0"/>
                <w:szCs w:val="21"/>
              </w:rPr>
              <w:t>6</w:t>
            </w:r>
          </w:p>
        </w:tc>
        <w:tc>
          <w:tcPr>
            <w:tcW w:w="489" w:type="pct"/>
            <w:noWrap/>
            <w:vAlign w:val="center"/>
          </w:tcPr>
          <w:p w14:paraId="0DAA8DB6">
            <w:pPr>
              <w:widowControl/>
              <w:adjustRightInd w:val="0"/>
              <w:snapToGrid w:val="0"/>
              <w:spacing w:before="0" w:beforeLines="0" w:line="240" w:lineRule="auto"/>
              <w:jc w:val="center"/>
              <w:rPr>
                <w:kern w:val="0"/>
                <w:szCs w:val="21"/>
              </w:rPr>
            </w:pPr>
            <w:r>
              <w:rPr>
                <w:rFonts w:hint="eastAsia"/>
                <w:kern w:val="0"/>
                <w:szCs w:val="21"/>
              </w:rPr>
              <w:t>满汉营子</w:t>
            </w:r>
          </w:p>
        </w:tc>
        <w:tc>
          <w:tcPr>
            <w:tcW w:w="560" w:type="pct"/>
            <w:noWrap/>
            <w:vAlign w:val="center"/>
          </w:tcPr>
          <w:p w14:paraId="630B3F54">
            <w:pPr>
              <w:widowControl/>
              <w:adjustRightInd w:val="0"/>
              <w:snapToGrid w:val="0"/>
              <w:spacing w:before="0" w:beforeLines="0" w:line="240" w:lineRule="auto"/>
              <w:jc w:val="center"/>
              <w:rPr>
                <w:kern w:val="0"/>
                <w:szCs w:val="21"/>
              </w:rPr>
            </w:pPr>
            <w:r>
              <w:rPr>
                <w:rFonts w:hint="eastAsia"/>
                <w:kern w:val="0"/>
                <w:szCs w:val="21"/>
              </w:rPr>
              <w:t>2366，1019</w:t>
            </w:r>
          </w:p>
        </w:tc>
        <w:tc>
          <w:tcPr>
            <w:tcW w:w="354" w:type="pct"/>
            <w:noWrap/>
            <w:vAlign w:val="center"/>
          </w:tcPr>
          <w:p w14:paraId="41896CE8">
            <w:pPr>
              <w:widowControl/>
              <w:adjustRightInd w:val="0"/>
              <w:snapToGrid w:val="0"/>
              <w:spacing w:before="0" w:beforeLines="0" w:line="240" w:lineRule="auto"/>
              <w:jc w:val="center"/>
              <w:rPr>
                <w:kern w:val="0"/>
                <w:szCs w:val="21"/>
              </w:rPr>
            </w:pPr>
            <w:r>
              <w:rPr>
                <w:rFonts w:hint="eastAsia"/>
                <w:kern w:val="0"/>
                <w:szCs w:val="21"/>
              </w:rPr>
              <w:t>262.39</w:t>
            </w:r>
          </w:p>
        </w:tc>
        <w:tc>
          <w:tcPr>
            <w:tcW w:w="355" w:type="pct"/>
            <w:noWrap/>
            <w:vAlign w:val="center"/>
          </w:tcPr>
          <w:p w14:paraId="5023CFA1">
            <w:pPr>
              <w:widowControl/>
              <w:adjustRightInd w:val="0"/>
              <w:snapToGrid w:val="0"/>
              <w:spacing w:before="0" w:beforeLines="0" w:line="240" w:lineRule="auto"/>
              <w:jc w:val="center"/>
              <w:rPr>
                <w:kern w:val="0"/>
                <w:szCs w:val="21"/>
              </w:rPr>
            </w:pPr>
            <w:r>
              <w:rPr>
                <w:rFonts w:hint="eastAsia"/>
                <w:kern w:val="0"/>
                <w:szCs w:val="21"/>
              </w:rPr>
              <w:t>日平均</w:t>
            </w:r>
          </w:p>
        </w:tc>
        <w:tc>
          <w:tcPr>
            <w:tcW w:w="399" w:type="pct"/>
            <w:noWrap/>
            <w:vAlign w:val="center"/>
          </w:tcPr>
          <w:p w14:paraId="08E13B0B">
            <w:pPr>
              <w:widowControl/>
              <w:adjustRightInd w:val="0"/>
              <w:snapToGrid w:val="0"/>
              <w:spacing w:before="0" w:beforeLines="0" w:line="240" w:lineRule="auto"/>
              <w:jc w:val="center"/>
              <w:rPr>
                <w:kern w:val="0"/>
                <w:szCs w:val="21"/>
              </w:rPr>
            </w:pPr>
            <w:r>
              <w:rPr>
                <w:color w:val="000000"/>
                <w:kern w:val="0"/>
                <w:sz w:val="22"/>
                <w:szCs w:val="22"/>
              </w:rPr>
              <w:t>4.6222</w:t>
            </w:r>
          </w:p>
        </w:tc>
        <w:tc>
          <w:tcPr>
            <w:tcW w:w="465" w:type="pct"/>
            <w:noWrap/>
            <w:vAlign w:val="center"/>
          </w:tcPr>
          <w:p w14:paraId="43A2C985">
            <w:pPr>
              <w:widowControl/>
              <w:adjustRightInd w:val="0"/>
              <w:snapToGrid w:val="0"/>
              <w:spacing w:before="0" w:beforeLines="0" w:line="240" w:lineRule="auto"/>
              <w:jc w:val="center"/>
              <w:rPr>
                <w:kern w:val="0"/>
                <w:szCs w:val="21"/>
              </w:rPr>
            </w:pPr>
            <w:r>
              <w:rPr>
                <w:color w:val="000000"/>
                <w:kern w:val="0"/>
                <w:sz w:val="22"/>
                <w:szCs w:val="22"/>
              </w:rPr>
              <w:t>251125</w:t>
            </w:r>
          </w:p>
        </w:tc>
        <w:tc>
          <w:tcPr>
            <w:tcW w:w="458" w:type="pct"/>
            <w:noWrap/>
            <w:vAlign w:val="center"/>
          </w:tcPr>
          <w:p w14:paraId="5719D9D1">
            <w:pPr>
              <w:widowControl/>
              <w:adjustRightInd w:val="0"/>
              <w:snapToGrid w:val="0"/>
              <w:spacing w:before="0" w:beforeLines="0" w:line="240" w:lineRule="auto"/>
              <w:jc w:val="center"/>
              <w:rPr>
                <w:kern w:val="0"/>
                <w:szCs w:val="21"/>
              </w:rPr>
            </w:pPr>
            <w:r>
              <w:rPr>
                <w:color w:val="000000"/>
                <w:kern w:val="0"/>
                <w:sz w:val="22"/>
                <w:szCs w:val="22"/>
              </w:rPr>
              <w:t>126</w:t>
            </w:r>
          </w:p>
        </w:tc>
        <w:tc>
          <w:tcPr>
            <w:tcW w:w="609" w:type="pct"/>
            <w:noWrap/>
            <w:vAlign w:val="center"/>
          </w:tcPr>
          <w:p w14:paraId="15C6135A">
            <w:pPr>
              <w:widowControl/>
              <w:adjustRightInd w:val="0"/>
              <w:snapToGrid w:val="0"/>
              <w:spacing w:before="0" w:beforeLines="0" w:line="240" w:lineRule="auto"/>
              <w:jc w:val="center"/>
              <w:rPr>
                <w:kern w:val="0"/>
                <w:szCs w:val="21"/>
              </w:rPr>
            </w:pPr>
            <w:r>
              <w:rPr>
                <w:color w:val="000000"/>
                <w:kern w:val="0"/>
                <w:sz w:val="22"/>
                <w:szCs w:val="22"/>
              </w:rPr>
              <w:t>130.6222</w:t>
            </w:r>
          </w:p>
        </w:tc>
        <w:tc>
          <w:tcPr>
            <w:tcW w:w="407" w:type="pct"/>
            <w:noWrap/>
            <w:vAlign w:val="center"/>
          </w:tcPr>
          <w:p w14:paraId="6AE110CD">
            <w:pPr>
              <w:widowControl/>
              <w:adjustRightInd w:val="0"/>
              <w:snapToGrid w:val="0"/>
              <w:spacing w:before="0" w:beforeLines="0" w:line="240" w:lineRule="auto"/>
              <w:jc w:val="center"/>
              <w:rPr>
                <w:kern w:val="0"/>
                <w:szCs w:val="21"/>
              </w:rPr>
            </w:pPr>
            <w:r>
              <w:rPr>
                <w:color w:val="000000"/>
                <w:kern w:val="0"/>
                <w:sz w:val="22"/>
                <w:szCs w:val="22"/>
              </w:rPr>
              <w:t>300</w:t>
            </w:r>
          </w:p>
        </w:tc>
        <w:tc>
          <w:tcPr>
            <w:tcW w:w="469" w:type="pct"/>
            <w:noWrap/>
            <w:vAlign w:val="center"/>
          </w:tcPr>
          <w:p w14:paraId="574E6FA6">
            <w:pPr>
              <w:widowControl/>
              <w:adjustRightInd w:val="0"/>
              <w:snapToGrid w:val="0"/>
              <w:spacing w:before="0" w:beforeLines="0" w:line="240" w:lineRule="auto"/>
              <w:jc w:val="center"/>
              <w:rPr>
                <w:kern w:val="0"/>
                <w:szCs w:val="21"/>
              </w:rPr>
            </w:pPr>
            <w:r>
              <w:rPr>
                <w:color w:val="000000"/>
                <w:kern w:val="0"/>
                <w:sz w:val="22"/>
                <w:szCs w:val="22"/>
              </w:rPr>
              <w:t>43.54</w:t>
            </w:r>
          </w:p>
        </w:tc>
        <w:tc>
          <w:tcPr>
            <w:tcW w:w="265" w:type="pct"/>
            <w:noWrap/>
          </w:tcPr>
          <w:p w14:paraId="771E11C9">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tr w14:paraId="46B1EE2A">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14:paraId="48C9D525">
            <w:pPr>
              <w:widowControl/>
              <w:adjustRightInd w:val="0"/>
              <w:snapToGrid w:val="0"/>
              <w:spacing w:before="0" w:beforeLines="0" w:line="240" w:lineRule="auto"/>
              <w:jc w:val="center"/>
              <w:rPr>
                <w:kern w:val="0"/>
                <w:szCs w:val="21"/>
              </w:rPr>
            </w:pPr>
            <w:r>
              <w:rPr>
                <w:rFonts w:hint="eastAsia"/>
                <w:kern w:val="0"/>
                <w:szCs w:val="21"/>
              </w:rPr>
              <w:t>7</w:t>
            </w:r>
          </w:p>
        </w:tc>
        <w:tc>
          <w:tcPr>
            <w:tcW w:w="489" w:type="pct"/>
            <w:noWrap/>
            <w:vAlign w:val="center"/>
          </w:tcPr>
          <w:p w14:paraId="0202D1E6">
            <w:pPr>
              <w:widowControl/>
              <w:adjustRightInd w:val="0"/>
              <w:snapToGrid w:val="0"/>
              <w:spacing w:before="0" w:beforeLines="0" w:line="240" w:lineRule="auto"/>
              <w:jc w:val="center"/>
              <w:rPr>
                <w:kern w:val="0"/>
                <w:szCs w:val="21"/>
              </w:rPr>
            </w:pPr>
            <w:r>
              <w:rPr>
                <w:rFonts w:hint="eastAsia"/>
                <w:kern w:val="0"/>
                <w:szCs w:val="21"/>
              </w:rPr>
              <w:t>郎家窝堡</w:t>
            </w:r>
          </w:p>
        </w:tc>
        <w:tc>
          <w:tcPr>
            <w:tcW w:w="560" w:type="pct"/>
            <w:noWrap/>
            <w:vAlign w:val="center"/>
          </w:tcPr>
          <w:p w14:paraId="413B15C8">
            <w:pPr>
              <w:widowControl/>
              <w:adjustRightInd w:val="0"/>
              <w:snapToGrid w:val="0"/>
              <w:spacing w:before="0" w:beforeLines="0" w:line="240" w:lineRule="auto"/>
              <w:jc w:val="center"/>
              <w:rPr>
                <w:kern w:val="0"/>
                <w:szCs w:val="21"/>
              </w:rPr>
            </w:pPr>
            <w:r>
              <w:rPr>
                <w:rFonts w:hint="eastAsia"/>
                <w:kern w:val="0"/>
                <w:szCs w:val="21"/>
              </w:rPr>
              <w:t>2451，2436</w:t>
            </w:r>
          </w:p>
        </w:tc>
        <w:tc>
          <w:tcPr>
            <w:tcW w:w="354" w:type="pct"/>
            <w:noWrap/>
            <w:vAlign w:val="center"/>
          </w:tcPr>
          <w:p w14:paraId="12BF8077">
            <w:pPr>
              <w:widowControl/>
              <w:adjustRightInd w:val="0"/>
              <w:snapToGrid w:val="0"/>
              <w:spacing w:before="0" w:beforeLines="0" w:line="240" w:lineRule="auto"/>
              <w:jc w:val="center"/>
              <w:rPr>
                <w:kern w:val="0"/>
                <w:szCs w:val="21"/>
              </w:rPr>
            </w:pPr>
            <w:r>
              <w:rPr>
                <w:rFonts w:hint="eastAsia"/>
                <w:kern w:val="0"/>
                <w:szCs w:val="21"/>
              </w:rPr>
              <w:t>278.19</w:t>
            </w:r>
          </w:p>
        </w:tc>
        <w:tc>
          <w:tcPr>
            <w:tcW w:w="355" w:type="pct"/>
            <w:noWrap/>
            <w:vAlign w:val="center"/>
          </w:tcPr>
          <w:p w14:paraId="57B00170">
            <w:pPr>
              <w:widowControl/>
              <w:adjustRightInd w:val="0"/>
              <w:snapToGrid w:val="0"/>
              <w:spacing w:before="0" w:beforeLines="0" w:line="240" w:lineRule="auto"/>
              <w:jc w:val="center"/>
              <w:rPr>
                <w:kern w:val="0"/>
                <w:szCs w:val="21"/>
              </w:rPr>
            </w:pPr>
            <w:r>
              <w:rPr>
                <w:rFonts w:hint="eastAsia"/>
                <w:kern w:val="0"/>
                <w:szCs w:val="21"/>
              </w:rPr>
              <w:t>日平均</w:t>
            </w:r>
          </w:p>
        </w:tc>
        <w:tc>
          <w:tcPr>
            <w:tcW w:w="399" w:type="pct"/>
            <w:noWrap/>
            <w:vAlign w:val="center"/>
          </w:tcPr>
          <w:p w14:paraId="163405F9">
            <w:pPr>
              <w:widowControl/>
              <w:adjustRightInd w:val="0"/>
              <w:snapToGrid w:val="0"/>
              <w:spacing w:before="0" w:beforeLines="0" w:line="240" w:lineRule="auto"/>
              <w:jc w:val="center"/>
              <w:rPr>
                <w:kern w:val="0"/>
                <w:szCs w:val="21"/>
              </w:rPr>
            </w:pPr>
            <w:r>
              <w:rPr>
                <w:color w:val="000000"/>
                <w:kern w:val="0"/>
                <w:sz w:val="22"/>
                <w:szCs w:val="22"/>
              </w:rPr>
              <w:t>2.354</w:t>
            </w:r>
          </w:p>
        </w:tc>
        <w:tc>
          <w:tcPr>
            <w:tcW w:w="465" w:type="pct"/>
            <w:noWrap/>
            <w:vAlign w:val="center"/>
          </w:tcPr>
          <w:p w14:paraId="64D5E497">
            <w:pPr>
              <w:widowControl/>
              <w:adjustRightInd w:val="0"/>
              <w:snapToGrid w:val="0"/>
              <w:spacing w:before="0" w:beforeLines="0" w:line="240" w:lineRule="auto"/>
              <w:jc w:val="center"/>
              <w:rPr>
                <w:kern w:val="0"/>
                <w:szCs w:val="21"/>
              </w:rPr>
            </w:pPr>
            <w:r>
              <w:rPr>
                <w:color w:val="000000"/>
                <w:kern w:val="0"/>
                <w:sz w:val="22"/>
                <w:szCs w:val="22"/>
              </w:rPr>
              <w:t>251211</w:t>
            </w:r>
          </w:p>
        </w:tc>
        <w:tc>
          <w:tcPr>
            <w:tcW w:w="458" w:type="pct"/>
            <w:noWrap/>
            <w:vAlign w:val="center"/>
          </w:tcPr>
          <w:p w14:paraId="7CAF6B77">
            <w:pPr>
              <w:widowControl/>
              <w:adjustRightInd w:val="0"/>
              <w:snapToGrid w:val="0"/>
              <w:spacing w:before="0" w:beforeLines="0" w:line="240" w:lineRule="auto"/>
              <w:jc w:val="center"/>
              <w:rPr>
                <w:kern w:val="0"/>
                <w:szCs w:val="21"/>
              </w:rPr>
            </w:pPr>
            <w:r>
              <w:rPr>
                <w:color w:val="000000"/>
                <w:kern w:val="0"/>
                <w:sz w:val="22"/>
                <w:szCs w:val="22"/>
              </w:rPr>
              <w:t>126</w:t>
            </w:r>
          </w:p>
        </w:tc>
        <w:tc>
          <w:tcPr>
            <w:tcW w:w="609" w:type="pct"/>
            <w:noWrap/>
            <w:vAlign w:val="center"/>
          </w:tcPr>
          <w:p w14:paraId="70BAA2AC">
            <w:pPr>
              <w:widowControl/>
              <w:adjustRightInd w:val="0"/>
              <w:snapToGrid w:val="0"/>
              <w:spacing w:before="0" w:beforeLines="0" w:line="240" w:lineRule="auto"/>
              <w:jc w:val="center"/>
              <w:rPr>
                <w:kern w:val="0"/>
                <w:szCs w:val="21"/>
              </w:rPr>
            </w:pPr>
            <w:r>
              <w:rPr>
                <w:color w:val="000000"/>
                <w:kern w:val="0"/>
                <w:sz w:val="22"/>
                <w:szCs w:val="22"/>
              </w:rPr>
              <w:t>128.354</w:t>
            </w:r>
          </w:p>
        </w:tc>
        <w:tc>
          <w:tcPr>
            <w:tcW w:w="407" w:type="pct"/>
            <w:noWrap/>
            <w:vAlign w:val="center"/>
          </w:tcPr>
          <w:p w14:paraId="42FF96CC">
            <w:pPr>
              <w:widowControl/>
              <w:adjustRightInd w:val="0"/>
              <w:snapToGrid w:val="0"/>
              <w:spacing w:before="0" w:beforeLines="0" w:line="240" w:lineRule="auto"/>
              <w:jc w:val="center"/>
              <w:rPr>
                <w:kern w:val="0"/>
                <w:szCs w:val="21"/>
              </w:rPr>
            </w:pPr>
            <w:r>
              <w:rPr>
                <w:color w:val="000000"/>
                <w:kern w:val="0"/>
                <w:sz w:val="22"/>
                <w:szCs w:val="22"/>
              </w:rPr>
              <w:t>300</w:t>
            </w:r>
          </w:p>
        </w:tc>
        <w:tc>
          <w:tcPr>
            <w:tcW w:w="469" w:type="pct"/>
            <w:noWrap/>
            <w:vAlign w:val="center"/>
          </w:tcPr>
          <w:p w14:paraId="6248E2C1">
            <w:pPr>
              <w:widowControl/>
              <w:adjustRightInd w:val="0"/>
              <w:snapToGrid w:val="0"/>
              <w:spacing w:before="0" w:beforeLines="0" w:line="240" w:lineRule="auto"/>
              <w:jc w:val="center"/>
              <w:rPr>
                <w:kern w:val="0"/>
                <w:szCs w:val="21"/>
              </w:rPr>
            </w:pPr>
            <w:r>
              <w:rPr>
                <w:color w:val="000000"/>
                <w:kern w:val="0"/>
                <w:sz w:val="22"/>
                <w:szCs w:val="22"/>
              </w:rPr>
              <w:t>42.78</w:t>
            </w:r>
          </w:p>
        </w:tc>
        <w:tc>
          <w:tcPr>
            <w:tcW w:w="265" w:type="pct"/>
            <w:noWrap/>
          </w:tcPr>
          <w:p w14:paraId="212FED5E">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tr w14:paraId="70F103F4">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14:paraId="330A91E2">
            <w:pPr>
              <w:widowControl/>
              <w:adjustRightInd w:val="0"/>
              <w:snapToGrid w:val="0"/>
              <w:spacing w:before="0" w:beforeLines="0" w:line="240" w:lineRule="auto"/>
              <w:jc w:val="center"/>
              <w:rPr>
                <w:kern w:val="0"/>
                <w:szCs w:val="21"/>
              </w:rPr>
            </w:pPr>
            <w:r>
              <w:rPr>
                <w:rFonts w:hint="eastAsia"/>
                <w:kern w:val="0"/>
                <w:szCs w:val="21"/>
              </w:rPr>
              <w:t>8</w:t>
            </w:r>
          </w:p>
        </w:tc>
        <w:tc>
          <w:tcPr>
            <w:tcW w:w="489" w:type="pct"/>
            <w:noWrap/>
            <w:vAlign w:val="center"/>
          </w:tcPr>
          <w:p w14:paraId="378B4FA9">
            <w:pPr>
              <w:widowControl/>
              <w:adjustRightInd w:val="0"/>
              <w:snapToGrid w:val="0"/>
              <w:spacing w:before="0" w:beforeLines="0" w:line="240" w:lineRule="auto"/>
              <w:jc w:val="center"/>
              <w:rPr>
                <w:kern w:val="0"/>
                <w:szCs w:val="21"/>
              </w:rPr>
            </w:pPr>
            <w:r>
              <w:rPr>
                <w:rFonts w:hint="eastAsia"/>
                <w:kern w:val="0"/>
                <w:szCs w:val="21"/>
              </w:rPr>
              <w:t>那四板营子</w:t>
            </w:r>
          </w:p>
        </w:tc>
        <w:tc>
          <w:tcPr>
            <w:tcW w:w="560" w:type="pct"/>
            <w:noWrap/>
            <w:vAlign w:val="center"/>
          </w:tcPr>
          <w:p w14:paraId="767BE7F3">
            <w:pPr>
              <w:widowControl/>
              <w:adjustRightInd w:val="0"/>
              <w:snapToGrid w:val="0"/>
              <w:spacing w:before="0" w:beforeLines="0" w:line="240" w:lineRule="auto"/>
              <w:jc w:val="center"/>
              <w:rPr>
                <w:kern w:val="0"/>
                <w:szCs w:val="21"/>
              </w:rPr>
            </w:pPr>
            <w:r>
              <w:rPr>
                <w:rFonts w:hint="eastAsia"/>
                <w:kern w:val="0"/>
                <w:szCs w:val="21"/>
              </w:rPr>
              <w:t>1704,-1626</w:t>
            </w:r>
          </w:p>
        </w:tc>
        <w:tc>
          <w:tcPr>
            <w:tcW w:w="354" w:type="pct"/>
            <w:noWrap/>
            <w:vAlign w:val="center"/>
          </w:tcPr>
          <w:p w14:paraId="0A7E4227">
            <w:pPr>
              <w:widowControl/>
              <w:adjustRightInd w:val="0"/>
              <w:snapToGrid w:val="0"/>
              <w:spacing w:before="0" w:beforeLines="0" w:line="240" w:lineRule="auto"/>
              <w:jc w:val="center"/>
              <w:rPr>
                <w:kern w:val="0"/>
                <w:szCs w:val="21"/>
              </w:rPr>
            </w:pPr>
            <w:r>
              <w:rPr>
                <w:rFonts w:hint="eastAsia"/>
                <w:kern w:val="0"/>
                <w:szCs w:val="21"/>
              </w:rPr>
              <w:t>282.04</w:t>
            </w:r>
          </w:p>
        </w:tc>
        <w:tc>
          <w:tcPr>
            <w:tcW w:w="355" w:type="pct"/>
            <w:noWrap/>
            <w:vAlign w:val="center"/>
          </w:tcPr>
          <w:p w14:paraId="28BC82CC">
            <w:pPr>
              <w:widowControl/>
              <w:adjustRightInd w:val="0"/>
              <w:snapToGrid w:val="0"/>
              <w:spacing w:before="0" w:beforeLines="0" w:line="240" w:lineRule="auto"/>
              <w:jc w:val="center"/>
              <w:rPr>
                <w:kern w:val="0"/>
                <w:szCs w:val="21"/>
              </w:rPr>
            </w:pPr>
            <w:r>
              <w:rPr>
                <w:rFonts w:hint="eastAsia"/>
                <w:kern w:val="0"/>
                <w:szCs w:val="21"/>
              </w:rPr>
              <w:t>日平均</w:t>
            </w:r>
          </w:p>
        </w:tc>
        <w:tc>
          <w:tcPr>
            <w:tcW w:w="399" w:type="pct"/>
            <w:noWrap/>
            <w:vAlign w:val="center"/>
          </w:tcPr>
          <w:p w14:paraId="62F2A187">
            <w:pPr>
              <w:widowControl/>
              <w:adjustRightInd w:val="0"/>
              <w:snapToGrid w:val="0"/>
              <w:spacing w:before="0" w:beforeLines="0" w:line="240" w:lineRule="auto"/>
              <w:jc w:val="center"/>
              <w:rPr>
                <w:kern w:val="0"/>
                <w:szCs w:val="21"/>
              </w:rPr>
            </w:pPr>
            <w:r>
              <w:rPr>
                <w:color w:val="000000"/>
                <w:kern w:val="0"/>
                <w:sz w:val="22"/>
                <w:szCs w:val="22"/>
              </w:rPr>
              <w:t>6.0637</w:t>
            </w:r>
          </w:p>
        </w:tc>
        <w:tc>
          <w:tcPr>
            <w:tcW w:w="465" w:type="pct"/>
            <w:noWrap/>
            <w:vAlign w:val="center"/>
          </w:tcPr>
          <w:p w14:paraId="112B9495">
            <w:pPr>
              <w:widowControl/>
              <w:adjustRightInd w:val="0"/>
              <w:snapToGrid w:val="0"/>
              <w:spacing w:before="0" w:beforeLines="0" w:line="240" w:lineRule="auto"/>
              <w:jc w:val="center"/>
              <w:rPr>
                <w:kern w:val="0"/>
                <w:szCs w:val="21"/>
              </w:rPr>
            </w:pPr>
            <w:r>
              <w:rPr>
                <w:color w:val="000000"/>
                <w:kern w:val="0"/>
                <w:sz w:val="22"/>
                <w:szCs w:val="22"/>
              </w:rPr>
              <w:t>250317</w:t>
            </w:r>
          </w:p>
        </w:tc>
        <w:tc>
          <w:tcPr>
            <w:tcW w:w="458" w:type="pct"/>
            <w:noWrap/>
            <w:vAlign w:val="center"/>
          </w:tcPr>
          <w:p w14:paraId="4FEFD81E">
            <w:pPr>
              <w:widowControl/>
              <w:adjustRightInd w:val="0"/>
              <w:snapToGrid w:val="0"/>
              <w:spacing w:before="0" w:beforeLines="0" w:line="240" w:lineRule="auto"/>
              <w:jc w:val="center"/>
              <w:rPr>
                <w:kern w:val="0"/>
                <w:szCs w:val="21"/>
              </w:rPr>
            </w:pPr>
            <w:r>
              <w:rPr>
                <w:color w:val="000000"/>
                <w:kern w:val="0"/>
                <w:sz w:val="22"/>
                <w:szCs w:val="22"/>
              </w:rPr>
              <w:t>126</w:t>
            </w:r>
          </w:p>
        </w:tc>
        <w:tc>
          <w:tcPr>
            <w:tcW w:w="609" w:type="pct"/>
            <w:noWrap/>
            <w:vAlign w:val="center"/>
          </w:tcPr>
          <w:p w14:paraId="3F42D562">
            <w:pPr>
              <w:widowControl/>
              <w:adjustRightInd w:val="0"/>
              <w:snapToGrid w:val="0"/>
              <w:spacing w:before="0" w:beforeLines="0" w:line="240" w:lineRule="auto"/>
              <w:jc w:val="center"/>
              <w:rPr>
                <w:kern w:val="0"/>
                <w:szCs w:val="21"/>
              </w:rPr>
            </w:pPr>
            <w:r>
              <w:rPr>
                <w:color w:val="000000"/>
                <w:kern w:val="0"/>
                <w:sz w:val="22"/>
                <w:szCs w:val="22"/>
              </w:rPr>
              <w:t>132.0637</w:t>
            </w:r>
          </w:p>
        </w:tc>
        <w:tc>
          <w:tcPr>
            <w:tcW w:w="407" w:type="pct"/>
            <w:noWrap/>
            <w:vAlign w:val="center"/>
          </w:tcPr>
          <w:p w14:paraId="0200EC51">
            <w:pPr>
              <w:widowControl/>
              <w:adjustRightInd w:val="0"/>
              <w:snapToGrid w:val="0"/>
              <w:spacing w:before="0" w:beforeLines="0" w:line="240" w:lineRule="auto"/>
              <w:jc w:val="center"/>
              <w:rPr>
                <w:kern w:val="0"/>
                <w:szCs w:val="21"/>
              </w:rPr>
            </w:pPr>
            <w:r>
              <w:rPr>
                <w:color w:val="000000"/>
                <w:kern w:val="0"/>
                <w:sz w:val="22"/>
                <w:szCs w:val="22"/>
              </w:rPr>
              <w:t>300</w:t>
            </w:r>
          </w:p>
        </w:tc>
        <w:tc>
          <w:tcPr>
            <w:tcW w:w="469" w:type="pct"/>
            <w:noWrap/>
            <w:vAlign w:val="center"/>
          </w:tcPr>
          <w:p w14:paraId="78769F7D">
            <w:pPr>
              <w:widowControl/>
              <w:adjustRightInd w:val="0"/>
              <w:snapToGrid w:val="0"/>
              <w:spacing w:before="0" w:beforeLines="0" w:line="240" w:lineRule="auto"/>
              <w:jc w:val="center"/>
              <w:rPr>
                <w:kern w:val="0"/>
                <w:szCs w:val="21"/>
              </w:rPr>
            </w:pPr>
            <w:r>
              <w:rPr>
                <w:color w:val="000000"/>
                <w:kern w:val="0"/>
                <w:sz w:val="22"/>
                <w:szCs w:val="22"/>
              </w:rPr>
              <w:t>44.02</w:t>
            </w:r>
          </w:p>
        </w:tc>
        <w:tc>
          <w:tcPr>
            <w:tcW w:w="265" w:type="pct"/>
            <w:noWrap/>
          </w:tcPr>
          <w:p w14:paraId="79D163DD">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tr w14:paraId="1245C740">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14:paraId="69318C6B">
            <w:pPr>
              <w:widowControl/>
              <w:adjustRightInd w:val="0"/>
              <w:snapToGrid w:val="0"/>
              <w:spacing w:before="0" w:beforeLines="0" w:line="240" w:lineRule="auto"/>
              <w:jc w:val="center"/>
              <w:rPr>
                <w:kern w:val="0"/>
                <w:szCs w:val="21"/>
              </w:rPr>
            </w:pPr>
            <w:r>
              <w:rPr>
                <w:rFonts w:hint="eastAsia"/>
                <w:kern w:val="0"/>
                <w:szCs w:val="21"/>
              </w:rPr>
              <w:t>9</w:t>
            </w:r>
          </w:p>
        </w:tc>
        <w:tc>
          <w:tcPr>
            <w:tcW w:w="489" w:type="pct"/>
            <w:noWrap/>
            <w:vAlign w:val="center"/>
          </w:tcPr>
          <w:p w14:paraId="2CE4CA8D">
            <w:pPr>
              <w:widowControl/>
              <w:adjustRightInd w:val="0"/>
              <w:snapToGrid w:val="0"/>
              <w:spacing w:before="0" w:beforeLines="0" w:line="240" w:lineRule="auto"/>
              <w:jc w:val="center"/>
              <w:rPr>
                <w:kern w:val="0"/>
                <w:szCs w:val="21"/>
              </w:rPr>
            </w:pPr>
            <w:r>
              <w:rPr>
                <w:rFonts w:hint="eastAsia"/>
                <w:kern w:val="0"/>
                <w:szCs w:val="21"/>
              </w:rPr>
              <w:t>四方庙子村</w:t>
            </w:r>
          </w:p>
        </w:tc>
        <w:tc>
          <w:tcPr>
            <w:tcW w:w="560" w:type="pct"/>
            <w:noWrap/>
            <w:vAlign w:val="center"/>
          </w:tcPr>
          <w:p w14:paraId="603B495B">
            <w:pPr>
              <w:widowControl/>
              <w:adjustRightInd w:val="0"/>
              <w:snapToGrid w:val="0"/>
              <w:spacing w:before="0" w:beforeLines="0" w:line="240" w:lineRule="auto"/>
              <w:jc w:val="center"/>
              <w:rPr>
                <w:kern w:val="0"/>
                <w:szCs w:val="21"/>
              </w:rPr>
            </w:pPr>
            <w:r>
              <w:rPr>
                <w:rFonts w:hint="eastAsia"/>
                <w:kern w:val="0"/>
                <w:szCs w:val="21"/>
              </w:rPr>
              <w:t>2408,-2472</w:t>
            </w:r>
          </w:p>
        </w:tc>
        <w:tc>
          <w:tcPr>
            <w:tcW w:w="354" w:type="pct"/>
            <w:noWrap/>
            <w:vAlign w:val="center"/>
          </w:tcPr>
          <w:p w14:paraId="5D7A027F">
            <w:pPr>
              <w:widowControl/>
              <w:adjustRightInd w:val="0"/>
              <w:snapToGrid w:val="0"/>
              <w:spacing w:before="0" w:beforeLines="0" w:line="240" w:lineRule="auto"/>
              <w:jc w:val="center"/>
              <w:rPr>
                <w:kern w:val="0"/>
                <w:szCs w:val="21"/>
              </w:rPr>
            </w:pPr>
            <w:r>
              <w:rPr>
                <w:rFonts w:hint="eastAsia"/>
                <w:kern w:val="0"/>
                <w:szCs w:val="21"/>
              </w:rPr>
              <w:t>289.69</w:t>
            </w:r>
          </w:p>
        </w:tc>
        <w:tc>
          <w:tcPr>
            <w:tcW w:w="355" w:type="pct"/>
            <w:noWrap/>
            <w:vAlign w:val="center"/>
          </w:tcPr>
          <w:p w14:paraId="2CBEA532">
            <w:pPr>
              <w:widowControl/>
              <w:adjustRightInd w:val="0"/>
              <w:snapToGrid w:val="0"/>
              <w:spacing w:before="0" w:beforeLines="0" w:line="240" w:lineRule="auto"/>
              <w:jc w:val="center"/>
              <w:rPr>
                <w:kern w:val="0"/>
                <w:szCs w:val="21"/>
              </w:rPr>
            </w:pPr>
            <w:r>
              <w:rPr>
                <w:rFonts w:hint="eastAsia"/>
                <w:kern w:val="0"/>
                <w:szCs w:val="21"/>
              </w:rPr>
              <w:t>日平均</w:t>
            </w:r>
          </w:p>
        </w:tc>
        <w:tc>
          <w:tcPr>
            <w:tcW w:w="399" w:type="pct"/>
            <w:noWrap/>
            <w:vAlign w:val="center"/>
          </w:tcPr>
          <w:p w14:paraId="28D42796">
            <w:pPr>
              <w:widowControl/>
              <w:adjustRightInd w:val="0"/>
              <w:snapToGrid w:val="0"/>
              <w:spacing w:before="0" w:beforeLines="0" w:line="240" w:lineRule="auto"/>
              <w:jc w:val="center"/>
              <w:rPr>
                <w:kern w:val="0"/>
                <w:szCs w:val="21"/>
              </w:rPr>
            </w:pPr>
            <w:r>
              <w:rPr>
                <w:color w:val="000000"/>
                <w:kern w:val="0"/>
                <w:sz w:val="22"/>
                <w:szCs w:val="22"/>
              </w:rPr>
              <w:t>3.7567</w:t>
            </w:r>
          </w:p>
        </w:tc>
        <w:tc>
          <w:tcPr>
            <w:tcW w:w="465" w:type="pct"/>
            <w:noWrap/>
            <w:vAlign w:val="center"/>
          </w:tcPr>
          <w:p w14:paraId="6DFF76B6">
            <w:pPr>
              <w:widowControl/>
              <w:adjustRightInd w:val="0"/>
              <w:snapToGrid w:val="0"/>
              <w:spacing w:before="0" w:beforeLines="0" w:line="240" w:lineRule="auto"/>
              <w:jc w:val="center"/>
              <w:rPr>
                <w:kern w:val="0"/>
                <w:szCs w:val="21"/>
              </w:rPr>
            </w:pPr>
            <w:r>
              <w:rPr>
                <w:color w:val="000000"/>
                <w:kern w:val="0"/>
                <w:sz w:val="22"/>
                <w:szCs w:val="22"/>
              </w:rPr>
              <w:t>250317</w:t>
            </w:r>
          </w:p>
        </w:tc>
        <w:tc>
          <w:tcPr>
            <w:tcW w:w="458" w:type="pct"/>
            <w:noWrap/>
            <w:vAlign w:val="center"/>
          </w:tcPr>
          <w:p w14:paraId="7C7A206B">
            <w:pPr>
              <w:widowControl/>
              <w:adjustRightInd w:val="0"/>
              <w:snapToGrid w:val="0"/>
              <w:spacing w:before="0" w:beforeLines="0" w:line="240" w:lineRule="auto"/>
              <w:jc w:val="center"/>
              <w:rPr>
                <w:kern w:val="0"/>
                <w:szCs w:val="21"/>
              </w:rPr>
            </w:pPr>
            <w:r>
              <w:rPr>
                <w:color w:val="000000"/>
                <w:kern w:val="0"/>
                <w:sz w:val="22"/>
                <w:szCs w:val="22"/>
              </w:rPr>
              <w:t>126</w:t>
            </w:r>
          </w:p>
        </w:tc>
        <w:tc>
          <w:tcPr>
            <w:tcW w:w="609" w:type="pct"/>
            <w:noWrap/>
            <w:vAlign w:val="center"/>
          </w:tcPr>
          <w:p w14:paraId="743AB642">
            <w:pPr>
              <w:widowControl/>
              <w:adjustRightInd w:val="0"/>
              <w:snapToGrid w:val="0"/>
              <w:spacing w:before="0" w:beforeLines="0" w:line="240" w:lineRule="auto"/>
              <w:jc w:val="center"/>
              <w:rPr>
                <w:kern w:val="0"/>
                <w:szCs w:val="21"/>
              </w:rPr>
            </w:pPr>
            <w:r>
              <w:rPr>
                <w:color w:val="000000"/>
                <w:kern w:val="0"/>
                <w:sz w:val="22"/>
                <w:szCs w:val="22"/>
              </w:rPr>
              <w:t>129.7567</w:t>
            </w:r>
          </w:p>
        </w:tc>
        <w:tc>
          <w:tcPr>
            <w:tcW w:w="407" w:type="pct"/>
            <w:noWrap/>
            <w:vAlign w:val="center"/>
          </w:tcPr>
          <w:p w14:paraId="0B6EF8E4">
            <w:pPr>
              <w:widowControl/>
              <w:adjustRightInd w:val="0"/>
              <w:snapToGrid w:val="0"/>
              <w:spacing w:before="0" w:beforeLines="0" w:line="240" w:lineRule="auto"/>
              <w:jc w:val="center"/>
              <w:rPr>
                <w:kern w:val="0"/>
                <w:szCs w:val="21"/>
              </w:rPr>
            </w:pPr>
            <w:r>
              <w:rPr>
                <w:color w:val="000000"/>
                <w:kern w:val="0"/>
                <w:sz w:val="22"/>
                <w:szCs w:val="22"/>
              </w:rPr>
              <w:t>300</w:t>
            </w:r>
          </w:p>
        </w:tc>
        <w:tc>
          <w:tcPr>
            <w:tcW w:w="469" w:type="pct"/>
            <w:noWrap/>
            <w:vAlign w:val="center"/>
          </w:tcPr>
          <w:p w14:paraId="3B4F007F">
            <w:pPr>
              <w:widowControl/>
              <w:adjustRightInd w:val="0"/>
              <w:snapToGrid w:val="0"/>
              <w:spacing w:before="0" w:beforeLines="0" w:line="240" w:lineRule="auto"/>
              <w:jc w:val="center"/>
              <w:rPr>
                <w:kern w:val="0"/>
                <w:szCs w:val="21"/>
              </w:rPr>
            </w:pPr>
            <w:r>
              <w:rPr>
                <w:color w:val="000000"/>
                <w:kern w:val="0"/>
                <w:sz w:val="22"/>
                <w:szCs w:val="22"/>
              </w:rPr>
              <w:t>43.25</w:t>
            </w:r>
          </w:p>
        </w:tc>
        <w:tc>
          <w:tcPr>
            <w:tcW w:w="265" w:type="pct"/>
            <w:noWrap/>
            <w:vAlign w:val="center"/>
          </w:tcPr>
          <w:p w14:paraId="60D2CE6B">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tr w14:paraId="0B20F98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14:paraId="19F996B4">
            <w:pPr>
              <w:widowControl/>
              <w:adjustRightInd w:val="0"/>
              <w:snapToGrid w:val="0"/>
              <w:spacing w:before="0" w:beforeLines="0" w:line="240" w:lineRule="auto"/>
              <w:jc w:val="center"/>
              <w:rPr>
                <w:kern w:val="0"/>
                <w:szCs w:val="21"/>
              </w:rPr>
            </w:pPr>
            <w:r>
              <w:rPr>
                <w:rFonts w:hint="eastAsia"/>
                <w:kern w:val="0"/>
                <w:szCs w:val="21"/>
              </w:rPr>
              <w:t>10</w:t>
            </w:r>
          </w:p>
        </w:tc>
        <w:tc>
          <w:tcPr>
            <w:tcW w:w="489" w:type="pct"/>
            <w:noWrap/>
            <w:vAlign w:val="center"/>
          </w:tcPr>
          <w:p w14:paraId="17173090">
            <w:pPr>
              <w:widowControl/>
              <w:adjustRightInd w:val="0"/>
              <w:snapToGrid w:val="0"/>
              <w:spacing w:before="0" w:beforeLines="0" w:line="240" w:lineRule="auto"/>
              <w:jc w:val="center"/>
              <w:rPr>
                <w:kern w:val="0"/>
                <w:szCs w:val="21"/>
              </w:rPr>
            </w:pPr>
            <w:r>
              <w:rPr>
                <w:rFonts w:hint="eastAsia"/>
                <w:kern w:val="0"/>
                <w:szCs w:val="21"/>
              </w:rPr>
              <w:t>胡家沟</w:t>
            </w:r>
          </w:p>
        </w:tc>
        <w:tc>
          <w:tcPr>
            <w:tcW w:w="560" w:type="pct"/>
            <w:noWrap/>
            <w:vAlign w:val="center"/>
          </w:tcPr>
          <w:p w14:paraId="6FAECE7D">
            <w:pPr>
              <w:widowControl/>
              <w:adjustRightInd w:val="0"/>
              <w:snapToGrid w:val="0"/>
              <w:spacing w:before="0" w:beforeLines="0" w:line="240" w:lineRule="auto"/>
              <w:jc w:val="center"/>
              <w:rPr>
                <w:kern w:val="0"/>
                <w:szCs w:val="21"/>
              </w:rPr>
            </w:pPr>
            <w:r>
              <w:rPr>
                <w:rFonts w:hint="eastAsia"/>
                <w:kern w:val="0"/>
                <w:szCs w:val="21"/>
              </w:rPr>
              <w:t>-232,-1675</w:t>
            </w:r>
          </w:p>
        </w:tc>
        <w:tc>
          <w:tcPr>
            <w:tcW w:w="354" w:type="pct"/>
            <w:noWrap/>
            <w:vAlign w:val="center"/>
          </w:tcPr>
          <w:p w14:paraId="20348ADF">
            <w:pPr>
              <w:widowControl/>
              <w:adjustRightInd w:val="0"/>
              <w:snapToGrid w:val="0"/>
              <w:spacing w:before="0" w:beforeLines="0" w:line="240" w:lineRule="auto"/>
              <w:jc w:val="center"/>
              <w:rPr>
                <w:kern w:val="0"/>
                <w:szCs w:val="21"/>
              </w:rPr>
            </w:pPr>
            <w:r>
              <w:rPr>
                <w:rFonts w:hint="eastAsia"/>
                <w:kern w:val="0"/>
                <w:szCs w:val="21"/>
              </w:rPr>
              <w:t>293.25</w:t>
            </w:r>
          </w:p>
        </w:tc>
        <w:tc>
          <w:tcPr>
            <w:tcW w:w="355" w:type="pct"/>
            <w:noWrap/>
            <w:vAlign w:val="center"/>
          </w:tcPr>
          <w:p w14:paraId="1AC0516D">
            <w:pPr>
              <w:widowControl/>
              <w:adjustRightInd w:val="0"/>
              <w:snapToGrid w:val="0"/>
              <w:spacing w:before="0" w:beforeLines="0" w:line="240" w:lineRule="auto"/>
              <w:jc w:val="center"/>
              <w:rPr>
                <w:kern w:val="0"/>
                <w:szCs w:val="21"/>
              </w:rPr>
            </w:pPr>
            <w:r>
              <w:rPr>
                <w:rFonts w:hint="eastAsia"/>
                <w:kern w:val="0"/>
                <w:szCs w:val="21"/>
              </w:rPr>
              <w:t>日平均</w:t>
            </w:r>
          </w:p>
        </w:tc>
        <w:tc>
          <w:tcPr>
            <w:tcW w:w="399" w:type="pct"/>
            <w:noWrap/>
            <w:vAlign w:val="center"/>
          </w:tcPr>
          <w:p w14:paraId="5F006FDA">
            <w:pPr>
              <w:widowControl/>
              <w:adjustRightInd w:val="0"/>
              <w:snapToGrid w:val="0"/>
              <w:spacing w:before="0" w:beforeLines="0" w:line="240" w:lineRule="auto"/>
              <w:jc w:val="center"/>
              <w:rPr>
                <w:kern w:val="0"/>
                <w:szCs w:val="21"/>
              </w:rPr>
            </w:pPr>
            <w:r>
              <w:rPr>
                <w:color w:val="000000"/>
                <w:kern w:val="0"/>
                <w:sz w:val="22"/>
                <w:szCs w:val="22"/>
              </w:rPr>
              <w:t>9.9801</w:t>
            </w:r>
          </w:p>
        </w:tc>
        <w:tc>
          <w:tcPr>
            <w:tcW w:w="465" w:type="pct"/>
            <w:noWrap/>
            <w:vAlign w:val="center"/>
          </w:tcPr>
          <w:p w14:paraId="2ECFF34F">
            <w:pPr>
              <w:widowControl/>
              <w:adjustRightInd w:val="0"/>
              <w:snapToGrid w:val="0"/>
              <w:spacing w:before="0" w:beforeLines="0" w:line="240" w:lineRule="auto"/>
              <w:jc w:val="center"/>
              <w:rPr>
                <w:kern w:val="0"/>
                <w:szCs w:val="21"/>
              </w:rPr>
            </w:pPr>
            <w:r>
              <w:rPr>
                <w:color w:val="000000"/>
                <w:kern w:val="0"/>
                <w:sz w:val="22"/>
                <w:szCs w:val="22"/>
              </w:rPr>
              <w:t>251118</w:t>
            </w:r>
          </w:p>
        </w:tc>
        <w:tc>
          <w:tcPr>
            <w:tcW w:w="458" w:type="pct"/>
            <w:noWrap/>
            <w:vAlign w:val="center"/>
          </w:tcPr>
          <w:p w14:paraId="7AB5F3DD">
            <w:pPr>
              <w:widowControl/>
              <w:adjustRightInd w:val="0"/>
              <w:snapToGrid w:val="0"/>
              <w:spacing w:before="0" w:beforeLines="0" w:line="240" w:lineRule="auto"/>
              <w:jc w:val="center"/>
              <w:rPr>
                <w:kern w:val="0"/>
                <w:szCs w:val="21"/>
              </w:rPr>
            </w:pPr>
            <w:r>
              <w:rPr>
                <w:color w:val="000000"/>
                <w:kern w:val="0"/>
                <w:sz w:val="22"/>
                <w:szCs w:val="22"/>
              </w:rPr>
              <w:t>126</w:t>
            </w:r>
          </w:p>
        </w:tc>
        <w:tc>
          <w:tcPr>
            <w:tcW w:w="609" w:type="pct"/>
            <w:noWrap/>
            <w:vAlign w:val="center"/>
          </w:tcPr>
          <w:p w14:paraId="31596125">
            <w:pPr>
              <w:widowControl/>
              <w:adjustRightInd w:val="0"/>
              <w:snapToGrid w:val="0"/>
              <w:spacing w:before="0" w:beforeLines="0" w:line="240" w:lineRule="auto"/>
              <w:jc w:val="center"/>
              <w:rPr>
                <w:kern w:val="0"/>
                <w:szCs w:val="21"/>
              </w:rPr>
            </w:pPr>
            <w:r>
              <w:rPr>
                <w:color w:val="000000"/>
                <w:kern w:val="0"/>
                <w:sz w:val="22"/>
                <w:szCs w:val="22"/>
              </w:rPr>
              <w:t>135.9801</w:t>
            </w:r>
          </w:p>
        </w:tc>
        <w:tc>
          <w:tcPr>
            <w:tcW w:w="407" w:type="pct"/>
            <w:noWrap/>
            <w:vAlign w:val="center"/>
          </w:tcPr>
          <w:p w14:paraId="4CF085A8">
            <w:pPr>
              <w:widowControl/>
              <w:adjustRightInd w:val="0"/>
              <w:snapToGrid w:val="0"/>
              <w:spacing w:before="0" w:beforeLines="0" w:line="240" w:lineRule="auto"/>
              <w:jc w:val="center"/>
              <w:rPr>
                <w:kern w:val="0"/>
                <w:szCs w:val="21"/>
              </w:rPr>
            </w:pPr>
            <w:r>
              <w:rPr>
                <w:color w:val="000000"/>
                <w:kern w:val="0"/>
                <w:sz w:val="22"/>
                <w:szCs w:val="22"/>
              </w:rPr>
              <w:t>300</w:t>
            </w:r>
          </w:p>
        </w:tc>
        <w:tc>
          <w:tcPr>
            <w:tcW w:w="469" w:type="pct"/>
            <w:noWrap/>
            <w:vAlign w:val="center"/>
          </w:tcPr>
          <w:p w14:paraId="4244673B">
            <w:pPr>
              <w:widowControl/>
              <w:adjustRightInd w:val="0"/>
              <w:snapToGrid w:val="0"/>
              <w:spacing w:before="0" w:beforeLines="0" w:line="240" w:lineRule="auto"/>
              <w:jc w:val="center"/>
              <w:rPr>
                <w:kern w:val="0"/>
                <w:szCs w:val="21"/>
              </w:rPr>
            </w:pPr>
            <w:r>
              <w:rPr>
                <w:color w:val="000000"/>
                <w:kern w:val="0"/>
                <w:sz w:val="22"/>
                <w:szCs w:val="22"/>
              </w:rPr>
              <w:t>45.33</w:t>
            </w:r>
          </w:p>
        </w:tc>
        <w:tc>
          <w:tcPr>
            <w:tcW w:w="265" w:type="pct"/>
            <w:noWrap/>
            <w:vAlign w:val="center"/>
          </w:tcPr>
          <w:p w14:paraId="55391D2C">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bookmarkEnd w:id="229"/>
      <w:tr w14:paraId="7CB0126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14:paraId="0B126487">
            <w:pPr>
              <w:widowControl/>
              <w:adjustRightInd w:val="0"/>
              <w:snapToGrid w:val="0"/>
              <w:spacing w:before="0" w:beforeLines="0" w:line="240" w:lineRule="auto"/>
              <w:jc w:val="center"/>
              <w:rPr>
                <w:kern w:val="0"/>
                <w:szCs w:val="21"/>
              </w:rPr>
            </w:pPr>
            <w:r>
              <w:rPr>
                <w:rFonts w:hint="eastAsia"/>
                <w:kern w:val="0"/>
                <w:szCs w:val="21"/>
              </w:rPr>
              <w:t>11</w:t>
            </w:r>
          </w:p>
        </w:tc>
        <w:tc>
          <w:tcPr>
            <w:tcW w:w="489" w:type="pct"/>
            <w:noWrap/>
            <w:vAlign w:val="center"/>
          </w:tcPr>
          <w:p w14:paraId="5BA73B66">
            <w:pPr>
              <w:widowControl/>
              <w:adjustRightInd w:val="0"/>
              <w:snapToGrid w:val="0"/>
              <w:spacing w:before="0" w:beforeLines="0" w:line="240" w:lineRule="auto"/>
              <w:jc w:val="center"/>
              <w:rPr>
                <w:kern w:val="0"/>
                <w:szCs w:val="21"/>
              </w:rPr>
            </w:pPr>
            <w:r>
              <w:rPr>
                <w:rFonts w:hint="eastAsia"/>
                <w:kern w:val="0"/>
                <w:szCs w:val="21"/>
              </w:rPr>
              <w:t>区域最大落地浓度点</w:t>
            </w:r>
          </w:p>
        </w:tc>
        <w:tc>
          <w:tcPr>
            <w:tcW w:w="560" w:type="pct"/>
            <w:noWrap/>
            <w:vAlign w:val="center"/>
          </w:tcPr>
          <w:p w14:paraId="399EA646">
            <w:pPr>
              <w:widowControl/>
              <w:adjustRightInd w:val="0"/>
              <w:snapToGrid w:val="0"/>
              <w:spacing w:before="0" w:beforeLines="0" w:line="240" w:lineRule="auto"/>
              <w:jc w:val="center"/>
              <w:rPr>
                <w:kern w:val="0"/>
                <w:szCs w:val="21"/>
              </w:rPr>
            </w:pPr>
            <w:r>
              <w:rPr>
                <w:rFonts w:hint="eastAsia"/>
                <w:kern w:val="0"/>
                <w:szCs w:val="21"/>
              </w:rPr>
              <w:t>100,100</w:t>
            </w:r>
          </w:p>
        </w:tc>
        <w:tc>
          <w:tcPr>
            <w:tcW w:w="354" w:type="pct"/>
            <w:noWrap/>
            <w:vAlign w:val="center"/>
          </w:tcPr>
          <w:p w14:paraId="165DACB1">
            <w:pPr>
              <w:widowControl/>
              <w:adjustRightInd w:val="0"/>
              <w:snapToGrid w:val="0"/>
              <w:spacing w:before="0" w:beforeLines="0" w:line="240" w:lineRule="auto"/>
              <w:jc w:val="center"/>
              <w:rPr>
                <w:kern w:val="0"/>
                <w:szCs w:val="21"/>
              </w:rPr>
            </w:pPr>
            <w:r>
              <w:rPr>
                <w:rFonts w:hint="eastAsia"/>
                <w:kern w:val="0"/>
                <w:szCs w:val="21"/>
              </w:rPr>
              <w:t>297.40</w:t>
            </w:r>
          </w:p>
        </w:tc>
        <w:tc>
          <w:tcPr>
            <w:tcW w:w="355" w:type="pct"/>
            <w:noWrap/>
            <w:vAlign w:val="center"/>
          </w:tcPr>
          <w:p w14:paraId="22B6ACF0">
            <w:pPr>
              <w:widowControl/>
              <w:adjustRightInd w:val="0"/>
              <w:snapToGrid w:val="0"/>
              <w:spacing w:before="0" w:beforeLines="0" w:line="240" w:lineRule="auto"/>
              <w:jc w:val="center"/>
              <w:rPr>
                <w:kern w:val="0"/>
                <w:szCs w:val="21"/>
              </w:rPr>
            </w:pPr>
            <w:r>
              <w:rPr>
                <w:rFonts w:hint="eastAsia"/>
                <w:kern w:val="0"/>
                <w:szCs w:val="21"/>
              </w:rPr>
              <w:t>日平均</w:t>
            </w:r>
          </w:p>
        </w:tc>
        <w:tc>
          <w:tcPr>
            <w:tcW w:w="399" w:type="pct"/>
            <w:noWrap/>
            <w:vAlign w:val="center"/>
          </w:tcPr>
          <w:p w14:paraId="55153439">
            <w:pPr>
              <w:widowControl/>
              <w:adjustRightInd w:val="0"/>
              <w:snapToGrid w:val="0"/>
              <w:spacing w:before="0" w:beforeLines="0" w:line="240" w:lineRule="auto"/>
              <w:jc w:val="center"/>
              <w:rPr>
                <w:kern w:val="0"/>
                <w:szCs w:val="21"/>
              </w:rPr>
            </w:pPr>
            <w:r>
              <w:rPr>
                <w:color w:val="000000"/>
                <w:kern w:val="0"/>
                <w:sz w:val="22"/>
                <w:szCs w:val="22"/>
              </w:rPr>
              <w:t>130.9183</w:t>
            </w:r>
          </w:p>
        </w:tc>
        <w:tc>
          <w:tcPr>
            <w:tcW w:w="465" w:type="pct"/>
            <w:noWrap/>
            <w:vAlign w:val="center"/>
          </w:tcPr>
          <w:p w14:paraId="29816206">
            <w:pPr>
              <w:widowControl/>
              <w:adjustRightInd w:val="0"/>
              <w:snapToGrid w:val="0"/>
              <w:spacing w:before="0" w:beforeLines="0" w:line="240" w:lineRule="auto"/>
              <w:jc w:val="center"/>
              <w:rPr>
                <w:kern w:val="0"/>
                <w:szCs w:val="21"/>
              </w:rPr>
            </w:pPr>
            <w:r>
              <w:rPr>
                <w:color w:val="000000"/>
                <w:kern w:val="0"/>
                <w:sz w:val="22"/>
                <w:szCs w:val="22"/>
              </w:rPr>
              <w:t>250101</w:t>
            </w:r>
          </w:p>
        </w:tc>
        <w:tc>
          <w:tcPr>
            <w:tcW w:w="458" w:type="pct"/>
            <w:noWrap/>
            <w:vAlign w:val="center"/>
          </w:tcPr>
          <w:p w14:paraId="639A488F">
            <w:pPr>
              <w:widowControl/>
              <w:adjustRightInd w:val="0"/>
              <w:snapToGrid w:val="0"/>
              <w:spacing w:before="0" w:beforeLines="0" w:line="240" w:lineRule="auto"/>
              <w:jc w:val="center"/>
              <w:rPr>
                <w:kern w:val="0"/>
                <w:szCs w:val="21"/>
              </w:rPr>
            </w:pPr>
            <w:r>
              <w:rPr>
                <w:color w:val="000000"/>
                <w:kern w:val="0"/>
                <w:sz w:val="22"/>
                <w:szCs w:val="22"/>
              </w:rPr>
              <w:t>126</w:t>
            </w:r>
          </w:p>
        </w:tc>
        <w:tc>
          <w:tcPr>
            <w:tcW w:w="609" w:type="pct"/>
            <w:noWrap/>
            <w:vAlign w:val="center"/>
          </w:tcPr>
          <w:p w14:paraId="30DE819F">
            <w:pPr>
              <w:widowControl/>
              <w:adjustRightInd w:val="0"/>
              <w:snapToGrid w:val="0"/>
              <w:spacing w:before="0" w:beforeLines="0" w:line="240" w:lineRule="auto"/>
              <w:jc w:val="center"/>
              <w:rPr>
                <w:kern w:val="0"/>
                <w:szCs w:val="21"/>
              </w:rPr>
            </w:pPr>
            <w:r>
              <w:rPr>
                <w:color w:val="000000"/>
                <w:kern w:val="0"/>
                <w:sz w:val="22"/>
                <w:szCs w:val="22"/>
              </w:rPr>
              <w:t>256.9183</w:t>
            </w:r>
          </w:p>
        </w:tc>
        <w:tc>
          <w:tcPr>
            <w:tcW w:w="407" w:type="pct"/>
            <w:noWrap/>
            <w:vAlign w:val="center"/>
          </w:tcPr>
          <w:p w14:paraId="631F8B46">
            <w:pPr>
              <w:widowControl/>
              <w:adjustRightInd w:val="0"/>
              <w:snapToGrid w:val="0"/>
              <w:spacing w:before="0" w:beforeLines="0" w:line="240" w:lineRule="auto"/>
              <w:jc w:val="center"/>
              <w:rPr>
                <w:kern w:val="0"/>
                <w:szCs w:val="21"/>
              </w:rPr>
            </w:pPr>
            <w:r>
              <w:rPr>
                <w:color w:val="000000"/>
                <w:kern w:val="0"/>
                <w:sz w:val="22"/>
                <w:szCs w:val="22"/>
              </w:rPr>
              <w:t>300</w:t>
            </w:r>
          </w:p>
        </w:tc>
        <w:tc>
          <w:tcPr>
            <w:tcW w:w="469" w:type="pct"/>
            <w:noWrap/>
            <w:vAlign w:val="center"/>
          </w:tcPr>
          <w:p w14:paraId="4C2EE674">
            <w:pPr>
              <w:widowControl/>
              <w:adjustRightInd w:val="0"/>
              <w:snapToGrid w:val="0"/>
              <w:spacing w:before="0" w:beforeLines="0" w:line="240" w:lineRule="auto"/>
              <w:jc w:val="center"/>
              <w:rPr>
                <w:kern w:val="0"/>
                <w:szCs w:val="21"/>
              </w:rPr>
            </w:pPr>
            <w:r>
              <w:rPr>
                <w:color w:val="000000"/>
                <w:kern w:val="0"/>
                <w:sz w:val="22"/>
                <w:szCs w:val="22"/>
              </w:rPr>
              <w:t>85.64</w:t>
            </w:r>
          </w:p>
        </w:tc>
        <w:tc>
          <w:tcPr>
            <w:tcW w:w="265" w:type="pct"/>
            <w:noWrap/>
            <w:vAlign w:val="center"/>
          </w:tcPr>
          <w:p w14:paraId="3E4BCACE">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tbl>
    <w:p w14:paraId="09BFFEC0">
      <w:pPr>
        <w:spacing w:before="0" w:beforeLines="0" w:after="120" w:line="360" w:lineRule="auto"/>
        <w:ind w:left="420" w:leftChars="200" w:firstLine="420" w:firstLineChars="200"/>
        <w:rPr>
          <w:kern w:val="0"/>
          <w:szCs w:val="21"/>
        </w:rPr>
      </w:pPr>
    </w:p>
    <w:p w14:paraId="4A45F0FE">
      <w:pPr>
        <w:spacing w:before="0" w:beforeLines="0" w:after="120" w:line="360" w:lineRule="auto"/>
        <w:ind w:left="420" w:leftChars="200" w:firstLine="480" w:firstLineChars="200"/>
        <w:rPr>
          <w:kern w:val="0"/>
          <w:sz w:val="24"/>
          <w:szCs w:val="22"/>
        </w:rPr>
        <w:sectPr>
          <w:pgSz w:w="16838" w:h="11906" w:orient="landscape"/>
          <w:pgMar w:top="1440" w:right="1800" w:bottom="1440" w:left="1800" w:header="851" w:footer="992" w:gutter="0"/>
          <w:cols w:space="425" w:num="1"/>
          <w:docGrid w:type="lines" w:linePitch="326" w:charSpace="0"/>
        </w:sectPr>
      </w:pPr>
    </w:p>
    <w:p w14:paraId="2892C780">
      <w:pPr>
        <w:spacing w:before="0" w:beforeLines="0" w:after="120" w:line="360" w:lineRule="auto"/>
        <w:jc w:val="center"/>
        <w:rPr>
          <w:kern w:val="0"/>
          <w:sz w:val="24"/>
          <w:szCs w:val="22"/>
        </w:rPr>
      </w:pPr>
      <w:r>
        <w:rPr>
          <w:sz w:val="24"/>
          <w:szCs w:val="20"/>
        </w:rPr>
        <w:drawing>
          <wp:inline distT="0" distB="0" distL="114300" distR="114300">
            <wp:extent cx="5269230" cy="3176905"/>
            <wp:effectExtent l="0" t="0" r="7620" b="4445"/>
            <wp:docPr id="1324668192" name="图片 1324668192" descr="064bad19-6145-45f3-8f55-8a05691c4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668192" name="图片 1324668192" descr="064bad19-6145-45f3-8f55-8a05691c4955"/>
                    <pic:cNvPicPr>
                      <a:picLocks noChangeAspect="1"/>
                    </pic:cNvPicPr>
                  </pic:nvPicPr>
                  <pic:blipFill>
                    <a:blip r:embed="rId67"/>
                    <a:stretch>
                      <a:fillRect/>
                    </a:stretch>
                  </pic:blipFill>
                  <pic:spPr>
                    <a:xfrm>
                      <a:off x="0" y="0"/>
                      <a:ext cx="5269230" cy="3176905"/>
                    </a:xfrm>
                    <a:prstGeom prst="rect">
                      <a:avLst/>
                    </a:prstGeom>
                  </pic:spPr>
                </pic:pic>
              </a:graphicData>
            </a:graphic>
          </wp:inline>
        </w:drawing>
      </w:r>
      <w:r>
        <w:rPr>
          <w:b/>
          <w:bCs/>
          <w:kern w:val="0"/>
          <w:sz w:val="24"/>
          <w:szCs w:val="22"/>
        </w:rPr>
        <w:t>图</w:t>
      </w:r>
      <w:r>
        <w:rPr>
          <w:rFonts w:hint="eastAsia"/>
          <w:b/>
          <w:bCs/>
          <w:kern w:val="0"/>
          <w:sz w:val="24"/>
          <w:szCs w:val="22"/>
        </w:rPr>
        <w:t xml:space="preserve">5.2-7    </w:t>
      </w:r>
      <w:r>
        <w:rPr>
          <w:b/>
          <w:bCs/>
          <w:kern w:val="0"/>
          <w:sz w:val="24"/>
          <w:szCs w:val="22"/>
        </w:rPr>
        <w:t xml:space="preserve"> </w:t>
      </w:r>
      <w:r>
        <w:rPr>
          <w:rFonts w:hint="eastAsia"/>
          <w:b/>
          <w:bCs/>
          <w:kern w:val="0"/>
          <w:sz w:val="24"/>
          <w:szCs w:val="22"/>
        </w:rPr>
        <w:t>叠加后</w:t>
      </w:r>
      <w:r>
        <w:rPr>
          <w:b/>
          <w:bCs/>
          <w:kern w:val="0"/>
          <w:sz w:val="24"/>
          <w:szCs w:val="22"/>
        </w:rPr>
        <w:t>PM</w:t>
      </w:r>
      <w:r>
        <w:rPr>
          <w:b/>
          <w:bCs/>
          <w:kern w:val="0"/>
          <w:sz w:val="24"/>
          <w:szCs w:val="22"/>
          <w:vertAlign w:val="subscript"/>
        </w:rPr>
        <w:t>10</w:t>
      </w:r>
      <w:r>
        <w:rPr>
          <w:b/>
          <w:bCs/>
          <w:kern w:val="0"/>
          <w:sz w:val="24"/>
          <w:szCs w:val="22"/>
        </w:rPr>
        <w:t>95%保证率</w:t>
      </w:r>
      <w:r>
        <w:rPr>
          <w:rFonts w:hint="eastAsia"/>
          <w:b/>
          <w:bCs/>
          <w:kern w:val="0"/>
          <w:sz w:val="24"/>
          <w:szCs w:val="22"/>
        </w:rPr>
        <w:t>日平均质量浓度分布图（单位：</w:t>
      </w:r>
      <w:r>
        <w:rPr>
          <w:b/>
          <w:bCs/>
          <w:kern w:val="0"/>
          <w:szCs w:val="21"/>
        </w:rPr>
        <w:t>µg/m</w:t>
      </w:r>
      <w:r>
        <w:rPr>
          <w:b/>
          <w:bCs/>
          <w:kern w:val="0"/>
          <w:szCs w:val="21"/>
          <w:vertAlign w:val="superscript"/>
        </w:rPr>
        <w:t>3</w:t>
      </w:r>
      <w:r>
        <w:rPr>
          <w:rFonts w:hint="eastAsia"/>
          <w:b/>
          <w:bCs/>
          <w:kern w:val="0"/>
          <w:sz w:val="24"/>
          <w:szCs w:val="22"/>
        </w:rPr>
        <w:t>）</w:t>
      </w:r>
    </w:p>
    <w:p w14:paraId="2FE302E0">
      <w:pPr>
        <w:spacing w:before="0" w:beforeLines="0" w:after="120" w:line="360" w:lineRule="auto"/>
        <w:ind w:left="420" w:leftChars="200"/>
        <w:rPr>
          <w:kern w:val="0"/>
          <w:sz w:val="24"/>
          <w:szCs w:val="22"/>
        </w:rPr>
      </w:pPr>
    </w:p>
    <w:p w14:paraId="21FC4AE0">
      <w:pPr>
        <w:spacing w:before="0" w:beforeLines="0" w:after="120" w:line="360" w:lineRule="auto"/>
        <w:ind w:left="420" w:leftChars="200"/>
        <w:rPr>
          <w:kern w:val="0"/>
          <w:sz w:val="24"/>
          <w:szCs w:val="22"/>
        </w:rPr>
      </w:pPr>
      <w:r>
        <w:rPr>
          <w:sz w:val="24"/>
          <w:szCs w:val="20"/>
        </w:rPr>
        <w:drawing>
          <wp:inline distT="0" distB="0" distL="114300" distR="114300">
            <wp:extent cx="5268595" cy="3213735"/>
            <wp:effectExtent l="0" t="0" r="8255" b="5715"/>
            <wp:docPr id="1578052037" name="图片 1578052037" descr="475207f3-a331-4c3b-adea-a1be23c669b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052037" name="图片 1578052037" descr="475207f3-a331-4c3b-adea-a1be23c669b5"/>
                    <pic:cNvPicPr>
                      <a:picLocks noChangeAspect="1"/>
                    </pic:cNvPicPr>
                  </pic:nvPicPr>
                  <pic:blipFill>
                    <a:blip r:embed="rId68"/>
                    <a:stretch>
                      <a:fillRect/>
                    </a:stretch>
                  </pic:blipFill>
                  <pic:spPr>
                    <a:xfrm>
                      <a:off x="0" y="0"/>
                      <a:ext cx="5268595" cy="3213735"/>
                    </a:xfrm>
                    <a:prstGeom prst="rect">
                      <a:avLst/>
                    </a:prstGeom>
                  </pic:spPr>
                </pic:pic>
              </a:graphicData>
            </a:graphic>
          </wp:inline>
        </w:drawing>
      </w:r>
    </w:p>
    <w:p w14:paraId="66D130E4">
      <w:pPr>
        <w:spacing w:before="0" w:beforeLines="0" w:after="120" w:line="360" w:lineRule="auto"/>
        <w:ind w:left="420" w:leftChars="200"/>
        <w:jc w:val="center"/>
        <w:rPr>
          <w:b/>
          <w:bCs/>
          <w:kern w:val="0"/>
          <w:sz w:val="24"/>
          <w:szCs w:val="22"/>
        </w:rPr>
      </w:pPr>
      <w:r>
        <w:rPr>
          <w:b/>
          <w:bCs/>
          <w:kern w:val="0"/>
          <w:sz w:val="24"/>
          <w:szCs w:val="22"/>
        </w:rPr>
        <w:t xml:space="preserve">图 </w:t>
      </w:r>
      <w:r>
        <w:rPr>
          <w:rFonts w:hint="eastAsia"/>
          <w:b/>
          <w:bCs/>
          <w:kern w:val="0"/>
          <w:sz w:val="24"/>
          <w:szCs w:val="22"/>
        </w:rPr>
        <w:t>5.2-8    叠加后</w:t>
      </w:r>
      <w:r>
        <w:rPr>
          <w:b/>
          <w:bCs/>
          <w:kern w:val="0"/>
          <w:sz w:val="24"/>
          <w:szCs w:val="22"/>
        </w:rPr>
        <w:t>PM</w:t>
      </w:r>
      <w:r>
        <w:rPr>
          <w:b/>
          <w:bCs/>
          <w:kern w:val="0"/>
          <w:sz w:val="24"/>
          <w:szCs w:val="22"/>
          <w:vertAlign w:val="subscript"/>
        </w:rPr>
        <w:t>10</w:t>
      </w:r>
      <w:r>
        <w:rPr>
          <w:rFonts w:hint="eastAsia"/>
          <w:b/>
          <w:bCs/>
          <w:kern w:val="0"/>
          <w:sz w:val="24"/>
          <w:szCs w:val="22"/>
        </w:rPr>
        <w:t>年平均质量浓度分布图（单位：</w:t>
      </w:r>
      <w:r>
        <w:rPr>
          <w:b/>
          <w:bCs/>
          <w:kern w:val="0"/>
          <w:szCs w:val="21"/>
        </w:rPr>
        <w:t>µg/m</w:t>
      </w:r>
      <w:r>
        <w:rPr>
          <w:b/>
          <w:bCs/>
          <w:kern w:val="0"/>
          <w:szCs w:val="21"/>
          <w:vertAlign w:val="superscript"/>
        </w:rPr>
        <w:t>3</w:t>
      </w:r>
      <w:r>
        <w:rPr>
          <w:rFonts w:hint="eastAsia"/>
          <w:b/>
          <w:bCs/>
          <w:kern w:val="0"/>
          <w:sz w:val="24"/>
          <w:szCs w:val="22"/>
        </w:rPr>
        <w:t>）</w:t>
      </w:r>
    </w:p>
    <w:p w14:paraId="0FA9DEF3">
      <w:pPr>
        <w:spacing w:before="0" w:beforeLines="0" w:after="120" w:line="360" w:lineRule="auto"/>
        <w:ind w:left="900" w:leftChars="200" w:hanging="480" w:hangingChars="200"/>
        <w:jc w:val="center"/>
        <w:rPr>
          <w:kern w:val="0"/>
          <w:sz w:val="24"/>
          <w:szCs w:val="22"/>
        </w:rPr>
      </w:pPr>
      <w:r>
        <w:rPr>
          <w:sz w:val="24"/>
          <w:szCs w:val="20"/>
        </w:rPr>
        <w:drawing>
          <wp:inline distT="0" distB="0" distL="114300" distR="114300">
            <wp:extent cx="5268595" cy="3213735"/>
            <wp:effectExtent l="0" t="0" r="8255" b="5715"/>
            <wp:docPr id="1790168351" name="图片 1790168351" descr="475207f3-a331-4c3b-adea-a1be23c669b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168351" name="图片 1790168351" descr="475207f3-a331-4c3b-adea-a1be23c669b5"/>
                    <pic:cNvPicPr>
                      <a:picLocks noChangeAspect="1"/>
                    </pic:cNvPicPr>
                  </pic:nvPicPr>
                  <pic:blipFill>
                    <a:blip r:embed="rId69"/>
                    <a:stretch>
                      <a:fillRect/>
                    </a:stretch>
                  </pic:blipFill>
                  <pic:spPr>
                    <a:xfrm>
                      <a:off x="0" y="0"/>
                      <a:ext cx="5268595" cy="3213735"/>
                    </a:xfrm>
                    <a:prstGeom prst="rect">
                      <a:avLst/>
                    </a:prstGeom>
                  </pic:spPr>
                </pic:pic>
              </a:graphicData>
            </a:graphic>
          </wp:inline>
        </w:drawing>
      </w:r>
    </w:p>
    <w:p w14:paraId="024D798B">
      <w:pPr>
        <w:spacing w:before="0" w:beforeLines="0" w:after="120" w:line="360" w:lineRule="auto"/>
        <w:ind w:left="902" w:leftChars="200" w:hanging="482" w:hangingChars="200"/>
        <w:jc w:val="center"/>
        <w:rPr>
          <w:kern w:val="0"/>
          <w:sz w:val="24"/>
          <w:szCs w:val="22"/>
        </w:rPr>
      </w:pPr>
      <w:r>
        <w:rPr>
          <w:b/>
          <w:bCs/>
          <w:kern w:val="0"/>
          <w:sz w:val="24"/>
          <w:szCs w:val="22"/>
        </w:rPr>
        <w:t xml:space="preserve">图 </w:t>
      </w:r>
      <w:r>
        <w:rPr>
          <w:rFonts w:hint="eastAsia"/>
          <w:b/>
          <w:bCs/>
          <w:kern w:val="0"/>
          <w:sz w:val="24"/>
          <w:szCs w:val="22"/>
        </w:rPr>
        <w:t>5.2-9   叠加后</w:t>
      </w:r>
      <w:r>
        <w:rPr>
          <w:b/>
          <w:bCs/>
          <w:kern w:val="0"/>
          <w:sz w:val="24"/>
          <w:szCs w:val="22"/>
        </w:rPr>
        <w:t>TSP</w:t>
      </w:r>
      <w:r>
        <w:rPr>
          <w:rFonts w:hint="eastAsia"/>
          <w:b/>
          <w:bCs/>
          <w:kern w:val="0"/>
          <w:sz w:val="24"/>
          <w:szCs w:val="22"/>
        </w:rPr>
        <w:t>日平均质量浓度分布图（单位：</w:t>
      </w:r>
      <w:r>
        <w:rPr>
          <w:b/>
          <w:bCs/>
          <w:kern w:val="0"/>
          <w:szCs w:val="21"/>
        </w:rPr>
        <w:t>µg/m</w:t>
      </w:r>
      <w:r>
        <w:rPr>
          <w:b/>
          <w:bCs/>
          <w:kern w:val="0"/>
          <w:szCs w:val="21"/>
          <w:vertAlign w:val="superscript"/>
        </w:rPr>
        <w:t>3</w:t>
      </w:r>
      <w:r>
        <w:rPr>
          <w:rFonts w:hint="eastAsia"/>
          <w:b/>
          <w:bCs/>
          <w:kern w:val="0"/>
          <w:sz w:val="24"/>
          <w:szCs w:val="22"/>
        </w:rPr>
        <w:t>）</w:t>
      </w:r>
    </w:p>
    <w:p w14:paraId="7CA43D36">
      <w:pPr>
        <w:spacing w:before="0" w:beforeLines="0" w:line="360" w:lineRule="auto"/>
        <w:contextualSpacing/>
        <w:rPr>
          <w:b/>
          <w:bCs/>
          <w:sz w:val="24"/>
          <w:szCs w:val="20"/>
        </w:rPr>
      </w:pPr>
      <w:r>
        <w:rPr>
          <w:rFonts w:hint="eastAsia"/>
          <w:b/>
          <w:bCs/>
          <w:sz w:val="24"/>
          <w:szCs w:val="20"/>
        </w:rPr>
        <w:t>5.2.2.2非正常排放预测结果与分析</w:t>
      </w:r>
    </w:p>
    <w:p w14:paraId="43CD4B16">
      <w:pPr>
        <w:spacing w:before="0" w:beforeLines="0" w:line="360" w:lineRule="auto"/>
        <w:ind w:firstLine="480" w:firstLineChars="200"/>
        <w:contextualSpacing/>
        <w:rPr>
          <w:sz w:val="24"/>
          <w:szCs w:val="20"/>
        </w:rPr>
      </w:pPr>
      <w:r>
        <w:rPr>
          <w:rFonts w:hint="eastAsia"/>
          <w:sz w:val="24"/>
          <w:szCs w:val="20"/>
        </w:rPr>
        <w:t>本项目</w:t>
      </w:r>
      <w:r>
        <w:rPr>
          <w:sz w:val="24"/>
          <w:szCs w:val="20"/>
        </w:rPr>
        <w:t>非正常</w:t>
      </w:r>
      <w:r>
        <w:rPr>
          <w:rFonts w:hint="eastAsia"/>
          <w:sz w:val="24"/>
          <w:szCs w:val="20"/>
        </w:rPr>
        <w:t>排放参数</w:t>
      </w:r>
      <w:r>
        <w:rPr>
          <w:sz w:val="24"/>
          <w:szCs w:val="20"/>
        </w:rPr>
        <w:t>见表</w:t>
      </w:r>
      <w:r>
        <w:rPr>
          <w:rFonts w:hint="eastAsia"/>
          <w:sz w:val="24"/>
          <w:szCs w:val="20"/>
        </w:rPr>
        <w:t>5.2-</w:t>
      </w:r>
      <w:r>
        <w:rPr>
          <w:sz w:val="24"/>
          <w:szCs w:val="20"/>
        </w:rPr>
        <w:t>13，评价范围内小时平均最大浓度值及保护目标小时平均最大浓度值见</w:t>
      </w:r>
      <w:r>
        <w:rPr>
          <w:rFonts w:hint="eastAsia"/>
          <w:sz w:val="24"/>
          <w:szCs w:val="20"/>
        </w:rPr>
        <w:t>表</w:t>
      </w:r>
      <w:bookmarkStart w:id="230" w:name="OLE_LINK26"/>
      <w:r>
        <w:rPr>
          <w:rFonts w:hint="eastAsia"/>
          <w:sz w:val="24"/>
          <w:szCs w:val="20"/>
        </w:rPr>
        <w:t>5.2-</w:t>
      </w:r>
      <w:bookmarkEnd w:id="230"/>
      <w:r>
        <w:rPr>
          <w:sz w:val="24"/>
          <w:szCs w:val="20"/>
        </w:rPr>
        <w:t>1</w:t>
      </w:r>
      <w:r>
        <w:rPr>
          <w:rFonts w:hint="eastAsia"/>
          <w:sz w:val="24"/>
          <w:szCs w:val="20"/>
        </w:rPr>
        <w:t>4~5.2-</w:t>
      </w:r>
      <w:r>
        <w:rPr>
          <w:sz w:val="24"/>
          <w:szCs w:val="20"/>
        </w:rPr>
        <w:t>1</w:t>
      </w:r>
      <w:r>
        <w:rPr>
          <w:rFonts w:hint="eastAsia"/>
          <w:sz w:val="24"/>
          <w:szCs w:val="20"/>
        </w:rPr>
        <w:t>8。</w:t>
      </w:r>
    </w:p>
    <w:p w14:paraId="35C6583F">
      <w:pPr>
        <w:spacing w:before="0" w:beforeLines="0" w:line="360" w:lineRule="auto"/>
        <w:ind w:firstLine="600" w:firstLineChars="250"/>
        <w:contextualSpacing/>
        <w:rPr>
          <w:sz w:val="24"/>
          <w:szCs w:val="20"/>
        </w:rPr>
      </w:pPr>
      <w:r>
        <w:rPr>
          <w:rFonts w:hint="eastAsia"/>
          <w:sz w:val="24"/>
          <w:szCs w:val="20"/>
        </w:rPr>
        <w:t>根据计算结果可知，当</w:t>
      </w:r>
      <w:r>
        <w:rPr>
          <w:sz w:val="24"/>
          <w:szCs w:val="20"/>
        </w:rPr>
        <w:t>DA001</w:t>
      </w:r>
      <w:r>
        <w:rPr>
          <w:rFonts w:hint="eastAsia"/>
          <w:sz w:val="24"/>
          <w:szCs w:val="20"/>
        </w:rPr>
        <w:t>、D</w:t>
      </w:r>
      <w:r>
        <w:rPr>
          <w:sz w:val="24"/>
          <w:szCs w:val="20"/>
        </w:rPr>
        <w:t>A002</w:t>
      </w:r>
      <w:r>
        <w:rPr>
          <w:rFonts w:hint="eastAsia"/>
          <w:sz w:val="24"/>
          <w:szCs w:val="20"/>
        </w:rPr>
        <w:t>、</w:t>
      </w:r>
      <w:r>
        <w:rPr>
          <w:sz w:val="24"/>
          <w:szCs w:val="20"/>
        </w:rPr>
        <w:t>DA00</w:t>
      </w:r>
      <w:r>
        <w:rPr>
          <w:rFonts w:hint="eastAsia"/>
          <w:sz w:val="24"/>
          <w:szCs w:val="20"/>
        </w:rPr>
        <w:t>3、D</w:t>
      </w:r>
      <w:r>
        <w:rPr>
          <w:sz w:val="24"/>
          <w:szCs w:val="20"/>
        </w:rPr>
        <w:t>A00</w:t>
      </w:r>
      <w:r>
        <w:rPr>
          <w:rFonts w:hint="eastAsia"/>
          <w:sz w:val="24"/>
          <w:szCs w:val="20"/>
        </w:rPr>
        <w:t>4出现非正常排放时，在</w:t>
      </w:r>
      <w:r>
        <w:rPr>
          <w:sz w:val="24"/>
          <w:szCs w:val="20"/>
        </w:rPr>
        <w:t>网格点处</w:t>
      </w:r>
      <w:r>
        <w:rPr>
          <w:rFonts w:hint="eastAsia"/>
          <w:sz w:val="24"/>
          <w:szCs w:val="20"/>
        </w:rPr>
        <w:t>和环境敏感目标处污染物的最大1h平均质量浓度均出现超标情况。因此</w:t>
      </w:r>
      <w:r>
        <w:rPr>
          <w:sz w:val="24"/>
          <w:szCs w:val="20"/>
        </w:rPr>
        <w:t>，本项目非正常排放时，</w:t>
      </w:r>
      <w:r>
        <w:rPr>
          <w:rFonts w:hint="eastAsia"/>
          <w:sz w:val="24"/>
          <w:szCs w:val="20"/>
        </w:rPr>
        <w:t>应做好环保</w:t>
      </w:r>
      <w:r>
        <w:rPr>
          <w:sz w:val="24"/>
          <w:szCs w:val="20"/>
        </w:rPr>
        <w:t>设施的维护运行。</w:t>
      </w:r>
    </w:p>
    <w:p w14:paraId="153426C8">
      <w:pPr>
        <w:keepNext/>
        <w:spacing w:before="0" w:beforeLines="0" w:line="240" w:lineRule="auto"/>
        <w:contextualSpacing/>
        <w:jc w:val="center"/>
        <w:rPr>
          <w:b/>
          <w:bCs/>
          <w:szCs w:val="21"/>
        </w:rPr>
      </w:pPr>
      <w:r>
        <w:rPr>
          <w:rFonts w:hint="eastAsia"/>
          <w:b/>
          <w:bCs/>
          <w:szCs w:val="21"/>
        </w:rPr>
        <w:t xml:space="preserve">表5.2-13   </w:t>
      </w:r>
      <w:r>
        <w:rPr>
          <w:b/>
          <w:bCs/>
          <w:szCs w:val="21"/>
        </w:rPr>
        <w:t>项目非正常排放点源污染物排放情况一览表</w:t>
      </w:r>
    </w:p>
    <w:tbl>
      <w:tblPr>
        <w:tblStyle w:val="89"/>
        <w:tblW w:w="507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256"/>
        <w:gridCol w:w="789"/>
        <w:gridCol w:w="968"/>
        <w:gridCol w:w="610"/>
        <w:gridCol w:w="789"/>
        <w:gridCol w:w="789"/>
        <w:gridCol w:w="791"/>
        <w:gridCol w:w="789"/>
        <w:gridCol w:w="789"/>
        <w:gridCol w:w="791"/>
        <w:gridCol w:w="1067"/>
      </w:tblGrid>
      <w:tr w14:paraId="329197F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8" w:hRule="atLeast"/>
        </w:trPr>
        <w:tc>
          <w:tcPr>
            <w:tcW w:w="152" w:type="pct"/>
            <w:vMerge w:val="restart"/>
            <w:vAlign w:val="center"/>
          </w:tcPr>
          <w:p w14:paraId="0CC07B7C">
            <w:pPr>
              <w:widowControl/>
              <w:spacing w:before="78" w:line="240" w:lineRule="exact"/>
              <w:jc w:val="center"/>
              <w:rPr>
                <w:kern w:val="0"/>
                <w:szCs w:val="21"/>
              </w:rPr>
            </w:pPr>
            <w:r>
              <w:rPr>
                <w:kern w:val="0"/>
                <w:szCs w:val="21"/>
              </w:rPr>
              <w:t>序号</w:t>
            </w:r>
          </w:p>
        </w:tc>
        <w:tc>
          <w:tcPr>
            <w:tcW w:w="468" w:type="pct"/>
            <w:vMerge w:val="restart"/>
            <w:vAlign w:val="center"/>
          </w:tcPr>
          <w:p w14:paraId="4F4DF9B2">
            <w:pPr>
              <w:widowControl/>
              <w:spacing w:before="78" w:line="240" w:lineRule="exact"/>
              <w:jc w:val="center"/>
              <w:rPr>
                <w:kern w:val="0"/>
                <w:szCs w:val="21"/>
              </w:rPr>
            </w:pPr>
            <w:r>
              <w:rPr>
                <w:kern w:val="0"/>
                <w:szCs w:val="21"/>
              </w:rPr>
              <w:t>污染源名称</w:t>
            </w:r>
          </w:p>
        </w:tc>
        <w:tc>
          <w:tcPr>
            <w:tcW w:w="574" w:type="pct"/>
            <w:vMerge w:val="restart"/>
            <w:vAlign w:val="center"/>
          </w:tcPr>
          <w:p w14:paraId="7D70FD99">
            <w:pPr>
              <w:widowControl/>
              <w:spacing w:before="78" w:line="240" w:lineRule="exact"/>
              <w:jc w:val="center"/>
              <w:rPr>
                <w:kern w:val="0"/>
                <w:szCs w:val="21"/>
              </w:rPr>
            </w:pPr>
            <w:r>
              <w:rPr>
                <w:kern w:val="0"/>
                <w:szCs w:val="21"/>
              </w:rPr>
              <w:t>排气筒基底坐标/m（X，Y）</w:t>
            </w:r>
          </w:p>
        </w:tc>
        <w:tc>
          <w:tcPr>
            <w:tcW w:w="362" w:type="pct"/>
            <w:vMerge w:val="restart"/>
            <w:vAlign w:val="center"/>
          </w:tcPr>
          <w:p w14:paraId="72BDD1E9">
            <w:pPr>
              <w:widowControl/>
              <w:spacing w:before="78" w:line="240" w:lineRule="exact"/>
              <w:jc w:val="center"/>
              <w:rPr>
                <w:kern w:val="0"/>
                <w:szCs w:val="21"/>
              </w:rPr>
            </w:pPr>
            <w:r>
              <w:rPr>
                <w:kern w:val="0"/>
                <w:szCs w:val="21"/>
              </w:rPr>
              <w:t>排气筒</w:t>
            </w:r>
          </w:p>
          <w:p w14:paraId="772AD73F">
            <w:pPr>
              <w:widowControl/>
              <w:spacing w:before="78" w:line="240" w:lineRule="exact"/>
              <w:jc w:val="center"/>
              <w:rPr>
                <w:kern w:val="0"/>
                <w:szCs w:val="21"/>
              </w:rPr>
            </w:pPr>
            <w:r>
              <w:rPr>
                <w:kern w:val="0"/>
                <w:szCs w:val="21"/>
              </w:rPr>
              <w:t>高度/m</w:t>
            </w:r>
          </w:p>
        </w:tc>
        <w:tc>
          <w:tcPr>
            <w:tcW w:w="468" w:type="pct"/>
            <w:vMerge w:val="restart"/>
            <w:vAlign w:val="center"/>
          </w:tcPr>
          <w:p w14:paraId="4190729D">
            <w:pPr>
              <w:widowControl/>
              <w:spacing w:before="78" w:line="240" w:lineRule="exact"/>
              <w:jc w:val="center"/>
              <w:rPr>
                <w:kern w:val="0"/>
                <w:szCs w:val="21"/>
              </w:rPr>
            </w:pPr>
            <w:r>
              <w:rPr>
                <w:kern w:val="0"/>
                <w:szCs w:val="21"/>
              </w:rPr>
              <w:t>排气筒出口内径/m</w:t>
            </w:r>
          </w:p>
        </w:tc>
        <w:tc>
          <w:tcPr>
            <w:tcW w:w="468" w:type="pct"/>
            <w:vMerge w:val="restart"/>
            <w:vAlign w:val="center"/>
          </w:tcPr>
          <w:p w14:paraId="5D89CC12">
            <w:pPr>
              <w:widowControl/>
              <w:spacing w:before="78" w:line="240" w:lineRule="exact"/>
              <w:jc w:val="center"/>
              <w:rPr>
                <w:kern w:val="0"/>
                <w:szCs w:val="21"/>
              </w:rPr>
            </w:pPr>
            <w:r>
              <w:rPr>
                <w:kern w:val="0"/>
                <w:szCs w:val="21"/>
              </w:rPr>
              <w:t>烟气</w:t>
            </w:r>
          </w:p>
          <w:p w14:paraId="0A66C2FB">
            <w:pPr>
              <w:widowControl/>
              <w:spacing w:before="78" w:line="240" w:lineRule="exact"/>
              <w:jc w:val="center"/>
              <w:rPr>
                <w:kern w:val="0"/>
                <w:szCs w:val="21"/>
              </w:rPr>
            </w:pPr>
            <w:r>
              <w:rPr>
                <w:kern w:val="0"/>
                <w:szCs w:val="21"/>
              </w:rPr>
              <w:t>温度/℃</w:t>
            </w:r>
          </w:p>
        </w:tc>
        <w:tc>
          <w:tcPr>
            <w:tcW w:w="469" w:type="pct"/>
            <w:vMerge w:val="restart"/>
            <w:vAlign w:val="center"/>
          </w:tcPr>
          <w:p w14:paraId="2352D500">
            <w:pPr>
              <w:widowControl/>
              <w:spacing w:before="78" w:line="240" w:lineRule="exact"/>
              <w:jc w:val="center"/>
              <w:rPr>
                <w:kern w:val="0"/>
                <w:szCs w:val="21"/>
              </w:rPr>
            </w:pPr>
            <w:r>
              <w:rPr>
                <w:kern w:val="0"/>
                <w:szCs w:val="21"/>
              </w:rPr>
              <w:t>年排放时数/h</w:t>
            </w:r>
          </w:p>
        </w:tc>
        <w:tc>
          <w:tcPr>
            <w:tcW w:w="468" w:type="pct"/>
            <w:vMerge w:val="restart"/>
            <w:vAlign w:val="center"/>
          </w:tcPr>
          <w:p w14:paraId="3BC23538">
            <w:pPr>
              <w:widowControl/>
              <w:spacing w:before="78" w:line="240" w:lineRule="exact"/>
              <w:jc w:val="center"/>
              <w:rPr>
                <w:szCs w:val="21"/>
              </w:rPr>
            </w:pPr>
            <w:r>
              <w:rPr>
                <w:kern w:val="0"/>
                <w:szCs w:val="21"/>
              </w:rPr>
              <w:t>排放工况</w:t>
            </w:r>
          </w:p>
        </w:tc>
        <w:tc>
          <w:tcPr>
            <w:tcW w:w="468" w:type="pct"/>
            <w:vMerge w:val="restart"/>
            <w:vAlign w:val="center"/>
          </w:tcPr>
          <w:p w14:paraId="2480857B">
            <w:pPr>
              <w:widowControl/>
              <w:spacing w:before="78" w:line="240" w:lineRule="exact"/>
              <w:jc w:val="center"/>
              <w:rPr>
                <w:kern w:val="0"/>
                <w:szCs w:val="21"/>
              </w:rPr>
            </w:pPr>
            <w:r>
              <w:rPr>
                <w:kern w:val="0"/>
                <w:szCs w:val="21"/>
              </w:rPr>
              <w:t>烟气量m</w:t>
            </w:r>
            <w:r>
              <w:rPr>
                <w:kern w:val="0"/>
                <w:szCs w:val="21"/>
                <w:vertAlign w:val="superscript"/>
              </w:rPr>
              <w:t>3</w:t>
            </w:r>
            <w:r>
              <w:rPr>
                <w:kern w:val="0"/>
                <w:szCs w:val="21"/>
              </w:rPr>
              <w:t>/h(标准状态)</w:t>
            </w:r>
          </w:p>
        </w:tc>
        <w:tc>
          <w:tcPr>
            <w:tcW w:w="469" w:type="pct"/>
            <w:vMerge w:val="restart"/>
            <w:vAlign w:val="center"/>
          </w:tcPr>
          <w:p w14:paraId="718D74E1">
            <w:pPr>
              <w:widowControl/>
              <w:spacing w:before="78" w:line="240" w:lineRule="exact"/>
              <w:jc w:val="center"/>
              <w:rPr>
                <w:kern w:val="0"/>
                <w:szCs w:val="21"/>
              </w:rPr>
            </w:pPr>
            <w:r>
              <w:rPr>
                <w:kern w:val="0"/>
                <w:szCs w:val="21"/>
              </w:rPr>
              <w:t>烟气</w:t>
            </w:r>
          </w:p>
          <w:p w14:paraId="5AC9DA97">
            <w:pPr>
              <w:widowControl/>
              <w:spacing w:before="78" w:line="240" w:lineRule="exact"/>
              <w:jc w:val="center"/>
              <w:rPr>
                <w:kern w:val="0"/>
                <w:szCs w:val="21"/>
              </w:rPr>
            </w:pPr>
            <w:r>
              <w:rPr>
                <w:kern w:val="0"/>
                <w:szCs w:val="21"/>
              </w:rPr>
              <w:t>流速m/s</w:t>
            </w:r>
          </w:p>
        </w:tc>
        <w:tc>
          <w:tcPr>
            <w:tcW w:w="633" w:type="pct"/>
          </w:tcPr>
          <w:p w14:paraId="0CD3C0A1">
            <w:pPr>
              <w:widowControl/>
              <w:spacing w:before="78" w:line="240" w:lineRule="exact"/>
              <w:jc w:val="center"/>
              <w:rPr>
                <w:kern w:val="0"/>
                <w:szCs w:val="21"/>
              </w:rPr>
            </w:pPr>
            <w:r>
              <w:rPr>
                <w:kern w:val="0"/>
                <w:szCs w:val="21"/>
              </w:rPr>
              <w:t>污染物排放速率kg/h</w:t>
            </w:r>
          </w:p>
        </w:tc>
      </w:tr>
      <w:tr w14:paraId="322F839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8" w:hRule="atLeast"/>
        </w:trPr>
        <w:tc>
          <w:tcPr>
            <w:tcW w:w="152" w:type="pct"/>
            <w:vMerge w:val="continue"/>
            <w:vAlign w:val="center"/>
          </w:tcPr>
          <w:p w14:paraId="167E958D">
            <w:pPr>
              <w:widowControl/>
              <w:spacing w:before="78" w:line="240" w:lineRule="exact"/>
              <w:jc w:val="center"/>
              <w:rPr>
                <w:kern w:val="0"/>
                <w:szCs w:val="21"/>
              </w:rPr>
            </w:pPr>
          </w:p>
        </w:tc>
        <w:tc>
          <w:tcPr>
            <w:tcW w:w="468" w:type="pct"/>
            <w:vMerge w:val="continue"/>
            <w:vAlign w:val="center"/>
          </w:tcPr>
          <w:p w14:paraId="113C0104">
            <w:pPr>
              <w:widowControl/>
              <w:spacing w:before="78" w:line="240" w:lineRule="exact"/>
              <w:jc w:val="center"/>
              <w:rPr>
                <w:kern w:val="0"/>
                <w:szCs w:val="21"/>
              </w:rPr>
            </w:pPr>
          </w:p>
        </w:tc>
        <w:tc>
          <w:tcPr>
            <w:tcW w:w="574" w:type="pct"/>
            <w:vMerge w:val="continue"/>
            <w:vAlign w:val="center"/>
          </w:tcPr>
          <w:p w14:paraId="45FFB22C">
            <w:pPr>
              <w:widowControl/>
              <w:spacing w:before="78" w:line="240" w:lineRule="exact"/>
              <w:jc w:val="center"/>
              <w:rPr>
                <w:kern w:val="0"/>
                <w:szCs w:val="21"/>
              </w:rPr>
            </w:pPr>
          </w:p>
        </w:tc>
        <w:tc>
          <w:tcPr>
            <w:tcW w:w="362" w:type="pct"/>
            <w:vMerge w:val="continue"/>
            <w:vAlign w:val="center"/>
          </w:tcPr>
          <w:p w14:paraId="7D6312E7">
            <w:pPr>
              <w:widowControl/>
              <w:spacing w:before="78" w:line="240" w:lineRule="exact"/>
              <w:jc w:val="center"/>
              <w:rPr>
                <w:kern w:val="0"/>
                <w:szCs w:val="21"/>
              </w:rPr>
            </w:pPr>
          </w:p>
        </w:tc>
        <w:tc>
          <w:tcPr>
            <w:tcW w:w="468" w:type="pct"/>
            <w:vMerge w:val="continue"/>
            <w:vAlign w:val="center"/>
          </w:tcPr>
          <w:p w14:paraId="5CD92EB6">
            <w:pPr>
              <w:widowControl/>
              <w:spacing w:before="78" w:line="240" w:lineRule="exact"/>
              <w:jc w:val="center"/>
              <w:rPr>
                <w:kern w:val="0"/>
                <w:szCs w:val="21"/>
              </w:rPr>
            </w:pPr>
          </w:p>
        </w:tc>
        <w:tc>
          <w:tcPr>
            <w:tcW w:w="468" w:type="pct"/>
            <w:vMerge w:val="continue"/>
            <w:vAlign w:val="center"/>
          </w:tcPr>
          <w:p w14:paraId="12E1F3A2">
            <w:pPr>
              <w:widowControl/>
              <w:spacing w:before="78" w:line="240" w:lineRule="exact"/>
              <w:jc w:val="center"/>
              <w:rPr>
                <w:kern w:val="0"/>
                <w:szCs w:val="21"/>
              </w:rPr>
            </w:pPr>
          </w:p>
        </w:tc>
        <w:tc>
          <w:tcPr>
            <w:tcW w:w="469" w:type="pct"/>
            <w:vMerge w:val="continue"/>
            <w:vAlign w:val="center"/>
          </w:tcPr>
          <w:p w14:paraId="014C3678">
            <w:pPr>
              <w:widowControl/>
              <w:spacing w:before="78" w:line="240" w:lineRule="exact"/>
              <w:jc w:val="center"/>
              <w:rPr>
                <w:kern w:val="0"/>
                <w:szCs w:val="21"/>
              </w:rPr>
            </w:pPr>
          </w:p>
        </w:tc>
        <w:tc>
          <w:tcPr>
            <w:tcW w:w="468" w:type="pct"/>
            <w:vMerge w:val="continue"/>
            <w:vAlign w:val="center"/>
          </w:tcPr>
          <w:p w14:paraId="63D237F0">
            <w:pPr>
              <w:widowControl/>
              <w:spacing w:before="78" w:line="240" w:lineRule="exact"/>
              <w:jc w:val="center"/>
              <w:rPr>
                <w:kern w:val="0"/>
                <w:szCs w:val="21"/>
              </w:rPr>
            </w:pPr>
          </w:p>
        </w:tc>
        <w:tc>
          <w:tcPr>
            <w:tcW w:w="468" w:type="pct"/>
            <w:vMerge w:val="continue"/>
            <w:vAlign w:val="center"/>
          </w:tcPr>
          <w:p w14:paraId="12B8E1AF">
            <w:pPr>
              <w:widowControl/>
              <w:spacing w:before="78" w:line="240" w:lineRule="exact"/>
              <w:jc w:val="center"/>
              <w:rPr>
                <w:kern w:val="0"/>
                <w:szCs w:val="21"/>
              </w:rPr>
            </w:pPr>
          </w:p>
        </w:tc>
        <w:tc>
          <w:tcPr>
            <w:tcW w:w="469" w:type="pct"/>
            <w:vMerge w:val="continue"/>
            <w:vAlign w:val="center"/>
          </w:tcPr>
          <w:p w14:paraId="59B6C04D">
            <w:pPr>
              <w:widowControl/>
              <w:spacing w:before="78" w:line="240" w:lineRule="exact"/>
              <w:jc w:val="center"/>
              <w:rPr>
                <w:kern w:val="0"/>
                <w:szCs w:val="21"/>
              </w:rPr>
            </w:pPr>
          </w:p>
        </w:tc>
        <w:tc>
          <w:tcPr>
            <w:tcW w:w="633" w:type="pct"/>
          </w:tcPr>
          <w:p w14:paraId="52FC3FFC">
            <w:pPr>
              <w:widowControl/>
              <w:spacing w:before="78" w:line="240" w:lineRule="exact"/>
              <w:jc w:val="center"/>
              <w:rPr>
                <w:kern w:val="0"/>
                <w:szCs w:val="21"/>
              </w:rPr>
            </w:pPr>
            <w:r>
              <w:rPr>
                <w:kern w:val="0"/>
                <w:szCs w:val="21"/>
              </w:rPr>
              <w:t>PM</w:t>
            </w:r>
            <w:r>
              <w:rPr>
                <w:kern w:val="0"/>
                <w:szCs w:val="21"/>
                <w:vertAlign w:val="subscript"/>
              </w:rPr>
              <w:t>10</w:t>
            </w:r>
          </w:p>
        </w:tc>
      </w:tr>
      <w:tr w14:paraId="39D0E62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8" w:hRule="atLeast"/>
        </w:trPr>
        <w:tc>
          <w:tcPr>
            <w:tcW w:w="152" w:type="pct"/>
            <w:vAlign w:val="center"/>
          </w:tcPr>
          <w:p w14:paraId="63D8C213">
            <w:pPr>
              <w:widowControl/>
              <w:spacing w:before="78" w:line="240" w:lineRule="exact"/>
              <w:jc w:val="center"/>
              <w:rPr>
                <w:kern w:val="0"/>
                <w:szCs w:val="21"/>
              </w:rPr>
            </w:pPr>
            <w:r>
              <w:rPr>
                <w:kern w:val="0"/>
                <w:szCs w:val="21"/>
              </w:rPr>
              <w:t>1</w:t>
            </w:r>
          </w:p>
        </w:tc>
        <w:tc>
          <w:tcPr>
            <w:tcW w:w="468" w:type="pct"/>
            <w:vAlign w:val="center"/>
          </w:tcPr>
          <w:p w14:paraId="0D9A3AE8">
            <w:pPr>
              <w:widowControl/>
              <w:spacing w:before="78" w:line="240" w:lineRule="exact"/>
              <w:jc w:val="center"/>
              <w:rPr>
                <w:kern w:val="0"/>
                <w:szCs w:val="21"/>
              </w:rPr>
            </w:pPr>
            <w:r>
              <w:rPr>
                <w:kern w:val="0"/>
                <w:szCs w:val="21"/>
              </w:rPr>
              <w:t>DA001</w:t>
            </w:r>
          </w:p>
        </w:tc>
        <w:tc>
          <w:tcPr>
            <w:tcW w:w="574" w:type="pct"/>
            <w:vAlign w:val="center"/>
          </w:tcPr>
          <w:p w14:paraId="70D28E40">
            <w:pPr>
              <w:widowControl/>
              <w:spacing w:before="78" w:line="240" w:lineRule="exact"/>
              <w:jc w:val="center"/>
              <w:rPr>
                <w:kern w:val="0"/>
                <w:szCs w:val="21"/>
              </w:rPr>
            </w:pPr>
            <w:r>
              <w:rPr>
                <w:rFonts w:hint="eastAsia"/>
                <w:kern w:val="0"/>
                <w:szCs w:val="21"/>
              </w:rPr>
              <w:t>0,0</w:t>
            </w:r>
          </w:p>
        </w:tc>
        <w:tc>
          <w:tcPr>
            <w:tcW w:w="362" w:type="pct"/>
            <w:vAlign w:val="center"/>
          </w:tcPr>
          <w:p w14:paraId="58A82163">
            <w:pPr>
              <w:widowControl/>
              <w:spacing w:before="78" w:line="240" w:lineRule="exact"/>
              <w:jc w:val="center"/>
              <w:rPr>
                <w:kern w:val="0"/>
                <w:szCs w:val="21"/>
              </w:rPr>
            </w:pPr>
            <w:r>
              <w:rPr>
                <w:kern w:val="0"/>
                <w:szCs w:val="21"/>
              </w:rPr>
              <w:t>20</w:t>
            </w:r>
          </w:p>
        </w:tc>
        <w:tc>
          <w:tcPr>
            <w:tcW w:w="468" w:type="pct"/>
            <w:vAlign w:val="center"/>
          </w:tcPr>
          <w:p w14:paraId="4515C1C9">
            <w:pPr>
              <w:widowControl/>
              <w:spacing w:before="78" w:line="240" w:lineRule="exact"/>
              <w:jc w:val="center"/>
              <w:rPr>
                <w:kern w:val="0"/>
                <w:szCs w:val="21"/>
              </w:rPr>
            </w:pPr>
            <w:r>
              <w:rPr>
                <w:kern w:val="0"/>
                <w:szCs w:val="21"/>
              </w:rPr>
              <w:t>1.2</w:t>
            </w:r>
          </w:p>
        </w:tc>
        <w:tc>
          <w:tcPr>
            <w:tcW w:w="468" w:type="pct"/>
            <w:vAlign w:val="center"/>
          </w:tcPr>
          <w:p w14:paraId="6EB8084B">
            <w:pPr>
              <w:widowControl/>
              <w:spacing w:before="78" w:line="240" w:lineRule="exact"/>
              <w:jc w:val="center"/>
              <w:rPr>
                <w:kern w:val="0"/>
                <w:szCs w:val="21"/>
              </w:rPr>
            </w:pPr>
            <w:r>
              <w:rPr>
                <w:kern w:val="0"/>
                <w:szCs w:val="21"/>
              </w:rPr>
              <w:t>20</w:t>
            </w:r>
          </w:p>
        </w:tc>
        <w:tc>
          <w:tcPr>
            <w:tcW w:w="469" w:type="pct"/>
            <w:vAlign w:val="center"/>
          </w:tcPr>
          <w:p w14:paraId="25232201">
            <w:pPr>
              <w:widowControl/>
              <w:spacing w:before="78" w:line="240" w:lineRule="exact"/>
              <w:jc w:val="center"/>
              <w:rPr>
                <w:kern w:val="0"/>
                <w:szCs w:val="21"/>
              </w:rPr>
            </w:pPr>
            <w:r>
              <w:rPr>
                <w:kern w:val="0"/>
                <w:szCs w:val="21"/>
              </w:rPr>
              <w:t>0.5</w:t>
            </w:r>
          </w:p>
        </w:tc>
        <w:tc>
          <w:tcPr>
            <w:tcW w:w="468" w:type="pct"/>
            <w:vAlign w:val="center"/>
          </w:tcPr>
          <w:p w14:paraId="4FDC4479">
            <w:pPr>
              <w:widowControl/>
              <w:spacing w:before="78" w:line="240" w:lineRule="exact"/>
              <w:jc w:val="center"/>
              <w:rPr>
                <w:kern w:val="0"/>
                <w:szCs w:val="21"/>
              </w:rPr>
            </w:pPr>
            <w:r>
              <w:rPr>
                <w:kern w:val="0"/>
                <w:szCs w:val="21"/>
              </w:rPr>
              <w:t>非正常</w:t>
            </w:r>
          </w:p>
        </w:tc>
        <w:tc>
          <w:tcPr>
            <w:tcW w:w="468" w:type="pct"/>
            <w:vAlign w:val="center"/>
          </w:tcPr>
          <w:p w14:paraId="503BB411">
            <w:pPr>
              <w:widowControl/>
              <w:spacing w:before="78" w:line="240" w:lineRule="exact"/>
              <w:jc w:val="center"/>
              <w:rPr>
                <w:kern w:val="0"/>
                <w:szCs w:val="21"/>
              </w:rPr>
            </w:pPr>
            <w:r>
              <w:rPr>
                <w:rFonts w:eastAsia="等线"/>
                <w:szCs w:val="21"/>
              </w:rPr>
              <w:t>70000</w:t>
            </w:r>
          </w:p>
        </w:tc>
        <w:tc>
          <w:tcPr>
            <w:tcW w:w="469" w:type="pct"/>
            <w:vAlign w:val="center"/>
          </w:tcPr>
          <w:p w14:paraId="1D77CF69">
            <w:pPr>
              <w:widowControl/>
              <w:spacing w:before="78" w:line="240" w:lineRule="exact"/>
              <w:jc w:val="center"/>
              <w:rPr>
                <w:kern w:val="0"/>
                <w:szCs w:val="21"/>
              </w:rPr>
            </w:pPr>
            <w:r>
              <w:rPr>
                <w:rFonts w:eastAsia="等线"/>
                <w:szCs w:val="21"/>
              </w:rPr>
              <w:t>17.20</w:t>
            </w:r>
          </w:p>
        </w:tc>
        <w:tc>
          <w:tcPr>
            <w:tcW w:w="633" w:type="pct"/>
            <w:vAlign w:val="center"/>
          </w:tcPr>
          <w:p w14:paraId="185CC3D1">
            <w:pPr>
              <w:widowControl/>
              <w:spacing w:before="78" w:line="240" w:lineRule="exact"/>
              <w:jc w:val="center"/>
              <w:rPr>
                <w:kern w:val="0"/>
                <w:szCs w:val="21"/>
              </w:rPr>
            </w:pPr>
            <w:r>
              <w:rPr>
                <w:rFonts w:hint="eastAsia" w:eastAsia="等线"/>
                <w:szCs w:val="21"/>
              </w:rPr>
              <w:t>121.59</w:t>
            </w:r>
          </w:p>
        </w:tc>
      </w:tr>
      <w:tr w14:paraId="581C3D2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8" w:hRule="atLeast"/>
        </w:trPr>
        <w:tc>
          <w:tcPr>
            <w:tcW w:w="152" w:type="pct"/>
            <w:vAlign w:val="center"/>
          </w:tcPr>
          <w:p w14:paraId="1E19DC48">
            <w:pPr>
              <w:widowControl/>
              <w:spacing w:before="78" w:line="240" w:lineRule="exact"/>
              <w:jc w:val="center"/>
              <w:rPr>
                <w:kern w:val="0"/>
                <w:szCs w:val="21"/>
              </w:rPr>
            </w:pPr>
            <w:r>
              <w:rPr>
                <w:kern w:val="0"/>
                <w:szCs w:val="21"/>
              </w:rPr>
              <w:t>2</w:t>
            </w:r>
          </w:p>
        </w:tc>
        <w:tc>
          <w:tcPr>
            <w:tcW w:w="468" w:type="pct"/>
            <w:vAlign w:val="center"/>
          </w:tcPr>
          <w:p w14:paraId="61246A88">
            <w:pPr>
              <w:widowControl/>
              <w:spacing w:before="78" w:line="240" w:lineRule="exact"/>
              <w:jc w:val="center"/>
              <w:rPr>
                <w:kern w:val="0"/>
                <w:szCs w:val="21"/>
              </w:rPr>
            </w:pPr>
            <w:r>
              <w:rPr>
                <w:kern w:val="0"/>
                <w:szCs w:val="21"/>
              </w:rPr>
              <w:t>DA002</w:t>
            </w:r>
          </w:p>
        </w:tc>
        <w:tc>
          <w:tcPr>
            <w:tcW w:w="574" w:type="pct"/>
            <w:vAlign w:val="center"/>
          </w:tcPr>
          <w:p w14:paraId="4D17BBF9">
            <w:pPr>
              <w:widowControl/>
              <w:spacing w:before="78" w:line="240" w:lineRule="exact"/>
              <w:jc w:val="center"/>
              <w:rPr>
                <w:kern w:val="0"/>
                <w:szCs w:val="21"/>
              </w:rPr>
            </w:pPr>
            <w:r>
              <w:rPr>
                <w:rFonts w:hint="eastAsia"/>
                <w:kern w:val="0"/>
                <w:szCs w:val="21"/>
              </w:rPr>
              <w:t>-33,3</w:t>
            </w:r>
          </w:p>
        </w:tc>
        <w:tc>
          <w:tcPr>
            <w:tcW w:w="362" w:type="pct"/>
            <w:vAlign w:val="center"/>
          </w:tcPr>
          <w:p w14:paraId="22930DC2">
            <w:pPr>
              <w:widowControl/>
              <w:spacing w:before="78" w:line="240" w:lineRule="exact"/>
              <w:jc w:val="center"/>
              <w:rPr>
                <w:kern w:val="0"/>
                <w:szCs w:val="21"/>
              </w:rPr>
            </w:pPr>
            <w:r>
              <w:rPr>
                <w:kern w:val="32"/>
                <w:szCs w:val="21"/>
              </w:rPr>
              <w:t>20</w:t>
            </w:r>
          </w:p>
        </w:tc>
        <w:tc>
          <w:tcPr>
            <w:tcW w:w="468" w:type="pct"/>
            <w:vAlign w:val="center"/>
          </w:tcPr>
          <w:p w14:paraId="7E839E32">
            <w:pPr>
              <w:widowControl/>
              <w:spacing w:before="78" w:line="240" w:lineRule="exact"/>
              <w:jc w:val="center"/>
              <w:rPr>
                <w:kern w:val="0"/>
                <w:szCs w:val="21"/>
              </w:rPr>
            </w:pPr>
            <w:r>
              <w:rPr>
                <w:kern w:val="32"/>
                <w:szCs w:val="21"/>
              </w:rPr>
              <w:t>1.2</w:t>
            </w:r>
          </w:p>
        </w:tc>
        <w:tc>
          <w:tcPr>
            <w:tcW w:w="468" w:type="pct"/>
            <w:vAlign w:val="center"/>
          </w:tcPr>
          <w:p w14:paraId="1A58D263">
            <w:pPr>
              <w:widowControl/>
              <w:spacing w:before="78" w:line="240" w:lineRule="exact"/>
              <w:jc w:val="center"/>
              <w:rPr>
                <w:kern w:val="0"/>
                <w:szCs w:val="21"/>
              </w:rPr>
            </w:pPr>
            <w:r>
              <w:rPr>
                <w:kern w:val="0"/>
                <w:szCs w:val="21"/>
              </w:rPr>
              <w:t>20</w:t>
            </w:r>
          </w:p>
        </w:tc>
        <w:tc>
          <w:tcPr>
            <w:tcW w:w="469" w:type="pct"/>
            <w:vAlign w:val="center"/>
          </w:tcPr>
          <w:p w14:paraId="5C8BDAEF">
            <w:pPr>
              <w:widowControl/>
              <w:spacing w:before="78" w:line="240" w:lineRule="exact"/>
              <w:jc w:val="center"/>
              <w:rPr>
                <w:kern w:val="0"/>
                <w:szCs w:val="21"/>
              </w:rPr>
            </w:pPr>
            <w:r>
              <w:rPr>
                <w:kern w:val="0"/>
                <w:szCs w:val="21"/>
              </w:rPr>
              <w:t>0.5</w:t>
            </w:r>
          </w:p>
        </w:tc>
        <w:tc>
          <w:tcPr>
            <w:tcW w:w="468" w:type="pct"/>
            <w:vAlign w:val="center"/>
          </w:tcPr>
          <w:p w14:paraId="7C5ADAC9">
            <w:pPr>
              <w:widowControl/>
              <w:spacing w:before="78" w:line="240" w:lineRule="exact"/>
              <w:jc w:val="center"/>
              <w:rPr>
                <w:kern w:val="0"/>
                <w:szCs w:val="21"/>
              </w:rPr>
            </w:pPr>
            <w:r>
              <w:rPr>
                <w:kern w:val="0"/>
                <w:szCs w:val="21"/>
              </w:rPr>
              <w:t>非正常</w:t>
            </w:r>
          </w:p>
        </w:tc>
        <w:tc>
          <w:tcPr>
            <w:tcW w:w="468" w:type="pct"/>
            <w:vAlign w:val="center"/>
          </w:tcPr>
          <w:p w14:paraId="44885AAA">
            <w:pPr>
              <w:widowControl/>
              <w:spacing w:before="78" w:line="240" w:lineRule="exact"/>
              <w:jc w:val="center"/>
              <w:rPr>
                <w:bCs/>
                <w:kern w:val="0"/>
                <w:szCs w:val="21"/>
              </w:rPr>
            </w:pPr>
            <w:r>
              <w:rPr>
                <w:rFonts w:eastAsia="等线"/>
                <w:szCs w:val="21"/>
              </w:rPr>
              <w:t>70000</w:t>
            </w:r>
          </w:p>
        </w:tc>
        <w:tc>
          <w:tcPr>
            <w:tcW w:w="469" w:type="pct"/>
            <w:vAlign w:val="center"/>
          </w:tcPr>
          <w:p w14:paraId="3E0AF929">
            <w:pPr>
              <w:widowControl/>
              <w:spacing w:before="78" w:line="240" w:lineRule="exact"/>
              <w:jc w:val="center"/>
              <w:rPr>
                <w:kern w:val="0"/>
                <w:szCs w:val="21"/>
              </w:rPr>
            </w:pPr>
            <w:r>
              <w:rPr>
                <w:rFonts w:eastAsia="等线"/>
                <w:szCs w:val="21"/>
              </w:rPr>
              <w:t>17.20</w:t>
            </w:r>
          </w:p>
        </w:tc>
        <w:tc>
          <w:tcPr>
            <w:tcW w:w="633" w:type="pct"/>
            <w:vAlign w:val="center"/>
          </w:tcPr>
          <w:p w14:paraId="460565B9">
            <w:pPr>
              <w:widowControl/>
              <w:spacing w:before="78" w:line="240" w:lineRule="exact"/>
              <w:jc w:val="center"/>
              <w:rPr>
                <w:kern w:val="0"/>
                <w:szCs w:val="21"/>
              </w:rPr>
            </w:pPr>
            <w:r>
              <w:rPr>
                <w:rFonts w:hint="eastAsia" w:eastAsia="等线"/>
                <w:szCs w:val="21"/>
              </w:rPr>
              <w:t>125.53</w:t>
            </w:r>
          </w:p>
        </w:tc>
      </w:tr>
      <w:tr w14:paraId="0481BE4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8" w:hRule="atLeast"/>
        </w:trPr>
        <w:tc>
          <w:tcPr>
            <w:tcW w:w="152" w:type="pct"/>
            <w:vAlign w:val="center"/>
          </w:tcPr>
          <w:p w14:paraId="4E62DDEE">
            <w:pPr>
              <w:widowControl/>
              <w:spacing w:before="78" w:line="240" w:lineRule="exact"/>
              <w:jc w:val="center"/>
              <w:rPr>
                <w:kern w:val="0"/>
                <w:szCs w:val="21"/>
              </w:rPr>
            </w:pPr>
            <w:r>
              <w:rPr>
                <w:kern w:val="0"/>
                <w:szCs w:val="21"/>
              </w:rPr>
              <w:t>3</w:t>
            </w:r>
          </w:p>
        </w:tc>
        <w:tc>
          <w:tcPr>
            <w:tcW w:w="468" w:type="pct"/>
            <w:vAlign w:val="center"/>
          </w:tcPr>
          <w:p w14:paraId="41E8C85B">
            <w:pPr>
              <w:widowControl/>
              <w:spacing w:before="78" w:line="240" w:lineRule="exact"/>
              <w:jc w:val="center"/>
              <w:rPr>
                <w:kern w:val="0"/>
                <w:szCs w:val="21"/>
              </w:rPr>
            </w:pPr>
            <w:r>
              <w:rPr>
                <w:kern w:val="0"/>
                <w:szCs w:val="21"/>
              </w:rPr>
              <w:t>DA003</w:t>
            </w:r>
          </w:p>
        </w:tc>
        <w:tc>
          <w:tcPr>
            <w:tcW w:w="574" w:type="pct"/>
            <w:vAlign w:val="center"/>
          </w:tcPr>
          <w:p w14:paraId="1A5B1D2F">
            <w:pPr>
              <w:widowControl/>
              <w:spacing w:before="78" w:line="240" w:lineRule="exact"/>
              <w:jc w:val="center"/>
              <w:rPr>
                <w:kern w:val="0"/>
                <w:szCs w:val="21"/>
              </w:rPr>
            </w:pPr>
            <w:r>
              <w:rPr>
                <w:rFonts w:hint="eastAsia"/>
                <w:kern w:val="0"/>
                <w:szCs w:val="21"/>
              </w:rPr>
              <w:t>-48,3</w:t>
            </w:r>
          </w:p>
        </w:tc>
        <w:tc>
          <w:tcPr>
            <w:tcW w:w="362" w:type="pct"/>
            <w:vAlign w:val="center"/>
          </w:tcPr>
          <w:p w14:paraId="347B4A8C">
            <w:pPr>
              <w:widowControl/>
              <w:spacing w:before="78" w:line="240" w:lineRule="exact"/>
              <w:jc w:val="center"/>
              <w:rPr>
                <w:kern w:val="0"/>
                <w:szCs w:val="21"/>
              </w:rPr>
            </w:pPr>
            <w:r>
              <w:rPr>
                <w:kern w:val="32"/>
                <w:szCs w:val="21"/>
              </w:rPr>
              <w:t>20</w:t>
            </w:r>
          </w:p>
        </w:tc>
        <w:tc>
          <w:tcPr>
            <w:tcW w:w="468" w:type="pct"/>
            <w:vAlign w:val="center"/>
          </w:tcPr>
          <w:p w14:paraId="78E7B8B8">
            <w:pPr>
              <w:widowControl/>
              <w:spacing w:before="78" w:line="240" w:lineRule="exact"/>
              <w:jc w:val="center"/>
              <w:rPr>
                <w:kern w:val="0"/>
                <w:szCs w:val="21"/>
              </w:rPr>
            </w:pPr>
            <w:r>
              <w:rPr>
                <w:rFonts w:hint="eastAsia"/>
                <w:kern w:val="32"/>
                <w:szCs w:val="21"/>
              </w:rPr>
              <w:t>1.4</w:t>
            </w:r>
          </w:p>
        </w:tc>
        <w:tc>
          <w:tcPr>
            <w:tcW w:w="468" w:type="pct"/>
            <w:vAlign w:val="center"/>
          </w:tcPr>
          <w:p w14:paraId="6CA65F34">
            <w:pPr>
              <w:widowControl/>
              <w:spacing w:before="78" w:line="240" w:lineRule="exact"/>
              <w:jc w:val="center"/>
              <w:rPr>
                <w:kern w:val="0"/>
                <w:szCs w:val="21"/>
              </w:rPr>
            </w:pPr>
            <w:r>
              <w:rPr>
                <w:kern w:val="0"/>
                <w:szCs w:val="21"/>
              </w:rPr>
              <w:t>20</w:t>
            </w:r>
          </w:p>
        </w:tc>
        <w:tc>
          <w:tcPr>
            <w:tcW w:w="469" w:type="pct"/>
            <w:vAlign w:val="center"/>
          </w:tcPr>
          <w:p w14:paraId="459F518A">
            <w:pPr>
              <w:widowControl/>
              <w:spacing w:before="78" w:line="240" w:lineRule="exact"/>
              <w:jc w:val="center"/>
              <w:rPr>
                <w:kern w:val="0"/>
                <w:szCs w:val="21"/>
              </w:rPr>
            </w:pPr>
            <w:r>
              <w:rPr>
                <w:kern w:val="0"/>
                <w:szCs w:val="21"/>
              </w:rPr>
              <w:t>0.5</w:t>
            </w:r>
          </w:p>
        </w:tc>
        <w:tc>
          <w:tcPr>
            <w:tcW w:w="468" w:type="pct"/>
            <w:vAlign w:val="center"/>
          </w:tcPr>
          <w:p w14:paraId="0C07FA85">
            <w:pPr>
              <w:widowControl/>
              <w:spacing w:before="78" w:line="240" w:lineRule="exact"/>
              <w:jc w:val="center"/>
              <w:rPr>
                <w:kern w:val="0"/>
                <w:szCs w:val="21"/>
              </w:rPr>
            </w:pPr>
            <w:r>
              <w:rPr>
                <w:kern w:val="0"/>
                <w:szCs w:val="21"/>
              </w:rPr>
              <w:t>非正常</w:t>
            </w:r>
          </w:p>
        </w:tc>
        <w:tc>
          <w:tcPr>
            <w:tcW w:w="468" w:type="pct"/>
            <w:vAlign w:val="center"/>
          </w:tcPr>
          <w:p w14:paraId="29227C8F">
            <w:pPr>
              <w:widowControl/>
              <w:spacing w:before="78" w:line="240" w:lineRule="exact"/>
              <w:jc w:val="center"/>
              <w:rPr>
                <w:bCs/>
                <w:kern w:val="0"/>
                <w:szCs w:val="21"/>
              </w:rPr>
            </w:pPr>
            <w:r>
              <w:rPr>
                <w:rFonts w:hint="eastAsia" w:eastAsia="等线"/>
                <w:szCs w:val="21"/>
              </w:rPr>
              <w:t>10</w:t>
            </w:r>
            <w:r>
              <w:rPr>
                <w:rFonts w:eastAsia="等线"/>
                <w:szCs w:val="21"/>
              </w:rPr>
              <w:t>0000</w:t>
            </w:r>
          </w:p>
        </w:tc>
        <w:tc>
          <w:tcPr>
            <w:tcW w:w="469" w:type="pct"/>
            <w:vAlign w:val="center"/>
          </w:tcPr>
          <w:p w14:paraId="2B11554A">
            <w:pPr>
              <w:widowControl/>
              <w:spacing w:before="78" w:line="240" w:lineRule="exact"/>
              <w:jc w:val="center"/>
              <w:rPr>
                <w:kern w:val="0"/>
                <w:szCs w:val="21"/>
              </w:rPr>
            </w:pPr>
            <w:r>
              <w:rPr>
                <w:rFonts w:hint="eastAsia" w:eastAsia="等线"/>
                <w:szCs w:val="21"/>
              </w:rPr>
              <w:t>18.05</w:t>
            </w:r>
          </w:p>
        </w:tc>
        <w:tc>
          <w:tcPr>
            <w:tcW w:w="633" w:type="pct"/>
            <w:vAlign w:val="center"/>
          </w:tcPr>
          <w:p w14:paraId="5301BB78">
            <w:pPr>
              <w:widowControl/>
              <w:spacing w:before="78" w:line="240" w:lineRule="exact"/>
              <w:jc w:val="center"/>
              <w:rPr>
                <w:kern w:val="0"/>
                <w:szCs w:val="21"/>
              </w:rPr>
            </w:pPr>
            <w:r>
              <w:rPr>
                <w:rFonts w:hint="eastAsia" w:eastAsia="等线"/>
                <w:szCs w:val="21"/>
              </w:rPr>
              <w:t>159.97</w:t>
            </w:r>
          </w:p>
        </w:tc>
      </w:tr>
      <w:tr w14:paraId="29870F1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8" w:hRule="atLeast"/>
        </w:trPr>
        <w:tc>
          <w:tcPr>
            <w:tcW w:w="152" w:type="pct"/>
            <w:vAlign w:val="center"/>
          </w:tcPr>
          <w:p w14:paraId="006DF29B">
            <w:pPr>
              <w:widowControl/>
              <w:spacing w:before="78" w:line="240" w:lineRule="exact"/>
              <w:jc w:val="center"/>
              <w:rPr>
                <w:kern w:val="0"/>
                <w:szCs w:val="21"/>
              </w:rPr>
            </w:pPr>
            <w:r>
              <w:rPr>
                <w:rFonts w:hint="eastAsia"/>
                <w:kern w:val="0"/>
                <w:szCs w:val="21"/>
              </w:rPr>
              <w:t>4</w:t>
            </w:r>
          </w:p>
        </w:tc>
        <w:tc>
          <w:tcPr>
            <w:tcW w:w="468" w:type="pct"/>
            <w:vAlign w:val="center"/>
          </w:tcPr>
          <w:p w14:paraId="1500CFFF">
            <w:pPr>
              <w:widowControl/>
              <w:spacing w:before="78" w:line="240" w:lineRule="exact"/>
              <w:jc w:val="center"/>
              <w:rPr>
                <w:kern w:val="0"/>
                <w:szCs w:val="21"/>
              </w:rPr>
            </w:pPr>
            <w:r>
              <w:rPr>
                <w:kern w:val="0"/>
                <w:szCs w:val="21"/>
              </w:rPr>
              <w:t>DA00</w:t>
            </w:r>
            <w:r>
              <w:rPr>
                <w:rFonts w:hint="eastAsia"/>
                <w:kern w:val="0"/>
                <w:szCs w:val="21"/>
              </w:rPr>
              <w:t>4</w:t>
            </w:r>
          </w:p>
        </w:tc>
        <w:tc>
          <w:tcPr>
            <w:tcW w:w="574" w:type="pct"/>
            <w:vAlign w:val="center"/>
          </w:tcPr>
          <w:p w14:paraId="5B381924">
            <w:pPr>
              <w:widowControl/>
              <w:spacing w:before="78" w:line="240" w:lineRule="exact"/>
              <w:jc w:val="center"/>
              <w:rPr>
                <w:kern w:val="0"/>
                <w:szCs w:val="21"/>
              </w:rPr>
            </w:pPr>
            <w:r>
              <w:rPr>
                <w:rFonts w:hint="eastAsia"/>
                <w:kern w:val="0"/>
                <w:szCs w:val="21"/>
              </w:rPr>
              <w:t>260,244</w:t>
            </w:r>
          </w:p>
        </w:tc>
        <w:tc>
          <w:tcPr>
            <w:tcW w:w="362" w:type="pct"/>
            <w:vAlign w:val="center"/>
          </w:tcPr>
          <w:p w14:paraId="12296591">
            <w:pPr>
              <w:widowControl/>
              <w:spacing w:before="78" w:line="240" w:lineRule="exact"/>
              <w:jc w:val="center"/>
              <w:rPr>
                <w:kern w:val="0"/>
                <w:szCs w:val="21"/>
              </w:rPr>
            </w:pPr>
            <w:r>
              <w:rPr>
                <w:kern w:val="32"/>
                <w:szCs w:val="21"/>
              </w:rPr>
              <w:t>20</w:t>
            </w:r>
          </w:p>
        </w:tc>
        <w:tc>
          <w:tcPr>
            <w:tcW w:w="468" w:type="pct"/>
            <w:vAlign w:val="center"/>
          </w:tcPr>
          <w:p w14:paraId="592A219F">
            <w:pPr>
              <w:widowControl/>
              <w:spacing w:before="78" w:line="240" w:lineRule="exact"/>
              <w:jc w:val="center"/>
              <w:rPr>
                <w:kern w:val="0"/>
                <w:szCs w:val="21"/>
              </w:rPr>
            </w:pPr>
            <w:r>
              <w:rPr>
                <w:kern w:val="0"/>
                <w:szCs w:val="21"/>
              </w:rPr>
              <w:t>1.0</w:t>
            </w:r>
          </w:p>
        </w:tc>
        <w:tc>
          <w:tcPr>
            <w:tcW w:w="468" w:type="pct"/>
            <w:vAlign w:val="center"/>
          </w:tcPr>
          <w:p w14:paraId="4058C893">
            <w:pPr>
              <w:widowControl/>
              <w:spacing w:before="78" w:line="240" w:lineRule="exact"/>
              <w:jc w:val="center"/>
              <w:rPr>
                <w:kern w:val="0"/>
                <w:szCs w:val="21"/>
              </w:rPr>
            </w:pPr>
            <w:r>
              <w:rPr>
                <w:kern w:val="0"/>
                <w:szCs w:val="21"/>
              </w:rPr>
              <w:t>20</w:t>
            </w:r>
          </w:p>
        </w:tc>
        <w:tc>
          <w:tcPr>
            <w:tcW w:w="469" w:type="pct"/>
            <w:vAlign w:val="center"/>
          </w:tcPr>
          <w:p w14:paraId="291373E3">
            <w:pPr>
              <w:widowControl/>
              <w:spacing w:before="78" w:line="240" w:lineRule="exact"/>
              <w:jc w:val="center"/>
              <w:rPr>
                <w:kern w:val="0"/>
                <w:szCs w:val="21"/>
              </w:rPr>
            </w:pPr>
            <w:r>
              <w:rPr>
                <w:kern w:val="0"/>
                <w:szCs w:val="21"/>
              </w:rPr>
              <w:t>0.5</w:t>
            </w:r>
          </w:p>
        </w:tc>
        <w:tc>
          <w:tcPr>
            <w:tcW w:w="468" w:type="pct"/>
            <w:vAlign w:val="center"/>
          </w:tcPr>
          <w:p w14:paraId="6A51A60D">
            <w:pPr>
              <w:widowControl/>
              <w:spacing w:before="78" w:line="240" w:lineRule="exact"/>
              <w:jc w:val="center"/>
              <w:rPr>
                <w:kern w:val="0"/>
                <w:szCs w:val="21"/>
              </w:rPr>
            </w:pPr>
            <w:r>
              <w:rPr>
                <w:kern w:val="0"/>
                <w:szCs w:val="21"/>
              </w:rPr>
              <w:t>非正常</w:t>
            </w:r>
          </w:p>
        </w:tc>
        <w:tc>
          <w:tcPr>
            <w:tcW w:w="468" w:type="pct"/>
            <w:vAlign w:val="center"/>
          </w:tcPr>
          <w:p w14:paraId="595C31B7">
            <w:pPr>
              <w:widowControl/>
              <w:spacing w:before="78" w:line="240" w:lineRule="exact"/>
              <w:jc w:val="center"/>
              <w:rPr>
                <w:bCs/>
                <w:kern w:val="0"/>
                <w:szCs w:val="21"/>
              </w:rPr>
            </w:pPr>
            <w:r>
              <w:rPr>
                <w:rFonts w:eastAsia="等线"/>
                <w:szCs w:val="21"/>
              </w:rPr>
              <w:t>40000</w:t>
            </w:r>
          </w:p>
        </w:tc>
        <w:tc>
          <w:tcPr>
            <w:tcW w:w="469" w:type="pct"/>
            <w:vAlign w:val="center"/>
          </w:tcPr>
          <w:p w14:paraId="40EC1006">
            <w:pPr>
              <w:widowControl/>
              <w:spacing w:before="78" w:line="240" w:lineRule="exact"/>
              <w:jc w:val="center"/>
              <w:rPr>
                <w:kern w:val="0"/>
                <w:szCs w:val="21"/>
              </w:rPr>
            </w:pPr>
            <w:r>
              <w:rPr>
                <w:rFonts w:eastAsia="等线"/>
                <w:szCs w:val="21"/>
              </w:rPr>
              <w:t>14.15</w:t>
            </w:r>
          </w:p>
        </w:tc>
        <w:tc>
          <w:tcPr>
            <w:tcW w:w="633" w:type="pct"/>
            <w:vAlign w:val="center"/>
          </w:tcPr>
          <w:p w14:paraId="3B2F8827">
            <w:pPr>
              <w:widowControl/>
              <w:spacing w:before="78" w:line="240" w:lineRule="exact"/>
              <w:jc w:val="center"/>
              <w:rPr>
                <w:kern w:val="0"/>
                <w:szCs w:val="21"/>
              </w:rPr>
            </w:pPr>
            <w:r>
              <w:rPr>
                <w:rFonts w:hint="eastAsia" w:eastAsia="等线"/>
                <w:szCs w:val="21"/>
              </w:rPr>
              <w:t>58.26</w:t>
            </w:r>
          </w:p>
        </w:tc>
      </w:tr>
    </w:tbl>
    <w:p w14:paraId="20055DB3">
      <w:pPr>
        <w:spacing w:before="0" w:beforeLines="0" w:after="120" w:line="360" w:lineRule="auto"/>
        <w:ind w:left="900" w:leftChars="200" w:hanging="480" w:hangingChars="200"/>
        <w:jc w:val="center"/>
        <w:rPr>
          <w:kern w:val="0"/>
          <w:sz w:val="24"/>
          <w:szCs w:val="22"/>
        </w:rPr>
      </w:pPr>
    </w:p>
    <w:p w14:paraId="21EF8CDB">
      <w:pPr>
        <w:spacing w:before="0" w:beforeLines="0" w:after="120" w:line="360" w:lineRule="auto"/>
        <w:ind w:left="900" w:leftChars="200" w:hanging="480" w:hangingChars="200"/>
        <w:jc w:val="center"/>
        <w:rPr>
          <w:kern w:val="0"/>
          <w:sz w:val="24"/>
          <w:szCs w:val="22"/>
        </w:rPr>
        <w:sectPr>
          <w:pgSz w:w="11906" w:h="16838"/>
          <w:pgMar w:top="1440" w:right="1797" w:bottom="1440" w:left="1797" w:header="850" w:footer="964" w:gutter="0"/>
          <w:cols w:space="720" w:num="1"/>
          <w:docGrid w:type="lines" w:linePitch="312" w:charSpace="0"/>
        </w:sectPr>
      </w:pPr>
    </w:p>
    <w:p w14:paraId="2B52334C">
      <w:pPr>
        <w:keepNext/>
        <w:snapToGrid w:val="0"/>
        <w:spacing w:before="0" w:beforeLines="0" w:line="240" w:lineRule="auto"/>
        <w:jc w:val="center"/>
        <w:rPr>
          <w:b/>
          <w:bCs/>
          <w:szCs w:val="21"/>
        </w:rPr>
      </w:pPr>
      <w:r>
        <w:rPr>
          <w:b/>
          <w:bCs/>
          <w:szCs w:val="21"/>
        </w:rPr>
        <w:t>表5.2-14        本项目DA001非正常排放PM</w:t>
      </w:r>
      <w:r>
        <w:rPr>
          <w:b/>
          <w:bCs/>
          <w:szCs w:val="21"/>
          <w:vertAlign w:val="subscript"/>
        </w:rPr>
        <w:t>10</w:t>
      </w:r>
      <w:r>
        <w:rPr>
          <w:b/>
          <w:bCs/>
          <w:szCs w:val="21"/>
        </w:rPr>
        <w:t>贡献质量浓度预测结果表</w:t>
      </w:r>
    </w:p>
    <w:tbl>
      <w:tblPr>
        <w:tblStyle w:val="2151"/>
        <w:tblW w:w="5000" w:type="pct"/>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426"/>
        <w:gridCol w:w="2057"/>
        <w:gridCol w:w="1589"/>
        <w:gridCol w:w="1332"/>
        <w:gridCol w:w="1051"/>
        <w:gridCol w:w="1562"/>
        <w:gridCol w:w="1790"/>
        <w:gridCol w:w="1488"/>
        <w:gridCol w:w="1035"/>
        <w:gridCol w:w="908"/>
      </w:tblGrid>
      <w:tr w14:paraId="409A0B4C">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61" w:type="pct"/>
            <w:noWrap/>
            <w:vAlign w:val="center"/>
          </w:tcPr>
          <w:p w14:paraId="0B86BBD6">
            <w:pPr>
              <w:widowControl/>
              <w:adjustRightInd w:val="0"/>
              <w:snapToGrid w:val="0"/>
              <w:spacing w:before="0" w:beforeLines="0" w:line="240" w:lineRule="auto"/>
              <w:jc w:val="center"/>
              <w:rPr>
                <w:kern w:val="0"/>
                <w:szCs w:val="21"/>
              </w:rPr>
            </w:pPr>
            <w:r>
              <w:rPr>
                <w:kern w:val="0"/>
                <w:szCs w:val="21"/>
              </w:rPr>
              <w:t>序号</w:t>
            </w:r>
          </w:p>
        </w:tc>
        <w:tc>
          <w:tcPr>
            <w:tcW w:w="777" w:type="pct"/>
            <w:noWrap/>
            <w:vAlign w:val="center"/>
          </w:tcPr>
          <w:p w14:paraId="4AE0B052">
            <w:pPr>
              <w:widowControl/>
              <w:adjustRightInd w:val="0"/>
              <w:snapToGrid w:val="0"/>
              <w:spacing w:before="0" w:beforeLines="0" w:line="240" w:lineRule="auto"/>
              <w:jc w:val="center"/>
              <w:rPr>
                <w:kern w:val="0"/>
                <w:szCs w:val="21"/>
              </w:rPr>
            </w:pPr>
            <w:r>
              <w:rPr>
                <w:kern w:val="0"/>
                <w:szCs w:val="21"/>
              </w:rPr>
              <w:t>点名称</w:t>
            </w:r>
          </w:p>
        </w:tc>
        <w:tc>
          <w:tcPr>
            <w:tcW w:w="600" w:type="pct"/>
            <w:noWrap/>
            <w:vAlign w:val="center"/>
          </w:tcPr>
          <w:p w14:paraId="28D920BE">
            <w:pPr>
              <w:widowControl/>
              <w:adjustRightInd w:val="0"/>
              <w:snapToGrid w:val="0"/>
              <w:spacing w:before="0" w:beforeLines="0" w:line="240" w:lineRule="auto"/>
              <w:jc w:val="center"/>
              <w:rPr>
                <w:kern w:val="0"/>
                <w:szCs w:val="21"/>
              </w:rPr>
            </w:pPr>
            <w:r>
              <w:rPr>
                <w:kern w:val="0"/>
                <w:szCs w:val="21"/>
              </w:rPr>
              <w:t>点坐标(x或r,y或a)</w:t>
            </w:r>
          </w:p>
        </w:tc>
        <w:tc>
          <w:tcPr>
            <w:tcW w:w="503" w:type="pct"/>
            <w:noWrap/>
            <w:vAlign w:val="center"/>
          </w:tcPr>
          <w:p w14:paraId="2CC9E288">
            <w:pPr>
              <w:widowControl/>
              <w:adjustRightInd w:val="0"/>
              <w:snapToGrid w:val="0"/>
              <w:spacing w:before="0" w:beforeLines="0" w:line="240" w:lineRule="auto"/>
              <w:jc w:val="center"/>
              <w:rPr>
                <w:kern w:val="0"/>
                <w:szCs w:val="21"/>
              </w:rPr>
            </w:pPr>
            <w:r>
              <w:rPr>
                <w:kern w:val="0"/>
                <w:szCs w:val="21"/>
              </w:rPr>
              <w:t>地面高程(m)</w:t>
            </w:r>
          </w:p>
        </w:tc>
        <w:tc>
          <w:tcPr>
            <w:tcW w:w="397" w:type="pct"/>
            <w:noWrap/>
            <w:vAlign w:val="center"/>
          </w:tcPr>
          <w:p w14:paraId="58043626">
            <w:pPr>
              <w:widowControl/>
              <w:adjustRightInd w:val="0"/>
              <w:snapToGrid w:val="0"/>
              <w:spacing w:before="0" w:beforeLines="0" w:line="240" w:lineRule="auto"/>
              <w:jc w:val="center"/>
              <w:rPr>
                <w:kern w:val="0"/>
                <w:szCs w:val="21"/>
              </w:rPr>
            </w:pPr>
            <w:r>
              <w:rPr>
                <w:kern w:val="0"/>
                <w:szCs w:val="21"/>
              </w:rPr>
              <w:t>浓度类型</w:t>
            </w:r>
          </w:p>
        </w:tc>
        <w:tc>
          <w:tcPr>
            <w:tcW w:w="590" w:type="pct"/>
            <w:noWrap/>
            <w:vAlign w:val="center"/>
          </w:tcPr>
          <w:p w14:paraId="349E393B">
            <w:pPr>
              <w:widowControl/>
              <w:adjustRightInd w:val="0"/>
              <w:snapToGrid w:val="0"/>
              <w:spacing w:before="0" w:beforeLines="0" w:line="240" w:lineRule="auto"/>
              <w:jc w:val="center"/>
              <w:rPr>
                <w:kern w:val="0"/>
                <w:szCs w:val="21"/>
              </w:rPr>
            </w:pPr>
            <w:r>
              <w:rPr>
                <w:kern w:val="0"/>
                <w:szCs w:val="21"/>
              </w:rPr>
              <w:t>浓度增量(μg/m^3)</w:t>
            </w:r>
          </w:p>
        </w:tc>
        <w:tc>
          <w:tcPr>
            <w:tcW w:w="676" w:type="pct"/>
            <w:noWrap/>
            <w:vAlign w:val="center"/>
          </w:tcPr>
          <w:p w14:paraId="350655B7">
            <w:pPr>
              <w:widowControl/>
              <w:adjustRightInd w:val="0"/>
              <w:snapToGrid w:val="0"/>
              <w:spacing w:before="0" w:beforeLines="0" w:line="240" w:lineRule="auto"/>
              <w:jc w:val="center"/>
              <w:rPr>
                <w:kern w:val="0"/>
                <w:szCs w:val="21"/>
              </w:rPr>
            </w:pPr>
            <w:r>
              <w:rPr>
                <w:kern w:val="0"/>
                <w:szCs w:val="21"/>
              </w:rPr>
              <w:t>出现时间(YYMMDDHH)</w:t>
            </w:r>
          </w:p>
        </w:tc>
        <w:tc>
          <w:tcPr>
            <w:tcW w:w="562" w:type="pct"/>
            <w:noWrap/>
            <w:vAlign w:val="center"/>
          </w:tcPr>
          <w:p w14:paraId="4F1319AF">
            <w:pPr>
              <w:widowControl/>
              <w:adjustRightInd w:val="0"/>
              <w:snapToGrid w:val="0"/>
              <w:spacing w:before="0" w:beforeLines="0" w:line="240" w:lineRule="auto"/>
              <w:jc w:val="center"/>
              <w:rPr>
                <w:kern w:val="0"/>
                <w:szCs w:val="21"/>
              </w:rPr>
            </w:pPr>
            <w:r>
              <w:rPr>
                <w:kern w:val="0"/>
                <w:szCs w:val="21"/>
              </w:rPr>
              <w:t>评价标准(μg/m^3)</w:t>
            </w:r>
          </w:p>
        </w:tc>
        <w:tc>
          <w:tcPr>
            <w:tcW w:w="391" w:type="pct"/>
            <w:noWrap/>
            <w:vAlign w:val="center"/>
          </w:tcPr>
          <w:p w14:paraId="2ACD1E00">
            <w:pPr>
              <w:widowControl/>
              <w:adjustRightInd w:val="0"/>
              <w:snapToGrid w:val="0"/>
              <w:spacing w:before="0" w:beforeLines="0" w:line="240" w:lineRule="auto"/>
              <w:jc w:val="center"/>
              <w:rPr>
                <w:kern w:val="0"/>
                <w:szCs w:val="21"/>
              </w:rPr>
            </w:pPr>
            <w:r>
              <w:rPr>
                <w:kern w:val="0"/>
                <w:szCs w:val="21"/>
              </w:rPr>
              <w:t>占标率%</w:t>
            </w:r>
          </w:p>
        </w:tc>
        <w:tc>
          <w:tcPr>
            <w:tcW w:w="343" w:type="pct"/>
            <w:noWrap/>
            <w:vAlign w:val="center"/>
          </w:tcPr>
          <w:p w14:paraId="12BAA3C5">
            <w:pPr>
              <w:widowControl/>
              <w:adjustRightInd w:val="0"/>
              <w:snapToGrid w:val="0"/>
              <w:spacing w:before="0" w:beforeLines="0" w:line="240" w:lineRule="auto"/>
              <w:jc w:val="center"/>
              <w:rPr>
                <w:kern w:val="0"/>
                <w:szCs w:val="21"/>
              </w:rPr>
            </w:pPr>
            <w:r>
              <w:rPr>
                <w:kern w:val="0"/>
                <w:szCs w:val="21"/>
              </w:rPr>
              <w:t>是否</w:t>
            </w:r>
          </w:p>
          <w:p w14:paraId="1A04AE29">
            <w:pPr>
              <w:widowControl/>
              <w:adjustRightInd w:val="0"/>
              <w:snapToGrid w:val="0"/>
              <w:spacing w:before="0" w:beforeLines="0" w:line="240" w:lineRule="auto"/>
              <w:jc w:val="center"/>
              <w:rPr>
                <w:kern w:val="0"/>
                <w:szCs w:val="21"/>
              </w:rPr>
            </w:pPr>
            <w:r>
              <w:rPr>
                <w:kern w:val="0"/>
                <w:szCs w:val="21"/>
              </w:rPr>
              <w:t>超标</w:t>
            </w:r>
          </w:p>
        </w:tc>
      </w:tr>
      <w:tr w14:paraId="1C7BBE14">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61" w:type="pct"/>
            <w:noWrap/>
            <w:vAlign w:val="center"/>
          </w:tcPr>
          <w:p w14:paraId="70B0497C">
            <w:pPr>
              <w:widowControl/>
              <w:adjustRightInd w:val="0"/>
              <w:snapToGrid w:val="0"/>
              <w:spacing w:before="0" w:beforeLines="0" w:line="240" w:lineRule="auto"/>
              <w:jc w:val="center"/>
              <w:rPr>
                <w:kern w:val="0"/>
                <w:szCs w:val="21"/>
              </w:rPr>
            </w:pPr>
            <w:r>
              <w:rPr>
                <w:kern w:val="0"/>
                <w:szCs w:val="21"/>
              </w:rPr>
              <w:t>1</w:t>
            </w:r>
          </w:p>
        </w:tc>
        <w:tc>
          <w:tcPr>
            <w:tcW w:w="777" w:type="pct"/>
            <w:noWrap/>
            <w:vAlign w:val="center"/>
          </w:tcPr>
          <w:p w14:paraId="360002F3">
            <w:pPr>
              <w:widowControl/>
              <w:adjustRightInd w:val="0"/>
              <w:snapToGrid w:val="0"/>
              <w:spacing w:before="0" w:beforeLines="0" w:line="240" w:lineRule="auto"/>
              <w:jc w:val="center"/>
              <w:rPr>
                <w:kern w:val="0"/>
                <w:szCs w:val="21"/>
              </w:rPr>
            </w:pPr>
            <w:r>
              <w:rPr>
                <w:kern w:val="0"/>
                <w:szCs w:val="21"/>
              </w:rPr>
              <w:t>孟家窝堡</w:t>
            </w:r>
          </w:p>
        </w:tc>
        <w:tc>
          <w:tcPr>
            <w:tcW w:w="600" w:type="pct"/>
            <w:noWrap/>
            <w:vAlign w:val="center"/>
          </w:tcPr>
          <w:p w14:paraId="397DE325">
            <w:pPr>
              <w:widowControl/>
              <w:adjustRightInd w:val="0"/>
              <w:snapToGrid w:val="0"/>
              <w:spacing w:before="0" w:beforeLines="0" w:line="240" w:lineRule="auto"/>
              <w:jc w:val="center"/>
              <w:rPr>
                <w:kern w:val="0"/>
                <w:szCs w:val="21"/>
              </w:rPr>
            </w:pPr>
            <w:r>
              <w:rPr>
                <w:kern w:val="0"/>
                <w:szCs w:val="21"/>
              </w:rPr>
              <w:t>-1345,-349</w:t>
            </w:r>
          </w:p>
        </w:tc>
        <w:tc>
          <w:tcPr>
            <w:tcW w:w="503" w:type="pct"/>
            <w:noWrap/>
            <w:vAlign w:val="center"/>
          </w:tcPr>
          <w:p w14:paraId="2D7FC521">
            <w:pPr>
              <w:widowControl/>
              <w:adjustRightInd w:val="0"/>
              <w:snapToGrid w:val="0"/>
              <w:spacing w:before="0" w:beforeLines="0" w:line="240" w:lineRule="auto"/>
              <w:jc w:val="center"/>
              <w:rPr>
                <w:kern w:val="0"/>
                <w:szCs w:val="21"/>
              </w:rPr>
            </w:pPr>
            <w:r>
              <w:rPr>
                <w:kern w:val="0"/>
                <w:szCs w:val="21"/>
              </w:rPr>
              <w:t>272.58</w:t>
            </w:r>
          </w:p>
        </w:tc>
        <w:tc>
          <w:tcPr>
            <w:tcW w:w="397" w:type="pct"/>
            <w:noWrap/>
            <w:vAlign w:val="center"/>
          </w:tcPr>
          <w:p w14:paraId="19BA4FCB">
            <w:pPr>
              <w:widowControl/>
              <w:adjustRightInd w:val="0"/>
              <w:snapToGrid w:val="0"/>
              <w:spacing w:before="0" w:beforeLines="0" w:line="240" w:lineRule="auto"/>
              <w:jc w:val="center"/>
              <w:rPr>
                <w:kern w:val="0"/>
                <w:szCs w:val="21"/>
              </w:rPr>
            </w:pPr>
            <w:r>
              <w:rPr>
                <w:kern w:val="0"/>
                <w:szCs w:val="21"/>
              </w:rPr>
              <w:t>1小时</w:t>
            </w:r>
          </w:p>
        </w:tc>
        <w:tc>
          <w:tcPr>
            <w:tcW w:w="590" w:type="pct"/>
            <w:noWrap/>
            <w:vAlign w:val="center"/>
          </w:tcPr>
          <w:p w14:paraId="1B93D931">
            <w:pPr>
              <w:widowControl/>
              <w:adjustRightInd w:val="0"/>
              <w:snapToGrid w:val="0"/>
              <w:spacing w:before="0" w:beforeLines="0" w:line="240" w:lineRule="auto"/>
              <w:jc w:val="center"/>
              <w:rPr>
                <w:kern w:val="0"/>
                <w:szCs w:val="21"/>
              </w:rPr>
            </w:pPr>
            <w:r>
              <w:rPr>
                <w:rFonts w:hint="eastAsia" w:hAnsi="宋体"/>
                <w:kern w:val="0"/>
                <w:szCs w:val="21"/>
              </w:rPr>
              <w:t>1504.7830</w:t>
            </w:r>
          </w:p>
        </w:tc>
        <w:tc>
          <w:tcPr>
            <w:tcW w:w="676" w:type="pct"/>
            <w:noWrap/>
            <w:vAlign w:val="center"/>
          </w:tcPr>
          <w:p w14:paraId="11FFFA5B">
            <w:pPr>
              <w:widowControl/>
              <w:adjustRightInd w:val="0"/>
              <w:snapToGrid w:val="0"/>
              <w:spacing w:before="0" w:beforeLines="0" w:line="240" w:lineRule="auto"/>
              <w:jc w:val="center"/>
              <w:rPr>
                <w:kern w:val="0"/>
                <w:szCs w:val="21"/>
              </w:rPr>
            </w:pPr>
            <w:r>
              <w:rPr>
                <w:rFonts w:hint="eastAsia" w:hAnsi="宋体"/>
                <w:kern w:val="0"/>
                <w:szCs w:val="21"/>
              </w:rPr>
              <w:t>25090303</w:t>
            </w:r>
          </w:p>
        </w:tc>
        <w:tc>
          <w:tcPr>
            <w:tcW w:w="562" w:type="pct"/>
            <w:noWrap/>
            <w:vAlign w:val="center"/>
          </w:tcPr>
          <w:p w14:paraId="24342876">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14:paraId="00010193">
            <w:pPr>
              <w:widowControl/>
              <w:adjustRightInd w:val="0"/>
              <w:snapToGrid w:val="0"/>
              <w:spacing w:before="0" w:beforeLines="0" w:line="240" w:lineRule="auto"/>
              <w:jc w:val="center"/>
              <w:rPr>
                <w:kern w:val="0"/>
                <w:szCs w:val="21"/>
              </w:rPr>
            </w:pPr>
            <w:r>
              <w:rPr>
                <w:rFonts w:hint="eastAsia" w:hAnsi="宋体"/>
                <w:kern w:val="0"/>
                <w:szCs w:val="21"/>
              </w:rPr>
              <w:t>418.00</w:t>
            </w:r>
          </w:p>
        </w:tc>
        <w:tc>
          <w:tcPr>
            <w:tcW w:w="343" w:type="pct"/>
            <w:noWrap/>
            <w:vAlign w:val="center"/>
          </w:tcPr>
          <w:p w14:paraId="41A61B8D">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398096E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61" w:type="pct"/>
            <w:noWrap/>
            <w:vAlign w:val="center"/>
          </w:tcPr>
          <w:p w14:paraId="5237BC0A">
            <w:pPr>
              <w:widowControl/>
              <w:adjustRightInd w:val="0"/>
              <w:snapToGrid w:val="0"/>
              <w:spacing w:before="0" w:beforeLines="0" w:line="240" w:lineRule="auto"/>
              <w:jc w:val="center"/>
              <w:rPr>
                <w:kern w:val="0"/>
                <w:szCs w:val="21"/>
              </w:rPr>
            </w:pPr>
            <w:r>
              <w:rPr>
                <w:kern w:val="0"/>
                <w:szCs w:val="21"/>
              </w:rPr>
              <w:t>2</w:t>
            </w:r>
          </w:p>
        </w:tc>
        <w:tc>
          <w:tcPr>
            <w:tcW w:w="777" w:type="pct"/>
            <w:noWrap/>
            <w:vAlign w:val="center"/>
          </w:tcPr>
          <w:p w14:paraId="3F359D01">
            <w:pPr>
              <w:widowControl/>
              <w:adjustRightInd w:val="0"/>
              <w:snapToGrid w:val="0"/>
              <w:spacing w:before="0" w:beforeLines="0" w:line="240" w:lineRule="auto"/>
              <w:jc w:val="center"/>
              <w:rPr>
                <w:kern w:val="0"/>
                <w:szCs w:val="21"/>
              </w:rPr>
            </w:pPr>
            <w:r>
              <w:rPr>
                <w:kern w:val="0"/>
                <w:szCs w:val="21"/>
              </w:rPr>
              <w:t>阿哈来村</w:t>
            </w:r>
          </w:p>
        </w:tc>
        <w:tc>
          <w:tcPr>
            <w:tcW w:w="600" w:type="pct"/>
            <w:noWrap/>
            <w:vAlign w:val="center"/>
          </w:tcPr>
          <w:p w14:paraId="06D5133F">
            <w:pPr>
              <w:widowControl/>
              <w:adjustRightInd w:val="0"/>
              <w:snapToGrid w:val="0"/>
              <w:spacing w:before="0" w:beforeLines="0" w:line="240" w:lineRule="auto"/>
              <w:jc w:val="center"/>
              <w:rPr>
                <w:kern w:val="0"/>
                <w:szCs w:val="21"/>
              </w:rPr>
            </w:pPr>
            <w:r>
              <w:rPr>
                <w:kern w:val="0"/>
                <w:szCs w:val="21"/>
              </w:rPr>
              <w:t>-2099,589</w:t>
            </w:r>
          </w:p>
        </w:tc>
        <w:tc>
          <w:tcPr>
            <w:tcW w:w="503" w:type="pct"/>
            <w:noWrap/>
            <w:vAlign w:val="center"/>
          </w:tcPr>
          <w:p w14:paraId="3750103C">
            <w:pPr>
              <w:widowControl/>
              <w:adjustRightInd w:val="0"/>
              <w:snapToGrid w:val="0"/>
              <w:spacing w:before="0" w:beforeLines="0" w:line="240" w:lineRule="auto"/>
              <w:jc w:val="center"/>
              <w:rPr>
                <w:kern w:val="0"/>
                <w:szCs w:val="21"/>
              </w:rPr>
            </w:pPr>
            <w:r>
              <w:rPr>
                <w:kern w:val="0"/>
                <w:szCs w:val="21"/>
              </w:rPr>
              <w:t>266.66</w:t>
            </w:r>
          </w:p>
        </w:tc>
        <w:tc>
          <w:tcPr>
            <w:tcW w:w="397" w:type="pct"/>
            <w:noWrap/>
          </w:tcPr>
          <w:p w14:paraId="158B980E">
            <w:pPr>
              <w:widowControl/>
              <w:adjustRightInd w:val="0"/>
              <w:snapToGrid w:val="0"/>
              <w:spacing w:before="0" w:beforeLines="0" w:line="240" w:lineRule="auto"/>
              <w:jc w:val="center"/>
              <w:rPr>
                <w:kern w:val="0"/>
                <w:szCs w:val="21"/>
              </w:rPr>
            </w:pPr>
            <w:r>
              <w:rPr>
                <w:kern w:val="0"/>
                <w:szCs w:val="21"/>
              </w:rPr>
              <w:t>1小时</w:t>
            </w:r>
          </w:p>
        </w:tc>
        <w:tc>
          <w:tcPr>
            <w:tcW w:w="590" w:type="pct"/>
            <w:noWrap/>
            <w:vAlign w:val="center"/>
          </w:tcPr>
          <w:p w14:paraId="275504CA">
            <w:pPr>
              <w:widowControl/>
              <w:adjustRightInd w:val="0"/>
              <w:snapToGrid w:val="0"/>
              <w:spacing w:before="0" w:beforeLines="0" w:line="240" w:lineRule="auto"/>
              <w:jc w:val="center"/>
              <w:rPr>
                <w:kern w:val="0"/>
                <w:szCs w:val="21"/>
              </w:rPr>
            </w:pPr>
            <w:r>
              <w:rPr>
                <w:rFonts w:hint="eastAsia" w:hAnsi="宋体"/>
                <w:kern w:val="0"/>
                <w:szCs w:val="21"/>
              </w:rPr>
              <w:t>989.6544</w:t>
            </w:r>
          </w:p>
        </w:tc>
        <w:tc>
          <w:tcPr>
            <w:tcW w:w="676" w:type="pct"/>
            <w:noWrap/>
            <w:vAlign w:val="center"/>
          </w:tcPr>
          <w:p w14:paraId="03A5799A">
            <w:pPr>
              <w:widowControl/>
              <w:adjustRightInd w:val="0"/>
              <w:snapToGrid w:val="0"/>
              <w:spacing w:before="0" w:beforeLines="0" w:line="240" w:lineRule="auto"/>
              <w:jc w:val="center"/>
              <w:rPr>
                <w:kern w:val="0"/>
                <w:szCs w:val="21"/>
              </w:rPr>
            </w:pPr>
            <w:r>
              <w:rPr>
                <w:rFonts w:hint="eastAsia" w:hAnsi="宋体"/>
                <w:kern w:val="0"/>
                <w:szCs w:val="21"/>
              </w:rPr>
              <w:t>25092122</w:t>
            </w:r>
          </w:p>
        </w:tc>
        <w:tc>
          <w:tcPr>
            <w:tcW w:w="562" w:type="pct"/>
            <w:noWrap/>
            <w:vAlign w:val="center"/>
          </w:tcPr>
          <w:p w14:paraId="7E36AF9B">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14:paraId="12FBC306">
            <w:pPr>
              <w:widowControl/>
              <w:adjustRightInd w:val="0"/>
              <w:snapToGrid w:val="0"/>
              <w:spacing w:before="0" w:beforeLines="0" w:line="240" w:lineRule="auto"/>
              <w:jc w:val="center"/>
              <w:rPr>
                <w:kern w:val="0"/>
                <w:szCs w:val="21"/>
              </w:rPr>
            </w:pPr>
            <w:r>
              <w:rPr>
                <w:rFonts w:hint="eastAsia" w:hAnsi="宋体"/>
                <w:kern w:val="0"/>
                <w:szCs w:val="21"/>
              </w:rPr>
              <w:t>274.90</w:t>
            </w:r>
          </w:p>
        </w:tc>
        <w:tc>
          <w:tcPr>
            <w:tcW w:w="343" w:type="pct"/>
            <w:noWrap/>
            <w:vAlign w:val="center"/>
          </w:tcPr>
          <w:p w14:paraId="5F757E71">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53DFE340">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61" w:type="pct"/>
            <w:noWrap/>
            <w:vAlign w:val="center"/>
          </w:tcPr>
          <w:p w14:paraId="152A24AA">
            <w:pPr>
              <w:widowControl/>
              <w:adjustRightInd w:val="0"/>
              <w:snapToGrid w:val="0"/>
              <w:spacing w:before="0" w:beforeLines="0" w:line="240" w:lineRule="auto"/>
              <w:jc w:val="center"/>
              <w:rPr>
                <w:kern w:val="0"/>
                <w:szCs w:val="21"/>
              </w:rPr>
            </w:pPr>
            <w:r>
              <w:rPr>
                <w:kern w:val="0"/>
                <w:szCs w:val="21"/>
              </w:rPr>
              <w:t>3</w:t>
            </w:r>
          </w:p>
        </w:tc>
        <w:tc>
          <w:tcPr>
            <w:tcW w:w="777" w:type="pct"/>
            <w:noWrap/>
            <w:vAlign w:val="center"/>
          </w:tcPr>
          <w:p w14:paraId="0CCD5432">
            <w:pPr>
              <w:widowControl/>
              <w:adjustRightInd w:val="0"/>
              <w:snapToGrid w:val="0"/>
              <w:spacing w:before="0" w:beforeLines="0" w:line="240" w:lineRule="auto"/>
              <w:jc w:val="center"/>
              <w:rPr>
                <w:kern w:val="0"/>
                <w:szCs w:val="21"/>
              </w:rPr>
            </w:pPr>
            <w:r>
              <w:rPr>
                <w:kern w:val="0"/>
                <w:szCs w:val="21"/>
              </w:rPr>
              <w:t>庙沟</w:t>
            </w:r>
          </w:p>
        </w:tc>
        <w:tc>
          <w:tcPr>
            <w:tcW w:w="600" w:type="pct"/>
            <w:noWrap/>
            <w:vAlign w:val="center"/>
          </w:tcPr>
          <w:p w14:paraId="3C23ABC0">
            <w:pPr>
              <w:widowControl/>
              <w:adjustRightInd w:val="0"/>
              <w:snapToGrid w:val="0"/>
              <w:spacing w:before="0" w:beforeLines="0" w:line="240" w:lineRule="auto"/>
              <w:jc w:val="center"/>
              <w:rPr>
                <w:kern w:val="0"/>
                <w:szCs w:val="21"/>
              </w:rPr>
            </w:pPr>
            <w:r>
              <w:rPr>
                <w:kern w:val="0"/>
                <w:szCs w:val="21"/>
              </w:rPr>
              <w:t>-1444，2465</w:t>
            </w:r>
          </w:p>
        </w:tc>
        <w:tc>
          <w:tcPr>
            <w:tcW w:w="503" w:type="pct"/>
            <w:noWrap/>
            <w:vAlign w:val="center"/>
          </w:tcPr>
          <w:p w14:paraId="3F80B752">
            <w:pPr>
              <w:widowControl/>
              <w:adjustRightInd w:val="0"/>
              <w:snapToGrid w:val="0"/>
              <w:spacing w:before="0" w:beforeLines="0" w:line="240" w:lineRule="auto"/>
              <w:jc w:val="center"/>
              <w:rPr>
                <w:kern w:val="0"/>
                <w:szCs w:val="21"/>
              </w:rPr>
            </w:pPr>
            <w:r>
              <w:rPr>
                <w:kern w:val="0"/>
                <w:szCs w:val="21"/>
              </w:rPr>
              <w:t>269.82</w:t>
            </w:r>
          </w:p>
        </w:tc>
        <w:tc>
          <w:tcPr>
            <w:tcW w:w="397" w:type="pct"/>
            <w:noWrap/>
          </w:tcPr>
          <w:p w14:paraId="4805A512">
            <w:pPr>
              <w:widowControl/>
              <w:adjustRightInd w:val="0"/>
              <w:snapToGrid w:val="0"/>
              <w:spacing w:before="0" w:beforeLines="0" w:line="240" w:lineRule="auto"/>
              <w:jc w:val="center"/>
              <w:rPr>
                <w:kern w:val="0"/>
                <w:szCs w:val="21"/>
              </w:rPr>
            </w:pPr>
            <w:r>
              <w:rPr>
                <w:kern w:val="0"/>
                <w:szCs w:val="21"/>
              </w:rPr>
              <w:t>1小时</w:t>
            </w:r>
          </w:p>
        </w:tc>
        <w:tc>
          <w:tcPr>
            <w:tcW w:w="590" w:type="pct"/>
            <w:noWrap/>
            <w:vAlign w:val="center"/>
          </w:tcPr>
          <w:p w14:paraId="1B9A8D0A">
            <w:pPr>
              <w:widowControl/>
              <w:adjustRightInd w:val="0"/>
              <w:snapToGrid w:val="0"/>
              <w:spacing w:before="0" w:beforeLines="0" w:line="240" w:lineRule="auto"/>
              <w:jc w:val="center"/>
              <w:rPr>
                <w:kern w:val="0"/>
                <w:szCs w:val="21"/>
              </w:rPr>
            </w:pPr>
            <w:r>
              <w:rPr>
                <w:rFonts w:hint="eastAsia" w:hAnsi="宋体"/>
                <w:kern w:val="0"/>
                <w:szCs w:val="21"/>
              </w:rPr>
              <w:t>796.3369</w:t>
            </w:r>
          </w:p>
        </w:tc>
        <w:tc>
          <w:tcPr>
            <w:tcW w:w="676" w:type="pct"/>
            <w:noWrap/>
            <w:vAlign w:val="center"/>
          </w:tcPr>
          <w:p w14:paraId="132188E2">
            <w:pPr>
              <w:widowControl/>
              <w:adjustRightInd w:val="0"/>
              <w:snapToGrid w:val="0"/>
              <w:spacing w:before="0" w:beforeLines="0" w:line="240" w:lineRule="auto"/>
              <w:jc w:val="center"/>
              <w:rPr>
                <w:kern w:val="0"/>
                <w:szCs w:val="21"/>
              </w:rPr>
            </w:pPr>
            <w:r>
              <w:rPr>
                <w:rFonts w:hint="eastAsia" w:hAnsi="宋体"/>
                <w:kern w:val="0"/>
                <w:szCs w:val="21"/>
              </w:rPr>
              <w:t>25092101</w:t>
            </w:r>
          </w:p>
        </w:tc>
        <w:tc>
          <w:tcPr>
            <w:tcW w:w="562" w:type="pct"/>
            <w:noWrap/>
            <w:vAlign w:val="center"/>
          </w:tcPr>
          <w:p w14:paraId="088D0E30">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14:paraId="2665F0E0">
            <w:pPr>
              <w:widowControl/>
              <w:adjustRightInd w:val="0"/>
              <w:snapToGrid w:val="0"/>
              <w:spacing w:before="0" w:beforeLines="0" w:line="240" w:lineRule="auto"/>
              <w:jc w:val="center"/>
              <w:rPr>
                <w:kern w:val="0"/>
                <w:szCs w:val="21"/>
              </w:rPr>
            </w:pPr>
            <w:r>
              <w:rPr>
                <w:rFonts w:hint="eastAsia" w:hAnsi="宋体"/>
                <w:kern w:val="0"/>
                <w:szCs w:val="21"/>
              </w:rPr>
              <w:t>221.20</w:t>
            </w:r>
          </w:p>
        </w:tc>
        <w:tc>
          <w:tcPr>
            <w:tcW w:w="343" w:type="pct"/>
            <w:noWrap/>
            <w:vAlign w:val="center"/>
          </w:tcPr>
          <w:p w14:paraId="2FD68603">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6AC7817D">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61" w:type="pct"/>
            <w:noWrap/>
            <w:vAlign w:val="center"/>
          </w:tcPr>
          <w:p w14:paraId="4F1DF700">
            <w:pPr>
              <w:widowControl/>
              <w:adjustRightInd w:val="0"/>
              <w:snapToGrid w:val="0"/>
              <w:spacing w:before="0" w:beforeLines="0" w:line="240" w:lineRule="auto"/>
              <w:jc w:val="center"/>
              <w:rPr>
                <w:kern w:val="0"/>
                <w:szCs w:val="21"/>
              </w:rPr>
            </w:pPr>
            <w:r>
              <w:rPr>
                <w:kern w:val="0"/>
                <w:szCs w:val="21"/>
              </w:rPr>
              <w:t>4</w:t>
            </w:r>
          </w:p>
        </w:tc>
        <w:tc>
          <w:tcPr>
            <w:tcW w:w="777" w:type="pct"/>
            <w:noWrap/>
            <w:vAlign w:val="center"/>
          </w:tcPr>
          <w:p w14:paraId="4B99924B">
            <w:pPr>
              <w:widowControl/>
              <w:adjustRightInd w:val="0"/>
              <w:snapToGrid w:val="0"/>
              <w:spacing w:before="0" w:beforeLines="0" w:line="240" w:lineRule="auto"/>
              <w:jc w:val="center"/>
              <w:rPr>
                <w:kern w:val="0"/>
                <w:szCs w:val="21"/>
              </w:rPr>
            </w:pPr>
            <w:r>
              <w:rPr>
                <w:kern w:val="0"/>
                <w:szCs w:val="21"/>
              </w:rPr>
              <w:t>南山</w:t>
            </w:r>
          </w:p>
        </w:tc>
        <w:tc>
          <w:tcPr>
            <w:tcW w:w="600" w:type="pct"/>
            <w:noWrap/>
            <w:vAlign w:val="center"/>
          </w:tcPr>
          <w:p w14:paraId="5D8E122C">
            <w:pPr>
              <w:widowControl/>
              <w:adjustRightInd w:val="0"/>
              <w:snapToGrid w:val="0"/>
              <w:spacing w:before="0" w:beforeLines="0" w:line="240" w:lineRule="auto"/>
              <w:jc w:val="center"/>
              <w:rPr>
                <w:kern w:val="0"/>
                <w:szCs w:val="21"/>
              </w:rPr>
            </w:pPr>
            <w:r>
              <w:rPr>
                <w:kern w:val="0"/>
                <w:szCs w:val="21"/>
              </w:rPr>
              <w:t>-2423,-913</w:t>
            </w:r>
          </w:p>
        </w:tc>
        <w:tc>
          <w:tcPr>
            <w:tcW w:w="503" w:type="pct"/>
            <w:noWrap/>
            <w:vAlign w:val="center"/>
          </w:tcPr>
          <w:p w14:paraId="2E5C1467">
            <w:pPr>
              <w:widowControl/>
              <w:adjustRightInd w:val="0"/>
              <w:snapToGrid w:val="0"/>
              <w:spacing w:before="0" w:beforeLines="0" w:line="240" w:lineRule="auto"/>
              <w:jc w:val="center"/>
              <w:rPr>
                <w:kern w:val="0"/>
                <w:szCs w:val="21"/>
              </w:rPr>
            </w:pPr>
            <w:r>
              <w:rPr>
                <w:kern w:val="0"/>
                <w:szCs w:val="21"/>
              </w:rPr>
              <w:t>284.09</w:t>
            </w:r>
          </w:p>
        </w:tc>
        <w:tc>
          <w:tcPr>
            <w:tcW w:w="397" w:type="pct"/>
            <w:noWrap/>
          </w:tcPr>
          <w:p w14:paraId="1D8774E8">
            <w:pPr>
              <w:widowControl/>
              <w:adjustRightInd w:val="0"/>
              <w:snapToGrid w:val="0"/>
              <w:spacing w:before="0" w:beforeLines="0" w:line="240" w:lineRule="auto"/>
              <w:jc w:val="center"/>
              <w:rPr>
                <w:kern w:val="0"/>
                <w:szCs w:val="21"/>
              </w:rPr>
            </w:pPr>
            <w:r>
              <w:rPr>
                <w:kern w:val="0"/>
                <w:szCs w:val="21"/>
              </w:rPr>
              <w:t>1小时</w:t>
            </w:r>
          </w:p>
        </w:tc>
        <w:tc>
          <w:tcPr>
            <w:tcW w:w="590" w:type="pct"/>
            <w:noWrap/>
            <w:vAlign w:val="center"/>
          </w:tcPr>
          <w:p w14:paraId="709CB8AD">
            <w:pPr>
              <w:widowControl/>
              <w:adjustRightInd w:val="0"/>
              <w:snapToGrid w:val="0"/>
              <w:spacing w:before="0" w:beforeLines="0" w:line="240" w:lineRule="auto"/>
              <w:jc w:val="center"/>
              <w:rPr>
                <w:kern w:val="0"/>
                <w:szCs w:val="21"/>
              </w:rPr>
            </w:pPr>
            <w:r>
              <w:rPr>
                <w:rFonts w:hint="eastAsia" w:hAnsi="宋体"/>
                <w:kern w:val="0"/>
                <w:szCs w:val="21"/>
              </w:rPr>
              <w:t>618.3918</w:t>
            </w:r>
          </w:p>
        </w:tc>
        <w:tc>
          <w:tcPr>
            <w:tcW w:w="676" w:type="pct"/>
            <w:noWrap/>
            <w:vAlign w:val="center"/>
          </w:tcPr>
          <w:p w14:paraId="4765C13A">
            <w:pPr>
              <w:widowControl/>
              <w:adjustRightInd w:val="0"/>
              <w:snapToGrid w:val="0"/>
              <w:spacing w:before="0" w:beforeLines="0" w:line="240" w:lineRule="auto"/>
              <w:jc w:val="center"/>
              <w:rPr>
                <w:kern w:val="0"/>
                <w:szCs w:val="21"/>
              </w:rPr>
            </w:pPr>
            <w:r>
              <w:rPr>
                <w:rFonts w:hint="eastAsia" w:hAnsi="宋体"/>
                <w:kern w:val="0"/>
                <w:szCs w:val="21"/>
              </w:rPr>
              <w:t>25100719</w:t>
            </w:r>
          </w:p>
        </w:tc>
        <w:tc>
          <w:tcPr>
            <w:tcW w:w="562" w:type="pct"/>
            <w:noWrap/>
            <w:vAlign w:val="center"/>
          </w:tcPr>
          <w:p w14:paraId="25B2BBFE">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14:paraId="54E2C4A8">
            <w:pPr>
              <w:widowControl/>
              <w:adjustRightInd w:val="0"/>
              <w:snapToGrid w:val="0"/>
              <w:spacing w:before="0" w:beforeLines="0" w:line="240" w:lineRule="auto"/>
              <w:jc w:val="center"/>
              <w:rPr>
                <w:kern w:val="0"/>
                <w:szCs w:val="21"/>
              </w:rPr>
            </w:pPr>
            <w:r>
              <w:rPr>
                <w:rFonts w:hint="eastAsia" w:hAnsi="宋体"/>
                <w:kern w:val="0"/>
                <w:szCs w:val="21"/>
              </w:rPr>
              <w:t>171.78</w:t>
            </w:r>
          </w:p>
        </w:tc>
        <w:tc>
          <w:tcPr>
            <w:tcW w:w="343" w:type="pct"/>
            <w:noWrap/>
            <w:vAlign w:val="center"/>
          </w:tcPr>
          <w:p w14:paraId="1A9F4284">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30788765">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61" w:type="pct"/>
            <w:noWrap/>
            <w:vAlign w:val="center"/>
          </w:tcPr>
          <w:p w14:paraId="02BF99D1">
            <w:pPr>
              <w:widowControl/>
              <w:adjustRightInd w:val="0"/>
              <w:snapToGrid w:val="0"/>
              <w:spacing w:before="0" w:beforeLines="0" w:line="240" w:lineRule="auto"/>
              <w:jc w:val="center"/>
              <w:rPr>
                <w:kern w:val="0"/>
                <w:szCs w:val="21"/>
              </w:rPr>
            </w:pPr>
            <w:r>
              <w:rPr>
                <w:kern w:val="0"/>
                <w:szCs w:val="21"/>
              </w:rPr>
              <w:t>5</w:t>
            </w:r>
          </w:p>
        </w:tc>
        <w:tc>
          <w:tcPr>
            <w:tcW w:w="777" w:type="pct"/>
            <w:noWrap/>
            <w:vAlign w:val="center"/>
          </w:tcPr>
          <w:p w14:paraId="0B7C8EB7">
            <w:pPr>
              <w:widowControl/>
              <w:adjustRightInd w:val="0"/>
              <w:snapToGrid w:val="0"/>
              <w:spacing w:before="0" w:beforeLines="0" w:line="240" w:lineRule="auto"/>
              <w:jc w:val="center"/>
              <w:rPr>
                <w:kern w:val="0"/>
                <w:szCs w:val="21"/>
              </w:rPr>
            </w:pPr>
            <w:r>
              <w:rPr>
                <w:kern w:val="0"/>
                <w:szCs w:val="21"/>
              </w:rPr>
              <w:t>邵家窝堡</w:t>
            </w:r>
          </w:p>
        </w:tc>
        <w:tc>
          <w:tcPr>
            <w:tcW w:w="600" w:type="pct"/>
            <w:noWrap/>
            <w:vAlign w:val="center"/>
          </w:tcPr>
          <w:p w14:paraId="447BC744">
            <w:pPr>
              <w:widowControl/>
              <w:adjustRightInd w:val="0"/>
              <w:snapToGrid w:val="0"/>
              <w:spacing w:before="0" w:beforeLines="0" w:line="240" w:lineRule="auto"/>
              <w:jc w:val="center"/>
              <w:rPr>
                <w:kern w:val="0"/>
                <w:szCs w:val="21"/>
              </w:rPr>
            </w:pPr>
            <w:r>
              <w:rPr>
                <w:kern w:val="0"/>
                <w:szCs w:val="21"/>
              </w:rPr>
              <w:t>760，1865</w:t>
            </w:r>
          </w:p>
        </w:tc>
        <w:tc>
          <w:tcPr>
            <w:tcW w:w="503" w:type="pct"/>
            <w:noWrap/>
            <w:vAlign w:val="center"/>
          </w:tcPr>
          <w:p w14:paraId="5B9862CB">
            <w:pPr>
              <w:widowControl/>
              <w:adjustRightInd w:val="0"/>
              <w:snapToGrid w:val="0"/>
              <w:spacing w:before="0" w:beforeLines="0" w:line="240" w:lineRule="auto"/>
              <w:jc w:val="center"/>
              <w:rPr>
                <w:kern w:val="0"/>
                <w:szCs w:val="21"/>
              </w:rPr>
            </w:pPr>
            <w:r>
              <w:rPr>
                <w:kern w:val="0"/>
                <w:szCs w:val="21"/>
              </w:rPr>
              <w:t>257.54</w:t>
            </w:r>
          </w:p>
        </w:tc>
        <w:tc>
          <w:tcPr>
            <w:tcW w:w="397" w:type="pct"/>
            <w:noWrap/>
          </w:tcPr>
          <w:p w14:paraId="0012F445">
            <w:pPr>
              <w:widowControl/>
              <w:adjustRightInd w:val="0"/>
              <w:snapToGrid w:val="0"/>
              <w:spacing w:before="0" w:beforeLines="0" w:line="240" w:lineRule="auto"/>
              <w:jc w:val="center"/>
              <w:rPr>
                <w:kern w:val="0"/>
                <w:szCs w:val="21"/>
              </w:rPr>
            </w:pPr>
            <w:r>
              <w:rPr>
                <w:kern w:val="0"/>
                <w:szCs w:val="21"/>
              </w:rPr>
              <w:t>1小时</w:t>
            </w:r>
          </w:p>
        </w:tc>
        <w:tc>
          <w:tcPr>
            <w:tcW w:w="590" w:type="pct"/>
            <w:noWrap/>
            <w:vAlign w:val="center"/>
          </w:tcPr>
          <w:p w14:paraId="7231AB78">
            <w:pPr>
              <w:widowControl/>
              <w:adjustRightInd w:val="0"/>
              <w:snapToGrid w:val="0"/>
              <w:spacing w:before="0" w:beforeLines="0" w:line="240" w:lineRule="auto"/>
              <w:jc w:val="center"/>
              <w:rPr>
                <w:kern w:val="0"/>
                <w:szCs w:val="21"/>
              </w:rPr>
            </w:pPr>
            <w:r>
              <w:rPr>
                <w:rFonts w:hint="eastAsia" w:hAnsi="宋体"/>
                <w:kern w:val="0"/>
                <w:szCs w:val="21"/>
              </w:rPr>
              <w:t>809.0601</w:t>
            </w:r>
          </w:p>
        </w:tc>
        <w:tc>
          <w:tcPr>
            <w:tcW w:w="676" w:type="pct"/>
            <w:noWrap/>
            <w:vAlign w:val="center"/>
          </w:tcPr>
          <w:p w14:paraId="768C0178">
            <w:pPr>
              <w:widowControl/>
              <w:adjustRightInd w:val="0"/>
              <w:snapToGrid w:val="0"/>
              <w:spacing w:before="0" w:beforeLines="0" w:line="240" w:lineRule="auto"/>
              <w:jc w:val="center"/>
              <w:rPr>
                <w:kern w:val="0"/>
                <w:szCs w:val="21"/>
              </w:rPr>
            </w:pPr>
            <w:r>
              <w:rPr>
                <w:rFonts w:hint="eastAsia" w:hAnsi="宋体"/>
                <w:kern w:val="0"/>
                <w:szCs w:val="21"/>
              </w:rPr>
              <w:t>25092824</w:t>
            </w:r>
          </w:p>
        </w:tc>
        <w:tc>
          <w:tcPr>
            <w:tcW w:w="562" w:type="pct"/>
            <w:noWrap/>
            <w:vAlign w:val="center"/>
          </w:tcPr>
          <w:p w14:paraId="74214F34">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14:paraId="3CE86C69">
            <w:pPr>
              <w:widowControl/>
              <w:adjustRightInd w:val="0"/>
              <w:snapToGrid w:val="0"/>
              <w:spacing w:before="0" w:beforeLines="0" w:line="240" w:lineRule="auto"/>
              <w:jc w:val="center"/>
              <w:rPr>
                <w:kern w:val="0"/>
                <w:szCs w:val="21"/>
              </w:rPr>
            </w:pPr>
            <w:r>
              <w:rPr>
                <w:rFonts w:hint="eastAsia" w:hAnsi="宋体"/>
                <w:kern w:val="0"/>
                <w:szCs w:val="21"/>
              </w:rPr>
              <w:t>224.74</w:t>
            </w:r>
          </w:p>
        </w:tc>
        <w:tc>
          <w:tcPr>
            <w:tcW w:w="343" w:type="pct"/>
            <w:noWrap/>
            <w:vAlign w:val="center"/>
          </w:tcPr>
          <w:p w14:paraId="3B93CEFD">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3A963C05">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61" w:type="pct"/>
            <w:noWrap/>
            <w:vAlign w:val="center"/>
          </w:tcPr>
          <w:p w14:paraId="1AEEEC1C">
            <w:pPr>
              <w:widowControl/>
              <w:adjustRightInd w:val="0"/>
              <w:snapToGrid w:val="0"/>
              <w:spacing w:before="0" w:beforeLines="0" w:line="240" w:lineRule="auto"/>
              <w:jc w:val="center"/>
              <w:rPr>
                <w:kern w:val="0"/>
                <w:szCs w:val="21"/>
              </w:rPr>
            </w:pPr>
            <w:r>
              <w:rPr>
                <w:kern w:val="0"/>
                <w:szCs w:val="21"/>
              </w:rPr>
              <w:t>6</w:t>
            </w:r>
          </w:p>
        </w:tc>
        <w:tc>
          <w:tcPr>
            <w:tcW w:w="777" w:type="pct"/>
            <w:noWrap/>
            <w:vAlign w:val="center"/>
          </w:tcPr>
          <w:p w14:paraId="5AE4AD69">
            <w:pPr>
              <w:widowControl/>
              <w:adjustRightInd w:val="0"/>
              <w:snapToGrid w:val="0"/>
              <w:spacing w:before="0" w:beforeLines="0" w:line="240" w:lineRule="auto"/>
              <w:jc w:val="center"/>
              <w:rPr>
                <w:kern w:val="0"/>
                <w:szCs w:val="21"/>
              </w:rPr>
            </w:pPr>
            <w:r>
              <w:rPr>
                <w:kern w:val="0"/>
                <w:szCs w:val="21"/>
              </w:rPr>
              <w:t>满汉营子</w:t>
            </w:r>
          </w:p>
        </w:tc>
        <w:tc>
          <w:tcPr>
            <w:tcW w:w="600" w:type="pct"/>
            <w:noWrap/>
            <w:vAlign w:val="center"/>
          </w:tcPr>
          <w:p w14:paraId="11DD7AAD">
            <w:pPr>
              <w:widowControl/>
              <w:adjustRightInd w:val="0"/>
              <w:snapToGrid w:val="0"/>
              <w:spacing w:before="0" w:beforeLines="0" w:line="240" w:lineRule="auto"/>
              <w:jc w:val="center"/>
              <w:rPr>
                <w:kern w:val="0"/>
                <w:szCs w:val="21"/>
              </w:rPr>
            </w:pPr>
            <w:r>
              <w:rPr>
                <w:kern w:val="0"/>
                <w:szCs w:val="21"/>
              </w:rPr>
              <w:t>2366，1019</w:t>
            </w:r>
          </w:p>
        </w:tc>
        <w:tc>
          <w:tcPr>
            <w:tcW w:w="503" w:type="pct"/>
            <w:noWrap/>
            <w:vAlign w:val="center"/>
          </w:tcPr>
          <w:p w14:paraId="78B7F70A">
            <w:pPr>
              <w:widowControl/>
              <w:adjustRightInd w:val="0"/>
              <w:snapToGrid w:val="0"/>
              <w:spacing w:before="0" w:beforeLines="0" w:line="240" w:lineRule="auto"/>
              <w:jc w:val="center"/>
              <w:rPr>
                <w:kern w:val="0"/>
                <w:szCs w:val="21"/>
              </w:rPr>
            </w:pPr>
            <w:r>
              <w:rPr>
                <w:kern w:val="0"/>
                <w:szCs w:val="21"/>
              </w:rPr>
              <w:t>262.39</w:t>
            </w:r>
          </w:p>
        </w:tc>
        <w:tc>
          <w:tcPr>
            <w:tcW w:w="397" w:type="pct"/>
            <w:noWrap/>
          </w:tcPr>
          <w:p w14:paraId="448D43AD">
            <w:pPr>
              <w:widowControl/>
              <w:adjustRightInd w:val="0"/>
              <w:snapToGrid w:val="0"/>
              <w:spacing w:before="0" w:beforeLines="0" w:line="240" w:lineRule="auto"/>
              <w:jc w:val="center"/>
              <w:rPr>
                <w:kern w:val="0"/>
                <w:szCs w:val="21"/>
              </w:rPr>
            </w:pPr>
            <w:r>
              <w:rPr>
                <w:kern w:val="0"/>
                <w:szCs w:val="21"/>
              </w:rPr>
              <w:t>1小时</w:t>
            </w:r>
          </w:p>
        </w:tc>
        <w:tc>
          <w:tcPr>
            <w:tcW w:w="590" w:type="pct"/>
            <w:noWrap/>
            <w:vAlign w:val="center"/>
          </w:tcPr>
          <w:p w14:paraId="7A6A263A">
            <w:pPr>
              <w:widowControl/>
              <w:adjustRightInd w:val="0"/>
              <w:snapToGrid w:val="0"/>
              <w:spacing w:before="0" w:beforeLines="0" w:line="240" w:lineRule="auto"/>
              <w:jc w:val="center"/>
              <w:rPr>
                <w:kern w:val="0"/>
                <w:szCs w:val="21"/>
              </w:rPr>
            </w:pPr>
            <w:r>
              <w:rPr>
                <w:rFonts w:hint="eastAsia" w:hAnsi="宋体"/>
                <w:kern w:val="0"/>
                <w:szCs w:val="21"/>
              </w:rPr>
              <w:t>489.8777</w:t>
            </w:r>
          </w:p>
        </w:tc>
        <w:tc>
          <w:tcPr>
            <w:tcW w:w="676" w:type="pct"/>
            <w:noWrap/>
            <w:vAlign w:val="center"/>
          </w:tcPr>
          <w:p w14:paraId="55496BDD">
            <w:pPr>
              <w:widowControl/>
              <w:adjustRightInd w:val="0"/>
              <w:snapToGrid w:val="0"/>
              <w:spacing w:before="0" w:beforeLines="0" w:line="240" w:lineRule="auto"/>
              <w:jc w:val="center"/>
              <w:rPr>
                <w:kern w:val="0"/>
                <w:szCs w:val="21"/>
              </w:rPr>
            </w:pPr>
            <w:r>
              <w:rPr>
                <w:rFonts w:hint="eastAsia" w:hAnsi="宋体"/>
                <w:kern w:val="0"/>
                <w:szCs w:val="21"/>
              </w:rPr>
              <w:t>25081022</w:t>
            </w:r>
          </w:p>
        </w:tc>
        <w:tc>
          <w:tcPr>
            <w:tcW w:w="562" w:type="pct"/>
            <w:noWrap/>
            <w:vAlign w:val="center"/>
          </w:tcPr>
          <w:p w14:paraId="7CBBF398">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14:paraId="517D0727">
            <w:pPr>
              <w:widowControl/>
              <w:adjustRightInd w:val="0"/>
              <w:snapToGrid w:val="0"/>
              <w:spacing w:before="0" w:beforeLines="0" w:line="240" w:lineRule="auto"/>
              <w:jc w:val="center"/>
              <w:rPr>
                <w:kern w:val="0"/>
                <w:szCs w:val="21"/>
              </w:rPr>
            </w:pPr>
            <w:r>
              <w:rPr>
                <w:rFonts w:hint="eastAsia" w:hAnsi="宋体"/>
                <w:kern w:val="0"/>
                <w:szCs w:val="21"/>
              </w:rPr>
              <w:t>136.08</w:t>
            </w:r>
          </w:p>
        </w:tc>
        <w:tc>
          <w:tcPr>
            <w:tcW w:w="343" w:type="pct"/>
            <w:noWrap/>
            <w:vAlign w:val="center"/>
          </w:tcPr>
          <w:p w14:paraId="4488439A">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28A935B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61" w:type="pct"/>
            <w:noWrap/>
            <w:vAlign w:val="center"/>
          </w:tcPr>
          <w:p w14:paraId="308953D3">
            <w:pPr>
              <w:widowControl/>
              <w:adjustRightInd w:val="0"/>
              <w:snapToGrid w:val="0"/>
              <w:spacing w:before="0" w:beforeLines="0" w:line="240" w:lineRule="auto"/>
              <w:jc w:val="center"/>
              <w:rPr>
                <w:kern w:val="0"/>
                <w:szCs w:val="21"/>
              </w:rPr>
            </w:pPr>
            <w:r>
              <w:rPr>
                <w:kern w:val="0"/>
                <w:szCs w:val="21"/>
              </w:rPr>
              <w:t>7</w:t>
            </w:r>
          </w:p>
        </w:tc>
        <w:tc>
          <w:tcPr>
            <w:tcW w:w="777" w:type="pct"/>
            <w:noWrap/>
            <w:vAlign w:val="center"/>
          </w:tcPr>
          <w:p w14:paraId="1F618E7C">
            <w:pPr>
              <w:widowControl/>
              <w:adjustRightInd w:val="0"/>
              <w:snapToGrid w:val="0"/>
              <w:spacing w:before="0" w:beforeLines="0" w:line="240" w:lineRule="auto"/>
              <w:jc w:val="center"/>
              <w:rPr>
                <w:kern w:val="0"/>
                <w:szCs w:val="21"/>
              </w:rPr>
            </w:pPr>
            <w:r>
              <w:rPr>
                <w:kern w:val="0"/>
                <w:szCs w:val="21"/>
              </w:rPr>
              <w:t>郎家窝堡</w:t>
            </w:r>
          </w:p>
        </w:tc>
        <w:tc>
          <w:tcPr>
            <w:tcW w:w="600" w:type="pct"/>
            <w:noWrap/>
            <w:vAlign w:val="center"/>
          </w:tcPr>
          <w:p w14:paraId="7CA3F3CD">
            <w:pPr>
              <w:widowControl/>
              <w:adjustRightInd w:val="0"/>
              <w:snapToGrid w:val="0"/>
              <w:spacing w:before="0" w:beforeLines="0" w:line="240" w:lineRule="auto"/>
              <w:jc w:val="center"/>
              <w:rPr>
                <w:kern w:val="0"/>
                <w:szCs w:val="21"/>
              </w:rPr>
            </w:pPr>
            <w:r>
              <w:rPr>
                <w:kern w:val="0"/>
                <w:szCs w:val="21"/>
              </w:rPr>
              <w:t>2451，2436</w:t>
            </w:r>
          </w:p>
        </w:tc>
        <w:tc>
          <w:tcPr>
            <w:tcW w:w="503" w:type="pct"/>
            <w:noWrap/>
            <w:vAlign w:val="center"/>
          </w:tcPr>
          <w:p w14:paraId="38CCE7A0">
            <w:pPr>
              <w:widowControl/>
              <w:adjustRightInd w:val="0"/>
              <w:snapToGrid w:val="0"/>
              <w:spacing w:before="0" w:beforeLines="0" w:line="240" w:lineRule="auto"/>
              <w:jc w:val="center"/>
              <w:rPr>
                <w:kern w:val="0"/>
                <w:szCs w:val="21"/>
              </w:rPr>
            </w:pPr>
            <w:r>
              <w:rPr>
                <w:kern w:val="0"/>
                <w:szCs w:val="21"/>
              </w:rPr>
              <w:t>278.19</w:t>
            </w:r>
          </w:p>
        </w:tc>
        <w:tc>
          <w:tcPr>
            <w:tcW w:w="397" w:type="pct"/>
            <w:noWrap/>
          </w:tcPr>
          <w:p w14:paraId="27DEAB2F">
            <w:pPr>
              <w:widowControl/>
              <w:adjustRightInd w:val="0"/>
              <w:snapToGrid w:val="0"/>
              <w:spacing w:before="0" w:beforeLines="0" w:line="240" w:lineRule="auto"/>
              <w:jc w:val="center"/>
              <w:rPr>
                <w:kern w:val="0"/>
                <w:szCs w:val="21"/>
              </w:rPr>
            </w:pPr>
            <w:r>
              <w:rPr>
                <w:kern w:val="0"/>
                <w:szCs w:val="21"/>
              </w:rPr>
              <w:t>1小时</w:t>
            </w:r>
          </w:p>
        </w:tc>
        <w:tc>
          <w:tcPr>
            <w:tcW w:w="590" w:type="pct"/>
            <w:noWrap/>
            <w:vAlign w:val="center"/>
          </w:tcPr>
          <w:p w14:paraId="2459FD8C">
            <w:pPr>
              <w:widowControl/>
              <w:adjustRightInd w:val="0"/>
              <w:snapToGrid w:val="0"/>
              <w:spacing w:before="0" w:beforeLines="0" w:line="240" w:lineRule="auto"/>
              <w:jc w:val="center"/>
              <w:rPr>
                <w:kern w:val="0"/>
                <w:szCs w:val="21"/>
              </w:rPr>
            </w:pPr>
            <w:r>
              <w:rPr>
                <w:rFonts w:hint="eastAsia" w:hAnsi="宋体"/>
                <w:kern w:val="0"/>
                <w:szCs w:val="21"/>
              </w:rPr>
              <w:t>351.2534</w:t>
            </w:r>
          </w:p>
        </w:tc>
        <w:tc>
          <w:tcPr>
            <w:tcW w:w="676" w:type="pct"/>
            <w:noWrap/>
            <w:vAlign w:val="center"/>
          </w:tcPr>
          <w:p w14:paraId="2B60A4AD">
            <w:pPr>
              <w:widowControl/>
              <w:adjustRightInd w:val="0"/>
              <w:snapToGrid w:val="0"/>
              <w:spacing w:before="0" w:beforeLines="0" w:line="240" w:lineRule="auto"/>
              <w:jc w:val="center"/>
              <w:rPr>
                <w:kern w:val="0"/>
                <w:szCs w:val="21"/>
              </w:rPr>
            </w:pPr>
            <w:r>
              <w:rPr>
                <w:rFonts w:hint="eastAsia" w:hAnsi="宋体"/>
                <w:kern w:val="0"/>
                <w:szCs w:val="21"/>
              </w:rPr>
              <w:t>25082804</w:t>
            </w:r>
          </w:p>
        </w:tc>
        <w:tc>
          <w:tcPr>
            <w:tcW w:w="562" w:type="pct"/>
            <w:noWrap/>
            <w:vAlign w:val="center"/>
          </w:tcPr>
          <w:p w14:paraId="359A38E5">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14:paraId="78857DEF">
            <w:pPr>
              <w:widowControl/>
              <w:adjustRightInd w:val="0"/>
              <w:snapToGrid w:val="0"/>
              <w:spacing w:before="0" w:beforeLines="0" w:line="240" w:lineRule="auto"/>
              <w:jc w:val="center"/>
              <w:rPr>
                <w:kern w:val="0"/>
                <w:szCs w:val="21"/>
              </w:rPr>
            </w:pPr>
            <w:r>
              <w:rPr>
                <w:rFonts w:hint="eastAsia" w:hAnsi="宋体"/>
                <w:kern w:val="0"/>
                <w:szCs w:val="21"/>
              </w:rPr>
              <w:t>97.57</w:t>
            </w:r>
          </w:p>
        </w:tc>
        <w:tc>
          <w:tcPr>
            <w:tcW w:w="343" w:type="pct"/>
            <w:noWrap/>
            <w:vAlign w:val="center"/>
          </w:tcPr>
          <w:p w14:paraId="343D2460">
            <w:pPr>
              <w:widowControl/>
              <w:adjustRightInd w:val="0"/>
              <w:snapToGrid w:val="0"/>
              <w:spacing w:before="0" w:beforeLines="0" w:line="240" w:lineRule="auto"/>
              <w:jc w:val="center"/>
              <w:rPr>
                <w:kern w:val="0"/>
                <w:szCs w:val="21"/>
              </w:rPr>
            </w:pPr>
            <w:r>
              <w:rPr>
                <w:rFonts w:hint="eastAsia" w:hAnsi="宋体"/>
                <w:kern w:val="0"/>
                <w:szCs w:val="21"/>
              </w:rPr>
              <w:t>达标</w:t>
            </w:r>
          </w:p>
        </w:tc>
      </w:tr>
      <w:tr w14:paraId="30FBDB4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61" w:type="pct"/>
            <w:noWrap/>
            <w:vAlign w:val="center"/>
          </w:tcPr>
          <w:p w14:paraId="7E7F7CB5">
            <w:pPr>
              <w:widowControl/>
              <w:adjustRightInd w:val="0"/>
              <w:snapToGrid w:val="0"/>
              <w:spacing w:before="0" w:beforeLines="0" w:line="240" w:lineRule="auto"/>
              <w:jc w:val="center"/>
              <w:rPr>
                <w:kern w:val="0"/>
                <w:szCs w:val="21"/>
              </w:rPr>
            </w:pPr>
            <w:r>
              <w:rPr>
                <w:kern w:val="0"/>
                <w:szCs w:val="21"/>
              </w:rPr>
              <w:t>8</w:t>
            </w:r>
          </w:p>
        </w:tc>
        <w:tc>
          <w:tcPr>
            <w:tcW w:w="777" w:type="pct"/>
            <w:noWrap/>
            <w:vAlign w:val="center"/>
          </w:tcPr>
          <w:p w14:paraId="7BE01EEA">
            <w:pPr>
              <w:widowControl/>
              <w:adjustRightInd w:val="0"/>
              <w:snapToGrid w:val="0"/>
              <w:spacing w:before="0" w:beforeLines="0" w:line="240" w:lineRule="auto"/>
              <w:jc w:val="center"/>
              <w:rPr>
                <w:kern w:val="0"/>
                <w:szCs w:val="21"/>
              </w:rPr>
            </w:pPr>
            <w:r>
              <w:rPr>
                <w:kern w:val="0"/>
                <w:szCs w:val="21"/>
              </w:rPr>
              <w:t>那四板营子</w:t>
            </w:r>
          </w:p>
        </w:tc>
        <w:tc>
          <w:tcPr>
            <w:tcW w:w="600" w:type="pct"/>
            <w:noWrap/>
            <w:vAlign w:val="center"/>
          </w:tcPr>
          <w:p w14:paraId="600EFE40">
            <w:pPr>
              <w:widowControl/>
              <w:adjustRightInd w:val="0"/>
              <w:snapToGrid w:val="0"/>
              <w:spacing w:before="0" w:beforeLines="0" w:line="240" w:lineRule="auto"/>
              <w:jc w:val="center"/>
              <w:rPr>
                <w:kern w:val="0"/>
                <w:szCs w:val="21"/>
              </w:rPr>
            </w:pPr>
            <w:r>
              <w:rPr>
                <w:kern w:val="0"/>
                <w:szCs w:val="21"/>
              </w:rPr>
              <w:t>1704,-1626</w:t>
            </w:r>
          </w:p>
        </w:tc>
        <w:tc>
          <w:tcPr>
            <w:tcW w:w="503" w:type="pct"/>
            <w:noWrap/>
            <w:vAlign w:val="center"/>
          </w:tcPr>
          <w:p w14:paraId="3A3CD835">
            <w:pPr>
              <w:widowControl/>
              <w:adjustRightInd w:val="0"/>
              <w:snapToGrid w:val="0"/>
              <w:spacing w:before="0" w:beforeLines="0" w:line="240" w:lineRule="auto"/>
              <w:jc w:val="center"/>
              <w:rPr>
                <w:kern w:val="0"/>
                <w:szCs w:val="21"/>
              </w:rPr>
            </w:pPr>
            <w:r>
              <w:rPr>
                <w:kern w:val="0"/>
                <w:szCs w:val="21"/>
              </w:rPr>
              <w:t>282.04</w:t>
            </w:r>
          </w:p>
        </w:tc>
        <w:tc>
          <w:tcPr>
            <w:tcW w:w="397" w:type="pct"/>
            <w:noWrap/>
          </w:tcPr>
          <w:p w14:paraId="4B3F45DD">
            <w:pPr>
              <w:widowControl/>
              <w:adjustRightInd w:val="0"/>
              <w:snapToGrid w:val="0"/>
              <w:spacing w:before="0" w:beforeLines="0" w:line="240" w:lineRule="auto"/>
              <w:jc w:val="center"/>
              <w:rPr>
                <w:kern w:val="0"/>
                <w:szCs w:val="21"/>
              </w:rPr>
            </w:pPr>
            <w:r>
              <w:rPr>
                <w:kern w:val="0"/>
                <w:szCs w:val="21"/>
              </w:rPr>
              <w:t>1小时</w:t>
            </w:r>
          </w:p>
        </w:tc>
        <w:tc>
          <w:tcPr>
            <w:tcW w:w="590" w:type="pct"/>
            <w:noWrap/>
            <w:vAlign w:val="center"/>
          </w:tcPr>
          <w:p w14:paraId="55681C9B">
            <w:pPr>
              <w:widowControl/>
              <w:adjustRightInd w:val="0"/>
              <w:snapToGrid w:val="0"/>
              <w:spacing w:before="0" w:beforeLines="0" w:line="240" w:lineRule="auto"/>
              <w:jc w:val="center"/>
              <w:rPr>
                <w:kern w:val="0"/>
                <w:szCs w:val="21"/>
              </w:rPr>
            </w:pPr>
            <w:r>
              <w:rPr>
                <w:rFonts w:hint="eastAsia" w:hAnsi="宋体"/>
                <w:kern w:val="0"/>
                <w:szCs w:val="21"/>
              </w:rPr>
              <w:t>947.7300</w:t>
            </w:r>
          </w:p>
        </w:tc>
        <w:tc>
          <w:tcPr>
            <w:tcW w:w="676" w:type="pct"/>
            <w:noWrap/>
            <w:vAlign w:val="center"/>
          </w:tcPr>
          <w:p w14:paraId="161E40AD">
            <w:pPr>
              <w:widowControl/>
              <w:adjustRightInd w:val="0"/>
              <w:snapToGrid w:val="0"/>
              <w:spacing w:before="0" w:beforeLines="0" w:line="240" w:lineRule="auto"/>
              <w:jc w:val="center"/>
              <w:rPr>
                <w:kern w:val="0"/>
                <w:szCs w:val="21"/>
              </w:rPr>
            </w:pPr>
            <w:r>
              <w:rPr>
                <w:rFonts w:hint="eastAsia" w:hAnsi="宋体"/>
                <w:kern w:val="0"/>
                <w:szCs w:val="21"/>
              </w:rPr>
              <w:t>25101221</w:t>
            </w:r>
          </w:p>
        </w:tc>
        <w:tc>
          <w:tcPr>
            <w:tcW w:w="562" w:type="pct"/>
            <w:noWrap/>
            <w:vAlign w:val="center"/>
          </w:tcPr>
          <w:p w14:paraId="21A3E293">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14:paraId="2737DDF2">
            <w:pPr>
              <w:widowControl/>
              <w:adjustRightInd w:val="0"/>
              <w:snapToGrid w:val="0"/>
              <w:spacing w:before="0" w:beforeLines="0" w:line="240" w:lineRule="auto"/>
              <w:jc w:val="center"/>
              <w:rPr>
                <w:kern w:val="0"/>
                <w:szCs w:val="21"/>
              </w:rPr>
            </w:pPr>
            <w:r>
              <w:rPr>
                <w:rFonts w:hint="eastAsia" w:hAnsi="宋体"/>
                <w:kern w:val="0"/>
                <w:szCs w:val="21"/>
              </w:rPr>
              <w:t>263.26</w:t>
            </w:r>
          </w:p>
        </w:tc>
        <w:tc>
          <w:tcPr>
            <w:tcW w:w="343" w:type="pct"/>
            <w:noWrap/>
            <w:vAlign w:val="center"/>
          </w:tcPr>
          <w:p w14:paraId="254A5DC3">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128309D3">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61" w:type="pct"/>
            <w:noWrap/>
            <w:vAlign w:val="center"/>
          </w:tcPr>
          <w:p w14:paraId="49191487">
            <w:pPr>
              <w:widowControl/>
              <w:adjustRightInd w:val="0"/>
              <w:snapToGrid w:val="0"/>
              <w:spacing w:before="0" w:beforeLines="0" w:line="240" w:lineRule="auto"/>
              <w:jc w:val="center"/>
              <w:rPr>
                <w:kern w:val="0"/>
                <w:szCs w:val="21"/>
              </w:rPr>
            </w:pPr>
            <w:r>
              <w:rPr>
                <w:kern w:val="0"/>
                <w:szCs w:val="21"/>
              </w:rPr>
              <w:t>9</w:t>
            </w:r>
          </w:p>
        </w:tc>
        <w:tc>
          <w:tcPr>
            <w:tcW w:w="777" w:type="pct"/>
            <w:noWrap/>
            <w:vAlign w:val="center"/>
          </w:tcPr>
          <w:p w14:paraId="62356D09">
            <w:pPr>
              <w:widowControl/>
              <w:adjustRightInd w:val="0"/>
              <w:snapToGrid w:val="0"/>
              <w:spacing w:before="0" w:beforeLines="0" w:line="240" w:lineRule="auto"/>
              <w:jc w:val="center"/>
              <w:rPr>
                <w:kern w:val="0"/>
                <w:szCs w:val="21"/>
              </w:rPr>
            </w:pPr>
            <w:r>
              <w:rPr>
                <w:kern w:val="0"/>
                <w:szCs w:val="21"/>
              </w:rPr>
              <w:t>四方庙子村</w:t>
            </w:r>
          </w:p>
        </w:tc>
        <w:tc>
          <w:tcPr>
            <w:tcW w:w="600" w:type="pct"/>
            <w:noWrap/>
            <w:vAlign w:val="center"/>
          </w:tcPr>
          <w:p w14:paraId="36A4E4FC">
            <w:pPr>
              <w:widowControl/>
              <w:adjustRightInd w:val="0"/>
              <w:snapToGrid w:val="0"/>
              <w:spacing w:before="0" w:beforeLines="0" w:line="240" w:lineRule="auto"/>
              <w:jc w:val="center"/>
              <w:rPr>
                <w:kern w:val="0"/>
                <w:szCs w:val="21"/>
              </w:rPr>
            </w:pPr>
            <w:r>
              <w:rPr>
                <w:kern w:val="0"/>
                <w:szCs w:val="21"/>
              </w:rPr>
              <w:t>2408,-2472</w:t>
            </w:r>
          </w:p>
        </w:tc>
        <w:tc>
          <w:tcPr>
            <w:tcW w:w="503" w:type="pct"/>
            <w:noWrap/>
            <w:vAlign w:val="center"/>
          </w:tcPr>
          <w:p w14:paraId="6EF174E8">
            <w:pPr>
              <w:widowControl/>
              <w:adjustRightInd w:val="0"/>
              <w:snapToGrid w:val="0"/>
              <w:spacing w:before="0" w:beforeLines="0" w:line="240" w:lineRule="auto"/>
              <w:jc w:val="center"/>
              <w:rPr>
                <w:kern w:val="0"/>
                <w:szCs w:val="21"/>
              </w:rPr>
            </w:pPr>
            <w:r>
              <w:rPr>
                <w:kern w:val="0"/>
                <w:szCs w:val="21"/>
              </w:rPr>
              <w:t>289.69</w:t>
            </w:r>
          </w:p>
        </w:tc>
        <w:tc>
          <w:tcPr>
            <w:tcW w:w="397" w:type="pct"/>
            <w:noWrap/>
          </w:tcPr>
          <w:p w14:paraId="401ECE8F">
            <w:pPr>
              <w:widowControl/>
              <w:adjustRightInd w:val="0"/>
              <w:snapToGrid w:val="0"/>
              <w:spacing w:before="0" w:beforeLines="0" w:line="240" w:lineRule="auto"/>
              <w:jc w:val="center"/>
              <w:rPr>
                <w:kern w:val="0"/>
                <w:szCs w:val="21"/>
              </w:rPr>
            </w:pPr>
            <w:r>
              <w:rPr>
                <w:kern w:val="0"/>
                <w:szCs w:val="21"/>
              </w:rPr>
              <w:t>1小时</w:t>
            </w:r>
          </w:p>
        </w:tc>
        <w:tc>
          <w:tcPr>
            <w:tcW w:w="590" w:type="pct"/>
            <w:noWrap/>
            <w:vAlign w:val="center"/>
          </w:tcPr>
          <w:p w14:paraId="78E71B8A">
            <w:pPr>
              <w:widowControl/>
              <w:adjustRightInd w:val="0"/>
              <w:snapToGrid w:val="0"/>
              <w:spacing w:before="0" w:beforeLines="0" w:line="240" w:lineRule="auto"/>
              <w:jc w:val="center"/>
              <w:rPr>
                <w:kern w:val="0"/>
                <w:szCs w:val="21"/>
              </w:rPr>
            </w:pPr>
            <w:r>
              <w:rPr>
                <w:rFonts w:hint="eastAsia" w:hAnsi="宋体"/>
                <w:kern w:val="0"/>
                <w:szCs w:val="21"/>
              </w:rPr>
              <w:t>541.2202</w:t>
            </w:r>
          </w:p>
        </w:tc>
        <w:tc>
          <w:tcPr>
            <w:tcW w:w="676" w:type="pct"/>
            <w:noWrap/>
            <w:vAlign w:val="center"/>
          </w:tcPr>
          <w:p w14:paraId="551863EF">
            <w:pPr>
              <w:widowControl/>
              <w:adjustRightInd w:val="0"/>
              <w:snapToGrid w:val="0"/>
              <w:spacing w:before="0" w:beforeLines="0" w:line="240" w:lineRule="auto"/>
              <w:jc w:val="center"/>
              <w:rPr>
                <w:kern w:val="0"/>
                <w:szCs w:val="21"/>
              </w:rPr>
            </w:pPr>
            <w:r>
              <w:rPr>
                <w:rFonts w:hint="eastAsia" w:hAnsi="宋体"/>
                <w:kern w:val="0"/>
                <w:szCs w:val="21"/>
              </w:rPr>
              <w:t>25101221</w:t>
            </w:r>
          </w:p>
        </w:tc>
        <w:tc>
          <w:tcPr>
            <w:tcW w:w="562" w:type="pct"/>
            <w:noWrap/>
            <w:vAlign w:val="center"/>
          </w:tcPr>
          <w:p w14:paraId="23BEA9C2">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14:paraId="64833A76">
            <w:pPr>
              <w:widowControl/>
              <w:adjustRightInd w:val="0"/>
              <w:snapToGrid w:val="0"/>
              <w:spacing w:before="0" w:beforeLines="0" w:line="240" w:lineRule="auto"/>
              <w:jc w:val="center"/>
              <w:rPr>
                <w:kern w:val="0"/>
                <w:szCs w:val="21"/>
              </w:rPr>
            </w:pPr>
            <w:r>
              <w:rPr>
                <w:rFonts w:hint="eastAsia" w:hAnsi="宋体"/>
                <w:kern w:val="0"/>
                <w:szCs w:val="21"/>
              </w:rPr>
              <w:t>150.34</w:t>
            </w:r>
          </w:p>
        </w:tc>
        <w:tc>
          <w:tcPr>
            <w:tcW w:w="343" w:type="pct"/>
            <w:noWrap/>
            <w:vAlign w:val="center"/>
          </w:tcPr>
          <w:p w14:paraId="1966A98B">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5CD3D9B0">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61" w:type="pct"/>
            <w:noWrap/>
            <w:vAlign w:val="center"/>
          </w:tcPr>
          <w:p w14:paraId="481C8C57">
            <w:pPr>
              <w:widowControl/>
              <w:adjustRightInd w:val="0"/>
              <w:snapToGrid w:val="0"/>
              <w:spacing w:before="0" w:beforeLines="0" w:line="240" w:lineRule="auto"/>
              <w:jc w:val="center"/>
              <w:rPr>
                <w:kern w:val="0"/>
                <w:szCs w:val="21"/>
              </w:rPr>
            </w:pPr>
            <w:r>
              <w:rPr>
                <w:kern w:val="0"/>
                <w:szCs w:val="21"/>
              </w:rPr>
              <w:t>10</w:t>
            </w:r>
          </w:p>
        </w:tc>
        <w:tc>
          <w:tcPr>
            <w:tcW w:w="777" w:type="pct"/>
            <w:noWrap/>
            <w:vAlign w:val="center"/>
          </w:tcPr>
          <w:p w14:paraId="0A40B149">
            <w:pPr>
              <w:widowControl/>
              <w:adjustRightInd w:val="0"/>
              <w:snapToGrid w:val="0"/>
              <w:spacing w:before="0" w:beforeLines="0" w:line="240" w:lineRule="auto"/>
              <w:jc w:val="center"/>
              <w:rPr>
                <w:kern w:val="0"/>
                <w:szCs w:val="21"/>
              </w:rPr>
            </w:pPr>
            <w:r>
              <w:rPr>
                <w:kern w:val="0"/>
                <w:szCs w:val="21"/>
              </w:rPr>
              <w:t>胡家沟</w:t>
            </w:r>
          </w:p>
        </w:tc>
        <w:tc>
          <w:tcPr>
            <w:tcW w:w="600" w:type="pct"/>
            <w:noWrap/>
            <w:vAlign w:val="center"/>
          </w:tcPr>
          <w:p w14:paraId="6EDE0287">
            <w:pPr>
              <w:widowControl/>
              <w:adjustRightInd w:val="0"/>
              <w:snapToGrid w:val="0"/>
              <w:spacing w:before="0" w:beforeLines="0" w:line="240" w:lineRule="auto"/>
              <w:jc w:val="center"/>
              <w:rPr>
                <w:kern w:val="0"/>
                <w:szCs w:val="21"/>
              </w:rPr>
            </w:pPr>
            <w:r>
              <w:rPr>
                <w:kern w:val="0"/>
                <w:szCs w:val="21"/>
              </w:rPr>
              <w:t>-232,-1675</w:t>
            </w:r>
          </w:p>
        </w:tc>
        <w:tc>
          <w:tcPr>
            <w:tcW w:w="503" w:type="pct"/>
            <w:noWrap/>
            <w:vAlign w:val="center"/>
          </w:tcPr>
          <w:p w14:paraId="5613DA0C">
            <w:pPr>
              <w:widowControl/>
              <w:adjustRightInd w:val="0"/>
              <w:snapToGrid w:val="0"/>
              <w:spacing w:before="0" w:beforeLines="0" w:line="240" w:lineRule="auto"/>
              <w:jc w:val="center"/>
              <w:rPr>
                <w:kern w:val="0"/>
                <w:szCs w:val="21"/>
              </w:rPr>
            </w:pPr>
            <w:r>
              <w:rPr>
                <w:kern w:val="0"/>
                <w:szCs w:val="21"/>
              </w:rPr>
              <w:t>293.25</w:t>
            </w:r>
          </w:p>
        </w:tc>
        <w:tc>
          <w:tcPr>
            <w:tcW w:w="397" w:type="pct"/>
            <w:noWrap/>
          </w:tcPr>
          <w:p w14:paraId="52A0D281">
            <w:pPr>
              <w:widowControl/>
              <w:adjustRightInd w:val="0"/>
              <w:snapToGrid w:val="0"/>
              <w:spacing w:before="0" w:beforeLines="0" w:line="240" w:lineRule="auto"/>
              <w:jc w:val="center"/>
              <w:rPr>
                <w:kern w:val="0"/>
                <w:szCs w:val="21"/>
              </w:rPr>
            </w:pPr>
            <w:r>
              <w:rPr>
                <w:kern w:val="0"/>
                <w:szCs w:val="21"/>
              </w:rPr>
              <w:t>1小时</w:t>
            </w:r>
          </w:p>
        </w:tc>
        <w:tc>
          <w:tcPr>
            <w:tcW w:w="590" w:type="pct"/>
            <w:noWrap/>
            <w:vAlign w:val="center"/>
          </w:tcPr>
          <w:p w14:paraId="7EB87806">
            <w:pPr>
              <w:widowControl/>
              <w:adjustRightInd w:val="0"/>
              <w:snapToGrid w:val="0"/>
              <w:spacing w:before="0" w:beforeLines="0" w:line="240" w:lineRule="auto"/>
              <w:jc w:val="center"/>
              <w:rPr>
                <w:kern w:val="0"/>
                <w:szCs w:val="21"/>
              </w:rPr>
            </w:pPr>
            <w:r>
              <w:rPr>
                <w:rFonts w:hint="eastAsia" w:hAnsi="宋体"/>
                <w:kern w:val="0"/>
                <w:szCs w:val="21"/>
              </w:rPr>
              <w:t>1408.3510</w:t>
            </w:r>
          </w:p>
        </w:tc>
        <w:tc>
          <w:tcPr>
            <w:tcW w:w="676" w:type="pct"/>
            <w:noWrap/>
            <w:vAlign w:val="center"/>
          </w:tcPr>
          <w:p w14:paraId="05E1843B">
            <w:pPr>
              <w:widowControl/>
              <w:adjustRightInd w:val="0"/>
              <w:snapToGrid w:val="0"/>
              <w:spacing w:before="0" w:beforeLines="0" w:line="240" w:lineRule="auto"/>
              <w:jc w:val="center"/>
              <w:rPr>
                <w:kern w:val="0"/>
                <w:szCs w:val="21"/>
              </w:rPr>
            </w:pPr>
            <w:r>
              <w:rPr>
                <w:rFonts w:hint="eastAsia" w:hAnsi="宋体"/>
                <w:kern w:val="0"/>
                <w:szCs w:val="21"/>
              </w:rPr>
              <w:t>25101006</w:t>
            </w:r>
          </w:p>
        </w:tc>
        <w:tc>
          <w:tcPr>
            <w:tcW w:w="562" w:type="pct"/>
            <w:noWrap/>
            <w:vAlign w:val="center"/>
          </w:tcPr>
          <w:p w14:paraId="379A7D43">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14:paraId="3CC44529">
            <w:pPr>
              <w:widowControl/>
              <w:adjustRightInd w:val="0"/>
              <w:snapToGrid w:val="0"/>
              <w:spacing w:before="0" w:beforeLines="0" w:line="240" w:lineRule="auto"/>
              <w:jc w:val="center"/>
              <w:rPr>
                <w:kern w:val="0"/>
                <w:szCs w:val="21"/>
              </w:rPr>
            </w:pPr>
            <w:r>
              <w:rPr>
                <w:rFonts w:hint="eastAsia" w:hAnsi="宋体"/>
                <w:kern w:val="0"/>
                <w:szCs w:val="21"/>
              </w:rPr>
              <w:t>391.21</w:t>
            </w:r>
          </w:p>
        </w:tc>
        <w:tc>
          <w:tcPr>
            <w:tcW w:w="343" w:type="pct"/>
            <w:noWrap/>
            <w:vAlign w:val="center"/>
          </w:tcPr>
          <w:p w14:paraId="509E1D38">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0CDE3415">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61" w:type="pct"/>
            <w:noWrap/>
            <w:vAlign w:val="center"/>
          </w:tcPr>
          <w:p w14:paraId="465327CD">
            <w:pPr>
              <w:widowControl/>
              <w:adjustRightInd w:val="0"/>
              <w:snapToGrid w:val="0"/>
              <w:spacing w:before="0" w:beforeLines="0" w:line="240" w:lineRule="auto"/>
              <w:jc w:val="center"/>
              <w:rPr>
                <w:kern w:val="0"/>
                <w:szCs w:val="21"/>
              </w:rPr>
            </w:pPr>
            <w:bookmarkStart w:id="231" w:name="_Hlk194217259"/>
            <w:r>
              <w:rPr>
                <w:kern w:val="0"/>
                <w:szCs w:val="21"/>
              </w:rPr>
              <w:t>11</w:t>
            </w:r>
          </w:p>
        </w:tc>
        <w:tc>
          <w:tcPr>
            <w:tcW w:w="777" w:type="pct"/>
            <w:noWrap/>
            <w:vAlign w:val="center"/>
          </w:tcPr>
          <w:p w14:paraId="7F2ACEC4">
            <w:pPr>
              <w:widowControl/>
              <w:adjustRightInd w:val="0"/>
              <w:snapToGrid w:val="0"/>
              <w:spacing w:before="0" w:beforeLines="0" w:line="240" w:lineRule="auto"/>
              <w:jc w:val="center"/>
              <w:rPr>
                <w:kern w:val="0"/>
                <w:szCs w:val="21"/>
              </w:rPr>
            </w:pPr>
            <w:r>
              <w:rPr>
                <w:kern w:val="0"/>
                <w:szCs w:val="21"/>
              </w:rPr>
              <w:t>区域最大落地浓度</w:t>
            </w:r>
          </w:p>
        </w:tc>
        <w:tc>
          <w:tcPr>
            <w:tcW w:w="600" w:type="pct"/>
            <w:noWrap/>
            <w:vAlign w:val="center"/>
          </w:tcPr>
          <w:p w14:paraId="284B399A">
            <w:pPr>
              <w:widowControl/>
              <w:adjustRightInd w:val="0"/>
              <w:snapToGrid w:val="0"/>
              <w:spacing w:before="0" w:beforeLines="0" w:line="240" w:lineRule="auto"/>
              <w:jc w:val="center"/>
              <w:rPr>
                <w:kern w:val="0"/>
                <w:szCs w:val="21"/>
              </w:rPr>
            </w:pPr>
            <w:r>
              <w:rPr>
                <w:kern w:val="0"/>
                <w:szCs w:val="21"/>
              </w:rPr>
              <w:t>-100,400</w:t>
            </w:r>
          </w:p>
        </w:tc>
        <w:tc>
          <w:tcPr>
            <w:tcW w:w="503" w:type="pct"/>
            <w:noWrap/>
            <w:vAlign w:val="center"/>
          </w:tcPr>
          <w:p w14:paraId="68EDA149">
            <w:pPr>
              <w:widowControl/>
              <w:adjustRightInd w:val="0"/>
              <w:snapToGrid w:val="0"/>
              <w:spacing w:before="0" w:beforeLines="0" w:line="240" w:lineRule="auto"/>
              <w:jc w:val="center"/>
              <w:rPr>
                <w:kern w:val="0"/>
                <w:szCs w:val="21"/>
              </w:rPr>
            </w:pPr>
            <w:r>
              <w:rPr>
                <w:kern w:val="0"/>
                <w:szCs w:val="21"/>
              </w:rPr>
              <w:t>311.20</w:t>
            </w:r>
          </w:p>
        </w:tc>
        <w:tc>
          <w:tcPr>
            <w:tcW w:w="397" w:type="pct"/>
            <w:noWrap/>
          </w:tcPr>
          <w:p w14:paraId="7F514D46">
            <w:pPr>
              <w:widowControl/>
              <w:adjustRightInd w:val="0"/>
              <w:snapToGrid w:val="0"/>
              <w:spacing w:before="0" w:beforeLines="0" w:line="240" w:lineRule="auto"/>
              <w:jc w:val="center"/>
              <w:rPr>
                <w:kern w:val="0"/>
                <w:szCs w:val="21"/>
              </w:rPr>
            </w:pPr>
            <w:r>
              <w:rPr>
                <w:kern w:val="0"/>
                <w:szCs w:val="21"/>
              </w:rPr>
              <w:t>1小时</w:t>
            </w:r>
          </w:p>
        </w:tc>
        <w:tc>
          <w:tcPr>
            <w:tcW w:w="590" w:type="pct"/>
            <w:noWrap/>
            <w:vAlign w:val="center"/>
          </w:tcPr>
          <w:p w14:paraId="6D0E7BE0">
            <w:pPr>
              <w:widowControl/>
              <w:adjustRightInd w:val="0"/>
              <w:snapToGrid w:val="0"/>
              <w:spacing w:before="0" w:beforeLines="0" w:line="240" w:lineRule="auto"/>
              <w:jc w:val="center"/>
              <w:rPr>
                <w:kern w:val="0"/>
                <w:szCs w:val="21"/>
              </w:rPr>
            </w:pPr>
            <w:r>
              <w:rPr>
                <w:rFonts w:hint="eastAsia" w:hAnsi="宋体"/>
                <w:kern w:val="0"/>
                <w:szCs w:val="21"/>
              </w:rPr>
              <w:t>9888.0430</w:t>
            </w:r>
          </w:p>
        </w:tc>
        <w:tc>
          <w:tcPr>
            <w:tcW w:w="676" w:type="pct"/>
            <w:noWrap/>
            <w:vAlign w:val="center"/>
          </w:tcPr>
          <w:p w14:paraId="5FB32D8B">
            <w:pPr>
              <w:widowControl/>
              <w:adjustRightInd w:val="0"/>
              <w:snapToGrid w:val="0"/>
              <w:spacing w:before="0" w:beforeLines="0" w:line="240" w:lineRule="auto"/>
              <w:jc w:val="center"/>
              <w:rPr>
                <w:kern w:val="0"/>
                <w:szCs w:val="21"/>
              </w:rPr>
            </w:pPr>
            <w:r>
              <w:rPr>
                <w:rFonts w:hint="eastAsia" w:hAnsi="宋体"/>
                <w:kern w:val="0"/>
                <w:szCs w:val="21"/>
              </w:rPr>
              <w:t>25082324</w:t>
            </w:r>
          </w:p>
        </w:tc>
        <w:tc>
          <w:tcPr>
            <w:tcW w:w="562" w:type="pct"/>
            <w:noWrap/>
            <w:vAlign w:val="center"/>
          </w:tcPr>
          <w:p w14:paraId="77E7205C">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14:paraId="78D154B7">
            <w:pPr>
              <w:widowControl/>
              <w:adjustRightInd w:val="0"/>
              <w:snapToGrid w:val="0"/>
              <w:spacing w:before="0" w:beforeLines="0" w:line="240" w:lineRule="auto"/>
              <w:jc w:val="center"/>
              <w:rPr>
                <w:kern w:val="0"/>
                <w:szCs w:val="21"/>
              </w:rPr>
            </w:pPr>
            <w:r>
              <w:rPr>
                <w:rFonts w:hint="eastAsia" w:hAnsi="宋体"/>
                <w:kern w:val="0"/>
                <w:szCs w:val="21"/>
              </w:rPr>
              <w:t>2746.68</w:t>
            </w:r>
          </w:p>
        </w:tc>
        <w:tc>
          <w:tcPr>
            <w:tcW w:w="343" w:type="pct"/>
            <w:noWrap/>
            <w:vAlign w:val="center"/>
          </w:tcPr>
          <w:p w14:paraId="11ABF4E2">
            <w:pPr>
              <w:widowControl/>
              <w:adjustRightInd w:val="0"/>
              <w:snapToGrid w:val="0"/>
              <w:spacing w:before="0" w:beforeLines="0" w:line="240" w:lineRule="auto"/>
              <w:jc w:val="center"/>
              <w:rPr>
                <w:kern w:val="0"/>
                <w:szCs w:val="21"/>
              </w:rPr>
            </w:pPr>
            <w:r>
              <w:rPr>
                <w:rFonts w:hint="eastAsia" w:hAnsi="宋体"/>
                <w:kern w:val="0"/>
                <w:szCs w:val="21"/>
              </w:rPr>
              <w:t>超标</w:t>
            </w:r>
          </w:p>
        </w:tc>
      </w:tr>
      <w:bookmarkEnd w:id="231"/>
    </w:tbl>
    <w:p w14:paraId="4E4B203F">
      <w:pPr>
        <w:keepNext/>
        <w:snapToGrid w:val="0"/>
        <w:spacing w:before="0" w:beforeLines="0" w:line="240" w:lineRule="auto"/>
        <w:jc w:val="center"/>
        <w:rPr>
          <w:b/>
          <w:bCs/>
          <w:szCs w:val="21"/>
        </w:rPr>
      </w:pPr>
    </w:p>
    <w:p w14:paraId="4380C306">
      <w:pPr>
        <w:keepNext/>
        <w:snapToGrid w:val="0"/>
        <w:spacing w:before="0" w:beforeLines="0" w:line="240" w:lineRule="auto"/>
        <w:jc w:val="center"/>
        <w:rPr>
          <w:b/>
          <w:bCs/>
          <w:szCs w:val="21"/>
        </w:rPr>
      </w:pPr>
      <w:r>
        <w:rPr>
          <w:b/>
          <w:bCs/>
          <w:szCs w:val="21"/>
        </w:rPr>
        <w:t>表5.2-15    本项目DA002非正常排放PM</w:t>
      </w:r>
      <w:r>
        <w:rPr>
          <w:b/>
          <w:bCs/>
          <w:szCs w:val="21"/>
          <w:vertAlign w:val="subscript"/>
        </w:rPr>
        <w:t>10</w:t>
      </w:r>
      <w:r>
        <w:rPr>
          <w:b/>
          <w:bCs/>
          <w:szCs w:val="21"/>
        </w:rPr>
        <w:t>贡献质量浓度预测结果表</w:t>
      </w:r>
    </w:p>
    <w:tbl>
      <w:tblPr>
        <w:tblStyle w:val="2151"/>
        <w:tblW w:w="5000" w:type="pct"/>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557"/>
        <w:gridCol w:w="2267"/>
        <w:gridCol w:w="1616"/>
        <w:gridCol w:w="964"/>
        <w:gridCol w:w="908"/>
        <w:gridCol w:w="1705"/>
        <w:gridCol w:w="1790"/>
        <w:gridCol w:w="1488"/>
        <w:gridCol w:w="1035"/>
        <w:gridCol w:w="908"/>
      </w:tblGrid>
      <w:tr w14:paraId="2A735152">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14:paraId="3DC69C44">
            <w:pPr>
              <w:widowControl/>
              <w:adjustRightInd w:val="0"/>
              <w:snapToGrid w:val="0"/>
              <w:spacing w:before="0" w:beforeLines="0" w:line="240" w:lineRule="auto"/>
              <w:jc w:val="center"/>
              <w:rPr>
                <w:kern w:val="0"/>
                <w:szCs w:val="21"/>
              </w:rPr>
            </w:pPr>
            <w:r>
              <w:rPr>
                <w:kern w:val="0"/>
                <w:szCs w:val="21"/>
              </w:rPr>
              <w:t>序号</w:t>
            </w:r>
          </w:p>
        </w:tc>
        <w:tc>
          <w:tcPr>
            <w:tcW w:w="856" w:type="pct"/>
            <w:noWrap/>
            <w:vAlign w:val="center"/>
          </w:tcPr>
          <w:p w14:paraId="0765A370">
            <w:pPr>
              <w:widowControl/>
              <w:adjustRightInd w:val="0"/>
              <w:snapToGrid w:val="0"/>
              <w:spacing w:before="0" w:beforeLines="0" w:line="240" w:lineRule="auto"/>
              <w:jc w:val="center"/>
              <w:rPr>
                <w:kern w:val="0"/>
                <w:szCs w:val="21"/>
              </w:rPr>
            </w:pPr>
            <w:r>
              <w:rPr>
                <w:kern w:val="0"/>
                <w:szCs w:val="21"/>
              </w:rPr>
              <w:t>点名称</w:t>
            </w:r>
          </w:p>
        </w:tc>
        <w:tc>
          <w:tcPr>
            <w:tcW w:w="610" w:type="pct"/>
            <w:noWrap/>
            <w:vAlign w:val="center"/>
          </w:tcPr>
          <w:p w14:paraId="613BC525">
            <w:pPr>
              <w:widowControl/>
              <w:adjustRightInd w:val="0"/>
              <w:snapToGrid w:val="0"/>
              <w:spacing w:before="0" w:beforeLines="0" w:line="240" w:lineRule="auto"/>
              <w:jc w:val="center"/>
              <w:rPr>
                <w:kern w:val="0"/>
                <w:szCs w:val="21"/>
              </w:rPr>
            </w:pPr>
            <w:r>
              <w:rPr>
                <w:kern w:val="0"/>
                <w:szCs w:val="21"/>
              </w:rPr>
              <w:t>点坐标(x或r,y或a)</w:t>
            </w:r>
          </w:p>
        </w:tc>
        <w:tc>
          <w:tcPr>
            <w:tcW w:w="364" w:type="pct"/>
            <w:noWrap/>
            <w:vAlign w:val="center"/>
          </w:tcPr>
          <w:p w14:paraId="4D0704E4">
            <w:pPr>
              <w:widowControl/>
              <w:adjustRightInd w:val="0"/>
              <w:snapToGrid w:val="0"/>
              <w:spacing w:before="0" w:beforeLines="0" w:line="240" w:lineRule="auto"/>
              <w:jc w:val="center"/>
              <w:rPr>
                <w:kern w:val="0"/>
                <w:szCs w:val="21"/>
              </w:rPr>
            </w:pPr>
            <w:r>
              <w:rPr>
                <w:kern w:val="0"/>
                <w:szCs w:val="21"/>
              </w:rPr>
              <w:t>地面高程(m)</w:t>
            </w:r>
          </w:p>
        </w:tc>
        <w:tc>
          <w:tcPr>
            <w:tcW w:w="343" w:type="pct"/>
            <w:noWrap/>
            <w:vAlign w:val="center"/>
          </w:tcPr>
          <w:p w14:paraId="2153809D">
            <w:pPr>
              <w:widowControl/>
              <w:adjustRightInd w:val="0"/>
              <w:snapToGrid w:val="0"/>
              <w:spacing w:before="0" w:beforeLines="0" w:line="240" w:lineRule="auto"/>
              <w:jc w:val="center"/>
              <w:rPr>
                <w:kern w:val="0"/>
                <w:szCs w:val="21"/>
              </w:rPr>
            </w:pPr>
            <w:r>
              <w:rPr>
                <w:kern w:val="0"/>
                <w:szCs w:val="21"/>
              </w:rPr>
              <w:t>浓度类型</w:t>
            </w:r>
          </w:p>
        </w:tc>
        <w:tc>
          <w:tcPr>
            <w:tcW w:w="644" w:type="pct"/>
            <w:noWrap/>
            <w:vAlign w:val="center"/>
          </w:tcPr>
          <w:p w14:paraId="1B79BC16">
            <w:pPr>
              <w:widowControl/>
              <w:adjustRightInd w:val="0"/>
              <w:snapToGrid w:val="0"/>
              <w:spacing w:before="0" w:beforeLines="0" w:line="240" w:lineRule="auto"/>
              <w:jc w:val="center"/>
              <w:rPr>
                <w:kern w:val="0"/>
                <w:szCs w:val="21"/>
              </w:rPr>
            </w:pPr>
            <w:r>
              <w:rPr>
                <w:kern w:val="0"/>
                <w:szCs w:val="21"/>
              </w:rPr>
              <w:t>浓度增量(μg/m^3)</w:t>
            </w:r>
          </w:p>
        </w:tc>
        <w:tc>
          <w:tcPr>
            <w:tcW w:w="676" w:type="pct"/>
            <w:noWrap/>
            <w:vAlign w:val="center"/>
          </w:tcPr>
          <w:p w14:paraId="2831628C">
            <w:pPr>
              <w:widowControl/>
              <w:adjustRightInd w:val="0"/>
              <w:snapToGrid w:val="0"/>
              <w:spacing w:before="0" w:beforeLines="0" w:line="240" w:lineRule="auto"/>
              <w:jc w:val="center"/>
              <w:rPr>
                <w:kern w:val="0"/>
                <w:szCs w:val="21"/>
              </w:rPr>
            </w:pPr>
            <w:r>
              <w:rPr>
                <w:kern w:val="0"/>
                <w:szCs w:val="21"/>
              </w:rPr>
              <w:t>出现时间(YYMMDDHH)</w:t>
            </w:r>
          </w:p>
        </w:tc>
        <w:tc>
          <w:tcPr>
            <w:tcW w:w="562" w:type="pct"/>
            <w:noWrap/>
            <w:vAlign w:val="center"/>
          </w:tcPr>
          <w:p w14:paraId="099E6470">
            <w:pPr>
              <w:widowControl/>
              <w:adjustRightInd w:val="0"/>
              <w:snapToGrid w:val="0"/>
              <w:spacing w:before="0" w:beforeLines="0" w:line="240" w:lineRule="auto"/>
              <w:jc w:val="center"/>
              <w:rPr>
                <w:kern w:val="0"/>
                <w:szCs w:val="21"/>
              </w:rPr>
            </w:pPr>
            <w:r>
              <w:rPr>
                <w:kern w:val="0"/>
                <w:szCs w:val="21"/>
              </w:rPr>
              <w:t>评价标准(μg/m^3)</w:t>
            </w:r>
          </w:p>
        </w:tc>
        <w:tc>
          <w:tcPr>
            <w:tcW w:w="391" w:type="pct"/>
            <w:noWrap/>
            <w:vAlign w:val="center"/>
          </w:tcPr>
          <w:p w14:paraId="1C7FCC6B">
            <w:pPr>
              <w:widowControl/>
              <w:adjustRightInd w:val="0"/>
              <w:snapToGrid w:val="0"/>
              <w:spacing w:before="0" w:beforeLines="0" w:line="240" w:lineRule="auto"/>
              <w:jc w:val="center"/>
              <w:rPr>
                <w:kern w:val="0"/>
                <w:szCs w:val="21"/>
              </w:rPr>
            </w:pPr>
            <w:r>
              <w:rPr>
                <w:kern w:val="0"/>
                <w:szCs w:val="21"/>
              </w:rPr>
              <w:t>占标率%</w:t>
            </w:r>
          </w:p>
        </w:tc>
        <w:tc>
          <w:tcPr>
            <w:tcW w:w="343" w:type="pct"/>
            <w:noWrap/>
            <w:vAlign w:val="center"/>
          </w:tcPr>
          <w:p w14:paraId="5991099B">
            <w:pPr>
              <w:widowControl/>
              <w:adjustRightInd w:val="0"/>
              <w:snapToGrid w:val="0"/>
              <w:spacing w:before="0" w:beforeLines="0" w:line="240" w:lineRule="auto"/>
              <w:jc w:val="center"/>
              <w:rPr>
                <w:kern w:val="0"/>
                <w:szCs w:val="21"/>
              </w:rPr>
            </w:pPr>
            <w:r>
              <w:rPr>
                <w:kern w:val="0"/>
                <w:szCs w:val="21"/>
              </w:rPr>
              <w:t>是否</w:t>
            </w:r>
          </w:p>
          <w:p w14:paraId="6DD1F365">
            <w:pPr>
              <w:widowControl/>
              <w:adjustRightInd w:val="0"/>
              <w:snapToGrid w:val="0"/>
              <w:spacing w:before="0" w:beforeLines="0" w:line="240" w:lineRule="auto"/>
              <w:jc w:val="center"/>
              <w:rPr>
                <w:kern w:val="0"/>
                <w:szCs w:val="21"/>
              </w:rPr>
            </w:pPr>
            <w:r>
              <w:rPr>
                <w:kern w:val="0"/>
                <w:szCs w:val="21"/>
              </w:rPr>
              <w:t>超标</w:t>
            </w:r>
          </w:p>
        </w:tc>
      </w:tr>
      <w:tr w14:paraId="06F1F965">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14:paraId="2503725C">
            <w:pPr>
              <w:widowControl/>
              <w:adjustRightInd w:val="0"/>
              <w:snapToGrid w:val="0"/>
              <w:spacing w:before="0" w:beforeLines="0" w:line="240" w:lineRule="auto"/>
              <w:jc w:val="center"/>
              <w:rPr>
                <w:kern w:val="0"/>
                <w:szCs w:val="21"/>
              </w:rPr>
            </w:pPr>
            <w:r>
              <w:rPr>
                <w:kern w:val="0"/>
                <w:szCs w:val="21"/>
              </w:rPr>
              <w:t>1</w:t>
            </w:r>
          </w:p>
        </w:tc>
        <w:tc>
          <w:tcPr>
            <w:tcW w:w="856" w:type="pct"/>
            <w:noWrap/>
            <w:vAlign w:val="center"/>
          </w:tcPr>
          <w:p w14:paraId="1046F669">
            <w:pPr>
              <w:widowControl/>
              <w:adjustRightInd w:val="0"/>
              <w:snapToGrid w:val="0"/>
              <w:spacing w:before="0" w:beforeLines="0" w:line="240" w:lineRule="auto"/>
              <w:jc w:val="center"/>
              <w:rPr>
                <w:kern w:val="0"/>
                <w:szCs w:val="21"/>
              </w:rPr>
            </w:pPr>
            <w:r>
              <w:rPr>
                <w:kern w:val="0"/>
                <w:szCs w:val="21"/>
              </w:rPr>
              <w:t>孟家窝堡</w:t>
            </w:r>
          </w:p>
        </w:tc>
        <w:tc>
          <w:tcPr>
            <w:tcW w:w="610" w:type="pct"/>
            <w:noWrap/>
            <w:vAlign w:val="center"/>
          </w:tcPr>
          <w:p w14:paraId="0D67DC76">
            <w:pPr>
              <w:widowControl/>
              <w:adjustRightInd w:val="0"/>
              <w:snapToGrid w:val="0"/>
              <w:spacing w:before="0" w:beforeLines="0" w:line="240" w:lineRule="auto"/>
              <w:jc w:val="center"/>
              <w:rPr>
                <w:kern w:val="0"/>
                <w:szCs w:val="21"/>
              </w:rPr>
            </w:pPr>
            <w:r>
              <w:rPr>
                <w:kern w:val="0"/>
                <w:szCs w:val="21"/>
              </w:rPr>
              <w:t>-1345,-349</w:t>
            </w:r>
          </w:p>
        </w:tc>
        <w:tc>
          <w:tcPr>
            <w:tcW w:w="364" w:type="pct"/>
            <w:noWrap/>
            <w:vAlign w:val="center"/>
          </w:tcPr>
          <w:p w14:paraId="648144D3">
            <w:pPr>
              <w:widowControl/>
              <w:adjustRightInd w:val="0"/>
              <w:snapToGrid w:val="0"/>
              <w:spacing w:before="0" w:beforeLines="0" w:line="240" w:lineRule="auto"/>
              <w:jc w:val="center"/>
              <w:rPr>
                <w:kern w:val="0"/>
                <w:szCs w:val="21"/>
              </w:rPr>
            </w:pPr>
            <w:r>
              <w:rPr>
                <w:kern w:val="0"/>
                <w:szCs w:val="21"/>
              </w:rPr>
              <w:t>272.58</w:t>
            </w:r>
          </w:p>
        </w:tc>
        <w:tc>
          <w:tcPr>
            <w:tcW w:w="343" w:type="pct"/>
            <w:noWrap/>
            <w:vAlign w:val="center"/>
          </w:tcPr>
          <w:p w14:paraId="4E3A4810">
            <w:pPr>
              <w:widowControl/>
              <w:adjustRightInd w:val="0"/>
              <w:snapToGrid w:val="0"/>
              <w:spacing w:before="0" w:beforeLines="0" w:line="240" w:lineRule="auto"/>
              <w:jc w:val="center"/>
              <w:rPr>
                <w:kern w:val="0"/>
                <w:szCs w:val="21"/>
              </w:rPr>
            </w:pPr>
            <w:r>
              <w:rPr>
                <w:kern w:val="0"/>
                <w:szCs w:val="21"/>
              </w:rPr>
              <w:t>1小时</w:t>
            </w:r>
          </w:p>
        </w:tc>
        <w:tc>
          <w:tcPr>
            <w:tcW w:w="644" w:type="pct"/>
            <w:noWrap/>
          </w:tcPr>
          <w:p w14:paraId="2CEB7FDB">
            <w:pPr>
              <w:widowControl/>
              <w:adjustRightInd w:val="0"/>
              <w:snapToGrid w:val="0"/>
              <w:spacing w:before="0" w:beforeLines="0" w:line="240" w:lineRule="auto"/>
              <w:jc w:val="center"/>
              <w:rPr>
                <w:kern w:val="0"/>
                <w:szCs w:val="21"/>
              </w:rPr>
            </w:pPr>
            <w:r>
              <w:rPr>
                <w:rFonts w:hint="eastAsia" w:hAnsi="宋体"/>
                <w:kern w:val="0"/>
                <w:szCs w:val="21"/>
              </w:rPr>
              <w:t>1534.9890</w:t>
            </w:r>
          </w:p>
        </w:tc>
        <w:tc>
          <w:tcPr>
            <w:tcW w:w="676" w:type="pct"/>
            <w:noWrap/>
          </w:tcPr>
          <w:p w14:paraId="6194B991">
            <w:pPr>
              <w:widowControl/>
              <w:adjustRightInd w:val="0"/>
              <w:snapToGrid w:val="0"/>
              <w:spacing w:before="0" w:beforeLines="0" w:line="240" w:lineRule="auto"/>
              <w:jc w:val="center"/>
              <w:rPr>
                <w:kern w:val="0"/>
                <w:szCs w:val="21"/>
              </w:rPr>
            </w:pPr>
            <w:r>
              <w:rPr>
                <w:rFonts w:hint="eastAsia" w:hAnsi="宋体"/>
                <w:kern w:val="0"/>
                <w:szCs w:val="21"/>
              </w:rPr>
              <w:t>25090303</w:t>
            </w:r>
          </w:p>
        </w:tc>
        <w:tc>
          <w:tcPr>
            <w:tcW w:w="562" w:type="pct"/>
            <w:noWrap/>
            <w:vAlign w:val="bottom"/>
          </w:tcPr>
          <w:p w14:paraId="219FD4AE">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tcPr>
          <w:p w14:paraId="0BAEEB5C">
            <w:pPr>
              <w:widowControl/>
              <w:adjustRightInd w:val="0"/>
              <w:snapToGrid w:val="0"/>
              <w:spacing w:before="0" w:beforeLines="0" w:line="240" w:lineRule="auto"/>
              <w:jc w:val="center"/>
              <w:rPr>
                <w:kern w:val="0"/>
                <w:szCs w:val="21"/>
              </w:rPr>
            </w:pPr>
            <w:r>
              <w:rPr>
                <w:rFonts w:hint="eastAsia" w:hAnsi="宋体"/>
                <w:kern w:val="0"/>
                <w:szCs w:val="21"/>
              </w:rPr>
              <w:t>426.39</w:t>
            </w:r>
          </w:p>
        </w:tc>
        <w:tc>
          <w:tcPr>
            <w:tcW w:w="343" w:type="pct"/>
            <w:noWrap/>
          </w:tcPr>
          <w:p w14:paraId="5087DB39">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0F12463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14:paraId="0BF94973">
            <w:pPr>
              <w:widowControl/>
              <w:adjustRightInd w:val="0"/>
              <w:snapToGrid w:val="0"/>
              <w:spacing w:before="0" w:beforeLines="0" w:line="240" w:lineRule="auto"/>
              <w:jc w:val="center"/>
              <w:rPr>
                <w:kern w:val="0"/>
                <w:szCs w:val="21"/>
              </w:rPr>
            </w:pPr>
            <w:r>
              <w:rPr>
                <w:kern w:val="0"/>
                <w:szCs w:val="21"/>
              </w:rPr>
              <w:t>2</w:t>
            </w:r>
          </w:p>
        </w:tc>
        <w:tc>
          <w:tcPr>
            <w:tcW w:w="856" w:type="pct"/>
            <w:noWrap/>
            <w:vAlign w:val="center"/>
          </w:tcPr>
          <w:p w14:paraId="75836544">
            <w:pPr>
              <w:widowControl/>
              <w:adjustRightInd w:val="0"/>
              <w:snapToGrid w:val="0"/>
              <w:spacing w:before="0" w:beforeLines="0" w:line="240" w:lineRule="auto"/>
              <w:jc w:val="center"/>
              <w:rPr>
                <w:kern w:val="0"/>
                <w:szCs w:val="21"/>
              </w:rPr>
            </w:pPr>
            <w:r>
              <w:rPr>
                <w:kern w:val="0"/>
                <w:szCs w:val="21"/>
              </w:rPr>
              <w:t>阿哈来村</w:t>
            </w:r>
          </w:p>
        </w:tc>
        <w:tc>
          <w:tcPr>
            <w:tcW w:w="610" w:type="pct"/>
            <w:noWrap/>
            <w:vAlign w:val="center"/>
          </w:tcPr>
          <w:p w14:paraId="4CD0CD26">
            <w:pPr>
              <w:widowControl/>
              <w:adjustRightInd w:val="0"/>
              <w:snapToGrid w:val="0"/>
              <w:spacing w:before="0" w:beforeLines="0" w:line="240" w:lineRule="auto"/>
              <w:jc w:val="center"/>
              <w:rPr>
                <w:kern w:val="0"/>
                <w:szCs w:val="21"/>
              </w:rPr>
            </w:pPr>
            <w:r>
              <w:rPr>
                <w:kern w:val="0"/>
                <w:szCs w:val="21"/>
              </w:rPr>
              <w:t>-2099,589</w:t>
            </w:r>
          </w:p>
        </w:tc>
        <w:tc>
          <w:tcPr>
            <w:tcW w:w="364" w:type="pct"/>
            <w:noWrap/>
            <w:vAlign w:val="center"/>
          </w:tcPr>
          <w:p w14:paraId="015B16EE">
            <w:pPr>
              <w:widowControl/>
              <w:adjustRightInd w:val="0"/>
              <w:snapToGrid w:val="0"/>
              <w:spacing w:before="0" w:beforeLines="0" w:line="240" w:lineRule="auto"/>
              <w:jc w:val="center"/>
              <w:rPr>
                <w:kern w:val="0"/>
                <w:szCs w:val="21"/>
              </w:rPr>
            </w:pPr>
            <w:r>
              <w:rPr>
                <w:kern w:val="0"/>
                <w:szCs w:val="21"/>
              </w:rPr>
              <w:t>266.66</w:t>
            </w:r>
          </w:p>
        </w:tc>
        <w:tc>
          <w:tcPr>
            <w:tcW w:w="343" w:type="pct"/>
            <w:noWrap/>
          </w:tcPr>
          <w:p w14:paraId="1E8B600F">
            <w:pPr>
              <w:widowControl/>
              <w:adjustRightInd w:val="0"/>
              <w:snapToGrid w:val="0"/>
              <w:spacing w:before="0" w:beforeLines="0" w:line="240" w:lineRule="auto"/>
              <w:jc w:val="center"/>
              <w:rPr>
                <w:kern w:val="0"/>
                <w:szCs w:val="21"/>
              </w:rPr>
            </w:pPr>
            <w:r>
              <w:rPr>
                <w:kern w:val="0"/>
                <w:szCs w:val="21"/>
              </w:rPr>
              <w:t>1小时</w:t>
            </w:r>
          </w:p>
        </w:tc>
        <w:tc>
          <w:tcPr>
            <w:tcW w:w="644" w:type="pct"/>
            <w:noWrap/>
          </w:tcPr>
          <w:p w14:paraId="63F0F0BF">
            <w:pPr>
              <w:widowControl/>
              <w:adjustRightInd w:val="0"/>
              <w:snapToGrid w:val="0"/>
              <w:spacing w:before="0" w:beforeLines="0" w:line="240" w:lineRule="auto"/>
              <w:jc w:val="center"/>
              <w:rPr>
                <w:kern w:val="0"/>
                <w:szCs w:val="21"/>
              </w:rPr>
            </w:pPr>
            <w:r>
              <w:rPr>
                <w:rFonts w:hint="eastAsia" w:hAnsi="宋体"/>
                <w:kern w:val="0"/>
                <w:szCs w:val="21"/>
              </w:rPr>
              <w:t>1034.9430</w:t>
            </w:r>
          </w:p>
        </w:tc>
        <w:tc>
          <w:tcPr>
            <w:tcW w:w="676" w:type="pct"/>
            <w:noWrap/>
          </w:tcPr>
          <w:p w14:paraId="2D50B7CD">
            <w:pPr>
              <w:widowControl/>
              <w:adjustRightInd w:val="0"/>
              <w:snapToGrid w:val="0"/>
              <w:spacing w:before="0" w:beforeLines="0" w:line="240" w:lineRule="auto"/>
              <w:jc w:val="center"/>
              <w:rPr>
                <w:kern w:val="0"/>
                <w:szCs w:val="21"/>
              </w:rPr>
            </w:pPr>
            <w:r>
              <w:rPr>
                <w:rFonts w:hint="eastAsia" w:hAnsi="宋体"/>
                <w:kern w:val="0"/>
                <w:szCs w:val="21"/>
              </w:rPr>
              <w:t>25092122</w:t>
            </w:r>
          </w:p>
        </w:tc>
        <w:tc>
          <w:tcPr>
            <w:tcW w:w="562" w:type="pct"/>
            <w:noWrap/>
            <w:vAlign w:val="bottom"/>
          </w:tcPr>
          <w:p w14:paraId="0CA7FE8E">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tcPr>
          <w:p w14:paraId="23DD4137">
            <w:pPr>
              <w:widowControl/>
              <w:adjustRightInd w:val="0"/>
              <w:snapToGrid w:val="0"/>
              <w:spacing w:before="0" w:beforeLines="0" w:line="240" w:lineRule="auto"/>
              <w:jc w:val="center"/>
              <w:rPr>
                <w:kern w:val="0"/>
                <w:szCs w:val="21"/>
              </w:rPr>
            </w:pPr>
            <w:r>
              <w:rPr>
                <w:rFonts w:hint="eastAsia" w:hAnsi="宋体"/>
                <w:kern w:val="0"/>
                <w:szCs w:val="21"/>
              </w:rPr>
              <w:t>287.48</w:t>
            </w:r>
          </w:p>
        </w:tc>
        <w:tc>
          <w:tcPr>
            <w:tcW w:w="343" w:type="pct"/>
            <w:noWrap/>
          </w:tcPr>
          <w:p w14:paraId="7A1B9439">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61892306">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14:paraId="4B1CA165">
            <w:pPr>
              <w:widowControl/>
              <w:adjustRightInd w:val="0"/>
              <w:snapToGrid w:val="0"/>
              <w:spacing w:before="0" w:beforeLines="0" w:line="240" w:lineRule="auto"/>
              <w:jc w:val="center"/>
              <w:rPr>
                <w:kern w:val="0"/>
                <w:szCs w:val="21"/>
              </w:rPr>
            </w:pPr>
            <w:r>
              <w:rPr>
                <w:kern w:val="0"/>
                <w:szCs w:val="21"/>
              </w:rPr>
              <w:t>3</w:t>
            </w:r>
          </w:p>
        </w:tc>
        <w:tc>
          <w:tcPr>
            <w:tcW w:w="856" w:type="pct"/>
            <w:noWrap/>
            <w:vAlign w:val="center"/>
          </w:tcPr>
          <w:p w14:paraId="24686B5F">
            <w:pPr>
              <w:widowControl/>
              <w:adjustRightInd w:val="0"/>
              <w:snapToGrid w:val="0"/>
              <w:spacing w:before="0" w:beforeLines="0" w:line="240" w:lineRule="auto"/>
              <w:jc w:val="center"/>
              <w:rPr>
                <w:kern w:val="0"/>
                <w:szCs w:val="21"/>
              </w:rPr>
            </w:pPr>
            <w:r>
              <w:rPr>
                <w:kern w:val="0"/>
                <w:szCs w:val="21"/>
              </w:rPr>
              <w:t>庙沟</w:t>
            </w:r>
          </w:p>
        </w:tc>
        <w:tc>
          <w:tcPr>
            <w:tcW w:w="610" w:type="pct"/>
            <w:noWrap/>
            <w:vAlign w:val="center"/>
          </w:tcPr>
          <w:p w14:paraId="54EBE085">
            <w:pPr>
              <w:widowControl/>
              <w:adjustRightInd w:val="0"/>
              <w:snapToGrid w:val="0"/>
              <w:spacing w:before="0" w:beforeLines="0" w:line="240" w:lineRule="auto"/>
              <w:jc w:val="center"/>
              <w:rPr>
                <w:kern w:val="0"/>
                <w:szCs w:val="21"/>
              </w:rPr>
            </w:pPr>
            <w:r>
              <w:rPr>
                <w:kern w:val="0"/>
                <w:szCs w:val="21"/>
              </w:rPr>
              <w:t>-1444，2465</w:t>
            </w:r>
          </w:p>
        </w:tc>
        <w:tc>
          <w:tcPr>
            <w:tcW w:w="364" w:type="pct"/>
            <w:noWrap/>
            <w:vAlign w:val="center"/>
          </w:tcPr>
          <w:p w14:paraId="78113351">
            <w:pPr>
              <w:widowControl/>
              <w:adjustRightInd w:val="0"/>
              <w:snapToGrid w:val="0"/>
              <w:spacing w:before="0" w:beforeLines="0" w:line="240" w:lineRule="auto"/>
              <w:jc w:val="center"/>
              <w:rPr>
                <w:kern w:val="0"/>
                <w:szCs w:val="21"/>
              </w:rPr>
            </w:pPr>
            <w:r>
              <w:rPr>
                <w:kern w:val="0"/>
                <w:szCs w:val="21"/>
              </w:rPr>
              <w:t>269.82</w:t>
            </w:r>
          </w:p>
        </w:tc>
        <w:tc>
          <w:tcPr>
            <w:tcW w:w="343" w:type="pct"/>
            <w:noWrap/>
          </w:tcPr>
          <w:p w14:paraId="46EAA4EF">
            <w:pPr>
              <w:widowControl/>
              <w:adjustRightInd w:val="0"/>
              <w:snapToGrid w:val="0"/>
              <w:spacing w:before="0" w:beforeLines="0" w:line="240" w:lineRule="auto"/>
              <w:jc w:val="center"/>
              <w:rPr>
                <w:kern w:val="0"/>
                <w:szCs w:val="21"/>
              </w:rPr>
            </w:pPr>
            <w:r>
              <w:rPr>
                <w:kern w:val="0"/>
                <w:szCs w:val="21"/>
              </w:rPr>
              <w:t>1小时</w:t>
            </w:r>
          </w:p>
        </w:tc>
        <w:tc>
          <w:tcPr>
            <w:tcW w:w="644" w:type="pct"/>
            <w:noWrap/>
          </w:tcPr>
          <w:p w14:paraId="32C63E11">
            <w:pPr>
              <w:widowControl/>
              <w:adjustRightInd w:val="0"/>
              <w:snapToGrid w:val="0"/>
              <w:spacing w:before="0" w:beforeLines="0" w:line="240" w:lineRule="auto"/>
              <w:jc w:val="center"/>
              <w:rPr>
                <w:kern w:val="0"/>
                <w:szCs w:val="21"/>
              </w:rPr>
            </w:pPr>
            <w:r>
              <w:rPr>
                <w:rFonts w:hint="eastAsia" w:hAnsi="宋体"/>
                <w:kern w:val="0"/>
                <w:szCs w:val="21"/>
              </w:rPr>
              <w:t>797.7908</w:t>
            </w:r>
          </w:p>
        </w:tc>
        <w:tc>
          <w:tcPr>
            <w:tcW w:w="676" w:type="pct"/>
            <w:noWrap/>
          </w:tcPr>
          <w:p w14:paraId="7A47D276">
            <w:pPr>
              <w:widowControl/>
              <w:adjustRightInd w:val="0"/>
              <w:snapToGrid w:val="0"/>
              <w:spacing w:before="0" w:beforeLines="0" w:line="240" w:lineRule="auto"/>
              <w:jc w:val="center"/>
              <w:rPr>
                <w:kern w:val="0"/>
                <w:szCs w:val="21"/>
              </w:rPr>
            </w:pPr>
            <w:r>
              <w:rPr>
                <w:rFonts w:hint="eastAsia" w:hAnsi="宋体"/>
                <w:kern w:val="0"/>
                <w:szCs w:val="21"/>
              </w:rPr>
              <w:t>25092101</w:t>
            </w:r>
          </w:p>
        </w:tc>
        <w:tc>
          <w:tcPr>
            <w:tcW w:w="562" w:type="pct"/>
            <w:noWrap/>
            <w:vAlign w:val="bottom"/>
          </w:tcPr>
          <w:p w14:paraId="3061F33A">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tcPr>
          <w:p w14:paraId="38BCC360">
            <w:pPr>
              <w:widowControl/>
              <w:adjustRightInd w:val="0"/>
              <w:snapToGrid w:val="0"/>
              <w:spacing w:before="0" w:beforeLines="0" w:line="240" w:lineRule="auto"/>
              <w:jc w:val="center"/>
              <w:rPr>
                <w:kern w:val="0"/>
                <w:szCs w:val="21"/>
              </w:rPr>
            </w:pPr>
            <w:r>
              <w:rPr>
                <w:rFonts w:hint="eastAsia" w:hAnsi="宋体"/>
                <w:kern w:val="0"/>
                <w:szCs w:val="21"/>
              </w:rPr>
              <w:t>221.61</w:t>
            </w:r>
          </w:p>
        </w:tc>
        <w:tc>
          <w:tcPr>
            <w:tcW w:w="343" w:type="pct"/>
            <w:noWrap/>
          </w:tcPr>
          <w:p w14:paraId="3CA00268">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122EC06A">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14:paraId="651195D0">
            <w:pPr>
              <w:widowControl/>
              <w:adjustRightInd w:val="0"/>
              <w:snapToGrid w:val="0"/>
              <w:spacing w:before="0" w:beforeLines="0" w:line="240" w:lineRule="auto"/>
              <w:jc w:val="center"/>
              <w:rPr>
                <w:kern w:val="0"/>
                <w:szCs w:val="21"/>
              </w:rPr>
            </w:pPr>
            <w:r>
              <w:rPr>
                <w:kern w:val="0"/>
                <w:szCs w:val="21"/>
              </w:rPr>
              <w:t>4</w:t>
            </w:r>
          </w:p>
        </w:tc>
        <w:tc>
          <w:tcPr>
            <w:tcW w:w="856" w:type="pct"/>
            <w:noWrap/>
            <w:vAlign w:val="center"/>
          </w:tcPr>
          <w:p w14:paraId="6EAD3755">
            <w:pPr>
              <w:widowControl/>
              <w:adjustRightInd w:val="0"/>
              <w:snapToGrid w:val="0"/>
              <w:spacing w:before="0" w:beforeLines="0" w:line="240" w:lineRule="auto"/>
              <w:jc w:val="center"/>
              <w:rPr>
                <w:kern w:val="0"/>
                <w:szCs w:val="21"/>
              </w:rPr>
            </w:pPr>
            <w:r>
              <w:rPr>
                <w:kern w:val="0"/>
                <w:szCs w:val="21"/>
              </w:rPr>
              <w:t>南山</w:t>
            </w:r>
          </w:p>
        </w:tc>
        <w:tc>
          <w:tcPr>
            <w:tcW w:w="610" w:type="pct"/>
            <w:noWrap/>
            <w:vAlign w:val="center"/>
          </w:tcPr>
          <w:p w14:paraId="0630B1DE">
            <w:pPr>
              <w:widowControl/>
              <w:adjustRightInd w:val="0"/>
              <w:snapToGrid w:val="0"/>
              <w:spacing w:before="0" w:beforeLines="0" w:line="240" w:lineRule="auto"/>
              <w:jc w:val="center"/>
              <w:rPr>
                <w:kern w:val="0"/>
                <w:szCs w:val="21"/>
              </w:rPr>
            </w:pPr>
            <w:r>
              <w:rPr>
                <w:kern w:val="0"/>
                <w:szCs w:val="21"/>
              </w:rPr>
              <w:t>-2423,-913</w:t>
            </w:r>
          </w:p>
        </w:tc>
        <w:tc>
          <w:tcPr>
            <w:tcW w:w="364" w:type="pct"/>
            <w:noWrap/>
            <w:vAlign w:val="center"/>
          </w:tcPr>
          <w:p w14:paraId="15243A0A">
            <w:pPr>
              <w:widowControl/>
              <w:adjustRightInd w:val="0"/>
              <w:snapToGrid w:val="0"/>
              <w:spacing w:before="0" w:beforeLines="0" w:line="240" w:lineRule="auto"/>
              <w:jc w:val="center"/>
              <w:rPr>
                <w:kern w:val="0"/>
                <w:szCs w:val="21"/>
              </w:rPr>
            </w:pPr>
            <w:r>
              <w:rPr>
                <w:kern w:val="0"/>
                <w:szCs w:val="21"/>
              </w:rPr>
              <w:t>284.09</w:t>
            </w:r>
          </w:p>
        </w:tc>
        <w:tc>
          <w:tcPr>
            <w:tcW w:w="343" w:type="pct"/>
            <w:noWrap/>
          </w:tcPr>
          <w:p w14:paraId="29D34170">
            <w:pPr>
              <w:widowControl/>
              <w:adjustRightInd w:val="0"/>
              <w:snapToGrid w:val="0"/>
              <w:spacing w:before="0" w:beforeLines="0" w:line="240" w:lineRule="auto"/>
              <w:jc w:val="center"/>
              <w:rPr>
                <w:kern w:val="0"/>
                <w:szCs w:val="21"/>
              </w:rPr>
            </w:pPr>
            <w:r>
              <w:rPr>
                <w:kern w:val="0"/>
                <w:szCs w:val="21"/>
              </w:rPr>
              <w:t>1小时</w:t>
            </w:r>
          </w:p>
        </w:tc>
        <w:tc>
          <w:tcPr>
            <w:tcW w:w="644" w:type="pct"/>
            <w:noWrap/>
          </w:tcPr>
          <w:p w14:paraId="28823B2F">
            <w:pPr>
              <w:widowControl/>
              <w:adjustRightInd w:val="0"/>
              <w:snapToGrid w:val="0"/>
              <w:spacing w:before="0" w:beforeLines="0" w:line="240" w:lineRule="auto"/>
              <w:jc w:val="center"/>
              <w:rPr>
                <w:kern w:val="0"/>
                <w:szCs w:val="21"/>
              </w:rPr>
            </w:pPr>
            <w:r>
              <w:rPr>
                <w:rFonts w:hint="eastAsia" w:hAnsi="宋体"/>
                <w:kern w:val="0"/>
                <w:szCs w:val="21"/>
              </w:rPr>
              <w:t>637.2310</w:t>
            </w:r>
          </w:p>
        </w:tc>
        <w:tc>
          <w:tcPr>
            <w:tcW w:w="676" w:type="pct"/>
            <w:noWrap/>
          </w:tcPr>
          <w:p w14:paraId="27253738">
            <w:pPr>
              <w:widowControl/>
              <w:adjustRightInd w:val="0"/>
              <w:snapToGrid w:val="0"/>
              <w:spacing w:before="0" w:beforeLines="0" w:line="240" w:lineRule="auto"/>
              <w:jc w:val="center"/>
              <w:rPr>
                <w:kern w:val="0"/>
                <w:szCs w:val="21"/>
              </w:rPr>
            </w:pPr>
            <w:r>
              <w:rPr>
                <w:rFonts w:hint="eastAsia" w:hAnsi="宋体"/>
                <w:kern w:val="0"/>
                <w:szCs w:val="21"/>
              </w:rPr>
              <w:t>25100719</w:t>
            </w:r>
          </w:p>
        </w:tc>
        <w:tc>
          <w:tcPr>
            <w:tcW w:w="562" w:type="pct"/>
            <w:noWrap/>
            <w:vAlign w:val="bottom"/>
          </w:tcPr>
          <w:p w14:paraId="59C41B36">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tcPr>
          <w:p w14:paraId="5354C57A">
            <w:pPr>
              <w:widowControl/>
              <w:adjustRightInd w:val="0"/>
              <w:snapToGrid w:val="0"/>
              <w:spacing w:before="0" w:beforeLines="0" w:line="240" w:lineRule="auto"/>
              <w:jc w:val="center"/>
              <w:rPr>
                <w:kern w:val="0"/>
                <w:szCs w:val="21"/>
              </w:rPr>
            </w:pPr>
            <w:r>
              <w:rPr>
                <w:rFonts w:hint="eastAsia" w:hAnsi="宋体"/>
                <w:kern w:val="0"/>
                <w:szCs w:val="21"/>
              </w:rPr>
              <w:t>177.01</w:t>
            </w:r>
          </w:p>
        </w:tc>
        <w:tc>
          <w:tcPr>
            <w:tcW w:w="343" w:type="pct"/>
            <w:noWrap/>
          </w:tcPr>
          <w:p w14:paraId="7628B182">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19B9070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14:paraId="26986379">
            <w:pPr>
              <w:widowControl/>
              <w:adjustRightInd w:val="0"/>
              <w:snapToGrid w:val="0"/>
              <w:spacing w:before="0" w:beforeLines="0" w:line="240" w:lineRule="auto"/>
              <w:jc w:val="center"/>
              <w:rPr>
                <w:kern w:val="0"/>
                <w:szCs w:val="21"/>
              </w:rPr>
            </w:pPr>
            <w:r>
              <w:rPr>
                <w:kern w:val="0"/>
                <w:szCs w:val="21"/>
              </w:rPr>
              <w:t>5</w:t>
            </w:r>
          </w:p>
        </w:tc>
        <w:tc>
          <w:tcPr>
            <w:tcW w:w="856" w:type="pct"/>
            <w:noWrap/>
            <w:vAlign w:val="center"/>
          </w:tcPr>
          <w:p w14:paraId="3F2CDEF1">
            <w:pPr>
              <w:widowControl/>
              <w:adjustRightInd w:val="0"/>
              <w:snapToGrid w:val="0"/>
              <w:spacing w:before="0" w:beforeLines="0" w:line="240" w:lineRule="auto"/>
              <w:jc w:val="center"/>
              <w:rPr>
                <w:kern w:val="0"/>
                <w:szCs w:val="21"/>
              </w:rPr>
            </w:pPr>
            <w:r>
              <w:rPr>
                <w:kern w:val="0"/>
                <w:szCs w:val="21"/>
              </w:rPr>
              <w:t>邵家窝堡</w:t>
            </w:r>
          </w:p>
        </w:tc>
        <w:tc>
          <w:tcPr>
            <w:tcW w:w="610" w:type="pct"/>
            <w:noWrap/>
            <w:vAlign w:val="center"/>
          </w:tcPr>
          <w:p w14:paraId="3771900E">
            <w:pPr>
              <w:widowControl/>
              <w:adjustRightInd w:val="0"/>
              <w:snapToGrid w:val="0"/>
              <w:spacing w:before="0" w:beforeLines="0" w:line="240" w:lineRule="auto"/>
              <w:jc w:val="center"/>
              <w:rPr>
                <w:kern w:val="0"/>
                <w:szCs w:val="21"/>
              </w:rPr>
            </w:pPr>
            <w:r>
              <w:rPr>
                <w:kern w:val="0"/>
                <w:szCs w:val="21"/>
              </w:rPr>
              <w:t>760，1865</w:t>
            </w:r>
          </w:p>
        </w:tc>
        <w:tc>
          <w:tcPr>
            <w:tcW w:w="364" w:type="pct"/>
            <w:noWrap/>
            <w:vAlign w:val="center"/>
          </w:tcPr>
          <w:p w14:paraId="1AB02E06">
            <w:pPr>
              <w:widowControl/>
              <w:adjustRightInd w:val="0"/>
              <w:snapToGrid w:val="0"/>
              <w:spacing w:before="0" w:beforeLines="0" w:line="240" w:lineRule="auto"/>
              <w:jc w:val="center"/>
              <w:rPr>
                <w:kern w:val="0"/>
                <w:szCs w:val="21"/>
              </w:rPr>
            </w:pPr>
            <w:r>
              <w:rPr>
                <w:kern w:val="0"/>
                <w:szCs w:val="21"/>
              </w:rPr>
              <w:t>257.54</w:t>
            </w:r>
          </w:p>
        </w:tc>
        <w:tc>
          <w:tcPr>
            <w:tcW w:w="343" w:type="pct"/>
            <w:noWrap/>
          </w:tcPr>
          <w:p w14:paraId="73E253D9">
            <w:pPr>
              <w:widowControl/>
              <w:adjustRightInd w:val="0"/>
              <w:snapToGrid w:val="0"/>
              <w:spacing w:before="0" w:beforeLines="0" w:line="240" w:lineRule="auto"/>
              <w:jc w:val="center"/>
              <w:rPr>
                <w:kern w:val="0"/>
                <w:szCs w:val="21"/>
              </w:rPr>
            </w:pPr>
            <w:r>
              <w:rPr>
                <w:kern w:val="0"/>
                <w:szCs w:val="21"/>
              </w:rPr>
              <w:t>1小时</w:t>
            </w:r>
          </w:p>
        </w:tc>
        <w:tc>
          <w:tcPr>
            <w:tcW w:w="644" w:type="pct"/>
            <w:noWrap/>
          </w:tcPr>
          <w:p w14:paraId="4CB7AA76">
            <w:pPr>
              <w:widowControl/>
              <w:adjustRightInd w:val="0"/>
              <w:snapToGrid w:val="0"/>
              <w:spacing w:before="0" w:beforeLines="0" w:line="240" w:lineRule="auto"/>
              <w:jc w:val="center"/>
              <w:rPr>
                <w:kern w:val="0"/>
                <w:szCs w:val="21"/>
              </w:rPr>
            </w:pPr>
            <w:r>
              <w:rPr>
                <w:rFonts w:hint="eastAsia" w:hAnsi="宋体"/>
                <w:kern w:val="0"/>
                <w:szCs w:val="21"/>
              </w:rPr>
              <w:t>832.2225</w:t>
            </w:r>
          </w:p>
        </w:tc>
        <w:tc>
          <w:tcPr>
            <w:tcW w:w="676" w:type="pct"/>
            <w:noWrap/>
          </w:tcPr>
          <w:p w14:paraId="3D1349CF">
            <w:pPr>
              <w:widowControl/>
              <w:adjustRightInd w:val="0"/>
              <w:snapToGrid w:val="0"/>
              <w:spacing w:before="0" w:beforeLines="0" w:line="240" w:lineRule="auto"/>
              <w:jc w:val="center"/>
              <w:rPr>
                <w:kern w:val="0"/>
                <w:szCs w:val="21"/>
              </w:rPr>
            </w:pPr>
            <w:r>
              <w:rPr>
                <w:rFonts w:hint="eastAsia" w:hAnsi="宋体"/>
                <w:kern w:val="0"/>
                <w:szCs w:val="21"/>
              </w:rPr>
              <w:t>25092824</w:t>
            </w:r>
          </w:p>
        </w:tc>
        <w:tc>
          <w:tcPr>
            <w:tcW w:w="562" w:type="pct"/>
            <w:noWrap/>
            <w:vAlign w:val="bottom"/>
          </w:tcPr>
          <w:p w14:paraId="280354FB">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tcPr>
          <w:p w14:paraId="22DFDF4D">
            <w:pPr>
              <w:widowControl/>
              <w:adjustRightInd w:val="0"/>
              <w:snapToGrid w:val="0"/>
              <w:spacing w:before="0" w:beforeLines="0" w:line="240" w:lineRule="auto"/>
              <w:jc w:val="center"/>
              <w:rPr>
                <w:kern w:val="0"/>
                <w:szCs w:val="21"/>
              </w:rPr>
            </w:pPr>
            <w:r>
              <w:rPr>
                <w:rFonts w:hint="eastAsia" w:hAnsi="宋体"/>
                <w:kern w:val="0"/>
                <w:szCs w:val="21"/>
              </w:rPr>
              <w:t>231.17</w:t>
            </w:r>
          </w:p>
        </w:tc>
        <w:tc>
          <w:tcPr>
            <w:tcW w:w="343" w:type="pct"/>
            <w:noWrap/>
          </w:tcPr>
          <w:p w14:paraId="018656B5">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6704E26A">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14:paraId="6A4FE7B1">
            <w:pPr>
              <w:widowControl/>
              <w:adjustRightInd w:val="0"/>
              <w:snapToGrid w:val="0"/>
              <w:spacing w:before="0" w:beforeLines="0" w:line="240" w:lineRule="auto"/>
              <w:jc w:val="center"/>
              <w:rPr>
                <w:kern w:val="0"/>
                <w:szCs w:val="21"/>
              </w:rPr>
            </w:pPr>
            <w:r>
              <w:rPr>
                <w:kern w:val="0"/>
                <w:szCs w:val="21"/>
              </w:rPr>
              <w:t>6</w:t>
            </w:r>
          </w:p>
        </w:tc>
        <w:tc>
          <w:tcPr>
            <w:tcW w:w="856" w:type="pct"/>
            <w:noWrap/>
            <w:vAlign w:val="center"/>
          </w:tcPr>
          <w:p w14:paraId="16786D92">
            <w:pPr>
              <w:widowControl/>
              <w:adjustRightInd w:val="0"/>
              <w:snapToGrid w:val="0"/>
              <w:spacing w:before="0" w:beforeLines="0" w:line="240" w:lineRule="auto"/>
              <w:jc w:val="center"/>
              <w:rPr>
                <w:bCs/>
                <w:kern w:val="0"/>
                <w:szCs w:val="21"/>
              </w:rPr>
            </w:pPr>
            <w:r>
              <w:rPr>
                <w:bCs/>
                <w:kern w:val="0"/>
                <w:szCs w:val="21"/>
              </w:rPr>
              <w:t>满汉营子</w:t>
            </w:r>
          </w:p>
        </w:tc>
        <w:tc>
          <w:tcPr>
            <w:tcW w:w="610" w:type="pct"/>
            <w:noWrap/>
            <w:vAlign w:val="center"/>
          </w:tcPr>
          <w:p w14:paraId="25104A5D">
            <w:pPr>
              <w:widowControl/>
              <w:adjustRightInd w:val="0"/>
              <w:snapToGrid w:val="0"/>
              <w:spacing w:before="0" w:beforeLines="0" w:line="240" w:lineRule="auto"/>
              <w:jc w:val="center"/>
              <w:rPr>
                <w:bCs/>
                <w:kern w:val="0"/>
                <w:szCs w:val="21"/>
              </w:rPr>
            </w:pPr>
            <w:r>
              <w:rPr>
                <w:bCs/>
                <w:kern w:val="0"/>
                <w:szCs w:val="21"/>
              </w:rPr>
              <w:t>2366，1019</w:t>
            </w:r>
          </w:p>
        </w:tc>
        <w:tc>
          <w:tcPr>
            <w:tcW w:w="364" w:type="pct"/>
            <w:noWrap/>
            <w:vAlign w:val="center"/>
          </w:tcPr>
          <w:p w14:paraId="7D01A0D5">
            <w:pPr>
              <w:widowControl/>
              <w:adjustRightInd w:val="0"/>
              <w:snapToGrid w:val="0"/>
              <w:spacing w:before="0" w:beforeLines="0" w:line="240" w:lineRule="auto"/>
              <w:jc w:val="center"/>
              <w:rPr>
                <w:bCs/>
                <w:kern w:val="0"/>
                <w:szCs w:val="21"/>
              </w:rPr>
            </w:pPr>
            <w:r>
              <w:rPr>
                <w:bCs/>
                <w:kern w:val="0"/>
                <w:szCs w:val="21"/>
              </w:rPr>
              <w:t>262.39</w:t>
            </w:r>
          </w:p>
        </w:tc>
        <w:tc>
          <w:tcPr>
            <w:tcW w:w="343" w:type="pct"/>
            <w:noWrap/>
          </w:tcPr>
          <w:p w14:paraId="4283FD6C">
            <w:pPr>
              <w:widowControl/>
              <w:adjustRightInd w:val="0"/>
              <w:snapToGrid w:val="0"/>
              <w:spacing w:before="0" w:beforeLines="0" w:line="240" w:lineRule="auto"/>
              <w:jc w:val="center"/>
              <w:rPr>
                <w:kern w:val="0"/>
                <w:szCs w:val="21"/>
              </w:rPr>
            </w:pPr>
            <w:r>
              <w:rPr>
                <w:kern w:val="0"/>
                <w:szCs w:val="21"/>
              </w:rPr>
              <w:t>1小时</w:t>
            </w:r>
          </w:p>
        </w:tc>
        <w:tc>
          <w:tcPr>
            <w:tcW w:w="644" w:type="pct"/>
            <w:noWrap/>
          </w:tcPr>
          <w:p w14:paraId="5C9DDD64">
            <w:pPr>
              <w:widowControl/>
              <w:adjustRightInd w:val="0"/>
              <w:snapToGrid w:val="0"/>
              <w:spacing w:before="0" w:beforeLines="0" w:line="240" w:lineRule="auto"/>
              <w:jc w:val="center"/>
              <w:rPr>
                <w:kern w:val="0"/>
                <w:szCs w:val="21"/>
              </w:rPr>
            </w:pPr>
            <w:r>
              <w:rPr>
                <w:rFonts w:hint="eastAsia" w:hAnsi="宋体"/>
                <w:kern w:val="0"/>
                <w:szCs w:val="21"/>
              </w:rPr>
              <w:t>471.8976</w:t>
            </w:r>
          </w:p>
        </w:tc>
        <w:tc>
          <w:tcPr>
            <w:tcW w:w="676" w:type="pct"/>
            <w:noWrap/>
          </w:tcPr>
          <w:p w14:paraId="2F433845">
            <w:pPr>
              <w:widowControl/>
              <w:adjustRightInd w:val="0"/>
              <w:snapToGrid w:val="0"/>
              <w:spacing w:before="0" w:beforeLines="0" w:line="240" w:lineRule="auto"/>
              <w:jc w:val="center"/>
              <w:rPr>
                <w:kern w:val="0"/>
                <w:szCs w:val="21"/>
              </w:rPr>
            </w:pPr>
            <w:r>
              <w:rPr>
                <w:rFonts w:hint="eastAsia" w:hAnsi="宋体"/>
                <w:kern w:val="0"/>
                <w:szCs w:val="21"/>
              </w:rPr>
              <w:t>25081022</w:t>
            </w:r>
          </w:p>
        </w:tc>
        <w:tc>
          <w:tcPr>
            <w:tcW w:w="562" w:type="pct"/>
            <w:noWrap/>
            <w:vAlign w:val="bottom"/>
          </w:tcPr>
          <w:p w14:paraId="40D27AF8">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tcPr>
          <w:p w14:paraId="65C45601">
            <w:pPr>
              <w:widowControl/>
              <w:adjustRightInd w:val="0"/>
              <w:snapToGrid w:val="0"/>
              <w:spacing w:before="0" w:beforeLines="0" w:line="240" w:lineRule="auto"/>
              <w:jc w:val="center"/>
              <w:rPr>
                <w:kern w:val="0"/>
                <w:szCs w:val="21"/>
              </w:rPr>
            </w:pPr>
            <w:r>
              <w:rPr>
                <w:rFonts w:hint="eastAsia" w:hAnsi="宋体"/>
                <w:kern w:val="0"/>
                <w:szCs w:val="21"/>
              </w:rPr>
              <w:t>131.08</w:t>
            </w:r>
          </w:p>
        </w:tc>
        <w:tc>
          <w:tcPr>
            <w:tcW w:w="343" w:type="pct"/>
            <w:noWrap/>
          </w:tcPr>
          <w:p w14:paraId="3824635E">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11621F9A">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14:paraId="416EF179">
            <w:pPr>
              <w:widowControl/>
              <w:adjustRightInd w:val="0"/>
              <w:snapToGrid w:val="0"/>
              <w:spacing w:before="0" w:beforeLines="0" w:line="240" w:lineRule="auto"/>
              <w:jc w:val="center"/>
              <w:rPr>
                <w:kern w:val="0"/>
                <w:szCs w:val="21"/>
              </w:rPr>
            </w:pPr>
            <w:r>
              <w:rPr>
                <w:kern w:val="0"/>
                <w:szCs w:val="21"/>
              </w:rPr>
              <w:t>7</w:t>
            </w:r>
          </w:p>
        </w:tc>
        <w:tc>
          <w:tcPr>
            <w:tcW w:w="856" w:type="pct"/>
            <w:noWrap/>
            <w:vAlign w:val="center"/>
          </w:tcPr>
          <w:p w14:paraId="58327730">
            <w:pPr>
              <w:widowControl/>
              <w:adjustRightInd w:val="0"/>
              <w:snapToGrid w:val="0"/>
              <w:spacing w:before="0" w:beforeLines="0" w:line="240" w:lineRule="auto"/>
              <w:jc w:val="center"/>
              <w:rPr>
                <w:kern w:val="0"/>
                <w:szCs w:val="21"/>
              </w:rPr>
            </w:pPr>
            <w:r>
              <w:rPr>
                <w:kern w:val="0"/>
                <w:szCs w:val="21"/>
              </w:rPr>
              <w:t>郎家窝堡</w:t>
            </w:r>
          </w:p>
        </w:tc>
        <w:tc>
          <w:tcPr>
            <w:tcW w:w="610" w:type="pct"/>
            <w:noWrap/>
            <w:vAlign w:val="center"/>
          </w:tcPr>
          <w:p w14:paraId="23134A2D">
            <w:pPr>
              <w:widowControl/>
              <w:adjustRightInd w:val="0"/>
              <w:snapToGrid w:val="0"/>
              <w:spacing w:before="0" w:beforeLines="0" w:line="240" w:lineRule="auto"/>
              <w:jc w:val="center"/>
              <w:rPr>
                <w:kern w:val="0"/>
                <w:szCs w:val="21"/>
              </w:rPr>
            </w:pPr>
            <w:r>
              <w:rPr>
                <w:kern w:val="0"/>
                <w:szCs w:val="21"/>
              </w:rPr>
              <w:t>2451，2436</w:t>
            </w:r>
          </w:p>
        </w:tc>
        <w:tc>
          <w:tcPr>
            <w:tcW w:w="364" w:type="pct"/>
            <w:noWrap/>
            <w:vAlign w:val="center"/>
          </w:tcPr>
          <w:p w14:paraId="36115CBE">
            <w:pPr>
              <w:widowControl/>
              <w:adjustRightInd w:val="0"/>
              <w:snapToGrid w:val="0"/>
              <w:spacing w:before="0" w:beforeLines="0" w:line="240" w:lineRule="auto"/>
              <w:jc w:val="center"/>
              <w:rPr>
                <w:kern w:val="0"/>
                <w:szCs w:val="21"/>
              </w:rPr>
            </w:pPr>
            <w:r>
              <w:rPr>
                <w:kern w:val="0"/>
                <w:szCs w:val="21"/>
              </w:rPr>
              <w:t>278.19</w:t>
            </w:r>
          </w:p>
        </w:tc>
        <w:tc>
          <w:tcPr>
            <w:tcW w:w="343" w:type="pct"/>
            <w:noWrap/>
          </w:tcPr>
          <w:p w14:paraId="531FA7EF">
            <w:pPr>
              <w:widowControl/>
              <w:adjustRightInd w:val="0"/>
              <w:snapToGrid w:val="0"/>
              <w:spacing w:before="0" w:beforeLines="0" w:line="240" w:lineRule="auto"/>
              <w:jc w:val="center"/>
              <w:rPr>
                <w:kern w:val="0"/>
                <w:szCs w:val="21"/>
              </w:rPr>
            </w:pPr>
            <w:r>
              <w:rPr>
                <w:kern w:val="0"/>
                <w:szCs w:val="21"/>
              </w:rPr>
              <w:t>1小时</w:t>
            </w:r>
          </w:p>
        </w:tc>
        <w:tc>
          <w:tcPr>
            <w:tcW w:w="644" w:type="pct"/>
            <w:noWrap/>
          </w:tcPr>
          <w:p w14:paraId="007A5D89">
            <w:pPr>
              <w:widowControl/>
              <w:adjustRightInd w:val="0"/>
              <w:snapToGrid w:val="0"/>
              <w:spacing w:before="0" w:beforeLines="0" w:line="240" w:lineRule="auto"/>
              <w:jc w:val="center"/>
              <w:rPr>
                <w:kern w:val="0"/>
                <w:szCs w:val="21"/>
              </w:rPr>
            </w:pPr>
            <w:r>
              <w:rPr>
                <w:rFonts w:hint="eastAsia" w:hAnsi="宋体"/>
                <w:kern w:val="0"/>
                <w:szCs w:val="21"/>
              </w:rPr>
              <w:t>375.7056</w:t>
            </w:r>
          </w:p>
        </w:tc>
        <w:tc>
          <w:tcPr>
            <w:tcW w:w="676" w:type="pct"/>
            <w:noWrap/>
          </w:tcPr>
          <w:p w14:paraId="7162FED9">
            <w:pPr>
              <w:widowControl/>
              <w:adjustRightInd w:val="0"/>
              <w:snapToGrid w:val="0"/>
              <w:spacing w:before="0" w:beforeLines="0" w:line="240" w:lineRule="auto"/>
              <w:jc w:val="center"/>
              <w:rPr>
                <w:kern w:val="0"/>
                <w:szCs w:val="21"/>
              </w:rPr>
            </w:pPr>
            <w:r>
              <w:rPr>
                <w:rFonts w:hint="eastAsia" w:hAnsi="宋体"/>
                <w:kern w:val="0"/>
                <w:szCs w:val="21"/>
              </w:rPr>
              <w:t>25082804</w:t>
            </w:r>
          </w:p>
        </w:tc>
        <w:tc>
          <w:tcPr>
            <w:tcW w:w="562" w:type="pct"/>
            <w:noWrap/>
            <w:vAlign w:val="bottom"/>
          </w:tcPr>
          <w:p w14:paraId="7DD7BFDE">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tcPr>
          <w:p w14:paraId="58E8A8C0">
            <w:pPr>
              <w:widowControl/>
              <w:adjustRightInd w:val="0"/>
              <w:snapToGrid w:val="0"/>
              <w:spacing w:before="0" w:beforeLines="0" w:line="240" w:lineRule="auto"/>
              <w:jc w:val="center"/>
              <w:rPr>
                <w:kern w:val="0"/>
                <w:szCs w:val="21"/>
              </w:rPr>
            </w:pPr>
            <w:r>
              <w:rPr>
                <w:rFonts w:hint="eastAsia" w:hAnsi="宋体"/>
                <w:kern w:val="0"/>
                <w:szCs w:val="21"/>
              </w:rPr>
              <w:t>104.36</w:t>
            </w:r>
          </w:p>
        </w:tc>
        <w:tc>
          <w:tcPr>
            <w:tcW w:w="343" w:type="pct"/>
            <w:noWrap/>
          </w:tcPr>
          <w:p w14:paraId="709EA663">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1A6118BF">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14:paraId="7C62FF54">
            <w:pPr>
              <w:widowControl/>
              <w:adjustRightInd w:val="0"/>
              <w:snapToGrid w:val="0"/>
              <w:spacing w:before="0" w:beforeLines="0" w:line="240" w:lineRule="auto"/>
              <w:jc w:val="center"/>
              <w:rPr>
                <w:kern w:val="0"/>
                <w:szCs w:val="21"/>
              </w:rPr>
            </w:pPr>
            <w:r>
              <w:rPr>
                <w:kern w:val="0"/>
                <w:szCs w:val="21"/>
              </w:rPr>
              <w:t>8</w:t>
            </w:r>
          </w:p>
        </w:tc>
        <w:tc>
          <w:tcPr>
            <w:tcW w:w="856" w:type="pct"/>
            <w:noWrap/>
            <w:vAlign w:val="center"/>
          </w:tcPr>
          <w:p w14:paraId="7CEA360B">
            <w:pPr>
              <w:widowControl/>
              <w:adjustRightInd w:val="0"/>
              <w:snapToGrid w:val="0"/>
              <w:spacing w:before="0" w:beforeLines="0" w:line="240" w:lineRule="auto"/>
              <w:jc w:val="center"/>
              <w:rPr>
                <w:kern w:val="0"/>
                <w:szCs w:val="21"/>
              </w:rPr>
            </w:pPr>
            <w:r>
              <w:rPr>
                <w:kern w:val="0"/>
                <w:szCs w:val="21"/>
              </w:rPr>
              <w:t>那四板营子</w:t>
            </w:r>
          </w:p>
        </w:tc>
        <w:tc>
          <w:tcPr>
            <w:tcW w:w="610" w:type="pct"/>
            <w:noWrap/>
            <w:vAlign w:val="center"/>
          </w:tcPr>
          <w:p w14:paraId="40284001">
            <w:pPr>
              <w:widowControl/>
              <w:adjustRightInd w:val="0"/>
              <w:snapToGrid w:val="0"/>
              <w:spacing w:before="0" w:beforeLines="0" w:line="240" w:lineRule="auto"/>
              <w:jc w:val="center"/>
              <w:rPr>
                <w:kern w:val="0"/>
                <w:szCs w:val="21"/>
              </w:rPr>
            </w:pPr>
            <w:r>
              <w:rPr>
                <w:kern w:val="0"/>
                <w:szCs w:val="21"/>
              </w:rPr>
              <w:t>1704,-1626</w:t>
            </w:r>
          </w:p>
        </w:tc>
        <w:tc>
          <w:tcPr>
            <w:tcW w:w="364" w:type="pct"/>
            <w:noWrap/>
            <w:vAlign w:val="center"/>
          </w:tcPr>
          <w:p w14:paraId="632C3184">
            <w:pPr>
              <w:widowControl/>
              <w:adjustRightInd w:val="0"/>
              <w:snapToGrid w:val="0"/>
              <w:spacing w:before="0" w:beforeLines="0" w:line="240" w:lineRule="auto"/>
              <w:jc w:val="center"/>
              <w:rPr>
                <w:kern w:val="0"/>
                <w:szCs w:val="21"/>
              </w:rPr>
            </w:pPr>
            <w:r>
              <w:rPr>
                <w:kern w:val="0"/>
                <w:szCs w:val="21"/>
              </w:rPr>
              <w:t>282.04</w:t>
            </w:r>
          </w:p>
        </w:tc>
        <w:tc>
          <w:tcPr>
            <w:tcW w:w="343" w:type="pct"/>
            <w:noWrap/>
          </w:tcPr>
          <w:p w14:paraId="317475E9">
            <w:pPr>
              <w:widowControl/>
              <w:adjustRightInd w:val="0"/>
              <w:snapToGrid w:val="0"/>
              <w:spacing w:before="0" w:beforeLines="0" w:line="240" w:lineRule="auto"/>
              <w:jc w:val="center"/>
              <w:rPr>
                <w:kern w:val="0"/>
                <w:szCs w:val="21"/>
              </w:rPr>
            </w:pPr>
            <w:r>
              <w:rPr>
                <w:kern w:val="0"/>
                <w:szCs w:val="21"/>
              </w:rPr>
              <w:t>1小时</w:t>
            </w:r>
          </w:p>
        </w:tc>
        <w:tc>
          <w:tcPr>
            <w:tcW w:w="644" w:type="pct"/>
            <w:noWrap/>
          </w:tcPr>
          <w:p w14:paraId="5BDC4721">
            <w:pPr>
              <w:widowControl/>
              <w:adjustRightInd w:val="0"/>
              <w:snapToGrid w:val="0"/>
              <w:spacing w:before="0" w:beforeLines="0" w:line="240" w:lineRule="auto"/>
              <w:jc w:val="center"/>
              <w:rPr>
                <w:kern w:val="0"/>
                <w:szCs w:val="21"/>
              </w:rPr>
            </w:pPr>
            <w:r>
              <w:rPr>
                <w:rFonts w:hint="eastAsia" w:hAnsi="宋体"/>
                <w:kern w:val="0"/>
                <w:szCs w:val="21"/>
              </w:rPr>
              <w:t>994.2020</w:t>
            </w:r>
          </w:p>
        </w:tc>
        <w:tc>
          <w:tcPr>
            <w:tcW w:w="676" w:type="pct"/>
            <w:noWrap/>
          </w:tcPr>
          <w:p w14:paraId="2CA1B4E0">
            <w:pPr>
              <w:widowControl/>
              <w:adjustRightInd w:val="0"/>
              <w:snapToGrid w:val="0"/>
              <w:spacing w:before="0" w:beforeLines="0" w:line="240" w:lineRule="auto"/>
              <w:jc w:val="center"/>
              <w:rPr>
                <w:kern w:val="0"/>
                <w:szCs w:val="21"/>
              </w:rPr>
            </w:pPr>
            <w:r>
              <w:rPr>
                <w:rFonts w:hint="eastAsia" w:hAnsi="宋体"/>
                <w:kern w:val="0"/>
                <w:szCs w:val="21"/>
              </w:rPr>
              <w:t>25101221</w:t>
            </w:r>
          </w:p>
        </w:tc>
        <w:tc>
          <w:tcPr>
            <w:tcW w:w="562" w:type="pct"/>
            <w:noWrap/>
            <w:vAlign w:val="bottom"/>
          </w:tcPr>
          <w:p w14:paraId="52A4C0D4">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tcPr>
          <w:p w14:paraId="15865B7C">
            <w:pPr>
              <w:widowControl/>
              <w:adjustRightInd w:val="0"/>
              <w:snapToGrid w:val="0"/>
              <w:spacing w:before="0" w:beforeLines="0" w:line="240" w:lineRule="auto"/>
              <w:jc w:val="center"/>
              <w:rPr>
                <w:kern w:val="0"/>
                <w:szCs w:val="21"/>
              </w:rPr>
            </w:pPr>
            <w:r>
              <w:rPr>
                <w:rFonts w:hint="eastAsia" w:hAnsi="宋体"/>
                <w:kern w:val="0"/>
                <w:szCs w:val="21"/>
              </w:rPr>
              <w:t>276.17</w:t>
            </w:r>
          </w:p>
        </w:tc>
        <w:tc>
          <w:tcPr>
            <w:tcW w:w="343" w:type="pct"/>
            <w:noWrap/>
          </w:tcPr>
          <w:p w14:paraId="5E706F0C">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42406B4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14:paraId="19FF14C1">
            <w:pPr>
              <w:widowControl/>
              <w:adjustRightInd w:val="0"/>
              <w:snapToGrid w:val="0"/>
              <w:spacing w:before="0" w:beforeLines="0" w:line="240" w:lineRule="auto"/>
              <w:jc w:val="center"/>
              <w:rPr>
                <w:kern w:val="0"/>
                <w:szCs w:val="21"/>
              </w:rPr>
            </w:pPr>
            <w:r>
              <w:rPr>
                <w:kern w:val="0"/>
                <w:szCs w:val="21"/>
              </w:rPr>
              <w:t>9</w:t>
            </w:r>
          </w:p>
        </w:tc>
        <w:tc>
          <w:tcPr>
            <w:tcW w:w="856" w:type="pct"/>
            <w:noWrap/>
            <w:vAlign w:val="center"/>
          </w:tcPr>
          <w:p w14:paraId="69CC00E2">
            <w:pPr>
              <w:widowControl/>
              <w:adjustRightInd w:val="0"/>
              <w:snapToGrid w:val="0"/>
              <w:spacing w:before="0" w:beforeLines="0" w:line="240" w:lineRule="auto"/>
              <w:jc w:val="center"/>
              <w:rPr>
                <w:kern w:val="0"/>
                <w:szCs w:val="21"/>
              </w:rPr>
            </w:pPr>
            <w:r>
              <w:rPr>
                <w:kern w:val="0"/>
                <w:szCs w:val="21"/>
              </w:rPr>
              <w:t>四方庙子村</w:t>
            </w:r>
          </w:p>
        </w:tc>
        <w:tc>
          <w:tcPr>
            <w:tcW w:w="610" w:type="pct"/>
            <w:noWrap/>
            <w:vAlign w:val="center"/>
          </w:tcPr>
          <w:p w14:paraId="524AD6F6">
            <w:pPr>
              <w:widowControl/>
              <w:adjustRightInd w:val="0"/>
              <w:snapToGrid w:val="0"/>
              <w:spacing w:before="0" w:beforeLines="0" w:line="240" w:lineRule="auto"/>
              <w:jc w:val="center"/>
              <w:rPr>
                <w:kern w:val="0"/>
                <w:szCs w:val="21"/>
              </w:rPr>
            </w:pPr>
            <w:r>
              <w:rPr>
                <w:kern w:val="0"/>
                <w:szCs w:val="21"/>
              </w:rPr>
              <w:t>2408,-2472</w:t>
            </w:r>
          </w:p>
        </w:tc>
        <w:tc>
          <w:tcPr>
            <w:tcW w:w="364" w:type="pct"/>
            <w:noWrap/>
            <w:vAlign w:val="center"/>
          </w:tcPr>
          <w:p w14:paraId="1C2574AF">
            <w:pPr>
              <w:widowControl/>
              <w:adjustRightInd w:val="0"/>
              <w:snapToGrid w:val="0"/>
              <w:spacing w:before="0" w:beforeLines="0" w:line="240" w:lineRule="auto"/>
              <w:jc w:val="center"/>
              <w:rPr>
                <w:kern w:val="0"/>
                <w:szCs w:val="21"/>
              </w:rPr>
            </w:pPr>
            <w:r>
              <w:rPr>
                <w:kern w:val="0"/>
                <w:szCs w:val="21"/>
              </w:rPr>
              <w:t>289.69</w:t>
            </w:r>
          </w:p>
        </w:tc>
        <w:tc>
          <w:tcPr>
            <w:tcW w:w="343" w:type="pct"/>
            <w:noWrap/>
          </w:tcPr>
          <w:p w14:paraId="63FA24D4">
            <w:pPr>
              <w:widowControl/>
              <w:adjustRightInd w:val="0"/>
              <w:snapToGrid w:val="0"/>
              <w:spacing w:before="0" w:beforeLines="0" w:line="240" w:lineRule="auto"/>
              <w:jc w:val="center"/>
              <w:rPr>
                <w:kern w:val="0"/>
                <w:szCs w:val="21"/>
              </w:rPr>
            </w:pPr>
            <w:r>
              <w:rPr>
                <w:kern w:val="0"/>
                <w:szCs w:val="21"/>
              </w:rPr>
              <w:t>1小时</w:t>
            </w:r>
          </w:p>
        </w:tc>
        <w:tc>
          <w:tcPr>
            <w:tcW w:w="644" w:type="pct"/>
            <w:noWrap/>
          </w:tcPr>
          <w:p w14:paraId="0E63CF41">
            <w:pPr>
              <w:widowControl/>
              <w:adjustRightInd w:val="0"/>
              <w:snapToGrid w:val="0"/>
              <w:spacing w:before="0" w:beforeLines="0" w:line="240" w:lineRule="auto"/>
              <w:jc w:val="center"/>
              <w:rPr>
                <w:kern w:val="0"/>
                <w:szCs w:val="21"/>
              </w:rPr>
            </w:pPr>
            <w:r>
              <w:rPr>
                <w:rFonts w:hint="eastAsia" w:hAnsi="宋体"/>
                <w:kern w:val="0"/>
                <w:szCs w:val="21"/>
              </w:rPr>
              <w:t>578.5330</w:t>
            </w:r>
          </w:p>
        </w:tc>
        <w:tc>
          <w:tcPr>
            <w:tcW w:w="676" w:type="pct"/>
            <w:noWrap/>
          </w:tcPr>
          <w:p w14:paraId="2612BC38">
            <w:pPr>
              <w:widowControl/>
              <w:adjustRightInd w:val="0"/>
              <w:snapToGrid w:val="0"/>
              <w:spacing w:before="0" w:beforeLines="0" w:line="240" w:lineRule="auto"/>
              <w:jc w:val="center"/>
              <w:rPr>
                <w:kern w:val="0"/>
                <w:szCs w:val="21"/>
              </w:rPr>
            </w:pPr>
            <w:r>
              <w:rPr>
                <w:rFonts w:hint="eastAsia" w:hAnsi="宋体"/>
                <w:kern w:val="0"/>
                <w:szCs w:val="21"/>
              </w:rPr>
              <w:t>25101221</w:t>
            </w:r>
          </w:p>
        </w:tc>
        <w:tc>
          <w:tcPr>
            <w:tcW w:w="562" w:type="pct"/>
            <w:noWrap/>
            <w:vAlign w:val="bottom"/>
          </w:tcPr>
          <w:p w14:paraId="37CB6E63">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tcPr>
          <w:p w14:paraId="12568EBB">
            <w:pPr>
              <w:widowControl/>
              <w:adjustRightInd w:val="0"/>
              <w:snapToGrid w:val="0"/>
              <w:spacing w:before="0" w:beforeLines="0" w:line="240" w:lineRule="auto"/>
              <w:jc w:val="center"/>
              <w:rPr>
                <w:kern w:val="0"/>
                <w:szCs w:val="21"/>
              </w:rPr>
            </w:pPr>
            <w:r>
              <w:rPr>
                <w:rFonts w:hint="eastAsia" w:hAnsi="宋体"/>
                <w:kern w:val="0"/>
                <w:szCs w:val="21"/>
              </w:rPr>
              <w:t>160.70</w:t>
            </w:r>
          </w:p>
        </w:tc>
        <w:tc>
          <w:tcPr>
            <w:tcW w:w="343" w:type="pct"/>
            <w:noWrap/>
          </w:tcPr>
          <w:p w14:paraId="1DAE4958">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3E4A2DB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14:paraId="3C60EA2C">
            <w:pPr>
              <w:widowControl/>
              <w:adjustRightInd w:val="0"/>
              <w:snapToGrid w:val="0"/>
              <w:spacing w:before="0" w:beforeLines="0" w:line="240" w:lineRule="auto"/>
              <w:jc w:val="center"/>
              <w:rPr>
                <w:kern w:val="0"/>
                <w:szCs w:val="21"/>
              </w:rPr>
            </w:pPr>
            <w:r>
              <w:rPr>
                <w:kern w:val="0"/>
                <w:szCs w:val="21"/>
              </w:rPr>
              <w:t>10</w:t>
            </w:r>
          </w:p>
        </w:tc>
        <w:tc>
          <w:tcPr>
            <w:tcW w:w="856" w:type="pct"/>
            <w:noWrap/>
            <w:vAlign w:val="center"/>
          </w:tcPr>
          <w:p w14:paraId="6D047039">
            <w:pPr>
              <w:widowControl/>
              <w:adjustRightInd w:val="0"/>
              <w:snapToGrid w:val="0"/>
              <w:spacing w:before="0" w:beforeLines="0" w:line="240" w:lineRule="auto"/>
              <w:jc w:val="center"/>
              <w:rPr>
                <w:kern w:val="0"/>
                <w:szCs w:val="21"/>
              </w:rPr>
            </w:pPr>
            <w:r>
              <w:rPr>
                <w:kern w:val="0"/>
                <w:szCs w:val="21"/>
              </w:rPr>
              <w:t>胡家沟</w:t>
            </w:r>
          </w:p>
        </w:tc>
        <w:tc>
          <w:tcPr>
            <w:tcW w:w="610" w:type="pct"/>
            <w:noWrap/>
            <w:vAlign w:val="center"/>
          </w:tcPr>
          <w:p w14:paraId="5E523D88">
            <w:pPr>
              <w:widowControl/>
              <w:adjustRightInd w:val="0"/>
              <w:snapToGrid w:val="0"/>
              <w:spacing w:before="0" w:beforeLines="0" w:line="240" w:lineRule="auto"/>
              <w:jc w:val="center"/>
              <w:rPr>
                <w:kern w:val="0"/>
                <w:szCs w:val="21"/>
              </w:rPr>
            </w:pPr>
            <w:r>
              <w:rPr>
                <w:kern w:val="0"/>
                <w:szCs w:val="21"/>
              </w:rPr>
              <w:t>-232,-1675</w:t>
            </w:r>
          </w:p>
        </w:tc>
        <w:tc>
          <w:tcPr>
            <w:tcW w:w="364" w:type="pct"/>
            <w:noWrap/>
            <w:vAlign w:val="center"/>
          </w:tcPr>
          <w:p w14:paraId="140F69F1">
            <w:pPr>
              <w:widowControl/>
              <w:adjustRightInd w:val="0"/>
              <w:snapToGrid w:val="0"/>
              <w:spacing w:before="0" w:beforeLines="0" w:line="240" w:lineRule="auto"/>
              <w:jc w:val="center"/>
              <w:rPr>
                <w:kern w:val="0"/>
                <w:szCs w:val="21"/>
              </w:rPr>
            </w:pPr>
            <w:r>
              <w:rPr>
                <w:kern w:val="0"/>
                <w:szCs w:val="21"/>
              </w:rPr>
              <w:t>293.25</w:t>
            </w:r>
          </w:p>
        </w:tc>
        <w:tc>
          <w:tcPr>
            <w:tcW w:w="343" w:type="pct"/>
            <w:noWrap/>
          </w:tcPr>
          <w:p w14:paraId="2E600CBB">
            <w:pPr>
              <w:widowControl/>
              <w:adjustRightInd w:val="0"/>
              <w:snapToGrid w:val="0"/>
              <w:spacing w:before="0" w:beforeLines="0" w:line="240" w:lineRule="auto"/>
              <w:jc w:val="center"/>
              <w:rPr>
                <w:kern w:val="0"/>
                <w:szCs w:val="21"/>
              </w:rPr>
            </w:pPr>
            <w:r>
              <w:rPr>
                <w:kern w:val="0"/>
                <w:szCs w:val="21"/>
              </w:rPr>
              <w:t>1小时</w:t>
            </w:r>
          </w:p>
        </w:tc>
        <w:tc>
          <w:tcPr>
            <w:tcW w:w="644" w:type="pct"/>
            <w:noWrap/>
          </w:tcPr>
          <w:p w14:paraId="35D53508">
            <w:pPr>
              <w:widowControl/>
              <w:adjustRightInd w:val="0"/>
              <w:snapToGrid w:val="0"/>
              <w:spacing w:before="0" w:beforeLines="0" w:line="240" w:lineRule="auto"/>
              <w:jc w:val="center"/>
              <w:rPr>
                <w:kern w:val="0"/>
                <w:szCs w:val="21"/>
              </w:rPr>
            </w:pPr>
            <w:r>
              <w:rPr>
                <w:rFonts w:hint="eastAsia" w:hAnsi="宋体"/>
                <w:kern w:val="0"/>
                <w:szCs w:val="21"/>
              </w:rPr>
              <w:t>1364.4430</w:t>
            </w:r>
          </w:p>
        </w:tc>
        <w:tc>
          <w:tcPr>
            <w:tcW w:w="676" w:type="pct"/>
            <w:noWrap/>
          </w:tcPr>
          <w:p w14:paraId="4F60383E">
            <w:pPr>
              <w:widowControl/>
              <w:adjustRightInd w:val="0"/>
              <w:snapToGrid w:val="0"/>
              <w:spacing w:before="0" w:beforeLines="0" w:line="240" w:lineRule="auto"/>
              <w:jc w:val="center"/>
              <w:rPr>
                <w:kern w:val="0"/>
                <w:szCs w:val="21"/>
              </w:rPr>
            </w:pPr>
            <w:r>
              <w:rPr>
                <w:rFonts w:hint="eastAsia" w:hAnsi="宋体"/>
                <w:kern w:val="0"/>
                <w:szCs w:val="21"/>
              </w:rPr>
              <w:t>25100807</w:t>
            </w:r>
          </w:p>
        </w:tc>
        <w:tc>
          <w:tcPr>
            <w:tcW w:w="562" w:type="pct"/>
            <w:noWrap/>
            <w:vAlign w:val="bottom"/>
          </w:tcPr>
          <w:p w14:paraId="395A6F2D">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tcPr>
          <w:p w14:paraId="5D67E438">
            <w:pPr>
              <w:widowControl/>
              <w:adjustRightInd w:val="0"/>
              <w:snapToGrid w:val="0"/>
              <w:spacing w:before="0" w:beforeLines="0" w:line="240" w:lineRule="auto"/>
              <w:jc w:val="center"/>
              <w:rPr>
                <w:kern w:val="0"/>
                <w:szCs w:val="21"/>
              </w:rPr>
            </w:pPr>
            <w:r>
              <w:rPr>
                <w:rFonts w:hint="eastAsia" w:hAnsi="宋体"/>
                <w:kern w:val="0"/>
                <w:szCs w:val="21"/>
              </w:rPr>
              <w:t>379.01</w:t>
            </w:r>
          </w:p>
        </w:tc>
        <w:tc>
          <w:tcPr>
            <w:tcW w:w="343" w:type="pct"/>
            <w:noWrap/>
          </w:tcPr>
          <w:p w14:paraId="75AB0E22">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1C5C3C4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14:paraId="3EC930AE">
            <w:pPr>
              <w:widowControl/>
              <w:adjustRightInd w:val="0"/>
              <w:snapToGrid w:val="0"/>
              <w:spacing w:before="0" w:beforeLines="0" w:line="240" w:lineRule="auto"/>
              <w:jc w:val="center"/>
              <w:rPr>
                <w:kern w:val="0"/>
                <w:szCs w:val="21"/>
              </w:rPr>
            </w:pPr>
            <w:r>
              <w:rPr>
                <w:kern w:val="0"/>
                <w:szCs w:val="21"/>
              </w:rPr>
              <w:t>11</w:t>
            </w:r>
          </w:p>
        </w:tc>
        <w:tc>
          <w:tcPr>
            <w:tcW w:w="856" w:type="pct"/>
            <w:noWrap/>
            <w:vAlign w:val="center"/>
          </w:tcPr>
          <w:p w14:paraId="475D6392">
            <w:pPr>
              <w:widowControl/>
              <w:adjustRightInd w:val="0"/>
              <w:snapToGrid w:val="0"/>
              <w:spacing w:before="0" w:beforeLines="0" w:line="240" w:lineRule="auto"/>
              <w:jc w:val="center"/>
              <w:rPr>
                <w:kern w:val="0"/>
                <w:szCs w:val="21"/>
              </w:rPr>
            </w:pPr>
            <w:r>
              <w:rPr>
                <w:kern w:val="0"/>
                <w:szCs w:val="21"/>
              </w:rPr>
              <w:t>区域最大落地浓度点</w:t>
            </w:r>
          </w:p>
        </w:tc>
        <w:tc>
          <w:tcPr>
            <w:tcW w:w="610" w:type="pct"/>
            <w:noWrap/>
            <w:vAlign w:val="center"/>
          </w:tcPr>
          <w:p w14:paraId="64C1A224">
            <w:pPr>
              <w:widowControl/>
              <w:adjustRightInd w:val="0"/>
              <w:snapToGrid w:val="0"/>
              <w:spacing w:before="0" w:beforeLines="0" w:line="240" w:lineRule="auto"/>
              <w:jc w:val="center"/>
              <w:rPr>
                <w:kern w:val="0"/>
                <w:szCs w:val="21"/>
              </w:rPr>
            </w:pPr>
            <w:r>
              <w:rPr>
                <w:kern w:val="0"/>
                <w:szCs w:val="21"/>
              </w:rPr>
              <w:t>-100,400</w:t>
            </w:r>
          </w:p>
        </w:tc>
        <w:tc>
          <w:tcPr>
            <w:tcW w:w="364" w:type="pct"/>
            <w:noWrap/>
            <w:vAlign w:val="center"/>
          </w:tcPr>
          <w:p w14:paraId="73763191">
            <w:pPr>
              <w:widowControl/>
              <w:adjustRightInd w:val="0"/>
              <w:snapToGrid w:val="0"/>
              <w:spacing w:before="0" w:beforeLines="0" w:line="240" w:lineRule="auto"/>
              <w:jc w:val="center"/>
              <w:rPr>
                <w:kern w:val="0"/>
                <w:szCs w:val="21"/>
              </w:rPr>
            </w:pPr>
            <w:r>
              <w:rPr>
                <w:kern w:val="0"/>
                <w:szCs w:val="21"/>
              </w:rPr>
              <w:t>311.20</w:t>
            </w:r>
          </w:p>
        </w:tc>
        <w:tc>
          <w:tcPr>
            <w:tcW w:w="343" w:type="pct"/>
            <w:noWrap/>
          </w:tcPr>
          <w:p w14:paraId="1858767F">
            <w:pPr>
              <w:widowControl/>
              <w:adjustRightInd w:val="0"/>
              <w:snapToGrid w:val="0"/>
              <w:spacing w:before="0" w:beforeLines="0" w:line="240" w:lineRule="auto"/>
              <w:jc w:val="center"/>
              <w:rPr>
                <w:kern w:val="0"/>
                <w:szCs w:val="21"/>
              </w:rPr>
            </w:pPr>
            <w:r>
              <w:rPr>
                <w:kern w:val="0"/>
                <w:szCs w:val="21"/>
              </w:rPr>
              <w:t>1小时</w:t>
            </w:r>
          </w:p>
        </w:tc>
        <w:tc>
          <w:tcPr>
            <w:tcW w:w="644" w:type="pct"/>
            <w:noWrap/>
          </w:tcPr>
          <w:p w14:paraId="14C6B27E">
            <w:pPr>
              <w:widowControl/>
              <w:adjustRightInd w:val="0"/>
              <w:snapToGrid w:val="0"/>
              <w:spacing w:before="0" w:beforeLines="0" w:line="240" w:lineRule="auto"/>
              <w:jc w:val="center"/>
              <w:rPr>
                <w:kern w:val="0"/>
                <w:szCs w:val="21"/>
              </w:rPr>
            </w:pPr>
            <w:r>
              <w:rPr>
                <w:rFonts w:hint="eastAsia" w:hAnsi="宋体"/>
                <w:kern w:val="0"/>
                <w:szCs w:val="21"/>
              </w:rPr>
              <w:t>8336.9990</w:t>
            </w:r>
          </w:p>
        </w:tc>
        <w:tc>
          <w:tcPr>
            <w:tcW w:w="676" w:type="pct"/>
            <w:noWrap/>
          </w:tcPr>
          <w:p w14:paraId="25BA42C6">
            <w:pPr>
              <w:widowControl/>
              <w:adjustRightInd w:val="0"/>
              <w:snapToGrid w:val="0"/>
              <w:spacing w:before="0" w:beforeLines="0" w:line="240" w:lineRule="auto"/>
              <w:jc w:val="center"/>
              <w:rPr>
                <w:kern w:val="0"/>
                <w:szCs w:val="21"/>
              </w:rPr>
            </w:pPr>
            <w:r>
              <w:rPr>
                <w:rFonts w:hint="eastAsia" w:hAnsi="宋体"/>
                <w:kern w:val="0"/>
                <w:szCs w:val="21"/>
              </w:rPr>
              <w:t>25082324</w:t>
            </w:r>
          </w:p>
        </w:tc>
        <w:tc>
          <w:tcPr>
            <w:tcW w:w="562" w:type="pct"/>
            <w:noWrap/>
            <w:vAlign w:val="bottom"/>
          </w:tcPr>
          <w:p w14:paraId="75A065D7">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tcPr>
          <w:p w14:paraId="256FE6FD">
            <w:pPr>
              <w:widowControl/>
              <w:adjustRightInd w:val="0"/>
              <w:snapToGrid w:val="0"/>
              <w:spacing w:before="0" w:beforeLines="0" w:line="240" w:lineRule="auto"/>
              <w:jc w:val="center"/>
              <w:rPr>
                <w:kern w:val="0"/>
                <w:szCs w:val="21"/>
              </w:rPr>
            </w:pPr>
            <w:r>
              <w:rPr>
                <w:rFonts w:hint="eastAsia" w:hAnsi="宋体"/>
                <w:kern w:val="0"/>
                <w:szCs w:val="21"/>
              </w:rPr>
              <w:t>2315.83</w:t>
            </w:r>
          </w:p>
        </w:tc>
        <w:tc>
          <w:tcPr>
            <w:tcW w:w="343" w:type="pct"/>
            <w:noWrap/>
          </w:tcPr>
          <w:p w14:paraId="50FD3161">
            <w:pPr>
              <w:widowControl/>
              <w:adjustRightInd w:val="0"/>
              <w:snapToGrid w:val="0"/>
              <w:spacing w:before="0" w:beforeLines="0" w:line="240" w:lineRule="auto"/>
              <w:jc w:val="center"/>
              <w:rPr>
                <w:kern w:val="0"/>
                <w:szCs w:val="21"/>
              </w:rPr>
            </w:pPr>
            <w:r>
              <w:rPr>
                <w:rFonts w:hint="eastAsia" w:hAnsi="宋体"/>
                <w:kern w:val="0"/>
                <w:szCs w:val="21"/>
              </w:rPr>
              <w:t>超标</w:t>
            </w:r>
          </w:p>
        </w:tc>
      </w:tr>
    </w:tbl>
    <w:p w14:paraId="6ECA76F9">
      <w:pPr>
        <w:tabs>
          <w:tab w:val="left" w:pos="2880"/>
        </w:tabs>
        <w:adjustRightInd w:val="0"/>
        <w:snapToGrid w:val="0"/>
        <w:spacing w:before="0" w:beforeLines="0" w:line="240" w:lineRule="auto"/>
        <w:ind w:firstLine="3150" w:firstLineChars="1500"/>
        <w:rPr>
          <w:szCs w:val="21"/>
        </w:rPr>
      </w:pPr>
    </w:p>
    <w:p w14:paraId="05241143">
      <w:pPr>
        <w:tabs>
          <w:tab w:val="left" w:pos="2880"/>
        </w:tabs>
        <w:adjustRightInd w:val="0"/>
        <w:snapToGrid w:val="0"/>
        <w:spacing w:before="0" w:beforeLines="0" w:line="240" w:lineRule="auto"/>
        <w:ind w:firstLine="3150" w:firstLineChars="1500"/>
        <w:rPr>
          <w:szCs w:val="21"/>
        </w:rPr>
      </w:pPr>
    </w:p>
    <w:p w14:paraId="1981CBDC">
      <w:pPr>
        <w:tabs>
          <w:tab w:val="left" w:pos="2880"/>
        </w:tabs>
        <w:adjustRightInd w:val="0"/>
        <w:snapToGrid w:val="0"/>
        <w:spacing w:before="0" w:beforeLines="0" w:line="240" w:lineRule="auto"/>
        <w:ind w:firstLine="3162" w:firstLineChars="1500"/>
        <w:rPr>
          <w:b/>
          <w:bCs/>
          <w:szCs w:val="21"/>
        </w:rPr>
      </w:pPr>
      <w:r>
        <w:rPr>
          <w:b/>
          <w:bCs/>
          <w:szCs w:val="21"/>
        </w:rPr>
        <w:t>表</w:t>
      </w:r>
      <w:r>
        <w:rPr>
          <w:rFonts w:hint="eastAsia"/>
          <w:b/>
          <w:bCs/>
          <w:szCs w:val="21"/>
        </w:rPr>
        <w:t xml:space="preserve">5.2-16      </w:t>
      </w:r>
      <w:r>
        <w:rPr>
          <w:b/>
          <w:bCs/>
          <w:szCs w:val="21"/>
        </w:rPr>
        <w:t>本项目DA003非正常排放PM</w:t>
      </w:r>
      <w:r>
        <w:rPr>
          <w:b/>
          <w:bCs/>
          <w:szCs w:val="21"/>
          <w:vertAlign w:val="subscript"/>
        </w:rPr>
        <w:t>10</w:t>
      </w:r>
      <w:r>
        <w:rPr>
          <w:b/>
          <w:bCs/>
          <w:szCs w:val="21"/>
        </w:rPr>
        <w:t>贡献质量浓度预测结果表</w:t>
      </w:r>
    </w:p>
    <w:tbl>
      <w:tblPr>
        <w:tblStyle w:val="2151"/>
        <w:tblW w:w="5000" w:type="pct"/>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557"/>
        <w:gridCol w:w="2267"/>
        <w:gridCol w:w="1616"/>
        <w:gridCol w:w="964"/>
        <w:gridCol w:w="908"/>
        <w:gridCol w:w="1705"/>
        <w:gridCol w:w="1790"/>
        <w:gridCol w:w="1488"/>
        <w:gridCol w:w="1035"/>
        <w:gridCol w:w="908"/>
      </w:tblGrid>
      <w:tr w14:paraId="69E7EF2D">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14:paraId="23767CC2">
            <w:pPr>
              <w:widowControl/>
              <w:adjustRightInd w:val="0"/>
              <w:snapToGrid w:val="0"/>
              <w:spacing w:before="0" w:beforeLines="0" w:line="240" w:lineRule="auto"/>
              <w:jc w:val="center"/>
              <w:rPr>
                <w:kern w:val="0"/>
                <w:szCs w:val="21"/>
              </w:rPr>
            </w:pPr>
            <w:r>
              <w:rPr>
                <w:kern w:val="0"/>
                <w:szCs w:val="21"/>
              </w:rPr>
              <w:t>序号</w:t>
            </w:r>
          </w:p>
        </w:tc>
        <w:tc>
          <w:tcPr>
            <w:tcW w:w="856" w:type="pct"/>
            <w:noWrap/>
            <w:vAlign w:val="center"/>
          </w:tcPr>
          <w:p w14:paraId="139CDD0B">
            <w:pPr>
              <w:widowControl/>
              <w:adjustRightInd w:val="0"/>
              <w:snapToGrid w:val="0"/>
              <w:spacing w:before="0" w:beforeLines="0" w:line="240" w:lineRule="auto"/>
              <w:jc w:val="center"/>
              <w:rPr>
                <w:kern w:val="0"/>
                <w:szCs w:val="21"/>
              </w:rPr>
            </w:pPr>
            <w:r>
              <w:rPr>
                <w:kern w:val="0"/>
                <w:szCs w:val="21"/>
              </w:rPr>
              <w:t>点名称</w:t>
            </w:r>
          </w:p>
        </w:tc>
        <w:tc>
          <w:tcPr>
            <w:tcW w:w="610" w:type="pct"/>
            <w:noWrap/>
            <w:vAlign w:val="center"/>
          </w:tcPr>
          <w:p w14:paraId="03D8BC2D">
            <w:pPr>
              <w:widowControl/>
              <w:adjustRightInd w:val="0"/>
              <w:snapToGrid w:val="0"/>
              <w:spacing w:before="0" w:beforeLines="0" w:line="240" w:lineRule="auto"/>
              <w:jc w:val="center"/>
              <w:rPr>
                <w:kern w:val="0"/>
                <w:szCs w:val="21"/>
              </w:rPr>
            </w:pPr>
            <w:r>
              <w:rPr>
                <w:kern w:val="0"/>
                <w:szCs w:val="21"/>
              </w:rPr>
              <w:t>点坐标(x或r,y或a)</w:t>
            </w:r>
          </w:p>
        </w:tc>
        <w:tc>
          <w:tcPr>
            <w:tcW w:w="364" w:type="pct"/>
            <w:noWrap/>
            <w:vAlign w:val="center"/>
          </w:tcPr>
          <w:p w14:paraId="2CB7C146">
            <w:pPr>
              <w:widowControl/>
              <w:adjustRightInd w:val="0"/>
              <w:snapToGrid w:val="0"/>
              <w:spacing w:before="0" w:beforeLines="0" w:line="240" w:lineRule="auto"/>
              <w:jc w:val="center"/>
              <w:rPr>
                <w:kern w:val="0"/>
                <w:szCs w:val="21"/>
              </w:rPr>
            </w:pPr>
            <w:r>
              <w:rPr>
                <w:kern w:val="0"/>
                <w:szCs w:val="21"/>
              </w:rPr>
              <w:t>地面高程(m)</w:t>
            </w:r>
          </w:p>
        </w:tc>
        <w:tc>
          <w:tcPr>
            <w:tcW w:w="343" w:type="pct"/>
            <w:noWrap/>
            <w:vAlign w:val="center"/>
          </w:tcPr>
          <w:p w14:paraId="207E5361">
            <w:pPr>
              <w:widowControl/>
              <w:adjustRightInd w:val="0"/>
              <w:snapToGrid w:val="0"/>
              <w:spacing w:before="0" w:beforeLines="0" w:line="240" w:lineRule="auto"/>
              <w:jc w:val="center"/>
              <w:rPr>
                <w:kern w:val="0"/>
                <w:szCs w:val="21"/>
              </w:rPr>
            </w:pPr>
            <w:r>
              <w:rPr>
                <w:kern w:val="0"/>
                <w:szCs w:val="21"/>
              </w:rPr>
              <w:t>浓度类型</w:t>
            </w:r>
          </w:p>
        </w:tc>
        <w:tc>
          <w:tcPr>
            <w:tcW w:w="644" w:type="pct"/>
            <w:noWrap/>
            <w:vAlign w:val="center"/>
          </w:tcPr>
          <w:p w14:paraId="29516584">
            <w:pPr>
              <w:widowControl/>
              <w:adjustRightInd w:val="0"/>
              <w:snapToGrid w:val="0"/>
              <w:spacing w:before="0" w:beforeLines="0" w:line="240" w:lineRule="auto"/>
              <w:jc w:val="center"/>
              <w:rPr>
                <w:kern w:val="0"/>
                <w:szCs w:val="21"/>
              </w:rPr>
            </w:pPr>
            <w:r>
              <w:rPr>
                <w:kern w:val="0"/>
                <w:szCs w:val="21"/>
              </w:rPr>
              <w:t>浓度增量(μg/m^3)</w:t>
            </w:r>
          </w:p>
        </w:tc>
        <w:tc>
          <w:tcPr>
            <w:tcW w:w="676" w:type="pct"/>
            <w:noWrap/>
            <w:vAlign w:val="center"/>
          </w:tcPr>
          <w:p w14:paraId="32B0320D">
            <w:pPr>
              <w:widowControl/>
              <w:adjustRightInd w:val="0"/>
              <w:snapToGrid w:val="0"/>
              <w:spacing w:before="0" w:beforeLines="0" w:line="240" w:lineRule="auto"/>
              <w:jc w:val="center"/>
              <w:rPr>
                <w:kern w:val="0"/>
                <w:szCs w:val="21"/>
              </w:rPr>
            </w:pPr>
            <w:r>
              <w:rPr>
                <w:kern w:val="0"/>
                <w:szCs w:val="21"/>
              </w:rPr>
              <w:t>出现时间(YYMMDDHH)</w:t>
            </w:r>
          </w:p>
        </w:tc>
        <w:tc>
          <w:tcPr>
            <w:tcW w:w="562" w:type="pct"/>
            <w:noWrap/>
            <w:vAlign w:val="center"/>
          </w:tcPr>
          <w:p w14:paraId="2C7CDFEF">
            <w:pPr>
              <w:widowControl/>
              <w:adjustRightInd w:val="0"/>
              <w:snapToGrid w:val="0"/>
              <w:spacing w:before="0" w:beforeLines="0" w:line="240" w:lineRule="auto"/>
              <w:jc w:val="center"/>
              <w:rPr>
                <w:kern w:val="0"/>
                <w:szCs w:val="21"/>
              </w:rPr>
            </w:pPr>
            <w:r>
              <w:rPr>
                <w:kern w:val="0"/>
                <w:szCs w:val="21"/>
              </w:rPr>
              <w:t>评价标准(μg/m^3)</w:t>
            </w:r>
          </w:p>
        </w:tc>
        <w:tc>
          <w:tcPr>
            <w:tcW w:w="391" w:type="pct"/>
            <w:noWrap/>
            <w:vAlign w:val="center"/>
          </w:tcPr>
          <w:p w14:paraId="4DA7AB0A">
            <w:pPr>
              <w:widowControl/>
              <w:adjustRightInd w:val="0"/>
              <w:snapToGrid w:val="0"/>
              <w:spacing w:before="0" w:beforeLines="0" w:line="240" w:lineRule="auto"/>
              <w:jc w:val="center"/>
              <w:rPr>
                <w:kern w:val="0"/>
                <w:szCs w:val="21"/>
              </w:rPr>
            </w:pPr>
            <w:r>
              <w:rPr>
                <w:kern w:val="0"/>
                <w:szCs w:val="21"/>
              </w:rPr>
              <w:t>占标率%</w:t>
            </w:r>
          </w:p>
        </w:tc>
        <w:tc>
          <w:tcPr>
            <w:tcW w:w="343" w:type="pct"/>
            <w:noWrap/>
            <w:vAlign w:val="center"/>
          </w:tcPr>
          <w:p w14:paraId="345988F5">
            <w:pPr>
              <w:widowControl/>
              <w:adjustRightInd w:val="0"/>
              <w:snapToGrid w:val="0"/>
              <w:spacing w:before="0" w:beforeLines="0" w:line="240" w:lineRule="auto"/>
              <w:jc w:val="center"/>
              <w:rPr>
                <w:kern w:val="0"/>
                <w:szCs w:val="21"/>
              </w:rPr>
            </w:pPr>
            <w:r>
              <w:rPr>
                <w:kern w:val="0"/>
                <w:szCs w:val="21"/>
              </w:rPr>
              <w:t>是否超标</w:t>
            </w:r>
          </w:p>
        </w:tc>
      </w:tr>
      <w:tr w14:paraId="5442780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14:paraId="01CF78D4">
            <w:pPr>
              <w:widowControl/>
              <w:adjustRightInd w:val="0"/>
              <w:snapToGrid w:val="0"/>
              <w:spacing w:before="0" w:beforeLines="0" w:line="240" w:lineRule="auto"/>
              <w:jc w:val="center"/>
              <w:rPr>
                <w:kern w:val="0"/>
                <w:szCs w:val="21"/>
              </w:rPr>
            </w:pPr>
            <w:r>
              <w:rPr>
                <w:kern w:val="0"/>
                <w:szCs w:val="21"/>
              </w:rPr>
              <w:t>1</w:t>
            </w:r>
          </w:p>
        </w:tc>
        <w:tc>
          <w:tcPr>
            <w:tcW w:w="856" w:type="pct"/>
            <w:noWrap/>
            <w:vAlign w:val="center"/>
          </w:tcPr>
          <w:p w14:paraId="0F5B0A93">
            <w:pPr>
              <w:widowControl/>
              <w:adjustRightInd w:val="0"/>
              <w:snapToGrid w:val="0"/>
              <w:spacing w:before="0" w:beforeLines="0" w:line="240" w:lineRule="auto"/>
              <w:jc w:val="center"/>
              <w:rPr>
                <w:kern w:val="0"/>
                <w:szCs w:val="21"/>
              </w:rPr>
            </w:pPr>
            <w:r>
              <w:rPr>
                <w:kern w:val="0"/>
                <w:szCs w:val="21"/>
              </w:rPr>
              <w:t>孟家窝堡</w:t>
            </w:r>
          </w:p>
        </w:tc>
        <w:tc>
          <w:tcPr>
            <w:tcW w:w="610" w:type="pct"/>
            <w:noWrap/>
            <w:vAlign w:val="center"/>
          </w:tcPr>
          <w:p w14:paraId="32B16DAA">
            <w:pPr>
              <w:widowControl/>
              <w:adjustRightInd w:val="0"/>
              <w:snapToGrid w:val="0"/>
              <w:spacing w:before="0" w:beforeLines="0" w:line="240" w:lineRule="auto"/>
              <w:jc w:val="center"/>
              <w:rPr>
                <w:kern w:val="0"/>
                <w:szCs w:val="21"/>
              </w:rPr>
            </w:pPr>
            <w:r>
              <w:rPr>
                <w:kern w:val="0"/>
                <w:szCs w:val="21"/>
              </w:rPr>
              <w:t>-1345,-349</w:t>
            </w:r>
          </w:p>
        </w:tc>
        <w:tc>
          <w:tcPr>
            <w:tcW w:w="364" w:type="pct"/>
            <w:noWrap/>
            <w:vAlign w:val="center"/>
          </w:tcPr>
          <w:p w14:paraId="5BC8EF71">
            <w:pPr>
              <w:widowControl/>
              <w:adjustRightInd w:val="0"/>
              <w:snapToGrid w:val="0"/>
              <w:spacing w:before="0" w:beforeLines="0" w:line="240" w:lineRule="auto"/>
              <w:jc w:val="center"/>
              <w:rPr>
                <w:kern w:val="0"/>
                <w:szCs w:val="21"/>
              </w:rPr>
            </w:pPr>
            <w:r>
              <w:rPr>
                <w:kern w:val="0"/>
                <w:szCs w:val="21"/>
              </w:rPr>
              <w:t>272.58</w:t>
            </w:r>
          </w:p>
        </w:tc>
        <w:tc>
          <w:tcPr>
            <w:tcW w:w="343" w:type="pct"/>
            <w:noWrap/>
            <w:vAlign w:val="center"/>
          </w:tcPr>
          <w:p w14:paraId="4696B657">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14:paraId="1EDDFDDA">
            <w:pPr>
              <w:adjustRightInd w:val="0"/>
              <w:snapToGrid w:val="0"/>
              <w:spacing w:before="0" w:beforeLines="0" w:line="240" w:lineRule="auto"/>
              <w:jc w:val="center"/>
              <w:rPr>
                <w:szCs w:val="21"/>
              </w:rPr>
            </w:pPr>
            <w:r>
              <w:rPr>
                <w:rFonts w:hint="eastAsia" w:hAnsi="宋体"/>
                <w:kern w:val="0"/>
                <w:szCs w:val="21"/>
              </w:rPr>
              <w:t>1942.5200</w:t>
            </w:r>
          </w:p>
        </w:tc>
        <w:tc>
          <w:tcPr>
            <w:tcW w:w="676" w:type="pct"/>
            <w:noWrap/>
            <w:vAlign w:val="center"/>
          </w:tcPr>
          <w:p w14:paraId="45604A4B">
            <w:pPr>
              <w:adjustRightInd w:val="0"/>
              <w:snapToGrid w:val="0"/>
              <w:spacing w:before="0" w:beforeLines="0" w:line="240" w:lineRule="auto"/>
              <w:jc w:val="center"/>
              <w:rPr>
                <w:szCs w:val="21"/>
              </w:rPr>
            </w:pPr>
            <w:r>
              <w:rPr>
                <w:rFonts w:hint="eastAsia" w:hAnsi="宋体"/>
                <w:kern w:val="0"/>
                <w:szCs w:val="21"/>
              </w:rPr>
              <w:t>25081704</w:t>
            </w:r>
          </w:p>
        </w:tc>
        <w:tc>
          <w:tcPr>
            <w:tcW w:w="562" w:type="pct"/>
            <w:noWrap/>
            <w:vAlign w:val="center"/>
          </w:tcPr>
          <w:p w14:paraId="1A0EFEA2">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14:paraId="4C4B4918">
            <w:pPr>
              <w:widowControl/>
              <w:adjustRightInd w:val="0"/>
              <w:snapToGrid w:val="0"/>
              <w:spacing w:before="0" w:beforeLines="0" w:line="240" w:lineRule="auto"/>
              <w:jc w:val="center"/>
              <w:rPr>
                <w:kern w:val="0"/>
                <w:szCs w:val="21"/>
              </w:rPr>
            </w:pPr>
            <w:r>
              <w:rPr>
                <w:rFonts w:hint="eastAsia" w:hAnsi="宋体"/>
                <w:kern w:val="0"/>
                <w:szCs w:val="21"/>
              </w:rPr>
              <w:t>539.59</w:t>
            </w:r>
          </w:p>
        </w:tc>
        <w:tc>
          <w:tcPr>
            <w:tcW w:w="343" w:type="pct"/>
            <w:noWrap/>
            <w:vAlign w:val="center"/>
          </w:tcPr>
          <w:p w14:paraId="7F3FF90E">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71915CD4">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14:paraId="1503C51E">
            <w:pPr>
              <w:widowControl/>
              <w:adjustRightInd w:val="0"/>
              <w:snapToGrid w:val="0"/>
              <w:spacing w:before="0" w:beforeLines="0" w:line="240" w:lineRule="auto"/>
              <w:jc w:val="center"/>
              <w:rPr>
                <w:kern w:val="0"/>
                <w:szCs w:val="21"/>
              </w:rPr>
            </w:pPr>
            <w:r>
              <w:rPr>
                <w:kern w:val="0"/>
                <w:szCs w:val="21"/>
              </w:rPr>
              <w:t>2</w:t>
            </w:r>
          </w:p>
        </w:tc>
        <w:tc>
          <w:tcPr>
            <w:tcW w:w="856" w:type="pct"/>
            <w:noWrap/>
            <w:vAlign w:val="center"/>
          </w:tcPr>
          <w:p w14:paraId="4CADCD30">
            <w:pPr>
              <w:widowControl/>
              <w:adjustRightInd w:val="0"/>
              <w:snapToGrid w:val="0"/>
              <w:spacing w:before="0" w:beforeLines="0" w:line="240" w:lineRule="auto"/>
              <w:jc w:val="center"/>
              <w:rPr>
                <w:kern w:val="0"/>
                <w:szCs w:val="21"/>
              </w:rPr>
            </w:pPr>
            <w:r>
              <w:rPr>
                <w:kern w:val="0"/>
                <w:szCs w:val="21"/>
              </w:rPr>
              <w:t>阿哈来村</w:t>
            </w:r>
          </w:p>
        </w:tc>
        <w:tc>
          <w:tcPr>
            <w:tcW w:w="610" w:type="pct"/>
            <w:noWrap/>
            <w:vAlign w:val="center"/>
          </w:tcPr>
          <w:p w14:paraId="42A59A9B">
            <w:pPr>
              <w:widowControl/>
              <w:adjustRightInd w:val="0"/>
              <w:snapToGrid w:val="0"/>
              <w:spacing w:before="0" w:beforeLines="0" w:line="240" w:lineRule="auto"/>
              <w:jc w:val="center"/>
              <w:rPr>
                <w:kern w:val="0"/>
                <w:szCs w:val="21"/>
              </w:rPr>
            </w:pPr>
            <w:r>
              <w:rPr>
                <w:kern w:val="0"/>
                <w:szCs w:val="21"/>
              </w:rPr>
              <w:t>-2099,589</w:t>
            </w:r>
          </w:p>
        </w:tc>
        <w:tc>
          <w:tcPr>
            <w:tcW w:w="364" w:type="pct"/>
            <w:noWrap/>
            <w:vAlign w:val="center"/>
          </w:tcPr>
          <w:p w14:paraId="662902EC">
            <w:pPr>
              <w:widowControl/>
              <w:adjustRightInd w:val="0"/>
              <w:snapToGrid w:val="0"/>
              <w:spacing w:before="0" w:beforeLines="0" w:line="240" w:lineRule="auto"/>
              <w:jc w:val="center"/>
              <w:rPr>
                <w:kern w:val="0"/>
                <w:szCs w:val="21"/>
              </w:rPr>
            </w:pPr>
            <w:r>
              <w:rPr>
                <w:kern w:val="0"/>
                <w:szCs w:val="21"/>
              </w:rPr>
              <w:t>266.66</w:t>
            </w:r>
          </w:p>
        </w:tc>
        <w:tc>
          <w:tcPr>
            <w:tcW w:w="343" w:type="pct"/>
            <w:noWrap/>
          </w:tcPr>
          <w:p w14:paraId="4E621709">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14:paraId="241AA56A">
            <w:pPr>
              <w:widowControl/>
              <w:adjustRightInd w:val="0"/>
              <w:snapToGrid w:val="0"/>
              <w:spacing w:before="0" w:beforeLines="0" w:line="240" w:lineRule="auto"/>
              <w:jc w:val="center"/>
              <w:rPr>
                <w:kern w:val="0"/>
                <w:szCs w:val="21"/>
              </w:rPr>
            </w:pPr>
            <w:r>
              <w:rPr>
                <w:rFonts w:hint="eastAsia" w:hAnsi="宋体"/>
                <w:kern w:val="0"/>
                <w:szCs w:val="21"/>
              </w:rPr>
              <w:t>1321.3030</w:t>
            </w:r>
          </w:p>
        </w:tc>
        <w:tc>
          <w:tcPr>
            <w:tcW w:w="676" w:type="pct"/>
            <w:noWrap/>
            <w:vAlign w:val="center"/>
          </w:tcPr>
          <w:p w14:paraId="2D4891A0">
            <w:pPr>
              <w:widowControl/>
              <w:adjustRightInd w:val="0"/>
              <w:snapToGrid w:val="0"/>
              <w:spacing w:before="0" w:beforeLines="0" w:line="240" w:lineRule="auto"/>
              <w:jc w:val="center"/>
              <w:rPr>
                <w:kern w:val="0"/>
                <w:szCs w:val="21"/>
              </w:rPr>
            </w:pPr>
            <w:r>
              <w:rPr>
                <w:rFonts w:hint="eastAsia" w:hAnsi="宋体"/>
                <w:kern w:val="0"/>
                <w:szCs w:val="21"/>
              </w:rPr>
              <w:t>25092122</w:t>
            </w:r>
          </w:p>
        </w:tc>
        <w:tc>
          <w:tcPr>
            <w:tcW w:w="562" w:type="pct"/>
            <w:noWrap/>
            <w:vAlign w:val="center"/>
          </w:tcPr>
          <w:p w14:paraId="540770DB">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14:paraId="3C815135">
            <w:pPr>
              <w:widowControl/>
              <w:adjustRightInd w:val="0"/>
              <w:snapToGrid w:val="0"/>
              <w:spacing w:before="0" w:beforeLines="0" w:line="240" w:lineRule="auto"/>
              <w:jc w:val="center"/>
              <w:rPr>
                <w:kern w:val="0"/>
                <w:szCs w:val="21"/>
              </w:rPr>
            </w:pPr>
            <w:r>
              <w:rPr>
                <w:rFonts w:hint="eastAsia" w:hAnsi="宋体"/>
                <w:kern w:val="0"/>
                <w:szCs w:val="21"/>
              </w:rPr>
              <w:t>367.03</w:t>
            </w:r>
          </w:p>
        </w:tc>
        <w:tc>
          <w:tcPr>
            <w:tcW w:w="343" w:type="pct"/>
            <w:noWrap/>
            <w:vAlign w:val="center"/>
          </w:tcPr>
          <w:p w14:paraId="48153B51">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5147BBED">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14:paraId="70A31903">
            <w:pPr>
              <w:widowControl/>
              <w:adjustRightInd w:val="0"/>
              <w:snapToGrid w:val="0"/>
              <w:spacing w:before="0" w:beforeLines="0" w:line="240" w:lineRule="auto"/>
              <w:jc w:val="center"/>
              <w:rPr>
                <w:kern w:val="0"/>
                <w:szCs w:val="21"/>
              </w:rPr>
            </w:pPr>
            <w:r>
              <w:rPr>
                <w:kern w:val="0"/>
                <w:szCs w:val="21"/>
              </w:rPr>
              <w:t>3</w:t>
            </w:r>
          </w:p>
        </w:tc>
        <w:tc>
          <w:tcPr>
            <w:tcW w:w="856" w:type="pct"/>
            <w:noWrap/>
            <w:vAlign w:val="center"/>
          </w:tcPr>
          <w:p w14:paraId="3C038CCA">
            <w:pPr>
              <w:widowControl/>
              <w:adjustRightInd w:val="0"/>
              <w:snapToGrid w:val="0"/>
              <w:spacing w:before="0" w:beforeLines="0" w:line="240" w:lineRule="auto"/>
              <w:jc w:val="center"/>
              <w:rPr>
                <w:kern w:val="0"/>
                <w:szCs w:val="21"/>
              </w:rPr>
            </w:pPr>
            <w:r>
              <w:rPr>
                <w:kern w:val="0"/>
                <w:szCs w:val="21"/>
              </w:rPr>
              <w:t>庙沟</w:t>
            </w:r>
          </w:p>
        </w:tc>
        <w:tc>
          <w:tcPr>
            <w:tcW w:w="610" w:type="pct"/>
            <w:noWrap/>
            <w:vAlign w:val="center"/>
          </w:tcPr>
          <w:p w14:paraId="6F3CEF3B">
            <w:pPr>
              <w:widowControl/>
              <w:adjustRightInd w:val="0"/>
              <w:snapToGrid w:val="0"/>
              <w:spacing w:before="0" w:beforeLines="0" w:line="240" w:lineRule="auto"/>
              <w:jc w:val="center"/>
              <w:rPr>
                <w:kern w:val="0"/>
                <w:szCs w:val="21"/>
              </w:rPr>
            </w:pPr>
            <w:r>
              <w:rPr>
                <w:kern w:val="0"/>
                <w:szCs w:val="21"/>
              </w:rPr>
              <w:t>-1444，2465</w:t>
            </w:r>
          </w:p>
        </w:tc>
        <w:tc>
          <w:tcPr>
            <w:tcW w:w="364" w:type="pct"/>
            <w:noWrap/>
            <w:vAlign w:val="center"/>
          </w:tcPr>
          <w:p w14:paraId="0FB2A013">
            <w:pPr>
              <w:widowControl/>
              <w:adjustRightInd w:val="0"/>
              <w:snapToGrid w:val="0"/>
              <w:spacing w:before="0" w:beforeLines="0" w:line="240" w:lineRule="auto"/>
              <w:jc w:val="center"/>
              <w:rPr>
                <w:kern w:val="0"/>
                <w:szCs w:val="21"/>
              </w:rPr>
            </w:pPr>
            <w:r>
              <w:rPr>
                <w:kern w:val="0"/>
                <w:szCs w:val="21"/>
              </w:rPr>
              <w:t>269.82</w:t>
            </w:r>
          </w:p>
        </w:tc>
        <w:tc>
          <w:tcPr>
            <w:tcW w:w="343" w:type="pct"/>
            <w:noWrap/>
          </w:tcPr>
          <w:p w14:paraId="52B3B345">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14:paraId="52F14B03">
            <w:pPr>
              <w:widowControl/>
              <w:adjustRightInd w:val="0"/>
              <w:snapToGrid w:val="0"/>
              <w:spacing w:before="0" w:beforeLines="0" w:line="240" w:lineRule="auto"/>
              <w:jc w:val="center"/>
              <w:rPr>
                <w:kern w:val="0"/>
                <w:szCs w:val="21"/>
              </w:rPr>
            </w:pPr>
            <w:r>
              <w:rPr>
                <w:rFonts w:hint="eastAsia" w:hAnsi="宋体"/>
                <w:kern w:val="0"/>
                <w:szCs w:val="21"/>
              </w:rPr>
              <w:t>902.0608</w:t>
            </w:r>
          </w:p>
        </w:tc>
        <w:tc>
          <w:tcPr>
            <w:tcW w:w="676" w:type="pct"/>
            <w:noWrap/>
            <w:vAlign w:val="center"/>
          </w:tcPr>
          <w:p w14:paraId="0DD78FFA">
            <w:pPr>
              <w:widowControl/>
              <w:adjustRightInd w:val="0"/>
              <w:snapToGrid w:val="0"/>
              <w:spacing w:before="0" w:beforeLines="0" w:line="240" w:lineRule="auto"/>
              <w:jc w:val="center"/>
              <w:rPr>
                <w:kern w:val="0"/>
                <w:szCs w:val="21"/>
              </w:rPr>
            </w:pPr>
            <w:r>
              <w:rPr>
                <w:rFonts w:hint="eastAsia" w:hAnsi="宋体"/>
                <w:kern w:val="0"/>
                <w:szCs w:val="21"/>
              </w:rPr>
              <w:t>25092101</w:t>
            </w:r>
          </w:p>
        </w:tc>
        <w:tc>
          <w:tcPr>
            <w:tcW w:w="562" w:type="pct"/>
            <w:noWrap/>
            <w:vAlign w:val="center"/>
          </w:tcPr>
          <w:p w14:paraId="21BB3427">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14:paraId="25CC76D7">
            <w:pPr>
              <w:widowControl/>
              <w:adjustRightInd w:val="0"/>
              <w:snapToGrid w:val="0"/>
              <w:spacing w:before="0" w:beforeLines="0" w:line="240" w:lineRule="auto"/>
              <w:jc w:val="center"/>
              <w:rPr>
                <w:kern w:val="0"/>
                <w:szCs w:val="21"/>
              </w:rPr>
            </w:pPr>
            <w:r>
              <w:rPr>
                <w:rFonts w:hint="eastAsia" w:hAnsi="宋体"/>
                <w:kern w:val="0"/>
                <w:szCs w:val="21"/>
              </w:rPr>
              <w:t>250.57</w:t>
            </w:r>
          </w:p>
        </w:tc>
        <w:tc>
          <w:tcPr>
            <w:tcW w:w="343" w:type="pct"/>
            <w:noWrap/>
            <w:vAlign w:val="center"/>
          </w:tcPr>
          <w:p w14:paraId="2FF7D233">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45AB80F4">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14:paraId="4801654A">
            <w:pPr>
              <w:widowControl/>
              <w:adjustRightInd w:val="0"/>
              <w:snapToGrid w:val="0"/>
              <w:spacing w:before="0" w:beforeLines="0" w:line="240" w:lineRule="auto"/>
              <w:jc w:val="center"/>
              <w:rPr>
                <w:kern w:val="0"/>
                <w:szCs w:val="21"/>
              </w:rPr>
            </w:pPr>
            <w:r>
              <w:rPr>
                <w:kern w:val="0"/>
                <w:szCs w:val="21"/>
              </w:rPr>
              <w:t>4</w:t>
            </w:r>
          </w:p>
        </w:tc>
        <w:tc>
          <w:tcPr>
            <w:tcW w:w="856" w:type="pct"/>
            <w:noWrap/>
            <w:vAlign w:val="center"/>
          </w:tcPr>
          <w:p w14:paraId="78979AD3">
            <w:pPr>
              <w:widowControl/>
              <w:adjustRightInd w:val="0"/>
              <w:snapToGrid w:val="0"/>
              <w:spacing w:before="0" w:beforeLines="0" w:line="240" w:lineRule="auto"/>
              <w:jc w:val="center"/>
              <w:rPr>
                <w:kern w:val="0"/>
                <w:szCs w:val="21"/>
              </w:rPr>
            </w:pPr>
            <w:r>
              <w:rPr>
                <w:kern w:val="0"/>
                <w:szCs w:val="21"/>
              </w:rPr>
              <w:t>南山</w:t>
            </w:r>
          </w:p>
        </w:tc>
        <w:tc>
          <w:tcPr>
            <w:tcW w:w="610" w:type="pct"/>
            <w:noWrap/>
            <w:vAlign w:val="center"/>
          </w:tcPr>
          <w:p w14:paraId="6B1B93C6">
            <w:pPr>
              <w:widowControl/>
              <w:adjustRightInd w:val="0"/>
              <w:snapToGrid w:val="0"/>
              <w:spacing w:before="0" w:beforeLines="0" w:line="240" w:lineRule="auto"/>
              <w:jc w:val="center"/>
              <w:rPr>
                <w:kern w:val="0"/>
                <w:szCs w:val="21"/>
              </w:rPr>
            </w:pPr>
            <w:r>
              <w:rPr>
                <w:kern w:val="0"/>
                <w:szCs w:val="21"/>
              </w:rPr>
              <w:t>-2423,-913</w:t>
            </w:r>
          </w:p>
        </w:tc>
        <w:tc>
          <w:tcPr>
            <w:tcW w:w="364" w:type="pct"/>
            <w:noWrap/>
            <w:vAlign w:val="center"/>
          </w:tcPr>
          <w:p w14:paraId="1C010E57">
            <w:pPr>
              <w:widowControl/>
              <w:adjustRightInd w:val="0"/>
              <w:snapToGrid w:val="0"/>
              <w:spacing w:before="0" w:beforeLines="0" w:line="240" w:lineRule="auto"/>
              <w:jc w:val="center"/>
              <w:rPr>
                <w:kern w:val="0"/>
                <w:szCs w:val="21"/>
              </w:rPr>
            </w:pPr>
            <w:r>
              <w:rPr>
                <w:kern w:val="0"/>
                <w:szCs w:val="21"/>
              </w:rPr>
              <w:t>284.09</w:t>
            </w:r>
          </w:p>
        </w:tc>
        <w:tc>
          <w:tcPr>
            <w:tcW w:w="343" w:type="pct"/>
            <w:noWrap/>
          </w:tcPr>
          <w:p w14:paraId="6F8FD95F">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14:paraId="7C93136F">
            <w:pPr>
              <w:widowControl/>
              <w:adjustRightInd w:val="0"/>
              <w:snapToGrid w:val="0"/>
              <w:spacing w:before="0" w:beforeLines="0" w:line="240" w:lineRule="auto"/>
              <w:jc w:val="center"/>
              <w:rPr>
                <w:kern w:val="0"/>
                <w:szCs w:val="21"/>
              </w:rPr>
            </w:pPr>
            <w:r>
              <w:rPr>
                <w:rFonts w:hint="eastAsia" w:hAnsi="宋体"/>
                <w:kern w:val="0"/>
                <w:szCs w:val="21"/>
              </w:rPr>
              <w:t>689.7007</w:t>
            </w:r>
          </w:p>
        </w:tc>
        <w:tc>
          <w:tcPr>
            <w:tcW w:w="676" w:type="pct"/>
            <w:noWrap/>
            <w:vAlign w:val="center"/>
          </w:tcPr>
          <w:p w14:paraId="315D8854">
            <w:pPr>
              <w:widowControl/>
              <w:adjustRightInd w:val="0"/>
              <w:snapToGrid w:val="0"/>
              <w:spacing w:before="0" w:beforeLines="0" w:line="240" w:lineRule="auto"/>
              <w:jc w:val="center"/>
              <w:rPr>
                <w:kern w:val="0"/>
                <w:szCs w:val="21"/>
              </w:rPr>
            </w:pPr>
            <w:r>
              <w:rPr>
                <w:rFonts w:hint="eastAsia" w:hAnsi="宋体"/>
                <w:kern w:val="0"/>
                <w:szCs w:val="21"/>
              </w:rPr>
              <w:t>25100719</w:t>
            </w:r>
          </w:p>
        </w:tc>
        <w:tc>
          <w:tcPr>
            <w:tcW w:w="562" w:type="pct"/>
            <w:noWrap/>
            <w:vAlign w:val="center"/>
          </w:tcPr>
          <w:p w14:paraId="6C43D3DB">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14:paraId="0123747F">
            <w:pPr>
              <w:widowControl/>
              <w:adjustRightInd w:val="0"/>
              <w:snapToGrid w:val="0"/>
              <w:spacing w:before="0" w:beforeLines="0" w:line="240" w:lineRule="auto"/>
              <w:jc w:val="center"/>
              <w:rPr>
                <w:kern w:val="0"/>
                <w:szCs w:val="21"/>
              </w:rPr>
            </w:pPr>
            <w:r>
              <w:rPr>
                <w:rFonts w:hint="eastAsia" w:hAnsi="宋体"/>
                <w:kern w:val="0"/>
                <w:szCs w:val="21"/>
              </w:rPr>
              <w:t>191.58</w:t>
            </w:r>
          </w:p>
        </w:tc>
        <w:tc>
          <w:tcPr>
            <w:tcW w:w="343" w:type="pct"/>
            <w:noWrap/>
            <w:vAlign w:val="center"/>
          </w:tcPr>
          <w:p w14:paraId="4838CA08">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425D4AFF">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14:paraId="5F7EF318">
            <w:pPr>
              <w:widowControl/>
              <w:adjustRightInd w:val="0"/>
              <w:snapToGrid w:val="0"/>
              <w:spacing w:before="0" w:beforeLines="0" w:line="240" w:lineRule="auto"/>
              <w:jc w:val="center"/>
              <w:rPr>
                <w:kern w:val="0"/>
                <w:szCs w:val="21"/>
              </w:rPr>
            </w:pPr>
            <w:r>
              <w:rPr>
                <w:kern w:val="0"/>
                <w:szCs w:val="21"/>
              </w:rPr>
              <w:t>5</w:t>
            </w:r>
          </w:p>
        </w:tc>
        <w:tc>
          <w:tcPr>
            <w:tcW w:w="856" w:type="pct"/>
            <w:noWrap/>
            <w:vAlign w:val="center"/>
          </w:tcPr>
          <w:p w14:paraId="2440D37C">
            <w:pPr>
              <w:widowControl/>
              <w:adjustRightInd w:val="0"/>
              <w:snapToGrid w:val="0"/>
              <w:spacing w:before="0" w:beforeLines="0" w:line="240" w:lineRule="auto"/>
              <w:jc w:val="center"/>
              <w:rPr>
                <w:kern w:val="0"/>
                <w:szCs w:val="21"/>
              </w:rPr>
            </w:pPr>
            <w:r>
              <w:rPr>
                <w:kern w:val="0"/>
                <w:szCs w:val="21"/>
              </w:rPr>
              <w:t>邵家窝堡</w:t>
            </w:r>
          </w:p>
        </w:tc>
        <w:tc>
          <w:tcPr>
            <w:tcW w:w="610" w:type="pct"/>
            <w:noWrap/>
            <w:vAlign w:val="center"/>
          </w:tcPr>
          <w:p w14:paraId="65FE07DF">
            <w:pPr>
              <w:widowControl/>
              <w:adjustRightInd w:val="0"/>
              <w:snapToGrid w:val="0"/>
              <w:spacing w:before="0" w:beforeLines="0" w:line="240" w:lineRule="auto"/>
              <w:jc w:val="center"/>
              <w:rPr>
                <w:kern w:val="0"/>
                <w:szCs w:val="21"/>
              </w:rPr>
            </w:pPr>
            <w:r>
              <w:rPr>
                <w:kern w:val="0"/>
                <w:szCs w:val="21"/>
              </w:rPr>
              <w:t>760，1865</w:t>
            </w:r>
          </w:p>
        </w:tc>
        <w:tc>
          <w:tcPr>
            <w:tcW w:w="364" w:type="pct"/>
            <w:noWrap/>
            <w:vAlign w:val="center"/>
          </w:tcPr>
          <w:p w14:paraId="5D80EF52">
            <w:pPr>
              <w:widowControl/>
              <w:adjustRightInd w:val="0"/>
              <w:snapToGrid w:val="0"/>
              <w:spacing w:before="0" w:beforeLines="0" w:line="240" w:lineRule="auto"/>
              <w:jc w:val="center"/>
              <w:rPr>
                <w:kern w:val="0"/>
                <w:szCs w:val="21"/>
              </w:rPr>
            </w:pPr>
            <w:r>
              <w:rPr>
                <w:kern w:val="0"/>
                <w:szCs w:val="21"/>
              </w:rPr>
              <w:t>257.54</w:t>
            </w:r>
          </w:p>
        </w:tc>
        <w:tc>
          <w:tcPr>
            <w:tcW w:w="343" w:type="pct"/>
            <w:noWrap/>
          </w:tcPr>
          <w:p w14:paraId="3669F98D">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14:paraId="1A976B1E">
            <w:pPr>
              <w:widowControl/>
              <w:adjustRightInd w:val="0"/>
              <w:snapToGrid w:val="0"/>
              <w:spacing w:before="0" w:beforeLines="0" w:line="240" w:lineRule="auto"/>
              <w:jc w:val="center"/>
              <w:rPr>
                <w:kern w:val="0"/>
                <w:szCs w:val="21"/>
              </w:rPr>
            </w:pPr>
            <w:r>
              <w:rPr>
                <w:rFonts w:hint="eastAsia" w:hAnsi="宋体"/>
                <w:kern w:val="0"/>
                <w:szCs w:val="21"/>
              </w:rPr>
              <w:t>1056.1800</w:t>
            </w:r>
          </w:p>
        </w:tc>
        <w:tc>
          <w:tcPr>
            <w:tcW w:w="676" w:type="pct"/>
            <w:noWrap/>
            <w:vAlign w:val="center"/>
          </w:tcPr>
          <w:p w14:paraId="3DF53005">
            <w:pPr>
              <w:widowControl/>
              <w:adjustRightInd w:val="0"/>
              <w:snapToGrid w:val="0"/>
              <w:spacing w:before="0" w:beforeLines="0" w:line="240" w:lineRule="auto"/>
              <w:jc w:val="center"/>
              <w:rPr>
                <w:kern w:val="0"/>
                <w:szCs w:val="21"/>
              </w:rPr>
            </w:pPr>
            <w:r>
              <w:rPr>
                <w:rFonts w:hint="eastAsia" w:hAnsi="宋体"/>
                <w:kern w:val="0"/>
                <w:szCs w:val="21"/>
              </w:rPr>
              <w:t>25092824</w:t>
            </w:r>
          </w:p>
        </w:tc>
        <w:tc>
          <w:tcPr>
            <w:tcW w:w="562" w:type="pct"/>
            <w:noWrap/>
            <w:vAlign w:val="center"/>
          </w:tcPr>
          <w:p w14:paraId="02400CA8">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14:paraId="6E323E87">
            <w:pPr>
              <w:widowControl/>
              <w:adjustRightInd w:val="0"/>
              <w:snapToGrid w:val="0"/>
              <w:spacing w:before="0" w:beforeLines="0" w:line="240" w:lineRule="auto"/>
              <w:jc w:val="center"/>
              <w:rPr>
                <w:kern w:val="0"/>
                <w:szCs w:val="21"/>
              </w:rPr>
            </w:pPr>
            <w:r>
              <w:rPr>
                <w:rFonts w:hint="eastAsia" w:hAnsi="宋体"/>
                <w:kern w:val="0"/>
                <w:szCs w:val="21"/>
              </w:rPr>
              <w:t>293.38</w:t>
            </w:r>
          </w:p>
        </w:tc>
        <w:tc>
          <w:tcPr>
            <w:tcW w:w="343" w:type="pct"/>
            <w:noWrap/>
            <w:vAlign w:val="center"/>
          </w:tcPr>
          <w:p w14:paraId="1895B569">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02D2270A">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14:paraId="1012E7EA">
            <w:pPr>
              <w:widowControl/>
              <w:adjustRightInd w:val="0"/>
              <w:snapToGrid w:val="0"/>
              <w:spacing w:before="0" w:beforeLines="0" w:line="240" w:lineRule="auto"/>
              <w:jc w:val="center"/>
              <w:rPr>
                <w:kern w:val="0"/>
                <w:szCs w:val="21"/>
              </w:rPr>
            </w:pPr>
            <w:r>
              <w:rPr>
                <w:kern w:val="0"/>
                <w:szCs w:val="21"/>
              </w:rPr>
              <w:t>6</w:t>
            </w:r>
          </w:p>
        </w:tc>
        <w:tc>
          <w:tcPr>
            <w:tcW w:w="856" w:type="pct"/>
            <w:noWrap/>
            <w:vAlign w:val="center"/>
          </w:tcPr>
          <w:p w14:paraId="4057B63A">
            <w:pPr>
              <w:widowControl/>
              <w:adjustRightInd w:val="0"/>
              <w:snapToGrid w:val="0"/>
              <w:spacing w:before="0" w:beforeLines="0" w:line="240" w:lineRule="auto"/>
              <w:jc w:val="center"/>
              <w:rPr>
                <w:bCs/>
                <w:kern w:val="0"/>
                <w:szCs w:val="21"/>
              </w:rPr>
            </w:pPr>
            <w:r>
              <w:rPr>
                <w:bCs/>
                <w:kern w:val="0"/>
                <w:szCs w:val="21"/>
              </w:rPr>
              <w:t>满汉营子</w:t>
            </w:r>
          </w:p>
        </w:tc>
        <w:tc>
          <w:tcPr>
            <w:tcW w:w="610" w:type="pct"/>
            <w:noWrap/>
            <w:vAlign w:val="center"/>
          </w:tcPr>
          <w:p w14:paraId="7FF6AE13">
            <w:pPr>
              <w:widowControl/>
              <w:adjustRightInd w:val="0"/>
              <w:snapToGrid w:val="0"/>
              <w:spacing w:before="0" w:beforeLines="0" w:line="240" w:lineRule="auto"/>
              <w:jc w:val="center"/>
              <w:rPr>
                <w:bCs/>
                <w:kern w:val="0"/>
                <w:szCs w:val="21"/>
              </w:rPr>
            </w:pPr>
            <w:r>
              <w:rPr>
                <w:bCs/>
                <w:kern w:val="0"/>
                <w:szCs w:val="21"/>
              </w:rPr>
              <w:t>2366，1019</w:t>
            </w:r>
          </w:p>
        </w:tc>
        <w:tc>
          <w:tcPr>
            <w:tcW w:w="364" w:type="pct"/>
            <w:noWrap/>
            <w:vAlign w:val="center"/>
          </w:tcPr>
          <w:p w14:paraId="35811B65">
            <w:pPr>
              <w:widowControl/>
              <w:adjustRightInd w:val="0"/>
              <w:snapToGrid w:val="0"/>
              <w:spacing w:before="0" w:beforeLines="0" w:line="240" w:lineRule="auto"/>
              <w:jc w:val="center"/>
              <w:rPr>
                <w:bCs/>
                <w:kern w:val="0"/>
                <w:szCs w:val="21"/>
              </w:rPr>
            </w:pPr>
            <w:r>
              <w:rPr>
                <w:bCs/>
                <w:kern w:val="0"/>
                <w:szCs w:val="21"/>
              </w:rPr>
              <w:t>262.39</w:t>
            </w:r>
          </w:p>
        </w:tc>
        <w:tc>
          <w:tcPr>
            <w:tcW w:w="343" w:type="pct"/>
            <w:noWrap/>
          </w:tcPr>
          <w:p w14:paraId="3504BB59">
            <w:pPr>
              <w:widowControl/>
              <w:adjustRightInd w:val="0"/>
              <w:snapToGrid w:val="0"/>
              <w:spacing w:before="0" w:beforeLines="0" w:line="240" w:lineRule="auto"/>
              <w:jc w:val="center"/>
              <w:rPr>
                <w:bCs/>
                <w:kern w:val="0"/>
                <w:szCs w:val="21"/>
              </w:rPr>
            </w:pPr>
            <w:r>
              <w:rPr>
                <w:bCs/>
                <w:kern w:val="0"/>
                <w:szCs w:val="21"/>
              </w:rPr>
              <w:t>1小时</w:t>
            </w:r>
          </w:p>
        </w:tc>
        <w:tc>
          <w:tcPr>
            <w:tcW w:w="644" w:type="pct"/>
            <w:noWrap/>
            <w:vAlign w:val="center"/>
          </w:tcPr>
          <w:p w14:paraId="11940E04">
            <w:pPr>
              <w:widowControl/>
              <w:adjustRightInd w:val="0"/>
              <w:snapToGrid w:val="0"/>
              <w:spacing w:before="0" w:beforeLines="0" w:line="240" w:lineRule="auto"/>
              <w:jc w:val="center"/>
              <w:rPr>
                <w:kern w:val="0"/>
                <w:szCs w:val="21"/>
              </w:rPr>
            </w:pPr>
            <w:r>
              <w:rPr>
                <w:rFonts w:hint="eastAsia" w:hAnsi="宋体"/>
                <w:kern w:val="0"/>
                <w:szCs w:val="21"/>
              </w:rPr>
              <w:t>511.3312</w:t>
            </w:r>
          </w:p>
        </w:tc>
        <w:tc>
          <w:tcPr>
            <w:tcW w:w="676" w:type="pct"/>
            <w:noWrap/>
            <w:vAlign w:val="center"/>
          </w:tcPr>
          <w:p w14:paraId="77EA6A45">
            <w:pPr>
              <w:widowControl/>
              <w:adjustRightInd w:val="0"/>
              <w:snapToGrid w:val="0"/>
              <w:spacing w:before="0" w:beforeLines="0" w:line="240" w:lineRule="auto"/>
              <w:jc w:val="center"/>
              <w:rPr>
                <w:kern w:val="0"/>
                <w:szCs w:val="21"/>
              </w:rPr>
            </w:pPr>
            <w:r>
              <w:rPr>
                <w:rFonts w:hint="eastAsia" w:hAnsi="宋体"/>
                <w:kern w:val="0"/>
                <w:szCs w:val="21"/>
              </w:rPr>
              <w:t>25081022</w:t>
            </w:r>
          </w:p>
        </w:tc>
        <w:tc>
          <w:tcPr>
            <w:tcW w:w="562" w:type="pct"/>
            <w:noWrap/>
            <w:vAlign w:val="center"/>
          </w:tcPr>
          <w:p w14:paraId="76FBC975">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14:paraId="346C7907">
            <w:pPr>
              <w:widowControl/>
              <w:adjustRightInd w:val="0"/>
              <w:snapToGrid w:val="0"/>
              <w:spacing w:before="0" w:beforeLines="0" w:line="240" w:lineRule="auto"/>
              <w:jc w:val="center"/>
              <w:rPr>
                <w:kern w:val="0"/>
                <w:szCs w:val="21"/>
              </w:rPr>
            </w:pPr>
            <w:r>
              <w:rPr>
                <w:rFonts w:hint="eastAsia" w:hAnsi="宋体"/>
                <w:kern w:val="0"/>
                <w:szCs w:val="21"/>
              </w:rPr>
              <w:t>142.04</w:t>
            </w:r>
          </w:p>
        </w:tc>
        <w:tc>
          <w:tcPr>
            <w:tcW w:w="343" w:type="pct"/>
            <w:noWrap/>
            <w:vAlign w:val="center"/>
          </w:tcPr>
          <w:p w14:paraId="406BCE32">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13CE607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14:paraId="53305A10">
            <w:pPr>
              <w:widowControl/>
              <w:adjustRightInd w:val="0"/>
              <w:snapToGrid w:val="0"/>
              <w:spacing w:before="0" w:beforeLines="0" w:line="240" w:lineRule="auto"/>
              <w:jc w:val="center"/>
              <w:rPr>
                <w:kern w:val="0"/>
                <w:szCs w:val="21"/>
              </w:rPr>
            </w:pPr>
            <w:r>
              <w:rPr>
                <w:kern w:val="0"/>
                <w:szCs w:val="21"/>
              </w:rPr>
              <w:t>7</w:t>
            </w:r>
          </w:p>
        </w:tc>
        <w:tc>
          <w:tcPr>
            <w:tcW w:w="856" w:type="pct"/>
            <w:noWrap/>
            <w:vAlign w:val="center"/>
          </w:tcPr>
          <w:p w14:paraId="00FBF0D5">
            <w:pPr>
              <w:widowControl/>
              <w:adjustRightInd w:val="0"/>
              <w:snapToGrid w:val="0"/>
              <w:spacing w:before="0" w:beforeLines="0" w:line="240" w:lineRule="auto"/>
              <w:jc w:val="center"/>
              <w:rPr>
                <w:kern w:val="0"/>
                <w:szCs w:val="21"/>
              </w:rPr>
            </w:pPr>
            <w:r>
              <w:rPr>
                <w:kern w:val="0"/>
                <w:szCs w:val="21"/>
              </w:rPr>
              <w:t>郎家窝堡</w:t>
            </w:r>
          </w:p>
        </w:tc>
        <w:tc>
          <w:tcPr>
            <w:tcW w:w="610" w:type="pct"/>
            <w:noWrap/>
            <w:vAlign w:val="center"/>
          </w:tcPr>
          <w:p w14:paraId="5C52DDC4">
            <w:pPr>
              <w:widowControl/>
              <w:adjustRightInd w:val="0"/>
              <w:snapToGrid w:val="0"/>
              <w:spacing w:before="0" w:beforeLines="0" w:line="240" w:lineRule="auto"/>
              <w:jc w:val="center"/>
              <w:rPr>
                <w:kern w:val="0"/>
                <w:szCs w:val="21"/>
              </w:rPr>
            </w:pPr>
            <w:r>
              <w:rPr>
                <w:kern w:val="0"/>
                <w:szCs w:val="21"/>
              </w:rPr>
              <w:t>2451，2436</w:t>
            </w:r>
          </w:p>
        </w:tc>
        <w:tc>
          <w:tcPr>
            <w:tcW w:w="364" w:type="pct"/>
            <w:noWrap/>
            <w:vAlign w:val="center"/>
          </w:tcPr>
          <w:p w14:paraId="72127F7E">
            <w:pPr>
              <w:widowControl/>
              <w:adjustRightInd w:val="0"/>
              <w:snapToGrid w:val="0"/>
              <w:spacing w:before="0" w:beforeLines="0" w:line="240" w:lineRule="auto"/>
              <w:jc w:val="center"/>
              <w:rPr>
                <w:kern w:val="0"/>
                <w:szCs w:val="21"/>
              </w:rPr>
            </w:pPr>
            <w:r>
              <w:rPr>
                <w:kern w:val="0"/>
                <w:szCs w:val="21"/>
              </w:rPr>
              <w:t>278.19</w:t>
            </w:r>
          </w:p>
        </w:tc>
        <w:tc>
          <w:tcPr>
            <w:tcW w:w="343" w:type="pct"/>
            <w:noWrap/>
          </w:tcPr>
          <w:p w14:paraId="4AB20187">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14:paraId="29F18285">
            <w:pPr>
              <w:widowControl/>
              <w:adjustRightInd w:val="0"/>
              <w:snapToGrid w:val="0"/>
              <w:spacing w:before="0" w:beforeLines="0" w:line="240" w:lineRule="auto"/>
              <w:jc w:val="center"/>
              <w:rPr>
                <w:kern w:val="0"/>
                <w:szCs w:val="21"/>
              </w:rPr>
            </w:pPr>
            <w:r>
              <w:rPr>
                <w:rFonts w:hint="eastAsia" w:hAnsi="宋体"/>
                <w:kern w:val="0"/>
                <w:szCs w:val="21"/>
              </w:rPr>
              <w:t>377.3545</w:t>
            </w:r>
          </w:p>
        </w:tc>
        <w:tc>
          <w:tcPr>
            <w:tcW w:w="676" w:type="pct"/>
            <w:noWrap/>
            <w:vAlign w:val="center"/>
          </w:tcPr>
          <w:p w14:paraId="3128E010">
            <w:pPr>
              <w:widowControl/>
              <w:adjustRightInd w:val="0"/>
              <w:snapToGrid w:val="0"/>
              <w:spacing w:before="0" w:beforeLines="0" w:line="240" w:lineRule="auto"/>
              <w:jc w:val="center"/>
              <w:rPr>
                <w:kern w:val="0"/>
                <w:szCs w:val="21"/>
              </w:rPr>
            </w:pPr>
            <w:r>
              <w:rPr>
                <w:rFonts w:hint="eastAsia" w:hAnsi="宋体"/>
                <w:kern w:val="0"/>
                <w:szCs w:val="21"/>
              </w:rPr>
              <w:t>25082804</w:t>
            </w:r>
          </w:p>
        </w:tc>
        <w:tc>
          <w:tcPr>
            <w:tcW w:w="562" w:type="pct"/>
            <w:noWrap/>
            <w:vAlign w:val="center"/>
          </w:tcPr>
          <w:p w14:paraId="0828A50D">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14:paraId="1A509208">
            <w:pPr>
              <w:widowControl/>
              <w:adjustRightInd w:val="0"/>
              <w:snapToGrid w:val="0"/>
              <w:spacing w:before="0" w:beforeLines="0" w:line="240" w:lineRule="auto"/>
              <w:jc w:val="center"/>
              <w:rPr>
                <w:kern w:val="0"/>
                <w:szCs w:val="21"/>
              </w:rPr>
            </w:pPr>
            <w:r>
              <w:rPr>
                <w:rFonts w:hint="eastAsia" w:hAnsi="宋体"/>
                <w:kern w:val="0"/>
                <w:szCs w:val="21"/>
              </w:rPr>
              <w:t>104.82</w:t>
            </w:r>
          </w:p>
        </w:tc>
        <w:tc>
          <w:tcPr>
            <w:tcW w:w="343" w:type="pct"/>
            <w:noWrap/>
            <w:vAlign w:val="center"/>
          </w:tcPr>
          <w:p w14:paraId="1FFEFA20">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157B03BF">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14:paraId="6F57699A">
            <w:pPr>
              <w:widowControl/>
              <w:adjustRightInd w:val="0"/>
              <w:snapToGrid w:val="0"/>
              <w:spacing w:before="0" w:beforeLines="0" w:line="240" w:lineRule="auto"/>
              <w:jc w:val="center"/>
              <w:rPr>
                <w:kern w:val="0"/>
                <w:szCs w:val="21"/>
              </w:rPr>
            </w:pPr>
            <w:r>
              <w:rPr>
                <w:kern w:val="0"/>
                <w:szCs w:val="21"/>
              </w:rPr>
              <w:t>8</w:t>
            </w:r>
          </w:p>
        </w:tc>
        <w:tc>
          <w:tcPr>
            <w:tcW w:w="856" w:type="pct"/>
            <w:noWrap/>
            <w:vAlign w:val="center"/>
          </w:tcPr>
          <w:p w14:paraId="077B37E1">
            <w:pPr>
              <w:widowControl/>
              <w:adjustRightInd w:val="0"/>
              <w:snapToGrid w:val="0"/>
              <w:spacing w:before="0" w:beforeLines="0" w:line="240" w:lineRule="auto"/>
              <w:jc w:val="center"/>
              <w:rPr>
                <w:kern w:val="0"/>
                <w:szCs w:val="21"/>
              </w:rPr>
            </w:pPr>
            <w:r>
              <w:rPr>
                <w:kern w:val="0"/>
                <w:szCs w:val="21"/>
              </w:rPr>
              <w:t>那四板营子</w:t>
            </w:r>
          </w:p>
        </w:tc>
        <w:tc>
          <w:tcPr>
            <w:tcW w:w="610" w:type="pct"/>
            <w:noWrap/>
            <w:vAlign w:val="center"/>
          </w:tcPr>
          <w:p w14:paraId="1D1B5AD4">
            <w:pPr>
              <w:widowControl/>
              <w:adjustRightInd w:val="0"/>
              <w:snapToGrid w:val="0"/>
              <w:spacing w:before="0" w:beforeLines="0" w:line="240" w:lineRule="auto"/>
              <w:jc w:val="center"/>
              <w:rPr>
                <w:kern w:val="0"/>
                <w:szCs w:val="21"/>
              </w:rPr>
            </w:pPr>
            <w:r>
              <w:rPr>
                <w:kern w:val="0"/>
                <w:szCs w:val="21"/>
              </w:rPr>
              <w:t>1704,-1626</w:t>
            </w:r>
          </w:p>
        </w:tc>
        <w:tc>
          <w:tcPr>
            <w:tcW w:w="364" w:type="pct"/>
            <w:noWrap/>
            <w:vAlign w:val="center"/>
          </w:tcPr>
          <w:p w14:paraId="3D78314F">
            <w:pPr>
              <w:widowControl/>
              <w:adjustRightInd w:val="0"/>
              <w:snapToGrid w:val="0"/>
              <w:spacing w:before="0" w:beforeLines="0" w:line="240" w:lineRule="auto"/>
              <w:jc w:val="center"/>
              <w:rPr>
                <w:kern w:val="0"/>
                <w:szCs w:val="21"/>
              </w:rPr>
            </w:pPr>
            <w:r>
              <w:rPr>
                <w:kern w:val="0"/>
                <w:szCs w:val="21"/>
              </w:rPr>
              <w:t>282.04</w:t>
            </w:r>
          </w:p>
        </w:tc>
        <w:tc>
          <w:tcPr>
            <w:tcW w:w="343" w:type="pct"/>
            <w:noWrap/>
          </w:tcPr>
          <w:p w14:paraId="470889AD">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14:paraId="2D9693DB">
            <w:pPr>
              <w:widowControl/>
              <w:adjustRightInd w:val="0"/>
              <w:snapToGrid w:val="0"/>
              <w:spacing w:before="0" w:beforeLines="0" w:line="240" w:lineRule="auto"/>
              <w:jc w:val="center"/>
              <w:rPr>
                <w:kern w:val="0"/>
                <w:szCs w:val="21"/>
              </w:rPr>
            </w:pPr>
            <w:r>
              <w:rPr>
                <w:rFonts w:hint="eastAsia" w:hAnsi="宋体"/>
                <w:kern w:val="0"/>
                <w:szCs w:val="21"/>
              </w:rPr>
              <w:t>1258.5740</w:t>
            </w:r>
          </w:p>
        </w:tc>
        <w:tc>
          <w:tcPr>
            <w:tcW w:w="676" w:type="pct"/>
            <w:noWrap/>
            <w:vAlign w:val="center"/>
          </w:tcPr>
          <w:p w14:paraId="04B30284">
            <w:pPr>
              <w:widowControl/>
              <w:adjustRightInd w:val="0"/>
              <w:snapToGrid w:val="0"/>
              <w:spacing w:before="0" w:beforeLines="0" w:line="240" w:lineRule="auto"/>
              <w:jc w:val="center"/>
              <w:rPr>
                <w:kern w:val="0"/>
                <w:szCs w:val="21"/>
              </w:rPr>
            </w:pPr>
            <w:r>
              <w:rPr>
                <w:rFonts w:hint="eastAsia" w:hAnsi="宋体"/>
                <w:kern w:val="0"/>
                <w:szCs w:val="21"/>
              </w:rPr>
              <w:t>25101221</w:t>
            </w:r>
          </w:p>
        </w:tc>
        <w:tc>
          <w:tcPr>
            <w:tcW w:w="562" w:type="pct"/>
            <w:noWrap/>
            <w:vAlign w:val="center"/>
          </w:tcPr>
          <w:p w14:paraId="62744024">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14:paraId="20CD9C24">
            <w:pPr>
              <w:widowControl/>
              <w:adjustRightInd w:val="0"/>
              <w:snapToGrid w:val="0"/>
              <w:spacing w:before="0" w:beforeLines="0" w:line="240" w:lineRule="auto"/>
              <w:jc w:val="center"/>
              <w:rPr>
                <w:kern w:val="0"/>
                <w:szCs w:val="21"/>
              </w:rPr>
            </w:pPr>
            <w:r>
              <w:rPr>
                <w:rFonts w:hint="eastAsia" w:hAnsi="宋体"/>
                <w:kern w:val="0"/>
                <w:szCs w:val="21"/>
              </w:rPr>
              <w:t>349.60</w:t>
            </w:r>
          </w:p>
        </w:tc>
        <w:tc>
          <w:tcPr>
            <w:tcW w:w="343" w:type="pct"/>
            <w:noWrap/>
            <w:vAlign w:val="center"/>
          </w:tcPr>
          <w:p w14:paraId="0AEBDC9C">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333F49D1">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14:paraId="2B4B7D45">
            <w:pPr>
              <w:widowControl/>
              <w:adjustRightInd w:val="0"/>
              <w:snapToGrid w:val="0"/>
              <w:spacing w:before="0" w:beforeLines="0" w:line="240" w:lineRule="auto"/>
              <w:jc w:val="center"/>
              <w:rPr>
                <w:kern w:val="0"/>
                <w:szCs w:val="21"/>
              </w:rPr>
            </w:pPr>
            <w:r>
              <w:rPr>
                <w:kern w:val="0"/>
                <w:szCs w:val="21"/>
              </w:rPr>
              <w:t>9</w:t>
            </w:r>
          </w:p>
        </w:tc>
        <w:tc>
          <w:tcPr>
            <w:tcW w:w="856" w:type="pct"/>
            <w:noWrap/>
            <w:vAlign w:val="center"/>
          </w:tcPr>
          <w:p w14:paraId="0A119377">
            <w:pPr>
              <w:widowControl/>
              <w:adjustRightInd w:val="0"/>
              <w:snapToGrid w:val="0"/>
              <w:spacing w:before="0" w:beforeLines="0" w:line="240" w:lineRule="auto"/>
              <w:jc w:val="center"/>
              <w:rPr>
                <w:kern w:val="0"/>
                <w:szCs w:val="21"/>
              </w:rPr>
            </w:pPr>
            <w:r>
              <w:rPr>
                <w:kern w:val="0"/>
                <w:szCs w:val="21"/>
              </w:rPr>
              <w:t>四方庙子村</w:t>
            </w:r>
          </w:p>
        </w:tc>
        <w:tc>
          <w:tcPr>
            <w:tcW w:w="610" w:type="pct"/>
            <w:noWrap/>
            <w:vAlign w:val="center"/>
          </w:tcPr>
          <w:p w14:paraId="5F52F613">
            <w:pPr>
              <w:widowControl/>
              <w:adjustRightInd w:val="0"/>
              <w:snapToGrid w:val="0"/>
              <w:spacing w:before="0" w:beforeLines="0" w:line="240" w:lineRule="auto"/>
              <w:jc w:val="center"/>
              <w:rPr>
                <w:kern w:val="0"/>
                <w:szCs w:val="21"/>
              </w:rPr>
            </w:pPr>
            <w:r>
              <w:rPr>
                <w:kern w:val="0"/>
                <w:szCs w:val="21"/>
              </w:rPr>
              <w:t>2408,-2472</w:t>
            </w:r>
          </w:p>
        </w:tc>
        <w:tc>
          <w:tcPr>
            <w:tcW w:w="364" w:type="pct"/>
            <w:noWrap/>
            <w:vAlign w:val="center"/>
          </w:tcPr>
          <w:p w14:paraId="0CB71970">
            <w:pPr>
              <w:widowControl/>
              <w:adjustRightInd w:val="0"/>
              <w:snapToGrid w:val="0"/>
              <w:spacing w:before="0" w:beforeLines="0" w:line="240" w:lineRule="auto"/>
              <w:jc w:val="center"/>
              <w:rPr>
                <w:kern w:val="0"/>
                <w:szCs w:val="21"/>
              </w:rPr>
            </w:pPr>
            <w:r>
              <w:rPr>
                <w:kern w:val="0"/>
                <w:szCs w:val="21"/>
              </w:rPr>
              <w:t>289.69</w:t>
            </w:r>
          </w:p>
        </w:tc>
        <w:tc>
          <w:tcPr>
            <w:tcW w:w="343" w:type="pct"/>
            <w:noWrap/>
          </w:tcPr>
          <w:p w14:paraId="67578BB1">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14:paraId="2496F35F">
            <w:pPr>
              <w:widowControl/>
              <w:adjustRightInd w:val="0"/>
              <w:snapToGrid w:val="0"/>
              <w:spacing w:before="0" w:beforeLines="0" w:line="240" w:lineRule="auto"/>
              <w:jc w:val="center"/>
              <w:rPr>
                <w:kern w:val="0"/>
                <w:szCs w:val="21"/>
              </w:rPr>
            </w:pPr>
            <w:r>
              <w:rPr>
                <w:rFonts w:hint="eastAsia" w:hAnsi="宋体"/>
                <w:kern w:val="0"/>
                <w:szCs w:val="21"/>
              </w:rPr>
              <w:t>686.5350</w:t>
            </w:r>
          </w:p>
        </w:tc>
        <w:tc>
          <w:tcPr>
            <w:tcW w:w="676" w:type="pct"/>
            <w:noWrap/>
            <w:vAlign w:val="center"/>
          </w:tcPr>
          <w:p w14:paraId="4E0356D5">
            <w:pPr>
              <w:widowControl/>
              <w:adjustRightInd w:val="0"/>
              <w:snapToGrid w:val="0"/>
              <w:spacing w:before="0" w:beforeLines="0" w:line="240" w:lineRule="auto"/>
              <w:jc w:val="center"/>
              <w:rPr>
                <w:kern w:val="0"/>
                <w:szCs w:val="21"/>
              </w:rPr>
            </w:pPr>
            <w:r>
              <w:rPr>
                <w:rFonts w:hint="eastAsia" w:hAnsi="宋体"/>
                <w:kern w:val="0"/>
                <w:szCs w:val="21"/>
              </w:rPr>
              <w:t>25101221</w:t>
            </w:r>
          </w:p>
        </w:tc>
        <w:tc>
          <w:tcPr>
            <w:tcW w:w="562" w:type="pct"/>
            <w:noWrap/>
            <w:vAlign w:val="center"/>
          </w:tcPr>
          <w:p w14:paraId="7127029E">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14:paraId="009C4E0E">
            <w:pPr>
              <w:widowControl/>
              <w:adjustRightInd w:val="0"/>
              <w:snapToGrid w:val="0"/>
              <w:spacing w:before="0" w:beforeLines="0" w:line="240" w:lineRule="auto"/>
              <w:jc w:val="center"/>
              <w:rPr>
                <w:kern w:val="0"/>
                <w:szCs w:val="21"/>
              </w:rPr>
            </w:pPr>
            <w:r>
              <w:rPr>
                <w:rFonts w:hint="eastAsia" w:hAnsi="宋体"/>
                <w:kern w:val="0"/>
                <w:szCs w:val="21"/>
              </w:rPr>
              <w:t>190.70</w:t>
            </w:r>
          </w:p>
        </w:tc>
        <w:tc>
          <w:tcPr>
            <w:tcW w:w="343" w:type="pct"/>
            <w:noWrap/>
            <w:vAlign w:val="center"/>
          </w:tcPr>
          <w:p w14:paraId="076B1CDF">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2C81547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14:paraId="1DFF9BC0">
            <w:pPr>
              <w:widowControl/>
              <w:adjustRightInd w:val="0"/>
              <w:snapToGrid w:val="0"/>
              <w:spacing w:before="0" w:beforeLines="0" w:line="240" w:lineRule="auto"/>
              <w:jc w:val="center"/>
              <w:rPr>
                <w:kern w:val="0"/>
                <w:szCs w:val="21"/>
              </w:rPr>
            </w:pPr>
            <w:r>
              <w:rPr>
                <w:kern w:val="0"/>
                <w:szCs w:val="21"/>
              </w:rPr>
              <w:t>10</w:t>
            </w:r>
          </w:p>
        </w:tc>
        <w:tc>
          <w:tcPr>
            <w:tcW w:w="856" w:type="pct"/>
            <w:noWrap/>
            <w:vAlign w:val="center"/>
          </w:tcPr>
          <w:p w14:paraId="7206D526">
            <w:pPr>
              <w:widowControl/>
              <w:adjustRightInd w:val="0"/>
              <w:snapToGrid w:val="0"/>
              <w:spacing w:before="0" w:beforeLines="0" w:line="240" w:lineRule="auto"/>
              <w:jc w:val="center"/>
              <w:rPr>
                <w:kern w:val="0"/>
                <w:szCs w:val="21"/>
              </w:rPr>
            </w:pPr>
            <w:r>
              <w:rPr>
                <w:kern w:val="0"/>
                <w:szCs w:val="21"/>
              </w:rPr>
              <w:t>胡家沟</w:t>
            </w:r>
          </w:p>
        </w:tc>
        <w:tc>
          <w:tcPr>
            <w:tcW w:w="610" w:type="pct"/>
            <w:noWrap/>
            <w:vAlign w:val="center"/>
          </w:tcPr>
          <w:p w14:paraId="0B2C0470">
            <w:pPr>
              <w:widowControl/>
              <w:adjustRightInd w:val="0"/>
              <w:snapToGrid w:val="0"/>
              <w:spacing w:before="0" w:beforeLines="0" w:line="240" w:lineRule="auto"/>
              <w:jc w:val="center"/>
              <w:rPr>
                <w:kern w:val="0"/>
                <w:szCs w:val="21"/>
              </w:rPr>
            </w:pPr>
            <w:r>
              <w:rPr>
                <w:kern w:val="0"/>
                <w:szCs w:val="21"/>
              </w:rPr>
              <w:t>-232,-1675</w:t>
            </w:r>
          </w:p>
        </w:tc>
        <w:tc>
          <w:tcPr>
            <w:tcW w:w="364" w:type="pct"/>
            <w:noWrap/>
            <w:vAlign w:val="center"/>
          </w:tcPr>
          <w:p w14:paraId="32B2EEAA">
            <w:pPr>
              <w:widowControl/>
              <w:adjustRightInd w:val="0"/>
              <w:snapToGrid w:val="0"/>
              <w:spacing w:before="0" w:beforeLines="0" w:line="240" w:lineRule="auto"/>
              <w:jc w:val="center"/>
              <w:rPr>
                <w:kern w:val="0"/>
                <w:szCs w:val="21"/>
              </w:rPr>
            </w:pPr>
            <w:r>
              <w:rPr>
                <w:kern w:val="0"/>
                <w:szCs w:val="21"/>
              </w:rPr>
              <w:t>293.25</w:t>
            </w:r>
          </w:p>
        </w:tc>
        <w:tc>
          <w:tcPr>
            <w:tcW w:w="343" w:type="pct"/>
            <w:noWrap/>
          </w:tcPr>
          <w:p w14:paraId="157ACF85">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14:paraId="2377DA0A">
            <w:pPr>
              <w:widowControl/>
              <w:adjustRightInd w:val="0"/>
              <w:snapToGrid w:val="0"/>
              <w:spacing w:before="0" w:beforeLines="0" w:line="240" w:lineRule="auto"/>
              <w:jc w:val="center"/>
              <w:rPr>
                <w:kern w:val="0"/>
                <w:szCs w:val="21"/>
              </w:rPr>
            </w:pPr>
            <w:r>
              <w:rPr>
                <w:rFonts w:hint="eastAsia" w:hAnsi="宋体"/>
                <w:kern w:val="0"/>
                <w:szCs w:val="21"/>
              </w:rPr>
              <w:t>1669.4940</w:t>
            </w:r>
          </w:p>
        </w:tc>
        <w:tc>
          <w:tcPr>
            <w:tcW w:w="676" w:type="pct"/>
            <w:noWrap/>
            <w:vAlign w:val="center"/>
          </w:tcPr>
          <w:p w14:paraId="47F4785D">
            <w:pPr>
              <w:widowControl/>
              <w:adjustRightInd w:val="0"/>
              <w:snapToGrid w:val="0"/>
              <w:spacing w:before="0" w:beforeLines="0" w:line="240" w:lineRule="auto"/>
              <w:jc w:val="center"/>
              <w:rPr>
                <w:kern w:val="0"/>
                <w:szCs w:val="21"/>
              </w:rPr>
            </w:pPr>
            <w:r>
              <w:rPr>
                <w:rFonts w:hint="eastAsia" w:hAnsi="宋体"/>
                <w:kern w:val="0"/>
                <w:szCs w:val="21"/>
              </w:rPr>
              <w:t>25100807</w:t>
            </w:r>
          </w:p>
        </w:tc>
        <w:tc>
          <w:tcPr>
            <w:tcW w:w="562" w:type="pct"/>
            <w:noWrap/>
            <w:vAlign w:val="center"/>
          </w:tcPr>
          <w:p w14:paraId="08BA739C">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14:paraId="73F1E9C1">
            <w:pPr>
              <w:widowControl/>
              <w:adjustRightInd w:val="0"/>
              <w:snapToGrid w:val="0"/>
              <w:spacing w:before="0" w:beforeLines="0" w:line="240" w:lineRule="auto"/>
              <w:jc w:val="center"/>
              <w:rPr>
                <w:kern w:val="0"/>
                <w:szCs w:val="21"/>
              </w:rPr>
            </w:pPr>
            <w:r>
              <w:rPr>
                <w:rFonts w:hint="eastAsia" w:hAnsi="宋体"/>
                <w:kern w:val="0"/>
                <w:szCs w:val="21"/>
              </w:rPr>
              <w:t>463.75</w:t>
            </w:r>
          </w:p>
        </w:tc>
        <w:tc>
          <w:tcPr>
            <w:tcW w:w="343" w:type="pct"/>
            <w:noWrap/>
            <w:vAlign w:val="center"/>
          </w:tcPr>
          <w:p w14:paraId="22A19943">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60DDB86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14:paraId="78922AC0">
            <w:pPr>
              <w:widowControl/>
              <w:adjustRightInd w:val="0"/>
              <w:snapToGrid w:val="0"/>
              <w:spacing w:before="0" w:beforeLines="0" w:line="240" w:lineRule="auto"/>
              <w:jc w:val="center"/>
              <w:rPr>
                <w:kern w:val="0"/>
                <w:szCs w:val="21"/>
              </w:rPr>
            </w:pPr>
            <w:r>
              <w:rPr>
                <w:kern w:val="0"/>
                <w:szCs w:val="21"/>
              </w:rPr>
              <w:t>11</w:t>
            </w:r>
          </w:p>
        </w:tc>
        <w:tc>
          <w:tcPr>
            <w:tcW w:w="856" w:type="pct"/>
            <w:noWrap/>
            <w:vAlign w:val="center"/>
          </w:tcPr>
          <w:p w14:paraId="1A7EF992">
            <w:pPr>
              <w:widowControl/>
              <w:adjustRightInd w:val="0"/>
              <w:snapToGrid w:val="0"/>
              <w:spacing w:before="0" w:beforeLines="0" w:line="240" w:lineRule="auto"/>
              <w:jc w:val="center"/>
              <w:rPr>
                <w:kern w:val="0"/>
                <w:szCs w:val="21"/>
              </w:rPr>
            </w:pPr>
            <w:r>
              <w:rPr>
                <w:kern w:val="0"/>
                <w:szCs w:val="21"/>
              </w:rPr>
              <w:t>区域最大落地浓度点</w:t>
            </w:r>
          </w:p>
        </w:tc>
        <w:tc>
          <w:tcPr>
            <w:tcW w:w="610" w:type="pct"/>
            <w:noWrap/>
            <w:vAlign w:val="center"/>
          </w:tcPr>
          <w:p w14:paraId="14390639">
            <w:pPr>
              <w:widowControl/>
              <w:adjustRightInd w:val="0"/>
              <w:snapToGrid w:val="0"/>
              <w:spacing w:before="0" w:beforeLines="0" w:line="240" w:lineRule="auto"/>
              <w:jc w:val="center"/>
              <w:rPr>
                <w:kern w:val="0"/>
                <w:szCs w:val="21"/>
              </w:rPr>
            </w:pPr>
            <w:r>
              <w:rPr>
                <w:kern w:val="0"/>
                <w:szCs w:val="21"/>
              </w:rPr>
              <w:t>-100,400</w:t>
            </w:r>
          </w:p>
        </w:tc>
        <w:tc>
          <w:tcPr>
            <w:tcW w:w="364" w:type="pct"/>
            <w:noWrap/>
            <w:vAlign w:val="center"/>
          </w:tcPr>
          <w:p w14:paraId="6AB06450">
            <w:pPr>
              <w:widowControl/>
              <w:adjustRightInd w:val="0"/>
              <w:snapToGrid w:val="0"/>
              <w:spacing w:before="0" w:beforeLines="0" w:line="240" w:lineRule="auto"/>
              <w:jc w:val="center"/>
              <w:rPr>
                <w:kern w:val="0"/>
                <w:szCs w:val="21"/>
              </w:rPr>
            </w:pPr>
            <w:r>
              <w:rPr>
                <w:kern w:val="0"/>
                <w:szCs w:val="21"/>
              </w:rPr>
              <w:t>311.20</w:t>
            </w:r>
          </w:p>
        </w:tc>
        <w:tc>
          <w:tcPr>
            <w:tcW w:w="343" w:type="pct"/>
            <w:noWrap/>
          </w:tcPr>
          <w:p w14:paraId="0C054654">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14:paraId="4167C242">
            <w:pPr>
              <w:widowControl/>
              <w:adjustRightInd w:val="0"/>
              <w:snapToGrid w:val="0"/>
              <w:spacing w:before="0" w:beforeLines="0" w:line="240" w:lineRule="auto"/>
              <w:jc w:val="center"/>
              <w:rPr>
                <w:kern w:val="0"/>
                <w:szCs w:val="21"/>
              </w:rPr>
            </w:pPr>
            <w:r>
              <w:rPr>
                <w:rFonts w:hint="eastAsia" w:hAnsi="宋体"/>
                <w:kern w:val="0"/>
                <w:szCs w:val="21"/>
              </w:rPr>
              <w:t>10719.4900</w:t>
            </w:r>
          </w:p>
        </w:tc>
        <w:tc>
          <w:tcPr>
            <w:tcW w:w="676" w:type="pct"/>
            <w:noWrap/>
            <w:vAlign w:val="center"/>
          </w:tcPr>
          <w:p w14:paraId="44942B3A">
            <w:pPr>
              <w:widowControl/>
              <w:adjustRightInd w:val="0"/>
              <w:snapToGrid w:val="0"/>
              <w:spacing w:before="0" w:beforeLines="0" w:line="240" w:lineRule="auto"/>
              <w:jc w:val="center"/>
              <w:rPr>
                <w:kern w:val="0"/>
                <w:szCs w:val="21"/>
              </w:rPr>
            </w:pPr>
            <w:r>
              <w:rPr>
                <w:rFonts w:hint="eastAsia" w:hAnsi="宋体"/>
                <w:kern w:val="0"/>
                <w:szCs w:val="21"/>
              </w:rPr>
              <w:t>25082324</w:t>
            </w:r>
          </w:p>
        </w:tc>
        <w:tc>
          <w:tcPr>
            <w:tcW w:w="562" w:type="pct"/>
            <w:noWrap/>
            <w:vAlign w:val="center"/>
          </w:tcPr>
          <w:p w14:paraId="034B3454">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14:paraId="77232F56">
            <w:pPr>
              <w:widowControl/>
              <w:adjustRightInd w:val="0"/>
              <w:snapToGrid w:val="0"/>
              <w:spacing w:before="0" w:beforeLines="0" w:line="240" w:lineRule="auto"/>
              <w:jc w:val="center"/>
              <w:rPr>
                <w:kern w:val="0"/>
                <w:szCs w:val="21"/>
              </w:rPr>
            </w:pPr>
            <w:r>
              <w:rPr>
                <w:rFonts w:hint="eastAsia" w:hAnsi="宋体"/>
                <w:kern w:val="0"/>
                <w:szCs w:val="21"/>
              </w:rPr>
              <w:t>2977.64</w:t>
            </w:r>
          </w:p>
        </w:tc>
        <w:tc>
          <w:tcPr>
            <w:tcW w:w="343" w:type="pct"/>
            <w:noWrap/>
            <w:vAlign w:val="center"/>
          </w:tcPr>
          <w:p w14:paraId="1BDBF89F">
            <w:pPr>
              <w:widowControl/>
              <w:adjustRightInd w:val="0"/>
              <w:snapToGrid w:val="0"/>
              <w:spacing w:before="0" w:beforeLines="0" w:line="240" w:lineRule="auto"/>
              <w:jc w:val="center"/>
              <w:rPr>
                <w:kern w:val="0"/>
                <w:szCs w:val="21"/>
              </w:rPr>
            </w:pPr>
            <w:r>
              <w:rPr>
                <w:rFonts w:hint="eastAsia" w:hAnsi="宋体"/>
                <w:kern w:val="0"/>
                <w:szCs w:val="21"/>
              </w:rPr>
              <w:t>超标</w:t>
            </w:r>
          </w:p>
        </w:tc>
      </w:tr>
    </w:tbl>
    <w:p w14:paraId="2AF009C1">
      <w:pPr>
        <w:tabs>
          <w:tab w:val="left" w:pos="2880"/>
        </w:tabs>
        <w:adjustRightInd w:val="0"/>
        <w:snapToGrid w:val="0"/>
        <w:spacing w:before="0" w:beforeLines="0" w:line="240" w:lineRule="auto"/>
        <w:ind w:firstLine="3162" w:firstLineChars="1500"/>
        <w:rPr>
          <w:b/>
          <w:bCs/>
          <w:szCs w:val="21"/>
        </w:rPr>
      </w:pPr>
    </w:p>
    <w:p w14:paraId="34F88D61">
      <w:pPr>
        <w:tabs>
          <w:tab w:val="left" w:pos="2880"/>
        </w:tabs>
        <w:adjustRightInd w:val="0"/>
        <w:snapToGrid w:val="0"/>
        <w:spacing w:before="0" w:beforeLines="0" w:line="240" w:lineRule="auto"/>
        <w:ind w:firstLine="3162" w:firstLineChars="1500"/>
        <w:rPr>
          <w:b/>
          <w:bCs/>
          <w:szCs w:val="21"/>
        </w:rPr>
      </w:pPr>
      <w:r>
        <w:rPr>
          <w:b/>
          <w:bCs/>
          <w:szCs w:val="21"/>
        </w:rPr>
        <w:t>表</w:t>
      </w:r>
      <w:r>
        <w:rPr>
          <w:rFonts w:hint="eastAsia"/>
          <w:b/>
          <w:bCs/>
          <w:szCs w:val="21"/>
        </w:rPr>
        <w:t xml:space="preserve">5.2-17     </w:t>
      </w:r>
      <w:r>
        <w:rPr>
          <w:b/>
          <w:bCs/>
          <w:szCs w:val="21"/>
        </w:rPr>
        <w:t>本项目DA004非正常排放PM</w:t>
      </w:r>
      <w:r>
        <w:rPr>
          <w:b/>
          <w:bCs/>
          <w:szCs w:val="21"/>
          <w:vertAlign w:val="subscript"/>
        </w:rPr>
        <w:t>10</w:t>
      </w:r>
      <w:r>
        <w:rPr>
          <w:b/>
          <w:bCs/>
          <w:szCs w:val="21"/>
        </w:rPr>
        <w:t>贡献质量浓度预测结果表</w:t>
      </w:r>
    </w:p>
    <w:tbl>
      <w:tblPr>
        <w:tblStyle w:val="2151"/>
        <w:tblW w:w="5000" w:type="pct"/>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557"/>
        <w:gridCol w:w="2267"/>
        <w:gridCol w:w="1616"/>
        <w:gridCol w:w="964"/>
        <w:gridCol w:w="908"/>
        <w:gridCol w:w="1705"/>
        <w:gridCol w:w="1790"/>
        <w:gridCol w:w="1488"/>
        <w:gridCol w:w="1035"/>
        <w:gridCol w:w="908"/>
      </w:tblGrid>
      <w:tr w14:paraId="708C6493">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14:paraId="3E549808">
            <w:pPr>
              <w:widowControl/>
              <w:adjustRightInd w:val="0"/>
              <w:snapToGrid w:val="0"/>
              <w:spacing w:before="0" w:beforeLines="0" w:line="240" w:lineRule="auto"/>
              <w:jc w:val="center"/>
              <w:rPr>
                <w:kern w:val="0"/>
                <w:szCs w:val="21"/>
              </w:rPr>
            </w:pPr>
            <w:r>
              <w:rPr>
                <w:kern w:val="0"/>
                <w:szCs w:val="21"/>
              </w:rPr>
              <w:t>序号</w:t>
            </w:r>
          </w:p>
        </w:tc>
        <w:tc>
          <w:tcPr>
            <w:tcW w:w="856" w:type="pct"/>
            <w:noWrap/>
            <w:vAlign w:val="center"/>
          </w:tcPr>
          <w:p w14:paraId="4E5943EC">
            <w:pPr>
              <w:widowControl/>
              <w:adjustRightInd w:val="0"/>
              <w:snapToGrid w:val="0"/>
              <w:spacing w:before="0" w:beforeLines="0" w:line="240" w:lineRule="auto"/>
              <w:jc w:val="center"/>
              <w:rPr>
                <w:kern w:val="0"/>
                <w:szCs w:val="21"/>
              </w:rPr>
            </w:pPr>
            <w:r>
              <w:rPr>
                <w:kern w:val="0"/>
                <w:szCs w:val="21"/>
              </w:rPr>
              <w:t>点名称</w:t>
            </w:r>
          </w:p>
        </w:tc>
        <w:tc>
          <w:tcPr>
            <w:tcW w:w="610" w:type="pct"/>
            <w:noWrap/>
            <w:vAlign w:val="center"/>
          </w:tcPr>
          <w:p w14:paraId="518F867B">
            <w:pPr>
              <w:widowControl/>
              <w:adjustRightInd w:val="0"/>
              <w:snapToGrid w:val="0"/>
              <w:spacing w:before="0" w:beforeLines="0" w:line="240" w:lineRule="auto"/>
              <w:jc w:val="center"/>
              <w:rPr>
                <w:kern w:val="0"/>
                <w:szCs w:val="21"/>
              </w:rPr>
            </w:pPr>
            <w:r>
              <w:rPr>
                <w:kern w:val="0"/>
                <w:szCs w:val="21"/>
              </w:rPr>
              <w:t>点坐标(x或r,y或a)</w:t>
            </w:r>
          </w:p>
        </w:tc>
        <w:tc>
          <w:tcPr>
            <w:tcW w:w="364" w:type="pct"/>
            <w:noWrap/>
            <w:vAlign w:val="center"/>
          </w:tcPr>
          <w:p w14:paraId="0A26FD0C">
            <w:pPr>
              <w:widowControl/>
              <w:adjustRightInd w:val="0"/>
              <w:snapToGrid w:val="0"/>
              <w:spacing w:before="0" w:beforeLines="0" w:line="240" w:lineRule="auto"/>
              <w:jc w:val="center"/>
              <w:rPr>
                <w:kern w:val="0"/>
                <w:szCs w:val="21"/>
              </w:rPr>
            </w:pPr>
            <w:r>
              <w:rPr>
                <w:kern w:val="0"/>
                <w:szCs w:val="21"/>
              </w:rPr>
              <w:t>地面高程(m)</w:t>
            </w:r>
          </w:p>
        </w:tc>
        <w:tc>
          <w:tcPr>
            <w:tcW w:w="343" w:type="pct"/>
            <w:noWrap/>
            <w:vAlign w:val="center"/>
          </w:tcPr>
          <w:p w14:paraId="14C6591A">
            <w:pPr>
              <w:widowControl/>
              <w:adjustRightInd w:val="0"/>
              <w:snapToGrid w:val="0"/>
              <w:spacing w:before="0" w:beforeLines="0" w:line="240" w:lineRule="auto"/>
              <w:jc w:val="center"/>
              <w:rPr>
                <w:kern w:val="0"/>
                <w:szCs w:val="21"/>
              </w:rPr>
            </w:pPr>
            <w:r>
              <w:rPr>
                <w:kern w:val="0"/>
                <w:szCs w:val="21"/>
              </w:rPr>
              <w:t>浓度类型</w:t>
            </w:r>
          </w:p>
        </w:tc>
        <w:tc>
          <w:tcPr>
            <w:tcW w:w="644" w:type="pct"/>
            <w:noWrap/>
            <w:vAlign w:val="center"/>
          </w:tcPr>
          <w:p w14:paraId="18550693">
            <w:pPr>
              <w:widowControl/>
              <w:adjustRightInd w:val="0"/>
              <w:snapToGrid w:val="0"/>
              <w:spacing w:before="0" w:beforeLines="0" w:line="240" w:lineRule="auto"/>
              <w:jc w:val="center"/>
              <w:rPr>
                <w:kern w:val="0"/>
                <w:szCs w:val="21"/>
              </w:rPr>
            </w:pPr>
            <w:r>
              <w:rPr>
                <w:kern w:val="0"/>
                <w:szCs w:val="21"/>
              </w:rPr>
              <w:t>浓度增量(μg/m^3)</w:t>
            </w:r>
          </w:p>
        </w:tc>
        <w:tc>
          <w:tcPr>
            <w:tcW w:w="676" w:type="pct"/>
            <w:noWrap/>
            <w:vAlign w:val="center"/>
          </w:tcPr>
          <w:p w14:paraId="10E9FDDC">
            <w:pPr>
              <w:widowControl/>
              <w:adjustRightInd w:val="0"/>
              <w:snapToGrid w:val="0"/>
              <w:spacing w:before="0" w:beforeLines="0" w:line="240" w:lineRule="auto"/>
              <w:jc w:val="center"/>
              <w:rPr>
                <w:kern w:val="0"/>
                <w:szCs w:val="21"/>
              </w:rPr>
            </w:pPr>
            <w:r>
              <w:rPr>
                <w:kern w:val="0"/>
                <w:szCs w:val="21"/>
              </w:rPr>
              <w:t>出现时间(YYMMDDHH)</w:t>
            </w:r>
          </w:p>
        </w:tc>
        <w:tc>
          <w:tcPr>
            <w:tcW w:w="562" w:type="pct"/>
            <w:noWrap/>
            <w:vAlign w:val="center"/>
          </w:tcPr>
          <w:p w14:paraId="7BBCAD32">
            <w:pPr>
              <w:widowControl/>
              <w:adjustRightInd w:val="0"/>
              <w:snapToGrid w:val="0"/>
              <w:spacing w:before="0" w:beforeLines="0" w:line="240" w:lineRule="auto"/>
              <w:jc w:val="center"/>
              <w:rPr>
                <w:kern w:val="0"/>
                <w:szCs w:val="21"/>
              </w:rPr>
            </w:pPr>
            <w:r>
              <w:rPr>
                <w:kern w:val="0"/>
                <w:szCs w:val="21"/>
              </w:rPr>
              <w:t>评价标准(μg/m^3)</w:t>
            </w:r>
          </w:p>
        </w:tc>
        <w:tc>
          <w:tcPr>
            <w:tcW w:w="391" w:type="pct"/>
            <w:noWrap/>
            <w:vAlign w:val="center"/>
          </w:tcPr>
          <w:p w14:paraId="104D53EC">
            <w:pPr>
              <w:widowControl/>
              <w:adjustRightInd w:val="0"/>
              <w:snapToGrid w:val="0"/>
              <w:spacing w:before="0" w:beforeLines="0" w:line="240" w:lineRule="auto"/>
              <w:jc w:val="center"/>
              <w:rPr>
                <w:kern w:val="0"/>
                <w:szCs w:val="21"/>
              </w:rPr>
            </w:pPr>
            <w:r>
              <w:rPr>
                <w:kern w:val="0"/>
                <w:szCs w:val="21"/>
              </w:rPr>
              <w:t>占标率%</w:t>
            </w:r>
          </w:p>
        </w:tc>
        <w:tc>
          <w:tcPr>
            <w:tcW w:w="343" w:type="pct"/>
            <w:noWrap/>
            <w:vAlign w:val="center"/>
          </w:tcPr>
          <w:p w14:paraId="019948D9">
            <w:pPr>
              <w:widowControl/>
              <w:adjustRightInd w:val="0"/>
              <w:snapToGrid w:val="0"/>
              <w:spacing w:before="0" w:beforeLines="0" w:line="240" w:lineRule="auto"/>
              <w:jc w:val="center"/>
              <w:rPr>
                <w:kern w:val="0"/>
                <w:szCs w:val="21"/>
              </w:rPr>
            </w:pPr>
            <w:r>
              <w:rPr>
                <w:kern w:val="0"/>
                <w:szCs w:val="21"/>
              </w:rPr>
              <w:t>是否超标</w:t>
            </w:r>
          </w:p>
        </w:tc>
      </w:tr>
      <w:tr w14:paraId="3D3DD48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14:paraId="54FB6100">
            <w:pPr>
              <w:widowControl/>
              <w:adjustRightInd w:val="0"/>
              <w:snapToGrid w:val="0"/>
              <w:spacing w:before="0" w:beforeLines="0" w:line="240" w:lineRule="auto"/>
              <w:jc w:val="center"/>
              <w:rPr>
                <w:kern w:val="0"/>
                <w:szCs w:val="21"/>
              </w:rPr>
            </w:pPr>
            <w:r>
              <w:rPr>
                <w:kern w:val="0"/>
                <w:szCs w:val="21"/>
              </w:rPr>
              <w:t>1</w:t>
            </w:r>
          </w:p>
        </w:tc>
        <w:tc>
          <w:tcPr>
            <w:tcW w:w="856" w:type="pct"/>
            <w:noWrap/>
            <w:vAlign w:val="center"/>
          </w:tcPr>
          <w:p w14:paraId="4AC51D48">
            <w:pPr>
              <w:widowControl/>
              <w:adjustRightInd w:val="0"/>
              <w:snapToGrid w:val="0"/>
              <w:spacing w:before="0" w:beforeLines="0" w:line="240" w:lineRule="auto"/>
              <w:jc w:val="center"/>
              <w:rPr>
                <w:kern w:val="0"/>
                <w:szCs w:val="21"/>
              </w:rPr>
            </w:pPr>
            <w:r>
              <w:rPr>
                <w:kern w:val="0"/>
                <w:szCs w:val="21"/>
              </w:rPr>
              <w:t>孟家窝堡</w:t>
            </w:r>
          </w:p>
        </w:tc>
        <w:tc>
          <w:tcPr>
            <w:tcW w:w="610" w:type="pct"/>
            <w:noWrap/>
            <w:vAlign w:val="center"/>
          </w:tcPr>
          <w:p w14:paraId="07013CA9">
            <w:pPr>
              <w:widowControl/>
              <w:adjustRightInd w:val="0"/>
              <w:snapToGrid w:val="0"/>
              <w:spacing w:before="0" w:beforeLines="0" w:line="240" w:lineRule="auto"/>
              <w:jc w:val="center"/>
              <w:rPr>
                <w:kern w:val="0"/>
                <w:szCs w:val="21"/>
              </w:rPr>
            </w:pPr>
            <w:r>
              <w:rPr>
                <w:kern w:val="0"/>
                <w:szCs w:val="21"/>
              </w:rPr>
              <w:t>-1345,-349</w:t>
            </w:r>
          </w:p>
        </w:tc>
        <w:tc>
          <w:tcPr>
            <w:tcW w:w="364" w:type="pct"/>
            <w:noWrap/>
            <w:vAlign w:val="center"/>
          </w:tcPr>
          <w:p w14:paraId="5580C947">
            <w:pPr>
              <w:widowControl/>
              <w:adjustRightInd w:val="0"/>
              <w:snapToGrid w:val="0"/>
              <w:spacing w:before="0" w:beforeLines="0" w:line="240" w:lineRule="auto"/>
              <w:jc w:val="center"/>
              <w:rPr>
                <w:kern w:val="0"/>
                <w:szCs w:val="21"/>
              </w:rPr>
            </w:pPr>
            <w:r>
              <w:rPr>
                <w:kern w:val="0"/>
                <w:szCs w:val="21"/>
              </w:rPr>
              <w:t>272.58</w:t>
            </w:r>
          </w:p>
        </w:tc>
        <w:tc>
          <w:tcPr>
            <w:tcW w:w="343" w:type="pct"/>
            <w:noWrap/>
            <w:vAlign w:val="center"/>
          </w:tcPr>
          <w:p w14:paraId="48B6973D">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14:paraId="1FD4CEF6">
            <w:pPr>
              <w:widowControl/>
              <w:adjustRightInd w:val="0"/>
              <w:snapToGrid w:val="0"/>
              <w:spacing w:before="0" w:beforeLines="0" w:line="240" w:lineRule="auto"/>
              <w:jc w:val="center"/>
              <w:rPr>
                <w:kern w:val="0"/>
                <w:szCs w:val="21"/>
              </w:rPr>
            </w:pPr>
            <w:r>
              <w:rPr>
                <w:rFonts w:hint="eastAsia" w:hAnsi="宋体"/>
                <w:kern w:val="0"/>
                <w:szCs w:val="21"/>
              </w:rPr>
              <w:t>436.3316</w:t>
            </w:r>
          </w:p>
        </w:tc>
        <w:tc>
          <w:tcPr>
            <w:tcW w:w="676" w:type="pct"/>
            <w:noWrap/>
            <w:vAlign w:val="center"/>
          </w:tcPr>
          <w:p w14:paraId="42147800">
            <w:pPr>
              <w:widowControl/>
              <w:adjustRightInd w:val="0"/>
              <w:snapToGrid w:val="0"/>
              <w:spacing w:before="0" w:beforeLines="0" w:line="240" w:lineRule="auto"/>
              <w:jc w:val="center"/>
              <w:rPr>
                <w:kern w:val="0"/>
                <w:szCs w:val="21"/>
              </w:rPr>
            </w:pPr>
            <w:r>
              <w:rPr>
                <w:rFonts w:hint="eastAsia" w:hAnsi="宋体"/>
                <w:kern w:val="0"/>
                <w:szCs w:val="21"/>
              </w:rPr>
              <w:t>25100719</w:t>
            </w:r>
          </w:p>
        </w:tc>
        <w:tc>
          <w:tcPr>
            <w:tcW w:w="562" w:type="pct"/>
            <w:noWrap/>
            <w:vAlign w:val="center"/>
          </w:tcPr>
          <w:p w14:paraId="264C8087">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14:paraId="5FEB7D6E">
            <w:pPr>
              <w:widowControl/>
              <w:adjustRightInd w:val="0"/>
              <w:snapToGrid w:val="0"/>
              <w:spacing w:before="0" w:beforeLines="0" w:line="240" w:lineRule="auto"/>
              <w:jc w:val="center"/>
              <w:rPr>
                <w:kern w:val="0"/>
                <w:szCs w:val="21"/>
              </w:rPr>
            </w:pPr>
            <w:r>
              <w:rPr>
                <w:rFonts w:hint="eastAsia" w:hAnsi="宋体"/>
                <w:kern w:val="0"/>
                <w:szCs w:val="21"/>
              </w:rPr>
              <w:t>539.59</w:t>
            </w:r>
          </w:p>
        </w:tc>
        <w:tc>
          <w:tcPr>
            <w:tcW w:w="343" w:type="pct"/>
            <w:noWrap/>
            <w:vAlign w:val="center"/>
          </w:tcPr>
          <w:p w14:paraId="6837BC40">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418318F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14:paraId="080FA48D">
            <w:pPr>
              <w:widowControl/>
              <w:adjustRightInd w:val="0"/>
              <w:snapToGrid w:val="0"/>
              <w:spacing w:before="0" w:beforeLines="0" w:line="240" w:lineRule="auto"/>
              <w:jc w:val="center"/>
              <w:rPr>
                <w:kern w:val="0"/>
                <w:szCs w:val="21"/>
              </w:rPr>
            </w:pPr>
            <w:r>
              <w:rPr>
                <w:kern w:val="0"/>
                <w:szCs w:val="21"/>
              </w:rPr>
              <w:t>2</w:t>
            </w:r>
          </w:p>
        </w:tc>
        <w:tc>
          <w:tcPr>
            <w:tcW w:w="856" w:type="pct"/>
            <w:noWrap/>
            <w:vAlign w:val="center"/>
          </w:tcPr>
          <w:p w14:paraId="5B2876B5">
            <w:pPr>
              <w:widowControl/>
              <w:adjustRightInd w:val="0"/>
              <w:snapToGrid w:val="0"/>
              <w:spacing w:before="0" w:beforeLines="0" w:line="240" w:lineRule="auto"/>
              <w:jc w:val="center"/>
              <w:rPr>
                <w:kern w:val="0"/>
                <w:szCs w:val="21"/>
              </w:rPr>
            </w:pPr>
            <w:r>
              <w:rPr>
                <w:kern w:val="0"/>
                <w:szCs w:val="21"/>
              </w:rPr>
              <w:t>阿哈来村</w:t>
            </w:r>
          </w:p>
        </w:tc>
        <w:tc>
          <w:tcPr>
            <w:tcW w:w="610" w:type="pct"/>
            <w:noWrap/>
            <w:vAlign w:val="center"/>
          </w:tcPr>
          <w:p w14:paraId="3A5EF484">
            <w:pPr>
              <w:widowControl/>
              <w:adjustRightInd w:val="0"/>
              <w:snapToGrid w:val="0"/>
              <w:spacing w:before="0" w:beforeLines="0" w:line="240" w:lineRule="auto"/>
              <w:jc w:val="center"/>
              <w:rPr>
                <w:kern w:val="0"/>
                <w:szCs w:val="21"/>
              </w:rPr>
            </w:pPr>
            <w:r>
              <w:rPr>
                <w:kern w:val="0"/>
                <w:szCs w:val="21"/>
              </w:rPr>
              <w:t>-2099,589</w:t>
            </w:r>
          </w:p>
        </w:tc>
        <w:tc>
          <w:tcPr>
            <w:tcW w:w="364" w:type="pct"/>
            <w:noWrap/>
            <w:vAlign w:val="center"/>
          </w:tcPr>
          <w:p w14:paraId="67D741F8">
            <w:pPr>
              <w:widowControl/>
              <w:adjustRightInd w:val="0"/>
              <w:snapToGrid w:val="0"/>
              <w:spacing w:before="0" w:beforeLines="0" w:line="240" w:lineRule="auto"/>
              <w:jc w:val="center"/>
              <w:rPr>
                <w:kern w:val="0"/>
                <w:szCs w:val="21"/>
              </w:rPr>
            </w:pPr>
            <w:r>
              <w:rPr>
                <w:kern w:val="0"/>
                <w:szCs w:val="21"/>
              </w:rPr>
              <w:t>266.66</w:t>
            </w:r>
          </w:p>
        </w:tc>
        <w:tc>
          <w:tcPr>
            <w:tcW w:w="343" w:type="pct"/>
            <w:noWrap/>
          </w:tcPr>
          <w:p w14:paraId="480AB503">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14:paraId="5DCF1FD6">
            <w:pPr>
              <w:widowControl/>
              <w:adjustRightInd w:val="0"/>
              <w:snapToGrid w:val="0"/>
              <w:spacing w:before="0" w:beforeLines="0" w:line="240" w:lineRule="auto"/>
              <w:jc w:val="center"/>
              <w:rPr>
                <w:kern w:val="0"/>
                <w:szCs w:val="21"/>
              </w:rPr>
            </w:pPr>
            <w:r>
              <w:rPr>
                <w:rFonts w:hint="eastAsia" w:hAnsi="宋体"/>
                <w:kern w:val="0"/>
                <w:szCs w:val="21"/>
              </w:rPr>
              <w:t>520.2101</w:t>
            </w:r>
          </w:p>
        </w:tc>
        <w:tc>
          <w:tcPr>
            <w:tcW w:w="676" w:type="pct"/>
            <w:noWrap/>
            <w:vAlign w:val="center"/>
          </w:tcPr>
          <w:p w14:paraId="6E053639">
            <w:pPr>
              <w:widowControl/>
              <w:adjustRightInd w:val="0"/>
              <w:snapToGrid w:val="0"/>
              <w:spacing w:before="0" w:beforeLines="0" w:line="240" w:lineRule="auto"/>
              <w:jc w:val="center"/>
              <w:rPr>
                <w:kern w:val="0"/>
                <w:szCs w:val="21"/>
              </w:rPr>
            </w:pPr>
            <w:r>
              <w:rPr>
                <w:rFonts w:hint="eastAsia" w:hAnsi="宋体"/>
                <w:kern w:val="0"/>
                <w:szCs w:val="21"/>
              </w:rPr>
              <w:t>25092121</w:t>
            </w:r>
          </w:p>
        </w:tc>
        <w:tc>
          <w:tcPr>
            <w:tcW w:w="562" w:type="pct"/>
            <w:noWrap/>
            <w:vAlign w:val="center"/>
          </w:tcPr>
          <w:p w14:paraId="58FE0E9C">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14:paraId="258351B6">
            <w:pPr>
              <w:widowControl/>
              <w:adjustRightInd w:val="0"/>
              <w:snapToGrid w:val="0"/>
              <w:spacing w:before="0" w:beforeLines="0" w:line="240" w:lineRule="auto"/>
              <w:jc w:val="center"/>
              <w:rPr>
                <w:kern w:val="0"/>
                <w:szCs w:val="21"/>
              </w:rPr>
            </w:pPr>
            <w:r>
              <w:rPr>
                <w:rFonts w:hint="eastAsia" w:hAnsi="宋体"/>
                <w:kern w:val="0"/>
                <w:szCs w:val="21"/>
              </w:rPr>
              <w:t>367.03</w:t>
            </w:r>
          </w:p>
        </w:tc>
        <w:tc>
          <w:tcPr>
            <w:tcW w:w="343" w:type="pct"/>
            <w:noWrap/>
            <w:vAlign w:val="center"/>
          </w:tcPr>
          <w:p w14:paraId="39E28131">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161032EA">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14:paraId="5D622967">
            <w:pPr>
              <w:widowControl/>
              <w:adjustRightInd w:val="0"/>
              <w:snapToGrid w:val="0"/>
              <w:spacing w:before="0" w:beforeLines="0" w:line="240" w:lineRule="auto"/>
              <w:jc w:val="center"/>
              <w:rPr>
                <w:kern w:val="0"/>
                <w:szCs w:val="21"/>
              </w:rPr>
            </w:pPr>
            <w:r>
              <w:rPr>
                <w:kern w:val="0"/>
                <w:szCs w:val="21"/>
              </w:rPr>
              <w:t>3</w:t>
            </w:r>
          </w:p>
        </w:tc>
        <w:tc>
          <w:tcPr>
            <w:tcW w:w="856" w:type="pct"/>
            <w:noWrap/>
            <w:vAlign w:val="center"/>
          </w:tcPr>
          <w:p w14:paraId="19DB348E">
            <w:pPr>
              <w:widowControl/>
              <w:adjustRightInd w:val="0"/>
              <w:snapToGrid w:val="0"/>
              <w:spacing w:before="0" w:beforeLines="0" w:line="240" w:lineRule="auto"/>
              <w:jc w:val="center"/>
              <w:rPr>
                <w:kern w:val="0"/>
                <w:szCs w:val="21"/>
              </w:rPr>
            </w:pPr>
            <w:r>
              <w:rPr>
                <w:kern w:val="0"/>
                <w:szCs w:val="21"/>
              </w:rPr>
              <w:t>庙沟</w:t>
            </w:r>
          </w:p>
        </w:tc>
        <w:tc>
          <w:tcPr>
            <w:tcW w:w="610" w:type="pct"/>
            <w:noWrap/>
            <w:vAlign w:val="center"/>
          </w:tcPr>
          <w:p w14:paraId="097BE0CA">
            <w:pPr>
              <w:widowControl/>
              <w:adjustRightInd w:val="0"/>
              <w:snapToGrid w:val="0"/>
              <w:spacing w:before="0" w:beforeLines="0" w:line="240" w:lineRule="auto"/>
              <w:jc w:val="center"/>
              <w:rPr>
                <w:kern w:val="0"/>
                <w:szCs w:val="21"/>
              </w:rPr>
            </w:pPr>
            <w:r>
              <w:rPr>
                <w:kern w:val="0"/>
                <w:szCs w:val="21"/>
              </w:rPr>
              <w:t>-1444，2465</w:t>
            </w:r>
          </w:p>
        </w:tc>
        <w:tc>
          <w:tcPr>
            <w:tcW w:w="364" w:type="pct"/>
            <w:noWrap/>
            <w:vAlign w:val="center"/>
          </w:tcPr>
          <w:p w14:paraId="706B5782">
            <w:pPr>
              <w:widowControl/>
              <w:adjustRightInd w:val="0"/>
              <w:snapToGrid w:val="0"/>
              <w:spacing w:before="0" w:beforeLines="0" w:line="240" w:lineRule="auto"/>
              <w:jc w:val="center"/>
              <w:rPr>
                <w:kern w:val="0"/>
                <w:szCs w:val="21"/>
              </w:rPr>
            </w:pPr>
            <w:r>
              <w:rPr>
                <w:kern w:val="0"/>
                <w:szCs w:val="21"/>
              </w:rPr>
              <w:t>269.82</w:t>
            </w:r>
          </w:p>
        </w:tc>
        <w:tc>
          <w:tcPr>
            <w:tcW w:w="343" w:type="pct"/>
            <w:noWrap/>
          </w:tcPr>
          <w:p w14:paraId="610903EB">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14:paraId="31E84B94">
            <w:pPr>
              <w:widowControl/>
              <w:adjustRightInd w:val="0"/>
              <w:snapToGrid w:val="0"/>
              <w:spacing w:before="0" w:beforeLines="0" w:line="240" w:lineRule="auto"/>
              <w:jc w:val="center"/>
              <w:rPr>
                <w:kern w:val="0"/>
                <w:szCs w:val="21"/>
              </w:rPr>
            </w:pPr>
            <w:r>
              <w:rPr>
                <w:rFonts w:hint="eastAsia" w:hAnsi="宋体"/>
                <w:kern w:val="0"/>
                <w:szCs w:val="21"/>
              </w:rPr>
              <w:t>422.3643</w:t>
            </w:r>
          </w:p>
        </w:tc>
        <w:tc>
          <w:tcPr>
            <w:tcW w:w="676" w:type="pct"/>
            <w:noWrap/>
            <w:vAlign w:val="center"/>
          </w:tcPr>
          <w:p w14:paraId="37A83440">
            <w:pPr>
              <w:widowControl/>
              <w:adjustRightInd w:val="0"/>
              <w:snapToGrid w:val="0"/>
              <w:spacing w:before="0" w:beforeLines="0" w:line="240" w:lineRule="auto"/>
              <w:jc w:val="center"/>
              <w:rPr>
                <w:kern w:val="0"/>
                <w:szCs w:val="21"/>
              </w:rPr>
            </w:pPr>
            <w:r>
              <w:rPr>
                <w:rFonts w:hint="eastAsia" w:hAnsi="宋体"/>
                <w:kern w:val="0"/>
                <w:szCs w:val="21"/>
              </w:rPr>
              <w:t>25092123</w:t>
            </w:r>
          </w:p>
        </w:tc>
        <w:tc>
          <w:tcPr>
            <w:tcW w:w="562" w:type="pct"/>
            <w:noWrap/>
            <w:vAlign w:val="center"/>
          </w:tcPr>
          <w:p w14:paraId="4AE939AA">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14:paraId="7056145C">
            <w:pPr>
              <w:widowControl/>
              <w:adjustRightInd w:val="0"/>
              <w:snapToGrid w:val="0"/>
              <w:spacing w:before="0" w:beforeLines="0" w:line="240" w:lineRule="auto"/>
              <w:jc w:val="center"/>
              <w:rPr>
                <w:kern w:val="0"/>
                <w:szCs w:val="21"/>
              </w:rPr>
            </w:pPr>
            <w:r>
              <w:rPr>
                <w:rFonts w:hint="eastAsia" w:hAnsi="宋体"/>
                <w:kern w:val="0"/>
                <w:szCs w:val="21"/>
              </w:rPr>
              <w:t>250.57</w:t>
            </w:r>
          </w:p>
        </w:tc>
        <w:tc>
          <w:tcPr>
            <w:tcW w:w="343" w:type="pct"/>
            <w:noWrap/>
            <w:vAlign w:val="center"/>
          </w:tcPr>
          <w:p w14:paraId="3157F2F3">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2D68B1C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14:paraId="067DFE4C">
            <w:pPr>
              <w:widowControl/>
              <w:adjustRightInd w:val="0"/>
              <w:snapToGrid w:val="0"/>
              <w:spacing w:before="0" w:beforeLines="0" w:line="240" w:lineRule="auto"/>
              <w:jc w:val="center"/>
              <w:rPr>
                <w:kern w:val="0"/>
                <w:szCs w:val="21"/>
              </w:rPr>
            </w:pPr>
            <w:r>
              <w:rPr>
                <w:kern w:val="0"/>
                <w:szCs w:val="21"/>
              </w:rPr>
              <w:t>4</w:t>
            </w:r>
          </w:p>
        </w:tc>
        <w:tc>
          <w:tcPr>
            <w:tcW w:w="856" w:type="pct"/>
            <w:noWrap/>
            <w:vAlign w:val="center"/>
          </w:tcPr>
          <w:p w14:paraId="2A91616F">
            <w:pPr>
              <w:widowControl/>
              <w:adjustRightInd w:val="0"/>
              <w:snapToGrid w:val="0"/>
              <w:spacing w:before="0" w:beforeLines="0" w:line="240" w:lineRule="auto"/>
              <w:jc w:val="center"/>
              <w:rPr>
                <w:kern w:val="0"/>
                <w:szCs w:val="21"/>
              </w:rPr>
            </w:pPr>
            <w:r>
              <w:rPr>
                <w:kern w:val="0"/>
                <w:szCs w:val="21"/>
              </w:rPr>
              <w:t>南山</w:t>
            </w:r>
          </w:p>
        </w:tc>
        <w:tc>
          <w:tcPr>
            <w:tcW w:w="610" w:type="pct"/>
            <w:noWrap/>
            <w:vAlign w:val="center"/>
          </w:tcPr>
          <w:p w14:paraId="26539F2A">
            <w:pPr>
              <w:widowControl/>
              <w:adjustRightInd w:val="0"/>
              <w:snapToGrid w:val="0"/>
              <w:spacing w:before="0" w:beforeLines="0" w:line="240" w:lineRule="auto"/>
              <w:jc w:val="center"/>
              <w:rPr>
                <w:kern w:val="0"/>
                <w:szCs w:val="21"/>
              </w:rPr>
            </w:pPr>
            <w:r>
              <w:rPr>
                <w:kern w:val="0"/>
                <w:szCs w:val="21"/>
              </w:rPr>
              <w:t>-2423,-913</w:t>
            </w:r>
          </w:p>
        </w:tc>
        <w:tc>
          <w:tcPr>
            <w:tcW w:w="364" w:type="pct"/>
            <w:noWrap/>
            <w:vAlign w:val="center"/>
          </w:tcPr>
          <w:p w14:paraId="710DDECE">
            <w:pPr>
              <w:widowControl/>
              <w:adjustRightInd w:val="0"/>
              <w:snapToGrid w:val="0"/>
              <w:spacing w:before="0" w:beforeLines="0" w:line="240" w:lineRule="auto"/>
              <w:jc w:val="center"/>
              <w:rPr>
                <w:kern w:val="0"/>
                <w:szCs w:val="21"/>
              </w:rPr>
            </w:pPr>
            <w:r>
              <w:rPr>
                <w:kern w:val="0"/>
                <w:szCs w:val="21"/>
              </w:rPr>
              <w:t>284.09</w:t>
            </w:r>
          </w:p>
        </w:tc>
        <w:tc>
          <w:tcPr>
            <w:tcW w:w="343" w:type="pct"/>
            <w:noWrap/>
          </w:tcPr>
          <w:p w14:paraId="3C2968CA">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14:paraId="1BA5F337">
            <w:pPr>
              <w:widowControl/>
              <w:adjustRightInd w:val="0"/>
              <w:snapToGrid w:val="0"/>
              <w:spacing w:before="0" w:beforeLines="0" w:line="240" w:lineRule="auto"/>
              <w:jc w:val="center"/>
              <w:rPr>
                <w:kern w:val="0"/>
                <w:szCs w:val="21"/>
              </w:rPr>
            </w:pPr>
            <w:r>
              <w:rPr>
                <w:rFonts w:hint="eastAsia" w:hAnsi="宋体"/>
                <w:kern w:val="0"/>
                <w:szCs w:val="21"/>
              </w:rPr>
              <w:t>304.4869</w:t>
            </w:r>
          </w:p>
        </w:tc>
        <w:tc>
          <w:tcPr>
            <w:tcW w:w="676" w:type="pct"/>
            <w:noWrap/>
            <w:vAlign w:val="center"/>
          </w:tcPr>
          <w:p w14:paraId="487032B0">
            <w:pPr>
              <w:widowControl/>
              <w:adjustRightInd w:val="0"/>
              <w:snapToGrid w:val="0"/>
              <w:spacing w:before="0" w:beforeLines="0" w:line="240" w:lineRule="auto"/>
              <w:jc w:val="center"/>
              <w:rPr>
                <w:kern w:val="0"/>
                <w:szCs w:val="21"/>
              </w:rPr>
            </w:pPr>
            <w:r>
              <w:rPr>
                <w:rFonts w:hint="eastAsia" w:hAnsi="宋体"/>
                <w:kern w:val="0"/>
                <w:szCs w:val="21"/>
              </w:rPr>
              <w:t>25091103</w:t>
            </w:r>
          </w:p>
        </w:tc>
        <w:tc>
          <w:tcPr>
            <w:tcW w:w="562" w:type="pct"/>
            <w:noWrap/>
            <w:vAlign w:val="center"/>
          </w:tcPr>
          <w:p w14:paraId="13555C23">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14:paraId="4CBC6828">
            <w:pPr>
              <w:widowControl/>
              <w:adjustRightInd w:val="0"/>
              <w:snapToGrid w:val="0"/>
              <w:spacing w:before="0" w:beforeLines="0" w:line="240" w:lineRule="auto"/>
              <w:jc w:val="center"/>
              <w:rPr>
                <w:kern w:val="0"/>
                <w:szCs w:val="21"/>
              </w:rPr>
            </w:pPr>
            <w:r>
              <w:rPr>
                <w:rFonts w:hint="eastAsia" w:hAnsi="宋体"/>
                <w:kern w:val="0"/>
                <w:szCs w:val="21"/>
              </w:rPr>
              <w:t>191.58</w:t>
            </w:r>
          </w:p>
        </w:tc>
        <w:tc>
          <w:tcPr>
            <w:tcW w:w="343" w:type="pct"/>
            <w:noWrap/>
            <w:vAlign w:val="center"/>
          </w:tcPr>
          <w:p w14:paraId="72F49E45">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01732320">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14:paraId="247A05AD">
            <w:pPr>
              <w:widowControl/>
              <w:adjustRightInd w:val="0"/>
              <w:snapToGrid w:val="0"/>
              <w:spacing w:before="0" w:beforeLines="0" w:line="240" w:lineRule="auto"/>
              <w:jc w:val="center"/>
              <w:rPr>
                <w:kern w:val="0"/>
                <w:szCs w:val="21"/>
              </w:rPr>
            </w:pPr>
            <w:r>
              <w:rPr>
                <w:kern w:val="0"/>
                <w:szCs w:val="21"/>
              </w:rPr>
              <w:t>5</w:t>
            </w:r>
          </w:p>
        </w:tc>
        <w:tc>
          <w:tcPr>
            <w:tcW w:w="856" w:type="pct"/>
            <w:noWrap/>
            <w:vAlign w:val="center"/>
          </w:tcPr>
          <w:p w14:paraId="78388F84">
            <w:pPr>
              <w:widowControl/>
              <w:adjustRightInd w:val="0"/>
              <w:snapToGrid w:val="0"/>
              <w:spacing w:before="0" w:beforeLines="0" w:line="240" w:lineRule="auto"/>
              <w:jc w:val="center"/>
              <w:rPr>
                <w:kern w:val="0"/>
                <w:szCs w:val="21"/>
              </w:rPr>
            </w:pPr>
            <w:r>
              <w:rPr>
                <w:kern w:val="0"/>
                <w:szCs w:val="21"/>
              </w:rPr>
              <w:t>邵家窝堡</w:t>
            </w:r>
          </w:p>
        </w:tc>
        <w:tc>
          <w:tcPr>
            <w:tcW w:w="610" w:type="pct"/>
            <w:noWrap/>
            <w:vAlign w:val="center"/>
          </w:tcPr>
          <w:p w14:paraId="2CE6BAB5">
            <w:pPr>
              <w:widowControl/>
              <w:adjustRightInd w:val="0"/>
              <w:snapToGrid w:val="0"/>
              <w:spacing w:before="0" w:beforeLines="0" w:line="240" w:lineRule="auto"/>
              <w:jc w:val="center"/>
              <w:rPr>
                <w:kern w:val="0"/>
                <w:szCs w:val="21"/>
              </w:rPr>
            </w:pPr>
            <w:r>
              <w:rPr>
                <w:kern w:val="0"/>
                <w:szCs w:val="21"/>
              </w:rPr>
              <w:t>760，1865</w:t>
            </w:r>
          </w:p>
        </w:tc>
        <w:tc>
          <w:tcPr>
            <w:tcW w:w="364" w:type="pct"/>
            <w:noWrap/>
            <w:vAlign w:val="center"/>
          </w:tcPr>
          <w:p w14:paraId="2A95800E">
            <w:pPr>
              <w:widowControl/>
              <w:adjustRightInd w:val="0"/>
              <w:snapToGrid w:val="0"/>
              <w:spacing w:before="0" w:beforeLines="0" w:line="240" w:lineRule="auto"/>
              <w:jc w:val="center"/>
              <w:rPr>
                <w:kern w:val="0"/>
                <w:szCs w:val="21"/>
              </w:rPr>
            </w:pPr>
            <w:r>
              <w:rPr>
                <w:kern w:val="0"/>
                <w:szCs w:val="21"/>
              </w:rPr>
              <w:t>257.54</w:t>
            </w:r>
          </w:p>
        </w:tc>
        <w:tc>
          <w:tcPr>
            <w:tcW w:w="343" w:type="pct"/>
            <w:noWrap/>
          </w:tcPr>
          <w:p w14:paraId="445E6BCF">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14:paraId="755AAC0D">
            <w:pPr>
              <w:widowControl/>
              <w:adjustRightInd w:val="0"/>
              <w:snapToGrid w:val="0"/>
              <w:spacing w:before="0" w:beforeLines="0" w:line="240" w:lineRule="auto"/>
              <w:jc w:val="center"/>
              <w:rPr>
                <w:kern w:val="0"/>
                <w:szCs w:val="21"/>
              </w:rPr>
            </w:pPr>
            <w:r>
              <w:rPr>
                <w:rFonts w:hint="eastAsia" w:hAnsi="宋体"/>
                <w:kern w:val="0"/>
                <w:szCs w:val="21"/>
              </w:rPr>
              <w:t>581.9025</w:t>
            </w:r>
          </w:p>
        </w:tc>
        <w:tc>
          <w:tcPr>
            <w:tcW w:w="676" w:type="pct"/>
            <w:noWrap/>
            <w:vAlign w:val="center"/>
          </w:tcPr>
          <w:p w14:paraId="32877658">
            <w:pPr>
              <w:widowControl/>
              <w:adjustRightInd w:val="0"/>
              <w:snapToGrid w:val="0"/>
              <w:spacing w:before="0" w:beforeLines="0" w:line="240" w:lineRule="auto"/>
              <w:jc w:val="center"/>
              <w:rPr>
                <w:kern w:val="0"/>
                <w:szCs w:val="21"/>
              </w:rPr>
            </w:pPr>
            <w:r>
              <w:rPr>
                <w:rFonts w:hint="eastAsia" w:hAnsi="宋体"/>
                <w:kern w:val="0"/>
                <w:szCs w:val="21"/>
              </w:rPr>
              <w:t>25100801</w:t>
            </w:r>
          </w:p>
        </w:tc>
        <w:tc>
          <w:tcPr>
            <w:tcW w:w="562" w:type="pct"/>
            <w:noWrap/>
            <w:vAlign w:val="center"/>
          </w:tcPr>
          <w:p w14:paraId="11D3DF1F">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14:paraId="082350E0">
            <w:pPr>
              <w:widowControl/>
              <w:adjustRightInd w:val="0"/>
              <w:snapToGrid w:val="0"/>
              <w:spacing w:before="0" w:beforeLines="0" w:line="240" w:lineRule="auto"/>
              <w:jc w:val="center"/>
              <w:rPr>
                <w:kern w:val="0"/>
                <w:szCs w:val="21"/>
              </w:rPr>
            </w:pPr>
            <w:r>
              <w:rPr>
                <w:rFonts w:hint="eastAsia" w:hAnsi="宋体"/>
                <w:kern w:val="0"/>
                <w:szCs w:val="21"/>
              </w:rPr>
              <w:t>293.38</w:t>
            </w:r>
          </w:p>
        </w:tc>
        <w:tc>
          <w:tcPr>
            <w:tcW w:w="343" w:type="pct"/>
            <w:noWrap/>
            <w:vAlign w:val="center"/>
          </w:tcPr>
          <w:p w14:paraId="4DE26615">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27FB68D3">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14:paraId="391740E4">
            <w:pPr>
              <w:widowControl/>
              <w:adjustRightInd w:val="0"/>
              <w:snapToGrid w:val="0"/>
              <w:spacing w:before="0" w:beforeLines="0" w:line="240" w:lineRule="auto"/>
              <w:jc w:val="center"/>
              <w:rPr>
                <w:kern w:val="0"/>
                <w:szCs w:val="21"/>
              </w:rPr>
            </w:pPr>
            <w:r>
              <w:rPr>
                <w:kern w:val="0"/>
                <w:szCs w:val="21"/>
              </w:rPr>
              <w:t>6</w:t>
            </w:r>
          </w:p>
        </w:tc>
        <w:tc>
          <w:tcPr>
            <w:tcW w:w="856" w:type="pct"/>
            <w:noWrap/>
            <w:vAlign w:val="center"/>
          </w:tcPr>
          <w:p w14:paraId="4C21427F">
            <w:pPr>
              <w:widowControl/>
              <w:adjustRightInd w:val="0"/>
              <w:snapToGrid w:val="0"/>
              <w:spacing w:before="0" w:beforeLines="0" w:line="240" w:lineRule="auto"/>
              <w:jc w:val="center"/>
              <w:rPr>
                <w:bCs/>
                <w:kern w:val="0"/>
                <w:szCs w:val="21"/>
              </w:rPr>
            </w:pPr>
            <w:r>
              <w:rPr>
                <w:bCs/>
                <w:kern w:val="0"/>
                <w:szCs w:val="21"/>
              </w:rPr>
              <w:t>满汉营子</w:t>
            </w:r>
          </w:p>
        </w:tc>
        <w:tc>
          <w:tcPr>
            <w:tcW w:w="610" w:type="pct"/>
            <w:noWrap/>
            <w:vAlign w:val="center"/>
          </w:tcPr>
          <w:p w14:paraId="3300D502">
            <w:pPr>
              <w:widowControl/>
              <w:adjustRightInd w:val="0"/>
              <w:snapToGrid w:val="0"/>
              <w:spacing w:before="0" w:beforeLines="0" w:line="240" w:lineRule="auto"/>
              <w:jc w:val="center"/>
              <w:rPr>
                <w:bCs/>
                <w:kern w:val="0"/>
                <w:szCs w:val="21"/>
              </w:rPr>
            </w:pPr>
            <w:r>
              <w:rPr>
                <w:bCs/>
                <w:kern w:val="0"/>
                <w:szCs w:val="21"/>
              </w:rPr>
              <w:t>2366，1019</w:t>
            </w:r>
          </w:p>
        </w:tc>
        <w:tc>
          <w:tcPr>
            <w:tcW w:w="364" w:type="pct"/>
            <w:noWrap/>
            <w:vAlign w:val="center"/>
          </w:tcPr>
          <w:p w14:paraId="41F88385">
            <w:pPr>
              <w:widowControl/>
              <w:adjustRightInd w:val="0"/>
              <w:snapToGrid w:val="0"/>
              <w:spacing w:before="0" w:beforeLines="0" w:line="240" w:lineRule="auto"/>
              <w:jc w:val="center"/>
              <w:rPr>
                <w:bCs/>
                <w:kern w:val="0"/>
                <w:szCs w:val="21"/>
              </w:rPr>
            </w:pPr>
            <w:r>
              <w:rPr>
                <w:bCs/>
                <w:kern w:val="0"/>
                <w:szCs w:val="21"/>
              </w:rPr>
              <w:t>262.39</w:t>
            </w:r>
          </w:p>
        </w:tc>
        <w:tc>
          <w:tcPr>
            <w:tcW w:w="343" w:type="pct"/>
            <w:noWrap/>
          </w:tcPr>
          <w:p w14:paraId="75DA5E54">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14:paraId="5561B4A0">
            <w:pPr>
              <w:widowControl/>
              <w:adjustRightInd w:val="0"/>
              <w:snapToGrid w:val="0"/>
              <w:spacing w:before="0" w:beforeLines="0" w:line="240" w:lineRule="auto"/>
              <w:jc w:val="center"/>
              <w:rPr>
                <w:kern w:val="0"/>
                <w:szCs w:val="21"/>
              </w:rPr>
            </w:pPr>
            <w:r>
              <w:rPr>
                <w:rFonts w:hint="eastAsia" w:hAnsi="宋体"/>
                <w:kern w:val="0"/>
                <w:szCs w:val="21"/>
              </w:rPr>
              <w:t>235.4495</w:t>
            </w:r>
          </w:p>
        </w:tc>
        <w:tc>
          <w:tcPr>
            <w:tcW w:w="676" w:type="pct"/>
            <w:noWrap/>
            <w:vAlign w:val="center"/>
          </w:tcPr>
          <w:p w14:paraId="205B3E8F">
            <w:pPr>
              <w:widowControl/>
              <w:adjustRightInd w:val="0"/>
              <w:snapToGrid w:val="0"/>
              <w:spacing w:before="0" w:beforeLines="0" w:line="240" w:lineRule="auto"/>
              <w:jc w:val="center"/>
              <w:rPr>
                <w:kern w:val="0"/>
                <w:szCs w:val="21"/>
              </w:rPr>
            </w:pPr>
            <w:r>
              <w:rPr>
                <w:rFonts w:hint="eastAsia" w:hAnsi="宋体"/>
                <w:kern w:val="0"/>
                <w:szCs w:val="21"/>
              </w:rPr>
              <w:t>25092420</w:t>
            </w:r>
          </w:p>
        </w:tc>
        <w:tc>
          <w:tcPr>
            <w:tcW w:w="562" w:type="pct"/>
            <w:noWrap/>
            <w:vAlign w:val="center"/>
          </w:tcPr>
          <w:p w14:paraId="677BC505">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14:paraId="12423F30">
            <w:pPr>
              <w:widowControl/>
              <w:adjustRightInd w:val="0"/>
              <w:snapToGrid w:val="0"/>
              <w:spacing w:before="0" w:beforeLines="0" w:line="240" w:lineRule="auto"/>
              <w:jc w:val="center"/>
              <w:rPr>
                <w:kern w:val="0"/>
                <w:szCs w:val="21"/>
              </w:rPr>
            </w:pPr>
            <w:r>
              <w:rPr>
                <w:rFonts w:hint="eastAsia" w:hAnsi="宋体"/>
                <w:kern w:val="0"/>
                <w:szCs w:val="21"/>
              </w:rPr>
              <w:t>142.04</w:t>
            </w:r>
          </w:p>
        </w:tc>
        <w:tc>
          <w:tcPr>
            <w:tcW w:w="343" w:type="pct"/>
            <w:noWrap/>
            <w:vAlign w:val="center"/>
          </w:tcPr>
          <w:p w14:paraId="127EDD45">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3053E3CF">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14:paraId="72F12870">
            <w:pPr>
              <w:widowControl/>
              <w:adjustRightInd w:val="0"/>
              <w:snapToGrid w:val="0"/>
              <w:spacing w:before="0" w:beforeLines="0" w:line="240" w:lineRule="auto"/>
              <w:jc w:val="center"/>
              <w:rPr>
                <w:kern w:val="0"/>
                <w:szCs w:val="21"/>
              </w:rPr>
            </w:pPr>
            <w:r>
              <w:rPr>
                <w:kern w:val="0"/>
                <w:szCs w:val="21"/>
              </w:rPr>
              <w:t>7</w:t>
            </w:r>
          </w:p>
        </w:tc>
        <w:tc>
          <w:tcPr>
            <w:tcW w:w="856" w:type="pct"/>
            <w:noWrap/>
            <w:vAlign w:val="center"/>
          </w:tcPr>
          <w:p w14:paraId="28A93CF6">
            <w:pPr>
              <w:widowControl/>
              <w:adjustRightInd w:val="0"/>
              <w:snapToGrid w:val="0"/>
              <w:spacing w:before="0" w:beforeLines="0" w:line="240" w:lineRule="auto"/>
              <w:jc w:val="center"/>
              <w:rPr>
                <w:kern w:val="0"/>
                <w:szCs w:val="21"/>
              </w:rPr>
            </w:pPr>
            <w:r>
              <w:rPr>
                <w:kern w:val="0"/>
                <w:szCs w:val="21"/>
              </w:rPr>
              <w:t>郎家窝堡</w:t>
            </w:r>
          </w:p>
        </w:tc>
        <w:tc>
          <w:tcPr>
            <w:tcW w:w="610" w:type="pct"/>
            <w:noWrap/>
            <w:vAlign w:val="center"/>
          </w:tcPr>
          <w:p w14:paraId="7F946EF9">
            <w:pPr>
              <w:widowControl/>
              <w:adjustRightInd w:val="0"/>
              <w:snapToGrid w:val="0"/>
              <w:spacing w:before="0" w:beforeLines="0" w:line="240" w:lineRule="auto"/>
              <w:jc w:val="center"/>
              <w:rPr>
                <w:kern w:val="0"/>
                <w:szCs w:val="21"/>
              </w:rPr>
            </w:pPr>
            <w:r>
              <w:rPr>
                <w:kern w:val="0"/>
                <w:szCs w:val="21"/>
              </w:rPr>
              <w:t>2451，2436</w:t>
            </w:r>
          </w:p>
        </w:tc>
        <w:tc>
          <w:tcPr>
            <w:tcW w:w="364" w:type="pct"/>
            <w:noWrap/>
            <w:vAlign w:val="center"/>
          </w:tcPr>
          <w:p w14:paraId="7C723CD7">
            <w:pPr>
              <w:widowControl/>
              <w:adjustRightInd w:val="0"/>
              <w:snapToGrid w:val="0"/>
              <w:spacing w:before="0" w:beforeLines="0" w:line="240" w:lineRule="auto"/>
              <w:jc w:val="center"/>
              <w:rPr>
                <w:kern w:val="0"/>
                <w:szCs w:val="21"/>
              </w:rPr>
            </w:pPr>
            <w:r>
              <w:rPr>
                <w:kern w:val="0"/>
                <w:szCs w:val="21"/>
              </w:rPr>
              <w:t>278.19</w:t>
            </w:r>
          </w:p>
        </w:tc>
        <w:tc>
          <w:tcPr>
            <w:tcW w:w="343" w:type="pct"/>
            <w:noWrap/>
          </w:tcPr>
          <w:p w14:paraId="45950402">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14:paraId="00C79CF8">
            <w:pPr>
              <w:widowControl/>
              <w:adjustRightInd w:val="0"/>
              <w:snapToGrid w:val="0"/>
              <w:spacing w:before="0" w:beforeLines="0" w:line="240" w:lineRule="auto"/>
              <w:jc w:val="center"/>
              <w:rPr>
                <w:kern w:val="0"/>
                <w:szCs w:val="21"/>
              </w:rPr>
            </w:pPr>
            <w:r>
              <w:rPr>
                <w:rFonts w:hint="eastAsia" w:hAnsi="宋体"/>
                <w:kern w:val="0"/>
                <w:szCs w:val="21"/>
              </w:rPr>
              <w:t>202.3428</w:t>
            </w:r>
          </w:p>
        </w:tc>
        <w:tc>
          <w:tcPr>
            <w:tcW w:w="676" w:type="pct"/>
            <w:noWrap/>
            <w:vAlign w:val="center"/>
          </w:tcPr>
          <w:p w14:paraId="04DD7A37">
            <w:pPr>
              <w:widowControl/>
              <w:adjustRightInd w:val="0"/>
              <w:snapToGrid w:val="0"/>
              <w:spacing w:before="0" w:beforeLines="0" w:line="240" w:lineRule="auto"/>
              <w:jc w:val="center"/>
              <w:rPr>
                <w:kern w:val="0"/>
                <w:szCs w:val="21"/>
              </w:rPr>
            </w:pPr>
            <w:r>
              <w:rPr>
                <w:rFonts w:hint="eastAsia" w:hAnsi="宋体"/>
                <w:kern w:val="0"/>
                <w:szCs w:val="21"/>
              </w:rPr>
              <w:t>25082804</w:t>
            </w:r>
          </w:p>
        </w:tc>
        <w:tc>
          <w:tcPr>
            <w:tcW w:w="562" w:type="pct"/>
            <w:noWrap/>
            <w:vAlign w:val="center"/>
          </w:tcPr>
          <w:p w14:paraId="3FA63239">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14:paraId="65E19A6A">
            <w:pPr>
              <w:widowControl/>
              <w:adjustRightInd w:val="0"/>
              <w:snapToGrid w:val="0"/>
              <w:spacing w:before="0" w:beforeLines="0" w:line="240" w:lineRule="auto"/>
              <w:jc w:val="center"/>
              <w:rPr>
                <w:kern w:val="0"/>
                <w:szCs w:val="21"/>
              </w:rPr>
            </w:pPr>
            <w:r>
              <w:rPr>
                <w:rFonts w:hint="eastAsia" w:hAnsi="宋体"/>
                <w:kern w:val="0"/>
                <w:szCs w:val="21"/>
              </w:rPr>
              <w:t>104.82</w:t>
            </w:r>
          </w:p>
        </w:tc>
        <w:tc>
          <w:tcPr>
            <w:tcW w:w="343" w:type="pct"/>
            <w:noWrap/>
            <w:vAlign w:val="center"/>
          </w:tcPr>
          <w:p w14:paraId="1AEDD011">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77F67DD4">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14:paraId="1D57488E">
            <w:pPr>
              <w:widowControl/>
              <w:adjustRightInd w:val="0"/>
              <w:snapToGrid w:val="0"/>
              <w:spacing w:before="0" w:beforeLines="0" w:line="240" w:lineRule="auto"/>
              <w:jc w:val="center"/>
              <w:rPr>
                <w:kern w:val="0"/>
                <w:szCs w:val="21"/>
              </w:rPr>
            </w:pPr>
            <w:r>
              <w:rPr>
                <w:kern w:val="0"/>
                <w:szCs w:val="21"/>
              </w:rPr>
              <w:t>8</w:t>
            </w:r>
          </w:p>
        </w:tc>
        <w:tc>
          <w:tcPr>
            <w:tcW w:w="856" w:type="pct"/>
            <w:noWrap/>
            <w:vAlign w:val="center"/>
          </w:tcPr>
          <w:p w14:paraId="38872696">
            <w:pPr>
              <w:widowControl/>
              <w:adjustRightInd w:val="0"/>
              <w:snapToGrid w:val="0"/>
              <w:spacing w:before="0" w:beforeLines="0" w:line="240" w:lineRule="auto"/>
              <w:jc w:val="center"/>
              <w:rPr>
                <w:kern w:val="0"/>
                <w:szCs w:val="21"/>
              </w:rPr>
            </w:pPr>
            <w:r>
              <w:rPr>
                <w:kern w:val="0"/>
                <w:szCs w:val="21"/>
              </w:rPr>
              <w:t>那四板营子</w:t>
            </w:r>
          </w:p>
        </w:tc>
        <w:tc>
          <w:tcPr>
            <w:tcW w:w="610" w:type="pct"/>
            <w:noWrap/>
            <w:vAlign w:val="center"/>
          </w:tcPr>
          <w:p w14:paraId="33E00868">
            <w:pPr>
              <w:widowControl/>
              <w:adjustRightInd w:val="0"/>
              <w:snapToGrid w:val="0"/>
              <w:spacing w:before="0" w:beforeLines="0" w:line="240" w:lineRule="auto"/>
              <w:jc w:val="center"/>
              <w:rPr>
                <w:kern w:val="0"/>
                <w:szCs w:val="21"/>
              </w:rPr>
            </w:pPr>
            <w:r>
              <w:rPr>
                <w:kern w:val="0"/>
                <w:szCs w:val="21"/>
              </w:rPr>
              <w:t>1704,-1626</w:t>
            </w:r>
          </w:p>
        </w:tc>
        <w:tc>
          <w:tcPr>
            <w:tcW w:w="364" w:type="pct"/>
            <w:noWrap/>
            <w:vAlign w:val="center"/>
          </w:tcPr>
          <w:p w14:paraId="34AF554C">
            <w:pPr>
              <w:widowControl/>
              <w:adjustRightInd w:val="0"/>
              <w:snapToGrid w:val="0"/>
              <w:spacing w:before="0" w:beforeLines="0" w:line="240" w:lineRule="auto"/>
              <w:jc w:val="center"/>
              <w:rPr>
                <w:kern w:val="0"/>
                <w:szCs w:val="21"/>
              </w:rPr>
            </w:pPr>
            <w:r>
              <w:rPr>
                <w:kern w:val="0"/>
                <w:szCs w:val="21"/>
              </w:rPr>
              <w:t>282.04</w:t>
            </w:r>
          </w:p>
        </w:tc>
        <w:tc>
          <w:tcPr>
            <w:tcW w:w="343" w:type="pct"/>
            <w:noWrap/>
          </w:tcPr>
          <w:p w14:paraId="45682471">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14:paraId="474AE91A">
            <w:pPr>
              <w:widowControl/>
              <w:adjustRightInd w:val="0"/>
              <w:snapToGrid w:val="0"/>
              <w:spacing w:before="0" w:beforeLines="0" w:line="240" w:lineRule="auto"/>
              <w:jc w:val="center"/>
              <w:rPr>
                <w:kern w:val="0"/>
                <w:szCs w:val="21"/>
              </w:rPr>
            </w:pPr>
            <w:r>
              <w:rPr>
                <w:rFonts w:hint="eastAsia" w:hAnsi="宋体"/>
                <w:kern w:val="0"/>
                <w:szCs w:val="21"/>
              </w:rPr>
              <w:t>242.0633</w:t>
            </w:r>
          </w:p>
        </w:tc>
        <w:tc>
          <w:tcPr>
            <w:tcW w:w="676" w:type="pct"/>
            <w:noWrap/>
            <w:vAlign w:val="center"/>
          </w:tcPr>
          <w:p w14:paraId="1FDD736C">
            <w:pPr>
              <w:widowControl/>
              <w:adjustRightInd w:val="0"/>
              <w:snapToGrid w:val="0"/>
              <w:spacing w:before="0" w:beforeLines="0" w:line="240" w:lineRule="auto"/>
              <w:jc w:val="center"/>
              <w:rPr>
                <w:kern w:val="0"/>
                <w:szCs w:val="21"/>
              </w:rPr>
            </w:pPr>
            <w:r>
              <w:rPr>
                <w:rFonts w:hint="eastAsia" w:hAnsi="宋体"/>
                <w:kern w:val="0"/>
                <w:szCs w:val="21"/>
              </w:rPr>
              <w:t>25092602</w:t>
            </w:r>
          </w:p>
        </w:tc>
        <w:tc>
          <w:tcPr>
            <w:tcW w:w="562" w:type="pct"/>
            <w:noWrap/>
            <w:vAlign w:val="center"/>
          </w:tcPr>
          <w:p w14:paraId="0DA1BC12">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14:paraId="10B8BD1B">
            <w:pPr>
              <w:widowControl/>
              <w:adjustRightInd w:val="0"/>
              <w:snapToGrid w:val="0"/>
              <w:spacing w:before="0" w:beforeLines="0" w:line="240" w:lineRule="auto"/>
              <w:jc w:val="center"/>
              <w:rPr>
                <w:kern w:val="0"/>
                <w:szCs w:val="21"/>
              </w:rPr>
            </w:pPr>
            <w:r>
              <w:rPr>
                <w:rFonts w:hint="eastAsia" w:hAnsi="宋体"/>
                <w:kern w:val="0"/>
                <w:szCs w:val="21"/>
              </w:rPr>
              <w:t>349.60</w:t>
            </w:r>
          </w:p>
        </w:tc>
        <w:tc>
          <w:tcPr>
            <w:tcW w:w="343" w:type="pct"/>
            <w:noWrap/>
            <w:vAlign w:val="center"/>
          </w:tcPr>
          <w:p w14:paraId="1A3B81FD">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742FC940">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14:paraId="464633B0">
            <w:pPr>
              <w:widowControl/>
              <w:adjustRightInd w:val="0"/>
              <w:snapToGrid w:val="0"/>
              <w:spacing w:before="0" w:beforeLines="0" w:line="240" w:lineRule="auto"/>
              <w:jc w:val="center"/>
              <w:rPr>
                <w:kern w:val="0"/>
                <w:szCs w:val="21"/>
              </w:rPr>
            </w:pPr>
            <w:r>
              <w:rPr>
                <w:kern w:val="0"/>
                <w:szCs w:val="21"/>
              </w:rPr>
              <w:t>9</w:t>
            </w:r>
          </w:p>
        </w:tc>
        <w:tc>
          <w:tcPr>
            <w:tcW w:w="856" w:type="pct"/>
            <w:noWrap/>
            <w:vAlign w:val="center"/>
          </w:tcPr>
          <w:p w14:paraId="0E39C294">
            <w:pPr>
              <w:widowControl/>
              <w:adjustRightInd w:val="0"/>
              <w:snapToGrid w:val="0"/>
              <w:spacing w:before="0" w:beforeLines="0" w:line="240" w:lineRule="auto"/>
              <w:jc w:val="center"/>
              <w:rPr>
                <w:kern w:val="0"/>
                <w:szCs w:val="21"/>
              </w:rPr>
            </w:pPr>
            <w:r>
              <w:rPr>
                <w:kern w:val="0"/>
                <w:szCs w:val="21"/>
              </w:rPr>
              <w:t>四方庙子村</w:t>
            </w:r>
          </w:p>
        </w:tc>
        <w:tc>
          <w:tcPr>
            <w:tcW w:w="610" w:type="pct"/>
            <w:noWrap/>
            <w:vAlign w:val="center"/>
          </w:tcPr>
          <w:p w14:paraId="58EA60DC">
            <w:pPr>
              <w:widowControl/>
              <w:adjustRightInd w:val="0"/>
              <w:snapToGrid w:val="0"/>
              <w:spacing w:before="0" w:beforeLines="0" w:line="240" w:lineRule="auto"/>
              <w:jc w:val="center"/>
              <w:rPr>
                <w:kern w:val="0"/>
                <w:szCs w:val="21"/>
              </w:rPr>
            </w:pPr>
            <w:r>
              <w:rPr>
                <w:kern w:val="0"/>
                <w:szCs w:val="21"/>
              </w:rPr>
              <w:t>2408,-2472</w:t>
            </w:r>
          </w:p>
        </w:tc>
        <w:tc>
          <w:tcPr>
            <w:tcW w:w="364" w:type="pct"/>
            <w:noWrap/>
            <w:vAlign w:val="center"/>
          </w:tcPr>
          <w:p w14:paraId="3292C17F">
            <w:pPr>
              <w:widowControl/>
              <w:adjustRightInd w:val="0"/>
              <w:snapToGrid w:val="0"/>
              <w:spacing w:before="0" w:beforeLines="0" w:line="240" w:lineRule="auto"/>
              <w:jc w:val="center"/>
              <w:rPr>
                <w:kern w:val="0"/>
                <w:szCs w:val="21"/>
              </w:rPr>
            </w:pPr>
            <w:r>
              <w:rPr>
                <w:kern w:val="0"/>
                <w:szCs w:val="21"/>
              </w:rPr>
              <w:t>289.69</w:t>
            </w:r>
          </w:p>
        </w:tc>
        <w:tc>
          <w:tcPr>
            <w:tcW w:w="343" w:type="pct"/>
            <w:noWrap/>
          </w:tcPr>
          <w:p w14:paraId="4315FC5A">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14:paraId="3D7EF305">
            <w:pPr>
              <w:widowControl/>
              <w:adjustRightInd w:val="0"/>
              <w:snapToGrid w:val="0"/>
              <w:spacing w:before="0" w:beforeLines="0" w:line="240" w:lineRule="auto"/>
              <w:jc w:val="center"/>
              <w:rPr>
                <w:kern w:val="0"/>
                <w:szCs w:val="21"/>
              </w:rPr>
            </w:pPr>
            <w:r>
              <w:rPr>
                <w:rFonts w:hint="eastAsia" w:hAnsi="宋体"/>
                <w:kern w:val="0"/>
                <w:szCs w:val="21"/>
              </w:rPr>
              <w:t>342.5081</w:t>
            </w:r>
          </w:p>
        </w:tc>
        <w:tc>
          <w:tcPr>
            <w:tcW w:w="676" w:type="pct"/>
            <w:noWrap/>
            <w:vAlign w:val="center"/>
          </w:tcPr>
          <w:p w14:paraId="4A3DD6FD">
            <w:pPr>
              <w:widowControl/>
              <w:adjustRightInd w:val="0"/>
              <w:snapToGrid w:val="0"/>
              <w:spacing w:before="0" w:beforeLines="0" w:line="240" w:lineRule="auto"/>
              <w:jc w:val="center"/>
              <w:rPr>
                <w:kern w:val="0"/>
                <w:szCs w:val="21"/>
              </w:rPr>
            </w:pPr>
            <w:r>
              <w:rPr>
                <w:rFonts w:hint="eastAsia" w:hAnsi="宋体"/>
                <w:kern w:val="0"/>
                <w:szCs w:val="21"/>
              </w:rPr>
              <w:t>25081103</w:t>
            </w:r>
          </w:p>
        </w:tc>
        <w:tc>
          <w:tcPr>
            <w:tcW w:w="562" w:type="pct"/>
            <w:noWrap/>
            <w:vAlign w:val="center"/>
          </w:tcPr>
          <w:p w14:paraId="416D8F63">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14:paraId="23229CE3">
            <w:pPr>
              <w:widowControl/>
              <w:adjustRightInd w:val="0"/>
              <w:snapToGrid w:val="0"/>
              <w:spacing w:before="0" w:beforeLines="0" w:line="240" w:lineRule="auto"/>
              <w:jc w:val="center"/>
              <w:rPr>
                <w:kern w:val="0"/>
                <w:szCs w:val="21"/>
              </w:rPr>
            </w:pPr>
            <w:r>
              <w:rPr>
                <w:rFonts w:hint="eastAsia" w:hAnsi="宋体"/>
                <w:kern w:val="0"/>
                <w:szCs w:val="21"/>
              </w:rPr>
              <w:t>190.70</w:t>
            </w:r>
          </w:p>
        </w:tc>
        <w:tc>
          <w:tcPr>
            <w:tcW w:w="343" w:type="pct"/>
            <w:noWrap/>
            <w:vAlign w:val="center"/>
          </w:tcPr>
          <w:p w14:paraId="01E974BB">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09D9524A">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14:paraId="6848999B">
            <w:pPr>
              <w:widowControl/>
              <w:adjustRightInd w:val="0"/>
              <w:snapToGrid w:val="0"/>
              <w:spacing w:before="0" w:beforeLines="0" w:line="240" w:lineRule="auto"/>
              <w:jc w:val="center"/>
              <w:rPr>
                <w:kern w:val="0"/>
                <w:szCs w:val="21"/>
              </w:rPr>
            </w:pPr>
            <w:r>
              <w:rPr>
                <w:kern w:val="0"/>
                <w:szCs w:val="21"/>
              </w:rPr>
              <w:t>10</w:t>
            </w:r>
          </w:p>
        </w:tc>
        <w:tc>
          <w:tcPr>
            <w:tcW w:w="856" w:type="pct"/>
            <w:noWrap/>
            <w:vAlign w:val="center"/>
          </w:tcPr>
          <w:p w14:paraId="4439BBBB">
            <w:pPr>
              <w:widowControl/>
              <w:adjustRightInd w:val="0"/>
              <w:snapToGrid w:val="0"/>
              <w:spacing w:before="0" w:beforeLines="0" w:line="240" w:lineRule="auto"/>
              <w:jc w:val="center"/>
              <w:rPr>
                <w:kern w:val="0"/>
                <w:szCs w:val="21"/>
              </w:rPr>
            </w:pPr>
            <w:r>
              <w:rPr>
                <w:kern w:val="0"/>
                <w:szCs w:val="21"/>
              </w:rPr>
              <w:t>胡家沟</w:t>
            </w:r>
          </w:p>
        </w:tc>
        <w:tc>
          <w:tcPr>
            <w:tcW w:w="610" w:type="pct"/>
            <w:noWrap/>
            <w:vAlign w:val="center"/>
          </w:tcPr>
          <w:p w14:paraId="75E3C867">
            <w:pPr>
              <w:widowControl/>
              <w:adjustRightInd w:val="0"/>
              <w:snapToGrid w:val="0"/>
              <w:spacing w:before="0" w:beforeLines="0" w:line="240" w:lineRule="auto"/>
              <w:jc w:val="center"/>
              <w:rPr>
                <w:kern w:val="0"/>
                <w:szCs w:val="21"/>
              </w:rPr>
            </w:pPr>
            <w:r>
              <w:rPr>
                <w:kern w:val="0"/>
                <w:szCs w:val="21"/>
              </w:rPr>
              <w:t>-232,-1675</w:t>
            </w:r>
          </w:p>
        </w:tc>
        <w:tc>
          <w:tcPr>
            <w:tcW w:w="364" w:type="pct"/>
            <w:noWrap/>
            <w:vAlign w:val="center"/>
          </w:tcPr>
          <w:p w14:paraId="3E8BFE98">
            <w:pPr>
              <w:widowControl/>
              <w:adjustRightInd w:val="0"/>
              <w:snapToGrid w:val="0"/>
              <w:spacing w:before="0" w:beforeLines="0" w:line="240" w:lineRule="auto"/>
              <w:jc w:val="center"/>
              <w:rPr>
                <w:kern w:val="0"/>
                <w:szCs w:val="21"/>
              </w:rPr>
            </w:pPr>
            <w:r>
              <w:rPr>
                <w:kern w:val="0"/>
                <w:szCs w:val="21"/>
              </w:rPr>
              <w:t>293.25</w:t>
            </w:r>
          </w:p>
        </w:tc>
        <w:tc>
          <w:tcPr>
            <w:tcW w:w="343" w:type="pct"/>
            <w:noWrap/>
          </w:tcPr>
          <w:p w14:paraId="1BB2EBB5">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14:paraId="3A09341B">
            <w:pPr>
              <w:widowControl/>
              <w:adjustRightInd w:val="0"/>
              <w:snapToGrid w:val="0"/>
              <w:spacing w:before="0" w:beforeLines="0" w:line="240" w:lineRule="auto"/>
              <w:jc w:val="center"/>
              <w:rPr>
                <w:kern w:val="0"/>
                <w:szCs w:val="21"/>
              </w:rPr>
            </w:pPr>
            <w:r>
              <w:rPr>
                <w:rFonts w:hint="eastAsia" w:hAnsi="宋体"/>
                <w:kern w:val="0"/>
                <w:szCs w:val="21"/>
              </w:rPr>
              <w:t>825.5238</w:t>
            </w:r>
          </w:p>
        </w:tc>
        <w:tc>
          <w:tcPr>
            <w:tcW w:w="676" w:type="pct"/>
            <w:noWrap/>
            <w:vAlign w:val="center"/>
          </w:tcPr>
          <w:p w14:paraId="0E20AFE0">
            <w:pPr>
              <w:widowControl/>
              <w:adjustRightInd w:val="0"/>
              <w:snapToGrid w:val="0"/>
              <w:spacing w:before="0" w:beforeLines="0" w:line="240" w:lineRule="auto"/>
              <w:jc w:val="center"/>
              <w:rPr>
                <w:kern w:val="0"/>
                <w:szCs w:val="21"/>
              </w:rPr>
            </w:pPr>
            <w:r>
              <w:rPr>
                <w:rFonts w:hint="eastAsia" w:hAnsi="宋体"/>
                <w:kern w:val="0"/>
                <w:szCs w:val="21"/>
              </w:rPr>
              <w:t>25100923</w:t>
            </w:r>
          </w:p>
        </w:tc>
        <w:tc>
          <w:tcPr>
            <w:tcW w:w="562" w:type="pct"/>
            <w:noWrap/>
            <w:vAlign w:val="center"/>
          </w:tcPr>
          <w:p w14:paraId="1707E378">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14:paraId="24AE23D3">
            <w:pPr>
              <w:widowControl/>
              <w:adjustRightInd w:val="0"/>
              <w:snapToGrid w:val="0"/>
              <w:spacing w:before="0" w:beforeLines="0" w:line="240" w:lineRule="auto"/>
              <w:jc w:val="center"/>
              <w:rPr>
                <w:kern w:val="0"/>
                <w:szCs w:val="21"/>
              </w:rPr>
            </w:pPr>
            <w:r>
              <w:rPr>
                <w:rFonts w:hint="eastAsia" w:hAnsi="宋体"/>
                <w:kern w:val="0"/>
                <w:szCs w:val="21"/>
              </w:rPr>
              <w:t>463.75</w:t>
            </w:r>
          </w:p>
        </w:tc>
        <w:tc>
          <w:tcPr>
            <w:tcW w:w="343" w:type="pct"/>
            <w:noWrap/>
            <w:vAlign w:val="center"/>
          </w:tcPr>
          <w:p w14:paraId="47A11617">
            <w:pPr>
              <w:widowControl/>
              <w:adjustRightInd w:val="0"/>
              <w:snapToGrid w:val="0"/>
              <w:spacing w:before="0" w:beforeLines="0" w:line="240" w:lineRule="auto"/>
              <w:jc w:val="center"/>
              <w:rPr>
                <w:kern w:val="0"/>
                <w:szCs w:val="21"/>
              </w:rPr>
            </w:pPr>
            <w:r>
              <w:rPr>
                <w:rFonts w:hint="eastAsia" w:hAnsi="宋体"/>
                <w:kern w:val="0"/>
                <w:szCs w:val="21"/>
              </w:rPr>
              <w:t>超标</w:t>
            </w:r>
          </w:p>
        </w:tc>
      </w:tr>
      <w:tr w14:paraId="404DA563">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14:paraId="7136A3DE">
            <w:pPr>
              <w:widowControl/>
              <w:adjustRightInd w:val="0"/>
              <w:snapToGrid w:val="0"/>
              <w:spacing w:before="0" w:beforeLines="0" w:line="240" w:lineRule="auto"/>
              <w:jc w:val="center"/>
              <w:rPr>
                <w:kern w:val="0"/>
                <w:szCs w:val="21"/>
              </w:rPr>
            </w:pPr>
            <w:r>
              <w:rPr>
                <w:kern w:val="0"/>
                <w:szCs w:val="21"/>
              </w:rPr>
              <w:t>11</w:t>
            </w:r>
          </w:p>
        </w:tc>
        <w:tc>
          <w:tcPr>
            <w:tcW w:w="856" w:type="pct"/>
            <w:noWrap/>
            <w:vAlign w:val="center"/>
          </w:tcPr>
          <w:p w14:paraId="58396452">
            <w:pPr>
              <w:widowControl/>
              <w:adjustRightInd w:val="0"/>
              <w:snapToGrid w:val="0"/>
              <w:spacing w:before="0" w:beforeLines="0" w:line="240" w:lineRule="auto"/>
              <w:jc w:val="center"/>
              <w:rPr>
                <w:kern w:val="0"/>
                <w:szCs w:val="21"/>
              </w:rPr>
            </w:pPr>
            <w:r>
              <w:rPr>
                <w:kern w:val="0"/>
                <w:szCs w:val="21"/>
              </w:rPr>
              <w:t>区域最大落地浓度点</w:t>
            </w:r>
          </w:p>
        </w:tc>
        <w:tc>
          <w:tcPr>
            <w:tcW w:w="610" w:type="pct"/>
            <w:noWrap/>
            <w:vAlign w:val="center"/>
          </w:tcPr>
          <w:p w14:paraId="2CCA948D">
            <w:pPr>
              <w:widowControl/>
              <w:adjustRightInd w:val="0"/>
              <w:snapToGrid w:val="0"/>
              <w:spacing w:before="0" w:beforeLines="0" w:line="240" w:lineRule="auto"/>
              <w:jc w:val="center"/>
              <w:rPr>
                <w:kern w:val="0"/>
                <w:szCs w:val="21"/>
              </w:rPr>
            </w:pPr>
            <w:r>
              <w:rPr>
                <w:kern w:val="0"/>
                <w:szCs w:val="21"/>
              </w:rPr>
              <w:t>0,400</w:t>
            </w:r>
          </w:p>
        </w:tc>
        <w:tc>
          <w:tcPr>
            <w:tcW w:w="364" w:type="pct"/>
            <w:noWrap/>
            <w:vAlign w:val="center"/>
          </w:tcPr>
          <w:p w14:paraId="72B1BB3D">
            <w:pPr>
              <w:widowControl/>
              <w:adjustRightInd w:val="0"/>
              <w:snapToGrid w:val="0"/>
              <w:spacing w:before="0" w:beforeLines="0" w:line="240" w:lineRule="auto"/>
              <w:jc w:val="center"/>
              <w:rPr>
                <w:kern w:val="0"/>
                <w:szCs w:val="21"/>
              </w:rPr>
            </w:pPr>
            <w:r>
              <w:rPr>
                <w:kern w:val="0"/>
                <w:szCs w:val="21"/>
              </w:rPr>
              <w:t>309.10</w:t>
            </w:r>
          </w:p>
        </w:tc>
        <w:tc>
          <w:tcPr>
            <w:tcW w:w="343" w:type="pct"/>
            <w:noWrap/>
          </w:tcPr>
          <w:p w14:paraId="27690115">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14:paraId="025B4817">
            <w:pPr>
              <w:widowControl/>
              <w:adjustRightInd w:val="0"/>
              <w:snapToGrid w:val="0"/>
              <w:spacing w:before="0" w:beforeLines="0" w:line="240" w:lineRule="auto"/>
              <w:jc w:val="center"/>
              <w:rPr>
                <w:kern w:val="0"/>
                <w:szCs w:val="21"/>
              </w:rPr>
            </w:pPr>
            <w:r>
              <w:rPr>
                <w:rFonts w:hint="eastAsia" w:hAnsi="宋体"/>
                <w:kern w:val="0"/>
                <w:szCs w:val="21"/>
              </w:rPr>
              <w:t>40774.0000</w:t>
            </w:r>
          </w:p>
        </w:tc>
        <w:tc>
          <w:tcPr>
            <w:tcW w:w="676" w:type="pct"/>
            <w:noWrap/>
            <w:vAlign w:val="center"/>
          </w:tcPr>
          <w:p w14:paraId="02E95C72">
            <w:pPr>
              <w:widowControl/>
              <w:adjustRightInd w:val="0"/>
              <w:snapToGrid w:val="0"/>
              <w:spacing w:before="0" w:beforeLines="0" w:line="240" w:lineRule="auto"/>
              <w:jc w:val="center"/>
              <w:rPr>
                <w:kern w:val="0"/>
                <w:szCs w:val="21"/>
              </w:rPr>
            </w:pPr>
            <w:r>
              <w:rPr>
                <w:rFonts w:hint="eastAsia" w:hAnsi="宋体"/>
                <w:kern w:val="0"/>
                <w:szCs w:val="21"/>
              </w:rPr>
              <w:t>25100620</w:t>
            </w:r>
          </w:p>
        </w:tc>
        <w:tc>
          <w:tcPr>
            <w:tcW w:w="562" w:type="pct"/>
            <w:noWrap/>
            <w:vAlign w:val="center"/>
          </w:tcPr>
          <w:p w14:paraId="4D8C3CD6">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14:paraId="1806A9CB">
            <w:pPr>
              <w:widowControl/>
              <w:adjustRightInd w:val="0"/>
              <w:snapToGrid w:val="0"/>
              <w:spacing w:before="0" w:beforeLines="0" w:line="240" w:lineRule="auto"/>
              <w:jc w:val="center"/>
              <w:rPr>
                <w:kern w:val="0"/>
                <w:szCs w:val="21"/>
              </w:rPr>
            </w:pPr>
            <w:r>
              <w:rPr>
                <w:rFonts w:hint="eastAsia" w:hAnsi="宋体"/>
                <w:kern w:val="0"/>
                <w:szCs w:val="21"/>
              </w:rPr>
              <w:t>2977.64</w:t>
            </w:r>
          </w:p>
        </w:tc>
        <w:tc>
          <w:tcPr>
            <w:tcW w:w="343" w:type="pct"/>
            <w:noWrap/>
            <w:vAlign w:val="center"/>
          </w:tcPr>
          <w:p w14:paraId="52AC8A97">
            <w:pPr>
              <w:widowControl/>
              <w:adjustRightInd w:val="0"/>
              <w:snapToGrid w:val="0"/>
              <w:spacing w:before="0" w:beforeLines="0" w:line="240" w:lineRule="auto"/>
              <w:jc w:val="center"/>
              <w:rPr>
                <w:kern w:val="0"/>
                <w:szCs w:val="21"/>
              </w:rPr>
            </w:pPr>
            <w:r>
              <w:rPr>
                <w:rFonts w:hint="eastAsia" w:hAnsi="宋体"/>
                <w:kern w:val="0"/>
                <w:szCs w:val="21"/>
              </w:rPr>
              <w:t>超标</w:t>
            </w:r>
          </w:p>
        </w:tc>
      </w:tr>
    </w:tbl>
    <w:p w14:paraId="7DFB7EDA">
      <w:pPr>
        <w:snapToGrid w:val="0"/>
        <w:spacing w:before="0" w:beforeLines="0" w:line="240" w:lineRule="auto"/>
        <w:ind w:left="840" w:leftChars="200" w:hanging="420" w:hangingChars="200"/>
        <w:jc w:val="center"/>
        <w:rPr>
          <w:kern w:val="0"/>
          <w:szCs w:val="21"/>
        </w:rPr>
        <w:sectPr>
          <w:pgSz w:w="16838" w:h="11906" w:orient="landscape"/>
          <w:pgMar w:top="1440" w:right="1800" w:bottom="1440" w:left="1800" w:header="850" w:footer="964" w:gutter="0"/>
          <w:cols w:space="720" w:num="1"/>
          <w:docGrid w:type="lines" w:linePitch="312" w:charSpace="0"/>
        </w:sectPr>
      </w:pPr>
    </w:p>
    <w:p w14:paraId="6ABAD87F">
      <w:pPr>
        <w:pStyle w:val="5"/>
        <w:spacing w:before="156" w:after="156"/>
        <w:rPr>
          <w:color w:val="auto"/>
        </w:rPr>
      </w:pPr>
      <w:r>
        <w:rPr>
          <w:rFonts w:hint="eastAsia"/>
          <w:color w:val="auto"/>
        </w:rPr>
        <w:t>5.2.3项目厂界浓度预测结果</w:t>
      </w:r>
    </w:p>
    <w:p w14:paraId="1B2BBD47">
      <w:pPr>
        <w:adjustRightInd w:val="0"/>
        <w:snapToGrid w:val="0"/>
        <w:spacing w:before="0" w:beforeLines="0" w:line="360" w:lineRule="auto"/>
        <w:ind w:firstLine="600" w:firstLineChars="250"/>
        <w:rPr>
          <w:sz w:val="24"/>
          <w:szCs w:val="20"/>
        </w:rPr>
      </w:pPr>
      <w:r>
        <w:rPr>
          <w:sz w:val="24"/>
          <w:szCs w:val="20"/>
        </w:rPr>
        <w:t>本项目投入运行后，无组织排放的污染物TSP在南、西、北、东厂界点的最大落地浓度分别为</w:t>
      </w:r>
      <w:r>
        <w:rPr>
          <w:kern w:val="0"/>
          <w:szCs w:val="21"/>
        </w:rPr>
        <w:t>954.1793</w:t>
      </w:r>
      <w:r>
        <w:rPr>
          <w:sz w:val="24"/>
          <w:szCs w:val="20"/>
        </w:rPr>
        <w:t>µg/m</w:t>
      </w:r>
      <w:r>
        <w:rPr>
          <w:sz w:val="24"/>
          <w:szCs w:val="20"/>
          <w:vertAlign w:val="superscript"/>
        </w:rPr>
        <w:t>3</w:t>
      </w:r>
      <w:r>
        <w:rPr>
          <w:kern w:val="0"/>
          <w:szCs w:val="21"/>
        </w:rPr>
        <w:t>、502.9547</w:t>
      </w:r>
      <w:r>
        <w:rPr>
          <w:sz w:val="24"/>
          <w:szCs w:val="20"/>
        </w:rPr>
        <w:t>µg/m</w:t>
      </w:r>
      <w:r>
        <w:rPr>
          <w:sz w:val="24"/>
          <w:szCs w:val="20"/>
          <w:vertAlign w:val="superscript"/>
        </w:rPr>
        <w:t>3</w:t>
      </w:r>
      <w:r>
        <w:rPr>
          <w:kern w:val="0"/>
          <w:szCs w:val="21"/>
        </w:rPr>
        <w:t>、481.3535</w:t>
      </w:r>
      <w:r>
        <w:rPr>
          <w:sz w:val="24"/>
          <w:szCs w:val="20"/>
        </w:rPr>
        <w:t>µg/m</w:t>
      </w:r>
      <w:r>
        <w:rPr>
          <w:sz w:val="24"/>
          <w:szCs w:val="20"/>
          <w:vertAlign w:val="superscript"/>
        </w:rPr>
        <w:t>3</w:t>
      </w:r>
      <w:r>
        <w:rPr>
          <w:kern w:val="0"/>
          <w:szCs w:val="21"/>
        </w:rPr>
        <w:t>、736.762</w:t>
      </w:r>
      <w:r>
        <w:rPr>
          <w:sz w:val="24"/>
          <w:szCs w:val="20"/>
        </w:rPr>
        <w:t>µg/m</w:t>
      </w:r>
      <w:r>
        <w:rPr>
          <w:sz w:val="24"/>
          <w:szCs w:val="20"/>
          <w:vertAlign w:val="superscript"/>
        </w:rPr>
        <w:t>3</w:t>
      </w:r>
      <w:r>
        <w:rPr>
          <w:sz w:val="24"/>
          <w:szCs w:val="20"/>
        </w:rPr>
        <w:t>，分别占标准的</w:t>
      </w:r>
      <w:r>
        <w:rPr>
          <w:kern w:val="0"/>
          <w:szCs w:val="21"/>
        </w:rPr>
        <w:t>95.42</w:t>
      </w:r>
      <w:r>
        <w:rPr>
          <w:sz w:val="24"/>
          <w:szCs w:val="20"/>
        </w:rPr>
        <w:t>%</w:t>
      </w:r>
      <w:r>
        <w:rPr>
          <w:kern w:val="0"/>
          <w:szCs w:val="21"/>
        </w:rPr>
        <w:t>、50.30</w:t>
      </w:r>
      <w:r>
        <w:rPr>
          <w:sz w:val="24"/>
          <w:szCs w:val="20"/>
        </w:rPr>
        <w:t>%</w:t>
      </w:r>
      <w:r>
        <w:rPr>
          <w:kern w:val="0"/>
          <w:szCs w:val="21"/>
        </w:rPr>
        <w:t>、48.14</w:t>
      </w:r>
      <w:r>
        <w:rPr>
          <w:sz w:val="24"/>
          <w:szCs w:val="20"/>
        </w:rPr>
        <w:t>%</w:t>
      </w:r>
      <w:r>
        <w:rPr>
          <w:kern w:val="0"/>
          <w:szCs w:val="21"/>
        </w:rPr>
        <w:t>、73.68</w:t>
      </w:r>
      <w:r>
        <w:rPr>
          <w:sz w:val="24"/>
          <w:szCs w:val="20"/>
        </w:rPr>
        <w:t>%，满足标准要求。</w:t>
      </w:r>
      <w:r>
        <w:rPr>
          <w:rFonts w:hint="eastAsia"/>
          <w:sz w:val="24"/>
          <w:szCs w:val="20"/>
        </w:rPr>
        <w:t>具体结果见表5.2-18。</w:t>
      </w:r>
    </w:p>
    <w:p w14:paraId="17F6B662">
      <w:pPr>
        <w:tabs>
          <w:tab w:val="left" w:pos="2880"/>
        </w:tabs>
        <w:adjustRightInd w:val="0"/>
        <w:snapToGrid w:val="0"/>
        <w:spacing w:before="0" w:beforeLines="0" w:line="240" w:lineRule="auto"/>
        <w:ind w:firstLine="3162" w:firstLineChars="1500"/>
        <w:rPr>
          <w:b/>
          <w:bCs/>
          <w:szCs w:val="21"/>
        </w:rPr>
      </w:pPr>
      <w:r>
        <w:rPr>
          <w:rFonts w:hint="eastAsia"/>
          <w:b/>
          <w:bCs/>
          <w:szCs w:val="21"/>
        </w:rPr>
        <w:t>表5.2-18    厂</w:t>
      </w:r>
      <w:r>
        <w:rPr>
          <w:b/>
          <w:bCs/>
          <w:szCs w:val="21"/>
        </w:rPr>
        <w:t>界浓度预测结果表</w:t>
      </w:r>
    </w:p>
    <w:tbl>
      <w:tblPr>
        <w:tblStyle w:val="348"/>
        <w:tblW w:w="5000"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28" w:type="dxa"/>
          <w:bottom w:w="0" w:type="dxa"/>
          <w:right w:w="28" w:type="dxa"/>
        </w:tblCellMar>
      </w:tblPr>
      <w:tblGrid>
        <w:gridCol w:w="422"/>
        <w:gridCol w:w="509"/>
        <w:gridCol w:w="1265"/>
        <w:gridCol w:w="844"/>
        <w:gridCol w:w="675"/>
        <w:gridCol w:w="928"/>
        <w:gridCol w:w="1180"/>
        <w:gridCol w:w="1099"/>
        <w:gridCol w:w="675"/>
        <w:gridCol w:w="715"/>
      </w:tblGrid>
      <w:tr w14:paraId="2891B900">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270" w:hRule="atLeast"/>
          <w:jc w:val="center"/>
        </w:trPr>
        <w:tc>
          <w:tcPr>
            <w:tcW w:w="254" w:type="pct"/>
            <w:noWrap/>
            <w:vAlign w:val="center"/>
          </w:tcPr>
          <w:p w14:paraId="6EBF8426">
            <w:pPr>
              <w:widowControl/>
              <w:spacing w:before="0" w:beforeLines="0" w:after="156" w:line="240" w:lineRule="auto"/>
              <w:contextualSpacing/>
              <w:jc w:val="center"/>
              <w:rPr>
                <w:kern w:val="0"/>
                <w:szCs w:val="21"/>
              </w:rPr>
            </w:pPr>
            <w:r>
              <w:rPr>
                <w:kern w:val="0"/>
                <w:szCs w:val="21"/>
              </w:rPr>
              <w:t>序号</w:t>
            </w:r>
          </w:p>
        </w:tc>
        <w:tc>
          <w:tcPr>
            <w:tcW w:w="306" w:type="pct"/>
            <w:noWrap/>
            <w:vAlign w:val="center"/>
          </w:tcPr>
          <w:p w14:paraId="443D88A3">
            <w:pPr>
              <w:widowControl/>
              <w:spacing w:before="0" w:beforeLines="0" w:after="156" w:line="240" w:lineRule="auto"/>
              <w:contextualSpacing/>
              <w:jc w:val="center"/>
              <w:rPr>
                <w:kern w:val="0"/>
                <w:szCs w:val="21"/>
              </w:rPr>
            </w:pPr>
            <w:r>
              <w:rPr>
                <w:kern w:val="0"/>
                <w:szCs w:val="21"/>
              </w:rPr>
              <w:t>点名称</w:t>
            </w:r>
          </w:p>
        </w:tc>
        <w:tc>
          <w:tcPr>
            <w:tcW w:w="761" w:type="pct"/>
            <w:noWrap/>
            <w:vAlign w:val="center"/>
          </w:tcPr>
          <w:p w14:paraId="07AF9F2C">
            <w:pPr>
              <w:widowControl/>
              <w:spacing w:before="0" w:beforeLines="0" w:after="156" w:line="240" w:lineRule="auto"/>
              <w:contextualSpacing/>
              <w:jc w:val="center"/>
              <w:rPr>
                <w:kern w:val="0"/>
                <w:szCs w:val="21"/>
              </w:rPr>
            </w:pPr>
            <w:r>
              <w:rPr>
                <w:kern w:val="0"/>
                <w:szCs w:val="21"/>
              </w:rPr>
              <w:t>点坐标(x或r,y或a)</w:t>
            </w:r>
          </w:p>
        </w:tc>
        <w:tc>
          <w:tcPr>
            <w:tcW w:w="508" w:type="pct"/>
            <w:noWrap/>
            <w:vAlign w:val="center"/>
          </w:tcPr>
          <w:p w14:paraId="777A192C">
            <w:pPr>
              <w:widowControl/>
              <w:spacing w:before="0" w:beforeLines="0" w:after="156" w:line="240" w:lineRule="auto"/>
              <w:contextualSpacing/>
              <w:jc w:val="center"/>
              <w:rPr>
                <w:kern w:val="0"/>
                <w:szCs w:val="21"/>
              </w:rPr>
            </w:pPr>
            <w:r>
              <w:rPr>
                <w:kern w:val="0"/>
                <w:szCs w:val="21"/>
              </w:rPr>
              <w:t>地面高程(m)</w:t>
            </w:r>
          </w:p>
        </w:tc>
        <w:tc>
          <w:tcPr>
            <w:tcW w:w="406" w:type="pct"/>
            <w:noWrap/>
            <w:vAlign w:val="center"/>
          </w:tcPr>
          <w:p w14:paraId="2224A40C">
            <w:pPr>
              <w:widowControl/>
              <w:spacing w:before="0" w:beforeLines="0" w:after="156" w:line="240" w:lineRule="auto"/>
              <w:contextualSpacing/>
              <w:jc w:val="center"/>
              <w:rPr>
                <w:kern w:val="0"/>
                <w:szCs w:val="21"/>
              </w:rPr>
            </w:pPr>
            <w:r>
              <w:rPr>
                <w:kern w:val="0"/>
                <w:szCs w:val="21"/>
              </w:rPr>
              <w:t>浓度类型</w:t>
            </w:r>
          </w:p>
        </w:tc>
        <w:tc>
          <w:tcPr>
            <w:tcW w:w="558" w:type="pct"/>
            <w:noWrap/>
            <w:vAlign w:val="center"/>
          </w:tcPr>
          <w:p w14:paraId="72B62BF6">
            <w:pPr>
              <w:widowControl/>
              <w:spacing w:before="0" w:beforeLines="0" w:after="156" w:line="240" w:lineRule="auto"/>
              <w:contextualSpacing/>
              <w:jc w:val="center"/>
              <w:rPr>
                <w:kern w:val="0"/>
                <w:szCs w:val="21"/>
              </w:rPr>
            </w:pPr>
            <w:r>
              <w:rPr>
                <w:kern w:val="0"/>
                <w:szCs w:val="21"/>
              </w:rPr>
              <w:t>厂界浓度(μg/m^3)</w:t>
            </w:r>
          </w:p>
        </w:tc>
        <w:tc>
          <w:tcPr>
            <w:tcW w:w="710" w:type="pct"/>
            <w:noWrap/>
            <w:vAlign w:val="center"/>
          </w:tcPr>
          <w:p w14:paraId="51C160C5">
            <w:pPr>
              <w:widowControl/>
              <w:spacing w:before="0" w:beforeLines="0" w:after="156" w:line="240" w:lineRule="auto"/>
              <w:contextualSpacing/>
              <w:jc w:val="center"/>
              <w:rPr>
                <w:kern w:val="0"/>
                <w:szCs w:val="21"/>
              </w:rPr>
            </w:pPr>
            <w:r>
              <w:rPr>
                <w:kern w:val="0"/>
                <w:szCs w:val="21"/>
              </w:rPr>
              <w:t>出现时间(YYMMDDHH)</w:t>
            </w:r>
          </w:p>
        </w:tc>
        <w:tc>
          <w:tcPr>
            <w:tcW w:w="661" w:type="pct"/>
            <w:noWrap/>
            <w:vAlign w:val="center"/>
          </w:tcPr>
          <w:p w14:paraId="02AA4EB2">
            <w:pPr>
              <w:widowControl/>
              <w:spacing w:before="0" w:beforeLines="0" w:after="156" w:line="240" w:lineRule="auto"/>
              <w:contextualSpacing/>
              <w:jc w:val="center"/>
              <w:rPr>
                <w:kern w:val="0"/>
                <w:szCs w:val="21"/>
              </w:rPr>
            </w:pPr>
            <w:r>
              <w:rPr>
                <w:kern w:val="0"/>
                <w:szCs w:val="21"/>
              </w:rPr>
              <w:t>评价标准(μg/m^3)</w:t>
            </w:r>
          </w:p>
        </w:tc>
        <w:tc>
          <w:tcPr>
            <w:tcW w:w="406" w:type="pct"/>
            <w:noWrap/>
            <w:vAlign w:val="center"/>
          </w:tcPr>
          <w:p w14:paraId="5A99B012">
            <w:pPr>
              <w:widowControl/>
              <w:spacing w:before="0" w:beforeLines="0" w:after="156" w:line="240" w:lineRule="auto"/>
              <w:contextualSpacing/>
              <w:jc w:val="center"/>
              <w:rPr>
                <w:kern w:val="0"/>
                <w:szCs w:val="21"/>
              </w:rPr>
            </w:pPr>
            <w:r>
              <w:rPr>
                <w:kern w:val="0"/>
                <w:szCs w:val="21"/>
              </w:rPr>
              <w:t>占标率%</w:t>
            </w:r>
          </w:p>
        </w:tc>
        <w:tc>
          <w:tcPr>
            <w:tcW w:w="430" w:type="pct"/>
            <w:noWrap/>
            <w:vAlign w:val="center"/>
          </w:tcPr>
          <w:p w14:paraId="55047F3A">
            <w:pPr>
              <w:widowControl/>
              <w:spacing w:before="0" w:beforeLines="0" w:after="156" w:line="240" w:lineRule="auto"/>
              <w:contextualSpacing/>
              <w:jc w:val="center"/>
              <w:rPr>
                <w:kern w:val="0"/>
                <w:szCs w:val="21"/>
              </w:rPr>
            </w:pPr>
            <w:r>
              <w:rPr>
                <w:kern w:val="0"/>
                <w:szCs w:val="21"/>
              </w:rPr>
              <w:t>是否超标</w:t>
            </w:r>
          </w:p>
        </w:tc>
      </w:tr>
      <w:tr w14:paraId="1C0999EF">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270" w:hRule="atLeast"/>
          <w:jc w:val="center"/>
        </w:trPr>
        <w:tc>
          <w:tcPr>
            <w:tcW w:w="254" w:type="pct"/>
            <w:vMerge w:val="restart"/>
            <w:noWrap/>
            <w:vAlign w:val="center"/>
          </w:tcPr>
          <w:p w14:paraId="7973022C">
            <w:pPr>
              <w:adjustRightInd w:val="0"/>
              <w:snapToGrid w:val="0"/>
              <w:spacing w:before="0" w:beforeLines="0" w:after="156" w:line="240" w:lineRule="auto"/>
              <w:contextualSpacing/>
              <w:rPr>
                <w:kern w:val="0"/>
                <w:szCs w:val="21"/>
              </w:rPr>
            </w:pPr>
            <w:r>
              <w:rPr>
                <w:kern w:val="0"/>
                <w:szCs w:val="21"/>
              </w:rPr>
              <w:t>TSP</w:t>
            </w:r>
          </w:p>
        </w:tc>
        <w:tc>
          <w:tcPr>
            <w:tcW w:w="306" w:type="pct"/>
            <w:noWrap/>
            <w:vAlign w:val="center"/>
          </w:tcPr>
          <w:p w14:paraId="4C2755A2">
            <w:pPr>
              <w:widowControl/>
              <w:spacing w:before="0" w:beforeLines="0" w:after="156" w:line="240" w:lineRule="auto"/>
              <w:contextualSpacing/>
              <w:jc w:val="center"/>
              <w:rPr>
                <w:kern w:val="0"/>
                <w:szCs w:val="21"/>
              </w:rPr>
            </w:pPr>
            <w:r>
              <w:rPr>
                <w:kern w:val="0"/>
                <w:szCs w:val="21"/>
              </w:rPr>
              <w:t>南</w:t>
            </w:r>
          </w:p>
        </w:tc>
        <w:tc>
          <w:tcPr>
            <w:tcW w:w="761" w:type="pct"/>
            <w:noWrap/>
            <w:vAlign w:val="center"/>
          </w:tcPr>
          <w:p w14:paraId="1C0D073D">
            <w:pPr>
              <w:widowControl/>
              <w:spacing w:before="0" w:beforeLines="0" w:after="156" w:line="240" w:lineRule="auto"/>
              <w:contextualSpacing/>
              <w:jc w:val="center"/>
              <w:rPr>
                <w:kern w:val="0"/>
                <w:szCs w:val="21"/>
              </w:rPr>
            </w:pPr>
            <w:r>
              <w:rPr>
                <w:rFonts w:hint="eastAsia"/>
                <w:kern w:val="0"/>
                <w:szCs w:val="21"/>
              </w:rPr>
              <w:t>12,-35</w:t>
            </w:r>
          </w:p>
        </w:tc>
        <w:tc>
          <w:tcPr>
            <w:tcW w:w="508" w:type="pct"/>
            <w:noWrap/>
            <w:vAlign w:val="center"/>
          </w:tcPr>
          <w:p w14:paraId="3ADB6B67">
            <w:pPr>
              <w:widowControl/>
              <w:spacing w:before="0" w:beforeLines="0" w:after="156" w:line="240" w:lineRule="auto"/>
              <w:contextualSpacing/>
              <w:jc w:val="center"/>
              <w:rPr>
                <w:kern w:val="0"/>
                <w:szCs w:val="21"/>
              </w:rPr>
            </w:pPr>
            <w:r>
              <w:rPr>
                <w:rFonts w:hint="eastAsia"/>
                <w:kern w:val="0"/>
                <w:szCs w:val="21"/>
              </w:rPr>
              <w:t>294.19</w:t>
            </w:r>
          </w:p>
        </w:tc>
        <w:tc>
          <w:tcPr>
            <w:tcW w:w="406" w:type="pct"/>
            <w:noWrap/>
            <w:vAlign w:val="bottom"/>
          </w:tcPr>
          <w:p w14:paraId="0EB429C2">
            <w:pPr>
              <w:widowControl/>
              <w:spacing w:before="0" w:beforeLines="0" w:after="156" w:line="240" w:lineRule="auto"/>
              <w:contextualSpacing/>
              <w:jc w:val="center"/>
              <w:rPr>
                <w:kern w:val="0"/>
                <w:sz w:val="22"/>
                <w:szCs w:val="22"/>
              </w:rPr>
            </w:pPr>
            <w:r>
              <w:rPr>
                <w:rFonts w:hint="eastAsia"/>
                <w:kern w:val="0"/>
                <w:szCs w:val="21"/>
              </w:rPr>
              <w:t>1小时</w:t>
            </w:r>
          </w:p>
        </w:tc>
        <w:tc>
          <w:tcPr>
            <w:tcW w:w="558" w:type="pct"/>
            <w:noWrap/>
            <w:vAlign w:val="center"/>
          </w:tcPr>
          <w:p w14:paraId="30B2BB10">
            <w:pPr>
              <w:widowControl/>
              <w:spacing w:before="0" w:beforeLines="0" w:after="156" w:line="240" w:lineRule="auto"/>
              <w:contextualSpacing/>
              <w:jc w:val="center"/>
              <w:rPr>
                <w:kern w:val="0"/>
                <w:sz w:val="22"/>
                <w:szCs w:val="22"/>
              </w:rPr>
            </w:pPr>
            <w:r>
              <w:rPr>
                <w:kern w:val="0"/>
                <w:szCs w:val="21"/>
              </w:rPr>
              <w:t>954.1793</w:t>
            </w:r>
          </w:p>
        </w:tc>
        <w:tc>
          <w:tcPr>
            <w:tcW w:w="710" w:type="pct"/>
            <w:noWrap/>
            <w:vAlign w:val="center"/>
          </w:tcPr>
          <w:p w14:paraId="53BF2882">
            <w:pPr>
              <w:widowControl/>
              <w:spacing w:before="0" w:beforeLines="0" w:after="156" w:line="240" w:lineRule="auto"/>
              <w:contextualSpacing/>
              <w:jc w:val="center"/>
              <w:rPr>
                <w:kern w:val="0"/>
                <w:sz w:val="22"/>
                <w:szCs w:val="22"/>
              </w:rPr>
            </w:pPr>
            <w:r>
              <w:rPr>
                <w:kern w:val="0"/>
                <w:szCs w:val="21"/>
              </w:rPr>
              <w:t>25021409</w:t>
            </w:r>
          </w:p>
        </w:tc>
        <w:tc>
          <w:tcPr>
            <w:tcW w:w="661" w:type="pct"/>
            <w:noWrap/>
            <w:vAlign w:val="center"/>
          </w:tcPr>
          <w:p w14:paraId="6781D8F1">
            <w:pPr>
              <w:widowControl/>
              <w:spacing w:before="0" w:beforeLines="0" w:after="156" w:line="240" w:lineRule="auto"/>
              <w:contextualSpacing/>
              <w:jc w:val="center"/>
              <w:rPr>
                <w:kern w:val="0"/>
                <w:sz w:val="22"/>
                <w:szCs w:val="22"/>
              </w:rPr>
            </w:pPr>
            <w:r>
              <w:rPr>
                <w:kern w:val="0"/>
                <w:szCs w:val="21"/>
              </w:rPr>
              <w:t>1000</w:t>
            </w:r>
          </w:p>
        </w:tc>
        <w:tc>
          <w:tcPr>
            <w:tcW w:w="406" w:type="pct"/>
            <w:noWrap/>
            <w:vAlign w:val="center"/>
          </w:tcPr>
          <w:p w14:paraId="7B6C8DF5">
            <w:pPr>
              <w:widowControl/>
              <w:spacing w:before="0" w:beforeLines="0" w:after="156" w:line="240" w:lineRule="auto"/>
              <w:contextualSpacing/>
              <w:jc w:val="center"/>
              <w:rPr>
                <w:kern w:val="0"/>
                <w:sz w:val="22"/>
                <w:szCs w:val="22"/>
              </w:rPr>
            </w:pPr>
            <w:r>
              <w:rPr>
                <w:kern w:val="0"/>
                <w:szCs w:val="21"/>
              </w:rPr>
              <w:t xml:space="preserve">95.42 </w:t>
            </w:r>
          </w:p>
        </w:tc>
        <w:tc>
          <w:tcPr>
            <w:tcW w:w="430" w:type="pct"/>
            <w:noWrap/>
            <w:vAlign w:val="bottom"/>
          </w:tcPr>
          <w:p w14:paraId="0E8EEC3D">
            <w:pPr>
              <w:widowControl/>
              <w:spacing w:before="0" w:beforeLines="0" w:after="156" w:line="240" w:lineRule="auto"/>
              <w:contextualSpacing/>
              <w:jc w:val="center"/>
              <w:rPr>
                <w:kern w:val="0"/>
                <w:sz w:val="22"/>
                <w:szCs w:val="22"/>
              </w:rPr>
            </w:pPr>
            <w:r>
              <w:rPr>
                <w:rFonts w:hint="eastAsia"/>
                <w:kern w:val="0"/>
                <w:szCs w:val="21"/>
              </w:rPr>
              <w:t>达标</w:t>
            </w:r>
          </w:p>
        </w:tc>
      </w:tr>
      <w:tr w14:paraId="3BA1C18F">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270" w:hRule="atLeast"/>
          <w:jc w:val="center"/>
        </w:trPr>
        <w:tc>
          <w:tcPr>
            <w:tcW w:w="254" w:type="pct"/>
            <w:vMerge w:val="continue"/>
            <w:noWrap/>
            <w:vAlign w:val="center"/>
          </w:tcPr>
          <w:p w14:paraId="37631B06">
            <w:pPr>
              <w:adjustRightInd w:val="0"/>
              <w:snapToGrid w:val="0"/>
              <w:spacing w:before="0" w:beforeLines="0" w:after="156" w:line="240" w:lineRule="auto"/>
              <w:ind w:firstLine="420" w:firstLineChars="200"/>
              <w:contextualSpacing/>
              <w:jc w:val="center"/>
              <w:rPr>
                <w:kern w:val="0"/>
                <w:szCs w:val="21"/>
              </w:rPr>
            </w:pPr>
          </w:p>
        </w:tc>
        <w:tc>
          <w:tcPr>
            <w:tcW w:w="306" w:type="pct"/>
            <w:noWrap/>
            <w:vAlign w:val="center"/>
          </w:tcPr>
          <w:p w14:paraId="70108DAB">
            <w:pPr>
              <w:widowControl/>
              <w:spacing w:before="0" w:beforeLines="0" w:after="156" w:line="240" w:lineRule="auto"/>
              <w:contextualSpacing/>
              <w:jc w:val="center"/>
              <w:rPr>
                <w:kern w:val="0"/>
                <w:szCs w:val="21"/>
              </w:rPr>
            </w:pPr>
            <w:r>
              <w:rPr>
                <w:kern w:val="0"/>
                <w:szCs w:val="21"/>
              </w:rPr>
              <w:t>西</w:t>
            </w:r>
          </w:p>
        </w:tc>
        <w:tc>
          <w:tcPr>
            <w:tcW w:w="761" w:type="pct"/>
            <w:noWrap/>
            <w:vAlign w:val="center"/>
          </w:tcPr>
          <w:p w14:paraId="4617C6D1">
            <w:pPr>
              <w:widowControl/>
              <w:spacing w:before="0" w:beforeLines="0" w:after="156" w:line="240" w:lineRule="auto"/>
              <w:contextualSpacing/>
              <w:jc w:val="center"/>
              <w:rPr>
                <w:kern w:val="0"/>
                <w:szCs w:val="21"/>
              </w:rPr>
            </w:pPr>
            <w:r>
              <w:rPr>
                <w:rFonts w:hint="eastAsia"/>
                <w:kern w:val="0"/>
                <w:szCs w:val="21"/>
              </w:rPr>
              <w:t>153,249</w:t>
            </w:r>
          </w:p>
        </w:tc>
        <w:tc>
          <w:tcPr>
            <w:tcW w:w="508" w:type="pct"/>
            <w:noWrap/>
            <w:vAlign w:val="center"/>
          </w:tcPr>
          <w:p w14:paraId="193316C5">
            <w:pPr>
              <w:widowControl/>
              <w:spacing w:before="0" w:beforeLines="0" w:after="156" w:line="240" w:lineRule="auto"/>
              <w:contextualSpacing/>
              <w:jc w:val="center"/>
              <w:rPr>
                <w:kern w:val="0"/>
                <w:szCs w:val="21"/>
              </w:rPr>
            </w:pPr>
            <w:r>
              <w:rPr>
                <w:rFonts w:hint="eastAsia"/>
                <w:kern w:val="0"/>
                <w:szCs w:val="21"/>
              </w:rPr>
              <w:t>295.31</w:t>
            </w:r>
          </w:p>
        </w:tc>
        <w:tc>
          <w:tcPr>
            <w:tcW w:w="406" w:type="pct"/>
            <w:noWrap/>
            <w:vAlign w:val="bottom"/>
          </w:tcPr>
          <w:p w14:paraId="57FD4B0C">
            <w:pPr>
              <w:widowControl/>
              <w:spacing w:before="0" w:beforeLines="0" w:after="156" w:line="240" w:lineRule="auto"/>
              <w:contextualSpacing/>
              <w:jc w:val="center"/>
              <w:rPr>
                <w:kern w:val="0"/>
                <w:sz w:val="22"/>
                <w:szCs w:val="22"/>
              </w:rPr>
            </w:pPr>
            <w:r>
              <w:rPr>
                <w:rFonts w:hint="eastAsia"/>
                <w:kern w:val="0"/>
                <w:szCs w:val="21"/>
              </w:rPr>
              <w:t>1小时</w:t>
            </w:r>
          </w:p>
        </w:tc>
        <w:tc>
          <w:tcPr>
            <w:tcW w:w="558" w:type="pct"/>
            <w:noWrap/>
            <w:vAlign w:val="center"/>
          </w:tcPr>
          <w:p w14:paraId="2B34F024">
            <w:pPr>
              <w:widowControl/>
              <w:spacing w:before="0" w:beforeLines="0" w:after="156" w:line="240" w:lineRule="auto"/>
              <w:contextualSpacing/>
              <w:jc w:val="center"/>
              <w:rPr>
                <w:kern w:val="0"/>
                <w:sz w:val="22"/>
                <w:szCs w:val="22"/>
              </w:rPr>
            </w:pPr>
            <w:r>
              <w:rPr>
                <w:kern w:val="0"/>
                <w:szCs w:val="21"/>
              </w:rPr>
              <w:t>502.9547</w:t>
            </w:r>
          </w:p>
        </w:tc>
        <w:tc>
          <w:tcPr>
            <w:tcW w:w="710" w:type="pct"/>
            <w:noWrap/>
            <w:vAlign w:val="center"/>
          </w:tcPr>
          <w:p w14:paraId="28ED5452">
            <w:pPr>
              <w:widowControl/>
              <w:spacing w:before="0" w:beforeLines="0" w:after="156" w:line="240" w:lineRule="auto"/>
              <w:contextualSpacing/>
              <w:jc w:val="center"/>
              <w:rPr>
                <w:kern w:val="0"/>
                <w:sz w:val="22"/>
                <w:szCs w:val="22"/>
              </w:rPr>
            </w:pPr>
            <w:r>
              <w:rPr>
                <w:kern w:val="0"/>
                <w:szCs w:val="21"/>
              </w:rPr>
              <w:t>25021703</w:t>
            </w:r>
          </w:p>
        </w:tc>
        <w:tc>
          <w:tcPr>
            <w:tcW w:w="661" w:type="pct"/>
            <w:noWrap/>
            <w:vAlign w:val="center"/>
          </w:tcPr>
          <w:p w14:paraId="33C88CF4">
            <w:pPr>
              <w:widowControl/>
              <w:spacing w:before="0" w:beforeLines="0" w:after="156" w:line="240" w:lineRule="auto"/>
              <w:contextualSpacing/>
              <w:jc w:val="center"/>
              <w:rPr>
                <w:kern w:val="0"/>
                <w:sz w:val="22"/>
                <w:szCs w:val="22"/>
              </w:rPr>
            </w:pPr>
            <w:r>
              <w:rPr>
                <w:kern w:val="0"/>
                <w:szCs w:val="21"/>
              </w:rPr>
              <w:t>1000</w:t>
            </w:r>
          </w:p>
        </w:tc>
        <w:tc>
          <w:tcPr>
            <w:tcW w:w="406" w:type="pct"/>
            <w:noWrap/>
            <w:vAlign w:val="center"/>
          </w:tcPr>
          <w:p w14:paraId="2FD44B34">
            <w:pPr>
              <w:widowControl/>
              <w:spacing w:before="0" w:beforeLines="0" w:after="156" w:line="240" w:lineRule="auto"/>
              <w:contextualSpacing/>
              <w:jc w:val="center"/>
              <w:rPr>
                <w:kern w:val="0"/>
                <w:sz w:val="22"/>
                <w:szCs w:val="22"/>
              </w:rPr>
            </w:pPr>
            <w:r>
              <w:rPr>
                <w:kern w:val="0"/>
                <w:szCs w:val="21"/>
              </w:rPr>
              <w:t xml:space="preserve">50.30 </w:t>
            </w:r>
          </w:p>
        </w:tc>
        <w:tc>
          <w:tcPr>
            <w:tcW w:w="430" w:type="pct"/>
            <w:noWrap/>
            <w:vAlign w:val="bottom"/>
          </w:tcPr>
          <w:p w14:paraId="7E55C634">
            <w:pPr>
              <w:widowControl/>
              <w:spacing w:before="0" w:beforeLines="0" w:after="156" w:line="240" w:lineRule="auto"/>
              <w:contextualSpacing/>
              <w:jc w:val="center"/>
              <w:rPr>
                <w:kern w:val="0"/>
                <w:sz w:val="22"/>
                <w:szCs w:val="22"/>
              </w:rPr>
            </w:pPr>
            <w:r>
              <w:rPr>
                <w:rFonts w:hint="eastAsia"/>
                <w:kern w:val="0"/>
                <w:szCs w:val="21"/>
              </w:rPr>
              <w:t>达标</w:t>
            </w:r>
          </w:p>
        </w:tc>
      </w:tr>
      <w:tr w14:paraId="01F3FD1C">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270" w:hRule="atLeast"/>
          <w:jc w:val="center"/>
        </w:trPr>
        <w:tc>
          <w:tcPr>
            <w:tcW w:w="254" w:type="pct"/>
            <w:vMerge w:val="continue"/>
            <w:noWrap/>
            <w:vAlign w:val="center"/>
          </w:tcPr>
          <w:p w14:paraId="478B70C7">
            <w:pPr>
              <w:adjustRightInd w:val="0"/>
              <w:snapToGrid w:val="0"/>
              <w:spacing w:before="0" w:beforeLines="0" w:after="156" w:line="240" w:lineRule="auto"/>
              <w:ind w:firstLine="420" w:firstLineChars="200"/>
              <w:contextualSpacing/>
              <w:jc w:val="center"/>
              <w:rPr>
                <w:kern w:val="0"/>
                <w:szCs w:val="21"/>
              </w:rPr>
            </w:pPr>
          </w:p>
        </w:tc>
        <w:tc>
          <w:tcPr>
            <w:tcW w:w="306" w:type="pct"/>
            <w:noWrap/>
            <w:vAlign w:val="center"/>
          </w:tcPr>
          <w:p w14:paraId="4B72565D">
            <w:pPr>
              <w:widowControl/>
              <w:spacing w:before="0" w:beforeLines="0" w:after="156" w:line="240" w:lineRule="auto"/>
              <w:contextualSpacing/>
              <w:jc w:val="center"/>
              <w:rPr>
                <w:kern w:val="0"/>
                <w:szCs w:val="21"/>
              </w:rPr>
            </w:pPr>
            <w:r>
              <w:rPr>
                <w:kern w:val="0"/>
                <w:szCs w:val="21"/>
              </w:rPr>
              <w:t>北</w:t>
            </w:r>
          </w:p>
        </w:tc>
        <w:tc>
          <w:tcPr>
            <w:tcW w:w="761" w:type="pct"/>
            <w:noWrap/>
            <w:vAlign w:val="center"/>
          </w:tcPr>
          <w:p w14:paraId="7C67FFFA">
            <w:pPr>
              <w:widowControl/>
              <w:spacing w:before="0" w:beforeLines="0" w:after="156" w:line="240" w:lineRule="auto"/>
              <w:contextualSpacing/>
              <w:jc w:val="center"/>
              <w:rPr>
                <w:kern w:val="0"/>
                <w:szCs w:val="21"/>
              </w:rPr>
            </w:pPr>
            <w:r>
              <w:rPr>
                <w:rFonts w:hint="eastAsia"/>
                <w:kern w:val="0"/>
                <w:szCs w:val="21"/>
              </w:rPr>
              <w:t>193,330</w:t>
            </w:r>
          </w:p>
        </w:tc>
        <w:tc>
          <w:tcPr>
            <w:tcW w:w="508" w:type="pct"/>
            <w:noWrap/>
            <w:vAlign w:val="center"/>
          </w:tcPr>
          <w:p w14:paraId="3CD423FD">
            <w:pPr>
              <w:widowControl/>
              <w:spacing w:before="0" w:beforeLines="0" w:after="156" w:line="240" w:lineRule="auto"/>
              <w:contextualSpacing/>
              <w:jc w:val="center"/>
              <w:rPr>
                <w:kern w:val="0"/>
                <w:szCs w:val="21"/>
              </w:rPr>
            </w:pPr>
            <w:r>
              <w:rPr>
                <w:rFonts w:hint="eastAsia"/>
                <w:kern w:val="0"/>
                <w:szCs w:val="21"/>
              </w:rPr>
              <w:t>293.66</w:t>
            </w:r>
          </w:p>
        </w:tc>
        <w:tc>
          <w:tcPr>
            <w:tcW w:w="406" w:type="pct"/>
            <w:noWrap/>
            <w:vAlign w:val="bottom"/>
          </w:tcPr>
          <w:p w14:paraId="317578A7">
            <w:pPr>
              <w:widowControl/>
              <w:spacing w:before="0" w:beforeLines="0" w:after="156" w:line="240" w:lineRule="auto"/>
              <w:contextualSpacing/>
              <w:jc w:val="center"/>
              <w:rPr>
                <w:kern w:val="0"/>
                <w:sz w:val="22"/>
                <w:szCs w:val="22"/>
              </w:rPr>
            </w:pPr>
            <w:r>
              <w:rPr>
                <w:rFonts w:hint="eastAsia"/>
                <w:kern w:val="0"/>
                <w:szCs w:val="21"/>
              </w:rPr>
              <w:t>1小时</w:t>
            </w:r>
          </w:p>
        </w:tc>
        <w:tc>
          <w:tcPr>
            <w:tcW w:w="558" w:type="pct"/>
            <w:noWrap/>
            <w:vAlign w:val="center"/>
          </w:tcPr>
          <w:p w14:paraId="02A26D0C">
            <w:pPr>
              <w:widowControl/>
              <w:spacing w:before="0" w:beforeLines="0" w:after="156" w:line="240" w:lineRule="auto"/>
              <w:contextualSpacing/>
              <w:jc w:val="center"/>
              <w:rPr>
                <w:kern w:val="0"/>
                <w:sz w:val="22"/>
                <w:szCs w:val="22"/>
              </w:rPr>
            </w:pPr>
            <w:r>
              <w:rPr>
                <w:kern w:val="0"/>
                <w:szCs w:val="21"/>
              </w:rPr>
              <w:t>481.3535</w:t>
            </w:r>
          </w:p>
        </w:tc>
        <w:tc>
          <w:tcPr>
            <w:tcW w:w="710" w:type="pct"/>
            <w:noWrap/>
            <w:vAlign w:val="center"/>
          </w:tcPr>
          <w:p w14:paraId="2C3E18B0">
            <w:pPr>
              <w:widowControl/>
              <w:spacing w:before="0" w:beforeLines="0" w:after="156" w:line="240" w:lineRule="auto"/>
              <w:contextualSpacing/>
              <w:jc w:val="center"/>
              <w:rPr>
                <w:kern w:val="0"/>
                <w:sz w:val="22"/>
                <w:szCs w:val="22"/>
              </w:rPr>
            </w:pPr>
            <w:r>
              <w:rPr>
                <w:kern w:val="0"/>
                <w:szCs w:val="21"/>
              </w:rPr>
              <w:t>25121201</w:t>
            </w:r>
          </w:p>
        </w:tc>
        <w:tc>
          <w:tcPr>
            <w:tcW w:w="661" w:type="pct"/>
            <w:noWrap/>
            <w:vAlign w:val="center"/>
          </w:tcPr>
          <w:p w14:paraId="6545DBAC">
            <w:pPr>
              <w:widowControl/>
              <w:spacing w:before="0" w:beforeLines="0" w:after="156" w:line="240" w:lineRule="auto"/>
              <w:contextualSpacing/>
              <w:jc w:val="center"/>
              <w:rPr>
                <w:kern w:val="0"/>
                <w:sz w:val="22"/>
                <w:szCs w:val="22"/>
              </w:rPr>
            </w:pPr>
            <w:r>
              <w:rPr>
                <w:kern w:val="0"/>
                <w:szCs w:val="21"/>
              </w:rPr>
              <w:t>1000</w:t>
            </w:r>
          </w:p>
        </w:tc>
        <w:tc>
          <w:tcPr>
            <w:tcW w:w="406" w:type="pct"/>
            <w:noWrap/>
            <w:vAlign w:val="center"/>
          </w:tcPr>
          <w:p w14:paraId="44094E1E">
            <w:pPr>
              <w:widowControl/>
              <w:spacing w:before="0" w:beforeLines="0" w:after="156" w:line="240" w:lineRule="auto"/>
              <w:contextualSpacing/>
              <w:jc w:val="center"/>
              <w:rPr>
                <w:kern w:val="0"/>
                <w:sz w:val="22"/>
                <w:szCs w:val="22"/>
              </w:rPr>
            </w:pPr>
            <w:r>
              <w:rPr>
                <w:kern w:val="0"/>
                <w:szCs w:val="21"/>
              </w:rPr>
              <w:t xml:space="preserve">48.14 </w:t>
            </w:r>
          </w:p>
        </w:tc>
        <w:tc>
          <w:tcPr>
            <w:tcW w:w="430" w:type="pct"/>
            <w:noWrap/>
            <w:vAlign w:val="bottom"/>
          </w:tcPr>
          <w:p w14:paraId="3406BFAC">
            <w:pPr>
              <w:widowControl/>
              <w:spacing w:before="0" w:beforeLines="0" w:after="156" w:line="240" w:lineRule="auto"/>
              <w:contextualSpacing/>
              <w:jc w:val="center"/>
              <w:rPr>
                <w:kern w:val="0"/>
                <w:sz w:val="22"/>
                <w:szCs w:val="22"/>
              </w:rPr>
            </w:pPr>
            <w:r>
              <w:rPr>
                <w:rFonts w:hint="eastAsia"/>
                <w:kern w:val="0"/>
                <w:szCs w:val="21"/>
              </w:rPr>
              <w:t>达标</w:t>
            </w:r>
          </w:p>
        </w:tc>
      </w:tr>
      <w:tr w14:paraId="188017BF">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270" w:hRule="atLeast"/>
          <w:jc w:val="center"/>
        </w:trPr>
        <w:tc>
          <w:tcPr>
            <w:tcW w:w="254" w:type="pct"/>
            <w:vMerge w:val="continue"/>
            <w:noWrap/>
            <w:vAlign w:val="center"/>
          </w:tcPr>
          <w:p w14:paraId="0841C390">
            <w:pPr>
              <w:widowControl/>
              <w:spacing w:before="0" w:beforeLines="0" w:after="156" w:line="240" w:lineRule="auto"/>
              <w:contextualSpacing/>
              <w:jc w:val="center"/>
              <w:rPr>
                <w:kern w:val="0"/>
                <w:szCs w:val="21"/>
              </w:rPr>
            </w:pPr>
          </w:p>
        </w:tc>
        <w:tc>
          <w:tcPr>
            <w:tcW w:w="306" w:type="pct"/>
            <w:noWrap/>
            <w:vAlign w:val="center"/>
          </w:tcPr>
          <w:p w14:paraId="5DF81B1E">
            <w:pPr>
              <w:widowControl/>
              <w:spacing w:before="0" w:beforeLines="0" w:after="156" w:line="240" w:lineRule="auto"/>
              <w:contextualSpacing/>
              <w:jc w:val="center"/>
              <w:rPr>
                <w:kern w:val="0"/>
                <w:szCs w:val="21"/>
              </w:rPr>
            </w:pPr>
            <w:r>
              <w:rPr>
                <w:kern w:val="0"/>
                <w:szCs w:val="21"/>
              </w:rPr>
              <w:t>东</w:t>
            </w:r>
          </w:p>
        </w:tc>
        <w:tc>
          <w:tcPr>
            <w:tcW w:w="761" w:type="pct"/>
            <w:noWrap/>
            <w:vAlign w:val="center"/>
          </w:tcPr>
          <w:p w14:paraId="12353A63">
            <w:pPr>
              <w:widowControl/>
              <w:spacing w:before="0" w:beforeLines="0" w:after="156" w:line="240" w:lineRule="auto"/>
              <w:contextualSpacing/>
              <w:jc w:val="center"/>
              <w:rPr>
                <w:kern w:val="0"/>
                <w:szCs w:val="21"/>
              </w:rPr>
            </w:pPr>
            <w:r>
              <w:rPr>
                <w:rFonts w:hint="eastAsia"/>
                <w:kern w:val="0"/>
                <w:szCs w:val="21"/>
              </w:rPr>
              <w:t>55,-16</w:t>
            </w:r>
          </w:p>
        </w:tc>
        <w:tc>
          <w:tcPr>
            <w:tcW w:w="508" w:type="pct"/>
            <w:noWrap/>
            <w:vAlign w:val="center"/>
          </w:tcPr>
          <w:p w14:paraId="1F0DB31F">
            <w:pPr>
              <w:widowControl/>
              <w:spacing w:before="0" w:beforeLines="0" w:after="156" w:line="240" w:lineRule="auto"/>
              <w:contextualSpacing/>
              <w:jc w:val="center"/>
              <w:rPr>
                <w:kern w:val="0"/>
                <w:szCs w:val="21"/>
              </w:rPr>
            </w:pPr>
            <w:r>
              <w:rPr>
                <w:rFonts w:hint="eastAsia"/>
                <w:kern w:val="0"/>
                <w:szCs w:val="21"/>
              </w:rPr>
              <w:t>294.95</w:t>
            </w:r>
          </w:p>
        </w:tc>
        <w:tc>
          <w:tcPr>
            <w:tcW w:w="406" w:type="pct"/>
            <w:noWrap/>
            <w:vAlign w:val="bottom"/>
          </w:tcPr>
          <w:p w14:paraId="6B9D66DA">
            <w:pPr>
              <w:widowControl/>
              <w:spacing w:before="0" w:beforeLines="0" w:after="156" w:line="240" w:lineRule="auto"/>
              <w:contextualSpacing/>
              <w:jc w:val="center"/>
              <w:rPr>
                <w:kern w:val="0"/>
                <w:sz w:val="22"/>
                <w:szCs w:val="22"/>
              </w:rPr>
            </w:pPr>
            <w:r>
              <w:rPr>
                <w:rFonts w:hint="eastAsia"/>
                <w:kern w:val="0"/>
                <w:szCs w:val="21"/>
              </w:rPr>
              <w:t>1小时</w:t>
            </w:r>
          </w:p>
        </w:tc>
        <w:tc>
          <w:tcPr>
            <w:tcW w:w="558" w:type="pct"/>
            <w:noWrap/>
            <w:vAlign w:val="center"/>
          </w:tcPr>
          <w:p w14:paraId="107FBB0D">
            <w:pPr>
              <w:widowControl/>
              <w:spacing w:before="0" w:beforeLines="0" w:after="156" w:line="240" w:lineRule="auto"/>
              <w:contextualSpacing/>
              <w:jc w:val="center"/>
              <w:rPr>
                <w:kern w:val="0"/>
                <w:sz w:val="22"/>
                <w:szCs w:val="22"/>
              </w:rPr>
            </w:pPr>
            <w:r>
              <w:rPr>
                <w:kern w:val="0"/>
                <w:szCs w:val="21"/>
              </w:rPr>
              <w:t>736.762</w:t>
            </w:r>
          </w:p>
        </w:tc>
        <w:tc>
          <w:tcPr>
            <w:tcW w:w="710" w:type="pct"/>
            <w:noWrap/>
            <w:vAlign w:val="center"/>
          </w:tcPr>
          <w:p w14:paraId="0F378CF6">
            <w:pPr>
              <w:widowControl/>
              <w:spacing w:before="0" w:beforeLines="0" w:after="156" w:line="240" w:lineRule="auto"/>
              <w:contextualSpacing/>
              <w:jc w:val="center"/>
              <w:rPr>
                <w:kern w:val="0"/>
                <w:sz w:val="22"/>
                <w:szCs w:val="22"/>
              </w:rPr>
            </w:pPr>
            <w:r>
              <w:rPr>
                <w:kern w:val="0"/>
                <w:szCs w:val="21"/>
              </w:rPr>
              <w:t>25121415</w:t>
            </w:r>
          </w:p>
        </w:tc>
        <w:tc>
          <w:tcPr>
            <w:tcW w:w="661" w:type="pct"/>
            <w:noWrap/>
            <w:vAlign w:val="center"/>
          </w:tcPr>
          <w:p w14:paraId="6127656C">
            <w:pPr>
              <w:widowControl/>
              <w:spacing w:before="0" w:beforeLines="0" w:after="156" w:line="240" w:lineRule="auto"/>
              <w:contextualSpacing/>
              <w:jc w:val="center"/>
              <w:rPr>
                <w:kern w:val="0"/>
                <w:sz w:val="22"/>
                <w:szCs w:val="22"/>
              </w:rPr>
            </w:pPr>
            <w:r>
              <w:rPr>
                <w:kern w:val="0"/>
                <w:szCs w:val="21"/>
              </w:rPr>
              <w:t>1000</w:t>
            </w:r>
          </w:p>
        </w:tc>
        <w:tc>
          <w:tcPr>
            <w:tcW w:w="406" w:type="pct"/>
            <w:noWrap/>
            <w:vAlign w:val="center"/>
          </w:tcPr>
          <w:p w14:paraId="3F6AD8F2">
            <w:pPr>
              <w:widowControl/>
              <w:spacing w:before="0" w:beforeLines="0" w:after="156" w:line="240" w:lineRule="auto"/>
              <w:contextualSpacing/>
              <w:jc w:val="center"/>
              <w:rPr>
                <w:kern w:val="0"/>
                <w:sz w:val="22"/>
                <w:szCs w:val="22"/>
              </w:rPr>
            </w:pPr>
            <w:r>
              <w:rPr>
                <w:kern w:val="0"/>
                <w:szCs w:val="21"/>
              </w:rPr>
              <w:t xml:space="preserve">73.68 </w:t>
            </w:r>
          </w:p>
        </w:tc>
        <w:tc>
          <w:tcPr>
            <w:tcW w:w="430" w:type="pct"/>
            <w:noWrap/>
            <w:vAlign w:val="bottom"/>
          </w:tcPr>
          <w:p w14:paraId="0111874C">
            <w:pPr>
              <w:widowControl/>
              <w:spacing w:before="0" w:beforeLines="0" w:after="156" w:line="240" w:lineRule="auto"/>
              <w:contextualSpacing/>
              <w:jc w:val="center"/>
              <w:rPr>
                <w:kern w:val="0"/>
                <w:sz w:val="22"/>
                <w:szCs w:val="22"/>
              </w:rPr>
            </w:pPr>
            <w:r>
              <w:rPr>
                <w:rFonts w:hint="eastAsia"/>
                <w:kern w:val="0"/>
                <w:szCs w:val="21"/>
              </w:rPr>
              <w:t>达标</w:t>
            </w:r>
          </w:p>
        </w:tc>
      </w:tr>
    </w:tbl>
    <w:p w14:paraId="051BC984">
      <w:pPr>
        <w:pStyle w:val="5"/>
        <w:spacing w:before="156" w:after="156"/>
        <w:rPr>
          <w:color w:val="auto"/>
        </w:rPr>
      </w:pPr>
      <w:r>
        <w:rPr>
          <w:rFonts w:hint="eastAsia"/>
          <w:color w:val="auto"/>
        </w:rPr>
        <w:t>5.2.4大气环境防护</w:t>
      </w:r>
      <w:r>
        <w:rPr>
          <w:color w:val="auto"/>
        </w:rPr>
        <w:t>距离</w:t>
      </w:r>
      <w:r>
        <w:rPr>
          <w:color w:val="auto"/>
        </w:rPr>
        <w:tab/>
      </w:r>
    </w:p>
    <w:p w14:paraId="160E84BD">
      <w:pPr>
        <w:spacing w:before="0" w:beforeLines="0" w:line="360" w:lineRule="auto"/>
        <w:ind w:firstLine="482"/>
        <w:jc w:val="left"/>
        <w:rPr>
          <w:sz w:val="24"/>
          <w:szCs w:val="20"/>
        </w:rPr>
      </w:pPr>
      <w:r>
        <w:rPr>
          <w:rFonts w:hint="eastAsia"/>
          <w:sz w:val="24"/>
          <w:szCs w:val="20"/>
        </w:rPr>
        <w:t>考虑厂</w:t>
      </w:r>
      <w:r>
        <w:rPr>
          <w:sz w:val="24"/>
          <w:szCs w:val="20"/>
        </w:rPr>
        <w:t>内所有源，采用</w:t>
      </w:r>
      <w:r>
        <w:rPr>
          <w:rFonts w:hint="eastAsia"/>
          <w:sz w:val="24"/>
          <w:szCs w:val="20"/>
        </w:rPr>
        <w:t>50m网</w:t>
      </w:r>
      <w:r>
        <w:rPr>
          <w:sz w:val="24"/>
          <w:szCs w:val="20"/>
        </w:rPr>
        <w:t>格，预测</w:t>
      </w:r>
      <w:r>
        <w:rPr>
          <w:rFonts w:hint="eastAsia"/>
          <w:sz w:val="24"/>
          <w:szCs w:val="20"/>
        </w:rPr>
        <w:t>各</w:t>
      </w:r>
      <w:r>
        <w:rPr>
          <w:sz w:val="24"/>
          <w:szCs w:val="20"/>
        </w:rPr>
        <w:t>污染物短期</w:t>
      </w:r>
      <w:r>
        <w:rPr>
          <w:rFonts w:hint="eastAsia"/>
          <w:sz w:val="24"/>
          <w:szCs w:val="20"/>
        </w:rPr>
        <w:t>最</w:t>
      </w:r>
      <w:r>
        <w:rPr>
          <w:sz w:val="24"/>
          <w:szCs w:val="20"/>
        </w:rPr>
        <w:t>大</w:t>
      </w:r>
      <w:r>
        <w:rPr>
          <w:rFonts w:hint="eastAsia"/>
          <w:sz w:val="24"/>
          <w:szCs w:val="20"/>
        </w:rPr>
        <w:t>贡献浓度，</w:t>
      </w:r>
      <w:r>
        <w:rPr>
          <w:sz w:val="24"/>
          <w:szCs w:val="20"/>
        </w:rPr>
        <w:t>结果见表</w:t>
      </w:r>
      <w:r>
        <w:rPr>
          <w:rFonts w:hint="eastAsia"/>
          <w:sz w:val="24"/>
          <w:szCs w:val="20"/>
        </w:rPr>
        <w:t>5.2-19至</w:t>
      </w:r>
      <w:r>
        <w:rPr>
          <w:sz w:val="24"/>
          <w:szCs w:val="20"/>
        </w:rPr>
        <w:t>表</w:t>
      </w:r>
      <w:r>
        <w:rPr>
          <w:rFonts w:hint="eastAsia"/>
          <w:sz w:val="24"/>
          <w:szCs w:val="20"/>
        </w:rPr>
        <w:t>5.2-20，由</w:t>
      </w:r>
      <w:r>
        <w:rPr>
          <w:sz w:val="24"/>
          <w:szCs w:val="20"/>
        </w:rPr>
        <w:t>预测结果</w:t>
      </w:r>
      <w:r>
        <w:rPr>
          <w:rFonts w:hint="eastAsia"/>
          <w:sz w:val="24"/>
          <w:szCs w:val="20"/>
        </w:rPr>
        <w:t>可</w:t>
      </w:r>
      <w:r>
        <w:rPr>
          <w:sz w:val="24"/>
          <w:szCs w:val="20"/>
        </w:rPr>
        <w:t>见，厂界外污染物短期</w:t>
      </w:r>
      <w:r>
        <w:rPr>
          <w:rFonts w:hint="eastAsia"/>
          <w:sz w:val="24"/>
          <w:szCs w:val="20"/>
        </w:rPr>
        <w:t>最</w:t>
      </w:r>
      <w:r>
        <w:rPr>
          <w:sz w:val="24"/>
          <w:szCs w:val="20"/>
        </w:rPr>
        <w:t>大</w:t>
      </w:r>
      <w:r>
        <w:rPr>
          <w:rFonts w:hint="eastAsia"/>
          <w:sz w:val="24"/>
          <w:szCs w:val="20"/>
        </w:rPr>
        <w:t>贡献浓度均</w:t>
      </w:r>
      <w:r>
        <w:rPr>
          <w:sz w:val="24"/>
          <w:szCs w:val="20"/>
        </w:rPr>
        <w:t>可满足</w:t>
      </w:r>
      <w:r>
        <w:rPr>
          <w:rFonts w:hint="eastAsia"/>
          <w:sz w:val="24"/>
          <w:szCs w:val="20"/>
        </w:rPr>
        <w:t>标准要求</w:t>
      </w:r>
      <w:r>
        <w:rPr>
          <w:sz w:val="24"/>
          <w:szCs w:val="20"/>
        </w:rPr>
        <w:t>，因此无需设置大气环境防护距离。</w:t>
      </w:r>
    </w:p>
    <w:p w14:paraId="46071632">
      <w:pPr>
        <w:tabs>
          <w:tab w:val="left" w:pos="2880"/>
        </w:tabs>
        <w:adjustRightInd w:val="0"/>
        <w:snapToGrid w:val="0"/>
        <w:spacing w:before="0" w:beforeLines="0" w:line="240" w:lineRule="auto"/>
        <w:jc w:val="center"/>
        <w:rPr>
          <w:b/>
          <w:bCs/>
          <w:szCs w:val="21"/>
        </w:rPr>
      </w:pPr>
      <w:r>
        <w:rPr>
          <w:rFonts w:hint="eastAsia"/>
          <w:b/>
          <w:bCs/>
          <w:szCs w:val="21"/>
        </w:rPr>
        <w:t xml:space="preserve">表5.2-19   </w:t>
      </w:r>
      <w:r>
        <w:rPr>
          <w:b/>
          <w:bCs/>
          <w:szCs w:val="21"/>
        </w:rPr>
        <w:t>全厂源PM</w:t>
      </w:r>
      <w:r>
        <w:rPr>
          <w:b/>
          <w:bCs/>
          <w:szCs w:val="21"/>
          <w:vertAlign w:val="subscript"/>
        </w:rPr>
        <w:t>10</w:t>
      </w:r>
      <w:r>
        <w:rPr>
          <w:b/>
          <w:bCs/>
          <w:szCs w:val="21"/>
        </w:rPr>
        <w:t>最大贡献浓度预测结果</w:t>
      </w:r>
    </w:p>
    <w:tbl>
      <w:tblPr>
        <w:tblStyle w:val="348"/>
        <w:tblW w:w="5000"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28" w:type="dxa"/>
          <w:bottom w:w="0" w:type="dxa"/>
          <w:right w:w="28" w:type="dxa"/>
        </w:tblCellMar>
      </w:tblPr>
      <w:tblGrid>
        <w:gridCol w:w="345"/>
        <w:gridCol w:w="1215"/>
        <w:gridCol w:w="1059"/>
        <w:gridCol w:w="726"/>
        <w:gridCol w:w="564"/>
        <w:gridCol w:w="1165"/>
        <w:gridCol w:w="1109"/>
        <w:gridCol w:w="1056"/>
        <w:gridCol w:w="559"/>
        <w:gridCol w:w="514"/>
      </w:tblGrid>
      <w:tr w14:paraId="7DD33ED5">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288" w:hRule="atLeast"/>
          <w:jc w:val="center"/>
        </w:trPr>
        <w:tc>
          <w:tcPr>
            <w:tcW w:w="208" w:type="pct"/>
            <w:noWrap/>
            <w:vAlign w:val="center"/>
          </w:tcPr>
          <w:p w14:paraId="18EB61F5">
            <w:pPr>
              <w:widowControl/>
              <w:snapToGrid w:val="0"/>
              <w:spacing w:before="0" w:beforeLines="0" w:line="240" w:lineRule="auto"/>
              <w:contextualSpacing w:val="0"/>
              <w:jc w:val="center"/>
              <w:rPr>
                <w:kern w:val="0"/>
                <w:szCs w:val="21"/>
              </w:rPr>
            </w:pPr>
            <w:r>
              <w:rPr>
                <w:kern w:val="0"/>
                <w:szCs w:val="21"/>
              </w:rPr>
              <w:t>序号</w:t>
            </w:r>
          </w:p>
        </w:tc>
        <w:tc>
          <w:tcPr>
            <w:tcW w:w="731" w:type="pct"/>
            <w:noWrap/>
            <w:vAlign w:val="center"/>
          </w:tcPr>
          <w:p w14:paraId="1919B173">
            <w:pPr>
              <w:widowControl/>
              <w:snapToGrid w:val="0"/>
              <w:spacing w:before="0" w:beforeLines="0" w:line="240" w:lineRule="auto"/>
              <w:contextualSpacing w:val="0"/>
              <w:jc w:val="center"/>
              <w:rPr>
                <w:kern w:val="0"/>
                <w:szCs w:val="21"/>
              </w:rPr>
            </w:pPr>
            <w:r>
              <w:rPr>
                <w:kern w:val="0"/>
                <w:szCs w:val="21"/>
              </w:rPr>
              <w:t>点名称</w:t>
            </w:r>
          </w:p>
        </w:tc>
        <w:tc>
          <w:tcPr>
            <w:tcW w:w="637" w:type="pct"/>
            <w:noWrap/>
            <w:vAlign w:val="center"/>
          </w:tcPr>
          <w:p w14:paraId="09B93A29">
            <w:pPr>
              <w:widowControl/>
              <w:snapToGrid w:val="0"/>
              <w:spacing w:before="0" w:beforeLines="0" w:line="240" w:lineRule="auto"/>
              <w:contextualSpacing w:val="0"/>
              <w:jc w:val="center"/>
              <w:rPr>
                <w:kern w:val="0"/>
                <w:szCs w:val="21"/>
              </w:rPr>
            </w:pPr>
            <w:r>
              <w:rPr>
                <w:kern w:val="0"/>
                <w:szCs w:val="21"/>
              </w:rPr>
              <w:t>点坐标(x或r,y或a)</w:t>
            </w:r>
          </w:p>
        </w:tc>
        <w:tc>
          <w:tcPr>
            <w:tcW w:w="437" w:type="pct"/>
            <w:noWrap/>
            <w:vAlign w:val="center"/>
          </w:tcPr>
          <w:p w14:paraId="21F8DEE9">
            <w:pPr>
              <w:widowControl/>
              <w:snapToGrid w:val="0"/>
              <w:spacing w:before="0" w:beforeLines="0" w:line="240" w:lineRule="auto"/>
              <w:contextualSpacing w:val="0"/>
              <w:jc w:val="center"/>
              <w:rPr>
                <w:kern w:val="0"/>
                <w:szCs w:val="21"/>
              </w:rPr>
            </w:pPr>
            <w:r>
              <w:rPr>
                <w:kern w:val="0"/>
                <w:szCs w:val="21"/>
              </w:rPr>
              <w:t>地面高程(m)</w:t>
            </w:r>
          </w:p>
        </w:tc>
        <w:tc>
          <w:tcPr>
            <w:tcW w:w="339" w:type="pct"/>
            <w:noWrap/>
            <w:vAlign w:val="center"/>
          </w:tcPr>
          <w:p w14:paraId="638C43F8">
            <w:pPr>
              <w:widowControl/>
              <w:snapToGrid w:val="0"/>
              <w:spacing w:before="0" w:beforeLines="0" w:line="240" w:lineRule="auto"/>
              <w:contextualSpacing w:val="0"/>
              <w:jc w:val="center"/>
              <w:rPr>
                <w:kern w:val="0"/>
                <w:szCs w:val="21"/>
              </w:rPr>
            </w:pPr>
            <w:r>
              <w:rPr>
                <w:kern w:val="0"/>
                <w:szCs w:val="21"/>
              </w:rPr>
              <w:t>平均时段</w:t>
            </w:r>
          </w:p>
        </w:tc>
        <w:tc>
          <w:tcPr>
            <w:tcW w:w="701" w:type="pct"/>
            <w:noWrap/>
            <w:vAlign w:val="center"/>
          </w:tcPr>
          <w:p w14:paraId="17186B32">
            <w:pPr>
              <w:widowControl/>
              <w:snapToGrid w:val="0"/>
              <w:spacing w:before="0" w:beforeLines="0" w:line="240" w:lineRule="auto"/>
              <w:contextualSpacing w:val="0"/>
              <w:jc w:val="center"/>
              <w:rPr>
                <w:kern w:val="0"/>
                <w:szCs w:val="21"/>
              </w:rPr>
            </w:pPr>
            <w:r>
              <w:rPr>
                <w:kern w:val="0"/>
                <w:szCs w:val="21"/>
              </w:rPr>
              <w:t>最大贡献值(μg/m^3)</w:t>
            </w:r>
          </w:p>
        </w:tc>
        <w:tc>
          <w:tcPr>
            <w:tcW w:w="667" w:type="pct"/>
            <w:noWrap/>
            <w:vAlign w:val="center"/>
          </w:tcPr>
          <w:p w14:paraId="1ED5186F">
            <w:pPr>
              <w:widowControl/>
              <w:snapToGrid w:val="0"/>
              <w:spacing w:before="0" w:beforeLines="0" w:line="240" w:lineRule="auto"/>
              <w:contextualSpacing w:val="0"/>
              <w:jc w:val="center"/>
              <w:rPr>
                <w:kern w:val="0"/>
                <w:szCs w:val="21"/>
              </w:rPr>
            </w:pPr>
            <w:r>
              <w:rPr>
                <w:kern w:val="0"/>
                <w:szCs w:val="21"/>
              </w:rPr>
              <w:t>出现时间(YYMMDDHH)</w:t>
            </w:r>
          </w:p>
        </w:tc>
        <w:tc>
          <w:tcPr>
            <w:tcW w:w="635" w:type="pct"/>
            <w:noWrap/>
            <w:vAlign w:val="center"/>
          </w:tcPr>
          <w:p w14:paraId="701727CC">
            <w:pPr>
              <w:widowControl/>
              <w:snapToGrid w:val="0"/>
              <w:spacing w:before="0" w:beforeLines="0" w:line="240" w:lineRule="auto"/>
              <w:contextualSpacing w:val="0"/>
              <w:jc w:val="center"/>
              <w:rPr>
                <w:kern w:val="0"/>
                <w:szCs w:val="21"/>
              </w:rPr>
            </w:pPr>
            <w:r>
              <w:rPr>
                <w:kern w:val="0"/>
                <w:szCs w:val="21"/>
              </w:rPr>
              <w:t>评价标准(μg/m^3)</w:t>
            </w:r>
          </w:p>
        </w:tc>
        <w:tc>
          <w:tcPr>
            <w:tcW w:w="336" w:type="pct"/>
            <w:noWrap/>
            <w:vAlign w:val="center"/>
          </w:tcPr>
          <w:p w14:paraId="435EB645">
            <w:pPr>
              <w:widowControl/>
              <w:snapToGrid w:val="0"/>
              <w:spacing w:before="0" w:beforeLines="0" w:line="240" w:lineRule="auto"/>
              <w:contextualSpacing w:val="0"/>
              <w:jc w:val="center"/>
              <w:rPr>
                <w:kern w:val="0"/>
                <w:szCs w:val="21"/>
              </w:rPr>
            </w:pPr>
            <w:r>
              <w:rPr>
                <w:kern w:val="0"/>
                <w:szCs w:val="21"/>
              </w:rPr>
              <w:t>占标率%</w:t>
            </w:r>
          </w:p>
        </w:tc>
        <w:tc>
          <w:tcPr>
            <w:tcW w:w="310" w:type="pct"/>
            <w:noWrap/>
            <w:vAlign w:val="center"/>
          </w:tcPr>
          <w:p w14:paraId="238343F8">
            <w:pPr>
              <w:widowControl/>
              <w:snapToGrid w:val="0"/>
              <w:spacing w:before="0" w:beforeLines="0" w:line="240" w:lineRule="auto"/>
              <w:contextualSpacing w:val="0"/>
              <w:jc w:val="center"/>
              <w:rPr>
                <w:kern w:val="0"/>
                <w:szCs w:val="21"/>
              </w:rPr>
            </w:pPr>
            <w:r>
              <w:rPr>
                <w:kern w:val="0"/>
                <w:szCs w:val="21"/>
              </w:rPr>
              <w:t>达标情况</w:t>
            </w:r>
          </w:p>
        </w:tc>
      </w:tr>
      <w:tr w14:paraId="26D81D4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288" w:hRule="atLeast"/>
          <w:jc w:val="center"/>
        </w:trPr>
        <w:tc>
          <w:tcPr>
            <w:tcW w:w="208" w:type="pct"/>
            <w:noWrap/>
            <w:vAlign w:val="center"/>
          </w:tcPr>
          <w:p w14:paraId="2C1E64FF">
            <w:pPr>
              <w:widowControl/>
              <w:snapToGrid w:val="0"/>
              <w:spacing w:before="0" w:beforeLines="0" w:line="240" w:lineRule="auto"/>
              <w:contextualSpacing w:val="0"/>
              <w:jc w:val="center"/>
              <w:rPr>
                <w:kern w:val="0"/>
                <w:szCs w:val="21"/>
              </w:rPr>
            </w:pPr>
            <w:r>
              <w:rPr>
                <w:kern w:val="0"/>
                <w:szCs w:val="21"/>
              </w:rPr>
              <w:t>1</w:t>
            </w:r>
          </w:p>
        </w:tc>
        <w:tc>
          <w:tcPr>
            <w:tcW w:w="731" w:type="pct"/>
            <w:noWrap/>
            <w:vAlign w:val="center"/>
          </w:tcPr>
          <w:p w14:paraId="2515489B">
            <w:pPr>
              <w:widowControl/>
              <w:snapToGrid w:val="0"/>
              <w:spacing w:before="0" w:beforeLines="0" w:line="240" w:lineRule="auto"/>
              <w:contextualSpacing w:val="0"/>
              <w:jc w:val="center"/>
              <w:rPr>
                <w:kern w:val="0"/>
                <w:szCs w:val="21"/>
              </w:rPr>
            </w:pPr>
            <w:r>
              <w:rPr>
                <w:kern w:val="0"/>
                <w:szCs w:val="21"/>
              </w:rPr>
              <w:t>区域最大落地浓度点</w:t>
            </w:r>
          </w:p>
        </w:tc>
        <w:tc>
          <w:tcPr>
            <w:tcW w:w="637" w:type="pct"/>
            <w:noWrap/>
            <w:vAlign w:val="center"/>
          </w:tcPr>
          <w:p w14:paraId="3C8F1E1A">
            <w:pPr>
              <w:widowControl/>
              <w:snapToGrid w:val="0"/>
              <w:spacing w:before="0" w:beforeLines="0" w:line="240" w:lineRule="auto"/>
              <w:contextualSpacing w:val="0"/>
              <w:jc w:val="center"/>
              <w:rPr>
                <w:kern w:val="0"/>
                <w:szCs w:val="21"/>
              </w:rPr>
            </w:pPr>
            <w:r>
              <w:rPr>
                <w:rFonts w:hint="eastAsia"/>
                <w:kern w:val="0"/>
                <w:szCs w:val="21"/>
              </w:rPr>
              <w:t>0</w:t>
            </w:r>
            <w:r>
              <w:rPr>
                <w:kern w:val="0"/>
                <w:szCs w:val="21"/>
              </w:rPr>
              <w:t>,</w:t>
            </w:r>
            <w:r>
              <w:rPr>
                <w:rFonts w:hint="eastAsia"/>
                <w:kern w:val="0"/>
                <w:szCs w:val="21"/>
              </w:rPr>
              <w:t>1</w:t>
            </w:r>
            <w:r>
              <w:rPr>
                <w:kern w:val="0"/>
                <w:szCs w:val="21"/>
              </w:rPr>
              <w:t>50</w:t>
            </w:r>
          </w:p>
        </w:tc>
        <w:tc>
          <w:tcPr>
            <w:tcW w:w="437" w:type="pct"/>
            <w:noWrap/>
            <w:vAlign w:val="center"/>
          </w:tcPr>
          <w:p w14:paraId="5982A356">
            <w:pPr>
              <w:widowControl/>
              <w:snapToGrid w:val="0"/>
              <w:spacing w:before="0" w:beforeLines="0" w:line="240" w:lineRule="auto"/>
              <w:contextualSpacing w:val="0"/>
              <w:jc w:val="center"/>
              <w:rPr>
                <w:kern w:val="0"/>
                <w:szCs w:val="21"/>
              </w:rPr>
            </w:pPr>
            <w:r>
              <w:rPr>
                <w:rFonts w:hint="eastAsia"/>
                <w:kern w:val="0"/>
                <w:szCs w:val="21"/>
              </w:rPr>
              <w:t>300.20</w:t>
            </w:r>
          </w:p>
        </w:tc>
        <w:tc>
          <w:tcPr>
            <w:tcW w:w="339" w:type="pct"/>
            <w:noWrap/>
            <w:vAlign w:val="center"/>
          </w:tcPr>
          <w:p w14:paraId="03C0F68F">
            <w:pPr>
              <w:widowControl/>
              <w:snapToGrid w:val="0"/>
              <w:spacing w:before="0" w:beforeLines="0" w:line="240" w:lineRule="auto"/>
              <w:contextualSpacing w:val="0"/>
              <w:jc w:val="center"/>
              <w:rPr>
                <w:kern w:val="0"/>
                <w:szCs w:val="21"/>
              </w:rPr>
            </w:pPr>
            <w:r>
              <w:rPr>
                <w:kern w:val="0"/>
                <w:szCs w:val="21"/>
              </w:rPr>
              <w:t>日平均</w:t>
            </w:r>
          </w:p>
        </w:tc>
        <w:tc>
          <w:tcPr>
            <w:tcW w:w="701" w:type="pct"/>
            <w:noWrap/>
            <w:vAlign w:val="center"/>
          </w:tcPr>
          <w:p w14:paraId="1CBF7709">
            <w:pPr>
              <w:widowControl/>
              <w:snapToGrid w:val="0"/>
              <w:spacing w:before="0" w:beforeLines="0" w:line="240" w:lineRule="auto"/>
              <w:contextualSpacing w:val="0"/>
              <w:jc w:val="center"/>
              <w:rPr>
                <w:kern w:val="0"/>
                <w:szCs w:val="21"/>
              </w:rPr>
            </w:pPr>
            <w:r>
              <w:rPr>
                <w:rFonts w:hint="eastAsia"/>
                <w:kern w:val="0"/>
                <w:szCs w:val="21"/>
              </w:rPr>
              <w:t>14.4082</w:t>
            </w:r>
          </w:p>
        </w:tc>
        <w:tc>
          <w:tcPr>
            <w:tcW w:w="667" w:type="pct"/>
            <w:noWrap/>
            <w:vAlign w:val="center"/>
          </w:tcPr>
          <w:p w14:paraId="784658C0">
            <w:pPr>
              <w:widowControl/>
              <w:snapToGrid w:val="0"/>
              <w:spacing w:before="0" w:beforeLines="0" w:line="240" w:lineRule="auto"/>
              <w:contextualSpacing w:val="0"/>
              <w:jc w:val="center"/>
              <w:rPr>
                <w:kern w:val="0"/>
                <w:szCs w:val="21"/>
              </w:rPr>
            </w:pPr>
            <w:r>
              <w:rPr>
                <w:kern w:val="0"/>
                <w:szCs w:val="21"/>
              </w:rPr>
              <w:t>2</w:t>
            </w:r>
            <w:r>
              <w:rPr>
                <w:rFonts w:hint="eastAsia"/>
                <w:kern w:val="0"/>
                <w:szCs w:val="21"/>
              </w:rPr>
              <w:t>5</w:t>
            </w:r>
            <w:r>
              <w:rPr>
                <w:kern w:val="0"/>
                <w:szCs w:val="21"/>
              </w:rPr>
              <w:t>08</w:t>
            </w:r>
            <w:r>
              <w:rPr>
                <w:rFonts w:hint="eastAsia"/>
                <w:kern w:val="0"/>
                <w:szCs w:val="21"/>
              </w:rPr>
              <w:t>20</w:t>
            </w:r>
          </w:p>
        </w:tc>
        <w:tc>
          <w:tcPr>
            <w:tcW w:w="635" w:type="pct"/>
            <w:noWrap/>
            <w:vAlign w:val="center"/>
          </w:tcPr>
          <w:p w14:paraId="3DC7BEB4">
            <w:pPr>
              <w:widowControl/>
              <w:snapToGrid w:val="0"/>
              <w:spacing w:before="0" w:beforeLines="0" w:line="240" w:lineRule="auto"/>
              <w:contextualSpacing w:val="0"/>
              <w:jc w:val="center"/>
              <w:rPr>
                <w:kern w:val="0"/>
                <w:szCs w:val="21"/>
              </w:rPr>
            </w:pPr>
            <w:r>
              <w:rPr>
                <w:rFonts w:hint="eastAsia"/>
                <w:kern w:val="0"/>
                <w:szCs w:val="21"/>
              </w:rPr>
              <w:t>120</w:t>
            </w:r>
          </w:p>
        </w:tc>
        <w:tc>
          <w:tcPr>
            <w:tcW w:w="336" w:type="pct"/>
            <w:noWrap/>
            <w:vAlign w:val="center"/>
          </w:tcPr>
          <w:p w14:paraId="32EBCA18">
            <w:pPr>
              <w:widowControl/>
              <w:snapToGrid w:val="0"/>
              <w:spacing w:before="0" w:beforeLines="0" w:line="240" w:lineRule="auto"/>
              <w:contextualSpacing w:val="0"/>
              <w:jc w:val="center"/>
              <w:rPr>
                <w:kern w:val="0"/>
                <w:szCs w:val="21"/>
              </w:rPr>
            </w:pPr>
            <w:r>
              <w:rPr>
                <w:rFonts w:hint="eastAsia"/>
                <w:kern w:val="0"/>
                <w:szCs w:val="21"/>
              </w:rPr>
              <w:t>12.01</w:t>
            </w:r>
          </w:p>
        </w:tc>
        <w:tc>
          <w:tcPr>
            <w:tcW w:w="310" w:type="pct"/>
            <w:noWrap/>
            <w:vAlign w:val="center"/>
          </w:tcPr>
          <w:p w14:paraId="1AB4D83B">
            <w:pPr>
              <w:widowControl/>
              <w:snapToGrid w:val="0"/>
              <w:spacing w:before="0" w:beforeLines="0" w:line="240" w:lineRule="auto"/>
              <w:contextualSpacing w:val="0"/>
              <w:jc w:val="center"/>
              <w:rPr>
                <w:kern w:val="0"/>
                <w:szCs w:val="21"/>
              </w:rPr>
            </w:pPr>
            <w:r>
              <w:rPr>
                <w:kern w:val="0"/>
                <w:szCs w:val="21"/>
              </w:rPr>
              <w:t>达标</w:t>
            </w:r>
          </w:p>
        </w:tc>
      </w:tr>
    </w:tbl>
    <w:p w14:paraId="5326E44A">
      <w:pPr>
        <w:tabs>
          <w:tab w:val="left" w:pos="2880"/>
        </w:tabs>
        <w:adjustRightInd w:val="0"/>
        <w:snapToGrid w:val="0"/>
        <w:spacing w:before="0" w:beforeLines="0" w:line="240" w:lineRule="auto"/>
        <w:ind w:firstLine="3162" w:firstLineChars="1500"/>
        <w:rPr>
          <w:b/>
          <w:bCs/>
          <w:szCs w:val="21"/>
        </w:rPr>
      </w:pPr>
    </w:p>
    <w:p w14:paraId="4BE848CB">
      <w:pPr>
        <w:tabs>
          <w:tab w:val="left" w:pos="2880"/>
        </w:tabs>
        <w:adjustRightInd w:val="0"/>
        <w:snapToGrid w:val="0"/>
        <w:spacing w:before="0" w:beforeLines="0" w:line="240" w:lineRule="auto"/>
        <w:jc w:val="center"/>
        <w:rPr>
          <w:b/>
          <w:bCs/>
          <w:szCs w:val="21"/>
        </w:rPr>
      </w:pPr>
      <w:r>
        <w:rPr>
          <w:rFonts w:hint="eastAsia"/>
          <w:b/>
          <w:bCs/>
          <w:szCs w:val="21"/>
        </w:rPr>
        <w:t xml:space="preserve">表5.2-20    </w:t>
      </w:r>
      <w:r>
        <w:rPr>
          <w:b/>
          <w:bCs/>
          <w:szCs w:val="21"/>
        </w:rPr>
        <w:t>全厂源TSP最大贡献浓度预测结果</w:t>
      </w:r>
    </w:p>
    <w:tbl>
      <w:tblPr>
        <w:tblStyle w:val="348"/>
        <w:tblW w:w="5000"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28" w:type="dxa"/>
          <w:bottom w:w="0" w:type="dxa"/>
          <w:right w:w="28" w:type="dxa"/>
        </w:tblCellMar>
      </w:tblPr>
      <w:tblGrid>
        <w:gridCol w:w="345"/>
        <w:gridCol w:w="1380"/>
        <w:gridCol w:w="894"/>
        <w:gridCol w:w="726"/>
        <w:gridCol w:w="564"/>
        <w:gridCol w:w="1165"/>
        <w:gridCol w:w="1109"/>
        <w:gridCol w:w="1056"/>
        <w:gridCol w:w="559"/>
        <w:gridCol w:w="514"/>
      </w:tblGrid>
      <w:tr w14:paraId="28F7E9EA">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288" w:hRule="atLeast"/>
          <w:jc w:val="center"/>
        </w:trPr>
        <w:tc>
          <w:tcPr>
            <w:tcW w:w="208" w:type="pct"/>
            <w:noWrap/>
            <w:vAlign w:val="center"/>
          </w:tcPr>
          <w:p w14:paraId="293D7455">
            <w:pPr>
              <w:widowControl/>
              <w:snapToGrid w:val="0"/>
              <w:spacing w:before="0" w:beforeLines="0" w:line="240" w:lineRule="auto"/>
              <w:contextualSpacing w:val="0"/>
              <w:jc w:val="center"/>
              <w:rPr>
                <w:kern w:val="0"/>
                <w:szCs w:val="21"/>
              </w:rPr>
            </w:pPr>
            <w:r>
              <w:rPr>
                <w:kern w:val="0"/>
                <w:szCs w:val="21"/>
              </w:rPr>
              <w:t>序号</w:t>
            </w:r>
          </w:p>
        </w:tc>
        <w:tc>
          <w:tcPr>
            <w:tcW w:w="830" w:type="pct"/>
            <w:noWrap/>
            <w:vAlign w:val="center"/>
          </w:tcPr>
          <w:p w14:paraId="35A49987">
            <w:pPr>
              <w:widowControl/>
              <w:snapToGrid w:val="0"/>
              <w:spacing w:before="0" w:beforeLines="0" w:line="240" w:lineRule="auto"/>
              <w:contextualSpacing w:val="0"/>
              <w:jc w:val="center"/>
              <w:rPr>
                <w:kern w:val="0"/>
                <w:szCs w:val="21"/>
              </w:rPr>
            </w:pPr>
            <w:r>
              <w:rPr>
                <w:kern w:val="0"/>
                <w:szCs w:val="21"/>
              </w:rPr>
              <w:t>点名称</w:t>
            </w:r>
          </w:p>
        </w:tc>
        <w:tc>
          <w:tcPr>
            <w:tcW w:w="538" w:type="pct"/>
            <w:noWrap/>
            <w:vAlign w:val="center"/>
          </w:tcPr>
          <w:p w14:paraId="06A28FD0">
            <w:pPr>
              <w:widowControl/>
              <w:snapToGrid w:val="0"/>
              <w:spacing w:before="0" w:beforeLines="0" w:line="240" w:lineRule="auto"/>
              <w:contextualSpacing w:val="0"/>
              <w:jc w:val="center"/>
              <w:rPr>
                <w:kern w:val="0"/>
                <w:szCs w:val="21"/>
              </w:rPr>
            </w:pPr>
            <w:r>
              <w:rPr>
                <w:kern w:val="0"/>
                <w:szCs w:val="21"/>
              </w:rPr>
              <w:t>点坐标(x或r,y或a)</w:t>
            </w:r>
          </w:p>
        </w:tc>
        <w:tc>
          <w:tcPr>
            <w:tcW w:w="437" w:type="pct"/>
            <w:noWrap/>
            <w:vAlign w:val="center"/>
          </w:tcPr>
          <w:p w14:paraId="2573C1C8">
            <w:pPr>
              <w:widowControl/>
              <w:snapToGrid w:val="0"/>
              <w:spacing w:before="0" w:beforeLines="0" w:line="240" w:lineRule="auto"/>
              <w:contextualSpacing w:val="0"/>
              <w:jc w:val="center"/>
              <w:rPr>
                <w:kern w:val="0"/>
                <w:szCs w:val="21"/>
              </w:rPr>
            </w:pPr>
            <w:r>
              <w:rPr>
                <w:kern w:val="0"/>
                <w:szCs w:val="21"/>
              </w:rPr>
              <w:t>地面高程(m)</w:t>
            </w:r>
          </w:p>
        </w:tc>
        <w:tc>
          <w:tcPr>
            <w:tcW w:w="339" w:type="pct"/>
            <w:noWrap/>
            <w:vAlign w:val="center"/>
          </w:tcPr>
          <w:p w14:paraId="64DDD75E">
            <w:pPr>
              <w:widowControl/>
              <w:snapToGrid w:val="0"/>
              <w:spacing w:before="0" w:beforeLines="0" w:line="240" w:lineRule="auto"/>
              <w:contextualSpacing w:val="0"/>
              <w:jc w:val="center"/>
              <w:rPr>
                <w:kern w:val="0"/>
                <w:szCs w:val="21"/>
              </w:rPr>
            </w:pPr>
            <w:r>
              <w:rPr>
                <w:kern w:val="0"/>
                <w:szCs w:val="21"/>
              </w:rPr>
              <w:t>平均时段</w:t>
            </w:r>
          </w:p>
        </w:tc>
        <w:tc>
          <w:tcPr>
            <w:tcW w:w="701" w:type="pct"/>
            <w:noWrap/>
            <w:vAlign w:val="center"/>
          </w:tcPr>
          <w:p w14:paraId="2D9C1674">
            <w:pPr>
              <w:widowControl/>
              <w:snapToGrid w:val="0"/>
              <w:spacing w:before="0" w:beforeLines="0" w:line="240" w:lineRule="auto"/>
              <w:contextualSpacing w:val="0"/>
              <w:jc w:val="center"/>
              <w:rPr>
                <w:kern w:val="0"/>
                <w:szCs w:val="21"/>
              </w:rPr>
            </w:pPr>
            <w:r>
              <w:rPr>
                <w:kern w:val="0"/>
                <w:szCs w:val="21"/>
              </w:rPr>
              <w:t>最大贡献值(μg/m^3)</w:t>
            </w:r>
          </w:p>
        </w:tc>
        <w:tc>
          <w:tcPr>
            <w:tcW w:w="667" w:type="pct"/>
            <w:noWrap/>
            <w:vAlign w:val="center"/>
          </w:tcPr>
          <w:p w14:paraId="581629CB">
            <w:pPr>
              <w:widowControl/>
              <w:snapToGrid w:val="0"/>
              <w:spacing w:before="0" w:beforeLines="0" w:line="240" w:lineRule="auto"/>
              <w:contextualSpacing w:val="0"/>
              <w:jc w:val="center"/>
              <w:rPr>
                <w:kern w:val="0"/>
                <w:szCs w:val="21"/>
              </w:rPr>
            </w:pPr>
            <w:r>
              <w:rPr>
                <w:kern w:val="0"/>
                <w:szCs w:val="21"/>
              </w:rPr>
              <w:t>出现时间(YYMMDDHH)</w:t>
            </w:r>
          </w:p>
        </w:tc>
        <w:tc>
          <w:tcPr>
            <w:tcW w:w="635" w:type="pct"/>
            <w:noWrap/>
            <w:vAlign w:val="center"/>
          </w:tcPr>
          <w:p w14:paraId="654E3FCA">
            <w:pPr>
              <w:widowControl/>
              <w:snapToGrid w:val="0"/>
              <w:spacing w:before="0" w:beforeLines="0" w:line="240" w:lineRule="auto"/>
              <w:contextualSpacing w:val="0"/>
              <w:jc w:val="center"/>
              <w:rPr>
                <w:kern w:val="0"/>
                <w:szCs w:val="21"/>
              </w:rPr>
            </w:pPr>
            <w:r>
              <w:rPr>
                <w:kern w:val="0"/>
                <w:szCs w:val="21"/>
              </w:rPr>
              <w:t>评价标准(μg/m^3)</w:t>
            </w:r>
          </w:p>
        </w:tc>
        <w:tc>
          <w:tcPr>
            <w:tcW w:w="336" w:type="pct"/>
            <w:noWrap/>
            <w:vAlign w:val="center"/>
          </w:tcPr>
          <w:p w14:paraId="05F20992">
            <w:pPr>
              <w:widowControl/>
              <w:snapToGrid w:val="0"/>
              <w:spacing w:before="0" w:beforeLines="0" w:line="240" w:lineRule="auto"/>
              <w:contextualSpacing w:val="0"/>
              <w:jc w:val="center"/>
              <w:rPr>
                <w:kern w:val="0"/>
                <w:szCs w:val="21"/>
              </w:rPr>
            </w:pPr>
            <w:r>
              <w:rPr>
                <w:kern w:val="0"/>
                <w:szCs w:val="21"/>
              </w:rPr>
              <w:t>占标率%</w:t>
            </w:r>
          </w:p>
        </w:tc>
        <w:tc>
          <w:tcPr>
            <w:tcW w:w="310" w:type="pct"/>
            <w:noWrap/>
            <w:vAlign w:val="center"/>
          </w:tcPr>
          <w:p w14:paraId="3165C9B5">
            <w:pPr>
              <w:widowControl/>
              <w:snapToGrid w:val="0"/>
              <w:spacing w:before="0" w:beforeLines="0" w:line="240" w:lineRule="auto"/>
              <w:contextualSpacing w:val="0"/>
              <w:jc w:val="center"/>
              <w:rPr>
                <w:kern w:val="0"/>
                <w:szCs w:val="21"/>
              </w:rPr>
            </w:pPr>
            <w:r>
              <w:rPr>
                <w:kern w:val="0"/>
                <w:szCs w:val="21"/>
              </w:rPr>
              <w:t>达标情况</w:t>
            </w:r>
          </w:p>
        </w:tc>
      </w:tr>
      <w:tr w14:paraId="50BE9346">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288" w:hRule="atLeast"/>
          <w:jc w:val="center"/>
        </w:trPr>
        <w:tc>
          <w:tcPr>
            <w:tcW w:w="208" w:type="pct"/>
            <w:noWrap/>
            <w:vAlign w:val="center"/>
          </w:tcPr>
          <w:p w14:paraId="49D58296">
            <w:pPr>
              <w:widowControl/>
              <w:snapToGrid w:val="0"/>
              <w:spacing w:before="0" w:beforeLines="0" w:line="240" w:lineRule="auto"/>
              <w:contextualSpacing w:val="0"/>
              <w:jc w:val="center"/>
              <w:rPr>
                <w:kern w:val="0"/>
                <w:szCs w:val="21"/>
              </w:rPr>
            </w:pPr>
            <w:r>
              <w:rPr>
                <w:kern w:val="0"/>
                <w:szCs w:val="21"/>
              </w:rPr>
              <w:t>1</w:t>
            </w:r>
          </w:p>
        </w:tc>
        <w:tc>
          <w:tcPr>
            <w:tcW w:w="830" w:type="pct"/>
            <w:noWrap/>
            <w:vAlign w:val="center"/>
          </w:tcPr>
          <w:p w14:paraId="1EFF8066">
            <w:pPr>
              <w:widowControl/>
              <w:snapToGrid w:val="0"/>
              <w:spacing w:before="0" w:beforeLines="0" w:line="240" w:lineRule="auto"/>
              <w:contextualSpacing w:val="0"/>
              <w:jc w:val="center"/>
              <w:rPr>
                <w:kern w:val="0"/>
                <w:szCs w:val="21"/>
              </w:rPr>
            </w:pPr>
            <w:r>
              <w:rPr>
                <w:kern w:val="0"/>
                <w:szCs w:val="21"/>
              </w:rPr>
              <w:t>区域最大落地浓度点</w:t>
            </w:r>
          </w:p>
        </w:tc>
        <w:tc>
          <w:tcPr>
            <w:tcW w:w="538" w:type="pct"/>
            <w:noWrap/>
            <w:vAlign w:val="center"/>
          </w:tcPr>
          <w:p w14:paraId="4AED7C9B">
            <w:pPr>
              <w:widowControl/>
              <w:snapToGrid w:val="0"/>
              <w:spacing w:before="0" w:beforeLines="0" w:line="240" w:lineRule="auto"/>
              <w:contextualSpacing w:val="0"/>
              <w:jc w:val="center"/>
              <w:rPr>
                <w:kern w:val="0"/>
                <w:szCs w:val="21"/>
              </w:rPr>
            </w:pPr>
            <w:r>
              <w:rPr>
                <w:rFonts w:hint="eastAsia"/>
                <w:kern w:val="0"/>
                <w:szCs w:val="21"/>
              </w:rPr>
              <w:t>50</w:t>
            </w:r>
            <w:r>
              <w:rPr>
                <w:kern w:val="0"/>
                <w:szCs w:val="21"/>
              </w:rPr>
              <w:t>,</w:t>
            </w:r>
            <w:r>
              <w:rPr>
                <w:rFonts w:hint="eastAsia"/>
                <w:kern w:val="0"/>
                <w:szCs w:val="21"/>
              </w:rPr>
              <w:t>-</w:t>
            </w:r>
            <w:r>
              <w:rPr>
                <w:kern w:val="0"/>
                <w:szCs w:val="21"/>
              </w:rPr>
              <w:t>100</w:t>
            </w:r>
          </w:p>
        </w:tc>
        <w:tc>
          <w:tcPr>
            <w:tcW w:w="437" w:type="pct"/>
            <w:noWrap/>
            <w:vAlign w:val="center"/>
          </w:tcPr>
          <w:p w14:paraId="13D21EF4">
            <w:pPr>
              <w:widowControl/>
              <w:snapToGrid w:val="0"/>
              <w:spacing w:before="0" w:beforeLines="0" w:line="240" w:lineRule="auto"/>
              <w:contextualSpacing w:val="0"/>
              <w:jc w:val="center"/>
              <w:rPr>
                <w:kern w:val="0"/>
                <w:szCs w:val="21"/>
              </w:rPr>
            </w:pPr>
            <w:r>
              <w:rPr>
                <w:rFonts w:hint="eastAsia"/>
                <w:kern w:val="0"/>
                <w:szCs w:val="21"/>
              </w:rPr>
              <w:t>292.30</w:t>
            </w:r>
          </w:p>
        </w:tc>
        <w:tc>
          <w:tcPr>
            <w:tcW w:w="339" w:type="pct"/>
            <w:noWrap/>
            <w:vAlign w:val="center"/>
          </w:tcPr>
          <w:p w14:paraId="7EFA258B">
            <w:pPr>
              <w:widowControl/>
              <w:snapToGrid w:val="0"/>
              <w:spacing w:before="0" w:beforeLines="0" w:line="240" w:lineRule="auto"/>
              <w:contextualSpacing w:val="0"/>
              <w:jc w:val="center"/>
              <w:rPr>
                <w:kern w:val="0"/>
                <w:szCs w:val="21"/>
              </w:rPr>
            </w:pPr>
            <w:r>
              <w:rPr>
                <w:kern w:val="0"/>
                <w:szCs w:val="21"/>
              </w:rPr>
              <w:t>日平均</w:t>
            </w:r>
          </w:p>
        </w:tc>
        <w:tc>
          <w:tcPr>
            <w:tcW w:w="701" w:type="pct"/>
            <w:noWrap/>
            <w:vAlign w:val="center"/>
          </w:tcPr>
          <w:p w14:paraId="5D7F3A75">
            <w:pPr>
              <w:widowControl/>
              <w:snapToGrid w:val="0"/>
              <w:spacing w:before="0" w:beforeLines="0" w:line="240" w:lineRule="auto"/>
              <w:contextualSpacing w:val="0"/>
              <w:jc w:val="center"/>
              <w:rPr>
                <w:kern w:val="0"/>
                <w:szCs w:val="21"/>
              </w:rPr>
            </w:pPr>
            <w:r>
              <w:rPr>
                <w:rFonts w:hint="eastAsia"/>
                <w:kern w:val="0"/>
                <w:szCs w:val="21"/>
              </w:rPr>
              <w:t>138.3881</w:t>
            </w:r>
          </w:p>
        </w:tc>
        <w:tc>
          <w:tcPr>
            <w:tcW w:w="667" w:type="pct"/>
            <w:noWrap/>
            <w:vAlign w:val="center"/>
          </w:tcPr>
          <w:p w14:paraId="74F2892C">
            <w:pPr>
              <w:widowControl/>
              <w:snapToGrid w:val="0"/>
              <w:spacing w:before="0" w:beforeLines="0" w:line="240" w:lineRule="auto"/>
              <w:contextualSpacing w:val="0"/>
              <w:jc w:val="center"/>
              <w:rPr>
                <w:kern w:val="0"/>
                <w:szCs w:val="21"/>
              </w:rPr>
            </w:pPr>
            <w:r>
              <w:rPr>
                <w:rFonts w:hint="eastAsia"/>
                <w:kern w:val="0"/>
                <w:szCs w:val="21"/>
              </w:rPr>
              <w:t>251012</w:t>
            </w:r>
          </w:p>
        </w:tc>
        <w:tc>
          <w:tcPr>
            <w:tcW w:w="635" w:type="pct"/>
            <w:noWrap/>
            <w:vAlign w:val="center"/>
          </w:tcPr>
          <w:p w14:paraId="178541B1">
            <w:pPr>
              <w:widowControl/>
              <w:snapToGrid w:val="0"/>
              <w:spacing w:before="0" w:beforeLines="0" w:line="240" w:lineRule="auto"/>
              <w:contextualSpacing w:val="0"/>
              <w:jc w:val="center"/>
              <w:rPr>
                <w:kern w:val="0"/>
                <w:szCs w:val="21"/>
              </w:rPr>
            </w:pPr>
            <w:r>
              <w:rPr>
                <w:kern w:val="0"/>
                <w:szCs w:val="21"/>
              </w:rPr>
              <w:t>300</w:t>
            </w:r>
          </w:p>
        </w:tc>
        <w:tc>
          <w:tcPr>
            <w:tcW w:w="336" w:type="pct"/>
            <w:noWrap/>
            <w:vAlign w:val="center"/>
          </w:tcPr>
          <w:p w14:paraId="6E35DB92">
            <w:pPr>
              <w:widowControl/>
              <w:snapToGrid w:val="0"/>
              <w:spacing w:before="0" w:beforeLines="0" w:line="240" w:lineRule="auto"/>
              <w:contextualSpacing w:val="0"/>
              <w:jc w:val="center"/>
              <w:rPr>
                <w:kern w:val="0"/>
                <w:szCs w:val="21"/>
              </w:rPr>
            </w:pPr>
            <w:r>
              <w:rPr>
                <w:rFonts w:hint="eastAsia"/>
                <w:kern w:val="0"/>
                <w:szCs w:val="21"/>
              </w:rPr>
              <w:t>46.13</w:t>
            </w:r>
          </w:p>
        </w:tc>
        <w:tc>
          <w:tcPr>
            <w:tcW w:w="310" w:type="pct"/>
            <w:noWrap/>
            <w:vAlign w:val="center"/>
          </w:tcPr>
          <w:p w14:paraId="233559B1">
            <w:pPr>
              <w:widowControl/>
              <w:snapToGrid w:val="0"/>
              <w:spacing w:before="0" w:beforeLines="0" w:line="240" w:lineRule="auto"/>
              <w:contextualSpacing w:val="0"/>
              <w:jc w:val="center"/>
              <w:rPr>
                <w:kern w:val="0"/>
                <w:szCs w:val="21"/>
              </w:rPr>
            </w:pPr>
            <w:r>
              <w:rPr>
                <w:kern w:val="0"/>
                <w:szCs w:val="21"/>
              </w:rPr>
              <w:t>达标</w:t>
            </w:r>
          </w:p>
        </w:tc>
      </w:tr>
    </w:tbl>
    <w:p w14:paraId="3A24B235">
      <w:pPr>
        <w:pStyle w:val="5"/>
        <w:spacing w:before="156" w:after="156"/>
        <w:rPr>
          <w:color w:val="auto"/>
        </w:rPr>
      </w:pPr>
      <w:r>
        <w:rPr>
          <w:rFonts w:hint="eastAsia"/>
          <w:color w:val="auto"/>
        </w:rPr>
        <w:t>5.2.5大气环境影响评价结论</w:t>
      </w:r>
    </w:p>
    <w:p w14:paraId="4729ED62">
      <w:pPr>
        <w:spacing w:before="0" w:beforeLines="0" w:line="360" w:lineRule="auto"/>
        <w:contextualSpacing/>
        <w:rPr>
          <w:sz w:val="24"/>
          <w:szCs w:val="20"/>
        </w:rPr>
      </w:pPr>
      <w:r>
        <w:rPr>
          <w:rFonts w:hint="eastAsia"/>
          <w:sz w:val="24"/>
          <w:szCs w:val="20"/>
        </w:rPr>
        <w:t>（1）预测结论</w:t>
      </w:r>
    </w:p>
    <w:p w14:paraId="3F98DF31">
      <w:pPr>
        <w:spacing w:before="0" w:beforeLines="0" w:line="360" w:lineRule="auto"/>
        <w:ind w:firstLine="480" w:firstLineChars="200"/>
        <w:contextualSpacing/>
        <w:rPr>
          <w:sz w:val="24"/>
          <w:szCs w:val="20"/>
        </w:rPr>
      </w:pPr>
      <w:r>
        <w:rPr>
          <w:rFonts w:hint="eastAsia"/>
          <w:sz w:val="24"/>
          <w:szCs w:val="20"/>
        </w:rPr>
        <w:t>本项目建成后：</w:t>
      </w:r>
    </w:p>
    <w:p w14:paraId="66B72919">
      <w:pPr>
        <w:spacing w:before="0" w:beforeLines="0" w:line="360" w:lineRule="auto"/>
        <w:ind w:firstLine="480" w:firstLineChars="200"/>
        <w:contextualSpacing/>
        <w:rPr>
          <w:sz w:val="24"/>
        </w:rPr>
      </w:pPr>
      <w:r>
        <w:rPr>
          <w:rFonts w:hint="eastAsia"/>
          <w:sz w:val="24"/>
          <w:szCs w:val="20"/>
        </w:rPr>
        <w:t>基本污染物和特征</w:t>
      </w:r>
      <w:r>
        <w:rPr>
          <w:sz w:val="24"/>
          <w:szCs w:val="20"/>
        </w:rPr>
        <w:t>污染物的短期浓度贡献值的最大浓度占标均小于100%，污染物年均浓度贡献值的最大浓度占标率</w:t>
      </w:r>
      <w:r>
        <w:rPr>
          <w:rFonts w:hint="eastAsia"/>
          <w:sz w:val="24"/>
          <w:szCs w:val="20"/>
        </w:rPr>
        <w:t>小于</w:t>
      </w:r>
      <w:r>
        <w:rPr>
          <w:sz w:val="24"/>
          <w:szCs w:val="20"/>
        </w:rPr>
        <w:t>30%。</w:t>
      </w:r>
    </w:p>
    <w:p w14:paraId="1BB09D2B">
      <w:pPr>
        <w:tabs>
          <w:tab w:val="left" w:pos="2880"/>
        </w:tabs>
        <w:spacing w:before="0" w:beforeLines="0" w:line="360" w:lineRule="auto"/>
        <w:ind w:firstLine="480" w:firstLineChars="200"/>
        <w:contextualSpacing/>
        <w:rPr>
          <w:sz w:val="24"/>
          <w:szCs w:val="20"/>
        </w:rPr>
      </w:pPr>
      <w:r>
        <w:rPr>
          <w:rFonts w:hint="eastAsia"/>
          <w:sz w:val="24"/>
          <w:szCs w:val="20"/>
        </w:rPr>
        <w:t>项目所在区域为达标区，拟建项目正常排放下，</w:t>
      </w:r>
      <w:bookmarkStart w:id="232" w:name="OLE_LINK21"/>
      <w:bookmarkStart w:id="233" w:name="OLE_LINK22"/>
      <w:r>
        <w:rPr>
          <w:rFonts w:hint="eastAsia"/>
          <w:sz w:val="24"/>
          <w:szCs w:val="20"/>
        </w:rPr>
        <w:t>污染物</w:t>
      </w:r>
      <w:r>
        <w:rPr>
          <w:sz w:val="24"/>
          <w:szCs w:val="20"/>
        </w:rPr>
        <w:t>PM</w:t>
      </w:r>
      <w:r>
        <w:rPr>
          <w:sz w:val="24"/>
          <w:szCs w:val="20"/>
          <w:vertAlign w:val="subscript"/>
        </w:rPr>
        <w:t>10</w:t>
      </w:r>
      <w:r>
        <w:rPr>
          <w:rFonts w:hint="eastAsia"/>
          <w:sz w:val="24"/>
          <w:szCs w:val="20"/>
        </w:rPr>
        <w:t>在考虑新增源贡献浓度，并叠加区域环境质量现状浓度后，环境</w:t>
      </w:r>
      <w:r>
        <w:rPr>
          <w:sz w:val="24"/>
          <w:szCs w:val="20"/>
        </w:rPr>
        <w:t>保护目标和区域最大落地浓度点点</w:t>
      </w:r>
      <w:r>
        <w:rPr>
          <w:rFonts w:hint="eastAsia"/>
          <w:sz w:val="24"/>
          <w:szCs w:val="20"/>
        </w:rPr>
        <w:t>处9</w:t>
      </w:r>
      <w:r>
        <w:rPr>
          <w:sz w:val="24"/>
          <w:szCs w:val="20"/>
        </w:rPr>
        <w:t>5</w:t>
      </w:r>
      <w:r>
        <w:rPr>
          <w:rFonts w:hint="eastAsia"/>
          <w:sz w:val="24"/>
          <w:szCs w:val="20"/>
        </w:rPr>
        <w:t>%保证</w:t>
      </w:r>
      <w:r>
        <w:rPr>
          <w:sz w:val="24"/>
          <w:szCs w:val="20"/>
        </w:rPr>
        <w:t>率日平均浓度</w:t>
      </w:r>
      <w:r>
        <w:rPr>
          <w:rFonts w:hint="eastAsia"/>
          <w:sz w:val="24"/>
          <w:szCs w:val="20"/>
        </w:rPr>
        <w:t>和</w:t>
      </w:r>
      <w:r>
        <w:rPr>
          <w:sz w:val="24"/>
          <w:szCs w:val="20"/>
        </w:rPr>
        <w:t>年平均质量浓度均</w:t>
      </w:r>
      <w:r>
        <w:rPr>
          <w:rFonts w:hint="eastAsia"/>
          <w:sz w:val="24"/>
          <w:szCs w:val="20"/>
        </w:rPr>
        <w:t>符合拟建项目所在区域的环境标准要求。</w:t>
      </w:r>
      <w:bookmarkEnd w:id="232"/>
      <w:bookmarkEnd w:id="233"/>
      <w:r>
        <w:rPr>
          <w:sz w:val="24"/>
          <w:szCs w:val="20"/>
        </w:rPr>
        <w:t>TSP</w:t>
      </w:r>
      <w:r>
        <w:rPr>
          <w:rFonts w:hint="eastAsia"/>
          <w:sz w:val="24"/>
          <w:szCs w:val="20"/>
        </w:rPr>
        <w:t>在考虑新增源贡献浓度，并叠加区域环境质量监测浓度后，日</w:t>
      </w:r>
      <w:r>
        <w:rPr>
          <w:sz w:val="24"/>
          <w:szCs w:val="20"/>
        </w:rPr>
        <w:t>平均质量浓度均</w:t>
      </w:r>
      <w:r>
        <w:rPr>
          <w:rFonts w:hint="eastAsia"/>
          <w:sz w:val="24"/>
          <w:szCs w:val="20"/>
        </w:rPr>
        <w:t>符合拟建项目所在区域的环境标准要求。</w:t>
      </w:r>
    </w:p>
    <w:p w14:paraId="618A427A">
      <w:pPr>
        <w:spacing w:before="0" w:beforeLines="0" w:line="360" w:lineRule="auto"/>
        <w:ind w:firstLine="600" w:firstLineChars="250"/>
        <w:contextualSpacing/>
        <w:rPr>
          <w:sz w:val="24"/>
          <w:szCs w:val="20"/>
        </w:rPr>
      </w:pPr>
      <w:r>
        <w:rPr>
          <w:rFonts w:hint="eastAsia"/>
          <w:sz w:val="24"/>
          <w:szCs w:val="20"/>
        </w:rPr>
        <w:t>根据计算结果可知，当</w:t>
      </w:r>
      <w:r>
        <w:rPr>
          <w:sz w:val="24"/>
          <w:szCs w:val="20"/>
        </w:rPr>
        <w:t>DA001</w:t>
      </w:r>
      <w:r>
        <w:rPr>
          <w:rFonts w:hint="eastAsia"/>
          <w:sz w:val="24"/>
          <w:szCs w:val="20"/>
        </w:rPr>
        <w:t>、D</w:t>
      </w:r>
      <w:r>
        <w:rPr>
          <w:sz w:val="24"/>
          <w:szCs w:val="20"/>
        </w:rPr>
        <w:t>A002</w:t>
      </w:r>
      <w:r>
        <w:rPr>
          <w:rFonts w:hint="eastAsia"/>
          <w:sz w:val="24"/>
          <w:szCs w:val="20"/>
        </w:rPr>
        <w:t>、</w:t>
      </w:r>
      <w:r>
        <w:rPr>
          <w:sz w:val="24"/>
          <w:szCs w:val="20"/>
        </w:rPr>
        <w:t>DA00</w:t>
      </w:r>
      <w:r>
        <w:rPr>
          <w:rFonts w:hint="eastAsia"/>
          <w:sz w:val="24"/>
          <w:szCs w:val="20"/>
        </w:rPr>
        <w:t>3和D</w:t>
      </w:r>
      <w:r>
        <w:rPr>
          <w:sz w:val="24"/>
          <w:szCs w:val="20"/>
        </w:rPr>
        <w:t>A00</w:t>
      </w:r>
      <w:r>
        <w:rPr>
          <w:rFonts w:hint="eastAsia"/>
          <w:sz w:val="24"/>
          <w:szCs w:val="20"/>
        </w:rPr>
        <w:t>4出现非正常排放时，在</w:t>
      </w:r>
      <w:r>
        <w:rPr>
          <w:sz w:val="24"/>
          <w:szCs w:val="20"/>
        </w:rPr>
        <w:t>网格点处和环境敏感点处</w:t>
      </w:r>
      <w:r>
        <w:rPr>
          <w:rFonts w:hint="eastAsia"/>
          <w:sz w:val="24"/>
          <w:szCs w:val="20"/>
        </w:rPr>
        <w:t>污染物的最大1h平均质量浓度均出现超标情况。因此</w:t>
      </w:r>
      <w:r>
        <w:rPr>
          <w:sz w:val="24"/>
          <w:szCs w:val="20"/>
        </w:rPr>
        <w:t>，本项目非正常排放时，</w:t>
      </w:r>
      <w:r>
        <w:rPr>
          <w:rFonts w:hint="eastAsia"/>
          <w:sz w:val="24"/>
          <w:szCs w:val="20"/>
        </w:rPr>
        <w:t>应做好环保</w:t>
      </w:r>
      <w:r>
        <w:rPr>
          <w:sz w:val="24"/>
          <w:szCs w:val="20"/>
        </w:rPr>
        <w:t>设施的维护运行。</w:t>
      </w:r>
    </w:p>
    <w:p w14:paraId="10252395">
      <w:pPr>
        <w:tabs>
          <w:tab w:val="left" w:pos="2880"/>
        </w:tabs>
        <w:spacing w:before="0" w:beforeLines="0" w:line="360" w:lineRule="auto"/>
        <w:ind w:firstLine="480" w:firstLineChars="200"/>
        <w:contextualSpacing/>
        <w:rPr>
          <w:sz w:val="24"/>
          <w:szCs w:val="20"/>
        </w:rPr>
      </w:pPr>
      <w:r>
        <w:rPr>
          <w:rFonts w:hint="eastAsia"/>
          <w:sz w:val="24"/>
          <w:szCs w:val="20"/>
        </w:rPr>
        <w:t>本项目投入运行后，无组织排放的污染物TSP在南、西、北、东厂界点的最大落地浓度均满足标准要求。</w:t>
      </w:r>
    </w:p>
    <w:p w14:paraId="7BD2B5C3">
      <w:pPr>
        <w:tabs>
          <w:tab w:val="left" w:pos="2880"/>
        </w:tabs>
        <w:spacing w:before="0" w:beforeLines="0" w:line="360" w:lineRule="auto"/>
        <w:ind w:firstLine="480" w:firstLineChars="200"/>
        <w:contextualSpacing/>
        <w:rPr>
          <w:sz w:val="24"/>
          <w:szCs w:val="20"/>
        </w:rPr>
      </w:pPr>
      <w:r>
        <w:rPr>
          <w:rFonts w:hint="eastAsia"/>
          <w:sz w:val="24"/>
          <w:szCs w:val="20"/>
        </w:rPr>
        <w:t>根据预测结果可见，厂界外污染物短期最大贡献浓度均可满足标准要求，因此无需设置大气环境防护距离。</w:t>
      </w:r>
    </w:p>
    <w:p w14:paraId="5D93E13D">
      <w:pPr>
        <w:tabs>
          <w:tab w:val="left" w:pos="2880"/>
        </w:tabs>
        <w:spacing w:before="0" w:beforeLines="0" w:line="360" w:lineRule="auto"/>
        <w:ind w:firstLine="480" w:firstLineChars="200"/>
        <w:contextualSpacing/>
        <w:rPr>
          <w:sz w:val="24"/>
          <w:szCs w:val="20"/>
        </w:rPr>
      </w:pPr>
      <w:r>
        <w:rPr>
          <w:rFonts w:hint="eastAsia"/>
          <w:sz w:val="24"/>
          <w:szCs w:val="20"/>
        </w:rPr>
        <w:t>本项目建成后，大气环境影响可接受。</w:t>
      </w:r>
    </w:p>
    <w:p w14:paraId="1989A524">
      <w:pPr>
        <w:spacing w:before="0" w:beforeLines="0" w:line="360" w:lineRule="auto"/>
        <w:contextualSpacing/>
        <w:rPr>
          <w:sz w:val="24"/>
          <w:szCs w:val="20"/>
        </w:rPr>
      </w:pPr>
      <w:r>
        <w:rPr>
          <w:rFonts w:hint="eastAsia"/>
          <w:sz w:val="24"/>
          <w:szCs w:val="20"/>
        </w:rPr>
        <w:t>（2）污染物排放核算</w:t>
      </w:r>
    </w:p>
    <w:p w14:paraId="50911F48">
      <w:pPr>
        <w:spacing w:before="0" w:beforeLines="0" w:line="360" w:lineRule="auto"/>
        <w:ind w:firstLine="480" w:firstLineChars="200"/>
        <w:contextualSpacing/>
        <w:rPr>
          <w:sz w:val="24"/>
          <w:szCs w:val="20"/>
        </w:rPr>
      </w:pPr>
      <w:r>
        <w:rPr>
          <w:rFonts w:hint="eastAsia"/>
          <w:sz w:val="24"/>
          <w:szCs w:val="20"/>
        </w:rPr>
        <w:t>根据工程分析，项目有组织排放量核算见表5.2-21，无组织核算见表5.2-22，大气污染物年排放量核算见表5.2-23；非正常排放量核算见表5.2-24。</w:t>
      </w:r>
    </w:p>
    <w:p w14:paraId="6A69F8C0">
      <w:pPr>
        <w:tabs>
          <w:tab w:val="left" w:pos="286"/>
        </w:tabs>
        <w:adjustRightInd w:val="0"/>
        <w:snapToGrid w:val="0"/>
        <w:spacing w:before="78" w:line="520" w:lineRule="exact"/>
        <w:jc w:val="center"/>
        <w:rPr>
          <w:b/>
          <w:bCs/>
          <w:szCs w:val="21"/>
        </w:rPr>
      </w:pPr>
      <w:bookmarkStart w:id="234" w:name="_Hlk183784860"/>
      <w:r>
        <w:rPr>
          <w:b/>
          <w:bCs/>
          <w:szCs w:val="21"/>
        </w:rPr>
        <w:t>表</w:t>
      </w:r>
      <w:r>
        <w:rPr>
          <w:rFonts w:hint="eastAsia"/>
          <w:b/>
          <w:bCs/>
          <w:szCs w:val="21"/>
        </w:rPr>
        <w:t>5.2-21</w:t>
      </w:r>
      <w:r>
        <w:rPr>
          <w:b/>
          <w:bCs/>
          <w:szCs w:val="21"/>
        </w:rPr>
        <w:t xml:space="preserve">  有组织排放量核算表</w:t>
      </w:r>
    </w:p>
    <w:tbl>
      <w:tblPr>
        <w:tblStyle w:val="89"/>
        <w:tblW w:w="5000" w:type="pct"/>
        <w:tblInd w:w="96"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108" w:type="dxa"/>
          <w:bottom w:w="0" w:type="dxa"/>
          <w:right w:w="108" w:type="dxa"/>
        </w:tblCellMar>
      </w:tblPr>
      <w:tblGrid>
        <w:gridCol w:w="1757"/>
        <w:gridCol w:w="1840"/>
        <w:gridCol w:w="1842"/>
        <w:gridCol w:w="1549"/>
        <w:gridCol w:w="1324"/>
      </w:tblGrid>
      <w:tr w14:paraId="3969B60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756" w:type="dxa"/>
            <w:tcBorders>
              <w:tl2br w:val="nil"/>
              <w:tr2bl w:val="nil"/>
            </w:tcBorders>
            <w:vAlign w:val="center"/>
          </w:tcPr>
          <w:p w14:paraId="7E78D7A8">
            <w:pPr>
              <w:widowControl/>
              <w:spacing w:before="0" w:beforeLines="0" w:after="156" w:line="240" w:lineRule="auto"/>
              <w:contextualSpacing/>
              <w:jc w:val="center"/>
              <w:rPr>
                <w:kern w:val="0"/>
                <w:szCs w:val="21"/>
              </w:rPr>
            </w:pPr>
            <w:r>
              <w:rPr>
                <w:kern w:val="0"/>
                <w:szCs w:val="21"/>
              </w:rPr>
              <w:t>排气筒编号</w:t>
            </w:r>
          </w:p>
        </w:tc>
        <w:tc>
          <w:tcPr>
            <w:tcW w:w="1839" w:type="dxa"/>
            <w:tcBorders>
              <w:tl2br w:val="nil"/>
              <w:tr2bl w:val="nil"/>
            </w:tcBorders>
            <w:vAlign w:val="center"/>
          </w:tcPr>
          <w:p w14:paraId="7CF6362C">
            <w:pPr>
              <w:widowControl/>
              <w:spacing w:before="0" w:beforeLines="0" w:after="156" w:line="240" w:lineRule="auto"/>
              <w:contextualSpacing/>
              <w:jc w:val="center"/>
              <w:rPr>
                <w:kern w:val="0"/>
                <w:szCs w:val="21"/>
              </w:rPr>
            </w:pPr>
            <w:r>
              <w:rPr>
                <w:kern w:val="0"/>
                <w:szCs w:val="21"/>
              </w:rPr>
              <w:t>污染物</w:t>
            </w:r>
          </w:p>
        </w:tc>
        <w:tc>
          <w:tcPr>
            <w:tcW w:w="1841" w:type="dxa"/>
            <w:tcBorders>
              <w:tl2br w:val="nil"/>
              <w:tr2bl w:val="nil"/>
            </w:tcBorders>
            <w:vAlign w:val="center"/>
          </w:tcPr>
          <w:p w14:paraId="0C8936CA">
            <w:pPr>
              <w:widowControl/>
              <w:spacing w:before="0" w:beforeLines="0" w:after="156" w:line="240" w:lineRule="auto"/>
              <w:contextualSpacing/>
              <w:jc w:val="center"/>
              <w:rPr>
                <w:kern w:val="0"/>
                <w:szCs w:val="21"/>
              </w:rPr>
            </w:pPr>
            <w:r>
              <w:rPr>
                <w:kern w:val="0"/>
                <w:szCs w:val="21"/>
              </w:rPr>
              <w:t>核算排放浓度限值/（mg/m</w:t>
            </w:r>
            <w:r>
              <w:rPr>
                <w:kern w:val="0"/>
                <w:szCs w:val="21"/>
                <w:vertAlign w:val="superscript"/>
              </w:rPr>
              <w:t>3</w:t>
            </w:r>
            <w:r>
              <w:rPr>
                <w:kern w:val="0"/>
                <w:szCs w:val="21"/>
              </w:rPr>
              <w:t>）</w:t>
            </w:r>
          </w:p>
        </w:tc>
        <w:tc>
          <w:tcPr>
            <w:tcW w:w="1548" w:type="dxa"/>
            <w:tcBorders>
              <w:tl2br w:val="nil"/>
              <w:tr2bl w:val="nil"/>
            </w:tcBorders>
            <w:vAlign w:val="center"/>
          </w:tcPr>
          <w:p w14:paraId="0707A027">
            <w:pPr>
              <w:widowControl/>
              <w:spacing w:before="0" w:beforeLines="0" w:after="156" w:line="240" w:lineRule="auto"/>
              <w:contextualSpacing/>
              <w:jc w:val="center"/>
              <w:rPr>
                <w:kern w:val="0"/>
                <w:szCs w:val="21"/>
              </w:rPr>
            </w:pPr>
            <w:r>
              <w:rPr>
                <w:kern w:val="0"/>
                <w:szCs w:val="21"/>
              </w:rPr>
              <w:t>核算排放速率限值/（kg/h）</w:t>
            </w:r>
          </w:p>
        </w:tc>
        <w:tc>
          <w:tcPr>
            <w:tcW w:w="1322" w:type="dxa"/>
            <w:tcBorders>
              <w:tl2br w:val="nil"/>
              <w:tr2bl w:val="nil"/>
            </w:tcBorders>
            <w:vAlign w:val="center"/>
          </w:tcPr>
          <w:p w14:paraId="4A97B78F">
            <w:pPr>
              <w:widowControl/>
              <w:spacing w:before="0" w:beforeLines="0" w:after="156" w:line="240" w:lineRule="auto"/>
              <w:contextualSpacing/>
              <w:jc w:val="center"/>
              <w:rPr>
                <w:kern w:val="0"/>
                <w:szCs w:val="21"/>
              </w:rPr>
            </w:pPr>
            <w:r>
              <w:rPr>
                <w:kern w:val="0"/>
                <w:szCs w:val="21"/>
              </w:rPr>
              <w:t>核算年排放量/（t/a）</w:t>
            </w:r>
          </w:p>
        </w:tc>
      </w:tr>
      <w:tr w14:paraId="0AA14E1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306" w:type="dxa"/>
            <w:gridSpan w:val="5"/>
            <w:tcBorders>
              <w:tl2br w:val="nil"/>
              <w:tr2bl w:val="nil"/>
            </w:tcBorders>
            <w:vAlign w:val="center"/>
          </w:tcPr>
          <w:p w14:paraId="2779E70B">
            <w:pPr>
              <w:widowControl/>
              <w:spacing w:before="0" w:beforeLines="0" w:after="156" w:line="240" w:lineRule="auto"/>
              <w:contextualSpacing/>
              <w:jc w:val="center"/>
              <w:rPr>
                <w:kern w:val="0"/>
                <w:szCs w:val="21"/>
              </w:rPr>
            </w:pPr>
            <w:r>
              <w:rPr>
                <w:kern w:val="0"/>
                <w:szCs w:val="21"/>
              </w:rPr>
              <w:t>一般排放口</w:t>
            </w:r>
          </w:p>
        </w:tc>
      </w:tr>
      <w:tr w14:paraId="46721BD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756" w:type="dxa"/>
            <w:tcBorders>
              <w:tl2br w:val="nil"/>
              <w:tr2bl w:val="nil"/>
            </w:tcBorders>
            <w:vAlign w:val="center"/>
          </w:tcPr>
          <w:p w14:paraId="693C9713">
            <w:pPr>
              <w:widowControl/>
              <w:spacing w:before="0" w:beforeLines="0" w:after="156" w:line="240" w:lineRule="auto"/>
              <w:contextualSpacing/>
              <w:jc w:val="center"/>
              <w:rPr>
                <w:kern w:val="0"/>
                <w:szCs w:val="21"/>
              </w:rPr>
            </w:pPr>
            <w:r>
              <w:rPr>
                <w:rFonts w:hint="eastAsia"/>
                <w:kern w:val="0"/>
                <w:szCs w:val="21"/>
              </w:rPr>
              <w:t>DA001</w:t>
            </w:r>
          </w:p>
        </w:tc>
        <w:tc>
          <w:tcPr>
            <w:tcW w:w="1839" w:type="dxa"/>
            <w:tcBorders>
              <w:tl2br w:val="nil"/>
              <w:tr2bl w:val="nil"/>
            </w:tcBorders>
            <w:vAlign w:val="center"/>
          </w:tcPr>
          <w:p w14:paraId="547C96E2">
            <w:pPr>
              <w:widowControl/>
              <w:spacing w:before="0" w:beforeLines="0" w:after="156" w:line="240" w:lineRule="auto"/>
              <w:contextualSpacing/>
              <w:jc w:val="center"/>
              <w:rPr>
                <w:kern w:val="0"/>
                <w:szCs w:val="21"/>
              </w:rPr>
            </w:pPr>
            <w:r>
              <w:rPr>
                <w:rFonts w:hint="eastAsia"/>
                <w:kern w:val="0"/>
                <w:szCs w:val="21"/>
              </w:rPr>
              <w:t>颗粒物</w:t>
            </w:r>
          </w:p>
        </w:tc>
        <w:tc>
          <w:tcPr>
            <w:tcW w:w="1841" w:type="dxa"/>
            <w:tcBorders>
              <w:tl2br w:val="nil"/>
              <w:tr2bl w:val="nil"/>
            </w:tcBorders>
            <w:vAlign w:val="center"/>
          </w:tcPr>
          <w:p w14:paraId="4AB533EB">
            <w:pPr>
              <w:widowControl/>
              <w:spacing w:before="0" w:beforeLines="0" w:after="156" w:line="240" w:lineRule="auto"/>
              <w:contextualSpacing/>
              <w:jc w:val="center"/>
              <w:rPr>
                <w:kern w:val="0"/>
                <w:szCs w:val="21"/>
              </w:rPr>
            </w:pPr>
            <w:r>
              <w:rPr>
                <w:rFonts w:hint="eastAsia"/>
                <w:kern w:val="0"/>
                <w:szCs w:val="21"/>
              </w:rPr>
              <w:t>10</w:t>
            </w:r>
          </w:p>
        </w:tc>
        <w:tc>
          <w:tcPr>
            <w:tcW w:w="1548" w:type="dxa"/>
            <w:tcBorders>
              <w:tl2br w:val="nil"/>
              <w:tr2bl w:val="nil"/>
            </w:tcBorders>
            <w:vAlign w:val="center"/>
          </w:tcPr>
          <w:p w14:paraId="249593B7">
            <w:pPr>
              <w:widowControl/>
              <w:spacing w:before="0" w:beforeLines="0" w:after="156" w:line="240" w:lineRule="auto"/>
              <w:contextualSpacing/>
              <w:jc w:val="center"/>
              <w:rPr>
                <w:kern w:val="0"/>
                <w:szCs w:val="21"/>
              </w:rPr>
            </w:pPr>
            <w:r>
              <w:rPr>
                <w:rFonts w:hint="eastAsia"/>
                <w:kern w:val="0"/>
                <w:szCs w:val="21"/>
              </w:rPr>
              <w:t>0.49</w:t>
            </w:r>
          </w:p>
        </w:tc>
        <w:tc>
          <w:tcPr>
            <w:tcW w:w="1322" w:type="dxa"/>
            <w:tcBorders>
              <w:tl2br w:val="nil"/>
              <w:tr2bl w:val="nil"/>
            </w:tcBorders>
            <w:vAlign w:val="center"/>
          </w:tcPr>
          <w:p w14:paraId="1950A90D">
            <w:pPr>
              <w:widowControl/>
              <w:spacing w:before="0" w:beforeLines="0" w:after="156" w:line="240" w:lineRule="auto"/>
              <w:contextualSpacing/>
              <w:jc w:val="center"/>
              <w:rPr>
                <w:kern w:val="0"/>
                <w:szCs w:val="21"/>
              </w:rPr>
            </w:pPr>
            <w:r>
              <w:rPr>
                <w:rFonts w:hint="eastAsia"/>
                <w:kern w:val="0"/>
                <w:szCs w:val="21"/>
              </w:rPr>
              <w:t>3.5</w:t>
            </w:r>
          </w:p>
        </w:tc>
      </w:tr>
      <w:tr w14:paraId="678D328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756" w:type="dxa"/>
            <w:tcBorders>
              <w:tl2br w:val="nil"/>
              <w:tr2bl w:val="nil"/>
            </w:tcBorders>
            <w:vAlign w:val="center"/>
          </w:tcPr>
          <w:p w14:paraId="22A2987E">
            <w:pPr>
              <w:widowControl/>
              <w:spacing w:before="0" w:beforeLines="0" w:after="156" w:line="240" w:lineRule="auto"/>
              <w:contextualSpacing/>
              <w:jc w:val="center"/>
              <w:rPr>
                <w:kern w:val="0"/>
                <w:szCs w:val="21"/>
              </w:rPr>
            </w:pPr>
            <w:r>
              <w:rPr>
                <w:rFonts w:hint="eastAsia"/>
                <w:kern w:val="0"/>
                <w:szCs w:val="21"/>
              </w:rPr>
              <w:t>DA002</w:t>
            </w:r>
          </w:p>
        </w:tc>
        <w:tc>
          <w:tcPr>
            <w:tcW w:w="1839" w:type="dxa"/>
            <w:tcBorders>
              <w:tl2br w:val="nil"/>
              <w:tr2bl w:val="nil"/>
            </w:tcBorders>
            <w:vAlign w:val="center"/>
          </w:tcPr>
          <w:p w14:paraId="52C0D2A5">
            <w:pPr>
              <w:widowControl/>
              <w:spacing w:before="0" w:beforeLines="0" w:after="156" w:line="240" w:lineRule="auto"/>
              <w:contextualSpacing/>
              <w:jc w:val="center"/>
              <w:textAlignment w:val="center"/>
              <w:rPr>
                <w:kern w:val="0"/>
                <w:szCs w:val="21"/>
              </w:rPr>
            </w:pPr>
            <w:r>
              <w:rPr>
                <w:rFonts w:hint="eastAsia"/>
                <w:kern w:val="0"/>
                <w:szCs w:val="21"/>
              </w:rPr>
              <w:t>颗粒物</w:t>
            </w:r>
          </w:p>
        </w:tc>
        <w:tc>
          <w:tcPr>
            <w:tcW w:w="1841" w:type="dxa"/>
            <w:tcBorders>
              <w:tl2br w:val="nil"/>
              <w:tr2bl w:val="nil"/>
            </w:tcBorders>
            <w:vAlign w:val="center"/>
          </w:tcPr>
          <w:p w14:paraId="4A5DD89C">
            <w:pPr>
              <w:widowControl/>
              <w:spacing w:before="0" w:beforeLines="0" w:after="156" w:line="240" w:lineRule="auto"/>
              <w:ind w:left="-105" w:leftChars="-50" w:right="-105" w:rightChars="-50"/>
              <w:contextualSpacing/>
              <w:jc w:val="center"/>
              <w:textAlignment w:val="center"/>
              <w:rPr>
                <w:kern w:val="0"/>
                <w:szCs w:val="21"/>
              </w:rPr>
            </w:pPr>
            <w:r>
              <w:rPr>
                <w:rFonts w:hint="eastAsia"/>
                <w:kern w:val="0"/>
                <w:szCs w:val="21"/>
              </w:rPr>
              <w:t>10</w:t>
            </w:r>
          </w:p>
        </w:tc>
        <w:tc>
          <w:tcPr>
            <w:tcW w:w="1548" w:type="dxa"/>
            <w:tcBorders>
              <w:tl2br w:val="nil"/>
              <w:tr2bl w:val="nil"/>
            </w:tcBorders>
            <w:vAlign w:val="center"/>
          </w:tcPr>
          <w:p w14:paraId="0D4BBC41">
            <w:pPr>
              <w:widowControl/>
              <w:spacing w:before="0" w:beforeLines="0" w:after="156" w:line="240" w:lineRule="auto"/>
              <w:ind w:left="-105" w:leftChars="-50" w:right="-105" w:rightChars="-50"/>
              <w:contextualSpacing/>
              <w:jc w:val="center"/>
              <w:textAlignment w:val="center"/>
              <w:rPr>
                <w:kern w:val="0"/>
                <w:szCs w:val="21"/>
              </w:rPr>
            </w:pPr>
            <w:r>
              <w:rPr>
                <w:rFonts w:hint="eastAsia"/>
                <w:kern w:val="0"/>
                <w:szCs w:val="21"/>
              </w:rPr>
              <w:t>0.50</w:t>
            </w:r>
          </w:p>
        </w:tc>
        <w:tc>
          <w:tcPr>
            <w:tcW w:w="1322" w:type="dxa"/>
            <w:tcBorders>
              <w:tl2br w:val="nil"/>
              <w:tr2bl w:val="nil"/>
            </w:tcBorders>
            <w:vAlign w:val="center"/>
          </w:tcPr>
          <w:p w14:paraId="2D81CC73">
            <w:pPr>
              <w:widowControl/>
              <w:spacing w:before="0" w:beforeLines="0" w:after="156" w:line="240" w:lineRule="auto"/>
              <w:ind w:left="-105" w:leftChars="-50" w:right="-105" w:rightChars="-50"/>
              <w:contextualSpacing/>
              <w:jc w:val="center"/>
              <w:textAlignment w:val="center"/>
              <w:rPr>
                <w:kern w:val="0"/>
                <w:szCs w:val="21"/>
              </w:rPr>
            </w:pPr>
            <w:r>
              <w:rPr>
                <w:rFonts w:hint="eastAsia"/>
                <w:kern w:val="0"/>
                <w:szCs w:val="21"/>
              </w:rPr>
              <w:t>3.62</w:t>
            </w:r>
          </w:p>
        </w:tc>
      </w:tr>
      <w:tr w14:paraId="74FC428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756" w:type="dxa"/>
            <w:tcBorders>
              <w:tl2br w:val="nil"/>
              <w:tr2bl w:val="nil"/>
            </w:tcBorders>
            <w:vAlign w:val="center"/>
          </w:tcPr>
          <w:p w14:paraId="2ED7CA85">
            <w:pPr>
              <w:widowControl/>
              <w:spacing w:before="0" w:beforeLines="0" w:after="156" w:line="240" w:lineRule="auto"/>
              <w:contextualSpacing/>
              <w:jc w:val="center"/>
              <w:rPr>
                <w:kern w:val="0"/>
                <w:szCs w:val="21"/>
              </w:rPr>
            </w:pPr>
            <w:r>
              <w:rPr>
                <w:rFonts w:hint="eastAsia"/>
                <w:kern w:val="0"/>
                <w:szCs w:val="21"/>
              </w:rPr>
              <w:t>DA003</w:t>
            </w:r>
          </w:p>
        </w:tc>
        <w:tc>
          <w:tcPr>
            <w:tcW w:w="1839" w:type="dxa"/>
            <w:tcBorders>
              <w:tl2br w:val="nil"/>
              <w:tr2bl w:val="nil"/>
            </w:tcBorders>
            <w:vAlign w:val="center"/>
          </w:tcPr>
          <w:p w14:paraId="27811E9E">
            <w:pPr>
              <w:widowControl/>
              <w:spacing w:before="0" w:beforeLines="0" w:after="156" w:line="240" w:lineRule="auto"/>
              <w:contextualSpacing/>
              <w:jc w:val="center"/>
              <w:textAlignment w:val="center"/>
              <w:rPr>
                <w:kern w:val="0"/>
                <w:szCs w:val="21"/>
              </w:rPr>
            </w:pPr>
            <w:r>
              <w:rPr>
                <w:rFonts w:hint="eastAsia"/>
                <w:kern w:val="0"/>
                <w:szCs w:val="21"/>
              </w:rPr>
              <w:t>颗粒物</w:t>
            </w:r>
          </w:p>
        </w:tc>
        <w:tc>
          <w:tcPr>
            <w:tcW w:w="1841" w:type="dxa"/>
            <w:tcBorders>
              <w:tl2br w:val="nil"/>
              <w:tr2bl w:val="nil"/>
            </w:tcBorders>
            <w:vAlign w:val="center"/>
          </w:tcPr>
          <w:p w14:paraId="1F80661F">
            <w:pPr>
              <w:widowControl/>
              <w:spacing w:before="0" w:beforeLines="0" w:after="156" w:line="240" w:lineRule="auto"/>
              <w:ind w:left="-105" w:leftChars="-50" w:right="-105" w:rightChars="-50"/>
              <w:contextualSpacing/>
              <w:jc w:val="center"/>
              <w:textAlignment w:val="center"/>
              <w:rPr>
                <w:kern w:val="0"/>
                <w:szCs w:val="21"/>
              </w:rPr>
            </w:pPr>
            <w:r>
              <w:rPr>
                <w:rFonts w:hint="eastAsia"/>
                <w:kern w:val="0"/>
                <w:szCs w:val="21"/>
              </w:rPr>
              <w:t>10</w:t>
            </w:r>
          </w:p>
        </w:tc>
        <w:tc>
          <w:tcPr>
            <w:tcW w:w="1548" w:type="dxa"/>
            <w:tcBorders>
              <w:tl2br w:val="nil"/>
              <w:tr2bl w:val="nil"/>
            </w:tcBorders>
            <w:vAlign w:val="center"/>
          </w:tcPr>
          <w:p w14:paraId="1BDA7B1F">
            <w:pPr>
              <w:widowControl/>
              <w:spacing w:before="0" w:beforeLines="0" w:after="156" w:line="240" w:lineRule="auto"/>
              <w:ind w:left="-105" w:leftChars="-50" w:right="-105" w:rightChars="-50"/>
              <w:contextualSpacing/>
              <w:jc w:val="center"/>
              <w:textAlignment w:val="center"/>
              <w:rPr>
                <w:kern w:val="0"/>
                <w:szCs w:val="21"/>
              </w:rPr>
            </w:pPr>
            <w:r>
              <w:rPr>
                <w:rFonts w:hint="eastAsia"/>
                <w:kern w:val="0"/>
                <w:szCs w:val="21"/>
              </w:rPr>
              <w:t>0.64</w:t>
            </w:r>
          </w:p>
        </w:tc>
        <w:tc>
          <w:tcPr>
            <w:tcW w:w="1322" w:type="dxa"/>
            <w:tcBorders>
              <w:tl2br w:val="nil"/>
              <w:tr2bl w:val="nil"/>
            </w:tcBorders>
            <w:vAlign w:val="center"/>
          </w:tcPr>
          <w:p w14:paraId="27B20F28">
            <w:pPr>
              <w:widowControl/>
              <w:spacing w:before="0" w:beforeLines="0" w:after="156" w:line="240" w:lineRule="auto"/>
              <w:ind w:left="-105" w:leftChars="-50" w:right="-105" w:rightChars="-50"/>
              <w:contextualSpacing/>
              <w:jc w:val="center"/>
              <w:textAlignment w:val="center"/>
              <w:rPr>
                <w:kern w:val="0"/>
                <w:szCs w:val="21"/>
              </w:rPr>
            </w:pPr>
            <w:r>
              <w:rPr>
                <w:rFonts w:hint="eastAsia"/>
                <w:kern w:val="0"/>
                <w:szCs w:val="21"/>
              </w:rPr>
              <w:t>4.61</w:t>
            </w:r>
          </w:p>
        </w:tc>
      </w:tr>
      <w:tr w14:paraId="367E024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756" w:type="dxa"/>
            <w:tcBorders>
              <w:tl2br w:val="nil"/>
              <w:tr2bl w:val="nil"/>
            </w:tcBorders>
            <w:vAlign w:val="center"/>
          </w:tcPr>
          <w:p w14:paraId="0C911C73">
            <w:pPr>
              <w:widowControl/>
              <w:spacing w:before="0" w:beforeLines="0" w:after="156" w:line="240" w:lineRule="auto"/>
              <w:contextualSpacing/>
              <w:jc w:val="center"/>
              <w:rPr>
                <w:kern w:val="0"/>
                <w:szCs w:val="21"/>
              </w:rPr>
            </w:pPr>
            <w:r>
              <w:rPr>
                <w:rFonts w:hint="eastAsia"/>
                <w:kern w:val="0"/>
                <w:szCs w:val="21"/>
              </w:rPr>
              <w:t>DA004</w:t>
            </w:r>
          </w:p>
        </w:tc>
        <w:tc>
          <w:tcPr>
            <w:tcW w:w="1839" w:type="dxa"/>
            <w:tcBorders>
              <w:tl2br w:val="nil"/>
              <w:tr2bl w:val="nil"/>
            </w:tcBorders>
            <w:vAlign w:val="center"/>
          </w:tcPr>
          <w:p w14:paraId="35FD0E5E">
            <w:pPr>
              <w:widowControl/>
              <w:spacing w:before="0" w:beforeLines="0" w:after="156" w:line="240" w:lineRule="auto"/>
              <w:contextualSpacing/>
              <w:jc w:val="center"/>
              <w:textAlignment w:val="center"/>
              <w:rPr>
                <w:kern w:val="0"/>
                <w:szCs w:val="21"/>
              </w:rPr>
            </w:pPr>
            <w:r>
              <w:rPr>
                <w:rFonts w:hint="eastAsia"/>
                <w:kern w:val="0"/>
                <w:szCs w:val="21"/>
              </w:rPr>
              <w:t>颗粒物</w:t>
            </w:r>
          </w:p>
        </w:tc>
        <w:tc>
          <w:tcPr>
            <w:tcW w:w="1841" w:type="dxa"/>
            <w:tcBorders>
              <w:tl2br w:val="nil"/>
              <w:tr2bl w:val="nil"/>
            </w:tcBorders>
            <w:vAlign w:val="center"/>
          </w:tcPr>
          <w:p w14:paraId="481CF487">
            <w:pPr>
              <w:widowControl/>
              <w:spacing w:before="0" w:beforeLines="0" w:after="156" w:line="240" w:lineRule="auto"/>
              <w:ind w:left="-105" w:leftChars="-50" w:right="-105" w:rightChars="-50"/>
              <w:contextualSpacing/>
              <w:jc w:val="center"/>
              <w:textAlignment w:val="center"/>
              <w:rPr>
                <w:kern w:val="0"/>
                <w:szCs w:val="21"/>
              </w:rPr>
            </w:pPr>
            <w:r>
              <w:rPr>
                <w:rFonts w:hint="eastAsia"/>
                <w:kern w:val="0"/>
                <w:szCs w:val="21"/>
              </w:rPr>
              <w:t>10</w:t>
            </w:r>
          </w:p>
        </w:tc>
        <w:tc>
          <w:tcPr>
            <w:tcW w:w="1548" w:type="dxa"/>
            <w:tcBorders>
              <w:tl2br w:val="nil"/>
              <w:tr2bl w:val="nil"/>
            </w:tcBorders>
            <w:vAlign w:val="center"/>
          </w:tcPr>
          <w:p w14:paraId="19DDCAB8">
            <w:pPr>
              <w:widowControl/>
              <w:spacing w:before="0" w:beforeLines="0" w:after="156" w:line="240" w:lineRule="auto"/>
              <w:ind w:left="-105" w:leftChars="-50" w:right="-105" w:rightChars="-50"/>
              <w:contextualSpacing/>
              <w:jc w:val="center"/>
              <w:textAlignment w:val="center"/>
              <w:rPr>
                <w:kern w:val="0"/>
                <w:szCs w:val="21"/>
              </w:rPr>
            </w:pPr>
            <w:r>
              <w:rPr>
                <w:rFonts w:hint="eastAsia"/>
                <w:kern w:val="0"/>
                <w:szCs w:val="21"/>
              </w:rPr>
              <w:t>0.23</w:t>
            </w:r>
          </w:p>
        </w:tc>
        <w:tc>
          <w:tcPr>
            <w:tcW w:w="1322" w:type="dxa"/>
            <w:tcBorders>
              <w:tl2br w:val="nil"/>
              <w:tr2bl w:val="nil"/>
            </w:tcBorders>
            <w:vAlign w:val="center"/>
          </w:tcPr>
          <w:p w14:paraId="6CB6A8FE">
            <w:pPr>
              <w:widowControl/>
              <w:spacing w:before="0" w:beforeLines="0" w:after="156" w:line="240" w:lineRule="auto"/>
              <w:ind w:left="-105" w:leftChars="-50" w:right="-105" w:rightChars="-50"/>
              <w:contextualSpacing/>
              <w:jc w:val="center"/>
              <w:textAlignment w:val="center"/>
              <w:rPr>
                <w:kern w:val="0"/>
                <w:szCs w:val="21"/>
              </w:rPr>
            </w:pPr>
            <w:r>
              <w:rPr>
                <w:rFonts w:hint="eastAsia"/>
                <w:kern w:val="0"/>
                <w:szCs w:val="21"/>
              </w:rPr>
              <w:t>1.68</w:t>
            </w:r>
          </w:p>
        </w:tc>
      </w:tr>
      <w:tr w14:paraId="6EB2AB4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756" w:type="dxa"/>
            <w:tcBorders>
              <w:tl2br w:val="nil"/>
              <w:tr2bl w:val="nil"/>
            </w:tcBorders>
            <w:vAlign w:val="center"/>
          </w:tcPr>
          <w:p w14:paraId="1B2AF85A">
            <w:pPr>
              <w:widowControl/>
              <w:spacing w:before="0" w:beforeLines="0" w:after="156" w:line="240" w:lineRule="auto"/>
              <w:contextualSpacing/>
              <w:jc w:val="center"/>
              <w:rPr>
                <w:kern w:val="0"/>
                <w:szCs w:val="21"/>
              </w:rPr>
            </w:pPr>
            <w:r>
              <w:rPr>
                <w:kern w:val="0"/>
                <w:szCs w:val="21"/>
              </w:rPr>
              <w:t>一般排放口合计</w:t>
            </w:r>
          </w:p>
        </w:tc>
        <w:tc>
          <w:tcPr>
            <w:tcW w:w="5228" w:type="dxa"/>
            <w:gridSpan w:val="3"/>
            <w:tcBorders>
              <w:tl2br w:val="nil"/>
              <w:tr2bl w:val="nil"/>
            </w:tcBorders>
            <w:vAlign w:val="center"/>
          </w:tcPr>
          <w:p w14:paraId="5A8646E5">
            <w:pPr>
              <w:widowControl/>
              <w:spacing w:before="0" w:beforeLines="0" w:after="156" w:line="240" w:lineRule="auto"/>
              <w:contextualSpacing/>
              <w:jc w:val="center"/>
              <w:rPr>
                <w:kern w:val="0"/>
                <w:szCs w:val="21"/>
              </w:rPr>
            </w:pPr>
            <w:r>
              <w:rPr>
                <w:rFonts w:hint="eastAsia"/>
                <w:kern w:val="0"/>
                <w:szCs w:val="21"/>
              </w:rPr>
              <w:t>颗粒物</w:t>
            </w:r>
          </w:p>
        </w:tc>
        <w:tc>
          <w:tcPr>
            <w:tcW w:w="1322" w:type="dxa"/>
            <w:tcBorders>
              <w:tl2br w:val="nil"/>
              <w:tr2bl w:val="nil"/>
            </w:tcBorders>
            <w:vAlign w:val="center"/>
          </w:tcPr>
          <w:p w14:paraId="6C5AB3DA">
            <w:pPr>
              <w:widowControl/>
              <w:spacing w:before="0" w:beforeLines="0" w:after="156" w:line="240" w:lineRule="auto"/>
              <w:contextualSpacing/>
              <w:jc w:val="center"/>
              <w:rPr>
                <w:kern w:val="0"/>
                <w:szCs w:val="21"/>
              </w:rPr>
            </w:pPr>
            <w:r>
              <w:rPr>
                <w:rFonts w:hint="eastAsia"/>
                <w:kern w:val="0"/>
                <w:szCs w:val="21"/>
              </w:rPr>
              <w:t>13.41</w:t>
            </w:r>
          </w:p>
        </w:tc>
      </w:tr>
    </w:tbl>
    <w:p w14:paraId="0AB4F00D">
      <w:pPr>
        <w:tabs>
          <w:tab w:val="left" w:pos="286"/>
        </w:tabs>
        <w:adjustRightInd w:val="0"/>
        <w:snapToGrid w:val="0"/>
        <w:spacing w:before="78" w:line="520" w:lineRule="exact"/>
        <w:jc w:val="center"/>
        <w:rPr>
          <w:b/>
          <w:bCs/>
          <w:szCs w:val="21"/>
        </w:rPr>
      </w:pPr>
    </w:p>
    <w:p w14:paraId="29FD6C2F">
      <w:pPr>
        <w:tabs>
          <w:tab w:val="left" w:pos="286"/>
        </w:tabs>
        <w:adjustRightInd w:val="0"/>
        <w:snapToGrid w:val="0"/>
        <w:spacing w:before="78" w:line="520" w:lineRule="exact"/>
        <w:jc w:val="center"/>
        <w:rPr>
          <w:b/>
          <w:bCs/>
          <w:szCs w:val="21"/>
        </w:rPr>
      </w:pPr>
    </w:p>
    <w:p w14:paraId="061AAF2C">
      <w:pPr>
        <w:tabs>
          <w:tab w:val="left" w:pos="286"/>
        </w:tabs>
        <w:adjustRightInd w:val="0"/>
        <w:snapToGrid w:val="0"/>
        <w:spacing w:before="78" w:line="520" w:lineRule="exact"/>
        <w:jc w:val="center"/>
        <w:rPr>
          <w:b/>
          <w:bCs/>
          <w:szCs w:val="21"/>
        </w:rPr>
      </w:pPr>
    </w:p>
    <w:p w14:paraId="5D18AA29">
      <w:pPr>
        <w:tabs>
          <w:tab w:val="left" w:pos="286"/>
        </w:tabs>
        <w:adjustRightInd w:val="0"/>
        <w:snapToGrid w:val="0"/>
        <w:spacing w:before="78" w:line="520" w:lineRule="exact"/>
        <w:jc w:val="center"/>
        <w:rPr>
          <w:b/>
          <w:bCs/>
          <w:szCs w:val="21"/>
        </w:rPr>
      </w:pPr>
    </w:p>
    <w:p w14:paraId="669CFE3A">
      <w:pPr>
        <w:tabs>
          <w:tab w:val="left" w:pos="286"/>
        </w:tabs>
        <w:adjustRightInd w:val="0"/>
        <w:snapToGrid w:val="0"/>
        <w:spacing w:before="78" w:line="520" w:lineRule="exact"/>
        <w:jc w:val="center"/>
        <w:rPr>
          <w:b/>
          <w:bCs/>
          <w:szCs w:val="21"/>
        </w:rPr>
      </w:pPr>
    </w:p>
    <w:p w14:paraId="5761B103">
      <w:pPr>
        <w:tabs>
          <w:tab w:val="left" w:pos="286"/>
        </w:tabs>
        <w:adjustRightInd w:val="0"/>
        <w:snapToGrid w:val="0"/>
        <w:spacing w:before="78" w:line="520" w:lineRule="exact"/>
        <w:jc w:val="center"/>
        <w:rPr>
          <w:b/>
          <w:bCs/>
          <w:szCs w:val="21"/>
        </w:rPr>
      </w:pPr>
      <w:r>
        <w:rPr>
          <w:rFonts w:hint="eastAsia"/>
          <w:b/>
          <w:bCs/>
          <w:szCs w:val="21"/>
        </w:rPr>
        <w:t>表5.2-22   无</w:t>
      </w:r>
      <w:r>
        <w:rPr>
          <w:b/>
          <w:bCs/>
          <w:szCs w:val="21"/>
        </w:rPr>
        <w:t>组织排放量核算表</w:t>
      </w:r>
    </w:p>
    <w:tbl>
      <w:tblPr>
        <w:tblStyle w:val="89"/>
        <w:tblW w:w="0" w:type="auto"/>
        <w:tblInd w:w="-142"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28" w:type="dxa"/>
          <w:bottom w:w="0" w:type="dxa"/>
          <w:right w:w="28" w:type="dxa"/>
        </w:tblCellMar>
      </w:tblPr>
      <w:tblGrid>
        <w:gridCol w:w="1560"/>
        <w:gridCol w:w="1559"/>
        <w:gridCol w:w="709"/>
        <w:gridCol w:w="1276"/>
        <w:gridCol w:w="1372"/>
        <w:gridCol w:w="1037"/>
        <w:gridCol w:w="935"/>
      </w:tblGrid>
      <w:tr w14:paraId="2304801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1560" w:type="dxa"/>
            <w:vMerge w:val="restart"/>
            <w:tcBorders>
              <w:tl2br w:val="nil"/>
              <w:tr2bl w:val="nil"/>
            </w:tcBorders>
            <w:vAlign w:val="center"/>
          </w:tcPr>
          <w:p w14:paraId="59D0A16C">
            <w:pPr>
              <w:widowControl/>
              <w:spacing w:before="0" w:beforeLines="0" w:after="156" w:line="240" w:lineRule="auto"/>
              <w:contextualSpacing/>
              <w:jc w:val="center"/>
              <w:rPr>
                <w:kern w:val="0"/>
                <w:szCs w:val="21"/>
              </w:rPr>
            </w:pPr>
            <w:r>
              <w:rPr>
                <w:kern w:val="0"/>
                <w:szCs w:val="21"/>
              </w:rPr>
              <w:t>排放口编号</w:t>
            </w:r>
          </w:p>
        </w:tc>
        <w:tc>
          <w:tcPr>
            <w:tcW w:w="1559" w:type="dxa"/>
            <w:vMerge w:val="restart"/>
            <w:tcBorders>
              <w:tl2br w:val="nil"/>
              <w:tr2bl w:val="nil"/>
            </w:tcBorders>
            <w:vAlign w:val="center"/>
          </w:tcPr>
          <w:p w14:paraId="33CD8434">
            <w:pPr>
              <w:widowControl/>
              <w:spacing w:before="0" w:beforeLines="0" w:after="156" w:line="240" w:lineRule="auto"/>
              <w:contextualSpacing/>
              <w:jc w:val="center"/>
              <w:rPr>
                <w:kern w:val="0"/>
                <w:szCs w:val="21"/>
              </w:rPr>
            </w:pPr>
            <w:r>
              <w:rPr>
                <w:kern w:val="0"/>
                <w:szCs w:val="21"/>
              </w:rPr>
              <w:t>产污环节</w:t>
            </w:r>
          </w:p>
        </w:tc>
        <w:tc>
          <w:tcPr>
            <w:tcW w:w="709" w:type="dxa"/>
            <w:vMerge w:val="restart"/>
            <w:tcBorders>
              <w:tl2br w:val="nil"/>
              <w:tr2bl w:val="nil"/>
            </w:tcBorders>
            <w:vAlign w:val="center"/>
          </w:tcPr>
          <w:p w14:paraId="6E557BCE">
            <w:pPr>
              <w:widowControl/>
              <w:spacing w:before="0" w:beforeLines="0" w:after="156" w:line="240" w:lineRule="auto"/>
              <w:contextualSpacing/>
              <w:jc w:val="center"/>
              <w:rPr>
                <w:kern w:val="0"/>
                <w:szCs w:val="21"/>
              </w:rPr>
            </w:pPr>
            <w:r>
              <w:rPr>
                <w:kern w:val="0"/>
                <w:szCs w:val="21"/>
              </w:rPr>
              <w:t>污染物</w:t>
            </w:r>
          </w:p>
        </w:tc>
        <w:tc>
          <w:tcPr>
            <w:tcW w:w="1276" w:type="dxa"/>
            <w:vMerge w:val="restart"/>
            <w:tcBorders>
              <w:tl2br w:val="nil"/>
              <w:tr2bl w:val="nil"/>
            </w:tcBorders>
            <w:vAlign w:val="center"/>
          </w:tcPr>
          <w:p w14:paraId="607B8186">
            <w:pPr>
              <w:widowControl/>
              <w:spacing w:before="0" w:beforeLines="0" w:after="156" w:line="240" w:lineRule="auto"/>
              <w:contextualSpacing/>
              <w:jc w:val="center"/>
              <w:rPr>
                <w:kern w:val="0"/>
                <w:szCs w:val="21"/>
              </w:rPr>
            </w:pPr>
            <w:r>
              <w:rPr>
                <w:kern w:val="0"/>
                <w:szCs w:val="21"/>
              </w:rPr>
              <w:t>主要污染防治措施</w:t>
            </w:r>
          </w:p>
        </w:tc>
        <w:tc>
          <w:tcPr>
            <w:tcW w:w="2409" w:type="dxa"/>
            <w:gridSpan w:val="2"/>
            <w:tcBorders>
              <w:tl2br w:val="nil"/>
              <w:tr2bl w:val="nil"/>
            </w:tcBorders>
            <w:vAlign w:val="center"/>
          </w:tcPr>
          <w:p w14:paraId="7D24DCE6">
            <w:pPr>
              <w:widowControl/>
              <w:spacing w:before="0" w:beforeLines="0" w:after="156" w:line="240" w:lineRule="auto"/>
              <w:contextualSpacing/>
              <w:jc w:val="center"/>
              <w:rPr>
                <w:kern w:val="0"/>
                <w:szCs w:val="21"/>
              </w:rPr>
            </w:pPr>
            <w:r>
              <w:rPr>
                <w:kern w:val="0"/>
                <w:szCs w:val="21"/>
              </w:rPr>
              <w:t>污染物排放标准</w:t>
            </w:r>
          </w:p>
        </w:tc>
        <w:tc>
          <w:tcPr>
            <w:tcW w:w="935" w:type="dxa"/>
            <w:vMerge w:val="restart"/>
            <w:tcBorders>
              <w:tl2br w:val="nil"/>
              <w:tr2bl w:val="nil"/>
            </w:tcBorders>
            <w:vAlign w:val="center"/>
          </w:tcPr>
          <w:p w14:paraId="0A3B60FD">
            <w:pPr>
              <w:widowControl/>
              <w:spacing w:before="0" w:beforeLines="0" w:after="156" w:line="240" w:lineRule="auto"/>
              <w:contextualSpacing/>
              <w:jc w:val="center"/>
              <w:rPr>
                <w:kern w:val="0"/>
                <w:szCs w:val="21"/>
              </w:rPr>
            </w:pPr>
            <w:r>
              <w:rPr>
                <w:kern w:val="0"/>
                <w:szCs w:val="21"/>
              </w:rPr>
              <w:t>年排放量（t/a）</w:t>
            </w:r>
          </w:p>
        </w:tc>
      </w:tr>
      <w:tr w14:paraId="7040D74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1560" w:type="dxa"/>
            <w:vMerge w:val="continue"/>
            <w:tcBorders>
              <w:tl2br w:val="nil"/>
              <w:tr2bl w:val="nil"/>
            </w:tcBorders>
            <w:vAlign w:val="center"/>
          </w:tcPr>
          <w:p w14:paraId="7EB28BFA">
            <w:pPr>
              <w:widowControl/>
              <w:spacing w:before="0" w:beforeLines="0" w:after="156" w:line="240" w:lineRule="auto"/>
              <w:contextualSpacing/>
              <w:jc w:val="center"/>
              <w:rPr>
                <w:kern w:val="0"/>
                <w:szCs w:val="21"/>
              </w:rPr>
            </w:pPr>
          </w:p>
        </w:tc>
        <w:tc>
          <w:tcPr>
            <w:tcW w:w="1559" w:type="dxa"/>
            <w:vMerge w:val="continue"/>
            <w:tcBorders>
              <w:tl2br w:val="nil"/>
              <w:tr2bl w:val="nil"/>
            </w:tcBorders>
            <w:vAlign w:val="center"/>
          </w:tcPr>
          <w:p w14:paraId="22B0FAAC">
            <w:pPr>
              <w:widowControl/>
              <w:spacing w:before="0" w:beforeLines="0" w:after="156" w:line="240" w:lineRule="auto"/>
              <w:contextualSpacing/>
              <w:jc w:val="center"/>
              <w:rPr>
                <w:kern w:val="0"/>
                <w:szCs w:val="21"/>
              </w:rPr>
            </w:pPr>
          </w:p>
        </w:tc>
        <w:tc>
          <w:tcPr>
            <w:tcW w:w="709" w:type="dxa"/>
            <w:vMerge w:val="continue"/>
            <w:tcBorders>
              <w:tl2br w:val="nil"/>
              <w:tr2bl w:val="nil"/>
            </w:tcBorders>
            <w:vAlign w:val="center"/>
          </w:tcPr>
          <w:p w14:paraId="7A8D4DE8">
            <w:pPr>
              <w:widowControl/>
              <w:spacing w:before="0" w:beforeLines="0" w:after="156" w:line="240" w:lineRule="auto"/>
              <w:contextualSpacing/>
              <w:jc w:val="center"/>
              <w:rPr>
                <w:kern w:val="0"/>
                <w:szCs w:val="21"/>
              </w:rPr>
            </w:pPr>
          </w:p>
        </w:tc>
        <w:tc>
          <w:tcPr>
            <w:tcW w:w="1276" w:type="dxa"/>
            <w:vMerge w:val="continue"/>
            <w:tcBorders>
              <w:tl2br w:val="nil"/>
              <w:tr2bl w:val="nil"/>
            </w:tcBorders>
            <w:vAlign w:val="center"/>
          </w:tcPr>
          <w:p w14:paraId="19F2AAAE">
            <w:pPr>
              <w:widowControl/>
              <w:spacing w:before="0" w:beforeLines="0" w:after="156" w:line="240" w:lineRule="auto"/>
              <w:contextualSpacing/>
              <w:jc w:val="center"/>
              <w:rPr>
                <w:kern w:val="0"/>
                <w:szCs w:val="21"/>
              </w:rPr>
            </w:pPr>
          </w:p>
        </w:tc>
        <w:tc>
          <w:tcPr>
            <w:tcW w:w="1372" w:type="dxa"/>
            <w:tcBorders>
              <w:tl2br w:val="nil"/>
              <w:tr2bl w:val="nil"/>
            </w:tcBorders>
            <w:vAlign w:val="center"/>
          </w:tcPr>
          <w:p w14:paraId="0D8A902F">
            <w:pPr>
              <w:widowControl/>
              <w:spacing w:before="0" w:beforeLines="0" w:after="156" w:line="240" w:lineRule="auto"/>
              <w:contextualSpacing/>
              <w:jc w:val="center"/>
              <w:rPr>
                <w:kern w:val="0"/>
                <w:szCs w:val="21"/>
              </w:rPr>
            </w:pPr>
            <w:r>
              <w:rPr>
                <w:kern w:val="0"/>
                <w:szCs w:val="21"/>
              </w:rPr>
              <w:t>标准名称</w:t>
            </w:r>
          </w:p>
        </w:tc>
        <w:tc>
          <w:tcPr>
            <w:tcW w:w="1037" w:type="dxa"/>
            <w:tcBorders>
              <w:tl2br w:val="nil"/>
              <w:tr2bl w:val="nil"/>
            </w:tcBorders>
            <w:vAlign w:val="center"/>
          </w:tcPr>
          <w:p w14:paraId="17CA0CAE">
            <w:pPr>
              <w:widowControl/>
              <w:spacing w:before="0" w:beforeLines="0" w:after="156" w:line="240" w:lineRule="auto"/>
              <w:contextualSpacing/>
              <w:jc w:val="center"/>
              <w:rPr>
                <w:kern w:val="0"/>
                <w:szCs w:val="21"/>
              </w:rPr>
            </w:pPr>
            <w:r>
              <w:rPr>
                <w:kern w:val="0"/>
                <w:szCs w:val="21"/>
              </w:rPr>
              <w:t>浓度限值</w:t>
            </w:r>
          </w:p>
          <w:p w14:paraId="3D552C21">
            <w:pPr>
              <w:widowControl/>
              <w:spacing w:before="0" w:beforeLines="0" w:after="156" w:line="240" w:lineRule="auto"/>
              <w:contextualSpacing/>
              <w:jc w:val="center"/>
              <w:rPr>
                <w:kern w:val="0"/>
                <w:szCs w:val="21"/>
              </w:rPr>
            </w:pPr>
            <w:r>
              <w:rPr>
                <w:kern w:val="0"/>
                <w:szCs w:val="21"/>
              </w:rPr>
              <w:t>（mg/m</w:t>
            </w:r>
            <w:r>
              <w:rPr>
                <w:kern w:val="0"/>
                <w:szCs w:val="21"/>
                <w:vertAlign w:val="superscript"/>
              </w:rPr>
              <w:t>3</w:t>
            </w:r>
            <w:r>
              <w:rPr>
                <w:kern w:val="0"/>
                <w:szCs w:val="21"/>
              </w:rPr>
              <w:t>）</w:t>
            </w:r>
          </w:p>
        </w:tc>
        <w:tc>
          <w:tcPr>
            <w:tcW w:w="935" w:type="dxa"/>
            <w:vMerge w:val="continue"/>
            <w:tcBorders>
              <w:tl2br w:val="nil"/>
              <w:tr2bl w:val="nil"/>
            </w:tcBorders>
            <w:vAlign w:val="center"/>
          </w:tcPr>
          <w:p w14:paraId="078ABB51">
            <w:pPr>
              <w:widowControl/>
              <w:spacing w:before="0" w:beforeLines="0" w:after="156" w:line="240" w:lineRule="auto"/>
              <w:contextualSpacing/>
              <w:jc w:val="center"/>
              <w:rPr>
                <w:kern w:val="0"/>
                <w:szCs w:val="21"/>
              </w:rPr>
            </w:pPr>
          </w:p>
        </w:tc>
      </w:tr>
      <w:tr w14:paraId="714D2A7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1560" w:type="dxa"/>
            <w:tcBorders>
              <w:tl2br w:val="nil"/>
              <w:tr2bl w:val="nil"/>
            </w:tcBorders>
            <w:vAlign w:val="center"/>
          </w:tcPr>
          <w:p w14:paraId="028FE297">
            <w:pPr>
              <w:widowControl/>
              <w:spacing w:before="0" w:beforeLines="0" w:after="156" w:line="240" w:lineRule="auto"/>
              <w:contextualSpacing/>
              <w:jc w:val="center"/>
              <w:rPr>
                <w:kern w:val="0"/>
                <w:szCs w:val="21"/>
              </w:rPr>
            </w:pPr>
            <w:r>
              <w:rPr>
                <w:rFonts w:hint="eastAsia"/>
                <w:kern w:val="0"/>
                <w:szCs w:val="21"/>
              </w:rPr>
              <w:t>抛砂车间</w:t>
            </w:r>
          </w:p>
        </w:tc>
        <w:tc>
          <w:tcPr>
            <w:tcW w:w="1559" w:type="dxa"/>
            <w:tcBorders>
              <w:tl2br w:val="nil"/>
              <w:tr2bl w:val="nil"/>
            </w:tcBorders>
            <w:vAlign w:val="center"/>
          </w:tcPr>
          <w:p w14:paraId="64F47107">
            <w:pPr>
              <w:widowControl/>
              <w:spacing w:before="0" w:beforeLines="0" w:after="156" w:line="240" w:lineRule="auto"/>
              <w:contextualSpacing/>
              <w:jc w:val="center"/>
              <w:rPr>
                <w:kern w:val="0"/>
                <w:szCs w:val="21"/>
              </w:rPr>
            </w:pPr>
            <w:r>
              <w:rPr>
                <w:rFonts w:hint="eastAsia"/>
                <w:kern w:val="0"/>
                <w:szCs w:val="21"/>
              </w:rPr>
              <w:t>原料产品装卸</w:t>
            </w:r>
          </w:p>
        </w:tc>
        <w:tc>
          <w:tcPr>
            <w:tcW w:w="709" w:type="dxa"/>
            <w:tcBorders>
              <w:tl2br w:val="nil"/>
              <w:tr2bl w:val="nil"/>
            </w:tcBorders>
            <w:vAlign w:val="center"/>
          </w:tcPr>
          <w:p w14:paraId="10A0FFE7">
            <w:pPr>
              <w:widowControl/>
              <w:spacing w:before="0" w:beforeLines="0" w:after="156" w:line="240" w:lineRule="auto"/>
              <w:contextualSpacing/>
              <w:jc w:val="center"/>
              <w:rPr>
                <w:kern w:val="0"/>
                <w:szCs w:val="21"/>
              </w:rPr>
            </w:pPr>
            <w:r>
              <w:rPr>
                <w:kern w:val="0"/>
                <w:szCs w:val="21"/>
              </w:rPr>
              <w:t>颗粒物</w:t>
            </w:r>
          </w:p>
        </w:tc>
        <w:tc>
          <w:tcPr>
            <w:tcW w:w="1276" w:type="dxa"/>
            <w:vMerge w:val="restart"/>
            <w:tcBorders>
              <w:tl2br w:val="nil"/>
              <w:tr2bl w:val="nil"/>
            </w:tcBorders>
            <w:vAlign w:val="center"/>
          </w:tcPr>
          <w:p w14:paraId="0B85E9AF">
            <w:pPr>
              <w:widowControl/>
              <w:spacing w:before="0" w:beforeLines="0" w:after="156" w:line="240" w:lineRule="auto"/>
              <w:contextualSpacing/>
              <w:jc w:val="center"/>
              <w:rPr>
                <w:kern w:val="0"/>
                <w:szCs w:val="21"/>
              </w:rPr>
            </w:pPr>
            <w:r>
              <w:rPr>
                <w:rFonts w:hint="eastAsia"/>
                <w:kern w:val="0"/>
                <w:szCs w:val="21"/>
              </w:rPr>
              <w:t>封闭车间；封闭皮带；场地硬化；洒水抑尘</w:t>
            </w:r>
          </w:p>
        </w:tc>
        <w:tc>
          <w:tcPr>
            <w:tcW w:w="1372" w:type="dxa"/>
            <w:tcBorders>
              <w:tl2br w:val="nil"/>
              <w:tr2bl w:val="nil"/>
            </w:tcBorders>
            <w:vAlign w:val="center"/>
          </w:tcPr>
          <w:p w14:paraId="2B628ADC">
            <w:pPr>
              <w:widowControl/>
              <w:spacing w:before="0" w:beforeLines="0" w:after="156" w:line="240" w:lineRule="auto"/>
              <w:contextualSpacing/>
              <w:jc w:val="center"/>
              <w:rPr>
                <w:kern w:val="0"/>
                <w:szCs w:val="21"/>
              </w:rPr>
            </w:pPr>
            <w:r>
              <w:rPr>
                <w:kern w:val="0"/>
                <w:szCs w:val="21"/>
              </w:rPr>
              <w:t>GB28661-2012</w:t>
            </w:r>
          </w:p>
        </w:tc>
        <w:tc>
          <w:tcPr>
            <w:tcW w:w="1037" w:type="dxa"/>
            <w:tcBorders>
              <w:tl2br w:val="nil"/>
              <w:tr2bl w:val="nil"/>
            </w:tcBorders>
            <w:vAlign w:val="center"/>
          </w:tcPr>
          <w:p w14:paraId="7E75DACE">
            <w:pPr>
              <w:widowControl/>
              <w:spacing w:before="0" w:beforeLines="0" w:after="156" w:line="240" w:lineRule="auto"/>
              <w:contextualSpacing/>
              <w:jc w:val="center"/>
              <w:rPr>
                <w:kern w:val="0"/>
                <w:szCs w:val="21"/>
              </w:rPr>
            </w:pPr>
            <w:r>
              <w:rPr>
                <w:kern w:val="0"/>
                <w:szCs w:val="21"/>
              </w:rPr>
              <w:t>1.0</w:t>
            </w:r>
          </w:p>
        </w:tc>
        <w:tc>
          <w:tcPr>
            <w:tcW w:w="935" w:type="dxa"/>
            <w:tcBorders>
              <w:tl2br w:val="nil"/>
              <w:tr2bl w:val="nil"/>
            </w:tcBorders>
            <w:vAlign w:val="center"/>
          </w:tcPr>
          <w:p w14:paraId="0A581C95">
            <w:pPr>
              <w:widowControl/>
              <w:spacing w:before="0" w:beforeLines="0" w:after="156" w:line="240" w:lineRule="auto"/>
              <w:contextualSpacing/>
              <w:jc w:val="center"/>
              <w:rPr>
                <w:kern w:val="0"/>
                <w:szCs w:val="21"/>
              </w:rPr>
            </w:pPr>
            <w:r>
              <w:rPr>
                <w:rFonts w:hint="eastAsia"/>
                <w:kern w:val="0"/>
                <w:szCs w:val="21"/>
              </w:rPr>
              <w:t>14.61</w:t>
            </w:r>
          </w:p>
        </w:tc>
      </w:tr>
      <w:tr w14:paraId="6CC07D9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1560" w:type="dxa"/>
            <w:tcBorders>
              <w:tl2br w:val="nil"/>
              <w:tr2bl w:val="nil"/>
            </w:tcBorders>
            <w:vAlign w:val="center"/>
          </w:tcPr>
          <w:p w14:paraId="3862E2C2">
            <w:pPr>
              <w:widowControl/>
              <w:spacing w:before="0" w:beforeLines="0" w:after="156" w:line="240" w:lineRule="auto"/>
              <w:contextualSpacing/>
              <w:jc w:val="center"/>
              <w:rPr>
                <w:kern w:val="0"/>
                <w:szCs w:val="21"/>
              </w:rPr>
            </w:pPr>
            <w:r>
              <w:rPr>
                <w:rFonts w:hint="eastAsia"/>
                <w:kern w:val="0"/>
                <w:szCs w:val="21"/>
              </w:rPr>
              <w:t>机制砂库房</w:t>
            </w:r>
          </w:p>
        </w:tc>
        <w:tc>
          <w:tcPr>
            <w:tcW w:w="1559" w:type="dxa"/>
            <w:tcBorders>
              <w:tl2br w:val="nil"/>
              <w:tr2bl w:val="nil"/>
            </w:tcBorders>
            <w:vAlign w:val="center"/>
          </w:tcPr>
          <w:p w14:paraId="44A209EA">
            <w:pPr>
              <w:widowControl/>
              <w:spacing w:before="0" w:beforeLines="0" w:after="156" w:line="240" w:lineRule="auto"/>
              <w:contextualSpacing/>
              <w:jc w:val="center"/>
              <w:rPr>
                <w:kern w:val="0"/>
                <w:szCs w:val="21"/>
              </w:rPr>
            </w:pPr>
            <w:r>
              <w:rPr>
                <w:rFonts w:hint="eastAsia"/>
                <w:kern w:val="0"/>
                <w:szCs w:val="21"/>
              </w:rPr>
              <w:t>产品装卸</w:t>
            </w:r>
          </w:p>
        </w:tc>
        <w:tc>
          <w:tcPr>
            <w:tcW w:w="709" w:type="dxa"/>
            <w:tcBorders>
              <w:tl2br w:val="nil"/>
              <w:tr2bl w:val="nil"/>
            </w:tcBorders>
            <w:vAlign w:val="center"/>
          </w:tcPr>
          <w:p w14:paraId="17631CE5">
            <w:pPr>
              <w:widowControl/>
              <w:spacing w:before="0" w:beforeLines="0" w:after="156" w:line="240" w:lineRule="auto"/>
              <w:contextualSpacing/>
              <w:jc w:val="center"/>
              <w:rPr>
                <w:kern w:val="0"/>
                <w:szCs w:val="21"/>
              </w:rPr>
            </w:pPr>
            <w:r>
              <w:rPr>
                <w:kern w:val="0"/>
                <w:szCs w:val="21"/>
              </w:rPr>
              <w:t>颗粒物</w:t>
            </w:r>
          </w:p>
        </w:tc>
        <w:tc>
          <w:tcPr>
            <w:tcW w:w="1276" w:type="dxa"/>
            <w:vMerge w:val="continue"/>
            <w:tcBorders>
              <w:tl2br w:val="nil"/>
              <w:tr2bl w:val="nil"/>
            </w:tcBorders>
            <w:vAlign w:val="center"/>
          </w:tcPr>
          <w:p w14:paraId="50582A39">
            <w:pPr>
              <w:widowControl/>
              <w:spacing w:before="0" w:beforeLines="0" w:after="156" w:line="240" w:lineRule="auto"/>
              <w:contextualSpacing/>
              <w:jc w:val="center"/>
              <w:rPr>
                <w:kern w:val="0"/>
                <w:szCs w:val="21"/>
              </w:rPr>
            </w:pPr>
          </w:p>
        </w:tc>
        <w:tc>
          <w:tcPr>
            <w:tcW w:w="1372" w:type="dxa"/>
            <w:tcBorders>
              <w:tl2br w:val="nil"/>
              <w:tr2bl w:val="nil"/>
            </w:tcBorders>
            <w:vAlign w:val="center"/>
          </w:tcPr>
          <w:p w14:paraId="6158ACEA">
            <w:pPr>
              <w:widowControl/>
              <w:spacing w:before="0" w:beforeLines="0" w:after="156" w:line="240" w:lineRule="auto"/>
              <w:contextualSpacing/>
              <w:jc w:val="center"/>
              <w:rPr>
                <w:kern w:val="0"/>
                <w:szCs w:val="21"/>
              </w:rPr>
            </w:pPr>
            <w:r>
              <w:rPr>
                <w:kern w:val="0"/>
                <w:szCs w:val="21"/>
              </w:rPr>
              <w:t>GB28661-2012</w:t>
            </w:r>
          </w:p>
        </w:tc>
        <w:tc>
          <w:tcPr>
            <w:tcW w:w="1037" w:type="dxa"/>
            <w:tcBorders>
              <w:tl2br w:val="nil"/>
              <w:tr2bl w:val="nil"/>
            </w:tcBorders>
            <w:vAlign w:val="center"/>
          </w:tcPr>
          <w:p w14:paraId="21EE6F8A">
            <w:pPr>
              <w:widowControl/>
              <w:spacing w:before="0" w:beforeLines="0" w:after="156" w:line="240" w:lineRule="auto"/>
              <w:contextualSpacing/>
              <w:jc w:val="center"/>
              <w:rPr>
                <w:kern w:val="0"/>
                <w:szCs w:val="21"/>
              </w:rPr>
            </w:pPr>
            <w:r>
              <w:rPr>
                <w:kern w:val="0"/>
                <w:szCs w:val="21"/>
              </w:rPr>
              <w:t>1.0</w:t>
            </w:r>
          </w:p>
        </w:tc>
        <w:tc>
          <w:tcPr>
            <w:tcW w:w="935" w:type="dxa"/>
            <w:tcBorders>
              <w:tl2br w:val="nil"/>
              <w:tr2bl w:val="nil"/>
            </w:tcBorders>
            <w:vAlign w:val="center"/>
          </w:tcPr>
          <w:p w14:paraId="5339D580">
            <w:pPr>
              <w:widowControl/>
              <w:spacing w:before="0" w:beforeLines="0" w:after="156" w:line="240" w:lineRule="auto"/>
              <w:contextualSpacing/>
              <w:jc w:val="center"/>
              <w:rPr>
                <w:kern w:val="0"/>
                <w:szCs w:val="21"/>
              </w:rPr>
            </w:pPr>
            <w:r>
              <w:rPr>
                <w:rFonts w:hint="eastAsia"/>
                <w:kern w:val="0"/>
                <w:szCs w:val="21"/>
              </w:rPr>
              <w:t>2.03</w:t>
            </w:r>
          </w:p>
        </w:tc>
      </w:tr>
      <w:tr w14:paraId="0627C9B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1560" w:type="dxa"/>
            <w:tcBorders>
              <w:tl2br w:val="nil"/>
              <w:tr2bl w:val="nil"/>
            </w:tcBorders>
            <w:vAlign w:val="center"/>
          </w:tcPr>
          <w:p w14:paraId="2F9E1D5C">
            <w:pPr>
              <w:widowControl/>
              <w:spacing w:before="0" w:beforeLines="0" w:after="156" w:line="240" w:lineRule="auto"/>
              <w:contextualSpacing/>
              <w:jc w:val="center"/>
              <w:rPr>
                <w:kern w:val="0"/>
                <w:szCs w:val="21"/>
              </w:rPr>
            </w:pPr>
            <w:r>
              <w:rPr>
                <w:rFonts w:hint="eastAsia"/>
                <w:kern w:val="0"/>
                <w:szCs w:val="21"/>
              </w:rPr>
              <w:t>破碎车间</w:t>
            </w:r>
          </w:p>
        </w:tc>
        <w:tc>
          <w:tcPr>
            <w:tcW w:w="1559" w:type="dxa"/>
            <w:tcBorders>
              <w:tl2br w:val="nil"/>
              <w:tr2bl w:val="nil"/>
            </w:tcBorders>
            <w:vAlign w:val="center"/>
          </w:tcPr>
          <w:p w14:paraId="5FD92BA9">
            <w:pPr>
              <w:widowControl/>
              <w:spacing w:before="0" w:beforeLines="0" w:after="156" w:line="240" w:lineRule="auto"/>
              <w:contextualSpacing/>
              <w:jc w:val="center"/>
              <w:rPr>
                <w:kern w:val="0"/>
                <w:szCs w:val="21"/>
              </w:rPr>
            </w:pPr>
            <w:r>
              <w:rPr>
                <w:rFonts w:hint="eastAsia"/>
                <w:kern w:val="0"/>
                <w:szCs w:val="21"/>
              </w:rPr>
              <w:t>原料产品装卸</w:t>
            </w:r>
          </w:p>
        </w:tc>
        <w:tc>
          <w:tcPr>
            <w:tcW w:w="709" w:type="dxa"/>
            <w:tcBorders>
              <w:bottom w:val="single" w:color="auto" w:sz="4" w:space="0"/>
              <w:tl2br w:val="nil"/>
              <w:tr2bl w:val="nil"/>
            </w:tcBorders>
            <w:vAlign w:val="center"/>
          </w:tcPr>
          <w:p w14:paraId="296CD90C">
            <w:pPr>
              <w:widowControl/>
              <w:spacing w:before="0" w:beforeLines="0" w:after="156" w:line="240" w:lineRule="auto"/>
              <w:contextualSpacing/>
              <w:jc w:val="center"/>
              <w:rPr>
                <w:kern w:val="0"/>
                <w:szCs w:val="21"/>
              </w:rPr>
            </w:pPr>
            <w:r>
              <w:rPr>
                <w:kern w:val="0"/>
                <w:szCs w:val="21"/>
              </w:rPr>
              <w:t>颗粒物</w:t>
            </w:r>
          </w:p>
        </w:tc>
        <w:tc>
          <w:tcPr>
            <w:tcW w:w="1276" w:type="dxa"/>
            <w:vMerge w:val="continue"/>
            <w:tcBorders>
              <w:bottom w:val="single" w:color="auto" w:sz="4" w:space="0"/>
              <w:tl2br w:val="nil"/>
              <w:tr2bl w:val="nil"/>
            </w:tcBorders>
            <w:vAlign w:val="center"/>
          </w:tcPr>
          <w:p w14:paraId="4FCF755A">
            <w:pPr>
              <w:widowControl/>
              <w:spacing w:before="0" w:beforeLines="0" w:after="156" w:line="240" w:lineRule="auto"/>
              <w:contextualSpacing/>
              <w:jc w:val="center"/>
              <w:rPr>
                <w:kern w:val="0"/>
                <w:szCs w:val="21"/>
              </w:rPr>
            </w:pPr>
          </w:p>
        </w:tc>
        <w:tc>
          <w:tcPr>
            <w:tcW w:w="1372" w:type="dxa"/>
            <w:tcBorders>
              <w:tl2br w:val="nil"/>
              <w:tr2bl w:val="nil"/>
            </w:tcBorders>
            <w:vAlign w:val="center"/>
          </w:tcPr>
          <w:p w14:paraId="64D5EF49">
            <w:pPr>
              <w:widowControl/>
              <w:spacing w:before="0" w:beforeLines="0" w:after="156" w:line="240" w:lineRule="auto"/>
              <w:contextualSpacing/>
              <w:jc w:val="center"/>
              <w:rPr>
                <w:kern w:val="0"/>
                <w:szCs w:val="21"/>
              </w:rPr>
            </w:pPr>
            <w:r>
              <w:rPr>
                <w:kern w:val="0"/>
                <w:szCs w:val="21"/>
              </w:rPr>
              <w:t>GB28661-2012</w:t>
            </w:r>
          </w:p>
        </w:tc>
        <w:tc>
          <w:tcPr>
            <w:tcW w:w="1037" w:type="dxa"/>
            <w:tcBorders>
              <w:tl2br w:val="nil"/>
              <w:tr2bl w:val="nil"/>
            </w:tcBorders>
            <w:vAlign w:val="center"/>
          </w:tcPr>
          <w:p w14:paraId="7E49AB71">
            <w:pPr>
              <w:widowControl/>
              <w:spacing w:before="0" w:beforeLines="0" w:after="156" w:line="240" w:lineRule="auto"/>
              <w:contextualSpacing/>
              <w:jc w:val="center"/>
              <w:rPr>
                <w:kern w:val="0"/>
                <w:szCs w:val="21"/>
              </w:rPr>
            </w:pPr>
            <w:r>
              <w:rPr>
                <w:kern w:val="0"/>
                <w:szCs w:val="21"/>
              </w:rPr>
              <w:t>1.0</w:t>
            </w:r>
          </w:p>
        </w:tc>
        <w:tc>
          <w:tcPr>
            <w:tcW w:w="935" w:type="dxa"/>
            <w:tcBorders>
              <w:tl2br w:val="nil"/>
              <w:tr2bl w:val="nil"/>
            </w:tcBorders>
            <w:vAlign w:val="center"/>
          </w:tcPr>
          <w:p w14:paraId="6B430BC7">
            <w:pPr>
              <w:widowControl/>
              <w:spacing w:before="0" w:beforeLines="0" w:after="156" w:line="240" w:lineRule="auto"/>
              <w:contextualSpacing/>
              <w:jc w:val="center"/>
              <w:rPr>
                <w:kern w:val="0"/>
                <w:szCs w:val="21"/>
              </w:rPr>
            </w:pPr>
            <w:r>
              <w:rPr>
                <w:rFonts w:hint="eastAsia"/>
                <w:kern w:val="0"/>
                <w:szCs w:val="21"/>
              </w:rPr>
              <w:t>1.94</w:t>
            </w:r>
          </w:p>
        </w:tc>
      </w:tr>
      <w:tr w14:paraId="0151FF5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1560" w:type="dxa"/>
            <w:tcBorders>
              <w:tl2br w:val="nil"/>
              <w:tr2bl w:val="nil"/>
            </w:tcBorders>
            <w:vAlign w:val="center"/>
          </w:tcPr>
          <w:p w14:paraId="3F71D455">
            <w:pPr>
              <w:widowControl/>
              <w:spacing w:before="0" w:beforeLines="0" w:after="156" w:line="240" w:lineRule="auto"/>
              <w:contextualSpacing/>
              <w:jc w:val="center"/>
              <w:rPr>
                <w:kern w:val="0"/>
                <w:szCs w:val="21"/>
              </w:rPr>
            </w:pPr>
            <w:r>
              <w:rPr>
                <w:rFonts w:hint="eastAsia"/>
                <w:kern w:val="0"/>
                <w:szCs w:val="21"/>
              </w:rPr>
              <w:t>铁精矿成品仓</w:t>
            </w:r>
          </w:p>
        </w:tc>
        <w:tc>
          <w:tcPr>
            <w:tcW w:w="1559" w:type="dxa"/>
            <w:tcBorders>
              <w:tl2br w:val="nil"/>
              <w:tr2bl w:val="nil"/>
            </w:tcBorders>
            <w:vAlign w:val="center"/>
          </w:tcPr>
          <w:p w14:paraId="0CEBA7D5">
            <w:pPr>
              <w:widowControl/>
              <w:spacing w:before="0" w:beforeLines="0" w:after="156" w:line="240" w:lineRule="auto"/>
              <w:contextualSpacing/>
              <w:jc w:val="center"/>
              <w:rPr>
                <w:kern w:val="0"/>
                <w:szCs w:val="21"/>
              </w:rPr>
            </w:pPr>
            <w:r>
              <w:rPr>
                <w:rFonts w:hint="eastAsia"/>
                <w:kern w:val="0"/>
                <w:szCs w:val="21"/>
              </w:rPr>
              <w:t>产品装卸</w:t>
            </w:r>
          </w:p>
        </w:tc>
        <w:tc>
          <w:tcPr>
            <w:tcW w:w="709" w:type="dxa"/>
            <w:tcBorders>
              <w:top w:val="single" w:color="auto" w:sz="4" w:space="0"/>
              <w:bottom w:val="single" w:color="auto" w:sz="4" w:space="0"/>
              <w:tl2br w:val="nil"/>
              <w:tr2bl w:val="nil"/>
            </w:tcBorders>
            <w:vAlign w:val="center"/>
          </w:tcPr>
          <w:p w14:paraId="47925FE2">
            <w:pPr>
              <w:widowControl/>
              <w:spacing w:before="0" w:beforeLines="0" w:after="156" w:line="240" w:lineRule="auto"/>
              <w:contextualSpacing/>
              <w:jc w:val="center"/>
              <w:rPr>
                <w:kern w:val="0"/>
                <w:szCs w:val="21"/>
              </w:rPr>
            </w:pPr>
            <w:r>
              <w:rPr>
                <w:kern w:val="0"/>
                <w:szCs w:val="21"/>
              </w:rPr>
              <w:t>颗粒物</w:t>
            </w:r>
          </w:p>
        </w:tc>
        <w:tc>
          <w:tcPr>
            <w:tcW w:w="1276" w:type="dxa"/>
            <w:tcBorders>
              <w:top w:val="single" w:color="auto" w:sz="4" w:space="0"/>
              <w:bottom w:val="single" w:color="auto" w:sz="4" w:space="0"/>
              <w:tl2br w:val="nil"/>
              <w:tr2bl w:val="nil"/>
            </w:tcBorders>
            <w:vAlign w:val="center"/>
          </w:tcPr>
          <w:p w14:paraId="55754235">
            <w:pPr>
              <w:widowControl/>
              <w:spacing w:before="0" w:beforeLines="0" w:after="156" w:line="240" w:lineRule="auto"/>
              <w:contextualSpacing/>
              <w:jc w:val="center"/>
              <w:rPr>
                <w:kern w:val="0"/>
                <w:szCs w:val="21"/>
              </w:rPr>
            </w:pPr>
            <w:r>
              <w:rPr>
                <w:rFonts w:hint="eastAsia"/>
                <w:kern w:val="0"/>
                <w:szCs w:val="21"/>
              </w:rPr>
              <w:t>仓顶除尘</w:t>
            </w:r>
          </w:p>
        </w:tc>
        <w:tc>
          <w:tcPr>
            <w:tcW w:w="1372" w:type="dxa"/>
            <w:tcBorders>
              <w:tl2br w:val="nil"/>
              <w:tr2bl w:val="nil"/>
            </w:tcBorders>
            <w:vAlign w:val="center"/>
          </w:tcPr>
          <w:p w14:paraId="0E79D4AE">
            <w:pPr>
              <w:widowControl/>
              <w:spacing w:before="0" w:beforeLines="0" w:after="156" w:line="240" w:lineRule="auto"/>
              <w:contextualSpacing/>
              <w:jc w:val="center"/>
              <w:rPr>
                <w:kern w:val="0"/>
                <w:szCs w:val="21"/>
              </w:rPr>
            </w:pPr>
            <w:r>
              <w:rPr>
                <w:kern w:val="0"/>
                <w:szCs w:val="21"/>
              </w:rPr>
              <w:t>GB28661-2012</w:t>
            </w:r>
          </w:p>
        </w:tc>
        <w:tc>
          <w:tcPr>
            <w:tcW w:w="1037" w:type="dxa"/>
            <w:tcBorders>
              <w:tl2br w:val="nil"/>
              <w:tr2bl w:val="nil"/>
            </w:tcBorders>
            <w:vAlign w:val="center"/>
          </w:tcPr>
          <w:p w14:paraId="72E0E07D">
            <w:pPr>
              <w:widowControl/>
              <w:spacing w:before="0" w:beforeLines="0" w:after="156" w:line="240" w:lineRule="auto"/>
              <w:contextualSpacing/>
              <w:jc w:val="center"/>
              <w:rPr>
                <w:kern w:val="0"/>
                <w:szCs w:val="21"/>
              </w:rPr>
            </w:pPr>
            <w:r>
              <w:rPr>
                <w:kern w:val="0"/>
                <w:szCs w:val="21"/>
              </w:rPr>
              <w:t>1.0</w:t>
            </w:r>
          </w:p>
        </w:tc>
        <w:tc>
          <w:tcPr>
            <w:tcW w:w="935" w:type="dxa"/>
            <w:tcBorders>
              <w:tl2br w:val="nil"/>
              <w:tr2bl w:val="nil"/>
            </w:tcBorders>
            <w:vAlign w:val="center"/>
          </w:tcPr>
          <w:p w14:paraId="38110DFA">
            <w:pPr>
              <w:widowControl/>
              <w:spacing w:before="0" w:beforeLines="0" w:after="156" w:line="240" w:lineRule="auto"/>
              <w:contextualSpacing/>
              <w:jc w:val="center"/>
              <w:rPr>
                <w:kern w:val="0"/>
                <w:szCs w:val="21"/>
              </w:rPr>
            </w:pPr>
            <w:r>
              <w:rPr>
                <w:rFonts w:hint="eastAsia"/>
                <w:kern w:val="0"/>
                <w:szCs w:val="21"/>
              </w:rPr>
              <w:t>0.003</w:t>
            </w:r>
          </w:p>
        </w:tc>
      </w:tr>
      <w:tr w14:paraId="2AD6A37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1560" w:type="dxa"/>
            <w:tcBorders>
              <w:tl2br w:val="nil"/>
              <w:tr2bl w:val="nil"/>
            </w:tcBorders>
            <w:vAlign w:val="center"/>
          </w:tcPr>
          <w:p w14:paraId="41BCBBEA">
            <w:pPr>
              <w:widowControl/>
              <w:spacing w:before="0" w:beforeLines="0" w:after="156" w:line="240" w:lineRule="auto"/>
              <w:contextualSpacing/>
              <w:jc w:val="center"/>
              <w:rPr>
                <w:kern w:val="0"/>
                <w:szCs w:val="21"/>
              </w:rPr>
            </w:pPr>
            <w:r>
              <w:rPr>
                <w:rFonts w:hint="eastAsia"/>
                <w:kern w:val="0"/>
                <w:szCs w:val="21"/>
              </w:rPr>
              <w:t>碎石成品仓</w:t>
            </w:r>
          </w:p>
        </w:tc>
        <w:tc>
          <w:tcPr>
            <w:tcW w:w="1559" w:type="dxa"/>
            <w:tcBorders>
              <w:tl2br w:val="nil"/>
              <w:tr2bl w:val="nil"/>
            </w:tcBorders>
            <w:vAlign w:val="center"/>
          </w:tcPr>
          <w:p w14:paraId="0081D2A9">
            <w:pPr>
              <w:widowControl/>
              <w:spacing w:before="0" w:beforeLines="0" w:after="156" w:line="240" w:lineRule="auto"/>
              <w:contextualSpacing/>
              <w:jc w:val="center"/>
              <w:rPr>
                <w:kern w:val="0"/>
                <w:szCs w:val="21"/>
              </w:rPr>
            </w:pPr>
            <w:r>
              <w:rPr>
                <w:rFonts w:hint="eastAsia"/>
                <w:kern w:val="0"/>
                <w:szCs w:val="21"/>
              </w:rPr>
              <w:t>产品装卸</w:t>
            </w:r>
          </w:p>
        </w:tc>
        <w:tc>
          <w:tcPr>
            <w:tcW w:w="709" w:type="dxa"/>
            <w:tcBorders>
              <w:top w:val="single" w:color="auto" w:sz="4" w:space="0"/>
              <w:tl2br w:val="nil"/>
              <w:tr2bl w:val="nil"/>
            </w:tcBorders>
            <w:vAlign w:val="center"/>
          </w:tcPr>
          <w:p w14:paraId="0F7B4363">
            <w:pPr>
              <w:widowControl/>
              <w:spacing w:before="0" w:beforeLines="0" w:after="156" w:line="240" w:lineRule="auto"/>
              <w:contextualSpacing/>
              <w:jc w:val="center"/>
              <w:rPr>
                <w:kern w:val="0"/>
                <w:szCs w:val="21"/>
              </w:rPr>
            </w:pPr>
            <w:r>
              <w:rPr>
                <w:kern w:val="0"/>
                <w:szCs w:val="21"/>
              </w:rPr>
              <w:t>颗粒物</w:t>
            </w:r>
          </w:p>
        </w:tc>
        <w:tc>
          <w:tcPr>
            <w:tcW w:w="1276" w:type="dxa"/>
            <w:tcBorders>
              <w:top w:val="single" w:color="auto" w:sz="4" w:space="0"/>
              <w:tl2br w:val="nil"/>
              <w:tr2bl w:val="nil"/>
            </w:tcBorders>
            <w:vAlign w:val="center"/>
          </w:tcPr>
          <w:p w14:paraId="06D4E3F8">
            <w:pPr>
              <w:widowControl/>
              <w:spacing w:before="0" w:beforeLines="0" w:after="156" w:line="240" w:lineRule="auto"/>
              <w:contextualSpacing/>
              <w:jc w:val="center"/>
              <w:rPr>
                <w:kern w:val="0"/>
                <w:szCs w:val="21"/>
              </w:rPr>
            </w:pPr>
            <w:r>
              <w:rPr>
                <w:rFonts w:hint="eastAsia"/>
                <w:kern w:val="0"/>
                <w:szCs w:val="21"/>
              </w:rPr>
              <w:t>仓顶除尘</w:t>
            </w:r>
          </w:p>
        </w:tc>
        <w:tc>
          <w:tcPr>
            <w:tcW w:w="1372" w:type="dxa"/>
            <w:tcBorders>
              <w:tl2br w:val="nil"/>
              <w:tr2bl w:val="nil"/>
            </w:tcBorders>
            <w:vAlign w:val="center"/>
          </w:tcPr>
          <w:p w14:paraId="303A4626">
            <w:pPr>
              <w:widowControl/>
              <w:spacing w:before="0" w:beforeLines="0" w:after="156" w:line="240" w:lineRule="auto"/>
              <w:contextualSpacing/>
              <w:jc w:val="center"/>
              <w:rPr>
                <w:kern w:val="0"/>
                <w:szCs w:val="21"/>
              </w:rPr>
            </w:pPr>
            <w:r>
              <w:rPr>
                <w:kern w:val="0"/>
                <w:szCs w:val="21"/>
              </w:rPr>
              <w:t>GB28661-2012</w:t>
            </w:r>
          </w:p>
        </w:tc>
        <w:tc>
          <w:tcPr>
            <w:tcW w:w="1037" w:type="dxa"/>
            <w:tcBorders>
              <w:tl2br w:val="nil"/>
              <w:tr2bl w:val="nil"/>
            </w:tcBorders>
            <w:vAlign w:val="center"/>
          </w:tcPr>
          <w:p w14:paraId="46A1DF9B">
            <w:pPr>
              <w:widowControl/>
              <w:spacing w:before="0" w:beforeLines="0" w:after="156" w:line="240" w:lineRule="auto"/>
              <w:contextualSpacing/>
              <w:jc w:val="center"/>
              <w:rPr>
                <w:kern w:val="0"/>
                <w:szCs w:val="21"/>
              </w:rPr>
            </w:pPr>
            <w:r>
              <w:rPr>
                <w:kern w:val="0"/>
                <w:szCs w:val="21"/>
              </w:rPr>
              <w:t>1.0</w:t>
            </w:r>
          </w:p>
        </w:tc>
        <w:tc>
          <w:tcPr>
            <w:tcW w:w="935" w:type="dxa"/>
            <w:tcBorders>
              <w:tl2br w:val="nil"/>
              <w:tr2bl w:val="nil"/>
            </w:tcBorders>
            <w:vAlign w:val="center"/>
          </w:tcPr>
          <w:p w14:paraId="4B0C1D8E">
            <w:pPr>
              <w:widowControl/>
              <w:spacing w:before="0" w:beforeLines="0" w:after="156" w:line="240" w:lineRule="auto"/>
              <w:contextualSpacing/>
              <w:jc w:val="center"/>
              <w:rPr>
                <w:kern w:val="0"/>
                <w:szCs w:val="21"/>
              </w:rPr>
            </w:pPr>
            <w:r>
              <w:rPr>
                <w:rFonts w:hint="eastAsia"/>
                <w:kern w:val="0"/>
                <w:szCs w:val="21"/>
              </w:rPr>
              <w:t>0.01</w:t>
            </w:r>
          </w:p>
        </w:tc>
      </w:tr>
      <w:tr w14:paraId="17FD6FDB">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1560" w:type="dxa"/>
            <w:tcBorders>
              <w:tl2br w:val="nil"/>
              <w:tr2bl w:val="nil"/>
            </w:tcBorders>
            <w:vAlign w:val="center"/>
          </w:tcPr>
          <w:p w14:paraId="0749954D">
            <w:pPr>
              <w:widowControl/>
              <w:spacing w:before="0" w:beforeLines="0" w:after="156" w:line="240" w:lineRule="auto"/>
              <w:contextualSpacing/>
              <w:jc w:val="center"/>
              <w:rPr>
                <w:kern w:val="0"/>
                <w:szCs w:val="21"/>
              </w:rPr>
            </w:pPr>
            <w:r>
              <w:rPr>
                <w:rFonts w:hint="eastAsia"/>
                <w:kern w:val="0"/>
                <w:szCs w:val="21"/>
              </w:rPr>
              <w:t>道路运输</w:t>
            </w:r>
          </w:p>
        </w:tc>
        <w:tc>
          <w:tcPr>
            <w:tcW w:w="1559" w:type="dxa"/>
            <w:tcBorders>
              <w:tl2br w:val="nil"/>
              <w:tr2bl w:val="nil"/>
            </w:tcBorders>
            <w:vAlign w:val="center"/>
          </w:tcPr>
          <w:p w14:paraId="2CF15DA0">
            <w:pPr>
              <w:widowControl/>
              <w:spacing w:before="0" w:beforeLines="0" w:after="156" w:line="240" w:lineRule="auto"/>
              <w:contextualSpacing/>
              <w:jc w:val="center"/>
              <w:rPr>
                <w:kern w:val="0"/>
                <w:szCs w:val="21"/>
              </w:rPr>
            </w:pPr>
            <w:r>
              <w:rPr>
                <w:rFonts w:hint="eastAsia"/>
                <w:kern w:val="0"/>
                <w:szCs w:val="21"/>
              </w:rPr>
              <w:t>运输</w:t>
            </w:r>
          </w:p>
        </w:tc>
        <w:tc>
          <w:tcPr>
            <w:tcW w:w="709" w:type="dxa"/>
            <w:tcBorders>
              <w:tl2br w:val="nil"/>
              <w:tr2bl w:val="nil"/>
            </w:tcBorders>
            <w:vAlign w:val="center"/>
          </w:tcPr>
          <w:p w14:paraId="42A194DF">
            <w:pPr>
              <w:widowControl/>
              <w:spacing w:before="0" w:beforeLines="0" w:after="156" w:line="240" w:lineRule="auto"/>
              <w:contextualSpacing/>
              <w:jc w:val="center"/>
              <w:rPr>
                <w:kern w:val="0"/>
                <w:szCs w:val="21"/>
              </w:rPr>
            </w:pPr>
            <w:r>
              <w:rPr>
                <w:kern w:val="0"/>
                <w:szCs w:val="21"/>
              </w:rPr>
              <w:t>颗粒物</w:t>
            </w:r>
          </w:p>
        </w:tc>
        <w:tc>
          <w:tcPr>
            <w:tcW w:w="1276" w:type="dxa"/>
            <w:tcBorders>
              <w:tl2br w:val="nil"/>
              <w:tr2bl w:val="nil"/>
            </w:tcBorders>
            <w:vAlign w:val="center"/>
          </w:tcPr>
          <w:p w14:paraId="4BD90F5E">
            <w:pPr>
              <w:widowControl/>
              <w:spacing w:before="0" w:beforeLines="0" w:after="156" w:line="240" w:lineRule="auto"/>
              <w:contextualSpacing/>
              <w:jc w:val="center"/>
              <w:rPr>
                <w:kern w:val="0"/>
                <w:szCs w:val="21"/>
              </w:rPr>
            </w:pPr>
            <w:r>
              <w:rPr>
                <w:rFonts w:hint="eastAsia"/>
                <w:kern w:val="0"/>
                <w:szCs w:val="21"/>
              </w:rPr>
              <w:t>道路硬化，洒水抑尘</w:t>
            </w:r>
          </w:p>
        </w:tc>
        <w:tc>
          <w:tcPr>
            <w:tcW w:w="1372" w:type="dxa"/>
            <w:tcBorders>
              <w:tl2br w:val="nil"/>
              <w:tr2bl w:val="nil"/>
            </w:tcBorders>
            <w:vAlign w:val="center"/>
          </w:tcPr>
          <w:p w14:paraId="612F799D">
            <w:pPr>
              <w:widowControl/>
              <w:spacing w:before="0" w:beforeLines="0" w:after="156" w:line="240" w:lineRule="auto"/>
              <w:contextualSpacing/>
              <w:jc w:val="center"/>
              <w:rPr>
                <w:kern w:val="0"/>
                <w:szCs w:val="21"/>
              </w:rPr>
            </w:pPr>
            <w:r>
              <w:rPr>
                <w:kern w:val="0"/>
                <w:szCs w:val="21"/>
              </w:rPr>
              <w:t>GB28661-2012</w:t>
            </w:r>
          </w:p>
        </w:tc>
        <w:tc>
          <w:tcPr>
            <w:tcW w:w="1037" w:type="dxa"/>
            <w:tcBorders>
              <w:tl2br w:val="nil"/>
              <w:tr2bl w:val="nil"/>
            </w:tcBorders>
            <w:vAlign w:val="center"/>
          </w:tcPr>
          <w:p w14:paraId="75596E86">
            <w:pPr>
              <w:widowControl/>
              <w:spacing w:before="0" w:beforeLines="0" w:after="156" w:line="240" w:lineRule="auto"/>
              <w:contextualSpacing/>
              <w:jc w:val="center"/>
              <w:rPr>
                <w:kern w:val="0"/>
                <w:szCs w:val="21"/>
              </w:rPr>
            </w:pPr>
            <w:r>
              <w:rPr>
                <w:kern w:val="0"/>
                <w:szCs w:val="21"/>
              </w:rPr>
              <w:t>1.0</w:t>
            </w:r>
          </w:p>
        </w:tc>
        <w:tc>
          <w:tcPr>
            <w:tcW w:w="935" w:type="dxa"/>
            <w:tcBorders>
              <w:tl2br w:val="nil"/>
              <w:tr2bl w:val="nil"/>
            </w:tcBorders>
            <w:vAlign w:val="center"/>
          </w:tcPr>
          <w:p w14:paraId="02F1F981">
            <w:pPr>
              <w:widowControl/>
              <w:spacing w:before="0" w:beforeLines="0" w:after="156" w:line="240" w:lineRule="auto"/>
              <w:contextualSpacing/>
              <w:jc w:val="center"/>
              <w:rPr>
                <w:kern w:val="0"/>
                <w:szCs w:val="21"/>
              </w:rPr>
            </w:pPr>
            <w:r>
              <w:rPr>
                <w:rFonts w:hint="eastAsia"/>
                <w:kern w:val="0"/>
                <w:szCs w:val="21"/>
              </w:rPr>
              <w:t>10.08</w:t>
            </w:r>
          </w:p>
        </w:tc>
      </w:tr>
      <w:tr w14:paraId="6C8BBA19">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7513" w:type="dxa"/>
            <w:gridSpan w:val="6"/>
            <w:tcBorders>
              <w:tl2br w:val="nil"/>
              <w:tr2bl w:val="nil"/>
            </w:tcBorders>
            <w:vAlign w:val="center"/>
          </w:tcPr>
          <w:p w14:paraId="70B8DB8E">
            <w:pPr>
              <w:widowControl/>
              <w:spacing w:before="0" w:beforeLines="0" w:after="156" w:line="240" w:lineRule="auto"/>
              <w:contextualSpacing/>
              <w:jc w:val="center"/>
              <w:rPr>
                <w:kern w:val="0"/>
                <w:szCs w:val="21"/>
              </w:rPr>
            </w:pPr>
            <w:r>
              <w:rPr>
                <w:rFonts w:hint="eastAsia"/>
                <w:kern w:val="0"/>
                <w:szCs w:val="21"/>
              </w:rPr>
              <w:t>无组织排放合计</w:t>
            </w:r>
          </w:p>
        </w:tc>
        <w:tc>
          <w:tcPr>
            <w:tcW w:w="935" w:type="dxa"/>
            <w:tcBorders>
              <w:tl2br w:val="nil"/>
              <w:tr2bl w:val="nil"/>
            </w:tcBorders>
            <w:vAlign w:val="center"/>
          </w:tcPr>
          <w:p w14:paraId="7ECBD3DD">
            <w:pPr>
              <w:widowControl/>
              <w:spacing w:before="0" w:beforeLines="0" w:after="156" w:line="240" w:lineRule="auto"/>
              <w:contextualSpacing/>
              <w:jc w:val="center"/>
              <w:rPr>
                <w:kern w:val="0"/>
                <w:szCs w:val="21"/>
              </w:rPr>
            </w:pPr>
            <w:r>
              <w:rPr>
                <w:rFonts w:hint="eastAsia"/>
                <w:kern w:val="0"/>
                <w:szCs w:val="21"/>
              </w:rPr>
              <w:t>28.673</w:t>
            </w:r>
          </w:p>
        </w:tc>
      </w:tr>
    </w:tbl>
    <w:p w14:paraId="476F31D0">
      <w:pPr>
        <w:tabs>
          <w:tab w:val="left" w:pos="286"/>
        </w:tabs>
        <w:adjustRightInd w:val="0"/>
        <w:snapToGrid w:val="0"/>
        <w:spacing w:before="78" w:line="520" w:lineRule="exact"/>
        <w:ind w:firstLine="422" w:firstLineChars="200"/>
        <w:jc w:val="center"/>
        <w:rPr>
          <w:b/>
          <w:bCs/>
          <w:szCs w:val="21"/>
        </w:rPr>
      </w:pPr>
      <w:r>
        <w:rPr>
          <w:rFonts w:hint="eastAsia"/>
          <w:b/>
          <w:bCs/>
          <w:szCs w:val="21"/>
        </w:rPr>
        <w:t>表5.2-23   大气污染物年排放量核算</w:t>
      </w:r>
    </w:p>
    <w:tbl>
      <w:tblPr>
        <w:tblStyle w:val="89"/>
        <w:tblW w:w="5000" w:type="pct"/>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108" w:type="dxa"/>
          <w:bottom w:w="0" w:type="dxa"/>
          <w:right w:w="108" w:type="dxa"/>
        </w:tblCellMar>
      </w:tblPr>
      <w:tblGrid>
        <w:gridCol w:w="2753"/>
        <w:gridCol w:w="2772"/>
        <w:gridCol w:w="2787"/>
      </w:tblGrid>
      <w:tr w14:paraId="04F5038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17" w:hRule="atLeast"/>
          <w:jc w:val="center"/>
        </w:trPr>
        <w:tc>
          <w:tcPr>
            <w:tcW w:w="2751" w:type="dxa"/>
            <w:tcBorders>
              <w:tl2br w:val="nil"/>
              <w:tr2bl w:val="nil"/>
            </w:tcBorders>
            <w:vAlign w:val="center"/>
          </w:tcPr>
          <w:p w14:paraId="0FD6E596">
            <w:pPr>
              <w:widowControl/>
              <w:spacing w:before="0" w:beforeLines="0" w:after="156" w:line="240" w:lineRule="auto"/>
              <w:contextualSpacing/>
              <w:jc w:val="center"/>
              <w:rPr>
                <w:kern w:val="0"/>
                <w:szCs w:val="21"/>
              </w:rPr>
            </w:pPr>
            <w:r>
              <w:rPr>
                <w:kern w:val="0"/>
                <w:szCs w:val="21"/>
              </w:rPr>
              <w:t>序号</w:t>
            </w:r>
          </w:p>
        </w:tc>
        <w:tc>
          <w:tcPr>
            <w:tcW w:w="2770" w:type="dxa"/>
            <w:tcBorders>
              <w:tl2br w:val="nil"/>
              <w:tr2bl w:val="nil"/>
            </w:tcBorders>
            <w:vAlign w:val="center"/>
          </w:tcPr>
          <w:p w14:paraId="423269FC">
            <w:pPr>
              <w:widowControl/>
              <w:spacing w:before="0" w:beforeLines="0" w:after="156" w:line="240" w:lineRule="auto"/>
              <w:contextualSpacing/>
              <w:jc w:val="center"/>
              <w:rPr>
                <w:kern w:val="0"/>
                <w:szCs w:val="21"/>
              </w:rPr>
            </w:pPr>
            <w:r>
              <w:rPr>
                <w:kern w:val="0"/>
                <w:szCs w:val="21"/>
              </w:rPr>
              <w:t>污染物</w:t>
            </w:r>
          </w:p>
        </w:tc>
        <w:tc>
          <w:tcPr>
            <w:tcW w:w="2785" w:type="dxa"/>
            <w:tcBorders>
              <w:tl2br w:val="nil"/>
              <w:tr2bl w:val="nil"/>
            </w:tcBorders>
            <w:vAlign w:val="center"/>
          </w:tcPr>
          <w:p w14:paraId="2318AEC2">
            <w:pPr>
              <w:widowControl/>
              <w:spacing w:before="0" w:beforeLines="0" w:after="156" w:line="240" w:lineRule="auto"/>
              <w:contextualSpacing/>
              <w:jc w:val="center"/>
              <w:rPr>
                <w:kern w:val="0"/>
                <w:szCs w:val="21"/>
              </w:rPr>
            </w:pPr>
            <w:r>
              <w:rPr>
                <w:kern w:val="0"/>
                <w:szCs w:val="21"/>
              </w:rPr>
              <w:t>核算年排放量/（t/a）</w:t>
            </w:r>
          </w:p>
        </w:tc>
      </w:tr>
      <w:tr w14:paraId="33AA252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03" w:hRule="atLeast"/>
          <w:jc w:val="center"/>
        </w:trPr>
        <w:tc>
          <w:tcPr>
            <w:tcW w:w="2751" w:type="dxa"/>
            <w:tcBorders>
              <w:tl2br w:val="nil"/>
              <w:tr2bl w:val="nil"/>
            </w:tcBorders>
            <w:vAlign w:val="center"/>
          </w:tcPr>
          <w:p w14:paraId="4694E440">
            <w:pPr>
              <w:widowControl/>
              <w:spacing w:before="0" w:beforeLines="0" w:after="156" w:line="240" w:lineRule="auto"/>
              <w:contextualSpacing/>
              <w:jc w:val="center"/>
              <w:rPr>
                <w:kern w:val="0"/>
                <w:szCs w:val="21"/>
              </w:rPr>
            </w:pPr>
            <w:r>
              <w:rPr>
                <w:kern w:val="0"/>
                <w:szCs w:val="21"/>
              </w:rPr>
              <w:t>1</w:t>
            </w:r>
          </w:p>
        </w:tc>
        <w:tc>
          <w:tcPr>
            <w:tcW w:w="2770" w:type="dxa"/>
            <w:tcBorders>
              <w:tl2br w:val="nil"/>
              <w:tr2bl w:val="nil"/>
            </w:tcBorders>
            <w:vAlign w:val="center"/>
          </w:tcPr>
          <w:p w14:paraId="59054A68">
            <w:pPr>
              <w:widowControl/>
              <w:spacing w:before="0" w:beforeLines="0" w:after="156" w:line="240" w:lineRule="auto"/>
              <w:contextualSpacing/>
              <w:jc w:val="center"/>
              <w:rPr>
                <w:kern w:val="0"/>
                <w:szCs w:val="21"/>
              </w:rPr>
            </w:pPr>
            <w:r>
              <w:rPr>
                <w:rFonts w:hint="eastAsia"/>
                <w:kern w:val="0"/>
                <w:szCs w:val="21"/>
              </w:rPr>
              <w:t>颗粒物</w:t>
            </w:r>
          </w:p>
        </w:tc>
        <w:tc>
          <w:tcPr>
            <w:tcW w:w="2785" w:type="dxa"/>
            <w:tcBorders>
              <w:tl2br w:val="nil"/>
              <w:tr2bl w:val="nil"/>
            </w:tcBorders>
            <w:vAlign w:val="center"/>
          </w:tcPr>
          <w:p w14:paraId="3B046BD9">
            <w:pPr>
              <w:widowControl/>
              <w:spacing w:before="0" w:beforeLines="0" w:after="156" w:line="240" w:lineRule="auto"/>
              <w:contextualSpacing/>
              <w:jc w:val="center"/>
              <w:rPr>
                <w:kern w:val="0"/>
                <w:szCs w:val="21"/>
              </w:rPr>
            </w:pPr>
            <w:r>
              <w:rPr>
                <w:rFonts w:hint="eastAsia"/>
                <w:kern w:val="0"/>
                <w:szCs w:val="21"/>
              </w:rPr>
              <w:t>42.083</w:t>
            </w:r>
          </w:p>
        </w:tc>
      </w:tr>
      <w:bookmarkEnd w:id="234"/>
    </w:tbl>
    <w:p w14:paraId="2160CB73">
      <w:pPr>
        <w:overflowPunct w:val="0"/>
        <w:autoSpaceDE w:val="0"/>
        <w:autoSpaceDN w:val="0"/>
        <w:adjustRightInd w:val="0"/>
        <w:spacing w:before="78"/>
        <w:jc w:val="center"/>
        <w:textAlignment w:val="baseline"/>
        <w:rPr>
          <w:b/>
          <w:szCs w:val="20"/>
        </w:rPr>
      </w:pPr>
      <w:r>
        <w:rPr>
          <w:b/>
          <w:szCs w:val="20"/>
        </w:rPr>
        <w:t>表</w:t>
      </w:r>
      <w:r>
        <w:rPr>
          <w:rFonts w:hint="eastAsia"/>
          <w:b/>
          <w:szCs w:val="20"/>
        </w:rPr>
        <w:t xml:space="preserve">5.2-24  </w:t>
      </w:r>
      <w:r>
        <w:rPr>
          <w:b/>
          <w:szCs w:val="20"/>
        </w:rPr>
        <w:t xml:space="preserve"> 项目非正常排放参数表</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313"/>
        <w:gridCol w:w="1343"/>
        <w:gridCol w:w="1681"/>
        <w:gridCol w:w="1438"/>
        <w:gridCol w:w="1247"/>
        <w:gridCol w:w="1290"/>
      </w:tblGrid>
      <w:tr w14:paraId="20E97A2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598" w:type="pct"/>
            <w:gridSpan w:val="2"/>
            <w:tcBorders>
              <w:tl2br w:val="nil"/>
              <w:tr2bl w:val="nil"/>
            </w:tcBorders>
            <w:vAlign w:val="center"/>
          </w:tcPr>
          <w:p w14:paraId="1969B2AD">
            <w:pPr>
              <w:widowControl/>
              <w:spacing w:before="0" w:beforeLines="0" w:after="156" w:line="240" w:lineRule="auto"/>
              <w:contextualSpacing/>
              <w:jc w:val="center"/>
              <w:rPr>
                <w:kern w:val="0"/>
                <w:szCs w:val="21"/>
              </w:rPr>
            </w:pPr>
            <w:r>
              <w:rPr>
                <w:kern w:val="0"/>
                <w:szCs w:val="21"/>
              </w:rPr>
              <w:t>非正常排放源</w:t>
            </w:r>
          </w:p>
        </w:tc>
        <w:tc>
          <w:tcPr>
            <w:tcW w:w="1011" w:type="pct"/>
            <w:vMerge w:val="restart"/>
            <w:tcBorders>
              <w:tl2br w:val="nil"/>
              <w:tr2bl w:val="nil"/>
            </w:tcBorders>
            <w:vAlign w:val="center"/>
          </w:tcPr>
          <w:p w14:paraId="06F85DA9">
            <w:pPr>
              <w:widowControl/>
              <w:spacing w:before="0" w:beforeLines="0" w:after="156" w:line="240" w:lineRule="auto"/>
              <w:contextualSpacing/>
              <w:jc w:val="center"/>
              <w:rPr>
                <w:kern w:val="0"/>
                <w:szCs w:val="21"/>
              </w:rPr>
            </w:pPr>
            <w:r>
              <w:rPr>
                <w:kern w:val="0"/>
                <w:szCs w:val="21"/>
              </w:rPr>
              <w:t>非正常排放原因</w:t>
            </w:r>
          </w:p>
        </w:tc>
        <w:tc>
          <w:tcPr>
            <w:tcW w:w="865" w:type="pct"/>
            <w:vMerge w:val="restart"/>
            <w:tcBorders>
              <w:tl2br w:val="nil"/>
              <w:tr2bl w:val="nil"/>
            </w:tcBorders>
            <w:vAlign w:val="center"/>
          </w:tcPr>
          <w:p w14:paraId="012DC276">
            <w:pPr>
              <w:widowControl/>
              <w:spacing w:before="0" w:beforeLines="0" w:after="156" w:line="240" w:lineRule="auto"/>
              <w:contextualSpacing/>
              <w:jc w:val="center"/>
              <w:rPr>
                <w:kern w:val="0"/>
                <w:szCs w:val="21"/>
              </w:rPr>
            </w:pPr>
            <w:r>
              <w:rPr>
                <w:kern w:val="0"/>
                <w:szCs w:val="21"/>
              </w:rPr>
              <w:t>排放量（kg/h）</w:t>
            </w:r>
          </w:p>
        </w:tc>
        <w:tc>
          <w:tcPr>
            <w:tcW w:w="750" w:type="pct"/>
            <w:vMerge w:val="restart"/>
            <w:tcBorders>
              <w:tl2br w:val="nil"/>
              <w:tr2bl w:val="nil"/>
            </w:tcBorders>
            <w:vAlign w:val="center"/>
          </w:tcPr>
          <w:p w14:paraId="5389E6D5">
            <w:pPr>
              <w:widowControl/>
              <w:spacing w:before="0" w:beforeLines="0" w:after="156" w:line="240" w:lineRule="auto"/>
              <w:contextualSpacing/>
              <w:jc w:val="center"/>
              <w:rPr>
                <w:kern w:val="0"/>
                <w:szCs w:val="21"/>
              </w:rPr>
            </w:pPr>
            <w:r>
              <w:rPr>
                <w:kern w:val="0"/>
                <w:szCs w:val="21"/>
              </w:rPr>
              <w:t>单次持续时间/h</w:t>
            </w:r>
          </w:p>
        </w:tc>
        <w:tc>
          <w:tcPr>
            <w:tcW w:w="776" w:type="pct"/>
            <w:vMerge w:val="restart"/>
            <w:tcBorders>
              <w:tl2br w:val="nil"/>
              <w:tr2bl w:val="nil"/>
            </w:tcBorders>
            <w:vAlign w:val="center"/>
          </w:tcPr>
          <w:p w14:paraId="6C695B89">
            <w:pPr>
              <w:widowControl/>
              <w:spacing w:before="0" w:beforeLines="0" w:after="156" w:line="240" w:lineRule="auto"/>
              <w:contextualSpacing/>
              <w:jc w:val="center"/>
              <w:rPr>
                <w:kern w:val="0"/>
                <w:szCs w:val="21"/>
              </w:rPr>
            </w:pPr>
            <w:r>
              <w:rPr>
                <w:kern w:val="0"/>
                <w:szCs w:val="21"/>
              </w:rPr>
              <w:t>年发生频率</w:t>
            </w:r>
          </w:p>
        </w:tc>
      </w:tr>
      <w:tr w14:paraId="13C6D7C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56" w:hRule="atLeast"/>
          <w:jc w:val="center"/>
        </w:trPr>
        <w:tc>
          <w:tcPr>
            <w:tcW w:w="790" w:type="pct"/>
            <w:tcBorders>
              <w:tl2br w:val="nil"/>
              <w:tr2bl w:val="nil"/>
            </w:tcBorders>
            <w:vAlign w:val="center"/>
          </w:tcPr>
          <w:p w14:paraId="37FEF212">
            <w:pPr>
              <w:widowControl/>
              <w:spacing w:before="0" w:beforeLines="0" w:after="156" w:line="240" w:lineRule="auto"/>
              <w:contextualSpacing/>
              <w:jc w:val="center"/>
              <w:rPr>
                <w:kern w:val="0"/>
                <w:szCs w:val="21"/>
              </w:rPr>
            </w:pPr>
            <w:r>
              <w:rPr>
                <w:kern w:val="0"/>
                <w:szCs w:val="21"/>
              </w:rPr>
              <w:t>排气筒</w:t>
            </w:r>
          </w:p>
        </w:tc>
        <w:tc>
          <w:tcPr>
            <w:tcW w:w="808" w:type="pct"/>
            <w:tcBorders>
              <w:tl2br w:val="nil"/>
              <w:tr2bl w:val="nil"/>
            </w:tcBorders>
            <w:vAlign w:val="center"/>
          </w:tcPr>
          <w:p w14:paraId="4A996B37">
            <w:pPr>
              <w:widowControl/>
              <w:spacing w:before="0" w:beforeLines="0" w:after="156" w:line="240" w:lineRule="auto"/>
              <w:contextualSpacing/>
              <w:jc w:val="center"/>
              <w:rPr>
                <w:kern w:val="0"/>
                <w:szCs w:val="21"/>
              </w:rPr>
            </w:pPr>
            <w:r>
              <w:rPr>
                <w:kern w:val="0"/>
                <w:szCs w:val="21"/>
              </w:rPr>
              <w:t>污染物名称</w:t>
            </w:r>
          </w:p>
        </w:tc>
        <w:tc>
          <w:tcPr>
            <w:tcW w:w="1011" w:type="pct"/>
            <w:vMerge w:val="continue"/>
            <w:tcBorders>
              <w:tl2br w:val="nil"/>
              <w:tr2bl w:val="nil"/>
            </w:tcBorders>
            <w:vAlign w:val="center"/>
          </w:tcPr>
          <w:p w14:paraId="7AB2EC2D">
            <w:pPr>
              <w:widowControl/>
              <w:spacing w:before="0" w:beforeLines="0" w:after="156" w:line="240" w:lineRule="auto"/>
              <w:contextualSpacing/>
              <w:jc w:val="center"/>
              <w:rPr>
                <w:kern w:val="0"/>
                <w:szCs w:val="21"/>
              </w:rPr>
            </w:pPr>
          </w:p>
        </w:tc>
        <w:tc>
          <w:tcPr>
            <w:tcW w:w="865" w:type="pct"/>
            <w:vMerge w:val="continue"/>
            <w:tcBorders>
              <w:tl2br w:val="nil"/>
              <w:tr2bl w:val="nil"/>
            </w:tcBorders>
            <w:vAlign w:val="center"/>
          </w:tcPr>
          <w:p w14:paraId="3D1B7A53">
            <w:pPr>
              <w:widowControl/>
              <w:spacing w:before="0" w:beforeLines="0" w:after="156" w:line="240" w:lineRule="auto"/>
              <w:contextualSpacing/>
              <w:jc w:val="center"/>
              <w:rPr>
                <w:kern w:val="0"/>
                <w:szCs w:val="21"/>
              </w:rPr>
            </w:pPr>
          </w:p>
        </w:tc>
        <w:tc>
          <w:tcPr>
            <w:tcW w:w="750" w:type="pct"/>
            <w:vMerge w:val="continue"/>
            <w:tcBorders>
              <w:tl2br w:val="nil"/>
              <w:tr2bl w:val="nil"/>
            </w:tcBorders>
            <w:vAlign w:val="center"/>
          </w:tcPr>
          <w:p w14:paraId="6230A548">
            <w:pPr>
              <w:widowControl/>
              <w:spacing w:before="0" w:beforeLines="0" w:after="156" w:line="240" w:lineRule="auto"/>
              <w:contextualSpacing/>
              <w:jc w:val="center"/>
              <w:rPr>
                <w:kern w:val="0"/>
                <w:szCs w:val="21"/>
              </w:rPr>
            </w:pPr>
          </w:p>
        </w:tc>
        <w:tc>
          <w:tcPr>
            <w:tcW w:w="776" w:type="pct"/>
            <w:vMerge w:val="continue"/>
            <w:tcBorders>
              <w:tl2br w:val="nil"/>
              <w:tr2bl w:val="nil"/>
            </w:tcBorders>
            <w:vAlign w:val="center"/>
          </w:tcPr>
          <w:p w14:paraId="7F41A0E8">
            <w:pPr>
              <w:widowControl/>
              <w:spacing w:before="0" w:beforeLines="0" w:after="156" w:line="240" w:lineRule="auto"/>
              <w:contextualSpacing/>
              <w:jc w:val="center"/>
              <w:rPr>
                <w:kern w:val="0"/>
                <w:szCs w:val="21"/>
              </w:rPr>
            </w:pPr>
          </w:p>
        </w:tc>
      </w:tr>
      <w:tr w14:paraId="72FBEEB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790" w:type="pct"/>
            <w:tcBorders>
              <w:tl2br w:val="nil"/>
              <w:tr2bl w:val="nil"/>
            </w:tcBorders>
            <w:vAlign w:val="center"/>
          </w:tcPr>
          <w:p w14:paraId="4E4F90C7">
            <w:pPr>
              <w:widowControl/>
              <w:spacing w:before="0" w:beforeLines="0" w:after="156" w:line="240" w:lineRule="auto"/>
              <w:contextualSpacing/>
              <w:jc w:val="center"/>
              <w:rPr>
                <w:kern w:val="0"/>
                <w:szCs w:val="21"/>
              </w:rPr>
            </w:pPr>
            <w:r>
              <w:rPr>
                <w:kern w:val="0"/>
                <w:szCs w:val="21"/>
              </w:rPr>
              <w:t>DA001</w:t>
            </w:r>
          </w:p>
        </w:tc>
        <w:tc>
          <w:tcPr>
            <w:tcW w:w="808" w:type="pct"/>
            <w:tcBorders>
              <w:tl2br w:val="nil"/>
              <w:tr2bl w:val="nil"/>
            </w:tcBorders>
            <w:vAlign w:val="center"/>
          </w:tcPr>
          <w:p w14:paraId="5D720CB1">
            <w:pPr>
              <w:widowControl/>
              <w:spacing w:before="0" w:beforeLines="0" w:after="156" w:line="240" w:lineRule="auto"/>
              <w:contextualSpacing/>
              <w:jc w:val="center"/>
              <w:rPr>
                <w:kern w:val="0"/>
                <w:szCs w:val="21"/>
              </w:rPr>
            </w:pPr>
            <w:r>
              <w:rPr>
                <w:kern w:val="0"/>
                <w:szCs w:val="21"/>
              </w:rPr>
              <w:t>颗粒物</w:t>
            </w:r>
          </w:p>
        </w:tc>
        <w:tc>
          <w:tcPr>
            <w:tcW w:w="1011" w:type="pct"/>
            <w:tcBorders>
              <w:tl2br w:val="nil"/>
              <w:tr2bl w:val="nil"/>
            </w:tcBorders>
            <w:vAlign w:val="center"/>
          </w:tcPr>
          <w:p w14:paraId="7B5DB970">
            <w:pPr>
              <w:widowControl/>
              <w:spacing w:before="0" w:beforeLines="0" w:after="156" w:line="240" w:lineRule="auto"/>
              <w:contextualSpacing/>
              <w:jc w:val="center"/>
              <w:rPr>
                <w:kern w:val="0"/>
                <w:szCs w:val="21"/>
              </w:rPr>
            </w:pPr>
            <w:r>
              <w:rPr>
                <w:kern w:val="0"/>
                <w:szCs w:val="21"/>
              </w:rPr>
              <w:t>除尘器故障</w:t>
            </w:r>
          </w:p>
        </w:tc>
        <w:tc>
          <w:tcPr>
            <w:tcW w:w="865" w:type="pct"/>
            <w:tcBorders>
              <w:tl2br w:val="nil"/>
              <w:tr2bl w:val="nil"/>
            </w:tcBorders>
            <w:vAlign w:val="center"/>
          </w:tcPr>
          <w:p w14:paraId="55A00768">
            <w:pPr>
              <w:widowControl/>
              <w:spacing w:before="0" w:beforeLines="0" w:after="156" w:line="240" w:lineRule="auto"/>
              <w:contextualSpacing/>
              <w:jc w:val="center"/>
              <w:rPr>
                <w:kern w:val="0"/>
                <w:szCs w:val="21"/>
              </w:rPr>
            </w:pPr>
            <w:r>
              <w:rPr>
                <w:rFonts w:hint="eastAsia"/>
                <w:kern w:val="0"/>
                <w:szCs w:val="21"/>
              </w:rPr>
              <w:t>121.59</w:t>
            </w:r>
          </w:p>
        </w:tc>
        <w:tc>
          <w:tcPr>
            <w:tcW w:w="750" w:type="pct"/>
            <w:tcBorders>
              <w:tl2br w:val="nil"/>
              <w:tr2bl w:val="nil"/>
            </w:tcBorders>
            <w:vAlign w:val="center"/>
          </w:tcPr>
          <w:p w14:paraId="7748F539">
            <w:pPr>
              <w:widowControl/>
              <w:spacing w:before="0" w:beforeLines="0" w:after="156" w:line="240" w:lineRule="auto"/>
              <w:contextualSpacing/>
              <w:jc w:val="center"/>
              <w:rPr>
                <w:kern w:val="0"/>
                <w:szCs w:val="21"/>
              </w:rPr>
            </w:pPr>
            <w:r>
              <w:rPr>
                <w:rFonts w:hint="eastAsia"/>
                <w:kern w:val="0"/>
                <w:szCs w:val="21"/>
              </w:rPr>
              <w:t>0.5</w:t>
            </w:r>
            <w:r>
              <w:rPr>
                <w:kern w:val="0"/>
                <w:szCs w:val="21"/>
              </w:rPr>
              <w:t>h</w:t>
            </w:r>
          </w:p>
        </w:tc>
        <w:tc>
          <w:tcPr>
            <w:tcW w:w="776" w:type="pct"/>
            <w:tcBorders>
              <w:tl2br w:val="nil"/>
              <w:tr2bl w:val="nil"/>
            </w:tcBorders>
            <w:vAlign w:val="center"/>
          </w:tcPr>
          <w:p w14:paraId="44F480BF">
            <w:pPr>
              <w:widowControl/>
              <w:spacing w:before="0" w:beforeLines="0" w:after="156" w:line="240" w:lineRule="auto"/>
              <w:contextualSpacing/>
              <w:jc w:val="center"/>
              <w:rPr>
                <w:kern w:val="0"/>
                <w:szCs w:val="21"/>
              </w:rPr>
            </w:pPr>
            <w:r>
              <w:rPr>
                <w:kern w:val="0"/>
                <w:szCs w:val="21"/>
              </w:rPr>
              <w:t>1次/a</w:t>
            </w:r>
          </w:p>
        </w:tc>
      </w:tr>
      <w:tr w14:paraId="75BE79B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790" w:type="pct"/>
            <w:tcBorders>
              <w:tl2br w:val="nil"/>
              <w:tr2bl w:val="nil"/>
            </w:tcBorders>
            <w:vAlign w:val="center"/>
          </w:tcPr>
          <w:p w14:paraId="460289D9">
            <w:pPr>
              <w:widowControl/>
              <w:spacing w:before="0" w:beforeLines="0" w:after="156" w:line="240" w:lineRule="auto"/>
              <w:contextualSpacing/>
              <w:jc w:val="center"/>
              <w:rPr>
                <w:kern w:val="0"/>
                <w:szCs w:val="21"/>
              </w:rPr>
            </w:pPr>
            <w:r>
              <w:rPr>
                <w:kern w:val="0"/>
                <w:szCs w:val="21"/>
              </w:rPr>
              <w:t>DA002</w:t>
            </w:r>
          </w:p>
        </w:tc>
        <w:tc>
          <w:tcPr>
            <w:tcW w:w="808" w:type="pct"/>
            <w:tcBorders>
              <w:tl2br w:val="nil"/>
              <w:tr2bl w:val="nil"/>
            </w:tcBorders>
            <w:vAlign w:val="center"/>
          </w:tcPr>
          <w:p w14:paraId="6A6F24DE">
            <w:pPr>
              <w:widowControl/>
              <w:spacing w:before="0" w:beforeLines="0" w:after="156" w:line="240" w:lineRule="auto"/>
              <w:contextualSpacing/>
              <w:jc w:val="center"/>
              <w:rPr>
                <w:kern w:val="0"/>
                <w:szCs w:val="21"/>
              </w:rPr>
            </w:pPr>
            <w:r>
              <w:rPr>
                <w:kern w:val="0"/>
                <w:szCs w:val="21"/>
              </w:rPr>
              <w:t>颗粒物</w:t>
            </w:r>
          </w:p>
        </w:tc>
        <w:tc>
          <w:tcPr>
            <w:tcW w:w="1011" w:type="pct"/>
            <w:tcBorders>
              <w:tl2br w:val="nil"/>
              <w:tr2bl w:val="nil"/>
            </w:tcBorders>
            <w:vAlign w:val="center"/>
          </w:tcPr>
          <w:p w14:paraId="44E64D16">
            <w:pPr>
              <w:widowControl/>
              <w:spacing w:before="0" w:beforeLines="0" w:after="156" w:line="240" w:lineRule="auto"/>
              <w:contextualSpacing/>
              <w:jc w:val="center"/>
              <w:rPr>
                <w:kern w:val="0"/>
                <w:szCs w:val="21"/>
              </w:rPr>
            </w:pPr>
            <w:r>
              <w:rPr>
                <w:kern w:val="0"/>
                <w:szCs w:val="21"/>
              </w:rPr>
              <w:t>除尘器故障</w:t>
            </w:r>
          </w:p>
        </w:tc>
        <w:tc>
          <w:tcPr>
            <w:tcW w:w="865" w:type="pct"/>
            <w:tcBorders>
              <w:tl2br w:val="nil"/>
              <w:tr2bl w:val="nil"/>
            </w:tcBorders>
            <w:vAlign w:val="center"/>
          </w:tcPr>
          <w:p w14:paraId="5228292C">
            <w:pPr>
              <w:widowControl/>
              <w:spacing w:before="0" w:beforeLines="0" w:after="156" w:line="240" w:lineRule="auto"/>
              <w:contextualSpacing/>
              <w:jc w:val="center"/>
              <w:rPr>
                <w:kern w:val="0"/>
                <w:szCs w:val="21"/>
              </w:rPr>
            </w:pPr>
            <w:r>
              <w:rPr>
                <w:rFonts w:hint="eastAsia"/>
                <w:kern w:val="0"/>
                <w:szCs w:val="21"/>
              </w:rPr>
              <w:t>125.53</w:t>
            </w:r>
          </w:p>
        </w:tc>
        <w:tc>
          <w:tcPr>
            <w:tcW w:w="750" w:type="pct"/>
            <w:tcBorders>
              <w:tl2br w:val="nil"/>
              <w:tr2bl w:val="nil"/>
            </w:tcBorders>
            <w:vAlign w:val="center"/>
          </w:tcPr>
          <w:p w14:paraId="69C05134">
            <w:pPr>
              <w:widowControl/>
              <w:spacing w:before="0" w:beforeLines="0" w:after="156" w:line="240" w:lineRule="auto"/>
              <w:contextualSpacing/>
              <w:jc w:val="center"/>
              <w:rPr>
                <w:kern w:val="0"/>
                <w:szCs w:val="21"/>
              </w:rPr>
            </w:pPr>
            <w:r>
              <w:rPr>
                <w:rFonts w:hint="eastAsia"/>
                <w:kern w:val="0"/>
                <w:szCs w:val="21"/>
              </w:rPr>
              <w:t>0.5</w:t>
            </w:r>
            <w:r>
              <w:rPr>
                <w:kern w:val="0"/>
                <w:szCs w:val="21"/>
              </w:rPr>
              <w:t>h</w:t>
            </w:r>
          </w:p>
        </w:tc>
        <w:tc>
          <w:tcPr>
            <w:tcW w:w="776" w:type="pct"/>
            <w:tcBorders>
              <w:tl2br w:val="nil"/>
              <w:tr2bl w:val="nil"/>
            </w:tcBorders>
            <w:vAlign w:val="center"/>
          </w:tcPr>
          <w:p w14:paraId="11F81807">
            <w:pPr>
              <w:widowControl/>
              <w:spacing w:before="0" w:beforeLines="0" w:after="156" w:line="240" w:lineRule="auto"/>
              <w:contextualSpacing/>
              <w:jc w:val="center"/>
              <w:rPr>
                <w:kern w:val="0"/>
                <w:szCs w:val="21"/>
              </w:rPr>
            </w:pPr>
            <w:r>
              <w:rPr>
                <w:kern w:val="0"/>
                <w:szCs w:val="21"/>
              </w:rPr>
              <w:t>1次/a</w:t>
            </w:r>
          </w:p>
        </w:tc>
      </w:tr>
      <w:tr w14:paraId="1FE85CF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790" w:type="pct"/>
            <w:tcBorders>
              <w:tl2br w:val="nil"/>
              <w:tr2bl w:val="nil"/>
            </w:tcBorders>
            <w:vAlign w:val="center"/>
          </w:tcPr>
          <w:p w14:paraId="27514684">
            <w:pPr>
              <w:widowControl/>
              <w:spacing w:before="0" w:beforeLines="0" w:after="156" w:line="240" w:lineRule="auto"/>
              <w:contextualSpacing/>
              <w:jc w:val="center"/>
              <w:rPr>
                <w:kern w:val="0"/>
                <w:szCs w:val="21"/>
              </w:rPr>
            </w:pPr>
            <w:r>
              <w:rPr>
                <w:kern w:val="0"/>
                <w:szCs w:val="21"/>
              </w:rPr>
              <w:t>DA003</w:t>
            </w:r>
          </w:p>
        </w:tc>
        <w:tc>
          <w:tcPr>
            <w:tcW w:w="808" w:type="pct"/>
            <w:tcBorders>
              <w:tl2br w:val="nil"/>
              <w:tr2bl w:val="nil"/>
            </w:tcBorders>
            <w:vAlign w:val="center"/>
          </w:tcPr>
          <w:p w14:paraId="740AFD5B">
            <w:pPr>
              <w:widowControl/>
              <w:spacing w:before="0" w:beforeLines="0" w:after="156" w:line="240" w:lineRule="auto"/>
              <w:contextualSpacing/>
              <w:jc w:val="center"/>
              <w:rPr>
                <w:kern w:val="0"/>
                <w:szCs w:val="21"/>
              </w:rPr>
            </w:pPr>
            <w:r>
              <w:rPr>
                <w:kern w:val="0"/>
                <w:szCs w:val="21"/>
              </w:rPr>
              <w:t>颗粒物</w:t>
            </w:r>
          </w:p>
        </w:tc>
        <w:tc>
          <w:tcPr>
            <w:tcW w:w="1011" w:type="pct"/>
            <w:tcBorders>
              <w:tl2br w:val="nil"/>
              <w:tr2bl w:val="nil"/>
            </w:tcBorders>
            <w:vAlign w:val="center"/>
          </w:tcPr>
          <w:p w14:paraId="64A6903B">
            <w:pPr>
              <w:widowControl/>
              <w:spacing w:before="0" w:beforeLines="0" w:after="156" w:line="240" w:lineRule="auto"/>
              <w:contextualSpacing/>
              <w:jc w:val="center"/>
              <w:rPr>
                <w:kern w:val="0"/>
                <w:szCs w:val="21"/>
              </w:rPr>
            </w:pPr>
            <w:r>
              <w:rPr>
                <w:kern w:val="0"/>
                <w:szCs w:val="21"/>
              </w:rPr>
              <w:t>除尘器故障</w:t>
            </w:r>
          </w:p>
        </w:tc>
        <w:tc>
          <w:tcPr>
            <w:tcW w:w="865" w:type="pct"/>
            <w:tcBorders>
              <w:tl2br w:val="nil"/>
              <w:tr2bl w:val="nil"/>
            </w:tcBorders>
            <w:vAlign w:val="center"/>
          </w:tcPr>
          <w:p w14:paraId="64F81128">
            <w:pPr>
              <w:widowControl/>
              <w:spacing w:before="0" w:beforeLines="0" w:after="156" w:line="240" w:lineRule="auto"/>
              <w:contextualSpacing/>
              <w:jc w:val="center"/>
              <w:rPr>
                <w:kern w:val="0"/>
                <w:szCs w:val="21"/>
              </w:rPr>
            </w:pPr>
            <w:r>
              <w:rPr>
                <w:rFonts w:hint="eastAsia"/>
                <w:kern w:val="0"/>
                <w:szCs w:val="21"/>
              </w:rPr>
              <w:t>159.97</w:t>
            </w:r>
          </w:p>
        </w:tc>
        <w:tc>
          <w:tcPr>
            <w:tcW w:w="750" w:type="pct"/>
            <w:tcBorders>
              <w:tl2br w:val="nil"/>
              <w:tr2bl w:val="nil"/>
            </w:tcBorders>
            <w:vAlign w:val="center"/>
          </w:tcPr>
          <w:p w14:paraId="1BB710B0">
            <w:pPr>
              <w:widowControl/>
              <w:spacing w:before="0" w:beforeLines="0" w:after="156" w:line="240" w:lineRule="auto"/>
              <w:contextualSpacing/>
              <w:jc w:val="center"/>
              <w:rPr>
                <w:kern w:val="0"/>
                <w:szCs w:val="21"/>
              </w:rPr>
            </w:pPr>
            <w:r>
              <w:rPr>
                <w:rFonts w:hint="eastAsia"/>
                <w:kern w:val="0"/>
                <w:szCs w:val="21"/>
              </w:rPr>
              <w:t>0.5</w:t>
            </w:r>
            <w:r>
              <w:rPr>
                <w:kern w:val="0"/>
                <w:szCs w:val="21"/>
              </w:rPr>
              <w:t>h</w:t>
            </w:r>
          </w:p>
        </w:tc>
        <w:tc>
          <w:tcPr>
            <w:tcW w:w="776" w:type="pct"/>
            <w:tcBorders>
              <w:tl2br w:val="nil"/>
              <w:tr2bl w:val="nil"/>
            </w:tcBorders>
            <w:vAlign w:val="center"/>
          </w:tcPr>
          <w:p w14:paraId="5907EBA7">
            <w:pPr>
              <w:widowControl/>
              <w:spacing w:before="0" w:beforeLines="0" w:after="156" w:line="240" w:lineRule="auto"/>
              <w:contextualSpacing/>
              <w:jc w:val="center"/>
              <w:rPr>
                <w:kern w:val="0"/>
                <w:szCs w:val="21"/>
              </w:rPr>
            </w:pPr>
            <w:r>
              <w:rPr>
                <w:kern w:val="0"/>
                <w:szCs w:val="21"/>
              </w:rPr>
              <w:t>1次/a</w:t>
            </w:r>
          </w:p>
        </w:tc>
      </w:tr>
      <w:tr w14:paraId="71A6F7D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790" w:type="pct"/>
            <w:tcBorders>
              <w:tl2br w:val="nil"/>
              <w:tr2bl w:val="nil"/>
            </w:tcBorders>
            <w:vAlign w:val="center"/>
          </w:tcPr>
          <w:p w14:paraId="3042DD13">
            <w:pPr>
              <w:widowControl/>
              <w:spacing w:before="0" w:beforeLines="0" w:after="156" w:line="240" w:lineRule="auto"/>
              <w:contextualSpacing/>
              <w:jc w:val="center"/>
              <w:rPr>
                <w:kern w:val="0"/>
                <w:szCs w:val="21"/>
              </w:rPr>
            </w:pPr>
            <w:r>
              <w:rPr>
                <w:kern w:val="0"/>
                <w:szCs w:val="21"/>
              </w:rPr>
              <w:t>DA00</w:t>
            </w:r>
            <w:r>
              <w:rPr>
                <w:rFonts w:hint="eastAsia"/>
                <w:kern w:val="0"/>
                <w:szCs w:val="21"/>
              </w:rPr>
              <w:t>4</w:t>
            </w:r>
          </w:p>
        </w:tc>
        <w:tc>
          <w:tcPr>
            <w:tcW w:w="808" w:type="pct"/>
            <w:tcBorders>
              <w:tl2br w:val="nil"/>
              <w:tr2bl w:val="nil"/>
            </w:tcBorders>
            <w:vAlign w:val="center"/>
          </w:tcPr>
          <w:p w14:paraId="1027F2FA">
            <w:pPr>
              <w:widowControl/>
              <w:spacing w:before="0" w:beforeLines="0" w:after="156" w:line="240" w:lineRule="auto"/>
              <w:contextualSpacing/>
              <w:jc w:val="center"/>
              <w:rPr>
                <w:kern w:val="0"/>
                <w:szCs w:val="21"/>
              </w:rPr>
            </w:pPr>
            <w:r>
              <w:rPr>
                <w:kern w:val="0"/>
                <w:szCs w:val="21"/>
              </w:rPr>
              <w:t>颗粒物</w:t>
            </w:r>
          </w:p>
        </w:tc>
        <w:tc>
          <w:tcPr>
            <w:tcW w:w="1011" w:type="pct"/>
            <w:tcBorders>
              <w:tl2br w:val="nil"/>
              <w:tr2bl w:val="nil"/>
            </w:tcBorders>
            <w:vAlign w:val="center"/>
          </w:tcPr>
          <w:p w14:paraId="67A128D3">
            <w:pPr>
              <w:widowControl/>
              <w:spacing w:before="0" w:beforeLines="0" w:after="156" w:line="240" w:lineRule="auto"/>
              <w:contextualSpacing/>
              <w:jc w:val="center"/>
              <w:rPr>
                <w:kern w:val="0"/>
                <w:szCs w:val="21"/>
              </w:rPr>
            </w:pPr>
            <w:r>
              <w:rPr>
                <w:kern w:val="0"/>
                <w:szCs w:val="21"/>
              </w:rPr>
              <w:t>除尘器故障</w:t>
            </w:r>
          </w:p>
        </w:tc>
        <w:tc>
          <w:tcPr>
            <w:tcW w:w="865" w:type="pct"/>
            <w:tcBorders>
              <w:tl2br w:val="nil"/>
              <w:tr2bl w:val="nil"/>
            </w:tcBorders>
            <w:vAlign w:val="center"/>
          </w:tcPr>
          <w:p w14:paraId="2CA815D9">
            <w:pPr>
              <w:widowControl/>
              <w:spacing w:before="0" w:beforeLines="0" w:after="156" w:line="240" w:lineRule="auto"/>
              <w:contextualSpacing/>
              <w:jc w:val="center"/>
              <w:rPr>
                <w:kern w:val="0"/>
                <w:szCs w:val="21"/>
              </w:rPr>
            </w:pPr>
            <w:r>
              <w:rPr>
                <w:rFonts w:hint="eastAsia"/>
                <w:kern w:val="0"/>
                <w:szCs w:val="21"/>
              </w:rPr>
              <w:t>58.26</w:t>
            </w:r>
          </w:p>
        </w:tc>
        <w:tc>
          <w:tcPr>
            <w:tcW w:w="750" w:type="pct"/>
            <w:tcBorders>
              <w:tl2br w:val="nil"/>
              <w:tr2bl w:val="nil"/>
            </w:tcBorders>
            <w:vAlign w:val="center"/>
          </w:tcPr>
          <w:p w14:paraId="475AEE96">
            <w:pPr>
              <w:widowControl/>
              <w:spacing w:before="0" w:beforeLines="0" w:after="156" w:line="240" w:lineRule="auto"/>
              <w:contextualSpacing/>
              <w:jc w:val="center"/>
              <w:rPr>
                <w:kern w:val="0"/>
                <w:szCs w:val="21"/>
              </w:rPr>
            </w:pPr>
            <w:r>
              <w:rPr>
                <w:rFonts w:hint="eastAsia"/>
                <w:kern w:val="0"/>
                <w:szCs w:val="21"/>
              </w:rPr>
              <w:t>0.5</w:t>
            </w:r>
            <w:r>
              <w:rPr>
                <w:kern w:val="0"/>
                <w:szCs w:val="21"/>
              </w:rPr>
              <w:t>h</w:t>
            </w:r>
          </w:p>
        </w:tc>
        <w:tc>
          <w:tcPr>
            <w:tcW w:w="776" w:type="pct"/>
            <w:tcBorders>
              <w:tl2br w:val="nil"/>
              <w:tr2bl w:val="nil"/>
            </w:tcBorders>
            <w:vAlign w:val="center"/>
          </w:tcPr>
          <w:p w14:paraId="067FD8A5">
            <w:pPr>
              <w:widowControl/>
              <w:spacing w:before="0" w:beforeLines="0" w:after="156" w:line="240" w:lineRule="auto"/>
              <w:contextualSpacing/>
              <w:jc w:val="center"/>
              <w:rPr>
                <w:kern w:val="0"/>
                <w:szCs w:val="21"/>
              </w:rPr>
            </w:pPr>
            <w:r>
              <w:rPr>
                <w:kern w:val="0"/>
                <w:szCs w:val="21"/>
              </w:rPr>
              <w:t>1次/a</w:t>
            </w:r>
          </w:p>
        </w:tc>
      </w:tr>
    </w:tbl>
    <w:p w14:paraId="2E41205F">
      <w:pPr>
        <w:pStyle w:val="4"/>
        <w:rPr>
          <w:rFonts w:ascii="Times New Roman" w:hAnsi="Times New Roman" w:eastAsia="宋体"/>
          <w:color w:val="auto"/>
        </w:rPr>
      </w:pPr>
      <w:bookmarkStart w:id="235" w:name="_Toc239274278"/>
      <w:r>
        <w:rPr>
          <w:rFonts w:ascii="Times New Roman" w:hAnsi="Times New Roman" w:eastAsia="宋体"/>
          <w:color w:val="auto"/>
        </w:rPr>
        <w:t>5.3地表水环境影响分析</w:t>
      </w:r>
      <w:bookmarkEnd w:id="214"/>
      <w:bookmarkEnd w:id="235"/>
    </w:p>
    <w:p w14:paraId="13839BFB">
      <w:pPr>
        <w:tabs>
          <w:tab w:val="left" w:pos="2880"/>
        </w:tabs>
        <w:spacing w:before="0" w:beforeLines="0" w:line="360" w:lineRule="auto"/>
        <w:ind w:firstLine="480" w:firstLineChars="200"/>
        <w:contextualSpacing/>
        <w:rPr>
          <w:sz w:val="24"/>
          <w:szCs w:val="20"/>
        </w:rPr>
      </w:pPr>
      <w:r>
        <w:rPr>
          <w:sz w:val="24"/>
          <w:szCs w:val="20"/>
        </w:rPr>
        <w:t>本工程废水来源为生产废水和生活污水。</w:t>
      </w:r>
    </w:p>
    <w:p w14:paraId="3B0399E4">
      <w:pPr>
        <w:tabs>
          <w:tab w:val="left" w:pos="2880"/>
        </w:tabs>
        <w:spacing w:before="0" w:beforeLines="0" w:line="360" w:lineRule="auto"/>
        <w:contextualSpacing/>
        <w:rPr>
          <w:sz w:val="24"/>
          <w:szCs w:val="20"/>
        </w:rPr>
      </w:pPr>
      <w:r>
        <w:rPr>
          <w:rFonts w:hint="eastAsia"/>
          <w:sz w:val="24"/>
          <w:szCs w:val="20"/>
        </w:rPr>
        <w:t>（1）</w:t>
      </w:r>
      <w:r>
        <w:rPr>
          <w:sz w:val="24"/>
          <w:szCs w:val="20"/>
        </w:rPr>
        <w:t>生产废水</w:t>
      </w:r>
    </w:p>
    <w:p w14:paraId="6FEDF1FF">
      <w:pPr>
        <w:tabs>
          <w:tab w:val="left" w:pos="2880"/>
        </w:tabs>
        <w:spacing w:before="0" w:beforeLines="0" w:line="360" w:lineRule="auto"/>
        <w:ind w:firstLine="480" w:firstLineChars="200"/>
        <w:contextualSpacing/>
        <w:rPr>
          <w:sz w:val="24"/>
          <w:szCs w:val="20"/>
        </w:rPr>
      </w:pPr>
      <w:r>
        <w:rPr>
          <w:rFonts w:hint="eastAsia"/>
          <w:sz w:val="24"/>
          <w:szCs w:val="20"/>
        </w:rPr>
        <w:t>脱水机产生的废水进入本项目循环水池，回用于选矿；泥浆及地面清洗废水排入浓缩罐及板框压滤机，处理后产生的废水排入循环水池，回用于选矿，不外排。</w:t>
      </w:r>
    </w:p>
    <w:p w14:paraId="557F5CF5">
      <w:pPr>
        <w:tabs>
          <w:tab w:val="left" w:pos="2880"/>
        </w:tabs>
        <w:spacing w:before="0" w:beforeLines="0" w:line="360" w:lineRule="auto"/>
        <w:ind w:firstLine="480" w:firstLineChars="200"/>
        <w:contextualSpacing/>
        <w:rPr>
          <w:sz w:val="24"/>
          <w:szCs w:val="20"/>
        </w:rPr>
      </w:pPr>
      <w:r>
        <w:rPr>
          <w:rFonts w:hint="eastAsia"/>
          <w:sz w:val="24"/>
          <w:szCs w:val="20"/>
        </w:rPr>
        <w:t>本项目生产工艺为磨矿-磁选-重选，不添加任何药剂，选矿废水中主要污染物为SS，经简单沉淀处理后上清液悬浮物的含量可以控制在50mg/L以下。根据《铁矿石采选企业污水处理技术规范》（GB/T 33815-2017）中6.2.3.1单一磁选工艺选矿水水质通常主要污染物为悬浮物，通过对悬浮物的分级沉淀去除即可满足回用要求，并根据矿山企业生产经验，废水经沉淀处理后可满足回用要求，废水处理及回用方案可行。本项目工艺较为简单水污染物以SS为主，根据水平衡分析，可实现废水的零排放。</w:t>
      </w:r>
    </w:p>
    <w:p w14:paraId="1975D3FD">
      <w:pPr>
        <w:tabs>
          <w:tab w:val="left" w:pos="2880"/>
        </w:tabs>
        <w:spacing w:before="0" w:beforeLines="0" w:line="360" w:lineRule="auto"/>
        <w:ind w:firstLine="480" w:firstLineChars="200"/>
        <w:contextualSpacing/>
        <w:rPr>
          <w:sz w:val="24"/>
          <w:szCs w:val="20"/>
        </w:rPr>
      </w:pPr>
      <w:r>
        <w:rPr>
          <w:rFonts w:hint="eastAsia"/>
          <w:sz w:val="24"/>
          <w:szCs w:val="20"/>
        </w:rPr>
        <w:t>（2）</w:t>
      </w:r>
      <w:r>
        <w:rPr>
          <w:sz w:val="24"/>
          <w:szCs w:val="20"/>
        </w:rPr>
        <w:t>生活污水</w:t>
      </w:r>
    </w:p>
    <w:p w14:paraId="58524249">
      <w:pPr>
        <w:tabs>
          <w:tab w:val="left" w:pos="2880"/>
        </w:tabs>
        <w:spacing w:before="0" w:beforeLines="0" w:line="360" w:lineRule="auto"/>
        <w:ind w:firstLine="480" w:firstLineChars="200"/>
        <w:contextualSpacing/>
        <w:rPr>
          <w:sz w:val="24"/>
          <w:szCs w:val="20"/>
        </w:rPr>
      </w:pPr>
      <w:r>
        <w:rPr>
          <w:sz w:val="24"/>
          <w:szCs w:val="20"/>
        </w:rPr>
        <w:t>本项目产生的生活污水排入化粪池，定期清掏。</w:t>
      </w:r>
    </w:p>
    <w:p w14:paraId="66C5DF41">
      <w:pPr>
        <w:tabs>
          <w:tab w:val="left" w:pos="2880"/>
        </w:tabs>
        <w:spacing w:before="0" w:beforeLines="0" w:line="360" w:lineRule="auto"/>
        <w:ind w:firstLine="480" w:firstLineChars="200"/>
        <w:contextualSpacing/>
        <w:rPr>
          <w:sz w:val="24"/>
          <w:szCs w:val="20"/>
        </w:rPr>
      </w:pPr>
      <w:r>
        <w:rPr>
          <w:sz w:val="24"/>
          <w:szCs w:val="20"/>
        </w:rPr>
        <w:t>综上，本项目无生产废水外排，生活污水排入化粪池，定期清掏，不会对周边地表水产生影响。</w:t>
      </w:r>
    </w:p>
    <w:p w14:paraId="5012C0AA">
      <w:pPr>
        <w:pStyle w:val="4"/>
        <w:rPr>
          <w:rFonts w:ascii="Times New Roman" w:hAnsi="Times New Roman" w:eastAsia="宋体"/>
          <w:color w:val="auto"/>
        </w:rPr>
      </w:pPr>
      <w:bookmarkStart w:id="236" w:name="_Toc239274279"/>
      <w:bookmarkStart w:id="237" w:name="_Toc17475979"/>
      <w:r>
        <w:rPr>
          <w:rFonts w:ascii="Times New Roman" w:hAnsi="Times New Roman" w:eastAsia="宋体"/>
          <w:color w:val="auto"/>
        </w:rPr>
        <w:t>5.4声环境影响评价</w:t>
      </w:r>
      <w:bookmarkEnd w:id="236"/>
    </w:p>
    <w:p w14:paraId="7A7623DA">
      <w:pPr>
        <w:pStyle w:val="5"/>
        <w:rPr>
          <w:color w:val="auto"/>
        </w:rPr>
      </w:pPr>
      <w:r>
        <w:rPr>
          <w:color w:val="auto"/>
        </w:rPr>
        <w:t>5.4.1噪声源强统计</w:t>
      </w:r>
    </w:p>
    <w:p w14:paraId="3ED8A75A">
      <w:pPr>
        <w:adjustRightInd w:val="0"/>
        <w:snapToGrid w:val="0"/>
        <w:spacing w:before="0" w:beforeLines="0" w:line="360" w:lineRule="auto"/>
        <w:ind w:firstLine="480" w:firstLineChars="200"/>
        <w:jc w:val="left"/>
        <w:rPr>
          <w:sz w:val="24"/>
        </w:rPr>
      </w:pPr>
      <w:r>
        <w:rPr>
          <w:sz w:val="24"/>
        </w:rPr>
        <w:t>1#厂区噪声源主要有</w:t>
      </w:r>
      <w:bookmarkStart w:id="238" w:name="_Hlk175230029"/>
      <w:r>
        <w:rPr>
          <w:sz w:val="24"/>
        </w:rPr>
        <w:t>振动筛、磁选机、抛砂分离机、洗砂机、球磨机、脱水机</w:t>
      </w:r>
      <w:bookmarkEnd w:id="238"/>
      <w:r>
        <w:rPr>
          <w:rFonts w:hint="eastAsia"/>
          <w:sz w:val="24"/>
        </w:rPr>
        <w:t>、风机、泵类</w:t>
      </w:r>
      <w:r>
        <w:rPr>
          <w:sz w:val="24"/>
        </w:rPr>
        <w:t>等</w:t>
      </w:r>
      <w:r>
        <w:rPr>
          <w:rFonts w:hint="eastAsia"/>
          <w:sz w:val="24"/>
        </w:rPr>
        <w:t>，</w:t>
      </w:r>
      <w:r>
        <w:rPr>
          <w:sz w:val="24"/>
        </w:rPr>
        <w:t>2#厂区噪声源主要为破碎机、磁选机、振动筛、风机等，噪声源具体情况见表3.</w:t>
      </w:r>
      <w:r>
        <w:rPr>
          <w:rFonts w:hint="eastAsia"/>
          <w:sz w:val="24"/>
        </w:rPr>
        <w:t>3-5至</w:t>
      </w:r>
      <w:r>
        <w:rPr>
          <w:sz w:val="24"/>
        </w:rPr>
        <w:t>表3.</w:t>
      </w:r>
      <w:r>
        <w:rPr>
          <w:rFonts w:hint="eastAsia"/>
          <w:sz w:val="24"/>
        </w:rPr>
        <w:t>3-8</w:t>
      </w:r>
      <w:r>
        <w:rPr>
          <w:sz w:val="24"/>
        </w:rPr>
        <w:t>。</w:t>
      </w:r>
    </w:p>
    <w:p w14:paraId="18990176">
      <w:pPr>
        <w:pStyle w:val="5"/>
        <w:spacing w:before="156" w:after="156"/>
        <w:rPr>
          <w:color w:val="auto"/>
        </w:rPr>
      </w:pPr>
      <w:r>
        <w:rPr>
          <w:color w:val="auto"/>
        </w:rPr>
        <w:t>5.4.2噪声预测模式</w:t>
      </w:r>
    </w:p>
    <w:p w14:paraId="40D9D692">
      <w:pPr>
        <w:adjustRightInd w:val="0"/>
        <w:snapToGrid w:val="0"/>
        <w:spacing w:before="78"/>
        <w:ind w:firstLine="480" w:firstLineChars="200"/>
        <w:jc w:val="left"/>
        <w:rPr>
          <w:sz w:val="24"/>
        </w:rPr>
      </w:pPr>
      <w:r>
        <w:rPr>
          <w:sz w:val="24"/>
        </w:rPr>
        <w:t>影响声波从声源到受声点传播的因素有很多，主要包括传播发散、气温、平均湿度、遮挡物状况、植被状况、风向、风速等，其中对声波的传播影响最大的是与声源到受声点的距离有关的传播发散，即声波随距离的衰减。</w:t>
      </w:r>
    </w:p>
    <w:p w14:paraId="00097C8E">
      <w:pPr>
        <w:snapToGrid w:val="0"/>
        <w:spacing w:before="78" w:line="360" w:lineRule="auto"/>
        <w:ind w:firstLine="480" w:firstLineChars="200"/>
        <w:jc w:val="left"/>
        <w:rPr>
          <w:sz w:val="24"/>
          <w:szCs w:val="28"/>
        </w:rPr>
      </w:pPr>
      <w:r>
        <w:rPr>
          <w:sz w:val="24"/>
        </w:rPr>
        <w:t>根据项目采取的治理措施及降噪效果，《环境影响技术导则 声环境》（HJ2.4-20</w:t>
      </w:r>
      <w:r>
        <w:rPr>
          <w:rFonts w:hint="eastAsia"/>
          <w:sz w:val="24"/>
        </w:rPr>
        <w:t>21</w:t>
      </w:r>
      <w:r>
        <w:rPr>
          <w:sz w:val="24"/>
        </w:rPr>
        <w:t>）规定的计算和预测公式预测项目对厂界的影响。</w:t>
      </w:r>
    </w:p>
    <w:p w14:paraId="06FBFB14">
      <w:pPr>
        <w:snapToGrid w:val="0"/>
        <w:spacing w:before="0" w:beforeLines="0" w:line="360" w:lineRule="auto"/>
        <w:rPr>
          <w:sz w:val="24"/>
        </w:rPr>
      </w:pPr>
      <w:r>
        <w:rPr>
          <w:sz w:val="24"/>
          <w:szCs w:val="22"/>
        </w:rPr>
        <w:t>①</w:t>
      </w:r>
      <w:r>
        <w:rPr>
          <w:sz w:val="24"/>
        </w:rPr>
        <w:t>室外声源在预测点的声压级</w:t>
      </w:r>
    </w:p>
    <w:p w14:paraId="0BDBD72E">
      <w:pPr>
        <w:snapToGrid w:val="0"/>
        <w:spacing w:before="0" w:beforeLines="0" w:line="360" w:lineRule="auto"/>
        <w:ind w:left="480" w:firstLine="1680"/>
        <w:rPr>
          <w:sz w:val="24"/>
          <w:vertAlign w:val="subscript"/>
          <w:lang w:val="pt-BR"/>
        </w:rPr>
      </w:pPr>
      <w:r>
        <w:rPr>
          <w:sz w:val="24"/>
          <w:lang w:val="pt-BR"/>
        </w:rPr>
        <w:t>L</w:t>
      </w:r>
      <w:r>
        <w:rPr>
          <w:sz w:val="24"/>
          <w:vertAlign w:val="subscript"/>
          <w:lang w:val="pt-BR"/>
        </w:rPr>
        <w:t>oct</w:t>
      </w:r>
      <w:r>
        <w:rPr>
          <w:sz w:val="24"/>
          <w:lang w:val="pt-BR"/>
        </w:rPr>
        <w:t>®= L</w:t>
      </w:r>
      <w:r>
        <w:rPr>
          <w:sz w:val="24"/>
          <w:vertAlign w:val="subscript"/>
          <w:lang w:val="pt-BR"/>
        </w:rPr>
        <w:t>oct</w:t>
      </w:r>
      <w:r>
        <w:rPr>
          <w:sz w:val="24"/>
          <w:lang w:val="pt-BR"/>
        </w:rPr>
        <w:t>(r</w:t>
      </w:r>
      <w:r>
        <w:rPr>
          <w:sz w:val="24"/>
          <w:vertAlign w:val="subscript"/>
          <w:lang w:val="pt-BR"/>
        </w:rPr>
        <w:t>0</w:t>
      </w:r>
      <w:r>
        <w:rPr>
          <w:sz w:val="24"/>
          <w:lang w:val="pt-BR"/>
        </w:rPr>
        <w:t>)-20lg(r/r</w:t>
      </w:r>
      <w:r>
        <w:rPr>
          <w:sz w:val="24"/>
          <w:vertAlign w:val="subscript"/>
          <w:lang w:val="pt-BR"/>
        </w:rPr>
        <w:t>0</w:t>
      </w:r>
      <w:r>
        <w:rPr>
          <w:sz w:val="24"/>
          <w:lang w:val="pt-BR"/>
        </w:rPr>
        <w:t>)-△L</w:t>
      </w:r>
      <w:r>
        <w:rPr>
          <w:sz w:val="24"/>
          <w:vertAlign w:val="subscript"/>
          <w:lang w:val="pt-BR"/>
        </w:rPr>
        <w:t>oct</w:t>
      </w:r>
    </w:p>
    <w:p w14:paraId="0BDAC797">
      <w:pPr>
        <w:snapToGrid w:val="0"/>
        <w:spacing w:before="0" w:beforeLines="0" w:line="360" w:lineRule="auto"/>
        <w:ind w:firstLine="480"/>
        <w:rPr>
          <w:sz w:val="24"/>
        </w:rPr>
      </w:pPr>
      <w:r>
        <w:rPr>
          <w:sz w:val="24"/>
        </w:rPr>
        <w:t>式中：L</w:t>
      </w:r>
      <w:r>
        <w:rPr>
          <w:sz w:val="24"/>
          <w:vertAlign w:val="subscript"/>
        </w:rPr>
        <w:t>oct</w:t>
      </w:r>
      <w:r>
        <w:rPr>
          <w:sz w:val="24"/>
        </w:rPr>
        <w:t>®、L</w:t>
      </w:r>
      <w:r>
        <w:rPr>
          <w:sz w:val="24"/>
          <w:vertAlign w:val="subscript"/>
        </w:rPr>
        <w:t>oct</w:t>
      </w:r>
      <w:r>
        <w:rPr>
          <w:sz w:val="24"/>
        </w:rPr>
        <w:t>(r</w:t>
      </w:r>
      <w:r>
        <w:rPr>
          <w:sz w:val="24"/>
          <w:vertAlign w:val="subscript"/>
        </w:rPr>
        <w:t>0</w:t>
      </w:r>
      <w:r>
        <w:rPr>
          <w:sz w:val="24"/>
        </w:rPr>
        <w:t>) — 距声源r、r</w:t>
      </w:r>
      <w:r>
        <w:rPr>
          <w:sz w:val="24"/>
          <w:vertAlign w:val="subscript"/>
        </w:rPr>
        <w:t>0</w:t>
      </w:r>
      <w:r>
        <w:rPr>
          <w:sz w:val="24"/>
        </w:rPr>
        <w:t>处的声压级，dB；</w:t>
      </w:r>
    </w:p>
    <w:p w14:paraId="63279EE6">
      <w:pPr>
        <w:snapToGrid w:val="0"/>
        <w:spacing w:before="0" w:beforeLines="0" w:line="360" w:lineRule="auto"/>
        <w:ind w:firstLine="480"/>
        <w:rPr>
          <w:sz w:val="24"/>
        </w:rPr>
      </w:pPr>
      <w:r>
        <w:rPr>
          <w:sz w:val="24"/>
        </w:rPr>
        <w:t xml:space="preserve">      r、r</w:t>
      </w:r>
      <w:r>
        <w:rPr>
          <w:sz w:val="24"/>
          <w:vertAlign w:val="subscript"/>
        </w:rPr>
        <w:t xml:space="preserve">0 </w:t>
      </w:r>
      <w:r>
        <w:rPr>
          <w:sz w:val="24"/>
        </w:rPr>
        <w:t>— 预测点到声源的距离，m；</w:t>
      </w:r>
    </w:p>
    <w:p w14:paraId="0207CA4C">
      <w:pPr>
        <w:tabs>
          <w:tab w:val="left" w:pos="900"/>
        </w:tabs>
        <w:snapToGrid w:val="0"/>
        <w:spacing w:before="0" w:beforeLines="0" w:line="360" w:lineRule="auto"/>
        <w:ind w:left="901" w:leftChars="429" w:firstLine="240" w:firstLineChars="100"/>
        <w:rPr>
          <w:sz w:val="24"/>
        </w:rPr>
      </w:pPr>
      <w:r>
        <w:rPr>
          <w:sz w:val="24"/>
        </w:rPr>
        <w:t>L</w:t>
      </w:r>
      <w:r>
        <w:rPr>
          <w:sz w:val="24"/>
          <w:vertAlign w:val="subscript"/>
        </w:rPr>
        <w:t xml:space="preserve">oct </w:t>
      </w:r>
      <w:r>
        <w:rPr>
          <w:sz w:val="24"/>
        </w:rPr>
        <w:t>— 各种衰减量，dB。</w:t>
      </w:r>
    </w:p>
    <w:p w14:paraId="7FE886B8">
      <w:pPr>
        <w:tabs>
          <w:tab w:val="left" w:pos="900"/>
        </w:tabs>
        <w:snapToGrid w:val="0"/>
        <w:spacing w:before="0" w:beforeLines="0" w:line="360" w:lineRule="auto"/>
        <w:ind w:firstLine="480" w:firstLineChars="200"/>
        <w:rPr>
          <w:sz w:val="24"/>
        </w:rPr>
      </w:pPr>
      <w:r>
        <w:rPr>
          <w:sz w:val="24"/>
        </w:rPr>
        <w:t>如果已知声源的倍频带声功率级 L</w:t>
      </w:r>
      <w:r>
        <w:rPr>
          <w:sz w:val="24"/>
          <w:vertAlign w:val="subscript"/>
        </w:rPr>
        <w:t>woct</w:t>
      </w:r>
      <w:r>
        <w:rPr>
          <w:sz w:val="24"/>
        </w:rPr>
        <w:t>，且声源可看作是位于地面上的，则</w:t>
      </w:r>
    </w:p>
    <w:p w14:paraId="16853B22">
      <w:pPr>
        <w:snapToGrid w:val="0"/>
        <w:spacing w:before="0" w:beforeLines="0" w:line="360" w:lineRule="auto"/>
        <w:ind w:left="480" w:firstLine="1680"/>
        <w:rPr>
          <w:sz w:val="24"/>
          <w:vertAlign w:val="subscript"/>
        </w:rPr>
      </w:pPr>
      <w:r>
        <w:rPr>
          <w:sz w:val="24"/>
        </w:rPr>
        <w:t>L</w:t>
      </w:r>
      <w:r>
        <w:rPr>
          <w:sz w:val="24"/>
          <w:vertAlign w:val="subscript"/>
        </w:rPr>
        <w:t>oct</w:t>
      </w:r>
      <w:r>
        <w:rPr>
          <w:sz w:val="24"/>
        </w:rPr>
        <w:t>®= L</w:t>
      </w:r>
      <w:r>
        <w:rPr>
          <w:sz w:val="24"/>
          <w:vertAlign w:val="subscript"/>
        </w:rPr>
        <w:t>woct</w:t>
      </w:r>
      <w:r>
        <w:rPr>
          <w:sz w:val="24"/>
        </w:rPr>
        <w:t xml:space="preserve"> -20lgr</w:t>
      </w:r>
      <w:r>
        <w:rPr>
          <w:sz w:val="24"/>
          <w:vertAlign w:val="subscript"/>
        </w:rPr>
        <w:t>0</w:t>
      </w:r>
      <w:r>
        <w:rPr>
          <w:sz w:val="24"/>
        </w:rPr>
        <w:t>-</w:t>
      </w:r>
      <w:r>
        <w:rPr>
          <w:sz w:val="24"/>
          <w:lang w:val="en-GB"/>
        </w:rPr>
        <w:t>8</w:t>
      </w:r>
    </w:p>
    <w:p w14:paraId="103A3C54">
      <w:pPr>
        <w:snapToGrid w:val="0"/>
        <w:spacing w:before="0" w:beforeLines="0" w:line="360" w:lineRule="auto"/>
        <w:rPr>
          <w:sz w:val="24"/>
        </w:rPr>
      </w:pPr>
      <w:bookmarkStart w:id="239" w:name="_Toc151879054"/>
      <w:bookmarkStart w:id="240" w:name="_Toc252399045"/>
      <w:bookmarkStart w:id="241" w:name="_Toc151284878"/>
      <w:bookmarkStart w:id="242" w:name="_Toc167585344"/>
      <w:bookmarkStart w:id="243" w:name="_Toc253726837"/>
      <w:bookmarkStart w:id="244" w:name="_Toc209926103"/>
      <w:bookmarkStart w:id="245" w:name="_Toc150741591"/>
      <w:bookmarkStart w:id="246" w:name="_Toc212797942"/>
      <w:bookmarkStart w:id="247" w:name="_Toc252446912"/>
      <w:bookmarkStart w:id="248" w:name="_Toc166557713"/>
      <w:bookmarkStart w:id="249" w:name="_Toc213486786"/>
      <w:bookmarkStart w:id="250" w:name="_Toc251848110"/>
      <w:bookmarkStart w:id="251" w:name="_Toc150433198"/>
      <w:bookmarkStart w:id="252" w:name="_Toc252732929"/>
      <w:bookmarkStart w:id="253" w:name="_Toc150488208"/>
      <w:bookmarkStart w:id="254" w:name="_Toc151170320"/>
      <w:bookmarkStart w:id="255" w:name="_Toc253667978"/>
      <w:bookmarkStart w:id="256" w:name="_Toc167703739"/>
      <w:bookmarkStart w:id="257" w:name="_Toc252138165"/>
      <w:bookmarkStart w:id="258" w:name="_Toc151285423"/>
      <w:bookmarkStart w:id="259" w:name="_Toc290042799"/>
      <w:bookmarkStart w:id="260" w:name="_Toc168883581"/>
      <w:bookmarkStart w:id="261" w:name="_Toc252450895"/>
      <w:bookmarkStart w:id="262" w:name="_Toc167690972"/>
      <w:bookmarkStart w:id="263" w:name="_Toc155600490"/>
      <w:bookmarkStart w:id="264" w:name="_Toc251874928"/>
      <w:bookmarkStart w:id="265" w:name="_Toc150834786"/>
      <w:bookmarkStart w:id="266" w:name="_Toc155318296"/>
      <w:bookmarkStart w:id="267" w:name="_Toc173116623"/>
      <w:bookmarkStart w:id="268" w:name="_Toc167621035"/>
      <w:bookmarkStart w:id="269" w:name="_Toc291061100"/>
      <w:bookmarkStart w:id="270" w:name="_Toc192304620"/>
      <w:bookmarkStart w:id="271" w:name="_Toc209835016"/>
      <w:bookmarkStart w:id="272" w:name="_Toc155851914"/>
      <w:bookmarkStart w:id="273" w:name="_Toc291061013"/>
      <w:bookmarkStart w:id="274" w:name="_Toc168885901"/>
      <w:r>
        <w:rPr>
          <w:sz w:val="24"/>
        </w:rPr>
        <w:t>②室内某一声源在靠近围护结构处的声压级</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14:paraId="2529261A">
      <w:pPr>
        <w:snapToGrid w:val="0"/>
        <w:spacing w:before="0" w:beforeLines="0" w:line="360" w:lineRule="auto"/>
        <w:jc w:val="center"/>
        <w:rPr>
          <w:sz w:val="24"/>
        </w:rPr>
      </w:pPr>
      <w:r>
        <w:rPr>
          <w:sz w:val="24"/>
        </w:rPr>
        <w:t>L</w:t>
      </w:r>
      <w:r>
        <w:rPr>
          <w:sz w:val="24"/>
          <w:vertAlign w:val="subscript"/>
        </w:rPr>
        <w:t>oct</w:t>
      </w:r>
      <w:r>
        <w:rPr>
          <w:sz w:val="24"/>
          <w:vertAlign w:val="subscript"/>
          <w:lang w:val="en-GB"/>
        </w:rPr>
        <w:t>，</w:t>
      </w:r>
      <w:r>
        <w:rPr>
          <w:sz w:val="24"/>
          <w:vertAlign w:val="subscript"/>
        </w:rPr>
        <w:t>1</w:t>
      </w:r>
      <w:r>
        <w:rPr>
          <w:sz w:val="24"/>
        </w:rPr>
        <w:t>=L</w:t>
      </w:r>
      <w:r>
        <w:rPr>
          <w:sz w:val="24"/>
          <w:vertAlign w:val="subscript"/>
        </w:rPr>
        <w:t>woct</w:t>
      </w:r>
      <w:r>
        <w:rPr>
          <w:sz w:val="24"/>
        </w:rPr>
        <w:t>+10 lg</w:t>
      </w:r>
      <w:r>
        <w:rPr>
          <w:sz w:val="24"/>
          <w:lang w:val="en-GB"/>
        </w:rPr>
        <w:t>（</w:t>
      </w:r>
      <w:r>
        <w:rPr>
          <w:position w:val="-24"/>
          <w:sz w:val="24"/>
        </w:rPr>
        <w:drawing>
          <wp:inline distT="0" distB="0" distL="0" distR="0">
            <wp:extent cx="374650" cy="393700"/>
            <wp:effectExtent l="0" t="0" r="0" b="0"/>
            <wp:docPr id="209902059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020595" name="图片 9"/>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a:xfrm>
                      <a:off x="0" y="0"/>
                      <a:ext cx="374650" cy="393700"/>
                    </a:xfrm>
                    <a:prstGeom prst="rect">
                      <a:avLst/>
                    </a:prstGeom>
                    <a:noFill/>
                    <a:ln>
                      <a:noFill/>
                    </a:ln>
                  </pic:spPr>
                </pic:pic>
              </a:graphicData>
            </a:graphic>
          </wp:inline>
        </w:drawing>
      </w:r>
      <w:r>
        <w:rPr>
          <w:sz w:val="24"/>
        </w:rPr>
        <w:t xml:space="preserve">+ </w:t>
      </w:r>
      <w:r>
        <w:rPr>
          <w:position w:val="-24"/>
          <w:sz w:val="24"/>
        </w:rPr>
        <w:drawing>
          <wp:inline distT="0" distB="0" distL="0" distR="0">
            <wp:extent cx="184150" cy="393700"/>
            <wp:effectExtent l="0" t="0" r="0" b="0"/>
            <wp:docPr id="80184748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847485" name="图片 10"/>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a:xfrm>
                      <a:off x="0" y="0"/>
                      <a:ext cx="184150" cy="393700"/>
                    </a:xfrm>
                    <a:prstGeom prst="rect">
                      <a:avLst/>
                    </a:prstGeom>
                    <a:noFill/>
                    <a:ln>
                      <a:noFill/>
                    </a:ln>
                  </pic:spPr>
                </pic:pic>
              </a:graphicData>
            </a:graphic>
          </wp:inline>
        </w:drawing>
      </w:r>
      <w:r>
        <w:rPr>
          <w:sz w:val="24"/>
          <w:lang w:val="en-GB"/>
        </w:rPr>
        <w:t>）</w:t>
      </w:r>
    </w:p>
    <w:p w14:paraId="36A78724">
      <w:pPr>
        <w:snapToGrid w:val="0"/>
        <w:spacing w:before="0" w:beforeLines="0" w:line="360" w:lineRule="auto"/>
        <w:ind w:firstLine="480" w:firstLineChars="200"/>
        <w:rPr>
          <w:sz w:val="24"/>
        </w:rPr>
      </w:pPr>
      <w:r>
        <w:rPr>
          <w:sz w:val="24"/>
        </w:rPr>
        <w:t>式中：L</w:t>
      </w:r>
      <w:r>
        <w:rPr>
          <w:sz w:val="24"/>
          <w:vertAlign w:val="subscript"/>
        </w:rPr>
        <w:t xml:space="preserve">oct，1 </w:t>
      </w:r>
      <w:r>
        <w:rPr>
          <w:sz w:val="24"/>
        </w:rPr>
        <w:t>— 某室内声源在靠近围护结构处产生的声压级，dB；</w:t>
      </w:r>
    </w:p>
    <w:p w14:paraId="53F845CC">
      <w:pPr>
        <w:snapToGrid w:val="0"/>
        <w:spacing w:before="0" w:beforeLines="0" w:line="360" w:lineRule="auto"/>
        <w:rPr>
          <w:sz w:val="24"/>
        </w:rPr>
      </w:pPr>
      <w:r>
        <w:rPr>
          <w:sz w:val="24"/>
        </w:rPr>
        <w:t xml:space="preserve">          </w:t>
      </w:r>
      <w:bookmarkStart w:id="275" w:name="_Toc291061101"/>
      <w:bookmarkStart w:id="276" w:name="_Toc151285424"/>
      <w:bookmarkStart w:id="277" w:name="_Toc167703740"/>
      <w:bookmarkStart w:id="278" w:name="_Toc252399046"/>
      <w:bookmarkStart w:id="279" w:name="_Toc192304621"/>
      <w:bookmarkStart w:id="280" w:name="_Toc151879055"/>
      <w:bookmarkStart w:id="281" w:name="_Toc150433199"/>
      <w:bookmarkStart w:id="282" w:name="_Toc168885902"/>
      <w:bookmarkStart w:id="283" w:name="_Toc150488209"/>
      <w:bookmarkStart w:id="284" w:name="_Toc251874929"/>
      <w:bookmarkStart w:id="285" w:name="_Toc291061014"/>
      <w:bookmarkStart w:id="286" w:name="_Toc173116624"/>
      <w:bookmarkStart w:id="287" w:name="_Toc151284879"/>
      <w:bookmarkStart w:id="288" w:name="_Toc213486787"/>
      <w:bookmarkStart w:id="289" w:name="_Toc209926104"/>
      <w:bookmarkStart w:id="290" w:name="_Toc209835017"/>
      <w:bookmarkStart w:id="291" w:name="_Toc155851915"/>
      <w:bookmarkStart w:id="292" w:name="_Toc155318297"/>
      <w:bookmarkStart w:id="293" w:name="_Toc167690973"/>
      <w:bookmarkStart w:id="294" w:name="_Toc167621036"/>
      <w:bookmarkStart w:id="295" w:name="_Toc253667979"/>
      <w:bookmarkStart w:id="296" w:name="_Toc150834787"/>
      <w:bookmarkStart w:id="297" w:name="_Toc151170321"/>
      <w:bookmarkStart w:id="298" w:name="_Toc252138166"/>
      <w:bookmarkStart w:id="299" w:name="_Toc252446913"/>
      <w:bookmarkStart w:id="300" w:name="_Toc290042800"/>
      <w:bookmarkStart w:id="301" w:name="_Toc252450896"/>
      <w:bookmarkStart w:id="302" w:name="_Toc212797943"/>
      <w:bookmarkStart w:id="303" w:name="_Toc252732930"/>
      <w:bookmarkStart w:id="304" w:name="_Toc150741592"/>
      <w:bookmarkStart w:id="305" w:name="_Toc251848111"/>
      <w:bookmarkStart w:id="306" w:name="_Toc166557714"/>
      <w:bookmarkStart w:id="307" w:name="_Toc155600491"/>
      <w:bookmarkStart w:id="308" w:name="_Toc167585345"/>
      <w:bookmarkStart w:id="309" w:name="_Toc168883582"/>
      <w:bookmarkStart w:id="310" w:name="_Toc253726838"/>
      <w:r>
        <w:rPr>
          <w:sz w:val="24"/>
        </w:rPr>
        <w:t>L</w:t>
      </w:r>
      <w:r>
        <w:rPr>
          <w:sz w:val="24"/>
          <w:vertAlign w:val="subscript"/>
        </w:rPr>
        <w:t xml:space="preserve">woct </w:t>
      </w:r>
      <w:r>
        <w:rPr>
          <w:sz w:val="24"/>
        </w:rPr>
        <w:t>— 为某声源的声功率级，dB；</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769A7527">
      <w:pPr>
        <w:snapToGrid w:val="0"/>
        <w:spacing w:before="0" w:beforeLines="0" w:line="360" w:lineRule="auto"/>
        <w:rPr>
          <w:sz w:val="24"/>
        </w:rPr>
      </w:pPr>
      <w:r>
        <w:rPr>
          <w:sz w:val="24"/>
        </w:rPr>
        <w:t xml:space="preserve">          r</w:t>
      </w:r>
      <w:r>
        <w:rPr>
          <w:sz w:val="24"/>
          <w:vertAlign w:val="subscript"/>
        </w:rPr>
        <w:t xml:space="preserve">1 </w:t>
      </w:r>
      <w:r>
        <w:rPr>
          <w:sz w:val="24"/>
        </w:rPr>
        <w:t>— 为室内某个声源与靠近围护结构处的距离，m；</w:t>
      </w:r>
    </w:p>
    <w:p w14:paraId="1E8D5567">
      <w:pPr>
        <w:snapToGrid w:val="0"/>
        <w:spacing w:before="0" w:beforeLines="0" w:line="360" w:lineRule="auto"/>
        <w:rPr>
          <w:sz w:val="24"/>
        </w:rPr>
      </w:pPr>
      <w:r>
        <w:rPr>
          <w:sz w:val="24"/>
        </w:rPr>
        <w:t xml:space="preserve">          R — 房间常数，R=</w:t>
      </w:r>
      <w:r>
        <w:rPr>
          <w:position w:val="-24"/>
          <w:sz w:val="24"/>
        </w:rPr>
        <w:drawing>
          <wp:inline distT="0" distB="0" distL="0" distR="0">
            <wp:extent cx="349250" cy="393700"/>
            <wp:effectExtent l="0" t="0" r="0" b="0"/>
            <wp:docPr id="157122609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226092" name="图片 11"/>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a:xfrm>
                      <a:off x="0" y="0"/>
                      <a:ext cx="349250" cy="393700"/>
                    </a:xfrm>
                    <a:prstGeom prst="rect">
                      <a:avLst/>
                    </a:prstGeom>
                    <a:noFill/>
                    <a:ln>
                      <a:noFill/>
                    </a:ln>
                  </pic:spPr>
                </pic:pic>
              </a:graphicData>
            </a:graphic>
          </wp:inline>
        </w:drawing>
      </w:r>
      <w:r>
        <w:rPr>
          <w:sz w:val="24"/>
        </w:rPr>
        <w:t>；</w:t>
      </w:r>
    </w:p>
    <w:p w14:paraId="2F120A30">
      <w:pPr>
        <w:snapToGrid w:val="0"/>
        <w:spacing w:before="0" w:beforeLines="0" w:line="360" w:lineRule="auto"/>
        <w:rPr>
          <w:sz w:val="24"/>
        </w:rPr>
      </w:pPr>
      <w:r>
        <w:rPr>
          <w:sz w:val="24"/>
        </w:rPr>
        <w:t xml:space="preserve">          S — 室内总表面积，m</w:t>
      </w:r>
      <w:r>
        <w:rPr>
          <w:sz w:val="24"/>
          <w:vertAlign w:val="superscript"/>
        </w:rPr>
        <w:t>2</w:t>
      </w:r>
      <w:r>
        <w:rPr>
          <w:sz w:val="24"/>
        </w:rPr>
        <w:t>；</w:t>
      </w:r>
    </w:p>
    <w:p w14:paraId="621DAF00">
      <w:pPr>
        <w:snapToGrid w:val="0"/>
        <w:spacing w:before="0" w:beforeLines="0" w:line="360" w:lineRule="auto"/>
        <w:rPr>
          <w:sz w:val="24"/>
        </w:rPr>
      </w:pPr>
      <w:r>
        <w:rPr>
          <w:sz w:val="24"/>
        </w:rPr>
        <w:t xml:space="preserve">          </w:t>
      </w:r>
      <w:r>
        <w:rPr>
          <w:position w:val="-6"/>
          <w:sz w:val="24"/>
        </w:rPr>
        <w:drawing>
          <wp:inline distT="0" distB="0" distL="0" distR="0">
            <wp:extent cx="146050" cy="146050"/>
            <wp:effectExtent l="0" t="0" r="0" b="0"/>
            <wp:docPr id="149885609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856098" name="图片 12"/>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a:xfrm>
                      <a:off x="0" y="0"/>
                      <a:ext cx="146050" cy="146050"/>
                    </a:xfrm>
                    <a:prstGeom prst="rect">
                      <a:avLst/>
                    </a:prstGeom>
                    <a:noFill/>
                    <a:ln>
                      <a:noFill/>
                    </a:ln>
                  </pic:spPr>
                </pic:pic>
              </a:graphicData>
            </a:graphic>
          </wp:inline>
        </w:drawing>
      </w:r>
      <w:r>
        <w:rPr>
          <w:sz w:val="24"/>
        </w:rPr>
        <w:t xml:space="preserve"> — 平均吸声系数， </w:t>
      </w:r>
      <w:r>
        <w:rPr>
          <w:position w:val="-6"/>
          <w:sz w:val="24"/>
        </w:rPr>
        <w:drawing>
          <wp:inline distT="0" distB="0" distL="0" distR="0">
            <wp:extent cx="146050" cy="146050"/>
            <wp:effectExtent l="0" t="0" r="0" b="0"/>
            <wp:docPr id="212065409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654094" name="图片 13"/>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a:xfrm>
                      <a:off x="0" y="0"/>
                      <a:ext cx="146050" cy="146050"/>
                    </a:xfrm>
                    <a:prstGeom prst="rect">
                      <a:avLst/>
                    </a:prstGeom>
                    <a:noFill/>
                    <a:ln>
                      <a:noFill/>
                    </a:ln>
                  </pic:spPr>
                </pic:pic>
              </a:graphicData>
            </a:graphic>
          </wp:inline>
        </w:drawing>
      </w:r>
      <w:r>
        <w:rPr>
          <w:sz w:val="24"/>
        </w:rPr>
        <w:t>=</w:t>
      </w:r>
      <w:r>
        <w:rPr>
          <w:position w:val="-24"/>
          <w:sz w:val="24"/>
        </w:rPr>
        <w:drawing>
          <wp:inline distT="0" distB="0" distL="0" distR="0">
            <wp:extent cx="469900" cy="431800"/>
            <wp:effectExtent l="0" t="0" r="0" b="0"/>
            <wp:docPr id="94192375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923756" name="图片 14"/>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a:xfrm>
                      <a:off x="0" y="0"/>
                      <a:ext cx="469900" cy="431800"/>
                    </a:xfrm>
                    <a:prstGeom prst="rect">
                      <a:avLst/>
                    </a:prstGeom>
                    <a:noFill/>
                    <a:ln>
                      <a:noFill/>
                    </a:ln>
                  </pic:spPr>
                </pic:pic>
              </a:graphicData>
            </a:graphic>
          </wp:inline>
        </w:drawing>
      </w:r>
      <w:r>
        <w:rPr>
          <w:sz w:val="24"/>
        </w:rPr>
        <w:t>；</w:t>
      </w:r>
    </w:p>
    <w:p w14:paraId="27CF6B7E">
      <w:pPr>
        <w:snapToGrid w:val="0"/>
        <w:spacing w:before="0" w:beforeLines="0" w:line="360" w:lineRule="auto"/>
        <w:rPr>
          <w:sz w:val="24"/>
        </w:rPr>
      </w:pPr>
      <w:r>
        <w:rPr>
          <w:sz w:val="24"/>
        </w:rPr>
        <w:t xml:space="preserve">          Q — 方向性因子。</w:t>
      </w:r>
    </w:p>
    <w:p w14:paraId="5B5B881B">
      <w:pPr>
        <w:snapToGrid w:val="0"/>
        <w:spacing w:before="0" w:beforeLines="0" w:line="360" w:lineRule="auto"/>
        <w:rPr>
          <w:sz w:val="24"/>
        </w:rPr>
      </w:pPr>
      <w:r>
        <w:rPr>
          <w:sz w:val="24"/>
        </w:rPr>
        <w:t>③所有室内声源在靠近围护结构处产生的总声压级</w:t>
      </w:r>
    </w:p>
    <w:p w14:paraId="61814AA6">
      <w:pPr>
        <w:snapToGrid w:val="0"/>
        <w:spacing w:before="0" w:beforeLines="0" w:line="360" w:lineRule="auto"/>
        <w:jc w:val="center"/>
        <w:rPr>
          <w:sz w:val="24"/>
        </w:rPr>
      </w:pPr>
      <w:bookmarkStart w:id="311" w:name="_Toc150433200"/>
      <w:bookmarkStart w:id="312" w:name="_Toc151879056"/>
      <w:bookmarkStart w:id="313" w:name="_Toc173116625"/>
      <w:bookmarkStart w:id="314" w:name="_Toc252138167"/>
      <w:bookmarkStart w:id="315" w:name="_Toc167690974"/>
      <w:bookmarkStart w:id="316" w:name="_Toc213486788"/>
      <w:bookmarkStart w:id="317" w:name="_Toc151284880"/>
      <w:bookmarkStart w:id="318" w:name="_Toc253667980"/>
      <w:bookmarkStart w:id="319" w:name="_Toc209835018"/>
      <w:bookmarkStart w:id="320" w:name="_Toc167621037"/>
      <w:bookmarkStart w:id="321" w:name="_Toc253726839"/>
      <w:bookmarkStart w:id="322" w:name="_Toc252450897"/>
      <w:bookmarkStart w:id="323" w:name="_Toc168885903"/>
      <w:bookmarkStart w:id="324" w:name="_Toc192304622"/>
      <w:bookmarkStart w:id="325" w:name="_Toc251848112"/>
      <w:bookmarkStart w:id="326" w:name="_Toc251874930"/>
      <w:bookmarkStart w:id="327" w:name="_Toc290042801"/>
      <w:bookmarkStart w:id="328" w:name="_Toc167703741"/>
      <w:bookmarkStart w:id="329" w:name="_Toc150834788"/>
      <w:bookmarkStart w:id="330" w:name="_Toc252732931"/>
      <w:bookmarkStart w:id="331" w:name="_Toc151170322"/>
      <w:bookmarkStart w:id="332" w:name="_Toc151285425"/>
      <w:bookmarkStart w:id="333" w:name="_Toc291061102"/>
      <w:bookmarkStart w:id="334" w:name="_Toc168883583"/>
      <w:bookmarkStart w:id="335" w:name="_Toc212797944"/>
      <w:bookmarkStart w:id="336" w:name="_Toc209926105"/>
      <w:bookmarkStart w:id="337" w:name="_Toc155600492"/>
      <w:bookmarkStart w:id="338" w:name="_Toc155851916"/>
      <w:bookmarkStart w:id="339" w:name="_Toc155318298"/>
      <w:bookmarkStart w:id="340" w:name="_Toc167585346"/>
      <w:bookmarkStart w:id="341" w:name="_Toc166557715"/>
      <w:bookmarkStart w:id="342" w:name="_Toc291061015"/>
      <w:bookmarkStart w:id="343" w:name="_Toc150488210"/>
      <w:bookmarkStart w:id="344" w:name="_Toc252446914"/>
      <w:bookmarkStart w:id="345" w:name="_Toc150741593"/>
      <w:bookmarkStart w:id="346" w:name="_Toc252399047"/>
      <w:r>
        <w:rPr>
          <w:sz w:val="24"/>
        </w:rPr>
        <w:t>L</w:t>
      </w:r>
      <w:r>
        <w:rPr>
          <w:sz w:val="24"/>
          <w:vertAlign w:val="subscript"/>
        </w:rPr>
        <w:t>oct，1</w:t>
      </w:r>
      <w:r>
        <w:rPr>
          <w:sz w:val="24"/>
        </w:rPr>
        <w:t xml:space="preserve">（T）=10 lg（ </w:t>
      </w:r>
      <w:r>
        <w:rPr>
          <w:position w:val="-28"/>
          <w:sz w:val="24"/>
        </w:rPr>
        <w:drawing>
          <wp:inline distT="0" distB="0" distL="0" distR="0">
            <wp:extent cx="768350" cy="431800"/>
            <wp:effectExtent l="0" t="0" r="0" b="0"/>
            <wp:docPr id="762486009"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486009" name="图片 15"/>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a:xfrm>
                      <a:off x="0" y="0"/>
                      <a:ext cx="768350" cy="431800"/>
                    </a:xfrm>
                    <a:prstGeom prst="rect">
                      <a:avLst/>
                    </a:prstGeom>
                    <a:noFill/>
                    <a:ln>
                      <a:noFill/>
                    </a:ln>
                  </pic:spPr>
                </pic:pic>
              </a:graphicData>
            </a:graphic>
          </wp:inline>
        </w:drawing>
      </w:r>
      <w:r>
        <w:rPr>
          <w:sz w:val="24"/>
        </w:rPr>
        <w:t xml:space="preserve"> ）</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3819B026">
      <w:pPr>
        <w:snapToGrid w:val="0"/>
        <w:spacing w:before="0" w:beforeLines="0" w:line="360" w:lineRule="auto"/>
        <w:rPr>
          <w:sz w:val="24"/>
        </w:rPr>
      </w:pPr>
      <w:r>
        <w:rPr>
          <w:sz w:val="24"/>
        </w:rPr>
        <w:t>④所有声源在室外靠近围护结构处产生的声压级</w:t>
      </w:r>
    </w:p>
    <w:p w14:paraId="4C878695">
      <w:pPr>
        <w:snapToGrid w:val="0"/>
        <w:spacing w:before="0" w:beforeLines="0" w:line="360" w:lineRule="auto"/>
        <w:jc w:val="center"/>
        <w:rPr>
          <w:sz w:val="24"/>
        </w:rPr>
      </w:pPr>
      <w:bookmarkStart w:id="347" w:name="_Toc252450898"/>
      <w:bookmarkStart w:id="348" w:name="_Toc253667981"/>
      <w:bookmarkStart w:id="349" w:name="_Toc251874931"/>
      <w:bookmarkStart w:id="350" w:name="_Toc168883584"/>
      <w:bookmarkStart w:id="351" w:name="_Toc252138168"/>
      <w:bookmarkStart w:id="352" w:name="_Toc252732932"/>
      <w:bookmarkStart w:id="353" w:name="_Toc168885904"/>
      <w:bookmarkStart w:id="354" w:name="_Toc167703742"/>
      <w:bookmarkStart w:id="355" w:name="_Toc192304623"/>
      <w:bookmarkStart w:id="356" w:name="_Toc290042802"/>
      <w:bookmarkStart w:id="357" w:name="_Toc151284881"/>
      <w:bookmarkStart w:id="358" w:name="_Toc253726840"/>
      <w:bookmarkStart w:id="359" w:name="_Toc151170323"/>
      <w:bookmarkStart w:id="360" w:name="_Toc155318299"/>
      <w:bookmarkStart w:id="361" w:name="_Toc212797945"/>
      <w:bookmarkStart w:id="362" w:name="_Toc151285426"/>
      <w:bookmarkStart w:id="363" w:name="_Toc150834789"/>
      <w:bookmarkStart w:id="364" w:name="_Toc251848113"/>
      <w:bookmarkStart w:id="365" w:name="_Toc167621038"/>
      <w:bookmarkStart w:id="366" w:name="_Toc209835019"/>
      <w:bookmarkStart w:id="367" w:name="_Toc252446915"/>
      <w:bookmarkStart w:id="368" w:name="_Toc151879057"/>
      <w:bookmarkStart w:id="369" w:name="_Toc291061016"/>
      <w:bookmarkStart w:id="370" w:name="_Toc150433201"/>
      <w:bookmarkStart w:id="371" w:name="_Toc155600493"/>
      <w:bookmarkStart w:id="372" w:name="_Toc150741594"/>
      <w:bookmarkStart w:id="373" w:name="_Toc150488211"/>
      <w:bookmarkStart w:id="374" w:name="_Toc173116626"/>
      <w:bookmarkStart w:id="375" w:name="_Toc252399048"/>
      <w:bookmarkStart w:id="376" w:name="_Toc209926106"/>
      <w:bookmarkStart w:id="377" w:name="_Toc167690975"/>
      <w:bookmarkStart w:id="378" w:name="_Toc213486789"/>
      <w:bookmarkStart w:id="379" w:name="_Toc166557716"/>
      <w:bookmarkStart w:id="380" w:name="_Toc167585347"/>
      <w:bookmarkStart w:id="381" w:name="_Toc155851917"/>
      <w:bookmarkStart w:id="382" w:name="_Toc291061103"/>
      <w:r>
        <w:rPr>
          <w:sz w:val="24"/>
        </w:rPr>
        <w:t>L</w:t>
      </w:r>
      <w:r>
        <w:rPr>
          <w:sz w:val="24"/>
          <w:vertAlign w:val="subscript"/>
        </w:rPr>
        <w:t>oct，2</w:t>
      </w:r>
      <w:r>
        <w:rPr>
          <w:sz w:val="24"/>
        </w:rPr>
        <w:t>（T）= L</w:t>
      </w:r>
      <w:r>
        <w:rPr>
          <w:sz w:val="24"/>
          <w:vertAlign w:val="subscript"/>
        </w:rPr>
        <w:t>oct，1</w:t>
      </w:r>
      <w:r>
        <w:rPr>
          <w:sz w:val="24"/>
        </w:rPr>
        <w:t>（T）-（TL</w:t>
      </w:r>
      <w:r>
        <w:rPr>
          <w:sz w:val="24"/>
          <w:vertAlign w:val="subscript"/>
        </w:rPr>
        <w:t>oct</w:t>
      </w:r>
      <w:r>
        <w:rPr>
          <w:sz w:val="24"/>
        </w:rPr>
        <w:t>+6）</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14:paraId="0642E7BC">
      <w:pPr>
        <w:snapToGrid w:val="0"/>
        <w:spacing w:before="0" w:beforeLines="0" w:line="360" w:lineRule="auto"/>
        <w:ind w:firstLine="480"/>
        <w:rPr>
          <w:sz w:val="24"/>
        </w:rPr>
      </w:pPr>
      <w:r>
        <w:rPr>
          <w:sz w:val="24"/>
        </w:rPr>
        <w:t>式中：TL</w:t>
      </w:r>
      <w:r>
        <w:rPr>
          <w:sz w:val="24"/>
          <w:vertAlign w:val="subscript"/>
        </w:rPr>
        <w:t xml:space="preserve">oct </w:t>
      </w:r>
      <w:r>
        <w:rPr>
          <w:sz w:val="24"/>
        </w:rPr>
        <w:t>— 墙体（等围护结构）的隔声量，dB。</w:t>
      </w:r>
    </w:p>
    <w:p w14:paraId="4FC0D676">
      <w:pPr>
        <w:snapToGrid w:val="0"/>
        <w:spacing w:before="0" w:beforeLines="0" w:line="360" w:lineRule="auto"/>
        <w:rPr>
          <w:sz w:val="24"/>
        </w:rPr>
      </w:pPr>
      <w:bookmarkStart w:id="383" w:name="_Toc151285427"/>
      <w:bookmarkStart w:id="384" w:name="_Toc150834790"/>
      <w:bookmarkStart w:id="385" w:name="_Toc252732933"/>
      <w:bookmarkStart w:id="386" w:name="_Toc192304624"/>
      <w:bookmarkStart w:id="387" w:name="_Toc168885905"/>
      <w:bookmarkStart w:id="388" w:name="_Toc167703743"/>
      <w:bookmarkStart w:id="389" w:name="_Toc253726841"/>
      <w:bookmarkStart w:id="390" w:name="_Toc290042803"/>
      <w:bookmarkStart w:id="391" w:name="_Toc155318300"/>
      <w:bookmarkStart w:id="392" w:name="_Toc151879058"/>
      <w:bookmarkStart w:id="393" w:name="_Toc252399049"/>
      <w:bookmarkStart w:id="394" w:name="_Toc291061104"/>
      <w:bookmarkStart w:id="395" w:name="_Toc150488212"/>
      <w:bookmarkStart w:id="396" w:name="_Toc212797946"/>
      <w:bookmarkStart w:id="397" w:name="_Toc167621039"/>
      <w:bookmarkStart w:id="398" w:name="_Toc252446916"/>
      <w:bookmarkStart w:id="399" w:name="_Toc291061017"/>
      <w:bookmarkStart w:id="400" w:name="_Toc151170324"/>
      <w:bookmarkStart w:id="401" w:name="_Toc251848114"/>
      <w:bookmarkStart w:id="402" w:name="_Toc209835020"/>
      <w:bookmarkStart w:id="403" w:name="_Toc167690976"/>
      <w:bookmarkStart w:id="404" w:name="_Toc155600494"/>
      <w:bookmarkStart w:id="405" w:name="_Toc209926107"/>
      <w:bookmarkStart w:id="406" w:name="_Toc166557717"/>
      <w:bookmarkStart w:id="407" w:name="_Toc150741595"/>
      <w:bookmarkStart w:id="408" w:name="_Toc155851918"/>
      <w:bookmarkStart w:id="409" w:name="_Toc213486790"/>
      <w:bookmarkStart w:id="410" w:name="_Toc150433202"/>
      <w:bookmarkStart w:id="411" w:name="_Toc151284882"/>
      <w:bookmarkStart w:id="412" w:name="_Toc167585348"/>
      <w:bookmarkStart w:id="413" w:name="_Toc252450899"/>
      <w:bookmarkStart w:id="414" w:name="_Toc253667982"/>
      <w:bookmarkStart w:id="415" w:name="_Toc251874932"/>
      <w:bookmarkStart w:id="416" w:name="_Toc252138169"/>
      <w:bookmarkStart w:id="417" w:name="_Toc173116627"/>
      <w:bookmarkStart w:id="418" w:name="_Toc168883585"/>
      <w:r>
        <w:rPr>
          <w:sz w:val="24"/>
        </w:rPr>
        <w:t>⑤等效室外声级</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14:paraId="33F04B6E">
      <w:pPr>
        <w:snapToGrid w:val="0"/>
        <w:spacing w:before="0" w:beforeLines="0" w:line="360" w:lineRule="auto"/>
        <w:ind w:firstLine="480" w:firstLineChars="200"/>
        <w:rPr>
          <w:sz w:val="24"/>
        </w:rPr>
      </w:pPr>
      <w:r>
        <w:rPr>
          <w:sz w:val="24"/>
        </w:rPr>
        <w:t>将室外声级L</w:t>
      </w:r>
      <w:r>
        <w:rPr>
          <w:sz w:val="24"/>
          <w:vertAlign w:val="subscript"/>
        </w:rPr>
        <w:t>oct，2</w:t>
      </w:r>
      <w:r>
        <w:rPr>
          <w:sz w:val="24"/>
        </w:rPr>
        <w:t>（T）和透声面积换算成等效的室外声源，计算出等效声源的声功率级L</w:t>
      </w:r>
      <w:r>
        <w:rPr>
          <w:sz w:val="24"/>
          <w:vertAlign w:val="subscript"/>
        </w:rPr>
        <w:t>woct</w:t>
      </w:r>
      <w:r>
        <w:rPr>
          <w:sz w:val="24"/>
        </w:rPr>
        <w:t>。</w:t>
      </w:r>
    </w:p>
    <w:p w14:paraId="248A7748">
      <w:pPr>
        <w:snapToGrid w:val="0"/>
        <w:spacing w:before="0" w:beforeLines="0" w:line="360" w:lineRule="auto"/>
        <w:jc w:val="center"/>
        <w:rPr>
          <w:sz w:val="24"/>
        </w:rPr>
      </w:pPr>
      <w:bookmarkStart w:id="419" w:name="_Toc155600495"/>
      <w:bookmarkStart w:id="420" w:name="_Toc291061018"/>
      <w:bookmarkStart w:id="421" w:name="_Toc212797947"/>
      <w:bookmarkStart w:id="422" w:name="_Toc150834791"/>
      <w:bookmarkStart w:id="423" w:name="_Toc192304625"/>
      <w:bookmarkStart w:id="424" w:name="_Toc167690977"/>
      <w:bookmarkStart w:id="425" w:name="_Toc209835021"/>
      <w:bookmarkStart w:id="426" w:name="_Toc290042804"/>
      <w:bookmarkStart w:id="427" w:name="_Toc167585349"/>
      <w:bookmarkStart w:id="428" w:name="_Toc151284883"/>
      <w:bookmarkStart w:id="429" w:name="_Toc168885906"/>
      <w:bookmarkStart w:id="430" w:name="_Toc166557718"/>
      <w:bookmarkStart w:id="431" w:name="_Toc150433203"/>
      <w:bookmarkStart w:id="432" w:name="_Toc209926108"/>
      <w:bookmarkStart w:id="433" w:name="_Toc167621040"/>
      <w:bookmarkStart w:id="434" w:name="_Toc155318301"/>
      <w:bookmarkStart w:id="435" w:name="_Toc253667983"/>
      <w:bookmarkStart w:id="436" w:name="_Toc151285428"/>
      <w:bookmarkStart w:id="437" w:name="_Toc251848115"/>
      <w:bookmarkStart w:id="438" w:name="_Toc155851919"/>
      <w:bookmarkStart w:id="439" w:name="_Toc252399050"/>
      <w:bookmarkStart w:id="440" w:name="_Toc252138170"/>
      <w:bookmarkStart w:id="441" w:name="_Toc151879059"/>
      <w:bookmarkStart w:id="442" w:name="_Toc167703744"/>
      <w:bookmarkStart w:id="443" w:name="_Toc253726842"/>
      <w:bookmarkStart w:id="444" w:name="_Toc151170325"/>
      <w:bookmarkStart w:id="445" w:name="_Toc252446917"/>
      <w:bookmarkStart w:id="446" w:name="_Toc213486791"/>
      <w:bookmarkStart w:id="447" w:name="_Toc291061105"/>
      <w:bookmarkStart w:id="448" w:name="_Toc173116628"/>
      <w:bookmarkStart w:id="449" w:name="_Toc168883586"/>
      <w:bookmarkStart w:id="450" w:name="_Toc251874933"/>
      <w:bookmarkStart w:id="451" w:name="_Toc252732934"/>
      <w:bookmarkStart w:id="452" w:name="_Toc150741596"/>
      <w:bookmarkStart w:id="453" w:name="_Toc252450900"/>
      <w:bookmarkStart w:id="454" w:name="_Toc150488213"/>
      <w:r>
        <w:rPr>
          <w:sz w:val="24"/>
        </w:rPr>
        <w:t>L</w:t>
      </w:r>
      <w:r>
        <w:rPr>
          <w:sz w:val="24"/>
          <w:vertAlign w:val="subscript"/>
        </w:rPr>
        <w:t>woct</w:t>
      </w:r>
      <w:r>
        <w:rPr>
          <w:sz w:val="24"/>
        </w:rPr>
        <w:t>= L</w:t>
      </w:r>
      <w:r>
        <w:rPr>
          <w:sz w:val="24"/>
          <w:vertAlign w:val="subscript"/>
        </w:rPr>
        <w:t>oct</w:t>
      </w:r>
      <w:r>
        <w:rPr>
          <w:sz w:val="24"/>
          <w:vertAlign w:val="subscript"/>
          <w:lang w:val="en-GB"/>
        </w:rPr>
        <w:t>，</w:t>
      </w:r>
      <w:r>
        <w:rPr>
          <w:sz w:val="24"/>
          <w:vertAlign w:val="subscript"/>
        </w:rPr>
        <w:t>2</w:t>
      </w:r>
      <w:r>
        <w:rPr>
          <w:sz w:val="24"/>
          <w:lang w:val="en-GB"/>
        </w:rPr>
        <w:t>（</w:t>
      </w:r>
      <w:r>
        <w:rPr>
          <w:sz w:val="24"/>
        </w:rPr>
        <w:t>T</w:t>
      </w:r>
      <w:r>
        <w:rPr>
          <w:sz w:val="24"/>
          <w:lang w:val="en-GB"/>
        </w:rPr>
        <w:t>）</w:t>
      </w:r>
      <w:r>
        <w:rPr>
          <w:sz w:val="24"/>
        </w:rPr>
        <w:t>+10 lg</w:t>
      </w:r>
      <w:r>
        <w:rPr>
          <w:sz w:val="24"/>
          <w:lang w:val="en-GB"/>
        </w:rPr>
        <w:t>（</w:t>
      </w:r>
      <w:r>
        <w:rPr>
          <w:sz w:val="24"/>
        </w:rPr>
        <w:t>S</w:t>
      </w:r>
      <w:r>
        <w:rPr>
          <w:sz w:val="24"/>
          <w:lang w:val="en-GB"/>
        </w:rPr>
        <w:t>）</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p>
    <w:p w14:paraId="6F0EC119">
      <w:pPr>
        <w:snapToGrid w:val="0"/>
        <w:spacing w:before="0" w:beforeLines="0" w:line="360" w:lineRule="auto"/>
        <w:ind w:firstLine="480" w:firstLineChars="200"/>
        <w:rPr>
          <w:sz w:val="24"/>
        </w:rPr>
      </w:pPr>
      <w:r>
        <w:rPr>
          <w:sz w:val="24"/>
        </w:rPr>
        <w:t>式中：S—透声面积，m</w:t>
      </w:r>
      <w:r>
        <w:rPr>
          <w:sz w:val="24"/>
          <w:vertAlign w:val="superscript"/>
        </w:rPr>
        <w:t>2</w:t>
      </w:r>
      <w:r>
        <w:rPr>
          <w:sz w:val="24"/>
        </w:rPr>
        <w:t>。</w:t>
      </w:r>
    </w:p>
    <w:p w14:paraId="2412C1E9">
      <w:pPr>
        <w:snapToGrid w:val="0"/>
        <w:spacing w:before="0" w:beforeLines="0" w:line="360" w:lineRule="auto"/>
        <w:rPr>
          <w:sz w:val="24"/>
        </w:rPr>
      </w:pPr>
      <w:bookmarkStart w:id="455" w:name="_Toc167703745"/>
      <w:bookmarkStart w:id="456" w:name="_Toc168883587"/>
      <w:bookmarkStart w:id="457" w:name="_Toc290042805"/>
      <w:bookmarkStart w:id="458" w:name="_Toc209835022"/>
      <w:bookmarkStart w:id="459" w:name="_Toc166557719"/>
      <w:bookmarkStart w:id="460" w:name="_Toc151284884"/>
      <w:bookmarkStart w:id="461" w:name="_Toc151879060"/>
      <w:bookmarkStart w:id="462" w:name="_Toc150433204"/>
      <w:bookmarkStart w:id="463" w:name="_Toc291061106"/>
      <w:bookmarkStart w:id="464" w:name="_Toc253726843"/>
      <w:bookmarkStart w:id="465" w:name="_Toc251848116"/>
      <w:bookmarkStart w:id="466" w:name="_Toc151285429"/>
      <w:bookmarkStart w:id="467" w:name="_Toc150488214"/>
      <w:bookmarkStart w:id="468" w:name="_Toc155600496"/>
      <w:bookmarkStart w:id="469" w:name="_Toc167621041"/>
      <w:bookmarkStart w:id="470" w:name="_Toc150834792"/>
      <w:bookmarkStart w:id="471" w:name="_Toc155851920"/>
      <w:bookmarkStart w:id="472" w:name="_Toc167690978"/>
      <w:bookmarkStart w:id="473" w:name="_Toc155318302"/>
      <w:bookmarkStart w:id="474" w:name="_Toc192304626"/>
      <w:bookmarkStart w:id="475" w:name="_Toc252732935"/>
      <w:bookmarkStart w:id="476" w:name="_Toc252399051"/>
      <w:bookmarkStart w:id="477" w:name="_Toc151170326"/>
      <w:bookmarkStart w:id="478" w:name="_Toc213486792"/>
      <w:bookmarkStart w:id="479" w:name="_Toc212797948"/>
      <w:bookmarkStart w:id="480" w:name="_Toc168885907"/>
      <w:bookmarkStart w:id="481" w:name="_Toc173116629"/>
      <w:bookmarkStart w:id="482" w:name="_Toc252450901"/>
      <w:bookmarkStart w:id="483" w:name="_Toc252138171"/>
      <w:bookmarkStart w:id="484" w:name="_Toc253667984"/>
      <w:bookmarkStart w:id="485" w:name="_Toc209926109"/>
      <w:bookmarkStart w:id="486" w:name="_Toc167585350"/>
      <w:bookmarkStart w:id="487" w:name="_Toc252446918"/>
      <w:bookmarkStart w:id="488" w:name="_Toc150741597"/>
      <w:bookmarkStart w:id="489" w:name="_Toc251874934"/>
      <w:bookmarkStart w:id="490" w:name="_Toc291061019"/>
      <w:r>
        <w:rPr>
          <w:sz w:val="24"/>
        </w:rPr>
        <w:t>⑥等效室外声源在预测点产生的声级</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p>
    <w:p w14:paraId="7EA5DBC9">
      <w:pPr>
        <w:snapToGrid w:val="0"/>
        <w:spacing w:before="0" w:beforeLines="0" w:line="360" w:lineRule="auto"/>
        <w:jc w:val="center"/>
        <w:rPr>
          <w:sz w:val="24"/>
          <w:vertAlign w:val="subscript"/>
        </w:rPr>
      </w:pPr>
      <w:r>
        <w:rPr>
          <w:sz w:val="24"/>
        </w:rPr>
        <w:t>L</w:t>
      </w:r>
      <w:r>
        <w:rPr>
          <w:sz w:val="24"/>
          <w:vertAlign w:val="subscript"/>
        </w:rPr>
        <w:t>oct</w:t>
      </w:r>
      <w:r>
        <w:rPr>
          <w:sz w:val="24"/>
        </w:rPr>
        <w:t>（r）= L</w:t>
      </w:r>
      <w:r>
        <w:rPr>
          <w:sz w:val="24"/>
          <w:vertAlign w:val="subscript"/>
        </w:rPr>
        <w:t>woct</w:t>
      </w:r>
      <w:r>
        <w:rPr>
          <w:sz w:val="24"/>
        </w:rPr>
        <w:t xml:space="preserve"> –20 lg（r）-△L</w:t>
      </w:r>
      <w:r>
        <w:rPr>
          <w:sz w:val="24"/>
          <w:vertAlign w:val="subscript"/>
        </w:rPr>
        <w:t>oc</w:t>
      </w:r>
    </w:p>
    <w:p w14:paraId="3BEDAD8C">
      <w:pPr>
        <w:snapToGrid w:val="0"/>
        <w:spacing w:before="0" w:beforeLines="0" w:line="360" w:lineRule="auto"/>
        <w:ind w:firstLine="480" w:firstLineChars="200"/>
        <w:rPr>
          <w:sz w:val="24"/>
        </w:rPr>
      </w:pPr>
      <w:r>
        <w:rPr>
          <w:sz w:val="24"/>
        </w:rPr>
        <w:t>式中：L</w:t>
      </w:r>
      <w:r>
        <w:rPr>
          <w:sz w:val="24"/>
          <w:vertAlign w:val="subscript"/>
        </w:rPr>
        <w:t>oct</w:t>
      </w:r>
      <w:r>
        <w:rPr>
          <w:sz w:val="24"/>
        </w:rPr>
        <w:t>（r）— 等效室外声源在预测点产生的声级，dB；</w:t>
      </w:r>
    </w:p>
    <w:p w14:paraId="2827B3B2">
      <w:pPr>
        <w:snapToGrid w:val="0"/>
        <w:spacing w:before="0" w:beforeLines="0" w:line="360" w:lineRule="auto"/>
        <w:rPr>
          <w:sz w:val="24"/>
        </w:rPr>
      </w:pPr>
      <w:r>
        <w:rPr>
          <w:sz w:val="24"/>
        </w:rPr>
        <w:t xml:space="preserve">          r — 预测点距声源的距离，m；</w:t>
      </w:r>
    </w:p>
    <w:p w14:paraId="1625735B">
      <w:pPr>
        <w:snapToGrid w:val="0"/>
        <w:spacing w:before="0" w:beforeLines="0" w:line="360" w:lineRule="auto"/>
        <w:ind w:firstLine="1200" w:firstLineChars="500"/>
        <w:rPr>
          <w:sz w:val="24"/>
        </w:rPr>
      </w:pPr>
      <w:r>
        <w:rPr>
          <w:sz w:val="24"/>
        </w:rPr>
        <w:t>L</w:t>
      </w:r>
      <w:r>
        <w:rPr>
          <w:sz w:val="24"/>
          <w:vertAlign w:val="subscript"/>
        </w:rPr>
        <w:t>oc</w:t>
      </w:r>
      <w:r>
        <w:rPr>
          <w:sz w:val="24"/>
        </w:rPr>
        <w:t xml:space="preserve"> — 各种因数引起的衰减量，dB。</w:t>
      </w:r>
    </w:p>
    <w:p w14:paraId="35C72CAC">
      <w:pPr>
        <w:snapToGrid w:val="0"/>
        <w:spacing w:before="0" w:beforeLines="0" w:line="360" w:lineRule="auto"/>
        <w:rPr>
          <w:sz w:val="24"/>
          <w:vertAlign w:val="subscript"/>
        </w:rPr>
      </w:pPr>
      <w:bookmarkStart w:id="491" w:name="_Toc167703746"/>
      <w:bookmarkStart w:id="492" w:name="_Toc155851921"/>
      <w:bookmarkStart w:id="493" w:name="_Toc290042806"/>
      <w:bookmarkStart w:id="494" w:name="_Toc291061107"/>
      <w:bookmarkStart w:id="495" w:name="_Toc212797949"/>
      <w:bookmarkStart w:id="496" w:name="_Toc192304627"/>
      <w:bookmarkStart w:id="497" w:name="_Toc167621042"/>
      <w:bookmarkStart w:id="498" w:name="_Toc155600497"/>
      <w:bookmarkStart w:id="499" w:name="_Toc150433205"/>
      <w:bookmarkStart w:id="500" w:name="_Toc168885908"/>
      <w:bookmarkStart w:id="501" w:name="_Toc151879061"/>
      <w:bookmarkStart w:id="502" w:name="_Toc213486793"/>
      <w:bookmarkStart w:id="503" w:name="_Toc151285430"/>
      <w:bookmarkStart w:id="504" w:name="_Toc252446919"/>
      <w:bookmarkStart w:id="505" w:name="_Toc253667985"/>
      <w:bookmarkStart w:id="506" w:name="_Toc167585351"/>
      <w:bookmarkStart w:id="507" w:name="_Toc150488215"/>
      <w:bookmarkStart w:id="508" w:name="_Toc209835023"/>
      <w:bookmarkStart w:id="509" w:name="_Toc252399052"/>
      <w:bookmarkStart w:id="510" w:name="_Toc251848117"/>
      <w:bookmarkStart w:id="511" w:name="_Toc167690979"/>
      <w:bookmarkStart w:id="512" w:name="_Toc150834793"/>
      <w:bookmarkStart w:id="513" w:name="_Toc168883588"/>
      <w:bookmarkStart w:id="514" w:name="_Toc251874935"/>
      <w:bookmarkStart w:id="515" w:name="_Toc252732936"/>
      <w:bookmarkStart w:id="516" w:name="_Toc253726844"/>
      <w:bookmarkStart w:id="517" w:name="_Toc252450902"/>
      <w:bookmarkStart w:id="518" w:name="_Toc151170327"/>
      <w:bookmarkStart w:id="519" w:name="_Toc151284885"/>
      <w:bookmarkStart w:id="520" w:name="_Toc150741598"/>
      <w:bookmarkStart w:id="521" w:name="_Toc209926110"/>
      <w:bookmarkStart w:id="522" w:name="_Toc166557720"/>
      <w:bookmarkStart w:id="523" w:name="_Toc252138172"/>
      <w:bookmarkStart w:id="524" w:name="_Toc291061020"/>
      <w:bookmarkStart w:id="525" w:name="_Toc173116630"/>
      <w:bookmarkStart w:id="526" w:name="_Toc155318303"/>
      <w:r>
        <w:rPr>
          <w:sz w:val="24"/>
        </w:rPr>
        <w:t>⑦各等效声源在预测点处产生的总等效声压级</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p>
    <w:p w14:paraId="35098852">
      <w:pPr>
        <w:snapToGrid w:val="0"/>
        <w:spacing w:before="0" w:beforeLines="0" w:line="360" w:lineRule="auto"/>
        <w:jc w:val="center"/>
        <w:rPr>
          <w:sz w:val="24"/>
        </w:rPr>
      </w:pPr>
      <w:r>
        <w:rPr>
          <w:sz w:val="24"/>
        </w:rPr>
        <w:t>L</w:t>
      </w:r>
      <w:r>
        <w:rPr>
          <w:sz w:val="24"/>
          <w:vertAlign w:val="subscript"/>
        </w:rPr>
        <w:t>eq</w:t>
      </w:r>
      <w:r>
        <w:rPr>
          <w:sz w:val="24"/>
        </w:rPr>
        <w:t>(T)=10 lg(</w:t>
      </w:r>
      <w:r>
        <w:rPr>
          <w:position w:val="-24"/>
          <w:sz w:val="24"/>
        </w:rPr>
        <w:drawing>
          <wp:inline distT="0" distB="0" distL="0" distR="0">
            <wp:extent cx="158750" cy="393700"/>
            <wp:effectExtent l="0" t="0" r="0" b="0"/>
            <wp:docPr id="127055862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558620" name="图片 16"/>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a:xfrm>
                      <a:off x="0" y="0"/>
                      <a:ext cx="158750" cy="393700"/>
                    </a:xfrm>
                    <a:prstGeom prst="rect">
                      <a:avLst/>
                    </a:prstGeom>
                    <a:noFill/>
                    <a:ln>
                      <a:noFill/>
                    </a:ln>
                  </pic:spPr>
                </pic:pic>
              </a:graphicData>
            </a:graphic>
          </wp:inline>
        </w:drawing>
      </w:r>
      <w:r>
        <w:rPr>
          <w:sz w:val="24"/>
        </w:rPr>
        <w:t>) [</w:t>
      </w:r>
      <w:r>
        <w:rPr>
          <w:position w:val="-28"/>
          <w:sz w:val="24"/>
        </w:rPr>
        <w:drawing>
          <wp:inline distT="0" distB="0" distL="0" distR="0">
            <wp:extent cx="876300" cy="431800"/>
            <wp:effectExtent l="0" t="0" r="0" b="0"/>
            <wp:docPr id="91538495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384957" name="图片 17"/>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a:xfrm>
                      <a:off x="0" y="0"/>
                      <a:ext cx="876300" cy="431800"/>
                    </a:xfrm>
                    <a:prstGeom prst="rect">
                      <a:avLst/>
                    </a:prstGeom>
                    <a:noFill/>
                    <a:ln>
                      <a:noFill/>
                    </a:ln>
                  </pic:spPr>
                </pic:pic>
              </a:graphicData>
            </a:graphic>
          </wp:inline>
        </w:drawing>
      </w:r>
      <w:r>
        <w:rPr>
          <w:sz w:val="24"/>
        </w:rPr>
        <w:t>+</w:t>
      </w:r>
      <w:r>
        <w:rPr>
          <w:position w:val="-10"/>
          <w:sz w:val="24"/>
        </w:rPr>
        <w:drawing>
          <wp:inline distT="0" distB="0" distL="0" distR="0">
            <wp:extent cx="107950" cy="222250"/>
            <wp:effectExtent l="0" t="0" r="0" b="0"/>
            <wp:docPr id="47216940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169402" name="图片 18"/>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a:xfrm>
                      <a:off x="0" y="0"/>
                      <a:ext cx="107950" cy="222250"/>
                    </a:xfrm>
                    <a:prstGeom prst="rect">
                      <a:avLst/>
                    </a:prstGeom>
                    <a:noFill/>
                    <a:ln>
                      <a:noFill/>
                    </a:ln>
                  </pic:spPr>
                </pic:pic>
              </a:graphicData>
            </a:graphic>
          </wp:inline>
        </w:drawing>
      </w:r>
      <w:r>
        <w:rPr>
          <w:position w:val="-28"/>
          <w:sz w:val="24"/>
        </w:rPr>
        <w:drawing>
          <wp:inline distT="0" distB="0" distL="0" distR="0">
            <wp:extent cx="971550" cy="431800"/>
            <wp:effectExtent l="0" t="0" r="0" b="0"/>
            <wp:docPr id="1184021057"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021057" name="图片 19"/>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a:xfrm>
                      <a:off x="0" y="0"/>
                      <a:ext cx="971550" cy="431800"/>
                    </a:xfrm>
                    <a:prstGeom prst="rect">
                      <a:avLst/>
                    </a:prstGeom>
                    <a:noFill/>
                    <a:ln>
                      <a:noFill/>
                    </a:ln>
                  </pic:spPr>
                </pic:pic>
              </a:graphicData>
            </a:graphic>
          </wp:inline>
        </w:drawing>
      </w:r>
      <w:r>
        <w:rPr>
          <w:sz w:val="24"/>
        </w:rPr>
        <w:t>]</w:t>
      </w:r>
    </w:p>
    <w:p w14:paraId="49BF705B">
      <w:pPr>
        <w:snapToGrid w:val="0"/>
        <w:spacing w:before="0" w:beforeLines="0" w:line="360" w:lineRule="auto"/>
        <w:rPr>
          <w:sz w:val="24"/>
        </w:rPr>
      </w:pPr>
      <w:r>
        <w:rPr>
          <w:sz w:val="24"/>
        </w:rPr>
        <w:t xml:space="preserve">     式中：T — 计算等效声级的时间，h；</w:t>
      </w:r>
    </w:p>
    <w:p w14:paraId="5046203C">
      <w:pPr>
        <w:snapToGrid w:val="0"/>
        <w:spacing w:before="0" w:beforeLines="0" w:line="360" w:lineRule="auto"/>
        <w:rPr>
          <w:sz w:val="24"/>
        </w:rPr>
      </w:pPr>
      <w:r>
        <w:rPr>
          <w:sz w:val="24"/>
        </w:rPr>
        <w:t xml:space="preserve">           N — 室外声源数，个；</w:t>
      </w:r>
    </w:p>
    <w:p w14:paraId="2D4F7B16">
      <w:pPr>
        <w:snapToGrid w:val="0"/>
        <w:spacing w:before="0" w:beforeLines="0" w:line="360" w:lineRule="auto"/>
        <w:rPr>
          <w:sz w:val="24"/>
        </w:rPr>
      </w:pPr>
      <w:r>
        <w:rPr>
          <w:sz w:val="24"/>
        </w:rPr>
        <w:t xml:space="preserve">           M — 等效室外声源数，个。</w:t>
      </w:r>
    </w:p>
    <w:p w14:paraId="5D31B3F0">
      <w:pPr>
        <w:pStyle w:val="5"/>
        <w:rPr>
          <w:color w:val="auto"/>
        </w:rPr>
      </w:pPr>
      <w:bookmarkStart w:id="527" w:name="_Toc107719655"/>
      <w:r>
        <w:rPr>
          <w:color w:val="auto"/>
        </w:rPr>
        <w:t>5.4.3噪声预测结果与评价</w:t>
      </w:r>
    </w:p>
    <w:bookmarkEnd w:id="527"/>
    <w:p w14:paraId="56D0D9D3">
      <w:pPr>
        <w:spacing w:before="78"/>
        <w:ind w:firstLine="480" w:firstLineChars="200"/>
        <w:rPr>
          <w:sz w:val="24"/>
        </w:rPr>
      </w:pPr>
      <w:r>
        <w:rPr>
          <w:rFonts w:hint="eastAsia"/>
          <w:sz w:val="24"/>
        </w:rPr>
        <w:t>本项目</w:t>
      </w:r>
      <w:r>
        <w:rPr>
          <w:sz w:val="24"/>
        </w:rPr>
        <w:t>1#</w:t>
      </w:r>
      <w:r>
        <w:rPr>
          <w:rFonts w:hint="eastAsia"/>
          <w:sz w:val="24"/>
        </w:rPr>
        <w:t>厂、</w:t>
      </w:r>
      <w:r>
        <w:rPr>
          <w:sz w:val="24"/>
        </w:rPr>
        <w:t>2#</w:t>
      </w:r>
      <w:r>
        <w:rPr>
          <w:rFonts w:hint="eastAsia"/>
          <w:sz w:val="24"/>
        </w:rPr>
        <w:t>厂区各噪声源对厂界四周的噪声贡献值见表</w:t>
      </w:r>
      <w:r>
        <w:rPr>
          <w:sz w:val="24"/>
        </w:rPr>
        <w:t>5.4-2</w:t>
      </w:r>
      <w:r>
        <w:rPr>
          <w:rFonts w:hint="eastAsia"/>
          <w:sz w:val="24"/>
        </w:rPr>
        <w:t>，噪声等声级线图见图5.4-1。</w:t>
      </w:r>
    </w:p>
    <w:p w14:paraId="2541531D">
      <w:pPr>
        <w:pStyle w:val="143"/>
        <w:spacing w:before="156"/>
        <w:rPr>
          <w:b/>
          <w:bCs w:val="0"/>
        </w:rPr>
      </w:pPr>
      <w:r>
        <w:rPr>
          <w:rFonts w:hint="eastAsia"/>
          <w:b/>
          <w:bCs w:val="0"/>
        </w:rPr>
        <w:t>表</w:t>
      </w:r>
      <w:r>
        <w:rPr>
          <w:b/>
          <w:bCs w:val="0"/>
        </w:rPr>
        <w:t xml:space="preserve">5.4-2  </w:t>
      </w:r>
      <w:r>
        <w:rPr>
          <w:rFonts w:hint="eastAsia"/>
          <w:b/>
          <w:bCs w:val="0"/>
        </w:rPr>
        <w:t>噪声预测结果</w:t>
      </w:r>
      <w:r>
        <w:rPr>
          <w:b/>
          <w:bCs w:val="0"/>
        </w:rPr>
        <w:t>dB</w:t>
      </w:r>
      <w:r>
        <w:rPr>
          <w:rFonts w:hint="eastAsia"/>
          <w:b/>
          <w:bCs w:val="0"/>
        </w:rPr>
        <w:t>（</w:t>
      </w:r>
      <w:r>
        <w:rPr>
          <w:b/>
          <w:bCs w:val="0"/>
        </w:rPr>
        <w:t>A</w:t>
      </w:r>
      <w:r>
        <w:rPr>
          <w:rFonts w:hint="eastAsia"/>
          <w:b/>
          <w:bCs w:val="0"/>
        </w:rPr>
        <w:t>）</w:t>
      </w:r>
    </w:p>
    <w:tbl>
      <w:tblPr>
        <w:tblStyle w:val="89"/>
        <w:tblW w:w="5124"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28" w:type="dxa"/>
          <w:bottom w:w="0" w:type="dxa"/>
          <w:right w:w="28" w:type="dxa"/>
        </w:tblCellMar>
      </w:tblPr>
      <w:tblGrid>
        <w:gridCol w:w="800"/>
        <w:gridCol w:w="820"/>
        <w:gridCol w:w="1825"/>
        <w:gridCol w:w="1813"/>
        <w:gridCol w:w="1634"/>
        <w:gridCol w:w="1626"/>
      </w:tblGrid>
      <w:tr w14:paraId="17B4452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1" w:hRule="atLeast"/>
          <w:jc w:val="center"/>
        </w:trPr>
        <w:tc>
          <w:tcPr>
            <w:tcW w:w="470" w:type="pct"/>
            <w:vMerge w:val="restart"/>
            <w:tcBorders>
              <w:tl2br w:val="nil"/>
              <w:tr2bl w:val="nil"/>
            </w:tcBorders>
            <w:vAlign w:val="center"/>
          </w:tcPr>
          <w:p w14:paraId="561E42BF">
            <w:pPr>
              <w:pStyle w:val="160"/>
            </w:pPr>
            <w:r>
              <w:rPr>
                <w:rFonts w:hint="eastAsia"/>
              </w:rPr>
              <w:t>厂区</w:t>
            </w:r>
          </w:p>
        </w:tc>
        <w:tc>
          <w:tcPr>
            <w:tcW w:w="481" w:type="pct"/>
            <w:vMerge w:val="restart"/>
            <w:tcBorders>
              <w:tl2br w:val="nil"/>
              <w:tr2bl w:val="nil"/>
            </w:tcBorders>
            <w:vAlign w:val="center"/>
          </w:tcPr>
          <w:p w14:paraId="61F3709A">
            <w:pPr>
              <w:pStyle w:val="160"/>
            </w:pPr>
            <w:r>
              <w:rPr>
                <w:rFonts w:hint="eastAsia"/>
              </w:rPr>
              <w:t>测点编号</w:t>
            </w:r>
          </w:p>
        </w:tc>
        <w:tc>
          <w:tcPr>
            <w:tcW w:w="1071" w:type="pct"/>
            <w:vMerge w:val="restart"/>
            <w:tcBorders>
              <w:tl2br w:val="nil"/>
              <w:tr2bl w:val="nil"/>
            </w:tcBorders>
            <w:vAlign w:val="center"/>
          </w:tcPr>
          <w:p w14:paraId="5333AE45">
            <w:pPr>
              <w:pStyle w:val="160"/>
            </w:pPr>
            <w:r>
              <w:rPr>
                <w:rFonts w:hint="eastAsia"/>
              </w:rPr>
              <w:t>预测值</w:t>
            </w:r>
          </w:p>
        </w:tc>
        <w:tc>
          <w:tcPr>
            <w:tcW w:w="2023" w:type="pct"/>
            <w:gridSpan w:val="2"/>
            <w:tcBorders>
              <w:tl2br w:val="nil"/>
              <w:tr2bl w:val="nil"/>
            </w:tcBorders>
            <w:vAlign w:val="center"/>
          </w:tcPr>
          <w:p w14:paraId="00B15D3E">
            <w:pPr>
              <w:pStyle w:val="160"/>
            </w:pPr>
            <w:r>
              <w:rPr>
                <w:rFonts w:hint="eastAsia"/>
              </w:rPr>
              <w:t>标准值</w:t>
            </w:r>
          </w:p>
        </w:tc>
        <w:tc>
          <w:tcPr>
            <w:tcW w:w="954" w:type="pct"/>
            <w:vMerge w:val="restart"/>
            <w:tcBorders>
              <w:tl2br w:val="nil"/>
              <w:tr2bl w:val="nil"/>
            </w:tcBorders>
            <w:vAlign w:val="center"/>
          </w:tcPr>
          <w:p w14:paraId="2F52D4A3">
            <w:pPr>
              <w:pStyle w:val="160"/>
            </w:pPr>
            <w:r>
              <w:rPr>
                <w:rFonts w:hint="eastAsia"/>
              </w:rPr>
              <w:t>达标情况</w:t>
            </w:r>
          </w:p>
        </w:tc>
      </w:tr>
      <w:tr w14:paraId="5A51CDE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1" w:hRule="atLeast"/>
          <w:jc w:val="center"/>
        </w:trPr>
        <w:tc>
          <w:tcPr>
            <w:tcW w:w="470" w:type="pct"/>
            <w:vMerge w:val="continue"/>
            <w:tcBorders>
              <w:tl2br w:val="nil"/>
              <w:tr2bl w:val="nil"/>
            </w:tcBorders>
            <w:vAlign w:val="center"/>
          </w:tcPr>
          <w:p w14:paraId="79CD1F79">
            <w:pPr>
              <w:pStyle w:val="160"/>
            </w:pPr>
          </w:p>
        </w:tc>
        <w:tc>
          <w:tcPr>
            <w:tcW w:w="481" w:type="pct"/>
            <w:vMerge w:val="continue"/>
            <w:tcBorders>
              <w:tl2br w:val="nil"/>
              <w:tr2bl w:val="nil"/>
            </w:tcBorders>
            <w:vAlign w:val="center"/>
          </w:tcPr>
          <w:p w14:paraId="4D3D5FA7">
            <w:pPr>
              <w:pStyle w:val="160"/>
            </w:pPr>
          </w:p>
        </w:tc>
        <w:tc>
          <w:tcPr>
            <w:tcW w:w="1071" w:type="pct"/>
            <w:vMerge w:val="continue"/>
            <w:tcBorders>
              <w:tl2br w:val="nil"/>
              <w:tr2bl w:val="nil"/>
            </w:tcBorders>
            <w:vAlign w:val="center"/>
          </w:tcPr>
          <w:p w14:paraId="468B611C">
            <w:pPr>
              <w:pStyle w:val="160"/>
            </w:pPr>
          </w:p>
        </w:tc>
        <w:tc>
          <w:tcPr>
            <w:tcW w:w="1064" w:type="pct"/>
            <w:tcBorders>
              <w:tl2br w:val="nil"/>
              <w:tr2bl w:val="nil"/>
            </w:tcBorders>
            <w:vAlign w:val="center"/>
          </w:tcPr>
          <w:p w14:paraId="6C194809">
            <w:pPr>
              <w:pStyle w:val="160"/>
            </w:pPr>
            <w:r>
              <w:rPr>
                <w:rFonts w:hint="eastAsia"/>
              </w:rPr>
              <w:t>昼间</w:t>
            </w:r>
          </w:p>
        </w:tc>
        <w:tc>
          <w:tcPr>
            <w:tcW w:w="959" w:type="pct"/>
            <w:tcBorders>
              <w:tl2br w:val="nil"/>
              <w:tr2bl w:val="nil"/>
            </w:tcBorders>
          </w:tcPr>
          <w:p w14:paraId="20ED6B72">
            <w:pPr>
              <w:pStyle w:val="160"/>
            </w:pPr>
            <w:r>
              <w:rPr>
                <w:rFonts w:hint="eastAsia"/>
              </w:rPr>
              <w:t>夜间</w:t>
            </w:r>
          </w:p>
        </w:tc>
        <w:tc>
          <w:tcPr>
            <w:tcW w:w="954" w:type="pct"/>
            <w:vMerge w:val="continue"/>
            <w:tcBorders>
              <w:tl2br w:val="nil"/>
              <w:tr2bl w:val="nil"/>
            </w:tcBorders>
            <w:vAlign w:val="center"/>
          </w:tcPr>
          <w:p w14:paraId="4F3FB6BA">
            <w:pPr>
              <w:pStyle w:val="160"/>
            </w:pPr>
          </w:p>
        </w:tc>
      </w:tr>
      <w:tr w14:paraId="4CDC56A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1" w:hRule="atLeast"/>
          <w:jc w:val="center"/>
        </w:trPr>
        <w:tc>
          <w:tcPr>
            <w:tcW w:w="470" w:type="pct"/>
            <w:vMerge w:val="restart"/>
            <w:tcBorders>
              <w:tl2br w:val="nil"/>
              <w:tr2bl w:val="nil"/>
            </w:tcBorders>
            <w:vAlign w:val="center"/>
          </w:tcPr>
          <w:p w14:paraId="0F54993E">
            <w:pPr>
              <w:pStyle w:val="160"/>
            </w:pPr>
            <w:r>
              <w:t>1#</w:t>
            </w:r>
          </w:p>
        </w:tc>
        <w:tc>
          <w:tcPr>
            <w:tcW w:w="481" w:type="pct"/>
            <w:tcBorders>
              <w:tl2br w:val="nil"/>
              <w:tr2bl w:val="nil"/>
            </w:tcBorders>
            <w:vAlign w:val="center"/>
          </w:tcPr>
          <w:p w14:paraId="3B87AB34">
            <w:pPr>
              <w:pStyle w:val="160"/>
            </w:pPr>
            <w:r>
              <w:rPr>
                <w:rFonts w:hint="eastAsia"/>
              </w:rPr>
              <w:t>东厂界</w:t>
            </w:r>
          </w:p>
        </w:tc>
        <w:tc>
          <w:tcPr>
            <w:tcW w:w="1071" w:type="pct"/>
            <w:tcBorders>
              <w:tl2br w:val="nil"/>
              <w:tr2bl w:val="nil"/>
            </w:tcBorders>
            <w:vAlign w:val="center"/>
          </w:tcPr>
          <w:p w14:paraId="5EBFAEE6">
            <w:pPr>
              <w:pStyle w:val="160"/>
            </w:pPr>
            <w:r>
              <w:rPr>
                <w:rFonts w:hint="eastAsia"/>
              </w:rPr>
              <w:t>37.3</w:t>
            </w:r>
          </w:p>
        </w:tc>
        <w:tc>
          <w:tcPr>
            <w:tcW w:w="1064" w:type="pct"/>
            <w:tcBorders>
              <w:tl2br w:val="nil"/>
              <w:tr2bl w:val="nil"/>
            </w:tcBorders>
            <w:vAlign w:val="center"/>
          </w:tcPr>
          <w:p w14:paraId="7AA5928E">
            <w:pPr>
              <w:pStyle w:val="160"/>
            </w:pPr>
            <w:r>
              <w:t>55</w:t>
            </w:r>
          </w:p>
        </w:tc>
        <w:tc>
          <w:tcPr>
            <w:tcW w:w="959" w:type="pct"/>
            <w:tcBorders>
              <w:tl2br w:val="nil"/>
              <w:tr2bl w:val="nil"/>
            </w:tcBorders>
          </w:tcPr>
          <w:p w14:paraId="3CF44C18">
            <w:pPr>
              <w:pStyle w:val="160"/>
            </w:pPr>
            <w:r>
              <w:t>45</w:t>
            </w:r>
          </w:p>
        </w:tc>
        <w:tc>
          <w:tcPr>
            <w:tcW w:w="954" w:type="pct"/>
            <w:tcBorders>
              <w:tl2br w:val="nil"/>
              <w:tr2bl w:val="nil"/>
            </w:tcBorders>
            <w:vAlign w:val="center"/>
          </w:tcPr>
          <w:p w14:paraId="03180DF6">
            <w:pPr>
              <w:pStyle w:val="160"/>
            </w:pPr>
            <w:r>
              <w:rPr>
                <w:rFonts w:hint="eastAsia"/>
              </w:rPr>
              <w:t>达标</w:t>
            </w:r>
          </w:p>
        </w:tc>
      </w:tr>
      <w:tr w14:paraId="1CE6A24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1" w:hRule="atLeast"/>
          <w:jc w:val="center"/>
        </w:trPr>
        <w:tc>
          <w:tcPr>
            <w:tcW w:w="470" w:type="pct"/>
            <w:vMerge w:val="continue"/>
            <w:tcBorders>
              <w:tl2br w:val="nil"/>
              <w:tr2bl w:val="nil"/>
            </w:tcBorders>
            <w:vAlign w:val="center"/>
          </w:tcPr>
          <w:p w14:paraId="3BF53F07">
            <w:pPr>
              <w:pStyle w:val="160"/>
            </w:pPr>
          </w:p>
        </w:tc>
        <w:tc>
          <w:tcPr>
            <w:tcW w:w="481" w:type="pct"/>
            <w:tcBorders>
              <w:tl2br w:val="nil"/>
              <w:tr2bl w:val="nil"/>
            </w:tcBorders>
            <w:vAlign w:val="center"/>
          </w:tcPr>
          <w:p w14:paraId="4A7FD1C6">
            <w:pPr>
              <w:pStyle w:val="160"/>
            </w:pPr>
            <w:r>
              <w:rPr>
                <w:rFonts w:hint="eastAsia"/>
              </w:rPr>
              <w:t>南厂界</w:t>
            </w:r>
          </w:p>
        </w:tc>
        <w:tc>
          <w:tcPr>
            <w:tcW w:w="1071" w:type="pct"/>
            <w:tcBorders>
              <w:tl2br w:val="nil"/>
              <w:tr2bl w:val="nil"/>
            </w:tcBorders>
            <w:vAlign w:val="center"/>
          </w:tcPr>
          <w:p w14:paraId="249F77CA">
            <w:pPr>
              <w:pStyle w:val="160"/>
            </w:pPr>
            <w:r>
              <w:rPr>
                <w:rFonts w:hint="eastAsia"/>
              </w:rPr>
              <w:t>38.4</w:t>
            </w:r>
          </w:p>
        </w:tc>
        <w:tc>
          <w:tcPr>
            <w:tcW w:w="1064" w:type="pct"/>
            <w:tcBorders>
              <w:tl2br w:val="nil"/>
              <w:tr2bl w:val="nil"/>
            </w:tcBorders>
            <w:vAlign w:val="center"/>
          </w:tcPr>
          <w:p w14:paraId="14C35894">
            <w:pPr>
              <w:pStyle w:val="160"/>
            </w:pPr>
            <w:r>
              <w:t>55</w:t>
            </w:r>
          </w:p>
        </w:tc>
        <w:tc>
          <w:tcPr>
            <w:tcW w:w="959" w:type="pct"/>
            <w:tcBorders>
              <w:tl2br w:val="nil"/>
              <w:tr2bl w:val="nil"/>
            </w:tcBorders>
          </w:tcPr>
          <w:p w14:paraId="2529D13A">
            <w:pPr>
              <w:pStyle w:val="160"/>
            </w:pPr>
            <w:r>
              <w:t>45</w:t>
            </w:r>
          </w:p>
        </w:tc>
        <w:tc>
          <w:tcPr>
            <w:tcW w:w="954" w:type="pct"/>
            <w:tcBorders>
              <w:tl2br w:val="nil"/>
              <w:tr2bl w:val="nil"/>
            </w:tcBorders>
            <w:vAlign w:val="center"/>
          </w:tcPr>
          <w:p w14:paraId="504C5F08">
            <w:pPr>
              <w:pStyle w:val="160"/>
            </w:pPr>
            <w:r>
              <w:rPr>
                <w:rFonts w:hint="eastAsia"/>
              </w:rPr>
              <w:t>达标</w:t>
            </w:r>
          </w:p>
        </w:tc>
      </w:tr>
      <w:tr w14:paraId="41D5C11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1" w:hRule="atLeast"/>
          <w:jc w:val="center"/>
        </w:trPr>
        <w:tc>
          <w:tcPr>
            <w:tcW w:w="470" w:type="pct"/>
            <w:vMerge w:val="continue"/>
            <w:tcBorders>
              <w:tl2br w:val="nil"/>
              <w:tr2bl w:val="nil"/>
            </w:tcBorders>
            <w:vAlign w:val="center"/>
          </w:tcPr>
          <w:p w14:paraId="56EB641D">
            <w:pPr>
              <w:pStyle w:val="160"/>
            </w:pPr>
          </w:p>
        </w:tc>
        <w:tc>
          <w:tcPr>
            <w:tcW w:w="481" w:type="pct"/>
            <w:tcBorders>
              <w:tl2br w:val="nil"/>
              <w:tr2bl w:val="nil"/>
            </w:tcBorders>
            <w:vAlign w:val="center"/>
          </w:tcPr>
          <w:p w14:paraId="1F6C97D6">
            <w:pPr>
              <w:pStyle w:val="160"/>
            </w:pPr>
            <w:r>
              <w:rPr>
                <w:rFonts w:hint="eastAsia"/>
              </w:rPr>
              <w:t>西厂界</w:t>
            </w:r>
          </w:p>
        </w:tc>
        <w:tc>
          <w:tcPr>
            <w:tcW w:w="1071" w:type="pct"/>
            <w:tcBorders>
              <w:tl2br w:val="nil"/>
              <w:tr2bl w:val="nil"/>
            </w:tcBorders>
            <w:vAlign w:val="center"/>
          </w:tcPr>
          <w:p w14:paraId="2409A46A">
            <w:pPr>
              <w:pStyle w:val="160"/>
            </w:pPr>
            <w:r>
              <w:rPr>
                <w:rFonts w:hint="eastAsia"/>
              </w:rPr>
              <w:t>35.1</w:t>
            </w:r>
          </w:p>
        </w:tc>
        <w:tc>
          <w:tcPr>
            <w:tcW w:w="1064" w:type="pct"/>
            <w:tcBorders>
              <w:tl2br w:val="nil"/>
              <w:tr2bl w:val="nil"/>
            </w:tcBorders>
            <w:vAlign w:val="center"/>
          </w:tcPr>
          <w:p w14:paraId="20F54EC7">
            <w:pPr>
              <w:pStyle w:val="160"/>
            </w:pPr>
            <w:r>
              <w:t>55</w:t>
            </w:r>
          </w:p>
        </w:tc>
        <w:tc>
          <w:tcPr>
            <w:tcW w:w="959" w:type="pct"/>
            <w:tcBorders>
              <w:tl2br w:val="nil"/>
              <w:tr2bl w:val="nil"/>
            </w:tcBorders>
          </w:tcPr>
          <w:p w14:paraId="7DDBDAB7">
            <w:pPr>
              <w:pStyle w:val="160"/>
            </w:pPr>
            <w:r>
              <w:t>45</w:t>
            </w:r>
          </w:p>
        </w:tc>
        <w:tc>
          <w:tcPr>
            <w:tcW w:w="954" w:type="pct"/>
            <w:tcBorders>
              <w:tl2br w:val="nil"/>
              <w:tr2bl w:val="nil"/>
            </w:tcBorders>
            <w:vAlign w:val="center"/>
          </w:tcPr>
          <w:p w14:paraId="7662A80C">
            <w:pPr>
              <w:pStyle w:val="160"/>
            </w:pPr>
            <w:r>
              <w:rPr>
                <w:rFonts w:hint="eastAsia"/>
              </w:rPr>
              <w:t>达标</w:t>
            </w:r>
          </w:p>
        </w:tc>
      </w:tr>
      <w:tr w14:paraId="543C2D5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1" w:hRule="atLeast"/>
          <w:jc w:val="center"/>
        </w:trPr>
        <w:tc>
          <w:tcPr>
            <w:tcW w:w="470" w:type="pct"/>
            <w:vMerge w:val="continue"/>
            <w:tcBorders>
              <w:tl2br w:val="nil"/>
              <w:tr2bl w:val="nil"/>
            </w:tcBorders>
            <w:vAlign w:val="center"/>
          </w:tcPr>
          <w:p w14:paraId="405D0BAF">
            <w:pPr>
              <w:pStyle w:val="160"/>
            </w:pPr>
          </w:p>
        </w:tc>
        <w:tc>
          <w:tcPr>
            <w:tcW w:w="481" w:type="pct"/>
            <w:tcBorders>
              <w:tl2br w:val="nil"/>
              <w:tr2bl w:val="nil"/>
            </w:tcBorders>
            <w:vAlign w:val="center"/>
          </w:tcPr>
          <w:p w14:paraId="4C96163C">
            <w:pPr>
              <w:pStyle w:val="160"/>
            </w:pPr>
            <w:r>
              <w:rPr>
                <w:rFonts w:hint="eastAsia"/>
              </w:rPr>
              <w:t>北厂界</w:t>
            </w:r>
          </w:p>
        </w:tc>
        <w:tc>
          <w:tcPr>
            <w:tcW w:w="1071" w:type="pct"/>
            <w:tcBorders>
              <w:tl2br w:val="nil"/>
              <w:tr2bl w:val="nil"/>
            </w:tcBorders>
            <w:vAlign w:val="center"/>
          </w:tcPr>
          <w:p w14:paraId="34DFD796">
            <w:pPr>
              <w:pStyle w:val="160"/>
            </w:pPr>
            <w:r>
              <w:rPr>
                <w:rFonts w:hint="eastAsia"/>
              </w:rPr>
              <w:t>1</w:t>
            </w:r>
            <w:r>
              <w:t>6.2</w:t>
            </w:r>
          </w:p>
        </w:tc>
        <w:tc>
          <w:tcPr>
            <w:tcW w:w="1064" w:type="pct"/>
            <w:tcBorders>
              <w:tl2br w:val="nil"/>
              <w:tr2bl w:val="nil"/>
            </w:tcBorders>
            <w:vAlign w:val="center"/>
          </w:tcPr>
          <w:p w14:paraId="0A5E5C87">
            <w:pPr>
              <w:pStyle w:val="160"/>
            </w:pPr>
            <w:r>
              <w:t>55</w:t>
            </w:r>
          </w:p>
        </w:tc>
        <w:tc>
          <w:tcPr>
            <w:tcW w:w="959" w:type="pct"/>
            <w:tcBorders>
              <w:tl2br w:val="nil"/>
              <w:tr2bl w:val="nil"/>
            </w:tcBorders>
          </w:tcPr>
          <w:p w14:paraId="61106203">
            <w:pPr>
              <w:pStyle w:val="160"/>
            </w:pPr>
            <w:r>
              <w:t>45</w:t>
            </w:r>
          </w:p>
        </w:tc>
        <w:tc>
          <w:tcPr>
            <w:tcW w:w="954" w:type="pct"/>
            <w:tcBorders>
              <w:tl2br w:val="nil"/>
              <w:tr2bl w:val="nil"/>
            </w:tcBorders>
            <w:vAlign w:val="center"/>
          </w:tcPr>
          <w:p w14:paraId="4C8CE50E">
            <w:pPr>
              <w:pStyle w:val="160"/>
            </w:pPr>
            <w:r>
              <w:rPr>
                <w:rFonts w:hint="eastAsia"/>
              </w:rPr>
              <w:t>达标</w:t>
            </w:r>
          </w:p>
        </w:tc>
      </w:tr>
      <w:tr w14:paraId="2F2C5F2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1" w:hRule="atLeast"/>
          <w:jc w:val="center"/>
        </w:trPr>
        <w:tc>
          <w:tcPr>
            <w:tcW w:w="470" w:type="pct"/>
            <w:vMerge w:val="restart"/>
            <w:tcBorders>
              <w:tl2br w:val="nil"/>
              <w:tr2bl w:val="nil"/>
            </w:tcBorders>
            <w:vAlign w:val="center"/>
          </w:tcPr>
          <w:p w14:paraId="23A53C7A">
            <w:pPr>
              <w:pStyle w:val="160"/>
            </w:pPr>
            <w:r>
              <w:t>2#</w:t>
            </w:r>
          </w:p>
        </w:tc>
        <w:tc>
          <w:tcPr>
            <w:tcW w:w="481" w:type="pct"/>
            <w:tcBorders>
              <w:tl2br w:val="nil"/>
              <w:tr2bl w:val="nil"/>
            </w:tcBorders>
            <w:vAlign w:val="center"/>
          </w:tcPr>
          <w:p w14:paraId="150DD92F">
            <w:pPr>
              <w:pStyle w:val="160"/>
            </w:pPr>
            <w:r>
              <w:rPr>
                <w:rFonts w:hint="eastAsia"/>
              </w:rPr>
              <w:t>东厂界</w:t>
            </w:r>
          </w:p>
        </w:tc>
        <w:tc>
          <w:tcPr>
            <w:tcW w:w="1071" w:type="pct"/>
            <w:tcBorders>
              <w:tl2br w:val="nil"/>
              <w:tr2bl w:val="nil"/>
            </w:tcBorders>
            <w:vAlign w:val="center"/>
          </w:tcPr>
          <w:p w14:paraId="4F5190C7">
            <w:pPr>
              <w:pStyle w:val="160"/>
            </w:pPr>
            <w:r>
              <w:rPr>
                <w:rFonts w:hint="eastAsia"/>
              </w:rPr>
              <w:t>37.1</w:t>
            </w:r>
          </w:p>
        </w:tc>
        <w:tc>
          <w:tcPr>
            <w:tcW w:w="1064" w:type="pct"/>
            <w:tcBorders>
              <w:tl2br w:val="nil"/>
              <w:tr2bl w:val="nil"/>
            </w:tcBorders>
            <w:vAlign w:val="center"/>
          </w:tcPr>
          <w:p w14:paraId="072BFEAF">
            <w:pPr>
              <w:pStyle w:val="160"/>
            </w:pPr>
            <w:r>
              <w:t>55</w:t>
            </w:r>
          </w:p>
        </w:tc>
        <w:tc>
          <w:tcPr>
            <w:tcW w:w="959" w:type="pct"/>
            <w:tcBorders>
              <w:tl2br w:val="nil"/>
              <w:tr2bl w:val="nil"/>
            </w:tcBorders>
          </w:tcPr>
          <w:p w14:paraId="3DD631A0">
            <w:pPr>
              <w:pStyle w:val="160"/>
            </w:pPr>
            <w:r>
              <w:t>45</w:t>
            </w:r>
          </w:p>
        </w:tc>
        <w:tc>
          <w:tcPr>
            <w:tcW w:w="954" w:type="pct"/>
            <w:tcBorders>
              <w:tl2br w:val="nil"/>
              <w:tr2bl w:val="nil"/>
            </w:tcBorders>
            <w:vAlign w:val="center"/>
          </w:tcPr>
          <w:p w14:paraId="5D3AADDA">
            <w:pPr>
              <w:pStyle w:val="160"/>
            </w:pPr>
            <w:r>
              <w:rPr>
                <w:rFonts w:hint="eastAsia"/>
              </w:rPr>
              <w:t>达标</w:t>
            </w:r>
          </w:p>
        </w:tc>
      </w:tr>
      <w:tr w14:paraId="4855DCE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1" w:hRule="atLeast"/>
          <w:jc w:val="center"/>
        </w:trPr>
        <w:tc>
          <w:tcPr>
            <w:tcW w:w="470" w:type="pct"/>
            <w:vMerge w:val="continue"/>
            <w:tcBorders>
              <w:tl2br w:val="nil"/>
              <w:tr2bl w:val="nil"/>
            </w:tcBorders>
            <w:vAlign w:val="center"/>
          </w:tcPr>
          <w:p w14:paraId="544B6F00">
            <w:pPr>
              <w:pStyle w:val="160"/>
            </w:pPr>
          </w:p>
        </w:tc>
        <w:tc>
          <w:tcPr>
            <w:tcW w:w="481" w:type="pct"/>
            <w:tcBorders>
              <w:tl2br w:val="nil"/>
              <w:tr2bl w:val="nil"/>
            </w:tcBorders>
            <w:vAlign w:val="center"/>
          </w:tcPr>
          <w:p w14:paraId="6CEE3B4C">
            <w:pPr>
              <w:pStyle w:val="160"/>
            </w:pPr>
            <w:r>
              <w:rPr>
                <w:rFonts w:hint="eastAsia"/>
              </w:rPr>
              <w:t>南厂界</w:t>
            </w:r>
          </w:p>
        </w:tc>
        <w:tc>
          <w:tcPr>
            <w:tcW w:w="1071" w:type="pct"/>
            <w:tcBorders>
              <w:tl2br w:val="nil"/>
              <w:tr2bl w:val="nil"/>
            </w:tcBorders>
            <w:vAlign w:val="center"/>
          </w:tcPr>
          <w:p w14:paraId="0A65CCD2">
            <w:pPr>
              <w:pStyle w:val="160"/>
            </w:pPr>
            <w:r>
              <w:rPr>
                <w:rFonts w:hint="eastAsia"/>
              </w:rPr>
              <w:t>35.0</w:t>
            </w:r>
          </w:p>
        </w:tc>
        <w:tc>
          <w:tcPr>
            <w:tcW w:w="1064" w:type="pct"/>
            <w:tcBorders>
              <w:tl2br w:val="nil"/>
              <w:tr2bl w:val="nil"/>
            </w:tcBorders>
            <w:vAlign w:val="center"/>
          </w:tcPr>
          <w:p w14:paraId="7E6F51A7">
            <w:pPr>
              <w:pStyle w:val="160"/>
            </w:pPr>
            <w:r>
              <w:t>55</w:t>
            </w:r>
          </w:p>
        </w:tc>
        <w:tc>
          <w:tcPr>
            <w:tcW w:w="959" w:type="pct"/>
            <w:tcBorders>
              <w:tl2br w:val="nil"/>
              <w:tr2bl w:val="nil"/>
            </w:tcBorders>
          </w:tcPr>
          <w:p w14:paraId="0F9C6ACF">
            <w:pPr>
              <w:pStyle w:val="160"/>
            </w:pPr>
            <w:r>
              <w:t>45</w:t>
            </w:r>
          </w:p>
        </w:tc>
        <w:tc>
          <w:tcPr>
            <w:tcW w:w="954" w:type="pct"/>
            <w:tcBorders>
              <w:tl2br w:val="nil"/>
              <w:tr2bl w:val="nil"/>
            </w:tcBorders>
            <w:vAlign w:val="center"/>
          </w:tcPr>
          <w:p w14:paraId="7EBA337A">
            <w:pPr>
              <w:pStyle w:val="160"/>
            </w:pPr>
            <w:r>
              <w:rPr>
                <w:rFonts w:hint="eastAsia"/>
              </w:rPr>
              <w:t>达标</w:t>
            </w:r>
          </w:p>
        </w:tc>
      </w:tr>
      <w:tr w14:paraId="6F23F6F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1" w:hRule="atLeast"/>
          <w:jc w:val="center"/>
        </w:trPr>
        <w:tc>
          <w:tcPr>
            <w:tcW w:w="470" w:type="pct"/>
            <w:vMerge w:val="continue"/>
            <w:tcBorders>
              <w:tl2br w:val="nil"/>
              <w:tr2bl w:val="nil"/>
            </w:tcBorders>
            <w:vAlign w:val="center"/>
          </w:tcPr>
          <w:p w14:paraId="2109A25B">
            <w:pPr>
              <w:pStyle w:val="160"/>
            </w:pPr>
          </w:p>
        </w:tc>
        <w:tc>
          <w:tcPr>
            <w:tcW w:w="481" w:type="pct"/>
            <w:tcBorders>
              <w:tl2br w:val="nil"/>
              <w:tr2bl w:val="nil"/>
            </w:tcBorders>
            <w:vAlign w:val="center"/>
          </w:tcPr>
          <w:p w14:paraId="09A63542">
            <w:pPr>
              <w:pStyle w:val="160"/>
            </w:pPr>
            <w:r>
              <w:rPr>
                <w:rFonts w:hint="eastAsia"/>
              </w:rPr>
              <w:t>西厂界</w:t>
            </w:r>
          </w:p>
        </w:tc>
        <w:tc>
          <w:tcPr>
            <w:tcW w:w="1071" w:type="pct"/>
            <w:tcBorders>
              <w:tl2br w:val="nil"/>
              <w:tr2bl w:val="nil"/>
            </w:tcBorders>
            <w:vAlign w:val="center"/>
          </w:tcPr>
          <w:p w14:paraId="4855E14B">
            <w:pPr>
              <w:pStyle w:val="160"/>
            </w:pPr>
            <w:r>
              <w:rPr>
                <w:rFonts w:hint="eastAsia"/>
              </w:rPr>
              <w:t>25.7</w:t>
            </w:r>
          </w:p>
        </w:tc>
        <w:tc>
          <w:tcPr>
            <w:tcW w:w="1064" w:type="pct"/>
            <w:tcBorders>
              <w:tl2br w:val="nil"/>
              <w:tr2bl w:val="nil"/>
            </w:tcBorders>
            <w:vAlign w:val="center"/>
          </w:tcPr>
          <w:p w14:paraId="21B0DC8E">
            <w:pPr>
              <w:pStyle w:val="160"/>
            </w:pPr>
            <w:r>
              <w:t>55</w:t>
            </w:r>
          </w:p>
        </w:tc>
        <w:tc>
          <w:tcPr>
            <w:tcW w:w="959" w:type="pct"/>
            <w:tcBorders>
              <w:tl2br w:val="nil"/>
              <w:tr2bl w:val="nil"/>
            </w:tcBorders>
          </w:tcPr>
          <w:p w14:paraId="1909F30E">
            <w:pPr>
              <w:pStyle w:val="160"/>
            </w:pPr>
            <w:r>
              <w:t>45</w:t>
            </w:r>
          </w:p>
        </w:tc>
        <w:tc>
          <w:tcPr>
            <w:tcW w:w="954" w:type="pct"/>
            <w:tcBorders>
              <w:tl2br w:val="nil"/>
              <w:tr2bl w:val="nil"/>
            </w:tcBorders>
            <w:vAlign w:val="center"/>
          </w:tcPr>
          <w:p w14:paraId="2DBE0DCB">
            <w:pPr>
              <w:pStyle w:val="160"/>
            </w:pPr>
            <w:r>
              <w:rPr>
                <w:rFonts w:hint="eastAsia"/>
              </w:rPr>
              <w:t>达标</w:t>
            </w:r>
          </w:p>
        </w:tc>
      </w:tr>
      <w:tr w14:paraId="7C3573A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1" w:hRule="atLeast"/>
          <w:jc w:val="center"/>
        </w:trPr>
        <w:tc>
          <w:tcPr>
            <w:tcW w:w="470" w:type="pct"/>
            <w:vMerge w:val="continue"/>
            <w:tcBorders>
              <w:tl2br w:val="nil"/>
              <w:tr2bl w:val="nil"/>
            </w:tcBorders>
            <w:vAlign w:val="center"/>
          </w:tcPr>
          <w:p w14:paraId="51C55F5B">
            <w:pPr>
              <w:pStyle w:val="160"/>
            </w:pPr>
          </w:p>
        </w:tc>
        <w:tc>
          <w:tcPr>
            <w:tcW w:w="481" w:type="pct"/>
            <w:tcBorders>
              <w:tl2br w:val="nil"/>
              <w:tr2bl w:val="nil"/>
            </w:tcBorders>
            <w:vAlign w:val="center"/>
          </w:tcPr>
          <w:p w14:paraId="1BE7FDCD">
            <w:pPr>
              <w:pStyle w:val="160"/>
            </w:pPr>
            <w:r>
              <w:rPr>
                <w:rFonts w:hint="eastAsia"/>
              </w:rPr>
              <w:t>北厂界</w:t>
            </w:r>
          </w:p>
        </w:tc>
        <w:tc>
          <w:tcPr>
            <w:tcW w:w="1071" w:type="pct"/>
            <w:tcBorders>
              <w:tl2br w:val="nil"/>
              <w:tr2bl w:val="nil"/>
            </w:tcBorders>
            <w:vAlign w:val="center"/>
          </w:tcPr>
          <w:p w14:paraId="2E006FD9">
            <w:pPr>
              <w:pStyle w:val="160"/>
            </w:pPr>
            <w:r>
              <w:rPr>
                <w:rFonts w:hint="eastAsia"/>
              </w:rPr>
              <w:t>20.4</w:t>
            </w:r>
          </w:p>
        </w:tc>
        <w:tc>
          <w:tcPr>
            <w:tcW w:w="1064" w:type="pct"/>
            <w:tcBorders>
              <w:tl2br w:val="nil"/>
              <w:tr2bl w:val="nil"/>
            </w:tcBorders>
            <w:vAlign w:val="center"/>
          </w:tcPr>
          <w:p w14:paraId="61CFB185">
            <w:pPr>
              <w:pStyle w:val="160"/>
            </w:pPr>
            <w:r>
              <w:t>55</w:t>
            </w:r>
          </w:p>
        </w:tc>
        <w:tc>
          <w:tcPr>
            <w:tcW w:w="959" w:type="pct"/>
            <w:tcBorders>
              <w:tl2br w:val="nil"/>
              <w:tr2bl w:val="nil"/>
            </w:tcBorders>
          </w:tcPr>
          <w:p w14:paraId="77DA2569">
            <w:pPr>
              <w:pStyle w:val="160"/>
            </w:pPr>
            <w:r>
              <w:t>45</w:t>
            </w:r>
          </w:p>
        </w:tc>
        <w:tc>
          <w:tcPr>
            <w:tcW w:w="954" w:type="pct"/>
            <w:tcBorders>
              <w:tl2br w:val="nil"/>
              <w:tr2bl w:val="nil"/>
            </w:tcBorders>
            <w:vAlign w:val="center"/>
          </w:tcPr>
          <w:p w14:paraId="06DA3525">
            <w:pPr>
              <w:pStyle w:val="160"/>
            </w:pPr>
            <w:r>
              <w:rPr>
                <w:rFonts w:hint="eastAsia"/>
              </w:rPr>
              <w:t>达标</w:t>
            </w:r>
          </w:p>
        </w:tc>
      </w:tr>
    </w:tbl>
    <w:p w14:paraId="29A1C141">
      <w:pPr>
        <w:snapToGrid w:val="0"/>
        <w:spacing w:before="0" w:beforeLines="0" w:line="360" w:lineRule="auto"/>
        <w:ind w:firstLine="480" w:firstLineChars="200"/>
        <w:rPr>
          <w:sz w:val="24"/>
        </w:rPr>
      </w:pPr>
      <w:r>
        <w:rPr>
          <w:rFonts w:hint="eastAsia"/>
          <w:sz w:val="24"/>
        </w:rPr>
        <w:t>噪声预测表明，</w:t>
      </w:r>
      <w:r>
        <w:rPr>
          <w:sz w:val="24"/>
        </w:rPr>
        <w:t>1#</w:t>
      </w:r>
      <w:r>
        <w:rPr>
          <w:rFonts w:hint="eastAsia"/>
          <w:sz w:val="24"/>
        </w:rPr>
        <w:t>厂区及</w:t>
      </w:r>
      <w:r>
        <w:rPr>
          <w:sz w:val="24"/>
        </w:rPr>
        <w:t>2#</w:t>
      </w:r>
      <w:r>
        <w:rPr>
          <w:rFonts w:hint="eastAsia"/>
          <w:sz w:val="24"/>
        </w:rPr>
        <w:t>厂区厂界四侧昼夜间噪声预测值均能满足《工业企业厂界环境噪声排放标准》（</w:t>
      </w:r>
      <w:r>
        <w:rPr>
          <w:sz w:val="24"/>
        </w:rPr>
        <w:t>GB12348-2008</w:t>
      </w:r>
      <w:r>
        <w:rPr>
          <w:rFonts w:hint="eastAsia"/>
          <w:sz w:val="24"/>
        </w:rPr>
        <w:t>）的</w:t>
      </w:r>
      <w:r>
        <w:rPr>
          <w:sz w:val="24"/>
        </w:rPr>
        <w:t>1</w:t>
      </w:r>
      <w:r>
        <w:rPr>
          <w:rFonts w:hint="eastAsia"/>
          <w:sz w:val="24"/>
        </w:rPr>
        <w:t>类标准限值。项目建设场地距最近的村庄均在</w:t>
      </w:r>
      <w:r>
        <w:rPr>
          <w:sz w:val="24"/>
        </w:rPr>
        <w:t>200m</w:t>
      </w:r>
      <w:r>
        <w:rPr>
          <w:rFonts w:hint="eastAsia"/>
          <w:sz w:val="24"/>
        </w:rPr>
        <w:t>以上，本项目运行后，不会对周边村庄声环境造成影响。</w:t>
      </w:r>
      <w:bookmarkStart w:id="528" w:name="_Toc17475980"/>
    </w:p>
    <w:p w14:paraId="6EC9F59C">
      <w:pPr>
        <w:snapToGrid w:val="0"/>
        <w:spacing w:before="0" w:beforeLines="0" w:line="360" w:lineRule="auto"/>
        <w:rPr>
          <w:sz w:val="24"/>
        </w:rPr>
      </w:pPr>
      <w:r>
        <w:drawing>
          <wp:inline distT="0" distB="0" distL="0" distR="0">
            <wp:extent cx="5278120" cy="3204845"/>
            <wp:effectExtent l="0" t="0" r="0" b="0"/>
            <wp:docPr id="100913577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135771" name="图片 1"/>
                    <pic:cNvPicPr>
                      <a:picLocks noChangeAspect="1"/>
                    </pic:cNvPicPr>
                  </pic:nvPicPr>
                  <pic:blipFill>
                    <a:blip r:embed="rId80"/>
                    <a:stretch>
                      <a:fillRect/>
                    </a:stretch>
                  </pic:blipFill>
                  <pic:spPr>
                    <a:xfrm>
                      <a:off x="0" y="0"/>
                      <a:ext cx="5278120" cy="3204845"/>
                    </a:xfrm>
                    <a:prstGeom prst="rect">
                      <a:avLst/>
                    </a:prstGeom>
                  </pic:spPr>
                </pic:pic>
              </a:graphicData>
            </a:graphic>
          </wp:inline>
        </w:drawing>
      </w:r>
    </w:p>
    <w:p w14:paraId="70ED77FA">
      <w:pPr>
        <w:snapToGrid w:val="0"/>
        <w:spacing w:before="0" w:beforeLines="0" w:line="360" w:lineRule="auto"/>
        <w:jc w:val="center"/>
        <w:rPr>
          <w:b/>
          <w:bCs/>
          <w:sz w:val="24"/>
        </w:rPr>
      </w:pPr>
      <w:r>
        <w:rPr>
          <w:rFonts w:hint="eastAsia"/>
          <w:b/>
          <w:bCs/>
          <w:sz w:val="24"/>
        </w:rPr>
        <w:t>图5.4-1        噪声等声级线图</w:t>
      </w:r>
    </w:p>
    <w:bookmarkEnd w:id="528"/>
    <w:p w14:paraId="3D7FA578">
      <w:pPr>
        <w:pStyle w:val="4"/>
        <w:rPr>
          <w:rFonts w:ascii="Times New Roman" w:hAnsi="Times New Roman" w:eastAsia="宋体"/>
          <w:color w:val="auto"/>
        </w:rPr>
      </w:pPr>
      <w:bookmarkStart w:id="529" w:name="_Toc239274280"/>
      <w:r>
        <w:rPr>
          <w:rFonts w:ascii="Times New Roman" w:hAnsi="Times New Roman" w:eastAsia="宋体"/>
          <w:color w:val="auto"/>
        </w:rPr>
        <w:t>5.5土壤环境影响评价</w:t>
      </w:r>
      <w:bookmarkEnd w:id="529"/>
    </w:p>
    <w:p w14:paraId="64FBB1AD">
      <w:pPr>
        <w:pStyle w:val="5"/>
        <w:rPr>
          <w:color w:val="auto"/>
        </w:rPr>
      </w:pPr>
      <w:r>
        <w:rPr>
          <w:color w:val="auto"/>
        </w:rPr>
        <w:t>5.5.1区域土壤现状调查</w:t>
      </w:r>
    </w:p>
    <w:p w14:paraId="26DC25D2">
      <w:pPr>
        <w:pStyle w:val="190"/>
        <w:ind w:firstLine="480"/>
      </w:pPr>
      <w:r>
        <w:t>土壤区域分布是指由于中小地形、水文地质条件和成土母质等区域性成土条件的变化而引起的土壤有规律的变化。根据地貌和土壤组合特点，辽宁土壤的区域性分布可分为辽东山地丘陵区、辽西低山丘陵区、辽河平原区3种类型。本项目位于辽西低山丘陵区</w:t>
      </w:r>
    </w:p>
    <w:p w14:paraId="66A3B94F">
      <w:pPr>
        <w:pStyle w:val="190"/>
        <w:ind w:firstLine="480"/>
      </w:pPr>
      <w:r>
        <w:t>本区包括朝阳市、葫芦岛市的全部和阜新市、锦州市的西部。南部以松岭山脉为界，是棕壤与褐土的过渡地带，相互间呈镶嵌分布，甚至犬牙交错，全区土壤组合有3种类型。</w:t>
      </w:r>
    </w:p>
    <w:p w14:paraId="32090B9A">
      <w:pPr>
        <w:pStyle w:val="190"/>
        <w:ind w:firstLine="480"/>
      </w:pPr>
      <w:r>
        <w:t>（一）、努鲁儿虎山和松岭山地西麓低山丘陵区</w:t>
      </w:r>
    </w:p>
    <w:p w14:paraId="200EEF1C">
      <w:pPr>
        <w:pStyle w:val="190"/>
        <w:ind w:firstLine="480"/>
      </w:pPr>
      <w:r>
        <w:t>由于本区成土母质主要为富钙的石灰岩、钙质砂页岩和黄土母质，所以土壤呈以褐土为主的枝状分布。除较高山地上部有棕壤或棕壤性土分布外，一般的低山丘陵上部分布着褐土性土；下部为褐土、石灰性褐土；缓坡坡脚分布着潮褐土；河谷平原分布着潮土。</w:t>
      </w:r>
    </w:p>
    <w:p w14:paraId="77F7C8AE">
      <w:pPr>
        <w:pStyle w:val="190"/>
        <w:ind w:firstLine="480"/>
      </w:pPr>
      <w:r>
        <w:t>（二）、医巫闾山和松岭山地东麓低山丘陵区</w:t>
      </w:r>
    </w:p>
    <w:p w14:paraId="77DAAE4C">
      <w:pPr>
        <w:pStyle w:val="190"/>
        <w:ind w:firstLine="480"/>
      </w:pPr>
      <w:r>
        <w:t>由于本区成土母质多为酸性结晶岩类和基性结晶岩类风化物及其黄土状母质，所以土壤呈以棕壤为主的枝头分布。</w:t>
      </w:r>
    </w:p>
    <w:p w14:paraId="1B5D99D0">
      <w:pPr>
        <w:pStyle w:val="190"/>
        <w:ind w:firstLine="480"/>
      </w:pPr>
      <w:r>
        <w:t>低山丘陵上部分布着棕壤性土和粗骨土，下部分布着棕壤，坡脚平地分布窄条状潮棕壤，河流两岸河漫滩和河成阶地上分布着潮土。</w:t>
      </w:r>
    </w:p>
    <w:p w14:paraId="70E2924E">
      <w:pPr>
        <w:pStyle w:val="190"/>
        <w:ind w:firstLine="480"/>
      </w:pPr>
      <w:r>
        <w:t>（三）、阜新、北票等山间盆地区</w:t>
      </w:r>
    </w:p>
    <w:p w14:paraId="3F13C10F">
      <w:pPr>
        <w:pStyle w:val="190"/>
        <w:ind w:firstLine="480"/>
      </w:pPr>
      <w:r>
        <w:t>本区地貌类型为盆地，地形由四周向中心倾斜，所以由于成土条件、地形的变化，土壤类型也相应发生变化，土壤组合呈盆形分布。</w:t>
      </w:r>
    </w:p>
    <w:p w14:paraId="73E226B3">
      <w:pPr>
        <w:pStyle w:val="190"/>
        <w:ind w:firstLine="480"/>
      </w:pPr>
      <w:r>
        <w:t>由盆地中心而外依次出现沼泽土、潮土、潮褐土、褐土或石灰性褐土。</w:t>
      </w:r>
    </w:p>
    <w:p w14:paraId="45F3A174">
      <w:pPr>
        <w:pStyle w:val="190"/>
        <w:ind w:firstLine="480"/>
      </w:pPr>
      <w:r>
        <w:rPr>
          <w:rFonts w:hint="eastAsia"/>
        </w:rPr>
        <w:t>项目区土壤区划处于褐土地带，可进一步划分为褐土性土和褐土、潮褐土三个亚类。</w:t>
      </w:r>
    </w:p>
    <w:p w14:paraId="2E85C5DE">
      <w:pPr>
        <w:pStyle w:val="190"/>
        <w:ind w:firstLine="480"/>
      </w:pPr>
      <w:r>
        <w:rPr>
          <w:rFonts w:hint="eastAsia"/>
        </w:rPr>
        <w:t>褐土性土亚类大部分分布在石质低山丘陵的顶部，土体中砾石含量一般小于20%，土层厚度10～30cm，由腐殖层和母质层组成。特点是分布地势高、排水好、肥力低、不耐旱、生产性能差。</w:t>
      </w:r>
    </w:p>
    <w:p w14:paraId="5D04B09C">
      <w:pPr>
        <w:pStyle w:val="190"/>
        <w:ind w:firstLine="480"/>
      </w:pPr>
      <w:r>
        <w:rPr>
          <w:rFonts w:hint="eastAsia"/>
        </w:rPr>
        <w:t>褐土亚类多发育在石质或者土质丘陵的中上部或者坡脚，成土母质为岩石风化物、坡积物及黄土，由腐殖层、粘化层、钙积层和母质层组成，土层深厚，由于水土流失严重，腐殖层大部分已经流失掉，造成土壤的有机质和营养元素不高。</w:t>
      </w:r>
    </w:p>
    <w:p w14:paraId="17F83E25">
      <w:pPr>
        <w:pStyle w:val="190"/>
        <w:ind w:firstLine="480"/>
      </w:pPr>
      <w:r>
        <w:rPr>
          <w:rFonts w:hint="eastAsia"/>
        </w:rPr>
        <w:t>潮褐土亚类成土母质为坡洪积物或者淤积物，有的土体夹有砾石层、沙土层、粘土层或者黑土层，土质松软、粘沙适中，土壤中水气协调，适宜作物广泛，是粮食及经济作物的高产土壤</w:t>
      </w:r>
      <w:r>
        <w:t>。</w:t>
      </w:r>
    </w:p>
    <w:p w14:paraId="2974D361">
      <w:pPr>
        <w:pStyle w:val="190"/>
        <w:spacing w:line="240" w:lineRule="auto"/>
        <w:ind w:firstLine="0" w:firstLineChars="0"/>
        <w:jc w:val="center"/>
      </w:pPr>
      <w:r>
        <mc:AlternateContent>
          <mc:Choice Requires="wps">
            <w:drawing>
              <wp:anchor distT="0" distB="0" distL="114300" distR="114300" simplePos="0" relativeHeight="251660288" behindDoc="0" locked="0" layoutInCell="1" allowOverlap="1">
                <wp:simplePos x="0" y="0"/>
                <wp:positionH relativeFrom="column">
                  <wp:posOffset>2533015</wp:posOffset>
                </wp:positionH>
                <wp:positionV relativeFrom="paragraph">
                  <wp:posOffset>387985</wp:posOffset>
                </wp:positionV>
                <wp:extent cx="991870" cy="342900"/>
                <wp:effectExtent l="19050" t="0" r="17780" b="419100"/>
                <wp:wrapNone/>
                <wp:docPr id="847026844" name="对话气泡: 矩形 43"/>
                <wp:cNvGraphicFramePr/>
                <a:graphic xmlns:a="http://schemas.openxmlformats.org/drawingml/2006/main">
                  <a:graphicData uri="http://schemas.microsoft.com/office/word/2010/wordprocessingShape">
                    <wps:wsp>
                      <wps:cNvSpPr/>
                      <wps:spPr>
                        <a:xfrm>
                          <a:off x="0" y="0"/>
                          <a:ext cx="991870" cy="342900"/>
                        </a:xfrm>
                        <a:prstGeom prst="wedgeRectCallout">
                          <a:avLst>
                            <a:gd name="adj1" fmla="val -48655"/>
                            <a:gd name="adj2" fmla="val 156666"/>
                          </a:avLst>
                        </a:prstGeom>
                        <a:solidFill>
                          <a:srgbClr val="FFFFFF">
                            <a:alpha val="69804"/>
                          </a:srgbClr>
                        </a:solid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4F4C64D2">
                            <w:pPr>
                              <w:spacing w:before="0" w:beforeLines="0" w:line="240" w:lineRule="auto"/>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本项目</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对话气泡: 矩形 43" o:spid="_x0000_s1026" o:spt="61" type="#_x0000_t61" style="position:absolute;left:0pt;margin-left:199.45pt;margin-top:30.55pt;height:27pt;width:78.1pt;z-index:251660288;v-text-anchor:middle;mso-width-relative:page;mso-height-relative:page;" fillcolor="#FFFFFF" filled="t" stroked="t" coordsize="21600,21600" o:gfxdata="UEsDBAoAAAAAAIdO4kAAAAAAAAAAAAAAAAAEAAAAZHJzL1BLAwQUAAAACACHTuJACZg+HNcAAAAK&#10;AQAADwAAAGRycy9kb3ducmV2LnhtbE2Py07DMBBF90j8gzVI7KhjUKo2jdMFqIIVhbZi7cauE9Ue&#10;R7bTx98zrOjujubozpl6efGOnUxMfUAJYlIAM9gG3aOVsNuunmbAUlaolQtoJFxNgmVzf1erSocz&#10;fpvTJltGJZgqJaHLeag4T21nvEqTMBik3SFErzKN0XId1ZnKvePPRTHlXvVIFzo1mNfOtMfN6CUc&#10;35yz1/VqG3fr4efDfX2+OztK+fggigWwbC75H4Y/fVKHhpz2YUSdmJPwMp/NCZUwFQIYAWVZUtgT&#10;KSjwpua3LzS/UEsDBBQAAAAIAIdO4kDPqDljzgIAAJUFAAAOAAAAZHJzL2Uyb0RvYy54bWytVM1u&#10;EzEQviPxDpbv7W7Sza+6qaJEQUgVjSiIs+P1Zo38h+1kU56DK0Jw41QkThx4nBYeg7F326aFQw/s&#10;wTvjGX/zP8cnOynQllnHtcpx5zDFiCmqC67WOX79anEwxMh5ogoitGI5vmAOn0yePjmuzZh1daVF&#10;wSwCEOXGtclx5b0ZJ4mjFZPEHWrDFAhLbSXxwNp1UlhSA7oUSTdN+0mtbWGspsw5uJ03Qtwi2scA&#10;6rLklM013UimfINqmSAeQnIVNw5Pordlyag/K0vHPBI5hkh9PMEI0KtwJpNjMl5bYipOWxfIY1x4&#10;EJMkXIHRW6g58QRtLP8LSnJqtdOlP6RaJk0gMSMQRSd9kJvzihgWY4FUO3ObdPf/YOmL7dIiXuR4&#10;mA3Sbn+YZRgpIqHwV5c/fl9+vP724fr75zH69enr1c8vKDsKKauNG8PLc7O0LeeADPHvSivDHyJD&#10;u5jmi9s0s51HFC5Ho85wAAWgIDrKuqM0liG5e2ys88+YligQOa5ZsWYvoZQzIoTe+Jhosj11Pma8&#10;aP0lxdsORqUUUMAtEeggG/Z7vbbCe0rdfaVOrw9fUAL7LSZQNx4EA04LXiy4EJGx69VMWAQGcryI&#10;X+OOMBVpbvujYZq1iK5Rj+j3cIRCNUxfdwDBI0pgjkroXyClgVo4tcaIiDUMKPU2Grj3uoVt7KXx&#10;uzG472yIYk5c1ehFhCYdknuYYcEllH3/tVDgaShuU85A+d1q19Z4pYsLaBarmylyhi44WDglzi+J&#10;haxDKLBY/BkcpdAQn24pjCpt3//rPuhDN4MUoxrGEGJ/tyGWYSSeK+jzUSfLANZHJusNusDYfclq&#10;X6I2cqahMNAH4F0kg74XN2RptXwD+2carIKIKAq2myy3zMw36wE2GGXTaVSDWTXEn6pzQwN4aASl&#10;pxuvS+5D64RENdlpGZjWWPN2s4R1sM9HrbttOvk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PgUAAFtDb250ZW50X1R5cGVzXS54bWxQSwECFAAK&#10;AAAAAACHTuJAAAAAAAAAAAAAAAAABgAAAAAAAAAAABAAAAAgBAAAX3JlbHMvUEsBAhQAFAAAAAgA&#10;h07iQIoUZjzRAAAAlAEAAAsAAAAAAAAAAQAgAAAARAQAAF9yZWxzLy5yZWxzUEsBAhQACgAAAAAA&#10;h07iQAAAAAAAAAAAAAAAAAQAAAAAAAAAAAAQAAAAAAAAAGRycy9QSwECFAAUAAAACACHTuJACZg+&#10;HNcAAAAKAQAADwAAAAAAAAABACAAAAAiAAAAZHJzL2Rvd25yZXYueG1sUEsBAhQAFAAAAAgAh07i&#10;QM+oOWPOAgAAlQUAAA4AAAAAAAAAAQAgAAAAJgEAAGRycy9lMm9Eb2MueG1sUEsFBgAAAAAGAAYA&#10;WQEAAGYGAAAAAA==&#10;" adj="291,44640">
                <v:fill on="t" opacity="45746f" focussize="0,0"/>
                <v:stroke weight="1pt" color="#000000 [3213]" miterlimit="8" joinstyle="miter"/>
                <v:imagedata o:title=""/>
                <o:lock v:ext="edit" aspectratio="f"/>
                <v:textbox>
                  <w:txbxContent>
                    <w:p w14:paraId="4F4C64D2">
                      <w:pPr>
                        <w:spacing w:before="0" w:beforeLines="0" w:line="240" w:lineRule="auto"/>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本项目</w:t>
                      </w:r>
                    </w:p>
                  </w:txbxContent>
                </v:textbox>
              </v:shape>
            </w:pict>
          </mc:Fallback>
        </mc:AlternateContent>
      </w:r>
      <w:r>
        <w:drawing>
          <wp:inline distT="0" distB="0" distL="0" distR="0">
            <wp:extent cx="4048125" cy="3432175"/>
            <wp:effectExtent l="19050" t="19050" r="9525" b="15875"/>
            <wp:docPr id="49" name="图片 1" descr="C:\Users\ADMINI~1\AppData\Local\Temp\WeChat Files\0f7d9960a09ddf61495c9502d2eca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 descr="C:\Users\ADMINI~1\AppData\Local\Temp\WeChat Files\0f7d9960a09ddf61495c9502d2ecae5.png"/>
                    <pic:cNvPicPr>
                      <a:picLocks noChangeAspect="1" noChangeArrowheads="1"/>
                    </pic:cNvPicPr>
                  </pic:nvPicPr>
                  <pic:blipFill>
                    <a:blip r:embed="rId81"/>
                    <a:srcRect l="9933" t="14133" r="3020"/>
                    <a:stretch>
                      <a:fillRect/>
                    </a:stretch>
                  </pic:blipFill>
                  <pic:spPr>
                    <a:xfrm>
                      <a:off x="0" y="0"/>
                      <a:ext cx="4064470" cy="3446182"/>
                    </a:xfrm>
                    <a:prstGeom prst="rect">
                      <a:avLst/>
                    </a:prstGeom>
                    <a:noFill/>
                    <a:ln>
                      <a:solidFill>
                        <a:schemeClr val="tx1"/>
                      </a:solidFill>
                    </a:ln>
                  </pic:spPr>
                </pic:pic>
              </a:graphicData>
            </a:graphic>
          </wp:inline>
        </w:drawing>
      </w:r>
    </w:p>
    <w:p w14:paraId="01DE0416">
      <w:pPr>
        <w:pStyle w:val="143"/>
        <w:spacing w:before="0" w:beforeLines="0"/>
        <w:rPr>
          <w:b/>
          <w:bCs w:val="0"/>
        </w:rPr>
      </w:pPr>
      <w:r>
        <w:rPr>
          <w:b/>
          <w:bCs w:val="0"/>
        </w:rPr>
        <w:t>图5.5-1  土壤类型图</w:t>
      </w:r>
    </w:p>
    <w:p w14:paraId="3D4F7D49">
      <w:pPr>
        <w:pStyle w:val="5"/>
        <w:rPr>
          <w:color w:val="auto"/>
        </w:rPr>
      </w:pPr>
      <w:r>
        <w:rPr>
          <w:color w:val="auto"/>
        </w:rPr>
        <w:t>5.5.2土壤理化性质现状调查</w:t>
      </w:r>
    </w:p>
    <w:p w14:paraId="2D862354">
      <w:pPr>
        <w:pStyle w:val="190"/>
        <w:ind w:firstLine="480"/>
      </w:pPr>
      <w:r>
        <w:t>对监测土壤理化特性调查，调查结果见表5.5-1。</w:t>
      </w:r>
    </w:p>
    <w:p w14:paraId="0E0614C7">
      <w:pPr>
        <w:pStyle w:val="143"/>
        <w:spacing w:before="156"/>
        <w:rPr>
          <w:b/>
          <w:bCs w:val="0"/>
        </w:rPr>
      </w:pPr>
      <w:r>
        <w:rPr>
          <w:b/>
          <w:bCs w:val="0"/>
        </w:rPr>
        <w:t>表5.5-1  土壤理化特性调查表</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266"/>
        <w:gridCol w:w="2996"/>
        <w:gridCol w:w="4050"/>
      </w:tblGrid>
      <w:tr w14:paraId="6D1E661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2524" w:type="pct"/>
            <w:gridSpan w:val="2"/>
            <w:tcBorders>
              <w:tl2br w:val="nil"/>
              <w:tr2bl w:val="nil"/>
            </w:tcBorders>
            <w:noWrap/>
            <w:vAlign w:val="center"/>
          </w:tcPr>
          <w:p w14:paraId="1A57BFCE">
            <w:pPr>
              <w:pStyle w:val="160"/>
              <w:rPr>
                <w:szCs w:val="21"/>
              </w:rPr>
            </w:pPr>
            <w:r>
              <w:rPr>
                <w:szCs w:val="21"/>
              </w:rPr>
              <w:t>位置</w:t>
            </w:r>
          </w:p>
        </w:tc>
        <w:tc>
          <w:tcPr>
            <w:tcW w:w="2476" w:type="pct"/>
            <w:tcBorders>
              <w:left w:val="single" w:color="000000" w:sz="4" w:space="0"/>
              <w:tl2br w:val="nil"/>
              <w:tr2bl w:val="nil"/>
            </w:tcBorders>
            <w:noWrap/>
            <w:vAlign w:val="center"/>
          </w:tcPr>
          <w:p w14:paraId="33660D71">
            <w:pPr>
              <w:pStyle w:val="160"/>
              <w:rPr>
                <w:szCs w:val="21"/>
              </w:rPr>
            </w:pPr>
            <w:r>
              <w:rPr>
                <w:szCs w:val="21"/>
              </w:rPr>
              <w:t>2#厂区内</w:t>
            </w:r>
          </w:p>
        </w:tc>
      </w:tr>
      <w:tr w14:paraId="449689B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2524" w:type="pct"/>
            <w:gridSpan w:val="2"/>
            <w:tcBorders>
              <w:tl2br w:val="nil"/>
              <w:tr2bl w:val="nil"/>
            </w:tcBorders>
            <w:noWrap/>
            <w:vAlign w:val="center"/>
          </w:tcPr>
          <w:p w14:paraId="423F697B">
            <w:pPr>
              <w:pStyle w:val="160"/>
              <w:rPr>
                <w:szCs w:val="21"/>
              </w:rPr>
            </w:pPr>
            <w:r>
              <w:rPr>
                <w:szCs w:val="21"/>
              </w:rPr>
              <w:t>层次</w:t>
            </w:r>
          </w:p>
        </w:tc>
        <w:tc>
          <w:tcPr>
            <w:tcW w:w="2476" w:type="pct"/>
            <w:tcBorders>
              <w:left w:val="single" w:color="000000" w:sz="4" w:space="0"/>
              <w:tl2br w:val="nil"/>
              <w:tr2bl w:val="nil"/>
            </w:tcBorders>
            <w:noWrap/>
            <w:vAlign w:val="center"/>
          </w:tcPr>
          <w:p w14:paraId="15BE6788">
            <w:pPr>
              <w:pStyle w:val="160"/>
              <w:rPr>
                <w:szCs w:val="21"/>
              </w:rPr>
            </w:pPr>
            <w:r>
              <w:rPr>
                <w:szCs w:val="21"/>
              </w:rPr>
              <w:t>表层</w:t>
            </w:r>
          </w:p>
        </w:tc>
      </w:tr>
      <w:tr w14:paraId="2E34D98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682" w:type="pct"/>
            <w:vMerge w:val="restart"/>
            <w:tcBorders>
              <w:tl2br w:val="nil"/>
              <w:tr2bl w:val="nil"/>
            </w:tcBorders>
            <w:noWrap/>
            <w:vAlign w:val="center"/>
          </w:tcPr>
          <w:p w14:paraId="5E2D61D5">
            <w:pPr>
              <w:pStyle w:val="160"/>
              <w:rPr>
                <w:szCs w:val="21"/>
              </w:rPr>
            </w:pPr>
            <w:r>
              <w:rPr>
                <w:szCs w:val="21"/>
              </w:rPr>
              <w:t>现场记录</w:t>
            </w:r>
          </w:p>
        </w:tc>
        <w:tc>
          <w:tcPr>
            <w:tcW w:w="1842" w:type="pct"/>
            <w:tcBorders>
              <w:tl2br w:val="nil"/>
              <w:tr2bl w:val="nil"/>
            </w:tcBorders>
            <w:noWrap/>
            <w:vAlign w:val="center"/>
          </w:tcPr>
          <w:p w14:paraId="0E0EFF00">
            <w:pPr>
              <w:pStyle w:val="160"/>
              <w:rPr>
                <w:szCs w:val="21"/>
              </w:rPr>
            </w:pPr>
            <w:r>
              <w:rPr>
                <w:szCs w:val="21"/>
              </w:rPr>
              <w:t>颜色</w:t>
            </w:r>
          </w:p>
        </w:tc>
        <w:tc>
          <w:tcPr>
            <w:tcW w:w="2476" w:type="pct"/>
            <w:tcBorders>
              <w:left w:val="single" w:color="000000" w:sz="4" w:space="0"/>
              <w:tl2br w:val="nil"/>
              <w:tr2bl w:val="nil"/>
            </w:tcBorders>
            <w:noWrap/>
            <w:vAlign w:val="center"/>
          </w:tcPr>
          <w:p w14:paraId="70595593">
            <w:pPr>
              <w:pStyle w:val="160"/>
              <w:rPr>
                <w:szCs w:val="21"/>
              </w:rPr>
            </w:pPr>
            <w:r>
              <w:rPr>
                <w:szCs w:val="21"/>
              </w:rPr>
              <w:t>灰色</w:t>
            </w:r>
          </w:p>
        </w:tc>
      </w:tr>
      <w:tr w14:paraId="5E4C197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682" w:type="pct"/>
            <w:vMerge w:val="continue"/>
            <w:tcBorders>
              <w:tl2br w:val="nil"/>
              <w:tr2bl w:val="nil"/>
            </w:tcBorders>
            <w:vAlign w:val="center"/>
          </w:tcPr>
          <w:p w14:paraId="3C8A8E20">
            <w:pPr>
              <w:pStyle w:val="160"/>
              <w:rPr>
                <w:szCs w:val="21"/>
              </w:rPr>
            </w:pPr>
          </w:p>
        </w:tc>
        <w:tc>
          <w:tcPr>
            <w:tcW w:w="1842" w:type="pct"/>
            <w:tcBorders>
              <w:tl2br w:val="nil"/>
              <w:tr2bl w:val="nil"/>
            </w:tcBorders>
            <w:noWrap/>
            <w:vAlign w:val="center"/>
          </w:tcPr>
          <w:p w14:paraId="2A7B394B">
            <w:pPr>
              <w:pStyle w:val="160"/>
              <w:rPr>
                <w:szCs w:val="21"/>
              </w:rPr>
            </w:pPr>
            <w:r>
              <w:rPr>
                <w:szCs w:val="21"/>
              </w:rPr>
              <w:t>结构</w:t>
            </w:r>
          </w:p>
        </w:tc>
        <w:tc>
          <w:tcPr>
            <w:tcW w:w="2476" w:type="pct"/>
            <w:tcBorders>
              <w:left w:val="single" w:color="000000" w:sz="4" w:space="0"/>
              <w:tl2br w:val="nil"/>
              <w:tr2bl w:val="nil"/>
            </w:tcBorders>
            <w:noWrap/>
            <w:vAlign w:val="center"/>
          </w:tcPr>
          <w:p w14:paraId="5451B9A7">
            <w:pPr>
              <w:pStyle w:val="160"/>
              <w:rPr>
                <w:szCs w:val="21"/>
              </w:rPr>
            </w:pPr>
            <w:r>
              <w:rPr>
                <w:szCs w:val="21"/>
              </w:rPr>
              <w:t>团粒</w:t>
            </w:r>
          </w:p>
        </w:tc>
      </w:tr>
      <w:tr w14:paraId="39A5C27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682" w:type="pct"/>
            <w:vMerge w:val="continue"/>
            <w:tcBorders>
              <w:tl2br w:val="nil"/>
              <w:tr2bl w:val="nil"/>
            </w:tcBorders>
            <w:vAlign w:val="center"/>
          </w:tcPr>
          <w:p w14:paraId="287A470C">
            <w:pPr>
              <w:pStyle w:val="160"/>
              <w:rPr>
                <w:szCs w:val="21"/>
              </w:rPr>
            </w:pPr>
          </w:p>
        </w:tc>
        <w:tc>
          <w:tcPr>
            <w:tcW w:w="1842" w:type="pct"/>
            <w:tcBorders>
              <w:tl2br w:val="nil"/>
              <w:tr2bl w:val="nil"/>
            </w:tcBorders>
            <w:noWrap/>
            <w:vAlign w:val="center"/>
          </w:tcPr>
          <w:p w14:paraId="76045625">
            <w:pPr>
              <w:pStyle w:val="160"/>
              <w:rPr>
                <w:szCs w:val="21"/>
              </w:rPr>
            </w:pPr>
            <w:r>
              <w:rPr>
                <w:szCs w:val="21"/>
              </w:rPr>
              <w:t>质地</w:t>
            </w:r>
          </w:p>
        </w:tc>
        <w:tc>
          <w:tcPr>
            <w:tcW w:w="2476" w:type="pct"/>
            <w:tcBorders>
              <w:left w:val="single" w:color="000000" w:sz="4" w:space="0"/>
              <w:tl2br w:val="nil"/>
              <w:tr2bl w:val="nil"/>
            </w:tcBorders>
            <w:noWrap/>
            <w:vAlign w:val="center"/>
          </w:tcPr>
          <w:p w14:paraId="1F69D1E3">
            <w:pPr>
              <w:pStyle w:val="160"/>
              <w:rPr>
                <w:szCs w:val="21"/>
              </w:rPr>
            </w:pPr>
            <w:r>
              <w:rPr>
                <w:szCs w:val="21"/>
              </w:rPr>
              <w:t>粗粉砂</w:t>
            </w:r>
          </w:p>
        </w:tc>
      </w:tr>
      <w:tr w14:paraId="381865D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682" w:type="pct"/>
            <w:vMerge w:val="continue"/>
            <w:tcBorders>
              <w:tl2br w:val="nil"/>
              <w:tr2bl w:val="nil"/>
            </w:tcBorders>
            <w:vAlign w:val="center"/>
          </w:tcPr>
          <w:p w14:paraId="27221045">
            <w:pPr>
              <w:pStyle w:val="160"/>
              <w:rPr>
                <w:szCs w:val="21"/>
              </w:rPr>
            </w:pPr>
          </w:p>
        </w:tc>
        <w:tc>
          <w:tcPr>
            <w:tcW w:w="1842" w:type="pct"/>
            <w:tcBorders>
              <w:tl2br w:val="nil"/>
              <w:tr2bl w:val="nil"/>
            </w:tcBorders>
            <w:noWrap/>
            <w:vAlign w:val="center"/>
          </w:tcPr>
          <w:p w14:paraId="60D6F404">
            <w:pPr>
              <w:pStyle w:val="160"/>
              <w:rPr>
                <w:szCs w:val="21"/>
              </w:rPr>
            </w:pPr>
            <w:r>
              <w:rPr>
                <w:szCs w:val="21"/>
              </w:rPr>
              <w:t>沙砾含量</w:t>
            </w:r>
          </w:p>
        </w:tc>
        <w:tc>
          <w:tcPr>
            <w:tcW w:w="2476" w:type="pct"/>
            <w:tcBorders>
              <w:left w:val="single" w:color="000000" w:sz="4" w:space="0"/>
              <w:tl2br w:val="nil"/>
              <w:tr2bl w:val="nil"/>
            </w:tcBorders>
            <w:noWrap/>
            <w:vAlign w:val="center"/>
          </w:tcPr>
          <w:p w14:paraId="315C2C33">
            <w:pPr>
              <w:pStyle w:val="189"/>
              <w:spacing w:before="0" w:beforeLines="0" w:line="240" w:lineRule="auto"/>
              <w:ind w:firstLine="0" w:firstLineChars="0"/>
              <w:jc w:val="center"/>
              <w:rPr>
                <w:snapToGrid w:val="0"/>
                <w:kern w:val="0"/>
                <w:szCs w:val="21"/>
              </w:rPr>
            </w:pPr>
            <w:r>
              <w:rPr>
                <w:snapToGrid w:val="0"/>
                <w:kern w:val="0"/>
                <w:szCs w:val="21"/>
              </w:rPr>
              <w:t>40</w:t>
            </w:r>
          </w:p>
        </w:tc>
      </w:tr>
      <w:tr w14:paraId="7825845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682" w:type="pct"/>
            <w:vMerge w:val="continue"/>
            <w:tcBorders>
              <w:tl2br w:val="nil"/>
              <w:tr2bl w:val="nil"/>
            </w:tcBorders>
            <w:vAlign w:val="center"/>
          </w:tcPr>
          <w:p w14:paraId="1B079D42">
            <w:pPr>
              <w:pStyle w:val="160"/>
              <w:rPr>
                <w:szCs w:val="21"/>
              </w:rPr>
            </w:pPr>
          </w:p>
        </w:tc>
        <w:tc>
          <w:tcPr>
            <w:tcW w:w="1842" w:type="pct"/>
            <w:tcBorders>
              <w:tl2br w:val="nil"/>
              <w:tr2bl w:val="nil"/>
            </w:tcBorders>
            <w:noWrap/>
            <w:vAlign w:val="center"/>
          </w:tcPr>
          <w:p w14:paraId="0E28B0A4">
            <w:pPr>
              <w:pStyle w:val="160"/>
              <w:rPr>
                <w:szCs w:val="21"/>
              </w:rPr>
            </w:pPr>
            <w:r>
              <w:rPr>
                <w:szCs w:val="21"/>
              </w:rPr>
              <w:t>其他异物</w:t>
            </w:r>
          </w:p>
        </w:tc>
        <w:tc>
          <w:tcPr>
            <w:tcW w:w="2476" w:type="pct"/>
            <w:tcBorders>
              <w:left w:val="single" w:color="000000" w:sz="4" w:space="0"/>
              <w:tl2br w:val="nil"/>
              <w:tr2bl w:val="nil"/>
            </w:tcBorders>
            <w:noWrap/>
            <w:vAlign w:val="center"/>
          </w:tcPr>
          <w:p w14:paraId="4A0D37E1">
            <w:pPr>
              <w:spacing w:before="0" w:beforeLines="0" w:line="240" w:lineRule="auto"/>
              <w:jc w:val="center"/>
              <w:rPr>
                <w:snapToGrid w:val="0"/>
                <w:kern w:val="0"/>
                <w:szCs w:val="21"/>
              </w:rPr>
            </w:pPr>
            <w:r>
              <w:rPr>
                <w:snapToGrid w:val="0"/>
                <w:kern w:val="0"/>
                <w:szCs w:val="21"/>
              </w:rPr>
              <w:t>无</w:t>
            </w:r>
          </w:p>
        </w:tc>
      </w:tr>
      <w:tr w14:paraId="35EF14F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682" w:type="pct"/>
            <w:vMerge w:val="restart"/>
            <w:tcBorders>
              <w:tl2br w:val="nil"/>
              <w:tr2bl w:val="nil"/>
            </w:tcBorders>
            <w:noWrap/>
            <w:vAlign w:val="center"/>
          </w:tcPr>
          <w:p w14:paraId="5252A9AA">
            <w:pPr>
              <w:pStyle w:val="160"/>
              <w:rPr>
                <w:szCs w:val="21"/>
              </w:rPr>
            </w:pPr>
            <w:r>
              <w:rPr>
                <w:szCs w:val="21"/>
              </w:rPr>
              <w:t>实验室测定</w:t>
            </w:r>
          </w:p>
        </w:tc>
        <w:tc>
          <w:tcPr>
            <w:tcW w:w="1842" w:type="pct"/>
            <w:tcBorders>
              <w:tl2br w:val="nil"/>
              <w:tr2bl w:val="nil"/>
            </w:tcBorders>
            <w:noWrap/>
            <w:vAlign w:val="center"/>
          </w:tcPr>
          <w:p w14:paraId="4843B11B">
            <w:pPr>
              <w:pStyle w:val="160"/>
              <w:rPr>
                <w:szCs w:val="21"/>
              </w:rPr>
            </w:pPr>
            <w:r>
              <w:rPr>
                <w:szCs w:val="21"/>
              </w:rPr>
              <w:t>pH值</w:t>
            </w:r>
          </w:p>
        </w:tc>
        <w:tc>
          <w:tcPr>
            <w:tcW w:w="2476" w:type="pct"/>
            <w:tcBorders>
              <w:left w:val="single" w:color="000000" w:sz="4" w:space="0"/>
              <w:tl2br w:val="nil"/>
              <w:tr2bl w:val="nil"/>
            </w:tcBorders>
            <w:noWrap/>
            <w:vAlign w:val="center"/>
          </w:tcPr>
          <w:p w14:paraId="67EE242F">
            <w:pPr>
              <w:pStyle w:val="160"/>
              <w:rPr>
                <w:szCs w:val="21"/>
              </w:rPr>
            </w:pPr>
            <w:r>
              <w:rPr>
                <w:szCs w:val="21"/>
              </w:rPr>
              <w:t>8.64</w:t>
            </w:r>
          </w:p>
        </w:tc>
      </w:tr>
      <w:tr w14:paraId="7FCE4FE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682" w:type="pct"/>
            <w:vMerge w:val="continue"/>
            <w:tcBorders>
              <w:tl2br w:val="nil"/>
              <w:tr2bl w:val="nil"/>
            </w:tcBorders>
            <w:vAlign w:val="center"/>
          </w:tcPr>
          <w:p w14:paraId="30030A50">
            <w:pPr>
              <w:pStyle w:val="160"/>
              <w:rPr>
                <w:szCs w:val="21"/>
              </w:rPr>
            </w:pPr>
          </w:p>
        </w:tc>
        <w:tc>
          <w:tcPr>
            <w:tcW w:w="1842" w:type="pct"/>
            <w:tcBorders>
              <w:tl2br w:val="nil"/>
              <w:tr2bl w:val="nil"/>
            </w:tcBorders>
            <w:noWrap/>
            <w:vAlign w:val="center"/>
          </w:tcPr>
          <w:p w14:paraId="7FAF71B4">
            <w:pPr>
              <w:pStyle w:val="160"/>
              <w:rPr>
                <w:szCs w:val="21"/>
              </w:rPr>
            </w:pPr>
            <w:r>
              <w:rPr>
                <w:szCs w:val="21"/>
              </w:rPr>
              <w:t>阳离子交换量</w:t>
            </w:r>
          </w:p>
        </w:tc>
        <w:tc>
          <w:tcPr>
            <w:tcW w:w="2476" w:type="pct"/>
            <w:tcBorders>
              <w:left w:val="single" w:color="000000" w:sz="4" w:space="0"/>
              <w:tl2br w:val="nil"/>
              <w:tr2bl w:val="nil"/>
            </w:tcBorders>
            <w:noWrap/>
            <w:vAlign w:val="center"/>
          </w:tcPr>
          <w:p w14:paraId="08AA1402">
            <w:pPr>
              <w:widowControl/>
              <w:spacing w:before="0" w:beforeLines="0" w:line="240" w:lineRule="auto"/>
              <w:jc w:val="center"/>
              <w:textAlignment w:val="center"/>
              <w:rPr>
                <w:szCs w:val="21"/>
              </w:rPr>
            </w:pPr>
            <w:r>
              <w:rPr>
                <w:kern w:val="0"/>
                <w:szCs w:val="21"/>
                <w:lang w:bidi="ar"/>
              </w:rPr>
              <w:t>11.4</w:t>
            </w:r>
          </w:p>
        </w:tc>
      </w:tr>
      <w:tr w14:paraId="5C3AFA7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682" w:type="pct"/>
            <w:vMerge w:val="continue"/>
            <w:tcBorders>
              <w:tl2br w:val="nil"/>
              <w:tr2bl w:val="nil"/>
            </w:tcBorders>
            <w:vAlign w:val="center"/>
          </w:tcPr>
          <w:p w14:paraId="28DBBC64">
            <w:pPr>
              <w:pStyle w:val="160"/>
              <w:rPr>
                <w:szCs w:val="21"/>
              </w:rPr>
            </w:pPr>
          </w:p>
        </w:tc>
        <w:tc>
          <w:tcPr>
            <w:tcW w:w="1842" w:type="pct"/>
            <w:tcBorders>
              <w:tl2br w:val="nil"/>
              <w:tr2bl w:val="nil"/>
            </w:tcBorders>
            <w:noWrap/>
            <w:vAlign w:val="center"/>
          </w:tcPr>
          <w:p w14:paraId="10D704CC">
            <w:pPr>
              <w:pStyle w:val="160"/>
              <w:rPr>
                <w:szCs w:val="21"/>
              </w:rPr>
            </w:pPr>
            <w:r>
              <w:rPr>
                <w:szCs w:val="21"/>
              </w:rPr>
              <w:t>氧化还原电位mv</w:t>
            </w:r>
          </w:p>
        </w:tc>
        <w:tc>
          <w:tcPr>
            <w:tcW w:w="2476" w:type="pct"/>
            <w:tcBorders>
              <w:left w:val="single" w:color="000000" w:sz="4" w:space="0"/>
              <w:tl2br w:val="nil"/>
              <w:tr2bl w:val="nil"/>
            </w:tcBorders>
            <w:noWrap/>
            <w:vAlign w:val="center"/>
          </w:tcPr>
          <w:p w14:paraId="23DFCFFE">
            <w:pPr>
              <w:widowControl/>
              <w:spacing w:before="0" w:beforeLines="0" w:line="240" w:lineRule="auto"/>
              <w:jc w:val="center"/>
              <w:textAlignment w:val="center"/>
              <w:rPr>
                <w:szCs w:val="21"/>
              </w:rPr>
            </w:pPr>
            <w:r>
              <w:rPr>
                <w:szCs w:val="21"/>
              </w:rPr>
              <w:t>345</w:t>
            </w:r>
          </w:p>
        </w:tc>
      </w:tr>
      <w:tr w14:paraId="292911E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682" w:type="pct"/>
            <w:vMerge w:val="continue"/>
            <w:tcBorders>
              <w:tl2br w:val="nil"/>
              <w:tr2bl w:val="nil"/>
            </w:tcBorders>
            <w:vAlign w:val="center"/>
          </w:tcPr>
          <w:p w14:paraId="5DA8AEF4">
            <w:pPr>
              <w:pStyle w:val="160"/>
              <w:rPr>
                <w:szCs w:val="21"/>
              </w:rPr>
            </w:pPr>
          </w:p>
        </w:tc>
        <w:tc>
          <w:tcPr>
            <w:tcW w:w="1842" w:type="pct"/>
            <w:tcBorders>
              <w:tl2br w:val="nil"/>
              <w:tr2bl w:val="nil"/>
            </w:tcBorders>
            <w:noWrap/>
            <w:vAlign w:val="center"/>
          </w:tcPr>
          <w:p w14:paraId="2B4CB829">
            <w:pPr>
              <w:pStyle w:val="160"/>
              <w:rPr>
                <w:szCs w:val="21"/>
              </w:rPr>
            </w:pPr>
            <w:r>
              <w:rPr>
                <w:szCs w:val="21"/>
              </w:rPr>
              <w:t>饱和导水率/(cm/s)</w:t>
            </w:r>
          </w:p>
        </w:tc>
        <w:tc>
          <w:tcPr>
            <w:tcW w:w="2476" w:type="pct"/>
            <w:tcBorders>
              <w:left w:val="single" w:color="000000" w:sz="4" w:space="0"/>
              <w:tl2br w:val="nil"/>
              <w:tr2bl w:val="nil"/>
            </w:tcBorders>
            <w:noWrap/>
            <w:vAlign w:val="center"/>
          </w:tcPr>
          <w:p w14:paraId="3941B77D">
            <w:pPr>
              <w:widowControl/>
              <w:spacing w:before="0" w:beforeLines="0" w:line="240" w:lineRule="auto"/>
              <w:jc w:val="center"/>
              <w:textAlignment w:val="center"/>
              <w:rPr>
                <w:szCs w:val="21"/>
              </w:rPr>
            </w:pPr>
            <w:r>
              <w:rPr>
                <w:szCs w:val="21"/>
              </w:rPr>
              <w:t>1.25</w:t>
            </w:r>
          </w:p>
        </w:tc>
      </w:tr>
      <w:tr w14:paraId="7A36D51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682" w:type="pct"/>
            <w:vMerge w:val="continue"/>
            <w:tcBorders>
              <w:tl2br w:val="nil"/>
              <w:tr2bl w:val="nil"/>
            </w:tcBorders>
            <w:vAlign w:val="center"/>
          </w:tcPr>
          <w:p w14:paraId="27A07614">
            <w:pPr>
              <w:pStyle w:val="160"/>
              <w:rPr>
                <w:szCs w:val="21"/>
              </w:rPr>
            </w:pPr>
          </w:p>
        </w:tc>
        <w:tc>
          <w:tcPr>
            <w:tcW w:w="1842" w:type="pct"/>
            <w:tcBorders>
              <w:tl2br w:val="nil"/>
              <w:tr2bl w:val="nil"/>
            </w:tcBorders>
            <w:noWrap/>
            <w:vAlign w:val="center"/>
          </w:tcPr>
          <w:p w14:paraId="51DEA8B8">
            <w:pPr>
              <w:pStyle w:val="160"/>
              <w:rPr>
                <w:szCs w:val="21"/>
              </w:rPr>
            </w:pPr>
            <w:r>
              <w:rPr>
                <w:szCs w:val="21"/>
              </w:rPr>
              <w:t>土壤容重/(kg/m</w:t>
            </w:r>
            <w:r>
              <w:rPr>
                <w:szCs w:val="21"/>
                <w:vertAlign w:val="superscript"/>
              </w:rPr>
              <w:t>3</w:t>
            </w:r>
            <w:r>
              <w:rPr>
                <w:szCs w:val="21"/>
              </w:rPr>
              <w:t>)</w:t>
            </w:r>
          </w:p>
        </w:tc>
        <w:tc>
          <w:tcPr>
            <w:tcW w:w="2476" w:type="pct"/>
            <w:tcBorders>
              <w:left w:val="single" w:color="000000" w:sz="4" w:space="0"/>
              <w:tl2br w:val="nil"/>
              <w:tr2bl w:val="nil"/>
            </w:tcBorders>
            <w:noWrap/>
            <w:vAlign w:val="center"/>
          </w:tcPr>
          <w:p w14:paraId="65FB714F">
            <w:pPr>
              <w:widowControl/>
              <w:spacing w:before="0" w:beforeLines="0" w:line="240" w:lineRule="auto"/>
              <w:jc w:val="center"/>
              <w:textAlignment w:val="center"/>
              <w:rPr>
                <w:szCs w:val="21"/>
              </w:rPr>
            </w:pPr>
            <w:r>
              <w:rPr>
                <w:szCs w:val="21"/>
              </w:rPr>
              <w:t>1.22</w:t>
            </w:r>
          </w:p>
        </w:tc>
      </w:tr>
      <w:tr w14:paraId="74CFBC3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682" w:type="pct"/>
            <w:vMerge w:val="continue"/>
            <w:tcBorders>
              <w:tl2br w:val="nil"/>
              <w:tr2bl w:val="nil"/>
            </w:tcBorders>
            <w:vAlign w:val="center"/>
          </w:tcPr>
          <w:p w14:paraId="2498C033">
            <w:pPr>
              <w:pStyle w:val="160"/>
              <w:rPr>
                <w:szCs w:val="21"/>
              </w:rPr>
            </w:pPr>
          </w:p>
        </w:tc>
        <w:tc>
          <w:tcPr>
            <w:tcW w:w="1842" w:type="pct"/>
            <w:tcBorders>
              <w:tl2br w:val="nil"/>
              <w:tr2bl w:val="nil"/>
            </w:tcBorders>
            <w:noWrap/>
            <w:vAlign w:val="center"/>
          </w:tcPr>
          <w:p w14:paraId="131221E6">
            <w:pPr>
              <w:pStyle w:val="160"/>
              <w:rPr>
                <w:szCs w:val="21"/>
              </w:rPr>
            </w:pPr>
            <w:r>
              <w:rPr>
                <w:szCs w:val="21"/>
              </w:rPr>
              <w:t>孔隙度%</w:t>
            </w:r>
          </w:p>
        </w:tc>
        <w:tc>
          <w:tcPr>
            <w:tcW w:w="2476" w:type="pct"/>
            <w:tcBorders>
              <w:left w:val="single" w:color="000000" w:sz="4" w:space="0"/>
              <w:tl2br w:val="nil"/>
              <w:tr2bl w:val="nil"/>
            </w:tcBorders>
            <w:noWrap/>
            <w:vAlign w:val="center"/>
          </w:tcPr>
          <w:p w14:paraId="39AB1EF7">
            <w:pPr>
              <w:widowControl/>
              <w:spacing w:before="0" w:beforeLines="0" w:line="240" w:lineRule="auto"/>
              <w:jc w:val="center"/>
              <w:textAlignment w:val="center"/>
              <w:rPr>
                <w:szCs w:val="21"/>
              </w:rPr>
            </w:pPr>
            <w:r>
              <w:rPr>
                <w:szCs w:val="21"/>
              </w:rPr>
              <w:t>21.0</w:t>
            </w:r>
          </w:p>
        </w:tc>
      </w:tr>
    </w:tbl>
    <w:p w14:paraId="6074D662">
      <w:pPr>
        <w:pStyle w:val="5"/>
        <w:rPr>
          <w:color w:val="auto"/>
        </w:rPr>
      </w:pPr>
      <w:r>
        <w:rPr>
          <w:color w:val="auto"/>
        </w:rPr>
        <w:t>5.5.3土壤环境</w:t>
      </w:r>
      <w:r>
        <w:rPr>
          <w:rFonts w:hint="eastAsia"/>
          <w:color w:val="auto"/>
        </w:rPr>
        <w:t>影响分析</w:t>
      </w:r>
    </w:p>
    <w:p w14:paraId="7D515B38">
      <w:pPr>
        <w:adjustRightInd w:val="0"/>
        <w:spacing w:before="0" w:beforeLines="0" w:line="360" w:lineRule="auto"/>
        <w:rPr>
          <w:b/>
          <w:sz w:val="24"/>
        </w:rPr>
      </w:pPr>
      <w:r>
        <w:rPr>
          <w:b/>
          <w:sz w:val="24"/>
        </w:rPr>
        <w:t>5.5.3</w:t>
      </w:r>
      <w:r>
        <w:rPr>
          <w:rFonts w:hint="eastAsia"/>
          <w:b/>
          <w:sz w:val="24"/>
        </w:rPr>
        <w:t>.1土壤类型现状调查及质量现状调查</w:t>
      </w:r>
    </w:p>
    <w:p w14:paraId="35256995">
      <w:pPr>
        <w:spacing w:before="0" w:beforeLines="0" w:line="360" w:lineRule="auto"/>
        <w:ind w:firstLine="480" w:firstLineChars="200"/>
        <w:rPr>
          <w:sz w:val="24"/>
        </w:rPr>
      </w:pPr>
      <w:r>
        <w:rPr>
          <w:rFonts w:hint="eastAsia"/>
          <w:sz w:val="24"/>
        </w:rPr>
        <w:t>本项目土壤调查及评价区域</w:t>
      </w:r>
      <w:r>
        <w:rPr>
          <w:sz w:val="24"/>
        </w:rPr>
        <w:t>为厂区全部占地范围和厂区周边外扩50m范围。</w:t>
      </w:r>
      <w:r>
        <w:rPr>
          <w:rFonts w:hint="eastAsia"/>
          <w:sz w:val="24"/>
        </w:rPr>
        <w:t>土地利用类型现状主要为采矿用地，调整后为工业用地。</w:t>
      </w:r>
    </w:p>
    <w:p w14:paraId="775044E1">
      <w:pPr>
        <w:spacing w:before="0" w:beforeLines="0" w:line="360" w:lineRule="auto"/>
        <w:ind w:firstLine="480" w:firstLineChars="200"/>
        <w:rPr>
          <w:sz w:val="24"/>
        </w:rPr>
      </w:pPr>
      <w:r>
        <w:rPr>
          <w:rFonts w:hint="eastAsia"/>
          <w:sz w:val="24"/>
        </w:rPr>
        <w:t>厂区及厂区外各监测点位的各项监测指标，满足《土壤环境质量建设用地土壤污染风险管控标准（试行）》（GB36600-2018）中第二类用地筛选值标准。</w:t>
      </w:r>
    </w:p>
    <w:p w14:paraId="5D6F5E14">
      <w:pPr>
        <w:adjustRightInd w:val="0"/>
        <w:spacing w:before="0" w:beforeLines="0" w:line="360" w:lineRule="auto"/>
        <w:rPr>
          <w:b/>
          <w:sz w:val="24"/>
        </w:rPr>
      </w:pPr>
      <w:r>
        <w:rPr>
          <w:b/>
          <w:sz w:val="24"/>
        </w:rPr>
        <w:t>5.5.3</w:t>
      </w:r>
      <w:r>
        <w:rPr>
          <w:rFonts w:hint="eastAsia"/>
          <w:b/>
          <w:sz w:val="24"/>
        </w:rPr>
        <w:t>.2土壤环境污染源识别</w:t>
      </w:r>
    </w:p>
    <w:p w14:paraId="01F37412">
      <w:pPr>
        <w:spacing w:before="0" w:beforeLines="0" w:line="360" w:lineRule="auto"/>
        <w:ind w:firstLine="480" w:firstLineChars="200"/>
        <w:rPr>
          <w:sz w:val="24"/>
        </w:rPr>
      </w:pPr>
      <w:r>
        <w:rPr>
          <w:rFonts w:hint="eastAsia"/>
          <w:sz w:val="24"/>
        </w:rPr>
        <w:t>本项目属于污染影响型，影响区域主要在生产区域。废气主要在选矿过程中，通过洒水逸尘及集气罩收集等方式，可以达到厂界达标，产生颗粒物中含有微量重金属物质通过大气沉降，可能对周边土壤环境造成影响；项目可能产生的垂直入渗影响为浓缩罐非正常状况下入渗，其中主要污染物是COD、石油类、重金属等物质，泄漏情况产生垂直入渗影响，由于COD等在土壤环境中较容易被微生物吸收分解，对土壤产生影响较大的主要为石油类及重金属；生产厂房地面做硬化，生产在封闭厂房中进行，产生地面漫流较少，可以忽略不计。具体见建设项目土壤环境影响类型与影响途径表。</w:t>
      </w:r>
    </w:p>
    <w:p w14:paraId="73B87D93">
      <w:pPr>
        <w:spacing w:before="156" w:beforeLines="50" w:line="240" w:lineRule="auto"/>
        <w:jc w:val="center"/>
        <w:rPr>
          <w:b/>
          <w:szCs w:val="21"/>
        </w:rPr>
      </w:pPr>
      <w:r>
        <w:rPr>
          <w:b/>
          <w:szCs w:val="21"/>
        </w:rPr>
        <w:t xml:space="preserve">表5.5-3  </w:t>
      </w:r>
      <w:r>
        <w:rPr>
          <w:rFonts w:hint="eastAsia"/>
          <w:b/>
          <w:szCs w:val="21"/>
        </w:rPr>
        <w:t>土壤环境影响类型与影响途径表</w:t>
      </w:r>
    </w:p>
    <w:tbl>
      <w:tblPr>
        <w:tblStyle w:val="89"/>
        <w:tblW w:w="5000" w:type="pct"/>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108" w:type="dxa"/>
          <w:bottom w:w="0" w:type="dxa"/>
          <w:right w:w="108" w:type="dxa"/>
        </w:tblCellMar>
      </w:tblPr>
      <w:tblGrid>
        <w:gridCol w:w="2013"/>
        <w:gridCol w:w="1799"/>
        <w:gridCol w:w="1797"/>
        <w:gridCol w:w="1797"/>
        <w:gridCol w:w="906"/>
      </w:tblGrid>
      <w:tr w14:paraId="15E06431">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30" w:hRule="atLeast"/>
        </w:trPr>
        <w:tc>
          <w:tcPr>
            <w:tcW w:w="1211" w:type="pct"/>
            <w:vMerge w:val="restart"/>
            <w:noWrap/>
            <w:vAlign w:val="center"/>
          </w:tcPr>
          <w:p w14:paraId="07B66299">
            <w:pPr>
              <w:widowControl/>
              <w:spacing w:before="0" w:beforeLines="0" w:line="240" w:lineRule="auto"/>
              <w:jc w:val="center"/>
              <w:rPr>
                <w:rFonts w:hint="eastAsia" w:ascii="宋体" w:hAnsi="宋体" w:cs="宋体"/>
                <w:kern w:val="0"/>
                <w:szCs w:val="21"/>
              </w:rPr>
            </w:pPr>
            <w:r>
              <w:rPr>
                <w:rFonts w:hint="eastAsia" w:ascii="宋体" w:hAnsi="宋体" w:cs="宋体"/>
                <w:kern w:val="0"/>
                <w:szCs w:val="21"/>
              </w:rPr>
              <w:t>不同时段</w:t>
            </w:r>
          </w:p>
        </w:tc>
        <w:tc>
          <w:tcPr>
            <w:tcW w:w="3789" w:type="pct"/>
            <w:gridSpan w:val="4"/>
            <w:noWrap/>
            <w:vAlign w:val="center"/>
          </w:tcPr>
          <w:p w14:paraId="7AF14B3D">
            <w:pPr>
              <w:widowControl/>
              <w:spacing w:before="0" w:beforeLines="0" w:line="240" w:lineRule="auto"/>
              <w:jc w:val="center"/>
              <w:rPr>
                <w:rFonts w:hint="eastAsia" w:ascii="宋体" w:hAnsi="宋体" w:cs="宋体"/>
                <w:kern w:val="0"/>
                <w:szCs w:val="21"/>
              </w:rPr>
            </w:pPr>
            <w:r>
              <w:rPr>
                <w:rFonts w:hint="eastAsia" w:ascii="宋体" w:hAnsi="宋体" w:cs="宋体"/>
                <w:kern w:val="0"/>
                <w:szCs w:val="21"/>
              </w:rPr>
              <w:t>污染影响型</w:t>
            </w:r>
          </w:p>
        </w:tc>
      </w:tr>
      <w:tr w14:paraId="357A13D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1211" w:type="pct"/>
            <w:vMerge w:val="continue"/>
            <w:vAlign w:val="center"/>
          </w:tcPr>
          <w:p w14:paraId="5C70572F">
            <w:pPr>
              <w:widowControl/>
              <w:spacing w:before="0" w:beforeLines="0" w:line="240" w:lineRule="auto"/>
              <w:jc w:val="center"/>
              <w:rPr>
                <w:rFonts w:hint="eastAsia" w:ascii="宋体" w:hAnsi="宋体" w:cs="宋体"/>
                <w:kern w:val="0"/>
                <w:szCs w:val="21"/>
              </w:rPr>
            </w:pPr>
          </w:p>
        </w:tc>
        <w:tc>
          <w:tcPr>
            <w:tcW w:w="1082" w:type="pct"/>
            <w:noWrap/>
            <w:vAlign w:val="center"/>
          </w:tcPr>
          <w:p w14:paraId="5CCD866E">
            <w:pPr>
              <w:widowControl/>
              <w:spacing w:before="0" w:beforeLines="0" w:line="240" w:lineRule="auto"/>
              <w:jc w:val="center"/>
              <w:rPr>
                <w:rFonts w:hint="eastAsia" w:ascii="宋体" w:hAnsi="宋体" w:cs="宋体"/>
                <w:kern w:val="0"/>
                <w:szCs w:val="21"/>
              </w:rPr>
            </w:pPr>
            <w:r>
              <w:rPr>
                <w:rFonts w:hint="eastAsia" w:ascii="宋体" w:hAnsi="宋体" w:cs="宋体"/>
                <w:kern w:val="0"/>
                <w:szCs w:val="21"/>
              </w:rPr>
              <w:t>大气沉降</w:t>
            </w:r>
          </w:p>
        </w:tc>
        <w:tc>
          <w:tcPr>
            <w:tcW w:w="1081" w:type="pct"/>
            <w:noWrap/>
            <w:vAlign w:val="center"/>
          </w:tcPr>
          <w:p w14:paraId="53AB1A6D">
            <w:pPr>
              <w:widowControl/>
              <w:spacing w:before="0" w:beforeLines="0" w:line="240" w:lineRule="auto"/>
              <w:jc w:val="center"/>
              <w:rPr>
                <w:rFonts w:hint="eastAsia" w:ascii="宋体" w:hAnsi="宋体" w:cs="宋体"/>
                <w:kern w:val="0"/>
                <w:szCs w:val="21"/>
              </w:rPr>
            </w:pPr>
            <w:r>
              <w:rPr>
                <w:rFonts w:hint="eastAsia" w:ascii="宋体" w:hAnsi="宋体" w:cs="宋体"/>
                <w:kern w:val="0"/>
                <w:szCs w:val="21"/>
              </w:rPr>
              <w:t>地面漫流</w:t>
            </w:r>
          </w:p>
        </w:tc>
        <w:tc>
          <w:tcPr>
            <w:tcW w:w="1081" w:type="pct"/>
            <w:noWrap/>
            <w:vAlign w:val="center"/>
          </w:tcPr>
          <w:p w14:paraId="6621BA16">
            <w:pPr>
              <w:widowControl/>
              <w:spacing w:before="0" w:beforeLines="0" w:line="240" w:lineRule="auto"/>
              <w:jc w:val="center"/>
              <w:rPr>
                <w:rFonts w:hint="eastAsia" w:ascii="宋体" w:hAnsi="宋体" w:cs="宋体"/>
                <w:kern w:val="0"/>
                <w:szCs w:val="21"/>
              </w:rPr>
            </w:pPr>
            <w:r>
              <w:rPr>
                <w:rFonts w:hint="eastAsia" w:ascii="宋体" w:hAnsi="宋体" w:cs="宋体"/>
                <w:kern w:val="0"/>
                <w:szCs w:val="21"/>
              </w:rPr>
              <w:t>垂直入渗</w:t>
            </w:r>
          </w:p>
        </w:tc>
        <w:tc>
          <w:tcPr>
            <w:tcW w:w="546" w:type="pct"/>
            <w:noWrap/>
            <w:vAlign w:val="center"/>
          </w:tcPr>
          <w:p w14:paraId="36ECCCD0">
            <w:pPr>
              <w:widowControl/>
              <w:spacing w:before="0" w:beforeLines="0" w:line="240" w:lineRule="auto"/>
              <w:jc w:val="center"/>
              <w:rPr>
                <w:rFonts w:hint="eastAsia" w:ascii="宋体" w:hAnsi="宋体" w:cs="宋体"/>
                <w:kern w:val="0"/>
                <w:szCs w:val="21"/>
              </w:rPr>
            </w:pPr>
            <w:r>
              <w:rPr>
                <w:rFonts w:hint="eastAsia" w:ascii="宋体" w:hAnsi="宋体" w:cs="宋体"/>
                <w:kern w:val="0"/>
                <w:szCs w:val="21"/>
              </w:rPr>
              <w:t>其他</w:t>
            </w:r>
          </w:p>
        </w:tc>
      </w:tr>
      <w:tr w14:paraId="7701893C">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1211" w:type="pct"/>
            <w:noWrap/>
            <w:vAlign w:val="center"/>
          </w:tcPr>
          <w:p w14:paraId="2757F580">
            <w:pPr>
              <w:widowControl/>
              <w:spacing w:before="0" w:beforeLines="0" w:line="240" w:lineRule="auto"/>
              <w:jc w:val="center"/>
              <w:rPr>
                <w:rFonts w:hint="eastAsia" w:ascii="宋体" w:hAnsi="宋体" w:cs="宋体"/>
                <w:kern w:val="0"/>
                <w:szCs w:val="21"/>
              </w:rPr>
            </w:pPr>
            <w:r>
              <w:rPr>
                <w:rFonts w:hint="eastAsia" w:ascii="宋体" w:hAnsi="宋体" w:cs="宋体"/>
                <w:kern w:val="0"/>
                <w:szCs w:val="21"/>
              </w:rPr>
              <w:t>建设期</w:t>
            </w:r>
          </w:p>
        </w:tc>
        <w:tc>
          <w:tcPr>
            <w:tcW w:w="1082" w:type="pct"/>
            <w:noWrap/>
            <w:vAlign w:val="center"/>
          </w:tcPr>
          <w:p w14:paraId="7471F388">
            <w:pPr>
              <w:widowControl/>
              <w:spacing w:before="0" w:beforeLines="0" w:line="240" w:lineRule="auto"/>
              <w:jc w:val="center"/>
              <w:rPr>
                <w:kern w:val="0"/>
                <w:szCs w:val="21"/>
              </w:rPr>
            </w:pPr>
          </w:p>
        </w:tc>
        <w:tc>
          <w:tcPr>
            <w:tcW w:w="1081" w:type="pct"/>
            <w:noWrap/>
            <w:vAlign w:val="center"/>
          </w:tcPr>
          <w:p w14:paraId="5298A5E9">
            <w:pPr>
              <w:widowControl/>
              <w:spacing w:before="0" w:beforeLines="0" w:line="240" w:lineRule="auto"/>
              <w:jc w:val="center"/>
              <w:rPr>
                <w:rFonts w:hint="eastAsia" w:ascii="宋体" w:hAnsi="宋体" w:cs="宋体"/>
                <w:kern w:val="0"/>
                <w:szCs w:val="21"/>
              </w:rPr>
            </w:pPr>
          </w:p>
        </w:tc>
        <w:tc>
          <w:tcPr>
            <w:tcW w:w="1081" w:type="pct"/>
            <w:noWrap/>
            <w:vAlign w:val="center"/>
          </w:tcPr>
          <w:p w14:paraId="4521BF13">
            <w:pPr>
              <w:widowControl/>
              <w:spacing w:before="0" w:beforeLines="0" w:line="240" w:lineRule="auto"/>
              <w:jc w:val="center"/>
              <w:rPr>
                <w:rFonts w:hint="eastAsia" w:ascii="宋体" w:hAnsi="宋体" w:cs="宋体"/>
                <w:kern w:val="0"/>
                <w:szCs w:val="21"/>
              </w:rPr>
            </w:pPr>
          </w:p>
        </w:tc>
        <w:tc>
          <w:tcPr>
            <w:tcW w:w="546" w:type="pct"/>
            <w:noWrap/>
            <w:vAlign w:val="center"/>
          </w:tcPr>
          <w:p w14:paraId="3AAC172A">
            <w:pPr>
              <w:widowControl/>
              <w:spacing w:before="0" w:beforeLines="0" w:line="240" w:lineRule="auto"/>
              <w:jc w:val="center"/>
              <w:rPr>
                <w:rFonts w:hint="eastAsia" w:ascii="宋体" w:hAnsi="宋体" w:cs="宋体"/>
                <w:kern w:val="0"/>
                <w:szCs w:val="21"/>
              </w:rPr>
            </w:pPr>
          </w:p>
        </w:tc>
      </w:tr>
      <w:tr w14:paraId="007A417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1211" w:type="pct"/>
            <w:noWrap/>
            <w:vAlign w:val="center"/>
          </w:tcPr>
          <w:p w14:paraId="10FAC0FB">
            <w:pPr>
              <w:widowControl/>
              <w:spacing w:before="0" w:beforeLines="0" w:line="240" w:lineRule="auto"/>
              <w:jc w:val="center"/>
              <w:rPr>
                <w:rFonts w:hint="eastAsia" w:ascii="宋体" w:hAnsi="宋体" w:cs="宋体"/>
                <w:kern w:val="0"/>
                <w:szCs w:val="21"/>
              </w:rPr>
            </w:pPr>
            <w:r>
              <w:rPr>
                <w:rFonts w:hint="eastAsia" w:ascii="宋体" w:hAnsi="宋体" w:cs="宋体"/>
                <w:kern w:val="0"/>
                <w:szCs w:val="21"/>
              </w:rPr>
              <w:t>运营期</w:t>
            </w:r>
          </w:p>
        </w:tc>
        <w:tc>
          <w:tcPr>
            <w:tcW w:w="1082" w:type="pct"/>
            <w:noWrap/>
            <w:vAlign w:val="center"/>
          </w:tcPr>
          <w:p w14:paraId="7ECA0C29">
            <w:pPr>
              <w:widowControl/>
              <w:spacing w:before="0" w:beforeLines="0" w:line="240" w:lineRule="auto"/>
              <w:jc w:val="center"/>
              <w:rPr>
                <w:rFonts w:hint="eastAsia" w:ascii="宋体" w:hAnsi="宋体" w:cs="宋体"/>
                <w:kern w:val="0"/>
                <w:szCs w:val="21"/>
              </w:rPr>
            </w:pPr>
            <w:r>
              <w:rPr>
                <w:kern w:val="0"/>
                <w:szCs w:val="21"/>
              </w:rPr>
              <w:t>√</w:t>
            </w:r>
          </w:p>
        </w:tc>
        <w:tc>
          <w:tcPr>
            <w:tcW w:w="1081" w:type="pct"/>
            <w:noWrap/>
            <w:vAlign w:val="center"/>
          </w:tcPr>
          <w:p w14:paraId="28417CD4">
            <w:pPr>
              <w:widowControl/>
              <w:spacing w:before="0" w:beforeLines="0" w:line="240" w:lineRule="auto"/>
              <w:jc w:val="center"/>
              <w:rPr>
                <w:rFonts w:hint="eastAsia" w:ascii="宋体" w:hAnsi="宋体" w:cs="宋体"/>
                <w:kern w:val="0"/>
                <w:szCs w:val="21"/>
              </w:rPr>
            </w:pPr>
          </w:p>
        </w:tc>
        <w:tc>
          <w:tcPr>
            <w:tcW w:w="1081" w:type="pct"/>
            <w:noWrap/>
            <w:vAlign w:val="center"/>
          </w:tcPr>
          <w:p w14:paraId="735E9546">
            <w:pPr>
              <w:widowControl/>
              <w:spacing w:before="0" w:beforeLines="0" w:line="240" w:lineRule="auto"/>
              <w:jc w:val="center"/>
              <w:rPr>
                <w:rFonts w:hint="eastAsia" w:ascii="宋体" w:hAnsi="宋体" w:cs="宋体"/>
                <w:kern w:val="0"/>
                <w:szCs w:val="21"/>
              </w:rPr>
            </w:pPr>
            <w:r>
              <w:rPr>
                <w:kern w:val="0"/>
                <w:szCs w:val="21"/>
              </w:rPr>
              <w:t>√</w:t>
            </w:r>
          </w:p>
        </w:tc>
        <w:tc>
          <w:tcPr>
            <w:tcW w:w="546" w:type="pct"/>
            <w:noWrap/>
            <w:vAlign w:val="center"/>
          </w:tcPr>
          <w:p w14:paraId="0E918A7B">
            <w:pPr>
              <w:widowControl/>
              <w:spacing w:before="0" w:beforeLines="0" w:line="240" w:lineRule="auto"/>
              <w:jc w:val="center"/>
              <w:rPr>
                <w:rFonts w:hint="eastAsia" w:ascii="宋体" w:hAnsi="宋体" w:cs="宋体"/>
                <w:kern w:val="0"/>
                <w:szCs w:val="21"/>
              </w:rPr>
            </w:pPr>
          </w:p>
        </w:tc>
      </w:tr>
      <w:tr w14:paraId="54BB9595">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1211" w:type="pct"/>
            <w:noWrap/>
            <w:vAlign w:val="center"/>
          </w:tcPr>
          <w:p w14:paraId="6D2E2F38">
            <w:pPr>
              <w:widowControl/>
              <w:spacing w:before="0" w:beforeLines="0" w:line="240" w:lineRule="auto"/>
              <w:jc w:val="center"/>
              <w:rPr>
                <w:rFonts w:hint="eastAsia" w:ascii="宋体" w:hAnsi="宋体" w:cs="宋体"/>
                <w:kern w:val="0"/>
                <w:szCs w:val="21"/>
              </w:rPr>
            </w:pPr>
            <w:r>
              <w:rPr>
                <w:rFonts w:hint="eastAsia" w:ascii="宋体" w:hAnsi="宋体" w:cs="宋体"/>
                <w:kern w:val="0"/>
                <w:szCs w:val="21"/>
              </w:rPr>
              <w:t>服务期满后</w:t>
            </w:r>
          </w:p>
        </w:tc>
        <w:tc>
          <w:tcPr>
            <w:tcW w:w="1082" w:type="pct"/>
            <w:noWrap/>
            <w:vAlign w:val="center"/>
          </w:tcPr>
          <w:p w14:paraId="1FD67201">
            <w:pPr>
              <w:widowControl/>
              <w:spacing w:before="0" w:beforeLines="0" w:line="240" w:lineRule="auto"/>
              <w:jc w:val="center"/>
              <w:rPr>
                <w:rFonts w:hint="eastAsia" w:ascii="宋体" w:hAnsi="宋体" w:cs="宋体"/>
                <w:kern w:val="0"/>
                <w:szCs w:val="21"/>
              </w:rPr>
            </w:pPr>
          </w:p>
        </w:tc>
        <w:tc>
          <w:tcPr>
            <w:tcW w:w="1081" w:type="pct"/>
            <w:noWrap/>
            <w:vAlign w:val="center"/>
          </w:tcPr>
          <w:p w14:paraId="00E05CB8">
            <w:pPr>
              <w:widowControl/>
              <w:spacing w:before="0" w:beforeLines="0" w:line="240" w:lineRule="auto"/>
              <w:jc w:val="center"/>
              <w:rPr>
                <w:rFonts w:hint="eastAsia" w:ascii="宋体" w:hAnsi="宋体" w:cs="宋体"/>
                <w:kern w:val="0"/>
                <w:szCs w:val="21"/>
              </w:rPr>
            </w:pPr>
          </w:p>
        </w:tc>
        <w:tc>
          <w:tcPr>
            <w:tcW w:w="1081" w:type="pct"/>
            <w:noWrap/>
            <w:vAlign w:val="center"/>
          </w:tcPr>
          <w:p w14:paraId="3A51B5D7">
            <w:pPr>
              <w:widowControl/>
              <w:spacing w:before="0" w:beforeLines="0" w:line="240" w:lineRule="auto"/>
              <w:jc w:val="center"/>
              <w:rPr>
                <w:rFonts w:hint="eastAsia" w:ascii="宋体" w:hAnsi="宋体" w:cs="宋体"/>
                <w:kern w:val="0"/>
                <w:szCs w:val="21"/>
              </w:rPr>
            </w:pPr>
          </w:p>
        </w:tc>
        <w:tc>
          <w:tcPr>
            <w:tcW w:w="546" w:type="pct"/>
            <w:noWrap/>
            <w:vAlign w:val="center"/>
          </w:tcPr>
          <w:p w14:paraId="6BB9DF62">
            <w:pPr>
              <w:widowControl/>
              <w:spacing w:before="0" w:beforeLines="0" w:line="240" w:lineRule="auto"/>
              <w:jc w:val="center"/>
              <w:rPr>
                <w:rFonts w:hint="eastAsia" w:ascii="宋体" w:hAnsi="宋体" w:cs="宋体"/>
                <w:kern w:val="0"/>
                <w:szCs w:val="21"/>
              </w:rPr>
            </w:pPr>
          </w:p>
        </w:tc>
      </w:tr>
    </w:tbl>
    <w:p w14:paraId="3B664D05">
      <w:pPr>
        <w:snapToGrid w:val="0"/>
        <w:spacing w:before="0" w:beforeLines="0" w:line="360" w:lineRule="auto"/>
        <w:ind w:firstLine="480" w:firstLineChars="200"/>
        <w:rPr>
          <w:sz w:val="24"/>
        </w:rPr>
      </w:pPr>
      <w:r>
        <w:rPr>
          <w:rFonts w:hint="eastAsia"/>
          <w:sz w:val="24"/>
        </w:rPr>
        <w:t>土壤是复杂的三相共存体系，其污染物质主要通过被污染物大气沉降及泄漏废水的垂直入渗而进入土壤环境。</w:t>
      </w:r>
    </w:p>
    <w:bookmarkEnd w:id="237"/>
    <w:p w14:paraId="5EA59520">
      <w:pPr>
        <w:snapToGrid w:val="0"/>
        <w:spacing w:before="0" w:beforeLines="0" w:line="360" w:lineRule="auto"/>
        <w:ind w:firstLine="480" w:firstLineChars="200"/>
        <w:jc w:val="left"/>
        <w:rPr>
          <w:rFonts w:hint="eastAsia" w:ascii="宋体" w:hAnsi="宋体"/>
          <w:snapToGrid w:val="0"/>
          <w:sz w:val="24"/>
        </w:rPr>
      </w:pPr>
      <w:bookmarkStart w:id="530" w:name="_Toc17475981"/>
      <w:r>
        <w:rPr>
          <w:rFonts w:hint="eastAsia" w:ascii="宋体" w:hAnsi="宋体"/>
          <w:snapToGrid w:val="0"/>
          <w:sz w:val="24"/>
        </w:rPr>
        <w:t>通过大气预测结果，废气可达标排放，厂区外污染物质直接沉降至土壤环境中较小，沉降至土壤中的污染物部分会被微生物分解消耗，残留在土壤环境中的污染物质会</w:t>
      </w:r>
      <w:r>
        <w:rPr>
          <w:rFonts w:hint="eastAsia" w:ascii="宋体" w:hAnsi="宋体"/>
          <w:snapToGrid w:val="0"/>
          <w:sz w:val="24"/>
          <w:lang w:eastAsia="zh-CN"/>
        </w:rPr>
        <w:t>随着</w:t>
      </w:r>
      <w:r>
        <w:rPr>
          <w:rFonts w:hint="eastAsia" w:ascii="宋体" w:hAnsi="宋体"/>
          <w:snapToGrid w:val="0"/>
          <w:sz w:val="24"/>
        </w:rPr>
        <w:t>时间的推移逐渐减少。</w:t>
      </w:r>
    </w:p>
    <w:p w14:paraId="1156E470">
      <w:pPr>
        <w:adjustRightInd w:val="0"/>
        <w:snapToGrid w:val="0"/>
        <w:spacing w:before="0" w:beforeLines="0" w:line="360" w:lineRule="auto"/>
        <w:ind w:firstLine="480" w:firstLineChars="200"/>
        <w:rPr>
          <w:sz w:val="18"/>
        </w:rPr>
      </w:pPr>
      <w:r>
        <w:rPr>
          <w:rFonts w:hint="eastAsia" w:hAnsi="宋体"/>
          <w:snapToGrid w:val="0"/>
          <w:sz w:val="24"/>
        </w:rPr>
        <w:t>根据</w:t>
      </w:r>
      <w:bookmarkStart w:id="531" w:name="_Hlk166314737"/>
      <w:r>
        <w:rPr>
          <w:rFonts w:hint="eastAsia" w:hAnsi="宋体"/>
          <w:snapToGrid w:val="0"/>
          <w:sz w:val="24"/>
        </w:rPr>
        <w:t>包气带</w:t>
      </w:r>
      <w:bookmarkEnd w:id="531"/>
      <w:r>
        <w:rPr>
          <w:rFonts w:hint="eastAsia" w:hAnsi="宋体"/>
          <w:snapToGrid w:val="0"/>
          <w:sz w:val="24"/>
        </w:rPr>
        <w:t>调查，产生的污染物质达到潜水含水层量较小，综合地下水影响预测评价，在非正常状况下对土壤环境有一定影响，但下渗至地下水含水层后被地下水稀释对周边环境影响较小，且污染物在土壤中会受到微生物的分解，在污染影响一段时间后对周边土壤环境影响较小。</w:t>
      </w:r>
    </w:p>
    <w:p w14:paraId="4D86612C">
      <w:pPr>
        <w:overflowPunct w:val="0"/>
        <w:autoSpaceDE w:val="0"/>
        <w:autoSpaceDN w:val="0"/>
        <w:adjustRightInd w:val="0"/>
        <w:snapToGrid w:val="0"/>
        <w:spacing w:before="0" w:beforeLines="0" w:line="360" w:lineRule="auto"/>
        <w:ind w:firstLine="480" w:firstLineChars="200"/>
        <w:textAlignment w:val="baseline"/>
        <w:rPr>
          <w:kern w:val="28"/>
          <w:sz w:val="24"/>
        </w:rPr>
      </w:pPr>
      <w:r>
        <w:rPr>
          <w:rFonts w:hint="eastAsia"/>
          <w:kern w:val="28"/>
          <w:sz w:val="24"/>
        </w:rPr>
        <w:t>本项目各个生产工序水池均做防渗处理，因此对土壤影响较小。</w:t>
      </w:r>
    </w:p>
    <w:p w14:paraId="374AAF93">
      <w:pPr>
        <w:adjustRightInd w:val="0"/>
        <w:snapToGrid w:val="0"/>
        <w:spacing w:before="0" w:beforeLines="0" w:line="360" w:lineRule="auto"/>
        <w:rPr>
          <w:b/>
          <w:sz w:val="24"/>
        </w:rPr>
      </w:pPr>
      <w:r>
        <w:rPr>
          <w:b/>
          <w:sz w:val="24"/>
        </w:rPr>
        <w:t>5.</w:t>
      </w:r>
      <w:r>
        <w:rPr>
          <w:rFonts w:hint="eastAsia"/>
          <w:b/>
          <w:sz w:val="24"/>
        </w:rPr>
        <w:t>3</w:t>
      </w:r>
      <w:r>
        <w:rPr>
          <w:b/>
          <w:sz w:val="24"/>
        </w:rPr>
        <w:t>.</w:t>
      </w:r>
      <w:r>
        <w:rPr>
          <w:rFonts w:hint="eastAsia"/>
          <w:b/>
          <w:sz w:val="24"/>
        </w:rPr>
        <w:t>5.3土壤环境保护措施与对策</w:t>
      </w:r>
    </w:p>
    <w:p w14:paraId="473E6508">
      <w:pPr>
        <w:snapToGrid w:val="0"/>
        <w:spacing w:before="0" w:beforeLines="0" w:line="360" w:lineRule="auto"/>
        <w:ind w:firstLine="480"/>
        <w:rPr>
          <w:sz w:val="24"/>
        </w:rPr>
      </w:pPr>
      <w:r>
        <w:rPr>
          <w:rFonts w:hint="eastAsia"/>
          <w:sz w:val="24"/>
        </w:rPr>
        <w:t>（</w:t>
      </w:r>
      <w:r>
        <w:rPr>
          <w:sz w:val="24"/>
        </w:rPr>
        <w:t>1</w:t>
      </w:r>
      <w:r>
        <w:rPr>
          <w:rFonts w:hint="eastAsia"/>
          <w:sz w:val="24"/>
        </w:rPr>
        <w:t>）企业应按照相关环评文件的要求，严格落实废水环保处置设施、确保污染物稳定达标排放，尾矿得到妥善处置；</w:t>
      </w:r>
    </w:p>
    <w:p w14:paraId="3FB6BA73">
      <w:pPr>
        <w:snapToGrid w:val="0"/>
        <w:spacing w:before="0" w:beforeLines="0" w:line="360" w:lineRule="auto"/>
        <w:ind w:firstLine="480"/>
        <w:rPr>
          <w:sz w:val="24"/>
        </w:rPr>
      </w:pPr>
      <w:r>
        <w:rPr>
          <w:rFonts w:hint="eastAsia"/>
          <w:sz w:val="24"/>
        </w:rPr>
        <w:t>（</w:t>
      </w:r>
      <w:r>
        <w:rPr>
          <w:sz w:val="24"/>
        </w:rPr>
        <w:t>2</w:t>
      </w:r>
      <w:r>
        <w:rPr>
          <w:rFonts w:hint="eastAsia"/>
          <w:sz w:val="24"/>
        </w:rPr>
        <w:t>）加强设备的巡检及维护工作，杜绝“跑、冒、滴、漏”现象；</w:t>
      </w:r>
    </w:p>
    <w:p w14:paraId="601B9FBF">
      <w:pPr>
        <w:snapToGrid w:val="0"/>
        <w:spacing w:before="0" w:beforeLines="0" w:line="360" w:lineRule="auto"/>
        <w:ind w:firstLine="480"/>
        <w:rPr>
          <w:sz w:val="24"/>
        </w:rPr>
      </w:pPr>
      <w:r>
        <w:rPr>
          <w:rFonts w:hint="eastAsia"/>
          <w:sz w:val="24"/>
        </w:rPr>
        <w:t>（</w:t>
      </w:r>
      <w:r>
        <w:rPr>
          <w:sz w:val="24"/>
        </w:rPr>
        <w:t>3</w:t>
      </w:r>
      <w:r>
        <w:rPr>
          <w:rFonts w:hint="eastAsia"/>
          <w:sz w:val="24"/>
        </w:rPr>
        <w:t>）加强厂区环保监管工作，定期对环保设施、措施进行巡查，以便一旦发生异常迹象，应及时采取措施，消除或减轻废水对厂区及周边土壤的影响、粉尘迁移飘散对周边土壤的影响。</w:t>
      </w:r>
    </w:p>
    <w:p w14:paraId="1ECC57A7">
      <w:pPr>
        <w:snapToGrid w:val="0"/>
        <w:spacing w:before="0" w:beforeLines="0" w:line="360" w:lineRule="auto"/>
        <w:ind w:firstLine="480"/>
        <w:rPr>
          <w:sz w:val="24"/>
        </w:rPr>
      </w:pPr>
      <w:r>
        <w:rPr>
          <w:rFonts w:hint="eastAsia"/>
          <w:sz w:val="24"/>
        </w:rPr>
        <w:t>（</w:t>
      </w:r>
      <w:r>
        <w:rPr>
          <w:sz w:val="24"/>
        </w:rPr>
        <w:t>4</w:t>
      </w:r>
      <w:r>
        <w:rPr>
          <w:rFonts w:hint="eastAsia"/>
          <w:sz w:val="24"/>
        </w:rPr>
        <w:t>）定期对场地进行土壤监测，以掌握土壤受污染状况，以便第一时间采取采取措施消除、组织污染扩散。采样监测过程应按最新相关文件要求进行采样分析，同时做好建设过程中的环保监管工作。</w:t>
      </w:r>
    </w:p>
    <w:p w14:paraId="204B5F69">
      <w:pPr>
        <w:snapToGrid w:val="0"/>
        <w:spacing w:before="0" w:beforeLines="0" w:line="360" w:lineRule="auto"/>
        <w:ind w:firstLine="480"/>
        <w:rPr>
          <w:sz w:val="24"/>
        </w:rPr>
      </w:pPr>
      <w:r>
        <w:rPr>
          <w:rFonts w:hint="eastAsia"/>
          <w:sz w:val="24"/>
        </w:rPr>
        <w:t>（</w:t>
      </w:r>
      <w:r>
        <w:rPr>
          <w:sz w:val="24"/>
        </w:rPr>
        <w:t>5</w:t>
      </w:r>
      <w:r>
        <w:rPr>
          <w:rFonts w:hint="eastAsia"/>
          <w:sz w:val="24"/>
        </w:rPr>
        <w:t>）若后期土壤作为其他用途时，应进行全面监测，并根据检测结果采取相应的管控措施。</w:t>
      </w:r>
    </w:p>
    <w:p w14:paraId="06980C66">
      <w:pPr>
        <w:adjustRightInd w:val="0"/>
        <w:snapToGrid w:val="0"/>
        <w:spacing w:before="0" w:beforeLines="0" w:line="360" w:lineRule="auto"/>
        <w:rPr>
          <w:b/>
          <w:sz w:val="24"/>
        </w:rPr>
      </w:pPr>
      <w:r>
        <w:rPr>
          <w:rFonts w:hint="eastAsia"/>
          <w:b/>
          <w:sz w:val="24"/>
        </w:rPr>
        <w:t>5.3.5.4跟踪监测</w:t>
      </w:r>
    </w:p>
    <w:p w14:paraId="122062F3">
      <w:pPr>
        <w:adjustRightInd w:val="0"/>
        <w:snapToGrid w:val="0"/>
        <w:spacing w:before="0" w:beforeLines="0" w:line="360" w:lineRule="auto"/>
        <w:ind w:firstLine="480" w:firstLineChars="200"/>
        <w:rPr>
          <w:sz w:val="24"/>
        </w:rPr>
      </w:pPr>
      <w:r>
        <w:rPr>
          <w:rFonts w:hint="eastAsia"/>
          <w:sz w:val="24"/>
        </w:rPr>
        <w:t>根据项目特点及评价等级确定，本次对厂区土壤进行跟踪监测，具体设置如下：</w:t>
      </w:r>
    </w:p>
    <w:p w14:paraId="7F80B919">
      <w:pPr>
        <w:adjustRightInd w:val="0"/>
        <w:snapToGrid w:val="0"/>
        <w:spacing w:before="0" w:beforeLines="0" w:line="360" w:lineRule="auto"/>
        <w:ind w:firstLine="480" w:firstLineChars="200"/>
        <w:rPr>
          <w:sz w:val="24"/>
        </w:rPr>
      </w:pPr>
      <w:r>
        <w:rPr>
          <w:rFonts w:hint="eastAsia"/>
          <w:sz w:val="24"/>
        </w:rPr>
        <w:t>（1）监测点位设置</w:t>
      </w:r>
    </w:p>
    <w:p w14:paraId="0849F676">
      <w:pPr>
        <w:adjustRightInd w:val="0"/>
        <w:snapToGrid w:val="0"/>
        <w:spacing w:before="0" w:beforeLines="0" w:line="360" w:lineRule="auto"/>
        <w:ind w:firstLine="480" w:firstLineChars="200"/>
        <w:rPr>
          <w:sz w:val="24"/>
        </w:rPr>
      </w:pPr>
      <w:r>
        <w:rPr>
          <w:rFonts w:hint="eastAsia"/>
          <w:sz w:val="24"/>
        </w:rPr>
        <w:t>监测点位应布设在重点影响区，即在项目浓缩罐附近设置1个监测点位。</w:t>
      </w:r>
    </w:p>
    <w:p w14:paraId="1880C272">
      <w:pPr>
        <w:adjustRightInd w:val="0"/>
        <w:snapToGrid w:val="0"/>
        <w:spacing w:before="0" w:beforeLines="0" w:line="360" w:lineRule="auto"/>
        <w:ind w:firstLine="480" w:firstLineChars="200"/>
        <w:rPr>
          <w:sz w:val="24"/>
        </w:rPr>
      </w:pPr>
      <w:r>
        <w:rPr>
          <w:rFonts w:hint="eastAsia"/>
          <w:sz w:val="24"/>
        </w:rPr>
        <w:t>（2）监测指标</w:t>
      </w:r>
    </w:p>
    <w:p w14:paraId="1EB03E06">
      <w:pPr>
        <w:adjustRightInd w:val="0"/>
        <w:snapToGrid w:val="0"/>
        <w:spacing w:before="0" w:beforeLines="0" w:line="360" w:lineRule="auto"/>
        <w:ind w:firstLine="480" w:firstLineChars="200"/>
        <w:rPr>
          <w:sz w:val="24"/>
        </w:rPr>
      </w:pPr>
      <w:r>
        <w:rPr>
          <w:rFonts w:hint="eastAsia"/>
          <w:sz w:val="24"/>
        </w:rPr>
        <w:t>监测因子选取</w:t>
      </w:r>
      <w:r>
        <w:rPr>
          <w:sz w:val="24"/>
        </w:rPr>
        <w:t>《土壤环境质量 建设用地土壤污染风险管控标准（试行）》（GB36600-2018）</w:t>
      </w:r>
      <w:r>
        <w:rPr>
          <w:rFonts w:hint="eastAsia"/>
          <w:sz w:val="24"/>
        </w:rPr>
        <w:t>中基本因子及本项目特征污染因子，同时</w:t>
      </w:r>
      <w:r>
        <w:rPr>
          <w:rFonts w:hint="eastAsia"/>
          <w:sz w:val="24"/>
          <w:lang w:eastAsia="zh-CN"/>
        </w:rPr>
        <w:t>监测</w:t>
      </w:r>
      <w:r>
        <w:rPr>
          <w:rFonts w:hint="eastAsia"/>
          <w:sz w:val="24"/>
        </w:rPr>
        <w:t>pH值、石油烃及钒。</w:t>
      </w:r>
    </w:p>
    <w:p w14:paraId="6A481EE7">
      <w:pPr>
        <w:adjustRightInd w:val="0"/>
        <w:snapToGrid w:val="0"/>
        <w:spacing w:before="0" w:beforeLines="0" w:line="360" w:lineRule="auto"/>
        <w:ind w:firstLine="480" w:firstLineChars="200"/>
        <w:rPr>
          <w:sz w:val="24"/>
        </w:rPr>
      </w:pPr>
      <w:r>
        <w:rPr>
          <w:rFonts w:hint="eastAsia"/>
          <w:sz w:val="24"/>
        </w:rPr>
        <w:t>（3）监测要求</w:t>
      </w:r>
    </w:p>
    <w:p w14:paraId="6BD682FE">
      <w:pPr>
        <w:adjustRightInd w:val="0"/>
        <w:snapToGrid w:val="0"/>
        <w:spacing w:before="0" w:beforeLines="0" w:line="360" w:lineRule="auto"/>
        <w:ind w:firstLine="480" w:firstLineChars="200"/>
        <w:rPr>
          <w:sz w:val="24"/>
        </w:rPr>
      </w:pPr>
      <w:r>
        <w:rPr>
          <w:rFonts w:hint="eastAsia"/>
          <w:sz w:val="24"/>
        </w:rPr>
        <w:t>本项目</w:t>
      </w:r>
      <w:r>
        <w:rPr>
          <w:rFonts w:hint="eastAsia"/>
          <w:sz w:val="24"/>
          <w:lang w:eastAsia="zh-CN"/>
        </w:rPr>
        <w:t>为</w:t>
      </w:r>
      <w:r>
        <w:rPr>
          <w:rFonts w:hint="eastAsia"/>
          <w:sz w:val="24"/>
        </w:rPr>
        <w:t>三级评价，每5年内开展1次。跟踪监测应取得监测数据向社会公开，接受公众监督。</w:t>
      </w:r>
    </w:p>
    <w:p w14:paraId="1F6C4CE0">
      <w:pPr>
        <w:pStyle w:val="4"/>
        <w:rPr>
          <w:rFonts w:ascii="Times New Roman" w:hAnsi="Times New Roman" w:eastAsia="宋体"/>
          <w:color w:val="auto"/>
        </w:rPr>
      </w:pPr>
      <w:bookmarkStart w:id="532" w:name="_Toc239274281"/>
      <w:r>
        <w:rPr>
          <w:rFonts w:ascii="Times New Roman" w:hAnsi="Times New Roman" w:eastAsia="宋体"/>
          <w:color w:val="auto"/>
        </w:rPr>
        <w:t>5.6固体废物环境影响评价</w:t>
      </w:r>
      <w:bookmarkEnd w:id="532"/>
    </w:p>
    <w:p w14:paraId="18CDF7EE">
      <w:pPr>
        <w:pStyle w:val="5"/>
        <w:rPr>
          <w:color w:val="auto"/>
        </w:rPr>
      </w:pPr>
      <w:r>
        <w:rPr>
          <w:color w:val="auto"/>
        </w:rPr>
        <w:t>5.6.1固体废物来源、产生量及综合利用途径</w:t>
      </w:r>
    </w:p>
    <w:p w14:paraId="30AD3509">
      <w:pPr>
        <w:pStyle w:val="151"/>
      </w:pPr>
      <w:r>
        <w:t>本项目产生的固体废物包括一般工业固体废物、危险废物、生活垃圾。其中，一般固体废物包括：各除尘系统收集的除尘灰、落地灰、泥饼，危险废物包括：废矿物油。</w:t>
      </w:r>
    </w:p>
    <w:p w14:paraId="7FD8705C">
      <w:pPr>
        <w:adjustRightInd w:val="0"/>
        <w:spacing w:before="0" w:beforeLines="0" w:line="360" w:lineRule="auto"/>
        <w:ind w:firstLine="482" w:firstLineChars="200"/>
        <w:jc w:val="left"/>
        <w:rPr>
          <w:b/>
          <w:bCs/>
          <w:kern w:val="0"/>
          <w:sz w:val="24"/>
        </w:rPr>
      </w:pPr>
      <w:r>
        <w:rPr>
          <w:b/>
          <w:bCs/>
          <w:kern w:val="0"/>
          <w:sz w:val="24"/>
        </w:rPr>
        <w:fldChar w:fldCharType="begin"/>
      </w:r>
      <w:r>
        <w:rPr>
          <w:b/>
          <w:bCs/>
          <w:kern w:val="0"/>
          <w:sz w:val="24"/>
        </w:rPr>
        <w:instrText xml:space="preserve"> = 1 \* GB2 \* MERGEFORMAT </w:instrText>
      </w:r>
      <w:r>
        <w:rPr>
          <w:b/>
          <w:bCs/>
          <w:kern w:val="0"/>
          <w:sz w:val="24"/>
        </w:rPr>
        <w:fldChar w:fldCharType="separate"/>
      </w:r>
      <w:r>
        <w:rPr>
          <w:b/>
          <w:bCs/>
          <w:sz w:val="24"/>
        </w:rPr>
        <w:t>⑴</w:t>
      </w:r>
      <w:r>
        <w:rPr>
          <w:b/>
          <w:bCs/>
          <w:kern w:val="0"/>
          <w:sz w:val="24"/>
        </w:rPr>
        <w:fldChar w:fldCharType="end"/>
      </w:r>
      <w:r>
        <w:rPr>
          <w:b/>
          <w:bCs/>
          <w:kern w:val="0"/>
          <w:sz w:val="24"/>
        </w:rPr>
        <w:t>一般工业固体废物</w:t>
      </w:r>
    </w:p>
    <w:p w14:paraId="2D5B6E50">
      <w:pPr>
        <w:adjustRightInd w:val="0"/>
        <w:spacing w:before="0" w:beforeLines="0" w:line="360" w:lineRule="auto"/>
        <w:ind w:firstLine="480" w:firstLineChars="200"/>
        <w:rPr>
          <w:kern w:val="0"/>
          <w:sz w:val="24"/>
        </w:rPr>
      </w:pPr>
      <w:r>
        <w:rPr>
          <w:kern w:val="0"/>
          <w:sz w:val="24"/>
        </w:rPr>
        <w:t>①除尘灰</w:t>
      </w:r>
      <w:r>
        <w:rPr>
          <w:rFonts w:hint="eastAsia"/>
          <w:kern w:val="0"/>
          <w:sz w:val="24"/>
        </w:rPr>
        <w:t>及落地灰</w:t>
      </w:r>
    </w:p>
    <w:p w14:paraId="27A3B454">
      <w:pPr>
        <w:adjustRightInd w:val="0"/>
        <w:spacing w:before="0" w:beforeLines="0" w:line="360" w:lineRule="auto"/>
        <w:ind w:firstLine="480" w:firstLineChars="200"/>
        <w:rPr>
          <w:kern w:val="0"/>
          <w:sz w:val="24"/>
        </w:rPr>
      </w:pPr>
      <w:r>
        <w:rPr>
          <w:kern w:val="0"/>
          <w:sz w:val="24"/>
        </w:rPr>
        <w:t>袋式除尘系统收集的除尘灰，年产生量约</w:t>
      </w:r>
      <w:r>
        <w:rPr>
          <w:rFonts w:hint="eastAsia"/>
          <w:kern w:val="0"/>
          <w:sz w:val="24"/>
        </w:rPr>
        <w:t>3337.11</w:t>
      </w:r>
      <w:r>
        <w:rPr>
          <w:kern w:val="0"/>
          <w:sz w:val="24"/>
        </w:rPr>
        <w:t>t/a。本项目落地灰主要为车间拦截粉尘，落地灰的产生量为</w:t>
      </w:r>
      <w:r>
        <w:rPr>
          <w:rFonts w:hint="eastAsia"/>
          <w:kern w:val="0"/>
          <w:sz w:val="24"/>
        </w:rPr>
        <w:t>353.65</w:t>
      </w:r>
      <w:r>
        <w:rPr>
          <w:kern w:val="0"/>
          <w:sz w:val="24"/>
        </w:rPr>
        <w:t>t/a</w:t>
      </w:r>
      <w:r>
        <w:rPr>
          <w:rFonts w:hint="eastAsia"/>
          <w:kern w:val="0"/>
          <w:sz w:val="24"/>
        </w:rPr>
        <w:t>。</w:t>
      </w:r>
    </w:p>
    <w:p w14:paraId="2C7B893A">
      <w:pPr>
        <w:adjustRightInd w:val="0"/>
        <w:spacing w:before="0" w:beforeLines="0" w:line="360" w:lineRule="auto"/>
        <w:ind w:firstLine="480" w:firstLineChars="200"/>
        <w:rPr>
          <w:kern w:val="0"/>
          <w:sz w:val="24"/>
        </w:rPr>
      </w:pPr>
      <w:bookmarkStart w:id="533" w:name="OLE_LINK64"/>
      <w:r>
        <w:rPr>
          <w:rFonts w:hint="eastAsia"/>
          <w:kern w:val="0"/>
          <w:sz w:val="24"/>
        </w:rPr>
        <w:t>除尘灰和落地灰主要为废石、尾矿破碎筛分、粗磁选、抛砂分离产生的粉尘，主要成分与原料废石、尾矿基本一致，仍属于一般固体废物。</w:t>
      </w:r>
      <w:bookmarkStart w:id="534" w:name="OLE_LINK63"/>
      <w:r>
        <w:rPr>
          <w:kern w:val="0"/>
          <w:sz w:val="24"/>
        </w:rPr>
        <w:t>项目投产后对除尘灰和落地灰进行浸出试验，属于Ⅰ类一般工业固体废物与泥饼一同回填采</w:t>
      </w:r>
      <w:r>
        <w:rPr>
          <w:rFonts w:hint="eastAsia"/>
          <w:kern w:val="0"/>
          <w:sz w:val="24"/>
        </w:rPr>
        <w:t>坑</w:t>
      </w:r>
      <w:r>
        <w:rPr>
          <w:kern w:val="0"/>
          <w:sz w:val="24"/>
        </w:rPr>
        <w:t>；</w:t>
      </w:r>
      <w:bookmarkEnd w:id="534"/>
      <w:r>
        <w:rPr>
          <w:kern w:val="0"/>
          <w:sz w:val="24"/>
        </w:rPr>
        <w:t>属于II类一般工业固体废物，根据《辽宁省一般工业固体废物用于矿山露天采坑回填修复环境管理规定（试行）》（辽环发[2025]16号）开展环境风险评估后回填采坑。</w:t>
      </w:r>
    </w:p>
    <w:bookmarkEnd w:id="533"/>
    <w:p w14:paraId="635FE00F">
      <w:pPr>
        <w:adjustRightInd w:val="0"/>
        <w:spacing w:before="0" w:beforeLines="0" w:line="360" w:lineRule="auto"/>
        <w:ind w:firstLine="480" w:firstLineChars="200"/>
        <w:rPr>
          <w:kern w:val="0"/>
          <w:sz w:val="24"/>
        </w:rPr>
      </w:pPr>
      <w:r>
        <w:rPr>
          <w:kern w:val="0"/>
          <w:sz w:val="24"/>
        </w:rPr>
        <w:t>②</w:t>
      </w:r>
      <w:r>
        <w:rPr>
          <w:rFonts w:hint="eastAsia"/>
          <w:kern w:val="0"/>
          <w:sz w:val="24"/>
        </w:rPr>
        <w:t>废布袋</w:t>
      </w:r>
    </w:p>
    <w:p w14:paraId="63E7A93E">
      <w:pPr>
        <w:spacing w:before="0" w:beforeLines="0" w:line="360" w:lineRule="auto"/>
        <w:ind w:firstLine="480" w:firstLineChars="200"/>
        <w:jc w:val="left"/>
        <w:rPr>
          <w:kern w:val="0"/>
          <w:sz w:val="24"/>
        </w:rPr>
      </w:pPr>
      <w:r>
        <w:rPr>
          <w:rFonts w:hint="eastAsia"/>
          <w:kern w:val="0"/>
          <w:sz w:val="24"/>
        </w:rPr>
        <w:t>布袋除尘器定期更换布袋，废布袋产生量约1.0t/a， 全部外售后进行再利用。</w:t>
      </w:r>
    </w:p>
    <w:p w14:paraId="4E49B602">
      <w:pPr>
        <w:adjustRightInd w:val="0"/>
        <w:spacing w:before="0" w:beforeLines="0" w:line="360" w:lineRule="auto"/>
        <w:ind w:firstLine="480" w:firstLineChars="200"/>
        <w:rPr>
          <w:kern w:val="0"/>
          <w:sz w:val="24"/>
        </w:rPr>
      </w:pPr>
      <w:r>
        <w:rPr>
          <w:rFonts w:ascii="Cambria Math" w:hAnsi="Cambria Math" w:cs="Cambria Math"/>
          <w:kern w:val="0"/>
          <w:sz w:val="24"/>
        </w:rPr>
        <w:t>③</w:t>
      </w:r>
      <w:r>
        <w:rPr>
          <w:kern w:val="0"/>
          <w:sz w:val="24"/>
        </w:rPr>
        <w:t>泥饼</w:t>
      </w:r>
    </w:p>
    <w:p w14:paraId="7D2C086B">
      <w:pPr>
        <w:autoSpaceDE w:val="0"/>
        <w:autoSpaceDN w:val="0"/>
        <w:spacing w:before="0" w:beforeLines="0" w:line="360" w:lineRule="auto"/>
        <w:ind w:firstLine="480" w:firstLineChars="200"/>
        <w:textAlignment w:val="bottom"/>
        <w:rPr>
          <w:sz w:val="24"/>
        </w:rPr>
      </w:pPr>
      <w:bookmarkStart w:id="535" w:name="OLE_LINK7"/>
      <w:r>
        <w:rPr>
          <w:kern w:val="0"/>
          <w:sz w:val="24"/>
        </w:rPr>
        <w:t>本项目泥饼</w:t>
      </w:r>
      <w:r>
        <w:rPr>
          <w:rFonts w:hint="eastAsia"/>
          <w:kern w:val="0"/>
          <w:sz w:val="24"/>
        </w:rPr>
        <w:t>及沉渣</w:t>
      </w:r>
      <w:r>
        <w:rPr>
          <w:kern w:val="0"/>
          <w:sz w:val="24"/>
        </w:rPr>
        <w:t>产生量为931697 t/a</w:t>
      </w:r>
      <w:r>
        <w:rPr>
          <w:rFonts w:hint="eastAsia"/>
          <w:kern w:val="0"/>
          <w:sz w:val="24"/>
        </w:rPr>
        <w:t>。</w:t>
      </w:r>
      <w:r>
        <w:rPr>
          <w:rFonts w:hint="eastAsia"/>
          <w:sz w:val="24"/>
        </w:rPr>
        <w:t>本项目委托沈阳市中正环境检测技术有限公司对泥饼浸出液进行采样监测，泥饼</w:t>
      </w:r>
      <w:r>
        <w:rPr>
          <w:sz w:val="24"/>
        </w:rPr>
        <w:t>浸出试验结果表明，浸出液中任何一种污染物的浓度均未超过《污水综合排放标准》（GB8978-1996）第一类污染物最高允许排放浓度以及第二类污染物一级标准限值要求，且pH在6~9之间。根据《一般工业固体废物贮存和填埋污染控制标准》（GB18599-2020）中相关要求，本项目</w:t>
      </w:r>
      <w:r>
        <w:rPr>
          <w:rFonts w:hint="eastAsia"/>
          <w:sz w:val="24"/>
        </w:rPr>
        <w:t>泥饼</w:t>
      </w:r>
      <w:r>
        <w:rPr>
          <w:sz w:val="24"/>
        </w:rPr>
        <w:t xml:space="preserve">为第Ⅰ类一般工业固体废物。 </w:t>
      </w:r>
    </w:p>
    <w:p w14:paraId="1D4BEB9B">
      <w:pPr>
        <w:spacing w:before="0" w:beforeLines="0" w:line="360" w:lineRule="auto"/>
        <w:ind w:firstLine="480" w:firstLineChars="200"/>
        <w:rPr>
          <w:sz w:val="24"/>
        </w:rPr>
      </w:pPr>
      <w:r>
        <w:rPr>
          <w:sz w:val="24"/>
        </w:rPr>
        <w:t>根据《一般工业固体废物贮存和填埋污染控制标准》（GB18599-2020）中第Ⅰ类工业固体废物充填及回填利用污染控制要求：</w:t>
      </w:r>
      <w:r>
        <w:rPr>
          <w:rFonts w:hint="eastAsia"/>
          <w:sz w:val="24"/>
        </w:rPr>
        <w:t>尾矿、矿山废石等</w:t>
      </w:r>
      <w:r>
        <w:rPr>
          <w:sz w:val="24"/>
        </w:rPr>
        <w:t>可在原矿开采区的矿井、矿坑等采空区中充填或回填。因此，本项目运营期</w:t>
      </w:r>
      <w:r>
        <w:rPr>
          <w:rFonts w:hint="eastAsia"/>
          <w:sz w:val="24"/>
        </w:rPr>
        <w:t>泥饼</w:t>
      </w:r>
      <w:r>
        <w:rPr>
          <w:sz w:val="24"/>
        </w:rPr>
        <w:t>可全部综合利用</w:t>
      </w:r>
      <w:r>
        <w:rPr>
          <w:rFonts w:hint="eastAsia"/>
          <w:sz w:val="24"/>
        </w:rPr>
        <w:t>回填</w:t>
      </w:r>
      <w:r>
        <w:rPr>
          <w:kern w:val="0"/>
          <w:sz w:val="24"/>
        </w:rPr>
        <w:t>至</w:t>
      </w:r>
      <w:r>
        <w:rPr>
          <w:rFonts w:hint="eastAsia"/>
          <w:kern w:val="0"/>
          <w:sz w:val="24"/>
        </w:rPr>
        <w:t>矿区周边</w:t>
      </w:r>
      <w:r>
        <w:rPr>
          <w:kern w:val="0"/>
          <w:sz w:val="24"/>
        </w:rPr>
        <w:t>现有露天采坑</w:t>
      </w:r>
      <w:r>
        <w:rPr>
          <w:sz w:val="24"/>
        </w:rPr>
        <w:t>。</w:t>
      </w:r>
    </w:p>
    <w:bookmarkEnd w:id="535"/>
    <w:p w14:paraId="461BE0FC">
      <w:pPr>
        <w:spacing w:before="0" w:beforeLines="0" w:line="360" w:lineRule="auto"/>
        <w:ind w:firstLine="480" w:firstLineChars="200"/>
        <w:rPr>
          <w:sz w:val="24"/>
        </w:rPr>
      </w:pPr>
      <w:bookmarkStart w:id="536" w:name="OLE_LINK2"/>
      <w:r>
        <w:rPr>
          <w:rFonts w:hint="eastAsia"/>
          <w:sz w:val="24"/>
        </w:rPr>
        <w:t>一般固废产生量及处置措施见表5.6-1。</w:t>
      </w:r>
    </w:p>
    <w:bookmarkEnd w:id="536"/>
    <w:p w14:paraId="77D2CF53">
      <w:pPr>
        <w:widowControl/>
        <w:spacing w:before="156" w:beforeLines="50" w:line="240" w:lineRule="auto"/>
        <w:jc w:val="center"/>
        <w:rPr>
          <w:b/>
          <w:kern w:val="0"/>
          <w:szCs w:val="21"/>
        </w:rPr>
      </w:pPr>
      <w:r>
        <w:rPr>
          <w:b/>
          <w:kern w:val="0"/>
          <w:szCs w:val="21"/>
        </w:rPr>
        <w:t>表</w:t>
      </w:r>
      <w:r>
        <w:rPr>
          <w:rFonts w:hint="eastAsia"/>
          <w:b/>
          <w:kern w:val="0"/>
          <w:szCs w:val="21"/>
        </w:rPr>
        <w:t xml:space="preserve">5.6-1  </w:t>
      </w:r>
      <w:r>
        <w:rPr>
          <w:b/>
          <w:kern w:val="0"/>
          <w:szCs w:val="21"/>
        </w:rPr>
        <w:t xml:space="preserve">   </w:t>
      </w:r>
      <w:r>
        <w:rPr>
          <w:rFonts w:hint="eastAsia"/>
          <w:b/>
          <w:kern w:val="0"/>
          <w:szCs w:val="21"/>
        </w:rPr>
        <w:t>一般</w:t>
      </w:r>
      <w:r>
        <w:rPr>
          <w:b/>
          <w:kern w:val="0"/>
          <w:szCs w:val="21"/>
        </w:rPr>
        <w:t>固体废物产生量及处置措施一览表</w:t>
      </w:r>
    </w:p>
    <w:tbl>
      <w:tblPr>
        <w:tblStyle w:val="2620"/>
        <w:tblW w:w="5000" w:type="pct"/>
        <w:tblInd w:w="0" w:type="dxa"/>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Layout w:type="autofit"/>
        <w:tblCellMar>
          <w:top w:w="0" w:type="dxa"/>
          <w:left w:w="28" w:type="dxa"/>
          <w:bottom w:w="0" w:type="dxa"/>
          <w:right w:w="28" w:type="dxa"/>
        </w:tblCellMar>
      </w:tblPr>
      <w:tblGrid>
        <w:gridCol w:w="555"/>
        <w:gridCol w:w="1145"/>
        <w:gridCol w:w="1626"/>
        <w:gridCol w:w="1109"/>
        <w:gridCol w:w="1385"/>
        <w:gridCol w:w="2492"/>
      </w:tblGrid>
      <w:tr w14:paraId="3741926E">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28" w:type="dxa"/>
            <w:bottom w:w="0" w:type="dxa"/>
            <w:right w:w="28" w:type="dxa"/>
          </w:tblCellMar>
        </w:tblPrEx>
        <w:trPr>
          <w:trHeight w:val="457" w:hRule="atLeast"/>
        </w:trPr>
        <w:tc>
          <w:tcPr>
            <w:tcW w:w="334" w:type="pct"/>
            <w:shd w:val="clear" w:color="auto" w:fill="auto"/>
            <w:vAlign w:val="center"/>
          </w:tcPr>
          <w:p w14:paraId="0FBC25B1">
            <w:pPr>
              <w:adjustRightInd w:val="0"/>
              <w:snapToGrid w:val="0"/>
              <w:spacing w:before="0" w:beforeLines="0" w:line="240" w:lineRule="auto"/>
              <w:jc w:val="center"/>
              <w:rPr>
                <w:kern w:val="32"/>
                <w:szCs w:val="21"/>
              </w:rPr>
            </w:pPr>
            <w:r>
              <w:rPr>
                <w:rFonts w:hint="eastAsia"/>
                <w:kern w:val="32"/>
                <w:szCs w:val="21"/>
              </w:rPr>
              <w:t>序号</w:t>
            </w:r>
          </w:p>
        </w:tc>
        <w:tc>
          <w:tcPr>
            <w:tcW w:w="689" w:type="pct"/>
            <w:shd w:val="clear" w:color="auto" w:fill="auto"/>
            <w:vAlign w:val="center"/>
          </w:tcPr>
          <w:p w14:paraId="39308B83">
            <w:pPr>
              <w:adjustRightInd w:val="0"/>
              <w:snapToGrid w:val="0"/>
              <w:spacing w:before="0" w:beforeLines="0" w:line="240" w:lineRule="auto"/>
              <w:jc w:val="center"/>
              <w:rPr>
                <w:kern w:val="32"/>
                <w:szCs w:val="21"/>
              </w:rPr>
            </w:pPr>
            <w:r>
              <w:rPr>
                <w:rFonts w:hint="eastAsia"/>
                <w:kern w:val="32"/>
                <w:szCs w:val="21"/>
              </w:rPr>
              <w:t>固废</w:t>
            </w:r>
            <w:r>
              <w:rPr>
                <w:kern w:val="32"/>
                <w:szCs w:val="21"/>
              </w:rPr>
              <w:t>名称</w:t>
            </w:r>
          </w:p>
        </w:tc>
        <w:tc>
          <w:tcPr>
            <w:tcW w:w="978" w:type="pct"/>
            <w:shd w:val="clear" w:color="auto" w:fill="auto"/>
            <w:vAlign w:val="center"/>
          </w:tcPr>
          <w:p w14:paraId="2676D167">
            <w:pPr>
              <w:adjustRightInd w:val="0"/>
              <w:snapToGrid w:val="0"/>
              <w:spacing w:before="0" w:beforeLines="0" w:line="240" w:lineRule="auto"/>
              <w:jc w:val="center"/>
              <w:rPr>
                <w:kern w:val="32"/>
                <w:szCs w:val="21"/>
              </w:rPr>
            </w:pPr>
            <w:r>
              <w:rPr>
                <w:kern w:val="32"/>
                <w:szCs w:val="21"/>
              </w:rPr>
              <w:t>生产单元</w:t>
            </w:r>
          </w:p>
        </w:tc>
        <w:tc>
          <w:tcPr>
            <w:tcW w:w="667" w:type="pct"/>
            <w:tcBorders>
              <w:left w:val="single" w:color="auto" w:sz="4" w:space="0"/>
              <w:right w:val="single" w:color="auto" w:sz="4" w:space="0"/>
            </w:tcBorders>
            <w:shd w:val="clear" w:color="auto" w:fill="auto"/>
            <w:vAlign w:val="center"/>
          </w:tcPr>
          <w:p w14:paraId="3FFEB3FE">
            <w:pPr>
              <w:adjustRightInd w:val="0"/>
              <w:snapToGrid w:val="0"/>
              <w:spacing w:before="0" w:beforeLines="0" w:line="240" w:lineRule="auto"/>
              <w:jc w:val="center"/>
              <w:rPr>
                <w:kern w:val="32"/>
                <w:szCs w:val="21"/>
              </w:rPr>
            </w:pPr>
            <w:r>
              <w:rPr>
                <w:kern w:val="32"/>
                <w:szCs w:val="21"/>
              </w:rPr>
              <w:t>产生量</w:t>
            </w:r>
            <w:r>
              <w:rPr>
                <w:rFonts w:hint="eastAsia"/>
                <w:kern w:val="32"/>
                <w:szCs w:val="21"/>
              </w:rPr>
              <w:t>，</w:t>
            </w:r>
            <w:r>
              <w:rPr>
                <w:kern w:val="32"/>
                <w:szCs w:val="21"/>
              </w:rPr>
              <w:t>t/a</w:t>
            </w:r>
          </w:p>
        </w:tc>
        <w:tc>
          <w:tcPr>
            <w:tcW w:w="833" w:type="pct"/>
            <w:tcBorders>
              <w:left w:val="single" w:color="auto" w:sz="4" w:space="0"/>
            </w:tcBorders>
            <w:shd w:val="clear" w:color="auto" w:fill="auto"/>
            <w:vAlign w:val="center"/>
          </w:tcPr>
          <w:p w14:paraId="294BF60F">
            <w:pPr>
              <w:adjustRightInd w:val="0"/>
              <w:snapToGrid w:val="0"/>
              <w:spacing w:before="0" w:beforeLines="0" w:line="240" w:lineRule="auto"/>
              <w:jc w:val="center"/>
              <w:rPr>
                <w:kern w:val="32"/>
                <w:szCs w:val="21"/>
              </w:rPr>
            </w:pPr>
            <w:r>
              <w:rPr>
                <w:rFonts w:hint="eastAsia"/>
                <w:kern w:val="32"/>
                <w:szCs w:val="21"/>
              </w:rPr>
              <w:t>代码</w:t>
            </w:r>
          </w:p>
        </w:tc>
        <w:tc>
          <w:tcPr>
            <w:tcW w:w="1499" w:type="pct"/>
            <w:shd w:val="clear" w:color="auto" w:fill="auto"/>
            <w:vAlign w:val="center"/>
          </w:tcPr>
          <w:p w14:paraId="622B6EAB">
            <w:pPr>
              <w:adjustRightInd w:val="0"/>
              <w:snapToGrid w:val="0"/>
              <w:spacing w:before="0" w:beforeLines="0" w:line="240" w:lineRule="auto"/>
              <w:jc w:val="center"/>
              <w:rPr>
                <w:kern w:val="32"/>
                <w:szCs w:val="21"/>
              </w:rPr>
            </w:pPr>
            <w:r>
              <w:rPr>
                <w:kern w:val="32"/>
                <w:szCs w:val="21"/>
              </w:rPr>
              <w:t>处置方式</w:t>
            </w:r>
          </w:p>
        </w:tc>
      </w:tr>
      <w:tr w14:paraId="5505FF36">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28" w:type="dxa"/>
            <w:bottom w:w="0" w:type="dxa"/>
            <w:right w:w="28" w:type="dxa"/>
          </w:tblCellMar>
        </w:tblPrEx>
        <w:trPr>
          <w:trHeight w:val="360" w:hRule="atLeast"/>
        </w:trPr>
        <w:tc>
          <w:tcPr>
            <w:tcW w:w="334" w:type="pct"/>
            <w:shd w:val="clear" w:color="auto" w:fill="auto"/>
            <w:vAlign w:val="center"/>
          </w:tcPr>
          <w:p w14:paraId="46CEB8AD">
            <w:pPr>
              <w:adjustRightInd w:val="0"/>
              <w:snapToGrid w:val="0"/>
              <w:spacing w:before="0" w:beforeLines="0" w:line="240" w:lineRule="auto"/>
              <w:jc w:val="center"/>
              <w:rPr>
                <w:kern w:val="32"/>
                <w:szCs w:val="21"/>
              </w:rPr>
            </w:pPr>
            <w:bookmarkStart w:id="537" w:name="_Hlk312606400"/>
            <w:r>
              <w:rPr>
                <w:rFonts w:hint="eastAsia"/>
                <w:kern w:val="32"/>
                <w:szCs w:val="21"/>
              </w:rPr>
              <w:t>1</w:t>
            </w:r>
          </w:p>
        </w:tc>
        <w:tc>
          <w:tcPr>
            <w:tcW w:w="689" w:type="pct"/>
            <w:shd w:val="clear" w:color="auto" w:fill="auto"/>
            <w:vAlign w:val="center"/>
          </w:tcPr>
          <w:p w14:paraId="38CE97D1">
            <w:pPr>
              <w:adjustRightInd w:val="0"/>
              <w:snapToGrid w:val="0"/>
              <w:spacing w:before="0" w:beforeLines="0" w:line="240" w:lineRule="auto"/>
              <w:jc w:val="center"/>
              <w:rPr>
                <w:kern w:val="32"/>
                <w:szCs w:val="21"/>
              </w:rPr>
            </w:pPr>
            <w:r>
              <w:rPr>
                <w:rFonts w:hint="eastAsia"/>
                <w:kern w:val="32"/>
                <w:szCs w:val="21"/>
              </w:rPr>
              <w:t>除尘灰</w:t>
            </w:r>
          </w:p>
        </w:tc>
        <w:tc>
          <w:tcPr>
            <w:tcW w:w="978" w:type="pct"/>
            <w:shd w:val="clear" w:color="auto" w:fill="auto"/>
            <w:vAlign w:val="center"/>
          </w:tcPr>
          <w:p w14:paraId="016B77EC">
            <w:pPr>
              <w:adjustRightInd w:val="0"/>
              <w:snapToGrid w:val="0"/>
              <w:spacing w:before="0" w:beforeLines="0" w:line="240" w:lineRule="auto"/>
              <w:jc w:val="center"/>
              <w:rPr>
                <w:kern w:val="32"/>
                <w:szCs w:val="21"/>
              </w:rPr>
            </w:pPr>
            <w:r>
              <w:rPr>
                <w:rFonts w:hint="eastAsia"/>
                <w:kern w:val="32"/>
                <w:szCs w:val="21"/>
              </w:rPr>
              <w:t>各工序除尘系统</w:t>
            </w:r>
          </w:p>
        </w:tc>
        <w:tc>
          <w:tcPr>
            <w:tcW w:w="667" w:type="pct"/>
            <w:tcBorders>
              <w:left w:val="single" w:color="auto" w:sz="4" w:space="0"/>
              <w:right w:val="single" w:color="auto" w:sz="4" w:space="0"/>
            </w:tcBorders>
            <w:shd w:val="clear" w:color="auto" w:fill="auto"/>
            <w:vAlign w:val="center"/>
          </w:tcPr>
          <w:p w14:paraId="038FAE47">
            <w:pPr>
              <w:adjustRightInd w:val="0"/>
              <w:snapToGrid w:val="0"/>
              <w:spacing w:before="0" w:beforeLines="0" w:line="240" w:lineRule="auto"/>
              <w:jc w:val="center"/>
              <w:rPr>
                <w:kern w:val="32"/>
                <w:szCs w:val="21"/>
              </w:rPr>
            </w:pPr>
            <w:r>
              <w:rPr>
                <w:rFonts w:hint="eastAsia"/>
                <w:kern w:val="32"/>
                <w:szCs w:val="21"/>
              </w:rPr>
              <w:t>3337.1</w:t>
            </w:r>
          </w:p>
        </w:tc>
        <w:tc>
          <w:tcPr>
            <w:tcW w:w="833" w:type="pct"/>
            <w:tcBorders>
              <w:left w:val="single" w:color="auto" w:sz="4" w:space="0"/>
            </w:tcBorders>
            <w:shd w:val="clear" w:color="auto" w:fill="auto"/>
            <w:vAlign w:val="center"/>
          </w:tcPr>
          <w:p w14:paraId="3A1D7CB6">
            <w:pPr>
              <w:adjustRightInd w:val="0"/>
              <w:snapToGrid w:val="0"/>
              <w:spacing w:before="0" w:beforeLines="0" w:line="240" w:lineRule="auto"/>
              <w:jc w:val="center"/>
              <w:rPr>
                <w:kern w:val="32"/>
                <w:szCs w:val="21"/>
              </w:rPr>
            </w:pPr>
            <w:r>
              <w:rPr>
                <w:rFonts w:hint="eastAsia"/>
                <w:kern w:val="32"/>
                <w:szCs w:val="21"/>
              </w:rPr>
              <w:t>900-099-S59</w:t>
            </w:r>
          </w:p>
        </w:tc>
        <w:tc>
          <w:tcPr>
            <w:tcW w:w="1499" w:type="pct"/>
            <w:vMerge w:val="restart"/>
            <w:shd w:val="clear" w:color="auto" w:fill="auto"/>
            <w:vAlign w:val="center"/>
          </w:tcPr>
          <w:p w14:paraId="18461E52">
            <w:pPr>
              <w:adjustRightInd w:val="0"/>
              <w:snapToGrid w:val="0"/>
              <w:spacing w:before="0" w:beforeLines="0" w:line="240" w:lineRule="auto"/>
              <w:jc w:val="center"/>
              <w:rPr>
                <w:kern w:val="32"/>
                <w:szCs w:val="21"/>
              </w:rPr>
            </w:pPr>
            <w:r>
              <w:rPr>
                <w:rFonts w:hint="eastAsia"/>
                <w:kern w:val="32"/>
                <w:szCs w:val="21"/>
              </w:rPr>
              <w:t>回填采坑</w:t>
            </w:r>
          </w:p>
        </w:tc>
      </w:tr>
      <w:tr w14:paraId="707A0B92">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28" w:type="dxa"/>
            <w:bottom w:w="0" w:type="dxa"/>
            <w:right w:w="28" w:type="dxa"/>
          </w:tblCellMar>
        </w:tblPrEx>
        <w:trPr>
          <w:trHeight w:val="111" w:hRule="atLeast"/>
        </w:trPr>
        <w:tc>
          <w:tcPr>
            <w:tcW w:w="334" w:type="pct"/>
            <w:shd w:val="clear" w:color="auto" w:fill="auto"/>
            <w:vAlign w:val="center"/>
          </w:tcPr>
          <w:p w14:paraId="6814A78F">
            <w:pPr>
              <w:adjustRightInd w:val="0"/>
              <w:snapToGrid w:val="0"/>
              <w:spacing w:before="0" w:beforeLines="0" w:line="240" w:lineRule="auto"/>
              <w:jc w:val="center"/>
              <w:rPr>
                <w:kern w:val="32"/>
                <w:szCs w:val="21"/>
              </w:rPr>
            </w:pPr>
            <w:r>
              <w:rPr>
                <w:rFonts w:hint="eastAsia"/>
                <w:kern w:val="32"/>
                <w:szCs w:val="21"/>
              </w:rPr>
              <w:t>2</w:t>
            </w:r>
          </w:p>
        </w:tc>
        <w:tc>
          <w:tcPr>
            <w:tcW w:w="689" w:type="pct"/>
            <w:shd w:val="clear" w:color="auto" w:fill="auto"/>
            <w:vAlign w:val="center"/>
          </w:tcPr>
          <w:p w14:paraId="51B779D5">
            <w:pPr>
              <w:adjustRightInd w:val="0"/>
              <w:snapToGrid w:val="0"/>
              <w:spacing w:before="0" w:beforeLines="0" w:line="240" w:lineRule="auto"/>
              <w:jc w:val="center"/>
              <w:rPr>
                <w:kern w:val="32"/>
                <w:szCs w:val="21"/>
              </w:rPr>
            </w:pPr>
            <w:r>
              <w:rPr>
                <w:rFonts w:hint="eastAsia"/>
                <w:kern w:val="32"/>
                <w:szCs w:val="21"/>
              </w:rPr>
              <w:t>落地灰</w:t>
            </w:r>
          </w:p>
        </w:tc>
        <w:tc>
          <w:tcPr>
            <w:tcW w:w="978" w:type="pct"/>
            <w:shd w:val="clear" w:color="auto" w:fill="auto"/>
            <w:vAlign w:val="center"/>
          </w:tcPr>
          <w:p w14:paraId="589D8433">
            <w:pPr>
              <w:adjustRightInd w:val="0"/>
              <w:snapToGrid w:val="0"/>
              <w:spacing w:before="0" w:beforeLines="0" w:line="240" w:lineRule="auto"/>
              <w:jc w:val="center"/>
              <w:rPr>
                <w:kern w:val="32"/>
                <w:szCs w:val="21"/>
              </w:rPr>
            </w:pPr>
            <w:r>
              <w:rPr>
                <w:rFonts w:hint="eastAsia"/>
                <w:kern w:val="32"/>
                <w:szCs w:val="21"/>
              </w:rPr>
              <w:t>无组织粉尘</w:t>
            </w:r>
          </w:p>
        </w:tc>
        <w:tc>
          <w:tcPr>
            <w:tcW w:w="667" w:type="pct"/>
            <w:tcBorders>
              <w:left w:val="single" w:color="auto" w:sz="4" w:space="0"/>
              <w:right w:val="single" w:color="auto" w:sz="4" w:space="0"/>
            </w:tcBorders>
            <w:shd w:val="clear" w:color="auto" w:fill="auto"/>
            <w:vAlign w:val="center"/>
          </w:tcPr>
          <w:p w14:paraId="7B6D01D9">
            <w:pPr>
              <w:adjustRightInd w:val="0"/>
              <w:snapToGrid w:val="0"/>
              <w:spacing w:before="0" w:beforeLines="0" w:line="240" w:lineRule="auto"/>
              <w:jc w:val="center"/>
              <w:rPr>
                <w:kern w:val="32"/>
                <w:szCs w:val="21"/>
              </w:rPr>
            </w:pPr>
            <w:r>
              <w:rPr>
                <w:rFonts w:hint="eastAsia"/>
                <w:kern w:val="32"/>
                <w:szCs w:val="21"/>
              </w:rPr>
              <w:t>353.65</w:t>
            </w:r>
          </w:p>
        </w:tc>
        <w:tc>
          <w:tcPr>
            <w:tcW w:w="833" w:type="pct"/>
            <w:tcBorders>
              <w:left w:val="single" w:color="auto" w:sz="4" w:space="0"/>
            </w:tcBorders>
            <w:shd w:val="clear" w:color="auto" w:fill="auto"/>
            <w:vAlign w:val="center"/>
          </w:tcPr>
          <w:p w14:paraId="1FECD287">
            <w:pPr>
              <w:adjustRightInd w:val="0"/>
              <w:snapToGrid w:val="0"/>
              <w:spacing w:before="0" w:beforeLines="0" w:line="240" w:lineRule="auto"/>
              <w:jc w:val="center"/>
              <w:rPr>
                <w:kern w:val="32"/>
                <w:szCs w:val="21"/>
              </w:rPr>
            </w:pPr>
            <w:r>
              <w:rPr>
                <w:rFonts w:hint="eastAsia"/>
                <w:kern w:val="32"/>
                <w:szCs w:val="21"/>
              </w:rPr>
              <w:t>900-099-S59</w:t>
            </w:r>
          </w:p>
        </w:tc>
        <w:tc>
          <w:tcPr>
            <w:tcW w:w="1499" w:type="pct"/>
            <w:vMerge w:val="continue"/>
            <w:shd w:val="clear" w:color="auto" w:fill="auto"/>
            <w:vAlign w:val="center"/>
          </w:tcPr>
          <w:p w14:paraId="5B553FB6">
            <w:pPr>
              <w:adjustRightInd w:val="0"/>
              <w:snapToGrid w:val="0"/>
              <w:spacing w:before="0" w:beforeLines="0" w:line="240" w:lineRule="auto"/>
              <w:jc w:val="center"/>
              <w:rPr>
                <w:kern w:val="32"/>
                <w:szCs w:val="21"/>
              </w:rPr>
            </w:pPr>
          </w:p>
        </w:tc>
      </w:tr>
      <w:tr w14:paraId="72CCF790">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28" w:type="dxa"/>
            <w:bottom w:w="0" w:type="dxa"/>
            <w:right w:w="28" w:type="dxa"/>
          </w:tblCellMar>
        </w:tblPrEx>
        <w:trPr>
          <w:trHeight w:val="415" w:hRule="atLeast"/>
        </w:trPr>
        <w:tc>
          <w:tcPr>
            <w:tcW w:w="334" w:type="pct"/>
            <w:shd w:val="clear" w:color="auto" w:fill="auto"/>
            <w:vAlign w:val="center"/>
          </w:tcPr>
          <w:p w14:paraId="42189993">
            <w:pPr>
              <w:adjustRightInd w:val="0"/>
              <w:snapToGrid w:val="0"/>
              <w:spacing w:before="0" w:beforeLines="0" w:line="240" w:lineRule="auto"/>
              <w:jc w:val="center"/>
              <w:rPr>
                <w:kern w:val="32"/>
                <w:szCs w:val="21"/>
              </w:rPr>
            </w:pPr>
            <w:r>
              <w:rPr>
                <w:rFonts w:hint="eastAsia"/>
                <w:kern w:val="32"/>
                <w:szCs w:val="21"/>
              </w:rPr>
              <w:t>3</w:t>
            </w:r>
          </w:p>
        </w:tc>
        <w:tc>
          <w:tcPr>
            <w:tcW w:w="689" w:type="pct"/>
            <w:shd w:val="clear" w:color="auto" w:fill="auto"/>
            <w:vAlign w:val="center"/>
          </w:tcPr>
          <w:p w14:paraId="02D1B557">
            <w:pPr>
              <w:adjustRightInd w:val="0"/>
              <w:snapToGrid w:val="0"/>
              <w:spacing w:before="0" w:beforeLines="0" w:line="240" w:lineRule="auto"/>
              <w:jc w:val="center"/>
              <w:rPr>
                <w:kern w:val="32"/>
                <w:szCs w:val="21"/>
              </w:rPr>
            </w:pPr>
            <w:r>
              <w:rPr>
                <w:rFonts w:hint="eastAsia"/>
                <w:kern w:val="32"/>
                <w:szCs w:val="21"/>
              </w:rPr>
              <w:t>废布袋</w:t>
            </w:r>
          </w:p>
        </w:tc>
        <w:tc>
          <w:tcPr>
            <w:tcW w:w="978" w:type="pct"/>
            <w:shd w:val="clear" w:color="auto" w:fill="auto"/>
            <w:vAlign w:val="center"/>
          </w:tcPr>
          <w:p w14:paraId="5629444E">
            <w:pPr>
              <w:adjustRightInd w:val="0"/>
              <w:snapToGrid w:val="0"/>
              <w:spacing w:before="0" w:beforeLines="0" w:line="240" w:lineRule="auto"/>
              <w:jc w:val="center"/>
              <w:rPr>
                <w:kern w:val="32"/>
                <w:szCs w:val="21"/>
              </w:rPr>
            </w:pPr>
            <w:r>
              <w:rPr>
                <w:rFonts w:hint="eastAsia"/>
                <w:kern w:val="32"/>
                <w:szCs w:val="21"/>
              </w:rPr>
              <w:t>布袋除尘器</w:t>
            </w:r>
          </w:p>
        </w:tc>
        <w:tc>
          <w:tcPr>
            <w:tcW w:w="667" w:type="pct"/>
            <w:tcBorders>
              <w:left w:val="single" w:color="auto" w:sz="4" w:space="0"/>
              <w:right w:val="single" w:color="auto" w:sz="4" w:space="0"/>
            </w:tcBorders>
            <w:shd w:val="clear" w:color="auto" w:fill="auto"/>
            <w:vAlign w:val="center"/>
          </w:tcPr>
          <w:p w14:paraId="44C8750B">
            <w:pPr>
              <w:adjustRightInd w:val="0"/>
              <w:snapToGrid w:val="0"/>
              <w:spacing w:before="0" w:beforeLines="0" w:line="240" w:lineRule="auto"/>
              <w:jc w:val="center"/>
              <w:rPr>
                <w:kern w:val="32"/>
                <w:szCs w:val="21"/>
              </w:rPr>
            </w:pPr>
            <w:r>
              <w:rPr>
                <w:rFonts w:hint="eastAsia"/>
                <w:kern w:val="32"/>
                <w:szCs w:val="21"/>
              </w:rPr>
              <w:t>1.0</w:t>
            </w:r>
          </w:p>
        </w:tc>
        <w:tc>
          <w:tcPr>
            <w:tcW w:w="833" w:type="pct"/>
            <w:tcBorders>
              <w:left w:val="single" w:color="auto" w:sz="4" w:space="0"/>
            </w:tcBorders>
            <w:shd w:val="clear" w:color="auto" w:fill="auto"/>
            <w:vAlign w:val="center"/>
          </w:tcPr>
          <w:p w14:paraId="593EFC43">
            <w:pPr>
              <w:adjustRightInd w:val="0"/>
              <w:snapToGrid w:val="0"/>
              <w:spacing w:before="0" w:beforeLines="0" w:line="240" w:lineRule="auto"/>
              <w:jc w:val="center"/>
              <w:rPr>
                <w:kern w:val="32"/>
                <w:szCs w:val="21"/>
              </w:rPr>
            </w:pPr>
            <w:r>
              <w:rPr>
                <w:rFonts w:hint="eastAsia"/>
                <w:kern w:val="32"/>
                <w:szCs w:val="21"/>
              </w:rPr>
              <w:t>900-009-S59</w:t>
            </w:r>
          </w:p>
        </w:tc>
        <w:tc>
          <w:tcPr>
            <w:tcW w:w="1499" w:type="pct"/>
            <w:shd w:val="clear" w:color="auto" w:fill="auto"/>
            <w:vAlign w:val="center"/>
          </w:tcPr>
          <w:p w14:paraId="60608B4D">
            <w:pPr>
              <w:adjustRightInd w:val="0"/>
              <w:snapToGrid w:val="0"/>
              <w:spacing w:before="0" w:beforeLines="0" w:line="240" w:lineRule="auto"/>
              <w:jc w:val="center"/>
              <w:rPr>
                <w:kern w:val="32"/>
                <w:szCs w:val="21"/>
              </w:rPr>
            </w:pPr>
            <w:r>
              <w:rPr>
                <w:rFonts w:hint="eastAsia"/>
                <w:kern w:val="32"/>
                <w:szCs w:val="21"/>
              </w:rPr>
              <w:t>外售物资公司</w:t>
            </w:r>
          </w:p>
        </w:tc>
      </w:tr>
      <w:bookmarkEnd w:id="537"/>
      <w:tr w14:paraId="4EC687F6">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28" w:type="dxa"/>
            <w:bottom w:w="0" w:type="dxa"/>
            <w:right w:w="28" w:type="dxa"/>
          </w:tblCellMar>
        </w:tblPrEx>
        <w:trPr>
          <w:trHeight w:val="415" w:hRule="atLeast"/>
        </w:trPr>
        <w:tc>
          <w:tcPr>
            <w:tcW w:w="334" w:type="pct"/>
            <w:shd w:val="clear" w:color="auto" w:fill="auto"/>
            <w:vAlign w:val="center"/>
          </w:tcPr>
          <w:p w14:paraId="4CA405EA">
            <w:pPr>
              <w:adjustRightInd w:val="0"/>
              <w:snapToGrid w:val="0"/>
              <w:spacing w:before="0" w:beforeLines="0" w:line="240" w:lineRule="auto"/>
              <w:jc w:val="center"/>
              <w:rPr>
                <w:kern w:val="32"/>
                <w:szCs w:val="21"/>
              </w:rPr>
            </w:pPr>
            <w:r>
              <w:rPr>
                <w:rFonts w:hint="eastAsia"/>
                <w:kern w:val="32"/>
                <w:szCs w:val="21"/>
              </w:rPr>
              <w:t>4</w:t>
            </w:r>
          </w:p>
        </w:tc>
        <w:tc>
          <w:tcPr>
            <w:tcW w:w="689" w:type="pct"/>
            <w:shd w:val="clear" w:color="auto" w:fill="auto"/>
            <w:vAlign w:val="center"/>
          </w:tcPr>
          <w:p w14:paraId="7E29573E">
            <w:pPr>
              <w:adjustRightInd w:val="0"/>
              <w:snapToGrid w:val="0"/>
              <w:spacing w:before="0" w:beforeLines="0" w:line="240" w:lineRule="auto"/>
              <w:jc w:val="center"/>
              <w:rPr>
                <w:kern w:val="32"/>
                <w:szCs w:val="21"/>
              </w:rPr>
            </w:pPr>
            <w:r>
              <w:rPr>
                <w:rFonts w:hint="eastAsia"/>
                <w:kern w:val="32"/>
                <w:szCs w:val="21"/>
              </w:rPr>
              <w:t>泥饼沉淀渣</w:t>
            </w:r>
          </w:p>
        </w:tc>
        <w:tc>
          <w:tcPr>
            <w:tcW w:w="978" w:type="pct"/>
            <w:shd w:val="clear" w:color="auto" w:fill="auto"/>
            <w:vAlign w:val="center"/>
          </w:tcPr>
          <w:p w14:paraId="621ACEE0">
            <w:pPr>
              <w:adjustRightInd w:val="0"/>
              <w:snapToGrid w:val="0"/>
              <w:spacing w:before="0" w:beforeLines="0" w:line="240" w:lineRule="auto"/>
              <w:jc w:val="center"/>
              <w:rPr>
                <w:kern w:val="32"/>
                <w:szCs w:val="21"/>
              </w:rPr>
            </w:pPr>
            <w:r>
              <w:rPr>
                <w:rFonts w:hint="eastAsia"/>
                <w:kern w:val="32"/>
                <w:szCs w:val="21"/>
              </w:rPr>
              <w:t>压滤、循环水池</w:t>
            </w:r>
          </w:p>
        </w:tc>
        <w:tc>
          <w:tcPr>
            <w:tcW w:w="667" w:type="pct"/>
            <w:tcBorders>
              <w:left w:val="single" w:color="auto" w:sz="4" w:space="0"/>
              <w:right w:val="single" w:color="auto" w:sz="4" w:space="0"/>
            </w:tcBorders>
            <w:shd w:val="clear" w:color="auto" w:fill="auto"/>
            <w:vAlign w:val="center"/>
          </w:tcPr>
          <w:p w14:paraId="4B83BF38">
            <w:pPr>
              <w:adjustRightInd w:val="0"/>
              <w:snapToGrid w:val="0"/>
              <w:spacing w:before="0" w:beforeLines="0" w:line="240" w:lineRule="auto"/>
              <w:jc w:val="center"/>
              <w:rPr>
                <w:kern w:val="32"/>
                <w:szCs w:val="21"/>
              </w:rPr>
            </w:pPr>
            <w:r>
              <w:rPr>
                <w:rFonts w:hint="eastAsia"/>
                <w:kern w:val="32"/>
                <w:szCs w:val="21"/>
              </w:rPr>
              <w:t>931697</w:t>
            </w:r>
          </w:p>
        </w:tc>
        <w:tc>
          <w:tcPr>
            <w:tcW w:w="833" w:type="pct"/>
            <w:tcBorders>
              <w:left w:val="single" w:color="auto" w:sz="4" w:space="0"/>
            </w:tcBorders>
            <w:shd w:val="clear" w:color="auto" w:fill="auto"/>
            <w:vAlign w:val="center"/>
          </w:tcPr>
          <w:p w14:paraId="184B9FB0">
            <w:pPr>
              <w:adjustRightInd w:val="0"/>
              <w:snapToGrid w:val="0"/>
              <w:spacing w:before="0" w:beforeLines="0" w:line="240" w:lineRule="auto"/>
              <w:jc w:val="center"/>
              <w:rPr>
                <w:kern w:val="32"/>
                <w:szCs w:val="21"/>
              </w:rPr>
            </w:pPr>
            <w:r>
              <w:rPr>
                <w:rFonts w:hint="eastAsia"/>
                <w:kern w:val="32"/>
                <w:szCs w:val="21"/>
              </w:rPr>
              <w:t>900-099-S07</w:t>
            </w:r>
          </w:p>
        </w:tc>
        <w:tc>
          <w:tcPr>
            <w:tcW w:w="1499" w:type="pct"/>
            <w:shd w:val="clear" w:color="auto" w:fill="auto"/>
            <w:vAlign w:val="center"/>
          </w:tcPr>
          <w:p w14:paraId="2839DC56">
            <w:pPr>
              <w:adjustRightInd w:val="0"/>
              <w:snapToGrid w:val="0"/>
              <w:spacing w:before="0" w:beforeLines="0" w:line="240" w:lineRule="auto"/>
              <w:jc w:val="center"/>
              <w:rPr>
                <w:kern w:val="32"/>
                <w:szCs w:val="21"/>
              </w:rPr>
            </w:pPr>
            <w:r>
              <w:rPr>
                <w:rFonts w:hint="eastAsia"/>
                <w:kern w:val="32"/>
                <w:szCs w:val="21"/>
              </w:rPr>
              <w:t>回填采坑</w:t>
            </w:r>
          </w:p>
        </w:tc>
      </w:tr>
    </w:tbl>
    <w:p w14:paraId="3F72BDF3">
      <w:pPr>
        <w:adjustRightInd w:val="0"/>
        <w:snapToGrid w:val="0"/>
        <w:spacing w:before="0" w:beforeLines="0" w:line="360" w:lineRule="auto"/>
        <w:ind w:firstLine="482" w:firstLineChars="200"/>
        <w:jc w:val="left"/>
        <w:rPr>
          <w:b/>
          <w:bCs/>
          <w:kern w:val="0"/>
          <w:sz w:val="24"/>
        </w:rPr>
      </w:pPr>
      <w:r>
        <w:rPr>
          <w:b/>
          <w:bCs/>
          <w:kern w:val="0"/>
          <w:sz w:val="24"/>
        </w:rPr>
        <w:fldChar w:fldCharType="begin"/>
      </w:r>
      <w:r>
        <w:rPr>
          <w:b/>
          <w:bCs/>
          <w:kern w:val="0"/>
          <w:sz w:val="24"/>
        </w:rPr>
        <w:instrText xml:space="preserve"> = 2 \* GB2 \* MERGEFORMAT </w:instrText>
      </w:r>
      <w:r>
        <w:rPr>
          <w:b/>
          <w:bCs/>
          <w:kern w:val="0"/>
          <w:sz w:val="24"/>
        </w:rPr>
        <w:fldChar w:fldCharType="separate"/>
      </w:r>
      <w:r>
        <w:rPr>
          <w:b/>
          <w:bCs/>
          <w:kern w:val="0"/>
          <w:sz w:val="24"/>
        </w:rPr>
        <w:t>⑵</w:t>
      </w:r>
      <w:r>
        <w:rPr>
          <w:b/>
          <w:bCs/>
          <w:kern w:val="0"/>
          <w:sz w:val="24"/>
        </w:rPr>
        <w:fldChar w:fldCharType="end"/>
      </w:r>
      <w:r>
        <w:rPr>
          <w:b/>
          <w:bCs/>
          <w:kern w:val="0"/>
          <w:sz w:val="24"/>
        </w:rPr>
        <w:t>危险废物</w:t>
      </w:r>
    </w:p>
    <w:p w14:paraId="57B6B229">
      <w:pPr>
        <w:adjustRightInd w:val="0"/>
        <w:snapToGrid w:val="0"/>
        <w:spacing w:before="0" w:beforeLines="0" w:line="360" w:lineRule="auto"/>
        <w:ind w:firstLine="480" w:firstLineChars="200"/>
        <w:rPr>
          <w:kern w:val="0"/>
          <w:sz w:val="24"/>
        </w:rPr>
      </w:pPr>
      <w:r>
        <w:rPr>
          <w:kern w:val="0"/>
          <w:sz w:val="24"/>
        </w:rPr>
        <w:t>本项目生产设备维护过程中将产生的废矿物油</w:t>
      </w:r>
      <w:r>
        <w:rPr>
          <w:rFonts w:hint="eastAsia"/>
          <w:kern w:val="0"/>
          <w:sz w:val="24"/>
        </w:rPr>
        <w:t>1.0</w:t>
      </w:r>
      <w:r>
        <w:rPr>
          <w:kern w:val="0"/>
          <w:sz w:val="24"/>
        </w:rPr>
        <w:t>t/a、废油桶</w:t>
      </w:r>
      <w:r>
        <w:rPr>
          <w:rFonts w:hint="eastAsia"/>
          <w:kern w:val="0"/>
          <w:sz w:val="24"/>
        </w:rPr>
        <w:t>0.2</w:t>
      </w:r>
      <w:r>
        <w:rPr>
          <w:kern w:val="0"/>
          <w:sz w:val="24"/>
        </w:rPr>
        <w:t>t/a，根据《国家危险废物名录》（202</w:t>
      </w:r>
      <w:r>
        <w:rPr>
          <w:rFonts w:hint="eastAsia"/>
          <w:kern w:val="0"/>
          <w:sz w:val="24"/>
        </w:rPr>
        <w:t>5</w:t>
      </w:r>
      <w:r>
        <w:rPr>
          <w:kern w:val="0"/>
          <w:sz w:val="24"/>
        </w:rPr>
        <w:t>年），废矿物油及废油桶危废类别均为HW08，废矿物油废物代码是900-214-08，废油桶废物代码是900-249-08。本项目产生的废矿物及废油桶在</w:t>
      </w:r>
      <w:r>
        <w:rPr>
          <w:rFonts w:hint="eastAsia"/>
          <w:kern w:val="0"/>
          <w:sz w:val="24"/>
        </w:rPr>
        <w:t>危废贮存点</w:t>
      </w:r>
      <w:r>
        <w:rPr>
          <w:kern w:val="0"/>
          <w:sz w:val="24"/>
        </w:rPr>
        <w:t>暂存，定期委托有资质单位回收处置。</w:t>
      </w:r>
    </w:p>
    <w:p w14:paraId="2371B526">
      <w:pPr>
        <w:spacing w:before="0" w:beforeLines="0" w:line="360" w:lineRule="auto"/>
        <w:ind w:firstLine="480" w:firstLineChars="200"/>
        <w:rPr>
          <w:sz w:val="24"/>
        </w:rPr>
      </w:pPr>
      <w:r>
        <w:rPr>
          <w:rFonts w:hint="eastAsia"/>
          <w:sz w:val="24"/>
        </w:rPr>
        <w:t>一般固废产生量及处置措施见表5.6-2。</w:t>
      </w:r>
    </w:p>
    <w:p w14:paraId="211B32E2">
      <w:pPr>
        <w:widowControl/>
        <w:spacing w:before="156" w:beforeLines="50" w:line="240" w:lineRule="auto"/>
        <w:jc w:val="center"/>
        <w:rPr>
          <w:b/>
          <w:kern w:val="0"/>
          <w:szCs w:val="21"/>
        </w:rPr>
      </w:pPr>
      <w:r>
        <w:rPr>
          <w:rFonts w:hint="eastAsia"/>
          <w:b/>
          <w:kern w:val="0"/>
          <w:szCs w:val="21"/>
        </w:rPr>
        <w:t xml:space="preserve">表5.6-2    </w:t>
      </w:r>
      <w:r>
        <w:rPr>
          <w:b/>
          <w:kern w:val="0"/>
          <w:szCs w:val="21"/>
        </w:rPr>
        <w:t xml:space="preserve">  危险废物情况一览表</w:t>
      </w:r>
    </w:p>
    <w:tbl>
      <w:tblPr>
        <w:tblStyle w:val="2621"/>
        <w:tblW w:w="5000" w:type="pct"/>
        <w:tblInd w:w="0" w:type="dxa"/>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Layout w:type="autofit"/>
        <w:tblCellMar>
          <w:top w:w="0" w:type="dxa"/>
          <w:left w:w="28" w:type="dxa"/>
          <w:bottom w:w="0" w:type="dxa"/>
          <w:right w:w="28" w:type="dxa"/>
        </w:tblCellMar>
      </w:tblPr>
      <w:tblGrid>
        <w:gridCol w:w="372"/>
        <w:gridCol w:w="1067"/>
        <w:gridCol w:w="617"/>
        <w:gridCol w:w="1068"/>
        <w:gridCol w:w="707"/>
        <w:gridCol w:w="1041"/>
        <w:gridCol w:w="755"/>
        <w:gridCol w:w="679"/>
        <w:gridCol w:w="516"/>
        <w:gridCol w:w="1490"/>
      </w:tblGrid>
      <w:tr w14:paraId="3897E334">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28" w:type="dxa"/>
            <w:bottom w:w="0" w:type="dxa"/>
            <w:right w:w="28" w:type="dxa"/>
          </w:tblCellMar>
        </w:tblPrEx>
        <w:trPr>
          <w:trHeight w:val="340" w:hRule="atLeast"/>
        </w:trPr>
        <w:tc>
          <w:tcPr>
            <w:tcW w:w="224" w:type="pct"/>
            <w:shd w:val="clear" w:color="auto" w:fill="auto"/>
            <w:vAlign w:val="center"/>
          </w:tcPr>
          <w:p w14:paraId="2B7BCBEA">
            <w:pPr>
              <w:spacing w:before="0" w:beforeLines="0" w:line="240" w:lineRule="auto"/>
              <w:jc w:val="center"/>
              <w:rPr>
                <w:snapToGrid w:val="0"/>
                <w:kern w:val="0"/>
                <w:szCs w:val="20"/>
              </w:rPr>
            </w:pPr>
            <w:r>
              <w:rPr>
                <w:snapToGrid w:val="0"/>
                <w:kern w:val="0"/>
                <w:szCs w:val="20"/>
              </w:rPr>
              <w:t>序号</w:t>
            </w:r>
          </w:p>
        </w:tc>
        <w:tc>
          <w:tcPr>
            <w:tcW w:w="642" w:type="pct"/>
            <w:shd w:val="clear" w:color="auto" w:fill="auto"/>
            <w:vAlign w:val="center"/>
          </w:tcPr>
          <w:p w14:paraId="474A923F">
            <w:pPr>
              <w:spacing w:before="0" w:beforeLines="0" w:line="240" w:lineRule="auto"/>
              <w:jc w:val="center"/>
              <w:rPr>
                <w:snapToGrid w:val="0"/>
                <w:kern w:val="0"/>
                <w:szCs w:val="20"/>
              </w:rPr>
            </w:pPr>
            <w:r>
              <w:rPr>
                <w:snapToGrid w:val="0"/>
                <w:kern w:val="0"/>
                <w:szCs w:val="20"/>
              </w:rPr>
              <w:t>危废名称</w:t>
            </w:r>
          </w:p>
        </w:tc>
        <w:tc>
          <w:tcPr>
            <w:tcW w:w="371" w:type="pct"/>
            <w:shd w:val="clear" w:color="auto" w:fill="auto"/>
            <w:vAlign w:val="center"/>
          </w:tcPr>
          <w:p w14:paraId="12D9443F">
            <w:pPr>
              <w:spacing w:before="0" w:beforeLines="0" w:line="240" w:lineRule="auto"/>
              <w:jc w:val="center"/>
              <w:rPr>
                <w:snapToGrid w:val="0"/>
                <w:kern w:val="0"/>
                <w:szCs w:val="20"/>
              </w:rPr>
            </w:pPr>
            <w:r>
              <w:rPr>
                <w:snapToGrid w:val="0"/>
                <w:kern w:val="0"/>
                <w:szCs w:val="20"/>
              </w:rPr>
              <w:t>危废类别</w:t>
            </w:r>
          </w:p>
        </w:tc>
        <w:tc>
          <w:tcPr>
            <w:tcW w:w="642" w:type="pct"/>
            <w:shd w:val="clear" w:color="auto" w:fill="auto"/>
            <w:vAlign w:val="center"/>
          </w:tcPr>
          <w:p w14:paraId="341BD1B2">
            <w:pPr>
              <w:spacing w:before="0" w:beforeLines="0" w:line="240" w:lineRule="auto"/>
              <w:jc w:val="center"/>
              <w:rPr>
                <w:snapToGrid w:val="0"/>
                <w:kern w:val="0"/>
                <w:szCs w:val="20"/>
              </w:rPr>
            </w:pPr>
            <w:r>
              <w:rPr>
                <w:snapToGrid w:val="0"/>
                <w:kern w:val="0"/>
                <w:szCs w:val="20"/>
              </w:rPr>
              <w:t>危险废物</w:t>
            </w:r>
          </w:p>
          <w:p w14:paraId="2A4864F8">
            <w:pPr>
              <w:spacing w:before="0" w:beforeLines="0" w:line="240" w:lineRule="auto"/>
              <w:jc w:val="center"/>
              <w:rPr>
                <w:snapToGrid w:val="0"/>
                <w:kern w:val="0"/>
                <w:szCs w:val="20"/>
              </w:rPr>
            </w:pPr>
            <w:r>
              <w:rPr>
                <w:snapToGrid w:val="0"/>
                <w:kern w:val="0"/>
                <w:szCs w:val="20"/>
              </w:rPr>
              <w:t>代码</w:t>
            </w:r>
          </w:p>
        </w:tc>
        <w:tc>
          <w:tcPr>
            <w:tcW w:w="425" w:type="pct"/>
            <w:shd w:val="clear" w:color="auto" w:fill="auto"/>
            <w:vAlign w:val="center"/>
          </w:tcPr>
          <w:p w14:paraId="365646A0">
            <w:pPr>
              <w:spacing w:before="0" w:beforeLines="0" w:line="240" w:lineRule="auto"/>
              <w:jc w:val="center"/>
              <w:rPr>
                <w:snapToGrid w:val="0"/>
                <w:kern w:val="0"/>
                <w:szCs w:val="20"/>
              </w:rPr>
            </w:pPr>
            <w:r>
              <w:rPr>
                <w:snapToGrid w:val="0"/>
                <w:kern w:val="0"/>
                <w:szCs w:val="20"/>
              </w:rPr>
              <w:t>产生量</w:t>
            </w:r>
          </w:p>
        </w:tc>
        <w:tc>
          <w:tcPr>
            <w:tcW w:w="626" w:type="pct"/>
            <w:shd w:val="clear" w:color="auto" w:fill="auto"/>
            <w:vAlign w:val="center"/>
          </w:tcPr>
          <w:p w14:paraId="26E03B5F">
            <w:pPr>
              <w:spacing w:before="0" w:beforeLines="0" w:line="240" w:lineRule="auto"/>
              <w:jc w:val="center"/>
              <w:rPr>
                <w:snapToGrid w:val="0"/>
                <w:kern w:val="0"/>
                <w:szCs w:val="20"/>
              </w:rPr>
            </w:pPr>
            <w:r>
              <w:rPr>
                <w:snapToGrid w:val="0"/>
                <w:kern w:val="0"/>
                <w:szCs w:val="20"/>
              </w:rPr>
              <w:t>产生工序及装置</w:t>
            </w:r>
          </w:p>
        </w:tc>
        <w:tc>
          <w:tcPr>
            <w:tcW w:w="454" w:type="pct"/>
            <w:shd w:val="clear" w:color="auto" w:fill="auto"/>
            <w:vAlign w:val="center"/>
          </w:tcPr>
          <w:p w14:paraId="03527DC9">
            <w:pPr>
              <w:spacing w:before="0" w:beforeLines="0" w:line="240" w:lineRule="auto"/>
              <w:jc w:val="center"/>
              <w:rPr>
                <w:snapToGrid w:val="0"/>
                <w:kern w:val="0"/>
                <w:szCs w:val="20"/>
              </w:rPr>
            </w:pPr>
            <w:r>
              <w:rPr>
                <w:snapToGrid w:val="0"/>
                <w:kern w:val="0"/>
                <w:szCs w:val="20"/>
              </w:rPr>
              <w:t>有害成分</w:t>
            </w:r>
          </w:p>
        </w:tc>
        <w:tc>
          <w:tcPr>
            <w:tcW w:w="408" w:type="pct"/>
            <w:shd w:val="clear" w:color="auto" w:fill="auto"/>
            <w:vAlign w:val="center"/>
          </w:tcPr>
          <w:p w14:paraId="0EB04C6F">
            <w:pPr>
              <w:spacing w:before="0" w:beforeLines="0" w:line="240" w:lineRule="auto"/>
              <w:jc w:val="center"/>
              <w:rPr>
                <w:snapToGrid w:val="0"/>
                <w:kern w:val="0"/>
                <w:szCs w:val="20"/>
              </w:rPr>
            </w:pPr>
            <w:r>
              <w:rPr>
                <w:snapToGrid w:val="0"/>
                <w:kern w:val="0"/>
                <w:szCs w:val="20"/>
              </w:rPr>
              <w:t>产废周期</w:t>
            </w:r>
          </w:p>
        </w:tc>
        <w:tc>
          <w:tcPr>
            <w:tcW w:w="310" w:type="pct"/>
            <w:shd w:val="clear" w:color="auto" w:fill="auto"/>
            <w:vAlign w:val="center"/>
          </w:tcPr>
          <w:p w14:paraId="1C70EB96">
            <w:pPr>
              <w:spacing w:before="0" w:beforeLines="0" w:line="240" w:lineRule="auto"/>
              <w:jc w:val="center"/>
              <w:rPr>
                <w:snapToGrid w:val="0"/>
                <w:kern w:val="0"/>
                <w:szCs w:val="20"/>
              </w:rPr>
            </w:pPr>
            <w:r>
              <w:rPr>
                <w:snapToGrid w:val="0"/>
                <w:kern w:val="0"/>
                <w:szCs w:val="20"/>
              </w:rPr>
              <w:t>危险特性</w:t>
            </w:r>
          </w:p>
        </w:tc>
        <w:tc>
          <w:tcPr>
            <w:tcW w:w="896" w:type="pct"/>
            <w:shd w:val="clear" w:color="auto" w:fill="auto"/>
            <w:vAlign w:val="center"/>
          </w:tcPr>
          <w:p w14:paraId="330A98E2">
            <w:pPr>
              <w:spacing w:before="0" w:beforeLines="0" w:line="240" w:lineRule="auto"/>
              <w:jc w:val="center"/>
              <w:rPr>
                <w:snapToGrid w:val="0"/>
                <w:kern w:val="0"/>
                <w:szCs w:val="20"/>
              </w:rPr>
            </w:pPr>
            <w:r>
              <w:rPr>
                <w:snapToGrid w:val="0"/>
                <w:kern w:val="0"/>
                <w:szCs w:val="20"/>
              </w:rPr>
              <w:t>污染防治措施</w:t>
            </w:r>
          </w:p>
        </w:tc>
      </w:tr>
      <w:tr w14:paraId="3BCF2E18">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28" w:type="dxa"/>
            <w:bottom w:w="0" w:type="dxa"/>
            <w:right w:w="28" w:type="dxa"/>
          </w:tblCellMar>
        </w:tblPrEx>
        <w:trPr>
          <w:trHeight w:val="340" w:hRule="atLeast"/>
        </w:trPr>
        <w:tc>
          <w:tcPr>
            <w:tcW w:w="224" w:type="pct"/>
            <w:shd w:val="clear" w:color="auto" w:fill="auto"/>
            <w:vAlign w:val="center"/>
          </w:tcPr>
          <w:p w14:paraId="35F41835">
            <w:pPr>
              <w:spacing w:before="0" w:beforeLines="0" w:line="240" w:lineRule="auto"/>
              <w:jc w:val="center"/>
              <w:rPr>
                <w:snapToGrid w:val="0"/>
                <w:kern w:val="0"/>
                <w:szCs w:val="20"/>
              </w:rPr>
            </w:pPr>
            <w:r>
              <w:rPr>
                <w:snapToGrid w:val="0"/>
                <w:kern w:val="0"/>
                <w:szCs w:val="20"/>
              </w:rPr>
              <w:t>1</w:t>
            </w:r>
          </w:p>
        </w:tc>
        <w:tc>
          <w:tcPr>
            <w:tcW w:w="642" w:type="pct"/>
            <w:shd w:val="clear" w:color="auto" w:fill="auto"/>
            <w:vAlign w:val="center"/>
          </w:tcPr>
          <w:p w14:paraId="70518CAE">
            <w:pPr>
              <w:spacing w:before="0" w:beforeLines="0" w:line="240" w:lineRule="auto"/>
              <w:jc w:val="center"/>
              <w:rPr>
                <w:snapToGrid w:val="0"/>
                <w:kern w:val="0"/>
                <w:szCs w:val="20"/>
              </w:rPr>
            </w:pPr>
            <w:r>
              <w:rPr>
                <w:snapToGrid w:val="0"/>
                <w:kern w:val="0"/>
                <w:szCs w:val="20"/>
              </w:rPr>
              <w:t>废矿物油</w:t>
            </w:r>
          </w:p>
        </w:tc>
        <w:tc>
          <w:tcPr>
            <w:tcW w:w="371" w:type="pct"/>
            <w:shd w:val="clear" w:color="auto" w:fill="auto"/>
            <w:vAlign w:val="center"/>
          </w:tcPr>
          <w:p w14:paraId="038EF0D7">
            <w:pPr>
              <w:spacing w:before="0" w:beforeLines="0" w:line="240" w:lineRule="auto"/>
              <w:jc w:val="center"/>
              <w:rPr>
                <w:snapToGrid w:val="0"/>
                <w:kern w:val="0"/>
                <w:szCs w:val="20"/>
              </w:rPr>
            </w:pPr>
            <w:r>
              <w:rPr>
                <w:snapToGrid w:val="0"/>
                <w:kern w:val="0"/>
                <w:szCs w:val="20"/>
              </w:rPr>
              <w:t>HW08</w:t>
            </w:r>
          </w:p>
        </w:tc>
        <w:tc>
          <w:tcPr>
            <w:tcW w:w="642" w:type="pct"/>
            <w:shd w:val="clear" w:color="auto" w:fill="auto"/>
            <w:vAlign w:val="center"/>
          </w:tcPr>
          <w:p w14:paraId="1DBA24E0">
            <w:pPr>
              <w:spacing w:before="0" w:beforeLines="0" w:line="240" w:lineRule="auto"/>
              <w:jc w:val="center"/>
              <w:rPr>
                <w:snapToGrid w:val="0"/>
                <w:kern w:val="0"/>
                <w:szCs w:val="20"/>
              </w:rPr>
            </w:pPr>
            <w:r>
              <w:rPr>
                <w:snapToGrid w:val="0"/>
                <w:kern w:val="0"/>
                <w:szCs w:val="20"/>
              </w:rPr>
              <w:t>900-214-08</w:t>
            </w:r>
          </w:p>
        </w:tc>
        <w:tc>
          <w:tcPr>
            <w:tcW w:w="425" w:type="pct"/>
            <w:shd w:val="clear" w:color="auto" w:fill="auto"/>
            <w:vAlign w:val="center"/>
          </w:tcPr>
          <w:p w14:paraId="092564C5">
            <w:pPr>
              <w:spacing w:before="0" w:beforeLines="0" w:line="240" w:lineRule="auto"/>
              <w:jc w:val="center"/>
              <w:rPr>
                <w:snapToGrid w:val="0"/>
                <w:kern w:val="0"/>
                <w:szCs w:val="20"/>
              </w:rPr>
            </w:pPr>
            <w:r>
              <w:rPr>
                <w:rFonts w:hint="eastAsia"/>
                <w:snapToGrid w:val="0"/>
                <w:kern w:val="0"/>
                <w:szCs w:val="20"/>
              </w:rPr>
              <w:t>1.0</w:t>
            </w:r>
            <w:r>
              <w:rPr>
                <w:snapToGrid w:val="0"/>
                <w:kern w:val="0"/>
                <w:szCs w:val="20"/>
              </w:rPr>
              <w:t>t/a</w:t>
            </w:r>
          </w:p>
        </w:tc>
        <w:tc>
          <w:tcPr>
            <w:tcW w:w="626" w:type="pct"/>
            <w:shd w:val="clear" w:color="auto" w:fill="auto"/>
            <w:vAlign w:val="center"/>
          </w:tcPr>
          <w:p w14:paraId="7A97804D">
            <w:pPr>
              <w:spacing w:before="0" w:beforeLines="0" w:line="240" w:lineRule="auto"/>
              <w:jc w:val="center"/>
              <w:rPr>
                <w:snapToGrid w:val="0"/>
                <w:kern w:val="0"/>
                <w:szCs w:val="20"/>
              </w:rPr>
            </w:pPr>
            <w:r>
              <w:rPr>
                <w:snapToGrid w:val="0"/>
                <w:kern w:val="0"/>
                <w:szCs w:val="20"/>
              </w:rPr>
              <w:t>设备润滑、冷却</w:t>
            </w:r>
          </w:p>
        </w:tc>
        <w:tc>
          <w:tcPr>
            <w:tcW w:w="454" w:type="pct"/>
            <w:shd w:val="clear" w:color="auto" w:fill="auto"/>
            <w:vAlign w:val="center"/>
          </w:tcPr>
          <w:p w14:paraId="212206A8">
            <w:pPr>
              <w:spacing w:before="0" w:beforeLines="0" w:line="240" w:lineRule="auto"/>
              <w:jc w:val="center"/>
              <w:rPr>
                <w:snapToGrid w:val="0"/>
                <w:kern w:val="0"/>
                <w:szCs w:val="20"/>
              </w:rPr>
            </w:pPr>
            <w:r>
              <w:rPr>
                <w:snapToGrid w:val="0"/>
                <w:kern w:val="0"/>
                <w:szCs w:val="20"/>
              </w:rPr>
              <w:t>烷烃、芳烃</w:t>
            </w:r>
          </w:p>
        </w:tc>
        <w:tc>
          <w:tcPr>
            <w:tcW w:w="408" w:type="pct"/>
            <w:shd w:val="clear" w:color="auto" w:fill="auto"/>
            <w:vAlign w:val="center"/>
          </w:tcPr>
          <w:p w14:paraId="31661819">
            <w:pPr>
              <w:spacing w:before="0" w:beforeLines="0" w:line="240" w:lineRule="auto"/>
              <w:jc w:val="center"/>
              <w:rPr>
                <w:snapToGrid w:val="0"/>
                <w:kern w:val="0"/>
                <w:szCs w:val="20"/>
              </w:rPr>
            </w:pPr>
            <w:r>
              <w:rPr>
                <w:rFonts w:hint="eastAsia"/>
                <w:snapToGrid w:val="0"/>
                <w:kern w:val="0"/>
                <w:szCs w:val="20"/>
              </w:rPr>
              <w:t>每月</w:t>
            </w:r>
          </w:p>
        </w:tc>
        <w:tc>
          <w:tcPr>
            <w:tcW w:w="310" w:type="pct"/>
            <w:shd w:val="clear" w:color="auto" w:fill="auto"/>
            <w:vAlign w:val="center"/>
          </w:tcPr>
          <w:p w14:paraId="34B75259">
            <w:pPr>
              <w:spacing w:before="0" w:beforeLines="0" w:line="240" w:lineRule="auto"/>
              <w:jc w:val="center"/>
              <w:rPr>
                <w:snapToGrid w:val="0"/>
                <w:kern w:val="0"/>
                <w:szCs w:val="20"/>
              </w:rPr>
            </w:pPr>
            <w:r>
              <w:rPr>
                <w:snapToGrid w:val="0"/>
                <w:kern w:val="0"/>
                <w:szCs w:val="20"/>
              </w:rPr>
              <w:t>T、I</w:t>
            </w:r>
          </w:p>
        </w:tc>
        <w:tc>
          <w:tcPr>
            <w:tcW w:w="896" w:type="pct"/>
            <w:vMerge w:val="restart"/>
            <w:shd w:val="clear" w:color="auto" w:fill="auto"/>
            <w:vAlign w:val="center"/>
          </w:tcPr>
          <w:p w14:paraId="77DEDCF2">
            <w:pPr>
              <w:spacing w:before="0" w:beforeLines="0" w:line="240" w:lineRule="auto"/>
              <w:rPr>
                <w:snapToGrid w:val="0"/>
                <w:kern w:val="0"/>
                <w:szCs w:val="20"/>
              </w:rPr>
            </w:pPr>
            <w:r>
              <w:rPr>
                <w:snapToGrid w:val="0"/>
                <w:kern w:val="0"/>
                <w:szCs w:val="20"/>
              </w:rPr>
              <w:t>暂存危废</w:t>
            </w:r>
            <w:r>
              <w:rPr>
                <w:rFonts w:hint="eastAsia"/>
                <w:snapToGrid w:val="0"/>
                <w:kern w:val="0"/>
                <w:szCs w:val="20"/>
              </w:rPr>
              <w:t>贮存点</w:t>
            </w:r>
            <w:r>
              <w:rPr>
                <w:snapToGrid w:val="0"/>
                <w:kern w:val="0"/>
                <w:szCs w:val="20"/>
              </w:rPr>
              <w:t>，定期交由有资质的单位处置。</w:t>
            </w:r>
          </w:p>
        </w:tc>
      </w:tr>
      <w:tr w14:paraId="6A92195C">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28" w:type="dxa"/>
            <w:bottom w:w="0" w:type="dxa"/>
            <w:right w:w="28" w:type="dxa"/>
          </w:tblCellMar>
        </w:tblPrEx>
        <w:trPr>
          <w:trHeight w:val="340" w:hRule="atLeast"/>
        </w:trPr>
        <w:tc>
          <w:tcPr>
            <w:tcW w:w="224" w:type="pct"/>
            <w:shd w:val="clear" w:color="auto" w:fill="auto"/>
            <w:vAlign w:val="center"/>
          </w:tcPr>
          <w:p w14:paraId="16282411">
            <w:pPr>
              <w:spacing w:before="0" w:beforeLines="0" w:line="240" w:lineRule="auto"/>
              <w:jc w:val="center"/>
              <w:rPr>
                <w:snapToGrid w:val="0"/>
                <w:kern w:val="0"/>
                <w:szCs w:val="20"/>
              </w:rPr>
            </w:pPr>
            <w:r>
              <w:rPr>
                <w:rFonts w:hint="eastAsia"/>
                <w:snapToGrid w:val="0"/>
                <w:kern w:val="0"/>
                <w:szCs w:val="20"/>
              </w:rPr>
              <w:t>2</w:t>
            </w:r>
          </w:p>
        </w:tc>
        <w:tc>
          <w:tcPr>
            <w:tcW w:w="642" w:type="pct"/>
            <w:shd w:val="clear" w:color="auto" w:fill="auto"/>
            <w:vAlign w:val="center"/>
          </w:tcPr>
          <w:p w14:paraId="1CFC4F62">
            <w:pPr>
              <w:spacing w:before="0" w:beforeLines="0" w:line="240" w:lineRule="auto"/>
              <w:jc w:val="center"/>
              <w:rPr>
                <w:snapToGrid w:val="0"/>
                <w:kern w:val="0"/>
                <w:szCs w:val="20"/>
              </w:rPr>
            </w:pPr>
            <w:r>
              <w:rPr>
                <w:rFonts w:hint="eastAsia"/>
                <w:snapToGrid w:val="0"/>
                <w:kern w:val="0"/>
                <w:szCs w:val="20"/>
              </w:rPr>
              <w:t>废油桶</w:t>
            </w:r>
          </w:p>
        </w:tc>
        <w:tc>
          <w:tcPr>
            <w:tcW w:w="371" w:type="pct"/>
            <w:shd w:val="clear" w:color="auto" w:fill="auto"/>
            <w:vAlign w:val="center"/>
          </w:tcPr>
          <w:p w14:paraId="167E26B7">
            <w:pPr>
              <w:spacing w:before="0" w:beforeLines="0" w:line="240" w:lineRule="auto"/>
              <w:jc w:val="center"/>
              <w:rPr>
                <w:snapToGrid w:val="0"/>
                <w:kern w:val="0"/>
                <w:szCs w:val="20"/>
              </w:rPr>
            </w:pPr>
            <w:r>
              <w:rPr>
                <w:snapToGrid w:val="0"/>
                <w:kern w:val="0"/>
                <w:szCs w:val="20"/>
              </w:rPr>
              <w:t>HW08</w:t>
            </w:r>
          </w:p>
        </w:tc>
        <w:tc>
          <w:tcPr>
            <w:tcW w:w="642" w:type="pct"/>
            <w:shd w:val="clear" w:color="auto" w:fill="auto"/>
            <w:vAlign w:val="center"/>
          </w:tcPr>
          <w:p w14:paraId="009FF23B">
            <w:pPr>
              <w:spacing w:before="0" w:beforeLines="0" w:line="240" w:lineRule="auto"/>
              <w:jc w:val="center"/>
              <w:rPr>
                <w:snapToGrid w:val="0"/>
                <w:kern w:val="0"/>
                <w:szCs w:val="20"/>
              </w:rPr>
            </w:pPr>
            <w:r>
              <w:rPr>
                <w:snapToGrid w:val="0"/>
                <w:kern w:val="0"/>
                <w:szCs w:val="20"/>
              </w:rPr>
              <w:t>900-2</w:t>
            </w:r>
            <w:r>
              <w:rPr>
                <w:rFonts w:hint="eastAsia"/>
                <w:snapToGrid w:val="0"/>
                <w:kern w:val="0"/>
                <w:szCs w:val="20"/>
              </w:rPr>
              <w:t>49</w:t>
            </w:r>
            <w:r>
              <w:rPr>
                <w:snapToGrid w:val="0"/>
                <w:kern w:val="0"/>
                <w:szCs w:val="20"/>
              </w:rPr>
              <w:t>-08</w:t>
            </w:r>
          </w:p>
        </w:tc>
        <w:tc>
          <w:tcPr>
            <w:tcW w:w="425" w:type="pct"/>
            <w:shd w:val="clear" w:color="auto" w:fill="auto"/>
            <w:vAlign w:val="center"/>
          </w:tcPr>
          <w:p w14:paraId="131C7A4F">
            <w:pPr>
              <w:spacing w:before="0" w:beforeLines="0" w:line="240" w:lineRule="auto"/>
              <w:jc w:val="center"/>
              <w:rPr>
                <w:snapToGrid w:val="0"/>
                <w:kern w:val="0"/>
                <w:szCs w:val="20"/>
              </w:rPr>
            </w:pPr>
            <w:r>
              <w:rPr>
                <w:rFonts w:hint="eastAsia"/>
                <w:snapToGrid w:val="0"/>
                <w:kern w:val="0"/>
                <w:szCs w:val="20"/>
              </w:rPr>
              <w:t>0.2</w:t>
            </w:r>
            <w:r>
              <w:rPr>
                <w:snapToGrid w:val="0"/>
                <w:kern w:val="0"/>
                <w:szCs w:val="20"/>
              </w:rPr>
              <w:t>t/a</w:t>
            </w:r>
          </w:p>
        </w:tc>
        <w:tc>
          <w:tcPr>
            <w:tcW w:w="626" w:type="pct"/>
            <w:shd w:val="clear" w:color="auto" w:fill="auto"/>
            <w:vAlign w:val="center"/>
          </w:tcPr>
          <w:p w14:paraId="468CD702">
            <w:pPr>
              <w:spacing w:before="0" w:beforeLines="0" w:line="240" w:lineRule="auto"/>
              <w:jc w:val="center"/>
              <w:rPr>
                <w:snapToGrid w:val="0"/>
                <w:kern w:val="0"/>
                <w:szCs w:val="20"/>
              </w:rPr>
            </w:pPr>
            <w:r>
              <w:rPr>
                <w:rFonts w:hint="eastAsia"/>
                <w:snapToGrid w:val="0"/>
                <w:kern w:val="0"/>
                <w:szCs w:val="20"/>
              </w:rPr>
              <w:t>矿物油包装</w:t>
            </w:r>
          </w:p>
        </w:tc>
        <w:tc>
          <w:tcPr>
            <w:tcW w:w="454" w:type="pct"/>
            <w:shd w:val="clear" w:color="auto" w:fill="auto"/>
            <w:vAlign w:val="center"/>
          </w:tcPr>
          <w:p w14:paraId="24213072">
            <w:pPr>
              <w:spacing w:before="0" w:beforeLines="0" w:line="240" w:lineRule="auto"/>
              <w:jc w:val="center"/>
              <w:rPr>
                <w:snapToGrid w:val="0"/>
                <w:kern w:val="0"/>
                <w:szCs w:val="20"/>
              </w:rPr>
            </w:pPr>
            <w:r>
              <w:rPr>
                <w:snapToGrid w:val="0"/>
                <w:kern w:val="0"/>
                <w:szCs w:val="20"/>
              </w:rPr>
              <w:t>烷烃、芳烃</w:t>
            </w:r>
          </w:p>
        </w:tc>
        <w:tc>
          <w:tcPr>
            <w:tcW w:w="408" w:type="pct"/>
            <w:shd w:val="clear" w:color="auto" w:fill="auto"/>
            <w:vAlign w:val="center"/>
          </w:tcPr>
          <w:p w14:paraId="284C56F0">
            <w:pPr>
              <w:spacing w:before="0" w:beforeLines="0" w:line="240" w:lineRule="auto"/>
              <w:jc w:val="center"/>
              <w:rPr>
                <w:snapToGrid w:val="0"/>
                <w:kern w:val="0"/>
                <w:szCs w:val="20"/>
              </w:rPr>
            </w:pPr>
            <w:r>
              <w:rPr>
                <w:rFonts w:hint="eastAsia"/>
                <w:snapToGrid w:val="0"/>
                <w:kern w:val="0"/>
                <w:szCs w:val="20"/>
              </w:rPr>
              <w:t>每月</w:t>
            </w:r>
          </w:p>
        </w:tc>
        <w:tc>
          <w:tcPr>
            <w:tcW w:w="310" w:type="pct"/>
            <w:shd w:val="clear" w:color="auto" w:fill="auto"/>
            <w:vAlign w:val="center"/>
          </w:tcPr>
          <w:p w14:paraId="13B000A5">
            <w:pPr>
              <w:spacing w:before="0" w:beforeLines="0" w:line="240" w:lineRule="auto"/>
              <w:jc w:val="center"/>
              <w:rPr>
                <w:snapToGrid w:val="0"/>
                <w:kern w:val="0"/>
                <w:szCs w:val="20"/>
              </w:rPr>
            </w:pPr>
            <w:r>
              <w:rPr>
                <w:snapToGrid w:val="0"/>
                <w:kern w:val="0"/>
                <w:szCs w:val="20"/>
              </w:rPr>
              <w:t>T</w:t>
            </w:r>
            <w:r>
              <w:rPr>
                <w:rFonts w:hint="eastAsia"/>
                <w:snapToGrid w:val="0"/>
                <w:kern w:val="0"/>
                <w:szCs w:val="20"/>
              </w:rPr>
              <w:t>、I</w:t>
            </w:r>
          </w:p>
        </w:tc>
        <w:tc>
          <w:tcPr>
            <w:tcW w:w="896" w:type="pct"/>
            <w:vMerge w:val="continue"/>
            <w:shd w:val="clear" w:color="auto" w:fill="auto"/>
            <w:vAlign w:val="center"/>
          </w:tcPr>
          <w:p w14:paraId="62156A0B">
            <w:pPr>
              <w:spacing w:before="0" w:beforeLines="0" w:line="240" w:lineRule="auto"/>
              <w:rPr>
                <w:snapToGrid w:val="0"/>
                <w:kern w:val="0"/>
                <w:szCs w:val="20"/>
              </w:rPr>
            </w:pPr>
          </w:p>
        </w:tc>
      </w:tr>
    </w:tbl>
    <w:p w14:paraId="16DDBDA4">
      <w:pPr>
        <w:adjustRightInd w:val="0"/>
        <w:snapToGrid w:val="0"/>
        <w:spacing w:before="0" w:beforeLines="0" w:line="360" w:lineRule="auto"/>
        <w:ind w:firstLine="482" w:firstLineChars="200"/>
        <w:jc w:val="left"/>
        <w:rPr>
          <w:b/>
          <w:bCs/>
          <w:kern w:val="0"/>
          <w:sz w:val="24"/>
        </w:rPr>
      </w:pPr>
      <w:r>
        <w:rPr>
          <w:b/>
          <w:bCs/>
          <w:kern w:val="0"/>
          <w:sz w:val="24"/>
        </w:rPr>
        <w:fldChar w:fldCharType="begin"/>
      </w:r>
      <w:r>
        <w:rPr>
          <w:b/>
          <w:bCs/>
          <w:kern w:val="0"/>
          <w:sz w:val="24"/>
        </w:rPr>
        <w:instrText xml:space="preserve"> = 3 \* GB2 \* MERGEFORMAT </w:instrText>
      </w:r>
      <w:r>
        <w:rPr>
          <w:b/>
          <w:bCs/>
          <w:kern w:val="0"/>
          <w:sz w:val="24"/>
        </w:rPr>
        <w:fldChar w:fldCharType="separate"/>
      </w:r>
      <w:r>
        <w:rPr>
          <w:b/>
          <w:bCs/>
          <w:kern w:val="0"/>
          <w:sz w:val="24"/>
        </w:rPr>
        <w:t>⑶</w:t>
      </w:r>
      <w:r>
        <w:rPr>
          <w:b/>
          <w:bCs/>
          <w:kern w:val="0"/>
          <w:sz w:val="24"/>
        </w:rPr>
        <w:fldChar w:fldCharType="end"/>
      </w:r>
      <w:r>
        <w:rPr>
          <w:b/>
          <w:bCs/>
          <w:kern w:val="0"/>
          <w:sz w:val="24"/>
        </w:rPr>
        <w:t>生活垃圾</w:t>
      </w:r>
    </w:p>
    <w:p w14:paraId="53C101E3">
      <w:pPr>
        <w:adjustRightInd w:val="0"/>
        <w:snapToGrid w:val="0"/>
        <w:spacing w:before="0" w:beforeLines="0" w:line="360" w:lineRule="auto"/>
        <w:ind w:firstLine="480" w:firstLineChars="200"/>
        <w:rPr>
          <w:kern w:val="0"/>
          <w:sz w:val="24"/>
        </w:rPr>
      </w:pPr>
      <w:r>
        <w:rPr>
          <w:kern w:val="0"/>
          <w:sz w:val="24"/>
        </w:rPr>
        <w:t>本项生活垃圾产生量为9.9t/a，存放于办公区垃圾箱内，定期运至环卫部门指定地点，不随意排放。</w:t>
      </w:r>
    </w:p>
    <w:p w14:paraId="2E723BFB">
      <w:pPr>
        <w:pStyle w:val="5"/>
        <w:rPr>
          <w:color w:val="auto"/>
        </w:rPr>
      </w:pPr>
      <w:r>
        <w:rPr>
          <w:color w:val="auto"/>
        </w:rPr>
        <w:t>5.6.2固体废物环境影响分析</w:t>
      </w:r>
    </w:p>
    <w:p w14:paraId="4E346348">
      <w:pPr>
        <w:adjustRightInd w:val="0"/>
        <w:snapToGrid w:val="0"/>
        <w:spacing w:before="0" w:beforeLines="0" w:line="360" w:lineRule="auto"/>
        <w:rPr>
          <w:sz w:val="24"/>
        </w:rPr>
      </w:pPr>
      <w:r>
        <w:rPr>
          <w:rFonts w:hint="eastAsia"/>
          <w:sz w:val="24"/>
        </w:rPr>
        <w:t>（1）一般固废影响分析</w:t>
      </w:r>
    </w:p>
    <w:p w14:paraId="6F73CFD7">
      <w:pPr>
        <w:adjustRightInd w:val="0"/>
        <w:snapToGrid w:val="0"/>
        <w:spacing w:before="0" w:beforeLines="0" w:line="360" w:lineRule="auto"/>
        <w:ind w:firstLine="480" w:firstLineChars="200"/>
        <w:rPr>
          <w:sz w:val="24"/>
        </w:rPr>
      </w:pPr>
      <w:bookmarkStart w:id="538" w:name="_Hlk193107411"/>
      <w:r>
        <w:rPr>
          <w:rFonts w:hint="eastAsia"/>
          <w:sz w:val="24"/>
        </w:rPr>
        <w:t>通过以上分析，</w:t>
      </w:r>
      <w:r>
        <w:rPr>
          <w:sz w:val="24"/>
        </w:rPr>
        <w:t>本项目一般固体废物有除尘灰、落地灰、泥饼</w:t>
      </w:r>
      <w:r>
        <w:rPr>
          <w:rFonts w:hint="eastAsia"/>
          <w:sz w:val="24"/>
        </w:rPr>
        <w:t>和沉淀渣</w:t>
      </w:r>
      <w:r>
        <w:rPr>
          <w:sz w:val="24"/>
        </w:rPr>
        <w:t>、</w:t>
      </w:r>
      <w:r>
        <w:rPr>
          <w:rFonts w:hint="eastAsia"/>
          <w:sz w:val="24"/>
        </w:rPr>
        <w:t>废布袋等</w:t>
      </w:r>
      <w:r>
        <w:rPr>
          <w:sz w:val="24"/>
        </w:rPr>
        <w:t>。</w:t>
      </w:r>
    </w:p>
    <w:bookmarkEnd w:id="538"/>
    <w:p w14:paraId="44757584">
      <w:pPr>
        <w:adjustRightInd w:val="0"/>
        <w:snapToGrid w:val="0"/>
        <w:spacing w:before="0" w:beforeLines="0" w:line="360" w:lineRule="auto"/>
        <w:ind w:firstLine="480" w:firstLineChars="200"/>
        <w:rPr>
          <w:sz w:val="24"/>
        </w:rPr>
      </w:pPr>
      <w:bookmarkStart w:id="539" w:name="OLE_LINK54"/>
      <w:r>
        <w:rPr>
          <w:sz w:val="24"/>
        </w:rPr>
        <w:t>除尘灰和落地灰主要为废石、尾矿破碎筛分、粗磁选、抛砂分离产生的粉尘，主要成分与原料废石、尾矿基本一致，仍属于一般固体废物。</w:t>
      </w:r>
      <w:bookmarkEnd w:id="539"/>
      <w:r>
        <w:rPr>
          <w:sz w:val="24"/>
        </w:rPr>
        <w:t>项目投产后公司委托第三方检测单位对除尘灰和落地灰进行浸出试验，鉴定结果属于Ⅰ类一般工业固体废物与泥饼</w:t>
      </w:r>
      <w:r>
        <w:rPr>
          <w:rFonts w:hint="eastAsia"/>
          <w:sz w:val="24"/>
        </w:rPr>
        <w:t>直接</w:t>
      </w:r>
      <w:r>
        <w:rPr>
          <w:sz w:val="24"/>
        </w:rPr>
        <w:t>由辽宁鑫岳矿业负责回填采坑</w:t>
      </w:r>
      <w:r>
        <w:rPr>
          <w:rFonts w:hint="eastAsia"/>
          <w:sz w:val="24"/>
        </w:rPr>
        <w:t>并进行生态恢复</w:t>
      </w:r>
      <w:r>
        <w:rPr>
          <w:sz w:val="24"/>
        </w:rPr>
        <w:t>；</w:t>
      </w:r>
      <w:bookmarkStart w:id="540" w:name="OLE_LINK53"/>
      <w:r>
        <w:rPr>
          <w:sz w:val="24"/>
        </w:rPr>
        <w:t>属于II类一般工业固体废物，</w:t>
      </w:r>
      <w:r>
        <w:rPr>
          <w:rFonts w:hint="eastAsia"/>
          <w:sz w:val="24"/>
        </w:rPr>
        <w:t>由辽宁鑫岳矿业</w:t>
      </w:r>
      <w:r>
        <w:rPr>
          <w:sz w:val="24"/>
        </w:rPr>
        <w:t>根据《辽宁省一般工业固体废物用于矿山露天采坑回填修复环境管理规定（试行）》（辽环发[2025]16号）</w:t>
      </w:r>
      <w:r>
        <w:rPr>
          <w:rFonts w:hint="eastAsia"/>
          <w:sz w:val="24"/>
        </w:rPr>
        <w:t>、</w:t>
      </w:r>
      <w:r>
        <w:rPr>
          <w:sz w:val="24"/>
        </w:rPr>
        <w:t>《一般工业固体废物贮存和填埋污染控制标准》（GB18599-2020）开展环境风险评估后</w:t>
      </w:r>
      <w:r>
        <w:rPr>
          <w:rFonts w:hint="eastAsia"/>
          <w:sz w:val="24"/>
        </w:rPr>
        <w:t>按照相关规定</w:t>
      </w:r>
      <w:r>
        <w:rPr>
          <w:sz w:val="24"/>
        </w:rPr>
        <w:t>回填采坑</w:t>
      </w:r>
      <w:r>
        <w:rPr>
          <w:rFonts w:hint="eastAsia"/>
          <w:sz w:val="24"/>
        </w:rPr>
        <w:t>并进行生态恢复。</w:t>
      </w:r>
      <w:bookmarkEnd w:id="540"/>
    </w:p>
    <w:p w14:paraId="03AB0751">
      <w:pPr>
        <w:adjustRightInd w:val="0"/>
        <w:snapToGrid w:val="0"/>
        <w:spacing w:before="0" w:beforeLines="0" w:line="360" w:lineRule="auto"/>
        <w:ind w:firstLine="480" w:firstLineChars="200"/>
        <w:rPr>
          <w:sz w:val="24"/>
        </w:rPr>
      </w:pPr>
      <w:r>
        <w:rPr>
          <w:rFonts w:hint="eastAsia"/>
          <w:sz w:val="24"/>
        </w:rPr>
        <w:t>废布袋主要成分为</w:t>
      </w:r>
      <w:r>
        <w:rPr>
          <w:sz w:val="24"/>
        </w:rPr>
        <w:t>纤维滤料</w:t>
      </w:r>
      <w:r>
        <w:rPr>
          <w:rFonts w:hint="eastAsia"/>
          <w:sz w:val="24"/>
        </w:rPr>
        <w:t>，可外售后物资回收公司进行再利用。</w:t>
      </w:r>
    </w:p>
    <w:p w14:paraId="5481106E">
      <w:pPr>
        <w:autoSpaceDE w:val="0"/>
        <w:autoSpaceDN w:val="0"/>
        <w:snapToGrid w:val="0"/>
        <w:spacing w:before="0" w:beforeLines="0" w:line="360" w:lineRule="auto"/>
        <w:ind w:firstLine="480" w:firstLineChars="200"/>
        <w:textAlignment w:val="bottom"/>
        <w:rPr>
          <w:sz w:val="24"/>
        </w:rPr>
      </w:pPr>
      <w:r>
        <w:rPr>
          <w:kern w:val="0"/>
          <w:sz w:val="24"/>
        </w:rPr>
        <w:t>本项目泥饼</w:t>
      </w:r>
      <w:r>
        <w:rPr>
          <w:rFonts w:hint="eastAsia"/>
          <w:kern w:val="0"/>
          <w:sz w:val="24"/>
        </w:rPr>
        <w:t>和沉淀渣进行了</w:t>
      </w:r>
      <w:r>
        <w:rPr>
          <w:sz w:val="24"/>
        </w:rPr>
        <w:t>浸出试验</w:t>
      </w:r>
      <w:r>
        <w:rPr>
          <w:rFonts w:hint="eastAsia"/>
          <w:sz w:val="24"/>
        </w:rPr>
        <w:t>，</w:t>
      </w:r>
      <w:r>
        <w:rPr>
          <w:sz w:val="24"/>
        </w:rPr>
        <w:t>根据《一般工业固体废物贮存和填埋污染控制标准》（GB18599-2020）中相关要求，本项目</w:t>
      </w:r>
      <w:r>
        <w:rPr>
          <w:rFonts w:hint="eastAsia"/>
          <w:sz w:val="24"/>
        </w:rPr>
        <w:t>泥饼</w:t>
      </w:r>
      <w:r>
        <w:rPr>
          <w:sz w:val="24"/>
        </w:rPr>
        <w:t xml:space="preserve">为第Ⅰ类一般工业固体废物。 </w:t>
      </w:r>
      <w:r>
        <w:rPr>
          <w:rFonts w:hint="eastAsia"/>
          <w:sz w:val="24"/>
        </w:rPr>
        <w:t>同时，</w:t>
      </w:r>
      <w:r>
        <w:rPr>
          <w:sz w:val="24"/>
        </w:rPr>
        <w:t>《一般工业固体废物贮存和填埋污染控制标准》（GB18599-2020）中第Ⅰ类工业固体废物充填及回填利用污染控制要求：</w:t>
      </w:r>
      <w:r>
        <w:rPr>
          <w:rFonts w:hint="eastAsia"/>
          <w:sz w:val="24"/>
        </w:rPr>
        <w:t>尾矿、矿山废石等</w:t>
      </w:r>
      <w:r>
        <w:rPr>
          <w:sz w:val="24"/>
        </w:rPr>
        <w:t>可在原矿开采区的矿井、矿坑等采空区中充填或回填。因此，本项目运营期</w:t>
      </w:r>
      <w:r>
        <w:rPr>
          <w:rFonts w:hint="eastAsia"/>
          <w:sz w:val="24"/>
        </w:rPr>
        <w:t>泥饼</w:t>
      </w:r>
      <w:r>
        <w:rPr>
          <w:sz w:val="24"/>
        </w:rPr>
        <w:t>可全部综合利用</w:t>
      </w:r>
      <w:r>
        <w:rPr>
          <w:rFonts w:hint="eastAsia"/>
          <w:sz w:val="24"/>
        </w:rPr>
        <w:t>回填</w:t>
      </w:r>
      <w:r>
        <w:rPr>
          <w:kern w:val="0"/>
          <w:sz w:val="24"/>
        </w:rPr>
        <w:t>至现有露天采坑</w:t>
      </w:r>
      <w:r>
        <w:rPr>
          <w:sz w:val="24"/>
        </w:rPr>
        <w:t>。</w:t>
      </w:r>
      <w:r>
        <w:rPr>
          <w:rFonts w:hint="eastAsia"/>
          <w:sz w:val="24"/>
        </w:rPr>
        <w:t>根据当地政府要求，该回填工作由辽宁鑫岳矿业有限公司负责进行。企业已经与辽宁鑫岳矿业有限公司依法签订书面合同，在合同中约定运输要求、污染防治要求等内容。</w:t>
      </w:r>
    </w:p>
    <w:p w14:paraId="6EA1B690">
      <w:pPr>
        <w:autoSpaceDE w:val="0"/>
        <w:autoSpaceDN w:val="0"/>
        <w:snapToGrid w:val="0"/>
        <w:spacing w:before="0" w:beforeLines="0" w:line="360" w:lineRule="auto"/>
        <w:ind w:firstLine="480" w:firstLineChars="200"/>
        <w:textAlignment w:val="bottom"/>
        <w:rPr>
          <w:sz w:val="24"/>
        </w:rPr>
      </w:pPr>
      <w:r>
        <w:rPr>
          <w:sz w:val="24"/>
        </w:rPr>
        <w:t>若因特殊原因导致除尘灰、泥饼和沉淀渣不能及时运输并回填采坑，应立即停产，不得在厂内堆存上述固体废物。</w:t>
      </w:r>
    </w:p>
    <w:p w14:paraId="23C49327">
      <w:pPr>
        <w:autoSpaceDE w:val="0"/>
        <w:autoSpaceDN w:val="0"/>
        <w:snapToGrid w:val="0"/>
        <w:spacing w:before="0" w:beforeLines="0" w:line="360" w:lineRule="auto"/>
        <w:textAlignment w:val="bottom"/>
        <w:rPr>
          <w:sz w:val="24"/>
        </w:rPr>
      </w:pPr>
      <w:r>
        <w:rPr>
          <w:rFonts w:hint="eastAsia"/>
          <w:sz w:val="24"/>
        </w:rPr>
        <w:t xml:space="preserve">        综上，本项目一般固废暂存间参照执行《一般工业固体废物贮存和填埋污染控制标准》（GB 18599-2020）中的有关规定，并做好防渗工作。废布袋收集后外售给物资回收公司回收再利用；</w:t>
      </w:r>
      <w:r>
        <w:rPr>
          <w:sz w:val="24"/>
        </w:rPr>
        <w:t>泥饼</w:t>
      </w:r>
      <w:r>
        <w:rPr>
          <w:rFonts w:hint="eastAsia"/>
          <w:sz w:val="24"/>
        </w:rPr>
        <w:t>和沉淀渣、除尘灰、落地灰不在厂区储存，直接由鑫岳公司回填现有露天采坑，去向合理可行。因此，本项目一般固废对环境影响较小。</w:t>
      </w:r>
    </w:p>
    <w:p w14:paraId="4E3EC19A">
      <w:pPr>
        <w:adjustRightInd w:val="0"/>
        <w:snapToGrid w:val="0"/>
        <w:spacing w:before="0" w:beforeLines="0" w:line="360" w:lineRule="auto"/>
        <w:rPr>
          <w:sz w:val="24"/>
          <w:szCs w:val="20"/>
        </w:rPr>
      </w:pPr>
      <w:r>
        <w:rPr>
          <w:rFonts w:hint="eastAsia"/>
          <w:sz w:val="24"/>
          <w:szCs w:val="20"/>
        </w:rPr>
        <w:t>（2）危险废物影响分析</w:t>
      </w:r>
    </w:p>
    <w:p w14:paraId="02308306">
      <w:pPr>
        <w:adjustRightInd w:val="0"/>
        <w:snapToGrid w:val="0"/>
        <w:spacing w:before="0" w:beforeLines="0" w:line="360" w:lineRule="auto"/>
        <w:ind w:firstLine="480" w:firstLineChars="200"/>
        <w:rPr>
          <w:sz w:val="24"/>
        </w:rPr>
      </w:pPr>
      <w:bookmarkStart w:id="541" w:name="OLE_LINK38"/>
      <w:r>
        <w:rPr>
          <w:rFonts w:hint="eastAsia"/>
          <w:sz w:val="24"/>
          <w:szCs w:val="20"/>
        </w:rPr>
        <w:t>危险废物主要为设备维护产生的废矿物油及废油桶，暂存于厂内危废暂存点，定期由有资质单位处置。</w:t>
      </w:r>
      <w:r>
        <w:rPr>
          <w:sz w:val="24"/>
        </w:rPr>
        <w:t>危废贮存点设置严格按照《危险废物贮存污染控制标准》（GB18597-2023）中要求建设</w:t>
      </w:r>
      <w:r>
        <w:rPr>
          <w:rFonts w:hint="eastAsia"/>
          <w:sz w:val="24"/>
        </w:rPr>
        <w:t>；危险废物信息严格按照《危险废物管理计划和管理台账制定技术导则》（HJ1259-2022）记录，包括危险废物种类、产生量、流向等；</w:t>
      </w:r>
      <w:r>
        <w:rPr>
          <w:rFonts w:hint="eastAsia"/>
          <w:kern w:val="0"/>
          <w:sz w:val="24"/>
        </w:rPr>
        <w:t>危废标识严格按照《危险废物识别标志设置技术规范》（HJ1276-2022）中危险废物贮存设施</w:t>
      </w:r>
      <w:r>
        <w:rPr>
          <w:rFonts w:hint="eastAsia"/>
          <w:kern w:val="0"/>
          <w:sz w:val="24"/>
          <w:lang w:eastAsia="zh-CN"/>
        </w:rPr>
        <w:t>标识</w:t>
      </w:r>
      <w:r>
        <w:rPr>
          <w:rFonts w:hint="eastAsia"/>
          <w:kern w:val="0"/>
          <w:sz w:val="24"/>
        </w:rPr>
        <w:t>设置要求执行；危险废物转移严格按照</w:t>
      </w:r>
      <w:r>
        <w:rPr>
          <w:rFonts w:hint="eastAsia"/>
          <w:sz w:val="24"/>
        </w:rPr>
        <w:t>《危险废物转移管理办法》（</w:t>
      </w:r>
      <w:r>
        <w:rPr>
          <w:sz w:val="24"/>
        </w:rPr>
        <w:t>2022</w:t>
      </w:r>
      <w:r>
        <w:rPr>
          <w:rFonts w:hint="eastAsia"/>
          <w:sz w:val="24"/>
        </w:rPr>
        <w:t>年1月1日起施行）执行。</w:t>
      </w:r>
    </w:p>
    <w:bookmarkEnd w:id="541"/>
    <w:p w14:paraId="4A01B7B0">
      <w:pPr>
        <w:adjustRightInd w:val="0"/>
        <w:snapToGrid w:val="0"/>
        <w:spacing w:before="0" w:beforeLines="0" w:line="360" w:lineRule="auto"/>
        <w:ind w:firstLine="480" w:firstLineChars="200"/>
        <w:rPr>
          <w:kern w:val="0"/>
          <w:sz w:val="24"/>
        </w:rPr>
      </w:pPr>
      <w:r>
        <w:rPr>
          <w:rFonts w:hint="eastAsia"/>
          <w:kern w:val="0"/>
          <w:sz w:val="24"/>
        </w:rPr>
        <w:t>综上，本项目危险废物产生量较少，从危险废物产生、贮存、标识、转运均严格按照危险废物相关要求执行，</w:t>
      </w:r>
      <w:r>
        <w:rPr>
          <w:sz w:val="24"/>
          <w:szCs w:val="20"/>
        </w:rPr>
        <w:t>基本不会对周围环境产生不利影响。</w:t>
      </w:r>
    </w:p>
    <w:bookmarkEnd w:id="530"/>
    <w:p w14:paraId="1DE06D71">
      <w:pPr>
        <w:pStyle w:val="4"/>
        <w:rPr>
          <w:rFonts w:ascii="Times New Roman" w:hAnsi="Times New Roman" w:eastAsia="宋体"/>
          <w:color w:val="auto"/>
        </w:rPr>
      </w:pPr>
      <w:bookmarkStart w:id="542" w:name="_Toc239274282"/>
      <w:r>
        <w:rPr>
          <w:rFonts w:ascii="Times New Roman" w:hAnsi="Times New Roman" w:eastAsia="宋体"/>
          <w:color w:val="auto"/>
        </w:rPr>
        <w:t>5.7地下水环境影响</w:t>
      </w:r>
      <w:r>
        <w:rPr>
          <w:rFonts w:hint="eastAsia" w:ascii="Times New Roman" w:hAnsi="Times New Roman" w:eastAsia="宋体"/>
          <w:color w:val="auto"/>
        </w:rPr>
        <w:t>评价</w:t>
      </w:r>
      <w:bookmarkEnd w:id="542"/>
    </w:p>
    <w:p w14:paraId="45D35228">
      <w:pPr>
        <w:pStyle w:val="5"/>
        <w:rPr>
          <w:color w:val="auto"/>
        </w:rPr>
      </w:pPr>
      <w:bookmarkStart w:id="543" w:name="_Toc11079206"/>
      <w:bookmarkStart w:id="544" w:name="_Toc508453038"/>
      <w:bookmarkStart w:id="545" w:name="_Toc29123"/>
      <w:r>
        <w:rPr>
          <w:color w:val="auto"/>
        </w:rPr>
        <w:t>5.7</w:t>
      </w:r>
      <w:r>
        <w:rPr>
          <w:rFonts w:hint="eastAsia"/>
          <w:color w:val="auto"/>
        </w:rPr>
        <w:t>.1水文地质模型的概化</w:t>
      </w:r>
      <w:bookmarkEnd w:id="543"/>
      <w:bookmarkEnd w:id="544"/>
      <w:bookmarkEnd w:id="545"/>
    </w:p>
    <w:p w14:paraId="570394A8">
      <w:pPr>
        <w:spacing w:before="0" w:beforeLines="0" w:line="360" w:lineRule="auto"/>
        <w:ind w:firstLine="480" w:firstLineChars="200"/>
        <w:rPr>
          <w:sz w:val="24"/>
        </w:rPr>
      </w:pPr>
      <w:r>
        <w:rPr>
          <w:rFonts w:hint="eastAsia"/>
          <w:sz w:val="24"/>
        </w:rPr>
        <w:t>建设项目所在区域属于低山丘陵及河流平原型水文地质单元，本次评价以项目所在地河流两侧区域为地下水补给区域，河流为地下水排泄区域。区域内地下水主要接受降雨补给、灌溉及径流补给。区内含水层地下水流动较小，属于层流运动，符合达西定律，流速矢量在x，y方向有分量，可以概化为二维流，地下水系统的输入和输出随时间、空间变化，水流为非稳定流，基本上符合达西定律。</w:t>
      </w:r>
    </w:p>
    <w:p w14:paraId="3F6ADFDA">
      <w:pPr>
        <w:spacing w:before="0" w:beforeLines="0" w:line="360" w:lineRule="auto"/>
        <w:ind w:firstLine="480" w:firstLineChars="200"/>
        <w:rPr>
          <w:sz w:val="24"/>
        </w:rPr>
      </w:pPr>
      <w:r>
        <w:rPr>
          <w:rFonts w:hint="eastAsia"/>
          <w:sz w:val="24"/>
        </w:rPr>
        <w:t>由前述地下水系统的概念模型，可抽象地建立本研究区地下水运动的数学模型，其数学表达式：</w:t>
      </w:r>
    </w:p>
    <w:p w14:paraId="021A7A7A">
      <w:pPr>
        <w:spacing w:before="0" w:beforeLines="0" w:line="240" w:lineRule="auto"/>
        <w:jc w:val="center"/>
        <w:rPr>
          <w:rFonts w:hint="eastAsia" w:ascii="楷体_GB2312" w:hAnsi="宋体" w:eastAsia="楷体_GB2312"/>
          <w:sz w:val="28"/>
          <w:szCs w:val="28"/>
        </w:rPr>
      </w:pPr>
      <w:r>
        <w:rPr>
          <w:rFonts w:ascii="楷体_GB2312" w:hAnsi="宋体" w:eastAsia="楷体_GB2312"/>
          <w:position w:val="-30"/>
          <w:sz w:val="28"/>
          <w:szCs w:val="28"/>
        </w:rPr>
        <w:object>
          <v:shape id="_x0000_i1028" o:spt="75" alt="" type="#_x0000_t75" style="height:36pt;width:425.25pt;" o:ole="t" filled="f" o:preferrelative="t" stroked="f" coordsize="21600,21600">
            <v:path/>
            <v:fill on="f" focussize="0,0"/>
            <v:stroke on="f"/>
            <v:imagedata r:id="rId83" o:title=""/>
            <o:lock v:ext="edit" aspectratio="t"/>
            <w10:wrap type="none"/>
            <w10:anchorlock/>
          </v:shape>
          <o:OLEObject Type="Embed" ProgID="Equation.3" ShapeID="_x0000_i1028" DrawAspect="Content" ObjectID="_1468075728" r:id="rId82">
            <o:LockedField>false</o:LockedField>
          </o:OLEObject>
        </w:object>
      </w:r>
      <w:r>
        <w:rPr>
          <w:rFonts w:hAnsi="宋体"/>
          <w:position w:val="-12"/>
        </w:rPr>
        <w:object>
          <v:shape id="_x0000_i1029" o:spt="75" alt="" type="#_x0000_t75" style="height:21.75pt;width:137.25pt;" o:ole="t" filled="f" o:preferrelative="t" stroked="f" coordsize="21600,21600">
            <v:path/>
            <v:fill on="f" focussize="0,0"/>
            <v:stroke on="f"/>
            <v:imagedata r:id="rId85" o:title=""/>
            <o:lock v:ext="edit" aspectratio="t"/>
            <w10:wrap type="none"/>
            <w10:anchorlock/>
          </v:shape>
          <o:OLEObject Type="Embed" ProgID="Equation.3" ShapeID="_x0000_i1029" DrawAspect="Content" ObjectID="_1468075729" r:id="rId84">
            <o:LockedField>false</o:LockedField>
          </o:OLEObject>
        </w:object>
      </w:r>
      <w:r>
        <w:rPr>
          <w:rFonts w:ascii="楷体_GB2312" w:hAnsi="宋体" w:eastAsia="楷体_GB2312"/>
          <w:position w:val="-10"/>
          <w:sz w:val="28"/>
          <w:szCs w:val="28"/>
        </w:rPr>
        <w:object>
          <v:shape id="_x0000_i1030" o:spt="75" alt="" type="#_x0000_t75" style="height:14.25pt;width:6.75pt;" o:ole="t" filled="f" o:preferrelative="t" stroked="f" coordsize="21600,21600">
            <v:path/>
            <v:fill on="f" focussize="0,0"/>
            <v:stroke on="f"/>
            <v:imagedata r:id="rId87" o:title=""/>
            <o:lock v:ext="edit" aspectratio="t"/>
            <w10:wrap type="none"/>
            <w10:anchorlock/>
          </v:shape>
          <o:OLEObject Type="Embed" ProgID="Equation.3" ShapeID="_x0000_i1030" DrawAspect="Content" ObjectID="_1468075730" r:id="rId86">
            <o:LockedField>false</o:LockedField>
          </o:OLEObject>
        </w:object>
      </w:r>
    </w:p>
    <w:p w14:paraId="4CD94A59">
      <w:pPr>
        <w:spacing w:before="0" w:beforeLines="0" w:line="240" w:lineRule="auto"/>
        <w:jc w:val="center"/>
      </w:pPr>
      <w:r>
        <w:rPr>
          <w:rFonts w:ascii="楷体_GB2312" w:hAnsi="宋体" w:eastAsia="楷体_GB2312"/>
          <w:position w:val="-10"/>
          <w:sz w:val="28"/>
          <w:szCs w:val="28"/>
        </w:rPr>
        <w:object>
          <v:shape id="_x0000_i1031" o:spt="75" alt="" type="#_x0000_t75" style="height:14.25pt;width:6.75pt;" o:ole="t" filled="f" o:preferrelative="t" stroked="f" coordsize="21600,21600">
            <v:path/>
            <v:fill on="f" focussize="0,0"/>
            <v:stroke on="f"/>
            <v:imagedata r:id="rId87" o:title=""/>
            <o:lock v:ext="edit" aspectratio="t"/>
            <w10:wrap type="none"/>
            <w10:anchorlock/>
          </v:shape>
          <o:OLEObject Type="Embed" ProgID="Equation.3" ShapeID="_x0000_i1031" DrawAspect="Content" ObjectID="_1468075731" r:id="rId88">
            <o:LockedField>false</o:LockedField>
          </o:OLEObject>
        </w:object>
      </w:r>
      <w:r>
        <w:rPr>
          <w:position w:val="-10"/>
        </w:rPr>
        <w:object>
          <v:shape id="_x0000_i1032" o:spt="75" alt="" type="#_x0000_t75" style="height:21.75pt;width:137.25pt;" o:ole="t" filled="f" o:preferrelative="t" stroked="f" coordsize="21600,21600">
            <v:path/>
            <v:fill on="f" focussize="0,0"/>
            <v:stroke on="f"/>
            <v:imagedata r:id="rId90" o:title=""/>
            <o:lock v:ext="edit" aspectratio="t"/>
            <w10:wrap type="none"/>
            <w10:anchorlock/>
          </v:shape>
          <o:OLEObject Type="Embed" ProgID="Equation.3" ShapeID="_x0000_i1032" DrawAspect="Content" ObjectID="_1468075732" r:id="rId89">
            <o:LockedField>false</o:LockedField>
          </o:OLEObject>
        </w:object>
      </w:r>
    </w:p>
    <w:p w14:paraId="470622BC">
      <w:pPr>
        <w:spacing w:before="0" w:beforeLines="0" w:line="240" w:lineRule="auto"/>
        <w:jc w:val="center"/>
        <w:rPr>
          <w:rFonts w:hint="eastAsia" w:hAnsi="宋体"/>
        </w:rPr>
      </w:pPr>
      <w:r>
        <w:rPr>
          <w:rFonts w:hAnsi="宋体"/>
          <w:position w:val="-24"/>
        </w:rPr>
        <w:object>
          <v:shape id="_x0000_i1033" o:spt="75" alt="" type="#_x0000_t75" style="height:36pt;width:158.25pt;" o:ole="t" filled="f" o:preferrelative="t" stroked="f" coordsize="21600,21600">
            <v:path/>
            <v:fill on="f" focussize="0,0"/>
            <v:stroke on="f"/>
            <v:imagedata r:id="rId92" o:title=""/>
            <o:lock v:ext="edit" aspectratio="t"/>
            <w10:wrap type="none"/>
            <w10:anchorlock/>
          </v:shape>
          <o:OLEObject Type="Embed" ProgID="Equation.3" ShapeID="_x0000_i1033" DrawAspect="Content" ObjectID="_1468075733" r:id="rId91">
            <o:LockedField>false</o:LockedField>
          </o:OLEObject>
        </w:object>
      </w:r>
    </w:p>
    <w:p w14:paraId="516F4E14">
      <w:pPr>
        <w:spacing w:before="0" w:beforeLines="0" w:line="360" w:lineRule="auto"/>
        <w:ind w:firstLine="480" w:firstLineChars="200"/>
        <w:rPr>
          <w:sz w:val="24"/>
        </w:rPr>
      </w:pPr>
      <w:r>
        <w:rPr>
          <w:rFonts w:hint="eastAsia"/>
          <w:sz w:val="24"/>
        </w:rPr>
        <w:t>式中：</w:t>
      </w:r>
      <w:r>
        <w:rPr>
          <w:sz w:val="24"/>
        </w:rPr>
        <w:t>x</w:t>
      </w:r>
      <w:r>
        <w:rPr>
          <w:rFonts w:hint="eastAsia"/>
          <w:sz w:val="24"/>
        </w:rPr>
        <w:t>，</w:t>
      </w:r>
      <w:r>
        <w:rPr>
          <w:sz w:val="24"/>
        </w:rPr>
        <w:t>y——</w:t>
      </w:r>
      <w:r>
        <w:rPr>
          <w:rFonts w:hint="eastAsia"/>
          <w:sz w:val="24"/>
        </w:rPr>
        <w:t>空间坐标（</w:t>
      </w:r>
      <w:r>
        <w:rPr>
          <w:sz w:val="24"/>
        </w:rPr>
        <w:t>m</w:t>
      </w:r>
      <w:r>
        <w:rPr>
          <w:rFonts w:hint="eastAsia"/>
          <w:sz w:val="24"/>
        </w:rPr>
        <w:t>）；</w:t>
      </w:r>
    </w:p>
    <w:p w14:paraId="36132F8E">
      <w:pPr>
        <w:spacing w:before="0" w:beforeLines="0" w:line="360" w:lineRule="auto"/>
        <w:ind w:firstLine="1200" w:firstLineChars="500"/>
        <w:rPr>
          <w:sz w:val="24"/>
        </w:rPr>
      </w:pPr>
      <w:r>
        <w:rPr>
          <w:sz w:val="24"/>
        </w:rPr>
        <w:t>K</w:t>
      </w:r>
      <w:r>
        <w:rPr>
          <w:rFonts w:hint="eastAsia"/>
          <w:sz w:val="24"/>
        </w:rPr>
        <w:t>（</w:t>
      </w:r>
      <w:r>
        <w:rPr>
          <w:sz w:val="24"/>
        </w:rPr>
        <w:t>x</w:t>
      </w:r>
      <w:r>
        <w:rPr>
          <w:rFonts w:hint="eastAsia"/>
          <w:sz w:val="24"/>
        </w:rPr>
        <w:t>，</w:t>
      </w:r>
      <w:r>
        <w:rPr>
          <w:sz w:val="24"/>
        </w:rPr>
        <w:t>y</w:t>
      </w:r>
      <w:r>
        <w:rPr>
          <w:rFonts w:hint="eastAsia"/>
          <w:sz w:val="24"/>
        </w:rPr>
        <w:t>）</w:t>
      </w:r>
      <w:r>
        <w:rPr>
          <w:sz w:val="24"/>
        </w:rPr>
        <w:t>——</w:t>
      </w:r>
      <w:r>
        <w:rPr>
          <w:rFonts w:hint="eastAsia"/>
          <w:sz w:val="24"/>
        </w:rPr>
        <w:t>渗透系数（</w:t>
      </w:r>
      <w:r>
        <w:rPr>
          <w:sz w:val="24"/>
        </w:rPr>
        <w:t>m/d</w:t>
      </w:r>
      <w:r>
        <w:rPr>
          <w:rFonts w:hint="eastAsia"/>
          <w:sz w:val="24"/>
        </w:rPr>
        <w:t>）；</w:t>
      </w:r>
    </w:p>
    <w:p w14:paraId="19142FB5">
      <w:pPr>
        <w:spacing w:before="0" w:beforeLines="0" w:line="360" w:lineRule="auto"/>
        <w:ind w:firstLine="1200" w:firstLineChars="500"/>
        <w:rPr>
          <w:sz w:val="24"/>
        </w:rPr>
      </w:pPr>
      <w:r>
        <w:rPr>
          <w:sz w:val="24"/>
        </w:rPr>
        <w:t>u——</w:t>
      </w:r>
      <w:r>
        <w:rPr>
          <w:rFonts w:hint="eastAsia"/>
          <w:sz w:val="24"/>
        </w:rPr>
        <w:t>潜水含水层的给水度；</w:t>
      </w:r>
    </w:p>
    <w:p w14:paraId="3676F36B">
      <w:pPr>
        <w:spacing w:before="0" w:beforeLines="0" w:line="360" w:lineRule="auto"/>
        <w:ind w:firstLine="1200" w:firstLineChars="500"/>
        <w:rPr>
          <w:sz w:val="24"/>
        </w:rPr>
      </w:pPr>
      <w:r>
        <w:rPr>
          <w:sz w:val="24"/>
        </w:rPr>
        <w:t>t——</w:t>
      </w:r>
      <w:r>
        <w:rPr>
          <w:rFonts w:hint="eastAsia"/>
          <w:sz w:val="24"/>
        </w:rPr>
        <w:t>时间变量（</w:t>
      </w:r>
      <w:r>
        <w:rPr>
          <w:sz w:val="24"/>
        </w:rPr>
        <w:t>d</w:t>
      </w:r>
      <w:r>
        <w:rPr>
          <w:rFonts w:hint="eastAsia"/>
          <w:sz w:val="24"/>
        </w:rPr>
        <w:t>）；</w:t>
      </w:r>
    </w:p>
    <w:p w14:paraId="0C652059">
      <w:pPr>
        <w:spacing w:before="0" w:beforeLines="0" w:line="360" w:lineRule="auto"/>
        <w:ind w:firstLine="1200" w:firstLineChars="500"/>
        <w:rPr>
          <w:sz w:val="24"/>
        </w:rPr>
      </w:pPr>
      <w:r>
        <w:rPr>
          <w:sz w:val="24"/>
        </w:rPr>
        <w:t>W</w:t>
      </w:r>
      <w:r>
        <w:rPr>
          <w:rFonts w:hint="eastAsia"/>
          <w:sz w:val="24"/>
        </w:rPr>
        <w:t>（</w:t>
      </w:r>
      <w:r>
        <w:rPr>
          <w:sz w:val="24"/>
        </w:rPr>
        <w:t>x</w:t>
      </w:r>
      <w:r>
        <w:rPr>
          <w:rFonts w:hint="eastAsia"/>
          <w:sz w:val="24"/>
        </w:rPr>
        <w:t>，</w:t>
      </w:r>
      <w:r>
        <w:rPr>
          <w:sz w:val="24"/>
        </w:rPr>
        <w:t>y</w:t>
      </w:r>
      <w:r>
        <w:rPr>
          <w:rFonts w:hint="eastAsia"/>
          <w:sz w:val="24"/>
        </w:rPr>
        <w:t>，</w:t>
      </w:r>
      <w:r>
        <w:rPr>
          <w:sz w:val="24"/>
        </w:rPr>
        <w:t>t</w:t>
      </w:r>
      <w:r>
        <w:rPr>
          <w:rFonts w:hint="eastAsia"/>
          <w:sz w:val="24"/>
        </w:rPr>
        <w:t>）</w:t>
      </w:r>
      <w:r>
        <w:rPr>
          <w:sz w:val="24"/>
        </w:rPr>
        <w:t>——</w:t>
      </w:r>
      <w:r>
        <w:rPr>
          <w:rFonts w:hint="eastAsia"/>
          <w:sz w:val="24"/>
        </w:rPr>
        <w:t>垂向补排强度（</w:t>
      </w:r>
      <w:r>
        <w:rPr>
          <w:sz w:val="24"/>
        </w:rPr>
        <w:t>m/d</w:t>
      </w:r>
      <w:r>
        <w:rPr>
          <w:rFonts w:hint="eastAsia"/>
          <w:sz w:val="24"/>
        </w:rPr>
        <w:t>）；</w:t>
      </w:r>
    </w:p>
    <w:p w14:paraId="1E96ACF5">
      <w:pPr>
        <w:spacing w:before="0" w:beforeLines="0" w:line="360" w:lineRule="auto"/>
        <w:ind w:firstLine="1200" w:firstLineChars="500"/>
        <w:rPr>
          <w:sz w:val="24"/>
        </w:rPr>
      </w:pPr>
      <w:r>
        <w:rPr>
          <w:sz w:val="24"/>
        </w:rPr>
        <w:t>Q</w:t>
      </w:r>
      <w:r>
        <w:rPr>
          <w:rFonts w:hint="eastAsia"/>
          <w:sz w:val="24"/>
        </w:rPr>
        <w:t>（</w:t>
      </w:r>
      <w:r>
        <w:rPr>
          <w:sz w:val="24"/>
        </w:rPr>
        <w:t>xj</w:t>
      </w:r>
      <w:r>
        <w:rPr>
          <w:rFonts w:hint="eastAsia"/>
          <w:sz w:val="24"/>
        </w:rPr>
        <w:t>，</w:t>
      </w:r>
      <w:r>
        <w:rPr>
          <w:sz w:val="24"/>
        </w:rPr>
        <w:t>yj</w:t>
      </w:r>
      <w:r>
        <w:rPr>
          <w:rFonts w:hint="eastAsia"/>
          <w:sz w:val="24"/>
        </w:rPr>
        <w:t>，</w:t>
      </w:r>
      <w:r>
        <w:rPr>
          <w:sz w:val="24"/>
        </w:rPr>
        <w:t>t</w:t>
      </w:r>
      <w:r>
        <w:rPr>
          <w:rFonts w:hint="eastAsia"/>
          <w:sz w:val="24"/>
        </w:rPr>
        <w:t>）</w:t>
      </w:r>
      <w:r>
        <w:rPr>
          <w:sz w:val="24"/>
        </w:rPr>
        <w:t>——t</w:t>
      </w:r>
      <w:r>
        <w:rPr>
          <w:rFonts w:hint="eastAsia"/>
          <w:sz w:val="24"/>
        </w:rPr>
        <w:t>时第</w:t>
      </w:r>
      <w:r>
        <w:rPr>
          <w:sz w:val="24"/>
        </w:rPr>
        <w:t>j</w:t>
      </w:r>
      <w:r>
        <w:rPr>
          <w:rFonts w:hint="eastAsia"/>
          <w:sz w:val="24"/>
        </w:rPr>
        <w:t>号井抽水量（</w:t>
      </w:r>
      <w:r>
        <w:rPr>
          <w:sz w:val="24"/>
        </w:rPr>
        <w:t>m</w:t>
      </w:r>
      <w:r>
        <w:rPr>
          <w:sz w:val="24"/>
          <w:vertAlign w:val="superscript"/>
        </w:rPr>
        <w:t>3</w:t>
      </w:r>
      <w:r>
        <w:rPr>
          <w:sz w:val="24"/>
        </w:rPr>
        <w:t>/d</w:t>
      </w:r>
      <w:r>
        <w:rPr>
          <w:rFonts w:hint="eastAsia"/>
          <w:sz w:val="24"/>
        </w:rPr>
        <w:t>）；</w:t>
      </w:r>
    </w:p>
    <w:p w14:paraId="1575F671">
      <w:pPr>
        <w:spacing w:before="0" w:beforeLines="0" w:line="360" w:lineRule="auto"/>
        <w:ind w:firstLine="1200" w:firstLineChars="500"/>
        <w:rPr>
          <w:sz w:val="24"/>
        </w:rPr>
      </w:pPr>
      <w:r>
        <w:rPr>
          <w:sz w:val="24"/>
        </w:rPr>
        <w:t>Z——</w:t>
      </w:r>
      <w:r>
        <w:rPr>
          <w:rFonts w:hint="eastAsia"/>
          <w:sz w:val="24"/>
        </w:rPr>
        <w:t>含水层底板标高（</w:t>
      </w:r>
      <w:r>
        <w:rPr>
          <w:sz w:val="24"/>
        </w:rPr>
        <w:t>m</w:t>
      </w:r>
      <w:r>
        <w:rPr>
          <w:rFonts w:hint="eastAsia"/>
          <w:sz w:val="24"/>
        </w:rPr>
        <w:t>）；</w:t>
      </w:r>
    </w:p>
    <w:p w14:paraId="697C12CF">
      <w:pPr>
        <w:spacing w:before="0" w:beforeLines="0" w:line="360" w:lineRule="auto"/>
        <w:ind w:firstLine="1200" w:firstLineChars="500"/>
        <w:rPr>
          <w:sz w:val="24"/>
        </w:rPr>
      </w:pPr>
      <w:r>
        <w:rPr>
          <w:sz w:val="24"/>
        </w:rPr>
        <w:t>h</w:t>
      </w:r>
      <w:r>
        <w:rPr>
          <w:rFonts w:hint="eastAsia"/>
          <w:sz w:val="24"/>
        </w:rPr>
        <w:t>（</w:t>
      </w:r>
      <w:r>
        <w:rPr>
          <w:sz w:val="24"/>
        </w:rPr>
        <w:t>x</w:t>
      </w:r>
      <w:r>
        <w:rPr>
          <w:rFonts w:hint="eastAsia"/>
          <w:sz w:val="24"/>
        </w:rPr>
        <w:t>，</w:t>
      </w:r>
      <w:r>
        <w:rPr>
          <w:sz w:val="24"/>
        </w:rPr>
        <w:t>y</w:t>
      </w:r>
      <w:r>
        <w:rPr>
          <w:rFonts w:hint="eastAsia"/>
          <w:sz w:val="24"/>
        </w:rPr>
        <w:t>，</w:t>
      </w:r>
      <w:r>
        <w:rPr>
          <w:sz w:val="24"/>
        </w:rPr>
        <w:t>t</w:t>
      </w:r>
      <w:r>
        <w:rPr>
          <w:rFonts w:hint="eastAsia"/>
          <w:sz w:val="24"/>
        </w:rPr>
        <w:t>）</w:t>
      </w:r>
      <w:r>
        <w:rPr>
          <w:sz w:val="24"/>
        </w:rPr>
        <w:t>——</w:t>
      </w:r>
      <w:r>
        <w:rPr>
          <w:rFonts w:hint="eastAsia"/>
          <w:sz w:val="24"/>
        </w:rPr>
        <w:t>地下水待求水位（</w:t>
      </w:r>
      <w:r>
        <w:rPr>
          <w:sz w:val="24"/>
        </w:rPr>
        <w:t>m</w:t>
      </w:r>
      <w:r>
        <w:rPr>
          <w:rFonts w:hint="eastAsia"/>
          <w:sz w:val="24"/>
        </w:rPr>
        <w:t>）；</w:t>
      </w:r>
    </w:p>
    <w:p w14:paraId="57EA6D28">
      <w:pPr>
        <w:spacing w:before="0" w:beforeLines="0" w:line="360" w:lineRule="auto"/>
        <w:ind w:firstLine="1200" w:firstLineChars="500"/>
        <w:rPr>
          <w:sz w:val="24"/>
        </w:rPr>
      </w:pPr>
      <w:r>
        <w:rPr>
          <w:sz w:val="24"/>
        </w:rPr>
        <w:t>h</w:t>
      </w:r>
      <w:r>
        <w:rPr>
          <w:sz w:val="24"/>
          <w:vertAlign w:val="subscript"/>
        </w:rPr>
        <w:t>0</w:t>
      </w:r>
      <w:r>
        <w:rPr>
          <w:rFonts w:hint="eastAsia"/>
          <w:sz w:val="24"/>
        </w:rPr>
        <w:t>（</w:t>
      </w:r>
      <w:r>
        <w:rPr>
          <w:sz w:val="24"/>
        </w:rPr>
        <w:t>x</w:t>
      </w:r>
      <w:r>
        <w:rPr>
          <w:rFonts w:hint="eastAsia"/>
          <w:sz w:val="24"/>
        </w:rPr>
        <w:t>，</w:t>
      </w:r>
      <w:r>
        <w:rPr>
          <w:sz w:val="24"/>
        </w:rPr>
        <w:t>y</w:t>
      </w:r>
      <w:r>
        <w:rPr>
          <w:rFonts w:hint="eastAsia"/>
          <w:sz w:val="24"/>
        </w:rPr>
        <w:t>，</w:t>
      </w:r>
      <w:r>
        <w:rPr>
          <w:sz w:val="24"/>
        </w:rPr>
        <w:t>t</w:t>
      </w:r>
      <w:r>
        <w:rPr>
          <w:rFonts w:hint="eastAsia"/>
          <w:sz w:val="24"/>
        </w:rPr>
        <w:t>）</w:t>
      </w:r>
      <w:r>
        <w:rPr>
          <w:sz w:val="24"/>
        </w:rPr>
        <w:t>——</w:t>
      </w:r>
      <w:r>
        <w:rPr>
          <w:rFonts w:hint="eastAsia"/>
          <w:sz w:val="24"/>
        </w:rPr>
        <w:t>渗流场内初始水位值（</w:t>
      </w:r>
      <w:r>
        <w:rPr>
          <w:sz w:val="24"/>
        </w:rPr>
        <w:t>m</w:t>
      </w:r>
      <w:r>
        <w:rPr>
          <w:rFonts w:hint="eastAsia"/>
          <w:sz w:val="24"/>
        </w:rPr>
        <w:t>）；</w:t>
      </w:r>
    </w:p>
    <w:p w14:paraId="576A8F31">
      <w:pPr>
        <w:spacing w:before="0" w:beforeLines="0" w:line="360" w:lineRule="auto"/>
        <w:ind w:firstLine="1200" w:firstLineChars="500"/>
        <w:rPr>
          <w:sz w:val="24"/>
        </w:rPr>
      </w:pPr>
      <w:r>
        <w:rPr>
          <w:sz w:val="24"/>
        </w:rPr>
        <w:t>h</w:t>
      </w:r>
      <w:r>
        <w:rPr>
          <w:sz w:val="24"/>
          <w:vertAlign w:val="subscript"/>
        </w:rPr>
        <w:t>1</w:t>
      </w:r>
      <w:r>
        <w:rPr>
          <w:rFonts w:hint="eastAsia"/>
          <w:sz w:val="24"/>
        </w:rPr>
        <w:t>（</w:t>
      </w:r>
      <w:r>
        <w:rPr>
          <w:sz w:val="24"/>
        </w:rPr>
        <w:t>x</w:t>
      </w:r>
      <w:r>
        <w:rPr>
          <w:rFonts w:hint="eastAsia"/>
          <w:sz w:val="24"/>
        </w:rPr>
        <w:t>，</w:t>
      </w:r>
      <w:r>
        <w:rPr>
          <w:sz w:val="24"/>
        </w:rPr>
        <w:t>y</w:t>
      </w:r>
      <w:r>
        <w:rPr>
          <w:rFonts w:hint="eastAsia"/>
          <w:sz w:val="24"/>
        </w:rPr>
        <w:t>，</w:t>
      </w:r>
      <w:r>
        <w:rPr>
          <w:sz w:val="24"/>
        </w:rPr>
        <w:t>t</w:t>
      </w:r>
      <w:r>
        <w:rPr>
          <w:rFonts w:hint="eastAsia"/>
          <w:sz w:val="24"/>
        </w:rPr>
        <w:t>）</w:t>
      </w:r>
      <w:r>
        <w:rPr>
          <w:sz w:val="24"/>
        </w:rPr>
        <w:t>——</w:t>
      </w:r>
      <w:r>
        <w:rPr>
          <w:rFonts w:hint="eastAsia"/>
          <w:sz w:val="24"/>
        </w:rPr>
        <w:t>第一类边界水位值（</w:t>
      </w:r>
      <w:r>
        <w:rPr>
          <w:sz w:val="24"/>
        </w:rPr>
        <w:t>m</w:t>
      </w:r>
      <w:r>
        <w:rPr>
          <w:rFonts w:hint="eastAsia"/>
          <w:sz w:val="24"/>
        </w:rPr>
        <w:t>）；</w:t>
      </w:r>
    </w:p>
    <w:p w14:paraId="2E0427B7">
      <w:pPr>
        <w:spacing w:before="0" w:beforeLines="0" w:line="360" w:lineRule="auto"/>
        <w:ind w:firstLine="1200" w:firstLineChars="500"/>
        <w:rPr>
          <w:sz w:val="24"/>
        </w:rPr>
      </w:pPr>
      <w:r>
        <w:rPr>
          <w:sz w:val="24"/>
        </w:rPr>
        <w:t>q</w:t>
      </w:r>
      <w:r>
        <w:rPr>
          <w:rFonts w:hint="eastAsia"/>
          <w:sz w:val="24"/>
        </w:rPr>
        <w:t>（</w:t>
      </w:r>
      <w:r>
        <w:rPr>
          <w:sz w:val="24"/>
        </w:rPr>
        <w:t>x</w:t>
      </w:r>
      <w:r>
        <w:rPr>
          <w:rFonts w:hint="eastAsia"/>
          <w:sz w:val="24"/>
        </w:rPr>
        <w:t>，</w:t>
      </w:r>
      <w:r>
        <w:rPr>
          <w:sz w:val="24"/>
        </w:rPr>
        <w:t>y</w:t>
      </w:r>
      <w:r>
        <w:rPr>
          <w:rFonts w:hint="eastAsia"/>
          <w:sz w:val="24"/>
        </w:rPr>
        <w:t>，</w:t>
      </w:r>
      <w:r>
        <w:rPr>
          <w:sz w:val="24"/>
        </w:rPr>
        <w:t>t</w:t>
      </w:r>
      <w:r>
        <w:rPr>
          <w:rFonts w:hint="eastAsia"/>
          <w:sz w:val="24"/>
        </w:rPr>
        <w:t>）</w:t>
      </w:r>
      <w:r>
        <w:rPr>
          <w:sz w:val="24"/>
        </w:rPr>
        <w:t>——</w:t>
      </w:r>
      <w:r>
        <w:rPr>
          <w:rFonts w:hint="eastAsia"/>
          <w:sz w:val="24"/>
        </w:rPr>
        <w:t>第三类边界的单宽流量（</w:t>
      </w:r>
      <w:r>
        <w:rPr>
          <w:sz w:val="24"/>
        </w:rPr>
        <w:t>m</w:t>
      </w:r>
      <w:r>
        <w:rPr>
          <w:sz w:val="24"/>
          <w:vertAlign w:val="superscript"/>
        </w:rPr>
        <w:t>3</w:t>
      </w:r>
      <w:r>
        <w:rPr>
          <w:sz w:val="24"/>
        </w:rPr>
        <w:t>/d</w:t>
      </w:r>
      <w:r>
        <w:rPr>
          <w:rFonts w:hint="eastAsia"/>
          <w:sz w:val="24"/>
        </w:rPr>
        <w:t>）；</w:t>
      </w:r>
    </w:p>
    <w:p w14:paraId="707453F2">
      <w:pPr>
        <w:spacing w:before="0" w:beforeLines="0" w:line="360" w:lineRule="auto"/>
        <w:ind w:firstLine="1200" w:firstLineChars="500"/>
        <w:rPr>
          <w:sz w:val="24"/>
        </w:rPr>
      </w:pPr>
      <w:r>
        <w:rPr>
          <w:sz w:val="24"/>
        </w:rPr>
        <w:t>n——</w:t>
      </w:r>
      <w:r>
        <w:rPr>
          <w:rFonts w:hint="eastAsia"/>
          <w:sz w:val="24"/>
        </w:rPr>
        <w:t>第三类边界内法线方向单位向量；</w:t>
      </w:r>
    </w:p>
    <w:p w14:paraId="39C55B28">
      <w:pPr>
        <w:spacing w:before="0" w:beforeLines="0" w:line="360" w:lineRule="auto"/>
        <w:ind w:firstLine="1200" w:firstLineChars="500"/>
        <w:rPr>
          <w:sz w:val="24"/>
        </w:rPr>
      </w:pPr>
      <w:r>
        <w:rPr>
          <w:sz w:val="24"/>
        </w:rPr>
        <w:t>Г</w:t>
      </w:r>
      <w:r>
        <w:rPr>
          <w:sz w:val="24"/>
          <w:vertAlign w:val="subscript"/>
        </w:rPr>
        <w:t>1</w:t>
      </w:r>
      <w:r>
        <w:rPr>
          <w:rFonts w:hint="eastAsia"/>
          <w:sz w:val="24"/>
        </w:rPr>
        <w:t>和</w:t>
      </w:r>
      <w:r>
        <w:rPr>
          <w:sz w:val="24"/>
        </w:rPr>
        <w:t>Г</w:t>
      </w:r>
      <w:r>
        <w:rPr>
          <w:sz w:val="24"/>
          <w:vertAlign w:val="subscript"/>
        </w:rPr>
        <w:t>3</w:t>
      </w:r>
      <w:r>
        <w:rPr>
          <w:sz w:val="24"/>
        </w:rPr>
        <w:t>——</w:t>
      </w:r>
      <w:r>
        <w:rPr>
          <w:rFonts w:hint="eastAsia"/>
          <w:sz w:val="24"/>
        </w:rPr>
        <w:t>第一类和第三类边界；</w:t>
      </w:r>
    </w:p>
    <w:p w14:paraId="6346EB44">
      <w:pPr>
        <w:spacing w:before="0" w:beforeLines="0" w:line="360" w:lineRule="auto"/>
        <w:ind w:firstLine="480" w:firstLineChars="200"/>
        <w:rPr>
          <w:sz w:val="24"/>
        </w:rPr>
      </w:pPr>
      <w:r>
        <w:rPr>
          <w:rFonts w:hint="eastAsia"/>
          <w:sz w:val="24"/>
        </w:rPr>
        <w:t>本次模拟预测中地下水溶质迁移转化数学模型为:</w:t>
      </w:r>
    </w:p>
    <w:p w14:paraId="32BC7276">
      <w:pPr>
        <w:spacing w:before="0" w:beforeLines="0" w:line="240" w:lineRule="auto"/>
        <w:jc w:val="center"/>
        <w:rPr>
          <w:rFonts w:hint="eastAsia" w:ascii="宋体" w:hAnsi="宋体"/>
        </w:rPr>
      </w:pPr>
      <w:r>
        <w:rPr>
          <w:position w:val="-28"/>
        </w:rPr>
        <w:object>
          <v:shape id="_x0000_i1034" o:spt="75" alt="" type="#_x0000_t75" style="height:36pt;width:222.75pt;" o:ole="t" filled="f" o:preferrelative="t" stroked="f" coordsize="21600,21600">
            <v:path/>
            <v:fill on="f" focussize="0,0"/>
            <v:stroke on="f"/>
            <v:imagedata r:id="rId94" o:title=""/>
            <o:lock v:ext="edit" aspectratio="t"/>
            <w10:wrap type="none"/>
            <w10:anchorlock/>
          </v:shape>
          <o:OLEObject Type="Embed" ProgID="Equation.3" ShapeID="_x0000_i1034" DrawAspect="Content" ObjectID="_1468075734" r:id="rId93">
            <o:LockedField>false</o:LockedField>
          </o:OLEObject>
        </w:object>
      </w:r>
    </w:p>
    <w:p w14:paraId="027FDBC8">
      <w:pPr>
        <w:spacing w:before="0" w:beforeLines="0" w:line="240" w:lineRule="auto"/>
        <w:jc w:val="center"/>
        <w:rPr>
          <w:rFonts w:hint="eastAsia" w:ascii="宋体" w:hAnsi="宋体"/>
        </w:rPr>
      </w:pPr>
      <w:r>
        <w:rPr>
          <w:position w:val="-14"/>
        </w:rPr>
        <w:object>
          <v:shape id="_x0000_i1035" o:spt="75" alt="" type="#_x0000_t75" style="height:21.75pt;width:137.25pt;" o:ole="t" filled="f" o:preferrelative="t" stroked="f" coordsize="21600,21600">
            <v:path/>
            <v:fill on="f" focussize="0,0"/>
            <v:stroke on="f"/>
            <v:imagedata r:id="rId96" o:title=""/>
            <o:lock v:ext="edit" aspectratio="t"/>
            <w10:wrap type="none"/>
            <w10:anchorlock/>
          </v:shape>
          <o:OLEObject Type="Embed" ProgID="Equation.3" ShapeID="_x0000_i1035" DrawAspect="Content" ObjectID="_1468075735" r:id="rId95">
            <o:LockedField>false</o:LockedField>
          </o:OLEObject>
        </w:object>
      </w:r>
    </w:p>
    <w:p w14:paraId="7E1F42FF">
      <w:pPr>
        <w:spacing w:before="0" w:beforeLines="0" w:line="240" w:lineRule="auto"/>
        <w:jc w:val="center"/>
        <w:rPr>
          <w:rFonts w:hint="eastAsia" w:ascii="宋体" w:hAnsi="宋体"/>
        </w:rPr>
      </w:pPr>
      <w:r>
        <w:rPr>
          <w:position w:val="-18"/>
        </w:rPr>
        <w:object>
          <v:shape id="_x0000_i1036" o:spt="75" alt="" type="#_x0000_t75" style="height:21.75pt;width:144pt;" o:ole="t" filled="f" o:preferrelative="t" stroked="f" coordsize="21600,21600">
            <v:path/>
            <v:fill on="f" focussize="0,0"/>
            <v:stroke on="f"/>
            <v:imagedata r:id="rId98" o:title=""/>
            <o:lock v:ext="edit" aspectratio="t"/>
            <w10:wrap type="none"/>
            <w10:anchorlock/>
          </v:shape>
          <o:OLEObject Type="Embed" ProgID="Equation.3" ShapeID="_x0000_i1036" DrawAspect="Content" ObjectID="_1468075736" r:id="rId97">
            <o:LockedField>false</o:LockedField>
          </o:OLEObject>
        </w:object>
      </w:r>
    </w:p>
    <w:p w14:paraId="105A2B73">
      <w:pPr>
        <w:spacing w:before="0" w:beforeLines="0" w:line="360" w:lineRule="auto"/>
        <w:ind w:firstLine="480" w:firstLineChars="200"/>
        <w:rPr>
          <w:sz w:val="24"/>
        </w:rPr>
      </w:pPr>
      <w:r>
        <w:rPr>
          <w:rFonts w:hint="eastAsia"/>
          <w:sz w:val="24"/>
        </w:rPr>
        <w:t>式中：</w:t>
      </w:r>
      <w:r>
        <w:rPr>
          <w:sz w:val="24"/>
        </w:rPr>
        <w:t>C——</w:t>
      </w:r>
      <w:r>
        <w:rPr>
          <w:rFonts w:hint="eastAsia"/>
          <w:sz w:val="24"/>
        </w:rPr>
        <w:t>研究区污染物浓度，（</w:t>
      </w:r>
      <w:r>
        <w:rPr>
          <w:sz w:val="24"/>
        </w:rPr>
        <w:t>mg/L</w:t>
      </w:r>
      <w:r>
        <w:rPr>
          <w:rFonts w:hint="eastAsia"/>
          <w:sz w:val="24"/>
        </w:rPr>
        <w:t>）；</w:t>
      </w:r>
    </w:p>
    <w:p w14:paraId="6E419A17">
      <w:pPr>
        <w:spacing w:before="0" w:beforeLines="0" w:line="360" w:lineRule="auto"/>
        <w:ind w:firstLine="1200" w:firstLineChars="500"/>
        <w:rPr>
          <w:sz w:val="24"/>
        </w:rPr>
      </w:pPr>
      <w:r>
        <w:rPr>
          <w:rFonts w:hint="eastAsia"/>
          <w:sz w:val="24"/>
        </w:rPr>
        <w:t>x，</w:t>
      </w:r>
      <w:r>
        <w:rPr>
          <w:sz w:val="24"/>
        </w:rPr>
        <w:t>y</w:t>
      </w:r>
      <w:r>
        <w:rPr>
          <w:rFonts w:hint="eastAsia"/>
          <w:sz w:val="24"/>
        </w:rPr>
        <w:t>，</w:t>
      </w:r>
      <w:r>
        <w:rPr>
          <w:sz w:val="24"/>
        </w:rPr>
        <w:t>z——</w:t>
      </w:r>
      <w:r>
        <w:rPr>
          <w:rFonts w:hint="eastAsia"/>
          <w:sz w:val="24"/>
        </w:rPr>
        <w:t>坐标（</w:t>
      </w:r>
      <w:r>
        <w:rPr>
          <w:sz w:val="24"/>
        </w:rPr>
        <w:t>m</w:t>
      </w:r>
      <w:r>
        <w:rPr>
          <w:rFonts w:hint="eastAsia"/>
          <w:sz w:val="24"/>
        </w:rPr>
        <w:t>）；</w:t>
      </w:r>
    </w:p>
    <w:p w14:paraId="65C150DA">
      <w:pPr>
        <w:spacing w:before="0" w:beforeLines="0" w:line="360" w:lineRule="auto"/>
        <w:ind w:firstLine="1200" w:firstLineChars="500"/>
        <w:rPr>
          <w:sz w:val="24"/>
        </w:rPr>
      </w:pPr>
      <w:r>
        <w:rPr>
          <w:sz w:val="24"/>
        </w:rPr>
        <w:t>D</w:t>
      </w:r>
      <w:r>
        <w:rPr>
          <w:sz w:val="24"/>
          <w:vertAlign w:val="subscript"/>
        </w:rPr>
        <w:t>xx</w:t>
      </w:r>
      <w:r>
        <w:rPr>
          <w:sz w:val="24"/>
        </w:rPr>
        <w:t>——x</w:t>
      </w:r>
      <w:r>
        <w:rPr>
          <w:rFonts w:hint="eastAsia"/>
          <w:sz w:val="24"/>
        </w:rPr>
        <w:t>方向上污染物的弥散系数（</w:t>
      </w:r>
      <w:r>
        <w:rPr>
          <w:sz w:val="24"/>
        </w:rPr>
        <w:t>m</w:t>
      </w:r>
      <w:r>
        <w:rPr>
          <w:sz w:val="24"/>
          <w:vertAlign w:val="superscript"/>
        </w:rPr>
        <w:t>2</w:t>
      </w:r>
      <w:r>
        <w:rPr>
          <w:sz w:val="24"/>
        </w:rPr>
        <w:t>/d</w:t>
      </w:r>
      <w:r>
        <w:rPr>
          <w:rFonts w:hint="eastAsia"/>
          <w:sz w:val="24"/>
        </w:rPr>
        <w:t>）；</w:t>
      </w:r>
    </w:p>
    <w:p w14:paraId="444795A2">
      <w:pPr>
        <w:spacing w:before="0" w:beforeLines="0" w:line="360" w:lineRule="auto"/>
        <w:ind w:firstLine="1200" w:firstLineChars="500"/>
        <w:rPr>
          <w:sz w:val="24"/>
        </w:rPr>
      </w:pPr>
      <w:r>
        <w:rPr>
          <w:sz w:val="24"/>
        </w:rPr>
        <w:t>D</w:t>
      </w:r>
      <w:r>
        <w:rPr>
          <w:sz w:val="24"/>
          <w:vertAlign w:val="subscript"/>
        </w:rPr>
        <w:t>yy</w:t>
      </w:r>
      <w:r>
        <w:rPr>
          <w:sz w:val="24"/>
        </w:rPr>
        <w:t>——y</w:t>
      </w:r>
      <w:r>
        <w:rPr>
          <w:rFonts w:hint="eastAsia"/>
          <w:sz w:val="24"/>
        </w:rPr>
        <w:t>方向上污染物的弥散系数（</w:t>
      </w:r>
      <w:r>
        <w:rPr>
          <w:sz w:val="24"/>
        </w:rPr>
        <w:t>m</w:t>
      </w:r>
      <w:r>
        <w:rPr>
          <w:sz w:val="24"/>
          <w:vertAlign w:val="superscript"/>
        </w:rPr>
        <w:t>2</w:t>
      </w:r>
      <w:r>
        <w:rPr>
          <w:sz w:val="24"/>
        </w:rPr>
        <w:t>/d</w:t>
      </w:r>
      <w:r>
        <w:rPr>
          <w:rFonts w:hint="eastAsia"/>
          <w:sz w:val="24"/>
        </w:rPr>
        <w:t>）；</w:t>
      </w:r>
    </w:p>
    <w:p w14:paraId="09444AE9">
      <w:pPr>
        <w:spacing w:before="0" w:beforeLines="0" w:line="360" w:lineRule="auto"/>
        <w:ind w:firstLine="1200" w:firstLineChars="500"/>
        <w:rPr>
          <w:sz w:val="24"/>
        </w:rPr>
      </w:pPr>
      <w:r>
        <w:rPr>
          <w:sz w:val="24"/>
        </w:rPr>
        <w:t>V</w:t>
      </w:r>
      <w:r>
        <w:rPr>
          <w:sz w:val="24"/>
          <w:vertAlign w:val="subscript"/>
        </w:rPr>
        <w:t>xx</w:t>
      </w:r>
      <w:r>
        <w:rPr>
          <w:sz w:val="24"/>
        </w:rPr>
        <w:t>——x</w:t>
      </w:r>
      <w:r>
        <w:rPr>
          <w:rFonts w:hint="eastAsia"/>
          <w:sz w:val="24"/>
        </w:rPr>
        <w:t>方向上的渗透流速（</w:t>
      </w:r>
      <w:r>
        <w:rPr>
          <w:sz w:val="24"/>
        </w:rPr>
        <w:t>m/d</w:t>
      </w:r>
      <w:r>
        <w:rPr>
          <w:rFonts w:hint="eastAsia"/>
          <w:sz w:val="24"/>
        </w:rPr>
        <w:t>）；</w:t>
      </w:r>
    </w:p>
    <w:p w14:paraId="1BFA8511">
      <w:pPr>
        <w:spacing w:before="0" w:beforeLines="0" w:line="360" w:lineRule="auto"/>
        <w:ind w:firstLine="1200" w:firstLineChars="500"/>
        <w:rPr>
          <w:sz w:val="24"/>
        </w:rPr>
      </w:pPr>
      <w:r>
        <w:rPr>
          <w:sz w:val="24"/>
        </w:rPr>
        <w:t>V</w:t>
      </w:r>
      <w:r>
        <w:rPr>
          <w:sz w:val="24"/>
          <w:vertAlign w:val="subscript"/>
        </w:rPr>
        <w:t>yy</w:t>
      </w:r>
      <w:r>
        <w:rPr>
          <w:sz w:val="24"/>
        </w:rPr>
        <w:t>——y</w:t>
      </w:r>
      <w:r>
        <w:rPr>
          <w:rFonts w:hint="eastAsia"/>
          <w:sz w:val="24"/>
        </w:rPr>
        <w:t>方向上的渗透流速（</w:t>
      </w:r>
      <w:r>
        <w:rPr>
          <w:sz w:val="24"/>
        </w:rPr>
        <w:t>m/d</w:t>
      </w:r>
      <w:r>
        <w:rPr>
          <w:rFonts w:hint="eastAsia"/>
          <w:sz w:val="24"/>
        </w:rPr>
        <w:t>）；</w:t>
      </w:r>
    </w:p>
    <w:p w14:paraId="74CFAE65">
      <w:pPr>
        <w:spacing w:before="0" w:beforeLines="0" w:line="360" w:lineRule="auto"/>
        <w:ind w:firstLine="1200" w:firstLineChars="500"/>
        <w:rPr>
          <w:sz w:val="24"/>
        </w:rPr>
      </w:pPr>
      <w:r>
        <w:rPr>
          <w:sz w:val="24"/>
        </w:rPr>
        <w:t>n</w:t>
      </w:r>
      <w:r>
        <w:rPr>
          <w:sz w:val="24"/>
          <w:vertAlign w:val="subscript"/>
        </w:rPr>
        <w:t>e</w:t>
      </w:r>
      <w:r>
        <w:rPr>
          <w:sz w:val="24"/>
        </w:rPr>
        <w:t>——</w:t>
      </w:r>
      <w:r>
        <w:rPr>
          <w:rFonts w:hint="eastAsia"/>
          <w:sz w:val="24"/>
        </w:rPr>
        <w:t>有效孔隙度；</w:t>
      </w:r>
    </w:p>
    <w:p w14:paraId="5E6254FF">
      <w:pPr>
        <w:spacing w:before="0" w:beforeLines="0" w:line="360" w:lineRule="auto"/>
        <w:ind w:firstLine="1200" w:firstLineChars="500"/>
        <w:rPr>
          <w:sz w:val="24"/>
        </w:rPr>
      </w:pPr>
      <w:r>
        <w:rPr>
          <w:sz w:val="24"/>
        </w:rPr>
        <w:t>C</w:t>
      </w:r>
      <w:r>
        <w:rPr>
          <w:sz w:val="24"/>
          <w:vertAlign w:val="subscript"/>
        </w:rPr>
        <w:t>0</w:t>
      </w:r>
      <w:r>
        <w:rPr>
          <w:sz w:val="24"/>
        </w:rPr>
        <w:t>——</w:t>
      </w:r>
      <w:r>
        <w:rPr>
          <w:rFonts w:hint="eastAsia"/>
          <w:sz w:val="24"/>
        </w:rPr>
        <w:t>研究区污染物初始浓度（</w:t>
      </w:r>
      <w:r>
        <w:rPr>
          <w:sz w:val="24"/>
        </w:rPr>
        <w:t>mg/L</w:t>
      </w:r>
      <w:r>
        <w:rPr>
          <w:rFonts w:hint="eastAsia"/>
          <w:sz w:val="24"/>
        </w:rPr>
        <w:t>）；</w:t>
      </w:r>
    </w:p>
    <w:p w14:paraId="7D63A1A9">
      <w:pPr>
        <w:spacing w:before="0" w:beforeLines="0" w:line="360" w:lineRule="auto"/>
        <w:ind w:firstLine="1200" w:firstLineChars="500"/>
        <w:rPr>
          <w:sz w:val="24"/>
        </w:rPr>
      </w:pPr>
      <w:r>
        <w:rPr>
          <w:sz w:val="24"/>
        </w:rPr>
        <w:t>C</w:t>
      </w:r>
      <w:r>
        <w:rPr>
          <w:sz w:val="24"/>
          <w:vertAlign w:val="subscript"/>
        </w:rPr>
        <w:t>1</w:t>
      </w:r>
      <w:r>
        <w:rPr>
          <w:sz w:val="24"/>
        </w:rPr>
        <w:t>——</w:t>
      </w:r>
      <w:r>
        <w:rPr>
          <w:rFonts w:hint="eastAsia"/>
          <w:sz w:val="24"/>
        </w:rPr>
        <w:t>为研究区一类边界点的浓度值（</w:t>
      </w:r>
      <w:r>
        <w:rPr>
          <w:sz w:val="24"/>
        </w:rPr>
        <w:t>mg/L</w:t>
      </w:r>
      <w:r>
        <w:rPr>
          <w:rFonts w:hint="eastAsia"/>
          <w:sz w:val="24"/>
        </w:rPr>
        <w:t>）；</w:t>
      </w:r>
    </w:p>
    <w:p w14:paraId="723DC73A">
      <w:pPr>
        <w:spacing w:before="0" w:beforeLines="0" w:line="360" w:lineRule="auto"/>
        <w:ind w:firstLine="1200" w:firstLineChars="500"/>
        <w:rPr>
          <w:sz w:val="24"/>
        </w:rPr>
      </w:pPr>
      <w:r>
        <w:rPr>
          <w:sz w:val="24"/>
        </w:rPr>
        <w:t>t——</w:t>
      </w:r>
      <w:r>
        <w:rPr>
          <w:rFonts w:hint="eastAsia"/>
          <w:sz w:val="24"/>
        </w:rPr>
        <w:t>时间（</w:t>
      </w:r>
      <w:r>
        <w:rPr>
          <w:sz w:val="24"/>
        </w:rPr>
        <w:t>d</w:t>
      </w:r>
      <w:r>
        <w:rPr>
          <w:rFonts w:hint="eastAsia"/>
          <w:sz w:val="24"/>
        </w:rPr>
        <w:t>）；</w:t>
      </w:r>
    </w:p>
    <w:p w14:paraId="4710FF92">
      <w:pPr>
        <w:spacing w:before="0" w:beforeLines="0" w:line="360" w:lineRule="auto"/>
        <w:ind w:firstLine="1200" w:firstLineChars="500"/>
        <w:rPr>
          <w:sz w:val="24"/>
        </w:rPr>
      </w:pPr>
      <w:r>
        <w:rPr>
          <w:sz w:val="24"/>
        </w:rPr>
        <w:t>Ω——</w:t>
      </w:r>
      <w:r>
        <w:rPr>
          <w:rFonts w:hint="eastAsia"/>
          <w:sz w:val="24"/>
        </w:rPr>
        <w:t>研究区空间范围；</w:t>
      </w:r>
    </w:p>
    <w:p w14:paraId="7229557C">
      <w:pPr>
        <w:spacing w:before="0" w:beforeLines="0" w:line="360" w:lineRule="auto"/>
        <w:ind w:firstLine="1200" w:firstLineChars="500"/>
        <w:rPr>
          <w:sz w:val="24"/>
        </w:rPr>
      </w:pPr>
      <w:r>
        <w:rPr>
          <w:sz w:val="24"/>
        </w:rPr>
        <w:t>Г</w:t>
      </w:r>
      <w:r>
        <w:rPr>
          <w:sz w:val="24"/>
          <w:vertAlign w:val="subscript"/>
        </w:rPr>
        <w:t>1</w:t>
      </w:r>
      <w:r>
        <w:rPr>
          <w:sz w:val="24"/>
        </w:rPr>
        <w:t>——</w:t>
      </w:r>
      <w:r>
        <w:rPr>
          <w:rFonts w:hint="eastAsia"/>
          <w:sz w:val="24"/>
        </w:rPr>
        <w:t>研究区一类边界。</w:t>
      </w:r>
    </w:p>
    <w:p w14:paraId="36C160E5">
      <w:pPr>
        <w:spacing w:before="0" w:beforeLines="0" w:line="360" w:lineRule="auto"/>
        <w:ind w:firstLine="480" w:firstLineChars="200"/>
        <w:rPr>
          <w:sz w:val="24"/>
        </w:rPr>
      </w:pPr>
      <w:r>
        <w:rPr>
          <w:rFonts w:hint="eastAsia"/>
          <w:sz w:val="24"/>
        </w:rPr>
        <w:t>溶质在地下水中的运移模型通过给出的运动方程与水流模型耦合起来。</w:t>
      </w:r>
    </w:p>
    <w:p w14:paraId="33AF0BEE">
      <w:pPr>
        <w:spacing w:before="0" w:beforeLines="0" w:line="240" w:lineRule="auto"/>
        <w:ind w:firstLine="560"/>
        <w:jc w:val="center"/>
        <w:rPr>
          <w:rFonts w:hint="eastAsia" w:ascii="楷体_GB2312" w:hAnsi="宋体" w:eastAsia="楷体_GB2312"/>
          <w:sz w:val="28"/>
          <w:szCs w:val="28"/>
        </w:rPr>
      </w:pPr>
      <w:r>
        <w:rPr>
          <w:rFonts w:ascii="楷体_GB2312" w:hAnsi="宋体" w:eastAsia="楷体_GB2312"/>
          <w:position w:val="-32"/>
          <w:sz w:val="28"/>
          <w:szCs w:val="28"/>
        </w:rPr>
        <w:object>
          <v:shape id="_x0000_i1037" o:spt="75" alt="" type="#_x0000_t75" style="height:36pt;width:86.25pt;" o:ole="t" filled="f" o:preferrelative="t" stroked="f" coordsize="21600,21600">
            <v:path/>
            <v:fill on="f" focussize="0,0"/>
            <v:stroke on="f"/>
            <v:imagedata r:id="rId100" o:title=""/>
            <o:lock v:ext="edit" aspectratio="t"/>
            <w10:wrap type="none"/>
            <w10:anchorlock/>
          </v:shape>
          <o:OLEObject Type="Embed" ProgID="Equation.3" ShapeID="_x0000_i1037" DrawAspect="Content" ObjectID="_1468075737" r:id="rId99">
            <o:LockedField>false</o:LockedField>
          </o:OLEObject>
        </w:object>
      </w:r>
    </w:p>
    <w:p w14:paraId="5D698206">
      <w:pPr>
        <w:spacing w:before="0" w:beforeLines="0" w:line="360" w:lineRule="auto"/>
        <w:ind w:firstLine="480" w:firstLineChars="200"/>
        <w:rPr>
          <w:sz w:val="24"/>
        </w:rPr>
      </w:pPr>
      <w:r>
        <w:rPr>
          <w:rFonts w:hint="eastAsia"/>
          <w:sz w:val="24"/>
        </w:rPr>
        <w:t>式中：</w:t>
      </w:r>
      <w:r>
        <w:rPr>
          <w:sz w:val="24"/>
        </w:rPr>
        <w:t>V——</w:t>
      </w:r>
      <w:r>
        <w:rPr>
          <w:rFonts w:hint="eastAsia"/>
          <w:sz w:val="24"/>
        </w:rPr>
        <w:t>溶质在地下水运移中的渗透速度（</w:t>
      </w:r>
      <w:r>
        <w:rPr>
          <w:sz w:val="24"/>
        </w:rPr>
        <w:t>m/d</w:t>
      </w:r>
      <w:r>
        <w:rPr>
          <w:rFonts w:hint="eastAsia"/>
          <w:sz w:val="24"/>
        </w:rPr>
        <w:t>）；</w:t>
      </w:r>
    </w:p>
    <w:p w14:paraId="33AE14D8">
      <w:pPr>
        <w:spacing w:before="0" w:beforeLines="0" w:line="360" w:lineRule="auto"/>
        <w:ind w:firstLine="1200" w:firstLineChars="500"/>
        <w:rPr>
          <w:sz w:val="24"/>
        </w:rPr>
      </w:pPr>
      <w:r>
        <w:rPr>
          <w:sz w:val="24"/>
        </w:rPr>
        <w:t>K——</w:t>
      </w:r>
      <w:r>
        <w:rPr>
          <w:rFonts w:hint="eastAsia"/>
          <w:sz w:val="24"/>
        </w:rPr>
        <w:t>含水层渗透系数（</w:t>
      </w:r>
      <w:r>
        <w:rPr>
          <w:sz w:val="24"/>
        </w:rPr>
        <w:t>m/d</w:t>
      </w:r>
      <w:r>
        <w:rPr>
          <w:rFonts w:hint="eastAsia"/>
          <w:sz w:val="24"/>
        </w:rPr>
        <w:t>）；</w:t>
      </w:r>
    </w:p>
    <w:p w14:paraId="38627531">
      <w:pPr>
        <w:spacing w:before="0" w:beforeLines="0" w:line="360" w:lineRule="auto"/>
        <w:ind w:firstLine="1200" w:firstLineChars="500"/>
        <w:rPr>
          <w:sz w:val="24"/>
        </w:rPr>
      </w:pPr>
      <w:r>
        <w:rPr>
          <w:sz w:val="24"/>
        </w:rPr>
        <w:t>gradH——</w:t>
      </w:r>
      <w:r>
        <w:rPr>
          <w:rFonts w:hint="eastAsia"/>
          <w:sz w:val="24"/>
        </w:rPr>
        <w:t>地下水水力坡度；</w:t>
      </w:r>
    </w:p>
    <w:p w14:paraId="3436A0A8">
      <w:pPr>
        <w:spacing w:before="0" w:beforeLines="0" w:line="360" w:lineRule="auto"/>
        <w:ind w:firstLine="1200" w:firstLineChars="500"/>
        <w:rPr>
          <w:sz w:val="24"/>
        </w:rPr>
      </w:pPr>
      <w:r>
        <w:rPr>
          <w:sz w:val="24"/>
        </w:rPr>
        <w:t>u——</w:t>
      </w:r>
      <w:r>
        <w:rPr>
          <w:rFonts w:hint="eastAsia"/>
          <w:sz w:val="24"/>
        </w:rPr>
        <w:t>溶质在地下水运移中的实际速度（</w:t>
      </w:r>
      <w:r>
        <w:rPr>
          <w:sz w:val="24"/>
        </w:rPr>
        <w:t>m/d</w:t>
      </w:r>
      <w:r>
        <w:rPr>
          <w:rFonts w:hint="eastAsia"/>
          <w:sz w:val="24"/>
        </w:rPr>
        <w:t>）；</w:t>
      </w:r>
    </w:p>
    <w:p w14:paraId="2EBE2E4A">
      <w:pPr>
        <w:spacing w:before="0" w:beforeLines="0" w:line="360" w:lineRule="auto"/>
        <w:ind w:firstLine="1200" w:firstLineChars="500"/>
        <w:rPr>
          <w:sz w:val="24"/>
        </w:rPr>
      </w:pPr>
      <w:r>
        <w:rPr>
          <w:sz w:val="24"/>
        </w:rPr>
        <w:t>n</w:t>
      </w:r>
      <w:r>
        <w:rPr>
          <w:sz w:val="24"/>
          <w:vertAlign w:val="subscript"/>
        </w:rPr>
        <w:t>e</w:t>
      </w:r>
      <w:r>
        <w:rPr>
          <w:sz w:val="24"/>
        </w:rPr>
        <w:t>——</w:t>
      </w:r>
      <w:r>
        <w:rPr>
          <w:rFonts w:hint="eastAsia"/>
          <w:sz w:val="24"/>
        </w:rPr>
        <w:t>有效孔隙度。</w:t>
      </w:r>
    </w:p>
    <w:p w14:paraId="51029DE1">
      <w:pPr>
        <w:spacing w:before="0" w:beforeLines="0" w:line="360" w:lineRule="auto"/>
        <w:ind w:firstLine="480" w:firstLineChars="200"/>
        <w:rPr>
          <w:sz w:val="24"/>
        </w:rPr>
      </w:pPr>
      <w:r>
        <w:rPr>
          <w:sz w:val="24"/>
        </w:rPr>
        <w:t>（1）含水层概化</w:t>
      </w:r>
    </w:p>
    <w:p w14:paraId="6C6FA823">
      <w:pPr>
        <w:spacing w:before="0" w:beforeLines="0" w:line="360" w:lineRule="auto"/>
        <w:ind w:firstLine="480" w:firstLineChars="200"/>
        <w:rPr>
          <w:sz w:val="24"/>
        </w:rPr>
      </w:pPr>
      <w:r>
        <w:rPr>
          <w:rFonts w:hint="eastAsia"/>
          <w:sz w:val="24"/>
        </w:rPr>
        <w:t>第四系</w:t>
      </w:r>
      <w:r>
        <w:rPr>
          <w:sz w:val="24"/>
        </w:rPr>
        <w:t>地层岩性以</w:t>
      </w:r>
      <w:r>
        <w:rPr>
          <w:rFonts w:hint="eastAsia"/>
          <w:sz w:val="24"/>
        </w:rPr>
        <w:t>冲洪积</w:t>
      </w:r>
      <w:r>
        <w:rPr>
          <w:sz w:val="24"/>
        </w:rPr>
        <w:t>为主，以第四系松散堆积物为主。</w:t>
      </w:r>
      <w:r>
        <w:rPr>
          <w:rFonts w:hint="eastAsia"/>
          <w:sz w:val="24"/>
        </w:rPr>
        <w:t>项目区域</w:t>
      </w:r>
      <w:r>
        <w:rPr>
          <w:sz w:val="24"/>
        </w:rPr>
        <w:t>地下水类型为碎屑岩类裂隙孔隙水</w:t>
      </w:r>
      <w:r>
        <w:rPr>
          <w:rFonts w:hint="eastAsia"/>
          <w:sz w:val="24"/>
        </w:rPr>
        <w:t>及基岩裂隙水</w:t>
      </w:r>
      <w:r>
        <w:rPr>
          <w:sz w:val="24"/>
        </w:rPr>
        <w:t>。碎屑岩类裂隙孔隙水岩性以</w:t>
      </w:r>
      <w:r>
        <w:rPr>
          <w:rFonts w:hint="eastAsia"/>
          <w:sz w:val="24"/>
        </w:rPr>
        <w:t>中砂及砂砾</w:t>
      </w:r>
      <w:r>
        <w:rPr>
          <w:sz w:val="24"/>
        </w:rPr>
        <w:t>为主</w:t>
      </w:r>
      <w:r>
        <w:rPr>
          <w:rFonts w:hint="eastAsia"/>
          <w:sz w:val="24"/>
        </w:rPr>
        <w:t>，基岩裂隙水岩性以混合片麻岩为主</w:t>
      </w:r>
      <w:r>
        <w:rPr>
          <w:sz w:val="24"/>
        </w:rPr>
        <w:t>。本此模拟将含水层概化为碎屑岩类裂隙孔隙水</w:t>
      </w:r>
      <w:r>
        <w:rPr>
          <w:rFonts w:hint="eastAsia"/>
          <w:sz w:val="24"/>
        </w:rPr>
        <w:t>含水层及基岩裂隙水含水层</w:t>
      </w:r>
      <w:r>
        <w:rPr>
          <w:sz w:val="24"/>
        </w:rPr>
        <w:t>，同时含水层的岩性和厚度在区内均有不同程度的变化，但变化范围较小。</w:t>
      </w:r>
    </w:p>
    <w:p w14:paraId="12923A08">
      <w:pPr>
        <w:spacing w:before="0" w:beforeLines="0" w:line="360" w:lineRule="auto"/>
        <w:ind w:firstLine="480" w:firstLineChars="200"/>
        <w:rPr>
          <w:sz w:val="24"/>
        </w:rPr>
      </w:pPr>
      <w:r>
        <w:rPr>
          <w:sz w:val="24"/>
        </w:rPr>
        <w:t>用于地下水流数值模拟的水文地质参数主要有两类，一类是用于计算地下水补排量的参数，如前述大气降水入渗系数、蒸发系数等；另一类是表征含水层特征的水文地质参数，包括含水层的渗透系数、给水度等参数。评价区</w:t>
      </w:r>
      <w:r>
        <w:rPr>
          <w:rFonts w:hint="eastAsia"/>
          <w:sz w:val="24"/>
        </w:rPr>
        <w:t>项目所在</w:t>
      </w:r>
      <w:r>
        <w:rPr>
          <w:sz w:val="24"/>
        </w:rPr>
        <w:t>地区碎屑岩类裂隙孔隙水岩性以</w:t>
      </w:r>
      <w:r>
        <w:rPr>
          <w:rFonts w:hint="eastAsia"/>
          <w:sz w:val="24"/>
        </w:rPr>
        <w:t>中砂及砂砾</w:t>
      </w:r>
      <w:r>
        <w:rPr>
          <w:sz w:val="24"/>
        </w:rPr>
        <w:t>为主，渗透系数</w:t>
      </w:r>
      <w:r>
        <w:rPr>
          <w:rFonts w:hint="eastAsia"/>
          <w:sz w:val="24"/>
        </w:rPr>
        <w:t>59.5</w:t>
      </w:r>
      <w:r>
        <w:rPr>
          <w:sz w:val="24"/>
        </w:rPr>
        <w:t>m/d</w:t>
      </w:r>
      <w:r>
        <w:rPr>
          <w:rFonts w:hint="eastAsia"/>
          <w:sz w:val="24"/>
        </w:rPr>
        <w:t>（抽水试验获得）；基岩裂隙水</w:t>
      </w:r>
      <w:r>
        <w:rPr>
          <w:sz w:val="24"/>
        </w:rPr>
        <w:t>岩性以</w:t>
      </w:r>
      <w:r>
        <w:rPr>
          <w:rFonts w:hint="eastAsia"/>
          <w:sz w:val="24"/>
        </w:rPr>
        <w:t>混合片麻岩</w:t>
      </w:r>
      <w:r>
        <w:rPr>
          <w:sz w:val="24"/>
        </w:rPr>
        <w:t>为主，渗透系数</w:t>
      </w:r>
      <w:r>
        <w:rPr>
          <w:rFonts w:hint="eastAsia"/>
          <w:sz w:val="24"/>
        </w:rPr>
        <w:t>0.012</w:t>
      </w:r>
      <w:r>
        <w:rPr>
          <w:sz w:val="24"/>
        </w:rPr>
        <w:t>m/d。根据评价区的水文地质条件，以河流和</w:t>
      </w:r>
      <w:r>
        <w:rPr>
          <w:rFonts w:hint="eastAsia"/>
          <w:sz w:val="24"/>
        </w:rPr>
        <w:t>山地</w:t>
      </w:r>
      <w:r>
        <w:rPr>
          <w:sz w:val="24"/>
        </w:rPr>
        <w:t>的天然界限为分区，对模型水文地质参数进行初步分区赋值，并在数值模型的参数识别阶段进行调参，具体参数赋值情况表5.7-</w:t>
      </w:r>
      <w:r>
        <w:rPr>
          <w:rFonts w:hint="eastAsia"/>
          <w:sz w:val="24"/>
        </w:rPr>
        <w:t>1</w:t>
      </w:r>
      <w:r>
        <w:rPr>
          <w:sz w:val="24"/>
        </w:rPr>
        <w:t>。</w:t>
      </w:r>
    </w:p>
    <w:p w14:paraId="0EC90D5E">
      <w:pPr>
        <w:pStyle w:val="189"/>
        <w:numPr>
          <w:ilvl w:val="0"/>
          <w:numId w:val="64"/>
        </w:numPr>
        <w:spacing w:before="156" w:beforeLines="50" w:line="240" w:lineRule="auto"/>
        <w:ind w:firstLineChars="0"/>
        <w:jc w:val="center"/>
        <w:rPr>
          <w:b/>
          <w:bCs/>
          <w:szCs w:val="21"/>
        </w:rPr>
      </w:pPr>
      <w:r>
        <w:rPr>
          <w:rFonts w:eastAsia="TimesNewRomanPS-BoldMT"/>
          <w:b/>
          <w:bCs/>
          <w:szCs w:val="21"/>
        </w:rPr>
        <w:t xml:space="preserve">  </w:t>
      </w:r>
      <w:r>
        <w:rPr>
          <w:rFonts w:hAnsi="宋体"/>
          <w:b/>
          <w:bCs/>
          <w:szCs w:val="21"/>
        </w:rPr>
        <w:t>水文地质参数的确定</w:t>
      </w:r>
    </w:p>
    <w:tbl>
      <w:tblPr>
        <w:tblStyle w:val="221"/>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268"/>
        <w:gridCol w:w="1888"/>
        <w:gridCol w:w="2077"/>
        <w:gridCol w:w="2076"/>
      </w:tblGrid>
      <w:tr w14:paraId="08470D8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365" w:type="pct"/>
            <w:vAlign w:val="center"/>
          </w:tcPr>
          <w:p w14:paraId="52127510">
            <w:pPr>
              <w:spacing w:before="0" w:beforeLines="0" w:line="240" w:lineRule="auto"/>
              <w:jc w:val="center"/>
              <w:rPr>
                <w:bCs/>
                <w:szCs w:val="21"/>
              </w:rPr>
            </w:pPr>
            <w:r>
              <w:rPr>
                <w:rFonts w:hAnsi="宋体"/>
                <w:bCs/>
                <w:szCs w:val="21"/>
              </w:rPr>
              <w:t>分区</w:t>
            </w:r>
          </w:p>
        </w:tc>
        <w:tc>
          <w:tcPr>
            <w:tcW w:w="1136" w:type="pct"/>
            <w:vAlign w:val="center"/>
          </w:tcPr>
          <w:p w14:paraId="2921BD35">
            <w:pPr>
              <w:spacing w:before="0" w:beforeLines="0" w:line="240" w:lineRule="auto"/>
              <w:jc w:val="center"/>
              <w:rPr>
                <w:bCs/>
                <w:szCs w:val="21"/>
              </w:rPr>
            </w:pPr>
            <w:r>
              <w:rPr>
                <w:bCs/>
                <w:szCs w:val="21"/>
              </w:rPr>
              <w:t>K</w:t>
            </w:r>
          </w:p>
        </w:tc>
        <w:tc>
          <w:tcPr>
            <w:tcW w:w="1250" w:type="pct"/>
            <w:vAlign w:val="center"/>
          </w:tcPr>
          <w:p w14:paraId="0E645E4B">
            <w:pPr>
              <w:spacing w:before="0" w:beforeLines="0" w:line="240" w:lineRule="auto"/>
              <w:jc w:val="center"/>
              <w:rPr>
                <w:bCs/>
                <w:szCs w:val="21"/>
              </w:rPr>
            </w:pPr>
            <w:r>
              <w:rPr>
                <w:bCs/>
                <w:szCs w:val="21"/>
              </w:rPr>
              <w:t>u</w:t>
            </w:r>
          </w:p>
        </w:tc>
        <w:tc>
          <w:tcPr>
            <w:tcW w:w="1250" w:type="pct"/>
            <w:vAlign w:val="center"/>
          </w:tcPr>
          <w:p w14:paraId="3B821406">
            <w:pPr>
              <w:spacing w:before="0" w:beforeLines="0" w:line="240" w:lineRule="auto"/>
              <w:jc w:val="center"/>
              <w:rPr>
                <w:bCs/>
                <w:szCs w:val="21"/>
              </w:rPr>
            </w:pPr>
            <w:r>
              <w:rPr>
                <w:rFonts w:hAnsi="宋体"/>
                <w:bCs/>
                <w:szCs w:val="21"/>
              </w:rPr>
              <w:t>降水入渗补给系数</w:t>
            </w:r>
            <w:r>
              <w:rPr>
                <w:rFonts w:eastAsia="TimesNewRomanPSMT"/>
                <w:bCs/>
                <w:szCs w:val="21"/>
              </w:rPr>
              <w:t>α</w:t>
            </w:r>
          </w:p>
        </w:tc>
      </w:tr>
      <w:tr w14:paraId="192F8AC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365" w:type="pct"/>
            <w:vAlign w:val="center"/>
          </w:tcPr>
          <w:p w14:paraId="28DF1511">
            <w:pPr>
              <w:spacing w:before="0" w:beforeLines="0" w:line="240" w:lineRule="auto"/>
              <w:jc w:val="center"/>
              <w:rPr>
                <w:bCs/>
                <w:szCs w:val="21"/>
              </w:rPr>
            </w:pPr>
            <w:r>
              <w:rPr>
                <w:rFonts w:hint="eastAsia"/>
                <w:bCs/>
                <w:szCs w:val="21"/>
              </w:rPr>
              <w:t>碎屑岩类裂隙孔隙水</w:t>
            </w:r>
          </w:p>
        </w:tc>
        <w:tc>
          <w:tcPr>
            <w:tcW w:w="1136" w:type="pct"/>
            <w:vAlign w:val="center"/>
          </w:tcPr>
          <w:p w14:paraId="1137EDEB">
            <w:pPr>
              <w:spacing w:before="0" w:beforeLines="0" w:line="240" w:lineRule="auto"/>
              <w:jc w:val="center"/>
              <w:rPr>
                <w:bCs/>
                <w:szCs w:val="21"/>
              </w:rPr>
            </w:pPr>
            <w:r>
              <w:rPr>
                <w:rFonts w:hint="eastAsia"/>
                <w:bCs/>
                <w:szCs w:val="21"/>
              </w:rPr>
              <w:t>59.5</w:t>
            </w:r>
          </w:p>
        </w:tc>
        <w:tc>
          <w:tcPr>
            <w:tcW w:w="1250" w:type="pct"/>
            <w:vAlign w:val="center"/>
          </w:tcPr>
          <w:p w14:paraId="29AF0173">
            <w:pPr>
              <w:spacing w:before="0" w:beforeLines="0" w:line="240" w:lineRule="auto"/>
              <w:jc w:val="center"/>
              <w:rPr>
                <w:bCs/>
                <w:szCs w:val="21"/>
              </w:rPr>
            </w:pPr>
            <w:r>
              <w:rPr>
                <w:bCs/>
                <w:szCs w:val="21"/>
              </w:rPr>
              <w:t>0.</w:t>
            </w:r>
            <w:r>
              <w:rPr>
                <w:rFonts w:hint="eastAsia"/>
                <w:bCs/>
                <w:szCs w:val="21"/>
              </w:rPr>
              <w:t>26</w:t>
            </w:r>
          </w:p>
        </w:tc>
        <w:tc>
          <w:tcPr>
            <w:tcW w:w="1250" w:type="pct"/>
            <w:vAlign w:val="center"/>
          </w:tcPr>
          <w:p w14:paraId="39D771A5">
            <w:pPr>
              <w:spacing w:before="0" w:beforeLines="0" w:line="240" w:lineRule="auto"/>
              <w:jc w:val="center"/>
              <w:rPr>
                <w:bCs/>
                <w:szCs w:val="21"/>
              </w:rPr>
            </w:pPr>
            <w:r>
              <w:rPr>
                <w:bCs/>
                <w:szCs w:val="21"/>
              </w:rPr>
              <w:t>0.</w:t>
            </w:r>
            <w:r>
              <w:rPr>
                <w:rFonts w:hint="eastAsia"/>
                <w:bCs/>
                <w:szCs w:val="21"/>
              </w:rPr>
              <w:t>28</w:t>
            </w:r>
          </w:p>
        </w:tc>
      </w:tr>
      <w:tr w14:paraId="130B976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365" w:type="pct"/>
            <w:vAlign w:val="center"/>
          </w:tcPr>
          <w:p w14:paraId="4FEAD059">
            <w:pPr>
              <w:spacing w:before="0" w:beforeLines="0" w:line="240" w:lineRule="auto"/>
              <w:jc w:val="center"/>
              <w:rPr>
                <w:bCs/>
                <w:szCs w:val="21"/>
              </w:rPr>
            </w:pPr>
            <w:r>
              <w:rPr>
                <w:rFonts w:hint="eastAsia"/>
                <w:bCs/>
                <w:szCs w:val="21"/>
              </w:rPr>
              <w:t>基岩裂隙水</w:t>
            </w:r>
          </w:p>
        </w:tc>
        <w:tc>
          <w:tcPr>
            <w:tcW w:w="1136" w:type="pct"/>
            <w:vAlign w:val="center"/>
          </w:tcPr>
          <w:p w14:paraId="7E47D60C">
            <w:pPr>
              <w:spacing w:before="0" w:beforeLines="0" w:line="240" w:lineRule="auto"/>
              <w:jc w:val="center"/>
              <w:rPr>
                <w:bCs/>
                <w:szCs w:val="21"/>
              </w:rPr>
            </w:pPr>
            <w:r>
              <w:rPr>
                <w:rFonts w:hint="eastAsia"/>
                <w:bCs/>
                <w:szCs w:val="21"/>
              </w:rPr>
              <w:t>0.012</w:t>
            </w:r>
          </w:p>
        </w:tc>
        <w:tc>
          <w:tcPr>
            <w:tcW w:w="1250" w:type="pct"/>
            <w:vAlign w:val="center"/>
          </w:tcPr>
          <w:p w14:paraId="24EB83E5">
            <w:pPr>
              <w:spacing w:before="0" w:beforeLines="0" w:line="240" w:lineRule="auto"/>
              <w:jc w:val="center"/>
              <w:rPr>
                <w:bCs/>
                <w:szCs w:val="21"/>
              </w:rPr>
            </w:pPr>
            <w:r>
              <w:rPr>
                <w:rFonts w:hint="eastAsia"/>
                <w:bCs/>
                <w:szCs w:val="21"/>
              </w:rPr>
              <w:t>0.20</w:t>
            </w:r>
          </w:p>
        </w:tc>
        <w:tc>
          <w:tcPr>
            <w:tcW w:w="1250" w:type="pct"/>
            <w:vAlign w:val="center"/>
          </w:tcPr>
          <w:p w14:paraId="7A2FB3A4">
            <w:pPr>
              <w:spacing w:before="0" w:beforeLines="0" w:line="240" w:lineRule="auto"/>
              <w:jc w:val="center"/>
              <w:rPr>
                <w:bCs/>
                <w:szCs w:val="21"/>
              </w:rPr>
            </w:pPr>
            <w:r>
              <w:rPr>
                <w:rFonts w:hint="eastAsia"/>
                <w:bCs/>
                <w:szCs w:val="21"/>
              </w:rPr>
              <w:t>0.18</w:t>
            </w:r>
          </w:p>
        </w:tc>
      </w:tr>
    </w:tbl>
    <w:p w14:paraId="3EBC624C">
      <w:pPr>
        <w:spacing w:before="0" w:beforeLines="0" w:line="360" w:lineRule="auto"/>
        <w:ind w:firstLine="480" w:firstLineChars="200"/>
        <w:rPr>
          <w:sz w:val="24"/>
        </w:rPr>
      </w:pPr>
      <w:r>
        <w:rPr>
          <w:sz w:val="24"/>
        </w:rPr>
        <w:t>（2）含水层水力特征概化</w:t>
      </w:r>
    </w:p>
    <w:p w14:paraId="5C13DE91">
      <w:pPr>
        <w:spacing w:before="0" w:beforeLines="0" w:line="360" w:lineRule="auto"/>
        <w:ind w:firstLine="480" w:firstLineChars="200"/>
        <w:rPr>
          <w:sz w:val="24"/>
        </w:rPr>
      </w:pPr>
      <w:r>
        <w:rPr>
          <w:sz w:val="24"/>
        </w:rPr>
        <w:t>根据研究区域沉积条件以及含水层结构特点，假设上部与研究区域含水层之间不发生垂向的水力联系，下部不考虑与基岩裂隙水、溶隙水之间发生水力联系，含水层的天然水力梯度</w:t>
      </w:r>
      <w:r>
        <w:rPr>
          <w:rFonts w:hint="eastAsia"/>
          <w:sz w:val="24"/>
        </w:rPr>
        <w:t>1.2</w:t>
      </w:r>
      <w:r>
        <w:rPr>
          <w:sz w:val="24"/>
        </w:rPr>
        <w:t>×10</w:t>
      </w:r>
      <w:r>
        <w:rPr>
          <w:sz w:val="24"/>
          <w:vertAlign w:val="superscript"/>
        </w:rPr>
        <w:t>-</w:t>
      </w:r>
      <w:r>
        <w:rPr>
          <w:rFonts w:hint="eastAsia"/>
          <w:sz w:val="24"/>
          <w:vertAlign w:val="superscript"/>
        </w:rPr>
        <w:t>3</w:t>
      </w:r>
      <w:r>
        <w:rPr>
          <w:sz w:val="24"/>
        </w:rPr>
        <w:t>-</w:t>
      </w:r>
      <w:r>
        <w:rPr>
          <w:rFonts w:hint="eastAsia"/>
          <w:sz w:val="24"/>
        </w:rPr>
        <w:t>12.1</w:t>
      </w:r>
      <w:r>
        <w:rPr>
          <w:sz w:val="24"/>
        </w:rPr>
        <w:t>×10</w:t>
      </w:r>
      <w:r>
        <w:rPr>
          <w:sz w:val="24"/>
          <w:vertAlign w:val="superscript"/>
        </w:rPr>
        <w:t>-</w:t>
      </w:r>
      <w:r>
        <w:rPr>
          <w:rFonts w:hint="eastAsia"/>
          <w:sz w:val="24"/>
          <w:vertAlign w:val="superscript"/>
        </w:rPr>
        <w:t>3</w:t>
      </w:r>
      <w:r>
        <w:rPr>
          <w:sz w:val="24"/>
        </w:rPr>
        <w:t>。地下水流场相对平缓，近似符合达西定律。</w:t>
      </w:r>
    </w:p>
    <w:p w14:paraId="014E3C2B">
      <w:pPr>
        <w:spacing w:before="0" w:beforeLines="0" w:line="360" w:lineRule="auto"/>
        <w:ind w:firstLine="480" w:firstLineChars="200"/>
        <w:rPr>
          <w:sz w:val="24"/>
        </w:rPr>
      </w:pPr>
      <w:r>
        <w:rPr>
          <w:sz w:val="24"/>
        </w:rPr>
        <w:t>（3）溶质运移特征概化</w:t>
      </w:r>
    </w:p>
    <w:p w14:paraId="3166E8C8">
      <w:pPr>
        <w:spacing w:before="0" w:beforeLines="0" w:line="360" w:lineRule="auto"/>
        <w:ind w:firstLine="480" w:firstLineChars="200"/>
        <w:rPr>
          <w:sz w:val="24"/>
        </w:rPr>
      </w:pPr>
      <w:r>
        <w:rPr>
          <w:sz w:val="24"/>
        </w:rPr>
        <w:t>本次计算主要关注三种离子的运移规律，假设这些离子不参与整个地下水流动过程中的地球化学作用。因此，离子的溶质运移过程符合对流—弥散原理，且弥散作用符合Fick定律，不发生离子交换吸附作用及其它地球化学作用。</w:t>
      </w:r>
    </w:p>
    <w:p w14:paraId="53FD0C1C">
      <w:pPr>
        <w:spacing w:before="0" w:beforeLines="0" w:line="360" w:lineRule="auto"/>
        <w:ind w:firstLine="480" w:firstLineChars="200"/>
        <w:rPr>
          <w:sz w:val="24"/>
        </w:rPr>
      </w:pPr>
      <w:r>
        <w:rPr>
          <w:sz w:val="24"/>
        </w:rPr>
        <w:t>（4）模型边界条件确定</w:t>
      </w:r>
    </w:p>
    <w:p w14:paraId="2DC67024">
      <w:pPr>
        <w:spacing w:before="0" w:beforeLines="0" w:line="360" w:lineRule="auto"/>
        <w:ind w:firstLine="480" w:firstLineChars="200"/>
        <w:rPr>
          <w:sz w:val="24"/>
        </w:rPr>
      </w:pPr>
      <w:r>
        <w:rPr>
          <w:sz w:val="24"/>
        </w:rPr>
        <w:t>根据研究区水文地质条件及周边水文地质条件确定本次模拟边界条件为：计算区范围内地下含水层上部边界为水量交换边界，主要为降水入渗补给；下部为相对隔水边界。侧向边界均概化为浓度边界。</w:t>
      </w:r>
    </w:p>
    <w:p w14:paraId="30C8EEB2">
      <w:pPr>
        <w:spacing w:before="0" w:beforeLines="0" w:line="360" w:lineRule="auto"/>
        <w:ind w:firstLine="480" w:firstLineChars="200"/>
        <w:rPr>
          <w:sz w:val="24"/>
        </w:rPr>
      </w:pPr>
      <w:r>
        <w:rPr>
          <w:sz w:val="24"/>
        </w:rPr>
        <w:t>（</w:t>
      </w:r>
      <w:r>
        <w:rPr>
          <w:rFonts w:hint="eastAsia"/>
          <w:sz w:val="24"/>
        </w:rPr>
        <w:t>5</w:t>
      </w:r>
      <w:r>
        <w:rPr>
          <w:sz w:val="24"/>
        </w:rPr>
        <w:t>）</w:t>
      </w:r>
      <w:r>
        <w:rPr>
          <w:rFonts w:hint="eastAsia"/>
          <w:sz w:val="24"/>
        </w:rPr>
        <w:t>水文地质参数</w:t>
      </w:r>
    </w:p>
    <w:p w14:paraId="2779DF6F">
      <w:pPr>
        <w:spacing w:before="0" w:beforeLines="0" w:line="360" w:lineRule="auto"/>
        <w:ind w:firstLine="480" w:firstLineChars="200"/>
        <w:rPr>
          <w:sz w:val="24"/>
        </w:rPr>
      </w:pPr>
      <w:r>
        <w:rPr>
          <w:rFonts w:hint="eastAsia"/>
          <w:sz w:val="24"/>
        </w:rPr>
        <w:t>根据前述地质、水文地质条件的分析，结合地形地貌、地下水流场特征及野外抽水、渗水实验的计算结果，对模拟区含水层渗透系数进行分区，本次模拟假定K</w:t>
      </w:r>
      <w:r>
        <w:rPr>
          <w:rFonts w:hint="eastAsia"/>
          <w:sz w:val="24"/>
          <w:vertAlign w:val="subscript"/>
        </w:rPr>
        <w:t>X</w:t>
      </w:r>
      <w:r>
        <w:rPr>
          <w:rFonts w:hint="eastAsia"/>
          <w:sz w:val="24"/>
        </w:rPr>
        <w:t>=K</w:t>
      </w:r>
      <w:r>
        <w:rPr>
          <w:rFonts w:hint="eastAsia"/>
          <w:sz w:val="24"/>
          <w:vertAlign w:val="subscript"/>
        </w:rPr>
        <w:t>Y</w:t>
      </w:r>
      <w:r>
        <w:rPr>
          <w:rFonts w:hint="eastAsia"/>
          <w:sz w:val="24"/>
        </w:rPr>
        <w:t>。</w:t>
      </w:r>
    </w:p>
    <w:p w14:paraId="097D64B8">
      <w:pPr>
        <w:spacing w:before="0" w:beforeLines="0" w:line="360" w:lineRule="auto"/>
        <w:ind w:firstLine="480" w:firstLineChars="200"/>
        <w:rPr>
          <w:sz w:val="24"/>
        </w:rPr>
      </w:pPr>
      <w:r>
        <w:rPr>
          <w:rFonts w:hint="eastAsia"/>
          <w:sz w:val="24"/>
        </w:rPr>
        <w:t>根据掌握的区域水文地质资料，利用</w:t>
      </w:r>
      <w:r>
        <w:rPr>
          <w:sz w:val="24"/>
        </w:rPr>
        <w:t>Visual MODFLOW</w:t>
      </w:r>
      <w:r>
        <w:rPr>
          <w:rFonts w:hint="eastAsia"/>
          <w:sz w:val="24"/>
        </w:rPr>
        <w:t>地下水模拟软件建立地下水模型，将预测区域划分为100×110个单元格，项目所在区域网格进行加密处理，模拟范围约为37.5</w:t>
      </w:r>
      <w:r>
        <w:rPr>
          <w:sz w:val="24"/>
        </w:rPr>
        <w:t>km</w:t>
      </w:r>
      <w:r>
        <w:rPr>
          <w:sz w:val="24"/>
          <w:vertAlign w:val="superscript"/>
        </w:rPr>
        <w:t>2</w:t>
      </w:r>
      <w:r>
        <w:rPr>
          <w:rFonts w:hint="eastAsia"/>
          <w:sz w:val="24"/>
        </w:rPr>
        <w:t>。</w:t>
      </w:r>
    </w:p>
    <w:p w14:paraId="03FCEC63">
      <w:pPr>
        <w:spacing w:before="0" w:beforeLines="0" w:line="360" w:lineRule="auto"/>
        <w:rPr>
          <w:sz w:val="24"/>
        </w:rPr>
      </w:pPr>
    </w:p>
    <w:p w14:paraId="77FB6C1A">
      <w:pPr>
        <w:spacing w:before="0" w:beforeLines="0" w:line="360" w:lineRule="auto"/>
        <w:rPr>
          <w:sz w:val="24"/>
        </w:rPr>
      </w:pPr>
      <w:r>
        <w:drawing>
          <wp:inline distT="0" distB="0" distL="0" distR="0">
            <wp:extent cx="5278120" cy="5839460"/>
            <wp:effectExtent l="0" t="0" r="0" b="8890"/>
            <wp:docPr id="120226719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267199" name="图片 1"/>
                    <pic:cNvPicPr>
                      <a:picLocks noChangeAspect="1"/>
                    </pic:cNvPicPr>
                  </pic:nvPicPr>
                  <pic:blipFill>
                    <a:blip r:embed="rId101"/>
                    <a:stretch>
                      <a:fillRect/>
                    </a:stretch>
                  </pic:blipFill>
                  <pic:spPr>
                    <a:xfrm>
                      <a:off x="0" y="0"/>
                      <a:ext cx="5278120" cy="5839460"/>
                    </a:xfrm>
                    <a:prstGeom prst="rect">
                      <a:avLst/>
                    </a:prstGeom>
                  </pic:spPr>
                </pic:pic>
              </a:graphicData>
            </a:graphic>
          </wp:inline>
        </w:drawing>
      </w:r>
    </w:p>
    <w:p w14:paraId="137D6373">
      <w:pPr>
        <w:spacing w:before="0" w:beforeLines="0" w:line="240" w:lineRule="auto"/>
        <w:jc w:val="center"/>
        <w:rPr>
          <w:b/>
          <w:bCs/>
        </w:rPr>
      </w:pPr>
      <w:r>
        <w:rPr>
          <w:rFonts w:hint="eastAsia"/>
          <w:b/>
          <w:bCs/>
        </w:rPr>
        <w:t>图</w:t>
      </w:r>
      <w:r>
        <mc:AlternateContent>
          <mc:Choice Requires="wps">
            <w:drawing>
              <wp:anchor distT="0" distB="0" distL="114300" distR="114300" simplePos="0" relativeHeight="251674624" behindDoc="0" locked="0" layoutInCell="1" allowOverlap="1">
                <wp:simplePos x="0" y="0"/>
                <wp:positionH relativeFrom="column">
                  <wp:posOffset>695325</wp:posOffset>
                </wp:positionH>
                <wp:positionV relativeFrom="paragraph">
                  <wp:posOffset>5134610</wp:posOffset>
                </wp:positionV>
                <wp:extent cx="914400" cy="276225"/>
                <wp:effectExtent l="0" t="0" r="0" b="0"/>
                <wp:wrapNone/>
                <wp:docPr id="756024563" name="文本框 42"/>
                <wp:cNvGraphicFramePr/>
                <a:graphic xmlns:a="http://schemas.openxmlformats.org/drawingml/2006/main">
                  <a:graphicData uri="http://schemas.microsoft.com/office/word/2010/wordprocessingShape">
                    <wps:wsp>
                      <wps:cNvSpPr txBox="1"/>
                      <wps:spPr>
                        <a:xfrm>
                          <a:off x="0" y="0"/>
                          <a:ext cx="914400" cy="276225"/>
                        </a:xfrm>
                        <a:prstGeom prst="rect">
                          <a:avLst/>
                        </a:prstGeom>
                        <a:noFill/>
                        <a:ln>
                          <a:noFill/>
                        </a:ln>
                        <a:effectLst/>
                      </wps:spPr>
                      <wps:txbx>
                        <w:txbxContent>
                          <w:p w14:paraId="55707747">
                            <w:pPr>
                              <w:spacing w:before="78"/>
                              <w:rPr>
                                <w:b/>
                              </w:rPr>
                            </w:pPr>
                            <w:r>
                              <w:rPr>
                                <w:rFonts w:hint="eastAsia"/>
                                <w:b/>
                              </w:rPr>
                              <w:t>无效区域</w:t>
                            </w:r>
                          </w:p>
                        </w:txbxContent>
                      </wps:txbx>
                      <wps:bodyPr upright="1"/>
                    </wps:wsp>
                  </a:graphicData>
                </a:graphic>
              </wp:anchor>
            </w:drawing>
          </mc:Choice>
          <mc:Fallback>
            <w:pict>
              <v:shape id="文本框 42" o:spid="_x0000_s1026" o:spt="202" type="#_x0000_t202" style="position:absolute;left:0pt;margin-left:54.75pt;margin-top:404.3pt;height:21.75pt;width:72pt;z-index:251674624;mso-width-relative:page;mso-height-relative:page;" filled="f" stroked="f" coordsize="21600,21600" o:gfxdata="UEsDBAoAAAAAAIdO4kAAAAAAAAAAAAAAAAAEAAAAZHJzL1BLAwQUAAAACACHTuJA49LoVdcAAAAL&#10;AQAADwAAAGRycy9kb3ducmV2LnhtbE2PzU7DMBCE70i8g7VI3KidQKo0xOmhFVcQ/UHi5sbbJCJe&#10;R7HbhLdnOcFxZj/NzpTr2fXiimPoPGlIFgoEUu1tR42Gw/7lIQcRoiFrek+o4RsDrKvbm9IU1k/0&#10;jtddbASHUCiMhjbGoZAy1C06ExZ+QOLb2Y/ORJZjI+1oJg53vUyVWkpnOuIPrRlw02L9tbs4DcfX&#10;8+fHk3prti4bJj8rSW4ltb6/S9QziIhz/IPhtz5Xh4o7nfyFbBA9a7XKGNWQq3wJgok0e2TnxE6W&#10;JiCrUv7fUP0AUEsDBBQAAAAIAIdO4kA5N64IuAEAAGQDAAAOAAAAZHJzL2Uyb0RvYy54bWytU82O&#10;0zAQviPxDpbvNGlouxA1XQlVywUB0i4P4Dp2Y8n2WLbbpC8Ab8CJC3eeq8/B2MmW/bnsgYsznp9v&#10;5vvGWV8PRpOj8EGBbeh8VlIiLIdW2X1Dv93dvHlHSYjMtkyDFQ09iUCvN69frXtXiwo60K3wBEFs&#10;qHvX0C5GVxdF4J0wLMzACYtBCd6wiFe/L1rPekQ3uqjKclX04FvngYsQ0Lsdg3RC9C8BBCkVF1vg&#10;ByNsHFG90CwipdApF+gmTyul4PGLlEFEohuKTGM+sQnau3QWmzWr9565TvFpBPaSEZ5wMkxZbHqB&#10;2rLIyMGrZ1BGcQ8BZJxxMMVIJCuCLOblE21uO+ZE5oJSB3cRPfw/WP75+NUT1Tb0arkqq8Vy9ZYS&#10;ywwu/vzzx/nXn/Pv72RRJZ16F2pMv3VYEIcPMODrufcHdCb6g/QmfZEYwTiqfLqoLIZIODrfzxeL&#10;EiMcQ9XVqqqWCaX4V+x8iB8FGJKMhnpcYtaWHT+FOKbep6ReFm6U1nmR2j5yIOboEfklTNWJxzhv&#10;suKwGyZyO2hPyO3gvNp32DizK1ISip8nnB5K2u7DO9oPf47NX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OPS6FXXAAAACwEAAA8AAAAAAAAAAQAgAAAAIgAAAGRycy9kb3ducmV2LnhtbFBLAQIUABQA&#10;AAAIAIdO4kA5N64IuAEAAGQDAAAOAAAAAAAAAAEAIAAAACYBAABkcnMvZTJvRG9jLnhtbFBLBQYA&#10;AAAABgAGAFkBAABQBQAAAAA=&#10;">
                <v:fill on="f" focussize="0,0"/>
                <v:stroke on="f"/>
                <v:imagedata o:title=""/>
                <o:lock v:ext="edit" aspectratio="f"/>
                <v:textbox>
                  <w:txbxContent>
                    <w:p w14:paraId="55707747">
                      <w:pPr>
                        <w:spacing w:before="78"/>
                        <w:rPr>
                          <w:b/>
                        </w:rPr>
                      </w:pPr>
                      <w:r>
                        <w:rPr>
                          <w:rFonts w:hint="eastAsia"/>
                          <w:b/>
                        </w:rPr>
                        <w:t>无效区域</w:t>
                      </w:r>
                    </w:p>
                  </w:txbxContent>
                </v:textbox>
              </v:shape>
            </w:pict>
          </mc:Fallback>
        </mc:AlternateContent>
      </w:r>
      <w:r>
        <w:rPr>
          <w:rFonts w:hint="eastAsia"/>
          <w:b/>
          <w:bCs/>
        </w:rPr>
        <w:t xml:space="preserve">5.7-1    </w:t>
      </w:r>
      <w:r>
        <w:rPr>
          <w:b/>
          <w:bCs/>
        </w:rPr>
        <w:t>模拟预测区域网格剖分</w:t>
      </w:r>
    </w:p>
    <w:p w14:paraId="4C5CEFD8">
      <w:pPr>
        <w:spacing w:before="0" w:beforeLines="0" w:line="360" w:lineRule="auto"/>
        <w:ind w:firstLine="480" w:firstLineChars="200"/>
        <w:rPr>
          <w:sz w:val="24"/>
        </w:rPr>
      </w:pPr>
      <w:r>
        <w:rPr>
          <w:rFonts w:hint="eastAsia"/>
          <w:sz w:val="24"/>
        </w:rPr>
        <w:t>进行污染物溶质运移前需要建立区域初始渗流场。以测量水位值以及相关水文地质资料确定地下水初始水位。模拟未来</w:t>
      </w:r>
      <w:r>
        <w:rPr>
          <w:sz w:val="24"/>
        </w:rPr>
        <w:t>10</w:t>
      </w:r>
      <w:r>
        <w:rPr>
          <w:rFonts w:hint="eastAsia"/>
          <w:sz w:val="24"/>
        </w:rPr>
        <w:t>年内项目可能对地下水水质造成的影响。</w:t>
      </w:r>
    </w:p>
    <w:p w14:paraId="246A0CBC">
      <w:pPr>
        <w:spacing w:before="0" w:beforeLines="0" w:line="360" w:lineRule="auto"/>
        <w:ind w:firstLine="480" w:firstLineChars="200"/>
        <w:rPr>
          <w:sz w:val="24"/>
        </w:rPr>
      </w:pPr>
      <w:r>
        <w:rPr>
          <w:rFonts w:hint="eastAsia"/>
          <w:sz w:val="24"/>
        </w:rPr>
        <w:t>区域内地下水主要接受降雨补给，地下水大体方向自河流两侧向河流径流，靠近河流沿河流向下游流向，项目区地下水水位线拟合见图</w:t>
      </w:r>
      <w:r>
        <w:rPr>
          <w:sz w:val="24"/>
        </w:rPr>
        <w:t>5.7-2</w:t>
      </w:r>
      <w:r>
        <w:rPr>
          <w:rFonts w:hint="eastAsia"/>
          <w:sz w:val="24"/>
        </w:rPr>
        <w:t>。</w:t>
      </w:r>
    </w:p>
    <w:p w14:paraId="137744EB">
      <w:pPr>
        <w:spacing w:before="0" w:beforeLines="0" w:line="240" w:lineRule="auto"/>
        <w:jc w:val="center"/>
      </w:pPr>
      <w:r>
        <mc:AlternateContent>
          <mc:Choice Requires="wps">
            <w:drawing>
              <wp:anchor distT="0" distB="0" distL="114300" distR="114300" simplePos="0" relativeHeight="251667456" behindDoc="0" locked="0" layoutInCell="1" allowOverlap="1">
                <wp:simplePos x="0" y="0"/>
                <wp:positionH relativeFrom="column">
                  <wp:posOffset>1123315</wp:posOffset>
                </wp:positionH>
                <wp:positionV relativeFrom="paragraph">
                  <wp:posOffset>162560</wp:posOffset>
                </wp:positionV>
                <wp:extent cx="835025" cy="337185"/>
                <wp:effectExtent l="0" t="0" r="269875" b="539115"/>
                <wp:wrapNone/>
                <wp:docPr id="526833309" name="对话气泡: 圆角矩形 38"/>
                <wp:cNvGraphicFramePr/>
                <a:graphic xmlns:a="http://schemas.openxmlformats.org/drawingml/2006/main">
                  <a:graphicData uri="http://schemas.microsoft.com/office/word/2010/wordprocessingShape">
                    <wps:wsp>
                      <wps:cNvSpPr/>
                      <wps:spPr>
                        <a:xfrm>
                          <a:off x="0" y="0"/>
                          <a:ext cx="835025" cy="337185"/>
                        </a:xfrm>
                        <a:prstGeom prst="wedgeRoundRectCallout">
                          <a:avLst>
                            <a:gd name="adj1" fmla="val 76996"/>
                            <a:gd name="adj2" fmla="val 191541"/>
                            <a:gd name="adj3" fmla="val 16667"/>
                          </a:avLst>
                        </a:prstGeom>
                        <a:solidFill>
                          <a:srgbClr val="FFFFFF"/>
                        </a:solidFill>
                        <a:ln w="9525" cap="flat" cmpd="sng">
                          <a:solidFill>
                            <a:srgbClr val="000000"/>
                          </a:solidFill>
                          <a:prstDash val="solid"/>
                          <a:miter/>
                          <a:headEnd type="none" w="med" len="med"/>
                          <a:tailEnd type="none" w="med" len="med"/>
                        </a:ln>
                        <a:effectLst/>
                      </wps:spPr>
                      <wps:txbx>
                        <w:txbxContent>
                          <w:p w14:paraId="3918FBC7">
                            <w:pPr>
                              <w:spacing w:before="0" w:beforeLines="0" w:line="240" w:lineRule="auto"/>
                              <w:rPr>
                                <w:szCs w:val="21"/>
                              </w:rPr>
                            </w:pPr>
                            <w:r>
                              <w:rPr>
                                <w:szCs w:val="21"/>
                              </w:rPr>
                              <w:t>等水位线</w:t>
                            </w:r>
                          </w:p>
                        </w:txbxContent>
                      </wps:txbx>
                      <wps:bodyPr upright="1">
                        <a:noAutofit/>
                      </wps:bodyPr>
                    </wps:wsp>
                  </a:graphicData>
                </a:graphic>
              </wp:anchor>
            </w:drawing>
          </mc:Choice>
          <mc:Fallback>
            <w:pict>
              <v:shape id="对话气泡: 圆角矩形 38" o:spid="_x0000_s1026" o:spt="62" type="#_x0000_t62" style="position:absolute;left:0pt;margin-left:88.45pt;margin-top:12.8pt;height:26.55pt;width:65.75pt;z-index:251667456;mso-width-relative:page;mso-height-relative:page;" fillcolor="#FFFFFF" filled="t" stroked="t" coordsize="21600,21600" o:gfxdata="UEsDBAoAAAAAAIdO4kAAAAAAAAAAAAAAAAAEAAAAZHJzL1BLAwQUAAAACACHTuJABC52JNkAAAAJ&#10;AQAADwAAAGRycy9kb3ducmV2LnhtbE2Py07DMBBF90j8gzVIbBB1GmhejVMJJBALNhQWXTrxNIka&#10;j9PYffH1DCtYXs3RvWfK1dkO4oiT7x0pmM8iEEiNMz21Cr4+X+4zED5oMnpwhAou6GFVXV+VujDu&#10;RB94XIdWcAn5QivoQhgLKX3TodV+5kYkvm3dZHXgOLXSTPrE5XaQcRQl0uqeeKHTIz532OzWB6sA&#10;3zb7/Xu+rU28uMt3368XLZ96pW5v5tESRMBz+IPhV5/VoWKn2h3IeDFwTpOcUQXxIgHBwEOUPYKo&#10;FaRZCrIq5f8Pqh9QSwMEFAAAAAgAh07iQJz92ih0AgAA9AQAAA4AAABkcnMvZTJvRG9jLnhtbK1U&#10;zW7UMBC+I/EOlu80yYZNd1fNVqhLuSCoWngAb+wkRv6T7f17AR4AcQQhuCBOReLEgcdp6WMwdsJ2&#10;23LogRySsT3z+ZtvZnJwuJYCLZl1XKsSZ3spRkxVmnLVlPj1q+NHI4ycJ4oSoRUr8YY5fDh9+OBg&#10;ZSZsoFstKLMIQJSbrEyJW+/NJElc1TJJ3J42TMFhra0kHpa2SaglK0CXIhmkaZGstKXG6oo5B7uz&#10;7hD3iPY+gLquecVmulpIpnyHapkgHlJyLTcOTyPbumaVf1nXjnkkSgyZ+viGS8Ceh3cyPSCTxhLT&#10;8qqnQO5D4VZOknAFl26hZsQTtLD8DpTkldVO136v0jLpEomKQBZZekubs5YYFnMBqZ3Ziu7+H2z1&#10;YnliEaclHg6KUZ7n6RgjRSQU/uL859X5x8vv7y9/fJ6giw9vr76++/3p28WvLygfBeFWxk0g/syc&#10;2H7lwAwqrGsrwxfyQ+so9mYrNlt7VMHmKB+mgyFGFRzl+X42GgbM5DrYWOefMS1RMEq8YrRhp3qh&#10;6ClU9YgIoRc+ak6Wz52P4tOeOqFvMoxqKaCWSyLQfjEeF32td3wGuz7ZOBs+zu465TeciqLY73n2&#10;1wLjv0wDB6cFp8dciLiwzfxIWAQcSnwcnz74hptQaFXi8TDKQWCmauhlUEYaqItTTczyRoTbBU7j&#10;8y/gQGxGXNsRiAhdgpJ7ZmPvt4zQp4oivzFQcwUjjwMZyShGgsEfIljR0xMu7uMJgggVsmdx/qA2&#10;oa6hWbr2CJZfz9ewG8y5phtowYWxvGmhzlnMVuknC69rvo3t3HogGIbYKv3ghmnbXUev65/V9A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AELnYk2QAAAAkBAAAPAAAAAAAAAAEAIAAAACIAAABkcnMv&#10;ZG93bnJldi54bWxQSwECFAAUAAAACACHTuJAnP3aKHQCAAD0BAAADgAAAAAAAAABACAAAAAoAQAA&#10;ZHJzL2Uyb0RvYy54bWxQSwUGAAAAAAYABgBZAQAADgYAAAAA&#10;" adj="27431,52173,14400">
                <v:fill on="t" focussize="0,0"/>
                <v:stroke color="#000000" joinstyle="miter"/>
                <v:imagedata o:title=""/>
                <o:lock v:ext="edit" aspectratio="f"/>
                <v:textbox>
                  <w:txbxContent>
                    <w:p w14:paraId="3918FBC7">
                      <w:pPr>
                        <w:spacing w:before="0" w:beforeLines="0" w:line="240" w:lineRule="auto"/>
                        <w:rPr>
                          <w:szCs w:val="21"/>
                        </w:rPr>
                      </w:pPr>
                      <w:r>
                        <w:rPr>
                          <w:szCs w:val="21"/>
                        </w:rPr>
                        <w:t>等水位线</w:t>
                      </w:r>
                    </w:p>
                  </w:txbxContent>
                </v:textbox>
              </v:shape>
            </w:pict>
          </mc:Fallback>
        </mc:AlternateContent>
      </w:r>
      <w:r>
        <mc:AlternateContent>
          <mc:Choice Requires="wps">
            <w:drawing>
              <wp:anchor distT="0" distB="0" distL="114300" distR="114300" simplePos="0" relativeHeight="251671552" behindDoc="0" locked="0" layoutInCell="1" allowOverlap="1">
                <wp:simplePos x="0" y="0"/>
                <wp:positionH relativeFrom="column">
                  <wp:posOffset>2805430</wp:posOffset>
                </wp:positionH>
                <wp:positionV relativeFrom="paragraph">
                  <wp:posOffset>2195830</wp:posOffset>
                </wp:positionV>
                <wp:extent cx="355600" cy="476250"/>
                <wp:effectExtent l="19050" t="38100" r="25400" b="0"/>
                <wp:wrapNone/>
                <wp:docPr id="272538736" name="直接箭头连接符 37"/>
                <wp:cNvGraphicFramePr/>
                <a:graphic xmlns:a="http://schemas.openxmlformats.org/drawingml/2006/main">
                  <a:graphicData uri="http://schemas.microsoft.com/office/word/2010/wordprocessingShape">
                    <wps:wsp>
                      <wps:cNvCnPr/>
                      <wps:spPr>
                        <a:xfrm flipV="1">
                          <a:off x="0" y="0"/>
                          <a:ext cx="355600" cy="476250"/>
                        </a:xfrm>
                        <a:prstGeom prst="straightConnector1">
                          <a:avLst/>
                        </a:prstGeom>
                        <a:ln w="28575" cap="flat" cmpd="sng">
                          <a:solidFill>
                            <a:srgbClr val="00B0F0"/>
                          </a:solidFill>
                          <a:prstDash val="solid"/>
                          <a:round/>
                          <a:headEnd type="none" w="med" len="med"/>
                          <a:tailEnd type="triangle" w="med" len="med"/>
                        </a:ln>
                      </wps:spPr>
                      <wps:bodyPr/>
                    </wps:wsp>
                  </a:graphicData>
                </a:graphic>
              </wp:anchor>
            </w:drawing>
          </mc:Choice>
          <mc:Fallback>
            <w:pict>
              <v:shape id="直接箭头连接符 37" o:spid="_x0000_s1026" o:spt="32" type="#_x0000_t32" style="position:absolute;left:0pt;flip:y;margin-left:220.9pt;margin-top:172.9pt;height:37.5pt;width:28pt;z-index:251671552;mso-width-relative:page;mso-height-relative:page;" filled="f" stroked="t" coordsize="21600,21600" o:gfxdata="UEsDBAoAAAAAAIdO4kAAAAAAAAAAAAAAAAAEAAAAZHJzL1BLAwQUAAAACACHTuJAWceCydgAAAAL&#10;AQAADwAAAGRycy9kb3ducmV2LnhtbE2PTU/DMAyG70j8h8hI3FjSEWCUpjuMISFx2ofENW1MW9E4&#10;VZOtY78ec2K3x/Kr14+L5cn34ohj7AIZyGYKBFIdXEeNgf3u7W4BIiZLzvaB0MAPRliW11eFzV2Y&#10;aIPHbWoEl1DMrYE2pSGXMtYtehtnYUDi3VcYvU08jo10o5243PdyrtSj9LYjvtDaAVct1t/bgzew&#10;mTR+Zljtz+v1qqk/9O6dzq/G3N5k6gVEwlP6D8OfPqtDyU5VOJCLojegdcbqycC9fmDghH5+YqgY&#10;5moBsizk5Q/lL1BLAwQUAAAACACHTuJAHwZTIB8CAAASBAAADgAAAGRycy9lMm9Eb2MueG1srVNL&#10;jhMxEN0jcQfLe9I9CZ1EUTojkRA2CEbis3f86bbkn2wnnVyCCyCxAlYDq9lzGhiOQdmdycAgpFmw&#10;scquqlf1XpXn53ut0I77IK2p8dmgxIgbapk0TY3fvF4/mmIUIjGMKGt4jQ884PPFwwfzzs340LZW&#10;Me4RgJgw61yN2xjdrCgCbbkmYWAdN+AU1msS4eqbgnnSAbpWxbAsx0VnPXPeUh4CvK56Jz4i+vsA&#10;WiEk5StLt5qb2KN6rkgESqGVLuBF7lYITuNLIQKPSNUYmMZ8QhGwN+ksFnMyazxxraTHFsh9WrjD&#10;SRNpoOgJakUiQVsv/4LSknobrIgDanXRE8mKAIuz8o42r1rieOYCUgd3Ej38P1j6YnfhkWQ1Hk6G&#10;1Wg6GY0xMkTD4K/fX/149+n665fvH69+fvuQ7MvPaDRJmnUuzCB1aS788RbchU8C7IXXSCjp3sJy&#10;ZUmAJNpnxQ8nxfk+IgqPo6oalzALCq7Hk/GwyhMpepgE53yIz7jVKBk1DtET2bRxaY2B2VrflyC7&#10;5yFCI5B4k5CSlUEdEJtWkwpKEFhWAUsCpnZAOJgm9xeskmwtlUopwTebpfJoR9LClE/K9U1Hf4Sl&#10;KisS2j4uu/pV8nZrWF6qlhP21DAUDw7ENPCXcOpGc4aR4vD1kpUjI5HqNjJ6SUyj/hENDJUBomkA&#10;veTJ2lh2yJPI77AqWYrjWqdd/P2es2+/8uIX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WceCydgA&#10;AAALAQAADwAAAAAAAAABACAAAAAiAAAAZHJzL2Rvd25yZXYueG1sUEsBAhQAFAAAAAgAh07iQB8G&#10;UyAfAgAAEgQAAA4AAAAAAAAAAQAgAAAAJwEAAGRycy9lMm9Eb2MueG1sUEsFBgAAAAAGAAYAWQEA&#10;ALgFAAAAAA==&#10;">
                <v:fill on="f" focussize="0,0"/>
                <v:stroke weight="2.25pt" color="#00B0F0" joinstyle="round" endarrow="block"/>
                <v:imagedata o:title=""/>
                <o:lock v:ext="edit" aspectratio="f"/>
              </v:shape>
            </w:pict>
          </mc:Fallback>
        </mc:AlternateContent>
      </w:r>
      <w:r>
        <mc:AlternateContent>
          <mc:Choice Requires="wps">
            <w:drawing>
              <wp:anchor distT="0" distB="0" distL="114300" distR="114300" simplePos="0" relativeHeight="251666432" behindDoc="0" locked="0" layoutInCell="1" allowOverlap="1">
                <wp:simplePos x="0" y="0"/>
                <wp:positionH relativeFrom="column">
                  <wp:posOffset>4082415</wp:posOffset>
                </wp:positionH>
                <wp:positionV relativeFrom="paragraph">
                  <wp:posOffset>337820</wp:posOffset>
                </wp:positionV>
                <wp:extent cx="1158875" cy="311150"/>
                <wp:effectExtent l="0" t="0" r="3175" b="812800"/>
                <wp:wrapNone/>
                <wp:docPr id="1403690194" name="对话气泡: 圆角矩形 36"/>
                <wp:cNvGraphicFramePr/>
                <a:graphic xmlns:a="http://schemas.openxmlformats.org/drawingml/2006/main">
                  <a:graphicData uri="http://schemas.microsoft.com/office/word/2010/wordprocessingShape">
                    <wps:wsp>
                      <wps:cNvSpPr/>
                      <wps:spPr>
                        <a:xfrm>
                          <a:off x="0" y="0"/>
                          <a:ext cx="1158875" cy="311150"/>
                        </a:xfrm>
                        <a:prstGeom prst="wedgeRoundRectCallout">
                          <a:avLst>
                            <a:gd name="adj1" fmla="val 14602"/>
                            <a:gd name="adj2" fmla="val 301836"/>
                            <a:gd name="adj3" fmla="val 16667"/>
                          </a:avLst>
                        </a:prstGeom>
                        <a:solidFill>
                          <a:srgbClr val="FFFFFF"/>
                        </a:solidFill>
                        <a:ln w="9525" cap="flat" cmpd="sng">
                          <a:solidFill>
                            <a:srgbClr val="000000"/>
                          </a:solidFill>
                          <a:prstDash val="solid"/>
                          <a:miter/>
                          <a:headEnd type="none" w="med" len="med"/>
                          <a:tailEnd type="none" w="med" len="med"/>
                        </a:ln>
                        <a:effectLst/>
                      </wps:spPr>
                      <wps:txbx>
                        <w:txbxContent>
                          <w:p w14:paraId="56CD7E24">
                            <w:pPr>
                              <w:spacing w:before="0" w:beforeLines="0" w:line="240" w:lineRule="auto"/>
                              <w:jc w:val="center"/>
                              <w:rPr>
                                <w:szCs w:val="21"/>
                              </w:rPr>
                            </w:pPr>
                            <w:r>
                              <w:rPr>
                                <w:szCs w:val="21"/>
                              </w:rPr>
                              <w:t>地下水流方向</w:t>
                            </w:r>
                          </w:p>
                        </w:txbxContent>
                      </wps:txbx>
                      <wps:bodyPr upright="1"/>
                    </wps:wsp>
                  </a:graphicData>
                </a:graphic>
              </wp:anchor>
            </w:drawing>
          </mc:Choice>
          <mc:Fallback>
            <w:pict>
              <v:shape id="对话气泡: 圆角矩形 36" o:spid="_x0000_s1026" o:spt="62" type="#_x0000_t62" style="position:absolute;left:0pt;margin-left:321.45pt;margin-top:26.6pt;height:24.5pt;width:91.25pt;z-index:251666432;mso-width-relative:page;mso-height-relative:page;" fillcolor="#FFFFFF" filled="t" stroked="t" coordsize="21600,21600" o:gfxdata="UEsDBAoAAAAAAIdO4kAAAAAAAAAAAAAAAAAEAAAAZHJzL1BLAwQUAAAACACHTuJAIX7w5dkAAAAK&#10;AQAADwAAAGRycy9kb3ducmV2LnhtbE2Py07DMBBF90j8gzVI7Khd05YS4nRBhbpgQ8Nr68RDEhGP&#10;o9htA1/PsILl6B7deybfTL4XRxxjF8jAfKZAINXBddQYeHl+uFqDiMmSs30gNPCFETbF+VluMxdO&#10;tMdjmRrBJRQza6BNacikjHWL3sZZGJA4+wijt4nPsZFutCcu973USq2ktx3xQmsHvG+x/iwP3kDc&#10;7h7r2N6U6dVV30+03b1N+G7M5cVc3YFIOKU/GH71WR0KdqrCgVwUvYHVQt8yamB5rUEwsNbLBYiK&#10;SaU1yCKX/18ofgBQSwMEFAAAAAgAh07iQAnjZfBuAgAA3AQAAA4AAABkcnMvZTJvRG9jLnhtbK1U&#10;TXLTMBTeM8MdNNpT20nrJpk6XTSUDQOdFg6gWLItRn8jKXFyAQ7AsITpwIZhVWZYseA4LT0GT7JJ&#10;08IiC7ywn6SnT9/3vScfHa+kQEtmHdeqwNleihFTpaZc1QV+/er0yQgj54miRGjFCrxmDh9PHz86&#10;as2EDXSjBWUWAYhyk9YUuPHeTJLElQ2TxO1pwxQsVtpK4mFo64Ra0gK6FMkgTfOk1ZYaq0vmHMzO&#10;ukXcI9pdAHVV8ZLNdLmQTPkO1TJBPEhyDTcOTyPbqmKlf1lVjnkkCgxKfXzDIRDPwzuZHpFJbYlp&#10;eNlTILtQeKBJEq7g0A3UjHiCFpb/BSV5abXTld8rtUw6IdERUJGlD7y5aIhhUQtY7czGdPf/YMsX&#10;yzOLOIVO2E+H+TjNxvsYKSKh8tdXP26vPt58e3/z/dMEXX94e/vl3a/Lr9c/P6NhHpxrjZsAwIU5&#10;s/3IQRhsWFVWhi8IRKvo9nrjNlt5VMJklh2MRocHGJWwNsxgGMuR3O021vlnTEsUggK3jNbsXC8U&#10;PYe6nhAh9MJH18nyufPRftpzJ/RNhlElBVRzSQTK9vN00Fd7K2ewnTNMs1EnDOq4lTTcTsryPD8M&#10;QMCzPxaiP0wDB6cFp6dciDiw9fxEWAQcCnwan37zvTShUFvg8cEg2EHgVlXQzRBKA5Vxqo4q7+1w&#10;28BpfP4FHIjNiGs6AhGhc0Fyz2zs/oYR+lRR5NcGiq7g0uNARjKKkWDwjwhRzPSEi10ywRChgnoW&#10;byDUJvgVuqXrjxD51XwFsyGca7qGJlwYy+sG6pxFIWEFmj4a3V/QcKu2xxH07qc0/Q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AhfvDl2QAAAAoBAAAPAAAAAAAAAAEAIAAAACIAAABkcnMvZG93bnJl&#10;di54bWxQSwECFAAUAAAACACHTuJACeNl8G4CAADcBAAADgAAAAAAAAABACAAAAAoAQAAZHJzL2Uy&#10;b0RvYy54bWxQSwUGAAAAAAYABgBZAQAACAYAAAAA&#10;" adj="13954,75997,14400">
                <v:fill on="t" focussize="0,0"/>
                <v:stroke color="#000000" joinstyle="miter"/>
                <v:imagedata o:title=""/>
                <o:lock v:ext="edit" aspectratio="f"/>
                <v:textbox>
                  <w:txbxContent>
                    <w:p w14:paraId="56CD7E24">
                      <w:pPr>
                        <w:spacing w:before="0" w:beforeLines="0" w:line="240" w:lineRule="auto"/>
                        <w:jc w:val="center"/>
                        <w:rPr>
                          <w:szCs w:val="21"/>
                        </w:rPr>
                      </w:pPr>
                      <w:r>
                        <w:rPr>
                          <w:szCs w:val="21"/>
                        </w:rPr>
                        <w:t>地下水流方向</w:t>
                      </w:r>
                    </w:p>
                  </w:txbxContent>
                </v:textbox>
              </v:shape>
            </w:pict>
          </mc:Fallback>
        </mc:AlternateContent>
      </w:r>
      <w:r>
        <mc:AlternateContent>
          <mc:Choice Requires="wps">
            <w:drawing>
              <wp:anchor distT="0" distB="0" distL="114300" distR="114300" simplePos="0" relativeHeight="251681792" behindDoc="0" locked="0" layoutInCell="1" allowOverlap="1">
                <wp:simplePos x="0" y="0"/>
                <wp:positionH relativeFrom="column">
                  <wp:posOffset>1179830</wp:posOffset>
                </wp:positionH>
                <wp:positionV relativeFrom="paragraph">
                  <wp:posOffset>1510030</wp:posOffset>
                </wp:positionV>
                <wp:extent cx="527050" cy="101600"/>
                <wp:effectExtent l="19050" t="19050" r="25400" b="50800"/>
                <wp:wrapNone/>
                <wp:docPr id="1394174690" name="直接箭头连接符 35"/>
                <wp:cNvGraphicFramePr/>
                <a:graphic xmlns:a="http://schemas.openxmlformats.org/drawingml/2006/main">
                  <a:graphicData uri="http://schemas.microsoft.com/office/word/2010/wordprocessingShape">
                    <wps:wsp>
                      <wps:cNvCnPr/>
                      <wps:spPr>
                        <a:xfrm>
                          <a:off x="0" y="0"/>
                          <a:ext cx="527050" cy="101600"/>
                        </a:xfrm>
                        <a:prstGeom prst="straightConnector1">
                          <a:avLst/>
                        </a:prstGeom>
                        <a:ln w="28575" cap="flat" cmpd="sng">
                          <a:solidFill>
                            <a:srgbClr val="00B0F0"/>
                          </a:solidFill>
                          <a:prstDash val="solid"/>
                          <a:headEnd type="none" w="med" len="med"/>
                          <a:tailEnd type="triangle" w="med" len="med"/>
                        </a:ln>
                        <a:effectLst/>
                      </wps:spPr>
                      <wps:bodyPr/>
                    </wps:wsp>
                  </a:graphicData>
                </a:graphic>
              </wp:anchor>
            </w:drawing>
          </mc:Choice>
          <mc:Fallback>
            <w:pict>
              <v:shape id="直接箭头连接符 35" o:spid="_x0000_s1026" o:spt="32" type="#_x0000_t32" style="position:absolute;left:0pt;margin-left:92.9pt;margin-top:118.9pt;height:8pt;width:41.5pt;z-index:251681792;mso-width-relative:page;mso-height-relative:page;" filled="f" stroked="t" coordsize="21600,21600" o:gfxdata="UEsDBAoAAAAAAIdO4kAAAAAAAAAAAAAAAAAEAAAAZHJzL1BLAwQUAAAACACHTuJAlkRdb9oAAAAL&#10;AQAADwAAAGRycy9kb3ducmV2LnhtbE2PwU7DMBBE70j8g7VIXBC1k6ptFOL0AEIIlQstB3JzY9eJ&#10;aq+j2GnL37M9wW1GO5p9U60v3rGTGWMfUEI2E8AMtkH3aCV87V4fC2AxKdTKBTQSfkyEdX17U6lS&#10;hzN+mtM2WUYlGEsloUtpKDmPbWe8irMwGKTbIYxeJbKj5XpUZyr3judCLLlXPdKHTg3muTPtcTt5&#10;CW8fLw/N+2RFdnCb1THumm+0jZT3d5l4ApbMJf2F4YpP6FAT0z5MqCNz5IsFoScJ+XxFghL5siCx&#10;J7GYF8Driv/fUP8CUEsDBBQAAAAIAIdO4kANxGYnGQIAAA0EAAAOAAAAZHJzL2Uyb0RvYy54bWyt&#10;U81uEzEQviPxDpbvZHfTJmmjbCqREC4IIgEP4Hi9u5b8J4+bTV6CF0DiBJyAU+88DZTHYOxN01KE&#10;1AOX3RmP5+f75vPsYqcV2QoP0pqSFoOcEmG4raRpSvr2zerJGSUQmKmYskaUdC+AXswfP5p1biqG&#10;trWqEp5gEQPTzpW0DcFNswx4KzSDgXXCYLC2XrOArm+yyrMOq2uVDfN8nHXWV85bLgDwdNkH6aGi&#10;f0hBW9eSi6Xll1qY0Ff1QrGAkKCVDug8TVvXgodXdQ0iEFVSRBrSF5ugvYnfbD5j08Yz10p+GIE9&#10;ZIR7mDSTBpseSy1ZYOTSy79Kacm9BVuHAbc664EkRhBFkd/j5nXLnEhYkGpwR9Lh/5XlL7drT2SF&#10;Sjg5Py0mp+NzpMYwjZu/fn/1892n629ff3y8+vX9Q7S/fCYno0ha52CKuQuz9gcP3NpHBna11/GP&#10;2MguEb0/Ei12gXA8HA0n+Qj7cAwVeTHO0yKy22TnITwXVpNolBSCZ7Jpw8Iagyu1vkhks+0LCNge&#10;E28SYmdlSFfS4dloMsIWDDVaozbQ1A5xgmlSMlglq5VUKqaAbzYL5cmWRZ3kT/PVzUR/XItdlgza&#10;/l4K9QpqBauemYqEvUPiDD4cGmfQoqJECXxn0UpaC0yq25vBS2Ya9Y/biEuZOJ5ISj6AjdT3ZEdr&#10;Y6t92kEWPVRJouOg6CjDuz7ad1/x/D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WRF1v2gAAAAsB&#10;AAAPAAAAAAAAAAEAIAAAACIAAABkcnMvZG93bnJldi54bWxQSwECFAAUAAAACACHTuJADcRmJxkC&#10;AAANBAAADgAAAAAAAAABACAAAAApAQAAZHJzL2Uyb0RvYy54bWxQSwUGAAAAAAYABgBZAQAAtAUA&#10;AAAA&#10;">
                <v:fill on="f" focussize="0,0"/>
                <v:stroke weight="2.25pt" color="#00B0F0" joinstyle="round" endarrow="block"/>
                <v:imagedata o:title=""/>
                <o:lock v:ext="edit" aspectratio="f"/>
              </v:shape>
            </w:pict>
          </mc:Fallback>
        </mc:AlternateContent>
      </w:r>
      <w:r>
        <mc:AlternateContent>
          <mc:Choice Requires="wps">
            <w:drawing>
              <wp:anchor distT="0" distB="0" distL="114300" distR="114300" simplePos="0" relativeHeight="251680768" behindDoc="0" locked="0" layoutInCell="1" allowOverlap="1">
                <wp:simplePos x="0" y="0"/>
                <wp:positionH relativeFrom="column">
                  <wp:posOffset>589280</wp:posOffset>
                </wp:positionH>
                <wp:positionV relativeFrom="paragraph">
                  <wp:posOffset>3211830</wp:posOffset>
                </wp:positionV>
                <wp:extent cx="400050" cy="323850"/>
                <wp:effectExtent l="19050" t="38100" r="19050" b="0"/>
                <wp:wrapNone/>
                <wp:docPr id="1287181373" name="直接箭头连接符 34"/>
                <wp:cNvGraphicFramePr/>
                <a:graphic xmlns:a="http://schemas.openxmlformats.org/drawingml/2006/main">
                  <a:graphicData uri="http://schemas.microsoft.com/office/word/2010/wordprocessingShape">
                    <wps:wsp>
                      <wps:cNvCnPr/>
                      <wps:spPr>
                        <a:xfrm flipV="1">
                          <a:off x="0" y="0"/>
                          <a:ext cx="400050" cy="323850"/>
                        </a:xfrm>
                        <a:prstGeom prst="straightConnector1">
                          <a:avLst/>
                        </a:prstGeom>
                        <a:ln w="28575" cap="flat" cmpd="sng">
                          <a:solidFill>
                            <a:srgbClr val="00B0F0"/>
                          </a:solidFill>
                          <a:prstDash val="solid"/>
                          <a:headEnd type="none" w="med" len="med"/>
                          <a:tailEnd type="triangle" w="med" len="med"/>
                        </a:ln>
                        <a:effectLst/>
                      </wps:spPr>
                      <wps:bodyPr/>
                    </wps:wsp>
                  </a:graphicData>
                </a:graphic>
              </wp:anchor>
            </w:drawing>
          </mc:Choice>
          <mc:Fallback>
            <w:pict>
              <v:shape id="直接箭头连接符 34" o:spid="_x0000_s1026" o:spt="32" type="#_x0000_t32" style="position:absolute;left:0pt;flip:y;margin-left:46.4pt;margin-top:252.9pt;height:25.5pt;width:31.5pt;z-index:251680768;mso-width-relative:page;mso-height-relative:page;" filled="f" stroked="t" coordsize="21600,21600" o:gfxdata="UEsDBAoAAAAAAIdO4kAAAAAAAAAAAAAAAAAEAAAAZHJzL1BLAwQUAAAACACHTuJAYtxrZNgAAAAK&#10;AQAADwAAAGRycy9kb3ducmV2LnhtbE2PzU7DMBCE70i8g7VI3KidqqlKGqeHUiQkTv2RuDrxNomI&#10;11HsNqVPz+YEt9md0ey3+ebmOnHFIbSeNCQzBQKp8ralWsPp+P6yAhGiIWs6T6jhBwNsiseH3GTW&#10;j7TH6yHWgksoZEZDE2OfSRmqBp0JM98jsXf2gzORx6GWdjAjl7tOzpVaSmda4guN6XHbYPV9uDgN&#10;+3GBXwmWp/tut62rz8Xxg+5vWj8/JWoNIuIt/oVhwmd0KJip9BeyQXQaXudMHjWkKmUxBdJJlLxJ&#10;lyuQRS7/v1D8AlBLAwQUAAAACACHTuJAYVOsdx8CAAAXBAAADgAAAGRycy9lMm9Eb2MueG1srVNL&#10;jhMxEN0jcQfLe9KdZEKiVjojkRA2CCLx2Tu2u9uSf3J50skluAASK2A1sJo9p4HhGJS7M2EYhDQL&#10;Nlb5U6/qvXqen++NJjsZQDlb0uEgp0Ra7oSydUnfvF4/mlECkVnBtLOypAcJ9Hzx8MG89YUcucZp&#10;IQNBEAtF60vaxOiLLAPeSMNg4Ly0eFm5YFjEbagzEViL6EZnozx/nLUuCB8clwB4uuov6REx3AfQ&#10;VZXicuX4hZE29qhBahaREjTKA1103VaV5PFlVYGMRJcUmcZuxSIYb9OaLeasqAPzjeLHFth9WrjD&#10;yTBlsegJasUiIxdB/QVlFA8OXBUH3JmsJ9IpgiyG+R1tXjXMy44LSg3+JDr8P1j+YrcJRAl0wmg2&#10;Hc6G4+mYEssMTv76/dWPd5+uv375/vHq57cPKb78TMZnSbTWQ4G5S7sJxx34TUgK7KtgSKWVf4uY&#10;nSbIkuw7yQ8nyeU+Eo6HZ3meT3AYHK/Go/EMY8TLepgE5wPEZ9IZkoKSQgxM1U1cOmtxuC70Jdju&#10;OcQ+8SYhJWtL2pKOZpPpBEswdGuFLsHQeGQMtu76A6eVWCutUwqEervUgexYckz+JF/fdPTHs1Rl&#10;xaDp33VXvZcaycRTK0g8eJTQ4heiqQcjBSVa4o9LEXbKisiU/v0yBsVsrf/xGgXRNiXJztNHsmkI&#10;vewp2jpx6KaRpR36pdPx6O1kyNt7jG//58U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YtxrZNgA&#10;AAAKAQAADwAAAAAAAAABACAAAAAiAAAAZHJzL2Rvd25yZXYueG1sUEsBAhQAFAAAAAgAh07iQGFT&#10;rHcfAgAAFwQAAA4AAAAAAAAAAQAgAAAAJwEAAGRycy9lMm9Eb2MueG1sUEsFBgAAAAAGAAYAWQEA&#10;ALgFAAAAAA==&#10;">
                <v:fill on="f" focussize="0,0"/>
                <v:stroke weight="2.25pt" color="#00B0F0" joinstyle="round" endarrow="block"/>
                <v:imagedata o:title=""/>
                <o:lock v:ext="edit" aspectratio="f"/>
              </v:shape>
            </w:pict>
          </mc:Fallback>
        </mc:AlternateContent>
      </w:r>
      <w:r>
        <mc:AlternateContent>
          <mc:Choice Requires="wps">
            <w:drawing>
              <wp:anchor distT="0" distB="0" distL="114300" distR="114300" simplePos="0" relativeHeight="251679744" behindDoc="0" locked="0" layoutInCell="1" allowOverlap="1">
                <wp:simplePos x="0" y="0"/>
                <wp:positionH relativeFrom="column">
                  <wp:posOffset>2551430</wp:posOffset>
                </wp:positionH>
                <wp:positionV relativeFrom="paragraph">
                  <wp:posOffset>3237230</wp:posOffset>
                </wp:positionV>
                <wp:extent cx="488950" cy="482600"/>
                <wp:effectExtent l="38100" t="38100" r="6350" b="12700"/>
                <wp:wrapNone/>
                <wp:docPr id="1965346760" name="直接箭头连接符 33"/>
                <wp:cNvGraphicFramePr/>
                <a:graphic xmlns:a="http://schemas.openxmlformats.org/drawingml/2006/main">
                  <a:graphicData uri="http://schemas.microsoft.com/office/word/2010/wordprocessingShape">
                    <wps:wsp>
                      <wps:cNvCnPr/>
                      <wps:spPr>
                        <a:xfrm flipH="1" flipV="1">
                          <a:off x="0" y="0"/>
                          <a:ext cx="488950" cy="482600"/>
                        </a:xfrm>
                        <a:prstGeom prst="straightConnector1">
                          <a:avLst/>
                        </a:prstGeom>
                        <a:ln w="28575" cap="flat" cmpd="sng">
                          <a:solidFill>
                            <a:srgbClr val="00B0F0"/>
                          </a:solidFill>
                          <a:prstDash val="solid"/>
                          <a:headEnd type="none" w="med" len="med"/>
                          <a:tailEnd type="triangle" w="med" len="med"/>
                        </a:ln>
                        <a:effectLst/>
                      </wps:spPr>
                      <wps:bodyPr/>
                    </wps:wsp>
                  </a:graphicData>
                </a:graphic>
              </wp:anchor>
            </w:drawing>
          </mc:Choice>
          <mc:Fallback>
            <w:pict>
              <v:shape id="直接箭头连接符 33" o:spid="_x0000_s1026" o:spt="32" type="#_x0000_t32" style="position:absolute;left:0pt;flip:x y;margin-left:200.9pt;margin-top:254.9pt;height:38pt;width:38.5pt;z-index:251679744;mso-width-relative:page;mso-height-relative:page;" filled="f" stroked="t" coordsize="21600,21600" o:gfxdata="UEsDBAoAAAAAAIdO4kAAAAAAAAAAAAAAAAAEAAAAZHJzL1BLAwQUAAAACACHTuJAsCo3x9oAAAAL&#10;AQAADwAAAGRycy9kb3ducmV2LnhtbE2PS0/DMBCE70j8B2uRuFTUDuojDXEqFBRxQ2qhUo9uvCSG&#10;2I5s9/XvWU5wm90ZzX5bri92YCcM0XgnIZsKYOhar43rJHy8Nw85sJiU02rwDiVcMcK6ur0pVaH9&#10;2W3wtE0doxIXCyWhT2ksOI9tj1bFqR/Rkffpg1WJxtBxHdSZyu3AH4VYcKuMowu9GrHusf3eHq2E&#10;9NwsJvvXulnuQ3gxZnd9+5rUUt7fZeIJWMJL+gvDLz6hQ0VMB390OrJBwkxkhJ4kzMWKBCVmy5zE&#10;gTb5PAdelfz/D9UPUEsDBBQAAAAIAIdO4kAEAjc3JQIAACEEAAAOAAAAZHJzL2Uyb0RvYy54bWyt&#10;U0uOEzEQ3SNxB8t70j35TSZKZyQSAgsEkfjsHbe725J/cnnSySW4ABIrhhWwmj2ngeEYlN2ZMAxC&#10;mgWbVrnL9areq+fZ+U4rshUepDUFPenllAjDbSlNXdA3r1ePJpRAYKZkyhpR0L0Aej5/+GDWuqno&#10;28aqUniCIAamrStoE4KbZhnwRmgGPeuEwWRlvWYBj77OSs9aRNcq6+f5OGutL523XADg32WXpAdE&#10;fx9AW1WSi6XlF1qY0KF6oVhAStBIB3Sepq0qwcPLqgIRiCooMg3pi00w3sRvNp+xae2ZayQ/jMDu&#10;M8IdTppJg02PUEsWGLnw8i8oLbm3YKvQ41ZnHZGkCLI4ye9o86phTiQuKDW4o+jw/2D5i+3aE1mi&#10;E87Go8FwfDpGaQzTuPnr91c/3l1ef/3y/ePVz28fYvz5ExkMomitgynWLszaH07g1j4qsKu8JpWS&#10;7hli0hS9jVHMIV+yS+Lvj+KLXSAcfw4nk7MR9uaYGk764zwtJ+sAY7HzEJ4Kq0kMCgrBM1k3YWGN&#10;wTVb37Vg2+cQcCQsvCmIxcqQtqD9yeh0hC0Y+rZCv2CoHXIHU6f5wCpZrqRSsQR8vVkoT7Yseid/&#10;nK9uJvrjWuyyZNB091Kqc1UjWPnElCTsHYpp8DHROIMWJSVK4NuLUfJfYFL9vhm8ZKZW/7iNvJSJ&#10;44nk7gPZuI5uATHa2HKf9pLFEzonyXFwebTm7TPGt1/2/B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wKjfH2gAAAAsBAAAPAAAAAAAAAAEAIAAAACIAAABkcnMvZG93bnJldi54bWxQSwECFAAUAAAA&#10;CACHTuJABAI3NyUCAAAhBAAADgAAAAAAAAABACAAAAApAQAAZHJzL2Uyb0RvYy54bWxQSwUGAAAA&#10;AAYABgBZAQAAwAUAAAAA&#10;">
                <v:fill on="f" focussize="0,0"/>
                <v:stroke weight="2.25pt" color="#00B0F0" joinstyle="round" endarrow="block"/>
                <v:imagedata o:title=""/>
                <o:lock v:ext="edit" aspectratio="f"/>
              </v:shape>
            </w:pict>
          </mc:Fallback>
        </mc:AlternateContent>
      </w:r>
      <w:r>
        <mc:AlternateContent>
          <mc:Choice Requires="wps">
            <w:drawing>
              <wp:anchor distT="0" distB="0" distL="114300" distR="114300" simplePos="0" relativeHeight="251678720" behindDoc="0" locked="0" layoutInCell="1" allowOverlap="1">
                <wp:simplePos x="0" y="0"/>
                <wp:positionH relativeFrom="column">
                  <wp:posOffset>3510280</wp:posOffset>
                </wp:positionH>
                <wp:positionV relativeFrom="paragraph">
                  <wp:posOffset>4710430</wp:posOffset>
                </wp:positionV>
                <wp:extent cx="488950" cy="482600"/>
                <wp:effectExtent l="38100" t="38100" r="6350" b="12700"/>
                <wp:wrapNone/>
                <wp:docPr id="617135184" name="直接箭头连接符 32"/>
                <wp:cNvGraphicFramePr/>
                <a:graphic xmlns:a="http://schemas.openxmlformats.org/drawingml/2006/main">
                  <a:graphicData uri="http://schemas.microsoft.com/office/word/2010/wordprocessingShape">
                    <wps:wsp>
                      <wps:cNvCnPr/>
                      <wps:spPr>
                        <a:xfrm flipH="1" flipV="1">
                          <a:off x="0" y="0"/>
                          <a:ext cx="488950" cy="482600"/>
                        </a:xfrm>
                        <a:prstGeom prst="straightConnector1">
                          <a:avLst/>
                        </a:prstGeom>
                        <a:ln w="28575" cap="flat" cmpd="sng">
                          <a:solidFill>
                            <a:srgbClr val="00B0F0"/>
                          </a:solidFill>
                          <a:prstDash val="solid"/>
                          <a:headEnd type="none" w="med" len="med"/>
                          <a:tailEnd type="triangle" w="med" len="med"/>
                        </a:ln>
                        <a:effectLst/>
                      </wps:spPr>
                      <wps:bodyPr/>
                    </wps:wsp>
                  </a:graphicData>
                </a:graphic>
              </wp:anchor>
            </w:drawing>
          </mc:Choice>
          <mc:Fallback>
            <w:pict>
              <v:shape id="直接箭头连接符 32" o:spid="_x0000_s1026" o:spt="32" type="#_x0000_t32" style="position:absolute;left:0pt;flip:x y;margin-left:276.4pt;margin-top:370.9pt;height:38pt;width:38.5pt;z-index:251678720;mso-width-relative:page;mso-height-relative:page;" filled="f" stroked="t" coordsize="21600,21600" o:gfxdata="UEsDBAoAAAAAAIdO4kAAAAAAAAAAAAAAAAAEAAAAZHJzL1BLAwQUAAAACACHTuJAFv1Z2tsAAAAL&#10;AQAADwAAAGRycy9kb3ducmV2LnhtbE2PzU7DMBCE70i8g7VIXCrqJKJJCHEqFBRxQ2oBqUc3XhJD&#10;bEe2+/f2LCe4zWpGM9/W67OZ2BF90M4KSJcJMLS9U9oOAt7fursSWIjSKjk5iwIuGGDdXF/VslLu&#10;ZDd43MaBUYkNlRQwxjhXnId+RCPD0s1oyft03shIpx+48vJE5WbiWZLk3EhtaWGUM7Yj9t/bgxEQ&#10;n7p8sXtpu2Ln/bPWH5fXr0UrxO1NmjwCi3iOf2H4xSd0aIhp7w5WBTYJWK0yQo8CivuUBCXy7IHE&#10;XkCZFiXwpub/f2h+AFBLAwQUAAAACACHTuJAbpW2kSYCAAAgBAAADgAAAGRycy9lMm9Eb2MueG1s&#10;rVPNjtMwEL4j8Q6W7zRpt90NVdOVaCkcEFTi5+46TmLJf/J4m/YleAEkTsAJOO2dp4HlMRg73bIs&#10;QtoDl2ic8Xwz3zefZ+c7rchWeJDWlHQ4yCkRhttKmqakr1+tHhSUQGCmYsoaUdK9AHo+v39v1rmp&#10;GNnWqkp4giAGpp0raRuCm2YZ8FZoBgPrhMFkbb1mAY++ySrPOkTXKhvl+WnWWV85b7kAwL/LPkkP&#10;iP4ugLauJRdLyy+0MKFH9UKxgJSglQ7oPE1b14KHF3UNIhBVUmQa0hebYLyJ32w+Y9PGM9dKfhiB&#10;3WWEW5w0kwabHqGWLDBy4eVfUFpyb8HWYcCtznoiSRFkMcxvafOyZU4kLig1uKPo8P9g+fPt2hNZ&#10;lfR0eDY8mQyLMSWGaVz81bvLH28/Xn398v3D5c9v72P8+RM5GUXNOgdTLF2YtT+cwK19FGBXe01q&#10;Jd1TNBdN0ZsYxRzSJbuk/f6ovdgFwvHnuCgeTnArHFPjYnSap91kPWAsdh7CE2E1iUFJIXgmmzYs&#10;rDG4Zev7Fmz7DAKOhIXXBbFYGdKVdFRMzibYgqFta7QLhtohdTBNmg+sktVKKhVLwDebhfJky6J1&#10;8kf56nqiP67FLksGbX8vpXpTtYJVj01Fwt6hmAbfEo0zaFFRogQ+vRgl+wUm1e+bwUtmGvWP28hL&#10;mTieSOY+kI3r6BcQo42t9mkvWTyhcZIcB5NHZ948Y3zzYc9/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Bb9WdrbAAAACwEAAA8AAAAAAAAAAQAgAAAAIgAAAGRycy9kb3ducmV2LnhtbFBLAQIUABQA&#10;AAAIAIdO4kBulbaRJgIAACAEAAAOAAAAAAAAAAEAIAAAACoBAABkcnMvZTJvRG9jLnhtbFBLBQYA&#10;AAAABgAGAFkBAADCBQAAAAA=&#10;">
                <v:fill on="f" focussize="0,0"/>
                <v:stroke weight="2.25pt" color="#00B0F0" joinstyle="round" endarrow="block"/>
                <v:imagedata o:title=""/>
                <o:lock v:ext="edit" aspectratio="f"/>
              </v:shape>
            </w:pict>
          </mc:Fallback>
        </mc:AlternateContent>
      </w:r>
      <w:r>
        <mc:AlternateContent>
          <mc:Choice Requires="wps">
            <w:drawing>
              <wp:anchor distT="0" distB="0" distL="114300" distR="114300" simplePos="0" relativeHeight="251673600" behindDoc="0" locked="0" layoutInCell="1" allowOverlap="1">
                <wp:simplePos x="0" y="0"/>
                <wp:positionH relativeFrom="column">
                  <wp:posOffset>2287905</wp:posOffset>
                </wp:positionH>
                <wp:positionV relativeFrom="paragraph">
                  <wp:posOffset>4424680</wp:posOffset>
                </wp:positionV>
                <wp:extent cx="244475" cy="555625"/>
                <wp:effectExtent l="19050" t="38100" r="22225" b="0"/>
                <wp:wrapNone/>
                <wp:docPr id="1532011865" name="直接箭头连接符 31"/>
                <wp:cNvGraphicFramePr/>
                <a:graphic xmlns:a="http://schemas.openxmlformats.org/drawingml/2006/main">
                  <a:graphicData uri="http://schemas.microsoft.com/office/word/2010/wordprocessingShape">
                    <wps:wsp>
                      <wps:cNvCnPr/>
                      <wps:spPr>
                        <a:xfrm flipV="1">
                          <a:off x="0" y="0"/>
                          <a:ext cx="244475" cy="555625"/>
                        </a:xfrm>
                        <a:prstGeom prst="straightConnector1">
                          <a:avLst/>
                        </a:prstGeom>
                        <a:ln w="28575" cap="flat" cmpd="sng">
                          <a:solidFill>
                            <a:srgbClr val="00B0F0"/>
                          </a:solidFill>
                          <a:prstDash val="solid"/>
                          <a:headEnd type="none" w="med" len="med"/>
                          <a:tailEnd type="triangle" w="med" len="med"/>
                        </a:ln>
                        <a:effectLst/>
                      </wps:spPr>
                      <wps:bodyPr/>
                    </wps:wsp>
                  </a:graphicData>
                </a:graphic>
              </wp:anchor>
            </w:drawing>
          </mc:Choice>
          <mc:Fallback>
            <w:pict>
              <v:shape id="直接箭头连接符 31" o:spid="_x0000_s1026" o:spt="32" type="#_x0000_t32" style="position:absolute;left:0pt;flip:y;margin-left:180.15pt;margin-top:348.4pt;height:43.75pt;width:19.25pt;z-index:251673600;mso-width-relative:page;mso-height-relative:page;" filled="f" stroked="t" coordsize="21600,21600" o:gfxdata="UEsDBAoAAAAAAIdO4kAAAAAAAAAAAAAAAAAEAAAAZHJzL1BLAwQUAAAACACHTuJA/o515doAAAAL&#10;AQAADwAAAGRycy9kb3ducmV2LnhtbE2PTU+DQBCG7yb+h82YeLMLQpBSlh5qTUw89SPxurAjkLKz&#10;hN2W2l/veNLbTObJO89brq92EBecfO9IQbyIQCA1zvTUKjge3p5yED5oMnpwhAq+0cO6ur8rdWHc&#10;TDu87EMrOIR8oRV0IYyFlL7p0Gq/cCMS377cZHXgdWqlmfTM4XaQz1GUSat74g+dHnHTYXPan62C&#10;3ZziZ4z18bbdbtrmIz280+1VqceHOFqBCHgNfzD86rM6VOxUuzMZLwYFSRYljCrIlhl3YCJZ5jzU&#10;Cl7yNAFZlfJ/h+oHUEsDBBQAAAAIAIdO4kBvUakTHgIAABcEAAAOAAAAZHJzL2Uyb0RvYy54bWyt&#10;U8uO0zAU3SPxD5b3NGmnKVXUdCRaygbBSDz2ruMklvySr6dpf4IfQGIFrIDV7PkaGD6Da6eUYRDS&#10;LNhE17HvOfccHy/O91qRnfAgranoeJRTIgy3tTRtRV+93DyYUwKBmZopa0RFDwLo+fL+vUXvSjGx&#10;nVW18ARBDJS9q2gXgiuzDHgnNIORdcLgZmO9ZgGXvs1qz3pE1yqb5Pks662vnbdcAODf9bBJj4j+&#10;LoC2aSQXa8svtTBhQPVCsYCSoJMO6DJN2zSCh+dNAyIQVVFUGtIXSbDexm+2XLCy9cx1kh9HYHcZ&#10;4ZYmzaRB0hPUmgVGLr38C0pL7i3YJoy41dkgJDmCKsb5LW9edMyJpAWtBncyHf4fLH+2u/BE1piE&#10;4gxHGM9nBSWGabz567dX3998uP7y+dv7qx9f38X600dyNo6m9Q5K7F2ZC39cgbvw0YF94zVplHSv&#10;ETN5girJPll+OFku9oFw/DmZTqcPkZHjVlEUs0kR0bMBJsI5D+GJsJrEoqIQPJNtF1bWGLxc6wcK&#10;tnsKYWj81RCblSE9csyLRMEwrQ2mBNm0Q8Vg2jQfWCXrjVQqtoBvtyvlyY7FxOSP8k0KCU70x7HI&#10;smbQDefS1pClTrD6salJODi00OATonEGLWpKlMAXFyuclJWBSfX7ZPCSmVb94zTSKxObRMr0UWy8&#10;hMH2WG1tfUi3kcUV5iX5eMx2DOTNNdY33/PyJ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P6OdeXa&#10;AAAACwEAAA8AAAAAAAAAAQAgAAAAIgAAAGRycy9kb3ducmV2LnhtbFBLAQIUABQAAAAIAIdO4kBv&#10;UakTHgIAABcEAAAOAAAAAAAAAAEAIAAAACkBAABkcnMvZTJvRG9jLnhtbFBLBQYAAAAABgAGAFkB&#10;AAC5BQAAAAA=&#10;">
                <v:fill on="f" focussize="0,0"/>
                <v:stroke weight="2.25pt" color="#00B0F0" joinstyle="round" endarrow="block"/>
                <v:imagedata o:title=""/>
                <o:lock v:ext="edit" aspectratio="f"/>
              </v:shape>
            </w:pict>
          </mc:Fallback>
        </mc:AlternateContent>
      </w:r>
      <w:r>
        <mc:AlternateContent>
          <mc:Choice Requires="wps">
            <w:drawing>
              <wp:anchor distT="0" distB="0" distL="114300" distR="114300" simplePos="0" relativeHeight="251676672" behindDoc="0" locked="0" layoutInCell="1" allowOverlap="1">
                <wp:simplePos x="0" y="0"/>
                <wp:positionH relativeFrom="column">
                  <wp:posOffset>4634230</wp:posOffset>
                </wp:positionH>
                <wp:positionV relativeFrom="paragraph">
                  <wp:posOffset>1306830</wp:posOffset>
                </wp:positionV>
                <wp:extent cx="584200" cy="388620"/>
                <wp:effectExtent l="38100" t="38100" r="6350" b="11430"/>
                <wp:wrapNone/>
                <wp:docPr id="1346442280" name="直接箭头连接符 30"/>
                <wp:cNvGraphicFramePr/>
                <a:graphic xmlns:a="http://schemas.openxmlformats.org/drawingml/2006/main">
                  <a:graphicData uri="http://schemas.microsoft.com/office/word/2010/wordprocessingShape">
                    <wps:wsp>
                      <wps:cNvCnPr/>
                      <wps:spPr>
                        <a:xfrm flipH="1" flipV="1">
                          <a:off x="0" y="0"/>
                          <a:ext cx="584200" cy="388620"/>
                        </a:xfrm>
                        <a:prstGeom prst="straightConnector1">
                          <a:avLst/>
                        </a:prstGeom>
                        <a:ln w="28575" cap="flat" cmpd="sng">
                          <a:solidFill>
                            <a:srgbClr val="00B0F0"/>
                          </a:solidFill>
                          <a:prstDash val="solid"/>
                          <a:round/>
                          <a:headEnd type="none" w="med" len="med"/>
                          <a:tailEnd type="triangle" w="med" len="med"/>
                        </a:ln>
                      </wps:spPr>
                      <wps:bodyPr/>
                    </wps:wsp>
                  </a:graphicData>
                </a:graphic>
              </wp:anchor>
            </w:drawing>
          </mc:Choice>
          <mc:Fallback>
            <w:pict>
              <v:shape id="直接箭头连接符 30" o:spid="_x0000_s1026" o:spt="32" type="#_x0000_t32" style="position:absolute;left:0pt;flip:x y;margin-left:364.9pt;margin-top:102.9pt;height:30.6pt;width:46pt;z-index:251676672;mso-width-relative:page;mso-height-relative:page;" filled="f" stroked="t" coordsize="21600,21600" o:gfxdata="UEsDBAoAAAAAAIdO4kAAAAAAAAAAAAAAAAAEAAAAZHJzL1BLAwQUAAAACACHTuJAx+jqJNkAAAAL&#10;AQAADwAAAGRycy9kb3ducmV2LnhtbE2PT0vEMBDF74LfIYzgZXGTFmzX2nSRSvEmuCrsMdvENtpM&#10;SpL99+0dT+7tzbzHm9/U65Ob2MGEaD1KyJYCmMHea4uDhI/37m4FLCaFWk0ejYSzibBurq9qVWl/&#10;xDdz2KSBUQnGSkkYU5orzmM/Gqfi0s8GyfvywalEYxi4DupI5W7iuRAFd8oiXRjVbNrR9D+bvZOQ&#10;nrpisX1pu3IbwrO1n+fX70Ur5e1NJh6BJXNK/2H4wyd0aIhp5/eoI5sklPkDoScJubgnQYlVnpHY&#10;0aYoBfCm5pc/NL9QSwMEFAAAAAgAh07iQEQ6QrwiAgAAHQQAAA4AAABkcnMvZTJvRG9jLnhtbK1T&#10;S44TMRDdI3EHy3vSPZ0PrSidkUgILBBE4rN3bHe3Jf9kO+nkElwAiRWwAlaz5zQwHIOyO5PAIKRZ&#10;sLHKLteres/Ps8u9kmjHnRdGV/hikGPENTVM6KbCr1+tHpQY+UA0I9JoXuED9/hyfv/erLNTXpjW&#10;SMYdAhDtp52tcBuCnWaZpy1XxA+M5RqStXGKBNi6JmOOdICuZFbk+STrjGPWGcq9h9Nln8RHRHcX&#10;QFPXgvKloVvFdehRHZckACXfCuvxPE1b15yGF3XteUCywsA0pBWaQLyJazafkWnjiG0FPY5A7jLC&#10;LU6KCA1NT1BLEgjaOvEXlBLUGW/qMKBGZT2RpAiwuMhvafOyJZYnLiC1tyfR/f+Dpc93a4cEAycM&#10;R5PRqChKkEYTBS9//e7qx9uP11+/fP9w9fPb+xh//oSGSbTO+inULvTagYRx5+3aRQX2tVOolsI+&#10;BUycojcxijngi/ZJ/MNJfL4PiMLhuByBPTCikBqW5aRIfbIeMBZb58MTbhSKQYV9cEQ0bVgYreGZ&#10;jetbkN0zH2AkKLwpiMVSo67CRTl+OIYWBHxbg18gVBa4e92k+byRgq2ElLHEu2azkA7tSPRO/ihf&#10;3Uz0x7XYZUl8299Lqd5Vzmw1S/5qOWGPNUPhYEFWDd8Kx2kUZxhJDr8wRulmIEKebwYniG7kP24D&#10;Q6mB6Fn8GG0MO6Q3SefgmiTF0eHRlr/vU/X5V89/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Mfo&#10;6iTZAAAACwEAAA8AAAAAAAAAAQAgAAAAIgAAAGRycy9kb3ducmV2LnhtbFBLAQIUABQAAAAIAIdO&#10;4kBEOkK8IgIAAB0EAAAOAAAAAAAAAAEAIAAAACgBAABkcnMvZTJvRG9jLnhtbFBLBQYAAAAABgAG&#10;AFkBAAC8BQAAAAA=&#10;">
                <v:fill on="f" focussize="0,0"/>
                <v:stroke weight="2.25pt" color="#00B0F0" joinstyle="round" endarrow="block"/>
                <v:imagedata o:title=""/>
                <o:lock v:ext="edit" aspectratio="f"/>
              </v:shape>
            </w:pict>
          </mc:Fallback>
        </mc:AlternateContent>
      </w:r>
      <w:r>
        <mc:AlternateContent>
          <mc:Choice Requires="wps">
            <w:drawing>
              <wp:anchor distT="0" distB="0" distL="114300" distR="114300" simplePos="0" relativeHeight="251677696" behindDoc="0" locked="0" layoutInCell="1" allowOverlap="1">
                <wp:simplePos x="0" y="0"/>
                <wp:positionH relativeFrom="column">
                  <wp:posOffset>3884930</wp:posOffset>
                </wp:positionH>
                <wp:positionV relativeFrom="paragraph">
                  <wp:posOffset>1586230</wp:posOffset>
                </wp:positionV>
                <wp:extent cx="57150" cy="501650"/>
                <wp:effectExtent l="57150" t="38100" r="38100" b="0"/>
                <wp:wrapNone/>
                <wp:docPr id="1252237313" name="直接箭头连接符 29"/>
                <wp:cNvGraphicFramePr/>
                <a:graphic xmlns:a="http://schemas.openxmlformats.org/drawingml/2006/main">
                  <a:graphicData uri="http://schemas.microsoft.com/office/word/2010/wordprocessingShape">
                    <wps:wsp>
                      <wps:cNvCnPr/>
                      <wps:spPr>
                        <a:xfrm flipV="1">
                          <a:off x="0" y="0"/>
                          <a:ext cx="57150" cy="501650"/>
                        </a:xfrm>
                        <a:prstGeom prst="straightConnector1">
                          <a:avLst/>
                        </a:prstGeom>
                        <a:ln w="28575" cap="flat" cmpd="sng">
                          <a:solidFill>
                            <a:srgbClr val="00B0F0"/>
                          </a:solidFill>
                          <a:prstDash val="solid"/>
                          <a:round/>
                          <a:headEnd type="none" w="med" len="med"/>
                          <a:tailEnd type="triangle" w="med" len="med"/>
                        </a:ln>
                      </wps:spPr>
                      <wps:bodyPr/>
                    </wps:wsp>
                  </a:graphicData>
                </a:graphic>
              </wp:anchor>
            </w:drawing>
          </mc:Choice>
          <mc:Fallback>
            <w:pict>
              <v:shape id="直接箭头连接符 29" o:spid="_x0000_s1026" o:spt="32" type="#_x0000_t32" style="position:absolute;left:0pt;flip:y;margin-left:305.9pt;margin-top:124.9pt;height:39.5pt;width:4.5pt;z-index:251677696;mso-width-relative:page;mso-height-relative:page;" filled="f" stroked="t" coordsize="21600,21600" o:gfxdata="UEsDBAoAAAAAAIdO4kAAAAAAAAAAAAAAAAAEAAAAZHJzL1BLAwQUAAAACACHTuJA/F7c79kAAAAL&#10;AQAADwAAAGRycy9kb3ducmV2LnhtbE2PzU7DMBCE70i8g7VI3KidEEUhxOmhFAmJU38krk68JBHx&#10;OordpvTpWU5wm9WMZr6t1hc3ijPOYfCkIVkpEEittwN1Go6H14cCRIiGrBk9oYZvDLCub28qU1q/&#10;0A7P+9gJLqFQGg19jFMpZWh7dCas/ITE3qefnYl8zp20s1m43I0yVSqXzgzEC72ZcNNj+7U/OQ27&#10;JcOPBJvjdbvddO17dnij64vW93eJegYR8RL/wvCLz+hQM1PjT2SDGDXkScLoUUOaPbHgRJ4qFo2G&#10;x7QoQNaV/P9D/QNQSwMEFAAAAAgAh07iQHvQv6MfAgAAEgQAAA4AAABkcnMvZTJvRG9jLnhtbK1T&#10;zY7TMBC+I/EOlu80aapsl6jpSrSUC4JK/Nxd20ks+U+227QvwQsgcQJOC6e98zSwPAZjp9uFRUh7&#10;4GKNPTPfzHzzeXaxVxLtuPPC6BqPRzlGXFPDhG5r/Ob16tE5Rj4QzYg0mtf4wD2+mD98MOttxQvT&#10;Gcm4QwCifdXbGnch2CrLPO24In5kLNfgbIxTJMDVtRlzpAd0JbMiz8+y3jhmnaHce3hdDk58RHT3&#10;ATRNIyhfGrpVXIcB1XFJAozkO2E9nqdum4bT8LJpPA9I1hgmDemEImBv4pnNZ6RqHbGdoMcWyH1a&#10;uDOTIkJD0RPUkgSCtk78BaUEdcabJoyoUdkwSGIEphjnd7h51RHL0yxAtbcn0v3/g6UvdmuHBAMl&#10;FGVRTKaT8QQjTRRs/vr91Y93n66/fvn+8erntw/RvvyMiseRtN76CnIXeu2ON2/XLjKwb5xCjRT2&#10;LWAmTmBKtE+UH06U831AFB7L6biEXVDwlPn4DGyAywaUiGadD8+4USgaNfbBEdF2YWG0ht0aN1Qg&#10;u+c+DIk3CTFZatTXuDgvpyWUICDWBkQCprIwsNdtas8bKdhKSBlTvGs3C+nQjkTB5E/y1U1Hf4TF&#10;KkviuyEuuQYpObPVDDohVccJe6oZCgcLXGr4Szh2ozjDSHL4etFKkYEIeRsZnCC6lf+IBmqkBoYi&#10;/wPj0doYdkiLSO8glcThUdZRi7/fU/btV57/A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Pxe3O/Z&#10;AAAACwEAAA8AAAAAAAAAAQAgAAAAIgAAAGRycy9kb3ducmV2LnhtbFBLAQIUABQAAAAIAIdO4kB7&#10;0L+jHwIAABIEAAAOAAAAAAAAAAEAIAAAACgBAABkcnMvZTJvRG9jLnhtbFBLBQYAAAAABgAGAFkB&#10;AAC5BQAAAAA=&#10;">
                <v:fill on="f" focussize="0,0"/>
                <v:stroke weight="2.25pt" color="#00B0F0" joinstyle="round" endarrow="block"/>
                <v:imagedata o:title=""/>
                <o:lock v:ext="edit" aspectratio="f"/>
              </v:shape>
            </w:pict>
          </mc:Fallback>
        </mc:AlternateContent>
      </w:r>
      <w:r>
        <mc:AlternateContent>
          <mc:Choice Requires="wps">
            <w:drawing>
              <wp:anchor distT="0" distB="0" distL="114300" distR="114300" simplePos="0" relativeHeight="251672576" behindDoc="0" locked="0" layoutInCell="1" allowOverlap="1">
                <wp:simplePos x="0" y="0"/>
                <wp:positionH relativeFrom="column">
                  <wp:posOffset>2024380</wp:posOffset>
                </wp:positionH>
                <wp:positionV relativeFrom="paragraph">
                  <wp:posOffset>1738630</wp:posOffset>
                </wp:positionV>
                <wp:extent cx="311150" cy="330200"/>
                <wp:effectExtent l="19050" t="38100" r="31750" b="12700"/>
                <wp:wrapNone/>
                <wp:docPr id="1286753316" name="直接箭头连接符 28"/>
                <wp:cNvGraphicFramePr/>
                <a:graphic xmlns:a="http://schemas.openxmlformats.org/drawingml/2006/main">
                  <a:graphicData uri="http://schemas.microsoft.com/office/word/2010/wordprocessingShape">
                    <wps:wsp>
                      <wps:cNvCnPr/>
                      <wps:spPr>
                        <a:xfrm flipV="1">
                          <a:off x="0" y="0"/>
                          <a:ext cx="311150" cy="330200"/>
                        </a:xfrm>
                        <a:prstGeom prst="straightConnector1">
                          <a:avLst/>
                        </a:prstGeom>
                        <a:ln w="28575" cap="flat" cmpd="sng">
                          <a:solidFill>
                            <a:srgbClr val="00B0F0"/>
                          </a:solidFill>
                          <a:prstDash val="solid"/>
                          <a:round/>
                          <a:headEnd type="none" w="med" len="med"/>
                          <a:tailEnd type="triangle" w="med" len="med"/>
                        </a:ln>
                      </wps:spPr>
                      <wps:bodyPr/>
                    </wps:wsp>
                  </a:graphicData>
                </a:graphic>
              </wp:anchor>
            </w:drawing>
          </mc:Choice>
          <mc:Fallback>
            <w:pict>
              <v:shape id="直接箭头连接符 28" o:spid="_x0000_s1026" o:spt="32" type="#_x0000_t32" style="position:absolute;left:0pt;flip:y;margin-left:159.4pt;margin-top:136.9pt;height:26pt;width:24.5pt;z-index:251672576;mso-width-relative:page;mso-height-relative:page;" filled="f" stroked="t" coordsize="21600,21600" o:gfxdata="UEsDBAoAAAAAAIdO4kAAAAAAAAAAAAAAAAAEAAAAZHJzL1BLAwQUAAAACACHTuJA4khygNkAAAAL&#10;AQAADwAAAGRycy9kb3ducmV2LnhtbE2Py07DMBBF90j8gzVI7KjzKG2UxumiFAmJVR8SWycekqjx&#10;OIrdpvTrGVZ0d0ZzdedMsb7aXlxw9J0jBfEsAoFUO9NRo+B4eH/JQPigyejeESr4QQ/r8vGh0Llx&#10;E+3wsg+N4BLyuVbQhjDkUvq6Rav9zA1IvPt2o9WBx7GRZtQTl9teJlG0kFZ3xBdaPeCmxfq0P1sF&#10;u2mOXzFWx9t2u2nqz/nhg25vSj0/xdEKRMBr+A/Dnz6rQ8lOlTuT8aJXkMYZqwcFyTJl4ES6WDJU&#10;DMlrBrIs5P0P5S9QSwMEFAAAAAgAh07iQGEQzUsfAgAAEwQAAA4AAABkcnMvZTJvRG9jLnhtbK1T&#10;zY7TMBC+I/EOlu80SaN2q6jpSrSUC4JK/Nxd20ks+U+227QvwQsgcQJOwGnvPA0sj8HY6XZhEdIe&#10;uFhjz8w3M998nl8elER77rwwusbFKMeIa2qY0G2NX79aP5ph5APRjEijeY2P3OPLxcMH895WfGw6&#10;Ixl3CEC0r3pb4y4EW2WZpx1XxI+M5RqcjXGKBLi6NmOO9ICuZDbO82nWG8esM5R7D6+rwYlPiO4+&#10;gKZpBOUrQ3eK6zCgOi5JgJF8J6zHi9Rt03AaXjSN5wHJGsOkIZ1QBOxtPLPFnFStI7YT9NQCuU8L&#10;d2ZSRGgoeoZakUDQzom/oJSgznjThBE1KhsGSYzAFEV+h5uXHbE8zQJUe3sm3f8/WPp8v3FIMFDC&#10;eDa9mJRlMcVIEwWbv3539ePtx+uvX75/uPr57X20P39C41kkrbe+gtyl3rjTzduNiwwcGqdQI4V9&#10;A5iJE5gSHRLlxzPl/BAQhceyKIoJLIOCqyxzEEhEzwaYCGedD0+5USgaNfbBEdF2YWm0huUaN5Qg&#10;+2c+DIk3CTFZatTXeDybXEygBAG1NqASMJWFib1uU3/eSMHWQsqY4l27XUqH9iQqJn+cr286+iMs&#10;VlkR3w1xyTVoyZmdZtAJqTpO2BPNUDhaIFPDZ8KxG8UZRpLD34tWigxEyNvI4ATRrfxHNFAjNTAU&#10;FzBQHq2tYce0ifQOWkkcnnQdxfj7PWXf/uXFL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OJIcoDZ&#10;AAAACwEAAA8AAAAAAAAAAQAgAAAAIgAAAGRycy9kb3ducmV2LnhtbFBLAQIUABQAAAAIAIdO4kBh&#10;EM1LHwIAABMEAAAOAAAAAAAAAAEAIAAAACgBAABkcnMvZTJvRG9jLnhtbFBLBQYAAAAABgAGAFkB&#10;AAC5BQAAAAA=&#10;">
                <v:fill on="f" focussize="0,0"/>
                <v:stroke weight="2.25pt" color="#00B0F0" joinstyle="round" endarrow="block"/>
                <v:imagedata o:title=""/>
                <o:lock v:ext="edit" aspectratio="f"/>
              </v:shape>
            </w:pict>
          </mc:Fallback>
        </mc:AlternateContent>
      </w:r>
      <w:r>
        <mc:AlternateContent>
          <mc:Choice Requires="wps">
            <w:drawing>
              <wp:anchor distT="0" distB="0" distL="114300" distR="114300" simplePos="0" relativeHeight="251675648" behindDoc="0" locked="0" layoutInCell="1" allowOverlap="1">
                <wp:simplePos x="0" y="0"/>
                <wp:positionH relativeFrom="column">
                  <wp:posOffset>4094480</wp:posOffset>
                </wp:positionH>
                <wp:positionV relativeFrom="paragraph">
                  <wp:posOffset>3097530</wp:posOffset>
                </wp:positionV>
                <wp:extent cx="433070" cy="802640"/>
                <wp:effectExtent l="38100" t="38100" r="5080" b="0"/>
                <wp:wrapNone/>
                <wp:docPr id="1405325218" name="直接箭头连接符 27"/>
                <wp:cNvGraphicFramePr/>
                <a:graphic xmlns:a="http://schemas.openxmlformats.org/drawingml/2006/main">
                  <a:graphicData uri="http://schemas.microsoft.com/office/word/2010/wordprocessingShape">
                    <wps:wsp>
                      <wps:cNvCnPr/>
                      <wps:spPr>
                        <a:xfrm flipH="1" flipV="1">
                          <a:off x="0" y="0"/>
                          <a:ext cx="433070" cy="802640"/>
                        </a:xfrm>
                        <a:prstGeom prst="straightConnector1">
                          <a:avLst/>
                        </a:prstGeom>
                        <a:ln w="28575" cap="flat" cmpd="sng">
                          <a:solidFill>
                            <a:srgbClr val="00B0F0"/>
                          </a:solidFill>
                          <a:prstDash val="solid"/>
                          <a:round/>
                          <a:headEnd type="none" w="med" len="med"/>
                          <a:tailEnd type="triangle" w="med" len="med"/>
                        </a:ln>
                      </wps:spPr>
                      <wps:bodyPr/>
                    </wps:wsp>
                  </a:graphicData>
                </a:graphic>
              </wp:anchor>
            </w:drawing>
          </mc:Choice>
          <mc:Fallback>
            <w:pict>
              <v:shape id="直接箭头连接符 27" o:spid="_x0000_s1026" o:spt="32" type="#_x0000_t32" style="position:absolute;left:0pt;flip:x y;margin-left:322.4pt;margin-top:243.9pt;height:63.2pt;width:34.1pt;z-index:251675648;mso-width-relative:page;mso-height-relative:page;" filled="f" stroked="t" coordsize="21600,21600" o:gfxdata="UEsDBAoAAAAAAIdO4kAAAAAAAAAAAAAAAAAEAAAAZHJzL1BLAwQUAAAACACHTuJAfOzAftoAAAAL&#10;AQAADwAAAGRycy9kb3ducmV2LnhtbE2PT0vEMBDF74LfIYzgZXHTrqVdatNFKsWb4Kqwx2wzttVm&#10;UpLsv2/veNLbPN7jze9Vm7OdxBF9GB0pSJcJCKTOmZF6Be9v7d0aRIiajJ4coYILBtjU11eVLo07&#10;0Sset7EXXEKh1AqGGOdSytANaHVYuhmJvU/nrY4sfS+N1ycut5NcJUkurR6JPwx6xmbA7nt7sAri&#10;Y5svds9NW+y8fxrHj8vL16JR6vYmTR5ARDzHvzD84jM61My0dwcyQUwK8ixj9KggWxd8cKJI73nd&#10;nq00W4GsK/l/Q/0DUEsDBBQAAAAIAIdO4kD1mxkcJQIAAB0EAAAOAAAAZHJzL2Uyb0RvYy54bWyt&#10;U81uEzEQviPxDpbvZDebpImibCqREDggiETh7tjeXUv+k+1kk5fgBZA4QU/Aqfc+DZTHYOxNUyhC&#10;6oGLNfbMfDPfN+PZ+V5JtOPOC6NL3O/lGHFNDRO6LvHbi9WTCUY+EM2INJqX+MA9Pp8/fjRr7ZQX&#10;pjGScYcARPtpa0vchGCnWeZpwxXxPWO5BmdlnCIBrq7OmCMtoCuZFXl+lrXGMesM5d7D67Jz4iOi&#10;ewigqSpB+dLQreI6dKiOSxKAkm+E9Xieuq0qTsPrqvI8IFliYBrSCUXA3sQzm8/ItHbENoIeWyAP&#10;aeEeJ0WEhqInqCUJBG2d+AtKCeqMN1XoUaOyjkhSBFj083vavGmI5YkLSO3tSXT//2Dpq93aIcFg&#10;E4b5aFCMij7MXxMFk7/5cPXj/eebb1+/f7r6ef0x2l8uUTGOorXWTyF3odfuePN27aIC+8opVElh&#10;XwAmTta7aEUf8EX7JP7hJD7fB0ThcTgY5GMYCwXXJC/Ohmk4WQcYk63z4Tk3CkWjxD44IuomLIzW&#10;MGbjuhJk99IHaAkSbxNistSoLXExGY1HUILA3lawL2AqC9y9rlN/3kjBVkLKmOJdvVlIh3Yk7k7+&#10;NF/ddvRHWKyyJL7p4pKr2ypntpql/Wo4Yc80Q+FgQVYN3wrHbhRnGEkOvzBaKTIQIe8igxNE1/If&#10;0cBQaiAaR9GJH62NYYc0k/QOW5OkOG54XMvf7yn77lfPf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B87MB+2gAAAAsBAAAPAAAAAAAAAAEAIAAAACIAAABkcnMvZG93bnJldi54bWxQSwECFAAUAAAA&#10;CACHTuJA9ZsZHCUCAAAdBAAADgAAAAAAAAABACAAAAApAQAAZHJzL2Uyb0RvYy54bWxQSwUGAAAA&#10;AAYABgBZAQAAwAUAAAAA&#10;">
                <v:fill on="f" focussize="0,0"/>
                <v:stroke weight="2.25pt" color="#00B0F0" joinstyle="round" endarrow="block"/>
                <v:imagedata o:title=""/>
                <o:lock v:ext="edit" aspectratio="f"/>
              </v:shape>
            </w:pict>
          </mc:Fallback>
        </mc:AlternateContent>
      </w:r>
      <w:r>
        <mc:AlternateContent>
          <mc:Choice Requires="wps">
            <w:drawing>
              <wp:anchor distT="0" distB="0" distL="114300" distR="114300" simplePos="0" relativeHeight="251668480" behindDoc="0" locked="0" layoutInCell="1" allowOverlap="1">
                <wp:simplePos x="0" y="0"/>
                <wp:positionH relativeFrom="column">
                  <wp:posOffset>2697480</wp:posOffset>
                </wp:positionH>
                <wp:positionV relativeFrom="paragraph">
                  <wp:posOffset>951230</wp:posOffset>
                </wp:positionV>
                <wp:extent cx="431165" cy="351155"/>
                <wp:effectExtent l="19050" t="19050" r="26035" b="29845"/>
                <wp:wrapNone/>
                <wp:docPr id="401678648" name="直接箭头连接符 26"/>
                <wp:cNvGraphicFramePr/>
                <a:graphic xmlns:a="http://schemas.openxmlformats.org/drawingml/2006/main">
                  <a:graphicData uri="http://schemas.microsoft.com/office/word/2010/wordprocessingShape">
                    <wps:wsp>
                      <wps:cNvCnPr/>
                      <wps:spPr>
                        <a:xfrm>
                          <a:off x="0" y="0"/>
                          <a:ext cx="431165" cy="351155"/>
                        </a:xfrm>
                        <a:prstGeom prst="straightConnector1">
                          <a:avLst/>
                        </a:prstGeom>
                        <a:ln w="28575" cap="flat" cmpd="sng">
                          <a:solidFill>
                            <a:srgbClr val="00B0F0"/>
                          </a:solidFill>
                          <a:prstDash val="solid"/>
                          <a:round/>
                          <a:headEnd type="none" w="med" len="med"/>
                          <a:tailEnd type="triangle" w="med" len="med"/>
                        </a:ln>
                      </wps:spPr>
                      <wps:bodyPr/>
                    </wps:wsp>
                  </a:graphicData>
                </a:graphic>
              </wp:anchor>
            </w:drawing>
          </mc:Choice>
          <mc:Fallback>
            <w:pict>
              <v:shape id="直接箭头连接符 26" o:spid="_x0000_s1026" o:spt="32" type="#_x0000_t32" style="position:absolute;left:0pt;margin-left:212.4pt;margin-top:74.9pt;height:27.65pt;width:33.95pt;z-index:251668480;mso-width-relative:page;mso-height-relative:page;" filled="f" stroked="t" coordsize="21600,21600" o:gfxdata="UEsDBAoAAAAAAIdO4kAAAAAAAAAAAAAAAAAEAAAAZHJzL1BLAwQUAAAACACHTuJAGz/jvdsAAAAL&#10;AQAADwAAAGRycy9kb3ducmV2LnhtbE2PwU7DMBBE70j8g7VIXBC1EwXahjg9gBBC9ELLobm5setE&#10;tddR7LTl71lOcJvVjGbeVquLd+xkxtgHlJDNBDCDbdA9Wglf29f7BbCYFGrlAhoJ3ybCqr6+qlSp&#10;wxk/zWmTLKMSjKWS0KU0lJzHtjNexVkYDJJ3CKNXic7Rcj2qM5V7x3MhHrlXPdJCpwbz3Jn2uJm8&#10;hLf1y13zPlmRHdzH/Bi3zQ5tI+XtTSaegCVzSX9h+MUndKiJaR8m1JE5CUVeEHoio1iSoESxzOfA&#10;9hJy8ZABryv+/4f6B1BLAwQUAAAACACHTuJA7D+7khoCAAAIBAAADgAAAGRycy9lMm9Eb2MueG1s&#10;rVNNjtMwFN4jcQfLe5qk03aqqOlItJQNgkowB3BtJ7HkP9lu016CCyCxAlbAavachhmOwbNTWhiE&#10;NAs2ybP93vfe9/nz7GqvJNpx54XRFS4GOUZcU8OEbip8/Wb1ZIqRD0QzIo3mFT5wj6/mjx/NOlvy&#10;oWmNZNwhANG+7GyF2xBsmWWetlwRPzCWazisjVMkwNI1GXOkA3Qls2GeT7LOOGadodx72F32h/iI&#10;6B4CaOpaUL40dKu4Dj2q45IEoORbYT2ep2nrmtPwqq49D0hWGJiG9IUmEG/iN5vPSNk4YltBjyOQ&#10;h4xwj5MiQkPTE9SSBIK2TvwFpQR1xps6DKhRWU8kKQIsivyeNq9bYnniAlJ7exLd/z9Y+nK3dkiw&#10;Co/yYnI5nYzg+jVRcPF3725u3368+/rl+4ebH9/ex/jzJzScRM0660soXei1O668XbsowL52Kv6B&#10;GtonnQ8nnfk+IAqbo4uimIwxonB0MS6K8ThiZudi63x4zo1CMaiwD46Ipg0LozXcqHFF0prsXvjQ&#10;F/4qiJ2lRl2Fh9PxZWxBwKI1WANCZYGm100q9kYKthJSxhLvms1COrQj0Sb503yVnAET/ZEWuyyJ&#10;b/u8dNQbyJmtZjAJKVtO2DPNUDhYkFDDC8JxGsUZRpLDg4tRygxEyHNmcILoRv4jGwaRGhSKsvdC&#10;x2hj2CHpn/bBIEnDo5mjA39fp+rzA57/B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Bs/473bAAAA&#10;CwEAAA8AAAAAAAAAAQAgAAAAIgAAAGRycy9kb3ducmV2LnhtbFBLAQIUABQAAAAIAIdO4kDsP7uS&#10;GgIAAAgEAAAOAAAAAAAAAAEAIAAAACoBAABkcnMvZTJvRG9jLnhtbFBLBQYAAAAABgAGAFkBAAC2&#10;BQAAAAA=&#10;">
                <v:fill on="f" focussize="0,0"/>
                <v:stroke weight="2.25pt" color="#00B0F0" joinstyle="round" endarrow="block"/>
                <v:imagedata o:title=""/>
                <o:lock v:ext="edit" aspectratio="f"/>
              </v:shape>
            </w:pict>
          </mc:Fallback>
        </mc:AlternateContent>
      </w:r>
      <w:r>
        <w:rPr>
          <w:rFonts w:hint="eastAsia"/>
          <w:sz w:val="24"/>
        </w:rPr>
        <w:drawing>
          <wp:inline distT="0" distB="0" distL="114300" distR="114300">
            <wp:extent cx="5307330" cy="5905500"/>
            <wp:effectExtent l="0" t="0" r="7620" b="0"/>
            <wp:docPr id="1005063477" name="图片 1005063477" descr="s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063477" name="图片 1005063477" descr="sl"/>
                    <pic:cNvPicPr>
                      <a:picLocks noChangeAspect="1"/>
                    </pic:cNvPicPr>
                  </pic:nvPicPr>
                  <pic:blipFill>
                    <a:blip r:embed="rId102"/>
                    <a:stretch>
                      <a:fillRect/>
                    </a:stretch>
                  </pic:blipFill>
                  <pic:spPr>
                    <a:xfrm>
                      <a:off x="0" y="0"/>
                      <a:ext cx="5314752" cy="5913597"/>
                    </a:xfrm>
                    <a:prstGeom prst="rect">
                      <a:avLst/>
                    </a:prstGeom>
                  </pic:spPr>
                </pic:pic>
              </a:graphicData>
            </a:graphic>
          </wp:inline>
        </w:drawing>
      </w:r>
      <w:r>
        <mc:AlternateContent>
          <mc:Choice Requires="wps">
            <w:drawing>
              <wp:anchor distT="0" distB="0" distL="114300" distR="114300" simplePos="0" relativeHeight="251669504" behindDoc="0" locked="0" layoutInCell="1" allowOverlap="1">
                <wp:simplePos x="0" y="0"/>
                <wp:positionH relativeFrom="column">
                  <wp:posOffset>3653155</wp:posOffset>
                </wp:positionH>
                <wp:positionV relativeFrom="paragraph">
                  <wp:posOffset>3652520</wp:posOffset>
                </wp:positionV>
                <wp:extent cx="382905" cy="287020"/>
                <wp:effectExtent l="0" t="0" r="0" b="0"/>
                <wp:wrapNone/>
                <wp:docPr id="342356803" name="文本框 25"/>
                <wp:cNvGraphicFramePr/>
                <a:graphic xmlns:a="http://schemas.openxmlformats.org/drawingml/2006/main">
                  <a:graphicData uri="http://schemas.microsoft.com/office/word/2010/wordprocessingShape">
                    <wps:wsp>
                      <wps:cNvSpPr txBox="1"/>
                      <wps:spPr>
                        <a:xfrm>
                          <a:off x="0" y="0"/>
                          <a:ext cx="382905" cy="287020"/>
                        </a:xfrm>
                        <a:prstGeom prst="rect">
                          <a:avLst/>
                        </a:prstGeom>
                        <a:noFill/>
                        <a:ln>
                          <a:noFill/>
                        </a:ln>
                        <a:effectLst/>
                      </wps:spPr>
                      <wps:txbx>
                        <w:txbxContent>
                          <w:p w14:paraId="04572913">
                            <w:pPr>
                              <w:spacing w:before="78"/>
                              <w:ind w:firstLine="480"/>
                              <w:rPr>
                                <w:color w:val="FF0000"/>
                              </w:rPr>
                            </w:pPr>
                            <w:r>
                              <w:rPr>
                                <w:rFonts w:hint="eastAsia"/>
                                <w:color w:val="FF0000"/>
                              </w:rPr>
                              <w:t>1.9</w:t>
                            </w:r>
                          </w:p>
                        </w:txbxContent>
                      </wps:txbx>
                      <wps:bodyPr upright="1"/>
                    </wps:wsp>
                  </a:graphicData>
                </a:graphic>
              </wp:anchor>
            </w:drawing>
          </mc:Choice>
          <mc:Fallback>
            <w:pict>
              <v:shape id="文本框 25" o:spid="_x0000_s1026" o:spt="202" type="#_x0000_t202" style="position:absolute;left:0pt;margin-left:287.65pt;margin-top:287.6pt;height:22.6pt;width:30.15pt;z-index:251669504;mso-width-relative:page;mso-height-relative:page;" filled="f" stroked="f" coordsize="21600,21600" o:gfxdata="UEsDBAoAAAAAAIdO4kAAAAAAAAAAAAAAAAAEAAAAZHJzL1BLAwQUAAAACACHTuJA8TZ0otcAAAAL&#10;AQAADwAAAGRycy9kb3ducmV2LnhtbE2PwU7DMAyG70i8Q+RJ3Fiybi1Qmu4A4gpibEjcssZrqzVO&#10;1WRreXsMl3H7LX/6/blYT64TZxxC60nDYq5AIFXetlRr2H683N6DCNGQNZ0n1PCNAdbl9VVhcutH&#10;esfzJtaCSyjkRkMTY59LGaoGnQlz3yPx7uAHZyKPQy3tYEYud51MlMqkMy3xhcb0+NRgddycnIbd&#10;6+Hrc6Xe6meX9qOflCT3ILW+mS3UI4iIU7zA8KvP6lCy096fyAbRaUjv0iWjfyEBwUS2TDMQew6J&#10;WoEsC/n/h/IHUEsDBBQAAAAIAIdO4kCkJVT1ugEAAGQDAAAOAAAAZHJzL2Uyb0RvYy54bWytU0tu&#10;2zAQ3RfoHQjuaypynbqC5QCFkW6KtkCSA9AUaREQP+DQlnyB5AZdddN9z+VzdEgpTppusuiGGs7n&#10;zbw31OpqMB05yADa2ZpezApKpBWu0XZX07vb63dLSiBy2/DOWVnTowR6tX77ZtX7SpaudV0jA0EQ&#10;C1Xva9rG6CvGQLTScJg5Ly0GlQuGR7yGHWsC7xHddKwsikvWu9D44IQEQO9mDNIJMbwG0Cmlhdw4&#10;sTfSxhE1yI5HpASt9kDXeVqlpIjflAIZSVdTZBrziU3Q3qaTrVe82gXuWy2mEfhrRnjByXBtsekZ&#10;asMjJ/ug/4EyWgQHTsWZcIaNRLIiyOKieKHNTcu9zFxQavBn0eH/wYqvh++B6Kam8/flfHG5LOaU&#10;WG5w8acfD6efv0+/7km5SDr1HipMv/FYEIdPbsDX8+gHdCb6gwomfZEYwTiqfDyrLIdIBDrny/Jj&#10;saBEYKhcfijKvAX2VOwDxM/SGZKMmgZcYtaWH75AxEEw9TEl9bLuWnddXmRn/3Jg4uiR+SVM1YnH&#10;OG+y4rAdJnJb1xyR294HvWuxcWbHUhKKn9tODyVt9/kd7ec/x/o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8TZ0otcAAAALAQAADwAAAAAAAAABACAAAAAiAAAAZHJzL2Rvd25yZXYueG1sUEsBAhQA&#10;FAAAAAgAh07iQKQlVPW6AQAAZAMAAA4AAAAAAAAAAQAgAAAAJgEAAGRycy9lMm9Eb2MueG1sUEsF&#10;BgAAAAAGAAYAWQEAAFIFAAAAAA==&#10;">
                <v:fill on="f" focussize="0,0"/>
                <v:stroke on="f"/>
                <v:imagedata o:title=""/>
                <o:lock v:ext="edit" aspectratio="f"/>
                <v:textbox>
                  <w:txbxContent>
                    <w:p w14:paraId="04572913">
                      <w:pPr>
                        <w:spacing w:before="78"/>
                        <w:ind w:firstLine="480"/>
                        <w:rPr>
                          <w:color w:val="FF0000"/>
                        </w:rPr>
                      </w:pPr>
                      <w:r>
                        <w:rPr>
                          <w:rFonts w:hint="eastAsia"/>
                          <w:color w:val="FF0000"/>
                        </w:rPr>
                        <w:t>1.9</w:t>
                      </w:r>
                    </w:p>
                  </w:txbxContent>
                </v:textbox>
              </v:shape>
            </w:pict>
          </mc:Fallback>
        </mc:AlternateContent>
      </w:r>
      <w:r>
        <mc:AlternateContent>
          <mc:Choice Requires="wps">
            <w:drawing>
              <wp:anchor distT="0" distB="0" distL="114300" distR="114300" simplePos="0" relativeHeight="251670528" behindDoc="0" locked="0" layoutInCell="1" allowOverlap="1">
                <wp:simplePos x="0" y="0"/>
                <wp:positionH relativeFrom="column">
                  <wp:posOffset>3855085</wp:posOffset>
                </wp:positionH>
                <wp:positionV relativeFrom="paragraph">
                  <wp:posOffset>2738120</wp:posOffset>
                </wp:positionV>
                <wp:extent cx="382905" cy="287020"/>
                <wp:effectExtent l="0" t="0" r="0" b="0"/>
                <wp:wrapNone/>
                <wp:docPr id="1915472652" name="文本框 24"/>
                <wp:cNvGraphicFramePr/>
                <a:graphic xmlns:a="http://schemas.openxmlformats.org/drawingml/2006/main">
                  <a:graphicData uri="http://schemas.microsoft.com/office/word/2010/wordprocessingShape">
                    <wps:wsp>
                      <wps:cNvSpPr txBox="1"/>
                      <wps:spPr>
                        <a:xfrm>
                          <a:off x="0" y="0"/>
                          <a:ext cx="382905" cy="287020"/>
                        </a:xfrm>
                        <a:prstGeom prst="rect">
                          <a:avLst/>
                        </a:prstGeom>
                        <a:noFill/>
                        <a:ln>
                          <a:noFill/>
                        </a:ln>
                        <a:effectLst/>
                      </wps:spPr>
                      <wps:txbx>
                        <w:txbxContent>
                          <w:p w14:paraId="171DC956">
                            <w:pPr>
                              <w:spacing w:before="78"/>
                              <w:ind w:firstLine="480"/>
                              <w:rPr>
                                <w:color w:val="FF0000"/>
                              </w:rPr>
                            </w:pPr>
                            <w:r>
                              <w:rPr>
                                <w:rFonts w:hint="eastAsia"/>
                                <w:color w:val="FF0000"/>
                              </w:rPr>
                              <w:t>2.0</w:t>
                            </w:r>
                          </w:p>
                        </w:txbxContent>
                      </wps:txbx>
                      <wps:bodyPr upright="1"/>
                    </wps:wsp>
                  </a:graphicData>
                </a:graphic>
              </wp:anchor>
            </w:drawing>
          </mc:Choice>
          <mc:Fallback>
            <w:pict>
              <v:shape id="文本框 24" o:spid="_x0000_s1026" o:spt="202" type="#_x0000_t202" style="position:absolute;left:0pt;margin-left:303.55pt;margin-top:215.6pt;height:22.6pt;width:30.15pt;z-index:251670528;mso-width-relative:page;mso-height-relative:page;" filled="f" stroked="f" coordsize="21600,21600" o:gfxdata="UEsDBAoAAAAAAIdO4kAAAAAAAAAAAAAAAAAEAAAAZHJzL1BLAwQUAAAACACHTuJAvlXvT9gAAAAL&#10;AQAADwAAAGRycy9kb3ducmV2LnhtbE2PTU/DMAyG70j8h8hI3FjSUVIoTXcAcQUxPiRuWeO1FY1T&#10;Ndla/j3mxI62H71+3mqz+EEccYp9IAPZSoFAaoLrqTXw/vZ0dQsiJkvODoHQwA9G2NTnZ5UtXZjp&#10;FY/b1AoOoVhaA11KYyllbDr0Nq7CiMS3fZi8TTxOrXSTnTncD3KtlJbe9sQfOjviQ4fN9/bgDXw8&#10;778+c/XSPvqbcQ6LkuTvpDGXF5m6B5FwSf8w/OmzOtTstAsHclEMBrQqMkYN5NfZGgQTWhc5iB1v&#10;Cp2DrCt52qH+BVBLAwQUAAAACACHTuJAF620H7sBAABlAwAADgAAAGRycy9lMm9Eb2MueG1srVNL&#10;btswEN0X6B0I7mvJapw4guUAgZFuirZA0gPQFGkRIDkESVvyBdobdNVN9z2Xz9EhpbhpuskiG2o4&#10;nzfz3lCrm8FochA+KLANnc9KSoTl0Cq7a+jXh7t3S0pCZLZlGqxo6FEEerN++2bVu1pU0IFuhScI&#10;YkPdu4Z2Mbq6KALvhGFhBk5YDErwhkW8+l3RetYjutFFVZaXRQ++dR64CAG9mzFIJ0T/EkCQUnGx&#10;Ab43wsYR1QvNIlIKnXKBrvO0UgoeP0sZRCS6ocg05hOboL1NZ7FesXrnmesUn0ZgLxnhGSfDlMWm&#10;Z6gNi4zsvfoPyijuIYCMMw6mGIlkRZDFvHymzX3HnMhcUOrgzqKH14Plnw5fPFEtvoTr+eLiqrpc&#10;VJRYZnDzpx/fTz9/n359I9VFEqp3ocb8e4cVcbiFAYse/QGdif8gvUlfZEYwjjIfzzKLIRKOzvfL&#10;6rpcUMIxVC2vyiqvofhb7HyIHwQYkoyGetxiFpcdPoaIg2DqY0rqZeFOaZ03qe0/DkwcPSI/hak6&#10;8RjnTVYctsNEbgvtEbntnVe7DhtndkVKQvVz2+mlpPU+vaP99O9Y/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Ve9P2AAAAAsBAAAPAAAAAAAAAAEAIAAAACIAAABkcnMvZG93bnJldi54bWxQSwEC&#10;FAAUAAAACACHTuJAF620H7sBAABlAwAADgAAAAAAAAABACAAAAAnAQAAZHJzL2Uyb0RvYy54bWxQ&#10;SwUGAAAAAAYABgBZAQAAVAUAAAAA&#10;">
                <v:fill on="f" focussize="0,0"/>
                <v:stroke on="f"/>
                <v:imagedata o:title=""/>
                <o:lock v:ext="edit" aspectratio="f"/>
                <v:textbox>
                  <w:txbxContent>
                    <w:p w14:paraId="171DC956">
                      <w:pPr>
                        <w:spacing w:before="78"/>
                        <w:ind w:firstLine="480"/>
                        <w:rPr>
                          <w:color w:val="FF0000"/>
                        </w:rPr>
                      </w:pPr>
                      <w:r>
                        <w:rPr>
                          <w:rFonts w:hint="eastAsia"/>
                          <w:color w:val="FF0000"/>
                        </w:rPr>
                        <w:t>2.0</w:t>
                      </w:r>
                    </w:p>
                  </w:txbxContent>
                </v:textbox>
              </v:shape>
            </w:pict>
          </mc:Fallback>
        </mc:AlternateContent>
      </w:r>
    </w:p>
    <w:p w14:paraId="619B9CD2">
      <w:pPr>
        <w:spacing w:before="0" w:beforeLines="0" w:line="240" w:lineRule="auto"/>
        <w:jc w:val="center"/>
        <w:rPr>
          <w:b/>
          <w:bCs/>
        </w:rPr>
      </w:pPr>
      <w:r>
        <w:rPr>
          <w:rFonts w:hint="eastAsia"/>
          <w:b/>
          <w:bCs/>
        </w:rPr>
        <w:t xml:space="preserve">图5.7-2   </w:t>
      </w:r>
      <w:r>
        <w:rPr>
          <w:b/>
          <w:bCs/>
        </w:rPr>
        <w:t xml:space="preserve">  </w:t>
      </w:r>
      <w:r>
        <w:rPr>
          <w:rFonts w:hint="eastAsia"/>
          <w:b/>
          <w:bCs/>
        </w:rPr>
        <w:t>评价</w:t>
      </w:r>
      <w:r>
        <w:rPr>
          <w:b/>
          <w:bCs/>
        </w:rPr>
        <w:t>区地下水水位拟合</w:t>
      </w:r>
    </w:p>
    <w:p w14:paraId="29DC1FFF">
      <w:pPr>
        <w:pStyle w:val="5"/>
        <w:rPr>
          <w:color w:val="auto"/>
        </w:rPr>
      </w:pPr>
      <w:bookmarkStart w:id="546" w:name="_Toc22083"/>
      <w:bookmarkStart w:id="547" w:name="_Toc508453039"/>
      <w:bookmarkStart w:id="548" w:name="_Toc11079207"/>
      <w:r>
        <w:rPr>
          <w:color w:val="auto"/>
        </w:rPr>
        <w:t>5.7</w:t>
      </w:r>
      <w:r>
        <w:rPr>
          <w:rFonts w:hint="eastAsia"/>
          <w:color w:val="auto"/>
        </w:rPr>
        <w:t>.2模型识别与验证</w:t>
      </w:r>
      <w:bookmarkEnd w:id="546"/>
      <w:bookmarkEnd w:id="547"/>
      <w:bookmarkEnd w:id="548"/>
    </w:p>
    <w:p w14:paraId="7CC44F34">
      <w:pPr>
        <w:spacing w:before="0" w:beforeLines="0" w:line="360" w:lineRule="auto"/>
        <w:ind w:firstLine="480" w:firstLineChars="200"/>
        <w:rPr>
          <w:sz w:val="24"/>
        </w:rPr>
      </w:pPr>
      <w:r>
        <w:rPr>
          <w:rFonts w:hint="eastAsia"/>
          <w:sz w:val="24"/>
        </w:rPr>
        <w:t>模型的识别和验证是整个模拟中极为重要的一步工作，通常要进行反复地调整参数才能达到较为理想的拟合结果，使模型最大程度接近实际。</w:t>
      </w:r>
    </w:p>
    <w:p w14:paraId="121F685E">
      <w:pPr>
        <w:spacing w:before="0" w:beforeLines="0" w:line="360" w:lineRule="auto"/>
        <w:ind w:firstLine="480" w:firstLineChars="200"/>
        <w:rPr>
          <w:sz w:val="24"/>
        </w:rPr>
      </w:pPr>
      <w:r>
        <w:rPr>
          <w:rFonts w:hint="eastAsia"/>
          <w:sz w:val="24"/>
        </w:rPr>
        <w:t>项目进行识别验证点位（共计10个）分别位于项目上游、下游及侧方向区域，输入拟合后水流模型中进行识别验证。</w:t>
      </w:r>
    </w:p>
    <w:p w14:paraId="59F395F8">
      <w:pPr>
        <w:pStyle w:val="189"/>
        <w:numPr>
          <w:ilvl w:val="0"/>
          <w:numId w:val="64"/>
        </w:numPr>
        <w:spacing w:before="0" w:beforeLines="0" w:line="240" w:lineRule="auto"/>
        <w:ind w:firstLineChars="0"/>
        <w:jc w:val="center"/>
        <w:rPr>
          <w:b/>
          <w:bCs/>
        </w:rPr>
      </w:pPr>
      <w:r>
        <w:rPr>
          <w:b/>
          <w:bCs/>
        </w:rPr>
        <w:t xml:space="preserve">  </w:t>
      </w:r>
      <w:r>
        <w:rPr>
          <w:rFonts w:hint="eastAsia"/>
          <w:b/>
          <w:bCs/>
        </w:rPr>
        <w:t>识别验证点位信息汇总</w:t>
      </w:r>
    </w:p>
    <w:tbl>
      <w:tblPr>
        <w:tblStyle w:val="89"/>
        <w:tblW w:w="4997"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071"/>
        <w:gridCol w:w="1925"/>
        <w:gridCol w:w="1926"/>
        <w:gridCol w:w="1788"/>
        <w:gridCol w:w="1597"/>
      </w:tblGrid>
      <w:tr w14:paraId="690E1A0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45" w:type="pct"/>
            <w:vAlign w:val="center"/>
          </w:tcPr>
          <w:p w14:paraId="70CD314B">
            <w:pPr>
              <w:spacing w:before="0" w:beforeLines="0" w:line="240" w:lineRule="auto"/>
              <w:jc w:val="center"/>
              <w:rPr>
                <w:bCs/>
                <w:szCs w:val="21"/>
              </w:rPr>
            </w:pPr>
            <w:r>
              <w:rPr>
                <w:rFonts w:hint="eastAsia" w:hAnsi="宋体"/>
                <w:bCs/>
                <w:szCs w:val="21"/>
              </w:rPr>
              <w:t>井号</w:t>
            </w:r>
          </w:p>
        </w:tc>
        <w:tc>
          <w:tcPr>
            <w:tcW w:w="1159" w:type="pct"/>
            <w:vAlign w:val="center"/>
          </w:tcPr>
          <w:p w14:paraId="0AE90129">
            <w:pPr>
              <w:spacing w:before="0" w:beforeLines="0" w:line="240" w:lineRule="auto"/>
              <w:jc w:val="center"/>
              <w:rPr>
                <w:bCs/>
                <w:szCs w:val="21"/>
              </w:rPr>
            </w:pPr>
            <w:r>
              <w:rPr>
                <w:rFonts w:hint="eastAsia"/>
                <w:bCs/>
                <w:szCs w:val="21"/>
              </w:rPr>
              <w:t>调查地下水埋深</w:t>
            </w:r>
          </w:p>
        </w:tc>
        <w:tc>
          <w:tcPr>
            <w:tcW w:w="1159" w:type="pct"/>
            <w:vAlign w:val="center"/>
          </w:tcPr>
          <w:p w14:paraId="27DE3F90">
            <w:pPr>
              <w:spacing w:before="0" w:beforeLines="0" w:line="240" w:lineRule="auto"/>
              <w:jc w:val="center"/>
              <w:rPr>
                <w:bCs/>
                <w:szCs w:val="21"/>
              </w:rPr>
            </w:pPr>
            <w:r>
              <w:rPr>
                <w:rFonts w:hint="eastAsia"/>
                <w:bCs/>
                <w:szCs w:val="21"/>
              </w:rPr>
              <w:t>调查地下水水位</w:t>
            </w:r>
          </w:p>
        </w:tc>
        <w:tc>
          <w:tcPr>
            <w:tcW w:w="1076" w:type="pct"/>
            <w:vAlign w:val="center"/>
          </w:tcPr>
          <w:p w14:paraId="14393D99">
            <w:pPr>
              <w:spacing w:before="0" w:beforeLines="0" w:line="240" w:lineRule="auto"/>
              <w:jc w:val="center"/>
              <w:rPr>
                <w:bCs/>
                <w:szCs w:val="21"/>
              </w:rPr>
            </w:pPr>
            <w:r>
              <w:rPr>
                <w:rFonts w:hint="eastAsia"/>
                <w:bCs/>
                <w:szCs w:val="21"/>
              </w:rPr>
              <w:t>拟合后地下水水位</w:t>
            </w:r>
          </w:p>
        </w:tc>
        <w:tc>
          <w:tcPr>
            <w:tcW w:w="961" w:type="pct"/>
            <w:vAlign w:val="center"/>
          </w:tcPr>
          <w:p w14:paraId="72FCD897">
            <w:pPr>
              <w:spacing w:before="0" w:beforeLines="0" w:line="240" w:lineRule="auto"/>
              <w:jc w:val="center"/>
              <w:rPr>
                <w:bCs/>
                <w:szCs w:val="21"/>
              </w:rPr>
            </w:pPr>
            <w:r>
              <w:rPr>
                <w:rFonts w:hint="eastAsia" w:hAnsi="宋体"/>
                <w:bCs/>
                <w:szCs w:val="21"/>
              </w:rPr>
              <w:t>误差</w:t>
            </w:r>
          </w:p>
        </w:tc>
      </w:tr>
      <w:tr w14:paraId="1B686CC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19" w:hRule="atLeast"/>
        </w:trPr>
        <w:tc>
          <w:tcPr>
            <w:tcW w:w="645" w:type="pct"/>
            <w:vAlign w:val="center"/>
          </w:tcPr>
          <w:p w14:paraId="5D098470">
            <w:pPr>
              <w:spacing w:before="0" w:beforeLines="0" w:line="240" w:lineRule="auto"/>
              <w:jc w:val="center"/>
              <w:rPr>
                <w:bCs/>
                <w:szCs w:val="21"/>
              </w:rPr>
            </w:pPr>
            <w:r>
              <w:rPr>
                <w:rFonts w:hint="eastAsia"/>
                <w:bCs/>
                <w:szCs w:val="21"/>
              </w:rPr>
              <w:t>1#</w:t>
            </w:r>
          </w:p>
        </w:tc>
        <w:tc>
          <w:tcPr>
            <w:tcW w:w="1159" w:type="pct"/>
            <w:vAlign w:val="center"/>
          </w:tcPr>
          <w:p w14:paraId="512AAD3B">
            <w:pPr>
              <w:spacing w:before="0" w:beforeLines="0" w:line="240" w:lineRule="auto"/>
              <w:jc w:val="center"/>
              <w:rPr>
                <w:bCs/>
                <w:szCs w:val="21"/>
              </w:rPr>
            </w:pPr>
            <w:r>
              <w:rPr>
                <w:rFonts w:hint="eastAsia"/>
                <w:bCs/>
                <w:szCs w:val="21"/>
              </w:rPr>
              <w:t>9.5m</w:t>
            </w:r>
          </w:p>
        </w:tc>
        <w:tc>
          <w:tcPr>
            <w:tcW w:w="1159" w:type="pct"/>
            <w:vAlign w:val="center"/>
          </w:tcPr>
          <w:p w14:paraId="6D448387">
            <w:pPr>
              <w:spacing w:before="0" w:beforeLines="0" w:line="240" w:lineRule="auto"/>
              <w:jc w:val="center"/>
              <w:rPr>
                <w:bCs/>
                <w:szCs w:val="21"/>
              </w:rPr>
            </w:pPr>
            <w:r>
              <w:rPr>
                <w:rFonts w:hint="eastAsia"/>
                <w:bCs/>
                <w:szCs w:val="21"/>
              </w:rPr>
              <w:t>+278.4m</w:t>
            </w:r>
          </w:p>
        </w:tc>
        <w:tc>
          <w:tcPr>
            <w:tcW w:w="1076" w:type="pct"/>
            <w:vAlign w:val="center"/>
          </w:tcPr>
          <w:p w14:paraId="7876BCBD">
            <w:pPr>
              <w:spacing w:before="0" w:beforeLines="0" w:line="240" w:lineRule="auto"/>
              <w:jc w:val="center"/>
              <w:rPr>
                <w:bCs/>
                <w:szCs w:val="21"/>
              </w:rPr>
            </w:pPr>
            <w:r>
              <w:rPr>
                <w:rFonts w:hint="eastAsia"/>
                <w:bCs/>
                <w:szCs w:val="21"/>
              </w:rPr>
              <w:t>+279.7m</w:t>
            </w:r>
          </w:p>
        </w:tc>
        <w:tc>
          <w:tcPr>
            <w:tcW w:w="961" w:type="pct"/>
            <w:vAlign w:val="center"/>
          </w:tcPr>
          <w:p w14:paraId="7E3391AC">
            <w:pPr>
              <w:spacing w:before="0" w:beforeLines="0" w:line="240" w:lineRule="auto"/>
              <w:jc w:val="center"/>
              <w:rPr>
                <w:bCs/>
                <w:szCs w:val="21"/>
              </w:rPr>
            </w:pPr>
            <w:r>
              <w:rPr>
                <w:rFonts w:hint="eastAsia"/>
                <w:bCs/>
                <w:szCs w:val="21"/>
              </w:rPr>
              <w:t>0.46%</w:t>
            </w:r>
          </w:p>
        </w:tc>
      </w:tr>
      <w:tr w14:paraId="1E66893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45" w:type="pct"/>
            <w:vAlign w:val="center"/>
          </w:tcPr>
          <w:p w14:paraId="10228496">
            <w:pPr>
              <w:spacing w:before="0" w:beforeLines="0" w:line="240" w:lineRule="auto"/>
              <w:jc w:val="center"/>
              <w:rPr>
                <w:bCs/>
                <w:szCs w:val="21"/>
              </w:rPr>
            </w:pPr>
            <w:r>
              <w:rPr>
                <w:rFonts w:hint="eastAsia"/>
                <w:bCs/>
                <w:szCs w:val="21"/>
              </w:rPr>
              <w:t>2#</w:t>
            </w:r>
          </w:p>
        </w:tc>
        <w:tc>
          <w:tcPr>
            <w:tcW w:w="1159" w:type="pct"/>
            <w:vAlign w:val="center"/>
          </w:tcPr>
          <w:p w14:paraId="174523FE">
            <w:pPr>
              <w:spacing w:before="0" w:beforeLines="0" w:line="240" w:lineRule="auto"/>
              <w:jc w:val="center"/>
              <w:rPr>
                <w:bCs/>
                <w:szCs w:val="21"/>
              </w:rPr>
            </w:pPr>
            <w:r>
              <w:rPr>
                <w:rFonts w:hint="eastAsia"/>
                <w:bCs/>
                <w:szCs w:val="21"/>
              </w:rPr>
              <w:t>8.4m</w:t>
            </w:r>
          </w:p>
        </w:tc>
        <w:tc>
          <w:tcPr>
            <w:tcW w:w="1159" w:type="pct"/>
            <w:vAlign w:val="center"/>
          </w:tcPr>
          <w:p w14:paraId="52829546">
            <w:pPr>
              <w:spacing w:before="0" w:beforeLines="0" w:line="240" w:lineRule="auto"/>
              <w:jc w:val="center"/>
              <w:rPr>
                <w:bCs/>
                <w:szCs w:val="21"/>
              </w:rPr>
            </w:pPr>
            <w:r>
              <w:rPr>
                <w:rFonts w:hint="eastAsia"/>
                <w:bCs/>
                <w:szCs w:val="21"/>
              </w:rPr>
              <w:t>+262.8m</w:t>
            </w:r>
          </w:p>
        </w:tc>
        <w:tc>
          <w:tcPr>
            <w:tcW w:w="1076" w:type="pct"/>
            <w:vAlign w:val="center"/>
          </w:tcPr>
          <w:p w14:paraId="76A57BA3">
            <w:pPr>
              <w:spacing w:before="0" w:beforeLines="0" w:line="240" w:lineRule="auto"/>
              <w:jc w:val="center"/>
              <w:rPr>
                <w:bCs/>
                <w:szCs w:val="21"/>
              </w:rPr>
            </w:pPr>
            <w:r>
              <w:rPr>
                <w:rFonts w:hint="eastAsia"/>
                <w:bCs/>
                <w:szCs w:val="21"/>
              </w:rPr>
              <w:t>+260.1m</w:t>
            </w:r>
          </w:p>
        </w:tc>
        <w:tc>
          <w:tcPr>
            <w:tcW w:w="961" w:type="pct"/>
            <w:vAlign w:val="center"/>
          </w:tcPr>
          <w:p w14:paraId="45851AEB">
            <w:pPr>
              <w:spacing w:before="0" w:beforeLines="0" w:line="240" w:lineRule="auto"/>
              <w:jc w:val="center"/>
              <w:rPr>
                <w:bCs/>
                <w:szCs w:val="21"/>
              </w:rPr>
            </w:pPr>
            <w:r>
              <w:rPr>
                <w:rFonts w:hint="eastAsia"/>
                <w:bCs/>
                <w:szCs w:val="21"/>
              </w:rPr>
              <w:t>1.04%</w:t>
            </w:r>
          </w:p>
        </w:tc>
      </w:tr>
      <w:tr w14:paraId="17FBC4E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645" w:type="pct"/>
            <w:vAlign w:val="center"/>
          </w:tcPr>
          <w:p w14:paraId="5EAA75F1">
            <w:pPr>
              <w:spacing w:before="0" w:beforeLines="0" w:line="240" w:lineRule="auto"/>
              <w:jc w:val="center"/>
              <w:rPr>
                <w:bCs/>
                <w:szCs w:val="21"/>
              </w:rPr>
            </w:pPr>
            <w:r>
              <w:rPr>
                <w:rFonts w:hint="eastAsia"/>
                <w:bCs/>
                <w:szCs w:val="21"/>
              </w:rPr>
              <w:t>3#</w:t>
            </w:r>
          </w:p>
        </w:tc>
        <w:tc>
          <w:tcPr>
            <w:tcW w:w="1159" w:type="pct"/>
            <w:vAlign w:val="center"/>
          </w:tcPr>
          <w:p w14:paraId="4C7B8786">
            <w:pPr>
              <w:spacing w:before="0" w:beforeLines="0" w:line="240" w:lineRule="auto"/>
              <w:jc w:val="center"/>
              <w:rPr>
                <w:bCs/>
                <w:szCs w:val="21"/>
              </w:rPr>
            </w:pPr>
            <w:r>
              <w:rPr>
                <w:rFonts w:hint="eastAsia"/>
                <w:bCs/>
                <w:szCs w:val="21"/>
              </w:rPr>
              <w:t>12.4m</w:t>
            </w:r>
          </w:p>
        </w:tc>
        <w:tc>
          <w:tcPr>
            <w:tcW w:w="1159" w:type="pct"/>
            <w:vAlign w:val="center"/>
          </w:tcPr>
          <w:p w14:paraId="3A0B0BE0">
            <w:pPr>
              <w:spacing w:before="0" w:beforeLines="0" w:line="240" w:lineRule="auto"/>
              <w:jc w:val="center"/>
              <w:rPr>
                <w:bCs/>
                <w:szCs w:val="21"/>
              </w:rPr>
            </w:pPr>
            <w:r>
              <w:rPr>
                <w:rFonts w:hint="eastAsia"/>
                <w:bCs/>
                <w:szCs w:val="21"/>
              </w:rPr>
              <w:t>+253.4m</w:t>
            </w:r>
          </w:p>
        </w:tc>
        <w:tc>
          <w:tcPr>
            <w:tcW w:w="1076" w:type="pct"/>
            <w:vAlign w:val="center"/>
          </w:tcPr>
          <w:p w14:paraId="54D3754D">
            <w:pPr>
              <w:spacing w:before="0" w:beforeLines="0" w:line="240" w:lineRule="auto"/>
              <w:jc w:val="center"/>
              <w:rPr>
                <w:bCs/>
                <w:szCs w:val="21"/>
              </w:rPr>
            </w:pPr>
            <w:r>
              <w:rPr>
                <w:rFonts w:hint="eastAsia"/>
                <w:bCs/>
                <w:szCs w:val="21"/>
              </w:rPr>
              <w:t>+255.9m</w:t>
            </w:r>
          </w:p>
        </w:tc>
        <w:tc>
          <w:tcPr>
            <w:tcW w:w="961" w:type="pct"/>
            <w:vAlign w:val="center"/>
          </w:tcPr>
          <w:p w14:paraId="4F47FE83">
            <w:pPr>
              <w:spacing w:before="0" w:beforeLines="0" w:line="240" w:lineRule="auto"/>
              <w:jc w:val="center"/>
              <w:rPr>
                <w:bCs/>
                <w:szCs w:val="21"/>
              </w:rPr>
            </w:pPr>
            <w:r>
              <w:rPr>
                <w:rFonts w:hint="eastAsia"/>
                <w:bCs/>
                <w:szCs w:val="21"/>
              </w:rPr>
              <w:t>0.98%</w:t>
            </w:r>
          </w:p>
        </w:tc>
      </w:tr>
      <w:tr w14:paraId="5472D31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45" w:type="pct"/>
            <w:vAlign w:val="center"/>
          </w:tcPr>
          <w:p w14:paraId="30BCA4AF">
            <w:pPr>
              <w:spacing w:before="0" w:beforeLines="0" w:line="240" w:lineRule="auto"/>
              <w:jc w:val="center"/>
              <w:rPr>
                <w:bCs/>
                <w:szCs w:val="21"/>
              </w:rPr>
            </w:pPr>
            <w:r>
              <w:rPr>
                <w:rFonts w:hint="eastAsia"/>
                <w:bCs/>
                <w:szCs w:val="21"/>
              </w:rPr>
              <w:t>4#</w:t>
            </w:r>
          </w:p>
        </w:tc>
        <w:tc>
          <w:tcPr>
            <w:tcW w:w="1159" w:type="pct"/>
            <w:vAlign w:val="center"/>
          </w:tcPr>
          <w:p w14:paraId="5006A936">
            <w:pPr>
              <w:spacing w:before="0" w:beforeLines="0" w:line="240" w:lineRule="auto"/>
              <w:jc w:val="center"/>
              <w:rPr>
                <w:bCs/>
                <w:szCs w:val="21"/>
              </w:rPr>
            </w:pPr>
            <w:r>
              <w:rPr>
                <w:rFonts w:hint="eastAsia"/>
                <w:bCs/>
                <w:szCs w:val="21"/>
              </w:rPr>
              <w:t>6.4m</w:t>
            </w:r>
          </w:p>
        </w:tc>
        <w:tc>
          <w:tcPr>
            <w:tcW w:w="1159" w:type="pct"/>
            <w:vAlign w:val="center"/>
          </w:tcPr>
          <w:p w14:paraId="2A965C14">
            <w:pPr>
              <w:spacing w:before="0" w:beforeLines="0" w:line="240" w:lineRule="auto"/>
              <w:jc w:val="center"/>
              <w:rPr>
                <w:bCs/>
                <w:szCs w:val="21"/>
              </w:rPr>
            </w:pPr>
            <w:r>
              <w:rPr>
                <w:rFonts w:hint="eastAsia"/>
                <w:bCs/>
                <w:szCs w:val="21"/>
              </w:rPr>
              <w:t>+239.4m</w:t>
            </w:r>
          </w:p>
        </w:tc>
        <w:tc>
          <w:tcPr>
            <w:tcW w:w="1076" w:type="pct"/>
            <w:vAlign w:val="center"/>
          </w:tcPr>
          <w:p w14:paraId="65572E79">
            <w:pPr>
              <w:spacing w:before="0" w:beforeLines="0" w:line="240" w:lineRule="auto"/>
              <w:jc w:val="center"/>
              <w:rPr>
                <w:bCs/>
                <w:szCs w:val="21"/>
              </w:rPr>
            </w:pPr>
            <w:r>
              <w:rPr>
                <w:rFonts w:hint="eastAsia"/>
                <w:bCs/>
                <w:szCs w:val="21"/>
              </w:rPr>
              <w:t>+241.2m</w:t>
            </w:r>
          </w:p>
        </w:tc>
        <w:tc>
          <w:tcPr>
            <w:tcW w:w="961" w:type="pct"/>
            <w:vAlign w:val="center"/>
          </w:tcPr>
          <w:p w14:paraId="5C9ED589">
            <w:pPr>
              <w:spacing w:before="0" w:beforeLines="0" w:line="240" w:lineRule="auto"/>
              <w:jc w:val="center"/>
              <w:rPr>
                <w:bCs/>
                <w:szCs w:val="21"/>
              </w:rPr>
            </w:pPr>
            <w:r>
              <w:rPr>
                <w:rFonts w:hint="eastAsia"/>
                <w:bCs/>
                <w:szCs w:val="21"/>
              </w:rPr>
              <w:t>0.75%</w:t>
            </w:r>
          </w:p>
        </w:tc>
      </w:tr>
      <w:tr w14:paraId="5A07EB7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45" w:type="pct"/>
            <w:vAlign w:val="center"/>
          </w:tcPr>
          <w:p w14:paraId="54190FE4">
            <w:pPr>
              <w:spacing w:before="0" w:beforeLines="0" w:line="240" w:lineRule="auto"/>
              <w:jc w:val="center"/>
              <w:rPr>
                <w:bCs/>
                <w:szCs w:val="21"/>
              </w:rPr>
            </w:pPr>
            <w:r>
              <w:rPr>
                <w:rFonts w:hint="eastAsia"/>
                <w:bCs/>
                <w:szCs w:val="21"/>
              </w:rPr>
              <w:t>5#</w:t>
            </w:r>
          </w:p>
        </w:tc>
        <w:tc>
          <w:tcPr>
            <w:tcW w:w="1159" w:type="pct"/>
            <w:vAlign w:val="center"/>
          </w:tcPr>
          <w:p w14:paraId="6083854D">
            <w:pPr>
              <w:spacing w:before="0" w:beforeLines="0" w:line="240" w:lineRule="auto"/>
              <w:jc w:val="center"/>
              <w:rPr>
                <w:bCs/>
                <w:szCs w:val="21"/>
              </w:rPr>
            </w:pPr>
            <w:r>
              <w:rPr>
                <w:rFonts w:hint="eastAsia"/>
                <w:bCs/>
                <w:szCs w:val="21"/>
              </w:rPr>
              <w:t>5.8m</w:t>
            </w:r>
          </w:p>
        </w:tc>
        <w:tc>
          <w:tcPr>
            <w:tcW w:w="1159" w:type="pct"/>
            <w:vAlign w:val="center"/>
          </w:tcPr>
          <w:p w14:paraId="309DD542">
            <w:pPr>
              <w:spacing w:before="0" w:beforeLines="0" w:line="240" w:lineRule="auto"/>
              <w:jc w:val="center"/>
              <w:rPr>
                <w:bCs/>
                <w:szCs w:val="21"/>
              </w:rPr>
            </w:pPr>
            <w:r>
              <w:rPr>
                <w:rFonts w:hint="eastAsia"/>
                <w:bCs/>
                <w:szCs w:val="21"/>
              </w:rPr>
              <w:t>+238.7m</w:t>
            </w:r>
          </w:p>
        </w:tc>
        <w:tc>
          <w:tcPr>
            <w:tcW w:w="1076" w:type="pct"/>
            <w:vAlign w:val="center"/>
          </w:tcPr>
          <w:p w14:paraId="320B093D">
            <w:pPr>
              <w:spacing w:before="0" w:beforeLines="0" w:line="240" w:lineRule="auto"/>
              <w:jc w:val="center"/>
              <w:rPr>
                <w:bCs/>
                <w:szCs w:val="21"/>
              </w:rPr>
            </w:pPr>
            <w:r>
              <w:rPr>
                <w:rFonts w:hint="eastAsia"/>
                <w:bCs/>
                <w:szCs w:val="21"/>
              </w:rPr>
              <w:t>+236.2m</w:t>
            </w:r>
          </w:p>
        </w:tc>
        <w:tc>
          <w:tcPr>
            <w:tcW w:w="961" w:type="pct"/>
            <w:vAlign w:val="center"/>
          </w:tcPr>
          <w:p w14:paraId="6C6E2ED7">
            <w:pPr>
              <w:spacing w:before="0" w:beforeLines="0" w:line="240" w:lineRule="auto"/>
              <w:jc w:val="center"/>
              <w:rPr>
                <w:bCs/>
                <w:szCs w:val="21"/>
              </w:rPr>
            </w:pPr>
            <w:r>
              <w:rPr>
                <w:rFonts w:hint="eastAsia"/>
                <w:bCs/>
                <w:szCs w:val="21"/>
              </w:rPr>
              <w:t>1.06%</w:t>
            </w:r>
          </w:p>
        </w:tc>
      </w:tr>
      <w:tr w14:paraId="2E963B0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45" w:type="pct"/>
            <w:vAlign w:val="center"/>
          </w:tcPr>
          <w:p w14:paraId="7CE0E35B">
            <w:pPr>
              <w:spacing w:before="0" w:beforeLines="0" w:line="240" w:lineRule="auto"/>
              <w:jc w:val="center"/>
              <w:rPr>
                <w:bCs/>
                <w:szCs w:val="21"/>
              </w:rPr>
            </w:pPr>
            <w:r>
              <w:rPr>
                <w:rFonts w:hint="eastAsia"/>
                <w:bCs/>
                <w:szCs w:val="21"/>
              </w:rPr>
              <w:t>6#</w:t>
            </w:r>
          </w:p>
        </w:tc>
        <w:tc>
          <w:tcPr>
            <w:tcW w:w="1159" w:type="pct"/>
            <w:vAlign w:val="center"/>
          </w:tcPr>
          <w:p w14:paraId="5A7F23ED">
            <w:pPr>
              <w:spacing w:before="0" w:beforeLines="0" w:line="240" w:lineRule="auto"/>
              <w:jc w:val="center"/>
              <w:rPr>
                <w:bCs/>
                <w:szCs w:val="21"/>
              </w:rPr>
            </w:pPr>
            <w:r>
              <w:rPr>
                <w:rFonts w:hint="eastAsia"/>
                <w:bCs/>
                <w:szCs w:val="21"/>
              </w:rPr>
              <w:t>4.8m</w:t>
            </w:r>
          </w:p>
        </w:tc>
        <w:tc>
          <w:tcPr>
            <w:tcW w:w="1159" w:type="pct"/>
            <w:vAlign w:val="center"/>
          </w:tcPr>
          <w:p w14:paraId="5A921D54">
            <w:pPr>
              <w:spacing w:before="0" w:beforeLines="0" w:line="240" w:lineRule="auto"/>
              <w:jc w:val="center"/>
              <w:rPr>
                <w:bCs/>
                <w:szCs w:val="21"/>
              </w:rPr>
            </w:pPr>
            <w:r>
              <w:rPr>
                <w:rFonts w:hint="eastAsia"/>
                <w:bCs/>
                <w:szCs w:val="21"/>
              </w:rPr>
              <w:t>+229.4m</w:t>
            </w:r>
          </w:p>
        </w:tc>
        <w:tc>
          <w:tcPr>
            <w:tcW w:w="1076" w:type="pct"/>
            <w:vAlign w:val="center"/>
          </w:tcPr>
          <w:p w14:paraId="327BFE60">
            <w:pPr>
              <w:spacing w:before="0" w:beforeLines="0" w:line="240" w:lineRule="auto"/>
              <w:jc w:val="center"/>
              <w:rPr>
                <w:bCs/>
                <w:szCs w:val="21"/>
              </w:rPr>
            </w:pPr>
            <w:r>
              <w:rPr>
                <w:rFonts w:hint="eastAsia"/>
                <w:bCs/>
                <w:szCs w:val="21"/>
              </w:rPr>
              <w:t>+232.0m</w:t>
            </w:r>
          </w:p>
        </w:tc>
        <w:tc>
          <w:tcPr>
            <w:tcW w:w="961" w:type="pct"/>
            <w:vAlign w:val="center"/>
          </w:tcPr>
          <w:p w14:paraId="59DA8110">
            <w:pPr>
              <w:spacing w:before="0" w:beforeLines="0" w:line="240" w:lineRule="auto"/>
              <w:jc w:val="center"/>
              <w:rPr>
                <w:bCs/>
                <w:szCs w:val="21"/>
              </w:rPr>
            </w:pPr>
            <w:r>
              <w:rPr>
                <w:rFonts w:hint="eastAsia"/>
                <w:bCs/>
                <w:szCs w:val="21"/>
              </w:rPr>
              <w:t>1.12%</w:t>
            </w:r>
          </w:p>
        </w:tc>
      </w:tr>
      <w:tr w14:paraId="5E5A831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45" w:type="pct"/>
            <w:vAlign w:val="center"/>
          </w:tcPr>
          <w:p w14:paraId="54622FF6">
            <w:pPr>
              <w:spacing w:before="0" w:beforeLines="0" w:line="240" w:lineRule="auto"/>
              <w:jc w:val="center"/>
              <w:rPr>
                <w:bCs/>
                <w:szCs w:val="21"/>
              </w:rPr>
            </w:pPr>
            <w:r>
              <w:rPr>
                <w:rFonts w:hint="eastAsia"/>
                <w:bCs/>
                <w:szCs w:val="21"/>
              </w:rPr>
              <w:t>7#</w:t>
            </w:r>
          </w:p>
        </w:tc>
        <w:tc>
          <w:tcPr>
            <w:tcW w:w="1159" w:type="pct"/>
            <w:vAlign w:val="center"/>
          </w:tcPr>
          <w:p w14:paraId="55D6DCB6">
            <w:pPr>
              <w:spacing w:before="0" w:beforeLines="0" w:line="240" w:lineRule="auto"/>
              <w:jc w:val="center"/>
              <w:rPr>
                <w:bCs/>
                <w:szCs w:val="21"/>
              </w:rPr>
            </w:pPr>
            <w:r>
              <w:rPr>
                <w:rFonts w:hint="eastAsia"/>
                <w:bCs/>
                <w:szCs w:val="21"/>
              </w:rPr>
              <w:t>5.1m</w:t>
            </w:r>
          </w:p>
        </w:tc>
        <w:tc>
          <w:tcPr>
            <w:tcW w:w="1159" w:type="pct"/>
            <w:vAlign w:val="center"/>
          </w:tcPr>
          <w:p w14:paraId="2EDE24FC">
            <w:pPr>
              <w:spacing w:before="0" w:beforeLines="0" w:line="240" w:lineRule="auto"/>
              <w:jc w:val="center"/>
              <w:rPr>
                <w:bCs/>
                <w:szCs w:val="21"/>
              </w:rPr>
            </w:pPr>
            <w:r>
              <w:rPr>
                <w:rFonts w:hint="eastAsia"/>
                <w:bCs/>
                <w:szCs w:val="21"/>
              </w:rPr>
              <w:t>+228.1m</w:t>
            </w:r>
          </w:p>
        </w:tc>
        <w:tc>
          <w:tcPr>
            <w:tcW w:w="1076" w:type="pct"/>
            <w:vAlign w:val="center"/>
          </w:tcPr>
          <w:p w14:paraId="1B3D9C7C">
            <w:pPr>
              <w:spacing w:before="0" w:beforeLines="0" w:line="240" w:lineRule="auto"/>
              <w:jc w:val="center"/>
              <w:rPr>
                <w:bCs/>
                <w:szCs w:val="21"/>
              </w:rPr>
            </w:pPr>
            <w:r>
              <w:rPr>
                <w:rFonts w:hint="eastAsia"/>
                <w:bCs/>
                <w:szCs w:val="21"/>
              </w:rPr>
              <w:t>+226.2m</w:t>
            </w:r>
          </w:p>
        </w:tc>
        <w:tc>
          <w:tcPr>
            <w:tcW w:w="961" w:type="pct"/>
            <w:vAlign w:val="center"/>
          </w:tcPr>
          <w:p w14:paraId="25A8F8B8">
            <w:pPr>
              <w:spacing w:before="0" w:beforeLines="0" w:line="240" w:lineRule="auto"/>
              <w:jc w:val="center"/>
              <w:rPr>
                <w:bCs/>
                <w:szCs w:val="21"/>
              </w:rPr>
            </w:pPr>
            <w:r>
              <w:rPr>
                <w:rFonts w:hint="eastAsia"/>
                <w:bCs/>
                <w:szCs w:val="21"/>
              </w:rPr>
              <w:t>0.84%</w:t>
            </w:r>
          </w:p>
        </w:tc>
      </w:tr>
      <w:tr w14:paraId="38AF6A1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645" w:type="pct"/>
            <w:vAlign w:val="center"/>
          </w:tcPr>
          <w:p w14:paraId="5164A1F6">
            <w:pPr>
              <w:spacing w:before="0" w:beforeLines="0" w:line="240" w:lineRule="auto"/>
              <w:jc w:val="center"/>
              <w:rPr>
                <w:bCs/>
                <w:szCs w:val="21"/>
              </w:rPr>
            </w:pPr>
            <w:r>
              <w:rPr>
                <w:rFonts w:hint="eastAsia"/>
                <w:bCs/>
                <w:szCs w:val="21"/>
              </w:rPr>
              <w:t>8#</w:t>
            </w:r>
          </w:p>
        </w:tc>
        <w:tc>
          <w:tcPr>
            <w:tcW w:w="1159" w:type="pct"/>
            <w:vAlign w:val="center"/>
          </w:tcPr>
          <w:p w14:paraId="1CA63D93">
            <w:pPr>
              <w:spacing w:before="0" w:beforeLines="0" w:line="240" w:lineRule="auto"/>
              <w:jc w:val="center"/>
              <w:rPr>
                <w:bCs/>
                <w:szCs w:val="21"/>
              </w:rPr>
            </w:pPr>
            <w:r>
              <w:rPr>
                <w:rFonts w:hint="eastAsia"/>
                <w:bCs/>
                <w:szCs w:val="21"/>
              </w:rPr>
              <w:t>4.0m</w:t>
            </w:r>
          </w:p>
        </w:tc>
        <w:tc>
          <w:tcPr>
            <w:tcW w:w="1159" w:type="pct"/>
            <w:vAlign w:val="center"/>
          </w:tcPr>
          <w:p w14:paraId="3094F6C3">
            <w:pPr>
              <w:spacing w:before="0" w:beforeLines="0" w:line="240" w:lineRule="auto"/>
              <w:jc w:val="center"/>
              <w:rPr>
                <w:bCs/>
                <w:szCs w:val="21"/>
              </w:rPr>
            </w:pPr>
            <w:r>
              <w:rPr>
                <w:rFonts w:hint="eastAsia"/>
                <w:bCs/>
                <w:szCs w:val="21"/>
              </w:rPr>
              <w:t>+226.4m</w:t>
            </w:r>
          </w:p>
        </w:tc>
        <w:tc>
          <w:tcPr>
            <w:tcW w:w="1076" w:type="pct"/>
            <w:vAlign w:val="center"/>
          </w:tcPr>
          <w:p w14:paraId="5DCB5FD2">
            <w:pPr>
              <w:spacing w:before="0" w:beforeLines="0" w:line="240" w:lineRule="auto"/>
              <w:jc w:val="center"/>
              <w:rPr>
                <w:bCs/>
                <w:szCs w:val="21"/>
              </w:rPr>
            </w:pPr>
            <w:r>
              <w:rPr>
                <w:rFonts w:hint="eastAsia"/>
                <w:bCs/>
                <w:szCs w:val="21"/>
              </w:rPr>
              <w:t>+228.9m</w:t>
            </w:r>
          </w:p>
        </w:tc>
        <w:tc>
          <w:tcPr>
            <w:tcW w:w="961" w:type="pct"/>
            <w:vAlign w:val="center"/>
          </w:tcPr>
          <w:p w14:paraId="5E27D1FB">
            <w:pPr>
              <w:spacing w:before="0" w:beforeLines="0" w:line="240" w:lineRule="auto"/>
              <w:jc w:val="center"/>
              <w:rPr>
                <w:bCs/>
                <w:szCs w:val="21"/>
              </w:rPr>
            </w:pPr>
            <w:r>
              <w:rPr>
                <w:rFonts w:hint="eastAsia"/>
                <w:bCs/>
                <w:szCs w:val="21"/>
              </w:rPr>
              <w:t>1.09%</w:t>
            </w:r>
          </w:p>
        </w:tc>
      </w:tr>
      <w:tr w14:paraId="552DE33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45" w:type="pct"/>
            <w:vAlign w:val="center"/>
          </w:tcPr>
          <w:p w14:paraId="3C85E160">
            <w:pPr>
              <w:spacing w:before="0" w:beforeLines="0" w:line="240" w:lineRule="auto"/>
              <w:jc w:val="center"/>
              <w:rPr>
                <w:bCs/>
                <w:szCs w:val="21"/>
              </w:rPr>
            </w:pPr>
            <w:r>
              <w:rPr>
                <w:rFonts w:hint="eastAsia"/>
                <w:bCs/>
                <w:szCs w:val="21"/>
              </w:rPr>
              <w:t>9#</w:t>
            </w:r>
          </w:p>
        </w:tc>
        <w:tc>
          <w:tcPr>
            <w:tcW w:w="1159" w:type="pct"/>
            <w:vAlign w:val="center"/>
          </w:tcPr>
          <w:p w14:paraId="772404BA">
            <w:pPr>
              <w:spacing w:before="0" w:beforeLines="0" w:line="240" w:lineRule="auto"/>
              <w:jc w:val="center"/>
              <w:rPr>
                <w:bCs/>
                <w:szCs w:val="21"/>
              </w:rPr>
            </w:pPr>
            <w:r>
              <w:rPr>
                <w:rFonts w:hint="eastAsia"/>
                <w:bCs/>
                <w:szCs w:val="21"/>
              </w:rPr>
              <w:t>6.1m</w:t>
            </w:r>
          </w:p>
        </w:tc>
        <w:tc>
          <w:tcPr>
            <w:tcW w:w="1159" w:type="pct"/>
            <w:vAlign w:val="center"/>
          </w:tcPr>
          <w:p w14:paraId="3BD64024">
            <w:pPr>
              <w:spacing w:before="0" w:beforeLines="0" w:line="240" w:lineRule="auto"/>
              <w:jc w:val="center"/>
              <w:rPr>
                <w:bCs/>
                <w:szCs w:val="21"/>
              </w:rPr>
            </w:pPr>
            <w:r>
              <w:rPr>
                <w:rFonts w:hint="eastAsia"/>
                <w:bCs/>
                <w:szCs w:val="21"/>
              </w:rPr>
              <w:t>+221.8m</w:t>
            </w:r>
          </w:p>
        </w:tc>
        <w:tc>
          <w:tcPr>
            <w:tcW w:w="1076" w:type="pct"/>
            <w:vAlign w:val="center"/>
          </w:tcPr>
          <w:p w14:paraId="25678690">
            <w:pPr>
              <w:spacing w:before="0" w:beforeLines="0" w:line="240" w:lineRule="auto"/>
              <w:jc w:val="center"/>
              <w:rPr>
                <w:bCs/>
                <w:szCs w:val="21"/>
              </w:rPr>
            </w:pPr>
            <w:r>
              <w:rPr>
                <w:rFonts w:hint="eastAsia"/>
                <w:bCs/>
                <w:szCs w:val="21"/>
              </w:rPr>
              <w:t>+220.0m</w:t>
            </w:r>
          </w:p>
        </w:tc>
        <w:tc>
          <w:tcPr>
            <w:tcW w:w="961" w:type="pct"/>
            <w:vAlign w:val="center"/>
          </w:tcPr>
          <w:p w14:paraId="0FA201DB">
            <w:pPr>
              <w:spacing w:before="0" w:beforeLines="0" w:line="240" w:lineRule="auto"/>
              <w:jc w:val="center"/>
              <w:rPr>
                <w:bCs/>
                <w:szCs w:val="21"/>
              </w:rPr>
            </w:pPr>
            <w:r>
              <w:rPr>
                <w:rFonts w:hint="eastAsia"/>
                <w:bCs/>
                <w:szCs w:val="21"/>
              </w:rPr>
              <w:t>0.82%</w:t>
            </w:r>
          </w:p>
        </w:tc>
      </w:tr>
      <w:tr w14:paraId="10EE6D9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45" w:type="pct"/>
            <w:vAlign w:val="center"/>
          </w:tcPr>
          <w:p w14:paraId="5C7342DF">
            <w:pPr>
              <w:spacing w:before="0" w:beforeLines="0" w:line="240" w:lineRule="auto"/>
              <w:jc w:val="center"/>
              <w:rPr>
                <w:bCs/>
                <w:szCs w:val="21"/>
              </w:rPr>
            </w:pPr>
            <w:r>
              <w:rPr>
                <w:rFonts w:hint="eastAsia"/>
                <w:bCs/>
                <w:szCs w:val="21"/>
              </w:rPr>
              <w:t>10#</w:t>
            </w:r>
          </w:p>
        </w:tc>
        <w:tc>
          <w:tcPr>
            <w:tcW w:w="1159" w:type="pct"/>
            <w:vAlign w:val="center"/>
          </w:tcPr>
          <w:p w14:paraId="4CD94931">
            <w:pPr>
              <w:spacing w:before="0" w:beforeLines="0" w:line="240" w:lineRule="auto"/>
              <w:jc w:val="center"/>
              <w:rPr>
                <w:bCs/>
                <w:szCs w:val="21"/>
              </w:rPr>
            </w:pPr>
            <w:r>
              <w:rPr>
                <w:rFonts w:hint="eastAsia"/>
                <w:bCs/>
                <w:szCs w:val="21"/>
              </w:rPr>
              <w:t>4.3m</w:t>
            </w:r>
          </w:p>
        </w:tc>
        <w:tc>
          <w:tcPr>
            <w:tcW w:w="1159" w:type="pct"/>
            <w:vAlign w:val="center"/>
          </w:tcPr>
          <w:p w14:paraId="46D9B105">
            <w:pPr>
              <w:spacing w:before="0" w:beforeLines="0" w:line="240" w:lineRule="auto"/>
              <w:jc w:val="center"/>
              <w:rPr>
                <w:bCs/>
                <w:szCs w:val="21"/>
              </w:rPr>
            </w:pPr>
            <w:r>
              <w:rPr>
                <w:rFonts w:hint="eastAsia"/>
                <w:bCs/>
                <w:szCs w:val="21"/>
              </w:rPr>
              <w:t>+218.2m</w:t>
            </w:r>
          </w:p>
        </w:tc>
        <w:tc>
          <w:tcPr>
            <w:tcW w:w="1076" w:type="pct"/>
            <w:vAlign w:val="center"/>
          </w:tcPr>
          <w:p w14:paraId="2868ECF3">
            <w:pPr>
              <w:spacing w:before="0" w:beforeLines="0" w:line="240" w:lineRule="auto"/>
              <w:jc w:val="center"/>
              <w:rPr>
                <w:bCs/>
                <w:szCs w:val="21"/>
              </w:rPr>
            </w:pPr>
            <w:r>
              <w:rPr>
                <w:rFonts w:hint="eastAsia"/>
                <w:bCs/>
                <w:szCs w:val="21"/>
              </w:rPr>
              <w:t>+217.1m</w:t>
            </w:r>
          </w:p>
        </w:tc>
        <w:tc>
          <w:tcPr>
            <w:tcW w:w="961" w:type="pct"/>
            <w:vAlign w:val="center"/>
          </w:tcPr>
          <w:p w14:paraId="5C5701D7">
            <w:pPr>
              <w:spacing w:before="0" w:beforeLines="0" w:line="240" w:lineRule="auto"/>
              <w:jc w:val="center"/>
              <w:rPr>
                <w:bCs/>
                <w:szCs w:val="21"/>
              </w:rPr>
            </w:pPr>
            <w:r>
              <w:rPr>
                <w:rFonts w:hint="eastAsia"/>
                <w:bCs/>
                <w:szCs w:val="21"/>
              </w:rPr>
              <w:t>0.51%</w:t>
            </w:r>
          </w:p>
        </w:tc>
      </w:tr>
    </w:tbl>
    <w:p w14:paraId="25EF4DEA">
      <w:pPr>
        <w:spacing w:before="0" w:beforeLines="0" w:line="360" w:lineRule="auto"/>
        <w:ind w:firstLine="480" w:firstLineChars="200"/>
        <w:rPr>
          <w:sz w:val="24"/>
        </w:rPr>
      </w:pPr>
      <w:r>
        <w:rPr>
          <w:rFonts w:hint="eastAsia"/>
          <w:sz w:val="24"/>
        </w:rPr>
        <w:t>模拟值与实际观测值的比较结果如图</w:t>
      </w:r>
      <w:r>
        <w:rPr>
          <w:sz w:val="24"/>
        </w:rPr>
        <w:t>5.7</w:t>
      </w:r>
      <w:r>
        <w:rPr>
          <w:rFonts w:hint="eastAsia"/>
          <w:sz w:val="24"/>
        </w:rPr>
        <w:t>-3所示。</w:t>
      </w:r>
    </w:p>
    <w:p w14:paraId="688CE0D9">
      <w:pPr>
        <w:spacing w:before="0" w:beforeLines="0" w:line="360" w:lineRule="auto"/>
        <w:ind w:firstLine="480" w:firstLineChars="200"/>
        <w:rPr>
          <w:sz w:val="24"/>
        </w:rPr>
      </w:pPr>
      <w:r>
        <w:rPr>
          <w:rFonts w:hint="eastAsia"/>
          <w:sz w:val="24"/>
        </w:rPr>
        <w:t>结果显示，模拟流场与实测流场拟合较好，反映出模拟模型与实际地下水系统在空间上基本吻合。因此，本次模拟建立的模型基本符合研究区水文地质条件，并能反映地下水系统的流场特征，利用该模型对建设项目的地下水环境影响进行预测和污染情景预报是可行的。</w:t>
      </w:r>
    </w:p>
    <w:p w14:paraId="7F9AD2AC">
      <w:pPr>
        <w:spacing w:before="0" w:beforeLines="0" w:line="240" w:lineRule="auto"/>
        <w:jc w:val="center"/>
      </w:pPr>
      <w:r>
        <w:rPr>
          <w:rFonts w:hint="eastAsia"/>
          <w:sz w:val="24"/>
        </w:rPr>
        <w:drawing>
          <wp:inline distT="0" distB="0" distL="114300" distR="114300">
            <wp:extent cx="3316605" cy="3305175"/>
            <wp:effectExtent l="0" t="0" r="10795" b="9525"/>
            <wp:docPr id="64" name="图片 64" desc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h"/>
                    <pic:cNvPicPr>
                      <a:picLocks noChangeAspect="1"/>
                    </pic:cNvPicPr>
                  </pic:nvPicPr>
                  <pic:blipFill>
                    <a:blip r:embed="rId103"/>
                    <a:stretch>
                      <a:fillRect/>
                    </a:stretch>
                  </pic:blipFill>
                  <pic:spPr>
                    <a:xfrm>
                      <a:off x="0" y="0"/>
                      <a:ext cx="3316605" cy="3305175"/>
                    </a:xfrm>
                    <a:prstGeom prst="rect">
                      <a:avLst/>
                    </a:prstGeom>
                  </pic:spPr>
                </pic:pic>
              </a:graphicData>
            </a:graphic>
          </wp:inline>
        </w:drawing>
      </w:r>
    </w:p>
    <w:p w14:paraId="71911BA0">
      <w:pPr>
        <w:spacing w:before="0" w:beforeLines="0" w:line="240" w:lineRule="auto"/>
        <w:jc w:val="center"/>
        <w:rPr>
          <w:b/>
          <w:bCs/>
        </w:rPr>
      </w:pPr>
      <w:r>
        <w:rPr>
          <w:rFonts w:hint="eastAsia"/>
          <w:b/>
          <w:bCs/>
        </w:rPr>
        <w:t xml:space="preserve">图5.7-3    </w:t>
      </w:r>
      <w:r>
        <w:rPr>
          <w:b/>
          <w:bCs/>
        </w:rPr>
        <w:t>区域实测水位与模拟水位拟合</w:t>
      </w:r>
    </w:p>
    <w:p w14:paraId="66DDAECD">
      <w:pPr>
        <w:spacing w:before="0" w:beforeLines="0" w:line="360" w:lineRule="auto"/>
        <w:ind w:firstLine="480" w:firstLineChars="200"/>
        <w:rPr>
          <w:sz w:val="24"/>
        </w:rPr>
      </w:pPr>
      <w:r>
        <w:rPr>
          <w:rFonts w:hint="eastAsia"/>
          <w:sz w:val="24"/>
        </w:rPr>
        <w:t>根据对模拟水位与模拟区域内十个点位的实际水位进行拟合的结果可知，模型准确性较好，置信区间达到</w:t>
      </w:r>
      <w:r>
        <w:rPr>
          <w:sz w:val="24"/>
        </w:rPr>
        <w:t>95%</w:t>
      </w:r>
      <w:r>
        <w:rPr>
          <w:rFonts w:hint="eastAsia"/>
          <w:sz w:val="24"/>
        </w:rPr>
        <w:t>，判定模型基本可用。</w:t>
      </w:r>
    </w:p>
    <w:p w14:paraId="6187DB0B">
      <w:pPr>
        <w:pStyle w:val="5"/>
        <w:rPr>
          <w:color w:val="auto"/>
        </w:rPr>
      </w:pPr>
      <w:bookmarkStart w:id="549" w:name="_Toc11079208"/>
      <w:bookmarkStart w:id="550" w:name="_Toc14745"/>
      <w:r>
        <w:rPr>
          <w:color w:val="auto"/>
        </w:rPr>
        <w:t>5.7</w:t>
      </w:r>
      <w:r>
        <w:rPr>
          <w:rFonts w:hint="eastAsia"/>
          <w:color w:val="auto"/>
        </w:rPr>
        <w:t>.3</w:t>
      </w:r>
      <w:r>
        <w:rPr>
          <w:color w:val="auto"/>
        </w:rPr>
        <w:t>情景设定</w:t>
      </w:r>
      <w:bookmarkEnd w:id="549"/>
      <w:bookmarkEnd w:id="550"/>
    </w:p>
    <w:p w14:paraId="33EB1667">
      <w:pPr>
        <w:spacing w:before="0" w:beforeLines="0" w:line="360" w:lineRule="auto"/>
        <w:ind w:firstLine="480" w:firstLineChars="200"/>
        <w:rPr>
          <w:sz w:val="24"/>
        </w:rPr>
      </w:pPr>
      <w:r>
        <w:rPr>
          <w:rFonts w:hint="eastAsia"/>
          <w:sz w:val="24"/>
        </w:rPr>
        <w:t>（1）正常状况</w:t>
      </w:r>
    </w:p>
    <w:p w14:paraId="5CC74C5A">
      <w:pPr>
        <w:spacing w:before="0" w:beforeLines="0" w:line="360" w:lineRule="auto"/>
        <w:ind w:firstLine="480" w:firstLineChars="200"/>
        <w:rPr>
          <w:sz w:val="24"/>
        </w:rPr>
      </w:pPr>
      <w:r>
        <w:rPr>
          <w:rFonts w:hint="eastAsia"/>
          <w:sz w:val="24"/>
        </w:rPr>
        <w:t>本项目地面防渗工程参照《环境影响评价技术导则 地下水环境》（HJ610-2016）相关要求对各池体及厂区地面拟做底部防渗，并且企业对其进行严格监管，池体正常状况下跑冒滴漏的液体停留时间和下渗污染地下水的可能性较小。</w:t>
      </w:r>
    </w:p>
    <w:p w14:paraId="64C8F7DA">
      <w:pPr>
        <w:spacing w:before="0" w:beforeLines="0" w:line="360" w:lineRule="auto"/>
        <w:ind w:firstLine="480" w:firstLineChars="200"/>
        <w:rPr>
          <w:sz w:val="24"/>
        </w:rPr>
      </w:pPr>
      <w:r>
        <w:rPr>
          <w:rFonts w:hint="eastAsia"/>
          <w:sz w:val="24"/>
        </w:rPr>
        <w:t>正常情况下，项目厂区防渗完好，漏液受到有效阻隔。污水的纵向迁移可用达西公式计算：</w:t>
      </w:r>
    </w:p>
    <w:p w14:paraId="0CD95A43">
      <w:pPr>
        <w:spacing w:before="0" w:beforeLines="0" w:line="360" w:lineRule="auto"/>
        <w:jc w:val="center"/>
        <w:rPr>
          <w:sz w:val="24"/>
        </w:rPr>
      </w:pPr>
      <w:r>
        <w:rPr>
          <w:sz w:val="24"/>
        </w:rPr>
        <w:object>
          <v:shape id="_x0000_i1038" o:spt="75" alt="" type="#_x0000_t75" style="height:28.5pt;width:65.25pt;" o:ole="t" filled="f" o:preferrelative="t" stroked="f" coordsize="21600,21600">
            <v:path/>
            <v:fill on="f" focussize="0,0"/>
            <v:stroke on="f"/>
            <v:imagedata r:id="rId105" o:title=""/>
            <o:lock v:ext="edit" aspectratio="t"/>
            <w10:wrap type="none"/>
            <w10:anchorlock/>
          </v:shape>
          <o:OLEObject Type="Embed" ProgID="Equation.3" ShapeID="_x0000_i1038" DrawAspect="Content" ObjectID="_1468075738" r:id="rId104">
            <o:LockedField>false</o:LockedField>
          </o:OLEObject>
        </w:object>
      </w:r>
    </w:p>
    <w:p w14:paraId="09687DAE">
      <w:pPr>
        <w:spacing w:before="0" w:beforeLines="0" w:line="360" w:lineRule="auto"/>
        <w:ind w:firstLine="480" w:firstLineChars="200"/>
        <w:rPr>
          <w:sz w:val="24"/>
        </w:rPr>
      </w:pPr>
      <w:r>
        <w:rPr>
          <w:rFonts w:hint="eastAsia"/>
          <w:sz w:val="24"/>
        </w:rPr>
        <w:t>式中：</w:t>
      </w:r>
      <w:r>
        <w:rPr>
          <w:sz w:val="24"/>
        </w:rPr>
        <w:t>Q——</w:t>
      </w:r>
      <w:r>
        <w:rPr>
          <w:rFonts w:hint="eastAsia"/>
          <w:sz w:val="24"/>
        </w:rPr>
        <w:t>单位时间渗出的渗滤液量，</w:t>
      </w:r>
      <w:r>
        <w:rPr>
          <w:sz w:val="24"/>
        </w:rPr>
        <w:t>m</w:t>
      </w:r>
      <w:r>
        <w:rPr>
          <w:sz w:val="24"/>
          <w:vertAlign w:val="superscript"/>
        </w:rPr>
        <w:t>3</w:t>
      </w:r>
      <w:r>
        <w:rPr>
          <w:sz w:val="24"/>
        </w:rPr>
        <w:t>/d</w:t>
      </w:r>
      <w:r>
        <w:rPr>
          <w:rFonts w:hint="eastAsia"/>
          <w:sz w:val="24"/>
        </w:rPr>
        <w:t>；</w:t>
      </w:r>
    </w:p>
    <w:p w14:paraId="08AA3EAD">
      <w:pPr>
        <w:spacing w:before="0" w:beforeLines="0" w:line="360" w:lineRule="auto"/>
        <w:ind w:firstLine="1200" w:firstLineChars="500"/>
        <w:rPr>
          <w:sz w:val="24"/>
        </w:rPr>
      </w:pPr>
      <w:r>
        <w:rPr>
          <w:sz w:val="24"/>
        </w:rPr>
        <w:t>K——</w:t>
      </w:r>
      <w:r>
        <w:rPr>
          <w:rFonts w:hint="eastAsia"/>
          <w:sz w:val="24"/>
        </w:rPr>
        <w:t>渗透系数，</w:t>
      </w:r>
      <w:r>
        <w:rPr>
          <w:sz w:val="24"/>
        </w:rPr>
        <w:t>m/d</w:t>
      </w:r>
      <w:r>
        <w:rPr>
          <w:rFonts w:hint="eastAsia"/>
          <w:sz w:val="24"/>
        </w:rPr>
        <w:t>；</w:t>
      </w:r>
    </w:p>
    <w:p w14:paraId="06332ABF">
      <w:pPr>
        <w:spacing w:before="0" w:beforeLines="0" w:line="360" w:lineRule="auto"/>
        <w:ind w:firstLine="1200" w:firstLineChars="500"/>
        <w:rPr>
          <w:sz w:val="24"/>
        </w:rPr>
      </w:pPr>
      <w:r>
        <w:rPr>
          <w:sz w:val="24"/>
        </w:rPr>
        <w:object>
          <v:shape id="_x0000_i1039" o:spt="75" alt="" type="#_x0000_t75" style="height:28.5pt;width:14.25pt;" o:ole="t" filled="f" o:preferrelative="t" stroked="f" coordsize="21600,21600">
            <v:path/>
            <v:fill on="f" focussize="0,0"/>
            <v:stroke on="f"/>
            <v:imagedata r:id="rId107" o:title=""/>
            <o:lock v:ext="edit" aspectratio="t"/>
            <w10:wrap type="none"/>
            <w10:anchorlock/>
          </v:shape>
          <o:OLEObject Type="Embed" ProgID="Equation.3" ShapeID="_x0000_i1039" DrawAspect="Content" ObjectID="_1468075739" r:id="rId106">
            <o:LockedField>false</o:LockedField>
          </o:OLEObject>
        </w:object>
      </w:r>
      <w:r>
        <w:rPr>
          <w:sz w:val="24"/>
        </w:rPr>
        <w:t>——</w:t>
      </w:r>
      <w:r>
        <w:rPr>
          <w:rFonts w:hint="eastAsia"/>
          <w:sz w:val="24"/>
        </w:rPr>
        <w:t>水力梯度，</w:t>
      </w:r>
      <w:r>
        <w:rPr>
          <w:sz w:val="24"/>
        </w:rPr>
        <w:object>
          <v:shape id="_x0000_i1040" o:spt="75" alt="" type="#_x0000_t75" style="height:28.5pt;width:50.25pt;" o:ole="t" filled="f" o:preferrelative="t" stroked="f" coordsize="21600,21600">
            <v:path/>
            <v:fill on="f" focussize="0,0"/>
            <v:stroke on="f"/>
            <v:imagedata r:id="rId109" o:title=""/>
            <o:lock v:ext="edit" aspectratio="t"/>
            <w10:wrap type="none"/>
            <w10:anchorlock/>
          </v:shape>
          <o:OLEObject Type="Embed" ProgID="Equation.3" ShapeID="_x0000_i1040" DrawAspect="Content" ObjectID="_1468075740" r:id="rId108">
            <o:LockedField>false</o:LockedField>
          </o:OLEObject>
        </w:object>
      </w:r>
      <w:r>
        <w:rPr>
          <w:rFonts w:hint="eastAsia"/>
          <w:sz w:val="24"/>
        </w:rPr>
        <w:t>；</w:t>
      </w:r>
    </w:p>
    <w:p w14:paraId="73FBA831">
      <w:pPr>
        <w:spacing w:before="0" w:beforeLines="0" w:line="360" w:lineRule="auto"/>
        <w:ind w:firstLine="1200" w:firstLineChars="500"/>
        <w:rPr>
          <w:sz w:val="24"/>
        </w:rPr>
      </w:pPr>
      <w:r>
        <w:rPr>
          <w:sz w:val="24"/>
        </w:rPr>
        <w:t>H——</w:t>
      </w:r>
      <w:r>
        <w:rPr>
          <w:rFonts w:hint="eastAsia"/>
          <w:sz w:val="24"/>
        </w:rPr>
        <w:t>衬里之上漏液高度，</w:t>
      </w:r>
      <w:r>
        <w:rPr>
          <w:sz w:val="24"/>
        </w:rPr>
        <w:t>m</w:t>
      </w:r>
      <w:r>
        <w:rPr>
          <w:rFonts w:hint="eastAsia"/>
          <w:sz w:val="24"/>
        </w:rPr>
        <w:t>；</w:t>
      </w:r>
    </w:p>
    <w:p w14:paraId="18705298">
      <w:pPr>
        <w:spacing w:before="0" w:beforeLines="0" w:line="360" w:lineRule="auto"/>
        <w:ind w:firstLine="1320" w:firstLineChars="550"/>
        <w:rPr>
          <w:sz w:val="24"/>
        </w:rPr>
      </w:pPr>
      <w:r>
        <w:rPr>
          <w:sz w:val="24"/>
        </w:rPr>
        <w:t>L——</w:t>
      </w:r>
      <w:r>
        <w:rPr>
          <w:rFonts w:hint="eastAsia"/>
          <w:sz w:val="24"/>
        </w:rPr>
        <w:t>衬里的厚度，</w:t>
      </w:r>
      <w:r>
        <w:rPr>
          <w:sz w:val="24"/>
        </w:rPr>
        <w:t>m</w:t>
      </w:r>
      <w:r>
        <w:rPr>
          <w:rFonts w:hint="eastAsia"/>
          <w:sz w:val="24"/>
        </w:rPr>
        <w:t>。</w:t>
      </w:r>
    </w:p>
    <w:p w14:paraId="281D4F30">
      <w:pPr>
        <w:spacing w:before="0" w:beforeLines="0" w:line="360" w:lineRule="auto"/>
        <w:ind w:firstLine="480" w:firstLineChars="200"/>
        <w:rPr>
          <w:sz w:val="24"/>
        </w:rPr>
      </w:pPr>
      <w:r>
        <w:rPr>
          <w:rFonts w:hint="eastAsia"/>
          <w:sz w:val="24"/>
        </w:rPr>
        <w:t>工程在池体底部拟做渗透率小于</w:t>
      </w:r>
      <w:r>
        <w:rPr>
          <w:sz w:val="24"/>
        </w:rPr>
        <w:t>10</w:t>
      </w:r>
      <w:r>
        <w:rPr>
          <w:sz w:val="24"/>
          <w:vertAlign w:val="superscript"/>
        </w:rPr>
        <w:t>-13</w:t>
      </w:r>
      <w:r>
        <w:rPr>
          <w:sz w:val="24"/>
        </w:rPr>
        <w:t>cm/s</w:t>
      </w:r>
      <w:r>
        <w:rPr>
          <w:rFonts w:hint="eastAsia"/>
          <w:sz w:val="24"/>
        </w:rPr>
        <w:t>的防渗后的纵向渗透量为：</w:t>
      </w:r>
    </w:p>
    <w:p w14:paraId="0773A03C">
      <w:pPr>
        <w:spacing w:before="0" w:beforeLines="0" w:line="360" w:lineRule="auto"/>
        <w:jc w:val="center"/>
        <w:rPr>
          <w:sz w:val="24"/>
        </w:rPr>
      </w:pPr>
      <w:r>
        <w:rPr>
          <w:sz w:val="24"/>
        </w:rPr>
        <w:t>Q=1.</w:t>
      </w:r>
      <w:r>
        <w:rPr>
          <w:rFonts w:hint="eastAsia"/>
          <w:sz w:val="24"/>
        </w:rPr>
        <w:t>68</w:t>
      </w:r>
      <w:r>
        <w:rPr>
          <w:sz w:val="24"/>
        </w:rPr>
        <w:t>×10</w:t>
      </w:r>
      <w:r>
        <w:rPr>
          <w:sz w:val="24"/>
          <w:vertAlign w:val="superscript"/>
        </w:rPr>
        <w:t>-8</w:t>
      </w:r>
      <w:r>
        <w:rPr>
          <w:sz w:val="24"/>
        </w:rPr>
        <w:t>m</w:t>
      </w:r>
      <w:r>
        <w:rPr>
          <w:sz w:val="24"/>
          <w:vertAlign w:val="superscript"/>
        </w:rPr>
        <w:t>3</w:t>
      </w:r>
      <w:r>
        <w:rPr>
          <w:sz w:val="24"/>
        </w:rPr>
        <w:t>/d</w:t>
      </w:r>
      <w:r>
        <w:rPr>
          <w:rFonts w:hint="eastAsia"/>
          <w:sz w:val="24"/>
        </w:rPr>
        <w:t>。</w:t>
      </w:r>
    </w:p>
    <w:p w14:paraId="79D6CF52">
      <w:pPr>
        <w:spacing w:before="0" w:beforeLines="0" w:line="360" w:lineRule="auto"/>
        <w:ind w:firstLine="480" w:firstLineChars="200"/>
        <w:rPr>
          <w:sz w:val="24"/>
        </w:rPr>
      </w:pPr>
      <w:r>
        <w:rPr>
          <w:rFonts w:hint="eastAsia"/>
          <w:sz w:val="24"/>
        </w:rPr>
        <w:t>结果表明，在正常状况条件下，漏液的下渗量极小，对地下水的影响较小。</w:t>
      </w:r>
    </w:p>
    <w:p w14:paraId="40DC7F77">
      <w:pPr>
        <w:spacing w:before="0" w:beforeLines="0" w:line="360" w:lineRule="auto"/>
        <w:ind w:firstLine="480" w:firstLineChars="200"/>
        <w:rPr>
          <w:sz w:val="24"/>
        </w:rPr>
      </w:pPr>
      <w:r>
        <w:rPr>
          <w:rFonts w:hint="eastAsia"/>
          <w:sz w:val="24"/>
        </w:rPr>
        <w:t>此外，项目区域并无不良地质现象，在采取人工防渗后，只要严格按照相关建设标准和技术规范来进行施工和建设，能满足厂区防渗要求，可以取得预期的防渗效果，消除漏液对地下水的污染。因此本项目在正常状况下不会对地下水造成污染。</w:t>
      </w:r>
    </w:p>
    <w:p w14:paraId="6612C9AD">
      <w:pPr>
        <w:spacing w:before="0" w:beforeLines="0" w:line="360" w:lineRule="auto"/>
        <w:ind w:firstLine="480" w:firstLineChars="200"/>
        <w:rPr>
          <w:sz w:val="24"/>
        </w:rPr>
      </w:pPr>
      <w:r>
        <w:rPr>
          <w:rFonts w:hint="eastAsia"/>
          <w:sz w:val="24"/>
        </w:rPr>
        <w:t>（2）非正常状况</w:t>
      </w:r>
    </w:p>
    <w:p w14:paraId="12B94A6B">
      <w:pPr>
        <w:spacing w:before="0" w:beforeLines="0" w:line="360" w:lineRule="auto"/>
        <w:ind w:firstLine="480" w:firstLineChars="200"/>
        <w:rPr>
          <w:sz w:val="24"/>
        </w:rPr>
      </w:pPr>
      <w:r>
        <w:rPr>
          <w:rFonts w:hint="eastAsia"/>
          <w:sz w:val="24"/>
        </w:rPr>
        <w:t>非正常状况下，预测源强可根据工艺设备检修或地下水环境保护措施因系统老化或腐蚀程度等设定。根据建设项目场地地质条件、建设项目工程类型、规模、建筑物构造、材料、工艺过程等，项目运行阶段可能出现渗漏并不能及时处理的部分主要为以下</w:t>
      </w:r>
      <w:r>
        <w:rPr>
          <w:rFonts w:hint="eastAsia"/>
          <w:sz w:val="24"/>
          <w:lang w:eastAsia="zh-CN"/>
        </w:rPr>
        <w:t>两种</w:t>
      </w:r>
      <w:r>
        <w:rPr>
          <w:rFonts w:hint="eastAsia"/>
          <w:sz w:val="24"/>
        </w:rPr>
        <w:t>情况：</w:t>
      </w:r>
      <w:r>
        <w:rPr>
          <w:sz w:val="24"/>
        </w:rPr>
        <w:fldChar w:fldCharType="begin"/>
      </w:r>
      <w:r>
        <w:rPr>
          <w:sz w:val="24"/>
        </w:rPr>
        <w:instrText xml:space="preserve"> = 1 \* GB3 </w:instrText>
      </w:r>
      <w:r>
        <w:rPr>
          <w:sz w:val="24"/>
        </w:rPr>
        <w:fldChar w:fldCharType="separate"/>
      </w:r>
      <w:r>
        <w:rPr>
          <w:rFonts w:hint="eastAsia"/>
          <w:sz w:val="24"/>
        </w:rPr>
        <w:t>①</w:t>
      </w:r>
      <w:r>
        <w:rPr>
          <w:sz w:val="24"/>
        </w:rPr>
        <w:fldChar w:fldCharType="end"/>
      </w:r>
      <w:r>
        <w:rPr>
          <w:rFonts w:hint="eastAsia"/>
          <w:sz w:val="24"/>
        </w:rPr>
        <w:t>浓缩罐发生破损</w:t>
      </w:r>
      <w:r>
        <w:rPr>
          <w:rFonts w:hint="eastAsia"/>
          <w:sz w:val="24"/>
          <w:lang w:eastAsia="zh-CN"/>
        </w:rPr>
        <w:t>泄漏</w:t>
      </w:r>
      <w:r>
        <w:rPr>
          <w:rFonts w:hint="eastAsia"/>
          <w:sz w:val="24"/>
        </w:rPr>
        <w:t>；</w:t>
      </w:r>
      <w:r>
        <w:rPr>
          <w:sz w:val="24"/>
        </w:rPr>
        <w:fldChar w:fldCharType="begin"/>
      </w:r>
      <w:r>
        <w:rPr>
          <w:sz w:val="24"/>
        </w:rPr>
        <w:instrText xml:space="preserve"> = 2 \* GB3 </w:instrText>
      </w:r>
      <w:r>
        <w:rPr>
          <w:sz w:val="24"/>
        </w:rPr>
        <w:fldChar w:fldCharType="separate"/>
      </w:r>
      <w:r>
        <w:rPr>
          <w:rFonts w:hint="eastAsia"/>
          <w:sz w:val="24"/>
        </w:rPr>
        <w:t>②</w:t>
      </w:r>
      <w:r>
        <w:rPr>
          <w:sz w:val="24"/>
        </w:rPr>
        <w:fldChar w:fldCharType="end"/>
      </w:r>
      <w:r>
        <w:rPr>
          <w:rFonts w:hint="eastAsia"/>
          <w:sz w:val="24"/>
        </w:rPr>
        <w:t>废水输送管道发生破损。</w:t>
      </w:r>
    </w:p>
    <w:p w14:paraId="6F8C571C">
      <w:pPr>
        <w:spacing w:before="0" w:beforeLines="0" w:line="360" w:lineRule="auto"/>
        <w:ind w:firstLine="480" w:firstLineChars="200"/>
        <w:rPr>
          <w:sz w:val="24"/>
        </w:rPr>
      </w:pPr>
      <w:r>
        <w:rPr>
          <w:rFonts w:hint="eastAsia"/>
          <w:sz w:val="24"/>
        </w:rPr>
        <w:t>漏液能否进入含水层取决于地质、水文地质条件。由于潜水含水层的埋藏特点导致其在任何部位都可接受补给，污染的危险性较大。因此本次评价主要对非正常状况地下水环境影响进行预测分析。废水于输送管道间停留时间较短，且导流管线防渗设置较完善，出现腐蚀破裂的情况较少，出现破损情况能够第一时间发现并进行控制，因此本次评价对其不作分析。</w:t>
      </w:r>
    </w:p>
    <w:p w14:paraId="75F6CC66">
      <w:pPr>
        <w:spacing w:before="0" w:beforeLines="0" w:line="360" w:lineRule="auto"/>
        <w:ind w:firstLine="480" w:firstLineChars="200"/>
        <w:rPr>
          <w:sz w:val="24"/>
        </w:rPr>
      </w:pPr>
      <w:r>
        <w:rPr>
          <w:rFonts w:hint="eastAsia"/>
          <w:sz w:val="24"/>
        </w:rPr>
        <w:t>在已经建立的天然渗流场基础上进行设定情景的地下水环境影响预测，预测时间最长为</w:t>
      </w:r>
      <w:r>
        <w:rPr>
          <w:sz w:val="24"/>
        </w:rPr>
        <w:t>10</w:t>
      </w:r>
      <w:r>
        <w:rPr>
          <w:rFonts w:hint="eastAsia"/>
          <w:sz w:val="24"/>
        </w:rPr>
        <w:t>年。对建设项目的浓缩罐在非正常状况下发生渗漏时，可能对地下水造成的影响进行模拟预测。并对下游厂界处地下水污染物浓度随时间的变化进行预测。</w:t>
      </w:r>
    </w:p>
    <w:p w14:paraId="180C4F61">
      <w:pPr>
        <w:spacing w:before="0" w:beforeLines="0" w:line="360" w:lineRule="auto"/>
        <w:ind w:firstLine="480" w:firstLineChars="200"/>
        <w:rPr>
          <w:sz w:val="24"/>
        </w:rPr>
      </w:pPr>
      <w:r>
        <w:rPr>
          <w:rFonts w:hint="eastAsia"/>
          <w:sz w:val="24"/>
        </w:rPr>
        <w:t>根据《给水排水构筑物工程施工及验收规范》（GB50141-2008）中规定钢筋混凝土水池不得超过2L/m</w:t>
      </w:r>
      <w:r>
        <w:rPr>
          <w:rFonts w:hint="eastAsia"/>
          <w:sz w:val="24"/>
          <w:vertAlign w:val="superscript"/>
        </w:rPr>
        <w:t>2</w:t>
      </w:r>
      <w:r>
        <w:rPr>
          <w:rFonts w:hint="eastAsia"/>
          <w:sz w:val="24"/>
        </w:rPr>
        <w:t>·d。结合浓缩罐围堰尺寸计算渗漏量为1.0m</w:t>
      </w:r>
      <w:r>
        <w:rPr>
          <w:rFonts w:hint="eastAsia"/>
          <w:sz w:val="24"/>
          <w:vertAlign w:val="superscript"/>
        </w:rPr>
        <w:t>3</w:t>
      </w:r>
      <w:r>
        <w:rPr>
          <w:rFonts w:hint="eastAsia"/>
          <w:sz w:val="24"/>
        </w:rPr>
        <w:t>/d。假设渗漏发生30天后下游监测井发现异常，采取有效措施停止渗漏。因此，模型中设置渗漏时间为30天，不考虑包气带吸附等作用，模拟污水全部进入地下水体。</w:t>
      </w:r>
    </w:p>
    <w:p w14:paraId="082D96BE">
      <w:pPr>
        <w:spacing w:before="0" w:beforeLines="0" w:line="360" w:lineRule="auto"/>
        <w:ind w:firstLine="480" w:firstLineChars="200"/>
        <w:rPr>
          <w:sz w:val="24"/>
        </w:rPr>
      </w:pPr>
      <w:bookmarkStart w:id="551" w:name="_Hlk194856327"/>
      <w:r>
        <w:rPr>
          <w:rFonts w:hint="eastAsia"/>
          <w:sz w:val="24"/>
        </w:rPr>
        <w:t>依据地下水导则，按重金属、持久性有机物和其他污染物选取预测因子。</w:t>
      </w:r>
      <w:bookmarkEnd w:id="551"/>
      <w:bookmarkStart w:id="552" w:name="_Hlk194856347"/>
      <w:r>
        <w:rPr>
          <w:rFonts w:hint="eastAsia"/>
          <w:sz w:val="24"/>
        </w:rPr>
        <w:t>结合泥饼浸出液中污染物浓度，根据标准指数法排序，选取本项目预测因子。根据泥饼浸出液检测结果，仅石油类、汞及铍为检出项，其余因子均未检出。因此，本项目选取汞、铍及石油类作为预测因子进行模拟预测。</w:t>
      </w:r>
      <w:bookmarkEnd w:id="552"/>
    </w:p>
    <w:p w14:paraId="2B4E0C7D">
      <w:pPr>
        <w:spacing w:before="0" w:beforeLines="0" w:line="360" w:lineRule="auto"/>
        <w:ind w:firstLine="480" w:firstLineChars="200"/>
        <w:rPr>
          <w:sz w:val="24"/>
        </w:rPr>
      </w:pPr>
      <w:r>
        <w:rPr>
          <w:rFonts w:hint="eastAsia"/>
          <w:sz w:val="24"/>
        </w:rPr>
        <w:t>模拟预测选择污染浓度最大浓度作为预测浓度，因此石油类源强选取为1.28</w:t>
      </w:r>
      <w:r>
        <w:rPr>
          <w:sz w:val="24"/>
        </w:rPr>
        <w:t>mg/L</w:t>
      </w:r>
      <w:r>
        <w:rPr>
          <w:rFonts w:hint="eastAsia"/>
          <w:sz w:val="24"/>
        </w:rPr>
        <w:t>，铍选取为0.00382mg/L；汞检出值低于标准值浓度，为了表现出重金属汞对地下水环境的影响程度，故选取汞检出值浓度10倍进行预测，故汞选取为0.0032mg/L。</w:t>
      </w:r>
    </w:p>
    <w:p w14:paraId="2C9AB838">
      <w:pPr>
        <w:spacing w:before="0" w:beforeLines="0" w:line="360" w:lineRule="auto"/>
        <w:ind w:firstLine="480" w:firstLineChars="200"/>
        <w:rPr>
          <w:sz w:val="24"/>
        </w:rPr>
      </w:pPr>
      <w:r>
        <w:rPr>
          <w:rFonts w:hint="eastAsia" w:hAnsi="宋体"/>
          <w:sz w:val="24"/>
        </w:rPr>
        <w:t>以上数据代入本次模型中，模型进行计算，得出地下水预测结论。</w:t>
      </w:r>
    </w:p>
    <w:p w14:paraId="4699FB49">
      <w:pPr>
        <w:pStyle w:val="5"/>
        <w:rPr>
          <w:color w:val="auto"/>
        </w:rPr>
      </w:pPr>
      <w:bookmarkStart w:id="553" w:name="_Toc11079209"/>
      <w:bookmarkStart w:id="554" w:name="_Toc508453041"/>
      <w:bookmarkStart w:id="555" w:name="_Toc18249"/>
      <w:r>
        <w:rPr>
          <w:color w:val="auto"/>
        </w:rPr>
        <w:t>5.7</w:t>
      </w:r>
      <w:r>
        <w:rPr>
          <w:rFonts w:hint="eastAsia"/>
          <w:color w:val="auto"/>
        </w:rPr>
        <w:t>.4模型预测</w:t>
      </w:r>
      <w:bookmarkEnd w:id="553"/>
      <w:bookmarkEnd w:id="554"/>
      <w:bookmarkEnd w:id="555"/>
    </w:p>
    <w:p w14:paraId="5A832C07">
      <w:pPr>
        <w:spacing w:before="0" w:beforeLines="0" w:line="360" w:lineRule="auto"/>
        <w:ind w:firstLine="480" w:firstLineChars="200"/>
        <w:rPr>
          <w:sz w:val="24"/>
        </w:rPr>
      </w:pPr>
      <w:r>
        <w:rPr>
          <w:rFonts w:hint="eastAsia"/>
          <w:sz w:val="24"/>
        </w:rPr>
        <w:t>（1）浓缩罐石油类预测</w:t>
      </w:r>
    </w:p>
    <w:p w14:paraId="753CE9B9">
      <w:pPr>
        <w:spacing w:before="0" w:beforeLines="0" w:line="360" w:lineRule="auto"/>
        <w:ind w:firstLine="480" w:firstLineChars="200"/>
        <w:rPr>
          <w:sz w:val="24"/>
        </w:rPr>
      </w:pPr>
      <w:r>
        <w:rPr>
          <w:rFonts w:hint="eastAsia"/>
          <w:sz w:val="24"/>
        </w:rPr>
        <w:t>石油类以《生活饮用水卫生标准》（GB5479-2022）</w:t>
      </w:r>
      <w:r>
        <w:rPr>
          <w:rFonts w:hint="eastAsia" w:hAnsi="宋体"/>
          <w:sz w:val="24"/>
        </w:rPr>
        <w:t>中</w:t>
      </w:r>
      <w:r>
        <w:rPr>
          <w:rFonts w:hint="eastAsia"/>
          <w:sz w:val="24"/>
        </w:rPr>
        <w:t>石油类</w:t>
      </w:r>
      <w:r>
        <w:rPr>
          <w:rFonts w:hAnsi="宋体"/>
          <w:sz w:val="24"/>
        </w:rPr>
        <w:t>标准</w:t>
      </w:r>
      <w:r>
        <w:rPr>
          <w:rFonts w:hint="eastAsia"/>
          <w:sz w:val="24"/>
        </w:rPr>
        <w:t>（0.05</w:t>
      </w:r>
      <w:r>
        <w:rPr>
          <w:sz w:val="24"/>
        </w:rPr>
        <w:t>mg/L</w:t>
      </w:r>
      <w:r>
        <w:rPr>
          <w:rFonts w:hint="eastAsia"/>
          <w:sz w:val="24"/>
        </w:rPr>
        <w:t>）作为污染羽的最小值。将上述源强信息代入模型，得出石油类预测结果。</w:t>
      </w:r>
    </w:p>
    <w:p w14:paraId="37E4A506">
      <w:pPr>
        <w:adjustRightInd w:val="0"/>
        <w:snapToGrid w:val="0"/>
        <w:spacing w:before="60" w:beforeLines="0" w:line="240" w:lineRule="auto"/>
        <w:jc w:val="center"/>
        <w:rPr>
          <w:b/>
          <w:bCs/>
        </w:rPr>
      </w:pPr>
      <w:r>
        <w:rPr>
          <w:b/>
        </w:rPr>
        <w:drawing>
          <wp:inline distT="0" distB="0" distL="0" distR="0">
            <wp:extent cx="5276850" cy="2743200"/>
            <wp:effectExtent l="0" t="0" r="0" b="0"/>
            <wp:docPr id="663050217" name="图片 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050217" name="图片 8" descr="1"/>
                    <pic:cNvPicPr>
                      <a:picLocks noChangeAspect="1" noChangeArrowheads="1"/>
                    </pic:cNvPicPr>
                  </pic:nvPicPr>
                  <pic:blipFill>
                    <a:blip r:embed="rId110"/>
                    <a:srcRect/>
                    <a:stretch>
                      <a:fillRect/>
                    </a:stretch>
                  </pic:blipFill>
                  <pic:spPr>
                    <a:xfrm>
                      <a:off x="0" y="0"/>
                      <a:ext cx="5276850" cy="2743200"/>
                    </a:xfrm>
                    <a:prstGeom prst="rect">
                      <a:avLst/>
                    </a:prstGeom>
                    <a:noFill/>
                    <a:ln>
                      <a:noFill/>
                    </a:ln>
                  </pic:spPr>
                </pic:pic>
              </a:graphicData>
            </a:graphic>
          </wp:inline>
        </w:drawing>
      </w:r>
    </w:p>
    <w:p w14:paraId="599BB8BC">
      <w:pPr>
        <w:adjustRightInd w:val="0"/>
        <w:snapToGrid w:val="0"/>
        <w:spacing w:before="0" w:beforeLines="0" w:line="240" w:lineRule="auto"/>
        <w:jc w:val="center"/>
        <w:rPr>
          <w:b/>
          <w:bCs/>
          <w:szCs w:val="21"/>
        </w:rPr>
      </w:pPr>
      <w:r>
        <w:rPr>
          <w:rFonts w:hint="eastAsia"/>
          <w:b/>
          <w:bCs/>
          <w:szCs w:val="21"/>
        </w:rPr>
        <w:t>图5.7-4     渗漏</w:t>
      </w:r>
      <w:r>
        <w:rPr>
          <w:b/>
          <w:bCs/>
          <w:szCs w:val="21"/>
        </w:rPr>
        <w:t>10</w:t>
      </w:r>
      <w:r>
        <w:rPr>
          <w:rFonts w:hint="eastAsia"/>
          <w:b/>
          <w:bCs/>
          <w:szCs w:val="21"/>
        </w:rPr>
        <w:t>天污染影响范围（</w:t>
      </w:r>
      <w:r>
        <w:rPr>
          <w:rFonts w:hint="eastAsia"/>
          <w:b/>
          <w:szCs w:val="21"/>
        </w:rPr>
        <w:t>石油类</w:t>
      </w:r>
      <w:r>
        <w:rPr>
          <w:rFonts w:hint="eastAsia"/>
          <w:b/>
          <w:bCs/>
          <w:szCs w:val="21"/>
        </w:rPr>
        <w:t>）</w:t>
      </w:r>
    </w:p>
    <w:p w14:paraId="460AF12B">
      <w:pPr>
        <w:adjustRightInd w:val="0"/>
        <w:snapToGrid w:val="0"/>
        <w:spacing w:before="0" w:beforeLines="0" w:line="240" w:lineRule="auto"/>
        <w:jc w:val="center"/>
        <w:rPr>
          <w:b/>
          <w:bCs/>
        </w:rPr>
      </w:pPr>
      <w:r>
        <w:rPr>
          <w:b/>
        </w:rPr>
        <w:drawing>
          <wp:inline distT="0" distB="0" distL="0" distR="0">
            <wp:extent cx="5267325" cy="2743200"/>
            <wp:effectExtent l="0" t="0" r="9525" b="0"/>
            <wp:docPr id="2" name="图片 7"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7" descr="2"/>
                    <pic:cNvPicPr>
                      <a:picLocks noChangeAspect="1" noChangeArrowheads="1"/>
                    </pic:cNvPicPr>
                  </pic:nvPicPr>
                  <pic:blipFill>
                    <a:blip r:embed="rId111"/>
                    <a:srcRect/>
                    <a:stretch>
                      <a:fillRect/>
                    </a:stretch>
                  </pic:blipFill>
                  <pic:spPr>
                    <a:xfrm>
                      <a:off x="0" y="0"/>
                      <a:ext cx="5267325" cy="2743200"/>
                    </a:xfrm>
                    <a:prstGeom prst="rect">
                      <a:avLst/>
                    </a:prstGeom>
                    <a:noFill/>
                    <a:ln>
                      <a:noFill/>
                    </a:ln>
                  </pic:spPr>
                </pic:pic>
              </a:graphicData>
            </a:graphic>
          </wp:inline>
        </w:drawing>
      </w:r>
    </w:p>
    <w:p w14:paraId="2CD2D58A">
      <w:pPr>
        <w:adjustRightInd w:val="0"/>
        <w:snapToGrid w:val="0"/>
        <w:spacing w:before="0" w:beforeLines="0" w:line="240" w:lineRule="auto"/>
        <w:jc w:val="center"/>
        <w:rPr>
          <w:b/>
          <w:bCs/>
          <w:szCs w:val="21"/>
        </w:rPr>
      </w:pPr>
      <w:r>
        <w:rPr>
          <w:rFonts w:hint="eastAsia"/>
          <w:b/>
          <w:bCs/>
          <w:szCs w:val="21"/>
        </w:rPr>
        <w:t xml:space="preserve">图5.7-5     </w:t>
      </w:r>
      <w:r>
        <w:rPr>
          <w:b/>
          <w:bCs/>
          <w:szCs w:val="21"/>
        </w:rPr>
        <w:t xml:space="preserve"> </w:t>
      </w:r>
      <w:r>
        <w:rPr>
          <w:rFonts w:hint="eastAsia"/>
          <w:b/>
          <w:bCs/>
          <w:szCs w:val="21"/>
        </w:rPr>
        <w:t>渗漏</w:t>
      </w:r>
      <w:r>
        <w:rPr>
          <w:b/>
          <w:bCs/>
          <w:szCs w:val="21"/>
        </w:rPr>
        <w:t>30</w:t>
      </w:r>
      <w:r>
        <w:rPr>
          <w:rFonts w:hint="eastAsia"/>
          <w:b/>
          <w:bCs/>
          <w:szCs w:val="21"/>
        </w:rPr>
        <w:t>天污染影响范围（</w:t>
      </w:r>
      <w:r>
        <w:rPr>
          <w:rFonts w:hint="eastAsia"/>
          <w:b/>
          <w:szCs w:val="21"/>
        </w:rPr>
        <w:t>石油类</w:t>
      </w:r>
      <w:r>
        <w:rPr>
          <w:rFonts w:hint="eastAsia"/>
          <w:b/>
          <w:bCs/>
          <w:szCs w:val="21"/>
        </w:rPr>
        <w:t>）</w:t>
      </w:r>
    </w:p>
    <w:p w14:paraId="2F56DD96">
      <w:pPr>
        <w:adjustRightInd w:val="0"/>
        <w:snapToGrid w:val="0"/>
        <w:spacing w:before="0" w:beforeLines="0" w:line="240" w:lineRule="auto"/>
        <w:jc w:val="center"/>
        <w:rPr>
          <w:b/>
          <w:bCs/>
        </w:rPr>
      </w:pPr>
      <w:r>
        <w:rPr>
          <w:b/>
        </w:rPr>
        <w:drawing>
          <wp:inline distT="0" distB="0" distL="0" distR="0">
            <wp:extent cx="5257800" cy="2743200"/>
            <wp:effectExtent l="0" t="0" r="0" b="0"/>
            <wp:docPr id="3" name="图片 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 descr="3"/>
                    <pic:cNvPicPr>
                      <a:picLocks noChangeAspect="1" noChangeArrowheads="1"/>
                    </pic:cNvPicPr>
                  </pic:nvPicPr>
                  <pic:blipFill>
                    <a:blip r:embed="rId112"/>
                    <a:srcRect/>
                    <a:stretch>
                      <a:fillRect/>
                    </a:stretch>
                  </pic:blipFill>
                  <pic:spPr>
                    <a:xfrm>
                      <a:off x="0" y="0"/>
                      <a:ext cx="5257800" cy="2743200"/>
                    </a:xfrm>
                    <a:prstGeom prst="rect">
                      <a:avLst/>
                    </a:prstGeom>
                    <a:noFill/>
                    <a:ln>
                      <a:noFill/>
                    </a:ln>
                  </pic:spPr>
                </pic:pic>
              </a:graphicData>
            </a:graphic>
          </wp:inline>
        </w:drawing>
      </w:r>
    </w:p>
    <w:p w14:paraId="327F7DCA">
      <w:pPr>
        <w:adjustRightInd w:val="0"/>
        <w:snapToGrid w:val="0"/>
        <w:spacing w:before="0" w:beforeLines="0" w:line="240" w:lineRule="auto"/>
        <w:jc w:val="center"/>
        <w:rPr>
          <w:b/>
          <w:bCs/>
          <w:szCs w:val="21"/>
        </w:rPr>
      </w:pPr>
      <w:r>
        <w:rPr>
          <w:rFonts w:hint="eastAsia"/>
          <w:b/>
          <w:bCs/>
          <w:szCs w:val="21"/>
        </w:rPr>
        <w:t xml:space="preserve">图5.7-6    </w:t>
      </w:r>
      <w:r>
        <w:rPr>
          <w:b/>
          <w:bCs/>
          <w:szCs w:val="21"/>
        </w:rPr>
        <w:t xml:space="preserve"> </w:t>
      </w:r>
      <w:r>
        <w:rPr>
          <w:rFonts w:hint="eastAsia"/>
          <w:b/>
          <w:bCs/>
          <w:szCs w:val="21"/>
        </w:rPr>
        <w:t>渗漏</w:t>
      </w:r>
      <w:r>
        <w:rPr>
          <w:b/>
          <w:bCs/>
          <w:szCs w:val="21"/>
        </w:rPr>
        <w:t>40</w:t>
      </w:r>
      <w:r>
        <w:rPr>
          <w:rFonts w:hint="eastAsia"/>
          <w:b/>
          <w:bCs/>
          <w:szCs w:val="21"/>
        </w:rPr>
        <w:t>天污染影响范围（</w:t>
      </w:r>
      <w:r>
        <w:rPr>
          <w:rFonts w:hint="eastAsia"/>
          <w:b/>
          <w:szCs w:val="21"/>
        </w:rPr>
        <w:t>石油类</w:t>
      </w:r>
      <w:r>
        <w:rPr>
          <w:rFonts w:hint="eastAsia"/>
          <w:b/>
          <w:bCs/>
          <w:szCs w:val="21"/>
        </w:rPr>
        <w:t>）</w:t>
      </w:r>
    </w:p>
    <w:p w14:paraId="60096DFF">
      <w:pPr>
        <w:adjustRightInd w:val="0"/>
        <w:snapToGrid w:val="0"/>
        <w:spacing w:before="0" w:beforeLines="0" w:line="240" w:lineRule="auto"/>
        <w:jc w:val="center"/>
        <w:rPr>
          <w:b/>
          <w:bCs/>
        </w:rPr>
      </w:pPr>
      <w:r>
        <w:rPr>
          <w:b/>
        </w:rPr>
        <w:drawing>
          <wp:inline distT="0" distB="0" distL="0" distR="0">
            <wp:extent cx="5267325" cy="2743200"/>
            <wp:effectExtent l="0" t="0" r="9525" b="0"/>
            <wp:docPr id="4" name="图片 5"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4"/>
                    <pic:cNvPicPr>
                      <a:picLocks noChangeAspect="1" noChangeArrowheads="1"/>
                    </pic:cNvPicPr>
                  </pic:nvPicPr>
                  <pic:blipFill>
                    <a:blip r:embed="rId113"/>
                    <a:srcRect/>
                    <a:stretch>
                      <a:fillRect/>
                    </a:stretch>
                  </pic:blipFill>
                  <pic:spPr>
                    <a:xfrm>
                      <a:off x="0" y="0"/>
                      <a:ext cx="5267325" cy="2743200"/>
                    </a:xfrm>
                    <a:prstGeom prst="rect">
                      <a:avLst/>
                    </a:prstGeom>
                    <a:noFill/>
                    <a:ln>
                      <a:noFill/>
                    </a:ln>
                  </pic:spPr>
                </pic:pic>
              </a:graphicData>
            </a:graphic>
          </wp:inline>
        </w:drawing>
      </w:r>
    </w:p>
    <w:p w14:paraId="64CDB1A4">
      <w:pPr>
        <w:adjustRightInd w:val="0"/>
        <w:snapToGrid w:val="0"/>
        <w:spacing w:before="0" w:beforeLines="0" w:line="240" w:lineRule="auto"/>
        <w:jc w:val="center"/>
        <w:rPr>
          <w:b/>
          <w:bCs/>
          <w:szCs w:val="21"/>
        </w:rPr>
      </w:pPr>
      <w:r>
        <w:rPr>
          <w:rFonts w:hint="eastAsia"/>
          <w:b/>
          <w:bCs/>
          <w:szCs w:val="21"/>
        </w:rPr>
        <w:t xml:space="preserve">图5.7-7    </w:t>
      </w:r>
      <w:r>
        <w:rPr>
          <w:b/>
          <w:bCs/>
          <w:szCs w:val="21"/>
        </w:rPr>
        <w:t xml:space="preserve"> </w:t>
      </w:r>
      <w:r>
        <w:rPr>
          <w:rFonts w:hint="eastAsia"/>
          <w:b/>
          <w:bCs/>
          <w:szCs w:val="21"/>
        </w:rPr>
        <w:t>渗漏</w:t>
      </w:r>
      <w:r>
        <w:rPr>
          <w:b/>
          <w:bCs/>
          <w:szCs w:val="21"/>
        </w:rPr>
        <w:t>50</w:t>
      </w:r>
      <w:r>
        <w:rPr>
          <w:rFonts w:hint="eastAsia"/>
          <w:b/>
          <w:bCs/>
          <w:szCs w:val="21"/>
        </w:rPr>
        <w:t>天污染影响范围（</w:t>
      </w:r>
      <w:r>
        <w:rPr>
          <w:rFonts w:hint="eastAsia"/>
          <w:b/>
          <w:szCs w:val="21"/>
        </w:rPr>
        <w:t>石油类</w:t>
      </w:r>
      <w:r>
        <w:rPr>
          <w:rFonts w:hint="eastAsia"/>
          <w:b/>
          <w:bCs/>
          <w:szCs w:val="21"/>
        </w:rPr>
        <w:t>）</w:t>
      </w:r>
    </w:p>
    <w:p w14:paraId="4224D0E5">
      <w:pPr>
        <w:adjustRightInd w:val="0"/>
        <w:snapToGrid w:val="0"/>
        <w:spacing w:before="0" w:beforeLines="0" w:line="240" w:lineRule="auto"/>
        <w:jc w:val="center"/>
        <w:rPr>
          <w:b/>
          <w:bCs/>
        </w:rPr>
      </w:pPr>
      <w:r>
        <w:rPr>
          <w:b/>
        </w:rPr>
        <w:drawing>
          <wp:inline distT="0" distB="0" distL="0" distR="0">
            <wp:extent cx="5267325" cy="2752725"/>
            <wp:effectExtent l="0" t="0" r="9525" b="9525"/>
            <wp:docPr id="5" name="图片 5"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5"/>
                    <pic:cNvPicPr>
                      <a:picLocks noChangeAspect="1" noChangeArrowheads="1"/>
                    </pic:cNvPicPr>
                  </pic:nvPicPr>
                  <pic:blipFill>
                    <a:blip r:embed="rId114"/>
                    <a:srcRect/>
                    <a:stretch>
                      <a:fillRect/>
                    </a:stretch>
                  </pic:blipFill>
                  <pic:spPr>
                    <a:xfrm>
                      <a:off x="0" y="0"/>
                      <a:ext cx="5267325" cy="2752725"/>
                    </a:xfrm>
                    <a:prstGeom prst="rect">
                      <a:avLst/>
                    </a:prstGeom>
                    <a:noFill/>
                    <a:ln>
                      <a:noFill/>
                    </a:ln>
                  </pic:spPr>
                </pic:pic>
              </a:graphicData>
            </a:graphic>
          </wp:inline>
        </w:drawing>
      </w:r>
    </w:p>
    <w:p w14:paraId="196EC5BF">
      <w:pPr>
        <w:adjustRightInd w:val="0"/>
        <w:snapToGrid w:val="0"/>
        <w:spacing w:before="0" w:beforeLines="0" w:line="240" w:lineRule="auto"/>
        <w:jc w:val="center"/>
        <w:rPr>
          <w:b/>
          <w:bCs/>
          <w:szCs w:val="21"/>
        </w:rPr>
      </w:pPr>
      <w:r>
        <w:rPr>
          <w:rFonts w:hint="eastAsia"/>
          <w:b/>
          <w:bCs/>
          <w:szCs w:val="21"/>
        </w:rPr>
        <w:t>图5.7-8   渗漏</w:t>
      </w:r>
      <w:r>
        <w:rPr>
          <w:b/>
          <w:bCs/>
          <w:szCs w:val="21"/>
        </w:rPr>
        <w:t>58</w:t>
      </w:r>
      <w:r>
        <w:rPr>
          <w:rFonts w:hint="eastAsia"/>
          <w:b/>
          <w:bCs/>
          <w:szCs w:val="21"/>
        </w:rPr>
        <w:t>天污染影响范围（</w:t>
      </w:r>
      <w:r>
        <w:rPr>
          <w:rFonts w:hint="eastAsia"/>
          <w:b/>
          <w:szCs w:val="21"/>
        </w:rPr>
        <w:t>石油类</w:t>
      </w:r>
      <w:r>
        <w:rPr>
          <w:rFonts w:hint="eastAsia"/>
          <w:b/>
          <w:bCs/>
          <w:szCs w:val="21"/>
        </w:rPr>
        <w:t>）</w:t>
      </w:r>
    </w:p>
    <w:p w14:paraId="49A50116">
      <w:pPr>
        <w:adjustRightInd w:val="0"/>
        <w:snapToGrid w:val="0"/>
        <w:spacing w:before="0" w:beforeLines="0" w:line="240" w:lineRule="auto"/>
        <w:jc w:val="center"/>
        <w:rPr>
          <w:b/>
          <w:bCs/>
        </w:rPr>
      </w:pPr>
      <w:r>
        <w:rPr>
          <w:b/>
        </w:rPr>
        <w:drawing>
          <wp:inline distT="0" distB="0" distL="0" distR="0">
            <wp:extent cx="5267325" cy="2743200"/>
            <wp:effectExtent l="0" t="0" r="9525" b="0"/>
            <wp:docPr id="6" name="图片 4"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0"/>
                    <pic:cNvPicPr>
                      <a:picLocks noChangeAspect="1" noChangeArrowheads="1"/>
                    </pic:cNvPicPr>
                  </pic:nvPicPr>
                  <pic:blipFill>
                    <a:blip r:embed="rId115"/>
                    <a:srcRect/>
                    <a:stretch>
                      <a:fillRect/>
                    </a:stretch>
                  </pic:blipFill>
                  <pic:spPr>
                    <a:xfrm>
                      <a:off x="0" y="0"/>
                      <a:ext cx="5267325" cy="2743200"/>
                    </a:xfrm>
                    <a:prstGeom prst="rect">
                      <a:avLst/>
                    </a:prstGeom>
                    <a:noFill/>
                    <a:ln>
                      <a:noFill/>
                    </a:ln>
                  </pic:spPr>
                </pic:pic>
              </a:graphicData>
            </a:graphic>
          </wp:inline>
        </w:drawing>
      </w:r>
    </w:p>
    <w:p w14:paraId="5A277485">
      <w:pPr>
        <w:adjustRightInd w:val="0"/>
        <w:snapToGrid w:val="0"/>
        <w:spacing w:before="0" w:beforeLines="0" w:line="240" w:lineRule="auto"/>
        <w:jc w:val="center"/>
        <w:rPr>
          <w:b/>
          <w:bCs/>
          <w:szCs w:val="21"/>
        </w:rPr>
      </w:pPr>
      <w:r>
        <w:rPr>
          <w:rFonts w:hint="eastAsia"/>
          <w:b/>
          <w:bCs/>
          <w:szCs w:val="21"/>
        </w:rPr>
        <w:t xml:space="preserve">图5.7-9   </w:t>
      </w:r>
      <w:r>
        <w:rPr>
          <w:b/>
          <w:bCs/>
          <w:szCs w:val="21"/>
        </w:rPr>
        <w:t xml:space="preserve">  </w:t>
      </w:r>
      <w:r>
        <w:rPr>
          <w:rFonts w:hint="eastAsia"/>
          <w:b/>
          <w:bCs/>
          <w:szCs w:val="21"/>
        </w:rPr>
        <w:t>渗漏</w:t>
      </w:r>
      <w:r>
        <w:rPr>
          <w:b/>
          <w:bCs/>
          <w:szCs w:val="21"/>
        </w:rPr>
        <w:t>60</w:t>
      </w:r>
      <w:r>
        <w:rPr>
          <w:rFonts w:hint="eastAsia"/>
          <w:b/>
          <w:bCs/>
          <w:szCs w:val="21"/>
        </w:rPr>
        <w:t>天污染影响范围（</w:t>
      </w:r>
      <w:r>
        <w:rPr>
          <w:rFonts w:hint="eastAsia"/>
          <w:b/>
          <w:szCs w:val="21"/>
        </w:rPr>
        <w:t>石油类</w:t>
      </w:r>
      <w:r>
        <w:rPr>
          <w:rFonts w:hint="eastAsia"/>
          <w:b/>
          <w:bCs/>
          <w:szCs w:val="21"/>
        </w:rPr>
        <w:t>）</w:t>
      </w:r>
    </w:p>
    <w:p w14:paraId="36ADEFC1">
      <w:pPr>
        <w:adjustRightInd w:val="0"/>
        <w:snapToGrid w:val="0"/>
        <w:spacing w:before="0" w:beforeLines="0" w:line="240" w:lineRule="auto"/>
        <w:jc w:val="center"/>
        <w:rPr>
          <w:b/>
          <w:bCs/>
        </w:rPr>
      </w:pPr>
      <w:r>
        <w:rPr>
          <w:b/>
        </w:rPr>
        <w:drawing>
          <wp:inline distT="0" distB="0" distL="0" distR="0">
            <wp:extent cx="5267325" cy="2743200"/>
            <wp:effectExtent l="0" t="0" r="9525" b="0"/>
            <wp:docPr id="1090431479" name="图片 3"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431479" name="图片 3" descr="0"/>
                    <pic:cNvPicPr>
                      <a:picLocks noChangeAspect="1" noChangeArrowheads="1"/>
                    </pic:cNvPicPr>
                  </pic:nvPicPr>
                  <pic:blipFill>
                    <a:blip r:embed="rId115"/>
                    <a:srcRect/>
                    <a:stretch>
                      <a:fillRect/>
                    </a:stretch>
                  </pic:blipFill>
                  <pic:spPr>
                    <a:xfrm>
                      <a:off x="0" y="0"/>
                      <a:ext cx="5267325" cy="2743200"/>
                    </a:xfrm>
                    <a:prstGeom prst="rect">
                      <a:avLst/>
                    </a:prstGeom>
                    <a:noFill/>
                    <a:ln>
                      <a:noFill/>
                    </a:ln>
                  </pic:spPr>
                </pic:pic>
              </a:graphicData>
            </a:graphic>
          </wp:inline>
        </w:drawing>
      </w:r>
    </w:p>
    <w:p w14:paraId="49D385FF">
      <w:pPr>
        <w:adjustRightInd w:val="0"/>
        <w:snapToGrid w:val="0"/>
        <w:spacing w:before="0" w:beforeLines="0" w:line="240" w:lineRule="auto"/>
        <w:jc w:val="center"/>
        <w:rPr>
          <w:b/>
          <w:bCs/>
          <w:szCs w:val="21"/>
        </w:rPr>
      </w:pPr>
      <w:r>
        <w:rPr>
          <w:rFonts w:hint="eastAsia"/>
          <w:b/>
          <w:bCs/>
          <w:szCs w:val="21"/>
        </w:rPr>
        <w:t xml:space="preserve">图5.7-10  </w:t>
      </w:r>
      <w:r>
        <w:rPr>
          <w:b/>
          <w:bCs/>
          <w:szCs w:val="21"/>
        </w:rPr>
        <w:t xml:space="preserve"> </w:t>
      </w:r>
      <w:r>
        <w:rPr>
          <w:rFonts w:hint="eastAsia"/>
          <w:b/>
          <w:bCs/>
          <w:szCs w:val="21"/>
        </w:rPr>
        <w:t>渗漏</w:t>
      </w:r>
      <w:r>
        <w:rPr>
          <w:b/>
          <w:bCs/>
          <w:szCs w:val="21"/>
        </w:rPr>
        <w:t>100</w:t>
      </w:r>
      <w:r>
        <w:rPr>
          <w:rFonts w:hint="eastAsia"/>
          <w:b/>
          <w:bCs/>
          <w:szCs w:val="21"/>
        </w:rPr>
        <w:t>天污染影响范围（</w:t>
      </w:r>
      <w:r>
        <w:rPr>
          <w:rFonts w:hint="eastAsia"/>
          <w:b/>
          <w:szCs w:val="21"/>
        </w:rPr>
        <w:t>石油类</w:t>
      </w:r>
      <w:r>
        <w:rPr>
          <w:rFonts w:hint="eastAsia"/>
          <w:b/>
          <w:bCs/>
          <w:szCs w:val="21"/>
        </w:rPr>
        <w:t>）</w:t>
      </w:r>
    </w:p>
    <w:p w14:paraId="52C85B08">
      <w:pPr>
        <w:adjustRightInd w:val="0"/>
        <w:snapToGrid w:val="0"/>
        <w:spacing w:before="0" w:beforeLines="0" w:line="240" w:lineRule="auto"/>
        <w:jc w:val="center"/>
        <w:rPr>
          <w:b/>
          <w:bCs/>
        </w:rPr>
      </w:pPr>
      <w:r>
        <w:rPr>
          <w:b/>
        </w:rPr>
        <w:drawing>
          <wp:inline distT="0" distB="0" distL="0" distR="0">
            <wp:extent cx="5267325" cy="2743200"/>
            <wp:effectExtent l="0" t="0" r="9525" b="0"/>
            <wp:docPr id="8" name="图片 2"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0"/>
                    <pic:cNvPicPr>
                      <a:picLocks noChangeAspect="1" noChangeArrowheads="1"/>
                    </pic:cNvPicPr>
                  </pic:nvPicPr>
                  <pic:blipFill>
                    <a:blip r:embed="rId115"/>
                    <a:srcRect/>
                    <a:stretch>
                      <a:fillRect/>
                    </a:stretch>
                  </pic:blipFill>
                  <pic:spPr>
                    <a:xfrm>
                      <a:off x="0" y="0"/>
                      <a:ext cx="5267325" cy="2743200"/>
                    </a:xfrm>
                    <a:prstGeom prst="rect">
                      <a:avLst/>
                    </a:prstGeom>
                    <a:noFill/>
                    <a:ln>
                      <a:noFill/>
                    </a:ln>
                  </pic:spPr>
                </pic:pic>
              </a:graphicData>
            </a:graphic>
          </wp:inline>
        </w:drawing>
      </w:r>
    </w:p>
    <w:p w14:paraId="6B59221D">
      <w:pPr>
        <w:adjustRightInd w:val="0"/>
        <w:snapToGrid w:val="0"/>
        <w:spacing w:before="0" w:beforeLines="0" w:line="240" w:lineRule="auto"/>
        <w:jc w:val="center"/>
        <w:rPr>
          <w:b/>
          <w:bCs/>
          <w:szCs w:val="21"/>
        </w:rPr>
      </w:pPr>
      <w:r>
        <w:rPr>
          <w:rFonts w:hint="eastAsia"/>
          <w:b/>
          <w:bCs/>
          <w:szCs w:val="21"/>
        </w:rPr>
        <w:t>图5.7-11   渗漏</w:t>
      </w:r>
      <w:r>
        <w:rPr>
          <w:b/>
          <w:bCs/>
          <w:szCs w:val="21"/>
        </w:rPr>
        <w:t>1000</w:t>
      </w:r>
      <w:r>
        <w:rPr>
          <w:rFonts w:hint="eastAsia"/>
          <w:b/>
          <w:bCs/>
          <w:szCs w:val="21"/>
        </w:rPr>
        <w:t>天污染影响范围（</w:t>
      </w:r>
      <w:r>
        <w:rPr>
          <w:rFonts w:hint="eastAsia"/>
          <w:b/>
          <w:szCs w:val="21"/>
        </w:rPr>
        <w:t>石油类</w:t>
      </w:r>
      <w:r>
        <w:rPr>
          <w:rFonts w:hint="eastAsia"/>
          <w:b/>
          <w:bCs/>
          <w:szCs w:val="21"/>
        </w:rPr>
        <w:t>）</w:t>
      </w:r>
    </w:p>
    <w:p w14:paraId="557E9511">
      <w:pPr>
        <w:adjustRightInd w:val="0"/>
        <w:snapToGrid w:val="0"/>
        <w:spacing w:before="0" w:beforeLines="0" w:line="240" w:lineRule="auto"/>
        <w:jc w:val="center"/>
        <w:rPr>
          <w:b/>
          <w:bCs/>
        </w:rPr>
      </w:pPr>
      <w:r>
        <w:rPr>
          <w:b/>
        </w:rPr>
        <w:drawing>
          <wp:inline distT="0" distB="0" distL="0" distR="0">
            <wp:extent cx="5267325" cy="2743200"/>
            <wp:effectExtent l="0" t="0" r="9525" b="0"/>
            <wp:docPr id="9" name="图片 1"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0"/>
                    <pic:cNvPicPr>
                      <a:picLocks noChangeAspect="1" noChangeArrowheads="1"/>
                    </pic:cNvPicPr>
                  </pic:nvPicPr>
                  <pic:blipFill>
                    <a:blip r:embed="rId115"/>
                    <a:srcRect/>
                    <a:stretch>
                      <a:fillRect/>
                    </a:stretch>
                  </pic:blipFill>
                  <pic:spPr>
                    <a:xfrm>
                      <a:off x="0" y="0"/>
                      <a:ext cx="5267325" cy="2743200"/>
                    </a:xfrm>
                    <a:prstGeom prst="rect">
                      <a:avLst/>
                    </a:prstGeom>
                    <a:noFill/>
                    <a:ln>
                      <a:noFill/>
                    </a:ln>
                  </pic:spPr>
                </pic:pic>
              </a:graphicData>
            </a:graphic>
          </wp:inline>
        </w:drawing>
      </w:r>
    </w:p>
    <w:p w14:paraId="7429819E">
      <w:pPr>
        <w:adjustRightInd w:val="0"/>
        <w:snapToGrid w:val="0"/>
        <w:spacing w:before="60" w:beforeLines="0" w:line="240" w:lineRule="auto"/>
        <w:jc w:val="center"/>
        <w:rPr>
          <w:b/>
          <w:bCs/>
          <w:szCs w:val="21"/>
        </w:rPr>
      </w:pPr>
      <w:r>
        <w:rPr>
          <w:rFonts w:hint="eastAsia"/>
          <w:b/>
          <w:bCs/>
          <w:szCs w:val="21"/>
        </w:rPr>
        <w:t xml:space="preserve">图5.7-12    </w:t>
      </w:r>
      <w:r>
        <w:rPr>
          <w:b/>
          <w:bCs/>
          <w:szCs w:val="21"/>
        </w:rPr>
        <w:t xml:space="preserve">  </w:t>
      </w:r>
      <w:r>
        <w:rPr>
          <w:rFonts w:hint="eastAsia"/>
          <w:b/>
          <w:bCs/>
          <w:szCs w:val="21"/>
        </w:rPr>
        <w:t>渗漏</w:t>
      </w:r>
      <w:r>
        <w:rPr>
          <w:b/>
          <w:bCs/>
          <w:szCs w:val="21"/>
        </w:rPr>
        <w:t>3650</w:t>
      </w:r>
      <w:r>
        <w:rPr>
          <w:rFonts w:hint="eastAsia"/>
          <w:b/>
          <w:bCs/>
          <w:szCs w:val="21"/>
        </w:rPr>
        <w:t>天污染影响范围（</w:t>
      </w:r>
      <w:r>
        <w:rPr>
          <w:rFonts w:hint="eastAsia"/>
          <w:b/>
          <w:szCs w:val="21"/>
        </w:rPr>
        <w:t>石油类</w:t>
      </w:r>
      <w:r>
        <w:rPr>
          <w:rFonts w:hint="eastAsia"/>
          <w:b/>
          <w:bCs/>
          <w:szCs w:val="21"/>
        </w:rPr>
        <w:t>）</w:t>
      </w:r>
    </w:p>
    <w:p w14:paraId="3EC2A0A4">
      <w:pPr>
        <w:spacing w:before="0" w:beforeLines="0" w:line="360" w:lineRule="auto"/>
        <w:ind w:firstLine="480" w:firstLineChars="200"/>
        <w:rPr>
          <w:sz w:val="24"/>
        </w:rPr>
      </w:pPr>
      <w:r>
        <w:rPr>
          <w:rFonts w:hint="eastAsia"/>
          <w:sz w:val="24"/>
        </w:rPr>
        <w:t>模拟结果中，0.05</w:t>
      </w:r>
      <w:r>
        <w:rPr>
          <w:sz w:val="24"/>
        </w:rPr>
        <w:t>mg/L</w:t>
      </w:r>
      <w:r>
        <w:rPr>
          <w:rFonts w:hint="eastAsia"/>
          <w:sz w:val="24"/>
        </w:rPr>
        <w:t>作为污染羽最小值。根据模拟结果可知，非正常状况下发生泄漏时，污染物进入地下水，在水流作用下向地下水径流的下游方向运移，并不断向周边扩散，形成污染羽。</w:t>
      </w:r>
    </w:p>
    <w:p w14:paraId="4B9990DD">
      <w:pPr>
        <w:spacing w:before="0" w:beforeLines="0" w:line="360" w:lineRule="auto"/>
        <w:ind w:firstLine="480" w:firstLineChars="200"/>
        <w:rPr>
          <w:sz w:val="24"/>
        </w:rPr>
      </w:pPr>
      <w:r>
        <w:rPr>
          <w:rFonts w:hint="eastAsia"/>
          <w:sz w:val="24"/>
        </w:rPr>
        <w:t>泄漏发生10天时，污染物浓度最大值主要位于浓缩罐区处，由于污染物持续</w:t>
      </w:r>
      <w:r>
        <w:rPr>
          <w:rFonts w:hint="eastAsia"/>
          <w:sz w:val="24"/>
          <w:lang w:eastAsia="zh-CN"/>
        </w:rPr>
        <w:t>泄漏</w:t>
      </w:r>
      <w:r>
        <w:rPr>
          <w:rFonts w:hint="eastAsia"/>
          <w:sz w:val="24"/>
        </w:rPr>
        <w:t>，浓度最大值为0.3</w:t>
      </w:r>
      <w:r>
        <w:rPr>
          <w:sz w:val="24"/>
        </w:rPr>
        <w:t>mg/L</w:t>
      </w:r>
      <w:r>
        <w:rPr>
          <w:rFonts w:hint="eastAsia"/>
          <w:sz w:val="24"/>
        </w:rPr>
        <w:t>，污染羽范围扩大，有向下游运移的趋势，污染羽影响范围2227</w:t>
      </w:r>
      <w:r>
        <w:rPr>
          <w:sz w:val="24"/>
        </w:rPr>
        <w:t>m</w:t>
      </w:r>
      <w:r>
        <w:rPr>
          <w:sz w:val="24"/>
          <w:vertAlign w:val="superscript"/>
        </w:rPr>
        <w:t>2</w:t>
      </w:r>
      <w:r>
        <w:rPr>
          <w:rFonts w:hint="eastAsia"/>
          <w:sz w:val="24"/>
        </w:rPr>
        <w:t>，污染羽距离下游最近保护目标1561m。</w:t>
      </w:r>
    </w:p>
    <w:p w14:paraId="5D574D98">
      <w:pPr>
        <w:spacing w:before="0" w:beforeLines="0" w:line="360" w:lineRule="auto"/>
        <w:ind w:firstLine="480" w:firstLineChars="200"/>
        <w:rPr>
          <w:sz w:val="24"/>
        </w:rPr>
      </w:pPr>
      <w:r>
        <w:rPr>
          <w:rFonts w:hint="eastAsia"/>
          <w:sz w:val="24"/>
        </w:rPr>
        <w:t>泄漏发生30天时，污染物浓度最大值主要位于浓缩罐区处，此时中心浓度为最大，浓度为0.35</w:t>
      </w:r>
      <w:r>
        <w:rPr>
          <w:sz w:val="24"/>
        </w:rPr>
        <w:t>mg/L</w:t>
      </w:r>
      <w:r>
        <w:rPr>
          <w:rFonts w:hint="eastAsia"/>
          <w:sz w:val="24"/>
        </w:rPr>
        <w:t>。污染羽影响范围3973</w:t>
      </w:r>
      <w:r>
        <w:rPr>
          <w:sz w:val="24"/>
        </w:rPr>
        <w:t>m</w:t>
      </w:r>
      <w:r>
        <w:rPr>
          <w:sz w:val="24"/>
          <w:vertAlign w:val="superscript"/>
        </w:rPr>
        <w:t>2</w:t>
      </w:r>
      <w:r>
        <w:rPr>
          <w:rFonts w:hint="eastAsia"/>
          <w:sz w:val="24"/>
        </w:rPr>
        <w:t>，污染羽距离下游最近保护目标1523m。</w:t>
      </w:r>
      <w:r>
        <w:rPr>
          <w:rFonts w:hint="eastAsia"/>
          <w:sz w:val="24"/>
          <w:lang w:eastAsia="zh-CN"/>
        </w:rPr>
        <w:t>及时</w:t>
      </w:r>
      <w:r>
        <w:rPr>
          <w:rFonts w:hint="eastAsia"/>
          <w:sz w:val="24"/>
        </w:rPr>
        <w:t>切断污染源。</w:t>
      </w:r>
    </w:p>
    <w:p w14:paraId="79489BDA">
      <w:pPr>
        <w:spacing w:before="0" w:beforeLines="0" w:line="360" w:lineRule="auto"/>
        <w:ind w:firstLine="480" w:firstLineChars="200"/>
        <w:rPr>
          <w:sz w:val="24"/>
        </w:rPr>
      </w:pPr>
      <w:r>
        <w:rPr>
          <w:rFonts w:hint="eastAsia"/>
          <w:sz w:val="24"/>
        </w:rPr>
        <w:t>泄漏发生40天时，由于污染物已停止泄漏，在地下水流稀释径流作用，污染物浓度也降低，浓度最大值为0.1</w:t>
      </w:r>
      <w:r>
        <w:rPr>
          <w:sz w:val="24"/>
        </w:rPr>
        <w:t>mg/L</w:t>
      </w:r>
      <w:r>
        <w:rPr>
          <w:rFonts w:hint="eastAsia"/>
          <w:sz w:val="24"/>
        </w:rPr>
        <w:t>。污染羽影响范围4625</w:t>
      </w:r>
      <w:r>
        <w:rPr>
          <w:sz w:val="24"/>
        </w:rPr>
        <w:t>m</w:t>
      </w:r>
      <w:r>
        <w:rPr>
          <w:sz w:val="24"/>
          <w:vertAlign w:val="superscript"/>
        </w:rPr>
        <w:t>2</w:t>
      </w:r>
      <w:r>
        <w:rPr>
          <w:rFonts w:hint="eastAsia"/>
          <w:sz w:val="24"/>
        </w:rPr>
        <w:t>，</w:t>
      </w:r>
      <w:r>
        <w:rPr>
          <w:sz w:val="24"/>
        </w:rPr>
        <w:t>污染羽</w:t>
      </w:r>
      <w:r>
        <w:rPr>
          <w:rFonts w:hint="eastAsia"/>
          <w:sz w:val="24"/>
        </w:rPr>
        <w:t>中心向下游运移距离为30m。</w:t>
      </w:r>
    </w:p>
    <w:p w14:paraId="71900004">
      <w:pPr>
        <w:spacing w:before="0" w:beforeLines="0" w:line="360" w:lineRule="auto"/>
        <w:ind w:firstLine="480" w:firstLineChars="200"/>
        <w:rPr>
          <w:sz w:val="24"/>
        </w:rPr>
      </w:pPr>
      <w:r>
        <w:rPr>
          <w:rFonts w:hint="eastAsia"/>
          <w:sz w:val="24"/>
        </w:rPr>
        <w:t>泄漏发生50天及58天时，污染物逐渐向下游移动，浓度最大值分别为0.07</w:t>
      </w:r>
      <w:r>
        <w:rPr>
          <w:sz w:val="24"/>
        </w:rPr>
        <w:t>mg/L</w:t>
      </w:r>
      <w:r>
        <w:rPr>
          <w:rFonts w:hint="eastAsia"/>
          <w:sz w:val="24"/>
        </w:rPr>
        <w:t>及0.06</w:t>
      </w:r>
      <w:r>
        <w:rPr>
          <w:sz w:val="24"/>
        </w:rPr>
        <w:t>mg/L</w:t>
      </w:r>
      <w:r>
        <w:rPr>
          <w:rFonts w:hint="eastAsia"/>
          <w:sz w:val="24"/>
        </w:rPr>
        <w:t>。由于地下水径流稀释作用，污染羽逐渐减小，污染羽影响范围分别为2829</w:t>
      </w:r>
      <w:r>
        <w:rPr>
          <w:sz w:val="24"/>
        </w:rPr>
        <w:t>m</w:t>
      </w:r>
      <w:r>
        <w:rPr>
          <w:sz w:val="24"/>
          <w:vertAlign w:val="superscript"/>
        </w:rPr>
        <w:t>2</w:t>
      </w:r>
      <w:r>
        <w:rPr>
          <w:rFonts w:hint="eastAsia"/>
          <w:sz w:val="24"/>
        </w:rPr>
        <w:t>及838</w:t>
      </w:r>
      <w:r>
        <w:rPr>
          <w:sz w:val="24"/>
        </w:rPr>
        <w:t>m</w:t>
      </w:r>
      <w:r>
        <w:rPr>
          <w:sz w:val="24"/>
          <w:vertAlign w:val="superscript"/>
        </w:rPr>
        <w:t>2</w:t>
      </w:r>
      <w:r>
        <w:rPr>
          <w:rFonts w:hint="eastAsia"/>
          <w:sz w:val="24"/>
        </w:rPr>
        <w:t>，</w:t>
      </w:r>
      <w:r>
        <w:rPr>
          <w:sz w:val="24"/>
        </w:rPr>
        <w:t>污染羽</w:t>
      </w:r>
      <w:r>
        <w:rPr>
          <w:rFonts w:hint="eastAsia"/>
          <w:sz w:val="24"/>
        </w:rPr>
        <w:t>中心向下游运移距离为40m及52</w:t>
      </w:r>
      <w:r>
        <w:rPr>
          <w:sz w:val="24"/>
        </w:rPr>
        <w:t>m</w:t>
      </w:r>
      <w:r>
        <w:rPr>
          <w:rFonts w:hint="eastAsia"/>
          <w:sz w:val="24"/>
        </w:rPr>
        <w:t>。</w:t>
      </w:r>
    </w:p>
    <w:p w14:paraId="3C5D832D">
      <w:pPr>
        <w:spacing w:before="0" w:beforeLines="0" w:line="360" w:lineRule="auto"/>
        <w:ind w:firstLine="480" w:firstLineChars="200"/>
        <w:rPr>
          <w:sz w:val="24"/>
        </w:rPr>
      </w:pPr>
      <w:r>
        <w:rPr>
          <w:rFonts w:hint="eastAsia"/>
          <w:sz w:val="24"/>
        </w:rPr>
        <w:t>至60天时，污染羽彻底消失，100天、365天、1000天及3650天无污染羽出现。</w:t>
      </w:r>
    </w:p>
    <w:p w14:paraId="6A7E3A93">
      <w:pPr>
        <w:spacing w:before="0" w:beforeLines="0" w:line="360" w:lineRule="auto"/>
        <w:ind w:firstLine="480" w:firstLineChars="200"/>
        <w:rPr>
          <w:sz w:val="24"/>
        </w:rPr>
      </w:pPr>
      <w:r>
        <w:rPr>
          <w:rFonts w:hint="eastAsia"/>
          <w:sz w:val="24"/>
        </w:rPr>
        <w:t>由于污水中石油类超标倍数较高，污染物进入地下水体后形成污染羽较明显，并沿地下水径流向下游方向运移。因地区降雨及地下水径流补给原因，地下水补给量较大，因此污染物运移过程中稀释较快，对厂区附近区域影响时间较短。超标污染羽（石油类标准参照《生活饮用水卫生标准》（GB5479-2022）要求，标准浓度为0.05mg/L）距离下游保护目标较远，并未对周边保护目标造成影响。</w:t>
      </w:r>
    </w:p>
    <w:p w14:paraId="25C29707">
      <w:pPr>
        <w:spacing w:before="0" w:beforeLines="0" w:line="360" w:lineRule="auto"/>
        <w:ind w:firstLine="480" w:firstLineChars="200"/>
        <w:rPr>
          <w:sz w:val="24"/>
        </w:rPr>
      </w:pPr>
    </w:p>
    <w:p w14:paraId="772DE2AB">
      <w:pPr>
        <w:spacing w:before="0" w:beforeLines="0" w:line="360" w:lineRule="auto"/>
        <w:ind w:firstLine="480" w:firstLineChars="200"/>
        <w:rPr>
          <w:sz w:val="24"/>
        </w:rPr>
      </w:pPr>
    </w:p>
    <w:p w14:paraId="346255C5">
      <w:pPr>
        <w:spacing w:before="0" w:beforeLines="0" w:line="360" w:lineRule="auto"/>
        <w:ind w:firstLine="480" w:firstLineChars="200"/>
        <w:rPr>
          <w:sz w:val="24"/>
        </w:rPr>
      </w:pPr>
    </w:p>
    <w:p w14:paraId="6DB68586">
      <w:pPr>
        <w:spacing w:before="0" w:beforeLines="0" w:line="360" w:lineRule="auto"/>
        <w:ind w:firstLine="480" w:firstLineChars="200"/>
        <w:rPr>
          <w:sz w:val="24"/>
        </w:rPr>
      </w:pPr>
    </w:p>
    <w:p w14:paraId="68CF4F78">
      <w:pPr>
        <w:spacing w:before="0" w:beforeLines="0" w:line="360" w:lineRule="auto"/>
        <w:ind w:firstLine="480" w:firstLineChars="200"/>
        <w:rPr>
          <w:sz w:val="24"/>
        </w:rPr>
      </w:pPr>
    </w:p>
    <w:p w14:paraId="7116AD8D">
      <w:pPr>
        <w:spacing w:before="0" w:beforeLines="0" w:line="360" w:lineRule="auto"/>
        <w:ind w:firstLine="480" w:firstLineChars="200"/>
        <w:rPr>
          <w:sz w:val="24"/>
        </w:rPr>
      </w:pPr>
    </w:p>
    <w:p w14:paraId="079A0275">
      <w:pPr>
        <w:spacing w:before="93" w:beforeLines="30" w:line="240" w:lineRule="auto"/>
        <w:jc w:val="center"/>
      </w:pPr>
      <w:bookmarkStart w:id="556" w:name="OLE_LINK25"/>
      <w:r>
        <w:rPr>
          <w:b/>
          <w:bCs/>
        </w:rPr>
        <w:t>表</w:t>
      </w:r>
      <w:r>
        <w:rPr>
          <w:rFonts w:hint="eastAsia"/>
          <w:b/>
          <w:bCs/>
        </w:rPr>
        <w:t xml:space="preserve">5.7-3    </w:t>
      </w:r>
      <w:r>
        <w:rPr>
          <w:b/>
          <w:bCs/>
        </w:rPr>
        <w:t xml:space="preserve">  污染物运移情况</w:t>
      </w:r>
    </w:p>
    <w:tbl>
      <w:tblPr>
        <w:tblStyle w:val="89"/>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418"/>
        <w:gridCol w:w="1276"/>
        <w:gridCol w:w="1135"/>
        <w:gridCol w:w="1133"/>
        <w:gridCol w:w="1984"/>
        <w:gridCol w:w="1363"/>
      </w:tblGrid>
      <w:tr w14:paraId="0E0F62E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14:paraId="3A5CE8F1">
            <w:pPr>
              <w:spacing w:before="0" w:beforeLines="0" w:line="240" w:lineRule="auto"/>
              <w:jc w:val="center"/>
              <w:rPr>
                <w:szCs w:val="21"/>
              </w:rPr>
            </w:pPr>
            <w:r>
              <w:rPr>
                <w:szCs w:val="21"/>
              </w:rPr>
              <w:t>运移时间</w:t>
            </w:r>
          </w:p>
        </w:tc>
        <w:tc>
          <w:tcPr>
            <w:tcW w:w="768" w:type="pct"/>
            <w:vAlign w:val="center"/>
          </w:tcPr>
          <w:p w14:paraId="1961465C">
            <w:pPr>
              <w:spacing w:before="0" w:beforeLines="0" w:line="240" w:lineRule="auto"/>
              <w:jc w:val="center"/>
              <w:rPr>
                <w:szCs w:val="21"/>
              </w:rPr>
            </w:pPr>
            <w:r>
              <w:rPr>
                <w:szCs w:val="21"/>
              </w:rPr>
              <w:t>污染羽中心浓度</w:t>
            </w:r>
          </w:p>
        </w:tc>
        <w:tc>
          <w:tcPr>
            <w:tcW w:w="683" w:type="pct"/>
            <w:vAlign w:val="center"/>
          </w:tcPr>
          <w:p w14:paraId="43D504F9">
            <w:pPr>
              <w:spacing w:before="0" w:beforeLines="0" w:line="240" w:lineRule="auto"/>
              <w:jc w:val="center"/>
              <w:rPr>
                <w:szCs w:val="21"/>
              </w:rPr>
            </w:pPr>
            <w:r>
              <w:rPr>
                <w:szCs w:val="21"/>
              </w:rPr>
              <w:t>污染中心位置</w:t>
            </w:r>
          </w:p>
        </w:tc>
        <w:tc>
          <w:tcPr>
            <w:tcW w:w="682" w:type="pct"/>
            <w:vAlign w:val="center"/>
          </w:tcPr>
          <w:p w14:paraId="5E2C9E38">
            <w:pPr>
              <w:spacing w:before="0" w:beforeLines="0" w:line="240" w:lineRule="auto"/>
              <w:jc w:val="center"/>
              <w:rPr>
                <w:szCs w:val="21"/>
              </w:rPr>
            </w:pPr>
            <w:r>
              <w:rPr>
                <w:szCs w:val="21"/>
              </w:rPr>
              <w:t>是否到达</w:t>
            </w:r>
            <w:r>
              <w:rPr>
                <w:rFonts w:hint="eastAsia"/>
                <w:szCs w:val="21"/>
              </w:rPr>
              <w:t>保护目标</w:t>
            </w:r>
          </w:p>
        </w:tc>
        <w:tc>
          <w:tcPr>
            <w:tcW w:w="1194" w:type="pct"/>
            <w:vAlign w:val="center"/>
          </w:tcPr>
          <w:p w14:paraId="70BEBB68">
            <w:pPr>
              <w:spacing w:before="0" w:beforeLines="0" w:line="240" w:lineRule="auto"/>
              <w:jc w:val="center"/>
              <w:rPr>
                <w:szCs w:val="21"/>
              </w:rPr>
            </w:pPr>
            <w:r>
              <w:rPr>
                <w:szCs w:val="21"/>
              </w:rPr>
              <w:t>污染羽与</w:t>
            </w:r>
            <w:r>
              <w:rPr>
                <w:rFonts w:hint="eastAsia"/>
                <w:szCs w:val="21"/>
              </w:rPr>
              <w:t>下游最近保护目标</w:t>
            </w:r>
            <w:r>
              <w:rPr>
                <w:szCs w:val="21"/>
              </w:rPr>
              <w:t>的距离</w:t>
            </w:r>
          </w:p>
        </w:tc>
        <w:tc>
          <w:tcPr>
            <w:tcW w:w="820" w:type="pct"/>
            <w:vAlign w:val="center"/>
          </w:tcPr>
          <w:p w14:paraId="602888A7">
            <w:pPr>
              <w:spacing w:before="0" w:beforeLines="0" w:line="240" w:lineRule="auto"/>
              <w:jc w:val="center"/>
              <w:rPr>
                <w:szCs w:val="21"/>
              </w:rPr>
            </w:pPr>
            <w:r>
              <w:rPr>
                <w:rFonts w:hint="eastAsia"/>
                <w:szCs w:val="21"/>
              </w:rPr>
              <w:t>污染羽中心运移距离</w:t>
            </w:r>
          </w:p>
        </w:tc>
      </w:tr>
      <w:tr w14:paraId="7952947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14:paraId="7F51475F">
            <w:pPr>
              <w:spacing w:before="0" w:beforeLines="0" w:line="240" w:lineRule="auto"/>
              <w:jc w:val="center"/>
              <w:rPr>
                <w:szCs w:val="21"/>
              </w:rPr>
            </w:pPr>
            <w:r>
              <w:rPr>
                <w:rFonts w:hint="eastAsia"/>
                <w:szCs w:val="21"/>
              </w:rPr>
              <w:t>10天</w:t>
            </w:r>
          </w:p>
        </w:tc>
        <w:tc>
          <w:tcPr>
            <w:tcW w:w="768" w:type="pct"/>
            <w:vAlign w:val="center"/>
          </w:tcPr>
          <w:p w14:paraId="6C2C0E75">
            <w:pPr>
              <w:spacing w:before="0" w:beforeLines="0" w:line="240" w:lineRule="auto"/>
              <w:jc w:val="center"/>
              <w:rPr>
                <w:szCs w:val="21"/>
              </w:rPr>
            </w:pPr>
            <w:r>
              <w:rPr>
                <w:rFonts w:hint="eastAsia"/>
                <w:szCs w:val="21"/>
              </w:rPr>
              <w:t>0.3mg/L</w:t>
            </w:r>
          </w:p>
        </w:tc>
        <w:tc>
          <w:tcPr>
            <w:tcW w:w="683" w:type="pct"/>
            <w:vAlign w:val="center"/>
          </w:tcPr>
          <w:p w14:paraId="71337D96">
            <w:pPr>
              <w:spacing w:before="0" w:beforeLines="0" w:line="240" w:lineRule="auto"/>
              <w:jc w:val="center"/>
              <w:rPr>
                <w:szCs w:val="21"/>
              </w:rPr>
            </w:pPr>
            <w:r>
              <w:rPr>
                <w:rFonts w:hint="eastAsia"/>
                <w:szCs w:val="21"/>
              </w:rPr>
              <w:t>浓缩罐区</w:t>
            </w:r>
          </w:p>
        </w:tc>
        <w:tc>
          <w:tcPr>
            <w:tcW w:w="682" w:type="pct"/>
            <w:vAlign w:val="center"/>
          </w:tcPr>
          <w:p w14:paraId="5F65D0A9">
            <w:pPr>
              <w:spacing w:before="0" w:beforeLines="0" w:line="240" w:lineRule="auto"/>
              <w:jc w:val="center"/>
              <w:rPr>
                <w:szCs w:val="21"/>
              </w:rPr>
            </w:pPr>
            <w:r>
              <w:rPr>
                <w:rFonts w:hint="eastAsia"/>
                <w:szCs w:val="21"/>
              </w:rPr>
              <w:t>否</w:t>
            </w:r>
          </w:p>
        </w:tc>
        <w:tc>
          <w:tcPr>
            <w:tcW w:w="1194" w:type="pct"/>
            <w:vAlign w:val="center"/>
          </w:tcPr>
          <w:p w14:paraId="6002D642">
            <w:pPr>
              <w:spacing w:before="0" w:beforeLines="0" w:line="240" w:lineRule="auto"/>
              <w:jc w:val="center"/>
              <w:rPr>
                <w:szCs w:val="21"/>
              </w:rPr>
            </w:pPr>
            <w:r>
              <w:rPr>
                <w:rFonts w:hint="eastAsia"/>
                <w:szCs w:val="21"/>
              </w:rPr>
              <w:t>1561m</w:t>
            </w:r>
          </w:p>
        </w:tc>
        <w:tc>
          <w:tcPr>
            <w:tcW w:w="820" w:type="pct"/>
            <w:vAlign w:val="center"/>
          </w:tcPr>
          <w:p w14:paraId="67E28D46">
            <w:pPr>
              <w:spacing w:before="0" w:beforeLines="0" w:line="240" w:lineRule="auto"/>
              <w:jc w:val="center"/>
              <w:rPr>
                <w:szCs w:val="21"/>
              </w:rPr>
            </w:pPr>
            <w:r>
              <w:rPr>
                <w:rFonts w:hint="eastAsia"/>
                <w:szCs w:val="21"/>
              </w:rPr>
              <w:t>0m</w:t>
            </w:r>
          </w:p>
        </w:tc>
      </w:tr>
      <w:tr w14:paraId="7A967EF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14:paraId="7016717E">
            <w:pPr>
              <w:spacing w:before="0" w:beforeLines="0" w:line="240" w:lineRule="auto"/>
              <w:jc w:val="center"/>
              <w:rPr>
                <w:szCs w:val="21"/>
              </w:rPr>
            </w:pPr>
            <w:r>
              <w:rPr>
                <w:rFonts w:hint="eastAsia"/>
                <w:szCs w:val="21"/>
              </w:rPr>
              <w:t>30天</w:t>
            </w:r>
          </w:p>
        </w:tc>
        <w:tc>
          <w:tcPr>
            <w:tcW w:w="768" w:type="pct"/>
            <w:vAlign w:val="center"/>
          </w:tcPr>
          <w:p w14:paraId="280CEE14">
            <w:pPr>
              <w:spacing w:before="0" w:beforeLines="0" w:line="240" w:lineRule="auto"/>
              <w:jc w:val="center"/>
              <w:rPr>
                <w:szCs w:val="21"/>
              </w:rPr>
            </w:pPr>
            <w:r>
              <w:rPr>
                <w:rFonts w:hint="eastAsia"/>
                <w:szCs w:val="21"/>
              </w:rPr>
              <w:t>0.35mg/L</w:t>
            </w:r>
          </w:p>
        </w:tc>
        <w:tc>
          <w:tcPr>
            <w:tcW w:w="683" w:type="pct"/>
            <w:vAlign w:val="center"/>
          </w:tcPr>
          <w:p w14:paraId="1316401F">
            <w:pPr>
              <w:spacing w:before="0" w:beforeLines="0" w:line="240" w:lineRule="auto"/>
              <w:jc w:val="center"/>
              <w:rPr>
                <w:szCs w:val="21"/>
              </w:rPr>
            </w:pPr>
            <w:r>
              <w:rPr>
                <w:rFonts w:hint="eastAsia"/>
                <w:szCs w:val="21"/>
              </w:rPr>
              <w:t>浓缩罐区</w:t>
            </w:r>
          </w:p>
        </w:tc>
        <w:tc>
          <w:tcPr>
            <w:tcW w:w="682" w:type="pct"/>
            <w:vAlign w:val="center"/>
          </w:tcPr>
          <w:p w14:paraId="57A6AA58">
            <w:pPr>
              <w:spacing w:before="0" w:beforeLines="0" w:line="240" w:lineRule="auto"/>
              <w:jc w:val="center"/>
              <w:rPr>
                <w:szCs w:val="21"/>
              </w:rPr>
            </w:pPr>
            <w:r>
              <w:rPr>
                <w:rFonts w:hint="eastAsia"/>
                <w:szCs w:val="21"/>
              </w:rPr>
              <w:t>否</w:t>
            </w:r>
          </w:p>
        </w:tc>
        <w:tc>
          <w:tcPr>
            <w:tcW w:w="1194" w:type="pct"/>
            <w:vAlign w:val="center"/>
          </w:tcPr>
          <w:p w14:paraId="2FE1DDF1">
            <w:pPr>
              <w:spacing w:before="0" w:beforeLines="0" w:line="240" w:lineRule="auto"/>
              <w:jc w:val="center"/>
              <w:rPr>
                <w:szCs w:val="21"/>
              </w:rPr>
            </w:pPr>
            <w:r>
              <w:rPr>
                <w:rFonts w:hint="eastAsia"/>
                <w:szCs w:val="21"/>
              </w:rPr>
              <w:t>1523m</w:t>
            </w:r>
          </w:p>
        </w:tc>
        <w:tc>
          <w:tcPr>
            <w:tcW w:w="820" w:type="pct"/>
            <w:vAlign w:val="center"/>
          </w:tcPr>
          <w:p w14:paraId="070C3694">
            <w:pPr>
              <w:spacing w:before="0" w:beforeLines="0" w:line="240" w:lineRule="auto"/>
              <w:jc w:val="center"/>
              <w:rPr>
                <w:szCs w:val="21"/>
              </w:rPr>
            </w:pPr>
            <w:r>
              <w:rPr>
                <w:rFonts w:hint="eastAsia"/>
                <w:szCs w:val="21"/>
              </w:rPr>
              <w:t>0m</w:t>
            </w:r>
          </w:p>
        </w:tc>
      </w:tr>
      <w:tr w14:paraId="51BB68F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14:paraId="7A90BFB6">
            <w:pPr>
              <w:spacing w:before="0" w:beforeLines="0" w:line="240" w:lineRule="auto"/>
              <w:jc w:val="center"/>
              <w:rPr>
                <w:szCs w:val="21"/>
              </w:rPr>
            </w:pPr>
            <w:r>
              <w:rPr>
                <w:rFonts w:hint="eastAsia"/>
                <w:szCs w:val="21"/>
              </w:rPr>
              <w:t>40天</w:t>
            </w:r>
          </w:p>
        </w:tc>
        <w:tc>
          <w:tcPr>
            <w:tcW w:w="768" w:type="pct"/>
            <w:vAlign w:val="center"/>
          </w:tcPr>
          <w:p w14:paraId="1E179325">
            <w:pPr>
              <w:spacing w:before="0" w:beforeLines="0" w:line="240" w:lineRule="auto"/>
              <w:jc w:val="center"/>
              <w:rPr>
                <w:szCs w:val="21"/>
              </w:rPr>
            </w:pPr>
            <w:r>
              <w:rPr>
                <w:rFonts w:hint="eastAsia"/>
                <w:szCs w:val="21"/>
              </w:rPr>
              <w:t>0.1mg/L</w:t>
            </w:r>
          </w:p>
        </w:tc>
        <w:tc>
          <w:tcPr>
            <w:tcW w:w="683" w:type="pct"/>
            <w:vAlign w:val="center"/>
          </w:tcPr>
          <w:p w14:paraId="0974A6D2">
            <w:pPr>
              <w:spacing w:before="0" w:beforeLines="0" w:line="240" w:lineRule="auto"/>
              <w:jc w:val="center"/>
              <w:rPr>
                <w:szCs w:val="21"/>
              </w:rPr>
            </w:pPr>
            <w:r>
              <w:rPr>
                <w:rFonts w:hint="eastAsia"/>
                <w:szCs w:val="21"/>
              </w:rPr>
              <w:t>厂区内</w:t>
            </w:r>
          </w:p>
        </w:tc>
        <w:tc>
          <w:tcPr>
            <w:tcW w:w="682" w:type="pct"/>
            <w:vAlign w:val="center"/>
          </w:tcPr>
          <w:p w14:paraId="5B30787D">
            <w:pPr>
              <w:spacing w:before="0" w:beforeLines="0" w:line="240" w:lineRule="auto"/>
              <w:jc w:val="center"/>
              <w:rPr>
                <w:szCs w:val="21"/>
              </w:rPr>
            </w:pPr>
            <w:r>
              <w:rPr>
                <w:rFonts w:hint="eastAsia"/>
                <w:szCs w:val="21"/>
              </w:rPr>
              <w:t>否</w:t>
            </w:r>
          </w:p>
        </w:tc>
        <w:tc>
          <w:tcPr>
            <w:tcW w:w="1194" w:type="pct"/>
            <w:vAlign w:val="center"/>
          </w:tcPr>
          <w:p w14:paraId="6D8B4812">
            <w:pPr>
              <w:spacing w:before="0" w:beforeLines="0" w:line="240" w:lineRule="auto"/>
              <w:jc w:val="center"/>
              <w:rPr>
                <w:szCs w:val="21"/>
              </w:rPr>
            </w:pPr>
            <w:r>
              <w:rPr>
                <w:rFonts w:hint="eastAsia"/>
                <w:szCs w:val="21"/>
              </w:rPr>
              <w:t>1512m</w:t>
            </w:r>
          </w:p>
        </w:tc>
        <w:tc>
          <w:tcPr>
            <w:tcW w:w="820" w:type="pct"/>
            <w:vAlign w:val="center"/>
          </w:tcPr>
          <w:p w14:paraId="1358D3A0">
            <w:pPr>
              <w:spacing w:before="0" w:beforeLines="0" w:line="240" w:lineRule="auto"/>
              <w:jc w:val="center"/>
              <w:rPr>
                <w:szCs w:val="21"/>
              </w:rPr>
            </w:pPr>
            <w:r>
              <w:rPr>
                <w:rFonts w:hint="eastAsia"/>
                <w:szCs w:val="21"/>
              </w:rPr>
              <w:t>30m</w:t>
            </w:r>
          </w:p>
        </w:tc>
      </w:tr>
      <w:tr w14:paraId="15115F2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14:paraId="1DB74671">
            <w:pPr>
              <w:spacing w:before="0" w:beforeLines="0" w:line="240" w:lineRule="auto"/>
              <w:jc w:val="center"/>
              <w:rPr>
                <w:szCs w:val="21"/>
              </w:rPr>
            </w:pPr>
            <w:r>
              <w:rPr>
                <w:rFonts w:hint="eastAsia"/>
                <w:szCs w:val="21"/>
              </w:rPr>
              <w:t>50天</w:t>
            </w:r>
          </w:p>
        </w:tc>
        <w:tc>
          <w:tcPr>
            <w:tcW w:w="768" w:type="pct"/>
            <w:vAlign w:val="center"/>
          </w:tcPr>
          <w:p w14:paraId="1B162E0D">
            <w:pPr>
              <w:spacing w:before="0" w:beforeLines="0" w:line="240" w:lineRule="auto"/>
              <w:jc w:val="center"/>
              <w:rPr>
                <w:szCs w:val="21"/>
              </w:rPr>
            </w:pPr>
            <w:r>
              <w:rPr>
                <w:rFonts w:hint="eastAsia"/>
                <w:szCs w:val="21"/>
              </w:rPr>
              <w:t>0.07mg/L</w:t>
            </w:r>
          </w:p>
        </w:tc>
        <w:tc>
          <w:tcPr>
            <w:tcW w:w="683" w:type="pct"/>
            <w:vAlign w:val="center"/>
          </w:tcPr>
          <w:p w14:paraId="3CF169C3">
            <w:pPr>
              <w:spacing w:before="0" w:beforeLines="0" w:line="240" w:lineRule="auto"/>
              <w:jc w:val="center"/>
              <w:rPr>
                <w:szCs w:val="21"/>
              </w:rPr>
            </w:pPr>
            <w:r>
              <w:rPr>
                <w:rFonts w:hint="eastAsia"/>
                <w:szCs w:val="21"/>
              </w:rPr>
              <w:t>厂区内</w:t>
            </w:r>
          </w:p>
        </w:tc>
        <w:tc>
          <w:tcPr>
            <w:tcW w:w="682" w:type="pct"/>
            <w:vAlign w:val="center"/>
          </w:tcPr>
          <w:p w14:paraId="14732ACB">
            <w:pPr>
              <w:spacing w:before="0" w:beforeLines="0" w:line="240" w:lineRule="auto"/>
              <w:jc w:val="center"/>
              <w:rPr>
                <w:szCs w:val="21"/>
              </w:rPr>
            </w:pPr>
            <w:r>
              <w:rPr>
                <w:rFonts w:hint="eastAsia"/>
                <w:szCs w:val="21"/>
              </w:rPr>
              <w:t>否</w:t>
            </w:r>
          </w:p>
        </w:tc>
        <w:tc>
          <w:tcPr>
            <w:tcW w:w="1194" w:type="pct"/>
            <w:vAlign w:val="center"/>
          </w:tcPr>
          <w:p w14:paraId="213D7621">
            <w:pPr>
              <w:spacing w:before="0" w:beforeLines="0" w:line="240" w:lineRule="auto"/>
              <w:jc w:val="center"/>
              <w:rPr>
                <w:szCs w:val="21"/>
              </w:rPr>
            </w:pPr>
            <w:r>
              <w:rPr>
                <w:rFonts w:hint="eastAsia"/>
                <w:szCs w:val="21"/>
              </w:rPr>
              <w:t>1512m</w:t>
            </w:r>
          </w:p>
        </w:tc>
        <w:tc>
          <w:tcPr>
            <w:tcW w:w="820" w:type="pct"/>
            <w:vAlign w:val="center"/>
          </w:tcPr>
          <w:p w14:paraId="4DE9954C">
            <w:pPr>
              <w:spacing w:before="0" w:beforeLines="0" w:line="240" w:lineRule="auto"/>
              <w:jc w:val="center"/>
              <w:rPr>
                <w:szCs w:val="21"/>
              </w:rPr>
            </w:pPr>
            <w:r>
              <w:rPr>
                <w:rFonts w:hint="eastAsia"/>
                <w:szCs w:val="21"/>
              </w:rPr>
              <w:t>40m</w:t>
            </w:r>
          </w:p>
        </w:tc>
      </w:tr>
      <w:tr w14:paraId="388F7E2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14:paraId="567B1249">
            <w:pPr>
              <w:spacing w:before="0" w:beforeLines="0" w:line="240" w:lineRule="auto"/>
              <w:jc w:val="center"/>
              <w:rPr>
                <w:szCs w:val="21"/>
              </w:rPr>
            </w:pPr>
            <w:r>
              <w:rPr>
                <w:rFonts w:hint="eastAsia"/>
                <w:szCs w:val="21"/>
              </w:rPr>
              <w:t>58天</w:t>
            </w:r>
          </w:p>
        </w:tc>
        <w:tc>
          <w:tcPr>
            <w:tcW w:w="768" w:type="pct"/>
            <w:vAlign w:val="center"/>
          </w:tcPr>
          <w:p w14:paraId="4A79552F">
            <w:pPr>
              <w:spacing w:before="0" w:beforeLines="0" w:line="240" w:lineRule="auto"/>
              <w:jc w:val="center"/>
              <w:rPr>
                <w:szCs w:val="21"/>
              </w:rPr>
            </w:pPr>
            <w:r>
              <w:rPr>
                <w:rFonts w:hint="eastAsia"/>
                <w:szCs w:val="21"/>
              </w:rPr>
              <w:t>0.06mg/L</w:t>
            </w:r>
          </w:p>
        </w:tc>
        <w:tc>
          <w:tcPr>
            <w:tcW w:w="683" w:type="pct"/>
            <w:vAlign w:val="center"/>
          </w:tcPr>
          <w:p w14:paraId="2BC5BDAC">
            <w:pPr>
              <w:spacing w:before="0" w:beforeLines="0" w:line="240" w:lineRule="auto"/>
              <w:jc w:val="center"/>
              <w:rPr>
                <w:szCs w:val="21"/>
              </w:rPr>
            </w:pPr>
            <w:r>
              <w:rPr>
                <w:rFonts w:hint="eastAsia"/>
                <w:szCs w:val="21"/>
              </w:rPr>
              <w:t>厂区内</w:t>
            </w:r>
          </w:p>
        </w:tc>
        <w:tc>
          <w:tcPr>
            <w:tcW w:w="682" w:type="pct"/>
            <w:vAlign w:val="center"/>
          </w:tcPr>
          <w:p w14:paraId="5C0A41E7">
            <w:pPr>
              <w:spacing w:before="0" w:beforeLines="0" w:line="240" w:lineRule="auto"/>
              <w:jc w:val="center"/>
              <w:rPr>
                <w:szCs w:val="21"/>
              </w:rPr>
            </w:pPr>
            <w:r>
              <w:rPr>
                <w:rFonts w:hint="eastAsia"/>
                <w:szCs w:val="21"/>
              </w:rPr>
              <w:t>否</w:t>
            </w:r>
          </w:p>
        </w:tc>
        <w:tc>
          <w:tcPr>
            <w:tcW w:w="1194" w:type="pct"/>
            <w:vAlign w:val="center"/>
          </w:tcPr>
          <w:p w14:paraId="108F33A1">
            <w:pPr>
              <w:spacing w:before="0" w:beforeLines="0" w:line="240" w:lineRule="auto"/>
              <w:jc w:val="center"/>
              <w:rPr>
                <w:szCs w:val="21"/>
              </w:rPr>
            </w:pPr>
            <w:r>
              <w:rPr>
                <w:rFonts w:hint="eastAsia"/>
                <w:szCs w:val="21"/>
              </w:rPr>
              <w:t>1527m</w:t>
            </w:r>
          </w:p>
        </w:tc>
        <w:tc>
          <w:tcPr>
            <w:tcW w:w="820" w:type="pct"/>
            <w:vAlign w:val="center"/>
          </w:tcPr>
          <w:p w14:paraId="60BC72DD">
            <w:pPr>
              <w:spacing w:before="0" w:beforeLines="0" w:line="240" w:lineRule="auto"/>
              <w:jc w:val="center"/>
              <w:rPr>
                <w:szCs w:val="21"/>
              </w:rPr>
            </w:pPr>
            <w:r>
              <w:rPr>
                <w:rFonts w:hint="eastAsia"/>
                <w:szCs w:val="21"/>
              </w:rPr>
              <w:t>52m</w:t>
            </w:r>
          </w:p>
        </w:tc>
      </w:tr>
      <w:tr w14:paraId="1C829E2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14:paraId="73E746ED">
            <w:pPr>
              <w:spacing w:before="0" w:beforeLines="0" w:line="240" w:lineRule="auto"/>
              <w:jc w:val="center"/>
              <w:rPr>
                <w:szCs w:val="21"/>
              </w:rPr>
            </w:pPr>
            <w:r>
              <w:rPr>
                <w:rFonts w:hint="eastAsia"/>
                <w:szCs w:val="21"/>
              </w:rPr>
              <w:t>60</w:t>
            </w:r>
            <w:r>
              <w:rPr>
                <w:szCs w:val="21"/>
              </w:rPr>
              <w:t>天</w:t>
            </w:r>
          </w:p>
        </w:tc>
        <w:tc>
          <w:tcPr>
            <w:tcW w:w="768" w:type="pct"/>
            <w:vAlign w:val="center"/>
          </w:tcPr>
          <w:p w14:paraId="0A98EB1C">
            <w:pPr>
              <w:spacing w:before="0" w:beforeLines="0" w:line="240" w:lineRule="auto"/>
              <w:jc w:val="center"/>
              <w:rPr>
                <w:szCs w:val="21"/>
              </w:rPr>
            </w:pPr>
            <w:r>
              <w:rPr>
                <w:szCs w:val="21"/>
              </w:rPr>
              <w:t>—</w:t>
            </w:r>
          </w:p>
        </w:tc>
        <w:tc>
          <w:tcPr>
            <w:tcW w:w="683" w:type="pct"/>
            <w:vAlign w:val="center"/>
          </w:tcPr>
          <w:p w14:paraId="27805223">
            <w:pPr>
              <w:spacing w:before="0" w:beforeLines="0" w:line="240" w:lineRule="auto"/>
              <w:jc w:val="center"/>
              <w:rPr>
                <w:szCs w:val="21"/>
              </w:rPr>
            </w:pPr>
            <w:r>
              <w:rPr>
                <w:szCs w:val="21"/>
              </w:rPr>
              <w:t>—</w:t>
            </w:r>
          </w:p>
        </w:tc>
        <w:tc>
          <w:tcPr>
            <w:tcW w:w="682" w:type="pct"/>
            <w:vAlign w:val="center"/>
          </w:tcPr>
          <w:p w14:paraId="00DBCEB4">
            <w:pPr>
              <w:spacing w:before="0" w:beforeLines="0" w:line="240" w:lineRule="auto"/>
              <w:jc w:val="center"/>
              <w:rPr>
                <w:szCs w:val="21"/>
              </w:rPr>
            </w:pPr>
            <w:r>
              <w:rPr>
                <w:szCs w:val="21"/>
              </w:rPr>
              <w:t>—</w:t>
            </w:r>
          </w:p>
        </w:tc>
        <w:tc>
          <w:tcPr>
            <w:tcW w:w="1194" w:type="pct"/>
            <w:vAlign w:val="center"/>
          </w:tcPr>
          <w:p w14:paraId="0B957588">
            <w:pPr>
              <w:spacing w:before="0" w:beforeLines="0" w:line="240" w:lineRule="auto"/>
              <w:jc w:val="center"/>
              <w:rPr>
                <w:szCs w:val="21"/>
              </w:rPr>
            </w:pPr>
            <w:r>
              <w:rPr>
                <w:szCs w:val="21"/>
              </w:rPr>
              <w:t>—</w:t>
            </w:r>
          </w:p>
        </w:tc>
        <w:tc>
          <w:tcPr>
            <w:tcW w:w="820" w:type="pct"/>
            <w:vAlign w:val="center"/>
          </w:tcPr>
          <w:p w14:paraId="7FCAA756">
            <w:pPr>
              <w:spacing w:before="0" w:beforeLines="0" w:line="240" w:lineRule="auto"/>
              <w:jc w:val="center"/>
              <w:rPr>
                <w:szCs w:val="21"/>
              </w:rPr>
            </w:pPr>
            <w:r>
              <w:rPr>
                <w:szCs w:val="21"/>
              </w:rPr>
              <w:t>—</w:t>
            </w:r>
          </w:p>
        </w:tc>
      </w:tr>
      <w:tr w14:paraId="5B8E2E6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14:paraId="59F9B21A">
            <w:pPr>
              <w:spacing w:before="0" w:beforeLines="0" w:line="240" w:lineRule="auto"/>
              <w:jc w:val="center"/>
              <w:rPr>
                <w:szCs w:val="21"/>
              </w:rPr>
            </w:pPr>
            <w:r>
              <w:rPr>
                <w:rFonts w:hint="eastAsia"/>
                <w:szCs w:val="21"/>
              </w:rPr>
              <w:t>100</w:t>
            </w:r>
            <w:r>
              <w:rPr>
                <w:szCs w:val="21"/>
              </w:rPr>
              <w:t>天</w:t>
            </w:r>
          </w:p>
        </w:tc>
        <w:tc>
          <w:tcPr>
            <w:tcW w:w="768" w:type="pct"/>
            <w:vAlign w:val="center"/>
          </w:tcPr>
          <w:p w14:paraId="5B328648">
            <w:pPr>
              <w:spacing w:before="0" w:beforeLines="0" w:line="240" w:lineRule="auto"/>
              <w:jc w:val="center"/>
              <w:rPr>
                <w:szCs w:val="21"/>
              </w:rPr>
            </w:pPr>
            <w:r>
              <w:rPr>
                <w:szCs w:val="21"/>
              </w:rPr>
              <w:t>—</w:t>
            </w:r>
          </w:p>
        </w:tc>
        <w:tc>
          <w:tcPr>
            <w:tcW w:w="683" w:type="pct"/>
            <w:vAlign w:val="center"/>
          </w:tcPr>
          <w:p w14:paraId="3C565525">
            <w:pPr>
              <w:spacing w:before="0" w:beforeLines="0" w:line="240" w:lineRule="auto"/>
              <w:jc w:val="center"/>
              <w:rPr>
                <w:szCs w:val="21"/>
              </w:rPr>
            </w:pPr>
            <w:r>
              <w:rPr>
                <w:szCs w:val="21"/>
              </w:rPr>
              <w:t>—</w:t>
            </w:r>
          </w:p>
        </w:tc>
        <w:tc>
          <w:tcPr>
            <w:tcW w:w="682" w:type="pct"/>
            <w:vAlign w:val="center"/>
          </w:tcPr>
          <w:p w14:paraId="570D2FE0">
            <w:pPr>
              <w:spacing w:before="0" w:beforeLines="0" w:line="240" w:lineRule="auto"/>
              <w:jc w:val="center"/>
              <w:rPr>
                <w:szCs w:val="21"/>
              </w:rPr>
            </w:pPr>
            <w:r>
              <w:rPr>
                <w:szCs w:val="21"/>
              </w:rPr>
              <w:t>—</w:t>
            </w:r>
          </w:p>
        </w:tc>
        <w:tc>
          <w:tcPr>
            <w:tcW w:w="1194" w:type="pct"/>
            <w:vAlign w:val="center"/>
          </w:tcPr>
          <w:p w14:paraId="2FF2907F">
            <w:pPr>
              <w:spacing w:before="0" w:beforeLines="0" w:line="240" w:lineRule="auto"/>
              <w:jc w:val="center"/>
              <w:rPr>
                <w:szCs w:val="21"/>
              </w:rPr>
            </w:pPr>
            <w:r>
              <w:rPr>
                <w:szCs w:val="21"/>
              </w:rPr>
              <w:t>—</w:t>
            </w:r>
          </w:p>
        </w:tc>
        <w:tc>
          <w:tcPr>
            <w:tcW w:w="820" w:type="pct"/>
            <w:vAlign w:val="center"/>
          </w:tcPr>
          <w:p w14:paraId="079E361A">
            <w:pPr>
              <w:spacing w:before="0" w:beforeLines="0" w:line="240" w:lineRule="auto"/>
              <w:jc w:val="center"/>
              <w:rPr>
                <w:szCs w:val="21"/>
              </w:rPr>
            </w:pPr>
            <w:r>
              <w:rPr>
                <w:szCs w:val="21"/>
              </w:rPr>
              <w:t>—</w:t>
            </w:r>
          </w:p>
        </w:tc>
      </w:tr>
      <w:tr w14:paraId="1B3358E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14:paraId="78961C25">
            <w:pPr>
              <w:spacing w:before="0" w:beforeLines="0" w:line="240" w:lineRule="auto"/>
              <w:jc w:val="center"/>
              <w:rPr>
                <w:szCs w:val="21"/>
              </w:rPr>
            </w:pPr>
            <w:r>
              <w:rPr>
                <w:rFonts w:hint="eastAsia"/>
                <w:szCs w:val="21"/>
              </w:rPr>
              <w:t>365</w:t>
            </w:r>
            <w:r>
              <w:rPr>
                <w:szCs w:val="21"/>
              </w:rPr>
              <w:t>天</w:t>
            </w:r>
          </w:p>
        </w:tc>
        <w:tc>
          <w:tcPr>
            <w:tcW w:w="768" w:type="pct"/>
            <w:vAlign w:val="center"/>
          </w:tcPr>
          <w:p w14:paraId="31C2C0A3">
            <w:pPr>
              <w:spacing w:before="0" w:beforeLines="0" w:line="240" w:lineRule="auto"/>
              <w:jc w:val="center"/>
              <w:rPr>
                <w:szCs w:val="21"/>
              </w:rPr>
            </w:pPr>
            <w:r>
              <w:rPr>
                <w:szCs w:val="21"/>
              </w:rPr>
              <w:t>—</w:t>
            </w:r>
          </w:p>
        </w:tc>
        <w:tc>
          <w:tcPr>
            <w:tcW w:w="683" w:type="pct"/>
            <w:vAlign w:val="center"/>
          </w:tcPr>
          <w:p w14:paraId="1764F72C">
            <w:pPr>
              <w:spacing w:before="0" w:beforeLines="0" w:line="240" w:lineRule="auto"/>
              <w:jc w:val="center"/>
              <w:rPr>
                <w:szCs w:val="21"/>
              </w:rPr>
            </w:pPr>
            <w:r>
              <w:rPr>
                <w:szCs w:val="21"/>
              </w:rPr>
              <w:t>—</w:t>
            </w:r>
          </w:p>
        </w:tc>
        <w:tc>
          <w:tcPr>
            <w:tcW w:w="682" w:type="pct"/>
            <w:vAlign w:val="center"/>
          </w:tcPr>
          <w:p w14:paraId="176B112D">
            <w:pPr>
              <w:spacing w:before="0" w:beforeLines="0" w:line="240" w:lineRule="auto"/>
              <w:jc w:val="center"/>
              <w:rPr>
                <w:szCs w:val="21"/>
              </w:rPr>
            </w:pPr>
            <w:r>
              <w:rPr>
                <w:szCs w:val="21"/>
              </w:rPr>
              <w:t>—</w:t>
            </w:r>
          </w:p>
        </w:tc>
        <w:tc>
          <w:tcPr>
            <w:tcW w:w="1194" w:type="pct"/>
            <w:vAlign w:val="center"/>
          </w:tcPr>
          <w:p w14:paraId="017EBC0D">
            <w:pPr>
              <w:spacing w:before="0" w:beforeLines="0" w:line="240" w:lineRule="auto"/>
              <w:jc w:val="center"/>
              <w:rPr>
                <w:szCs w:val="21"/>
              </w:rPr>
            </w:pPr>
            <w:r>
              <w:rPr>
                <w:szCs w:val="21"/>
              </w:rPr>
              <w:t>—</w:t>
            </w:r>
          </w:p>
        </w:tc>
        <w:tc>
          <w:tcPr>
            <w:tcW w:w="820" w:type="pct"/>
            <w:vAlign w:val="center"/>
          </w:tcPr>
          <w:p w14:paraId="7600E3E2">
            <w:pPr>
              <w:spacing w:before="0" w:beforeLines="0" w:line="240" w:lineRule="auto"/>
              <w:jc w:val="center"/>
              <w:rPr>
                <w:szCs w:val="21"/>
              </w:rPr>
            </w:pPr>
            <w:r>
              <w:rPr>
                <w:szCs w:val="21"/>
              </w:rPr>
              <w:t>—</w:t>
            </w:r>
          </w:p>
        </w:tc>
      </w:tr>
      <w:tr w14:paraId="2D46534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14:paraId="1BE6686B">
            <w:pPr>
              <w:spacing w:before="0" w:beforeLines="0" w:line="240" w:lineRule="auto"/>
              <w:jc w:val="center"/>
              <w:rPr>
                <w:szCs w:val="21"/>
              </w:rPr>
            </w:pPr>
            <w:r>
              <w:rPr>
                <w:rFonts w:hint="eastAsia"/>
                <w:szCs w:val="21"/>
              </w:rPr>
              <w:t>1000</w:t>
            </w:r>
            <w:r>
              <w:rPr>
                <w:szCs w:val="21"/>
              </w:rPr>
              <w:t>天</w:t>
            </w:r>
          </w:p>
        </w:tc>
        <w:tc>
          <w:tcPr>
            <w:tcW w:w="768" w:type="pct"/>
            <w:vAlign w:val="center"/>
          </w:tcPr>
          <w:p w14:paraId="714083D2">
            <w:pPr>
              <w:spacing w:before="0" w:beforeLines="0" w:line="240" w:lineRule="auto"/>
              <w:jc w:val="center"/>
              <w:rPr>
                <w:szCs w:val="21"/>
              </w:rPr>
            </w:pPr>
            <w:r>
              <w:rPr>
                <w:szCs w:val="21"/>
              </w:rPr>
              <w:t>—</w:t>
            </w:r>
          </w:p>
        </w:tc>
        <w:tc>
          <w:tcPr>
            <w:tcW w:w="683" w:type="pct"/>
            <w:vAlign w:val="center"/>
          </w:tcPr>
          <w:p w14:paraId="530DFCE9">
            <w:pPr>
              <w:spacing w:before="0" w:beforeLines="0" w:line="240" w:lineRule="auto"/>
              <w:jc w:val="center"/>
              <w:rPr>
                <w:szCs w:val="21"/>
              </w:rPr>
            </w:pPr>
            <w:r>
              <w:rPr>
                <w:szCs w:val="21"/>
              </w:rPr>
              <w:t>—</w:t>
            </w:r>
          </w:p>
        </w:tc>
        <w:tc>
          <w:tcPr>
            <w:tcW w:w="682" w:type="pct"/>
            <w:vAlign w:val="center"/>
          </w:tcPr>
          <w:p w14:paraId="5AAC4697">
            <w:pPr>
              <w:spacing w:before="0" w:beforeLines="0" w:line="240" w:lineRule="auto"/>
              <w:jc w:val="center"/>
              <w:rPr>
                <w:szCs w:val="21"/>
              </w:rPr>
            </w:pPr>
            <w:r>
              <w:rPr>
                <w:szCs w:val="21"/>
              </w:rPr>
              <w:t>—</w:t>
            </w:r>
          </w:p>
        </w:tc>
        <w:tc>
          <w:tcPr>
            <w:tcW w:w="1194" w:type="pct"/>
            <w:vAlign w:val="center"/>
          </w:tcPr>
          <w:p w14:paraId="1E1D07CB">
            <w:pPr>
              <w:spacing w:before="0" w:beforeLines="0" w:line="240" w:lineRule="auto"/>
              <w:jc w:val="center"/>
              <w:rPr>
                <w:szCs w:val="21"/>
              </w:rPr>
            </w:pPr>
            <w:r>
              <w:rPr>
                <w:szCs w:val="21"/>
              </w:rPr>
              <w:t>—</w:t>
            </w:r>
          </w:p>
        </w:tc>
        <w:tc>
          <w:tcPr>
            <w:tcW w:w="820" w:type="pct"/>
            <w:vAlign w:val="center"/>
          </w:tcPr>
          <w:p w14:paraId="5AC0B0AA">
            <w:pPr>
              <w:spacing w:before="0" w:beforeLines="0" w:line="240" w:lineRule="auto"/>
              <w:jc w:val="center"/>
              <w:rPr>
                <w:szCs w:val="21"/>
              </w:rPr>
            </w:pPr>
            <w:r>
              <w:rPr>
                <w:szCs w:val="21"/>
              </w:rPr>
              <w:t>—</w:t>
            </w:r>
          </w:p>
        </w:tc>
      </w:tr>
      <w:tr w14:paraId="621DCB9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14:paraId="7DF4DB39">
            <w:pPr>
              <w:spacing w:before="0" w:beforeLines="0" w:line="240" w:lineRule="auto"/>
              <w:jc w:val="center"/>
              <w:rPr>
                <w:szCs w:val="21"/>
              </w:rPr>
            </w:pPr>
            <w:r>
              <w:rPr>
                <w:rFonts w:hint="eastAsia"/>
                <w:szCs w:val="21"/>
              </w:rPr>
              <w:t>3650天</w:t>
            </w:r>
          </w:p>
        </w:tc>
        <w:tc>
          <w:tcPr>
            <w:tcW w:w="768" w:type="pct"/>
            <w:vAlign w:val="center"/>
          </w:tcPr>
          <w:p w14:paraId="358B0827">
            <w:pPr>
              <w:spacing w:before="0" w:beforeLines="0" w:line="240" w:lineRule="auto"/>
              <w:jc w:val="center"/>
              <w:rPr>
                <w:szCs w:val="21"/>
              </w:rPr>
            </w:pPr>
            <w:r>
              <w:rPr>
                <w:szCs w:val="21"/>
              </w:rPr>
              <w:t>—</w:t>
            </w:r>
          </w:p>
        </w:tc>
        <w:tc>
          <w:tcPr>
            <w:tcW w:w="683" w:type="pct"/>
            <w:vAlign w:val="center"/>
          </w:tcPr>
          <w:p w14:paraId="31C4901E">
            <w:pPr>
              <w:spacing w:before="0" w:beforeLines="0" w:line="240" w:lineRule="auto"/>
              <w:jc w:val="center"/>
              <w:rPr>
                <w:szCs w:val="21"/>
              </w:rPr>
            </w:pPr>
            <w:r>
              <w:rPr>
                <w:szCs w:val="21"/>
              </w:rPr>
              <w:t>—</w:t>
            </w:r>
          </w:p>
        </w:tc>
        <w:tc>
          <w:tcPr>
            <w:tcW w:w="682" w:type="pct"/>
            <w:vAlign w:val="center"/>
          </w:tcPr>
          <w:p w14:paraId="5CD9A178">
            <w:pPr>
              <w:spacing w:before="0" w:beforeLines="0" w:line="240" w:lineRule="auto"/>
              <w:jc w:val="center"/>
              <w:rPr>
                <w:szCs w:val="21"/>
              </w:rPr>
            </w:pPr>
            <w:r>
              <w:rPr>
                <w:szCs w:val="21"/>
              </w:rPr>
              <w:t>—</w:t>
            </w:r>
          </w:p>
        </w:tc>
        <w:tc>
          <w:tcPr>
            <w:tcW w:w="1194" w:type="pct"/>
            <w:vAlign w:val="center"/>
          </w:tcPr>
          <w:p w14:paraId="241458E1">
            <w:pPr>
              <w:spacing w:before="0" w:beforeLines="0" w:line="240" w:lineRule="auto"/>
              <w:jc w:val="center"/>
              <w:rPr>
                <w:szCs w:val="21"/>
              </w:rPr>
            </w:pPr>
            <w:r>
              <w:rPr>
                <w:szCs w:val="21"/>
              </w:rPr>
              <w:t>—</w:t>
            </w:r>
          </w:p>
        </w:tc>
        <w:tc>
          <w:tcPr>
            <w:tcW w:w="820" w:type="pct"/>
            <w:vAlign w:val="center"/>
          </w:tcPr>
          <w:p w14:paraId="3BA272E0">
            <w:pPr>
              <w:spacing w:before="0" w:beforeLines="0" w:line="240" w:lineRule="auto"/>
              <w:jc w:val="center"/>
              <w:rPr>
                <w:szCs w:val="21"/>
              </w:rPr>
            </w:pPr>
            <w:r>
              <w:rPr>
                <w:szCs w:val="21"/>
              </w:rPr>
              <w:t>—</w:t>
            </w:r>
          </w:p>
        </w:tc>
      </w:tr>
      <w:tr w14:paraId="7DD82DC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14:paraId="2C198135">
            <w:pPr>
              <w:spacing w:before="0" w:beforeLines="0" w:line="240" w:lineRule="auto"/>
              <w:jc w:val="center"/>
              <w:rPr>
                <w:szCs w:val="21"/>
              </w:rPr>
            </w:pPr>
            <w:r>
              <w:rPr>
                <w:rFonts w:hint="eastAsia"/>
                <w:szCs w:val="21"/>
              </w:rPr>
              <w:t>……</w:t>
            </w:r>
          </w:p>
        </w:tc>
        <w:tc>
          <w:tcPr>
            <w:tcW w:w="768" w:type="pct"/>
            <w:vAlign w:val="center"/>
          </w:tcPr>
          <w:p w14:paraId="697E9E0D">
            <w:pPr>
              <w:spacing w:before="0" w:beforeLines="0" w:line="240" w:lineRule="auto"/>
              <w:jc w:val="center"/>
              <w:rPr>
                <w:szCs w:val="21"/>
              </w:rPr>
            </w:pPr>
            <w:r>
              <w:rPr>
                <w:szCs w:val="21"/>
              </w:rPr>
              <w:t>—</w:t>
            </w:r>
          </w:p>
        </w:tc>
        <w:tc>
          <w:tcPr>
            <w:tcW w:w="683" w:type="pct"/>
            <w:vAlign w:val="center"/>
          </w:tcPr>
          <w:p w14:paraId="398243B9">
            <w:pPr>
              <w:spacing w:before="0" w:beforeLines="0" w:line="240" w:lineRule="auto"/>
              <w:jc w:val="center"/>
              <w:rPr>
                <w:szCs w:val="21"/>
              </w:rPr>
            </w:pPr>
            <w:r>
              <w:rPr>
                <w:szCs w:val="21"/>
              </w:rPr>
              <w:t>—</w:t>
            </w:r>
          </w:p>
        </w:tc>
        <w:tc>
          <w:tcPr>
            <w:tcW w:w="682" w:type="pct"/>
            <w:vAlign w:val="center"/>
          </w:tcPr>
          <w:p w14:paraId="556CD25E">
            <w:pPr>
              <w:spacing w:before="0" w:beforeLines="0" w:line="240" w:lineRule="auto"/>
              <w:jc w:val="center"/>
              <w:rPr>
                <w:szCs w:val="21"/>
              </w:rPr>
            </w:pPr>
            <w:r>
              <w:rPr>
                <w:szCs w:val="21"/>
              </w:rPr>
              <w:t>—</w:t>
            </w:r>
          </w:p>
        </w:tc>
        <w:tc>
          <w:tcPr>
            <w:tcW w:w="1194" w:type="pct"/>
            <w:vAlign w:val="center"/>
          </w:tcPr>
          <w:p w14:paraId="4ACF48E6">
            <w:pPr>
              <w:spacing w:before="0" w:beforeLines="0" w:line="240" w:lineRule="auto"/>
              <w:jc w:val="center"/>
              <w:rPr>
                <w:szCs w:val="21"/>
              </w:rPr>
            </w:pPr>
            <w:r>
              <w:rPr>
                <w:szCs w:val="21"/>
              </w:rPr>
              <w:t>—</w:t>
            </w:r>
          </w:p>
        </w:tc>
        <w:tc>
          <w:tcPr>
            <w:tcW w:w="820" w:type="pct"/>
            <w:vAlign w:val="center"/>
          </w:tcPr>
          <w:p w14:paraId="0D2C76D9">
            <w:pPr>
              <w:spacing w:before="0" w:beforeLines="0" w:line="240" w:lineRule="auto"/>
              <w:jc w:val="center"/>
              <w:rPr>
                <w:szCs w:val="21"/>
              </w:rPr>
            </w:pPr>
            <w:r>
              <w:rPr>
                <w:szCs w:val="21"/>
              </w:rPr>
              <w:t>—</w:t>
            </w:r>
          </w:p>
        </w:tc>
      </w:tr>
      <w:bookmarkEnd w:id="556"/>
    </w:tbl>
    <w:p w14:paraId="69605DE4">
      <w:pPr>
        <w:adjustRightInd w:val="0"/>
        <w:snapToGrid w:val="0"/>
        <w:spacing w:before="0" w:beforeLines="0" w:line="240" w:lineRule="auto"/>
        <w:jc w:val="center"/>
        <w:rPr>
          <w:b/>
          <w:bCs/>
        </w:rPr>
      </w:pPr>
    </w:p>
    <w:p w14:paraId="30FEDBC1">
      <w:pPr>
        <w:adjustRightInd w:val="0"/>
        <w:snapToGrid w:val="0"/>
        <w:spacing w:before="0" w:beforeLines="0" w:line="240" w:lineRule="auto"/>
        <w:jc w:val="center"/>
        <w:rPr>
          <w:b/>
          <w:bCs/>
        </w:rPr>
      </w:pPr>
      <w:r>
        <w:rPr>
          <w:rFonts w:hint="eastAsia"/>
          <w:b/>
          <w:bCs/>
        </w:rPr>
        <w:drawing>
          <wp:inline distT="0" distB="0" distL="114300" distR="114300">
            <wp:extent cx="4610100" cy="2528570"/>
            <wp:effectExtent l="0" t="0" r="0" b="5080"/>
            <wp:docPr id="10" name="图片 10" descr="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c1"/>
                    <pic:cNvPicPr>
                      <a:picLocks noChangeAspect="1"/>
                    </pic:cNvPicPr>
                  </pic:nvPicPr>
                  <pic:blipFill>
                    <a:blip r:embed="rId116"/>
                    <a:stretch>
                      <a:fillRect/>
                    </a:stretch>
                  </pic:blipFill>
                  <pic:spPr>
                    <a:xfrm>
                      <a:off x="0" y="0"/>
                      <a:ext cx="4619675" cy="2534270"/>
                    </a:xfrm>
                    <a:prstGeom prst="rect">
                      <a:avLst/>
                    </a:prstGeom>
                  </pic:spPr>
                </pic:pic>
              </a:graphicData>
            </a:graphic>
          </wp:inline>
        </w:drawing>
      </w:r>
    </w:p>
    <w:p w14:paraId="3C41527B">
      <w:pPr>
        <w:adjustRightInd w:val="0"/>
        <w:snapToGrid w:val="0"/>
        <w:spacing w:before="0" w:beforeLines="0" w:line="240" w:lineRule="auto"/>
        <w:jc w:val="center"/>
        <w:rPr>
          <w:b/>
          <w:bCs/>
        </w:rPr>
      </w:pPr>
      <w:r>
        <w:rPr>
          <w:b/>
          <w:bCs/>
        </w:rPr>
        <w:t>图</w:t>
      </w:r>
      <w:r>
        <w:rPr>
          <w:rFonts w:hint="eastAsia"/>
          <w:b/>
          <w:bCs/>
        </w:rPr>
        <w:t>5.7-13   下游保护目标预测点浓度变化</w:t>
      </w:r>
    </w:p>
    <w:p w14:paraId="31060A95">
      <w:pPr>
        <w:adjustRightInd w:val="0"/>
        <w:snapToGrid w:val="0"/>
        <w:spacing w:before="0" w:beforeLines="0" w:line="240" w:lineRule="auto"/>
        <w:jc w:val="center"/>
        <w:rPr>
          <w:b/>
          <w:bCs/>
        </w:rPr>
      </w:pPr>
      <w:r>
        <w:rPr>
          <w:rFonts w:hint="eastAsia"/>
          <w:b/>
          <w:bCs/>
        </w:rPr>
        <w:drawing>
          <wp:inline distT="0" distB="0" distL="114300" distR="114300">
            <wp:extent cx="4524375" cy="2481580"/>
            <wp:effectExtent l="0" t="0" r="0" b="0"/>
            <wp:docPr id="11" name="图片 11" desc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ch"/>
                    <pic:cNvPicPr>
                      <a:picLocks noChangeAspect="1"/>
                    </pic:cNvPicPr>
                  </pic:nvPicPr>
                  <pic:blipFill>
                    <a:blip r:embed="rId117"/>
                    <a:stretch>
                      <a:fillRect/>
                    </a:stretch>
                  </pic:blipFill>
                  <pic:spPr>
                    <a:xfrm>
                      <a:off x="0" y="0"/>
                      <a:ext cx="4534647" cy="2487625"/>
                    </a:xfrm>
                    <a:prstGeom prst="rect">
                      <a:avLst/>
                    </a:prstGeom>
                  </pic:spPr>
                </pic:pic>
              </a:graphicData>
            </a:graphic>
          </wp:inline>
        </w:drawing>
      </w:r>
    </w:p>
    <w:p w14:paraId="4FD0BE0F">
      <w:pPr>
        <w:adjustRightInd w:val="0"/>
        <w:snapToGrid w:val="0"/>
        <w:spacing w:before="0" w:beforeLines="0" w:line="240" w:lineRule="auto"/>
        <w:jc w:val="center"/>
        <w:rPr>
          <w:b/>
          <w:bCs/>
        </w:rPr>
      </w:pPr>
      <w:r>
        <w:rPr>
          <w:b/>
          <w:bCs/>
        </w:rPr>
        <w:t>图</w:t>
      </w:r>
      <w:r>
        <w:rPr>
          <w:rFonts w:hint="eastAsia"/>
          <w:b/>
          <w:bCs/>
        </w:rPr>
        <w:t xml:space="preserve">5.7-14   </w:t>
      </w:r>
      <w:r>
        <w:rPr>
          <w:b/>
          <w:bCs/>
        </w:rPr>
        <w:t xml:space="preserve">  </w:t>
      </w:r>
      <w:r>
        <w:rPr>
          <w:rFonts w:hint="eastAsia"/>
          <w:b/>
          <w:bCs/>
        </w:rPr>
        <w:t>下游河流预测点浓度变化</w:t>
      </w:r>
    </w:p>
    <w:p w14:paraId="16182DAD">
      <w:pPr>
        <w:adjustRightInd w:val="0"/>
        <w:snapToGrid w:val="0"/>
        <w:spacing w:before="0" w:beforeLines="0" w:line="240" w:lineRule="auto"/>
        <w:jc w:val="center"/>
        <w:rPr>
          <w:b/>
          <w:bCs/>
        </w:rPr>
      </w:pPr>
    </w:p>
    <w:p w14:paraId="7CE42AFB">
      <w:pPr>
        <w:spacing w:before="0" w:beforeLines="0" w:line="360" w:lineRule="auto"/>
        <w:ind w:firstLine="480" w:firstLineChars="200"/>
        <w:rPr>
          <w:sz w:val="24"/>
        </w:rPr>
      </w:pPr>
      <w:r>
        <w:rPr>
          <w:rFonts w:hint="eastAsia"/>
          <w:sz w:val="24"/>
        </w:rPr>
        <w:t>通过各个预测点浓度变化看出，由于地下水径流稀释作用，污染物质很快被稀释，浓度很快降低到标准值以下，污染羽距离保护目标处较远，始终未对保护目标造成影响，超标污染羽在60天时消失，不再对周边地下水环境造成影响。</w:t>
      </w:r>
    </w:p>
    <w:p w14:paraId="34D5CEEA">
      <w:pPr>
        <w:spacing w:before="0" w:beforeLines="0" w:line="360" w:lineRule="auto"/>
        <w:ind w:firstLine="480" w:firstLineChars="200"/>
        <w:rPr>
          <w:sz w:val="24"/>
        </w:rPr>
      </w:pPr>
      <w:r>
        <w:rPr>
          <w:rFonts w:hint="eastAsia"/>
          <w:sz w:val="24"/>
        </w:rPr>
        <w:t>（2）浓缩罐汞预测</w:t>
      </w:r>
    </w:p>
    <w:p w14:paraId="096FB0F7">
      <w:pPr>
        <w:spacing w:before="0" w:beforeLines="0" w:line="360" w:lineRule="auto"/>
        <w:ind w:firstLine="480" w:firstLineChars="200"/>
        <w:rPr>
          <w:sz w:val="24"/>
        </w:rPr>
      </w:pPr>
      <w:r>
        <w:rPr>
          <w:rFonts w:hint="eastAsia"/>
          <w:sz w:val="24"/>
        </w:rPr>
        <w:t>汞以</w:t>
      </w:r>
      <w:r>
        <w:rPr>
          <w:rFonts w:hAnsi="宋体"/>
          <w:sz w:val="24"/>
        </w:rPr>
        <w:t>《</w:t>
      </w:r>
      <w:r>
        <w:rPr>
          <w:rFonts w:hint="eastAsia" w:hAnsi="宋体"/>
          <w:sz w:val="24"/>
        </w:rPr>
        <w:t>地下水</w:t>
      </w:r>
      <w:r>
        <w:rPr>
          <w:rFonts w:hAnsi="宋体"/>
          <w:sz w:val="24"/>
        </w:rPr>
        <w:t>质量标准》</w:t>
      </w:r>
      <w:r>
        <w:rPr>
          <w:rFonts w:hint="eastAsia" w:hAnsi="宋体"/>
          <w:sz w:val="24"/>
        </w:rPr>
        <w:t>（</w:t>
      </w:r>
      <w:r>
        <w:rPr>
          <w:rFonts w:hAnsi="宋体"/>
          <w:sz w:val="24"/>
        </w:rPr>
        <w:t>GB</w:t>
      </w:r>
      <w:r>
        <w:rPr>
          <w:rFonts w:hint="eastAsia" w:hAnsi="宋体"/>
          <w:sz w:val="24"/>
        </w:rPr>
        <w:t>/T14848</w:t>
      </w:r>
      <w:r>
        <w:rPr>
          <w:rFonts w:hAnsi="宋体"/>
          <w:sz w:val="24"/>
        </w:rPr>
        <w:t>-20</w:t>
      </w:r>
      <w:r>
        <w:rPr>
          <w:rFonts w:hint="eastAsia" w:hAnsi="宋体"/>
          <w:sz w:val="24"/>
        </w:rPr>
        <w:t>17）</w:t>
      </w:r>
      <w:r>
        <w:rPr>
          <w:rFonts w:hAnsi="宋体"/>
          <w:sz w:val="24"/>
        </w:rPr>
        <w:t>III类</w:t>
      </w:r>
      <w:r>
        <w:rPr>
          <w:rFonts w:hint="eastAsia" w:hAnsi="宋体"/>
          <w:sz w:val="24"/>
        </w:rPr>
        <w:t>中</w:t>
      </w:r>
      <w:r>
        <w:rPr>
          <w:rFonts w:hint="eastAsia"/>
          <w:sz w:val="24"/>
        </w:rPr>
        <w:t>汞</w:t>
      </w:r>
      <w:r>
        <w:rPr>
          <w:rFonts w:hAnsi="宋体"/>
          <w:sz w:val="24"/>
        </w:rPr>
        <w:t>标准</w:t>
      </w:r>
      <w:r>
        <w:rPr>
          <w:rFonts w:hint="eastAsia"/>
          <w:sz w:val="24"/>
        </w:rPr>
        <w:t>（0.001</w:t>
      </w:r>
      <w:r>
        <w:rPr>
          <w:sz w:val="24"/>
        </w:rPr>
        <w:t>mg/L</w:t>
      </w:r>
      <w:r>
        <w:rPr>
          <w:rFonts w:hint="eastAsia"/>
          <w:sz w:val="24"/>
        </w:rPr>
        <w:t>）作为污染羽的最小值。将上述源强信息代入模型，得出模拟结论。</w:t>
      </w:r>
    </w:p>
    <w:p w14:paraId="0D7B0DAF">
      <w:pPr>
        <w:adjustRightInd w:val="0"/>
        <w:snapToGrid w:val="0"/>
        <w:spacing w:before="0" w:beforeLines="0" w:line="240" w:lineRule="auto"/>
        <w:jc w:val="center"/>
        <w:rPr>
          <w:b/>
          <w:bCs/>
        </w:rPr>
      </w:pPr>
      <w:r>
        <w:rPr>
          <w:rFonts w:hint="eastAsia"/>
          <w:b/>
          <w:bCs/>
        </w:rPr>
        <w:drawing>
          <wp:inline distT="0" distB="0" distL="114300" distR="114300">
            <wp:extent cx="5262880" cy="2738755"/>
            <wp:effectExtent l="0" t="0" r="7620" b="4445"/>
            <wp:docPr id="391683845" name="图片 39168384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683845" name="图片 391683845" descr="1"/>
                    <pic:cNvPicPr>
                      <a:picLocks noChangeAspect="1"/>
                    </pic:cNvPicPr>
                  </pic:nvPicPr>
                  <pic:blipFill>
                    <a:blip r:embed="rId118"/>
                    <a:stretch>
                      <a:fillRect/>
                    </a:stretch>
                  </pic:blipFill>
                  <pic:spPr>
                    <a:xfrm>
                      <a:off x="0" y="0"/>
                      <a:ext cx="5262880" cy="2738755"/>
                    </a:xfrm>
                    <a:prstGeom prst="rect">
                      <a:avLst/>
                    </a:prstGeom>
                  </pic:spPr>
                </pic:pic>
              </a:graphicData>
            </a:graphic>
          </wp:inline>
        </w:drawing>
      </w:r>
    </w:p>
    <w:p w14:paraId="44C8A141">
      <w:pPr>
        <w:adjustRightInd w:val="0"/>
        <w:snapToGrid w:val="0"/>
        <w:spacing w:before="0" w:beforeLines="0" w:line="240" w:lineRule="auto"/>
        <w:jc w:val="center"/>
        <w:rPr>
          <w:b/>
          <w:bCs/>
          <w:szCs w:val="21"/>
        </w:rPr>
      </w:pPr>
      <w:r>
        <w:rPr>
          <w:b/>
          <w:bCs/>
          <w:szCs w:val="21"/>
        </w:rPr>
        <w:t>图</w:t>
      </w:r>
      <w:r>
        <w:rPr>
          <w:rFonts w:hint="eastAsia"/>
          <w:b/>
          <w:bCs/>
          <w:szCs w:val="21"/>
        </w:rPr>
        <w:t xml:space="preserve">5.7-15   </w:t>
      </w:r>
      <w:r>
        <w:rPr>
          <w:b/>
          <w:bCs/>
          <w:szCs w:val="21"/>
        </w:rPr>
        <w:t xml:space="preserve">  渗漏10天污染影响范围（</w:t>
      </w:r>
      <w:r>
        <w:rPr>
          <w:rFonts w:hint="eastAsia"/>
          <w:b/>
          <w:szCs w:val="21"/>
        </w:rPr>
        <w:t>汞</w:t>
      </w:r>
      <w:r>
        <w:rPr>
          <w:b/>
          <w:bCs/>
          <w:szCs w:val="21"/>
        </w:rPr>
        <w:t>）</w:t>
      </w:r>
    </w:p>
    <w:p w14:paraId="5FDF1AAB">
      <w:pPr>
        <w:adjustRightInd w:val="0"/>
        <w:snapToGrid w:val="0"/>
        <w:spacing w:before="0" w:beforeLines="0" w:line="240" w:lineRule="auto"/>
        <w:jc w:val="center"/>
        <w:rPr>
          <w:b/>
          <w:bCs/>
        </w:rPr>
      </w:pPr>
      <w:r>
        <w:rPr>
          <w:rFonts w:hint="eastAsia"/>
          <w:b/>
          <w:bCs/>
        </w:rPr>
        <w:drawing>
          <wp:inline distT="0" distB="0" distL="114300" distR="114300">
            <wp:extent cx="5261610" cy="2743835"/>
            <wp:effectExtent l="0" t="0" r="8890" b="12065"/>
            <wp:docPr id="465339327" name="图片 465339327"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339327" name="图片 465339327" descr="2"/>
                    <pic:cNvPicPr>
                      <a:picLocks noChangeAspect="1"/>
                    </pic:cNvPicPr>
                  </pic:nvPicPr>
                  <pic:blipFill>
                    <a:blip r:embed="rId119"/>
                    <a:stretch>
                      <a:fillRect/>
                    </a:stretch>
                  </pic:blipFill>
                  <pic:spPr>
                    <a:xfrm>
                      <a:off x="0" y="0"/>
                      <a:ext cx="5261610" cy="2743835"/>
                    </a:xfrm>
                    <a:prstGeom prst="rect">
                      <a:avLst/>
                    </a:prstGeom>
                  </pic:spPr>
                </pic:pic>
              </a:graphicData>
            </a:graphic>
          </wp:inline>
        </w:drawing>
      </w:r>
    </w:p>
    <w:p w14:paraId="0D0F0D15">
      <w:pPr>
        <w:adjustRightInd w:val="0"/>
        <w:snapToGrid w:val="0"/>
        <w:spacing w:before="0" w:beforeLines="0" w:line="240" w:lineRule="auto"/>
        <w:jc w:val="center"/>
        <w:rPr>
          <w:b/>
          <w:bCs/>
          <w:szCs w:val="21"/>
        </w:rPr>
      </w:pPr>
      <w:r>
        <w:rPr>
          <w:b/>
          <w:bCs/>
          <w:szCs w:val="21"/>
        </w:rPr>
        <w:t>图</w:t>
      </w:r>
      <w:r>
        <w:rPr>
          <w:rFonts w:hint="eastAsia"/>
          <w:b/>
          <w:bCs/>
          <w:szCs w:val="21"/>
        </w:rPr>
        <w:t xml:space="preserve">5.7-16     </w:t>
      </w:r>
      <w:r>
        <w:rPr>
          <w:b/>
          <w:bCs/>
          <w:szCs w:val="21"/>
        </w:rPr>
        <w:t xml:space="preserve"> 渗漏30天污染影响范围（</w:t>
      </w:r>
      <w:r>
        <w:rPr>
          <w:rFonts w:hint="eastAsia"/>
          <w:b/>
          <w:szCs w:val="21"/>
        </w:rPr>
        <w:t>汞</w:t>
      </w:r>
      <w:r>
        <w:rPr>
          <w:b/>
          <w:bCs/>
          <w:szCs w:val="21"/>
        </w:rPr>
        <w:t>）</w:t>
      </w:r>
    </w:p>
    <w:p w14:paraId="157594E1">
      <w:pPr>
        <w:adjustRightInd w:val="0"/>
        <w:snapToGrid w:val="0"/>
        <w:spacing w:before="0" w:beforeLines="0" w:line="240" w:lineRule="auto"/>
        <w:jc w:val="center"/>
        <w:rPr>
          <w:b/>
          <w:bCs/>
        </w:rPr>
      </w:pPr>
      <w:r>
        <w:rPr>
          <w:rFonts w:hint="eastAsia"/>
          <w:b/>
          <w:bCs/>
        </w:rPr>
        <w:drawing>
          <wp:inline distT="0" distB="0" distL="114300" distR="114300">
            <wp:extent cx="5266055" cy="2743835"/>
            <wp:effectExtent l="0" t="0" r="4445" b="12065"/>
            <wp:docPr id="1185181419" name="图片 1185181419"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181419" name="图片 1185181419" descr="3"/>
                    <pic:cNvPicPr>
                      <a:picLocks noChangeAspect="1"/>
                    </pic:cNvPicPr>
                  </pic:nvPicPr>
                  <pic:blipFill>
                    <a:blip r:embed="rId120"/>
                    <a:stretch>
                      <a:fillRect/>
                    </a:stretch>
                  </pic:blipFill>
                  <pic:spPr>
                    <a:xfrm>
                      <a:off x="0" y="0"/>
                      <a:ext cx="5266055" cy="2743835"/>
                    </a:xfrm>
                    <a:prstGeom prst="rect">
                      <a:avLst/>
                    </a:prstGeom>
                  </pic:spPr>
                </pic:pic>
              </a:graphicData>
            </a:graphic>
          </wp:inline>
        </w:drawing>
      </w:r>
    </w:p>
    <w:p w14:paraId="5ADD42B2">
      <w:pPr>
        <w:adjustRightInd w:val="0"/>
        <w:snapToGrid w:val="0"/>
        <w:spacing w:before="0" w:beforeLines="0" w:line="240" w:lineRule="auto"/>
        <w:jc w:val="center"/>
        <w:rPr>
          <w:b/>
          <w:bCs/>
          <w:szCs w:val="21"/>
        </w:rPr>
      </w:pPr>
      <w:r>
        <w:rPr>
          <w:rFonts w:hint="eastAsia"/>
          <w:b/>
          <w:bCs/>
          <w:szCs w:val="21"/>
        </w:rPr>
        <w:t>图5.7-17</w:t>
      </w:r>
      <w:r>
        <w:rPr>
          <w:b/>
          <w:bCs/>
          <w:szCs w:val="21"/>
        </w:rPr>
        <w:t xml:space="preserve">  渗漏44天污染影响范围（</w:t>
      </w:r>
      <w:r>
        <w:rPr>
          <w:rFonts w:hint="eastAsia"/>
          <w:b/>
          <w:szCs w:val="21"/>
        </w:rPr>
        <w:t>汞</w:t>
      </w:r>
      <w:r>
        <w:rPr>
          <w:b/>
          <w:bCs/>
          <w:szCs w:val="21"/>
        </w:rPr>
        <w:t>）</w:t>
      </w:r>
    </w:p>
    <w:p w14:paraId="75548106">
      <w:pPr>
        <w:adjustRightInd w:val="0"/>
        <w:snapToGrid w:val="0"/>
        <w:spacing w:before="0" w:beforeLines="0" w:line="240" w:lineRule="auto"/>
        <w:jc w:val="center"/>
        <w:rPr>
          <w:b/>
          <w:bCs/>
        </w:rPr>
      </w:pPr>
      <w:r>
        <w:rPr>
          <w:rFonts w:hint="eastAsia"/>
          <w:b/>
          <w:bCs/>
        </w:rPr>
        <w:drawing>
          <wp:inline distT="0" distB="0" distL="114300" distR="114300">
            <wp:extent cx="5266055" cy="2743835"/>
            <wp:effectExtent l="0" t="0" r="4445" b="12065"/>
            <wp:docPr id="684958083" name="图片 684958083"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958083" name="图片 684958083" descr="4"/>
                    <pic:cNvPicPr>
                      <a:picLocks noChangeAspect="1"/>
                    </pic:cNvPicPr>
                  </pic:nvPicPr>
                  <pic:blipFill>
                    <a:blip r:embed="rId121"/>
                    <a:stretch>
                      <a:fillRect/>
                    </a:stretch>
                  </pic:blipFill>
                  <pic:spPr>
                    <a:xfrm>
                      <a:off x="0" y="0"/>
                      <a:ext cx="5266055" cy="2743835"/>
                    </a:xfrm>
                    <a:prstGeom prst="rect">
                      <a:avLst/>
                    </a:prstGeom>
                  </pic:spPr>
                </pic:pic>
              </a:graphicData>
            </a:graphic>
          </wp:inline>
        </w:drawing>
      </w:r>
    </w:p>
    <w:p w14:paraId="45E6C5A1">
      <w:pPr>
        <w:adjustRightInd w:val="0"/>
        <w:snapToGrid w:val="0"/>
        <w:spacing w:before="0" w:beforeLines="0" w:line="240" w:lineRule="auto"/>
        <w:jc w:val="center"/>
        <w:rPr>
          <w:b/>
          <w:bCs/>
          <w:szCs w:val="21"/>
        </w:rPr>
      </w:pPr>
      <w:r>
        <w:rPr>
          <w:b/>
          <w:bCs/>
          <w:szCs w:val="21"/>
        </w:rPr>
        <w:t>图</w:t>
      </w:r>
      <w:r>
        <w:rPr>
          <w:rFonts w:hint="eastAsia"/>
          <w:b/>
          <w:bCs/>
          <w:szCs w:val="21"/>
        </w:rPr>
        <w:t xml:space="preserve">5.7-18    </w:t>
      </w:r>
      <w:r>
        <w:rPr>
          <w:b/>
          <w:bCs/>
          <w:szCs w:val="21"/>
        </w:rPr>
        <w:t xml:space="preserve"> 渗漏48天污染影响范围（</w:t>
      </w:r>
      <w:r>
        <w:rPr>
          <w:rFonts w:hint="eastAsia"/>
          <w:b/>
          <w:szCs w:val="21"/>
        </w:rPr>
        <w:t>汞</w:t>
      </w:r>
      <w:r>
        <w:rPr>
          <w:b/>
          <w:bCs/>
          <w:szCs w:val="21"/>
        </w:rPr>
        <w:t>）</w:t>
      </w:r>
    </w:p>
    <w:p w14:paraId="41389478">
      <w:pPr>
        <w:adjustRightInd w:val="0"/>
        <w:snapToGrid w:val="0"/>
        <w:spacing w:before="0" w:beforeLines="0" w:line="240" w:lineRule="auto"/>
        <w:jc w:val="center"/>
        <w:rPr>
          <w:b/>
          <w:bCs/>
        </w:rPr>
      </w:pPr>
      <w:r>
        <w:rPr>
          <w:rFonts w:hint="eastAsia"/>
          <w:b/>
          <w:bCs/>
        </w:rPr>
        <w:drawing>
          <wp:inline distT="0" distB="0" distL="114300" distR="114300">
            <wp:extent cx="5266055" cy="2740025"/>
            <wp:effectExtent l="0" t="0" r="4445" b="3175"/>
            <wp:docPr id="1853247978" name="图片 1853247978"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247978" name="图片 1853247978" descr="5"/>
                    <pic:cNvPicPr>
                      <a:picLocks noChangeAspect="1"/>
                    </pic:cNvPicPr>
                  </pic:nvPicPr>
                  <pic:blipFill>
                    <a:blip r:embed="rId122"/>
                    <a:stretch>
                      <a:fillRect/>
                    </a:stretch>
                  </pic:blipFill>
                  <pic:spPr>
                    <a:xfrm>
                      <a:off x="0" y="0"/>
                      <a:ext cx="5266055" cy="2740025"/>
                    </a:xfrm>
                    <a:prstGeom prst="rect">
                      <a:avLst/>
                    </a:prstGeom>
                  </pic:spPr>
                </pic:pic>
              </a:graphicData>
            </a:graphic>
          </wp:inline>
        </w:drawing>
      </w:r>
    </w:p>
    <w:p w14:paraId="32A49769">
      <w:pPr>
        <w:adjustRightInd w:val="0"/>
        <w:snapToGrid w:val="0"/>
        <w:spacing w:before="0" w:beforeLines="0" w:line="240" w:lineRule="auto"/>
        <w:jc w:val="center"/>
        <w:rPr>
          <w:b/>
          <w:bCs/>
          <w:szCs w:val="21"/>
        </w:rPr>
      </w:pPr>
      <w:r>
        <w:rPr>
          <w:b/>
          <w:bCs/>
          <w:szCs w:val="21"/>
        </w:rPr>
        <w:t>图</w:t>
      </w:r>
      <w:r>
        <w:rPr>
          <w:rFonts w:hint="eastAsia"/>
          <w:b/>
          <w:bCs/>
          <w:szCs w:val="21"/>
        </w:rPr>
        <w:t>5.7</w:t>
      </w:r>
      <w:r>
        <w:rPr>
          <w:b/>
          <w:bCs/>
          <w:szCs w:val="21"/>
        </w:rPr>
        <w:t>-</w:t>
      </w:r>
      <w:r>
        <w:rPr>
          <w:rFonts w:hint="eastAsia"/>
          <w:b/>
          <w:bCs/>
          <w:szCs w:val="21"/>
        </w:rPr>
        <w:t>19</w:t>
      </w:r>
      <w:r>
        <w:rPr>
          <w:b/>
          <w:bCs/>
          <w:szCs w:val="21"/>
        </w:rPr>
        <w:t xml:space="preserve">  渗漏51天污染影响范围（</w:t>
      </w:r>
      <w:r>
        <w:rPr>
          <w:rFonts w:hint="eastAsia"/>
          <w:b/>
          <w:szCs w:val="21"/>
        </w:rPr>
        <w:t>汞</w:t>
      </w:r>
      <w:r>
        <w:rPr>
          <w:b/>
          <w:bCs/>
          <w:szCs w:val="21"/>
        </w:rPr>
        <w:t>）</w:t>
      </w:r>
    </w:p>
    <w:p w14:paraId="6F516C7C">
      <w:pPr>
        <w:adjustRightInd w:val="0"/>
        <w:snapToGrid w:val="0"/>
        <w:spacing w:before="0" w:beforeLines="0" w:line="240" w:lineRule="auto"/>
        <w:jc w:val="center"/>
        <w:rPr>
          <w:b/>
          <w:bCs/>
        </w:rPr>
      </w:pPr>
      <w:r>
        <w:rPr>
          <w:rFonts w:hint="eastAsia"/>
          <w:b/>
          <w:bCs/>
        </w:rPr>
        <w:drawing>
          <wp:inline distT="0" distB="0" distL="114300" distR="114300">
            <wp:extent cx="5270500" cy="2747010"/>
            <wp:effectExtent l="0" t="0" r="0" b="8890"/>
            <wp:docPr id="1287816907" name="图片 1287816907"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816907" name="图片 1287816907" descr="0"/>
                    <pic:cNvPicPr>
                      <a:picLocks noChangeAspect="1"/>
                    </pic:cNvPicPr>
                  </pic:nvPicPr>
                  <pic:blipFill>
                    <a:blip r:embed="rId123"/>
                    <a:stretch>
                      <a:fillRect/>
                    </a:stretch>
                  </pic:blipFill>
                  <pic:spPr>
                    <a:xfrm>
                      <a:off x="0" y="0"/>
                      <a:ext cx="5270500" cy="2747010"/>
                    </a:xfrm>
                    <a:prstGeom prst="rect">
                      <a:avLst/>
                    </a:prstGeom>
                  </pic:spPr>
                </pic:pic>
              </a:graphicData>
            </a:graphic>
          </wp:inline>
        </w:drawing>
      </w:r>
    </w:p>
    <w:p w14:paraId="21BBCCFB">
      <w:pPr>
        <w:adjustRightInd w:val="0"/>
        <w:snapToGrid w:val="0"/>
        <w:spacing w:before="0" w:beforeLines="0" w:line="240" w:lineRule="auto"/>
        <w:jc w:val="center"/>
        <w:rPr>
          <w:b/>
          <w:bCs/>
          <w:szCs w:val="21"/>
        </w:rPr>
      </w:pPr>
      <w:r>
        <w:rPr>
          <w:b/>
          <w:bCs/>
          <w:szCs w:val="21"/>
        </w:rPr>
        <w:t>图</w:t>
      </w:r>
      <w:r>
        <w:rPr>
          <w:rFonts w:hint="eastAsia"/>
          <w:b/>
          <w:bCs/>
          <w:szCs w:val="21"/>
        </w:rPr>
        <w:t>5.7</w:t>
      </w:r>
      <w:r>
        <w:rPr>
          <w:b/>
          <w:bCs/>
          <w:szCs w:val="21"/>
        </w:rPr>
        <w:t>-</w:t>
      </w:r>
      <w:r>
        <w:rPr>
          <w:rFonts w:hint="eastAsia"/>
          <w:b/>
          <w:bCs/>
          <w:szCs w:val="21"/>
        </w:rPr>
        <w:t>20</w:t>
      </w:r>
      <w:r>
        <w:rPr>
          <w:b/>
          <w:bCs/>
          <w:szCs w:val="21"/>
        </w:rPr>
        <w:t xml:space="preserve">  </w:t>
      </w:r>
      <w:r>
        <w:rPr>
          <w:rFonts w:hint="eastAsia"/>
          <w:b/>
          <w:bCs/>
          <w:szCs w:val="21"/>
        </w:rPr>
        <w:t xml:space="preserve"> </w:t>
      </w:r>
      <w:r>
        <w:rPr>
          <w:b/>
          <w:bCs/>
          <w:szCs w:val="21"/>
        </w:rPr>
        <w:t>渗漏53天污染影响范围（</w:t>
      </w:r>
      <w:r>
        <w:rPr>
          <w:rFonts w:hint="eastAsia"/>
          <w:b/>
          <w:szCs w:val="21"/>
        </w:rPr>
        <w:t>汞</w:t>
      </w:r>
      <w:r>
        <w:rPr>
          <w:b/>
          <w:bCs/>
          <w:szCs w:val="21"/>
        </w:rPr>
        <w:t>）</w:t>
      </w:r>
    </w:p>
    <w:p w14:paraId="3CB37D72">
      <w:pPr>
        <w:adjustRightInd w:val="0"/>
        <w:snapToGrid w:val="0"/>
        <w:spacing w:before="0" w:beforeLines="0" w:line="240" w:lineRule="auto"/>
        <w:jc w:val="center"/>
        <w:rPr>
          <w:b/>
          <w:bCs/>
        </w:rPr>
      </w:pPr>
      <w:r>
        <w:rPr>
          <w:rFonts w:hint="eastAsia"/>
          <w:b/>
          <w:bCs/>
        </w:rPr>
        <w:drawing>
          <wp:inline distT="0" distB="0" distL="114300" distR="114300">
            <wp:extent cx="5270500" cy="2747010"/>
            <wp:effectExtent l="0" t="0" r="0" b="8890"/>
            <wp:docPr id="1023603395" name="图片 1023603395"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603395" name="图片 1023603395" descr="0"/>
                    <pic:cNvPicPr>
                      <a:picLocks noChangeAspect="1"/>
                    </pic:cNvPicPr>
                  </pic:nvPicPr>
                  <pic:blipFill>
                    <a:blip r:embed="rId123"/>
                    <a:stretch>
                      <a:fillRect/>
                    </a:stretch>
                  </pic:blipFill>
                  <pic:spPr>
                    <a:xfrm>
                      <a:off x="0" y="0"/>
                      <a:ext cx="5270500" cy="2747010"/>
                    </a:xfrm>
                    <a:prstGeom prst="rect">
                      <a:avLst/>
                    </a:prstGeom>
                  </pic:spPr>
                </pic:pic>
              </a:graphicData>
            </a:graphic>
          </wp:inline>
        </w:drawing>
      </w:r>
    </w:p>
    <w:p w14:paraId="4CE04419">
      <w:pPr>
        <w:adjustRightInd w:val="0"/>
        <w:snapToGrid w:val="0"/>
        <w:spacing w:before="0" w:beforeLines="0" w:line="240" w:lineRule="auto"/>
        <w:jc w:val="center"/>
        <w:rPr>
          <w:b/>
          <w:bCs/>
          <w:szCs w:val="21"/>
        </w:rPr>
      </w:pPr>
      <w:r>
        <w:rPr>
          <w:b/>
          <w:bCs/>
          <w:szCs w:val="21"/>
        </w:rPr>
        <w:t>图</w:t>
      </w:r>
      <w:r>
        <w:rPr>
          <w:rFonts w:hint="eastAsia"/>
          <w:b/>
          <w:bCs/>
          <w:szCs w:val="21"/>
        </w:rPr>
        <w:t>5.7</w:t>
      </w:r>
      <w:r>
        <w:rPr>
          <w:b/>
          <w:bCs/>
          <w:szCs w:val="21"/>
        </w:rPr>
        <w:t>-</w:t>
      </w:r>
      <w:r>
        <w:rPr>
          <w:rFonts w:hint="eastAsia"/>
          <w:b/>
          <w:bCs/>
          <w:szCs w:val="21"/>
        </w:rPr>
        <w:t>21</w:t>
      </w:r>
      <w:r>
        <w:rPr>
          <w:b/>
          <w:bCs/>
          <w:szCs w:val="21"/>
        </w:rPr>
        <w:t xml:space="preserve">  渗漏</w:t>
      </w:r>
      <w:r>
        <w:rPr>
          <w:rFonts w:hint="eastAsia"/>
          <w:b/>
          <w:bCs/>
          <w:szCs w:val="21"/>
        </w:rPr>
        <w:t>100</w:t>
      </w:r>
      <w:r>
        <w:rPr>
          <w:b/>
          <w:bCs/>
          <w:szCs w:val="21"/>
        </w:rPr>
        <w:t>天污染影响范围（</w:t>
      </w:r>
      <w:r>
        <w:rPr>
          <w:rFonts w:hint="eastAsia"/>
          <w:b/>
          <w:szCs w:val="21"/>
        </w:rPr>
        <w:t>汞</w:t>
      </w:r>
      <w:r>
        <w:rPr>
          <w:b/>
          <w:bCs/>
          <w:szCs w:val="21"/>
        </w:rPr>
        <w:t>）</w:t>
      </w:r>
    </w:p>
    <w:p w14:paraId="52A14A13">
      <w:pPr>
        <w:adjustRightInd w:val="0"/>
        <w:snapToGrid w:val="0"/>
        <w:spacing w:before="0" w:beforeLines="0" w:line="240" w:lineRule="auto"/>
        <w:jc w:val="center"/>
        <w:rPr>
          <w:b/>
          <w:bCs/>
        </w:rPr>
      </w:pPr>
      <w:r>
        <w:rPr>
          <w:rFonts w:hint="eastAsia"/>
          <w:b/>
          <w:bCs/>
        </w:rPr>
        <w:drawing>
          <wp:inline distT="0" distB="0" distL="114300" distR="114300">
            <wp:extent cx="5243195" cy="2733040"/>
            <wp:effectExtent l="0" t="0" r="1905" b="10160"/>
            <wp:docPr id="1115020287" name="图片 1115020287"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020287" name="图片 1115020287" descr="0"/>
                    <pic:cNvPicPr>
                      <a:picLocks noChangeAspect="1"/>
                    </pic:cNvPicPr>
                  </pic:nvPicPr>
                  <pic:blipFill>
                    <a:blip r:embed="rId124"/>
                    <a:stretch>
                      <a:fillRect/>
                    </a:stretch>
                  </pic:blipFill>
                  <pic:spPr>
                    <a:xfrm>
                      <a:off x="0" y="0"/>
                      <a:ext cx="5243195" cy="2733040"/>
                    </a:xfrm>
                    <a:prstGeom prst="rect">
                      <a:avLst/>
                    </a:prstGeom>
                  </pic:spPr>
                </pic:pic>
              </a:graphicData>
            </a:graphic>
          </wp:inline>
        </w:drawing>
      </w:r>
    </w:p>
    <w:p w14:paraId="10A39053">
      <w:pPr>
        <w:adjustRightInd w:val="0"/>
        <w:snapToGrid w:val="0"/>
        <w:spacing w:before="0" w:beforeLines="0" w:line="240" w:lineRule="auto"/>
        <w:jc w:val="center"/>
        <w:rPr>
          <w:b/>
          <w:bCs/>
          <w:szCs w:val="21"/>
        </w:rPr>
      </w:pPr>
      <w:r>
        <w:rPr>
          <w:b/>
          <w:bCs/>
          <w:szCs w:val="21"/>
        </w:rPr>
        <w:t>图</w:t>
      </w:r>
      <w:r>
        <w:rPr>
          <w:rFonts w:hint="eastAsia"/>
          <w:b/>
          <w:bCs/>
          <w:szCs w:val="21"/>
        </w:rPr>
        <w:t>5.7</w:t>
      </w:r>
      <w:r>
        <w:rPr>
          <w:b/>
          <w:bCs/>
          <w:szCs w:val="21"/>
        </w:rPr>
        <w:t>-</w:t>
      </w:r>
      <w:r>
        <w:rPr>
          <w:rFonts w:hint="eastAsia"/>
          <w:b/>
          <w:bCs/>
          <w:szCs w:val="21"/>
        </w:rPr>
        <w:t>22</w:t>
      </w:r>
      <w:r>
        <w:rPr>
          <w:b/>
          <w:bCs/>
          <w:szCs w:val="21"/>
        </w:rPr>
        <w:t xml:space="preserve">  渗漏</w:t>
      </w:r>
      <w:r>
        <w:rPr>
          <w:rFonts w:hint="eastAsia"/>
          <w:b/>
          <w:bCs/>
          <w:szCs w:val="21"/>
        </w:rPr>
        <w:t>1000</w:t>
      </w:r>
      <w:r>
        <w:rPr>
          <w:b/>
          <w:bCs/>
          <w:szCs w:val="21"/>
        </w:rPr>
        <w:t>天污染影响范围（</w:t>
      </w:r>
      <w:r>
        <w:rPr>
          <w:rFonts w:hint="eastAsia"/>
          <w:b/>
          <w:szCs w:val="21"/>
        </w:rPr>
        <w:t>汞</w:t>
      </w:r>
      <w:r>
        <w:rPr>
          <w:b/>
          <w:bCs/>
          <w:szCs w:val="21"/>
        </w:rPr>
        <w:t>）</w:t>
      </w:r>
    </w:p>
    <w:p w14:paraId="6DE47653">
      <w:pPr>
        <w:adjustRightInd w:val="0"/>
        <w:snapToGrid w:val="0"/>
        <w:spacing w:before="0" w:beforeLines="0" w:line="240" w:lineRule="auto"/>
        <w:jc w:val="center"/>
        <w:rPr>
          <w:b/>
          <w:bCs/>
        </w:rPr>
      </w:pPr>
      <w:r>
        <w:rPr>
          <w:rFonts w:hint="eastAsia"/>
          <w:b/>
          <w:bCs/>
        </w:rPr>
        <w:drawing>
          <wp:inline distT="0" distB="0" distL="114300" distR="114300">
            <wp:extent cx="5270500" cy="2747010"/>
            <wp:effectExtent l="0" t="0" r="0" b="8890"/>
            <wp:docPr id="21" name="图片 21"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0"/>
                    <pic:cNvPicPr>
                      <a:picLocks noChangeAspect="1"/>
                    </pic:cNvPicPr>
                  </pic:nvPicPr>
                  <pic:blipFill>
                    <a:blip r:embed="rId123"/>
                    <a:stretch>
                      <a:fillRect/>
                    </a:stretch>
                  </pic:blipFill>
                  <pic:spPr>
                    <a:xfrm>
                      <a:off x="0" y="0"/>
                      <a:ext cx="5270500" cy="2747010"/>
                    </a:xfrm>
                    <a:prstGeom prst="rect">
                      <a:avLst/>
                    </a:prstGeom>
                  </pic:spPr>
                </pic:pic>
              </a:graphicData>
            </a:graphic>
          </wp:inline>
        </w:drawing>
      </w:r>
    </w:p>
    <w:p w14:paraId="709C3480">
      <w:pPr>
        <w:adjustRightInd w:val="0"/>
        <w:snapToGrid w:val="0"/>
        <w:spacing w:before="0" w:beforeLines="0" w:line="240" w:lineRule="auto"/>
        <w:jc w:val="center"/>
        <w:rPr>
          <w:b/>
          <w:bCs/>
          <w:szCs w:val="21"/>
        </w:rPr>
      </w:pPr>
      <w:r>
        <w:rPr>
          <w:b/>
          <w:bCs/>
          <w:szCs w:val="21"/>
        </w:rPr>
        <w:t>图</w:t>
      </w:r>
      <w:r>
        <w:rPr>
          <w:rFonts w:hint="eastAsia"/>
          <w:b/>
          <w:bCs/>
          <w:szCs w:val="21"/>
        </w:rPr>
        <w:t>5.7</w:t>
      </w:r>
      <w:r>
        <w:rPr>
          <w:b/>
          <w:bCs/>
          <w:szCs w:val="21"/>
        </w:rPr>
        <w:t>-</w:t>
      </w:r>
      <w:r>
        <w:rPr>
          <w:rFonts w:hint="eastAsia"/>
          <w:b/>
          <w:bCs/>
          <w:szCs w:val="21"/>
        </w:rPr>
        <w:t>23</w:t>
      </w:r>
      <w:r>
        <w:rPr>
          <w:b/>
          <w:bCs/>
          <w:szCs w:val="21"/>
        </w:rPr>
        <w:t xml:space="preserve">  渗漏</w:t>
      </w:r>
      <w:r>
        <w:rPr>
          <w:rFonts w:hint="eastAsia"/>
          <w:b/>
          <w:bCs/>
          <w:szCs w:val="21"/>
        </w:rPr>
        <w:t>3650天</w:t>
      </w:r>
      <w:r>
        <w:rPr>
          <w:b/>
          <w:bCs/>
          <w:szCs w:val="21"/>
        </w:rPr>
        <w:t>污染影响范围（</w:t>
      </w:r>
      <w:r>
        <w:rPr>
          <w:rFonts w:hint="eastAsia"/>
          <w:b/>
          <w:szCs w:val="21"/>
        </w:rPr>
        <w:t>汞</w:t>
      </w:r>
      <w:r>
        <w:rPr>
          <w:b/>
          <w:bCs/>
          <w:szCs w:val="21"/>
        </w:rPr>
        <w:t>）</w:t>
      </w:r>
    </w:p>
    <w:p w14:paraId="33971780">
      <w:pPr>
        <w:adjustRightInd w:val="0"/>
        <w:snapToGrid w:val="0"/>
        <w:spacing w:before="0" w:beforeLines="0" w:line="240" w:lineRule="auto"/>
        <w:jc w:val="center"/>
        <w:rPr>
          <w:b/>
          <w:bCs/>
          <w:szCs w:val="21"/>
        </w:rPr>
      </w:pPr>
    </w:p>
    <w:p w14:paraId="466D4CDC">
      <w:pPr>
        <w:spacing w:before="0" w:beforeLines="0" w:line="360" w:lineRule="auto"/>
        <w:ind w:firstLine="480" w:firstLineChars="200"/>
        <w:rPr>
          <w:sz w:val="24"/>
        </w:rPr>
      </w:pPr>
      <w:r>
        <w:rPr>
          <w:rFonts w:hint="eastAsia"/>
          <w:sz w:val="24"/>
        </w:rPr>
        <w:t>模拟结果中，0.001</w:t>
      </w:r>
      <w:r>
        <w:rPr>
          <w:sz w:val="24"/>
        </w:rPr>
        <w:t>mg/L</w:t>
      </w:r>
      <w:r>
        <w:rPr>
          <w:rFonts w:hint="eastAsia"/>
          <w:sz w:val="24"/>
        </w:rPr>
        <w:t>作为污染羽最小值。根据模拟结果可知，非正常状况下发生泄漏时，污染物进入地下水，在水流作用下向地下水径流的下游方向运移，并不断向周边扩散，形成污染羽。</w:t>
      </w:r>
    </w:p>
    <w:p w14:paraId="6A2A7913">
      <w:pPr>
        <w:spacing w:before="0" w:beforeLines="0" w:line="360" w:lineRule="auto"/>
        <w:ind w:firstLine="480" w:firstLineChars="200"/>
        <w:rPr>
          <w:sz w:val="24"/>
        </w:rPr>
      </w:pPr>
      <w:r>
        <w:rPr>
          <w:rFonts w:hint="eastAsia"/>
          <w:sz w:val="24"/>
        </w:rPr>
        <w:t>泄漏发生10天时，污染物浓度最大值主要位于浓缩罐区处，由于污染物持续</w:t>
      </w:r>
      <w:r>
        <w:rPr>
          <w:rFonts w:hint="eastAsia"/>
          <w:sz w:val="24"/>
          <w:lang w:eastAsia="zh-CN"/>
        </w:rPr>
        <w:t>泄漏</w:t>
      </w:r>
      <w:r>
        <w:rPr>
          <w:rFonts w:hint="eastAsia"/>
          <w:sz w:val="24"/>
        </w:rPr>
        <w:t>，浓度最大值为0.0018</w:t>
      </w:r>
      <w:r>
        <w:rPr>
          <w:sz w:val="24"/>
        </w:rPr>
        <w:t>mg/L</w:t>
      </w:r>
      <w:r>
        <w:rPr>
          <w:rFonts w:hint="eastAsia"/>
          <w:sz w:val="24"/>
        </w:rPr>
        <w:t>，污染羽范围扩大，有向下游运移的趋势，污染羽影响范围1984</w:t>
      </w:r>
      <w:r>
        <w:rPr>
          <w:sz w:val="24"/>
        </w:rPr>
        <w:t>m</w:t>
      </w:r>
      <w:r>
        <w:rPr>
          <w:sz w:val="24"/>
          <w:vertAlign w:val="superscript"/>
        </w:rPr>
        <w:t>2</w:t>
      </w:r>
      <w:r>
        <w:rPr>
          <w:rFonts w:hint="eastAsia"/>
          <w:sz w:val="24"/>
        </w:rPr>
        <w:t>，污染羽距离下游最近保护目标1564m。</w:t>
      </w:r>
    </w:p>
    <w:p w14:paraId="7A73AFFB">
      <w:pPr>
        <w:spacing w:before="0" w:beforeLines="0" w:line="360" w:lineRule="auto"/>
        <w:ind w:firstLine="480" w:firstLineChars="200"/>
        <w:rPr>
          <w:sz w:val="24"/>
        </w:rPr>
      </w:pPr>
      <w:r>
        <w:rPr>
          <w:rFonts w:hint="eastAsia"/>
          <w:sz w:val="24"/>
        </w:rPr>
        <w:t>泄漏发生30天时，污染物浓度最大值主要位于浓缩罐区处，此时中心浓度为最大，浓度为0.002</w:t>
      </w:r>
      <w:r>
        <w:rPr>
          <w:sz w:val="24"/>
        </w:rPr>
        <w:t>mg/L</w:t>
      </w:r>
      <w:r>
        <w:rPr>
          <w:rFonts w:hint="eastAsia"/>
          <w:sz w:val="24"/>
        </w:rPr>
        <w:t>。污染羽影响范围3207</w:t>
      </w:r>
      <w:r>
        <w:rPr>
          <w:sz w:val="24"/>
        </w:rPr>
        <w:t>m</w:t>
      </w:r>
      <w:r>
        <w:rPr>
          <w:sz w:val="24"/>
          <w:vertAlign w:val="superscript"/>
        </w:rPr>
        <w:t>2</w:t>
      </w:r>
      <w:r>
        <w:rPr>
          <w:rFonts w:hint="eastAsia"/>
          <w:sz w:val="24"/>
        </w:rPr>
        <w:t>，污染羽距离下游最近保护目标1531m。</w:t>
      </w:r>
      <w:r>
        <w:rPr>
          <w:rFonts w:hint="eastAsia"/>
          <w:sz w:val="24"/>
          <w:lang w:eastAsia="zh-CN"/>
        </w:rPr>
        <w:t>及时</w:t>
      </w:r>
      <w:r>
        <w:rPr>
          <w:rFonts w:hint="eastAsia"/>
          <w:sz w:val="24"/>
        </w:rPr>
        <w:t>切断污染源。</w:t>
      </w:r>
    </w:p>
    <w:p w14:paraId="43332778">
      <w:pPr>
        <w:spacing w:before="0" w:beforeLines="0" w:line="360" w:lineRule="auto"/>
        <w:ind w:firstLine="480" w:firstLineChars="200"/>
        <w:rPr>
          <w:sz w:val="24"/>
        </w:rPr>
      </w:pPr>
      <w:r>
        <w:rPr>
          <w:rFonts w:hint="eastAsia"/>
          <w:sz w:val="24"/>
        </w:rPr>
        <w:t>泄漏发生44天时，由于污染物已停止泄漏，在地下水流稀释径流作用，污染物浓度也降低，浓度最大值为0.0014</w:t>
      </w:r>
      <w:r>
        <w:rPr>
          <w:sz w:val="24"/>
        </w:rPr>
        <w:t>mg/L</w:t>
      </w:r>
      <w:r>
        <w:rPr>
          <w:rFonts w:hint="eastAsia"/>
          <w:sz w:val="24"/>
        </w:rPr>
        <w:t>。污染羽影响范围2439</w:t>
      </w:r>
      <w:r>
        <w:rPr>
          <w:sz w:val="24"/>
        </w:rPr>
        <w:t>m</w:t>
      </w:r>
      <w:r>
        <w:rPr>
          <w:sz w:val="24"/>
          <w:vertAlign w:val="superscript"/>
        </w:rPr>
        <w:t>2</w:t>
      </w:r>
      <w:r>
        <w:rPr>
          <w:rFonts w:hint="eastAsia"/>
          <w:sz w:val="24"/>
        </w:rPr>
        <w:t>，</w:t>
      </w:r>
      <w:r>
        <w:rPr>
          <w:sz w:val="24"/>
        </w:rPr>
        <w:t>污染羽</w:t>
      </w:r>
      <w:r>
        <w:rPr>
          <w:rFonts w:hint="eastAsia"/>
          <w:sz w:val="24"/>
        </w:rPr>
        <w:t>中心向下游运移距离为36m。</w:t>
      </w:r>
    </w:p>
    <w:p w14:paraId="1C7E0707">
      <w:pPr>
        <w:spacing w:before="0" w:beforeLines="0" w:line="360" w:lineRule="auto"/>
        <w:ind w:firstLine="480" w:firstLineChars="200"/>
        <w:rPr>
          <w:sz w:val="24"/>
        </w:rPr>
      </w:pPr>
      <w:r>
        <w:rPr>
          <w:rFonts w:hint="eastAsia"/>
          <w:sz w:val="24"/>
        </w:rPr>
        <w:t>泄漏发生48天及51天时，污染物逐渐向下游移动，浓度最大值分别为0.0014</w:t>
      </w:r>
      <w:r>
        <w:rPr>
          <w:sz w:val="24"/>
        </w:rPr>
        <w:t>mg/L</w:t>
      </w:r>
      <w:r>
        <w:rPr>
          <w:rFonts w:hint="eastAsia"/>
          <w:sz w:val="24"/>
        </w:rPr>
        <w:t>及0.0012</w:t>
      </w:r>
      <w:r>
        <w:rPr>
          <w:sz w:val="24"/>
        </w:rPr>
        <w:t>mg/L</w:t>
      </w:r>
      <w:r>
        <w:rPr>
          <w:rFonts w:hint="eastAsia"/>
          <w:sz w:val="24"/>
        </w:rPr>
        <w:t>。由于地下水径流稀释作用，污染羽逐渐减小，污染羽影响范围分别为1430</w:t>
      </w:r>
      <w:r>
        <w:rPr>
          <w:sz w:val="24"/>
        </w:rPr>
        <w:t>m</w:t>
      </w:r>
      <w:r>
        <w:rPr>
          <w:sz w:val="24"/>
          <w:vertAlign w:val="superscript"/>
        </w:rPr>
        <w:t>2</w:t>
      </w:r>
      <w:r>
        <w:rPr>
          <w:rFonts w:hint="eastAsia"/>
          <w:sz w:val="24"/>
        </w:rPr>
        <w:t>及871</w:t>
      </w:r>
      <w:r>
        <w:rPr>
          <w:sz w:val="24"/>
        </w:rPr>
        <w:t>m</w:t>
      </w:r>
      <w:r>
        <w:rPr>
          <w:sz w:val="24"/>
          <w:vertAlign w:val="superscript"/>
        </w:rPr>
        <w:t>2</w:t>
      </w:r>
      <w:r>
        <w:rPr>
          <w:rFonts w:hint="eastAsia"/>
          <w:sz w:val="24"/>
        </w:rPr>
        <w:t>，</w:t>
      </w:r>
      <w:r>
        <w:rPr>
          <w:sz w:val="24"/>
        </w:rPr>
        <w:t>污染羽</w:t>
      </w:r>
      <w:r>
        <w:rPr>
          <w:rFonts w:hint="eastAsia"/>
          <w:sz w:val="24"/>
        </w:rPr>
        <w:t>中心向下游运移距离为38m及45</w:t>
      </w:r>
      <w:r>
        <w:rPr>
          <w:sz w:val="24"/>
        </w:rPr>
        <w:t>m</w:t>
      </w:r>
      <w:r>
        <w:rPr>
          <w:rFonts w:hint="eastAsia"/>
          <w:sz w:val="24"/>
        </w:rPr>
        <w:t>。</w:t>
      </w:r>
    </w:p>
    <w:p w14:paraId="29E0689E">
      <w:pPr>
        <w:spacing w:before="0" w:beforeLines="0" w:line="360" w:lineRule="auto"/>
        <w:ind w:firstLine="480" w:firstLineChars="200"/>
        <w:rPr>
          <w:sz w:val="24"/>
        </w:rPr>
      </w:pPr>
      <w:r>
        <w:rPr>
          <w:rFonts w:hint="eastAsia"/>
          <w:sz w:val="24"/>
        </w:rPr>
        <w:t>至53天时，污染羽彻底消失，100天、365天、1000天及3650天无污染羽出现。</w:t>
      </w:r>
    </w:p>
    <w:p w14:paraId="211A3D68">
      <w:pPr>
        <w:spacing w:before="0" w:beforeLines="0" w:line="360" w:lineRule="auto"/>
        <w:ind w:firstLine="480" w:firstLineChars="200"/>
        <w:rPr>
          <w:sz w:val="24"/>
        </w:rPr>
      </w:pPr>
      <w:r>
        <w:rPr>
          <w:rFonts w:hint="eastAsia"/>
          <w:sz w:val="24"/>
        </w:rPr>
        <w:t>由于污水中汞超标倍数较低，污染物进入地下水体后形成污染羽较小，并沿地下水径流向下游方向运移。因地区降雨及地下水径流补给原因，地下水补给量较大，因此污染物运移过程中稀释较快，对厂区附近区域影响时间较短。超标污染羽（汞标准参照《地下水质量标准》中的</w:t>
      </w:r>
      <w:r>
        <w:rPr>
          <w:sz w:val="24"/>
        </w:rPr>
        <w:fldChar w:fldCharType="begin"/>
      </w:r>
      <w:r>
        <w:rPr>
          <w:sz w:val="24"/>
        </w:rPr>
        <w:instrText xml:space="preserve"> = 3 \* ROMAN </w:instrText>
      </w:r>
      <w:r>
        <w:rPr>
          <w:sz w:val="24"/>
        </w:rPr>
        <w:fldChar w:fldCharType="separate"/>
      </w:r>
      <w:r>
        <w:rPr>
          <w:sz w:val="24"/>
        </w:rPr>
        <w:t>III</w:t>
      </w:r>
      <w:r>
        <w:rPr>
          <w:sz w:val="24"/>
        </w:rPr>
        <w:fldChar w:fldCharType="end"/>
      </w:r>
      <w:r>
        <w:rPr>
          <w:rFonts w:hint="eastAsia"/>
          <w:sz w:val="24"/>
        </w:rPr>
        <w:t>类水体要求，标准浓度为0.001mg/L）距离下游保护目标较远，并未对周边保护目标造成影响。</w:t>
      </w:r>
    </w:p>
    <w:p w14:paraId="06B2879E">
      <w:pPr>
        <w:spacing w:before="93" w:beforeLines="30" w:line="240" w:lineRule="auto"/>
        <w:jc w:val="center"/>
      </w:pPr>
      <w:r>
        <w:rPr>
          <w:b/>
          <w:bCs/>
        </w:rPr>
        <w:t>表</w:t>
      </w:r>
      <w:r>
        <w:rPr>
          <w:rFonts w:hint="eastAsia"/>
          <w:b/>
          <w:bCs/>
        </w:rPr>
        <w:t xml:space="preserve">5.7-4   </w:t>
      </w:r>
      <w:r>
        <w:rPr>
          <w:b/>
          <w:bCs/>
        </w:rPr>
        <w:t xml:space="preserve">  污染物运移情况</w:t>
      </w:r>
    </w:p>
    <w:tbl>
      <w:tblPr>
        <w:tblStyle w:val="89"/>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276"/>
        <w:gridCol w:w="1276"/>
        <w:gridCol w:w="1132"/>
        <w:gridCol w:w="1134"/>
        <w:gridCol w:w="2128"/>
        <w:gridCol w:w="1363"/>
      </w:tblGrid>
      <w:tr w14:paraId="3B496DE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8" w:type="pct"/>
            <w:vAlign w:val="center"/>
          </w:tcPr>
          <w:p w14:paraId="0A095ACB">
            <w:pPr>
              <w:spacing w:before="0" w:beforeLines="0" w:line="240" w:lineRule="auto"/>
              <w:jc w:val="center"/>
              <w:rPr>
                <w:szCs w:val="21"/>
              </w:rPr>
            </w:pPr>
            <w:r>
              <w:rPr>
                <w:szCs w:val="21"/>
              </w:rPr>
              <w:t>运移时间</w:t>
            </w:r>
          </w:p>
        </w:tc>
        <w:tc>
          <w:tcPr>
            <w:tcW w:w="768" w:type="pct"/>
            <w:vAlign w:val="center"/>
          </w:tcPr>
          <w:p w14:paraId="23ECDF89">
            <w:pPr>
              <w:spacing w:before="0" w:beforeLines="0" w:line="240" w:lineRule="auto"/>
              <w:jc w:val="center"/>
              <w:rPr>
                <w:szCs w:val="21"/>
              </w:rPr>
            </w:pPr>
            <w:r>
              <w:rPr>
                <w:szCs w:val="21"/>
              </w:rPr>
              <w:t>污染羽中心浓度</w:t>
            </w:r>
          </w:p>
        </w:tc>
        <w:tc>
          <w:tcPr>
            <w:tcW w:w="681" w:type="pct"/>
            <w:vAlign w:val="center"/>
          </w:tcPr>
          <w:p w14:paraId="514850AD">
            <w:pPr>
              <w:spacing w:before="0" w:beforeLines="0" w:line="240" w:lineRule="auto"/>
              <w:jc w:val="center"/>
              <w:rPr>
                <w:szCs w:val="21"/>
              </w:rPr>
            </w:pPr>
            <w:r>
              <w:rPr>
                <w:szCs w:val="21"/>
              </w:rPr>
              <w:t>污染中心位置</w:t>
            </w:r>
          </w:p>
        </w:tc>
        <w:tc>
          <w:tcPr>
            <w:tcW w:w="682" w:type="pct"/>
            <w:vAlign w:val="center"/>
          </w:tcPr>
          <w:p w14:paraId="5E4BE8BE">
            <w:pPr>
              <w:spacing w:before="0" w:beforeLines="0" w:line="240" w:lineRule="auto"/>
              <w:jc w:val="center"/>
              <w:rPr>
                <w:szCs w:val="21"/>
              </w:rPr>
            </w:pPr>
            <w:r>
              <w:rPr>
                <w:szCs w:val="21"/>
              </w:rPr>
              <w:t>是否到达</w:t>
            </w:r>
            <w:r>
              <w:rPr>
                <w:rFonts w:hint="eastAsia"/>
                <w:szCs w:val="21"/>
              </w:rPr>
              <w:t>保护目标</w:t>
            </w:r>
          </w:p>
        </w:tc>
        <w:tc>
          <w:tcPr>
            <w:tcW w:w="1280" w:type="pct"/>
            <w:vAlign w:val="center"/>
          </w:tcPr>
          <w:p w14:paraId="212CB072">
            <w:pPr>
              <w:spacing w:before="0" w:beforeLines="0" w:line="240" w:lineRule="auto"/>
              <w:jc w:val="center"/>
              <w:rPr>
                <w:szCs w:val="21"/>
              </w:rPr>
            </w:pPr>
            <w:r>
              <w:rPr>
                <w:szCs w:val="21"/>
              </w:rPr>
              <w:t>污染羽与</w:t>
            </w:r>
            <w:r>
              <w:rPr>
                <w:rFonts w:hint="eastAsia"/>
                <w:szCs w:val="21"/>
              </w:rPr>
              <w:t>下游最近保护目标</w:t>
            </w:r>
            <w:r>
              <w:rPr>
                <w:szCs w:val="21"/>
              </w:rPr>
              <w:t>的距离</w:t>
            </w:r>
          </w:p>
        </w:tc>
        <w:tc>
          <w:tcPr>
            <w:tcW w:w="820" w:type="pct"/>
            <w:vAlign w:val="center"/>
          </w:tcPr>
          <w:p w14:paraId="4A79BCB6">
            <w:pPr>
              <w:spacing w:before="0" w:beforeLines="0" w:line="240" w:lineRule="auto"/>
              <w:jc w:val="center"/>
              <w:rPr>
                <w:szCs w:val="21"/>
              </w:rPr>
            </w:pPr>
            <w:r>
              <w:rPr>
                <w:rFonts w:hint="eastAsia"/>
                <w:szCs w:val="21"/>
              </w:rPr>
              <w:t>污染羽中心运移距离</w:t>
            </w:r>
          </w:p>
        </w:tc>
      </w:tr>
      <w:tr w14:paraId="365E338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8" w:type="pct"/>
            <w:vAlign w:val="center"/>
          </w:tcPr>
          <w:p w14:paraId="0B0A2451">
            <w:pPr>
              <w:spacing w:before="0" w:beforeLines="0" w:line="240" w:lineRule="auto"/>
              <w:jc w:val="center"/>
              <w:rPr>
                <w:szCs w:val="21"/>
              </w:rPr>
            </w:pPr>
            <w:r>
              <w:rPr>
                <w:rFonts w:hint="eastAsia"/>
                <w:szCs w:val="21"/>
              </w:rPr>
              <w:t>10天</w:t>
            </w:r>
          </w:p>
        </w:tc>
        <w:tc>
          <w:tcPr>
            <w:tcW w:w="768" w:type="pct"/>
            <w:vAlign w:val="center"/>
          </w:tcPr>
          <w:p w14:paraId="1F1FF266">
            <w:pPr>
              <w:spacing w:before="0" w:beforeLines="0" w:line="240" w:lineRule="auto"/>
              <w:jc w:val="center"/>
              <w:rPr>
                <w:szCs w:val="21"/>
              </w:rPr>
            </w:pPr>
            <w:r>
              <w:rPr>
                <w:rFonts w:hint="eastAsia"/>
                <w:szCs w:val="21"/>
              </w:rPr>
              <w:t>0.0018mg/L</w:t>
            </w:r>
          </w:p>
        </w:tc>
        <w:tc>
          <w:tcPr>
            <w:tcW w:w="681" w:type="pct"/>
            <w:vAlign w:val="center"/>
          </w:tcPr>
          <w:p w14:paraId="27A2E4A9">
            <w:pPr>
              <w:spacing w:before="0" w:beforeLines="0" w:line="240" w:lineRule="auto"/>
              <w:jc w:val="center"/>
              <w:rPr>
                <w:szCs w:val="21"/>
              </w:rPr>
            </w:pPr>
            <w:r>
              <w:rPr>
                <w:rFonts w:hint="eastAsia"/>
                <w:szCs w:val="21"/>
              </w:rPr>
              <w:t>浓缩罐区</w:t>
            </w:r>
          </w:p>
        </w:tc>
        <w:tc>
          <w:tcPr>
            <w:tcW w:w="682" w:type="pct"/>
            <w:vAlign w:val="center"/>
          </w:tcPr>
          <w:p w14:paraId="2F2AE450">
            <w:pPr>
              <w:spacing w:before="0" w:beforeLines="0" w:line="240" w:lineRule="auto"/>
              <w:jc w:val="center"/>
              <w:rPr>
                <w:szCs w:val="21"/>
              </w:rPr>
            </w:pPr>
            <w:r>
              <w:rPr>
                <w:rFonts w:hint="eastAsia"/>
                <w:szCs w:val="21"/>
              </w:rPr>
              <w:t>否</w:t>
            </w:r>
          </w:p>
        </w:tc>
        <w:tc>
          <w:tcPr>
            <w:tcW w:w="1280" w:type="pct"/>
            <w:vAlign w:val="center"/>
          </w:tcPr>
          <w:p w14:paraId="1B859E64">
            <w:pPr>
              <w:spacing w:before="0" w:beforeLines="0" w:line="240" w:lineRule="auto"/>
              <w:jc w:val="center"/>
              <w:rPr>
                <w:szCs w:val="21"/>
              </w:rPr>
            </w:pPr>
            <w:r>
              <w:rPr>
                <w:rFonts w:hint="eastAsia"/>
                <w:szCs w:val="21"/>
              </w:rPr>
              <w:t>1564m</w:t>
            </w:r>
          </w:p>
        </w:tc>
        <w:tc>
          <w:tcPr>
            <w:tcW w:w="820" w:type="pct"/>
            <w:vAlign w:val="center"/>
          </w:tcPr>
          <w:p w14:paraId="701A272F">
            <w:pPr>
              <w:spacing w:before="0" w:beforeLines="0" w:line="240" w:lineRule="auto"/>
              <w:jc w:val="center"/>
              <w:rPr>
                <w:szCs w:val="21"/>
              </w:rPr>
            </w:pPr>
            <w:r>
              <w:rPr>
                <w:rFonts w:hint="eastAsia"/>
                <w:szCs w:val="21"/>
              </w:rPr>
              <w:t>0m</w:t>
            </w:r>
          </w:p>
        </w:tc>
      </w:tr>
      <w:tr w14:paraId="01D00C6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8" w:type="pct"/>
            <w:vAlign w:val="center"/>
          </w:tcPr>
          <w:p w14:paraId="56EAB866">
            <w:pPr>
              <w:spacing w:before="0" w:beforeLines="0" w:line="240" w:lineRule="auto"/>
              <w:jc w:val="center"/>
              <w:rPr>
                <w:szCs w:val="21"/>
              </w:rPr>
            </w:pPr>
            <w:r>
              <w:rPr>
                <w:rFonts w:hint="eastAsia"/>
                <w:szCs w:val="21"/>
              </w:rPr>
              <w:t>30天</w:t>
            </w:r>
          </w:p>
        </w:tc>
        <w:tc>
          <w:tcPr>
            <w:tcW w:w="768" w:type="pct"/>
            <w:vAlign w:val="center"/>
          </w:tcPr>
          <w:p w14:paraId="05B10769">
            <w:pPr>
              <w:spacing w:before="0" w:beforeLines="0" w:line="240" w:lineRule="auto"/>
              <w:jc w:val="center"/>
              <w:rPr>
                <w:szCs w:val="21"/>
              </w:rPr>
            </w:pPr>
            <w:r>
              <w:rPr>
                <w:rFonts w:hint="eastAsia"/>
                <w:szCs w:val="21"/>
              </w:rPr>
              <w:t>0.002mg/L</w:t>
            </w:r>
          </w:p>
        </w:tc>
        <w:tc>
          <w:tcPr>
            <w:tcW w:w="681" w:type="pct"/>
            <w:vAlign w:val="center"/>
          </w:tcPr>
          <w:p w14:paraId="7375FF43">
            <w:pPr>
              <w:spacing w:before="0" w:beforeLines="0" w:line="240" w:lineRule="auto"/>
              <w:jc w:val="center"/>
              <w:rPr>
                <w:szCs w:val="21"/>
              </w:rPr>
            </w:pPr>
            <w:r>
              <w:rPr>
                <w:rFonts w:hint="eastAsia"/>
                <w:szCs w:val="21"/>
              </w:rPr>
              <w:t>浓缩罐区</w:t>
            </w:r>
          </w:p>
        </w:tc>
        <w:tc>
          <w:tcPr>
            <w:tcW w:w="682" w:type="pct"/>
            <w:vAlign w:val="center"/>
          </w:tcPr>
          <w:p w14:paraId="10CEAF6B">
            <w:pPr>
              <w:spacing w:before="0" w:beforeLines="0" w:line="240" w:lineRule="auto"/>
              <w:jc w:val="center"/>
              <w:rPr>
                <w:szCs w:val="21"/>
              </w:rPr>
            </w:pPr>
            <w:r>
              <w:rPr>
                <w:rFonts w:hint="eastAsia"/>
                <w:szCs w:val="21"/>
              </w:rPr>
              <w:t>否</w:t>
            </w:r>
          </w:p>
        </w:tc>
        <w:tc>
          <w:tcPr>
            <w:tcW w:w="1280" w:type="pct"/>
            <w:vAlign w:val="center"/>
          </w:tcPr>
          <w:p w14:paraId="642C5BEF">
            <w:pPr>
              <w:spacing w:before="0" w:beforeLines="0" w:line="240" w:lineRule="auto"/>
              <w:jc w:val="center"/>
              <w:rPr>
                <w:szCs w:val="21"/>
              </w:rPr>
            </w:pPr>
            <w:r>
              <w:rPr>
                <w:rFonts w:hint="eastAsia"/>
                <w:szCs w:val="21"/>
              </w:rPr>
              <w:t>1531m</w:t>
            </w:r>
          </w:p>
        </w:tc>
        <w:tc>
          <w:tcPr>
            <w:tcW w:w="820" w:type="pct"/>
            <w:vAlign w:val="center"/>
          </w:tcPr>
          <w:p w14:paraId="14CFC548">
            <w:pPr>
              <w:spacing w:before="0" w:beforeLines="0" w:line="240" w:lineRule="auto"/>
              <w:jc w:val="center"/>
              <w:rPr>
                <w:szCs w:val="21"/>
              </w:rPr>
            </w:pPr>
            <w:r>
              <w:rPr>
                <w:rFonts w:hint="eastAsia"/>
                <w:szCs w:val="21"/>
              </w:rPr>
              <w:t>0m</w:t>
            </w:r>
          </w:p>
        </w:tc>
      </w:tr>
      <w:tr w14:paraId="1E91614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8" w:type="pct"/>
            <w:vAlign w:val="center"/>
          </w:tcPr>
          <w:p w14:paraId="2577F268">
            <w:pPr>
              <w:spacing w:before="0" w:beforeLines="0" w:line="240" w:lineRule="auto"/>
              <w:jc w:val="center"/>
              <w:rPr>
                <w:szCs w:val="21"/>
              </w:rPr>
            </w:pPr>
            <w:r>
              <w:rPr>
                <w:rFonts w:hint="eastAsia"/>
                <w:szCs w:val="21"/>
              </w:rPr>
              <w:t>44天</w:t>
            </w:r>
          </w:p>
        </w:tc>
        <w:tc>
          <w:tcPr>
            <w:tcW w:w="768" w:type="pct"/>
            <w:vAlign w:val="center"/>
          </w:tcPr>
          <w:p w14:paraId="059B3B5B">
            <w:pPr>
              <w:spacing w:before="0" w:beforeLines="0" w:line="240" w:lineRule="auto"/>
              <w:jc w:val="center"/>
              <w:rPr>
                <w:szCs w:val="21"/>
              </w:rPr>
            </w:pPr>
            <w:r>
              <w:rPr>
                <w:rFonts w:hint="eastAsia"/>
                <w:szCs w:val="21"/>
              </w:rPr>
              <w:t>0.0014mg/L</w:t>
            </w:r>
          </w:p>
        </w:tc>
        <w:tc>
          <w:tcPr>
            <w:tcW w:w="681" w:type="pct"/>
            <w:vAlign w:val="center"/>
          </w:tcPr>
          <w:p w14:paraId="2F40C5AF">
            <w:pPr>
              <w:spacing w:before="0" w:beforeLines="0" w:line="240" w:lineRule="auto"/>
              <w:jc w:val="center"/>
              <w:rPr>
                <w:szCs w:val="21"/>
              </w:rPr>
            </w:pPr>
            <w:r>
              <w:rPr>
                <w:rFonts w:hint="eastAsia"/>
                <w:szCs w:val="21"/>
              </w:rPr>
              <w:t>厂区内</w:t>
            </w:r>
          </w:p>
        </w:tc>
        <w:tc>
          <w:tcPr>
            <w:tcW w:w="682" w:type="pct"/>
            <w:vAlign w:val="center"/>
          </w:tcPr>
          <w:p w14:paraId="62ECAA2E">
            <w:pPr>
              <w:spacing w:before="0" w:beforeLines="0" w:line="240" w:lineRule="auto"/>
              <w:jc w:val="center"/>
              <w:rPr>
                <w:szCs w:val="21"/>
              </w:rPr>
            </w:pPr>
            <w:r>
              <w:rPr>
                <w:rFonts w:hint="eastAsia"/>
                <w:szCs w:val="21"/>
              </w:rPr>
              <w:t>否</w:t>
            </w:r>
          </w:p>
        </w:tc>
        <w:tc>
          <w:tcPr>
            <w:tcW w:w="1280" w:type="pct"/>
            <w:vAlign w:val="center"/>
          </w:tcPr>
          <w:p w14:paraId="2C499E39">
            <w:pPr>
              <w:spacing w:before="0" w:beforeLines="0" w:line="240" w:lineRule="auto"/>
              <w:jc w:val="center"/>
              <w:rPr>
                <w:szCs w:val="21"/>
              </w:rPr>
            </w:pPr>
            <w:r>
              <w:rPr>
                <w:rFonts w:hint="eastAsia"/>
                <w:szCs w:val="21"/>
              </w:rPr>
              <w:t>1523m</w:t>
            </w:r>
          </w:p>
        </w:tc>
        <w:tc>
          <w:tcPr>
            <w:tcW w:w="820" w:type="pct"/>
            <w:vAlign w:val="center"/>
          </w:tcPr>
          <w:p w14:paraId="1F47BFAF">
            <w:pPr>
              <w:spacing w:before="0" w:beforeLines="0" w:line="240" w:lineRule="auto"/>
              <w:jc w:val="center"/>
              <w:rPr>
                <w:szCs w:val="21"/>
              </w:rPr>
            </w:pPr>
            <w:r>
              <w:rPr>
                <w:rFonts w:hint="eastAsia"/>
                <w:szCs w:val="21"/>
              </w:rPr>
              <w:t>36m</w:t>
            </w:r>
          </w:p>
        </w:tc>
      </w:tr>
      <w:tr w14:paraId="4297961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8" w:type="pct"/>
            <w:vAlign w:val="center"/>
          </w:tcPr>
          <w:p w14:paraId="4A4DF6A6">
            <w:pPr>
              <w:spacing w:before="0" w:beforeLines="0" w:line="240" w:lineRule="auto"/>
              <w:jc w:val="center"/>
              <w:rPr>
                <w:szCs w:val="21"/>
              </w:rPr>
            </w:pPr>
            <w:r>
              <w:rPr>
                <w:rFonts w:hint="eastAsia"/>
                <w:szCs w:val="21"/>
              </w:rPr>
              <w:t>48天</w:t>
            </w:r>
          </w:p>
        </w:tc>
        <w:tc>
          <w:tcPr>
            <w:tcW w:w="768" w:type="pct"/>
            <w:vAlign w:val="center"/>
          </w:tcPr>
          <w:p w14:paraId="2BFC22EF">
            <w:pPr>
              <w:spacing w:before="0" w:beforeLines="0" w:line="240" w:lineRule="auto"/>
              <w:jc w:val="center"/>
              <w:rPr>
                <w:szCs w:val="21"/>
              </w:rPr>
            </w:pPr>
            <w:r>
              <w:rPr>
                <w:rFonts w:hint="eastAsia"/>
                <w:szCs w:val="21"/>
              </w:rPr>
              <w:t>0.0014mg/L</w:t>
            </w:r>
          </w:p>
        </w:tc>
        <w:tc>
          <w:tcPr>
            <w:tcW w:w="681" w:type="pct"/>
            <w:vAlign w:val="center"/>
          </w:tcPr>
          <w:p w14:paraId="02D5027F">
            <w:pPr>
              <w:spacing w:before="0" w:beforeLines="0" w:line="240" w:lineRule="auto"/>
              <w:jc w:val="center"/>
              <w:rPr>
                <w:szCs w:val="21"/>
              </w:rPr>
            </w:pPr>
            <w:r>
              <w:rPr>
                <w:rFonts w:hint="eastAsia"/>
                <w:szCs w:val="21"/>
              </w:rPr>
              <w:t>厂区内</w:t>
            </w:r>
          </w:p>
        </w:tc>
        <w:tc>
          <w:tcPr>
            <w:tcW w:w="682" w:type="pct"/>
            <w:vAlign w:val="center"/>
          </w:tcPr>
          <w:p w14:paraId="40CD632E">
            <w:pPr>
              <w:spacing w:before="0" w:beforeLines="0" w:line="240" w:lineRule="auto"/>
              <w:jc w:val="center"/>
              <w:rPr>
                <w:szCs w:val="21"/>
              </w:rPr>
            </w:pPr>
            <w:r>
              <w:rPr>
                <w:rFonts w:hint="eastAsia"/>
                <w:szCs w:val="21"/>
              </w:rPr>
              <w:t>否</w:t>
            </w:r>
          </w:p>
        </w:tc>
        <w:tc>
          <w:tcPr>
            <w:tcW w:w="1280" w:type="pct"/>
            <w:vAlign w:val="center"/>
          </w:tcPr>
          <w:p w14:paraId="2262B987">
            <w:pPr>
              <w:spacing w:before="0" w:beforeLines="0" w:line="240" w:lineRule="auto"/>
              <w:jc w:val="center"/>
              <w:rPr>
                <w:szCs w:val="21"/>
              </w:rPr>
            </w:pPr>
            <w:r>
              <w:rPr>
                <w:rFonts w:hint="eastAsia"/>
                <w:szCs w:val="21"/>
              </w:rPr>
              <w:t>1530m</w:t>
            </w:r>
          </w:p>
        </w:tc>
        <w:tc>
          <w:tcPr>
            <w:tcW w:w="820" w:type="pct"/>
            <w:vAlign w:val="center"/>
          </w:tcPr>
          <w:p w14:paraId="4074240B">
            <w:pPr>
              <w:spacing w:before="0" w:beforeLines="0" w:line="240" w:lineRule="auto"/>
              <w:jc w:val="center"/>
              <w:rPr>
                <w:szCs w:val="21"/>
              </w:rPr>
            </w:pPr>
            <w:r>
              <w:rPr>
                <w:rFonts w:hint="eastAsia"/>
                <w:szCs w:val="21"/>
              </w:rPr>
              <w:t>38m</w:t>
            </w:r>
          </w:p>
        </w:tc>
      </w:tr>
      <w:tr w14:paraId="1A6D3C1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8" w:type="pct"/>
            <w:vAlign w:val="center"/>
          </w:tcPr>
          <w:p w14:paraId="4C658689">
            <w:pPr>
              <w:spacing w:before="0" w:beforeLines="0" w:line="240" w:lineRule="auto"/>
              <w:jc w:val="center"/>
              <w:rPr>
                <w:szCs w:val="21"/>
              </w:rPr>
            </w:pPr>
            <w:r>
              <w:rPr>
                <w:rFonts w:hint="eastAsia"/>
                <w:szCs w:val="21"/>
              </w:rPr>
              <w:t>51天</w:t>
            </w:r>
          </w:p>
        </w:tc>
        <w:tc>
          <w:tcPr>
            <w:tcW w:w="768" w:type="pct"/>
            <w:vAlign w:val="center"/>
          </w:tcPr>
          <w:p w14:paraId="6DE7069D">
            <w:pPr>
              <w:spacing w:before="0" w:beforeLines="0" w:line="240" w:lineRule="auto"/>
              <w:jc w:val="center"/>
              <w:rPr>
                <w:szCs w:val="21"/>
              </w:rPr>
            </w:pPr>
            <w:r>
              <w:rPr>
                <w:rFonts w:hint="eastAsia"/>
                <w:szCs w:val="21"/>
              </w:rPr>
              <w:t>0.0012mg/L</w:t>
            </w:r>
          </w:p>
        </w:tc>
        <w:tc>
          <w:tcPr>
            <w:tcW w:w="681" w:type="pct"/>
            <w:vAlign w:val="center"/>
          </w:tcPr>
          <w:p w14:paraId="52F5B4DD">
            <w:pPr>
              <w:spacing w:before="0" w:beforeLines="0" w:line="240" w:lineRule="auto"/>
              <w:jc w:val="center"/>
              <w:rPr>
                <w:szCs w:val="21"/>
              </w:rPr>
            </w:pPr>
            <w:r>
              <w:rPr>
                <w:rFonts w:hint="eastAsia"/>
                <w:szCs w:val="21"/>
              </w:rPr>
              <w:t>厂区内</w:t>
            </w:r>
          </w:p>
        </w:tc>
        <w:tc>
          <w:tcPr>
            <w:tcW w:w="682" w:type="pct"/>
            <w:vAlign w:val="center"/>
          </w:tcPr>
          <w:p w14:paraId="372857A1">
            <w:pPr>
              <w:spacing w:before="0" w:beforeLines="0" w:line="240" w:lineRule="auto"/>
              <w:jc w:val="center"/>
              <w:rPr>
                <w:szCs w:val="21"/>
              </w:rPr>
            </w:pPr>
            <w:r>
              <w:rPr>
                <w:rFonts w:hint="eastAsia"/>
                <w:szCs w:val="21"/>
              </w:rPr>
              <w:t>否</w:t>
            </w:r>
          </w:p>
        </w:tc>
        <w:tc>
          <w:tcPr>
            <w:tcW w:w="1280" w:type="pct"/>
            <w:vAlign w:val="center"/>
          </w:tcPr>
          <w:p w14:paraId="21B6910F">
            <w:pPr>
              <w:spacing w:before="0" w:beforeLines="0" w:line="240" w:lineRule="auto"/>
              <w:jc w:val="center"/>
              <w:rPr>
                <w:szCs w:val="21"/>
              </w:rPr>
            </w:pPr>
            <w:r>
              <w:rPr>
                <w:rFonts w:hint="eastAsia"/>
                <w:szCs w:val="21"/>
              </w:rPr>
              <w:t>1539m</w:t>
            </w:r>
          </w:p>
        </w:tc>
        <w:tc>
          <w:tcPr>
            <w:tcW w:w="820" w:type="pct"/>
            <w:vAlign w:val="center"/>
          </w:tcPr>
          <w:p w14:paraId="73E7B08E">
            <w:pPr>
              <w:spacing w:before="0" w:beforeLines="0" w:line="240" w:lineRule="auto"/>
              <w:jc w:val="center"/>
              <w:rPr>
                <w:szCs w:val="21"/>
              </w:rPr>
            </w:pPr>
            <w:r>
              <w:rPr>
                <w:rFonts w:hint="eastAsia"/>
                <w:szCs w:val="21"/>
              </w:rPr>
              <w:t>45m</w:t>
            </w:r>
          </w:p>
        </w:tc>
      </w:tr>
      <w:tr w14:paraId="3BDF263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8" w:type="pct"/>
            <w:vAlign w:val="center"/>
          </w:tcPr>
          <w:p w14:paraId="6BA5EAAE">
            <w:pPr>
              <w:spacing w:before="0" w:beforeLines="0" w:line="240" w:lineRule="auto"/>
              <w:jc w:val="center"/>
              <w:rPr>
                <w:szCs w:val="21"/>
              </w:rPr>
            </w:pPr>
            <w:r>
              <w:rPr>
                <w:rFonts w:hint="eastAsia"/>
                <w:szCs w:val="21"/>
              </w:rPr>
              <w:t>53</w:t>
            </w:r>
            <w:r>
              <w:rPr>
                <w:szCs w:val="21"/>
              </w:rPr>
              <w:t>天</w:t>
            </w:r>
          </w:p>
        </w:tc>
        <w:tc>
          <w:tcPr>
            <w:tcW w:w="768" w:type="pct"/>
            <w:vAlign w:val="center"/>
          </w:tcPr>
          <w:p w14:paraId="5729103E">
            <w:pPr>
              <w:spacing w:before="0" w:beforeLines="0" w:line="240" w:lineRule="auto"/>
              <w:jc w:val="center"/>
              <w:rPr>
                <w:szCs w:val="21"/>
              </w:rPr>
            </w:pPr>
            <w:r>
              <w:rPr>
                <w:szCs w:val="21"/>
              </w:rPr>
              <w:t>—</w:t>
            </w:r>
          </w:p>
        </w:tc>
        <w:tc>
          <w:tcPr>
            <w:tcW w:w="681" w:type="pct"/>
            <w:vAlign w:val="center"/>
          </w:tcPr>
          <w:p w14:paraId="5D60FE40">
            <w:pPr>
              <w:spacing w:before="0" w:beforeLines="0" w:line="240" w:lineRule="auto"/>
              <w:jc w:val="center"/>
              <w:rPr>
                <w:szCs w:val="21"/>
              </w:rPr>
            </w:pPr>
            <w:r>
              <w:rPr>
                <w:szCs w:val="21"/>
              </w:rPr>
              <w:t>—</w:t>
            </w:r>
          </w:p>
        </w:tc>
        <w:tc>
          <w:tcPr>
            <w:tcW w:w="682" w:type="pct"/>
            <w:vAlign w:val="center"/>
          </w:tcPr>
          <w:p w14:paraId="6D06D462">
            <w:pPr>
              <w:spacing w:before="0" w:beforeLines="0" w:line="240" w:lineRule="auto"/>
              <w:jc w:val="center"/>
              <w:rPr>
                <w:szCs w:val="21"/>
              </w:rPr>
            </w:pPr>
            <w:r>
              <w:rPr>
                <w:szCs w:val="21"/>
              </w:rPr>
              <w:t>—</w:t>
            </w:r>
          </w:p>
        </w:tc>
        <w:tc>
          <w:tcPr>
            <w:tcW w:w="1280" w:type="pct"/>
            <w:vAlign w:val="center"/>
          </w:tcPr>
          <w:p w14:paraId="3A0EAC76">
            <w:pPr>
              <w:spacing w:before="0" w:beforeLines="0" w:line="240" w:lineRule="auto"/>
              <w:jc w:val="center"/>
              <w:rPr>
                <w:szCs w:val="21"/>
              </w:rPr>
            </w:pPr>
            <w:r>
              <w:rPr>
                <w:szCs w:val="21"/>
              </w:rPr>
              <w:t>—</w:t>
            </w:r>
          </w:p>
        </w:tc>
        <w:tc>
          <w:tcPr>
            <w:tcW w:w="820" w:type="pct"/>
            <w:vAlign w:val="center"/>
          </w:tcPr>
          <w:p w14:paraId="5FFB0441">
            <w:pPr>
              <w:spacing w:before="0" w:beforeLines="0" w:line="240" w:lineRule="auto"/>
              <w:jc w:val="center"/>
              <w:rPr>
                <w:szCs w:val="21"/>
              </w:rPr>
            </w:pPr>
            <w:r>
              <w:rPr>
                <w:szCs w:val="21"/>
              </w:rPr>
              <w:t>—</w:t>
            </w:r>
          </w:p>
        </w:tc>
      </w:tr>
      <w:tr w14:paraId="1FE2BE3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8" w:type="pct"/>
            <w:vAlign w:val="center"/>
          </w:tcPr>
          <w:p w14:paraId="7AC964A4">
            <w:pPr>
              <w:spacing w:before="0" w:beforeLines="0" w:line="240" w:lineRule="auto"/>
              <w:jc w:val="center"/>
              <w:rPr>
                <w:szCs w:val="21"/>
              </w:rPr>
            </w:pPr>
            <w:r>
              <w:rPr>
                <w:rFonts w:hint="eastAsia"/>
                <w:szCs w:val="21"/>
              </w:rPr>
              <w:t>100</w:t>
            </w:r>
            <w:r>
              <w:rPr>
                <w:szCs w:val="21"/>
              </w:rPr>
              <w:t>天</w:t>
            </w:r>
          </w:p>
        </w:tc>
        <w:tc>
          <w:tcPr>
            <w:tcW w:w="768" w:type="pct"/>
            <w:vAlign w:val="center"/>
          </w:tcPr>
          <w:p w14:paraId="1B26D9EC">
            <w:pPr>
              <w:spacing w:before="0" w:beforeLines="0" w:line="240" w:lineRule="auto"/>
              <w:jc w:val="center"/>
              <w:rPr>
                <w:szCs w:val="21"/>
              </w:rPr>
            </w:pPr>
            <w:r>
              <w:rPr>
                <w:szCs w:val="21"/>
              </w:rPr>
              <w:t>—</w:t>
            </w:r>
          </w:p>
        </w:tc>
        <w:tc>
          <w:tcPr>
            <w:tcW w:w="681" w:type="pct"/>
            <w:vAlign w:val="center"/>
          </w:tcPr>
          <w:p w14:paraId="3C82ED67">
            <w:pPr>
              <w:spacing w:before="0" w:beforeLines="0" w:line="240" w:lineRule="auto"/>
              <w:jc w:val="center"/>
              <w:rPr>
                <w:szCs w:val="21"/>
              </w:rPr>
            </w:pPr>
            <w:r>
              <w:rPr>
                <w:szCs w:val="21"/>
              </w:rPr>
              <w:t>—</w:t>
            </w:r>
          </w:p>
        </w:tc>
        <w:tc>
          <w:tcPr>
            <w:tcW w:w="682" w:type="pct"/>
            <w:vAlign w:val="center"/>
          </w:tcPr>
          <w:p w14:paraId="05DA6AE1">
            <w:pPr>
              <w:spacing w:before="0" w:beforeLines="0" w:line="240" w:lineRule="auto"/>
              <w:jc w:val="center"/>
              <w:rPr>
                <w:szCs w:val="21"/>
              </w:rPr>
            </w:pPr>
            <w:r>
              <w:rPr>
                <w:szCs w:val="21"/>
              </w:rPr>
              <w:t>—</w:t>
            </w:r>
          </w:p>
        </w:tc>
        <w:tc>
          <w:tcPr>
            <w:tcW w:w="1280" w:type="pct"/>
            <w:vAlign w:val="center"/>
          </w:tcPr>
          <w:p w14:paraId="2742E0C7">
            <w:pPr>
              <w:spacing w:before="0" w:beforeLines="0" w:line="240" w:lineRule="auto"/>
              <w:jc w:val="center"/>
              <w:rPr>
                <w:szCs w:val="21"/>
              </w:rPr>
            </w:pPr>
            <w:r>
              <w:rPr>
                <w:szCs w:val="21"/>
              </w:rPr>
              <w:t>—</w:t>
            </w:r>
          </w:p>
        </w:tc>
        <w:tc>
          <w:tcPr>
            <w:tcW w:w="820" w:type="pct"/>
            <w:vAlign w:val="center"/>
          </w:tcPr>
          <w:p w14:paraId="4BB5FE1F">
            <w:pPr>
              <w:spacing w:before="0" w:beforeLines="0" w:line="240" w:lineRule="auto"/>
              <w:jc w:val="center"/>
              <w:rPr>
                <w:szCs w:val="21"/>
              </w:rPr>
            </w:pPr>
            <w:r>
              <w:rPr>
                <w:szCs w:val="21"/>
              </w:rPr>
              <w:t>—</w:t>
            </w:r>
          </w:p>
        </w:tc>
      </w:tr>
      <w:tr w14:paraId="2FBB39B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8" w:type="pct"/>
            <w:vAlign w:val="center"/>
          </w:tcPr>
          <w:p w14:paraId="58A7D404">
            <w:pPr>
              <w:spacing w:before="0" w:beforeLines="0" w:line="240" w:lineRule="auto"/>
              <w:jc w:val="center"/>
              <w:rPr>
                <w:szCs w:val="21"/>
              </w:rPr>
            </w:pPr>
            <w:r>
              <w:rPr>
                <w:rFonts w:hint="eastAsia"/>
                <w:szCs w:val="21"/>
              </w:rPr>
              <w:t>365</w:t>
            </w:r>
            <w:r>
              <w:rPr>
                <w:szCs w:val="21"/>
              </w:rPr>
              <w:t>天</w:t>
            </w:r>
          </w:p>
        </w:tc>
        <w:tc>
          <w:tcPr>
            <w:tcW w:w="768" w:type="pct"/>
            <w:vAlign w:val="center"/>
          </w:tcPr>
          <w:p w14:paraId="397D7259">
            <w:pPr>
              <w:spacing w:before="0" w:beforeLines="0" w:line="240" w:lineRule="auto"/>
              <w:jc w:val="center"/>
              <w:rPr>
                <w:szCs w:val="21"/>
              </w:rPr>
            </w:pPr>
            <w:r>
              <w:rPr>
                <w:szCs w:val="21"/>
              </w:rPr>
              <w:t>—</w:t>
            </w:r>
          </w:p>
        </w:tc>
        <w:tc>
          <w:tcPr>
            <w:tcW w:w="681" w:type="pct"/>
            <w:vAlign w:val="center"/>
          </w:tcPr>
          <w:p w14:paraId="1C989275">
            <w:pPr>
              <w:spacing w:before="0" w:beforeLines="0" w:line="240" w:lineRule="auto"/>
              <w:jc w:val="center"/>
              <w:rPr>
                <w:szCs w:val="21"/>
              </w:rPr>
            </w:pPr>
            <w:r>
              <w:rPr>
                <w:szCs w:val="21"/>
              </w:rPr>
              <w:t>—</w:t>
            </w:r>
          </w:p>
        </w:tc>
        <w:tc>
          <w:tcPr>
            <w:tcW w:w="682" w:type="pct"/>
            <w:vAlign w:val="center"/>
          </w:tcPr>
          <w:p w14:paraId="243748FB">
            <w:pPr>
              <w:spacing w:before="0" w:beforeLines="0" w:line="240" w:lineRule="auto"/>
              <w:jc w:val="center"/>
              <w:rPr>
                <w:szCs w:val="21"/>
              </w:rPr>
            </w:pPr>
            <w:r>
              <w:rPr>
                <w:szCs w:val="21"/>
              </w:rPr>
              <w:t>—</w:t>
            </w:r>
          </w:p>
        </w:tc>
        <w:tc>
          <w:tcPr>
            <w:tcW w:w="1280" w:type="pct"/>
            <w:vAlign w:val="center"/>
          </w:tcPr>
          <w:p w14:paraId="77F77AAE">
            <w:pPr>
              <w:spacing w:before="0" w:beforeLines="0" w:line="240" w:lineRule="auto"/>
              <w:jc w:val="center"/>
              <w:rPr>
                <w:szCs w:val="21"/>
              </w:rPr>
            </w:pPr>
            <w:r>
              <w:rPr>
                <w:szCs w:val="21"/>
              </w:rPr>
              <w:t>—</w:t>
            </w:r>
          </w:p>
        </w:tc>
        <w:tc>
          <w:tcPr>
            <w:tcW w:w="820" w:type="pct"/>
            <w:vAlign w:val="center"/>
          </w:tcPr>
          <w:p w14:paraId="6C2A5992">
            <w:pPr>
              <w:spacing w:before="0" w:beforeLines="0" w:line="240" w:lineRule="auto"/>
              <w:jc w:val="center"/>
              <w:rPr>
                <w:szCs w:val="21"/>
              </w:rPr>
            </w:pPr>
            <w:r>
              <w:rPr>
                <w:szCs w:val="21"/>
              </w:rPr>
              <w:t>—</w:t>
            </w:r>
          </w:p>
        </w:tc>
      </w:tr>
      <w:tr w14:paraId="0EEE951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8" w:type="pct"/>
            <w:vAlign w:val="center"/>
          </w:tcPr>
          <w:p w14:paraId="3CA0F452">
            <w:pPr>
              <w:spacing w:before="0" w:beforeLines="0" w:line="240" w:lineRule="auto"/>
              <w:jc w:val="center"/>
              <w:rPr>
                <w:szCs w:val="21"/>
              </w:rPr>
            </w:pPr>
            <w:r>
              <w:rPr>
                <w:rFonts w:hint="eastAsia"/>
                <w:szCs w:val="21"/>
              </w:rPr>
              <w:t>1000</w:t>
            </w:r>
            <w:r>
              <w:rPr>
                <w:szCs w:val="21"/>
              </w:rPr>
              <w:t>天</w:t>
            </w:r>
          </w:p>
        </w:tc>
        <w:tc>
          <w:tcPr>
            <w:tcW w:w="768" w:type="pct"/>
            <w:vAlign w:val="center"/>
          </w:tcPr>
          <w:p w14:paraId="05C9D066">
            <w:pPr>
              <w:spacing w:before="0" w:beforeLines="0" w:line="240" w:lineRule="auto"/>
              <w:jc w:val="center"/>
              <w:rPr>
                <w:szCs w:val="21"/>
              </w:rPr>
            </w:pPr>
            <w:r>
              <w:rPr>
                <w:szCs w:val="21"/>
              </w:rPr>
              <w:t>—</w:t>
            </w:r>
          </w:p>
        </w:tc>
        <w:tc>
          <w:tcPr>
            <w:tcW w:w="681" w:type="pct"/>
            <w:vAlign w:val="center"/>
          </w:tcPr>
          <w:p w14:paraId="2A4C8E08">
            <w:pPr>
              <w:spacing w:before="0" w:beforeLines="0" w:line="240" w:lineRule="auto"/>
              <w:jc w:val="center"/>
              <w:rPr>
                <w:szCs w:val="21"/>
              </w:rPr>
            </w:pPr>
            <w:r>
              <w:rPr>
                <w:szCs w:val="21"/>
              </w:rPr>
              <w:t>—</w:t>
            </w:r>
          </w:p>
        </w:tc>
        <w:tc>
          <w:tcPr>
            <w:tcW w:w="682" w:type="pct"/>
            <w:vAlign w:val="center"/>
          </w:tcPr>
          <w:p w14:paraId="55F18C7E">
            <w:pPr>
              <w:spacing w:before="0" w:beforeLines="0" w:line="240" w:lineRule="auto"/>
              <w:jc w:val="center"/>
              <w:rPr>
                <w:szCs w:val="21"/>
              </w:rPr>
            </w:pPr>
            <w:r>
              <w:rPr>
                <w:szCs w:val="21"/>
              </w:rPr>
              <w:t>—</w:t>
            </w:r>
          </w:p>
        </w:tc>
        <w:tc>
          <w:tcPr>
            <w:tcW w:w="1280" w:type="pct"/>
            <w:vAlign w:val="center"/>
          </w:tcPr>
          <w:p w14:paraId="2EA79178">
            <w:pPr>
              <w:spacing w:before="0" w:beforeLines="0" w:line="240" w:lineRule="auto"/>
              <w:jc w:val="center"/>
              <w:rPr>
                <w:szCs w:val="21"/>
              </w:rPr>
            </w:pPr>
            <w:r>
              <w:rPr>
                <w:szCs w:val="21"/>
              </w:rPr>
              <w:t>—</w:t>
            </w:r>
          </w:p>
        </w:tc>
        <w:tc>
          <w:tcPr>
            <w:tcW w:w="820" w:type="pct"/>
            <w:vAlign w:val="center"/>
          </w:tcPr>
          <w:p w14:paraId="6D847E4F">
            <w:pPr>
              <w:spacing w:before="0" w:beforeLines="0" w:line="240" w:lineRule="auto"/>
              <w:jc w:val="center"/>
              <w:rPr>
                <w:szCs w:val="21"/>
              </w:rPr>
            </w:pPr>
            <w:r>
              <w:rPr>
                <w:szCs w:val="21"/>
              </w:rPr>
              <w:t>—</w:t>
            </w:r>
          </w:p>
        </w:tc>
      </w:tr>
      <w:tr w14:paraId="35B2D47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8" w:type="pct"/>
            <w:vAlign w:val="center"/>
          </w:tcPr>
          <w:p w14:paraId="71DB291D">
            <w:pPr>
              <w:spacing w:before="0" w:beforeLines="0" w:line="240" w:lineRule="auto"/>
              <w:jc w:val="center"/>
              <w:rPr>
                <w:szCs w:val="21"/>
              </w:rPr>
            </w:pPr>
            <w:r>
              <w:rPr>
                <w:rFonts w:hint="eastAsia"/>
                <w:szCs w:val="21"/>
              </w:rPr>
              <w:t>3650天</w:t>
            </w:r>
          </w:p>
        </w:tc>
        <w:tc>
          <w:tcPr>
            <w:tcW w:w="768" w:type="pct"/>
            <w:vAlign w:val="center"/>
          </w:tcPr>
          <w:p w14:paraId="7FC5247C">
            <w:pPr>
              <w:spacing w:before="0" w:beforeLines="0" w:line="240" w:lineRule="auto"/>
              <w:jc w:val="center"/>
              <w:rPr>
                <w:szCs w:val="21"/>
              </w:rPr>
            </w:pPr>
            <w:r>
              <w:rPr>
                <w:szCs w:val="21"/>
              </w:rPr>
              <w:t>—</w:t>
            </w:r>
          </w:p>
        </w:tc>
        <w:tc>
          <w:tcPr>
            <w:tcW w:w="681" w:type="pct"/>
            <w:vAlign w:val="center"/>
          </w:tcPr>
          <w:p w14:paraId="49159910">
            <w:pPr>
              <w:spacing w:before="0" w:beforeLines="0" w:line="240" w:lineRule="auto"/>
              <w:jc w:val="center"/>
              <w:rPr>
                <w:szCs w:val="21"/>
              </w:rPr>
            </w:pPr>
            <w:r>
              <w:rPr>
                <w:szCs w:val="21"/>
              </w:rPr>
              <w:t>—</w:t>
            </w:r>
          </w:p>
        </w:tc>
        <w:tc>
          <w:tcPr>
            <w:tcW w:w="682" w:type="pct"/>
            <w:vAlign w:val="center"/>
          </w:tcPr>
          <w:p w14:paraId="5C9DE9EE">
            <w:pPr>
              <w:spacing w:before="0" w:beforeLines="0" w:line="240" w:lineRule="auto"/>
              <w:jc w:val="center"/>
              <w:rPr>
                <w:szCs w:val="21"/>
              </w:rPr>
            </w:pPr>
            <w:r>
              <w:rPr>
                <w:szCs w:val="21"/>
              </w:rPr>
              <w:t>—</w:t>
            </w:r>
          </w:p>
        </w:tc>
        <w:tc>
          <w:tcPr>
            <w:tcW w:w="1280" w:type="pct"/>
            <w:vAlign w:val="center"/>
          </w:tcPr>
          <w:p w14:paraId="3124379D">
            <w:pPr>
              <w:spacing w:before="0" w:beforeLines="0" w:line="240" w:lineRule="auto"/>
              <w:jc w:val="center"/>
              <w:rPr>
                <w:szCs w:val="21"/>
              </w:rPr>
            </w:pPr>
            <w:r>
              <w:rPr>
                <w:szCs w:val="21"/>
              </w:rPr>
              <w:t>—</w:t>
            </w:r>
          </w:p>
        </w:tc>
        <w:tc>
          <w:tcPr>
            <w:tcW w:w="820" w:type="pct"/>
            <w:vAlign w:val="center"/>
          </w:tcPr>
          <w:p w14:paraId="557647F1">
            <w:pPr>
              <w:spacing w:before="0" w:beforeLines="0" w:line="240" w:lineRule="auto"/>
              <w:jc w:val="center"/>
              <w:rPr>
                <w:szCs w:val="21"/>
              </w:rPr>
            </w:pPr>
            <w:r>
              <w:rPr>
                <w:szCs w:val="21"/>
              </w:rPr>
              <w:t>—</w:t>
            </w:r>
          </w:p>
        </w:tc>
      </w:tr>
      <w:tr w14:paraId="4B5BA5F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8" w:type="pct"/>
            <w:vAlign w:val="center"/>
          </w:tcPr>
          <w:p w14:paraId="288D08D6">
            <w:pPr>
              <w:spacing w:before="0" w:beforeLines="0" w:line="240" w:lineRule="auto"/>
              <w:jc w:val="center"/>
              <w:rPr>
                <w:szCs w:val="21"/>
              </w:rPr>
            </w:pPr>
            <w:r>
              <w:rPr>
                <w:rFonts w:hint="eastAsia"/>
                <w:szCs w:val="21"/>
              </w:rPr>
              <w:t>……</w:t>
            </w:r>
          </w:p>
        </w:tc>
        <w:tc>
          <w:tcPr>
            <w:tcW w:w="768" w:type="pct"/>
            <w:vAlign w:val="center"/>
          </w:tcPr>
          <w:p w14:paraId="4598B10A">
            <w:pPr>
              <w:spacing w:before="0" w:beforeLines="0" w:line="240" w:lineRule="auto"/>
              <w:jc w:val="center"/>
              <w:rPr>
                <w:szCs w:val="21"/>
              </w:rPr>
            </w:pPr>
            <w:r>
              <w:rPr>
                <w:szCs w:val="21"/>
              </w:rPr>
              <w:t>—</w:t>
            </w:r>
          </w:p>
        </w:tc>
        <w:tc>
          <w:tcPr>
            <w:tcW w:w="681" w:type="pct"/>
            <w:vAlign w:val="center"/>
          </w:tcPr>
          <w:p w14:paraId="0DCCA86C">
            <w:pPr>
              <w:spacing w:before="0" w:beforeLines="0" w:line="240" w:lineRule="auto"/>
              <w:jc w:val="center"/>
              <w:rPr>
                <w:szCs w:val="21"/>
              </w:rPr>
            </w:pPr>
            <w:r>
              <w:rPr>
                <w:szCs w:val="21"/>
              </w:rPr>
              <w:t>—</w:t>
            </w:r>
          </w:p>
        </w:tc>
        <w:tc>
          <w:tcPr>
            <w:tcW w:w="682" w:type="pct"/>
            <w:vAlign w:val="center"/>
          </w:tcPr>
          <w:p w14:paraId="7F65FE43">
            <w:pPr>
              <w:spacing w:before="0" w:beforeLines="0" w:line="240" w:lineRule="auto"/>
              <w:jc w:val="center"/>
              <w:rPr>
                <w:szCs w:val="21"/>
              </w:rPr>
            </w:pPr>
            <w:r>
              <w:rPr>
                <w:szCs w:val="21"/>
              </w:rPr>
              <w:t>—</w:t>
            </w:r>
          </w:p>
        </w:tc>
        <w:tc>
          <w:tcPr>
            <w:tcW w:w="1280" w:type="pct"/>
            <w:vAlign w:val="center"/>
          </w:tcPr>
          <w:p w14:paraId="06D8580A">
            <w:pPr>
              <w:spacing w:before="0" w:beforeLines="0" w:line="240" w:lineRule="auto"/>
              <w:jc w:val="center"/>
              <w:rPr>
                <w:szCs w:val="21"/>
              </w:rPr>
            </w:pPr>
            <w:r>
              <w:rPr>
                <w:szCs w:val="21"/>
              </w:rPr>
              <w:t>—</w:t>
            </w:r>
          </w:p>
        </w:tc>
        <w:tc>
          <w:tcPr>
            <w:tcW w:w="820" w:type="pct"/>
            <w:vAlign w:val="center"/>
          </w:tcPr>
          <w:p w14:paraId="34B62950">
            <w:pPr>
              <w:spacing w:before="0" w:beforeLines="0" w:line="240" w:lineRule="auto"/>
              <w:jc w:val="center"/>
              <w:rPr>
                <w:szCs w:val="21"/>
              </w:rPr>
            </w:pPr>
            <w:r>
              <w:rPr>
                <w:szCs w:val="21"/>
              </w:rPr>
              <w:t>—</w:t>
            </w:r>
          </w:p>
        </w:tc>
      </w:tr>
    </w:tbl>
    <w:p w14:paraId="15FA247C">
      <w:pPr>
        <w:adjustRightInd w:val="0"/>
        <w:snapToGrid w:val="0"/>
        <w:spacing w:before="0" w:beforeLines="0" w:line="240" w:lineRule="auto"/>
        <w:jc w:val="center"/>
        <w:rPr>
          <w:b/>
          <w:bCs/>
        </w:rPr>
      </w:pPr>
    </w:p>
    <w:p w14:paraId="38566E48">
      <w:pPr>
        <w:adjustRightInd w:val="0"/>
        <w:snapToGrid w:val="0"/>
        <w:spacing w:before="0" w:beforeLines="0" w:line="240" w:lineRule="auto"/>
        <w:jc w:val="center"/>
        <w:rPr>
          <w:b/>
          <w:bCs/>
        </w:rPr>
      </w:pPr>
      <w:r>
        <w:rPr>
          <w:rFonts w:hint="eastAsia"/>
          <w:b/>
          <w:bCs/>
        </w:rPr>
        <w:drawing>
          <wp:inline distT="0" distB="0" distL="114300" distR="114300">
            <wp:extent cx="5260975" cy="2886075"/>
            <wp:effectExtent l="0" t="0" r="9525" b="9525"/>
            <wp:docPr id="144923241" name="图片 144923241" descr="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23241" name="图片 144923241" descr="c1"/>
                    <pic:cNvPicPr>
                      <a:picLocks noChangeAspect="1"/>
                    </pic:cNvPicPr>
                  </pic:nvPicPr>
                  <pic:blipFill>
                    <a:blip r:embed="rId125"/>
                    <a:stretch>
                      <a:fillRect/>
                    </a:stretch>
                  </pic:blipFill>
                  <pic:spPr>
                    <a:xfrm>
                      <a:off x="0" y="0"/>
                      <a:ext cx="5260975" cy="2886075"/>
                    </a:xfrm>
                    <a:prstGeom prst="rect">
                      <a:avLst/>
                    </a:prstGeom>
                  </pic:spPr>
                </pic:pic>
              </a:graphicData>
            </a:graphic>
          </wp:inline>
        </w:drawing>
      </w:r>
    </w:p>
    <w:p w14:paraId="66D193B3">
      <w:pPr>
        <w:adjustRightInd w:val="0"/>
        <w:snapToGrid w:val="0"/>
        <w:spacing w:before="0" w:beforeLines="0" w:line="240" w:lineRule="auto"/>
        <w:jc w:val="center"/>
        <w:rPr>
          <w:b/>
          <w:bCs/>
        </w:rPr>
      </w:pPr>
      <w:r>
        <w:rPr>
          <w:b/>
          <w:bCs/>
        </w:rPr>
        <w:t>图</w:t>
      </w:r>
      <w:r>
        <w:rPr>
          <w:rFonts w:hint="eastAsia"/>
          <w:b/>
          <w:bCs/>
        </w:rPr>
        <w:t>5.7</w:t>
      </w:r>
      <w:r>
        <w:rPr>
          <w:b/>
          <w:bCs/>
        </w:rPr>
        <w:t>-</w:t>
      </w:r>
      <w:r>
        <w:rPr>
          <w:rFonts w:hint="eastAsia"/>
          <w:b/>
          <w:bCs/>
        </w:rPr>
        <w:t>24</w:t>
      </w:r>
      <w:r>
        <w:rPr>
          <w:b/>
          <w:bCs/>
        </w:rPr>
        <w:t xml:space="preserve">  </w:t>
      </w:r>
      <w:r>
        <w:rPr>
          <w:rFonts w:hint="eastAsia"/>
          <w:b/>
          <w:bCs/>
        </w:rPr>
        <w:t>下游保护目标预测点浓度变化</w:t>
      </w:r>
    </w:p>
    <w:p w14:paraId="111C282D">
      <w:pPr>
        <w:adjustRightInd w:val="0"/>
        <w:snapToGrid w:val="0"/>
        <w:spacing w:before="0" w:beforeLines="0" w:line="240" w:lineRule="auto"/>
        <w:jc w:val="center"/>
        <w:rPr>
          <w:b/>
          <w:bCs/>
        </w:rPr>
      </w:pPr>
      <w:r>
        <w:rPr>
          <w:rFonts w:hint="eastAsia"/>
          <w:b/>
          <w:bCs/>
        </w:rPr>
        <w:drawing>
          <wp:inline distT="0" distB="0" distL="114300" distR="114300">
            <wp:extent cx="5260975" cy="2886075"/>
            <wp:effectExtent l="0" t="0" r="9525" b="9525"/>
            <wp:docPr id="23" name="图片 23" desc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ch"/>
                    <pic:cNvPicPr>
                      <a:picLocks noChangeAspect="1"/>
                    </pic:cNvPicPr>
                  </pic:nvPicPr>
                  <pic:blipFill>
                    <a:blip r:embed="rId126"/>
                    <a:stretch>
                      <a:fillRect/>
                    </a:stretch>
                  </pic:blipFill>
                  <pic:spPr>
                    <a:xfrm>
                      <a:off x="0" y="0"/>
                      <a:ext cx="5260975" cy="2886075"/>
                    </a:xfrm>
                    <a:prstGeom prst="rect">
                      <a:avLst/>
                    </a:prstGeom>
                  </pic:spPr>
                </pic:pic>
              </a:graphicData>
            </a:graphic>
          </wp:inline>
        </w:drawing>
      </w:r>
    </w:p>
    <w:p w14:paraId="003DFA47">
      <w:pPr>
        <w:adjustRightInd w:val="0"/>
        <w:snapToGrid w:val="0"/>
        <w:spacing w:before="0" w:beforeLines="0" w:line="240" w:lineRule="auto"/>
        <w:jc w:val="center"/>
        <w:rPr>
          <w:b/>
          <w:bCs/>
        </w:rPr>
      </w:pPr>
      <w:r>
        <w:rPr>
          <w:b/>
          <w:bCs/>
        </w:rPr>
        <w:t>图</w:t>
      </w:r>
      <w:r>
        <w:rPr>
          <w:rFonts w:hint="eastAsia"/>
          <w:b/>
          <w:bCs/>
        </w:rPr>
        <w:t>5.7</w:t>
      </w:r>
      <w:r>
        <w:rPr>
          <w:b/>
          <w:bCs/>
        </w:rPr>
        <w:t>-</w:t>
      </w:r>
      <w:r>
        <w:rPr>
          <w:rFonts w:hint="eastAsia"/>
          <w:b/>
          <w:bCs/>
        </w:rPr>
        <w:t>25</w:t>
      </w:r>
      <w:r>
        <w:rPr>
          <w:b/>
          <w:bCs/>
        </w:rPr>
        <w:t xml:space="preserve">  </w:t>
      </w:r>
      <w:r>
        <w:rPr>
          <w:rFonts w:hint="eastAsia"/>
          <w:b/>
          <w:bCs/>
        </w:rPr>
        <w:t>下游河流预测点浓度变化</w:t>
      </w:r>
    </w:p>
    <w:p w14:paraId="64B7248C">
      <w:pPr>
        <w:adjustRightInd w:val="0"/>
        <w:snapToGrid w:val="0"/>
        <w:spacing w:before="0" w:beforeLines="0" w:line="240" w:lineRule="auto"/>
        <w:jc w:val="center"/>
        <w:rPr>
          <w:b/>
          <w:bCs/>
        </w:rPr>
      </w:pPr>
    </w:p>
    <w:p w14:paraId="6101F5E3">
      <w:pPr>
        <w:spacing w:before="0" w:beforeLines="0" w:line="360" w:lineRule="auto"/>
        <w:ind w:firstLine="480" w:firstLineChars="200"/>
        <w:rPr>
          <w:sz w:val="24"/>
        </w:rPr>
      </w:pPr>
      <w:r>
        <w:rPr>
          <w:rFonts w:hint="eastAsia"/>
          <w:sz w:val="24"/>
        </w:rPr>
        <w:t>通过各个预测点浓度变化看出，由于地下水径流稀释作用，污染物质很快被稀释，浓度很快降低到标准值以下，污染羽距离保护目标处较远，始终未对保护目标造成影响，超标污染羽在53天时消失，不再对周边地下水环境造成影响。</w:t>
      </w:r>
    </w:p>
    <w:p w14:paraId="2342E453">
      <w:pPr>
        <w:spacing w:before="0" w:beforeLines="0" w:line="360" w:lineRule="auto"/>
        <w:ind w:firstLine="480" w:firstLineChars="200"/>
        <w:rPr>
          <w:sz w:val="24"/>
        </w:rPr>
      </w:pPr>
      <w:r>
        <w:rPr>
          <w:rFonts w:hint="eastAsia"/>
          <w:sz w:val="24"/>
        </w:rPr>
        <w:t>（3）浓缩罐区铍预测</w:t>
      </w:r>
    </w:p>
    <w:p w14:paraId="583E1C57">
      <w:pPr>
        <w:spacing w:before="0" w:beforeLines="0" w:line="360" w:lineRule="auto"/>
        <w:ind w:firstLine="480" w:firstLineChars="200"/>
        <w:rPr>
          <w:sz w:val="24"/>
        </w:rPr>
      </w:pPr>
      <w:r>
        <w:rPr>
          <w:rFonts w:hint="eastAsia"/>
          <w:sz w:val="24"/>
        </w:rPr>
        <w:t>铍以</w:t>
      </w:r>
      <w:r>
        <w:rPr>
          <w:rFonts w:hAnsi="宋体"/>
          <w:sz w:val="24"/>
        </w:rPr>
        <w:t>《</w:t>
      </w:r>
      <w:r>
        <w:rPr>
          <w:rFonts w:hint="eastAsia" w:hAnsi="宋体"/>
          <w:sz w:val="24"/>
        </w:rPr>
        <w:t>地下水</w:t>
      </w:r>
      <w:r>
        <w:rPr>
          <w:rFonts w:hAnsi="宋体"/>
          <w:sz w:val="24"/>
        </w:rPr>
        <w:t>质量标准》</w:t>
      </w:r>
      <w:r>
        <w:rPr>
          <w:rFonts w:hint="eastAsia" w:hAnsi="宋体"/>
          <w:sz w:val="24"/>
        </w:rPr>
        <w:t>（</w:t>
      </w:r>
      <w:r>
        <w:rPr>
          <w:rFonts w:hAnsi="宋体"/>
          <w:sz w:val="24"/>
        </w:rPr>
        <w:t>GB</w:t>
      </w:r>
      <w:r>
        <w:rPr>
          <w:rFonts w:hint="eastAsia" w:hAnsi="宋体"/>
          <w:sz w:val="24"/>
        </w:rPr>
        <w:t>/T14848</w:t>
      </w:r>
      <w:r>
        <w:rPr>
          <w:rFonts w:hAnsi="宋体"/>
          <w:sz w:val="24"/>
        </w:rPr>
        <w:t>-20</w:t>
      </w:r>
      <w:r>
        <w:rPr>
          <w:rFonts w:hint="eastAsia" w:hAnsi="宋体"/>
          <w:sz w:val="24"/>
        </w:rPr>
        <w:t>17）</w:t>
      </w:r>
      <w:r>
        <w:rPr>
          <w:rFonts w:hAnsi="宋体"/>
          <w:sz w:val="24"/>
        </w:rPr>
        <w:t>III类标准</w:t>
      </w:r>
      <w:r>
        <w:rPr>
          <w:rFonts w:hint="eastAsia"/>
          <w:sz w:val="24"/>
        </w:rPr>
        <w:t>（0.002</w:t>
      </w:r>
      <w:r>
        <w:rPr>
          <w:sz w:val="24"/>
        </w:rPr>
        <w:t>mg/L</w:t>
      </w:r>
      <w:r>
        <w:rPr>
          <w:rFonts w:hint="eastAsia"/>
          <w:sz w:val="24"/>
        </w:rPr>
        <w:t>）作为污染羽的最小值。将上述源强信息代入模型，得出模拟结论。</w:t>
      </w:r>
    </w:p>
    <w:p w14:paraId="61D22DCA">
      <w:pPr>
        <w:adjustRightInd w:val="0"/>
        <w:snapToGrid w:val="0"/>
        <w:spacing w:before="0" w:beforeLines="0" w:line="240" w:lineRule="auto"/>
        <w:jc w:val="center"/>
        <w:rPr>
          <w:b/>
          <w:bCs/>
        </w:rPr>
      </w:pPr>
      <w:r>
        <w:rPr>
          <w:rFonts w:hint="eastAsia"/>
          <w:b/>
          <w:bCs/>
        </w:rPr>
        <w:drawing>
          <wp:inline distT="0" distB="0" distL="114300" distR="114300">
            <wp:extent cx="5267960" cy="2745105"/>
            <wp:effectExtent l="0" t="0" r="2540" b="10795"/>
            <wp:docPr id="67" name="图片 6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1"/>
                    <pic:cNvPicPr>
                      <a:picLocks noChangeAspect="1"/>
                    </pic:cNvPicPr>
                  </pic:nvPicPr>
                  <pic:blipFill>
                    <a:blip r:embed="rId127"/>
                    <a:stretch>
                      <a:fillRect/>
                    </a:stretch>
                  </pic:blipFill>
                  <pic:spPr>
                    <a:xfrm>
                      <a:off x="0" y="0"/>
                      <a:ext cx="5267960" cy="2745105"/>
                    </a:xfrm>
                    <a:prstGeom prst="rect">
                      <a:avLst/>
                    </a:prstGeom>
                  </pic:spPr>
                </pic:pic>
              </a:graphicData>
            </a:graphic>
          </wp:inline>
        </w:drawing>
      </w:r>
    </w:p>
    <w:p w14:paraId="573385B5">
      <w:pPr>
        <w:adjustRightInd w:val="0"/>
        <w:snapToGrid w:val="0"/>
        <w:spacing w:before="0" w:beforeLines="0" w:line="240" w:lineRule="auto"/>
        <w:jc w:val="center"/>
        <w:rPr>
          <w:b/>
          <w:bCs/>
          <w:szCs w:val="21"/>
        </w:rPr>
      </w:pPr>
      <w:r>
        <w:rPr>
          <w:b/>
          <w:bCs/>
          <w:szCs w:val="21"/>
        </w:rPr>
        <w:t>图</w:t>
      </w:r>
      <w:r>
        <w:rPr>
          <w:rFonts w:hint="eastAsia"/>
          <w:b/>
          <w:bCs/>
          <w:szCs w:val="21"/>
        </w:rPr>
        <w:t>5.7</w:t>
      </w:r>
      <w:r>
        <w:rPr>
          <w:b/>
          <w:bCs/>
          <w:szCs w:val="21"/>
        </w:rPr>
        <w:t>-</w:t>
      </w:r>
      <w:r>
        <w:rPr>
          <w:rFonts w:hint="eastAsia"/>
          <w:b/>
          <w:bCs/>
          <w:szCs w:val="21"/>
        </w:rPr>
        <w:t>26</w:t>
      </w:r>
      <w:r>
        <w:rPr>
          <w:b/>
          <w:bCs/>
          <w:szCs w:val="21"/>
        </w:rPr>
        <w:t xml:space="preserve">  渗漏10天污染影响范围（</w:t>
      </w:r>
      <w:r>
        <w:rPr>
          <w:rFonts w:hint="eastAsia"/>
          <w:b/>
          <w:szCs w:val="21"/>
        </w:rPr>
        <w:t>铍</w:t>
      </w:r>
      <w:r>
        <w:rPr>
          <w:b/>
          <w:bCs/>
          <w:szCs w:val="21"/>
        </w:rPr>
        <w:t>）</w:t>
      </w:r>
    </w:p>
    <w:p w14:paraId="6E9D5D19">
      <w:pPr>
        <w:adjustRightInd w:val="0"/>
        <w:snapToGrid w:val="0"/>
        <w:spacing w:before="0" w:beforeLines="0" w:line="240" w:lineRule="auto"/>
        <w:jc w:val="center"/>
        <w:rPr>
          <w:b/>
          <w:bCs/>
        </w:rPr>
      </w:pPr>
      <w:r>
        <w:rPr>
          <w:rFonts w:hint="eastAsia"/>
          <w:b/>
          <w:bCs/>
        </w:rPr>
        <w:drawing>
          <wp:inline distT="0" distB="0" distL="114300" distR="114300">
            <wp:extent cx="5266055" cy="2743835"/>
            <wp:effectExtent l="0" t="0" r="4445" b="12065"/>
            <wp:docPr id="1875277072" name="图片 187527707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277072" name="图片 1875277072" descr="2"/>
                    <pic:cNvPicPr>
                      <a:picLocks noChangeAspect="1"/>
                    </pic:cNvPicPr>
                  </pic:nvPicPr>
                  <pic:blipFill>
                    <a:blip r:embed="rId128"/>
                    <a:stretch>
                      <a:fillRect/>
                    </a:stretch>
                  </pic:blipFill>
                  <pic:spPr>
                    <a:xfrm>
                      <a:off x="0" y="0"/>
                      <a:ext cx="5266055" cy="2743835"/>
                    </a:xfrm>
                    <a:prstGeom prst="rect">
                      <a:avLst/>
                    </a:prstGeom>
                  </pic:spPr>
                </pic:pic>
              </a:graphicData>
            </a:graphic>
          </wp:inline>
        </w:drawing>
      </w:r>
    </w:p>
    <w:p w14:paraId="26097AF3">
      <w:pPr>
        <w:adjustRightInd w:val="0"/>
        <w:snapToGrid w:val="0"/>
        <w:spacing w:before="0" w:beforeLines="0" w:line="240" w:lineRule="auto"/>
        <w:jc w:val="center"/>
        <w:rPr>
          <w:b/>
          <w:bCs/>
          <w:szCs w:val="21"/>
        </w:rPr>
      </w:pPr>
      <w:r>
        <w:rPr>
          <w:b/>
          <w:bCs/>
          <w:szCs w:val="21"/>
        </w:rPr>
        <w:t>图</w:t>
      </w:r>
      <w:r>
        <w:rPr>
          <w:rFonts w:hint="eastAsia"/>
          <w:b/>
          <w:bCs/>
          <w:szCs w:val="21"/>
        </w:rPr>
        <w:t>5.7</w:t>
      </w:r>
      <w:r>
        <w:rPr>
          <w:b/>
          <w:bCs/>
          <w:szCs w:val="21"/>
        </w:rPr>
        <w:t>-</w:t>
      </w:r>
      <w:r>
        <w:rPr>
          <w:rFonts w:hint="eastAsia"/>
          <w:b/>
          <w:bCs/>
          <w:szCs w:val="21"/>
        </w:rPr>
        <w:t>27</w:t>
      </w:r>
      <w:r>
        <w:rPr>
          <w:b/>
          <w:bCs/>
          <w:szCs w:val="21"/>
        </w:rPr>
        <w:t xml:space="preserve">  渗漏30天污染影响范围（</w:t>
      </w:r>
      <w:r>
        <w:rPr>
          <w:rFonts w:hint="eastAsia"/>
          <w:b/>
          <w:szCs w:val="21"/>
        </w:rPr>
        <w:t>铍</w:t>
      </w:r>
      <w:r>
        <w:rPr>
          <w:b/>
          <w:bCs/>
          <w:szCs w:val="21"/>
        </w:rPr>
        <w:t>）</w:t>
      </w:r>
    </w:p>
    <w:p w14:paraId="54BE8149">
      <w:pPr>
        <w:adjustRightInd w:val="0"/>
        <w:snapToGrid w:val="0"/>
        <w:spacing w:before="0" w:beforeLines="0" w:line="240" w:lineRule="auto"/>
        <w:jc w:val="center"/>
        <w:rPr>
          <w:b/>
          <w:bCs/>
        </w:rPr>
      </w:pPr>
      <w:r>
        <w:rPr>
          <w:rFonts w:hint="eastAsia"/>
          <w:b/>
          <w:bCs/>
        </w:rPr>
        <w:drawing>
          <wp:inline distT="0" distB="0" distL="114300" distR="114300">
            <wp:extent cx="5266055" cy="2743835"/>
            <wp:effectExtent l="0" t="0" r="4445" b="12065"/>
            <wp:docPr id="26" name="图片 2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3"/>
                    <pic:cNvPicPr>
                      <a:picLocks noChangeAspect="1"/>
                    </pic:cNvPicPr>
                  </pic:nvPicPr>
                  <pic:blipFill>
                    <a:blip r:embed="rId129"/>
                    <a:stretch>
                      <a:fillRect/>
                    </a:stretch>
                  </pic:blipFill>
                  <pic:spPr>
                    <a:xfrm>
                      <a:off x="0" y="0"/>
                      <a:ext cx="5266055" cy="2743835"/>
                    </a:xfrm>
                    <a:prstGeom prst="rect">
                      <a:avLst/>
                    </a:prstGeom>
                  </pic:spPr>
                </pic:pic>
              </a:graphicData>
            </a:graphic>
          </wp:inline>
        </w:drawing>
      </w:r>
    </w:p>
    <w:p w14:paraId="2B72B286">
      <w:pPr>
        <w:adjustRightInd w:val="0"/>
        <w:snapToGrid w:val="0"/>
        <w:spacing w:before="0" w:beforeLines="0" w:line="240" w:lineRule="auto"/>
        <w:jc w:val="center"/>
        <w:rPr>
          <w:b/>
          <w:bCs/>
          <w:szCs w:val="21"/>
        </w:rPr>
      </w:pPr>
      <w:r>
        <w:rPr>
          <w:b/>
          <w:bCs/>
          <w:szCs w:val="21"/>
        </w:rPr>
        <w:t>图</w:t>
      </w:r>
      <w:r>
        <w:rPr>
          <w:rFonts w:hint="eastAsia"/>
          <w:b/>
          <w:bCs/>
          <w:szCs w:val="21"/>
        </w:rPr>
        <w:t>5.7-28</w:t>
      </w:r>
      <w:r>
        <w:rPr>
          <w:b/>
          <w:bCs/>
          <w:szCs w:val="21"/>
        </w:rPr>
        <w:t xml:space="preserve">  渗漏38天污染影响范围（</w:t>
      </w:r>
      <w:r>
        <w:rPr>
          <w:rFonts w:hint="eastAsia"/>
          <w:b/>
          <w:szCs w:val="21"/>
        </w:rPr>
        <w:t>铍</w:t>
      </w:r>
      <w:r>
        <w:rPr>
          <w:b/>
          <w:bCs/>
          <w:szCs w:val="21"/>
        </w:rPr>
        <w:t>）</w:t>
      </w:r>
    </w:p>
    <w:p w14:paraId="6A3792D2">
      <w:pPr>
        <w:adjustRightInd w:val="0"/>
        <w:snapToGrid w:val="0"/>
        <w:spacing w:before="0" w:beforeLines="0" w:line="240" w:lineRule="auto"/>
        <w:jc w:val="center"/>
        <w:rPr>
          <w:b/>
          <w:bCs/>
        </w:rPr>
      </w:pPr>
      <w:r>
        <w:rPr>
          <w:rFonts w:hint="eastAsia"/>
          <w:b/>
          <w:bCs/>
        </w:rPr>
        <w:drawing>
          <wp:inline distT="0" distB="0" distL="114300" distR="114300">
            <wp:extent cx="5217160" cy="2718435"/>
            <wp:effectExtent l="0" t="0" r="2540" b="12065"/>
            <wp:docPr id="27" name="图片 27"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4"/>
                    <pic:cNvPicPr>
                      <a:picLocks noChangeAspect="1"/>
                    </pic:cNvPicPr>
                  </pic:nvPicPr>
                  <pic:blipFill>
                    <a:blip r:embed="rId130"/>
                    <a:stretch>
                      <a:fillRect/>
                    </a:stretch>
                  </pic:blipFill>
                  <pic:spPr>
                    <a:xfrm>
                      <a:off x="0" y="0"/>
                      <a:ext cx="5217160" cy="2718435"/>
                    </a:xfrm>
                    <a:prstGeom prst="rect">
                      <a:avLst/>
                    </a:prstGeom>
                  </pic:spPr>
                </pic:pic>
              </a:graphicData>
            </a:graphic>
          </wp:inline>
        </w:drawing>
      </w:r>
    </w:p>
    <w:p w14:paraId="710881D0">
      <w:pPr>
        <w:adjustRightInd w:val="0"/>
        <w:snapToGrid w:val="0"/>
        <w:spacing w:before="0" w:beforeLines="0" w:line="240" w:lineRule="auto"/>
        <w:jc w:val="center"/>
        <w:rPr>
          <w:b/>
          <w:bCs/>
          <w:szCs w:val="21"/>
        </w:rPr>
      </w:pPr>
      <w:r>
        <w:rPr>
          <w:b/>
          <w:bCs/>
          <w:szCs w:val="21"/>
        </w:rPr>
        <w:t>图</w:t>
      </w:r>
      <w:r>
        <w:rPr>
          <w:rFonts w:hint="eastAsia"/>
          <w:b/>
          <w:bCs/>
          <w:szCs w:val="21"/>
        </w:rPr>
        <w:t>5.7</w:t>
      </w:r>
      <w:r>
        <w:rPr>
          <w:b/>
          <w:bCs/>
          <w:szCs w:val="21"/>
        </w:rPr>
        <w:t>-</w:t>
      </w:r>
      <w:r>
        <w:rPr>
          <w:rFonts w:hint="eastAsia"/>
          <w:b/>
          <w:bCs/>
          <w:szCs w:val="21"/>
        </w:rPr>
        <w:t xml:space="preserve">29 </w:t>
      </w:r>
      <w:r>
        <w:rPr>
          <w:b/>
          <w:bCs/>
          <w:szCs w:val="21"/>
        </w:rPr>
        <w:t xml:space="preserve"> 渗漏42天污染影响范围（</w:t>
      </w:r>
      <w:r>
        <w:rPr>
          <w:rFonts w:hint="eastAsia"/>
          <w:b/>
          <w:szCs w:val="21"/>
        </w:rPr>
        <w:t>铍</w:t>
      </w:r>
      <w:r>
        <w:rPr>
          <w:b/>
          <w:bCs/>
          <w:szCs w:val="21"/>
        </w:rPr>
        <w:t>）</w:t>
      </w:r>
    </w:p>
    <w:p w14:paraId="6E690E9B">
      <w:pPr>
        <w:adjustRightInd w:val="0"/>
        <w:snapToGrid w:val="0"/>
        <w:spacing w:before="0" w:beforeLines="0" w:line="240" w:lineRule="auto"/>
        <w:jc w:val="center"/>
        <w:rPr>
          <w:b/>
          <w:bCs/>
        </w:rPr>
      </w:pPr>
      <w:r>
        <w:rPr>
          <w:rFonts w:hint="eastAsia"/>
          <w:b/>
          <w:bCs/>
        </w:rPr>
        <w:drawing>
          <wp:inline distT="0" distB="0" distL="114300" distR="114300">
            <wp:extent cx="5266055" cy="2740025"/>
            <wp:effectExtent l="0" t="0" r="4445" b="3175"/>
            <wp:docPr id="75" name="图片 75"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descr="5"/>
                    <pic:cNvPicPr>
                      <a:picLocks noChangeAspect="1"/>
                    </pic:cNvPicPr>
                  </pic:nvPicPr>
                  <pic:blipFill>
                    <a:blip r:embed="rId131"/>
                    <a:stretch>
                      <a:fillRect/>
                    </a:stretch>
                  </pic:blipFill>
                  <pic:spPr>
                    <a:xfrm>
                      <a:off x="0" y="0"/>
                      <a:ext cx="5266055" cy="2740025"/>
                    </a:xfrm>
                    <a:prstGeom prst="rect">
                      <a:avLst/>
                    </a:prstGeom>
                  </pic:spPr>
                </pic:pic>
              </a:graphicData>
            </a:graphic>
          </wp:inline>
        </w:drawing>
      </w:r>
    </w:p>
    <w:p w14:paraId="4F624EDD">
      <w:pPr>
        <w:adjustRightInd w:val="0"/>
        <w:snapToGrid w:val="0"/>
        <w:spacing w:before="0" w:beforeLines="0" w:line="240" w:lineRule="auto"/>
        <w:jc w:val="center"/>
        <w:rPr>
          <w:b/>
          <w:bCs/>
          <w:szCs w:val="21"/>
        </w:rPr>
      </w:pPr>
      <w:r>
        <w:rPr>
          <w:b/>
          <w:bCs/>
          <w:szCs w:val="21"/>
        </w:rPr>
        <w:t>图</w:t>
      </w:r>
      <w:r>
        <w:rPr>
          <w:rFonts w:hint="eastAsia"/>
          <w:b/>
          <w:bCs/>
          <w:szCs w:val="21"/>
        </w:rPr>
        <w:t>5.7</w:t>
      </w:r>
      <w:r>
        <w:rPr>
          <w:b/>
          <w:bCs/>
          <w:szCs w:val="21"/>
        </w:rPr>
        <w:t>-</w:t>
      </w:r>
      <w:r>
        <w:rPr>
          <w:rFonts w:hint="eastAsia"/>
          <w:b/>
          <w:bCs/>
          <w:szCs w:val="21"/>
        </w:rPr>
        <w:t>30</w:t>
      </w:r>
      <w:r>
        <w:rPr>
          <w:b/>
          <w:bCs/>
          <w:szCs w:val="21"/>
        </w:rPr>
        <w:t xml:space="preserve">  渗漏46天污染影响范围（</w:t>
      </w:r>
      <w:r>
        <w:rPr>
          <w:rFonts w:hint="eastAsia"/>
          <w:b/>
          <w:szCs w:val="21"/>
        </w:rPr>
        <w:t>铍</w:t>
      </w:r>
      <w:r>
        <w:rPr>
          <w:b/>
          <w:bCs/>
          <w:szCs w:val="21"/>
        </w:rPr>
        <w:t>）</w:t>
      </w:r>
    </w:p>
    <w:p w14:paraId="0978462F">
      <w:pPr>
        <w:adjustRightInd w:val="0"/>
        <w:snapToGrid w:val="0"/>
        <w:spacing w:before="0" w:beforeLines="0" w:line="240" w:lineRule="auto"/>
        <w:jc w:val="center"/>
        <w:rPr>
          <w:b/>
          <w:bCs/>
        </w:rPr>
      </w:pPr>
      <w:r>
        <w:rPr>
          <w:rFonts w:hint="eastAsia"/>
          <w:b/>
          <w:bCs/>
        </w:rPr>
        <w:drawing>
          <wp:inline distT="0" distB="0" distL="114300" distR="114300">
            <wp:extent cx="5274310" cy="2747010"/>
            <wp:effectExtent l="0" t="0" r="8890" b="8890"/>
            <wp:docPr id="76" name="图片 76"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descr="0"/>
                    <pic:cNvPicPr>
                      <a:picLocks noChangeAspect="1"/>
                    </pic:cNvPicPr>
                  </pic:nvPicPr>
                  <pic:blipFill>
                    <a:blip r:embed="rId132"/>
                    <a:stretch>
                      <a:fillRect/>
                    </a:stretch>
                  </pic:blipFill>
                  <pic:spPr>
                    <a:xfrm>
                      <a:off x="0" y="0"/>
                      <a:ext cx="5274310" cy="2747010"/>
                    </a:xfrm>
                    <a:prstGeom prst="rect">
                      <a:avLst/>
                    </a:prstGeom>
                  </pic:spPr>
                </pic:pic>
              </a:graphicData>
            </a:graphic>
          </wp:inline>
        </w:drawing>
      </w:r>
    </w:p>
    <w:p w14:paraId="66294101">
      <w:pPr>
        <w:adjustRightInd w:val="0"/>
        <w:snapToGrid w:val="0"/>
        <w:spacing w:before="0" w:beforeLines="0" w:line="240" w:lineRule="auto"/>
        <w:jc w:val="center"/>
        <w:rPr>
          <w:b/>
          <w:bCs/>
          <w:szCs w:val="21"/>
        </w:rPr>
      </w:pPr>
      <w:r>
        <w:rPr>
          <w:b/>
          <w:bCs/>
          <w:szCs w:val="21"/>
        </w:rPr>
        <w:t>图</w:t>
      </w:r>
      <w:r>
        <w:rPr>
          <w:rFonts w:hint="eastAsia"/>
          <w:b/>
          <w:bCs/>
          <w:szCs w:val="21"/>
        </w:rPr>
        <w:t>5.7</w:t>
      </w:r>
      <w:r>
        <w:rPr>
          <w:b/>
          <w:bCs/>
          <w:szCs w:val="21"/>
        </w:rPr>
        <w:t>-</w:t>
      </w:r>
      <w:r>
        <w:rPr>
          <w:rFonts w:hint="eastAsia"/>
          <w:b/>
          <w:bCs/>
          <w:szCs w:val="21"/>
        </w:rPr>
        <w:t>31</w:t>
      </w:r>
      <w:r>
        <w:rPr>
          <w:b/>
          <w:bCs/>
          <w:szCs w:val="21"/>
        </w:rPr>
        <w:t xml:space="preserve">  渗漏48天污染影响范围（</w:t>
      </w:r>
      <w:r>
        <w:rPr>
          <w:rFonts w:hint="eastAsia"/>
          <w:b/>
          <w:szCs w:val="21"/>
        </w:rPr>
        <w:t>铍</w:t>
      </w:r>
      <w:r>
        <w:rPr>
          <w:b/>
          <w:bCs/>
          <w:szCs w:val="21"/>
        </w:rPr>
        <w:t>）</w:t>
      </w:r>
    </w:p>
    <w:p w14:paraId="57AFAB96">
      <w:pPr>
        <w:adjustRightInd w:val="0"/>
        <w:snapToGrid w:val="0"/>
        <w:spacing w:before="0" w:beforeLines="0" w:line="240" w:lineRule="auto"/>
        <w:jc w:val="center"/>
        <w:rPr>
          <w:b/>
          <w:bCs/>
        </w:rPr>
      </w:pPr>
      <w:r>
        <w:rPr>
          <w:rFonts w:hint="eastAsia"/>
          <w:b/>
          <w:bCs/>
        </w:rPr>
        <w:drawing>
          <wp:inline distT="0" distB="0" distL="114300" distR="114300">
            <wp:extent cx="5274310" cy="2747010"/>
            <wp:effectExtent l="0" t="0" r="8890" b="8890"/>
            <wp:docPr id="78" name="图片 78"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descr="0"/>
                    <pic:cNvPicPr>
                      <a:picLocks noChangeAspect="1"/>
                    </pic:cNvPicPr>
                  </pic:nvPicPr>
                  <pic:blipFill>
                    <a:blip r:embed="rId132"/>
                    <a:stretch>
                      <a:fillRect/>
                    </a:stretch>
                  </pic:blipFill>
                  <pic:spPr>
                    <a:xfrm>
                      <a:off x="0" y="0"/>
                      <a:ext cx="5274310" cy="2747010"/>
                    </a:xfrm>
                    <a:prstGeom prst="rect">
                      <a:avLst/>
                    </a:prstGeom>
                  </pic:spPr>
                </pic:pic>
              </a:graphicData>
            </a:graphic>
          </wp:inline>
        </w:drawing>
      </w:r>
    </w:p>
    <w:p w14:paraId="09568CBC">
      <w:pPr>
        <w:adjustRightInd w:val="0"/>
        <w:snapToGrid w:val="0"/>
        <w:spacing w:before="0" w:beforeLines="0" w:line="240" w:lineRule="auto"/>
        <w:jc w:val="center"/>
        <w:rPr>
          <w:b/>
          <w:bCs/>
          <w:szCs w:val="21"/>
        </w:rPr>
      </w:pPr>
      <w:r>
        <w:rPr>
          <w:b/>
          <w:bCs/>
          <w:szCs w:val="21"/>
        </w:rPr>
        <w:t>图</w:t>
      </w:r>
      <w:r>
        <w:rPr>
          <w:rFonts w:hint="eastAsia"/>
          <w:b/>
          <w:bCs/>
          <w:szCs w:val="21"/>
        </w:rPr>
        <w:t>5.7</w:t>
      </w:r>
      <w:r>
        <w:rPr>
          <w:b/>
          <w:bCs/>
          <w:szCs w:val="21"/>
        </w:rPr>
        <w:t>-</w:t>
      </w:r>
      <w:r>
        <w:rPr>
          <w:rFonts w:hint="eastAsia"/>
          <w:b/>
          <w:bCs/>
          <w:szCs w:val="21"/>
        </w:rPr>
        <w:t>32</w:t>
      </w:r>
      <w:r>
        <w:rPr>
          <w:b/>
          <w:bCs/>
          <w:szCs w:val="21"/>
        </w:rPr>
        <w:t xml:space="preserve">  渗漏</w:t>
      </w:r>
      <w:r>
        <w:rPr>
          <w:rFonts w:hint="eastAsia"/>
          <w:b/>
          <w:bCs/>
          <w:szCs w:val="21"/>
        </w:rPr>
        <w:t>100</w:t>
      </w:r>
      <w:r>
        <w:rPr>
          <w:b/>
          <w:bCs/>
          <w:szCs w:val="21"/>
        </w:rPr>
        <w:t>天污染影响范围（</w:t>
      </w:r>
      <w:r>
        <w:rPr>
          <w:rFonts w:hint="eastAsia"/>
          <w:b/>
          <w:szCs w:val="21"/>
        </w:rPr>
        <w:t>铍</w:t>
      </w:r>
      <w:r>
        <w:rPr>
          <w:b/>
          <w:bCs/>
          <w:szCs w:val="21"/>
        </w:rPr>
        <w:t>）</w:t>
      </w:r>
    </w:p>
    <w:p w14:paraId="5861C9B5">
      <w:pPr>
        <w:adjustRightInd w:val="0"/>
        <w:snapToGrid w:val="0"/>
        <w:spacing w:before="0" w:beforeLines="0" w:line="240" w:lineRule="auto"/>
        <w:jc w:val="center"/>
        <w:rPr>
          <w:b/>
          <w:bCs/>
        </w:rPr>
      </w:pPr>
      <w:r>
        <w:rPr>
          <w:rFonts w:hint="eastAsia"/>
          <w:b/>
          <w:bCs/>
        </w:rPr>
        <w:drawing>
          <wp:inline distT="0" distB="0" distL="114300" distR="114300">
            <wp:extent cx="5274310" cy="2747010"/>
            <wp:effectExtent l="0" t="0" r="8890" b="8890"/>
            <wp:docPr id="103" name="图片 103"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3" descr="0"/>
                    <pic:cNvPicPr>
                      <a:picLocks noChangeAspect="1"/>
                    </pic:cNvPicPr>
                  </pic:nvPicPr>
                  <pic:blipFill>
                    <a:blip r:embed="rId132"/>
                    <a:stretch>
                      <a:fillRect/>
                    </a:stretch>
                  </pic:blipFill>
                  <pic:spPr>
                    <a:xfrm>
                      <a:off x="0" y="0"/>
                      <a:ext cx="5274310" cy="2747010"/>
                    </a:xfrm>
                    <a:prstGeom prst="rect">
                      <a:avLst/>
                    </a:prstGeom>
                  </pic:spPr>
                </pic:pic>
              </a:graphicData>
            </a:graphic>
          </wp:inline>
        </w:drawing>
      </w:r>
    </w:p>
    <w:p w14:paraId="3A84148C">
      <w:pPr>
        <w:adjustRightInd w:val="0"/>
        <w:snapToGrid w:val="0"/>
        <w:spacing w:before="0" w:beforeLines="0" w:line="240" w:lineRule="auto"/>
        <w:jc w:val="center"/>
        <w:rPr>
          <w:b/>
          <w:bCs/>
          <w:szCs w:val="21"/>
        </w:rPr>
      </w:pPr>
      <w:r>
        <w:rPr>
          <w:b/>
          <w:bCs/>
          <w:szCs w:val="21"/>
        </w:rPr>
        <w:t>图</w:t>
      </w:r>
      <w:r>
        <w:rPr>
          <w:rFonts w:hint="eastAsia"/>
          <w:b/>
          <w:bCs/>
          <w:szCs w:val="21"/>
        </w:rPr>
        <w:t>5.7</w:t>
      </w:r>
      <w:r>
        <w:rPr>
          <w:b/>
          <w:bCs/>
          <w:szCs w:val="21"/>
        </w:rPr>
        <w:t>-</w:t>
      </w:r>
      <w:r>
        <w:rPr>
          <w:rFonts w:hint="eastAsia"/>
          <w:b/>
          <w:bCs/>
          <w:szCs w:val="21"/>
        </w:rPr>
        <w:t>33</w:t>
      </w:r>
      <w:r>
        <w:rPr>
          <w:b/>
          <w:bCs/>
          <w:szCs w:val="21"/>
        </w:rPr>
        <w:t xml:space="preserve">  渗漏</w:t>
      </w:r>
      <w:r>
        <w:rPr>
          <w:rFonts w:hint="eastAsia"/>
          <w:b/>
          <w:bCs/>
          <w:szCs w:val="21"/>
        </w:rPr>
        <w:t>1000</w:t>
      </w:r>
      <w:r>
        <w:rPr>
          <w:b/>
          <w:bCs/>
          <w:szCs w:val="21"/>
        </w:rPr>
        <w:t>天污染影响范围（</w:t>
      </w:r>
      <w:r>
        <w:rPr>
          <w:rFonts w:hint="eastAsia"/>
          <w:b/>
          <w:szCs w:val="21"/>
        </w:rPr>
        <w:t>铍</w:t>
      </w:r>
      <w:r>
        <w:rPr>
          <w:b/>
          <w:bCs/>
          <w:szCs w:val="21"/>
        </w:rPr>
        <w:t>）</w:t>
      </w:r>
    </w:p>
    <w:p w14:paraId="781518FF">
      <w:pPr>
        <w:adjustRightInd w:val="0"/>
        <w:snapToGrid w:val="0"/>
        <w:spacing w:before="0" w:beforeLines="0" w:line="240" w:lineRule="auto"/>
        <w:jc w:val="center"/>
        <w:rPr>
          <w:b/>
          <w:bCs/>
        </w:rPr>
      </w:pPr>
      <w:r>
        <w:rPr>
          <w:rFonts w:hint="eastAsia"/>
          <w:b/>
          <w:bCs/>
        </w:rPr>
        <w:drawing>
          <wp:inline distT="0" distB="0" distL="114300" distR="114300">
            <wp:extent cx="5274310" cy="2747010"/>
            <wp:effectExtent l="0" t="0" r="8890" b="8890"/>
            <wp:docPr id="107" name="图片 107"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07" descr="0"/>
                    <pic:cNvPicPr>
                      <a:picLocks noChangeAspect="1"/>
                    </pic:cNvPicPr>
                  </pic:nvPicPr>
                  <pic:blipFill>
                    <a:blip r:embed="rId132"/>
                    <a:stretch>
                      <a:fillRect/>
                    </a:stretch>
                  </pic:blipFill>
                  <pic:spPr>
                    <a:xfrm>
                      <a:off x="0" y="0"/>
                      <a:ext cx="5274310" cy="2747010"/>
                    </a:xfrm>
                    <a:prstGeom prst="rect">
                      <a:avLst/>
                    </a:prstGeom>
                  </pic:spPr>
                </pic:pic>
              </a:graphicData>
            </a:graphic>
          </wp:inline>
        </w:drawing>
      </w:r>
    </w:p>
    <w:p w14:paraId="5C6CDC2E">
      <w:pPr>
        <w:adjustRightInd w:val="0"/>
        <w:snapToGrid w:val="0"/>
        <w:spacing w:before="0" w:beforeLines="0" w:line="240" w:lineRule="auto"/>
        <w:jc w:val="center"/>
        <w:rPr>
          <w:b/>
          <w:bCs/>
          <w:szCs w:val="21"/>
        </w:rPr>
      </w:pPr>
      <w:r>
        <w:rPr>
          <w:b/>
          <w:bCs/>
          <w:szCs w:val="21"/>
        </w:rPr>
        <w:t>图</w:t>
      </w:r>
      <w:r>
        <w:rPr>
          <w:rFonts w:hint="eastAsia"/>
          <w:b/>
          <w:bCs/>
          <w:szCs w:val="21"/>
        </w:rPr>
        <w:t>5.7</w:t>
      </w:r>
      <w:r>
        <w:rPr>
          <w:b/>
          <w:bCs/>
          <w:szCs w:val="21"/>
        </w:rPr>
        <w:t>-</w:t>
      </w:r>
      <w:r>
        <w:rPr>
          <w:rFonts w:hint="eastAsia"/>
          <w:b/>
          <w:bCs/>
          <w:szCs w:val="21"/>
        </w:rPr>
        <w:t>34</w:t>
      </w:r>
      <w:r>
        <w:rPr>
          <w:b/>
          <w:bCs/>
          <w:szCs w:val="21"/>
        </w:rPr>
        <w:t xml:space="preserve">  渗漏</w:t>
      </w:r>
      <w:r>
        <w:rPr>
          <w:rFonts w:hint="eastAsia"/>
          <w:b/>
          <w:bCs/>
          <w:szCs w:val="21"/>
        </w:rPr>
        <w:t>3650天</w:t>
      </w:r>
      <w:r>
        <w:rPr>
          <w:b/>
          <w:bCs/>
          <w:szCs w:val="21"/>
        </w:rPr>
        <w:t>污染影响范围（</w:t>
      </w:r>
      <w:r>
        <w:rPr>
          <w:rFonts w:hint="eastAsia"/>
          <w:b/>
          <w:szCs w:val="21"/>
        </w:rPr>
        <w:t>铍</w:t>
      </w:r>
      <w:r>
        <w:rPr>
          <w:b/>
          <w:bCs/>
          <w:szCs w:val="21"/>
        </w:rPr>
        <w:t>）</w:t>
      </w:r>
    </w:p>
    <w:p w14:paraId="5747C021">
      <w:pPr>
        <w:adjustRightInd w:val="0"/>
        <w:snapToGrid w:val="0"/>
        <w:spacing w:before="0" w:beforeLines="0" w:line="240" w:lineRule="auto"/>
        <w:jc w:val="center"/>
        <w:rPr>
          <w:b/>
          <w:bCs/>
          <w:szCs w:val="21"/>
        </w:rPr>
      </w:pPr>
    </w:p>
    <w:p w14:paraId="76A28FA5">
      <w:pPr>
        <w:spacing w:before="0" w:beforeLines="0" w:line="360" w:lineRule="auto"/>
        <w:ind w:firstLine="480" w:firstLineChars="200"/>
        <w:rPr>
          <w:sz w:val="24"/>
        </w:rPr>
      </w:pPr>
      <w:r>
        <w:rPr>
          <w:rFonts w:hint="eastAsia"/>
          <w:sz w:val="24"/>
        </w:rPr>
        <w:t>模拟结果中，0.002</w:t>
      </w:r>
      <w:r>
        <w:rPr>
          <w:sz w:val="24"/>
        </w:rPr>
        <w:t>mg/L</w:t>
      </w:r>
      <w:r>
        <w:rPr>
          <w:rFonts w:hint="eastAsia"/>
          <w:sz w:val="24"/>
        </w:rPr>
        <w:t>作为污染羽最小值。根据模拟结果可知，非正常状况下发生泄漏时，污染物进入地下水，在水流作用下向地下水径流的下游方向运移，并不断向周边扩散，形成污染羽。</w:t>
      </w:r>
    </w:p>
    <w:p w14:paraId="556DAF17">
      <w:pPr>
        <w:spacing w:before="0" w:beforeLines="0" w:line="360" w:lineRule="auto"/>
        <w:ind w:firstLine="480" w:firstLineChars="200"/>
        <w:rPr>
          <w:sz w:val="24"/>
        </w:rPr>
      </w:pPr>
      <w:r>
        <w:rPr>
          <w:rFonts w:hint="eastAsia"/>
          <w:sz w:val="24"/>
        </w:rPr>
        <w:t>泄漏发生10天时，污染物浓度最大值主要位于浓缩罐区处，由于污染物持续</w:t>
      </w:r>
      <w:r>
        <w:rPr>
          <w:rFonts w:hint="eastAsia"/>
          <w:sz w:val="24"/>
          <w:lang w:eastAsia="zh-CN"/>
        </w:rPr>
        <w:t>泄漏</w:t>
      </w:r>
      <w:r>
        <w:rPr>
          <w:rFonts w:hint="eastAsia"/>
          <w:sz w:val="24"/>
        </w:rPr>
        <w:t>，浓度最大值为0.003</w:t>
      </w:r>
      <w:r>
        <w:rPr>
          <w:sz w:val="24"/>
        </w:rPr>
        <w:t>mg/L</w:t>
      </w:r>
      <w:r>
        <w:rPr>
          <w:rFonts w:hint="eastAsia"/>
          <w:sz w:val="24"/>
        </w:rPr>
        <w:t>，污染羽范围扩大，有向下游运移的趋势，污染羽影响范围1241</w:t>
      </w:r>
      <w:r>
        <w:rPr>
          <w:sz w:val="24"/>
        </w:rPr>
        <w:t>m</w:t>
      </w:r>
      <w:r>
        <w:rPr>
          <w:sz w:val="24"/>
          <w:vertAlign w:val="superscript"/>
        </w:rPr>
        <w:t>2</w:t>
      </w:r>
      <w:r>
        <w:rPr>
          <w:rFonts w:hint="eastAsia"/>
          <w:sz w:val="24"/>
        </w:rPr>
        <w:t>，污染羽距离下游最近保护目标1570m。</w:t>
      </w:r>
    </w:p>
    <w:p w14:paraId="6BE2F2D3">
      <w:pPr>
        <w:spacing w:before="0" w:beforeLines="0" w:line="360" w:lineRule="auto"/>
        <w:ind w:firstLine="480" w:firstLineChars="200"/>
        <w:rPr>
          <w:sz w:val="24"/>
        </w:rPr>
      </w:pPr>
      <w:r>
        <w:rPr>
          <w:rFonts w:hint="eastAsia"/>
          <w:sz w:val="24"/>
        </w:rPr>
        <w:t>泄漏发生30天时，污染物浓度最大值主要位于浓缩罐区处，此时中心浓度为最大，浓度为0.0034</w:t>
      </w:r>
      <w:r>
        <w:rPr>
          <w:sz w:val="24"/>
        </w:rPr>
        <w:t>mg/L</w:t>
      </w:r>
      <w:r>
        <w:rPr>
          <w:rFonts w:hint="eastAsia"/>
          <w:sz w:val="24"/>
        </w:rPr>
        <w:t>。污染羽影响范围2823</w:t>
      </w:r>
      <w:r>
        <w:rPr>
          <w:sz w:val="24"/>
        </w:rPr>
        <w:t>m</w:t>
      </w:r>
      <w:r>
        <w:rPr>
          <w:sz w:val="24"/>
          <w:vertAlign w:val="superscript"/>
        </w:rPr>
        <w:t>2</w:t>
      </w:r>
      <w:r>
        <w:rPr>
          <w:rFonts w:hint="eastAsia"/>
          <w:sz w:val="24"/>
        </w:rPr>
        <w:t>，污染羽距离下游最近保护目标1536m。</w:t>
      </w:r>
      <w:r>
        <w:rPr>
          <w:rFonts w:hint="eastAsia"/>
          <w:sz w:val="24"/>
          <w:lang w:eastAsia="zh-CN"/>
        </w:rPr>
        <w:t>及时</w:t>
      </w:r>
      <w:r>
        <w:rPr>
          <w:rFonts w:hint="eastAsia"/>
          <w:sz w:val="24"/>
        </w:rPr>
        <w:t>切断污染源。</w:t>
      </w:r>
    </w:p>
    <w:p w14:paraId="7C8A70F3">
      <w:pPr>
        <w:spacing w:before="0" w:beforeLines="0" w:line="360" w:lineRule="auto"/>
        <w:ind w:firstLine="480" w:firstLineChars="200"/>
        <w:rPr>
          <w:sz w:val="24"/>
        </w:rPr>
      </w:pPr>
      <w:r>
        <w:rPr>
          <w:rFonts w:hint="eastAsia"/>
          <w:sz w:val="24"/>
        </w:rPr>
        <w:t>泄漏发生38天时，由于污染物已停止泄漏，在地下水流稀释径流作用，污染物浓度也降低，浓度最大值为0.003</w:t>
      </w:r>
      <w:r>
        <w:rPr>
          <w:sz w:val="24"/>
        </w:rPr>
        <w:t>mg/L</w:t>
      </w:r>
      <w:r>
        <w:rPr>
          <w:rFonts w:hint="eastAsia"/>
          <w:sz w:val="24"/>
        </w:rPr>
        <w:t>。污染羽影响范围2328</w:t>
      </w:r>
      <w:r>
        <w:rPr>
          <w:sz w:val="24"/>
        </w:rPr>
        <w:t>m</w:t>
      </w:r>
      <w:r>
        <w:rPr>
          <w:sz w:val="24"/>
          <w:vertAlign w:val="superscript"/>
        </w:rPr>
        <w:t>2</w:t>
      </w:r>
      <w:r>
        <w:rPr>
          <w:rFonts w:hint="eastAsia"/>
          <w:sz w:val="24"/>
        </w:rPr>
        <w:t>，</w:t>
      </w:r>
      <w:r>
        <w:rPr>
          <w:sz w:val="24"/>
        </w:rPr>
        <w:t>污染羽</w:t>
      </w:r>
      <w:r>
        <w:rPr>
          <w:rFonts w:hint="eastAsia"/>
          <w:sz w:val="24"/>
        </w:rPr>
        <w:t>中心向下游运移距离为28m。</w:t>
      </w:r>
    </w:p>
    <w:p w14:paraId="661C147C">
      <w:pPr>
        <w:spacing w:before="0" w:beforeLines="0" w:line="360" w:lineRule="auto"/>
        <w:ind w:firstLine="480" w:firstLineChars="200"/>
        <w:rPr>
          <w:sz w:val="24"/>
        </w:rPr>
      </w:pPr>
      <w:r>
        <w:rPr>
          <w:rFonts w:hint="eastAsia"/>
          <w:sz w:val="24"/>
        </w:rPr>
        <w:t>泄漏发生42天及46天时，污染物逐渐向下游移动，浓度最大值分别为0.003</w:t>
      </w:r>
      <w:r>
        <w:rPr>
          <w:sz w:val="24"/>
        </w:rPr>
        <w:t>mg/L</w:t>
      </w:r>
      <w:r>
        <w:rPr>
          <w:rFonts w:hint="eastAsia"/>
          <w:sz w:val="24"/>
        </w:rPr>
        <w:t>及0.0025</w:t>
      </w:r>
      <w:r>
        <w:rPr>
          <w:sz w:val="24"/>
        </w:rPr>
        <w:t>mg/L</w:t>
      </w:r>
      <w:r>
        <w:rPr>
          <w:rFonts w:hint="eastAsia"/>
          <w:sz w:val="24"/>
        </w:rPr>
        <w:t>。由于地下水径流稀释作用，污染羽逐渐减小，污染羽影响范围分别为1755</w:t>
      </w:r>
      <w:r>
        <w:rPr>
          <w:sz w:val="24"/>
        </w:rPr>
        <w:t>m</w:t>
      </w:r>
      <w:r>
        <w:rPr>
          <w:sz w:val="24"/>
          <w:vertAlign w:val="superscript"/>
        </w:rPr>
        <w:t>2</w:t>
      </w:r>
      <w:r>
        <w:rPr>
          <w:rFonts w:hint="eastAsia"/>
          <w:sz w:val="24"/>
        </w:rPr>
        <w:t>及652</w:t>
      </w:r>
      <w:r>
        <w:rPr>
          <w:sz w:val="24"/>
        </w:rPr>
        <w:t>m</w:t>
      </w:r>
      <w:r>
        <w:rPr>
          <w:sz w:val="24"/>
          <w:vertAlign w:val="superscript"/>
        </w:rPr>
        <w:t>2</w:t>
      </w:r>
      <w:r>
        <w:rPr>
          <w:rFonts w:hint="eastAsia"/>
          <w:sz w:val="24"/>
        </w:rPr>
        <w:t>，</w:t>
      </w:r>
      <w:r>
        <w:rPr>
          <w:sz w:val="24"/>
        </w:rPr>
        <w:t>污染羽</w:t>
      </w:r>
      <w:r>
        <w:rPr>
          <w:rFonts w:hint="eastAsia"/>
          <w:sz w:val="24"/>
        </w:rPr>
        <w:t>中心向下游运移距离为31m及36</w:t>
      </w:r>
      <w:r>
        <w:rPr>
          <w:sz w:val="24"/>
        </w:rPr>
        <w:t>m</w:t>
      </w:r>
      <w:r>
        <w:rPr>
          <w:rFonts w:hint="eastAsia"/>
          <w:sz w:val="24"/>
        </w:rPr>
        <w:t>。</w:t>
      </w:r>
    </w:p>
    <w:p w14:paraId="5E4ABCC6">
      <w:pPr>
        <w:spacing w:before="0" w:beforeLines="0" w:line="360" w:lineRule="auto"/>
        <w:ind w:firstLine="480" w:firstLineChars="200"/>
        <w:rPr>
          <w:sz w:val="24"/>
        </w:rPr>
      </w:pPr>
      <w:r>
        <w:rPr>
          <w:rFonts w:hint="eastAsia"/>
          <w:sz w:val="24"/>
        </w:rPr>
        <w:t>至48天时，污染羽彻底消失，100天、365天、1000天及3650天无污染羽出现。</w:t>
      </w:r>
    </w:p>
    <w:p w14:paraId="7438EF10">
      <w:pPr>
        <w:spacing w:before="0" w:beforeLines="0" w:line="360" w:lineRule="auto"/>
        <w:ind w:firstLine="480" w:firstLineChars="200"/>
        <w:rPr>
          <w:sz w:val="24"/>
        </w:rPr>
      </w:pPr>
      <w:r>
        <w:rPr>
          <w:rFonts w:hint="eastAsia"/>
          <w:sz w:val="24"/>
        </w:rPr>
        <w:t>由于污水中铍超标倍数较低，污染物进入地下水体后形成污染羽较小，并沿地下水径流向下游方向运移。因地区降雨及地下水径流补给原因，地下水补给量较大，因此污染物运移过程中稀释较快，对厂区附近区域影响时间较短。超标污染羽（铍标准参照《地下水质量标准》中的</w:t>
      </w:r>
      <w:r>
        <w:rPr>
          <w:sz w:val="24"/>
        </w:rPr>
        <w:fldChar w:fldCharType="begin"/>
      </w:r>
      <w:r>
        <w:rPr>
          <w:sz w:val="24"/>
        </w:rPr>
        <w:instrText xml:space="preserve"> = 3 \* ROMAN </w:instrText>
      </w:r>
      <w:r>
        <w:rPr>
          <w:sz w:val="24"/>
        </w:rPr>
        <w:fldChar w:fldCharType="separate"/>
      </w:r>
      <w:r>
        <w:rPr>
          <w:sz w:val="24"/>
        </w:rPr>
        <w:t>III</w:t>
      </w:r>
      <w:r>
        <w:rPr>
          <w:sz w:val="24"/>
        </w:rPr>
        <w:fldChar w:fldCharType="end"/>
      </w:r>
      <w:r>
        <w:rPr>
          <w:rFonts w:hint="eastAsia"/>
          <w:sz w:val="24"/>
        </w:rPr>
        <w:t>类水体要求，标准浓度为0.002mg/L）距离下游保护目标较远，并未对周边保护目标造成影响。</w:t>
      </w:r>
    </w:p>
    <w:p w14:paraId="473831AC">
      <w:pPr>
        <w:spacing w:before="93" w:beforeLines="30" w:line="240" w:lineRule="auto"/>
        <w:jc w:val="center"/>
      </w:pPr>
      <w:r>
        <w:rPr>
          <w:b/>
          <w:bCs/>
        </w:rPr>
        <w:t>表</w:t>
      </w:r>
      <w:r>
        <w:rPr>
          <w:rFonts w:hint="eastAsia"/>
          <w:b/>
          <w:bCs/>
        </w:rPr>
        <w:t xml:space="preserve">5.7-5     </w:t>
      </w:r>
      <w:r>
        <w:rPr>
          <w:b/>
          <w:bCs/>
        </w:rPr>
        <w:t xml:space="preserve"> 污染物运移情况</w:t>
      </w:r>
    </w:p>
    <w:tbl>
      <w:tblPr>
        <w:tblStyle w:val="89"/>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418"/>
        <w:gridCol w:w="1276"/>
        <w:gridCol w:w="1135"/>
        <w:gridCol w:w="1133"/>
        <w:gridCol w:w="1984"/>
        <w:gridCol w:w="1363"/>
      </w:tblGrid>
      <w:tr w14:paraId="72618B9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14:paraId="51D66CE0">
            <w:pPr>
              <w:spacing w:before="0" w:beforeLines="0" w:line="240" w:lineRule="auto"/>
              <w:jc w:val="center"/>
              <w:rPr>
                <w:szCs w:val="21"/>
              </w:rPr>
            </w:pPr>
            <w:r>
              <w:rPr>
                <w:szCs w:val="21"/>
              </w:rPr>
              <w:t>运移时间</w:t>
            </w:r>
          </w:p>
        </w:tc>
        <w:tc>
          <w:tcPr>
            <w:tcW w:w="768" w:type="pct"/>
            <w:vAlign w:val="center"/>
          </w:tcPr>
          <w:p w14:paraId="2A1B9B9A">
            <w:pPr>
              <w:spacing w:before="0" w:beforeLines="0" w:line="240" w:lineRule="auto"/>
              <w:jc w:val="center"/>
              <w:rPr>
                <w:szCs w:val="21"/>
              </w:rPr>
            </w:pPr>
            <w:r>
              <w:rPr>
                <w:szCs w:val="21"/>
              </w:rPr>
              <w:t>污染羽中心浓度</w:t>
            </w:r>
          </w:p>
        </w:tc>
        <w:tc>
          <w:tcPr>
            <w:tcW w:w="683" w:type="pct"/>
            <w:vAlign w:val="center"/>
          </w:tcPr>
          <w:p w14:paraId="002D2EB4">
            <w:pPr>
              <w:spacing w:before="0" w:beforeLines="0" w:line="240" w:lineRule="auto"/>
              <w:jc w:val="center"/>
              <w:rPr>
                <w:szCs w:val="21"/>
              </w:rPr>
            </w:pPr>
            <w:r>
              <w:rPr>
                <w:szCs w:val="21"/>
              </w:rPr>
              <w:t>污染中心位置</w:t>
            </w:r>
          </w:p>
        </w:tc>
        <w:tc>
          <w:tcPr>
            <w:tcW w:w="682" w:type="pct"/>
            <w:vAlign w:val="center"/>
          </w:tcPr>
          <w:p w14:paraId="60655501">
            <w:pPr>
              <w:spacing w:before="0" w:beforeLines="0" w:line="240" w:lineRule="auto"/>
              <w:jc w:val="center"/>
              <w:rPr>
                <w:szCs w:val="21"/>
              </w:rPr>
            </w:pPr>
            <w:r>
              <w:rPr>
                <w:szCs w:val="21"/>
              </w:rPr>
              <w:t>是否到达</w:t>
            </w:r>
            <w:r>
              <w:rPr>
                <w:rFonts w:hint="eastAsia"/>
                <w:szCs w:val="21"/>
              </w:rPr>
              <w:t>保护目标</w:t>
            </w:r>
          </w:p>
        </w:tc>
        <w:tc>
          <w:tcPr>
            <w:tcW w:w="1194" w:type="pct"/>
            <w:vAlign w:val="center"/>
          </w:tcPr>
          <w:p w14:paraId="2A7AE840">
            <w:pPr>
              <w:spacing w:before="0" w:beforeLines="0" w:line="240" w:lineRule="auto"/>
              <w:jc w:val="center"/>
              <w:rPr>
                <w:szCs w:val="21"/>
              </w:rPr>
            </w:pPr>
            <w:r>
              <w:rPr>
                <w:szCs w:val="21"/>
              </w:rPr>
              <w:t>污染羽与</w:t>
            </w:r>
            <w:r>
              <w:rPr>
                <w:rFonts w:hint="eastAsia"/>
                <w:szCs w:val="21"/>
              </w:rPr>
              <w:t>下游最近保护目标</w:t>
            </w:r>
            <w:r>
              <w:rPr>
                <w:szCs w:val="21"/>
              </w:rPr>
              <w:t>的距离</w:t>
            </w:r>
          </w:p>
        </w:tc>
        <w:tc>
          <w:tcPr>
            <w:tcW w:w="820" w:type="pct"/>
            <w:vAlign w:val="center"/>
          </w:tcPr>
          <w:p w14:paraId="482C9BCB">
            <w:pPr>
              <w:spacing w:before="0" w:beforeLines="0" w:line="240" w:lineRule="auto"/>
              <w:jc w:val="center"/>
              <w:rPr>
                <w:szCs w:val="21"/>
              </w:rPr>
            </w:pPr>
            <w:r>
              <w:rPr>
                <w:rFonts w:hint="eastAsia"/>
                <w:szCs w:val="21"/>
              </w:rPr>
              <w:t>污染羽中心运移距离</w:t>
            </w:r>
          </w:p>
        </w:tc>
      </w:tr>
      <w:tr w14:paraId="0B3F1EC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14:paraId="23351FAF">
            <w:pPr>
              <w:spacing w:before="0" w:beforeLines="0" w:line="240" w:lineRule="auto"/>
              <w:jc w:val="center"/>
              <w:rPr>
                <w:szCs w:val="21"/>
              </w:rPr>
            </w:pPr>
            <w:r>
              <w:rPr>
                <w:rFonts w:hint="eastAsia"/>
                <w:szCs w:val="21"/>
              </w:rPr>
              <w:t>10天</w:t>
            </w:r>
          </w:p>
        </w:tc>
        <w:tc>
          <w:tcPr>
            <w:tcW w:w="768" w:type="pct"/>
            <w:vAlign w:val="center"/>
          </w:tcPr>
          <w:p w14:paraId="480D51EB">
            <w:pPr>
              <w:spacing w:before="0" w:beforeLines="0" w:line="240" w:lineRule="auto"/>
              <w:jc w:val="center"/>
              <w:rPr>
                <w:szCs w:val="21"/>
              </w:rPr>
            </w:pPr>
            <w:r>
              <w:rPr>
                <w:rFonts w:hint="eastAsia"/>
                <w:szCs w:val="21"/>
              </w:rPr>
              <w:t>0.003mg/L</w:t>
            </w:r>
          </w:p>
        </w:tc>
        <w:tc>
          <w:tcPr>
            <w:tcW w:w="683" w:type="pct"/>
            <w:vAlign w:val="center"/>
          </w:tcPr>
          <w:p w14:paraId="420C79F0">
            <w:pPr>
              <w:spacing w:before="0" w:beforeLines="0" w:line="240" w:lineRule="auto"/>
              <w:jc w:val="center"/>
              <w:rPr>
                <w:szCs w:val="21"/>
              </w:rPr>
            </w:pPr>
            <w:r>
              <w:rPr>
                <w:rFonts w:hint="eastAsia"/>
                <w:szCs w:val="21"/>
              </w:rPr>
              <w:t>浓缩罐区</w:t>
            </w:r>
          </w:p>
        </w:tc>
        <w:tc>
          <w:tcPr>
            <w:tcW w:w="682" w:type="pct"/>
            <w:vAlign w:val="center"/>
          </w:tcPr>
          <w:p w14:paraId="73AED6A8">
            <w:pPr>
              <w:spacing w:before="0" w:beforeLines="0" w:line="240" w:lineRule="auto"/>
              <w:jc w:val="center"/>
              <w:rPr>
                <w:szCs w:val="21"/>
              </w:rPr>
            </w:pPr>
            <w:r>
              <w:rPr>
                <w:rFonts w:hint="eastAsia"/>
                <w:szCs w:val="21"/>
              </w:rPr>
              <w:t>否</w:t>
            </w:r>
          </w:p>
        </w:tc>
        <w:tc>
          <w:tcPr>
            <w:tcW w:w="1194" w:type="pct"/>
            <w:vAlign w:val="center"/>
          </w:tcPr>
          <w:p w14:paraId="156DEF82">
            <w:pPr>
              <w:spacing w:before="0" w:beforeLines="0" w:line="240" w:lineRule="auto"/>
              <w:jc w:val="center"/>
              <w:rPr>
                <w:szCs w:val="21"/>
              </w:rPr>
            </w:pPr>
            <w:r>
              <w:rPr>
                <w:rFonts w:hint="eastAsia"/>
                <w:szCs w:val="21"/>
              </w:rPr>
              <w:t>1570m</w:t>
            </w:r>
          </w:p>
        </w:tc>
        <w:tc>
          <w:tcPr>
            <w:tcW w:w="820" w:type="pct"/>
            <w:vAlign w:val="center"/>
          </w:tcPr>
          <w:p w14:paraId="358A0719">
            <w:pPr>
              <w:spacing w:before="0" w:beforeLines="0" w:line="240" w:lineRule="auto"/>
              <w:jc w:val="center"/>
              <w:rPr>
                <w:szCs w:val="21"/>
              </w:rPr>
            </w:pPr>
            <w:r>
              <w:rPr>
                <w:rFonts w:hint="eastAsia"/>
                <w:szCs w:val="21"/>
              </w:rPr>
              <w:t>0m</w:t>
            </w:r>
          </w:p>
        </w:tc>
      </w:tr>
      <w:tr w14:paraId="4C46B3E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14:paraId="0F8B8F55">
            <w:pPr>
              <w:spacing w:before="0" w:beforeLines="0" w:line="240" w:lineRule="auto"/>
              <w:jc w:val="center"/>
              <w:rPr>
                <w:szCs w:val="21"/>
              </w:rPr>
            </w:pPr>
            <w:r>
              <w:rPr>
                <w:rFonts w:hint="eastAsia"/>
                <w:szCs w:val="21"/>
              </w:rPr>
              <w:t>30天</w:t>
            </w:r>
          </w:p>
        </w:tc>
        <w:tc>
          <w:tcPr>
            <w:tcW w:w="768" w:type="pct"/>
            <w:vAlign w:val="center"/>
          </w:tcPr>
          <w:p w14:paraId="780672B6">
            <w:pPr>
              <w:spacing w:before="0" w:beforeLines="0" w:line="240" w:lineRule="auto"/>
              <w:jc w:val="center"/>
              <w:rPr>
                <w:szCs w:val="21"/>
              </w:rPr>
            </w:pPr>
            <w:r>
              <w:rPr>
                <w:rFonts w:hint="eastAsia"/>
                <w:szCs w:val="21"/>
              </w:rPr>
              <w:t>0.0034mg/L</w:t>
            </w:r>
          </w:p>
        </w:tc>
        <w:tc>
          <w:tcPr>
            <w:tcW w:w="683" w:type="pct"/>
            <w:vAlign w:val="center"/>
          </w:tcPr>
          <w:p w14:paraId="2A6BB138">
            <w:pPr>
              <w:spacing w:before="0" w:beforeLines="0" w:line="240" w:lineRule="auto"/>
              <w:jc w:val="center"/>
              <w:rPr>
                <w:szCs w:val="21"/>
              </w:rPr>
            </w:pPr>
            <w:r>
              <w:rPr>
                <w:rFonts w:hint="eastAsia"/>
                <w:szCs w:val="21"/>
              </w:rPr>
              <w:t>浓缩罐区</w:t>
            </w:r>
          </w:p>
        </w:tc>
        <w:tc>
          <w:tcPr>
            <w:tcW w:w="682" w:type="pct"/>
            <w:vAlign w:val="center"/>
          </w:tcPr>
          <w:p w14:paraId="007A89FD">
            <w:pPr>
              <w:spacing w:before="0" w:beforeLines="0" w:line="240" w:lineRule="auto"/>
              <w:jc w:val="center"/>
              <w:rPr>
                <w:szCs w:val="21"/>
              </w:rPr>
            </w:pPr>
            <w:r>
              <w:rPr>
                <w:rFonts w:hint="eastAsia"/>
                <w:szCs w:val="21"/>
              </w:rPr>
              <w:t>否</w:t>
            </w:r>
          </w:p>
        </w:tc>
        <w:tc>
          <w:tcPr>
            <w:tcW w:w="1194" w:type="pct"/>
            <w:vAlign w:val="center"/>
          </w:tcPr>
          <w:p w14:paraId="780C5DD0">
            <w:pPr>
              <w:spacing w:before="0" w:beforeLines="0" w:line="240" w:lineRule="auto"/>
              <w:jc w:val="center"/>
              <w:rPr>
                <w:szCs w:val="21"/>
              </w:rPr>
            </w:pPr>
            <w:r>
              <w:rPr>
                <w:rFonts w:hint="eastAsia"/>
                <w:szCs w:val="21"/>
              </w:rPr>
              <w:t>1536m</w:t>
            </w:r>
          </w:p>
        </w:tc>
        <w:tc>
          <w:tcPr>
            <w:tcW w:w="820" w:type="pct"/>
            <w:vAlign w:val="center"/>
          </w:tcPr>
          <w:p w14:paraId="0D77E988">
            <w:pPr>
              <w:spacing w:before="0" w:beforeLines="0" w:line="240" w:lineRule="auto"/>
              <w:jc w:val="center"/>
              <w:rPr>
                <w:szCs w:val="21"/>
              </w:rPr>
            </w:pPr>
            <w:r>
              <w:rPr>
                <w:rFonts w:hint="eastAsia"/>
                <w:szCs w:val="21"/>
              </w:rPr>
              <w:t>0m</w:t>
            </w:r>
          </w:p>
        </w:tc>
      </w:tr>
      <w:tr w14:paraId="1D34211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14:paraId="4F6FEF1E">
            <w:pPr>
              <w:spacing w:before="0" w:beforeLines="0" w:line="240" w:lineRule="auto"/>
              <w:jc w:val="center"/>
              <w:rPr>
                <w:szCs w:val="21"/>
              </w:rPr>
            </w:pPr>
            <w:r>
              <w:rPr>
                <w:rFonts w:hint="eastAsia"/>
                <w:szCs w:val="21"/>
              </w:rPr>
              <w:t>38天</w:t>
            </w:r>
          </w:p>
        </w:tc>
        <w:tc>
          <w:tcPr>
            <w:tcW w:w="768" w:type="pct"/>
            <w:vAlign w:val="center"/>
          </w:tcPr>
          <w:p w14:paraId="14354212">
            <w:pPr>
              <w:spacing w:before="0" w:beforeLines="0" w:line="240" w:lineRule="auto"/>
              <w:jc w:val="center"/>
              <w:rPr>
                <w:szCs w:val="21"/>
              </w:rPr>
            </w:pPr>
            <w:r>
              <w:rPr>
                <w:rFonts w:hint="eastAsia"/>
                <w:szCs w:val="21"/>
              </w:rPr>
              <w:t>0.003mg/L</w:t>
            </w:r>
          </w:p>
        </w:tc>
        <w:tc>
          <w:tcPr>
            <w:tcW w:w="683" w:type="pct"/>
            <w:vAlign w:val="center"/>
          </w:tcPr>
          <w:p w14:paraId="5A345CCB">
            <w:pPr>
              <w:spacing w:before="0" w:beforeLines="0" w:line="240" w:lineRule="auto"/>
              <w:jc w:val="center"/>
              <w:rPr>
                <w:szCs w:val="21"/>
              </w:rPr>
            </w:pPr>
            <w:r>
              <w:rPr>
                <w:rFonts w:hint="eastAsia"/>
                <w:szCs w:val="21"/>
              </w:rPr>
              <w:t>厂区内</w:t>
            </w:r>
          </w:p>
        </w:tc>
        <w:tc>
          <w:tcPr>
            <w:tcW w:w="682" w:type="pct"/>
            <w:vAlign w:val="center"/>
          </w:tcPr>
          <w:p w14:paraId="25D8B0B0">
            <w:pPr>
              <w:spacing w:before="0" w:beforeLines="0" w:line="240" w:lineRule="auto"/>
              <w:jc w:val="center"/>
              <w:rPr>
                <w:szCs w:val="21"/>
              </w:rPr>
            </w:pPr>
            <w:r>
              <w:rPr>
                <w:rFonts w:hint="eastAsia"/>
                <w:szCs w:val="21"/>
              </w:rPr>
              <w:t>否</w:t>
            </w:r>
          </w:p>
        </w:tc>
        <w:tc>
          <w:tcPr>
            <w:tcW w:w="1194" w:type="pct"/>
            <w:vAlign w:val="center"/>
          </w:tcPr>
          <w:p w14:paraId="04FF1AB8">
            <w:pPr>
              <w:spacing w:before="0" w:beforeLines="0" w:line="240" w:lineRule="auto"/>
              <w:jc w:val="center"/>
              <w:rPr>
                <w:szCs w:val="21"/>
              </w:rPr>
            </w:pPr>
            <w:r>
              <w:rPr>
                <w:rFonts w:hint="eastAsia"/>
                <w:szCs w:val="21"/>
              </w:rPr>
              <w:t>1535m</w:t>
            </w:r>
          </w:p>
        </w:tc>
        <w:tc>
          <w:tcPr>
            <w:tcW w:w="820" w:type="pct"/>
            <w:vAlign w:val="center"/>
          </w:tcPr>
          <w:p w14:paraId="49B0C2F6">
            <w:pPr>
              <w:spacing w:before="0" w:beforeLines="0" w:line="240" w:lineRule="auto"/>
              <w:jc w:val="center"/>
              <w:rPr>
                <w:szCs w:val="21"/>
              </w:rPr>
            </w:pPr>
            <w:r>
              <w:rPr>
                <w:rFonts w:hint="eastAsia"/>
                <w:szCs w:val="21"/>
              </w:rPr>
              <w:t>28m</w:t>
            </w:r>
          </w:p>
        </w:tc>
      </w:tr>
      <w:tr w14:paraId="6691C01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14:paraId="73E68BBA">
            <w:pPr>
              <w:spacing w:before="0" w:beforeLines="0" w:line="240" w:lineRule="auto"/>
              <w:jc w:val="center"/>
              <w:rPr>
                <w:szCs w:val="21"/>
              </w:rPr>
            </w:pPr>
            <w:r>
              <w:rPr>
                <w:rFonts w:hint="eastAsia"/>
                <w:szCs w:val="21"/>
              </w:rPr>
              <w:t>42天</w:t>
            </w:r>
          </w:p>
        </w:tc>
        <w:tc>
          <w:tcPr>
            <w:tcW w:w="768" w:type="pct"/>
            <w:vAlign w:val="center"/>
          </w:tcPr>
          <w:p w14:paraId="6E8B61FE">
            <w:pPr>
              <w:spacing w:before="0" w:beforeLines="0" w:line="240" w:lineRule="auto"/>
              <w:jc w:val="center"/>
              <w:rPr>
                <w:szCs w:val="21"/>
              </w:rPr>
            </w:pPr>
            <w:r>
              <w:rPr>
                <w:rFonts w:hint="eastAsia"/>
                <w:szCs w:val="21"/>
              </w:rPr>
              <w:t>0.003mg/L</w:t>
            </w:r>
          </w:p>
        </w:tc>
        <w:tc>
          <w:tcPr>
            <w:tcW w:w="683" w:type="pct"/>
            <w:vAlign w:val="center"/>
          </w:tcPr>
          <w:p w14:paraId="743B3E30">
            <w:pPr>
              <w:spacing w:before="0" w:beforeLines="0" w:line="240" w:lineRule="auto"/>
              <w:jc w:val="center"/>
              <w:rPr>
                <w:szCs w:val="21"/>
              </w:rPr>
            </w:pPr>
            <w:r>
              <w:rPr>
                <w:rFonts w:hint="eastAsia"/>
                <w:szCs w:val="21"/>
              </w:rPr>
              <w:t>厂区内</w:t>
            </w:r>
          </w:p>
        </w:tc>
        <w:tc>
          <w:tcPr>
            <w:tcW w:w="682" w:type="pct"/>
            <w:vAlign w:val="center"/>
          </w:tcPr>
          <w:p w14:paraId="1FCDAD74">
            <w:pPr>
              <w:spacing w:before="0" w:beforeLines="0" w:line="240" w:lineRule="auto"/>
              <w:jc w:val="center"/>
              <w:rPr>
                <w:szCs w:val="21"/>
              </w:rPr>
            </w:pPr>
            <w:r>
              <w:rPr>
                <w:rFonts w:hint="eastAsia"/>
                <w:szCs w:val="21"/>
              </w:rPr>
              <w:t>否</w:t>
            </w:r>
          </w:p>
        </w:tc>
        <w:tc>
          <w:tcPr>
            <w:tcW w:w="1194" w:type="pct"/>
            <w:vAlign w:val="center"/>
          </w:tcPr>
          <w:p w14:paraId="3083F1EA">
            <w:pPr>
              <w:spacing w:before="0" w:beforeLines="0" w:line="240" w:lineRule="auto"/>
              <w:jc w:val="center"/>
              <w:rPr>
                <w:szCs w:val="21"/>
              </w:rPr>
            </w:pPr>
            <w:r>
              <w:rPr>
                <w:rFonts w:hint="eastAsia"/>
                <w:szCs w:val="21"/>
              </w:rPr>
              <w:t>1538m</w:t>
            </w:r>
          </w:p>
        </w:tc>
        <w:tc>
          <w:tcPr>
            <w:tcW w:w="820" w:type="pct"/>
            <w:vAlign w:val="center"/>
          </w:tcPr>
          <w:p w14:paraId="50E46F61">
            <w:pPr>
              <w:spacing w:before="0" w:beforeLines="0" w:line="240" w:lineRule="auto"/>
              <w:jc w:val="center"/>
              <w:rPr>
                <w:szCs w:val="21"/>
              </w:rPr>
            </w:pPr>
            <w:r>
              <w:rPr>
                <w:rFonts w:hint="eastAsia"/>
                <w:szCs w:val="21"/>
              </w:rPr>
              <w:t>31m</w:t>
            </w:r>
          </w:p>
        </w:tc>
      </w:tr>
      <w:tr w14:paraId="3BE4BBC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14:paraId="00841D9D">
            <w:pPr>
              <w:spacing w:before="0" w:beforeLines="0" w:line="240" w:lineRule="auto"/>
              <w:jc w:val="center"/>
              <w:rPr>
                <w:szCs w:val="21"/>
              </w:rPr>
            </w:pPr>
            <w:r>
              <w:rPr>
                <w:rFonts w:hint="eastAsia"/>
                <w:szCs w:val="21"/>
              </w:rPr>
              <w:t>46天</w:t>
            </w:r>
          </w:p>
        </w:tc>
        <w:tc>
          <w:tcPr>
            <w:tcW w:w="768" w:type="pct"/>
            <w:vAlign w:val="center"/>
          </w:tcPr>
          <w:p w14:paraId="6770B3EC">
            <w:pPr>
              <w:spacing w:before="0" w:beforeLines="0" w:line="240" w:lineRule="auto"/>
              <w:jc w:val="center"/>
              <w:rPr>
                <w:szCs w:val="21"/>
              </w:rPr>
            </w:pPr>
            <w:r>
              <w:rPr>
                <w:rFonts w:hint="eastAsia"/>
                <w:szCs w:val="21"/>
              </w:rPr>
              <w:t>0.0025mg/L</w:t>
            </w:r>
          </w:p>
        </w:tc>
        <w:tc>
          <w:tcPr>
            <w:tcW w:w="683" w:type="pct"/>
            <w:vAlign w:val="center"/>
          </w:tcPr>
          <w:p w14:paraId="69B36529">
            <w:pPr>
              <w:spacing w:before="0" w:beforeLines="0" w:line="240" w:lineRule="auto"/>
              <w:jc w:val="center"/>
              <w:rPr>
                <w:szCs w:val="21"/>
              </w:rPr>
            </w:pPr>
            <w:r>
              <w:rPr>
                <w:rFonts w:hint="eastAsia"/>
                <w:szCs w:val="21"/>
              </w:rPr>
              <w:t>厂区内</w:t>
            </w:r>
          </w:p>
        </w:tc>
        <w:tc>
          <w:tcPr>
            <w:tcW w:w="682" w:type="pct"/>
            <w:vAlign w:val="center"/>
          </w:tcPr>
          <w:p w14:paraId="223CC7F0">
            <w:pPr>
              <w:spacing w:before="0" w:beforeLines="0" w:line="240" w:lineRule="auto"/>
              <w:jc w:val="center"/>
              <w:rPr>
                <w:szCs w:val="21"/>
              </w:rPr>
            </w:pPr>
            <w:r>
              <w:rPr>
                <w:rFonts w:hint="eastAsia"/>
                <w:szCs w:val="21"/>
              </w:rPr>
              <w:t>否</w:t>
            </w:r>
          </w:p>
        </w:tc>
        <w:tc>
          <w:tcPr>
            <w:tcW w:w="1194" w:type="pct"/>
            <w:vAlign w:val="center"/>
          </w:tcPr>
          <w:p w14:paraId="10CF0733">
            <w:pPr>
              <w:spacing w:before="0" w:beforeLines="0" w:line="240" w:lineRule="auto"/>
              <w:jc w:val="center"/>
              <w:rPr>
                <w:szCs w:val="21"/>
              </w:rPr>
            </w:pPr>
            <w:r>
              <w:rPr>
                <w:rFonts w:hint="eastAsia"/>
                <w:szCs w:val="21"/>
              </w:rPr>
              <w:t>1549m</w:t>
            </w:r>
          </w:p>
        </w:tc>
        <w:tc>
          <w:tcPr>
            <w:tcW w:w="820" w:type="pct"/>
            <w:vAlign w:val="center"/>
          </w:tcPr>
          <w:p w14:paraId="7153EE2A">
            <w:pPr>
              <w:spacing w:before="0" w:beforeLines="0" w:line="240" w:lineRule="auto"/>
              <w:jc w:val="center"/>
              <w:rPr>
                <w:szCs w:val="21"/>
              </w:rPr>
            </w:pPr>
            <w:r>
              <w:rPr>
                <w:rFonts w:hint="eastAsia"/>
                <w:szCs w:val="21"/>
              </w:rPr>
              <w:t>36m</w:t>
            </w:r>
          </w:p>
        </w:tc>
      </w:tr>
      <w:tr w14:paraId="2ED4E01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14:paraId="51042771">
            <w:pPr>
              <w:spacing w:before="0" w:beforeLines="0" w:line="240" w:lineRule="auto"/>
              <w:jc w:val="center"/>
              <w:rPr>
                <w:szCs w:val="21"/>
              </w:rPr>
            </w:pPr>
            <w:r>
              <w:rPr>
                <w:rFonts w:hint="eastAsia"/>
                <w:szCs w:val="21"/>
              </w:rPr>
              <w:t>48</w:t>
            </w:r>
            <w:r>
              <w:rPr>
                <w:szCs w:val="21"/>
              </w:rPr>
              <w:t>天</w:t>
            </w:r>
          </w:p>
        </w:tc>
        <w:tc>
          <w:tcPr>
            <w:tcW w:w="768" w:type="pct"/>
            <w:vAlign w:val="center"/>
          </w:tcPr>
          <w:p w14:paraId="276A00B4">
            <w:pPr>
              <w:spacing w:before="0" w:beforeLines="0" w:line="240" w:lineRule="auto"/>
              <w:jc w:val="center"/>
              <w:rPr>
                <w:szCs w:val="21"/>
              </w:rPr>
            </w:pPr>
            <w:r>
              <w:rPr>
                <w:szCs w:val="21"/>
              </w:rPr>
              <w:t>—</w:t>
            </w:r>
          </w:p>
        </w:tc>
        <w:tc>
          <w:tcPr>
            <w:tcW w:w="683" w:type="pct"/>
            <w:vAlign w:val="center"/>
          </w:tcPr>
          <w:p w14:paraId="28A9CD63">
            <w:pPr>
              <w:spacing w:before="0" w:beforeLines="0" w:line="240" w:lineRule="auto"/>
              <w:jc w:val="center"/>
              <w:rPr>
                <w:szCs w:val="21"/>
              </w:rPr>
            </w:pPr>
            <w:r>
              <w:rPr>
                <w:szCs w:val="21"/>
              </w:rPr>
              <w:t>—</w:t>
            </w:r>
          </w:p>
        </w:tc>
        <w:tc>
          <w:tcPr>
            <w:tcW w:w="682" w:type="pct"/>
            <w:vAlign w:val="center"/>
          </w:tcPr>
          <w:p w14:paraId="15391A32">
            <w:pPr>
              <w:spacing w:before="0" w:beforeLines="0" w:line="240" w:lineRule="auto"/>
              <w:jc w:val="center"/>
              <w:rPr>
                <w:szCs w:val="21"/>
              </w:rPr>
            </w:pPr>
            <w:r>
              <w:rPr>
                <w:szCs w:val="21"/>
              </w:rPr>
              <w:t>—</w:t>
            </w:r>
          </w:p>
        </w:tc>
        <w:tc>
          <w:tcPr>
            <w:tcW w:w="1194" w:type="pct"/>
            <w:vAlign w:val="center"/>
          </w:tcPr>
          <w:p w14:paraId="4AAEB1BA">
            <w:pPr>
              <w:spacing w:before="0" w:beforeLines="0" w:line="240" w:lineRule="auto"/>
              <w:jc w:val="center"/>
              <w:rPr>
                <w:szCs w:val="21"/>
              </w:rPr>
            </w:pPr>
            <w:r>
              <w:rPr>
                <w:szCs w:val="21"/>
              </w:rPr>
              <w:t>—</w:t>
            </w:r>
          </w:p>
        </w:tc>
        <w:tc>
          <w:tcPr>
            <w:tcW w:w="820" w:type="pct"/>
            <w:vAlign w:val="center"/>
          </w:tcPr>
          <w:p w14:paraId="2AE503F0">
            <w:pPr>
              <w:spacing w:before="0" w:beforeLines="0" w:line="240" w:lineRule="auto"/>
              <w:jc w:val="center"/>
              <w:rPr>
                <w:szCs w:val="21"/>
              </w:rPr>
            </w:pPr>
            <w:r>
              <w:rPr>
                <w:szCs w:val="21"/>
              </w:rPr>
              <w:t>—</w:t>
            </w:r>
          </w:p>
        </w:tc>
      </w:tr>
      <w:tr w14:paraId="7303C52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14:paraId="37A573ED">
            <w:pPr>
              <w:spacing w:before="0" w:beforeLines="0" w:line="240" w:lineRule="auto"/>
              <w:jc w:val="center"/>
              <w:rPr>
                <w:szCs w:val="21"/>
              </w:rPr>
            </w:pPr>
            <w:r>
              <w:rPr>
                <w:rFonts w:hint="eastAsia"/>
                <w:szCs w:val="21"/>
              </w:rPr>
              <w:t>100</w:t>
            </w:r>
            <w:r>
              <w:rPr>
                <w:szCs w:val="21"/>
              </w:rPr>
              <w:t>天</w:t>
            </w:r>
          </w:p>
        </w:tc>
        <w:tc>
          <w:tcPr>
            <w:tcW w:w="768" w:type="pct"/>
            <w:vAlign w:val="center"/>
          </w:tcPr>
          <w:p w14:paraId="615D0CF5">
            <w:pPr>
              <w:spacing w:before="0" w:beforeLines="0" w:line="240" w:lineRule="auto"/>
              <w:jc w:val="center"/>
              <w:rPr>
                <w:szCs w:val="21"/>
              </w:rPr>
            </w:pPr>
            <w:r>
              <w:rPr>
                <w:szCs w:val="21"/>
              </w:rPr>
              <w:t>—</w:t>
            </w:r>
          </w:p>
        </w:tc>
        <w:tc>
          <w:tcPr>
            <w:tcW w:w="683" w:type="pct"/>
            <w:vAlign w:val="center"/>
          </w:tcPr>
          <w:p w14:paraId="49C7063E">
            <w:pPr>
              <w:spacing w:before="0" w:beforeLines="0" w:line="240" w:lineRule="auto"/>
              <w:jc w:val="center"/>
              <w:rPr>
                <w:szCs w:val="21"/>
              </w:rPr>
            </w:pPr>
            <w:r>
              <w:rPr>
                <w:szCs w:val="21"/>
              </w:rPr>
              <w:t>—</w:t>
            </w:r>
          </w:p>
        </w:tc>
        <w:tc>
          <w:tcPr>
            <w:tcW w:w="682" w:type="pct"/>
            <w:vAlign w:val="center"/>
          </w:tcPr>
          <w:p w14:paraId="7347604C">
            <w:pPr>
              <w:spacing w:before="0" w:beforeLines="0" w:line="240" w:lineRule="auto"/>
              <w:jc w:val="center"/>
              <w:rPr>
                <w:szCs w:val="21"/>
              </w:rPr>
            </w:pPr>
            <w:r>
              <w:rPr>
                <w:szCs w:val="21"/>
              </w:rPr>
              <w:t>—</w:t>
            </w:r>
          </w:p>
        </w:tc>
        <w:tc>
          <w:tcPr>
            <w:tcW w:w="1194" w:type="pct"/>
            <w:vAlign w:val="center"/>
          </w:tcPr>
          <w:p w14:paraId="14463368">
            <w:pPr>
              <w:spacing w:before="0" w:beforeLines="0" w:line="240" w:lineRule="auto"/>
              <w:jc w:val="center"/>
              <w:rPr>
                <w:szCs w:val="21"/>
              </w:rPr>
            </w:pPr>
            <w:r>
              <w:rPr>
                <w:szCs w:val="21"/>
              </w:rPr>
              <w:t>—</w:t>
            </w:r>
          </w:p>
        </w:tc>
        <w:tc>
          <w:tcPr>
            <w:tcW w:w="820" w:type="pct"/>
            <w:vAlign w:val="center"/>
          </w:tcPr>
          <w:p w14:paraId="642ED08E">
            <w:pPr>
              <w:spacing w:before="0" w:beforeLines="0" w:line="240" w:lineRule="auto"/>
              <w:jc w:val="center"/>
              <w:rPr>
                <w:szCs w:val="21"/>
              </w:rPr>
            </w:pPr>
            <w:r>
              <w:rPr>
                <w:szCs w:val="21"/>
              </w:rPr>
              <w:t>—</w:t>
            </w:r>
          </w:p>
        </w:tc>
      </w:tr>
      <w:tr w14:paraId="04A01F6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14:paraId="72AE7241">
            <w:pPr>
              <w:spacing w:before="0" w:beforeLines="0" w:line="240" w:lineRule="auto"/>
              <w:jc w:val="center"/>
              <w:rPr>
                <w:szCs w:val="21"/>
              </w:rPr>
            </w:pPr>
            <w:r>
              <w:rPr>
                <w:rFonts w:hint="eastAsia"/>
                <w:szCs w:val="21"/>
              </w:rPr>
              <w:t>365</w:t>
            </w:r>
            <w:r>
              <w:rPr>
                <w:szCs w:val="21"/>
              </w:rPr>
              <w:t>天</w:t>
            </w:r>
          </w:p>
        </w:tc>
        <w:tc>
          <w:tcPr>
            <w:tcW w:w="768" w:type="pct"/>
            <w:vAlign w:val="center"/>
          </w:tcPr>
          <w:p w14:paraId="29621DC7">
            <w:pPr>
              <w:spacing w:before="0" w:beforeLines="0" w:line="240" w:lineRule="auto"/>
              <w:jc w:val="center"/>
              <w:rPr>
                <w:szCs w:val="21"/>
              </w:rPr>
            </w:pPr>
            <w:r>
              <w:rPr>
                <w:szCs w:val="21"/>
              </w:rPr>
              <w:t>—</w:t>
            </w:r>
          </w:p>
        </w:tc>
        <w:tc>
          <w:tcPr>
            <w:tcW w:w="683" w:type="pct"/>
            <w:vAlign w:val="center"/>
          </w:tcPr>
          <w:p w14:paraId="341D2001">
            <w:pPr>
              <w:spacing w:before="0" w:beforeLines="0" w:line="240" w:lineRule="auto"/>
              <w:jc w:val="center"/>
              <w:rPr>
                <w:szCs w:val="21"/>
              </w:rPr>
            </w:pPr>
            <w:r>
              <w:rPr>
                <w:szCs w:val="21"/>
              </w:rPr>
              <w:t>—</w:t>
            </w:r>
          </w:p>
        </w:tc>
        <w:tc>
          <w:tcPr>
            <w:tcW w:w="682" w:type="pct"/>
            <w:vAlign w:val="center"/>
          </w:tcPr>
          <w:p w14:paraId="5C618F7E">
            <w:pPr>
              <w:spacing w:before="0" w:beforeLines="0" w:line="240" w:lineRule="auto"/>
              <w:jc w:val="center"/>
              <w:rPr>
                <w:szCs w:val="21"/>
              </w:rPr>
            </w:pPr>
            <w:r>
              <w:rPr>
                <w:szCs w:val="21"/>
              </w:rPr>
              <w:t>—</w:t>
            </w:r>
          </w:p>
        </w:tc>
        <w:tc>
          <w:tcPr>
            <w:tcW w:w="1194" w:type="pct"/>
            <w:vAlign w:val="center"/>
          </w:tcPr>
          <w:p w14:paraId="25CAB967">
            <w:pPr>
              <w:spacing w:before="0" w:beforeLines="0" w:line="240" w:lineRule="auto"/>
              <w:jc w:val="center"/>
              <w:rPr>
                <w:szCs w:val="21"/>
              </w:rPr>
            </w:pPr>
            <w:r>
              <w:rPr>
                <w:szCs w:val="21"/>
              </w:rPr>
              <w:t>—</w:t>
            </w:r>
          </w:p>
        </w:tc>
        <w:tc>
          <w:tcPr>
            <w:tcW w:w="820" w:type="pct"/>
            <w:vAlign w:val="center"/>
          </w:tcPr>
          <w:p w14:paraId="6D377C15">
            <w:pPr>
              <w:spacing w:before="0" w:beforeLines="0" w:line="240" w:lineRule="auto"/>
              <w:jc w:val="center"/>
              <w:rPr>
                <w:szCs w:val="21"/>
              </w:rPr>
            </w:pPr>
            <w:r>
              <w:rPr>
                <w:szCs w:val="21"/>
              </w:rPr>
              <w:t>—</w:t>
            </w:r>
          </w:p>
        </w:tc>
      </w:tr>
      <w:tr w14:paraId="0BF993F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14:paraId="0DE169F1">
            <w:pPr>
              <w:spacing w:before="0" w:beforeLines="0" w:line="240" w:lineRule="auto"/>
              <w:jc w:val="center"/>
              <w:rPr>
                <w:szCs w:val="21"/>
              </w:rPr>
            </w:pPr>
            <w:r>
              <w:rPr>
                <w:rFonts w:hint="eastAsia"/>
                <w:szCs w:val="21"/>
              </w:rPr>
              <w:t>1000</w:t>
            </w:r>
            <w:r>
              <w:rPr>
                <w:szCs w:val="21"/>
              </w:rPr>
              <w:t>天</w:t>
            </w:r>
          </w:p>
        </w:tc>
        <w:tc>
          <w:tcPr>
            <w:tcW w:w="768" w:type="pct"/>
            <w:vAlign w:val="center"/>
          </w:tcPr>
          <w:p w14:paraId="1BAA0CE2">
            <w:pPr>
              <w:spacing w:before="0" w:beforeLines="0" w:line="240" w:lineRule="auto"/>
              <w:jc w:val="center"/>
              <w:rPr>
                <w:szCs w:val="21"/>
              </w:rPr>
            </w:pPr>
            <w:r>
              <w:rPr>
                <w:szCs w:val="21"/>
              </w:rPr>
              <w:t>—</w:t>
            </w:r>
          </w:p>
        </w:tc>
        <w:tc>
          <w:tcPr>
            <w:tcW w:w="683" w:type="pct"/>
            <w:vAlign w:val="center"/>
          </w:tcPr>
          <w:p w14:paraId="65BCF4C5">
            <w:pPr>
              <w:spacing w:before="0" w:beforeLines="0" w:line="240" w:lineRule="auto"/>
              <w:jc w:val="center"/>
              <w:rPr>
                <w:szCs w:val="21"/>
              </w:rPr>
            </w:pPr>
            <w:r>
              <w:rPr>
                <w:szCs w:val="21"/>
              </w:rPr>
              <w:t>—</w:t>
            </w:r>
          </w:p>
        </w:tc>
        <w:tc>
          <w:tcPr>
            <w:tcW w:w="682" w:type="pct"/>
            <w:vAlign w:val="center"/>
          </w:tcPr>
          <w:p w14:paraId="1D070C06">
            <w:pPr>
              <w:spacing w:before="0" w:beforeLines="0" w:line="240" w:lineRule="auto"/>
              <w:jc w:val="center"/>
              <w:rPr>
                <w:szCs w:val="21"/>
              </w:rPr>
            </w:pPr>
            <w:r>
              <w:rPr>
                <w:szCs w:val="21"/>
              </w:rPr>
              <w:t>—</w:t>
            </w:r>
          </w:p>
        </w:tc>
        <w:tc>
          <w:tcPr>
            <w:tcW w:w="1194" w:type="pct"/>
            <w:vAlign w:val="center"/>
          </w:tcPr>
          <w:p w14:paraId="32650F95">
            <w:pPr>
              <w:spacing w:before="0" w:beforeLines="0" w:line="240" w:lineRule="auto"/>
              <w:jc w:val="center"/>
              <w:rPr>
                <w:szCs w:val="21"/>
              </w:rPr>
            </w:pPr>
            <w:r>
              <w:rPr>
                <w:szCs w:val="21"/>
              </w:rPr>
              <w:t>—</w:t>
            </w:r>
          </w:p>
        </w:tc>
        <w:tc>
          <w:tcPr>
            <w:tcW w:w="820" w:type="pct"/>
            <w:vAlign w:val="center"/>
          </w:tcPr>
          <w:p w14:paraId="6A1392F4">
            <w:pPr>
              <w:spacing w:before="0" w:beforeLines="0" w:line="240" w:lineRule="auto"/>
              <w:jc w:val="center"/>
              <w:rPr>
                <w:szCs w:val="21"/>
              </w:rPr>
            </w:pPr>
            <w:r>
              <w:rPr>
                <w:szCs w:val="21"/>
              </w:rPr>
              <w:t>—</w:t>
            </w:r>
          </w:p>
        </w:tc>
      </w:tr>
      <w:tr w14:paraId="20D3EB4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14:paraId="00ADAE0B">
            <w:pPr>
              <w:spacing w:before="0" w:beforeLines="0" w:line="240" w:lineRule="auto"/>
              <w:jc w:val="center"/>
              <w:rPr>
                <w:szCs w:val="21"/>
              </w:rPr>
            </w:pPr>
            <w:r>
              <w:rPr>
                <w:rFonts w:hint="eastAsia"/>
                <w:szCs w:val="21"/>
              </w:rPr>
              <w:t>3650天</w:t>
            </w:r>
          </w:p>
        </w:tc>
        <w:tc>
          <w:tcPr>
            <w:tcW w:w="768" w:type="pct"/>
            <w:vAlign w:val="center"/>
          </w:tcPr>
          <w:p w14:paraId="21FA8A87">
            <w:pPr>
              <w:spacing w:before="0" w:beforeLines="0" w:line="240" w:lineRule="auto"/>
              <w:jc w:val="center"/>
              <w:rPr>
                <w:szCs w:val="21"/>
              </w:rPr>
            </w:pPr>
            <w:r>
              <w:rPr>
                <w:szCs w:val="21"/>
              </w:rPr>
              <w:t>—</w:t>
            </w:r>
          </w:p>
        </w:tc>
        <w:tc>
          <w:tcPr>
            <w:tcW w:w="683" w:type="pct"/>
            <w:vAlign w:val="center"/>
          </w:tcPr>
          <w:p w14:paraId="23A12F2B">
            <w:pPr>
              <w:spacing w:before="0" w:beforeLines="0" w:line="240" w:lineRule="auto"/>
              <w:jc w:val="center"/>
              <w:rPr>
                <w:szCs w:val="21"/>
              </w:rPr>
            </w:pPr>
            <w:r>
              <w:rPr>
                <w:szCs w:val="21"/>
              </w:rPr>
              <w:t>—</w:t>
            </w:r>
          </w:p>
        </w:tc>
        <w:tc>
          <w:tcPr>
            <w:tcW w:w="682" w:type="pct"/>
            <w:vAlign w:val="center"/>
          </w:tcPr>
          <w:p w14:paraId="799B4698">
            <w:pPr>
              <w:spacing w:before="0" w:beforeLines="0" w:line="240" w:lineRule="auto"/>
              <w:jc w:val="center"/>
              <w:rPr>
                <w:szCs w:val="21"/>
              </w:rPr>
            </w:pPr>
            <w:r>
              <w:rPr>
                <w:szCs w:val="21"/>
              </w:rPr>
              <w:t>—</w:t>
            </w:r>
          </w:p>
        </w:tc>
        <w:tc>
          <w:tcPr>
            <w:tcW w:w="1194" w:type="pct"/>
            <w:vAlign w:val="center"/>
          </w:tcPr>
          <w:p w14:paraId="54F01FBA">
            <w:pPr>
              <w:spacing w:before="0" w:beforeLines="0" w:line="240" w:lineRule="auto"/>
              <w:jc w:val="center"/>
              <w:rPr>
                <w:szCs w:val="21"/>
              </w:rPr>
            </w:pPr>
            <w:r>
              <w:rPr>
                <w:szCs w:val="21"/>
              </w:rPr>
              <w:t>—</w:t>
            </w:r>
          </w:p>
        </w:tc>
        <w:tc>
          <w:tcPr>
            <w:tcW w:w="820" w:type="pct"/>
            <w:vAlign w:val="center"/>
          </w:tcPr>
          <w:p w14:paraId="1AFE1763">
            <w:pPr>
              <w:spacing w:before="0" w:beforeLines="0" w:line="240" w:lineRule="auto"/>
              <w:jc w:val="center"/>
              <w:rPr>
                <w:szCs w:val="21"/>
              </w:rPr>
            </w:pPr>
            <w:r>
              <w:rPr>
                <w:szCs w:val="21"/>
              </w:rPr>
              <w:t>—</w:t>
            </w:r>
          </w:p>
        </w:tc>
      </w:tr>
      <w:tr w14:paraId="6EE341A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14:paraId="7CF528F3">
            <w:pPr>
              <w:spacing w:before="0" w:beforeLines="0" w:line="240" w:lineRule="auto"/>
              <w:jc w:val="center"/>
              <w:rPr>
                <w:szCs w:val="21"/>
              </w:rPr>
            </w:pPr>
            <w:r>
              <w:rPr>
                <w:rFonts w:hint="eastAsia"/>
                <w:szCs w:val="21"/>
              </w:rPr>
              <w:t>……</w:t>
            </w:r>
          </w:p>
        </w:tc>
        <w:tc>
          <w:tcPr>
            <w:tcW w:w="768" w:type="pct"/>
            <w:vAlign w:val="center"/>
          </w:tcPr>
          <w:p w14:paraId="6430FAA5">
            <w:pPr>
              <w:spacing w:before="0" w:beforeLines="0" w:line="240" w:lineRule="auto"/>
              <w:jc w:val="center"/>
              <w:rPr>
                <w:szCs w:val="21"/>
              </w:rPr>
            </w:pPr>
            <w:r>
              <w:rPr>
                <w:szCs w:val="21"/>
              </w:rPr>
              <w:t>—</w:t>
            </w:r>
          </w:p>
        </w:tc>
        <w:tc>
          <w:tcPr>
            <w:tcW w:w="683" w:type="pct"/>
            <w:vAlign w:val="center"/>
          </w:tcPr>
          <w:p w14:paraId="460C7C42">
            <w:pPr>
              <w:spacing w:before="0" w:beforeLines="0" w:line="240" w:lineRule="auto"/>
              <w:jc w:val="center"/>
              <w:rPr>
                <w:szCs w:val="21"/>
              </w:rPr>
            </w:pPr>
            <w:r>
              <w:rPr>
                <w:szCs w:val="21"/>
              </w:rPr>
              <w:t>—</w:t>
            </w:r>
          </w:p>
        </w:tc>
        <w:tc>
          <w:tcPr>
            <w:tcW w:w="682" w:type="pct"/>
            <w:vAlign w:val="center"/>
          </w:tcPr>
          <w:p w14:paraId="6807D487">
            <w:pPr>
              <w:spacing w:before="0" w:beforeLines="0" w:line="240" w:lineRule="auto"/>
              <w:jc w:val="center"/>
              <w:rPr>
                <w:szCs w:val="21"/>
              </w:rPr>
            </w:pPr>
            <w:r>
              <w:rPr>
                <w:szCs w:val="21"/>
              </w:rPr>
              <w:t>—</w:t>
            </w:r>
          </w:p>
        </w:tc>
        <w:tc>
          <w:tcPr>
            <w:tcW w:w="1194" w:type="pct"/>
            <w:vAlign w:val="center"/>
          </w:tcPr>
          <w:p w14:paraId="0F71361B">
            <w:pPr>
              <w:spacing w:before="0" w:beforeLines="0" w:line="240" w:lineRule="auto"/>
              <w:jc w:val="center"/>
              <w:rPr>
                <w:szCs w:val="21"/>
              </w:rPr>
            </w:pPr>
            <w:r>
              <w:rPr>
                <w:szCs w:val="21"/>
              </w:rPr>
              <w:t>—</w:t>
            </w:r>
          </w:p>
        </w:tc>
        <w:tc>
          <w:tcPr>
            <w:tcW w:w="820" w:type="pct"/>
            <w:vAlign w:val="center"/>
          </w:tcPr>
          <w:p w14:paraId="05357557">
            <w:pPr>
              <w:spacing w:before="0" w:beforeLines="0" w:line="240" w:lineRule="auto"/>
              <w:jc w:val="center"/>
              <w:rPr>
                <w:szCs w:val="21"/>
              </w:rPr>
            </w:pPr>
            <w:r>
              <w:rPr>
                <w:szCs w:val="21"/>
              </w:rPr>
              <w:t>—</w:t>
            </w:r>
          </w:p>
        </w:tc>
      </w:tr>
    </w:tbl>
    <w:p w14:paraId="1F5B7718">
      <w:pPr>
        <w:adjustRightInd w:val="0"/>
        <w:snapToGrid w:val="0"/>
        <w:spacing w:before="0" w:beforeLines="0" w:line="240" w:lineRule="auto"/>
        <w:jc w:val="center"/>
        <w:rPr>
          <w:b/>
          <w:bCs/>
        </w:rPr>
      </w:pPr>
      <w:r>
        <w:rPr>
          <w:rFonts w:hint="eastAsia"/>
          <w:b/>
          <w:bCs/>
        </w:rPr>
        <w:drawing>
          <wp:inline distT="0" distB="0" distL="114300" distR="114300">
            <wp:extent cx="5260975" cy="2886075"/>
            <wp:effectExtent l="0" t="0" r="9525" b="9525"/>
            <wp:docPr id="1230095306" name="图片 1230095306" descr="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095306" name="图片 1230095306" descr="c1"/>
                    <pic:cNvPicPr>
                      <a:picLocks noChangeAspect="1"/>
                    </pic:cNvPicPr>
                  </pic:nvPicPr>
                  <pic:blipFill>
                    <a:blip r:embed="rId133"/>
                    <a:stretch>
                      <a:fillRect/>
                    </a:stretch>
                  </pic:blipFill>
                  <pic:spPr>
                    <a:xfrm>
                      <a:off x="0" y="0"/>
                      <a:ext cx="5260975" cy="2886075"/>
                    </a:xfrm>
                    <a:prstGeom prst="rect">
                      <a:avLst/>
                    </a:prstGeom>
                  </pic:spPr>
                </pic:pic>
              </a:graphicData>
            </a:graphic>
          </wp:inline>
        </w:drawing>
      </w:r>
    </w:p>
    <w:p w14:paraId="12F4A744">
      <w:pPr>
        <w:adjustRightInd w:val="0"/>
        <w:snapToGrid w:val="0"/>
        <w:spacing w:before="0" w:beforeLines="0" w:line="240" w:lineRule="auto"/>
        <w:jc w:val="center"/>
        <w:rPr>
          <w:b/>
          <w:bCs/>
        </w:rPr>
      </w:pPr>
      <w:r>
        <w:rPr>
          <w:b/>
          <w:bCs/>
        </w:rPr>
        <w:t>图</w:t>
      </w:r>
      <w:r>
        <w:rPr>
          <w:rFonts w:hint="eastAsia"/>
          <w:b/>
          <w:bCs/>
        </w:rPr>
        <w:t>5.7</w:t>
      </w:r>
      <w:r>
        <w:rPr>
          <w:b/>
          <w:bCs/>
        </w:rPr>
        <w:t>-</w:t>
      </w:r>
      <w:r>
        <w:rPr>
          <w:rFonts w:hint="eastAsia"/>
          <w:b/>
          <w:bCs/>
        </w:rPr>
        <w:t>35</w:t>
      </w:r>
      <w:r>
        <w:rPr>
          <w:b/>
          <w:bCs/>
        </w:rPr>
        <w:t xml:space="preserve">  </w:t>
      </w:r>
      <w:r>
        <w:rPr>
          <w:rFonts w:hint="eastAsia"/>
          <w:b/>
          <w:bCs/>
        </w:rPr>
        <w:t xml:space="preserve">  下游保护目标预测点浓度变化</w:t>
      </w:r>
    </w:p>
    <w:p w14:paraId="4EC1A37C">
      <w:pPr>
        <w:adjustRightInd w:val="0"/>
        <w:snapToGrid w:val="0"/>
        <w:spacing w:before="0" w:beforeLines="0" w:line="240" w:lineRule="auto"/>
        <w:jc w:val="center"/>
        <w:rPr>
          <w:b/>
          <w:bCs/>
        </w:rPr>
      </w:pPr>
      <w:r>
        <w:rPr>
          <w:rFonts w:hint="eastAsia"/>
          <w:b/>
          <w:bCs/>
        </w:rPr>
        <w:drawing>
          <wp:inline distT="0" distB="0" distL="114300" distR="114300">
            <wp:extent cx="5260975" cy="2886075"/>
            <wp:effectExtent l="0" t="0" r="9525" b="9525"/>
            <wp:docPr id="34" name="图片 34" desc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ch"/>
                    <pic:cNvPicPr>
                      <a:picLocks noChangeAspect="1"/>
                    </pic:cNvPicPr>
                  </pic:nvPicPr>
                  <pic:blipFill>
                    <a:blip r:embed="rId134"/>
                    <a:stretch>
                      <a:fillRect/>
                    </a:stretch>
                  </pic:blipFill>
                  <pic:spPr>
                    <a:xfrm>
                      <a:off x="0" y="0"/>
                      <a:ext cx="5260975" cy="2886075"/>
                    </a:xfrm>
                    <a:prstGeom prst="rect">
                      <a:avLst/>
                    </a:prstGeom>
                  </pic:spPr>
                </pic:pic>
              </a:graphicData>
            </a:graphic>
          </wp:inline>
        </w:drawing>
      </w:r>
    </w:p>
    <w:p w14:paraId="75A9A655">
      <w:pPr>
        <w:adjustRightInd w:val="0"/>
        <w:snapToGrid w:val="0"/>
        <w:spacing w:before="0" w:beforeLines="0" w:line="240" w:lineRule="auto"/>
        <w:jc w:val="center"/>
        <w:rPr>
          <w:b/>
          <w:bCs/>
        </w:rPr>
      </w:pPr>
      <w:r>
        <w:rPr>
          <w:b/>
          <w:bCs/>
        </w:rPr>
        <w:t>图</w:t>
      </w:r>
      <w:r>
        <w:rPr>
          <w:rFonts w:hint="eastAsia"/>
          <w:b/>
          <w:bCs/>
        </w:rPr>
        <w:t>5.7</w:t>
      </w:r>
      <w:r>
        <w:rPr>
          <w:b/>
          <w:bCs/>
        </w:rPr>
        <w:t>-</w:t>
      </w:r>
      <w:r>
        <w:rPr>
          <w:rFonts w:hint="eastAsia"/>
          <w:b/>
          <w:bCs/>
        </w:rPr>
        <w:t>36</w:t>
      </w:r>
      <w:r>
        <w:rPr>
          <w:b/>
          <w:bCs/>
        </w:rPr>
        <w:t xml:space="preserve">  </w:t>
      </w:r>
      <w:r>
        <w:rPr>
          <w:rFonts w:hint="eastAsia"/>
          <w:b/>
          <w:bCs/>
        </w:rPr>
        <w:t xml:space="preserve">  下游河流预测点浓度变化</w:t>
      </w:r>
    </w:p>
    <w:p w14:paraId="085F065D">
      <w:pPr>
        <w:adjustRightInd w:val="0"/>
        <w:snapToGrid w:val="0"/>
        <w:spacing w:before="0" w:beforeLines="0" w:line="240" w:lineRule="auto"/>
        <w:jc w:val="center"/>
        <w:rPr>
          <w:b/>
          <w:bCs/>
        </w:rPr>
      </w:pPr>
    </w:p>
    <w:p w14:paraId="4BE23225">
      <w:pPr>
        <w:spacing w:before="0" w:beforeLines="0" w:line="360" w:lineRule="auto"/>
        <w:ind w:firstLine="480" w:firstLineChars="200"/>
        <w:rPr>
          <w:sz w:val="24"/>
        </w:rPr>
      </w:pPr>
      <w:r>
        <w:rPr>
          <w:rFonts w:hint="eastAsia"/>
          <w:sz w:val="24"/>
        </w:rPr>
        <w:t>通过各个预测点浓度变化看出，由于地下水径流稀释作用，污染物质很快被稀释，浓度很快降低到标准值以下，污染羽距离保护目标处较远，始终未对保护目标造成影响，超标污染羽在48天时消失，不再对周边地下水环境造成影响。</w:t>
      </w:r>
    </w:p>
    <w:p w14:paraId="7FF4B645">
      <w:pPr>
        <w:pStyle w:val="5"/>
        <w:rPr>
          <w:color w:val="auto"/>
        </w:rPr>
      </w:pPr>
      <w:bookmarkStart w:id="557" w:name="_Toc30866"/>
      <w:bookmarkStart w:id="558" w:name="_Toc479277547"/>
      <w:bookmarkStart w:id="559" w:name="_Toc11079210"/>
      <w:r>
        <w:rPr>
          <w:color w:val="auto"/>
        </w:rPr>
        <w:t>5.7</w:t>
      </w:r>
      <w:r>
        <w:rPr>
          <w:rFonts w:hint="eastAsia"/>
          <w:color w:val="auto"/>
        </w:rPr>
        <w:t>.5地下水模拟预测结论</w:t>
      </w:r>
      <w:bookmarkEnd w:id="557"/>
      <w:bookmarkEnd w:id="558"/>
      <w:bookmarkEnd w:id="559"/>
    </w:p>
    <w:p w14:paraId="6C9046D6">
      <w:pPr>
        <w:spacing w:before="0" w:beforeLines="0" w:line="360" w:lineRule="auto"/>
        <w:ind w:firstLine="480" w:firstLineChars="200"/>
        <w:rPr>
          <w:sz w:val="24"/>
        </w:rPr>
      </w:pPr>
      <w:r>
        <w:rPr>
          <w:rFonts w:hint="eastAsia"/>
          <w:sz w:val="24"/>
        </w:rPr>
        <w:t>在非正常状况条件下，浓缩罐</w:t>
      </w:r>
      <w:r>
        <w:rPr>
          <w:rFonts w:hint="eastAsia"/>
          <w:sz w:val="24"/>
          <w:lang w:eastAsia="zh-CN"/>
        </w:rPr>
        <w:t>泄漏</w:t>
      </w:r>
      <w:r>
        <w:rPr>
          <w:rFonts w:hint="eastAsia"/>
          <w:sz w:val="24"/>
        </w:rPr>
        <w:t>入渗可能会对下游地下水环境产生不良的影响，由于污染物影响范围相对较小，持续时间较短，仅在厂区内及附近出现，距离保护目标较远，始终未到达保护目标处，因此对周边地下水环境影响较小，且随着时间所产生的污染物浓度逐渐减少，在包气带介质的吸附、降解等作用的影响，污染物质会得到不同程度的净化因此本项目做好防渗及日常监管，减少非正常状况下的废水外漏，对下游地下水的影响较小，因此对下游居民造成威胁的可能性较小。</w:t>
      </w:r>
    </w:p>
    <w:p w14:paraId="5302C093">
      <w:pPr>
        <w:spacing w:before="0" w:beforeLines="0" w:line="360" w:lineRule="auto"/>
        <w:ind w:firstLine="480" w:firstLineChars="200"/>
        <w:rPr>
          <w:sz w:val="24"/>
        </w:rPr>
      </w:pPr>
      <w:r>
        <w:rPr>
          <w:rFonts w:hint="eastAsia"/>
          <w:sz w:val="24"/>
        </w:rPr>
        <w:t>需要特别说明的是，上述所有溶质运移的预测工作均是在假设污染物持续入渗的前提下，且计算模型中并未考虑包气带介质的吸附、降解等作用的影响，实际上，包气带介质中含有各种离子、有机物和微生物，污染物质在通过包气带向地下水迁移的过程中将发生吸附、过滤、离子交换、生物降解等作用而得到不同程度的净化，因此污染羽的实际迁移情况将小于上述预测结果。</w:t>
      </w:r>
    </w:p>
    <w:p w14:paraId="2BA2A42A">
      <w:pPr>
        <w:pStyle w:val="4"/>
        <w:rPr>
          <w:rFonts w:ascii="Times New Roman" w:hAnsi="Times New Roman" w:eastAsia="宋体"/>
          <w:color w:val="auto"/>
        </w:rPr>
      </w:pPr>
      <w:bookmarkStart w:id="560" w:name="_Toc239274283"/>
      <w:r>
        <w:rPr>
          <w:rFonts w:ascii="Times New Roman" w:hAnsi="Times New Roman" w:eastAsia="宋体"/>
          <w:color w:val="auto"/>
        </w:rPr>
        <w:t>5.8生态环境影响</w:t>
      </w:r>
      <w:r>
        <w:rPr>
          <w:rFonts w:hint="eastAsia" w:ascii="Times New Roman" w:hAnsi="Times New Roman" w:eastAsia="宋体"/>
          <w:color w:val="auto"/>
        </w:rPr>
        <w:t>分析</w:t>
      </w:r>
      <w:bookmarkEnd w:id="560"/>
    </w:p>
    <w:p w14:paraId="40E4A5B2">
      <w:pPr>
        <w:pStyle w:val="212"/>
        <w:spacing w:before="78"/>
        <w:ind w:firstLine="480"/>
      </w:pPr>
      <w:r>
        <w:rPr>
          <w:rFonts w:hint="eastAsia"/>
        </w:rPr>
        <w:t>本项目属于选矿项目，不涉及矿山开采，因此生态影响范围主要在厂区范围内以及周边。本项目原料为尾矿、废石，选矿工艺为“筛分+磁选+球磨+重选”，类比同类选矿项目，生态影响主要包括占地影响、对动植物影响等，具体影响分析如下：</w:t>
      </w:r>
    </w:p>
    <w:p w14:paraId="1980B427">
      <w:pPr>
        <w:pStyle w:val="5"/>
        <w:rPr>
          <w:b w:val="0"/>
          <w:bCs w:val="0"/>
          <w:color w:val="auto"/>
        </w:rPr>
      </w:pPr>
      <w:r>
        <w:rPr>
          <w:color w:val="auto"/>
        </w:rPr>
        <w:t>5.8.1对区域</w:t>
      </w:r>
      <w:r>
        <w:rPr>
          <w:rFonts w:hint="eastAsia"/>
          <w:color w:val="auto"/>
        </w:rPr>
        <w:t>占地的影响</w:t>
      </w:r>
    </w:p>
    <w:p w14:paraId="74B4AF2E">
      <w:pPr>
        <w:pStyle w:val="212"/>
        <w:spacing w:before="78"/>
        <w:ind w:firstLine="480"/>
      </w:pPr>
      <w:bookmarkStart w:id="561" w:name="_Hlk192074662"/>
      <w:r>
        <w:rPr>
          <w:rFonts w:hint="eastAsia"/>
        </w:rPr>
        <w:t>根据现场调查，项目所在区域现有4处露天采坑，土地损毁类型为挖损，损毁程度严重，挖损土地面积约14.41hm</w:t>
      </w:r>
      <w:r>
        <w:rPr>
          <w:rFonts w:hint="eastAsia"/>
          <w:vertAlign w:val="superscript"/>
        </w:rPr>
        <w:t>2</w:t>
      </w:r>
      <w:r>
        <w:rPr>
          <w:rFonts w:hint="eastAsia"/>
        </w:rPr>
        <w:t>，损毁地类为旱地、林地和采矿用地等。有4处废石堆放场，主要为采矿围岩和选矿废石，土地损毁类型为压占，压占土地面积约7.38hm</w:t>
      </w:r>
      <w:r>
        <w:rPr>
          <w:rFonts w:hint="eastAsia"/>
          <w:vertAlign w:val="superscript"/>
        </w:rPr>
        <w:t>2</w:t>
      </w:r>
      <w:r>
        <w:rPr>
          <w:rFonts w:hint="eastAsia"/>
        </w:rPr>
        <w:t>，损毁土地类型为旱地、采矿用地、林地等。有尾矿堆1处，主要为选矿尾矿，土地损毁类型为压占，压占土地面积约10.91hm</w:t>
      </w:r>
      <w:r>
        <w:rPr>
          <w:rFonts w:hint="eastAsia"/>
          <w:vertAlign w:val="superscript"/>
        </w:rPr>
        <w:t>2</w:t>
      </w:r>
      <w:r>
        <w:rPr>
          <w:rFonts w:hint="eastAsia"/>
        </w:rPr>
        <w:t>，损毁土地类型为旱地、采矿用地、林地等。</w:t>
      </w:r>
    </w:p>
    <w:p w14:paraId="30C55C03">
      <w:pPr>
        <w:pStyle w:val="212"/>
        <w:spacing w:before="78"/>
        <w:ind w:firstLine="480"/>
      </w:pPr>
      <w:r>
        <w:rPr>
          <w:rFonts w:hint="eastAsia"/>
        </w:rPr>
        <w:t>本项目实施后，将对项目所在区域的废石、尾矿进行综合利用，全部废石、尾矿综合利用后现有堆场由鑫岳矿业进行生态恢复，即减少尾矿、废石堆存面积约18.291hm</w:t>
      </w:r>
      <w:r>
        <w:rPr>
          <w:rFonts w:hint="eastAsia"/>
          <w:vertAlign w:val="superscript"/>
        </w:rPr>
        <w:t>2</w:t>
      </w:r>
      <w:r>
        <w:rPr>
          <w:rFonts w:hint="eastAsia"/>
        </w:rPr>
        <w:t>。同时生产过程产生的泥饼回填至露天采坑，可对现有采坑进行生态恢复。</w:t>
      </w:r>
    </w:p>
    <w:p w14:paraId="79A13BE8">
      <w:pPr>
        <w:pStyle w:val="212"/>
        <w:spacing w:before="78"/>
        <w:ind w:firstLine="480"/>
      </w:pPr>
      <w:r>
        <w:rPr>
          <w:rFonts w:hint="eastAsia"/>
        </w:rPr>
        <w:t>因此，项目的建设可大大减少尾矿及废石占用土地面积，尾矿及废石综合利用后土地进行生态恢复，可恢复矿山生态环境、恢复土地使用功能，解决区域生态环境问题，践行“绿水青山就是金山银山”理论，保护区域生态环境。</w:t>
      </w:r>
    </w:p>
    <w:bookmarkEnd w:id="561"/>
    <w:p w14:paraId="0D0D09B9">
      <w:pPr>
        <w:pStyle w:val="5"/>
        <w:rPr>
          <w:color w:val="auto"/>
        </w:rPr>
      </w:pPr>
      <w:r>
        <w:rPr>
          <w:color w:val="auto"/>
        </w:rPr>
        <w:t>5.8.2对植物的影响</w:t>
      </w:r>
    </w:p>
    <w:p w14:paraId="483AB3C8">
      <w:pPr>
        <w:snapToGrid w:val="0"/>
        <w:spacing w:before="78" w:line="360" w:lineRule="auto"/>
        <w:ind w:firstLine="480" w:firstLineChars="200"/>
        <w:rPr>
          <w:sz w:val="24"/>
        </w:rPr>
      </w:pPr>
      <w:r>
        <w:rPr>
          <w:sz w:val="24"/>
        </w:rPr>
        <w:t>目前对于大气污染对植被的影响研究主要集中在颗粒物</w:t>
      </w:r>
      <w:r>
        <w:rPr>
          <w:rFonts w:hint="eastAsia"/>
          <w:sz w:val="24"/>
        </w:rPr>
        <w:t>、二氧化硫</w:t>
      </w:r>
      <w:r>
        <w:rPr>
          <w:sz w:val="24"/>
        </w:rPr>
        <w:t>等常规污染物，</w:t>
      </w:r>
      <w:r>
        <w:rPr>
          <w:rFonts w:hint="eastAsia"/>
          <w:sz w:val="24"/>
        </w:rPr>
        <w:t>本项目主要污染物为颗粒物，</w:t>
      </w:r>
      <w:r>
        <w:rPr>
          <w:sz w:val="24"/>
        </w:rPr>
        <w:t>结合工程分析结果对本项目排放的污染物对区域植物产生的影响分析如下：</w:t>
      </w:r>
    </w:p>
    <w:p w14:paraId="0F0FD4A1">
      <w:pPr>
        <w:snapToGrid w:val="0"/>
        <w:spacing w:before="78" w:line="360" w:lineRule="auto"/>
        <w:ind w:firstLine="480" w:firstLineChars="200"/>
        <w:rPr>
          <w:sz w:val="24"/>
        </w:rPr>
      </w:pPr>
      <w:r>
        <w:rPr>
          <w:sz w:val="24"/>
        </w:rPr>
        <w:t>颗粒物影响</w:t>
      </w:r>
      <w:r>
        <w:rPr>
          <w:rFonts w:hint="eastAsia"/>
          <w:sz w:val="24"/>
        </w:rPr>
        <w:t>：</w:t>
      </w:r>
      <w:r>
        <w:rPr>
          <w:sz w:val="24"/>
        </w:rPr>
        <w:t>颗粒物对植物的危害主要体现在：沉积在绿色植物叶面，堵塞气孔，阻碍光合作用、呼吸作用、蒸腾作用等，危害植物健康；且颗粒降尘中一些有毒物质可通过溶解渗透，进入植物体内，产生毒害作用。</w:t>
      </w:r>
    </w:p>
    <w:p w14:paraId="6D5CD736">
      <w:pPr>
        <w:snapToGrid w:val="0"/>
        <w:spacing w:before="78" w:line="360" w:lineRule="auto"/>
        <w:ind w:firstLine="480" w:firstLineChars="200"/>
        <w:rPr>
          <w:sz w:val="24"/>
        </w:rPr>
      </w:pPr>
      <w:r>
        <w:rPr>
          <w:sz w:val="24"/>
        </w:rPr>
        <w:t>本报告采用颗粒物作为污染评价因子，根据估算模型预测结果，PM</w:t>
      </w:r>
      <w:r>
        <w:rPr>
          <w:sz w:val="24"/>
          <w:vertAlign w:val="subscript"/>
        </w:rPr>
        <w:t>10</w:t>
      </w:r>
      <w:r>
        <w:rPr>
          <w:sz w:val="24"/>
        </w:rPr>
        <w:t>的24小时浓度预测增值占标率较小，因此本项目排放的颗粒物对区域植被不会造成明显的不良影响。</w:t>
      </w:r>
    </w:p>
    <w:p w14:paraId="1DB931B3">
      <w:pPr>
        <w:pStyle w:val="5"/>
        <w:rPr>
          <w:color w:val="auto"/>
        </w:rPr>
      </w:pPr>
      <w:bookmarkStart w:id="562" w:name="_Toc10317"/>
      <w:r>
        <w:rPr>
          <w:color w:val="auto"/>
        </w:rPr>
        <w:t>5.8.3对野生动物的影响</w:t>
      </w:r>
      <w:bookmarkEnd w:id="562"/>
    </w:p>
    <w:p w14:paraId="64B455E6">
      <w:pPr>
        <w:pStyle w:val="212"/>
        <w:spacing w:before="78"/>
        <w:ind w:firstLine="480"/>
      </w:pPr>
      <w:r>
        <w:t>选厂机械设备运转、材料运输等人为干扰可能对工程区野生动物的取食、迁徙、繁衍有一定影响，主要表现为施工噪声及人为活动可能使野生动物远离项目所在地，改变其生境。但由于项目所在地生物多样性不丰富，野生动物种类较少，除偶见松鼠、山雀、蝙蝠、乌鸦、蛇及飞鸟等常见野生动物外，常见动物主要为人工养殖的牛、羊、马等，未见其它野生动物。</w:t>
      </w:r>
    </w:p>
    <w:p w14:paraId="75504965">
      <w:pPr>
        <w:pStyle w:val="212"/>
        <w:spacing w:before="78"/>
        <w:ind w:firstLine="480"/>
      </w:pPr>
      <w:r>
        <w:t>因此，只要注意规范活动，本项目对野生动物的影响很小。选矿废水治理措施不当，直接排放可能对河流内水生生物造成一定不利影响，尤其污水中金属类在鱼类等水生生物体内积聚，若人食用后可能危害人体健康。因此，应严格选矿废水治理和回用措施，确保零排放。</w:t>
      </w:r>
    </w:p>
    <w:p w14:paraId="241C96AA">
      <w:pPr>
        <w:pStyle w:val="212"/>
        <w:spacing w:before="78"/>
        <w:ind w:firstLine="480"/>
      </w:pPr>
      <w:r>
        <w:rPr>
          <w:rFonts w:hint="eastAsia"/>
        </w:rPr>
        <w:t>综上，评价区的植被分布以灌木、杂草等为主，评价区的野生动物多为一些常见的鸟类、啮齿类及昆虫等，这些受到影响的动植物均无国家和地区要求特别保护的濒危物种，且种类和数量多，分布较为均匀，因此生态系统稳定性较强，抗外界干扰能力强。虽然项目的建设会造成一定数量的植被损失和生态破坏，但不会改变项目所在地的动植物群落的种类组成，也不会造成某一物种的消失。在运营阶段采取加强绿化，做好水土保持工作，采取一定的生态恢复和补偿措施能够达到对周围环境破坏力小，生态环境有所恢复的要求。</w:t>
      </w:r>
    </w:p>
    <w:p w14:paraId="77CCABAE">
      <w:pPr>
        <w:pStyle w:val="212"/>
        <w:spacing w:before="78"/>
        <w:ind w:firstLine="480"/>
      </w:pPr>
    </w:p>
    <w:p w14:paraId="1FEBC03D">
      <w:pPr>
        <w:pStyle w:val="212"/>
        <w:spacing w:before="78"/>
        <w:ind w:firstLine="480"/>
      </w:pPr>
    </w:p>
    <w:p w14:paraId="0F7B9B80">
      <w:pPr>
        <w:pStyle w:val="212"/>
        <w:spacing w:before="78"/>
        <w:ind w:firstLine="480"/>
      </w:pPr>
    </w:p>
    <w:p w14:paraId="3E30296F">
      <w:pPr>
        <w:pStyle w:val="212"/>
        <w:spacing w:before="78"/>
        <w:ind w:firstLine="480"/>
      </w:pPr>
    </w:p>
    <w:p w14:paraId="08A614A8">
      <w:pPr>
        <w:pStyle w:val="212"/>
        <w:spacing w:before="78"/>
        <w:ind w:firstLine="480"/>
      </w:pPr>
    </w:p>
    <w:p w14:paraId="6CFE41DC">
      <w:pPr>
        <w:pStyle w:val="212"/>
        <w:spacing w:before="78"/>
        <w:ind w:firstLine="480"/>
      </w:pPr>
    </w:p>
    <w:p w14:paraId="11A3B2E2">
      <w:pPr>
        <w:pStyle w:val="212"/>
        <w:spacing w:before="78"/>
        <w:ind w:firstLine="480"/>
      </w:pPr>
    </w:p>
    <w:p w14:paraId="65483CA9">
      <w:pPr>
        <w:pStyle w:val="212"/>
        <w:spacing w:before="78"/>
        <w:ind w:firstLine="480"/>
      </w:pPr>
    </w:p>
    <w:p w14:paraId="45458F30">
      <w:pPr>
        <w:pStyle w:val="212"/>
        <w:spacing w:before="78"/>
        <w:ind w:firstLine="480"/>
      </w:pPr>
    </w:p>
    <w:p w14:paraId="58A50D50">
      <w:pPr>
        <w:pStyle w:val="212"/>
        <w:spacing w:before="78"/>
        <w:ind w:firstLine="480"/>
      </w:pPr>
    </w:p>
    <w:p w14:paraId="49156F01">
      <w:pPr>
        <w:pStyle w:val="212"/>
        <w:spacing w:before="78"/>
        <w:ind w:firstLine="480"/>
      </w:pPr>
    </w:p>
    <w:p w14:paraId="644F6FA5">
      <w:pPr>
        <w:pStyle w:val="212"/>
        <w:spacing w:before="78"/>
        <w:ind w:firstLine="480"/>
      </w:pPr>
    </w:p>
    <w:p w14:paraId="4683BAD7">
      <w:pPr>
        <w:pStyle w:val="212"/>
        <w:spacing w:before="78"/>
        <w:ind w:firstLine="480"/>
      </w:pPr>
    </w:p>
    <w:p w14:paraId="11AF6BBE">
      <w:pPr>
        <w:pStyle w:val="212"/>
        <w:spacing w:before="78"/>
        <w:ind w:firstLine="480"/>
      </w:pPr>
    </w:p>
    <w:p w14:paraId="4DA212D4">
      <w:pPr>
        <w:pStyle w:val="212"/>
        <w:spacing w:before="78"/>
        <w:ind w:firstLine="480"/>
      </w:pPr>
    </w:p>
    <w:p w14:paraId="2532D648">
      <w:pPr>
        <w:pStyle w:val="212"/>
        <w:spacing w:before="78"/>
        <w:ind w:firstLine="480"/>
      </w:pPr>
    </w:p>
    <w:p w14:paraId="5981E0B9">
      <w:pPr>
        <w:pStyle w:val="212"/>
        <w:spacing w:before="78"/>
        <w:ind w:firstLine="480"/>
      </w:pPr>
    </w:p>
    <w:p w14:paraId="4C57F298">
      <w:pPr>
        <w:pStyle w:val="212"/>
        <w:spacing w:before="78"/>
        <w:ind w:firstLine="480"/>
      </w:pPr>
    </w:p>
    <w:p w14:paraId="2E2789EA">
      <w:pPr>
        <w:pStyle w:val="212"/>
        <w:spacing w:before="78"/>
        <w:ind w:firstLine="480"/>
      </w:pPr>
    </w:p>
    <w:p w14:paraId="4E9F75EC">
      <w:pPr>
        <w:pStyle w:val="212"/>
        <w:spacing w:before="78"/>
        <w:ind w:firstLine="480"/>
      </w:pPr>
    </w:p>
    <w:p w14:paraId="616DA7B4">
      <w:pPr>
        <w:pStyle w:val="212"/>
        <w:spacing w:before="78"/>
        <w:ind w:firstLine="480"/>
      </w:pPr>
    </w:p>
    <w:p w14:paraId="193154FE">
      <w:pPr>
        <w:pStyle w:val="3"/>
        <w:spacing w:before="156" w:after="156"/>
        <w:rPr>
          <w:color w:val="auto"/>
        </w:rPr>
      </w:pPr>
      <w:bookmarkStart w:id="563" w:name="_Toc239274284"/>
      <w:r>
        <w:rPr>
          <w:color w:val="auto"/>
        </w:rPr>
        <w:t>6.环境保护措施及其可行性论证</w:t>
      </w:r>
      <w:bookmarkEnd w:id="142"/>
      <w:bookmarkEnd w:id="563"/>
    </w:p>
    <w:p w14:paraId="149661E5">
      <w:pPr>
        <w:pStyle w:val="4"/>
        <w:rPr>
          <w:rFonts w:ascii="Times New Roman" w:hAnsi="Times New Roman" w:eastAsia="宋体"/>
          <w:color w:val="auto"/>
          <w:kern w:val="0"/>
        </w:rPr>
      </w:pPr>
      <w:bookmarkStart w:id="564" w:name="_Toc239274285"/>
      <w:bookmarkStart w:id="565" w:name="_Toc17475985"/>
      <w:r>
        <w:rPr>
          <w:rFonts w:ascii="Times New Roman" w:hAnsi="Times New Roman" w:eastAsia="宋体"/>
          <w:color w:val="auto"/>
          <w:kern w:val="0"/>
        </w:rPr>
        <w:t>6.1建设期环境保护措施</w:t>
      </w:r>
      <w:bookmarkEnd w:id="564"/>
      <w:bookmarkEnd w:id="565"/>
    </w:p>
    <w:p w14:paraId="6836394F">
      <w:pPr>
        <w:pStyle w:val="5"/>
        <w:rPr>
          <w:color w:val="auto"/>
        </w:rPr>
      </w:pPr>
      <w:bookmarkStart w:id="566" w:name="_Toc45531541"/>
      <w:r>
        <w:rPr>
          <w:color w:val="auto"/>
        </w:rPr>
        <w:t>6.1.1大气污染防治措施</w:t>
      </w:r>
      <w:bookmarkEnd w:id="566"/>
    </w:p>
    <w:p w14:paraId="03418D38">
      <w:pPr>
        <w:snapToGrid w:val="0"/>
        <w:spacing w:before="78" w:line="360" w:lineRule="auto"/>
        <w:ind w:firstLine="480" w:firstLineChars="200"/>
        <w:jc w:val="left"/>
        <w:rPr>
          <w:sz w:val="24"/>
        </w:rPr>
      </w:pPr>
      <w:r>
        <w:rPr>
          <w:sz w:val="24"/>
        </w:rPr>
        <w:t>施工扬尘对施工区环境空气影响较突出，尤其对现场施工人员危害较大。为控制及治理扬尘污染，降低扬尘对周围环境的影响，保护大气环境，施工单位应采取如下防治措施：</w:t>
      </w:r>
    </w:p>
    <w:p w14:paraId="04D33C5E">
      <w:pPr>
        <w:snapToGrid w:val="0"/>
        <w:spacing w:before="0" w:beforeLines="0" w:line="360" w:lineRule="auto"/>
        <w:ind w:firstLine="480" w:firstLineChars="200"/>
        <w:jc w:val="left"/>
        <w:rPr>
          <w:sz w:val="24"/>
        </w:rPr>
      </w:pPr>
      <w:r>
        <w:rPr>
          <w:sz w:val="24"/>
        </w:rPr>
        <w:fldChar w:fldCharType="begin"/>
      </w:r>
      <w:r>
        <w:rPr>
          <w:sz w:val="24"/>
        </w:rPr>
        <w:instrText xml:space="preserve"> = 1 \* GB2 \* MERGEFORMAT </w:instrText>
      </w:r>
      <w:r>
        <w:rPr>
          <w:sz w:val="24"/>
        </w:rPr>
        <w:fldChar w:fldCharType="separate"/>
      </w:r>
      <w:r>
        <w:rPr>
          <w:sz w:val="24"/>
        </w:rPr>
        <w:t>⑴</w:t>
      </w:r>
      <w:r>
        <w:rPr>
          <w:sz w:val="24"/>
        </w:rPr>
        <w:fldChar w:fldCharType="end"/>
      </w:r>
      <w:r>
        <w:rPr>
          <w:sz w:val="24"/>
        </w:rPr>
        <w:t>施工工地周围应当设置连续、</w:t>
      </w:r>
      <w:r>
        <w:rPr>
          <w:rFonts w:hint="eastAsia"/>
          <w:sz w:val="24"/>
        </w:rPr>
        <w:t>封</w:t>
      </w:r>
      <w:r>
        <w:rPr>
          <w:rFonts w:hint="eastAsia"/>
          <w:sz w:val="24"/>
          <w:lang w:eastAsia="zh-CN"/>
        </w:rPr>
        <w:t>闭</w:t>
      </w:r>
      <w:r>
        <w:rPr>
          <w:sz w:val="24"/>
        </w:rPr>
        <w:t>的围挡，围挡高度不得低于1.8m。</w:t>
      </w:r>
    </w:p>
    <w:p w14:paraId="36BF9D45">
      <w:pPr>
        <w:snapToGrid w:val="0"/>
        <w:spacing w:before="0" w:beforeLines="0" w:line="360" w:lineRule="auto"/>
        <w:ind w:firstLine="480" w:firstLineChars="200"/>
        <w:jc w:val="left"/>
        <w:rPr>
          <w:sz w:val="24"/>
        </w:rPr>
      </w:pPr>
      <w:r>
        <w:rPr>
          <w:sz w:val="24"/>
        </w:rPr>
        <w:fldChar w:fldCharType="begin"/>
      </w:r>
      <w:r>
        <w:rPr>
          <w:sz w:val="24"/>
        </w:rPr>
        <w:instrText xml:space="preserve"> = 2 \* GB2 \* MERGEFORMAT </w:instrText>
      </w:r>
      <w:r>
        <w:rPr>
          <w:sz w:val="24"/>
        </w:rPr>
        <w:fldChar w:fldCharType="separate"/>
      </w:r>
      <w:r>
        <w:rPr>
          <w:sz w:val="24"/>
        </w:rPr>
        <w:t>⑵</w:t>
      </w:r>
      <w:r>
        <w:rPr>
          <w:sz w:val="24"/>
        </w:rPr>
        <w:fldChar w:fldCharType="end"/>
      </w:r>
      <w:r>
        <w:rPr>
          <w:sz w:val="24"/>
        </w:rPr>
        <w:t>施工工地地面、车行道路应当进行硬化等降尘处理。</w:t>
      </w:r>
    </w:p>
    <w:p w14:paraId="70013699">
      <w:pPr>
        <w:snapToGrid w:val="0"/>
        <w:spacing w:before="0" w:beforeLines="0" w:line="360" w:lineRule="auto"/>
        <w:ind w:firstLine="480" w:firstLineChars="200"/>
        <w:jc w:val="left"/>
        <w:rPr>
          <w:sz w:val="24"/>
        </w:rPr>
      </w:pPr>
      <w:r>
        <w:rPr>
          <w:sz w:val="24"/>
        </w:rPr>
        <w:fldChar w:fldCharType="begin"/>
      </w:r>
      <w:r>
        <w:rPr>
          <w:sz w:val="24"/>
        </w:rPr>
        <w:instrText xml:space="preserve"> = 3 \* GB2 \* MERGEFORMAT </w:instrText>
      </w:r>
      <w:r>
        <w:rPr>
          <w:sz w:val="24"/>
        </w:rPr>
        <w:fldChar w:fldCharType="separate"/>
      </w:r>
      <w:r>
        <w:rPr>
          <w:sz w:val="24"/>
        </w:rPr>
        <w:t>⑶</w:t>
      </w:r>
      <w:r>
        <w:rPr>
          <w:sz w:val="24"/>
        </w:rPr>
        <w:fldChar w:fldCharType="end"/>
      </w:r>
      <w:r>
        <w:rPr>
          <w:sz w:val="24"/>
        </w:rPr>
        <w:t>易产生扬尘的土方工程等施工时，应当采取洒水等抑尘措施。</w:t>
      </w:r>
    </w:p>
    <w:p w14:paraId="799874A1">
      <w:pPr>
        <w:snapToGrid w:val="0"/>
        <w:spacing w:before="0" w:beforeLines="0" w:line="360" w:lineRule="auto"/>
        <w:ind w:firstLine="480" w:firstLineChars="200"/>
        <w:jc w:val="left"/>
        <w:rPr>
          <w:sz w:val="24"/>
        </w:rPr>
      </w:pPr>
      <w:r>
        <w:rPr>
          <w:sz w:val="24"/>
        </w:rPr>
        <w:fldChar w:fldCharType="begin"/>
      </w:r>
      <w:r>
        <w:rPr>
          <w:sz w:val="24"/>
        </w:rPr>
        <w:instrText xml:space="preserve"> = 4 \* GB2 \* MERGEFORMAT </w:instrText>
      </w:r>
      <w:r>
        <w:rPr>
          <w:sz w:val="24"/>
        </w:rPr>
        <w:fldChar w:fldCharType="separate"/>
      </w:r>
      <w:r>
        <w:rPr>
          <w:sz w:val="24"/>
        </w:rPr>
        <w:t>⑷</w:t>
      </w:r>
      <w:r>
        <w:rPr>
          <w:sz w:val="24"/>
        </w:rPr>
        <w:fldChar w:fldCharType="end"/>
      </w:r>
      <w:r>
        <w:rPr>
          <w:sz w:val="24"/>
        </w:rPr>
        <w:t>建筑垃圾、工程渣土等在48小时内未能清运的，应当在施工工地内设置临时堆放场并采取围挡、遮盖等防尘措施。</w:t>
      </w:r>
    </w:p>
    <w:p w14:paraId="68BF37CD">
      <w:pPr>
        <w:snapToGrid w:val="0"/>
        <w:spacing w:before="0" w:beforeLines="0" w:line="360" w:lineRule="auto"/>
        <w:ind w:firstLine="480" w:firstLineChars="200"/>
        <w:jc w:val="left"/>
        <w:rPr>
          <w:sz w:val="24"/>
        </w:rPr>
      </w:pPr>
      <w:r>
        <w:rPr>
          <w:sz w:val="24"/>
        </w:rPr>
        <w:fldChar w:fldCharType="begin"/>
      </w:r>
      <w:r>
        <w:rPr>
          <w:sz w:val="24"/>
        </w:rPr>
        <w:instrText xml:space="preserve"> = 5 \* GB2 \* MERGEFORMAT </w:instrText>
      </w:r>
      <w:r>
        <w:rPr>
          <w:sz w:val="24"/>
        </w:rPr>
        <w:fldChar w:fldCharType="separate"/>
      </w:r>
      <w:r>
        <w:rPr>
          <w:sz w:val="24"/>
        </w:rPr>
        <w:t>⑸</w:t>
      </w:r>
      <w:r>
        <w:rPr>
          <w:sz w:val="24"/>
        </w:rPr>
        <w:fldChar w:fldCharType="end"/>
      </w:r>
      <w:r>
        <w:rPr>
          <w:sz w:val="24"/>
        </w:rPr>
        <w:t>运输车辆在除泥、冲洗干净后方可驶出作业场所，不得使用空气压缩机等易产生扬尘的设备清理车辆、设备和物料的尘埃。</w:t>
      </w:r>
    </w:p>
    <w:p w14:paraId="0ACCA24C">
      <w:pPr>
        <w:snapToGrid w:val="0"/>
        <w:spacing w:before="0" w:beforeLines="0" w:line="360" w:lineRule="auto"/>
        <w:ind w:firstLine="480" w:firstLineChars="200"/>
        <w:jc w:val="left"/>
        <w:rPr>
          <w:sz w:val="24"/>
        </w:rPr>
      </w:pPr>
      <w:r>
        <w:rPr>
          <w:sz w:val="24"/>
        </w:rPr>
        <w:fldChar w:fldCharType="begin"/>
      </w:r>
      <w:r>
        <w:rPr>
          <w:sz w:val="24"/>
        </w:rPr>
        <w:instrText xml:space="preserve"> = 6 \* GB2 \* MERGEFORMAT </w:instrText>
      </w:r>
      <w:r>
        <w:rPr>
          <w:sz w:val="24"/>
        </w:rPr>
        <w:fldChar w:fldCharType="separate"/>
      </w:r>
      <w:r>
        <w:rPr>
          <w:sz w:val="24"/>
        </w:rPr>
        <w:t>⑹</w:t>
      </w:r>
      <w:r>
        <w:rPr>
          <w:sz w:val="24"/>
        </w:rPr>
        <w:fldChar w:fldCharType="end"/>
      </w:r>
      <w:r>
        <w:rPr>
          <w:sz w:val="24"/>
        </w:rPr>
        <w:t>需使用混凝土的，应当使用预拌混凝土或者进行密闭搅拌并采取相应的扬尘防治措施，严禁现场露天搅拌。</w:t>
      </w:r>
    </w:p>
    <w:p w14:paraId="677AE385">
      <w:pPr>
        <w:snapToGrid w:val="0"/>
        <w:spacing w:before="0" w:beforeLines="0" w:line="360" w:lineRule="auto"/>
        <w:ind w:firstLine="480" w:firstLineChars="200"/>
        <w:jc w:val="left"/>
        <w:rPr>
          <w:sz w:val="24"/>
        </w:rPr>
      </w:pPr>
      <w:r>
        <w:rPr>
          <w:sz w:val="24"/>
        </w:rPr>
        <w:fldChar w:fldCharType="begin"/>
      </w:r>
      <w:r>
        <w:rPr>
          <w:sz w:val="24"/>
        </w:rPr>
        <w:instrText xml:space="preserve"> = 7 \* GB2 \* MERGEFORMAT </w:instrText>
      </w:r>
      <w:r>
        <w:rPr>
          <w:sz w:val="24"/>
        </w:rPr>
        <w:fldChar w:fldCharType="separate"/>
      </w:r>
      <w:r>
        <w:rPr>
          <w:sz w:val="24"/>
        </w:rPr>
        <w:t>⑺</w:t>
      </w:r>
      <w:r>
        <w:rPr>
          <w:sz w:val="24"/>
        </w:rPr>
        <w:fldChar w:fldCharType="end"/>
      </w:r>
      <w:r>
        <w:rPr>
          <w:sz w:val="24"/>
        </w:rPr>
        <w:t>施工工地闲置3个月以上时，应当对其裸露泥地进行临时绿化或者铺装。</w:t>
      </w:r>
    </w:p>
    <w:p w14:paraId="70776212">
      <w:pPr>
        <w:snapToGrid w:val="0"/>
        <w:spacing w:before="0" w:beforeLines="0" w:line="360" w:lineRule="auto"/>
        <w:ind w:firstLine="480" w:firstLineChars="200"/>
        <w:jc w:val="left"/>
        <w:rPr>
          <w:sz w:val="24"/>
        </w:rPr>
      </w:pPr>
      <w:r>
        <w:rPr>
          <w:sz w:val="24"/>
        </w:rPr>
        <w:fldChar w:fldCharType="begin"/>
      </w:r>
      <w:r>
        <w:rPr>
          <w:sz w:val="24"/>
        </w:rPr>
        <w:instrText xml:space="preserve"> = 8 \* GB2 \* MERGEFORMAT </w:instrText>
      </w:r>
      <w:r>
        <w:rPr>
          <w:sz w:val="24"/>
        </w:rPr>
        <w:fldChar w:fldCharType="separate"/>
      </w:r>
      <w:r>
        <w:rPr>
          <w:sz w:val="24"/>
        </w:rPr>
        <w:t>⑻</w:t>
      </w:r>
      <w:r>
        <w:rPr>
          <w:sz w:val="24"/>
        </w:rPr>
        <w:fldChar w:fldCharType="end"/>
      </w:r>
      <w:r>
        <w:rPr>
          <w:sz w:val="24"/>
        </w:rPr>
        <w:t>对工程材料、砂石、土方等易产生扬尘的物料应当密闭处理。在工地内堆放，应当采取覆盖防尘网或者防尘布，定期采取喷洒粉尘抑制剂、洒水等措施。</w:t>
      </w:r>
    </w:p>
    <w:p w14:paraId="2EFA36F0">
      <w:pPr>
        <w:snapToGrid w:val="0"/>
        <w:spacing w:before="0" w:beforeLines="0" w:line="360" w:lineRule="auto"/>
        <w:ind w:firstLine="480" w:firstLineChars="200"/>
        <w:jc w:val="left"/>
        <w:rPr>
          <w:sz w:val="24"/>
        </w:rPr>
      </w:pPr>
      <w:r>
        <w:rPr>
          <w:sz w:val="24"/>
        </w:rPr>
        <w:fldChar w:fldCharType="begin"/>
      </w:r>
      <w:r>
        <w:rPr>
          <w:sz w:val="24"/>
        </w:rPr>
        <w:instrText xml:space="preserve"> = 9 \* GB2 \* MERGEFORMAT </w:instrText>
      </w:r>
      <w:r>
        <w:rPr>
          <w:sz w:val="24"/>
        </w:rPr>
        <w:fldChar w:fldCharType="separate"/>
      </w:r>
      <w:r>
        <w:rPr>
          <w:sz w:val="24"/>
        </w:rPr>
        <w:t>⑼</w:t>
      </w:r>
      <w:r>
        <w:rPr>
          <w:sz w:val="24"/>
        </w:rPr>
        <w:fldChar w:fldCharType="end"/>
      </w:r>
      <w:r>
        <w:rPr>
          <w:sz w:val="24"/>
        </w:rPr>
        <w:t>在建筑物、构筑物上运送散装物料、建筑垃圾和渣土的，应当采用密闭方式清运，禁止高空抛掷、扬撒。</w:t>
      </w:r>
    </w:p>
    <w:p w14:paraId="501A6C54">
      <w:pPr>
        <w:snapToGrid w:val="0"/>
        <w:spacing w:before="0" w:beforeLines="0" w:line="360" w:lineRule="auto"/>
        <w:ind w:firstLine="480" w:firstLineChars="200"/>
        <w:jc w:val="left"/>
        <w:rPr>
          <w:sz w:val="24"/>
        </w:rPr>
      </w:pPr>
      <w:r>
        <w:rPr>
          <w:rFonts w:eastAsia="仿宋"/>
          <w:sz w:val="24"/>
        </w:rPr>
        <w:fldChar w:fldCharType="begin"/>
      </w:r>
      <w:r>
        <w:rPr>
          <w:rFonts w:eastAsia="仿宋"/>
          <w:sz w:val="24"/>
        </w:rPr>
        <w:instrText xml:space="preserve"> = 10 \* GB2 \* MERGEFORMAT </w:instrText>
      </w:r>
      <w:r>
        <w:rPr>
          <w:rFonts w:eastAsia="仿宋"/>
          <w:sz w:val="24"/>
        </w:rPr>
        <w:fldChar w:fldCharType="separate"/>
      </w:r>
      <w:r>
        <w:rPr>
          <w:rFonts w:eastAsia="仿宋"/>
          <w:sz w:val="24"/>
        </w:rPr>
        <w:t>⑽</w:t>
      </w:r>
      <w:r>
        <w:rPr>
          <w:rFonts w:eastAsia="仿宋"/>
          <w:sz w:val="24"/>
        </w:rPr>
        <w:fldChar w:fldCharType="end"/>
      </w:r>
      <w:r>
        <w:rPr>
          <w:sz w:val="24"/>
        </w:rPr>
        <w:t>运输砂石、渣土、土方、垃圾等的车辆应当采取</w:t>
      </w:r>
      <w:r>
        <w:rPr>
          <w:rFonts w:hint="eastAsia"/>
          <w:sz w:val="24"/>
          <w:lang w:eastAsia="zh-CN"/>
        </w:rPr>
        <w:t>篷</w:t>
      </w:r>
      <w:r>
        <w:rPr>
          <w:sz w:val="24"/>
        </w:rPr>
        <w:t>盖、密闭等措施，防止在运输过程中因物料遗撒而产生扬尘污染。</w:t>
      </w:r>
    </w:p>
    <w:p w14:paraId="20BAB5DF">
      <w:pPr>
        <w:snapToGrid w:val="0"/>
        <w:spacing w:before="0" w:beforeLines="0" w:line="360" w:lineRule="auto"/>
        <w:ind w:firstLine="480" w:firstLineChars="200"/>
        <w:jc w:val="left"/>
        <w:rPr>
          <w:sz w:val="24"/>
        </w:rPr>
      </w:pPr>
      <w:r>
        <w:rPr>
          <w:sz w:val="24"/>
        </w:rPr>
        <w:t>通过采取上述措施后，可有效控制施工期的扬尘污染，降低施工扬尘对周围环境的影响。</w:t>
      </w:r>
    </w:p>
    <w:p w14:paraId="35E0004F">
      <w:pPr>
        <w:pStyle w:val="5"/>
        <w:rPr>
          <w:color w:val="auto"/>
        </w:rPr>
      </w:pPr>
      <w:bookmarkStart w:id="567" w:name="_Toc45531542"/>
      <w:r>
        <w:rPr>
          <w:color w:val="auto"/>
        </w:rPr>
        <w:t>6.1.2废水治理措施</w:t>
      </w:r>
      <w:bookmarkEnd w:id="567"/>
    </w:p>
    <w:p w14:paraId="6D78976F">
      <w:pPr>
        <w:adjustRightInd w:val="0"/>
        <w:snapToGrid w:val="0"/>
        <w:spacing w:before="78" w:line="360" w:lineRule="auto"/>
        <w:ind w:firstLine="480" w:firstLineChars="200"/>
        <w:rPr>
          <w:bCs/>
          <w:sz w:val="24"/>
        </w:rPr>
      </w:pPr>
      <w:r>
        <w:rPr>
          <w:bCs/>
          <w:sz w:val="24"/>
        </w:rPr>
        <w:t>为减小施工期的水环境污染，项目拟采取如下措施：</w:t>
      </w:r>
    </w:p>
    <w:p w14:paraId="46567B21">
      <w:pPr>
        <w:adjustRightInd w:val="0"/>
        <w:snapToGrid w:val="0"/>
        <w:spacing w:before="78" w:line="360" w:lineRule="auto"/>
        <w:ind w:firstLine="480" w:firstLineChars="200"/>
        <w:rPr>
          <w:bCs/>
          <w:sz w:val="24"/>
        </w:rPr>
      </w:pPr>
      <w:r>
        <w:rPr>
          <w:sz w:val="24"/>
        </w:rPr>
        <w:fldChar w:fldCharType="begin"/>
      </w:r>
      <w:r>
        <w:rPr>
          <w:sz w:val="24"/>
        </w:rPr>
        <w:instrText xml:space="preserve"> = 1 \* GB2 \* MERGEFORMAT </w:instrText>
      </w:r>
      <w:r>
        <w:rPr>
          <w:sz w:val="24"/>
        </w:rPr>
        <w:fldChar w:fldCharType="separate"/>
      </w:r>
      <w:r>
        <w:rPr>
          <w:sz w:val="24"/>
        </w:rPr>
        <w:t>⑴</w:t>
      </w:r>
      <w:r>
        <w:rPr>
          <w:sz w:val="24"/>
        </w:rPr>
        <w:fldChar w:fldCharType="end"/>
      </w:r>
      <w:r>
        <w:rPr>
          <w:bCs/>
          <w:sz w:val="24"/>
        </w:rPr>
        <w:t>施工场地采用临时环保厕所，做好厕所防渗措施，粪便定时清掏，避免污染周围环境。</w:t>
      </w:r>
    </w:p>
    <w:p w14:paraId="7EBE79ED">
      <w:pPr>
        <w:adjustRightInd w:val="0"/>
        <w:snapToGrid w:val="0"/>
        <w:spacing w:before="78" w:line="360" w:lineRule="auto"/>
        <w:ind w:firstLine="480" w:firstLineChars="200"/>
        <w:rPr>
          <w:bCs/>
          <w:sz w:val="24"/>
        </w:rPr>
      </w:pPr>
      <w:r>
        <w:rPr>
          <w:sz w:val="24"/>
        </w:rPr>
        <w:fldChar w:fldCharType="begin"/>
      </w:r>
      <w:r>
        <w:rPr>
          <w:sz w:val="24"/>
        </w:rPr>
        <w:instrText xml:space="preserve"> = 2 \* GB2 \* MERGEFORMAT </w:instrText>
      </w:r>
      <w:r>
        <w:rPr>
          <w:sz w:val="24"/>
        </w:rPr>
        <w:fldChar w:fldCharType="separate"/>
      </w:r>
      <w:r>
        <w:rPr>
          <w:sz w:val="24"/>
        </w:rPr>
        <w:t>⑵</w:t>
      </w:r>
      <w:r>
        <w:rPr>
          <w:sz w:val="24"/>
        </w:rPr>
        <w:fldChar w:fldCharType="end"/>
      </w:r>
      <w:r>
        <w:rPr>
          <w:bCs/>
          <w:sz w:val="24"/>
        </w:rPr>
        <w:t>施工中清洗设备等产生的泥浆水不得排出施工场地以外，应采取</w:t>
      </w:r>
      <w:r>
        <w:rPr>
          <w:rFonts w:hint="eastAsia"/>
          <w:bCs/>
          <w:sz w:val="24"/>
          <w:lang w:eastAsia="zh-CN"/>
        </w:rPr>
        <w:t>设置</w:t>
      </w:r>
      <w:r>
        <w:rPr>
          <w:bCs/>
          <w:sz w:val="24"/>
        </w:rPr>
        <w:t>简易沉淀池，经沉淀处理后废水回用于场地抑尘，不外排。</w:t>
      </w:r>
    </w:p>
    <w:p w14:paraId="6C586A3D">
      <w:pPr>
        <w:adjustRightInd w:val="0"/>
        <w:snapToGrid w:val="0"/>
        <w:spacing w:before="78" w:line="360" w:lineRule="auto"/>
        <w:ind w:firstLine="480" w:firstLineChars="200"/>
        <w:rPr>
          <w:bCs/>
          <w:sz w:val="24"/>
        </w:rPr>
      </w:pPr>
      <w:r>
        <w:rPr>
          <w:bCs/>
          <w:sz w:val="24"/>
        </w:rPr>
        <w:t>采取上述措施后，将减少项目施工废水对周围环境的影响。</w:t>
      </w:r>
    </w:p>
    <w:p w14:paraId="16F08ACB">
      <w:pPr>
        <w:pStyle w:val="5"/>
        <w:rPr>
          <w:color w:val="auto"/>
        </w:rPr>
      </w:pPr>
      <w:bookmarkStart w:id="568" w:name="_Toc45531543"/>
      <w:r>
        <w:rPr>
          <w:color w:val="auto"/>
        </w:rPr>
        <w:t>6.1.3噪声防治措施</w:t>
      </w:r>
      <w:bookmarkEnd w:id="568"/>
    </w:p>
    <w:p w14:paraId="25093F20">
      <w:pPr>
        <w:adjustRightInd w:val="0"/>
        <w:snapToGrid w:val="0"/>
        <w:spacing w:before="78" w:line="360" w:lineRule="auto"/>
        <w:ind w:firstLine="480" w:firstLineChars="200"/>
        <w:rPr>
          <w:bCs/>
          <w:sz w:val="24"/>
        </w:rPr>
      </w:pPr>
      <w:r>
        <w:rPr>
          <w:bCs/>
          <w:sz w:val="24"/>
        </w:rPr>
        <w:t>为了减轻施工噪声对周围声环境的影响，建议采取以下措施：</w:t>
      </w:r>
    </w:p>
    <w:p w14:paraId="6EC77CFF">
      <w:pPr>
        <w:adjustRightInd w:val="0"/>
        <w:snapToGrid w:val="0"/>
        <w:spacing w:before="0" w:beforeLines="0" w:line="360" w:lineRule="auto"/>
        <w:ind w:firstLine="480" w:firstLineChars="200"/>
        <w:jc w:val="left"/>
        <w:rPr>
          <w:bCs/>
          <w:sz w:val="24"/>
        </w:rPr>
      </w:pPr>
      <w:r>
        <w:rPr>
          <w:sz w:val="24"/>
        </w:rPr>
        <w:fldChar w:fldCharType="begin"/>
      </w:r>
      <w:r>
        <w:rPr>
          <w:sz w:val="24"/>
        </w:rPr>
        <w:instrText xml:space="preserve"> = 1 \* GB2 \* MERGEFORMAT </w:instrText>
      </w:r>
      <w:r>
        <w:rPr>
          <w:sz w:val="24"/>
        </w:rPr>
        <w:fldChar w:fldCharType="separate"/>
      </w:r>
      <w:r>
        <w:rPr>
          <w:sz w:val="24"/>
        </w:rPr>
        <w:t>⑴</w:t>
      </w:r>
      <w:r>
        <w:rPr>
          <w:sz w:val="24"/>
        </w:rPr>
        <w:fldChar w:fldCharType="end"/>
      </w:r>
      <w:r>
        <w:rPr>
          <w:bCs/>
          <w:sz w:val="24"/>
        </w:rPr>
        <w:t>对固定高噪声设备尽量设置在远离人群的位置，避免施工噪声扰民；</w:t>
      </w:r>
    </w:p>
    <w:p w14:paraId="761342B0">
      <w:pPr>
        <w:adjustRightInd w:val="0"/>
        <w:snapToGrid w:val="0"/>
        <w:spacing w:before="0" w:beforeLines="0" w:line="360" w:lineRule="auto"/>
        <w:ind w:firstLine="480" w:firstLineChars="200"/>
        <w:jc w:val="left"/>
        <w:rPr>
          <w:bCs/>
          <w:sz w:val="24"/>
        </w:rPr>
      </w:pPr>
      <w:r>
        <w:rPr>
          <w:sz w:val="24"/>
        </w:rPr>
        <w:fldChar w:fldCharType="begin"/>
      </w:r>
      <w:r>
        <w:rPr>
          <w:sz w:val="24"/>
        </w:rPr>
        <w:instrText xml:space="preserve"> = 2 \* GB2 \* MERGEFORMAT </w:instrText>
      </w:r>
      <w:r>
        <w:rPr>
          <w:sz w:val="24"/>
        </w:rPr>
        <w:fldChar w:fldCharType="separate"/>
      </w:r>
      <w:r>
        <w:rPr>
          <w:sz w:val="24"/>
        </w:rPr>
        <w:t>⑵</w:t>
      </w:r>
      <w:r>
        <w:rPr>
          <w:sz w:val="24"/>
        </w:rPr>
        <w:fldChar w:fldCharType="end"/>
      </w:r>
      <w:r>
        <w:rPr>
          <w:bCs/>
          <w:sz w:val="24"/>
        </w:rPr>
        <w:t>应使用商品混凝土，不得在施工工地搅拌混凝土，混凝土需要连续浇注的必须办理夜间施工证；</w:t>
      </w:r>
    </w:p>
    <w:p w14:paraId="5BF2441C">
      <w:pPr>
        <w:adjustRightInd w:val="0"/>
        <w:snapToGrid w:val="0"/>
        <w:spacing w:before="0" w:beforeLines="0" w:line="360" w:lineRule="auto"/>
        <w:ind w:firstLine="480" w:firstLineChars="200"/>
        <w:jc w:val="left"/>
        <w:rPr>
          <w:bCs/>
          <w:sz w:val="24"/>
        </w:rPr>
      </w:pPr>
      <w:r>
        <w:rPr>
          <w:sz w:val="24"/>
        </w:rPr>
        <w:fldChar w:fldCharType="begin"/>
      </w:r>
      <w:r>
        <w:rPr>
          <w:sz w:val="24"/>
        </w:rPr>
        <w:instrText xml:space="preserve"> = 3 \* GB2 \* MERGEFORMAT </w:instrText>
      </w:r>
      <w:r>
        <w:rPr>
          <w:sz w:val="24"/>
        </w:rPr>
        <w:fldChar w:fldCharType="separate"/>
      </w:r>
      <w:r>
        <w:rPr>
          <w:sz w:val="24"/>
        </w:rPr>
        <w:t>⑶</w:t>
      </w:r>
      <w:r>
        <w:rPr>
          <w:sz w:val="24"/>
        </w:rPr>
        <w:fldChar w:fldCharType="end"/>
      </w:r>
      <w:r>
        <w:rPr>
          <w:bCs/>
          <w:sz w:val="24"/>
        </w:rPr>
        <w:t>合理安排施工计划，避免产生噪声大的设备同时开启；选用先进的、噪声小的施工设备，采取设置临时标准围挡，缩短一次开机时间、避免集中作业等减少噪声污染的必要防护措施，将施工噪声的影响减小到最低限度；</w:t>
      </w:r>
    </w:p>
    <w:p w14:paraId="782BCED8">
      <w:pPr>
        <w:adjustRightInd w:val="0"/>
        <w:snapToGrid w:val="0"/>
        <w:spacing w:before="0" w:beforeLines="0" w:line="360" w:lineRule="auto"/>
        <w:ind w:firstLine="480" w:firstLineChars="200"/>
        <w:jc w:val="left"/>
        <w:rPr>
          <w:bCs/>
          <w:sz w:val="24"/>
        </w:rPr>
      </w:pPr>
      <w:r>
        <w:rPr>
          <w:sz w:val="24"/>
        </w:rPr>
        <w:fldChar w:fldCharType="begin"/>
      </w:r>
      <w:r>
        <w:rPr>
          <w:sz w:val="24"/>
        </w:rPr>
        <w:instrText xml:space="preserve"> = 4 \* GB2 \* MERGEFORMAT </w:instrText>
      </w:r>
      <w:r>
        <w:rPr>
          <w:sz w:val="24"/>
        </w:rPr>
        <w:fldChar w:fldCharType="separate"/>
      </w:r>
      <w:r>
        <w:rPr>
          <w:sz w:val="24"/>
        </w:rPr>
        <w:t>⑷</w:t>
      </w:r>
      <w:r>
        <w:rPr>
          <w:sz w:val="24"/>
        </w:rPr>
        <w:fldChar w:fldCharType="end"/>
      </w:r>
      <w:r>
        <w:rPr>
          <w:bCs/>
          <w:sz w:val="24"/>
        </w:rPr>
        <w:t>需连续施工作业的必须在开工前到环保行政主管部门办理夜间施工审批，加强施工管理，减少人为噪声产生；</w:t>
      </w:r>
    </w:p>
    <w:p w14:paraId="43AB2B28">
      <w:pPr>
        <w:adjustRightInd w:val="0"/>
        <w:snapToGrid w:val="0"/>
        <w:spacing w:before="0" w:beforeLines="0" w:line="360" w:lineRule="auto"/>
        <w:ind w:firstLine="480" w:firstLineChars="200"/>
        <w:jc w:val="left"/>
        <w:rPr>
          <w:bCs/>
          <w:sz w:val="24"/>
        </w:rPr>
      </w:pPr>
      <w:r>
        <w:rPr>
          <w:sz w:val="24"/>
        </w:rPr>
        <w:fldChar w:fldCharType="begin"/>
      </w:r>
      <w:r>
        <w:rPr>
          <w:sz w:val="24"/>
        </w:rPr>
        <w:instrText xml:space="preserve"> = 5 \* GB2 \* MERGEFORMAT </w:instrText>
      </w:r>
      <w:r>
        <w:rPr>
          <w:sz w:val="24"/>
        </w:rPr>
        <w:fldChar w:fldCharType="separate"/>
      </w:r>
      <w:r>
        <w:rPr>
          <w:sz w:val="24"/>
        </w:rPr>
        <w:t>⑸</w:t>
      </w:r>
      <w:r>
        <w:rPr>
          <w:sz w:val="24"/>
        </w:rPr>
        <w:fldChar w:fldCharType="end"/>
      </w:r>
      <w:r>
        <w:rPr>
          <w:bCs/>
          <w:sz w:val="24"/>
        </w:rPr>
        <w:t>尽量采用低噪声的施工工具，如以液压工具代替气压工具，同时尽可能采用施工噪声低的施工方法。</w:t>
      </w:r>
    </w:p>
    <w:p w14:paraId="18A36C95">
      <w:pPr>
        <w:adjustRightInd w:val="0"/>
        <w:snapToGrid w:val="0"/>
        <w:spacing w:before="0" w:beforeLines="0" w:line="360" w:lineRule="auto"/>
        <w:ind w:firstLine="480" w:firstLineChars="200"/>
        <w:jc w:val="left"/>
        <w:rPr>
          <w:bCs/>
          <w:sz w:val="24"/>
        </w:rPr>
      </w:pPr>
      <w:r>
        <w:rPr>
          <w:bCs/>
          <w:sz w:val="24"/>
        </w:rPr>
        <w:t>除上述施工机械产生的噪声外，施工过程中各种运输车辆的运行，也将会对附近声环境造成一定影响。因此，应加强运输车辆的管理，尽量压缩工区的车流量和行车密度，禁止汽车鸣笛。</w:t>
      </w:r>
    </w:p>
    <w:p w14:paraId="50895BCE">
      <w:pPr>
        <w:adjustRightInd w:val="0"/>
        <w:snapToGrid w:val="0"/>
        <w:spacing w:before="0" w:beforeLines="0" w:line="360" w:lineRule="auto"/>
        <w:ind w:firstLine="480" w:firstLineChars="200"/>
        <w:jc w:val="left"/>
        <w:rPr>
          <w:bCs/>
          <w:sz w:val="24"/>
        </w:rPr>
      </w:pPr>
      <w:r>
        <w:rPr>
          <w:bCs/>
          <w:sz w:val="24"/>
        </w:rPr>
        <w:t>在采取上述措施后，将最大限度减少项目施工噪声对周围环境的影响。</w:t>
      </w:r>
    </w:p>
    <w:p w14:paraId="4093D935">
      <w:pPr>
        <w:pStyle w:val="5"/>
        <w:rPr>
          <w:color w:val="auto"/>
        </w:rPr>
      </w:pPr>
      <w:bookmarkStart w:id="569" w:name="_Toc45531544"/>
      <w:r>
        <w:rPr>
          <w:color w:val="auto"/>
        </w:rPr>
        <w:t>6.1.4固体废物处置措施</w:t>
      </w:r>
      <w:bookmarkEnd w:id="569"/>
    </w:p>
    <w:p w14:paraId="0300AB43">
      <w:pPr>
        <w:adjustRightInd w:val="0"/>
        <w:snapToGrid w:val="0"/>
        <w:spacing w:before="78" w:line="360" w:lineRule="auto"/>
        <w:ind w:firstLine="480" w:firstLineChars="200"/>
        <w:rPr>
          <w:bCs/>
          <w:sz w:val="24"/>
        </w:rPr>
      </w:pPr>
      <w:r>
        <w:rPr>
          <w:bCs/>
          <w:sz w:val="24"/>
        </w:rPr>
        <w:t>项目施工期生活垃圾拟袋装收集后暂存于垃圾箱内，定期由环卫部门统一处理；项目建筑垃圾拟分类收集，并尽可能回收再利用，不能再利用的送至相关部门指定地点处理。采取上述措施后，项目施工期固体废物对周围环境的不利影响将得到有效控制。</w:t>
      </w:r>
    </w:p>
    <w:p w14:paraId="4BB6D71F">
      <w:pPr>
        <w:pStyle w:val="5"/>
        <w:spacing w:before="156" w:after="156"/>
        <w:rPr>
          <w:color w:val="auto"/>
        </w:rPr>
      </w:pPr>
      <w:r>
        <w:rPr>
          <w:color w:val="auto"/>
        </w:rPr>
        <w:t>6.1.5生态环境防治措施</w:t>
      </w:r>
    </w:p>
    <w:p w14:paraId="7DDEAB3E">
      <w:pPr>
        <w:spacing w:before="0" w:beforeLines="0" w:line="360" w:lineRule="auto"/>
        <w:ind w:firstLine="480" w:firstLineChars="200"/>
        <w:rPr>
          <w:sz w:val="24"/>
          <w:szCs w:val="22"/>
          <w:lang w:val="zh-CN"/>
        </w:rPr>
      </w:pPr>
      <w:r>
        <w:rPr>
          <w:rFonts w:hint="eastAsia"/>
          <w:sz w:val="24"/>
          <w:szCs w:val="22"/>
          <w:lang w:val="zh-CN"/>
        </w:rPr>
        <w:t>施工期主要生态包括措施如下：</w:t>
      </w:r>
    </w:p>
    <w:p w14:paraId="5973D88D">
      <w:pPr>
        <w:spacing w:before="0" w:beforeLines="0" w:line="360" w:lineRule="auto"/>
        <w:ind w:firstLine="480" w:firstLineChars="200"/>
        <w:rPr>
          <w:sz w:val="24"/>
          <w:szCs w:val="22"/>
        </w:rPr>
      </w:pPr>
      <w:r>
        <w:rPr>
          <w:sz w:val="24"/>
          <w:szCs w:val="22"/>
          <w:lang w:val="zh-CN"/>
        </w:rPr>
        <w:t>（</w:t>
      </w:r>
      <w:r>
        <w:rPr>
          <w:sz w:val="24"/>
          <w:szCs w:val="22"/>
        </w:rPr>
        <w:t>1）施工设置物料存储区、垃圾箱，明确卫生责任区，确定责任人，并定期打扫清除。</w:t>
      </w:r>
    </w:p>
    <w:p w14:paraId="4C477349">
      <w:pPr>
        <w:spacing w:before="0" w:beforeLines="0" w:line="360" w:lineRule="auto"/>
        <w:ind w:firstLine="480" w:firstLineChars="200"/>
        <w:rPr>
          <w:sz w:val="24"/>
          <w:szCs w:val="22"/>
        </w:rPr>
      </w:pPr>
      <w:r>
        <w:rPr>
          <w:sz w:val="24"/>
          <w:szCs w:val="22"/>
        </w:rPr>
        <w:t>（2）施工作业场内的临时建筑尽可能采用成品或简易拼装方式，尽量减轻对土壤及植被的破坏。尽量减少施工人员及施工机械对作业场外的植被破坏。施工便道尽量利用现有道路。</w:t>
      </w:r>
    </w:p>
    <w:p w14:paraId="6C1E9E18">
      <w:pPr>
        <w:spacing w:before="0" w:beforeLines="0" w:line="360" w:lineRule="auto"/>
        <w:ind w:firstLine="480" w:firstLineChars="200"/>
        <w:rPr>
          <w:sz w:val="24"/>
          <w:szCs w:val="22"/>
        </w:rPr>
      </w:pPr>
      <w:r>
        <w:rPr>
          <w:sz w:val="24"/>
          <w:szCs w:val="22"/>
        </w:rPr>
        <w:t>（3）</w:t>
      </w:r>
      <w:r>
        <w:rPr>
          <w:rFonts w:hint="eastAsia"/>
          <w:bCs/>
          <w:snapToGrid w:val="0"/>
          <w:kern w:val="0"/>
          <w:sz w:val="24"/>
        </w:rPr>
        <w:t>施工时严格控制施工占地，尽量将施工区控制在现有厂界范围内。</w:t>
      </w:r>
      <w:r>
        <w:rPr>
          <w:sz w:val="24"/>
          <w:szCs w:val="22"/>
        </w:rPr>
        <w:t>施工建筑材料堆放场等临时用地如不可避免在施工作业带以外地段设置，尽可能考虑利用附近现有堆放场地。</w:t>
      </w:r>
    </w:p>
    <w:p w14:paraId="6DA3F21B">
      <w:pPr>
        <w:spacing w:before="0" w:beforeLines="0" w:line="360" w:lineRule="auto"/>
        <w:ind w:firstLine="480" w:firstLineChars="200"/>
        <w:rPr>
          <w:sz w:val="24"/>
          <w:szCs w:val="22"/>
        </w:rPr>
      </w:pPr>
      <w:r>
        <w:rPr>
          <w:sz w:val="24"/>
          <w:szCs w:val="22"/>
        </w:rPr>
        <w:t>（4）</w:t>
      </w:r>
      <w:r>
        <w:rPr>
          <w:rFonts w:hint="eastAsia"/>
          <w:bCs/>
          <w:snapToGrid w:val="0"/>
          <w:kern w:val="0"/>
          <w:sz w:val="24"/>
        </w:rPr>
        <w:t>合理安排施工季节和作业时间，优化施工方案，</w:t>
      </w:r>
      <w:r>
        <w:rPr>
          <w:sz w:val="24"/>
          <w:szCs w:val="22"/>
        </w:rPr>
        <w:t>施工前作业带场地清理，避免雨天施工，造成水土流失危害并污染周边环境；临时用地使用完后，立即恢复原貌。</w:t>
      </w:r>
    </w:p>
    <w:p w14:paraId="458BEB85">
      <w:pPr>
        <w:spacing w:before="0" w:beforeLines="0" w:line="360" w:lineRule="auto"/>
        <w:ind w:firstLine="480" w:firstLineChars="200"/>
        <w:rPr>
          <w:sz w:val="24"/>
          <w:szCs w:val="22"/>
        </w:rPr>
      </w:pPr>
      <w:r>
        <w:rPr>
          <w:sz w:val="24"/>
          <w:szCs w:val="22"/>
        </w:rPr>
        <w:t>（5）厂区、厂区道路建设过程中注意周围防护，采用合理的水土保持措施，工程道路的修筑过程中，做好排水工程，并且在厂区适当位置绿化，逐步恢复项目区生态环境。</w:t>
      </w:r>
    </w:p>
    <w:p w14:paraId="42229ED4">
      <w:pPr>
        <w:spacing w:before="0" w:beforeLines="0" w:line="360" w:lineRule="auto"/>
        <w:ind w:right="45" w:firstLine="480" w:firstLineChars="200"/>
        <w:rPr>
          <w:bCs/>
          <w:snapToGrid w:val="0"/>
          <w:kern w:val="0"/>
          <w:sz w:val="24"/>
        </w:rPr>
      </w:pPr>
      <w:r>
        <w:rPr>
          <w:sz w:val="24"/>
          <w:szCs w:val="22"/>
        </w:rPr>
        <w:t>通过以上环境保护措施能有效恢复当地的生态环境，因此，本项目建设阶段对周围生态环境影响较小。</w:t>
      </w:r>
    </w:p>
    <w:p w14:paraId="6175E148">
      <w:pPr>
        <w:pStyle w:val="4"/>
        <w:rPr>
          <w:rFonts w:ascii="Times New Roman" w:hAnsi="Times New Roman" w:eastAsia="宋体"/>
          <w:color w:val="auto"/>
          <w:kern w:val="0"/>
        </w:rPr>
      </w:pPr>
      <w:bookmarkStart w:id="570" w:name="_Toc17475986"/>
      <w:bookmarkStart w:id="571" w:name="_Toc239274286"/>
      <w:r>
        <w:rPr>
          <w:rFonts w:ascii="Times New Roman" w:hAnsi="Times New Roman" w:eastAsia="宋体"/>
          <w:color w:val="auto"/>
          <w:kern w:val="0"/>
        </w:rPr>
        <w:t>6.2运营期环境保护措施及其可行性论证</w:t>
      </w:r>
      <w:bookmarkEnd w:id="570"/>
      <w:bookmarkEnd w:id="571"/>
    </w:p>
    <w:p w14:paraId="02507C93">
      <w:pPr>
        <w:pStyle w:val="5"/>
        <w:spacing w:before="156" w:after="156"/>
        <w:rPr>
          <w:color w:val="auto"/>
        </w:rPr>
      </w:pPr>
      <w:r>
        <w:rPr>
          <w:color w:val="auto"/>
        </w:rPr>
        <w:t>6.2.1废气污染防治措施及其可行性论证</w:t>
      </w:r>
    </w:p>
    <w:p w14:paraId="64C7B8B7">
      <w:pPr>
        <w:pStyle w:val="190"/>
        <w:adjustRightInd w:val="0"/>
        <w:snapToGrid w:val="0"/>
        <w:ind w:firstLine="480"/>
        <w:jc w:val="left"/>
      </w:pPr>
      <w:r>
        <w:rPr>
          <w:rFonts w:hint="eastAsia"/>
        </w:rPr>
        <w:t>（1）</w:t>
      </w:r>
      <w:r>
        <w:t>废气污染防治措施</w:t>
      </w:r>
    </w:p>
    <w:p w14:paraId="5D062FDB">
      <w:pPr>
        <w:pStyle w:val="190"/>
        <w:adjustRightInd w:val="0"/>
        <w:snapToGrid w:val="0"/>
        <w:ind w:firstLine="480"/>
        <w:jc w:val="left"/>
      </w:pPr>
      <w:r>
        <w:t>本项目采取的废气污染防治措施见表6.2-1。</w:t>
      </w:r>
    </w:p>
    <w:p w14:paraId="4442D194">
      <w:pPr>
        <w:pStyle w:val="190"/>
        <w:adjustRightInd w:val="0"/>
        <w:snapToGrid w:val="0"/>
        <w:ind w:firstLine="480"/>
        <w:jc w:val="left"/>
      </w:pPr>
    </w:p>
    <w:p w14:paraId="5166BA33">
      <w:pPr>
        <w:pStyle w:val="143"/>
        <w:spacing w:before="156"/>
      </w:pPr>
      <w:r>
        <w:rPr>
          <w:b/>
          <w:bCs w:val="0"/>
        </w:rPr>
        <w:t>表6.2-1  本项目采取的废气污染防治措施汇总表</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57" w:type="dxa"/>
          <w:bottom w:w="0" w:type="dxa"/>
          <w:right w:w="57" w:type="dxa"/>
        </w:tblCellMar>
      </w:tblPr>
      <w:tblGrid>
        <w:gridCol w:w="545"/>
        <w:gridCol w:w="1194"/>
        <w:gridCol w:w="2070"/>
        <w:gridCol w:w="1425"/>
        <w:gridCol w:w="914"/>
        <w:gridCol w:w="2164"/>
      </w:tblGrid>
      <w:tr w14:paraId="634EC7C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5" w:hRule="atLeast"/>
          <w:jc w:val="center"/>
        </w:trPr>
        <w:tc>
          <w:tcPr>
            <w:tcW w:w="328" w:type="pct"/>
            <w:tcBorders>
              <w:tl2br w:val="nil"/>
              <w:tr2bl w:val="nil"/>
            </w:tcBorders>
            <w:vAlign w:val="center"/>
          </w:tcPr>
          <w:p w14:paraId="6D0227F7">
            <w:pPr>
              <w:pStyle w:val="160"/>
              <w:snapToGrid w:val="0"/>
              <w:rPr>
                <w:szCs w:val="21"/>
              </w:rPr>
            </w:pPr>
            <w:bookmarkStart w:id="572" w:name="_Hlk47877923"/>
            <w:r>
              <w:rPr>
                <w:szCs w:val="21"/>
              </w:rPr>
              <w:t>序号</w:t>
            </w:r>
          </w:p>
        </w:tc>
        <w:tc>
          <w:tcPr>
            <w:tcW w:w="1963" w:type="pct"/>
            <w:gridSpan w:val="2"/>
            <w:tcBorders>
              <w:tl2br w:val="nil"/>
              <w:tr2bl w:val="nil"/>
            </w:tcBorders>
            <w:vAlign w:val="center"/>
          </w:tcPr>
          <w:p w14:paraId="06C42F16">
            <w:pPr>
              <w:pStyle w:val="160"/>
              <w:snapToGrid w:val="0"/>
              <w:rPr>
                <w:szCs w:val="21"/>
              </w:rPr>
            </w:pPr>
            <w:r>
              <w:rPr>
                <w:szCs w:val="21"/>
              </w:rPr>
              <w:t>污染源项</w:t>
            </w:r>
          </w:p>
        </w:tc>
        <w:tc>
          <w:tcPr>
            <w:tcW w:w="857" w:type="pct"/>
            <w:tcBorders>
              <w:tl2br w:val="nil"/>
              <w:tr2bl w:val="nil"/>
            </w:tcBorders>
            <w:vAlign w:val="center"/>
          </w:tcPr>
          <w:p w14:paraId="2F4F1850">
            <w:pPr>
              <w:pStyle w:val="160"/>
              <w:snapToGrid w:val="0"/>
              <w:rPr>
                <w:szCs w:val="21"/>
              </w:rPr>
            </w:pPr>
            <w:r>
              <w:rPr>
                <w:szCs w:val="21"/>
              </w:rPr>
              <w:t>排放类型</w:t>
            </w:r>
          </w:p>
        </w:tc>
        <w:tc>
          <w:tcPr>
            <w:tcW w:w="550" w:type="pct"/>
            <w:tcBorders>
              <w:tl2br w:val="nil"/>
              <w:tr2bl w:val="nil"/>
            </w:tcBorders>
            <w:vAlign w:val="center"/>
          </w:tcPr>
          <w:p w14:paraId="08648D2F">
            <w:pPr>
              <w:pStyle w:val="160"/>
              <w:snapToGrid w:val="0"/>
              <w:rPr>
                <w:szCs w:val="21"/>
              </w:rPr>
            </w:pPr>
            <w:r>
              <w:rPr>
                <w:szCs w:val="21"/>
              </w:rPr>
              <w:t>污染物</w:t>
            </w:r>
          </w:p>
        </w:tc>
        <w:tc>
          <w:tcPr>
            <w:tcW w:w="1302" w:type="pct"/>
            <w:tcBorders>
              <w:tl2br w:val="nil"/>
              <w:tr2bl w:val="nil"/>
            </w:tcBorders>
            <w:vAlign w:val="center"/>
          </w:tcPr>
          <w:p w14:paraId="1488E891">
            <w:pPr>
              <w:pStyle w:val="160"/>
              <w:snapToGrid w:val="0"/>
              <w:rPr>
                <w:szCs w:val="21"/>
              </w:rPr>
            </w:pPr>
            <w:r>
              <w:rPr>
                <w:szCs w:val="21"/>
              </w:rPr>
              <w:t>污染防治措施</w:t>
            </w:r>
          </w:p>
        </w:tc>
      </w:tr>
      <w:tr w14:paraId="0381C46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5" w:hRule="atLeast"/>
          <w:jc w:val="center"/>
        </w:trPr>
        <w:tc>
          <w:tcPr>
            <w:tcW w:w="328" w:type="pct"/>
            <w:tcBorders>
              <w:tl2br w:val="nil"/>
              <w:tr2bl w:val="nil"/>
            </w:tcBorders>
            <w:vAlign w:val="center"/>
          </w:tcPr>
          <w:p w14:paraId="60524972">
            <w:pPr>
              <w:pStyle w:val="160"/>
              <w:snapToGrid w:val="0"/>
              <w:rPr>
                <w:szCs w:val="21"/>
              </w:rPr>
            </w:pPr>
            <w:r>
              <w:rPr>
                <w:szCs w:val="21"/>
              </w:rPr>
              <w:t>1</w:t>
            </w:r>
          </w:p>
        </w:tc>
        <w:tc>
          <w:tcPr>
            <w:tcW w:w="718" w:type="pct"/>
            <w:vMerge w:val="restart"/>
            <w:tcBorders>
              <w:tl2br w:val="nil"/>
              <w:tr2bl w:val="nil"/>
            </w:tcBorders>
            <w:vAlign w:val="center"/>
          </w:tcPr>
          <w:p w14:paraId="4FD890CD">
            <w:pPr>
              <w:spacing w:before="0" w:beforeLines="0" w:line="240" w:lineRule="auto"/>
              <w:jc w:val="center"/>
              <w:rPr>
                <w:szCs w:val="21"/>
              </w:rPr>
            </w:pPr>
            <w:r>
              <w:rPr>
                <w:szCs w:val="21"/>
              </w:rPr>
              <w:t>机制砂工艺</w:t>
            </w:r>
          </w:p>
        </w:tc>
        <w:tc>
          <w:tcPr>
            <w:tcW w:w="1245" w:type="pct"/>
            <w:tcBorders>
              <w:tl2br w:val="nil"/>
              <w:tr2bl w:val="nil"/>
            </w:tcBorders>
            <w:vAlign w:val="center"/>
          </w:tcPr>
          <w:p w14:paraId="4237E203">
            <w:pPr>
              <w:spacing w:before="0" w:beforeLines="0" w:line="240" w:lineRule="auto"/>
              <w:jc w:val="center"/>
              <w:rPr>
                <w:szCs w:val="21"/>
              </w:rPr>
            </w:pPr>
            <w:r>
              <w:rPr>
                <w:szCs w:val="21"/>
              </w:rPr>
              <w:t>筛分</w:t>
            </w:r>
          </w:p>
        </w:tc>
        <w:tc>
          <w:tcPr>
            <w:tcW w:w="857" w:type="pct"/>
            <w:tcBorders>
              <w:tl2br w:val="nil"/>
              <w:tr2bl w:val="nil"/>
            </w:tcBorders>
            <w:vAlign w:val="center"/>
          </w:tcPr>
          <w:p w14:paraId="74E66940">
            <w:pPr>
              <w:pStyle w:val="160"/>
              <w:snapToGrid w:val="0"/>
              <w:rPr>
                <w:szCs w:val="21"/>
              </w:rPr>
            </w:pPr>
            <w:r>
              <w:rPr>
                <w:szCs w:val="21"/>
              </w:rPr>
              <w:t>有组织</w:t>
            </w:r>
          </w:p>
        </w:tc>
        <w:tc>
          <w:tcPr>
            <w:tcW w:w="550" w:type="pct"/>
            <w:tcBorders>
              <w:tl2br w:val="nil"/>
              <w:tr2bl w:val="nil"/>
            </w:tcBorders>
            <w:vAlign w:val="center"/>
          </w:tcPr>
          <w:p w14:paraId="4660A620">
            <w:pPr>
              <w:pStyle w:val="160"/>
              <w:snapToGrid w:val="0"/>
              <w:rPr>
                <w:szCs w:val="21"/>
              </w:rPr>
            </w:pPr>
            <w:r>
              <w:rPr>
                <w:szCs w:val="21"/>
              </w:rPr>
              <w:t>颗粒物</w:t>
            </w:r>
          </w:p>
        </w:tc>
        <w:tc>
          <w:tcPr>
            <w:tcW w:w="1302" w:type="pct"/>
            <w:tcBorders>
              <w:tl2br w:val="nil"/>
              <w:tr2bl w:val="nil"/>
            </w:tcBorders>
            <w:vAlign w:val="center"/>
          </w:tcPr>
          <w:p w14:paraId="04D1E66E">
            <w:pPr>
              <w:pStyle w:val="160"/>
              <w:snapToGrid w:val="0"/>
              <w:rPr>
                <w:szCs w:val="21"/>
              </w:rPr>
            </w:pPr>
            <w:r>
              <w:rPr>
                <w:szCs w:val="21"/>
              </w:rPr>
              <w:t>1#袋式除尘器</w:t>
            </w:r>
          </w:p>
        </w:tc>
      </w:tr>
      <w:tr w14:paraId="1D0869A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5" w:hRule="atLeast"/>
          <w:jc w:val="center"/>
        </w:trPr>
        <w:tc>
          <w:tcPr>
            <w:tcW w:w="328" w:type="pct"/>
            <w:tcBorders>
              <w:tl2br w:val="nil"/>
              <w:tr2bl w:val="nil"/>
            </w:tcBorders>
            <w:vAlign w:val="center"/>
          </w:tcPr>
          <w:p w14:paraId="24589756">
            <w:pPr>
              <w:pStyle w:val="160"/>
              <w:snapToGrid w:val="0"/>
              <w:rPr>
                <w:szCs w:val="21"/>
              </w:rPr>
            </w:pPr>
            <w:r>
              <w:rPr>
                <w:szCs w:val="21"/>
              </w:rPr>
              <w:t>2</w:t>
            </w:r>
          </w:p>
        </w:tc>
        <w:tc>
          <w:tcPr>
            <w:tcW w:w="718" w:type="pct"/>
            <w:vMerge w:val="continue"/>
            <w:tcBorders>
              <w:tl2br w:val="nil"/>
              <w:tr2bl w:val="nil"/>
            </w:tcBorders>
            <w:vAlign w:val="center"/>
          </w:tcPr>
          <w:p w14:paraId="75B271A4">
            <w:pPr>
              <w:spacing w:before="0" w:beforeLines="0" w:line="240" w:lineRule="auto"/>
              <w:jc w:val="center"/>
              <w:rPr>
                <w:szCs w:val="21"/>
              </w:rPr>
            </w:pPr>
          </w:p>
        </w:tc>
        <w:tc>
          <w:tcPr>
            <w:tcW w:w="1245" w:type="pct"/>
            <w:tcBorders>
              <w:tl2br w:val="nil"/>
              <w:tr2bl w:val="nil"/>
            </w:tcBorders>
            <w:vAlign w:val="center"/>
          </w:tcPr>
          <w:p w14:paraId="59BE91A5">
            <w:pPr>
              <w:spacing w:before="0" w:beforeLines="0" w:line="240" w:lineRule="auto"/>
              <w:jc w:val="center"/>
              <w:rPr>
                <w:szCs w:val="21"/>
              </w:rPr>
            </w:pPr>
            <w:r>
              <w:rPr>
                <w:szCs w:val="21"/>
              </w:rPr>
              <w:t>筛分</w:t>
            </w:r>
          </w:p>
        </w:tc>
        <w:tc>
          <w:tcPr>
            <w:tcW w:w="857" w:type="pct"/>
            <w:tcBorders>
              <w:tl2br w:val="nil"/>
              <w:tr2bl w:val="nil"/>
            </w:tcBorders>
            <w:vAlign w:val="center"/>
          </w:tcPr>
          <w:p w14:paraId="7EE64486">
            <w:pPr>
              <w:snapToGrid w:val="0"/>
              <w:spacing w:before="0" w:beforeLines="0" w:line="240" w:lineRule="auto"/>
              <w:jc w:val="center"/>
              <w:rPr>
                <w:szCs w:val="21"/>
              </w:rPr>
            </w:pPr>
            <w:r>
              <w:rPr>
                <w:szCs w:val="21"/>
              </w:rPr>
              <w:t>有组织</w:t>
            </w:r>
          </w:p>
        </w:tc>
        <w:tc>
          <w:tcPr>
            <w:tcW w:w="550" w:type="pct"/>
            <w:tcBorders>
              <w:tl2br w:val="nil"/>
              <w:tr2bl w:val="nil"/>
            </w:tcBorders>
            <w:vAlign w:val="center"/>
          </w:tcPr>
          <w:p w14:paraId="62DFC3DC">
            <w:pPr>
              <w:snapToGrid w:val="0"/>
              <w:spacing w:before="0" w:beforeLines="0" w:line="240" w:lineRule="auto"/>
              <w:jc w:val="center"/>
              <w:rPr>
                <w:szCs w:val="21"/>
              </w:rPr>
            </w:pPr>
            <w:r>
              <w:rPr>
                <w:szCs w:val="21"/>
              </w:rPr>
              <w:t>颗粒物</w:t>
            </w:r>
          </w:p>
        </w:tc>
        <w:tc>
          <w:tcPr>
            <w:tcW w:w="1302" w:type="pct"/>
            <w:tcBorders>
              <w:tl2br w:val="nil"/>
              <w:tr2bl w:val="nil"/>
            </w:tcBorders>
            <w:vAlign w:val="center"/>
          </w:tcPr>
          <w:p w14:paraId="3D69C070">
            <w:pPr>
              <w:spacing w:before="0" w:beforeLines="0" w:line="240" w:lineRule="auto"/>
              <w:jc w:val="center"/>
              <w:rPr>
                <w:szCs w:val="21"/>
              </w:rPr>
            </w:pPr>
            <w:r>
              <w:rPr>
                <w:szCs w:val="21"/>
              </w:rPr>
              <w:t>2#袋式除尘器</w:t>
            </w:r>
          </w:p>
        </w:tc>
      </w:tr>
      <w:tr w14:paraId="0F59172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5" w:hRule="atLeast"/>
          <w:jc w:val="center"/>
        </w:trPr>
        <w:tc>
          <w:tcPr>
            <w:tcW w:w="328" w:type="pct"/>
            <w:tcBorders>
              <w:tl2br w:val="nil"/>
              <w:tr2bl w:val="nil"/>
            </w:tcBorders>
            <w:vAlign w:val="center"/>
          </w:tcPr>
          <w:p w14:paraId="66C9BA6D">
            <w:pPr>
              <w:pStyle w:val="160"/>
              <w:snapToGrid w:val="0"/>
              <w:rPr>
                <w:szCs w:val="21"/>
              </w:rPr>
            </w:pPr>
            <w:r>
              <w:rPr>
                <w:szCs w:val="21"/>
              </w:rPr>
              <w:t>3</w:t>
            </w:r>
          </w:p>
        </w:tc>
        <w:tc>
          <w:tcPr>
            <w:tcW w:w="718" w:type="pct"/>
            <w:vMerge w:val="continue"/>
            <w:tcBorders>
              <w:tl2br w:val="nil"/>
              <w:tr2bl w:val="nil"/>
            </w:tcBorders>
            <w:vAlign w:val="center"/>
          </w:tcPr>
          <w:p w14:paraId="6401DF7B">
            <w:pPr>
              <w:spacing w:before="0" w:beforeLines="0" w:line="240" w:lineRule="auto"/>
              <w:jc w:val="center"/>
              <w:rPr>
                <w:szCs w:val="21"/>
              </w:rPr>
            </w:pPr>
          </w:p>
        </w:tc>
        <w:tc>
          <w:tcPr>
            <w:tcW w:w="1245" w:type="pct"/>
            <w:tcBorders>
              <w:tl2br w:val="nil"/>
              <w:tr2bl w:val="nil"/>
            </w:tcBorders>
            <w:vAlign w:val="center"/>
          </w:tcPr>
          <w:p w14:paraId="36E76380">
            <w:pPr>
              <w:spacing w:before="0" w:beforeLines="0" w:line="240" w:lineRule="auto"/>
              <w:jc w:val="center"/>
              <w:rPr>
                <w:szCs w:val="21"/>
              </w:rPr>
            </w:pPr>
            <w:r>
              <w:rPr>
                <w:szCs w:val="21"/>
              </w:rPr>
              <w:t>磁选</w:t>
            </w:r>
            <w:r>
              <w:rPr>
                <w:rFonts w:hint="eastAsia"/>
                <w:szCs w:val="21"/>
              </w:rPr>
              <w:t>、抛砂</w:t>
            </w:r>
            <w:r>
              <w:rPr>
                <w:szCs w:val="21"/>
              </w:rPr>
              <w:t>分离</w:t>
            </w:r>
          </w:p>
        </w:tc>
        <w:tc>
          <w:tcPr>
            <w:tcW w:w="857" w:type="pct"/>
            <w:tcBorders>
              <w:tl2br w:val="nil"/>
              <w:tr2bl w:val="nil"/>
            </w:tcBorders>
            <w:vAlign w:val="center"/>
          </w:tcPr>
          <w:p w14:paraId="65E0FBF7">
            <w:pPr>
              <w:snapToGrid w:val="0"/>
              <w:spacing w:before="0" w:beforeLines="0" w:line="240" w:lineRule="auto"/>
              <w:jc w:val="center"/>
              <w:rPr>
                <w:szCs w:val="21"/>
              </w:rPr>
            </w:pPr>
            <w:r>
              <w:rPr>
                <w:szCs w:val="21"/>
              </w:rPr>
              <w:t>有组织</w:t>
            </w:r>
          </w:p>
        </w:tc>
        <w:tc>
          <w:tcPr>
            <w:tcW w:w="550" w:type="pct"/>
            <w:tcBorders>
              <w:tl2br w:val="nil"/>
              <w:tr2bl w:val="nil"/>
            </w:tcBorders>
            <w:vAlign w:val="center"/>
          </w:tcPr>
          <w:p w14:paraId="032F241A">
            <w:pPr>
              <w:snapToGrid w:val="0"/>
              <w:spacing w:before="0" w:beforeLines="0" w:line="240" w:lineRule="auto"/>
              <w:jc w:val="center"/>
              <w:rPr>
                <w:szCs w:val="21"/>
              </w:rPr>
            </w:pPr>
            <w:r>
              <w:rPr>
                <w:szCs w:val="21"/>
              </w:rPr>
              <w:t>颗粒物</w:t>
            </w:r>
          </w:p>
        </w:tc>
        <w:tc>
          <w:tcPr>
            <w:tcW w:w="1302" w:type="pct"/>
            <w:tcBorders>
              <w:tl2br w:val="nil"/>
              <w:tr2bl w:val="nil"/>
            </w:tcBorders>
            <w:vAlign w:val="center"/>
          </w:tcPr>
          <w:p w14:paraId="4288A61A">
            <w:pPr>
              <w:pStyle w:val="160"/>
              <w:snapToGrid w:val="0"/>
              <w:rPr>
                <w:szCs w:val="21"/>
              </w:rPr>
            </w:pPr>
            <w:r>
              <w:rPr>
                <w:szCs w:val="21"/>
              </w:rPr>
              <w:t>3#袋式除尘器</w:t>
            </w:r>
          </w:p>
        </w:tc>
      </w:tr>
      <w:tr w14:paraId="75A5C11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5" w:hRule="atLeast"/>
          <w:jc w:val="center"/>
        </w:trPr>
        <w:tc>
          <w:tcPr>
            <w:tcW w:w="328" w:type="pct"/>
            <w:tcBorders>
              <w:tl2br w:val="nil"/>
              <w:tr2bl w:val="nil"/>
            </w:tcBorders>
            <w:vAlign w:val="center"/>
          </w:tcPr>
          <w:p w14:paraId="430D6041">
            <w:pPr>
              <w:pStyle w:val="160"/>
              <w:snapToGrid w:val="0"/>
              <w:rPr>
                <w:szCs w:val="21"/>
              </w:rPr>
            </w:pPr>
            <w:r>
              <w:rPr>
                <w:rFonts w:hint="eastAsia"/>
                <w:szCs w:val="21"/>
              </w:rPr>
              <w:t>4</w:t>
            </w:r>
          </w:p>
        </w:tc>
        <w:tc>
          <w:tcPr>
            <w:tcW w:w="718" w:type="pct"/>
            <w:vMerge w:val="restart"/>
            <w:tcBorders>
              <w:tl2br w:val="nil"/>
              <w:tr2bl w:val="nil"/>
            </w:tcBorders>
            <w:vAlign w:val="center"/>
          </w:tcPr>
          <w:p w14:paraId="73327547">
            <w:pPr>
              <w:spacing w:before="0" w:beforeLines="0" w:line="240" w:lineRule="auto"/>
              <w:jc w:val="center"/>
              <w:rPr>
                <w:szCs w:val="21"/>
              </w:rPr>
            </w:pPr>
            <w:r>
              <w:rPr>
                <w:szCs w:val="21"/>
              </w:rPr>
              <w:t>碎石工艺</w:t>
            </w:r>
          </w:p>
        </w:tc>
        <w:tc>
          <w:tcPr>
            <w:tcW w:w="1245" w:type="pct"/>
            <w:tcBorders>
              <w:tl2br w:val="nil"/>
              <w:tr2bl w:val="nil"/>
            </w:tcBorders>
            <w:vAlign w:val="center"/>
          </w:tcPr>
          <w:p w14:paraId="71CA128F">
            <w:pPr>
              <w:spacing w:before="0" w:beforeLines="0" w:line="240" w:lineRule="auto"/>
              <w:jc w:val="center"/>
              <w:rPr>
                <w:szCs w:val="21"/>
              </w:rPr>
            </w:pPr>
            <w:r>
              <w:rPr>
                <w:szCs w:val="21"/>
              </w:rPr>
              <w:t>破碎</w:t>
            </w:r>
          </w:p>
        </w:tc>
        <w:tc>
          <w:tcPr>
            <w:tcW w:w="857" w:type="pct"/>
            <w:tcBorders>
              <w:tl2br w:val="nil"/>
              <w:tr2bl w:val="nil"/>
            </w:tcBorders>
            <w:vAlign w:val="center"/>
          </w:tcPr>
          <w:p w14:paraId="7036FC32">
            <w:pPr>
              <w:snapToGrid w:val="0"/>
              <w:spacing w:before="0" w:beforeLines="0" w:line="240" w:lineRule="auto"/>
              <w:jc w:val="center"/>
              <w:rPr>
                <w:szCs w:val="21"/>
              </w:rPr>
            </w:pPr>
            <w:r>
              <w:rPr>
                <w:szCs w:val="21"/>
              </w:rPr>
              <w:t>有组织</w:t>
            </w:r>
          </w:p>
        </w:tc>
        <w:tc>
          <w:tcPr>
            <w:tcW w:w="550" w:type="pct"/>
            <w:tcBorders>
              <w:tl2br w:val="nil"/>
              <w:tr2bl w:val="nil"/>
            </w:tcBorders>
            <w:vAlign w:val="center"/>
          </w:tcPr>
          <w:p w14:paraId="0875FAEF">
            <w:pPr>
              <w:snapToGrid w:val="0"/>
              <w:spacing w:before="0" w:beforeLines="0" w:line="240" w:lineRule="auto"/>
              <w:jc w:val="center"/>
              <w:rPr>
                <w:szCs w:val="21"/>
              </w:rPr>
            </w:pPr>
            <w:r>
              <w:rPr>
                <w:szCs w:val="21"/>
              </w:rPr>
              <w:t>颗粒物</w:t>
            </w:r>
          </w:p>
        </w:tc>
        <w:tc>
          <w:tcPr>
            <w:tcW w:w="1302" w:type="pct"/>
            <w:vMerge w:val="restart"/>
            <w:tcBorders>
              <w:tl2br w:val="nil"/>
              <w:tr2bl w:val="nil"/>
            </w:tcBorders>
            <w:vAlign w:val="center"/>
          </w:tcPr>
          <w:p w14:paraId="3128648A">
            <w:pPr>
              <w:spacing w:before="0" w:beforeLines="0" w:line="240" w:lineRule="auto"/>
              <w:jc w:val="center"/>
              <w:rPr>
                <w:szCs w:val="21"/>
              </w:rPr>
            </w:pPr>
            <w:r>
              <w:rPr>
                <w:rFonts w:hint="eastAsia"/>
                <w:szCs w:val="21"/>
              </w:rPr>
              <w:t>4</w:t>
            </w:r>
            <w:r>
              <w:rPr>
                <w:szCs w:val="21"/>
              </w:rPr>
              <w:t>#袋式除尘器</w:t>
            </w:r>
          </w:p>
        </w:tc>
      </w:tr>
      <w:tr w14:paraId="255EEAC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5" w:hRule="atLeast"/>
          <w:jc w:val="center"/>
        </w:trPr>
        <w:tc>
          <w:tcPr>
            <w:tcW w:w="328" w:type="pct"/>
            <w:tcBorders>
              <w:tl2br w:val="nil"/>
              <w:tr2bl w:val="nil"/>
            </w:tcBorders>
            <w:vAlign w:val="center"/>
          </w:tcPr>
          <w:p w14:paraId="1D5ACD09">
            <w:pPr>
              <w:pStyle w:val="160"/>
              <w:snapToGrid w:val="0"/>
              <w:rPr>
                <w:szCs w:val="21"/>
              </w:rPr>
            </w:pPr>
            <w:r>
              <w:rPr>
                <w:rFonts w:hint="eastAsia"/>
                <w:szCs w:val="21"/>
              </w:rPr>
              <w:t>5</w:t>
            </w:r>
          </w:p>
        </w:tc>
        <w:tc>
          <w:tcPr>
            <w:tcW w:w="718" w:type="pct"/>
            <w:vMerge w:val="continue"/>
            <w:tcBorders>
              <w:tl2br w:val="nil"/>
              <w:tr2bl w:val="nil"/>
            </w:tcBorders>
            <w:vAlign w:val="center"/>
          </w:tcPr>
          <w:p w14:paraId="3F788692">
            <w:pPr>
              <w:spacing w:before="0" w:beforeLines="0" w:line="240" w:lineRule="auto"/>
              <w:jc w:val="center"/>
              <w:rPr>
                <w:szCs w:val="21"/>
              </w:rPr>
            </w:pPr>
          </w:p>
        </w:tc>
        <w:tc>
          <w:tcPr>
            <w:tcW w:w="1245" w:type="pct"/>
            <w:tcBorders>
              <w:tl2br w:val="nil"/>
              <w:tr2bl w:val="nil"/>
            </w:tcBorders>
            <w:vAlign w:val="center"/>
          </w:tcPr>
          <w:p w14:paraId="0DCF60A4">
            <w:pPr>
              <w:spacing w:before="0" w:beforeLines="0" w:line="240" w:lineRule="auto"/>
              <w:jc w:val="center"/>
              <w:rPr>
                <w:szCs w:val="21"/>
              </w:rPr>
            </w:pPr>
            <w:r>
              <w:rPr>
                <w:szCs w:val="21"/>
              </w:rPr>
              <w:t>磁选</w:t>
            </w:r>
          </w:p>
        </w:tc>
        <w:tc>
          <w:tcPr>
            <w:tcW w:w="857" w:type="pct"/>
            <w:tcBorders>
              <w:tl2br w:val="nil"/>
              <w:tr2bl w:val="nil"/>
            </w:tcBorders>
            <w:vAlign w:val="center"/>
          </w:tcPr>
          <w:p w14:paraId="67BB1FA2">
            <w:pPr>
              <w:snapToGrid w:val="0"/>
              <w:spacing w:before="0" w:beforeLines="0" w:line="240" w:lineRule="auto"/>
              <w:jc w:val="center"/>
              <w:rPr>
                <w:szCs w:val="21"/>
              </w:rPr>
            </w:pPr>
            <w:r>
              <w:rPr>
                <w:szCs w:val="21"/>
              </w:rPr>
              <w:t>有组织</w:t>
            </w:r>
          </w:p>
        </w:tc>
        <w:tc>
          <w:tcPr>
            <w:tcW w:w="550" w:type="pct"/>
            <w:tcBorders>
              <w:tl2br w:val="nil"/>
              <w:tr2bl w:val="nil"/>
            </w:tcBorders>
            <w:vAlign w:val="center"/>
          </w:tcPr>
          <w:p w14:paraId="10B98290">
            <w:pPr>
              <w:snapToGrid w:val="0"/>
              <w:spacing w:before="0" w:beforeLines="0" w:line="240" w:lineRule="auto"/>
              <w:jc w:val="center"/>
              <w:rPr>
                <w:szCs w:val="21"/>
              </w:rPr>
            </w:pPr>
            <w:r>
              <w:rPr>
                <w:szCs w:val="21"/>
              </w:rPr>
              <w:t>颗粒物</w:t>
            </w:r>
          </w:p>
        </w:tc>
        <w:tc>
          <w:tcPr>
            <w:tcW w:w="1302" w:type="pct"/>
            <w:vMerge w:val="continue"/>
            <w:tcBorders>
              <w:tl2br w:val="nil"/>
              <w:tr2bl w:val="nil"/>
            </w:tcBorders>
            <w:vAlign w:val="center"/>
          </w:tcPr>
          <w:p w14:paraId="37D299B1">
            <w:pPr>
              <w:pStyle w:val="160"/>
              <w:snapToGrid w:val="0"/>
              <w:rPr>
                <w:szCs w:val="21"/>
              </w:rPr>
            </w:pPr>
          </w:p>
        </w:tc>
      </w:tr>
      <w:tr w14:paraId="1E85CE7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5" w:hRule="atLeast"/>
          <w:jc w:val="center"/>
        </w:trPr>
        <w:tc>
          <w:tcPr>
            <w:tcW w:w="328" w:type="pct"/>
            <w:tcBorders>
              <w:tl2br w:val="nil"/>
              <w:tr2bl w:val="nil"/>
            </w:tcBorders>
            <w:vAlign w:val="center"/>
          </w:tcPr>
          <w:p w14:paraId="45628999">
            <w:pPr>
              <w:pStyle w:val="160"/>
              <w:snapToGrid w:val="0"/>
              <w:rPr>
                <w:szCs w:val="21"/>
              </w:rPr>
            </w:pPr>
            <w:r>
              <w:rPr>
                <w:rFonts w:hint="eastAsia"/>
                <w:szCs w:val="21"/>
              </w:rPr>
              <w:t>6</w:t>
            </w:r>
          </w:p>
        </w:tc>
        <w:tc>
          <w:tcPr>
            <w:tcW w:w="718" w:type="pct"/>
            <w:vMerge w:val="continue"/>
            <w:tcBorders>
              <w:tl2br w:val="nil"/>
              <w:tr2bl w:val="nil"/>
            </w:tcBorders>
            <w:vAlign w:val="center"/>
          </w:tcPr>
          <w:p w14:paraId="7045853A">
            <w:pPr>
              <w:spacing w:before="0" w:beforeLines="0" w:line="240" w:lineRule="auto"/>
              <w:jc w:val="center"/>
              <w:rPr>
                <w:kern w:val="32"/>
                <w:szCs w:val="21"/>
              </w:rPr>
            </w:pPr>
          </w:p>
        </w:tc>
        <w:tc>
          <w:tcPr>
            <w:tcW w:w="1245" w:type="pct"/>
            <w:tcBorders>
              <w:tl2br w:val="nil"/>
              <w:tr2bl w:val="nil"/>
            </w:tcBorders>
            <w:vAlign w:val="center"/>
          </w:tcPr>
          <w:p w14:paraId="3614E953">
            <w:pPr>
              <w:spacing w:before="0" w:beforeLines="0" w:line="240" w:lineRule="auto"/>
              <w:jc w:val="center"/>
              <w:rPr>
                <w:szCs w:val="21"/>
              </w:rPr>
            </w:pPr>
            <w:r>
              <w:rPr>
                <w:szCs w:val="21"/>
              </w:rPr>
              <w:t>破碎-筛分</w:t>
            </w:r>
          </w:p>
        </w:tc>
        <w:tc>
          <w:tcPr>
            <w:tcW w:w="857" w:type="pct"/>
            <w:tcBorders>
              <w:tl2br w:val="nil"/>
              <w:tr2bl w:val="nil"/>
            </w:tcBorders>
            <w:vAlign w:val="center"/>
          </w:tcPr>
          <w:p w14:paraId="5B47D451">
            <w:pPr>
              <w:snapToGrid w:val="0"/>
              <w:spacing w:before="0" w:beforeLines="0" w:line="240" w:lineRule="auto"/>
              <w:jc w:val="center"/>
              <w:rPr>
                <w:szCs w:val="21"/>
              </w:rPr>
            </w:pPr>
            <w:r>
              <w:rPr>
                <w:szCs w:val="21"/>
              </w:rPr>
              <w:t>有组织</w:t>
            </w:r>
          </w:p>
        </w:tc>
        <w:tc>
          <w:tcPr>
            <w:tcW w:w="550" w:type="pct"/>
            <w:tcBorders>
              <w:tl2br w:val="nil"/>
              <w:tr2bl w:val="nil"/>
            </w:tcBorders>
            <w:vAlign w:val="center"/>
          </w:tcPr>
          <w:p w14:paraId="6DA905FC">
            <w:pPr>
              <w:snapToGrid w:val="0"/>
              <w:spacing w:before="0" w:beforeLines="0" w:line="240" w:lineRule="auto"/>
              <w:jc w:val="center"/>
              <w:rPr>
                <w:szCs w:val="21"/>
              </w:rPr>
            </w:pPr>
            <w:r>
              <w:rPr>
                <w:szCs w:val="21"/>
              </w:rPr>
              <w:t>颗粒物</w:t>
            </w:r>
          </w:p>
        </w:tc>
        <w:tc>
          <w:tcPr>
            <w:tcW w:w="1302" w:type="pct"/>
            <w:vMerge w:val="continue"/>
            <w:tcBorders>
              <w:tl2br w:val="nil"/>
              <w:tr2bl w:val="nil"/>
            </w:tcBorders>
            <w:vAlign w:val="center"/>
          </w:tcPr>
          <w:p w14:paraId="0857773B">
            <w:pPr>
              <w:pStyle w:val="160"/>
              <w:snapToGrid w:val="0"/>
              <w:rPr>
                <w:szCs w:val="21"/>
              </w:rPr>
            </w:pPr>
          </w:p>
        </w:tc>
      </w:tr>
      <w:tr w14:paraId="428C313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5" w:hRule="atLeast"/>
          <w:jc w:val="center"/>
        </w:trPr>
        <w:tc>
          <w:tcPr>
            <w:tcW w:w="328" w:type="pct"/>
            <w:tcBorders>
              <w:tl2br w:val="nil"/>
              <w:tr2bl w:val="nil"/>
            </w:tcBorders>
            <w:vAlign w:val="center"/>
          </w:tcPr>
          <w:p w14:paraId="60D4791D">
            <w:pPr>
              <w:pStyle w:val="160"/>
              <w:snapToGrid w:val="0"/>
              <w:rPr>
                <w:szCs w:val="21"/>
              </w:rPr>
            </w:pPr>
            <w:r>
              <w:rPr>
                <w:rFonts w:hint="eastAsia"/>
                <w:szCs w:val="21"/>
              </w:rPr>
              <w:t>7</w:t>
            </w:r>
          </w:p>
        </w:tc>
        <w:tc>
          <w:tcPr>
            <w:tcW w:w="1963" w:type="pct"/>
            <w:gridSpan w:val="2"/>
            <w:tcBorders>
              <w:tl2br w:val="nil"/>
              <w:tr2bl w:val="nil"/>
            </w:tcBorders>
            <w:vAlign w:val="center"/>
          </w:tcPr>
          <w:p w14:paraId="52373503">
            <w:pPr>
              <w:tabs>
                <w:tab w:val="left" w:pos="369"/>
              </w:tabs>
              <w:spacing w:before="0" w:beforeLines="0" w:line="240" w:lineRule="auto"/>
              <w:jc w:val="center"/>
              <w:rPr>
                <w:szCs w:val="21"/>
              </w:rPr>
            </w:pPr>
            <w:r>
              <w:rPr>
                <w:szCs w:val="21"/>
              </w:rPr>
              <w:t>抛砂车间</w:t>
            </w:r>
          </w:p>
        </w:tc>
        <w:tc>
          <w:tcPr>
            <w:tcW w:w="857" w:type="pct"/>
            <w:tcBorders>
              <w:tl2br w:val="nil"/>
              <w:tr2bl w:val="nil"/>
            </w:tcBorders>
            <w:vAlign w:val="center"/>
          </w:tcPr>
          <w:p w14:paraId="2AF98803">
            <w:pPr>
              <w:pStyle w:val="160"/>
              <w:snapToGrid w:val="0"/>
              <w:rPr>
                <w:szCs w:val="21"/>
              </w:rPr>
            </w:pPr>
            <w:r>
              <w:rPr>
                <w:szCs w:val="21"/>
              </w:rPr>
              <w:t>无组织</w:t>
            </w:r>
          </w:p>
        </w:tc>
        <w:tc>
          <w:tcPr>
            <w:tcW w:w="550" w:type="pct"/>
            <w:tcBorders>
              <w:tl2br w:val="nil"/>
              <w:tr2bl w:val="nil"/>
            </w:tcBorders>
            <w:vAlign w:val="center"/>
          </w:tcPr>
          <w:p w14:paraId="41E39F5A">
            <w:pPr>
              <w:snapToGrid w:val="0"/>
              <w:spacing w:before="0" w:beforeLines="0" w:line="240" w:lineRule="auto"/>
              <w:jc w:val="center"/>
              <w:rPr>
                <w:szCs w:val="21"/>
              </w:rPr>
            </w:pPr>
            <w:r>
              <w:rPr>
                <w:szCs w:val="21"/>
              </w:rPr>
              <w:t>颗粒物</w:t>
            </w:r>
          </w:p>
        </w:tc>
        <w:tc>
          <w:tcPr>
            <w:tcW w:w="1302" w:type="pct"/>
            <w:vMerge w:val="restart"/>
            <w:tcBorders>
              <w:tl2br w:val="nil"/>
              <w:tr2bl w:val="nil"/>
            </w:tcBorders>
            <w:vAlign w:val="center"/>
          </w:tcPr>
          <w:p w14:paraId="54650561">
            <w:pPr>
              <w:spacing w:before="0" w:beforeLines="0" w:line="240" w:lineRule="auto"/>
              <w:jc w:val="center"/>
              <w:rPr>
                <w:szCs w:val="21"/>
              </w:rPr>
            </w:pPr>
            <w:r>
              <w:rPr>
                <w:rFonts w:hint="eastAsia"/>
                <w:szCs w:val="21"/>
              </w:rPr>
              <w:t>地面硬化、车间喷雾</w:t>
            </w:r>
            <w:r>
              <w:rPr>
                <w:szCs w:val="21"/>
              </w:rPr>
              <w:t>洒水</w:t>
            </w:r>
            <w:r>
              <w:rPr>
                <w:rFonts w:hint="eastAsia"/>
                <w:szCs w:val="21"/>
              </w:rPr>
              <w:t>、皮带封闭、设备密闭、车间封闭等</w:t>
            </w:r>
          </w:p>
        </w:tc>
      </w:tr>
      <w:tr w14:paraId="2BB0AC1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5" w:hRule="atLeast"/>
          <w:jc w:val="center"/>
        </w:trPr>
        <w:tc>
          <w:tcPr>
            <w:tcW w:w="328" w:type="pct"/>
            <w:tcBorders>
              <w:tl2br w:val="nil"/>
              <w:tr2bl w:val="nil"/>
            </w:tcBorders>
            <w:vAlign w:val="center"/>
          </w:tcPr>
          <w:p w14:paraId="174979DB">
            <w:pPr>
              <w:pStyle w:val="160"/>
              <w:snapToGrid w:val="0"/>
              <w:rPr>
                <w:szCs w:val="21"/>
              </w:rPr>
            </w:pPr>
            <w:r>
              <w:rPr>
                <w:rFonts w:hint="eastAsia"/>
                <w:szCs w:val="21"/>
              </w:rPr>
              <w:t>8</w:t>
            </w:r>
          </w:p>
        </w:tc>
        <w:tc>
          <w:tcPr>
            <w:tcW w:w="1963" w:type="pct"/>
            <w:gridSpan w:val="2"/>
            <w:tcBorders>
              <w:tl2br w:val="nil"/>
              <w:tr2bl w:val="nil"/>
            </w:tcBorders>
            <w:vAlign w:val="center"/>
          </w:tcPr>
          <w:p w14:paraId="78D47CBB">
            <w:pPr>
              <w:spacing w:before="0" w:beforeLines="0" w:line="240" w:lineRule="auto"/>
              <w:jc w:val="center"/>
              <w:rPr>
                <w:szCs w:val="21"/>
              </w:rPr>
            </w:pPr>
            <w:r>
              <w:rPr>
                <w:rFonts w:hint="eastAsia"/>
                <w:szCs w:val="21"/>
              </w:rPr>
              <w:t>机制砂车间</w:t>
            </w:r>
          </w:p>
        </w:tc>
        <w:tc>
          <w:tcPr>
            <w:tcW w:w="857" w:type="pct"/>
            <w:tcBorders>
              <w:tl2br w:val="nil"/>
              <w:tr2bl w:val="nil"/>
            </w:tcBorders>
            <w:vAlign w:val="center"/>
          </w:tcPr>
          <w:p w14:paraId="0AC1F84A">
            <w:pPr>
              <w:snapToGrid w:val="0"/>
              <w:spacing w:before="0" w:beforeLines="0" w:line="240" w:lineRule="auto"/>
              <w:jc w:val="center"/>
              <w:rPr>
                <w:szCs w:val="21"/>
              </w:rPr>
            </w:pPr>
            <w:r>
              <w:rPr>
                <w:szCs w:val="21"/>
              </w:rPr>
              <w:t>无组织</w:t>
            </w:r>
          </w:p>
        </w:tc>
        <w:tc>
          <w:tcPr>
            <w:tcW w:w="550" w:type="pct"/>
            <w:tcBorders>
              <w:tl2br w:val="nil"/>
              <w:tr2bl w:val="nil"/>
            </w:tcBorders>
            <w:vAlign w:val="center"/>
          </w:tcPr>
          <w:p w14:paraId="4E5EE727">
            <w:pPr>
              <w:snapToGrid w:val="0"/>
              <w:spacing w:before="0" w:beforeLines="0" w:line="240" w:lineRule="auto"/>
              <w:jc w:val="center"/>
              <w:rPr>
                <w:szCs w:val="21"/>
              </w:rPr>
            </w:pPr>
            <w:r>
              <w:rPr>
                <w:szCs w:val="21"/>
              </w:rPr>
              <w:t>颗粒物</w:t>
            </w:r>
          </w:p>
        </w:tc>
        <w:tc>
          <w:tcPr>
            <w:tcW w:w="1302" w:type="pct"/>
            <w:vMerge w:val="continue"/>
            <w:tcBorders>
              <w:tl2br w:val="nil"/>
              <w:tr2bl w:val="nil"/>
            </w:tcBorders>
            <w:vAlign w:val="center"/>
          </w:tcPr>
          <w:p w14:paraId="29D6ACD2">
            <w:pPr>
              <w:spacing w:before="0" w:beforeLines="0" w:line="240" w:lineRule="auto"/>
              <w:jc w:val="center"/>
              <w:rPr>
                <w:szCs w:val="21"/>
              </w:rPr>
            </w:pPr>
          </w:p>
        </w:tc>
      </w:tr>
      <w:tr w14:paraId="33EA335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5" w:hRule="atLeast"/>
          <w:jc w:val="center"/>
        </w:trPr>
        <w:tc>
          <w:tcPr>
            <w:tcW w:w="328" w:type="pct"/>
            <w:tcBorders>
              <w:tl2br w:val="nil"/>
              <w:tr2bl w:val="nil"/>
            </w:tcBorders>
            <w:vAlign w:val="center"/>
          </w:tcPr>
          <w:p w14:paraId="33C79460">
            <w:pPr>
              <w:pStyle w:val="160"/>
              <w:snapToGrid w:val="0"/>
              <w:rPr>
                <w:szCs w:val="21"/>
              </w:rPr>
            </w:pPr>
            <w:r>
              <w:rPr>
                <w:rFonts w:hint="eastAsia"/>
                <w:szCs w:val="21"/>
              </w:rPr>
              <w:t>9</w:t>
            </w:r>
          </w:p>
        </w:tc>
        <w:tc>
          <w:tcPr>
            <w:tcW w:w="1963" w:type="pct"/>
            <w:gridSpan w:val="2"/>
            <w:tcBorders>
              <w:tl2br w:val="nil"/>
              <w:tr2bl w:val="nil"/>
            </w:tcBorders>
            <w:vAlign w:val="center"/>
          </w:tcPr>
          <w:p w14:paraId="0A93F76D">
            <w:pPr>
              <w:spacing w:before="0" w:beforeLines="0" w:line="240" w:lineRule="auto"/>
              <w:jc w:val="center"/>
              <w:rPr>
                <w:szCs w:val="21"/>
              </w:rPr>
            </w:pPr>
            <w:r>
              <w:rPr>
                <w:szCs w:val="21"/>
              </w:rPr>
              <w:t>破碎车间</w:t>
            </w:r>
          </w:p>
        </w:tc>
        <w:tc>
          <w:tcPr>
            <w:tcW w:w="857" w:type="pct"/>
            <w:tcBorders>
              <w:tl2br w:val="nil"/>
              <w:tr2bl w:val="nil"/>
            </w:tcBorders>
            <w:vAlign w:val="center"/>
          </w:tcPr>
          <w:p w14:paraId="6987CE30">
            <w:pPr>
              <w:snapToGrid w:val="0"/>
              <w:spacing w:before="0" w:beforeLines="0" w:line="240" w:lineRule="auto"/>
              <w:jc w:val="center"/>
              <w:rPr>
                <w:szCs w:val="21"/>
              </w:rPr>
            </w:pPr>
            <w:r>
              <w:rPr>
                <w:szCs w:val="21"/>
              </w:rPr>
              <w:t>无组织</w:t>
            </w:r>
          </w:p>
        </w:tc>
        <w:tc>
          <w:tcPr>
            <w:tcW w:w="550" w:type="pct"/>
            <w:tcBorders>
              <w:tl2br w:val="nil"/>
              <w:tr2bl w:val="nil"/>
            </w:tcBorders>
            <w:vAlign w:val="center"/>
          </w:tcPr>
          <w:p w14:paraId="19FDED1E">
            <w:pPr>
              <w:snapToGrid w:val="0"/>
              <w:spacing w:before="0" w:beforeLines="0" w:line="240" w:lineRule="auto"/>
              <w:jc w:val="center"/>
              <w:rPr>
                <w:szCs w:val="21"/>
              </w:rPr>
            </w:pPr>
            <w:r>
              <w:rPr>
                <w:szCs w:val="21"/>
              </w:rPr>
              <w:t>颗粒物</w:t>
            </w:r>
          </w:p>
        </w:tc>
        <w:tc>
          <w:tcPr>
            <w:tcW w:w="1302" w:type="pct"/>
            <w:vMerge w:val="continue"/>
            <w:tcBorders>
              <w:tl2br w:val="nil"/>
              <w:tr2bl w:val="nil"/>
            </w:tcBorders>
            <w:vAlign w:val="center"/>
          </w:tcPr>
          <w:p w14:paraId="3D7E5E08">
            <w:pPr>
              <w:spacing w:before="0" w:beforeLines="0" w:line="240" w:lineRule="auto"/>
              <w:jc w:val="center"/>
              <w:rPr>
                <w:szCs w:val="21"/>
              </w:rPr>
            </w:pPr>
          </w:p>
        </w:tc>
      </w:tr>
      <w:tr w14:paraId="70CE2E2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5" w:hRule="atLeast"/>
          <w:jc w:val="center"/>
        </w:trPr>
        <w:tc>
          <w:tcPr>
            <w:tcW w:w="328" w:type="pct"/>
            <w:tcBorders>
              <w:tl2br w:val="nil"/>
              <w:tr2bl w:val="nil"/>
            </w:tcBorders>
            <w:vAlign w:val="center"/>
          </w:tcPr>
          <w:p w14:paraId="3AC09A06">
            <w:pPr>
              <w:pStyle w:val="160"/>
              <w:snapToGrid w:val="0"/>
              <w:rPr>
                <w:szCs w:val="21"/>
              </w:rPr>
            </w:pPr>
            <w:r>
              <w:rPr>
                <w:rFonts w:hint="eastAsia"/>
                <w:szCs w:val="21"/>
              </w:rPr>
              <w:t>10</w:t>
            </w:r>
          </w:p>
        </w:tc>
        <w:tc>
          <w:tcPr>
            <w:tcW w:w="1963" w:type="pct"/>
            <w:gridSpan w:val="2"/>
            <w:tcBorders>
              <w:tl2br w:val="nil"/>
              <w:tr2bl w:val="nil"/>
            </w:tcBorders>
            <w:vAlign w:val="center"/>
          </w:tcPr>
          <w:p w14:paraId="09E1B6F8">
            <w:pPr>
              <w:spacing w:before="0" w:beforeLines="0" w:line="240" w:lineRule="auto"/>
              <w:jc w:val="center"/>
              <w:rPr>
                <w:szCs w:val="21"/>
              </w:rPr>
            </w:pPr>
            <w:r>
              <w:rPr>
                <w:rFonts w:hint="eastAsia"/>
                <w:szCs w:val="21"/>
              </w:rPr>
              <w:t>成品仓</w:t>
            </w:r>
          </w:p>
        </w:tc>
        <w:tc>
          <w:tcPr>
            <w:tcW w:w="857" w:type="pct"/>
            <w:tcBorders>
              <w:tl2br w:val="nil"/>
              <w:tr2bl w:val="nil"/>
            </w:tcBorders>
            <w:vAlign w:val="center"/>
          </w:tcPr>
          <w:p w14:paraId="3334F2F4">
            <w:pPr>
              <w:snapToGrid w:val="0"/>
              <w:spacing w:before="0" w:beforeLines="0" w:line="240" w:lineRule="auto"/>
              <w:jc w:val="center"/>
              <w:rPr>
                <w:szCs w:val="21"/>
              </w:rPr>
            </w:pPr>
            <w:r>
              <w:rPr>
                <w:szCs w:val="21"/>
              </w:rPr>
              <w:t>无组织</w:t>
            </w:r>
          </w:p>
        </w:tc>
        <w:tc>
          <w:tcPr>
            <w:tcW w:w="550" w:type="pct"/>
            <w:tcBorders>
              <w:tl2br w:val="nil"/>
              <w:tr2bl w:val="nil"/>
            </w:tcBorders>
            <w:vAlign w:val="center"/>
          </w:tcPr>
          <w:p w14:paraId="11595096">
            <w:pPr>
              <w:snapToGrid w:val="0"/>
              <w:spacing w:before="0" w:beforeLines="0" w:line="240" w:lineRule="auto"/>
              <w:jc w:val="center"/>
              <w:rPr>
                <w:szCs w:val="21"/>
              </w:rPr>
            </w:pPr>
            <w:r>
              <w:rPr>
                <w:szCs w:val="21"/>
              </w:rPr>
              <w:t>颗粒物</w:t>
            </w:r>
          </w:p>
        </w:tc>
        <w:tc>
          <w:tcPr>
            <w:tcW w:w="1302" w:type="pct"/>
            <w:tcBorders>
              <w:tl2br w:val="nil"/>
              <w:tr2bl w:val="nil"/>
            </w:tcBorders>
            <w:vAlign w:val="center"/>
          </w:tcPr>
          <w:p w14:paraId="2A754B15">
            <w:pPr>
              <w:spacing w:before="0" w:beforeLines="0" w:line="240" w:lineRule="auto"/>
              <w:jc w:val="center"/>
              <w:rPr>
                <w:szCs w:val="21"/>
              </w:rPr>
            </w:pPr>
            <w:r>
              <w:rPr>
                <w:rFonts w:hint="eastAsia"/>
                <w:szCs w:val="21"/>
              </w:rPr>
              <w:t>仓顶除尘</w:t>
            </w:r>
          </w:p>
        </w:tc>
      </w:tr>
      <w:tr w14:paraId="0767E02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5" w:hRule="atLeast"/>
          <w:jc w:val="center"/>
        </w:trPr>
        <w:tc>
          <w:tcPr>
            <w:tcW w:w="328" w:type="pct"/>
            <w:tcBorders>
              <w:tl2br w:val="nil"/>
              <w:tr2bl w:val="nil"/>
            </w:tcBorders>
            <w:vAlign w:val="center"/>
          </w:tcPr>
          <w:p w14:paraId="30CCAF76">
            <w:pPr>
              <w:pStyle w:val="160"/>
              <w:snapToGrid w:val="0"/>
              <w:rPr>
                <w:szCs w:val="21"/>
              </w:rPr>
            </w:pPr>
            <w:r>
              <w:rPr>
                <w:rFonts w:hint="eastAsia"/>
                <w:szCs w:val="21"/>
              </w:rPr>
              <w:t>11</w:t>
            </w:r>
          </w:p>
        </w:tc>
        <w:tc>
          <w:tcPr>
            <w:tcW w:w="1963" w:type="pct"/>
            <w:gridSpan w:val="2"/>
            <w:tcBorders>
              <w:tl2br w:val="nil"/>
              <w:tr2bl w:val="nil"/>
            </w:tcBorders>
            <w:vAlign w:val="center"/>
          </w:tcPr>
          <w:p w14:paraId="377404EE">
            <w:pPr>
              <w:spacing w:before="0" w:beforeLines="0" w:line="240" w:lineRule="auto"/>
              <w:jc w:val="center"/>
              <w:rPr>
                <w:szCs w:val="21"/>
              </w:rPr>
            </w:pPr>
            <w:r>
              <w:rPr>
                <w:szCs w:val="21"/>
              </w:rPr>
              <w:t>道路运输扬尘</w:t>
            </w:r>
          </w:p>
        </w:tc>
        <w:tc>
          <w:tcPr>
            <w:tcW w:w="857" w:type="pct"/>
            <w:tcBorders>
              <w:tl2br w:val="nil"/>
              <w:tr2bl w:val="nil"/>
            </w:tcBorders>
            <w:vAlign w:val="center"/>
          </w:tcPr>
          <w:p w14:paraId="78EDE7BD">
            <w:pPr>
              <w:snapToGrid w:val="0"/>
              <w:spacing w:before="0" w:beforeLines="0" w:line="240" w:lineRule="auto"/>
              <w:jc w:val="center"/>
              <w:rPr>
                <w:szCs w:val="21"/>
              </w:rPr>
            </w:pPr>
            <w:r>
              <w:rPr>
                <w:szCs w:val="21"/>
              </w:rPr>
              <w:t>无组织</w:t>
            </w:r>
          </w:p>
        </w:tc>
        <w:tc>
          <w:tcPr>
            <w:tcW w:w="550" w:type="pct"/>
            <w:tcBorders>
              <w:tl2br w:val="nil"/>
              <w:tr2bl w:val="nil"/>
            </w:tcBorders>
            <w:vAlign w:val="center"/>
          </w:tcPr>
          <w:p w14:paraId="59E03039">
            <w:pPr>
              <w:snapToGrid w:val="0"/>
              <w:spacing w:before="0" w:beforeLines="0" w:line="240" w:lineRule="auto"/>
              <w:jc w:val="center"/>
              <w:rPr>
                <w:szCs w:val="21"/>
              </w:rPr>
            </w:pPr>
            <w:r>
              <w:rPr>
                <w:szCs w:val="21"/>
              </w:rPr>
              <w:t>颗粒物</w:t>
            </w:r>
          </w:p>
        </w:tc>
        <w:tc>
          <w:tcPr>
            <w:tcW w:w="1302" w:type="pct"/>
            <w:tcBorders>
              <w:tl2br w:val="nil"/>
              <w:tr2bl w:val="nil"/>
            </w:tcBorders>
            <w:vAlign w:val="center"/>
          </w:tcPr>
          <w:p w14:paraId="08A6F093">
            <w:pPr>
              <w:spacing w:before="0" w:beforeLines="0" w:line="240" w:lineRule="auto"/>
              <w:jc w:val="center"/>
              <w:rPr>
                <w:szCs w:val="21"/>
              </w:rPr>
            </w:pPr>
            <w:r>
              <w:rPr>
                <w:szCs w:val="21"/>
              </w:rPr>
              <w:t>洒水抑尘</w:t>
            </w:r>
          </w:p>
        </w:tc>
      </w:tr>
      <w:bookmarkEnd w:id="572"/>
    </w:tbl>
    <w:p w14:paraId="370F7DE8">
      <w:pPr>
        <w:pStyle w:val="190"/>
        <w:adjustRightInd w:val="0"/>
        <w:snapToGrid w:val="0"/>
        <w:spacing w:before="156" w:beforeLines="50"/>
        <w:ind w:firstLine="480"/>
        <w:jc w:val="left"/>
      </w:pPr>
      <w:r>
        <w:rPr>
          <w:rFonts w:hint="eastAsia"/>
        </w:rPr>
        <w:t>（2）</w:t>
      </w:r>
      <w:r>
        <w:t>废气污染防治措施可行性论证</w:t>
      </w:r>
    </w:p>
    <w:p w14:paraId="685DEE2B">
      <w:pPr>
        <w:pStyle w:val="151"/>
        <w:snapToGrid w:val="0"/>
        <w:jc w:val="left"/>
      </w:pPr>
      <w:r>
        <w:fldChar w:fldCharType="begin"/>
      </w:r>
      <w:r>
        <w:instrText xml:space="preserve"> </w:instrText>
      </w:r>
      <w:r>
        <w:rPr>
          <w:rFonts w:hint="eastAsia"/>
        </w:rPr>
        <w:instrText xml:space="preserve">= 1 \* GB3</w:instrText>
      </w:r>
      <w:r>
        <w:instrText xml:space="preserve"> </w:instrText>
      </w:r>
      <w:r>
        <w:fldChar w:fldCharType="separate"/>
      </w:r>
      <w:r>
        <w:rPr>
          <w:rFonts w:hint="eastAsia"/>
        </w:rPr>
        <w:t>①</w:t>
      </w:r>
      <w:r>
        <w:fldChar w:fldCharType="end"/>
      </w:r>
      <w:r>
        <w:t>袋式除尘器</w:t>
      </w:r>
    </w:p>
    <w:p w14:paraId="57FD6681">
      <w:pPr>
        <w:pStyle w:val="190"/>
        <w:snapToGrid w:val="0"/>
        <w:ind w:firstLine="480"/>
        <w:jc w:val="left"/>
      </w:pPr>
      <w:bookmarkStart w:id="573" w:name="_Hlk175127839"/>
      <w:r>
        <w:rPr>
          <w:rFonts w:hint="eastAsia"/>
        </w:rPr>
        <w:t>由工程分析及表6.2-1可能可以看出：</w:t>
      </w:r>
    </w:p>
    <w:p w14:paraId="7686CCFF">
      <w:pPr>
        <w:pStyle w:val="190"/>
        <w:snapToGrid w:val="0"/>
        <w:ind w:firstLine="480"/>
        <w:jc w:val="left"/>
      </w:pPr>
      <w:r>
        <w:t>一次筛分G1产生的废气经集气罩收集+1#袋式除尘器处理后，由一根</w:t>
      </w:r>
      <w:r>
        <w:rPr>
          <w:rFonts w:hint="eastAsia"/>
        </w:rPr>
        <w:t>20</w:t>
      </w:r>
      <w:r>
        <w:t>m高排气筒（DA001）高空排放；</w:t>
      </w:r>
    </w:p>
    <w:p w14:paraId="2C7349A0">
      <w:pPr>
        <w:pStyle w:val="190"/>
        <w:snapToGrid w:val="0"/>
        <w:ind w:firstLine="480"/>
      </w:pPr>
      <w:r>
        <w:t>二次筛分G2产生的废气经集气罩收集+2#袋式除尘器处理后，由一根</w:t>
      </w:r>
      <w:r>
        <w:rPr>
          <w:rFonts w:hint="eastAsia"/>
        </w:rPr>
        <w:t>20</w:t>
      </w:r>
      <w:r>
        <w:t>m高排气筒（DA002）高空排放；</w:t>
      </w:r>
    </w:p>
    <w:p w14:paraId="5DDC43AF">
      <w:pPr>
        <w:pStyle w:val="190"/>
        <w:snapToGrid w:val="0"/>
        <w:ind w:firstLine="480"/>
      </w:pPr>
      <w:r>
        <w:t>粗磁选G3</w:t>
      </w:r>
      <w:r>
        <w:rPr>
          <w:rFonts w:hint="eastAsia"/>
        </w:rPr>
        <w:t>、</w:t>
      </w:r>
      <w:r>
        <w:t>抛砂分离G4产生的废气经集气罩收集+3#袋式除尘器处理后，由一根</w:t>
      </w:r>
      <w:r>
        <w:rPr>
          <w:rFonts w:hint="eastAsia"/>
        </w:rPr>
        <w:t>20</w:t>
      </w:r>
      <w:r>
        <w:t>m高排气筒（DA003）高空排放；</w:t>
      </w:r>
    </w:p>
    <w:p w14:paraId="12B048DD">
      <w:pPr>
        <w:pStyle w:val="190"/>
        <w:snapToGrid w:val="0"/>
        <w:ind w:firstLine="480"/>
      </w:pPr>
      <w:r>
        <w:t>颚式破碎G5、圆锥破碎G6、一段干式磁选G7</w:t>
      </w:r>
      <w:r>
        <w:rPr>
          <w:rFonts w:hint="eastAsia"/>
        </w:rPr>
        <w:t>、</w:t>
      </w:r>
      <w:r>
        <w:t>精筛分G8、破碎G9、二段干式磁选G10产生废气经集气罩收集+</w:t>
      </w:r>
      <w:r>
        <w:rPr>
          <w:rFonts w:hint="eastAsia"/>
        </w:rPr>
        <w:t>4</w:t>
      </w:r>
      <w:r>
        <w:t>#袋式除尘器处理后，由一根</w:t>
      </w:r>
      <w:r>
        <w:rPr>
          <w:rFonts w:hint="eastAsia"/>
        </w:rPr>
        <w:t>20</w:t>
      </w:r>
      <w:r>
        <w:t>m高排气筒（DA00</w:t>
      </w:r>
      <w:r>
        <w:rPr>
          <w:rFonts w:hint="eastAsia"/>
        </w:rPr>
        <w:t>4</w:t>
      </w:r>
      <w:r>
        <w:t>）高空排放</w:t>
      </w:r>
      <w:r>
        <w:rPr>
          <w:rFonts w:hint="eastAsia"/>
        </w:rPr>
        <w:t>。</w:t>
      </w:r>
    </w:p>
    <w:p w14:paraId="55380917">
      <w:pPr>
        <w:widowControl/>
        <w:snapToGrid w:val="0"/>
        <w:spacing w:before="0" w:beforeLines="0" w:line="360" w:lineRule="auto"/>
        <w:ind w:firstLine="480" w:firstLineChars="200"/>
        <w:rPr>
          <w:kern w:val="0"/>
          <w:sz w:val="24"/>
        </w:rPr>
      </w:pPr>
      <w:r>
        <w:rPr>
          <w:rFonts w:hint="eastAsia"/>
          <w:kern w:val="0"/>
          <w:sz w:val="24"/>
        </w:rPr>
        <w:t>布袋除尘器是一种常用的工业粉尘处理设备，其工作原理主要涉及过滤和分离以及清灰三个步骤。工作原理如下：（1）过滤指当含有粉尘颗粒的气体进入布袋除尘器时，气体会通过过滤布袋。布袋多采用纤维材料制成，具有较高的孔隙度和表面积，可以有效地捕捉和分离粉尘颗粒；（2）分离指在过滤布袋内部，气体流经布袋时，由于气体速度的减缓和布袋材料的阻力，大部分较大的粉尘颗粒会因惯性作用而沉降到布袋内壁。较小的粉尘颗粒则在布袋内部形成一个粉尘层，进一步增加了对粉尘颗粒的捕获效果。（3）清灰指随着时间的推移，粉尘在布袋上逐渐积累，会导致阻力的增加，影响除尘器的工作效率。因此，需要定期进行清灰操作来清除积累的粉尘。清灰方式常见的有机械振打清灰和脉冲喷吹清灰两种。</w:t>
      </w:r>
    </w:p>
    <w:p w14:paraId="61C18A26">
      <w:pPr>
        <w:widowControl/>
        <w:snapToGrid w:val="0"/>
        <w:spacing w:before="0" w:beforeLines="0" w:line="360" w:lineRule="auto"/>
        <w:ind w:firstLine="480" w:firstLineChars="200"/>
        <w:rPr>
          <w:kern w:val="0"/>
          <w:sz w:val="24"/>
        </w:rPr>
      </w:pPr>
      <w:r>
        <w:rPr>
          <w:kern w:val="0"/>
          <w:sz w:val="24"/>
        </w:rPr>
        <w:t>布袋除尘器在钢铁、电力、焦化</w:t>
      </w:r>
      <w:r>
        <w:rPr>
          <w:rFonts w:hint="eastAsia"/>
          <w:kern w:val="0"/>
          <w:sz w:val="24"/>
        </w:rPr>
        <w:t>、矿山</w:t>
      </w:r>
      <w:r>
        <w:rPr>
          <w:kern w:val="0"/>
          <w:sz w:val="24"/>
        </w:rPr>
        <w:t>等各个行业除尘设施中取得了很好的效果，已成为低排放浓度的首选除尘器，粉尘排放浓度控制在10mg/Nm</w:t>
      </w:r>
      <w:r>
        <w:rPr>
          <w:kern w:val="0"/>
          <w:sz w:val="24"/>
          <w:vertAlign w:val="superscript"/>
        </w:rPr>
        <w:t>3</w:t>
      </w:r>
      <w:r>
        <w:rPr>
          <w:kern w:val="0"/>
          <w:sz w:val="24"/>
        </w:rPr>
        <w:t>之内</w:t>
      </w:r>
      <w:r>
        <w:rPr>
          <w:snapToGrid w:val="0"/>
          <w:kern w:val="0"/>
          <w:sz w:val="24"/>
          <w:szCs w:val="21"/>
        </w:rPr>
        <w:t>所用设备简单、操作方便、投资小，措施合理可行</w:t>
      </w:r>
      <w:r>
        <w:rPr>
          <w:rFonts w:hint="eastAsia"/>
          <w:snapToGrid w:val="0"/>
          <w:kern w:val="0"/>
          <w:sz w:val="24"/>
          <w:szCs w:val="21"/>
        </w:rPr>
        <w:t>，</w:t>
      </w:r>
      <w:r>
        <w:rPr>
          <w:kern w:val="0"/>
          <w:sz w:val="24"/>
        </w:rPr>
        <w:t>已得到广泛的运用。</w:t>
      </w:r>
    </w:p>
    <w:p w14:paraId="58DDC8FE">
      <w:pPr>
        <w:widowControl/>
        <w:snapToGrid w:val="0"/>
        <w:spacing w:before="0" w:beforeLines="0" w:line="360" w:lineRule="auto"/>
        <w:ind w:firstLine="480" w:firstLineChars="200"/>
        <w:rPr>
          <w:kern w:val="0"/>
          <w:sz w:val="24"/>
        </w:rPr>
      </w:pPr>
      <w:r>
        <w:rPr>
          <w:kern w:val="0"/>
          <w:sz w:val="24"/>
        </w:rPr>
        <w:t>采用布袋除尘器处理，过滤风速均在0.7~0.8m/min，除尘效率≥99</w:t>
      </w:r>
      <w:r>
        <w:rPr>
          <w:rFonts w:hint="eastAsia"/>
          <w:kern w:val="0"/>
          <w:sz w:val="24"/>
        </w:rPr>
        <w:t>.6</w:t>
      </w:r>
      <w:r>
        <w:rPr>
          <w:kern w:val="0"/>
          <w:sz w:val="24"/>
        </w:rPr>
        <w:t>%，粉尘排放浓度</w:t>
      </w:r>
      <w:r>
        <w:rPr>
          <w:rFonts w:hint="eastAsia"/>
          <w:kern w:val="0"/>
          <w:sz w:val="24"/>
        </w:rPr>
        <w:t>小于</w:t>
      </w:r>
      <w:r>
        <w:rPr>
          <w:kern w:val="0"/>
          <w:sz w:val="24"/>
        </w:rPr>
        <w:t>10mg/Nm</w:t>
      </w:r>
      <w:r>
        <w:rPr>
          <w:kern w:val="0"/>
          <w:sz w:val="24"/>
          <w:vertAlign w:val="superscript"/>
        </w:rPr>
        <w:t>3</w:t>
      </w:r>
      <w:r>
        <w:rPr>
          <w:kern w:val="0"/>
          <w:sz w:val="24"/>
        </w:rPr>
        <w:t>，满足</w:t>
      </w:r>
      <w:r>
        <w:rPr>
          <w:rFonts w:hint="eastAsia"/>
          <w:kern w:val="0"/>
          <w:sz w:val="24"/>
        </w:rPr>
        <w:t>《铁矿采选工业污染物排放标准》（</w:t>
      </w:r>
      <w:r>
        <w:rPr>
          <w:kern w:val="0"/>
          <w:sz w:val="24"/>
        </w:rPr>
        <w:t>GB2866</w:t>
      </w:r>
      <w:r>
        <w:rPr>
          <w:rFonts w:hint="eastAsia"/>
          <w:kern w:val="0"/>
          <w:sz w:val="24"/>
        </w:rPr>
        <w:t>1</w:t>
      </w:r>
      <w:r>
        <w:rPr>
          <w:kern w:val="0"/>
          <w:sz w:val="24"/>
        </w:rPr>
        <w:t>-2012）大气污染物排放限值</w:t>
      </w:r>
      <w:r>
        <w:rPr>
          <w:rFonts w:hint="eastAsia"/>
          <w:kern w:val="0"/>
          <w:sz w:val="24"/>
        </w:rPr>
        <w:t>要求</w:t>
      </w:r>
      <w:r>
        <w:rPr>
          <w:kern w:val="0"/>
          <w:sz w:val="24"/>
        </w:rPr>
        <w:t>。</w:t>
      </w:r>
    </w:p>
    <w:bookmarkEnd w:id="573"/>
    <w:p w14:paraId="5F6882A2">
      <w:pPr>
        <w:pStyle w:val="151"/>
        <w:snapToGrid w:val="0"/>
        <w:jc w:val="left"/>
      </w:pPr>
      <w:bookmarkStart w:id="574" w:name="_Hlk175127900"/>
      <w:r>
        <w:fldChar w:fldCharType="begin"/>
      </w:r>
      <w:r>
        <w:instrText xml:space="preserve"> </w:instrText>
      </w:r>
      <w:r>
        <w:rPr>
          <w:rFonts w:hint="eastAsia"/>
        </w:rPr>
        <w:instrText xml:space="preserve">= 2 \* GB3</w:instrText>
      </w:r>
      <w:r>
        <w:instrText xml:space="preserve"> </w:instrText>
      </w:r>
      <w:r>
        <w:fldChar w:fldCharType="separate"/>
      </w:r>
      <w:r>
        <w:rPr>
          <w:rFonts w:hint="eastAsia"/>
        </w:rPr>
        <w:t>②</w:t>
      </w:r>
      <w:r>
        <w:fldChar w:fldCharType="end"/>
      </w:r>
      <w:r>
        <w:rPr>
          <w:rFonts w:hint="eastAsia"/>
        </w:rPr>
        <w:t>提高收尘效率</w:t>
      </w:r>
    </w:p>
    <w:p w14:paraId="61FBBD20">
      <w:pPr>
        <w:pStyle w:val="151"/>
        <w:snapToGrid w:val="0"/>
        <w:jc w:val="left"/>
      </w:pPr>
      <w:r>
        <w:rPr>
          <w:rFonts w:hint="eastAsia"/>
        </w:rPr>
        <w:t>本项目各产尘点均设置对应集气罩，主要生产设备采用密闭设备。一次筛分、破碎设备考虑铲车上料，上料口集气罩设置软帘；其他设备均通过密闭皮带输送物料，</w:t>
      </w:r>
      <w:r>
        <w:t>皮带进料点设置密闭导料槽，采用橡胶柔性密封对导料槽与皮带间隙进行动态密封，密闭空间设置集气口接入布袋除尘器，抑制进料过程颗粒物无组织逸散。</w:t>
      </w:r>
    </w:p>
    <w:p w14:paraId="711F7C3E">
      <w:pPr>
        <w:pStyle w:val="151"/>
        <w:snapToGrid w:val="0"/>
        <w:jc w:val="left"/>
      </w:pPr>
      <w:r>
        <w:fldChar w:fldCharType="begin"/>
      </w:r>
      <w:r>
        <w:instrText xml:space="preserve"> </w:instrText>
      </w:r>
      <w:r>
        <w:rPr>
          <w:rFonts w:hint="eastAsia"/>
        </w:rPr>
        <w:instrText xml:space="preserve">= 3 \* GB3</w:instrText>
      </w:r>
      <w:r>
        <w:instrText xml:space="preserve"> </w:instrText>
      </w:r>
      <w:r>
        <w:fldChar w:fldCharType="separate"/>
      </w:r>
      <w:r>
        <w:rPr>
          <w:rFonts w:hint="eastAsia"/>
        </w:rPr>
        <w:t>③</w:t>
      </w:r>
      <w:r>
        <w:fldChar w:fldCharType="end"/>
      </w:r>
      <w:r>
        <w:rPr>
          <w:rFonts w:hint="eastAsia"/>
        </w:rPr>
        <w:t>洒水抑尘、车间封闭</w:t>
      </w:r>
    </w:p>
    <w:p w14:paraId="17C2906D">
      <w:pPr>
        <w:snapToGrid w:val="0"/>
        <w:spacing w:before="0" w:beforeLines="0" w:line="360" w:lineRule="auto"/>
        <w:ind w:firstLine="480" w:firstLineChars="200"/>
        <w:rPr>
          <w:snapToGrid w:val="0"/>
          <w:kern w:val="0"/>
          <w:sz w:val="24"/>
          <w:szCs w:val="21"/>
        </w:rPr>
      </w:pPr>
      <w:r>
        <w:rPr>
          <w:rFonts w:hint="eastAsia"/>
          <w:snapToGrid w:val="0"/>
          <w:kern w:val="0"/>
          <w:sz w:val="24"/>
          <w:szCs w:val="21"/>
        </w:rPr>
        <w:t>本项目生产车间及库房均为封闭建筑，即设置封闭抛砂车间、破碎车间、封闭机制砂库房等，生产过程关闭门窗，车辆进出时开门，同时</w:t>
      </w:r>
      <w:r>
        <w:rPr>
          <w:sz w:val="24"/>
        </w:rPr>
        <w:t>采用车间</w:t>
      </w:r>
      <w:r>
        <w:rPr>
          <w:rFonts w:hint="eastAsia"/>
          <w:sz w:val="24"/>
        </w:rPr>
        <w:t>洒水抑尘、</w:t>
      </w:r>
      <w:r>
        <w:rPr>
          <w:rFonts w:hint="eastAsia"/>
          <w:snapToGrid w:val="0"/>
          <w:kern w:val="0"/>
          <w:sz w:val="24"/>
          <w:szCs w:val="21"/>
        </w:rPr>
        <w:t>车辆出入清洗、道路洒水抑尘等无组织控制措施，</w:t>
      </w:r>
      <w:r>
        <w:rPr>
          <w:rFonts w:hint="eastAsia"/>
          <w:kern w:val="0"/>
          <w:sz w:val="24"/>
        </w:rPr>
        <w:t>综合考虑车间治理效率按95%计</w:t>
      </w:r>
      <w:r>
        <w:rPr>
          <w:rFonts w:hint="eastAsia"/>
          <w:snapToGrid w:val="0"/>
          <w:kern w:val="0"/>
          <w:sz w:val="24"/>
          <w:szCs w:val="21"/>
        </w:rPr>
        <w:t>。</w:t>
      </w:r>
    </w:p>
    <w:p w14:paraId="5193DC95">
      <w:pPr>
        <w:pStyle w:val="151"/>
        <w:snapToGrid w:val="0"/>
      </w:pPr>
      <w:r>
        <w:t>根据工程分析可知，厂界排放浓度</w:t>
      </w:r>
      <w:r>
        <w:rPr>
          <w:rFonts w:hint="eastAsia"/>
        </w:rPr>
        <w:t>可满足</w:t>
      </w:r>
      <w:r>
        <w:t>《铁矿采选工业污染物排放标准》（GB28661-2012）中表7浓度限值（1.0mg/m</w:t>
      </w:r>
      <w:r>
        <w:rPr>
          <w:vertAlign w:val="superscript"/>
        </w:rPr>
        <w:t>3</w:t>
      </w:r>
      <w:r>
        <w:t>）要求</w:t>
      </w:r>
      <w:r>
        <w:rPr>
          <w:rFonts w:hint="eastAsia"/>
        </w:rPr>
        <w:t>。</w:t>
      </w:r>
    </w:p>
    <w:p w14:paraId="3082110D">
      <w:pPr>
        <w:pStyle w:val="151"/>
        <w:snapToGrid w:val="0"/>
        <w:jc w:val="left"/>
      </w:pPr>
      <w:r>
        <w:fldChar w:fldCharType="begin"/>
      </w:r>
      <w:r>
        <w:instrText xml:space="preserve"> </w:instrText>
      </w:r>
      <w:r>
        <w:rPr>
          <w:rFonts w:hint="eastAsia"/>
        </w:rPr>
        <w:instrText xml:space="preserve">= 4 \* GB3</w:instrText>
      </w:r>
      <w:r>
        <w:instrText xml:space="preserve"> </w:instrText>
      </w:r>
      <w:r>
        <w:fldChar w:fldCharType="separate"/>
      </w:r>
      <w:r>
        <w:rPr>
          <w:rFonts w:hint="eastAsia"/>
        </w:rPr>
        <w:t>④</w:t>
      </w:r>
      <w:r>
        <w:fldChar w:fldCharType="end"/>
      </w:r>
      <w:r>
        <w:rPr>
          <w:rFonts w:hint="eastAsia"/>
        </w:rPr>
        <w:t>道路</w:t>
      </w:r>
      <w:r>
        <w:t>洒水抑尘</w:t>
      </w:r>
    </w:p>
    <w:p w14:paraId="08D50029">
      <w:pPr>
        <w:pStyle w:val="151"/>
        <w:snapToGrid w:val="0"/>
      </w:pPr>
      <w:r>
        <w:t>道路运输起尘，采取</w:t>
      </w:r>
      <w:r>
        <w:rPr>
          <w:rFonts w:hint="eastAsia"/>
        </w:rPr>
        <w:t>道路硬化、</w:t>
      </w:r>
      <w:r>
        <w:t>路面洒水抑尘</w:t>
      </w:r>
      <w:r>
        <w:rPr>
          <w:rFonts w:hint="eastAsia"/>
        </w:rPr>
        <w:t>、</w:t>
      </w:r>
      <w:r>
        <w:t>车辆覆盖苫布</w:t>
      </w:r>
      <w:r>
        <w:rPr>
          <w:rFonts w:hint="eastAsia"/>
        </w:rPr>
        <w:t>、车辆冲洗等措施</w:t>
      </w:r>
      <w:r>
        <w:t>，并控制车辆超载</w:t>
      </w:r>
      <w:r>
        <w:rPr>
          <w:rFonts w:hint="eastAsia"/>
        </w:rPr>
        <w:t>，控制车速。</w:t>
      </w:r>
      <w:r>
        <w:t>厂界排放浓度符合《铁矿采选工业污染物排放标准》（GB28661-2012）中表7浓度限值（1.0mg/m</w:t>
      </w:r>
      <w:r>
        <w:rPr>
          <w:vertAlign w:val="superscript"/>
        </w:rPr>
        <w:t>3</w:t>
      </w:r>
      <w:r>
        <w:t>）要求。</w:t>
      </w:r>
    </w:p>
    <w:p w14:paraId="60692717">
      <w:pPr>
        <w:pStyle w:val="151"/>
        <w:snapToGrid w:val="0"/>
        <w:jc w:val="left"/>
      </w:pPr>
      <w:r>
        <w:fldChar w:fldCharType="begin"/>
      </w:r>
      <w:r>
        <w:instrText xml:space="preserve"> </w:instrText>
      </w:r>
      <w:r>
        <w:rPr>
          <w:rFonts w:hint="eastAsia"/>
        </w:rPr>
        <w:instrText xml:space="preserve">= 5 \* GB3</w:instrText>
      </w:r>
      <w:r>
        <w:instrText xml:space="preserve"> </w:instrText>
      </w:r>
      <w:r>
        <w:fldChar w:fldCharType="separate"/>
      </w:r>
      <w:r>
        <w:rPr>
          <w:rFonts w:hint="eastAsia"/>
        </w:rPr>
        <w:t>⑤</w:t>
      </w:r>
      <w:r>
        <w:fldChar w:fldCharType="end"/>
      </w:r>
      <w:r>
        <w:rPr>
          <w:rFonts w:hint="eastAsia"/>
        </w:rPr>
        <w:t>车辆控制</w:t>
      </w:r>
    </w:p>
    <w:p w14:paraId="0DB79A94">
      <w:pPr>
        <w:pStyle w:val="151"/>
        <w:snapToGrid w:val="0"/>
        <w:jc w:val="left"/>
      </w:pPr>
      <w:r>
        <w:rPr>
          <w:rFonts w:hint="eastAsia"/>
        </w:rPr>
        <w:t>此外，项目所使用柴油货运车辆和非道路移动机械要达到《重型柴油车污染物排放限值及测量方法(中国第六阶段)》(GB17691-2018)《非道路柴油移动机械排气烟度限值及测量方法》(GB 36886-2018)、《非道路移动机械用柴油机排气污染物排放限值及测量方法(中国第三、四阶段)》(GB20891-2014)等相关标准的要求，并遵守低排放区要求：建立车辆出入和非道路移动机械使用管理台账，加强保养，达标排放；场所内使用的非道路移动机械均应进行环保编码登记并悬挂号牌或机身明显处喷码。</w:t>
      </w:r>
    </w:p>
    <w:p w14:paraId="19D19A17">
      <w:pPr>
        <w:pStyle w:val="151"/>
        <w:snapToGrid w:val="0"/>
        <w:jc w:val="left"/>
      </w:pPr>
      <w:r>
        <w:rPr>
          <w:rFonts w:hint="eastAsia"/>
        </w:rPr>
        <w:t>综上，本项目针对选矿过程产生的粉尘、扬尘所采用的防治措施均为目前选矿企业所采用的成熟的措施。其治理效果明显，已经被矿山采选企业普遍认可，技术上可行；这些措施投资合理，运行效果可靠，运行费用低，企业可接受，所以经济上可行。环评认为本项目采取的大气污染防治措施合理可行。</w:t>
      </w:r>
    </w:p>
    <w:bookmarkEnd w:id="574"/>
    <w:p w14:paraId="793A2D54">
      <w:pPr>
        <w:pStyle w:val="5"/>
        <w:spacing w:before="156" w:after="156"/>
        <w:rPr>
          <w:color w:val="auto"/>
        </w:rPr>
      </w:pPr>
      <w:r>
        <w:rPr>
          <w:color w:val="auto"/>
        </w:rPr>
        <w:t>6.2.2废水污染防治措施及其可行性论证</w:t>
      </w:r>
    </w:p>
    <w:p w14:paraId="47E9E5AD">
      <w:pPr>
        <w:pStyle w:val="190"/>
        <w:adjustRightInd w:val="0"/>
        <w:snapToGrid w:val="0"/>
        <w:ind w:firstLine="480"/>
      </w:pPr>
      <w:r>
        <w:rPr>
          <w:rFonts w:hint="eastAsia"/>
        </w:rPr>
        <w:t>（1）</w:t>
      </w:r>
      <w:r>
        <w:t>废水污染防治措施</w:t>
      </w:r>
    </w:p>
    <w:p w14:paraId="731D08EB">
      <w:pPr>
        <w:adjustRightInd w:val="0"/>
        <w:snapToGrid w:val="0"/>
        <w:spacing w:before="0" w:beforeLines="0" w:line="360" w:lineRule="auto"/>
        <w:ind w:firstLine="480" w:firstLineChars="200"/>
        <w:rPr>
          <w:kern w:val="0"/>
          <w:sz w:val="24"/>
        </w:rPr>
      </w:pPr>
      <w:r>
        <w:rPr>
          <w:kern w:val="0"/>
          <w:sz w:val="24"/>
        </w:rPr>
        <w:fldChar w:fldCharType="begin"/>
      </w:r>
      <w:r>
        <w:rPr>
          <w:kern w:val="0"/>
          <w:sz w:val="24"/>
        </w:rPr>
        <w:instrText xml:space="preserve"> = 1 \* GB3 \* MERGEFORMAT </w:instrText>
      </w:r>
      <w:r>
        <w:rPr>
          <w:kern w:val="0"/>
          <w:sz w:val="24"/>
        </w:rPr>
        <w:fldChar w:fldCharType="separate"/>
      </w:r>
      <w:r>
        <w:rPr>
          <w:rFonts w:ascii="Cambria Math" w:hAnsi="Cambria Math" w:cs="Cambria Math"/>
          <w:sz w:val="24"/>
        </w:rPr>
        <w:t>①</w:t>
      </w:r>
      <w:r>
        <w:rPr>
          <w:kern w:val="0"/>
          <w:sz w:val="24"/>
        </w:rPr>
        <w:fldChar w:fldCharType="end"/>
      </w:r>
      <w:r>
        <w:rPr>
          <w:kern w:val="0"/>
          <w:sz w:val="24"/>
        </w:rPr>
        <w:t>生活污水</w:t>
      </w:r>
    </w:p>
    <w:p w14:paraId="3BEC0EDD">
      <w:pPr>
        <w:adjustRightInd w:val="0"/>
        <w:snapToGrid w:val="0"/>
        <w:spacing w:before="0" w:beforeLines="0" w:line="360" w:lineRule="auto"/>
        <w:ind w:firstLine="480" w:firstLineChars="200"/>
        <w:rPr>
          <w:kern w:val="0"/>
          <w:sz w:val="24"/>
        </w:rPr>
      </w:pPr>
      <w:bookmarkStart w:id="575" w:name="_Hlk175128023"/>
      <w:r>
        <w:rPr>
          <w:kern w:val="0"/>
          <w:sz w:val="24"/>
        </w:rPr>
        <w:t>本项目产生的生活污水排入化粪池，定期清掏。</w:t>
      </w:r>
    </w:p>
    <w:bookmarkEnd w:id="575"/>
    <w:p w14:paraId="6A0318E9">
      <w:pPr>
        <w:adjustRightInd w:val="0"/>
        <w:snapToGrid w:val="0"/>
        <w:spacing w:before="0" w:beforeLines="0" w:line="360" w:lineRule="auto"/>
        <w:ind w:firstLine="480" w:firstLineChars="200"/>
        <w:rPr>
          <w:kern w:val="0"/>
          <w:sz w:val="24"/>
        </w:rPr>
      </w:pPr>
      <w:r>
        <w:rPr>
          <w:kern w:val="0"/>
          <w:sz w:val="24"/>
        </w:rPr>
        <w:fldChar w:fldCharType="begin"/>
      </w:r>
      <w:r>
        <w:rPr>
          <w:kern w:val="0"/>
          <w:sz w:val="24"/>
        </w:rPr>
        <w:instrText xml:space="preserve"> = 2 \* GB3 \* MERGEFORMAT </w:instrText>
      </w:r>
      <w:r>
        <w:rPr>
          <w:kern w:val="0"/>
          <w:sz w:val="24"/>
        </w:rPr>
        <w:fldChar w:fldCharType="separate"/>
      </w:r>
      <w:r>
        <w:rPr>
          <w:rFonts w:ascii="Cambria Math" w:hAnsi="Cambria Math" w:cs="Cambria Math"/>
          <w:kern w:val="0"/>
          <w:sz w:val="24"/>
        </w:rPr>
        <w:t>②</w:t>
      </w:r>
      <w:r>
        <w:rPr>
          <w:kern w:val="0"/>
          <w:sz w:val="24"/>
        </w:rPr>
        <w:fldChar w:fldCharType="end"/>
      </w:r>
      <w:r>
        <w:rPr>
          <w:kern w:val="0"/>
          <w:sz w:val="24"/>
        </w:rPr>
        <w:t>生产废水</w:t>
      </w:r>
    </w:p>
    <w:p w14:paraId="13DFA0AD">
      <w:pPr>
        <w:adjustRightInd w:val="0"/>
        <w:snapToGrid w:val="0"/>
        <w:spacing w:before="0" w:beforeLines="0" w:line="360" w:lineRule="auto"/>
        <w:ind w:firstLine="480" w:firstLineChars="200"/>
      </w:pPr>
      <w:bookmarkStart w:id="576" w:name="_Hlk175128008"/>
      <w:r>
        <w:rPr>
          <w:kern w:val="0"/>
          <w:sz w:val="24"/>
        </w:rPr>
        <w:t>本工程生产废水主要是</w:t>
      </w:r>
      <w:r>
        <w:rPr>
          <w:kern w:val="32"/>
          <w:sz w:val="24"/>
        </w:rPr>
        <w:t>选矿废水</w:t>
      </w:r>
      <w:r>
        <w:rPr>
          <w:kern w:val="0"/>
          <w:sz w:val="24"/>
        </w:rPr>
        <w:t>。选矿废水过程中脱水机产生的废水进入循环水池，回用选矿；选矿产生的泥浆及含泥废水进入浓缩罐后泵入浓缩罐及板框压滤机处理后产生的废水排入循环水池，回用于选矿。因此本工程无生产废水外排。</w:t>
      </w:r>
    </w:p>
    <w:bookmarkEnd w:id="576"/>
    <w:p w14:paraId="0523D442">
      <w:pPr>
        <w:pStyle w:val="190"/>
        <w:adjustRightInd w:val="0"/>
        <w:snapToGrid w:val="0"/>
        <w:ind w:firstLine="480"/>
      </w:pPr>
      <w:r>
        <w:rPr>
          <w:rFonts w:hint="eastAsia"/>
        </w:rPr>
        <w:t>（2）</w:t>
      </w:r>
      <w:r>
        <w:t>废水污染防治措施可行性论证</w:t>
      </w:r>
    </w:p>
    <w:p w14:paraId="4A929F6C">
      <w:pPr>
        <w:adjustRightInd w:val="0"/>
        <w:snapToGrid w:val="0"/>
        <w:spacing w:before="0" w:beforeLines="0" w:line="360" w:lineRule="auto"/>
        <w:ind w:firstLine="480" w:firstLineChars="200"/>
        <w:rPr>
          <w:kern w:val="0"/>
          <w:sz w:val="24"/>
        </w:rPr>
      </w:pPr>
      <w:r>
        <w:rPr>
          <w:kern w:val="0"/>
          <w:sz w:val="24"/>
        </w:rPr>
        <w:fldChar w:fldCharType="begin"/>
      </w:r>
      <w:r>
        <w:rPr>
          <w:kern w:val="0"/>
          <w:sz w:val="24"/>
        </w:rPr>
        <w:instrText xml:space="preserve"> = 1 \* GB3 \* MERGEFORMAT </w:instrText>
      </w:r>
      <w:r>
        <w:rPr>
          <w:kern w:val="0"/>
          <w:sz w:val="24"/>
        </w:rPr>
        <w:fldChar w:fldCharType="separate"/>
      </w:r>
      <w:r>
        <w:rPr>
          <w:rFonts w:ascii="Cambria Math" w:hAnsi="Cambria Math" w:cs="Cambria Math"/>
          <w:kern w:val="0"/>
          <w:sz w:val="24"/>
        </w:rPr>
        <w:t>①</w:t>
      </w:r>
      <w:r>
        <w:rPr>
          <w:kern w:val="0"/>
          <w:sz w:val="24"/>
        </w:rPr>
        <w:fldChar w:fldCharType="end"/>
      </w:r>
      <w:r>
        <w:rPr>
          <w:kern w:val="0"/>
          <w:sz w:val="24"/>
        </w:rPr>
        <w:t>生活污水</w:t>
      </w:r>
    </w:p>
    <w:p w14:paraId="75FADBF5">
      <w:pPr>
        <w:adjustRightInd w:val="0"/>
        <w:snapToGrid w:val="0"/>
        <w:spacing w:before="0" w:beforeLines="0" w:line="360" w:lineRule="auto"/>
        <w:ind w:firstLine="480" w:firstLineChars="200"/>
        <w:rPr>
          <w:kern w:val="0"/>
          <w:sz w:val="24"/>
        </w:rPr>
      </w:pPr>
      <w:r>
        <w:rPr>
          <w:kern w:val="0"/>
          <w:sz w:val="24"/>
        </w:rPr>
        <w:t>本项目</w:t>
      </w:r>
      <w:r>
        <w:rPr>
          <w:rFonts w:hint="eastAsia"/>
          <w:kern w:val="0"/>
          <w:sz w:val="24"/>
          <w:lang w:eastAsia="zh-CN"/>
        </w:rPr>
        <w:t>雇佣工人</w:t>
      </w:r>
      <w:r>
        <w:rPr>
          <w:kern w:val="0"/>
          <w:sz w:val="24"/>
        </w:rPr>
        <w:t>均为周边村民，生活用水主要为饮用水及一般生活用水，废水中主要为人体代谢物。粪便可以用于农作物做有机肥，发酵腐熟后可直接使用</w:t>
      </w:r>
      <w:r>
        <w:rPr>
          <w:rFonts w:hint="eastAsia"/>
          <w:kern w:val="0"/>
          <w:sz w:val="24"/>
        </w:rPr>
        <w:t>，</w:t>
      </w:r>
      <w:r>
        <w:rPr>
          <w:kern w:val="0"/>
          <w:sz w:val="24"/>
        </w:rPr>
        <w:t>也可与土掺混制成大粪土作追肥，是一种农村常用的绿色肥料。项目所在地属于农村，周边分布有林地、耕地，因此通过设置防渗</w:t>
      </w:r>
      <w:r>
        <w:rPr>
          <w:rFonts w:hint="eastAsia"/>
          <w:kern w:val="0"/>
          <w:sz w:val="24"/>
          <w:lang w:eastAsia="zh-CN"/>
        </w:rPr>
        <w:t>化粪池</w:t>
      </w:r>
      <w:r>
        <w:rPr>
          <w:kern w:val="0"/>
          <w:sz w:val="24"/>
        </w:rPr>
        <w:t>，定期清淘的方式既可以避免</w:t>
      </w:r>
      <w:r>
        <w:rPr>
          <w:rFonts w:hint="eastAsia"/>
          <w:kern w:val="0"/>
          <w:sz w:val="24"/>
          <w:lang w:eastAsia="zh-CN"/>
        </w:rPr>
        <w:t>生活</w:t>
      </w:r>
      <w:r>
        <w:rPr>
          <w:kern w:val="0"/>
          <w:sz w:val="24"/>
        </w:rPr>
        <w:t>废水对环境的污染，又可以充分利用资源。建设单位应做好化粪池防渗、</w:t>
      </w:r>
      <w:r>
        <w:rPr>
          <w:rFonts w:hint="eastAsia"/>
          <w:kern w:val="0"/>
          <w:sz w:val="24"/>
        </w:rPr>
        <w:t>封</w:t>
      </w:r>
      <w:r>
        <w:rPr>
          <w:kern w:val="0"/>
          <w:sz w:val="24"/>
        </w:rPr>
        <w:t>闭措施。因此，本项目采取的生活污水治理措施合理可行。</w:t>
      </w:r>
    </w:p>
    <w:p w14:paraId="33D52B28">
      <w:pPr>
        <w:adjustRightInd w:val="0"/>
        <w:snapToGrid w:val="0"/>
        <w:spacing w:before="0" w:beforeLines="0" w:line="360" w:lineRule="auto"/>
        <w:ind w:firstLine="480" w:firstLineChars="200"/>
        <w:rPr>
          <w:kern w:val="0"/>
          <w:sz w:val="24"/>
        </w:rPr>
      </w:pPr>
      <w:r>
        <w:rPr>
          <w:kern w:val="0"/>
          <w:sz w:val="24"/>
        </w:rPr>
        <w:fldChar w:fldCharType="begin"/>
      </w:r>
      <w:r>
        <w:rPr>
          <w:kern w:val="0"/>
          <w:sz w:val="24"/>
        </w:rPr>
        <w:instrText xml:space="preserve"> = 2 \* GB3 \* MERGEFORMAT </w:instrText>
      </w:r>
      <w:r>
        <w:rPr>
          <w:kern w:val="0"/>
          <w:sz w:val="24"/>
        </w:rPr>
        <w:fldChar w:fldCharType="separate"/>
      </w:r>
      <w:r>
        <w:rPr>
          <w:kern w:val="0"/>
          <w:sz w:val="24"/>
        </w:rPr>
        <w:t>②</w:t>
      </w:r>
      <w:r>
        <w:rPr>
          <w:kern w:val="0"/>
          <w:sz w:val="24"/>
        </w:rPr>
        <w:fldChar w:fldCharType="end"/>
      </w:r>
      <w:r>
        <w:rPr>
          <w:kern w:val="0"/>
          <w:sz w:val="24"/>
        </w:rPr>
        <w:t>生产废水</w:t>
      </w:r>
    </w:p>
    <w:p w14:paraId="13E57FC4">
      <w:pPr>
        <w:adjustRightInd w:val="0"/>
        <w:snapToGrid w:val="0"/>
        <w:spacing w:before="0" w:beforeLines="0" w:line="360" w:lineRule="auto"/>
        <w:ind w:firstLine="480" w:firstLineChars="200"/>
        <w:rPr>
          <w:kern w:val="0"/>
          <w:sz w:val="24"/>
        </w:rPr>
      </w:pPr>
      <w:r>
        <w:rPr>
          <w:kern w:val="0"/>
          <w:sz w:val="24"/>
        </w:rPr>
        <w:t>脱水机产生的废水进入本项目循环水池，回用于选矿；泥浆及地面清洗废水</w:t>
      </w:r>
      <w:r>
        <w:rPr>
          <w:rFonts w:hint="eastAsia"/>
          <w:kern w:val="0"/>
          <w:sz w:val="24"/>
        </w:rPr>
        <w:t>排入</w:t>
      </w:r>
      <w:r>
        <w:rPr>
          <w:kern w:val="0"/>
          <w:sz w:val="24"/>
        </w:rPr>
        <w:t>浓缩罐及板框压滤机</w:t>
      </w:r>
      <w:r>
        <w:rPr>
          <w:rFonts w:hint="eastAsia"/>
          <w:kern w:val="0"/>
          <w:sz w:val="24"/>
        </w:rPr>
        <w:t>，</w:t>
      </w:r>
      <w:r>
        <w:rPr>
          <w:kern w:val="0"/>
          <w:sz w:val="24"/>
        </w:rPr>
        <w:t>处理后产生的废水排入循环水池，回用于选矿，不外排。</w:t>
      </w:r>
    </w:p>
    <w:p w14:paraId="3F28B66B">
      <w:pPr>
        <w:spacing w:before="0" w:beforeLines="0" w:line="360" w:lineRule="auto"/>
        <w:ind w:firstLine="539"/>
        <w:rPr>
          <w:sz w:val="24"/>
          <w:szCs w:val="20"/>
        </w:rPr>
      </w:pPr>
      <w:r>
        <w:rPr>
          <w:sz w:val="24"/>
          <w:szCs w:val="20"/>
        </w:rPr>
        <w:t>本项目生产工艺为磨矿</w:t>
      </w:r>
      <w:r>
        <w:rPr>
          <w:rFonts w:hint="eastAsia"/>
          <w:sz w:val="24"/>
          <w:szCs w:val="20"/>
        </w:rPr>
        <w:t>-</w:t>
      </w:r>
      <w:r>
        <w:rPr>
          <w:sz w:val="24"/>
          <w:szCs w:val="20"/>
        </w:rPr>
        <w:t>磁选</w:t>
      </w:r>
      <w:r>
        <w:rPr>
          <w:rFonts w:hint="eastAsia"/>
          <w:sz w:val="24"/>
          <w:szCs w:val="20"/>
        </w:rPr>
        <w:t>-重选，</w:t>
      </w:r>
      <w:r>
        <w:rPr>
          <w:sz w:val="24"/>
          <w:szCs w:val="20"/>
        </w:rPr>
        <w:t>不添加</w:t>
      </w:r>
      <w:r>
        <w:rPr>
          <w:rFonts w:hint="eastAsia"/>
          <w:sz w:val="24"/>
          <w:szCs w:val="20"/>
        </w:rPr>
        <w:t>任何</w:t>
      </w:r>
      <w:r>
        <w:rPr>
          <w:sz w:val="24"/>
          <w:szCs w:val="20"/>
        </w:rPr>
        <w:t>药剂，选矿废水中主要污染物为SS，</w:t>
      </w:r>
      <w:r>
        <w:rPr>
          <w:rFonts w:hint="eastAsia"/>
          <w:sz w:val="24"/>
          <w:szCs w:val="20"/>
        </w:rPr>
        <w:t>经简单</w:t>
      </w:r>
      <w:r>
        <w:rPr>
          <w:sz w:val="24"/>
          <w:szCs w:val="20"/>
        </w:rPr>
        <w:t>沉淀处理后上清液悬浮物的含量可以控制在50mg/L以下</w:t>
      </w:r>
      <w:r>
        <w:rPr>
          <w:rFonts w:hint="eastAsia"/>
          <w:sz w:val="24"/>
          <w:szCs w:val="20"/>
        </w:rPr>
        <w:t>。根据《铁矿石采选企业污水处理技术规范》（GB/T 33815-2017）中6.2.3.1单一磁选工艺选矿水水质通常主要污染物为悬浮物，通过对悬浮物的分级沉淀去除即可满足回用要求，并</w:t>
      </w:r>
      <w:r>
        <w:rPr>
          <w:sz w:val="24"/>
          <w:szCs w:val="20"/>
        </w:rPr>
        <w:t>根据</w:t>
      </w:r>
      <w:r>
        <w:rPr>
          <w:rFonts w:hint="eastAsia"/>
          <w:sz w:val="24"/>
          <w:szCs w:val="20"/>
        </w:rPr>
        <w:t>矿山企业</w:t>
      </w:r>
      <w:r>
        <w:rPr>
          <w:sz w:val="24"/>
          <w:szCs w:val="20"/>
        </w:rPr>
        <w:t>生产经验，</w:t>
      </w:r>
      <w:r>
        <w:rPr>
          <w:rFonts w:hint="eastAsia"/>
          <w:sz w:val="24"/>
          <w:szCs w:val="20"/>
        </w:rPr>
        <w:t>废水经</w:t>
      </w:r>
      <w:r>
        <w:rPr>
          <w:sz w:val="24"/>
          <w:szCs w:val="20"/>
        </w:rPr>
        <w:t>沉淀处理后</w:t>
      </w:r>
      <w:r>
        <w:rPr>
          <w:rFonts w:hint="eastAsia"/>
          <w:sz w:val="24"/>
          <w:szCs w:val="20"/>
        </w:rPr>
        <w:t>可</w:t>
      </w:r>
      <w:r>
        <w:rPr>
          <w:sz w:val="24"/>
          <w:szCs w:val="20"/>
        </w:rPr>
        <w:t>满足回用要求，废水处理及回用方案可行。本项目工艺较为简单水污染物以SS为主，根据水平衡分析，</w:t>
      </w:r>
      <w:r>
        <w:rPr>
          <w:rFonts w:hint="eastAsia"/>
          <w:sz w:val="24"/>
          <w:szCs w:val="20"/>
        </w:rPr>
        <w:t>可</w:t>
      </w:r>
      <w:r>
        <w:rPr>
          <w:sz w:val="24"/>
          <w:szCs w:val="20"/>
        </w:rPr>
        <w:t>实现废水的零排放。</w:t>
      </w:r>
    </w:p>
    <w:p w14:paraId="07CFBD39">
      <w:pPr>
        <w:pStyle w:val="5"/>
        <w:spacing w:before="156" w:after="156"/>
        <w:rPr>
          <w:color w:val="auto"/>
        </w:rPr>
      </w:pPr>
      <w:r>
        <w:rPr>
          <w:color w:val="auto"/>
        </w:rPr>
        <w:t>6.2.3固体废物污染防治措施及其可行性论证</w:t>
      </w:r>
    </w:p>
    <w:p w14:paraId="2C04A66E">
      <w:pPr>
        <w:adjustRightInd w:val="0"/>
        <w:spacing w:before="0" w:beforeLines="0" w:line="360" w:lineRule="auto"/>
        <w:rPr>
          <w:b/>
          <w:bCs/>
          <w:sz w:val="24"/>
        </w:rPr>
      </w:pPr>
      <w:r>
        <w:rPr>
          <w:rFonts w:hint="eastAsia"/>
          <w:b/>
          <w:bCs/>
          <w:sz w:val="24"/>
        </w:rPr>
        <w:t>6.2.3.1一般固废</w:t>
      </w:r>
    </w:p>
    <w:p w14:paraId="018B891A">
      <w:pPr>
        <w:adjustRightInd w:val="0"/>
        <w:spacing w:before="0" w:beforeLines="0" w:line="360" w:lineRule="auto"/>
        <w:ind w:firstLine="480" w:firstLineChars="200"/>
        <w:jc w:val="left"/>
        <w:rPr>
          <w:sz w:val="24"/>
        </w:rPr>
      </w:pPr>
      <w:r>
        <w:rPr>
          <w:sz w:val="24"/>
        </w:rPr>
        <w:t>本项目一般固体废物有除尘灰、落地灰、泥饼</w:t>
      </w:r>
      <w:r>
        <w:rPr>
          <w:rFonts w:hint="eastAsia"/>
          <w:sz w:val="24"/>
        </w:rPr>
        <w:t>和沉淀渣</w:t>
      </w:r>
      <w:r>
        <w:rPr>
          <w:sz w:val="24"/>
        </w:rPr>
        <w:t>、</w:t>
      </w:r>
      <w:r>
        <w:rPr>
          <w:rFonts w:hint="eastAsia"/>
          <w:sz w:val="24"/>
        </w:rPr>
        <w:t>废布袋等。</w:t>
      </w:r>
    </w:p>
    <w:p w14:paraId="479ADF2A">
      <w:pPr>
        <w:adjustRightInd w:val="0"/>
        <w:spacing w:before="0" w:beforeLines="0" w:line="360" w:lineRule="auto"/>
        <w:ind w:firstLine="480" w:firstLineChars="200"/>
        <w:jc w:val="left"/>
        <w:rPr>
          <w:rStyle w:val="213"/>
        </w:rPr>
      </w:pPr>
      <w:r>
        <w:rPr>
          <w:rStyle w:val="213"/>
          <w:rFonts w:hint="eastAsia"/>
        </w:rPr>
        <w:t>（1）</w:t>
      </w:r>
      <w:r>
        <w:rPr>
          <w:rStyle w:val="213"/>
        </w:rPr>
        <w:t>泥饼</w:t>
      </w:r>
      <w:r>
        <w:rPr>
          <w:rStyle w:val="213"/>
          <w:rFonts w:hint="eastAsia"/>
        </w:rPr>
        <w:t>及沉淀渣</w:t>
      </w:r>
    </w:p>
    <w:p w14:paraId="52E87C6D">
      <w:pPr>
        <w:adjustRightInd w:val="0"/>
        <w:spacing w:before="0" w:beforeLines="0" w:line="360" w:lineRule="auto"/>
        <w:ind w:firstLine="480" w:firstLineChars="200"/>
        <w:rPr>
          <w:sz w:val="24"/>
        </w:rPr>
      </w:pPr>
      <w:r>
        <w:rPr>
          <w:rStyle w:val="213"/>
        </w:rPr>
        <w:t>根据</w:t>
      </w:r>
      <w:r>
        <w:rPr>
          <w:rStyle w:val="213"/>
          <w:rFonts w:hint="eastAsia"/>
        </w:rPr>
        <w:t>检测报告</w:t>
      </w:r>
      <w:r>
        <w:rPr>
          <w:rStyle w:val="213"/>
        </w:rPr>
        <w:t>可知，本项目</w:t>
      </w:r>
      <w:bookmarkStart w:id="577" w:name="_Hlk175129004"/>
      <w:r>
        <w:rPr>
          <w:rStyle w:val="213"/>
        </w:rPr>
        <w:t>泥饼</w:t>
      </w:r>
      <w:r>
        <w:rPr>
          <w:rStyle w:val="213"/>
          <w:rFonts w:hint="eastAsia"/>
        </w:rPr>
        <w:t>和沉淀渣</w:t>
      </w:r>
      <w:r>
        <w:rPr>
          <w:rStyle w:val="213"/>
        </w:rPr>
        <w:t>为</w:t>
      </w:r>
      <w:bookmarkStart w:id="578" w:name="_Hlk193111397"/>
      <w:r>
        <w:rPr>
          <w:rStyle w:val="213"/>
        </w:rPr>
        <w:fldChar w:fldCharType="begin"/>
      </w:r>
      <w:r>
        <w:rPr>
          <w:rStyle w:val="213"/>
        </w:rPr>
        <w:instrText xml:space="preserve"> = 1 \* ROMAN \* MERGEFORMAT </w:instrText>
      </w:r>
      <w:r>
        <w:rPr>
          <w:rStyle w:val="213"/>
        </w:rPr>
        <w:fldChar w:fldCharType="separate"/>
      </w:r>
      <w:r>
        <w:rPr>
          <w:rStyle w:val="213"/>
        </w:rPr>
        <w:t>I</w:t>
      </w:r>
      <w:r>
        <w:rPr>
          <w:rStyle w:val="213"/>
        </w:rPr>
        <w:fldChar w:fldCharType="end"/>
      </w:r>
      <w:bookmarkEnd w:id="578"/>
      <w:r>
        <w:rPr>
          <w:rStyle w:val="213"/>
        </w:rPr>
        <w:t>类一般工业固体废物</w:t>
      </w:r>
      <w:r>
        <w:rPr>
          <w:rStyle w:val="213"/>
          <w:rFonts w:hint="eastAsia"/>
        </w:rPr>
        <w:t>。根据</w:t>
      </w:r>
      <w:r>
        <w:rPr>
          <w:sz w:val="24"/>
        </w:rPr>
        <w:t>《一般工业固体废物贮存和填埋污染控制标准》（GB18599-2020）</w:t>
      </w:r>
      <w:r>
        <w:rPr>
          <w:rFonts w:hint="eastAsia"/>
          <w:sz w:val="24"/>
        </w:rPr>
        <w:t>8.1</w:t>
      </w:r>
      <w:r>
        <w:rPr>
          <w:sz w:val="24"/>
        </w:rPr>
        <w:t>中第I类工业固体废物充填及回填利用污染控制要求：</w:t>
      </w:r>
      <w:r>
        <w:rPr>
          <w:rFonts w:hint="eastAsia"/>
          <w:sz w:val="24"/>
        </w:rPr>
        <w:t>c）尾矿、矿山废石等</w:t>
      </w:r>
      <w:r>
        <w:rPr>
          <w:sz w:val="24"/>
        </w:rPr>
        <w:t>可在原矿开采区的矿井、矿坑等采空区中充填或回填。</w:t>
      </w:r>
      <w:r>
        <w:rPr>
          <w:rFonts w:hint="eastAsia"/>
          <w:sz w:val="24"/>
        </w:rPr>
        <w:t>因此，本项目产生的泥饼和沉淀渣</w:t>
      </w:r>
      <w:r>
        <w:rPr>
          <w:rStyle w:val="213"/>
        </w:rPr>
        <w:t>满足回填要求，可全部</w:t>
      </w:r>
      <w:bookmarkEnd w:id="577"/>
      <w:bookmarkStart w:id="579" w:name="_Hlk175129013"/>
      <w:r>
        <w:rPr>
          <w:rStyle w:val="213"/>
          <w:rFonts w:hint="eastAsia"/>
        </w:rPr>
        <w:t>返回</w:t>
      </w:r>
      <w:r>
        <w:rPr>
          <w:rStyle w:val="213"/>
        </w:rPr>
        <w:t>阜新亿升达铁选厂</w:t>
      </w:r>
      <w:bookmarkEnd w:id="579"/>
      <w:r>
        <w:rPr>
          <w:rStyle w:val="213"/>
        </w:rPr>
        <w:t>原矿坑进行回填。</w:t>
      </w:r>
      <w:r>
        <w:rPr>
          <w:rFonts w:hint="eastAsia"/>
          <w:sz w:val="24"/>
        </w:rPr>
        <w:t>根据当地政府要求，该回填工作由辽宁鑫岳矿业有限公司负责进行。企业已经与辽宁鑫岳矿业有限公司依法签订书面合同，在合同中约定运输要求、污染防治要求等内容。</w:t>
      </w:r>
    </w:p>
    <w:p w14:paraId="70A85940">
      <w:pPr>
        <w:adjustRightInd w:val="0"/>
        <w:spacing w:before="0" w:beforeLines="0" w:line="360" w:lineRule="auto"/>
        <w:ind w:firstLine="480" w:firstLineChars="200"/>
        <w:jc w:val="left"/>
        <w:rPr>
          <w:rStyle w:val="213"/>
        </w:rPr>
      </w:pPr>
      <w:bookmarkStart w:id="580" w:name="_Hlk175128990"/>
      <w:r>
        <w:rPr>
          <w:rStyle w:val="213"/>
          <w:rFonts w:hint="eastAsia"/>
        </w:rPr>
        <w:t>本项目建成后泥饼产生量约为93.17万t/a</w:t>
      </w:r>
      <w:bookmarkEnd w:id="580"/>
      <w:r>
        <w:rPr>
          <w:rStyle w:val="213"/>
          <w:rFonts w:hint="eastAsia"/>
        </w:rPr>
        <w:t>，除尘灰及落地灰3690t/a，比重按1.8kg/L计，根据统计亿升达尾矿废石共计约1007.6万t，可供本项目处置约3.36年，则共产生泥饼313.05万t，除尘灰及落地灰1.24万t，折合体积约174.6万m</w:t>
      </w:r>
      <w:r>
        <w:rPr>
          <w:rStyle w:val="213"/>
          <w:rFonts w:hint="eastAsia"/>
          <w:vertAlign w:val="superscript"/>
        </w:rPr>
        <w:t>3</w:t>
      </w:r>
      <w:r>
        <w:rPr>
          <w:rStyle w:val="213"/>
          <w:rFonts w:hint="eastAsia"/>
        </w:rPr>
        <w:t>。根据企业现场调查，亿升达历史遗留采坑总容积超过200万m</w:t>
      </w:r>
      <w:r>
        <w:rPr>
          <w:rStyle w:val="213"/>
          <w:rFonts w:hint="eastAsia"/>
          <w:vertAlign w:val="superscript"/>
        </w:rPr>
        <w:t>3</w:t>
      </w:r>
      <w:r>
        <w:rPr>
          <w:rStyle w:val="213"/>
          <w:rFonts w:hint="eastAsia"/>
        </w:rPr>
        <w:t>，因此可以满足本项目泥饼回填需求。</w:t>
      </w:r>
    </w:p>
    <w:p w14:paraId="1F5A4F3C">
      <w:pPr>
        <w:adjustRightInd w:val="0"/>
        <w:spacing w:before="0" w:beforeLines="0" w:line="360" w:lineRule="auto"/>
        <w:ind w:firstLine="480" w:firstLineChars="200"/>
        <w:jc w:val="left"/>
        <w:rPr>
          <w:kern w:val="0"/>
          <w:sz w:val="24"/>
        </w:rPr>
      </w:pPr>
      <w:r>
        <w:rPr>
          <w:rFonts w:hint="eastAsia"/>
          <w:kern w:val="0"/>
          <w:sz w:val="24"/>
        </w:rPr>
        <w:t>（2）废布袋</w:t>
      </w:r>
    </w:p>
    <w:p w14:paraId="669E7475">
      <w:pPr>
        <w:adjustRightInd w:val="0"/>
        <w:spacing w:before="0" w:beforeLines="0" w:line="360" w:lineRule="auto"/>
        <w:ind w:firstLine="480" w:firstLineChars="200"/>
        <w:jc w:val="left"/>
        <w:rPr>
          <w:rStyle w:val="213"/>
        </w:rPr>
      </w:pPr>
      <w:r>
        <w:rPr>
          <w:rStyle w:val="213"/>
          <w:rFonts w:hint="eastAsia"/>
        </w:rPr>
        <w:t>本项目布袋除尘器主要用于生产过程中粉尘治理，均常温下运行，粉尘成分单一，</w:t>
      </w:r>
      <w:r>
        <w:rPr>
          <w:rStyle w:val="213"/>
        </w:rPr>
        <w:t>废布袋</w:t>
      </w:r>
      <w:r>
        <w:rPr>
          <w:rStyle w:val="213"/>
          <w:rFonts w:hint="eastAsia"/>
        </w:rPr>
        <w:t>产生量约1.0t/a。废布袋主要为纤维滤料，可外售综合利用。</w:t>
      </w:r>
    </w:p>
    <w:p w14:paraId="08F4F097">
      <w:pPr>
        <w:adjustRightInd w:val="0"/>
        <w:spacing w:before="0" w:beforeLines="0" w:line="360" w:lineRule="auto"/>
        <w:ind w:firstLine="480" w:firstLineChars="200"/>
        <w:jc w:val="left"/>
        <w:rPr>
          <w:rStyle w:val="213"/>
        </w:rPr>
      </w:pPr>
      <w:r>
        <w:rPr>
          <w:rStyle w:val="213"/>
          <w:rFonts w:hint="eastAsia"/>
        </w:rPr>
        <w:t>（3）</w:t>
      </w:r>
      <w:r>
        <w:rPr>
          <w:rStyle w:val="213"/>
        </w:rPr>
        <w:t>除尘灰及落地灰</w:t>
      </w:r>
    </w:p>
    <w:p w14:paraId="37BE8887">
      <w:pPr>
        <w:adjustRightInd w:val="0"/>
        <w:spacing w:before="0" w:beforeLines="0" w:line="360" w:lineRule="auto"/>
        <w:ind w:firstLine="480" w:firstLineChars="200"/>
        <w:jc w:val="left"/>
        <w:rPr>
          <w:kern w:val="0"/>
          <w:sz w:val="24"/>
        </w:rPr>
      </w:pPr>
      <w:r>
        <w:rPr>
          <w:kern w:val="0"/>
          <w:sz w:val="24"/>
        </w:rPr>
        <w:t>除尘灰和落地灰主要为废石、尾矿破碎筛分、粗磁选、抛砂分离产生的粉尘，主要成分与原料废石、尾矿基本一致，仍属于一般固体废物。</w:t>
      </w:r>
      <w:bookmarkStart w:id="581" w:name="OLE_LINK57"/>
      <w:r>
        <w:rPr>
          <w:kern w:val="0"/>
          <w:sz w:val="24"/>
        </w:rPr>
        <w:t>项目投产后公司委托第三方检测单位对除尘灰和落地灰进行浸出试验，鉴定结果属于Ⅰ类一般工业固体废物与泥饼直接由辽宁鑫岳矿业负责回填采坑并进行生态恢复；属于II类一般工业固体废物，由辽宁鑫岳矿业根据《辽宁省一般工业固体废物用于矿山露天采坑回填修复环境管理规定（试行）》（辽环发[2025]16号）、《一般工业固体废物贮存和填埋污染控制标准》（GB18599-2020）开展环境风险评估后按照相关规定回填采坑并进行生态恢复。</w:t>
      </w:r>
      <w:r>
        <w:rPr>
          <w:rFonts w:hint="eastAsia"/>
          <w:kern w:val="0"/>
          <w:sz w:val="24"/>
        </w:rPr>
        <w:t>因此，</w:t>
      </w:r>
      <w:r>
        <w:rPr>
          <w:kern w:val="0"/>
          <w:sz w:val="24"/>
        </w:rPr>
        <w:t>对外环境影响较小。</w:t>
      </w:r>
    </w:p>
    <w:bookmarkEnd w:id="581"/>
    <w:p w14:paraId="0193EB6A">
      <w:pPr>
        <w:adjustRightInd w:val="0"/>
        <w:spacing w:before="0" w:beforeLines="0" w:line="360" w:lineRule="auto"/>
        <w:ind w:firstLine="480" w:firstLineChars="200"/>
        <w:jc w:val="left"/>
        <w:rPr>
          <w:kern w:val="0"/>
          <w:sz w:val="24"/>
        </w:rPr>
      </w:pPr>
      <w:r>
        <w:rPr>
          <w:kern w:val="0"/>
          <w:sz w:val="24"/>
        </w:rPr>
        <w:t>若因特殊原因导致除尘灰、泥饼和沉淀渣不能及时运输并回填采坑，应立即停产，</w:t>
      </w:r>
      <w:r>
        <w:rPr>
          <w:rFonts w:hint="eastAsia"/>
          <w:kern w:val="0"/>
          <w:sz w:val="24"/>
          <w:lang w:eastAsia="zh-CN"/>
        </w:rPr>
        <w:t>不得</w:t>
      </w:r>
      <w:r>
        <w:rPr>
          <w:kern w:val="0"/>
          <w:sz w:val="24"/>
        </w:rPr>
        <w:t>在厂内堆存上述固体废物。</w:t>
      </w:r>
    </w:p>
    <w:p w14:paraId="06B83B32">
      <w:pPr>
        <w:adjustRightInd w:val="0"/>
        <w:spacing w:before="0" w:beforeLines="0" w:line="360" w:lineRule="auto"/>
        <w:ind w:firstLine="480" w:firstLineChars="200"/>
        <w:jc w:val="left"/>
        <w:rPr>
          <w:kern w:val="0"/>
          <w:sz w:val="24"/>
        </w:rPr>
      </w:pPr>
      <w:r>
        <w:rPr>
          <w:rFonts w:hint="eastAsia"/>
          <w:kern w:val="0"/>
          <w:sz w:val="24"/>
        </w:rPr>
        <w:t>综上，本项目一般固废泥饼和沉淀渣、除尘灰和落地灰（浸出实验为</w:t>
      </w:r>
      <w:r>
        <w:rPr>
          <w:kern w:val="0"/>
          <w:sz w:val="24"/>
        </w:rPr>
        <w:t>Ⅰ类一般工业固体废物</w:t>
      </w:r>
      <w:r>
        <w:rPr>
          <w:rFonts w:hint="eastAsia"/>
          <w:kern w:val="0"/>
          <w:sz w:val="24"/>
        </w:rPr>
        <w:t>）由</w:t>
      </w:r>
      <w:r>
        <w:rPr>
          <w:rFonts w:hint="eastAsia"/>
          <w:sz w:val="24"/>
        </w:rPr>
        <w:t>辽宁鑫岳矿业有限公司随产随运，不在厂区内储存；</w:t>
      </w:r>
      <w:r>
        <w:rPr>
          <w:sz w:val="24"/>
        </w:rPr>
        <w:t>属于II类一般工业固体废物，根据《辽宁省一般工业固体废物用于矿山露天采坑回填修复环境管理规定（试行）》（辽环发[2025]16号）开展环境风险评估后</w:t>
      </w:r>
      <w:r>
        <w:rPr>
          <w:rFonts w:hint="eastAsia"/>
          <w:sz w:val="24"/>
        </w:rPr>
        <w:t>按照规定</w:t>
      </w:r>
      <w:r>
        <w:rPr>
          <w:sz w:val="24"/>
        </w:rPr>
        <w:t>回填采坑</w:t>
      </w:r>
      <w:r>
        <w:rPr>
          <w:rFonts w:hint="eastAsia"/>
          <w:sz w:val="24"/>
        </w:rPr>
        <w:t>。废布袋更换后储存于一般固废暂存间，外售利用。一般固废暂存间位于抛砂车间西南角，占地50m</w:t>
      </w:r>
      <w:r>
        <w:rPr>
          <w:rFonts w:hint="eastAsia"/>
          <w:sz w:val="24"/>
          <w:vertAlign w:val="superscript"/>
        </w:rPr>
        <w:t>2</w:t>
      </w:r>
      <w:r>
        <w:rPr>
          <w:rFonts w:hint="eastAsia"/>
          <w:sz w:val="24"/>
        </w:rPr>
        <w:t>，最大储存能力200t。项目一般固废暂存间参照执行《一般工业固体废物贮存和填埋污染控制标准》（GB 18599-2020）中的有关规定，并做好防渗，防渗性能应至少相当于渗透系数为1.0×10-5cm/s且厚度为0.75m的天然基础层。</w:t>
      </w:r>
    </w:p>
    <w:p w14:paraId="3195A420">
      <w:pPr>
        <w:adjustRightInd w:val="0"/>
        <w:spacing w:before="0" w:beforeLines="0" w:line="360" w:lineRule="auto"/>
        <w:jc w:val="left"/>
        <w:rPr>
          <w:b/>
          <w:bCs/>
          <w:kern w:val="0"/>
          <w:sz w:val="24"/>
        </w:rPr>
      </w:pPr>
      <w:r>
        <w:rPr>
          <w:rFonts w:hint="eastAsia"/>
          <w:b/>
          <w:bCs/>
          <w:kern w:val="0"/>
          <w:sz w:val="24"/>
        </w:rPr>
        <w:t>6.2.3.2</w:t>
      </w:r>
      <w:r>
        <w:rPr>
          <w:rStyle w:val="213"/>
          <w:b/>
          <w:bCs/>
        </w:rPr>
        <w:t>危险废物</w:t>
      </w:r>
    </w:p>
    <w:p w14:paraId="0E4D05D5">
      <w:pPr>
        <w:adjustRightInd w:val="0"/>
        <w:spacing w:before="0" w:beforeLines="0" w:line="360" w:lineRule="auto"/>
        <w:ind w:firstLine="480" w:firstLineChars="200"/>
        <w:jc w:val="left"/>
        <w:rPr>
          <w:rStyle w:val="213"/>
          <w:b/>
          <w:bCs/>
        </w:rPr>
      </w:pPr>
      <w:r>
        <w:rPr>
          <w:rFonts w:hint="eastAsia"/>
          <w:kern w:val="0"/>
          <w:sz w:val="24"/>
        </w:rPr>
        <w:t>本项目危险废物主要为废矿物油和废油桶，废矿物油废物代码是900-214-08，废油桶废物代码是900-249-08，产生量共计1.2t/a。根据《危险废物管理计划和管理台账制定技术导则》(HJ1259-2022)要求，公司属于危险废物登记管理单位，根据《危险废物贮存污染控制标准》(GB18597-2023)要求，纳入危险废物登记管理单位的，设置用于专门贮存危险废物的贮存场所即贮存点即可。</w:t>
      </w:r>
      <w:r>
        <w:rPr>
          <w:rStyle w:val="213"/>
          <w:rFonts w:hint="eastAsia"/>
          <w:b/>
          <w:bCs/>
        </w:rPr>
        <w:t xml:space="preserve"> </w:t>
      </w:r>
    </w:p>
    <w:p w14:paraId="45EF5E7D">
      <w:pPr>
        <w:adjustRightInd w:val="0"/>
        <w:spacing w:before="0" w:beforeLines="0" w:line="360" w:lineRule="auto"/>
        <w:ind w:firstLine="480" w:firstLineChars="200"/>
        <w:jc w:val="left"/>
        <w:rPr>
          <w:kern w:val="0"/>
          <w:sz w:val="24"/>
        </w:rPr>
      </w:pPr>
      <w:r>
        <w:rPr>
          <w:rFonts w:hint="eastAsia"/>
          <w:kern w:val="0"/>
          <w:sz w:val="24"/>
        </w:rPr>
        <w:t>本项目建设单位设置危废贮存点1处，面积10m</w:t>
      </w:r>
      <w:r>
        <w:rPr>
          <w:rFonts w:hint="eastAsia"/>
          <w:kern w:val="0"/>
          <w:sz w:val="24"/>
          <w:vertAlign w:val="superscript"/>
        </w:rPr>
        <w:t>2</w:t>
      </w:r>
      <w:r>
        <w:rPr>
          <w:rFonts w:hint="eastAsia"/>
          <w:kern w:val="0"/>
          <w:sz w:val="24"/>
        </w:rPr>
        <w:t>，位于机制砂库房东北角。贮存点基本内容见表6.2-2.。</w:t>
      </w:r>
    </w:p>
    <w:p w14:paraId="0B08C49E">
      <w:pPr>
        <w:adjustRightInd w:val="0"/>
        <w:snapToGrid w:val="0"/>
        <w:spacing w:before="0" w:beforeLines="0" w:line="240" w:lineRule="auto"/>
        <w:jc w:val="center"/>
        <w:rPr>
          <w:b/>
          <w:szCs w:val="21"/>
        </w:rPr>
      </w:pPr>
      <w:r>
        <w:rPr>
          <w:b/>
          <w:bCs/>
          <w:szCs w:val="21"/>
        </w:rPr>
        <w:t>表6.2-2  本项目危废贮存场所基本情况</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105"/>
        <w:gridCol w:w="1264"/>
        <w:gridCol w:w="1896"/>
        <w:gridCol w:w="735"/>
        <w:gridCol w:w="735"/>
        <w:gridCol w:w="738"/>
        <w:gridCol w:w="1084"/>
        <w:gridCol w:w="755"/>
      </w:tblGrid>
      <w:tr w14:paraId="1AA9A6C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65" w:type="pct"/>
            <w:vAlign w:val="center"/>
          </w:tcPr>
          <w:p w14:paraId="3F0F8675">
            <w:pPr>
              <w:topLinePunct/>
              <w:adjustRightInd w:val="0"/>
              <w:snapToGrid w:val="0"/>
              <w:spacing w:before="0" w:beforeLines="0" w:line="240" w:lineRule="auto"/>
              <w:jc w:val="center"/>
              <w:rPr>
                <w:kern w:val="0"/>
                <w:szCs w:val="21"/>
              </w:rPr>
            </w:pPr>
            <w:r>
              <w:rPr>
                <w:kern w:val="0"/>
                <w:szCs w:val="21"/>
              </w:rPr>
              <w:t>贮存场所名称</w:t>
            </w:r>
          </w:p>
        </w:tc>
        <w:tc>
          <w:tcPr>
            <w:tcW w:w="760" w:type="pct"/>
            <w:vAlign w:val="center"/>
          </w:tcPr>
          <w:p w14:paraId="51A60D32">
            <w:pPr>
              <w:topLinePunct/>
              <w:adjustRightInd w:val="0"/>
              <w:snapToGrid w:val="0"/>
              <w:spacing w:before="0" w:beforeLines="0" w:line="240" w:lineRule="auto"/>
              <w:jc w:val="center"/>
              <w:rPr>
                <w:kern w:val="0"/>
                <w:szCs w:val="21"/>
              </w:rPr>
            </w:pPr>
            <w:r>
              <w:rPr>
                <w:kern w:val="0"/>
                <w:szCs w:val="21"/>
              </w:rPr>
              <w:t>危险废物名称</w:t>
            </w:r>
          </w:p>
        </w:tc>
        <w:tc>
          <w:tcPr>
            <w:tcW w:w="1140" w:type="pct"/>
            <w:vAlign w:val="center"/>
          </w:tcPr>
          <w:p w14:paraId="6A551712">
            <w:pPr>
              <w:topLinePunct/>
              <w:adjustRightInd w:val="0"/>
              <w:snapToGrid w:val="0"/>
              <w:spacing w:before="0" w:beforeLines="0" w:line="240" w:lineRule="auto"/>
              <w:jc w:val="center"/>
              <w:rPr>
                <w:kern w:val="0"/>
                <w:szCs w:val="21"/>
              </w:rPr>
            </w:pPr>
            <w:r>
              <w:rPr>
                <w:kern w:val="0"/>
                <w:szCs w:val="21"/>
              </w:rPr>
              <w:t>危险废物类别</w:t>
            </w:r>
          </w:p>
        </w:tc>
        <w:tc>
          <w:tcPr>
            <w:tcW w:w="442" w:type="pct"/>
            <w:vAlign w:val="center"/>
          </w:tcPr>
          <w:p w14:paraId="393324CE">
            <w:pPr>
              <w:topLinePunct/>
              <w:adjustRightInd w:val="0"/>
              <w:snapToGrid w:val="0"/>
              <w:spacing w:before="0" w:beforeLines="0" w:line="240" w:lineRule="auto"/>
              <w:jc w:val="center"/>
              <w:rPr>
                <w:kern w:val="0"/>
                <w:szCs w:val="21"/>
              </w:rPr>
            </w:pPr>
            <w:r>
              <w:rPr>
                <w:kern w:val="0"/>
                <w:szCs w:val="21"/>
              </w:rPr>
              <w:t>位置</w:t>
            </w:r>
          </w:p>
        </w:tc>
        <w:tc>
          <w:tcPr>
            <w:tcW w:w="442" w:type="pct"/>
            <w:vAlign w:val="center"/>
          </w:tcPr>
          <w:p w14:paraId="7A17B90A">
            <w:pPr>
              <w:topLinePunct/>
              <w:adjustRightInd w:val="0"/>
              <w:snapToGrid w:val="0"/>
              <w:spacing w:before="0" w:beforeLines="0" w:line="240" w:lineRule="auto"/>
              <w:jc w:val="center"/>
              <w:rPr>
                <w:kern w:val="0"/>
                <w:szCs w:val="21"/>
              </w:rPr>
            </w:pPr>
            <w:r>
              <w:rPr>
                <w:kern w:val="0"/>
                <w:szCs w:val="21"/>
              </w:rPr>
              <w:t>占地面积</w:t>
            </w:r>
          </w:p>
        </w:tc>
        <w:tc>
          <w:tcPr>
            <w:tcW w:w="444" w:type="pct"/>
            <w:vAlign w:val="center"/>
          </w:tcPr>
          <w:p w14:paraId="427158DE">
            <w:pPr>
              <w:topLinePunct/>
              <w:adjustRightInd w:val="0"/>
              <w:snapToGrid w:val="0"/>
              <w:spacing w:before="0" w:beforeLines="0" w:line="240" w:lineRule="auto"/>
              <w:jc w:val="center"/>
              <w:rPr>
                <w:kern w:val="0"/>
                <w:szCs w:val="21"/>
              </w:rPr>
            </w:pPr>
            <w:r>
              <w:rPr>
                <w:kern w:val="0"/>
                <w:szCs w:val="21"/>
              </w:rPr>
              <w:t>贮存</w:t>
            </w:r>
          </w:p>
          <w:p w14:paraId="7B22BC66">
            <w:pPr>
              <w:topLinePunct/>
              <w:adjustRightInd w:val="0"/>
              <w:snapToGrid w:val="0"/>
              <w:spacing w:before="0" w:beforeLines="0" w:line="240" w:lineRule="auto"/>
              <w:jc w:val="center"/>
              <w:rPr>
                <w:kern w:val="0"/>
                <w:szCs w:val="21"/>
              </w:rPr>
            </w:pPr>
            <w:r>
              <w:rPr>
                <w:kern w:val="0"/>
                <w:szCs w:val="21"/>
              </w:rPr>
              <w:t>方式</w:t>
            </w:r>
          </w:p>
        </w:tc>
        <w:tc>
          <w:tcPr>
            <w:tcW w:w="652" w:type="pct"/>
            <w:vAlign w:val="center"/>
          </w:tcPr>
          <w:p w14:paraId="3F084DEE">
            <w:pPr>
              <w:topLinePunct/>
              <w:adjustRightInd w:val="0"/>
              <w:snapToGrid w:val="0"/>
              <w:spacing w:before="0" w:beforeLines="0" w:line="240" w:lineRule="auto"/>
              <w:jc w:val="center"/>
              <w:rPr>
                <w:kern w:val="0"/>
                <w:szCs w:val="21"/>
              </w:rPr>
            </w:pPr>
            <w:r>
              <w:rPr>
                <w:kern w:val="0"/>
                <w:szCs w:val="21"/>
              </w:rPr>
              <w:t>最大贮存能力</w:t>
            </w:r>
          </w:p>
        </w:tc>
        <w:tc>
          <w:tcPr>
            <w:tcW w:w="454" w:type="pct"/>
            <w:vAlign w:val="center"/>
          </w:tcPr>
          <w:p w14:paraId="3CA27835">
            <w:pPr>
              <w:topLinePunct/>
              <w:adjustRightInd w:val="0"/>
              <w:snapToGrid w:val="0"/>
              <w:spacing w:before="0" w:beforeLines="0" w:line="240" w:lineRule="auto"/>
              <w:jc w:val="center"/>
              <w:rPr>
                <w:kern w:val="0"/>
                <w:szCs w:val="21"/>
              </w:rPr>
            </w:pPr>
            <w:r>
              <w:rPr>
                <w:kern w:val="0"/>
                <w:szCs w:val="21"/>
              </w:rPr>
              <w:t>贮存</w:t>
            </w:r>
          </w:p>
          <w:p w14:paraId="3FEA4D70">
            <w:pPr>
              <w:topLinePunct/>
              <w:adjustRightInd w:val="0"/>
              <w:snapToGrid w:val="0"/>
              <w:spacing w:before="0" w:beforeLines="0" w:line="240" w:lineRule="auto"/>
              <w:jc w:val="center"/>
              <w:rPr>
                <w:kern w:val="0"/>
                <w:szCs w:val="21"/>
              </w:rPr>
            </w:pPr>
            <w:r>
              <w:rPr>
                <w:kern w:val="0"/>
                <w:szCs w:val="21"/>
              </w:rPr>
              <w:t>周期</w:t>
            </w:r>
          </w:p>
        </w:tc>
      </w:tr>
      <w:tr w14:paraId="67230E0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65" w:type="pct"/>
            <w:vAlign w:val="center"/>
          </w:tcPr>
          <w:p w14:paraId="796F8850">
            <w:pPr>
              <w:snapToGrid w:val="0"/>
              <w:spacing w:before="0" w:beforeLines="0" w:line="240" w:lineRule="auto"/>
              <w:jc w:val="center"/>
            </w:pPr>
            <w:r>
              <w:rPr>
                <w:szCs w:val="21"/>
              </w:rPr>
              <w:t>危废贮存点</w:t>
            </w:r>
          </w:p>
        </w:tc>
        <w:tc>
          <w:tcPr>
            <w:tcW w:w="760" w:type="pct"/>
            <w:vAlign w:val="center"/>
          </w:tcPr>
          <w:p w14:paraId="46CD6078">
            <w:pPr>
              <w:snapToGrid w:val="0"/>
              <w:spacing w:before="0" w:beforeLines="0" w:line="240" w:lineRule="auto"/>
              <w:jc w:val="center"/>
            </w:pPr>
            <w:r>
              <w:t>废矿物油及废油桶</w:t>
            </w:r>
          </w:p>
        </w:tc>
        <w:tc>
          <w:tcPr>
            <w:tcW w:w="1140" w:type="pct"/>
            <w:vAlign w:val="center"/>
          </w:tcPr>
          <w:p w14:paraId="4FFABBBA">
            <w:pPr>
              <w:snapToGrid w:val="0"/>
              <w:spacing w:before="0" w:beforeLines="0" w:line="240" w:lineRule="auto"/>
              <w:jc w:val="center"/>
            </w:pPr>
            <w:r>
              <w:t>HW08废矿物油与含矿物油废物</w:t>
            </w:r>
          </w:p>
        </w:tc>
        <w:tc>
          <w:tcPr>
            <w:tcW w:w="442" w:type="pct"/>
            <w:vAlign w:val="center"/>
          </w:tcPr>
          <w:p w14:paraId="718BB2D7">
            <w:pPr>
              <w:snapToGrid w:val="0"/>
              <w:spacing w:before="0" w:beforeLines="0" w:line="240" w:lineRule="auto"/>
              <w:jc w:val="center"/>
            </w:pPr>
            <w:r>
              <w:rPr>
                <w:rFonts w:hint="eastAsia"/>
              </w:rPr>
              <w:t>机制砂库</w:t>
            </w:r>
          </w:p>
        </w:tc>
        <w:tc>
          <w:tcPr>
            <w:tcW w:w="442" w:type="pct"/>
            <w:vAlign w:val="center"/>
          </w:tcPr>
          <w:p w14:paraId="1758CFCE">
            <w:pPr>
              <w:snapToGrid w:val="0"/>
              <w:spacing w:before="0" w:beforeLines="0" w:line="240" w:lineRule="auto"/>
              <w:jc w:val="center"/>
              <w:rPr>
                <w:vertAlign w:val="superscript"/>
              </w:rPr>
            </w:pPr>
            <w:r>
              <w:rPr>
                <w:rFonts w:hint="eastAsia"/>
              </w:rPr>
              <w:t>1</w:t>
            </w:r>
            <w:r>
              <w:t>0m</w:t>
            </w:r>
            <w:r>
              <w:rPr>
                <w:vertAlign w:val="superscript"/>
              </w:rPr>
              <w:t>2</w:t>
            </w:r>
          </w:p>
        </w:tc>
        <w:tc>
          <w:tcPr>
            <w:tcW w:w="444" w:type="pct"/>
            <w:vAlign w:val="center"/>
          </w:tcPr>
          <w:p w14:paraId="5292BEDE">
            <w:pPr>
              <w:snapToGrid w:val="0"/>
              <w:spacing w:before="0" w:beforeLines="0" w:line="240" w:lineRule="auto"/>
              <w:jc w:val="center"/>
            </w:pPr>
            <w:r>
              <w:t>临时</w:t>
            </w:r>
          </w:p>
          <w:p w14:paraId="4528C251">
            <w:pPr>
              <w:snapToGrid w:val="0"/>
              <w:spacing w:before="0" w:beforeLines="0" w:line="240" w:lineRule="auto"/>
              <w:jc w:val="center"/>
            </w:pPr>
            <w:r>
              <w:t>贮存</w:t>
            </w:r>
          </w:p>
        </w:tc>
        <w:tc>
          <w:tcPr>
            <w:tcW w:w="652" w:type="pct"/>
            <w:vAlign w:val="center"/>
          </w:tcPr>
          <w:p w14:paraId="47B364E8">
            <w:pPr>
              <w:snapToGrid w:val="0"/>
              <w:spacing w:before="0" w:beforeLines="0" w:line="240" w:lineRule="auto"/>
              <w:jc w:val="center"/>
            </w:pPr>
            <w:r>
              <w:rPr>
                <w:rFonts w:hint="eastAsia"/>
              </w:rPr>
              <w:t>3</w:t>
            </w:r>
            <w:r>
              <w:t>t</w:t>
            </w:r>
          </w:p>
        </w:tc>
        <w:tc>
          <w:tcPr>
            <w:tcW w:w="454" w:type="pct"/>
            <w:vAlign w:val="center"/>
          </w:tcPr>
          <w:p w14:paraId="4832FD0F">
            <w:pPr>
              <w:snapToGrid w:val="0"/>
              <w:spacing w:before="0" w:beforeLines="0" w:line="240" w:lineRule="auto"/>
              <w:jc w:val="center"/>
            </w:pPr>
            <w:r>
              <w:t>12月</w:t>
            </w:r>
          </w:p>
        </w:tc>
      </w:tr>
    </w:tbl>
    <w:p w14:paraId="565DCE2C">
      <w:pPr>
        <w:spacing w:before="0" w:beforeLines="0" w:line="360" w:lineRule="auto"/>
        <w:ind w:firstLine="480" w:firstLineChars="200"/>
        <w:jc w:val="left"/>
        <w:rPr>
          <w:bCs/>
          <w:snapToGrid w:val="0"/>
          <w:kern w:val="0"/>
          <w:sz w:val="24"/>
        </w:rPr>
      </w:pPr>
      <w:r>
        <w:rPr>
          <w:bCs/>
          <w:snapToGrid w:val="0"/>
          <w:kern w:val="0"/>
          <w:sz w:val="24"/>
        </w:rPr>
        <w:t>危废贮存点应严格按照《危险废物贮存污染控制标准》（GB18597-2023）的要求执行，贮存点环境管理要求具体要求如下：</w:t>
      </w:r>
    </w:p>
    <w:p w14:paraId="61C5D742">
      <w:pPr>
        <w:spacing w:before="0" w:beforeLines="0" w:line="360" w:lineRule="auto"/>
        <w:ind w:firstLine="480" w:firstLineChars="200"/>
        <w:jc w:val="left"/>
        <w:rPr>
          <w:bCs/>
          <w:snapToGrid w:val="0"/>
          <w:kern w:val="0"/>
          <w:sz w:val="24"/>
        </w:rPr>
      </w:pPr>
      <w:r>
        <w:rPr>
          <w:bCs/>
          <w:snapToGrid w:val="0"/>
          <w:kern w:val="0"/>
          <w:sz w:val="24"/>
        </w:rPr>
        <w:t>（1）贮存点应具有固定的区域边界，并应采取与其他区域进行隔离的措施。</w:t>
      </w:r>
    </w:p>
    <w:p w14:paraId="7DDFF283">
      <w:pPr>
        <w:spacing w:before="0" w:beforeLines="0" w:line="360" w:lineRule="auto"/>
        <w:ind w:firstLine="480" w:firstLineChars="200"/>
        <w:jc w:val="left"/>
        <w:rPr>
          <w:bCs/>
          <w:snapToGrid w:val="0"/>
          <w:kern w:val="0"/>
          <w:sz w:val="24"/>
        </w:rPr>
      </w:pPr>
      <w:r>
        <w:rPr>
          <w:bCs/>
          <w:snapToGrid w:val="0"/>
          <w:kern w:val="0"/>
          <w:sz w:val="24"/>
        </w:rPr>
        <w:t>（2）贮存点应采取防风、防雨、防晒和防止危险废物流失、扬散等措施。</w:t>
      </w:r>
    </w:p>
    <w:p w14:paraId="13678F3E">
      <w:pPr>
        <w:spacing w:before="0" w:beforeLines="0" w:line="360" w:lineRule="auto"/>
        <w:ind w:firstLine="480" w:firstLineChars="200"/>
        <w:jc w:val="left"/>
        <w:rPr>
          <w:bCs/>
          <w:snapToGrid w:val="0"/>
          <w:kern w:val="0"/>
          <w:sz w:val="24"/>
        </w:rPr>
      </w:pPr>
      <w:r>
        <w:rPr>
          <w:bCs/>
          <w:snapToGrid w:val="0"/>
          <w:kern w:val="0"/>
          <w:sz w:val="24"/>
        </w:rPr>
        <w:t>（3）贮存点贮存的危险废物应置于容器或包装物中，不应直接散堆。</w:t>
      </w:r>
    </w:p>
    <w:p w14:paraId="06EEF68C">
      <w:pPr>
        <w:spacing w:before="0" w:beforeLines="0" w:line="360" w:lineRule="auto"/>
        <w:ind w:firstLine="480" w:firstLineChars="200"/>
        <w:jc w:val="left"/>
        <w:rPr>
          <w:bCs/>
          <w:snapToGrid w:val="0"/>
          <w:kern w:val="0"/>
          <w:sz w:val="24"/>
        </w:rPr>
      </w:pPr>
      <w:r>
        <w:rPr>
          <w:bCs/>
          <w:snapToGrid w:val="0"/>
          <w:kern w:val="0"/>
          <w:sz w:val="24"/>
        </w:rPr>
        <w:t>（4）贮存点应根据危险废物的形态、物理化学性质、包装形式等，采取防渗、防漏等 污染防治措施或采用具有相应功能的装置。</w:t>
      </w:r>
    </w:p>
    <w:p w14:paraId="1875151B">
      <w:pPr>
        <w:spacing w:before="0" w:beforeLines="0" w:line="360" w:lineRule="auto"/>
        <w:ind w:firstLine="480" w:firstLineChars="200"/>
        <w:jc w:val="left"/>
        <w:rPr>
          <w:bCs/>
          <w:snapToGrid w:val="0"/>
          <w:kern w:val="0"/>
          <w:sz w:val="24"/>
        </w:rPr>
      </w:pPr>
      <w:r>
        <w:rPr>
          <w:bCs/>
          <w:snapToGrid w:val="0"/>
          <w:kern w:val="0"/>
          <w:sz w:val="24"/>
        </w:rPr>
        <w:t>（5）贮存点应及时清运贮存的危险废物，实时贮存量不应超过3吨。</w:t>
      </w:r>
    </w:p>
    <w:p w14:paraId="79E9C3AB">
      <w:pPr>
        <w:spacing w:before="0" w:beforeLines="0" w:line="360" w:lineRule="auto"/>
        <w:ind w:firstLine="480" w:firstLineChars="200"/>
        <w:jc w:val="left"/>
        <w:rPr>
          <w:bCs/>
          <w:snapToGrid w:val="0"/>
          <w:kern w:val="0"/>
          <w:sz w:val="24"/>
        </w:rPr>
      </w:pPr>
      <w:r>
        <w:rPr>
          <w:bCs/>
          <w:snapToGrid w:val="0"/>
          <w:kern w:val="0"/>
          <w:sz w:val="24"/>
        </w:rPr>
        <w:t>本项目严格按照上述要求，在机制砂车间东北角建设设置10m</w:t>
      </w:r>
      <w:r>
        <w:rPr>
          <w:rFonts w:hint="eastAsia"/>
          <w:bCs/>
          <w:snapToGrid w:val="0"/>
          <w:kern w:val="0"/>
          <w:sz w:val="24"/>
          <w:vertAlign w:val="superscript"/>
        </w:rPr>
        <w:t>2</w:t>
      </w:r>
      <w:r>
        <w:rPr>
          <w:bCs/>
          <w:snapToGrid w:val="0"/>
          <w:kern w:val="0"/>
          <w:sz w:val="24"/>
        </w:rPr>
        <w:t>危废贮存点，设置防身托盘、密闭包装桶、危废标识等。</w:t>
      </w:r>
    </w:p>
    <w:p w14:paraId="11E1BCF2">
      <w:pPr>
        <w:spacing w:before="0" w:beforeLines="0" w:line="360" w:lineRule="auto"/>
        <w:ind w:firstLine="480" w:firstLineChars="200"/>
        <w:rPr>
          <w:sz w:val="24"/>
        </w:rPr>
      </w:pPr>
      <w:r>
        <w:rPr>
          <w:sz w:val="24"/>
        </w:rPr>
        <w:t xml:space="preserve">危废转移管理要求根据《危险废物转移管理办法》（2022年1月1日起施行），危险废物移出人应按照以下规定进行： </w:t>
      </w:r>
    </w:p>
    <w:p w14:paraId="3938C6BD">
      <w:pPr>
        <w:spacing w:before="0" w:beforeLines="0" w:line="360" w:lineRule="auto"/>
        <w:ind w:firstLine="480" w:firstLineChars="200"/>
        <w:rPr>
          <w:sz w:val="24"/>
        </w:rPr>
      </w:pPr>
      <w:r>
        <w:rPr>
          <w:rFonts w:hint="eastAsia"/>
          <w:sz w:val="24"/>
        </w:rPr>
        <w:t>（1）</w:t>
      </w:r>
      <w:r>
        <w:rPr>
          <w:sz w:val="24"/>
        </w:rPr>
        <w:t xml:space="preserve"> 转移危险废物的，应当执行危险废物转移联单制度；转移危险废物的，应当通过国家危险废物信息管理系统（以下简称信息系统）填写、运行危险废物电子转移联单，并依照国家有关规定公开危险废物转移相关污染环境防治信息。 </w:t>
      </w:r>
    </w:p>
    <w:p w14:paraId="30676BAF">
      <w:pPr>
        <w:spacing w:before="0" w:beforeLines="0" w:line="360" w:lineRule="auto"/>
        <w:ind w:firstLine="480" w:firstLineChars="200"/>
        <w:rPr>
          <w:sz w:val="24"/>
        </w:rPr>
      </w:pPr>
      <w:r>
        <w:rPr>
          <w:rFonts w:hint="eastAsia"/>
          <w:sz w:val="24"/>
        </w:rPr>
        <w:t>（2）</w:t>
      </w:r>
      <w:r>
        <w:rPr>
          <w:sz w:val="24"/>
        </w:rPr>
        <w:t xml:space="preserve"> 危险废物移出人、危险废物承运人、危险废物接受人（以下分别简称移出人、承运人和接受人）在危险废物转移过程中应当采取防扬散、防流失、 防渗漏或者其他防止污染环境的措施，不得擅自倾倒、堆放、丢弃、遗撒危险废物，并对所造成的环境污染及生态破坏依法承担责任。 </w:t>
      </w:r>
    </w:p>
    <w:p w14:paraId="75108127">
      <w:pPr>
        <w:spacing w:before="0" w:beforeLines="0" w:line="360" w:lineRule="auto"/>
        <w:ind w:firstLine="480" w:firstLineChars="200"/>
        <w:rPr>
          <w:sz w:val="24"/>
        </w:rPr>
      </w:pPr>
      <w:r>
        <w:rPr>
          <w:rFonts w:hint="eastAsia"/>
          <w:sz w:val="24"/>
        </w:rPr>
        <w:t>（3）</w:t>
      </w:r>
      <w:r>
        <w:rPr>
          <w:sz w:val="24"/>
        </w:rPr>
        <w:t>移出人、承运人、</w:t>
      </w:r>
      <w:r>
        <w:rPr>
          <w:rFonts w:hint="eastAsia"/>
          <w:sz w:val="24"/>
          <w:lang w:eastAsia="zh-CN"/>
        </w:rPr>
        <w:t>接收</w:t>
      </w:r>
      <w:r>
        <w:rPr>
          <w:sz w:val="24"/>
        </w:rPr>
        <w:t xml:space="preserve">人应当依法制定突发环境事件的防范措施和应 急预案，并报有关部门备案；发生危险废物突发环境事件时，应当立即采取有效措施消除或者减轻对环境的污染危害，并按相关规定向事故发生地有关部门报告，接受调查处理。 </w:t>
      </w:r>
    </w:p>
    <w:p w14:paraId="12199329">
      <w:pPr>
        <w:spacing w:before="0" w:beforeLines="0" w:line="360" w:lineRule="auto"/>
        <w:ind w:firstLine="480" w:firstLineChars="200"/>
        <w:rPr>
          <w:sz w:val="24"/>
        </w:rPr>
      </w:pPr>
      <w:r>
        <w:rPr>
          <w:rFonts w:hint="eastAsia"/>
          <w:sz w:val="24"/>
        </w:rPr>
        <w:t>（4）</w:t>
      </w:r>
      <w:r>
        <w:rPr>
          <w:sz w:val="24"/>
        </w:rPr>
        <w:t>移出人（建设单位）对承运人或者</w:t>
      </w:r>
      <w:r>
        <w:rPr>
          <w:rFonts w:hint="eastAsia"/>
          <w:sz w:val="24"/>
          <w:lang w:eastAsia="zh-CN"/>
        </w:rPr>
        <w:t>接收</w:t>
      </w:r>
      <w:r>
        <w:rPr>
          <w:sz w:val="24"/>
        </w:rPr>
        <w:t xml:space="preserve">人的主体资格和技术能力进行 核实，依法签订书面合同，并在合同中约定运输、贮存、利用、处置危险废物的污染防治要求及相关责任； </w:t>
      </w:r>
    </w:p>
    <w:p w14:paraId="023D0A13">
      <w:pPr>
        <w:spacing w:before="0" w:beforeLines="0" w:line="360" w:lineRule="auto"/>
        <w:ind w:firstLine="480" w:firstLineChars="200"/>
        <w:rPr>
          <w:sz w:val="24"/>
        </w:rPr>
      </w:pPr>
      <w:r>
        <w:rPr>
          <w:rFonts w:hint="eastAsia"/>
          <w:sz w:val="24"/>
        </w:rPr>
        <w:t>（5）</w:t>
      </w:r>
      <w:r>
        <w:rPr>
          <w:sz w:val="24"/>
        </w:rPr>
        <w:t xml:space="preserve">制定危险废物管理计划，明确拟转移危险废物的种类、重量（数量） 和流向等信息； </w:t>
      </w:r>
    </w:p>
    <w:p w14:paraId="0750CB7C">
      <w:pPr>
        <w:spacing w:before="0" w:beforeLines="0" w:line="360" w:lineRule="auto"/>
        <w:ind w:firstLine="480" w:firstLineChars="200"/>
        <w:rPr>
          <w:sz w:val="24"/>
        </w:rPr>
      </w:pPr>
      <w:r>
        <w:rPr>
          <w:rFonts w:hint="eastAsia"/>
          <w:sz w:val="24"/>
        </w:rPr>
        <w:t>（6）</w:t>
      </w:r>
      <w:r>
        <w:rPr>
          <w:sz w:val="24"/>
        </w:rPr>
        <w:t xml:space="preserve"> 建立危险废物管理台账，对转移的危险废物进行计量称重，如实记录、妥善保管转移危险废物的种类、重量（数量）和接收人等相关信息； </w:t>
      </w:r>
    </w:p>
    <w:p w14:paraId="73EF6C2D">
      <w:pPr>
        <w:spacing w:before="0" w:beforeLines="0" w:line="360" w:lineRule="auto"/>
        <w:ind w:firstLine="480" w:firstLineChars="200"/>
        <w:rPr>
          <w:sz w:val="24"/>
        </w:rPr>
      </w:pPr>
      <w:r>
        <w:rPr>
          <w:rFonts w:hint="eastAsia"/>
          <w:sz w:val="24"/>
        </w:rPr>
        <w:t>（7）</w:t>
      </w:r>
      <w:r>
        <w:rPr>
          <w:sz w:val="24"/>
        </w:rPr>
        <w:t>填写、运行危险废物转移联单，在危险废物转移联单中如实填写移出 人、承运人、</w:t>
      </w:r>
      <w:r>
        <w:rPr>
          <w:rFonts w:hint="eastAsia"/>
          <w:sz w:val="24"/>
          <w:lang w:eastAsia="zh-CN"/>
        </w:rPr>
        <w:t>接收</w:t>
      </w:r>
      <w:r>
        <w:rPr>
          <w:sz w:val="24"/>
        </w:rPr>
        <w:t xml:space="preserve">人信息，转移危险废物的种类、重量（数量）、危险特性等信息，以及突发环境事件的防范措施等； </w:t>
      </w:r>
    </w:p>
    <w:p w14:paraId="5CD0E3BA">
      <w:pPr>
        <w:spacing w:before="0" w:beforeLines="0" w:line="360" w:lineRule="auto"/>
        <w:ind w:firstLine="480" w:firstLineChars="200"/>
        <w:rPr>
          <w:sz w:val="24"/>
        </w:rPr>
      </w:pPr>
      <w:r>
        <w:rPr>
          <w:rFonts w:hint="eastAsia"/>
          <w:sz w:val="24"/>
        </w:rPr>
        <w:t>（8）</w:t>
      </w:r>
      <w:r>
        <w:rPr>
          <w:sz w:val="24"/>
        </w:rPr>
        <w:t>及时核实</w:t>
      </w:r>
      <w:r>
        <w:rPr>
          <w:rFonts w:hint="eastAsia"/>
          <w:sz w:val="24"/>
          <w:lang w:eastAsia="zh-CN"/>
        </w:rPr>
        <w:t>接收</w:t>
      </w:r>
      <w:r>
        <w:rPr>
          <w:sz w:val="24"/>
        </w:rPr>
        <w:t>人贮存、利用或者处置相关危险废物情况。 项目产生的危险废物等均由建设单位自行委托有资质单位处置，严格按照上述移出人管理要求进行，危险废物的运输与处置责任均由承运人、</w:t>
      </w:r>
      <w:r>
        <w:rPr>
          <w:rFonts w:hint="eastAsia"/>
          <w:sz w:val="24"/>
          <w:lang w:eastAsia="zh-CN"/>
        </w:rPr>
        <w:t>接收</w:t>
      </w:r>
      <w:r>
        <w:rPr>
          <w:sz w:val="24"/>
        </w:rPr>
        <w:t>人承担。</w:t>
      </w:r>
    </w:p>
    <w:p w14:paraId="54BD3235">
      <w:pPr>
        <w:spacing w:before="0" w:beforeLines="0" w:line="360" w:lineRule="auto"/>
        <w:ind w:left="480"/>
        <w:rPr>
          <w:sz w:val="24"/>
        </w:rPr>
      </w:pPr>
      <w:r>
        <w:rPr>
          <w:rFonts w:hint="eastAsia"/>
          <w:sz w:val="24"/>
        </w:rPr>
        <w:t>（9）</w:t>
      </w:r>
      <w:r>
        <w:rPr>
          <w:sz w:val="24"/>
        </w:rPr>
        <w:t>危险废物电子转移联单数据应当在信息系统中至少保存十年。</w:t>
      </w:r>
    </w:p>
    <w:p w14:paraId="7243AF93">
      <w:pPr>
        <w:spacing w:before="0" w:beforeLines="0" w:line="360" w:lineRule="auto"/>
        <w:ind w:left="480"/>
      </w:pPr>
      <w:r>
        <w:rPr>
          <w:rFonts w:hint="eastAsia"/>
          <w:sz w:val="24"/>
        </w:rPr>
        <w:t>综上，危险废物</w:t>
      </w:r>
      <w:r>
        <w:rPr>
          <w:rFonts w:hint="eastAsia"/>
          <w:sz w:val="24"/>
          <w:lang w:eastAsia="zh-CN"/>
        </w:rPr>
        <w:t>防治措施</w:t>
      </w:r>
      <w:r>
        <w:rPr>
          <w:rFonts w:hint="eastAsia"/>
          <w:sz w:val="24"/>
        </w:rPr>
        <w:t>严格按照国家相关标准规范执行，措施可行。</w:t>
      </w:r>
    </w:p>
    <w:p w14:paraId="7166EBCF">
      <w:pPr>
        <w:adjustRightInd w:val="0"/>
        <w:spacing w:before="0" w:beforeLines="0" w:line="360" w:lineRule="auto"/>
        <w:jc w:val="left"/>
        <w:rPr>
          <w:rStyle w:val="213"/>
          <w:b/>
          <w:bCs/>
        </w:rPr>
      </w:pPr>
      <w:r>
        <w:rPr>
          <w:rStyle w:val="213"/>
          <w:rFonts w:hint="eastAsia"/>
          <w:b/>
          <w:bCs/>
        </w:rPr>
        <w:t>6.2.3.3</w:t>
      </w:r>
      <w:r>
        <w:rPr>
          <w:rStyle w:val="213"/>
          <w:b/>
          <w:bCs/>
        </w:rPr>
        <w:t>生活垃圾</w:t>
      </w:r>
    </w:p>
    <w:p w14:paraId="147146E2">
      <w:pPr>
        <w:adjustRightInd w:val="0"/>
        <w:spacing w:before="0" w:beforeLines="0" w:line="360" w:lineRule="auto"/>
        <w:ind w:firstLine="480" w:firstLineChars="200"/>
        <w:jc w:val="left"/>
        <w:rPr>
          <w:kern w:val="0"/>
          <w:sz w:val="24"/>
        </w:rPr>
      </w:pPr>
      <w:r>
        <w:rPr>
          <w:kern w:val="0"/>
          <w:sz w:val="24"/>
        </w:rPr>
        <w:t>本项目劳动定员30人，生活垃圾产生量按人均1.0kg/人·d计，生活垃圾产生量为9.9t/a。</w:t>
      </w:r>
      <w:bookmarkStart w:id="582" w:name="_Hlk175129044"/>
      <w:r>
        <w:rPr>
          <w:kern w:val="0"/>
          <w:sz w:val="24"/>
        </w:rPr>
        <w:t>生活垃圾存放于办公区垃圾箱内，定期运至环卫部门指定地点，不随意排放</w:t>
      </w:r>
      <w:bookmarkEnd w:id="582"/>
      <w:r>
        <w:rPr>
          <w:kern w:val="0"/>
          <w:sz w:val="24"/>
        </w:rPr>
        <w:t>，满足相应的环保要求。</w:t>
      </w:r>
    </w:p>
    <w:p w14:paraId="58B9081E">
      <w:pPr>
        <w:pStyle w:val="5"/>
        <w:spacing w:before="156" w:after="156"/>
        <w:rPr>
          <w:color w:val="auto"/>
        </w:rPr>
      </w:pPr>
      <w:r>
        <w:rPr>
          <w:color w:val="auto"/>
        </w:rPr>
        <w:t>6.2.4噪声污染防治措施及其可行性论证</w:t>
      </w:r>
    </w:p>
    <w:p w14:paraId="4D7953B2">
      <w:pPr>
        <w:adjustRightInd w:val="0"/>
        <w:snapToGrid w:val="0"/>
        <w:spacing w:before="78" w:line="360" w:lineRule="auto"/>
        <w:ind w:firstLine="480" w:firstLineChars="200"/>
        <w:rPr>
          <w:bCs/>
          <w:sz w:val="24"/>
        </w:rPr>
      </w:pPr>
      <w:r>
        <w:rPr>
          <w:rFonts w:hint="eastAsia"/>
          <w:bCs/>
          <w:sz w:val="24"/>
        </w:rPr>
        <w:t>（1）</w:t>
      </w:r>
      <w:r>
        <w:rPr>
          <w:bCs/>
          <w:sz w:val="24"/>
        </w:rPr>
        <w:t>厂区内噪声污染防治措施</w:t>
      </w:r>
    </w:p>
    <w:p w14:paraId="428CA39D">
      <w:pPr>
        <w:adjustRightInd w:val="0"/>
        <w:snapToGrid w:val="0"/>
        <w:spacing w:before="78" w:line="360" w:lineRule="auto"/>
        <w:ind w:firstLine="480" w:firstLineChars="200"/>
        <w:rPr>
          <w:bCs/>
          <w:sz w:val="24"/>
        </w:rPr>
      </w:pPr>
      <w:r>
        <w:rPr>
          <w:bCs/>
          <w:sz w:val="24"/>
        </w:rPr>
        <w:t>噪声控制首先从平面布置上合理布局、采用低噪声设备和工艺，从声源上降低噪声，并按照《工业企业噪声控制设计规范》的要求对各主要噪声源采取消声、隔声、减振等综合防治降噪措施，消除机电设备运转噪声对周围环境的影响。</w:t>
      </w:r>
    </w:p>
    <w:p w14:paraId="47D74EDE">
      <w:pPr>
        <w:adjustRightInd w:val="0"/>
        <w:snapToGrid w:val="0"/>
        <w:spacing w:before="78" w:line="360" w:lineRule="auto"/>
        <w:ind w:firstLine="480" w:firstLineChars="200"/>
        <w:rPr>
          <w:bCs/>
          <w:sz w:val="24"/>
        </w:rPr>
      </w:pPr>
      <w:r>
        <w:rPr>
          <w:bCs/>
          <w:sz w:val="24"/>
        </w:rPr>
        <w:fldChar w:fldCharType="begin"/>
      </w:r>
      <w:r>
        <w:rPr>
          <w:bCs/>
          <w:sz w:val="24"/>
        </w:rPr>
        <w:instrText xml:space="preserve"> = 1 \* GB3 \* MERGEFORMAT </w:instrText>
      </w:r>
      <w:r>
        <w:rPr>
          <w:bCs/>
          <w:sz w:val="24"/>
        </w:rPr>
        <w:fldChar w:fldCharType="separate"/>
      </w:r>
      <w:r>
        <w:rPr>
          <w:bCs/>
          <w:sz w:val="24"/>
        </w:rPr>
        <w:t>①</w:t>
      </w:r>
      <w:r>
        <w:rPr>
          <w:bCs/>
          <w:sz w:val="24"/>
        </w:rPr>
        <w:fldChar w:fldCharType="end"/>
      </w:r>
      <w:r>
        <w:rPr>
          <w:rFonts w:hint="eastAsia"/>
          <w:bCs/>
          <w:sz w:val="24"/>
        </w:rPr>
        <w:t>在满足生产工艺的前提下，选用设备加工精度高、装配质量好、产生噪声低的设备；</w:t>
      </w:r>
    </w:p>
    <w:p w14:paraId="286D909C">
      <w:pPr>
        <w:adjustRightInd w:val="0"/>
        <w:snapToGrid w:val="0"/>
        <w:spacing w:before="78" w:line="360" w:lineRule="auto"/>
        <w:ind w:firstLine="480" w:firstLineChars="200"/>
        <w:rPr>
          <w:bCs/>
          <w:sz w:val="24"/>
        </w:rPr>
      </w:pPr>
      <w:r>
        <w:rPr>
          <w:bCs/>
          <w:sz w:val="24"/>
        </w:rPr>
        <w:fldChar w:fldCharType="begin"/>
      </w:r>
      <w:r>
        <w:rPr>
          <w:bCs/>
          <w:sz w:val="24"/>
        </w:rPr>
        <w:instrText xml:space="preserve"> = 2 \* GB3 \* MERGEFORMAT </w:instrText>
      </w:r>
      <w:r>
        <w:rPr>
          <w:bCs/>
          <w:sz w:val="24"/>
        </w:rPr>
        <w:fldChar w:fldCharType="separate"/>
      </w:r>
      <w:r>
        <w:rPr>
          <w:rFonts w:ascii="Cambria Math" w:hAnsi="Cambria Math" w:cs="Cambria Math"/>
          <w:bCs/>
          <w:sz w:val="24"/>
        </w:rPr>
        <w:t>②</w:t>
      </w:r>
      <w:r>
        <w:rPr>
          <w:bCs/>
          <w:sz w:val="24"/>
        </w:rPr>
        <w:fldChar w:fldCharType="end"/>
      </w:r>
      <w:r>
        <w:rPr>
          <w:bCs/>
          <w:sz w:val="24"/>
        </w:rPr>
        <w:t>破碎机、振动筛、磁选机等设备均位于厂房内部，</w:t>
      </w:r>
      <w:r>
        <w:rPr>
          <w:rFonts w:hint="eastAsia"/>
          <w:bCs/>
          <w:sz w:val="24"/>
        </w:rPr>
        <w:t>设备</w:t>
      </w:r>
      <w:r>
        <w:rPr>
          <w:bCs/>
          <w:sz w:val="24"/>
        </w:rPr>
        <w:t>采取基础减振、隔声措施。</w:t>
      </w:r>
    </w:p>
    <w:p w14:paraId="0E516A98">
      <w:pPr>
        <w:adjustRightInd w:val="0"/>
        <w:snapToGrid w:val="0"/>
        <w:spacing w:before="78" w:line="360" w:lineRule="auto"/>
        <w:ind w:firstLine="480" w:firstLineChars="200"/>
        <w:rPr>
          <w:bCs/>
          <w:sz w:val="24"/>
        </w:rPr>
      </w:pPr>
      <w:r>
        <w:rPr>
          <w:bCs/>
          <w:sz w:val="24"/>
        </w:rPr>
        <w:fldChar w:fldCharType="begin"/>
      </w:r>
      <w:r>
        <w:rPr>
          <w:bCs/>
          <w:sz w:val="24"/>
        </w:rPr>
        <w:instrText xml:space="preserve"> = 3 \* GB3 \* MERGEFORMAT </w:instrText>
      </w:r>
      <w:r>
        <w:rPr>
          <w:bCs/>
          <w:sz w:val="24"/>
        </w:rPr>
        <w:fldChar w:fldCharType="separate"/>
      </w:r>
      <w:r>
        <w:rPr>
          <w:rFonts w:ascii="Cambria Math" w:hAnsi="Cambria Math" w:cs="Cambria Math"/>
          <w:bCs/>
          <w:sz w:val="24"/>
        </w:rPr>
        <w:t>③</w:t>
      </w:r>
      <w:r>
        <w:rPr>
          <w:bCs/>
          <w:sz w:val="24"/>
        </w:rPr>
        <w:fldChar w:fldCharType="end"/>
      </w:r>
      <w:r>
        <w:rPr>
          <w:bCs/>
          <w:sz w:val="24"/>
        </w:rPr>
        <w:t>在风机底座加装减振器，以减少风机的空气动力性噪声及振动噪声的传播。</w:t>
      </w:r>
    </w:p>
    <w:p w14:paraId="64730C5A">
      <w:pPr>
        <w:adjustRightInd w:val="0"/>
        <w:snapToGrid w:val="0"/>
        <w:spacing w:before="78" w:line="360" w:lineRule="auto"/>
        <w:ind w:firstLine="480" w:firstLineChars="200"/>
        <w:rPr>
          <w:bCs/>
          <w:sz w:val="24"/>
        </w:rPr>
      </w:pPr>
      <w:r>
        <w:rPr>
          <w:bCs/>
          <w:sz w:val="24"/>
        </w:rPr>
        <w:fldChar w:fldCharType="begin"/>
      </w:r>
      <w:r>
        <w:rPr>
          <w:bCs/>
          <w:sz w:val="24"/>
        </w:rPr>
        <w:instrText xml:space="preserve"> = 4 \* GB3 \* MERGEFORMAT </w:instrText>
      </w:r>
      <w:r>
        <w:rPr>
          <w:bCs/>
          <w:sz w:val="24"/>
        </w:rPr>
        <w:fldChar w:fldCharType="separate"/>
      </w:r>
      <w:r>
        <w:rPr>
          <w:rFonts w:ascii="Cambria Math" w:hAnsi="Cambria Math" w:cs="Cambria Math"/>
          <w:bCs/>
          <w:sz w:val="24"/>
        </w:rPr>
        <w:t>④</w:t>
      </w:r>
      <w:r>
        <w:rPr>
          <w:bCs/>
          <w:sz w:val="24"/>
        </w:rPr>
        <w:fldChar w:fldCharType="end"/>
      </w:r>
      <w:r>
        <w:rPr>
          <w:bCs/>
          <w:sz w:val="24"/>
        </w:rPr>
        <w:t>为防止噪声的污染，运输车辆需严格控制车速以及装载量，在厂区内及经过村庄最高车速不得超过30km/h，严禁夜间运输。</w:t>
      </w:r>
    </w:p>
    <w:p w14:paraId="2CADCF4F">
      <w:pPr>
        <w:adjustRightInd w:val="0"/>
        <w:snapToGrid w:val="0"/>
        <w:spacing w:before="78" w:line="360" w:lineRule="auto"/>
        <w:ind w:firstLine="480" w:firstLineChars="200"/>
        <w:rPr>
          <w:bCs/>
          <w:sz w:val="24"/>
        </w:rPr>
      </w:pPr>
      <w:r>
        <w:rPr>
          <w:bCs/>
          <w:sz w:val="24"/>
        </w:rPr>
        <w:fldChar w:fldCharType="begin"/>
      </w:r>
      <w:r>
        <w:rPr>
          <w:bCs/>
          <w:sz w:val="24"/>
        </w:rPr>
        <w:instrText xml:space="preserve"> </w:instrText>
      </w:r>
      <w:r>
        <w:rPr>
          <w:rFonts w:hint="eastAsia"/>
          <w:bCs/>
          <w:sz w:val="24"/>
        </w:rPr>
        <w:instrText xml:space="preserve">= 5 \* GB3</w:instrText>
      </w:r>
      <w:r>
        <w:rPr>
          <w:bCs/>
          <w:sz w:val="24"/>
        </w:rPr>
        <w:instrText xml:space="preserve"> </w:instrText>
      </w:r>
      <w:r>
        <w:rPr>
          <w:bCs/>
          <w:sz w:val="24"/>
        </w:rPr>
        <w:fldChar w:fldCharType="separate"/>
      </w:r>
      <w:r>
        <w:rPr>
          <w:rFonts w:hint="eastAsia"/>
          <w:bCs/>
          <w:sz w:val="24"/>
        </w:rPr>
        <w:t>⑤</w:t>
      </w:r>
      <w:r>
        <w:rPr>
          <w:bCs/>
          <w:sz w:val="24"/>
        </w:rPr>
        <w:fldChar w:fldCharType="end"/>
      </w:r>
      <w:r>
        <w:rPr>
          <w:bCs/>
          <w:sz w:val="24"/>
        </w:rPr>
        <w:t>生产设备注意润滑，并对老化性能降低的设备及时进行检修或更换。</w:t>
      </w:r>
    </w:p>
    <w:p w14:paraId="4E99D1DE">
      <w:pPr>
        <w:adjustRightInd w:val="0"/>
        <w:snapToGrid w:val="0"/>
        <w:spacing w:before="78" w:line="360" w:lineRule="auto"/>
        <w:ind w:firstLine="480" w:firstLineChars="200"/>
        <w:rPr>
          <w:bCs/>
          <w:sz w:val="24"/>
        </w:rPr>
      </w:pPr>
      <w:r>
        <w:rPr>
          <w:rFonts w:hint="eastAsia"/>
          <w:bCs/>
          <w:sz w:val="24"/>
        </w:rPr>
        <w:t>（2）运输</w:t>
      </w:r>
      <w:r>
        <w:rPr>
          <w:bCs/>
          <w:sz w:val="24"/>
        </w:rPr>
        <w:t>噪声污染防治措施</w:t>
      </w:r>
    </w:p>
    <w:p w14:paraId="688024A5">
      <w:pPr>
        <w:adjustRightInd w:val="0"/>
        <w:snapToGrid w:val="0"/>
        <w:spacing w:before="0" w:beforeLines="0" w:line="360" w:lineRule="auto"/>
        <w:ind w:firstLine="480" w:firstLineChars="200"/>
        <w:rPr>
          <w:bCs/>
          <w:snapToGrid w:val="0"/>
          <w:kern w:val="0"/>
          <w:sz w:val="24"/>
        </w:rPr>
      </w:pPr>
      <w:r>
        <w:rPr>
          <w:rFonts w:hint="eastAsia"/>
          <w:bCs/>
          <w:snapToGrid w:val="0"/>
          <w:kern w:val="0"/>
          <w:sz w:val="24"/>
        </w:rPr>
        <w:t>本项目运输总量较大，车流量较大，对厂前的村级公路交通流量增加较大，对沿线周围村庄敏感点影响产生一定影响。</w:t>
      </w:r>
    </w:p>
    <w:p w14:paraId="170AACF4">
      <w:pPr>
        <w:adjustRightInd w:val="0"/>
        <w:snapToGrid w:val="0"/>
        <w:spacing w:before="0" w:beforeLines="0" w:line="360" w:lineRule="auto"/>
        <w:ind w:firstLine="480" w:firstLineChars="200"/>
        <w:rPr>
          <w:bCs/>
          <w:snapToGrid w:val="0"/>
          <w:kern w:val="0"/>
          <w:sz w:val="24"/>
        </w:rPr>
      </w:pPr>
      <w:r>
        <w:rPr>
          <w:bCs/>
          <w:snapToGrid w:val="0"/>
          <w:kern w:val="0"/>
          <w:sz w:val="24"/>
        </w:rPr>
        <w:t>（1）加强运输管理，保证汽车安全、文明行驶。坚决杜绝超载、超速等违反交通规章制度的现象，对运输车辆要定时及时检修。</w:t>
      </w:r>
    </w:p>
    <w:p w14:paraId="0F99CC68">
      <w:pPr>
        <w:adjustRightInd w:val="0"/>
        <w:snapToGrid w:val="0"/>
        <w:spacing w:before="0" w:beforeLines="0" w:line="360" w:lineRule="auto"/>
        <w:ind w:firstLine="480" w:firstLineChars="200"/>
        <w:rPr>
          <w:bCs/>
          <w:snapToGrid w:val="0"/>
          <w:kern w:val="0"/>
          <w:sz w:val="24"/>
        </w:rPr>
      </w:pPr>
      <w:r>
        <w:rPr>
          <w:bCs/>
          <w:snapToGrid w:val="0"/>
          <w:kern w:val="0"/>
          <w:sz w:val="24"/>
        </w:rPr>
        <w:t>（2）夜间（</w:t>
      </w:r>
      <w:r>
        <w:rPr>
          <w:rFonts w:hint="eastAsia"/>
          <w:bCs/>
          <w:snapToGrid w:val="0"/>
          <w:kern w:val="0"/>
          <w:sz w:val="24"/>
        </w:rPr>
        <w:t>22：00~8：00</w:t>
      </w:r>
      <w:r>
        <w:rPr>
          <w:bCs/>
          <w:snapToGrid w:val="0"/>
          <w:kern w:val="0"/>
          <w:sz w:val="24"/>
        </w:rPr>
        <w:t>）禁止各类运输。</w:t>
      </w:r>
    </w:p>
    <w:p w14:paraId="1A437B5D">
      <w:pPr>
        <w:adjustRightInd w:val="0"/>
        <w:snapToGrid w:val="0"/>
        <w:spacing w:before="0" w:beforeLines="0" w:line="360" w:lineRule="auto"/>
        <w:ind w:firstLine="480" w:firstLineChars="200"/>
        <w:rPr>
          <w:bCs/>
          <w:snapToGrid w:val="0"/>
          <w:kern w:val="0"/>
          <w:sz w:val="24"/>
        </w:rPr>
      </w:pPr>
      <w:r>
        <w:rPr>
          <w:bCs/>
          <w:snapToGrid w:val="0"/>
          <w:kern w:val="0"/>
          <w:sz w:val="24"/>
        </w:rPr>
        <w:t>（3）加强对运输车辆停泊的进出管理，尽量缩短汽车的怠速停留时间。</w:t>
      </w:r>
    </w:p>
    <w:p w14:paraId="29E06080">
      <w:pPr>
        <w:adjustRightInd w:val="0"/>
        <w:snapToGrid w:val="0"/>
        <w:spacing w:before="0" w:beforeLines="0" w:line="360" w:lineRule="auto"/>
        <w:ind w:firstLine="480" w:firstLineChars="200"/>
        <w:rPr>
          <w:bCs/>
          <w:snapToGrid w:val="0"/>
          <w:kern w:val="0"/>
          <w:sz w:val="24"/>
        </w:rPr>
      </w:pPr>
      <w:r>
        <w:rPr>
          <w:bCs/>
          <w:snapToGrid w:val="0"/>
          <w:kern w:val="0"/>
          <w:sz w:val="24"/>
        </w:rPr>
        <w:t>（4）加强司机的操作管理，</w:t>
      </w:r>
      <w:r>
        <w:rPr>
          <w:rFonts w:hint="eastAsia"/>
          <w:bCs/>
          <w:snapToGrid w:val="0"/>
          <w:kern w:val="0"/>
          <w:sz w:val="24"/>
        </w:rPr>
        <w:t>途经</w:t>
      </w:r>
      <w:r>
        <w:rPr>
          <w:bCs/>
          <w:snapToGrid w:val="0"/>
          <w:kern w:val="0"/>
          <w:sz w:val="24"/>
        </w:rPr>
        <w:t>村庄时减速慢行，禁止鸣笛。</w:t>
      </w:r>
    </w:p>
    <w:p w14:paraId="22F6D1C8">
      <w:pPr>
        <w:adjustRightInd w:val="0"/>
        <w:snapToGrid w:val="0"/>
        <w:spacing w:before="78" w:line="360" w:lineRule="auto"/>
        <w:ind w:firstLine="480" w:firstLineChars="200"/>
        <w:rPr>
          <w:bCs/>
          <w:sz w:val="24"/>
        </w:rPr>
      </w:pPr>
      <w:r>
        <w:rPr>
          <w:rFonts w:hint="eastAsia"/>
          <w:bCs/>
          <w:sz w:val="24"/>
        </w:rPr>
        <w:t>（3）</w:t>
      </w:r>
      <w:r>
        <w:rPr>
          <w:bCs/>
          <w:sz w:val="24"/>
        </w:rPr>
        <w:t>可行性论证</w:t>
      </w:r>
    </w:p>
    <w:p w14:paraId="71DAB574">
      <w:pPr>
        <w:adjustRightInd w:val="0"/>
        <w:snapToGrid w:val="0"/>
        <w:spacing w:before="78" w:line="360" w:lineRule="auto"/>
        <w:ind w:firstLine="480" w:firstLineChars="200"/>
        <w:rPr>
          <w:bCs/>
          <w:sz w:val="24"/>
        </w:rPr>
      </w:pPr>
      <w:r>
        <w:rPr>
          <w:bCs/>
          <w:sz w:val="24"/>
        </w:rPr>
        <w:t>采取以上降噪措施并经距离衰减后，本项目厂界噪声可以满足《工业企业厂界环境噪声排放标准》（GB12348-2008）中1类标准限值的要求。</w:t>
      </w:r>
      <w:r>
        <w:rPr>
          <w:bCs/>
          <w:snapToGrid w:val="0"/>
          <w:kern w:val="0"/>
          <w:sz w:val="24"/>
        </w:rPr>
        <w:t>采取措施后降噪效果明显，噪声治理措施可行。</w:t>
      </w:r>
    </w:p>
    <w:p w14:paraId="6E700E23">
      <w:pPr>
        <w:pStyle w:val="5"/>
        <w:spacing w:before="156" w:after="156"/>
        <w:rPr>
          <w:color w:val="auto"/>
        </w:rPr>
      </w:pPr>
      <w:r>
        <w:rPr>
          <w:color w:val="auto"/>
        </w:rPr>
        <w:t>6.2.5土壤污染防治措施及其可行性论证</w:t>
      </w:r>
    </w:p>
    <w:p w14:paraId="5BDB3D3D">
      <w:pPr>
        <w:spacing w:before="0" w:beforeLines="0" w:line="360" w:lineRule="auto"/>
        <w:rPr>
          <w:b/>
          <w:bCs/>
          <w:sz w:val="24"/>
        </w:rPr>
      </w:pPr>
      <w:r>
        <w:rPr>
          <w:b/>
          <w:bCs/>
          <w:sz w:val="24"/>
        </w:rPr>
        <w:t>6.2.5</w:t>
      </w:r>
      <w:r>
        <w:rPr>
          <w:rFonts w:hint="eastAsia"/>
          <w:b/>
          <w:bCs/>
          <w:sz w:val="24"/>
        </w:rPr>
        <w:t>.1保护措施</w:t>
      </w:r>
    </w:p>
    <w:p w14:paraId="04C935FD">
      <w:pPr>
        <w:spacing w:before="0" w:beforeLines="0" w:line="360" w:lineRule="auto"/>
        <w:ind w:firstLine="480" w:firstLineChars="200"/>
        <w:rPr>
          <w:rFonts w:ascii="Calibri" w:hAnsi="Calibri"/>
          <w:sz w:val="24"/>
        </w:rPr>
      </w:pPr>
      <w:r>
        <w:rPr>
          <w:rFonts w:hint="eastAsia"/>
          <w:sz w:val="24"/>
        </w:rPr>
        <w:t>土壤的保护即地下水环境中包气带的保护，</w:t>
      </w:r>
      <w:r>
        <w:rPr>
          <w:rFonts w:hint="eastAsia"/>
          <w:sz w:val="24"/>
          <w:lang w:eastAsia="zh-CN"/>
        </w:rPr>
        <w:t>按照</w:t>
      </w:r>
      <w:r>
        <w:rPr>
          <w:rFonts w:hint="eastAsia" w:ascii="Calibri" w:hAnsi="Calibri"/>
          <w:sz w:val="24"/>
        </w:rPr>
        <w:t>“源头控制、分区防控、污染监控、应急响应”的要求进行保护。</w:t>
      </w:r>
    </w:p>
    <w:p w14:paraId="3628E2CF">
      <w:pPr>
        <w:spacing w:before="0" w:beforeLines="0" w:line="360" w:lineRule="auto"/>
        <w:ind w:firstLine="480" w:firstLineChars="200"/>
        <w:rPr>
          <w:sz w:val="24"/>
        </w:rPr>
      </w:pPr>
      <w:r>
        <w:rPr>
          <w:rFonts w:hint="eastAsia"/>
          <w:sz w:val="24"/>
        </w:rPr>
        <w:t>（1）源头控制措施</w:t>
      </w:r>
    </w:p>
    <w:p w14:paraId="5991E601">
      <w:pPr>
        <w:spacing w:before="0" w:beforeLines="0" w:line="360" w:lineRule="auto"/>
        <w:ind w:firstLine="480" w:firstLineChars="200"/>
        <w:rPr>
          <w:sz w:val="24"/>
        </w:rPr>
      </w:pPr>
      <w:r>
        <w:rPr>
          <w:rFonts w:hint="eastAsia"/>
          <w:sz w:val="24"/>
        </w:rPr>
        <w:t>①建设项目产生固体废物应按照固体废物处置规定进行合理处理，确保不产生二次污染；</w:t>
      </w:r>
    </w:p>
    <w:p w14:paraId="4D31A727">
      <w:pPr>
        <w:spacing w:before="0" w:beforeLines="0" w:line="360" w:lineRule="auto"/>
        <w:ind w:firstLine="480" w:firstLineChars="200"/>
        <w:rPr>
          <w:sz w:val="24"/>
        </w:rPr>
      </w:pPr>
      <w:r>
        <w:rPr>
          <w:rFonts w:hint="eastAsia"/>
          <w:sz w:val="24"/>
        </w:rPr>
        <w:t>②产品及原料在运输过程中严格按照相关要求，</w:t>
      </w:r>
      <w:r>
        <w:rPr>
          <w:rFonts w:hint="eastAsia"/>
          <w:sz w:val="24"/>
          <w:lang w:eastAsia="zh-CN"/>
        </w:rPr>
        <w:t>指定</w:t>
      </w:r>
      <w:r>
        <w:rPr>
          <w:rFonts w:hint="eastAsia"/>
          <w:sz w:val="24"/>
        </w:rPr>
        <w:t>专人看管，</w:t>
      </w:r>
      <w:r>
        <w:rPr>
          <w:rFonts w:hint="eastAsia"/>
          <w:sz w:val="24"/>
          <w:lang w:eastAsia="zh-CN"/>
        </w:rPr>
        <w:t>防止</w:t>
      </w:r>
      <w:r>
        <w:rPr>
          <w:rFonts w:hint="eastAsia"/>
          <w:sz w:val="24"/>
        </w:rPr>
        <w:t>跑冒滴漏现象产生。</w:t>
      </w:r>
    </w:p>
    <w:p w14:paraId="04E66780">
      <w:pPr>
        <w:spacing w:before="0" w:beforeLines="0" w:line="360" w:lineRule="auto"/>
        <w:ind w:firstLine="480" w:firstLineChars="200"/>
        <w:rPr>
          <w:sz w:val="24"/>
        </w:rPr>
      </w:pPr>
      <w:r>
        <w:rPr>
          <w:rFonts w:hint="eastAsia"/>
          <w:sz w:val="24"/>
        </w:rPr>
        <w:t>（2）过程防控措施</w:t>
      </w:r>
    </w:p>
    <w:p w14:paraId="161D554C">
      <w:pPr>
        <w:spacing w:before="0" w:beforeLines="0" w:line="360" w:lineRule="auto"/>
        <w:ind w:firstLine="480" w:firstLineChars="200"/>
        <w:rPr>
          <w:rFonts w:ascii="Calibri" w:hAnsi="Calibri"/>
          <w:szCs w:val="22"/>
        </w:rPr>
      </w:pPr>
      <w:r>
        <w:rPr>
          <w:rFonts w:hint="eastAsia"/>
          <w:sz w:val="24"/>
        </w:rPr>
        <w:t>对于入渗途径影响的，应采取分区防渗措施。分区防渗详见地下水评价章节。</w:t>
      </w:r>
    </w:p>
    <w:p w14:paraId="7E5DF622">
      <w:pPr>
        <w:spacing w:before="0" w:beforeLines="0" w:line="360" w:lineRule="auto"/>
        <w:ind w:firstLine="480" w:firstLineChars="200"/>
        <w:rPr>
          <w:rFonts w:ascii="Calibri" w:hAnsi="Calibri"/>
          <w:sz w:val="24"/>
        </w:rPr>
      </w:pPr>
      <w:r>
        <w:rPr>
          <w:rFonts w:hint="eastAsia" w:ascii="Calibri" w:hAnsi="Calibri"/>
          <w:sz w:val="24"/>
        </w:rPr>
        <w:t>根据《工矿用地土壤环境管理办法（试行）》中规定，项目在进行过程中还应做到如下污染防控措施：</w:t>
      </w:r>
    </w:p>
    <w:p w14:paraId="75B87906">
      <w:pPr>
        <w:spacing w:before="0" w:beforeLines="0" w:line="360" w:lineRule="auto"/>
        <w:ind w:firstLine="480" w:firstLineChars="200"/>
        <w:rPr>
          <w:sz w:val="24"/>
        </w:rPr>
      </w:pPr>
      <w:r>
        <w:rPr>
          <w:rFonts w:hAnsi="Calibri"/>
          <w:sz w:val="24"/>
        </w:rPr>
        <w:t>（</w:t>
      </w:r>
      <w:r>
        <w:rPr>
          <w:sz w:val="24"/>
        </w:rPr>
        <w:t>1</w:t>
      </w:r>
      <w:r>
        <w:rPr>
          <w:rFonts w:hAnsi="Calibri"/>
          <w:sz w:val="24"/>
        </w:rPr>
        <w:t>）建设涉及有毒有害物质的生产装置和管道，或者建设污水处理池、应急池等存在土壤污染风险的设施，应当按照国家有关标准和规范的要求，设计、建设和安装有关防腐蚀、防泄漏设施和泄漏监测装置，防止有毒有害物质污染土壤和地下水。</w:t>
      </w:r>
    </w:p>
    <w:p w14:paraId="4107D2FE">
      <w:pPr>
        <w:spacing w:before="0" w:beforeLines="0" w:line="360" w:lineRule="auto"/>
        <w:ind w:firstLine="480" w:firstLineChars="200"/>
        <w:rPr>
          <w:sz w:val="24"/>
        </w:rPr>
      </w:pPr>
      <w:r>
        <w:rPr>
          <w:rFonts w:hAnsi="Calibri"/>
          <w:sz w:val="24"/>
        </w:rPr>
        <w:t>（</w:t>
      </w:r>
      <w:r>
        <w:rPr>
          <w:sz w:val="24"/>
        </w:rPr>
        <w:t>2</w:t>
      </w:r>
      <w:r>
        <w:rPr>
          <w:rFonts w:hAnsi="Calibri"/>
          <w:sz w:val="24"/>
        </w:rPr>
        <w:t>）应当按照相关技术规范要求，自行或者委托第三方定期开展土壤和地下水监测，重点监测存在污染隐患的区域和设施周边的土壤、地下水，并按照规定公开相关信息。</w:t>
      </w:r>
    </w:p>
    <w:p w14:paraId="64361ED5">
      <w:pPr>
        <w:spacing w:before="0" w:beforeLines="0" w:line="360" w:lineRule="auto"/>
        <w:ind w:firstLine="480" w:firstLineChars="200"/>
        <w:rPr>
          <w:sz w:val="24"/>
        </w:rPr>
      </w:pPr>
      <w:r>
        <w:rPr>
          <w:rFonts w:hAnsi="Calibri"/>
          <w:sz w:val="24"/>
        </w:rPr>
        <w:t>（</w:t>
      </w:r>
      <w:r>
        <w:rPr>
          <w:sz w:val="24"/>
        </w:rPr>
        <w:t>3</w:t>
      </w:r>
      <w:r>
        <w:rPr>
          <w:rFonts w:hAnsi="Calibri"/>
          <w:sz w:val="24"/>
        </w:rPr>
        <w:t>）建设单位应在隐患排查、监测等活动中发现</w:t>
      </w:r>
      <w:r>
        <w:rPr>
          <w:rFonts w:hint="eastAsia" w:hAnsi="Calibri"/>
          <w:sz w:val="24"/>
        </w:rPr>
        <w:t>工业</w:t>
      </w:r>
      <w:r>
        <w:rPr>
          <w:rFonts w:hAnsi="Calibri"/>
          <w:sz w:val="24"/>
        </w:rPr>
        <w:t>用地土壤和地下水存在污染迹象的，应当排查污染源，查明污染原因，采取措施防止新增污染，并参照污染地块土壤环境管理有关规定及时开展土壤和地下水环境调查与风险评估，根据调查与风险评估结果采取风险管控或者治理与修复等措施。</w:t>
      </w:r>
    </w:p>
    <w:p w14:paraId="0B49B2F0">
      <w:pPr>
        <w:spacing w:before="0" w:beforeLines="0" w:line="360" w:lineRule="auto"/>
        <w:ind w:firstLine="480" w:firstLineChars="200"/>
        <w:rPr>
          <w:sz w:val="24"/>
        </w:rPr>
      </w:pPr>
      <w:r>
        <w:rPr>
          <w:rFonts w:hAnsi="Calibri"/>
          <w:sz w:val="24"/>
        </w:rPr>
        <w:t>（</w:t>
      </w:r>
      <w:r>
        <w:rPr>
          <w:rFonts w:hint="eastAsia"/>
          <w:sz w:val="24"/>
        </w:rPr>
        <w:t>4</w:t>
      </w:r>
      <w:r>
        <w:rPr>
          <w:rFonts w:hAnsi="Calibri"/>
          <w:sz w:val="24"/>
        </w:rPr>
        <w:t>）本项目突发环境事件应急预案应当包括防止土壤和地下水污染相关内容。</w:t>
      </w:r>
    </w:p>
    <w:p w14:paraId="256267B2">
      <w:pPr>
        <w:spacing w:before="0" w:beforeLines="0" w:line="360" w:lineRule="auto"/>
        <w:ind w:firstLine="480" w:firstLineChars="200"/>
        <w:rPr>
          <w:sz w:val="24"/>
        </w:rPr>
      </w:pPr>
      <w:r>
        <w:rPr>
          <w:rFonts w:hAnsi="Calibri"/>
          <w:sz w:val="24"/>
        </w:rPr>
        <w:t>突发环境事件造成或者可能造成土壤和地下水污染的，应当采取应急措施避免或者减少土壤和地下水污染；应急处置结束后，应当立即组织开展环境影响和损害评估工作，评估认为需要开展治理与修复的，应当制定并落实污染土壤和地下水治理与修复方案。</w:t>
      </w:r>
    </w:p>
    <w:p w14:paraId="4B30EE95">
      <w:pPr>
        <w:spacing w:before="0" w:beforeLines="0" w:line="360" w:lineRule="auto"/>
        <w:ind w:firstLine="480" w:firstLineChars="200"/>
        <w:rPr>
          <w:sz w:val="24"/>
        </w:rPr>
      </w:pPr>
      <w:r>
        <w:rPr>
          <w:rFonts w:hAnsi="Calibri"/>
          <w:sz w:val="24"/>
        </w:rPr>
        <w:t>（</w:t>
      </w:r>
      <w:r>
        <w:rPr>
          <w:rFonts w:hint="eastAsia"/>
          <w:sz w:val="24"/>
        </w:rPr>
        <w:t>5</w:t>
      </w:r>
      <w:r>
        <w:rPr>
          <w:rFonts w:hAnsi="Calibri"/>
          <w:sz w:val="24"/>
        </w:rPr>
        <w:t>）项目终止生产经营活动前，应当参照污染地块土壤环境管理有关规定，开展土壤和地下水环境初步调查，编制调查报告，及时上传全国污染地块土壤环境管理信息系统。</w:t>
      </w:r>
    </w:p>
    <w:p w14:paraId="2F3D9895">
      <w:pPr>
        <w:spacing w:before="0" w:beforeLines="0" w:line="360" w:lineRule="auto"/>
        <w:rPr>
          <w:b/>
          <w:bCs/>
          <w:sz w:val="24"/>
        </w:rPr>
      </w:pPr>
      <w:r>
        <w:rPr>
          <w:b/>
          <w:bCs/>
          <w:sz w:val="24"/>
        </w:rPr>
        <w:t>6.2.5</w:t>
      </w:r>
      <w:r>
        <w:rPr>
          <w:rFonts w:hint="eastAsia"/>
          <w:b/>
          <w:bCs/>
          <w:sz w:val="24"/>
        </w:rPr>
        <w:t>.2跟踪监测</w:t>
      </w:r>
    </w:p>
    <w:p w14:paraId="6913466C">
      <w:pPr>
        <w:spacing w:before="0" w:beforeLines="0" w:line="360" w:lineRule="auto"/>
        <w:ind w:firstLine="480" w:firstLineChars="200"/>
        <w:rPr>
          <w:sz w:val="24"/>
        </w:rPr>
      </w:pPr>
      <w:r>
        <w:rPr>
          <w:sz w:val="24"/>
        </w:rPr>
        <w:t>根据项目特点及评价等级确定并参照《工业企业土壤和地下水自行监测技术指南》（HJ1209-2021），本次对厂区土壤进行跟踪监测，具体设置如下：</w:t>
      </w:r>
    </w:p>
    <w:p w14:paraId="23818337">
      <w:pPr>
        <w:spacing w:before="0" w:beforeLines="0" w:line="360" w:lineRule="auto"/>
        <w:ind w:firstLine="480" w:firstLineChars="200"/>
        <w:rPr>
          <w:sz w:val="24"/>
        </w:rPr>
      </w:pPr>
      <w:r>
        <w:rPr>
          <w:sz w:val="24"/>
        </w:rPr>
        <w:t>（1）监测点位设置</w:t>
      </w:r>
    </w:p>
    <w:p w14:paraId="3A9390A0">
      <w:pPr>
        <w:spacing w:before="0" w:beforeLines="0" w:line="360" w:lineRule="auto"/>
        <w:ind w:firstLine="480" w:firstLineChars="200"/>
        <w:rPr>
          <w:sz w:val="24"/>
        </w:rPr>
      </w:pPr>
      <w:r>
        <w:rPr>
          <w:sz w:val="24"/>
        </w:rPr>
        <w:t>监测点位布设：在</w:t>
      </w:r>
      <w:r>
        <w:rPr>
          <w:rFonts w:hint="eastAsia"/>
          <w:sz w:val="24"/>
        </w:rPr>
        <w:t>浓缩罐附近</w:t>
      </w:r>
      <w:r>
        <w:rPr>
          <w:sz w:val="24"/>
        </w:rPr>
        <w:t>设置1个深层样点位。</w:t>
      </w:r>
    </w:p>
    <w:p w14:paraId="4BAF27D2">
      <w:pPr>
        <w:spacing w:before="0" w:beforeLines="0" w:line="360" w:lineRule="auto"/>
        <w:ind w:firstLine="480" w:firstLineChars="200"/>
        <w:rPr>
          <w:sz w:val="24"/>
        </w:rPr>
      </w:pPr>
      <w:r>
        <w:rPr>
          <w:sz w:val="24"/>
        </w:rPr>
        <w:t>（2）监测指标</w:t>
      </w:r>
    </w:p>
    <w:p w14:paraId="199773FD">
      <w:pPr>
        <w:spacing w:before="0" w:beforeLines="0" w:line="360" w:lineRule="auto"/>
        <w:ind w:firstLine="480" w:firstLineChars="200"/>
        <w:rPr>
          <w:sz w:val="24"/>
        </w:rPr>
      </w:pPr>
      <w:r>
        <w:rPr>
          <w:sz w:val="24"/>
        </w:rPr>
        <w:t>监测因子选取本项目特征污染因子，监测因子包括：基本项45项因子、石油烃</w:t>
      </w:r>
      <w:r>
        <w:rPr>
          <w:rFonts w:hint="eastAsia"/>
          <w:sz w:val="24"/>
        </w:rPr>
        <w:t>、钛、钒</w:t>
      </w:r>
      <w:r>
        <w:rPr>
          <w:sz w:val="24"/>
        </w:rPr>
        <w:t>，同时监测pH值。</w:t>
      </w:r>
    </w:p>
    <w:p w14:paraId="62497C70">
      <w:pPr>
        <w:spacing w:before="0" w:beforeLines="0" w:line="360" w:lineRule="auto"/>
        <w:ind w:firstLine="480" w:firstLineChars="200"/>
        <w:rPr>
          <w:sz w:val="24"/>
        </w:rPr>
      </w:pPr>
      <w:r>
        <w:rPr>
          <w:sz w:val="24"/>
        </w:rPr>
        <w:t>（3）监测要求</w:t>
      </w:r>
    </w:p>
    <w:p w14:paraId="3837B220">
      <w:pPr>
        <w:spacing w:before="0" w:beforeLines="0" w:line="360" w:lineRule="auto"/>
        <w:ind w:firstLine="480" w:firstLineChars="200"/>
        <w:rPr>
          <w:sz w:val="24"/>
        </w:rPr>
      </w:pPr>
      <w:r>
        <w:rPr>
          <w:sz w:val="24"/>
        </w:rPr>
        <w:t>建议每</w:t>
      </w:r>
      <w:r>
        <w:rPr>
          <w:rFonts w:hint="eastAsia"/>
          <w:sz w:val="24"/>
        </w:rPr>
        <w:t>5</w:t>
      </w:r>
      <w:r>
        <w:rPr>
          <w:sz w:val="24"/>
        </w:rPr>
        <w:t>年开展一次跟踪监测，跟踪监测应尽量在农作物收割后开展，取得监测数据要向社会公开，接受公众监督。</w:t>
      </w:r>
    </w:p>
    <w:p w14:paraId="4BB93C82">
      <w:pPr>
        <w:pStyle w:val="151"/>
      </w:pPr>
      <w:r>
        <w:rPr>
          <w:kern w:val="2"/>
        </w:rPr>
        <w:t>运营期一旦发现周边土壤环境质量发生趋势性恶化，应立即上报当地管理部门，采取对应措施，避免对周边土壤环境质量造成持续影响。</w:t>
      </w:r>
    </w:p>
    <w:p w14:paraId="1C531AA0">
      <w:pPr>
        <w:pStyle w:val="5"/>
        <w:spacing w:before="156" w:after="156"/>
        <w:rPr>
          <w:color w:val="auto"/>
        </w:rPr>
      </w:pPr>
      <w:bookmarkStart w:id="583" w:name="_Toc37940975"/>
      <w:r>
        <w:rPr>
          <w:color w:val="auto"/>
        </w:rPr>
        <w:t>6.2.6地下水污染防治措施</w:t>
      </w:r>
    </w:p>
    <w:p w14:paraId="3B3125F8">
      <w:pPr>
        <w:spacing w:before="0" w:beforeLines="0" w:line="360" w:lineRule="auto"/>
        <w:ind w:firstLine="480" w:firstLineChars="200"/>
        <w:rPr>
          <w:snapToGrid w:val="0"/>
          <w:kern w:val="0"/>
          <w:sz w:val="24"/>
        </w:rPr>
      </w:pPr>
      <w:r>
        <w:rPr>
          <w:rFonts w:hint="eastAsia"/>
          <w:snapToGrid w:val="0"/>
          <w:kern w:val="0"/>
          <w:sz w:val="24"/>
        </w:rPr>
        <w:t>根据《环境影响评价技术导则</w:t>
      </w:r>
      <w:r>
        <w:rPr>
          <w:snapToGrid w:val="0"/>
          <w:kern w:val="0"/>
          <w:sz w:val="24"/>
        </w:rPr>
        <w:t>-地下水环境》（HJ610-2016）的要求，</w:t>
      </w:r>
      <w:r>
        <w:rPr>
          <w:rFonts w:hint="eastAsia"/>
          <w:snapToGrid w:val="0"/>
          <w:kern w:val="0"/>
          <w:sz w:val="24"/>
        </w:rPr>
        <w:t>地下水环境保护措施与对策应符合《中华人民共和国生态环境法典》的相关规定，按照“源头控制、分区防控、污染监控、应急响应”，重点突出饮用水水质安全的原则确定。</w:t>
      </w:r>
    </w:p>
    <w:p w14:paraId="678A7D9F">
      <w:pPr>
        <w:spacing w:before="0" w:beforeLines="0" w:line="360" w:lineRule="auto"/>
        <w:rPr>
          <w:b/>
          <w:bCs/>
          <w:sz w:val="24"/>
        </w:rPr>
      </w:pPr>
      <w:bookmarkStart w:id="584" w:name="_Toc460309957"/>
      <w:bookmarkStart w:id="585" w:name="_Toc481176253"/>
      <w:bookmarkStart w:id="586" w:name="_Toc520672543"/>
      <w:bookmarkStart w:id="587" w:name="_Toc491247205"/>
      <w:bookmarkStart w:id="588" w:name="_Toc20001"/>
      <w:r>
        <w:rPr>
          <w:b/>
          <w:bCs/>
          <w:sz w:val="24"/>
        </w:rPr>
        <w:t>6.2.6</w:t>
      </w:r>
      <w:r>
        <w:rPr>
          <w:rFonts w:hint="eastAsia"/>
          <w:b/>
          <w:bCs/>
          <w:sz w:val="24"/>
        </w:rPr>
        <w:t>.1</w:t>
      </w:r>
      <w:bookmarkEnd w:id="584"/>
      <w:bookmarkEnd w:id="585"/>
      <w:r>
        <w:rPr>
          <w:rFonts w:hint="eastAsia"/>
          <w:b/>
          <w:bCs/>
          <w:sz w:val="24"/>
        </w:rPr>
        <w:t>保护原则</w:t>
      </w:r>
      <w:bookmarkEnd w:id="586"/>
      <w:bookmarkEnd w:id="587"/>
      <w:bookmarkEnd w:id="588"/>
    </w:p>
    <w:p w14:paraId="4702377F">
      <w:pPr>
        <w:spacing w:before="0" w:beforeLines="0" w:line="360" w:lineRule="auto"/>
        <w:ind w:firstLine="480" w:firstLineChars="200"/>
        <w:rPr>
          <w:snapToGrid w:val="0"/>
          <w:kern w:val="0"/>
          <w:sz w:val="24"/>
        </w:rPr>
      </w:pPr>
      <w:r>
        <w:rPr>
          <w:rFonts w:hint="eastAsia"/>
          <w:snapToGrid w:val="0"/>
          <w:kern w:val="0"/>
          <w:sz w:val="24"/>
        </w:rPr>
        <w:t>地下水污染的防治措施主要是将被动和主动控制两种方法相互结合起</w:t>
      </w:r>
      <w:r>
        <w:rPr>
          <w:rFonts w:hint="eastAsia"/>
          <w:snapToGrid w:val="0"/>
          <w:kern w:val="0"/>
          <w:sz w:val="24"/>
          <w:lang w:eastAsia="zh-CN"/>
        </w:rPr>
        <w:t>来</w:t>
      </w:r>
      <w:r>
        <w:rPr>
          <w:rFonts w:hint="eastAsia"/>
          <w:snapToGrid w:val="0"/>
          <w:kern w:val="0"/>
          <w:sz w:val="24"/>
        </w:rPr>
        <w:t>考虑。</w:t>
      </w:r>
      <w:r>
        <w:rPr>
          <w:snapToGrid w:val="0"/>
          <w:kern w:val="0"/>
          <w:sz w:val="24"/>
        </w:rPr>
        <w:t xml:space="preserve"> </w:t>
      </w:r>
    </w:p>
    <w:p w14:paraId="3B17CAD8">
      <w:pPr>
        <w:spacing w:before="0" w:beforeLines="0" w:line="360" w:lineRule="auto"/>
        <w:ind w:firstLine="480" w:firstLineChars="200"/>
        <w:rPr>
          <w:snapToGrid w:val="0"/>
          <w:kern w:val="0"/>
          <w:sz w:val="24"/>
        </w:rPr>
      </w:pPr>
      <w:r>
        <w:rPr>
          <w:rFonts w:hint="eastAsia"/>
          <w:snapToGrid w:val="0"/>
          <w:kern w:val="0"/>
          <w:sz w:val="24"/>
        </w:rPr>
        <w:t>（</w:t>
      </w:r>
      <w:r>
        <w:rPr>
          <w:snapToGrid w:val="0"/>
          <w:kern w:val="0"/>
          <w:sz w:val="24"/>
        </w:rPr>
        <w:t>1</w:t>
      </w:r>
      <w:r>
        <w:rPr>
          <w:rFonts w:hint="eastAsia"/>
          <w:snapToGrid w:val="0"/>
          <w:kern w:val="0"/>
          <w:sz w:val="24"/>
        </w:rPr>
        <w:t>）主动控制，即控制污染的源头，主要是在生产、传输、储存的过程中尽量的</w:t>
      </w:r>
      <w:r>
        <w:rPr>
          <w:rFonts w:hint="eastAsia"/>
          <w:snapToGrid w:val="0"/>
          <w:kern w:val="0"/>
          <w:sz w:val="24"/>
          <w:lang w:eastAsia="zh-CN"/>
        </w:rPr>
        <w:t>减少</w:t>
      </w:r>
      <w:r>
        <w:rPr>
          <w:rFonts w:hint="eastAsia"/>
          <w:snapToGrid w:val="0"/>
          <w:kern w:val="0"/>
          <w:sz w:val="24"/>
        </w:rPr>
        <w:t>泄漏问题，被动控制，即管好末端的方法，主要做好重点区域的防渗工作和应急措施。</w:t>
      </w:r>
      <w:r>
        <w:rPr>
          <w:snapToGrid w:val="0"/>
          <w:kern w:val="0"/>
          <w:sz w:val="24"/>
        </w:rPr>
        <w:t xml:space="preserve"> </w:t>
      </w:r>
    </w:p>
    <w:p w14:paraId="1ACD93CB">
      <w:pPr>
        <w:spacing w:before="0" w:beforeLines="0" w:line="360" w:lineRule="auto"/>
        <w:ind w:firstLine="480" w:firstLineChars="200"/>
        <w:rPr>
          <w:snapToGrid w:val="0"/>
          <w:kern w:val="0"/>
          <w:sz w:val="24"/>
        </w:rPr>
      </w:pPr>
      <w:r>
        <w:rPr>
          <w:rFonts w:hint="eastAsia"/>
          <w:snapToGrid w:val="0"/>
          <w:kern w:val="0"/>
          <w:sz w:val="24"/>
        </w:rPr>
        <w:t>（</w:t>
      </w:r>
      <w:r>
        <w:rPr>
          <w:snapToGrid w:val="0"/>
          <w:kern w:val="0"/>
          <w:sz w:val="24"/>
        </w:rPr>
        <w:t>2</w:t>
      </w:r>
      <w:r>
        <w:rPr>
          <w:rFonts w:hint="eastAsia"/>
          <w:snapToGrid w:val="0"/>
          <w:kern w:val="0"/>
          <w:sz w:val="24"/>
        </w:rPr>
        <w:t>）主要对特殊装置区要有严格的防渗措施，在</w:t>
      </w:r>
      <w:r>
        <w:rPr>
          <w:rFonts w:hint="eastAsia"/>
          <w:snapToGrid w:val="0"/>
          <w:kern w:val="0"/>
          <w:sz w:val="24"/>
          <w:lang w:eastAsia="zh-CN"/>
        </w:rPr>
        <w:t>一般</w:t>
      </w:r>
      <w:r>
        <w:rPr>
          <w:rFonts w:hint="eastAsia"/>
          <w:snapToGrid w:val="0"/>
          <w:kern w:val="0"/>
          <w:sz w:val="24"/>
        </w:rPr>
        <w:t>污染不大的地方也要做好防渗工作，主要重点在特殊装置区。</w:t>
      </w:r>
      <w:r>
        <w:rPr>
          <w:snapToGrid w:val="0"/>
          <w:kern w:val="0"/>
          <w:sz w:val="24"/>
        </w:rPr>
        <w:t xml:space="preserve"> </w:t>
      </w:r>
    </w:p>
    <w:p w14:paraId="5BAB859F">
      <w:pPr>
        <w:spacing w:before="0" w:beforeLines="0" w:line="360" w:lineRule="auto"/>
        <w:ind w:firstLine="480" w:firstLineChars="200"/>
        <w:rPr>
          <w:snapToGrid w:val="0"/>
          <w:kern w:val="0"/>
          <w:sz w:val="24"/>
        </w:rPr>
      </w:pPr>
      <w:r>
        <w:rPr>
          <w:rFonts w:hint="eastAsia"/>
          <w:snapToGrid w:val="0"/>
          <w:kern w:val="0"/>
          <w:sz w:val="24"/>
        </w:rPr>
        <w:t>（</w:t>
      </w:r>
      <w:r>
        <w:rPr>
          <w:snapToGrid w:val="0"/>
          <w:kern w:val="0"/>
          <w:sz w:val="24"/>
        </w:rPr>
        <w:t>3</w:t>
      </w:r>
      <w:r>
        <w:rPr>
          <w:rFonts w:hint="eastAsia"/>
          <w:snapToGrid w:val="0"/>
          <w:kern w:val="0"/>
          <w:sz w:val="24"/>
        </w:rPr>
        <w:t>）进行污染物的监测，主要是对处理设备进行，要有完善的监测制度、先进的设备和装置，这种监测必须采用全面的覆盖的形式，这样才能更好的进行监测，使得监测结果更加的全面。</w:t>
      </w:r>
      <w:r>
        <w:rPr>
          <w:snapToGrid w:val="0"/>
          <w:kern w:val="0"/>
          <w:sz w:val="24"/>
        </w:rPr>
        <w:t xml:space="preserve"> </w:t>
      </w:r>
    </w:p>
    <w:p w14:paraId="5E320B69">
      <w:pPr>
        <w:spacing w:before="0" w:beforeLines="0" w:line="360" w:lineRule="auto"/>
        <w:ind w:firstLine="480" w:firstLineChars="200"/>
        <w:rPr>
          <w:snapToGrid w:val="0"/>
          <w:kern w:val="0"/>
          <w:sz w:val="24"/>
        </w:rPr>
      </w:pPr>
      <w:r>
        <w:rPr>
          <w:rFonts w:hint="eastAsia"/>
          <w:snapToGrid w:val="0"/>
          <w:kern w:val="0"/>
          <w:sz w:val="24"/>
        </w:rPr>
        <w:t>（</w:t>
      </w:r>
      <w:r>
        <w:rPr>
          <w:snapToGrid w:val="0"/>
          <w:kern w:val="0"/>
          <w:sz w:val="24"/>
        </w:rPr>
        <w:t>4</w:t>
      </w:r>
      <w:r>
        <w:rPr>
          <w:rFonts w:hint="eastAsia"/>
          <w:snapToGrid w:val="0"/>
          <w:kern w:val="0"/>
          <w:sz w:val="24"/>
        </w:rPr>
        <w:t>）应急响应措施，一旦发现有疑似污染的情况，需立即启动应急方案，对污染的下水进行收集处理。</w:t>
      </w:r>
      <w:r>
        <w:rPr>
          <w:snapToGrid w:val="0"/>
          <w:kern w:val="0"/>
          <w:sz w:val="24"/>
        </w:rPr>
        <w:t xml:space="preserve"> </w:t>
      </w:r>
    </w:p>
    <w:p w14:paraId="40ECB581">
      <w:pPr>
        <w:spacing w:before="0" w:beforeLines="0" w:line="360" w:lineRule="auto"/>
        <w:ind w:firstLine="480" w:firstLineChars="200"/>
        <w:rPr>
          <w:snapToGrid w:val="0"/>
          <w:kern w:val="0"/>
          <w:sz w:val="24"/>
        </w:rPr>
      </w:pPr>
      <w:r>
        <w:rPr>
          <w:rFonts w:hint="eastAsia"/>
          <w:snapToGrid w:val="0"/>
          <w:kern w:val="0"/>
          <w:sz w:val="24"/>
        </w:rPr>
        <w:t>（</w:t>
      </w:r>
      <w:r>
        <w:rPr>
          <w:snapToGrid w:val="0"/>
          <w:kern w:val="0"/>
          <w:sz w:val="24"/>
        </w:rPr>
        <w:t>5</w:t>
      </w:r>
      <w:r>
        <w:rPr>
          <w:rFonts w:hint="eastAsia"/>
          <w:snapToGrid w:val="0"/>
          <w:kern w:val="0"/>
          <w:sz w:val="24"/>
        </w:rPr>
        <w:t>）污染区防渗措施的设计</w:t>
      </w:r>
      <w:r>
        <w:rPr>
          <w:rFonts w:hint="eastAsia"/>
          <w:snapToGrid w:val="0"/>
          <w:kern w:val="0"/>
          <w:sz w:val="24"/>
          <w:lang w:eastAsia="zh-CN"/>
        </w:rPr>
        <w:t>原则</w:t>
      </w:r>
      <w:r>
        <w:rPr>
          <w:rFonts w:hint="eastAsia"/>
          <w:snapToGrid w:val="0"/>
          <w:kern w:val="0"/>
          <w:sz w:val="24"/>
        </w:rPr>
        <w:t>一般是建立地上和地下两种污染防治措施，尽可能做到地上的污染地上防，地下的污染地下防，这样能够更好的防止地下水的污染。</w:t>
      </w:r>
    </w:p>
    <w:p w14:paraId="53FBE117">
      <w:pPr>
        <w:spacing w:before="0" w:beforeLines="0" w:line="360" w:lineRule="auto"/>
        <w:ind w:firstLine="480" w:firstLineChars="200"/>
        <w:rPr>
          <w:snapToGrid w:val="0"/>
          <w:kern w:val="0"/>
          <w:sz w:val="24"/>
        </w:rPr>
      </w:pPr>
      <w:r>
        <w:rPr>
          <w:rFonts w:hint="eastAsia"/>
          <w:snapToGrid w:val="0"/>
          <w:kern w:val="0"/>
          <w:sz w:val="24"/>
        </w:rPr>
        <w:t>防护重点为源头控制。源头控制措施主要指建设项目废水的输送管道、废水储存设备及处理构筑物应采取相应措施，防止和降低污染物跑、冒、滴、漏，将污染物泄漏的环境风险事故降到最低程度。因此要求建设项目对产生的废水进行合理的治理和综合利用，以先进工艺、管道、设备、污水储存，尽可能从源头上减少可能污染物产生；严格按照国家相关规范要求，对工艺、管道、设备、污水储存及处理构筑物采取相应的措施，以防止和降低可能污染物的跑、冒、滴、漏，将废水泄漏的环境风险事故降低到最低程度；优化事故废水排水系统设计；管线铺设尽量采用“可视化”原则，即管道尽可能地上铺设，做到污染物“早发现、早处理”，以减少泄漏而可能造成的地下水污染。进行质量体系认证，实现“质量、安全、环境”三位一体的全面质量管理目标。设立地下水跟踪监测小组，负责对地下水环境的跟踪监测和管理，或者委托专业的机构完成。建立有关规章制度和岗位责任制。制定地下水风险预警方案，设立应急设施减少环境污染影响。</w:t>
      </w:r>
    </w:p>
    <w:p w14:paraId="00F71749">
      <w:pPr>
        <w:spacing w:before="0" w:beforeLines="0" w:line="360" w:lineRule="auto"/>
        <w:rPr>
          <w:b/>
          <w:bCs/>
          <w:sz w:val="24"/>
        </w:rPr>
      </w:pPr>
      <w:bookmarkStart w:id="589" w:name="_Toc7087"/>
      <w:bookmarkStart w:id="590" w:name="_Toc520672544"/>
      <w:bookmarkStart w:id="591" w:name="_Toc491247206"/>
      <w:r>
        <w:rPr>
          <w:b/>
          <w:bCs/>
          <w:sz w:val="24"/>
        </w:rPr>
        <w:t>6.2.6</w:t>
      </w:r>
      <w:r>
        <w:rPr>
          <w:rFonts w:hint="eastAsia"/>
          <w:b/>
          <w:bCs/>
          <w:sz w:val="24"/>
        </w:rPr>
        <w:t>.2污染防治措施</w:t>
      </w:r>
      <w:bookmarkEnd w:id="589"/>
      <w:bookmarkEnd w:id="590"/>
      <w:bookmarkEnd w:id="591"/>
    </w:p>
    <w:p w14:paraId="2244FC86">
      <w:pPr>
        <w:spacing w:before="0" w:beforeLines="0" w:line="360" w:lineRule="auto"/>
        <w:ind w:firstLine="480" w:firstLineChars="200"/>
        <w:rPr>
          <w:snapToGrid w:val="0"/>
          <w:kern w:val="0"/>
          <w:sz w:val="24"/>
        </w:rPr>
      </w:pPr>
      <w:r>
        <w:rPr>
          <w:rFonts w:hint="eastAsia"/>
          <w:snapToGrid w:val="0"/>
          <w:kern w:val="0"/>
          <w:sz w:val="24"/>
        </w:rPr>
        <w:t>分区防控措施是指结合地下水环境影响评价结果，对工程设计或可行性研究报告提出的地下水污染防控方案提出优化调整的建议，给出不同分区的具体防渗技术要求。一般情况下，防控措施应以水平防渗为主，已颁布污染控制国家标准或防渗技术规范的行业，水平防渗技术要求按照相应标准或规范执行。</w:t>
      </w:r>
    </w:p>
    <w:p w14:paraId="4B987294">
      <w:pPr>
        <w:spacing w:before="0" w:beforeLines="0" w:line="360" w:lineRule="auto"/>
        <w:ind w:firstLine="480" w:firstLineChars="200"/>
        <w:rPr>
          <w:snapToGrid w:val="0"/>
          <w:kern w:val="0"/>
          <w:sz w:val="24"/>
        </w:rPr>
      </w:pPr>
      <w:r>
        <w:rPr>
          <w:rFonts w:hint="eastAsia"/>
          <w:snapToGrid w:val="0"/>
          <w:kern w:val="0"/>
          <w:sz w:val="24"/>
        </w:rPr>
        <w:t>场地防渗，应在拟建场地表层覆盖粘土层并分层压实，并对地面做影响硬化处理，</w:t>
      </w:r>
      <w:r>
        <w:rPr>
          <w:rFonts w:hint="eastAsia"/>
          <w:snapToGrid w:val="0"/>
          <w:kern w:val="0"/>
          <w:sz w:val="24"/>
          <w:lang w:eastAsia="zh-CN"/>
        </w:rPr>
        <w:t>以</w:t>
      </w:r>
      <w:r>
        <w:rPr>
          <w:rFonts w:hint="eastAsia"/>
          <w:snapToGrid w:val="0"/>
          <w:kern w:val="0"/>
          <w:sz w:val="24"/>
        </w:rPr>
        <w:t>防止污染物渗漏进入地下水环境。</w:t>
      </w:r>
    </w:p>
    <w:p w14:paraId="32706B33">
      <w:pPr>
        <w:widowControl/>
        <w:spacing w:before="156" w:beforeLines="50" w:line="240" w:lineRule="auto"/>
        <w:jc w:val="center"/>
        <w:rPr>
          <w:b/>
          <w:bCs/>
          <w:kern w:val="44"/>
          <w:szCs w:val="21"/>
        </w:rPr>
      </w:pPr>
      <w:r>
        <w:rPr>
          <w:rFonts w:hAnsi="宋体"/>
          <w:b/>
          <w:bCs/>
          <w:kern w:val="44"/>
          <w:szCs w:val="21"/>
        </w:rPr>
        <w:t>表</w:t>
      </w:r>
      <w:r>
        <w:rPr>
          <w:b/>
          <w:bCs/>
          <w:kern w:val="44"/>
          <w:szCs w:val="21"/>
        </w:rPr>
        <w:t xml:space="preserve">6.2-3  </w:t>
      </w:r>
      <w:r>
        <w:rPr>
          <w:rFonts w:hAnsi="宋体"/>
          <w:b/>
          <w:bCs/>
          <w:kern w:val="44"/>
          <w:szCs w:val="21"/>
        </w:rPr>
        <w:t>污染控制难易程度分级参照表</w:t>
      </w:r>
    </w:p>
    <w:tbl>
      <w:tblPr>
        <w:tblStyle w:val="89"/>
        <w:tblW w:w="5008" w:type="pct"/>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108" w:type="dxa"/>
          <w:bottom w:w="0" w:type="dxa"/>
          <w:right w:w="108" w:type="dxa"/>
        </w:tblCellMar>
      </w:tblPr>
      <w:tblGrid>
        <w:gridCol w:w="1996"/>
        <w:gridCol w:w="4192"/>
        <w:gridCol w:w="2137"/>
      </w:tblGrid>
      <w:tr w14:paraId="1C58551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177" w:hRule="atLeast"/>
        </w:trPr>
        <w:tc>
          <w:tcPr>
            <w:tcW w:w="1199" w:type="pct"/>
            <w:vAlign w:val="center"/>
          </w:tcPr>
          <w:p w14:paraId="1DCD5401">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rFonts w:hint="eastAsia" w:ascii="宋体" w:hAnsi="宋体" w:cs="仿宋_GB2312"/>
                <w:snapToGrid w:val="0"/>
                <w:kern w:val="0"/>
                <w:szCs w:val="21"/>
              </w:rPr>
            </w:pPr>
            <w:r>
              <w:rPr>
                <w:rFonts w:hint="eastAsia" w:ascii="宋体" w:hAnsi="宋体" w:cs="仿宋_GB2312"/>
                <w:snapToGrid w:val="0"/>
                <w:kern w:val="0"/>
                <w:szCs w:val="21"/>
              </w:rPr>
              <w:t>污染控制难易程度</w:t>
            </w:r>
          </w:p>
        </w:tc>
        <w:tc>
          <w:tcPr>
            <w:tcW w:w="2518" w:type="pct"/>
            <w:vAlign w:val="center"/>
          </w:tcPr>
          <w:p w14:paraId="691C60FC">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rFonts w:hint="eastAsia" w:ascii="宋体" w:hAnsi="宋体" w:cs="仿宋_GB2312"/>
                <w:snapToGrid w:val="0"/>
                <w:kern w:val="0"/>
                <w:szCs w:val="21"/>
              </w:rPr>
            </w:pPr>
            <w:r>
              <w:rPr>
                <w:rFonts w:hint="eastAsia" w:ascii="宋体" w:hAnsi="宋体" w:cs="仿宋_GB2312"/>
                <w:snapToGrid w:val="0"/>
                <w:kern w:val="0"/>
                <w:szCs w:val="21"/>
              </w:rPr>
              <w:t>主要特征</w:t>
            </w:r>
          </w:p>
        </w:tc>
        <w:tc>
          <w:tcPr>
            <w:tcW w:w="1283" w:type="pct"/>
            <w:vAlign w:val="center"/>
          </w:tcPr>
          <w:p w14:paraId="00C18D5A">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rFonts w:hint="eastAsia" w:ascii="宋体" w:hAnsi="宋体" w:cs="仿宋_GB2312"/>
                <w:snapToGrid w:val="0"/>
                <w:kern w:val="0"/>
                <w:szCs w:val="21"/>
              </w:rPr>
            </w:pPr>
            <w:r>
              <w:rPr>
                <w:rFonts w:hint="eastAsia" w:ascii="宋体" w:hAnsi="宋体" w:cs="仿宋_GB2312"/>
                <w:snapToGrid w:val="0"/>
                <w:kern w:val="0"/>
                <w:szCs w:val="21"/>
              </w:rPr>
              <w:t>本项目</w:t>
            </w:r>
          </w:p>
        </w:tc>
      </w:tr>
      <w:tr w14:paraId="6129E6E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1199" w:type="pct"/>
            <w:vAlign w:val="center"/>
          </w:tcPr>
          <w:p w14:paraId="03C53152">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rFonts w:hint="eastAsia" w:ascii="宋体" w:hAnsi="宋体" w:cs="仿宋_GB2312"/>
                <w:snapToGrid w:val="0"/>
                <w:kern w:val="0"/>
                <w:szCs w:val="21"/>
              </w:rPr>
            </w:pPr>
            <w:r>
              <w:rPr>
                <w:rFonts w:hint="eastAsia" w:ascii="宋体" w:hAnsi="宋体" w:cs="仿宋_GB2312"/>
                <w:snapToGrid w:val="0"/>
                <w:kern w:val="0"/>
                <w:szCs w:val="21"/>
              </w:rPr>
              <w:t>难</w:t>
            </w:r>
          </w:p>
        </w:tc>
        <w:tc>
          <w:tcPr>
            <w:tcW w:w="2518" w:type="pct"/>
            <w:vAlign w:val="center"/>
          </w:tcPr>
          <w:p w14:paraId="3F01CD3A">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rFonts w:hint="eastAsia" w:ascii="宋体" w:hAnsi="宋体" w:cs="仿宋_GB2312"/>
                <w:snapToGrid w:val="0"/>
                <w:kern w:val="0"/>
                <w:szCs w:val="21"/>
              </w:rPr>
            </w:pPr>
            <w:r>
              <w:rPr>
                <w:rFonts w:hint="eastAsia" w:ascii="宋体" w:hAnsi="宋体" w:cs="仿宋_GB2312"/>
                <w:snapToGrid w:val="0"/>
                <w:kern w:val="0"/>
                <w:szCs w:val="21"/>
              </w:rPr>
              <w:t>对地下水环境有污染的物料或污染物泄漏后，不能及时发现处理。</w:t>
            </w:r>
          </w:p>
        </w:tc>
        <w:tc>
          <w:tcPr>
            <w:tcW w:w="1283" w:type="pct"/>
            <w:vAlign w:val="center"/>
          </w:tcPr>
          <w:p w14:paraId="432AEF44">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rFonts w:hint="eastAsia" w:ascii="宋体" w:hAnsi="宋体" w:cs="仿宋_GB2312"/>
                <w:snapToGrid w:val="0"/>
                <w:kern w:val="0"/>
                <w:szCs w:val="21"/>
              </w:rPr>
            </w:pPr>
            <w:r>
              <w:rPr>
                <w:rFonts w:hint="eastAsia" w:ascii="宋体" w:hAnsi="宋体" w:cs="仿宋_GB2312"/>
                <w:snapToGrid w:val="0"/>
                <w:kern w:val="0"/>
                <w:szCs w:val="21"/>
              </w:rPr>
              <w:t>抛砂车间、埋地池体及管线</w:t>
            </w:r>
          </w:p>
        </w:tc>
      </w:tr>
      <w:tr w14:paraId="070E434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1199" w:type="pct"/>
            <w:vAlign w:val="center"/>
          </w:tcPr>
          <w:p w14:paraId="1F8C3F01">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rFonts w:hint="eastAsia" w:ascii="宋体" w:hAnsi="宋体" w:cs="仿宋_GB2312"/>
                <w:snapToGrid w:val="0"/>
                <w:kern w:val="0"/>
                <w:szCs w:val="21"/>
              </w:rPr>
            </w:pPr>
            <w:r>
              <w:rPr>
                <w:rFonts w:hint="eastAsia" w:ascii="宋体" w:hAnsi="宋体" w:cs="仿宋_GB2312"/>
                <w:snapToGrid w:val="0"/>
                <w:kern w:val="0"/>
                <w:szCs w:val="21"/>
              </w:rPr>
              <w:t>易</w:t>
            </w:r>
          </w:p>
        </w:tc>
        <w:tc>
          <w:tcPr>
            <w:tcW w:w="2518" w:type="pct"/>
            <w:vAlign w:val="center"/>
          </w:tcPr>
          <w:p w14:paraId="6259D257">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rFonts w:hint="eastAsia" w:ascii="宋体" w:hAnsi="宋体" w:cs="仿宋_GB2312"/>
                <w:snapToGrid w:val="0"/>
                <w:kern w:val="0"/>
                <w:szCs w:val="21"/>
              </w:rPr>
            </w:pPr>
            <w:r>
              <w:rPr>
                <w:rFonts w:hint="eastAsia" w:ascii="宋体" w:hAnsi="宋体" w:cs="仿宋_GB2312"/>
                <w:snapToGrid w:val="0"/>
                <w:kern w:val="0"/>
                <w:szCs w:val="21"/>
              </w:rPr>
              <w:t>对地下水环境有污染的物料或污染泄漏后，可以及时发现和处理。</w:t>
            </w:r>
          </w:p>
        </w:tc>
        <w:tc>
          <w:tcPr>
            <w:tcW w:w="1283" w:type="pct"/>
            <w:vAlign w:val="center"/>
          </w:tcPr>
          <w:p w14:paraId="2AE750AA">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rFonts w:hint="eastAsia" w:ascii="宋体" w:hAnsi="宋体" w:cs="仿宋_GB2312"/>
                <w:snapToGrid w:val="0"/>
                <w:kern w:val="0"/>
                <w:szCs w:val="21"/>
              </w:rPr>
            </w:pPr>
            <w:r>
              <w:rPr>
                <w:rFonts w:hint="eastAsia" w:ascii="宋体" w:hAnsi="宋体" w:cs="仿宋_GB2312"/>
                <w:snapToGrid w:val="0"/>
                <w:kern w:val="0"/>
                <w:szCs w:val="21"/>
              </w:rPr>
              <w:t>其他</w:t>
            </w:r>
          </w:p>
        </w:tc>
      </w:tr>
    </w:tbl>
    <w:p w14:paraId="4938CDFE">
      <w:pPr>
        <w:widowControl/>
        <w:spacing w:before="156" w:beforeLines="50" w:line="240" w:lineRule="auto"/>
        <w:jc w:val="center"/>
        <w:rPr>
          <w:rFonts w:hint="eastAsia" w:hAnsi="宋体"/>
          <w:b/>
          <w:bCs/>
          <w:kern w:val="44"/>
          <w:szCs w:val="21"/>
        </w:rPr>
      </w:pPr>
      <w:r>
        <w:rPr>
          <w:rFonts w:hint="eastAsia" w:hAnsi="宋体"/>
          <w:b/>
          <w:bCs/>
          <w:kern w:val="44"/>
          <w:szCs w:val="21"/>
        </w:rPr>
        <w:t>表</w:t>
      </w:r>
      <w:r>
        <w:rPr>
          <w:rFonts w:hAnsi="宋体"/>
          <w:b/>
          <w:bCs/>
          <w:kern w:val="44"/>
          <w:szCs w:val="21"/>
        </w:rPr>
        <w:t>6.2-4</w:t>
      </w:r>
      <w:r>
        <w:rPr>
          <w:rFonts w:hint="eastAsia" w:hAnsi="宋体"/>
          <w:b/>
          <w:bCs/>
          <w:kern w:val="44"/>
          <w:szCs w:val="21"/>
        </w:rPr>
        <w:t xml:space="preserve">  天然包气带防污性能分级参照表</w:t>
      </w:r>
    </w:p>
    <w:tbl>
      <w:tblPr>
        <w:tblStyle w:val="89"/>
        <w:tblW w:w="5000" w:type="pct"/>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108" w:type="dxa"/>
          <w:bottom w:w="0" w:type="dxa"/>
          <w:right w:w="108" w:type="dxa"/>
        </w:tblCellMar>
      </w:tblPr>
      <w:tblGrid>
        <w:gridCol w:w="1312"/>
        <w:gridCol w:w="4214"/>
        <w:gridCol w:w="2786"/>
      </w:tblGrid>
      <w:tr w14:paraId="1DA5E0F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09" w:hRule="atLeast"/>
        </w:trPr>
        <w:tc>
          <w:tcPr>
            <w:tcW w:w="789" w:type="pct"/>
            <w:vAlign w:val="center"/>
          </w:tcPr>
          <w:p w14:paraId="23436E21">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snapToGrid w:val="0"/>
                <w:kern w:val="0"/>
                <w:szCs w:val="21"/>
              </w:rPr>
            </w:pPr>
            <w:r>
              <w:rPr>
                <w:rFonts w:hAnsi="宋体"/>
                <w:snapToGrid w:val="0"/>
                <w:kern w:val="0"/>
                <w:szCs w:val="21"/>
              </w:rPr>
              <w:t>分级</w:t>
            </w:r>
          </w:p>
        </w:tc>
        <w:tc>
          <w:tcPr>
            <w:tcW w:w="2535" w:type="pct"/>
            <w:vAlign w:val="center"/>
          </w:tcPr>
          <w:p w14:paraId="6CE4AE32">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snapToGrid w:val="0"/>
                <w:kern w:val="0"/>
                <w:szCs w:val="21"/>
              </w:rPr>
            </w:pPr>
            <w:r>
              <w:rPr>
                <w:rFonts w:hAnsi="宋体"/>
                <w:snapToGrid w:val="0"/>
                <w:kern w:val="0"/>
                <w:szCs w:val="21"/>
              </w:rPr>
              <w:t>包气带岩土的渗透性能</w:t>
            </w:r>
          </w:p>
        </w:tc>
        <w:tc>
          <w:tcPr>
            <w:tcW w:w="1676" w:type="pct"/>
            <w:vAlign w:val="center"/>
          </w:tcPr>
          <w:p w14:paraId="1BFB9593">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snapToGrid w:val="0"/>
                <w:kern w:val="0"/>
                <w:szCs w:val="21"/>
              </w:rPr>
            </w:pPr>
            <w:r>
              <w:rPr>
                <w:rFonts w:hAnsi="宋体"/>
                <w:snapToGrid w:val="0"/>
                <w:kern w:val="0"/>
                <w:szCs w:val="21"/>
              </w:rPr>
              <w:t>本项目</w:t>
            </w:r>
          </w:p>
        </w:tc>
      </w:tr>
      <w:tr w14:paraId="57906D5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634" w:hRule="atLeast"/>
        </w:trPr>
        <w:tc>
          <w:tcPr>
            <w:tcW w:w="789" w:type="pct"/>
            <w:vAlign w:val="center"/>
          </w:tcPr>
          <w:p w14:paraId="7FB48F9D">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snapToGrid w:val="0"/>
                <w:kern w:val="0"/>
                <w:szCs w:val="21"/>
              </w:rPr>
            </w:pPr>
            <w:r>
              <w:rPr>
                <w:rFonts w:hAnsi="宋体"/>
                <w:snapToGrid w:val="0"/>
                <w:kern w:val="0"/>
                <w:szCs w:val="21"/>
              </w:rPr>
              <w:t>强</w:t>
            </w:r>
          </w:p>
        </w:tc>
        <w:tc>
          <w:tcPr>
            <w:tcW w:w="2535" w:type="pct"/>
            <w:vAlign w:val="center"/>
          </w:tcPr>
          <w:p w14:paraId="4CF66E19">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snapToGrid w:val="0"/>
                <w:kern w:val="0"/>
                <w:szCs w:val="21"/>
              </w:rPr>
            </w:pPr>
            <w:r>
              <w:rPr>
                <w:rFonts w:hAnsi="宋体"/>
                <w:snapToGrid w:val="0"/>
                <w:kern w:val="0"/>
                <w:szCs w:val="21"/>
              </w:rPr>
              <w:t>岩（土）层单层厚度</w:t>
            </w:r>
            <w:r>
              <w:rPr>
                <w:snapToGrid w:val="0"/>
                <w:kern w:val="0"/>
                <w:szCs w:val="21"/>
              </w:rPr>
              <w:t>Mb≥1.0m</w:t>
            </w:r>
            <w:r>
              <w:rPr>
                <w:rFonts w:hAnsi="宋体"/>
                <w:snapToGrid w:val="0"/>
                <w:kern w:val="0"/>
                <w:szCs w:val="21"/>
              </w:rPr>
              <w:t>，渗透系数</w:t>
            </w:r>
            <w:r>
              <w:rPr>
                <w:snapToGrid w:val="0"/>
                <w:kern w:val="0"/>
                <w:szCs w:val="21"/>
              </w:rPr>
              <w:t>K≤1*10-6cm/s</w:t>
            </w:r>
            <w:r>
              <w:rPr>
                <w:rFonts w:hAnsi="宋体"/>
                <w:snapToGrid w:val="0"/>
                <w:kern w:val="0"/>
                <w:szCs w:val="21"/>
              </w:rPr>
              <w:t>，且分布连续、稳定。</w:t>
            </w:r>
          </w:p>
        </w:tc>
        <w:tc>
          <w:tcPr>
            <w:tcW w:w="1676" w:type="pct"/>
            <w:vAlign w:val="center"/>
          </w:tcPr>
          <w:p w14:paraId="24EA9CDC">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snapToGrid w:val="0"/>
                <w:kern w:val="0"/>
                <w:szCs w:val="21"/>
              </w:rPr>
            </w:pPr>
            <w:r>
              <w:rPr>
                <w:rFonts w:hAnsi="宋体"/>
                <w:snapToGrid w:val="0"/>
                <w:kern w:val="0"/>
                <w:szCs w:val="21"/>
              </w:rPr>
              <w:t>无</w:t>
            </w:r>
          </w:p>
        </w:tc>
      </w:tr>
      <w:tr w14:paraId="762C321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1297" w:hRule="atLeast"/>
        </w:trPr>
        <w:tc>
          <w:tcPr>
            <w:tcW w:w="789" w:type="pct"/>
            <w:vAlign w:val="center"/>
          </w:tcPr>
          <w:p w14:paraId="5ABFEFD5">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snapToGrid w:val="0"/>
                <w:kern w:val="0"/>
                <w:szCs w:val="21"/>
              </w:rPr>
            </w:pPr>
            <w:r>
              <w:rPr>
                <w:rFonts w:hAnsi="宋体"/>
                <w:snapToGrid w:val="0"/>
                <w:kern w:val="0"/>
                <w:szCs w:val="21"/>
              </w:rPr>
              <w:t>中</w:t>
            </w:r>
          </w:p>
        </w:tc>
        <w:tc>
          <w:tcPr>
            <w:tcW w:w="2535" w:type="pct"/>
            <w:vAlign w:val="center"/>
          </w:tcPr>
          <w:p w14:paraId="1060ABED">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snapToGrid w:val="0"/>
                <w:kern w:val="0"/>
                <w:szCs w:val="21"/>
              </w:rPr>
            </w:pPr>
            <w:r>
              <w:rPr>
                <w:rFonts w:hAnsi="宋体"/>
                <w:snapToGrid w:val="0"/>
                <w:kern w:val="0"/>
                <w:szCs w:val="21"/>
              </w:rPr>
              <w:t>岩（土）层单层厚度</w:t>
            </w:r>
            <w:r>
              <w:rPr>
                <w:snapToGrid w:val="0"/>
                <w:kern w:val="0"/>
                <w:szCs w:val="21"/>
              </w:rPr>
              <w:t>0.5m≤Mb</w:t>
            </w:r>
            <w:r>
              <w:rPr>
                <w:rFonts w:hAnsi="宋体"/>
                <w:snapToGrid w:val="0"/>
                <w:kern w:val="0"/>
                <w:szCs w:val="21"/>
              </w:rPr>
              <w:t>＜</w:t>
            </w:r>
            <w:r>
              <w:rPr>
                <w:snapToGrid w:val="0"/>
                <w:kern w:val="0"/>
                <w:szCs w:val="21"/>
              </w:rPr>
              <w:t>1.0m</w:t>
            </w:r>
            <w:r>
              <w:rPr>
                <w:rFonts w:hAnsi="宋体"/>
                <w:snapToGrid w:val="0"/>
                <w:kern w:val="0"/>
                <w:szCs w:val="21"/>
              </w:rPr>
              <w:t>，渗透系数</w:t>
            </w:r>
            <w:r>
              <w:rPr>
                <w:snapToGrid w:val="0"/>
                <w:kern w:val="0"/>
                <w:szCs w:val="21"/>
              </w:rPr>
              <w:t>K≤1*10</w:t>
            </w:r>
            <w:r>
              <w:rPr>
                <w:snapToGrid w:val="0"/>
                <w:kern w:val="0"/>
                <w:szCs w:val="21"/>
                <w:vertAlign w:val="superscript"/>
              </w:rPr>
              <w:t>-6</w:t>
            </w:r>
            <w:r>
              <w:rPr>
                <w:snapToGrid w:val="0"/>
                <w:kern w:val="0"/>
                <w:szCs w:val="21"/>
              </w:rPr>
              <w:t>cm/s</w:t>
            </w:r>
            <w:r>
              <w:rPr>
                <w:rFonts w:hAnsi="宋体"/>
                <w:snapToGrid w:val="0"/>
                <w:kern w:val="0"/>
                <w:szCs w:val="21"/>
              </w:rPr>
              <w:t>，且分布连续、稳定。岩（土）层单层厚度</w:t>
            </w:r>
            <w:r>
              <w:rPr>
                <w:snapToGrid w:val="0"/>
                <w:kern w:val="0"/>
                <w:szCs w:val="21"/>
              </w:rPr>
              <w:t>Mb≥1.0m</w:t>
            </w:r>
            <w:r>
              <w:rPr>
                <w:rFonts w:hAnsi="宋体"/>
                <w:snapToGrid w:val="0"/>
                <w:kern w:val="0"/>
                <w:szCs w:val="21"/>
              </w:rPr>
              <w:t>，渗透系数</w:t>
            </w:r>
            <w:r>
              <w:rPr>
                <w:snapToGrid w:val="0"/>
                <w:kern w:val="0"/>
                <w:szCs w:val="21"/>
              </w:rPr>
              <w:t>1*10</w:t>
            </w:r>
            <w:r>
              <w:rPr>
                <w:snapToGrid w:val="0"/>
                <w:kern w:val="0"/>
                <w:szCs w:val="21"/>
                <w:vertAlign w:val="superscript"/>
              </w:rPr>
              <w:t>-6</w:t>
            </w:r>
            <w:r>
              <w:rPr>
                <w:rFonts w:hAnsi="宋体"/>
                <w:snapToGrid w:val="0"/>
                <w:kern w:val="0"/>
                <w:szCs w:val="21"/>
              </w:rPr>
              <w:t>＜</w:t>
            </w:r>
            <w:r>
              <w:rPr>
                <w:snapToGrid w:val="0"/>
                <w:kern w:val="0"/>
                <w:szCs w:val="21"/>
              </w:rPr>
              <w:t>K≤1*10</w:t>
            </w:r>
            <w:r>
              <w:rPr>
                <w:snapToGrid w:val="0"/>
                <w:kern w:val="0"/>
                <w:szCs w:val="21"/>
                <w:vertAlign w:val="superscript"/>
              </w:rPr>
              <w:t>-4</w:t>
            </w:r>
            <w:r>
              <w:rPr>
                <w:snapToGrid w:val="0"/>
                <w:kern w:val="0"/>
                <w:szCs w:val="21"/>
              </w:rPr>
              <w:t>cm/s</w:t>
            </w:r>
            <w:r>
              <w:rPr>
                <w:rFonts w:hAnsi="宋体"/>
                <w:snapToGrid w:val="0"/>
                <w:kern w:val="0"/>
                <w:szCs w:val="21"/>
              </w:rPr>
              <w:t>，且分布连续、稳定。</w:t>
            </w:r>
          </w:p>
        </w:tc>
        <w:tc>
          <w:tcPr>
            <w:tcW w:w="1676" w:type="pct"/>
            <w:vAlign w:val="center"/>
          </w:tcPr>
          <w:p w14:paraId="67B06C00">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snapToGrid w:val="0"/>
                <w:kern w:val="0"/>
                <w:szCs w:val="21"/>
              </w:rPr>
            </w:pPr>
            <w:r>
              <w:rPr>
                <w:rFonts w:hint="eastAsia" w:hAnsi="宋体"/>
                <w:snapToGrid w:val="0"/>
                <w:kern w:val="0"/>
                <w:szCs w:val="21"/>
              </w:rPr>
              <w:t>无</w:t>
            </w:r>
          </w:p>
        </w:tc>
      </w:tr>
      <w:tr w14:paraId="569F383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39" w:hRule="atLeast"/>
        </w:trPr>
        <w:tc>
          <w:tcPr>
            <w:tcW w:w="789" w:type="pct"/>
            <w:vAlign w:val="center"/>
          </w:tcPr>
          <w:p w14:paraId="188A5A06">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snapToGrid w:val="0"/>
                <w:kern w:val="0"/>
                <w:szCs w:val="21"/>
              </w:rPr>
            </w:pPr>
            <w:r>
              <w:rPr>
                <w:rFonts w:hAnsi="宋体"/>
                <w:snapToGrid w:val="0"/>
                <w:kern w:val="0"/>
                <w:szCs w:val="21"/>
              </w:rPr>
              <w:t>弱</w:t>
            </w:r>
          </w:p>
        </w:tc>
        <w:tc>
          <w:tcPr>
            <w:tcW w:w="2535" w:type="pct"/>
            <w:vAlign w:val="center"/>
          </w:tcPr>
          <w:p w14:paraId="0EAC5E8A">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snapToGrid w:val="0"/>
                <w:kern w:val="0"/>
                <w:szCs w:val="21"/>
              </w:rPr>
            </w:pPr>
            <w:r>
              <w:rPr>
                <w:rFonts w:hAnsi="宋体"/>
                <w:snapToGrid w:val="0"/>
                <w:kern w:val="0"/>
                <w:szCs w:val="21"/>
              </w:rPr>
              <w:t>岩（土）层不满足上述</w:t>
            </w:r>
            <w:r>
              <w:rPr>
                <w:snapToGrid w:val="0"/>
                <w:kern w:val="0"/>
                <w:szCs w:val="21"/>
              </w:rPr>
              <w:t>“</w:t>
            </w:r>
            <w:r>
              <w:rPr>
                <w:rFonts w:hAnsi="宋体"/>
                <w:snapToGrid w:val="0"/>
                <w:kern w:val="0"/>
                <w:szCs w:val="21"/>
              </w:rPr>
              <w:t>强</w:t>
            </w:r>
            <w:r>
              <w:rPr>
                <w:snapToGrid w:val="0"/>
                <w:kern w:val="0"/>
                <w:szCs w:val="21"/>
              </w:rPr>
              <w:t>”</w:t>
            </w:r>
            <w:r>
              <w:rPr>
                <w:rFonts w:hAnsi="宋体"/>
                <w:snapToGrid w:val="0"/>
                <w:kern w:val="0"/>
                <w:szCs w:val="21"/>
              </w:rPr>
              <w:t>和</w:t>
            </w:r>
            <w:r>
              <w:rPr>
                <w:snapToGrid w:val="0"/>
                <w:kern w:val="0"/>
                <w:szCs w:val="21"/>
              </w:rPr>
              <w:t>“</w:t>
            </w:r>
            <w:r>
              <w:rPr>
                <w:rFonts w:hAnsi="宋体"/>
                <w:snapToGrid w:val="0"/>
                <w:kern w:val="0"/>
                <w:szCs w:val="21"/>
              </w:rPr>
              <w:t>中</w:t>
            </w:r>
            <w:r>
              <w:rPr>
                <w:snapToGrid w:val="0"/>
                <w:kern w:val="0"/>
                <w:szCs w:val="21"/>
              </w:rPr>
              <w:t>”</w:t>
            </w:r>
            <w:r>
              <w:rPr>
                <w:rFonts w:hAnsi="宋体"/>
                <w:snapToGrid w:val="0"/>
                <w:kern w:val="0"/>
                <w:szCs w:val="21"/>
              </w:rPr>
              <w:t>条件。</w:t>
            </w:r>
          </w:p>
        </w:tc>
        <w:tc>
          <w:tcPr>
            <w:tcW w:w="1676" w:type="pct"/>
            <w:vAlign w:val="center"/>
          </w:tcPr>
          <w:p w14:paraId="05B39D1E">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snapToGrid w:val="0"/>
                <w:kern w:val="0"/>
                <w:szCs w:val="21"/>
              </w:rPr>
            </w:pPr>
            <w:r>
              <w:rPr>
                <w:rFonts w:hint="eastAsia" w:hAnsi="宋体"/>
                <w:snapToGrid w:val="0"/>
                <w:kern w:val="0"/>
                <w:szCs w:val="21"/>
              </w:rPr>
              <w:t>本项目</w:t>
            </w:r>
          </w:p>
        </w:tc>
      </w:tr>
    </w:tbl>
    <w:p w14:paraId="5E7939E7">
      <w:pPr>
        <w:widowControl/>
        <w:spacing w:before="156" w:beforeLines="50" w:line="240" w:lineRule="auto"/>
        <w:jc w:val="center"/>
        <w:rPr>
          <w:rFonts w:hint="eastAsia" w:hAnsi="宋体"/>
          <w:b/>
          <w:bCs/>
          <w:kern w:val="44"/>
          <w:szCs w:val="21"/>
        </w:rPr>
      </w:pPr>
    </w:p>
    <w:p w14:paraId="3CA7E561">
      <w:pPr>
        <w:widowControl/>
        <w:spacing w:before="156" w:beforeLines="50" w:line="240" w:lineRule="auto"/>
        <w:jc w:val="center"/>
        <w:rPr>
          <w:rFonts w:hint="eastAsia" w:hAnsi="宋体"/>
          <w:b/>
          <w:bCs/>
          <w:kern w:val="44"/>
          <w:szCs w:val="21"/>
        </w:rPr>
      </w:pPr>
    </w:p>
    <w:p w14:paraId="722E653B">
      <w:pPr>
        <w:widowControl/>
        <w:spacing w:before="156" w:beforeLines="50" w:line="240" w:lineRule="auto"/>
        <w:jc w:val="center"/>
        <w:rPr>
          <w:rFonts w:hint="eastAsia" w:hAnsi="宋体"/>
          <w:b/>
          <w:bCs/>
          <w:kern w:val="44"/>
          <w:szCs w:val="21"/>
        </w:rPr>
      </w:pPr>
    </w:p>
    <w:p w14:paraId="353CE8FB">
      <w:pPr>
        <w:widowControl/>
        <w:spacing w:before="156" w:beforeLines="50" w:line="240" w:lineRule="auto"/>
        <w:jc w:val="center"/>
        <w:rPr>
          <w:b/>
          <w:bCs/>
          <w:kern w:val="44"/>
          <w:szCs w:val="21"/>
        </w:rPr>
      </w:pPr>
      <w:r>
        <w:rPr>
          <w:rFonts w:hAnsi="宋体"/>
          <w:b/>
          <w:bCs/>
          <w:kern w:val="44"/>
          <w:szCs w:val="21"/>
        </w:rPr>
        <w:t>表</w:t>
      </w:r>
      <w:r>
        <w:rPr>
          <w:b/>
          <w:bCs/>
          <w:kern w:val="44"/>
          <w:szCs w:val="21"/>
        </w:rPr>
        <w:t xml:space="preserve">6.2-5  </w:t>
      </w:r>
      <w:r>
        <w:rPr>
          <w:rFonts w:hAnsi="宋体"/>
          <w:b/>
          <w:bCs/>
          <w:kern w:val="44"/>
          <w:szCs w:val="21"/>
        </w:rPr>
        <w:t>地下水污染防渗分区参照表</w:t>
      </w:r>
    </w:p>
    <w:tbl>
      <w:tblPr>
        <w:tblStyle w:val="89"/>
        <w:tblW w:w="5150" w:type="pct"/>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108" w:type="dxa"/>
          <w:bottom w:w="0" w:type="dxa"/>
          <w:right w:w="108" w:type="dxa"/>
        </w:tblCellMar>
      </w:tblPr>
      <w:tblGrid>
        <w:gridCol w:w="1392"/>
        <w:gridCol w:w="1423"/>
        <w:gridCol w:w="1171"/>
        <w:gridCol w:w="1705"/>
        <w:gridCol w:w="2870"/>
      </w:tblGrid>
      <w:tr w14:paraId="5E5EADA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654" w:hRule="atLeast"/>
        </w:trPr>
        <w:tc>
          <w:tcPr>
            <w:tcW w:w="813" w:type="pct"/>
            <w:vAlign w:val="center"/>
          </w:tcPr>
          <w:p w14:paraId="7CC2ABD6">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防渗分区</w:t>
            </w:r>
          </w:p>
        </w:tc>
        <w:tc>
          <w:tcPr>
            <w:tcW w:w="831" w:type="pct"/>
            <w:vAlign w:val="center"/>
          </w:tcPr>
          <w:p w14:paraId="53473BF5">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天然包气带防污性能</w:t>
            </w:r>
          </w:p>
        </w:tc>
        <w:tc>
          <w:tcPr>
            <w:tcW w:w="684" w:type="pct"/>
            <w:vAlign w:val="center"/>
          </w:tcPr>
          <w:p w14:paraId="6ED412B9">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污染控制难易程度</w:t>
            </w:r>
          </w:p>
        </w:tc>
        <w:tc>
          <w:tcPr>
            <w:tcW w:w="996" w:type="pct"/>
            <w:vAlign w:val="center"/>
          </w:tcPr>
          <w:p w14:paraId="58DF328D">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污染物类型</w:t>
            </w:r>
          </w:p>
        </w:tc>
        <w:tc>
          <w:tcPr>
            <w:tcW w:w="1677" w:type="pct"/>
            <w:vAlign w:val="center"/>
          </w:tcPr>
          <w:p w14:paraId="05A32212">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防渗技术要求</w:t>
            </w:r>
          </w:p>
        </w:tc>
      </w:tr>
      <w:tr w14:paraId="0654E28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30" w:hRule="atLeast"/>
        </w:trPr>
        <w:tc>
          <w:tcPr>
            <w:tcW w:w="813" w:type="pct"/>
            <w:vMerge w:val="restart"/>
            <w:vAlign w:val="center"/>
          </w:tcPr>
          <w:p w14:paraId="7138EACF">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重点防渗区</w:t>
            </w:r>
          </w:p>
        </w:tc>
        <w:tc>
          <w:tcPr>
            <w:tcW w:w="831" w:type="pct"/>
            <w:vAlign w:val="center"/>
          </w:tcPr>
          <w:p w14:paraId="2F94ECCE">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弱</w:t>
            </w:r>
          </w:p>
        </w:tc>
        <w:tc>
          <w:tcPr>
            <w:tcW w:w="684" w:type="pct"/>
            <w:vAlign w:val="center"/>
          </w:tcPr>
          <w:p w14:paraId="7F4D59FF">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难</w:t>
            </w:r>
          </w:p>
        </w:tc>
        <w:tc>
          <w:tcPr>
            <w:tcW w:w="996" w:type="pct"/>
            <w:vMerge w:val="restart"/>
            <w:vAlign w:val="center"/>
          </w:tcPr>
          <w:p w14:paraId="5582908F">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重金属、</w:t>
            </w:r>
            <w:r>
              <w:rPr>
                <w:rFonts w:hint="eastAsia" w:hAnsi="宋体"/>
                <w:snapToGrid w:val="0"/>
                <w:kern w:val="0"/>
                <w:szCs w:val="21"/>
                <w:lang w:eastAsia="zh-CN"/>
              </w:rPr>
              <w:t>持久性有机污染物</w:t>
            </w:r>
          </w:p>
        </w:tc>
        <w:tc>
          <w:tcPr>
            <w:tcW w:w="1677" w:type="pct"/>
            <w:vMerge w:val="restart"/>
            <w:vAlign w:val="center"/>
          </w:tcPr>
          <w:p w14:paraId="0CF0A0C8">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等效粘土防渗层</w:t>
            </w:r>
            <w:r>
              <w:rPr>
                <w:snapToGrid w:val="0"/>
                <w:kern w:val="0"/>
                <w:szCs w:val="21"/>
              </w:rPr>
              <w:t>Mb≥6.0m</w:t>
            </w:r>
            <w:r>
              <w:rPr>
                <w:rFonts w:hAnsi="宋体"/>
                <w:snapToGrid w:val="0"/>
                <w:kern w:val="0"/>
                <w:szCs w:val="21"/>
              </w:rPr>
              <w:t>，</w:t>
            </w:r>
            <w:r>
              <w:rPr>
                <w:snapToGrid w:val="0"/>
                <w:kern w:val="0"/>
                <w:szCs w:val="21"/>
              </w:rPr>
              <w:t>K≤1*10</w:t>
            </w:r>
            <w:r>
              <w:rPr>
                <w:snapToGrid w:val="0"/>
                <w:kern w:val="0"/>
                <w:szCs w:val="21"/>
                <w:vertAlign w:val="superscript"/>
              </w:rPr>
              <w:t>-7</w:t>
            </w:r>
            <w:r>
              <w:rPr>
                <w:snapToGrid w:val="0"/>
                <w:kern w:val="0"/>
                <w:szCs w:val="21"/>
              </w:rPr>
              <w:t>cm/s</w:t>
            </w:r>
            <w:r>
              <w:rPr>
                <w:rFonts w:hAnsi="宋体"/>
                <w:snapToGrid w:val="0"/>
                <w:kern w:val="0"/>
                <w:szCs w:val="21"/>
              </w:rPr>
              <w:t>；或参照</w:t>
            </w:r>
            <w:r>
              <w:rPr>
                <w:snapToGrid w:val="0"/>
                <w:kern w:val="0"/>
                <w:szCs w:val="21"/>
              </w:rPr>
              <w:t>GB18598</w:t>
            </w:r>
            <w:r>
              <w:rPr>
                <w:rFonts w:hAnsi="宋体"/>
                <w:snapToGrid w:val="0"/>
                <w:kern w:val="0"/>
                <w:szCs w:val="21"/>
              </w:rPr>
              <w:t>执行。</w:t>
            </w:r>
          </w:p>
        </w:tc>
      </w:tr>
      <w:tr w14:paraId="3614140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34" w:hRule="atLeast"/>
        </w:trPr>
        <w:tc>
          <w:tcPr>
            <w:tcW w:w="813" w:type="pct"/>
            <w:vMerge w:val="continue"/>
            <w:vAlign w:val="center"/>
          </w:tcPr>
          <w:p w14:paraId="01837F5C">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p>
        </w:tc>
        <w:tc>
          <w:tcPr>
            <w:tcW w:w="831" w:type="pct"/>
            <w:vAlign w:val="center"/>
          </w:tcPr>
          <w:p w14:paraId="2CB99AE1">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中</w:t>
            </w:r>
            <w:r>
              <w:rPr>
                <w:snapToGrid w:val="0"/>
                <w:kern w:val="0"/>
                <w:szCs w:val="21"/>
              </w:rPr>
              <w:t>-</w:t>
            </w:r>
            <w:r>
              <w:rPr>
                <w:rFonts w:hAnsi="宋体"/>
                <w:snapToGrid w:val="0"/>
                <w:kern w:val="0"/>
                <w:szCs w:val="21"/>
              </w:rPr>
              <w:t>强</w:t>
            </w:r>
          </w:p>
        </w:tc>
        <w:tc>
          <w:tcPr>
            <w:tcW w:w="684" w:type="pct"/>
            <w:vAlign w:val="center"/>
          </w:tcPr>
          <w:p w14:paraId="677774E4">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难</w:t>
            </w:r>
          </w:p>
        </w:tc>
        <w:tc>
          <w:tcPr>
            <w:tcW w:w="996" w:type="pct"/>
            <w:vMerge w:val="continue"/>
            <w:vAlign w:val="center"/>
          </w:tcPr>
          <w:p w14:paraId="6CCC3B49">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p>
        </w:tc>
        <w:tc>
          <w:tcPr>
            <w:tcW w:w="1677" w:type="pct"/>
            <w:vMerge w:val="continue"/>
            <w:vAlign w:val="center"/>
          </w:tcPr>
          <w:p w14:paraId="720B499E">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p>
        </w:tc>
      </w:tr>
      <w:tr w14:paraId="7E3F1D2B">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39" w:hRule="atLeast"/>
        </w:trPr>
        <w:tc>
          <w:tcPr>
            <w:tcW w:w="813" w:type="pct"/>
            <w:vMerge w:val="continue"/>
            <w:vAlign w:val="center"/>
          </w:tcPr>
          <w:p w14:paraId="3B514475">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p>
        </w:tc>
        <w:tc>
          <w:tcPr>
            <w:tcW w:w="831" w:type="pct"/>
            <w:vAlign w:val="center"/>
          </w:tcPr>
          <w:p w14:paraId="37BC1645">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弱</w:t>
            </w:r>
          </w:p>
        </w:tc>
        <w:tc>
          <w:tcPr>
            <w:tcW w:w="684" w:type="pct"/>
            <w:vAlign w:val="center"/>
          </w:tcPr>
          <w:p w14:paraId="45AF1FC5">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易</w:t>
            </w:r>
          </w:p>
        </w:tc>
        <w:tc>
          <w:tcPr>
            <w:tcW w:w="996" w:type="pct"/>
            <w:vMerge w:val="continue"/>
            <w:vAlign w:val="center"/>
          </w:tcPr>
          <w:p w14:paraId="6A62A613">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p>
        </w:tc>
        <w:tc>
          <w:tcPr>
            <w:tcW w:w="1677" w:type="pct"/>
            <w:vMerge w:val="continue"/>
            <w:vAlign w:val="center"/>
          </w:tcPr>
          <w:p w14:paraId="658A1B1D">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p>
        </w:tc>
      </w:tr>
      <w:tr w14:paraId="34EF116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4" w:hRule="atLeast"/>
        </w:trPr>
        <w:tc>
          <w:tcPr>
            <w:tcW w:w="813" w:type="pct"/>
            <w:vMerge w:val="restart"/>
            <w:vAlign w:val="center"/>
          </w:tcPr>
          <w:p w14:paraId="564F0191">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一般防渗区</w:t>
            </w:r>
          </w:p>
        </w:tc>
        <w:tc>
          <w:tcPr>
            <w:tcW w:w="831" w:type="pct"/>
            <w:vAlign w:val="center"/>
          </w:tcPr>
          <w:p w14:paraId="2FFBF6C3">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弱</w:t>
            </w:r>
          </w:p>
        </w:tc>
        <w:tc>
          <w:tcPr>
            <w:tcW w:w="684" w:type="pct"/>
            <w:vAlign w:val="center"/>
          </w:tcPr>
          <w:p w14:paraId="70365D92">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易</w:t>
            </w:r>
            <w:r>
              <w:rPr>
                <w:snapToGrid w:val="0"/>
                <w:kern w:val="0"/>
                <w:szCs w:val="21"/>
              </w:rPr>
              <w:t>-</w:t>
            </w:r>
            <w:r>
              <w:rPr>
                <w:rFonts w:hAnsi="宋体"/>
                <w:snapToGrid w:val="0"/>
                <w:kern w:val="0"/>
                <w:szCs w:val="21"/>
              </w:rPr>
              <w:t>难</w:t>
            </w:r>
          </w:p>
        </w:tc>
        <w:tc>
          <w:tcPr>
            <w:tcW w:w="996" w:type="pct"/>
            <w:vMerge w:val="restart"/>
            <w:vAlign w:val="center"/>
          </w:tcPr>
          <w:p w14:paraId="70B095DC">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其他类别</w:t>
            </w:r>
          </w:p>
        </w:tc>
        <w:tc>
          <w:tcPr>
            <w:tcW w:w="1677" w:type="pct"/>
            <w:vMerge w:val="restart"/>
            <w:vAlign w:val="center"/>
          </w:tcPr>
          <w:p w14:paraId="41720172">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等效粘土防渗层</w:t>
            </w:r>
            <w:r>
              <w:rPr>
                <w:snapToGrid w:val="0"/>
                <w:kern w:val="0"/>
                <w:szCs w:val="21"/>
              </w:rPr>
              <w:t>Mb≥1.5m</w:t>
            </w:r>
            <w:r>
              <w:rPr>
                <w:rFonts w:hAnsi="宋体"/>
                <w:snapToGrid w:val="0"/>
                <w:kern w:val="0"/>
                <w:szCs w:val="21"/>
              </w:rPr>
              <w:t>，</w:t>
            </w:r>
            <w:r>
              <w:rPr>
                <w:snapToGrid w:val="0"/>
                <w:kern w:val="0"/>
                <w:szCs w:val="21"/>
              </w:rPr>
              <w:t>K≤1*10</w:t>
            </w:r>
            <w:r>
              <w:rPr>
                <w:snapToGrid w:val="0"/>
                <w:kern w:val="0"/>
                <w:szCs w:val="21"/>
                <w:vertAlign w:val="superscript"/>
              </w:rPr>
              <w:t>-7</w:t>
            </w:r>
            <w:r>
              <w:rPr>
                <w:snapToGrid w:val="0"/>
                <w:kern w:val="0"/>
                <w:szCs w:val="21"/>
              </w:rPr>
              <w:t>cm/s</w:t>
            </w:r>
          </w:p>
          <w:p w14:paraId="4DAE5B3D">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或参照</w:t>
            </w:r>
            <w:r>
              <w:rPr>
                <w:snapToGrid w:val="0"/>
                <w:kern w:val="0"/>
                <w:szCs w:val="21"/>
              </w:rPr>
              <w:t>GB18598</w:t>
            </w:r>
            <w:r>
              <w:rPr>
                <w:rFonts w:hAnsi="宋体"/>
                <w:snapToGrid w:val="0"/>
                <w:kern w:val="0"/>
                <w:szCs w:val="21"/>
              </w:rPr>
              <w:t>执行。</w:t>
            </w:r>
          </w:p>
        </w:tc>
      </w:tr>
      <w:tr w14:paraId="1ECA004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31" w:hRule="atLeast"/>
        </w:trPr>
        <w:tc>
          <w:tcPr>
            <w:tcW w:w="813" w:type="pct"/>
            <w:vMerge w:val="continue"/>
            <w:vAlign w:val="center"/>
          </w:tcPr>
          <w:p w14:paraId="527C230A">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p>
        </w:tc>
        <w:tc>
          <w:tcPr>
            <w:tcW w:w="831" w:type="pct"/>
            <w:vAlign w:val="center"/>
          </w:tcPr>
          <w:p w14:paraId="7F59296B">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中</w:t>
            </w:r>
            <w:r>
              <w:rPr>
                <w:snapToGrid w:val="0"/>
                <w:kern w:val="0"/>
                <w:szCs w:val="21"/>
              </w:rPr>
              <w:t>-</w:t>
            </w:r>
            <w:r>
              <w:rPr>
                <w:rFonts w:hAnsi="宋体"/>
                <w:snapToGrid w:val="0"/>
                <w:kern w:val="0"/>
                <w:szCs w:val="21"/>
              </w:rPr>
              <w:t>强</w:t>
            </w:r>
          </w:p>
        </w:tc>
        <w:tc>
          <w:tcPr>
            <w:tcW w:w="684" w:type="pct"/>
            <w:vAlign w:val="center"/>
          </w:tcPr>
          <w:p w14:paraId="1A96F891">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难</w:t>
            </w:r>
          </w:p>
        </w:tc>
        <w:tc>
          <w:tcPr>
            <w:tcW w:w="996" w:type="pct"/>
            <w:vMerge w:val="continue"/>
            <w:vAlign w:val="center"/>
          </w:tcPr>
          <w:p w14:paraId="2CCA8E8C">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p>
        </w:tc>
        <w:tc>
          <w:tcPr>
            <w:tcW w:w="1677" w:type="pct"/>
            <w:vMerge w:val="continue"/>
            <w:vAlign w:val="center"/>
          </w:tcPr>
          <w:p w14:paraId="71CB495A">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p>
        </w:tc>
      </w:tr>
      <w:tr w14:paraId="4833D73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151" w:hRule="atLeast"/>
        </w:trPr>
        <w:tc>
          <w:tcPr>
            <w:tcW w:w="813" w:type="pct"/>
            <w:vMerge w:val="continue"/>
            <w:vAlign w:val="center"/>
          </w:tcPr>
          <w:p w14:paraId="46786926">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p>
        </w:tc>
        <w:tc>
          <w:tcPr>
            <w:tcW w:w="831" w:type="pct"/>
            <w:vAlign w:val="center"/>
          </w:tcPr>
          <w:p w14:paraId="14669EBD">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中</w:t>
            </w:r>
          </w:p>
        </w:tc>
        <w:tc>
          <w:tcPr>
            <w:tcW w:w="684" w:type="pct"/>
            <w:vAlign w:val="center"/>
          </w:tcPr>
          <w:p w14:paraId="3FE47A86">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易</w:t>
            </w:r>
          </w:p>
        </w:tc>
        <w:tc>
          <w:tcPr>
            <w:tcW w:w="996" w:type="pct"/>
            <w:vMerge w:val="restart"/>
            <w:vAlign w:val="center"/>
          </w:tcPr>
          <w:p w14:paraId="3B3D338F">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重金属、</w:t>
            </w:r>
            <w:r>
              <w:rPr>
                <w:rFonts w:hint="eastAsia" w:hAnsi="宋体"/>
                <w:snapToGrid w:val="0"/>
                <w:kern w:val="0"/>
                <w:szCs w:val="21"/>
                <w:lang w:eastAsia="zh-CN"/>
              </w:rPr>
              <w:t>持久性有机污染物</w:t>
            </w:r>
          </w:p>
        </w:tc>
        <w:tc>
          <w:tcPr>
            <w:tcW w:w="1677" w:type="pct"/>
            <w:vMerge w:val="continue"/>
            <w:vAlign w:val="center"/>
          </w:tcPr>
          <w:p w14:paraId="35EFB65D">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p>
        </w:tc>
      </w:tr>
      <w:tr w14:paraId="5EBCAEE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2" w:hRule="atLeast"/>
        </w:trPr>
        <w:tc>
          <w:tcPr>
            <w:tcW w:w="813" w:type="pct"/>
            <w:vMerge w:val="continue"/>
            <w:vAlign w:val="center"/>
          </w:tcPr>
          <w:p w14:paraId="07D4331F">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p>
        </w:tc>
        <w:tc>
          <w:tcPr>
            <w:tcW w:w="831" w:type="pct"/>
            <w:vAlign w:val="center"/>
          </w:tcPr>
          <w:p w14:paraId="72B9F371">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强</w:t>
            </w:r>
          </w:p>
        </w:tc>
        <w:tc>
          <w:tcPr>
            <w:tcW w:w="684" w:type="pct"/>
            <w:vAlign w:val="center"/>
          </w:tcPr>
          <w:p w14:paraId="62BD2551">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易</w:t>
            </w:r>
          </w:p>
        </w:tc>
        <w:tc>
          <w:tcPr>
            <w:tcW w:w="996" w:type="pct"/>
            <w:vMerge w:val="continue"/>
            <w:vAlign w:val="center"/>
          </w:tcPr>
          <w:p w14:paraId="0D4D8A97">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p>
        </w:tc>
        <w:tc>
          <w:tcPr>
            <w:tcW w:w="1677" w:type="pct"/>
            <w:vMerge w:val="continue"/>
            <w:vAlign w:val="center"/>
          </w:tcPr>
          <w:p w14:paraId="72CA877D">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p>
        </w:tc>
      </w:tr>
      <w:tr w14:paraId="73FC0FA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7" w:hRule="atLeast"/>
        </w:trPr>
        <w:tc>
          <w:tcPr>
            <w:tcW w:w="813" w:type="pct"/>
            <w:vAlign w:val="center"/>
          </w:tcPr>
          <w:p w14:paraId="078FEFA7">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简单防渗区</w:t>
            </w:r>
          </w:p>
        </w:tc>
        <w:tc>
          <w:tcPr>
            <w:tcW w:w="831" w:type="pct"/>
            <w:vAlign w:val="center"/>
          </w:tcPr>
          <w:p w14:paraId="37E99191">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中</w:t>
            </w:r>
            <w:r>
              <w:rPr>
                <w:snapToGrid w:val="0"/>
                <w:kern w:val="0"/>
                <w:szCs w:val="21"/>
              </w:rPr>
              <w:t>-</w:t>
            </w:r>
            <w:r>
              <w:rPr>
                <w:rFonts w:hAnsi="宋体"/>
                <w:snapToGrid w:val="0"/>
                <w:kern w:val="0"/>
                <w:szCs w:val="21"/>
              </w:rPr>
              <w:t>强</w:t>
            </w:r>
          </w:p>
        </w:tc>
        <w:tc>
          <w:tcPr>
            <w:tcW w:w="684" w:type="pct"/>
            <w:vAlign w:val="center"/>
          </w:tcPr>
          <w:p w14:paraId="16822E7C">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易</w:t>
            </w:r>
          </w:p>
        </w:tc>
        <w:tc>
          <w:tcPr>
            <w:tcW w:w="996" w:type="pct"/>
            <w:vAlign w:val="center"/>
          </w:tcPr>
          <w:p w14:paraId="1B3E177A">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其他类型</w:t>
            </w:r>
          </w:p>
        </w:tc>
        <w:tc>
          <w:tcPr>
            <w:tcW w:w="1677" w:type="pct"/>
            <w:vAlign w:val="center"/>
          </w:tcPr>
          <w:p w14:paraId="38176149">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一般地面硬化</w:t>
            </w:r>
          </w:p>
        </w:tc>
      </w:tr>
    </w:tbl>
    <w:p w14:paraId="27F237BE">
      <w:pPr>
        <w:spacing w:before="0" w:beforeLines="0" w:line="360" w:lineRule="auto"/>
        <w:ind w:firstLine="480" w:firstLineChars="200"/>
        <w:rPr>
          <w:snapToGrid w:val="0"/>
          <w:kern w:val="0"/>
          <w:sz w:val="24"/>
        </w:rPr>
      </w:pPr>
      <w:r>
        <w:rPr>
          <w:rFonts w:hint="eastAsia"/>
          <w:snapToGrid w:val="0"/>
          <w:kern w:val="0"/>
          <w:sz w:val="24"/>
        </w:rPr>
        <w:t>根据现场调查本项目分为重点防渗区、一般防渗区和简单防渗区。分区详情见表</w:t>
      </w:r>
      <w:r>
        <w:rPr>
          <w:snapToGrid w:val="0"/>
          <w:kern w:val="0"/>
          <w:sz w:val="24"/>
        </w:rPr>
        <w:t>6.2-6</w:t>
      </w:r>
      <w:r>
        <w:rPr>
          <w:rFonts w:hint="eastAsia"/>
          <w:snapToGrid w:val="0"/>
          <w:kern w:val="0"/>
          <w:sz w:val="24"/>
        </w:rPr>
        <w:t>，污染防治分区图详见图</w:t>
      </w:r>
      <w:r>
        <w:rPr>
          <w:snapToGrid w:val="0"/>
          <w:kern w:val="0"/>
          <w:sz w:val="24"/>
        </w:rPr>
        <w:t>6.2-2</w:t>
      </w:r>
      <w:r>
        <w:rPr>
          <w:rFonts w:hint="eastAsia"/>
          <w:snapToGrid w:val="0"/>
          <w:kern w:val="0"/>
          <w:sz w:val="24"/>
        </w:rPr>
        <w:t>。</w:t>
      </w:r>
    </w:p>
    <w:p w14:paraId="12512A0D">
      <w:pPr>
        <w:spacing w:before="156" w:beforeLines="50" w:line="240" w:lineRule="auto"/>
        <w:jc w:val="center"/>
        <w:rPr>
          <w:b/>
          <w:bCs/>
        </w:rPr>
      </w:pPr>
      <w:r>
        <w:rPr>
          <w:rFonts w:hint="eastAsia"/>
          <w:b/>
          <w:bCs/>
        </w:rPr>
        <w:t>表</w:t>
      </w:r>
      <w:r>
        <w:rPr>
          <w:b/>
          <w:bCs/>
        </w:rPr>
        <w:t xml:space="preserve">6.2-6 </w:t>
      </w:r>
      <w:r>
        <w:rPr>
          <w:rFonts w:hint="eastAsia"/>
          <w:b/>
          <w:bCs/>
        </w:rPr>
        <w:t xml:space="preserve"> 地下水污染防控分区一览表</w:t>
      </w:r>
    </w:p>
    <w:tbl>
      <w:tblPr>
        <w:tblStyle w:val="89"/>
        <w:tblW w:w="5000" w:type="pct"/>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6" w:space="0"/>
        </w:tblBorders>
        <w:tblLayout w:type="autofit"/>
        <w:tblCellMar>
          <w:top w:w="0" w:type="dxa"/>
          <w:left w:w="108" w:type="dxa"/>
          <w:bottom w:w="0" w:type="dxa"/>
          <w:right w:w="108" w:type="dxa"/>
        </w:tblCellMar>
      </w:tblPr>
      <w:tblGrid>
        <w:gridCol w:w="427"/>
        <w:gridCol w:w="791"/>
        <w:gridCol w:w="2326"/>
        <w:gridCol w:w="851"/>
        <w:gridCol w:w="1556"/>
        <w:gridCol w:w="2361"/>
      </w:tblGrid>
      <w:tr w14:paraId="441968FF">
        <w:tblPrEx>
          <w:tblBorders>
            <w:top w:val="single" w:color="000000" w:sz="12" w:space="0"/>
            <w:left w:val="none" w:color="auto" w:sz="0" w:space="0"/>
            <w:bottom w:val="single" w:color="000000" w:sz="12" w:space="0"/>
            <w:right w:val="none" w:color="auto" w:sz="0" w:space="0"/>
            <w:insideH w:val="single" w:color="000000" w:sz="4" w:space="0"/>
            <w:insideV w:val="single" w:color="000000" w:sz="6" w:space="0"/>
          </w:tblBorders>
          <w:tblCellMar>
            <w:top w:w="0" w:type="dxa"/>
            <w:left w:w="108" w:type="dxa"/>
            <w:bottom w:w="0" w:type="dxa"/>
            <w:right w:w="108" w:type="dxa"/>
          </w:tblCellMar>
        </w:tblPrEx>
        <w:trPr>
          <w:trHeight w:val="340" w:hRule="atLeast"/>
        </w:trPr>
        <w:tc>
          <w:tcPr>
            <w:tcW w:w="257" w:type="pct"/>
            <w:vAlign w:val="center"/>
          </w:tcPr>
          <w:p w14:paraId="4EC6E6C6">
            <w:pPr>
              <w:spacing w:before="0" w:beforeLines="0" w:line="240" w:lineRule="auto"/>
              <w:jc w:val="center"/>
              <w:rPr>
                <w:caps/>
                <w:szCs w:val="21"/>
              </w:rPr>
            </w:pPr>
            <w:r>
              <w:rPr>
                <w:rFonts w:hint="eastAsia"/>
                <w:caps/>
                <w:szCs w:val="21"/>
              </w:rPr>
              <w:t>序号</w:t>
            </w:r>
          </w:p>
        </w:tc>
        <w:tc>
          <w:tcPr>
            <w:tcW w:w="476" w:type="pct"/>
            <w:vAlign w:val="center"/>
          </w:tcPr>
          <w:p w14:paraId="3F9020A8">
            <w:pPr>
              <w:spacing w:before="0" w:beforeLines="0" w:line="240" w:lineRule="auto"/>
              <w:jc w:val="center"/>
              <w:rPr>
                <w:caps/>
                <w:szCs w:val="21"/>
              </w:rPr>
            </w:pPr>
            <w:r>
              <w:rPr>
                <w:rFonts w:hint="eastAsia"/>
                <w:caps/>
                <w:szCs w:val="21"/>
              </w:rPr>
              <w:t>污染防控分区</w:t>
            </w:r>
          </w:p>
        </w:tc>
        <w:tc>
          <w:tcPr>
            <w:tcW w:w="1399" w:type="pct"/>
            <w:vAlign w:val="center"/>
          </w:tcPr>
          <w:p w14:paraId="1741A7FF">
            <w:pPr>
              <w:spacing w:before="0" w:beforeLines="0" w:line="240" w:lineRule="auto"/>
              <w:jc w:val="center"/>
              <w:rPr>
                <w:caps/>
                <w:szCs w:val="21"/>
              </w:rPr>
            </w:pPr>
            <w:r>
              <w:rPr>
                <w:rFonts w:hint="eastAsia"/>
                <w:caps/>
                <w:szCs w:val="21"/>
              </w:rPr>
              <w:t>生产装置、单元名称</w:t>
            </w:r>
          </w:p>
        </w:tc>
        <w:tc>
          <w:tcPr>
            <w:tcW w:w="512" w:type="pct"/>
            <w:vAlign w:val="center"/>
          </w:tcPr>
          <w:p w14:paraId="4CD6A8BE">
            <w:pPr>
              <w:spacing w:before="0" w:beforeLines="0" w:line="240" w:lineRule="auto"/>
              <w:jc w:val="center"/>
              <w:rPr>
                <w:caps/>
                <w:szCs w:val="21"/>
              </w:rPr>
            </w:pPr>
            <w:r>
              <w:rPr>
                <w:rFonts w:hint="eastAsia"/>
                <w:caps/>
                <w:szCs w:val="21"/>
              </w:rPr>
              <w:t>污染防控区域及部位</w:t>
            </w:r>
          </w:p>
        </w:tc>
        <w:tc>
          <w:tcPr>
            <w:tcW w:w="2356" w:type="pct"/>
            <w:gridSpan w:val="2"/>
            <w:vAlign w:val="center"/>
          </w:tcPr>
          <w:p w14:paraId="62146952">
            <w:pPr>
              <w:spacing w:before="0" w:beforeLines="0" w:line="240" w:lineRule="auto"/>
              <w:jc w:val="center"/>
              <w:rPr>
                <w:caps/>
                <w:szCs w:val="21"/>
              </w:rPr>
            </w:pPr>
            <w:r>
              <w:rPr>
                <w:rFonts w:hint="eastAsia"/>
                <w:caps/>
                <w:szCs w:val="21"/>
              </w:rPr>
              <w:t>防渗要求</w:t>
            </w:r>
          </w:p>
        </w:tc>
      </w:tr>
      <w:tr w14:paraId="0160A066">
        <w:tblPrEx>
          <w:tblBorders>
            <w:top w:val="single" w:color="000000" w:sz="12" w:space="0"/>
            <w:left w:val="none" w:color="auto" w:sz="0" w:space="0"/>
            <w:bottom w:val="single" w:color="000000" w:sz="12" w:space="0"/>
            <w:right w:val="none" w:color="auto" w:sz="0" w:space="0"/>
            <w:insideH w:val="single" w:color="000000" w:sz="4" w:space="0"/>
            <w:insideV w:val="single" w:color="000000" w:sz="6" w:space="0"/>
          </w:tblBorders>
          <w:tblCellMar>
            <w:top w:w="0" w:type="dxa"/>
            <w:left w:w="108" w:type="dxa"/>
            <w:bottom w:w="0" w:type="dxa"/>
            <w:right w:w="108" w:type="dxa"/>
          </w:tblCellMar>
        </w:tblPrEx>
        <w:trPr>
          <w:trHeight w:val="1654" w:hRule="atLeast"/>
        </w:trPr>
        <w:tc>
          <w:tcPr>
            <w:tcW w:w="257" w:type="pct"/>
            <w:vAlign w:val="center"/>
          </w:tcPr>
          <w:p w14:paraId="1DDDE24B">
            <w:pPr>
              <w:spacing w:before="0" w:beforeLines="0" w:line="240" w:lineRule="auto"/>
              <w:jc w:val="center"/>
              <w:rPr>
                <w:szCs w:val="21"/>
              </w:rPr>
            </w:pPr>
            <w:r>
              <w:rPr>
                <w:rFonts w:hint="eastAsia"/>
                <w:szCs w:val="21"/>
              </w:rPr>
              <w:t>1</w:t>
            </w:r>
          </w:p>
        </w:tc>
        <w:tc>
          <w:tcPr>
            <w:tcW w:w="476" w:type="pct"/>
            <w:vAlign w:val="center"/>
          </w:tcPr>
          <w:p w14:paraId="643F210C">
            <w:pPr>
              <w:spacing w:before="0" w:beforeLines="0" w:line="240" w:lineRule="auto"/>
              <w:jc w:val="center"/>
              <w:rPr>
                <w:szCs w:val="21"/>
              </w:rPr>
            </w:pPr>
            <w:r>
              <w:rPr>
                <w:rFonts w:hint="eastAsia"/>
                <w:szCs w:val="21"/>
              </w:rPr>
              <w:t>重点防渗区</w:t>
            </w:r>
          </w:p>
        </w:tc>
        <w:tc>
          <w:tcPr>
            <w:tcW w:w="1399" w:type="pct"/>
            <w:vAlign w:val="center"/>
          </w:tcPr>
          <w:p w14:paraId="64E3C656">
            <w:pPr>
              <w:spacing w:before="0" w:beforeLines="0" w:line="240" w:lineRule="auto"/>
              <w:jc w:val="center"/>
              <w:rPr>
                <w:szCs w:val="21"/>
              </w:rPr>
            </w:pPr>
            <w:r>
              <w:rPr>
                <w:rFonts w:hint="eastAsia"/>
                <w:szCs w:val="21"/>
              </w:rPr>
              <w:t>危废贮存、浓缩罐、压滤车间、物料池、循环水池等</w:t>
            </w:r>
          </w:p>
        </w:tc>
        <w:tc>
          <w:tcPr>
            <w:tcW w:w="512" w:type="pct"/>
            <w:vAlign w:val="center"/>
          </w:tcPr>
          <w:p w14:paraId="113CD08C">
            <w:pPr>
              <w:spacing w:before="0" w:beforeLines="0" w:line="240" w:lineRule="auto"/>
              <w:jc w:val="center"/>
              <w:rPr>
                <w:szCs w:val="21"/>
              </w:rPr>
            </w:pPr>
            <w:r>
              <w:rPr>
                <w:rFonts w:hint="eastAsia"/>
                <w:szCs w:val="21"/>
              </w:rPr>
              <w:t>地面、侧壁</w:t>
            </w:r>
          </w:p>
        </w:tc>
        <w:tc>
          <w:tcPr>
            <w:tcW w:w="936" w:type="pct"/>
            <w:vAlign w:val="center"/>
          </w:tcPr>
          <w:p w14:paraId="651955A3">
            <w:pPr>
              <w:spacing w:before="0" w:beforeLines="0" w:line="240" w:lineRule="auto"/>
              <w:jc w:val="center"/>
              <w:rPr>
                <w:szCs w:val="21"/>
              </w:rPr>
            </w:pPr>
            <w:r>
              <w:rPr>
                <w:rFonts w:hint="eastAsia"/>
                <w:szCs w:val="21"/>
              </w:rPr>
              <w:t>防渗性能不应低于</w:t>
            </w:r>
            <w:r>
              <w:rPr>
                <w:szCs w:val="21"/>
              </w:rPr>
              <w:t>1.5m厚渗透系数为1.0×10</w:t>
            </w:r>
            <w:r>
              <w:rPr>
                <w:szCs w:val="21"/>
                <w:vertAlign w:val="superscript"/>
              </w:rPr>
              <w:t>-7</w:t>
            </w:r>
            <w:r>
              <w:rPr>
                <w:szCs w:val="21"/>
              </w:rPr>
              <w:t>cm/s的粘土层的防渗性能。</w:t>
            </w:r>
          </w:p>
        </w:tc>
        <w:tc>
          <w:tcPr>
            <w:tcW w:w="1420" w:type="pct"/>
            <w:vAlign w:val="center"/>
          </w:tcPr>
          <w:p w14:paraId="17F732B2">
            <w:pPr>
              <w:spacing w:before="0" w:beforeLines="0" w:line="240" w:lineRule="auto"/>
              <w:jc w:val="center"/>
            </w:pPr>
            <w:r>
              <w:rPr>
                <w:rFonts w:hint="eastAsia"/>
                <w:szCs w:val="21"/>
              </w:rPr>
              <w:t>地面防渗层可采用粘土、抗渗混凝土、高密度聚乙烯</w:t>
            </w:r>
            <w:r>
              <w:rPr>
                <w:szCs w:val="21"/>
              </w:rPr>
              <w:t>(HDPE) 膜、钠基膨润土防水毯或其他防渗性能等效的材料</w:t>
            </w:r>
            <w:r>
              <w:rPr>
                <w:rFonts w:hint="eastAsia"/>
              </w:rPr>
              <w:t>。</w:t>
            </w:r>
          </w:p>
        </w:tc>
      </w:tr>
      <w:tr w14:paraId="296DD6D0">
        <w:tblPrEx>
          <w:tblBorders>
            <w:top w:val="single" w:color="000000" w:sz="12" w:space="0"/>
            <w:left w:val="none" w:color="auto" w:sz="0" w:space="0"/>
            <w:bottom w:val="single" w:color="000000" w:sz="12" w:space="0"/>
            <w:right w:val="none" w:color="auto" w:sz="0" w:space="0"/>
            <w:insideH w:val="single" w:color="000000" w:sz="4" w:space="0"/>
            <w:insideV w:val="single" w:color="000000" w:sz="6" w:space="0"/>
          </w:tblBorders>
          <w:tblCellMar>
            <w:top w:w="0" w:type="dxa"/>
            <w:left w:w="108" w:type="dxa"/>
            <w:bottom w:w="0" w:type="dxa"/>
            <w:right w:w="108" w:type="dxa"/>
          </w:tblCellMar>
        </w:tblPrEx>
        <w:trPr>
          <w:trHeight w:val="1644" w:hRule="atLeast"/>
        </w:trPr>
        <w:tc>
          <w:tcPr>
            <w:tcW w:w="257" w:type="pct"/>
            <w:vAlign w:val="center"/>
          </w:tcPr>
          <w:p w14:paraId="72F61256">
            <w:pPr>
              <w:spacing w:before="0" w:beforeLines="0" w:line="240" w:lineRule="auto"/>
              <w:jc w:val="center"/>
              <w:rPr>
                <w:szCs w:val="21"/>
              </w:rPr>
            </w:pPr>
            <w:r>
              <w:rPr>
                <w:rFonts w:hint="eastAsia"/>
                <w:szCs w:val="21"/>
              </w:rPr>
              <w:t>2</w:t>
            </w:r>
          </w:p>
        </w:tc>
        <w:tc>
          <w:tcPr>
            <w:tcW w:w="476" w:type="pct"/>
            <w:vAlign w:val="center"/>
          </w:tcPr>
          <w:p w14:paraId="652A70AA">
            <w:pPr>
              <w:spacing w:before="0" w:beforeLines="0" w:line="240" w:lineRule="auto"/>
              <w:jc w:val="center"/>
              <w:rPr>
                <w:szCs w:val="21"/>
              </w:rPr>
            </w:pPr>
            <w:r>
              <w:rPr>
                <w:rFonts w:hint="eastAsia"/>
                <w:szCs w:val="21"/>
              </w:rPr>
              <w:t>一般防渗区</w:t>
            </w:r>
          </w:p>
        </w:tc>
        <w:tc>
          <w:tcPr>
            <w:tcW w:w="1399" w:type="pct"/>
            <w:vAlign w:val="center"/>
          </w:tcPr>
          <w:p w14:paraId="28312611">
            <w:pPr>
              <w:spacing w:before="0" w:beforeLines="0" w:line="240" w:lineRule="auto"/>
              <w:jc w:val="center"/>
              <w:rPr>
                <w:szCs w:val="21"/>
              </w:rPr>
            </w:pPr>
            <w:r>
              <w:rPr>
                <w:rFonts w:hint="eastAsia"/>
                <w:szCs w:val="21"/>
              </w:rPr>
              <w:t>抛砂车间、机制砂库、重选车间、球磨车间、破碎车间</w:t>
            </w:r>
          </w:p>
        </w:tc>
        <w:tc>
          <w:tcPr>
            <w:tcW w:w="512" w:type="pct"/>
            <w:vAlign w:val="center"/>
          </w:tcPr>
          <w:p w14:paraId="008E1AC5">
            <w:pPr>
              <w:spacing w:before="0" w:beforeLines="0" w:line="240" w:lineRule="auto"/>
              <w:jc w:val="center"/>
              <w:rPr>
                <w:szCs w:val="21"/>
              </w:rPr>
            </w:pPr>
            <w:r>
              <w:rPr>
                <w:rFonts w:hint="eastAsia"/>
                <w:szCs w:val="21"/>
              </w:rPr>
              <w:t>地面</w:t>
            </w:r>
          </w:p>
        </w:tc>
        <w:tc>
          <w:tcPr>
            <w:tcW w:w="936" w:type="pct"/>
            <w:vAlign w:val="center"/>
          </w:tcPr>
          <w:p w14:paraId="66A59AB5">
            <w:pPr>
              <w:spacing w:before="0" w:beforeLines="0" w:line="240" w:lineRule="auto"/>
              <w:jc w:val="center"/>
              <w:rPr>
                <w:szCs w:val="21"/>
              </w:rPr>
            </w:pPr>
            <w:r>
              <w:rPr>
                <w:rFonts w:hint="eastAsia"/>
                <w:szCs w:val="21"/>
              </w:rPr>
              <w:t>防渗性能不应低于</w:t>
            </w:r>
            <w:r>
              <w:rPr>
                <w:szCs w:val="21"/>
              </w:rPr>
              <w:t>6.0m厚渗透系数为1.0×10</w:t>
            </w:r>
            <w:r>
              <w:rPr>
                <w:szCs w:val="21"/>
                <w:vertAlign w:val="superscript"/>
              </w:rPr>
              <w:t>-7</w:t>
            </w:r>
            <w:r>
              <w:rPr>
                <w:szCs w:val="21"/>
              </w:rPr>
              <w:t>cm/s的粘土层的防渗性能</w:t>
            </w:r>
            <w:r>
              <w:rPr>
                <w:rFonts w:hint="eastAsia"/>
                <w:szCs w:val="21"/>
              </w:rPr>
              <w:t>。</w:t>
            </w:r>
          </w:p>
        </w:tc>
        <w:tc>
          <w:tcPr>
            <w:tcW w:w="1420" w:type="pct"/>
            <w:vAlign w:val="center"/>
          </w:tcPr>
          <w:p w14:paraId="7A2CF2DC">
            <w:pPr>
              <w:spacing w:before="0" w:beforeLines="0" w:line="240" w:lineRule="auto"/>
              <w:jc w:val="center"/>
              <w:rPr>
                <w:szCs w:val="21"/>
              </w:rPr>
            </w:pPr>
            <w:r>
              <w:rPr>
                <w:rFonts w:hint="eastAsia"/>
                <w:szCs w:val="21"/>
              </w:rPr>
              <w:t>内表面应涂刷水泥基渗透结晶型防水涂料，或在混凝土内掺加水泥基渗透结晶型防水剂。</w:t>
            </w:r>
          </w:p>
        </w:tc>
      </w:tr>
      <w:tr w14:paraId="67492631">
        <w:tblPrEx>
          <w:tblBorders>
            <w:top w:val="single" w:color="000000" w:sz="12" w:space="0"/>
            <w:left w:val="none" w:color="auto" w:sz="0" w:space="0"/>
            <w:bottom w:val="single" w:color="000000" w:sz="12" w:space="0"/>
            <w:right w:val="none" w:color="auto" w:sz="0" w:space="0"/>
            <w:insideH w:val="single" w:color="000000" w:sz="4" w:space="0"/>
            <w:insideV w:val="single" w:color="000000" w:sz="6" w:space="0"/>
          </w:tblBorders>
          <w:tblCellMar>
            <w:top w:w="0" w:type="dxa"/>
            <w:left w:w="108" w:type="dxa"/>
            <w:bottom w:w="0" w:type="dxa"/>
            <w:right w:w="108" w:type="dxa"/>
          </w:tblCellMar>
        </w:tblPrEx>
        <w:trPr>
          <w:trHeight w:val="340" w:hRule="atLeast"/>
        </w:trPr>
        <w:tc>
          <w:tcPr>
            <w:tcW w:w="257" w:type="pct"/>
            <w:vAlign w:val="center"/>
          </w:tcPr>
          <w:p w14:paraId="75D6AAD2">
            <w:pPr>
              <w:spacing w:before="0" w:beforeLines="0" w:line="240" w:lineRule="auto"/>
              <w:jc w:val="center"/>
              <w:rPr>
                <w:szCs w:val="21"/>
              </w:rPr>
            </w:pPr>
            <w:r>
              <w:rPr>
                <w:rFonts w:hint="eastAsia"/>
                <w:szCs w:val="21"/>
              </w:rPr>
              <w:t>3</w:t>
            </w:r>
          </w:p>
        </w:tc>
        <w:tc>
          <w:tcPr>
            <w:tcW w:w="476" w:type="pct"/>
            <w:vAlign w:val="center"/>
          </w:tcPr>
          <w:p w14:paraId="47644282">
            <w:pPr>
              <w:spacing w:before="0" w:beforeLines="0" w:line="240" w:lineRule="auto"/>
              <w:jc w:val="center"/>
              <w:rPr>
                <w:szCs w:val="21"/>
              </w:rPr>
            </w:pPr>
            <w:r>
              <w:rPr>
                <w:rFonts w:hint="eastAsia"/>
                <w:szCs w:val="21"/>
              </w:rPr>
              <w:t>简单防渗区</w:t>
            </w:r>
          </w:p>
        </w:tc>
        <w:tc>
          <w:tcPr>
            <w:tcW w:w="1399" w:type="pct"/>
            <w:vAlign w:val="center"/>
          </w:tcPr>
          <w:p w14:paraId="6C5857C1">
            <w:pPr>
              <w:spacing w:before="0" w:beforeLines="0" w:line="240" w:lineRule="auto"/>
              <w:jc w:val="center"/>
              <w:rPr>
                <w:szCs w:val="21"/>
              </w:rPr>
            </w:pPr>
            <w:r>
              <w:rPr>
                <w:rFonts w:hint="eastAsia"/>
                <w:szCs w:val="21"/>
              </w:rPr>
              <w:t>其他</w:t>
            </w:r>
          </w:p>
        </w:tc>
        <w:tc>
          <w:tcPr>
            <w:tcW w:w="512" w:type="pct"/>
            <w:vAlign w:val="center"/>
          </w:tcPr>
          <w:p w14:paraId="142B81D9">
            <w:pPr>
              <w:spacing w:before="0" w:beforeLines="0" w:line="240" w:lineRule="auto"/>
              <w:jc w:val="center"/>
              <w:rPr>
                <w:szCs w:val="21"/>
              </w:rPr>
            </w:pPr>
            <w:r>
              <w:rPr>
                <w:rFonts w:hint="eastAsia"/>
                <w:szCs w:val="21"/>
              </w:rPr>
              <w:t>-</w:t>
            </w:r>
          </w:p>
        </w:tc>
        <w:tc>
          <w:tcPr>
            <w:tcW w:w="2356" w:type="pct"/>
            <w:gridSpan w:val="2"/>
            <w:vAlign w:val="center"/>
          </w:tcPr>
          <w:p w14:paraId="642129B0">
            <w:pPr>
              <w:spacing w:before="0" w:beforeLines="0" w:line="240" w:lineRule="auto"/>
              <w:jc w:val="center"/>
              <w:rPr>
                <w:szCs w:val="21"/>
              </w:rPr>
            </w:pPr>
            <w:r>
              <w:rPr>
                <w:rFonts w:hint="eastAsia"/>
                <w:szCs w:val="21"/>
              </w:rPr>
              <w:t>为防止污染区的污染物漫流到简单防渗区，需要采取有效的措施，如设置在地势较高处，或设置一定高度的围堰、边沟等</w:t>
            </w:r>
          </w:p>
        </w:tc>
      </w:tr>
    </w:tbl>
    <w:p w14:paraId="7C4B1D28">
      <w:pPr>
        <w:adjustRightInd w:val="0"/>
        <w:snapToGrid w:val="0"/>
        <w:spacing w:before="0" w:beforeLines="0" w:line="360" w:lineRule="auto"/>
        <w:jc w:val="center"/>
        <w:rPr>
          <w:snapToGrid w:val="0"/>
          <w:kern w:val="0"/>
          <w:sz w:val="24"/>
        </w:rPr>
      </w:pPr>
      <w:r>
        <mc:AlternateContent>
          <mc:Choice Requires="wps">
            <w:drawing>
              <wp:anchor distT="0" distB="0" distL="114300" distR="114300" simplePos="0" relativeHeight="251693056" behindDoc="0" locked="0" layoutInCell="1" allowOverlap="1">
                <wp:simplePos x="0" y="0"/>
                <wp:positionH relativeFrom="column">
                  <wp:posOffset>4166870</wp:posOffset>
                </wp:positionH>
                <wp:positionV relativeFrom="paragraph">
                  <wp:posOffset>3020060</wp:posOffset>
                </wp:positionV>
                <wp:extent cx="103505" cy="69215"/>
                <wp:effectExtent l="0" t="0" r="0" b="7620"/>
                <wp:wrapNone/>
                <wp:docPr id="314905141" name="矩形 20"/>
                <wp:cNvGraphicFramePr/>
                <a:graphic xmlns:a="http://schemas.openxmlformats.org/drawingml/2006/main">
                  <a:graphicData uri="http://schemas.microsoft.com/office/word/2010/wordprocessingShape">
                    <wps:wsp>
                      <wps:cNvSpPr/>
                      <wps:spPr>
                        <a:xfrm flipV="1">
                          <a:off x="0" y="0"/>
                          <a:ext cx="103538" cy="69149"/>
                        </a:xfrm>
                        <a:prstGeom prst="rect">
                          <a:avLst/>
                        </a:prstGeom>
                        <a:solidFill>
                          <a:srgbClr val="FF0000">
                            <a:alpha val="70000"/>
                          </a:srgbClr>
                        </a:solidFill>
                        <a:ln>
                          <a:noFill/>
                        </a:ln>
                      </wps:spPr>
                      <wps:bodyPr upright="1"/>
                    </wps:wsp>
                  </a:graphicData>
                </a:graphic>
              </wp:anchor>
            </w:drawing>
          </mc:Choice>
          <mc:Fallback>
            <w:pict>
              <v:rect id="矩形 20" o:spid="_x0000_s1026" o:spt="1" style="position:absolute;left:0pt;flip:y;margin-left:328.1pt;margin-top:237.8pt;height:5.45pt;width:8.15pt;z-index:251693056;mso-width-relative:page;mso-height-relative:page;" fillcolor="#FF0000" filled="t" stroked="f" coordsize="21600,21600" o:gfxdata="UEsDBAoAAAAAAIdO4kAAAAAAAAAAAAAAAAAEAAAAZHJzL1BLAwQUAAAACACHTuJAv52NBtkAAAAL&#10;AQAADwAAAGRycy9kb3ducmV2LnhtbE2P0UrDQBBF3wX/YRmhb3bTYLYhZlNKQQpFBKsfsMmOSTA7&#10;m2a3bfTrHZ/0cWYOd84tN7MbxAWn0HvSsFomIJAab3tqNby/Pd3nIEI0ZM3gCTV8YYBNdXtTmsL6&#10;K73i5RhbwSEUCqOhi3EspAxNh86EpR+R+PbhJ2cij1Mr7WSuHO4GmSaJks70xB86M+Kuw+bzeHYa&#10;6pP/9i9q+4z7fb5VAe1hnq3Wi7tV8ggi4hz/YPjVZ3Wo2Kn2Z7JBDBpUplJGNTysMwWCCbVOMxA1&#10;b3KVgaxK+b9D9QNQSwMEFAAAAAgAh07iQFPS87TMAQAAkQMAAA4AAABkcnMvZTJvRG9jLnhtbK2T&#10;zY7TMBDH70i8g+U7TdLuLmzUdA9U5YJgpV24u46dWPKXxm7TPg0SNx6Cx0G8BmO7dD+47IEcIntm&#10;8vP8/+Msbw5Gk72AoJztaDOrKRGWu17ZoaNf7jdv3lESIrM9086Kjh5FoDer16+Wk2/F3I1O9wII&#10;QmxoJ9/RMUbfVlXgozAszJwXFpPSgWERtzBUPbAJ6UZX87q+qiYHvQfHRQgYXZckPRHhJUAnpeJi&#10;7fjOCBsLFYRmESWFUflAV7lbKQWPn6UMIhLdUVQa8xsPwfU2vavVkrUDMD8qfmqBvaSFZ5oMUxYP&#10;PaPWLDKyA/UPyigOLjgZZ9yZqgjJjqCKpn7mzd3IvMha0Orgz6aH/4fln/a3QFTf0UVzcV1fNhcN&#10;JZYZHPzvbz9+/fxO5tmkyYcWa+/8LaBlaRdwmRQfJBgitfJf8TZlD1AVOWSLj2eLxSESjsGmXlwu&#10;8IZxTF1d45FpAlWhJJqHED8IZ0hadBRwgJnJ9h9DLKV/S1J5cFr1G6V13sCwfa+B7BkOe7Op8Snf&#10;aj+yEn2bg4UTSnk+/glH20SzLnFLaYpUD6LTauv6Izq386CGETttspCUwUll5ulWpavweJ9JD3/S&#10;6g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C/nY0G2QAAAAsBAAAPAAAAAAAAAAEAIAAAACIAAABk&#10;cnMvZG93bnJldi54bWxQSwECFAAUAAAACACHTuJAU9LztMwBAACRAwAADgAAAAAAAAABACAAAAAo&#10;AQAAZHJzL2Uyb0RvYy54bWxQSwUGAAAAAAYABgBZAQAAZgUAAAAA&#10;">
                <v:fill on="t" opacity="45875f" focussize="0,0"/>
                <v:stroke on="f"/>
                <v:imagedata o:title=""/>
                <o:lock v:ext="edit" aspectratio="f"/>
              </v:rect>
            </w:pict>
          </mc:Fallback>
        </mc:AlternateContent>
      </w:r>
      <w:r>
        <mc:AlternateContent>
          <mc:Choice Requires="wps">
            <w:drawing>
              <wp:anchor distT="0" distB="0" distL="114300" distR="114300" simplePos="0" relativeHeight="251692032" behindDoc="0" locked="0" layoutInCell="1" allowOverlap="1">
                <wp:simplePos x="0" y="0"/>
                <wp:positionH relativeFrom="column">
                  <wp:posOffset>2830830</wp:posOffset>
                </wp:positionH>
                <wp:positionV relativeFrom="paragraph">
                  <wp:posOffset>2528570</wp:posOffset>
                </wp:positionV>
                <wp:extent cx="1438275" cy="561975"/>
                <wp:effectExtent l="0" t="0" r="9525" b="9525"/>
                <wp:wrapNone/>
                <wp:docPr id="368316893" name="矩形 14"/>
                <wp:cNvGraphicFramePr/>
                <a:graphic xmlns:a="http://schemas.openxmlformats.org/drawingml/2006/main">
                  <a:graphicData uri="http://schemas.microsoft.com/office/word/2010/wordprocessingShape">
                    <wps:wsp>
                      <wps:cNvSpPr/>
                      <wps:spPr>
                        <a:xfrm>
                          <a:off x="0" y="0"/>
                          <a:ext cx="1438275" cy="561975"/>
                        </a:xfrm>
                        <a:prstGeom prst="rect">
                          <a:avLst/>
                        </a:prstGeom>
                        <a:solidFill>
                          <a:srgbClr val="00B050">
                            <a:alpha val="70000"/>
                          </a:srgbClr>
                        </a:solidFill>
                        <a:ln>
                          <a:noFill/>
                        </a:ln>
                      </wps:spPr>
                      <wps:bodyPr upright="1"/>
                    </wps:wsp>
                  </a:graphicData>
                </a:graphic>
              </wp:anchor>
            </w:drawing>
          </mc:Choice>
          <mc:Fallback>
            <w:pict>
              <v:rect id="矩形 14" o:spid="_x0000_s1026" o:spt="1" style="position:absolute;left:0pt;margin-left:222.9pt;margin-top:199.1pt;height:44.25pt;width:113.25pt;z-index:251692032;mso-width-relative:page;mso-height-relative:page;" fillcolor="#00B050" filled="t" stroked="f" coordsize="21600,21600" o:gfxdata="UEsDBAoAAAAAAIdO4kAAAAAAAAAAAAAAAAAEAAAAZHJzL1BLAwQUAAAACACHTuJA6qCF69oAAAAL&#10;AQAADwAAAGRycy9kb3ducmV2LnhtbE2PzU7DMBCE70i8g7VIXBB1mrZpCHEqtdATVIgCdzdekoC9&#10;jmL3h7dne4LjaEYz35SLk7PigEPoPCkYjxIQSLU3HTUK3t/WtzmIEDUZbT2hgh8MsKguL0pdGH+k&#10;VzxsYyO4hEKhFbQx9oWUoW7R6TDyPRJ7n35wOrIcGmkGfeRyZ2WaJJl0uiNeaHWPqxbr7+3eKXi5&#10;WfoMHX2smodHK+UyPH1tnpW6vhon9yAinuJfGM74jA4VM+38nkwQVsF0OmP0qGByl6cgOJHN0wmI&#10;HVt5NgdZlfL/h+oXUEsDBBQAAAAIAIdO4kCn879QyQEAAIkDAAAOAAAAZHJzL2Uyb0RvYy54bWyt&#10;U0tu2zAQ3RfoHQjua0l27DiG5QCtkW6KNkDSA9AUJRHgDzO0ZZ+mQHc9RI9T9BodUq7TppssqoU0&#10;P76Z94Za3x6tYQcFqL2reTUpOVNO+ka7ruafH+/eLDnDKFwjjHeq5ieF/Hbz+tV6CCs19b03jQJG&#10;IA5XQ6h5H2NYFQXKXlmBEx+Uo2TrwYpILnRFA2IgdGuKaVkuisFDE8BLhUjR7ZjkZ0R4CaBvWy3V&#10;1su9VS6OqKCMiEQJex2Qb/K0batk/NS2qCIzNSemMb+pCdm79C42a7HqQIRey/MI4iUjPONkhXbU&#10;9AK1FVGwPeh/oKyW4NG3cSK9LUYiWRFiUZXPtHnoRVCZC0mN4SI6/j9Y+fFwD0w3NZ8tlrNqsbyZ&#10;ceaEpcX//PLtx/evrLpKIg0BV1T7EO7h7CGZifGxBZu+xIUds7Cni7DqGJmkYHU1W06v55xJys0X&#10;1Q3ZBFM8nQ6A8b3yliWj5kCLy3qKwweMY+nvktQMvdHNnTYmO9Dt3hlgB5GWXL4t5+V41oRejNHr&#10;kp5zSxzLc/u/cIxLaM4n3LFlihSJ+kg2WTvfnEixfQDd9TRplVFThjaUMc+3KV2BP/2M9PQHbX4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6qCF69oAAAALAQAADwAAAAAAAAABACAAAAAiAAAAZHJz&#10;L2Rvd25yZXYueG1sUEsBAhQAFAAAAAgAh07iQKfzv1DJAQAAiQMAAA4AAAAAAAAAAQAgAAAAKQEA&#10;AGRycy9lMm9Eb2MueG1sUEsFBgAAAAAGAAYAWQEAAGQFAAAAAA==&#10;">
                <v:fill on="t" opacity="45875f" focussize="0,0"/>
                <v:stroke on="f"/>
                <v:imagedata o:title=""/>
                <o:lock v:ext="edit" aspectratio="f"/>
              </v:rect>
            </w:pict>
          </mc:Fallback>
        </mc:AlternateContent>
      </w:r>
      <w:r>
        <mc:AlternateContent>
          <mc:Choice Requires="wps">
            <w:drawing>
              <wp:anchor distT="0" distB="0" distL="114300" distR="114300" simplePos="0" relativeHeight="251689984" behindDoc="0" locked="0" layoutInCell="1" allowOverlap="1">
                <wp:simplePos x="0" y="0"/>
                <wp:positionH relativeFrom="column">
                  <wp:posOffset>1564005</wp:posOffset>
                </wp:positionH>
                <wp:positionV relativeFrom="paragraph">
                  <wp:posOffset>2678430</wp:posOffset>
                </wp:positionV>
                <wp:extent cx="219075" cy="85725"/>
                <wp:effectExtent l="0" t="0" r="9525" b="9525"/>
                <wp:wrapNone/>
                <wp:docPr id="894348599" name="矩形 22"/>
                <wp:cNvGraphicFramePr/>
                <a:graphic xmlns:a="http://schemas.openxmlformats.org/drawingml/2006/main">
                  <a:graphicData uri="http://schemas.microsoft.com/office/word/2010/wordprocessingShape">
                    <wps:wsp>
                      <wps:cNvSpPr/>
                      <wps:spPr>
                        <a:xfrm>
                          <a:off x="0" y="0"/>
                          <a:ext cx="219075" cy="85725"/>
                        </a:xfrm>
                        <a:prstGeom prst="rect">
                          <a:avLst/>
                        </a:prstGeom>
                        <a:solidFill>
                          <a:srgbClr val="FF0000">
                            <a:alpha val="70000"/>
                          </a:srgbClr>
                        </a:solidFill>
                        <a:ln>
                          <a:noFill/>
                        </a:ln>
                      </wps:spPr>
                      <wps:bodyPr upright="1"/>
                    </wps:wsp>
                  </a:graphicData>
                </a:graphic>
              </wp:anchor>
            </w:drawing>
          </mc:Choice>
          <mc:Fallback>
            <w:pict>
              <v:rect id="矩形 22" o:spid="_x0000_s1026" o:spt="1" style="position:absolute;left:0pt;margin-left:123.15pt;margin-top:210.9pt;height:6.75pt;width:17.25pt;z-index:251689984;mso-width-relative:page;mso-height-relative:page;" fillcolor="#FF0000" filled="t" stroked="f" coordsize="21600,21600" o:gfxdata="UEsDBAoAAAAAAIdO4kAAAAAAAAAAAAAAAAAEAAAAZHJzL1BLAwQUAAAACACHTuJABGMpr9gAAAAL&#10;AQAADwAAAGRycy9kb3ducmV2LnhtbE2PwU7DMBBE70j8g7VI3KidpERRiFMBUuFMizi78TZJie3I&#10;dt3A17Oc4La7M5p902wWM7GEPozOSshWAhjazunR9hLe99u7CliIymo1OYsSvjDApr2+alSt3cW+&#10;YdrFnlGIDbWSMMQ415yHbkCjwsrNaEk7Om9UpNX3XHt1oXAz8VyIkhs1WvowqBmfB+w+d2cjwe29&#10;rr7T8lE8nR7LU3o9vvhtkvL2JhMPwCIu8c8Mv/iEDi0xHdzZ6sAmCfm6LMgqYZ1n1IEceSVoONCl&#10;uC+Atw3/36H9AVBLAwQUAAAACACHTuJA63w7jMUBAACHAwAADgAAAGRycy9lMm9Eb2MueG1srVNL&#10;jtNAEN0jcYdW74kdMyEfxZkFUdggGGngAJ12226pf6rqxMlpkNhxCI6DuAbV7ZBhZjazwAu7fv2q&#10;3qv2+vZkDTsqQO1dzaeTkjPlpG+062r+9cvuzYIzjMI1wninan5WyG83r1+th7BSle+9aRQwAnG4&#10;GkLN+xjDqihQ9soKnPigHCVbD1ZEcqErGhADoVtTVGX5rhg8NAG8VIgU3Y5JfkGElwD6ttVSbb08&#10;WOXiiArKiEiUsNcB+SZP27ZKxs9tiyoyU3NiGvObmpC9T+9isxarDkTotbyMIF4ywhNOVmhHTa9Q&#10;WxEFO4B+BmW1BI++jRPpbTESyYoQi2n5RJv7XgSVuZDUGK6i4/+DlZ+Od8B0U/PF8ubtzWK2XHLm&#10;hKXF//7249fP76yqkkhDwBXV3oc7uHhIZmJ8asGmL3Fhpyzs+SqsOkUmKVhNl+V8xpmk1GI2r2YJ&#10;sng4GwDjB+UtS0bNgdaW1RTHjxjH0r8lqRV6o5udNiY70O3fG2BHQSve7Up6xrMm9GKMznNwxMGx&#10;PLd/hGNcQnM+4Y6lKVIk4iPVZO19cya9DgF019Ok00wkZWg/GfNyl9IF+NfPSA//z+Y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BGMpr9gAAAALAQAADwAAAAAAAAABACAAAAAiAAAAZHJzL2Rvd25y&#10;ZXYueG1sUEsBAhQAFAAAAAgAh07iQOt8O4zFAQAAhwMAAA4AAAAAAAAAAQAgAAAAJwEAAGRycy9l&#10;Mm9Eb2MueG1sUEsFBgAAAAAGAAYAWQEAAF4FAAAAAA==&#10;">
                <v:fill on="t" opacity="45875f" focussize="0,0"/>
                <v:stroke on="f"/>
                <v:imagedata o:title=""/>
                <o:lock v:ext="edit" aspectratio="f"/>
              </v:rect>
            </w:pict>
          </mc:Fallback>
        </mc:AlternateContent>
      </w:r>
      <w:r>
        <mc:AlternateContent>
          <mc:Choice Requires="wps">
            <w:drawing>
              <wp:anchor distT="0" distB="0" distL="114300" distR="114300" simplePos="0" relativeHeight="251688960" behindDoc="0" locked="0" layoutInCell="1" allowOverlap="1">
                <wp:simplePos x="0" y="0"/>
                <wp:positionH relativeFrom="column">
                  <wp:posOffset>1383030</wp:posOffset>
                </wp:positionH>
                <wp:positionV relativeFrom="paragraph">
                  <wp:posOffset>2947670</wp:posOffset>
                </wp:positionV>
                <wp:extent cx="428625" cy="257175"/>
                <wp:effectExtent l="0" t="0" r="9525" b="9525"/>
                <wp:wrapNone/>
                <wp:docPr id="1199800233" name="矩形 21"/>
                <wp:cNvGraphicFramePr/>
                <a:graphic xmlns:a="http://schemas.openxmlformats.org/drawingml/2006/main">
                  <a:graphicData uri="http://schemas.microsoft.com/office/word/2010/wordprocessingShape">
                    <wps:wsp>
                      <wps:cNvSpPr/>
                      <wps:spPr>
                        <a:xfrm>
                          <a:off x="0" y="0"/>
                          <a:ext cx="428625" cy="257175"/>
                        </a:xfrm>
                        <a:prstGeom prst="rect">
                          <a:avLst/>
                        </a:prstGeom>
                        <a:solidFill>
                          <a:srgbClr val="FF0000">
                            <a:alpha val="70000"/>
                          </a:srgbClr>
                        </a:solidFill>
                        <a:ln>
                          <a:noFill/>
                        </a:ln>
                      </wps:spPr>
                      <wps:bodyPr upright="1"/>
                    </wps:wsp>
                  </a:graphicData>
                </a:graphic>
              </wp:anchor>
            </w:drawing>
          </mc:Choice>
          <mc:Fallback>
            <w:pict>
              <v:rect id="矩形 21" o:spid="_x0000_s1026" o:spt="1" style="position:absolute;left:0pt;margin-left:108.9pt;margin-top:232.1pt;height:20.25pt;width:33.75pt;z-index:251688960;mso-width-relative:page;mso-height-relative:page;" fillcolor="#FF0000" filled="t" stroked="f" coordsize="21600,21600" o:gfxdata="UEsDBAoAAAAAAIdO4kAAAAAAAAAAAAAAAAAEAAAAZHJzL1BLAwQUAAAACACHTuJAkmKpL9kAAAAL&#10;AQAADwAAAGRycy9kb3ducmV2LnhtbE2PwU7DMBBE70j8g7VI3KiTNE2jkE0FSIUzLeLsxm6SEq8j&#10;23UDX485leNoRjNv6s2sRxaUdYMhhHSRAFPUGjlQh/Cx3z6UwJwXJMVoSCF8Kweb5vamFpU0F3pX&#10;Yec7FkvIVQKh936qOHdtr7RwCzMpit7RWC18lLbj0opLLNcjz5Kk4FoMFBd6MamXXrVfu7NGMHsr&#10;y58wfy6fT0/FKbwdX+02IN7fpckjMK9mfw3DH35EhyYyHcyZpGMjQpauI7pHyIs8AxYTWblaAjsg&#10;rJJ8Dbyp+f8PzS9QSwMEFAAAAAgAh07iQP2hdffHAQAAiQMAAA4AAABkcnMvZTJvRG9jLnhtbK1T&#10;S27bMBDdF+gdCO5rfVLHjmA5ixrupmgDJD0ATVESAf4wpC37NAW66yF6nKLX6JB0nTbZZBEtqJnh&#10;8M28N+Tq9qgVOQjw0pqWVrOSEmG47aQZWvr1YftuSYkPzHRMWSNaehKe3q7fvllNrhG1Ha3qBBAE&#10;Mb6ZXEvHEFxTFJ6PQjM/s04Y3OwtaBbQhaHogE2IrlVRl+V1MVnoHFguvMfoJm/SMyK8BND2veRi&#10;Y/leCxMyKgjFAlLyo3SerlO3fS94+NL3XgSiWopMQ1qxCNq7uBbrFWsGYG6U/NwCe0kLTzhpJg0W&#10;vUBtWGBkD/IZlJYcrLd9mHGri0wkKYIsqvKJNvcjcyJxQam9u4juXw+Wfz7cAZEd3oTq5mZZlvXV&#10;FSWGaZz8728/fv38TuoqqjQ532DyvbuDs+fRjJSPPej4RzLkmJQ9XZQVx0A4Bt/Xy+t6TgnHrXq+&#10;qBbziFk8Hnbgw0dhNYlGSwEHl/Rkh08+5NS/KbGWt0p2W6lUcmDYfVBADgyHvN2W+OWzyo0sRxcp&#10;mHF8Tk/l/8NRJqIZG3FzaowUkXnmGq2d7U6o2N6BHEbsNImTcnBCCfN8m+IV+NdPSI8vaP0H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kmKpL9kAAAALAQAADwAAAAAAAAABACAAAAAiAAAAZHJzL2Rv&#10;d25yZXYueG1sUEsBAhQAFAAAAAgAh07iQP2hdffHAQAAiQMAAA4AAAAAAAAAAQAgAAAAKAEAAGRy&#10;cy9lMm9Eb2MueG1sUEsFBgAAAAAGAAYAWQEAAGEFAAAAAA==&#10;">
                <v:fill on="t" opacity="45875f" focussize="0,0"/>
                <v:stroke on="f"/>
                <v:imagedata o:title=""/>
                <o:lock v:ext="edit" aspectratio="f"/>
              </v:rect>
            </w:pict>
          </mc:Fallback>
        </mc:AlternateContent>
      </w:r>
      <w:r>
        <mc:AlternateContent>
          <mc:Choice Requires="wps">
            <w:drawing>
              <wp:anchor distT="0" distB="0" distL="114300" distR="114300" simplePos="0" relativeHeight="251694080" behindDoc="0" locked="0" layoutInCell="1" allowOverlap="1">
                <wp:simplePos x="0" y="0"/>
                <wp:positionH relativeFrom="column">
                  <wp:posOffset>716280</wp:posOffset>
                </wp:positionH>
                <wp:positionV relativeFrom="paragraph">
                  <wp:posOffset>2604770</wp:posOffset>
                </wp:positionV>
                <wp:extent cx="600075" cy="581025"/>
                <wp:effectExtent l="0" t="0" r="28575" b="28575"/>
                <wp:wrapNone/>
                <wp:docPr id="1220416500" name="椭圆 48"/>
                <wp:cNvGraphicFramePr/>
                <a:graphic xmlns:a="http://schemas.openxmlformats.org/drawingml/2006/main">
                  <a:graphicData uri="http://schemas.microsoft.com/office/word/2010/wordprocessingShape">
                    <wps:wsp>
                      <wps:cNvSpPr/>
                      <wps:spPr>
                        <a:xfrm>
                          <a:off x="0" y="0"/>
                          <a:ext cx="600075" cy="581025"/>
                        </a:xfrm>
                        <a:prstGeom prst="ellipse">
                          <a:avLst/>
                        </a:prstGeom>
                        <a:solidFill>
                          <a:srgbClr val="FF0000">
                            <a:alpha val="50196"/>
                          </a:srgbClr>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椭圆 48" o:spid="_x0000_s1026" o:spt="3" type="#_x0000_t3" style="position:absolute;left:0pt;margin-left:56.4pt;margin-top:205.1pt;height:45.75pt;width:47.25pt;z-index:251694080;v-text-anchor:middle;mso-width-relative:page;mso-height-relative:page;" fillcolor="#FF0000" filled="t" stroked="t" coordsize="21600,21600" o:gfxdata="UEsDBAoAAAAAAIdO4kAAAAAAAAAAAAAAAAAEAAAAZHJzL1BLAwQUAAAACACHTuJAHYWw99gAAAAL&#10;AQAADwAAAGRycy9kb3ducmV2LnhtbE2PSU/DMBSE70j8B+shcaNeWAohToUqtSwHJALc3fgRR42f&#10;rdhd+PeYExxHM5r5pl4c/cj2OKUhkAY5E8CQumAH6jV8vK8uboGlbMiaMRBq+MYEi+b0pDaVDQd6&#10;w32be1ZKKFVGg8s5VpynzqE3aRYiUvG+wuRNLnLquZ3MoZT7kSshbrg3A5UFZyIuHXbbduc1xM+l&#10;2j49vLxavHuMbXhe55Vba31+JsU9sIzH/BeGX/yCDk1h2oQd2cTGoqUq6FnDlRQKWEkoMb8EttFw&#10;LeQceFPz/x+aH1BLAwQUAAAACACHTuJARzBNj4oCAAAhBQAADgAAAGRycy9lMm9Eb2MueG1srVTN&#10;btswDL4P2DsIuq+2gyRNjTpFkCDDgGIt0A07M7IcC9DfJCVO9wB7ih133WN1zzFKdtuk26GHXWxS&#10;pD6SH0ldXh2UJHvuvDC6osVZTgnXzNRCbyv6+dP63YwSH0DXII3mFb3nnl7N37657GzJR6Y1suaO&#10;IIj2ZWcr2oZgyyzzrOUK/JmxXKOxMU5BQNVts9pBh+hKZqM8n2adcbV1hnHv8XTVG+mA6F4DaJpG&#10;ML4ybKe4Dj2q4xICluRbYT2dp2ybhrNw0zSeByIripWG9MUgKG/iN5tfQrl1YFvBhhTgNSm8qEmB&#10;0Bj0CWoFAcjOib+glGDOeNOEM2ZU1heSGMEqivwFN3ctWJ5qQaq9fSLd/z9Y9nF/64iocRJGo3xc&#10;TCc5UqNBYed///z18OM7Gc8iS531JTrf2Vs3aB7FWPKhcSr+sRhySMzePzHLD4EwPJzmeX4+oYSh&#10;aTIr8tEkYmbPl63z4T03ikSholxKbGOsHUrYX/vQez96xWNvpKjXQsqkuO1mKR3ZA/Z5vcZoeX9X&#10;2hb600leXEyHqL53Txmc4EhNukjFeWSBAY53g2OForJIkddbSkBucW9YcCnAye0B9iSLPvETt1jF&#10;Cnzb+yVTzAtKJQKulhSqorNYQhpPJElqzDQ2oKc8ShtT32PjnOkn2lu2Fgh7DT7cgsMRxvxxycMN&#10;fhppsCgzSJS0xn3713n0x8lCKyUdrgQW/HUHjlMiP2icuYtiPEbYkJTx5HyEiju2bI4teqeWBrtR&#10;4HNiWRKjf5CPYuOM+oJvwSJGRRNohrF7agdlGfpVxdeE8cUiueHeWAjX+s6yCB5502axC6YRaUqe&#10;2RlIw81JjR62PK7msZ68nl+2+R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AdhbD32AAAAAsBAAAP&#10;AAAAAAAAAAEAIAAAACIAAABkcnMvZG93bnJldi54bWxQSwECFAAUAAAACACHTuJARzBNj4oCAAAh&#10;BQAADgAAAAAAAAABACAAAAAnAQAAZHJzL2Uyb0RvYy54bWxQSwUGAAAAAAYABgBZAQAAIwYAAAAA&#10;">
                <v:fill on="t" opacity="32896f" focussize="0,0"/>
                <v:stroke weight="1pt" color="#FF0000 [3204]" miterlimit="8" joinstyle="miter"/>
                <v:imagedata o:title=""/>
                <o:lock v:ext="edit" aspectratio="f"/>
              </v:shape>
            </w:pict>
          </mc:Fallback>
        </mc:AlternateContent>
      </w:r>
      <w:r>
        <mc:AlternateContent>
          <mc:Choice Requires="wps">
            <w:drawing>
              <wp:anchor distT="0" distB="0" distL="114300" distR="114300" simplePos="0" relativeHeight="251683840" behindDoc="0" locked="0" layoutInCell="1" allowOverlap="1">
                <wp:simplePos x="0" y="0"/>
                <wp:positionH relativeFrom="column">
                  <wp:posOffset>459105</wp:posOffset>
                </wp:positionH>
                <wp:positionV relativeFrom="paragraph">
                  <wp:posOffset>1360170</wp:posOffset>
                </wp:positionV>
                <wp:extent cx="219075" cy="1847850"/>
                <wp:effectExtent l="0" t="0" r="9525" b="0"/>
                <wp:wrapNone/>
                <wp:docPr id="1856421287" name="矩形 19"/>
                <wp:cNvGraphicFramePr/>
                <a:graphic xmlns:a="http://schemas.openxmlformats.org/drawingml/2006/main">
                  <a:graphicData uri="http://schemas.microsoft.com/office/word/2010/wordprocessingShape">
                    <wps:wsp>
                      <wps:cNvSpPr/>
                      <wps:spPr>
                        <a:xfrm>
                          <a:off x="0" y="0"/>
                          <a:ext cx="219075" cy="1847850"/>
                        </a:xfrm>
                        <a:prstGeom prst="rect">
                          <a:avLst/>
                        </a:prstGeom>
                        <a:solidFill>
                          <a:srgbClr val="FF0000">
                            <a:alpha val="70000"/>
                          </a:srgbClr>
                        </a:solidFill>
                        <a:ln>
                          <a:noFill/>
                        </a:ln>
                      </wps:spPr>
                      <wps:bodyPr upright="1"/>
                    </wps:wsp>
                  </a:graphicData>
                </a:graphic>
              </wp:anchor>
            </w:drawing>
          </mc:Choice>
          <mc:Fallback>
            <w:pict>
              <v:rect id="矩形 19" o:spid="_x0000_s1026" o:spt="1" style="position:absolute;left:0pt;margin-left:36.15pt;margin-top:107.1pt;height:145.5pt;width:17.25pt;z-index:251683840;mso-width-relative:page;mso-height-relative:page;" fillcolor="#FF0000" filled="t" stroked="f" coordsize="21600,21600" o:gfxdata="UEsDBAoAAAAAAIdO4kAAAAAAAAAAAAAAAAAEAAAAZHJzL1BLAwQUAAAACACHTuJARC6aN9cAAAAK&#10;AQAADwAAAGRycy9kb3ducmV2LnhtbE2PwU7DMBBE70j8g7VI3KidlIYqZFMBUuFMizi7sZukxOvI&#10;dt3Qr697guNqn2beVKvJDCxq53tLCNlMANPUWNVTi/C1XT8sgfkgScnBkkb41R5W9e1NJUtlT/Sp&#10;4ya0LIWQLyVCF8JYcu6bThvpZ3bUlH5764wM6XQtV06eUrgZeC5EwY3sKTV0ctRvnW5+NkeDYLdO&#10;Lc9x+p6/Hl6KQ/zYv7t1RLy/y8QzsKCn8AfDVT+pQ52cdvZIyrMB4SmfJxIhzx5zYFdAFGnLDmEh&#10;FjnwuuL/J9QXUEsDBBQAAAAIAIdO4kBvfO+fyAEAAIoDAAAOAAAAZHJzL2Uyb0RvYy54bWytU0uO&#10;EzEQ3SNxB8t70h9NJplWOrMgChsEIw0cwHG7uy35pyrndxokdhyC4yCuQdkdMjBsZkEv3FXl8qt6&#10;r+zV/ckadlCA2ruWV7OSM+Wk77QbWv750/bNkjOMwnXCeKdaflbI79evX62OoVG1H73pFDACcdgc&#10;Q8vHGENTFChHZQXOfFCONnsPVkRyYSg6EEdCt6aoy/K2OHroAnipECm6mTb5BRFeAuj7Xku18XJv&#10;lYsTKigjIlHCUQfk69xt3ysZP/Y9qshMy4lpzCsVIXuX1mK9Es0AIoxaXloQL2nhGScrtKOiV6iN&#10;iILtQf8DZbUEj76PM+ltMRHJihCLqnymzeMogspcSGoMV9Hx/8HKD4cHYLqjm7Cc397UVb1ccOaE&#10;pcn//PLtx/evrLpLKh0DNpT8GB7g4iGZifKpB5v+RIadsrLnq7LqFJmkYF3dlYs5Z5K2quXNYjnP&#10;0hdPpwNgfKe8ZcloOdDksqDi8B4jVaTU3ympGHqju602Jjsw7N4aYAdBU95uS/qmsyaMYooucnDC&#10;wSk9Y/6FY1xCcz7hTqkpUiTqE9lk7Xx3Jsn2AfQwUqdVUifn0Igy5uU6pTvwp5+znp7Q+h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ELpo31wAAAAoBAAAPAAAAAAAAAAEAIAAAACIAAABkcnMvZG93&#10;bnJldi54bWxQSwECFAAUAAAACACHTuJAb3zvn8gBAACKAwAADgAAAAAAAAABACAAAAAmAQAAZHJz&#10;L2Uyb0RvYy54bWxQSwUGAAAAAAYABgBZAQAAYAUAAAAA&#10;">
                <v:fill on="t" opacity="45875f" focussize="0,0"/>
                <v:stroke on="f"/>
                <v:imagedata o:title=""/>
                <o:lock v:ext="edit" aspectratio="f"/>
              </v:rect>
            </w:pict>
          </mc:Fallback>
        </mc:AlternateContent>
      </w:r>
      <w:r>
        <mc:AlternateContent>
          <mc:Choice Requires="wps">
            <w:drawing>
              <wp:anchor distT="0" distB="0" distL="114300" distR="114300" simplePos="0" relativeHeight="251691008" behindDoc="0" locked="0" layoutInCell="1" allowOverlap="1">
                <wp:simplePos x="0" y="0"/>
                <wp:positionH relativeFrom="column">
                  <wp:posOffset>773430</wp:posOffset>
                </wp:positionH>
                <wp:positionV relativeFrom="paragraph">
                  <wp:posOffset>937895</wp:posOffset>
                </wp:positionV>
                <wp:extent cx="742950" cy="1590675"/>
                <wp:effectExtent l="0" t="0" r="0" b="9525"/>
                <wp:wrapNone/>
                <wp:docPr id="1069989254" name="矩形 14"/>
                <wp:cNvGraphicFramePr/>
                <a:graphic xmlns:a="http://schemas.openxmlformats.org/drawingml/2006/main">
                  <a:graphicData uri="http://schemas.microsoft.com/office/word/2010/wordprocessingShape">
                    <wps:wsp>
                      <wps:cNvSpPr/>
                      <wps:spPr>
                        <a:xfrm>
                          <a:off x="0" y="0"/>
                          <a:ext cx="742950" cy="1590675"/>
                        </a:xfrm>
                        <a:prstGeom prst="rect">
                          <a:avLst/>
                        </a:prstGeom>
                        <a:solidFill>
                          <a:srgbClr val="00B050">
                            <a:alpha val="70000"/>
                          </a:srgbClr>
                        </a:solidFill>
                        <a:ln>
                          <a:noFill/>
                        </a:ln>
                      </wps:spPr>
                      <wps:bodyPr upright="1"/>
                    </wps:wsp>
                  </a:graphicData>
                </a:graphic>
              </wp:anchor>
            </w:drawing>
          </mc:Choice>
          <mc:Fallback>
            <w:pict>
              <v:rect id="矩形 14" o:spid="_x0000_s1026" o:spt="1" style="position:absolute;left:0pt;margin-left:60.9pt;margin-top:73.85pt;height:125.25pt;width:58.5pt;z-index:251691008;mso-width-relative:page;mso-height-relative:page;" fillcolor="#00B050" filled="t" stroked="f" coordsize="21600,21600" o:gfxdata="UEsDBAoAAAAAAIdO4kAAAAAAAAAAAAAAAAAEAAAAZHJzL1BLAwQUAAAACACHTuJAO6S1y9kAAAAL&#10;AQAADwAAAGRycy9kb3ducmV2LnhtbE2PzU7DMBCE75V4B2uRuCDqJEVtCHEqtdATIERb7m68JAF7&#10;HcXu39uznOhtZ3c0+005PzkrDjiEzpOCdJyAQKq96ahRsN2s7nIQIWoy2npCBWcMMK+uRqUujD/S&#10;Bx7WsREcQqHQCtoY+0LKULfodBj7HolvX35wOrIcGmkGfeRwZ2WWJFPpdEf8odU9Llusf9Z7p+D9&#10;duGn6Ohz2Tw9WykX4eX77VWpm+s0eQQR8RT/zfCHz+hQMdPO78kEYVlnKaNHHu5nMxDsyCY5b3YK&#10;Jg95BrIq5WWH6hdQSwMEFAAAAAgAh07iQBjF0dLIAQAAigMAAA4AAABkcnMvZTJvRG9jLnhtbK1T&#10;S47UMBDdI3EHy3s6Sas/k1anR4LWsEEw0gwHcDtOx5J/qnL/ToPEjkNwHMQ1KDuhB4bNLMgiqZ9f&#10;1XvlrG/P1rCjAtTeNbyalJwpJ32r3b7hnx/v3txwhlG4VhjvVMMvCvnt5vWr9Sms1NT33rQKGIE4&#10;XJ1Cw/sYw6ooUPbKCpz4oBwlOw9WRHJhX7QgToRuTTEty0Vx8tAG8FIhUnQ7JPmICC8B9F2npdp6&#10;ebDKxQEVlBGRKGGvA/JNnrbrlIyfug5VZKbhxDTmNzUhe5fexWYtVnsQoddyHEG8ZIRnnKzQjppe&#10;obYiCnYA/Q+U1RI8+i5OpLfFQCQrQiyq8pk2D70IKnMhqTFcRcf/Bys/Hu+B6ZZuQrmo65t6Op9x&#10;5oSlzf/88u3H96+smiWVTgFXVPwQ7mH0kMxE+dyBTV8iw85Z2ctVWXWOTFJwOZvWc9JcUqqa1+Vi&#10;OU+gxdPpABjfK29ZMhoOtLksqDh+wDiU/i5JzdAb3d5pY7ID+907A+wo0pbLtyW1SnFhQi+G6LKk&#10;Z2yJQ3lu/xeOcemU8wl3aJkiRaI+kE3WzrcXkuwQQO97mrTKqClDK8qY43VKd+BPPyM9/UKb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DuktcvZAAAACwEAAA8AAAAAAAAAAQAgAAAAIgAAAGRycy9k&#10;b3ducmV2LnhtbFBLAQIUABQAAAAIAIdO4kAYxdHSyAEAAIoDAAAOAAAAAAAAAAEAIAAAACgBAABk&#10;cnMvZTJvRG9jLnhtbFBLBQYAAAAABgAGAFkBAABiBQAAAAA=&#10;">
                <v:fill on="t" opacity="45875f" focussize="0,0"/>
                <v:stroke on="f"/>
                <v:imagedata o:title=""/>
                <o:lock v:ext="edit" aspectratio="f"/>
              </v:rect>
            </w:pict>
          </mc:Fallback>
        </mc:AlternateContent>
      </w:r>
      <w:r>
        <mc:AlternateContent>
          <mc:Choice Requires="wps">
            <w:drawing>
              <wp:anchor distT="0" distB="0" distL="114300" distR="114300" simplePos="0" relativeHeight="251684864" behindDoc="0" locked="0" layoutInCell="1" allowOverlap="1">
                <wp:simplePos x="0" y="0"/>
                <wp:positionH relativeFrom="column">
                  <wp:posOffset>1611630</wp:posOffset>
                </wp:positionH>
                <wp:positionV relativeFrom="paragraph">
                  <wp:posOffset>947420</wp:posOffset>
                </wp:positionV>
                <wp:extent cx="2714625" cy="1343025"/>
                <wp:effectExtent l="0" t="0" r="9525" b="9525"/>
                <wp:wrapNone/>
                <wp:docPr id="2026378914" name="矩形 14"/>
                <wp:cNvGraphicFramePr/>
                <a:graphic xmlns:a="http://schemas.openxmlformats.org/drawingml/2006/main">
                  <a:graphicData uri="http://schemas.microsoft.com/office/word/2010/wordprocessingShape">
                    <wps:wsp>
                      <wps:cNvSpPr/>
                      <wps:spPr>
                        <a:xfrm>
                          <a:off x="0" y="0"/>
                          <a:ext cx="2714625" cy="1343025"/>
                        </a:xfrm>
                        <a:prstGeom prst="rect">
                          <a:avLst/>
                        </a:prstGeom>
                        <a:solidFill>
                          <a:srgbClr val="00B050">
                            <a:alpha val="70000"/>
                          </a:srgbClr>
                        </a:solidFill>
                        <a:ln>
                          <a:noFill/>
                        </a:ln>
                      </wps:spPr>
                      <wps:bodyPr upright="1"/>
                    </wps:wsp>
                  </a:graphicData>
                </a:graphic>
              </wp:anchor>
            </w:drawing>
          </mc:Choice>
          <mc:Fallback>
            <w:pict>
              <v:rect id="矩形 14" o:spid="_x0000_s1026" o:spt="1" style="position:absolute;left:0pt;margin-left:126.9pt;margin-top:74.6pt;height:105.75pt;width:213.75pt;z-index:251684864;mso-width-relative:page;mso-height-relative:page;" fillcolor="#00B050" filled="t" stroked="f" coordsize="21600,21600" o:gfxdata="UEsDBAoAAAAAAIdO4kAAAAAAAAAAAAAAAAAEAAAAZHJzL1BLAwQUAAAACACHTuJAW0d/S9kAAAAL&#10;AQAADwAAAGRycy9kb3ducmV2LnhtbE2PzU7DMBCE70i8g7VIXBC1k0AoIU6lFjgBQhS4u/GSBOx1&#10;FLs/vD3LCY6jGc18Uy8O3okdTnEIpCGbKRBIbbADdRreXu/P5yBiMmSNC4QavjHCojk+qk1lw55e&#10;cLdOneASipXR0Kc0VlLGtkdv4iyMSOx9hMmbxHLqpJ3Mnsu9k7lSpfRmIF7ozYirHtuv9dZreD5b&#10;hhI9va+62zsn5TI+fD49an16kqkbEAkP6S8Mv/iMDg0zbcKWbBROQ35ZMHpi4+I6B8GJcp4VIDYa&#10;ilJdgWxq+f9D8wNQSwMEFAAAAAgAh07iQCWSQzfIAQAAiwMAAA4AAABkcnMvZTJvRG9jLnhtbK1T&#10;S47UMBDdI3EHy3s6Trqne4g6PRK0hg2CkQYO4HacxJJ/Krt/p0FixyE4DuIalJ3Q82EzC7JI6udX&#10;9V4565uT0eQgIShnG1rOGCXSCtcq2zf065fbN9eUhMhty7WzsqFnGejN5vWr9dHXsnKD060EgiA2&#10;1Eff0CFGXxdFEIM0PMyclxaTnQPDI7rQFy3wI6IbXVSMLYujg9aDEzIEjG7HJJ0Q4SWAruuUkFsn&#10;9kbaOKKC1DwipTAoH+gmT9t1UsTPXRdkJLqhyDTmNzZBe5fexWbN6x64H5SYRuAvGeEZJ8OVxaYX&#10;qC2PnOxB/QNllAAXXBdnwpliJJIVQRYle6bN/cC9zFxQ6uAvoof/Bys+He6AqLahFauW89X123JB&#10;ieUGN//7249fP78TDKBKRx9qLL73dzB5Ac1E+dSBSV8kQ05Z2fNFWXmKRGCwWpWLZXVFicBcOV/M&#10;GTqIUzwc9xDiB+kMSUZDAVeXFeWHjyGOpX9LUrfgtGpvldbZgX73XgM58LRm9o5dsfGs9gMfoyuG&#10;z9QyjOW5/RMcbROadQl3bJkiReI+sk3WzrVn1GzvQfUDTlpm1JTBHWXM6T6lS/DYz0gP/9Dm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FtHf0vZAAAACwEAAA8AAAAAAAAAAQAgAAAAIgAAAGRycy9k&#10;b3ducmV2LnhtbFBLAQIUABQAAAAIAIdO4kAlkkM3yAEAAIsDAAAOAAAAAAAAAAEAIAAAACgBAABk&#10;cnMvZTJvRG9jLnhtbFBLBQYAAAAABgAGAFkBAABiBQAAAAA=&#10;">
                <v:fill on="t" opacity="45875f" focussize="0,0"/>
                <v:stroke on="f"/>
                <v:imagedata o:title=""/>
                <o:lock v:ext="edit" aspectratio="f"/>
              </v:rect>
            </w:pict>
          </mc:Fallback>
        </mc:AlternateContent>
      </w:r>
      <w:r>
        <w:rPr>
          <w:snapToGrid w:val="0"/>
          <w:kern w:val="0"/>
          <w:sz w:val="24"/>
        </w:rPr>
        <w:drawing>
          <wp:inline distT="0" distB="0" distL="0" distR="0">
            <wp:extent cx="5163185" cy="3295650"/>
            <wp:effectExtent l="0" t="0" r="0" b="0"/>
            <wp:docPr id="1539283552"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283552" name="图片 57"/>
                    <pic:cNvPicPr>
                      <a:picLocks noChangeAspect="1" noChangeArrowheads="1"/>
                    </pic:cNvPicPr>
                  </pic:nvPicPr>
                  <pic:blipFill>
                    <a:blip r:embed="rId135"/>
                    <a:srcRect/>
                    <a:stretch>
                      <a:fillRect/>
                    </a:stretch>
                  </pic:blipFill>
                  <pic:spPr>
                    <a:xfrm>
                      <a:off x="0" y="0"/>
                      <a:ext cx="5184376" cy="3308951"/>
                    </a:xfrm>
                    <a:prstGeom prst="rect">
                      <a:avLst/>
                    </a:prstGeom>
                    <a:noFill/>
                  </pic:spPr>
                </pic:pic>
              </a:graphicData>
            </a:graphic>
          </wp:inline>
        </w:drawing>
      </w:r>
    </w:p>
    <w:p w14:paraId="68AA954B">
      <w:pPr>
        <w:adjustRightInd w:val="0"/>
        <w:snapToGrid w:val="0"/>
        <w:spacing w:before="0" w:beforeLines="0" w:line="360" w:lineRule="auto"/>
        <w:jc w:val="center"/>
        <w:rPr>
          <w:b/>
          <w:bCs/>
          <w:snapToGrid w:val="0"/>
          <w:kern w:val="0"/>
          <w:sz w:val="24"/>
        </w:rPr>
      </w:pPr>
      <w:r>
        <mc:AlternateContent>
          <mc:Choice Requires="wps">
            <w:drawing>
              <wp:anchor distT="0" distB="0" distL="114300" distR="114300" simplePos="0" relativeHeight="251685888" behindDoc="0" locked="0" layoutInCell="1" allowOverlap="1">
                <wp:simplePos x="0" y="0"/>
                <wp:positionH relativeFrom="column">
                  <wp:posOffset>2011045</wp:posOffset>
                </wp:positionH>
                <wp:positionV relativeFrom="paragraph">
                  <wp:posOffset>495300</wp:posOffset>
                </wp:positionV>
                <wp:extent cx="790575" cy="234950"/>
                <wp:effectExtent l="0" t="0" r="9525" b="0"/>
                <wp:wrapNone/>
                <wp:docPr id="37770992" name="矩形 9"/>
                <wp:cNvGraphicFramePr/>
                <a:graphic xmlns:a="http://schemas.openxmlformats.org/drawingml/2006/main">
                  <a:graphicData uri="http://schemas.microsoft.com/office/word/2010/wordprocessingShape">
                    <wps:wsp>
                      <wps:cNvSpPr/>
                      <wps:spPr>
                        <a:xfrm>
                          <a:off x="0" y="0"/>
                          <a:ext cx="790575" cy="234950"/>
                        </a:xfrm>
                        <a:prstGeom prst="rect">
                          <a:avLst/>
                        </a:prstGeom>
                        <a:solidFill>
                          <a:srgbClr val="00B050">
                            <a:alpha val="70000"/>
                          </a:srgbClr>
                        </a:solidFill>
                        <a:ln>
                          <a:noFill/>
                        </a:ln>
                      </wps:spPr>
                      <wps:bodyPr upright="1"/>
                    </wps:wsp>
                  </a:graphicData>
                </a:graphic>
              </wp:anchor>
            </w:drawing>
          </mc:Choice>
          <mc:Fallback>
            <w:pict>
              <v:rect id="矩形 9" o:spid="_x0000_s1026" o:spt="1" style="position:absolute;left:0pt;margin-left:158.35pt;margin-top:39pt;height:18.5pt;width:62.25pt;z-index:251685888;mso-width-relative:page;mso-height-relative:page;" fillcolor="#00B050" filled="t" stroked="f" coordsize="21600,21600" o:gfxdata="UEsDBAoAAAAAAIdO4kAAAAAAAAAAAAAAAAAEAAAAZHJzL1BLAwQUAAAACACHTuJAzGL9JdgAAAAK&#10;AQAADwAAAGRycy9kb3ducmV2LnhtbE2Py07DMBBF90j8gzVIbBC1XUpahTiVWmAFCFFg78ZDErDH&#10;Uew++HuGFSxHc3TvudXyGLzY45j6SAb0RIFAaqLrqTXw9np/uQCRsiVnfSQ08I0JlvXpSWVLFw/0&#10;gvtNbgWHUCqtgS7noZQyNR0GmyZxQOLfRxyDzXyOrXSjPXB48HKqVCGD7YkbOjvgusPma7MLBp4v&#10;VrHAQO/r9vbOS7lKD59Pj8acn2l1AyLjMf/B8KvP6lCz0zbuyCXhDVzpYs6ogfmCNzEwm+kpiC2T&#10;+lqBrCv5f0L9A1BLAwQUAAAACACHTuJANPGiDMcBAACGAwAADgAAAGRycy9lMm9Eb2MueG1srVNL&#10;btswEN0X6B0I7mvJTl1VguUArZFuijZA2gPQFCUR4A8z9O80BbrrIXqcotfokHKdINlkES2o+fHN&#10;vDfS6vpoDdsrQO1dy+ezkjPlpO+0G1r+/dvNm/ecYRSuE8Y71fKTQn69fv1qdQiNWvjRm04BIxCH&#10;zSG0fIwxNEWBclRW4MwH5SjZe7AikgtD0YE4ELo1xaIs3xUHD10ALxUiRTdTkp8R4TmAvu+1VBsv&#10;d1a5OKGCMiISJRx1QL7O0/a9kvFr36OKzLScmMZ8UhOyt+ks1ivRDCDCqOV5BPGcER5xskI7anqB&#10;2ogo2A70EyirJXj0fZxJb4uJSFaEWMzLR9rcjSKozIWkxnARHV8OVn7Z3wLTXcuvqqoq63rBmROW&#10;9v73x68/v3+yOkl0CNhQ5V24hbOHZCa+xx5sehMTdsyyni6yqmNkkoJVXS6rJWeSUourt/Uyy17c&#10;Xw6A8ZPyliWj5UBby2KK/WeM1JBK/5ekXuiN7m60MdmBYfvRANuLtOHyQ0noKS5MGMUUrUp6Eg3C&#10;wal8sh/iGJduOZ9wp9IUKRLziWuytr47kVy7AHoYadJ5Rk0ZWk/GPH9Kaf8P/Yx0//us/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MYv0l2AAAAAoBAAAPAAAAAAAAAAEAIAAAACIAAABkcnMvZG93&#10;bnJldi54bWxQSwECFAAUAAAACACHTuJANPGiDMcBAACGAwAADgAAAAAAAAABACAAAAAnAQAAZHJz&#10;L2Uyb0RvYy54bWxQSwUGAAAAAAYABgBZAQAAYAUAAAAA&#10;">
                <v:fill on="t" opacity="45875f" focussize="0,0"/>
                <v:stroke on="f"/>
                <v:imagedata o:title=""/>
                <o:lock v:ext="edit" aspectratio="f"/>
              </v:rect>
            </w:pict>
          </mc:Fallback>
        </mc:AlternateContent>
      </w:r>
      <w:r>
        <mc:AlternateContent>
          <mc:Choice Requires="wps">
            <w:drawing>
              <wp:anchor distT="0" distB="0" distL="114300" distR="114300" simplePos="0" relativeHeight="251687936" behindDoc="0" locked="0" layoutInCell="1" allowOverlap="1">
                <wp:simplePos x="0" y="0"/>
                <wp:positionH relativeFrom="column">
                  <wp:posOffset>2592705</wp:posOffset>
                </wp:positionH>
                <wp:positionV relativeFrom="paragraph">
                  <wp:posOffset>771525</wp:posOffset>
                </wp:positionV>
                <wp:extent cx="935990" cy="1080135"/>
                <wp:effectExtent l="0" t="0" r="0" b="5715"/>
                <wp:wrapNone/>
                <wp:docPr id="284711364" name="矩形 12"/>
                <wp:cNvGraphicFramePr/>
                <a:graphic xmlns:a="http://schemas.openxmlformats.org/drawingml/2006/main">
                  <a:graphicData uri="http://schemas.microsoft.com/office/word/2010/wordprocessingShape">
                    <wps:wsp>
                      <wps:cNvSpPr/>
                      <wps:spPr>
                        <a:xfrm>
                          <a:off x="0" y="0"/>
                          <a:ext cx="935990" cy="1080135"/>
                        </a:xfrm>
                        <a:prstGeom prst="rect">
                          <a:avLst/>
                        </a:prstGeom>
                        <a:solidFill>
                          <a:srgbClr val="00B050">
                            <a:alpha val="70000"/>
                          </a:srgbClr>
                        </a:solidFill>
                        <a:ln>
                          <a:noFill/>
                        </a:ln>
                      </wps:spPr>
                      <wps:bodyPr upright="1"/>
                    </wps:wsp>
                  </a:graphicData>
                </a:graphic>
              </wp:anchor>
            </w:drawing>
          </mc:Choice>
          <mc:Fallback>
            <w:pict>
              <v:rect id="矩形 12" o:spid="_x0000_s1026" o:spt="1" style="position:absolute;left:0pt;margin-left:204.15pt;margin-top:60.75pt;height:85.05pt;width:73.7pt;z-index:251687936;mso-width-relative:page;mso-height-relative:page;" fillcolor="#00B050" filled="t" stroked="f" coordsize="21600,21600" o:gfxdata="UEsDBAoAAAAAAIdO4kAAAAAAAAAAAAAAAAAEAAAAZHJzL1BLAwQUAAAACACHTuJAROLGOtkAAAAL&#10;AQAADwAAAGRycy9kb3ducmV2LnhtbE2Py07DMBBF90j8gzVIbBC1E0goIU6lFlgBQhTYu/GQBOxx&#10;FLsP/p5hBcvRPbr3TL04eCd2OMUhkIZspkAgtcEO1Gl4e70/n4OIyZA1LhBq+MYIi+b4qDaVDXt6&#10;wd06dYJLKFZGQ5/SWEkZ2x69ibMwInH2ESZvEp9TJ+1k9lzuncyVKqU3A/FCb0Zc9dh+rbdew/PZ&#10;MpTo6X3V3d45KZfx4fPpUevTk0zdgEh4SH8w/OqzOjTstAlbslE4DZdqfsEoB3lWgGCiKIorEBsN&#10;+XVWgmxq+f+H5gdQSwMEFAAAAAgAh07iQMvll2vIAQAAiQMAAA4AAABkcnMvZTJvRG9jLnhtbK1T&#10;S27bMBDdF+gdCO5rUXac2ILlAK2Rboo2QNID0BQlEeAPHNqyT1Ogux6ixyl6jQ4p1WnTTRbVQpof&#10;38x7Q21uT0aTowygnK1pOWOUSCtco2xX08+Pd29WlEDktuHaWVnTswR6u339ajP4Ss5d73QjA0EQ&#10;C9Xga9rH6KuiANFLw2HmvLSYbF0wPKIbuqIJfEB0o4s5Y9fF4ELjgxMSAKO7MUknxPASQNe2Ssid&#10;EwcjbRxRg9Q8IiXolQe6zdO2rRTxU9uCjETXFJnG/MYmaO/Tu9hueNUF7nslphH4S0Z4xslwZbHp&#10;BWrHIyeHoP6BMkoEB66NM+FMMRLJiiCLkj3T5qHnXmYuKDX4i+jw/2DFx+N9IKqp6Xx1dVOWi+sr&#10;Siw3uPifX779+P6VlPMk0uChwtoHfx8mD9BMjE9tMOmLXMgpC3u+CCtPkQgMrhfL9RolF5gq2YqV&#10;i2UCLZ5O+wDxvXSGJKOmAReX9eTHDxDH0t8lqRk4rZo7pXV2Qrd/pwM58rRk9pYt2XhW+56P0RuG&#10;z9QSxvLc/i8cbROadQl3bJkiRaI+kk3W3jVnVOzgg+p6nLTMqCmDG8qY021KV+BPPyM9/UHb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ETixjrZAAAACwEAAA8AAAAAAAAAAQAgAAAAIgAAAGRycy9k&#10;b3ducmV2LnhtbFBLAQIUABQAAAAIAIdO4kDL5ZdryAEAAIkDAAAOAAAAAAAAAAEAIAAAACgBAABk&#10;cnMvZTJvRG9jLnhtbFBLBQYAAAAABgAGAFkBAABiBQAAAAA=&#10;">
                <v:fill on="t" opacity="45875f" focussize="0,0"/>
                <v:stroke on="f"/>
                <v:imagedata o:title=""/>
                <o:lock v:ext="edit" aspectratio="f"/>
              </v:rect>
            </w:pict>
          </mc:Fallback>
        </mc:AlternateContent>
      </w:r>
      <w:r>
        <mc:AlternateContent>
          <mc:Choice Requires="wps">
            <w:drawing>
              <wp:anchor distT="0" distB="0" distL="114300" distR="114300" simplePos="0" relativeHeight="251686912" behindDoc="0" locked="0" layoutInCell="1" allowOverlap="1">
                <wp:simplePos x="0" y="0"/>
                <wp:positionH relativeFrom="column">
                  <wp:posOffset>897255</wp:posOffset>
                </wp:positionH>
                <wp:positionV relativeFrom="paragraph">
                  <wp:posOffset>762000</wp:posOffset>
                </wp:positionV>
                <wp:extent cx="1685925" cy="2228850"/>
                <wp:effectExtent l="0" t="0" r="9525" b="0"/>
                <wp:wrapNone/>
                <wp:docPr id="1715574359" name="矩形 11"/>
                <wp:cNvGraphicFramePr/>
                <a:graphic xmlns:a="http://schemas.openxmlformats.org/drawingml/2006/main">
                  <a:graphicData uri="http://schemas.microsoft.com/office/word/2010/wordprocessingShape">
                    <wps:wsp>
                      <wps:cNvSpPr/>
                      <wps:spPr>
                        <a:xfrm>
                          <a:off x="0" y="0"/>
                          <a:ext cx="1685925" cy="2228850"/>
                        </a:xfrm>
                        <a:prstGeom prst="rect">
                          <a:avLst/>
                        </a:prstGeom>
                        <a:solidFill>
                          <a:srgbClr val="00B050">
                            <a:alpha val="70000"/>
                          </a:srgbClr>
                        </a:solidFill>
                        <a:ln>
                          <a:noFill/>
                        </a:ln>
                      </wps:spPr>
                      <wps:bodyPr upright="1"/>
                    </wps:wsp>
                  </a:graphicData>
                </a:graphic>
              </wp:anchor>
            </w:drawing>
          </mc:Choice>
          <mc:Fallback>
            <w:pict>
              <v:rect id="矩形 11" o:spid="_x0000_s1026" o:spt="1" style="position:absolute;left:0pt;margin-left:70.65pt;margin-top:60pt;height:175.5pt;width:132.75pt;z-index:251686912;mso-width-relative:page;mso-height-relative:page;" fillcolor="#00B050" filled="t" stroked="f" coordsize="21600,21600" o:gfxdata="UEsDBAoAAAAAAIdO4kAAAAAAAAAAAAAAAAAEAAAAZHJzL1BLAwQUAAAACACHTuJAKIKat9QAAAAL&#10;AQAADwAAAGRycy9kb3ducmV2LnhtbE1Py07DMBC8I/EP1iJxQdQOVAGFOJVa4AQIUeC+jZckYK+j&#10;2H3w9ywnuM1oRvOoF4fg1Y6mNES2UMwMKOI2uoE7C2+v9+fXoFJGdugjk4VvSrBojo9qrFzc8wvt&#10;1rlTEsKpQgt9zmOldWp7CphmcSQW7SNOAbPQqdNuwr2EB68vjCl1wIGloceRVj21X+ttsPB8towl&#10;BX5fdbd3Xutlevh8erT29KQwN6AyHfKfGX7ny3RoZNMmbtkl5YXPi0uxCpAeUOKYm1LObARcFQZ0&#10;U+v/H5ofUEsDBBQAAAAIAIdO4kDzMy1uzAEAAIsDAAAOAAAAZHJzL2Uyb0RvYy54bWytU0uOEzEQ&#10;3SNxB8t70h/oSaaVzkgQDRsEI81wAMftTlvyT1XO7zRI7DgEx0Fcg7I7ZEbDZhb0wl1VLr+q98pe&#10;3hytYXsFqL3reDUrOVNO+l67bce/Pty+WXCGUbheGO9Ux08K+c3q9avlIbSq9qM3vQJGIA7bQ+j4&#10;GGNoiwLlqKzAmQ/K0ebgwYpILmyLHsSB0K0p6rK8Kg4e+gBeKkSKrqdNfkaElwD6YdBSrb3cWeXi&#10;hArKiEiUcNQB+Sp3OwxKxi/DgCoy03FiGvNKRcjepLVYLUW7BRFGLc8tiJe08IyTFdpR0QvUWkTB&#10;dqD/gbJagkc/xJn0tpiIZEWIRVU+0+Z+FEFlLiQ1hovo+P9g5ef9HTDd002YV00zf/e2uebMCUuT&#10;//3tx6+f31lVJZUOAVtKvg93cPaQzET5OIBNfyLDjlnZ00VZdYxMUrC6WjTXdcOZpL26rheLJmtf&#10;PB4PgPGj8pYlo+NAo8uKiv0njFSSUv+mpGroje5vtTHZge3mgwG2F2nM5fuS0FNcmDCKKTov6UtE&#10;CAen9Ml+imNcOuV8wp1SU6RI3Ce2ydr4/kSa7QLo7UidZnlyDs0oY57vU7oET/2M9PiGVn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KIKat9QAAAALAQAADwAAAAAAAAABACAAAAAiAAAAZHJzL2Rv&#10;d25yZXYueG1sUEsBAhQAFAAAAAgAh07iQPMzLW7MAQAAiwMAAA4AAAAAAAAAAQAgAAAAIwEAAGRy&#10;cy9lMm9Eb2MueG1sUEsFBgAAAAAGAAYAWQEAAGEFAAAAAA==&#10;">
                <v:fill on="t" opacity="45875f" focussize="0,0"/>
                <v:stroke on="f"/>
                <v:imagedata o:title=""/>
                <o:lock v:ext="edit" aspectratio="f"/>
              </v:rect>
            </w:pict>
          </mc:Fallback>
        </mc:AlternateContent>
      </w:r>
      <w:r>
        <mc:AlternateContent>
          <mc:Choice Requires="wpg">
            <w:drawing>
              <wp:anchor distT="0" distB="0" distL="114300" distR="114300" simplePos="0" relativeHeight="251682816" behindDoc="0" locked="0" layoutInCell="1" allowOverlap="1">
                <wp:simplePos x="0" y="0"/>
                <wp:positionH relativeFrom="column">
                  <wp:posOffset>3422015</wp:posOffset>
                </wp:positionH>
                <wp:positionV relativeFrom="paragraph">
                  <wp:posOffset>2498090</wp:posOffset>
                </wp:positionV>
                <wp:extent cx="1371600" cy="847725"/>
                <wp:effectExtent l="0" t="0" r="0" b="9525"/>
                <wp:wrapNone/>
                <wp:docPr id="1887387479" name="组合 10"/>
                <wp:cNvGraphicFramePr/>
                <a:graphic xmlns:a="http://schemas.openxmlformats.org/drawingml/2006/main">
                  <a:graphicData uri="http://schemas.microsoft.com/office/word/2010/wordprocessingGroup">
                    <wpg:wgp>
                      <wpg:cNvGrpSpPr/>
                      <wpg:grpSpPr>
                        <a:xfrm>
                          <a:off x="0" y="0"/>
                          <a:ext cx="1371600" cy="847725"/>
                          <a:chOff x="3787" y="454599"/>
                          <a:chExt cx="2160" cy="1335"/>
                        </a:xfrm>
                      </wpg:grpSpPr>
                      <wps:wsp>
                        <wps:cNvPr id="1243819465" name="文本框 35"/>
                        <wps:cNvSpPr txBox="1"/>
                        <wps:spPr>
                          <a:xfrm>
                            <a:off x="3787" y="454599"/>
                            <a:ext cx="2160" cy="1335"/>
                          </a:xfrm>
                          <a:prstGeom prst="rect">
                            <a:avLst/>
                          </a:prstGeom>
                          <a:noFill/>
                          <a:ln>
                            <a:noFill/>
                          </a:ln>
                        </wps:spPr>
                        <wps:txbx>
                          <w:txbxContent>
                            <w:p w14:paraId="5B79C843">
                              <w:pPr>
                                <w:spacing w:before="78" w:line="240" w:lineRule="auto"/>
                                <w:jc w:val="right"/>
                                <w:rPr>
                                  <w:szCs w:val="21"/>
                                </w:rPr>
                              </w:pPr>
                              <w:r>
                                <w:rPr>
                                  <w:rFonts w:hint="eastAsia"/>
                                  <w:szCs w:val="21"/>
                                </w:rPr>
                                <w:t>一般防渗区</w:t>
                              </w:r>
                            </w:p>
                            <w:p w14:paraId="6A04A4E7">
                              <w:pPr>
                                <w:pStyle w:val="58"/>
                                <w:spacing w:before="78" w:line="240" w:lineRule="auto"/>
                                <w:jc w:val="right"/>
                                <w:rPr>
                                  <w:sz w:val="21"/>
                                  <w:szCs w:val="21"/>
                                </w:rPr>
                              </w:pPr>
                              <w:r>
                                <w:rPr>
                                  <w:rFonts w:hint="eastAsia"/>
                                  <w:sz w:val="21"/>
                                  <w:szCs w:val="21"/>
                                </w:rPr>
                                <w:t>重点防渗区</w:t>
                              </w:r>
                            </w:p>
                            <w:p w14:paraId="4F3727B4">
                              <w:pPr>
                                <w:pStyle w:val="58"/>
                                <w:spacing w:before="78"/>
                                <w:jc w:val="right"/>
                                <w:rPr>
                                  <w:sz w:val="21"/>
                                  <w:szCs w:val="21"/>
                                </w:rPr>
                              </w:pPr>
                              <w:r>
                                <w:rPr>
                                  <w:rFonts w:hint="eastAsia"/>
                                  <w:sz w:val="21"/>
                                  <w:szCs w:val="21"/>
                                </w:rPr>
                                <w:t>其余为简单防渗区</w:t>
                              </w:r>
                            </w:p>
                          </w:txbxContent>
                        </wps:txbx>
                        <wps:bodyPr upright="1"/>
                      </wps:wsp>
                      <wps:wsp>
                        <wps:cNvPr id="1450315757" name="矩形 36"/>
                        <wps:cNvSpPr/>
                        <wps:spPr>
                          <a:xfrm>
                            <a:off x="4281" y="454906"/>
                            <a:ext cx="345" cy="165"/>
                          </a:xfrm>
                          <a:prstGeom prst="rect">
                            <a:avLst/>
                          </a:prstGeom>
                          <a:solidFill>
                            <a:srgbClr val="00B050"/>
                          </a:solidFill>
                          <a:ln w="9525" cap="flat" cmpd="sng">
                            <a:solidFill>
                              <a:srgbClr val="30F651"/>
                            </a:solidFill>
                            <a:prstDash val="solid"/>
                            <a:miter/>
                            <a:headEnd type="none" w="med" len="med"/>
                            <a:tailEnd type="none" w="med" len="med"/>
                          </a:ln>
                        </wps:spPr>
                        <wps:bodyPr upright="1"/>
                      </wps:wsp>
                      <wps:wsp>
                        <wps:cNvPr id="389349507" name="矩形 37"/>
                        <wps:cNvSpPr/>
                        <wps:spPr>
                          <a:xfrm>
                            <a:off x="4281" y="455176"/>
                            <a:ext cx="345" cy="165"/>
                          </a:xfrm>
                          <a:prstGeom prst="rect">
                            <a:avLst/>
                          </a:prstGeom>
                          <a:solidFill>
                            <a:srgbClr val="FF0000"/>
                          </a:solidFill>
                          <a:ln w="9525" cap="flat" cmpd="sng">
                            <a:solidFill>
                              <a:srgbClr val="FF0000"/>
                            </a:solidFill>
                            <a:prstDash val="solid"/>
                            <a:miter/>
                            <a:headEnd type="none" w="med" len="med"/>
                            <a:tailEnd type="none" w="med" len="med"/>
                          </a:ln>
                        </wps:spPr>
                        <wps:bodyPr upright="1"/>
                      </wps:wsp>
                    </wpg:wgp>
                  </a:graphicData>
                </a:graphic>
              </wp:anchor>
            </w:drawing>
          </mc:Choice>
          <mc:Fallback>
            <w:pict>
              <v:group id="组合 10" o:spid="_x0000_s1026" o:spt="203" style="position:absolute;left:0pt;margin-left:269.45pt;margin-top:196.7pt;height:66.75pt;width:108pt;z-index:251682816;mso-width-relative:page;mso-height-relative:page;" coordorigin="3787,454599" coordsize="2160,1335" o:gfxdata="UEsDBAoAAAAAAIdO4kAAAAAAAAAAAAAAAAAEAAAAZHJzL1BLAwQUAAAACACHTuJAmQSr89sAAAAL&#10;AQAADwAAAGRycy9kb3ducmV2LnhtbE2PwU7DMAyG70i8Q2Qkbiztuo61NJ3QBJwmJDYkxC1rvLZa&#10;41RN1m5vjznB0f4//f5crC+2EyMOvnWkIJ5FIJAqZ1qqFXzuXx9WIHzQZHTnCBVc0cO6vL0pdG7c&#10;RB847kItuIR8rhU0IfS5lL5q0Go/cz0SZ0c3WB14HGppBj1xue3kPIqW0uqW+EKje9w0WJ12Z6vg&#10;bdLTcxK/jNvTcXP93qfvX9sYlbq/i6MnEAEv4Q+GX31Wh5KdDu5MxotOQZqsMkYVJFmyAMHEY7rg&#10;zYGj+TIDWRby/w/lD1BLAwQUAAAACACHTuJA0+6E7QoDAAAsCQAADgAAAGRycy9lMm9Eb2MueG1s&#10;1ZbLjtMwFIb3SLyD5T2TpEmai6Ydaeh0NghGGngAN3EuUhJbttt09ghYsmKFhGCHxBsgHmeG1+DY&#10;SWamnYsqLgK6aH05Pj7nO7/t7h+s6wqtqJAlaybY2bMxok3C0rLJJ/jF8/mjECOpSJOSijV0gs+o&#10;xAfThw/2Wx7TEStYlVKBwEkj45ZPcKEUjy1LJgWtidxjnDYwmTFREwVdkVupIC14rytrZNtjq2Ui&#10;5YIlVEoYnXWTuPcodnHIsqxM6Iwly5o2qvMqaEUUpCSLkks8NdFmGU3UsyyTVKFqgiFTZb5hE2gv&#10;9Lc13SdxLggvyqQPgewSwlZONSkb2PTS1YwogpaivOGqLhPBJMvUXsJqq0vEEIEsHHuLzbFgS25y&#10;yeM255fQoVBb1H/abfJ0dSJQmYISwjBww8ALIowaUkPlv399ef72DXIMpZbnMRgfC37KTwRg0wN5&#10;19OJrzNR619ICa0N37NLvnStUAKDjhs4YxvQJzAXekEw8rsCJAVUSS9zgzDACGY93/OjaJg96h2M&#10;YHm32nFds9YadrY24mk5iFNeEZO/Ruy0IJyaQkgNYSA28tzQibyxPxC7ePf64v2Xi4+vUBedDgPs&#10;NTGk1odMM9A56XEJg7eAu5XAAPCe/EnMhVTHlNVINyZYgPaNJMnqiVSwKaAaTPS+DZuXVWX0XzUb&#10;A2CoR4DoEKVuqfVi3Ye+YOkZZLTkoswL2MrkZMyBeZfdn4fv+bbr+IEPeunl+uHz+bdPyB0PhHvy&#10;9/P2RqEzKC6yzVoSD7xdD0qrxepAjTuEg84HlDvSlqwqUw1ck5YiXzyuBFoRfSvZh7Zvjhhw3zCr&#10;GtROcOTDKUEJgas2gysOmjWH4yqb3FR3Y8WGY9eej/2uNFuOdewzIosuAOOhO2l1qagwkigoSY+a&#10;FKkzDjdBAy8B1sHUNMWoovBw6JaxVKSsdrG8XVX/gpTcMHK9yLdvKCnQGV47w33vjpN7TUm+E/wF&#10;Jc3nNnx0zL9ZSXc7/n+UZN4HeEQNnP7B16/09b65867+5Ex/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H4FAABbQ29udGVudF9UeXBlc10ueG1s&#10;UEsBAhQACgAAAAAAh07iQAAAAAAAAAAAAAAAAAYAAAAAAAAAAAAQAAAAYAQAAF9yZWxzL1BLAQIU&#10;ABQAAAAIAIdO4kCKFGY80QAAAJQBAAALAAAAAAAAAAEAIAAAAIQEAABfcmVscy8ucmVsc1BLAQIU&#10;AAoAAAAAAIdO4kAAAAAAAAAAAAAAAAAEAAAAAAAAAAAAEAAAAAAAAABkcnMvUEsBAhQAFAAAAAgA&#10;h07iQJkEq/PbAAAACwEAAA8AAAAAAAAAAQAgAAAAIgAAAGRycy9kb3ducmV2LnhtbFBLAQIUABQA&#10;AAAIAIdO4kDT7oTtCgMAACwJAAAOAAAAAAAAAAEAIAAAACoBAABkcnMvZTJvRG9jLnhtbFBLBQYA&#10;AAAABgAGAFkBAACmBgAAAAA=&#10;">
                <o:lock v:ext="edit" aspectratio="f"/>
                <v:shape id="文本框 35" o:spid="_x0000_s1026" o:spt="202" type="#_x0000_t202" style="position:absolute;left:3787;top:454599;height:1335;width:2160;" filled="f" stroked="f" coordsize="21600,21600" o:gfxdata="UEsDBAoAAAAAAIdO4kAAAAAAAAAAAAAAAAAEAAAAZHJzL1BLAwQUAAAACACHTuJAKMPVRcAAAADj&#10;AAAADwAAAGRycy9kb3ducmV2LnhtbEVPS2vCQBC+F/oflil4q7vRKJq6elAKnir1Bd6G7JiEZmdD&#10;dmviv+8KBY/zvWex6m0tbtT6yrGGZKhAEOfOVFxoOB4+32cgfEA2WDsmDXfysFq+viwwM67jb7rt&#10;QyFiCPsMNZQhNJmUPi/Joh+6hjhyV9daDPFsC2la7GK4reVIqam0WHFsKLGhdUn5z/7Xajh9XS/n&#10;VO2KjZ00neuVZDuXWg/eEvUBIlAfnuJ/99bE+aN0PEvm6XQCj58iAHL5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ow9VF&#10;wAAAAOMAAAAPAAAAAAAAAAEAIAAAACIAAABkcnMvZG93bnJldi54bWxQSwECFAAUAAAACACHTuJA&#10;My8FnjsAAAA5AAAAEAAAAAAAAAABACAAAAAPAQAAZHJzL3NoYXBleG1sLnhtbFBLBQYAAAAABgAG&#10;AFsBAAC5AwAAAAA=&#10;">
                  <v:fill on="f" focussize="0,0"/>
                  <v:stroke on="f"/>
                  <v:imagedata o:title=""/>
                  <o:lock v:ext="edit" aspectratio="f"/>
                  <v:textbox>
                    <w:txbxContent>
                      <w:p w14:paraId="5B79C843">
                        <w:pPr>
                          <w:spacing w:before="78" w:line="240" w:lineRule="auto"/>
                          <w:jc w:val="right"/>
                          <w:rPr>
                            <w:szCs w:val="21"/>
                          </w:rPr>
                        </w:pPr>
                        <w:r>
                          <w:rPr>
                            <w:rFonts w:hint="eastAsia"/>
                            <w:szCs w:val="21"/>
                          </w:rPr>
                          <w:t>一般防渗区</w:t>
                        </w:r>
                      </w:p>
                      <w:p w14:paraId="6A04A4E7">
                        <w:pPr>
                          <w:pStyle w:val="58"/>
                          <w:spacing w:before="78" w:line="240" w:lineRule="auto"/>
                          <w:jc w:val="right"/>
                          <w:rPr>
                            <w:sz w:val="21"/>
                            <w:szCs w:val="21"/>
                          </w:rPr>
                        </w:pPr>
                        <w:r>
                          <w:rPr>
                            <w:rFonts w:hint="eastAsia"/>
                            <w:sz w:val="21"/>
                            <w:szCs w:val="21"/>
                          </w:rPr>
                          <w:t>重点防渗区</w:t>
                        </w:r>
                      </w:p>
                      <w:p w14:paraId="4F3727B4">
                        <w:pPr>
                          <w:pStyle w:val="58"/>
                          <w:spacing w:before="78"/>
                          <w:jc w:val="right"/>
                          <w:rPr>
                            <w:sz w:val="21"/>
                            <w:szCs w:val="21"/>
                          </w:rPr>
                        </w:pPr>
                        <w:r>
                          <w:rPr>
                            <w:rFonts w:hint="eastAsia"/>
                            <w:sz w:val="21"/>
                            <w:szCs w:val="21"/>
                          </w:rPr>
                          <w:t>其余为简单防渗区</w:t>
                        </w:r>
                      </w:p>
                    </w:txbxContent>
                  </v:textbox>
                </v:shape>
                <v:rect id="矩形 36" o:spid="_x0000_s1026" o:spt="1" style="position:absolute;left:4281;top:454906;height:165;width:345;" fillcolor="#00B050" filled="t" stroked="t" coordsize="21600,21600" o:gfxdata="UEsDBAoAAAAAAIdO4kAAAAAAAAAAAAAAAAAEAAAAZHJzL1BLAwQUAAAACACHTuJACedO/cAAAADj&#10;AAAADwAAAGRycy9kb3ducmV2LnhtbEVPvU7DMBDeK/EO1iGxUTtACIS6HYpADF0aIiG2U3zEEfE5&#10;jU1S3h5XQup43/+tNkfXi4nG0HnWkC0VCOLGm45bDfX7y/UDiBCRDfaeScMvBdisLxYrLI2feU9T&#10;FVuRQjiUqMHGOJRShsaSw7D0A3HivvzoMKZzbKUZcU7hrpc3St1Lhx2nBosDbS0139WP03CgV+uf&#10;pw+Hn+ERC79Taq5qra8uM/UEItIxnsX/7jeT5t/l6jbLi7yA008JALn+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J5079&#10;wAAAAOMAAAAPAAAAAAAAAAEAIAAAACIAAABkcnMvZG93bnJldi54bWxQSwECFAAUAAAACACHTuJA&#10;My8FnjsAAAA5AAAAEAAAAAAAAAABACAAAAAPAQAAZHJzL3NoYXBleG1sLnhtbFBLBQYAAAAABgAG&#10;AFsBAAC5AwAAAAA=&#10;">
                  <v:fill on="t" focussize="0,0"/>
                  <v:stroke color="#30F651" joinstyle="miter"/>
                  <v:imagedata o:title=""/>
                  <o:lock v:ext="edit" aspectratio="f"/>
                </v:rect>
                <v:rect id="矩形 37" o:spid="_x0000_s1026" o:spt="1" style="position:absolute;left:4281;top:455176;height:165;width:345;" fillcolor="#FF0000" filled="t" stroked="t" coordsize="21600,21600" o:gfxdata="UEsDBAoAAAAAAIdO4kAAAAAAAAAAAAAAAAAEAAAAZHJzL1BLAwQUAAAACACHTuJAEQF9ksUAAADi&#10;AAAADwAAAGRycy9kb3ducmV2LnhtbEWPQUsDMRSE74L/ITzBm03qWm3Xpj1YF1oKBbvt/bl57q7d&#10;vCxJ3NZ/bwTB4zAz3zDz5cV2YiAfWscaxiMFgrhypuVaw6Es7qYgQkQ22DkmDd8UYLm4vppjbtyZ&#10;32jYx1okCIccNTQx9rmUoWrIYhi5njh5H85bjEn6WhqP5wS3nbxX6lFabDktNNjTS0PVaf9lNaw/&#10;N6dVUQzb96ws/XHzupussp3Wtzdj9Qwi0iX+h//aa6Mhm86yh9lEPcHvpXQH5OIHUEsDBBQAAAAI&#10;AIdO4kAzLwWeOwAAADkAAAAQAAAAZHJzL3NoYXBleG1sLnhtbLOxr8jNUShLLSrOzM+zVTLUM1BS&#10;SM1Lzk/JzEu3VQoNcdO1UFIoLknMS0nMyc9LtVWqTC1Wsrfj5QIAUEsDBAoAAAAAAIdO4kAAAAAA&#10;AAAAAAAAAAAGAAAAX3JlbHMvUEsDBBQAAAAIAIdO4kDVXCYozAAAAI8BAAALAAAAX3JlbHMvLnJl&#10;bHOlkLFqAzEMhvdA38Fo7/mSoZQQX7ZC1pBCV2Hr7kzOlrHMNXn7uJRCL2TLoEG/0PcJ7faXMKmZ&#10;sniOBtZNC4qiZefjYODz9PH6DkoKRocTRzJwJYF997LaHWnCUpdk9ElUpUQxMJaStlqLHSmgNJwo&#10;1knPOWCpbR50QnvGgfSmbd90/s+AbsFUB2cgH9wG1OmaqvmOHbzNLNyXxnLQ3PfePqJqGTHRV5gq&#10;BvNAxYDL8pvW05paoB+b10+aHX/HI81L8U+Yaf7z6sUbuxtQSwMEFAAAAAgAh07iQFrjEWb3AAAA&#10;4gEAABMAAABbQ29udGVudF9UeXBlc10ueG1slZFNT8QgEIbvJv4HMlfTUj0YY0r3YPWoRtcfMIFp&#10;S7YFwmDd/ffS/bgY18QjzLzP+wTq1XYaxUyRrXcKrssKBDntjXW9go/1U3EHghM6g6N3pGBHDKvm&#10;8qJe7wKxyGnHCoaUwr2UrAeakEsfyOVJ5+OEKR9jLwPqDfYkb6rqVmrvErlUpIUBTd1Sh59jEo/b&#10;fH0wiTQyiIfD4tKlAEMYrcaUTeXszI+W4thQ5uR+hwcb+CprgPy1YZmcLzjmXvLTRGtIvGJMzzhl&#10;DWkiS+O/XKS5/BuyWE5c+K6zmso2cptjbzSfrM7RecBAGf1f/PuSO8Hl/oeab1BLAQIUABQAAAAI&#10;AIdO4kBa4xFm9wAAAOIBAAATAAAAAAAAAAEAIAAAAJYCAABbQ29udGVudF9UeXBlc10ueG1sUEsB&#10;AhQACgAAAAAAh07iQAAAAAAAAAAAAAAAAAYAAAAAAAAAAAAQAAAAfQEAAF9yZWxzL1BLAQIUABQA&#10;AAAIAIdO4kDVXCYozAAAAI8BAAALAAAAAAAAAAEAIAAAAKEBAABfcmVscy8ucmVsc1BLAQIUAAoA&#10;AAAAAIdO4kAAAAAAAAAAAAAAAAAEAAAAAAAAAAAAEAAAAAAAAABkcnMvUEsBAhQAFAAAAAgAh07i&#10;QBEBfZLFAAAA4gAAAA8AAAAAAAAAAQAgAAAAIgAAAGRycy9kb3ducmV2LnhtbFBLAQIUABQAAAAI&#10;AIdO4kAzLwWeOwAAADkAAAAQAAAAAAAAAAEAIAAAABQBAABkcnMvc2hhcGV4bWwueG1sUEsFBgAA&#10;AAAGAAYAWwEAAL4DAAAAAA==&#10;">
                  <v:fill on="t" focussize="0,0"/>
                  <v:stroke color="#FF0000" joinstyle="miter"/>
                  <v:imagedata o:title=""/>
                  <o:lock v:ext="edit" aspectratio="f"/>
                </v:rect>
              </v:group>
            </w:pict>
          </mc:Fallback>
        </mc:AlternateContent>
      </w:r>
      <w:r>
        <w:rPr>
          <w:b/>
          <w:bCs/>
          <w:snapToGrid w:val="0"/>
          <w:kern w:val="0"/>
          <w:sz w:val="24"/>
        </w:rPr>
        <w:drawing>
          <wp:inline distT="0" distB="0" distL="0" distR="0">
            <wp:extent cx="4996180" cy="3248025"/>
            <wp:effectExtent l="0" t="0" r="0" b="0"/>
            <wp:docPr id="890057186"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057186" name="图片 64"/>
                    <pic:cNvPicPr>
                      <a:picLocks noChangeAspect="1" noChangeArrowheads="1"/>
                    </pic:cNvPicPr>
                  </pic:nvPicPr>
                  <pic:blipFill>
                    <a:blip r:embed="rId136">
                      <a:extLst>
                        <a:ext uri="{28A0092B-C50C-407E-A947-70E740481C1C}">
                          <a14:useLocalDpi xmlns:a14="http://schemas.microsoft.com/office/drawing/2010/main" val="0"/>
                        </a:ext>
                      </a:extLst>
                    </a:blip>
                    <a:srcRect b="2404"/>
                    <a:stretch>
                      <a:fillRect/>
                    </a:stretch>
                  </pic:blipFill>
                  <pic:spPr>
                    <a:xfrm>
                      <a:off x="0" y="0"/>
                      <a:ext cx="5022826" cy="3265126"/>
                    </a:xfrm>
                    <a:prstGeom prst="rect">
                      <a:avLst/>
                    </a:prstGeom>
                    <a:noFill/>
                    <a:ln>
                      <a:noFill/>
                    </a:ln>
                  </pic:spPr>
                </pic:pic>
              </a:graphicData>
            </a:graphic>
          </wp:inline>
        </w:drawing>
      </w:r>
    </w:p>
    <w:p w14:paraId="732E518F">
      <w:pPr>
        <w:adjustRightInd w:val="0"/>
        <w:snapToGrid w:val="0"/>
        <w:spacing w:before="0" w:beforeLines="0" w:line="360" w:lineRule="auto"/>
        <w:jc w:val="center"/>
        <w:rPr>
          <w:snapToGrid w:val="0"/>
          <w:kern w:val="0"/>
          <w:sz w:val="24"/>
        </w:rPr>
      </w:pPr>
      <w:r>
        <w:rPr>
          <w:rFonts w:hint="eastAsia"/>
          <w:b/>
          <w:bCs/>
          <w:snapToGrid w:val="0"/>
          <w:kern w:val="0"/>
          <w:sz w:val="24"/>
        </w:rPr>
        <w:t>图</w:t>
      </w:r>
      <w:r>
        <w:rPr>
          <w:b/>
          <w:bCs/>
          <w:snapToGrid w:val="0"/>
          <w:kern w:val="0"/>
          <w:sz w:val="24"/>
        </w:rPr>
        <w:t>6.2-2</w:t>
      </w:r>
      <w:r>
        <w:rPr>
          <w:rFonts w:hint="eastAsia"/>
          <w:b/>
          <w:bCs/>
          <w:snapToGrid w:val="0"/>
          <w:kern w:val="0"/>
          <w:sz w:val="24"/>
        </w:rPr>
        <w:t xml:space="preserve">  分区防渗图</w:t>
      </w:r>
    </w:p>
    <w:p w14:paraId="52FBC9B1">
      <w:pPr>
        <w:spacing w:before="0" w:beforeLines="0" w:line="360" w:lineRule="auto"/>
        <w:ind w:firstLine="482" w:firstLineChars="200"/>
        <w:rPr>
          <w:b/>
          <w:snapToGrid w:val="0"/>
          <w:kern w:val="0"/>
          <w:sz w:val="24"/>
        </w:rPr>
      </w:pPr>
      <w:r>
        <w:rPr>
          <w:rFonts w:hint="eastAsia"/>
          <w:b/>
          <w:snapToGrid w:val="0"/>
          <w:kern w:val="0"/>
          <w:sz w:val="24"/>
        </w:rPr>
        <w:t>一、简单防渗区</w:t>
      </w:r>
    </w:p>
    <w:p w14:paraId="20757720">
      <w:pPr>
        <w:spacing w:before="0" w:beforeLines="0" w:line="360" w:lineRule="auto"/>
        <w:ind w:firstLine="480" w:firstLineChars="200"/>
        <w:rPr>
          <w:snapToGrid w:val="0"/>
          <w:kern w:val="0"/>
          <w:sz w:val="24"/>
        </w:rPr>
      </w:pPr>
      <w:r>
        <w:rPr>
          <w:rFonts w:hint="eastAsia"/>
          <w:snapToGrid w:val="0"/>
          <w:kern w:val="0"/>
          <w:sz w:val="24"/>
        </w:rPr>
        <w:t>厂区道路、办公区、绿化带、变配电站等一般不会产生地下水污染的区域为简单防渗区。简单防渗区一般不需要采取防渗措施，为防止污染区的污染物漫流到简单防渗区，需要采取有效的措施，如简单防渗区设置在地势较高处，或设置一定高度的围堰、边沟等。</w:t>
      </w:r>
    </w:p>
    <w:p w14:paraId="5567C8B6">
      <w:pPr>
        <w:spacing w:before="0" w:beforeLines="0" w:line="360" w:lineRule="auto"/>
        <w:ind w:firstLine="482" w:firstLineChars="200"/>
        <w:rPr>
          <w:b/>
          <w:snapToGrid w:val="0"/>
          <w:kern w:val="0"/>
          <w:sz w:val="24"/>
        </w:rPr>
      </w:pPr>
      <w:r>
        <w:rPr>
          <w:rFonts w:hint="eastAsia"/>
          <w:b/>
          <w:snapToGrid w:val="0"/>
          <w:kern w:val="0"/>
          <w:sz w:val="24"/>
        </w:rPr>
        <w:t>二、一般防渗区</w:t>
      </w:r>
    </w:p>
    <w:p w14:paraId="098BCFE7">
      <w:pPr>
        <w:spacing w:before="0" w:beforeLines="0" w:line="360" w:lineRule="auto"/>
        <w:ind w:firstLine="480" w:firstLineChars="200"/>
        <w:rPr>
          <w:snapToGrid w:val="0"/>
          <w:kern w:val="0"/>
          <w:sz w:val="24"/>
        </w:rPr>
      </w:pPr>
      <w:r>
        <w:rPr>
          <w:rFonts w:hint="eastAsia"/>
          <w:snapToGrid w:val="0"/>
          <w:kern w:val="0"/>
          <w:sz w:val="24"/>
        </w:rPr>
        <w:t>一般防渗区是对地下水环境有污染的物料或污染物泄漏后，可及时发现和处理的区域。一般防渗区包括</w:t>
      </w:r>
      <w:r>
        <w:rPr>
          <w:rFonts w:hint="eastAsia"/>
          <w:snapToGrid w:val="0"/>
          <w:kern w:val="0"/>
          <w:sz w:val="24"/>
          <w:szCs w:val="21"/>
        </w:rPr>
        <w:t>抛砂车间、机制砂库、重选车间、球磨车间、破碎车间</w:t>
      </w:r>
      <w:r>
        <w:rPr>
          <w:rFonts w:hint="eastAsia"/>
          <w:snapToGrid w:val="0"/>
          <w:kern w:val="0"/>
          <w:sz w:val="24"/>
        </w:rPr>
        <w:t>等。</w:t>
      </w:r>
    </w:p>
    <w:p w14:paraId="53B385F7">
      <w:pPr>
        <w:spacing w:before="0" w:beforeLines="0" w:line="360" w:lineRule="auto"/>
        <w:ind w:firstLine="482" w:firstLineChars="200"/>
        <w:rPr>
          <w:b/>
          <w:snapToGrid w:val="0"/>
          <w:kern w:val="0"/>
          <w:sz w:val="24"/>
        </w:rPr>
      </w:pPr>
      <w:r>
        <w:rPr>
          <w:rFonts w:hint="eastAsia"/>
          <w:b/>
          <w:snapToGrid w:val="0"/>
          <w:kern w:val="0"/>
          <w:sz w:val="24"/>
        </w:rPr>
        <w:t>一般防渗区的防渗要求：</w:t>
      </w:r>
    </w:p>
    <w:p w14:paraId="292745A6">
      <w:pPr>
        <w:spacing w:before="0" w:beforeLines="0" w:line="360" w:lineRule="auto"/>
        <w:ind w:firstLine="480" w:firstLineChars="200"/>
        <w:rPr>
          <w:snapToGrid w:val="0"/>
          <w:kern w:val="0"/>
          <w:sz w:val="24"/>
        </w:rPr>
      </w:pPr>
      <w:r>
        <w:rPr>
          <w:snapToGrid w:val="0"/>
          <w:kern w:val="0"/>
          <w:sz w:val="24"/>
        </w:rPr>
        <w:t>防渗性能不应低于1.5m厚渗透系数为1.0×10</w:t>
      </w:r>
      <w:r>
        <w:rPr>
          <w:snapToGrid w:val="0"/>
          <w:kern w:val="0"/>
          <w:sz w:val="24"/>
          <w:vertAlign w:val="superscript"/>
        </w:rPr>
        <w:t>-7</w:t>
      </w:r>
      <w:r>
        <w:rPr>
          <w:snapToGrid w:val="0"/>
          <w:kern w:val="0"/>
          <w:sz w:val="24"/>
        </w:rPr>
        <w:t>cm/s的粘土层的防渗性能。</w:t>
      </w:r>
    </w:p>
    <w:p w14:paraId="62A7C0E0">
      <w:pPr>
        <w:spacing w:before="0" w:beforeLines="0" w:line="360" w:lineRule="auto"/>
        <w:ind w:firstLine="480" w:firstLineChars="200"/>
        <w:rPr>
          <w:snapToGrid w:val="0"/>
          <w:kern w:val="0"/>
          <w:sz w:val="24"/>
        </w:rPr>
      </w:pPr>
      <w:r>
        <w:rPr>
          <w:snapToGrid w:val="0"/>
          <w:kern w:val="0"/>
          <w:sz w:val="24"/>
        </w:rPr>
        <w:t>地面防渗层可采用粘土、抗渗混凝土</w:t>
      </w:r>
      <w:r>
        <w:rPr>
          <w:rFonts w:hint="eastAsia"/>
          <w:snapToGrid w:val="0"/>
          <w:kern w:val="0"/>
          <w:sz w:val="24"/>
        </w:rPr>
        <w:t>、高密度聚乙烯（</w:t>
      </w:r>
      <w:r>
        <w:rPr>
          <w:snapToGrid w:val="0"/>
          <w:kern w:val="0"/>
          <w:sz w:val="24"/>
        </w:rPr>
        <w:t>HDPE</w:t>
      </w:r>
      <w:r>
        <w:rPr>
          <w:rFonts w:hint="eastAsia"/>
          <w:snapToGrid w:val="0"/>
          <w:kern w:val="0"/>
          <w:sz w:val="24"/>
        </w:rPr>
        <w:t>）</w:t>
      </w:r>
      <w:r>
        <w:rPr>
          <w:snapToGrid w:val="0"/>
          <w:kern w:val="0"/>
          <w:sz w:val="24"/>
        </w:rPr>
        <w:t>膜、钠基膨润土防水毯或其他防渗性能等效的材料</w:t>
      </w:r>
      <w:r>
        <w:rPr>
          <w:rFonts w:hint="eastAsia"/>
          <w:snapToGrid w:val="0"/>
          <w:kern w:val="0"/>
          <w:sz w:val="24"/>
        </w:rPr>
        <w:t>：</w:t>
      </w:r>
    </w:p>
    <w:p w14:paraId="589F4DD4">
      <w:pPr>
        <w:spacing w:before="0" w:beforeLines="0" w:line="360" w:lineRule="auto"/>
        <w:ind w:firstLine="480" w:firstLineChars="200"/>
        <w:rPr>
          <w:snapToGrid w:val="0"/>
          <w:kern w:val="0"/>
          <w:sz w:val="24"/>
        </w:rPr>
      </w:pPr>
      <w:r>
        <w:rPr>
          <w:rFonts w:hint="eastAsia"/>
          <w:snapToGrid w:val="0"/>
          <w:kern w:val="0"/>
          <w:sz w:val="24"/>
        </w:rPr>
        <w:t>（1）</w:t>
      </w:r>
      <w:r>
        <w:rPr>
          <w:snapToGrid w:val="0"/>
          <w:kern w:val="0"/>
          <w:sz w:val="24"/>
        </w:rPr>
        <w:t>采用粘土防渗层时防渗层顶面宜采用混凝土地面或设置厚度不小于200mm的砂石层；</w:t>
      </w:r>
    </w:p>
    <w:p w14:paraId="7279B2E7">
      <w:pPr>
        <w:spacing w:before="0" w:beforeLines="0" w:line="360" w:lineRule="auto"/>
        <w:ind w:firstLine="480" w:firstLineChars="200"/>
        <w:rPr>
          <w:snapToGrid w:val="0"/>
          <w:kern w:val="0"/>
          <w:sz w:val="24"/>
        </w:rPr>
      </w:pPr>
      <w:r>
        <w:rPr>
          <w:rFonts w:hint="eastAsia"/>
          <w:snapToGrid w:val="0"/>
          <w:kern w:val="0"/>
          <w:sz w:val="24"/>
        </w:rPr>
        <w:t>（2）</w:t>
      </w:r>
      <w:r>
        <w:rPr>
          <w:snapToGrid w:val="0"/>
          <w:kern w:val="0"/>
          <w:sz w:val="24"/>
        </w:rPr>
        <w:t>采用混凝土防渗层时混凝土的强度等级不应低于C25，抗渗等级不应低于P6，厚度不应小于100mm</w:t>
      </w:r>
      <w:r>
        <w:rPr>
          <w:rFonts w:hint="eastAsia"/>
          <w:snapToGrid w:val="0"/>
          <w:kern w:val="0"/>
          <w:sz w:val="24"/>
        </w:rPr>
        <w:t>；</w:t>
      </w:r>
    </w:p>
    <w:p w14:paraId="41D12F8B">
      <w:pPr>
        <w:spacing w:before="0" w:beforeLines="0" w:line="360" w:lineRule="auto"/>
        <w:ind w:firstLine="480" w:firstLineChars="200"/>
        <w:rPr>
          <w:snapToGrid w:val="0"/>
          <w:kern w:val="0"/>
          <w:sz w:val="24"/>
        </w:rPr>
      </w:pPr>
      <w:r>
        <w:rPr>
          <w:rFonts w:hint="eastAsia"/>
          <w:snapToGrid w:val="0"/>
          <w:kern w:val="0"/>
          <w:sz w:val="24"/>
        </w:rPr>
        <w:t>（3）采用高密度聚乙烯（</w:t>
      </w:r>
      <w:r>
        <w:rPr>
          <w:snapToGrid w:val="0"/>
          <w:kern w:val="0"/>
          <w:sz w:val="24"/>
        </w:rPr>
        <w:t>HDPE</w:t>
      </w:r>
      <w:r>
        <w:rPr>
          <w:rFonts w:hint="eastAsia"/>
          <w:snapToGrid w:val="0"/>
          <w:kern w:val="0"/>
          <w:sz w:val="24"/>
        </w:rPr>
        <w:t>）</w:t>
      </w:r>
      <w:r>
        <w:rPr>
          <w:snapToGrid w:val="0"/>
          <w:kern w:val="0"/>
          <w:sz w:val="24"/>
        </w:rPr>
        <w:t>膜</w:t>
      </w:r>
      <w:r>
        <w:rPr>
          <w:rFonts w:hint="eastAsia"/>
          <w:snapToGrid w:val="0"/>
          <w:kern w:val="0"/>
          <w:sz w:val="24"/>
        </w:rPr>
        <w:t>防渗层，</w:t>
      </w:r>
      <w:r>
        <w:rPr>
          <w:snapToGrid w:val="0"/>
          <w:kern w:val="0"/>
          <w:sz w:val="24"/>
        </w:rPr>
        <w:t>厚度不宜小于1.50mm，埋深</w:t>
      </w:r>
      <w:r>
        <w:rPr>
          <w:rFonts w:hint="eastAsia"/>
          <w:snapToGrid w:val="0"/>
          <w:kern w:val="0"/>
          <w:sz w:val="24"/>
        </w:rPr>
        <w:t>不宜小于</w:t>
      </w:r>
      <w:r>
        <w:rPr>
          <w:snapToGrid w:val="0"/>
          <w:kern w:val="0"/>
          <w:sz w:val="24"/>
        </w:rPr>
        <w:t>300mm</w:t>
      </w:r>
      <w:r>
        <w:rPr>
          <w:rFonts w:hint="eastAsia"/>
          <w:snapToGrid w:val="0"/>
          <w:kern w:val="0"/>
          <w:sz w:val="24"/>
        </w:rPr>
        <w:t>。</w:t>
      </w:r>
      <w:r>
        <w:rPr>
          <w:snapToGrid w:val="0"/>
          <w:kern w:val="0"/>
          <w:sz w:val="24"/>
        </w:rPr>
        <w:t>膜上、膜下应设置保护层，保护层可采用长丝无纺土工布，</w:t>
      </w:r>
      <w:r>
        <w:rPr>
          <w:rFonts w:hint="eastAsia"/>
          <w:snapToGrid w:val="0"/>
          <w:kern w:val="0"/>
          <w:sz w:val="24"/>
        </w:rPr>
        <w:t>膜下保护层也可采用不含尖锐颗粒的砂层，厚度不宜小于</w:t>
      </w:r>
      <w:r>
        <w:rPr>
          <w:snapToGrid w:val="0"/>
          <w:kern w:val="0"/>
          <w:sz w:val="24"/>
        </w:rPr>
        <w:t>l</w:t>
      </w:r>
      <w:r>
        <w:rPr>
          <w:rFonts w:hint="eastAsia"/>
          <w:snapToGrid w:val="0"/>
          <w:kern w:val="0"/>
          <w:sz w:val="24"/>
        </w:rPr>
        <w:t>00</w:t>
      </w:r>
      <w:r>
        <w:rPr>
          <w:snapToGrid w:val="0"/>
          <w:kern w:val="0"/>
          <w:sz w:val="24"/>
        </w:rPr>
        <w:t>mm</w:t>
      </w:r>
      <w:r>
        <w:rPr>
          <w:rFonts w:hint="eastAsia"/>
          <w:snapToGrid w:val="0"/>
          <w:kern w:val="0"/>
          <w:sz w:val="24"/>
        </w:rPr>
        <w:t>。</w:t>
      </w:r>
      <w:r>
        <w:rPr>
          <w:snapToGrid w:val="0"/>
          <w:kern w:val="0"/>
          <w:sz w:val="24"/>
        </w:rPr>
        <w:t>膜上保护层以</w:t>
      </w:r>
      <w:r>
        <w:rPr>
          <w:rFonts w:hint="eastAsia"/>
          <w:snapToGrid w:val="0"/>
          <w:kern w:val="0"/>
          <w:sz w:val="24"/>
        </w:rPr>
        <w:t>上</w:t>
      </w:r>
      <w:r>
        <w:rPr>
          <w:snapToGrid w:val="0"/>
          <w:kern w:val="0"/>
          <w:sz w:val="24"/>
        </w:rPr>
        <w:t>应设置砂石层，厚度不宜小于200mm。</w:t>
      </w:r>
    </w:p>
    <w:p w14:paraId="1119C96E">
      <w:pPr>
        <w:spacing w:before="0" w:beforeLines="0" w:line="360" w:lineRule="auto"/>
        <w:ind w:firstLine="480" w:firstLineChars="200"/>
        <w:rPr>
          <w:snapToGrid w:val="0"/>
          <w:kern w:val="0"/>
          <w:sz w:val="24"/>
        </w:rPr>
      </w:pPr>
      <w:r>
        <w:rPr>
          <w:rFonts w:hint="eastAsia"/>
          <w:snapToGrid w:val="0"/>
          <w:kern w:val="0"/>
          <w:sz w:val="24"/>
        </w:rPr>
        <w:t>一般污染防治区的典型防渗结构见图</w:t>
      </w:r>
      <w:r>
        <w:rPr>
          <w:snapToGrid w:val="0"/>
          <w:kern w:val="0"/>
          <w:sz w:val="24"/>
        </w:rPr>
        <w:t>6.2-3</w:t>
      </w:r>
      <w:r>
        <w:rPr>
          <w:rFonts w:hint="eastAsia"/>
          <w:snapToGrid w:val="0"/>
          <w:kern w:val="0"/>
          <w:sz w:val="24"/>
        </w:rPr>
        <w:t>。</w:t>
      </w:r>
    </w:p>
    <w:p w14:paraId="255143F3">
      <w:pPr>
        <w:adjustRightInd w:val="0"/>
        <w:spacing w:before="0" w:beforeLines="0" w:line="360" w:lineRule="auto"/>
        <w:jc w:val="center"/>
      </w:pPr>
      <w:r>
        <w:drawing>
          <wp:inline distT="0" distB="0" distL="0" distR="0">
            <wp:extent cx="2571750" cy="1942465"/>
            <wp:effectExtent l="0" t="0" r="0" b="635"/>
            <wp:docPr id="14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2"/>
                    <pic:cNvPicPr>
                      <a:picLocks noChangeAspect="1" noChangeArrowheads="1"/>
                    </pic:cNvPicPr>
                  </pic:nvPicPr>
                  <pic:blipFill>
                    <a:blip r:embed="rId137" cstate="print"/>
                    <a:srcRect l="38393" t="36133" r="37646" b="34518"/>
                    <a:stretch>
                      <a:fillRect/>
                    </a:stretch>
                  </pic:blipFill>
                  <pic:spPr>
                    <a:xfrm>
                      <a:off x="0" y="0"/>
                      <a:ext cx="2582466" cy="1950939"/>
                    </a:xfrm>
                    <a:prstGeom prst="rect">
                      <a:avLst/>
                    </a:prstGeom>
                    <a:noFill/>
                    <a:ln w="9525">
                      <a:noFill/>
                      <a:miter lim="800000"/>
                      <a:headEnd/>
                      <a:tailEnd/>
                    </a:ln>
                  </pic:spPr>
                </pic:pic>
              </a:graphicData>
            </a:graphic>
          </wp:inline>
        </w:drawing>
      </w:r>
    </w:p>
    <w:p w14:paraId="39A88397">
      <w:pPr>
        <w:spacing w:before="0" w:beforeLines="0" w:line="360" w:lineRule="auto"/>
        <w:jc w:val="center"/>
        <w:rPr>
          <w:b/>
          <w:bCs/>
          <w:sz w:val="24"/>
        </w:rPr>
      </w:pPr>
      <w:r>
        <w:rPr>
          <w:rFonts w:hint="eastAsia"/>
          <w:b/>
          <w:bCs/>
          <w:sz w:val="24"/>
        </w:rPr>
        <w:t>图</w:t>
      </w:r>
      <w:r>
        <w:rPr>
          <w:b/>
          <w:bCs/>
          <w:sz w:val="24"/>
        </w:rPr>
        <w:t>6.2-3</w:t>
      </w:r>
      <w:r>
        <w:rPr>
          <w:rFonts w:hint="eastAsia"/>
          <w:b/>
          <w:bCs/>
          <w:sz w:val="24"/>
        </w:rPr>
        <w:t xml:space="preserve">  一般污染防治区典型防渗结构示意图</w:t>
      </w:r>
    </w:p>
    <w:p w14:paraId="10CD082F">
      <w:pPr>
        <w:spacing w:before="0" w:beforeLines="0" w:line="360" w:lineRule="auto"/>
        <w:ind w:firstLine="482" w:firstLineChars="200"/>
        <w:rPr>
          <w:b/>
          <w:snapToGrid w:val="0"/>
          <w:kern w:val="0"/>
          <w:sz w:val="24"/>
        </w:rPr>
      </w:pPr>
      <w:r>
        <w:rPr>
          <w:rFonts w:hint="eastAsia"/>
          <w:b/>
          <w:snapToGrid w:val="0"/>
          <w:kern w:val="0"/>
          <w:sz w:val="24"/>
        </w:rPr>
        <w:t>三、重点防渗区</w:t>
      </w:r>
    </w:p>
    <w:p w14:paraId="24BF9BC3">
      <w:pPr>
        <w:spacing w:before="0" w:beforeLines="0" w:line="360" w:lineRule="auto"/>
        <w:ind w:firstLine="480" w:firstLineChars="200"/>
        <w:rPr>
          <w:snapToGrid w:val="0"/>
          <w:kern w:val="0"/>
          <w:sz w:val="24"/>
        </w:rPr>
      </w:pPr>
      <w:r>
        <w:rPr>
          <w:snapToGrid w:val="0"/>
          <w:kern w:val="0"/>
          <w:sz w:val="24"/>
        </w:rPr>
        <w:t>重点污染防治区</w:t>
      </w:r>
      <w:r>
        <w:rPr>
          <w:rFonts w:hint="eastAsia"/>
          <w:snapToGrid w:val="0"/>
          <w:kern w:val="0"/>
          <w:sz w:val="24"/>
        </w:rPr>
        <w:t>指</w:t>
      </w:r>
      <w:r>
        <w:rPr>
          <w:snapToGrid w:val="0"/>
          <w:kern w:val="0"/>
          <w:sz w:val="24"/>
        </w:rPr>
        <w:t>位于地下或半地下的生产功能单元，污染地下水环境的物料泄漏不容易及时发现和处理的区域</w:t>
      </w:r>
      <w:r>
        <w:rPr>
          <w:rFonts w:hint="eastAsia"/>
          <w:snapToGrid w:val="0"/>
          <w:kern w:val="0"/>
          <w:sz w:val="24"/>
        </w:rPr>
        <w:t>，</w:t>
      </w:r>
      <w:r>
        <w:rPr>
          <w:snapToGrid w:val="0"/>
          <w:kern w:val="0"/>
          <w:sz w:val="24"/>
        </w:rPr>
        <w:t>主要</w:t>
      </w:r>
      <w:r>
        <w:rPr>
          <w:rFonts w:hint="eastAsia"/>
          <w:snapToGrid w:val="0"/>
          <w:kern w:val="0"/>
          <w:sz w:val="24"/>
        </w:rPr>
        <w:t>为</w:t>
      </w:r>
      <w:r>
        <w:rPr>
          <w:rFonts w:hint="eastAsia"/>
          <w:snapToGrid w:val="0"/>
          <w:kern w:val="0"/>
          <w:sz w:val="24"/>
          <w:szCs w:val="21"/>
        </w:rPr>
        <w:t>危险物贮存点、浓缩罐、压滤车间、物料池循环水池</w:t>
      </w:r>
      <w:r>
        <w:rPr>
          <w:rFonts w:hint="eastAsia"/>
          <w:snapToGrid w:val="0"/>
          <w:kern w:val="0"/>
          <w:sz w:val="24"/>
        </w:rPr>
        <w:t>等。</w:t>
      </w:r>
    </w:p>
    <w:p w14:paraId="65C75384">
      <w:pPr>
        <w:spacing w:before="0" w:beforeLines="0" w:line="360" w:lineRule="auto"/>
        <w:ind w:firstLine="482" w:firstLineChars="200"/>
        <w:rPr>
          <w:snapToGrid w:val="0"/>
          <w:kern w:val="0"/>
          <w:sz w:val="24"/>
        </w:rPr>
      </w:pPr>
      <w:r>
        <w:rPr>
          <w:rFonts w:hint="eastAsia"/>
          <w:b/>
          <w:snapToGrid w:val="0"/>
          <w:kern w:val="0"/>
          <w:sz w:val="24"/>
        </w:rPr>
        <w:t>重点防渗区防渗层</w:t>
      </w:r>
      <w:r>
        <w:rPr>
          <w:snapToGrid w:val="0"/>
          <w:kern w:val="0"/>
          <w:sz w:val="24"/>
        </w:rPr>
        <w:t>防渗性能不应低于6.0m厚渗透系数为1.0×10</w:t>
      </w:r>
      <w:r>
        <w:rPr>
          <w:snapToGrid w:val="0"/>
          <w:kern w:val="0"/>
          <w:sz w:val="24"/>
          <w:vertAlign w:val="superscript"/>
        </w:rPr>
        <w:t>-7</w:t>
      </w:r>
      <w:r>
        <w:rPr>
          <w:snapToGrid w:val="0"/>
          <w:kern w:val="0"/>
          <w:sz w:val="24"/>
        </w:rPr>
        <w:t>cm/s的粘土层的防渗性能。</w:t>
      </w:r>
    </w:p>
    <w:p w14:paraId="2ADBDA54">
      <w:pPr>
        <w:adjustRightInd w:val="0"/>
        <w:spacing w:before="0" w:beforeLines="0" w:line="360" w:lineRule="auto"/>
        <w:ind w:firstLine="480" w:firstLineChars="200"/>
        <w:jc w:val="center"/>
        <w:rPr>
          <w:snapToGrid w:val="0"/>
          <w:kern w:val="0"/>
          <w:sz w:val="24"/>
        </w:rPr>
      </w:pPr>
      <w:r>
        <w:rPr>
          <w:kern w:val="0"/>
          <w:sz w:val="24"/>
        </w:rPr>
        <w:drawing>
          <wp:inline distT="0" distB="0" distL="0" distR="0">
            <wp:extent cx="2809875" cy="2025015"/>
            <wp:effectExtent l="0" t="0" r="0" b="0"/>
            <wp:docPr id="14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1"/>
                    <pic:cNvPicPr>
                      <a:picLocks noChangeAspect="1" noChangeArrowheads="1"/>
                    </pic:cNvPicPr>
                  </pic:nvPicPr>
                  <pic:blipFill>
                    <a:blip r:embed="rId138" cstate="print"/>
                    <a:srcRect l="36386" t="37796" r="40779" b="30855"/>
                    <a:stretch>
                      <a:fillRect/>
                    </a:stretch>
                  </pic:blipFill>
                  <pic:spPr>
                    <a:xfrm>
                      <a:off x="0" y="0"/>
                      <a:ext cx="2815291" cy="2029447"/>
                    </a:xfrm>
                    <a:prstGeom prst="rect">
                      <a:avLst/>
                    </a:prstGeom>
                    <a:noFill/>
                    <a:ln w="9525">
                      <a:noFill/>
                      <a:miter lim="800000"/>
                      <a:headEnd/>
                      <a:tailEnd/>
                    </a:ln>
                  </pic:spPr>
                </pic:pic>
              </a:graphicData>
            </a:graphic>
          </wp:inline>
        </w:drawing>
      </w:r>
    </w:p>
    <w:p w14:paraId="4F538728">
      <w:pPr>
        <w:spacing w:before="0" w:beforeLines="0" w:line="360" w:lineRule="auto"/>
        <w:jc w:val="center"/>
        <w:rPr>
          <w:b/>
          <w:bCs/>
          <w:sz w:val="24"/>
        </w:rPr>
      </w:pPr>
      <w:r>
        <w:rPr>
          <w:rFonts w:hint="eastAsia"/>
          <w:b/>
          <w:bCs/>
          <w:sz w:val="24"/>
        </w:rPr>
        <w:t>图</w:t>
      </w:r>
      <w:r>
        <w:rPr>
          <w:b/>
          <w:bCs/>
          <w:sz w:val="24"/>
        </w:rPr>
        <w:t>6.2-4</w:t>
      </w:r>
      <w:r>
        <w:rPr>
          <w:rFonts w:hint="eastAsia"/>
          <w:b/>
          <w:bCs/>
          <w:sz w:val="24"/>
        </w:rPr>
        <w:t xml:space="preserve">  重点污染防治区典型防渗结构示意图</w:t>
      </w:r>
    </w:p>
    <w:p w14:paraId="5274DDAD">
      <w:pPr>
        <w:spacing w:before="0" w:beforeLines="0" w:line="360" w:lineRule="auto"/>
        <w:ind w:firstLine="482" w:firstLineChars="200"/>
        <w:rPr>
          <w:snapToGrid w:val="0"/>
          <w:kern w:val="0"/>
          <w:sz w:val="24"/>
        </w:rPr>
      </w:pPr>
      <w:r>
        <w:rPr>
          <w:rFonts w:hint="eastAsia"/>
          <w:b/>
          <w:snapToGrid w:val="0"/>
          <w:kern w:val="0"/>
          <w:sz w:val="24"/>
        </w:rPr>
        <w:t>重点防渗区水池</w:t>
      </w:r>
      <w:r>
        <w:rPr>
          <w:rFonts w:hint="eastAsia"/>
          <w:snapToGrid w:val="0"/>
          <w:kern w:val="0"/>
          <w:sz w:val="24"/>
        </w:rPr>
        <w:t>除应符合一般水池的要求外，还应符合下列要求：</w:t>
      </w:r>
    </w:p>
    <w:p w14:paraId="68690F03">
      <w:pPr>
        <w:spacing w:before="0" w:beforeLines="0" w:line="360" w:lineRule="auto"/>
        <w:ind w:firstLine="480" w:firstLineChars="200"/>
        <w:rPr>
          <w:snapToGrid w:val="0"/>
          <w:kern w:val="0"/>
          <w:sz w:val="24"/>
        </w:rPr>
      </w:pPr>
      <w:r>
        <w:rPr>
          <w:rFonts w:hint="eastAsia"/>
          <w:snapToGrid w:val="0"/>
          <w:kern w:val="0"/>
          <w:sz w:val="24"/>
        </w:rPr>
        <w:t>（1）水池的内表面应涂刷水泥基渗透结晶型或喷涂聚脲等防水涂料，或在混凝土内掺加水泥基渗透结晶型防水剂。</w:t>
      </w:r>
    </w:p>
    <w:p w14:paraId="2171C5C7">
      <w:pPr>
        <w:spacing w:before="0" w:beforeLines="0" w:line="360" w:lineRule="auto"/>
        <w:ind w:firstLine="480" w:firstLineChars="200"/>
        <w:rPr>
          <w:snapToGrid w:val="0"/>
          <w:kern w:val="0"/>
          <w:sz w:val="24"/>
        </w:rPr>
      </w:pPr>
      <w:r>
        <w:rPr>
          <w:rFonts w:hint="eastAsia"/>
          <w:snapToGrid w:val="0"/>
          <w:kern w:val="0"/>
          <w:sz w:val="24"/>
        </w:rPr>
        <w:t>（2）水泥基渗透结晶型防水涂料厚度不应小于</w:t>
      </w:r>
      <w:r>
        <w:rPr>
          <w:snapToGrid w:val="0"/>
          <w:kern w:val="0"/>
          <w:sz w:val="24"/>
        </w:rPr>
        <w:t>1.0mm，喷涂聚脲防水涂料厚度不应小于1</w:t>
      </w:r>
      <w:r>
        <w:rPr>
          <w:rFonts w:hint="eastAsia"/>
          <w:snapToGrid w:val="0"/>
          <w:kern w:val="0"/>
          <w:sz w:val="24"/>
        </w:rPr>
        <w:t>.</w:t>
      </w:r>
      <w:r>
        <w:rPr>
          <w:snapToGrid w:val="0"/>
          <w:kern w:val="0"/>
          <w:sz w:val="24"/>
        </w:rPr>
        <w:t>5mm。</w:t>
      </w:r>
    </w:p>
    <w:p w14:paraId="24BD150C">
      <w:pPr>
        <w:spacing w:before="0" w:beforeLines="0" w:line="360" w:lineRule="auto"/>
        <w:ind w:firstLine="480" w:firstLineChars="200"/>
        <w:rPr>
          <w:snapToGrid w:val="0"/>
          <w:kern w:val="0"/>
          <w:sz w:val="24"/>
        </w:rPr>
      </w:pPr>
      <w:r>
        <w:rPr>
          <w:rFonts w:hint="eastAsia"/>
          <w:snapToGrid w:val="0"/>
          <w:kern w:val="0"/>
          <w:sz w:val="24"/>
        </w:rPr>
        <w:t>（3）当混凝土内掺加水泥基渗透结晶型防水剂时，掺量宜为胶凝材料总量的</w:t>
      </w:r>
      <w:r>
        <w:rPr>
          <w:snapToGrid w:val="0"/>
          <w:kern w:val="0"/>
          <w:sz w:val="24"/>
        </w:rPr>
        <w:t>1%～2%。</w:t>
      </w:r>
    </w:p>
    <w:p w14:paraId="04DD3837">
      <w:pPr>
        <w:adjustRightInd w:val="0"/>
        <w:spacing w:before="0" w:beforeLines="0" w:line="360" w:lineRule="auto"/>
        <w:jc w:val="center"/>
        <w:rPr>
          <w:snapToGrid w:val="0"/>
          <w:kern w:val="0"/>
          <w:sz w:val="24"/>
        </w:rPr>
      </w:pPr>
      <w:r>
        <w:rPr>
          <w:kern w:val="0"/>
          <w:sz w:val="24"/>
        </w:rPr>
        <w:drawing>
          <wp:inline distT="0" distB="0" distL="0" distR="0">
            <wp:extent cx="3514725" cy="2246630"/>
            <wp:effectExtent l="0" t="0" r="0" b="1270"/>
            <wp:docPr id="147"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59"/>
                    <pic:cNvPicPr>
                      <a:picLocks noChangeAspect="1" noChangeArrowheads="1"/>
                    </pic:cNvPicPr>
                  </pic:nvPicPr>
                  <pic:blipFill>
                    <a:blip r:embed="rId139"/>
                    <a:srcRect t="3004"/>
                    <a:stretch>
                      <a:fillRect/>
                    </a:stretch>
                  </pic:blipFill>
                  <pic:spPr>
                    <a:xfrm>
                      <a:off x="0" y="0"/>
                      <a:ext cx="3527987" cy="2255656"/>
                    </a:xfrm>
                    <a:prstGeom prst="rect">
                      <a:avLst/>
                    </a:prstGeom>
                    <a:noFill/>
                    <a:ln w="9525">
                      <a:noFill/>
                      <a:miter lim="800000"/>
                      <a:headEnd/>
                      <a:tailEnd/>
                    </a:ln>
                  </pic:spPr>
                </pic:pic>
              </a:graphicData>
            </a:graphic>
          </wp:inline>
        </w:drawing>
      </w:r>
    </w:p>
    <w:p w14:paraId="35C25B11">
      <w:pPr>
        <w:adjustRightInd w:val="0"/>
        <w:spacing w:before="0" w:beforeLines="0" w:line="360" w:lineRule="auto"/>
        <w:jc w:val="center"/>
        <w:rPr>
          <w:b/>
          <w:bCs/>
          <w:sz w:val="24"/>
        </w:rPr>
      </w:pPr>
      <w:r>
        <w:rPr>
          <w:rFonts w:hint="eastAsia"/>
          <w:b/>
          <w:bCs/>
          <w:sz w:val="24"/>
        </w:rPr>
        <w:t>图</w:t>
      </w:r>
      <w:r>
        <w:rPr>
          <w:b/>
          <w:bCs/>
          <w:sz w:val="24"/>
        </w:rPr>
        <w:t>6.2-5</w:t>
      </w:r>
      <w:r>
        <w:rPr>
          <w:rFonts w:hint="eastAsia"/>
          <w:b/>
          <w:bCs/>
          <w:sz w:val="24"/>
        </w:rPr>
        <w:t xml:space="preserve">  污水处理池防渗示意图</w:t>
      </w:r>
    </w:p>
    <w:p w14:paraId="7C2C60C8">
      <w:pPr>
        <w:spacing w:before="0" w:beforeLines="0" w:line="360" w:lineRule="auto"/>
        <w:rPr>
          <w:b/>
          <w:bCs/>
          <w:sz w:val="24"/>
        </w:rPr>
      </w:pPr>
      <w:bookmarkStart w:id="592" w:name="_Toc460309961"/>
      <w:bookmarkStart w:id="593" w:name="_Toc31211"/>
      <w:bookmarkStart w:id="594" w:name="_Toc26294"/>
      <w:bookmarkStart w:id="595" w:name="_Toc13587"/>
      <w:bookmarkStart w:id="596" w:name="_Toc481168515"/>
      <w:bookmarkStart w:id="597" w:name="_Toc26771"/>
      <w:bookmarkStart w:id="598" w:name="_Toc27201"/>
      <w:r>
        <w:rPr>
          <w:b/>
          <w:bCs/>
          <w:sz w:val="24"/>
        </w:rPr>
        <w:t>6.2.6.3</w:t>
      </w:r>
      <w:r>
        <w:rPr>
          <w:rFonts w:hint="eastAsia"/>
          <w:b/>
          <w:bCs/>
          <w:sz w:val="24"/>
        </w:rPr>
        <w:t>地下水跟踪监测计划</w:t>
      </w:r>
      <w:bookmarkEnd w:id="592"/>
      <w:bookmarkEnd w:id="593"/>
      <w:bookmarkEnd w:id="594"/>
      <w:bookmarkEnd w:id="595"/>
      <w:bookmarkEnd w:id="596"/>
      <w:bookmarkEnd w:id="597"/>
      <w:bookmarkEnd w:id="598"/>
    </w:p>
    <w:p w14:paraId="4D89CF0B">
      <w:pPr>
        <w:spacing w:before="0" w:beforeLines="0" w:line="360" w:lineRule="auto"/>
        <w:ind w:firstLine="480" w:firstLineChars="200"/>
        <w:rPr>
          <w:snapToGrid w:val="0"/>
          <w:kern w:val="0"/>
          <w:sz w:val="24"/>
        </w:rPr>
      </w:pPr>
      <w:r>
        <w:rPr>
          <w:rFonts w:hint="eastAsia"/>
          <w:snapToGrid w:val="0"/>
          <w:kern w:val="0"/>
          <w:sz w:val="24"/>
        </w:rPr>
        <w:t>根据《环境影响评价技术导则</w:t>
      </w:r>
      <w:r>
        <w:rPr>
          <w:snapToGrid w:val="0"/>
          <w:kern w:val="0"/>
          <w:sz w:val="24"/>
        </w:rPr>
        <w:t>-地下水环境》（HJ610-2016）</w:t>
      </w:r>
      <w:r>
        <w:rPr>
          <w:rFonts w:hint="eastAsia"/>
          <w:snapToGrid w:val="0"/>
          <w:kern w:val="0"/>
          <w:sz w:val="24"/>
        </w:rPr>
        <w:t>及《工业企业土壤和地下水自行监测 技术指南（试行）》（HJ 1209-2021）要求，</w:t>
      </w:r>
      <w:r>
        <w:rPr>
          <w:snapToGrid w:val="0"/>
          <w:kern w:val="0"/>
          <w:sz w:val="24"/>
        </w:rPr>
        <w:t>在</w:t>
      </w:r>
      <w:r>
        <w:rPr>
          <w:rFonts w:hint="eastAsia"/>
          <w:snapToGrid w:val="0"/>
          <w:kern w:val="0"/>
          <w:sz w:val="24"/>
        </w:rPr>
        <w:t>建设项目</w:t>
      </w:r>
      <w:r>
        <w:rPr>
          <w:snapToGrid w:val="0"/>
          <w:kern w:val="0"/>
          <w:sz w:val="24"/>
        </w:rPr>
        <w:t>及周边地区设置一定数量地下水质污染监控井，建立地下水水质污染监控、预警体系</w:t>
      </w:r>
      <w:r>
        <w:rPr>
          <w:rFonts w:hint="eastAsia"/>
          <w:snapToGrid w:val="0"/>
          <w:kern w:val="0"/>
          <w:sz w:val="24"/>
        </w:rPr>
        <w:t>。</w:t>
      </w:r>
    </w:p>
    <w:p w14:paraId="3AD8B289">
      <w:pPr>
        <w:spacing w:before="0" w:beforeLines="0" w:line="360" w:lineRule="auto"/>
        <w:ind w:firstLine="480" w:firstLineChars="200"/>
        <w:rPr>
          <w:snapToGrid w:val="0"/>
          <w:kern w:val="0"/>
          <w:sz w:val="24"/>
        </w:rPr>
      </w:pPr>
      <w:r>
        <w:rPr>
          <w:rFonts w:hint="eastAsia"/>
          <w:snapToGrid w:val="0"/>
          <w:kern w:val="0"/>
          <w:sz w:val="24"/>
        </w:rPr>
        <w:t>（1）跟踪监测点布设</w:t>
      </w:r>
    </w:p>
    <w:p w14:paraId="26460DEF">
      <w:pPr>
        <w:spacing w:before="0" w:beforeLines="0" w:line="360" w:lineRule="auto"/>
        <w:ind w:firstLine="480" w:firstLineChars="200"/>
        <w:rPr>
          <w:snapToGrid w:val="0"/>
          <w:kern w:val="0"/>
          <w:sz w:val="24"/>
        </w:rPr>
      </w:pPr>
      <w:r>
        <w:rPr>
          <w:rFonts w:hint="eastAsia"/>
          <w:snapToGrid w:val="0"/>
          <w:kern w:val="0"/>
          <w:sz w:val="24"/>
        </w:rPr>
        <w:t>拟布设3个跟踪监测点，厂区上游下游、厂区内各设置1个监测点位。</w:t>
      </w:r>
    </w:p>
    <w:p w14:paraId="68914D55">
      <w:pPr>
        <w:spacing w:before="0" w:beforeLines="0" w:line="360" w:lineRule="auto"/>
        <w:ind w:firstLine="480" w:firstLineChars="200"/>
        <w:rPr>
          <w:snapToGrid w:val="0"/>
          <w:kern w:val="0"/>
          <w:sz w:val="24"/>
        </w:rPr>
      </w:pPr>
      <w:r>
        <w:rPr>
          <w:rFonts w:hint="eastAsia"/>
          <w:snapToGrid w:val="0"/>
          <w:kern w:val="0"/>
          <w:sz w:val="24"/>
        </w:rPr>
        <w:t>（2）监测层位及井深：第四系孔隙水及基岩裂隙水含水层，井深20-30</w:t>
      </w:r>
      <w:r>
        <w:rPr>
          <w:snapToGrid w:val="0"/>
          <w:kern w:val="0"/>
          <w:sz w:val="24"/>
        </w:rPr>
        <w:t>m左右。</w:t>
      </w:r>
    </w:p>
    <w:p w14:paraId="2950A8F8">
      <w:pPr>
        <w:spacing w:before="0" w:beforeLines="0" w:line="360" w:lineRule="auto"/>
        <w:ind w:firstLine="480" w:firstLineChars="200"/>
        <w:rPr>
          <w:snapToGrid w:val="0"/>
          <w:kern w:val="0"/>
          <w:sz w:val="24"/>
        </w:rPr>
      </w:pPr>
      <w:r>
        <w:rPr>
          <w:rFonts w:hint="eastAsia"/>
          <w:snapToGrid w:val="0"/>
          <w:kern w:val="0"/>
          <w:sz w:val="24"/>
        </w:rPr>
        <w:t>（3）监测项目</w:t>
      </w:r>
    </w:p>
    <w:p w14:paraId="166F0BF0">
      <w:pPr>
        <w:spacing w:before="0" w:beforeLines="0" w:line="360" w:lineRule="auto"/>
        <w:ind w:firstLine="480" w:firstLineChars="200"/>
        <w:rPr>
          <w:snapToGrid w:val="0"/>
          <w:kern w:val="0"/>
          <w:sz w:val="24"/>
        </w:rPr>
      </w:pPr>
      <w:r>
        <w:rPr>
          <w:rFonts w:hint="eastAsia"/>
          <w:snapToGrid w:val="0"/>
          <w:kern w:val="0"/>
          <w:sz w:val="24"/>
        </w:rPr>
        <w:t>确定地下水监测项目为：色（度）、嗅和味、浑浊度（度）、肉眼可见物、pH、总硬度（以CaCO3计）、溶解性总固体、硫酸盐、氯化物、铁、锰、铜、锌、铝、挥发性酚类（以苯酚计）、阴离子表面活性剂、耗氧量、硝酸盐（以N计）、亚硝酸盐（以N计）、氨氮、硫化物、钠、氟化物、碘化物、氰化物、汞、砷、硒、镉、六价铬、铅、三氯甲烷、四氯化碳、苯、甲苯、总大肠菌群、细菌总数、石油类、铍、钒、钛</w:t>
      </w:r>
      <w:r>
        <w:rPr>
          <w:snapToGrid w:val="0"/>
          <w:kern w:val="0"/>
          <w:sz w:val="24"/>
        </w:rPr>
        <w:t>，同时监测地下水位、水温。</w:t>
      </w:r>
      <w:r>
        <w:rPr>
          <w:rFonts w:hint="eastAsia"/>
          <w:snapToGrid w:val="0"/>
          <w:kern w:val="0"/>
          <w:sz w:val="24"/>
        </w:rPr>
        <w:t>水质标准执行</w:t>
      </w:r>
      <w:r>
        <w:rPr>
          <w:snapToGrid w:val="0"/>
          <w:kern w:val="0"/>
          <w:sz w:val="24"/>
        </w:rPr>
        <w:t>《地下水质量标准》（GB/T14848-</w:t>
      </w:r>
      <w:r>
        <w:rPr>
          <w:rFonts w:hint="eastAsia"/>
          <w:snapToGrid w:val="0"/>
          <w:kern w:val="0"/>
          <w:sz w:val="24"/>
        </w:rPr>
        <w:t>2017</w:t>
      </w:r>
      <w:r>
        <w:rPr>
          <w:snapToGrid w:val="0"/>
          <w:kern w:val="0"/>
          <w:sz w:val="24"/>
        </w:rPr>
        <w:t>）</w:t>
      </w:r>
      <w:r>
        <w:rPr>
          <w:snapToGrid w:val="0"/>
          <w:kern w:val="0"/>
          <w:sz w:val="24"/>
        </w:rPr>
        <w:fldChar w:fldCharType="begin"/>
      </w:r>
      <w:r>
        <w:rPr>
          <w:snapToGrid w:val="0"/>
          <w:kern w:val="0"/>
          <w:sz w:val="24"/>
        </w:rPr>
        <w:instrText xml:space="preserve"> = 3 \* ROMAN </w:instrText>
      </w:r>
      <w:r>
        <w:rPr>
          <w:snapToGrid w:val="0"/>
          <w:kern w:val="0"/>
          <w:sz w:val="24"/>
        </w:rPr>
        <w:fldChar w:fldCharType="separate"/>
      </w:r>
      <w:r>
        <w:rPr>
          <w:snapToGrid w:val="0"/>
          <w:kern w:val="0"/>
          <w:sz w:val="24"/>
        </w:rPr>
        <w:t>III</w:t>
      </w:r>
      <w:r>
        <w:rPr>
          <w:snapToGrid w:val="0"/>
          <w:kern w:val="0"/>
          <w:sz w:val="24"/>
        </w:rPr>
        <w:fldChar w:fldCharType="end"/>
      </w:r>
      <w:r>
        <w:rPr>
          <w:snapToGrid w:val="0"/>
          <w:kern w:val="0"/>
          <w:sz w:val="24"/>
        </w:rPr>
        <w:t>类标准。</w:t>
      </w:r>
    </w:p>
    <w:p w14:paraId="3D29A17F">
      <w:pPr>
        <w:spacing w:before="0" w:beforeLines="0" w:line="360" w:lineRule="auto"/>
        <w:ind w:firstLine="480" w:firstLineChars="200"/>
        <w:rPr>
          <w:snapToGrid w:val="0"/>
          <w:kern w:val="0"/>
          <w:sz w:val="24"/>
        </w:rPr>
      </w:pPr>
      <w:r>
        <w:rPr>
          <w:rFonts w:hint="eastAsia"/>
          <w:snapToGrid w:val="0"/>
          <w:kern w:val="0"/>
          <w:sz w:val="24"/>
        </w:rPr>
        <w:t>（4）监测频率</w:t>
      </w:r>
    </w:p>
    <w:p w14:paraId="01255E88">
      <w:pPr>
        <w:spacing w:before="0" w:beforeLines="0" w:line="360" w:lineRule="auto"/>
        <w:ind w:firstLine="480" w:firstLineChars="200"/>
        <w:rPr>
          <w:snapToGrid w:val="0"/>
          <w:kern w:val="0"/>
          <w:sz w:val="24"/>
        </w:rPr>
      </w:pPr>
      <w:r>
        <w:rPr>
          <w:rFonts w:hint="eastAsia"/>
          <w:snapToGrid w:val="0"/>
          <w:kern w:val="0"/>
          <w:sz w:val="24"/>
        </w:rPr>
        <w:t>根据地下水《地下水环境监测技术规范》（</w:t>
      </w:r>
      <w:r>
        <w:rPr>
          <w:snapToGrid w:val="0"/>
          <w:kern w:val="0"/>
          <w:sz w:val="24"/>
        </w:rPr>
        <w:t>HJ164-20</w:t>
      </w:r>
      <w:r>
        <w:rPr>
          <w:rFonts w:hint="eastAsia"/>
          <w:snapToGrid w:val="0"/>
          <w:kern w:val="0"/>
          <w:sz w:val="24"/>
        </w:rPr>
        <w:t>20）及《工业企业土壤和地下水自行监测 技术指南（试行）》（HJ 1209-2021）要求进行布置。</w:t>
      </w:r>
    </w:p>
    <w:p w14:paraId="11A82F45">
      <w:pPr>
        <w:pStyle w:val="5"/>
        <w:spacing w:before="156" w:after="156"/>
        <w:rPr>
          <w:color w:val="auto"/>
        </w:rPr>
      </w:pPr>
      <w:r>
        <w:rPr>
          <w:color w:val="auto"/>
        </w:rPr>
        <w:t>6.2.7生态保护措施</w:t>
      </w:r>
    </w:p>
    <w:p w14:paraId="7C2A35D1">
      <w:pPr>
        <w:pStyle w:val="190"/>
        <w:ind w:firstLine="480"/>
      </w:pPr>
      <w:r>
        <w:t>绿色植被是生态系统的基础，是初级生产者。良好的植被是建立人工生态系统的先决条件。绿化不但能美化环境，保护生态，还可起到防尘、防噪、吸收有害气体等作用，为了弥补工程带来的绿地破坏和对生态环境的影响，企业应加强绿化工作的重视，将绿化工作作为一项环保工程对待，尽可能充实厂区内的闲置、零散区域进行绿化，在围墙附近实施立体绿化，因此，绿化工作是实施本项目的组成部分。</w:t>
      </w:r>
    </w:p>
    <w:p w14:paraId="7A5F90C4">
      <w:pPr>
        <w:pStyle w:val="190"/>
        <w:ind w:firstLine="0" w:firstLineChars="0"/>
        <w:rPr>
          <w:b/>
          <w:bCs/>
        </w:rPr>
      </w:pPr>
      <w:r>
        <w:rPr>
          <w:rFonts w:hint="eastAsia"/>
          <w:b/>
          <w:bCs/>
        </w:rPr>
        <w:t>（1）</w:t>
      </w:r>
      <w:r>
        <w:rPr>
          <w:b/>
          <w:bCs/>
        </w:rPr>
        <w:t>生产区</w:t>
      </w:r>
    </w:p>
    <w:p w14:paraId="3F419EC6">
      <w:pPr>
        <w:pStyle w:val="190"/>
        <w:ind w:firstLine="480"/>
      </w:pPr>
      <w:r>
        <w:t>根据生产区不同特点选栽不同的树种。各车间周围种植以减少噪音和吸尘为主的常绿灌木及草皮；</w:t>
      </w:r>
      <w:r>
        <w:rPr>
          <w:rFonts w:hint="eastAsia"/>
        </w:rPr>
        <w:t>厂区</w:t>
      </w:r>
      <w:r>
        <w:t>周围在不影响正常工作的前提下种植高大树木，以防大风起尘力争做到绿树成荫，绿荫铺地。</w:t>
      </w:r>
    </w:p>
    <w:p w14:paraId="5374D73D">
      <w:pPr>
        <w:pStyle w:val="190"/>
        <w:ind w:firstLine="0" w:firstLineChars="0"/>
        <w:rPr>
          <w:b/>
          <w:bCs/>
        </w:rPr>
      </w:pPr>
      <w:r>
        <w:rPr>
          <w:rFonts w:hint="eastAsia"/>
          <w:b/>
          <w:bCs/>
        </w:rPr>
        <w:t>（2）</w:t>
      </w:r>
      <w:r>
        <w:rPr>
          <w:b/>
          <w:bCs/>
        </w:rPr>
        <w:t>道路、围墙</w:t>
      </w:r>
    </w:p>
    <w:p w14:paraId="447219AC">
      <w:pPr>
        <w:pStyle w:val="190"/>
        <w:ind w:firstLine="480"/>
      </w:pPr>
      <w:r>
        <w:rPr>
          <w:rFonts w:hint="eastAsia"/>
        </w:rPr>
        <w:t>设置厂区围墙，明确</w:t>
      </w:r>
      <w:r>
        <w:rPr>
          <w:rFonts w:hint="eastAsia"/>
          <w:lang w:eastAsia="zh-CN"/>
        </w:rPr>
        <w:t>厂区</w:t>
      </w:r>
      <w:r>
        <w:rPr>
          <w:rFonts w:hint="eastAsia"/>
        </w:rPr>
        <w:t>范围；</w:t>
      </w:r>
      <w:r>
        <w:t>厂区主干道路和其它道路两旁，分别种植常绿灌木和草皮等。厂区围墙内外种植杨树、槐树等落叶乔木。</w:t>
      </w:r>
    </w:p>
    <w:p w14:paraId="684FC581">
      <w:pPr>
        <w:pStyle w:val="190"/>
        <w:ind w:firstLine="0" w:firstLineChars="0"/>
      </w:pPr>
      <w:r>
        <w:rPr>
          <w:rFonts w:hint="eastAsia"/>
          <w:b/>
          <w:bCs/>
        </w:rPr>
        <w:t>（3）</w:t>
      </w:r>
      <w:r>
        <w:rPr>
          <w:b/>
          <w:bCs/>
        </w:rPr>
        <w:t>厂区内尚未利用土地</w:t>
      </w:r>
    </w:p>
    <w:p w14:paraId="5758E6E4">
      <w:pPr>
        <w:pStyle w:val="190"/>
        <w:ind w:firstLine="480"/>
      </w:pPr>
      <w:r>
        <w:t>应及时种植草坪、树木，不宜进行绿化的土地应进行硬化处理，尽可能减少厂区内裸地面积，以避免风吹扬尘产生。</w:t>
      </w:r>
    </w:p>
    <w:p w14:paraId="60F078FD">
      <w:pPr>
        <w:pStyle w:val="190"/>
        <w:ind w:firstLine="0" w:firstLineChars="0"/>
        <w:rPr>
          <w:b/>
          <w:bCs/>
        </w:rPr>
      </w:pPr>
      <w:r>
        <w:rPr>
          <w:rFonts w:hint="eastAsia"/>
          <w:b/>
          <w:bCs/>
        </w:rPr>
        <w:t>（4）生态恢复</w:t>
      </w:r>
    </w:p>
    <w:p w14:paraId="5B430BCD">
      <w:pPr>
        <w:pStyle w:val="190"/>
        <w:ind w:firstLine="480"/>
      </w:pPr>
      <w:r>
        <w:rPr>
          <w:rFonts w:hint="eastAsia"/>
        </w:rPr>
        <w:t>项目实施后，对现有已破坏土地进行生态恢复。</w:t>
      </w:r>
    </w:p>
    <w:p w14:paraId="4B6CCF84">
      <w:pPr>
        <w:pStyle w:val="190"/>
        <w:ind w:firstLine="480"/>
      </w:pPr>
      <w:r>
        <w:rPr>
          <w:rFonts w:hint="eastAsia"/>
        </w:rPr>
        <w:t>企业对周围裸露地面及时绿化，做好周围水土保持工作，项目运行阶段不会对地表土壤和植被造成大面积损毁，对该区域整体区域景观生态格局和功能的影响较小。因此，通过采取以上措施使得本项目周围生态环境影响较小，措施可行。</w:t>
      </w:r>
    </w:p>
    <w:p w14:paraId="089E8A6E">
      <w:pPr>
        <w:pStyle w:val="3"/>
        <w:keepNext w:val="0"/>
        <w:pageBreakBefore/>
        <w:ind w:left="360" w:hanging="360"/>
        <w:rPr>
          <w:color w:val="auto"/>
        </w:rPr>
      </w:pPr>
      <w:bookmarkStart w:id="599" w:name="_Toc239274287"/>
      <w:r>
        <w:rPr>
          <w:color w:val="auto"/>
        </w:rPr>
        <w:t>7.环境风险评价</w:t>
      </w:r>
      <w:bookmarkEnd w:id="583"/>
      <w:bookmarkEnd w:id="599"/>
    </w:p>
    <w:p w14:paraId="45314A05">
      <w:pPr>
        <w:spacing w:before="78" w:line="360" w:lineRule="auto"/>
        <w:ind w:firstLine="480" w:firstLineChars="200"/>
        <w:rPr>
          <w:sz w:val="24"/>
        </w:rPr>
      </w:pPr>
      <w:bookmarkStart w:id="600" w:name="_Toc515537869"/>
      <w:r>
        <w:rPr>
          <w:sz w:val="24"/>
        </w:rPr>
        <w:t>环境风险评价以突发性事故导致的危险物质环境急性损害防控为目标，对建设项目的环境风险进行分析、预测和评估，提出环境风险预防、控制、减缓措施，明确环境风险监控及应急要求，为建设项目环境风险防控提供科学依据。</w:t>
      </w:r>
    </w:p>
    <w:p w14:paraId="0EF1742A">
      <w:pPr>
        <w:pStyle w:val="4"/>
        <w:rPr>
          <w:rFonts w:ascii="Times New Roman" w:hAnsi="Times New Roman" w:eastAsia="宋体"/>
          <w:color w:val="auto"/>
          <w:kern w:val="0"/>
        </w:rPr>
      </w:pPr>
      <w:bookmarkStart w:id="601" w:name="_Toc239274288"/>
      <w:r>
        <w:rPr>
          <w:rFonts w:ascii="Times New Roman" w:hAnsi="Times New Roman" w:eastAsia="宋体"/>
          <w:color w:val="auto"/>
          <w:kern w:val="0"/>
        </w:rPr>
        <w:t>7.1</w:t>
      </w:r>
      <w:r>
        <w:rPr>
          <w:rFonts w:hint="eastAsia" w:ascii="Times New Roman" w:hAnsi="Times New Roman" w:eastAsia="宋体"/>
          <w:color w:val="auto"/>
          <w:kern w:val="0"/>
        </w:rPr>
        <w:t>风险源</w:t>
      </w:r>
      <w:bookmarkEnd w:id="601"/>
    </w:p>
    <w:p w14:paraId="60023AA2">
      <w:pPr>
        <w:pStyle w:val="135"/>
        <w:spacing w:before="0" w:beforeLines="0" w:line="360" w:lineRule="auto"/>
        <w:ind w:firstLine="482" w:firstLineChars="200"/>
        <w:jc w:val="left"/>
        <w:rPr>
          <w:b/>
          <w:bCs/>
          <w:kern w:val="2"/>
          <w:sz w:val="24"/>
          <w:szCs w:val="24"/>
        </w:rPr>
      </w:pPr>
      <w:r>
        <w:rPr>
          <w:b/>
          <w:bCs/>
          <w:kern w:val="2"/>
          <w:sz w:val="24"/>
          <w:szCs w:val="24"/>
        </w:rPr>
        <w:fldChar w:fldCharType="begin"/>
      </w:r>
      <w:r>
        <w:rPr>
          <w:b/>
          <w:bCs/>
          <w:kern w:val="2"/>
          <w:sz w:val="24"/>
          <w:szCs w:val="24"/>
        </w:rPr>
        <w:instrText xml:space="preserve"> = 1 \* GB2 \* MERGEFORMAT </w:instrText>
      </w:r>
      <w:r>
        <w:rPr>
          <w:b/>
          <w:bCs/>
          <w:kern w:val="2"/>
          <w:sz w:val="24"/>
          <w:szCs w:val="24"/>
        </w:rPr>
        <w:fldChar w:fldCharType="separate"/>
      </w:r>
      <w:r>
        <w:rPr>
          <w:b/>
          <w:bCs/>
          <w:kern w:val="2"/>
          <w:sz w:val="24"/>
          <w:szCs w:val="24"/>
        </w:rPr>
        <w:t>⑴</w:t>
      </w:r>
      <w:r>
        <w:rPr>
          <w:b/>
          <w:bCs/>
          <w:kern w:val="2"/>
          <w:sz w:val="24"/>
          <w:szCs w:val="24"/>
        </w:rPr>
        <w:fldChar w:fldCharType="end"/>
      </w:r>
      <w:r>
        <w:rPr>
          <w:b/>
          <w:bCs/>
          <w:kern w:val="2"/>
          <w:sz w:val="24"/>
          <w:szCs w:val="24"/>
        </w:rPr>
        <w:t>风险调查</w:t>
      </w:r>
    </w:p>
    <w:p w14:paraId="50904EB7">
      <w:pPr>
        <w:pStyle w:val="135"/>
        <w:spacing w:before="0" w:beforeLines="0" w:line="360" w:lineRule="auto"/>
        <w:ind w:firstLine="480" w:firstLineChars="200"/>
        <w:jc w:val="left"/>
        <w:rPr>
          <w:kern w:val="2"/>
          <w:sz w:val="24"/>
          <w:szCs w:val="24"/>
        </w:rPr>
      </w:pPr>
      <w:r>
        <w:rPr>
          <w:kern w:val="2"/>
          <w:sz w:val="24"/>
          <w:szCs w:val="24"/>
        </w:rPr>
        <w:t>本项目设备维修时产生少量废矿物油，属于易燃易爆物质。具体情况见下表。</w:t>
      </w:r>
    </w:p>
    <w:p w14:paraId="4B28919B">
      <w:pPr>
        <w:pStyle w:val="135"/>
        <w:spacing w:before="0" w:beforeLines="0" w:line="240" w:lineRule="auto"/>
        <w:ind w:firstLine="422" w:firstLineChars="200"/>
        <w:jc w:val="center"/>
        <w:rPr>
          <w:b/>
          <w:bCs/>
          <w:kern w:val="2"/>
          <w:szCs w:val="21"/>
        </w:rPr>
      </w:pPr>
      <w:r>
        <w:rPr>
          <w:b/>
          <w:bCs/>
          <w:kern w:val="2"/>
          <w:szCs w:val="21"/>
        </w:rPr>
        <w:t>表7.1-1  风险源一览表</w:t>
      </w:r>
    </w:p>
    <w:tbl>
      <w:tblPr>
        <w:tblStyle w:val="89"/>
        <w:tblW w:w="4998" w:type="pct"/>
        <w:jc w:val="center"/>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Layout w:type="autofit"/>
        <w:tblCellMar>
          <w:top w:w="0" w:type="dxa"/>
          <w:left w:w="108" w:type="dxa"/>
          <w:bottom w:w="0" w:type="dxa"/>
          <w:right w:w="108" w:type="dxa"/>
        </w:tblCellMar>
      </w:tblPr>
      <w:tblGrid>
        <w:gridCol w:w="1063"/>
        <w:gridCol w:w="2017"/>
        <w:gridCol w:w="1358"/>
        <w:gridCol w:w="1418"/>
        <w:gridCol w:w="2453"/>
      </w:tblGrid>
      <w:tr w14:paraId="44AEA077">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33" w:hRule="atLeast"/>
          <w:jc w:val="center"/>
        </w:trPr>
        <w:tc>
          <w:tcPr>
            <w:tcW w:w="640" w:type="pct"/>
            <w:vAlign w:val="center"/>
          </w:tcPr>
          <w:p w14:paraId="6E66B9F4">
            <w:pPr>
              <w:spacing w:before="0" w:beforeLines="0" w:line="240" w:lineRule="auto"/>
              <w:jc w:val="center"/>
              <w:rPr>
                <w:szCs w:val="21"/>
              </w:rPr>
            </w:pPr>
            <w:r>
              <w:rPr>
                <w:szCs w:val="21"/>
              </w:rPr>
              <w:t>序号</w:t>
            </w:r>
          </w:p>
        </w:tc>
        <w:tc>
          <w:tcPr>
            <w:tcW w:w="1214" w:type="pct"/>
            <w:vAlign w:val="center"/>
          </w:tcPr>
          <w:p w14:paraId="75F8ACE4">
            <w:pPr>
              <w:spacing w:before="0" w:beforeLines="0" w:line="240" w:lineRule="auto"/>
              <w:jc w:val="center"/>
              <w:rPr>
                <w:szCs w:val="21"/>
              </w:rPr>
            </w:pPr>
            <w:r>
              <w:rPr>
                <w:szCs w:val="21"/>
              </w:rPr>
              <w:t>物质名称</w:t>
            </w:r>
          </w:p>
        </w:tc>
        <w:tc>
          <w:tcPr>
            <w:tcW w:w="817" w:type="pct"/>
            <w:vAlign w:val="center"/>
          </w:tcPr>
          <w:p w14:paraId="600D8C5B">
            <w:pPr>
              <w:spacing w:before="0" w:beforeLines="0" w:line="240" w:lineRule="auto"/>
              <w:jc w:val="center"/>
              <w:rPr>
                <w:szCs w:val="21"/>
              </w:rPr>
            </w:pPr>
            <w:r>
              <w:rPr>
                <w:szCs w:val="21"/>
              </w:rPr>
              <w:t>形态</w:t>
            </w:r>
          </w:p>
        </w:tc>
        <w:tc>
          <w:tcPr>
            <w:tcW w:w="853" w:type="pct"/>
            <w:vAlign w:val="center"/>
          </w:tcPr>
          <w:p w14:paraId="02CE5DB2">
            <w:pPr>
              <w:spacing w:before="0" w:beforeLines="0" w:line="240" w:lineRule="auto"/>
              <w:jc w:val="center"/>
              <w:rPr>
                <w:szCs w:val="21"/>
              </w:rPr>
            </w:pPr>
            <w:r>
              <w:rPr>
                <w:szCs w:val="21"/>
              </w:rPr>
              <w:t>最大存在量/t</w:t>
            </w:r>
          </w:p>
        </w:tc>
        <w:tc>
          <w:tcPr>
            <w:tcW w:w="1476" w:type="pct"/>
            <w:vAlign w:val="center"/>
          </w:tcPr>
          <w:p w14:paraId="41ED38F3">
            <w:pPr>
              <w:spacing w:before="0" w:beforeLines="0" w:line="240" w:lineRule="auto"/>
              <w:jc w:val="center"/>
              <w:rPr>
                <w:szCs w:val="21"/>
              </w:rPr>
            </w:pPr>
            <w:r>
              <w:rPr>
                <w:szCs w:val="21"/>
              </w:rPr>
              <w:t>分布</w:t>
            </w:r>
          </w:p>
        </w:tc>
      </w:tr>
      <w:tr w14:paraId="7F3D0CD0">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44" w:hRule="atLeast"/>
          <w:jc w:val="center"/>
        </w:trPr>
        <w:tc>
          <w:tcPr>
            <w:tcW w:w="640" w:type="pct"/>
            <w:vAlign w:val="center"/>
          </w:tcPr>
          <w:p w14:paraId="7A4ECC12">
            <w:pPr>
              <w:spacing w:before="0" w:beforeLines="0" w:line="240" w:lineRule="auto"/>
              <w:jc w:val="center"/>
              <w:rPr>
                <w:szCs w:val="21"/>
              </w:rPr>
            </w:pPr>
            <w:r>
              <w:rPr>
                <w:szCs w:val="21"/>
              </w:rPr>
              <w:t>1</w:t>
            </w:r>
          </w:p>
        </w:tc>
        <w:tc>
          <w:tcPr>
            <w:tcW w:w="1214" w:type="pct"/>
            <w:vAlign w:val="center"/>
          </w:tcPr>
          <w:p w14:paraId="3BF7BC62">
            <w:pPr>
              <w:spacing w:before="0" w:beforeLines="0" w:line="240" w:lineRule="auto"/>
              <w:jc w:val="center"/>
              <w:rPr>
                <w:szCs w:val="21"/>
              </w:rPr>
            </w:pPr>
            <w:r>
              <w:rPr>
                <w:szCs w:val="21"/>
              </w:rPr>
              <w:t>废矿物油</w:t>
            </w:r>
          </w:p>
        </w:tc>
        <w:tc>
          <w:tcPr>
            <w:tcW w:w="817" w:type="pct"/>
            <w:vAlign w:val="center"/>
          </w:tcPr>
          <w:p w14:paraId="2A02E088">
            <w:pPr>
              <w:spacing w:before="0" w:beforeLines="0" w:line="240" w:lineRule="auto"/>
              <w:jc w:val="center"/>
              <w:rPr>
                <w:szCs w:val="21"/>
              </w:rPr>
            </w:pPr>
            <w:r>
              <w:rPr>
                <w:szCs w:val="21"/>
              </w:rPr>
              <w:t>液体</w:t>
            </w:r>
          </w:p>
        </w:tc>
        <w:tc>
          <w:tcPr>
            <w:tcW w:w="853" w:type="pct"/>
            <w:vAlign w:val="center"/>
          </w:tcPr>
          <w:p w14:paraId="4B6C8E95">
            <w:pPr>
              <w:spacing w:before="0" w:beforeLines="0" w:line="240" w:lineRule="auto"/>
              <w:jc w:val="center"/>
              <w:rPr>
                <w:szCs w:val="21"/>
              </w:rPr>
            </w:pPr>
            <w:r>
              <w:rPr>
                <w:rFonts w:hint="eastAsia"/>
                <w:szCs w:val="21"/>
              </w:rPr>
              <w:t>1.0</w:t>
            </w:r>
          </w:p>
        </w:tc>
        <w:tc>
          <w:tcPr>
            <w:tcW w:w="1476" w:type="pct"/>
            <w:vAlign w:val="center"/>
          </w:tcPr>
          <w:p w14:paraId="1EA6C76B">
            <w:pPr>
              <w:spacing w:before="0" w:beforeLines="0" w:line="240" w:lineRule="auto"/>
              <w:jc w:val="center"/>
              <w:rPr>
                <w:szCs w:val="21"/>
              </w:rPr>
            </w:pPr>
            <w:r>
              <w:rPr>
                <w:szCs w:val="21"/>
              </w:rPr>
              <w:t>危废贮存点</w:t>
            </w:r>
          </w:p>
        </w:tc>
      </w:tr>
    </w:tbl>
    <w:p w14:paraId="64218990">
      <w:pPr>
        <w:pStyle w:val="135"/>
        <w:spacing w:before="0" w:beforeLines="0" w:line="360" w:lineRule="auto"/>
        <w:ind w:firstLine="480" w:firstLineChars="200"/>
        <w:jc w:val="left"/>
        <w:rPr>
          <w:kern w:val="2"/>
          <w:sz w:val="24"/>
          <w:szCs w:val="24"/>
        </w:rPr>
      </w:pPr>
      <w:r>
        <w:rPr>
          <w:kern w:val="2"/>
          <w:sz w:val="24"/>
          <w:szCs w:val="24"/>
        </w:rPr>
        <w:t>风险物质理化性质见下表</w:t>
      </w:r>
    </w:p>
    <w:p w14:paraId="75A738D8">
      <w:pPr>
        <w:pStyle w:val="135"/>
        <w:spacing w:before="0" w:beforeLines="0" w:line="240" w:lineRule="auto"/>
        <w:ind w:firstLine="422" w:firstLineChars="200"/>
        <w:jc w:val="center"/>
        <w:rPr>
          <w:b/>
          <w:bCs/>
          <w:kern w:val="2"/>
          <w:szCs w:val="21"/>
        </w:rPr>
      </w:pPr>
      <w:r>
        <w:rPr>
          <w:b/>
          <w:bCs/>
          <w:kern w:val="2"/>
          <w:szCs w:val="21"/>
        </w:rPr>
        <w:t xml:space="preserve"> 表7.1-2  矿物油理化性质及危险特性一览表</w:t>
      </w:r>
    </w:p>
    <w:tbl>
      <w:tblPr>
        <w:tblStyle w:val="8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8"/>
        <w:gridCol w:w="1484"/>
        <w:gridCol w:w="1484"/>
        <w:gridCol w:w="2026"/>
        <w:gridCol w:w="1990"/>
      </w:tblGrid>
      <w:tr w14:paraId="432D7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94" w:type="pct"/>
            <w:tcBorders>
              <w:top w:val="single" w:color="auto" w:sz="12" w:space="0"/>
              <w:left w:val="nil"/>
              <w:right w:val="single" w:color="auto" w:sz="4" w:space="0"/>
            </w:tcBorders>
            <w:vAlign w:val="center"/>
          </w:tcPr>
          <w:p w14:paraId="2B3CA703">
            <w:pPr>
              <w:tabs>
                <w:tab w:val="left" w:pos="2340"/>
              </w:tabs>
              <w:snapToGrid w:val="0"/>
              <w:spacing w:before="0" w:beforeLines="0" w:line="240" w:lineRule="auto"/>
              <w:jc w:val="center"/>
              <w:rPr>
                <w:szCs w:val="21"/>
              </w:rPr>
            </w:pPr>
            <w:r>
              <w:rPr>
                <w:szCs w:val="21"/>
              </w:rPr>
              <w:t>品名</w:t>
            </w:r>
          </w:p>
        </w:tc>
        <w:tc>
          <w:tcPr>
            <w:tcW w:w="1788" w:type="pct"/>
            <w:gridSpan w:val="2"/>
            <w:tcBorders>
              <w:top w:val="single" w:color="auto" w:sz="12" w:space="0"/>
              <w:left w:val="single" w:color="auto" w:sz="4" w:space="0"/>
              <w:right w:val="nil"/>
            </w:tcBorders>
            <w:vAlign w:val="center"/>
          </w:tcPr>
          <w:p w14:paraId="50DFF156">
            <w:pPr>
              <w:tabs>
                <w:tab w:val="left" w:pos="2340"/>
              </w:tabs>
              <w:snapToGrid w:val="0"/>
              <w:spacing w:before="0" w:beforeLines="0" w:line="240" w:lineRule="auto"/>
              <w:jc w:val="center"/>
              <w:rPr>
                <w:szCs w:val="21"/>
              </w:rPr>
            </w:pPr>
            <w:r>
              <w:rPr>
                <w:szCs w:val="21"/>
              </w:rPr>
              <w:t>矿物油</w:t>
            </w:r>
          </w:p>
        </w:tc>
        <w:tc>
          <w:tcPr>
            <w:tcW w:w="1220" w:type="pct"/>
            <w:tcBorders>
              <w:top w:val="single" w:color="auto" w:sz="12" w:space="0"/>
              <w:left w:val="single" w:color="auto" w:sz="4" w:space="0"/>
              <w:right w:val="nil"/>
            </w:tcBorders>
            <w:vAlign w:val="center"/>
          </w:tcPr>
          <w:p w14:paraId="3A3A4284">
            <w:pPr>
              <w:tabs>
                <w:tab w:val="left" w:pos="2340"/>
              </w:tabs>
              <w:snapToGrid w:val="0"/>
              <w:spacing w:before="0" w:beforeLines="0" w:line="240" w:lineRule="auto"/>
              <w:jc w:val="center"/>
              <w:rPr>
                <w:szCs w:val="21"/>
              </w:rPr>
            </w:pPr>
            <w:r>
              <w:rPr>
                <w:szCs w:val="21"/>
              </w:rPr>
              <w:t>英文名</w:t>
            </w:r>
          </w:p>
        </w:tc>
        <w:tc>
          <w:tcPr>
            <w:tcW w:w="1198" w:type="pct"/>
            <w:tcBorders>
              <w:top w:val="single" w:color="auto" w:sz="12" w:space="0"/>
              <w:left w:val="single" w:color="auto" w:sz="4" w:space="0"/>
              <w:right w:val="nil"/>
            </w:tcBorders>
            <w:vAlign w:val="center"/>
          </w:tcPr>
          <w:p w14:paraId="6816865C">
            <w:pPr>
              <w:tabs>
                <w:tab w:val="left" w:pos="2340"/>
              </w:tabs>
              <w:snapToGrid w:val="0"/>
              <w:spacing w:before="0" w:beforeLines="0" w:line="240" w:lineRule="auto"/>
              <w:jc w:val="center"/>
              <w:rPr>
                <w:szCs w:val="21"/>
              </w:rPr>
            </w:pPr>
            <w:r>
              <w:rPr>
                <w:szCs w:val="21"/>
              </w:rPr>
              <w:t>Lubricationg oil</w:t>
            </w:r>
          </w:p>
        </w:tc>
      </w:tr>
      <w:tr w14:paraId="6ADB6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94" w:type="pct"/>
            <w:vMerge w:val="restart"/>
            <w:tcBorders>
              <w:left w:val="nil"/>
            </w:tcBorders>
            <w:vAlign w:val="center"/>
          </w:tcPr>
          <w:p w14:paraId="41647188">
            <w:pPr>
              <w:tabs>
                <w:tab w:val="left" w:pos="2340"/>
              </w:tabs>
              <w:snapToGrid w:val="0"/>
              <w:spacing w:before="0" w:beforeLines="0" w:line="240" w:lineRule="auto"/>
              <w:jc w:val="center"/>
              <w:rPr>
                <w:szCs w:val="21"/>
              </w:rPr>
            </w:pPr>
            <w:r>
              <w:rPr>
                <w:szCs w:val="21"/>
              </w:rPr>
              <w:t>理化性质</w:t>
            </w:r>
          </w:p>
        </w:tc>
        <w:tc>
          <w:tcPr>
            <w:tcW w:w="894" w:type="pct"/>
            <w:vAlign w:val="center"/>
          </w:tcPr>
          <w:p w14:paraId="45644493">
            <w:pPr>
              <w:tabs>
                <w:tab w:val="left" w:pos="2340"/>
              </w:tabs>
              <w:snapToGrid w:val="0"/>
              <w:spacing w:before="0" w:beforeLines="0" w:line="240" w:lineRule="auto"/>
              <w:jc w:val="center"/>
              <w:rPr>
                <w:szCs w:val="21"/>
              </w:rPr>
            </w:pPr>
            <w:r>
              <w:rPr>
                <w:szCs w:val="21"/>
              </w:rPr>
              <w:t>分子量</w:t>
            </w:r>
          </w:p>
        </w:tc>
        <w:tc>
          <w:tcPr>
            <w:tcW w:w="894" w:type="pct"/>
            <w:vAlign w:val="center"/>
          </w:tcPr>
          <w:p w14:paraId="32A790E6">
            <w:pPr>
              <w:tabs>
                <w:tab w:val="left" w:pos="2340"/>
              </w:tabs>
              <w:snapToGrid w:val="0"/>
              <w:spacing w:before="0" w:beforeLines="0" w:line="240" w:lineRule="auto"/>
              <w:jc w:val="center"/>
              <w:rPr>
                <w:szCs w:val="21"/>
              </w:rPr>
            </w:pPr>
            <w:r>
              <w:rPr>
                <w:szCs w:val="21"/>
              </w:rPr>
              <w:t>230~500</w:t>
            </w:r>
          </w:p>
        </w:tc>
        <w:tc>
          <w:tcPr>
            <w:tcW w:w="1220" w:type="pct"/>
            <w:vAlign w:val="center"/>
          </w:tcPr>
          <w:p w14:paraId="616E84B2">
            <w:pPr>
              <w:tabs>
                <w:tab w:val="left" w:pos="2340"/>
              </w:tabs>
              <w:snapToGrid w:val="0"/>
              <w:spacing w:before="0" w:beforeLines="0" w:line="240" w:lineRule="auto"/>
              <w:jc w:val="center"/>
              <w:rPr>
                <w:szCs w:val="21"/>
              </w:rPr>
            </w:pPr>
            <w:r>
              <w:rPr>
                <w:szCs w:val="21"/>
              </w:rPr>
              <w:t>相对密度</w:t>
            </w:r>
            <w:r>
              <w:rPr>
                <w:bCs/>
                <w:szCs w:val="21"/>
              </w:rPr>
              <w:t>(</w:t>
            </w:r>
            <w:r>
              <w:rPr>
                <w:szCs w:val="21"/>
              </w:rPr>
              <w:t>水=1</w:t>
            </w:r>
            <w:r>
              <w:rPr>
                <w:bCs/>
                <w:szCs w:val="21"/>
              </w:rPr>
              <w:t>)</w:t>
            </w:r>
          </w:p>
        </w:tc>
        <w:tc>
          <w:tcPr>
            <w:tcW w:w="1198" w:type="pct"/>
            <w:tcBorders>
              <w:right w:val="nil"/>
            </w:tcBorders>
            <w:vAlign w:val="center"/>
          </w:tcPr>
          <w:p w14:paraId="67E582E5">
            <w:pPr>
              <w:tabs>
                <w:tab w:val="left" w:pos="2340"/>
              </w:tabs>
              <w:snapToGrid w:val="0"/>
              <w:spacing w:before="0" w:beforeLines="0" w:line="240" w:lineRule="auto"/>
              <w:jc w:val="center"/>
              <w:rPr>
                <w:szCs w:val="21"/>
              </w:rPr>
            </w:pPr>
            <w:r>
              <w:rPr>
                <w:szCs w:val="21"/>
              </w:rPr>
              <w:t>0.85</w:t>
            </w:r>
          </w:p>
        </w:tc>
      </w:tr>
      <w:tr w14:paraId="7AD9D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94" w:type="pct"/>
            <w:vMerge w:val="continue"/>
            <w:tcBorders>
              <w:left w:val="nil"/>
            </w:tcBorders>
            <w:vAlign w:val="center"/>
          </w:tcPr>
          <w:p w14:paraId="7E804CE9">
            <w:pPr>
              <w:tabs>
                <w:tab w:val="left" w:pos="2340"/>
              </w:tabs>
              <w:snapToGrid w:val="0"/>
              <w:spacing w:before="0" w:beforeLines="0" w:line="240" w:lineRule="auto"/>
              <w:jc w:val="center"/>
              <w:rPr>
                <w:szCs w:val="21"/>
              </w:rPr>
            </w:pPr>
          </w:p>
        </w:tc>
        <w:tc>
          <w:tcPr>
            <w:tcW w:w="894" w:type="pct"/>
            <w:vAlign w:val="center"/>
          </w:tcPr>
          <w:p w14:paraId="1B137EE8">
            <w:pPr>
              <w:tabs>
                <w:tab w:val="left" w:pos="2340"/>
              </w:tabs>
              <w:snapToGrid w:val="0"/>
              <w:spacing w:before="0" w:beforeLines="0" w:line="240" w:lineRule="auto"/>
              <w:jc w:val="center"/>
              <w:rPr>
                <w:szCs w:val="21"/>
              </w:rPr>
            </w:pPr>
            <w:r>
              <w:rPr>
                <w:szCs w:val="21"/>
              </w:rPr>
              <w:t>闪点</w:t>
            </w:r>
          </w:p>
        </w:tc>
        <w:tc>
          <w:tcPr>
            <w:tcW w:w="894" w:type="pct"/>
            <w:vAlign w:val="center"/>
          </w:tcPr>
          <w:p w14:paraId="55F85249">
            <w:pPr>
              <w:tabs>
                <w:tab w:val="left" w:pos="2340"/>
              </w:tabs>
              <w:snapToGrid w:val="0"/>
              <w:spacing w:before="0" w:beforeLines="0" w:line="240" w:lineRule="auto"/>
              <w:jc w:val="center"/>
              <w:rPr>
                <w:szCs w:val="21"/>
              </w:rPr>
            </w:pPr>
            <w:r>
              <w:rPr>
                <w:szCs w:val="21"/>
              </w:rPr>
              <w:t>76℃</w:t>
            </w:r>
          </w:p>
        </w:tc>
        <w:tc>
          <w:tcPr>
            <w:tcW w:w="1220" w:type="pct"/>
            <w:vAlign w:val="center"/>
          </w:tcPr>
          <w:p w14:paraId="3279A9B7">
            <w:pPr>
              <w:tabs>
                <w:tab w:val="left" w:pos="2340"/>
              </w:tabs>
              <w:snapToGrid w:val="0"/>
              <w:spacing w:before="0" w:beforeLines="0" w:line="240" w:lineRule="auto"/>
              <w:jc w:val="center"/>
              <w:rPr>
                <w:szCs w:val="21"/>
              </w:rPr>
            </w:pPr>
            <w:r>
              <w:rPr>
                <w:szCs w:val="21"/>
              </w:rPr>
              <w:t>引燃点</w:t>
            </w:r>
          </w:p>
        </w:tc>
        <w:tc>
          <w:tcPr>
            <w:tcW w:w="1198" w:type="pct"/>
            <w:tcBorders>
              <w:right w:val="nil"/>
            </w:tcBorders>
            <w:vAlign w:val="center"/>
          </w:tcPr>
          <w:p w14:paraId="00709A3D">
            <w:pPr>
              <w:tabs>
                <w:tab w:val="left" w:pos="2340"/>
              </w:tabs>
              <w:snapToGrid w:val="0"/>
              <w:spacing w:before="0" w:beforeLines="0" w:line="240" w:lineRule="auto"/>
              <w:jc w:val="center"/>
              <w:rPr>
                <w:szCs w:val="21"/>
              </w:rPr>
            </w:pPr>
            <w:r>
              <w:rPr>
                <w:szCs w:val="21"/>
              </w:rPr>
              <w:t>248℃</w:t>
            </w:r>
          </w:p>
        </w:tc>
      </w:tr>
      <w:tr w14:paraId="7905C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94" w:type="pct"/>
            <w:vMerge w:val="continue"/>
            <w:tcBorders>
              <w:left w:val="nil"/>
            </w:tcBorders>
            <w:vAlign w:val="center"/>
          </w:tcPr>
          <w:p w14:paraId="123E4B31">
            <w:pPr>
              <w:tabs>
                <w:tab w:val="left" w:pos="2340"/>
              </w:tabs>
              <w:snapToGrid w:val="0"/>
              <w:spacing w:before="0" w:beforeLines="0" w:line="240" w:lineRule="auto"/>
              <w:jc w:val="center"/>
              <w:rPr>
                <w:szCs w:val="21"/>
              </w:rPr>
            </w:pPr>
          </w:p>
        </w:tc>
        <w:tc>
          <w:tcPr>
            <w:tcW w:w="894" w:type="pct"/>
            <w:tcBorders>
              <w:right w:val="nil"/>
            </w:tcBorders>
            <w:vAlign w:val="center"/>
          </w:tcPr>
          <w:p w14:paraId="7AD74195">
            <w:pPr>
              <w:tabs>
                <w:tab w:val="left" w:pos="2340"/>
              </w:tabs>
              <w:snapToGrid w:val="0"/>
              <w:spacing w:before="0" w:beforeLines="0" w:line="240" w:lineRule="auto"/>
              <w:jc w:val="center"/>
              <w:rPr>
                <w:szCs w:val="21"/>
              </w:rPr>
            </w:pPr>
            <w:r>
              <w:rPr>
                <w:szCs w:val="21"/>
              </w:rPr>
              <w:t>蒸汽压</w:t>
            </w:r>
          </w:p>
        </w:tc>
        <w:tc>
          <w:tcPr>
            <w:tcW w:w="894" w:type="pct"/>
            <w:tcBorders>
              <w:right w:val="nil"/>
            </w:tcBorders>
            <w:vAlign w:val="center"/>
          </w:tcPr>
          <w:p w14:paraId="2EFBE678">
            <w:pPr>
              <w:tabs>
                <w:tab w:val="left" w:pos="2340"/>
              </w:tabs>
              <w:snapToGrid w:val="0"/>
              <w:spacing w:before="0" w:beforeLines="0" w:line="240" w:lineRule="auto"/>
              <w:jc w:val="center"/>
              <w:rPr>
                <w:szCs w:val="21"/>
              </w:rPr>
            </w:pPr>
            <w:r>
              <w:rPr>
                <w:szCs w:val="21"/>
              </w:rPr>
              <w:t>4.0kpa</w:t>
            </w:r>
          </w:p>
        </w:tc>
        <w:tc>
          <w:tcPr>
            <w:tcW w:w="1220" w:type="pct"/>
            <w:tcBorders>
              <w:right w:val="nil"/>
            </w:tcBorders>
            <w:vAlign w:val="center"/>
          </w:tcPr>
          <w:p w14:paraId="10C54E75">
            <w:pPr>
              <w:tabs>
                <w:tab w:val="left" w:pos="2340"/>
              </w:tabs>
              <w:snapToGrid w:val="0"/>
              <w:spacing w:before="0" w:beforeLines="0" w:line="240" w:lineRule="auto"/>
              <w:jc w:val="center"/>
              <w:rPr>
                <w:szCs w:val="21"/>
              </w:rPr>
            </w:pPr>
            <w:r>
              <w:rPr>
                <w:szCs w:val="21"/>
              </w:rPr>
              <w:t>溶解性</w:t>
            </w:r>
          </w:p>
        </w:tc>
        <w:tc>
          <w:tcPr>
            <w:tcW w:w="1198" w:type="pct"/>
            <w:tcBorders>
              <w:right w:val="nil"/>
            </w:tcBorders>
            <w:vAlign w:val="center"/>
          </w:tcPr>
          <w:p w14:paraId="7C5F8F34">
            <w:pPr>
              <w:tabs>
                <w:tab w:val="left" w:pos="2340"/>
              </w:tabs>
              <w:snapToGrid w:val="0"/>
              <w:spacing w:before="0" w:beforeLines="0" w:line="240" w:lineRule="auto"/>
              <w:jc w:val="center"/>
              <w:rPr>
                <w:szCs w:val="21"/>
              </w:rPr>
            </w:pPr>
            <w:r>
              <w:rPr>
                <w:szCs w:val="21"/>
              </w:rPr>
              <w:t>微溶于水</w:t>
            </w:r>
          </w:p>
        </w:tc>
      </w:tr>
      <w:tr w14:paraId="1F725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94" w:type="pct"/>
            <w:vMerge w:val="continue"/>
            <w:tcBorders>
              <w:left w:val="nil"/>
            </w:tcBorders>
            <w:vAlign w:val="center"/>
          </w:tcPr>
          <w:p w14:paraId="6CBC2C11">
            <w:pPr>
              <w:tabs>
                <w:tab w:val="left" w:pos="2340"/>
              </w:tabs>
              <w:snapToGrid w:val="0"/>
              <w:spacing w:before="0" w:beforeLines="0" w:line="240" w:lineRule="auto"/>
              <w:jc w:val="center"/>
              <w:rPr>
                <w:szCs w:val="21"/>
              </w:rPr>
            </w:pPr>
          </w:p>
        </w:tc>
        <w:tc>
          <w:tcPr>
            <w:tcW w:w="894" w:type="pct"/>
            <w:tcBorders>
              <w:right w:val="nil"/>
            </w:tcBorders>
            <w:vAlign w:val="center"/>
          </w:tcPr>
          <w:p w14:paraId="09F375F3">
            <w:pPr>
              <w:tabs>
                <w:tab w:val="left" w:pos="2340"/>
              </w:tabs>
              <w:snapToGrid w:val="0"/>
              <w:spacing w:before="0" w:beforeLines="0" w:line="240" w:lineRule="auto"/>
              <w:jc w:val="center"/>
              <w:rPr>
                <w:szCs w:val="21"/>
              </w:rPr>
            </w:pPr>
            <w:r>
              <w:rPr>
                <w:szCs w:val="21"/>
              </w:rPr>
              <w:t>外观气味</w:t>
            </w:r>
          </w:p>
        </w:tc>
        <w:tc>
          <w:tcPr>
            <w:tcW w:w="3312" w:type="pct"/>
            <w:gridSpan w:val="3"/>
            <w:tcBorders>
              <w:right w:val="nil"/>
            </w:tcBorders>
            <w:vAlign w:val="center"/>
          </w:tcPr>
          <w:p w14:paraId="5C00A2CC">
            <w:pPr>
              <w:tabs>
                <w:tab w:val="left" w:pos="2340"/>
              </w:tabs>
              <w:snapToGrid w:val="0"/>
              <w:spacing w:before="0" w:beforeLines="0" w:line="240" w:lineRule="auto"/>
              <w:jc w:val="center"/>
              <w:rPr>
                <w:szCs w:val="21"/>
              </w:rPr>
            </w:pPr>
            <w:r>
              <w:rPr>
                <w:szCs w:val="21"/>
              </w:rPr>
              <w:t>油状液体，淡黄色至褐色，无气味或略带异味</w:t>
            </w:r>
          </w:p>
        </w:tc>
      </w:tr>
      <w:tr w14:paraId="1DDE8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94" w:type="pct"/>
            <w:tcBorders>
              <w:left w:val="nil"/>
            </w:tcBorders>
            <w:vAlign w:val="center"/>
          </w:tcPr>
          <w:p w14:paraId="015F0582">
            <w:pPr>
              <w:tabs>
                <w:tab w:val="left" w:pos="2340"/>
              </w:tabs>
              <w:snapToGrid w:val="0"/>
              <w:spacing w:before="0" w:beforeLines="0" w:line="240" w:lineRule="auto"/>
              <w:jc w:val="center"/>
              <w:rPr>
                <w:szCs w:val="21"/>
              </w:rPr>
            </w:pPr>
            <w:r>
              <w:rPr>
                <w:szCs w:val="21"/>
              </w:rPr>
              <w:t>危险性</w:t>
            </w:r>
          </w:p>
        </w:tc>
        <w:tc>
          <w:tcPr>
            <w:tcW w:w="4206" w:type="pct"/>
            <w:gridSpan w:val="4"/>
            <w:tcBorders>
              <w:right w:val="nil"/>
            </w:tcBorders>
            <w:vAlign w:val="center"/>
          </w:tcPr>
          <w:p w14:paraId="35630852">
            <w:pPr>
              <w:tabs>
                <w:tab w:val="left" w:pos="2340"/>
              </w:tabs>
              <w:adjustRightInd w:val="0"/>
              <w:snapToGrid w:val="0"/>
              <w:spacing w:before="0" w:beforeLines="0" w:line="240" w:lineRule="auto"/>
              <w:rPr>
                <w:szCs w:val="21"/>
              </w:rPr>
            </w:pPr>
            <w:r>
              <w:rPr>
                <w:szCs w:val="21"/>
              </w:rPr>
              <w:t>燃烧性：可燃； 危险特性：遇明火、高燃可燃。</w:t>
            </w:r>
          </w:p>
          <w:p w14:paraId="3342FF31">
            <w:pPr>
              <w:tabs>
                <w:tab w:val="left" w:pos="2340"/>
              </w:tabs>
              <w:adjustRightInd w:val="0"/>
              <w:snapToGrid w:val="0"/>
              <w:spacing w:before="0" w:beforeLines="0" w:line="240" w:lineRule="auto"/>
              <w:rPr>
                <w:szCs w:val="21"/>
              </w:rPr>
            </w:pPr>
            <w:r>
              <w:rPr>
                <w:szCs w:val="21"/>
              </w:rPr>
              <w:t>健康危害：急性吸入可出现乏力、头晕、头痛、恶心，严重者可引起油脂性肺炎。慢性接触者，暴露部位可发生油性痤疮和接触性皮炎，可引起神经衰弱综合症，呼吸道和眼刺激症状及慢性油脂性皮炎。</w:t>
            </w:r>
          </w:p>
          <w:p w14:paraId="2C44D218">
            <w:pPr>
              <w:tabs>
                <w:tab w:val="left" w:pos="2340"/>
              </w:tabs>
              <w:adjustRightInd w:val="0"/>
              <w:snapToGrid w:val="0"/>
              <w:spacing w:before="0" w:beforeLines="0" w:line="240" w:lineRule="auto"/>
              <w:rPr>
                <w:szCs w:val="21"/>
              </w:rPr>
            </w:pPr>
            <w:r>
              <w:rPr>
                <w:szCs w:val="21"/>
              </w:rPr>
              <w:t>燃爆危害：可燃，局部刺激。</w:t>
            </w:r>
          </w:p>
          <w:p w14:paraId="673CADA5">
            <w:pPr>
              <w:tabs>
                <w:tab w:val="left" w:pos="2340"/>
              </w:tabs>
              <w:adjustRightInd w:val="0"/>
              <w:snapToGrid w:val="0"/>
              <w:spacing w:before="0" w:beforeLines="0" w:line="240" w:lineRule="auto"/>
              <w:rPr>
                <w:szCs w:val="21"/>
              </w:rPr>
            </w:pPr>
            <w:r>
              <w:rPr>
                <w:szCs w:val="21"/>
              </w:rPr>
              <w:t>环境危害：对环境有危害，对水体和大气可造成污染，破坏水生生物呼吸系统，建议不要让其进入环境。</w:t>
            </w:r>
          </w:p>
        </w:tc>
      </w:tr>
      <w:tr w14:paraId="68B8A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94" w:type="pct"/>
            <w:tcBorders>
              <w:left w:val="nil"/>
            </w:tcBorders>
            <w:vAlign w:val="center"/>
          </w:tcPr>
          <w:p w14:paraId="7CAEDBE8">
            <w:pPr>
              <w:tabs>
                <w:tab w:val="left" w:pos="2340"/>
              </w:tabs>
              <w:snapToGrid w:val="0"/>
              <w:spacing w:before="0" w:beforeLines="0" w:line="240" w:lineRule="auto"/>
              <w:jc w:val="center"/>
              <w:rPr>
                <w:szCs w:val="21"/>
              </w:rPr>
            </w:pPr>
            <w:r>
              <w:rPr>
                <w:szCs w:val="21"/>
              </w:rPr>
              <w:t>急救措施</w:t>
            </w:r>
          </w:p>
        </w:tc>
        <w:tc>
          <w:tcPr>
            <w:tcW w:w="4206" w:type="pct"/>
            <w:gridSpan w:val="4"/>
            <w:tcBorders>
              <w:right w:val="nil"/>
            </w:tcBorders>
            <w:vAlign w:val="center"/>
          </w:tcPr>
          <w:p w14:paraId="5B374A0B">
            <w:pPr>
              <w:tabs>
                <w:tab w:val="left" w:pos="2340"/>
              </w:tabs>
              <w:adjustRightInd w:val="0"/>
              <w:snapToGrid w:val="0"/>
              <w:spacing w:before="0" w:beforeLines="0" w:line="240" w:lineRule="auto"/>
              <w:rPr>
                <w:szCs w:val="21"/>
              </w:rPr>
            </w:pPr>
            <w:r>
              <w:rPr>
                <w:szCs w:val="21"/>
              </w:rPr>
              <w:t>皮肤接触：脱去污染的衣着，用大量流动清水冲洗，就医。</w:t>
            </w:r>
          </w:p>
          <w:p w14:paraId="73205E16">
            <w:pPr>
              <w:tabs>
                <w:tab w:val="left" w:pos="2340"/>
              </w:tabs>
              <w:adjustRightInd w:val="0"/>
              <w:snapToGrid w:val="0"/>
              <w:spacing w:before="0" w:beforeLines="0" w:line="240" w:lineRule="auto"/>
              <w:rPr>
                <w:szCs w:val="21"/>
              </w:rPr>
            </w:pPr>
            <w:r>
              <w:rPr>
                <w:szCs w:val="21"/>
              </w:rPr>
              <w:t>眼睛接触：提起</w:t>
            </w:r>
            <w:r>
              <w:rPr>
                <w:rFonts w:hint="eastAsia"/>
                <w:szCs w:val="21"/>
                <w:lang w:eastAsia="zh-CN"/>
              </w:rPr>
              <w:t>眼睑</w:t>
            </w:r>
            <w:r>
              <w:rPr>
                <w:szCs w:val="21"/>
              </w:rPr>
              <w:t>，用流动清水或生理盐水冲洗，就医。</w:t>
            </w:r>
          </w:p>
          <w:p w14:paraId="3BC666E2">
            <w:pPr>
              <w:tabs>
                <w:tab w:val="left" w:pos="2340"/>
              </w:tabs>
              <w:adjustRightInd w:val="0"/>
              <w:snapToGrid w:val="0"/>
              <w:spacing w:before="0" w:beforeLines="0" w:line="240" w:lineRule="auto"/>
              <w:rPr>
                <w:szCs w:val="21"/>
              </w:rPr>
            </w:pPr>
            <w:r>
              <w:rPr>
                <w:szCs w:val="21"/>
              </w:rPr>
              <w:t>吸入：迅速</w:t>
            </w:r>
            <w:r>
              <w:rPr>
                <w:rFonts w:hint="eastAsia"/>
                <w:szCs w:val="21"/>
                <w:lang w:eastAsia="zh-CN"/>
              </w:rPr>
              <w:t>脱离</w:t>
            </w:r>
            <w:r>
              <w:rPr>
                <w:szCs w:val="21"/>
              </w:rPr>
              <w:t>现场至空气新鲜处，保持呼吸道畅通，如呼吸困难，给输氧，如呼吸停止立即进行人工呼吸，就医。</w:t>
            </w:r>
          </w:p>
          <w:p w14:paraId="4565AD5D">
            <w:pPr>
              <w:tabs>
                <w:tab w:val="left" w:pos="2340"/>
              </w:tabs>
              <w:adjustRightInd w:val="0"/>
              <w:snapToGrid w:val="0"/>
              <w:spacing w:before="0" w:beforeLines="0" w:line="240" w:lineRule="auto"/>
              <w:rPr>
                <w:szCs w:val="21"/>
              </w:rPr>
            </w:pPr>
            <w:r>
              <w:rPr>
                <w:szCs w:val="21"/>
              </w:rPr>
              <w:t>食入：饮足量温水，催吐，就医。</w:t>
            </w:r>
          </w:p>
        </w:tc>
      </w:tr>
      <w:tr w14:paraId="3274E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94" w:type="pct"/>
            <w:tcBorders>
              <w:left w:val="nil"/>
            </w:tcBorders>
            <w:vAlign w:val="center"/>
          </w:tcPr>
          <w:p w14:paraId="0F7737F6">
            <w:pPr>
              <w:tabs>
                <w:tab w:val="left" w:pos="2340"/>
              </w:tabs>
              <w:snapToGrid w:val="0"/>
              <w:spacing w:before="0" w:beforeLines="0" w:line="240" w:lineRule="auto"/>
              <w:jc w:val="center"/>
              <w:rPr>
                <w:szCs w:val="21"/>
              </w:rPr>
            </w:pPr>
            <w:r>
              <w:rPr>
                <w:szCs w:val="21"/>
              </w:rPr>
              <w:t>防护</w:t>
            </w:r>
          </w:p>
        </w:tc>
        <w:tc>
          <w:tcPr>
            <w:tcW w:w="4206" w:type="pct"/>
            <w:gridSpan w:val="4"/>
            <w:tcBorders>
              <w:right w:val="nil"/>
            </w:tcBorders>
            <w:vAlign w:val="center"/>
          </w:tcPr>
          <w:p w14:paraId="6BAA9ECC">
            <w:pPr>
              <w:tabs>
                <w:tab w:val="left" w:pos="2340"/>
              </w:tabs>
              <w:adjustRightInd w:val="0"/>
              <w:snapToGrid w:val="0"/>
              <w:spacing w:before="0" w:beforeLines="0" w:line="240" w:lineRule="auto"/>
              <w:rPr>
                <w:szCs w:val="21"/>
              </w:rPr>
            </w:pPr>
            <w:r>
              <w:rPr>
                <w:szCs w:val="21"/>
              </w:rPr>
              <w:t>工程控制：密闭操作，注意通风。</w:t>
            </w:r>
          </w:p>
          <w:p w14:paraId="0B9AEE6D">
            <w:pPr>
              <w:tabs>
                <w:tab w:val="left" w:pos="2340"/>
              </w:tabs>
              <w:adjustRightInd w:val="0"/>
              <w:snapToGrid w:val="0"/>
              <w:spacing w:before="0" w:beforeLines="0" w:line="240" w:lineRule="auto"/>
              <w:rPr>
                <w:szCs w:val="21"/>
              </w:rPr>
            </w:pPr>
            <w:r>
              <w:rPr>
                <w:szCs w:val="21"/>
              </w:rPr>
              <w:t>呼吸系统防护：空气中浓度超标时，建议佩戴自吸过滤式防毒面具(半面罩)，紧急事态抢救成撒高时，应该佩戴空气呼吸器。</w:t>
            </w:r>
          </w:p>
          <w:p w14:paraId="51B977E1">
            <w:pPr>
              <w:tabs>
                <w:tab w:val="left" w:pos="2340"/>
              </w:tabs>
              <w:adjustRightInd w:val="0"/>
              <w:snapToGrid w:val="0"/>
              <w:spacing w:before="0" w:beforeLines="0" w:line="240" w:lineRule="auto"/>
              <w:rPr>
                <w:szCs w:val="21"/>
              </w:rPr>
            </w:pPr>
            <w:r>
              <w:rPr>
                <w:szCs w:val="21"/>
              </w:rPr>
              <w:t>眼睛防护：戴化学安全防护眼镜。</w:t>
            </w:r>
          </w:p>
          <w:p w14:paraId="5338D9FD">
            <w:pPr>
              <w:tabs>
                <w:tab w:val="left" w:pos="2340"/>
              </w:tabs>
              <w:adjustRightInd w:val="0"/>
              <w:snapToGrid w:val="0"/>
              <w:spacing w:before="0" w:beforeLines="0" w:line="240" w:lineRule="auto"/>
              <w:rPr>
                <w:szCs w:val="21"/>
              </w:rPr>
            </w:pPr>
            <w:r>
              <w:rPr>
                <w:szCs w:val="21"/>
              </w:rPr>
              <w:t>身体防护：穿防毒物渗透工作服。</w:t>
            </w:r>
          </w:p>
          <w:p w14:paraId="470FA44A">
            <w:pPr>
              <w:tabs>
                <w:tab w:val="left" w:pos="2340"/>
              </w:tabs>
              <w:adjustRightInd w:val="0"/>
              <w:snapToGrid w:val="0"/>
              <w:spacing w:before="0" w:beforeLines="0" w:line="240" w:lineRule="auto"/>
              <w:rPr>
                <w:szCs w:val="21"/>
              </w:rPr>
            </w:pPr>
            <w:r>
              <w:rPr>
                <w:szCs w:val="21"/>
              </w:rPr>
              <w:t>手防护：戴橡胶耐油手套。。</w:t>
            </w:r>
          </w:p>
          <w:p w14:paraId="3E1E7B82">
            <w:pPr>
              <w:tabs>
                <w:tab w:val="left" w:pos="2340"/>
              </w:tabs>
              <w:adjustRightInd w:val="0"/>
              <w:snapToGrid w:val="0"/>
              <w:spacing w:before="0" w:beforeLines="0" w:line="240" w:lineRule="auto"/>
              <w:rPr>
                <w:szCs w:val="21"/>
              </w:rPr>
            </w:pPr>
            <w:r>
              <w:rPr>
                <w:szCs w:val="21"/>
              </w:rPr>
              <w:t>其他：工作现场严禁吸烟，避免长期反复接触。</w:t>
            </w:r>
          </w:p>
        </w:tc>
      </w:tr>
      <w:tr w14:paraId="3AFD9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94" w:type="pct"/>
            <w:tcBorders>
              <w:left w:val="nil"/>
            </w:tcBorders>
            <w:vAlign w:val="center"/>
          </w:tcPr>
          <w:p w14:paraId="4AF97693">
            <w:pPr>
              <w:tabs>
                <w:tab w:val="left" w:pos="2340"/>
              </w:tabs>
              <w:snapToGrid w:val="0"/>
              <w:spacing w:before="0" w:beforeLines="0" w:line="240" w:lineRule="auto"/>
              <w:jc w:val="center"/>
              <w:rPr>
                <w:szCs w:val="21"/>
              </w:rPr>
            </w:pPr>
            <w:r>
              <w:rPr>
                <w:szCs w:val="21"/>
              </w:rPr>
              <w:t>泄漏处理</w:t>
            </w:r>
          </w:p>
        </w:tc>
        <w:tc>
          <w:tcPr>
            <w:tcW w:w="4206" w:type="pct"/>
            <w:gridSpan w:val="4"/>
            <w:tcBorders>
              <w:right w:val="nil"/>
            </w:tcBorders>
            <w:vAlign w:val="center"/>
          </w:tcPr>
          <w:p w14:paraId="5F46D246">
            <w:pPr>
              <w:adjustRightInd w:val="0"/>
              <w:snapToGrid w:val="0"/>
              <w:spacing w:before="0" w:beforeLines="0" w:line="240" w:lineRule="auto"/>
              <w:rPr>
                <w:szCs w:val="21"/>
              </w:rPr>
            </w:pPr>
            <w:r>
              <w:rPr>
                <w:szCs w:val="21"/>
              </w:rPr>
              <w:t>迅速</w:t>
            </w:r>
            <w:r>
              <w:rPr>
                <w:rFonts w:hint="eastAsia"/>
                <w:szCs w:val="21"/>
                <w:lang w:eastAsia="zh-CN"/>
              </w:rPr>
              <w:t>撤离</w:t>
            </w:r>
            <w:r>
              <w:rPr>
                <w:szCs w:val="21"/>
              </w:rPr>
              <w:t>泄漏污染区人员至安全区,</w:t>
            </w:r>
            <w:r>
              <w:rPr>
                <w:rFonts w:hint="eastAsia"/>
                <w:szCs w:val="21"/>
                <w:lang w:eastAsia="zh-CN"/>
              </w:rPr>
              <w:t>并</w:t>
            </w:r>
            <w:r>
              <w:rPr>
                <w:szCs w:val="21"/>
              </w:rPr>
              <w:t>进行隔离，严格限制出入。切断火源，建议应急处理人员戴自给正压式呼吸器，穿防毒服。尽可能切断泄漏源,防止流入下水道、排洪沟等限制性空间，</w:t>
            </w:r>
            <w:r>
              <w:rPr>
                <w:rFonts w:hint="eastAsia"/>
                <w:szCs w:val="21"/>
                <w:lang w:eastAsia="zh-CN"/>
              </w:rPr>
              <w:t>少量</w:t>
            </w:r>
            <w:r>
              <w:rPr>
                <w:szCs w:val="21"/>
              </w:rPr>
              <w:t>泄漏:用砂土或其它不燃材料吸附或吸收。大量泄漏应构筑围堤或挖坑收容，用泵转移至槽车或专用收集器内，回收或运至废物处理场所处置。</w:t>
            </w:r>
          </w:p>
        </w:tc>
      </w:tr>
      <w:tr w14:paraId="4A5E1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94" w:type="pct"/>
            <w:tcBorders>
              <w:left w:val="nil"/>
              <w:bottom w:val="single" w:color="auto" w:sz="12" w:space="0"/>
            </w:tcBorders>
            <w:vAlign w:val="center"/>
          </w:tcPr>
          <w:p w14:paraId="2EB08AC9">
            <w:pPr>
              <w:tabs>
                <w:tab w:val="left" w:pos="2340"/>
              </w:tabs>
              <w:snapToGrid w:val="0"/>
              <w:spacing w:before="0" w:beforeLines="0" w:line="240" w:lineRule="auto"/>
              <w:jc w:val="center"/>
              <w:rPr>
                <w:szCs w:val="21"/>
              </w:rPr>
            </w:pPr>
            <w:r>
              <w:rPr>
                <w:szCs w:val="21"/>
              </w:rPr>
              <w:t>储运</w:t>
            </w:r>
          </w:p>
        </w:tc>
        <w:tc>
          <w:tcPr>
            <w:tcW w:w="4206" w:type="pct"/>
            <w:gridSpan w:val="4"/>
            <w:tcBorders>
              <w:bottom w:val="single" w:color="auto" w:sz="12" w:space="0"/>
              <w:right w:val="nil"/>
            </w:tcBorders>
            <w:vAlign w:val="center"/>
          </w:tcPr>
          <w:p w14:paraId="45C8FB50">
            <w:pPr>
              <w:tabs>
                <w:tab w:val="left" w:pos="2340"/>
              </w:tabs>
              <w:adjustRightInd w:val="0"/>
              <w:snapToGrid w:val="0"/>
              <w:spacing w:before="0" w:beforeLines="0" w:line="240" w:lineRule="auto"/>
              <w:rPr>
                <w:szCs w:val="21"/>
              </w:rPr>
            </w:pPr>
            <w:r>
              <w:rPr>
                <w:szCs w:val="21"/>
              </w:rPr>
              <w:t>储存于阴凉、通风的库房，远离火种、热源；应与氧化剂分开存放，切忌混储；配备相应品种和数量的消防器材；储区应备有泄漏应急处理设备和合适的收容材料；运输前应先检查包装容器是否完整、密封，运输过程中要确保容器不泄漏、不倒塌、不坠落、不损坏，严禁与氧化剂、食用化学品等混装混运；运输车船必须彻底清洗、消毒，否则不得装运其它物品，船运时，配装位置远离卧室、厨房，并与机舱、电源、火源等部位隔离；公路运输时要按规定路线行驶。</w:t>
            </w:r>
          </w:p>
        </w:tc>
      </w:tr>
    </w:tbl>
    <w:p w14:paraId="15E6EBA4">
      <w:pPr>
        <w:pStyle w:val="135"/>
        <w:spacing w:before="0" w:beforeLines="0" w:line="360" w:lineRule="auto"/>
        <w:ind w:firstLine="482" w:firstLineChars="200"/>
        <w:jc w:val="left"/>
        <w:rPr>
          <w:b/>
          <w:bCs/>
          <w:kern w:val="2"/>
          <w:sz w:val="24"/>
          <w:szCs w:val="24"/>
        </w:rPr>
      </w:pPr>
      <w:r>
        <w:rPr>
          <w:b/>
          <w:bCs/>
          <w:kern w:val="2"/>
          <w:sz w:val="24"/>
          <w:szCs w:val="24"/>
        </w:rPr>
        <w:fldChar w:fldCharType="begin"/>
      </w:r>
      <w:r>
        <w:rPr>
          <w:b/>
          <w:bCs/>
          <w:kern w:val="2"/>
          <w:sz w:val="24"/>
          <w:szCs w:val="24"/>
        </w:rPr>
        <w:instrText xml:space="preserve"> = 2 \* GB2 \* MERGEFORMAT </w:instrText>
      </w:r>
      <w:r>
        <w:rPr>
          <w:b/>
          <w:bCs/>
          <w:kern w:val="2"/>
          <w:sz w:val="24"/>
          <w:szCs w:val="24"/>
        </w:rPr>
        <w:fldChar w:fldCharType="separate"/>
      </w:r>
      <w:r>
        <w:rPr>
          <w:b/>
          <w:bCs/>
          <w:kern w:val="2"/>
          <w:sz w:val="24"/>
          <w:szCs w:val="24"/>
        </w:rPr>
        <w:t>⑵</w:t>
      </w:r>
      <w:r>
        <w:rPr>
          <w:b/>
          <w:bCs/>
          <w:kern w:val="2"/>
          <w:sz w:val="24"/>
          <w:szCs w:val="24"/>
        </w:rPr>
        <w:fldChar w:fldCharType="end"/>
      </w:r>
      <w:r>
        <w:rPr>
          <w:b/>
          <w:bCs/>
          <w:kern w:val="2"/>
          <w:sz w:val="24"/>
          <w:szCs w:val="24"/>
        </w:rPr>
        <w:t>风险潜势初判</w:t>
      </w:r>
    </w:p>
    <w:p w14:paraId="56EABC88">
      <w:pPr>
        <w:widowControl/>
        <w:spacing w:before="78" w:line="360" w:lineRule="auto"/>
        <w:ind w:firstLine="480" w:firstLineChars="200"/>
        <w:jc w:val="left"/>
        <w:rPr>
          <w:kern w:val="0"/>
          <w:sz w:val="24"/>
          <w:lang w:bidi="ar"/>
        </w:rPr>
      </w:pPr>
      <w:r>
        <w:rPr>
          <w:kern w:val="0"/>
          <w:sz w:val="24"/>
          <w:lang w:bidi="ar"/>
        </w:rPr>
        <w:t xml:space="preserve">根据《建设项目环境风险评价技术导则》（HJ169－2018），危险物质及工艺系统危害性（P）应根据危险物质数量与临界量的比值（Q）和行业及生产工艺（M）确定。 </w:t>
      </w:r>
    </w:p>
    <w:p w14:paraId="064F91F7">
      <w:pPr>
        <w:widowControl/>
        <w:spacing w:before="0" w:beforeLines="0" w:line="360" w:lineRule="auto"/>
        <w:ind w:firstLine="480" w:firstLineChars="200"/>
        <w:jc w:val="left"/>
        <w:rPr>
          <w:sz w:val="24"/>
        </w:rPr>
      </w:pPr>
      <w:r>
        <w:rPr>
          <w:kern w:val="0"/>
          <w:sz w:val="24"/>
          <w:lang w:bidi="ar"/>
        </w:rPr>
        <w:t xml:space="preserve">根据《建设项目环境风险评价技术导则》（HJ169－2018）附录C，Q按下式进行计算： </w:t>
      </w:r>
    </w:p>
    <w:p w14:paraId="359F5B11">
      <w:pPr>
        <w:spacing w:before="0" w:beforeLines="0" w:line="360" w:lineRule="auto"/>
        <w:ind w:firstLine="480" w:firstLineChars="200"/>
        <w:jc w:val="left"/>
        <w:rPr>
          <w:smallCaps/>
          <w:sz w:val="24"/>
        </w:rPr>
      </w:pPr>
      <w:r>
        <w:rPr>
          <w:smallCaps/>
          <w:sz w:val="24"/>
        </w:rPr>
        <w:t>危险物质数量与临界量比值（</w:t>
      </w:r>
      <w:r>
        <w:rPr>
          <w:kern w:val="0"/>
          <w:sz w:val="24"/>
          <w:lang w:bidi="ar"/>
        </w:rPr>
        <w:t>Q</w:t>
      </w:r>
      <w:r>
        <w:rPr>
          <w:smallCaps/>
          <w:sz w:val="24"/>
        </w:rPr>
        <w:t>）</w:t>
      </w:r>
    </w:p>
    <w:p w14:paraId="3D7566B4">
      <w:pPr>
        <w:spacing w:before="0" w:beforeLines="0" w:line="240" w:lineRule="auto"/>
        <w:jc w:val="center"/>
        <w:rPr>
          <w:sz w:val="24"/>
        </w:rPr>
      </w:pPr>
      <w:r>
        <w:rPr>
          <w:position w:val="-30"/>
          <w:sz w:val="24"/>
        </w:rPr>
        <w:object>
          <v:shape id="_x0000_i1041" o:spt="75" alt="" type="#_x0000_t75" style="height:28.5pt;width:79.5pt;" o:ole="t" filled="f" o:preferrelative="t" stroked="f" coordsize="21600,21600">
            <v:path/>
            <v:fill on="f" focussize="0,0"/>
            <v:stroke on="f"/>
            <v:imagedata r:id="rId141" o:title=""/>
            <o:lock v:ext="edit" aspectratio="t"/>
            <w10:wrap type="none"/>
            <w10:anchorlock/>
          </v:shape>
          <o:OLEObject Type="Embed" ProgID="Equation.DSMT4" ShapeID="_x0000_i1041" DrawAspect="Content" ObjectID="_1468075741" r:id="rId140">
            <o:LockedField>false</o:LockedField>
          </o:OLEObject>
        </w:object>
      </w:r>
    </w:p>
    <w:p w14:paraId="5BF1E4D3">
      <w:pPr>
        <w:spacing w:before="78" w:line="360" w:lineRule="auto"/>
        <w:ind w:firstLine="480" w:firstLineChars="200"/>
        <w:rPr>
          <w:sz w:val="24"/>
        </w:rPr>
      </w:pPr>
      <w:r>
        <w:rPr>
          <w:sz w:val="24"/>
        </w:rPr>
        <w:t>式中：</w:t>
      </w:r>
      <w:r>
        <w:rPr>
          <w:i/>
          <w:sz w:val="24"/>
        </w:rPr>
        <w:t>q</w:t>
      </w:r>
      <w:r>
        <w:rPr>
          <w:i/>
          <w:sz w:val="24"/>
          <w:vertAlign w:val="subscript"/>
        </w:rPr>
        <w:t>1</w:t>
      </w:r>
      <w:r>
        <w:rPr>
          <w:i/>
          <w:sz w:val="24"/>
        </w:rPr>
        <w:t>，q</w:t>
      </w:r>
      <w:r>
        <w:rPr>
          <w:i/>
          <w:sz w:val="24"/>
          <w:vertAlign w:val="subscript"/>
        </w:rPr>
        <w:t>2</w:t>
      </w:r>
      <w:r>
        <w:rPr>
          <w:i/>
          <w:sz w:val="24"/>
        </w:rPr>
        <w:t>…q</w:t>
      </w:r>
      <w:r>
        <w:rPr>
          <w:i/>
          <w:sz w:val="24"/>
          <w:vertAlign w:val="subscript"/>
        </w:rPr>
        <w:t>n</w:t>
      </w:r>
      <w:r>
        <w:rPr>
          <w:sz w:val="24"/>
        </w:rPr>
        <w:t>——每种危险物质的最大存在总量，t；</w:t>
      </w:r>
    </w:p>
    <w:p w14:paraId="69E45FE5">
      <w:pPr>
        <w:spacing w:before="78" w:line="360" w:lineRule="auto"/>
        <w:ind w:firstLine="1200" w:firstLineChars="500"/>
        <w:rPr>
          <w:sz w:val="24"/>
        </w:rPr>
      </w:pPr>
      <w:r>
        <w:rPr>
          <w:i/>
          <w:sz w:val="24"/>
        </w:rPr>
        <w:t>Q</w:t>
      </w:r>
      <w:r>
        <w:rPr>
          <w:i/>
          <w:sz w:val="24"/>
          <w:vertAlign w:val="subscript"/>
        </w:rPr>
        <w:t>1</w:t>
      </w:r>
      <w:r>
        <w:rPr>
          <w:i/>
          <w:sz w:val="24"/>
        </w:rPr>
        <w:t>，Q</w:t>
      </w:r>
      <w:r>
        <w:rPr>
          <w:i/>
          <w:sz w:val="24"/>
          <w:vertAlign w:val="subscript"/>
        </w:rPr>
        <w:t>2</w:t>
      </w:r>
      <w:r>
        <w:rPr>
          <w:i/>
          <w:sz w:val="24"/>
        </w:rPr>
        <w:t>…Q</w:t>
      </w:r>
      <w:r>
        <w:rPr>
          <w:i/>
          <w:sz w:val="24"/>
          <w:vertAlign w:val="subscript"/>
        </w:rPr>
        <w:t>n</w:t>
      </w:r>
      <w:r>
        <w:rPr>
          <w:sz w:val="24"/>
        </w:rPr>
        <w:t>——每种危险物质的临界量，t。</w:t>
      </w:r>
    </w:p>
    <w:p w14:paraId="793FCDF2">
      <w:pPr>
        <w:spacing w:before="78" w:line="360" w:lineRule="auto"/>
        <w:ind w:firstLine="1200" w:firstLineChars="500"/>
        <w:rPr>
          <w:sz w:val="24"/>
        </w:rPr>
      </w:pPr>
      <w:r>
        <w:rPr>
          <w:sz w:val="24"/>
        </w:rPr>
        <w:t>当Q&lt;1时，本项目环境风险潜势为 I。</w:t>
      </w:r>
    </w:p>
    <w:p w14:paraId="1FCCC37D">
      <w:pPr>
        <w:spacing w:before="78" w:line="360" w:lineRule="auto"/>
        <w:ind w:firstLine="1200" w:firstLineChars="500"/>
        <w:rPr>
          <w:sz w:val="24"/>
        </w:rPr>
      </w:pPr>
      <w:r>
        <w:rPr>
          <w:sz w:val="24"/>
        </w:rPr>
        <w:t>当Q≥1时，将Q值划分为：①1≤Q&lt;10；②10≤Q&lt;100；③Q≥ 100</w:t>
      </w:r>
      <w:r>
        <w:rPr>
          <w:smallCaps/>
          <w:sz w:val="24"/>
        </w:rPr>
        <w:t>。</w:t>
      </w:r>
    </w:p>
    <w:p w14:paraId="0D744E95">
      <w:pPr>
        <w:spacing w:before="78" w:line="360" w:lineRule="auto"/>
        <w:ind w:firstLine="480"/>
        <w:rPr>
          <w:sz w:val="24"/>
        </w:rPr>
      </w:pPr>
      <w:r>
        <w:rPr>
          <w:sz w:val="24"/>
        </w:rPr>
        <w:t>本项目贮存单元涉及的危险物质最大贮存量及临界量见表7.1-2。</w:t>
      </w:r>
    </w:p>
    <w:p w14:paraId="41F75823">
      <w:pPr>
        <w:pStyle w:val="135"/>
        <w:spacing w:before="156" w:beforeLines="50" w:line="240" w:lineRule="auto"/>
        <w:ind w:firstLine="422" w:firstLineChars="200"/>
        <w:jc w:val="center"/>
        <w:rPr>
          <w:b/>
          <w:bCs/>
          <w:kern w:val="2"/>
          <w:szCs w:val="21"/>
        </w:rPr>
      </w:pPr>
      <w:r>
        <w:rPr>
          <w:b/>
          <w:bCs/>
          <w:kern w:val="2"/>
          <w:szCs w:val="21"/>
        </w:rPr>
        <w:t xml:space="preserve">表7.1-2  </w:t>
      </w:r>
      <w:r>
        <w:rPr>
          <w:b/>
          <w:bCs/>
          <w:szCs w:val="21"/>
        </w:rPr>
        <w:t>危险物质最大贮存量及临界量一览</w:t>
      </w:r>
      <w:r>
        <w:rPr>
          <w:b/>
          <w:bCs/>
          <w:kern w:val="2"/>
          <w:szCs w:val="21"/>
        </w:rPr>
        <w:t>表</w:t>
      </w:r>
    </w:p>
    <w:tbl>
      <w:tblPr>
        <w:tblStyle w:val="89"/>
        <w:tblW w:w="4996" w:type="pct"/>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0" w:type="dxa"/>
          <w:bottom w:w="0" w:type="dxa"/>
          <w:right w:w="0" w:type="dxa"/>
        </w:tblCellMar>
      </w:tblPr>
      <w:tblGrid>
        <w:gridCol w:w="1330"/>
        <w:gridCol w:w="1324"/>
        <w:gridCol w:w="1380"/>
        <w:gridCol w:w="1214"/>
        <w:gridCol w:w="1747"/>
        <w:gridCol w:w="1310"/>
      </w:tblGrid>
      <w:tr w14:paraId="522560B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801" w:type="pct"/>
            <w:tcBorders>
              <w:tl2br w:val="nil"/>
              <w:tr2bl w:val="nil"/>
            </w:tcBorders>
            <w:vAlign w:val="center"/>
          </w:tcPr>
          <w:p w14:paraId="48FCFE6C">
            <w:pPr>
              <w:pStyle w:val="214"/>
              <w:spacing w:before="0" w:beforeLines="0" w:line="240" w:lineRule="auto"/>
            </w:pPr>
            <w:r>
              <w:t>危险源类别</w:t>
            </w:r>
          </w:p>
        </w:tc>
        <w:tc>
          <w:tcPr>
            <w:tcW w:w="797" w:type="pct"/>
            <w:tcBorders>
              <w:tl2br w:val="nil"/>
              <w:tr2bl w:val="nil"/>
            </w:tcBorders>
            <w:vAlign w:val="center"/>
          </w:tcPr>
          <w:p w14:paraId="2CB9488E">
            <w:pPr>
              <w:pStyle w:val="214"/>
              <w:spacing w:before="0" w:beforeLines="0" w:line="240" w:lineRule="auto"/>
            </w:pPr>
            <w:r>
              <w:t>危险源名称</w:t>
            </w:r>
          </w:p>
        </w:tc>
        <w:tc>
          <w:tcPr>
            <w:tcW w:w="831" w:type="pct"/>
            <w:tcBorders>
              <w:tl2br w:val="nil"/>
              <w:tr2bl w:val="nil"/>
            </w:tcBorders>
            <w:vAlign w:val="center"/>
          </w:tcPr>
          <w:p w14:paraId="5B2148D3">
            <w:pPr>
              <w:pStyle w:val="214"/>
              <w:spacing w:before="0" w:beforeLines="0" w:line="240" w:lineRule="auto"/>
            </w:pPr>
            <w:r>
              <w:t>危险物质名称</w:t>
            </w:r>
          </w:p>
        </w:tc>
        <w:tc>
          <w:tcPr>
            <w:tcW w:w="731" w:type="pct"/>
            <w:tcBorders>
              <w:tl2br w:val="nil"/>
              <w:tr2bl w:val="nil"/>
            </w:tcBorders>
            <w:vAlign w:val="center"/>
          </w:tcPr>
          <w:p w14:paraId="26F3AD4E">
            <w:pPr>
              <w:pStyle w:val="214"/>
              <w:spacing w:before="0" w:beforeLines="0" w:line="240" w:lineRule="auto"/>
            </w:pPr>
            <w:r>
              <w:t>最大储量</w:t>
            </w:r>
          </w:p>
        </w:tc>
        <w:tc>
          <w:tcPr>
            <w:tcW w:w="1052" w:type="pct"/>
            <w:tcBorders>
              <w:tl2br w:val="nil"/>
              <w:tr2bl w:val="nil"/>
            </w:tcBorders>
            <w:vAlign w:val="center"/>
          </w:tcPr>
          <w:p w14:paraId="6D4C5D54">
            <w:pPr>
              <w:pStyle w:val="214"/>
              <w:spacing w:before="0" w:beforeLines="0" w:line="240" w:lineRule="auto"/>
            </w:pPr>
            <w:r>
              <w:t>临界量</w:t>
            </w:r>
          </w:p>
        </w:tc>
        <w:tc>
          <w:tcPr>
            <w:tcW w:w="789" w:type="pct"/>
            <w:tcBorders>
              <w:tl2br w:val="nil"/>
              <w:tr2bl w:val="nil"/>
            </w:tcBorders>
            <w:vAlign w:val="center"/>
          </w:tcPr>
          <w:p w14:paraId="25A5511C">
            <w:pPr>
              <w:pStyle w:val="214"/>
              <w:spacing w:before="0" w:beforeLines="0" w:line="240" w:lineRule="auto"/>
            </w:pPr>
            <w:r>
              <w:t>qn/Qn</w:t>
            </w:r>
          </w:p>
        </w:tc>
      </w:tr>
      <w:tr w14:paraId="2AA503F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801" w:type="pct"/>
            <w:tcBorders>
              <w:tl2br w:val="nil"/>
              <w:tr2bl w:val="nil"/>
            </w:tcBorders>
            <w:vAlign w:val="center"/>
          </w:tcPr>
          <w:p w14:paraId="7EFCE3A9">
            <w:pPr>
              <w:pStyle w:val="214"/>
              <w:spacing w:before="0" w:beforeLines="0" w:line="240" w:lineRule="auto"/>
            </w:pPr>
            <w:r>
              <w:t>废矿物油</w:t>
            </w:r>
          </w:p>
        </w:tc>
        <w:tc>
          <w:tcPr>
            <w:tcW w:w="797" w:type="pct"/>
            <w:tcBorders>
              <w:tl2br w:val="nil"/>
              <w:tr2bl w:val="nil"/>
            </w:tcBorders>
            <w:vAlign w:val="center"/>
          </w:tcPr>
          <w:p w14:paraId="46B6C2A8">
            <w:pPr>
              <w:pStyle w:val="214"/>
              <w:spacing w:before="0" w:beforeLines="0" w:line="240" w:lineRule="auto"/>
            </w:pPr>
            <w:r>
              <w:t>危废</w:t>
            </w:r>
            <w:r>
              <w:rPr>
                <w:rFonts w:hint="eastAsia"/>
              </w:rPr>
              <w:t>贮存点</w:t>
            </w:r>
          </w:p>
        </w:tc>
        <w:tc>
          <w:tcPr>
            <w:tcW w:w="831" w:type="pct"/>
            <w:tcBorders>
              <w:tl2br w:val="nil"/>
              <w:tr2bl w:val="nil"/>
            </w:tcBorders>
            <w:vAlign w:val="center"/>
          </w:tcPr>
          <w:p w14:paraId="6C566F09">
            <w:pPr>
              <w:pStyle w:val="214"/>
              <w:spacing w:before="0" w:beforeLines="0" w:line="240" w:lineRule="auto"/>
            </w:pPr>
            <w:r>
              <w:t>废矿物油</w:t>
            </w:r>
          </w:p>
        </w:tc>
        <w:tc>
          <w:tcPr>
            <w:tcW w:w="731" w:type="pct"/>
            <w:tcBorders>
              <w:tl2br w:val="nil"/>
              <w:tr2bl w:val="nil"/>
            </w:tcBorders>
            <w:vAlign w:val="center"/>
          </w:tcPr>
          <w:p w14:paraId="4AEE9B76">
            <w:pPr>
              <w:pStyle w:val="214"/>
              <w:spacing w:before="0" w:beforeLines="0" w:line="240" w:lineRule="auto"/>
            </w:pPr>
            <w:r>
              <w:rPr>
                <w:rFonts w:hint="eastAsia"/>
              </w:rPr>
              <w:t>1.0</w:t>
            </w:r>
          </w:p>
        </w:tc>
        <w:tc>
          <w:tcPr>
            <w:tcW w:w="1052" w:type="pct"/>
            <w:tcBorders>
              <w:tl2br w:val="nil"/>
              <w:tr2bl w:val="nil"/>
            </w:tcBorders>
            <w:vAlign w:val="center"/>
          </w:tcPr>
          <w:p w14:paraId="3ECEECFC">
            <w:pPr>
              <w:pStyle w:val="214"/>
              <w:spacing w:before="0" w:beforeLines="0" w:line="240" w:lineRule="auto"/>
            </w:pPr>
            <w:r>
              <w:t>2500</w:t>
            </w:r>
          </w:p>
        </w:tc>
        <w:tc>
          <w:tcPr>
            <w:tcW w:w="789" w:type="pct"/>
            <w:tcBorders>
              <w:tl2br w:val="nil"/>
              <w:tr2bl w:val="nil"/>
            </w:tcBorders>
            <w:vAlign w:val="center"/>
          </w:tcPr>
          <w:p w14:paraId="236667B3">
            <w:pPr>
              <w:pStyle w:val="214"/>
              <w:spacing w:before="0" w:beforeLines="0" w:line="240" w:lineRule="auto"/>
            </w:pPr>
            <w:r>
              <w:t>0.000</w:t>
            </w:r>
            <w:r>
              <w:rPr>
                <w:rFonts w:hint="eastAsia"/>
              </w:rPr>
              <w:t>4</w:t>
            </w:r>
          </w:p>
        </w:tc>
      </w:tr>
      <w:tr w14:paraId="4CBACD0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4211" w:type="pct"/>
            <w:gridSpan w:val="5"/>
            <w:tcBorders>
              <w:tl2br w:val="nil"/>
              <w:tr2bl w:val="nil"/>
            </w:tcBorders>
            <w:vAlign w:val="center"/>
          </w:tcPr>
          <w:p w14:paraId="1794D3B9">
            <w:pPr>
              <w:pStyle w:val="214"/>
              <w:spacing w:before="0" w:beforeLines="0" w:line="240" w:lineRule="auto"/>
            </w:pPr>
            <w:r>
              <w:t>合计</w:t>
            </w:r>
          </w:p>
        </w:tc>
        <w:tc>
          <w:tcPr>
            <w:tcW w:w="789" w:type="pct"/>
            <w:tcBorders>
              <w:tl2br w:val="nil"/>
              <w:tr2bl w:val="nil"/>
            </w:tcBorders>
            <w:vAlign w:val="center"/>
          </w:tcPr>
          <w:p w14:paraId="438B2943">
            <w:pPr>
              <w:pStyle w:val="214"/>
              <w:spacing w:before="0" w:beforeLines="0" w:line="240" w:lineRule="auto"/>
            </w:pPr>
            <w:r>
              <w:t>0.00</w:t>
            </w:r>
            <w:r>
              <w:rPr>
                <w:rFonts w:hint="eastAsia"/>
              </w:rPr>
              <w:t>04</w:t>
            </w:r>
          </w:p>
        </w:tc>
      </w:tr>
    </w:tbl>
    <w:p w14:paraId="355754CA">
      <w:pPr>
        <w:spacing w:before="78" w:line="360" w:lineRule="auto"/>
        <w:ind w:firstLine="480"/>
        <w:rPr>
          <w:sz w:val="24"/>
        </w:rPr>
      </w:pPr>
      <w:r>
        <w:rPr>
          <w:sz w:val="24"/>
        </w:rPr>
        <w:t>经计算，本项目Q=0.00</w:t>
      </w:r>
      <w:r>
        <w:rPr>
          <w:rFonts w:hint="eastAsia"/>
          <w:sz w:val="24"/>
        </w:rPr>
        <w:t>04</w:t>
      </w:r>
      <w:r>
        <w:rPr>
          <w:sz w:val="24"/>
        </w:rPr>
        <w:t>小于1，</w:t>
      </w:r>
      <w:bookmarkStart w:id="602" w:name="_Hlk170739257"/>
      <w:r>
        <w:rPr>
          <w:sz w:val="24"/>
        </w:rPr>
        <w:t>因此，本项目环境风险潜势为Ⅰ，本项目环境风险作简单分析。</w:t>
      </w:r>
    </w:p>
    <w:bookmarkEnd w:id="602"/>
    <w:p w14:paraId="725C9069">
      <w:pPr>
        <w:pStyle w:val="4"/>
        <w:rPr>
          <w:rFonts w:ascii="Times New Roman" w:hAnsi="Times New Roman" w:eastAsia="宋体"/>
          <w:color w:val="auto"/>
          <w:kern w:val="0"/>
        </w:rPr>
      </w:pPr>
      <w:bookmarkStart w:id="603" w:name="_Toc239274289"/>
      <w:r>
        <w:rPr>
          <w:rFonts w:ascii="Times New Roman" w:hAnsi="Times New Roman" w:eastAsia="宋体"/>
          <w:color w:val="auto"/>
          <w:kern w:val="0"/>
        </w:rPr>
        <w:t>7.2环境敏感目标概况</w:t>
      </w:r>
      <w:bookmarkEnd w:id="603"/>
    </w:p>
    <w:p w14:paraId="641D13D6">
      <w:pPr>
        <w:widowControl/>
        <w:spacing w:before="0" w:beforeLines="0" w:line="360" w:lineRule="auto"/>
        <w:ind w:firstLine="480" w:firstLineChars="200"/>
        <w:jc w:val="left"/>
        <w:rPr>
          <w:kern w:val="0"/>
          <w:sz w:val="24"/>
          <w:lang w:bidi="ar"/>
        </w:rPr>
      </w:pPr>
      <w:r>
        <w:rPr>
          <w:kern w:val="0"/>
          <w:sz w:val="24"/>
          <w:lang w:bidi="ar"/>
        </w:rPr>
        <w:t>本项目周围主要敏感目标分布情况见表2.6-1。</w:t>
      </w:r>
    </w:p>
    <w:p w14:paraId="4A8EF725">
      <w:pPr>
        <w:pStyle w:val="4"/>
        <w:rPr>
          <w:rFonts w:ascii="Times New Roman" w:hAnsi="Times New Roman" w:eastAsia="宋体"/>
          <w:color w:val="auto"/>
          <w:kern w:val="0"/>
        </w:rPr>
      </w:pPr>
      <w:bookmarkStart w:id="604" w:name="_Toc239274290"/>
      <w:r>
        <w:rPr>
          <w:rFonts w:ascii="Times New Roman" w:hAnsi="Times New Roman" w:eastAsia="宋体"/>
          <w:color w:val="auto"/>
          <w:kern w:val="0"/>
        </w:rPr>
        <w:t>7.3环境风险识别</w:t>
      </w:r>
      <w:bookmarkEnd w:id="604"/>
    </w:p>
    <w:p w14:paraId="69AC30B0">
      <w:pPr>
        <w:pStyle w:val="135"/>
        <w:spacing w:before="0" w:beforeLines="0" w:line="360" w:lineRule="auto"/>
        <w:ind w:firstLine="482" w:firstLineChars="200"/>
        <w:jc w:val="left"/>
        <w:rPr>
          <w:b/>
          <w:bCs/>
          <w:kern w:val="2"/>
          <w:sz w:val="24"/>
          <w:szCs w:val="24"/>
        </w:rPr>
      </w:pPr>
      <w:r>
        <w:rPr>
          <w:b/>
          <w:bCs/>
          <w:kern w:val="2"/>
          <w:sz w:val="24"/>
          <w:szCs w:val="24"/>
        </w:rPr>
        <w:fldChar w:fldCharType="begin"/>
      </w:r>
      <w:r>
        <w:rPr>
          <w:b/>
          <w:bCs/>
          <w:kern w:val="2"/>
          <w:sz w:val="24"/>
          <w:szCs w:val="24"/>
        </w:rPr>
        <w:instrText xml:space="preserve"> = 1 \* GB2 \* MERGEFORMAT </w:instrText>
      </w:r>
      <w:r>
        <w:rPr>
          <w:b/>
          <w:bCs/>
          <w:kern w:val="2"/>
          <w:sz w:val="24"/>
          <w:szCs w:val="24"/>
        </w:rPr>
        <w:fldChar w:fldCharType="separate"/>
      </w:r>
      <w:r>
        <w:rPr>
          <w:b/>
          <w:bCs/>
          <w:kern w:val="2"/>
          <w:sz w:val="24"/>
          <w:szCs w:val="24"/>
        </w:rPr>
        <w:t>⑴</w:t>
      </w:r>
      <w:r>
        <w:rPr>
          <w:b/>
          <w:bCs/>
          <w:kern w:val="2"/>
          <w:sz w:val="24"/>
          <w:szCs w:val="24"/>
        </w:rPr>
        <w:fldChar w:fldCharType="end"/>
      </w:r>
      <w:r>
        <w:rPr>
          <w:b/>
          <w:bCs/>
          <w:kern w:val="2"/>
          <w:sz w:val="24"/>
          <w:szCs w:val="24"/>
        </w:rPr>
        <w:t>主要危险物质及分布情况</w:t>
      </w:r>
    </w:p>
    <w:p w14:paraId="0DD4BF82">
      <w:pPr>
        <w:spacing w:before="0" w:beforeLines="0" w:line="360" w:lineRule="auto"/>
        <w:ind w:firstLine="480" w:firstLineChars="200"/>
        <w:jc w:val="left"/>
        <w:rPr>
          <w:smallCaps/>
          <w:sz w:val="24"/>
        </w:rPr>
      </w:pPr>
      <w:r>
        <w:rPr>
          <w:smallCaps/>
          <w:sz w:val="24"/>
        </w:rPr>
        <w:t>根据《建设项目环境风险评价技术导则》（HJ169-2018）以及《危险化学品重大危险源辨识》（GB18218-2018），本项目环境风险源主要是</w:t>
      </w:r>
      <w:r>
        <w:rPr>
          <w:rFonts w:hint="eastAsia"/>
          <w:smallCaps/>
          <w:sz w:val="24"/>
        </w:rPr>
        <w:t>危险物贮存点</w:t>
      </w:r>
      <w:r>
        <w:rPr>
          <w:smallCaps/>
          <w:sz w:val="24"/>
        </w:rPr>
        <w:t>；涉及的危险物质为废矿物油。</w:t>
      </w:r>
    </w:p>
    <w:p w14:paraId="35C3A376">
      <w:pPr>
        <w:pStyle w:val="135"/>
        <w:spacing w:before="0" w:beforeLines="0" w:line="360" w:lineRule="auto"/>
        <w:ind w:firstLine="482" w:firstLineChars="200"/>
        <w:jc w:val="left"/>
        <w:rPr>
          <w:b/>
          <w:bCs/>
          <w:kern w:val="2"/>
          <w:sz w:val="24"/>
          <w:szCs w:val="24"/>
        </w:rPr>
      </w:pPr>
      <w:r>
        <w:rPr>
          <w:b/>
          <w:bCs/>
          <w:kern w:val="2"/>
          <w:sz w:val="24"/>
          <w:szCs w:val="24"/>
        </w:rPr>
        <w:fldChar w:fldCharType="begin"/>
      </w:r>
      <w:r>
        <w:rPr>
          <w:b/>
          <w:bCs/>
          <w:kern w:val="2"/>
          <w:sz w:val="24"/>
          <w:szCs w:val="24"/>
        </w:rPr>
        <w:instrText xml:space="preserve"> = 2 \* GB2 \* MERGEFORMAT </w:instrText>
      </w:r>
      <w:r>
        <w:rPr>
          <w:b/>
          <w:bCs/>
          <w:kern w:val="2"/>
          <w:sz w:val="24"/>
          <w:szCs w:val="24"/>
        </w:rPr>
        <w:fldChar w:fldCharType="separate"/>
      </w:r>
      <w:r>
        <w:rPr>
          <w:b/>
          <w:bCs/>
          <w:kern w:val="2"/>
          <w:sz w:val="24"/>
          <w:szCs w:val="24"/>
        </w:rPr>
        <w:t>⑵</w:t>
      </w:r>
      <w:r>
        <w:rPr>
          <w:b/>
          <w:bCs/>
          <w:kern w:val="2"/>
          <w:sz w:val="24"/>
          <w:szCs w:val="24"/>
        </w:rPr>
        <w:fldChar w:fldCharType="end"/>
      </w:r>
      <w:r>
        <w:rPr>
          <w:b/>
          <w:bCs/>
          <w:kern w:val="2"/>
          <w:sz w:val="24"/>
          <w:szCs w:val="24"/>
        </w:rPr>
        <w:t>可能影响环境的途径</w:t>
      </w:r>
    </w:p>
    <w:p w14:paraId="2D62B96A">
      <w:pPr>
        <w:spacing w:before="0" w:beforeLines="0" w:line="360" w:lineRule="auto"/>
        <w:ind w:firstLine="480" w:firstLineChars="200"/>
        <w:jc w:val="left"/>
        <w:rPr>
          <w:smallCaps/>
          <w:sz w:val="24"/>
        </w:rPr>
      </w:pPr>
      <w:r>
        <w:rPr>
          <w:smallCaps/>
          <w:sz w:val="24"/>
        </w:rPr>
        <w:t xml:space="preserve">本项目在运营过程中有毒有害物质扩散途径主要有三类： </w:t>
      </w:r>
    </w:p>
    <w:p w14:paraId="3F6FDF4A">
      <w:pPr>
        <w:spacing w:before="0" w:beforeLines="0" w:line="360" w:lineRule="auto"/>
        <w:ind w:firstLine="480" w:firstLineChars="200"/>
        <w:jc w:val="left"/>
        <w:rPr>
          <w:smallCaps/>
          <w:sz w:val="24"/>
        </w:rPr>
      </w:pPr>
      <w:r>
        <w:rPr>
          <w:smallCaps/>
          <w:sz w:val="24"/>
        </w:rPr>
        <w:t>A、环境空气扩散</w:t>
      </w:r>
    </w:p>
    <w:p w14:paraId="41D5F42C">
      <w:pPr>
        <w:spacing w:before="0" w:beforeLines="0" w:line="360" w:lineRule="auto"/>
        <w:ind w:firstLine="480" w:firstLineChars="200"/>
        <w:jc w:val="left"/>
        <w:rPr>
          <w:smallCaps/>
          <w:sz w:val="24"/>
        </w:rPr>
      </w:pPr>
      <w:r>
        <w:rPr>
          <w:rFonts w:hint="eastAsia"/>
          <w:smallCaps/>
          <w:sz w:val="24"/>
        </w:rPr>
        <w:t>危险物贮存点</w:t>
      </w:r>
      <w:r>
        <w:rPr>
          <w:smallCaps/>
          <w:sz w:val="24"/>
        </w:rPr>
        <w:t>发生火灾、爆炸，次生有毒有害气体散发到空气中，污染大气环境。</w:t>
      </w:r>
    </w:p>
    <w:p w14:paraId="4805111A">
      <w:pPr>
        <w:spacing w:before="0" w:beforeLines="0" w:line="360" w:lineRule="auto"/>
        <w:ind w:firstLine="480" w:firstLineChars="200"/>
        <w:jc w:val="left"/>
        <w:rPr>
          <w:smallCaps/>
          <w:sz w:val="24"/>
        </w:rPr>
      </w:pPr>
      <w:r>
        <w:rPr>
          <w:smallCaps/>
          <w:sz w:val="24"/>
        </w:rPr>
        <w:t>B、水体扩散</w:t>
      </w:r>
    </w:p>
    <w:p w14:paraId="056DF97A">
      <w:pPr>
        <w:spacing w:before="0" w:beforeLines="0" w:line="360" w:lineRule="auto"/>
        <w:ind w:firstLine="480" w:firstLineChars="200"/>
        <w:jc w:val="left"/>
        <w:rPr>
          <w:smallCaps/>
          <w:sz w:val="24"/>
        </w:rPr>
      </w:pPr>
      <w:r>
        <w:rPr>
          <w:rFonts w:hint="eastAsia"/>
          <w:smallCaps/>
          <w:sz w:val="24"/>
        </w:rPr>
        <w:t>废矿物油</w:t>
      </w:r>
      <w:r>
        <w:rPr>
          <w:smallCaps/>
          <w:sz w:val="24"/>
        </w:rPr>
        <w:t>发生泄漏事故，油品经过地表径流进入周边河流， 污染纳污水体的水质，通过地表下渗污染地下水水质；火灾消防废水控制不当，进入周边地表水体造成水体水质污染。</w:t>
      </w:r>
    </w:p>
    <w:p w14:paraId="6708676E">
      <w:pPr>
        <w:spacing w:before="0" w:beforeLines="0" w:line="360" w:lineRule="auto"/>
        <w:ind w:firstLine="480" w:firstLineChars="200"/>
        <w:jc w:val="left"/>
        <w:rPr>
          <w:smallCaps/>
          <w:sz w:val="24"/>
        </w:rPr>
      </w:pPr>
      <w:r>
        <w:rPr>
          <w:smallCaps/>
          <w:sz w:val="24"/>
        </w:rPr>
        <w:t>C、土壤扩散</w:t>
      </w:r>
    </w:p>
    <w:p w14:paraId="4874C3F2">
      <w:pPr>
        <w:spacing w:before="0" w:beforeLines="0" w:line="360" w:lineRule="auto"/>
        <w:ind w:firstLine="480" w:firstLineChars="200"/>
        <w:jc w:val="left"/>
        <w:rPr>
          <w:smallCaps/>
          <w:sz w:val="24"/>
        </w:rPr>
      </w:pPr>
      <w:r>
        <w:rPr>
          <w:smallCaps/>
          <w:sz w:val="24"/>
        </w:rPr>
        <w:t>项目</w:t>
      </w:r>
      <w:r>
        <w:rPr>
          <w:rFonts w:hint="eastAsia"/>
          <w:smallCaps/>
          <w:sz w:val="24"/>
        </w:rPr>
        <w:t>废矿物油</w:t>
      </w:r>
      <w:r>
        <w:rPr>
          <w:smallCaps/>
          <w:sz w:val="24"/>
        </w:rPr>
        <w:t>发生泄漏，如遇裸露地表，则直接污染土壤。在土壤中的有毒有害物质，通过下渗等作用，进而污染地下水。</w:t>
      </w:r>
    </w:p>
    <w:p w14:paraId="428E04B7">
      <w:pPr>
        <w:pStyle w:val="135"/>
        <w:snapToGrid w:val="0"/>
        <w:spacing w:before="0" w:beforeLines="0"/>
        <w:ind w:firstLine="482" w:firstLineChars="200"/>
        <w:jc w:val="left"/>
        <w:rPr>
          <w:b/>
          <w:bCs/>
          <w:kern w:val="2"/>
          <w:sz w:val="24"/>
          <w:szCs w:val="24"/>
        </w:rPr>
      </w:pPr>
      <w:r>
        <w:rPr>
          <w:b/>
          <w:bCs/>
          <w:kern w:val="2"/>
          <w:sz w:val="24"/>
          <w:szCs w:val="24"/>
        </w:rPr>
        <w:fldChar w:fldCharType="begin"/>
      </w:r>
      <w:r>
        <w:rPr>
          <w:b/>
          <w:bCs/>
          <w:kern w:val="2"/>
          <w:sz w:val="24"/>
          <w:szCs w:val="24"/>
        </w:rPr>
        <w:instrText xml:space="preserve"> = 3 \* GB2 \* MERGEFORMAT </w:instrText>
      </w:r>
      <w:r>
        <w:rPr>
          <w:b/>
          <w:bCs/>
          <w:kern w:val="2"/>
          <w:sz w:val="24"/>
          <w:szCs w:val="24"/>
        </w:rPr>
        <w:fldChar w:fldCharType="separate"/>
      </w:r>
      <w:r>
        <w:rPr>
          <w:b/>
          <w:bCs/>
          <w:kern w:val="2"/>
          <w:sz w:val="24"/>
          <w:szCs w:val="24"/>
        </w:rPr>
        <w:t>⑶</w:t>
      </w:r>
      <w:r>
        <w:rPr>
          <w:b/>
          <w:bCs/>
          <w:kern w:val="2"/>
          <w:sz w:val="24"/>
          <w:szCs w:val="24"/>
        </w:rPr>
        <w:fldChar w:fldCharType="end"/>
      </w:r>
      <w:r>
        <w:rPr>
          <w:b/>
          <w:bCs/>
          <w:kern w:val="2"/>
          <w:sz w:val="24"/>
          <w:szCs w:val="24"/>
        </w:rPr>
        <w:t>浓缩罐泄漏</w:t>
      </w:r>
    </w:p>
    <w:p w14:paraId="5D57A63D">
      <w:pPr>
        <w:spacing w:before="0" w:beforeLines="0" w:line="360" w:lineRule="auto"/>
        <w:ind w:firstLine="480" w:firstLineChars="200"/>
        <w:jc w:val="left"/>
        <w:rPr>
          <w:smallCaps/>
          <w:sz w:val="24"/>
        </w:rPr>
      </w:pPr>
      <w:r>
        <w:rPr>
          <w:smallCaps/>
          <w:sz w:val="24"/>
        </w:rPr>
        <w:t>在选矿工艺过程中，产生的泥浆</w:t>
      </w:r>
      <w:r>
        <w:rPr>
          <w:rFonts w:hint="eastAsia"/>
          <w:smallCaps/>
          <w:sz w:val="24"/>
        </w:rPr>
        <w:t>排入</w:t>
      </w:r>
      <w:r>
        <w:rPr>
          <w:smallCaps/>
          <w:sz w:val="24"/>
        </w:rPr>
        <w:t>浓缩罐及板框压滤机处理。浓缩罐及配套泵发生故障或非正常工况时，可能造成大量泥浆和上清液事故外排，从而污染外环境。</w:t>
      </w:r>
    </w:p>
    <w:p w14:paraId="06915020">
      <w:pPr>
        <w:pStyle w:val="4"/>
        <w:rPr>
          <w:rFonts w:ascii="Times New Roman" w:hAnsi="Times New Roman" w:eastAsia="宋体"/>
          <w:color w:val="auto"/>
          <w:kern w:val="0"/>
        </w:rPr>
      </w:pPr>
      <w:bookmarkStart w:id="605" w:name="_Toc239274291"/>
      <w:r>
        <w:rPr>
          <w:rFonts w:ascii="Times New Roman" w:hAnsi="Times New Roman" w:eastAsia="宋体"/>
          <w:color w:val="auto"/>
          <w:kern w:val="0"/>
        </w:rPr>
        <w:t>7.4环境风险分析</w:t>
      </w:r>
      <w:bookmarkEnd w:id="605"/>
    </w:p>
    <w:p w14:paraId="7A6B712F">
      <w:pPr>
        <w:pStyle w:val="5"/>
        <w:rPr>
          <w:color w:val="auto"/>
        </w:rPr>
      </w:pPr>
      <w:r>
        <w:rPr>
          <w:rFonts w:hint="eastAsia"/>
          <w:color w:val="auto"/>
        </w:rPr>
        <w:t>7.4.1</w:t>
      </w:r>
      <w:r>
        <w:rPr>
          <w:color w:val="auto"/>
        </w:rPr>
        <w:t>废机油泄漏事故环境影响分析</w:t>
      </w:r>
    </w:p>
    <w:p w14:paraId="06E205FF">
      <w:pPr>
        <w:spacing w:before="0" w:beforeLines="0" w:line="360" w:lineRule="auto"/>
        <w:ind w:firstLine="480" w:firstLineChars="200"/>
        <w:rPr>
          <w:sz w:val="24"/>
          <w:szCs w:val="22"/>
        </w:rPr>
      </w:pPr>
      <w:r>
        <w:rPr>
          <w:sz w:val="24"/>
          <w:szCs w:val="22"/>
        </w:rPr>
        <w:t>本项目设备润滑产生的废机油采用专用的容器盛装，暂存于危废</w:t>
      </w:r>
      <w:r>
        <w:rPr>
          <w:rFonts w:hint="eastAsia"/>
          <w:sz w:val="24"/>
          <w:szCs w:val="22"/>
        </w:rPr>
        <w:t>贮存点</w:t>
      </w:r>
      <w:r>
        <w:rPr>
          <w:sz w:val="24"/>
          <w:szCs w:val="22"/>
        </w:rPr>
        <w:t>内，</w:t>
      </w:r>
      <w:r>
        <w:rPr>
          <w:rFonts w:hint="eastAsia"/>
          <w:sz w:val="24"/>
          <w:szCs w:val="22"/>
        </w:rPr>
        <w:t>危废贮存点位于机制砂库房内，可做到</w:t>
      </w:r>
      <w:r>
        <w:rPr>
          <w:sz w:val="24"/>
          <w:szCs w:val="22"/>
        </w:rPr>
        <w:t>防风、防雨、防晒</w:t>
      </w:r>
      <w:r>
        <w:rPr>
          <w:rFonts w:hint="eastAsia"/>
          <w:sz w:val="24"/>
          <w:szCs w:val="22"/>
        </w:rPr>
        <w:t>等。贮存点内设置防渗托盘</w:t>
      </w:r>
      <w:r>
        <w:rPr>
          <w:sz w:val="24"/>
          <w:szCs w:val="22"/>
        </w:rPr>
        <w:t>，备有备用盛装容器。容器破损引起废机油泄漏后，</w:t>
      </w:r>
      <w:r>
        <w:rPr>
          <w:rFonts w:hint="eastAsia"/>
          <w:sz w:val="24"/>
          <w:szCs w:val="22"/>
        </w:rPr>
        <w:t>可</w:t>
      </w:r>
      <w:r>
        <w:rPr>
          <w:sz w:val="24"/>
          <w:szCs w:val="22"/>
        </w:rPr>
        <w:t>及时使用收集泵将泄漏液导入备用容器中</w:t>
      </w:r>
      <w:r>
        <w:rPr>
          <w:rFonts w:hint="eastAsia"/>
          <w:sz w:val="24"/>
          <w:szCs w:val="22"/>
        </w:rPr>
        <w:t>。</w:t>
      </w:r>
      <w:r>
        <w:rPr>
          <w:sz w:val="24"/>
          <w:szCs w:val="22"/>
        </w:rPr>
        <w:t>在采取上述措施后，废机油泄漏可得到有效控制，不会对地表水、地下水及土壤等外环境造成不良影响。</w:t>
      </w:r>
    </w:p>
    <w:p w14:paraId="280CCD19">
      <w:pPr>
        <w:pStyle w:val="5"/>
        <w:rPr>
          <w:color w:val="auto"/>
        </w:rPr>
      </w:pPr>
      <w:r>
        <w:rPr>
          <w:rFonts w:hint="eastAsia"/>
          <w:color w:val="auto"/>
        </w:rPr>
        <w:t>7.4.2</w:t>
      </w:r>
      <w:r>
        <w:rPr>
          <w:color w:val="auto"/>
        </w:rPr>
        <w:t xml:space="preserve"> 废机油泄漏发生火灾、爆炸对环境的次生/伴生影响分析</w:t>
      </w:r>
    </w:p>
    <w:p w14:paraId="0E24FA2C">
      <w:pPr>
        <w:spacing w:before="0" w:beforeLines="0" w:line="360" w:lineRule="auto"/>
        <w:ind w:firstLine="480" w:firstLineChars="200"/>
        <w:rPr>
          <w:sz w:val="24"/>
          <w:szCs w:val="22"/>
        </w:rPr>
      </w:pPr>
      <w:r>
        <w:rPr>
          <w:sz w:val="24"/>
          <w:szCs w:val="22"/>
        </w:rPr>
        <w:t>本项目废机油储存发生火灾的</w:t>
      </w:r>
      <w:r>
        <w:rPr>
          <w:rFonts w:hint="eastAsia"/>
          <w:sz w:val="24"/>
          <w:szCs w:val="22"/>
          <w:lang w:eastAsia="zh-CN"/>
        </w:rPr>
        <w:t>概率</w:t>
      </w:r>
      <w:r>
        <w:rPr>
          <w:sz w:val="24"/>
          <w:szCs w:val="22"/>
        </w:rPr>
        <w:t>很小，但一旦发生火灾事故，其燃烧产生的有害物质如一氧化碳、二氧化碳等会对大气环境产生一定的影响。评价要求，项目做好风险防范措施，做好</w:t>
      </w:r>
      <w:r>
        <w:rPr>
          <w:rFonts w:hint="eastAsia"/>
          <w:sz w:val="24"/>
          <w:szCs w:val="22"/>
          <w:lang w:eastAsia="zh-CN"/>
        </w:rPr>
        <w:t>危</w:t>
      </w:r>
      <w:r>
        <w:rPr>
          <w:sz w:val="24"/>
          <w:szCs w:val="22"/>
        </w:rPr>
        <w:t>废暂存间通风，远离火源，将环境风险控制在可控范围内。</w:t>
      </w:r>
    </w:p>
    <w:p w14:paraId="2D1BDD76">
      <w:pPr>
        <w:pStyle w:val="5"/>
        <w:rPr>
          <w:color w:val="auto"/>
        </w:rPr>
      </w:pPr>
      <w:r>
        <w:rPr>
          <w:rFonts w:hint="eastAsia"/>
          <w:color w:val="auto"/>
        </w:rPr>
        <w:t>7.4.3</w:t>
      </w:r>
      <w:r>
        <w:rPr>
          <w:color w:val="auto"/>
        </w:rPr>
        <w:t>废水泄漏事故环境影响分析</w:t>
      </w:r>
    </w:p>
    <w:p w14:paraId="11E6AA4C">
      <w:pPr>
        <w:spacing w:before="0" w:beforeLines="0" w:line="360" w:lineRule="auto"/>
        <w:ind w:firstLine="480" w:firstLineChars="200"/>
        <w:jc w:val="left"/>
        <w:rPr>
          <w:sz w:val="24"/>
          <w:szCs w:val="22"/>
        </w:rPr>
      </w:pPr>
      <w:r>
        <w:rPr>
          <w:smallCaps/>
          <w:sz w:val="24"/>
        </w:rPr>
        <w:t>在选矿工艺过程中，产生的泥浆</w:t>
      </w:r>
      <w:r>
        <w:rPr>
          <w:rFonts w:hint="eastAsia"/>
          <w:smallCaps/>
          <w:sz w:val="24"/>
        </w:rPr>
        <w:t>排入</w:t>
      </w:r>
      <w:r>
        <w:rPr>
          <w:smallCaps/>
          <w:sz w:val="24"/>
        </w:rPr>
        <w:t>浓缩罐及板框压滤机处理。浓缩罐及配套泵发生故障或非正常工况时，可能造成大量泥浆和上清液事故外排，</w:t>
      </w:r>
      <w:r>
        <w:rPr>
          <w:sz w:val="24"/>
          <w:szCs w:val="22"/>
        </w:rPr>
        <w:t>一旦排入周边环境会对地表水、地下水和土壤造成环境影响。</w:t>
      </w:r>
      <w:r>
        <w:rPr>
          <w:rFonts w:hint="eastAsia"/>
          <w:sz w:val="24"/>
          <w:szCs w:val="22"/>
        </w:rPr>
        <w:t>由于</w:t>
      </w:r>
      <w:r>
        <w:rPr>
          <w:sz w:val="24"/>
          <w:szCs w:val="22"/>
        </w:rPr>
        <w:t>操作不当、机器故障、管道跑冒滴漏等，</w:t>
      </w:r>
      <w:r>
        <w:rPr>
          <w:rFonts w:hint="eastAsia"/>
          <w:sz w:val="24"/>
          <w:szCs w:val="22"/>
        </w:rPr>
        <w:t>球磨和重选车间可能发生</w:t>
      </w:r>
      <w:r>
        <w:rPr>
          <w:sz w:val="24"/>
          <w:szCs w:val="22"/>
        </w:rPr>
        <w:t>矿浆泄漏。此类事故主要发生在车间内，流失的矿浆量较少，可通过冲洗地坪使其进入车间内的废水收水沟槽，经采取上述措施后，可以实现事故废水不外排。</w:t>
      </w:r>
    </w:p>
    <w:p w14:paraId="79AD19F0">
      <w:pPr>
        <w:pStyle w:val="4"/>
        <w:spacing w:line="416" w:lineRule="auto"/>
        <w:rPr>
          <w:rFonts w:ascii="Times New Roman" w:hAnsi="Times New Roman" w:eastAsia="宋体"/>
          <w:color w:val="auto"/>
          <w:kern w:val="0"/>
        </w:rPr>
      </w:pPr>
      <w:bookmarkStart w:id="606" w:name="_Toc239274292"/>
      <w:r>
        <w:rPr>
          <w:rFonts w:ascii="Times New Roman" w:hAnsi="Times New Roman" w:eastAsia="宋体"/>
          <w:color w:val="auto"/>
          <w:kern w:val="0"/>
        </w:rPr>
        <w:t>7.5环境风险防范措施及应急要求</w:t>
      </w:r>
      <w:bookmarkEnd w:id="606"/>
    </w:p>
    <w:p w14:paraId="00C8FDB5">
      <w:pPr>
        <w:pStyle w:val="5"/>
        <w:rPr>
          <w:color w:val="auto"/>
        </w:rPr>
      </w:pPr>
      <w:r>
        <w:rPr>
          <w:rFonts w:hint="eastAsia"/>
          <w:color w:val="auto"/>
        </w:rPr>
        <w:t>7.5.1</w:t>
      </w:r>
      <w:r>
        <w:rPr>
          <w:color w:val="auto"/>
        </w:rPr>
        <w:t>环境风险防范措施</w:t>
      </w:r>
    </w:p>
    <w:p w14:paraId="3CF79675">
      <w:pPr>
        <w:widowControl/>
        <w:spacing w:before="0" w:beforeLines="0" w:line="360" w:lineRule="auto"/>
        <w:rPr>
          <w:sz w:val="24"/>
        </w:rPr>
      </w:pPr>
      <w:r>
        <w:rPr>
          <w:rFonts w:hint="eastAsia"/>
          <w:sz w:val="24"/>
        </w:rPr>
        <w:t>（1）</w:t>
      </w:r>
      <w:r>
        <w:rPr>
          <w:sz w:val="24"/>
        </w:rPr>
        <w:t>污染源控制</w:t>
      </w:r>
    </w:p>
    <w:p w14:paraId="0153D7F5">
      <w:pPr>
        <w:spacing w:before="0" w:beforeLines="0" w:line="360" w:lineRule="auto"/>
        <w:ind w:firstLine="480" w:firstLineChars="200"/>
        <w:rPr>
          <w:bCs/>
          <w:kern w:val="0"/>
          <w:sz w:val="24"/>
        </w:rPr>
      </w:pPr>
      <w:r>
        <w:rPr>
          <w:bCs/>
          <w:kern w:val="0"/>
          <w:sz w:val="24"/>
        </w:rPr>
        <w:t>1）严格按照设计规范建设泄漏防范措施，防止选矿事故废水下渗。</w:t>
      </w:r>
    </w:p>
    <w:p w14:paraId="08907021">
      <w:pPr>
        <w:spacing w:before="0" w:beforeLines="0" w:line="360" w:lineRule="auto"/>
        <w:ind w:firstLine="480" w:firstLineChars="200"/>
        <w:rPr>
          <w:bCs/>
          <w:kern w:val="0"/>
          <w:sz w:val="24"/>
        </w:rPr>
      </w:pPr>
      <w:r>
        <w:rPr>
          <w:bCs/>
          <w:kern w:val="0"/>
          <w:sz w:val="24"/>
        </w:rPr>
        <w:t>2）对工艺、管道、设备及处理构筑物等严格检查，有质量问题的及时更换，阀门采用优质产品，防止和降低“跑、冒、滴、漏”。</w:t>
      </w:r>
    </w:p>
    <w:p w14:paraId="282A5637">
      <w:pPr>
        <w:spacing w:before="0" w:beforeLines="0" w:line="360" w:lineRule="auto"/>
        <w:ind w:firstLine="480" w:firstLineChars="200"/>
        <w:rPr>
          <w:bCs/>
          <w:kern w:val="0"/>
          <w:sz w:val="24"/>
        </w:rPr>
      </w:pPr>
      <w:r>
        <w:rPr>
          <w:bCs/>
          <w:kern w:val="0"/>
          <w:sz w:val="24"/>
        </w:rPr>
        <w:t>3）对工艺要求必须地下走管的管道、阀门设专用防渗管沟，管沟上设活动观察顶盖，以便出现渗漏问题及时观察、解决。</w:t>
      </w:r>
    </w:p>
    <w:p w14:paraId="7B3A521B">
      <w:pPr>
        <w:spacing w:before="0" w:beforeLines="0" w:line="360" w:lineRule="auto"/>
        <w:ind w:firstLine="480" w:firstLineChars="200"/>
        <w:rPr>
          <w:bCs/>
          <w:kern w:val="0"/>
          <w:sz w:val="24"/>
        </w:rPr>
      </w:pPr>
      <w:r>
        <w:rPr>
          <w:bCs/>
          <w:kern w:val="0"/>
          <w:sz w:val="24"/>
        </w:rPr>
        <w:t>4）加强生产管理，选矿废水需全部回用，严禁选矿废水直接排放至外环境。</w:t>
      </w:r>
    </w:p>
    <w:p w14:paraId="223FBC11">
      <w:pPr>
        <w:spacing w:before="0" w:beforeLines="0" w:line="360" w:lineRule="auto"/>
        <w:jc w:val="left"/>
        <w:rPr>
          <w:smallCaps/>
          <w:sz w:val="24"/>
        </w:rPr>
      </w:pPr>
      <w:r>
        <w:rPr>
          <w:rFonts w:hint="eastAsia"/>
          <w:smallCaps/>
          <w:sz w:val="24"/>
        </w:rPr>
        <w:t>（2）废矿物油泄漏环境风险防范措施</w:t>
      </w:r>
    </w:p>
    <w:p w14:paraId="39B9C36C">
      <w:pPr>
        <w:spacing w:before="0" w:beforeLines="0" w:line="360" w:lineRule="auto"/>
        <w:ind w:firstLine="480" w:firstLineChars="200"/>
        <w:jc w:val="left"/>
        <w:rPr>
          <w:smallCaps/>
          <w:sz w:val="24"/>
        </w:rPr>
      </w:pPr>
      <w:r>
        <w:rPr>
          <w:rFonts w:hint="eastAsia"/>
          <w:smallCaps/>
          <w:sz w:val="24"/>
        </w:rPr>
        <w:t>本项目废机油采用专用容器（油桶等）盛装，加盖密封，集中堆放于危废贮存点，危废贮存点设置防渗托盘</w:t>
      </w:r>
      <w:r>
        <w:rPr>
          <w:smallCaps/>
          <w:sz w:val="24"/>
        </w:rPr>
        <w:t>，建设单位配有一定数量灭火器</w:t>
      </w:r>
      <w:r>
        <w:rPr>
          <w:rFonts w:hint="eastAsia"/>
          <w:smallCaps/>
          <w:sz w:val="24"/>
        </w:rPr>
        <w:t>等</w:t>
      </w:r>
      <w:r>
        <w:rPr>
          <w:smallCaps/>
          <w:sz w:val="24"/>
        </w:rPr>
        <w:t>，具备在该区域设立临时围堰的能力，可有效防止油品泄漏，流出厂外，污染附近地表水体。</w:t>
      </w:r>
      <w:r>
        <w:rPr>
          <w:rFonts w:hint="eastAsia"/>
          <w:smallCaps/>
          <w:sz w:val="24"/>
        </w:rPr>
        <w:t>设置相关标识，</w:t>
      </w:r>
      <w:r>
        <w:rPr>
          <w:smallCaps/>
          <w:sz w:val="24"/>
        </w:rPr>
        <w:t>标示储存物质的特性，发生火灾、爆炸泄漏等事故时的应对措施。</w:t>
      </w:r>
    </w:p>
    <w:p w14:paraId="2B44D098">
      <w:pPr>
        <w:spacing w:before="0" w:beforeLines="0" w:line="360" w:lineRule="auto"/>
        <w:jc w:val="left"/>
        <w:rPr>
          <w:smallCaps/>
          <w:sz w:val="24"/>
        </w:rPr>
      </w:pPr>
      <w:r>
        <w:rPr>
          <w:rFonts w:hint="eastAsia"/>
          <w:smallCaps/>
          <w:sz w:val="24"/>
        </w:rPr>
        <w:t>（3）选矿废水泄漏环境风险防范措施</w:t>
      </w:r>
    </w:p>
    <w:p w14:paraId="35C76757">
      <w:pPr>
        <w:spacing w:before="0" w:beforeLines="0" w:line="360" w:lineRule="auto"/>
        <w:ind w:firstLine="480" w:firstLineChars="200"/>
        <w:rPr>
          <w:sz w:val="24"/>
          <w:szCs w:val="22"/>
        </w:rPr>
      </w:pPr>
      <w:r>
        <w:rPr>
          <w:sz w:val="24"/>
          <w:szCs w:val="22"/>
        </w:rPr>
        <w:t>落实各种环境风险应急保障措施，特别是掌握应急物资与装备的种类、数量、存放位置及使用方法。经常进行环境风险应急预案的演练，防止发生大的事故。</w:t>
      </w:r>
    </w:p>
    <w:p w14:paraId="3DD43665">
      <w:pPr>
        <w:spacing w:before="0" w:beforeLines="0" w:line="360" w:lineRule="auto"/>
        <w:ind w:firstLine="480" w:firstLineChars="200"/>
        <w:rPr>
          <w:sz w:val="24"/>
          <w:szCs w:val="22"/>
        </w:rPr>
      </w:pPr>
      <w:r>
        <w:rPr>
          <w:rFonts w:ascii="Cambria Math" w:hAnsi="Cambria Math" w:cs="Cambria Math"/>
          <w:sz w:val="24"/>
          <w:szCs w:val="22"/>
        </w:rPr>
        <w:t>①</w:t>
      </w:r>
      <w:r>
        <w:rPr>
          <w:sz w:val="24"/>
          <w:szCs w:val="22"/>
        </w:rPr>
        <w:t>对环保设备设置专人负责，环保设备主要包括</w:t>
      </w:r>
      <w:r>
        <w:rPr>
          <w:rFonts w:hint="eastAsia"/>
          <w:sz w:val="24"/>
          <w:szCs w:val="22"/>
        </w:rPr>
        <w:t>循环水池</w:t>
      </w:r>
      <w:r>
        <w:rPr>
          <w:sz w:val="24"/>
          <w:szCs w:val="22"/>
        </w:rPr>
        <w:t>、水泵等，设置</w:t>
      </w:r>
      <w:r>
        <w:rPr>
          <w:rFonts w:hint="eastAsia"/>
          <w:sz w:val="24"/>
          <w:szCs w:val="22"/>
          <w:lang w:eastAsia="zh-CN"/>
        </w:rPr>
        <w:t>标识</w:t>
      </w:r>
      <w:r>
        <w:rPr>
          <w:sz w:val="24"/>
          <w:szCs w:val="22"/>
        </w:rPr>
        <w:t>，正常情况下每日检查一次，巡检内容主要为设备运行、导流是否畅通等。</w:t>
      </w:r>
    </w:p>
    <w:p w14:paraId="1137869A">
      <w:pPr>
        <w:spacing w:before="0" w:beforeLines="0" w:line="360" w:lineRule="auto"/>
        <w:ind w:firstLine="480" w:firstLineChars="200"/>
        <w:rPr>
          <w:sz w:val="24"/>
          <w:szCs w:val="22"/>
        </w:rPr>
      </w:pPr>
      <w:r>
        <w:rPr>
          <w:rFonts w:ascii="Cambria Math" w:hAnsi="Cambria Math" w:eastAsia="微软雅黑" w:cs="Cambria Math"/>
          <w:sz w:val="24"/>
          <w:szCs w:val="22"/>
        </w:rPr>
        <w:t>②</w:t>
      </w:r>
      <w:r>
        <w:rPr>
          <w:sz w:val="24"/>
          <w:szCs w:val="22"/>
        </w:rPr>
        <w:t>加强设备日常检修维护，保证一工一备，特殊部位一工两备。</w:t>
      </w:r>
    </w:p>
    <w:p w14:paraId="1A33877B">
      <w:pPr>
        <w:spacing w:before="0" w:beforeLines="0" w:line="360" w:lineRule="auto"/>
        <w:ind w:firstLine="480" w:firstLineChars="200"/>
        <w:rPr>
          <w:sz w:val="24"/>
          <w:szCs w:val="22"/>
        </w:rPr>
      </w:pPr>
      <w:r>
        <w:rPr>
          <w:rFonts w:ascii="Cambria Math" w:hAnsi="Cambria Math" w:cs="Cambria Math"/>
          <w:sz w:val="24"/>
          <w:szCs w:val="22"/>
        </w:rPr>
        <w:t>③</w:t>
      </w:r>
      <w:r>
        <w:rPr>
          <w:sz w:val="24"/>
          <w:szCs w:val="22"/>
        </w:rPr>
        <w:t>事故状态下尾矿输送管线出现泄漏等情况，立即停止生产，利用清水冲洗管路，当生产恢复正常后，由底流泵站将池内水回用于生产。</w:t>
      </w:r>
    </w:p>
    <w:p w14:paraId="45E142BD">
      <w:pPr>
        <w:spacing w:before="0" w:beforeLines="0" w:line="360" w:lineRule="auto"/>
        <w:ind w:firstLine="480" w:firstLineChars="200"/>
        <w:rPr>
          <w:sz w:val="24"/>
          <w:szCs w:val="22"/>
        </w:rPr>
      </w:pPr>
      <w:r>
        <w:rPr>
          <w:rFonts w:ascii="Cambria Math" w:hAnsi="Cambria Math" w:cs="Cambria Math"/>
          <w:sz w:val="24"/>
          <w:szCs w:val="22"/>
        </w:rPr>
        <w:t>④</w:t>
      </w:r>
      <w:r>
        <w:rPr>
          <w:sz w:val="24"/>
          <w:szCs w:val="22"/>
        </w:rPr>
        <w:t>加强生产管理，防止生产过程中跑、冒、滴、漏、废水四处漫延渗漏，对输送系统应加强监管及相应的维护措施，严防事故性废水外排。</w:t>
      </w:r>
    </w:p>
    <w:p w14:paraId="6DCA2A51">
      <w:pPr>
        <w:spacing w:before="0" w:beforeLines="0" w:line="360" w:lineRule="auto"/>
        <w:ind w:firstLine="480" w:firstLineChars="200"/>
        <w:rPr>
          <w:sz w:val="24"/>
          <w:szCs w:val="22"/>
        </w:rPr>
      </w:pPr>
      <w:r>
        <w:rPr>
          <w:rFonts w:ascii="Cambria Math" w:hAnsi="Cambria Math" w:cs="Cambria Math"/>
          <w:sz w:val="24"/>
          <w:szCs w:val="22"/>
        </w:rPr>
        <w:t>⑤</w:t>
      </w:r>
      <w:r>
        <w:rPr>
          <w:sz w:val="24"/>
          <w:szCs w:val="22"/>
        </w:rPr>
        <w:t>配置备用水泵及相应的配件，当渣浆泵出现故障时启动备用水泵。设备故障立即停止产生废水的全段工序生产。</w:t>
      </w:r>
    </w:p>
    <w:p w14:paraId="0EB8B129">
      <w:pPr>
        <w:snapToGrid w:val="0"/>
        <w:spacing w:before="0" w:beforeLines="0" w:line="360" w:lineRule="auto"/>
        <w:rPr>
          <w:bCs/>
          <w:kern w:val="0"/>
          <w:sz w:val="24"/>
          <w:szCs w:val="20"/>
        </w:rPr>
      </w:pPr>
      <w:r>
        <w:rPr>
          <w:rFonts w:hint="eastAsia"/>
          <w:sz w:val="24"/>
        </w:rPr>
        <w:t>（4）</w:t>
      </w:r>
      <w:r>
        <w:rPr>
          <w:bCs/>
          <w:kern w:val="0"/>
          <w:sz w:val="24"/>
          <w:szCs w:val="20"/>
        </w:rPr>
        <w:t>尾矿浆输送管道破裂防范措施</w:t>
      </w:r>
    </w:p>
    <w:p w14:paraId="5E7128B4">
      <w:pPr>
        <w:snapToGrid w:val="0"/>
        <w:spacing w:before="0" w:beforeLines="0" w:line="360" w:lineRule="auto"/>
        <w:ind w:firstLine="480" w:firstLineChars="200"/>
        <w:rPr>
          <w:bCs/>
          <w:kern w:val="0"/>
          <w:sz w:val="24"/>
          <w:szCs w:val="20"/>
        </w:rPr>
      </w:pPr>
      <w:r>
        <w:rPr>
          <w:bCs/>
          <w:kern w:val="0"/>
          <w:sz w:val="24"/>
          <w:szCs w:val="20"/>
        </w:rPr>
        <w:t>1）严格按照规范、设计要求做好工程沿线的防震、防腐蚀、防沉陷和不均匀沉降设计，充分考虑工程实际情况，保证工程设计质量。</w:t>
      </w:r>
    </w:p>
    <w:p w14:paraId="3633696E">
      <w:pPr>
        <w:snapToGrid w:val="0"/>
        <w:spacing w:before="0" w:beforeLines="0" w:line="360" w:lineRule="auto"/>
        <w:ind w:firstLine="480" w:firstLineChars="200"/>
        <w:rPr>
          <w:bCs/>
          <w:kern w:val="0"/>
          <w:sz w:val="24"/>
          <w:szCs w:val="20"/>
        </w:rPr>
      </w:pPr>
      <w:r>
        <w:rPr>
          <w:bCs/>
          <w:kern w:val="0"/>
          <w:sz w:val="24"/>
          <w:szCs w:val="20"/>
        </w:rPr>
        <w:t>2）管线施工中应加强对施工单位的监督和管理，严格按照设计要求施工，满足设计提出的质量要求。</w:t>
      </w:r>
    </w:p>
    <w:p w14:paraId="6D606FA2">
      <w:pPr>
        <w:snapToGrid w:val="0"/>
        <w:spacing w:before="0" w:beforeLines="0" w:line="360" w:lineRule="auto"/>
        <w:ind w:firstLine="480" w:firstLineChars="200"/>
        <w:rPr>
          <w:bCs/>
          <w:kern w:val="0"/>
          <w:sz w:val="24"/>
          <w:szCs w:val="20"/>
        </w:rPr>
      </w:pPr>
      <w:r>
        <w:rPr>
          <w:bCs/>
          <w:kern w:val="0"/>
          <w:sz w:val="24"/>
          <w:szCs w:val="20"/>
        </w:rPr>
        <w:t>3）划定管线沿线保护范围，正确标示管线位置，避免人为误挖掘等损坏。</w:t>
      </w:r>
    </w:p>
    <w:p w14:paraId="6235AF32">
      <w:pPr>
        <w:snapToGrid w:val="0"/>
        <w:spacing w:before="0" w:beforeLines="0" w:line="360" w:lineRule="auto"/>
        <w:ind w:firstLine="480" w:firstLineChars="200"/>
        <w:rPr>
          <w:bCs/>
          <w:kern w:val="0"/>
          <w:sz w:val="24"/>
          <w:szCs w:val="20"/>
        </w:rPr>
      </w:pPr>
      <w:r>
        <w:rPr>
          <w:bCs/>
          <w:kern w:val="0"/>
          <w:sz w:val="24"/>
          <w:szCs w:val="20"/>
        </w:rPr>
        <w:t>4）加强管线巡检。制定严格的运行操作规章制度，对操作人员进行岗位培训，防止误操作带来的风险事故；按规定进行设备维修、保养、更换易损及老化部件，防止跑冒滴漏发生。</w:t>
      </w:r>
    </w:p>
    <w:p w14:paraId="268AE8B1">
      <w:pPr>
        <w:pStyle w:val="5"/>
        <w:rPr>
          <w:color w:val="auto"/>
        </w:rPr>
      </w:pPr>
      <w:r>
        <w:rPr>
          <w:rFonts w:hint="eastAsia"/>
          <w:color w:val="auto"/>
        </w:rPr>
        <w:t>7.5.2</w:t>
      </w:r>
      <w:r>
        <w:rPr>
          <w:color w:val="auto"/>
        </w:rPr>
        <w:t>环境风险应急预案</w:t>
      </w:r>
    </w:p>
    <w:p w14:paraId="3A0DA72B">
      <w:pPr>
        <w:adjustRightInd w:val="0"/>
        <w:snapToGrid w:val="0"/>
        <w:spacing w:before="0" w:beforeLines="0" w:line="360" w:lineRule="auto"/>
        <w:ind w:firstLine="480" w:firstLineChars="200"/>
        <w:jc w:val="left"/>
        <w:rPr>
          <w:smallCaps/>
          <w:sz w:val="24"/>
        </w:rPr>
      </w:pPr>
      <w:r>
        <w:rPr>
          <w:smallCaps/>
          <w:sz w:val="24"/>
        </w:rPr>
        <w:t>本项目建成后根据项目存在的突发环境风险对环境应急预案进行</w:t>
      </w:r>
      <w:r>
        <w:rPr>
          <w:rFonts w:hint="eastAsia"/>
          <w:smallCaps/>
          <w:sz w:val="24"/>
        </w:rPr>
        <w:t>编制</w:t>
      </w:r>
      <w:r>
        <w:rPr>
          <w:smallCaps/>
          <w:sz w:val="24"/>
        </w:rPr>
        <w:t>，并在相关部门进行备案。</w:t>
      </w:r>
    </w:p>
    <w:p w14:paraId="38D2E06F">
      <w:pPr>
        <w:pStyle w:val="4"/>
        <w:spacing w:line="416" w:lineRule="auto"/>
        <w:jc w:val="left"/>
        <w:rPr>
          <w:rFonts w:ascii="Times New Roman" w:hAnsi="Times New Roman" w:eastAsia="宋体"/>
          <w:color w:val="auto"/>
          <w:kern w:val="0"/>
        </w:rPr>
      </w:pPr>
      <w:bookmarkStart w:id="607" w:name="_Toc239274293"/>
      <w:r>
        <w:rPr>
          <w:rFonts w:ascii="Times New Roman" w:hAnsi="Times New Roman" w:eastAsia="宋体"/>
          <w:color w:val="auto"/>
          <w:kern w:val="0"/>
        </w:rPr>
        <w:t>7.6环境风险分析结论</w:t>
      </w:r>
      <w:bookmarkEnd w:id="607"/>
    </w:p>
    <w:p w14:paraId="0CF8C490">
      <w:pPr>
        <w:spacing w:before="78" w:line="360" w:lineRule="auto"/>
        <w:ind w:firstLine="464" w:firstLineChars="200"/>
        <w:rPr>
          <w:sz w:val="24"/>
          <w:szCs w:val="22"/>
        </w:rPr>
      </w:pPr>
      <w:r>
        <w:rPr>
          <w:spacing w:val="-4"/>
          <w:sz w:val="24"/>
        </w:rPr>
        <w:t>本项目涉及危险物质废矿物油，在厂界内的最大存在总量小于临界量，未构成重大</w:t>
      </w:r>
      <w:r>
        <w:rPr>
          <w:spacing w:val="-7"/>
          <w:sz w:val="24"/>
        </w:rPr>
        <w:t>危险源。本项目具有潜在的事故风险，潜在的风险水平可以接受，对周围环境及人群带</w:t>
      </w:r>
      <w:r>
        <w:rPr>
          <w:spacing w:val="-6"/>
          <w:sz w:val="24"/>
        </w:rPr>
        <w:t>来安全风险较小。本项目只要加强生产安全和环境管理，落实环境风险防范措施，完全</w:t>
      </w:r>
      <w:r>
        <w:rPr>
          <w:spacing w:val="-5"/>
          <w:sz w:val="24"/>
        </w:rPr>
        <w:t>可以避免环境风险事故的发生，一旦发生环境风险事故，也可将危害降到最低程度，其</w:t>
      </w:r>
      <w:r>
        <w:rPr>
          <w:sz w:val="24"/>
        </w:rPr>
        <w:t>环境风险事故影响是可以接受的</w:t>
      </w:r>
      <w:r>
        <w:rPr>
          <w:sz w:val="24"/>
          <w:shd w:val="clear" w:color="auto" w:fill="FFFFFF"/>
        </w:rPr>
        <w:t>。</w:t>
      </w:r>
    </w:p>
    <w:bookmarkEnd w:id="600"/>
    <w:p w14:paraId="3E9991AB">
      <w:pPr>
        <w:spacing w:before="78" w:line="360" w:lineRule="auto"/>
        <w:ind w:firstLine="480" w:firstLineChars="200"/>
        <w:rPr>
          <w:snapToGrid w:val="0"/>
          <w:kern w:val="0"/>
          <w:sz w:val="24"/>
        </w:rPr>
      </w:pPr>
      <w:r>
        <w:rPr>
          <w:snapToGrid w:val="0"/>
          <w:kern w:val="0"/>
          <w:sz w:val="24"/>
        </w:rPr>
        <w:t>本项目环境风险简单分析内容详见表7.</w:t>
      </w:r>
      <w:r>
        <w:rPr>
          <w:rFonts w:hint="eastAsia"/>
          <w:snapToGrid w:val="0"/>
          <w:kern w:val="0"/>
          <w:sz w:val="24"/>
        </w:rPr>
        <w:t>6</w:t>
      </w:r>
      <w:r>
        <w:rPr>
          <w:snapToGrid w:val="0"/>
          <w:kern w:val="0"/>
          <w:sz w:val="24"/>
        </w:rPr>
        <w:t>-1。</w:t>
      </w:r>
    </w:p>
    <w:p w14:paraId="2476204B">
      <w:pPr>
        <w:widowControl/>
        <w:spacing w:before="78"/>
        <w:jc w:val="center"/>
        <w:rPr>
          <w:b/>
          <w:bCs/>
          <w:sz w:val="24"/>
        </w:rPr>
      </w:pPr>
      <w:r>
        <w:rPr>
          <w:b/>
          <w:bCs/>
          <w:szCs w:val="21"/>
        </w:rPr>
        <w:t>表7.</w:t>
      </w:r>
      <w:r>
        <w:rPr>
          <w:rFonts w:hint="eastAsia"/>
          <w:b/>
          <w:bCs/>
          <w:szCs w:val="21"/>
        </w:rPr>
        <w:t>6</w:t>
      </w:r>
      <w:r>
        <w:rPr>
          <w:b/>
          <w:bCs/>
          <w:szCs w:val="21"/>
        </w:rPr>
        <w:t>-1    建设项目环境风险简单分析内容表</w:t>
      </w:r>
    </w:p>
    <w:tbl>
      <w:tblPr>
        <w:tblStyle w:val="8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28" w:type="dxa"/>
          <w:bottom w:w="0" w:type="dxa"/>
          <w:right w:w="28" w:type="dxa"/>
        </w:tblCellMar>
      </w:tblPr>
      <w:tblGrid>
        <w:gridCol w:w="1416"/>
        <w:gridCol w:w="905"/>
        <w:gridCol w:w="2635"/>
        <w:gridCol w:w="865"/>
        <w:gridCol w:w="2481"/>
      </w:tblGrid>
      <w:tr w14:paraId="5A264C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853" w:type="pct"/>
            <w:tcBorders>
              <w:top w:val="single" w:color="auto" w:sz="12" w:space="0"/>
              <w:left w:val="nil"/>
            </w:tcBorders>
            <w:vAlign w:val="center"/>
          </w:tcPr>
          <w:p w14:paraId="62C1A88C">
            <w:pPr>
              <w:adjustRightInd w:val="0"/>
              <w:snapToGrid w:val="0"/>
              <w:spacing w:before="0" w:beforeLines="0" w:line="240" w:lineRule="auto"/>
              <w:jc w:val="center"/>
              <w:rPr>
                <w:szCs w:val="21"/>
              </w:rPr>
            </w:pPr>
            <w:r>
              <w:rPr>
                <w:szCs w:val="21"/>
              </w:rPr>
              <w:t>建设项目名称</w:t>
            </w:r>
          </w:p>
        </w:tc>
        <w:tc>
          <w:tcPr>
            <w:tcW w:w="4147" w:type="pct"/>
            <w:gridSpan w:val="4"/>
            <w:tcBorders>
              <w:top w:val="single" w:color="auto" w:sz="12" w:space="0"/>
              <w:right w:val="nil"/>
            </w:tcBorders>
            <w:vAlign w:val="center"/>
          </w:tcPr>
          <w:p w14:paraId="3A6BF1C1">
            <w:pPr>
              <w:adjustRightInd w:val="0"/>
              <w:snapToGrid w:val="0"/>
              <w:spacing w:before="0" w:beforeLines="0" w:line="240" w:lineRule="auto"/>
              <w:jc w:val="center"/>
              <w:rPr>
                <w:szCs w:val="21"/>
              </w:rPr>
            </w:pPr>
            <w:r>
              <w:rPr>
                <w:szCs w:val="21"/>
              </w:rPr>
              <w:t>鸿泽废旧资源利用有限公司</w:t>
            </w:r>
            <w:r>
              <w:rPr>
                <w:rFonts w:hint="eastAsia"/>
                <w:szCs w:val="21"/>
              </w:rPr>
              <w:t>矿山</w:t>
            </w:r>
            <w:r>
              <w:rPr>
                <w:szCs w:val="21"/>
              </w:rPr>
              <w:t>废弃尾矿综合利用项目</w:t>
            </w:r>
          </w:p>
        </w:tc>
      </w:tr>
      <w:tr w14:paraId="569954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853" w:type="pct"/>
            <w:tcBorders>
              <w:left w:val="nil"/>
            </w:tcBorders>
            <w:vAlign w:val="center"/>
          </w:tcPr>
          <w:p w14:paraId="0A4C37B2">
            <w:pPr>
              <w:adjustRightInd w:val="0"/>
              <w:snapToGrid w:val="0"/>
              <w:spacing w:before="0" w:beforeLines="0" w:line="240" w:lineRule="auto"/>
              <w:jc w:val="center"/>
              <w:rPr>
                <w:bCs/>
                <w:szCs w:val="21"/>
              </w:rPr>
            </w:pPr>
            <w:r>
              <w:rPr>
                <w:bCs/>
                <w:szCs w:val="21"/>
              </w:rPr>
              <w:t>建设地点</w:t>
            </w:r>
          </w:p>
        </w:tc>
        <w:tc>
          <w:tcPr>
            <w:tcW w:w="545" w:type="pct"/>
            <w:vAlign w:val="center"/>
          </w:tcPr>
          <w:p w14:paraId="29016C13">
            <w:pPr>
              <w:adjustRightInd w:val="0"/>
              <w:snapToGrid w:val="0"/>
              <w:spacing w:before="0" w:beforeLines="0" w:line="240" w:lineRule="auto"/>
              <w:jc w:val="center"/>
              <w:rPr>
                <w:szCs w:val="21"/>
              </w:rPr>
            </w:pPr>
            <w:r>
              <w:rPr>
                <w:szCs w:val="21"/>
              </w:rPr>
              <w:t>辽宁省</w:t>
            </w:r>
          </w:p>
        </w:tc>
        <w:tc>
          <w:tcPr>
            <w:tcW w:w="1587" w:type="pct"/>
            <w:vAlign w:val="center"/>
          </w:tcPr>
          <w:p w14:paraId="369BE886">
            <w:pPr>
              <w:adjustRightInd w:val="0"/>
              <w:snapToGrid w:val="0"/>
              <w:spacing w:before="0" w:beforeLines="0" w:line="240" w:lineRule="auto"/>
              <w:jc w:val="center"/>
              <w:rPr>
                <w:szCs w:val="21"/>
              </w:rPr>
            </w:pPr>
            <w:r>
              <w:rPr>
                <w:szCs w:val="21"/>
              </w:rPr>
              <w:t>阜新市</w:t>
            </w:r>
          </w:p>
        </w:tc>
        <w:tc>
          <w:tcPr>
            <w:tcW w:w="521" w:type="pct"/>
            <w:vAlign w:val="center"/>
          </w:tcPr>
          <w:p w14:paraId="16342B6F">
            <w:pPr>
              <w:adjustRightInd w:val="0"/>
              <w:snapToGrid w:val="0"/>
              <w:spacing w:before="0" w:beforeLines="0" w:line="240" w:lineRule="auto"/>
              <w:jc w:val="center"/>
              <w:rPr>
                <w:szCs w:val="21"/>
              </w:rPr>
            </w:pPr>
            <w:r>
              <w:rPr>
                <w:szCs w:val="21"/>
              </w:rPr>
              <w:t>阜蒙县</w:t>
            </w:r>
          </w:p>
        </w:tc>
        <w:tc>
          <w:tcPr>
            <w:tcW w:w="1494" w:type="pct"/>
            <w:tcBorders>
              <w:right w:val="nil"/>
            </w:tcBorders>
            <w:vAlign w:val="center"/>
          </w:tcPr>
          <w:p w14:paraId="6A72F120">
            <w:pPr>
              <w:adjustRightInd w:val="0"/>
              <w:snapToGrid w:val="0"/>
              <w:spacing w:before="0" w:beforeLines="0" w:line="240" w:lineRule="auto"/>
              <w:jc w:val="center"/>
              <w:rPr>
                <w:szCs w:val="21"/>
              </w:rPr>
            </w:pPr>
            <w:r>
              <w:rPr>
                <w:szCs w:val="21"/>
              </w:rPr>
              <w:t>旧庙镇</w:t>
            </w:r>
            <w:r>
              <w:rPr>
                <w:rFonts w:hint="eastAsia"/>
                <w:szCs w:val="21"/>
              </w:rPr>
              <w:t>阿哈来村</w:t>
            </w:r>
          </w:p>
        </w:tc>
      </w:tr>
      <w:tr w14:paraId="5D5B00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853" w:type="pct"/>
            <w:tcBorders>
              <w:left w:val="nil"/>
            </w:tcBorders>
            <w:vAlign w:val="center"/>
          </w:tcPr>
          <w:p w14:paraId="534AD630">
            <w:pPr>
              <w:adjustRightInd w:val="0"/>
              <w:snapToGrid w:val="0"/>
              <w:spacing w:before="0" w:beforeLines="0" w:line="240" w:lineRule="auto"/>
              <w:jc w:val="center"/>
              <w:rPr>
                <w:bCs/>
                <w:szCs w:val="21"/>
              </w:rPr>
            </w:pPr>
            <w:r>
              <w:rPr>
                <w:bCs/>
                <w:szCs w:val="21"/>
              </w:rPr>
              <w:t>地理坐标</w:t>
            </w:r>
          </w:p>
        </w:tc>
        <w:tc>
          <w:tcPr>
            <w:tcW w:w="545" w:type="pct"/>
            <w:vAlign w:val="center"/>
          </w:tcPr>
          <w:p w14:paraId="7907D1AA">
            <w:pPr>
              <w:adjustRightInd w:val="0"/>
              <w:snapToGrid w:val="0"/>
              <w:spacing w:before="0" w:beforeLines="0" w:line="240" w:lineRule="auto"/>
              <w:jc w:val="center"/>
              <w:rPr>
                <w:szCs w:val="21"/>
              </w:rPr>
            </w:pPr>
            <w:r>
              <w:rPr>
                <w:szCs w:val="21"/>
              </w:rPr>
              <w:t>经度</w:t>
            </w:r>
          </w:p>
        </w:tc>
        <w:tc>
          <w:tcPr>
            <w:tcW w:w="1587" w:type="pct"/>
            <w:vAlign w:val="center"/>
          </w:tcPr>
          <w:p w14:paraId="3C036BFB">
            <w:pPr>
              <w:adjustRightInd w:val="0"/>
              <w:snapToGrid w:val="0"/>
              <w:spacing w:before="0" w:beforeLines="0" w:line="240" w:lineRule="auto"/>
              <w:jc w:val="left"/>
              <w:rPr>
                <w:szCs w:val="21"/>
              </w:rPr>
            </w:pPr>
            <w:r>
              <w:rPr>
                <w:szCs w:val="21"/>
              </w:rPr>
              <w:t>1#厂区：121°39′45.20147″</w:t>
            </w:r>
          </w:p>
          <w:p w14:paraId="6A525486">
            <w:pPr>
              <w:adjustRightInd w:val="0"/>
              <w:snapToGrid w:val="0"/>
              <w:spacing w:before="0" w:beforeLines="0" w:line="240" w:lineRule="auto"/>
              <w:jc w:val="left"/>
              <w:rPr>
                <w:szCs w:val="21"/>
              </w:rPr>
            </w:pPr>
            <w:r>
              <w:rPr>
                <w:szCs w:val="21"/>
              </w:rPr>
              <w:t>2#厂区：121°39′56.51825″</w:t>
            </w:r>
          </w:p>
        </w:tc>
        <w:tc>
          <w:tcPr>
            <w:tcW w:w="521" w:type="pct"/>
            <w:vAlign w:val="center"/>
          </w:tcPr>
          <w:p w14:paraId="7381786F">
            <w:pPr>
              <w:adjustRightInd w:val="0"/>
              <w:snapToGrid w:val="0"/>
              <w:spacing w:before="0" w:beforeLines="0" w:line="240" w:lineRule="auto"/>
              <w:jc w:val="center"/>
              <w:rPr>
                <w:szCs w:val="21"/>
              </w:rPr>
            </w:pPr>
            <w:r>
              <w:rPr>
                <w:szCs w:val="21"/>
              </w:rPr>
              <w:t>纬度</w:t>
            </w:r>
          </w:p>
        </w:tc>
        <w:tc>
          <w:tcPr>
            <w:tcW w:w="1494" w:type="pct"/>
            <w:tcBorders>
              <w:right w:val="nil"/>
            </w:tcBorders>
            <w:vAlign w:val="center"/>
          </w:tcPr>
          <w:p w14:paraId="48F63FC5">
            <w:pPr>
              <w:adjustRightInd w:val="0"/>
              <w:snapToGrid w:val="0"/>
              <w:spacing w:before="0" w:beforeLines="0" w:line="240" w:lineRule="auto"/>
              <w:jc w:val="center"/>
              <w:rPr>
                <w:szCs w:val="21"/>
              </w:rPr>
            </w:pPr>
            <w:r>
              <w:rPr>
                <w:szCs w:val="21"/>
              </w:rPr>
              <w:t>1#厂区：42°20′2.30658″</w:t>
            </w:r>
          </w:p>
          <w:p w14:paraId="29F955BD">
            <w:pPr>
              <w:adjustRightInd w:val="0"/>
              <w:snapToGrid w:val="0"/>
              <w:spacing w:before="0" w:beforeLines="0" w:line="240" w:lineRule="auto"/>
              <w:jc w:val="center"/>
              <w:rPr>
                <w:szCs w:val="21"/>
              </w:rPr>
            </w:pPr>
            <w:r>
              <w:rPr>
                <w:szCs w:val="21"/>
              </w:rPr>
              <w:t>2#厂区：42°20′8.44777″</w:t>
            </w:r>
          </w:p>
        </w:tc>
      </w:tr>
      <w:tr w14:paraId="47A23D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853" w:type="pct"/>
            <w:tcBorders>
              <w:left w:val="nil"/>
            </w:tcBorders>
            <w:vAlign w:val="center"/>
          </w:tcPr>
          <w:p w14:paraId="071F3053">
            <w:pPr>
              <w:adjustRightInd w:val="0"/>
              <w:snapToGrid w:val="0"/>
              <w:spacing w:before="0" w:beforeLines="0" w:line="240" w:lineRule="auto"/>
              <w:jc w:val="center"/>
              <w:rPr>
                <w:bCs/>
                <w:szCs w:val="21"/>
              </w:rPr>
            </w:pPr>
            <w:r>
              <w:rPr>
                <w:bCs/>
                <w:szCs w:val="21"/>
              </w:rPr>
              <w:t>主要危险物质及分布</w:t>
            </w:r>
          </w:p>
        </w:tc>
        <w:tc>
          <w:tcPr>
            <w:tcW w:w="4147" w:type="pct"/>
            <w:gridSpan w:val="4"/>
            <w:tcBorders>
              <w:right w:val="nil"/>
            </w:tcBorders>
            <w:vAlign w:val="center"/>
          </w:tcPr>
          <w:p w14:paraId="528D9BF2">
            <w:pPr>
              <w:adjustRightInd w:val="0"/>
              <w:snapToGrid w:val="0"/>
              <w:spacing w:before="0" w:beforeLines="0" w:line="240" w:lineRule="auto"/>
              <w:jc w:val="left"/>
              <w:rPr>
                <w:szCs w:val="21"/>
              </w:rPr>
            </w:pPr>
            <w:r>
              <w:rPr>
                <w:szCs w:val="21"/>
              </w:rPr>
              <w:t>主要危险物质为废矿物油。</w:t>
            </w:r>
          </w:p>
          <w:p w14:paraId="1DA46ACF">
            <w:pPr>
              <w:adjustRightInd w:val="0"/>
              <w:snapToGrid w:val="0"/>
              <w:spacing w:before="0" w:beforeLines="0" w:line="240" w:lineRule="auto"/>
              <w:jc w:val="left"/>
              <w:rPr>
                <w:szCs w:val="21"/>
              </w:rPr>
            </w:pPr>
            <w:r>
              <w:rPr>
                <w:szCs w:val="21"/>
              </w:rPr>
              <w:t>主要分布在危废贮存点。</w:t>
            </w:r>
          </w:p>
        </w:tc>
      </w:tr>
      <w:tr w14:paraId="203D94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853" w:type="pct"/>
            <w:tcBorders>
              <w:left w:val="nil"/>
            </w:tcBorders>
            <w:vAlign w:val="center"/>
          </w:tcPr>
          <w:p w14:paraId="3610AC41">
            <w:pPr>
              <w:adjustRightInd w:val="0"/>
              <w:snapToGrid w:val="0"/>
              <w:spacing w:before="0" w:beforeLines="0" w:line="240" w:lineRule="auto"/>
              <w:jc w:val="center"/>
              <w:rPr>
                <w:bCs/>
                <w:szCs w:val="21"/>
              </w:rPr>
            </w:pPr>
            <w:r>
              <w:rPr>
                <w:bCs/>
                <w:szCs w:val="21"/>
              </w:rPr>
              <w:t>环境影响途径及危害后果</w:t>
            </w:r>
          </w:p>
        </w:tc>
        <w:tc>
          <w:tcPr>
            <w:tcW w:w="4147" w:type="pct"/>
            <w:gridSpan w:val="4"/>
            <w:tcBorders>
              <w:right w:val="nil"/>
            </w:tcBorders>
            <w:vAlign w:val="center"/>
          </w:tcPr>
          <w:p w14:paraId="38ACFE19">
            <w:pPr>
              <w:adjustRightInd w:val="0"/>
              <w:snapToGrid w:val="0"/>
              <w:spacing w:before="0" w:beforeLines="0" w:line="240" w:lineRule="auto"/>
              <w:jc w:val="left"/>
              <w:rPr>
                <w:szCs w:val="21"/>
              </w:rPr>
            </w:pPr>
            <w:r>
              <w:rPr>
                <w:szCs w:val="21"/>
              </w:rPr>
              <w:t>废矿物油发生泄漏会对地表水、地下水及土壤产生污染影响。</w:t>
            </w:r>
          </w:p>
          <w:p w14:paraId="5F9CDFAB">
            <w:pPr>
              <w:pStyle w:val="135"/>
              <w:spacing w:before="0" w:beforeLines="0" w:line="240" w:lineRule="auto"/>
              <w:jc w:val="left"/>
            </w:pPr>
            <w:r>
              <w:t>火灾及爆炸产生的气体主要是CO</w:t>
            </w:r>
            <w:r>
              <w:rPr>
                <w:vertAlign w:val="subscript"/>
              </w:rPr>
              <w:t>2</w:t>
            </w:r>
            <w:r>
              <w:t>及少量CO、非甲烷总烃。</w:t>
            </w:r>
          </w:p>
        </w:tc>
      </w:tr>
      <w:tr w14:paraId="033CE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853" w:type="pct"/>
            <w:tcBorders>
              <w:left w:val="nil"/>
            </w:tcBorders>
            <w:vAlign w:val="center"/>
          </w:tcPr>
          <w:p w14:paraId="7567F313">
            <w:pPr>
              <w:adjustRightInd w:val="0"/>
              <w:snapToGrid w:val="0"/>
              <w:spacing w:before="0" w:beforeLines="0" w:line="240" w:lineRule="auto"/>
              <w:jc w:val="center"/>
              <w:rPr>
                <w:bCs/>
                <w:szCs w:val="21"/>
              </w:rPr>
            </w:pPr>
            <w:r>
              <w:rPr>
                <w:bCs/>
                <w:szCs w:val="21"/>
              </w:rPr>
              <w:t>风险防范措施要求</w:t>
            </w:r>
          </w:p>
        </w:tc>
        <w:tc>
          <w:tcPr>
            <w:tcW w:w="4147" w:type="pct"/>
            <w:gridSpan w:val="4"/>
            <w:tcBorders>
              <w:right w:val="nil"/>
            </w:tcBorders>
            <w:vAlign w:val="center"/>
          </w:tcPr>
          <w:p w14:paraId="2FE5183D">
            <w:pPr>
              <w:adjustRightInd w:val="0"/>
              <w:snapToGrid w:val="0"/>
              <w:spacing w:before="0" w:beforeLines="0" w:line="240" w:lineRule="auto"/>
              <w:jc w:val="left"/>
              <w:rPr>
                <w:szCs w:val="21"/>
              </w:rPr>
            </w:pPr>
            <w:r>
              <w:rPr>
                <w:szCs w:val="21"/>
              </w:rPr>
              <w:t>①泄漏防范措施：危废贮存点采取重点防渗，应进行防风、防雨、防晒、防渗处理；危废贮存点设有标识，定期委托有资质单位进行回收处置；设有专人负责管理，定期巡检，严格控烟控火。</w:t>
            </w:r>
          </w:p>
          <w:p w14:paraId="02DFAB37">
            <w:pPr>
              <w:adjustRightInd w:val="0"/>
              <w:snapToGrid w:val="0"/>
              <w:spacing w:before="0" w:beforeLines="0" w:line="240" w:lineRule="auto"/>
              <w:jc w:val="left"/>
              <w:rPr>
                <w:szCs w:val="21"/>
              </w:rPr>
            </w:pPr>
            <w:r>
              <w:rPr>
                <w:szCs w:val="21"/>
              </w:rPr>
              <w:t>②火灾防范措施：存放易燃物品的建筑物应符合《建筑设计防火规范》的有关规定；易燃物品统一存放，并由专人负责管理；存放易燃物品的仓库应严禁烟火，并配备消防器材，周围设置警示牌。</w:t>
            </w:r>
          </w:p>
          <w:p w14:paraId="59B8024B">
            <w:pPr>
              <w:adjustRightInd w:val="0"/>
              <w:snapToGrid w:val="0"/>
              <w:spacing w:before="0" w:beforeLines="0" w:line="240" w:lineRule="auto"/>
              <w:jc w:val="left"/>
              <w:rPr>
                <w:bCs/>
                <w:szCs w:val="21"/>
              </w:rPr>
            </w:pPr>
            <w:r>
              <w:rPr>
                <w:szCs w:val="21"/>
              </w:rPr>
              <w:t>③应急预案：建设单位应按相关要求修订应急预案，并向当地生态环境主管部门。</w:t>
            </w:r>
          </w:p>
        </w:tc>
      </w:tr>
      <w:tr w14:paraId="042B37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5000" w:type="pct"/>
            <w:gridSpan w:val="5"/>
            <w:tcBorders>
              <w:left w:val="nil"/>
              <w:bottom w:val="single" w:color="auto" w:sz="12" w:space="0"/>
              <w:right w:val="nil"/>
            </w:tcBorders>
            <w:vAlign w:val="center"/>
          </w:tcPr>
          <w:p w14:paraId="51CEC367">
            <w:pPr>
              <w:adjustRightInd w:val="0"/>
              <w:snapToGrid w:val="0"/>
              <w:spacing w:before="0" w:beforeLines="0" w:line="240" w:lineRule="auto"/>
              <w:jc w:val="center"/>
              <w:rPr>
                <w:szCs w:val="21"/>
              </w:rPr>
            </w:pPr>
            <w:r>
              <w:rPr>
                <w:szCs w:val="21"/>
              </w:rPr>
              <w:t>填表说明(列出项目相关信息及评价说明)：</w:t>
            </w:r>
            <w:r>
              <w:rPr>
                <w:spacing w:val="10"/>
                <w:szCs w:val="21"/>
              </w:rPr>
              <w:t>建设单位在加强风险管理、重视安全生产，落实各项风险防范措施和应急措施的前提下，本项目环境风险可以接受。</w:t>
            </w:r>
          </w:p>
        </w:tc>
      </w:tr>
    </w:tbl>
    <w:p w14:paraId="78867A70">
      <w:pPr>
        <w:pStyle w:val="151"/>
        <w:ind w:firstLine="0" w:firstLineChars="0"/>
        <w:sectPr>
          <w:pgSz w:w="11906" w:h="16838"/>
          <w:pgMar w:top="1440" w:right="1797" w:bottom="1440" w:left="1797" w:header="850" w:footer="964" w:gutter="0"/>
          <w:cols w:space="720" w:num="1"/>
          <w:docGrid w:type="lines" w:linePitch="312" w:charSpace="0"/>
        </w:sectPr>
      </w:pPr>
    </w:p>
    <w:p w14:paraId="01D65E8E">
      <w:pPr>
        <w:pStyle w:val="3"/>
        <w:rPr>
          <w:color w:val="auto"/>
        </w:rPr>
      </w:pPr>
      <w:bookmarkStart w:id="608" w:name="_Toc239274294"/>
      <w:r>
        <w:rPr>
          <w:color w:val="auto"/>
        </w:rPr>
        <w:t>8.环境影响经济损益分析</w:t>
      </w:r>
      <w:bookmarkEnd w:id="608"/>
    </w:p>
    <w:p w14:paraId="17F61932">
      <w:pPr>
        <w:pStyle w:val="151"/>
      </w:pPr>
      <w:r>
        <w:t>环境影响经济损益分析是</w:t>
      </w:r>
      <w:r>
        <w:rPr>
          <w:rFonts w:hint="eastAsia"/>
        </w:rPr>
        <w:t>生态</w:t>
      </w:r>
      <w:r>
        <w:t>环境影响评价的重要环节之一，它的主要任务是衡量建设项目需要投入的环保投资和所能收到的环境保护效果，以及建设项目对外界产生的环境影响、经济影响和社会影响。</w:t>
      </w:r>
    </w:p>
    <w:p w14:paraId="57316211">
      <w:pPr>
        <w:pStyle w:val="151"/>
      </w:pPr>
      <w:r>
        <w:t>经济效益比较直观，很容易用货币直接计算，而环境污染影响带来的损失一般是间接的，很难用货币直接计算。因此环境影响经济具体定量化分析，目前难度还是比较大的，多数是采用定性与半定量相结合的方法进行讨论。</w:t>
      </w:r>
    </w:p>
    <w:p w14:paraId="1C8BFAEC">
      <w:pPr>
        <w:pStyle w:val="151"/>
        <w:rPr>
          <w:sz w:val="20"/>
          <w:szCs w:val="20"/>
        </w:rPr>
      </w:pPr>
      <w:r>
        <w:t>现就本项目的经济、社会以及环境效益进行分析。</w:t>
      </w:r>
    </w:p>
    <w:p w14:paraId="4125F3EB">
      <w:pPr>
        <w:pStyle w:val="4"/>
        <w:rPr>
          <w:rFonts w:ascii="Times New Roman" w:hAnsi="Times New Roman" w:eastAsia="宋体"/>
          <w:color w:val="auto"/>
          <w:kern w:val="0"/>
        </w:rPr>
      </w:pPr>
      <w:bookmarkStart w:id="609" w:name="_Toc17475989"/>
      <w:bookmarkStart w:id="610" w:name="_Toc239274295"/>
      <w:r>
        <w:rPr>
          <w:rFonts w:ascii="Times New Roman" w:hAnsi="Times New Roman" w:eastAsia="宋体"/>
          <w:color w:val="auto"/>
          <w:kern w:val="0"/>
        </w:rPr>
        <w:t>8.1经济效益分析</w:t>
      </w:r>
      <w:bookmarkEnd w:id="609"/>
      <w:bookmarkEnd w:id="610"/>
    </w:p>
    <w:p w14:paraId="58E26BC3">
      <w:pPr>
        <w:spacing w:before="0" w:beforeLines="0" w:line="360" w:lineRule="auto"/>
        <w:ind w:firstLine="480" w:firstLineChars="200"/>
        <w:rPr>
          <w:sz w:val="24"/>
          <w:szCs w:val="21"/>
        </w:rPr>
      </w:pPr>
      <w:r>
        <w:rPr>
          <w:rFonts w:hint="eastAsia"/>
          <w:sz w:val="24"/>
          <w:szCs w:val="21"/>
        </w:rPr>
        <w:t>本项目产品为</w:t>
      </w:r>
      <w:r>
        <w:rPr>
          <w:sz w:val="24"/>
          <w:szCs w:val="21"/>
        </w:rPr>
        <w:t>钒钛磁铁矿、钛铁精矿</w:t>
      </w:r>
      <w:r>
        <w:rPr>
          <w:rFonts w:hint="eastAsia"/>
          <w:sz w:val="24"/>
          <w:szCs w:val="21"/>
        </w:rPr>
        <w:t>，项目的实施，可以回收废弃尾矿及废石中含有钒钛金属，具有很高资源综合利用价值，产生较高的经济效益。</w:t>
      </w:r>
    </w:p>
    <w:p w14:paraId="17F30DE5">
      <w:pPr>
        <w:pStyle w:val="4"/>
        <w:rPr>
          <w:rFonts w:ascii="Times New Roman" w:hAnsi="Times New Roman" w:eastAsia="宋体"/>
          <w:color w:val="auto"/>
          <w:kern w:val="0"/>
        </w:rPr>
      </w:pPr>
      <w:bookmarkStart w:id="611" w:name="_Toc239274296"/>
      <w:bookmarkStart w:id="612" w:name="_Toc17475990"/>
      <w:r>
        <w:rPr>
          <w:rFonts w:ascii="Times New Roman" w:hAnsi="Times New Roman" w:eastAsia="宋体"/>
          <w:color w:val="auto"/>
          <w:kern w:val="0"/>
        </w:rPr>
        <w:t>8.2社会效益分析</w:t>
      </w:r>
      <w:bookmarkEnd w:id="611"/>
      <w:bookmarkEnd w:id="612"/>
    </w:p>
    <w:p w14:paraId="6268B8DF">
      <w:pPr>
        <w:spacing w:before="0" w:beforeLines="0" w:line="360" w:lineRule="auto"/>
        <w:ind w:firstLine="480" w:firstLineChars="200"/>
        <w:rPr>
          <w:sz w:val="24"/>
          <w:szCs w:val="21"/>
        </w:rPr>
      </w:pPr>
      <w:r>
        <w:rPr>
          <w:sz w:val="24"/>
          <w:szCs w:val="21"/>
        </w:rPr>
        <w:t>本项目的建设在促进市场竞争能力的同时，可以为区域经济发展和环境保护发挥积极的作用。项目建成后将带来的社会效益主要表现在以下几个方面：</w:t>
      </w:r>
    </w:p>
    <w:p w14:paraId="66892311">
      <w:pPr>
        <w:spacing w:before="0" w:beforeLines="0" w:line="360" w:lineRule="auto"/>
        <w:ind w:firstLine="480" w:firstLineChars="200"/>
        <w:rPr>
          <w:sz w:val="24"/>
          <w:szCs w:val="21"/>
        </w:rPr>
      </w:pPr>
      <w:r>
        <w:rPr>
          <w:sz w:val="24"/>
          <w:szCs w:val="21"/>
        </w:rPr>
        <w:t>（1）本项目实施后，不仅可以促进阜蒙县的发展，同时可以以提高企业的整体实力，把企业做实、做强、做大，实现企业的持续和跨越发展，提升市场竞争能力，为企业的发展提供发展机遇，为企业带来良好的经济效益。</w:t>
      </w:r>
    </w:p>
    <w:p w14:paraId="36133E22">
      <w:pPr>
        <w:spacing w:before="0" w:beforeLines="0" w:line="360" w:lineRule="auto"/>
        <w:ind w:firstLine="480" w:firstLineChars="200"/>
        <w:rPr>
          <w:sz w:val="24"/>
          <w:szCs w:val="21"/>
        </w:rPr>
      </w:pPr>
      <w:r>
        <w:rPr>
          <w:sz w:val="24"/>
          <w:szCs w:val="21"/>
        </w:rPr>
        <w:t>（2）项目的实施可以带动其它相关的产业，形成上下游产品较长的产业链，不仅可以直接为当地提供就业岗位，而且通过相关配套产业的发展，间接提供了大量的工作岗位，缓解当地的就业压力。这对完善区域经济结构及促进区域经济的发展起到了积极作用。</w:t>
      </w:r>
    </w:p>
    <w:p w14:paraId="1B437AF7">
      <w:pPr>
        <w:spacing w:before="0" w:beforeLines="0" w:line="360" w:lineRule="auto"/>
        <w:ind w:firstLine="480" w:firstLineChars="200"/>
        <w:rPr>
          <w:sz w:val="24"/>
          <w:szCs w:val="21"/>
        </w:rPr>
      </w:pPr>
      <w:r>
        <w:rPr>
          <w:sz w:val="24"/>
          <w:szCs w:val="21"/>
        </w:rPr>
        <w:t>（3）本项目实施后，可以增加当地的财政收入，提高当地的经济实力，对促进本地区经济的发展起到了积极的作用，也为当地政府和国家的可持续发展做出了贡献，具有良好的社会效益。</w:t>
      </w:r>
    </w:p>
    <w:p w14:paraId="06D11CB1">
      <w:pPr>
        <w:pStyle w:val="4"/>
        <w:rPr>
          <w:rFonts w:ascii="Times New Roman" w:hAnsi="Times New Roman" w:eastAsia="宋体"/>
          <w:color w:val="auto"/>
          <w:kern w:val="0"/>
        </w:rPr>
      </w:pPr>
      <w:bookmarkStart w:id="613" w:name="_Toc17475991"/>
      <w:bookmarkStart w:id="614" w:name="_Toc239274297"/>
      <w:r>
        <w:rPr>
          <w:rFonts w:ascii="Times New Roman" w:hAnsi="Times New Roman" w:eastAsia="宋体"/>
          <w:color w:val="auto"/>
          <w:kern w:val="0"/>
        </w:rPr>
        <w:t>8.3环境效益分析</w:t>
      </w:r>
      <w:bookmarkEnd w:id="613"/>
      <w:bookmarkEnd w:id="614"/>
    </w:p>
    <w:p w14:paraId="1F46664E">
      <w:pPr>
        <w:spacing w:before="0" w:beforeLines="0" w:line="360" w:lineRule="auto"/>
        <w:ind w:firstLine="480" w:firstLineChars="200"/>
        <w:rPr>
          <w:sz w:val="24"/>
          <w:szCs w:val="21"/>
        </w:rPr>
      </w:pPr>
      <w:r>
        <w:rPr>
          <w:sz w:val="24"/>
          <w:szCs w:val="21"/>
        </w:rPr>
        <w:t>本项目总投资</w:t>
      </w:r>
      <w:r>
        <w:rPr>
          <w:rFonts w:hint="eastAsia"/>
          <w:sz w:val="24"/>
          <w:szCs w:val="21"/>
          <w:lang w:eastAsia="zh-CN"/>
        </w:rPr>
        <w:t>金额</w:t>
      </w:r>
      <w:r>
        <w:rPr>
          <w:sz w:val="24"/>
          <w:szCs w:val="21"/>
        </w:rPr>
        <w:t>为</w:t>
      </w:r>
      <w:r>
        <w:rPr>
          <w:rFonts w:hint="eastAsia"/>
          <w:sz w:val="24"/>
          <w:szCs w:val="21"/>
        </w:rPr>
        <w:t>98</w:t>
      </w:r>
      <w:r>
        <w:rPr>
          <w:sz w:val="24"/>
          <w:szCs w:val="21"/>
        </w:rPr>
        <w:t>00万元，环保投资估算为</w:t>
      </w:r>
      <w:r>
        <w:rPr>
          <w:rFonts w:hint="eastAsia"/>
          <w:sz w:val="24"/>
          <w:szCs w:val="21"/>
        </w:rPr>
        <w:t>190</w:t>
      </w:r>
      <w:r>
        <w:rPr>
          <w:sz w:val="24"/>
          <w:szCs w:val="21"/>
        </w:rPr>
        <w:t>万元，占项目总投资的</w:t>
      </w:r>
      <w:r>
        <w:rPr>
          <w:rFonts w:hint="eastAsia"/>
          <w:sz w:val="24"/>
          <w:szCs w:val="21"/>
        </w:rPr>
        <w:t>1.94</w:t>
      </w:r>
      <w:r>
        <w:rPr>
          <w:sz w:val="24"/>
          <w:szCs w:val="21"/>
        </w:rPr>
        <w:t>%。本项目环保措施主要包括废气治理设施、噪声治理、固废防治措施等。环保投资见表8.3-1。</w:t>
      </w:r>
    </w:p>
    <w:p w14:paraId="6ACF740F">
      <w:pPr>
        <w:pStyle w:val="143"/>
        <w:spacing w:before="156"/>
      </w:pPr>
      <w:r>
        <w:rPr>
          <w:b/>
          <w:bCs w:val="0"/>
          <w:kern w:val="2"/>
          <w:szCs w:val="20"/>
        </w:rPr>
        <w:t>表8.3-1  环保投资一览表</w:t>
      </w:r>
    </w:p>
    <w:tbl>
      <w:tblPr>
        <w:tblStyle w:val="89"/>
        <w:tblW w:w="4876"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488"/>
        <w:gridCol w:w="3878"/>
        <w:gridCol w:w="1740"/>
      </w:tblGrid>
      <w:tr w14:paraId="3354269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535" w:type="pct"/>
            <w:tcBorders>
              <w:tl2br w:val="nil"/>
              <w:tr2bl w:val="nil"/>
            </w:tcBorders>
            <w:vAlign w:val="center"/>
          </w:tcPr>
          <w:p w14:paraId="33A4465B">
            <w:pPr>
              <w:pStyle w:val="160"/>
              <w:rPr>
                <w:szCs w:val="21"/>
              </w:rPr>
            </w:pPr>
            <w:r>
              <w:rPr>
                <w:szCs w:val="21"/>
              </w:rPr>
              <w:t>项目</w:t>
            </w:r>
          </w:p>
        </w:tc>
        <w:tc>
          <w:tcPr>
            <w:tcW w:w="2392" w:type="pct"/>
            <w:tcBorders>
              <w:tl2br w:val="nil"/>
              <w:tr2bl w:val="nil"/>
            </w:tcBorders>
            <w:vAlign w:val="center"/>
          </w:tcPr>
          <w:p w14:paraId="402BE1E8">
            <w:pPr>
              <w:pStyle w:val="160"/>
              <w:rPr>
                <w:szCs w:val="21"/>
              </w:rPr>
            </w:pPr>
            <w:r>
              <w:rPr>
                <w:szCs w:val="21"/>
              </w:rPr>
              <w:t>环保设施</w:t>
            </w:r>
          </w:p>
        </w:tc>
        <w:tc>
          <w:tcPr>
            <w:tcW w:w="1073" w:type="pct"/>
            <w:tcBorders>
              <w:tl2br w:val="nil"/>
              <w:tr2bl w:val="nil"/>
            </w:tcBorders>
            <w:vAlign w:val="center"/>
          </w:tcPr>
          <w:p w14:paraId="6E865ABE">
            <w:pPr>
              <w:pStyle w:val="160"/>
              <w:rPr>
                <w:szCs w:val="21"/>
              </w:rPr>
            </w:pPr>
            <w:r>
              <w:rPr>
                <w:szCs w:val="21"/>
              </w:rPr>
              <w:t>金额/万元</w:t>
            </w:r>
          </w:p>
        </w:tc>
      </w:tr>
      <w:tr w14:paraId="4208167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535" w:type="pct"/>
            <w:vMerge w:val="restart"/>
            <w:tcBorders>
              <w:tl2br w:val="nil"/>
              <w:tr2bl w:val="nil"/>
            </w:tcBorders>
            <w:vAlign w:val="center"/>
          </w:tcPr>
          <w:p w14:paraId="3E58E9D6">
            <w:pPr>
              <w:pStyle w:val="160"/>
              <w:rPr>
                <w:szCs w:val="21"/>
              </w:rPr>
            </w:pPr>
            <w:r>
              <w:rPr>
                <w:szCs w:val="21"/>
              </w:rPr>
              <w:t>废气</w:t>
            </w:r>
          </w:p>
        </w:tc>
        <w:tc>
          <w:tcPr>
            <w:tcW w:w="2392" w:type="pct"/>
            <w:tcBorders>
              <w:tl2br w:val="nil"/>
              <w:tr2bl w:val="nil"/>
            </w:tcBorders>
            <w:vAlign w:val="center"/>
          </w:tcPr>
          <w:p w14:paraId="740F8A0F">
            <w:pPr>
              <w:pStyle w:val="160"/>
              <w:rPr>
                <w:szCs w:val="21"/>
              </w:rPr>
            </w:pPr>
            <w:r>
              <w:rPr>
                <w:rFonts w:hint="eastAsia"/>
                <w:szCs w:val="21"/>
              </w:rPr>
              <w:t>料仓封闭、皮带封闭</w:t>
            </w:r>
          </w:p>
        </w:tc>
        <w:tc>
          <w:tcPr>
            <w:tcW w:w="1073" w:type="pct"/>
            <w:tcBorders>
              <w:tl2br w:val="nil"/>
              <w:tr2bl w:val="nil"/>
            </w:tcBorders>
            <w:vAlign w:val="center"/>
          </w:tcPr>
          <w:p w14:paraId="1330610E">
            <w:pPr>
              <w:pStyle w:val="160"/>
              <w:rPr>
                <w:szCs w:val="21"/>
              </w:rPr>
            </w:pPr>
            <w:r>
              <w:rPr>
                <w:rFonts w:hint="eastAsia"/>
                <w:szCs w:val="21"/>
              </w:rPr>
              <w:t>100</w:t>
            </w:r>
          </w:p>
        </w:tc>
      </w:tr>
      <w:tr w14:paraId="55213D2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535" w:type="pct"/>
            <w:vMerge w:val="continue"/>
            <w:tcBorders>
              <w:tl2br w:val="nil"/>
              <w:tr2bl w:val="nil"/>
            </w:tcBorders>
            <w:vAlign w:val="center"/>
          </w:tcPr>
          <w:p w14:paraId="177F93C9">
            <w:pPr>
              <w:pStyle w:val="160"/>
              <w:rPr>
                <w:szCs w:val="21"/>
              </w:rPr>
            </w:pPr>
          </w:p>
        </w:tc>
        <w:tc>
          <w:tcPr>
            <w:tcW w:w="2392" w:type="pct"/>
            <w:tcBorders>
              <w:tl2br w:val="nil"/>
              <w:tr2bl w:val="nil"/>
            </w:tcBorders>
            <w:vAlign w:val="center"/>
          </w:tcPr>
          <w:p w14:paraId="14554869">
            <w:pPr>
              <w:pStyle w:val="160"/>
              <w:rPr>
                <w:szCs w:val="21"/>
              </w:rPr>
            </w:pPr>
            <w:r>
              <w:rPr>
                <w:rFonts w:hint="eastAsia"/>
                <w:szCs w:val="21"/>
              </w:rPr>
              <w:t>4台</w:t>
            </w:r>
            <w:r>
              <w:rPr>
                <w:szCs w:val="21"/>
              </w:rPr>
              <w:t>袋式除尘</w:t>
            </w:r>
            <w:r>
              <w:rPr>
                <w:rFonts w:hint="eastAsia"/>
                <w:szCs w:val="21"/>
              </w:rPr>
              <w:t>器</w:t>
            </w:r>
          </w:p>
        </w:tc>
        <w:tc>
          <w:tcPr>
            <w:tcW w:w="1073" w:type="pct"/>
            <w:tcBorders>
              <w:tl2br w:val="nil"/>
              <w:tr2bl w:val="nil"/>
            </w:tcBorders>
            <w:vAlign w:val="center"/>
          </w:tcPr>
          <w:p w14:paraId="26C7AC14">
            <w:pPr>
              <w:pStyle w:val="160"/>
              <w:rPr>
                <w:szCs w:val="21"/>
              </w:rPr>
            </w:pPr>
            <w:r>
              <w:rPr>
                <w:rFonts w:hint="eastAsia"/>
                <w:szCs w:val="21"/>
              </w:rPr>
              <w:t>40</w:t>
            </w:r>
          </w:p>
        </w:tc>
      </w:tr>
      <w:tr w14:paraId="32CDC0B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535" w:type="pct"/>
            <w:vMerge w:val="continue"/>
            <w:tcBorders>
              <w:tl2br w:val="nil"/>
              <w:tr2bl w:val="nil"/>
            </w:tcBorders>
            <w:vAlign w:val="center"/>
          </w:tcPr>
          <w:p w14:paraId="4B5214BD">
            <w:pPr>
              <w:pStyle w:val="160"/>
              <w:rPr>
                <w:szCs w:val="21"/>
              </w:rPr>
            </w:pPr>
          </w:p>
        </w:tc>
        <w:tc>
          <w:tcPr>
            <w:tcW w:w="2392" w:type="pct"/>
            <w:tcBorders>
              <w:tl2br w:val="nil"/>
              <w:tr2bl w:val="nil"/>
            </w:tcBorders>
            <w:vAlign w:val="center"/>
          </w:tcPr>
          <w:p w14:paraId="26F28422">
            <w:pPr>
              <w:pStyle w:val="160"/>
              <w:rPr>
                <w:szCs w:val="21"/>
              </w:rPr>
            </w:pPr>
            <w:r>
              <w:rPr>
                <w:rFonts w:hint="eastAsia"/>
                <w:szCs w:val="21"/>
              </w:rPr>
              <w:t>厂内道路硬化</w:t>
            </w:r>
          </w:p>
        </w:tc>
        <w:tc>
          <w:tcPr>
            <w:tcW w:w="1073" w:type="pct"/>
            <w:tcBorders>
              <w:tl2br w:val="nil"/>
              <w:tr2bl w:val="nil"/>
            </w:tcBorders>
            <w:vAlign w:val="center"/>
          </w:tcPr>
          <w:p w14:paraId="40C3CE4A">
            <w:pPr>
              <w:pStyle w:val="160"/>
              <w:rPr>
                <w:szCs w:val="21"/>
              </w:rPr>
            </w:pPr>
            <w:r>
              <w:rPr>
                <w:rFonts w:hint="eastAsia"/>
                <w:szCs w:val="21"/>
              </w:rPr>
              <w:t>5</w:t>
            </w:r>
          </w:p>
        </w:tc>
      </w:tr>
      <w:tr w14:paraId="44463E7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535" w:type="pct"/>
            <w:vMerge w:val="continue"/>
            <w:tcBorders>
              <w:tl2br w:val="nil"/>
              <w:tr2bl w:val="nil"/>
            </w:tcBorders>
            <w:vAlign w:val="center"/>
          </w:tcPr>
          <w:p w14:paraId="32FCC6CE">
            <w:pPr>
              <w:pStyle w:val="160"/>
              <w:rPr>
                <w:szCs w:val="21"/>
              </w:rPr>
            </w:pPr>
          </w:p>
        </w:tc>
        <w:tc>
          <w:tcPr>
            <w:tcW w:w="2392" w:type="pct"/>
            <w:tcBorders>
              <w:tl2br w:val="nil"/>
              <w:tr2bl w:val="nil"/>
            </w:tcBorders>
            <w:vAlign w:val="center"/>
          </w:tcPr>
          <w:p w14:paraId="2663A627">
            <w:pPr>
              <w:pStyle w:val="160"/>
              <w:rPr>
                <w:szCs w:val="21"/>
                <w:lang w:bidi="ar"/>
              </w:rPr>
            </w:pPr>
            <w:r>
              <w:rPr>
                <w:szCs w:val="21"/>
                <w:lang w:bidi="ar"/>
              </w:rPr>
              <w:t>洒水</w:t>
            </w:r>
            <w:r>
              <w:rPr>
                <w:rFonts w:hint="eastAsia"/>
                <w:szCs w:val="21"/>
                <w:lang w:bidi="ar"/>
              </w:rPr>
              <w:t>车</w:t>
            </w:r>
          </w:p>
        </w:tc>
        <w:tc>
          <w:tcPr>
            <w:tcW w:w="1073" w:type="pct"/>
            <w:tcBorders>
              <w:tl2br w:val="nil"/>
              <w:tr2bl w:val="nil"/>
            </w:tcBorders>
            <w:vAlign w:val="center"/>
          </w:tcPr>
          <w:p w14:paraId="57E9ED6C">
            <w:pPr>
              <w:pStyle w:val="160"/>
              <w:rPr>
                <w:szCs w:val="21"/>
              </w:rPr>
            </w:pPr>
            <w:r>
              <w:rPr>
                <w:rFonts w:hint="eastAsia"/>
                <w:szCs w:val="21"/>
              </w:rPr>
              <w:t>5</w:t>
            </w:r>
          </w:p>
        </w:tc>
      </w:tr>
      <w:tr w14:paraId="5EA4AD3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535" w:type="pct"/>
            <w:vMerge w:val="continue"/>
            <w:tcBorders>
              <w:tl2br w:val="nil"/>
              <w:tr2bl w:val="nil"/>
            </w:tcBorders>
            <w:vAlign w:val="center"/>
          </w:tcPr>
          <w:p w14:paraId="1A67833A">
            <w:pPr>
              <w:pStyle w:val="160"/>
              <w:rPr>
                <w:szCs w:val="21"/>
              </w:rPr>
            </w:pPr>
          </w:p>
        </w:tc>
        <w:tc>
          <w:tcPr>
            <w:tcW w:w="2392" w:type="pct"/>
            <w:tcBorders>
              <w:tl2br w:val="nil"/>
              <w:tr2bl w:val="nil"/>
            </w:tcBorders>
            <w:vAlign w:val="center"/>
          </w:tcPr>
          <w:p w14:paraId="102211E1">
            <w:pPr>
              <w:pStyle w:val="160"/>
              <w:rPr>
                <w:szCs w:val="21"/>
                <w:lang w:bidi="ar"/>
              </w:rPr>
            </w:pPr>
            <w:r>
              <w:rPr>
                <w:rFonts w:hint="eastAsia"/>
                <w:szCs w:val="21"/>
                <w:lang w:bidi="ar"/>
              </w:rPr>
              <w:t>雾炮车</w:t>
            </w:r>
          </w:p>
        </w:tc>
        <w:tc>
          <w:tcPr>
            <w:tcW w:w="1073" w:type="pct"/>
            <w:tcBorders>
              <w:tl2br w:val="nil"/>
              <w:tr2bl w:val="nil"/>
            </w:tcBorders>
            <w:vAlign w:val="center"/>
          </w:tcPr>
          <w:p w14:paraId="061494FF">
            <w:pPr>
              <w:pStyle w:val="160"/>
              <w:rPr>
                <w:szCs w:val="21"/>
              </w:rPr>
            </w:pPr>
            <w:r>
              <w:rPr>
                <w:rFonts w:hint="eastAsia"/>
                <w:szCs w:val="21"/>
              </w:rPr>
              <w:t>5</w:t>
            </w:r>
          </w:p>
        </w:tc>
      </w:tr>
      <w:tr w14:paraId="616CE6D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535" w:type="pct"/>
            <w:tcBorders>
              <w:tl2br w:val="nil"/>
              <w:tr2bl w:val="nil"/>
            </w:tcBorders>
            <w:vAlign w:val="center"/>
          </w:tcPr>
          <w:p w14:paraId="6E95E1C2">
            <w:pPr>
              <w:pStyle w:val="160"/>
              <w:rPr>
                <w:szCs w:val="21"/>
              </w:rPr>
            </w:pPr>
            <w:r>
              <w:rPr>
                <w:rFonts w:hint="eastAsia"/>
                <w:szCs w:val="21"/>
              </w:rPr>
              <w:t>废水</w:t>
            </w:r>
          </w:p>
        </w:tc>
        <w:tc>
          <w:tcPr>
            <w:tcW w:w="2392" w:type="pct"/>
            <w:tcBorders>
              <w:tl2br w:val="nil"/>
              <w:tr2bl w:val="nil"/>
            </w:tcBorders>
            <w:vAlign w:val="center"/>
          </w:tcPr>
          <w:p w14:paraId="0702B3F6">
            <w:pPr>
              <w:pStyle w:val="160"/>
              <w:rPr>
                <w:szCs w:val="21"/>
              </w:rPr>
            </w:pPr>
            <w:r>
              <w:rPr>
                <w:rFonts w:hint="eastAsia"/>
                <w:szCs w:val="21"/>
              </w:rPr>
              <w:t>洗车沉淀池</w:t>
            </w:r>
          </w:p>
        </w:tc>
        <w:tc>
          <w:tcPr>
            <w:tcW w:w="1073" w:type="pct"/>
            <w:tcBorders>
              <w:tl2br w:val="nil"/>
              <w:tr2bl w:val="nil"/>
            </w:tcBorders>
            <w:vAlign w:val="center"/>
          </w:tcPr>
          <w:p w14:paraId="0DBE87D0">
            <w:pPr>
              <w:pStyle w:val="160"/>
              <w:rPr>
                <w:szCs w:val="21"/>
              </w:rPr>
            </w:pPr>
            <w:r>
              <w:rPr>
                <w:rFonts w:hint="eastAsia"/>
                <w:szCs w:val="21"/>
              </w:rPr>
              <w:t>1</w:t>
            </w:r>
          </w:p>
        </w:tc>
      </w:tr>
      <w:tr w14:paraId="36BD94E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535" w:type="pct"/>
            <w:vMerge w:val="restart"/>
            <w:tcBorders>
              <w:tl2br w:val="nil"/>
              <w:tr2bl w:val="nil"/>
            </w:tcBorders>
            <w:vAlign w:val="center"/>
          </w:tcPr>
          <w:p w14:paraId="3C54C0BB">
            <w:pPr>
              <w:pStyle w:val="160"/>
              <w:rPr>
                <w:szCs w:val="21"/>
              </w:rPr>
            </w:pPr>
            <w:r>
              <w:rPr>
                <w:szCs w:val="21"/>
              </w:rPr>
              <w:t>固体废物</w:t>
            </w:r>
          </w:p>
        </w:tc>
        <w:tc>
          <w:tcPr>
            <w:tcW w:w="2392" w:type="pct"/>
            <w:tcBorders>
              <w:tl2br w:val="nil"/>
              <w:tr2bl w:val="nil"/>
            </w:tcBorders>
            <w:vAlign w:val="center"/>
          </w:tcPr>
          <w:p w14:paraId="1A72A432">
            <w:pPr>
              <w:pStyle w:val="160"/>
              <w:rPr>
                <w:szCs w:val="21"/>
              </w:rPr>
            </w:pPr>
            <w:r>
              <w:rPr>
                <w:rFonts w:hint="eastAsia"/>
                <w:szCs w:val="21"/>
              </w:rPr>
              <w:t>危废贮存点</w:t>
            </w:r>
          </w:p>
        </w:tc>
        <w:tc>
          <w:tcPr>
            <w:tcW w:w="1073" w:type="pct"/>
            <w:tcBorders>
              <w:tl2br w:val="nil"/>
              <w:tr2bl w:val="nil"/>
            </w:tcBorders>
            <w:vAlign w:val="center"/>
          </w:tcPr>
          <w:p w14:paraId="3B11D8F9">
            <w:pPr>
              <w:pStyle w:val="160"/>
              <w:rPr>
                <w:szCs w:val="21"/>
              </w:rPr>
            </w:pPr>
            <w:r>
              <w:rPr>
                <w:szCs w:val="21"/>
              </w:rPr>
              <w:t>1</w:t>
            </w:r>
          </w:p>
        </w:tc>
      </w:tr>
      <w:tr w14:paraId="25D6017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535" w:type="pct"/>
            <w:vMerge w:val="continue"/>
            <w:tcBorders>
              <w:tl2br w:val="nil"/>
              <w:tr2bl w:val="nil"/>
            </w:tcBorders>
            <w:vAlign w:val="center"/>
          </w:tcPr>
          <w:p w14:paraId="605DFEC5">
            <w:pPr>
              <w:pStyle w:val="160"/>
              <w:rPr>
                <w:szCs w:val="21"/>
              </w:rPr>
            </w:pPr>
          </w:p>
        </w:tc>
        <w:tc>
          <w:tcPr>
            <w:tcW w:w="2392" w:type="pct"/>
            <w:tcBorders>
              <w:tl2br w:val="nil"/>
              <w:tr2bl w:val="nil"/>
            </w:tcBorders>
            <w:vAlign w:val="center"/>
          </w:tcPr>
          <w:p w14:paraId="1103B06C">
            <w:pPr>
              <w:pStyle w:val="160"/>
              <w:rPr>
                <w:szCs w:val="21"/>
              </w:rPr>
            </w:pPr>
            <w:r>
              <w:rPr>
                <w:rFonts w:hint="eastAsia"/>
                <w:szCs w:val="21"/>
              </w:rPr>
              <w:t>一般固废暂存</w:t>
            </w:r>
          </w:p>
        </w:tc>
        <w:tc>
          <w:tcPr>
            <w:tcW w:w="1073" w:type="pct"/>
            <w:tcBorders>
              <w:tl2br w:val="nil"/>
              <w:tr2bl w:val="nil"/>
            </w:tcBorders>
            <w:vAlign w:val="center"/>
          </w:tcPr>
          <w:p w14:paraId="5593E571">
            <w:pPr>
              <w:pStyle w:val="160"/>
              <w:rPr>
                <w:szCs w:val="21"/>
              </w:rPr>
            </w:pPr>
            <w:r>
              <w:rPr>
                <w:rFonts w:hint="eastAsia"/>
                <w:szCs w:val="21"/>
              </w:rPr>
              <w:t>1</w:t>
            </w:r>
          </w:p>
        </w:tc>
      </w:tr>
      <w:tr w14:paraId="15A539F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535" w:type="pct"/>
            <w:tcBorders>
              <w:tl2br w:val="nil"/>
              <w:tr2bl w:val="nil"/>
            </w:tcBorders>
            <w:vAlign w:val="center"/>
          </w:tcPr>
          <w:p w14:paraId="29DFB8DE">
            <w:pPr>
              <w:pStyle w:val="160"/>
              <w:rPr>
                <w:szCs w:val="21"/>
              </w:rPr>
            </w:pPr>
            <w:r>
              <w:rPr>
                <w:szCs w:val="21"/>
              </w:rPr>
              <w:t>噪声</w:t>
            </w:r>
          </w:p>
        </w:tc>
        <w:tc>
          <w:tcPr>
            <w:tcW w:w="2392" w:type="pct"/>
            <w:tcBorders>
              <w:tl2br w:val="nil"/>
              <w:tr2bl w:val="nil"/>
            </w:tcBorders>
            <w:vAlign w:val="center"/>
          </w:tcPr>
          <w:p w14:paraId="06C3E76E">
            <w:pPr>
              <w:pStyle w:val="160"/>
              <w:rPr>
                <w:szCs w:val="21"/>
              </w:rPr>
            </w:pPr>
            <w:r>
              <w:rPr>
                <w:szCs w:val="21"/>
              </w:rPr>
              <w:t>减振、降噪和隔声措施</w:t>
            </w:r>
          </w:p>
        </w:tc>
        <w:tc>
          <w:tcPr>
            <w:tcW w:w="1073" w:type="pct"/>
            <w:tcBorders>
              <w:tl2br w:val="nil"/>
              <w:tr2bl w:val="nil"/>
            </w:tcBorders>
            <w:vAlign w:val="center"/>
          </w:tcPr>
          <w:p w14:paraId="24922514">
            <w:pPr>
              <w:pStyle w:val="160"/>
              <w:rPr>
                <w:szCs w:val="21"/>
              </w:rPr>
            </w:pPr>
            <w:r>
              <w:rPr>
                <w:rFonts w:hint="eastAsia"/>
                <w:szCs w:val="21"/>
              </w:rPr>
              <w:t>20</w:t>
            </w:r>
          </w:p>
        </w:tc>
      </w:tr>
      <w:tr w14:paraId="14E78B2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535" w:type="pct"/>
            <w:tcBorders>
              <w:tl2br w:val="nil"/>
              <w:tr2bl w:val="nil"/>
            </w:tcBorders>
            <w:vAlign w:val="center"/>
          </w:tcPr>
          <w:p w14:paraId="7EAEBB48">
            <w:pPr>
              <w:pStyle w:val="160"/>
              <w:rPr>
                <w:szCs w:val="21"/>
              </w:rPr>
            </w:pPr>
            <w:r>
              <w:rPr>
                <w:szCs w:val="21"/>
              </w:rPr>
              <w:t>绿化</w:t>
            </w:r>
          </w:p>
        </w:tc>
        <w:tc>
          <w:tcPr>
            <w:tcW w:w="2392" w:type="pct"/>
            <w:tcBorders>
              <w:tl2br w:val="nil"/>
              <w:tr2bl w:val="nil"/>
            </w:tcBorders>
            <w:vAlign w:val="center"/>
          </w:tcPr>
          <w:p w14:paraId="1053BC95">
            <w:pPr>
              <w:pStyle w:val="160"/>
              <w:rPr>
                <w:szCs w:val="21"/>
              </w:rPr>
            </w:pPr>
            <w:r>
              <w:rPr>
                <w:szCs w:val="21"/>
              </w:rPr>
              <w:t>绿化</w:t>
            </w:r>
          </w:p>
        </w:tc>
        <w:tc>
          <w:tcPr>
            <w:tcW w:w="1073" w:type="pct"/>
            <w:tcBorders>
              <w:tl2br w:val="nil"/>
              <w:tr2bl w:val="nil"/>
            </w:tcBorders>
            <w:vAlign w:val="center"/>
          </w:tcPr>
          <w:p w14:paraId="77766AAE">
            <w:pPr>
              <w:pStyle w:val="160"/>
              <w:rPr>
                <w:szCs w:val="21"/>
              </w:rPr>
            </w:pPr>
            <w:r>
              <w:rPr>
                <w:rFonts w:hint="eastAsia"/>
                <w:szCs w:val="21"/>
              </w:rPr>
              <w:t>10</w:t>
            </w:r>
          </w:p>
        </w:tc>
      </w:tr>
      <w:tr w14:paraId="64D2DF8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535" w:type="pct"/>
            <w:tcBorders>
              <w:tl2br w:val="nil"/>
              <w:tr2bl w:val="nil"/>
            </w:tcBorders>
            <w:vAlign w:val="center"/>
          </w:tcPr>
          <w:p w14:paraId="2C5E4F34">
            <w:pPr>
              <w:pStyle w:val="160"/>
              <w:rPr>
                <w:szCs w:val="21"/>
              </w:rPr>
            </w:pPr>
            <w:r>
              <w:rPr>
                <w:rFonts w:hint="eastAsia"/>
                <w:szCs w:val="21"/>
              </w:rPr>
              <w:t>其他</w:t>
            </w:r>
          </w:p>
        </w:tc>
        <w:tc>
          <w:tcPr>
            <w:tcW w:w="2392" w:type="pct"/>
            <w:tcBorders>
              <w:tl2br w:val="nil"/>
              <w:tr2bl w:val="nil"/>
            </w:tcBorders>
            <w:vAlign w:val="center"/>
          </w:tcPr>
          <w:p w14:paraId="3911460C">
            <w:pPr>
              <w:pStyle w:val="160"/>
              <w:rPr>
                <w:szCs w:val="21"/>
              </w:rPr>
            </w:pPr>
            <w:r>
              <w:rPr>
                <w:rFonts w:hint="eastAsia"/>
                <w:szCs w:val="21"/>
              </w:rPr>
              <w:t>排污口规范化、环保标志</w:t>
            </w:r>
          </w:p>
        </w:tc>
        <w:tc>
          <w:tcPr>
            <w:tcW w:w="1073" w:type="pct"/>
            <w:tcBorders>
              <w:tl2br w:val="nil"/>
              <w:tr2bl w:val="nil"/>
            </w:tcBorders>
            <w:vAlign w:val="center"/>
          </w:tcPr>
          <w:p w14:paraId="66B91120">
            <w:pPr>
              <w:pStyle w:val="160"/>
              <w:rPr>
                <w:szCs w:val="21"/>
              </w:rPr>
            </w:pPr>
            <w:r>
              <w:rPr>
                <w:rFonts w:hint="eastAsia"/>
                <w:szCs w:val="21"/>
              </w:rPr>
              <w:t>2.0</w:t>
            </w:r>
          </w:p>
        </w:tc>
      </w:tr>
      <w:tr w14:paraId="6281DEA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3927" w:type="pct"/>
            <w:gridSpan w:val="2"/>
            <w:tcBorders>
              <w:tl2br w:val="nil"/>
              <w:tr2bl w:val="nil"/>
            </w:tcBorders>
            <w:vAlign w:val="center"/>
          </w:tcPr>
          <w:p w14:paraId="11D2070D">
            <w:pPr>
              <w:pStyle w:val="160"/>
              <w:rPr>
                <w:szCs w:val="21"/>
              </w:rPr>
            </w:pPr>
            <w:r>
              <w:rPr>
                <w:szCs w:val="21"/>
              </w:rPr>
              <w:t>合计</w:t>
            </w:r>
          </w:p>
        </w:tc>
        <w:tc>
          <w:tcPr>
            <w:tcW w:w="1073" w:type="pct"/>
            <w:tcBorders>
              <w:tl2br w:val="nil"/>
              <w:tr2bl w:val="nil"/>
            </w:tcBorders>
            <w:vAlign w:val="center"/>
          </w:tcPr>
          <w:p w14:paraId="416533D2">
            <w:pPr>
              <w:pStyle w:val="160"/>
              <w:rPr>
                <w:szCs w:val="21"/>
              </w:rPr>
            </w:pPr>
            <w:r>
              <w:rPr>
                <w:szCs w:val="21"/>
              </w:rPr>
              <w:fldChar w:fldCharType="begin"/>
            </w:r>
            <w:r>
              <w:rPr>
                <w:szCs w:val="21"/>
              </w:rPr>
              <w:instrText xml:space="preserve"> =SUM(ABOVE) </w:instrText>
            </w:r>
            <w:r>
              <w:rPr>
                <w:szCs w:val="21"/>
              </w:rPr>
              <w:fldChar w:fldCharType="separate"/>
            </w:r>
            <w:r>
              <w:rPr>
                <w:szCs w:val="21"/>
              </w:rPr>
              <w:t>190</w:t>
            </w:r>
            <w:r>
              <w:rPr>
                <w:szCs w:val="21"/>
              </w:rPr>
              <w:fldChar w:fldCharType="end"/>
            </w:r>
          </w:p>
        </w:tc>
      </w:tr>
      <w:tr w14:paraId="2A9A704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3927" w:type="pct"/>
            <w:gridSpan w:val="2"/>
            <w:tcBorders>
              <w:tl2br w:val="nil"/>
              <w:tr2bl w:val="nil"/>
            </w:tcBorders>
            <w:vAlign w:val="center"/>
          </w:tcPr>
          <w:p w14:paraId="2B484F17">
            <w:pPr>
              <w:pStyle w:val="160"/>
              <w:rPr>
                <w:szCs w:val="21"/>
              </w:rPr>
            </w:pPr>
            <w:r>
              <w:rPr>
                <w:szCs w:val="21"/>
              </w:rPr>
              <w:t>项目总投资</w:t>
            </w:r>
          </w:p>
        </w:tc>
        <w:tc>
          <w:tcPr>
            <w:tcW w:w="1073" w:type="pct"/>
            <w:tcBorders>
              <w:tl2br w:val="nil"/>
              <w:tr2bl w:val="nil"/>
            </w:tcBorders>
            <w:vAlign w:val="center"/>
          </w:tcPr>
          <w:p w14:paraId="100F00B2">
            <w:pPr>
              <w:pStyle w:val="160"/>
              <w:rPr>
                <w:szCs w:val="21"/>
              </w:rPr>
            </w:pPr>
            <w:r>
              <w:rPr>
                <w:rFonts w:hint="eastAsia"/>
                <w:szCs w:val="21"/>
              </w:rPr>
              <w:t>98</w:t>
            </w:r>
            <w:r>
              <w:rPr>
                <w:szCs w:val="21"/>
              </w:rPr>
              <w:t>00</w:t>
            </w:r>
          </w:p>
        </w:tc>
      </w:tr>
      <w:tr w14:paraId="791097E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3927" w:type="pct"/>
            <w:gridSpan w:val="2"/>
            <w:tcBorders>
              <w:tl2br w:val="nil"/>
              <w:tr2bl w:val="nil"/>
            </w:tcBorders>
            <w:vAlign w:val="center"/>
          </w:tcPr>
          <w:p w14:paraId="01D11AF3">
            <w:pPr>
              <w:pStyle w:val="160"/>
              <w:rPr>
                <w:szCs w:val="21"/>
              </w:rPr>
            </w:pPr>
            <w:r>
              <w:rPr>
                <w:szCs w:val="21"/>
              </w:rPr>
              <w:t>环保投资比例%</w:t>
            </w:r>
          </w:p>
        </w:tc>
        <w:tc>
          <w:tcPr>
            <w:tcW w:w="1073" w:type="pct"/>
            <w:tcBorders>
              <w:tl2br w:val="nil"/>
              <w:tr2bl w:val="nil"/>
            </w:tcBorders>
            <w:vAlign w:val="center"/>
          </w:tcPr>
          <w:p w14:paraId="4E038BA2">
            <w:pPr>
              <w:pStyle w:val="160"/>
              <w:rPr>
                <w:szCs w:val="21"/>
              </w:rPr>
            </w:pPr>
            <w:r>
              <w:rPr>
                <w:rFonts w:hint="eastAsia"/>
                <w:szCs w:val="21"/>
              </w:rPr>
              <w:t>1.94</w:t>
            </w:r>
          </w:p>
        </w:tc>
      </w:tr>
    </w:tbl>
    <w:p w14:paraId="0CA03F6E">
      <w:pPr>
        <w:spacing w:before="78" w:line="360" w:lineRule="auto"/>
        <w:ind w:firstLine="480" w:firstLineChars="200"/>
        <w:rPr>
          <w:bCs/>
          <w:kern w:val="0"/>
          <w:sz w:val="24"/>
        </w:rPr>
      </w:pPr>
      <w:bookmarkStart w:id="615" w:name="_Toc11572131"/>
      <w:bookmarkStart w:id="616" w:name="_Toc17475993"/>
    </w:p>
    <w:p w14:paraId="7AAE0F96">
      <w:pPr>
        <w:spacing w:before="78" w:line="360" w:lineRule="auto"/>
        <w:ind w:firstLine="480" w:firstLineChars="200"/>
        <w:rPr>
          <w:bCs/>
          <w:kern w:val="0"/>
          <w:sz w:val="24"/>
        </w:rPr>
      </w:pPr>
    </w:p>
    <w:p w14:paraId="0298E947">
      <w:pPr>
        <w:spacing w:before="78" w:after="156" w:line="360" w:lineRule="auto"/>
        <w:ind w:left="363" w:firstLine="480" w:firstLineChars="200"/>
        <w:rPr>
          <w:bCs/>
          <w:kern w:val="0"/>
          <w:sz w:val="24"/>
        </w:rPr>
      </w:pPr>
    </w:p>
    <w:p w14:paraId="635A4BBF">
      <w:pPr>
        <w:spacing w:before="78"/>
      </w:pPr>
    </w:p>
    <w:p w14:paraId="789B0526">
      <w:pPr>
        <w:spacing w:before="78"/>
      </w:pPr>
    </w:p>
    <w:p w14:paraId="1A18C3C5">
      <w:pPr>
        <w:spacing w:before="78"/>
      </w:pPr>
    </w:p>
    <w:p w14:paraId="431B1DD4">
      <w:pPr>
        <w:spacing w:before="78"/>
      </w:pPr>
    </w:p>
    <w:p w14:paraId="02542FE0">
      <w:pPr>
        <w:spacing w:before="78"/>
      </w:pPr>
    </w:p>
    <w:p w14:paraId="72BD6064">
      <w:pPr>
        <w:spacing w:before="78"/>
      </w:pPr>
    </w:p>
    <w:p w14:paraId="6627C920">
      <w:pPr>
        <w:spacing w:before="78"/>
      </w:pPr>
    </w:p>
    <w:p w14:paraId="1F5BB7A7">
      <w:pPr>
        <w:pStyle w:val="3"/>
        <w:keepNext w:val="0"/>
        <w:keepLines w:val="0"/>
        <w:spacing w:before="156" w:after="156" w:line="579" w:lineRule="auto"/>
        <w:ind w:left="363" w:hanging="363"/>
        <w:rPr>
          <w:color w:val="auto"/>
        </w:rPr>
      </w:pPr>
      <w:bookmarkStart w:id="617" w:name="_Toc239274298"/>
      <w:r>
        <w:rPr>
          <w:color w:val="auto"/>
        </w:rPr>
        <w:t>9.环境管理与监测计划</w:t>
      </w:r>
      <w:bookmarkEnd w:id="615"/>
      <w:bookmarkEnd w:id="616"/>
      <w:bookmarkEnd w:id="617"/>
    </w:p>
    <w:p w14:paraId="1CA15225">
      <w:pPr>
        <w:pStyle w:val="4"/>
        <w:rPr>
          <w:rFonts w:ascii="Times New Roman" w:hAnsi="Times New Roman" w:eastAsia="宋体"/>
          <w:color w:val="auto"/>
          <w:kern w:val="0"/>
        </w:rPr>
      </w:pPr>
      <w:bookmarkStart w:id="618" w:name="_Toc239274299"/>
      <w:bookmarkStart w:id="619" w:name="_Toc101690416"/>
      <w:bookmarkStart w:id="620" w:name="_Toc45531575"/>
      <w:r>
        <w:rPr>
          <w:rFonts w:ascii="Times New Roman" w:hAnsi="Times New Roman" w:eastAsia="宋体"/>
          <w:color w:val="auto"/>
          <w:kern w:val="0"/>
        </w:rPr>
        <w:t>9.1环境管理</w:t>
      </w:r>
      <w:bookmarkEnd w:id="618"/>
      <w:bookmarkEnd w:id="619"/>
    </w:p>
    <w:p w14:paraId="73D90C10">
      <w:pPr>
        <w:spacing w:before="78" w:line="360" w:lineRule="auto"/>
        <w:ind w:firstLine="480" w:firstLineChars="200"/>
        <w:rPr>
          <w:sz w:val="24"/>
        </w:rPr>
      </w:pPr>
      <w:r>
        <w:rPr>
          <w:sz w:val="24"/>
        </w:rPr>
        <w:t>环境管理是以环境科学理论为基础，运用经济、法律、技术、行政、教育等手段限制人类损害环境质量的活动，使项目建设不超出环境容量的极限，又能满足人类日益增长的物质生活需要，并使经济发展与生态环境维持在相互可以接受的水平。</w:t>
      </w:r>
    </w:p>
    <w:p w14:paraId="68B0AB9C">
      <w:pPr>
        <w:pStyle w:val="5"/>
        <w:spacing w:before="156" w:after="156"/>
        <w:rPr>
          <w:color w:val="auto"/>
        </w:rPr>
      </w:pPr>
      <w:r>
        <w:rPr>
          <w:color w:val="auto"/>
        </w:rPr>
        <w:t>9.1.1环境管理要求</w:t>
      </w:r>
    </w:p>
    <w:p w14:paraId="5CB46BCB">
      <w:pPr>
        <w:spacing w:before="78" w:line="360" w:lineRule="auto"/>
        <w:ind w:firstLine="480" w:firstLineChars="200"/>
        <w:rPr>
          <w:bCs/>
          <w:kern w:val="0"/>
          <w:sz w:val="24"/>
        </w:rPr>
      </w:pPr>
      <w:r>
        <w:rPr>
          <w:bCs/>
          <w:kern w:val="0"/>
          <w:sz w:val="24"/>
        </w:rPr>
        <w:t>根据《中华人民共和国</w:t>
      </w:r>
      <w:r>
        <w:rPr>
          <w:rFonts w:hint="eastAsia"/>
          <w:bCs/>
          <w:kern w:val="0"/>
          <w:sz w:val="24"/>
        </w:rPr>
        <w:t>生态环境法典</w:t>
      </w:r>
      <w:r>
        <w:rPr>
          <w:bCs/>
          <w:kern w:val="0"/>
          <w:sz w:val="24"/>
        </w:rPr>
        <w:t>》</w:t>
      </w:r>
      <w:r>
        <w:rPr>
          <w:rFonts w:hint="eastAsia"/>
          <w:bCs/>
          <w:kern w:val="0"/>
          <w:sz w:val="24"/>
        </w:rPr>
        <w:t>、</w:t>
      </w:r>
      <w:r>
        <w:rPr>
          <w:bCs/>
          <w:kern w:val="0"/>
          <w:sz w:val="24"/>
        </w:rPr>
        <w:t xml:space="preserve">《建设项目环境保护管理条例》，建设单位必须把环境保护工作纳入计划，建立环境保护责任制度，采取有效措施，防止环境破坏。 </w:t>
      </w:r>
    </w:p>
    <w:p w14:paraId="109828B6">
      <w:pPr>
        <w:spacing w:before="78" w:line="360" w:lineRule="auto"/>
        <w:ind w:firstLine="480" w:firstLineChars="200"/>
        <w:rPr>
          <w:bCs/>
          <w:kern w:val="0"/>
          <w:sz w:val="24"/>
        </w:rPr>
      </w:pPr>
      <w:r>
        <w:rPr>
          <w:bCs/>
          <w:kern w:val="0"/>
          <w:sz w:val="24"/>
        </w:rPr>
        <w:t>本项目在不同时期的环境管理要求见表9.1-1。</w:t>
      </w:r>
    </w:p>
    <w:p w14:paraId="385E790D">
      <w:pPr>
        <w:spacing w:before="78"/>
        <w:jc w:val="center"/>
        <w:rPr>
          <w:b/>
          <w:bCs/>
          <w:kern w:val="0"/>
          <w:szCs w:val="21"/>
        </w:rPr>
      </w:pPr>
      <w:r>
        <w:rPr>
          <w:b/>
          <w:bCs/>
          <w:sz w:val="24"/>
        </w:rPr>
        <w:t xml:space="preserve"> </w:t>
      </w:r>
      <w:r>
        <w:rPr>
          <w:b/>
          <w:bCs/>
          <w:szCs w:val="21"/>
        </w:rPr>
        <w:t xml:space="preserve"> 表9.1-1</w:t>
      </w:r>
      <w:r>
        <w:rPr>
          <w:rFonts w:hint="eastAsia"/>
          <w:b/>
          <w:bCs/>
          <w:szCs w:val="21"/>
        </w:rPr>
        <w:t xml:space="preserve">   </w:t>
      </w:r>
      <w:r>
        <w:rPr>
          <w:b/>
          <w:bCs/>
          <w:szCs w:val="21"/>
        </w:rPr>
        <w:t xml:space="preserve">  项目不同时期环境管理要求一览表</w:t>
      </w:r>
    </w:p>
    <w:tbl>
      <w:tblPr>
        <w:tblStyle w:val="89"/>
        <w:tblW w:w="4998" w:type="pct"/>
        <w:jc w:val="center"/>
        <w:tblBorders>
          <w:top w:val="single" w:color="auto" w:sz="12" w:space="0"/>
          <w:left w:val="none" w:color="auto" w:sz="0" w:space="0"/>
          <w:bottom w:val="single" w:color="auto" w:sz="12" w:space="0"/>
          <w:right w:val="none" w:color="auto" w:sz="0" w:space="0"/>
          <w:insideH w:val="single" w:color="000000" w:sz="4" w:space="0"/>
          <w:insideV w:val="single" w:color="000000" w:sz="4" w:space="0"/>
        </w:tblBorders>
        <w:tblLayout w:type="autofit"/>
        <w:tblCellMar>
          <w:top w:w="0" w:type="dxa"/>
          <w:left w:w="57" w:type="dxa"/>
          <w:bottom w:w="0" w:type="dxa"/>
          <w:right w:w="57" w:type="dxa"/>
        </w:tblCellMar>
      </w:tblPr>
      <w:tblGrid>
        <w:gridCol w:w="601"/>
        <w:gridCol w:w="4361"/>
        <w:gridCol w:w="3347"/>
      </w:tblGrid>
      <w:tr w14:paraId="3D90CC74">
        <w:tblPrEx>
          <w:tblBorders>
            <w:top w:val="single" w:color="auto" w:sz="12" w:space="0"/>
            <w:left w:val="none" w:color="auto" w:sz="0" w:space="0"/>
            <w:bottom w:val="single" w:color="auto" w:sz="12" w:space="0"/>
            <w:right w:val="none" w:color="auto" w:sz="0" w:space="0"/>
            <w:insideH w:val="single" w:color="000000" w:sz="4" w:space="0"/>
            <w:insideV w:val="single" w:color="000000" w:sz="4" w:space="0"/>
          </w:tblBorders>
          <w:tblCellMar>
            <w:top w:w="0" w:type="dxa"/>
            <w:left w:w="57" w:type="dxa"/>
            <w:bottom w:w="0" w:type="dxa"/>
            <w:right w:w="57" w:type="dxa"/>
          </w:tblCellMar>
        </w:tblPrEx>
        <w:trPr>
          <w:trHeight w:val="340" w:hRule="atLeast"/>
          <w:tblHeader/>
          <w:jc w:val="center"/>
        </w:trPr>
        <w:tc>
          <w:tcPr>
            <w:tcW w:w="362" w:type="pct"/>
            <w:vMerge w:val="restart"/>
            <w:tcBorders>
              <w:tl2br w:val="nil"/>
              <w:tr2bl w:val="nil"/>
            </w:tcBorders>
            <w:vAlign w:val="center"/>
          </w:tcPr>
          <w:p w14:paraId="1B56C4A3">
            <w:pPr>
              <w:widowControl/>
              <w:adjustRightInd w:val="0"/>
              <w:snapToGrid w:val="0"/>
              <w:spacing w:before="0" w:beforeLines="0" w:line="240" w:lineRule="auto"/>
              <w:jc w:val="center"/>
              <w:rPr>
                <w:kern w:val="0"/>
                <w:szCs w:val="21"/>
              </w:rPr>
            </w:pPr>
            <w:r>
              <w:rPr>
                <w:kern w:val="0"/>
                <w:szCs w:val="21"/>
              </w:rPr>
              <w:t>类型</w:t>
            </w:r>
          </w:p>
        </w:tc>
        <w:tc>
          <w:tcPr>
            <w:tcW w:w="4638" w:type="pct"/>
            <w:gridSpan w:val="2"/>
            <w:tcBorders>
              <w:tl2br w:val="nil"/>
              <w:tr2bl w:val="nil"/>
            </w:tcBorders>
            <w:vAlign w:val="center"/>
          </w:tcPr>
          <w:p w14:paraId="6AC25DAE">
            <w:pPr>
              <w:widowControl/>
              <w:adjustRightInd w:val="0"/>
              <w:snapToGrid w:val="0"/>
              <w:spacing w:before="0" w:beforeLines="0" w:line="240" w:lineRule="auto"/>
              <w:jc w:val="center"/>
              <w:rPr>
                <w:kern w:val="0"/>
                <w:szCs w:val="21"/>
              </w:rPr>
            </w:pPr>
            <w:r>
              <w:rPr>
                <w:kern w:val="0"/>
                <w:szCs w:val="21"/>
              </w:rPr>
              <w:t>分期环境管理要求</w:t>
            </w:r>
          </w:p>
        </w:tc>
      </w:tr>
      <w:tr w14:paraId="5AB3B5A4">
        <w:tblPrEx>
          <w:tblBorders>
            <w:top w:val="single" w:color="auto" w:sz="12" w:space="0"/>
            <w:left w:val="none" w:color="auto" w:sz="0" w:space="0"/>
            <w:bottom w:val="single" w:color="auto" w:sz="12" w:space="0"/>
            <w:right w:val="none" w:color="auto" w:sz="0" w:space="0"/>
            <w:insideH w:val="single" w:color="000000" w:sz="4" w:space="0"/>
            <w:insideV w:val="single" w:color="000000" w:sz="4" w:space="0"/>
          </w:tblBorders>
          <w:tblCellMar>
            <w:top w:w="0" w:type="dxa"/>
            <w:left w:w="57" w:type="dxa"/>
            <w:bottom w:w="0" w:type="dxa"/>
            <w:right w:w="57" w:type="dxa"/>
          </w:tblCellMar>
        </w:tblPrEx>
        <w:trPr>
          <w:trHeight w:val="340" w:hRule="atLeast"/>
          <w:tblHeader/>
          <w:jc w:val="center"/>
        </w:trPr>
        <w:tc>
          <w:tcPr>
            <w:tcW w:w="362" w:type="pct"/>
            <w:vMerge w:val="continue"/>
            <w:tcBorders>
              <w:tl2br w:val="nil"/>
              <w:tr2bl w:val="nil"/>
            </w:tcBorders>
            <w:vAlign w:val="center"/>
          </w:tcPr>
          <w:p w14:paraId="77005BB9">
            <w:pPr>
              <w:widowControl/>
              <w:adjustRightInd w:val="0"/>
              <w:snapToGrid w:val="0"/>
              <w:spacing w:before="0" w:beforeLines="0" w:line="240" w:lineRule="auto"/>
              <w:jc w:val="center"/>
              <w:rPr>
                <w:kern w:val="0"/>
                <w:szCs w:val="21"/>
              </w:rPr>
            </w:pPr>
          </w:p>
        </w:tc>
        <w:tc>
          <w:tcPr>
            <w:tcW w:w="2624" w:type="pct"/>
            <w:tcBorders>
              <w:tl2br w:val="nil"/>
              <w:tr2bl w:val="nil"/>
            </w:tcBorders>
            <w:vAlign w:val="center"/>
          </w:tcPr>
          <w:p w14:paraId="63CBC363">
            <w:pPr>
              <w:widowControl/>
              <w:adjustRightInd w:val="0"/>
              <w:snapToGrid w:val="0"/>
              <w:spacing w:before="0" w:beforeLines="0" w:line="240" w:lineRule="auto"/>
              <w:jc w:val="center"/>
              <w:rPr>
                <w:kern w:val="0"/>
                <w:szCs w:val="21"/>
              </w:rPr>
            </w:pPr>
            <w:r>
              <w:rPr>
                <w:kern w:val="0"/>
                <w:szCs w:val="21"/>
              </w:rPr>
              <w:t>施工期</w:t>
            </w:r>
          </w:p>
        </w:tc>
        <w:tc>
          <w:tcPr>
            <w:tcW w:w="2014" w:type="pct"/>
            <w:tcBorders>
              <w:tl2br w:val="nil"/>
              <w:tr2bl w:val="nil"/>
            </w:tcBorders>
            <w:vAlign w:val="center"/>
          </w:tcPr>
          <w:p w14:paraId="1B139E7C">
            <w:pPr>
              <w:widowControl/>
              <w:adjustRightInd w:val="0"/>
              <w:snapToGrid w:val="0"/>
              <w:spacing w:before="0" w:beforeLines="0" w:line="240" w:lineRule="auto"/>
              <w:jc w:val="center"/>
              <w:rPr>
                <w:kern w:val="0"/>
                <w:szCs w:val="21"/>
              </w:rPr>
            </w:pPr>
            <w:r>
              <w:rPr>
                <w:kern w:val="0"/>
                <w:szCs w:val="21"/>
              </w:rPr>
              <w:t>运营期</w:t>
            </w:r>
          </w:p>
        </w:tc>
      </w:tr>
      <w:tr w14:paraId="11ADA03B">
        <w:tblPrEx>
          <w:tblBorders>
            <w:top w:val="single" w:color="auto" w:sz="12" w:space="0"/>
            <w:left w:val="none" w:color="auto" w:sz="0" w:space="0"/>
            <w:bottom w:val="single" w:color="auto" w:sz="12" w:space="0"/>
            <w:right w:val="none" w:color="auto" w:sz="0" w:space="0"/>
            <w:insideH w:val="single" w:color="000000" w:sz="4" w:space="0"/>
            <w:insideV w:val="single" w:color="000000" w:sz="4" w:space="0"/>
          </w:tblBorders>
          <w:tblCellMar>
            <w:top w:w="0" w:type="dxa"/>
            <w:left w:w="57" w:type="dxa"/>
            <w:bottom w:w="0" w:type="dxa"/>
            <w:right w:w="57" w:type="dxa"/>
          </w:tblCellMar>
        </w:tblPrEx>
        <w:trPr>
          <w:trHeight w:val="340" w:hRule="atLeast"/>
          <w:jc w:val="center"/>
        </w:trPr>
        <w:tc>
          <w:tcPr>
            <w:tcW w:w="362" w:type="pct"/>
            <w:tcBorders>
              <w:tl2br w:val="nil"/>
              <w:tr2bl w:val="nil"/>
            </w:tcBorders>
            <w:vAlign w:val="center"/>
          </w:tcPr>
          <w:p w14:paraId="3B4C3011">
            <w:pPr>
              <w:widowControl/>
              <w:adjustRightInd w:val="0"/>
              <w:snapToGrid w:val="0"/>
              <w:spacing w:before="0" w:beforeLines="0" w:line="240" w:lineRule="auto"/>
              <w:jc w:val="center"/>
              <w:rPr>
                <w:kern w:val="0"/>
                <w:szCs w:val="21"/>
              </w:rPr>
            </w:pPr>
            <w:r>
              <w:rPr>
                <w:kern w:val="0"/>
                <w:szCs w:val="21"/>
              </w:rPr>
              <w:t>环境空气</w:t>
            </w:r>
          </w:p>
        </w:tc>
        <w:tc>
          <w:tcPr>
            <w:tcW w:w="2624" w:type="pct"/>
            <w:tcBorders>
              <w:tl2br w:val="nil"/>
              <w:tr2bl w:val="nil"/>
            </w:tcBorders>
            <w:vAlign w:val="center"/>
          </w:tcPr>
          <w:p w14:paraId="74DCCDB2">
            <w:pPr>
              <w:widowControl/>
              <w:adjustRightInd w:val="0"/>
              <w:snapToGrid w:val="0"/>
              <w:spacing w:before="0" w:beforeLines="0" w:line="240" w:lineRule="auto"/>
              <w:jc w:val="center"/>
              <w:rPr>
                <w:kern w:val="0"/>
                <w:szCs w:val="21"/>
              </w:rPr>
            </w:pPr>
            <w:r>
              <w:rPr>
                <w:kern w:val="0"/>
                <w:szCs w:val="21"/>
              </w:rPr>
              <w:t>对施工现场扬尘应定时洒水抑尘；施工现场运输车辆应控制车速，不超过40km/h；无组织粉尘应满足《施工及堆料场地扬尘排放标准》(DB21/ 2642-2016)要求。</w:t>
            </w:r>
          </w:p>
        </w:tc>
        <w:tc>
          <w:tcPr>
            <w:tcW w:w="2014" w:type="pct"/>
            <w:tcBorders>
              <w:tl2br w:val="nil"/>
              <w:tr2bl w:val="nil"/>
            </w:tcBorders>
            <w:vAlign w:val="center"/>
          </w:tcPr>
          <w:p w14:paraId="55CC177B">
            <w:pPr>
              <w:widowControl/>
              <w:adjustRightInd w:val="0"/>
              <w:snapToGrid w:val="0"/>
              <w:spacing w:before="0" w:beforeLines="0" w:line="240" w:lineRule="auto"/>
              <w:jc w:val="center"/>
              <w:rPr>
                <w:kern w:val="0"/>
                <w:szCs w:val="21"/>
              </w:rPr>
            </w:pPr>
            <w:r>
              <w:rPr>
                <w:kern w:val="0"/>
                <w:szCs w:val="21"/>
              </w:rPr>
              <w:t>设备配套</w:t>
            </w:r>
            <w:r>
              <w:rPr>
                <w:rFonts w:hint="eastAsia"/>
                <w:kern w:val="0"/>
                <w:szCs w:val="21"/>
              </w:rPr>
              <w:t>除尘</w:t>
            </w:r>
            <w:r>
              <w:rPr>
                <w:kern w:val="0"/>
                <w:szCs w:val="21"/>
              </w:rPr>
              <w:t>并建有完善的洒水降尘工作制度，采取有效措施，使粉尘满足《铁矿采选业污染物排放标准》(GB28661-2012)表7要求。</w:t>
            </w:r>
          </w:p>
        </w:tc>
      </w:tr>
      <w:tr w14:paraId="0BFCB4DD">
        <w:tblPrEx>
          <w:tblBorders>
            <w:top w:val="single" w:color="auto" w:sz="12" w:space="0"/>
            <w:left w:val="none" w:color="auto" w:sz="0" w:space="0"/>
            <w:bottom w:val="single" w:color="auto" w:sz="12" w:space="0"/>
            <w:right w:val="none" w:color="auto" w:sz="0" w:space="0"/>
            <w:insideH w:val="single" w:color="000000" w:sz="4" w:space="0"/>
            <w:insideV w:val="single" w:color="000000" w:sz="4" w:space="0"/>
          </w:tblBorders>
          <w:tblCellMar>
            <w:top w:w="0" w:type="dxa"/>
            <w:left w:w="57" w:type="dxa"/>
            <w:bottom w:w="0" w:type="dxa"/>
            <w:right w:w="57" w:type="dxa"/>
          </w:tblCellMar>
        </w:tblPrEx>
        <w:trPr>
          <w:trHeight w:val="340" w:hRule="atLeast"/>
          <w:jc w:val="center"/>
        </w:trPr>
        <w:tc>
          <w:tcPr>
            <w:tcW w:w="362" w:type="pct"/>
            <w:tcBorders>
              <w:tl2br w:val="nil"/>
              <w:tr2bl w:val="nil"/>
            </w:tcBorders>
            <w:vAlign w:val="center"/>
          </w:tcPr>
          <w:p w14:paraId="4CE8A30B">
            <w:pPr>
              <w:widowControl/>
              <w:adjustRightInd w:val="0"/>
              <w:snapToGrid w:val="0"/>
              <w:spacing w:before="0" w:beforeLines="0" w:line="240" w:lineRule="auto"/>
              <w:jc w:val="center"/>
              <w:rPr>
                <w:kern w:val="0"/>
                <w:szCs w:val="21"/>
              </w:rPr>
            </w:pPr>
            <w:r>
              <w:rPr>
                <w:kern w:val="0"/>
                <w:szCs w:val="21"/>
              </w:rPr>
              <w:t>地表水</w:t>
            </w:r>
          </w:p>
        </w:tc>
        <w:tc>
          <w:tcPr>
            <w:tcW w:w="2624" w:type="pct"/>
            <w:tcBorders>
              <w:tl2br w:val="nil"/>
              <w:tr2bl w:val="nil"/>
            </w:tcBorders>
            <w:vAlign w:val="center"/>
          </w:tcPr>
          <w:p w14:paraId="13C3ABE6">
            <w:pPr>
              <w:widowControl/>
              <w:adjustRightInd w:val="0"/>
              <w:snapToGrid w:val="0"/>
              <w:spacing w:before="0" w:beforeLines="0" w:line="240" w:lineRule="auto"/>
              <w:jc w:val="center"/>
              <w:rPr>
                <w:kern w:val="0"/>
                <w:szCs w:val="21"/>
              </w:rPr>
            </w:pPr>
            <w:r>
              <w:rPr>
                <w:kern w:val="0"/>
                <w:szCs w:val="21"/>
              </w:rPr>
              <w:t>因地制宜，建设临时沉淀池，对含油量大的施工机械冲洗水或悬浮物高施工废水需经沉淀处理后尽回用于施工场地洒水抑尘；水泥、沙土类建筑材料需集中堆放，并加盖苫布；合理安排施工顺序，在工作面准备结束前地面矿井涌水处理系统和排水管道应建成并调试完毕。</w:t>
            </w:r>
          </w:p>
        </w:tc>
        <w:tc>
          <w:tcPr>
            <w:tcW w:w="2014" w:type="pct"/>
            <w:tcBorders>
              <w:tl2br w:val="nil"/>
              <w:tr2bl w:val="nil"/>
            </w:tcBorders>
            <w:vAlign w:val="center"/>
          </w:tcPr>
          <w:p w14:paraId="54A6544B">
            <w:pPr>
              <w:widowControl/>
              <w:adjustRightInd w:val="0"/>
              <w:snapToGrid w:val="0"/>
              <w:spacing w:before="0" w:beforeLines="0" w:line="240" w:lineRule="auto"/>
              <w:jc w:val="center"/>
              <w:rPr>
                <w:kern w:val="0"/>
                <w:szCs w:val="21"/>
              </w:rPr>
            </w:pPr>
            <w:r>
              <w:rPr>
                <w:kern w:val="0"/>
                <w:szCs w:val="21"/>
              </w:rPr>
              <w:t>生活污水排入化粪池，定期清掏。生产废水全部综合利用，不外排。</w:t>
            </w:r>
          </w:p>
        </w:tc>
      </w:tr>
      <w:tr w14:paraId="71D90C76">
        <w:tblPrEx>
          <w:tblBorders>
            <w:top w:val="single" w:color="auto" w:sz="12" w:space="0"/>
            <w:left w:val="none" w:color="auto" w:sz="0" w:space="0"/>
            <w:bottom w:val="single" w:color="auto" w:sz="12" w:space="0"/>
            <w:right w:val="none" w:color="auto" w:sz="0" w:space="0"/>
            <w:insideH w:val="single" w:color="000000" w:sz="4" w:space="0"/>
            <w:insideV w:val="single" w:color="000000" w:sz="4" w:space="0"/>
          </w:tblBorders>
          <w:tblCellMar>
            <w:top w:w="0" w:type="dxa"/>
            <w:left w:w="57" w:type="dxa"/>
            <w:bottom w:w="0" w:type="dxa"/>
            <w:right w:w="57" w:type="dxa"/>
          </w:tblCellMar>
        </w:tblPrEx>
        <w:trPr>
          <w:trHeight w:val="340" w:hRule="atLeast"/>
          <w:jc w:val="center"/>
        </w:trPr>
        <w:tc>
          <w:tcPr>
            <w:tcW w:w="362" w:type="pct"/>
            <w:tcBorders>
              <w:tl2br w:val="nil"/>
              <w:tr2bl w:val="nil"/>
            </w:tcBorders>
            <w:vAlign w:val="center"/>
          </w:tcPr>
          <w:p w14:paraId="78B3402C">
            <w:pPr>
              <w:widowControl/>
              <w:adjustRightInd w:val="0"/>
              <w:snapToGrid w:val="0"/>
              <w:spacing w:before="0" w:beforeLines="0" w:line="240" w:lineRule="auto"/>
              <w:jc w:val="center"/>
              <w:rPr>
                <w:kern w:val="0"/>
                <w:szCs w:val="21"/>
              </w:rPr>
            </w:pPr>
            <w:r>
              <w:rPr>
                <w:kern w:val="0"/>
                <w:szCs w:val="21"/>
              </w:rPr>
              <w:t>噪声</w:t>
            </w:r>
          </w:p>
        </w:tc>
        <w:tc>
          <w:tcPr>
            <w:tcW w:w="2624" w:type="pct"/>
            <w:tcBorders>
              <w:tl2br w:val="nil"/>
              <w:tr2bl w:val="nil"/>
            </w:tcBorders>
            <w:vAlign w:val="center"/>
          </w:tcPr>
          <w:p w14:paraId="0FB1D98A">
            <w:pPr>
              <w:widowControl/>
              <w:adjustRightInd w:val="0"/>
              <w:snapToGrid w:val="0"/>
              <w:spacing w:before="0" w:beforeLines="0" w:line="240" w:lineRule="auto"/>
              <w:jc w:val="center"/>
              <w:rPr>
                <w:kern w:val="0"/>
                <w:szCs w:val="21"/>
              </w:rPr>
            </w:pPr>
            <w:r>
              <w:rPr>
                <w:kern w:val="0"/>
                <w:szCs w:val="21"/>
              </w:rPr>
              <w:t>尽量选用低噪声设备，设置施工围挡以减轻噪声对周围环境的影响，合理安排施工时间，禁止夜间施工，控制施工场界噪声不超过《建筑施工噪声</w:t>
            </w:r>
            <w:r>
              <w:rPr>
                <w:rFonts w:hint="eastAsia"/>
                <w:kern w:val="0"/>
                <w:szCs w:val="21"/>
              </w:rPr>
              <w:t>排放</w:t>
            </w:r>
            <w:r>
              <w:rPr>
                <w:kern w:val="0"/>
                <w:szCs w:val="21"/>
              </w:rPr>
              <w:t>标准》(GB12523-20</w:t>
            </w:r>
            <w:r>
              <w:rPr>
                <w:rFonts w:hint="eastAsia"/>
                <w:kern w:val="0"/>
                <w:szCs w:val="21"/>
              </w:rPr>
              <w:t>25</w:t>
            </w:r>
            <w:r>
              <w:rPr>
                <w:kern w:val="0"/>
                <w:szCs w:val="21"/>
              </w:rPr>
              <w:t>)；施工过程应加强对施工机械的维护保养，避免由于设备性能差而增大机械噪声。</w:t>
            </w:r>
          </w:p>
        </w:tc>
        <w:tc>
          <w:tcPr>
            <w:tcW w:w="2014" w:type="pct"/>
            <w:tcBorders>
              <w:tl2br w:val="nil"/>
              <w:tr2bl w:val="nil"/>
            </w:tcBorders>
            <w:vAlign w:val="center"/>
          </w:tcPr>
          <w:p w14:paraId="34F338DB">
            <w:pPr>
              <w:wordWrap w:val="0"/>
              <w:adjustRightInd w:val="0"/>
              <w:snapToGrid w:val="0"/>
              <w:spacing w:before="0" w:beforeLines="0" w:line="240" w:lineRule="auto"/>
              <w:jc w:val="center"/>
              <w:rPr>
                <w:kern w:val="0"/>
                <w:szCs w:val="21"/>
              </w:rPr>
            </w:pPr>
            <w:r>
              <w:rPr>
                <w:kern w:val="0"/>
                <w:szCs w:val="21"/>
              </w:rPr>
              <w:t>首选低噪声设备，破碎机、磁选机、筛分机、抛砂机等设置在厂房内部，泵类安装减振底座，控制运输车辆车速及载量，定期保养和维护设备，使</w:t>
            </w:r>
            <w:r>
              <w:rPr>
                <w:rFonts w:hint="eastAsia"/>
                <w:kern w:val="0"/>
                <w:szCs w:val="21"/>
              </w:rPr>
              <w:t>厂界</w:t>
            </w:r>
            <w:r>
              <w:rPr>
                <w:kern w:val="0"/>
                <w:szCs w:val="21"/>
              </w:rPr>
              <w:t>噪声满足《工业企业厂界环境噪声排放标准》(GB12348-2008)中1类标准要求。</w:t>
            </w:r>
          </w:p>
        </w:tc>
      </w:tr>
      <w:tr w14:paraId="22EA5483">
        <w:tblPrEx>
          <w:tblBorders>
            <w:top w:val="single" w:color="auto" w:sz="12" w:space="0"/>
            <w:left w:val="none" w:color="auto" w:sz="0" w:space="0"/>
            <w:bottom w:val="single" w:color="auto" w:sz="12" w:space="0"/>
            <w:right w:val="none" w:color="auto" w:sz="0" w:space="0"/>
            <w:insideH w:val="single" w:color="000000" w:sz="4" w:space="0"/>
            <w:insideV w:val="single" w:color="000000" w:sz="4" w:space="0"/>
          </w:tblBorders>
          <w:tblCellMar>
            <w:top w:w="0" w:type="dxa"/>
            <w:left w:w="57" w:type="dxa"/>
            <w:bottom w:w="0" w:type="dxa"/>
            <w:right w:w="57" w:type="dxa"/>
          </w:tblCellMar>
        </w:tblPrEx>
        <w:trPr>
          <w:trHeight w:val="340" w:hRule="atLeast"/>
          <w:jc w:val="center"/>
        </w:trPr>
        <w:tc>
          <w:tcPr>
            <w:tcW w:w="362" w:type="pct"/>
            <w:tcBorders>
              <w:tl2br w:val="nil"/>
              <w:tr2bl w:val="nil"/>
            </w:tcBorders>
            <w:vAlign w:val="center"/>
          </w:tcPr>
          <w:p w14:paraId="2EC00214">
            <w:pPr>
              <w:widowControl/>
              <w:adjustRightInd w:val="0"/>
              <w:snapToGrid w:val="0"/>
              <w:spacing w:before="0" w:beforeLines="0" w:line="240" w:lineRule="auto"/>
              <w:jc w:val="center"/>
              <w:rPr>
                <w:kern w:val="0"/>
                <w:szCs w:val="21"/>
              </w:rPr>
            </w:pPr>
            <w:r>
              <w:rPr>
                <w:kern w:val="0"/>
                <w:szCs w:val="21"/>
              </w:rPr>
              <w:t>固体废物</w:t>
            </w:r>
          </w:p>
        </w:tc>
        <w:tc>
          <w:tcPr>
            <w:tcW w:w="2624" w:type="pct"/>
            <w:tcBorders>
              <w:tl2br w:val="nil"/>
              <w:tr2bl w:val="nil"/>
            </w:tcBorders>
            <w:vAlign w:val="center"/>
          </w:tcPr>
          <w:p w14:paraId="171C92CF">
            <w:pPr>
              <w:widowControl/>
              <w:adjustRightInd w:val="0"/>
              <w:snapToGrid w:val="0"/>
              <w:spacing w:before="0" w:beforeLines="0" w:line="240" w:lineRule="auto"/>
              <w:jc w:val="center"/>
              <w:rPr>
                <w:kern w:val="0"/>
                <w:szCs w:val="21"/>
              </w:rPr>
            </w:pPr>
            <w:r>
              <w:rPr>
                <w:kern w:val="0"/>
                <w:szCs w:val="21"/>
              </w:rPr>
              <w:t>施工人员的生活垃圾由清洁员定期清理，集中送至指定堆放点；尽量减少建筑材料在运输、装卸、施工过程中的跑、冒、滴、漏，建筑垃圾应在指定的堆放点存放，并由环卫部门拉走统一处理，不可随意倾倒。</w:t>
            </w:r>
          </w:p>
        </w:tc>
        <w:tc>
          <w:tcPr>
            <w:tcW w:w="2014" w:type="pct"/>
            <w:tcBorders>
              <w:tl2br w:val="nil"/>
              <w:tr2bl w:val="nil"/>
            </w:tcBorders>
            <w:vAlign w:val="center"/>
          </w:tcPr>
          <w:p w14:paraId="3E38C500">
            <w:pPr>
              <w:widowControl/>
              <w:adjustRightInd w:val="0"/>
              <w:snapToGrid w:val="0"/>
              <w:spacing w:before="0" w:beforeLines="0" w:line="240" w:lineRule="auto"/>
              <w:jc w:val="center"/>
              <w:rPr>
                <w:kern w:val="0"/>
                <w:szCs w:val="21"/>
              </w:rPr>
            </w:pPr>
            <w:r>
              <w:rPr>
                <w:kern w:val="0"/>
                <w:szCs w:val="21"/>
              </w:rPr>
              <w:t>项目投产后对除尘灰和落地灰进行浸出试验，</w:t>
            </w:r>
            <w:r>
              <w:rPr>
                <w:rFonts w:hint="eastAsia"/>
                <w:kern w:val="0"/>
                <w:szCs w:val="21"/>
              </w:rPr>
              <w:t>按照规定进行回填采坑</w:t>
            </w:r>
            <w:r>
              <w:rPr>
                <w:kern w:val="0"/>
                <w:szCs w:val="21"/>
              </w:rPr>
              <w:t>。泥饼回填至现有露天采坑。废矿物油暂存</w:t>
            </w:r>
            <w:r>
              <w:rPr>
                <w:szCs w:val="21"/>
              </w:rPr>
              <w:t>危废贮存点</w:t>
            </w:r>
            <w:r>
              <w:rPr>
                <w:kern w:val="0"/>
                <w:szCs w:val="21"/>
              </w:rPr>
              <w:t>内，定期委托有资质单位回收处置；生活垃圾集中收集后定期送至指定的垃圾堆放点。</w:t>
            </w:r>
          </w:p>
        </w:tc>
      </w:tr>
      <w:tr w14:paraId="29D75544">
        <w:tblPrEx>
          <w:tblBorders>
            <w:top w:val="single" w:color="auto" w:sz="12" w:space="0"/>
            <w:left w:val="none" w:color="auto" w:sz="0" w:space="0"/>
            <w:bottom w:val="single" w:color="auto" w:sz="12" w:space="0"/>
            <w:right w:val="none" w:color="auto" w:sz="0" w:space="0"/>
            <w:insideH w:val="single" w:color="000000" w:sz="4" w:space="0"/>
            <w:insideV w:val="single" w:color="000000" w:sz="4" w:space="0"/>
          </w:tblBorders>
          <w:tblCellMar>
            <w:top w:w="0" w:type="dxa"/>
            <w:left w:w="57" w:type="dxa"/>
            <w:bottom w:w="0" w:type="dxa"/>
            <w:right w:w="57" w:type="dxa"/>
          </w:tblCellMar>
        </w:tblPrEx>
        <w:trPr>
          <w:trHeight w:val="340" w:hRule="atLeast"/>
          <w:jc w:val="center"/>
        </w:trPr>
        <w:tc>
          <w:tcPr>
            <w:tcW w:w="362" w:type="pct"/>
            <w:tcBorders>
              <w:tl2br w:val="nil"/>
              <w:tr2bl w:val="nil"/>
            </w:tcBorders>
            <w:vAlign w:val="center"/>
          </w:tcPr>
          <w:p w14:paraId="12B8F252">
            <w:pPr>
              <w:widowControl/>
              <w:adjustRightInd w:val="0"/>
              <w:snapToGrid w:val="0"/>
              <w:spacing w:before="0" w:beforeLines="0" w:line="240" w:lineRule="auto"/>
              <w:jc w:val="center"/>
              <w:rPr>
                <w:kern w:val="0"/>
                <w:szCs w:val="21"/>
              </w:rPr>
            </w:pPr>
            <w:r>
              <w:rPr>
                <w:kern w:val="0"/>
                <w:szCs w:val="21"/>
              </w:rPr>
              <w:t>生态</w:t>
            </w:r>
          </w:p>
        </w:tc>
        <w:tc>
          <w:tcPr>
            <w:tcW w:w="2624" w:type="pct"/>
            <w:tcBorders>
              <w:tl2br w:val="nil"/>
              <w:tr2bl w:val="nil"/>
            </w:tcBorders>
            <w:vAlign w:val="center"/>
          </w:tcPr>
          <w:p w14:paraId="5C34E743">
            <w:pPr>
              <w:widowControl/>
              <w:adjustRightInd w:val="0"/>
              <w:snapToGrid w:val="0"/>
              <w:spacing w:before="0" w:beforeLines="0" w:line="240" w:lineRule="auto"/>
              <w:jc w:val="center"/>
              <w:rPr>
                <w:kern w:val="0"/>
                <w:szCs w:val="21"/>
              </w:rPr>
            </w:pPr>
            <w:r>
              <w:rPr>
                <w:kern w:val="0"/>
                <w:szCs w:val="21"/>
              </w:rPr>
              <w:t>项目建设施工用地严格限定在征地范围内，严禁超范围用地。</w:t>
            </w:r>
          </w:p>
        </w:tc>
        <w:tc>
          <w:tcPr>
            <w:tcW w:w="2014" w:type="pct"/>
            <w:tcBorders>
              <w:tl2br w:val="nil"/>
              <w:tr2bl w:val="nil"/>
            </w:tcBorders>
            <w:vAlign w:val="center"/>
          </w:tcPr>
          <w:p w14:paraId="7498ED5F">
            <w:pPr>
              <w:widowControl/>
              <w:adjustRightInd w:val="0"/>
              <w:snapToGrid w:val="0"/>
              <w:spacing w:before="0" w:beforeLines="0" w:line="240" w:lineRule="auto"/>
              <w:jc w:val="center"/>
              <w:rPr>
                <w:kern w:val="0"/>
                <w:szCs w:val="21"/>
              </w:rPr>
            </w:pPr>
            <w:r>
              <w:rPr>
                <w:kern w:val="0"/>
                <w:szCs w:val="21"/>
              </w:rPr>
              <w:t>依照生态保护措施要求在厂区内进行绿化。</w:t>
            </w:r>
          </w:p>
        </w:tc>
      </w:tr>
    </w:tbl>
    <w:p w14:paraId="44EEE001">
      <w:pPr>
        <w:pStyle w:val="5"/>
        <w:spacing w:before="156" w:after="156"/>
        <w:rPr>
          <w:color w:val="auto"/>
        </w:rPr>
      </w:pPr>
      <w:r>
        <w:rPr>
          <w:color w:val="auto"/>
        </w:rPr>
        <w:t>9.1.2企业环境信息公开</w:t>
      </w:r>
    </w:p>
    <w:p w14:paraId="1B145916">
      <w:pPr>
        <w:spacing w:before="78" w:line="360" w:lineRule="auto"/>
        <w:ind w:firstLine="480" w:firstLineChars="200"/>
        <w:rPr>
          <w:bCs/>
          <w:kern w:val="0"/>
          <w:sz w:val="24"/>
        </w:rPr>
      </w:pPr>
      <w:r>
        <w:rPr>
          <w:bCs/>
          <w:kern w:val="0"/>
          <w:sz w:val="24"/>
        </w:rPr>
        <w:t>按照《企业事业单位环境信息公开办法》（环保部令第31号）规定，企业事业单位应当按照强制公开和自愿公开相结合的原则，及时、如实地公开其环境信息。如环境信息涉及国家秘密、商业秘密或者个人隐私的，依法可以不公开；法律、法规另有规定的，从其规定。企业事业单位应当建立健全本单位环境信息公开制度，指定机构负责本单位环境信息公开日常工作。本项目应公开的环境信息见表9.1-2。</w:t>
      </w:r>
    </w:p>
    <w:p w14:paraId="76AA68D8">
      <w:pPr>
        <w:spacing w:before="78"/>
        <w:jc w:val="center"/>
        <w:rPr>
          <w:bCs/>
          <w:kern w:val="0"/>
          <w:sz w:val="24"/>
        </w:rPr>
      </w:pPr>
      <w:r>
        <w:rPr>
          <w:b/>
          <w:bCs/>
          <w:szCs w:val="21"/>
        </w:rPr>
        <w:t>表9.1-2  环境信息公开内容一览表</w:t>
      </w:r>
    </w:p>
    <w:tbl>
      <w:tblPr>
        <w:tblStyle w:val="89"/>
        <w:tblW w:w="5171" w:type="pct"/>
        <w:tblInd w:w="-284"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10"/>
        <w:gridCol w:w="708"/>
        <w:gridCol w:w="7178"/>
      </w:tblGrid>
      <w:tr w14:paraId="7BD14BD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10" w:type="dxa"/>
            <w:vAlign w:val="center"/>
          </w:tcPr>
          <w:p w14:paraId="02852E18">
            <w:pPr>
              <w:widowControl/>
              <w:spacing w:before="0" w:beforeLines="0" w:line="240" w:lineRule="auto"/>
              <w:jc w:val="center"/>
              <w:rPr>
                <w:kern w:val="0"/>
                <w:szCs w:val="21"/>
              </w:rPr>
            </w:pPr>
            <w:r>
              <w:rPr>
                <w:kern w:val="0"/>
                <w:szCs w:val="21"/>
              </w:rPr>
              <w:t>序号</w:t>
            </w:r>
          </w:p>
        </w:tc>
        <w:tc>
          <w:tcPr>
            <w:tcW w:w="708" w:type="dxa"/>
            <w:vAlign w:val="center"/>
          </w:tcPr>
          <w:p w14:paraId="4A45F981">
            <w:pPr>
              <w:widowControl/>
              <w:spacing w:before="0" w:beforeLines="0" w:line="240" w:lineRule="auto"/>
              <w:jc w:val="center"/>
              <w:rPr>
                <w:kern w:val="0"/>
                <w:szCs w:val="21"/>
              </w:rPr>
            </w:pPr>
            <w:r>
              <w:rPr>
                <w:kern w:val="0"/>
                <w:szCs w:val="21"/>
              </w:rPr>
              <w:t>标题</w:t>
            </w:r>
          </w:p>
        </w:tc>
        <w:tc>
          <w:tcPr>
            <w:tcW w:w="7178" w:type="dxa"/>
            <w:vAlign w:val="center"/>
          </w:tcPr>
          <w:p w14:paraId="798198D6">
            <w:pPr>
              <w:widowControl/>
              <w:spacing w:before="0" w:beforeLines="0" w:line="240" w:lineRule="auto"/>
              <w:jc w:val="center"/>
              <w:rPr>
                <w:kern w:val="0"/>
                <w:szCs w:val="21"/>
              </w:rPr>
            </w:pPr>
            <w:r>
              <w:rPr>
                <w:kern w:val="0"/>
                <w:szCs w:val="21"/>
              </w:rPr>
              <w:t>详细内容</w:t>
            </w:r>
          </w:p>
        </w:tc>
      </w:tr>
      <w:tr w14:paraId="425A869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10" w:type="dxa"/>
            <w:vAlign w:val="center"/>
          </w:tcPr>
          <w:p w14:paraId="2756775B">
            <w:pPr>
              <w:widowControl/>
              <w:spacing w:before="0" w:beforeLines="0" w:line="240" w:lineRule="auto"/>
              <w:jc w:val="center"/>
              <w:rPr>
                <w:kern w:val="0"/>
                <w:szCs w:val="21"/>
              </w:rPr>
            </w:pPr>
            <w:r>
              <w:rPr>
                <w:kern w:val="0"/>
                <w:szCs w:val="21"/>
              </w:rPr>
              <w:t>1</w:t>
            </w:r>
          </w:p>
        </w:tc>
        <w:tc>
          <w:tcPr>
            <w:tcW w:w="708" w:type="dxa"/>
            <w:vAlign w:val="center"/>
          </w:tcPr>
          <w:p w14:paraId="3B2D9D39">
            <w:pPr>
              <w:widowControl/>
              <w:spacing w:before="0" w:beforeLines="0" w:line="240" w:lineRule="auto"/>
              <w:jc w:val="center"/>
              <w:rPr>
                <w:kern w:val="0"/>
                <w:szCs w:val="21"/>
              </w:rPr>
            </w:pPr>
            <w:r>
              <w:rPr>
                <w:kern w:val="0"/>
                <w:szCs w:val="21"/>
              </w:rPr>
              <w:t>基础信息</w:t>
            </w:r>
          </w:p>
        </w:tc>
        <w:tc>
          <w:tcPr>
            <w:tcW w:w="7178" w:type="dxa"/>
            <w:vAlign w:val="center"/>
          </w:tcPr>
          <w:p w14:paraId="5FF57244">
            <w:pPr>
              <w:widowControl/>
              <w:spacing w:before="0" w:beforeLines="0" w:line="240" w:lineRule="auto"/>
              <w:jc w:val="left"/>
              <w:rPr>
                <w:iCs/>
                <w:kern w:val="0"/>
                <w:szCs w:val="21"/>
              </w:rPr>
            </w:pPr>
            <w:r>
              <w:rPr>
                <w:kern w:val="0"/>
                <w:szCs w:val="21"/>
              </w:rPr>
              <w:t>单位名称：阜新鸿泽废旧资源利用有限公司</w:t>
            </w:r>
          </w:p>
          <w:p w14:paraId="662D7D62">
            <w:pPr>
              <w:widowControl/>
              <w:spacing w:before="0" w:beforeLines="0" w:line="240" w:lineRule="auto"/>
              <w:jc w:val="left"/>
              <w:rPr>
                <w:kern w:val="0"/>
                <w:szCs w:val="21"/>
              </w:rPr>
            </w:pPr>
            <w:r>
              <w:rPr>
                <w:kern w:val="0"/>
                <w:szCs w:val="21"/>
              </w:rPr>
              <w:t>法定代表人：</w:t>
            </w:r>
            <w:r>
              <w:rPr>
                <w:rFonts w:hint="eastAsia"/>
                <w:kern w:val="0"/>
                <w:szCs w:val="21"/>
              </w:rPr>
              <w:t>卢亚冬</w:t>
            </w:r>
          </w:p>
          <w:p w14:paraId="7A2FFAE7">
            <w:pPr>
              <w:widowControl/>
              <w:spacing w:before="0" w:beforeLines="0" w:line="240" w:lineRule="auto"/>
              <w:jc w:val="left"/>
              <w:rPr>
                <w:kern w:val="0"/>
                <w:szCs w:val="21"/>
              </w:rPr>
            </w:pPr>
            <w:r>
              <w:rPr>
                <w:kern w:val="0"/>
                <w:szCs w:val="21"/>
              </w:rPr>
              <w:t>项目地址：阜新市阜蒙县旧庙镇</w:t>
            </w:r>
            <w:r>
              <w:rPr>
                <w:rFonts w:hint="eastAsia"/>
                <w:kern w:val="0"/>
                <w:szCs w:val="21"/>
              </w:rPr>
              <w:t>阿哈来村</w:t>
            </w:r>
          </w:p>
          <w:p w14:paraId="1DB97C1C">
            <w:pPr>
              <w:widowControl/>
              <w:spacing w:before="0" w:beforeLines="0" w:line="240" w:lineRule="auto"/>
              <w:jc w:val="left"/>
              <w:rPr>
                <w:iCs/>
                <w:kern w:val="0"/>
                <w:szCs w:val="21"/>
              </w:rPr>
            </w:pPr>
            <w:r>
              <w:rPr>
                <w:iCs/>
                <w:kern w:val="0"/>
                <w:szCs w:val="21"/>
              </w:rPr>
              <w:t>联系方式：联系人——刘先生</w:t>
            </w:r>
            <w:r>
              <w:rPr>
                <w:iCs/>
                <w:kern w:val="0"/>
                <w:szCs w:val="21"/>
                <w:lang w:val="zh-CN"/>
              </w:rPr>
              <w:t>，联系电话——15350988884</w:t>
            </w:r>
          </w:p>
          <w:p w14:paraId="6FDB1250">
            <w:pPr>
              <w:widowControl/>
              <w:spacing w:before="0" w:beforeLines="0" w:line="240" w:lineRule="auto"/>
              <w:jc w:val="left"/>
              <w:rPr>
                <w:kern w:val="0"/>
                <w:szCs w:val="21"/>
                <w:lang w:val="zh-CN"/>
              </w:rPr>
            </w:pPr>
            <w:r>
              <w:rPr>
                <w:kern w:val="0"/>
                <w:szCs w:val="21"/>
                <w:lang w:val="zh-CN"/>
              </w:rPr>
              <w:t>生产经营和管理服务的主要内容、产品及规模：本项目建设尾矿综合利用生产线，主要建设内容包括破碎车间、抛砂车间、球磨车间和其他附属设施，项目实施后年处理尾矿</w:t>
            </w:r>
            <w:r>
              <w:rPr>
                <w:rFonts w:hint="eastAsia"/>
                <w:kern w:val="0"/>
                <w:szCs w:val="21"/>
                <w:lang w:val="zh-CN"/>
              </w:rPr>
              <w:t>3</w:t>
            </w:r>
            <w:r>
              <w:rPr>
                <w:kern w:val="0"/>
                <w:szCs w:val="21"/>
                <w:lang w:val="zh-CN"/>
              </w:rPr>
              <w:t>00万吨</w:t>
            </w:r>
            <w:r>
              <w:rPr>
                <w:kern w:val="0"/>
                <w:szCs w:val="21"/>
              </w:rPr>
              <w:t>。</w:t>
            </w:r>
          </w:p>
        </w:tc>
      </w:tr>
      <w:tr w14:paraId="76E3C59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10" w:type="dxa"/>
            <w:vAlign w:val="center"/>
          </w:tcPr>
          <w:p w14:paraId="25EA2EB1">
            <w:pPr>
              <w:widowControl/>
              <w:spacing w:before="0" w:beforeLines="0" w:line="240" w:lineRule="auto"/>
              <w:jc w:val="center"/>
              <w:rPr>
                <w:kern w:val="0"/>
                <w:szCs w:val="21"/>
              </w:rPr>
            </w:pPr>
            <w:r>
              <w:rPr>
                <w:kern w:val="0"/>
                <w:szCs w:val="21"/>
              </w:rPr>
              <w:t>2</w:t>
            </w:r>
          </w:p>
        </w:tc>
        <w:tc>
          <w:tcPr>
            <w:tcW w:w="708" w:type="dxa"/>
            <w:vAlign w:val="center"/>
          </w:tcPr>
          <w:p w14:paraId="240DFBFE">
            <w:pPr>
              <w:widowControl/>
              <w:spacing w:before="0" w:beforeLines="0" w:line="240" w:lineRule="auto"/>
              <w:jc w:val="center"/>
              <w:rPr>
                <w:kern w:val="0"/>
                <w:szCs w:val="21"/>
              </w:rPr>
            </w:pPr>
            <w:r>
              <w:rPr>
                <w:kern w:val="0"/>
                <w:szCs w:val="21"/>
              </w:rPr>
              <w:t>排污信息</w:t>
            </w:r>
          </w:p>
        </w:tc>
        <w:tc>
          <w:tcPr>
            <w:tcW w:w="7178" w:type="dxa"/>
            <w:vAlign w:val="center"/>
          </w:tcPr>
          <w:p w14:paraId="478901E2">
            <w:pPr>
              <w:widowControl/>
              <w:spacing w:before="0" w:beforeLines="0" w:line="240" w:lineRule="auto"/>
              <w:jc w:val="left"/>
              <w:rPr>
                <w:kern w:val="0"/>
                <w:szCs w:val="21"/>
              </w:rPr>
            </w:pPr>
            <w:r>
              <w:rPr>
                <w:kern w:val="0"/>
                <w:szCs w:val="21"/>
              </w:rPr>
              <w:t>主要拟排放的污染物及特征污染物名称：</w:t>
            </w:r>
          </w:p>
          <w:p w14:paraId="6E1A274C">
            <w:pPr>
              <w:widowControl/>
              <w:spacing w:before="0" w:beforeLines="0" w:line="240" w:lineRule="auto"/>
              <w:jc w:val="left"/>
              <w:rPr>
                <w:kern w:val="0"/>
                <w:szCs w:val="21"/>
              </w:rPr>
            </w:pPr>
            <w:r>
              <w:rPr>
                <w:kern w:val="0"/>
                <w:szCs w:val="21"/>
              </w:rPr>
              <w:t>废气：项目排放的废气为筛分、破碎、磁选、</w:t>
            </w:r>
            <w:r>
              <w:rPr>
                <w:rFonts w:hint="eastAsia"/>
                <w:kern w:val="0"/>
                <w:szCs w:val="21"/>
              </w:rPr>
              <w:t>抛砂</w:t>
            </w:r>
            <w:r>
              <w:rPr>
                <w:kern w:val="0"/>
                <w:szCs w:val="21"/>
              </w:rPr>
              <w:t>分离等工艺产生的颗粒物，装卸及转运产生的粉尘、道路运输扬尘。</w:t>
            </w:r>
          </w:p>
          <w:p w14:paraId="7C627389">
            <w:pPr>
              <w:widowControl/>
              <w:spacing w:before="0" w:beforeLines="0" w:line="240" w:lineRule="auto"/>
              <w:jc w:val="left"/>
              <w:rPr>
                <w:kern w:val="0"/>
                <w:szCs w:val="21"/>
              </w:rPr>
            </w:pPr>
            <w:r>
              <w:rPr>
                <w:kern w:val="0"/>
                <w:szCs w:val="21"/>
              </w:rPr>
              <w:t>废水：主要为生活污水、选矿废水</w:t>
            </w:r>
            <w:r>
              <w:rPr>
                <w:rFonts w:hint="eastAsia"/>
                <w:kern w:val="0"/>
                <w:szCs w:val="21"/>
              </w:rPr>
              <w:t>等</w:t>
            </w:r>
            <w:r>
              <w:rPr>
                <w:kern w:val="0"/>
                <w:szCs w:val="21"/>
              </w:rPr>
              <w:t>。</w:t>
            </w:r>
          </w:p>
          <w:p w14:paraId="67F74262">
            <w:pPr>
              <w:widowControl/>
              <w:spacing w:before="0" w:beforeLines="0" w:line="240" w:lineRule="auto"/>
              <w:jc w:val="left"/>
              <w:rPr>
                <w:kern w:val="0"/>
                <w:szCs w:val="21"/>
              </w:rPr>
            </w:pPr>
            <w:r>
              <w:rPr>
                <w:kern w:val="0"/>
                <w:szCs w:val="21"/>
              </w:rPr>
              <w:t>噪声：生产设备(筛分机、破碎机、磁选机、风机、脱水机、泵类)噪声及运输车辆噪声。</w:t>
            </w:r>
          </w:p>
          <w:p w14:paraId="13BA8DEF">
            <w:pPr>
              <w:widowControl/>
              <w:spacing w:before="0" w:beforeLines="0" w:line="240" w:lineRule="auto"/>
              <w:jc w:val="left"/>
              <w:rPr>
                <w:kern w:val="0"/>
                <w:szCs w:val="21"/>
              </w:rPr>
            </w:pPr>
            <w:r>
              <w:rPr>
                <w:kern w:val="0"/>
                <w:szCs w:val="21"/>
              </w:rPr>
              <w:t>固废：主要为除尘灰及落地灰、泥饼、废矿物油、废油桶及员工生活垃圾。</w:t>
            </w:r>
          </w:p>
        </w:tc>
      </w:tr>
      <w:tr w14:paraId="31BBB51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10" w:type="dxa"/>
            <w:vAlign w:val="center"/>
          </w:tcPr>
          <w:p w14:paraId="1B21164B">
            <w:pPr>
              <w:widowControl/>
              <w:spacing w:before="0" w:beforeLines="0" w:line="240" w:lineRule="auto"/>
              <w:jc w:val="center"/>
              <w:rPr>
                <w:kern w:val="0"/>
                <w:szCs w:val="21"/>
              </w:rPr>
            </w:pPr>
            <w:r>
              <w:rPr>
                <w:kern w:val="0"/>
                <w:szCs w:val="21"/>
              </w:rPr>
              <w:t>3</w:t>
            </w:r>
          </w:p>
        </w:tc>
        <w:tc>
          <w:tcPr>
            <w:tcW w:w="708" w:type="dxa"/>
            <w:vAlign w:val="center"/>
          </w:tcPr>
          <w:p w14:paraId="5F60F145">
            <w:pPr>
              <w:widowControl/>
              <w:spacing w:before="0" w:beforeLines="0" w:line="240" w:lineRule="auto"/>
              <w:jc w:val="center"/>
              <w:rPr>
                <w:kern w:val="0"/>
                <w:szCs w:val="21"/>
              </w:rPr>
            </w:pPr>
            <w:r>
              <w:rPr>
                <w:kern w:val="0"/>
                <w:szCs w:val="21"/>
              </w:rPr>
              <w:t>防治污染设施</w:t>
            </w:r>
          </w:p>
        </w:tc>
        <w:tc>
          <w:tcPr>
            <w:tcW w:w="7178" w:type="dxa"/>
            <w:vAlign w:val="center"/>
          </w:tcPr>
          <w:p w14:paraId="2514BC7C">
            <w:pPr>
              <w:widowControl/>
              <w:spacing w:before="0" w:beforeLines="0" w:line="240" w:lineRule="auto"/>
              <w:jc w:val="left"/>
              <w:rPr>
                <w:kern w:val="0"/>
                <w:szCs w:val="21"/>
              </w:rPr>
            </w:pPr>
            <w:r>
              <w:rPr>
                <w:kern w:val="0"/>
                <w:szCs w:val="21"/>
              </w:rPr>
              <w:t>废气污染治理措施：袋式除尘、</w:t>
            </w:r>
            <w:r>
              <w:rPr>
                <w:szCs w:val="21"/>
              </w:rPr>
              <w:t>车间洒水、</w:t>
            </w:r>
            <w:r>
              <w:rPr>
                <w:rFonts w:hint="eastAsia"/>
                <w:kern w:val="0"/>
                <w:szCs w:val="21"/>
              </w:rPr>
              <w:t>地面硬化、车间、皮带封闭</w:t>
            </w:r>
            <w:r>
              <w:rPr>
                <w:kern w:val="0"/>
                <w:szCs w:val="21"/>
              </w:rPr>
              <w:t>。</w:t>
            </w:r>
          </w:p>
          <w:p w14:paraId="278FA169">
            <w:pPr>
              <w:widowControl/>
              <w:spacing w:before="0" w:beforeLines="0" w:line="240" w:lineRule="auto"/>
              <w:jc w:val="left"/>
              <w:rPr>
                <w:kern w:val="0"/>
                <w:szCs w:val="21"/>
              </w:rPr>
            </w:pPr>
            <w:r>
              <w:rPr>
                <w:kern w:val="0"/>
                <w:szCs w:val="21"/>
              </w:rPr>
              <w:t>废水污染治理措施：生活污水排入防渗化粪池，定期清掏；脱水机产生的废水进入本项目循环水池，回用于选矿；泥浆及地面清洗废水</w:t>
            </w:r>
            <w:r>
              <w:rPr>
                <w:rFonts w:hint="eastAsia"/>
                <w:kern w:val="0"/>
                <w:szCs w:val="21"/>
              </w:rPr>
              <w:t>排入</w:t>
            </w:r>
            <w:r>
              <w:rPr>
                <w:kern w:val="0"/>
                <w:szCs w:val="21"/>
              </w:rPr>
              <w:t>项目浓缩罐及板框压滤机处理后产生的废水排入循环水池，回用于选矿，不外排</w:t>
            </w:r>
            <w:r>
              <w:rPr>
                <w:szCs w:val="21"/>
              </w:rPr>
              <w:t>。</w:t>
            </w:r>
          </w:p>
          <w:p w14:paraId="4C30141B">
            <w:pPr>
              <w:widowControl/>
              <w:spacing w:before="0" w:beforeLines="0" w:line="240" w:lineRule="auto"/>
              <w:jc w:val="left"/>
              <w:rPr>
                <w:kern w:val="0"/>
                <w:szCs w:val="21"/>
              </w:rPr>
            </w:pPr>
            <w:r>
              <w:rPr>
                <w:kern w:val="0"/>
                <w:szCs w:val="21"/>
              </w:rPr>
              <w:t>噪声治理措施：首选低噪声设备，破碎机、磁选机、筛分机、抛砂分离机等设置在厂房内部，泵类安装减振底座，控制运输车辆车速及运载量。</w:t>
            </w:r>
          </w:p>
          <w:p w14:paraId="6B803D47">
            <w:pPr>
              <w:widowControl/>
              <w:spacing w:before="0" w:beforeLines="0" w:line="240" w:lineRule="auto"/>
              <w:jc w:val="left"/>
              <w:rPr>
                <w:kern w:val="0"/>
                <w:szCs w:val="21"/>
              </w:rPr>
            </w:pPr>
            <w:r>
              <w:rPr>
                <w:kern w:val="0"/>
                <w:szCs w:val="21"/>
              </w:rPr>
              <w:t>固体废物治理措施：泥饼</w:t>
            </w:r>
            <w:r>
              <w:rPr>
                <w:rFonts w:hint="eastAsia"/>
                <w:kern w:val="0"/>
                <w:szCs w:val="21"/>
              </w:rPr>
              <w:t>、除尘灰</w:t>
            </w:r>
            <w:r>
              <w:rPr>
                <w:kern w:val="0"/>
                <w:szCs w:val="21"/>
              </w:rPr>
              <w:t>回填至现有露天采坑；危险废物暂存于</w:t>
            </w:r>
            <w:r>
              <w:rPr>
                <w:rFonts w:hint="eastAsia"/>
                <w:kern w:val="0"/>
                <w:szCs w:val="21"/>
              </w:rPr>
              <w:t>危废贮存点</w:t>
            </w:r>
            <w:r>
              <w:rPr>
                <w:kern w:val="0"/>
                <w:szCs w:val="21"/>
              </w:rPr>
              <w:t>，定期送至有资质单位进行处理；生活垃圾运至指定地点，环卫部门统一清运处理。</w:t>
            </w:r>
          </w:p>
        </w:tc>
      </w:tr>
    </w:tbl>
    <w:p w14:paraId="091F2D91">
      <w:pPr>
        <w:spacing w:before="78" w:line="360" w:lineRule="auto"/>
        <w:ind w:firstLine="480" w:firstLineChars="200"/>
        <w:rPr>
          <w:bCs/>
          <w:kern w:val="0"/>
          <w:sz w:val="24"/>
        </w:rPr>
      </w:pPr>
      <w:r>
        <w:rPr>
          <w:bCs/>
          <w:kern w:val="0"/>
          <w:sz w:val="24"/>
        </w:rPr>
        <w:t>排污单位应当在环境保护主管部门公布排污单位名录后九十日内公开环境信息；环境信息有新生成或者发生变更情形的，重点排污单位应当自环境信息生成或者变更之日起三十日内予以公开。</w:t>
      </w:r>
      <w:r>
        <w:rPr>
          <w:rFonts w:hint="eastAsia"/>
          <w:bCs/>
          <w:kern w:val="0"/>
          <w:sz w:val="24"/>
          <w:lang w:eastAsia="zh-CN"/>
        </w:rPr>
        <w:t>法律法规</w:t>
      </w:r>
      <w:r>
        <w:rPr>
          <w:bCs/>
          <w:kern w:val="0"/>
          <w:sz w:val="24"/>
        </w:rPr>
        <w:t>另有规定的，从其规定。</w:t>
      </w:r>
    </w:p>
    <w:p w14:paraId="0C23D0F8">
      <w:pPr>
        <w:pStyle w:val="5"/>
        <w:spacing w:before="156" w:after="156"/>
        <w:rPr>
          <w:color w:val="auto"/>
        </w:rPr>
      </w:pPr>
      <w:r>
        <w:rPr>
          <w:color w:val="auto"/>
        </w:rPr>
        <w:t>9.1.3环境管理体系</w:t>
      </w:r>
    </w:p>
    <w:p w14:paraId="551483E6">
      <w:pPr>
        <w:adjustRightInd w:val="0"/>
        <w:snapToGrid w:val="0"/>
        <w:spacing w:before="0" w:beforeLines="0" w:line="360" w:lineRule="auto"/>
        <w:ind w:firstLine="480" w:firstLineChars="200"/>
        <w:jc w:val="left"/>
        <w:rPr>
          <w:bCs/>
          <w:sz w:val="24"/>
        </w:rPr>
      </w:pPr>
      <w:r>
        <w:rPr>
          <w:bCs/>
          <w:sz w:val="24"/>
        </w:rPr>
        <w:t>本项目的环境管理机构为生产管理与环保管理混编的机构，由生产技术室负责，设2名人员负责全厂的环境管理工作，</w:t>
      </w:r>
      <w:r>
        <w:rPr>
          <w:sz w:val="24"/>
        </w:rPr>
        <w:t>下辖安全环保部，由主任、副主任及安全员、环保员组成。</w:t>
      </w:r>
      <w:r>
        <w:rPr>
          <w:bCs/>
          <w:sz w:val="24"/>
        </w:rPr>
        <w:t>其任务是组织、落实和监督本单位的环境保护工作，以满足《建设项目环境保护设计规定》及工程的环境管理要求，同时阜新市生态环境局负责检查监督其环保工作执行情况。</w:t>
      </w:r>
    </w:p>
    <w:p w14:paraId="0F14E52D">
      <w:pPr>
        <w:tabs>
          <w:tab w:val="left" w:pos="360"/>
        </w:tabs>
        <w:adjustRightInd w:val="0"/>
        <w:snapToGrid w:val="0"/>
        <w:spacing w:before="0" w:beforeLines="0" w:line="360" w:lineRule="auto"/>
        <w:ind w:firstLine="480" w:firstLineChars="200"/>
        <w:jc w:val="left"/>
        <w:rPr>
          <w:sz w:val="24"/>
        </w:rPr>
      </w:pPr>
      <w:r>
        <w:rPr>
          <w:sz w:val="24"/>
        </w:rPr>
        <w:t>公司环保职责：</w:t>
      </w:r>
    </w:p>
    <w:p w14:paraId="2FA8A1ED">
      <w:pPr>
        <w:pStyle w:val="226"/>
        <w:adjustRightInd w:val="0"/>
        <w:snapToGrid w:val="0"/>
        <w:spacing w:before="0" w:beforeLines="0" w:line="360" w:lineRule="auto"/>
        <w:ind w:firstLine="480"/>
        <w:jc w:val="left"/>
        <w:rPr>
          <w:rFonts w:ascii="Times New Roman" w:hAnsi="Times New Roman"/>
        </w:rPr>
      </w:pPr>
      <w:r>
        <w:rPr>
          <w:rFonts w:hint="eastAsia" w:ascii="Times New Roman" w:hAnsi="Times New Roman"/>
        </w:rPr>
        <w:t>（1）</w:t>
      </w:r>
      <w:r>
        <w:rPr>
          <w:rFonts w:ascii="Times New Roman" w:hAnsi="Times New Roman"/>
        </w:rPr>
        <w:t>贯彻执行各项环境保护政策、法规及标准；</w:t>
      </w:r>
    </w:p>
    <w:p w14:paraId="7358CBE0">
      <w:pPr>
        <w:pStyle w:val="226"/>
        <w:adjustRightInd w:val="0"/>
        <w:snapToGrid w:val="0"/>
        <w:spacing w:before="0" w:beforeLines="0" w:line="360" w:lineRule="auto"/>
        <w:ind w:firstLine="480"/>
        <w:jc w:val="left"/>
        <w:rPr>
          <w:rFonts w:ascii="Times New Roman" w:hAnsi="Times New Roman"/>
        </w:rPr>
      </w:pPr>
      <w:r>
        <w:rPr>
          <w:rFonts w:hint="eastAsia" w:ascii="Times New Roman" w:hAnsi="Times New Roman"/>
        </w:rPr>
        <w:t>（2）</w:t>
      </w:r>
      <w:r>
        <w:rPr>
          <w:rFonts w:ascii="Times New Roman" w:hAnsi="Times New Roman"/>
        </w:rPr>
        <w:t>建立健全企业的环境管理制度，并实施检查和监督；</w:t>
      </w:r>
    </w:p>
    <w:p w14:paraId="309234DB">
      <w:pPr>
        <w:pStyle w:val="226"/>
        <w:adjustRightInd w:val="0"/>
        <w:snapToGrid w:val="0"/>
        <w:spacing w:before="0" w:beforeLines="0" w:line="360" w:lineRule="auto"/>
        <w:ind w:firstLine="480"/>
        <w:jc w:val="left"/>
        <w:rPr>
          <w:rFonts w:ascii="Times New Roman" w:hAnsi="Times New Roman"/>
        </w:rPr>
      </w:pPr>
      <w:r>
        <w:rPr>
          <w:rFonts w:hint="eastAsia" w:ascii="Times New Roman" w:hAnsi="Times New Roman"/>
        </w:rPr>
        <w:t>（3）</w:t>
      </w:r>
      <w:r>
        <w:rPr>
          <w:rFonts w:hint="eastAsia" w:ascii="Times New Roman" w:hAnsi="Times New Roman"/>
          <w:lang w:eastAsia="zh-CN"/>
        </w:rPr>
        <w:t>拟订</w:t>
      </w:r>
      <w:r>
        <w:rPr>
          <w:rFonts w:ascii="Times New Roman" w:hAnsi="Times New Roman"/>
        </w:rPr>
        <w:t>企业的环保工作计划，配合企业领导完成环境保护责任目标；</w:t>
      </w:r>
    </w:p>
    <w:p w14:paraId="74027F5C">
      <w:pPr>
        <w:pStyle w:val="226"/>
        <w:adjustRightInd w:val="0"/>
        <w:snapToGrid w:val="0"/>
        <w:spacing w:before="0" w:beforeLines="0" w:line="360" w:lineRule="auto"/>
        <w:ind w:firstLine="480"/>
        <w:jc w:val="left"/>
        <w:rPr>
          <w:rFonts w:ascii="Times New Roman" w:hAnsi="Times New Roman"/>
        </w:rPr>
      </w:pPr>
      <w:r>
        <w:rPr>
          <w:rFonts w:hint="eastAsia" w:ascii="Times New Roman" w:hAnsi="Times New Roman"/>
        </w:rPr>
        <w:t>（4）</w:t>
      </w:r>
      <w:r>
        <w:rPr>
          <w:rFonts w:ascii="Times New Roman" w:hAnsi="Times New Roman"/>
        </w:rPr>
        <w:t>领导并组织企业环境监测工作，检查环境保护设施运行状况，建立监控档案；</w:t>
      </w:r>
    </w:p>
    <w:p w14:paraId="1EDCE968">
      <w:pPr>
        <w:pStyle w:val="226"/>
        <w:adjustRightInd w:val="0"/>
        <w:snapToGrid w:val="0"/>
        <w:spacing w:before="0" w:beforeLines="0" w:line="360" w:lineRule="auto"/>
        <w:ind w:firstLine="480"/>
        <w:jc w:val="left"/>
        <w:rPr>
          <w:rFonts w:ascii="Times New Roman" w:hAnsi="Times New Roman"/>
        </w:rPr>
      </w:pPr>
      <w:r>
        <w:rPr>
          <w:rFonts w:hint="eastAsia" w:ascii="Times New Roman" w:hAnsi="Times New Roman"/>
        </w:rPr>
        <w:t>（5）</w:t>
      </w:r>
      <w:r>
        <w:rPr>
          <w:rFonts w:ascii="Times New Roman" w:hAnsi="Times New Roman"/>
        </w:rPr>
        <w:t>协调企业所在区域内环境管理；</w:t>
      </w:r>
    </w:p>
    <w:p w14:paraId="1BF2ED5C">
      <w:pPr>
        <w:pStyle w:val="226"/>
        <w:adjustRightInd w:val="0"/>
        <w:snapToGrid w:val="0"/>
        <w:spacing w:before="0" w:beforeLines="0" w:line="360" w:lineRule="auto"/>
        <w:ind w:firstLine="480"/>
        <w:jc w:val="left"/>
        <w:rPr>
          <w:rFonts w:ascii="Times New Roman" w:hAnsi="Times New Roman"/>
        </w:rPr>
      </w:pPr>
      <w:r>
        <w:rPr>
          <w:rFonts w:hint="eastAsia" w:ascii="Times New Roman" w:hAnsi="Times New Roman"/>
        </w:rPr>
        <w:t>（6）</w:t>
      </w:r>
      <w:r>
        <w:rPr>
          <w:rFonts w:ascii="Times New Roman" w:hAnsi="Times New Roman"/>
        </w:rPr>
        <w:t>开展环保教育和专业培训，提高企业员工的环保素质；</w:t>
      </w:r>
    </w:p>
    <w:p w14:paraId="5188AD33">
      <w:pPr>
        <w:pStyle w:val="226"/>
        <w:adjustRightInd w:val="0"/>
        <w:snapToGrid w:val="0"/>
        <w:spacing w:before="0" w:beforeLines="0" w:line="360" w:lineRule="auto"/>
        <w:ind w:firstLine="480"/>
        <w:jc w:val="left"/>
        <w:rPr>
          <w:rFonts w:ascii="Times New Roman" w:hAnsi="Times New Roman"/>
        </w:rPr>
      </w:pPr>
      <w:r>
        <w:rPr>
          <w:rFonts w:hint="eastAsia" w:ascii="Times New Roman" w:hAnsi="Times New Roman"/>
        </w:rPr>
        <w:t>（7）</w:t>
      </w:r>
      <w:r>
        <w:rPr>
          <w:rFonts w:ascii="Times New Roman" w:hAnsi="Times New Roman"/>
        </w:rPr>
        <w:t>组织开展环保研究和学术交流，推广并应用先进环保技术；</w:t>
      </w:r>
    </w:p>
    <w:p w14:paraId="03696203">
      <w:pPr>
        <w:pStyle w:val="184"/>
        <w:adjustRightInd w:val="0"/>
        <w:snapToGrid w:val="0"/>
        <w:ind w:firstLine="480"/>
        <w:jc w:val="left"/>
        <w:rPr>
          <w:rFonts w:ascii="Times New Roman" w:hAnsi="Times New Roman"/>
        </w:rPr>
      </w:pPr>
      <w:r>
        <w:rPr>
          <w:rFonts w:hint="eastAsia" w:ascii="Times New Roman" w:hAnsi="Times New Roman"/>
        </w:rPr>
        <w:t>（8）</w:t>
      </w:r>
      <w:r>
        <w:rPr>
          <w:rFonts w:ascii="Times New Roman" w:hAnsi="Times New Roman"/>
        </w:rPr>
        <w:t>负责厂区绿化和日常环境保护管理工作。</w:t>
      </w:r>
      <w:bookmarkEnd w:id="620"/>
    </w:p>
    <w:p w14:paraId="7CE1B074">
      <w:pPr>
        <w:pStyle w:val="184"/>
        <w:adjustRightInd w:val="0"/>
        <w:snapToGrid w:val="0"/>
        <w:ind w:firstLine="480"/>
        <w:jc w:val="left"/>
        <w:rPr>
          <w:rFonts w:ascii="Times New Roman" w:hAnsi="Times New Roman"/>
        </w:rPr>
      </w:pPr>
      <w:r>
        <w:rPr>
          <w:rFonts w:hint="eastAsia" w:ascii="Times New Roman" w:hAnsi="Times New Roman"/>
        </w:rPr>
        <w:t>（9）建立地下水环境监测管理体系：</w:t>
      </w:r>
      <w:r>
        <w:rPr>
          <w:rFonts w:hint="eastAsia"/>
        </w:rPr>
        <w:t>包括制定地下水环境影响跟踪监测计划、建立地下水环境影响跟踪监测制度、配备相应的监测人员、配置先进的监测仪器和设备、建立完善地下水监测制度。按照浅层地下水监测为主、装置区上下游同步对比监测、抽水井与监测井兼顾和重点防渗区加密监测的原则进行监测。</w:t>
      </w:r>
    </w:p>
    <w:p w14:paraId="793B4826">
      <w:pPr>
        <w:pStyle w:val="4"/>
        <w:rPr>
          <w:rFonts w:ascii="Times New Roman" w:hAnsi="Times New Roman" w:eastAsia="宋体"/>
          <w:color w:val="auto"/>
        </w:rPr>
      </w:pPr>
      <w:bookmarkStart w:id="621" w:name="_Toc45531577"/>
      <w:bookmarkStart w:id="622" w:name="_Toc239274300"/>
      <w:r>
        <w:rPr>
          <w:rFonts w:ascii="Times New Roman" w:hAnsi="Times New Roman" w:eastAsia="宋体"/>
          <w:color w:val="auto"/>
        </w:rPr>
        <w:t>9.2环境监测</w:t>
      </w:r>
      <w:bookmarkEnd w:id="621"/>
      <w:bookmarkEnd w:id="622"/>
    </w:p>
    <w:p w14:paraId="724BDD4D">
      <w:pPr>
        <w:pStyle w:val="5"/>
        <w:spacing w:before="156" w:after="156"/>
        <w:rPr>
          <w:color w:val="auto"/>
        </w:rPr>
      </w:pPr>
      <w:r>
        <w:rPr>
          <w:color w:val="auto"/>
        </w:rPr>
        <w:t>9.2.1监测计划</w:t>
      </w:r>
    </w:p>
    <w:p w14:paraId="6375CAC8">
      <w:pPr>
        <w:pStyle w:val="190"/>
        <w:snapToGrid w:val="0"/>
        <w:ind w:firstLine="480"/>
      </w:pPr>
      <w:r>
        <w:t xml:space="preserve">污染源监测和其它环境监测工作委托具有相关监测资质的第三方单位进行。 </w:t>
      </w:r>
    </w:p>
    <w:p w14:paraId="38F14594">
      <w:pPr>
        <w:pStyle w:val="190"/>
        <w:snapToGrid w:val="0"/>
        <w:ind w:firstLine="480"/>
      </w:pPr>
      <w:r>
        <w:t>本工程不设专门的环境监测机构，由生产部专设2名人员负责环境管理监测工作，组织完成日常环境监测任务。</w:t>
      </w:r>
    </w:p>
    <w:p w14:paraId="1B072053">
      <w:pPr>
        <w:pStyle w:val="190"/>
        <w:snapToGrid w:val="0"/>
        <w:ind w:firstLine="480"/>
      </w:pPr>
      <w:r>
        <w:t>监测分析数据按国家规定进行数据处理，并整理为定期的报表。</w:t>
      </w:r>
    </w:p>
    <w:p w14:paraId="7B6FD6A8">
      <w:pPr>
        <w:pStyle w:val="190"/>
        <w:snapToGrid w:val="0"/>
        <w:ind w:firstLine="480"/>
      </w:pPr>
      <w:r>
        <w:t>建议做好如下几个方面的工作：</w:t>
      </w:r>
    </w:p>
    <w:p w14:paraId="0C8AE851">
      <w:pPr>
        <w:pStyle w:val="190"/>
        <w:snapToGrid w:val="0"/>
        <w:ind w:firstLine="480"/>
      </w:pPr>
      <w:r>
        <w:t>a）根据国家和地方环境标准，结合本工程的污染源和周围敏感点的环境质量开展日常例行的监测工作。</w:t>
      </w:r>
    </w:p>
    <w:p w14:paraId="47FF1383">
      <w:pPr>
        <w:pStyle w:val="190"/>
        <w:snapToGrid w:val="0"/>
        <w:ind w:firstLine="480"/>
      </w:pPr>
      <w:r>
        <w:t>b）对本工程的污染源和环境质量进行调查和分析，掌握主要污染因子的排放规律和厂周围环境质量现状，按规定编制报表，报各有关部门。</w:t>
      </w:r>
    </w:p>
    <w:p w14:paraId="1F9C6940">
      <w:pPr>
        <w:pStyle w:val="190"/>
        <w:snapToGrid w:val="0"/>
        <w:ind w:firstLine="480"/>
      </w:pPr>
      <w:r>
        <w:t>根据工程排污特点及实际情况，需建立建全各项监测制度并保证其实施。监测分析方法按照现行国家、部颁布的标准和有关规定执行。确定企业监测计划建议见表9.2-1。</w:t>
      </w:r>
    </w:p>
    <w:p w14:paraId="4E7E7BDD">
      <w:pPr>
        <w:pStyle w:val="143"/>
        <w:spacing w:before="0" w:beforeLines="0"/>
        <w:rPr>
          <w:b/>
        </w:rPr>
      </w:pPr>
      <w:r>
        <w:rPr>
          <w:b/>
        </w:rPr>
        <w:t>表9.2-1   污染源监测计划</w:t>
      </w:r>
    </w:p>
    <w:tbl>
      <w:tblPr>
        <w:tblStyle w:val="89"/>
        <w:tblW w:w="5000" w:type="pct"/>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0" w:type="dxa"/>
          <w:bottom w:w="0" w:type="dxa"/>
          <w:right w:w="0" w:type="dxa"/>
        </w:tblCellMar>
      </w:tblPr>
      <w:tblGrid>
        <w:gridCol w:w="567"/>
        <w:gridCol w:w="2694"/>
        <w:gridCol w:w="3543"/>
        <w:gridCol w:w="1508"/>
      </w:tblGrid>
      <w:tr w14:paraId="5D98530B">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67" w:type="dxa"/>
            <w:vAlign w:val="center"/>
          </w:tcPr>
          <w:p w14:paraId="6562AF4A">
            <w:pPr>
              <w:adjustRightInd w:val="0"/>
              <w:snapToGrid w:val="0"/>
              <w:spacing w:before="0" w:beforeLines="0" w:line="240" w:lineRule="auto"/>
              <w:jc w:val="center"/>
              <w:rPr>
                <w:szCs w:val="21"/>
              </w:rPr>
            </w:pPr>
            <w:r>
              <w:rPr>
                <w:szCs w:val="21"/>
              </w:rPr>
              <w:t>环境要素</w:t>
            </w:r>
          </w:p>
        </w:tc>
        <w:tc>
          <w:tcPr>
            <w:tcW w:w="2694" w:type="dxa"/>
            <w:vAlign w:val="center"/>
          </w:tcPr>
          <w:p w14:paraId="15EB9A34">
            <w:pPr>
              <w:adjustRightInd w:val="0"/>
              <w:snapToGrid w:val="0"/>
              <w:spacing w:before="0" w:beforeLines="0" w:line="240" w:lineRule="auto"/>
              <w:jc w:val="center"/>
              <w:rPr>
                <w:szCs w:val="21"/>
              </w:rPr>
            </w:pPr>
            <w:r>
              <w:rPr>
                <w:szCs w:val="21"/>
              </w:rPr>
              <w:t>监测点位</w:t>
            </w:r>
          </w:p>
        </w:tc>
        <w:tc>
          <w:tcPr>
            <w:tcW w:w="3543" w:type="dxa"/>
            <w:vAlign w:val="center"/>
          </w:tcPr>
          <w:p w14:paraId="0A877B16">
            <w:pPr>
              <w:adjustRightInd w:val="0"/>
              <w:snapToGrid w:val="0"/>
              <w:spacing w:before="0" w:beforeLines="0" w:line="240" w:lineRule="auto"/>
              <w:jc w:val="center"/>
              <w:rPr>
                <w:szCs w:val="21"/>
              </w:rPr>
            </w:pPr>
            <w:r>
              <w:rPr>
                <w:szCs w:val="21"/>
              </w:rPr>
              <w:t>监测项目</w:t>
            </w:r>
          </w:p>
        </w:tc>
        <w:tc>
          <w:tcPr>
            <w:tcW w:w="1508" w:type="dxa"/>
            <w:vAlign w:val="center"/>
          </w:tcPr>
          <w:p w14:paraId="0A89A555">
            <w:pPr>
              <w:adjustRightInd w:val="0"/>
              <w:snapToGrid w:val="0"/>
              <w:spacing w:before="0" w:beforeLines="0" w:line="240" w:lineRule="auto"/>
              <w:jc w:val="center"/>
              <w:rPr>
                <w:szCs w:val="21"/>
              </w:rPr>
            </w:pPr>
            <w:r>
              <w:rPr>
                <w:szCs w:val="21"/>
              </w:rPr>
              <w:t>监测频次</w:t>
            </w:r>
          </w:p>
        </w:tc>
      </w:tr>
      <w:tr w14:paraId="2D7DDEF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67" w:type="dxa"/>
            <w:vMerge w:val="restart"/>
            <w:vAlign w:val="center"/>
          </w:tcPr>
          <w:p w14:paraId="37B6AA6F">
            <w:pPr>
              <w:adjustRightInd w:val="0"/>
              <w:snapToGrid w:val="0"/>
              <w:spacing w:before="0" w:beforeLines="0" w:line="240" w:lineRule="auto"/>
              <w:jc w:val="center"/>
              <w:rPr>
                <w:szCs w:val="21"/>
              </w:rPr>
            </w:pPr>
            <w:r>
              <w:rPr>
                <w:szCs w:val="21"/>
              </w:rPr>
              <w:t>废气</w:t>
            </w:r>
          </w:p>
        </w:tc>
        <w:tc>
          <w:tcPr>
            <w:tcW w:w="2694" w:type="dxa"/>
            <w:vAlign w:val="center"/>
          </w:tcPr>
          <w:p w14:paraId="75B52B34">
            <w:pPr>
              <w:adjustRightInd w:val="0"/>
              <w:snapToGrid w:val="0"/>
              <w:spacing w:before="0" w:beforeLines="0" w:line="240" w:lineRule="auto"/>
              <w:jc w:val="center"/>
              <w:rPr>
                <w:szCs w:val="21"/>
              </w:rPr>
            </w:pPr>
            <w:r>
              <w:rPr>
                <w:szCs w:val="21"/>
              </w:rPr>
              <w:t>各除尘器排气筒出口</w:t>
            </w:r>
          </w:p>
        </w:tc>
        <w:tc>
          <w:tcPr>
            <w:tcW w:w="3543" w:type="dxa"/>
            <w:vAlign w:val="center"/>
          </w:tcPr>
          <w:p w14:paraId="424763A6">
            <w:pPr>
              <w:adjustRightInd w:val="0"/>
              <w:snapToGrid w:val="0"/>
              <w:spacing w:before="0" w:beforeLines="0" w:line="240" w:lineRule="auto"/>
              <w:jc w:val="center"/>
              <w:rPr>
                <w:szCs w:val="21"/>
              </w:rPr>
            </w:pPr>
            <w:r>
              <w:rPr>
                <w:szCs w:val="21"/>
              </w:rPr>
              <w:t>颗粒物</w:t>
            </w:r>
          </w:p>
        </w:tc>
        <w:tc>
          <w:tcPr>
            <w:tcW w:w="1508" w:type="dxa"/>
            <w:vAlign w:val="center"/>
          </w:tcPr>
          <w:p w14:paraId="47C6B796">
            <w:pPr>
              <w:adjustRightInd w:val="0"/>
              <w:snapToGrid w:val="0"/>
              <w:spacing w:before="0" w:beforeLines="0" w:line="240" w:lineRule="auto"/>
              <w:jc w:val="center"/>
              <w:rPr>
                <w:szCs w:val="21"/>
              </w:rPr>
            </w:pPr>
            <w:r>
              <w:rPr>
                <w:szCs w:val="21"/>
              </w:rPr>
              <w:t>每年监测1次</w:t>
            </w:r>
          </w:p>
        </w:tc>
      </w:tr>
      <w:tr w14:paraId="7B59F22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67" w:type="dxa"/>
            <w:vMerge w:val="continue"/>
            <w:vAlign w:val="center"/>
          </w:tcPr>
          <w:p w14:paraId="50E08685">
            <w:pPr>
              <w:adjustRightInd w:val="0"/>
              <w:snapToGrid w:val="0"/>
              <w:spacing w:before="0" w:beforeLines="0" w:line="240" w:lineRule="auto"/>
              <w:jc w:val="center"/>
              <w:rPr>
                <w:szCs w:val="21"/>
              </w:rPr>
            </w:pPr>
          </w:p>
        </w:tc>
        <w:tc>
          <w:tcPr>
            <w:tcW w:w="2694" w:type="dxa"/>
            <w:vAlign w:val="center"/>
          </w:tcPr>
          <w:p w14:paraId="50958AC3">
            <w:pPr>
              <w:pStyle w:val="195"/>
              <w:adjustRightInd w:val="0"/>
              <w:snapToGrid w:val="0"/>
              <w:rPr>
                <w:sz w:val="21"/>
                <w:szCs w:val="21"/>
                <w:lang w:eastAsia="zh-CN"/>
              </w:rPr>
            </w:pPr>
            <w:r>
              <w:rPr>
                <w:rFonts w:eastAsia="宋体"/>
                <w:sz w:val="21"/>
                <w:szCs w:val="21"/>
                <w:lang w:eastAsia="zh-CN"/>
              </w:rPr>
              <w:t>1#和2#厂区</w:t>
            </w:r>
            <w:r>
              <w:rPr>
                <w:sz w:val="21"/>
                <w:szCs w:val="21"/>
                <w:lang w:eastAsia="zh-CN"/>
              </w:rPr>
              <w:t>厂界</w:t>
            </w:r>
          </w:p>
        </w:tc>
        <w:tc>
          <w:tcPr>
            <w:tcW w:w="3543" w:type="dxa"/>
            <w:vAlign w:val="center"/>
          </w:tcPr>
          <w:p w14:paraId="13F92AA4">
            <w:pPr>
              <w:pStyle w:val="195"/>
              <w:adjustRightInd w:val="0"/>
              <w:snapToGrid w:val="0"/>
              <w:rPr>
                <w:sz w:val="21"/>
                <w:szCs w:val="21"/>
              </w:rPr>
            </w:pPr>
            <w:r>
              <w:rPr>
                <w:sz w:val="21"/>
                <w:szCs w:val="21"/>
              </w:rPr>
              <w:t>颗粒物</w:t>
            </w:r>
          </w:p>
        </w:tc>
        <w:tc>
          <w:tcPr>
            <w:tcW w:w="1508" w:type="dxa"/>
            <w:vAlign w:val="center"/>
          </w:tcPr>
          <w:p w14:paraId="58E59A36">
            <w:pPr>
              <w:pStyle w:val="195"/>
              <w:adjustRightInd w:val="0"/>
              <w:snapToGrid w:val="0"/>
              <w:rPr>
                <w:sz w:val="21"/>
                <w:szCs w:val="21"/>
              </w:rPr>
            </w:pPr>
            <w:r>
              <w:rPr>
                <w:sz w:val="21"/>
                <w:szCs w:val="21"/>
              </w:rPr>
              <w:t>每年监测1次</w:t>
            </w:r>
          </w:p>
        </w:tc>
      </w:tr>
      <w:tr w14:paraId="560D0E3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67" w:type="dxa"/>
            <w:vAlign w:val="center"/>
          </w:tcPr>
          <w:p w14:paraId="44AB37D4">
            <w:pPr>
              <w:adjustRightInd w:val="0"/>
              <w:snapToGrid w:val="0"/>
              <w:spacing w:before="0" w:beforeLines="0" w:line="240" w:lineRule="auto"/>
              <w:jc w:val="center"/>
              <w:rPr>
                <w:szCs w:val="21"/>
              </w:rPr>
            </w:pPr>
            <w:r>
              <w:rPr>
                <w:szCs w:val="21"/>
              </w:rPr>
              <w:t>噪声</w:t>
            </w:r>
          </w:p>
        </w:tc>
        <w:tc>
          <w:tcPr>
            <w:tcW w:w="2694" w:type="dxa"/>
            <w:vAlign w:val="center"/>
          </w:tcPr>
          <w:p w14:paraId="77899774">
            <w:pPr>
              <w:adjustRightInd w:val="0"/>
              <w:snapToGrid w:val="0"/>
              <w:spacing w:before="0" w:beforeLines="0" w:line="240" w:lineRule="auto"/>
              <w:jc w:val="center"/>
              <w:rPr>
                <w:szCs w:val="21"/>
              </w:rPr>
            </w:pPr>
            <w:r>
              <w:rPr>
                <w:szCs w:val="21"/>
              </w:rPr>
              <w:t>1#和2#厂区厂界四周</w:t>
            </w:r>
          </w:p>
        </w:tc>
        <w:tc>
          <w:tcPr>
            <w:tcW w:w="3543" w:type="dxa"/>
            <w:vAlign w:val="center"/>
          </w:tcPr>
          <w:p w14:paraId="74843C5E">
            <w:pPr>
              <w:adjustRightInd w:val="0"/>
              <w:snapToGrid w:val="0"/>
              <w:spacing w:before="0" w:beforeLines="0" w:line="240" w:lineRule="auto"/>
              <w:jc w:val="center"/>
              <w:rPr>
                <w:szCs w:val="21"/>
              </w:rPr>
            </w:pPr>
            <w:r>
              <w:rPr>
                <w:szCs w:val="21"/>
              </w:rPr>
              <w:t>昼、夜Leq(A)</w:t>
            </w:r>
          </w:p>
        </w:tc>
        <w:tc>
          <w:tcPr>
            <w:tcW w:w="1508" w:type="dxa"/>
            <w:vAlign w:val="center"/>
          </w:tcPr>
          <w:p w14:paraId="100CCC7A">
            <w:pPr>
              <w:adjustRightInd w:val="0"/>
              <w:snapToGrid w:val="0"/>
              <w:spacing w:before="0" w:beforeLines="0" w:line="240" w:lineRule="auto"/>
              <w:jc w:val="center"/>
              <w:rPr>
                <w:szCs w:val="21"/>
              </w:rPr>
            </w:pPr>
            <w:r>
              <w:rPr>
                <w:szCs w:val="21"/>
              </w:rPr>
              <w:t>每季度监测1次</w:t>
            </w:r>
          </w:p>
        </w:tc>
      </w:tr>
      <w:tr w14:paraId="6A7B58D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1493" w:hRule="atLeast"/>
          <w:jc w:val="center"/>
        </w:trPr>
        <w:tc>
          <w:tcPr>
            <w:tcW w:w="567" w:type="dxa"/>
            <w:vMerge w:val="restart"/>
            <w:vAlign w:val="center"/>
          </w:tcPr>
          <w:p w14:paraId="4DE6CF56">
            <w:pPr>
              <w:adjustRightInd w:val="0"/>
              <w:snapToGrid w:val="0"/>
              <w:spacing w:before="0" w:beforeLines="0" w:line="240" w:lineRule="auto"/>
              <w:jc w:val="center"/>
              <w:rPr>
                <w:szCs w:val="21"/>
              </w:rPr>
            </w:pPr>
            <w:r>
              <w:rPr>
                <w:rFonts w:hint="eastAsia"/>
                <w:szCs w:val="21"/>
              </w:rPr>
              <w:t>地下水</w:t>
            </w:r>
          </w:p>
        </w:tc>
        <w:tc>
          <w:tcPr>
            <w:tcW w:w="2694" w:type="dxa"/>
            <w:vAlign w:val="center"/>
          </w:tcPr>
          <w:p w14:paraId="2AACE60B">
            <w:pPr>
              <w:adjustRightInd w:val="0"/>
              <w:snapToGrid w:val="0"/>
              <w:spacing w:before="0" w:beforeLines="0" w:line="240" w:lineRule="auto"/>
              <w:jc w:val="center"/>
              <w:rPr>
                <w:szCs w:val="21"/>
              </w:rPr>
            </w:pPr>
            <w:r>
              <w:rPr>
                <w:rFonts w:hint="eastAsia"/>
                <w:szCs w:val="21"/>
              </w:rPr>
              <w:t>厂区上游1个、下游1个监测点</w:t>
            </w:r>
          </w:p>
        </w:tc>
        <w:tc>
          <w:tcPr>
            <w:tcW w:w="3543" w:type="dxa"/>
            <w:vMerge w:val="restart"/>
            <w:vAlign w:val="center"/>
          </w:tcPr>
          <w:p w14:paraId="4601F8A1">
            <w:pPr>
              <w:adjustRightInd w:val="0"/>
              <w:snapToGrid w:val="0"/>
              <w:spacing w:before="0" w:beforeLines="0" w:line="240" w:lineRule="auto"/>
              <w:jc w:val="center"/>
              <w:rPr>
                <w:szCs w:val="21"/>
              </w:rPr>
            </w:pPr>
            <w:r>
              <w:rPr>
                <w:rFonts w:hint="eastAsia"/>
                <w:szCs w:val="21"/>
              </w:rPr>
              <w:t>色（度）、嗅和味、浑浊度（度）、肉眼可见物、pH、总硬度（以CaCO</w:t>
            </w:r>
            <w:r>
              <w:rPr>
                <w:rFonts w:hint="eastAsia"/>
                <w:szCs w:val="21"/>
                <w:vertAlign w:val="subscript"/>
              </w:rPr>
              <w:t>3</w:t>
            </w:r>
            <w:r>
              <w:rPr>
                <w:rFonts w:hint="eastAsia"/>
                <w:szCs w:val="21"/>
              </w:rPr>
              <w:t>计）、溶解性总固体、硫酸盐、氯化物、铁、锰、铜、锌、铝、挥发性酚类（以苯酚计）、阴离子表面活性剂、耗氧量、硝酸盐（以N计）、亚硝酸盐（以N计）、氨氮、硫化物、钠、氟化物、碘化物、氰化物、汞、砷、硒、镉、六价铬、铅、三氯甲烷、四氯化碳、苯、甲苯、总大肠菌群、细菌总数、石油类、铍、钒、钛</w:t>
            </w:r>
          </w:p>
        </w:tc>
        <w:tc>
          <w:tcPr>
            <w:tcW w:w="1508" w:type="dxa"/>
            <w:vAlign w:val="center"/>
          </w:tcPr>
          <w:p w14:paraId="54AC2103">
            <w:pPr>
              <w:adjustRightInd w:val="0"/>
              <w:snapToGrid w:val="0"/>
              <w:spacing w:before="0" w:beforeLines="0" w:line="240" w:lineRule="auto"/>
              <w:jc w:val="center"/>
              <w:rPr>
                <w:szCs w:val="21"/>
              </w:rPr>
            </w:pPr>
            <w:r>
              <w:rPr>
                <w:szCs w:val="21"/>
              </w:rPr>
              <w:t>每年枯水期一次</w:t>
            </w:r>
          </w:p>
        </w:tc>
      </w:tr>
      <w:tr w14:paraId="0EFCC809">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1493" w:hRule="atLeast"/>
          <w:jc w:val="center"/>
        </w:trPr>
        <w:tc>
          <w:tcPr>
            <w:tcW w:w="567" w:type="dxa"/>
            <w:vMerge w:val="continue"/>
            <w:vAlign w:val="center"/>
          </w:tcPr>
          <w:p w14:paraId="69FC691D">
            <w:pPr>
              <w:adjustRightInd w:val="0"/>
              <w:snapToGrid w:val="0"/>
              <w:spacing w:before="0" w:beforeLines="0" w:line="240" w:lineRule="auto"/>
              <w:jc w:val="center"/>
              <w:rPr>
                <w:szCs w:val="21"/>
              </w:rPr>
            </w:pPr>
          </w:p>
        </w:tc>
        <w:tc>
          <w:tcPr>
            <w:tcW w:w="2694" w:type="dxa"/>
            <w:vAlign w:val="center"/>
          </w:tcPr>
          <w:p w14:paraId="13596BE8">
            <w:pPr>
              <w:adjustRightInd w:val="0"/>
              <w:snapToGrid w:val="0"/>
              <w:spacing w:before="0" w:beforeLines="0" w:line="240" w:lineRule="auto"/>
              <w:jc w:val="center"/>
              <w:rPr>
                <w:szCs w:val="21"/>
              </w:rPr>
            </w:pPr>
            <w:r>
              <w:rPr>
                <w:rFonts w:hint="eastAsia"/>
                <w:szCs w:val="21"/>
              </w:rPr>
              <w:t>厂区内</w:t>
            </w:r>
            <w:r>
              <w:rPr>
                <w:szCs w:val="21"/>
              </w:rPr>
              <w:t>1</w:t>
            </w:r>
            <w:r>
              <w:rPr>
                <w:rFonts w:hint="eastAsia"/>
                <w:szCs w:val="21"/>
              </w:rPr>
              <w:t>个监测点</w:t>
            </w:r>
          </w:p>
        </w:tc>
        <w:tc>
          <w:tcPr>
            <w:tcW w:w="3543" w:type="dxa"/>
            <w:vMerge w:val="continue"/>
            <w:vAlign w:val="center"/>
          </w:tcPr>
          <w:p w14:paraId="688D6C1C">
            <w:pPr>
              <w:adjustRightInd w:val="0"/>
              <w:snapToGrid w:val="0"/>
              <w:spacing w:before="0" w:beforeLines="0" w:line="240" w:lineRule="auto"/>
              <w:jc w:val="center"/>
              <w:rPr>
                <w:szCs w:val="21"/>
              </w:rPr>
            </w:pPr>
          </w:p>
        </w:tc>
        <w:tc>
          <w:tcPr>
            <w:tcW w:w="1508" w:type="dxa"/>
            <w:vAlign w:val="center"/>
          </w:tcPr>
          <w:p w14:paraId="14795D4B">
            <w:pPr>
              <w:adjustRightInd w:val="0"/>
              <w:snapToGrid w:val="0"/>
              <w:spacing w:before="0" w:beforeLines="0" w:line="240" w:lineRule="auto"/>
              <w:jc w:val="center"/>
              <w:rPr>
                <w:szCs w:val="21"/>
              </w:rPr>
            </w:pPr>
            <w:r>
              <w:rPr>
                <w:rFonts w:hint="eastAsia"/>
                <w:szCs w:val="21"/>
              </w:rPr>
              <w:t>每季度取样一次，全年四次，异常期间要求每月进行一次监测</w:t>
            </w:r>
          </w:p>
        </w:tc>
      </w:tr>
      <w:tr w14:paraId="0EC1AC6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67" w:type="dxa"/>
            <w:vAlign w:val="center"/>
          </w:tcPr>
          <w:p w14:paraId="1292C72E">
            <w:pPr>
              <w:adjustRightInd w:val="0"/>
              <w:snapToGrid w:val="0"/>
              <w:spacing w:before="0" w:beforeLines="0" w:line="240" w:lineRule="auto"/>
              <w:jc w:val="center"/>
              <w:rPr>
                <w:szCs w:val="21"/>
              </w:rPr>
            </w:pPr>
            <w:r>
              <w:rPr>
                <w:rFonts w:hint="eastAsia"/>
                <w:szCs w:val="21"/>
              </w:rPr>
              <w:t>土壤</w:t>
            </w:r>
          </w:p>
        </w:tc>
        <w:tc>
          <w:tcPr>
            <w:tcW w:w="2694" w:type="dxa"/>
            <w:vAlign w:val="center"/>
          </w:tcPr>
          <w:p w14:paraId="23EFF53F">
            <w:pPr>
              <w:adjustRightInd w:val="0"/>
              <w:snapToGrid w:val="0"/>
              <w:spacing w:before="0" w:beforeLines="0" w:line="240" w:lineRule="auto"/>
              <w:jc w:val="center"/>
              <w:rPr>
                <w:szCs w:val="21"/>
              </w:rPr>
            </w:pPr>
            <w:r>
              <w:rPr>
                <w:rFonts w:hint="eastAsia"/>
                <w:szCs w:val="21"/>
              </w:rPr>
              <w:t>浓缩罐附近1个深层样点位</w:t>
            </w:r>
          </w:p>
        </w:tc>
        <w:tc>
          <w:tcPr>
            <w:tcW w:w="3543" w:type="dxa"/>
            <w:vAlign w:val="center"/>
          </w:tcPr>
          <w:p w14:paraId="47A03AF1">
            <w:pPr>
              <w:adjustRightInd w:val="0"/>
              <w:snapToGrid w:val="0"/>
              <w:spacing w:before="0" w:beforeLines="0" w:line="240" w:lineRule="auto"/>
              <w:jc w:val="center"/>
              <w:rPr>
                <w:szCs w:val="21"/>
              </w:rPr>
            </w:pPr>
            <w:r>
              <w:rPr>
                <w:rFonts w:hint="eastAsia"/>
                <w:szCs w:val="21"/>
              </w:rPr>
              <w:t>基本项45项因子、石油烃、钛、钒，同时监测pH值</w:t>
            </w:r>
          </w:p>
        </w:tc>
        <w:tc>
          <w:tcPr>
            <w:tcW w:w="1508" w:type="dxa"/>
            <w:vAlign w:val="center"/>
          </w:tcPr>
          <w:p w14:paraId="69020D35">
            <w:pPr>
              <w:adjustRightInd w:val="0"/>
              <w:snapToGrid w:val="0"/>
              <w:spacing w:before="0" w:beforeLines="0" w:line="240" w:lineRule="auto"/>
              <w:jc w:val="center"/>
              <w:rPr>
                <w:szCs w:val="21"/>
              </w:rPr>
            </w:pPr>
            <w:r>
              <w:rPr>
                <w:rFonts w:hint="eastAsia"/>
                <w:szCs w:val="21"/>
              </w:rPr>
              <w:t>每5年一次</w:t>
            </w:r>
          </w:p>
        </w:tc>
      </w:tr>
      <w:tr w14:paraId="2ABD7AE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67" w:type="dxa"/>
            <w:vAlign w:val="center"/>
          </w:tcPr>
          <w:p w14:paraId="36FFD8D0">
            <w:pPr>
              <w:adjustRightInd w:val="0"/>
              <w:snapToGrid w:val="0"/>
              <w:spacing w:before="0" w:beforeLines="0" w:line="240" w:lineRule="auto"/>
              <w:jc w:val="center"/>
              <w:rPr>
                <w:szCs w:val="21"/>
              </w:rPr>
            </w:pPr>
            <w:r>
              <w:rPr>
                <w:szCs w:val="21"/>
              </w:rPr>
              <w:t>固废</w:t>
            </w:r>
          </w:p>
        </w:tc>
        <w:tc>
          <w:tcPr>
            <w:tcW w:w="2694" w:type="dxa"/>
            <w:vAlign w:val="center"/>
          </w:tcPr>
          <w:p w14:paraId="102D84E6">
            <w:pPr>
              <w:adjustRightInd w:val="0"/>
              <w:snapToGrid w:val="0"/>
              <w:spacing w:before="0" w:beforeLines="0" w:line="240" w:lineRule="auto"/>
              <w:jc w:val="center"/>
              <w:rPr>
                <w:szCs w:val="21"/>
              </w:rPr>
            </w:pPr>
            <w:r>
              <w:rPr>
                <w:szCs w:val="21"/>
              </w:rPr>
              <w:t>全厂各类固废产生地点</w:t>
            </w:r>
          </w:p>
        </w:tc>
        <w:tc>
          <w:tcPr>
            <w:tcW w:w="3543" w:type="dxa"/>
            <w:vAlign w:val="center"/>
          </w:tcPr>
          <w:p w14:paraId="3D501D28">
            <w:pPr>
              <w:adjustRightInd w:val="0"/>
              <w:snapToGrid w:val="0"/>
              <w:spacing w:before="0" w:beforeLines="0" w:line="240" w:lineRule="auto"/>
              <w:jc w:val="center"/>
              <w:rPr>
                <w:szCs w:val="21"/>
              </w:rPr>
            </w:pPr>
            <w:r>
              <w:rPr>
                <w:szCs w:val="21"/>
              </w:rPr>
              <w:t>统计种类、产生量、处理方式、去向</w:t>
            </w:r>
          </w:p>
        </w:tc>
        <w:tc>
          <w:tcPr>
            <w:tcW w:w="1508" w:type="dxa"/>
            <w:vAlign w:val="center"/>
          </w:tcPr>
          <w:p w14:paraId="457B6AD0">
            <w:pPr>
              <w:adjustRightInd w:val="0"/>
              <w:snapToGrid w:val="0"/>
              <w:spacing w:before="0" w:beforeLines="0" w:line="240" w:lineRule="auto"/>
              <w:jc w:val="center"/>
              <w:rPr>
                <w:szCs w:val="21"/>
              </w:rPr>
            </w:pPr>
            <w:r>
              <w:rPr>
                <w:szCs w:val="21"/>
              </w:rPr>
              <w:t>处置过程记录</w:t>
            </w:r>
          </w:p>
        </w:tc>
      </w:tr>
    </w:tbl>
    <w:p w14:paraId="422041B0">
      <w:pPr>
        <w:pStyle w:val="5"/>
        <w:spacing w:before="156" w:after="156"/>
        <w:rPr>
          <w:color w:val="auto"/>
        </w:rPr>
      </w:pPr>
      <w:r>
        <w:rPr>
          <w:color w:val="auto"/>
        </w:rPr>
        <w:t>9.2.2监测结果的反馈</w:t>
      </w:r>
    </w:p>
    <w:p w14:paraId="6A84D400">
      <w:pPr>
        <w:adjustRightInd w:val="0"/>
        <w:snapToGrid w:val="0"/>
        <w:spacing w:before="0" w:beforeLines="0" w:line="360" w:lineRule="auto"/>
        <w:ind w:firstLine="567"/>
        <w:rPr>
          <w:sz w:val="24"/>
          <w:szCs w:val="20"/>
        </w:rPr>
      </w:pPr>
      <w:r>
        <w:rPr>
          <w:sz w:val="24"/>
          <w:szCs w:val="20"/>
        </w:rPr>
        <w:t>根据以上监测项目，点位及频率进行监测。每次监测完毕后，及时整理监测数据，以报表的形式写出监测分析报告并上报公司，同时报送阜新市环保主管部门，以便公司内各管理部门和地方环保部门及时了解全公司排污及环保治理措施的运行状况，及时发现问题，及时解决。</w:t>
      </w:r>
    </w:p>
    <w:p w14:paraId="04C606C1">
      <w:pPr>
        <w:pStyle w:val="4"/>
        <w:rPr>
          <w:rFonts w:ascii="Times New Roman" w:hAnsi="Times New Roman" w:eastAsia="宋体"/>
          <w:color w:val="auto"/>
        </w:rPr>
      </w:pPr>
      <w:bookmarkStart w:id="623" w:name="_Toc239274301"/>
      <w:r>
        <w:rPr>
          <w:rFonts w:ascii="Times New Roman" w:hAnsi="Times New Roman" w:eastAsia="宋体"/>
          <w:color w:val="auto"/>
        </w:rPr>
        <w:t>9.3排污口规范化建设</w:t>
      </w:r>
      <w:bookmarkEnd w:id="623"/>
    </w:p>
    <w:p w14:paraId="3BFDCC2A">
      <w:pPr>
        <w:snapToGrid w:val="0"/>
        <w:spacing w:before="78" w:line="360" w:lineRule="auto"/>
        <w:ind w:firstLine="482"/>
        <w:jc w:val="left"/>
        <w:rPr>
          <w:sz w:val="24"/>
        </w:rPr>
      </w:pPr>
      <w:r>
        <w:rPr>
          <w:sz w:val="24"/>
        </w:rPr>
        <w:t>根据国家和地方环保部门的法律法规和相关要求，本项目新建排污口应按其要求进行规整，具体内容如下：</w:t>
      </w:r>
    </w:p>
    <w:p w14:paraId="128E4DFD">
      <w:pPr>
        <w:adjustRightInd w:val="0"/>
        <w:snapToGrid w:val="0"/>
        <w:spacing w:before="0" w:beforeLines="0" w:line="360" w:lineRule="auto"/>
        <w:ind w:firstLine="480" w:firstLineChars="200"/>
        <w:jc w:val="left"/>
        <w:rPr>
          <w:sz w:val="24"/>
        </w:rPr>
      </w:pPr>
      <w:r>
        <w:rPr>
          <w:rFonts w:hint="eastAsia"/>
          <w:sz w:val="24"/>
        </w:rPr>
        <w:t>（1）</w:t>
      </w:r>
      <w:r>
        <w:rPr>
          <w:sz w:val="24"/>
        </w:rPr>
        <w:t>废气</w:t>
      </w:r>
    </w:p>
    <w:p w14:paraId="78529782">
      <w:pPr>
        <w:snapToGrid w:val="0"/>
        <w:spacing w:before="78" w:line="360" w:lineRule="auto"/>
        <w:ind w:firstLine="482"/>
        <w:jc w:val="left"/>
        <w:rPr>
          <w:sz w:val="24"/>
        </w:rPr>
      </w:pPr>
      <w:r>
        <w:rPr>
          <w:sz w:val="24"/>
        </w:rPr>
        <w:t>①新增废气排气筒应设置监测采样口，采样口设置应符合《污染源技术规范》要求；采样口必须设置常备电源。</w:t>
      </w:r>
    </w:p>
    <w:p w14:paraId="138B43B3">
      <w:pPr>
        <w:snapToGrid w:val="0"/>
        <w:spacing w:before="78" w:line="360" w:lineRule="auto"/>
        <w:ind w:firstLine="482"/>
        <w:jc w:val="left"/>
        <w:rPr>
          <w:sz w:val="24"/>
        </w:rPr>
      </w:pPr>
      <w:r>
        <w:rPr>
          <w:sz w:val="24"/>
        </w:rPr>
        <w:t>②排气筒应设置、注明以下内容：标准编号、污染源名称及型号；排放高度、出口直径；排气量、最大允许排放浓度；排放污染物的名称、最大允许排放量。</w:t>
      </w:r>
    </w:p>
    <w:p w14:paraId="60B0EC0A">
      <w:pPr>
        <w:adjustRightInd w:val="0"/>
        <w:snapToGrid w:val="0"/>
        <w:spacing w:before="0" w:beforeLines="0" w:line="360" w:lineRule="auto"/>
        <w:ind w:firstLine="480" w:firstLineChars="200"/>
        <w:jc w:val="left"/>
        <w:rPr>
          <w:sz w:val="24"/>
        </w:rPr>
      </w:pPr>
      <w:r>
        <w:rPr>
          <w:rFonts w:hint="eastAsia"/>
          <w:sz w:val="24"/>
        </w:rPr>
        <w:t>（2）</w:t>
      </w:r>
      <w:r>
        <w:rPr>
          <w:sz w:val="24"/>
        </w:rPr>
        <w:t>废水</w:t>
      </w:r>
    </w:p>
    <w:p w14:paraId="7E5C1671">
      <w:pPr>
        <w:snapToGrid w:val="0"/>
        <w:spacing w:before="78" w:line="360" w:lineRule="auto"/>
        <w:ind w:firstLine="482"/>
        <w:jc w:val="left"/>
        <w:rPr>
          <w:sz w:val="24"/>
        </w:rPr>
      </w:pPr>
      <w:r>
        <w:rPr>
          <w:sz w:val="24"/>
        </w:rPr>
        <w:t>生产废水不外排，回用于选矿；生活污水排入旱</w:t>
      </w:r>
      <w:r>
        <w:rPr>
          <w:rFonts w:hint="eastAsia"/>
          <w:sz w:val="24"/>
          <w:lang w:eastAsia="zh-CN"/>
        </w:rPr>
        <w:t>厕</w:t>
      </w:r>
      <w:r>
        <w:rPr>
          <w:sz w:val="24"/>
        </w:rPr>
        <w:t>定期清掏。</w:t>
      </w:r>
    </w:p>
    <w:p w14:paraId="2DD5F2F3">
      <w:pPr>
        <w:adjustRightInd w:val="0"/>
        <w:snapToGrid w:val="0"/>
        <w:spacing w:before="0" w:beforeLines="0" w:line="360" w:lineRule="auto"/>
        <w:ind w:firstLine="480" w:firstLineChars="200"/>
        <w:jc w:val="left"/>
        <w:rPr>
          <w:sz w:val="24"/>
        </w:rPr>
      </w:pPr>
      <w:r>
        <w:rPr>
          <w:rFonts w:hint="eastAsia"/>
          <w:sz w:val="24"/>
        </w:rPr>
        <w:t>（3）</w:t>
      </w:r>
      <w:r>
        <w:rPr>
          <w:sz w:val="24"/>
        </w:rPr>
        <w:t>噪声</w:t>
      </w:r>
    </w:p>
    <w:p w14:paraId="03D61E89">
      <w:pPr>
        <w:snapToGrid w:val="0"/>
        <w:spacing w:before="78" w:line="360" w:lineRule="auto"/>
        <w:ind w:firstLine="482"/>
        <w:jc w:val="left"/>
        <w:rPr>
          <w:sz w:val="24"/>
        </w:rPr>
      </w:pPr>
      <w:r>
        <w:rPr>
          <w:sz w:val="24"/>
        </w:rPr>
        <w:t>按规定对固定噪声源进行治理。在厂界边界设置噪声监测点。</w:t>
      </w:r>
    </w:p>
    <w:p w14:paraId="485E2178">
      <w:pPr>
        <w:adjustRightInd w:val="0"/>
        <w:snapToGrid w:val="0"/>
        <w:spacing w:before="0" w:beforeLines="0" w:line="360" w:lineRule="auto"/>
        <w:ind w:firstLine="480" w:firstLineChars="200"/>
        <w:jc w:val="left"/>
        <w:rPr>
          <w:sz w:val="24"/>
        </w:rPr>
      </w:pPr>
      <w:r>
        <w:rPr>
          <w:rFonts w:hint="eastAsia"/>
          <w:sz w:val="24"/>
        </w:rPr>
        <w:t>（4）</w:t>
      </w:r>
      <w:r>
        <w:rPr>
          <w:sz w:val="24"/>
        </w:rPr>
        <w:t>固体废物</w:t>
      </w:r>
    </w:p>
    <w:p w14:paraId="5E36DF2B">
      <w:pPr>
        <w:snapToGrid w:val="0"/>
        <w:spacing w:before="78" w:line="360" w:lineRule="auto"/>
        <w:ind w:firstLine="482"/>
        <w:jc w:val="left"/>
        <w:rPr>
          <w:sz w:val="24"/>
        </w:rPr>
      </w:pPr>
      <w:r>
        <w:rPr>
          <w:sz w:val="24"/>
        </w:rPr>
        <w:t>设置警告性环境保护图形标志牌，标志牌立于边界线上。</w:t>
      </w:r>
    </w:p>
    <w:p w14:paraId="7A1C6802">
      <w:pPr>
        <w:adjustRightInd w:val="0"/>
        <w:snapToGrid w:val="0"/>
        <w:spacing w:before="0" w:beforeLines="0" w:line="360" w:lineRule="auto"/>
        <w:ind w:firstLine="480" w:firstLineChars="200"/>
        <w:jc w:val="left"/>
        <w:rPr>
          <w:sz w:val="24"/>
        </w:rPr>
      </w:pPr>
      <w:r>
        <w:rPr>
          <w:rFonts w:hint="eastAsia"/>
          <w:sz w:val="24"/>
        </w:rPr>
        <w:t>（5）</w:t>
      </w:r>
      <w:r>
        <w:rPr>
          <w:sz w:val="24"/>
        </w:rPr>
        <w:t>设置标志牌要求</w:t>
      </w:r>
    </w:p>
    <w:p w14:paraId="2ECF0A71">
      <w:pPr>
        <w:snapToGrid w:val="0"/>
        <w:spacing w:before="78" w:line="360" w:lineRule="auto"/>
        <w:ind w:firstLine="482"/>
        <w:jc w:val="left"/>
        <w:rPr>
          <w:sz w:val="24"/>
        </w:rPr>
      </w:pPr>
      <w:r>
        <w:rPr>
          <w:sz w:val="24"/>
        </w:rPr>
        <w:t>排放一般污染物排污口（源），设置提示式标志牌，排放有毒有害等污染物的排污口设置警告式标志牌。</w:t>
      </w:r>
    </w:p>
    <w:p w14:paraId="57D05250">
      <w:pPr>
        <w:snapToGrid w:val="0"/>
        <w:spacing w:before="78" w:line="360" w:lineRule="auto"/>
        <w:ind w:firstLine="482"/>
        <w:jc w:val="left"/>
        <w:rPr>
          <w:sz w:val="24"/>
        </w:rPr>
      </w:pPr>
      <w:r>
        <w:rPr>
          <w:sz w:val="24"/>
        </w:rPr>
        <w:t>规范化排污口的有关设置（如图形标志牌、计量装置、监控装置等）</w:t>
      </w:r>
      <w:r>
        <w:rPr>
          <w:rFonts w:hint="eastAsia"/>
          <w:sz w:val="24"/>
          <w:lang w:eastAsia="zh-CN"/>
        </w:rPr>
        <w:t>属于</w:t>
      </w:r>
      <w:r>
        <w:rPr>
          <w:sz w:val="24"/>
        </w:rPr>
        <w:t>环保设施，排污单位必须负责日常的维护保养，任何单位和个人不得擅自拆除，如需变更的须报环境监理部门同意并办理变更手续。</w:t>
      </w:r>
    </w:p>
    <w:p w14:paraId="6DF2A8EB">
      <w:pPr>
        <w:snapToGrid w:val="0"/>
        <w:spacing w:before="78" w:line="360" w:lineRule="auto"/>
        <w:ind w:firstLine="482"/>
        <w:rPr>
          <w:sz w:val="24"/>
        </w:rPr>
      </w:pPr>
      <w:r>
        <w:rPr>
          <w:sz w:val="24"/>
        </w:rPr>
        <w:t>本项目厂区的废气排放源、固体废物贮存处置场应设置环境保护图形标志，图形符号分为提示图形和警告图形符号两种，分别按《环境保护图形标志标志-排放口（源）》GB15562.1-1995、《环境保护图形标志—固体废物贮存（处置）场》（GB15562.2-1995）含2023修改单。环境保护图形标志的形状及颜色和环境保护图形符号见表9.3-1、9.3-2。</w:t>
      </w:r>
    </w:p>
    <w:p w14:paraId="3273CCA8">
      <w:pPr>
        <w:snapToGrid w:val="0"/>
        <w:spacing w:before="78" w:line="360" w:lineRule="auto"/>
        <w:ind w:firstLine="482"/>
        <w:rPr>
          <w:sz w:val="24"/>
        </w:rPr>
      </w:pPr>
    </w:p>
    <w:p w14:paraId="114721C1">
      <w:pPr>
        <w:pStyle w:val="143"/>
        <w:spacing w:before="156"/>
      </w:pPr>
      <w:r>
        <w:rPr>
          <w:b/>
          <w:bCs w:val="0"/>
        </w:rPr>
        <w:t xml:space="preserve"> 表9.3-1  环境保护图形标志的形状及颜色表</w:t>
      </w:r>
    </w:p>
    <w:tbl>
      <w:tblPr>
        <w:tblStyle w:val="89"/>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2130"/>
        <w:gridCol w:w="2131"/>
        <w:gridCol w:w="2131"/>
      </w:tblGrid>
      <w:tr w14:paraId="2F9096D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tcBorders>
              <w:tl2br w:val="nil"/>
              <w:tr2bl w:val="nil"/>
            </w:tcBorders>
            <w:vAlign w:val="center"/>
          </w:tcPr>
          <w:p w14:paraId="70E6AF9E">
            <w:pPr>
              <w:pStyle w:val="160"/>
            </w:pPr>
            <w:r>
              <w:t>标志名称</w:t>
            </w:r>
          </w:p>
        </w:tc>
        <w:tc>
          <w:tcPr>
            <w:tcW w:w="2130" w:type="dxa"/>
            <w:tcBorders>
              <w:tl2br w:val="nil"/>
              <w:tr2bl w:val="nil"/>
            </w:tcBorders>
            <w:vAlign w:val="center"/>
          </w:tcPr>
          <w:p w14:paraId="5CEC3DAD">
            <w:pPr>
              <w:pStyle w:val="160"/>
            </w:pPr>
            <w:r>
              <w:t>形状</w:t>
            </w:r>
          </w:p>
        </w:tc>
        <w:tc>
          <w:tcPr>
            <w:tcW w:w="2131" w:type="dxa"/>
            <w:tcBorders>
              <w:tl2br w:val="nil"/>
              <w:tr2bl w:val="nil"/>
            </w:tcBorders>
            <w:vAlign w:val="center"/>
          </w:tcPr>
          <w:p w14:paraId="6E070AA9">
            <w:pPr>
              <w:pStyle w:val="160"/>
            </w:pPr>
            <w:r>
              <w:t>背景颜色</w:t>
            </w:r>
          </w:p>
        </w:tc>
        <w:tc>
          <w:tcPr>
            <w:tcW w:w="2131" w:type="dxa"/>
            <w:tcBorders>
              <w:tl2br w:val="nil"/>
              <w:tr2bl w:val="nil"/>
            </w:tcBorders>
            <w:vAlign w:val="center"/>
          </w:tcPr>
          <w:p w14:paraId="1F30D60E">
            <w:pPr>
              <w:pStyle w:val="160"/>
            </w:pPr>
            <w:r>
              <w:t>图形颜色</w:t>
            </w:r>
          </w:p>
        </w:tc>
      </w:tr>
      <w:tr w14:paraId="2B50D8F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tcBorders>
              <w:tl2br w:val="nil"/>
              <w:tr2bl w:val="nil"/>
            </w:tcBorders>
            <w:vAlign w:val="center"/>
          </w:tcPr>
          <w:p w14:paraId="58F7F2C6">
            <w:pPr>
              <w:pStyle w:val="160"/>
            </w:pPr>
            <w:r>
              <w:t>警告标志</w:t>
            </w:r>
          </w:p>
        </w:tc>
        <w:tc>
          <w:tcPr>
            <w:tcW w:w="2130" w:type="dxa"/>
            <w:tcBorders>
              <w:tl2br w:val="nil"/>
              <w:tr2bl w:val="nil"/>
            </w:tcBorders>
            <w:vAlign w:val="center"/>
          </w:tcPr>
          <w:p w14:paraId="3B297E01">
            <w:pPr>
              <w:pStyle w:val="160"/>
            </w:pPr>
            <w:r>
              <w:t>三角形边框</w:t>
            </w:r>
          </w:p>
        </w:tc>
        <w:tc>
          <w:tcPr>
            <w:tcW w:w="2131" w:type="dxa"/>
            <w:tcBorders>
              <w:tl2br w:val="nil"/>
              <w:tr2bl w:val="nil"/>
            </w:tcBorders>
            <w:vAlign w:val="center"/>
          </w:tcPr>
          <w:p w14:paraId="41D3D1AB">
            <w:pPr>
              <w:pStyle w:val="160"/>
            </w:pPr>
            <w:r>
              <w:t>黄色</w:t>
            </w:r>
          </w:p>
        </w:tc>
        <w:tc>
          <w:tcPr>
            <w:tcW w:w="2131" w:type="dxa"/>
            <w:tcBorders>
              <w:tl2br w:val="nil"/>
              <w:tr2bl w:val="nil"/>
            </w:tcBorders>
            <w:vAlign w:val="center"/>
          </w:tcPr>
          <w:p w14:paraId="761F56C6">
            <w:pPr>
              <w:pStyle w:val="160"/>
            </w:pPr>
            <w:r>
              <w:t>黑色</w:t>
            </w:r>
          </w:p>
        </w:tc>
      </w:tr>
      <w:tr w14:paraId="721983A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tcBorders>
              <w:tl2br w:val="nil"/>
              <w:tr2bl w:val="nil"/>
            </w:tcBorders>
            <w:vAlign w:val="center"/>
          </w:tcPr>
          <w:p w14:paraId="57A0A9CA">
            <w:pPr>
              <w:pStyle w:val="160"/>
            </w:pPr>
            <w:r>
              <w:t>提示标志</w:t>
            </w:r>
          </w:p>
        </w:tc>
        <w:tc>
          <w:tcPr>
            <w:tcW w:w="2130" w:type="dxa"/>
            <w:tcBorders>
              <w:tl2br w:val="nil"/>
              <w:tr2bl w:val="nil"/>
            </w:tcBorders>
            <w:vAlign w:val="center"/>
          </w:tcPr>
          <w:p w14:paraId="499E8259">
            <w:pPr>
              <w:pStyle w:val="160"/>
            </w:pPr>
            <w:r>
              <w:t>正方形边框</w:t>
            </w:r>
          </w:p>
        </w:tc>
        <w:tc>
          <w:tcPr>
            <w:tcW w:w="2131" w:type="dxa"/>
            <w:tcBorders>
              <w:tl2br w:val="nil"/>
              <w:tr2bl w:val="nil"/>
            </w:tcBorders>
            <w:vAlign w:val="center"/>
          </w:tcPr>
          <w:p w14:paraId="60FB739C">
            <w:pPr>
              <w:pStyle w:val="160"/>
            </w:pPr>
            <w:r>
              <w:t>绿色</w:t>
            </w:r>
          </w:p>
        </w:tc>
        <w:tc>
          <w:tcPr>
            <w:tcW w:w="2131" w:type="dxa"/>
            <w:tcBorders>
              <w:tl2br w:val="nil"/>
              <w:tr2bl w:val="nil"/>
            </w:tcBorders>
            <w:vAlign w:val="center"/>
          </w:tcPr>
          <w:p w14:paraId="298F1B5D">
            <w:pPr>
              <w:pStyle w:val="160"/>
            </w:pPr>
            <w:r>
              <w:t>白色</w:t>
            </w:r>
          </w:p>
        </w:tc>
      </w:tr>
    </w:tbl>
    <w:p w14:paraId="57DC2802">
      <w:pPr>
        <w:pStyle w:val="143"/>
        <w:spacing w:before="156"/>
        <w:rPr>
          <w:b/>
          <w:bCs w:val="0"/>
        </w:rPr>
      </w:pPr>
      <w:r>
        <w:rPr>
          <w:b/>
          <w:bCs w:val="0"/>
        </w:rPr>
        <w:t>表9.3-2  环境保护图形符号一览表</w:t>
      </w:r>
    </w:p>
    <w:tbl>
      <w:tblPr>
        <w:tblStyle w:val="89"/>
        <w:tblW w:w="500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57"/>
        <w:gridCol w:w="1521"/>
        <w:gridCol w:w="1521"/>
        <w:gridCol w:w="1521"/>
        <w:gridCol w:w="3092"/>
      </w:tblGrid>
      <w:tr w14:paraId="03CA75F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blHeader/>
        </w:trPr>
        <w:tc>
          <w:tcPr>
            <w:tcW w:w="395" w:type="pct"/>
            <w:tcBorders>
              <w:tl2br w:val="nil"/>
              <w:tr2bl w:val="nil"/>
            </w:tcBorders>
            <w:vAlign w:val="center"/>
          </w:tcPr>
          <w:p w14:paraId="33F7B144">
            <w:pPr>
              <w:pStyle w:val="160"/>
              <w:rPr>
                <w:lang w:eastAsia="en-US"/>
              </w:rPr>
            </w:pPr>
            <w:r>
              <w:rPr>
                <w:lang w:eastAsia="en-US"/>
              </w:rPr>
              <w:t>序号</w:t>
            </w:r>
          </w:p>
        </w:tc>
        <w:tc>
          <w:tcPr>
            <w:tcW w:w="915" w:type="pct"/>
            <w:tcBorders>
              <w:tl2br w:val="nil"/>
              <w:tr2bl w:val="nil"/>
            </w:tcBorders>
            <w:vAlign w:val="center"/>
          </w:tcPr>
          <w:p w14:paraId="40583DB1">
            <w:pPr>
              <w:pStyle w:val="160"/>
              <w:rPr>
                <w:lang w:eastAsia="en-US"/>
              </w:rPr>
            </w:pPr>
            <w:r>
              <w:rPr>
                <w:lang w:eastAsia="en-US"/>
              </w:rPr>
              <w:t>提示图形符号</w:t>
            </w:r>
          </w:p>
        </w:tc>
        <w:tc>
          <w:tcPr>
            <w:tcW w:w="915" w:type="pct"/>
            <w:tcBorders>
              <w:tl2br w:val="nil"/>
              <w:tr2bl w:val="nil"/>
            </w:tcBorders>
            <w:vAlign w:val="center"/>
          </w:tcPr>
          <w:p w14:paraId="14438DCA">
            <w:pPr>
              <w:pStyle w:val="160"/>
              <w:rPr>
                <w:lang w:eastAsia="en-US"/>
              </w:rPr>
            </w:pPr>
            <w:r>
              <w:rPr>
                <w:lang w:eastAsia="en-US"/>
              </w:rPr>
              <w:t>警告图形符号</w:t>
            </w:r>
          </w:p>
        </w:tc>
        <w:tc>
          <w:tcPr>
            <w:tcW w:w="915" w:type="pct"/>
            <w:tcBorders>
              <w:tl2br w:val="nil"/>
              <w:tr2bl w:val="nil"/>
            </w:tcBorders>
            <w:vAlign w:val="center"/>
          </w:tcPr>
          <w:p w14:paraId="7EA333BA">
            <w:pPr>
              <w:pStyle w:val="160"/>
              <w:rPr>
                <w:lang w:eastAsia="en-US"/>
              </w:rPr>
            </w:pPr>
            <w:r>
              <w:rPr>
                <w:lang w:eastAsia="en-US"/>
              </w:rPr>
              <w:t>名称</w:t>
            </w:r>
          </w:p>
        </w:tc>
        <w:tc>
          <w:tcPr>
            <w:tcW w:w="1859" w:type="pct"/>
            <w:tcBorders>
              <w:tl2br w:val="nil"/>
              <w:tr2bl w:val="nil"/>
            </w:tcBorders>
            <w:vAlign w:val="center"/>
          </w:tcPr>
          <w:p w14:paraId="5604735C">
            <w:pPr>
              <w:pStyle w:val="160"/>
              <w:rPr>
                <w:lang w:eastAsia="en-US"/>
              </w:rPr>
            </w:pPr>
            <w:r>
              <w:rPr>
                <w:lang w:eastAsia="en-US"/>
              </w:rPr>
              <w:t>功能</w:t>
            </w:r>
          </w:p>
        </w:tc>
      </w:tr>
      <w:tr w14:paraId="1A61F0E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95" w:type="pct"/>
            <w:tcBorders>
              <w:tl2br w:val="nil"/>
              <w:tr2bl w:val="nil"/>
            </w:tcBorders>
            <w:vAlign w:val="center"/>
          </w:tcPr>
          <w:p w14:paraId="091BC9D7">
            <w:pPr>
              <w:pStyle w:val="160"/>
              <w:rPr>
                <w:lang w:eastAsia="en-US"/>
              </w:rPr>
            </w:pPr>
            <w:r>
              <w:rPr>
                <w:lang w:eastAsia="en-US"/>
              </w:rPr>
              <w:t>1</w:t>
            </w:r>
          </w:p>
        </w:tc>
        <w:tc>
          <w:tcPr>
            <w:tcW w:w="915" w:type="pct"/>
            <w:tcBorders>
              <w:tl2br w:val="nil"/>
              <w:tr2bl w:val="nil"/>
            </w:tcBorders>
            <w:vAlign w:val="center"/>
          </w:tcPr>
          <w:p w14:paraId="0A1AF96D">
            <w:pPr>
              <w:pStyle w:val="160"/>
              <w:rPr>
                <w:lang w:eastAsia="en-US"/>
              </w:rPr>
            </w:pPr>
            <w:r>
              <w:drawing>
                <wp:inline distT="0" distB="0" distL="0" distR="0">
                  <wp:extent cx="382270" cy="390525"/>
                  <wp:effectExtent l="0" t="0" r="0" b="0"/>
                  <wp:docPr id="52" name="图片 30" descr="1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30" descr="13001"/>
                          <pic:cNvPicPr>
                            <a:picLocks noChangeAspect="1" noChangeArrowheads="1"/>
                          </pic:cNvPicPr>
                        </pic:nvPicPr>
                        <pic:blipFill>
                          <a:blip r:embed="rId142"/>
                          <a:srcRect/>
                          <a:stretch>
                            <a:fillRect/>
                          </a:stretch>
                        </pic:blipFill>
                        <pic:spPr>
                          <a:xfrm>
                            <a:off x="0" y="0"/>
                            <a:ext cx="382270" cy="390525"/>
                          </a:xfrm>
                          <a:prstGeom prst="rect">
                            <a:avLst/>
                          </a:prstGeom>
                          <a:noFill/>
                          <a:ln>
                            <a:noFill/>
                          </a:ln>
                        </pic:spPr>
                      </pic:pic>
                    </a:graphicData>
                  </a:graphic>
                </wp:inline>
              </w:drawing>
            </w:r>
          </w:p>
        </w:tc>
        <w:tc>
          <w:tcPr>
            <w:tcW w:w="915" w:type="pct"/>
            <w:tcBorders>
              <w:tl2br w:val="nil"/>
              <w:tr2bl w:val="nil"/>
            </w:tcBorders>
            <w:vAlign w:val="center"/>
          </w:tcPr>
          <w:p w14:paraId="47DF868A">
            <w:pPr>
              <w:pStyle w:val="160"/>
              <w:rPr>
                <w:lang w:eastAsia="en-US"/>
              </w:rPr>
            </w:pPr>
            <w:r>
              <w:drawing>
                <wp:inline distT="0" distB="0" distL="0" distR="0">
                  <wp:extent cx="417830" cy="424815"/>
                  <wp:effectExtent l="0" t="0" r="0" b="0"/>
                  <wp:docPr id="53" name="图片 31" descr="1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31" descr="13002"/>
                          <pic:cNvPicPr>
                            <a:picLocks noChangeAspect="1" noChangeArrowheads="1"/>
                          </pic:cNvPicPr>
                        </pic:nvPicPr>
                        <pic:blipFill>
                          <a:blip r:embed="rId143"/>
                          <a:srcRect/>
                          <a:stretch>
                            <a:fillRect/>
                          </a:stretch>
                        </pic:blipFill>
                        <pic:spPr>
                          <a:xfrm>
                            <a:off x="0" y="0"/>
                            <a:ext cx="417830" cy="424815"/>
                          </a:xfrm>
                          <a:prstGeom prst="rect">
                            <a:avLst/>
                          </a:prstGeom>
                          <a:noFill/>
                          <a:ln>
                            <a:noFill/>
                          </a:ln>
                        </pic:spPr>
                      </pic:pic>
                    </a:graphicData>
                  </a:graphic>
                </wp:inline>
              </w:drawing>
            </w:r>
          </w:p>
        </w:tc>
        <w:tc>
          <w:tcPr>
            <w:tcW w:w="915" w:type="pct"/>
            <w:tcBorders>
              <w:tl2br w:val="nil"/>
              <w:tr2bl w:val="nil"/>
            </w:tcBorders>
            <w:vAlign w:val="center"/>
          </w:tcPr>
          <w:p w14:paraId="653941F5">
            <w:pPr>
              <w:pStyle w:val="160"/>
              <w:rPr>
                <w:lang w:eastAsia="en-US"/>
              </w:rPr>
            </w:pPr>
            <w:r>
              <w:rPr>
                <w:lang w:eastAsia="en-US"/>
              </w:rPr>
              <w:t>废水排放口</w:t>
            </w:r>
          </w:p>
        </w:tc>
        <w:tc>
          <w:tcPr>
            <w:tcW w:w="1859" w:type="pct"/>
            <w:tcBorders>
              <w:tl2br w:val="nil"/>
              <w:tr2bl w:val="nil"/>
            </w:tcBorders>
            <w:vAlign w:val="center"/>
          </w:tcPr>
          <w:p w14:paraId="60A44E6F">
            <w:pPr>
              <w:pStyle w:val="160"/>
              <w:rPr>
                <w:lang w:eastAsia="en-US"/>
              </w:rPr>
            </w:pPr>
            <w:r>
              <w:rPr>
                <w:lang w:eastAsia="en-US"/>
              </w:rPr>
              <w:t>表示废水向水体排放</w:t>
            </w:r>
          </w:p>
        </w:tc>
      </w:tr>
      <w:tr w14:paraId="02E839F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95" w:type="pct"/>
            <w:tcBorders>
              <w:tl2br w:val="nil"/>
              <w:tr2bl w:val="nil"/>
            </w:tcBorders>
            <w:vAlign w:val="center"/>
          </w:tcPr>
          <w:p w14:paraId="3A62F1E8">
            <w:pPr>
              <w:pStyle w:val="160"/>
              <w:rPr>
                <w:lang w:eastAsia="en-US"/>
              </w:rPr>
            </w:pPr>
            <w:r>
              <w:rPr>
                <w:lang w:eastAsia="en-US"/>
              </w:rPr>
              <w:t>2</w:t>
            </w:r>
          </w:p>
        </w:tc>
        <w:tc>
          <w:tcPr>
            <w:tcW w:w="915" w:type="pct"/>
            <w:tcBorders>
              <w:tl2br w:val="nil"/>
              <w:tr2bl w:val="nil"/>
            </w:tcBorders>
            <w:vAlign w:val="center"/>
          </w:tcPr>
          <w:p w14:paraId="00E72907">
            <w:pPr>
              <w:pStyle w:val="160"/>
              <w:rPr>
                <w:lang w:eastAsia="en-US"/>
              </w:rPr>
            </w:pPr>
            <w:r>
              <w:drawing>
                <wp:inline distT="0" distB="0" distL="0" distR="0">
                  <wp:extent cx="362585" cy="370840"/>
                  <wp:effectExtent l="0" t="0" r="0" b="0"/>
                  <wp:docPr id="54" name="图片 32" descr="1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32" descr="13003"/>
                          <pic:cNvPicPr>
                            <a:picLocks noChangeAspect="1" noChangeArrowheads="1"/>
                          </pic:cNvPicPr>
                        </pic:nvPicPr>
                        <pic:blipFill>
                          <a:blip r:embed="rId144"/>
                          <a:srcRect/>
                          <a:stretch>
                            <a:fillRect/>
                          </a:stretch>
                        </pic:blipFill>
                        <pic:spPr>
                          <a:xfrm>
                            <a:off x="0" y="0"/>
                            <a:ext cx="362585" cy="370840"/>
                          </a:xfrm>
                          <a:prstGeom prst="rect">
                            <a:avLst/>
                          </a:prstGeom>
                          <a:noFill/>
                          <a:ln>
                            <a:noFill/>
                          </a:ln>
                        </pic:spPr>
                      </pic:pic>
                    </a:graphicData>
                  </a:graphic>
                </wp:inline>
              </w:drawing>
            </w:r>
          </w:p>
        </w:tc>
        <w:tc>
          <w:tcPr>
            <w:tcW w:w="915" w:type="pct"/>
            <w:tcBorders>
              <w:tl2br w:val="nil"/>
              <w:tr2bl w:val="nil"/>
            </w:tcBorders>
            <w:vAlign w:val="center"/>
          </w:tcPr>
          <w:p w14:paraId="3F1D998E">
            <w:pPr>
              <w:pStyle w:val="160"/>
              <w:rPr>
                <w:lang w:eastAsia="en-US"/>
              </w:rPr>
            </w:pPr>
            <w:r>
              <w:drawing>
                <wp:inline distT="0" distB="0" distL="0" distR="0">
                  <wp:extent cx="400050" cy="401320"/>
                  <wp:effectExtent l="0" t="0" r="0" b="0"/>
                  <wp:docPr id="55" name="图片 33"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33" descr="4"/>
                          <pic:cNvPicPr>
                            <a:picLocks noChangeAspect="1" noChangeArrowheads="1"/>
                          </pic:cNvPicPr>
                        </pic:nvPicPr>
                        <pic:blipFill>
                          <a:blip r:embed="rId145"/>
                          <a:srcRect/>
                          <a:stretch>
                            <a:fillRect/>
                          </a:stretch>
                        </pic:blipFill>
                        <pic:spPr>
                          <a:xfrm>
                            <a:off x="0" y="0"/>
                            <a:ext cx="400050" cy="401320"/>
                          </a:xfrm>
                          <a:prstGeom prst="rect">
                            <a:avLst/>
                          </a:prstGeom>
                          <a:noFill/>
                          <a:ln>
                            <a:noFill/>
                          </a:ln>
                        </pic:spPr>
                      </pic:pic>
                    </a:graphicData>
                  </a:graphic>
                </wp:inline>
              </w:drawing>
            </w:r>
          </w:p>
        </w:tc>
        <w:tc>
          <w:tcPr>
            <w:tcW w:w="915" w:type="pct"/>
            <w:tcBorders>
              <w:tl2br w:val="nil"/>
              <w:tr2bl w:val="nil"/>
            </w:tcBorders>
            <w:vAlign w:val="center"/>
          </w:tcPr>
          <w:p w14:paraId="6D98B646">
            <w:pPr>
              <w:pStyle w:val="160"/>
              <w:rPr>
                <w:lang w:eastAsia="en-US"/>
              </w:rPr>
            </w:pPr>
            <w:r>
              <w:rPr>
                <w:lang w:eastAsia="en-US"/>
              </w:rPr>
              <w:t>废气排放口</w:t>
            </w:r>
          </w:p>
        </w:tc>
        <w:tc>
          <w:tcPr>
            <w:tcW w:w="1859" w:type="pct"/>
            <w:tcBorders>
              <w:tl2br w:val="nil"/>
              <w:tr2bl w:val="nil"/>
            </w:tcBorders>
            <w:vAlign w:val="center"/>
          </w:tcPr>
          <w:p w14:paraId="169590FF">
            <w:pPr>
              <w:pStyle w:val="160"/>
            </w:pPr>
            <w:r>
              <w:t>表示废气向大气环境排放</w:t>
            </w:r>
          </w:p>
        </w:tc>
      </w:tr>
      <w:tr w14:paraId="6F23F31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95" w:type="pct"/>
            <w:tcBorders>
              <w:tl2br w:val="nil"/>
              <w:tr2bl w:val="nil"/>
            </w:tcBorders>
            <w:vAlign w:val="center"/>
          </w:tcPr>
          <w:p w14:paraId="22047C78">
            <w:pPr>
              <w:pStyle w:val="160"/>
              <w:rPr>
                <w:lang w:eastAsia="en-US"/>
              </w:rPr>
            </w:pPr>
            <w:r>
              <w:rPr>
                <w:lang w:eastAsia="en-US"/>
              </w:rPr>
              <w:t>3</w:t>
            </w:r>
          </w:p>
        </w:tc>
        <w:tc>
          <w:tcPr>
            <w:tcW w:w="915" w:type="pct"/>
            <w:tcBorders>
              <w:tl2br w:val="nil"/>
              <w:tr2bl w:val="nil"/>
            </w:tcBorders>
            <w:vAlign w:val="center"/>
          </w:tcPr>
          <w:p w14:paraId="2127C2DE">
            <w:pPr>
              <w:pStyle w:val="160"/>
              <w:rPr>
                <w:lang w:eastAsia="en-US"/>
              </w:rPr>
            </w:pPr>
            <w:r>
              <w:drawing>
                <wp:inline distT="0" distB="0" distL="0" distR="0">
                  <wp:extent cx="410210" cy="412750"/>
                  <wp:effectExtent l="0" t="0" r="0" b="0"/>
                  <wp:docPr id="56" name="图片 34" descr="1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34" descr="14001"/>
                          <pic:cNvPicPr>
                            <a:picLocks noChangeAspect="1" noChangeArrowheads="1"/>
                          </pic:cNvPicPr>
                        </pic:nvPicPr>
                        <pic:blipFill>
                          <a:blip r:embed="rId146"/>
                          <a:srcRect/>
                          <a:stretch>
                            <a:fillRect/>
                          </a:stretch>
                        </pic:blipFill>
                        <pic:spPr>
                          <a:xfrm>
                            <a:off x="0" y="0"/>
                            <a:ext cx="410210" cy="412750"/>
                          </a:xfrm>
                          <a:prstGeom prst="rect">
                            <a:avLst/>
                          </a:prstGeom>
                          <a:noFill/>
                          <a:ln>
                            <a:noFill/>
                          </a:ln>
                        </pic:spPr>
                      </pic:pic>
                    </a:graphicData>
                  </a:graphic>
                </wp:inline>
              </w:drawing>
            </w:r>
          </w:p>
        </w:tc>
        <w:tc>
          <w:tcPr>
            <w:tcW w:w="915" w:type="pct"/>
            <w:tcBorders>
              <w:tl2br w:val="nil"/>
              <w:tr2bl w:val="nil"/>
            </w:tcBorders>
            <w:vAlign w:val="center"/>
          </w:tcPr>
          <w:p w14:paraId="0D6B7CC4">
            <w:pPr>
              <w:pStyle w:val="160"/>
              <w:rPr>
                <w:lang w:eastAsia="en-US"/>
              </w:rPr>
            </w:pPr>
            <w:r>
              <w:drawing>
                <wp:inline distT="0" distB="0" distL="0" distR="0">
                  <wp:extent cx="457200" cy="429895"/>
                  <wp:effectExtent l="0" t="0" r="0" b="0"/>
                  <wp:docPr id="57" name="图片 35" descr="14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35" descr="14002"/>
                          <pic:cNvPicPr>
                            <a:picLocks noChangeAspect="1" noChangeArrowheads="1"/>
                          </pic:cNvPicPr>
                        </pic:nvPicPr>
                        <pic:blipFill>
                          <a:blip r:embed="rId147"/>
                          <a:srcRect/>
                          <a:stretch>
                            <a:fillRect/>
                          </a:stretch>
                        </pic:blipFill>
                        <pic:spPr>
                          <a:xfrm>
                            <a:off x="0" y="0"/>
                            <a:ext cx="457200" cy="429895"/>
                          </a:xfrm>
                          <a:prstGeom prst="rect">
                            <a:avLst/>
                          </a:prstGeom>
                          <a:noFill/>
                          <a:ln>
                            <a:noFill/>
                          </a:ln>
                        </pic:spPr>
                      </pic:pic>
                    </a:graphicData>
                  </a:graphic>
                </wp:inline>
              </w:drawing>
            </w:r>
          </w:p>
        </w:tc>
        <w:tc>
          <w:tcPr>
            <w:tcW w:w="915" w:type="pct"/>
            <w:tcBorders>
              <w:tl2br w:val="nil"/>
              <w:tr2bl w:val="nil"/>
            </w:tcBorders>
            <w:vAlign w:val="center"/>
          </w:tcPr>
          <w:p w14:paraId="6F9E34EE">
            <w:pPr>
              <w:pStyle w:val="160"/>
              <w:rPr>
                <w:lang w:eastAsia="en-US"/>
              </w:rPr>
            </w:pPr>
            <w:r>
              <w:rPr>
                <w:lang w:eastAsia="en-US"/>
              </w:rPr>
              <w:t>一般固体废物</w:t>
            </w:r>
          </w:p>
        </w:tc>
        <w:tc>
          <w:tcPr>
            <w:tcW w:w="1859" w:type="pct"/>
            <w:tcBorders>
              <w:tl2br w:val="nil"/>
              <w:tr2bl w:val="nil"/>
            </w:tcBorders>
            <w:vAlign w:val="center"/>
          </w:tcPr>
          <w:p w14:paraId="2361847A">
            <w:pPr>
              <w:pStyle w:val="160"/>
            </w:pPr>
            <w:r>
              <w:t>表示一般固体废物贮存、处置场</w:t>
            </w:r>
          </w:p>
        </w:tc>
      </w:tr>
      <w:tr w14:paraId="6F86BC7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95" w:type="pct"/>
            <w:tcBorders>
              <w:tl2br w:val="nil"/>
              <w:tr2bl w:val="nil"/>
            </w:tcBorders>
            <w:vAlign w:val="center"/>
          </w:tcPr>
          <w:p w14:paraId="5131B117">
            <w:pPr>
              <w:pStyle w:val="160"/>
            </w:pPr>
            <w:r>
              <w:t>4</w:t>
            </w:r>
          </w:p>
        </w:tc>
        <w:tc>
          <w:tcPr>
            <w:tcW w:w="915" w:type="pct"/>
            <w:tcBorders>
              <w:tl2br w:val="nil"/>
              <w:tr2bl w:val="nil"/>
            </w:tcBorders>
            <w:vAlign w:val="center"/>
          </w:tcPr>
          <w:p w14:paraId="7A63A362">
            <w:pPr>
              <w:pStyle w:val="160"/>
            </w:pPr>
            <w:r>
              <w:drawing>
                <wp:inline distT="0" distB="0" distL="0" distR="0">
                  <wp:extent cx="415925" cy="418465"/>
                  <wp:effectExtent l="0" t="0" r="0" b="0"/>
                  <wp:docPr id="58" name="图片 34" descr="1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34" descr="14001"/>
                          <pic:cNvPicPr>
                            <a:picLocks noChangeAspect="1" noChangeArrowheads="1"/>
                          </pic:cNvPicPr>
                        </pic:nvPicPr>
                        <pic:blipFill>
                          <a:blip r:embed="rId148"/>
                          <a:srcRect/>
                          <a:stretch>
                            <a:fillRect/>
                          </a:stretch>
                        </pic:blipFill>
                        <pic:spPr>
                          <a:xfrm>
                            <a:off x="0" y="0"/>
                            <a:ext cx="415925" cy="418465"/>
                          </a:xfrm>
                          <a:prstGeom prst="rect">
                            <a:avLst/>
                          </a:prstGeom>
                          <a:noFill/>
                          <a:ln>
                            <a:noFill/>
                          </a:ln>
                        </pic:spPr>
                      </pic:pic>
                    </a:graphicData>
                  </a:graphic>
                </wp:inline>
              </w:drawing>
            </w:r>
          </w:p>
        </w:tc>
        <w:tc>
          <w:tcPr>
            <w:tcW w:w="915" w:type="pct"/>
            <w:tcBorders>
              <w:tl2br w:val="nil"/>
              <w:tr2bl w:val="nil"/>
            </w:tcBorders>
            <w:vAlign w:val="center"/>
          </w:tcPr>
          <w:p w14:paraId="5B7FD33F">
            <w:pPr>
              <w:pStyle w:val="160"/>
            </w:pPr>
            <w:r>
              <w:drawing>
                <wp:inline distT="0" distB="0" distL="114300" distR="114300">
                  <wp:extent cx="462280" cy="385445"/>
                  <wp:effectExtent l="0" t="0" r="13970" b="14605"/>
                  <wp:docPr id="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6"/>
                          <pic:cNvPicPr>
                            <a:picLocks noChangeAspect="1"/>
                          </pic:cNvPicPr>
                        </pic:nvPicPr>
                        <pic:blipFill>
                          <a:blip r:embed="rId149"/>
                          <a:stretch>
                            <a:fillRect/>
                          </a:stretch>
                        </pic:blipFill>
                        <pic:spPr>
                          <a:xfrm>
                            <a:off x="0" y="0"/>
                            <a:ext cx="462280" cy="385445"/>
                          </a:xfrm>
                          <a:prstGeom prst="rect">
                            <a:avLst/>
                          </a:prstGeom>
                          <a:noFill/>
                          <a:ln>
                            <a:noFill/>
                          </a:ln>
                        </pic:spPr>
                      </pic:pic>
                    </a:graphicData>
                  </a:graphic>
                </wp:inline>
              </w:drawing>
            </w:r>
          </w:p>
        </w:tc>
        <w:tc>
          <w:tcPr>
            <w:tcW w:w="915" w:type="pct"/>
            <w:tcBorders>
              <w:tl2br w:val="nil"/>
              <w:tr2bl w:val="nil"/>
            </w:tcBorders>
            <w:vAlign w:val="center"/>
          </w:tcPr>
          <w:p w14:paraId="51D80069">
            <w:pPr>
              <w:pStyle w:val="160"/>
              <w:rPr>
                <w:lang w:eastAsia="en-US"/>
              </w:rPr>
            </w:pPr>
            <w:r>
              <w:t>危险废物</w:t>
            </w:r>
          </w:p>
        </w:tc>
        <w:tc>
          <w:tcPr>
            <w:tcW w:w="1859" w:type="pct"/>
            <w:tcBorders>
              <w:tl2br w:val="nil"/>
              <w:tr2bl w:val="nil"/>
            </w:tcBorders>
            <w:vAlign w:val="center"/>
          </w:tcPr>
          <w:p w14:paraId="6694A4E4">
            <w:pPr>
              <w:pStyle w:val="160"/>
            </w:pPr>
            <w:r>
              <w:t>表示危险废物贮存、处置场</w:t>
            </w:r>
          </w:p>
        </w:tc>
      </w:tr>
      <w:tr w14:paraId="2E257E8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95" w:type="pct"/>
            <w:tcBorders>
              <w:tl2br w:val="nil"/>
              <w:tr2bl w:val="nil"/>
            </w:tcBorders>
            <w:vAlign w:val="center"/>
          </w:tcPr>
          <w:p w14:paraId="1EF9ABFA">
            <w:pPr>
              <w:pStyle w:val="160"/>
              <w:rPr>
                <w:lang w:eastAsia="en-US"/>
              </w:rPr>
            </w:pPr>
            <w:r>
              <w:rPr>
                <w:lang w:eastAsia="en-US"/>
              </w:rPr>
              <w:t>5</w:t>
            </w:r>
          </w:p>
        </w:tc>
        <w:tc>
          <w:tcPr>
            <w:tcW w:w="915" w:type="pct"/>
            <w:tcBorders>
              <w:tl2br w:val="nil"/>
              <w:tr2bl w:val="nil"/>
            </w:tcBorders>
            <w:vAlign w:val="center"/>
          </w:tcPr>
          <w:p w14:paraId="6B4761DF">
            <w:pPr>
              <w:pStyle w:val="160"/>
              <w:rPr>
                <w:lang w:eastAsia="en-US"/>
              </w:rPr>
            </w:pPr>
            <w:r>
              <w:drawing>
                <wp:inline distT="0" distB="0" distL="0" distR="0">
                  <wp:extent cx="390525" cy="390525"/>
                  <wp:effectExtent l="0" t="0" r="0" b="0"/>
                  <wp:docPr id="60" name="图片 36" descr="200602201518049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36" descr="200602201518049853"/>
                          <pic:cNvPicPr>
                            <a:picLocks noChangeAspect="1" noChangeArrowheads="1"/>
                          </pic:cNvPicPr>
                        </pic:nvPicPr>
                        <pic:blipFill>
                          <a:blip r:embed="rId150"/>
                          <a:srcRect/>
                          <a:stretch>
                            <a:fillRect/>
                          </a:stretch>
                        </pic:blipFill>
                        <pic:spPr>
                          <a:xfrm>
                            <a:off x="0" y="0"/>
                            <a:ext cx="390525" cy="390525"/>
                          </a:xfrm>
                          <a:prstGeom prst="rect">
                            <a:avLst/>
                          </a:prstGeom>
                          <a:noFill/>
                          <a:ln>
                            <a:noFill/>
                          </a:ln>
                        </pic:spPr>
                      </pic:pic>
                    </a:graphicData>
                  </a:graphic>
                </wp:inline>
              </w:drawing>
            </w:r>
          </w:p>
        </w:tc>
        <w:tc>
          <w:tcPr>
            <w:tcW w:w="915" w:type="pct"/>
            <w:tcBorders>
              <w:tl2br w:val="nil"/>
              <w:tr2bl w:val="nil"/>
            </w:tcBorders>
            <w:vAlign w:val="center"/>
          </w:tcPr>
          <w:p w14:paraId="2C828FDD">
            <w:pPr>
              <w:pStyle w:val="160"/>
              <w:rPr>
                <w:lang w:eastAsia="en-US"/>
              </w:rPr>
            </w:pPr>
            <w:r>
              <w:drawing>
                <wp:inline distT="0" distB="0" distL="0" distR="0">
                  <wp:extent cx="471805" cy="418465"/>
                  <wp:effectExtent l="0" t="0" r="0" b="0"/>
                  <wp:docPr id="61" name="图片 37" descr="200602201519018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37" descr="200602201519018631"/>
                          <pic:cNvPicPr>
                            <a:picLocks noChangeAspect="1" noChangeArrowheads="1"/>
                          </pic:cNvPicPr>
                        </pic:nvPicPr>
                        <pic:blipFill>
                          <a:blip r:embed="rId151"/>
                          <a:srcRect/>
                          <a:stretch>
                            <a:fillRect/>
                          </a:stretch>
                        </pic:blipFill>
                        <pic:spPr>
                          <a:xfrm>
                            <a:off x="0" y="0"/>
                            <a:ext cx="471805" cy="418465"/>
                          </a:xfrm>
                          <a:prstGeom prst="rect">
                            <a:avLst/>
                          </a:prstGeom>
                          <a:noFill/>
                          <a:ln>
                            <a:noFill/>
                          </a:ln>
                        </pic:spPr>
                      </pic:pic>
                    </a:graphicData>
                  </a:graphic>
                </wp:inline>
              </w:drawing>
            </w:r>
          </w:p>
        </w:tc>
        <w:tc>
          <w:tcPr>
            <w:tcW w:w="915" w:type="pct"/>
            <w:tcBorders>
              <w:tl2br w:val="nil"/>
              <w:tr2bl w:val="nil"/>
            </w:tcBorders>
            <w:vAlign w:val="center"/>
          </w:tcPr>
          <w:p w14:paraId="27D5E1D6">
            <w:pPr>
              <w:pStyle w:val="160"/>
              <w:rPr>
                <w:lang w:eastAsia="en-US"/>
              </w:rPr>
            </w:pPr>
            <w:r>
              <w:rPr>
                <w:lang w:eastAsia="en-US"/>
              </w:rPr>
              <w:t>噪声排放源</w:t>
            </w:r>
          </w:p>
        </w:tc>
        <w:tc>
          <w:tcPr>
            <w:tcW w:w="1859" w:type="pct"/>
            <w:tcBorders>
              <w:tl2br w:val="nil"/>
              <w:tr2bl w:val="nil"/>
            </w:tcBorders>
            <w:vAlign w:val="center"/>
          </w:tcPr>
          <w:p w14:paraId="53458C55">
            <w:pPr>
              <w:pStyle w:val="160"/>
            </w:pPr>
            <w:r>
              <w:t>表示噪声向外环境排放</w:t>
            </w:r>
          </w:p>
        </w:tc>
      </w:tr>
    </w:tbl>
    <w:p w14:paraId="6F74FA14">
      <w:pPr>
        <w:pStyle w:val="4"/>
        <w:rPr>
          <w:rFonts w:ascii="Times New Roman" w:hAnsi="Times New Roman" w:eastAsia="宋体"/>
          <w:color w:val="auto"/>
        </w:rPr>
      </w:pPr>
      <w:bookmarkStart w:id="624" w:name="_Toc239274302"/>
      <w:r>
        <w:rPr>
          <w:rFonts w:ascii="Times New Roman" w:hAnsi="Times New Roman" w:eastAsia="宋体"/>
          <w:color w:val="auto"/>
        </w:rPr>
        <w:t>9.4排污许可证及环境保护竣工验收</w:t>
      </w:r>
      <w:bookmarkEnd w:id="624"/>
    </w:p>
    <w:p w14:paraId="75AAD210">
      <w:pPr>
        <w:pStyle w:val="184"/>
        <w:snapToGrid w:val="0"/>
        <w:ind w:firstLine="480"/>
        <w:rPr>
          <w:rFonts w:ascii="Times New Roman" w:hAnsi="Times New Roman"/>
        </w:rPr>
      </w:pPr>
      <w:r>
        <w:rPr>
          <w:rFonts w:ascii="Times New Roman" w:hAnsi="Times New Roman"/>
        </w:rPr>
        <w:t>（1）排污许可</w:t>
      </w:r>
    </w:p>
    <w:p w14:paraId="3549B94F">
      <w:pPr>
        <w:pStyle w:val="184"/>
        <w:snapToGrid w:val="0"/>
        <w:ind w:firstLine="480"/>
        <w:rPr>
          <w:rFonts w:ascii="Times New Roman" w:hAnsi="Times New Roman"/>
        </w:rPr>
      </w:pPr>
      <w:r>
        <w:rPr>
          <w:rFonts w:ascii="Times New Roman" w:hAnsi="Times New Roman"/>
        </w:rPr>
        <w:t>按照《排污许可管理办法（试行）》（环保部令48号），新建排污单位应在启动生产设施或者发生实际排污之前申请取得排污许可证。</w:t>
      </w:r>
    </w:p>
    <w:p w14:paraId="6856CB29">
      <w:pPr>
        <w:pStyle w:val="184"/>
        <w:snapToGrid w:val="0"/>
        <w:ind w:firstLine="480"/>
        <w:rPr>
          <w:rFonts w:ascii="Times New Roman" w:hAnsi="Times New Roman"/>
        </w:rPr>
      </w:pPr>
      <w:r>
        <w:rPr>
          <w:rFonts w:ascii="Times New Roman" w:hAnsi="Times New Roman"/>
        </w:rPr>
        <w:t>本项目为选矿项目，属于《固定污染源排污许可分类管理名录》（2019年版）中“四、黑色金属矿采选业”，应按要求及时申报排污许可证。</w:t>
      </w:r>
    </w:p>
    <w:p w14:paraId="64BCDE53">
      <w:pPr>
        <w:pStyle w:val="184"/>
        <w:snapToGrid w:val="0"/>
        <w:ind w:firstLine="480"/>
        <w:rPr>
          <w:rFonts w:ascii="Times New Roman" w:hAnsi="Times New Roman"/>
        </w:rPr>
      </w:pPr>
      <w:r>
        <w:rPr>
          <w:rFonts w:ascii="Times New Roman" w:hAnsi="Times New Roman"/>
        </w:rPr>
        <w:t>（2）环境保护验收</w:t>
      </w:r>
    </w:p>
    <w:p w14:paraId="3CAA0EB6">
      <w:pPr>
        <w:pStyle w:val="184"/>
        <w:snapToGrid w:val="0"/>
        <w:ind w:firstLine="480"/>
        <w:rPr>
          <w:rFonts w:ascii="Times New Roman" w:hAnsi="Times New Roman"/>
        </w:rPr>
      </w:pPr>
      <w:r>
        <w:rPr>
          <w:rFonts w:ascii="Times New Roman" w:hAnsi="Times New Roman"/>
        </w:rPr>
        <w:t>本项目中的污染防治措施必须与主体工程同时设计、同时施工、同时投产使用。防治污染的设施必须通过验收合格后，项目方可投入生产和使用。三同时验收一览表建表9.4-1。</w:t>
      </w:r>
    </w:p>
    <w:p w14:paraId="63033FEB">
      <w:pPr>
        <w:pStyle w:val="184"/>
        <w:snapToGrid w:val="0"/>
        <w:ind w:firstLine="480"/>
        <w:rPr>
          <w:rFonts w:ascii="Times New Roman" w:hAnsi="Times New Roman"/>
        </w:rPr>
      </w:pPr>
    </w:p>
    <w:p w14:paraId="0EB8187B">
      <w:pPr>
        <w:pStyle w:val="184"/>
        <w:snapToGrid w:val="0"/>
        <w:ind w:firstLine="480"/>
        <w:rPr>
          <w:rFonts w:ascii="Times New Roman" w:hAnsi="Times New Roman"/>
        </w:rPr>
      </w:pPr>
    </w:p>
    <w:p w14:paraId="478FCEB2">
      <w:pPr>
        <w:pStyle w:val="184"/>
        <w:snapToGrid w:val="0"/>
        <w:ind w:firstLine="480"/>
        <w:rPr>
          <w:rFonts w:ascii="Times New Roman" w:hAnsi="Times New Roman"/>
        </w:rPr>
      </w:pPr>
    </w:p>
    <w:p w14:paraId="72F95C5A">
      <w:pPr>
        <w:pStyle w:val="184"/>
        <w:snapToGrid w:val="0"/>
        <w:ind w:firstLine="480"/>
        <w:rPr>
          <w:rFonts w:ascii="Times New Roman" w:hAnsi="Times New Roman"/>
        </w:rPr>
      </w:pPr>
    </w:p>
    <w:p w14:paraId="3813469B">
      <w:pPr>
        <w:pStyle w:val="184"/>
        <w:snapToGrid w:val="0"/>
        <w:ind w:firstLine="480"/>
        <w:rPr>
          <w:rFonts w:ascii="Times New Roman" w:hAnsi="Times New Roman"/>
        </w:rPr>
      </w:pPr>
    </w:p>
    <w:p w14:paraId="6358D2CB">
      <w:pPr>
        <w:pStyle w:val="184"/>
        <w:snapToGrid w:val="0"/>
        <w:ind w:firstLine="480"/>
        <w:rPr>
          <w:rFonts w:ascii="Times New Roman" w:hAnsi="Times New Roman"/>
        </w:rPr>
      </w:pPr>
    </w:p>
    <w:p w14:paraId="619B9760">
      <w:pPr>
        <w:pStyle w:val="184"/>
        <w:snapToGrid w:val="0"/>
        <w:ind w:firstLine="480"/>
        <w:rPr>
          <w:rFonts w:ascii="Times New Roman" w:hAnsi="Times New Roman"/>
        </w:rPr>
      </w:pPr>
    </w:p>
    <w:p w14:paraId="290B31B7">
      <w:pPr>
        <w:pStyle w:val="143"/>
        <w:spacing w:before="156"/>
      </w:pPr>
      <w:r>
        <w:rPr>
          <w:b/>
          <w:bCs w:val="0"/>
        </w:rPr>
        <w:t xml:space="preserve">表9.4-1 </w:t>
      </w:r>
      <w:r>
        <w:rPr>
          <w:rFonts w:hint="eastAsia"/>
          <w:b/>
          <w:bCs w:val="0"/>
        </w:rPr>
        <w:t xml:space="preserve">   </w:t>
      </w:r>
      <w:r>
        <w:rPr>
          <w:b/>
          <w:bCs w:val="0"/>
        </w:rPr>
        <w:t xml:space="preserve"> 本项目三同时验收一览表</w:t>
      </w:r>
    </w:p>
    <w:tbl>
      <w:tblPr>
        <w:tblStyle w:val="89"/>
        <w:tblW w:w="5287"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821"/>
        <w:gridCol w:w="622"/>
        <w:gridCol w:w="1095"/>
        <w:gridCol w:w="3702"/>
        <w:gridCol w:w="2549"/>
      </w:tblGrid>
      <w:tr w14:paraId="3A0CDDD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467" w:type="pct"/>
            <w:tcBorders>
              <w:tl2br w:val="nil"/>
              <w:tr2bl w:val="nil"/>
            </w:tcBorders>
            <w:vAlign w:val="center"/>
          </w:tcPr>
          <w:p w14:paraId="2D7F0C47">
            <w:pPr>
              <w:pStyle w:val="211"/>
              <w:snapToGrid w:val="0"/>
              <w:spacing w:before="0" w:beforeLines="0" w:afterLines="0" w:line="240" w:lineRule="auto"/>
              <w:rPr>
                <w:color w:val="auto"/>
                <w:sz w:val="21"/>
                <w:szCs w:val="21"/>
              </w:rPr>
            </w:pPr>
            <w:r>
              <w:rPr>
                <w:color w:val="auto"/>
                <w:sz w:val="21"/>
                <w:szCs w:val="21"/>
              </w:rPr>
              <w:t>类别</w:t>
            </w:r>
          </w:p>
        </w:tc>
        <w:tc>
          <w:tcPr>
            <w:tcW w:w="977" w:type="pct"/>
            <w:gridSpan w:val="2"/>
            <w:tcBorders>
              <w:tl2br w:val="nil"/>
              <w:tr2bl w:val="nil"/>
            </w:tcBorders>
            <w:vAlign w:val="center"/>
          </w:tcPr>
          <w:p w14:paraId="7E06CE9D">
            <w:pPr>
              <w:pStyle w:val="211"/>
              <w:snapToGrid w:val="0"/>
              <w:spacing w:before="0" w:beforeLines="0" w:afterLines="0" w:line="240" w:lineRule="auto"/>
              <w:rPr>
                <w:color w:val="auto"/>
                <w:sz w:val="21"/>
                <w:szCs w:val="21"/>
              </w:rPr>
            </w:pPr>
            <w:r>
              <w:rPr>
                <w:color w:val="auto"/>
                <w:sz w:val="21"/>
                <w:szCs w:val="21"/>
              </w:rPr>
              <w:t>产污节点</w:t>
            </w:r>
          </w:p>
        </w:tc>
        <w:tc>
          <w:tcPr>
            <w:tcW w:w="2105" w:type="pct"/>
            <w:tcBorders>
              <w:tl2br w:val="nil"/>
              <w:tr2bl w:val="nil"/>
            </w:tcBorders>
            <w:vAlign w:val="center"/>
          </w:tcPr>
          <w:p w14:paraId="66316088">
            <w:pPr>
              <w:pStyle w:val="211"/>
              <w:snapToGrid w:val="0"/>
              <w:spacing w:before="0" w:beforeLines="0" w:afterLines="0" w:line="240" w:lineRule="auto"/>
              <w:rPr>
                <w:color w:val="auto"/>
                <w:sz w:val="21"/>
                <w:szCs w:val="21"/>
              </w:rPr>
            </w:pPr>
            <w:r>
              <w:rPr>
                <w:color w:val="auto"/>
                <w:sz w:val="21"/>
                <w:szCs w:val="21"/>
              </w:rPr>
              <w:t>环保设施</w:t>
            </w:r>
          </w:p>
        </w:tc>
        <w:tc>
          <w:tcPr>
            <w:tcW w:w="1450" w:type="pct"/>
            <w:tcBorders>
              <w:tl2br w:val="nil"/>
              <w:tr2bl w:val="nil"/>
            </w:tcBorders>
            <w:vAlign w:val="center"/>
          </w:tcPr>
          <w:p w14:paraId="0F513938">
            <w:pPr>
              <w:pStyle w:val="211"/>
              <w:snapToGrid w:val="0"/>
              <w:spacing w:before="0" w:beforeLines="0" w:afterLines="0" w:line="240" w:lineRule="auto"/>
              <w:rPr>
                <w:color w:val="auto"/>
                <w:sz w:val="21"/>
                <w:szCs w:val="21"/>
              </w:rPr>
            </w:pPr>
            <w:r>
              <w:rPr>
                <w:color w:val="auto"/>
                <w:sz w:val="21"/>
                <w:szCs w:val="21"/>
              </w:rPr>
              <w:t>验收要求</w:t>
            </w:r>
          </w:p>
        </w:tc>
      </w:tr>
      <w:tr w14:paraId="21FE0BD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3" w:hRule="atLeast"/>
          <w:jc w:val="center"/>
        </w:trPr>
        <w:tc>
          <w:tcPr>
            <w:tcW w:w="467" w:type="pct"/>
            <w:vMerge w:val="restart"/>
            <w:tcBorders>
              <w:tl2br w:val="nil"/>
              <w:tr2bl w:val="nil"/>
            </w:tcBorders>
            <w:vAlign w:val="center"/>
          </w:tcPr>
          <w:p w14:paraId="1AA6E89B">
            <w:pPr>
              <w:pStyle w:val="211"/>
              <w:snapToGrid w:val="0"/>
              <w:spacing w:before="0" w:beforeLines="0" w:afterLines="0" w:line="240" w:lineRule="auto"/>
              <w:rPr>
                <w:color w:val="auto"/>
                <w:sz w:val="21"/>
                <w:szCs w:val="21"/>
              </w:rPr>
            </w:pPr>
            <w:r>
              <w:rPr>
                <w:color w:val="auto"/>
                <w:sz w:val="21"/>
                <w:szCs w:val="21"/>
              </w:rPr>
              <w:t>废气</w:t>
            </w:r>
          </w:p>
        </w:tc>
        <w:tc>
          <w:tcPr>
            <w:tcW w:w="354" w:type="pct"/>
            <w:vMerge w:val="restart"/>
            <w:tcBorders>
              <w:tl2br w:val="nil"/>
              <w:tr2bl w:val="nil"/>
            </w:tcBorders>
            <w:vAlign w:val="center"/>
          </w:tcPr>
          <w:p w14:paraId="10364CF1">
            <w:pPr>
              <w:pStyle w:val="211"/>
              <w:snapToGrid w:val="0"/>
              <w:spacing w:before="0" w:beforeLines="0" w:afterLines="0" w:line="240" w:lineRule="auto"/>
              <w:rPr>
                <w:color w:val="auto"/>
                <w:sz w:val="21"/>
                <w:szCs w:val="21"/>
              </w:rPr>
            </w:pPr>
            <w:r>
              <w:rPr>
                <w:color w:val="auto"/>
                <w:sz w:val="21"/>
                <w:szCs w:val="21"/>
              </w:rPr>
              <w:t>机制砂工艺</w:t>
            </w:r>
          </w:p>
        </w:tc>
        <w:tc>
          <w:tcPr>
            <w:tcW w:w="623" w:type="pct"/>
            <w:tcBorders>
              <w:tl2br w:val="nil"/>
              <w:tr2bl w:val="nil"/>
            </w:tcBorders>
            <w:vAlign w:val="center"/>
          </w:tcPr>
          <w:p w14:paraId="0E3269BC">
            <w:pPr>
              <w:snapToGrid w:val="0"/>
              <w:spacing w:before="0" w:beforeLines="0" w:line="240" w:lineRule="auto"/>
              <w:jc w:val="center"/>
              <w:rPr>
                <w:kern w:val="0"/>
                <w:szCs w:val="21"/>
              </w:rPr>
            </w:pPr>
            <w:r>
              <w:rPr>
                <w:kern w:val="0"/>
                <w:szCs w:val="21"/>
              </w:rPr>
              <w:t>筛分</w:t>
            </w:r>
          </w:p>
        </w:tc>
        <w:tc>
          <w:tcPr>
            <w:tcW w:w="2105" w:type="pct"/>
            <w:tcBorders>
              <w:tl2br w:val="nil"/>
              <w:tr2bl w:val="nil"/>
            </w:tcBorders>
            <w:vAlign w:val="center"/>
          </w:tcPr>
          <w:p w14:paraId="3F0EFCE8">
            <w:pPr>
              <w:pStyle w:val="211"/>
              <w:snapToGrid w:val="0"/>
              <w:spacing w:before="0" w:beforeLines="0" w:afterLines="0" w:line="240" w:lineRule="auto"/>
              <w:jc w:val="both"/>
              <w:rPr>
                <w:color w:val="auto"/>
                <w:sz w:val="21"/>
                <w:szCs w:val="21"/>
              </w:rPr>
            </w:pPr>
            <w:r>
              <w:rPr>
                <w:color w:val="auto"/>
                <w:sz w:val="21"/>
                <w:szCs w:val="21"/>
              </w:rPr>
              <w:t>1#袋式除尘器+</w:t>
            </w:r>
            <w:r>
              <w:rPr>
                <w:rFonts w:hint="eastAsia"/>
                <w:color w:val="auto"/>
                <w:sz w:val="21"/>
                <w:szCs w:val="21"/>
              </w:rPr>
              <w:t>20</w:t>
            </w:r>
            <w:r>
              <w:rPr>
                <w:color w:val="auto"/>
                <w:sz w:val="21"/>
                <w:szCs w:val="21"/>
              </w:rPr>
              <w:t>m高排气筒（DA001）</w:t>
            </w:r>
          </w:p>
        </w:tc>
        <w:tc>
          <w:tcPr>
            <w:tcW w:w="1450" w:type="pct"/>
            <w:vMerge w:val="restart"/>
            <w:tcBorders>
              <w:tl2br w:val="nil"/>
              <w:tr2bl w:val="nil"/>
            </w:tcBorders>
            <w:vAlign w:val="center"/>
          </w:tcPr>
          <w:p w14:paraId="3D091F2E">
            <w:pPr>
              <w:pStyle w:val="211"/>
              <w:snapToGrid w:val="0"/>
              <w:spacing w:before="0" w:beforeLines="0" w:afterLines="0" w:line="240" w:lineRule="auto"/>
              <w:rPr>
                <w:color w:val="auto"/>
                <w:sz w:val="21"/>
                <w:szCs w:val="21"/>
              </w:rPr>
            </w:pPr>
            <w:r>
              <w:rPr>
                <w:color w:val="auto"/>
                <w:sz w:val="21"/>
                <w:szCs w:val="21"/>
              </w:rPr>
              <w:t>《铁矿采选工业污染物排放标准》（GB28661-2012）中表6特别限值要求</w:t>
            </w:r>
          </w:p>
        </w:tc>
      </w:tr>
      <w:tr w14:paraId="5585FE1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43" w:hRule="atLeast"/>
          <w:jc w:val="center"/>
        </w:trPr>
        <w:tc>
          <w:tcPr>
            <w:tcW w:w="467" w:type="pct"/>
            <w:vMerge w:val="continue"/>
            <w:tcBorders>
              <w:tl2br w:val="nil"/>
              <w:tr2bl w:val="nil"/>
            </w:tcBorders>
            <w:vAlign w:val="center"/>
          </w:tcPr>
          <w:p w14:paraId="2A181E2E">
            <w:pPr>
              <w:pStyle w:val="211"/>
              <w:snapToGrid w:val="0"/>
              <w:spacing w:before="0" w:beforeLines="0" w:afterLines="0" w:line="240" w:lineRule="auto"/>
              <w:rPr>
                <w:color w:val="auto"/>
                <w:sz w:val="21"/>
                <w:szCs w:val="21"/>
              </w:rPr>
            </w:pPr>
          </w:p>
        </w:tc>
        <w:tc>
          <w:tcPr>
            <w:tcW w:w="354" w:type="pct"/>
            <w:vMerge w:val="continue"/>
            <w:tcBorders>
              <w:tl2br w:val="nil"/>
              <w:tr2bl w:val="nil"/>
            </w:tcBorders>
            <w:vAlign w:val="center"/>
          </w:tcPr>
          <w:p w14:paraId="7A4A8899">
            <w:pPr>
              <w:pStyle w:val="211"/>
              <w:snapToGrid w:val="0"/>
              <w:spacing w:before="0" w:beforeLines="0" w:afterLines="0" w:line="240" w:lineRule="auto"/>
              <w:rPr>
                <w:color w:val="auto"/>
                <w:sz w:val="21"/>
                <w:szCs w:val="21"/>
              </w:rPr>
            </w:pPr>
          </w:p>
        </w:tc>
        <w:tc>
          <w:tcPr>
            <w:tcW w:w="623" w:type="pct"/>
            <w:tcBorders>
              <w:tl2br w:val="nil"/>
              <w:tr2bl w:val="nil"/>
            </w:tcBorders>
            <w:vAlign w:val="center"/>
          </w:tcPr>
          <w:p w14:paraId="18675723">
            <w:pPr>
              <w:snapToGrid w:val="0"/>
              <w:spacing w:before="0" w:beforeLines="0" w:line="240" w:lineRule="auto"/>
              <w:jc w:val="center"/>
              <w:rPr>
                <w:kern w:val="0"/>
                <w:szCs w:val="21"/>
              </w:rPr>
            </w:pPr>
            <w:r>
              <w:rPr>
                <w:kern w:val="0"/>
                <w:szCs w:val="21"/>
              </w:rPr>
              <w:t>筛分</w:t>
            </w:r>
          </w:p>
        </w:tc>
        <w:tc>
          <w:tcPr>
            <w:tcW w:w="2105" w:type="pct"/>
            <w:tcBorders>
              <w:tl2br w:val="nil"/>
              <w:tr2bl w:val="nil"/>
            </w:tcBorders>
            <w:vAlign w:val="center"/>
          </w:tcPr>
          <w:p w14:paraId="4F868F70">
            <w:pPr>
              <w:pStyle w:val="211"/>
              <w:snapToGrid w:val="0"/>
              <w:spacing w:before="0" w:beforeLines="0" w:afterLines="0" w:line="240" w:lineRule="auto"/>
              <w:jc w:val="both"/>
              <w:rPr>
                <w:color w:val="auto"/>
                <w:sz w:val="21"/>
                <w:szCs w:val="21"/>
              </w:rPr>
            </w:pPr>
            <w:r>
              <w:rPr>
                <w:color w:val="auto"/>
                <w:sz w:val="21"/>
                <w:szCs w:val="21"/>
              </w:rPr>
              <w:t>2#袋式除尘器+</w:t>
            </w:r>
            <w:r>
              <w:rPr>
                <w:rFonts w:hint="eastAsia"/>
                <w:color w:val="auto"/>
                <w:sz w:val="21"/>
                <w:szCs w:val="21"/>
              </w:rPr>
              <w:t>20</w:t>
            </w:r>
            <w:r>
              <w:rPr>
                <w:color w:val="auto"/>
                <w:sz w:val="21"/>
                <w:szCs w:val="21"/>
              </w:rPr>
              <w:t>m高排气筒（DA002）</w:t>
            </w:r>
          </w:p>
        </w:tc>
        <w:tc>
          <w:tcPr>
            <w:tcW w:w="1450" w:type="pct"/>
            <w:vMerge w:val="continue"/>
            <w:tcBorders>
              <w:tl2br w:val="nil"/>
              <w:tr2bl w:val="nil"/>
            </w:tcBorders>
            <w:vAlign w:val="center"/>
          </w:tcPr>
          <w:p w14:paraId="78399E97">
            <w:pPr>
              <w:pStyle w:val="211"/>
              <w:snapToGrid w:val="0"/>
              <w:spacing w:before="0" w:beforeLines="0" w:afterLines="0" w:line="240" w:lineRule="auto"/>
              <w:rPr>
                <w:color w:val="auto"/>
                <w:sz w:val="21"/>
                <w:szCs w:val="21"/>
              </w:rPr>
            </w:pPr>
          </w:p>
        </w:tc>
      </w:tr>
      <w:tr w14:paraId="211D191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467" w:type="pct"/>
            <w:vMerge w:val="continue"/>
            <w:tcBorders>
              <w:tl2br w:val="nil"/>
              <w:tr2bl w:val="nil"/>
            </w:tcBorders>
            <w:vAlign w:val="center"/>
          </w:tcPr>
          <w:p w14:paraId="1070ABB8">
            <w:pPr>
              <w:pStyle w:val="211"/>
              <w:snapToGrid w:val="0"/>
              <w:spacing w:before="0" w:beforeLines="0" w:afterLines="0" w:line="240" w:lineRule="auto"/>
              <w:rPr>
                <w:color w:val="auto"/>
                <w:sz w:val="21"/>
                <w:szCs w:val="21"/>
              </w:rPr>
            </w:pPr>
          </w:p>
        </w:tc>
        <w:tc>
          <w:tcPr>
            <w:tcW w:w="354" w:type="pct"/>
            <w:vMerge w:val="continue"/>
            <w:tcBorders>
              <w:tl2br w:val="nil"/>
              <w:tr2bl w:val="nil"/>
            </w:tcBorders>
            <w:vAlign w:val="center"/>
          </w:tcPr>
          <w:p w14:paraId="4D7867A4">
            <w:pPr>
              <w:pStyle w:val="211"/>
              <w:snapToGrid w:val="0"/>
              <w:spacing w:before="0" w:beforeLines="0" w:afterLines="0" w:line="240" w:lineRule="auto"/>
              <w:rPr>
                <w:color w:val="auto"/>
                <w:sz w:val="21"/>
                <w:szCs w:val="21"/>
              </w:rPr>
            </w:pPr>
          </w:p>
        </w:tc>
        <w:tc>
          <w:tcPr>
            <w:tcW w:w="623" w:type="pct"/>
            <w:tcBorders>
              <w:tl2br w:val="nil"/>
              <w:tr2bl w:val="nil"/>
            </w:tcBorders>
            <w:vAlign w:val="center"/>
          </w:tcPr>
          <w:p w14:paraId="1F2CE874">
            <w:pPr>
              <w:snapToGrid w:val="0"/>
              <w:spacing w:before="0" w:beforeLines="0" w:line="240" w:lineRule="auto"/>
              <w:jc w:val="center"/>
              <w:rPr>
                <w:kern w:val="0"/>
                <w:szCs w:val="21"/>
              </w:rPr>
            </w:pPr>
            <w:r>
              <w:rPr>
                <w:kern w:val="0"/>
                <w:szCs w:val="21"/>
              </w:rPr>
              <w:t>磁选</w:t>
            </w:r>
            <w:r>
              <w:rPr>
                <w:rFonts w:hint="eastAsia"/>
                <w:kern w:val="0"/>
                <w:szCs w:val="21"/>
              </w:rPr>
              <w:t>、抛砂</w:t>
            </w:r>
          </w:p>
        </w:tc>
        <w:tc>
          <w:tcPr>
            <w:tcW w:w="2105" w:type="pct"/>
            <w:tcBorders>
              <w:tl2br w:val="nil"/>
              <w:tr2bl w:val="nil"/>
            </w:tcBorders>
            <w:vAlign w:val="center"/>
          </w:tcPr>
          <w:p w14:paraId="18DE76DF">
            <w:pPr>
              <w:pStyle w:val="211"/>
              <w:snapToGrid w:val="0"/>
              <w:spacing w:before="0" w:beforeLines="0" w:afterLines="0" w:line="240" w:lineRule="auto"/>
              <w:jc w:val="both"/>
              <w:rPr>
                <w:color w:val="auto"/>
                <w:sz w:val="21"/>
                <w:szCs w:val="21"/>
              </w:rPr>
            </w:pPr>
            <w:r>
              <w:rPr>
                <w:color w:val="auto"/>
                <w:sz w:val="21"/>
                <w:szCs w:val="21"/>
              </w:rPr>
              <w:t>3#袋式除尘器+</w:t>
            </w:r>
            <w:r>
              <w:rPr>
                <w:rFonts w:hint="eastAsia"/>
                <w:color w:val="auto"/>
                <w:sz w:val="21"/>
                <w:szCs w:val="21"/>
              </w:rPr>
              <w:t>20</w:t>
            </w:r>
            <w:r>
              <w:rPr>
                <w:color w:val="auto"/>
                <w:sz w:val="21"/>
                <w:szCs w:val="21"/>
              </w:rPr>
              <w:t>m高排气筒（DA003）</w:t>
            </w:r>
          </w:p>
        </w:tc>
        <w:tc>
          <w:tcPr>
            <w:tcW w:w="1450" w:type="pct"/>
            <w:vMerge w:val="continue"/>
            <w:tcBorders>
              <w:tl2br w:val="nil"/>
              <w:tr2bl w:val="nil"/>
            </w:tcBorders>
            <w:vAlign w:val="center"/>
          </w:tcPr>
          <w:p w14:paraId="2982FC7D">
            <w:pPr>
              <w:pStyle w:val="211"/>
              <w:snapToGrid w:val="0"/>
              <w:spacing w:before="0" w:beforeLines="0" w:afterLines="0" w:line="240" w:lineRule="auto"/>
              <w:rPr>
                <w:color w:val="auto"/>
                <w:sz w:val="21"/>
                <w:szCs w:val="21"/>
              </w:rPr>
            </w:pPr>
          </w:p>
        </w:tc>
      </w:tr>
      <w:tr w14:paraId="1774F17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91" w:hRule="atLeast"/>
          <w:jc w:val="center"/>
        </w:trPr>
        <w:tc>
          <w:tcPr>
            <w:tcW w:w="467" w:type="pct"/>
            <w:vMerge w:val="continue"/>
            <w:tcBorders>
              <w:tl2br w:val="nil"/>
              <w:tr2bl w:val="nil"/>
            </w:tcBorders>
            <w:vAlign w:val="center"/>
          </w:tcPr>
          <w:p w14:paraId="7C365750">
            <w:pPr>
              <w:pStyle w:val="211"/>
              <w:snapToGrid w:val="0"/>
              <w:spacing w:before="0" w:beforeLines="0" w:afterLines="0" w:line="240" w:lineRule="auto"/>
              <w:rPr>
                <w:color w:val="auto"/>
                <w:sz w:val="21"/>
                <w:szCs w:val="21"/>
              </w:rPr>
            </w:pPr>
          </w:p>
        </w:tc>
        <w:tc>
          <w:tcPr>
            <w:tcW w:w="354" w:type="pct"/>
            <w:tcBorders>
              <w:tl2br w:val="nil"/>
              <w:tr2bl w:val="nil"/>
            </w:tcBorders>
            <w:vAlign w:val="center"/>
          </w:tcPr>
          <w:p w14:paraId="4BC08CF3">
            <w:pPr>
              <w:pStyle w:val="211"/>
              <w:snapToGrid w:val="0"/>
              <w:spacing w:before="0" w:beforeLines="0" w:afterLines="0" w:line="240" w:lineRule="auto"/>
              <w:rPr>
                <w:color w:val="auto"/>
                <w:sz w:val="21"/>
                <w:szCs w:val="21"/>
              </w:rPr>
            </w:pPr>
            <w:r>
              <w:rPr>
                <w:color w:val="auto"/>
                <w:sz w:val="21"/>
                <w:szCs w:val="21"/>
              </w:rPr>
              <w:t>碎石工艺</w:t>
            </w:r>
          </w:p>
        </w:tc>
        <w:tc>
          <w:tcPr>
            <w:tcW w:w="623" w:type="pct"/>
            <w:tcBorders>
              <w:tl2br w:val="nil"/>
              <w:tr2bl w:val="nil"/>
            </w:tcBorders>
            <w:vAlign w:val="center"/>
          </w:tcPr>
          <w:p w14:paraId="34EC2DE7">
            <w:pPr>
              <w:pStyle w:val="211"/>
              <w:snapToGrid w:val="0"/>
              <w:spacing w:before="0" w:beforeLines="0" w:afterLines="0" w:line="240" w:lineRule="auto"/>
              <w:rPr>
                <w:color w:val="auto"/>
                <w:sz w:val="21"/>
                <w:szCs w:val="21"/>
              </w:rPr>
            </w:pPr>
            <w:r>
              <w:rPr>
                <w:color w:val="auto"/>
                <w:sz w:val="21"/>
                <w:szCs w:val="21"/>
              </w:rPr>
              <w:t>破碎、磁选、</w:t>
            </w:r>
          </w:p>
        </w:tc>
        <w:tc>
          <w:tcPr>
            <w:tcW w:w="2105" w:type="pct"/>
            <w:tcBorders>
              <w:tl2br w:val="nil"/>
              <w:tr2bl w:val="nil"/>
            </w:tcBorders>
            <w:vAlign w:val="center"/>
          </w:tcPr>
          <w:p w14:paraId="63A9D8C6">
            <w:pPr>
              <w:pStyle w:val="211"/>
              <w:snapToGrid w:val="0"/>
              <w:spacing w:before="0" w:beforeLines="0" w:afterLines="0" w:line="240" w:lineRule="auto"/>
              <w:jc w:val="both"/>
              <w:rPr>
                <w:color w:val="auto"/>
                <w:sz w:val="21"/>
                <w:szCs w:val="21"/>
              </w:rPr>
            </w:pPr>
            <w:r>
              <w:rPr>
                <w:rFonts w:hint="eastAsia"/>
                <w:color w:val="auto"/>
                <w:sz w:val="21"/>
                <w:szCs w:val="21"/>
              </w:rPr>
              <w:t>4</w:t>
            </w:r>
            <w:r>
              <w:rPr>
                <w:color w:val="auto"/>
                <w:sz w:val="21"/>
                <w:szCs w:val="21"/>
              </w:rPr>
              <w:t>#袋式除尘器+</w:t>
            </w:r>
            <w:r>
              <w:rPr>
                <w:rFonts w:hint="eastAsia"/>
                <w:color w:val="auto"/>
                <w:sz w:val="21"/>
                <w:szCs w:val="21"/>
              </w:rPr>
              <w:t>20</w:t>
            </w:r>
            <w:r>
              <w:rPr>
                <w:color w:val="auto"/>
                <w:sz w:val="21"/>
                <w:szCs w:val="21"/>
              </w:rPr>
              <w:t>m高排气筒（DA00</w:t>
            </w:r>
            <w:r>
              <w:rPr>
                <w:rFonts w:hint="eastAsia"/>
                <w:color w:val="auto"/>
                <w:sz w:val="21"/>
                <w:szCs w:val="21"/>
              </w:rPr>
              <w:t>4</w:t>
            </w:r>
            <w:r>
              <w:rPr>
                <w:color w:val="auto"/>
                <w:sz w:val="21"/>
                <w:szCs w:val="21"/>
              </w:rPr>
              <w:t>）</w:t>
            </w:r>
          </w:p>
        </w:tc>
        <w:tc>
          <w:tcPr>
            <w:tcW w:w="1450" w:type="pct"/>
            <w:vMerge w:val="continue"/>
            <w:tcBorders>
              <w:tl2br w:val="nil"/>
              <w:tr2bl w:val="nil"/>
            </w:tcBorders>
            <w:vAlign w:val="center"/>
          </w:tcPr>
          <w:p w14:paraId="05EE0650">
            <w:pPr>
              <w:pStyle w:val="211"/>
              <w:snapToGrid w:val="0"/>
              <w:spacing w:before="0" w:beforeLines="0" w:afterLines="0" w:line="240" w:lineRule="auto"/>
              <w:rPr>
                <w:color w:val="auto"/>
                <w:sz w:val="21"/>
                <w:szCs w:val="21"/>
              </w:rPr>
            </w:pPr>
          </w:p>
        </w:tc>
      </w:tr>
      <w:tr w14:paraId="1D6445E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467" w:type="pct"/>
            <w:vMerge w:val="continue"/>
            <w:tcBorders>
              <w:tl2br w:val="nil"/>
              <w:tr2bl w:val="nil"/>
            </w:tcBorders>
            <w:vAlign w:val="center"/>
          </w:tcPr>
          <w:p w14:paraId="7C616515">
            <w:pPr>
              <w:pStyle w:val="211"/>
              <w:snapToGrid w:val="0"/>
              <w:spacing w:before="0" w:beforeLines="0" w:afterLines="0" w:line="240" w:lineRule="auto"/>
              <w:rPr>
                <w:color w:val="auto"/>
                <w:sz w:val="21"/>
                <w:szCs w:val="21"/>
              </w:rPr>
            </w:pPr>
          </w:p>
        </w:tc>
        <w:tc>
          <w:tcPr>
            <w:tcW w:w="977" w:type="pct"/>
            <w:gridSpan w:val="2"/>
            <w:tcBorders>
              <w:tl2br w:val="nil"/>
              <w:tr2bl w:val="nil"/>
            </w:tcBorders>
            <w:vAlign w:val="center"/>
          </w:tcPr>
          <w:p w14:paraId="3F6FCF90">
            <w:pPr>
              <w:tabs>
                <w:tab w:val="left" w:pos="369"/>
              </w:tabs>
              <w:snapToGrid w:val="0"/>
              <w:spacing w:before="0" w:beforeLines="0" w:line="240" w:lineRule="auto"/>
              <w:jc w:val="center"/>
              <w:rPr>
                <w:szCs w:val="21"/>
              </w:rPr>
            </w:pPr>
            <w:r>
              <w:rPr>
                <w:szCs w:val="21"/>
              </w:rPr>
              <w:t>抛砂车间</w:t>
            </w:r>
          </w:p>
        </w:tc>
        <w:tc>
          <w:tcPr>
            <w:tcW w:w="2105" w:type="pct"/>
            <w:tcBorders>
              <w:tl2br w:val="nil"/>
              <w:tr2bl w:val="nil"/>
            </w:tcBorders>
            <w:vAlign w:val="center"/>
          </w:tcPr>
          <w:p w14:paraId="3F7AA7BF">
            <w:pPr>
              <w:snapToGrid w:val="0"/>
              <w:spacing w:before="0" w:beforeLines="0" w:line="240" w:lineRule="auto"/>
              <w:jc w:val="center"/>
              <w:rPr>
                <w:szCs w:val="21"/>
              </w:rPr>
            </w:pPr>
            <w:r>
              <w:rPr>
                <w:kern w:val="0"/>
                <w:szCs w:val="21"/>
                <w:lang w:bidi="ar"/>
              </w:rPr>
              <w:t>车间洒水+车间拦截</w:t>
            </w:r>
          </w:p>
        </w:tc>
        <w:tc>
          <w:tcPr>
            <w:tcW w:w="1450" w:type="pct"/>
            <w:vMerge w:val="restart"/>
            <w:tcBorders>
              <w:tl2br w:val="nil"/>
              <w:tr2bl w:val="nil"/>
            </w:tcBorders>
            <w:vAlign w:val="center"/>
          </w:tcPr>
          <w:p w14:paraId="5F821B75">
            <w:pPr>
              <w:pStyle w:val="211"/>
              <w:snapToGrid w:val="0"/>
              <w:spacing w:before="0" w:beforeLines="0" w:afterLines="0" w:line="240" w:lineRule="auto"/>
              <w:rPr>
                <w:color w:val="auto"/>
                <w:sz w:val="21"/>
                <w:szCs w:val="21"/>
              </w:rPr>
            </w:pPr>
            <w:r>
              <w:rPr>
                <w:color w:val="auto"/>
                <w:sz w:val="21"/>
                <w:szCs w:val="21"/>
              </w:rPr>
              <w:t>《铁矿采选工业污染物排放标准》（GB28661-2012）中表7特别限值要求。</w:t>
            </w:r>
          </w:p>
        </w:tc>
      </w:tr>
      <w:tr w14:paraId="06A39F9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467" w:type="pct"/>
            <w:vMerge w:val="continue"/>
            <w:tcBorders>
              <w:tl2br w:val="nil"/>
              <w:tr2bl w:val="nil"/>
            </w:tcBorders>
            <w:vAlign w:val="center"/>
          </w:tcPr>
          <w:p w14:paraId="2AD96B35">
            <w:pPr>
              <w:pStyle w:val="211"/>
              <w:snapToGrid w:val="0"/>
              <w:spacing w:before="0" w:beforeLines="0" w:afterLines="0" w:line="240" w:lineRule="auto"/>
              <w:rPr>
                <w:color w:val="auto"/>
                <w:sz w:val="21"/>
                <w:szCs w:val="21"/>
              </w:rPr>
            </w:pPr>
          </w:p>
        </w:tc>
        <w:tc>
          <w:tcPr>
            <w:tcW w:w="977" w:type="pct"/>
            <w:gridSpan w:val="2"/>
            <w:tcBorders>
              <w:tl2br w:val="nil"/>
              <w:tr2bl w:val="nil"/>
            </w:tcBorders>
            <w:vAlign w:val="center"/>
          </w:tcPr>
          <w:p w14:paraId="71F29902">
            <w:pPr>
              <w:snapToGrid w:val="0"/>
              <w:spacing w:before="0" w:beforeLines="0" w:line="240" w:lineRule="auto"/>
              <w:jc w:val="center"/>
              <w:rPr>
                <w:szCs w:val="21"/>
              </w:rPr>
            </w:pPr>
            <w:r>
              <w:rPr>
                <w:rFonts w:hint="eastAsia"/>
                <w:szCs w:val="21"/>
              </w:rPr>
              <w:t>机制砂车间</w:t>
            </w:r>
          </w:p>
        </w:tc>
        <w:tc>
          <w:tcPr>
            <w:tcW w:w="2105" w:type="pct"/>
            <w:tcBorders>
              <w:tl2br w:val="nil"/>
              <w:tr2bl w:val="nil"/>
            </w:tcBorders>
            <w:vAlign w:val="center"/>
          </w:tcPr>
          <w:p w14:paraId="02E4C9E2">
            <w:pPr>
              <w:snapToGrid w:val="0"/>
              <w:spacing w:before="0" w:beforeLines="0" w:line="240" w:lineRule="auto"/>
              <w:jc w:val="center"/>
              <w:rPr>
                <w:szCs w:val="21"/>
              </w:rPr>
            </w:pPr>
            <w:r>
              <w:rPr>
                <w:kern w:val="0"/>
                <w:szCs w:val="21"/>
                <w:lang w:bidi="ar"/>
              </w:rPr>
              <w:t>车间洒水+车间拦截</w:t>
            </w:r>
          </w:p>
        </w:tc>
        <w:tc>
          <w:tcPr>
            <w:tcW w:w="1450" w:type="pct"/>
            <w:vMerge w:val="continue"/>
            <w:tcBorders>
              <w:tl2br w:val="nil"/>
              <w:tr2bl w:val="nil"/>
            </w:tcBorders>
            <w:vAlign w:val="center"/>
          </w:tcPr>
          <w:p w14:paraId="1E2182CC">
            <w:pPr>
              <w:pStyle w:val="211"/>
              <w:snapToGrid w:val="0"/>
              <w:spacing w:before="0" w:beforeLines="0" w:afterLines="0" w:line="240" w:lineRule="auto"/>
              <w:rPr>
                <w:color w:val="auto"/>
                <w:sz w:val="21"/>
                <w:szCs w:val="21"/>
              </w:rPr>
            </w:pPr>
          </w:p>
        </w:tc>
      </w:tr>
      <w:tr w14:paraId="17D31A3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467" w:type="pct"/>
            <w:vMerge w:val="continue"/>
            <w:tcBorders>
              <w:tl2br w:val="nil"/>
              <w:tr2bl w:val="nil"/>
            </w:tcBorders>
            <w:vAlign w:val="center"/>
          </w:tcPr>
          <w:p w14:paraId="4E2DEEF2">
            <w:pPr>
              <w:pStyle w:val="211"/>
              <w:snapToGrid w:val="0"/>
              <w:spacing w:before="0" w:beforeLines="0" w:afterLines="0" w:line="240" w:lineRule="auto"/>
              <w:rPr>
                <w:color w:val="auto"/>
                <w:sz w:val="21"/>
                <w:szCs w:val="21"/>
              </w:rPr>
            </w:pPr>
          </w:p>
        </w:tc>
        <w:tc>
          <w:tcPr>
            <w:tcW w:w="977" w:type="pct"/>
            <w:gridSpan w:val="2"/>
            <w:tcBorders>
              <w:tl2br w:val="nil"/>
              <w:tr2bl w:val="nil"/>
            </w:tcBorders>
            <w:vAlign w:val="center"/>
          </w:tcPr>
          <w:p w14:paraId="53348F42">
            <w:pPr>
              <w:snapToGrid w:val="0"/>
              <w:spacing w:before="0" w:beforeLines="0" w:line="240" w:lineRule="auto"/>
              <w:jc w:val="center"/>
              <w:rPr>
                <w:szCs w:val="21"/>
              </w:rPr>
            </w:pPr>
            <w:r>
              <w:rPr>
                <w:szCs w:val="21"/>
              </w:rPr>
              <w:t>破碎车间</w:t>
            </w:r>
          </w:p>
        </w:tc>
        <w:tc>
          <w:tcPr>
            <w:tcW w:w="2105" w:type="pct"/>
            <w:tcBorders>
              <w:tl2br w:val="nil"/>
              <w:tr2bl w:val="nil"/>
            </w:tcBorders>
            <w:vAlign w:val="center"/>
          </w:tcPr>
          <w:p w14:paraId="2268AC8C">
            <w:pPr>
              <w:snapToGrid w:val="0"/>
              <w:spacing w:before="0" w:beforeLines="0" w:line="240" w:lineRule="auto"/>
              <w:jc w:val="center"/>
              <w:rPr>
                <w:szCs w:val="21"/>
              </w:rPr>
            </w:pPr>
            <w:r>
              <w:rPr>
                <w:kern w:val="0"/>
                <w:szCs w:val="21"/>
                <w:lang w:bidi="ar"/>
              </w:rPr>
              <w:t>车间洒水+车间拦截</w:t>
            </w:r>
          </w:p>
        </w:tc>
        <w:tc>
          <w:tcPr>
            <w:tcW w:w="1450" w:type="pct"/>
            <w:vMerge w:val="continue"/>
            <w:tcBorders>
              <w:tl2br w:val="nil"/>
              <w:tr2bl w:val="nil"/>
            </w:tcBorders>
            <w:vAlign w:val="center"/>
          </w:tcPr>
          <w:p w14:paraId="24B03AF9">
            <w:pPr>
              <w:pStyle w:val="211"/>
              <w:snapToGrid w:val="0"/>
              <w:spacing w:before="0" w:beforeLines="0" w:afterLines="0" w:line="240" w:lineRule="auto"/>
              <w:rPr>
                <w:color w:val="auto"/>
                <w:sz w:val="21"/>
                <w:szCs w:val="21"/>
              </w:rPr>
            </w:pPr>
          </w:p>
        </w:tc>
      </w:tr>
      <w:tr w14:paraId="261C8CC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467" w:type="pct"/>
            <w:vMerge w:val="continue"/>
            <w:tcBorders>
              <w:tl2br w:val="nil"/>
              <w:tr2bl w:val="nil"/>
            </w:tcBorders>
            <w:vAlign w:val="center"/>
          </w:tcPr>
          <w:p w14:paraId="18A11C21">
            <w:pPr>
              <w:pStyle w:val="211"/>
              <w:snapToGrid w:val="0"/>
              <w:spacing w:before="0" w:beforeLines="0" w:afterLines="0" w:line="240" w:lineRule="auto"/>
              <w:rPr>
                <w:color w:val="auto"/>
                <w:sz w:val="21"/>
                <w:szCs w:val="21"/>
              </w:rPr>
            </w:pPr>
          </w:p>
        </w:tc>
        <w:tc>
          <w:tcPr>
            <w:tcW w:w="977" w:type="pct"/>
            <w:gridSpan w:val="2"/>
            <w:tcBorders>
              <w:tl2br w:val="nil"/>
              <w:tr2bl w:val="nil"/>
            </w:tcBorders>
            <w:vAlign w:val="center"/>
          </w:tcPr>
          <w:p w14:paraId="77C0CC4A">
            <w:pPr>
              <w:snapToGrid w:val="0"/>
              <w:spacing w:before="0" w:beforeLines="0" w:line="240" w:lineRule="auto"/>
              <w:jc w:val="center"/>
              <w:rPr>
                <w:szCs w:val="21"/>
              </w:rPr>
            </w:pPr>
            <w:r>
              <w:rPr>
                <w:rFonts w:hint="eastAsia"/>
                <w:szCs w:val="21"/>
              </w:rPr>
              <w:t>成品仓</w:t>
            </w:r>
          </w:p>
        </w:tc>
        <w:tc>
          <w:tcPr>
            <w:tcW w:w="2105" w:type="pct"/>
            <w:tcBorders>
              <w:tl2br w:val="nil"/>
              <w:tr2bl w:val="nil"/>
            </w:tcBorders>
            <w:vAlign w:val="center"/>
          </w:tcPr>
          <w:p w14:paraId="3A6A3CD4">
            <w:pPr>
              <w:snapToGrid w:val="0"/>
              <w:spacing w:before="0" w:beforeLines="0" w:line="240" w:lineRule="auto"/>
              <w:jc w:val="center"/>
              <w:rPr>
                <w:kern w:val="0"/>
                <w:szCs w:val="21"/>
                <w:lang w:bidi="ar"/>
              </w:rPr>
            </w:pPr>
            <w:r>
              <w:rPr>
                <w:rFonts w:hint="eastAsia"/>
                <w:kern w:val="0"/>
                <w:szCs w:val="21"/>
                <w:lang w:bidi="ar"/>
              </w:rPr>
              <w:t>仓顶除尘</w:t>
            </w:r>
          </w:p>
        </w:tc>
        <w:tc>
          <w:tcPr>
            <w:tcW w:w="1450" w:type="pct"/>
            <w:vMerge w:val="continue"/>
            <w:tcBorders>
              <w:tl2br w:val="nil"/>
              <w:tr2bl w:val="nil"/>
            </w:tcBorders>
            <w:vAlign w:val="center"/>
          </w:tcPr>
          <w:p w14:paraId="18AC53EE">
            <w:pPr>
              <w:pStyle w:val="211"/>
              <w:snapToGrid w:val="0"/>
              <w:spacing w:before="0" w:beforeLines="0" w:afterLines="0" w:line="240" w:lineRule="auto"/>
              <w:rPr>
                <w:color w:val="auto"/>
                <w:sz w:val="21"/>
                <w:szCs w:val="21"/>
              </w:rPr>
            </w:pPr>
          </w:p>
        </w:tc>
      </w:tr>
      <w:tr w14:paraId="1474B85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63" w:hRule="atLeast"/>
          <w:jc w:val="center"/>
        </w:trPr>
        <w:tc>
          <w:tcPr>
            <w:tcW w:w="467" w:type="pct"/>
            <w:vMerge w:val="continue"/>
            <w:tcBorders>
              <w:tl2br w:val="nil"/>
              <w:tr2bl w:val="nil"/>
            </w:tcBorders>
            <w:vAlign w:val="center"/>
          </w:tcPr>
          <w:p w14:paraId="30528F48">
            <w:pPr>
              <w:pStyle w:val="211"/>
              <w:snapToGrid w:val="0"/>
              <w:spacing w:before="0" w:beforeLines="0" w:afterLines="0" w:line="240" w:lineRule="auto"/>
              <w:rPr>
                <w:color w:val="auto"/>
                <w:sz w:val="21"/>
                <w:szCs w:val="21"/>
              </w:rPr>
            </w:pPr>
          </w:p>
        </w:tc>
        <w:tc>
          <w:tcPr>
            <w:tcW w:w="977" w:type="pct"/>
            <w:gridSpan w:val="2"/>
            <w:tcBorders>
              <w:tl2br w:val="nil"/>
              <w:tr2bl w:val="nil"/>
            </w:tcBorders>
            <w:vAlign w:val="center"/>
          </w:tcPr>
          <w:p w14:paraId="6A4F8BD4">
            <w:pPr>
              <w:pStyle w:val="211"/>
              <w:snapToGrid w:val="0"/>
              <w:spacing w:before="0" w:beforeLines="0" w:afterLines="0" w:line="240" w:lineRule="auto"/>
              <w:rPr>
                <w:color w:val="auto"/>
                <w:sz w:val="21"/>
                <w:szCs w:val="21"/>
              </w:rPr>
            </w:pPr>
            <w:r>
              <w:rPr>
                <w:color w:val="auto"/>
                <w:sz w:val="21"/>
                <w:szCs w:val="21"/>
              </w:rPr>
              <w:t>道路运输扬尘</w:t>
            </w:r>
          </w:p>
        </w:tc>
        <w:tc>
          <w:tcPr>
            <w:tcW w:w="2105" w:type="pct"/>
            <w:tcBorders>
              <w:tl2br w:val="nil"/>
              <w:tr2bl w:val="nil"/>
            </w:tcBorders>
            <w:vAlign w:val="center"/>
          </w:tcPr>
          <w:p w14:paraId="08B43995">
            <w:pPr>
              <w:snapToGrid w:val="0"/>
              <w:spacing w:before="0" w:beforeLines="0" w:line="240" w:lineRule="auto"/>
              <w:jc w:val="center"/>
              <w:rPr>
                <w:szCs w:val="21"/>
              </w:rPr>
            </w:pPr>
            <w:r>
              <w:rPr>
                <w:szCs w:val="21"/>
              </w:rPr>
              <w:t>洒水抑尘</w:t>
            </w:r>
          </w:p>
        </w:tc>
        <w:tc>
          <w:tcPr>
            <w:tcW w:w="1450" w:type="pct"/>
            <w:vMerge w:val="continue"/>
            <w:tcBorders>
              <w:tl2br w:val="nil"/>
              <w:tr2bl w:val="nil"/>
            </w:tcBorders>
            <w:vAlign w:val="center"/>
          </w:tcPr>
          <w:p w14:paraId="0511BC62">
            <w:pPr>
              <w:pStyle w:val="211"/>
              <w:snapToGrid w:val="0"/>
              <w:spacing w:before="0" w:beforeLines="0" w:afterLines="0" w:line="240" w:lineRule="auto"/>
              <w:rPr>
                <w:color w:val="auto"/>
                <w:sz w:val="21"/>
                <w:szCs w:val="21"/>
              </w:rPr>
            </w:pPr>
          </w:p>
        </w:tc>
      </w:tr>
      <w:tr w14:paraId="231522E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467" w:type="pct"/>
            <w:vMerge w:val="restart"/>
            <w:tcBorders>
              <w:tl2br w:val="nil"/>
              <w:tr2bl w:val="nil"/>
            </w:tcBorders>
            <w:vAlign w:val="center"/>
          </w:tcPr>
          <w:p w14:paraId="5CD1D3E6">
            <w:pPr>
              <w:pStyle w:val="211"/>
              <w:snapToGrid w:val="0"/>
              <w:spacing w:before="0" w:beforeLines="0" w:afterLines="0" w:line="240" w:lineRule="auto"/>
              <w:rPr>
                <w:color w:val="auto"/>
                <w:sz w:val="21"/>
                <w:szCs w:val="21"/>
              </w:rPr>
            </w:pPr>
            <w:r>
              <w:rPr>
                <w:color w:val="auto"/>
                <w:sz w:val="21"/>
                <w:szCs w:val="21"/>
              </w:rPr>
              <w:t>废水</w:t>
            </w:r>
          </w:p>
        </w:tc>
        <w:tc>
          <w:tcPr>
            <w:tcW w:w="977" w:type="pct"/>
            <w:gridSpan w:val="2"/>
            <w:tcBorders>
              <w:tl2br w:val="nil"/>
              <w:tr2bl w:val="nil"/>
            </w:tcBorders>
            <w:vAlign w:val="center"/>
          </w:tcPr>
          <w:p w14:paraId="78BB1204">
            <w:pPr>
              <w:pStyle w:val="211"/>
              <w:snapToGrid w:val="0"/>
              <w:spacing w:before="0" w:beforeLines="0" w:afterLines="0" w:line="240" w:lineRule="auto"/>
              <w:rPr>
                <w:color w:val="auto"/>
                <w:sz w:val="21"/>
                <w:szCs w:val="21"/>
              </w:rPr>
            </w:pPr>
            <w:r>
              <w:rPr>
                <w:color w:val="auto"/>
                <w:sz w:val="21"/>
                <w:szCs w:val="21"/>
              </w:rPr>
              <w:t>员工生活</w:t>
            </w:r>
          </w:p>
        </w:tc>
        <w:tc>
          <w:tcPr>
            <w:tcW w:w="2105" w:type="pct"/>
            <w:tcBorders>
              <w:tl2br w:val="nil"/>
              <w:tr2bl w:val="nil"/>
            </w:tcBorders>
            <w:vAlign w:val="center"/>
          </w:tcPr>
          <w:p w14:paraId="3BAF2022">
            <w:pPr>
              <w:pStyle w:val="211"/>
              <w:snapToGrid w:val="0"/>
              <w:spacing w:before="0" w:beforeLines="0" w:afterLines="0" w:line="240" w:lineRule="auto"/>
              <w:rPr>
                <w:color w:val="auto"/>
                <w:sz w:val="21"/>
                <w:szCs w:val="21"/>
              </w:rPr>
            </w:pPr>
            <w:r>
              <w:rPr>
                <w:color w:val="auto"/>
                <w:sz w:val="21"/>
                <w:szCs w:val="21"/>
              </w:rPr>
              <w:t>排入旱</w:t>
            </w:r>
            <w:r>
              <w:rPr>
                <w:rFonts w:hint="eastAsia"/>
                <w:color w:val="auto"/>
                <w:sz w:val="21"/>
                <w:szCs w:val="21"/>
                <w:lang w:eastAsia="zh-CN"/>
              </w:rPr>
              <w:t>厕</w:t>
            </w:r>
            <w:r>
              <w:rPr>
                <w:color w:val="auto"/>
                <w:sz w:val="21"/>
                <w:szCs w:val="21"/>
              </w:rPr>
              <w:t>，定期清掏，不外排。</w:t>
            </w:r>
          </w:p>
        </w:tc>
        <w:tc>
          <w:tcPr>
            <w:tcW w:w="1450" w:type="pct"/>
            <w:tcBorders>
              <w:tl2br w:val="nil"/>
              <w:tr2bl w:val="nil"/>
            </w:tcBorders>
            <w:vAlign w:val="center"/>
          </w:tcPr>
          <w:p w14:paraId="48709BC8">
            <w:pPr>
              <w:pStyle w:val="211"/>
              <w:snapToGrid w:val="0"/>
              <w:spacing w:before="0" w:beforeLines="0" w:afterLines="0" w:line="240" w:lineRule="auto"/>
              <w:rPr>
                <w:color w:val="auto"/>
                <w:sz w:val="21"/>
                <w:szCs w:val="21"/>
              </w:rPr>
            </w:pPr>
            <w:r>
              <w:rPr>
                <w:color w:val="auto"/>
                <w:sz w:val="21"/>
                <w:szCs w:val="21"/>
              </w:rPr>
              <w:t>具有防渗性能</w:t>
            </w:r>
          </w:p>
        </w:tc>
      </w:tr>
      <w:tr w14:paraId="3F6E32C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89" w:hRule="atLeast"/>
          <w:jc w:val="center"/>
        </w:trPr>
        <w:tc>
          <w:tcPr>
            <w:tcW w:w="467" w:type="pct"/>
            <w:vMerge w:val="continue"/>
            <w:tcBorders>
              <w:tl2br w:val="nil"/>
              <w:tr2bl w:val="nil"/>
            </w:tcBorders>
            <w:vAlign w:val="center"/>
          </w:tcPr>
          <w:p w14:paraId="7CE97459">
            <w:pPr>
              <w:pStyle w:val="211"/>
              <w:snapToGrid w:val="0"/>
              <w:spacing w:before="0" w:beforeLines="0" w:afterLines="0" w:line="240" w:lineRule="auto"/>
              <w:rPr>
                <w:color w:val="auto"/>
                <w:sz w:val="21"/>
                <w:szCs w:val="21"/>
              </w:rPr>
            </w:pPr>
          </w:p>
        </w:tc>
        <w:tc>
          <w:tcPr>
            <w:tcW w:w="977" w:type="pct"/>
            <w:gridSpan w:val="2"/>
            <w:tcBorders>
              <w:tl2br w:val="nil"/>
              <w:tr2bl w:val="nil"/>
            </w:tcBorders>
            <w:vAlign w:val="center"/>
          </w:tcPr>
          <w:p w14:paraId="23217883">
            <w:pPr>
              <w:pStyle w:val="211"/>
              <w:snapToGrid w:val="0"/>
              <w:spacing w:before="0" w:beforeLines="0" w:afterLines="0" w:line="240" w:lineRule="auto"/>
              <w:rPr>
                <w:color w:val="auto"/>
                <w:sz w:val="21"/>
                <w:szCs w:val="21"/>
              </w:rPr>
            </w:pPr>
            <w:r>
              <w:rPr>
                <w:rFonts w:hint="eastAsia"/>
                <w:color w:val="auto"/>
                <w:sz w:val="21"/>
                <w:szCs w:val="21"/>
              </w:rPr>
              <w:t>车间清洗废水、</w:t>
            </w:r>
            <w:r>
              <w:rPr>
                <w:color w:val="auto"/>
                <w:sz w:val="21"/>
                <w:szCs w:val="21"/>
              </w:rPr>
              <w:t>选矿废水</w:t>
            </w:r>
          </w:p>
        </w:tc>
        <w:tc>
          <w:tcPr>
            <w:tcW w:w="2105" w:type="pct"/>
            <w:tcBorders>
              <w:tl2br w:val="nil"/>
              <w:tr2bl w:val="nil"/>
            </w:tcBorders>
            <w:vAlign w:val="center"/>
          </w:tcPr>
          <w:p w14:paraId="56190EEF">
            <w:pPr>
              <w:pStyle w:val="211"/>
              <w:snapToGrid w:val="0"/>
              <w:spacing w:before="0" w:beforeLines="0" w:afterLines="0" w:line="240" w:lineRule="auto"/>
              <w:rPr>
                <w:color w:val="auto"/>
                <w:sz w:val="21"/>
                <w:szCs w:val="21"/>
              </w:rPr>
            </w:pPr>
            <w:r>
              <w:rPr>
                <w:color w:val="auto"/>
                <w:sz w:val="21"/>
                <w:szCs w:val="21"/>
              </w:rPr>
              <w:t>废水进入本项目循环水池，</w:t>
            </w:r>
            <w:r>
              <w:rPr>
                <w:rFonts w:hint="eastAsia"/>
                <w:color w:val="auto"/>
                <w:sz w:val="21"/>
                <w:szCs w:val="21"/>
              </w:rPr>
              <w:t>沉淀后</w:t>
            </w:r>
            <w:r>
              <w:rPr>
                <w:color w:val="auto"/>
                <w:sz w:val="21"/>
                <w:szCs w:val="21"/>
              </w:rPr>
              <w:t>回用于选矿</w:t>
            </w:r>
          </w:p>
        </w:tc>
        <w:tc>
          <w:tcPr>
            <w:tcW w:w="1450" w:type="pct"/>
            <w:tcBorders>
              <w:tl2br w:val="nil"/>
              <w:tr2bl w:val="nil"/>
            </w:tcBorders>
            <w:vAlign w:val="center"/>
          </w:tcPr>
          <w:p w14:paraId="1A5EBC65">
            <w:pPr>
              <w:pStyle w:val="211"/>
              <w:snapToGrid w:val="0"/>
              <w:spacing w:before="0" w:beforeLines="0" w:afterLines="0" w:line="240" w:lineRule="auto"/>
              <w:rPr>
                <w:color w:val="auto"/>
                <w:sz w:val="21"/>
                <w:szCs w:val="21"/>
              </w:rPr>
            </w:pPr>
            <w:bookmarkStart w:id="625" w:name="OLE_LINK29"/>
            <w:r>
              <w:rPr>
                <w:rFonts w:hint="eastAsia"/>
                <w:color w:val="auto"/>
                <w:sz w:val="21"/>
                <w:szCs w:val="21"/>
              </w:rPr>
              <w:t>《铁矿石采选企业污水处理技术规范》（GB/T33815-2017）选矿废水</w:t>
            </w:r>
            <w:bookmarkEnd w:id="625"/>
          </w:p>
        </w:tc>
      </w:tr>
      <w:tr w14:paraId="6608FC4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467" w:type="pct"/>
            <w:tcBorders>
              <w:tl2br w:val="nil"/>
              <w:tr2bl w:val="nil"/>
            </w:tcBorders>
            <w:vAlign w:val="center"/>
          </w:tcPr>
          <w:p w14:paraId="019FC096">
            <w:pPr>
              <w:pStyle w:val="211"/>
              <w:snapToGrid w:val="0"/>
              <w:spacing w:before="0" w:beforeLines="0" w:afterLines="0" w:line="240" w:lineRule="auto"/>
              <w:rPr>
                <w:color w:val="auto"/>
                <w:sz w:val="21"/>
                <w:szCs w:val="21"/>
              </w:rPr>
            </w:pPr>
            <w:r>
              <w:rPr>
                <w:color w:val="auto"/>
                <w:sz w:val="21"/>
                <w:szCs w:val="21"/>
              </w:rPr>
              <w:t>噪声</w:t>
            </w:r>
          </w:p>
        </w:tc>
        <w:tc>
          <w:tcPr>
            <w:tcW w:w="977" w:type="pct"/>
            <w:gridSpan w:val="2"/>
            <w:tcBorders>
              <w:tl2br w:val="nil"/>
              <w:tr2bl w:val="nil"/>
            </w:tcBorders>
            <w:vAlign w:val="center"/>
          </w:tcPr>
          <w:p w14:paraId="68ABF35C">
            <w:pPr>
              <w:pStyle w:val="211"/>
              <w:snapToGrid w:val="0"/>
              <w:spacing w:before="0" w:beforeLines="0" w:afterLines="0" w:line="240" w:lineRule="auto"/>
              <w:rPr>
                <w:color w:val="auto"/>
                <w:sz w:val="21"/>
                <w:szCs w:val="21"/>
              </w:rPr>
            </w:pPr>
            <w:r>
              <w:rPr>
                <w:color w:val="auto"/>
                <w:sz w:val="21"/>
                <w:szCs w:val="21"/>
              </w:rPr>
              <w:t>噪声防治措施</w:t>
            </w:r>
          </w:p>
        </w:tc>
        <w:tc>
          <w:tcPr>
            <w:tcW w:w="2105" w:type="pct"/>
            <w:tcBorders>
              <w:tl2br w:val="nil"/>
              <w:tr2bl w:val="nil"/>
            </w:tcBorders>
            <w:vAlign w:val="center"/>
          </w:tcPr>
          <w:p w14:paraId="27A40B75">
            <w:pPr>
              <w:pStyle w:val="211"/>
              <w:snapToGrid w:val="0"/>
              <w:spacing w:before="0" w:beforeLines="0" w:afterLines="0" w:line="240" w:lineRule="auto"/>
              <w:rPr>
                <w:color w:val="auto"/>
                <w:sz w:val="21"/>
                <w:szCs w:val="21"/>
              </w:rPr>
            </w:pPr>
            <w:r>
              <w:rPr>
                <w:color w:val="auto"/>
                <w:sz w:val="21"/>
                <w:szCs w:val="21"/>
              </w:rPr>
              <w:t>首选低噪声设备，破碎机、磁选机、筛分机、抛砂分离机等设置在厂房内部，泵类安装减振底座，控制运输车辆车速及运载量</w:t>
            </w:r>
          </w:p>
        </w:tc>
        <w:tc>
          <w:tcPr>
            <w:tcW w:w="1450" w:type="pct"/>
            <w:tcBorders>
              <w:tl2br w:val="nil"/>
              <w:tr2bl w:val="nil"/>
            </w:tcBorders>
            <w:vAlign w:val="center"/>
          </w:tcPr>
          <w:p w14:paraId="5B58502F">
            <w:pPr>
              <w:pStyle w:val="211"/>
              <w:snapToGrid w:val="0"/>
              <w:spacing w:before="0" w:beforeLines="0" w:afterLines="0" w:line="240" w:lineRule="auto"/>
              <w:rPr>
                <w:color w:val="auto"/>
                <w:sz w:val="21"/>
                <w:szCs w:val="21"/>
              </w:rPr>
            </w:pPr>
            <w:r>
              <w:rPr>
                <w:color w:val="auto"/>
                <w:sz w:val="21"/>
                <w:szCs w:val="21"/>
              </w:rPr>
              <w:t>《工业企业厂界环境噪声排放标准》（GB12348-2008）1类标准要求。</w:t>
            </w:r>
          </w:p>
        </w:tc>
      </w:tr>
      <w:tr w14:paraId="03269EC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467" w:type="pct"/>
            <w:vMerge w:val="restart"/>
            <w:tcBorders>
              <w:tl2br w:val="nil"/>
              <w:tr2bl w:val="nil"/>
            </w:tcBorders>
            <w:vAlign w:val="center"/>
          </w:tcPr>
          <w:p w14:paraId="01C23A03">
            <w:pPr>
              <w:pStyle w:val="211"/>
              <w:snapToGrid w:val="0"/>
              <w:spacing w:before="0" w:beforeLines="0" w:afterLines="0" w:line="240" w:lineRule="auto"/>
              <w:rPr>
                <w:color w:val="auto"/>
                <w:sz w:val="21"/>
                <w:szCs w:val="21"/>
              </w:rPr>
            </w:pPr>
            <w:r>
              <w:rPr>
                <w:color w:val="auto"/>
                <w:sz w:val="21"/>
                <w:szCs w:val="21"/>
              </w:rPr>
              <w:t>固体废物</w:t>
            </w:r>
          </w:p>
        </w:tc>
        <w:tc>
          <w:tcPr>
            <w:tcW w:w="977" w:type="pct"/>
            <w:gridSpan w:val="2"/>
            <w:tcBorders>
              <w:tl2br w:val="nil"/>
              <w:tr2bl w:val="nil"/>
            </w:tcBorders>
            <w:vAlign w:val="center"/>
          </w:tcPr>
          <w:p w14:paraId="133823E3">
            <w:pPr>
              <w:pStyle w:val="211"/>
              <w:snapToGrid w:val="0"/>
              <w:spacing w:before="0" w:beforeLines="0" w:afterLines="0" w:line="240" w:lineRule="auto"/>
              <w:rPr>
                <w:color w:val="auto"/>
                <w:sz w:val="21"/>
                <w:szCs w:val="21"/>
              </w:rPr>
            </w:pPr>
            <w:r>
              <w:rPr>
                <w:color w:val="auto"/>
                <w:sz w:val="21"/>
                <w:szCs w:val="21"/>
              </w:rPr>
              <w:t>泥饼</w:t>
            </w:r>
          </w:p>
        </w:tc>
        <w:tc>
          <w:tcPr>
            <w:tcW w:w="2105" w:type="pct"/>
            <w:vMerge w:val="restart"/>
            <w:tcBorders>
              <w:tl2br w:val="nil"/>
              <w:tr2bl w:val="nil"/>
            </w:tcBorders>
            <w:vAlign w:val="center"/>
          </w:tcPr>
          <w:p w14:paraId="6BC5880B">
            <w:pPr>
              <w:pStyle w:val="211"/>
              <w:snapToGrid w:val="0"/>
              <w:spacing w:before="0" w:beforeLines="0" w:afterLines="0" w:line="240" w:lineRule="auto"/>
              <w:rPr>
                <w:color w:val="auto"/>
                <w:sz w:val="21"/>
                <w:szCs w:val="21"/>
              </w:rPr>
            </w:pPr>
            <w:r>
              <w:rPr>
                <w:color w:val="auto"/>
                <w:sz w:val="21"/>
                <w:szCs w:val="21"/>
              </w:rPr>
              <w:t>回填至现有露天采坑</w:t>
            </w:r>
          </w:p>
        </w:tc>
        <w:tc>
          <w:tcPr>
            <w:tcW w:w="1450" w:type="pct"/>
            <w:vMerge w:val="restart"/>
            <w:tcBorders>
              <w:tl2br w:val="nil"/>
              <w:tr2bl w:val="nil"/>
            </w:tcBorders>
            <w:vAlign w:val="center"/>
          </w:tcPr>
          <w:p w14:paraId="1400F0E8">
            <w:pPr>
              <w:pStyle w:val="211"/>
              <w:snapToGrid w:val="0"/>
              <w:spacing w:before="0" w:beforeLines="0" w:afterLines="0" w:line="240" w:lineRule="auto"/>
              <w:rPr>
                <w:color w:val="auto"/>
                <w:sz w:val="21"/>
                <w:szCs w:val="21"/>
              </w:rPr>
            </w:pPr>
            <w:r>
              <w:rPr>
                <w:color w:val="auto"/>
                <w:sz w:val="21"/>
                <w:szCs w:val="21"/>
              </w:rPr>
              <w:t>《一般工业固体废物贮存和填埋污染控制标准》（GB18599-2020）</w:t>
            </w:r>
          </w:p>
        </w:tc>
      </w:tr>
      <w:tr w14:paraId="41B55B4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467" w:type="pct"/>
            <w:vMerge w:val="continue"/>
            <w:tcBorders>
              <w:tl2br w:val="nil"/>
              <w:tr2bl w:val="nil"/>
            </w:tcBorders>
            <w:vAlign w:val="center"/>
          </w:tcPr>
          <w:p w14:paraId="7BA59EAA">
            <w:pPr>
              <w:pStyle w:val="211"/>
              <w:snapToGrid w:val="0"/>
              <w:spacing w:before="0" w:beforeLines="0" w:afterLines="0" w:line="240" w:lineRule="auto"/>
              <w:rPr>
                <w:color w:val="auto"/>
                <w:sz w:val="21"/>
                <w:szCs w:val="21"/>
              </w:rPr>
            </w:pPr>
          </w:p>
        </w:tc>
        <w:tc>
          <w:tcPr>
            <w:tcW w:w="977" w:type="pct"/>
            <w:gridSpan w:val="2"/>
            <w:tcBorders>
              <w:tl2br w:val="nil"/>
              <w:tr2bl w:val="nil"/>
            </w:tcBorders>
            <w:vAlign w:val="center"/>
          </w:tcPr>
          <w:p w14:paraId="1BC4DB52">
            <w:pPr>
              <w:pStyle w:val="211"/>
              <w:snapToGrid w:val="0"/>
              <w:spacing w:before="0" w:beforeLines="0" w:afterLines="0" w:line="240" w:lineRule="auto"/>
              <w:rPr>
                <w:color w:val="auto"/>
                <w:sz w:val="21"/>
                <w:szCs w:val="21"/>
              </w:rPr>
            </w:pPr>
            <w:r>
              <w:rPr>
                <w:color w:val="auto"/>
                <w:sz w:val="21"/>
                <w:szCs w:val="21"/>
              </w:rPr>
              <w:t>除尘灰</w:t>
            </w:r>
          </w:p>
        </w:tc>
        <w:tc>
          <w:tcPr>
            <w:tcW w:w="2105" w:type="pct"/>
            <w:vMerge w:val="continue"/>
            <w:tcBorders>
              <w:tl2br w:val="nil"/>
              <w:tr2bl w:val="nil"/>
            </w:tcBorders>
            <w:vAlign w:val="center"/>
          </w:tcPr>
          <w:p w14:paraId="6A1E910F">
            <w:pPr>
              <w:pStyle w:val="211"/>
              <w:snapToGrid w:val="0"/>
              <w:spacing w:before="0" w:beforeLines="0" w:afterLines="0" w:line="240" w:lineRule="auto"/>
              <w:rPr>
                <w:color w:val="auto"/>
                <w:sz w:val="21"/>
                <w:szCs w:val="21"/>
              </w:rPr>
            </w:pPr>
          </w:p>
        </w:tc>
        <w:tc>
          <w:tcPr>
            <w:tcW w:w="1450" w:type="pct"/>
            <w:vMerge w:val="continue"/>
            <w:tcBorders>
              <w:tl2br w:val="nil"/>
              <w:tr2bl w:val="nil"/>
            </w:tcBorders>
            <w:vAlign w:val="center"/>
          </w:tcPr>
          <w:p w14:paraId="31AFD619">
            <w:pPr>
              <w:pStyle w:val="211"/>
              <w:snapToGrid w:val="0"/>
              <w:spacing w:before="0" w:beforeLines="0" w:afterLines="0" w:line="240" w:lineRule="auto"/>
              <w:rPr>
                <w:color w:val="auto"/>
                <w:sz w:val="21"/>
                <w:szCs w:val="21"/>
              </w:rPr>
            </w:pPr>
          </w:p>
        </w:tc>
      </w:tr>
      <w:tr w14:paraId="45A5E61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467" w:type="pct"/>
            <w:vMerge w:val="continue"/>
            <w:tcBorders>
              <w:tl2br w:val="nil"/>
              <w:tr2bl w:val="nil"/>
            </w:tcBorders>
            <w:vAlign w:val="center"/>
          </w:tcPr>
          <w:p w14:paraId="657B25E7">
            <w:pPr>
              <w:pStyle w:val="211"/>
              <w:snapToGrid w:val="0"/>
              <w:spacing w:before="0" w:beforeLines="0" w:afterLines="0" w:line="240" w:lineRule="auto"/>
              <w:rPr>
                <w:color w:val="auto"/>
                <w:sz w:val="21"/>
                <w:szCs w:val="21"/>
              </w:rPr>
            </w:pPr>
          </w:p>
        </w:tc>
        <w:tc>
          <w:tcPr>
            <w:tcW w:w="977" w:type="pct"/>
            <w:gridSpan w:val="2"/>
            <w:tcBorders>
              <w:tl2br w:val="nil"/>
              <w:tr2bl w:val="nil"/>
            </w:tcBorders>
            <w:vAlign w:val="center"/>
          </w:tcPr>
          <w:p w14:paraId="406A05D4">
            <w:pPr>
              <w:pStyle w:val="211"/>
              <w:snapToGrid w:val="0"/>
              <w:spacing w:before="0" w:beforeLines="0" w:afterLines="0" w:line="240" w:lineRule="auto"/>
              <w:rPr>
                <w:color w:val="auto"/>
                <w:sz w:val="21"/>
                <w:szCs w:val="21"/>
              </w:rPr>
            </w:pPr>
            <w:r>
              <w:rPr>
                <w:color w:val="auto"/>
                <w:sz w:val="21"/>
                <w:szCs w:val="21"/>
              </w:rPr>
              <w:t>落地灰</w:t>
            </w:r>
          </w:p>
        </w:tc>
        <w:tc>
          <w:tcPr>
            <w:tcW w:w="2105" w:type="pct"/>
            <w:vMerge w:val="continue"/>
            <w:tcBorders>
              <w:tl2br w:val="nil"/>
              <w:tr2bl w:val="nil"/>
            </w:tcBorders>
            <w:vAlign w:val="center"/>
          </w:tcPr>
          <w:p w14:paraId="3E6E79F8">
            <w:pPr>
              <w:pStyle w:val="211"/>
              <w:snapToGrid w:val="0"/>
              <w:spacing w:before="0" w:beforeLines="0" w:afterLines="0" w:line="240" w:lineRule="auto"/>
              <w:rPr>
                <w:color w:val="auto"/>
                <w:sz w:val="21"/>
                <w:szCs w:val="21"/>
              </w:rPr>
            </w:pPr>
          </w:p>
        </w:tc>
        <w:tc>
          <w:tcPr>
            <w:tcW w:w="1450" w:type="pct"/>
            <w:vMerge w:val="continue"/>
            <w:tcBorders>
              <w:tl2br w:val="nil"/>
              <w:tr2bl w:val="nil"/>
            </w:tcBorders>
            <w:vAlign w:val="center"/>
          </w:tcPr>
          <w:p w14:paraId="2F4A04C6">
            <w:pPr>
              <w:pStyle w:val="211"/>
              <w:snapToGrid w:val="0"/>
              <w:spacing w:before="0" w:beforeLines="0" w:afterLines="0" w:line="240" w:lineRule="auto"/>
              <w:rPr>
                <w:color w:val="auto"/>
                <w:sz w:val="21"/>
                <w:szCs w:val="21"/>
              </w:rPr>
            </w:pPr>
          </w:p>
        </w:tc>
      </w:tr>
      <w:tr w14:paraId="50EE7A7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467" w:type="pct"/>
            <w:vMerge w:val="continue"/>
            <w:tcBorders>
              <w:tl2br w:val="nil"/>
              <w:tr2bl w:val="nil"/>
            </w:tcBorders>
            <w:vAlign w:val="center"/>
          </w:tcPr>
          <w:p w14:paraId="24CF3CCA">
            <w:pPr>
              <w:pStyle w:val="211"/>
              <w:snapToGrid w:val="0"/>
              <w:spacing w:before="0" w:beforeLines="0" w:afterLines="0" w:line="240" w:lineRule="auto"/>
              <w:rPr>
                <w:color w:val="auto"/>
                <w:sz w:val="21"/>
                <w:szCs w:val="21"/>
              </w:rPr>
            </w:pPr>
          </w:p>
        </w:tc>
        <w:tc>
          <w:tcPr>
            <w:tcW w:w="977" w:type="pct"/>
            <w:gridSpan w:val="2"/>
            <w:tcBorders>
              <w:tl2br w:val="nil"/>
              <w:tr2bl w:val="nil"/>
            </w:tcBorders>
            <w:vAlign w:val="center"/>
          </w:tcPr>
          <w:p w14:paraId="3D5BEAC6">
            <w:pPr>
              <w:pStyle w:val="211"/>
              <w:snapToGrid w:val="0"/>
              <w:spacing w:before="0" w:beforeLines="0" w:afterLines="0" w:line="240" w:lineRule="auto"/>
              <w:rPr>
                <w:color w:val="auto"/>
                <w:sz w:val="21"/>
                <w:szCs w:val="21"/>
              </w:rPr>
            </w:pPr>
            <w:r>
              <w:rPr>
                <w:rFonts w:hint="eastAsia"/>
                <w:color w:val="auto"/>
                <w:sz w:val="21"/>
                <w:szCs w:val="21"/>
              </w:rPr>
              <w:t>废布袋</w:t>
            </w:r>
          </w:p>
        </w:tc>
        <w:tc>
          <w:tcPr>
            <w:tcW w:w="2105" w:type="pct"/>
            <w:tcBorders>
              <w:tl2br w:val="nil"/>
              <w:tr2bl w:val="nil"/>
            </w:tcBorders>
            <w:vAlign w:val="center"/>
          </w:tcPr>
          <w:p w14:paraId="0A4A7C29">
            <w:pPr>
              <w:pStyle w:val="211"/>
              <w:snapToGrid w:val="0"/>
              <w:spacing w:before="0" w:beforeLines="0" w:afterLines="0" w:line="240" w:lineRule="auto"/>
              <w:rPr>
                <w:color w:val="auto"/>
                <w:sz w:val="21"/>
                <w:szCs w:val="21"/>
              </w:rPr>
            </w:pPr>
            <w:r>
              <w:rPr>
                <w:rFonts w:hint="eastAsia"/>
                <w:color w:val="auto"/>
                <w:sz w:val="21"/>
                <w:szCs w:val="21"/>
              </w:rPr>
              <w:t>外售物资公司</w:t>
            </w:r>
          </w:p>
        </w:tc>
        <w:tc>
          <w:tcPr>
            <w:tcW w:w="1450" w:type="pct"/>
            <w:tcBorders>
              <w:tl2br w:val="nil"/>
              <w:tr2bl w:val="nil"/>
            </w:tcBorders>
            <w:vAlign w:val="center"/>
          </w:tcPr>
          <w:p w14:paraId="6689D648">
            <w:pPr>
              <w:pStyle w:val="211"/>
              <w:snapToGrid w:val="0"/>
              <w:spacing w:before="0" w:beforeLines="0" w:afterLines="0" w:line="240" w:lineRule="auto"/>
              <w:rPr>
                <w:color w:val="auto"/>
                <w:sz w:val="21"/>
                <w:szCs w:val="21"/>
              </w:rPr>
            </w:pPr>
            <w:r>
              <w:rPr>
                <w:rFonts w:hint="eastAsia"/>
                <w:color w:val="auto"/>
                <w:sz w:val="21"/>
                <w:szCs w:val="21"/>
              </w:rPr>
              <w:t>-</w:t>
            </w:r>
          </w:p>
        </w:tc>
      </w:tr>
      <w:tr w14:paraId="234AFFD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467" w:type="pct"/>
            <w:vMerge w:val="continue"/>
            <w:tcBorders>
              <w:tl2br w:val="nil"/>
              <w:tr2bl w:val="nil"/>
            </w:tcBorders>
            <w:vAlign w:val="center"/>
          </w:tcPr>
          <w:p w14:paraId="0877CE41">
            <w:pPr>
              <w:pStyle w:val="211"/>
              <w:snapToGrid w:val="0"/>
              <w:spacing w:before="0" w:beforeLines="0" w:afterLines="0" w:line="240" w:lineRule="auto"/>
              <w:rPr>
                <w:color w:val="auto"/>
                <w:sz w:val="21"/>
                <w:szCs w:val="21"/>
              </w:rPr>
            </w:pPr>
          </w:p>
        </w:tc>
        <w:tc>
          <w:tcPr>
            <w:tcW w:w="977" w:type="pct"/>
            <w:gridSpan w:val="2"/>
            <w:tcBorders>
              <w:tl2br w:val="nil"/>
              <w:tr2bl w:val="nil"/>
            </w:tcBorders>
            <w:vAlign w:val="center"/>
          </w:tcPr>
          <w:p w14:paraId="7730504D">
            <w:pPr>
              <w:pStyle w:val="211"/>
              <w:snapToGrid w:val="0"/>
              <w:spacing w:before="0" w:beforeLines="0" w:afterLines="0" w:line="240" w:lineRule="auto"/>
              <w:rPr>
                <w:color w:val="auto"/>
                <w:sz w:val="21"/>
                <w:szCs w:val="21"/>
              </w:rPr>
            </w:pPr>
            <w:r>
              <w:rPr>
                <w:color w:val="auto"/>
                <w:sz w:val="21"/>
                <w:szCs w:val="21"/>
              </w:rPr>
              <w:t>废矿物油</w:t>
            </w:r>
            <w:r>
              <w:rPr>
                <w:rFonts w:hint="eastAsia"/>
                <w:color w:val="auto"/>
                <w:sz w:val="21"/>
                <w:szCs w:val="21"/>
              </w:rPr>
              <w:t>及油桶</w:t>
            </w:r>
          </w:p>
        </w:tc>
        <w:tc>
          <w:tcPr>
            <w:tcW w:w="2105" w:type="pct"/>
            <w:tcBorders>
              <w:tl2br w:val="nil"/>
              <w:tr2bl w:val="nil"/>
            </w:tcBorders>
            <w:vAlign w:val="center"/>
          </w:tcPr>
          <w:p w14:paraId="13859F20">
            <w:pPr>
              <w:pStyle w:val="211"/>
              <w:snapToGrid w:val="0"/>
              <w:spacing w:before="0" w:beforeLines="0" w:afterLines="0" w:line="240" w:lineRule="auto"/>
              <w:rPr>
                <w:color w:val="auto"/>
                <w:sz w:val="21"/>
                <w:szCs w:val="21"/>
              </w:rPr>
            </w:pPr>
            <w:r>
              <w:rPr>
                <w:rFonts w:hint="eastAsia"/>
                <w:color w:val="auto"/>
                <w:sz w:val="21"/>
                <w:szCs w:val="21"/>
              </w:rPr>
              <w:t>存放至危废贮存点</w:t>
            </w:r>
            <w:r>
              <w:rPr>
                <w:color w:val="auto"/>
                <w:sz w:val="21"/>
                <w:szCs w:val="21"/>
              </w:rPr>
              <w:t>，面积</w:t>
            </w:r>
            <w:r>
              <w:rPr>
                <w:rFonts w:hint="eastAsia"/>
                <w:color w:val="auto"/>
                <w:sz w:val="21"/>
                <w:szCs w:val="21"/>
              </w:rPr>
              <w:t>1</w:t>
            </w:r>
            <w:r>
              <w:rPr>
                <w:color w:val="auto"/>
                <w:sz w:val="21"/>
                <w:szCs w:val="21"/>
              </w:rPr>
              <w:t>0m</w:t>
            </w:r>
            <w:r>
              <w:rPr>
                <w:color w:val="auto"/>
                <w:sz w:val="21"/>
                <w:szCs w:val="21"/>
                <w:vertAlign w:val="superscript"/>
              </w:rPr>
              <w:t>2</w:t>
            </w:r>
            <w:r>
              <w:rPr>
                <w:color w:val="auto"/>
                <w:sz w:val="21"/>
                <w:szCs w:val="21"/>
              </w:rPr>
              <w:t>，委托有资质单位定期处理</w:t>
            </w:r>
          </w:p>
        </w:tc>
        <w:tc>
          <w:tcPr>
            <w:tcW w:w="1450" w:type="pct"/>
            <w:tcBorders>
              <w:tl2br w:val="nil"/>
              <w:tr2bl w:val="nil"/>
            </w:tcBorders>
            <w:vAlign w:val="center"/>
          </w:tcPr>
          <w:p w14:paraId="08363990">
            <w:pPr>
              <w:widowControl/>
              <w:snapToGrid w:val="0"/>
              <w:spacing w:before="0" w:beforeLines="0" w:line="240" w:lineRule="auto"/>
              <w:jc w:val="center"/>
              <w:rPr>
                <w:szCs w:val="21"/>
              </w:rPr>
            </w:pPr>
            <w:r>
              <w:rPr>
                <w:rFonts w:hint="eastAsia"/>
                <w:szCs w:val="21"/>
              </w:rPr>
              <w:t>贮存点暂存，送有资质单位定期处理</w:t>
            </w:r>
          </w:p>
        </w:tc>
      </w:tr>
      <w:tr w14:paraId="4F190B2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467" w:type="pct"/>
            <w:vMerge w:val="continue"/>
            <w:tcBorders>
              <w:tl2br w:val="nil"/>
              <w:tr2bl w:val="nil"/>
            </w:tcBorders>
            <w:vAlign w:val="center"/>
          </w:tcPr>
          <w:p w14:paraId="0F467DC1">
            <w:pPr>
              <w:pStyle w:val="211"/>
              <w:snapToGrid w:val="0"/>
              <w:spacing w:before="0" w:beforeLines="0" w:afterLines="0" w:line="240" w:lineRule="auto"/>
              <w:rPr>
                <w:color w:val="auto"/>
                <w:sz w:val="21"/>
                <w:szCs w:val="21"/>
              </w:rPr>
            </w:pPr>
          </w:p>
        </w:tc>
        <w:tc>
          <w:tcPr>
            <w:tcW w:w="977" w:type="pct"/>
            <w:gridSpan w:val="2"/>
            <w:tcBorders>
              <w:tl2br w:val="nil"/>
              <w:tr2bl w:val="nil"/>
            </w:tcBorders>
            <w:vAlign w:val="center"/>
          </w:tcPr>
          <w:p w14:paraId="1E531EFF">
            <w:pPr>
              <w:pStyle w:val="211"/>
              <w:snapToGrid w:val="0"/>
              <w:spacing w:before="0" w:beforeLines="0" w:afterLines="0" w:line="240" w:lineRule="auto"/>
              <w:rPr>
                <w:color w:val="auto"/>
                <w:sz w:val="21"/>
                <w:szCs w:val="21"/>
              </w:rPr>
            </w:pPr>
            <w:r>
              <w:rPr>
                <w:color w:val="auto"/>
                <w:sz w:val="21"/>
                <w:szCs w:val="21"/>
              </w:rPr>
              <w:t>生活垃圾处置</w:t>
            </w:r>
          </w:p>
        </w:tc>
        <w:tc>
          <w:tcPr>
            <w:tcW w:w="2105" w:type="pct"/>
            <w:tcBorders>
              <w:tl2br w:val="nil"/>
              <w:tr2bl w:val="nil"/>
            </w:tcBorders>
            <w:vAlign w:val="center"/>
          </w:tcPr>
          <w:p w14:paraId="75D8D3DB">
            <w:pPr>
              <w:pStyle w:val="211"/>
              <w:snapToGrid w:val="0"/>
              <w:spacing w:before="0" w:beforeLines="0" w:afterLines="0" w:line="240" w:lineRule="auto"/>
              <w:rPr>
                <w:color w:val="auto"/>
                <w:sz w:val="21"/>
                <w:szCs w:val="21"/>
              </w:rPr>
            </w:pPr>
            <w:r>
              <w:rPr>
                <w:color w:val="auto"/>
                <w:sz w:val="21"/>
                <w:szCs w:val="21"/>
              </w:rPr>
              <w:t>设置垃圾</w:t>
            </w:r>
            <w:r>
              <w:rPr>
                <w:rFonts w:hint="eastAsia"/>
                <w:color w:val="auto"/>
                <w:sz w:val="21"/>
                <w:szCs w:val="21"/>
              </w:rPr>
              <w:t>桶</w:t>
            </w:r>
            <w:r>
              <w:rPr>
                <w:color w:val="auto"/>
                <w:sz w:val="21"/>
                <w:szCs w:val="21"/>
              </w:rPr>
              <w:t>，由当地环卫部门收集处置</w:t>
            </w:r>
          </w:p>
        </w:tc>
        <w:tc>
          <w:tcPr>
            <w:tcW w:w="1450" w:type="pct"/>
            <w:tcBorders>
              <w:tl2br w:val="nil"/>
              <w:tr2bl w:val="nil"/>
            </w:tcBorders>
            <w:vAlign w:val="center"/>
          </w:tcPr>
          <w:p w14:paraId="1A4473BE">
            <w:pPr>
              <w:pStyle w:val="211"/>
              <w:snapToGrid w:val="0"/>
              <w:spacing w:before="0" w:beforeLines="0" w:afterLines="0" w:line="240" w:lineRule="auto"/>
              <w:rPr>
                <w:color w:val="auto"/>
                <w:sz w:val="21"/>
                <w:szCs w:val="21"/>
              </w:rPr>
            </w:pPr>
            <w:r>
              <w:rPr>
                <w:color w:val="auto"/>
                <w:sz w:val="21"/>
                <w:szCs w:val="21"/>
              </w:rPr>
              <w:t>生活垃圾收集后定期送当地环卫部门统一处理。</w:t>
            </w:r>
          </w:p>
        </w:tc>
      </w:tr>
      <w:tr w14:paraId="1C3572C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159" w:hRule="atLeast"/>
          <w:jc w:val="center"/>
        </w:trPr>
        <w:tc>
          <w:tcPr>
            <w:tcW w:w="467" w:type="pct"/>
            <w:tcBorders>
              <w:tl2br w:val="nil"/>
              <w:tr2bl w:val="nil"/>
            </w:tcBorders>
            <w:vAlign w:val="center"/>
          </w:tcPr>
          <w:p w14:paraId="0ECE9E4F">
            <w:pPr>
              <w:snapToGrid w:val="0"/>
              <w:spacing w:before="0" w:beforeLines="0" w:line="240" w:lineRule="auto"/>
              <w:jc w:val="center"/>
              <w:rPr>
                <w:kern w:val="0"/>
                <w:szCs w:val="21"/>
              </w:rPr>
            </w:pPr>
            <w:r>
              <w:rPr>
                <w:kern w:val="0"/>
                <w:szCs w:val="21"/>
              </w:rPr>
              <w:t>排污口</w:t>
            </w:r>
          </w:p>
        </w:tc>
        <w:tc>
          <w:tcPr>
            <w:tcW w:w="3083" w:type="pct"/>
            <w:gridSpan w:val="3"/>
            <w:tcBorders>
              <w:tl2br w:val="nil"/>
              <w:tr2bl w:val="nil"/>
            </w:tcBorders>
            <w:vAlign w:val="center"/>
          </w:tcPr>
          <w:p w14:paraId="279BF1D3">
            <w:pPr>
              <w:snapToGrid w:val="0"/>
              <w:spacing w:before="0" w:beforeLines="0" w:line="240" w:lineRule="auto"/>
              <w:jc w:val="center"/>
              <w:rPr>
                <w:szCs w:val="21"/>
              </w:rPr>
            </w:pPr>
            <w:r>
              <w:rPr>
                <w:kern w:val="0"/>
                <w:szCs w:val="21"/>
              </w:rPr>
              <w:t>排污口规范化</w:t>
            </w:r>
          </w:p>
        </w:tc>
        <w:tc>
          <w:tcPr>
            <w:tcW w:w="1450" w:type="pct"/>
            <w:tcBorders>
              <w:tl2br w:val="nil"/>
              <w:tr2bl w:val="nil"/>
            </w:tcBorders>
            <w:vAlign w:val="center"/>
          </w:tcPr>
          <w:p w14:paraId="2498FD2D">
            <w:pPr>
              <w:snapToGrid w:val="0"/>
              <w:spacing w:before="0" w:beforeLines="0" w:line="240" w:lineRule="auto"/>
              <w:jc w:val="center"/>
              <w:rPr>
                <w:szCs w:val="21"/>
              </w:rPr>
            </w:pPr>
            <w:r>
              <w:rPr>
                <w:kern w:val="0"/>
                <w:szCs w:val="21"/>
              </w:rPr>
              <w:t>满足《环境保护图形标志标志-排放口（源）》（GB15562.1-1995）。</w:t>
            </w:r>
          </w:p>
        </w:tc>
      </w:tr>
    </w:tbl>
    <w:p w14:paraId="4981F8F1">
      <w:pPr>
        <w:pStyle w:val="4"/>
        <w:rPr>
          <w:rFonts w:ascii="Times New Roman" w:hAnsi="Times New Roman" w:eastAsia="宋体"/>
          <w:color w:val="auto"/>
        </w:rPr>
      </w:pPr>
      <w:bookmarkStart w:id="626" w:name="_Toc239274303"/>
      <w:r>
        <w:rPr>
          <w:rFonts w:ascii="Times New Roman" w:hAnsi="Times New Roman" w:eastAsia="宋体"/>
          <w:color w:val="auto"/>
        </w:rPr>
        <w:t>9.5污染物排放清单</w:t>
      </w:r>
      <w:bookmarkEnd w:id="626"/>
    </w:p>
    <w:p w14:paraId="1A38008E">
      <w:pPr>
        <w:pStyle w:val="190"/>
        <w:ind w:firstLine="480"/>
      </w:pPr>
      <w:r>
        <w:t>本项目污染物排放清单见表9.5-1。</w:t>
      </w:r>
    </w:p>
    <w:p w14:paraId="1D3C70CB">
      <w:pPr>
        <w:pStyle w:val="190"/>
        <w:ind w:firstLine="480"/>
      </w:pPr>
    </w:p>
    <w:p w14:paraId="54F6D8B0">
      <w:pPr>
        <w:pStyle w:val="190"/>
        <w:ind w:firstLine="480"/>
      </w:pPr>
    </w:p>
    <w:p w14:paraId="284457A0">
      <w:pPr>
        <w:pStyle w:val="143"/>
        <w:spacing w:before="0" w:beforeLines="0"/>
        <w:rPr>
          <w:b/>
          <w:bCs w:val="0"/>
        </w:rPr>
      </w:pPr>
    </w:p>
    <w:p w14:paraId="717A1A9B">
      <w:pPr>
        <w:pStyle w:val="143"/>
        <w:spacing w:before="0" w:beforeLines="0"/>
        <w:rPr>
          <w:b/>
          <w:bCs w:val="0"/>
        </w:rPr>
      </w:pPr>
      <w:r>
        <w:rPr>
          <w:b/>
          <w:bCs w:val="0"/>
        </w:rPr>
        <w:t>表9.5-1  污染物排放清单一览表</w:t>
      </w:r>
    </w:p>
    <w:tbl>
      <w:tblPr>
        <w:tblStyle w:val="89"/>
        <w:tblW w:w="4997"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400"/>
        <w:gridCol w:w="1017"/>
        <w:gridCol w:w="992"/>
        <w:gridCol w:w="851"/>
        <w:gridCol w:w="2411"/>
        <w:gridCol w:w="882"/>
        <w:gridCol w:w="1754"/>
      </w:tblGrid>
      <w:tr w14:paraId="4E553D1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tcBorders>
              <w:tl2br w:val="nil"/>
              <w:tr2bl w:val="nil"/>
            </w:tcBorders>
            <w:vAlign w:val="center"/>
          </w:tcPr>
          <w:p w14:paraId="745B9009">
            <w:pPr>
              <w:pStyle w:val="160"/>
              <w:adjustRightInd w:val="0"/>
              <w:snapToGrid w:val="0"/>
              <w:rPr>
                <w:szCs w:val="21"/>
              </w:rPr>
            </w:pPr>
            <w:r>
              <w:rPr>
                <w:szCs w:val="21"/>
              </w:rPr>
              <w:t>项目</w:t>
            </w:r>
          </w:p>
        </w:tc>
        <w:tc>
          <w:tcPr>
            <w:tcW w:w="612" w:type="pct"/>
            <w:tcBorders>
              <w:tl2br w:val="nil"/>
              <w:tr2bl w:val="nil"/>
            </w:tcBorders>
            <w:vAlign w:val="center"/>
          </w:tcPr>
          <w:p w14:paraId="77B1A07A">
            <w:pPr>
              <w:pStyle w:val="160"/>
              <w:adjustRightInd w:val="0"/>
              <w:snapToGrid w:val="0"/>
              <w:rPr>
                <w:szCs w:val="21"/>
              </w:rPr>
            </w:pPr>
            <w:r>
              <w:rPr>
                <w:szCs w:val="21"/>
              </w:rPr>
              <w:t>产污环节</w:t>
            </w:r>
          </w:p>
        </w:tc>
        <w:tc>
          <w:tcPr>
            <w:tcW w:w="597" w:type="pct"/>
            <w:tcBorders>
              <w:tl2br w:val="nil"/>
              <w:tr2bl w:val="nil"/>
            </w:tcBorders>
            <w:vAlign w:val="center"/>
          </w:tcPr>
          <w:p w14:paraId="74666838">
            <w:pPr>
              <w:pStyle w:val="160"/>
              <w:adjustRightInd w:val="0"/>
              <w:snapToGrid w:val="0"/>
              <w:rPr>
                <w:szCs w:val="21"/>
              </w:rPr>
            </w:pPr>
            <w:r>
              <w:rPr>
                <w:szCs w:val="21"/>
              </w:rPr>
              <w:t>污染因子</w:t>
            </w:r>
          </w:p>
        </w:tc>
        <w:tc>
          <w:tcPr>
            <w:tcW w:w="512" w:type="pct"/>
            <w:tcBorders>
              <w:tl2br w:val="nil"/>
              <w:tr2bl w:val="nil"/>
            </w:tcBorders>
            <w:vAlign w:val="center"/>
          </w:tcPr>
          <w:p w14:paraId="17B92EF2">
            <w:pPr>
              <w:pStyle w:val="160"/>
              <w:adjustRightInd w:val="0"/>
              <w:snapToGrid w:val="0"/>
              <w:rPr>
                <w:szCs w:val="21"/>
              </w:rPr>
            </w:pPr>
            <w:r>
              <w:rPr>
                <w:szCs w:val="21"/>
              </w:rPr>
              <w:t>产生量t/a</w:t>
            </w:r>
          </w:p>
        </w:tc>
        <w:tc>
          <w:tcPr>
            <w:tcW w:w="1451" w:type="pct"/>
            <w:tcBorders>
              <w:tl2br w:val="nil"/>
              <w:tr2bl w:val="nil"/>
            </w:tcBorders>
            <w:vAlign w:val="center"/>
          </w:tcPr>
          <w:p w14:paraId="364AC478">
            <w:pPr>
              <w:pStyle w:val="160"/>
              <w:adjustRightInd w:val="0"/>
              <w:snapToGrid w:val="0"/>
              <w:rPr>
                <w:szCs w:val="21"/>
              </w:rPr>
            </w:pPr>
            <w:r>
              <w:rPr>
                <w:szCs w:val="21"/>
              </w:rPr>
              <w:t>环境保护措施</w:t>
            </w:r>
          </w:p>
        </w:tc>
        <w:tc>
          <w:tcPr>
            <w:tcW w:w="531" w:type="pct"/>
            <w:tcBorders>
              <w:tl2br w:val="nil"/>
              <w:tr2bl w:val="nil"/>
            </w:tcBorders>
            <w:vAlign w:val="center"/>
          </w:tcPr>
          <w:p w14:paraId="6D5FFF2A">
            <w:pPr>
              <w:pStyle w:val="160"/>
              <w:adjustRightInd w:val="0"/>
              <w:snapToGrid w:val="0"/>
              <w:rPr>
                <w:szCs w:val="21"/>
              </w:rPr>
            </w:pPr>
            <w:r>
              <w:rPr>
                <w:szCs w:val="21"/>
              </w:rPr>
              <w:t>排放量t/a</w:t>
            </w:r>
          </w:p>
        </w:tc>
        <w:tc>
          <w:tcPr>
            <w:tcW w:w="1056" w:type="pct"/>
            <w:tcBorders>
              <w:tl2br w:val="nil"/>
              <w:tr2bl w:val="nil"/>
            </w:tcBorders>
            <w:vAlign w:val="center"/>
          </w:tcPr>
          <w:p w14:paraId="16CCEAB7">
            <w:pPr>
              <w:pStyle w:val="160"/>
              <w:adjustRightInd w:val="0"/>
              <w:snapToGrid w:val="0"/>
              <w:rPr>
                <w:szCs w:val="21"/>
              </w:rPr>
            </w:pPr>
            <w:r>
              <w:rPr>
                <w:szCs w:val="21"/>
              </w:rPr>
              <w:t>验收标准</w:t>
            </w:r>
          </w:p>
        </w:tc>
      </w:tr>
      <w:tr w14:paraId="3136C6C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vMerge w:val="restart"/>
            <w:tcBorders>
              <w:tl2br w:val="nil"/>
              <w:tr2bl w:val="nil"/>
            </w:tcBorders>
            <w:vAlign w:val="center"/>
          </w:tcPr>
          <w:p w14:paraId="371516DC">
            <w:pPr>
              <w:pStyle w:val="160"/>
              <w:adjustRightInd w:val="0"/>
              <w:snapToGrid w:val="0"/>
              <w:rPr>
                <w:szCs w:val="21"/>
              </w:rPr>
            </w:pPr>
            <w:r>
              <w:rPr>
                <w:szCs w:val="21"/>
                <w:lang w:val="zh-CN"/>
              </w:rPr>
              <w:t>废气</w:t>
            </w:r>
          </w:p>
        </w:tc>
        <w:tc>
          <w:tcPr>
            <w:tcW w:w="612" w:type="pct"/>
            <w:tcBorders>
              <w:tl2br w:val="nil"/>
              <w:tr2bl w:val="nil"/>
            </w:tcBorders>
            <w:vAlign w:val="center"/>
          </w:tcPr>
          <w:p w14:paraId="3F1AD3A8">
            <w:pPr>
              <w:widowControl/>
              <w:adjustRightInd w:val="0"/>
              <w:snapToGrid w:val="0"/>
              <w:spacing w:before="0" w:beforeLines="0" w:line="240" w:lineRule="auto"/>
              <w:jc w:val="center"/>
              <w:textAlignment w:val="center"/>
              <w:rPr>
                <w:szCs w:val="21"/>
              </w:rPr>
            </w:pPr>
            <w:r>
              <w:rPr>
                <w:kern w:val="0"/>
                <w:szCs w:val="21"/>
                <w:lang w:bidi="ar"/>
              </w:rPr>
              <w:t>G1</w:t>
            </w:r>
          </w:p>
        </w:tc>
        <w:tc>
          <w:tcPr>
            <w:tcW w:w="597" w:type="pct"/>
            <w:vMerge w:val="restart"/>
            <w:tcBorders>
              <w:tl2br w:val="nil"/>
              <w:tr2bl w:val="nil"/>
            </w:tcBorders>
            <w:vAlign w:val="center"/>
          </w:tcPr>
          <w:p w14:paraId="0336B6CA">
            <w:pPr>
              <w:pStyle w:val="160"/>
              <w:adjustRightInd w:val="0"/>
              <w:snapToGrid w:val="0"/>
              <w:rPr>
                <w:szCs w:val="21"/>
              </w:rPr>
            </w:pPr>
            <w:r>
              <w:rPr>
                <w:szCs w:val="21"/>
              </w:rPr>
              <w:t>颗粒物</w:t>
            </w:r>
          </w:p>
        </w:tc>
        <w:tc>
          <w:tcPr>
            <w:tcW w:w="512" w:type="pct"/>
            <w:tcBorders>
              <w:tl2br w:val="nil"/>
              <w:tr2bl w:val="nil"/>
            </w:tcBorders>
            <w:vAlign w:val="center"/>
          </w:tcPr>
          <w:p w14:paraId="650F264B">
            <w:pPr>
              <w:widowControl/>
              <w:adjustRightInd w:val="0"/>
              <w:snapToGrid w:val="0"/>
              <w:spacing w:before="0" w:beforeLines="0" w:line="240" w:lineRule="auto"/>
              <w:jc w:val="center"/>
              <w:textAlignment w:val="center"/>
              <w:rPr>
                <w:szCs w:val="21"/>
              </w:rPr>
            </w:pPr>
            <w:r>
              <w:rPr>
                <w:rFonts w:eastAsia="等线"/>
                <w:szCs w:val="21"/>
              </w:rPr>
              <w:t>972.7</w:t>
            </w:r>
          </w:p>
        </w:tc>
        <w:tc>
          <w:tcPr>
            <w:tcW w:w="1451" w:type="pct"/>
            <w:tcBorders>
              <w:tl2br w:val="nil"/>
              <w:tr2bl w:val="nil"/>
            </w:tcBorders>
            <w:vAlign w:val="center"/>
          </w:tcPr>
          <w:p w14:paraId="113CECF5">
            <w:pPr>
              <w:widowControl/>
              <w:adjustRightInd w:val="0"/>
              <w:snapToGrid w:val="0"/>
              <w:spacing w:before="0" w:beforeLines="0" w:line="240" w:lineRule="auto"/>
              <w:jc w:val="center"/>
              <w:textAlignment w:val="center"/>
              <w:rPr>
                <w:szCs w:val="21"/>
              </w:rPr>
            </w:pPr>
            <w:r>
              <w:rPr>
                <w:kern w:val="0"/>
                <w:szCs w:val="21"/>
                <w:lang w:bidi="ar"/>
              </w:rPr>
              <w:t>1#袋式除尘器</w:t>
            </w:r>
          </w:p>
        </w:tc>
        <w:tc>
          <w:tcPr>
            <w:tcW w:w="531" w:type="pct"/>
            <w:tcBorders>
              <w:tl2br w:val="nil"/>
              <w:tr2bl w:val="nil"/>
            </w:tcBorders>
            <w:vAlign w:val="center"/>
          </w:tcPr>
          <w:p w14:paraId="695B3816">
            <w:pPr>
              <w:widowControl/>
              <w:adjustRightInd w:val="0"/>
              <w:snapToGrid w:val="0"/>
              <w:spacing w:before="0" w:beforeLines="0" w:line="240" w:lineRule="auto"/>
              <w:jc w:val="center"/>
              <w:textAlignment w:val="center"/>
              <w:rPr>
                <w:kern w:val="0"/>
                <w:szCs w:val="21"/>
                <w:lang w:bidi="ar"/>
              </w:rPr>
            </w:pPr>
            <w:r>
              <w:rPr>
                <w:rFonts w:eastAsia="等线"/>
                <w:szCs w:val="21"/>
              </w:rPr>
              <w:t>3.50</w:t>
            </w:r>
          </w:p>
        </w:tc>
        <w:tc>
          <w:tcPr>
            <w:tcW w:w="1056" w:type="pct"/>
            <w:vMerge w:val="restart"/>
            <w:tcBorders>
              <w:tl2br w:val="nil"/>
              <w:tr2bl w:val="nil"/>
            </w:tcBorders>
            <w:vAlign w:val="center"/>
          </w:tcPr>
          <w:p w14:paraId="6B838FF6">
            <w:pPr>
              <w:pStyle w:val="160"/>
              <w:widowControl w:val="0"/>
              <w:adjustRightInd w:val="0"/>
              <w:snapToGrid w:val="0"/>
              <w:rPr>
                <w:szCs w:val="21"/>
              </w:rPr>
            </w:pPr>
            <w:r>
              <w:rPr>
                <w:szCs w:val="21"/>
              </w:rPr>
              <w:t>《铁矿采选工业污染物排放标准》（GB28661-2012）中表6特别限值要求</w:t>
            </w:r>
          </w:p>
        </w:tc>
      </w:tr>
      <w:tr w14:paraId="64CAD86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vMerge w:val="continue"/>
            <w:tcBorders>
              <w:tl2br w:val="nil"/>
              <w:tr2bl w:val="nil"/>
            </w:tcBorders>
            <w:vAlign w:val="center"/>
          </w:tcPr>
          <w:p w14:paraId="1D73B3A8">
            <w:pPr>
              <w:pStyle w:val="160"/>
              <w:adjustRightInd w:val="0"/>
              <w:snapToGrid w:val="0"/>
              <w:rPr>
                <w:szCs w:val="21"/>
                <w:lang w:val="zh-CN"/>
              </w:rPr>
            </w:pPr>
          </w:p>
        </w:tc>
        <w:tc>
          <w:tcPr>
            <w:tcW w:w="612" w:type="pct"/>
            <w:tcBorders>
              <w:tl2br w:val="nil"/>
              <w:tr2bl w:val="nil"/>
            </w:tcBorders>
            <w:vAlign w:val="center"/>
          </w:tcPr>
          <w:p w14:paraId="7ABFE9D4">
            <w:pPr>
              <w:widowControl/>
              <w:adjustRightInd w:val="0"/>
              <w:snapToGrid w:val="0"/>
              <w:spacing w:before="0" w:beforeLines="0" w:line="240" w:lineRule="auto"/>
              <w:jc w:val="center"/>
              <w:textAlignment w:val="center"/>
              <w:rPr>
                <w:szCs w:val="21"/>
              </w:rPr>
            </w:pPr>
            <w:r>
              <w:rPr>
                <w:kern w:val="0"/>
                <w:szCs w:val="21"/>
                <w:lang w:bidi="ar"/>
              </w:rPr>
              <w:t>G2</w:t>
            </w:r>
          </w:p>
        </w:tc>
        <w:tc>
          <w:tcPr>
            <w:tcW w:w="597" w:type="pct"/>
            <w:vMerge w:val="continue"/>
            <w:tcBorders>
              <w:tl2br w:val="nil"/>
              <w:tr2bl w:val="nil"/>
            </w:tcBorders>
            <w:vAlign w:val="center"/>
          </w:tcPr>
          <w:p w14:paraId="2F7A53E4">
            <w:pPr>
              <w:pStyle w:val="160"/>
              <w:adjustRightInd w:val="0"/>
              <w:snapToGrid w:val="0"/>
              <w:rPr>
                <w:szCs w:val="21"/>
              </w:rPr>
            </w:pPr>
          </w:p>
        </w:tc>
        <w:tc>
          <w:tcPr>
            <w:tcW w:w="512" w:type="pct"/>
            <w:tcBorders>
              <w:tl2br w:val="nil"/>
              <w:tr2bl w:val="nil"/>
            </w:tcBorders>
            <w:vAlign w:val="center"/>
          </w:tcPr>
          <w:p w14:paraId="02F11EA2">
            <w:pPr>
              <w:widowControl/>
              <w:adjustRightInd w:val="0"/>
              <w:snapToGrid w:val="0"/>
              <w:spacing w:before="0" w:beforeLines="0" w:line="240" w:lineRule="auto"/>
              <w:jc w:val="center"/>
              <w:textAlignment w:val="center"/>
              <w:rPr>
                <w:szCs w:val="21"/>
              </w:rPr>
            </w:pPr>
            <w:r>
              <w:rPr>
                <w:rFonts w:eastAsia="等线"/>
                <w:szCs w:val="21"/>
              </w:rPr>
              <w:t>951.4</w:t>
            </w:r>
          </w:p>
        </w:tc>
        <w:tc>
          <w:tcPr>
            <w:tcW w:w="1451" w:type="pct"/>
            <w:tcBorders>
              <w:tl2br w:val="nil"/>
              <w:tr2bl w:val="nil"/>
            </w:tcBorders>
            <w:vAlign w:val="center"/>
          </w:tcPr>
          <w:p w14:paraId="7730E74B">
            <w:pPr>
              <w:widowControl/>
              <w:adjustRightInd w:val="0"/>
              <w:snapToGrid w:val="0"/>
              <w:spacing w:before="0" w:beforeLines="0" w:line="240" w:lineRule="auto"/>
              <w:jc w:val="center"/>
              <w:textAlignment w:val="center"/>
              <w:rPr>
                <w:szCs w:val="21"/>
              </w:rPr>
            </w:pPr>
            <w:r>
              <w:rPr>
                <w:kern w:val="0"/>
                <w:szCs w:val="21"/>
                <w:lang w:bidi="ar"/>
              </w:rPr>
              <w:t>2#袋式除尘器</w:t>
            </w:r>
          </w:p>
        </w:tc>
        <w:tc>
          <w:tcPr>
            <w:tcW w:w="531" w:type="pct"/>
            <w:tcBorders>
              <w:tl2br w:val="nil"/>
              <w:tr2bl w:val="nil"/>
            </w:tcBorders>
            <w:vAlign w:val="center"/>
          </w:tcPr>
          <w:p w14:paraId="2A261C2A">
            <w:pPr>
              <w:widowControl/>
              <w:adjustRightInd w:val="0"/>
              <w:snapToGrid w:val="0"/>
              <w:spacing w:before="0" w:beforeLines="0" w:line="240" w:lineRule="auto"/>
              <w:jc w:val="center"/>
              <w:textAlignment w:val="center"/>
              <w:rPr>
                <w:kern w:val="0"/>
                <w:szCs w:val="21"/>
                <w:lang w:bidi="ar"/>
              </w:rPr>
            </w:pPr>
            <w:r>
              <w:rPr>
                <w:rFonts w:eastAsia="等线"/>
                <w:szCs w:val="21"/>
              </w:rPr>
              <w:t>3.62</w:t>
            </w:r>
          </w:p>
        </w:tc>
        <w:tc>
          <w:tcPr>
            <w:tcW w:w="1056" w:type="pct"/>
            <w:vMerge w:val="continue"/>
            <w:tcBorders>
              <w:tl2br w:val="nil"/>
              <w:tr2bl w:val="nil"/>
            </w:tcBorders>
            <w:vAlign w:val="center"/>
          </w:tcPr>
          <w:p w14:paraId="131341AA">
            <w:pPr>
              <w:pStyle w:val="160"/>
              <w:widowControl w:val="0"/>
              <w:adjustRightInd w:val="0"/>
              <w:snapToGrid w:val="0"/>
              <w:rPr>
                <w:szCs w:val="21"/>
              </w:rPr>
            </w:pPr>
          </w:p>
        </w:tc>
      </w:tr>
      <w:tr w14:paraId="69EEA5D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vMerge w:val="continue"/>
            <w:tcBorders>
              <w:tl2br w:val="nil"/>
              <w:tr2bl w:val="nil"/>
            </w:tcBorders>
            <w:vAlign w:val="center"/>
          </w:tcPr>
          <w:p w14:paraId="54DC7906">
            <w:pPr>
              <w:pStyle w:val="160"/>
              <w:adjustRightInd w:val="0"/>
              <w:snapToGrid w:val="0"/>
              <w:rPr>
                <w:szCs w:val="21"/>
                <w:lang w:val="zh-CN"/>
              </w:rPr>
            </w:pPr>
          </w:p>
        </w:tc>
        <w:tc>
          <w:tcPr>
            <w:tcW w:w="612" w:type="pct"/>
            <w:tcBorders>
              <w:tl2br w:val="nil"/>
              <w:tr2bl w:val="nil"/>
            </w:tcBorders>
            <w:vAlign w:val="center"/>
          </w:tcPr>
          <w:p w14:paraId="291BCF52">
            <w:pPr>
              <w:widowControl/>
              <w:adjustRightInd w:val="0"/>
              <w:snapToGrid w:val="0"/>
              <w:spacing w:before="0" w:beforeLines="0" w:line="240" w:lineRule="auto"/>
              <w:jc w:val="center"/>
              <w:textAlignment w:val="center"/>
              <w:rPr>
                <w:szCs w:val="21"/>
              </w:rPr>
            </w:pPr>
            <w:r>
              <w:rPr>
                <w:kern w:val="0"/>
                <w:szCs w:val="21"/>
                <w:lang w:bidi="ar"/>
              </w:rPr>
              <w:t>G3</w:t>
            </w:r>
            <w:r>
              <w:rPr>
                <w:rFonts w:hint="eastAsia"/>
                <w:kern w:val="0"/>
                <w:szCs w:val="21"/>
                <w:lang w:bidi="ar"/>
              </w:rPr>
              <w:t>、G4</w:t>
            </w:r>
          </w:p>
        </w:tc>
        <w:tc>
          <w:tcPr>
            <w:tcW w:w="597" w:type="pct"/>
            <w:vMerge w:val="continue"/>
            <w:tcBorders>
              <w:tl2br w:val="nil"/>
              <w:tr2bl w:val="nil"/>
            </w:tcBorders>
            <w:vAlign w:val="center"/>
          </w:tcPr>
          <w:p w14:paraId="2AED4519">
            <w:pPr>
              <w:pStyle w:val="160"/>
              <w:adjustRightInd w:val="0"/>
              <w:snapToGrid w:val="0"/>
              <w:rPr>
                <w:szCs w:val="21"/>
              </w:rPr>
            </w:pPr>
          </w:p>
        </w:tc>
        <w:tc>
          <w:tcPr>
            <w:tcW w:w="512" w:type="pct"/>
            <w:tcBorders>
              <w:tl2br w:val="nil"/>
              <w:tr2bl w:val="nil"/>
            </w:tcBorders>
            <w:vAlign w:val="center"/>
          </w:tcPr>
          <w:p w14:paraId="6B808E6C">
            <w:pPr>
              <w:widowControl/>
              <w:adjustRightInd w:val="0"/>
              <w:snapToGrid w:val="0"/>
              <w:spacing w:before="0" w:beforeLines="0" w:line="240" w:lineRule="auto"/>
              <w:jc w:val="center"/>
              <w:textAlignment w:val="center"/>
              <w:rPr>
                <w:szCs w:val="21"/>
              </w:rPr>
            </w:pPr>
            <w:r>
              <w:rPr>
                <w:rFonts w:hint="eastAsia" w:eastAsia="等线"/>
                <w:szCs w:val="21"/>
              </w:rPr>
              <w:t>1212.4</w:t>
            </w:r>
          </w:p>
        </w:tc>
        <w:tc>
          <w:tcPr>
            <w:tcW w:w="1451" w:type="pct"/>
            <w:tcBorders>
              <w:tl2br w:val="nil"/>
              <w:tr2bl w:val="nil"/>
            </w:tcBorders>
            <w:vAlign w:val="center"/>
          </w:tcPr>
          <w:p w14:paraId="3DE4A3DF">
            <w:pPr>
              <w:widowControl/>
              <w:adjustRightInd w:val="0"/>
              <w:snapToGrid w:val="0"/>
              <w:spacing w:before="0" w:beforeLines="0" w:line="240" w:lineRule="auto"/>
              <w:jc w:val="center"/>
              <w:textAlignment w:val="center"/>
              <w:rPr>
                <w:szCs w:val="21"/>
              </w:rPr>
            </w:pPr>
            <w:r>
              <w:rPr>
                <w:kern w:val="0"/>
                <w:szCs w:val="21"/>
                <w:lang w:bidi="ar"/>
              </w:rPr>
              <w:t>3#袋式除尘器</w:t>
            </w:r>
          </w:p>
        </w:tc>
        <w:tc>
          <w:tcPr>
            <w:tcW w:w="531" w:type="pct"/>
            <w:tcBorders>
              <w:tl2br w:val="nil"/>
              <w:tr2bl w:val="nil"/>
            </w:tcBorders>
            <w:vAlign w:val="center"/>
          </w:tcPr>
          <w:p w14:paraId="076F6560">
            <w:pPr>
              <w:widowControl/>
              <w:adjustRightInd w:val="0"/>
              <w:snapToGrid w:val="0"/>
              <w:spacing w:before="0" w:beforeLines="0" w:line="240" w:lineRule="auto"/>
              <w:jc w:val="center"/>
              <w:textAlignment w:val="center"/>
              <w:rPr>
                <w:kern w:val="0"/>
                <w:szCs w:val="21"/>
                <w:lang w:bidi="ar"/>
              </w:rPr>
            </w:pPr>
            <w:r>
              <w:rPr>
                <w:rFonts w:hint="eastAsia" w:eastAsia="等线"/>
                <w:szCs w:val="21"/>
              </w:rPr>
              <w:t>4.61</w:t>
            </w:r>
          </w:p>
        </w:tc>
        <w:tc>
          <w:tcPr>
            <w:tcW w:w="1056" w:type="pct"/>
            <w:vMerge w:val="continue"/>
            <w:tcBorders>
              <w:tl2br w:val="nil"/>
              <w:tr2bl w:val="nil"/>
            </w:tcBorders>
            <w:vAlign w:val="center"/>
          </w:tcPr>
          <w:p w14:paraId="5790D2AA">
            <w:pPr>
              <w:pStyle w:val="160"/>
              <w:widowControl w:val="0"/>
              <w:adjustRightInd w:val="0"/>
              <w:snapToGrid w:val="0"/>
              <w:rPr>
                <w:szCs w:val="21"/>
              </w:rPr>
            </w:pPr>
          </w:p>
        </w:tc>
      </w:tr>
      <w:tr w14:paraId="2D0447E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vMerge w:val="continue"/>
            <w:tcBorders>
              <w:tl2br w:val="nil"/>
              <w:tr2bl w:val="nil"/>
            </w:tcBorders>
            <w:vAlign w:val="center"/>
          </w:tcPr>
          <w:p w14:paraId="06F8FCAF">
            <w:pPr>
              <w:pStyle w:val="160"/>
              <w:adjustRightInd w:val="0"/>
              <w:snapToGrid w:val="0"/>
              <w:rPr>
                <w:szCs w:val="21"/>
              </w:rPr>
            </w:pPr>
          </w:p>
        </w:tc>
        <w:tc>
          <w:tcPr>
            <w:tcW w:w="612" w:type="pct"/>
            <w:tcBorders>
              <w:tl2br w:val="nil"/>
              <w:tr2bl w:val="nil"/>
            </w:tcBorders>
            <w:vAlign w:val="center"/>
          </w:tcPr>
          <w:p w14:paraId="19026845">
            <w:pPr>
              <w:widowControl/>
              <w:adjustRightInd w:val="0"/>
              <w:snapToGrid w:val="0"/>
              <w:spacing w:before="0" w:beforeLines="0" w:line="240" w:lineRule="auto"/>
              <w:jc w:val="center"/>
              <w:textAlignment w:val="center"/>
              <w:rPr>
                <w:szCs w:val="21"/>
              </w:rPr>
            </w:pPr>
            <w:r>
              <w:rPr>
                <w:kern w:val="0"/>
                <w:szCs w:val="21"/>
                <w:lang w:bidi="ar"/>
              </w:rPr>
              <w:t>G5</w:t>
            </w:r>
            <w:r>
              <w:rPr>
                <w:rFonts w:hint="eastAsia"/>
                <w:kern w:val="0"/>
                <w:szCs w:val="21"/>
                <w:lang w:bidi="ar"/>
              </w:rPr>
              <w:t>-</w:t>
            </w:r>
            <w:r>
              <w:rPr>
                <w:kern w:val="0"/>
                <w:szCs w:val="21"/>
                <w:lang w:bidi="ar"/>
              </w:rPr>
              <w:t>G10</w:t>
            </w:r>
          </w:p>
        </w:tc>
        <w:tc>
          <w:tcPr>
            <w:tcW w:w="597" w:type="pct"/>
            <w:vMerge w:val="continue"/>
            <w:tcBorders>
              <w:tl2br w:val="nil"/>
              <w:tr2bl w:val="nil"/>
            </w:tcBorders>
            <w:vAlign w:val="center"/>
          </w:tcPr>
          <w:p w14:paraId="0C66D65E">
            <w:pPr>
              <w:pStyle w:val="160"/>
              <w:adjustRightInd w:val="0"/>
              <w:snapToGrid w:val="0"/>
              <w:rPr>
                <w:szCs w:val="21"/>
              </w:rPr>
            </w:pPr>
          </w:p>
        </w:tc>
        <w:tc>
          <w:tcPr>
            <w:tcW w:w="512" w:type="pct"/>
            <w:tcBorders>
              <w:tl2br w:val="nil"/>
              <w:tr2bl w:val="nil"/>
            </w:tcBorders>
            <w:vAlign w:val="center"/>
          </w:tcPr>
          <w:p w14:paraId="603A8992">
            <w:pPr>
              <w:widowControl/>
              <w:adjustRightInd w:val="0"/>
              <w:snapToGrid w:val="0"/>
              <w:spacing w:before="0" w:beforeLines="0" w:line="240" w:lineRule="auto"/>
              <w:jc w:val="center"/>
              <w:textAlignment w:val="center"/>
              <w:rPr>
                <w:szCs w:val="21"/>
              </w:rPr>
            </w:pPr>
            <w:r>
              <w:rPr>
                <w:rFonts w:eastAsia="等线"/>
                <w:szCs w:val="21"/>
              </w:rPr>
              <w:t>448.65</w:t>
            </w:r>
          </w:p>
        </w:tc>
        <w:tc>
          <w:tcPr>
            <w:tcW w:w="1451" w:type="pct"/>
            <w:tcBorders>
              <w:tl2br w:val="nil"/>
              <w:tr2bl w:val="nil"/>
            </w:tcBorders>
            <w:vAlign w:val="center"/>
          </w:tcPr>
          <w:p w14:paraId="40BC936F">
            <w:pPr>
              <w:pStyle w:val="160"/>
              <w:adjustRightInd w:val="0"/>
              <w:snapToGrid w:val="0"/>
              <w:rPr>
                <w:szCs w:val="21"/>
              </w:rPr>
            </w:pPr>
            <w:r>
              <w:rPr>
                <w:szCs w:val="21"/>
                <w:lang w:bidi="ar"/>
              </w:rPr>
              <w:t>5#袋式除尘器</w:t>
            </w:r>
          </w:p>
        </w:tc>
        <w:tc>
          <w:tcPr>
            <w:tcW w:w="531" w:type="pct"/>
            <w:tcBorders>
              <w:tl2br w:val="nil"/>
              <w:tr2bl w:val="nil"/>
            </w:tcBorders>
            <w:vAlign w:val="center"/>
          </w:tcPr>
          <w:p w14:paraId="1D70EAA9">
            <w:pPr>
              <w:widowControl/>
              <w:adjustRightInd w:val="0"/>
              <w:snapToGrid w:val="0"/>
              <w:spacing w:before="0" w:beforeLines="0" w:line="240" w:lineRule="auto"/>
              <w:jc w:val="center"/>
              <w:textAlignment w:val="center"/>
              <w:rPr>
                <w:kern w:val="0"/>
                <w:szCs w:val="21"/>
                <w:lang w:bidi="ar"/>
              </w:rPr>
            </w:pPr>
            <w:r>
              <w:rPr>
                <w:rFonts w:eastAsia="等线"/>
                <w:szCs w:val="21"/>
              </w:rPr>
              <w:t>1.68</w:t>
            </w:r>
          </w:p>
        </w:tc>
        <w:tc>
          <w:tcPr>
            <w:tcW w:w="1056" w:type="pct"/>
            <w:vMerge w:val="continue"/>
            <w:tcBorders>
              <w:tl2br w:val="nil"/>
              <w:tr2bl w:val="nil"/>
            </w:tcBorders>
            <w:vAlign w:val="center"/>
          </w:tcPr>
          <w:p w14:paraId="0FE70700">
            <w:pPr>
              <w:pStyle w:val="160"/>
              <w:widowControl w:val="0"/>
              <w:adjustRightInd w:val="0"/>
              <w:snapToGrid w:val="0"/>
              <w:rPr>
                <w:szCs w:val="21"/>
              </w:rPr>
            </w:pPr>
          </w:p>
        </w:tc>
      </w:tr>
      <w:tr w14:paraId="4E9019A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vMerge w:val="continue"/>
            <w:tcBorders>
              <w:tl2br w:val="nil"/>
              <w:tr2bl w:val="nil"/>
            </w:tcBorders>
            <w:vAlign w:val="center"/>
          </w:tcPr>
          <w:p w14:paraId="1847CFB3">
            <w:pPr>
              <w:pStyle w:val="160"/>
              <w:adjustRightInd w:val="0"/>
              <w:snapToGrid w:val="0"/>
              <w:rPr>
                <w:szCs w:val="21"/>
              </w:rPr>
            </w:pPr>
          </w:p>
        </w:tc>
        <w:tc>
          <w:tcPr>
            <w:tcW w:w="612" w:type="pct"/>
            <w:tcBorders>
              <w:tl2br w:val="nil"/>
              <w:tr2bl w:val="nil"/>
            </w:tcBorders>
            <w:vAlign w:val="center"/>
          </w:tcPr>
          <w:p w14:paraId="15F7CAE4">
            <w:pPr>
              <w:adjustRightInd w:val="0"/>
              <w:snapToGrid w:val="0"/>
              <w:spacing w:before="0" w:beforeLines="0" w:line="240" w:lineRule="auto"/>
              <w:jc w:val="center"/>
              <w:rPr>
                <w:szCs w:val="21"/>
              </w:rPr>
            </w:pPr>
            <w:r>
              <w:rPr>
                <w:rFonts w:hint="eastAsia"/>
                <w:kern w:val="0"/>
                <w:szCs w:val="21"/>
                <w:lang w:bidi="ar"/>
              </w:rPr>
              <w:t>抛砂车间</w:t>
            </w:r>
          </w:p>
        </w:tc>
        <w:tc>
          <w:tcPr>
            <w:tcW w:w="597" w:type="pct"/>
            <w:vMerge w:val="continue"/>
            <w:tcBorders>
              <w:tl2br w:val="nil"/>
              <w:tr2bl w:val="nil"/>
            </w:tcBorders>
            <w:vAlign w:val="center"/>
          </w:tcPr>
          <w:p w14:paraId="5E2F3D88">
            <w:pPr>
              <w:pStyle w:val="160"/>
              <w:adjustRightInd w:val="0"/>
              <w:snapToGrid w:val="0"/>
              <w:rPr>
                <w:szCs w:val="21"/>
              </w:rPr>
            </w:pPr>
          </w:p>
        </w:tc>
        <w:tc>
          <w:tcPr>
            <w:tcW w:w="512" w:type="pct"/>
            <w:tcBorders>
              <w:tl2br w:val="nil"/>
              <w:tr2bl w:val="nil"/>
            </w:tcBorders>
            <w:vAlign w:val="center"/>
          </w:tcPr>
          <w:p w14:paraId="555866CB">
            <w:pPr>
              <w:widowControl/>
              <w:adjustRightInd w:val="0"/>
              <w:snapToGrid w:val="0"/>
              <w:spacing w:before="0" w:beforeLines="0" w:line="240" w:lineRule="auto"/>
              <w:jc w:val="center"/>
              <w:textAlignment w:val="center"/>
              <w:rPr>
                <w:szCs w:val="21"/>
              </w:rPr>
            </w:pPr>
            <w:r>
              <w:t>292.23</w:t>
            </w:r>
          </w:p>
        </w:tc>
        <w:tc>
          <w:tcPr>
            <w:tcW w:w="1451" w:type="pct"/>
            <w:tcBorders>
              <w:tl2br w:val="nil"/>
              <w:tr2bl w:val="nil"/>
            </w:tcBorders>
            <w:vAlign w:val="center"/>
          </w:tcPr>
          <w:p w14:paraId="3B6C5229">
            <w:pPr>
              <w:adjustRightInd w:val="0"/>
              <w:snapToGrid w:val="0"/>
              <w:spacing w:before="0" w:beforeLines="0" w:line="240" w:lineRule="auto"/>
              <w:jc w:val="center"/>
              <w:rPr>
                <w:kern w:val="0"/>
                <w:szCs w:val="21"/>
                <w:lang w:bidi="ar"/>
              </w:rPr>
            </w:pPr>
            <w:r>
              <w:rPr>
                <w:kern w:val="0"/>
                <w:szCs w:val="21"/>
                <w:lang w:bidi="ar"/>
              </w:rPr>
              <w:t>车间洒水+车间</w:t>
            </w:r>
            <w:r>
              <w:rPr>
                <w:rFonts w:hint="eastAsia"/>
                <w:kern w:val="0"/>
                <w:szCs w:val="21"/>
                <w:lang w:bidi="ar"/>
              </w:rPr>
              <w:t>封闭</w:t>
            </w:r>
          </w:p>
        </w:tc>
        <w:tc>
          <w:tcPr>
            <w:tcW w:w="531" w:type="pct"/>
            <w:tcBorders>
              <w:tl2br w:val="nil"/>
              <w:tr2bl w:val="nil"/>
            </w:tcBorders>
            <w:vAlign w:val="center"/>
          </w:tcPr>
          <w:p w14:paraId="4598D59F">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14.61</w:t>
            </w:r>
          </w:p>
        </w:tc>
        <w:tc>
          <w:tcPr>
            <w:tcW w:w="1056" w:type="pct"/>
            <w:vMerge w:val="restart"/>
            <w:tcBorders>
              <w:tl2br w:val="nil"/>
              <w:tr2bl w:val="nil"/>
            </w:tcBorders>
            <w:vAlign w:val="center"/>
          </w:tcPr>
          <w:p w14:paraId="13480FBA">
            <w:pPr>
              <w:pStyle w:val="160"/>
              <w:widowControl w:val="0"/>
              <w:adjustRightInd w:val="0"/>
              <w:snapToGrid w:val="0"/>
              <w:rPr>
                <w:szCs w:val="21"/>
              </w:rPr>
            </w:pPr>
            <w:r>
              <w:rPr>
                <w:szCs w:val="21"/>
              </w:rPr>
              <w:t>《铁矿采选工业污染物排放标准》（GB28661-2012）中表7特别限值要求</w:t>
            </w:r>
          </w:p>
        </w:tc>
      </w:tr>
      <w:tr w14:paraId="0BC615D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vMerge w:val="continue"/>
            <w:tcBorders>
              <w:tl2br w:val="nil"/>
              <w:tr2bl w:val="nil"/>
            </w:tcBorders>
            <w:vAlign w:val="center"/>
          </w:tcPr>
          <w:p w14:paraId="494C32E8">
            <w:pPr>
              <w:pStyle w:val="160"/>
              <w:adjustRightInd w:val="0"/>
              <w:snapToGrid w:val="0"/>
              <w:rPr>
                <w:szCs w:val="21"/>
              </w:rPr>
            </w:pPr>
          </w:p>
        </w:tc>
        <w:tc>
          <w:tcPr>
            <w:tcW w:w="612" w:type="pct"/>
            <w:tcBorders>
              <w:tl2br w:val="nil"/>
              <w:tr2bl w:val="nil"/>
            </w:tcBorders>
            <w:vAlign w:val="center"/>
          </w:tcPr>
          <w:p w14:paraId="0B49C1AE">
            <w:pPr>
              <w:adjustRightInd w:val="0"/>
              <w:snapToGrid w:val="0"/>
              <w:spacing w:before="0" w:beforeLines="0" w:line="240" w:lineRule="auto"/>
              <w:jc w:val="center"/>
              <w:rPr>
                <w:szCs w:val="21"/>
              </w:rPr>
            </w:pPr>
            <w:r>
              <w:rPr>
                <w:rFonts w:hint="eastAsia"/>
                <w:kern w:val="0"/>
                <w:szCs w:val="21"/>
                <w:lang w:bidi="ar"/>
              </w:rPr>
              <w:t>机制砂库</w:t>
            </w:r>
          </w:p>
        </w:tc>
        <w:tc>
          <w:tcPr>
            <w:tcW w:w="597" w:type="pct"/>
            <w:vMerge w:val="continue"/>
            <w:tcBorders>
              <w:tl2br w:val="nil"/>
              <w:tr2bl w:val="nil"/>
            </w:tcBorders>
            <w:vAlign w:val="center"/>
          </w:tcPr>
          <w:p w14:paraId="2797EA0F">
            <w:pPr>
              <w:pStyle w:val="160"/>
              <w:adjustRightInd w:val="0"/>
              <w:snapToGrid w:val="0"/>
              <w:rPr>
                <w:szCs w:val="21"/>
              </w:rPr>
            </w:pPr>
          </w:p>
        </w:tc>
        <w:tc>
          <w:tcPr>
            <w:tcW w:w="512" w:type="pct"/>
            <w:tcBorders>
              <w:tl2br w:val="nil"/>
              <w:tr2bl w:val="nil"/>
            </w:tcBorders>
            <w:vAlign w:val="center"/>
          </w:tcPr>
          <w:p w14:paraId="09FAFD9F">
            <w:pPr>
              <w:widowControl/>
              <w:adjustRightInd w:val="0"/>
              <w:snapToGrid w:val="0"/>
              <w:spacing w:before="0" w:beforeLines="0" w:line="240" w:lineRule="auto"/>
              <w:jc w:val="center"/>
              <w:textAlignment w:val="center"/>
              <w:rPr>
                <w:szCs w:val="21"/>
              </w:rPr>
            </w:pPr>
            <w:r>
              <w:t>40.62</w:t>
            </w:r>
          </w:p>
        </w:tc>
        <w:tc>
          <w:tcPr>
            <w:tcW w:w="1451" w:type="pct"/>
            <w:tcBorders>
              <w:tl2br w:val="nil"/>
              <w:tr2bl w:val="nil"/>
            </w:tcBorders>
            <w:vAlign w:val="center"/>
          </w:tcPr>
          <w:p w14:paraId="7CE06AC4">
            <w:pPr>
              <w:adjustRightInd w:val="0"/>
              <w:snapToGrid w:val="0"/>
              <w:spacing w:before="0" w:beforeLines="0" w:line="240" w:lineRule="auto"/>
              <w:jc w:val="center"/>
              <w:rPr>
                <w:kern w:val="0"/>
                <w:szCs w:val="21"/>
                <w:lang w:bidi="ar"/>
              </w:rPr>
            </w:pPr>
            <w:r>
              <w:rPr>
                <w:kern w:val="0"/>
                <w:szCs w:val="21"/>
                <w:lang w:bidi="ar"/>
              </w:rPr>
              <w:t>车间洒水+车间</w:t>
            </w:r>
            <w:r>
              <w:rPr>
                <w:rFonts w:hint="eastAsia"/>
                <w:kern w:val="0"/>
                <w:szCs w:val="21"/>
                <w:lang w:bidi="ar"/>
              </w:rPr>
              <w:t>封闭</w:t>
            </w:r>
          </w:p>
        </w:tc>
        <w:tc>
          <w:tcPr>
            <w:tcW w:w="531" w:type="pct"/>
            <w:tcBorders>
              <w:tl2br w:val="nil"/>
              <w:tr2bl w:val="nil"/>
            </w:tcBorders>
            <w:vAlign w:val="center"/>
          </w:tcPr>
          <w:p w14:paraId="486CCF46">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2.03</w:t>
            </w:r>
          </w:p>
        </w:tc>
        <w:tc>
          <w:tcPr>
            <w:tcW w:w="1056" w:type="pct"/>
            <w:vMerge w:val="continue"/>
            <w:tcBorders>
              <w:tl2br w:val="nil"/>
              <w:tr2bl w:val="nil"/>
            </w:tcBorders>
            <w:vAlign w:val="center"/>
          </w:tcPr>
          <w:p w14:paraId="115883D4">
            <w:pPr>
              <w:pStyle w:val="160"/>
              <w:widowControl w:val="0"/>
              <w:adjustRightInd w:val="0"/>
              <w:snapToGrid w:val="0"/>
              <w:rPr>
                <w:szCs w:val="21"/>
              </w:rPr>
            </w:pPr>
          </w:p>
        </w:tc>
      </w:tr>
      <w:tr w14:paraId="34F3F70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vMerge w:val="continue"/>
            <w:tcBorders>
              <w:tl2br w:val="nil"/>
              <w:tr2bl w:val="nil"/>
            </w:tcBorders>
            <w:vAlign w:val="center"/>
          </w:tcPr>
          <w:p w14:paraId="49417B74">
            <w:pPr>
              <w:pStyle w:val="160"/>
              <w:adjustRightInd w:val="0"/>
              <w:snapToGrid w:val="0"/>
              <w:rPr>
                <w:szCs w:val="21"/>
              </w:rPr>
            </w:pPr>
          </w:p>
        </w:tc>
        <w:tc>
          <w:tcPr>
            <w:tcW w:w="612" w:type="pct"/>
            <w:tcBorders>
              <w:tl2br w:val="nil"/>
              <w:tr2bl w:val="nil"/>
            </w:tcBorders>
            <w:vAlign w:val="center"/>
          </w:tcPr>
          <w:p w14:paraId="7029E582">
            <w:pPr>
              <w:adjustRightInd w:val="0"/>
              <w:snapToGrid w:val="0"/>
              <w:spacing w:before="0" w:beforeLines="0" w:line="240" w:lineRule="auto"/>
              <w:jc w:val="center"/>
              <w:rPr>
                <w:szCs w:val="21"/>
              </w:rPr>
            </w:pPr>
            <w:r>
              <w:rPr>
                <w:kern w:val="0"/>
                <w:szCs w:val="21"/>
                <w:lang w:bidi="ar"/>
              </w:rPr>
              <w:t>破碎车间</w:t>
            </w:r>
          </w:p>
        </w:tc>
        <w:tc>
          <w:tcPr>
            <w:tcW w:w="597" w:type="pct"/>
            <w:vMerge w:val="continue"/>
            <w:tcBorders>
              <w:tl2br w:val="nil"/>
              <w:tr2bl w:val="nil"/>
            </w:tcBorders>
            <w:vAlign w:val="center"/>
          </w:tcPr>
          <w:p w14:paraId="12569A4D">
            <w:pPr>
              <w:pStyle w:val="160"/>
              <w:adjustRightInd w:val="0"/>
              <w:snapToGrid w:val="0"/>
              <w:rPr>
                <w:szCs w:val="21"/>
              </w:rPr>
            </w:pPr>
          </w:p>
        </w:tc>
        <w:tc>
          <w:tcPr>
            <w:tcW w:w="512" w:type="pct"/>
            <w:tcBorders>
              <w:tl2br w:val="nil"/>
              <w:tr2bl w:val="nil"/>
            </w:tcBorders>
            <w:vAlign w:val="center"/>
          </w:tcPr>
          <w:p w14:paraId="1F6A2902">
            <w:pPr>
              <w:widowControl/>
              <w:adjustRightInd w:val="0"/>
              <w:snapToGrid w:val="0"/>
              <w:spacing w:before="0" w:beforeLines="0" w:line="240" w:lineRule="auto"/>
              <w:jc w:val="center"/>
              <w:textAlignment w:val="center"/>
              <w:rPr>
                <w:kern w:val="0"/>
                <w:szCs w:val="21"/>
                <w:lang w:bidi="ar"/>
              </w:rPr>
            </w:pPr>
            <w:r>
              <w:t>9.62</w:t>
            </w:r>
          </w:p>
        </w:tc>
        <w:tc>
          <w:tcPr>
            <w:tcW w:w="1451" w:type="pct"/>
            <w:tcBorders>
              <w:tl2br w:val="nil"/>
              <w:tr2bl w:val="nil"/>
            </w:tcBorders>
            <w:vAlign w:val="center"/>
          </w:tcPr>
          <w:p w14:paraId="46B3EB92">
            <w:pPr>
              <w:adjustRightInd w:val="0"/>
              <w:snapToGrid w:val="0"/>
              <w:spacing w:before="0" w:beforeLines="0" w:line="240" w:lineRule="auto"/>
              <w:jc w:val="center"/>
              <w:rPr>
                <w:szCs w:val="21"/>
              </w:rPr>
            </w:pPr>
            <w:r>
              <w:rPr>
                <w:kern w:val="0"/>
                <w:szCs w:val="21"/>
                <w:lang w:bidi="ar"/>
              </w:rPr>
              <w:t>车间洒水+车间</w:t>
            </w:r>
            <w:r>
              <w:rPr>
                <w:rFonts w:hint="eastAsia"/>
                <w:kern w:val="0"/>
                <w:szCs w:val="21"/>
                <w:lang w:bidi="ar"/>
              </w:rPr>
              <w:t>封闭</w:t>
            </w:r>
          </w:p>
        </w:tc>
        <w:tc>
          <w:tcPr>
            <w:tcW w:w="531" w:type="pct"/>
            <w:tcBorders>
              <w:tl2br w:val="nil"/>
              <w:tr2bl w:val="nil"/>
            </w:tcBorders>
            <w:vAlign w:val="center"/>
          </w:tcPr>
          <w:p w14:paraId="7F612291">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1.94</w:t>
            </w:r>
          </w:p>
        </w:tc>
        <w:tc>
          <w:tcPr>
            <w:tcW w:w="1056" w:type="pct"/>
            <w:vMerge w:val="continue"/>
            <w:tcBorders>
              <w:tl2br w:val="nil"/>
              <w:tr2bl w:val="nil"/>
            </w:tcBorders>
            <w:vAlign w:val="center"/>
          </w:tcPr>
          <w:p w14:paraId="4C780F68">
            <w:pPr>
              <w:pStyle w:val="160"/>
              <w:widowControl w:val="0"/>
              <w:adjustRightInd w:val="0"/>
              <w:snapToGrid w:val="0"/>
              <w:rPr>
                <w:szCs w:val="21"/>
              </w:rPr>
            </w:pPr>
          </w:p>
        </w:tc>
      </w:tr>
      <w:tr w14:paraId="6F9D9B6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vMerge w:val="continue"/>
            <w:tcBorders>
              <w:tl2br w:val="nil"/>
              <w:tr2bl w:val="nil"/>
            </w:tcBorders>
            <w:vAlign w:val="center"/>
          </w:tcPr>
          <w:p w14:paraId="0E579C43">
            <w:pPr>
              <w:pStyle w:val="160"/>
              <w:adjustRightInd w:val="0"/>
              <w:snapToGrid w:val="0"/>
              <w:rPr>
                <w:szCs w:val="21"/>
              </w:rPr>
            </w:pPr>
          </w:p>
        </w:tc>
        <w:tc>
          <w:tcPr>
            <w:tcW w:w="612" w:type="pct"/>
            <w:tcBorders>
              <w:tl2br w:val="nil"/>
              <w:tr2bl w:val="nil"/>
            </w:tcBorders>
            <w:vAlign w:val="center"/>
          </w:tcPr>
          <w:p w14:paraId="521260F9">
            <w:pPr>
              <w:adjustRightInd w:val="0"/>
              <w:snapToGrid w:val="0"/>
              <w:spacing w:before="0" w:beforeLines="0" w:line="240" w:lineRule="auto"/>
              <w:jc w:val="center"/>
              <w:rPr>
                <w:szCs w:val="21"/>
              </w:rPr>
            </w:pPr>
            <w:r>
              <w:rPr>
                <w:rFonts w:hint="eastAsia"/>
                <w:kern w:val="0"/>
                <w:szCs w:val="21"/>
                <w:lang w:bidi="ar"/>
              </w:rPr>
              <w:t>精矿仓</w:t>
            </w:r>
          </w:p>
        </w:tc>
        <w:tc>
          <w:tcPr>
            <w:tcW w:w="597" w:type="pct"/>
            <w:vMerge w:val="continue"/>
            <w:tcBorders>
              <w:tl2br w:val="nil"/>
              <w:tr2bl w:val="nil"/>
            </w:tcBorders>
            <w:vAlign w:val="center"/>
          </w:tcPr>
          <w:p w14:paraId="261F17DC">
            <w:pPr>
              <w:pStyle w:val="160"/>
              <w:adjustRightInd w:val="0"/>
              <w:snapToGrid w:val="0"/>
              <w:rPr>
                <w:szCs w:val="21"/>
              </w:rPr>
            </w:pPr>
          </w:p>
        </w:tc>
        <w:tc>
          <w:tcPr>
            <w:tcW w:w="512" w:type="pct"/>
            <w:tcBorders>
              <w:tl2br w:val="nil"/>
              <w:tr2bl w:val="nil"/>
            </w:tcBorders>
            <w:vAlign w:val="center"/>
          </w:tcPr>
          <w:p w14:paraId="11E31FE0">
            <w:pPr>
              <w:widowControl/>
              <w:adjustRightInd w:val="0"/>
              <w:snapToGrid w:val="0"/>
              <w:spacing w:before="0" w:beforeLines="0" w:line="240" w:lineRule="auto"/>
              <w:jc w:val="center"/>
              <w:textAlignment w:val="center"/>
              <w:rPr>
                <w:rFonts w:eastAsia="等线"/>
                <w:szCs w:val="21"/>
              </w:rPr>
            </w:pPr>
            <w:r>
              <w:t>0.26</w:t>
            </w:r>
          </w:p>
        </w:tc>
        <w:tc>
          <w:tcPr>
            <w:tcW w:w="1451" w:type="pct"/>
            <w:tcBorders>
              <w:tl2br w:val="nil"/>
              <w:tr2bl w:val="nil"/>
            </w:tcBorders>
            <w:vAlign w:val="center"/>
          </w:tcPr>
          <w:p w14:paraId="514A9CC1">
            <w:pPr>
              <w:adjustRightInd w:val="0"/>
              <w:snapToGrid w:val="0"/>
              <w:spacing w:before="0" w:beforeLines="0" w:line="240" w:lineRule="auto"/>
              <w:jc w:val="center"/>
              <w:rPr>
                <w:kern w:val="0"/>
                <w:szCs w:val="21"/>
                <w:lang w:bidi="ar"/>
              </w:rPr>
            </w:pPr>
            <w:r>
              <w:rPr>
                <w:rFonts w:hint="eastAsia"/>
                <w:kern w:val="0"/>
                <w:szCs w:val="21"/>
                <w:lang w:bidi="ar"/>
              </w:rPr>
              <w:t>仓顶除尘</w:t>
            </w:r>
          </w:p>
        </w:tc>
        <w:tc>
          <w:tcPr>
            <w:tcW w:w="531" w:type="pct"/>
            <w:tcBorders>
              <w:tl2br w:val="nil"/>
              <w:tr2bl w:val="nil"/>
            </w:tcBorders>
            <w:vAlign w:val="center"/>
          </w:tcPr>
          <w:p w14:paraId="366C83C9">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0.003</w:t>
            </w:r>
          </w:p>
        </w:tc>
        <w:tc>
          <w:tcPr>
            <w:tcW w:w="1056" w:type="pct"/>
            <w:vMerge w:val="continue"/>
            <w:tcBorders>
              <w:tl2br w:val="nil"/>
              <w:tr2bl w:val="nil"/>
            </w:tcBorders>
            <w:vAlign w:val="center"/>
          </w:tcPr>
          <w:p w14:paraId="7C089088">
            <w:pPr>
              <w:pStyle w:val="160"/>
              <w:widowControl w:val="0"/>
              <w:adjustRightInd w:val="0"/>
              <w:snapToGrid w:val="0"/>
              <w:rPr>
                <w:szCs w:val="21"/>
              </w:rPr>
            </w:pPr>
          </w:p>
        </w:tc>
      </w:tr>
      <w:tr w14:paraId="4B3D5D8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vMerge w:val="continue"/>
            <w:tcBorders>
              <w:tl2br w:val="nil"/>
              <w:tr2bl w:val="nil"/>
            </w:tcBorders>
            <w:vAlign w:val="center"/>
          </w:tcPr>
          <w:p w14:paraId="6C721C0B">
            <w:pPr>
              <w:pStyle w:val="160"/>
              <w:adjustRightInd w:val="0"/>
              <w:snapToGrid w:val="0"/>
              <w:rPr>
                <w:szCs w:val="21"/>
              </w:rPr>
            </w:pPr>
          </w:p>
        </w:tc>
        <w:tc>
          <w:tcPr>
            <w:tcW w:w="612" w:type="pct"/>
            <w:tcBorders>
              <w:tl2br w:val="nil"/>
              <w:tr2bl w:val="nil"/>
            </w:tcBorders>
            <w:vAlign w:val="center"/>
          </w:tcPr>
          <w:p w14:paraId="70AACBFA">
            <w:pPr>
              <w:adjustRightInd w:val="0"/>
              <w:snapToGrid w:val="0"/>
              <w:spacing w:before="0" w:beforeLines="0" w:line="240" w:lineRule="auto"/>
              <w:jc w:val="center"/>
              <w:rPr>
                <w:kern w:val="0"/>
                <w:szCs w:val="21"/>
                <w:lang w:bidi="ar"/>
              </w:rPr>
            </w:pPr>
            <w:r>
              <w:rPr>
                <w:rFonts w:hint="eastAsia"/>
                <w:kern w:val="0"/>
                <w:szCs w:val="21"/>
                <w:lang w:bidi="ar"/>
              </w:rPr>
              <w:t>碎石仓</w:t>
            </w:r>
          </w:p>
        </w:tc>
        <w:tc>
          <w:tcPr>
            <w:tcW w:w="597" w:type="pct"/>
            <w:vMerge w:val="continue"/>
            <w:tcBorders>
              <w:tl2br w:val="nil"/>
              <w:tr2bl w:val="nil"/>
            </w:tcBorders>
            <w:vAlign w:val="center"/>
          </w:tcPr>
          <w:p w14:paraId="63602AEE">
            <w:pPr>
              <w:pStyle w:val="160"/>
              <w:adjustRightInd w:val="0"/>
              <w:snapToGrid w:val="0"/>
              <w:rPr>
                <w:szCs w:val="21"/>
              </w:rPr>
            </w:pPr>
          </w:p>
        </w:tc>
        <w:tc>
          <w:tcPr>
            <w:tcW w:w="512" w:type="pct"/>
            <w:tcBorders>
              <w:tl2br w:val="nil"/>
              <w:tr2bl w:val="nil"/>
            </w:tcBorders>
            <w:vAlign w:val="center"/>
          </w:tcPr>
          <w:p w14:paraId="7B5BE910">
            <w:pPr>
              <w:widowControl/>
              <w:adjustRightInd w:val="0"/>
              <w:snapToGrid w:val="0"/>
              <w:spacing w:before="0" w:beforeLines="0" w:line="240" w:lineRule="auto"/>
              <w:jc w:val="center"/>
              <w:textAlignment w:val="center"/>
              <w:rPr>
                <w:rFonts w:eastAsia="等线"/>
                <w:szCs w:val="21"/>
              </w:rPr>
            </w:pPr>
            <w:r>
              <w:t>0.55</w:t>
            </w:r>
          </w:p>
        </w:tc>
        <w:tc>
          <w:tcPr>
            <w:tcW w:w="1451" w:type="pct"/>
            <w:tcBorders>
              <w:tl2br w:val="nil"/>
              <w:tr2bl w:val="nil"/>
            </w:tcBorders>
            <w:vAlign w:val="center"/>
          </w:tcPr>
          <w:p w14:paraId="10090DA4">
            <w:pPr>
              <w:adjustRightInd w:val="0"/>
              <w:snapToGrid w:val="0"/>
              <w:spacing w:before="0" w:beforeLines="0" w:line="240" w:lineRule="auto"/>
              <w:jc w:val="center"/>
              <w:rPr>
                <w:kern w:val="0"/>
                <w:szCs w:val="21"/>
                <w:lang w:bidi="ar"/>
              </w:rPr>
            </w:pPr>
            <w:r>
              <w:rPr>
                <w:rFonts w:hint="eastAsia"/>
                <w:kern w:val="0"/>
                <w:szCs w:val="21"/>
                <w:lang w:bidi="ar"/>
              </w:rPr>
              <w:t>仓顶除尘</w:t>
            </w:r>
          </w:p>
        </w:tc>
        <w:tc>
          <w:tcPr>
            <w:tcW w:w="531" w:type="pct"/>
            <w:tcBorders>
              <w:tl2br w:val="nil"/>
              <w:tr2bl w:val="nil"/>
            </w:tcBorders>
            <w:vAlign w:val="center"/>
          </w:tcPr>
          <w:p w14:paraId="465D05C0">
            <w:pPr>
              <w:widowControl/>
              <w:adjustRightInd w:val="0"/>
              <w:snapToGrid w:val="0"/>
              <w:spacing w:before="0" w:beforeLines="0" w:line="240" w:lineRule="auto"/>
              <w:jc w:val="center"/>
              <w:textAlignment w:val="center"/>
              <w:rPr>
                <w:rFonts w:eastAsia="等线"/>
                <w:szCs w:val="21"/>
              </w:rPr>
            </w:pPr>
            <w:r>
              <w:rPr>
                <w:rFonts w:hint="eastAsia" w:eastAsia="等线"/>
                <w:szCs w:val="21"/>
              </w:rPr>
              <w:t>0.01</w:t>
            </w:r>
          </w:p>
        </w:tc>
        <w:tc>
          <w:tcPr>
            <w:tcW w:w="1056" w:type="pct"/>
            <w:vMerge w:val="continue"/>
            <w:tcBorders>
              <w:tl2br w:val="nil"/>
              <w:tr2bl w:val="nil"/>
            </w:tcBorders>
            <w:vAlign w:val="center"/>
          </w:tcPr>
          <w:p w14:paraId="79B260ED">
            <w:pPr>
              <w:pStyle w:val="160"/>
              <w:widowControl w:val="0"/>
              <w:adjustRightInd w:val="0"/>
              <w:snapToGrid w:val="0"/>
              <w:rPr>
                <w:szCs w:val="21"/>
              </w:rPr>
            </w:pPr>
          </w:p>
        </w:tc>
      </w:tr>
      <w:tr w14:paraId="794B7F3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vMerge w:val="continue"/>
            <w:tcBorders>
              <w:tl2br w:val="nil"/>
              <w:tr2bl w:val="nil"/>
            </w:tcBorders>
            <w:vAlign w:val="center"/>
          </w:tcPr>
          <w:p w14:paraId="0C60A5B4">
            <w:pPr>
              <w:pStyle w:val="160"/>
              <w:adjustRightInd w:val="0"/>
              <w:snapToGrid w:val="0"/>
              <w:rPr>
                <w:szCs w:val="21"/>
              </w:rPr>
            </w:pPr>
          </w:p>
        </w:tc>
        <w:tc>
          <w:tcPr>
            <w:tcW w:w="612" w:type="pct"/>
            <w:tcBorders>
              <w:tl2br w:val="nil"/>
              <w:tr2bl w:val="nil"/>
            </w:tcBorders>
            <w:vAlign w:val="center"/>
          </w:tcPr>
          <w:p w14:paraId="72C19CAA">
            <w:pPr>
              <w:adjustRightInd w:val="0"/>
              <w:snapToGrid w:val="0"/>
              <w:spacing w:before="0" w:beforeLines="0" w:line="240" w:lineRule="auto"/>
              <w:jc w:val="center"/>
              <w:rPr>
                <w:szCs w:val="21"/>
              </w:rPr>
            </w:pPr>
            <w:r>
              <w:rPr>
                <w:kern w:val="0"/>
                <w:szCs w:val="21"/>
                <w:lang w:bidi="ar"/>
              </w:rPr>
              <w:t>道路运输扬尘</w:t>
            </w:r>
          </w:p>
        </w:tc>
        <w:tc>
          <w:tcPr>
            <w:tcW w:w="597" w:type="pct"/>
            <w:vMerge w:val="continue"/>
            <w:tcBorders>
              <w:tl2br w:val="nil"/>
              <w:tr2bl w:val="nil"/>
            </w:tcBorders>
            <w:vAlign w:val="center"/>
          </w:tcPr>
          <w:p w14:paraId="08A42165">
            <w:pPr>
              <w:pStyle w:val="160"/>
              <w:adjustRightInd w:val="0"/>
              <w:snapToGrid w:val="0"/>
              <w:rPr>
                <w:szCs w:val="21"/>
              </w:rPr>
            </w:pPr>
          </w:p>
        </w:tc>
        <w:tc>
          <w:tcPr>
            <w:tcW w:w="512" w:type="pct"/>
            <w:tcBorders>
              <w:tl2br w:val="nil"/>
              <w:tr2bl w:val="nil"/>
            </w:tcBorders>
            <w:vAlign w:val="center"/>
          </w:tcPr>
          <w:p w14:paraId="1BA1C815">
            <w:pPr>
              <w:widowControl/>
              <w:adjustRightInd w:val="0"/>
              <w:snapToGrid w:val="0"/>
              <w:spacing w:before="0" w:beforeLines="0" w:line="240" w:lineRule="auto"/>
              <w:jc w:val="center"/>
              <w:textAlignment w:val="center"/>
              <w:rPr>
                <w:szCs w:val="21"/>
              </w:rPr>
            </w:pPr>
            <w:r>
              <w:t>38.76</w:t>
            </w:r>
          </w:p>
        </w:tc>
        <w:tc>
          <w:tcPr>
            <w:tcW w:w="1451" w:type="pct"/>
            <w:tcBorders>
              <w:tl2br w:val="nil"/>
              <w:tr2bl w:val="nil"/>
            </w:tcBorders>
            <w:vAlign w:val="center"/>
          </w:tcPr>
          <w:p w14:paraId="28857D6F">
            <w:pPr>
              <w:adjustRightInd w:val="0"/>
              <w:snapToGrid w:val="0"/>
              <w:spacing w:before="0" w:beforeLines="0" w:line="240" w:lineRule="auto"/>
              <w:jc w:val="center"/>
              <w:rPr>
                <w:kern w:val="0"/>
                <w:szCs w:val="21"/>
                <w:lang w:bidi="ar"/>
              </w:rPr>
            </w:pPr>
            <w:r>
              <w:rPr>
                <w:rFonts w:hint="eastAsia"/>
                <w:kern w:val="0"/>
                <w:szCs w:val="21"/>
                <w:lang w:bidi="ar"/>
              </w:rPr>
              <w:t>地面硬化+</w:t>
            </w:r>
            <w:r>
              <w:rPr>
                <w:kern w:val="0"/>
                <w:szCs w:val="21"/>
                <w:lang w:bidi="ar"/>
              </w:rPr>
              <w:t>洒水抑尘</w:t>
            </w:r>
          </w:p>
        </w:tc>
        <w:tc>
          <w:tcPr>
            <w:tcW w:w="531" w:type="pct"/>
            <w:tcBorders>
              <w:tl2br w:val="nil"/>
              <w:tr2bl w:val="nil"/>
            </w:tcBorders>
            <w:vAlign w:val="center"/>
          </w:tcPr>
          <w:p w14:paraId="2429E0D2">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10.08</w:t>
            </w:r>
          </w:p>
        </w:tc>
        <w:tc>
          <w:tcPr>
            <w:tcW w:w="1056" w:type="pct"/>
            <w:vMerge w:val="continue"/>
            <w:tcBorders>
              <w:tl2br w:val="nil"/>
              <w:tr2bl w:val="nil"/>
            </w:tcBorders>
            <w:vAlign w:val="center"/>
          </w:tcPr>
          <w:p w14:paraId="75A2956D">
            <w:pPr>
              <w:pStyle w:val="160"/>
              <w:widowControl w:val="0"/>
              <w:adjustRightInd w:val="0"/>
              <w:snapToGrid w:val="0"/>
              <w:rPr>
                <w:szCs w:val="21"/>
              </w:rPr>
            </w:pPr>
          </w:p>
        </w:tc>
      </w:tr>
      <w:tr w14:paraId="71CB69C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vMerge w:val="restart"/>
            <w:tcBorders>
              <w:tl2br w:val="nil"/>
              <w:tr2bl w:val="nil"/>
            </w:tcBorders>
            <w:vAlign w:val="center"/>
          </w:tcPr>
          <w:p w14:paraId="605B59BC">
            <w:pPr>
              <w:pStyle w:val="160"/>
              <w:adjustRightInd w:val="0"/>
              <w:snapToGrid w:val="0"/>
              <w:rPr>
                <w:szCs w:val="21"/>
                <w:lang w:val="zh-CN"/>
              </w:rPr>
            </w:pPr>
            <w:r>
              <w:rPr>
                <w:szCs w:val="21"/>
              </w:rPr>
              <w:t>废水</w:t>
            </w:r>
          </w:p>
        </w:tc>
        <w:tc>
          <w:tcPr>
            <w:tcW w:w="612" w:type="pct"/>
            <w:tcBorders>
              <w:tl2br w:val="nil"/>
              <w:tr2bl w:val="nil"/>
            </w:tcBorders>
            <w:vAlign w:val="center"/>
          </w:tcPr>
          <w:p w14:paraId="2B8E6088">
            <w:pPr>
              <w:pStyle w:val="160"/>
              <w:adjustRightInd w:val="0"/>
              <w:snapToGrid w:val="0"/>
              <w:rPr>
                <w:szCs w:val="21"/>
              </w:rPr>
            </w:pPr>
            <w:r>
              <w:rPr>
                <w:szCs w:val="21"/>
              </w:rPr>
              <w:t>选矿废水</w:t>
            </w:r>
          </w:p>
        </w:tc>
        <w:tc>
          <w:tcPr>
            <w:tcW w:w="597" w:type="pct"/>
            <w:tcBorders>
              <w:tl2br w:val="nil"/>
              <w:tr2bl w:val="nil"/>
            </w:tcBorders>
            <w:vAlign w:val="center"/>
          </w:tcPr>
          <w:p w14:paraId="101A1614">
            <w:pPr>
              <w:pStyle w:val="160"/>
              <w:adjustRightInd w:val="0"/>
              <w:snapToGrid w:val="0"/>
              <w:rPr>
                <w:szCs w:val="21"/>
              </w:rPr>
            </w:pPr>
            <w:r>
              <w:rPr>
                <w:szCs w:val="21"/>
              </w:rPr>
              <w:t>SS</w:t>
            </w:r>
          </w:p>
        </w:tc>
        <w:tc>
          <w:tcPr>
            <w:tcW w:w="512" w:type="pct"/>
            <w:tcBorders>
              <w:tl2br w:val="nil"/>
              <w:tr2bl w:val="nil"/>
            </w:tcBorders>
            <w:vAlign w:val="center"/>
          </w:tcPr>
          <w:p w14:paraId="53CDBA7B">
            <w:pPr>
              <w:pStyle w:val="160"/>
              <w:adjustRightInd w:val="0"/>
              <w:snapToGrid w:val="0"/>
              <w:rPr>
                <w:szCs w:val="21"/>
              </w:rPr>
            </w:pPr>
            <w:r>
              <w:rPr>
                <w:szCs w:val="21"/>
              </w:rPr>
              <w:t>-</w:t>
            </w:r>
          </w:p>
        </w:tc>
        <w:tc>
          <w:tcPr>
            <w:tcW w:w="1451" w:type="pct"/>
            <w:tcBorders>
              <w:tl2br w:val="nil"/>
              <w:tr2bl w:val="nil"/>
            </w:tcBorders>
            <w:vAlign w:val="center"/>
          </w:tcPr>
          <w:p w14:paraId="1677E9E3">
            <w:pPr>
              <w:pStyle w:val="160"/>
              <w:adjustRightInd w:val="0"/>
              <w:snapToGrid w:val="0"/>
              <w:rPr>
                <w:szCs w:val="21"/>
                <w:lang w:bidi="zh-CN"/>
              </w:rPr>
            </w:pPr>
            <w:r>
              <w:rPr>
                <w:szCs w:val="21"/>
              </w:rPr>
              <w:t>选矿废水全部回用</w:t>
            </w:r>
          </w:p>
        </w:tc>
        <w:tc>
          <w:tcPr>
            <w:tcW w:w="531" w:type="pct"/>
            <w:tcBorders>
              <w:tl2br w:val="nil"/>
              <w:tr2bl w:val="nil"/>
            </w:tcBorders>
            <w:vAlign w:val="center"/>
          </w:tcPr>
          <w:p w14:paraId="11545DD8">
            <w:pPr>
              <w:adjustRightInd w:val="0"/>
              <w:snapToGrid w:val="0"/>
              <w:spacing w:before="0" w:beforeLines="0" w:line="240" w:lineRule="auto"/>
              <w:jc w:val="center"/>
              <w:rPr>
                <w:szCs w:val="21"/>
              </w:rPr>
            </w:pPr>
            <w:r>
              <w:rPr>
                <w:szCs w:val="21"/>
              </w:rPr>
              <w:t>0</w:t>
            </w:r>
          </w:p>
        </w:tc>
        <w:tc>
          <w:tcPr>
            <w:tcW w:w="1056" w:type="pct"/>
            <w:tcBorders>
              <w:tl2br w:val="nil"/>
              <w:tr2bl w:val="nil"/>
            </w:tcBorders>
            <w:vAlign w:val="center"/>
          </w:tcPr>
          <w:p w14:paraId="6CA0D9AB">
            <w:pPr>
              <w:pStyle w:val="160"/>
              <w:widowControl w:val="0"/>
              <w:adjustRightInd w:val="0"/>
              <w:snapToGrid w:val="0"/>
              <w:rPr>
                <w:szCs w:val="21"/>
                <w:lang w:val="zh-CN" w:bidi="zh-CN"/>
              </w:rPr>
            </w:pPr>
            <w:r>
              <w:rPr>
                <w:rFonts w:hint="eastAsia"/>
                <w:szCs w:val="21"/>
                <w:lang w:val="zh-CN" w:bidi="zh-CN"/>
              </w:rPr>
              <w:t>《铁矿石采选企业污水处理技术规范》（GB/T33815-2017）选矿废水</w:t>
            </w:r>
          </w:p>
        </w:tc>
      </w:tr>
      <w:tr w14:paraId="7BAA798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vMerge w:val="continue"/>
            <w:tcBorders>
              <w:tl2br w:val="nil"/>
              <w:tr2bl w:val="nil"/>
            </w:tcBorders>
            <w:vAlign w:val="center"/>
          </w:tcPr>
          <w:p w14:paraId="23A616D1">
            <w:pPr>
              <w:pStyle w:val="160"/>
              <w:adjustRightInd w:val="0"/>
              <w:snapToGrid w:val="0"/>
              <w:rPr>
                <w:szCs w:val="21"/>
                <w:lang w:val="zh-CN"/>
              </w:rPr>
            </w:pPr>
          </w:p>
        </w:tc>
        <w:tc>
          <w:tcPr>
            <w:tcW w:w="612" w:type="pct"/>
            <w:tcBorders>
              <w:tl2br w:val="nil"/>
              <w:tr2bl w:val="nil"/>
            </w:tcBorders>
            <w:vAlign w:val="center"/>
          </w:tcPr>
          <w:p w14:paraId="35C61ED4">
            <w:pPr>
              <w:pStyle w:val="160"/>
              <w:adjustRightInd w:val="0"/>
              <w:snapToGrid w:val="0"/>
              <w:rPr>
                <w:szCs w:val="21"/>
              </w:rPr>
            </w:pPr>
            <w:r>
              <w:rPr>
                <w:szCs w:val="21"/>
              </w:rPr>
              <w:t>生活污水</w:t>
            </w:r>
          </w:p>
        </w:tc>
        <w:tc>
          <w:tcPr>
            <w:tcW w:w="597" w:type="pct"/>
            <w:tcBorders>
              <w:tl2br w:val="nil"/>
              <w:tr2bl w:val="nil"/>
            </w:tcBorders>
            <w:vAlign w:val="center"/>
          </w:tcPr>
          <w:p w14:paraId="0C9968C3">
            <w:pPr>
              <w:pStyle w:val="160"/>
              <w:adjustRightInd w:val="0"/>
              <w:snapToGrid w:val="0"/>
              <w:rPr>
                <w:szCs w:val="21"/>
              </w:rPr>
            </w:pPr>
            <w:r>
              <w:rPr>
                <w:szCs w:val="21"/>
              </w:rPr>
              <w:t>COD、NH</w:t>
            </w:r>
            <w:r>
              <w:rPr>
                <w:szCs w:val="21"/>
                <w:vertAlign w:val="subscript"/>
              </w:rPr>
              <w:t>3</w:t>
            </w:r>
            <w:r>
              <w:rPr>
                <w:szCs w:val="21"/>
              </w:rPr>
              <w:t>N、SS</w:t>
            </w:r>
          </w:p>
        </w:tc>
        <w:tc>
          <w:tcPr>
            <w:tcW w:w="512" w:type="pct"/>
            <w:tcBorders>
              <w:tl2br w:val="nil"/>
              <w:tr2bl w:val="nil"/>
            </w:tcBorders>
            <w:vAlign w:val="center"/>
          </w:tcPr>
          <w:p w14:paraId="7454A7BA">
            <w:pPr>
              <w:pStyle w:val="160"/>
              <w:adjustRightInd w:val="0"/>
              <w:snapToGrid w:val="0"/>
              <w:rPr>
                <w:szCs w:val="21"/>
              </w:rPr>
            </w:pPr>
            <w:r>
              <w:rPr>
                <w:szCs w:val="21"/>
              </w:rPr>
              <w:t>-</w:t>
            </w:r>
          </w:p>
        </w:tc>
        <w:tc>
          <w:tcPr>
            <w:tcW w:w="1451" w:type="pct"/>
            <w:tcBorders>
              <w:tl2br w:val="nil"/>
              <w:tr2bl w:val="nil"/>
            </w:tcBorders>
            <w:vAlign w:val="center"/>
          </w:tcPr>
          <w:p w14:paraId="6EB36ED2">
            <w:pPr>
              <w:pStyle w:val="160"/>
              <w:adjustRightInd w:val="0"/>
              <w:snapToGrid w:val="0"/>
              <w:rPr>
                <w:szCs w:val="21"/>
                <w:lang w:val="zh-CN"/>
              </w:rPr>
            </w:pPr>
            <w:r>
              <w:rPr>
                <w:szCs w:val="21"/>
              </w:rPr>
              <w:t>生活污水排入旱</w:t>
            </w:r>
            <w:r>
              <w:rPr>
                <w:rFonts w:hint="eastAsia"/>
                <w:szCs w:val="21"/>
                <w:lang w:eastAsia="zh-CN"/>
              </w:rPr>
              <w:t>厕</w:t>
            </w:r>
            <w:r>
              <w:rPr>
                <w:szCs w:val="21"/>
              </w:rPr>
              <w:t>，定期清掏。</w:t>
            </w:r>
          </w:p>
        </w:tc>
        <w:tc>
          <w:tcPr>
            <w:tcW w:w="531" w:type="pct"/>
            <w:tcBorders>
              <w:tl2br w:val="nil"/>
              <w:tr2bl w:val="nil"/>
            </w:tcBorders>
            <w:vAlign w:val="center"/>
          </w:tcPr>
          <w:p w14:paraId="74AF6FFD">
            <w:pPr>
              <w:adjustRightInd w:val="0"/>
              <w:snapToGrid w:val="0"/>
              <w:spacing w:before="0" w:beforeLines="0" w:line="240" w:lineRule="auto"/>
              <w:jc w:val="center"/>
              <w:rPr>
                <w:szCs w:val="21"/>
              </w:rPr>
            </w:pPr>
            <w:r>
              <w:rPr>
                <w:szCs w:val="21"/>
              </w:rPr>
              <w:t>0</w:t>
            </w:r>
          </w:p>
        </w:tc>
        <w:tc>
          <w:tcPr>
            <w:tcW w:w="1056" w:type="pct"/>
            <w:tcBorders>
              <w:tl2br w:val="nil"/>
              <w:tr2bl w:val="nil"/>
            </w:tcBorders>
            <w:vAlign w:val="center"/>
          </w:tcPr>
          <w:p w14:paraId="096826F0">
            <w:pPr>
              <w:pStyle w:val="160"/>
              <w:widowControl w:val="0"/>
              <w:adjustRightInd w:val="0"/>
              <w:snapToGrid w:val="0"/>
              <w:rPr>
                <w:szCs w:val="21"/>
                <w:lang w:val="zh-CN"/>
              </w:rPr>
            </w:pPr>
            <w:r>
              <w:rPr>
                <w:bCs/>
                <w:szCs w:val="21"/>
              </w:rPr>
              <w:t>不外排</w:t>
            </w:r>
          </w:p>
        </w:tc>
      </w:tr>
      <w:tr w14:paraId="6C1F59A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vMerge w:val="restart"/>
            <w:tcBorders>
              <w:tl2br w:val="nil"/>
              <w:tr2bl w:val="nil"/>
            </w:tcBorders>
            <w:vAlign w:val="center"/>
          </w:tcPr>
          <w:p w14:paraId="560661E0">
            <w:pPr>
              <w:pStyle w:val="160"/>
              <w:adjustRightInd w:val="0"/>
              <w:snapToGrid w:val="0"/>
              <w:rPr>
                <w:szCs w:val="21"/>
                <w:lang w:val="zh-CN"/>
              </w:rPr>
            </w:pPr>
            <w:r>
              <w:rPr>
                <w:szCs w:val="21"/>
                <w:lang w:val="zh-CN"/>
              </w:rPr>
              <w:t>固废</w:t>
            </w:r>
          </w:p>
        </w:tc>
        <w:tc>
          <w:tcPr>
            <w:tcW w:w="612" w:type="pct"/>
            <w:tcBorders>
              <w:tl2br w:val="nil"/>
              <w:tr2bl w:val="nil"/>
            </w:tcBorders>
            <w:vAlign w:val="center"/>
          </w:tcPr>
          <w:p w14:paraId="4DE5C330">
            <w:pPr>
              <w:adjustRightInd w:val="0"/>
              <w:snapToGrid w:val="0"/>
              <w:spacing w:before="0" w:beforeLines="0" w:line="240" w:lineRule="auto"/>
              <w:jc w:val="center"/>
              <w:rPr>
                <w:szCs w:val="21"/>
              </w:rPr>
            </w:pPr>
            <w:r>
              <w:rPr>
                <w:rFonts w:hint="eastAsia"/>
                <w:szCs w:val="21"/>
              </w:rPr>
              <w:t>设备维护</w:t>
            </w:r>
          </w:p>
        </w:tc>
        <w:tc>
          <w:tcPr>
            <w:tcW w:w="597" w:type="pct"/>
            <w:tcBorders>
              <w:tl2br w:val="nil"/>
              <w:tr2bl w:val="nil"/>
            </w:tcBorders>
            <w:vAlign w:val="center"/>
          </w:tcPr>
          <w:p w14:paraId="027DE919">
            <w:pPr>
              <w:adjustRightInd w:val="0"/>
              <w:snapToGrid w:val="0"/>
              <w:spacing w:before="0" w:beforeLines="0" w:line="240" w:lineRule="auto"/>
              <w:jc w:val="center"/>
              <w:rPr>
                <w:szCs w:val="21"/>
              </w:rPr>
            </w:pPr>
            <w:r>
              <w:rPr>
                <w:szCs w:val="21"/>
              </w:rPr>
              <w:t>废矿物油及废油桶</w:t>
            </w:r>
          </w:p>
        </w:tc>
        <w:tc>
          <w:tcPr>
            <w:tcW w:w="512" w:type="pct"/>
            <w:tcBorders>
              <w:tl2br w:val="nil"/>
              <w:tr2bl w:val="nil"/>
            </w:tcBorders>
            <w:vAlign w:val="center"/>
          </w:tcPr>
          <w:p w14:paraId="336423B2">
            <w:pPr>
              <w:adjustRightInd w:val="0"/>
              <w:snapToGrid w:val="0"/>
              <w:spacing w:before="0" w:beforeLines="0" w:line="240" w:lineRule="auto"/>
              <w:jc w:val="center"/>
              <w:rPr>
                <w:szCs w:val="21"/>
              </w:rPr>
            </w:pPr>
            <w:r>
              <w:rPr>
                <w:rFonts w:hint="eastAsia"/>
                <w:szCs w:val="21"/>
              </w:rPr>
              <w:t>1.2</w:t>
            </w:r>
          </w:p>
        </w:tc>
        <w:tc>
          <w:tcPr>
            <w:tcW w:w="1451" w:type="pct"/>
            <w:tcBorders>
              <w:tl2br w:val="nil"/>
              <w:tr2bl w:val="nil"/>
            </w:tcBorders>
            <w:vAlign w:val="center"/>
          </w:tcPr>
          <w:p w14:paraId="23BA45AD">
            <w:pPr>
              <w:adjustRightInd w:val="0"/>
              <w:snapToGrid w:val="0"/>
              <w:spacing w:before="0" w:beforeLines="0" w:line="240" w:lineRule="auto"/>
              <w:jc w:val="center"/>
              <w:rPr>
                <w:szCs w:val="21"/>
                <w:lang w:val="zh-CN"/>
              </w:rPr>
            </w:pPr>
            <w:r>
              <w:rPr>
                <w:szCs w:val="21"/>
              </w:rPr>
              <w:t>暂存</w:t>
            </w:r>
            <w:r>
              <w:rPr>
                <w:rFonts w:hint="eastAsia"/>
                <w:szCs w:val="21"/>
              </w:rPr>
              <w:t>危险废物贮存点</w:t>
            </w:r>
            <w:r>
              <w:rPr>
                <w:szCs w:val="21"/>
              </w:rPr>
              <w:t>，定期</w:t>
            </w:r>
            <w:r>
              <w:rPr>
                <w:rFonts w:hint="eastAsia"/>
                <w:szCs w:val="21"/>
                <w:lang w:eastAsia="zh-CN"/>
              </w:rPr>
              <w:t>交由</w:t>
            </w:r>
            <w:r>
              <w:rPr>
                <w:szCs w:val="21"/>
              </w:rPr>
              <w:t>资质单位处置</w:t>
            </w:r>
          </w:p>
        </w:tc>
        <w:tc>
          <w:tcPr>
            <w:tcW w:w="531" w:type="pct"/>
            <w:tcBorders>
              <w:tl2br w:val="nil"/>
              <w:tr2bl w:val="nil"/>
            </w:tcBorders>
            <w:vAlign w:val="center"/>
          </w:tcPr>
          <w:p w14:paraId="3C0FB871">
            <w:pPr>
              <w:adjustRightInd w:val="0"/>
              <w:snapToGrid w:val="0"/>
              <w:spacing w:before="0" w:beforeLines="0" w:line="240" w:lineRule="auto"/>
              <w:jc w:val="center"/>
              <w:rPr>
                <w:szCs w:val="21"/>
              </w:rPr>
            </w:pPr>
            <w:r>
              <w:rPr>
                <w:szCs w:val="21"/>
              </w:rPr>
              <w:t>0</w:t>
            </w:r>
          </w:p>
        </w:tc>
        <w:tc>
          <w:tcPr>
            <w:tcW w:w="1056" w:type="pct"/>
            <w:tcBorders>
              <w:tl2br w:val="nil"/>
              <w:tr2bl w:val="nil"/>
            </w:tcBorders>
            <w:vAlign w:val="center"/>
          </w:tcPr>
          <w:p w14:paraId="4223A28A">
            <w:pPr>
              <w:pStyle w:val="160"/>
              <w:widowControl w:val="0"/>
              <w:adjustRightInd w:val="0"/>
              <w:snapToGrid w:val="0"/>
              <w:rPr>
                <w:szCs w:val="21"/>
                <w:lang w:val="zh-CN"/>
              </w:rPr>
            </w:pPr>
            <w:r>
              <w:rPr>
                <w:spacing w:val="-6"/>
                <w:szCs w:val="21"/>
              </w:rPr>
              <w:t>《危险废物贮存污染控制标准》(GB18597-2023)</w:t>
            </w:r>
          </w:p>
        </w:tc>
      </w:tr>
      <w:tr w14:paraId="0D1BE6D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vMerge w:val="continue"/>
            <w:tcBorders>
              <w:tl2br w:val="nil"/>
              <w:tr2bl w:val="nil"/>
            </w:tcBorders>
            <w:vAlign w:val="center"/>
          </w:tcPr>
          <w:p w14:paraId="09BF4D7D">
            <w:pPr>
              <w:pStyle w:val="160"/>
              <w:adjustRightInd w:val="0"/>
              <w:snapToGrid w:val="0"/>
              <w:rPr>
                <w:szCs w:val="21"/>
                <w:lang w:val="zh-CN"/>
              </w:rPr>
            </w:pPr>
          </w:p>
        </w:tc>
        <w:tc>
          <w:tcPr>
            <w:tcW w:w="612" w:type="pct"/>
            <w:tcBorders>
              <w:tl2br w:val="nil"/>
              <w:tr2bl w:val="nil"/>
            </w:tcBorders>
            <w:vAlign w:val="center"/>
          </w:tcPr>
          <w:p w14:paraId="0B0C6498">
            <w:pPr>
              <w:adjustRightInd w:val="0"/>
              <w:snapToGrid w:val="0"/>
              <w:spacing w:before="0" w:beforeLines="0" w:line="240" w:lineRule="auto"/>
              <w:jc w:val="center"/>
              <w:rPr>
                <w:szCs w:val="21"/>
              </w:rPr>
            </w:pPr>
            <w:r>
              <w:rPr>
                <w:szCs w:val="21"/>
              </w:rPr>
              <w:t>除尘器</w:t>
            </w:r>
          </w:p>
        </w:tc>
        <w:tc>
          <w:tcPr>
            <w:tcW w:w="597" w:type="pct"/>
            <w:tcBorders>
              <w:tl2br w:val="nil"/>
              <w:tr2bl w:val="nil"/>
            </w:tcBorders>
            <w:vAlign w:val="center"/>
          </w:tcPr>
          <w:p w14:paraId="757BC6D3">
            <w:pPr>
              <w:adjustRightInd w:val="0"/>
              <w:snapToGrid w:val="0"/>
              <w:spacing w:before="0" w:beforeLines="0" w:line="240" w:lineRule="auto"/>
              <w:jc w:val="center"/>
              <w:rPr>
                <w:szCs w:val="21"/>
              </w:rPr>
            </w:pPr>
            <w:r>
              <w:rPr>
                <w:szCs w:val="21"/>
              </w:rPr>
              <w:t>除尘灰</w:t>
            </w:r>
          </w:p>
        </w:tc>
        <w:tc>
          <w:tcPr>
            <w:tcW w:w="512" w:type="pct"/>
            <w:tcBorders>
              <w:tl2br w:val="nil"/>
              <w:tr2bl w:val="nil"/>
            </w:tcBorders>
            <w:vAlign w:val="center"/>
          </w:tcPr>
          <w:p w14:paraId="288781EB">
            <w:pPr>
              <w:adjustRightInd w:val="0"/>
              <w:snapToGrid w:val="0"/>
              <w:spacing w:before="0" w:beforeLines="0" w:line="240" w:lineRule="auto"/>
              <w:jc w:val="center"/>
              <w:rPr>
                <w:szCs w:val="21"/>
              </w:rPr>
            </w:pPr>
            <w:r>
              <w:rPr>
                <w:rFonts w:hint="eastAsia"/>
                <w:kern w:val="0"/>
                <w:szCs w:val="21"/>
                <w:lang w:bidi="ar"/>
              </w:rPr>
              <w:t>3337.1</w:t>
            </w:r>
          </w:p>
        </w:tc>
        <w:tc>
          <w:tcPr>
            <w:tcW w:w="1451" w:type="pct"/>
            <w:vMerge w:val="restart"/>
            <w:tcBorders>
              <w:tl2br w:val="nil"/>
              <w:tr2bl w:val="nil"/>
            </w:tcBorders>
            <w:vAlign w:val="center"/>
          </w:tcPr>
          <w:p w14:paraId="718FD22F">
            <w:pPr>
              <w:adjustRightInd w:val="0"/>
              <w:snapToGrid w:val="0"/>
              <w:spacing w:before="78" w:line="240" w:lineRule="auto"/>
              <w:jc w:val="center"/>
              <w:rPr>
                <w:szCs w:val="21"/>
                <w:lang w:val="zh-CN"/>
              </w:rPr>
            </w:pPr>
            <w:r>
              <w:rPr>
                <w:szCs w:val="21"/>
                <w:lang w:val="zh-CN"/>
              </w:rPr>
              <w:t>回填至现有露天采坑</w:t>
            </w:r>
          </w:p>
        </w:tc>
        <w:tc>
          <w:tcPr>
            <w:tcW w:w="531" w:type="pct"/>
            <w:tcBorders>
              <w:tl2br w:val="nil"/>
              <w:tr2bl w:val="nil"/>
            </w:tcBorders>
            <w:vAlign w:val="center"/>
          </w:tcPr>
          <w:p w14:paraId="357F4FA8">
            <w:pPr>
              <w:adjustRightInd w:val="0"/>
              <w:snapToGrid w:val="0"/>
              <w:spacing w:before="0" w:beforeLines="0" w:line="240" w:lineRule="auto"/>
              <w:jc w:val="center"/>
              <w:rPr>
                <w:szCs w:val="21"/>
              </w:rPr>
            </w:pPr>
            <w:r>
              <w:rPr>
                <w:szCs w:val="21"/>
              </w:rPr>
              <w:t>0</w:t>
            </w:r>
          </w:p>
        </w:tc>
        <w:tc>
          <w:tcPr>
            <w:tcW w:w="1056" w:type="pct"/>
            <w:vMerge w:val="restart"/>
            <w:tcBorders>
              <w:tl2br w:val="nil"/>
              <w:tr2bl w:val="nil"/>
            </w:tcBorders>
            <w:vAlign w:val="center"/>
          </w:tcPr>
          <w:p w14:paraId="701FC029">
            <w:pPr>
              <w:pStyle w:val="160"/>
              <w:widowControl w:val="0"/>
              <w:adjustRightInd w:val="0"/>
              <w:snapToGrid w:val="0"/>
              <w:rPr>
                <w:szCs w:val="21"/>
                <w:lang w:val="zh-CN"/>
              </w:rPr>
            </w:pPr>
            <w:r>
              <w:rPr>
                <w:spacing w:val="-6"/>
                <w:szCs w:val="21"/>
              </w:rPr>
              <w:t>《一般工业固体废物贮存和填埋污染控制标准》（GB18599-2020）</w:t>
            </w:r>
          </w:p>
        </w:tc>
      </w:tr>
      <w:tr w14:paraId="48E2E8F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vMerge w:val="continue"/>
            <w:tcBorders>
              <w:tl2br w:val="nil"/>
              <w:tr2bl w:val="nil"/>
            </w:tcBorders>
            <w:vAlign w:val="center"/>
          </w:tcPr>
          <w:p w14:paraId="0272DEEF">
            <w:pPr>
              <w:pStyle w:val="160"/>
              <w:adjustRightInd w:val="0"/>
              <w:snapToGrid w:val="0"/>
              <w:rPr>
                <w:szCs w:val="21"/>
                <w:lang w:val="zh-CN"/>
              </w:rPr>
            </w:pPr>
          </w:p>
        </w:tc>
        <w:tc>
          <w:tcPr>
            <w:tcW w:w="612" w:type="pct"/>
            <w:tcBorders>
              <w:tl2br w:val="nil"/>
              <w:tr2bl w:val="nil"/>
            </w:tcBorders>
            <w:vAlign w:val="center"/>
          </w:tcPr>
          <w:p w14:paraId="0BDF25BC">
            <w:pPr>
              <w:adjustRightInd w:val="0"/>
              <w:snapToGrid w:val="0"/>
              <w:spacing w:before="0" w:beforeLines="0" w:line="240" w:lineRule="auto"/>
              <w:jc w:val="center"/>
              <w:rPr>
                <w:szCs w:val="21"/>
              </w:rPr>
            </w:pPr>
            <w:r>
              <w:rPr>
                <w:szCs w:val="21"/>
              </w:rPr>
              <w:t>地面清扫</w:t>
            </w:r>
          </w:p>
        </w:tc>
        <w:tc>
          <w:tcPr>
            <w:tcW w:w="597" w:type="pct"/>
            <w:tcBorders>
              <w:tl2br w:val="nil"/>
              <w:tr2bl w:val="nil"/>
            </w:tcBorders>
            <w:vAlign w:val="center"/>
          </w:tcPr>
          <w:p w14:paraId="0AB7458A">
            <w:pPr>
              <w:adjustRightInd w:val="0"/>
              <w:snapToGrid w:val="0"/>
              <w:spacing w:before="0" w:beforeLines="0" w:line="240" w:lineRule="auto"/>
              <w:jc w:val="center"/>
              <w:rPr>
                <w:szCs w:val="21"/>
              </w:rPr>
            </w:pPr>
            <w:r>
              <w:rPr>
                <w:szCs w:val="21"/>
              </w:rPr>
              <w:t>落地灰</w:t>
            </w:r>
          </w:p>
        </w:tc>
        <w:tc>
          <w:tcPr>
            <w:tcW w:w="512" w:type="pct"/>
            <w:tcBorders>
              <w:tl2br w:val="nil"/>
              <w:tr2bl w:val="nil"/>
            </w:tcBorders>
            <w:vAlign w:val="center"/>
          </w:tcPr>
          <w:p w14:paraId="33F377FF">
            <w:pPr>
              <w:adjustRightInd w:val="0"/>
              <w:snapToGrid w:val="0"/>
              <w:spacing w:before="0" w:beforeLines="0" w:line="240" w:lineRule="auto"/>
              <w:jc w:val="center"/>
              <w:rPr>
                <w:szCs w:val="21"/>
              </w:rPr>
            </w:pPr>
            <w:r>
              <w:rPr>
                <w:rFonts w:hint="eastAsia"/>
                <w:kern w:val="0"/>
                <w:szCs w:val="21"/>
                <w:lang w:bidi="ar"/>
              </w:rPr>
              <w:t>353.65</w:t>
            </w:r>
          </w:p>
        </w:tc>
        <w:tc>
          <w:tcPr>
            <w:tcW w:w="1451" w:type="pct"/>
            <w:vMerge w:val="continue"/>
            <w:tcBorders>
              <w:tl2br w:val="nil"/>
              <w:tr2bl w:val="nil"/>
            </w:tcBorders>
            <w:vAlign w:val="center"/>
          </w:tcPr>
          <w:p w14:paraId="1E4F370D">
            <w:pPr>
              <w:adjustRightInd w:val="0"/>
              <w:snapToGrid w:val="0"/>
              <w:spacing w:before="78" w:line="240" w:lineRule="auto"/>
              <w:jc w:val="center"/>
              <w:rPr>
                <w:szCs w:val="21"/>
                <w:lang w:val="zh-CN"/>
              </w:rPr>
            </w:pPr>
          </w:p>
        </w:tc>
        <w:tc>
          <w:tcPr>
            <w:tcW w:w="531" w:type="pct"/>
            <w:tcBorders>
              <w:tl2br w:val="nil"/>
              <w:tr2bl w:val="nil"/>
            </w:tcBorders>
            <w:vAlign w:val="center"/>
          </w:tcPr>
          <w:p w14:paraId="5FFFB042">
            <w:pPr>
              <w:adjustRightInd w:val="0"/>
              <w:snapToGrid w:val="0"/>
              <w:spacing w:before="0" w:beforeLines="0" w:line="240" w:lineRule="auto"/>
              <w:jc w:val="center"/>
              <w:rPr>
                <w:szCs w:val="21"/>
              </w:rPr>
            </w:pPr>
            <w:r>
              <w:rPr>
                <w:szCs w:val="21"/>
              </w:rPr>
              <w:t>0</w:t>
            </w:r>
          </w:p>
        </w:tc>
        <w:tc>
          <w:tcPr>
            <w:tcW w:w="1056" w:type="pct"/>
            <w:vMerge w:val="continue"/>
            <w:tcBorders>
              <w:tl2br w:val="nil"/>
              <w:tr2bl w:val="nil"/>
            </w:tcBorders>
            <w:vAlign w:val="center"/>
          </w:tcPr>
          <w:p w14:paraId="6F19B934">
            <w:pPr>
              <w:pStyle w:val="160"/>
              <w:widowControl w:val="0"/>
              <w:adjustRightInd w:val="0"/>
              <w:snapToGrid w:val="0"/>
              <w:rPr>
                <w:szCs w:val="21"/>
                <w:lang w:val="zh-CN"/>
              </w:rPr>
            </w:pPr>
          </w:p>
        </w:tc>
      </w:tr>
      <w:tr w14:paraId="6B380DD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vMerge w:val="continue"/>
            <w:tcBorders>
              <w:tl2br w:val="nil"/>
              <w:tr2bl w:val="nil"/>
            </w:tcBorders>
            <w:vAlign w:val="center"/>
          </w:tcPr>
          <w:p w14:paraId="440F3281">
            <w:pPr>
              <w:pStyle w:val="160"/>
              <w:adjustRightInd w:val="0"/>
              <w:snapToGrid w:val="0"/>
              <w:rPr>
                <w:szCs w:val="21"/>
                <w:lang w:val="zh-CN"/>
              </w:rPr>
            </w:pPr>
          </w:p>
        </w:tc>
        <w:tc>
          <w:tcPr>
            <w:tcW w:w="612" w:type="pct"/>
            <w:tcBorders>
              <w:tl2br w:val="nil"/>
              <w:tr2bl w:val="nil"/>
            </w:tcBorders>
            <w:vAlign w:val="center"/>
          </w:tcPr>
          <w:p w14:paraId="1611473F">
            <w:pPr>
              <w:adjustRightInd w:val="0"/>
              <w:snapToGrid w:val="0"/>
              <w:spacing w:before="0" w:beforeLines="0" w:line="240" w:lineRule="auto"/>
              <w:jc w:val="center"/>
              <w:rPr>
                <w:szCs w:val="21"/>
              </w:rPr>
            </w:pPr>
            <w:r>
              <w:rPr>
                <w:szCs w:val="21"/>
              </w:rPr>
              <w:t>泥浆压滤</w:t>
            </w:r>
          </w:p>
        </w:tc>
        <w:tc>
          <w:tcPr>
            <w:tcW w:w="597" w:type="pct"/>
            <w:tcBorders>
              <w:tl2br w:val="nil"/>
              <w:tr2bl w:val="nil"/>
            </w:tcBorders>
            <w:vAlign w:val="center"/>
          </w:tcPr>
          <w:p w14:paraId="2FE70132">
            <w:pPr>
              <w:adjustRightInd w:val="0"/>
              <w:snapToGrid w:val="0"/>
              <w:spacing w:before="0" w:beforeLines="0" w:line="240" w:lineRule="auto"/>
              <w:jc w:val="center"/>
              <w:rPr>
                <w:szCs w:val="21"/>
              </w:rPr>
            </w:pPr>
            <w:r>
              <w:rPr>
                <w:szCs w:val="21"/>
              </w:rPr>
              <w:t>泥饼</w:t>
            </w:r>
          </w:p>
        </w:tc>
        <w:tc>
          <w:tcPr>
            <w:tcW w:w="512" w:type="pct"/>
            <w:tcBorders>
              <w:tl2br w:val="nil"/>
              <w:tr2bl w:val="nil"/>
            </w:tcBorders>
            <w:vAlign w:val="center"/>
          </w:tcPr>
          <w:p w14:paraId="4C25B5AD">
            <w:pPr>
              <w:adjustRightInd w:val="0"/>
              <w:snapToGrid w:val="0"/>
              <w:spacing w:before="0" w:beforeLines="0" w:line="240" w:lineRule="auto"/>
              <w:jc w:val="center"/>
              <w:rPr>
                <w:szCs w:val="21"/>
              </w:rPr>
            </w:pPr>
            <w:r>
              <w:t>931697</w:t>
            </w:r>
          </w:p>
        </w:tc>
        <w:tc>
          <w:tcPr>
            <w:tcW w:w="1451" w:type="pct"/>
            <w:vMerge w:val="continue"/>
            <w:tcBorders>
              <w:tl2br w:val="nil"/>
              <w:tr2bl w:val="nil"/>
            </w:tcBorders>
            <w:vAlign w:val="center"/>
          </w:tcPr>
          <w:p w14:paraId="5DB797DF">
            <w:pPr>
              <w:adjustRightInd w:val="0"/>
              <w:snapToGrid w:val="0"/>
              <w:spacing w:before="0" w:beforeLines="0" w:line="240" w:lineRule="auto"/>
              <w:jc w:val="center"/>
              <w:rPr>
                <w:szCs w:val="21"/>
                <w:lang w:val="zh-CN"/>
              </w:rPr>
            </w:pPr>
          </w:p>
        </w:tc>
        <w:tc>
          <w:tcPr>
            <w:tcW w:w="531" w:type="pct"/>
            <w:tcBorders>
              <w:tl2br w:val="nil"/>
              <w:tr2bl w:val="nil"/>
            </w:tcBorders>
            <w:vAlign w:val="center"/>
          </w:tcPr>
          <w:p w14:paraId="674A20AC">
            <w:pPr>
              <w:adjustRightInd w:val="0"/>
              <w:snapToGrid w:val="0"/>
              <w:spacing w:before="0" w:beforeLines="0" w:line="240" w:lineRule="auto"/>
              <w:jc w:val="center"/>
              <w:rPr>
                <w:szCs w:val="21"/>
              </w:rPr>
            </w:pPr>
            <w:r>
              <w:rPr>
                <w:szCs w:val="21"/>
              </w:rPr>
              <w:t>0</w:t>
            </w:r>
          </w:p>
        </w:tc>
        <w:tc>
          <w:tcPr>
            <w:tcW w:w="1056" w:type="pct"/>
            <w:vMerge w:val="continue"/>
            <w:tcBorders>
              <w:tl2br w:val="nil"/>
              <w:tr2bl w:val="nil"/>
            </w:tcBorders>
            <w:vAlign w:val="center"/>
          </w:tcPr>
          <w:p w14:paraId="21D45E72">
            <w:pPr>
              <w:pStyle w:val="160"/>
              <w:widowControl w:val="0"/>
              <w:adjustRightInd w:val="0"/>
              <w:snapToGrid w:val="0"/>
              <w:rPr>
                <w:szCs w:val="21"/>
                <w:lang w:val="zh-CN"/>
              </w:rPr>
            </w:pPr>
          </w:p>
        </w:tc>
      </w:tr>
      <w:tr w14:paraId="3B22B73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vMerge w:val="continue"/>
            <w:tcBorders>
              <w:tl2br w:val="nil"/>
              <w:tr2bl w:val="nil"/>
            </w:tcBorders>
            <w:vAlign w:val="center"/>
          </w:tcPr>
          <w:p w14:paraId="749E04A3">
            <w:pPr>
              <w:pStyle w:val="160"/>
              <w:adjustRightInd w:val="0"/>
              <w:snapToGrid w:val="0"/>
              <w:rPr>
                <w:szCs w:val="21"/>
                <w:lang w:val="zh-CN"/>
              </w:rPr>
            </w:pPr>
          </w:p>
        </w:tc>
        <w:tc>
          <w:tcPr>
            <w:tcW w:w="612" w:type="pct"/>
            <w:tcBorders>
              <w:tl2br w:val="nil"/>
              <w:tr2bl w:val="nil"/>
            </w:tcBorders>
            <w:vAlign w:val="center"/>
          </w:tcPr>
          <w:p w14:paraId="6D24D337">
            <w:pPr>
              <w:adjustRightInd w:val="0"/>
              <w:snapToGrid w:val="0"/>
              <w:spacing w:before="0" w:beforeLines="0" w:line="240" w:lineRule="auto"/>
              <w:jc w:val="center"/>
              <w:rPr>
                <w:szCs w:val="21"/>
              </w:rPr>
            </w:pPr>
            <w:r>
              <w:rPr>
                <w:rFonts w:hint="eastAsia"/>
                <w:szCs w:val="21"/>
              </w:rPr>
              <w:t>除尘器</w:t>
            </w:r>
          </w:p>
        </w:tc>
        <w:tc>
          <w:tcPr>
            <w:tcW w:w="597" w:type="pct"/>
            <w:tcBorders>
              <w:tl2br w:val="nil"/>
              <w:tr2bl w:val="nil"/>
            </w:tcBorders>
            <w:vAlign w:val="center"/>
          </w:tcPr>
          <w:p w14:paraId="38C7E017">
            <w:pPr>
              <w:adjustRightInd w:val="0"/>
              <w:snapToGrid w:val="0"/>
              <w:spacing w:before="0" w:beforeLines="0" w:line="240" w:lineRule="auto"/>
              <w:jc w:val="center"/>
              <w:rPr>
                <w:szCs w:val="21"/>
              </w:rPr>
            </w:pPr>
            <w:r>
              <w:rPr>
                <w:rFonts w:hint="eastAsia"/>
                <w:szCs w:val="21"/>
              </w:rPr>
              <w:t>废布袋</w:t>
            </w:r>
          </w:p>
        </w:tc>
        <w:tc>
          <w:tcPr>
            <w:tcW w:w="512" w:type="pct"/>
            <w:tcBorders>
              <w:tl2br w:val="nil"/>
              <w:tr2bl w:val="nil"/>
            </w:tcBorders>
            <w:vAlign w:val="center"/>
          </w:tcPr>
          <w:p w14:paraId="66EC969D">
            <w:pPr>
              <w:adjustRightInd w:val="0"/>
              <w:snapToGrid w:val="0"/>
              <w:spacing w:before="0" w:beforeLines="0" w:line="240" w:lineRule="auto"/>
              <w:jc w:val="center"/>
            </w:pPr>
            <w:r>
              <w:rPr>
                <w:rFonts w:hint="eastAsia"/>
              </w:rPr>
              <w:t>1.0</w:t>
            </w:r>
          </w:p>
        </w:tc>
        <w:tc>
          <w:tcPr>
            <w:tcW w:w="1451" w:type="pct"/>
            <w:tcBorders>
              <w:tl2br w:val="nil"/>
              <w:tr2bl w:val="nil"/>
            </w:tcBorders>
            <w:vAlign w:val="center"/>
          </w:tcPr>
          <w:p w14:paraId="1D5AF116">
            <w:pPr>
              <w:adjustRightInd w:val="0"/>
              <w:snapToGrid w:val="0"/>
              <w:spacing w:before="0" w:beforeLines="0" w:line="240" w:lineRule="auto"/>
              <w:jc w:val="center"/>
              <w:rPr>
                <w:szCs w:val="21"/>
                <w:lang w:val="zh-CN"/>
              </w:rPr>
            </w:pPr>
            <w:r>
              <w:rPr>
                <w:rFonts w:hint="eastAsia"/>
                <w:szCs w:val="21"/>
                <w:lang w:val="zh-CN"/>
              </w:rPr>
              <w:t>外售利用</w:t>
            </w:r>
          </w:p>
        </w:tc>
        <w:tc>
          <w:tcPr>
            <w:tcW w:w="531" w:type="pct"/>
            <w:tcBorders>
              <w:tl2br w:val="nil"/>
              <w:tr2bl w:val="nil"/>
            </w:tcBorders>
            <w:vAlign w:val="center"/>
          </w:tcPr>
          <w:p w14:paraId="44DF899F">
            <w:pPr>
              <w:adjustRightInd w:val="0"/>
              <w:snapToGrid w:val="0"/>
              <w:spacing w:before="0" w:beforeLines="0" w:line="240" w:lineRule="auto"/>
              <w:jc w:val="center"/>
              <w:rPr>
                <w:szCs w:val="21"/>
              </w:rPr>
            </w:pPr>
            <w:r>
              <w:rPr>
                <w:rFonts w:hint="eastAsia"/>
                <w:szCs w:val="21"/>
              </w:rPr>
              <w:t>0</w:t>
            </w:r>
          </w:p>
        </w:tc>
        <w:tc>
          <w:tcPr>
            <w:tcW w:w="1056" w:type="pct"/>
            <w:vMerge w:val="continue"/>
            <w:tcBorders>
              <w:tl2br w:val="nil"/>
              <w:tr2bl w:val="nil"/>
            </w:tcBorders>
            <w:vAlign w:val="center"/>
          </w:tcPr>
          <w:p w14:paraId="4EAF6E2E">
            <w:pPr>
              <w:pStyle w:val="160"/>
              <w:widowControl w:val="0"/>
              <w:adjustRightInd w:val="0"/>
              <w:snapToGrid w:val="0"/>
              <w:rPr>
                <w:szCs w:val="21"/>
                <w:lang w:val="zh-CN"/>
              </w:rPr>
            </w:pPr>
          </w:p>
        </w:tc>
      </w:tr>
      <w:tr w14:paraId="7FFFDC9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vMerge w:val="continue"/>
            <w:tcBorders>
              <w:tl2br w:val="nil"/>
              <w:tr2bl w:val="nil"/>
            </w:tcBorders>
            <w:vAlign w:val="center"/>
          </w:tcPr>
          <w:p w14:paraId="60779D16">
            <w:pPr>
              <w:pStyle w:val="160"/>
              <w:adjustRightInd w:val="0"/>
              <w:snapToGrid w:val="0"/>
              <w:rPr>
                <w:szCs w:val="21"/>
                <w:lang w:val="zh-CN"/>
              </w:rPr>
            </w:pPr>
          </w:p>
        </w:tc>
        <w:tc>
          <w:tcPr>
            <w:tcW w:w="612" w:type="pct"/>
            <w:tcBorders>
              <w:tl2br w:val="nil"/>
              <w:tr2bl w:val="nil"/>
            </w:tcBorders>
            <w:vAlign w:val="center"/>
          </w:tcPr>
          <w:p w14:paraId="67D246CE">
            <w:pPr>
              <w:adjustRightInd w:val="0"/>
              <w:snapToGrid w:val="0"/>
              <w:spacing w:before="0" w:beforeLines="0" w:line="240" w:lineRule="auto"/>
              <w:jc w:val="center"/>
              <w:rPr>
                <w:szCs w:val="21"/>
              </w:rPr>
            </w:pPr>
            <w:r>
              <w:rPr>
                <w:szCs w:val="21"/>
              </w:rPr>
              <w:t>员工</w:t>
            </w:r>
          </w:p>
        </w:tc>
        <w:tc>
          <w:tcPr>
            <w:tcW w:w="597" w:type="pct"/>
            <w:tcBorders>
              <w:tl2br w:val="nil"/>
              <w:tr2bl w:val="nil"/>
            </w:tcBorders>
            <w:vAlign w:val="center"/>
          </w:tcPr>
          <w:p w14:paraId="08F349AC">
            <w:pPr>
              <w:adjustRightInd w:val="0"/>
              <w:snapToGrid w:val="0"/>
              <w:spacing w:before="0" w:beforeLines="0" w:line="240" w:lineRule="auto"/>
              <w:jc w:val="center"/>
              <w:rPr>
                <w:szCs w:val="21"/>
              </w:rPr>
            </w:pPr>
            <w:r>
              <w:rPr>
                <w:szCs w:val="21"/>
              </w:rPr>
              <w:t>生活垃圾</w:t>
            </w:r>
          </w:p>
        </w:tc>
        <w:tc>
          <w:tcPr>
            <w:tcW w:w="512" w:type="pct"/>
            <w:tcBorders>
              <w:tl2br w:val="nil"/>
              <w:tr2bl w:val="nil"/>
            </w:tcBorders>
            <w:vAlign w:val="center"/>
          </w:tcPr>
          <w:p w14:paraId="785DF01F">
            <w:pPr>
              <w:adjustRightInd w:val="0"/>
              <w:snapToGrid w:val="0"/>
              <w:spacing w:before="0" w:beforeLines="0" w:line="240" w:lineRule="auto"/>
              <w:jc w:val="center"/>
              <w:rPr>
                <w:kern w:val="0"/>
                <w:szCs w:val="21"/>
                <w:lang w:bidi="ar"/>
              </w:rPr>
            </w:pPr>
            <w:r>
              <w:rPr>
                <w:szCs w:val="21"/>
              </w:rPr>
              <w:t>9.9</w:t>
            </w:r>
          </w:p>
        </w:tc>
        <w:tc>
          <w:tcPr>
            <w:tcW w:w="1451" w:type="pct"/>
            <w:tcBorders>
              <w:tl2br w:val="nil"/>
              <w:tr2bl w:val="nil"/>
            </w:tcBorders>
            <w:vAlign w:val="center"/>
          </w:tcPr>
          <w:p w14:paraId="46D1CEA5">
            <w:pPr>
              <w:adjustRightInd w:val="0"/>
              <w:snapToGrid w:val="0"/>
              <w:spacing w:before="0" w:beforeLines="0" w:line="240" w:lineRule="auto"/>
              <w:jc w:val="center"/>
              <w:rPr>
                <w:szCs w:val="21"/>
                <w:lang w:val="zh-CN"/>
              </w:rPr>
            </w:pPr>
            <w:r>
              <w:rPr>
                <w:szCs w:val="21"/>
              </w:rPr>
              <w:t>收集到指定的垃圾堆放点，环卫部门清运处理</w:t>
            </w:r>
          </w:p>
        </w:tc>
        <w:tc>
          <w:tcPr>
            <w:tcW w:w="531" w:type="pct"/>
            <w:tcBorders>
              <w:tl2br w:val="nil"/>
              <w:tr2bl w:val="nil"/>
            </w:tcBorders>
            <w:vAlign w:val="center"/>
          </w:tcPr>
          <w:p w14:paraId="79F173AB">
            <w:pPr>
              <w:adjustRightInd w:val="0"/>
              <w:snapToGrid w:val="0"/>
              <w:spacing w:before="0" w:beforeLines="0" w:line="240" w:lineRule="auto"/>
              <w:jc w:val="center"/>
              <w:rPr>
                <w:szCs w:val="21"/>
              </w:rPr>
            </w:pPr>
            <w:r>
              <w:rPr>
                <w:szCs w:val="21"/>
              </w:rPr>
              <w:t>0</w:t>
            </w:r>
          </w:p>
        </w:tc>
        <w:tc>
          <w:tcPr>
            <w:tcW w:w="1056" w:type="pct"/>
            <w:tcBorders>
              <w:tl2br w:val="nil"/>
              <w:tr2bl w:val="nil"/>
            </w:tcBorders>
            <w:vAlign w:val="center"/>
          </w:tcPr>
          <w:p w14:paraId="3EEF5E42">
            <w:pPr>
              <w:pStyle w:val="160"/>
              <w:widowControl w:val="0"/>
              <w:adjustRightInd w:val="0"/>
              <w:snapToGrid w:val="0"/>
              <w:rPr>
                <w:szCs w:val="21"/>
              </w:rPr>
            </w:pPr>
            <w:r>
              <w:rPr>
                <w:bCs/>
                <w:szCs w:val="21"/>
              </w:rPr>
              <w:t>不外排</w:t>
            </w:r>
          </w:p>
        </w:tc>
      </w:tr>
      <w:tr w14:paraId="244569E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tcBorders>
              <w:tl2br w:val="nil"/>
              <w:tr2bl w:val="nil"/>
            </w:tcBorders>
            <w:vAlign w:val="center"/>
          </w:tcPr>
          <w:p w14:paraId="15BFA704">
            <w:pPr>
              <w:pStyle w:val="160"/>
              <w:adjustRightInd w:val="0"/>
              <w:snapToGrid w:val="0"/>
              <w:rPr>
                <w:szCs w:val="21"/>
                <w:lang w:val="zh-CN"/>
              </w:rPr>
            </w:pPr>
            <w:r>
              <w:rPr>
                <w:szCs w:val="21"/>
                <w:lang w:val="zh-CN"/>
              </w:rPr>
              <w:t>噪声</w:t>
            </w:r>
          </w:p>
        </w:tc>
        <w:tc>
          <w:tcPr>
            <w:tcW w:w="1209" w:type="pct"/>
            <w:gridSpan w:val="2"/>
            <w:tcBorders>
              <w:tl2br w:val="nil"/>
              <w:tr2bl w:val="nil"/>
            </w:tcBorders>
            <w:vAlign w:val="center"/>
          </w:tcPr>
          <w:p w14:paraId="7477039D">
            <w:pPr>
              <w:pStyle w:val="160"/>
              <w:adjustRightInd w:val="0"/>
              <w:snapToGrid w:val="0"/>
              <w:rPr>
                <w:szCs w:val="21"/>
                <w:lang w:val="zh-CN"/>
              </w:rPr>
            </w:pPr>
            <w:r>
              <w:rPr>
                <w:szCs w:val="21"/>
                <w:lang w:val="zh-CN"/>
              </w:rPr>
              <w:t>各种泵体、风机等</w:t>
            </w:r>
          </w:p>
        </w:tc>
        <w:tc>
          <w:tcPr>
            <w:tcW w:w="512" w:type="pct"/>
            <w:tcBorders>
              <w:tl2br w:val="nil"/>
              <w:tr2bl w:val="nil"/>
            </w:tcBorders>
            <w:vAlign w:val="center"/>
          </w:tcPr>
          <w:p w14:paraId="14D2A2F6">
            <w:pPr>
              <w:pStyle w:val="160"/>
              <w:adjustRightInd w:val="0"/>
              <w:snapToGrid w:val="0"/>
              <w:rPr>
                <w:szCs w:val="21"/>
              </w:rPr>
            </w:pPr>
            <w:r>
              <w:rPr>
                <w:szCs w:val="21"/>
              </w:rPr>
              <w:t>70-100dB（A）</w:t>
            </w:r>
          </w:p>
        </w:tc>
        <w:tc>
          <w:tcPr>
            <w:tcW w:w="1451" w:type="pct"/>
            <w:tcBorders>
              <w:tl2br w:val="nil"/>
              <w:tr2bl w:val="nil"/>
            </w:tcBorders>
            <w:vAlign w:val="center"/>
          </w:tcPr>
          <w:p w14:paraId="6FC273D5">
            <w:pPr>
              <w:pStyle w:val="160"/>
              <w:adjustRightInd w:val="0"/>
              <w:snapToGrid w:val="0"/>
              <w:rPr>
                <w:szCs w:val="21"/>
                <w:lang w:val="zh-CN"/>
              </w:rPr>
            </w:pPr>
            <w:r>
              <w:rPr>
                <w:szCs w:val="21"/>
              </w:rPr>
              <w:t>选低噪声设备，破碎机、磁选机、筛分机、抛砂分离机等设置在厂房内部，泵类安装减振底座，控制运输车辆车速及运载量</w:t>
            </w:r>
          </w:p>
        </w:tc>
        <w:tc>
          <w:tcPr>
            <w:tcW w:w="531" w:type="pct"/>
            <w:tcBorders>
              <w:tl2br w:val="nil"/>
              <w:tr2bl w:val="nil"/>
            </w:tcBorders>
            <w:vAlign w:val="center"/>
          </w:tcPr>
          <w:p w14:paraId="11E2A2A0">
            <w:pPr>
              <w:pStyle w:val="160"/>
              <w:adjustRightInd w:val="0"/>
              <w:snapToGrid w:val="0"/>
              <w:rPr>
                <w:szCs w:val="21"/>
                <w:lang w:bidi="ar"/>
              </w:rPr>
            </w:pPr>
            <w:r>
              <w:rPr>
                <w:szCs w:val="21"/>
                <w:lang w:bidi="ar"/>
              </w:rPr>
              <w:t>40~70dB（A）</w:t>
            </w:r>
          </w:p>
        </w:tc>
        <w:tc>
          <w:tcPr>
            <w:tcW w:w="1056" w:type="pct"/>
            <w:tcBorders>
              <w:tl2br w:val="nil"/>
              <w:tr2bl w:val="nil"/>
            </w:tcBorders>
            <w:vAlign w:val="center"/>
          </w:tcPr>
          <w:p w14:paraId="3E858B7F">
            <w:pPr>
              <w:pStyle w:val="160"/>
              <w:widowControl w:val="0"/>
              <w:adjustRightInd w:val="0"/>
              <w:snapToGrid w:val="0"/>
              <w:rPr>
                <w:szCs w:val="21"/>
                <w:lang w:val="zh-CN"/>
              </w:rPr>
            </w:pPr>
            <w:r>
              <w:rPr>
                <w:szCs w:val="21"/>
              </w:rPr>
              <w:t>《工业企业厂界环境噪声排放标准》(GB12348-2008)1类标准</w:t>
            </w:r>
          </w:p>
        </w:tc>
      </w:tr>
    </w:tbl>
    <w:p w14:paraId="15FC391B">
      <w:pPr>
        <w:pStyle w:val="4"/>
        <w:rPr>
          <w:rFonts w:ascii="Times New Roman" w:hAnsi="Times New Roman" w:eastAsia="宋体"/>
          <w:color w:val="auto"/>
        </w:rPr>
      </w:pPr>
      <w:bookmarkStart w:id="627" w:name="_Toc57879085"/>
      <w:bookmarkStart w:id="628" w:name="_Toc239274304"/>
      <w:r>
        <w:rPr>
          <w:rFonts w:ascii="Times New Roman" w:hAnsi="Times New Roman" w:eastAsia="宋体"/>
          <w:color w:val="auto"/>
        </w:rPr>
        <w:t>9.6总量控制</w:t>
      </w:r>
      <w:bookmarkEnd w:id="627"/>
      <w:bookmarkEnd w:id="628"/>
    </w:p>
    <w:p w14:paraId="08277C28">
      <w:pPr>
        <w:autoSpaceDE w:val="0"/>
        <w:autoSpaceDN w:val="0"/>
        <w:spacing w:before="78" w:line="360" w:lineRule="auto"/>
        <w:ind w:firstLine="480" w:firstLineChars="200"/>
        <w:textAlignment w:val="bottom"/>
        <w:rPr>
          <w:sz w:val="24"/>
        </w:rPr>
      </w:pPr>
      <w:bookmarkStart w:id="629" w:name="9.2.2_总量控制因子"/>
      <w:bookmarkEnd w:id="629"/>
      <w:bookmarkStart w:id="630" w:name="9.2.1_总量控制的核算范围"/>
      <w:bookmarkEnd w:id="630"/>
      <w:bookmarkStart w:id="631" w:name="9.2_总量控制因子及核算范围"/>
      <w:bookmarkEnd w:id="631"/>
      <w:bookmarkStart w:id="632" w:name="_bookmark47"/>
      <w:bookmarkEnd w:id="632"/>
      <w:bookmarkStart w:id="633" w:name="_Toc11572135"/>
      <w:bookmarkStart w:id="634" w:name="_Toc17475996"/>
      <w:r>
        <w:rPr>
          <w:sz w:val="24"/>
        </w:rPr>
        <w:t xml:space="preserve">根据国家生态环境厅关于印发《“十四五”及2021年辽宁省生态环境有关指标计划》的函（环办综合函[2021]453号）及国家环境保护部关于印发《建设项目主要污染物排放总量指标审核及管理暂行办法》的通知（环发[2014]197号），辽宁省环保厅关于《贯彻执行环保部建设项目主要污染物排放总量指标审核及管理暂行办法》的通知（辽环发[2015]17号）以及《辽宁省环境保护厅关于转发生态环境部关于加强涉重金属行业污染防控意见的通知》（辽环函[2018]184号），提出“主要污染物是指国家实施排放总量控制的污染物以化学需氧量、氨氮、VOCs、氮氧化物为重点，进一步加强建设项目主要污染物排放总量指标的审核和管理，严控新增排放量”。 </w:t>
      </w:r>
    </w:p>
    <w:p w14:paraId="6DD2B89C">
      <w:pPr>
        <w:autoSpaceDE w:val="0"/>
        <w:autoSpaceDN w:val="0"/>
        <w:spacing w:before="78" w:line="360" w:lineRule="auto"/>
        <w:ind w:firstLine="480" w:firstLineChars="200"/>
        <w:textAlignment w:val="bottom"/>
        <w:rPr>
          <w:sz w:val="24"/>
        </w:rPr>
      </w:pPr>
      <w:r>
        <w:rPr>
          <w:sz w:val="24"/>
        </w:rPr>
        <w:t>本项目办公区冬季采用电供暖，不设锅炉房，因此项目无VOCs和NOx排放。选矿废水及车间地面冲洗水浓缩压滤后，回用于生产，不排放。生活污废水排至防渗化粪池处理后，定期清掏，不外排，因此排放量为零。在采取了设计和评价提出的完善的污染防治措施的基础上，评价最终确定本项目无VOCs、NOx排放，废水污染物COD、NH</w:t>
      </w:r>
      <w:r>
        <w:rPr>
          <w:sz w:val="24"/>
          <w:vertAlign w:val="subscript"/>
        </w:rPr>
        <w:t>3</w:t>
      </w:r>
      <w:r>
        <w:rPr>
          <w:sz w:val="24"/>
        </w:rPr>
        <w:t>-N排放量为零，则各总量指标为零。</w:t>
      </w:r>
    </w:p>
    <w:p w14:paraId="2E8084F7">
      <w:pPr>
        <w:autoSpaceDE w:val="0"/>
        <w:autoSpaceDN w:val="0"/>
        <w:spacing w:before="78" w:line="360" w:lineRule="auto"/>
        <w:textAlignment w:val="bottom"/>
        <w:rPr>
          <w:sz w:val="24"/>
        </w:rPr>
      </w:pPr>
    </w:p>
    <w:p w14:paraId="1E620EFA">
      <w:pPr>
        <w:autoSpaceDE w:val="0"/>
        <w:autoSpaceDN w:val="0"/>
        <w:spacing w:before="78" w:line="360" w:lineRule="auto"/>
        <w:textAlignment w:val="bottom"/>
        <w:rPr>
          <w:sz w:val="24"/>
        </w:rPr>
      </w:pPr>
    </w:p>
    <w:p w14:paraId="6BA4AA85">
      <w:pPr>
        <w:autoSpaceDE w:val="0"/>
        <w:autoSpaceDN w:val="0"/>
        <w:spacing w:before="78" w:line="360" w:lineRule="auto"/>
        <w:textAlignment w:val="bottom"/>
        <w:rPr>
          <w:sz w:val="24"/>
        </w:rPr>
      </w:pPr>
    </w:p>
    <w:p w14:paraId="3F973ECD">
      <w:pPr>
        <w:autoSpaceDE w:val="0"/>
        <w:autoSpaceDN w:val="0"/>
        <w:spacing w:before="78" w:line="360" w:lineRule="auto"/>
        <w:textAlignment w:val="bottom"/>
        <w:rPr>
          <w:sz w:val="24"/>
        </w:rPr>
      </w:pPr>
    </w:p>
    <w:p w14:paraId="5E32EED0">
      <w:pPr>
        <w:autoSpaceDE w:val="0"/>
        <w:autoSpaceDN w:val="0"/>
        <w:spacing w:before="78" w:line="360" w:lineRule="auto"/>
        <w:textAlignment w:val="bottom"/>
        <w:rPr>
          <w:sz w:val="24"/>
        </w:rPr>
      </w:pPr>
    </w:p>
    <w:p w14:paraId="5B2F5AE2">
      <w:pPr>
        <w:autoSpaceDE w:val="0"/>
        <w:autoSpaceDN w:val="0"/>
        <w:spacing w:before="78" w:line="360" w:lineRule="auto"/>
        <w:textAlignment w:val="bottom"/>
        <w:rPr>
          <w:sz w:val="24"/>
        </w:rPr>
      </w:pPr>
    </w:p>
    <w:p w14:paraId="0C1E536B">
      <w:pPr>
        <w:autoSpaceDE w:val="0"/>
        <w:autoSpaceDN w:val="0"/>
        <w:spacing w:before="78" w:line="360" w:lineRule="auto"/>
        <w:textAlignment w:val="bottom"/>
        <w:rPr>
          <w:sz w:val="24"/>
        </w:rPr>
      </w:pPr>
    </w:p>
    <w:p w14:paraId="71EF1277">
      <w:pPr>
        <w:autoSpaceDE w:val="0"/>
        <w:autoSpaceDN w:val="0"/>
        <w:spacing w:before="78" w:line="360" w:lineRule="auto"/>
        <w:textAlignment w:val="bottom"/>
        <w:rPr>
          <w:sz w:val="24"/>
        </w:rPr>
      </w:pPr>
    </w:p>
    <w:p w14:paraId="4E11BBA5">
      <w:pPr>
        <w:autoSpaceDE w:val="0"/>
        <w:autoSpaceDN w:val="0"/>
        <w:spacing w:before="78" w:line="360" w:lineRule="auto"/>
        <w:textAlignment w:val="bottom"/>
        <w:rPr>
          <w:sz w:val="24"/>
        </w:rPr>
      </w:pPr>
    </w:p>
    <w:p w14:paraId="49A64B8C">
      <w:pPr>
        <w:autoSpaceDE w:val="0"/>
        <w:autoSpaceDN w:val="0"/>
        <w:spacing w:before="78" w:line="360" w:lineRule="auto"/>
        <w:textAlignment w:val="bottom"/>
        <w:rPr>
          <w:sz w:val="24"/>
        </w:rPr>
      </w:pPr>
    </w:p>
    <w:p w14:paraId="440D6199">
      <w:pPr>
        <w:autoSpaceDE w:val="0"/>
        <w:autoSpaceDN w:val="0"/>
        <w:spacing w:before="78" w:line="360" w:lineRule="auto"/>
        <w:textAlignment w:val="bottom"/>
        <w:rPr>
          <w:sz w:val="24"/>
        </w:rPr>
      </w:pPr>
    </w:p>
    <w:p w14:paraId="79A4FECC">
      <w:pPr>
        <w:autoSpaceDE w:val="0"/>
        <w:autoSpaceDN w:val="0"/>
        <w:spacing w:before="78" w:line="360" w:lineRule="auto"/>
        <w:textAlignment w:val="bottom"/>
        <w:rPr>
          <w:sz w:val="24"/>
        </w:rPr>
      </w:pPr>
    </w:p>
    <w:p w14:paraId="4634409A">
      <w:pPr>
        <w:autoSpaceDE w:val="0"/>
        <w:autoSpaceDN w:val="0"/>
        <w:spacing w:before="78" w:line="360" w:lineRule="auto"/>
        <w:textAlignment w:val="bottom"/>
        <w:rPr>
          <w:sz w:val="24"/>
        </w:rPr>
      </w:pPr>
    </w:p>
    <w:p w14:paraId="6B2D6ADD">
      <w:pPr>
        <w:autoSpaceDE w:val="0"/>
        <w:autoSpaceDN w:val="0"/>
        <w:spacing w:before="78" w:line="360" w:lineRule="auto"/>
        <w:textAlignment w:val="bottom"/>
        <w:rPr>
          <w:sz w:val="24"/>
        </w:rPr>
      </w:pPr>
    </w:p>
    <w:p w14:paraId="48012DB6">
      <w:pPr>
        <w:pStyle w:val="3"/>
        <w:rPr>
          <w:color w:val="auto"/>
        </w:rPr>
      </w:pPr>
      <w:bookmarkStart w:id="635" w:name="_Toc239274305"/>
      <w:r>
        <w:rPr>
          <w:color w:val="auto"/>
        </w:rPr>
        <w:t>10.</w:t>
      </w:r>
      <w:r>
        <w:rPr>
          <w:rFonts w:hint="eastAsia"/>
          <w:color w:val="auto"/>
        </w:rPr>
        <w:t>生态</w:t>
      </w:r>
      <w:r>
        <w:rPr>
          <w:color w:val="auto"/>
        </w:rPr>
        <w:t>环境影响评价结论</w:t>
      </w:r>
      <w:bookmarkEnd w:id="633"/>
      <w:bookmarkEnd w:id="634"/>
      <w:bookmarkEnd w:id="635"/>
    </w:p>
    <w:p w14:paraId="70436E77">
      <w:pPr>
        <w:pStyle w:val="4"/>
        <w:rPr>
          <w:rFonts w:ascii="Times New Roman" w:hAnsi="Times New Roman" w:eastAsia="宋体"/>
          <w:color w:val="auto"/>
        </w:rPr>
      </w:pPr>
      <w:bookmarkStart w:id="636" w:name="_Toc49074060"/>
      <w:bookmarkStart w:id="637" w:name="_Toc11572136"/>
      <w:bookmarkStart w:id="638" w:name="_Toc239274306"/>
      <w:bookmarkStart w:id="639" w:name="_Toc48917732"/>
      <w:bookmarkStart w:id="640" w:name="_Toc17475997"/>
      <w:r>
        <w:rPr>
          <w:rFonts w:ascii="Times New Roman" w:hAnsi="Times New Roman" w:eastAsia="宋体"/>
          <w:color w:val="auto"/>
        </w:rPr>
        <w:t>10.1建设项目概况</w:t>
      </w:r>
      <w:bookmarkEnd w:id="636"/>
      <w:bookmarkEnd w:id="637"/>
      <w:bookmarkEnd w:id="638"/>
      <w:bookmarkEnd w:id="639"/>
      <w:bookmarkEnd w:id="640"/>
    </w:p>
    <w:p w14:paraId="65F1B2C8">
      <w:pPr>
        <w:pStyle w:val="190"/>
        <w:topLinePunct/>
        <w:adjustRightInd w:val="0"/>
        <w:snapToGrid w:val="0"/>
        <w:ind w:firstLine="480"/>
      </w:pPr>
      <w:bookmarkStart w:id="641" w:name="_Hlk48811202"/>
      <w:bookmarkStart w:id="642" w:name="_Toc17475998"/>
      <w:bookmarkStart w:id="643" w:name="_Toc11572137"/>
      <w:r>
        <w:t>鸿泽废旧资源利用有限公司</w:t>
      </w:r>
      <w:r>
        <w:rPr>
          <w:rFonts w:hint="eastAsia"/>
        </w:rPr>
        <w:t>矿山</w:t>
      </w:r>
      <w:r>
        <w:t>废弃尾矿综合利用项目位于辽宁省阜新市阜新蒙古族自治县旧庙镇</w:t>
      </w:r>
      <w:r>
        <w:rPr>
          <w:rFonts w:hint="eastAsia"/>
        </w:rPr>
        <w:t>阿哈来村</w:t>
      </w:r>
      <w:r>
        <w:t>，年处理尾矿</w:t>
      </w:r>
      <w:r>
        <w:rPr>
          <w:rFonts w:hint="eastAsia"/>
        </w:rPr>
        <w:t>3</w:t>
      </w:r>
      <w:r>
        <w:t>00万吨/a，1#厂区中心点坐标</w:t>
      </w:r>
      <w:r>
        <w:rPr>
          <w:rFonts w:hint="eastAsia"/>
        </w:rPr>
        <w:t>东经：121.662607948，北纬：42.333870803</w:t>
      </w:r>
      <w:r>
        <w:t>，2#厂区中心点坐标</w:t>
      </w:r>
      <w:r>
        <w:rPr>
          <w:rFonts w:hint="eastAsia"/>
        </w:rPr>
        <w:t>东经：121.665928523，北纬： 42.336087509</w:t>
      </w:r>
      <w:r>
        <w:t>。</w:t>
      </w:r>
    </w:p>
    <w:bookmarkEnd w:id="641"/>
    <w:p w14:paraId="04647DB3">
      <w:pPr>
        <w:pStyle w:val="4"/>
        <w:rPr>
          <w:rFonts w:ascii="Times New Roman" w:hAnsi="Times New Roman" w:eastAsia="宋体"/>
          <w:color w:val="auto"/>
        </w:rPr>
      </w:pPr>
      <w:bookmarkStart w:id="644" w:name="_Toc239274307"/>
      <w:bookmarkStart w:id="645" w:name="_Toc48917733"/>
      <w:bookmarkStart w:id="646" w:name="_Toc49074061"/>
      <w:r>
        <w:rPr>
          <w:rFonts w:ascii="Times New Roman" w:hAnsi="Times New Roman" w:eastAsia="宋体"/>
          <w:color w:val="auto"/>
        </w:rPr>
        <w:t>10.2环境质量现状</w:t>
      </w:r>
      <w:bookmarkEnd w:id="642"/>
      <w:bookmarkEnd w:id="643"/>
      <w:bookmarkEnd w:id="644"/>
      <w:bookmarkEnd w:id="645"/>
      <w:bookmarkEnd w:id="646"/>
    </w:p>
    <w:p w14:paraId="1E36E3BE">
      <w:pPr>
        <w:adjustRightInd w:val="0"/>
        <w:snapToGrid w:val="0"/>
        <w:spacing w:before="78" w:line="360" w:lineRule="auto"/>
        <w:ind w:firstLine="482" w:firstLineChars="200"/>
        <w:rPr>
          <w:b/>
          <w:bCs/>
          <w:sz w:val="24"/>
        </w:rPr>
      </w:pPr>
      <w:r>
        <w:rPr>
          <w:b/>
          <w:bCs/>
          <w:sz w:val="24"/>
        </w:rPr>
        <w:fldChar w:fldCharType="begin"/>
      </w:r>
      <w:r>
        <w:rPr>
          <w:b/>
          <w:bCs/>
          <w:sz w:val="24"/>
        </w:rPr>
        <w:instrText xml:space="preserve"> = 1 \* GB2 \* MERGEFORMAT </w:instrText>
      </w:r>
      <w:r>
        <w:rPr>
          <w:b/>
          <w:bCs/>
          <w:sz w:val="24"/>
        </w:rPr>
        <w:fldChar w:fldCharType="separate"/>
      </w:r>
      <w:r>
        <w:rPr>
          <w:b/>
          <w:bCs/>
          <w:sz w:val="24"/>
        </w:rPr>
        <w:t>⑴</w:t>
      </w:r>
      <w:r>
        <w:rPr>
          <w:b/>
          <w:bCs/>
          <w:sz w:val="24"/>
        </w:rPr>
        <w:fldChar w:fldCharType="end"/>
      </w:r>
      <w:r>
        <w:rPr>
          <w:b/>
          <w:bCs/>
          <w:sz w:val="24"/>
        </w:rPr>
        <w:t>环境空气</w:t>
      </w:r>
    </w:p>
    <w:p w14:paraId="3ACBADD7">
      <w:pPr>
        <w:pStyle w:val="190"/>
        <w:ind w:firstLine="480"/>
        <w:rPr>
          <w:bCs/>
        </w:rPr>
      </w:pPr>
      <w:r>
        <w:rPr>
          <w:bCs/>
        </w:rPr>
        <w:t>根据202</w:t>
      </w:r>
      <w:r>
        <w:rPr>
          <w:rFonts w:hint="eastAsia"/>
          <w:bCs/>
        </w:rPr>
        <w:t>5</w:t>
      </w:r>
      <w:r>
        <w:rPr>
          <w:bCs/>
        </w:rPr>
        <w:t>年阜新市环境空气质量报告，细颗粒物（PM</w:t>
      </w:r>
      <w:r>
        <w:rPr>
          <w:bCs/>
          <w:vertAlign w:val="subscript"/>
        </w:rPr>
        <w:t>2.5</w:t>
      </w:r>
      <w:r>
        <w:rPr>
          <w:bCs/>
        </w:rPr>
        <w:t>）年均值、可吸入颗粒物（PM</w:t>
      </w:r>
      <w:r>
        <w:rPr>
          <w:bCs/>
          <w:vertAlign w:val="subscript"/>
        </w:rPr>
        <w:t>10</w:t>
      </w:r>
      <w:r>
        <w:rPr>
          <w:bCs/>
        </w:rPr>
        <w:t>）年平均浓度、二氧化硫（SO</w:t>
      </w:r>
      <w:r>
        <w:rPr>
          <w:bCs/>
          <w:vertAlign w:val="subscript"/>
        </w:rPr>
        <w:t>2</w:t>
      </w:r>
      <w:r>
        <w:rPr>
          <w:bCs/>
        </w:rPr>
        <w:t>）年均值、二氧化氮（NO</w:t>
      </w:r>
      <w:r>
        <w:rPr>
          <w:bCs/>
          <w:vertAlign w:val="subscript"/>
        </w:rPr>
        <w:t>2</w:t>
      </w:r>
      <w:r>
        <w:rPr>
          <w:bCs/>
        </w:rPr>
        <w:t>）年平均浓度均低于国家《环境空气质量标准》（GB3095-20</w:t>
      </w:r>
      <w:r>
        <w:rPr>
          <w:rFonts w:hint="eastAsia"/>
          <w:bCs/>
        </w:rPr>
        <w:t>26</w:t>
      </w:r>
      <w:r>
        <w:rPr>
          <w:bCs/>
        </w:rPr>
        <w:t>）二级标准。</w:t>
      </w:r>
    </w:p>
    <w:p w14:paraId="32D8E553">
      <w:pPr>
        <w:adjustRightInd w:val="0"/>
        <w:snapToGrid w:val="0"/>
        <w:spacing w:before="78" w:line="360" w:lineRule="auto"/>
        <w:ind w:firstLine="482" w:firstLineChars="200"/>
        <w:rPr>
          <w:b/>
          <w:bCs/>
          <w:sz w:val="24"/>
        </w:rPr>
      </w:pPr>
      <w:r>
        <w:rPr>
          <w:b/>
          <w:bCs/>
          <w:sz w:val="24"/>
        </w:rPr>
        <w:fldChar w:fldCharType="begin"/>
      </w:r>
      <w:r>
        <w:rPr>
          <w:b/>
          <w:bCs/>
          <w:sz w:val="24"/>
        </w:rPr>
        <w:instrText xml:space="preserve"> = 2 \* GB2 \* MERGEFORMAT </w:instrText>
      </w:r>
      <w:r>
        <w:rPr>
          <w:b/>
          <w:bCs/>
          <w:sz w:val="24"/>
        </w:rPr>
        <w:fldChar w:fldCharType="separate"/>
      </w:r>
      <w:r>
        <w:rPr>
          <w:b/>
          <w:bCs/>
          <w:sz w:val="24"/>
        </w:rPr>
        <w:t>⑵</w:t>
      </w:r>
      <w:r>
        <w:rPr>
          <w:b/>
          <w:bCs/>
          <w:sz w:val="24"/>
        </w:rPr>
        <w:fldChar w:fldCharType="end"/>
      </w:r>
      <w:r>
        <w:rPr>
          <w:b/>
          <w:bCs/>
          <w:sz w:val="24"/>
        </w:rPr>
        <w:t>声环境</w:t>
      </w:r>
    </w:p>
    <w:p w14:paraId="45E28149">
      <w:pPr>
        <w:adjustRightInd w:val="0"/>
        <w:snapToGrid w:val="0"/>
        <w:spacing w:before="78" w:line="360" w:lineRule="auto"/>
        <w:ind w:firstLine="480" w:firstLineChars="200"/>
        <w:rPr>
          <w:bCs/>
          <w:sz w:val="24"/>
        </w:rPr>
      </w:pPr>
      <w:r>
        <w:rPr>
          <w:sz w:val="24"/>
        </w:rPr>
        <w:t>本次噪声监测各监测点昼夜间噪声监测结果均符合《声环境质量标准》1类标准要求</w:t>
      </w:r>
      <w:r>
        <w:rPr>
          <w:bCs/>
          <w:sz w:val="24"/>
        </w:rPr>
        <w:t>。</w:t>
      </w:r>
    </w:p>
    <w:p w14:paraId="1D86A916">
      <w:pPr>
        <w:adjustRightInd w:val="0"/>
        <w:snapToGrid w:val="0"/>
        <w:spacing w:before="78" w:line="360" w:lineRule="auto"/>
        <w:ind w:firstLine="482" w:firstLineChars="200"/>
        <w:rPr>
          <w:b/>
          <w:bCs/>
          <w:sz w:val="24"/>
        </w:rPr>
      </w:pPr>
      <w:r>
        <w:rPr>
          <w:b/>
          <w:bCs/>
          <w:sz w:val="24"/>
        </w:rPr>
        <w:fldChar w:fldCharType="begin"/>
      </w:r>
      <w:r>
        <w:rPr>
          <w:b/>
          <w:bCs/>
          <w:sz w:val="24"/>
        </w:rPr>
        <w:instrText xml:space="preserve"> = 3 \* GB2 \* MERGEFORMAT </w:instrText>
      </w:r>
      <w:r>
        <w:rPr>
          <w:b/>
          <w:bCs/>
          <w:sz w:val="24"/>
        </w:rPr>
        <w:fldChar w:fldCharType="separate"/>
      </w:r>
      <w:r>
        <w:rPr>
          <w:b/>
          <w:bCs/>
          <w:sz w:val="24"/>
        </w:rPr>
        <w:t>⑶</w:t>
      </w:r>
      <w:r>
        <w:rPr>
          <w:b/>
          <w:bCs/>
          <w:sz w:val="24"/>
        </w:rPr>
        <w:fldChar w:fldCharType="end"/>
      </w:r>
      <w:r>
        <w:rPr>
          <w:b/>
          <w:bCs/>
          <w:sz w:val="24"/>
        </w:rPr>
        <w:t>土壤环境</w:t>
      </w:r>
    </w:p>
    <w:p w14:paraId="5211631E">
      <w:pPr>
        <w:pStyle w:val="190"/>
        <w:ind w:firstLine="480"/>
      </w:pPr>
      <w:r>
        <w:t>建设用地监测点位监测因子均满足《土壤环境质量 建设用地土壤污染风险管控标准（试行）》（GB36600-2018）中建设用地土壤污染风险筛选值的标准要求。</w:t>
      </w:r>
    </w:p>
    <w:p w14:paraId="00146399">
      <w:pPr>
        <w:adjustRightInd w:val="0"/>
        <w:snapToGrid w:val="0"/>
        <w:spacing w:before="78" w:line="360" w:lineRule="auto"/>
        <w:ind w:firstLine="482" w:firstLineChars="200"/>
        <w:rPr>
          <w:b/>
          <w:bCs/>
          <w:sz w:val="24"/>
        </w:rPr>
      </w:pPr>
      <w:r>
        <w:rPr>
          <w:b/>
          <w:bCs/>
          <w:sz w:val="24"/>
        </w:rPr>
        <w:fldChar w:fldCharType="begin"/>
      </w:r>
      <w:r>
        <w:rPr>
          <w:b/>
          <w:bCs/>
          <w:sz w:val="24"/>
        </w:rPr>
        <w:instrText xml:space="preserve"> = 4 \* GB2 \* MERGEFORMAT </w:instrText>
      </w:r>
      <w:r>
        <w:rPr>
          <w:b/>
          <w:bCs/>
          <w:sz w:val="24"/>
        </w:rPr>
        <w:fldChar w:fldCharType="separate"/>
      </w:r>
      <w:r>
        <w:rPr>
          <w:b/>
          <w:bCs/>
          <w:sz w:val="24"/>
        </w:rPr>
        <w:t>⑷</w:t>
      </w:r>
      <w:r>
        <w:rPr>
          <w:b/>
          <w:bCs/>
          <w:sz w:val="24"/>
        </w:rPr>
        <w:fldChar w:fldCharType="end"/>
      </w:r>
      <w:r>
        <w:rPr>
          <w:b/>
          <w:bCs/>
          <w:sz w:val="24"/>
        </w:rPr>
        <w:t>地下水</w:t>
      </w:r>
    </w:p>
    <w:p w14:paraId="293D9510">
      <w:pPr>
        <w:pStyle w:val="190"/>
        <w:ind w:firstLine="480"/>
      </w:pPr>
      <w:r>
        <w:t>本次</w:t>
      </w:r>
      <w:r>
        <w:rPr>
          <w:rFonts w:hint="eastAsia"/>
        </w:rPr>
        <w:t>监测</w:t>
      </w:r>
      <w:r>
        <w:rPr>
          <w:szCs w:val="21"/>
        </w:rPr>
        <w:t>地下</w:t>
      </w:r>
      <w:r>
        <w:t>水各污染因子均符合《地下水质量标准》(GB/T14848-2017)中Ⅲ类标准。</w:t>
      </w:r>
    </w:p>
    <w:p w14:paraId="3A8C4E4C">
      <w:pPr>
        <w:pStyle w:val="4"/>
        <w:rPr>
          <w:rFonts w:ascii="Times New Roman" w:hAnsi="Times New Roman" w:eastAsia="宋体"/>
          <w:color w:val="auto"/>
        </w:rPr>
      </w:pPr>
      <w:bookmarkStart w:id="647" w:name="_Toc11572139"/>
      <w:bookmarkStart w:id="648" w:name="_Toc17476000"/>
      <w:bookmarkStart w:id="649" w:name="_Toc48917735"/>
      <w:bookmarkStart w:id="650" w:name="_Toc49074063"/>
      <w:bookmarkStart w:id="651" w:name="_Toc239274308"/>
      <w:r>
        <w:rPr>
          <w:rFonts w:ascii="Times New Roman" w:hAnsi="Times New Roman" w:eastAsia="宋体"/>
          <w:color w:val="auto"/>
        </w:rPr>
        <w:t>10.3</w:t>
      </w:r>
      <w:r>
        <w:rPr>
          <w:rFonts w:hint="eastAsia" w:ascii="Times New Roman" w:hAnsi="Times New Roman" w:eastAsia="宋体"/>
          <w:color w:val="auto"/>
        </w:rPr>
        <w:t>生态</w:t>
      </w:r>
      <w:r>
        <w:rPr>
          <w:rFonts w:ascii="Times New Roman" w:hAnsi="Times New Roman" w:eastAsia="宋体"/>
          <w:color w:val="auto"/>
        </w:rPr>
        <w:t>环境影响</w:t>
      </w:r>
      <w:bookmarkEnd w:id="647"/>
      <w:bookmarkEnd w:id="648"/>
      <w:bookmarkEnd w:id="649"/>
      <w:bookmarkEnd w:id="650"/>
      <w:r>
        <w:rPr>
          <w:rFonts w:ascii="Times New Roman" w:hAnsi="Times New Roman" w:eastAsia="宋体"/>
          <w:color w:val="auto"/>
        </w:rPr>
        <w:t>评价</w:t>
      </w:r>
      <w:bookmarkEnd w:id="651"/>
    </w:p>
    <w:p w14:paraId="33A485AA">
      <w:pPr>
        <w:autoSpaceDE w:val="0"/>
        <w:autoSpaceDN w:val="0"/>
        <w:snapToGrid w:val="0"/>
        <w:spacing w:before="0" w:beforeLines="0" w:line="360" w:lineRule="auto"/>
        <w:ind w:firstLine="482" w:firstLineChars="200"/>
        <w:jc w:val="left"/>
        <w:rPr>
          <w:b/>
          <w:bCs/>
          <w:sz w:val="24"/>
          <w:szCs w:val="28"/>
        </w:rPr>
      </w:pPr>
      <w:bookmarkStart w:id="652" w:name="_Toc17476001"/>
      <w:bookmarkStart w:id="653" w:name="_Toc48917736"/>
      <w:bookmarkStart w:id="654" w:name="_Toc49074064"/>
      <w:bookmarkStart w:id="655" w:name="_Toc11572141"/>
      <w:r>
        <w:rPr>
          <w:rFonts w:hint="eastAsia"/>
          <w:b/>
          <w:bCs/>
          <w:sz w:val="24"/>
        </w:rPr>
        <w:t>（1）</w:t>
      </w:r>
      <w:r>
        <w:rPr>
          <w:b/>
          <w:bCs/>
          <w:sz w:val="24"/>
          <w:szCs w:val="28"/>
        </w:rPr>
        <w:t>大气环境影响</w:t>
      </w:r>
    </w:p>
    <w:p w14:paraId="49A88C3F">
      <w:pPr>
        <w:pStyle w:val="190"/>
        <w:snapToGrid w:val="0"/>
        <w:ind w:firstLine="480"/>
      </w:pPr>
      <w:r>
        <w:t>本项目建成后，各排气筒的排放浓度均满足《铁矿采选工业污染物排放标准》（GB28661-2012）中表6浓度限值。</w:t>
      </w:r>
    </w:p>
    <w:p w14:paraId="62191D48">
      <w:pPr>
        <w:pStyle w:val="190"/>
        <w:snapToGrid w:val="0"/>
        <w:ind w:firstLine="480"/>
        <w:rPr>
          <w:szCs w:val="24"/>
        </w:rPr>
      </w:pPr>
      <w:r>
        <w:t>无组织最大落地点浓度均满足《铁矿采选工业污染物排放标准》（GB28661-2012）中表7浓度限值</w:t>
      </w:r>
      <w:r>
        <w:rPr>
          <w:szCs w:val="24"/>
        </w:rPr>
        <w:t>。</w:t>
      </w:r>
    </w:p>
    <w:p w14:paraId="78854F89">
      <w:pPr>
        <w:autoSpaceDE w:val="0"/>
        <w:autoSpaceDN w:val="0"/>
        <w:snapToGrid w:val="0"/>
        <w:spacing w:before="0" w:beforeLines="0" w:line="360" w:lineRule="auto"/>
        <w:ind w:firstLine="482" w:firstLineChars="200"/>
        <w:jc w:val="left"/>
        <w:rPr>
          <w:b/>
          <w:bCs/>
          <w:sz w:val="24"/>
        </w:rPr>
      </w:pPr>
      <w:r>
        <w:rPr>
          <w:rFonts w:hint="eastAsia"/>
          <w:b/>
          <w:bCs/>
          <w:sz w:val="24"/>
        </w:rPr>
        <w:t>（2）</w:t>
      </w:r>
      <w:r>
        <w:rPr>
          <w:b/>
          <w:bCs/>
          <w:sz w:val="24"/>
        </w:rPr>
        <w:t>水环境影响</w:t>
      </w:r>
    </w:p>
    <w:p w14:paraId="2D4928B1">
      <w:pPr>
        <w:snapToGrid w:val="0"/>
        <w:spacing w:before="0" w:beforeLines="0" w:line="360" w:lineRule="auto"/>
        <w:ind w:firstLine="480" w:firstLineChars="200"/>
        <w:jc w:val="left"/>
        <w:rPr>
          <w:sz w:val="24"/>
        </w:rPr>
      </w:pPr>
      <w:r>
        <w:rPr>
          <w:kern w:val="0"/>
          <w:sz w:val="24"/>
          <w:szCs w:val="20"/>
        </w:rPr>
        <w:t>本项目办公区产生的废水主要为生活废水，排入化粪池，定期清淘；选矿废水</w:t>
      </w:r>
      <w:r>
        <w:rPr>
          <w:rFonts w:hint="eastAsia"/>
          <w:kern w:val="0"/>
          <w:sz w:val="24"/>
          <w:szCs w:val="20"/>
        </w:rPr>
        <w:t>排入</w:t>
      </w:r>
      <w:r>
        <w:rPr>
          <w:kern w:val="0"/>
          <w:sz w:val="24"/>
          <w:szCs w:val="20"/>
        </w:rPr>
        <w:t>循环水池贮存，回用于选矿，不外排，对地表水及地下水环境影响较小</w:t>
      </w:r>
      <w:r>
        <w:rPr>
          <w:sz w:val="24"/>
        </w:rPr>
        <w:t>。</w:t>
      </w:r>
    </w:p>
    <w:p w14:paraId="6AAAD3C2">
      <w:pPr>
        <w:autoSpaceDE w:val="0"/>
        <w:autoSpaceDN w:val="0"/>
        <w:snapToGrid w:val="0"/>
        <w:spacing w:before="0" w:beforeLines="0" w:line="360" w:lineRule="auto"/>
        <w:ind w:firstLine="482" w:firstLineChars="200"/>
        <w:jc w:val="left"/>
        <w:rPr>
          <w:b/>
          <w:bCs/>
          <w:sz w:val="24"/>
        </w:rPr>
      </w:pPr>
      <w:r>
        <w:rPr>
          <w:rFonts w:hint="eastAsia"/>
          <w:b/>
          <w:bCs/>
          <w:sz w:val="24"/>
        </w:rPr>
        <w:t>（3）</w:t>
      </w:r>
      <w:r>
        <w:rPr>
          <w:b/>
          <w:bCs/>
          <w:sz w:val="24"/>
        </w:rPr>
        <w:t>固体废物影响</w:t>
      </w:r>
    </w:p>
    <w:p w14:paraId="368AA1ED">
      <w:pPr>
        <w:snapToGrid w:val="0"/>
        <w:spacing w:before="0" w:beforeLines="0" w:line="360" w:lineRule="auto"/>
        <w:ind w:firstLine="480" w:firstLineChars="200"/>
        <w:rPr>
          <w:sz w:val="24"/>
        </w:rPr>
      </w:pPr>
      <w:r>
        <w:rPr>
          <w:kern w:val="0"/>
          <w:sz w:val="24"/>
          <w:szCs w:val="20"/>
        </w:rPr>
        <w:t>本项目运营期泥饼</w:t>
      </w:r>
      <w:r>
        <w:rPr>
          <w:rFonts w:hint="eastAsia"/>
          <w:kern w:val="0"/>
          <w:sz w:val="24"/>
          <w:szCs w:val="20"/>
        </w:rPr>
        <w:t>、除尘灰、落地灰均按照</w:t>
      </w:r>
      <w:bookmarkStart w:id="656" w:name="OLE_LINK27"/>
      <w:r>
        <w:rPr>
          <w:kern w:val="0"/>
          <w:sz w:val="24"/>
          <w:szCs w:val="20"/>
        </w:rPr>
        <w:t>《一般工业固体废物贮存和填埋污染控制标准》（GB18599-2020）</w:t>
      </w:r>
      <w:r>
        <w:rPr>
          <w:rFonts w:hint="eastAsia"/>
          <w:kern w:val="0"/>
          <w:sz w:val="24"/>
          <w:szCs w:val="20"/>
        </w:rPr>
        <w:t>、</w:t>
      </w:r>
      <w:r>
        <w:rPr>
          <w:kern w:val="0"/>
          <w:sz w:val="24"/>
          <w:szCs w:val="20"/>
        </w:rPr>
        <w:t>《辽宁省一般工业固体废物用于矿山露天采坑回填修复环境管理规定（试行）》（辽环发[2025]16号）</w:t>
      </w:r>
      <w:r>
        <w:rPr>
          <w:rFonts w:hint="eastAsia"/>
          <w:kern w:val="0"/>
          <w:sz w:val="24"/>
          <w:szCs w:val="20"/>
        </w:rPr>
        <w:t>要求</w:t>
      </w:r>
      <w:r>
        <w:rPr>
          <w:kern w:val="0"/>
          <w:sz w:val="24"/>
          <w:szCs w:val="20"/>
        </w:rPr>
        <w:t>回填至现有露天采坑</w:t>
      </w:r>
      <w:bookmarkEnd w:id="656"/>
      <w:r>
        <w:rPr>
          <w:kern w:val="0"/>
          <w:sz w:val="24"/>
          <w:szCs w:val="20"/>
        </w:rPr>
        <w:t>。生活垃圾运至环卫部门统一处理；废矿物油暂存于</w:t>
      </w:r>
      <w:r>
        <w:rPr>
          <w:rFonts w:hint="eastAsia"/>
          <w:kern w:val="0"/>
          <w:sz w:val="24"/>
          <w:szCs w:val="20"/>
        </w:rPr>
        <w:t>危废贮存点</w:t>
      </w:r>
      <w:r>
        <w:rPr>
          <w:kern w:val="0"/>
          <w:sz w:val="24"/>
          <w:szCs w:val="20"/>
        </w:rPr>
        <w:t>，定期交由资质单位处置</w:t>
      </w:r>
      <w:r>
        <w:rPr>
          <w:sz w:val="24"/>
        </w:rPr>
        <w:t>。</w:t>
      </w:r>
      <w:r>
        <w:rPr>
          <w:rFonts w:hint="eastAsia"/>
          <w:sz w:val="24"/>
        </w:rPr>
        <w:t>固体废物全部得到有效处置，对环境影响较小。</w:t>
      </w:r>
    </w:p>
    <w:p w14:paraId="7F72E2E0">
      <w:pPr>
        <w:autoSpaceDE w:val="0"/>
        <w:autoSpaceDN w:val="0"/>
        <w:snapToGrid w:val="0"/>
        <w:spacing w:before="0" w:beforeLines="0" w:line="360" w:lineRule="auto"/>
        <w:ind w:firstLine="482" w:firstLineChars="200"/>
        <w:jc w:val="left"/>
        <w:rPr>
          <w:b/>
          <w:bCs/>
          <w:sz w:val="24"/>
        </w:rPr>
      </w:pPr>
      <w:r>
        <w:rPr>
          <w:rFonts w:hint="eastAsia"/>
          <w:b/>
          <w:bCs/>
          <w:sz w:val="24"/>
        </w:rPr>
        <w:t>（4）</w:t>
      </w:r>
      <w:r>
        <w:rPr>
          <w:b/>
          <w:bCs/>
          <w:sz w:val="24"/>
        </w:rPr>
        <w:t>声环境影响</w:t>
      </w:r>
    </w:p>
    <w:p w14:paraId="7576AD26">
      <w:pPr>
        <w:snapToGrid w:val="0"/>
        <w:spacing w:before="0" w:beforeLines="0" w:line="360" w:lineRule="auto"/>
        <w:ind w:firstLine="480" w:firstLineChars="200"/>
        <w:rPr>
          <w:kern w:val="0"/>
          <w:sz w:val="24"/>
          <w:szCs w:val="20"/>
        </w:rPr>
      </w:pPr>
      <w:r>
        <w:rPr>
          <w:kern w:val="0"/>
          <w:sz w:val="24"/>
          <w:szCs w:val="20"/>
        </w:rPr>
        <w:t>本项目运营期厂界昼、夜间噪声值满足《工业企业厂界环境噪声</w:t>
      </w:r>
      <w:r>
        <w:rPr>
          <w:rFonts w:hint="eastAsia"/>
          <w:kern w:val="0"/>
          <w:sz w:val="24"/>
          <w:szCs w:val="20"/>
        </w:rPr>
        <w:t>排放</w:t>
      </w:r>
      <w:r>
        <w:rPr>
          <w:kern w:val="0"/>
          <w:sz w:val="24"/>
          <w:szCs w:val="20"/>
        </w:rPr>
        <w:t>标准》（GB12348-2008）中1类标准的要求。厂内运输车辆减速慢行，其噪声对周围环境影响很小。</w:t>
      </w:r>
    </w:p>
    <w:p w14:paraId="64DD7BB8">
      <w:pPr>
        <w:autoSpaceDE w:val="0"/>
        <w:autoSpaceDN w:val="0"/>
        <w:snapToGrid w:val="0"/>
        <w:spacing w:before="0" w:beforeLines="0" w:line="360" w:lineRule="auto"/>
        <w:ind w:firstLine="482" w:firstLineChars="200"/>
        <w:jc w:val="left"/>
        <w:rPr>
          <w:b/>
          <w:bCs/>
          <w:sz w:val="24"/>
        </w:rPr>
      </w:pPr>
      <w:r>
        <w:rPr>
          <w:rFonts w:hint="eastAsia"/>
          <w:b/>
          <w:bCs/>
          <w:sz w:val="24"/>
        </w:rPr>
        <w:t>（5）</w:t>
      </w:r>
      <w:r>
        <w:rPr>
          <w:b/>
          <w:bCs/>
          <w:sz w:val="24"/>
        </w:rPr>
        <w:t>土壤环境影响</w:t>
      </w:r>
    </w:p>
    <w:p w14:paraId="1FE037DC">
      <w:pPr>
        <w:snapToGrid w:val="0"/>
        <w:spacing w:before="0" w:beforeLines="0" w:line="360" w:lineRule="auto"/>
        <w:ind w:firstLine="480" w:firstLineChars="200"/>
        <w:rPr>
          <w:kern w:val="0"/>
          <w:sz w:val="24"/>
          <w:szCs w:val="20"/>
        </w:rPr>
      </w:pPr>
      <w:r>
        <w:rPr>
          <w:kern w:val="0"/>
          <w:sz w:val="24"/>
          <w:szCs w:val="20"/>
        </w:rPr>
        <w:t>本项目属于污染影响型，对土壤的影响主要是</w:t>
      </w:r>
      <w:r>
        <w:rPr>
          <w:rFonts w:hint="eastAsia"/>
          <w:sz w:val="24"/>
        </w:rPr>
        <w:t>污染物大气沉降及泄漏废水的垂直入渗而进入土壤环境</w:t>
      </w:r>
      <w:r>
        <w:rPr>
          <w:kern w:val="0"/>
          <w:sz w:val="24"/>
          <w:szCs w:val="20"/>
        </w:rPr>
        <w:t>。</w:t>
      </w:r>
      <w:r>
        <w:rPr>
          <w:rFonts w:hint="eastAsia"/>
          <w:kern w:val="0"/>
          <w:sz w:val="24"/>
          <w:szCs w:val="20"/>
        </w:rPr>
        <w:t>依据大气预测及地下水预测，大气沉降及垂直入渗的</w:t>
      </w:r>
      <w:r>
        <w:rPr>
          <w:rFonts w:hint="eastAsia"/>
          <w:sz w:val="24"/>
        </w:rPr>
        <w:t>污染物较少，对评价范围内土壤环境影响较小</w:t>
      </w:r>
      <w:r>
        <w:rPr>
          <w:kern w:val="0"/>
          <w:sz w:val="24"/>
          <w:szCs w:val="20"/>
        </w:rPr>
        <w:t>。</w:t>
      </w:r>
    </w:p>
    <w:p w14:paraId="77CBA99E">
      <w:pPr>
        <w:autoSpaceDE w:val="0"/>
        <w:autoSpaceDN w:val="0"/>
        <w:snapToGrid w:val="0"/>
        <w:spacing w:before="0" w:beforeLines="0" w:line="360" w:lineRule="auto"/>
        <w:ind w:firstLine="482" w:firstLineChars="200"/>
        <w:jc w:val="left"/>
        <w:rPr>
          <w:b/>
          <w:bCs/>
          <w:sz w:val="24"/>
        </w:rPr>
      </w:pPr>
      <w:r>
        <w:rPr>
          <w:rFonts w:hint="eastAsia"/>
          <w:b/>
          <w:bCs/>
          <w:sz w:val="24"/>
        </w:rPr>
        <w:t>（6）地下水</w:t>
      </w:r>
      <w:r>
        <w:rPr>
          <w:b/>
          <w:bCs/>
          <w:sz w:val="24"/>
        </w:rPr>
        <w:t>环境影响</w:t>
      </w:r>
    </w:p>
    <w:p w14:paraId="5B37032A">
      <w:pPr>
        <w:pStyle w:val="225"/>
        <w:snapToGrid w:val="0"/>
        <w:spacing w:before="0" w:beforeLines="0"/>
        <w:ind w:firstLine="480"/>
        <w:rPr>
          <w:rFonts w:hint="eastAsia"/>
          <w:color w:val="auto"/>
          <w:kern w:val="0"/>
        </w:rPr>
      </w:pPr>
      <w:r>
        <w:rPr>
          <w:rFonts w:hint="eastAsia" w:ascii="Times New Roman" w:hAnsi="Times New Roman"/>
          <w:color w:val="auto"/>
        </w:rPr>
        <w:t>通过对本建设项目环境水文地质现状、地下水环境影响的分析，本项目对地下水环境影响主要来自于非正常状况条件下的渗漏。为此，本次评价提出了分区防渗、跟踪监测等应急措施。地下水污染防控措施实施后，可以有效降低地下水污染所带来的环境影响，地下水污染超标范围可控制在厂区内及厂界处。因此，在采取上述防控措施的前提下，建设项目对地下水环境影响较小。</w:t>
      </w:r>
    </w:p>
    <w:p w14:paraId="68814A55">
      <w:pPr>
        <w:pStyle w:val="4"/>
        <w:rPr>
          <w:rFonts w:ascii="Times New Roman" w:hAnsi="Times New Roman" w:eastAsia="宋体"/>
          <w:color w:val="auto"/>
        </w:rPr>
      </w:pPr>
      <w:bookmarkStart w:id="657" w:name="_Toc239274309"/>
      <w:r>
        <w:rPr>
          <w:rFonts w:ascii="Times New Roman" w:hAnsi="Times New Roman" w:eastAsia="宋体"/>
          <w:color w:val="auto"/>
        </w:rPr>
        <w:t>10.4环境保护措施</w:t>
      </w:r>
      <w:bookmarkEnd w:id="652"/>
      <w:bookmarkEnd w:id="653"/>
      <w:bookmarkEnd w:id="654"/>
      <w:bookmarkEnd w:id="655"/>
      <w:bookmarkEnd w:id="657"/>
    </w:p>
    <w:p w14:paraId="430D842F">
      <w:pPr>
        <w:autoSpaceDE w:val="0"/>
        <w:autoSpaceDN w:val="0"/>
        <w:snapToGrid w:val="0"/>
        <w:spacing w:before="0" w:beforeLines="0" w:line="360" w:lineRule="auto"/>
        <w:ind w:firstLine="482" w:firstLineChars="200"/>
        <w:jc w:val="left"/>
        <w:rPr>
          <w:b/>
          <w:bCs/>
          <w:sz w:val="24"/>
        </w:rPr>
      </w:pPr>
      <w:r>
        <w:rPr>
          <w:b/>
          <w:bCs/>
          <w:sz w:val="24"/>
        </w:rPr>
        <w:fldChar w:fldCharType="begin"/>
      </w:r>
      <w:r>
        <w:rPr>
          <w:b/>
          <w:bCs/>
          <w:sz w:val="24"/>
        </w:rPr>
        <w:instrText xml:space="preserve"> = 1 \* GB2 \* MERGEFORMAT </w:instrText>
      </w:r>
      <w:r>
        <w:rPr>
          <w:b/>
          <w:bCs/>
          <w:sz w:val="24"/>
        </w:rPr>
        <w:fldChar w:fldCharType="separate"/>
      </w:r>
      <w:r>
        <w:rPr>
          <w:b/>
          <w:bCs/>
          <w:sz w:val="24"/>
        </w:rPr>
        <w:t>⑴</w:t>
      </w:r>
      <w:r>
        <w:rPr>
          <w:b/>
          <w:bCs/>
          <w:sz w:val="24"/>
        </w:rPr>
        <w:fldChar w:fldCharType="end"/>
      </w:r>
      <w:r>
        <w:rPr>
          <w:b/>
          <w:bCs/>
          <w:sz w:val="24"/>
        </w:rPr>
        <w:t>废气污染防治措施</w:t>
      </w:r>
    </w:p>
    <w:p w14:paraId="7894C8BA">
      <w:pPr>
        <w:pStyle w:val="190"/>
        <w:snapToGrid w:val="0"/>
        <w:ind w:firstLine="480"/>
        <w:jc w:val="left"/>
      </w:pPr>
      <w:r>
        <w:t>本项目运行过程中产生的有组织粉尘采用袋式除尘器处理后可达标排放，各车间无组织粉尘采用</w:t>
      </w:r>
      <w:r>
        <w:rPr>
          <w:szCs w:val="21"/>
        </w:rPr>
        <w:t>洒水抑尘及门窗拦截的方式后可以达标排放。</w:t>
      </w:r>
    </w:p>
    <w:p w14:paraId="7EE5769C">
      <w:pPr>
        <w:autoSpaceDE w:val="0"/>
        <w:autoSpaceDN w:val="0"/>
        <w:snapToGrid w:val="0"/>
        <w:spacing w:before="0" w:beforeLines="0" w:line="360" w:lineRule="auto"/>
        <w:ind w:firstLine="482" w:firstLineChars="200"/>
        <w:jc w:val="left"/>
        <w:rPr>
          <w:b/>
          <w:bCs/>
          <w:sz w:val="24"/>
        </w:rPr>
      </w:pPr>
      <w:r>
        <w:rPr>
          <w:b/>
          <w:bCs/>
          <w:sz w:val="24"/>
        </w:rPr>
        <w:fldChar w:fldCharType="begin"/>
      </w:r>
      <w:r>
        <w:rPr>
          <w:b/>
          <w:bCs/>
          <w:sz w:val="24"/>
        </w:rPr>
        <w:instrText xml:space="preserve"> = 2 \* GB2 \* MERGEFORMAT </w:instrText>
      </w:r>
      <w:r>
        <w:rPr>
          <w:b/>
          <w:bCs/>
          <w:sz w:val="24"/>
        </w:rPr>
        <w:fldChar w:fldCharType="separate"/>
      </w:r>
      <w:r>
        <w:rPr>
          <w:b/>
          <w:bCs/>
          <w:sz w:val="24"/>
        </w:rPr>
        <w:t>⑵</w:t>
      </w:r>
      <w:r>
        <w:rPr>
          <w:b/>
          <w:bCs/>
          <w:sz w:val="24"/>
        </w:rPr>
        <w:fldChar w:fldCharType="end"/>
      </w:r>
      <w:r>
        <w:rPr>
          <w:b/>
          <w:bCs/>
          <w:sz w:val="24"/>
        </w:rPr>
        <w:t>水污染物防治措施</w:t>
      </w:r>
    </w:p>
    <w:p w14:paraId="4404465E">
      <w:pPr>
        <w:pStyle w:val="190"/>
        <w:snapToGrid w:val="0"/>
        <w:ind w:firstLine="480"/>
        <w:rPr>
          <w:bCs/>
        </w:rPr>
      </w:pPr>
      <w:r>
        <w:rPr>
          <w:bCs/>
        </w:rPr>
        <w:t>本项目选矿产生的泥浆</w:t>
      </w:r>
      <w:r>
        <w:rPr>
          <w:rFonts w:hint="eastAsia"/>
          <w:bCs/>
        </w:rPr>
        <w:t>排入</w:t>
      </w:r>
      <w:r>
        <w:rPr>
          <w:bCs/>
        </w:rPr>
        <w:t>浓缩罐及板框压滤机脱水后，废水进入循环水池贮存，回用于选矿；脱水机产生的废水进入本项目循环水池，回用于选矿。</w:t>
      </w:r>
    </w:p>
    <w:p w14:paraId="730C5C30">
      <w:pPr>
        <w:pStyle w:val="190"/>
        <w:snapToGrid w:val="0"/>
        <w:ind w:firstLine="480"/>
        <w:rPr>
          <w:bCs/>
          <w:szCs w:val="24"/>
        </w:rPr>
      </w:pPr>
      <w:r>
        <w:rPr>
          <w:bCs/>
          <w:szCs w:val="24"/>
        </w:rPr>
        <w:t>本项目生活污水排入化粪池，定期清掏。</w:t>
      </w:r>
    </w:p>
    <w:p w14:paraId="3C3987B0">
      <w:pPr>
        <w:autoSpaceDE w:val="0"/>
        <w:autoSpaceDN w:val="0"/>
        <w:snapToGrid w:val="0"/>
        <w:spacing w:before="0" w:beforeLines="0" w:line="360" w:lineRule="auto"/>
        <w:ind w:firstLine="482" w:firstLineChars="200"/>
        <w:jc w:val="left"/>
        <w:rPr>
          <w:b/>
          <w:bCs/>
          <w:sz w:val="24"/>
        </w:rPr>
      </w:pPr>
      <w:r>
        <w:rPr>
          <w:b/>
          <w:bCs/>
          <w:sz w:val="24"/>
        </w:rPr>
        <w:fldChar w:fldCharType="begin"/>
      </w:r>
      <w:r>
        <w:rPr>
          <w:b/>
          <w:bCs/>
          <w:sz w:val="24"/>
        </w:rPr>
        <w:instrText xml:space="preserve"> = 3 \* GB2 \* MERGEFORMAT </w:instrText>
      </w:r>
      <w:r>
        <w:rPr>
          <w:b/>
          <w:bCs/>
          <w:sz w:val="24"/>
        </w:rPr>
        <w:fldChar w:fldCharType="separate"/>
      </w:r>
      <w:r>
        <w:rPr>
          <w:b/>
          <w:bCs/>
          <w:sz w:val="24"/>
        </w:rPr>
        <w:t>⑶</w:t>
      </w:r>
      <w:r>
        <w:rPr>
          <w:b/>
          <w:bCs/>
          <w:sz w:val="24"/>
        </w:rPr>
        <w:fldChar w:fldCharType="end"/>
      </w:r>
      <w:r>
        <w:rPr>
          <w:b/>
          <w:bCs/>
          <w:sz w:val="24"/>
        </w:rPr>
        <w:t>固体废物</w:t>
      </w:r>
    </w:p>
    <w:p w14:paraId="0617344C">
      <w:pPr>
        <w:pStyle w:val="190"/>
        <w:snapToGrid w:val="0"/>
        <w:ind w:firstLine="480"/>
        <w:rPr>
          <w:bCs/>
        </w:rPr>
      </w:pPr>
      <w:r>
        <w:rPr>
          <w:bCs/>
        </w:rPr>
        <w:t>生活垃圾定期交由环卫部门统一处理；泥饼</w:t>
      </w:r>
      <w:r>
        <w:rPr>
          <w:rFonts w:hint="eastAsia"/>
          <w:bCs/>
        </w:rPr>
        <w:t>、除尘灰和落地灰均按照</w:t>
      </w:r>
      <w:r>
        <w:rPr>
          <w:bCs/>
        </w:rPr>
        <w:t>《一般工业固体废物贮存和填埋污染控制标准》（GB18599-2020）、《辽宁省一般工业固体废物用于矿山露天采坑回填修复环境管理规定（试行）》（辽环发[2025]16号）要求回填至现有露天采坑。</w:t>
      </w:r>
      <w:r>
        <w:rPr>
          <w:rFonts w:hint="eastAsia"/>
          <w:bCs/>
        </w:rPr>
        <w:t>废布袋外售利用；</w:t>
      </w:r>
      <w:r>
        <w:rPr>
          <w:bCs/>
        </w:rPr>
        <w:t>废矿物油暂存于</w:t>
      </w:r>
      <w:r>
        <w:rPr>
          <w:rFonts w:hint="eastAsia"/>
          <w:bCs/>
        </w:rPr>
        <w:t>危废贮存点</w:t>
      </w:r>
      <w:r>
        <w:rPr>
          <w:bCs/>
        </w:rPr>
        <w:t>，定期交由有资质的单位处理。</w:t>
      </w:r>
    </w:p>
    <w:p w14:paraId="433DF46B">
      <w:pPr>
        <w:autoSpaceDE w:val="0"/>
        <w:autoSpaceDN w:val="0"/>
        <w:snapToGrid w:val="0"/>
        <w:spacing w:before="0" w:beforeLines="0" w:line="360" w:lineRule="auto"/>
        <w:ind w:firstLine="482" w:firstLineChars="200"/>
        <w:jc w:val="left"/>
        <w:rPr>
          <w:b/>
          <w:bCs/>
          <w:sz w:val="24"/>
        </w:rPr>
      </w:pPr>
      <w:r>
        <w:rPr>
          <w:b/>
          <w:bCs/>
          <w:sz w:val="24"/>
        </w:rPr>
        <w:fldChar w:fldCharType="begin"/>
      </w:r>
      <w:r>
        <w:rPr>
          <w:b/>
          <w:bCs/>
          <w:sz w:val="24"/>
        </w:rPr>
        <w:instrText xml:space="preserve"> = 4 \* GB2 \* MERGEFORMAT </w:instrText>
      </w:r>
      <w:r>
        <w:rPr>
          <w:b/>
          <w:bCs/>
          <w:sz w:val="24"/>
        </w:rPr>
        <w:fldChar w:fldCharType="separate"/>
      </w:r>
      <w:r>
        <w:rPr>
          <w:b/>
          <w:bCs/>
          <w:sz w:val="24"/>
        </w:rPr>
        <w:t>⑷</w:t>
      </w:r>
      <w:r>
        <w:rPr>
          <w:b/>
          <w:bCs/>
          <w:sz w:val="24"/>
        </w:rPr>
        <w:fldChar w:fldCharType="end"/>
      </w:r>
      <w:r>
        <w:rPr>
          <w:b/>
          <w:bCs/>
          <w:sz w:val="24"/>
        </w:rPr>
        <w:t>噪声</w:t>
      </w:r>
    </w:p>
    <w:p w14:paraId="3AD6782D">
      <w:pPr>
        <w:pStyle w:val="190"/>
        <w:snapToGrid w:val="0"/>
        <w:ind w:firstLine="480"/>
        <w:rPr>
          <w:bCs/>
        </w:rPr>
      </w:pPr>
      <w:r>
        <w:rPr>
          <w:bCs/>
        </w:rPr>
        <w:t>对高噪声设备，采取建筑隔声、基础减振等降噪措施。</w:t>
      </w:r>
    </w:p>
    <w:p w14:paraId="50CD1EE1">
      <w:pPr>
        <w:pStyle w:val="4"/>
        <w:rPr>
          <w:rFonts w:ascii="Times New Roman" w:hAnsi="Times New Roman" w:eastAsia="宋体"/>
          <w:color w:val="auto"/>
        </w:rPr>
      </w:pPr>
      <w:bookmarkStart w:id="658" w:name="_Toc49074065"/>
      <w:bookmarkStart w:id="659" w:name="_Toc17476002"/>
      <w:bookmarkStart w:id="660" w:name="_Toc11572142"/>
      <w:bookmarkStart w:id="661" w:name="_Toc239274310"/>
      <w:bookmarkStart w:id="662" w:name="_Toc48917737"/>
      <w:r>
        <w:rPr>
          <w:rFonts w:ascii="Times New Roman" w:hAnsi="Times New Roman" w:eastAsia="宋体"/>
          <w:color w:val="auto"/>
        </w:rPr>
        <w:t>10.</w:t>
      </w:r>
      <w:r>
        <w:rPr>
          <w:rFonts w:hint="eastAsia" w:ascii="Times New Roman" w:hAnsi="Times New Roman" w:eastAsia="宋体"/>
          <w:color w:val="auto"/>
        </w:rPr>
        <w:t>5</w:t>
      </w:r>
      <w:r>
        <w:rPr>
          <w:rFonts w:ascii="Times New Roman" w:hAnsi="Times New Roman" w:eastAsia="宋体"/>
          <w:color w:val="auto"/>
        </w:rPr>
        <w:t>环境影响经济损益分析</w:t>
      </w:r>
      <w:bookmarkEnd w:id="658"/>
      <w:bookmarkEnd w:id="659"/>
      <w:bookmarkEnd w:id="660"/>
      <w:bookmarkEnd w:id="661"/>
      <w:bookmarkEnd w:id="662"/>
    </w:p>
    <w:p w14:paraId="682670FB">
      <w:pPr>
        <w:spacing w:before="78" w:line="360" w:lineRule="auto"/>
        <w:ind w:firstLine="480" w:firstLineChars="200"/>
        <w:rPr>
          <w:sz w:val="24"/>
          <w:szCs w:val="21"/>
        </w:rPr>
      </w:pPr>
      <w:r>
        <w:rPr>
          <w:sz w:val="24"/>
          <w:szCs w:val="21"/>
        </w:rPr>
        <w:t>本项目建成投产后，由于环保治理设备的运行，对当地的环境质量起到积极的作用。从其它环境经济指标如环境经济损失、环境投资效益等方面来看，本工程环境经济损失较低。本工程建设能够实现社会、经济和环境三效益的和谐统一，从环境经济角度来看合理可行。</w:t>
      </w:r>
    </w:p>
    <w:p w14:paraId="25C945D2">
      <w:pPr>
        <w:pStyle w:val="4"/>
        <w:rPr>
          <w:rFonts w:ascii="Times New Roman" w:hAnsi="Times New Roman" w:eastAsia="宋体"/>
          <w:color w:val="auto"/>
        </w:rPr>
      </w:pPr>
      <w:bookmarkStart w:id="663" w:name="_Toc49074066"/>
      <w:bookmarkStart w:id="664" w:name="_Toc11572143"/>
      <w:bookmarkStart w:id="665" w:name="_Toc48917738"/>
      <w:bookmarkStart w:id="666" w:name="_Toc17476003"/>
      <w:bookmarkStart w:id="667" w:name="_Toc239274311"/>
      <w:r>
        <w:rPr>
          <w:rFonts w:ascii="Times New Roman" w:hAnsi="Times New Roman" w:eastAsia="宋体"/>
          <w:color w:val="auto"/>
        </w:rPr>
        <w:t>10.</w:t>
      </w:r>
      <w:r>
        <w:rPr>
          <w:rFonts w:hint="eastAsia" w:ascii="Times New Roman" w:hAnsi="Times New Roman" w:eastAsia="宋体"/>
          <w:color w:val="auto"/>
        </w:rPr>
        <w:t>6</w:t>
      </w:r>
      <w:r>
        <w:rPr>
          <w:rFonts w:ascii="Times New Roman" w:hAnsi="Times New Roman" w:eastAsia="宋体"/>
          <w:color w:val="auto"/>
        </w:rPr>
        <w:t>环境管理与监控计划</w:t>
      </w:r>
      <w:bookmarkEnd w:id="663"/>
      <w:bookmarkEnd w:id="664"/>
      <w:bookmarkEnd w:id="665"/>
      <w:bookmarkEnd w:id="666"/>
      <w:bookmarkEnd w:id="667"/>
    </w:p>
    <w:p w14:paraId="35884DB3">
      <w:pPr>
        <w:pStyle w:val="190"/>
        <w:ind w:firstLine="480"/>
        <w:rPr>
          <w:kern w:val="2"/>
          <w:szCs w:val="21"/>
        </w:rPr>
      </w:pPr>
      <w:r>
        <w:rPr>
          <w:kern w:val="2"/>
          <w:szCs w:val="21"/>
        </w:rPr>
        <w:t>环评明确规定了公司环境管理机构的设置及环境管理制度的制定和实施，规范了排污口的设置，制定了详细的环境监测计划，明确了监测项目、监测点位和监测频率，要求定期开展自行环境监测工作。并要求企业按照《企业事业单位环境信息公开办法》的要求，对本企业环境信息进行公开。建设单位应严格按照环评的规定，配备专职的技术人员和监测人员，制定文件化、程序化、系统化的环境管理制度和执行体系，担负企业日常环境管理和监测工作。</w:t>
      </w:r>
    </w:p>
    <w:p w14:paraId="78826296">
      <w:pPr>
        <w:pStyle w:val="4"/>
        <w:rPr>
          <w:rFonts w:ascii="Times New Roman" w:hAnsi="Times New Roman" w:eastAsia="宋体"/>
          <w:color w:val="auto"/>
        </w:rPr>
      </w:pPr>
      <w:bookmarkStart w:id="668" w:name="_Toc239274312"/>
      <w:r>
        <w:rPr>
          <w:rFonts w:hint="eastAsia" w:ascii="Times New Roman" w:hAnsi="Times New Roman" w:eastAsia="宋体"/>
          <w:color w:val="auto"/>
        </w:rPr>
        <w:t>10.7公众参与</w:t>
      </w:r>
      <w:bookmarkEnd w:id="668"/>
    </w:p>
    <w:p w14:paraId="66E97DF4">
      <w:pPr>
        <w:pStyle w:val="190"/>
        <w:ind w:firstLine="480"/>
        <w:rPr>
          <w:kern w:val="2"/>
          <w:szCs w:val="21"/>
        </w:rPr>
      </w:pPr>
      <w:r>
        <w:rPr>
          <w:kern w:val="2"/>
          <w:szCs w:val="21"/>
        </w:rPr>
        <w:t>根据《环境影响评价公众参与办法》（生态环境部部令4号）等法规中的有关规定，本项目于2026年</w:t>
      </w:r>
      <w:r>
        <w:rPr>
          <w:rFonts w:hint="eastAsia"/>
          <w:kern w:val="2"/>
          <w:szCs w:val="21"/>
        </w:rPr>
        <w:t>05</w:t>
      </w:r>
      <w:r>
        <w:rPr>
          <w:kern w:val="2"/>
          <w:szCs w:val="21"/>
        </w:rPr>
        <w:t>月</w:t>
      </w:r>
      <w:r>
        <w:rPr>
          <w:rFonts w:hint="eastAsia"/>
          <w:kern w:val="2"/>
          <w:szCs w:val="21"/>
        </w:rPr>
        <w:t>09</w:t>
      </w:r>
      <w:r>
        <w:rPr>
          <w:kern w:val="2"/>
          <w:szCs w:val="21"/>
        </w:rPr>
        <w:t>日</w:t>
      </w:r>
      <w:r>
        <w:rPr>
          <w:rFonts w:hint="eastAsia"/>
          <w:kern w:val="2"/>
          <w:szCs w:val="21"/>
        </w:rPr>
        <w:t>、2024年06月28日</w:t>
      </w:r>
      <w:r>
        <w:rPr>
          <w:kern w:val="2"/>
          <w:szCs w:val="21"/>
        </w:rPr>
        <w:t>进行</w:t>
      </w:r>
      <w:r>
        <w:rPr>
          <w:rFonts w:hint="eastAsia"/>
          <w:kern w:val="2"/>
          <w:szCs w:val="21"/>
        </w:rPr>
        <w:t>网络</w:t>
      </w:r>
      <w:r>
        <w:rPr>
          <w:kern w:val="2"/>
          <w:szCs w:val="21"/>
        </w:rPr>
        <w:t>公示，网络公示媒体为</w:t>
      </w:r>
      <w:r>
        <w:rPr>
          <w:rFonts w:hint="eastAsia"/>
          <w:kern w:val="2"/>
          <w:szCs w:val="21"/>
        </w:rPr>
        <w:t>阜新蒙古族自治县</w:t>
      </w:r>
      <w:r>
        <w:rPr>
          <w:kern w:val="2"/>
          <w:szCs w:val="21"/>
        </w:rPr>
        <w:t>网站</w:t>
      </w:r>
      <w:r>
        <w:rPr>
          <w:rFonts w:hint="eastAsia"/>
          <w:kern w:val="2"/>
          <w:szCs w:val="21"/>
        </w:rPr>
        <w:t>；</w:t>
      </w:r>
      <w:r>
        <w:rPr>
          <w:kern w:val="2"/>
          <w:szCs w:val="21"/>
        </w:rPr>
        <w:t>报纸公示的日期为202</w:t>
      </w:r>
      <w:r>
        <w:rPr>
          <w:rFonts w:hint="eastAsia"/>
          <w:kern w:val="2"/>
          <w:szCs w:val="21"/>
        </w:rPr>
        <w:t>4</w:t>
      </w:r>
      <w:r>
        <w:rPr>
          <w:kern w:val="2"/>
          <w:szCs w:val="21"/>
        </w:rPr>
        <w:t>年</w:t>
      </w:r>
      <w:r>
        <w:rPr>
          <w:rFonts w:hint="eastAsia"/>
          <w:kern w:val="2"/>
          <w:szCs w:val="21"/>
        </w:rPr>
        <w:t>07</w:t>
      </w:r>
      <w:r>
        <w:rPr>
          <w:kern w:val="2"/>
          <w:szCs w:val="21"/>
        </w:rPr>
        <w:t>月</w:t>
      </w:r>
      <w:r>
        <w:rPr>
          <w:rFonts w:hint="eastAsia"/>
          <w:kern w:val="2"/>
          <w:szCs w:val="21"/>
        </w:rPr>
        <w:t>02</w:t>
      </w:r>
      <w:r>
        <w:rPr>
          <w:kern w:val="2"/>
          <w:szCs w:val="21"/>
        </w:rPr>
        <w:t>日和202</w:t>
      </w:r>
      <w:r>
        <w:rPr>
          <w:rFonts w:hint="eastAsia"/>
          <w:kern w:val="2"/>
          <w:szCs w:val="21"/>
        </w:rPr>
        <w:t>4</w:t>
      </w:r>
      <w:r>
        <w:rPr>
          <w:kern w:val="2"/>
          <w:szCs w:val="21"/>
        </w:rPr>
        <w:t>年</w:t>
      </w:r>
      <w:r>
        <w:rPr>
          <w:rFonts w:hint="eastAsia"/>
          <w:kern w:val="2"/>
          <w:szCs w:val="21"/>
        </w:rPr>
        <w:t>07</w:t>
      </w:r>
      <w:r>
        <w:rPr>
          <w:kern w:val="2"/>
          <w:szCs w:val="21"/>
        </w:rPr>
        <w:t>月</w:t>
      </w:r>
      <w:r>
        <w:rPr>
          <w:rFonts w:hint="eastAsia"/>
          <w:kern w:val="2"/>
          <w:szCs w:val="21"/>
        </w:rPr>
        <w:t>05</w:t>
      </w:r>
      <w:r>
        <w:rPr>
          <w:kern w:val="2"/>
          <w:szCs w:val="21"/>
        </w:rPr>
        <w:t>日</w:t>
      </w:r>
      <w:r>
        <w:rPr>
          <w:rFonts w:hint="eastAsia"/>
          <w:kern w:val="2"/>
          <w:szCs w:val="21"/>
        </w:rPr>
        <w:t>，公示报纸为蒙古贞日报</w:t>
      </w:r>
      <w:r>
        <w:rPr>
          <w:kern w:val="2"/>
          <w:szCs w:val="21"/>
        </w:rPr>
        <w:t>。</w:t>
      </w:r>
      <w:r>
        <w:rPr>
          <w:rFonts w:hint="eastAsia"/>
          <w:kern w:val="2"/>
          <w:szCs w:val="21"/>
        </w:rPr>
        <w:t>征求意见稿公示期间同时在阿哈来、孟家窝棚等村落进行公示张贴。公示</w:t>
      </w:r>
      <w:r>
        <w:rPr>
          <w:kern w:val="2"/>
          <w:szCs w:val="21"/>
        </w:rPr>
        <w:t>期间，未收到公众来电、来信或来访，没有公众表示反对意见，没有公众提出建议</w:t>
      </w:r>
    </w:p>
    <w:p w14:paraId="49199FA6">
      <w:pPr>
        <w:pStyle w:val="4"/>
        <w:rPr>
          <w:rFonts w:ascii="Times New Roman" w:hAnsi="Times New Roman" w:eastAsia="宋体"/>
          <w:color w:val="auto"/>
        </w:rPr>
      </w:pPr>
      <w:bookmarkStart w:id="669" w:name="_Toc48917740"/>
      <w:bookmarkStart w:id="670" w:name="_Toc239274313"/>
      <w:bookmarkStart w:id="671" w:name="_Toc11572144"/>
      <w:bookmarkStart w:id="672" w:name="_Toc49074068"/>
      <w:bookmarkStart w:id="673" w:name="_Toc17476004"/>
      <w:r>
        <w:rPr>
          <w:rFonts w:ascii="Times New Roman" w:hAnsi="Times New Roman" w:eastAsia="宋体"/>
          <w:color w:val="auto"/>
        </w:rPr>
        <w:t>10.</w:t>
      </w:r>
      <w:r>
        <w:rPr>
          <w:rFonts w:hint="eastAsia" w:ascii="Times New Roman" w:hAnsi="Times New Roman" w:eastAsia="宋体"/>
          <w:color w:val="auto"/>
        </w:rPr>
        <w:t>8生态</w:t>
      </w:r>
      <w:r>
        <w:rPr>
          <w:rFonts w:ascii="Times New Roman" w:hAnsi="Times New Roman" w:eastAsia="宋体"/>
          <w:color w:val="auto"/>
        </w:rPr>
        <w:t>环境影响可行性结论</w:t>
      </w:r>
      <w:bookmarkEnd w:id="669"/>
      <w:bookmarkEnd w:id="670"/>
      <w:bookmarkEnd w:id="671"/>
      <w:bookmarkEnd w:id="672"/>
      <w:bookmarkEnd w:id="673"/>
    </w:p>
    <w:p w14:paraId="0A193CFD">
      <w:pPr>
        <w:spacing w:before="78"/>
        <w:ind w:firstLine="480" w:firstLineChars="200"/>
        <w:rPr>
          <w:kern w:val="0"/>
          <w:sz w:val="24"/>
        </w:rPr>
      </w:pPr>
      <w:bookmarkStart w:id="674" w:name="_Hlk175144923"/>
      <w:r>
        <w:rPr>
          <w:sz w:val="24"/>
        </w:rPr>
        <w:t>鸿泽废旧资源利用有限公司</w:t>
      </w:r>
      <w:r>
        <w:rPr>
          <w:rFonts w:hint="eastAsia"/>
          <w:sz w:val="24"/>
        </w:rPr>
        <w:t>矿山</w:t>
      </w:r>
      <w:r>
        <w:rPr>
          <w:sz w:val="24"/>
        </w:rPr>
        <w:t>废弃尾矿综合利用项目</w:t>
      </w:r>
      <w:bookmarkEnd w:id="674"/>
      <w:r>
        <w:rPr>
          <w:rFonts w:hint="eastAsia"/>
          <w:kern w:val="0"/>
          <w:sz w:val="24"/>
        </w:rPr>
        <w:t>建设符合《产业结构调整指导目录（2024年本）》产业政策要求；符合环境分区管控要求。</w:t>
      </w:r>
      <w:r>
        <w:rPr>
          <w:sz w:val="24"/>
        </w:rPr>
        <w:t>拟采取的环保措施成熟可靠，可实现大气污染物排放稳定达到相关标准限值要求</w:t>
      </w:r>
      <w:r>
        <w:rPr>
          <w:rFonts w:hint="eastAsia"/>
          <w:sz w:val="24"/>
        </w:rPr>
        <w:t>；</w:t>
      </w:r>
      <w:r>
        <w:rPr>
          <w:rFonts w:hint="eastAsia"/>
          <w:kern w:val="0"/>
          <w:sz w:val="24"/>
        </w:rPr>
        <w:t>生产废水及生活污水不外排；固体废物全部得到有效处置；环境风险可控；项目的环境影响程度和范围是有限的，而且可以控制在国家和地方的有关环保标准限值之内。由此可见，</w:t>
      </w:r>
      <w:r>
        <w:rPr>
          <w:kern w:val="0"/>
          <w:sz w:val="24"/>
        </w:rPr>
        <w:t>在本项目用地性质获批变更为工业用地、并合规取得相关用地手续，认真落实本生态环评报告书中所列的废气、废水、固体废物和噪声等各项污染防治及环境风险防控措施的前提下，项目的建设从环保方面来看是可行的。</w:t>
      </w:r>
    </w:p>
    <w:p w14:paraId="1BA4ADD5">
      <w:pPr>
        <w:spacing w:before="78"/>
        <w:ind w:firstLine="480" w:firstLineChars="200"/>
        <w:rPr>
          <w:kern w:val="0"/>
          <w:sz w:val="24"/>
        </w:rPr>
      </w:pPr>
    </w:p>
    <w:p w14:paraId="79092E1E">
      <w:pPr>
        <w:spacing w:before="78"/>
        <w:ind w:firstLine="480" w:firstLineChars="200"/>
        <w:rPr>
          <w:kern w:val="0"/>
          <w:sz w:val="24"/>
        </w:rPr>
      </w:pPr>
    </w:p>
    <w:p w14:paraId="07B709B2">
      <w:pPr>
        <w:spacing w:before="78"/>
        <w:ind w:firstLine="480" w:firstLineChars="200"/>
        <w:rPr>
          <w:kern w:val="0"/>
          <w:sz w:val="24"/>
        </w:rPr>
      </w:pPr>
    </w:p>
    <w:p w14:paraId="78FFA880">
      <w:pPr>
        <w:pStyle w:val="190"/>
        <w:ind w:firstLine="480"/>
      </w:pPr>
    </w:p>
    <w:p w14:paraId="7D6097FE">
      <w:pPr>
        <w:spacing w:before="78"/>
        <w:ind w:firstLine="480" w:firstLineChars="200"/>
        <w:rPr>
          <w:kern w:val="0"/>
          <w:sz w:val="24"/>
          <w:szCs w:val="20"/>
        </w:rPr>
      </w:pPr>
    </w:p>
    <w:p w14:paraId="75094760">
      <w:pPr>
        <w:pStyle w:val="190"/>
        <w:ind w:firstLine="480"/>
        <w:sectPr>
          <w:footerReference r:id="rId22" w:type="even"/>
          <w:pgSz w:w="11906" w:h="16838"/>
          <w:pgMar w:top="1440" w:right="1797" w:bottom="1440" w:left="1797" w:header="850" w:footer="964" w:gutter="0"/>
          <w:cols w:space="720" w:num="1"/>
          <w:docGrid w:type="lines" w:linePitch="312" w:charSpace="0"/>
        </w:sectPr>
      </w:pPr>
    </w:p>
    <w:p w14:paraId="003A5942">
      <w:pPr>
        <w:pStyle w:val="3"/>
        <w:snapToGrid w:val="0"/>
        <w:spacing w:before="0" w:after="0" w:line="360" w:lineRule="auto"/>
        <w:rPr>
          <w:color w:val="auto"/>
          <w:sz w:val="32"/>
          <w:szCs w:val="32"/>
        </w:rPr>
      </w:pPr>
      <w:bookmarkStart w:id="675" w:name="_Toc48917741"/>
      <w:bookmarkStart w:id="676" w:name="_Toc49074069"/>
      <w:bookmarkStart w:id="677" w:name="_Toc239274314"/>
      <w:bookmarkStart w:id="678" w:name="_Toc48311763"/>
      <w:r>
        <w:rPr>
          <w:color w:val="auto"/>
          <w:sz w:val="32"/>
          <w:szCs w:val="32"/>
        </w:rPr>
        <w:t>附表</w:t>
      </w:r>
      <w:bookmarkEnd w:id="675"/>
      <w:bookmarkEnd w:id="676"/>
      <w:bookmarkEnd w:id="677"/>
    </w:p>
    <w:p w14:paraId="597EE841">
      <w:pPr>
        <w:pStyle w:val="143"/>
        <w:spacing w:before="0" w:beforeLines="0"/>
      </w:pPr>
      <w:r>
        <w:t>表1  建设项目大气环境影响评价自查表</w:t>
      </w:r>
    </w:p>
    <w:tbl>
      <w:tblPr>
        <w:tblStyle w:val="89"/>
        <w:tblW w:w="5066" w:type="pct"/>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911"/>
        <w:gridCol w:w="1790"/>
        <w:gridCol w:w="851"/>
        <w:gridCol w:w="530"/>
        <w:gridCol w:w="116"/>
        <w:gridCol w:w="631"/>
        <w:gridCol w:w="355"/>
        <w:gridCol w:w="82"/>
        <w:gridCol w:w="17"/>
        <w:gridCol w:w="528"/>
        <w:gridCol w:w="335"/>
        <w:gridCol w:w="170"/>
        <w:gridCol w:w="343"/>
        <w:gridCol w:w="254"/>
        <w:gridCol w:w="384"/>
        <w:gridCol w:w="444"/>
        <w:gridCol w:w="671"/>
      </w:tblGrid>
      <w:tr w14:paraId="5B74D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9" w:hRule="atLeast"/>
        </w:trPr>
        <w:tc>
          <w:tcPr>
            <w:tcW w:w="1605" w:type="pct"/>
            <w:gridSpan w:val="2"/>
            <w:vAlign w:val="center"/>
          </w:tcPr>
          <w:p w14:paraId="74A0F70E">
            <w:pPr>
              <w:widowControl/>
              <w:snapToGrid w:val="0"/>
              <w:spacing w:before="0" w:beforeLines="0" w:line="240" w:lineRule="auto"/>
              <w:jc w:val="center"/>
              <w:rPr>
                <w:szCs w:val="21"/>
              </w:rPr>
            </w:pPr>
            <w:r>
              <w:rPr>
                <w:szCs w:val="21"/>
              </w:rPr>
              <w:t>工作内容</w:t>
            </w:r>
          </w:p>
        </w:tc>
        <w:tc>
          <w:tcPr>
            <w:tcW w:w="3395" w:type="pct"/>
            <w:gridSpan w:val="15"/>
            <w:vAlign w:val="center"/>
          </w:tcPr>
          <w:p w14:paraId="5E32BC76">
            <w:pPr>
              <w:widowControl/>
              <w:snapToGrid w:val="0"/>
              <w:spacing w:before="0" w:beforeLines="0" w:line="240" w:lineRule="auto"/>
              <w:jc w:val="center"/>
              <w:rPr>
                <w:szCs w:val="21"/>
              </w:rPr>
            </w:pPr>
            <w:r>
              <w:rPr>
                <w:szCs w:val="21"/>
              </w:rPr>
              <w:t>自查项目</w:t>
            </w:r>
          </w:p>
        </w:tc>
      </w:tr>
      <w:tr w14:paraId="003A6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9" w:hRule="atLeast"/>
        </w:trPr>
        <w:tc>
          <w:tcPr>
            <w:tcW w:w="541" w:type="pct"/>
            <w:vMerge w:val="restart"/>
            <w:vAlign w:val="center"/>
          </w:tcPr>
          <w:p w14:paraId="2C39339E">
            <w:pPr>
              <w:widowControl/>
              <w:snapToGrid w:val="0"/>
              <w:spacing w:before="0" w:beforeLines="0" w:line="240" w:lineRule="auto"/>
              <w:jc w:val="center"/>
              <w:rPr>
                <w:szCs w:val="21"/>
              </w:rPr>
            </w:pPr>
            <w:r>
              <w:rPr>
                <w:szCs w:val="21"/>
              </w:rPr>
              <w:t>评价等级与范围</w:t>
            </w:r>
          </w:p>
        </w:tc>
        <w:tc>
          <w:tcPr>
            <w:tcW w:w="1064" w:type="pct"/>
            <w:vAlign w:val="center"/>
          </w:tcPr>
          <w:p w14:paraId="297DFA75">
            <w:pPr>
              <w:widowControl/>
              <w:snapToGrid w:val="0"/>
              <w:spacing w:before="0" w:beforeLines="0" w:line="240" w:lineRule="auto"/>
              <w:jc w:val="center"/>
              <w:rPr>
                <w:szCs w:val="21"/>
              </w:rPr>
            </w:pPr>
            <w:r>
              <w:rPr>
                <w:szCs w:val="21"/>
              </w:rPr>
              <w:t>评价等级</w:t>
            </w:r>
          </w:p>
        </w:tc>
        <w:tc>
          <w:tcPr>
            <w:tcW w:w="1265" w:type="pct"/>
            <w:gridSpan w:val="4"/>
            <w:vAlign w:val="center"/>
          </w:tcPr>
          <w:p w14:paraId="60FE2DF9">
            <w:pPr>
              <w:widowControl/>
              <w:snapToGrid w:val="0"/>
              <w:spacing w:before="0" w:beforeLines="0" w:line="240" w:lineRule="auto"/>
              <w:jc w:val="center"/>
              <w:rPr>
                <w:szCs w:val="21"/>
              </w:rPr>
            </w:pPr>
            <w:r>
              <w:rPr>
                <w:szCs w:val="21"/>
              </w:rPr>
              <w:t>一级☑</w:t>
            </w:r>
          </w:p>
        </w:tc>
        <w:tc>
          <w:tcPr>
            <w:tcW w:w="1239" w:type="pct"/>
            <w:gridSpan w:val="8"/>
            <w:vAlign w:val="center"/>
          </w:tcPr>
          <w:p w14:paraId="123690A3">
            <w:pPr>
              <w:widowControl/>
              <w:snapToGrid w:val="0"/>
              <w:spacing w:before="0" w:beforeLines="0" w:line="240" w:lineRule="auto"/>
              <w:jc w:val="center"/>
              <w:rPr>
                <w:szCs w:val="21"/>
              </w:rPr>
            </w:pPr>
            <w:r>
              <w:rPr>
                <w:szCs w:val="21"/>
              </w:rPr>
              <w:t>二级□</w:t>
            </w:r>
          </w:p>
        </w:tc>
        <w:tc>
          <w:tcPr>
            <w:tcW w:w="891" w:type="pct"/>
            <w:gridSpan w:val="3"/>
            <w:vAlign w:val="center"/>
          </w:tcPr>
          <w:p w14:paraId="52577543">
            <w:pPr>
              <w:widowControl/>
              <w:snapToGrid w:val="0"/>
              <w:spacing w:before="0" w:beforeLines="0" w:line="240" w:lineRule="auto"/>
              <w:jc w:val="center"/>
              <w:rPr>
                <w:szCs w:val="21"/>
              </w:rPr>
            </w:pPr>
            <w:r>
              <w:rPr>
                <w:szCs w:val="21"/>
              </w:rPr>
              <w:t>三级□</w:t>
            </w:r>
          </w:p>
        </w:tc>
      </w:tr>
      <w:tr w14:paraId="245B6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9" w:hRule="atLeast"/>
        </w:trPr>
        <w:tc>
          <w:tcPr>
            <w:tcW w:w="541" w:type="pct"/>
            <w:vMerge w:val="continue"/>
            <w:vAlign w:val="center"/>
          </w:tcPr>
          <w:p w14:paraId="5A84F02D">
            <w:pPr>
              <w:widowControl/>
              <w:snapToGrid w:val="0"/>
              <w:spacing w:before="0" w:beforeLines="0" w:line="240" w:lineRule="auto"/>
              <w:jc w:val="center"/>
              <w:rPr>
                <w:szCs w:val="21"/>
              </w:rPr>
            </w:pPr>
          </w:p>
        </w:tc>
        <w:tc>
          <w:tcPr>
            <w:tcW w:w="1064" w:type="pct"/>
            <w:vAlign w:val="center"/>
          </w:tcPr>
          <w:p w14:paraId="38FED36E">
            <w:pPr>
              <w:widowControl/>
              <w:snapToGrid w:val="0"/>
              <w:spacing w:before="0" w:beforeLines="0" w:line="240" w:lineRule="auto"/>
              <w:jc w:val="center"/>
              <w:rPr>
                <w:szCs w:val="21"/>
              </w:rPr>
            </w:pPr>
            <w:r>
              <w:rPr>
                <w:szCs w:val="21"/>
              </w:rPr>
              <w:t>评价范围</w:t>
            </w:r>
          </w:p>
        </w:tc>
        <w:tc>
          <w:tcPr>
            <w:tcW w:w="1265" w:type="pct"/>
            <w:gridSpan w:val="4"/>
            <w:vAlign w:val="center"/>
          </w:tcPr>
          <w:p w14:paraId="2301E619">
            <w:pPr>
              <w:widowControl/>
              <w:snapToGrid w:val="0"/>
              <w:spacing w:before="0" w:beforeLines="0" w:line="240" w:lineRule="auto"/>
              <w:jc w:val="center"/>
              <w:rPr>
                <w:szCs w:val="21"/>
              </w:rPr>
            </w:pPr>
            <w:r>
              <w:rPr>
                <w:szCs w:val="21"/>
              </w:rPr>
              <w:t>边长=50km□</w:t>
            </w:r>
          </w:p>
        </w:tc>
        <w:tc>
          <w:tcPr>
            <w:tcW w:w="1239" w:type="pct"/>
            <w:gridSpan w:val="8"/>
            <w:vAlign w:val="center"/>
          </w:tcPr>
          <w:p w14:paraId="1AE51D55">
            <w:pPr>
              <w:widowControl/>
              <w:snapToGrid w:val="0"/>
              <w:spacing w:before="0" w:beforeLines="0" w:line="240" w:lineRule="auto"/>
              <w:jc w:val="center"/>
              <w:rPr>
                <w:szCs w:val="21"/>
              </w:rPr>
            </w:pPr>
            <w:r>
              <w:rPr>
                <w:szCs w:val="21"/>
              </w:rPr>
              <w:t>边长5～50km□</w:t>
            </w:r>
          </w:p>
        </w:tc>
        <w:tc>
          <w:tcPr>
            <w:tcW w:w="891" w:type="pct"/>
            <w:gridSpan w:val="3"/>
            <w:vAlign w:val="center"/>
          </w:tcPr>
          <w:p w14:paraId="62A30DF5">
            <w:pPr>
              <w:widowControl/>
              <w:snapToGrid w:val="0"/>
              <w:spacing w:before="0" w:beforeLines="0" w:line="240" w:lineRule="auto"/>
              <w:jc w:val="center"/>
              <w:rPr>
                <w:szCs w:val="21"/>
              </w:rPr>
            </w:pPr>
            <w:r>
              <w:rPr>
                <w:szCs w:val="21"/>
              </w:rPr>
              <w:t>边长=5 km</w:t>
            </w:r>
            <w:r>
              <w:rPr>
                <w:szCs w:val="21"/>
              </w:rPr>
              <w:sym w:font="Wingdings 2" w:char="F052"/>
            </w:r>
          </w:p>
        </w:tc>
      </w:tr>
      <w:tr w14:paraId="7B254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9" w:hRule="atLeast"/>
        </w:trPr>
        <w:tc>
          <w:tcPr>
            <w:tcW w:w="541" w:type="pct"/>
            <w:vMerge w:val="restart"/>
            <w:vAlign w:val="center"/>
          </w:tcPr>
          <w:p w14:paraId="616B4441">
            <w:pPr>
              <w:widowControl/>
              <w:snapToGrid w:val="0"/>
              <w:spacing w:before="0" w:beforeLines="0" w:line="240" w:lineRule="auto"/>
              <w:jc w:val="center"/>
              <w:rPr>
                <w:szCs w:val="21"/>
              </w:rPr>
            </w:pPr>
            <w:r>
              <w:rPr>
                <w:szCs w:val="21"/>
              </w:rPr>
              <w:t>评价因子</w:t>
            </w:r>
          </w:p>
        </w:tc>
        <w:tc>
          <w:tcPr>
            <w:tcW w:w="1064" w:type="pct"/>
            <w:vAlign w:val="center"/>
          </w:tcPr>
          <w:p w14:paraId="6B265A23">
            <w:pPr>
              <w:widowControl/>
              <w:snapToGrid w:val="0"/>
              <w:spacing w:before="0" w:beforeLines="0" w:line="240" w:lineRule="auto"/>
              <w:jc w:val="center"/>
              <w:rPr>
                <w:szCs w:val="21"/>
              </w:rPr>
            </w:pPr>
            <w:r>
              <w:rPr>
                <w:szCs w:val="21"/>
              </w:rPr>
              <w:t>SO</w:t>
            </w:r>
            <w:r>
              <w:rPr>
                <w:szCs w:val="21"/>
                <w:vertAlign w:val="subscript"/>
              </w:rPr>
              <w:t xml:space="preserve">2 </w:t>
            </w:r>
            <w:r>
              <w:rPr>
                <w:szCs w:val="21"/>
              </w:rPr>
              <w:t>+NO</w:t>
            </w:r>
            <w:r>
              <w:rPr>
                <w:i/>
                <w:szCs w:val="21"/>
                <w:vertAlign w:val="subscript"/>
              </w:rPr>
              <w:t>x</w:t>
            </w:r>
            <w:r>
              <w:rPr>
                <w:szCs w:val="21"/>
              </w:rPr>
              <w:t>排放量</w:t>
            </w:r>
          </w:p>
        </w:tc>
        <w:tc>
          <w:tcPr>
            <w:tcW w:w="1265" w:type="pct"/>
            <w:gridSpan w:val="4"/>
            <w:vAlign w:val="center"/>
          </w:tcPr>
          <w:p w14:paraId="395CD977">
            <w:pPr>
              <w:widowControl/>
              <w:snapToGrid w:val="0"/>
              <w:spacing w:before="0" w:beforeLines="0" w:line="240" w:lineRule="auto"/>
              <w:jc w:val="center"/>
              <w:rPr>
                <w:szCs w:val="21"/>
              </w:rPr>
            </w:pPr>
            <w:r>
              <w:rPr>
                <w:szCs w:val="21"/>
              </w:rPr>
              <w:t>≥ 2000t/a□</w:t>
            </w:r>
          </w:p>
        </w:tc>
        <w:tc>
          <w:tcPr>
            <w:tcW w:w="1239" w:type="pct"/>
            <w:gridSpan w:val="8"/>
            <w:vAlign w:val="center"/>
          </w:tcPr>
          <w:p w14:paraId="3A0F81AC">
            <w:pPr>
              <w:widowControl/>
              <w:snapToGrid w:val="0"/>
              <w:spacing w:before="0" w:beforeLines="0" w:line="240" w:lineRule="auto"/>
              <w:jc w:val="center"/>
              <w:rPr>
                <w:szCs w:val="21"/>
              </w:rPr>
            </w:pPr>
            <w:r>
              <w:rPr>
                <w:szCs w:val="21"/>
              </w:rPr>
              <w:t>500 ~ 2000t/a□</w:t>
            </w:r>
          </w:p>
        </w:tc>
        <w:tc>
          <w:tcPr>
            <w:tcW w:w="891" w:type="pct"/>
            <w:gridSpan w:val="3"/>
            <w:vAlign w:val="center"/>
          </w:tcPr>
          <w:p w14:paraId="7FEE7C59">
            <w:pPr>
              <w:widowControl/>
              <w:snapToGrid w:val="0"/>
              <w:spacing w:before="0" w:beforeLines="0" w:line="240" w:lineRule="auto"/>
              <w:jc w:val="center"/>
              <w:rPr>
                <w:szCs w:val="21"/>
              </w:rPr>
            </w:pPr>
            <w:r>
              <w:rPr>
                <w:szCs w:val="21"/>
              </w:rPr>
              <w:t>＜500 t/a</w:t>
            </w:r>
            <w:r>
              <w:rPr>
                <w:szCs w:val="21"/>
              </w:rPr>
              <w:sym w:font="Wingdings 2" w:char="F052"/>
            </w:r>
          </w:p>
        </w:tc>
      </w:tr>
      <w:tr w14:paraId="4269B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3" w:hRule="atLeast"/>
        </w:trPr>
        <w:tc>
          <w:tcPr>
            <w:tcW w:w="541" w:type="pct"/>
            <w:vMerge w:val="continue"/>
            <w:vAlign w:val="center"/>
          </w:tcPr>
          <w:p w14:paraId="60F4D989">
            <w:pPr>
              <w:widowControl/>
              <w:snapToGrid w:val="0"/>
              <w:spacing w:before="0" w:beforeLines="0" w:line="240" w:lineRule="auto"/>
              <w:jc w:val="center"/>
              <w:rPr>
                <w:szCs w:val="21"/>
              </w:rPr>
            </w:pPr>
          </w:p>
        </w:tc>
        <w:tc>
          <w:tcPr>
            <w:tcW w:w="1064" w:type="pct"/>
            <w:vAlign w:val="center"/>
          </w:tcPr>
          <w:p w14:paraId="2C4A5388">
            <w:pPr>
              <w:widowControl/>
              <w:snapToGrid w:val="0"/>
              <w:spacing w:before="0" w:beforeLines="0" w:line="240" w:lineRule="auto"/>
              <w:jc w:val="center"/>
              <w:rPr>
                <w:szCs w:val="21"/>
              </w:rPr>
            </w:pPr>
            <w:r>
              <w:rPr>
                <w:szCs w:val="21"/>
              </w:rPr>
              <w:t>评价因子</w:t>
            </w:r>
          </w:p>
        </w:tc>
        <w:tc>
          <w:tcPr>
            <w:tcW w:w="1849" w:type="pct"/>
            <w:gridSpan w:val="8"/>
            <w:vAlign w:val="center"/>
          </w:tcPr>
          <w:p w14:paraId="3A735E6D">
            <w:pPr>
              <w:widowControl/>
              <w:snapToGrid w:val="0"/>
              <w:spacing w:before="0" w:beforeLines="0" w:line="240" w:lineRule="auto"/>
              <w:jc w:val="left"/>
              <w:rPr>
                <w:szCs w:val="21"/>
              </w:rPr>
            </w:pPr>
            <w:r>
              <w:rPr>
                <w:szCs w:val="21"/>
              </w:rPr>
              <w:t>基本污染物 (PM</w:t>
            </w:r>
            <w:r>
              <w:rPr>
                <w:szCs w:val="21"/>
                <w:vertAlign w:val="subscript"/>
              </w:rPr>
              <w:t>10</w:t>
            </w:r>
            <w:r>
              <w:rPr>
                <w:szCs w:val="21"/>
              </w:rPr>
              <w:t>)</w:t>
            </w:r>
          </w:p>
          <w:p w14:paraId="76FA4327">
            <w:pPr>
              <w:widowControl/>
              <w:snapToGrid w:val="0"/>
              <w:spacing w:before="0" w:beforeLines="0" w:line="240" w:lineRule="auto"/>
              <w:jc w:val="left"/>
              <w:rPr>
                <w:szCs w:val="21"/>
              </w:rPr>
            </w:pPr>
            <w:r>
              <w:rPr>
                <w:szCs w:val="21"/>
              </w:rPr>
              <w:t>其他污染物 (TSP)</w:t>
            </w:r>
          </w:p>
        </w:tc>
        <w:tc>
          <w:tcPr>
            <w:tcW w:w="1545" w:type="pct"/>
            <w:gridSpan w:val="7"/>
            <w:vAlign w:val="center"/>
          </w:tcPr>
          <w:p w14:paraId="79EF1AE9">
            <w:pPr>
              <w:widowControl/>
              <w:snapToGrid w:val="0"/>
              <w:spacing w:before="0" w:beforeLines="0" w:line="240" w:lineRule="auto"/>
              <w:ind w:right="412"/>
              <w:jc w:val="right"/>
              <w:rPr>
                <w:szCs w:val="21"/>
              </w:rPr>
            </w:pPr>
            <w:r>
              <w:rPr>
                <w:szCs w:val="21"/>
              </w:rPr>
              <w:t>包括二次PM</w:t>
            </w:r>
            <w:r>
              <w:rPr>
                <w:szCs w:val="21"/>
                <w:vertAlign w:val="subscript"/>
              </w:rPr>
              <w:t>2.5</w:t>
            </w:r>
            <w:r>
              <w:rPr>
                <w:szCs w:val="21"/>
              </w:rPr>
              <w:t>□</w:t>
            </w:r>
          </w:p>
          <w:p w14:paraId="64E864A3">
            <w:pPr>
              <w:widowControl/>
              <w:snapToGrid w:val="0"/>
              <w:spacing w:before="0" w:beforeLines="0" w:line="240" w:lineRule="auto"/>
              <w:ind w:right="412"/>
              <w:jc w:val="right"/>
              <w:rPr>
                <w:szCs w:val="21"/>
              </w:rPr>
            </w:pPr>
            <w:r>
              <w:rPr>
                <w:szCs w:val="21"/>
              </w:rPr>
              <w:t>不包括二次PM</w:t>
            </w:r>
            <w:r>
              <w:rPr>
                <w:szCs w:val="21"/>
                <w:vertAlign w:val="subscript"/>
              </w:rPr>
              <w:t>2.5</w:t>
            </w:r>
            <w:r>
              <w:rPr>
                <w:szCs w:val="21"/>
              </w:rPr>
              <w:sym w:font="Wingdings 2" w:char="F052"/>
            </w:r>
          </w:p>
        </w:tc>
      </w:tr>
      <w:tr w14:paraId="38632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9" w:hRule="atLeast"/>
        </w:trPr>
        <w:tc>
          <w:tcPr>
            <w:tcW w:w="541" w:type="pct"/>
            <w:vAlign w:val="center"/>
          </w:tcPr>
          <w:p w14:paraId="6C568CC0">
            <w:pPr>
              <w:widowControl/>
              <w:snapToGrid w:val="0"/>
              <w:spacing w:before="0" w:beforeLines="0" w:line="240" w:lineRule="auto"/>
              <w:jc w:val="center"/>
              <w:rPr>
                <w:szCs w:val="21"/>
              </w:rPr>
            </w:pPr>
            <w:r>
              <w:rPr>
                <w:szCs w:val="21"/>
              </w:rPr>
              <w:t>评价标准</w:t>
            </w:r>
          </w:p>
        </w:tc>
        <w:tc>
          <w:tcPr>
            <w:tcW w:w="1064" w:type="pct"/>
            <w:vAlign w:val="center"/>
          </w:tcPr>
          <w:p w14:paraId="4F6292D1">
            <w:pPr>
              <w:widowControl/>
              <w:snapToGrid w:val="0"/>
              <w:spacing w:before="0" w:beforeLines="0" w:line="240" w:lineRule="auto"/>
              <w:jc w:val="center"/>
              <w:rPr>
                <w:szCs w:val="21"/>
              </w:rPr>
            </w:pPr>
            <w:r>
              <w:rPr>
                <w:szCs w:val="21"/>
              </w:rPr>
              <w:t>评价标准</w:t>
            </w:r>
          </w:p>
        </w:tc>
        <w:tc>
          <w:tcPr>
            <w:tcW w:w="1265" w:type="pct"/>
            <w:gridSpan w:val="4"/>
            <w:vAlign w:val="center"/>
          </w:tcPr>
          <w:p w14:paraId="13A73984">
            <w:pPr>
              <w:widowControl/>
              <w:snapToGrid w:val="0"/>
              <w:spacing w:before="0" w:beforeLines="0" w:line="240" w:lineRule="auto"/>
              <w:jc w:val="center"/>
              <w:rPr>
                <w:szCs w:val="21"/>
              </w:rPr>
            </w:pPr>
            <w:r>
              <w:rPr>
                <w:szCs w:val="21"/>
              </w:rPr>
              <w:t>国家标准</w:t>
            </w:r>
            <w:r>
              <w:rPr>
                <w:szCs w:val="21"/>
              </w:rPr>
              <w:sym w:font="Wingdings 2" w:char="F052"/>
            </w:r>
          </w:p>
        </w:tc>
        <w:tc>
          <w:tcPr>
            <w:tcW w:w="584" w:type="pct"/>
            <w:gridSpan w:val="4"/>
            <w:vAlign w:val="center"/>
          </w:tcPr>
          <w:p w14:paraId="11562B69">
            <w:pPr>
              <w:widowControl/>
              <w:snapToGrid w:val="0"/>
              <w:spacing w:before="0" w:beforeLines="0" w:line="240" w:lineRule="auto"/>
              <w:jc w:val="center"/>
              <w:rPr>
                <w:szCs w:val="21"/>
              </w:rPr>
            </w:pPr>
            <w:r>
              <w:rPr>
                <w:szCs w:val="21"/>
              </w:rPr>
              <w:t>地方标准 □</w:t>
            </w:r>
          </w:p>
        </w:tc>
        <w:tc>
          <w:tcPr>
            <w:tcW w:w="883" w:type="pct"/>
            <w:gridSpan w:val="5"/>
            <w:vAlign w:val="center"/>
          </w:tcPr>
          <w:p w14:paraId="31CC264C">
            <w:pPr>
              <w:widowControl/>
              <w:snapToGrid w:val="0"/>
              <w:spacing w:before="0" w:beforeLines="0" w:line="240" w:lineRule="auto"/>
              <w:jc w:val="center"/>
              <w:rPr>
                <w:szCs w:val="21"/>
              </w:rPr>
            </w:pPr>
            <w:r>
              <w:rPr>
                <w:szCs w:val="21"/>
              </w:rPr>
              <w:t>附录D</w:t>
            </w:r>
            <w:r>
              <w:rPr>
                <w:szCs w:val="21"/>
              </w:rPr>
              <w:sym w:font="Wingdings 2" w:char="F052"/>
            </w:r>
            <w:r>
              <w:rPr>
                <w:szCs w:val="21"/>
              </w:rPr>
              <w:t xml:space="preserve"> </w:t>
            </w:r>
          </w:p>
        </w:tc>
        <w:tc>
          <w:tcPr>
            <w:tcW w:w="663" w:type="pct"/>
            <w:gridSpan w:val="2"/>
            <w:vAlign w:val="center"/>
          </w:tcPr>
          <w:p w14:paraId="7FE61290">
            <w:pPr>
              <w:widowControl/>
              <w:snapToGrid w:val="0"/>
              <w:spacing w:before="0" w:beforeLines="0" w:line="240" w:lineRule="auto"/>
              <w:jc w:val="center"/>
              <w:rPr>
                <w:szCs w:val="21"/>
              </w:rPr>
            </w:pPr>
            <w:r>
              <w:rPr>
                <w:szCs w:val="21"/>
              </w:rPr>
              <w:t xml:space="preserve">其他标准□ </w:t>
            </w:r>
          </w:p>
        </w:tc>
      </w:tr>
      <w:tr w14:paraId="1D14C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9" w:hRule="atLeast"/>
        </w:trPr>
        <w:tc>
          <w:tcPr>
            <w:tcW w:w="541" w:type="pct"/>
            <w:vMerge w:val="restart"/>
            <w:vAlign w:val="center"/>
          </w:tcPr>
          <w:p w14:paraId="4DD5BCDB">
            <w:pPr>
              <w:widowControl/>
              <w:snapToGrid w:val="0"/>
              <w:spacing w:before="0" w:beforeLines="0" w:line="240" w:lineRule="auto"/>
              <w:jc w:val="center"/>
              <w:rPr>
                <w:szCs w:val="21"/>
              </w:rPr>
            </w:pPr>
            <w:r>
              <w:rPr>
                <w:szCs w:val="21"/>
              </w:rPr>
              <w:t>现状评价</w:t>
            </w:r>
          </w:p>
        </w:tc>
        <w:tc>
          <w:tcPr>
            <w:tcW w:w="1064" w:type="pct"/>
            <w:vAlign w:val="center"/>
          </w:tcPr>
          <w:p w14:paraId="1BBAEFFB">
            <w:pPr>
              <w:widowControl/>
              <w:snapToGrid w:val="0"/>
              <w:spacing w:before="0" w:beforeLines="0" w:line="240" w:lineRule="auto"/>
              <w:jc w:val="center"/>
              <w:rPr>
                <w:szCs w:val="21"/>
              </w:rPr>
            </w:pPr>
            <w:r>
              <w:rPr>
                <w:szCs w:val="21"/>
              </w:rPr>
              <w:t>环境功能区</w:t>
            </w:r>
          </w:p>
        </w:tc>
        <w:tc>
          <w:tcPr>
            <w:tcW w:w="1265" w:type="pct"/>
            <w:gridSpan w:val="4"/>
            <w:vAlign w:val="center"/>
          </w:tcPr>
          <w:p w14:paraId="6D954287">
            <w:pPr>
              <w:widowControl/>
              <w:snapToGrid w:val="0"/>
              <w:spacing w:before="0" w:beforeLines="0" w:line="240" w:lineRule="auto"/>
              <w:jc w:val="center"/>
              <w:rPr>
                <w:szCs w:val="21"/>
              </w:rPr>
            </w:pPr>
            <w:r>
              <w:rPr>
                <w:szCs w:val="21"/>
              </w:rPr>
              <w:t>一类区□</w:t>
            </w:r>
          </w:p>
        </w:tc>
        <w:tc>
          <w:tcPr>
            <w:tcW w:w="1088" w:type="pct"/>
            <w:gridSpan w:val="7"/>
            <w:vAlign w:val="center"/>
          </w:tcPr>
          <w:p w14:paraId="122626CA">
            <w:pPr>
              <w:widowControl/>
              <w:snapToGrid w:val="0"/>
              <w:spacing w:before="0" w:beforeLines="0" w:line="240" w:lineRule="auto"/>
              <w:jc w:val="center"/>
              <w:rPr>
                <w:szCs w:val="21"/>
              </w:rPr>
            </w:pPr>
            <w:r>
              <w:rPr>
                <w:szCs w:val="21"/>
              </w:rPr>
              <w:t>二类区</w:t>
            </w:r>
            <w:r>
              <w:rPr>
                <w:szCs w:val="21"/>
              </w:rPr>
              <w:sym w:font="Wingdings 2" w:char="F052"/>
            </w:r>
          </w:p>
        </w:tc>
        <w:tc>
          <w:tcPr>
            <w:tcW w:w="1042" w:type="pct"/>
            <w:gridSpan w:val="4"/>
            <w:vAlign w:val="center"/>
          </w:tcPr>
          <w:p w14:paraId="5CAABCAB">
            <w:pPr>
              <w:widowControl/>
              <w:snapToGrid w:val="0"/>
              <w:spacing w:before="0" w:beforeLines="0" w:line="240" w:lineRule="auto"/>
              <w:jc w:val="center"/>
              <w:rPr>
                <w:szCs w:val="21"/>
              </w:rPr>
            </w:pPr>
            <w:r>
              <w:rPr>
                <w:szCs w:val="21"/>
              </w:rPr>
              <w:t>一类区和二类区□</w:t>
            </w:r>
          </w:p>
        </w:tc>
      </w:tr>
      <w:tr w14:paraId="20B41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9" w:hRule="atLeast"/>
        </w:trPr>
        <w:tc>
          <w:tcPr>
            <w:tcW w:w="541" w:type="pct"/>
            <w:vMerge w:val="continue"/>
            <w:vAlign w:val="center"/>
          </w:tcPr>
          <w:p w14:paraId="4176DA7A">
            <w:pPr>
              <w:widowControl/>
              <w:snapToGrid w:val="0"/>
              <w:spacing w:before="0" w:beforeLines="0" w:line="240" w:lineRule="auto"/>
              <w:jc w:val="center"/>
              <w:rPr>
                <w:szCs w:val="21"/>
              </w:rPr>
            </w:pPr>
          </w:p>
        </w:tc>
        <w:tc>
          <w:tcPr>
            <w:tcW w:w="1064" w:type="pct"/>
            <w:vAlign w:val="center"/>
          </w:tcPr>
          <w:p w14:paraId="07A86253">
            <w:pPr>
              <w:widowControl/>
              <w:snapToGrid w:val="0"/>
              <w:spacing w:before="0" w:beforeLines="0" w:line="240" w:lineRule="auto"/>
              <w:jc w:val="center"/>
              <w:rPr>
                <w:szCs w:val="21"/>
              </w:rPr>
            </w:pPr>
            <w:r>
              <w:rPr>
                <w:szCs w:val="21"/>
              </w:rPr>
              <w:t>评价基准年</w:t>
            </w:r>
          </w:p>
        </w:tc>
        <w:tc>
          <w:tcPr>
            <w:tcW w:w="3395" w:type="pct"/>
            <w:gridSpan w:val="15"/>
            <w:vAlign w:val="center"/>
          </w:tcPr>
          <w:p w14:paraId="61D0C21F">
            <w:pPr>
              <w:widowControl/>
              <w:snapToGrid w:val="0"/>
              <w:spacing w:before="0" w:beforeLines="0" w:line="240" w:lineRule="auto"/>
              <w:jc w:val="center"/>
              <w:rPr>
                <w:szCs w:val="21"/>
              </w:rPr>
            </w:pPr>
            <w:r>
              <w:rPr>
                <w:szCs w:val="21"/>
              </w:rPr>
              <w:t>（202</w:t>
            </w:r>
            <w:r>
              <w:rPr>
                <w:rFonts w:hint="eastAsia"/>
                <w:szCs w:val="21"/>
              </w:rPr>
              <w:t>3</w:t>
            </w:r>
            <w:r>
              <w:rPr>
                <w:szCs w:val="21"/>
              </w:rPr>
              <w:t>）年</w:t>
            </w:r>
          </w:p>
        </w:tc>
      </w:tr>
      <w:tr w14:paraId="3762C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2" w:hRule="atLeast"/>
        </w:trPr>
        <w:tc>
          <w:tcPr>
            <w:tcW w:w="541" w:type="pct"/>
            <w:vMerge w:val="continue"/>
            <w:vAlign w:val="center"/>
          </w:tcPr>
          <w:p w14:paraId="37591EBA">
            <w:pPr>
              <w:widowControl/>
              <w:snapToGrid w:val="0"/>
              <w:spacing w:before="0" w:beforeLines="0" w:line="240" w:lineRule="auto"/>
              <w:jc w:val="center"/>
              <w:rPr>
                <w:szCs w:val="21"/>
              </w:rPr>
            </w:pPr>
          </w:p>
        </w:tc>
        <w:tc>
          <w:tcPr>
            <w:tcW w:w="1064" w:type="pct"/>
            <w:vAlign w:val="center"/>
          </w:tcPr>
          <w:p w14:paraId="70FC83E8">
            <w:pPr>
              <w:widowControl/>
              <w:snapToGrid w:val="0"/>
              <w:spacing w:before="0" w:beforeLines="0" w:line="240" w:lineRule="auto"/>
              <w:jc w:val="center"/>
              <w:rPr>
                <w:szCs w:val="21"/>
              </w:rPr>
            </w:pPr>
            <w:r>
              <w:rPr>
                <w:szCs w:val="21"/>
              </w:rPr>
              <w:t>环境空气质量</w:t>
            </w:r>
          </w:p>
          <w:p w14:paraId="225D6048">
            <w:pPr>
              <w:widowControl/>
              <w:snapToGrid w:val="0"/>
              <w:spacing w:before="0" w:beforeLines="0" w:line="240" w:lineRule="auto"/>
              <w:jc w:val="center"/>
              <w:rPr>
                <w:szCs w:val="21"/>
              </w:rPr>
            </w:pPr>
            <w:r>
              <w:rPr>
                <w:szCs w:val="21"/>
              </w:rPr>
              <w:t>现状调查数据来源</w:t>
            </w:r>
          </w:p>
        </w:tc>
        <w:tc>
          <w:tcPr>
            <w:tcW w:w="1265" w:type="pct"/>
            <w:gridSpan w:val="4"/>
            <w:vAlign w:val="center"/>
          </w:tcPr>
          <w:p w14:paraId="73436D84">
            <w:pPr>
              <w:widowControl/>
              <w:snapToGrid w:val="0"/>
              <w:spacing w:before="0" w:beforeLines="0" w:line="240" w:lineRule="auto"/>
              <w:jc w:val="center"/>
              <w:rPr>
                <w:szCs w:val="21"/>
              </w:rPr>
            </w:pPr>
            <w:r>
              <w:rPr>
                <w:szCs w:val="21"/>
              </w:rPr>
              <w:t>长期例行监测数据</w:t>
            </w:r>
            <w:r>
              <w:rPr>
                <w:szCs w:val="21"/>
              </w:rPr>
              <w:sym w:font="Wingdings 2" w:char="00A3"/>
            </w:r>
          </w:p>
        </w:tc>
        <w:tc>
          <w:tcPr>
            <w:tcW w:w="1239" w:type="pct"/>
            <w:gridSpan w:val="8"/>
            <w:vAlign w:val="center"/>
          </w:tcPr>
          <w:p w14:paraId="7CCD461A">
            <w:pPr>
              <w:widowControl/>
              <w:snapToGrid w:val="0"/>
              <w:spacing w:before="0" w:beforeLines="0" w:line="240" w:lineRule="auto"/>
              <w:jc w:val="center"/>
              <w:rPr>
                <w:szCs w:val="21"/>
              </w:rPr>
            </w:pPr>
            <w:r>
              <w:rPr>
                <w:szCs w:val="21"/>
              </w:rPr>
              <w:t>主管部门发布的数据☑</w:t>
            </w:r>
          </w:p>
        </w:tc>
        <w:tc>
          <w:tcPr>
            <w:tcW w:w="891" w:type="pct"/>
            <w:gridSpan w:val="3"/>
            <w:vAlign w:val="center"/>
          </w:tcPr>
          <w:p w14:paraId="6A075C0A">
            <w:pPr>
              <w:widowControl/>
              <w:snapToGrid w:val="0"/>
              <w:spacing w:before="0" w:beforeLines="0" w:line="240" w:lineRule="auto"/>
              <w:jc w:val="center"/>
              <w:rPr>
                <w:szCs w:val="21"/>
              </w:rPr>
            </w:pPr>
            <w:r>
              <w:rPr>
                <w:szCs w:val="21"/>
              </w:rPr>
              <w:t>现状补充监测</w:t>
            </w:r>
            <w:r>
              <w:rPr>
                <w:szCs w:val="21"/>
              </w:rPr>
              <w:sym w:font="Wingdings 2" w:char="F052"/>
            </w:r>
          </w:p>
        </w:tc>
      </w:tr>
      <w:tr w14:paraId="59396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9" w:hRule="atLeast"/>
        </w:trPr>
        <w:tc>
          <w:tcPr>
            <w:tcW w:w="541" w:type="pct"/>
            <w:vMerge w:val="continue"/>
            <w:vAlign w:val="center"/>
          </w:tcPr>
          <w:p w14:paraId="6401FBD5">
            <w:pPr>
              <w:widowControl/>
              <w:snapToGrid w:val="0"/>
              <w:spacing w:before="0" w:beforeLines="0" w:line="240" w:lineRule="auto"/>
              <w:jc w:val="center"/>
              <w:rPr>
                <w:szCs w:val="21"/>
              </w:rPr>
            </w:pPr>
          </w:p>
        </w:tc>
        <w:tc>
          <w:tcPr>
            <w:tcW w:w="1064" w:type="pct"/>
            <w:vAlign w:val="center"/>
          </w:tcPr>
          <w:p w14:paraId="3B270E72">
            <w:pPr>
              <w:widowControl/>
              <w:snapToGrid w:val="0"/>
              <w:spacing w:before="0" w:beforeLines="0" w:line="240" w:lineRule="auto"/>
              <w:jc w:val="center"/>
              <w:rPr>
                <w:szCs w:val="21"/>
              </w:rPr>
            </w:pPr>
            <w:r>
              <w:rPr>
                <w:szCs w:val="21"/>
              </w:rPr>
              <w:t>现状评价</w:t>
            </w:r>
          </w:p>
        </w:tc>
        <w:tc>
          <w:tcPr>
            <w:tcW w:w="1849" w:type="pct"/>
            <w:gridSpan w:val="8"/>
            <w:vAlign w:val="center"/>
          </w:tcPr>
          <w:p w14:paraId="6461ECC0">
            <w:pPr>
              <w:widowControl/>
              <w:snapToGrid w:val="0"/>
              <w:spacing w:before="0" w:beforeLines="0" w:line="240" w:lineRule="auto"/>
              <w:jc w:val="center"/>
              <w:rPr>
                <w:szCs w:val="21"/>
              </w:rPr>
            </w:pPr>
            <w:r>
              <w:rPr>
                <w:szCs w:val="21"/>
              </w:rPr>
              <w:t>达标区☑</w:t>
            </w:r>
          </w:p>
        </w:tc>
        <w:tc>
          <w:tcPr>
            <w:tcW w:w="1545" w:type="pct"/>
            <w:gridSpan w:val="7"/>
            <w:vAlign w:val="center"/>
          </w:tcPr>
          <w:p w14:paraId="1BC46A94">
            <w:pPr>
              <w:widowControl/>
              <w:snapToGrid w:val="0"/>
              <w:spacing w:before="0" w:beforeLines="0" w:line="240" w:lineRule="auto"/>
              <w:jc w:val="center"/>
              <w:rPr>
                <w:szCs w:val="21"/>
              </w:rPr>
            </w:pPr>
            <w:r>
              <w:rPr>
                <w:szCs w:val="21"/>
              </w:rPr>
              <w:t>不达标区</w:t>
            </w:r>
            <w:r>
              <w:rPr>
                <w:szCs w:val="21"/>
              </w:rPr>
              <w:sym w:font="Wingdings 2" w:char="00A3"/>
            </w:r>
          </w:p>
        </w:tc>
      </w:tr>
      <w:tr w14:paraId="41A91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9" w:hRule="atLeast"/>
        </w:trPr>
        <w:tc>
          <w:tcPr>
            <w:tcW w:w="541" w:type="pct"/>
            <w:vAlign w:val="center"/>
          </w:tcPr>
          <w:p w14:paraId="0A4AAB92">
            <w:pPr>
              <w:widowControl/>
              <w:snapToGrid w:val="0"/>
              <w:spacing w:before="0" w:beforeLines="0" w:line="240" w:lineRule="auto"/>
              <w:jc w:val="center"/>
              <w:rPr>
                <w:szCs w:val="21"/>
              </w:rPr>
            </w:pPr>
            <w:r>
              <w:rPr>
                <w:szCs w:val="21"/>
              </w:rPr>
              <w:t>污染源</w:t>
            </w:r>
          </w:p>
          <w:p w14:paraId="6DA4A61A">
            <w:pPr>
              <w:widowControl/>
              <w:snapToGrid w:val="0"/>
              <w:spacing w:before="0" w:beforeLines="0" w:line="240" w:lineRule="auto"/>
              <w:jc w:val="center"/>
              <w:rPr>
                <w:szCs w:val="21"/>
              </w:rPr>
            </w:pPr>
            <w:r>
              <w:rPr>
                <w:szCs w:val="21"/>
              </w:rPr>
              <w:t>调查</w:t>
            </w:r>
          </w:p>
        </w:tc>
        <w:tc>
          <w:tcPr>
            <w:tcW w:w="1064" w:type="pct"/>
            <w:vAlign w:val="center"/>
          </w:tcPr>
          <w:p w14:paraId="608517C6">
            <w:pPr>
              <w:widowControl/>
              <w:snapToGrid w:val="0"/>
              <w:spacing w:before="0" w:beforeLines="0" w:line="240" w:lineRule="auto"/>
              <w:jc w:val="center"/>
              <w:rPr>
                <w:szCs w:val="21"/>
              </w:rPr>
            </w:pPr>
            <w:r>
              <w:rPr>
                <w:szCs w:val="21"/>
              </w:rPr>
              <w:t>调查内容</w:t>
            </w:r>
          </w:p>
        </w:tc>
        <w:tc>
          <w:tcPr>
            <w:tcW w:w="1265" w:type="pct"/>
            <w:gridSpan w:val="4"/>
            <w:vAlign w:val="center"/>
          </w:tcPr>
          <w:p w14:paraId="6CEDE929">
            <w:pPr>
              <w:widowControl/>
              <w:snapToGrid w:val="0"/>
              <w:spacing w:before="0" w:beforeLines="0" w:line="240" w:lineRule="auto"/>
              <w:rPr>
                <w:szCs w:val="21"/>
              </w:rPr>
            </w:pPr>
            <w:r>
              <w:rPr>
                <w:szCs w:val="21"/>
              </w:rPr>
              <w:t>本项目正常排放源</w:t>
            </w:r>
            <w:r>
              <w:rPr>
                <w:szCs w:val="21"/>
              </w:rPr>
              <w:sym w:font="Wingdings 2" w:char="F052"/>
            </w:r>
          </w:p>
          <w:p w14:paraId="7E16A8C0">
            <w:pPr>
              <w:widowControl/>
              <w:snapToGrid w:val="0"/>
              <w:spacing w:before="0" w:beforeLines="0" w:line="240" w:lineRule="auto"/>
              <w:rPr>
                <w:szCs w:val="21"/>
              </w:rPr>
            </w:pPr>
            <w:r>
              <w:rPr>
                <w:szCs w:val="21"/>
              </w:rPr>
              <w:t>本项目非正常排放源</w:t>
            </w:r>
            <w:r>
              <w:rPr>
                <w:szCs w:val="21"/>
              </w:rPr>
              <w:sym w:font="Wingdings 2" w:char="0052"/>
            </w:r>
          </w:p>
          <w:p w14:paraId="4654CC74">
            <w:pPr>
              <w:widowControl/>
              <w:snapToGrid w:val="0"/>
              <w:spacing w:before="0" w:beforeLines="0" w:line="240" w:lineRule="auto"/>
              <w:rPr>
                <w:szCs w:val="21"/>
              </w:rPr>
            </w:pPr>
            <w:r>
              <w:rPr>
                <w:szCs w:val="21"/>
              </w:rPr>
              <w:t xml:space="preserve">现有污染源□ </w:t>
            </w:r>
          </w:p>
        </w:tc>
        <w:tc>
          <w:tcPr>
            <w:tcW w:w="584" w:type="pct"/>
            <w:gridSpan w:val="4"/>
            <w:vAlign w:val="center"/>
          </w:tcPr>
          <w:p w14:paraId="3E345DF9">
            <w:pPr>
              <w:widowControl/>
              <w:snapToGrid w:val="0"/>
              <w:spacing w:before="0" w:beforeLines="0" w:line="240" w:lineRule="auto"/>
              <w:jc w:val="center"/>
              <w:rPr>
                <w:szCs w:val="21"/>
              </w:rPr>
            </w:pPr>
            <w:r>
              <w:rPr>
                <w:szCs w:val="21"/>
              </w:rPr>
              <w:t>拟替代的污染源</w:t>
            </w:r>
            <w:r>
              <w:rPr>
                <w:szCs w:val="21"/>
              </w:rPr>
              <w:sym w:font="Wingdings 2" w:char="00A3"/>
            </w:r>
          </w:p>
        </w:tc>
        <w:tc>
          <w:tcPr>
            <w:tcW w:w="883" w:type="pct"/>
            <w:gridSpan w:val="5"/>
            <w:vAlign w:val="center"/>
          </w:tcPr>
          <w:p w14:paraId="7A05FF82">
            <w:pPr>
              <w:widowControl/>
              <w:snapToGrid w:val="0"/>
              <w:spacing w:before="0" w:beforeLines="0" w:line="240" w:lineRule="auto"/>
              <w:jc w:val="center"/>
              <w:rPr>
                <w:szCs w:val="21"/>
              </w:rPr>
            </w:pPr>
            <w:r>
              <w:rPr>
                <w:szCs w:val="21"/>
              </w:rPr>
              <w:t>其他在建、拟建项目污染源□</w:t>
            </w:r>
          </w:p>
        </w:tc>
        <w:tc>
          <w:tcPr>
            <w:tcW w:w="663" w:type="pct"/>
            <w:gridSpan w:val="2"/>
            <w:vAlign w:val="center"/>
          </w:tcPr>
          <w:p w14:paraId="53280733">
            <w:pPr>
              <w:widowControl/>
              <w:snapToGrid w:val="0"/>
              <w:spacing w:before="0" w:beforeLines="0" w:line="240" w:lineRule="auto"/>
              <w:jc w:val="center"/>
              <w:rPr>
                <w:szCs w:val="21"/>
              </w:rPr>
            </w:pPr>
            <w:r>
              <w:rPr>
                <w:szCs w:val="21"/>
              </w:rPr>
              <w:t>区域污染源□</w:t>
            </w:r>
          </w:p>
        </w:tc>
      </w:tr>
      <w:tr w14:paraId="3D81E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9" w:hRule="atLeast"/>
        </w:trPr>
        <w:tc>
          <w:tcPr>
            <w:tcW w:w="541" w:type="pct"/>
            <w:vMerge w:val="restart"/>
            <w:vAlign w:val="center"/>
          </w:tcPr>
          <w:p w14:paraId="0F9C4D02">
            <w:pPr>
              <w:widowControl/>
              <w:snapToGrid w:val="0"/>
              <w:spacing w:before="0" w:beforeLines="0" w:line="240" w:lineRule="auto"/>
              <w:jc w:val="center"/>
              <w:rPr>
                <w:szCs w:val="21"/>
              </w:rPr>
            </w:pPr>
            <w:r>
              <w:rPr>
                <w:szCs w:val="21"/>
              </w:rPr>
              <w:t>大气环境影响预测与评价</w:t>
            </w:r>
          </w:p>
        </w:tc>
        <w:tc>
          <w:tcPr>
            <w:tcW w:w="1064" w:type="pct"/>
            <w:vAlign w:val="center"/>
          </w:tcPr>
          <w:p w14:paraId="7A430EC7">
            <w:pPr>
              <w:widowControl/>
              <w:snapToGrid w:val="0"/>
              <w:spacing w:before="0" w:beforeLines="0" w:line="240" w:lineRule="auto"/>
              <w:jc w:val="center"/>
              <w:rPr>
                <w:szCs w:val="21"/>
              </w:rPr>
            </w:pPr>
            <w:r>
              <w:rPr>
                <w:szCs w:val="21"/>
              </w:rPr>
              <w:t>预测模型</w:t>
            </w:r>
          </w:p>
        </w:tc>
        <w:tc>
          <w:tcPr>
            <w:tcW w:w="506" w:type="pct"/>
            <w:vAlign w:val="center"/>
          </w:tcPr>
          <w:p w14:paraId="799AEC50">
            <w:pPr>
              <w:widowControl/>
              <w:snapToGrid w:val="0"/>
              <w:spacing w:before="0" w:beforeLines="0" w:line="240" w:lineRule="auto"/>
              <w:jc w:val="center"/>
              <w:rPr>
                <w:szCs w:val="21"/>
              </w:rPr>
            </w:pPr>
            <w:r>
              <w:rPr>
                <w:szCs w:val="21"/>
              </w:rPr>
              <w:t>AERMOD</w:t>
            </w:r>
            <w:r>
              <w:rPr>
                <w:szCs w:val="21"/>
              </w:rPr>
              <w:sym w:font="Wingdings 2" w:char="0052"/>
            </w:r>
          </w:p>
        </w:tc>
        <w:tc>
          <w:tcPr>
            <w:tcW w:w="384" w:type="pct"/>
            <w:gridSpan w:val="2"/>
            <w:vAlign w:val="center"/>
          </w:tcPr>
          <w:p w14:paraId="4768BB5D">
            <w:pPr>
              <w:widowControl/>
              <w:snapToGrid w:val="0"/>
              <w:spacing w:before="0" w:beforeLines="0" w:line="240" w:lineRule="auto"/>
              <w:jc w:val="center"/>
              <w:rPr>
                <w:szCs w:val="21"/>
              </w:rPr>
            </w:pPr>
            <w:r>
              <w:rPr>
                <w:szCs w:val="21"/>
              </w:rPr>
              <w:t>ADMS□</w:t>
            </w:r>
          </w:p>
        </w:tc>
        <w:tc>
          <w:tcPr>
            <w:tcW w:w="586" w:type="pct"/>
            <w:gridSpan w:val="2"/>
            <w:vAlign w:val="center"/>
          </w:tcPr>
          <w:p w14:paraId="17E8B3D5">
            <w:pPr>
              <w:widowControl/>
              <w:snapToGrid w:val="0"/>
              <w:spacing w:before="0" w:beforeLines="0" w:line="240" w:lineRule="auto"/>
              <w:jc w:val="center"/>
              <w:rPr>
                <w:szCs w:val="21"/>
              </w:rPr>
            </w:pPr>
            <w:r>
              <w:rPr>
                <w:szCs w:val="21"/>
              </w:rPr>
              <w:t>AUSTAL2000□</w:t>
            </w:r>
          </w:p>
        </w:tc>
        <w:tc>
          <w:tcPr>
            <w:tcW w:w="572" w:type="pct"/>
            <w:gridSpan w:val="4"/>
            <w:vAlign w:val="center"/>
          </w:tcPr>
          <w:p w14:paraId="5547AC13">
            <w:pPr>
              <w:widowControl/>
              <w:snapToGrid w:val="0"/>
              <w:spacing w:before="0" w:beforeLines="0" w:line="240" w:lineRule="auto"/>
              <w:jc w:val="center"/>
              <w:rPr>
                <w:szCs w:val="21"/>
              </w:rPr>
            </w:pPr>
            <w:r>
              <w:rPr>
                <w:szCs w:val="21"/>
              </w:rPr>
              <w:t>EDMS/AEDT□</w:t>
            </w:r>
          </w:p>
        </w:tc>
        <w:tc>
          <w:tcPr>
            <w:tcW w:w="456" w:type="pct"/>
            <w:gridSpan w:val="3"/>
            <w:vAlign w:val="center"/>
          </w:tcPr>
          <w:p w14:paraId="39A1297F">
            <w:pPr>
              <w:widowControl/>
              <w:snapToGrid w:val="0"/>
              <w:spacing w:before="0" w:beforeLines="0" w:line="240" w:lineRule="auto"/>
              <w:jc w:val="center"/>
              <w:rPr>
                <w:szCs w:val="21"/>
              </w:rPr>
            </w:pPr>
            <w:r>
              <w:rPr>
                <w:szCs w:val="21"/>
              </w:rPr>
              <w:t>CALPUFF□</w:t>
            </w:r>
          </w:p>
        </w:tc>
        <w:tc>
          <w:tcPr>
            <w:tcW w:w="492" w:type="pct"/>
            <w:gridSpan w:val="2"/>
            <w:vAlign w:val="center"/>
          </w:tcPr>
          <w:p w14:paraId="76C1C9BF">
            <w:pPr>
              <w:widowControl/>
              <w:snapToGrid w:val="0"/>
              <w:spacing w:before="0" w:beforeLines="0" w:line="240" w:lineRule="auto"/>
              <w:jc w:val="center"/>
              <w:rPr>
                <w:szCs w:val="21"/>
              </w:rPr>
            </w:pPr>
            <w:r>
              <w:rPr>
                <w:szCs w:val="21"/>
              </w:rPr>
              <w:t>网格模型□</w:t>
            </w:r>
          </w:p>
        </w:tc>
        <w:tc>
          <w:tcPr>
            <w:tcW w:w="399" w:type="pct"/>
            <w:vAlign w:val="center"/>
          </w:tcPr>
          <w:p w14:paraId="036591B6">
            <w:pPr>
              <w:widowControl/>
              <w:snapToGrid w:val="0"/>
              <w:spacing w:before="0" w:beforeLines="0" w:line="240" w:lineRule="auto"/>
              <w:jc w:val="center"/>
              <w:rPr>
                <w:szCs w:val="21"/>
              </w:rPr>
            </w:pPr>
            <w:r>
              <w:rPr>
                <w:szCs w:val="21"/>
              </w:rPr>
              <w:t>其他</w:t>
            </w:r>
          </w:p>
          <w:p w14:paraId="6A93A731">
            <w:pPr>
              <w:widowControl/>
              <w:snapToGrid w:val="0"/>
              <w:spacing w:before="0" w:beforeLines="0" w:line="240" w:lineRule="auto"/>
              <w:jc w:val="center"/>
              <w:rPr>
                <w:szCs w:val="21"/>
              </w:rPr>
            </w:pPr>
            <w:r>
              <w:rPr>
                <w:szCs w:val="21"/>
              </w:rPr>
              <w:t>□</w:t>
            </w:r>
          </w:p>
        </w:tc>
      </w:tr>
      <w:tr w14:paraId="24F32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71" w:hRule="atLeast"/>
        </w:trPr>
        <w:tc>
          <w:tcPr>
            <w:tcW w:w="541" w:type="pct"/>
            <w:vMerge w:val="continue"/>
            <w:vAlign w:val="center"/>
          </w:tcPr>
          <w:p w14:paraId="3B5BE158">
            <w:pPr>
              <w:widowControl/>
              <w:snapToGrid w:val="0"/>
              <w:spacing w:before="0" w:beforeLines="0" w:line="240" w:lineRule="auto"/>
              <w:jc w:val="center"/>
              <w:rPr>
                <w:szCs w:val="21"/>
              </w:rPr>
            </w:pPr>
          </w:p>
        </w:tc>
        <w:tc>
          <w:tcPr>
            <w:tcW w:w="1064" w:type="pct"/>
            <w:vAlign w:val="center"/>
          </w:tcPr>
          <w:p w14:paraId="4EE0BE31">
            <w:pPr>
              <w:widowControl/>
              <w:snapToGrid w:val="0"/>
              <w:spacing w:before="0" w:beforeLines="0" w:line="240" w:lineRule="auto"/>
              <w:jc w:val="center"/>
              <w:rPr>
                <w:szCs w:val="21"/>
              </w:rPr>
            </w:pPr>
            <w:r>
              <w:rPr>
                <w:szCs w:val="21"/>
              </w:rPr>
              <w:t>预测范围</w:t>
            </w:r>
          </w:p>
        </w:tc>
        <w:tc>
          <w:tcPr>
            <w:tcW w:w="890" w:type="pct"/>
            <w:gridSpan w:val="3"/>
            <w:vAlign w:val="center"/>
          </w:tcPr>
          <w:p w14:paraId="1EED33BF">
            <w:pPr>
              <w:widowControl/>
              <w:snapToGrid w:val="0"/>
              <w:spacing w:before="0" w:beforeLines="0" w:line="240" w:lineRule="auto"/>
              <w:jc w:val="center"/>
              <w:rPr>
                <w:szCs w:val="21"/>
              </w:rPr>
            </w:pPr>
            <w:r>
              <w:rPr>
                <w:szCs w:val="21"/>
              </w:rPr>
              <w:t>边长≥ 50km□</w:t>
            </w:r>
          </w:p>
        </w:tc>
        <w:tc>
          <w:tcPr>
            <w:tcW w:w="1614" w:type="pct"/>
            <w:gridSpan w:val="9"/>
            <w:vAlign w:val="center"/>
          </w:tcPr>
          <w:p w14:paraId="0CE6E6FA">
            <w:pPr>
              <w:widowControl/>
              <w:snapToGrid w:val="0"/>
              <w:spacing w:before="0" w:beforeLines="0" w:line="240" w:lineRule="auto"/>
              <w:jc w:val="center"/>
              <w:rPr>
                <w:szCs w:val="21"/>
              </w:rPr>
            </w:pPr>
            <w:r>
              <w:rPr>
                <w:szCs w:val="21"/>
              </w:rPr>
              <w:t>边长5～50km □</w:t>
            </w:r>
          </w:p>
        </w:tc>
        <w:tc>
          <w:tcPr>
            <w:tcW w:w="891" w:type="pct"/>
            <w:gridSpan w:val="3"/>
            <w:vAlign w:val="center"/>
          </w:tcPr>
          <w:p w14:paraId="1137CE54">
            <w:pPr>
              <w:widowControl/>
              <w:snapToGrid w:val="0"/>
              <w:spacing w:before="0" w:beforeLines="0" w:line="240" w:lineRule="auto"/>
              <w:jc w:val="center"/>
              <w:rPr>
                <w:szCs w:val="21"/>
              </w:rPr>
            </w:pPr>
            <w:r>
              <w:rPr>
                <w:szCs w:val="21"/>
              </w:rPr>
              <w:t>边长 = 5 km</w:t>
            </w:r>
            <w:r>
              <w:rPr>
                <w:szCs w:val="21"/>
              </w:rPr>
              <w:sym w:font="Wingdings 2" w:char="0052"/>
            </w:r>
            <w:r>
              <w:rPr>
                <w:szCs w:val="21"/>
              </w:rPr>
              <w:t xml:space="preserve"> </w:t>
            </w:r>
          </w:p>
        </w:tc>
      </w:tr>
      <w:tr w14:paraId="69A8C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9" w:hRule="atLeast"/>
        </w:trPr>
        <w:tc>
          <w:tcPr>
            <w:tcW w:w="541" w:type="pct"/>
            <w:vMerge w:val="continue"/>
            <w:vAlign w:val="center"/>
          </w:tcPr>
          <w:p w14:paraId="1F35F867">
            <w:pPr>
              <w:widowControl/>
              <w:snapToGrid w:val="0"/>
              <w:spacing w:before="0" w:beforeLines="0" w:line="240" w:lineRule="auto"/>
              <w:jc w:val="center"/>
              <w:rPr>
                <w:szCs w:val="21"/>
              </w:rPr>
            </w:pPr>
          </w:p>
        </w:tc>
        <w:tc>
          <w:tcPr>
            <w:tcW w:w="1064" w:type="pct"/>
            <w:vAlign w:val="center"/>
          </w:tcPr>
          <w:p w14:paraId="748750B2">
            <w:pPr>
              <w:widowControl/>
              <w:snapToGrid w:val="0"/>
              <w:spacing w:before="0" w:beforeLines="0" w:line="240" w:lineRule="auto"/>
              <w:jc w:val="center"/>
              <w:rPr>
                <w:szCs w:val="21"/>
              </w:rPr>
            </w:pPr>
            <w:r>
              <w:rPr>
                <w:szCs w:val="21"/>
              </w:rPr>
              <w:t>预测因子</w:t>
            </w:r>
          </w:p>
        </w:tc>
        <w:tc>
          <w:tcPr>
            <w:tcW w:w="1849" w:type="pct"/>
            <w:gridSpan w:val="8"/>
            <w:vAlign w:val="center"/>
          </w:tcPr>
          <w:p w14:paraId="062FAF3C">
            <w:pPr>
              <w:widowControl/>
              <w:snapToGrid w:val="0"/>
              <w:spacing w:before="0" w:beforeLines="0" w:line="240" w:lineRule="auto"/>
              <w:jc w:val="center"/>
              <w:rPr>
                <w:szCs w:val="21"/>
              </w:rPr>
            </w:pPr>
            <w:r>
              <w:rPr>
                <w:szCs w:val="21"/>
              </w:rPr>
              <w:t>预测因子(TSP)</w:t>
            </w:r>
          </w:p>
        </w:tc>
        <w:tc>
          <w:tcPr>
            <w:tcW w:w="1545" w:type="pct"/>
            <w:gridSpan w:val="7"/>
            <w:vAlign w:val="center"/>
          </w:tcPr>
          <w:p w14:paraId="6E6239EE">
            <w:pPr>
              <w:widowControl/>
              <w:snapToGrid w:val="0"/>
              <w:spacing w:before="0" w:beforeLines="0" w:line="240" w:lineRule="auto"/>
              <w:ind w:right="552"/>
              <w:jc w:val="right"/>
              <w:rPr>
                <w:szCs w:val="21"/>
              </w:rPr>
            </w:pPr>
            <w:r>
              <w:rPr>
                <w:szCs w:val="21"/>
              </w:rPr>
              <w:t>包括二次PM</w:t>
            </w:r>
            <w:r>
              <w:rPr>
                <w:szCs w:val="21"/>
                <w:vertAlign w:val="subscript"/>
              </w:rPr>
              <w:t>2.5</w:t>
            </w:r>
            <w:r>
              <w:rPr>
                <w:szCs w:val="21"/>
              </w:rPr>
              <w:t xml:space="preserve"> □</w:t>
            </w:r>
          </w:p>
          <w:p w14:paraId="495554F3">
            <w:pPr>
              <w:widowControl/>
              <w:snapToGrid w:val="0"/>
              <w:spacing w:before="0" w:beforeLines="0" w:line="240" w:lineRule="auto"/>
              <w:ind w:right="552"/>
              <w:jc w:val="right"/>
              <w:rPr>
                <w:szCs w:val="21"/>
              </w:rPr>
            </w:pPr>
            <w:r>
              <w:rPr>
                <w:szCs w:val="21"/>
              </w:rPr>
              <w:t>不包括二次PM</w:t>
            </w:r>
            <w:r>
              <w:rPr>
                <w:szCs w:val="21"/>
                <w:vertAlign w:val="subscript"/>
              </w:rPr>
              <w:t>2.5</w:t>
            </w:r>
            <w:r>
              <w:rPr>
                <w:szCs w:val="21"/>
              </w:rPr>
              <w:t xml:space="preserve"> </w:t>
            </w:r>
            <w:r>
              <w:rPr>
                <w:szCs w:val="21"/>
              </w:rPr>
              <w:sym w:font="Wingdings 2" w:char="0052"/>
            </w:r>
          </w:p>
        </w:tc>
      </w:tr>
      <w:tr w14:paraId="57B4E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9" w:hRule="atLeast"/>
        </w:trPr>
        <w:tc>
          <w:tcPr>
            <w:tcW w:w="541" w:type="pct"/>
            <w:vMerge w:val="continue"/>
            <w:vAlign w:val="center"/>
          </w:tcPr>
          <w:p w14:paraId="09FE04FD">
            <w:pPr>
              <w:widowControl/>
              <w:snapToGrid w:val="0"/>
              <w:spacing w:before="0" w:beforeLines="0" w:line="240" w:lineRule="auto"/>
              <w:jc w:val="center"/>
              <w:rPr>
                <w:szCs w:val="21"/>
              </w:rPr>
            </w:pPr>
          </w:p>
        </w:tc>
        <w:tc>
          <w:tcPr>
            <w:tcW w:w="1064" w:type="pct"/>
            <w:vAlign w:val="center"/>
          </w:tcPr>
          <w:p w14:paraId="71121CEC">
            <w:pPr>
              <w:widowControl/>
              <w:snapToGrid w:val="0"/>
              <w:spacing w:before="0" w:beforeLines="0" w:line="240" w:lineRule="auto"/>
              <w:jc w:val="center"/>
              <w:rPr>
                <w:szCs w:val="21"/>
              </w:rPr>
            </w:pPr>
            <w:r>
              <w:rPr>
                <w:szCs w:val="21"/>
              </w:rPr>
              <w:t>正常排放短期浓度</w:t>
            </w:r>
          </w:p>
          <w:p w14:paraId="5EEC80B8">
            <w:pPr>
              <w:widowControl/>
              <w:snapToGrid w:val="0"/>
              <w:spacing w:before="0" w:beforeLines="0" w:line="240" w:lineRule="auto"/>
              <w:jc w:val="center"/>
              <w:rPr>
                <w:szCs w:val="21"/>
              </w:rPr>
            </w:pPr>
            <w:r>
              <w:rPr>
                <w:szCs w:val="21"/>
              </w:rPr>
              <w:t>贡献值</w:t>
            </w:r>
          </w:p>
        </w:tc>
        <w:tc>
          <w:tcPr>
            <w:tcW w:w="1849" w:type="pct"/>
            <w:gridSpan w:val="8"/>
            <w:vAlign w:val="center"/>
          </w:tcPr>
          <w:p w14:paraId="3212FDC5">
            <w:pPr>
              <w:widowControl/>
              <w:snapToGrid w:val="0"/>
              <w:spacing w:before="0" w:beforeLines="0" w:line="240" w:lineRule="auto"/>
              <w:jc w:val="center"/>
              <w:rPr>
                <w:szCs w:val="21"/>
              </w:rPr>
            </w:pPr>
            <m:oMath>
              <m:sSub>
                <m:sSubPr>
                  <m:ctrlPr>
                    <w:rPr>
                      <w:rFonts w:ascii="Cambria Math" w:hAnsi="Cambria Math"/>
                      <w:i/>
                      <w:sz w:val="18"/>
                      <w:szCs w:val="21"/>
                    </w:rPr>
                  </m:ctrlPr>
                </m:sSubPr>
                <m:e>
                  <m:r>
                    <m:rPr/>
                    <w:rPr>
                      <w:rFonts w:ascii="Cambria Math" w:hAnsi="Cambria Math"/>
                      <w:sz w:val="18"/>
                      <w:szCs w:val="21"/>
                    </w:rPr>
                    <m:t>C</m:t>
                  </m:r>
                  <m:ctrlPr>
                    <w:rPr>
                      <w:rFonts w:ascii="Cambria Math" w:hAnsi="Cambria Math"/>
                      <w:i/>
                      <w:sz w:val="18"/>
                      <w:szCs w:val="21"/>
                    </w:rPr>
                  </m:ctrlPr>
                </m:e>
                <m:sub>
                  <m:r>
                    <m:rPr>
                      <m:sty m:val="p"/>
                    </m:rPr>
                    <w:rPr>
                      <w:rFonts w:ascii="Cambria Math" w:hAnsi="Cambria Math"/>
                      <w:sz w:val="18"/>
                      <w:szCs w:val="21"/>
                    </w:rPr>
                    <m:t>本项目</m:t>
                  </m:r>
                  <m:ctrlPr>
                    <w:rPr>
                      <w:rFonts w:ascii="Cambria Math" w:hAnsi="Cambria Math"/>
                      <w:i/>
                      <w:sz w:val="18"/>
                      <w:szCs w:val="21"/>
                    </w:rPr>
                  </m:ctrlPr>
                </m:sub>
              </m:sSub>
            </m:oMath>
            <w:r>
              <w:rPr>
                <w:szCs w:val="21"/>
              </w:rPr>
              <w:t>最大占标率≤100%</w:t>
            </w:r>
            <w:r>
              <w:rPr>
                <w:szCs w:val="21"/>
              </w:rPr>
              <w:sym w:font="Wingdings 2" w:char="0052"/>
            </w:r>
          </w:p>
        </w:tc>
        <w:tc>
          <w:tcPr>
            <w:tcW w:w="1545" w:type="pct"/>
            <w:gridSpan w:val="7"/>
            <w:vAlign w:val="center"/>
          </w:tcPr>
          <w:p w14:paraId="1D9E29C3">
            <w:pPr>
              <w:widowControl/>
              <w:snapToGrid w:val="0"/>
              <w:spacing w:before="0" w:beforeLines="0" w:line="240" w:lineRule="auto"/>
              <w:jc w:val="center"/>
              <w:rPr>
                <w:szCs w:val="21"/>
              </w:rPr>
            </w:pPr>
            <m:oMath>
              <m:sSub>
                <m:sSubPr>
                  <m:ctrlPr>
                    <w:rPr>
                      <w:rFonts w:ascii="Cambria Math" w:hAnsi="Cambria Math"/>
                      <w:i/>
                      <w:sz w:val="18"/>
                      <w:szCs w:val="21"/>
                    </w:rPr>
                  </m:ctrlPr>
                </m:sSubPr>
                <m:e>
                  <m:r>
                    <m:rPr/>
                    <w:rPr>
                      <w:rFonts w:ascii="Cambria Math" w:hAnsi="Cambria Math"/>
                      <w:sz w:val="18"/>
                      <w:szCs w:val="21"/>
                    </w:rPr>
                    <m:t>C</m:t>
                  </m:r>
                  <m:ctrlPr>
                    <w:rPr>
                      <w:rFonts w:ascii="Cambria Math" w:hAnsi="Cambria Math"/>
                      <w:i/>
                      <w:sz w:val="18"/>
                      <w:szCs w:val="21"/>
                    </w:rPr>
                  </m:ctrlPr>
                </m:e>
                <m:sub>
                  <m:r>
                    <m:rPr>
                      <m:sty m:val="p"/>
                    </m:rPr>
                    <w:rPr>
                      <w:rFonts w:ascii="Cambria Math" w:hAnsi="Cambria Math"/>
                      <w:sz w:val="18"/>
                      <w:szCs w:val="21"/>
                    </w:rPr>
                    <m:t>本项目</m:t>
                  </m:r>
                  <m:ctrlPr>
                    <w:rPr>
                      <w:rFonts w:ascii="Cambria Math" w:hAnsi="Cambria Math"/>
                      <w:i/>
                      <w:sz w:val="18"/>
                      <w:szCs w:val="21"/>
                    </w:rPr>
                  </m:ctrlPr>
                </m:sub>
              </m:sSub>
            </m:oMath>
            <w:r>
              <w:rPr>
                <w:szCs w:val="21"/>
              </w:rPr>
              <w:t>最大占标率＞100% □</w:t>
            </w:r>
          </w:p>
        </w:tc>
      </w:tr>
      <w:tr w14:paraId="736AE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86" w:hRule="atLeast"/>
        </w:trPr>
        <w:tc>
          <w:tcPr>
            <w:tcW w:w="541" w:type="pct"/>
            <w:vMerge w:val="continue"/>
            <w:vAlign w:val="center"/>
          </w:tcPr>
          <w:p w14:paraId="51A90140">
            <w:pPr>
              <w:widowControl/>
              <w:snapToGrid w:val="0"/>
              <w:spacing w:before="0" w:beforeLines="0" w:line="240" w:lineRule="auto"/>
              <w:jc w:val="center"/>
              <w:rPr>
                <w:szCs w:val="21"/>
              </w:rPr>
            </w:pPr>
          </w:p>
        </w:tc>
        <w:tc>
          <w:tcPr>
            <w:tcW w:w="1064" w:type="pct"/>
            <w:vMerge w:val="restart"/>
            <w:vAlign w:val="center"/>
          </w:tcPr>
          <w:p w14:paraId="5BA1C2B3">
            <w:pPr>
              <w:widowControl/>
              <w:snapToGrid w:val="0"/>
              <w:spacing w:before="0" w:beforeLines="0" w:line="240" w:lineRule="auto"/>
              <w:jc w:val="center"/>
              <w:rPr>
                <w:szCs w:val="21"/>
              </w:rPr>
            </w:pPr>
            <w:r>
              <w:rPr>
                <w:szCs w:val="21"/>
              </w:rPr>
              <w:t>正常排放年均浓度</w:t>
            </w:r>
          </w:p>
          <w:p w14:paraId="67B72DAF">
            <w:pPr>
              <w:widowControl/>
              <w:snapToGrid w:val="0"/>
              <w:spacing w:before="0" w:beforeLines="0" w:line="240" w:lineRule="auto"/>
              <w:jc w:val="center"/>
              <w:rPr>
                <w:szCs w:val="21"/>
              </w:rPr>
            </w:pPr>
            <w:r>
              <w:rPr>
                <w:szCs w:val="21"/>
              </w:rPr>
              <w:t>贡献值</w:t>
            </w:r>
          </w:p>
        </w:tc>
        <w:tc>
          <w:tcPr>
            <w:tcW w:w="506" w:type="pct"/>
            <w:vAlign w:val="center"/>
          </w:tcPr>
          <w:p w14:paraId="7960788C">
            <w:pPr>
              <w:widowControl/>
              <w:snapToGrid w:val="0"/>
              <w:spacing w:before="0" w:beforeLines="0" w:line="240" w:lineRule="auto"/>
              <w:jc w:val="center"/>
              <w:rPr>
                <w:szCs w:val="21"/>
              </w:rPr>
            </w:pPr>
            <w:r>
              <w:rPr>
                <w:szCs w:val="21"/>
              </w:rPr>
              <w:t>一类区</w:t>
            </w:r>
          </w:p>
        </w:tc>
        <w:tc>
          <w:tcPr>
            <w:tcW w:w="1343" w:type="pct"/>
            <w:gridSpan w:val="7"/>
            <w:vAlign w:val="center"/>
          </w:tcPr>
          <w:p w14:paraId="04FD9B3C">
            <w:pPr>
              <w:widowControl/>
              <w:snapToGrid w:val="0"/>
              <w:spacing w:before="0" w:beforeLines="0" w:after="31" w:line="240" w:lineRule="auto"/>
              <w:jc w:val="center"/>
              <w:rPr>
                <w:szCs w:val="21"/>
              </w:rPr>
            </w:pPr>
            <m:oMath>
              <m:sSub>
                <m:sSubPr>
                  <m:ctrlPr>
                    <w:rPr>
                      <w:rFonts w:ascii="Cambria Math" w:hAnsi="Cambria Math"/>
                      <w:i/>
                      <w:sz w:val="18"/>
                      <w:szCs w:val="21"/>
                    </w:rPr>
                  </m:ctrlPr>
                </m:sSubPr>
                <m:e>
                  <m:r>
                    <m:rPr/>
                    <w:rPr>
                      <w:rFonts w:ascii="Cambria Math" w:hAnsi="Cambria Math"/>
                      <w:sz w:val="18"/>
                      <w:szCs w:val="21"/>
                    </w:rPr>
                    <m:t>C</m:t>
                  </m:r>
                  <m:ctrlPr>
                    <w:rPr>
                      <w:rFonts w:ascii="Cambria Math" w:hAnsi="Cambria Math"/>
                      <w:i/>
                      <w:sz w:val="18"/>
                      <w:szCs w:val="21"/>
                    </w:rPr>
                  </m:ctrlPr>
                </m:e>
                <m:sub>
                  <m:r>
                    <m:rPr>
                      <m:sty m:val="p"/>
                    </m:rPr>
                    <w:rPr>
                      <w:rFonts w:ascii="Cambria Math" w:hAnsi="Cambria Math"/>
                      <w:sz w:val="18"/>
                      <w:szCs w:val="21"/>
                    </w:rPr>
                    <m:t>本项目</m:t>
                  </m:r>
                  <m:ctrlPr>
                    <w:rPr>
                      <w:rFonts w:ascii="Cambria Math" w:hAnsi="Cambria Math"/>
                      <w:i/>
                      <w:sz w:val="18"/>
                      <w:szCs w:val="21"/>
                    </w:rPr>
                  </m:ctrlPr>
                </m:sub>
              </m:sSub>
            </m:oMath>
            <w:r>
              <w:rPr>
                <w:szCs w:val="21"/>
              </w:rPr>
              <w:t>最大占标率≤10%□</w:t>
            </w:r>
          </w:p>
        </w:tc>
        <w:tc>
          <w:tcPr>
            <w:tcW w:w="1545" w:type="pct"/>
            <w:gridSpan w:val="7"/>
            <w:vAlign w:val="center"/>
          </w:tcPr>
          <w:p w14:paraId="1038F064">
            <w:pPr>
              <w:widowControl/>
              <w:snapToGrid w:val="0"/>
              <w:spacing w:before="0" w:beforeLines="0" w:line="240" w:lineRule="auto"/>
              <w:jc w:val="center"/>
              <w:rPr>
                <w:szCs w:val="21"/>
              </w:rPr>
            </w:pPr>
            <m:oMath>
              <m:sSub>
                <m:sSubPr>
                  <m:ctrlPr>
                    <w:rPr>
                      <w:rFonts w:ascii="Cambria Math" w:hAnsi="Cambria Math"/>
                      <w:i/>
                      <w:sz w:val="18"/>
                      <w:szCs w:val="21"/>
                    </w:rPr>
                  </m:ctrlPr>
                </m:sSubPr>
                <m:e>
                  <m:r>
                    <m:rPr/>
                    <w:rPr>
                      <w:rFonts w:ascii="Cambria Math" w:hAnsi="Cambria Math"/>
                      <w:sz w:val="18"/>
                      <w:szCs w:val="21"/>
                    </w:rPr>
                    <m:t>C</m:t>
                  </m:r>
                  <m:ctrlPr>
                    <w:rPr>
                      <w:rFonts w:ascii="Cambria Math" w:hAnsi="Cambria Math"/>
                      <w:i/>
                      <w:sz w:val="18"/>
                      <w:szCs w:val="21"/>
                    </w:rPr>
                  </m:ctrlPr>
                </m:e>
                <m:sub>
                  <m:r>
                    <m:rPr>
                      <m:sty m:val="p"/>
                    </m:rPr>
                    <w:rPr>
                      <w:rFonts w:ascii="Cambria Math" w:hAnsi="Cambria Math"/>
                      <w:sz w:val="18"/>
                      <w:szCs w:val="21"/>
                    </w:rPr>
                    <m:t>本项目</m:t>
                  </m:r>
                  <m:ctrlPr>
                    <w:rPr>
                      <w:rFonts w:ascii="Cambria Math" w:hAnsi="Cambria Math"/>
                      <w:i/>
                      <w:sz w:val="18"/>
                      <w:szCs w:val="21"/>
                    </w:rPr>
                  </m:ctrlPr>
                </m:sub>
              </m:sSub>
            </m:oMath>
            <w:r>
              <w:rPr>
                <w:szCs w:val="21"/>
              </w:rPr>
              <w:t>最大标率＞10% □</w:t>
            </w:r>
          </w:p>
        </w:tc>
      </w:tr>
      <w:tr w14:paraId="7C587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08" w:hRule="atLeast"/>
        </w:trPr>
        <w:tc>
          <w:tcPr>
            <w:tcW w:w="541" w:type="pct"/>
            <w:vMerge w:val="continue"/>
            <w:vAlign w:val="center"/>
          </w:tcPr>
          <w:p w14:paraId="67B3C103">
            <w:pPr>
              <w:widowControl/>
              <w:snapToGrid w:val="0"/>
              <w:spacing w:before="0" w:beforeLines="0" w:line="240" w:lineRule="auto"/>
              <w:jc w:val="center"/>
              <w:rPr>
                <w:szCs w:val="21"/>
              </w:rPr>
            </w:pPr>
          </w:p>
        </w:tc>
        <w:tc>
          <w:tcPr>
            <w:tcW w:w="1064" w:type="pct"/>
            <w:vMerge w:val="continue"/>
            <w:vAlign w:val="center"/>
          </w:tcPr>
          <w:p w14:paraId="7600820E">
            <w:pPr>
              <w:widowControl/>
              <w:snapToGrid w:val="0"/>
              <w:spacing w:before="0" w:beforeLines="0" w:line="240" w:lineRule="auto"/>
              <w:jc w:val="center"/>
              <w:rPr>
                <w:szCs w:val="21"/>
              </w:rPr>
            </w:pPr>
          </w:p>
        </w:tc>
        <w:tc>
          <w:tcPr>
            <w:tcW w:w="506" w:type="pct"/>
            <w:vAlign w:val="center"/>
          </w:tcPr>
          <w:p w14:paraId="0C8A377E">
            <w:pPr>
              <w:widowControl/>
              <w:snapToGrid w:val="0"/>
              <w:spacing w:before="0" w:beforeLines="0" w:line="240" w:lineRule="auto"/>
              <w:jc w:val="center"/>
              <w:rPr>
                <w:szCs w:val="21"/>
              </w:rPr>
            </w:pPr>
            <w:r>
              <w:rPr>
                <w:szCs w:val="21"/>
              </w:rPr>
              <w:t>二类区</w:t>
            </w:r>
          </w:p>
        </w:tc>
        <w:tc>
          <w:tcPr>
            <w:tcW w:w="1343" w:type="pct"/>
            <w:gridSpan w:val="7"/>
            <w:vAlign w:val="center"/>
          </w:tcPr>
          <w:p w14:paraId="2D7F9F89">
            <w:pPr>
              <w:widowControl/>
              <w:snapToGrid w:val="0"/>
              <w:spacing w:before="0" w:beforeLines="0" w:line="240" w:lineRule="auto"/>
              <w:jc w:val="center"/>
              <w:rPr>
                <w:szCs w:val="21"/>
              </w:rPr>
            </w:pPr>
            <m:oMath>
              <m:sSub>
                <m:sSubPr>
                  <m:ctrlPr>
                    <w:rPr>
                      <w:rFonts w:ascii="Cambria Math" w:hAnsi="Cambria Math"/>
                      <w:i/>
                      <w:sz w:val="18"/>
                      <w:szCs w:val="21"/>
                    </w:rPr>
                  </m:ctrlPr>
                </m:sSubPr>
                <m:e>
                  <m:r>
                    <m:rPr/>
                    <w:rPr>
                      <w:rFonts w:ascii="Cambria Math" w:hAnsi="Cambria Math"/>
                      <w:sz w:val="18"/>
                      <w:szCs w:val="21"/>
                    </w:rPr>
                    <m:t>C</m:t>
                  </m:r>
                  <m:ctrlPr>
                    <w:rPr>
                      <w:rFonts w:ascii="Cambria Math" w:hAnsi="Cambria Math"/>
                      <w:i/>
                      <w:sz w:val="18"/>
                      <w:szCs w:val="21"/>
                    </w:rPr>
                  </m:ctrlPr>
                </m:e>
                <m:sub>
                  <m:r>
                    <m:rPr>
                      <m:sty m:val="p"/>
                    </m:rPr>
                    <w:rPr>
                      <w:rFonts w:ascii="Cambria Math" w:hAnsi="Cambria Math"/>
                      <w:sz w:val="18"/>
                      <w:szCs w:val="21"/>
                    </w:rPr>
                    <m:t>本项目</m:t>
                  </m:r>
                  <m:ctrlPr>
                    <w:rPr>
                      <w:rFonts w:ascii="Cambria Math" w:hAnsi="Cambria Math"/>
                      <w:i/>
                      <w:sz w:val="18"/>
                      <w:szCs w:val="21"/>
                    </w:rPr>
                  </m:ctrlPr>
                </m:sub>
              </m:sSub>
            </m:oMath>
            <w:r>
              <w:rPr>
                <w:szCs w:val="21"/>
              </w:rPr>
              <w:t>最大占标率≤30%</w:t>
            </w:r>
            <w:r>
              <w:rPr>
                <w:szCs w:val="21"/>
              </w:rPr>
              <w:sym w:font="Wingdings 2" w:char="0052"/>
            </w:r>
          </w:p>
        </w:tc>
        <w:tc>
          <w:tcPr>
            <w:tcW w:w="1545" w:type="pct"/>
            <w:gridSpan w:val="7"/>
            <w:vAlign w:val="center"/>
          </w:tcPr>
          <w:p w14:paraId="14181E8B">
            <w:pPr>
              <w:widowControl/>
              <w:snapToGrid w:val="0"/>
              <w:spacing w:before="0" w:beforeLines="0" w:line="240" w:lineRule="auto"/>
              <w:jc w:val="center"/>
              <w:rPr>
                <w:szCs w:val="21"/>
              </w:rPr>
            </w:pPr>
            <m:oMath>
              <m:sSub>
                <m:sSubPr>
                  <m:ctrlPr>
                    <w:rPr>
                      <w:rFonts w:ascii="Cambria Math" w:hAnsi="Cambria Math"/>
                      <w:i/>
                      <w:sz w:val="18"/>
                      <w:szCs w:val="21"/>
                    </w:rPr>
                  </m:ctrlPr>
                </m:sSubPr>
                <m:e>
                  <m:r>
                    <m:rPr/>
                    <w:rPr>
                      <w:rFonts w:ascii="Cambria Math" w:hAnsi="Cambria Math"/>
                      <w:sz w:val="18"/>
                      <w:szCs w:val="21"/>
                    </w:rPr>
                    <m:t>C</m:t>
                  </m:r>
                  <m:ctrlPr>
                    <w:rPr>
                      <w:rFonts w:ascii="Cambria Math" w:hAnsi="Cambria Math"/>
                      <w:i/>
                      <w:sz w:val="18"/>
                      <w:szCs w:val="21"/>
                    </w:rPr>
                  </m:ctrlPr>
                </m:e>
                <m:sub>
                  <m:r>
                    <m:rPr>
                      <m:sty m:val="p"/>
                    </m:rPr>
                    <w:rPr>
                      <w:rFonts w:ascii="Cambria Math" w:hAnsi="Cambria Math"/>
                      <w:sz w:val="18"/>
                      <w:szCs w:val="21"/>
                    </w:rPr>
                    <m:t>本项目</m:t>
                  </m:r>
                  <m:ctrlPr>
                    <w:rPr>
                      <w:rFonts w:ascii="Cambria Math" w:hAnsi="Cambria Math"/>
                      <w:i/>
                      <w:sz w:val="18"/>
                      <w:szCs w:val="21"/>
                    </w:rPr>
                  </m:ctrlPr>
                </m:sub>
              </m:sSub>
            </m:oMath>
            <w:r>
              <w:rPr>
                <w:szCs w:val="21"/>
              </w:rPr>
              <w:t>最大标率＞30% □</w:t>
            </w:r>
          </w:p>
        </w:tc>
      </w:tr>
      <w:tr w14:paraId="7D419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9" w:hRule="atLeast"/>
        </w:trPr>
        <w:tc>
          <w:tcPr>
            <w:tcW w:w="541" w:type="pct"/>
            <w:vMerge w:val="continue"/>
            <w:vAlign w:val="center"/>
          </w:tcPr>
          <w:p w14:paraId="67ECF636">
            <w:pPr>
              <w:widowControl/>
              <w:snapToGrid w:val="0"/>
              <w:spacing w:before="0" w:beforeLines="0" w:line="240" w:lineRule="auto"/>
              <w:jc w:val="center"/>
              <w:rPr>
                <w:szCs w:val="21"/>
              </w:rPr>
            </w:pPr>
          </w:p>
        </w:tc>
        <w:tc>
          <w:tcPr>
            <w:tcW w:w="1064" w:type="pct"/>
            <w:vAlign w:val="center"/>
          </w:tcPr>
          <w:p w14:paraId="08AE723A">
            <w:pPr>
              <w:widowControl/>
              <w:snapToGrid w:val="0"/>
              <w:spacing w:before="0" w:beforeLines="0" w:line="240" w:lineRule="auto"/>
              <w:jc w:val="center"/>
              <w:rPr>
                <w:szCs w:val="21"/>
              </w:rPr>
            </w:pPr>
            <w:r>
              <w:rPr>
                <w:szCs w:val="21"/>
              </w:rPr>
              <w:t>非正常排放1h浓度贡献值</w:t>
            </w:r>
          </w:p>
        </w:tc>
        <w:tc>
          <w:tcPr>
            <w:tcW w:w="821" w:type="pct"/>
            <w:gridSpan w:val="2"/>
            <w:vAlign w:val="center"/>
          </w:tcPr>
          <w:p w14:paraId="2760D12C">
            <w:pPr>
              <w:widowControl/>
              <w:snapToGrid w:val="0"/>
              <w:spacing w:before="0" w:beforeLines="0" w:line="240" w:lineRule="auto"/>
              <w:jc w:val="center"/>
              <w:rPr>
                <w:szCs w:val="21"/>
              </w:rPr>
            </w:pPr>
            <w:r>
              <w:rPr>
                <w:szCs w:val="21"/>
              </w:rPr>
              <w:t>非正常持续时长（ 1）h</w:t>
            </w:r>
          </w:p>
        </w:tc>
        <w:tc>
          <w:tcPr>
            <w:tcW w:w="1328" w:type="pct"/>
            <w:gridSpan w:val="8"/>
            <w:vAlign w:val="center"/>
          </w:tcPr>
          <w:p w14:paraId="48453E01">
            <w:pPr>
              <w:widowControl/>
              <w:snapToGrid w:val="0"/>
              <w:spacing w:before="0" w:beforeLines="0" w:after="31" w:line="240" w:lineRule="auto"/>
              <w:jc w:val="center"/>
              <w:rPr>
                <w:szCs w:val="21"/>
              </w:rPr>
            </w:pPr>
            <m:oMath>
              <m:sSub>
                <m:sSubPr>
                  <m:ctrlPr>
                    <w:rPr>
                      <w:rFonts w:ascii="Cambria Math" w:hAnsi="Cambria Math"/>
                      <w:i/>
                      <w:sz w:val="18"/>
                      <w:szCs w:val="21"/>
                    </w:rPr>
                  </m:ctrlPr>
                </m:sSubPr>
                <m:e>
                  <m:r>
                    <m:rPr/>
                    <w:rPr>
                      <w:rFonts w:ascii="Cambria Math" w:hAnsi="Cambria Math"/>
                      <w:sz w:val="18"/>
                      <w:szCs w:val="21"/>
                    </w:rPr>
                    <m:t>C</m:t>
                  </m:r>
                  <m:ctrlPr>
                    <w:rPr>
                      <w:rFonts w:ascii="Cambria Math" w:hAnsi="Cambria Math"/>
                      <w:i/>
                      <w:sz w:val="18"/>
                      <w:szCs w:val="21"/>
                    </w:rPr>
                  </m:ctrlPr>
                </m:e>
                <m:sub>
                  <m:r>
                    <m:rPr>
                      <m:sty m:val="p"/>
                    </m:rPr>
                    <w:rPr>
                      <w:rFonts w:ascii="Cambria Math" w:hAnsi="Cambria Math"/>
                      <w:sz w:val="18"/>
                      <w:szCs w:val="21"/>
                    </w:rPr>
                    <m:t>非正常</m:t>
                  </m:r>
                  <m:ctrlPr>
                    <w:rPr>
                      <w:rFonts w:ascii="Cambria Math" w:hAnsi="Cambria Math"/>
                      <w:i/>
                      <w:sz w:val="18"/>
                      <w:szCs w:val="21"/>
                    </w:rPr>
                  </m:ctrlPr>
                </m:sub>
              </m:sSub>
            </m:oMath>
            <w:r>
              <w:rPr>
                <w:szCs w:val="21"/>
              </w:rPr>
              <w:t xml:space="preserve">占标率≤100% </w:t>
            </w:r>
            <w:r>
              <w:rPr>
                <w:szCs w:val="21"/>
              </w:rPr>
              <w:sym w:font="Wingdings 2" w:char="0052"/>
            </w:r>
          </w:p>
        </w:tc>
        <w:tc>
          <w:tcPr>
            <w:tcW w:w="1246" w:type="pct"/>
            <w:gridSpan w:val="5"/>
            <w:vAlign w:val="center"/>
          </w:tcPr>
          <w:p w14:paraId="23688EF9">
            <w:pPr>
              <w:widowControl/>
              <w:snapToGrid w:val="0"/>
              <w:spacing w:before="0" w:beforeLines="0" w:line="240" w:lineRule="auto"/>
              <w:jc w:val="center"/>
              <w:rPr>
                <w:szCs w:val="21"/>
              </w:rPr>
            </w:pPr>
            <m:oMath>
              <m:sSub>
                <m:sSubPr>
                  <m:ctrlPr>
                    <w:rPr>
                      <w:rFonts w:ascii="Cambria Math" w:hAnsi="Cambria Math"/>
                      <w:i/>
                      <w:sz w:val="18"/>
                      <w:szCs w:val="21"/>
                    </w:rPr>
                  </m:ctrlPr>
                </m:sSubPr>
                <m:e>
                  <m:r>
                    <m:rPr/>
                    <w:rPr>
                      <w:rFonts w:ascii="Cambria Math" w:hAnsi="Cambria Math"/>
                      <w:sz w:val="18"/>
                      <w:szCs w:val="21"/>
                    </w:rPr>
                    <m:t>C</m:t>
                  </m:r>
                  <m:ctrlPr>
                    <w:rPr>
                      <w:rFonts w:ascii="Cambria Math" w:hAnsi="Cambria Math"/>
                      <w:i/>
                      <w:sz w:val="18"/>
                      <w:szCs w:val="21"/>
                    </w:rPr>
                  </m:ctrlPr>
                </m:e>
                <m:sub>
                  <m:r>
                    <m:rPr>
                      <m:sty m:val="p"/>
                    </m:rPr>
                    <w:rPr>
                      <w:rFonts w:ascii="Cambria Math" w:hAnsi="Cambria Math"/>
                      <w:sz w:val="18"/>
                      <w:szCs w:val="21"/>
                    </w:rPr>
                    <m:t>非正常</m:t>
                  </m:r>
                  <m:ctrlPr>
                    <w:rPr>
                      <w:rFonts w:ascii="Cambria Math" w:hAnsi="Cambria Math"/>
                      <w:i/>
                      <w:sz w:val="18"/>
                      <w:szCs w:val="21"/>
                    </w:rPr>
                  </m:ctrlPr>
                </m:sub>
              </m:sSub>
            </m:oMath>
            <w:r>
              <w:rPr>
                <w:szCs w:val="21"/>
              </w:rPr>
              <w:t>占标率＞100%□</w:t>
            </w:r>
          </w:p>
        </w:tc>
      </w:tr>
      <w:tr w14:paraId="7E2AD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08" w:hRule="atLeast"/>
        </w:trPr>
        <w:tc>
          <w:tcPr>
            <w:tcW w:w="541" w:type="pct"/>
            <w:vMerge w:val="continue"/>
            <w:vAlign w:val="center"/>
          </w:tcPr>
          <w:p w14:paraId="58F4B4E9">
            <w:pPr>
              <w:widowControl/>
              <w:snapToGrid w:val="0"/>
              <w:spacing w:before="0" w:beforeLines="0" w:line="240" w:lineRule="auto"/>
              <w:jc w:val="center"/>
              <w:rPr>
                <w:szCs w:val="21"/>
              </w:rPr>
            </w:pPr>
          </w:p>
        </w:tc>
        <w:tc>
          <w:tcPr>
            <w:tcW w:w="1064" w:type="pct"/>
            <w:vAlign w:val="center"/>
          </w:tcPr>
          <w:p w14:paraId="3ECD227D">
            <w:pPr>
              <w:widowControl/>
              <w:snapToGrid w:val="0"/>
              <w:spacing w:before="0" w:beforeLines="0" w:line="240" w:lineRule="auto"/>
              <w:jc w:val="center"/>
              <w:rPr>
                <w:szCs w:val="21"/>
              </w:rPr>
            </w:pPr>
            <w:r>
              <w:rPr>
                <w:szCs w:val="21"/>
              </w:rPr>
              <w:t>保证率日平均浓度和年平均浓度叠加值</w:t>
            </w:r>
          </w:p>
        </w:tc>
        <w:tc>
          <w:tcPr>
            <w:tcW w:w="1535" w:type="pct"/>
            <w:gridSpan w:val="7"/>
            <w:vAlign w:val="center"/>
          </w:tcPr>
          <w:p w14:paraId="5EB0F910">
            <w:pPr>
              <w:widowControl/>
              <w:snapToGrid w:val="0"/>
              <w:spacing w:before="0" w:beforeLines="0" w:line="240" w:lineRule="auto"/>
              <w:jc w:val="center"/>
              <w:rPr>
                <w:szCs w:val="21"/>
              </w:rPr>
            </w:pPr>
            <m:oMath>
              <m:sSub>
                <m:sSubPr>
                  <m:ctrlPr>
                    <w:rPr>
                      <w:rFonts w:ascii="Cambria Math" w:hAnsi="Cambria Math"/>
                      <w:i/>
                      <w:sz w:val="18"/>
                      <w:szCs w:val="21"/>
                    </w:rPr>
                  </m:ctrlPr>
                </m:sSubPr>
                <m:e>
                  <m:r>
                    <m:rPr/>
                    <w:rPr>
                      <w:rFonts w:ascii="Cambria Math" w:hAnsi="Cambria Math"/>
                      <w:sz w:val="18"/>
                      <w:szCs w:val="21"/>
                    </w:rPr>
                    <m:t>C</m:t>
                  </m:r>
                  <m:ctrlPr>
                    <w:rPr>
                      <w:rFonts w:ascii="Cambria Math" w:hAnsi="Cambria Math"/>
                      <w:i/>
                      <w:sz w:val="18"/>
                      <w:szCs w:val="21"/>
                    </w:rPr>
                  </m:ctrlPr>
                </m:e>
                <m:sub>
                  <m:r>
                    <m:rPr>
                      <m:sty m:val="p"/>
                    </m:rPr>
                    <w:rPr>
                      <w:rFonts w:ascii="Cambria Math" w:hAnsi="Cambria Math"/>
                      <w:sz w:val="18"/>
                      <w:szCs w:val="21"/>
                    </w:rPr>
                    <m:t>叠加</m:t>
                  </m:r>
                  <m:ctrlPr>
                    <w:rPr>
                      <w:rFonts w:ascii="Cambria Math" w:hAnsi="Cambria Math"/>
                      <w:i/>
                      <w:sz w:val="18"/>
                      <w:szCs w:val="21"/>
                    </w:rPr>
                  </m:ctrlPr>
                </m:sub>
              </m:sSub>
            </m:oMath>
            <w:r>
              <w:rPr>
                <w:szCs w:val="21"/>
              </w:rPr>
              <w:t>达标</w:t>
            </w:r>
            <w:r>
              <w:rPr>
                <w:szCs w:val="21"/>
              </w:rPr>
              <w:sym w:font="Wingdings 2" w:char="0052"/>
            </w:r>
          </w:p>
        </w:tc>
        <w:tc>
          <w:tcPr>
            <w:tcW w:w="1860" w:type="pct"/>
            <w:gridSpan w:val="8"/>
            <w:vAlign w:val="center"/>
          </w:tcPr>
          <w:p w14:paraId="464FCAFB">
            <w:pPr>
              <w:widowControl/>
              <w:snapToGrid w:val="0"/>
              <w:spacing w:before="0" w:beforeLines="0" w:line="240" w:lineRule="auto"/>
              <w:jc w:val="center"/>
              <w:rPr>
                <w:szCs w:val="21"/>
              </w:rPr>
            </w:pPr>
            <m:oMath>
              <m:sSub>
                <m:sSubPr>
                  <m:ctrlPr>
                    <w:rPr>
                      <w:rFonts w:ascii="Cambria Math" w:hAnsi="Cambria Math"/>
                      <w:i/>
                      <w:sz w:val="18"/>
                      <w:szCs w:val="21"/>
                    </w:rPr>
                  </m:ctrlPr>
                </m:sSubPr>
                <m:e>
                  <m:r>
                    <m:rPr/>
                    <w:rPr>
                      <w:rFonts w:ascii="Cambria Math" w:hAnsi="Cambria Math"/>
                      <w:sz w:val="18"/>
                      <w:szCs w:val="21"/>
                    </w:rPr>
                    <m:t>C</m:t>
                  </m:r>
                  <m:ctrlPr>
                    <w:rPr>
                      <w:rFonts w:ascii="Cambria Math" w:hAnsi="Cambria Math"/>
                      <w:i/>
                      <w:sz w:val="18"/>
                      <w:szCs w:val="21"/>
                    </w:rPr>
                  </m:ctrlPr>
                </m:e>
                <m:sub>
                  <m:r>
                    <m:rPr>
                      <m:sty m:val="p"/>
                    </m:rPr>
                    <w:rPr>
                      <w:rFonts w:ascii="Cambria Math" w:hAnsi="Cambria Math"/>
                      <w:sz w:val="18"/>
                      <w:szCs w:val="21"/>
                    </w:rPr>
                    <m:t>叠加</m:t>
                  </m:r>
                  <m:ctrlPr>
                    <w:rPr>
                      <w:rFonts w:ascii="Cambria Math" w:hAnsi="Cambria Math"/>
                      <w:i/>
                      <w:sz w:val="18"/>
                      <w:szCs w:val="21"/>
                    </w:rPr>
                  </m:ctrlPr>
                </m:sub>
              </m:sSub>
            </m:oMath>
            <w:r>
              <w:rPr>
                <w:szCs w:val="21"/>
              </w:rPr>
              <w:t>不达标 □</w:t>
            </w:r>
          </w:p>
        </w:tc>
      </w:tr>
      <w:tr w14:paraId="049A5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9" w:hRule="atLeast"/>
        </w:trPr>
        <w:tc>
          <w:tcPr>
            <w:tcW w:w="541" w:type="pct"/>
            <w:vMerge w:val="continue"/>
            <w:vAlign w:val="center"/>
          </w:tcPr>
          <w:p w14:paraId="4C58F26A">
            <w:pPr>
              <w:widowControl/>
              <w:snapToGrid w:val="0"/>
              <w:spacing w:before="0" w:beforeLines="0" w:line="240" w:lineRule="auto"/>
              <w:jc w:val="center"/>
              <w:rPr>
                <w:szCs w:val="21"/>
              </w:rPr>
            </w:pPr>
          </w:p>
        </w:tc>
        <w:tc>
          <w:tcPr>
            <w:tcW w:w="1064" w:type="pct"/>
            <w:vAlign w:val="center"/>
          </w:tcPr>
          <w:p w14:paraId="0B58975D">
            <w:pPr>
              <w:widowControl/>
              <w:snapToGrid w:val="0"/>
              <w:spacing w:before="0" w:beforeLines="0" w:line="240" w:lineRule="auto"/>
              <w:jc w:val="center"/>
              <w:rPr>
                <w:szCs w:val="21"/>
              </w:rPr>
            </w:pPr>
            <w:r>
              <w:rPr>
                <w:szCs w:val="21"/>
              </w:rPr>
              <w:t>区域环境质量的整体变化情况</w:t>
            </w:r>
          </w:p>
        </w:tc>
        <w:tc>
          <w:tcPr>
            <w:tcW w:w="1535" w:type="pct"/>
            <w:gridSpan w:val="7"/>
            <w:vAlign w:val="center"/>
          </w:tcPr>
          <w:p w14:paraId="60B38FDE">
            <w:pPr>
              <w:widowControl/>
              <w:snapToGrid w:val="0"/>
              <w:spacing w:before="0" w:beforeLines="0" w:line="240" w:lineRule="auto"/>
              <w:jc w:val="center"/>
              <w:rPr>
                <w:szCs w:val="21"/>
              </w:rPr>
            </w:pPr>
            <w:r>
              <w:rPr>
                <w:i/>
                <w:szCs w:val="21"/>
              </w:rPr>
              <w:t xml:space="preserve">k </w:t>
            </w:r>
            <w:r>
              <w:rPr>
                <w:szCs w:val="21"/>
              </w:rPr>
              <w:t>≤-20% □</w:t>
            </w:r>
          </w:p>
        </w:tc>
        <w:tc>
          <w:tcPr>
            <w:tcW w:w="1860" w:type="pct"/>
            <w:gridSpan w:val="8"/>
            <w:vAlign w:val="center"/>
          </w:tcPr>
          <w:p w14:paraId="63A3239E">
            <w:pPr>
              <w:widowControl/>
              <w:snapToGrid w:val="0"/>
              <w:spacing w:before="0" w:beforeLines="0" w:line="240" w:lineRule="auto"/>
              <w:jc w:val="center"/>
              <w:rPr>
                <w:szCs w:val="21"/>
              </w:rPr>
            </w:pPr>
            <w:r>
              <w:rPr>
                <w:i/>
                <w:szCs w:val="21"/>
              </w:rPr>
              <w:t>k</w:t>
            </w:r>
            <w:r>
              <w:rPr>
                <w:szCs w:val="21"/>
              </w:rPr>
              <w:t xml:space="preserve"> ＞-20% □</w:t>
            </w:r>
          </w:p>
        </w:tc>
      </w:tr>
      <w:tr w14:paraId="2E4FA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9" w:hRule="atLeast"/>
        </w:trPr>
        <w:tc>
          <w:tcPr>
            <w:tcW w:w="541" w:type="pct"/>
            <w:vMerge w:val="restart"/>
            <w:vAlign w:val="center"/>
          </w:tcPr>
          <w:p w14:paraId="3099AA8F">
            <w:pPr>
              <w:widowControl/>
              <w:snapToGrid w:val="0"/>
              <w:spacing w:before="0" w:beforeLines="0" w:line="240" w:lineRule="auto"/>
              <w:jc w:val="center"/>
              <w:rPr>
                <w:szCs w:val="21"/>
              </w:rPr>
            </w:pPr>
            <w:r>
              <w:rPr>
                <w:szCs w:val="21"/>
              </w:rPr>
              <w:t>环境监测</w:t>
            </w:r>
          </w:p>
          <w:p w14:paraId="12310C1D">
            <w:pPr>
              <w:widowControl/>
              <w:snapToGrid w:val="0"/>
              <w:spacing w:before="0" w:beforeLines="0" w:line="240" w:lineRule="auto"/>
              <w:jc w:val="center"/>
              <w:rPr>
                <w:szCs w:val="21"/>
              </w:rPr>
            </w:pPr>
            <w:r>
              <w:rPr>
                <w:szCs w:val="21"/>
              </w:rPr>
              <w:t>计划</w:t>
            </w:r>
          </w:p>
        </w:tc>
        <w:tc>
          <w:tcPr>
            <w:tcW w:w="1064" w:type="pct"/>
            <w:vAlign w:val="center"/>
          </w:tcPr>
          <w:p w14:paraId="7EAA780B">
            <w:pPr>
              <w:widowControl/>
              <w:snapToGrid w:val="0"/>
              <w:spacing w:before="0" w:beforeLines="0" w:line="240" w:lineRule="auto"/>
              <w:jc w:val="center"/>
              <w:rPr>
                <w:szCs w:val="21"/>
              </w:rPr>
            </w:pPr>
            <w:r>
              <w:rPr>
                <w:szCs w:val="21"/>
              </w:rPr>
              <w:t>污染源监测</w:t>
            </w:r>
          </w:p>
        </w:tc>
        <w:tc>
          <w:tcPr>
            <w:tcW w:w="1525" w:type="pct"/>
            <w:gridSpan w:val="6"/>
            <w:vAlign w:val="center"/>
          </w:tcPr>
          <w:p w14:paraId="6CCC3115">
            <w:pPr>
              <w:widowControl/>
              <w:snapToGrid w:val="0"/>
              <w:spacing w:before="0" w:beforeLines="0" w:line="240" w:lineRule="auto"/>
              <w:jc w:val="left"/>
              <w:rPr>
                <w:szCs w:val="21"/>
              </w:rPr>
            </w:pPr>
            <w:r>
              <w:rPr>
                <w:szCs w:val="21"/>
              </w:rPr>
              <w:t>监测因子：（颗粒物）</w:t>
            </w:r>
          </w:p>
        </w:tc>
        <w:tc>
          <w:tcPr>
            <w:tcW w:w="1207" w:type="pct"/>
            <w:gridSpan w:val="7"/>
            <w:vAlign w:val="center"/>
          </w:tcPr>
          <w:p w14:paraId="7083F2D4">
            <w:pPr>
              <w:widowControl/>
              <w:snapToGrid w:val="0"/>
              <w:spacing w:before="0" w:beforeLines="0" w:line="240" w:lineRule="auto"/>
              <w:jc w:val="center"/>
              <w:rPr>
                <w:szCs w:val="21"/>
              </w:rPr>
            </w:pPr>
            <w:r>
              <w:rPr>
                <w:szCs w:val="21"/>
              </w:rPr>
              <w:t>有组织废气监测</w:t>
            </w:r>
            <w:r>
              <w:rPr>
                <w:szCs w:val="21"/>
              </w:rPr>
              <w:sym w:font="Wingdings 2" w:char="F052"/>
            </w:r>
            <w:r>
              <w:rPr>
                <w:szCs w:val="21"/>
              </w:rPr>
              <w:t xml:space="preserve">    </w:t>
            </w:r>
          </w:p>
          <w:p w14:paraId="1107A721">
            <w:pPr>
              <w:widowControl/>
              <w:snapToGrid w:val="0"/>
              <w:spacing w:before="0" w:beforeLines="0" w:line="240" w:lineRule="auto"/>
              <w:jc w:val="center"/>
              <w:rPr>
                <w:szCs w:val="21"/>
              </w:rPr>
            </w:pPr>
            <w:r>
              <w:rPr>
                <w:szCs w:val="21"/>
              </w:rPr>
              <w:t>无组织废气监测</w:t>
            </w:r>
            <w:r>
              <w:rPr>
                <w:szCs w:val="21"/>
              </w:rPr>
              <w:sym w:font="Wingdings 2" w:char="F052"/>
            </w:r>
          </w:p>
        </w:tc>
        <w:tc>
          <w:tcPr>
            <w:tcW w:w="663" w:type="pct"/>
            <w:gridSpan w:val="2"/>
            <w:vAlign w:val="center"/>
          </w:tcPr>
          <w:p w14:paraId="6DA3570E">
            <w:pPr>
              <w:widowControl/>
              <w:snapToGrid w:val="0"/>
              <w:spacing w:before="0" w:beforeLines="0" w:line="240" w:lineRule="auto"/>
              <w:jc w:val="center"/>
              <w:rPr>
                <w:szCs w:val="21"/>
              </w:rPr>
            </w:pPr>
            <w:r>
              <w:rPr>
                <w:szCs w:val="21"/>
              </w:rPr>
              <w:t>无监测□</w:t>
            </w:r>
          </w:p>
        </w:tc>
      </w:tr>
      <w:tr w14:paraId="66DA7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9" w:hRule="atLeast"/>
        </w:trPr>
        <w:tc>
          <w:tcPr>
            <w:tcW w:w="541" w:type="pct"/>
            <w:vMerge w:val="continue"/>
            <w:vAlign w:val="center"/>
          </w:tcPr>
          <w:p w14:paraId="4173FBD6">
            <w:pPr>
              <w:widowControl/>
              <w:snapToGrid w:val="0"/>
              <w:spacing w:before="0" w:beforeLines="0" w:line="240" w:lineRule="auto"/>
              <w:jc w:val="center"/>
              <w:rPr>
                <w:szCs w:val="21"/>
              </w:rPr>
            </w:pPr>
          </w:p>
        </w:tc>
        <w:tc>
          <w:tcPr>
            <w:tcW w:w="1064" w:type="pct"/>
            <w:vAlign w:val="center"/>
          </w:tcPr>
          <w:p w14:paraId="19911783">
            <w:pPr>
              <w:widowControl/>
              <w:snapToGrid w:val="0"/>
              <w:spacing w:before="0" w:beforeLines="0" w:line="240" w:lineRule="auto"/>
              <w:jc w:val="center"/>
              <w:rPr>
                <w:szCs w:val="21"/>
              </w:rPr>
            </w:pPr>
            <w:r>
              <w:rPr>
                <w:szCs w:val="21"/>
              </w:rPr>
              <w:t>环境质量监测</w:t>
            </w:r>
          </w:p>
        </w:tc>
        <w:tc>
          <w:tcPr>
            <w:tcW w:w="1525" w:type="pct"/>
            <w:gridSpan w:val="6"/>
            <w:vAlign w:val="center"/>
          </w:tcPr>
          <w:p w14:paraId="6E3FBD1A">
            <w:pPr>
              <w:widowControl/>
              <w:snapToGrid w:val="0"/>
              <w:spacing w:before="0" w:beforeLines="0" w:line="240" w:lineRule="auto"/>
              <w:jc w:val="center"/>
              <w:rPr>
                <w:szCs w:val="21"/>
              </w:rPr>
            </w:pPr>
            <w:r>
              <w:rPr>
                <w:szCs w:val="21"/>
              </w:rPr>
              <w:t>监测因子：（/）</w:t>
            </w:r>
          </w:p>
        </w:tc>
        <w:tc>
          <w:tcPr>
            <w:tcW w:w="1207" w:type="pct"/>
            <w:gridSpan w:val="7"/>
            <w:vAlign w:val="center"/>
          </w:tcPr>
          <w:p w14:paraId="1E467759">
            <w:pPr>
              <w:widowControl/>
              <w:snapToGrid w:val="0"/>
              <w:spacing w:before="0" w:beforeLines="0" w:line="240" w:lineRule="auto"/>
              <w:jc w:val="center"/>
              <w:rPr>
                <w:szCs w:val="21"/>
              </w:rPr>
            </w:pPr>
            <w:r>
              <w:rPr>
                <w:szCs w:val="21"/>
              </w:rPr>
              <w:t>监测点位数（3个 ）</w:t>
            </w:r>
          </w:p>
        </w:tc>
        <w:tc>
          <w:tcPr>
            <w:tcW w:w="663" w:type="pct"/>
            <w:gridSpan w:val="2"/>
            <w:vAlign w:val="center"/>
          </w:tcPr>
          <w:p w14:paraId="105D5033">
            <w:pPr>
              <w:widowControl/>
              <w:snapToGrid w:val="0"/>
              <w:spacing w:before="0" w:beforeLines="0" w:line="240" w:lineRule="auto"/>
              <w:jc w:val="center"/>
              <w:rPr>
                <w:szCs w:val="21"/>
              </w:rPr>
            </w:pPr>
            <w:r>
              <w:rPr>
                <w:szCs w:val="21"/>
              </w:rPr>
              <w:t>无监测□</w:t>
            </w:r>
          </w:p>
        </w:tc>
      </w:tr>
      <w:tr w14:paraId="52A66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6" w:hRule="atLeast"/>
        </w:trPr>
        <w:tc>
          <w:tcPr>
            <w:tcW w:w="541" w:type="pct"/>
            <w:vMerge w:val="restart"/>
            <w:vAlign w:val="center"/>
          </w:tcPr>
          <w:p w14:paraId="661C45C8">
            <w:pPr>
              <w:widowControl/>
              <w:snapToGrid w:val="0"/>
              <w:spacing w:before="0" w:beforeLines="0" w:line="240" w:lineRule="auto"/>
              <w:jc w:val="center"/>
              <w:rPr>
                <w:szCs w:val="21"/>
              </w:rPr>
            </w:pPr>
            <w:r>
              <w:rPr>
                <w:szCs w:val="21"/>
              </w:rPr>
              <w:t>评价结论</w:t>
            </w:r>
          </w:p>
        </w:tc>
        <w:tc>
          <w:tcPr>
            <w:tcW w:w="1064" w:type="pct"/>
            <w:vAlign w:val="center"/>
          </w:tcPr>
          <w:p w14:paraId="65ADEA76">
            <w:pPr>
              <w:widowControl/>
              <w:snapToGrid w:val="0"/>
              <w:spacing w:before="0" w:beforeLines="0" w:line="240" w:lineRule="auto"/>
              <w:jc w:val="center"/>
              <w:rPr>
                <w:szCs w:val="21"/>
              </w:rPr>
            </w:pPr>
            <w:r>
              <w:rPr>
                <w:szCs w:val="21"/>
              </w:rPr>
              <w:t>环境影响</w:t>
            </w:r>
          </w:p>
        </w:tc>
        <w:tc>
          <w:tcPr>
            <w:tcW w:w="3395" w:type="pct"/>
            <w:gridSpan w:val="15"/>
            <w:vAlign w:val="center"/>
          </w:tcPr>
          <w:p w14:paraId="5C08A4C8">
            <w:pPr>
              <w:widowControl/>
              <w:snapToGrid w:val="0"/>
              <w:spacing w:before="0" w:beforeLines="0" w:line="240" w:lineRule="auto"/>
              <w:jc w:val="center"/>
              <w:rPr>
                <w:szCs w:val="21"/>
              </w:rPr>
            </w:pPr>
            <w:r>
              <w:rPr>
                <w:szCs w:val="21"/>
              </w:rPr>
              <w:t>可以接受</w:t>
            </w:r>
            <w:r>
              <w:rPr>
                <w:szCs w:val="21"/>
              </w:rPr>
              <w:sym w:font="Wingdings 2" w:char="F052"/>
            </w:r>
            <w:r>
              <w:rPr>
                <w:szCs w:val="21"/>
              </w:rPr>
              <w:t xml:space="preserve">       不可以接受 □</w:t>
            </w:r>
          </w:p>
        </w:tc>
      </w:tr>
      <w:tr w14:paraId="7E2A3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4" w:hRule="atLeast"/>
        </w:trPr>
        <w:tc>
          <w:tcPr>
            <w:tcW w:w="541" w:type="pct"/>
            <w:vMerge w:val="continue"/>
            <w:vAlign w:val="center"/>
          </w:tcPr>
          <w:p w14:paraId="54B407F0">
            <w:pPr>
              <w:widowControl/>
              <w:snapToGrid w:val="0"/>
              <w:spacing w:before="0" w:beforeLines="0" w:line="240" w:lineRule="auto"/>
              <w:jc w:val="center"/>
              <w:rPr>
                <w:szCs w:val="21"/>
              </w:rPr>
            </w:pPr>
          </w:p>
        </w:tc>
        <w:tc>
          <w:tcPr>
            <w:tcW w:w="1064" w:type="pct"/>
            <w:vAlign w:val="center"/>
          </w:tcPr>
          <w:p w14:paraId="19A15FB3">
            <w:pPr>
              <w:widowControl/>
              <w:snapToGrid w:val="0"/>
              <w:spacing w:before="0" w:beforeLines="0" w:line="240" w:lineRule="auto"/>
              <w:jc w:val="center"/>
              <w:rPr>
                <w:szCs w:val="21"/>
              </w:rPr>
            </w:pPr>
            <w:r>
              <w:rPr>
                <w:szCs w:val="21"/>
              </w:rPr>
              <w:t>大气环境防护距离</w:t>
            </w:r>
          </w:p>
        </w:tc>
        <w:tc>
          <w:tcPr>
            <w:tcW w:w="3395" w:type="pct"/>
            <w:gridSpan w:val="15"/>
            <w:vAlign w:val="center"/>
          </w:tcPr>
          <w:p w14:paraId="5EE123E0">
            <w:pPr>
              <w:widowControl/>
              <w:snapToGrid w:val="0"/>
              <w:spacing w:before="0" w:beforeLines="0" w:line="240" w:lineRule="auto"/>
              <w:jc w:val="center"/>
              <w:rPr>
                <w:szCs w:val="21"/>
              </w:rPr>
            </w:pPr>
            <w:r>
              <w:rPr>
                <w:szCs w:val="21"/>
              </w:rPr>
              <w:t>距（/）厂界最远（/）m</w:t>
            </w:r>
          </w:p>
        </w:tc>
      </w:tr>
      <w:tr w14:paraId="3A036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9" w:hRule="atLeast"/>
        </w:trPr>
        <w:tc>
          <w:tcPr>
            <w:tcW w:w="541" w:type="pct"/>
            <w:vMerge w:val="continue"/>
            <w:vAlign w:val="center"/>
          </w:tcPr>
          <w:p w14:paraId="3599D9AC">
            <w:pPr>
              <w:widowControl/>
              <w:snapToGrid w:val="0"/>
              <w:spacing w:before="0" w:beforeLines="0" w:line="240" w:lineRule="auto"/>
              <w:jc w:val="center"/>
              <w:rPr>
                <w:szCs w:val="21"/>
              </w:rPr>
            </w:pPr>
          </w:p>
        </w:tc>
        <w:tc>
          <w:tcPr>
            <w:tcW w:w="1064" w:type="pct"/>
            <w:vAlign w:val="center"/>
          </w:tcPr>
          <w:p w14:paraId="6A407A91">
            <w:pPr>
              <w:widowControl/>
              <w:snapToGrid w:val="0"/>
              <w:spacing w:before="0" w:beforeLines="0" w:line="240" w:lineRule="auto"/>
              <w:jc w:val="center"/>
              <w:rPr>
                <w:szCs w:val="21"/>
              </w:rPr>
            </w:pPr>
            <w:r>
              <w:rPr>
                <w:szCs w:val="21"/>
              </w:rPr>
              <w:t>污染源年排放量</w:t>
            </w:r>
          </w:p>
        </w:tc>
        <w:tc>
          <w:tcPr>
            <w:tcW w:w="821" w:type="pct"/>
            <w:gridSpan w:val="2"/>
            <w:vAlign w:val="center"/>
          </w:tcPr>
          <w:p w14:paraId="46AAF9C5">
            <w:pPr>
              <w:widowControl/>
              <w:snapToGrid w:val="0"/>
              <w:spacing w:before="0" w:beforeLines="0" w:line="240" w:lineRule="auto"/>
              <w:jc w:val="center"/>
              <w:rPr>
                <w:szCs w:val="21"/>
              </w:rPr>
            </w:pPr>
            <w:r>
              <w:rPr>
                <w:szCs w:val="21"/>
              </w:rPr>
              <w:t>SO</w:t>
            </w:r>
            <w:r>
              <w:rPr>
                <w:szCs w:val="21"/>
                <w:vertAlign w:val="subscript"/>
              </w:rPr>
              <w:t>2</w:t>
            </w:r>
            <w:r>
              <w:rPr>
                <w:szCs w:val="21"/>
              </w:rPr>
              <w:t>:（0）t/a</w:t>
            </w:r>
          </w:p>
        </w:tc>
        <w:tc>
          <w:tcPr>
            <w:tcW w:w="1028" w:type="pct"/>
            <w:gridSpan w:val="6"/>
            <w:vAlign w:val="center"/>
          </w:tcPr>
          <w:p w14:paraId="283CE664">
            <w:pPr>
              <w:widowControl/>
              <w:snapToGrid w:val="0"/>
              <w:spacing w:before="0" w:beforeLines="0" w:line="240" w:lineRule="auto"/>
              <w:jc w:val="center"/>
              <w:rPr>
                <w:szCs w:val="21"/>
              </w:rPr>
            </w:pPr>
            <w:r>
              <w:rPr>
                <w:szCs w:val="21"/>
              </w:rPr>
              <w:t>NO</w:t>
            </w:r>
            <w:r>
              <w:rPr>
                <w:szCs w:val="21"/>
                <w:vertAlign w:val="subscript"/>
              </w:rPr>
              <w:t>x</w:t>
            </w:r>
            <w:r>
              <w:rPr>
                <w:szCs w:val="21"/>
              </w:rPr>
              <w:t>:（0）t/a</w:t>
            </w:r>
          </w:p>
        </w:tc>
        <w:tc>
          <w:tcPr>
            <w:tcW w:w="1545" w:type="pct"/>
            <w:gridSpan w:val="7"/>
            <w:vAlign w:val="center"/>
          </w:tcPr>
          <w:p w14:paraId="435F4C6A">
            <w:pPr>
              <w:widowControl/>
              <w:snapToGrid w:val="0"/>
              <w:spacing w:before="0" w:beforeLines="0" w:line="240" w:lineRule="auto"/>
              <w:jc w:val="center"/>
              <w:rPr>
                <w:szCs w:val="21"/>
              </w:rPr>
            </w:pPr>
            <w:r>
              <w:rPr>
                <w:szCs w:val="21"/>
              </w:rPr>
              <w:t>颗粒物:（</w:t>
            </w:r>
            <w:r>
              <w:t>3</w:t>
            </w:r>
            <w:r>
              <w:rPr>
                <w:rFonts w:hint="eastAsia"/>
              </w:rPr>
              <w:t>4.18</w:t>
            </w:r>
            <w:r>
              <w:rPr>
                <w:szCs w:val="21"/>
              </w:rPr>
              <w:t>）t/a</w:t>
            </w:r>
          </w:p>
        </w:tc>
      </w:tr>
      <w:tr w14:paraId="2B3D7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 w:hRule="atLeast"/>
        </w:trPr>
        <w:tc>
          <w:tcPr>
            <w:tcW w:w="5000" w:type="pct"/>
            <w:gridSpan w:val="17"/>
            <w:vAlign w:val="center"/>
          </w:tcPr>
          <w:p w14:paraId="2E91D24C">
            <w:pPr>
              <w:widowControl/>
              <w:snapToGrid w:val="0"/>
              <w:spacing w:before="0" w:beforeLines="0" w:line="240" w:lineRule="auto"/>
              <w:jc w:val="left"/>
              <w:rPr>
                <w:szCs w:val="21"/>
              </w:rPr>
            </w:pPr>
            <w:r>
              <w:rPr>
                <w:szCs w:val="21"/>
              </w:rPr>
              <w:t>注：“□” 为勾选项 ，填“√” ；“（   ）” 为内容填写项</w:t>
            </w:r>
          </w:p>
        </w:tc>
      </w:tr>
    </w:tbl>
    <w:p w14:paraId="007CE46F">
      <w:pPr>
        <w:pStyle w:val="143"/>
        <w:spacing w:before="156"/>
        <w:sectPr>
          <w:headerReference r:id="rId23" w:type="even"/>
          <w:footerReference r:id="rId24" w:type="even"/>
          <w:pgSz w:w="11906" w:h="16838"/>
          <w:pgMar w:top="1440" w:right="1797" w:bottom="1440" w:left="1797" w:header="850" w:footer="964" w:gutter="0"/>
          <w:cols w:space="720" w:num="1"/>
          <w:docGrid w:type="lines" w:linePitch="312" w:charSpace="0"/>
        </w:sectPr>
      </w:pPr>
    </w:p>
    <w:p w14:paraId="23D46B79">
      <w:pPr>
        <w:pStyle w:val="143"/>
        <w:spacing w:before="0" w:beforeLines="0"/>
      </w:pPr>
      <w:r>
        <w:t>表2  建设项目地表水环境影响评价自查表</w:t>
      </w:r>
    </w:p>
    <w:tbl>
      <w:tblPr>
        <w:tblStyle w:val="89"/>
        <w:tblW w:w="5153"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0" w:type="dxa"/>
          <w:bottom w:w="0" w:type="dxa"/>
          <w:right w:w="0" w:type="dxa"/>
        </w:tblCellMar>
      </w:tblPr>
      <w:tblGrid>
        <w:gridCol w:w="422"/>
        <w:gridCol w:w="1271"/>
        <w:gridCol w:w="1283"/>
        <w:gridCol w:w="140"/>
        <w:gridCol w:w="643"/>
        <w:gridCol w:w="176"/>
        <w:gridCol w:w="794"/>
        <w:gridCol w:w="942"/>
        <w:gridCol w:w="284"/>
        <w:gridCol w:w="966"/>
        <w:gridCol w:w="585"/>
        <w:gridCol w:w="1046"/>
      </w:tblGrid>
      <w:tr w14:paraId="14BDE7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tblHeader/>
          <w:jc w:val="center"/>
        </w:trPr>
        <w:tc>
          <w:tcPr>
            <w:tcW w:w="990" w:type="pct"/>
            <w:gridSpan w:val="2"/>
            <w:vAlign w:val="center"/>
          </w:tcPr>
          <w:p w14:paraId="272BCF8F">
            <w:pPr>
              <w:pStyle w:val="160"/>
              <w:snapToGrid w:val="0"/>
            </w:pPr>
            <w:r>
              <w:t>工作内容</w:t>
            </w:r>
          </w:p>
        </w:tc>
        <w:tc>
          <w:tcPr>
            <w:tcW w:w="4010" w:type="pct"/>
            <w:gridSpan w:val="10"/>
            <w:vAlign w:val="center"/>
          </w:tcPr>
          <w:p w14:paraId="56C6692E">
            <w:pPr>
              <w:pStyle w:val="160"/>
              <w:snapToGrid w:val="0"/>
            </w:pPr>
            <w:r>
              <w:t>自查项目</w:t>
            </w:r>
          </w:p>
        </w:tc>
      </w:tr>
      <w:tr w14:paraId="3EB48F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restart"/>
            <w:vAlign w:val="center"/>
          </w:tcPr>
          <w:p w14:paraId="5464E32B">
            <w:pPr>
              <w:pStyle w:val="160"/>
              <w:snapToGrid w:val="0"/>
            </w:pPr>
            <w:r>
              <w:t>影响识别</w:t>
            </w:r>
          </w:p>
        </w:tc>
        <w:tc>
          <w:tcPr>
            <w:tcW w:w="743" w:type="pct"/>
            <w:vAlign w:val="center"/>
          </w:tcPr>
          <w:p w14:paraId="3D6BD1E5">
            <w:pPr>
              <w:pStyle w:val="160"/>
              <w:snapToGrid w:val="0"/>
            </w:pPr>
            <w:r>
              <w:t>影响类型</w:t>
            </w:r>
          </w:p>
        </w:tc>
        <w:tc>
          <w:tcPr>
            <w:tcW w:w="4010" w:type="pct"/>
            <w:gridSpan w:val="10"/>
            <w:vAlign w:val="center"/>
          </w:tcPr>
          <w:p w14:paraId="6C601FE5">
            <w:pPr>
              <w:pStyle w:val="160"/>
              <w:snapToGrid w:val="0"/>
            </w:pPr>
            <w:r>
              <w:t>水污染影响型√</w:t>
            </w:r>
            <w:r>
              <w:rPr>
                <w:sz w:val="2"/>
                <w:szCs w:val="2"/>
              </w:rPr>
              <w:t>√√</w:t>
            </w:r>
            <w:r>
              <w:t>；水文要素影响型</w:t>
            </w:r>
            <w:r>
              <w:rPr/>
              <w:sym w:font="Wingdings 2" w:char="00A3"/>
            </w:r>
          </w:p>
        </w:tc>
      </w:tr>
      <w:tr w14:paraId="330788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14:paraId="2FDEC1C0">
            <w:pPr>
              <w:pStyle w:val="160"/>
              <w:snapToGrid w:val="0"/>
            </w:pPr>
          </w:p>
        </w:tc>
        <w:tc>
          <w:tcPr>
            <w:tcW w:w="743" w:type="pct"/>
            <w:vAlign w:val="center"/>
          </w:tcPr>
          <w:p w14:paraId="0FBBB8EC">
            <w:pPr>
              <w:pStyle w:val="160"/>
              <w:snapToGrid w:val="0"/>
            </w:pPr>
            <w:r>
              <w:t>水环境保护目标</w:t>
            </w:r>
          </w:p>
        </w:tc>
        <w:tc>
          <w:tcPr>
            <w:tcW w:w="4010" w:type="pct"/>
            <w:gridSpan w:val="10"/>
            <w:vAlign w:val="center"/>
          </w:tcPr>
          <w:p w14:paraId="2FB1E4DE">
            <w:pPr>
              <w:pStyle w:val="160"/>
              <w:snapToGrid w:val="0"/>
              <w:rPr>
                <w:spacing w:val="-6"/>
              </w:rPr>
            </w:pPr>
            <w:r>
              <w:rPr>
                <w:rFonts w:hint="eastAsia"/>
                <w:spacing w:val="-6"/>
                <w:lang w:eastAsia="zh-CN"/>
              </w:rPr>
              <w:t>饮用水水源</w:t>
            </w:r>
            <w:r>
              <w:rPr>
                <w:spacing w:val="-6"/>
              </w:rPr>
              <w:t>保护区</w:t>
            </w:r>
            <w:r>
              <w:rPr>
                <w:spacing w:val="-6"/>
              </w:rPr>
              <w:sym w:font="Wingdings 2" w:char="00A3"/>
            </w:r>
            <w:r>
              <w:rPr>
                <w:spacing w:val="-6"/>
              </w:rPr>
              <w:t>；饮用水取水口；涉水的自然保护区</w:t>
            </w:r>
            <w:r>
              <w:rPr>
                <w:spacing w:val="-6"/>
              </w:rPr>
              <w:sym w:font="Wingdings 2" w:char="00A3"/>
            </w:r>
            <w:r>
              <w:rPr>
                <w:spacing w:val="-6"/>
              </w:rPr>
              <w:t>；重要湿地</w:t>
            </w:r>
            <w:r>
              <w:rPr>
                <w:spacing w:val="-6"/>
              </w:rPr>
              <w:sym w:font="Wingdings 2" w:char="00A3"/>
            </w:r>
            <w:r>
              <w:rPr>
                <w:spacing w:val="-6"/>
              </w:rPr>
              <w:t>；</w:t>
            </w:r>
          </w:p>
          <w:p w14:paraId="56A5D5CA">
            <w:pPr>
              <w:pStyle w:val="160"/>
              <w:snapToGrid w:val="0"/>
            </w:pPr>
            <w:r>
              <w:t>重点保护与珍稀水生生物的栖息地</w:t>
            </w:r>
            <w:r>
              <w:rPr/>
              <w:sym w:font="Wingdings 2" w:char="00A3"/>
            </w:r>
            <w:r>
              <w:t>；重要水生生物的自然产卵地及索</w:t>
            </w:r>
            <w:r>
              <w:rPr>
                <w:rFonts w:hint="eastAsia"/>
                <w:lang w:eastAsia="zh-CN"/>
              </w:rPr>
              <w:t>饵</w:t>
            </w:r>
            <w:r>
              <w:t>场、越冬场和洄游通道、天然渔场等水体；涉水的风景名胜区</w:t>
            </w:r>
            <w:r>
              <w:rPr/>
              <w:sym w:font="Wingdings 2" w:char="00A3"/>
            </w:r>
            <w:r>
              <w:t>；其他</w:t>
            </w:r>
            <w:r>
              <w:rPr/>
              <w:sym w:font="Wingdings 2" w:char="00A3"/>
            </w:r>
          </w:p>
        </w:tc>
      </w:tr>
      <w:tr w14:paraId="69F2CB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14:paraId="4310CDE5">
            <w:pPr>
              <w:pStyle w:val="160"/>
              <w:snapToGrid w:val="0"/>
            </w:pPr>
          </w:p>
        </w:tc>
        <w:tc>
          <w:tcPr>
            <w:tcW w:w="743" w:type="pct"/>
            <w:vMerge w:val="restart"/>
            <w:vAlign w:val="center"/>
          </w:tcPr>
          <w:p w14:paraId="76B7A261">
            <w:pPr>
              <w:pStyle w:val="160"/>
              <w:snapToGrid w:val="0"/>
            </w:pPr>
            <w:r>
              <w:t>影响途径</w:t>
            </w:r>
          </w:p>
        </w:tc>
        <w:tc>
          <w:tcPr>
            <w:tcW w:w="2326" w:type="pct"/>
            <w:gridSpan w:val="6"/>
            <w:vAlign w:val="center"/>
          </w:tcPr>
          <w:p w14:paraId="7DDD5B6B">
            <w:pPr>
              <w:pStyle w:val="160"/>
              <w:snapToGrid w:val="0"/>
            </w:pPr>
            <w:r>
              <w:t>水污染影响型</w:t>
            </w:r>
          </w:p>
        </w:tc>
        <w:tc>
          <w:tcPr>
            <w:tcW w:w="1684" w:type="pct"/>
            <w:gridSpan w:val="4"/>
            <w:vAlign w:val="center"/>
          </w:tcPr>
          <w:p w14:paraId="30092590">
            <w:pPr>
              <w:pStyle w:val="160"/>
              <w:snapToGrid w:val="0"/>
            </w:pPr>
            <w:r>
              <w:t>水文要素影响型</w:t>
            </w:r>
          </w:p>
        </w:tc>
      </w:tr>
      <w:tr w14:paraId="392230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14:paraId="2270CEFC">
            <w:pPr>
              <w:pStyle w:val="160"/>
              <w:snapToGrid w:val="0"/>
            </w:pPr>
          </w:p>
        </w:tc>
        <w:tc>
          <w:tcPr>
            <w:tcW w:w="743" w:type="pct"/>
            <w:vMerge w:val="continue"/>
            <w:vAlign w:val="center"/>
          </w:tcPr>
          <w:p w14:paraId="5CC15A5C">
            <w:pPr>
              <w:pStyle w:val="160"/>
              <w:snapToGrid w:val="0"/>
            </w:pPr>
          </w:p>
        </w:tc>
        <w:tc>
          <w:tcPr>
            <w:tcW w:w="2326" w:type="pct"/>
            <w:gridSpan w:val="6"/>
            <w:vAlign w:val="center"/>
          </w:tcPr>
          <w:p w14:paraId="00B459D6">
            <w:pPr>
              <w:pStyle w:val="160"/>
              <w:snapToGrid w:val="0"/>
            </w:pPr>
            <w:r>
              <w:t>直接排放</w:t>
            </w:r>
            <w:r>
              <w:rPr/>
              <w:sym w:font="Wingdings 2" w:char="00A3"/>
            </w:r>
            <w:r>
              <w:rPr>
                <w:bCs/>
                <w:sz w:val="2"/>
                <w:szCs w:val="2"/>
              </w:rPr>
              <w:t>A</w:t>
            </w:r>
            <w:r>
              <w:t>；间接排放</w:t>
            </w:r>
            <w:r>
              <w:rPr/>
              <w:sym w:font="Wingdings 2" w:char="00A3"/>
            </w:r>
            <w:r>
              <w:rPr>
                <w:bCs/>
                <w:sz w:val="2"/>
                <w:szCs w:val="2"/>
              </w:rPr>
              <w:t>A</w:t>
            </w:r>
            <w:r>
              <w:t xml:space="preserve">；其他 </w:t>
            </w:r>
            <w:r>
              <w:rPr/>
              <w:sym w:font="Wingdings 2" w:char="0052"/>
            </w:r>
          </w:p>
        </w:tc>
        <w:tc>
          <w:tcPr>
            <w:tcW w:w="1684" w:type="pct"/>
            <w:gridSpan w:val="4"/>
            <w:vAlign w:val="center"/>
          </w:tcPr>
          <w:p w14:paraId="21E71520">
            <w:pPr>
              <w:pStyle w:val="160"/>
              <w:snapToGrid w:val="0"/>
            </w:pPr>
            <w:r>
              <w:t>水温</w:t>
            </w:r>
            <w:r>
              <w:rPr/>
              <w:sym w:font="Wingdings 2" w:char="00A3"/>
            </w:r>
            <w:r>
              <w:t xml:space="preserve">；径流 </w:t>
            </w:r>
            <w:r>
              <w:rPr/>
              <w:sym w:font="Wingdings 2" w:char="00A3"/>
            </w:r>
            <w:r>
              <w:t xml:space="preserve">；水域面积 </w:t>
            </w:r>
            <w:r>
              <w:rPr/>
              <w:sym w:font="Wingdings 2" w:char="00A3"/>
            </w:r>
          </w:p>
        </w:tc>
      </w:tr>
      <w:tr w14:paraId="095E58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14:paraId="6FB765C7">
            <w:pPr>
              <w:pStyle w:val="160"/>
              <w:snapToGrid w:val="0"/>
            </w:pPr>
          </w:p>
        </w:tc>
        <w:tc>
          <w:tcPr>
            <w:tcW w:w="743" w:type="pct"/>
            <w:vAlign w:val="center"/>
          </w:tcPr>
          <w:p w14:paraId="69C86D17">
            <w:pPr>
              <w:pStyle w:val="160"/>
              <w:snapToGrid w:val="0"/>
            </w:pPr>
            <w:r>
              <w:t>影响因子</w:t>
            </w:r>
          </w:p>
        </w:tc>
        <w:tc>
          <w:tcPr>
            <w:tcW w:w="2326" w:type="pct"/>
            <w:gridSpan w:val="6"/>
            <w:vAlign w:val="center"/>
          </w:tcPr>
          <w:p w14:paraId="490DF77A">
            <w:pPr>
              <w:pStyle w:val="160"/>
              <w:snapToGrid w:val="0"/>
            </w:pPr>
            <w:r>
              <w:t>持久性污染物</w:t>
            </w:r>
            <w:r>
              <w:rPr/>
              <w:sym w:font="Wingdings 2" w:char="00A3"/>
            </w:r>
            <w:r>
              <w:t xml:space="preserve">；有毒有害污染物 </w:t>
            </w:r>
            <w:r>
              <w:rPr/>
              <w:sym w:font="Wingdings 2" w:char="00A3"/>
            </w:r>
            <w:r>
              <w:t xml:space="preserve">；非持久性污染物 </w:t>
            </w:r>
            <w:r>
              <w:rPr/>
              <w:sym w:font="Wingdings 2" w:char="00A3"/>
            </w:r>
            <w:r>
              <w:t>；pH值</w:t>
            </w:r>
            <w:r>
              <w:rPr/>
              <w:sym w:font="Wingdings 2" w:char="00A3"/>
            </w:r>
            <w:r>
              <w:t xml:space="preserve">；热污染 </w:t>
            </w:r>
            <w:r>
              <w:rPr/>
              <w:sym w:font="Wingdings 2" w:char="00A3"/>
            </w:r>
            <w:r>
              <w:t xml:space="preserve">；富营养化 </w:t>
            </w:r>
            <w:r>
              <w:rPr/>
              <w:sym w:font="Wingdings 2" w:char="00A3"/>
            </w:r>
            <w:r>
              <w:t>；其他</w:t>
            </w:r>
            <w:r>
              <w:rPr/>
              <w:sym w:font="Wingdings 2" w:char="00A3"/>
            </w:r>
          </w:p>
        </w:tc>
        <w:tc>
          <w:tcPr>
            <w:tcW w:w="1684" w:type="pct"/>
            <w:gridSpan w:val="4"/>
            <w:vAlign w:val="center"/>
          </w:tcPr>
          <w:p w14:paraId="37DBE148">
            <w:pPr>
              <w:pStyle w:val="160"/>
              <w:snapToGrid w:val="0"/>
            </w:pPr>
            <w:r>
              <w:t>水温</w:t>
            </w:r>
            <w:r>
              <w:rPr/>
              <w:sym w:font="Wingdings 2" w:char="00A3"/>
            </w:r>
            <w:r>
              <w:t>；水位（水深）</w:t>
            </w:r>
            <w:r>
              <w:rPr/>
              <w:sym w:font="Wingdings 2" w:char="00A3"/>
            </w:r>
            <w:r>
              <w:t>；流速</w:t>
            </w:r>
            <w:r>
              <w:rPr/>
              <w:sym w:font="Wingdings 2" w:char="00A3"/>
            </w:r>
            <w:r>
              <w:t>；流量</w:t>
            </w:r>
            <w:r>
              <w:rPr/>
              <w:sym w:font="Wingdings 2" w:char="00A3"/>
            </w:r>
            <w:r>
              <w:t>；其他</w:t>
            </w:r>
            <w:r>
              <w:rPr/>
              <w:sym w:font="Wingdings 2" w:char="00A3"/>
            </w:r>
          </w:p>
        </w:tc>
      </w:tr>
      <w:tr w14:paraId="53282F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990" w:type="pct"/>
            <w:gridSpan w:val="2"/>
            <w:vMerge w:val="restart"/>
            <w:vAlign w:val="center"/>
          </w:tcPr>
          <w:p w14:paraId="0374370E">
            <w:pPr>
              <w:pStyle w:val="160"/>
              <w:snapToGrid w:val="0"/>
            </w:pPr>
            <w:r>
              <w:t>评价等级</w:t>
            </w:r>
          </w:p>
        </w:tc>
        <w:tc>
          <w:tcPr>
            <w:tcW w:w="2326" w:type="pct"/>
            <w:gridSpan w:val="6"/>
            <w:vAlign w:val="center"/>
          </w:tcPr>
          <w:p w14:paraId="1C70D08E">
            <w:pPr>
              <w:pStyle w:val="160"/>
              <w:snapToGrid w:val="0"/>
            </w:pPr>
            <w:r>
              <w:t>水污染影响型</w:t>
            </w:r>
          </w:p>
        </w:tc>
        <w:tc>
          <w:tcPr>
            <w:tcW w:w="1684" w:type="pct"/>
            <w:gridSpan w:val="4"/>
            <w:vAlign w:val="center"/>
          </w:tcPr>
          <w:p w14:paraId="2EFDA177">
            <w:pPr>
              <w:pStyle w:val="160"/>
              <w:snapToGrid w:val="0"/>
            </w:pPr>
            <w:r>
              <w:t>水文要素影响型</w:t>
            </w:r>
          </w:p>
        </w:tc>
      </w:tr>
      <w:tr w14:paraId="348597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990" w:type="pct"/>
            <w:gridSpan w:val="2"/>
            <w:vMerge w:val="continue"/>
            <w:vAlign w:val="center"/>
          </w:tcPr>
          <w:p w14:paraId="47BF39BF">
            <w:pPr>
              <w:pStyle w:val="160"/>
              <w:snapToGrid w:val="0"/>
            </w:pPr>
          </w:p>
        </w:tc>
        <w:tc>
          <w:tcPr>
            <w:tcW w:w="2326" w:type="pct"/>
            <w:gridSpan w:val="6"/>
            <w:vAlign w:val="center"/>
          </w:tcPr>
          <w:p w14:paraId="0E171F8B">
            <w:pPr>
              <w:pStyle w:val="160"/>
              <w:snapToGrid w:val="0"/>
            </w:pPr>
            <w:r>
              <w:t>一级</w:t>
            </w:r>
            <w:r>
              <w:rPr>
                <w:sz w:val="2"/>
                <w:szCs w:val="2"/>
              </w:rPr>
              <w:t>A</w:t>
            </w:r>
            <w:r>
              <w:rPr/>
              <w:sym w:font="Wingdings 2" w:char="00A3"/>
            </w:r>
            <w:r>
              <w:rPr>
                <w:bCs/>
                <w:sz w:val="2"/>
                <w:szCs w:val="2"/>
              </w:rPr>
              <w:t>A</w:t>
            </w:r>
            <w:r>
              <w:t>；二级</w:t>
            </w:r>
            <w:r>
              <w:rPr/>
              <w:sym w:font="Wingdings 2" w:char="00A3"/>
            </w:r>
            <w:r>
              <w:t>；三级A</w:t>
            </w:r>
            <w:r>
              <w:rPr/>
              <w:sym w:font="Wingdings 2" w:char="00A3"/>
            </w:r>
            <w:r>
              <w:t>；三级B√</w:t>
            </w:r>
          </w:p>
        </w:tc>
        <w:tc>
          <w:tcPr>
            <w:tcW w:w="1684" w:type="pct"/>
            <w:gridSpan w:val="4"/>
            <w:vAlign w:val="center"/>
          </w:tcPr>
          <w:p w14:paraId="2821D218">
            <w:pPr>
              <w:pStyle w:val="160"/>
              <w:snapToGrid w:val="0"/>
            </w:pPr>
            <w:r>
              <w:t xml:space="preserve">一级 </w:t>
            </w:r>
            <w:r>
              <w:rPr/>
              <w:sym w:font="Wingdings 2" w:char="00A3"/>
            </w:r>
            <w:r>
              <w:t xml:space="preserve">；二级 </w:t>
            </w:r>
            <w:r>
              <w:rPr/>
              <w:sym w:font="Wingdings 2" w:char="00A3"/>
            </w:r>
            <w:r>
              <w:t xml:space="preserve">；三级 </w:t>
            </w:r>
            <w:r>
              <w:rPr/>
              <w:sym w:font="Wingdings 2" w:char="00A3"/>
            </w:r>
          </w:p>
        </w:tc>
      </w:tr>
      <w:tr w14:paraId="181A79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restart"/>
            <w:vAlign w:val="center"/>
          </w:tcPr>
          <w:p w14:paraId="041F0AFF">
            <w:pPr>
              <w:pStyle w:val="160"/>
              <w:snapToGrid w:val="0"/>
            </w:pPr>
            <w:r>
              <w:t>现状调查</w:t>
            </w:r>
          </w:p>
        </w:tc>
        <w:tc>
          <w:tcPr>
            <w:tcW w:w="743" w:type="pct"/>
            <w:vMerge w:val="restart"/>
            <w:vAlign w:val="center"/>
          </w:tcPr>
          <w:p w14:paraId="35F57DBA">
            <w:pPr>
              <w:pStyle w:val="160"/>
              <w:snapToGrid w:val="0"/>
            </w:pPr>
            <w:r>
              <w:t>区域污染源</w:t>
            </w:r>
          </w:p>
        </w:tc>
        <w:tc>
          <w:tcPr>
            <w:tcW w:w="2326" w:type="pct"/>
            <w:gridSpan w:val="6"/>
            <w:vAlign w:val="center"/>
          </w:tcPr>
          <w:p w14:paraId="25E51F0A">
            <w:pPr>
              <w:pStyle w:val="160"/>
              <w:snapToGrid w:val="0"/>
            </w:pPr>
            <w:r>
              <w:t>调查项目</w:t>
            </w:r>
          </w:p>
        </w:tc>
        <w:tc>
          <w:tcPr>
            <w:tcW w:w="1684" w:type="pct"/>
            <w:gridSpan w:val="4"/>
            <w:vAlign w:val="center"/>
          </w:tcPr>
          <w:p w14:paraId="61E48DA2">
            <w:pPr>
              <w:pStyle w:val="160"/>
              <w:snapToGrid w:val="0"/>
            </w:pPr>
            <w:r>
              <w:t>数据来源</w:t>
            </w:r>
          </w:p>
        </w:tc>
      </w:tr>
      <w:tr w14:paraId="6BA105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14:paraId="4AA9D687">
            <w:pPr>
              <w:pStyle w:val="160"/>
              <w:snapToGrid w:val="0"/>
            </w:pPr>
          </w:p>
        </w:tc>
        <w:tc>
          <w:tcPr>
            <w:tcW w:w="743" w:type="pct"/>
            <w:vMerge w:val="continue"/>
            <w:vAlign w:val="center"/>
          </w:tcPr>
          <w:p w14:paraId="7097C9D0">
            <w:pPr>
              <w:pStyle w:val="160"/>
              <w:snapToGrid w:val="0"/>
            </w:pPr>
          </w:p>
        </w:tc>
        <w:tc>
          <w:tcPr>
            <w:tcW w:w="1311" w:type="pct"/>
            <w:gridSpan w:val="4"/>
            <w:vAlign w:val="center"/>
          </w:tcPr>
          <w:p w14:paraId="0A26296D">
            <w:pPr>
              <w:pStyle w:val="160"/>
              <w:snapToGrid w:val="0"/>
            </w:pPr>
            <w:r>
              <w:t>已建</w:t>
            </w:r>
            <w:r>
              <w:rPr/>
              <w:sym w:font="Wingdings 2" w:char="00A3"/>
            </w:r>
            <w:r>
              <w:t>；在建</w:t>
            </w:r>
            <w:r>
              <w:rPr/>
              <w:sym w:font="Wingdings 2" w:char="00A3"/>
            </w:r>
            <w:r>
              <w:t>；拟建</w:t>
            </w:r>
            <w:r>
              <w:rPr/>
              <w:sym w:font="Wingdings 2" w:char="00A3"/>
            </w:r>
            <w:r>
              <w:t>；其他</w:t>
            </w:r>
            <w:r>
              <w:rPr/>
              <w:sym w:font="Wingdings 2" w:char="00A3"/>
            </w:r>
            <w:r>
              <w:t>；</w:t>
            </w:r>
          </w:p>
        </w:tc>
        <w:tc>
          <w:tcPr>
            <w:tcW w:w="1015" w:type="pct"/>
            <w:gridSpan w:val="2"/>
            <w:vAlign w:val="center"/>
          </w:tcPr>
          <w:p w14:paraId="750FED9F">
            <w:pPr>
              <w:pStyle w:val="160"/>
              <w:snapToGrid w:val="0"/>
            </w:pPr>
            <w:r>
              <w:t>拟替代的污染源</w:t>
            </w:r>
            <w:r>
              <w:rPr/>
              <w:sym w:font="Wingdings 2" w:char="00A3"/>
            </w:r>
          </w:p>
        </w:tc>
        <w:tc>
          <w:tcPr>
            <w:tcW w:w="1684" w:type="pct"/>
            <w:gridSpan w:val="4"/>
            <w:vAlign w:val="center"/>
          </w:tcPr>
          <w:p w14:paraId="7F1BE159">
            <w:pPr>
              <w:pStyle w:val="160"/>
              <w:snapToGrid w:val="0"/>
            </w:pPr>
            <w:r>
              <w:t>排污许可证</w:t>
            </w:r>
            <w:r>
              <w:rPr/>
              <w:sym w:font="Wingdings 2" w:char="00A3"/>
            </w:r>
            <w:r>
              <w:t>；环评</w:t>
            </w:r>
            <w:r>
              <w:rPr/>
              <w:sym w:font="Wingdings 2" w:char="00A3"/>
            </w:r>
            <w:r>
              <w:t>；环保验收</w:t>
            </w:r>
            <w:r>
              <w:rPr/>
              <w:sym w:font="Wingdings 2" w:char="00A3"/>
            </w:r>
            <w:r>
              <w:t>；</w:t>
            </w:r>
            <w:r>
              <w:rPr>
                <w:rFonts w:hint="eastAsia"/>
                <w:lang w:eastAsia="zh-CN"/>
              </w:rPr>
              <w:t>既有</w:t>
            </w:r>
            <w:r>
              <w:t>实测</w:t>
            </w:r>
            <w:r>
              <w:rPr/>
              <w:sym w:font="Wingdings 2" w:char="00A3"/>
            </w:r>
            <w:r>
              <w:t>；现场监测</w:t>
            </w:r>
            <w:r>
              <w:rPr/>
              <w:sym w:font="Wingdings 2" w:char="00A3"/>
            </w:r>
            <w:r>
              <w:t>；入河排放口数据</w:t>
            </w:r>
            <w:r>
              <w:rPr/>
              <w:sym w:font="Wingdings 2" w:char="00A3"/>
            </w:r>
            <w:r>
              <w:t>；其他</w:t>
            </w:r>
            <w:r>
              <w:rPr/>
              <w:sym w:font="Wingdings 2" w:char="00A3"/>
            </w:r>
          </w:p>
        </w:tc>
      </w:tr>
      <w:tr w14:paraId="3AC5AC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14:paraId="1B5AD8D5">
            <w:pPr>
              <w:pStyle w:val="160"/>
              <w:snapToGrid w:val="0"/>
            </w:pPr>
          </w:p>
        </w:tc>
        <w:tc>
          <w:tcPr>
            <w:tcW w:w="743" w:type="pct"/>
            <w:vMerge w:val="restart"/>
            <w:vAlign w:val="center"/>
          </w:tcPr>
          <w:p w14:paraId="073D24F2">
            <w:pPr>
              <w:pStyle w:val="160"/>
              <w:snapToGrid w:val="0"/>
            </w:pPr>
            <w:r>
              <w:t>受影响水体水环境质量</w:t>
            </w:r>
          </w:p>
        </w:tc>
        <w:tc>
          <w:tcPr>
            <w:tcW w:w="2326" w:type="pct"/>
            <w:gridSpan w:val="6"/>
            <w:vAlign w:val="center"/>
          </w:tcPr>
          <w:p w14:paraId="4FBF08EB">
            <w:pPr>
              <w:pStyle w:val="160"/>
              <w:snapToGrid w:val="0"/>
            </w:pPr>
            <w:r>
              <w:t>调查时期</w:t>
            </w:r>
          </w:p>
        </w:tc>
        <w:tc>
          <w:tcPr>
            <w:tcW w:w="1684" w:type="pct"/>
            <w:gridSpan w:val="4"/>
            <w:vAlign w:val="center"/>
          </w:tcPr>
          <w:p w14:paraId="6EC5F144">
            <w:pPr>
              <w:pStyle w:val="160"/>
              <w:snapToGrid w:val="0"/>
            </w:pPr>
            <w:r>
              <w:t>数据来源</w:t>
            </w:r>
          </w:p>
        </w:tc>
      </w:tr>
      <w:tr w14:paraId="3497AF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14:paraId="4C643DDD">
            <w:pPr>
              <w:pStyle w:val="160"/>
              <w:snapToGrid w:val="0"/>
            </w:pPr>
          </w:p>
        </w:tc>
        <w:tc>
          <w:tcPr>
            <w:tcW w:w="743" w:type="pct"/>
            <w:vMerge w:val="continue"/>
            <w:vAlign w:val="center"/>
          </w:tcPr>
          <w:p w14:paraId="3CA6142A">
            <w:pPr>
              <w:pStyle w:val="160"/>
              <w:snapToGrid w:val="0"/>
            </w:pPr>
          </w:p>
        </w:tc>
        <w:tc>
          <w:tcPr>
            <w:tcW w:w="2326" w:type="pct"/>
            <w:gridSpan w:val="6"/>
            <w:vAlign w:val="center"/>
          </w:tcPr>
          <w:p w14:paraId="4A6050AB">
            <w:pPr>
              <w:pStyle w:val="160"/>
              <w:snapToGrid w:val="0"/>
            </w:pPr>
            <w:r>
              <w:t>丰水期</w:t>
            </w:r>
            <w:r>
              <w:rPr/>
              <w:sym w:font="Wingdings 2" w:char="00A3"/>
            </w:r>
            <w:r>
              <w:t>；平水期</w:t>
            </w:r>
            <w:r>
              <w:rPr/>
              <w:sym w:font="Wingdings 2" w:char="00A3"/>
            </w:r>
            <w:r>
              <w:t>；枯水期</w:t>
            </w:r>
            <w:r>
              <w:rPr/>
              <w:sym w:font="Wingdings 2" w:char="00A3"/>
            </w:r>
            <w:r>
              <w:t>；冰封期</w:t>
            </w:r>
            <w:r>
              <w:rPr/>
              <w:sym w:font="Wingdings 2" w:char="00A3"/>
            </w:r>
            <w:r>
              <w:t>；</w:t>
            </w:r>
          </w:p>
          <w:p w14:paraId="6C039FE9">
            <w:pPr>
              <w:pStyle w:val="160"/>
              <w:snapToGrid w:val="0"/>
            </w:pPr>
            <w:r>
              <w:t>春季</w:t>
            </w:r>
            <w:r>
              <w:rPr/>
              <w:sym w:font="Wingdings 2" w:char="00A3"/>
            </w:r>
            <w:r>
              <w:t>；夏季</w:t>
            </w:r>
            <w:r>
              <w:rPr/>
              <w:sym w:font="Wingdings 2" w:char="00A3"/>
            </w:r>
            <w:r>
              <w:t>；秋季</w:t>
            </w:r>
            <w:r>
              <w:rPr/>
              <w:sym w:font="Wingdings 2" w:char="00A3"/>
            </w:r>
            <w:r>
              <w:t>；冬季</w:t>
            </w:r>
            <w:r>
              <w:rPr/>
              <w:sym w:font="Wingdings 2" w:char="00A3"/>
            </w:r>
          </w:p>
        </w:tc>
        <w:tc>
          <w:tcPr>
            <w:tcW w:w="1684" w:type="pct"/>
            <w:gridSpan w:val="4"/>
            <w:vAlign w:val="center"/>
          </w:tcPr>
          <w:p w14:paraId="621AAE25">
            <w:pPr>
              <w:pStyle w:val="160"/>
              <w:snapToGrid w:val="0"/>
            </w:pPr>
            <w:r>
              <w:t>生态环境保护主管部门</w:t>
            </w:r>
            <w:r>
              <w:rPr/>
              <w:sym w:font="Wingdings 2" w:char="00A3"/>
            </w:r>
            <w:r>
              <w:t>；补充监测</w:t>
            </w:r>
            <w:r>
              <w:rPr/>
              <w:sym w:font="Wingdings 2" w:char="00A3"/>
            </w:r>
            <w:r>
              <w:rPr>
                <w:bCs/>
                <w:sz w:val="2"/>
                <w:szCs w:val="2"/>
              </w:rPr>
              <w:t>A</w:t>
            </w:r>
            <w:r>
              <w:t>；其他</w:t>
            </w:r>
            <w:r>
              <w:rPr/>
              <w:sym w:font="Wingdings 2" w:char="00A3"/>
            </w:r>
          </w:p>
        </w:tc>
      </w:tr>
      <w:tr w14:paraId="327225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14:paraId="3A23C8B0">
            <w:pPr>
              <w:pStyle w:val="160"/>
              <w:snapToGrid w:val="0"/>
            </w:pPr>
          </w:p>
        </w:tc>
        <w:tc>
          <w:tcPr>
            <w:tcW w:w="743" w:type="pct"/>
            <w:vAlign w:val="center"/>
          </w:tcPr>
          <w:p w14:paraId="09D6D38B">
            <w:pPr>
              <w:pStyle w:val="160"/>
              <w:snapToGrid w:val="0"/>
              <w:rPr>
                <w:spacing w:val="-10"/>
              </w:rPr>
            </w:pPr>
            <w:r>
              <w:rPr>
                <w:spacing w:val="-10"/>
              </w:rPr>
              <w:t>区域水资源开发利用状况</w:t>
            </w:r>
          </w:p>
        </w:tc>
        <w:tc>
          <w:tcPr>
            <w:tcW w:w="4010" w:type="pct"/>
            <w:gridSpan w:val="10"/>
            <w:vAlign w:val="center"/>
          </w:tcPr>
          <w:p w14:paraId="117E398A">
            <w:pPr>
              <w:pStyle w:val="160"/>
              <w:snapToGrid w:val="0"/>
            </w:pPr>
            <w:r>
              <w:t>未开发</w:t>
            </w:r>
            <w:r>
              <w:rPr/>
              <w:sym w:font="Wingdings 2" w:char="00A3"/>
            </w:r>
            <w:r>
              <w:t>；开发量40%以下</w:t>
            </w:r>
            <w:r>
              <w:rPr/>
              <w:sym w:font="Wingdings 2" w:char="00A3"/>
            </w:r>
            <w:r>
              <w:t>；发量40%以上</w:t>
            </w:r>
            <w:r>
              <w:rPr/>
              <w:sym w:font="Wingdings 2" w:char="00A3"/>
            </w:r>
          </w:p>
        </w:tc>
      </w:tr>
      <w:tr w14:paraId="051AC4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14:paraId="602495F6">
            <w:pPr>
              <w:pStyle w:val="160"/>
              <w:snapToGrid w:val="0"/>
            </w:pPr>
          </w:p>
        </w:tc>
        <w:tc>
          <w:tcPr>
            <w:tcW w:w="743" w:type="pct"/>
            <w:vMerge w:val="restart"/>
            <w:vAlign w:val="center"/>
          </w:tcPr>
          <w:p w14:paraId="7699DB0D">
            <w:pPr>
              <w:pStyle w:val="160"/>
              <w:snapToGrid w:val="0"/>
            </w:pPr>
            <w:r>
              <w:t>水文情势调查</w:t>
            </w:r>
          </w:p>
        </w:tc>
        <w:tc>
          <w:tcPr>
            <w:tcW w:w="2326" w:type="pct"/>
            <w:gridSpan w:val="6"/>
            <w:vAlign w:val="center"/>
          </w:tcPr>
          <w:p w14:paraId="07757604">
            <w:pPr>
              <w:pStyle w:val="160"/>
              <w:snapToGrid w:val="0"/>
            </w:pPr>
            <w:r>
              <w:t>调查时期</w:t>
            </w:r>
          </w:p>
        </w:tc>
        <w:tc>
          <w:tcPr>
            <w:tcW w:w="1684" w:type="pct"/>
            <w:gridSpan w:val="4"/>
            <w:vAlign w:val="center"/>
          </w:tcPr>
          <w:p w14:paraId="403D2755">
            <w:pPr>
              <w:pStyle w:val="160"/>
              <w:snapToGrid w:val="0"/>
            </w:pPr>
            <w:r>
              <w:t>数据来源</w:t>
            </w:r>
          </w:p>
        </w:tc>
      </w:tr>
      <w:tr w14:paraId="0143B8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14:paraId="6EEB1CFD">
            <w:pPr>
              <w:pStyle w:val="160"/>
              <w:snapToGrid w:val="0"/>
            </w:pPr>
          </w:p>
        </w:tc>
        <w:tc>
          <w:tcPr>
            <w:tcW w:w="743" w:type="pct"/>
            <w:vMerge w:val="continue"/>
            <w:vAlign w:val="center"/>
          </w:tcPr>
          <w:p w14:paraId="4CC3F884">
            <w:pPr>
              <w:pStyle w:val="160"/>
              <w:snapToGrid w:val="0"/>
            </w:pPr>
          </w:p>
        </w:tc>
        <w:tc>
          <w:tcPr>
            <w:tcW w:w="2326" w:type="pct"/>
            <w:gridSpan w:val="6"/>
            <w:vAlign w:val="center"/>
          </w:tcPr>
          <w:p w14:paraId="1521BB4B">
            <w:pPr>
              <w:pStyle w:val="160"/>
              <w:snapToGrid w:val="0"/>
            </w:pPr>
            <w:r>
              <w:t>丰水期</w:t>
            </w:r>
            <w:r>
              <w:rPr/>
              <w:sym w:font="Wingdings 2" w:char="00A3"/>
            </w:r>
            <w:r>
              <w:t>；平水期</w:t>
            </w:r>
            <w:r>
              <w:rPr/>
              <w:sym w:font="Wingdings 2" w:char="00A3"/>
            </w:r>
            <w:r>
              <w:t>；枯水期</w:t>
            </w:r>
            <w:r>
              <w:rPr>
                <w:sz w:val="2"/>
                <w:szCs w:val="2"/>
              </w:rPr>
              <w:t>A</w:t>
            </w:r>
            <w:r>
              <w:rPr/>
              <w:sym w:font="Wingdings 2" w:char="00A3"/>
            </w:r>
            <w:r>
              <w:t>；冰封期</w:t>
            </w:r>
            <w:r>
              <w:rPr/>
              <w:sym w:font="Wingdings 2" w:char="00A3"/>
            </w:r>
            <w:r>
              <w:t>；</w:t>
            </w:r>
          </w:p>
          <w:p w14:paraId="4A1AEFD5">
            <w:pPr>
              <w:pStyle w:val="160"/>
              <w:snapToGrid w:val="0"/>
            </w:pPr>
            <w:r>
              <w:t>春季</w:t>
            </w:r>
            <w:r>
              <w:rPr/>
              <w:sym w:font="Wingdings 2" w:char="00A3"/>
            </w:r>
            <w:r>
              <w:t xml:space="preserve">；夏季 </w:t>
            </w:r>
            <w:r>
              <w:rPr/>
              <w:sym w:font="Wingdings 2" w:char="00A3"/>
            </w:r>
            <w:r>
              <w:t xml:space="preserve">；秋季 </w:t>
            </w:r>
            <w:r>
              <w:rPr/>
              <w:sym w:font="Wingdings 2" w:char="00A3"/>
            </w:r>
            <w:r>
              <w:t>；冬季</w:t>
            </w:r>
            <w:r>
              <w:rPr/>
              <w:sym w:font="Wingdings 2" w:char="00A3"/>
            </w:r>
          </w:p>
        </w:tc>
        <w:tc>
          <w:tcPr>
            <w:tcW w:w="1684" w:type="pct"/>
            <w:gridSpan w:val="4"/>
            <w:vAlign w:val="center"/>
          </w:tcPr>
          <w:p w14:paraId="066F9214">
            <w:pPr>
              <w:pStyle w:val="160"/>
              <w:snapToGrid w:val="0"/>
            </w:pPr>
            <w:r>
              <w:t>水行政主管部门</w:t>
            </w:r>
            <w:r>
              <w:rPr/>
              <w:sym w:font="Wingdings 2" w:char="00A3"/>
            </w:r>
            <w:r>
              <w:t>；补充监测</w:t>
            </w:r>
            <w:r>
              <w:rPr/>
              <w:sym w:font="Wingdings 2" w:char="00A3"/>
            </w:r>
            <w:r>
              <w:t>；其他</w:t>
            </w:r>
            <w:r>
              <w:rPr/>
              <w:sym w:font="Wingdings 2" w:char="00A3"/>
            </w:r>
          </w:p>
        </w:tc>
      </w:tr>
      <w:tr w14:paraId="144DA5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14:paraId="1E0E7DD0">
            <w:pPr>
              <w:pStyle w:val="160"/>
              <w:snapToGrid w:val="0"/>
            </w:pPr>
          </w:p>
        </w:tc>
        <w:tc>
          <w:tcPr>
            <w:tcW w:w="743" w:type="pct"/>
            <w:vMerge w:val="restart"/>
            <w:vAlign w:val="center"/>
          </w:tcPr>
          <w:p w14:paraId="2CFD4412">
            <w:pPr>
              <w:pStyle w:val="160"/>
              <w:snapToGrid w:val="0"/>
            </w:pPr>
            <w:r>
              <w:t>补充监测</w:t>
            </w:r>
          </w:p>
        </w:tc>
        <w:tc>
          <w:tcPr>
            <w:tcW w:w="2326" w:type="pct"/>
            <w:gridSpan w:val="6"/>
            <w:vAlign w:val="center"/>
          </w:tcPr>
          <w:p w14:paraId="0B292BAA">
            <w:pPr>
              <w:pStyle w:val="160"/>
              <w:snapToGrid w:val="0"/>
            </w:pPr>
            <w:r>
              <w:t>监测时期</w:t>
            </w:r>
          </w:p>
        </w:tc>
        <w:tc>
          <w:tcPr>
            <w:tcW w:w="1073" w:type="pct"/>
            <w:gridSpan w:val="3"/>
            <w:vAlign w:val="center"/>
          </w:tcPr>
          <w:p w14:paraId="457CCEAB">
            <w:pPr>
              <w:pStyle w:val="160"/>
              <w:snapToGrid w:val="0"/>
            </w:pPr>
            <w:r>
              <w:t>监测因子</w:t>
            </w:r>
          </w:p>
        </w:tc>
        <w:tc>
          <w:tcPr>
            <w:tcW w:w="611" w:type="pct"/>
            <w:vAlign w:val="center"/>
          </w:tcPr>
          <w:p w14:paraId="60115744">
            <w:pPr>
              <w:pStyle w:val="160"/>
              <w:snapToGrid w:val="0"/>
            </w:pPr>
            <w:r>
              <w:t>监测断面</w:t>
            </w:r>
          </w:p>
        </w:tc>
      </w:tr>
      <w:tr w14:paraId="2C5928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14:paraId="01D1B74D">
            <w:pPr>
              <w:pStyle w:val="160"/>
              <w:snapToGrid w:val="0"/>
            </w:pPr>
          </w:p>
        </w:tc>
        <w:tc>
          <w:tcPr>
            <w:tcW w:w="743" w:type="pct"/>
            <w:vMerge w:val="continue"/>
            <w:vAlign w:val="center"/>
          </w:tcPr>
          <w:p w14:paraId="6571BC1E">
            <w:pPr>
              <w:pStyle w:val="160"/>
              <w:snapToGrid w:val="0"/>
            </w:pPr>
          </w:p>
        </w:tc>
        <w:tc>
          <w:tcPr>
            <w:tcW w:w="2326" w:type="pct"/>
            <w:gridSpan w:val="6"/>
            <w:vAlign w:val="center"/>
          </w:tcPr>
          <w:p w14:paraId="574ABF1D">
            <w:pPr>
              <w:pStyle w:val="160"/>
              <w:snapToGrid w:val="0"/>
            </w:pPr>
            <w:r>
              <w:t>丰水期</w:t>
            </w:r>
            <w:r>
              <w:rPr/>
              <w:sym w:font="Wingdings 2" w:char="00A3"/>
            </w:r>
            <w:r>
              <w:t>；平水期</w:t>
            </w:r>
            <w:r>
              <w:rPr/>
              <w:sym w:font="Wingdings 2" w:char="00A3"/>
            </w:r>
            <w:r>
              <w:t>；枯水期</w:t>
            </w:r>
            <w:r>
              <w:rPr/>
              <w:sym w:font="Wingdings 2" w:char="00A3"/>
            </w:r>
            <w:r>
              <w:t xml:space="preserve">；冰封期 </w:t>
            </w:r>
            <w:r>
              <w:rPr/>
              <w:sym w:font="Wingdings 2" w:char="00A3"/>
            </w:r>
            <w:r>
              <w:t>；</w:t>
            </w:r>
          </w:p>
          <w:p w14:paraId="6992A1CF">
            <w:pPr>
              <w:pStyle w:val="160"/>
              <w:snapToGrid w:val="0"/>
            </w:pPr>
            <w:r>
              <w:t>春季</w:t>
            </w:r>
            <w:r>
              <w:rPr/>
              <w:sym w:font="Wingdings 2" w:char="00A3"/>
            </w:r>
            <w:r>
              <w:t>；夏季</w:t>
            </w:r>
            <w:r>
              <w:rPr/>
              <w:sym w:font="Wingdings 2" w:char="00A3"/>
            </w:r>
            <w:r>
              <w:t>；秋季</w:t>
            </w:r>
            <w:r>
              <w:rPr/>
              <w:sym w:font="Wingdings 2" w:char="00A3"/>
            </w:r>
            <w:r>
              <w:t>；冬季</w:t>
            </w:r>
            <w:r>
              <w:rPr/>
              <w:sym w:font="Wingdings 2" w:char="00A3"/>
            </w:r>
          </w:p>
        </w:tc>
        <w:tc>
          <w:tcPr>
            <w:tcW w:w="1073" w:type="pct"/>
            <w:gridSpan w:val="3"/>
            <w:vAlign w:val="center"/>
          </w:tcPr>
          <w:p w14:paraId="39568014">
            <w:pPr>
              <w:pStyle w:val="160"/>
              <w:snapToGrid w:val="0"/>
            </w:pPr>
          </w:p>
        </w:tc>
        <w:tc>
          <w:tcPr>
            <w:tcW w:w="611" w:type="pct"/>
            <w:vAlign w:val="center"/>
          </w:tcPr>
          <w:p w14:paraId="467C5F19">
            <w:pPr>
              <w:pStyle w:val="160"/>
              <w:snapToGrid w:val="0"/>
            </w:pPr>
            <w:r>
              <w:t>监测断面或点位个数（ ）个</w:t>
            </w:r>
          </w:p>
        </w:tc>
      </w:tr>
      <w:tr w14:paraId="7B392F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restart"/>
            <w:vAlign w:val="center"/>
          </w:tcPr>
          <w:p w14:paraId="73658953">
            <w:pPr>
              <w:pStyle w:val="160"/>
              <w:snapToGrid w:val="0"/>
            </w:pPr>
            <w:r>
              <w:t>现状评价</w:t>
            </w:r>
          </w:p>
        </w:tc>
        <w:tc>
          <w:tcPr>
            <w:tcW w:w="743" w:type="pct"/>
            <w:vAlign w:val="center"/>
          </w:tcPr>
          <w:p w14:paraId="1952215A">
            <w:pPr>
              <w:pStyle w:val="160"/>
              <w:snapToGrid w:val="0"/>
            </w:pPr>
            <w:r>
              <w:t>评价范围</w:t>
            </w:r>
          </w:p>
        </w:tc>
        <w:tc>
          <w:tcPr>
            <w:tcW w:w="4010" w:type="pct"/>
            <w:gridSpan w:val="10"/>
            <w:vAlign w:val="center"/>
          </w:tcPr>
          <w:p w14:paraId="7ED63842">
            <w:pPr>
              <w:pStyle w:val="160"/>
              <w:snapToGrid w:val="0"/>
            </w:pPr>
            <w:r>
              <w:t>河流：长度（  ）km；湖库、河口及近岸海域：面积（    ）km</w:t>
            </w:r>
            <w:r>
              <w:rPr>
                <w:vertAlign w:val="superscript"/>
              </w:rPr>
              <w:t>2</w:t>
            </w:r>
          </w:p>
        </w:tc>
      </w:tr>
      <w:tr w14:paraId="42B5CF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14:paraId="5BE0B863">
            <w:pPr>
              <w:pStyle w:val="160"/>
              <w:snapToGrid w:val="0"/>
            </w:pPr>
          </w:p>
        </w:tc>
        <w:tc>
          <w:tcPr>
            <w:tcW w:w="743" w:type="pct"/>
            <w:vAlign w:val="center"/>
          </w:tcPr>
          <w:p w14:paraId="570E9B49">
            <w:pPr>
              <w:pStyle w:val="160"/>
              <w:snapToGrid w:val="0"/>
            </w:pPr>
            <w:r>
              <w:t>评价因子</w:t>
            </w:r>
          </w:p>
        </w:tc>
        <w:tc>
          <w:tcPr>
            <w:tcW w:w="4010" w:type="pct"/>
            <w:gridSpan w:val="10"/>
            <w:vAlign w:val="center"/>
          </w:tcPr>
          <w:p w14:paraId="666819E2">
            <w:pPr>
              <w:pStyle w:val="160"/>
              <w:snapToGrid w:val="0"/>
            </w:pPr>
          </w:p>
        </w:tc>
      </w:tr>
      <w:tr w14:paraId="344834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14:paraId="53DA4758">
            <w:pPr>
              <w:pStyle w:val="160"/>
              <w:snapToGrid w:val="0"/>
            </w:pPr>
          </w:p>
        </w:tc>
        <w:tc>
          <w:tcPr>
            <w:tcW w:w="743" w:type="pct"/>
            <w:vAlign w:val="center"/>
          </w:tcPr>
          <w:p w14:paraId="77EFCBD0">
            <w:pPr>
              <w:pStyle w:val="160"/>
              <w:snapToGrid w:val="0"/>
            </w:pPr>
            <w:r>
              <w:t>评价标准</w:t>
            </w:r>
          </w:p>
        </w:tc>
        <w:tc>
          <w:tcPr>
            <w:tcW w:w="4010" w:type="pct"/>
            <w:gridSpan w:val="10"/>
            <w:vAlign w:val="center"/>
          </w:tcPr>
          <w:p w14:paraId="456AEA64">
            <w:pPr>
              <w:pStyle w:val="160"/>
              <w:snapToGrid w:val="0"/>
            </w:pPr>
            <w:r>
              <w:t xml:space="preserve">河流、湖库、河口：Ⅰ类 </w:t>
            </w:r>
            <w:r>
              <w:rPr/>
              <w:sym w:font="Wingdings 2" w:char="00A3"/>
            </w:r>
            <w:r>
              <w:t xml:space="preserve">；Ⅱ类 </w:t>
            </w:r>
            <w:r>
              <w:rPr/>
              <w:sym w:font="Wingdings 2" w:char="00A3"/>
            </w:r>
            <w:r>
              <w:t xml:space="preserve">；Ⅲ类 </w:t>
            </w:r>
            <w:r>
              <w:rPr/>
              <w:sym w:font="Wingdings 2" w:char="00A3"/>
            </w:r>
            <w:r>
              <w:t>；Ⅳ类</w:t>
            </w:r>
            <w:r>
              <w:rPr/>
              <w:sym w:font="Wingdings 2" w:char="00A3"/>
            </w:r>
            <w:r>
              <w:t xml:space="preserve">；Ⅴ类 </w:t>
            </w:r>
            <w:r>
              <w:rPr/>
              <w:sym w:font="Wingdings 2" w:char="00A3"/>
            </w:r>
            <w:r>
              <w:t>；</w:t>
            </w:r>
          </w:p>
          <w:p w14:paraId="31AED3AC">
            <w:pPr>
              <w:pStyle w:val="160"/>
              <w:snapToGrid w:val="0"/>
            </w:pPr>
            <w:r>
              <w:t xml:space="preserve">近岸海域：第一类 </w:t>
            </w:r>
            <w:r>
              <w:rPr/>
              <w:sym w:font="Wingdings 2" w:char="00A3"/>
            </w:r>
            <w:r>
              <w:t xml:space="preserve">；第二类 </w:t>
            </w:r>
            <w:r>
              <w:rPr/>
              <w:sym w:font="Wingdings 2" w:char="00A3"/>
            </w:r>
            <w:r>
              <w:t xml:space="preserve">；第三类 </w:t>
            </w:r>
            <w:r>
              <w:rPr/>
              <w:sym w:font="Wingdings 2" w:char="00A3"/>
            </w:r>
            <w:r>
              <w:t xml:space="preserve">；第四类 </w:t>
            </w:r>
            <w:r>
              <w:rPr/>
              <w:sym w:font="Wingdings 2" w:char="00A3"/>
            </w:r>
          </w:p>
          <w:p w14:paraId="1AFB430E">
            <w:pPr>
              <w:pStyle w:val="160"/>
              <w:snapToGrid w:val="0"/>
            </w:pPr>
            <w:r>
              <w:t>规划年评价标准（  ）</w:t>
            </w:r>
          </w:p>
        </w:tc>
      </w:tr>
      <w:tr w14:paraId="42D0A6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14:paraId="51074046">
            <w:pPr>
              <w:pStyle w:val="160"/>
              <w:snapToGrid w:val="0"/>
            </w:pPr>
          </w:p>
        </w:tc>
        <w:tc>
          <w:tcPr>
            <w:tcW w:w="743" w:type="pct"/>
            <w:vAlign w:val="center"/>
          </w:tcPr>
          <w:p w14:paraId="1E399CAA">
            <w:pPr>
              <w:pStyle w:val="160"/>
              <w:snapToGrid w:val="0"/>
            </w:pPr>
            <w:r>
              <w:t>评价时期</w:t>
            </w:r>
          </w:p>
        </w:tc>
        <w:tc>
          <w:tcPr>
            <w:tcW w:w="4010" w:type="pct"/>
            <w:gridSpan w:val="10"/>
            <w:vAlign w:val="center"/>
          </w:tcPr>
          <w:p w14:paraId="233BFA6E">
            <w:pPr>
              <w:pStyle w:val="160"/>
              <w:snapToGrid w:val="0"/>
            </w:pPr>
            <w:r>
              <w:t>丰水期</w:t>
            </w:r>
            <w:r>
              <w:rPr/>
              <w:sym w:font="Wingdings 2" w:char="00A3"/>
            </w:r>
            <w:r>
              <w:rPr>
                <w:bCs/>
                <w:sz w:val="19"/>
                <w:szCs w:val="19"/>
              </w:rPr>
              <w:fldChar w:fldCharType="begin"/>
            </w:r>
            <w:r>
              <w:rPr>
                <w:bCs/>
                <w:sz w:val="19"/>
                <w:szCs w:val="19"/>
              </w:rPr>
              <w:instrText xml:space="preserve"> eq \o\ac(□,√</w:instrText>
            </w:r>
            <w:r>
              <w:rPr>
                <w:bCs/>
                <w:sz w:val="2"/>
                <w:szCs w:val="2"/>
              </w:rPr>
              <w:instrText xml:space="preserve">E</w:instrText>
            </w:r>
            <w:r>
              <w:rPr>
                <w:bCs/>
                <w:sz w:val="19"/>
                <w:szCs w:val="19"/>
              </w:rPr>
              <w:instrText xml:space="preserve">)</w:instrText>
            </w:r>
            <w:r>
              <w:rPr>
                <w:bCs/>
                <w:sz w:val="19"/>
                <w:szCs w:val="19"/>
              </w:rPr>
              <w:fldChar w:fldCharType="end"/>
            </w:r>
            <w:r>
              <w:t xml:space="preserve">；平水期 </w:t>
            </w:r>
            <w:r>
              <w:rPr/>
              <w:sym w:font="Wingdings 2" w:char="00A3"/>
            </w:r>
            <w:r>
              <w:t>；枯水期</w:t>
            </w:r>
            <w:r>
              <w:rPr/>
              <w:sym w:font="Wingdings 2" w:char="00A3"/>
            </w:r>
            <w:r>
              <w:rPr>
                <w:bCs/>
                <w:sz w:val="2"/>
                <w:szCs w:val="2"/>
              </w:rPr>
              <w:t>A</w:t>
            </w:r>
            <w:r>
              <w:t xml:space="preserve">；冰封期 </w:t>
            </w:r>
            <w:r>
              <w:rPr/>
              <w:sym w:font="Wingdings 2" w:char="00A3"/>
            </w:r>
            <w:r>
              <w:t>；</w:t>
            </w:r>
          </w:p>
          <w:p w14:paraId="4F030B2D">
            <w:pPr>
              <w:pStyle w:val="160"/>
              <w:snapToGrid w:val="0"/>
            </w:pPr>
            <w:r>
              <w:t xml:space="preserve">春季 </w:t>
            </w:r>
            <w:r>
              <w:rPr/>
              <w:sym w:font="Wingdings 2" w:char="00A3"/>
            </w:r>
            <w:r>
              <w:t xml:space="preserve">；夏季 </w:t>
            </w:r>
            <w:r>
              <w:rPr/>
              <w:sym w:font="Wingdings 2" w:char="00A3"/>
            </w:r>
            <w:r>
              <w:t xml:space="preserve">；秋季 </w:t>
            </w:r>
            <w:r>
              <w:rPr/>
              <w:sym w:font="Wingdings 2" w:char="00A3"/>
            </w:r>
            <w:r>
              <w:t xml:space="preserve">；冬季 </w:t>
            </w:r>
            <w:r>
              <w:rPr/>
              <w:sym w:font="Wingdings 2" w:char="00A3"/>
            </w:r>
          </w:p>
        </w:tc>
      </w:tr>
      <w:tr w14:paraId="74E07F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14:paraId="59922399">
            <w:pPr>
              <w:pStyle w:val="160"/>
              <w:snapToGrid w:val="0"/>
            </w:pPr>
          </w:p>
        </w:tc>
        <w:tc>
          <w:tcPr>
            <w:tcW w:w="743" w:type="pct"/>
            <w:vAlign w:val="center"/>
          </w:tcPr>
          <w:p w14:paraId="566C7D25">
            <w:pPr>
              <w:pStyle w:val="160"/>
              <w:snapToGrid w:val="0"/>
            </w:pPr>
            <w:r>
              <w:t>评价结论</w:t>
            </w:r>
          </w:p>
        </w:tc>
        <w:tc>
          <w:tcPr>
            <w:tcW w:w="3399" w:type="pct"/>
            <w:gridSpan w:val="9"/>
            <w:vAlign w:val="center"/>
          </w:tcPr>
          <w:p w14:paraId="1B09E91B">
            <w:pPr>
              <w:pStyle w:val="160"/>
              <w:snapToGrid w:val="0"/>
            </w:pPr>
            <w:r>
              <w:t>水环境功能区或水功能区、近岸海域环境功能区水质达标状况：达标</w:t>
            </w:r>
            <w:r>
              <w:rPr/>
              <w:sym w:font="Wingdings 2" w:char="00A3"/>
            </w:r>
            <w:r>
              <w:rPr>
                <w:bCs/>
                <w:sz w:val="2"/>
                <w:szCs w:val="2"/>
              </w:rPr>
              <w:t>A</w:t>
            </w:r>
            <w:r>
              <w:t xml:space="preserve">；不达标 </w:t>
            </w:r>
            <w:r>
              <w:rPr/>
              <w:sym w:font="Wingdings 2" w:char="00A3"/>
            </w:r>
          </w:p>
          <w:p w14:paraId="66408387">
            <w:pPr>
              <w:pStyle w:val="160"/>
              <w:snapToGrid w:val="0"/>
            </w:pPr>
            <w:r>
              <w:t xml:space="preserve">水环境控制单元或断面水质达标状况 </w:t>
            </w:r>
            <w:r>
              <w:rPr/>
              <w:sym w:font="Wingdings 2" w:char="00A3"/>
            </w:r>
            <w:r>
              <w:t>：达标</w:t>
            </w:r>
            <w:r>
              <w:rPr/>
              <w:sym w:font="Wingdings 2" w:char="00A3"/>
            </w:r>
            <w:r>
              <w:t xml:space="preserve">；不达标 </w:t>
            </w:r>
            <w:r>
              <w:rPr/>
              <w:sym w:font="Wingdings 2" w:char="00A3"/>
            </w:r>
          </w:p>
          <w:p w14:paraId="5402C043">
            <w:pPr>
              <w:pStyle w:val="160"/>
              <w:snapToGrid w:val="0"/>
            </w:pPr>
            <w:r>
              <w:t xml:space="preserve">水环境保护目标质量状况 </w:t>
            </w:r>
            <w:r>
              <w:rPr/>
              <w:sym w:font="Wingdings 2" w:char="00A3"/>
            </w:r>
            <w:r>
              <w:t xml:space="preserve">：达标 </w:t>
            </w:r>
            <w:r>
              <w:rPr/>
              <w:sym w:font="Wingdings 2" w:char="00A3"/>
            </w:r>
            <w:r>
              <w:t xml:space="preserve">；不达标 </w:t>
            </w:r>
            <w:r>
              <w:rPr/>
              <w:sym w:font="Wingdings 2" w:char="00A3"/>
            </w:r>
          </w:p>
          <w:p w14:paraId="0896AB9A">
            <w:pPr>
              <w:pStyle w:val="160"/>
              <w:snapToGrid w:val="0"/>
              <w:rPr>
                <w:spacing w:val="-10"/>
              </w:rPr>
            </w:pPr>
            <w:r>
              <w:rPr>
                <w:spacing w:val="-10"/>
              </w:rPr>
              <w:t>对照断面、控制断面等代表性断面的水质状况</w:t>
            </w:r>
            <w:r>
              <w:rPr>
                <w:spacing w:val="-10"/>
              </w:rPr>
              <w:sym w:font="Wingdings 2" w:char="00A3"/>
            </w:r>
            <w:r>
              <w:rPr>
                <w:spacing w:val="-10"/>
              </w:rPr>
              <w:t>：达标</w:t>
            </w:r>
            <w:r>
              <w:rPr>
                <w:spacing w:val="-10"/>
              </w:rPr>
              <w:sym w:font="Wingdings 2" w:char="00A3"/>
            </w:r>
            <w:r>
              <w:rPr>
                <w:spacing w:val="-10"/>
              </w:rPr>
              <w:t>；不达标</w:t>
            </w:r>
            <w:r>
              <w:rPr>
                <w:spacing w:val="-10"/>
              </w:rPr>
              <w:sym w:font="Wingdings 2" w:char="00A3"/>
            </w:r>
          </w:p>
          <w:p w14:paraId="1741DD95">
            <w:pPr>
              <w:pStyle w:val="160"/>
              <w:snapToGrid w:val="0"/>
            </w:pPr>
            <w:r>
              <w:t xml:space="preserve">水资源与开发利用程度及其水文情势评价 </w:t>
            </w:r>
            <w:r>
              <w:rPr/>
              <w:sym w:font="Wingdings 2" w:char="00A3"/>
            </w:r>
          </w:p>
          <w:p w14:paraId="54DE5E2A">
            <w:pPr>
              <w:pStyle w:val="160"/>
              <w:snapToGrid w:val="0"/>
            </w:pPr>
            <w:r>
              <w:t xml:space="preserve">水环境质量回顾评价 </w:t>
            </w:r>
            <w:r>
              <w:rPr/>
              <w:sym w:font="Wingdings 2" w:char="00A3"/>
            </w:r>
          </w:p>
          <w:p w14:paraId="71CF6492">
            <w:pPr>
              <w:pStyle w:val="160"/>
              <w:snapToGrid w:val="0"/>
            </w:pPr>
            <w:r>
              <w:t xml:space="preserve">流域（区域）水资源（包括水能资源）与开发利用总体状况、生态流量管理要求与现状满足程度、建设项目占用水域空间的水流状况与河湖演变状况 </w:t>
            </w:r>
            <w:r>
              <w:rPr/>
              <w:sym w:font="Wingdings 2" w:char="00A3"/>
            </w:r>
          </w:p>
        </w:tc>
        <w:tc>
          <w:tcPr>
            <w:tcW w:w="611" w:type="pct"/>
            <w:vAlign w:val="center"/>
          </w:tcPr>
          <w:p w14:paraId="3C5223C9">
            <w:pPr>
              <w:pStyle w:val="160"/>
              <w:snapToGrid w:val="0"/>
            </w:pPr>
            <w:r>
              <w:t>达标区 √</w:t>
            </w:r>
          </w:p>
          <w:p w14:paraId="36339B7B">
            <w:pPr>
              <w:pStyle w:val="160"/>
              <w:snapToGrid w:val="0"/>
            </w:pPr>
            <w:r>
              <w:t xml:space="preserve">不达标区 </w:t>
            </w:r>
            <w:r>
              <w:rPr/>
              <w:sym w:font="Wingdings 2" w:char="00A3"/>
            </w:r>
          </w:p>
        </w:tc>
      </w:tr>
      <w:tr w14:paraId="6582A7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215" w:hRule="atLeast"/>
          <w:jc w:val="center"/>
        </w:trPr>
        <w:tc>
          <w:tcPr>
            <w:tcW w:w="247" w:type="pct"/>
            <w:vMerge w:val="restart"/>
            <w:vAlign w:val="center"/>
          </w:tcPr>
          <w:p w14:paraId="63928A59">
            <w:pPr>
              <w:pStyle w:val="160"/>
              <w:snapToGrid w:val="0"/>
            </w:pPr>
            <w:r>
              <w:t>影响预测</w:t>
            </w:r>
          </w:p>
        </w:tc>
        <w:tc>
          <w:tcPr>
            <w:tcW w:w="743" w:type="pct"/>
            <w:vAlign w:val="center"/>
          </w:tcPr>
          <w:p w14:paraId="07D253D3">
            <w:pPr>
              <w:pStyle w:val="160"/>
              <w:snapToGrid w:val="0"/>
            </w:pPr>
            <w:r>
              <w:t>预测范围</w:t>
            </w:r>
          </w:p>
        </w:tc>
        <w:tc>
          <w:tcPr>
            <w:tcW w:w="4010" w:type="pct"/>
            <w:gridSpan w:val="10"/>
            <w:vAlign w:val="center"/>
          </w:tcPr>
          <w:p w14:paraId="2AE670D0">
            <w:pPr>
              <w:pStyle w:val="160"/>
              <w:snapToGrid w:val="0"/>
            </w:pPr>
            <w:r>
              <w:t>河流：长度（  ）km；湖库、河口及近岸海域：面积（    ）km</w:t>
            </w:r>
            <w:r>
              <w:rPr>
                <w:vertAlign w:val="superscript"/>
              </w:rPr>
              <w:t>2</w:t>
            </w:r>
          </w:p>
        </w:tc>
      </w:tr>
      <w:tr w14:paraId="26C551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204" w:hRule="atLeast"/>
          <w:jc w:val="center"/>
        </w:trPr>
        <w:tc>
          <w:tcPr>
            <w:tcW w:w="247" w:type="pct"/>
            <w:vMerge w:val="continue"/>
            <w:vAlign w:val="center"/>
          </w:tcPr>
          <w:p w14:paraId="604E1AEB">
            <w:pPr>
              <w:pStyle w:val="160"/>
              <w:snapToGrid w:val="0"/>
            </w:pPr>
          </w:p>
        </w:tc>
        <w:tc>
          <w:tcPr>
            <w:tcW w:w="743" w:type="pct"/>
            <w:vAlign w:val="center"/>
          </w:tcPr>
          <w:p w14:paraId="2F6B9ABD">
            <w:pPr>
              <w:pStyle w:val="160"/>
              <w:snapToGrid w:val="0"/>
            </w:pPr>
            <w:r>
              <w:t>预测因子</w:t>
            </w:r>
          </w:p>
        </w:tc>
        <w:tc>
          <w:tcPr>
            <w:tcW w:w="4010" w:type="pct"/>
            <w:gridSpan w:val="10"/>
            <w:vAlign w:val="center"/>
          </w:tcPr>
          <w:p w14:paraId="4E1C17AE">
            <w:pPr>
              <w:pStyle w:val="160"/>
              <w:snapToGrid w:val="0"/>
            </w:pPr>
          </w:p>
        </w:tc>
      </w:tr>
      <w:tr w14:paraId="046206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14:paraId="7AE55B52">
            <w:pPr>
              <w:pStyle w:val="160"/>
              <w:snapToGrid w:val="0"/>
            </w:pPr>
          </w:p>
        </w:tc>
        <w:tc>
          <w:tcPr>
            <w:tcW w:w="743" w:type="pct"/>
            <w:vAlign w:val="center"/>
          </w:tcPr>
          <w:p w14:paraId="4BED51A6">
            <w:pPr>
              <w:pStyle w:val="160"/>
              <w:snapToGrid w:val="0"/>
            </w:pPr>
            <w:r>
              <w:t>预测时期</w:t>
            </w:r>
          </w:p>
        </w:tc>
        <w:tc>
          <w:tcPr>
            <w:tcW w:w="4010" w:type="pct"/>
            <w:gridSpan w:val="10"/>
            <w:vAlign w:val="center"/>
          </w:tcPr>
          <w:p w14:paraId="6A6226B1">
            <w:pPr>
              <w:pStyle w:val="160"/>
              <w:snapToGrid w:val="0"/>
            </w:pPr>
            <w:r>
              <w:t>丰水期</w:t>
            </w:r>
            <w:r>
              <w:rPr/>
              <w:sym w:font="Wingdings 2" w:char="00A3"/>
            </w:r>
            <w:r>
              <w:t xml:space="preserve">；平水期 </w:t>
            </w:r>
            <w:r>
              <w:rPr/>
              <w:sym w:font="Wingdings 2" w:char="00A3"/>
            </w:r>
            <w:r>
              <w:t>；枯水期</w:t>
            </w:r>
            <w:r>
              <w:rPr>
                <w:sz w:val="2"/>
                <w:szCs w:val="2"/>
              </w:rPr>
              <w:t>A</w:t>
            </w:r>
            <w:r>
              <w:rPr/>
              <w:sym w:font="Wingdings 2" w:char="00A3"/>
            </w:r>
            <w:r>
              <w:t xml:space="preserve">；冰封期 </w:t>
            </w:r>
            <w:r>
              <w:rPr/>
              <w:sym w:font="Wingdings 2" w:char="00A3"/>
            </w:r>
            <w:r>
              <w:t>；</w:t>
            </w:r>
          </w:p>
          <w:p w14:paraId="527348E3">
            <w:pPr>
              <w:pStyle w:val="160"/>
              <w:snapToGrid w:val="0"/>
            </w:pPr>
            <w:r>
              <w:t xml:space="preserve">春季 </w:t>
            </w:r>
            <w:r>
              <w:rPr/>
              <w:sym w:font="Wingdings 2" w:char="00A3"/>
            </w:r>
            <w:r>
              <w:t xml:space="preserve">；夏季 </w:t>
            </w:r>
            <w:r>
              <w:rPr/>
              <w:sym w:font="Wingdings 2" w:char="00A3"/>
            </w:r>
            <w:r>
              <w:t xml:space="preserve">；秋季 </w:t>
            </w:r>
            <w:r>
              <w:rPr/>
              <w:sym w:font="Wingdings 2" w:char="00A3"/>
            </w:r>
            <w:r>
              <w:t xml:space="preserve">；冬季 </w:t>
            </w:r>
            <w:r>
              <w:rPr/>
              <w:sym w:font="Wingdings 2" w:char="00A3"/>
            </w:r>
          </w:p>
          <w:p w14:paraId="2BC01E95">
            <w:pPr>
              <w:pStyle w:val="160"/>
              <w:snapToGrid w:val="0"/>
            </w:pPr>
            <w:r>
              <w:t>设计水文条件</w:t>
            </w:r>
            <w:r>
              <w:rPr/>
              <w:sym w:font="Wingdings 2" w:char="00A3"/>
            </w:r>
          </w:p>
        </w:tc>
      </w:tr>
      <w:tr w14:paraId="6FD161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14:paraId="3F911AB1">
            <w:pPr>
              <w:pStyle w:val="160"/>
              <w:snapToGrid w:val="0"/>
            </w:pPr>
          </w:p>
        </w:tc>
        <w:tc>
          <w:tcPr>
            <w:tcW w:w="743" w:type="pct"/>
            <w:vAlign w:val="center"/>
          </w:tcPr>
          <w:p w14:paraId="3CB9CCD2">
            <w:pPr>
              <w:pStyle w:val="160"/>
              <w:snapToGrid w:val="0"/>
            </w:pPr>
            <w:r>
              <w:t>预测情景</w:t>
            </w:r>
          </w:p>
        </w:tc>
        <w:tc>
          <w:tcPr>
            <w:tcW w:w="4010" w:type="pct"/>
            <w:gridSpan w:val="10"/>
            <w:vAlign w:val="center"/>
          </w:tcPr>
          <w:p w14:paraId="3EF369EF">
            <w:pPr>
              <w:pStyle w:val="160"/>
              <w:snapToGrid w:val="0"/>
            </w:pPr>
            <w:r>
              <w:t xml:space="preserve">建设期 </w:t>
            </w:r>
            <w:r>
              <w:rPr/>
              <w:sym w:font="Wingdings 2" w:char="00A3"/>
            </w:r>
            <w:r>
              <w:t>；生产运行期</w:t>
            </w:r>
            <w:r>
              <w:rPr/>
              <w:sym w:font="Wingdings 2" w:char="00A3"/>
            </w:r>
            <w:r>
              <w:rPr>
                <w:bCs/>
                <w:sz w:val="2"/>
                <w:szCs w:val="2"/>
              </w:rPr>
              <w:t>A</w:t>
            </w:r>
            <w:r>
              <w:t xml:space="preserve">；服务期满后 </w:t>
            </w:r>
            <w:r>
              <w:rPr/>
              <w:sym w:font="Wingdings 2" w:char="00A3"/>
            </w:r>
          </w:p>
          <w:p w14:paraId="1B33C0E8">
            <w:pPr>
              <w:pStyle w:val="160"/>
              <w:snapToGrid w:val="0"/>
            </w:pPr>
            <w:r>
              <w:t>正常工况</w:t>
            </w:r>
            <w:r>
              <w:rPr/>
              <w:sym w:font="Wingdings 2" w:char="00A3"/>
            </w:r>
            <w:r>
              <w:t>；非正常工况</w:t>
            </w:r>
            <w:r>
              <w:rPr/>
              <w:sym w:font="Wingdings 2" w:char="00A3"/>
            </w:r>
          </w:p>
          <w:p w14:paraId="2B7C37E9">
            <w:pPr>
              <w:pStyle w:val="160"/>
              <w:snapToGrid w:val="0"/>
            </w:pPr>
            <w:r>
              <w:t>污染控制可减缓措施方案</w:t>
            </w:r>
            <w:r>
              <w:rPr>
                <w:sz w:val="2"/>
                <w:szCs w:val="2"/>
              </w:rPr>
              <w:t>A</w:t>
            </w:r>
            <w:r>
              <w:rPr/>
              <w:sym w:font="Wingdings 2" w:char="00A3"/>
            </w:r>
          </w:p>
          <w:p w14:paraId="57799EE3">
            <w:pPr>
              <w:pStyle w:val="160"/>
              <w:snapToGrid w:val="0"/>
            </w:pPr>
            <w:r>
              <w:t xml:space="preserve">区（流）域环境质量改善目标要求情景 </w:t>
            </w:r>
            <w:r>
              <w:rPr/>
              <w:sym w:font="Wingdings 2" w:char="00A3"/>
            </w:r>
          </w:p>
        </w:tc>
      </w:tr>
      <w:tr w14:paraId="500D98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14:paraId="4EA882CB">
            <w:pPr>
              <w:pStyle w:val="160"/>
              <w:snapToGrid w:val="0"/>
            </w:pPr>
          </w:p>
        </w:tc>
        <w:tc>
          <w:tcPr>
            <w:tcW w:w="743" w:type="pct"/>
            <w:vAlign w:val="center"/>
          </w:tcPr>
          <w:p w14:paraId="31AE90F8">
            <w:pPr>
              <w:pStyle w:val="160"/>
              <w:snapToGrid w:val="0"/>
            </w:pPr>
            <w:r>
              <w:t>预测方法</w:t>
            </w:r>
          </w:p>
        </w:tc>
        <w:tc>
          <w:tcPr>
            <w:tcW w:w="4010" w:type="pct"/>
            <w:gridSpan w:val="10"/>
            <w:vAlign w:val="center"/>
          </w:tcPr>
          <w:p w14:paraId="10FC512A">
            <w:pPr>
              <w:pStyle w:val="160"/>
              <w:snapToGrid w:val="0"/>
            </w:pPr>
            <w:r>
              <w:t>数值解</w:t>
            </w:r>
            <w:r>
              <w:rPr/>
              <w:sym w:font="Wingdings 2" w:char="00A3"/>
            </w:r>
            <w:r>
              <w:t>；解析解</w:t>
            </w:r>
            <w:r>
              <w:rPr/>
              <w:sym w:font="Wingdings 2" w:char="00A3"/>
            </w:r>
            <w:r>
              <w:t>；其他</w:t>
            </w:r>
            <w:r>
              <w:rPr/>
              <w:sym w:font="Wingdings 2" w:char="00A3"/>
            </w:r>
          </w:p>
          <w:p w14:paraId="3AC26E48">
            <w:pPr>
              <w:pStyle w:val="160"/>
              <w:snapToGrid w:val="0"/>
            </w:pPr>
            <w:r>
              <w:t>导则推荐模式</w:t>
            </w:r>
            <w:r>
              <w:rPr/>
              <w:sym w:font="Wingdings 2" w:char="00A3"/>
            </w:r>
            <w:r>
              <w:t xml:space="preserve">；其他 </w:t>
            </w:r>
            <w:r>
              <w:rPr/>
              <w:sym w:font="Wingdings 2" w:char="00A3"/>
            </w:r>
          </w:p>
        </w:tc>
      </w:tr>
      <w:tr w14:paraId="1DD4A4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restart"/>
            <w:vAlign w:val="center"/>
          </w:tcPr>
          <w:p w14:paraId="34A2FFC4">
            <w:pPr>
              <w:pStyle w:val="160"/>
              <w:snapToGrid w:val="0"/>
            </w:pPr>
            <w:r>
              <w:t>影响评价</w:t>
            </w:r>
          </w:p>
        </w:tc>
        <w:tc>
          <w:tcPr>
            <w:tcW w:w="743" w:type="pct"/>
            <w:vAlign w:val="center"/>
          </w:tcPr>
          <w:p w14:paraId="6C3ADD2A">
            <w:pPr>
              <w:pStyle w:val="160"/>
              <w:snapToGrid w:val="0"/>
            </w:pPr>
            <w:r>
              <w:t>水污染控制和水环境影响减缓措施有效性评价</w:t>
            </w:r>
          </w:p>
        </w:tc>
        <w:tc>
          <w:tcPr>
            <w:tcW w:w="4010" w:type="pct"/>
            <w:gridSpan w:val="10"/>
            <w:vAlign w:val="center"/>
          </w:tcPr>
          <w:p w14:paraId="294381BB">
            <w:pPr>
              <w:pStyle w:val="160"/>
              <w:snapToGrid w:val="0"/>
            </w:pPr>
            <w:r>
              <w:t>区（流）域环境质量改善目标</w:t>
            </w:r>
            <w:r>
              <w:rPr/>
              <w:sym w:font="Wingdings 2" w:char="00A3"/>
            </w:r>
            <w:r>
              <w:t>；替代消减源</w:t>
            </w:r>
            <w:r>
              <w:rPr/>
              <w:sym w:font="Wingdings 2" w:char="00A3"/>
            </w:r>
          </w:p>
        </w:tc>
      </w:tr>
      <w:tr w14:paraId="793A3E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14:paraId="01C8B2BB">
            <w:pPr>
              <w:pStyle w:val="160"/>
              <w:snapToGrid w:val="0"/>
            </w:pPr>
          </w:p>
        </w:tc>
        <w:tc>
          <w:tcPr>
            <w:tcW w:w="743" w:type="pct"/>
            <w:vAlign w:val="center"/>
          </w:tcPr>
          <w:p w14:paraId="0B7D691B">
            <w:pPr>
              <w:pStyle w:val="160"/>
              <w:snapToGrid w:val="0"/>
            </w:pPr>
            <w:r>
              <w:t>水环境影响评价</w:t>
            </w:r>
          </w:p>
        </w:tc>
        <w:tc>
          <w:tcPr>
            <w:tcW w:w="4010" w:type="pct"/>
            <w:gridSpan w:val="10"/>
            <w:vAlign w:val="center"/>
          </w:tcPr>
          <w:p w14:paraId="6535FAFD">
            <w:pPr>
              <w:pStyle w:val="160"/>
              <w:snapToGrid w:val="0"/>
            </w:pPr>
            <w:r>
              <w:t>排放口混合区外满足水环境保护要求</w:t>
            </w:r>
            <w:r>
              <w:rPr>
                <w:sz w:val="2"/>
                <w:szCs w:val="2"/>
              </w:rPr>
              <w:t>A</w:t>
            </w:r>
            <w:r>
              <w:rPr/>
              <w:sym w:font="Wingdings 2" w:char="00A3"/>
            </w:r>
          </w:p>
          <w:p w14:paraId="62EAA5FF">
            <w:pPr>
              <w:pStyle w:val="160"/>
              <w:snapToGrid w:val="0"/>
            </w:pPr>
            <w:r>
              <w:t xml:space="preserve">水环境功能区或水功能区、近岸海域环境功能区水质达标 </w:t>
            </w:r>
            <w:r>
              <w:rPr/>
              <w:sym w:font="Wingdings 2" w:char="00A3"/>
            </w:r>
          </w:p>
          <w:p w14:paraId="5EEF2058">
            <w:pPr>
              <w:pStyle w:val="160"/>
              <w:snapToGrid w:val="0"/>
            </w:pPr>
            <w:r>
              <w:t xml:space="preserve">满足水环境保护目标水域水环境质量要求 </w:t>
            </w:r>
            <w:r>
              <w:rPr/>
              <w:sym w:font="Wingdings 2" w:char="00A3"/>
            </w:r>
          </w:p>
          <w:p w14:paraId="16B8C1B6">
            <w:pPr>
              <w:pStyle w:val="160"/>
              <w:snapToGrid w:val="0"/>
            </w:pPr>
            <w:r>
              <w:t xml:space="preserve">水环境控制单元或断面水质达标 </w:t>
            </w:r>
            <w:r>
              <w:rPr/>
              <w:sym w:font="Wingdings 2" w:char="00A3"/>
            </w:r>
          </w:p>
          <w:p w14:paraId="48EC329E">
            <w:pPr>
              <w:pStyle w:val="160"/>
              <w:snapToGrid w:val="0"/>
            </w:pPr>
            <w:r>
              <w:t xml:space="preserve">满足重点水污染物排放总量控制指标要求，重点行业建设项目，主要污染物排放满足等量或减量替代要求 </w:t>
            </w:r>
            <w:r>
              <w:rPr/>
              <w:sym w:font="Wingdings 2" w:char="00A3"/>
            </w:r>
          </w:p>
          <w:p w14:paraId="285EA686">
            <w:pPr>
              <w:pStyle w:val="160"/>
              <w:snapToGrid w:val="0"/>
            </w:pPr>
            <w:r>
              <w:t xml:space="preserve">满足区（流）域环境质量改善目标要求 </w:t>
            </w:r>
            <w:r>
              <w:rPr/>
              <w:sym w:font="Wingdings 2" w:char="00A3"/>
            </w:r>
          </w:p>
          <w:p w14:paraId="52273553">
            <w:pPr>
              <w:pStyle w:val="160"/>
              <w:snapToGrid w:val="0"/>
            </w:pPr>
            <w:r>
              <w:t xml:space="preserve">水文要素影响型建设项目同时应包括水文情势变化评价、主要水文特征值影响评价、生态流量符合性评价 </w:t>
            </w:r>
            <w:r>
              <w:rPr/>
              <w:sym w:font="Wingdings 2" w:char="00A3"/>
            </w:r>
          </w:p>
          <w:p w14:paraId="45359867">
            <w:pPr>
              <w:pStyle w:val="160"/>
              <w:snapToGrid w:val="0"/>
            </w:pPr>
            <w:r>
              <w:t xml:space="preserve">对于新设或调整入河（湖库、近岸海域）排放口的建设项目，应包括排放口设置的环境合理性评价 </w:t>
            </w:r>
            <w:r>
              <w:rPr/>
              <w:sym w:font="Wingdings 2" w:char="00A3"/>
            </w:r>
          </w:p>
          <w:p w14:paraId="34248CCC">
            <w:pPr>
              <w:pStyle w:val="160"/>
              <w:snapToGrid w:val="0"/>
            </w:pPr>
            <w:r>
              <w:t xml:space="preserve">满足生态保护红线、水环境质量底线、资源利用上线和环境准入清单管理要求 </w:t>
            </w:r>
            <w:r>
              <w:rPr/>
              <w:sym w:font="Wingdings 2" w:char="00A3"/>
            </w:r>
          </w:p>
        </w:tc>
      </w:tr>
      <w:tr w14:paraId="226DD7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268" w:hRule="atLeast"/>
          <w:jc w:val="center"/>
        </w:trPr>
        <w:tc>
          <w:tcPr>
            <w:tcW w:w="247" w:type="pct"/>
            <w:vMerge w:val="continue"/>
            <w:vAlign w:val="center"/>
          </w:tcPr>
          <w:p w14:paraId="4A8576DB">
            <w:pPr>
              <w:pStyle w:val="160"/>
              <w:snapToGrid w:val="0"/>
            </w:pPr>
          </w:p>
        </w:tc>
        <w:tc>
          <w:tcPr>
            <w:tcW w:w="743" w:type="pct"/>
            <w:vMerge w:val="restart"/>
            <w:vAlign w:val="center"/>
          </w:tcPr>
          <w:p w14:paraId="7D2D9130">
            <w:pPr>
              <w:pStyle w:val="160"/>
              <w:snapToGrid w:val="0"/>
            </w:pPr>
            <w:r>
              <w:t>污染源排放量核算</w:t>
            </w:r>
          </w:p>
        </w:tc>
        <w:tc>
          <w:tcPr>
            <w:tcW w:w="1208" w:type="pct"/>
            <w:gridSpan w:val="3"/>
            <w:vAlign w:val="center"/>
          </w:tcPr>
          <w:p w14:paraId="5827D247">
            <w:pPr>
              <w:pStyle w:val="160"/>
              <w:snapToGrid w:val="0"/>
            </w:pPr>
            <w:r>
              <w:t>污染物名称</w:t>
            </w:r>
          </w:p>
        </w:tc>
        <w:tc>
          <w:tcPr>
            <w:tcW w:w="1118" w:type="pct"/>
            <w:gridSpan w:val="3"/>
            <w:vAlign w:val="center"/>
          </w:tcPr>
          <w:p w14:paraId="0ABAC0BE">
            <w:pPr>
              <w:pStyle w:val="160"/>
              <w:snapToGrid w:val="0"/>
            </w:pPr>
            <w:r>
              <w:t>排放量/（t/a）</w:t>
            </w:r>
          </w:p>
        </w:tc>
        <w:tc>
          <w:tcPr>
            <w:tcW w:w="1684" w:type="pct"/>
            <w:gridSpan w:val="4"/>
            <w:vAlign w:val="center"/>
          </w:tcPr>
          <w:p w14:paraId="3980EF6C">
            <w:pPr>
              <w:pStyle w:val="160"/>
              <w:snapToGrid w:val="0"/>
            </w:pPr>
            <w:r>
              <w:t>排放浓度/（mg/L）</w:t>
            </w:r>
          </w:p>
        </w:tc>
      </w:tr>
      <w:tr w14:paraId="0D2EBC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202" w:hRule="atLeast"/>
          <w:jc w:val="center"/>
        </w:trPr>
        <w:tc>
          <w:tcPr>
            <w:tcW w:w="247" w:type="pct"/>
            <w:vMerge w:val="continue"/>
            <w:vAlign w:val="center"/>
          </w:tcPr>
          <w:p w14:paraId="6AE2DF1B">
            <w:pPr>
              <w:pStyle w:val="160"/>
              <w:snapToGrid w:val="0"/>
            </w:pPr>
          </w:p>
        </w:tc>
        <w:tc>
          <w:tcPr>
            <w:tcW w:w="743" w:type="pct"/>
            <w:vMerge w:val="continue"/>
            <w:vAlign w:val="center"/>
          </w:tcPr>
          <w:p w14:paraId="1C961203">
            <w:pPr>
              <w:pStyle w:val="160"/>
              <w:snapToGrid w:val="0"/>
            </w:pPr>
          </w:p>
        </w:tc>
        <w:tc>
          <w:tcPr>
            <w:tcW w:w="1208" w:type="pct"/>
            <w:gridSpan w:val="3"/>
            <w:vAlign w:val="center"/>
          </w:tcPr>
          <w:p w14:paraId="443DB2AA">
            <w:pPr>
              <w:pStyle w:val="160"/>
              <w:snapToGrid w:val="0"/>
            </w:pPr>
            <w:r>
              <w:t>（  ）</w:t>
            </w:r>
          </w:p>
        </w:tc>
        <w:tc>
          <w:tcPr>
            <w:tcW w:w="1118" w:type="pct"/>
            <w:gridSpan w:val="3"/>
            <w:vAlign w:val="center"/>
          </w:tcPr>
          <w:p w14:paraId="0DFBF8BB">
            <w:pPr>
              <w:pStyle w:val="160"/>
              <w:snapToGrid w:val="0"/>
            </w:pPr>
            <w:r>
              <w:t>（  ）</w:t>
            </w:r>
          </w:p>
        </w:tc>
        <w:tc>
          <w:tcPr>
            <w:tcW w:w="1684" w:type="pct"/>
            <w:gridSpan w:val="4"/>
            <w:vAlign w:val="center"/>
          </w:tcPr>
          <w:p w14:paraId="1681D0AA">
            <w:pPr>
              <w:pStyle w:val="160"/>
              <w:snapToGrid w:val="0"/>
            </w:pPr>
            <w:r>
              <w:t>（  ）</w:t>
            </w:r>
          </w:p>
        </w:tc>
      </w:tr>
      <w:tr w14:paraId="4884FB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14:paraId="54F35A68">
            <w:pPr>
              <w:pStyle w:val="160"/>
              <w:snapToGrid w:val="0"/>
            </w:pPr>
          </w:p>
        </w:tc>
        <w:tc>
          <w:tcPr>
            <w:tcW w:w="743" w:type="pct"/>
            <w:vMerge w:val="restart"/>
            <w:vAlign w:val="center"/>
          </w:tcPr>
          <w:p w14:paraId="16E038A0">
            <w:pPr>
              <w:pStyle w:val="160"/>
              <w:snapToGrid w:val="0"/>
            </w:pPr>
            <w:r>
              <w:t>替代源排放量情况</w:t>
            </w:r>
          </w:p>
        </w:tc>
        <w:tc>
          <w:tcPr>
            <w:tcW w:w="832" w:type="pct"/>
            <w:gridSpan w:val="2"/>
            <w:vAlign w:val="center"/>
          </w:tcPr>
          <w:p w14:paraId="32E91ABB">
            <w:pPr>
              <w:pStyle w:val="160"/>
              <w:snapToGrid w:val="0"/>
            </w:pPr>
            <w:r>
              <w:t>污染源名称</w:t>
            </w:r>
          </w:p>
        </w:tc>
        <w:tc>
          <w:tcPr>
            <w:tcW w:w="943" w:type="pct"/>
            <w:gridSpan w:val="3"/>
            <w:vAlign w:val="center"/>
          </w:tcPr>
          <w:p w14:paraId="33B35226">
            <w:pPr>
              <w:pStyle w:val="160"/>
              <w:snapToGrid w:val="0"/>
            </w:pPr>
            <w:r>
              <w:t>排污许可证编号</w:t>
            </w:r>
          </w:p>
        </w:tc>
        <w:tc>
          <w:tcPr>
            <w:tcW w:w="717" w:type="pct"/>
            <w:gridSpan w:val="2"/>
            <w:vAlign w:val="center"/>
          </w:tcPr>
          <w:p w14:paraId="016349F6">
            <w:pPr>
              <w:pStyle w:val="160"/>
              <w:snapToGrid w:val="0"/>
            </w:pPr>
            <w:r>
              <w:t>污染物名称</w:t>
            </w:r>
          </w:p>
        </w:tc>
        <w:tc>
          <w:tcPr>
            <w:tcW w:w="565" w:type="pct"/>
            <w:vAlign w:val="center"/>
          </w:tcPr>
          <w:p w14:paraId="591900C9">
            <w:pPr>
              <w:pStyle w:val="160"/>
              <w:snapToGrid w:val="0"/>
            </w:pPr>
            <w:r>
              <w:t>排放量</w:t>
            </w:r>
          </w:p>
        </w:tc>
        <w:tc>
          <w:tcPr>
            <w:tcW w:w="953" w:type="pct"/>
            <w:gridSpan w:val="2"/>
            <w:vAlign w:val="center"/>
          </w:tcPr>
          <w:p w14:paraId="2F40157C">
            <w:pPr>
              <w:pStyle w:val="160"/>
              <w:snapToGrid w:val="0"/>
            </w:pPr>
            <w:r>
              <w:t>排放浓度，mg/L</w:t>
            </w:r>
          </w:p>
        </w:tc>
      </w:tr>
      <w:tr w14:paraId="309FEB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84" w:hRule="atLeast"/>
          <w:jc w:val="center"/>
        </w:trPr>
        <w:tc>
          <w:tcPr>
            <w:tcW w:w="247" w:type="pct"/>
            <w:vMerge w:val="continue"/>
            <w:vAlign w:val="center"/>
          </w:tcPr>
          <w:p w14:paraId="30B72C0E">
            <w:pPr>
              <w:pStyle w:val="160"/>
              <w:snapToGrid w:val="0"/>
            </w:pPr>
          </w:p>
        </w:tc>
        <w:tc>
          <w:tcPr>
            <w:tcW w:w="743" w:type="pct"/>
            <w:vMerge w:val="continue"/>
            <w:vAlign w:val="center"/>
          </w:tcPr>
          <w:p w14:paraId="7E21EE9F">
            <w:pPr>
              <w:pStyle w:val="160"/>
              <w:snapToGrid w:val="0"/>
            </w:pPr>
          </w:p>
        </w:tc>
        <w:tc>
          <w:tcPr>
            <w:tcW w:w="832" w:type="pct"/>
            <w:gridSpan w:val="2"/>
            <w:vAlign w:val="center"/>
          </w:tcPr>
          <w:p w14:paraId="76CC4C49">
            <w:pPr>
              <w:pStyle w:val="160"/>
              <w:snapToGrid w:val="0"/>
            </w:pPr>
            <w:r>
              <w:t>（    ）</w:t>
            </w:r>
          </w:p>
        </w:tc>
        <w:tc>
          <w:tcPr>
            <w:tcW w:w="943" w:type="pct"/>
            <w:gridSpan w:val="3"/>
            <w:vAlign w:val="center"/>
          </w:tcPr>
          <w:p w14:paraId="1697768C">
            <w:pPr>
              <w:pStyle w:val="160"/>
              <w:snapToGrid w:val="0"/>
            </w:pPr>
            <w:r>
              <w:t>（    ）</w:t>
            </w:r>
          </w:p>
        </w:tc>
        <w:tc>
          <w:tcPr>
            <w:tcW w:w="717" w:type="pct"/>
            <w:gridSpan w:val="2"/>
            <w:vAlign w:val="center"/>
          </w:tcPr>
          <w:p w14:paraId="4BAB8D3C">
            <w:pPr>
              <w:pStyle w:val="160"/>
              <w:snapToGrid w:val="0"/>
            </w:pPr>
            <w:r>
              <w:t>（    ）</w:t>
            </w:r>
          </w:p>
        </w:tc>
        <w:tc>
          <w:tcPr>
            <w:tcW w:w="565" w:type="pct"/>
            <w:vAlign w:val="center"/>
          </w:tcPr>
          <w:p w14:paraId="0F560F5E">
            <w:pPr>
              <w:pStyle w:val="160"/>
              <w:snapToGrid w:val="0"/>
            </w:pPr>
            <w:r>
              <w:t>（    ）</w:t>
            </w:r>
          </w:p>
        </w:tc>
        <w:tc>
          <w:tcPr>
            <w:tcW w:w="953" w:type="pct"/>
            <w:gridSpan w:val="2"/>
            <w:vAlign w:val="center"/>
          </w:tcPr>
          <w:p w14:paraId="73983115">
            <w:pPr>
              <w:pStyle w:val="160"/>
              <w:snapToGrid w:val="0"/>
            </w:pPr>
            <w:r>
              <w:t>（    ）</w:t>
            </w:r>
          </w:p>
        </w:tc>
      </w:tr>
      <w:tr w14:paraId="1F0978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14:paraId="02229357">
            <w:pPr>
              <w:pStyle w:val="160"/>
              <w:snapToGrid w:val="0"/>
            </w:pPr>
          </w:p>
        </w:tc>
        <w:tc>
          <w:tcPr>
            <w:tcW w:w="743" w:type="pct"/>
            <w:vAlign w:val="center"/>
          </w:tcPr>
          <w:p w14:paraId="037B2B81">
            <w:pPr>
              <w:pStyle w:val="160"/>
              <w:snapToGrid w:val="0"/>
            </w:pPr>
            <w:r>
              <w:t>生态流量确定</w:t>
            </w:r>
          </w:p>
        </w:tc>
        <w:tc>
          <w:tcPr>
            <w:tcW w:w="4010" w:type="pct"/>
            <w:gridSpan w:val="10"/>
            <w:vAlign w:val="center"/>
          </w:tcPr>
          <w:p w14:paraId="27409E80">
            <w:pPr>
              <w:pStyle w:val="160"/>
              <w:snapToGrid w:val="0"/>
              <w:rPr>
                <w:spacing w:val="-6"/>
              </w:rPr>
            </w:pPr>
            <w:r>
              <w:rPr>
                <w:spacing w:val="-6"/>
              </w:rPr>
              <w:t>生态流量：一般水期（  ）m</w:t>
            </w:r>
            <w:r>
              <w:rPr>
                <w:spacing w:val="-6"/>
                <w:vertAlign w:val="superscript"/>
              </w:rPr>
              <w:t>3</w:t>
            </w:r>
            <w:r>
              <w:rPr>
                <w:spacing w:val="-6"/>
              </w:rPr>
              <w:t>/s；鱼类繁殖期（  ）m</w:t>
            </w:r>
            <w:r>
              <w:rPr>
                <w:spacing w:val="-6"/>
                <w:vertAlign w:val="superscript"/>
              </w:rPr>
              <w:t>3</w:t>
            </w:r>
            <w:r>
              <w:rPr>
                <w:spacing w:val="-6"/>
              </w:rPr>
              <w:t>/s；其他（  ）m</w:t>
            </w:r>
            <w:r>
              <w:rPr>
                <w:spacing w:val="-6"/>
                <w:vertAlign w:val="superscript"/>
              </w:rPr>
              <w:t>3</w:t>
            </w:r>
            <w:r>
              <w:rPr>
                <w:spacing w:val="-6"/>
              </w:rPr>
              <w:t>/s</w:t>
            </w:r>
          </w:p>
          <w:p w14:paraId="750D6C87">
            <w:pPr>
              <w:pStyle w:val="160"/>
              <w:snapToGrid w:val="0"/>
            </w:pPr>
            <w:r>
              <w:rPr>
                <w:spacing w:val="-6"/>
              </w:rPr>
              <w:t>生态水位：一般水期（  ）m</w:t>
            </w:r>
            <w:r>
              <w:rPr>
                <w:spacing w:val="-6"/>
                <w:vertAlign w:val="superscript"/>
              </w:rPr>
              <w:t>3</w:t>
            </w:r>
            <w:r>
              <w:rPr>
                <w:spacing w:val="-6"/>
              </w:rPr>
              <w:t>/s；鱼类繁殖期（  ）m</w:t>
            </w:r>
            <w:r>
              <w:rPr>
                <w:spacing w:val="-6"/>
                <w:vertAlign w:val="superscript"/>
              </w:rPr>
              <w:t>3</w:t>
            </w:r>
            <w:r>
              <w:rPr>
                <w:spacing w:val="-6"/>
              </w:rPr>
              <w:t>/s；其他（  ）m</w:t>
            </w:r>
            <w:r>
              <w:rPr>
                <w:spacing w:val="-6"/>
                <w:vertAlign w:val="superscript"/>
              </w:rPr>
              <w:t>3</w:t>
            </w:r>
            <w:r>
              <w:rPr>
                <w:spacing w:val="-6"/>
              </w:rPr>
              <w:t>/s</w:t>
            </w:r>
          </w:p>
        </w:tc>
      </w:tr>
      <w:tr w14:paraId="611884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restart"/>
            <w:vAlign w:val="center"/>
          </w:tcPr>
          <w:p w14:paraId="495D0BAB">
            <w:pPr>
              <w:pStyle w:val="160"/>
              <w:snapToGrid w:val="0"/>
            </w:pPr>
            <w:r>
              <w:t>防治措施</w:t>
            </w:r>
          </w:p>
        </w:tc>
        <w:tc>
          <w:tcPr>
            <w:tcW w:w="743" w:type="pct"/>
            <w:vAlign w:val="center"/>
          </w:tcPr>
          <w:p w14:paraId="11956974">
            <w:pPr>
              <w:pStyle w:val="160"/>
              <w:snapToGrid w:val="0"/>
            </w:pPr>
            <w:r>
              <w:t>环保措施</w:t>
            </w:r>
          </w:p>
        </w:tc>
        <w:tc>
          <w:tcPr>
            <w:tcW w:w="4010" w:type="pct"/>
            <w:gridSpan w:val="10"/>
            <w:vAlign w:val="center"/>
          </w:tcPr>
          <w:p w14:paraId="2BFB41D0">
            <w:pPr>
              <w:pStyle w:val="160"/>
              <w:snapToGrid w:val="0"/>
            </w:pPr>
            <w:r>
              <w:t>污水处理设施</w:t>
            </w:r>
            <w:r>
              <w:rPr/>
              <w:sym w:font="Wingdings 2" w:char="00A3"/>
            </w:r>
            <w:r>
              <w:t xml:space="preserve">；水文减缓设施 </w:t>
            </w:r>
            <w:r>
              <w:rPr/>
              <w:sym w:font="Wingdings 2" w:char="00A3"/>
            </w:r>
            <w:r>
              <w:t xml:space="preserve">；生态流量保障设施 </w:t>
            </w:r>
            <w:r>
              <w:rPr/>
              <w:sym w:font="Wingdings 2" w:char="00A3"/>
            </w:r>
            <w:r>
              <w:t xml:space="preserve">；区域消减依托其他工程措施 </w:t>
            </w:r>
            <w:r>
              <w:rPr/>
              <w:sym w:font="Wingdings 2" w:char="00A3"/>
            </w:r>
            <w:r>
              <w:t xml:space="preserve">；其他 </w:t>
            </w:r>
            <w:r>
              <w:rPr/>
              <w:sym w:font="Wingdings 2" w:char="00A3"/>
            </w:r>
          </w:p>
        </w:tc>
      </w:tr>
      <w:tr w14:paraId="2DCA00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274" w:hRule="atLeast"/>
          <w:jc w:val="center"/>
        </w:trPr>
        <w:tc>
          <w:tcPr>
            <w:tcW w:w="247" w:type="pct"/>
            <w:vMerge w:val="continue"/>
            <w:vAlign w:val="center"/>
          </w:tcPr>
          <w:p w14:paraId="04A5EE70">
            <w:pPr>
              <w:pStyle w:val="160"/>
              <w:snapToGrid w:val="0"/>
            </w:pPr>
          </w:p>
        </w:tc>
        <w:tc>
          <w:tcPr>
            <w:tcW w:w="743" w:type="pct"/>
            <w:vMerge w:val="restart"/>
            <w:vAlign w:val="center"/>
          </w:tcPr>
          <w:p w14:paraId="6CB8E426">
            <w:pPr>
              <w:pStyle w:val="160"/>
              <w:snapToGrid w:val="0"/>
            </w:pPr>
            <w:r>
              <w:t>监测计划</w:t>
            </w:r>
          </w:p>
        </w:tc>
        <w:tc>
          <w:tcPr>
            <w:tcW w:w="750" w:type="pct"/>
            <w:vAlign w:val="center"/>
          </w:tcPr>
          <w:p w14:paraId="0C157F1E">
            <w:pPr>
              <w:pStyle w:val="160"/>
              <w:snapToGrid w:val="0"/>
            </w:pPr>
          </w:p>
        </w:tc>
        <w:tc>
          <w:tcPr>
            <w:tcW w:w="1575" w:type="pct"/>
            <w:gridSpan w:val="5"/>
            <w:vAlign w:val="center"/>
          </w:tcPr>
          <w:p w14:paraId="2FBA585F">
            <w:pPr>
              <w:pStyle w:val="160"/>
              <w:snapToGrid w:val="0"/>
            </w:pPr>
            <w:r>
              <w:t>环境质量</w:t>
            </w:r>
          </w:p>
        </w:tc>
        <w:tc>
          <w:tcPr>
            <w:tcW w:w="1684" w:type="pct"/>
            <w:gridSpan w:val="4"/>
            <w:vAlign w:val="center"/>
          </w:tcPr>
          <w:p w14:paraId="1ADD1060">
            <w:pPr>
              <w:pStyle w:val="160"/>
              <w:snapToGrid w:val="0"/>
            </w:pPr>
            <w:r>
              <w:t>污染源</w:t>
            </w:r>
          </w:p>
        </w:tc>
      </w:tr>
      <w:tr w14:paraId="23B431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94" w:hRule="atLeast"/>
          <w:jc w:val="center"/>
        </w:trPr>
        <w:tc>
          <w:tcPr>
            <w:tcW w:w="247" w:type="pct"/>
            <w:vMerge w:val="continue"/>
            <w:vAlign w:val="center"/>
          </w:tcPr>
          <w:p w14:paraId="39906E96">
            <w:pPr>
              <w:pStyle w:val="160"/>
              <w:snapToGrid w:val="0"/>
            </w:pPr>
          </w:p>
        </w:tc>
        <w:tc>
          <w:tcPr>
            <w:tcW w:w="743" w:type="pct"/>
            <w:vMerge w:val="continue"/>
            <w:vAlign w:val="center"/>
          </w:tcPr>
          <w:p w14:paraId="74EF48D4">
            <w:pPr>
              <w:pStyle w:val="160"/>
              <w:snapToGrid w:val="0"/>
            </w:pPr>
          </w:p>
        </w:tc>
        <w:tc>
          <w:tcPr>
            <w:tcW w:w="750" w:type="pct"/>
            <w:vAlign w:val="center"/>
          </w:tcPr>
          <w:p w14:paraId="1AC9F324">
            <w:pPr>
              <w:pStyle w:val="160"/>
              <w:snapToGrid w:val="0"/>
            </w:pPr>
            <w:r>
              <w:t>监测方法</w:t>
            </w:r>
          </w:p>
        </w:tc>
        <w:tc>
          <w:tcPr>
            <w:tcW w:w="1575" w:type="pct"/>
            <w:gridSpan w:val="5"/>
            <w:vAlign w:val="center"/>
          </w:tcPr>
          <w:p w14:paraId="508164F3">
            <w:pPr>
              <w:pStyle w:val="160"/>
              <w:snapToGrid w:val="0"/>
            </w:pPr>
            <w:r>
              <w:t>手动</w:t>
            </w:r>
            <w:r>
              <w:rPr/>
              <w:sym w:font="Wingdings 2" w:char="00A3"/>
            </w:r>
            <w:r>
              <w:t>；自动</w:t>
            </w:r>
            <w:r>
              <w:rPr/>
              <w:sym w:font="Wingdings 2" w:char="00A3"/>
            </w:r>
            <w:r>
              <w:t xml:space="preserve">；无检测 </w:t>
            </w:r>
            <w:r>
              <w:rPr/>
              <w:sym w:font="Wingdings 2" w:char="00A3"/>
            </w:r>
          </w:p>
        </w:tc>
        <w:tc>
          <w:tcPr>
            <w:tcW w:w="1684" w:type="pct"/>
            <w:gridSpan w:val="4"/>
            <w:vAlign w:val="center"/>
          </w:tcPr>
          <w:p w14:paraId="0F0A92F3">
            <w:pPr>
              <w:pStyle w:val="160"/>
              <w:snapToGrid w:val="0"/>
            </w:pPr>
            <w:r>
              <w:t>手动</w:t>
            </w:r>
            <w:r>
              <w:rPr/>
              <w:sym w:font="Wingdings 2" w:char="00A3"/>
            </w:r>
            <w:r>
              <w:t>；自动</w:t>
            </w:r>
            <w:r>
              <w:rPr/>
              <w:sym w:font="Wingdings 2" w:char="00A3"/>
            </w:r>
            <w:r>
              <w:t>；无检测</w:t>
            </w:r>
            <w:r>
              <w:rPr/>
              <w:sym w:font="Wingdings 2" w:char="00A3"/>
            </w:r>
          </w:p>
        </w:tc>
      </w:tr>
      <w:tr w14:paraId="7C864E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256" w:hRule="atLeast"/>
          <w:jc w:val="center"/>
        </w:trPr>
        <w:tc>
          <w:tcPr>
            <w:tcW w:w="247" w:type="pct"/>
            <w:vMerge w:val="continue"/>
            <w:vAlign w:val="center"/>
          </w:tcPr>
          <w:p w14:paraId="52DB97F9">
            <w:pPr>
              <w:pStyle w:val="160"/>
              <w:snapToGrid w:val="0"/>
            </w:pPr>
          </w:p>
        </w:tc>
        <w:tc>
          <w:tcPr>
            <w:tcW w:w="743" w:type="pct"/>
            <w:vMerge w:val="continue"/>
            <w:vAlign w:val="center"/>
          </w:tcPr>
          <w:p w14:paraId="4D620632">
            <w:pPr>
              <w:pStyle w:val="160"/>
              <w:snapToGrid w:val="0"/>
            </w:pPr>
          </w:p>
        </w:tc>
        <w:tc>
          <w:tcPr>
            <w:tcW w:w="750" w:type="pct"/>
            <w:vAlign w:val="center"/>
          </w:tcPr>
          <w:p w14:paraId="449484BB">
            <w:pPr>
              <w:pStyle w:val="160"/>
              <w:snapToGrid w:val="0"/>
            </w:pPr>
            <w:r>
              <w:t>监测点位</w:t>
            </w:r>
          </w:p>
        </w:tc>
        <w:tc>
          <w:tcPr>
            <w:tcW w:w="1575" w:type="pct"/>
            <w:gridSpan w:val="5"/>
            <w:vAlign w:val="center"/>
          </w:tcPr>
          <w:p w14:paraId="10B4C83D">
            <w:pPr>
              <w:pStyle w:val="160"/>
              <w:snapToGrid w:val="0"/>
            </w:pPr>
            <w:r>
              <w:t>（      ）</w:t>
            </w:r>
          </w:p>
        </w:tc>
        <w:tc>
          <w:tcPr>
            <w:tcW w:w="1684" w:type="pct"/>
            <w:gridSpan w:val="4"/>
            <w:vAlign w:val="center"/>
          </w:tcPr>
          <w:p w14:paraId="02727886">
            <w:pPr>
              <w:pStyle w:val="160"/>
              <w:snapToGrid w:val="0"/>
            </w:pPr>
            <w:r>
              <w:t>（      ）</w:t>
            </w:r>
          </w:p>
        </w:tc>
      </w:tr>
      <w:tr w14:paraId="6DE9E4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88" w:hRule="atLeast"/>
          <w:jc w:val="center"/>
        </w:trPr>
        <w:tc>
          <w:tcPr>
            <w:tcW w:w="247" w:type="pct"/>
            <w:vMerge w:val="continue"/>
            <w:vAlign w:val="center"/>
          </w:tcPr>
          <w:p w14:paraId="4771CF3E">
            <w:pPr>
              <w:pStyle w:val="160"/>
              <w:snapToGrid w:val="0"/>
            </w:pPr>
          </w:p>
        </w:tc>
        <w:tc>
          <w:tcPr>
            <w:tcW w:w="743" w:type="pct"/>
            <w:vMerge w:val="continue"/>
            <w:vAlign w:val="center"/>
          </w:tcPr>
          <w:p w14:paraId="74286599">
            <w:pPr>
              <w:pStyle w:val="160"/>
              <w:snapToGrid w:val="0"/>
            </w:pPr>
          </w:p>
        </w:tc>
        <w:tc>
          <w:tcPr>
            <w:tcW w:w="750" w:type="pct"/>
            <w:vAlign w:val="center"/>
          </w:tcPr>
          <w:p w14:paraId="4CCE83E2">
            <w:pPr>
              <w:pStyle w:val="160"/>
              <w:snapToGrid w:val="0"/>
            </w:pPr>
            <w:r>
              <w:t>监测因子</w:t>
            </w:r>
          </w:p>
        </w:tc>
        <w:tc>
          <w:tcPr>
            <w:tcW w:w="1575" w:type="pct"/>
            <w:gridSpan w:val="5"/>
            <w:vAlign w:val="center"/>
          </w:tcPr>
          <w:p w14:paraId="29A6651F">
            <w:pPr>
              <w:pStyle w:val="160"/>
              <w:snapToGrid w:val="0"/>
            </w:pPr>
            <w:r>
              <w:t>（      ）</w:t>
            </w:r>
          </w:p>
        </w:tc>
        <w:tc>
          <w:tcPr>
            <w:tcW w:w="1684" w:type="pct"/>
            <w:gridSpan w:val="4"/>
            <w:vAlign w:val="center"/>
          </w:tcPr>
          <w:p w14:paraId="6F821EF1">
            <w:pPr>
              <w:pStyle w:val="160"/>
              <w:snapToGrid w:val="0"/>
            </w:pPr>
            <w:r>
              <w:t>（      ）</w:t>
            </w:r>
          </w:p>
        </w:tc>
      </w:tr>
      <w:tr w14:paraId="2DFA75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14:paraId="40F8CA67">
            <w:pPr>
              <w:pStyle w:val="160"/>
              <w:snapToGrid w:val="0"/>
            </w:pPr>
          </w:p>
        </w:tc>
        <w:tc>
          <w:tcPr>
            <w:tcW w:w="743" w:type="pct"/>
            <w:vAlign w:val="center"/>
          </w:tcPr>
          <w:p w14:paraId="23799D9F">
            <w:pPr>
              <w:pStyle w:val="160"/>
              <w:snapToGrid w:val="0"/>
            </w:pPr>
            <w:r>
              <w:t>污染物排放清单</w:t>
            </w:r>
          </w:p>
        </w:tc>
        <w:tc>
          <w:tcPr>
            <w:tcW w:w="4010" w:type="pct"/>
            <w:gridSpan w:val="10"/>
            <w:vAlign w:val="center"/>
          </w:tcPr>
          <w:p w14:paraId="0BA0AC30">
            <w:pPr>
              <w:pStyle w:val="160"/>
              <w:snapToGrid w:val="0"/>
            </w:pPr>
          </w:p>
        </w:tc>
      </w:tr>
      <w:tr w14:paraId="3EEC68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98" w:hRule="atLeast"/>
          <w:jc w:val="center"/>
        </w:trPr>
        <w:tc>
          <w:tcPr>
            <w:tcW w:w="990" w:type="pct"/>
            <w:gridSpan w:val="2"/>
            <w:vAlign w:val="center"/>
          </w:tcPr>
          <w:p w14:paraId="7C7E1EFB">
            <w:pPr>
              <w:pStyle w:val="160"/>
              <w:snapToGrid w:val="0"/>
            </w:pPr>
            <w:r>
              <w:t>评价结论</w:t>
            </w:r>
          </w:p>
        </w:tc>
        <w:tc>
          <w:tcPr>
            <w:tcW w:w="4010" w:type="pct"/>
            <w:gridSpan w:val="10"/>
            <w:vAlign w:val="center"/>
          </w:tcPr>
          <w:p w14:paraId="0D77906D">
            <w:pPr>
              <w:pStyle w:val="160"/>
              <w:snapToGrid w:val="0"/>
            </w:pPr>
            <w:r>
              <w:t>可以接受</w:t>
            </w:r>
            <w:r>
              <w:rPr/>
              <w:sym w:font="Wingdings 2" w:char="0052"/>
            </w:r>
            <w:r>
              <w:rPr>
                <w:bCs/>
                <w:sz w:val="2"/>
                <w:szCs w:val="2"/>
              </w:rPr>
              <w:t>A</w:t>
            </w:r>
            <w:r>
              <w:t xml:space="preserve">；不可以接受 </w:t>
            </w:r>
            <w:r>
              <w:rPr/>
              <w:sym w:font="Wingdings 2" w:char="00A3"/>
            </w:r>
            <w:r>
              <w:t>；</w:t>
            </w:r>
          </w:p>
        </w:tc>
      </w:tr>
      <w:tr w14:paraId="12E611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5000" w:type="pct"/>
            <w:gridSpan w:val="12"/>
            <w:vAlign w:val="center"/>
          </w:tcPr>
          <w:p w14:paraId="0E66A574">
            <w:pPr>
              <w:pStyle w:val="160"/>
              <w:snapToGrid w:val="0"/>
            </w:pPr>
            <w:r>
              <w:t>注：“</w:t>
            </w:r>
            <w:r>
              <w:rPr/>
              <w:sym w:font="Wingdings 2" w:char="00A3"/>
            </w:r>
            <w:r>
              <w:t>”为勾选项，可√；“（  ）”为内容填写项：“备注”为其他补充内容。</w:t>
            </w:r>
          </w:p>
        </w:tc>
      </w:tr>
    </w:tbl>
    <w:p w14:paraId="1F4219EF">
      <w:pPr>
        <w:pStyle w:val="143"/>
        <w:spacing w:before="156"/>
      </w:pPr>
      <w:r>
        <w:br w:type="page"/>
      </w:r>
      <w:r>
        <w:t>表3  土壤环境影响评价自查表</w:t>
      </w:r>
    </w:p>
    <w:tbl>
      <w:tblPr>
        <w:tblStyle w:val="89"/>
        <w:tblW w:w="5000"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435"/>
        <w:gridCol w:w="1503"/>
        <w:gridCol w:w="1527"/>
        <w:gridCol w:w="250"/>
        <w:gridCol w:w="1018"/>
        <w:gridCol w:w="638"/>
        <w:gridCol w:w="630"/>
        <w:gridCol w:w="1345"/>
        <w:gridCol w:w="946"/>
      </w:tblGrid>
      <w:tr w14:paraId="41AECB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1168" w:type="pct"/>
            <w:gridSpan w:val="2"/>
            <w:tcBorders>
              <w:right w:val="single" w:color="000000" w:sz="6" w:space="0"/>
            </w:tcBorders>
            <w:vAlign w:val="center"/>
          </w:tcPr>
          <w:p w14:paraId="45E99CBF">
            <w:pPr>
              <w:pStyle w:val="160"/>
              <w:autoSpaceDE w:val="0"/>
              <w:autoSpaceDN w:val="0"/>
              <w:rPr>
                <w:szCs w:val="21"/>
              </w:rPr>
            </w:pPr>
            <w:r>
              <w:rPr>
                <w:szCs w:val="21"/>
              </w:rPr>
              <w:t>工作内容</w:t>
            </w:r>
          </w:p>
        </w:tc>
        <w:tc>
          <w:tcPr>
            <w:tcW w:w="3262" w:type="pct"/>
            <w:gridSpan w:val="6"/>
            <w:tcBorders>
              <w:left w:val="single" w:color="000000" w:sz="6" w:space="0"/>
              <w:right w:val="single" w:color="000000" w:sz="6" w:space="0"/>
            </w:tcBorders>
            <w:vAlign w:val="center"/>
          </w:tcPr>
          <w:p w14:paraId="2E2F2AB2">
            <w:pPr>
              <w:pStyle w:val="160"/>
              <w:autoSpaceDE w:val="0"/>
              <w:autoSpaceDN w:val="0"/>
              <w:rPr>
                <w:szCs w:val="21"/>
              </w:rPr>
            </w:pPr>
            <w:r>
              <w:rPr>
                <w:szCs w:val="21"/>
              </w:rPr>
              <w:t>完成情况</w:t>
            </w:r>
          </w:p>
        </w:tc>
        <w:tc>
          <w:tcPr>
            <w:tcW w:w="570" w:type="pct"/>
            <w:tcBorders>
              <w:left w:val="single" w:color="000000" w:sz="6" w:space="0"/>
            </w:tcBorders>
            <w:vAlign w:val="center"/>
          </w:tcPr>
          <w:p w14:paraId="6285CA4D">
            <w:pPr>
              <w:pStyle w:val="160"/>
              <w:autoSpaceDE w:val="0"/>
              <w:autoSpaceDN w:val="0"/>
              <w:rPr>
                <w:szCs w:val="21"/>
              </w:rPr>
            </w:pPr>
            <w:r>
              <w:rPr>
                <w:szCs w:val="21"/>
              </w:rPr>
              <w:t>备注</w:t>
            </w:r>
          </w:p>
        </w:tc>
      </w:tr>
      <w:tr w14:paraId="53025F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restart"/>
            <w:tcBorders>
              <w:bottom w:val="single" w:color="000000" w:sz="6" w:space="0"/>
              <w:right w:val="single" w:color="000000" w:sz="6" w:space="0"/>
            </w:tcBorders>
            <w:vAlign w:val="center"/>
          </w:tcPr>
          <w:p w14:paraId="69BF2488">
            <w:pPr>
              <w:pStyle w:val="160"/>
              <w:autoSpaceDE w:val="0"/>
              <w:autoSpaceDN w:val="0"/>
              <w:rPr>
                <w:szCs w:val="21"/>
              </w:rPr>
            </w:pPr>
            <w:r>
              <w:rPr>
                <w:szCs w:val="21"/>
              </w:rPr>
              <w:t>影</w:t>
            </w:r>
          </w:p>
          <w:p w14:paraId="64E972FC">
            <w:pPr>
              <w:pStyle w:val="160"/>
              <w:autoSpaceDE w:val="0"/>
              <w:autoSpaceDN w:val="0"/>
              <w:rPr>
                <w:szCs w:val="21"/>
              </w:rPr>
            </w:pPr>
            <w:r>
              <w:rPr>
                <w:szCs w:val="21"/>
              </w:rPr>
              <w:t>响</w:t>
            </w:r>
          </w:p>
          <w:p w14:paraId="6AED17DE">
            <w:pPr>
              <w:pStyle w:val="160"/>
              <w:autoSpaceDE w:val="0"/>
              <w:autoSpaceDN w:val="0"/>
              <w:rPr>
                <w:szCs w:val="21"/>
              </w:rPr>
            </w:pPr>
            <w:r>
              <w:rPr>
                <w:szCs w:val="21"/>
              </w:rPr>
              <w:t>识</w:t>
            </w:r>
          </w:p>
          <w:p w14:paraId="24B99630">
            <w:pPr>
              <w:pStyle w:val="160"/>
              <w:autoSpaceDE w:val="0"/>
              <w:autoSpaceDN w:val="0"/>
              <w:rPr>
                <w:szCs w:val="21"/>
              </w:rPr>
            </w:pPr>
            <w:r>
              <w:rPr>
                <w:szCs w:val="21"/>
              </w:rPr>
              <w:t>别</w:t>
            </w:r>
          </w:p>
        </w:tc>
        <w:tc>
          <w:tcPr>
            <w:tcW w:w="906" w:type="pct"/>
            <w:tcBorders>
              <w:left w:val="single" w:color="000000" w:sz="6" w:space="0"/>
              <w:right w:val="single" w:color="000000" w:sz="6" w:space="0"/>
            </w:tcBorders>
            <w:vAlign w:val="center"/>
          </w:tcPr>
          <w:p w14:paraId="7EC370B2">
            <w:pPr>
              <w:pStyle w:val="160"/>
              <w:autoSpaceDE w:val="0"/>
              <w:autoSpaceDN w:val="0"/>
              <w:rPr>
                <w:szCs w:val="21"/>
              </w:rPr>
            </w:pPr>
            <w:r>
              <w:rPr>
                <w:szCs w:val="21"/>
              </w:rPr>
              <w:t>影响类型</w:t>
            </w:r>
          </w:p>
        </w:tc>
        <w:tc>
          <w:tcPr>
            <w:tcW w:w="3262" w:type="pct"/>
            <w:gridSpan w:val="6"/>
            <w:tcBorders>
              <w:left w:val="single" w:color="000000" w:sz="6" w:space="0"/>
              <w:right w:val="single" w:color="000000" w:sz="6" w:space="0"/>
            </w:tcBorders>
            <w:vAlign w:val="center"/>
          </w:tcPr>
          <w:p w14:paraId="2AC764E3">
            <w:pPr>
              <w:pStyle w:val="160"/>
              <w:autoSpaceDE w:val="0"/>
              <w:autoSpaceDN w:val="0"/>
              <w:rPr>
                <w:szCs w:val="21"/>
              </w:rPr>
            </w:pPr>
            <w:r>
              <w:rPr>
                <w:szCs w:val="21"/>
              </w:rPr>
              <w:t>污染影响型</w:t>
            </w:r>
            <w:r>
              <w:rPr>
                <w:bCs/>
                <w:szCs w:val="21"/>
              </w:rPr>
              <w:t>√</w:t>
            </w:r>
            <w:r>
              <w:rPr>
                <w:szCs w:val="21"/>
              </w:rPr>
              <w:t>；生态影响型□；两种兼有□</w:t>
            </w:r>
          </w:p>
        </w:tc>
        <w:tc>
          <w:tcPr>
            <w:tcW w:w="570" w:type="pct"/>
            <w:tcBorders>
              <w:left w:val="single" w:color="000000" w:sz="6" w:space="0"/>
            </w:tcBorders>
            <w:vAlign w:val="center"/>
          </w:tcPr>
          <w:p w14:paraId="3E7614A2">
            <w:pPr>
              <w:pStyle w:val="160"/>
              <w:autoSpaceDE w:val="0"/>
              <w:autoSpaceDN w:val="0"/>
              <w:rPr>
                <w:szCs w:val="21"/>
              </w:rPr>
            </w:pPr>
          </w:p>
        </w:tc>
      </w:tr>
      <w:tr w14:paraId="34AA14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06" w:hRule="atLeast"/>
        </w:trPr>
        <w:tc>
          <w:tcPr>
            <w:tcW w:w="262" w:type="pct"/>
            <w:vMerge w:val="continue"/>
            <w:tcBorders>
              <w:top w:val="nil"/>
              <w:bottom w:val="single" w:color="000000" w:sz="6" w:space="0"/>
              <w:right w:val="single" w:color="000000" w:sz="6" w:space="0"/>
            </w:tcBorders>
            <w:vAlign w:val="center"/>
          </w:tcPr>
          <w:p w14:paraId="1D0BD56A">
            <w:pPr>
              <w:pStyle w:val="160"/>
              <w:autoSpaceDE w:val="0"/>
              <w:autoSpaceDN w:val="0"/>
              <w:rPr>
                <w:szCs w:val="21"/>
              </w:rPr>
            </w:pPr>
          </w:p>
        </w:tc>
        <w:tc>
          <w:tcPr>
            <w:tcW w:w="906" w:type="pct"/>
            <w:tcBorders>
              <w:left w:val="single" w:color="000000" w:sz="6" w:space="0"/>
              <w:bottom w:val="single" w:color="000000" w:sz="6" w:space="0"/>
              <w:right w:val="single" w:color="000000" w:sz="6" w:space="0"/>
            </w:tcBorders>
            <w:vAlign w:val="center"/>
          </w:tcPr>
          <w:p w14:paraId="6A0716D3">
            <w:pPr>
              <w:pStyle w:val="160"/>
              <w:autoSpaceDE w:val="0"/>
              <w:autoSpaceDN w:val="0"/>
              <w:rPr>
                <w:szCs w:val="21"/>
              </w:rPr>
            </w:pPr>
            <w:r>
              <w:rPr>
                <w:szCs w:val="21"/>
              </w:rPr>
              <w:t>土地利用类型</w:t>
            </w:r>
          </w:p>
        </w:tc>
        <w:tc>
          <w:tcPr>
            <w:tcW w:w="3262" w:type="pct"/>
            <w:gridSpan w:val="6"/>
            <w:tcBorders>
              <w:left w:val="single" w:color="000000" w:sz="6" w:space="0"/>
              <w:bottom w:val="single" w:color="000000" w:sz="6" w:space="0"/>
              <w:right w:val="single" w:color="000000" w:sz="6" w:space="0"/>
            </w:tcBorders>
            <w:vAlign w:val="center"/>
          </w:tcPr>
          <w:p w14:paraId="2D039C42">
            <w:pPr>
              <w:pStyle w:val="160"/>
              <w:autoSpaceDE w:val="0"/>
              <w:autoSpaceDN w:val="0"/>
              <w:rPr>
                <w:szCs w:val="21"/>
              </w:rPr>
            </w:pPr>
            <w:r>
              <w:rPr>
                <w:szCs w:val="21"/>
              </w:rPr>
              <w:t>建设用地</w:t>
            </w:r>
            <w:r>
              <w:rPr>
                <w:bCs/>
                <w:szCs w:val="21"/>
              </w:rPr>
              <w:t>√</w:t>
            </w:r>
            <w:r>
              <w:rPr>
                <w:szCs w:val="21"/>
              </w:rPr>
              <w:t>；农用地□；未利用地□</w:t>
            </w:r>
          </w:p>
        </w:tc>
        <w:tc>
          <w:tcPr>
            <w:tcW w:w="570" w:type="pct"/>
            <w:tcBorders>
              <w:left w:val="single" w:color="000000" w:sz="6" w:space="0"/>
              <w:bottom w:val="single" w:color="000000" w:sz="6" w:space="0"/>
            </w:tcBorders>
            <w:vAlign w:val="center"/>
          </w:tcPr>
          <w:p w14:paraId="7E8E5043">
            <w:pPr>
              <w:pStyle w:val="160"/>
              <w:autoSpaceDE w:val="0"/>
              <w:autoSpaceDN w:val="0"/>
              <w:rPr>
                <w:szCs w:val="21"/>
              </w:rPr>
            </w:pPr>
            <w:r>
              <w:rPr>
                <w:szCs w:val="21"/>
              </w:rPr>
              <w:t>土地利用类型图</w:t>
            </w:r>
          </w:p>
        </w:tc>
      </w:tr>
      <w:tr w14:paraId="574710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26" w:hRule="atLeast"/>
        </w:trPr>
        <w:tc>
          <w:tcPr>
            <w:tcW w:w="262" w:type="pct"/>
            <w:vMerge w:val="continue"/>
            <w:tcBorders>
              <w:top w:val="nil"/>
              <w:bottom w:val="single" w:color="000000" w:sz="6" w:space="0"/>
              <w:right w:val="single" w:color="000000" w:sz="6" w:space="0"/>
            </w:tcBorders>
            <w:vAlign w:val="center"/>
          </w:tcPr>
          <w:p w14:paraId="7BE8E254">
            <w:pPr>
              <w:pStyle w:val="160"/>
              <w:autoSpaceDE w:val="0"/>
              <w:autoSpaceDN w:val="0"/>
              <w:rPr>
                <w:szCs w:val="21"/>
              </w:rPr>
            </w:pPr>
          </w:p>
        </w:tc>
        <w:tc>
          <w:tcPr>
            <w:tcW w:w="906" w:type="pct"/>
            <w:tcBorders>
              <w:top w:val="single" w:color="000000" w:sz="6" w:space="0"/>
              <w:left w:val="single" w:color="000000" w:sz="6" w:space="0"/>
              <w:bottom w:val="single" w:color="000000" w:sz="6" w:space="0"/>
              <w:right w:val="single" w:color="000000" w:sz="6" w:space="0"/>
            </w:tcBorders>
            <w:vAlign w:val="center"/>
          </w:tcPr>
          <w:p w14:paraId="303F9F69">
            <w:pPr>
              <w:pStyle w:val="160"/>
              <w:autoSpaceDE w:val="0"/>
              <w:autoSpaceDN w:val="0"/>
              <w:rPr>
                <w:szCs w:val="21"/>
              </w:rPr>
            </w:pPr>
            <w:r>
              <w:rPr>
                <w:szCs w:val="21"/>
              </w:rPr>
              <w:t>占地规模</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14:paraId="13D35265">
            <w:pPr>
              <w:pStyle w:val="160"/>
              <w:autoSpaceDE w:val="0"/>
              <w:autoSpaceDN w:val="0"/>
              <w:rPr>
                <w:szCs w:val="21"/>
              </w:rPr>
            </w:pPr>
            <w:r>
              <w:rPr>
                <w:szCs w:val="21"/>
              </w:rPr>
              <w:t>（</w:t>
            </w:r>
            <w:r>
              <w:t>4.1031</w:t>
            </w:r>
            <w:r>
              <w:rPr>
                <w:szCs w:val="21"/>
              </w:rPr>
              <w:t>）hm</w:t>
            </w:r>
            <w:r>
              <w:rPr>
                <w:szCs w:val="21"/>
                <w:vertAlign w:val="superscript"/>
              </w:rPr>
              <w:t>2</w:t>
            </w:r>
          </w:p>
        </w:tc>
        <w:tc>
          <w:tcPr>
            <w:tcW w:w="570" w:type="pct"/>
            <w:tcBorders>
              <w:top w:val="single" w:color="000000" w:sz="6" w:space="0"/>
              <w:left w:val="single" w:color="000000" w:sz="6" w:space="0"/>
              <w:bottom w:val="single" w:color="000000" w:sz="6" w:space="0"/>
            </w:tcBorders>
            <w:vAlign w:val="center"/>
          </w:tcPr>
          <w:p w14:paraId="2D0C989A">
            <w:pPr>
              <w:pStyle w:val="160"/>
              <w:autoSpaceDE w:val="0"/>
              <w:autoSpaceDN w:val="0"/>
              <w:rPr>
                <w:szCs w:val="21"/>
              </w:rPr>
            </w:pPr>
          </w:p>
        </w:tc>
      </w:tr>
      <w:tr w14:paraId="3F58CC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14:paraId="5C4B46AD">
            <w:pPr>
              <w:pStyle w:val="160"/>
              <w:autoSpaceDE w:val="0"/>
              <w:autoSpaceDN w:val="0"/>
              <w:rPr>
                <w:szCs w:val="21"/>
              </w:rPr>
            </w:pPr>
          </w:p>
        </w:tc>
        <w:tc>
          <w:tcPr>
            <w:tcW w:w="906" w:type="pct"/>
            <w:tcBorders>
              <w:top w:val="single" w:color="000000" w:sz="6" w:space="0"/>
              <w:left w:val="single" w:color="000000" w:sz="6" w:space="0"/>
              <w:bottom w:val="single" w:color="000000" w:sz="6" w:space="0"/>
              <w:right w:val="single" w:color="000000" w:sz="6" w:space="0"/>
            </w:tcBorders>
            <w:vAlign w:val="center"/>
          </w:tcPr>
          <w:p w14:paraId="4EE34FF6">
            <w:pPr>
              <w:pStyle w:val="160"/>
              <w:autoSpaceDE w:val="0"/>
              <w:autoSpaceDN w:val="0"/>
              <w:rPr>
                <w:szCs w:val="21"/>
              </w:rPr>
            </w:pPr>
            <w:r>
              <w:rPr>
                <w:szCs w:val="21"/>
              </w:rPr>
              <w:t>敏感目标信息</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14:paraId="017F668A">
            <w:pPr>
              <w:pStyle w:val="160"/>
              <w:autoSpaceDE w:val="0"/>
              <w:autoSpaceDN w:val="0"/>
              <w:rPr>
                <w:szCs w:val="21"/>
              </w:rPr>
            </w:pPr>
            <w:r>
              <w:rPr>
                <w:szCs w:val="21"/>
              </w:rPr>
              <w:t>敏感目标（</w:t>
            </w:r>
            <w:r>
              <w:rPr>
                <w:szCs w:val="21"/>
              </w:rPr>
              <w:tab/>
            </w:r>
            <w:r>
              <w:rPr>
                <w:szCs w:val="21"/>
              </w:rPr>
              <w:t>）、方位（</w:t>
            </w:r>
            <w:r>
              <w:rPr>
                <w:szCs w:val="21"/>
              </w:rPr>
              <w:tab/>
            </w:r>
            <w:r>
              <w:rPr>
                <w:szCs w:val="21"/>
              </w:rPr>
              <w:t>）、距离（  ）</w:t>
            </w:r>
          </w:p>
        </w:tc>
        <w:tc>
          <w:tcPr>
            <w:tcW w:w="570" w:type="pct"/>
            <w:tcBorders>
              <w:top w:val="single" w:color="000000" w:sz="6" w:space="0"/>
              <w:left w:val="single" w:color="000000" w:sz="6" w:space="0"/>
              <w:bottom w:val="single" w:color="000000" w:sz="6" w:space="0"/>
            </w:tcBorders>
            <w:vAlign w:val="center"/>
          </w:tcPr>
          <w:p w14:paraId="0F8D6B44">
            <w:pPr>
              <w:pStyle w:val="160"/>
              <w:autoSpaceDE w:val="0"/>
              <w:autoSpaceDN w:val="0"/>
              <w:rPr>
                <w:szCs w:val="21"/>
              </w:rPr>
            </w:pPr>
          </w:p>
        </w:tc>
      </w:tr>
      <w:tr w14:paraId="3FC170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14:paraId="4CB76833">
            <w:pPr>
              <w:pStyle w:val="160"/>
              <w:autoSpaceDE w:val="0"/>
              <w:autoSpaceDN w:val="0"/>
              <w:rPr>
                <w:szCs w:val="21"/>
              </w:rPr>
            </w:pPr>
          </w:p>
        </w:tc>
        <w:tc>
          <w:tcPr>
            <w:tcW w:w="906" w:type="pct"/>
            <w:tcBorders>
              <w:top w:val="single" w:color="000000" w:sz="6" w:space="0"/>
              <w:left w:val="single" w:color="000000" w:sz="6" w:space="0"/>
              <w:bottom w:val="single" w:color="000000" w:sz="6" w:space="0"/>
              <w:right w:val="single" w:color="000000" w:sz="6" w:space="0"/>
            </w:tcBorders>
            <w:vAlign w:val="center"/>
          </w:tcPr>
          <w:p w14:paraId="33255A13">
            <w:pPr>
              <w:pStyle w:val="160"/>
              <w:autoSpaceDE w:val="0"/>
              <w:autoSpaceDN w:val="0"/>
              <w:rPr>
                <w:szCs w:val="21"/>
              </w:rPr>
            </w:pPr>
            <w:r>
              <w:rPr>
                <w:szCs w:val="21"/>
              </w:rPr>
              <w:t>影响途径</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14:paraId="3AFD53CF">
            <w:pPr>
              <w:pStyle w:val="160"/>
              <w:autoSpaceDE w:val="0"/>
              <w:autoSpaceDN w:val="0"/>
              <w:rPr>
                <w:szCs w:val="21"/>
              </w:rPr>
            </w:pPr>
            <w:r>
              <w:rPr>
                <w:szCs w:val="21"/>
              </w:rPr>
              <w:t>大气沉降</w:t>
            </w:r>
            <w:r>
              <w:rPr>
                <w:szCs w:val="21"/>
              </w:rPr>
              <w:sym w:font="Wingdings 2" w:char="0052"/>
            </w:r>
            <w:r>
              <w:rPr>
                <w:szCs w:val="21"/>
              </w:rPr>
              <w:t>；地面漫流□；垂直入渗</w:t>
            </w:r>
            <w:r>
              <w:rPr>
                <w:szCs w:val="21"/>
              </w:rPr>
              <w:sym w:font="Wingdings 2" w:char="0052"/>
            </w:r>
            <w:r>
              <w:rPr>
                <w:szCs w:val="21"/>
              </w:rPr>
              <w:t>；地下水位□；其他</w:t>
            </w:r>
          </w:p>
        </w:tc>
        <w:tc>
          <w:tcPr>
            <w:tcW w:w="570" w:type="pct"/>
            <w:tcBorders>
              <w:top w:val="single" w:color="000000" w:sz="6" w:space="0"/>
              <w:left w:val="single" w:color="000000" w:sz="6" w:space="0"/>
              <w:bottom w:val="single" w:color="000000" w:sz="6" w:space="0"/>
            </w:tcBorders>
            <w:vAlign w:val="center"/>
          </w:tcPr>
          <w:p w14:paraId="2384FBED">
            <w:pPr>
              <w:pStyle w:val="160"/>
              <w:autoSpaceDE w:val="0"/>
              <w:autoSpaceDN w:val="0"/>
              <w:rPr>
                <w:szCs w:val="21"/>
              </w:rPr>
            </w:pPr>
          </w:p>
        </w:tc>
      </w:tr>
      <w:tr w14:paraId="5A3FD4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14:paraId="7B0FD57C">
            <w:pPr>
              <w:pStyle w:val="160"/>
              <w:autoSpaceDE w:val="0"/>
              <w:autoSpaceDN w:val="0"/>
              <w:rPr>
                <w:szCs w:val="21"/>
              </w:rPr>
            </w:pPr>
          </w:p>
        </w:tc>
        <w:tc>
          <w:tcPr>
            <w:tcW w:w="906" w:type="pct"/>
            <w:tcBorders>
              <w:top w:val="single" w:color="000000" w:sz="6" w:space="0"/>
              <w:left w:val="single" w:color="000000" w:sz="6" w:space="0"/>
              <w:bottom w:val="single" w:color="000000" w:sz="6" w:space="0"/>
              <w:right w:val="single" w:color="000000" w:sz="6" w:space="0"/>
            </w:tcBorders>
            <w:vAlign w:val="center"/>
          </w:tcPr>
          <w:p w14:paraId="297DDE6C">
            <w:pPr>
              <w:pStyle w:val="160"/>
              <w:autoSpaceDE w:val="0"/>
              <w:autoSpaceDN w:val="0"/>
              <w:rPr>
                <w:szCs w:val="21"/>
              </w:rPr>
            </w:pPr>
            <w:r>
              <w:rPr>
                <w:szCs w:val="21"/>
              </w:rPr>
              <w:t>全部污染物</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14:paraId="5CCAB01F">
            <w:pPr>
              <w:pStyle w:val="160"/>
              <w:autoSpaceDE w:val="0"/>
              <w:autoSpaceDN w:val="0"/>
              <w:rPr>
                <w:szCs w:val="21"/>
              </w:rPr>
            </w:pPr>
            <w:r>
              <w:rPr>
                <w:rFonts w:hint="eastAsia"/>
                <w:szCs w:val="21"/>
              </w:rPr>
              <w:t>颗粒物、COD、石油类、重金属</w:t>
            </w:r>
          </w:p>
        </w:tc>
        <w:tc>
          <w:tcPr>
            <w:tcW w:w="570" w:type="pct"/>
            <w:tcBorders>
              <w:top w:val="single" w:color="000000" w:sz="6" w:space="0"/>
              <w:left w:val="single" w:color="000000" w:sz="6" w:space="0"/>
              <w:bottom w:val="single" w:color="000000" w:sz="6" w:space="0"/>
            </w:tcBorders>
            <w:vAlign w:val="center"/>
          </w:tcPr>
          <w:p w14:paraId="66D37BC3">
            <w:pPr>
              <w:pStyle w:val="160"/>
              <w:autoSpaceDE w:val="0"/>
              <w:autoSpaceDN w:val="0"/>
              <w:rPr>
                <w:szCs w:val="21"/>
              </w:rPr>
            </w:pPr>
          </w:p>
        </w:tc>
      </w:tr>
      <w:tr w14:paraId="31F2DB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14:paraId="5DBEE1CF">
            <w:pPr>
              <w:pStyle w:val="160"/>
              <w:autoSpaceDE w:val="0"/>
              <w:autoSpaceDN w:val="0"/>
              <w:rPr>
                <w:szCs w:val="21"/>
              </w:rPr>
            </w:pPr>
          </w:p>
        </w:tc>
        <w:tc>
          <w:tcPr>
            <w:tcW w:w="906" w:type="pct"/>
            <w:tcBorders>
              <w:top w:val="single" w:color="000000" w:sz="6" w:space="0"/>
              <w:left w:val="single" w:color="000000" w:sz="6" w:space="0"/>
              <w:bottom w:val="single" w:color="000000" w:sz="6" w:space="0"/>
              <w:right w:val="single" w:color="000000" w:sz="6" w:space="0"/>
            </w:tcBorders>
            <w:vAlign w:val="center"/>
          </w:tcPr>
          <w:p w14:paraId="7EE9A95F">
            <w:pPr>
              <w:pStyle w:val="160"/>
              <w:autoSpaceDE w:val="0"/>
              <w:autoSpaceDN w:val="0"/>
              <w:rPr>
                <w:szCs w:val="21"/>
              </w:rPr>
            </w:pPr>
            <w:r>
              <w:rPr>
                <w:szCs w:val="21"/>
              </w:rPr>
              <w:t>特征因子</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14:paraId="6513A648">
            <w:pPr>
              <w:pStyle w:val="160"/>
              <w:autoSpaceDE w:val="0"/>
              <w:autoSpaceDN w:val="0"/>
              <w:rPr>
                <w:szCs w:val="21"/>
              </w:rPr>
            </w:pPr>
            <w:r>
              <w:rPr>
                <w:rFonts w:hint="eastAsia"/>
                <w:szCs w:val="21"/>
              </w:rPr>
              <w:t>-</w:t>
            </w:r>
          </w:p>
        </w:tc>
        <w:tc>
          <w:tcPr>
            <w:tcW w:w="570" w:type="pct"/>
            <w:tcBorders>
              <w:top w:val="single" w:color="000000" w:sz="6" w:space="0"/>
              <w:left w:val="single" w:color="000000" w:sz="6" w:space="0"/>
              <w:bottom w:val="single" w:color="000000" w:sz="6" w:space="0"/>
            </w:tcBorders>
            <w:vAlign w:val="center"/>
          </w:tcPr>
          <w:p w14:paraId="3DDF1344">
            <w:pPr>
              <w:pStyle w:val="160"/>
              <w:autoSpaceDE w:val="0"/>
              <w:autoSpaceDN w:val="0"/>
              <w:rPr>
                <w:szCs w:val="21"/>
              </w:rPr>
            </w:pPr>
          </w:p>
        </w:tc>
      </w:tr>
      <w:tr w14:paraId="3F9D61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14:paraId="4CEA788B">
            <w:pPr>
              <w:pStyle w:val="160"/>
              <w:autoSpaceDE w:val="0"/>
              <w:autoSpaceDN w:val="0"/>
              <w:rPr>
                <w:szCs w:val="21"/>
              </w:rPr>
            </w:pPr>
          </w:p>
        </w:tc>
        <w:tc>
          <w:tcPr>
            <w:tcW w:w="906" w:type="pct"/>
            <w:tcBorders>
              <w:top w:val="single" w:color="000000" w:sz="6" w:space="0"/>
              <w:left w:val="single" w:color="000000" w:sz="6" w:space="0"/>
              <w:bottom w:val="single" w:color="000000" w:sz="6" w:space="0"/>
              <w:right w:val="single" w:color="000000" w:sz="6" w:space="0"/>
            </w:tcBorders>
            <w:noWrap/>
            <w:vAlign w:val="center"/>
          </w:tcPr>
          <w:p w14:paraId="5A1F479C">
            <w:pPr>
              <w:pStyle w:val="160"/>
              <w:autoSpaceDE w:val="0"/>
              <w:autoSpaceDN w:val="0"/>
              <w:rPr>
                <w:szCs w:val="21"/>
              </w:rPr>
            </w:pPr>
            <w:r>
              <w:rPr>
                <w:szCs w:val="21"/>
              </w:rPr>
              <w:t>所属土壤环境影</w:t>
            </w:r>
          </w:p>
          <w:p w14:paraId="7D0B00B6">
            <w:pPr>
              <w:pStyle w:val="160"/>
              <w:autoSpaceDE w:val="0"/>
              <w:autoSpaceDN w:val="0"/>
              <w:rPr>
                <w:szCs w:val="21"/>
              </w:rPr>
            </w:pPr>
            <w:r>
              <w:rPr>
                <w:szCs w:val="21"/>
              </w:rPr>
              <w:t>响评价项目类别</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14:paraId="2A274C8A">
            <w:pPr>
              <w:pStyle w:val="160"/>
              <w:autoSpaceDE w:val="0"/>
              <w:autoSpaceDN w:val="0"/>
              <w:rPr>
                <w:szCs w:val="21"/>
              </w:rPr>
            </w:pPr>
            <w:r>
              <w:rPr>
                <w:szCs w:val="21"/>
              </w:rPr>
              <w:t>Ⅰ类□；Ⅱ类□；Ⅲ类</w:t>
            </w:r>
            <w:r>
              <w:rPr>
                <w:bCs/>
                <w:szCs w:val="21"/>
              </w:rPr>
              <w:t>√</w:t>
            </w:r>
            <w:r>
              <w:rPr>
                <w:szCs w:val="21"/>
              </w:rPr>
              <w:t>；Ⅳ类□</w:t>
            </w:r>
          </w:p>
        </w:tc>
        <w:tc>
          <w:tcPr>
            <w:tcW w:w="570" w:type="pct"/>
            <w:tcBorders>
              <w:top w:val="single" w:color="000000" w:sz="6" w:space="0"/>
              <w:left w:val="single" w:color="000000" w:sz="6" w:space="0"/>
              <w:bottom w:val="single" w:color="000000" w:sz="6" w:space="0"/>
            </w:tcBorders>
            <w:vAlign w:val="center"/>
          </w:tcPr>
          <w:p w14:paraId="40B01EE1">
            <w:pPr>
              <w:pStyle w:val="160"/>
              <w:autoSpaceDE w:val="0"/>
              <w:autoSpaceDN w:val="0"/>
              <w:rPr>
                <w:szCs w:val="21"/>
              </w:rPr>
            </w:pPr>
          </w:p>
        </w:tc>
      </w:tr>
      <w:tr w14:paraId="051AD1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14:paraId="13C27FD1">
            <w:pPr>
              <w:pStyle w:val="160"/>
              <w:autoSpaceDE w:val="0"/>
              <w:autoSpaceDN w:val="0"/>
              <w:rPr>
                <w:szCs w:val="21"/>
              </w:rPr>
            </w:pPr>
          </w:p>
        </w:tc>
        <w:tc>
          <w:tcPr>
            <w:tcW w:w="906" w:type="pct"/>
            <w:tcBorders>
              <w:top w:val="single" w:color="000000" w:sz="6" w:space="0"/>
              <w:left w:val="single" w:color="000000" w:sz="6" w:space="0"/>
              <w:bottom w:val="single" w:color="000000" w:sz="6" w:space="0"/>
              <w:right w:val="single" w:color="000000" w:sz="6" w:space="0"/>
            </w:tcBorders>
            <w:vAlign w:val="center"/>
          </w:tcPr>
          <w:p w14:paraId="27AE29AD">
            <w:pPr>
              <w:pStyle w:val="160"/>
              <w:autoSpaceDE w:val="0"/>
              <w:autoSpaceDN w:val="0"/>
              <w:rPr>
                <w:szCs w:val="21"/>
              </w:rPr>
            </w:pPr>
            <w:r>
              <w:rPr>
                <w:szCs w:val="21"/>
              </w:rPr>
              <w:t>敏感程度</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14:paraId="5F81A6E4">
            <w:pPr>
              <w:pStyle w:val="160"/>
              <w:autoSpaceDE w:val="0"/>
              <w:autoSpaceDN w:val="0"/>
              <w:rPr>
                <w:szCs w:val="21"/>
              </w:rPr>
            </w:pPr>
            <w:r>
              <w:rPr>
                <w:szCs w:val="21"/>
              </w:rPr>
              <w:t>敏感</w:t>
            </w:r>
            <w:r>
              <w:rPr>
                <w:bCs/>
                <w:szCs w:val="21"/>
              </w:rPr>
              <w:t>√</w:t>
            </w:r>
            <w:r>
              <w:rPr>
                <w:szCs w:val="21"/>
              </w:rPr>
              <w:t>；较敏感□；不敏感□</w:t>
            </w:r>
          </w:p>
        </w:tc>
        <w:tc>
          <w:tcPr>
            <w:tcW w:w="570" w:type="pct"/>
            <w:tcBorders>
              <w:top w:val="single" w:color="000000" w:sz="6" w:space="0"/>
              <w:left w:val="single" w:color="000000" w:sz="6" w:space="0"/>
              <w:bottom w:val="single" w:color="000000" w:sz="6" w:space="0"/>
            </w:tcBorders>
            <w:vAlign w:val="center"/>
          </w:tcPr>
          <w:p w14:paraId="0BEC58E4">
            <w:pPr>
              <w:pStyle w:val="160"/>
              <w:autoSpaceDE w:val="0"/>
              <w:autoSpaceDN w:val="0"/>
              <w:rPr>
                <w:szCs w:val="21"/>
              </w:rPr>
            </w:pPr>
          </w:p>
        </w:tc>
      </w:tr>
      <w:tr w14:paraId="083EA2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1168" w:type="pct"/>
            <w:gridSpan w:val="2"/>
            <w:tcBorders>
              <w:top w:val="single" w:color="000000" w:sz="6" w:space="0"/>
              <w:bottom w:val="single" w:color="000000" w:sz="6" w:space="0"/>
              <w:right w:val="single" w:color="000000" w:sz="6" w:space="0"/>
            </w:tcBorders>
            <w:vAlign w:val="center"/>
          </w:tcPr>
          <w:p w14:paraId="70D3090F">
            <w:pPr>
              <w:pStyle w:val="160"/>
              <w:autoSpaceDE w:val="0"/>
              <w:autoSpaceDN w:val="0"/>
              <w:rPr>
                <w:szCs w:val="21"/>
              </w:rPr>
            </w:pPr>
            <w:r>
              <w:rPr>
                <w:szCs w:val="21"/>
              </w:rPr>
              <w:t>评价工作等级</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14:paraId="6B0F71C4">
            <w:pPr>
              <w:pStyle w:val="160"/>
              <w:autoSpaceDE w:val="0"/>
              <w:autoSpaceDN w:val="0"/>
              <w:rPr>
                <w:szCs w:val="21"/>
              </w:rPr>
            </w:pPr>
            <w:r>
              <w:rPr>
                <w:szCs w:val="21"/>
              </w:rPr>
              <w:t>一级□；二级□；三级□</w:t>
            </w:r>
            <w:r>
              <w:rPr>
                <w:szCs w:val="21"/>
              </w:rPr>
              <w:sym w:font="Wingdings 2" w:char="0052"/>
            </w:r>
          </w:p>
        </w:tc>
        <w:tc>
          <w:tcPr>
            <w:tcW w:w="570" w:type="pct"/>
            <w:tcBorders>
              <w:top w:val="single" w:color="000000" w:sz="6" w:space="0"/>
              <w:left w:val="single" w:color="000000" w:sz="6" w:space="0"/>
              <w:bottom w:val="single" w:color="000000" w:sz="6" w:space="0"/>
            </w:tcBorders>
            <w:vAlign w:val="center"/>
          </w:tcPr>
          <w:p w14:paraId="4A8C6D01">
            <w:pPr>
              <w:pStyle w:val="160"/>
              <w:autoSpaceDE w:val="0"/>
              <w:autoSpaceDN w:val="0"/>
              <w:rPr>
                <w:szCs w:val="21"/>
              </w:rPr>
            </w:pPr>
          </w:p>
        </w:tc>
      </w:tr>
      <w:tr w14:paraId="5EB262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restart"/>
            <w:tcBorders>
              <w:top w:val="single" w:color="000000" w:sz="6" w:space="0"/>
              <w:bottom w:val="single" w:color="000000" w:sz="6" w:space="0"/>
              <w:right w:val="single" w:color="000000" w:sz="6" w:space="0"/>
            </w:tcBorders>
            <w:vAlign w:val="center"/>
          </w:tcPr>
          <w:p w14:paraId="65ECA186">
            <w:pPr>
              <w:pStyle w:val="160"/>
              <w:autoSpaceDE w:val="0"/>
              <w:autoSpaceDN w:val="0"/>
              <w:rPr>
                <w:szCs w:val="21"/>
              </w:rPr>
            </w:pPr>
            <w:r>
              <w:rPr>
                <w:szCs w:val="21"/>
              </w:rPr>
              <w:t>现状调查内容</w:t>
            </w:r>
          </w:p>
        </w:tc>
        <w:tc>
          <w:tcPr>
            <w:tcW w:w="906" w:type="pct"/>
            <w:tcBorders>
              <w:top w:val="single" w:color="000000" w:sz="6" w:space="0"/>
              <w:left w:val="single" w:color="000000" w:sz="6" w:space="0"/>
              <w:bottom w:val="single" w:color="000000" w:sz="6" w:space="0"/>
              <w:right w:val="single" w:color="000000" w:sz="6" w:space="0"/>
            </w:tcBorders>
            <w:vAlign w:val="center"/>
          </w:tcPr>
          <w:p w14:paraId="41FD8525">
            <w:pPr>
              <w:pStyle w:val="160"/>
              <w:autoSpaceDE w:val="0"/>
              <w:autoSpaceDN w:val="0"/>
              <w:rPr>
                <w:szCs w:val="21"/>
              </w:rPr>
            </w:pPr>
            <w:r>
              <w:rPr>
                <w:szCs w:val="21"/>
              </w:rPr>
              <w:t>资料收集</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14:paraId="35E9B2C2">
            <w:pPr>
              <w:pStyle w:val="160"/>
              <w:autoSpaceDE w:val="0"/>
              <w:autoSpaceDN w:val="0"/>
              <w:rPr>
                <w:szCs w:val="21"/>
              </w:rPr>
            </w:pPr>
            <w:r>
              <w:rPr>
                <w:szCs w:val="21"/>
              </w:rPr>
              <w:t>a）</w:t>
            </w:r>
            <w:r>
              <w:rPr>
                <w:bCs/>
                <w:szCs w:val="21"/>
              </w:rPr>
              <w:t>√</w:t>
            </w:r>
            <w:r>
              <w:rPr>
                <w:szCs w:val="21"/>
              </w:rPr>
              <w:t>；b）□；c）□；d）□</w:t>
            </w:r>
          </w:p>
        </w:tc>
        <w:tc>
          <w:tcPr>
            <w:tcW w:w="570" w:type="pct"/>
            <w:tcBorders>
              <w:top w:val="single" w:color="000000" w:sz="6" w:space="0"/>
              <w:left w:val="single" w:color="000000" w:sz="6" w:space="0"/>
              <w:bottom w:val="single" w:color="000000" w:sz="6" w:space="0"/>
            </w:tcBorders>
            <w:vAlign w:val="center"/>
          </w:tcPr>
          <w:p w14:paraId="617B9FE8">
            <w:pPr>
              <w:pStyle w:val="160"/>
              <w:autoSpaceDE w:val="0"/>
              <w:autoSpaceDN w:val="0"/>
              <w:rPr>
                <w:szCs w:val="21"/>
              </w:rPr>
            </w:pPr>
          </w:p>
        </w:tc>
      </w:tr>
      <w:tr w14:paraId="497B99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14:paraId="7C7B5179">
            <w:pPr>
              <w:pStyle w:val="160"/>
              <w:autoSpaceDE w:val="0"/>
              <w:autoSpaceDN w:val="0"/>
              <w:rPr>
                <w:szCs w:val="21"/>
              </w:rPr>
            </w:pPr>
          </w:p>
        </w:tc>
        <w:tc>
          <w:tcPr>
            <w:tcW w:w="906" w:type="pct"/>
            <w:tcBorders>
              <w:top w:val="single" w:color="000000" w:sz="6" w:space="0"/>
              <w:left w:val="single" w:color="000000" w:sz="6" w:space="0"/>
              <w:bottom w:val="single" w:color="000000" w:sz="6" w:space="0"/>
              <w:right w:val="single" w:color="000000" w:sz="6" w:space="0"/>
            </w:tcBorders>
            <w:vAlign w:val="center"/>
          </w:tcPr>
          <w:p w14:paraId="21F18D23">
            <w:pPr>
              <w:pStyle w:val="160"/>
              <w:autoSpaceDE w:val="0"/>
              <w:autoSpaceDN w:val="0"/>
              <w:rPr>
                <w:szCs w:val="21"/>
              </w:rPr>
            </w:pPr>
            <w:r>
              <w:rPr>
                <w:szCs w:val="21"/>
              </w:rPr>
              <w:t>理化特性</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14:paraId="4AC04D0F">
            <w:pPr>
              <w:pStyle w:val="160"/>
              <w:autoSpaceDE w:val="0"/>
              <w:autoSpaceDN w:val="0"/>
              <w:rPr>
                <w:szCs w:val="21"/>
              </w:rPr>
            </w:pPr>
            <w:r>
              <w:rPr>
                <w:rFonts w:hint="eastAsia"/>
                <w:szCs w:val="21"/>
              </w:rPr>
              <w:t>见表5</w:t>
            </w:r>
            <w:r>
              <w:rPr>
                <w:szCs w:val="21"/>
              </w:rPr>
              <w:t>.5-1</w:t>
            </w:r>
          </w:p>
        </w:tc>
        <w:tc>
          <w:tcPr>
            <w:tcW w:w="570" w:type="pct"/>
            <w:tcBorders>
              <w:top w:val="single" w:color="000000" w:sz="6" w:space="0"/>
              <w:left w:val="single" w:color="000000" w:sz="6" w:space="0"/>
              <w:bottom w:val="single" w:color="000000" w:sz="6" w:space="0"/>
            </w:tcBorders>
            <w:vAlign w:val="center"/>
          </w:tcPr>
          <w:p w14:paraId="4E590E04">
            <w:pPr>
              <w:pStyle w:val="160"/>
              <w:autoSpaceDE w:val="0"/>
              <w:autoSpaceDN w:val="0"/>
              <w:rPr>
                <w:szCs w:val="21"/>
              </w:rPr>
            </w:pPr>
            <w:r>
              <w:rPr>
                <w:szCs w:val="21"/>
              </w:rPr>
              <w:t>同附录 C</w:t>
            </w:r>
          </w:p>
        </w:tc>
      </w:tr>
      <w:tr w14:paraId="130937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14:paraId="25CCF736">
            <w:pPr>
              <w:pStyle w:val="160"/>
              <w:autoSpaceDE w:val="0"/>
              <w:autoSpaceDN w:val="0"/>
              <w:rPr>
                <w:szCs w:val="21"/>
              </w:rPr>
            </w:pPr>
          </w:p>
        </w:tc>
        <w:tc>
          <w:tcPr>
            <w:tcW w:w="906" w:type="pct"/>
            <w:vMerge w:val="restart"/>
            <w:tcBorders>
              <w:top w:val="single" w:color="000000" w:sz="6" w:space="0"/>
              <w:left w:val="single" w:color="000000" w:sz="6" w:space="0"/>
              <w:bottom w:val="single" w:color="000000" w:sz="6" w:space="0"/>
              <w:right w:val="single" w:color="000000" w:sz="6" w:space="0"/>
            </w:tcBorders>
            <w:vAlign w:val="center"/>
          </w:tcPr>
          <w:p w14:paraId="43348B7D">
            <w:pPr>
              <w:pStyle w:val="160"/>
              <w:autoSpaceDE w:val="0"/>
              <w:autoSpaceDN w:val="0"/>
              <w:rPr>
                <w:szCs w:val="21"/>
              </w:rPr>
            </w:pPr>
            <w:r>
              <w:rPr>
                <w:szCs w:val="21"/>
              </w:rPr>
              <w:t>现状监测点位</w:t>
            </w:r>
          </w:p>
        </w:tc>
        <w:tc>
          <w:tcPr>
            <w:tcW w:w="921" w:type="pct"/>
            <w:tcBorders>
              <w:top w:val="single" w:color="000000" w:sz="6" w:space="0"/>
              <w:left w:val="single" w:color="000000" w:sz="6" w:space="0"/>
              <w:bottom w:val="single" w:color="000000" w:sz="4" w:space="0"/>
              <w:right w:val="single" w:color="000000" w:sz="4" w:space="0"/>
            </w:tcBorders>
            <w:vAlign w:val="center"/>
          </w:tcPr>
          <w:p w14:paraId="51D80F14">
            <w:pPr>
              <w:pStyle w:val="160"/>
              <w:autoSpaceDE w:val="0"/>
              <w:autoSpaceDN w:val="0"/>
              <w:rPr>
                <w:szCs w:val="21"/>
              </w:rPr>
            </w:pPr>
          </w:p>
        </w:tc>
        <w:tc>
          <w:tcPr>
            <w:tcW w:w="765" w:type="pct"/>
            <w:gridSpan w:val="2"/>
            <w:tcBorders>
              <w:top w:val="single" w:color="000000" w:sz="6" w:space="0"/>
              <w:left w:val="single" w:color="000000" w:sz="4" w:space="0"/>
              <w:bottom w:val="single" w:color="000000" w:sz="4" w:space="0"/>
              <w:right w:val="single" w:color="000000" w:sz="4" w:space="0"/>
            </w:tcBorders>
            <w:vAlign w:val="center"/>
          </w:tcPr>
          <w:p w14:paraId="68C755D8">
            <w:pPr>
              <w:pStyle w:val="160"/>
              <w:autoSpaceDE w:val="0"/>
              <w:autoSpaceDN w:val="0"/>
              <w:rPr>
                <w:szCs w:val="21"/>
              </w:rPr>
            </w:pPr>
            <w:r>
              <w:rPr>
                <w:szCs w:val="21"/>
              </w:rPr>
              <w:t>占地范围内</w:t>
            </w:r>
          </w:p>
        </w:tc>
        <w:tc>
          <w:tcPr>
            <w:tcW w:w="765" w:type="pct"/>
            <w:gridSpan w:val="2"/>
            <w:tcBorders>
              <w:top w:val="single" w:color="000000" w:sz="6" w:space="0"/>
              <w:left w:val="single" w:color="000000" w:sz="4" w:space="0"/>
              <w:bottom w:val="single" w:color="000000" w:sz="4" w:space="0"/>
              <w:right w:val="single" w:color="000000" w:sz="4" w:space="0"/>
            </w:tcBorders>
            <w:vAlign w:val="center"/>
          </w:tcPr>
          <w:p w14:paraId="423528AB">
            <w:pPr>
              <w:pStyle w:val="160"/>
              <w:autoSpaceDE w:val="0"/>
              <w:autoSpaceDN w:val="0"/>
              <w:rPr>
                <w:szCs w:val="21"/>
              </w:rPr>
            </w:pPr>
            <w:r>
              <w:rPr>
                <w:szCs w:val="21"/>
              </w:rPr>
              <w:t>占地范围外</w:t>
            </w:r>
          </w:p>
        </w:tc>
        <w:tc>
          <w:tcPr>
            <w:tcW w:w="811" w:type="pct"/>
            <w:tcBorders>
              <w:top w:val="single" w:color="000000" w:sz="6" w:space="0"/>
              <w:left w:val="single" w:color="000000" w:sz="4" w:space="0"/>
              <w:bottom w:val="single" w:color="000000" w:sz="4" w:space="0"/>
              <w:right w:val="single" w:color="000000" w:sz="6" w:space="0"/>
            </w:tcBorders>
            <w:vAlign w:val="center"/>
          </w:tcPr>
          <w:p w14:paraId="0C6602DD">
            <w:pPr>
              <w:pStyle w:val="160"/>
              <w:autoSpaceDE w:val="0"/>
              <w:autoSpaceDN w:val="0"/>
              <w:rPr>
                <w:szCs w:val="21"/>
              </w:rPr>
            </w:pPr>
            <w:r>
              <w:rPr>
                <w:szCs w:val="21"/>
              </w:rPr>
              <w:t>深度</w:t>
            </w:r>
          </w:p>
        </w:tc>
        <w:tc>
          <w:tcPr>
            <w:tcW w:w="570" w:type="pct"/>
            <w:vMerge w:val="restart"/>
            <w:tcBorders>
              <w:top w:val="single" w:color="000000" w:sz="6" w:space="0"/>
              <w:left w:val="single" w:color="000000" w:sz="6" w:space="0"/>
              <w:bottom w:val="single" w:color="000000" w:sz="6" w:space="0"/>
            </w:tcBorders>
            <w:vAlign w:val="center"/>
          </w:tcPr>
          <w:p w14:paraId="40888A7D">
            <w:pPr>
              <w:pStyle w:val="160"/>
              <w:autoSpaceDE w:val="0"/>
              <w:autoSpaceDN w:val="0"/>
              <w:rPr>
                <w:szCs w:val="21"/>
              </w:rPr>
            </w:pPr>
            <w:r>
              <w:rPr>
                <w:szCs w:val="21"/>
              </w:rPr>
              <w:t>点位</w:t>
            </w:r>
          </w:p>
          <w:p w14:paraId="5135ABB6">
            <w:pPr>
              <w:pStyle w:val="160"/>
              <w:autoSpaceDE w:val="0"/>
              <w:autoSpaceDN w:val="0"/>
              <w:rPr>
                <w:szCs w:val="21"/>
              </w:rPr>
            </w:pPr>
            <w:r>
              <w:rPr>
                <w:szCs w:val="21"/>
              </w:rPr>
              <w:t>布置图</w:t>
            </w:r>
          </w:p>
        </w:tc>
      </w:tr>
      <w:tr w14:paraId="3E4EA5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14:paraId="63AFFAF6">
            <w:pPr>
              <w:pStyle w:val="160"/>
              <w:autoSpaceDE w:val="0"/>
              <w:autoSpaceDN w:val="0"/>
              <w:rPr>
                <w:szCs w:val="21"/>
              </w:rPr>
            </w:pPr>
          </w:p>
        </w:tc>
        <w:tc>
          <w:tcPr>
            <w:tcW w:w="906" w:type="pct"/>
            <w:vMerge w:val="continue"/>
            <w:tcBorders>
              <w:top w:val="nil"/>
              <w:left w:val="single" w:color="000000" w:sz="6" w:space="0"/>
              <w:bottom w:val="single" w:color="000000" w:sz="6" w:space="0"/>
              <w:right w:val="single" w:color="000000" w:sz="6" w:space="0"/>
            </w:tcBorders>
            <w:vAlign w:val="center"/>
          </w:tcPr>
          <w:p w14:paraId="713B909F">
            <w:pPr>
              <w:pStyle w:val="160"/>
              <w:autoSpaceDE w:val="0"/>
              <w:autoSpaceDN w:val="0"/>
              <w:rPr>
                <w:szCs w:val="21"/>
              </w:rPr>
            </w:pPr>
          </w:p>
        </w:tc>
        <w:tc>
          <w:tcPr>
            <w:tcW w:w="921" w:type="pct"/>
            <w:tcBorders>
              <w:top w:val="single" w:color="000000" w:sz="4" w:space="0"/>
              <w:left w:val="single" w:color="000000" w:sz="6" w:space="0"/>
              <w:bottom w:val="single" w:color="000000" w:sz="4" w:space="0"/>
              <w:right w:val="single" w:color="000000" w:sz="4" w:space="0"/>
            </w:tcBorders>
            <w:vAlign w:val="center"/>
          </w:tcPr>
          <w:p w14:paraId="15281B20">
            <w:pPr>
              <w:pStyle w:val="160"/>
              <w:autoSpaceDE w:val="0"/>
              <w:autoSpaceDN w:val="0"/>
              <w:rPr>
                <w:szCs w:val="21"/>
              </w:rPr>
            </w:pPr>
            <w:r>
              <w:rPr>
                <w:szCs w:val="21"/>
              </w:rPr>
              <w:t>表层样点数</w:t>
            </w:r>
          </w:p>
        </w:tc>
        <w:tc>
          <w:tcPr>
            <w:tcW w:w="765" w:type="pct"/>
            <w:gridSpan w:val="2"/>
            <w:tcBorders>
              <w:top w:val="single" w:color="000000" w:sz="4" w:space="0"/>
              <w:left w:val="single" w:color="000000" w:sz="4" w:space="0"/>
              <w:bottom w:val="single" w:color="000000" w:sz="4" w:space="0"/>
              <w:right w:val="single" w:color="000000" w:sz="4" w:space="0"/>
            </w:tcBorders>
            <w:vAlign w:val="center"/>
          </w:tcPr>
          <w:p w14:paraId="3EA55BBD">
            <w:pPr>
              <w:pStyle w:val="160"/>
              <w:autoSpaceDE w:val="0"/>
              <w:autoSpaceDN w:val="0"/>
              <w:rPr>
                <w:szCs w:val="21"/>
              </w:rPr>
            </w:pPr>
            <w:r>
              <w:rPr>
                <w:szCs w:val="21"/>
              </w:rPr>
              <w:t>3</w:t>
            </w:r>
          </w:p>
        </w:tc>
        <w:tc>
          <w:tcPr>
            <w:tcW w:w="765" w:type="pct"/>
            <w:gridSpan w:val="2"/>
            <w:tcBorders>
              <w:top w:val="single" w:color="000000" w:sz="4" w:space="0"/>
              <w:left w:val="single" w:color="000000" w:sz="4" w:space="0"/>
              <w:bottom w:val="single" w:color="000000" w:sz="4" w:space="0"/>
              <w:right w:val="single" w:color="000000" w:sz="4" w:space="0"/>
            </w:tcBorders>
            <w:vAlign w:val="center"/>
          </w:tcPr>
          <w:p w14:paraId="68BD3594">
            <w:pPr>
              <w:pStyle w:val="160"/>
              <w:autoSpaceDE w:val="0"/>
              <w:autoSpaceDN w:val="0"/>
              <w:rPr>
                <w:szCs w:val="21"/>
              </w:rPr>
            </w:pPr>
            <w:r>
              <w:rPr>
                <w:rFonts w:hint="eastAsia"/>
                <w:szCs w:val="21"/>
              </w:rPr>
              <w:t>-</w:t>
            </w:r>
          </w:p>
        </w:tc>
        <w:tc>
          <w:tcPr>
            <w:tcW w:w="811" w:type="pct"/>
            <w:tcBorders>
              <w:top w:val="single" w:color="000000" w:sz="4" w:space="0"/>
              <w:left w:val="single" w:color="000000" w:sz="4" w:space="0"/>
              <w:bottom w:val="single" w:color="000000" w:sz="4" w:space="0"/>
              <w:right w:val="single" w:color="000000" w:sz="6" w:space="0"/>
            </w:tcBorders>
            <w:vAlign w:val="center"/>
          </w:tcPr>
          <w:p w14:paraId="3DBD5964">
            <w:pPr>
              <w:pStyle w:val="160"/>
              <w:autoSpaceDE w:val="0"/>
              <w:autoSpaceDN w:val="0"/>
              <w:rPr>
                <w:szCs w:val="21"/>
              </w:rPr>
            </w:pPr>
            <w:r>
              <w:rPr>
                <w:szCs w:val="21"/>
              </w:rPr>
              <w:t>0-0.2</w:t>
            </w:r>
          </w:p>
        </w:tc>
        <w:tc>
          <w:tcPr>
            <w:tcW w:w="570" w:type="pct"/>
            <w:vMerge w:val="continue"/>
            <w:tcBorders>
              <w:top w:val="nil"/>
              <w:left w:val="single" w:color="000000" w:sz="6" w:space="0"/>
              <w:bottom w:val="single" w:color="000000" w:sz="6" w:space="0"/>
            </w:tcBorders>
            <w:vAlign w:val="center"/>
          </w:tcPr>
          <w:p w14:paraId="241B1703">
            <w:pPr>
              <w:pStyle w:val="160"/>
              <w:autoSpaceDE w:val="0"/>
              <w:autoSpaceDN w:val="0"/>
              <w:rPr>
                <w:szCs w:val="21"/>
              </w:rPr>
            </w:pPr>
          </w:p>
        </w:tc>
      </w:tr>
      <w:tr w14:paraId="112714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06" w:hRule="atLeast"/>
        </w:trPr>
        <w:tc>
          <w:tcPr>
            <w:tcW w:w="262" w:type="pct"/>
            <w:vMerge w:val="continue"/>
            <w:tcBorders>
              <w:top w:val="nil"/>
              <w:bottom w:val="single" w:color="000000" w:sz="6" w:space="0"/>
              <w:right w:val="single" w:color="000000" w:sz="6" w:space="0"/>
            </w:tcBorders>
            <w:vAlign w:val="center"/>
          </w:tcPr>
          <w:p w14:paraId="6A1FEC0B">
            <w:pPr>
              <w:pStyle w:val="160"/>
              <w:autoSpaceDE w:val="0"/>
              <w:autoSpaceDN w:val="0"/>
              <w:rPr>
                <w:szCs w:val="21"/>
              </w:rPr>
            </w:pPr>
          </w:p>
        </w:tc>
        <w:tc>
          <w:tcPr>
            <w:tcW w:w="906" w:type="pct"/>
            <w:vMerge w:val="continue"/>
            <w:tcBorders>
              <w:top w:val="nil"/>
              <w:left w:val="single" w:color="000000" w:sz="6" w:space="0"/>
              <w:bottom w:val="single" w:color="000000" w:sz="6" w:space="0"/>
              <w:right w:val="single" w:color="000000" w:sz="6" w:space="0"/>
            </w:tcBorders>
            <w:vAlign w:val="center"/>
          </w:tcPr>
          <w:p w14:paraId="65AF64E5">
            <w:pPr>
              <w:pStyle w:val="160"/>
              <w:autoSpaceDE w:val="0"/>
              <w:autoSpaceDN w:val="0"/>
              <w:rPr>
                <w:szCs w:val="21"/>
              </w:rPr>
            </w:pPr>
          </w:p>
        </w:tc>
        <w:tc>
          <w:tcPr>
            <w:tcW w:w="921" w:type="pct"/>
            <w:tcBorders>
              <w:top w:val="single" w:color="000000" w:sz="4" w:space="0"/>
              <w:left w:val="single" w:color="000000" w:sz="6" w:space="0"/>
              <w:bottom w:val="single" w:color="000000" w:sz="6" w:space="0"/>
              <w:right w:val="single" w:color="000000" w:sz="4" w:space="0"/>
            </w:tcBorders>
            <w:vAlign w:val="center"/>
          </w:tcPr>
          <w:p w14:paraId="14BE8B8C">
            <w:pPr>
              <w:pStyle w:val="160"/>
              <w:autoSpaceDE w:val="0"/>
              <w:autoSpaceDN w:val="0"/>
              <w:rPr>
                <w:szCs w:val="21"/>
              </w:rPr>
            </w:pPr>
            <w:r>
              <w:rPr>
                <w:szCs w:val="21"/>
              </w:rPr>
              <w:t>柱状样点数</w:t>
            </w:r>
          </w:p>
        </w:tc>
        <w:tc>
          <w:tcPr>
            <w:tcW w:w="765" w:type="pct"/>
            <w:gridSpan w:val="2"/>
            <w:tcBorders>
              <w:top w:val="single" w:color="000000" w:sz="4" w:space="0"/>
              <w:left w:val="single" w:color="000000" w:sz="4" w:space="0"/>
              <w:bottom w:val="single" w:color="000000" w:sz="6" w:space="0"/>
              <w:right w:val="single" w:color="000000" w:sz="4" w:space="0"/>
            </w:tcBorders>
            <w:vAlign w:val="center"/>
          </w:tcPr>
          <w:p w14:paraId="6CFC31FA">
            <w:pPr>
              <w:pStyle w:val="160"/>
              <w:autoSpaceDE w:val="0"/>
              <w:autoSpaceDN w:val="0"/>
              <w:rPr>
                <w:szCs w:val="21"/>
              </w:rPr>
            </w:pPr>
            <w:r>
              <w:rPr>
                <w:rFonts w:hint="eastAsia"/>
                <w:szCs w:val="21"/>
              </w:rPr>
              <w:t>-</w:t>
            </w:r>
          </w:p>
        </w:tc>
        <w:tc>
          <w:tcPr>
            <w:tcW w:w="765" w:type="pct"/>
            <w:gridSpan w:val="2"/>
            <w:tcBorders>
              <w:top w:val="single" w:color="000000" w:sz="4" w:space="0"/>
              <w:left w:val="single" w:color="000000" w:sz="4" w:space="0"/>
              <w:bottom w:val="single" w:color="000000" w:sz="6" w:space="0"/>
              <w:right w:val="single" w:color="000000" w:sz="4" w:space="0"/>
            </w:tcBorders>
            <w:vAlign w:val="center"/>
          </w:tcPr>
          <w:p w14:paraId="221645E6">
            <w:pPr>
              <w:pStyle w:val="160"/>
              <w:autoSpaceDE w:val="0"/>
              <w:autoSpaceDN w:val="0"/>
              <w:rPr>
                <w:szCs w:val="21"/>
              </w:rPr>
            </w:pPr>
            <w:r>
              <w:rPr>
                <w:rFonts w:hint="eastAsia"/>
                <w:szCs w:val="21"/>
              </w:rPr>
              <w:t>-</w:t>
            </w:r>
          </w:p>
        </w:tc>
        <w:tc>
          <w:tcPr>
            <w:tcW w:w="811" w:type="pct"/>
            <w:tcBorders>
              <w:top w:val="single" w:color="000000" w:sz="4" w:space="0"/>
              <w:left w:val="single" w:color="000000" w:sz="4" w:space="0"/>
              <w:bottom w:val="single" w:color="000000" w:sz="6" w:space="0"/>
              <w:right w:val="single" w:color="000000" w:sz="6" w:space="0"/>
            </w:tcBorders>
            <w:vAlign w:val="center"/>
          </w:tcPr>
          <w:p w14:paraId="4B84489E">
            <w:pPr>
              <w:pStyle w:val="160"/>
              <w:autoSpaceDE w:val="0"/>
              <w:autoSpaceDN w:val="0"/>
              <w:rPr>
                <w:szCs w:val="21"/>
              </w:rPr>
            </w:pPr>
            <w:r>
              <w:rPr>
                <w:szCs w:val="21"/>
              </w:rPr>
              <w:t>0~3m</w:t>
            </w:r>
          </w:p>
        </w:tc>
        <w:tc>
          <w:tcPr>
            <w:tcW w:w="570" w:type="pct"/>
            <w:vMerge w:val="continue"/>
            <w:tcBorders>
              <w:top w:val="nil"/>
              <w:left w:val="single" w:color="000000" w:sz="6" w:space="0"/>
              <w:bottom w:val="single" w:color="000000" w:sz="6" w:space="0"/>
            </w:tcBorders>
            <w:vAlign w:val="center"/>
          </w:tcPr>
          <w:p w14:paraId="2CE2BADA">
            <w:pPr>
              <w:pStyle w:val="160"/>
              <w:autoSpaceDE w:val="0"/>
              <w:autoSpaceDN w:val="0"/>
              <w:rPr>
                <w:szCs w:val="21"/>
              </w:rPr>
            </w:pPr>
          </w:p>
        </w:tc>
      </w:tr>
      <w:tr w14:paraId="68990D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14:paraId="235549D3">
            <w:pPr>
              <w:pStyle w:val="160"/>
              <w:autoSpaceDE w:val="0"/>
              <w:autoSpaceDN w:val="0"/>
              <w:rPr>
                <w:szCs w:val="21"/>
              </w:rPr>
            </w:pPr>
          </w:p>
        </w:tc>
        <w:tc>
          <w:tcPr>
            <w:tcW w:w="906" w:type="pct"/>
            <w:tcBorders>
              <w:top w:val="single" w:color="000000" w:sz="6" w:space="0"/>
              <w:left w:val="single" w:color="000000" w:sz="6" w:space="0"/>
              <w:bottom w:val="single" w:color="000000" w:sz="6" w:space="0"/>
              <w:right w:val="single" w:color="000000" w:sz="6" w:space="0"/>
            </w:tcBorders>
            <w:vAlign w:val="center"/>
          </w:tcPr>
          <w:p w14:paraId="19FDDF39">
            <w:pPr>
              <w:pStyle w:val="160"/>
              <w:autoSpaceDE w:val="0"/>
              <w:autoSpaceDN w:val="0"/>
              <w:rPr>
                <w:szCs w:val="21"/>
              </w:rPr>
            </w:pPr>
            <w:r>
              <w:rPr>
                <w:szCs w:val="21"/>
              </w:rPr>
              <w:t>现状监测因子</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14:paraId="3B6950B2">
            <w:pPr>
              <w:pStyle w:val="160"/>
              <w:autoSpaceDE w:val="0"/>
              <w:autoSpaceDN w:val="0"/>
              <w:rPr>
                <w:szCs w:val="21"/>
              </w:rPr>
            </w:pPr>
            <w:r>
              <w:rPr>
                <w:szCs w:val="21"/>
              </w:rPr>
              <w:t>全部基本项目</w:t>
            </w:r>
          </w:p>
        </w:tc>
        <w:tc>
          <w:tcPr>
            <w:tcW w:w="570" w:type="pct"/>
            <w:tcBorders>
              <w:top w:val="single" w:color="000000" w:sz="6" w:space="0"/>
              <w:left w:val="single" w:color="000000" w:sz="6" w:space="0"/>
              <w:bottom w:val="single" w:color="000000" w:sz="6" w:space="0"/>
            </w:tcBorders>
            <w:vAlign w:val="center"/>
          </w:tcPr>
          <w:p w14:paraId="52497EFA">
            <w:pPr>
              <w:pStyle w:val="160"/>
              <w:autoSpaceDE w:val="0"/>
              <w:autoSpaceDN w:val="0"/>
              <w:rPr>
                <w:szCs w:val="21"/>
              </w:rPr>
            </w:pPr>
          </w:p>
        </w:tc>
      </w:tr>
      <w:tr w14:paraId="2D08C3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restart"/>
            <w:tcBorders>
              <w:top w:val="single" w:color="000000" w:sz="6" w:space="0"/>
              <w:bottom w:val="single" w:color="000000" w:sz="6" w:space="0"/>
              <w:right w:val="single" w:color="000000" w:sz="6" w:space="0"/>
            </w:tcBorders>
            <w:vAlign w:val="center"/>
          </w:tcPr>
          <w:p w14:paraId="529A137D">
            <w:pPr>
              <w:pStyle w:val="160"/>
              <w:autoSpaceDE w:val="0"/>
              <w:autoSpaceDN w:val="0"/>
              <w:rPr>
                <w:szCs w:val="21"/>
              </w:rPr>
            </w:pPr>
            <w:r>
              <w:rPr>
                <w:szCs w:val="21"/>
              </w:rPr>
              <w:t>现</w:t>
            </w:r>
          </w:p>
          <w:p w14:paraId="7BEA9473">
            <w:pPr>
              <w:pStyle w:val="160"/>
              <w:autoSpaceDE w:val="0"/>
              <w:autoSpaceDN w:val="0"/>
              <w:rPr>
                <w:szCs w:val="21"/>
              </w:rPr>
            </w:pPr>
            <w:r>
              <w:rPr>
                <w:szCs w:val="21"/>
              </w:rPr>
              <w:t>状</w:t>
            </w:r>
          </w:p>
          <w:p w14:paraId="714DEB26">
            <w:pPr>
              <w:pStyle w:val="160"/>
              <w:autoSpaceDE w:val="0"/>
              <w:autoSpaceDN w:val="0"/>
              <w:rPr>
                <w:szCs w:val="21"/>
              </w:rPr>
            </w:pPr>
            <w:r>
              <w:rPr>
                <w:szCs w:val="21"/>
              </w:rPr>
              <w:t>评</w:t>
            </w:r>
          </w:p>
          <w:p w14:paraId="5542F5E2">
            <w:pPr>
              <w:pStyle w:val="160"/>
              <w:autoSpaceDE w:val="0"/>
              <w:autoSpaceDN w:val="0"/>
              <w:rPr>
                <w:szCs w:val="21"/>
              </w:rPr>
            </w:pPr>
            <w:r>
              <w:rPr>
                <w:szCs w:val="21"/>
              </w:rPr>
              <w:t>价</w:t>
            </w:r>
          </w:p>
        </w:tc>
        <w:tc>
          <w:tcPr>
            <w:tcW w:w="906" w:type="pct"/>
            <w:tcBorders>
              <w:top w:val="single" w:color="000000" w:sz="6" w:space="0"/>
              <w:left w:val="single" w:color="000000" w:sz="6" w:space="0"/>
              <w:bottom w:val="single" w:color="000000" w:sz="6" w:space="0"/>
              <w:right w:val="single" w:color="000000" w:sz="6" w:space="0"/>
            </w:tcBorders>
            <w:vAlign w:val="center"/>
          </w:tcPr>
          <w:p w14:paraId="04DFBA4B">
            <w:pPr>
              <w:pStyle w:val="160"/>
              <w:autoSpaceDE w:val="0"/>
              <w:autoSpaceDN w:val="0"/>
              <w:rPr>
                <w:szCs w:val="21"/>
              </w:rPr>
            </w:pPr>
            <w:r>
              <w:rPr>
                <w:szCs w:val="21"/>
              </w:rPr>
              <w:t>评价因子</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14:paraId="15FA84E6">
            <w:pPr>
              <w:pStyle w:val="160"/>
              <w:autoSpaceDE w:val="0"/>
              <w:autoSpaceDN w:val="0"/>
              <w:rPr>
                <w:szCs w:val="21"/>
              </w:rPr>
            </w:pPr>
            <w:r>
              <w:rPr>
                <w:szCs w:val="21"/>
              </w:rPr>
              <w:t>全部基本项目</w:t>
            </w:r>
          </w:p>
        </w:tc>
        <w:tc>
          <w:tcPr>
            <w:tcW w:w="570" w:type="pct"/>
            <w:tcBorders>
              <w:top w:val="single" w:color="000000" w:sz="6" w:space="0"/>
              <w:left w:val="single" w:color="000000" w:sz="6" w:space="0"/>
              <w:bottom w:val="single" w:color="000000" w:sz="6" w:space="0"/>
            </w:tcBorders>
            <w:vAlign w:val="center"/>
          </w:tcPr>
          <w:p w14:paraId="46C92121">
            <w:pPr>
              <w:pStyle w:val="160"/>
              <w:autoSpaceDE w:val="0"/>
              <w:autoSpaceDN w:val="0"/>
              <w:rPr>
                <w:szCs w:val="21"/>
              </w:rPr>
            </w:pPr>
          </w:p>
        </w:tc>
      </w:tr>
      <w:tr w14:paraId="741A94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14:paraId="44526718">
            <w:pPr>
              <w:pStyle w:val="160"/>
              <w:autoSpaceDE w:val="0"/>
              <w:autoSpaceDN w:val="0"/>
              <w:rPr>
                <w:szCs w:val="21"/>
              </w:rPr>
            </w:pPr>
          </w:p>
        </w:tc>
        <w:tc>
          <w:tcPr>
            <w:tcW w:w="906" w:type="pct"/>
            <w:tcBorders>
              <w:top w:val="single" w:color="000000" w:sz="6" w:space="0"/>
              <w:left w:val="single" w:color="000000" w:sz="6" w:space="0"/>
              <w:bottom w:val="single" w:color="000000" w:sz="6" w:space="0"/>
              <w:right w:val="single" w:color="000000" w:sz="6" w:space="0"/>
            </w:tcBorders>
            <w:vAlign w:val="center"/>
          </w:tcPr>
          <w:p w14:paraId="2849DC70">
            <w:pPr>
              <w:pStyle w:val="160"/>
              <w:autoSpaceDE w:val="0"/>
              <w:autoSpaceDN w:val="0"/>
              <w:rPr>
                <w:szCs w:val="21"/>
              </w:rPr>
            </w:pPr>
            <w:r>
              <w:rPr>
                <w:szCs w:val="21"/>
              </w:rPr>
              <w:t>评价标准</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14:paraId="349A6A90">
            <w:pPr>
              <w:pStyle w:val="160"/>
              <w:autoSpaceDE w:val="0"/>
              <w:autoSpaceDN w:val="0"/>
              <w:rPr>
                <w:szCs w:val="21"/>
              </w:rPr>
            </w:pPr>
            <w:r>
              <w:rPr>
                <w:szCs w:val="21"/>
              </w:rPr>
              <w:t>GB 15618☑；GB 36600☑；表 D.1□；表 D.2□；其他（）</w:t>
            </w:r>
          </w:p>
        </w:tc>
        <w:tc>
          <w:tcPr>
            <w:tcW w:w="570" w:type="pct"/>
            <w:tcBorders>
              <w:top w:val="single" w:color="000000" w:sz="6" w:space="0"/>
              <w:left w:val="single" w:color="000000" w:sz="6" w:space="0"/>
              <w:bottom w:val="single" w:color="000000" w:sz="6" w:space="0"/>
            </w:tcBorders>
            <w:vAlign w:val="center"/>
          </w:tcPr>
          <w:p w14:paraId="22F6E0CB">
            <w:pPr>
              <w:pStyle w:val="160"/>
              <w:autoSpaceDE w:val="0"/>
              <w:autoSpaceDN w:val="0"/>
              <w:rPr>
                <w:szCs w:val="21"/>
              </w:rPr>
            </w:pPr>
          </w:p>
        </w:tc>
      </w:tr>
      <w:tr w14:paraId="01B54C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14:paraId="3ABA1AE9">
            <w:pPr>
              <w:pStyle w:val="160"/>
              <w:autoSpaceDE w:val="0"/>
              <w:autoSpaceDN w:val="0"/>
              <w:rPr>
                <w:szCs w:val="21"/>
              </w:rPr>
            </w:pPr>
          </w:p>
        </w:tc>
        <w:tc>
          <w:tcPr>
            <w:tcW w:w="906" w:type="pct"/>
            <w:tcBorders>
              <w:top w:val="single" w:color="000000" w:sz="6" w:space="0"/>
              <w:left w:val="single" w:color="000000" w:sz="6" w:space="0"/>
              <w:bottom w:val="single" w:color="000000" w:sz="6" w:space="0"/>
              <w:right w:val="single" w:color="000000" w:sz="6" w:space="0"/>
            </w:tcBorders>
            <w:vAlign w:val="center"/>
          </w:tcPr>
          <w:p w14:paraId="10A72ACC">
            <w:pPr>
              <w:pStyle w:val="160"/>
              <w:autoSpaceDE w:val="0"/>
              <w:autoSpaceDN w:val="0"/>
              <w:rPr>
                <w:szCs w:val="21"/>
              </w:rPr>
            </w:pPr>
            <w:r>
              <w:rPr>
                <w:szCs w:val="21"/>
              </w:rPr>
              <w:t>现状评价结论</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14:paraId="782198E4">
            <w:pPr>
              <w:pStyle w:val="160"/>
              <w:autoSpaceDE w:val="0"/>
              <w:autoSpaceDN w:val="0"/>
              <w:rPr>
                <w:szCs w:val="21"/>
              </w:rPr>
            </w:pPr>
            <w:r>
              <w:rPr>
                <w:szCs w:val="21"/>
              </w:rPr>
              <w:t>建设用地土壤满足GB 36600筛选值第二类用地标准</w:t>
            </w:r>
          </w:p>
        </w:tc>
        <w:tc>
          <w:tcPr>
            <w:tcW w:w="570" w:type="pct"/>
            <w:tcBorders>
              <w:top w:val="single" w:color="000000" w:sz="6" w:space="0"/>
              <w:left w:val="single" w:color="000000" w:sz="6" w:space="0"/>
              <w:bottom w:val="single" w:color="000000" w:sz="6" w:space="0"/>
            </w:tcBorders>
            <w:vAlign w:val="center"/>
          </w:tcPr>
          <w:p w14:paraId="3BF3594A">
            <w:pPr>
              <w:pStyle w:val="160"/>
              <w:autoSpaceDE w:val="0"/>
              <w:autoSpaceDN w:val="0"/>
              <w:rPr>
                <w:szCs w:val="21"/>
              </w:rPr>
            </w:pPr>
          </w:p>
        </w:tc>
      </w:tr>
      <w:tr w14:paraId="7B7BBB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restart"/>
            <w:tcBorders>
              <w:top w:val="single" w:color="000000" w:sz="6" w:space="0"/>
              <w:bottom w:val="single" w:color="000000" w:sz="6" w:space="0"/>
              <w:right w:val="single" w:color="000000" w:sz="6" w:space="0"/>
            </w:tcBorders>
            <w:vAlign w:val="center"/>
          </w:tcPr>
          <w:p w14:paraId="2343503E">
            <w:pPr>
              <w:pStyle w:val="160"/>
              <w:autoSpaceDE w:val="0"/>
              <w:autoSpaceDN w:val="0"/>
              <w:rPr>
                <w:szCs w:val="21"/>
              </w:rPr>
            </w:pPr>
            <w:r>
              <w:rPr>
                <w:szCs w:val="21"/>
              </w:rPr>
              <w:t>影</w:t>
            </w:r>
          </w:p>
          <w:p w14:paraId="686A1A4A">
            <w:pPr>
              <w:pStyle w:val="160"/>
              <w:autoSpaceDE w:val="0"/>
              <w:autoSpaceDN w:val="0"/>
              <w:rPr>
                <w:szCs w:val="21"/>
              </w:rPr>
            </w:pPr>
            <w:r>
              <w:rPr>
                <w:szCs w:val="21"/>
              </w:rPr>
              <w:t>响</w:t>
            </w:r>
          </w:p>
          <w:p w14:paraId="497F6977">
            <w:pPr>
              <w:pStyle w:val="160"/>
              <w:autoSpaceDE w:val="0"/>
              <w:autoSpaceDN w:val="0"/>
              <w:rPr>
                <w:szCs w:val="21"/>
              </w:rPr>
            </w:pPr>
            <w:r>
              <w:rPr>
                <w:szCs w:val="21"/>
              </w:rPr>
              <w:t>预</w:t>
            </w:r>
          </w:p>
          <w:p w14:paraId="37FDD93E">
            <w:pPr>
              <w:pStyle w:val="160"/>
              <w:autoSpaceDE w:val="0"/>
              <w:autoSpaceDN w:val="0"/>
              <w:rPr>
                <w:szCs w:val="21"/>
              </w:rPr>
            </w:pPr>
            <w:r>
              <w:rPr>
                <w:szCs w:val="21"/>
              </w:rPr>
              <w:t>测</w:t>
            </w:r>
          </w:p>
        </w:tc>
        <w:tc>
          <w:tcPr>
            <w:tcW w:w="906" w:type="pct"/>
            <w:tcBorders>
              <w:top w:val="single" w:color="000000" w:sz="6" w:space="0"/>
              <w:left w:val="single" w:color="000000" w:sz="6" w:space="0"/>
              <w:bottom w:val="single" w:color="000000" w:sz="6" w:space="0"/>
              <w:right w:val="single" w:color="000000" w:sz="6" w:space="0"/>
            </w:tcBorders>
            <w:vAlign w:val="center"/>
          </w:tcPr>
          <w:p w14:paraId="2083DF4A">
            <w:pPr>
              <w:pStyle w:val="160"/>
              <w:autoSpaceDE w:val="0"/>
              <w:autoSpaceDN w:val="0"/>
              <w:rPr>
                <w:szCs w:val="21"/>
              </w:rPr>
            </w:pPr>
            <w:r>
              <w:rPr>
                <w:szCs w:val="21"/>
              </w:rPr>
              <w:t>预测因子</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14:paraId="7E19E375">
            <w:pPr>
              <w:pStyle w:val="160"/>
              <w:autoSpaceDE w:val="0"/>
              <w:autoSpaceDN w:val="0"/>
              <w:rPr>
                <w:szCs w:val="21"/>
              </w:rPr>
            </w:pPr>
            <w:r>
              <w:rPr>
                <w:rFonts w:hint="eastAsia"/>
                <w:szCs w:val="21"/>
              </w:rPr>
              <w:t>-</w:t>
            </w:r>
          </w:p>
        </w:tc>
        <w:tc>
          <w:tcPr>
            <w:tcW w:w="570" w:type="pct"/>
            <w:tcBorders>
              <w:top w:val="single" w:color="000000" w:sz="6" w:space="0"/>
              <w:left w:val="single" w:color="000000" w:sz="6" w:space="0"/>
              <w:bottom w:val="single" w:color="000000" w:sz="6" w:space="0"/>
            </w:tcBorders>
            <w:vAlign w:val="center"/>
          </w:tcPr>
          <w:p w14:paraId="42380DF1">
            <w:pPr>
              <w:pStyle w:val="160"/>
              <w:autoSpaceDE w:val="0"/>
              <w:autoSpaceDN w:val="0"/>
              <w:rPr>
                <w:szCs w:val="21"/>
              </w:rPr>
            </w:pPr>
          </w:p>
        </w:tc>
      </w:tr>
      <w:tr w14:paraId="59E3FF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14:paraId="54E56A15">
            <w:pPr>
              <w:pStyle w:val="160"/>
              <w:autoSpaceDE w:val="0"/>
              <w:autoSpaceDN w:val="0"/>
              <w:rPr>
                <w:szCs w:val="21"/>
              </w:rPr>
            </w:pPr>
          </w:p>
        </w:tc>
        <w:tc>
          <w:tcPr>
            <w:tcW w:w="906" w:type="pct"/>
            <w:tcBorders>
              <w:top w:val="single" w:color="000000" w:sz="6" w:space="0"/>
              <w:left w:val="single" w:color="000000" w:sz="6" w:space="0"/>
              <w:bottom w:val="single" w:color="000000" w:sz="6" w:space="0"/>
              <w:right w:val="single" w:color="000000" w:sz="6" w:space="0"/>
            </w:tcBorders>
            <w:vAlign w:val="center"/>
          </w:tcPr>
          <w:p w14:paraId="0023928E">
            <w:pPr>
              <w:pStyle w:val="160"/>
              <w:autoSpaceDE w:val="0"/>
              <w:autoSpaceDN w:val="0"/>
              <w:rPr>
                <w:szCs w:val="21"/>
              </w:rPr>
            </w:pPr>
            <w:r>
              <w:rPr>
                <w:szCs w:val="21"/>
              </w:rPr>
              <w:t>预测方法</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14:paraId="6FBA0CC7">
            <w:pPr>
              <w:pStyle w:val="160"/>
              <w:autoSpaceDE w:val="0"/>
              <w:autoSpaceDN w:val="0"/>
              <w:rPr>
                <w:szCs w:val="21"/>
              </w:rPr>
            </w:pPr>
            <w:r>
              <w:rPr>
                <w:szCs w:val="21"/>
              </w:rPr>
              <w:t>附录</w:t>
            </w:r>
            <w:r>
              <w:rPr>
                <w:spacing w:val="-46"/>
                <w:szCs w:val="21"/>
              </w:rPr>
              <w:t xml:space="preserve"> </w:t>
            </w:r>
            <w:r>
              <w:rPr>
                <w:szCs w:val="21"/>
              </w:rPr>
              <w:t>E□；附录</w:t>
            </w:r>
            <w:r>
              <w:rPr>
                <w:spacing w:val="-46"/>
                <w:szCs w:val="21"/>
              </w:rPr>
              <w:t xml:space="preserve"> </w:t>
            </w:r>
            <w:r>
              <w:rPr>
                <w:szCs w:val="21"/>
              </w:rPr>
              <w:t>F□；其他（</w:t>
            </w:r>
            <w:r>
              <w:rPr>
                <w:szCs w:val="21"/>
              </w:rPr>
              <w:tab/>
            </w:r>
            <w:r>
              <w:rPr>
                <w:szCs w:val="21"/>
              </w:rPr>
              <w:t>）</w:t>
            </w:r>
          </w:p>
        </w:tc>
        <w:tc>
          <w:tcPr>
            <w:tcW w:w="570" w:type="pct"/>
            <w:tcBorders>
              <w:top w:val="single" w:color="000000" w:sz="6" w:space="0"/>
              <w:left w:val="single" w:color="000000" w:sz="6" w:space="0"/>
              <w:bottom w:val="single" w:color="000000" w:sz="6" w:space="0"/>
            </w:tcBorders>
            <w:vAlign w:val="center"/>
          </w:tcPr>
          <w:p w14:paraId="4F891B2A">
            <w:pPr>
              <w:pStyle w:val="160"/>
              <w:autoSpaceDE w:val="0"/>
              <w:autoSpaceDN w:val="0"/>
              <w:rPr>
                <w:szCs w:val="21"/>
              </w:rPr>
            </w:pPr>
          </w:p>
        </w:tc>
      </w:tr>
      <w:tr w14:paraId="70E2C6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14:paraId="1AD2E0D7">
            <w:pPr>
              <w:pStyle w:val="160"/>
              <w:autoSpaceDE w:val="0"/>
              <w:autoSpaceDN w:val="0"/>
              <w:rPr>
                <w:szCs w:val="21"/>
              </w:rPr>
            </w:pPr>
          </w:p>
        </w:tc>
        <w:tc>
          <w:tcPr>
            <w:tcW w:w="906" w:type="pct"/>
            <w:tcBorders>
              <w:top w:val="single" w:color="000000" w:sz="6" w:space="0"/>
              <w:left w:val="single" w:color="000000" w:sz="6" w:space="0"/>
              <w:bottom w:val="single" w:color="000000" w:sz="6" w:space="0"/>
              <w:right w:val="single" w:color="000000" w:sz="6" w:space="0"/>
            </w:tcBorders>
            <w:vAlign w:val="center"/>
          </w:tcPr>
          <w:p w14:paraId="27085CAB">
            <w:pPr>
              <w:pStyle w:val="160"/>
              <w:autoSpaceDE w:val="0"/>
              <w:autoSpaceDN w:val="0"/>
              <w:rPr>
                <w:szCs w:val="21"/>
              </w:rPr>
            </w:pPr>
            <w:r>
              <w:rPr>
                <w:szCs w:val="21"/>
              </w:rPr>
              <w:t>预测分析内容</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14:paraId="06D7C751">
            <w:pPr>
              <w:pStyle w:val="160"/>
              <w:autoSpaceDE w:val="0"/>
              <w:autoSpaceDN w:val="0"/>
              <w:rPr>
                <w:szCs w:val="21"/>
              </w:rPr>
            </w:pPr>
            <w:r>
              <w:rPr>
                <w:szCs w:val="21"/>
              </w:rPr>
              <w:t>影响范围（</w:t>
            </w:r>
            <w:r>
              <w:rPr>
                <w:szCs w:val="21"/>
              </w:rPr>
              <w:tab/>
            </w:r>
            <w:r>
              <w:rPr>
                <w:szCs w:val="21"/>
              </w:rPr>
              <w:t>）</w:t>
            </w:r>
          </w:p>
          <w:p w14:paraId="1F0634F0">
            <w:pPr>
              <w:pStyle w:val="160"/>
              <w:autoSpaceDE w:val="0"/>
              <w:autoSpaceDN w:val="0"/>
              <w:rPr>
                <w:szCs w:val="21"/>
              </w:rPr>
            </w:pPr>
            <w:r>
              <w:rPr>
                <w:szCs w:val="21"/>
              </w:rPr>
              <w:t>影响程度（</w:t>
            </w:r>
            <w:r>
              <w:rPr>
                <w:rFonts w:hint="eastAsia"/>
                <w:szCs w:val="21"/>
              </w:rPr>
              <w:t xml:space="preserve">  </w:t>
            </w:r>
            <w:r>
              <w:rPr>
                <w:szCs w:val="21"/>
              </w:rPr>
              <w:t>）</w:t>
            </w:r>
          </w:p>
        </w:tc>
        <w:tc>
          <w:tcPr>
            <w:tcW w:w="570" w:type="pct"/>
            <w:tcBorders>
              <w:top w:val="single" w:color="000000" w:sz="6" w:space="0"/>
              <w:left w:val="single" w:color="000000" w:sz="6" w:space="0"/>
              <w:bottom w:val="single" w:color="000000" w:sz="6" w:space="0"/>
            </w:tcBorders>
            <w:vAlign w:val="center"/>
          </w:tcPr>
          <w:p w14:paraId="4C298BBE">
            <w:pPr>
              <w:pStyle w:val="160"/>
              <w:autoSpaceDE w:val="0"/>
              <w:autoSpaceDN w:val="0"/>
              <w:rPr>
                <w:szCs w:val="21"/>
              </w:rPr>
            </w:pPr>
          </w:p>
        </w:tc>
      </w:tr>
      <w:tr w14:paraId="193DAE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14:paraId="46E4F09D">
            <w:pPr>
              <w:pStyle w:val="160"/>
              <w:autoSpaceDE w:val="0"/>
              <w:autoSpaceDN w:val="0"/>
              <w:rPr>
                <w:szCs w:val="21"/>
              </w:rPr>
            </w:pPr>
          </w:p>
        </w:tc>
        <w:tc>
          <w:tcPr>
            <w:tcW w:w="906" w:type="pct"/>
            <w:tcBorders>
              <w:top w:val="single" w:color="000000" w:sz="6" w:space="0"/>
              <w:left w:val="single" w:color="000000" w:sz="6" w:space="0"/>
              <w:bottom w:val="single" w:color="000000" w:sz="6" w:space="0"/>
              <w:right w:val="single" w:color="000000" w:sz="6" w:space="0"/>
            </w:tcBorders>
            <w:vAlign w:val="center"/>
          </w:tcPr>
          <w:p w14:paraId="57EF9D29">
            <w:pPr>
              <w:pStyle w:val="160"/>
              <w:autoSpaceDE w:val="0"/>
              <w:autoSpaceDN w:val="0"/>
              <w:rPr>
                <w:szCs w:val="21"/>
              </w:rPr>
            </w:pPr>
            <w:r>
              <w:rPr>
                <w:szCs w:val="21"/>
              </w:rPr>
              <w:t>预测结论</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14:paraId="1E6D1DD7">
            <w:pPr>
              <w:pStyle w:val="160"/>
              <w:autoSpaceDE w:val="0"/>
              <w:autoSpaceDN w:val="0"/>
              <w:rPr>
                <w:szCs w:val="21"/>
              </w:rPr>
            </w:pPr>
            <w:r>
              <w:rPr>
                <w:szCs w:val="21"/>
              </w:rPr>
              <w:t>达标结论：a）□；b）□；c）□</w:t>
            </w:r>
          </w:p>
          <w:p w14:paraId="5B1E82D1">
            <w:pPr>
              <w:pStyle w:val="160"/>
              <w:autoSpaceDE w:val="0"/>
              <w:autoSpaceDN w:val="0"/>
              <w:rPr>
                <w:szCs w:val="21"/>
              </w:rPr>
            </w:pPr>
            <w:r>
              <w:rPr>
                <w:szCs w:val="21"/>
              </w:rPr>
              <w:t>不达标结论：a）□；b）□</w:t>
            </w:r>
          </w:p>
        </w:tc>
        <w:tc>
          <w:tcPr>
            <w:tcW w:w="570" w:type="pct"/>
            <w:tcBorders>
              <w:top w:val="single" w:color="000000" w:sz="6" w:space="0"/>
              <w:left w:val="single" w:color="000000" w:sz="6" w:space="0"/>
              <w:bottom w:val="single" w:color="000000" w:sz="6" w:space="0"/>
            </w:tcBorders>
            <w:vAlign w:val="center"/>
          </w:tcPr>
          <w:p w14:paraId="3C8D713B">
            <w:pPr>
              <w:pStyle w:val="160"/>
              <w:autoSpaceDE w:val="0"/>
              <w:autoSpaceDN w:val="0"/>
              <w:rPr>
                <w:szCs w:val="21"/>
              </w:rPr>
            </w:pPr>
          </w:p>
        </w:tc>
      </w:tr>
      <w:tr w14:paraId="2F0B46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restart"/>
            <w:tcBorders>
              <w:top w:val="single" w:color="000000" w:sz="6" w:space="0"/>
              <w:bottom w:val="single" w:color="000000" w:sz="6" w:space="0"/>
              <w:right w:val="single" w:color="000000" w:sz="6" w:space="0"/>
            </w:tcBorders>
            <w:vAlign w:val="center"/>
          </w:tcPr>
          <w:p w14:paraId="6E4C7109">
            <w:pPr>
              <w:pStyle w:val="160"/>
              <w:autoSpaceDE w:val="0"/>
              <w:autoSpaceDN w:val="0"/>
              <w:rPr>
                <w:szCs w:val="21"/>
              </w:rPr>
            </w:pPr>
            <w:r>
              <w:rPr>
                <w:szCs w:val="21"/>
              </w:rPr>
              <w:t>防</w:t>
            </w:r>
          </w:p>
          <w:p w14:paraId="05994775">
            <w:pPr>
              <w:pStyle w:val="160"/>
              <w:autoSpaceDE w:val="0"/>
              <w:autoSpaceDN w:val="0"/>
              <w:rPr>
                <w:szCs w:val="21"/>
              </w:rPr>
            </w:pPr>
            <w:r>
              <w:rPr>
                <w:szCs w:val="21"/>
              </w:rPr>
              <w:t>治</w:t>
            </w:r>
          </w:p>
          <w:p w14:paraId="6456F73E">
            <w:pPr>
              <w:pStyle w:val="160"/>
              <w:autoSpaceDE w:val="0"/>
              <w:autoSpaceDN w:val="0"/>
              <w:rPr>
                <w:szCs w:val="21"/>
              </w:rPr>
            </w:pPr>
            <w:r>
              <w:rPr>
                <w:szCs w:val="21"/>
              </w:rPr>
              <w:t>措</w:t>
            </w:r>
          </w:p>
          <w:p w14:paraId="7757F803">
            <w:pPr>
              <w:pStyle w:val="160"/>
              <w:autoSpaceDE w:val="0"/>
              <w:autoSpaceDN w:val="0"/>
              <w:rPr>
                <w:szCs w:val="21"/>
              </w:rPr>
            </w:pPr>
            <w:r>
              <w:rPr>
                <w:szCs w:val="21"/>
              </w:rPr>
              <w:t>施</w:t>
            </w:r>
          </w:p>
        </w:tc>
        <w:tc>
          <w:tcPr>
            <w:tcW w:w="906" w:type="pct"/>
            <w:tcBorders>
              <w:top w:val="single" w:color="000000" w:sz="6" w:space="0"/>
              <w:left w:val="single" w:color="000000" w:sz="6" w:space="0"/>
              <w:bottom w:val="single" w:color="000000" w:sz="6" w:space="0"/>
              <w:right w:val="single" w:color="000000" w:sz="6" w:space="0"/>
            </w:tcBorders>
            <w:vAlign w:val="center"/>
          </w:tcPr>
          <w:p w14:paraId="04D279EA">
            <w:pPr>
              <w:pStyle w:val="160"/>
              <w:autoSpaceDE w:val="0"/>
              <w:autoSpaceDN w:val="0"/>
              <w:rPr>
                <w:szCs w:val="21"/>
              </w:rPr>
            </w:pPr>
            <w:r>
              <w:rPr>
                <w:szCs w:val="21"/>
              </w:rPr>
              <w:t>防控措施</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14:paraId="199BAC00">
            <w:pPr>
              <w:pStyle w:val="160"/>
              <w:autoSpaceDE w:val="0"/>
              <w:autoSpaceDN w:val="0"/>
              <w:rPr>
                <w:szCs w:val="21"/>
              </w:rPr>
            </w:pPr>
            <w:r>
              <w:rPr>
                <w:szCs w:val="21"/>
              </w:rPr>
              <w:t>土壤环境质量现状保障□；源头控制</w:t>
            </w:r>
            <w:r>
              <w:rPr>
                <w:bCs/>
                <w:szCs w:val="21"/>
              </w:rPr>
              <w:t>√</w:t>
            </w:r>
            <w:r>
              <w:rPr>
                <w:szCs w:val="21"/>
              </w:rPr>
              <w:t>；过程防控□；其他（）</w:t>
            </w:r>
          </w:p>
        </w:tc>
        <w:tc>
          <w:tcPr>
            <w:tcW w:w="570" w:type="pct"/>
            <w:tcBorders>
              <w:top w:val="single" w:color="000000" w:sz="6" w:space="0"/>
              <w:left w:val="single" w:color="000000" w:sz="6" w:space="0"/>
              <w:bottom w:val="single" w:color="000000" w:sz="6" w:space="0"/>
            </w:tcBorders>
            <w:vAlign w:val="center"/>
          </w:tcPr>
          <w:p w14:paraId="04223300">
            <w:pPr>
              <w:pStyle w:val="160"/>
              <w:autoSpaceDE w:val="0"/>
              <w:autoSpaceDN w:val="0"/>
              <w:rPr>
                <w:szCs w:val="21"/>
              </w:rPr>
            </w:pPr>
          </w:p>
        </w:tc>
      </w:tr>
      <w:tr w14:paraId="2011C0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14:paraId="5EAC5686">
            <w:pPr>
              <w:pStyle w:val="160"/>
              <w:autoSpaceDE w:val="0"/>
              <w:autoSpaceDN w:val="0"/>
              <w:rPr>
                <w:szCs w:val="21"/>
              </w:rPr>
            </w:pPr>
          </w:p>
        </w:tc>
        <w:tc>
          <w:tcPr>
            <w:tcW w:w="906" w:type="pct"/>
            <w:vMerge w:val="restart"/>
            <w:tcBorders>
              <w:top w:val="single" w:color="000000" w:sz="6" w:space="0"/>
              <w:left w:val="single" w:color="000000" w:sz="6" w:space="0"/>
              <w:bottom w:val="single" w:color="000000" w:sz="4" w:space="0"/>
              <w:right w:val="single" w:color="000000" w:sz="6" w:space="0"/>
            </w:tcBorders>
            <w:vAlign w:val="center"/>
          </w:tcPr>
          <w:p w14:paraId="14803284">
            <w:pPr>
              <w:pStyle w:val="160"/>
              <w:autoSpaceDE w:val="0"/>
              <w:autoSpaceDN w:val="0"/>
              <w:rPr>
                <w:szCs w:val="21"/>
              </w:rPr>
            </w:pPr>
            <w:r>
              <w:rPr>
                <w:szCs w:val="21"/>
              </w:rPr>
              <w:t>跟踪监测</w:t>
            </w:r>
          </w:p>
        </w:tc>
        <w:tc>
          <w:tcPr>
            <w:tcW w:w="1072" w:type="pct"/>
            <w:gridSpan w:val="2"/>
            <w:tcBorders>
              <w:top w:val="single" w:color="000000" w:sz="6" w:space="0"/>
              <w:left w:val="single" w:color="000000" w:sz="6" w:space="0"/>
              <w:bottom w:val="single" w:color="000000" w:sz="6" w:space="0"/>
              <w:right w:val="single" w:color="000000" w:sz="4" w:space="0"/>
            </w:tcBorders>
            <w:vAlign w:val="center"/>
          </w:tcPr>
          <w:p w14:paraId="151EB1A5">
            <w:pPr>
              <w:pStyle w:val="160"/>
              <w:autoSpaceDE w:val="0"/>
              <w:autoSpaceDN w:val="0"/>
              <w:rPr>
                <w:szCs w:val="21"/>
              </w:rPr>
            </w:pPr>
            <w:r>
              <w:rPr>
                <w:szCs w:val="21"/>
              </w:rPr>
              <w:t>监测点数</w:t>
            </w:r>
          </w:p>
        </w:tc>
        <w:tc>
          <w:tcPr>
            <w:tcW w:w="999" w:type="pct"/>
            <w:gridSpan w:val="2"/>
            <w:tcBorders>
              <w:top w:val="single" w:color="000000" w:sz="6" w:space="0"/>
              <w:left w:val="single" w:color="000000" w:sz="4" w:space="0"/>
              <w:bottom w:val="single" w:color="000000" w:sz="6" w:space="0"/>
              <w:right w:val="single" w:color="000000" w:sz="4" w:space="0"/>
            </w:tcBorders>
            <w:vAlign w:val="center"/>
          </w:tcPr>
          <w:p w14:paraId="5591C98D">
            <w:pPr>
              <w:pStyle w:val="160"/>
              <w:autoSpaceDE w:val="0"/>
              <w:autoSpaceDN w:val="0"/>
              <w:rPr>
                <w:szCs w:val="21"/>
              </w:rPr>
            </w:pPr>
            <w:r>
              <w:rPr>
                <w:szCs w:val="21"/>
              </w:rPr>
              <w:t>监测指标</w:t>
            </w:r>
          </w:p>
        </w:tc>
        <w:tc>
          <w:tcPr>
            <w:tcW w:w="1191" w:type="pct"/>
            <w:gridSpan w:val="2"/>
            <w:tcBorders>
              <w:top w:val="single" w:color="000000" w:sz="6" w:space="0"/>
              <w:left w:val="single" w:color="000000" w:sz="4" w:space="0"/>
              <w:bottom w:val="single" w:color="000000" w:sz="6" w:space="0"/>
              <w:right w:val="single" w:color="000000" w:sz="6" w:space="0"/>
            </w:tcBorders>
            <w:vAlign w:val="center"/>
          </w:tcPr>
          <w:p w14:paraId="54EE126B">
            <w:pPr>
              <w:pStyle w:val="160"/>
              <w:autoSpaceDE w:val="0"/>
              <w:autoSpaceDN w:val="0"/>
              <w:rPr>
                <w:szCs w:val="21"/>
              </w:rPr>
            </w:pPr>
            <w:r>
              <w:rPr>
                <w:szCs w:val="21"/>
              </w:rPr>
              <w:t>监测频次</w:t>
            </w:r>
          </w:p>
        </w:tc>
        <w:tc>
          <w:tcPr>
            <w:tcW w:w="570" w:type="pct"/>
            <w:vMerge w:val="restart"/>
            <w:tcBorders>
              <w:top w:val="single" w:color="000000" w:sz="6" w:space="0"/>
              <w:left w:val="single" w:color="000000" w:sz="6" w:space="0"/>
              <w:bottom w:val="single" w:color="000000" w:sz="6" w:space="0"/>
            </w:tcBorders>
            <w:vAlign w:val="center"/>
          </w:tcPr>
          <w:p w14:paraId="4C4577CD">
            <w:pPr>
              <w:pStyle w:val="160"/>
              <w:autoSpaceDE w:val="0"/>
              <w:autoSpaceDN w:val="0"/>
              <w:rPr>
                <w:szCs w:val="21"/>
              </w:rPr>
            </w:pPr>
          </w:p>
        </w:tc>
      </w:tr>
      <w:tr w14:paraId="64688C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14:paraId="64187D97">
            <w:pPr>
              <w:pStyle w:val="160"/>
              <w:autoSpaceDE w:val="0"/>
              <w:autoSpaceDN w:val="0"/>
              <w:rPr>
                <w:szCs w:val="21"/>
              </w:rPr>
            </w:pPr>
          </w:p>
        </w:tc>
        <w:tc>
          <w:tcPr>
            <w:tcW w:w="906" w:type="pct"/>
            <w:vMerge w:val="continue"/>
            <w:tcBorders>
              <w:top w:val="nil"/>
              <w:left w:val="single" w:color="000000" w:sz="6" w:space="0"/>
              <w:bottom w:val="single" w:color="000000" w:sz="4" w:space="0"/>
              <w:right w:val="single" w:color="000000" w:sz="6" w:space="0"/>
            </w:tcBorders>
            <w:vAlign w:val="center"/>
          </w:tcPr>
          <w:p w14:paraId="1A96E92B">
            <w:pPr>
              <w:pStyle w:val="160"/>
              <w:autoSpaceDE w:val="0"/>
              <w:autoSpaceDN w:val="0"/>
              <w:rPr>
                <w:szCs w:val="21"/>
              </w:rPr>
            </w:pPr>
          </w:p>
        </w:tc>
        <w:tc>
          <w:tcPr>
            <w:tcW w:w="1072" w:type="pct"/>
            <w:gridSpan w:val="2"/>
            <w:tcBorders>
              <w:top w:val="single" w:color="000000" w:sz="6" w:space="0"/>
              <w:left w:val="single" w:color="000000" w:sz="6" w:space="0"/>
              <w:bottom w:val="single" w:color="000000" w:sz="4" w:space="0"/>
              <w:right w:val="single" w:color="000000" w:sz="4" w:space="0"/>
            </w:tcBorders>
            <w:vAlign w:val="center"/>
          </w:tcPr>
          <w:p w14:paraId="2A7BCBE6">
            <w:pPr>
              <w:pStyle w:val="160"/>
              <w:autoSpaceDE w:val="0"/>
              <w:autoSpaceDN w:val="0"/>
              <w:rPr>
                <w:szCs w:val="21"/>
              </w:rPr>
            </w:pPr>
            <w:r>
              <w:rPr>
                <w:rFonts w:hint="eastAsia"/>
                <w:szCs w:val="21"/>
              </w:rPr>
              <w:t>浓缩罐</w:t>
            </w:r>
            <w:r>
              <w:rPr>
                <w:szCs w:val="21"/>
              </w:rPr>
              <w:t>1个深层样点位</w:t>
            </w:r>
            <w:r>
              <w:rPr>
                <w:rFonts w:hint="eastAsia"/>
                <w:szCs w:val="21"/>
              </w:rPr>
              <w:t>、</w:t>
            </w:r>
            <w:r>
              <w:rPr>
                <w:szCs w:val="21"/>
              </w:rPr>
              <w:t>在</w:t>
            </w:r>
            <w:r>
              <w:rPr>
                <w:rFonts w:hint="eastAsia"/>
                <w:szCs w:val="21"/>
              </w:rPr>
              <w:t>厂区及回填区域周边</w:t>
            </w:r>
            <w:r>
              <w:rPr>
                <w:szCs w:val="21"/>
              </w:rPr>
              <w:t>设置</w:t>
            </w:r>
            <w:r>
              <w:rPr>
                <w:rFonts w:hint="eastAsia"/>
                <w:szCs w:val="21"/>
              </w:rPr>
              <w:t>5-8</w:t>
            </w:r>
            <w:r>
              <w:rPr>
                <w:szCs w:val="21"/>
              </w:rPr>
              <w:t>个表层样点</w:t>
            </w:r>
          </w:p>
        </w:tc>
        <w:tc>
          <w:tcPr>
            <w:tcW w:w="999" w:type="pct"/>
            <w:gridSpan w:val="2"/>
            <w:tcBorders>
              <w:top w:val="single" w:color="000000" w:sz="6" w:space="0"/>
              <w:left w:val="single" w:color="000000" w:sz="4" w:space="0"/>
              <w:bottom w:val="single" w:color="000000" w:sz="4" w:space="0"/>
              <w:right w:val="single" w:color="000000" w:sz="4" w:space="0"/>
            </w:tcBorders>
            <w:vAlign w:val="center"/>
          </w:tcPr>
          <w:p w14:paraId="6A49EFA6">
            <w:pPr>
              <w:pStyle w:val="160"/>
              <w:autoSpaceDE w:val="0"/>
              <w:autoSpaceDN w:val="0"/>
              <w:rPr>
                <w:szCs w:val="21"/>
              </w:rPr>
            </w:pPr>
            <w:r>
              <w:rPr>
                <w:rFonts w:hint="eastAsia"/>
                <w:szCs w:val="21"/>
              </w:rPr>
              <w:t>基本项45项因子、石油烃、钛、钒，同时监测pH值</w:t>
            </w:r>
          </w:p>
        </w:tc>
        <w:tc>
          <w:tcPr>
            <w:tcW w:w="1191" w:type="pct"/>
            <w:gridSpan w:val="2"/>
            <w:tcBorders>
              <w:top w:val="single" w:color="000000" w:sz="6" w:space="0"/>
              <w:left w:val="single" w:color="000000" w:sz="4" w:space="0"/>
              <w:bottom w:val="single" w:color="000000" w:sz="4" w:space="0"/>
              <w:right w:val="single" w:color="000000" w:sz="6" w:space="0"/>
            </w:tcBorders>
            <w:vAlign w:val="center"/>
          </w:tcPr>
          <w:p w14:paraId="317B9CE1">
            <w:pPr>
              <w:pStyle w:val="160"/>
              <w:autoSpaceDE w:val="0"/>
              <w:autoSpaceDN w:val="0"/>
              <w:rPr>
                <w:szCs w:val="21"/>
              </w:rPr>
            </w:pPr>
            <w:r>
              <w:rPr>
                <w:szCs w:val="21"/>
              </w:rPr>
              <w:t>1年一次</w:t>
            </w:r>
          </w:p>
        </w:tc>
        <w:tc>
          <w:tcPr>
            <w:tcW w:w="570" w:type="pct"/>
            <w:vMerge w:val="continue"/>
            <w:tcBorders>
              <w:top w:val="nil"/>
              <w:left w:val="single" w:color="000000" w:sz="6" w:space="0"/>
              <w:bottom w:val="single" w:color="000000" w:sz="6" w:space="0"/>
            </w:tcBorders>
            <w:vAlign w:val="center"/>
          </w:tcPr>
          <w:p w14:paraId="6E3E3AF4">
            <w:pPr>
              <w:pStyle w:val="160"/>
              <w:autoSpaceDE w:val="0"/>
              <w:autoSpaceDN w:val="0"/>
              <w:rPr>
                <w:szCs w:val="21"/>
              </w:rPr>
            </w:pPr>
          </w:p>
        </w:tc>
      </w:tr>
      <w:tr w14:paraId="229DDD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14:paraId="19F4AFFB">
            <w:pPr>
              <w:pStyle w:val="160"/>
              <w:autoSpaceDE w:val="0"/>
              <w:autoSpaceDN w:val="0"/>
              <w:rPr>
                <w:szCs w:val="21"/>
              </w:rPr>
            </w:pPr>
          </w:p>
        </w:tc>
        <w:tc>
          <w:tcPr>
            <w:tcW w:w="906" w:type="pct"/>
            <w:tcBorders>
              <w:top w:val="single" w:color="000000" w:sz="4" w:space="0"/>
              <w:left w:val="single" w:color="000000" w:sz="6" w:space="0"/>
              <w:bottom w:val="single" w:color="000000" w:sz="6" w:space="0"/>
              <w:right w:val="single" w:color="000000" w:sz="6" w:space="0"/>
            </w:tcBorders>
            <w:vAlign w:val="center"/>
          </w:tcPr>
          <w:p w14:paraId="5B0FF843">
            <w:pPr>
              <w:pStyle w:val="160"/>
              <w:autoSpaceDE w:val="0"/>
              <w:autoSpaceDN w:val="0"/>
              <w:rPr>
                <w:szCs w:val="21"/>
              </w:rPr>
            </w:pPr>
            <w:r>
              <w:rPr>
                <w:szCs w:val="21"/>
              </w:rPr>
              <w:t>信息公开指标</w:t>
            </w:r>
          </w:p>
        </w:tc>
        <w:tc>
          <w:tcPr>
            <w:tcW w:w="3262" w:type="pct"/>
            <w:gridSpan w:val="6"/>
            <w:tcBorders>
              <w:top w:val="single" w:color="000000" w:sz="4" w:space="0"/>
              <w:left w:val="single" w:color="000000" w:sz="6" w:space="0"/>
              <w:bottom w:val="single" w:color="000000" w:sz="6" w:space="0"/>
              <w:right w:val="single" w:color="000000" w:sz="6" w:space="0"/>
            </w:tcBorders>
            <w:vAlign w:val="center"/>
          </w:tcPr>
          <w:p w14:paraId="0EB41881">
            <w:pPr>
              <w:pStyle w:val="160"/>
              <w:autoSpaceDE w:val="0"/>
              <w:autoSpaceDN w:val="0"/>
              <w:rPr>
                <w:szCs w:val="21"/>
              </w:rPr>
            </w:pPr>
          </w:p>
        </w:tc>
        <w:tc>
          <w:tcPr>
            <w:tcW w:w="570" w:type="pct"/>
            <w:vMerge w:val="continue"/>
            <w:tcBorders>
              <w:top w:val="nil"/>
              <w:left w:val="single" w:color="000000" w:sz="6" w:space="0"/>
              <w:bottom w:val="single" w:color="000000" w:sz="6" w:space="0"/>
            </w:tcBorders>
            <w:vAlign w:val="center"/>
          </w:tcPr>
          <w:p w14:paraId="2E1CD180">
            <w:pPr>
              <w:pStyle w:val="160"/>
              <w:autoSpaceDE w:val="0"/>
              <w:autoSpaceDN w:val="0"/>
              <w:rPr>
                <w:szCs w:val="21"/>
              </w:rPr>
            </w:pPr>
          </w:p>
        </w:tc>
      </w:tr>
      <w:tr w14:paraId="40D5C3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1168" w:type="pct"/>
            <w:gridSpan w:val="2"/>
            <w:tcBorders>
              <w:top w:val="single" w:color="000000" w:sz="6" w:space="0"/>
              <w:right w:val="single" w:color="000000" w:sz="6" w:space="0"/>
            </w:tcBorders>
            <w:vAlign w:val="center"/>
          </w:tcPr>
          <w:p w14:paraId="1D4D8526">
            <w:pPr>
              <w:pStyle w:val="160"/>
              <w:autoSpaceDE w:val="0"/>
              <w:autoSpaceDN w:val="0"/>
              <w:rPr>
                <w:szCs w:val="21"/>
              </w:rPr>
            </w:pPr>
            <w:r>
              <w:rPr>
                <w:szCs w:val="21"/>
              </w:rPr>
              <w:t>评价结论</w:t>
            </w:r>
          </w:p>
        </w:tc>
        <w:tc>
          <w:tcPr>
            <w:tcW w:w="3262" w:type="pct"/>
            <w:gridSpan w:val="6"/>
            <w:tcBorders>
              <w:top w:val="single" w:color="000000" w:sz="6" w:space="0"/>
              <w:left w:val="single" w:color="000000" w:sz="6" w:space="0"/>
              <w:right w:val="single" w:color="000000" w:sz="6" w:space="0"/>
            </w:tcBorders>
            <w:vAlign w:val="center"/>
          </w:tcPr>
          <w:p w14:paraId="41F9B3BC">
            <w:pPr>
              <w:pStyle w:val="160"/>
              <w:autoSpaceDE w:val="0"/>
              <w:autoSpaceDN w:val="0"/>
              <w:rPr>
                <w:szCs w:val="21"/>
              </w:rPr>
            </w:pPr>
            <w:r>
              <w:rPr>
                <w:szCs w:val="21"/>
              </w:rPr>
              <w:t>建设项目对评价范围内土壤环境影响较小。</w:t>
            </w:r>
          </w:p>
        </w:tc>
        <w:tc>
          <w:tcPr>
            <w:tcW w:w="570" w:type="pct"/>
            <w:tcBorders>
              <w:top w:val="single" w:color="000000" w:sz="6" w:space="0"/>
              <w:left w:val="single" w:color="000000" w:sz="6" w:space="0"/>
            </w:tcBorders>
            <w:vAlign w:val="center"/>
          </w:tcPr>
          <w:p w14:paraId="2370FE3A">
            <w:pPr>
              <w:pStyle w:val="160"/>
              <w:autoSpaceDE w:val="0"/>
              <w:autoSpaceDN w:val="0"/>
              <w:rPr>
                <w:szCs w:val="21"/>
              </w:rPr>
            </w:pPr>
          </w:p>
        </w:tc>
      </w:tr>
      <w:tr w14:paraId="62C1B2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5000" w:type="pct"/>
            <w:gridSpan w:val="9"/>
            <w:vAlign w:val="center"/>
          </w:tcPr>
          <w:p w14:paraId="63AB641C">
            <w:pPr>
              <w:pStyle w:val="160"/>
              <w:autoSpaceDE w:val="0"/>
              <w:autoSpaceDN w:val="0"/>
              <w:rPr>
                <w:szCs w:val="21"/>
              </w:rPr>
            </w:pPr>
            <w:r>
              <w:rPr>
                <w:szCs w:val="21"/>
              </w:rPr>
              <w:t>注 1：“□”为勾选项，可√；“（ ）”为内容填写项；“备注”为其他补充内容。</w:t>
            </w:r>
          </w:p>
          <w:p w14:paraId="412C7CEF">
            <w:pPr>
              <w:pStyle w:val="160"/>
              <w:autoSpaceDE w:val="0"/>
              <w:autoSpaceDN w:val="0"/>
              <w:rPr>
                <w:szCs w:val="21"/>
              </w:rPr>
            </w:pPr>
            <w:r>
              <w:rPr>
                <w:szCs w:val="21"/>
              </w:rPr>
              <w:t>注 2：需要分别开展土壤环境影响评价工作的，分别填写自查表。</w:t>
            </w:r>
          </w:p>
        </w:tc>
      </w:tr>
    </w:tbl>
    <w:p w14:paraId="3BF6D007">
      <w:pPr>
        <w:pStyle w:val="143"/>
        <w:spacing w:before="156"/>
        <w:rPr>
          <w:snapToGrid w:val="0"/>
        </w:rPr>
      </w:pPr>
      <w:r>
        <w:br w:type="page"/>
      </w:r>
      <w:r>
        <w:t>表4  环境风险评价自查表</w:t>
      </w:r>
    </w:p>
    <w:tbl>
      <w:tblPr>
        <w:tblStyle w:val="89"/>
        <w:tblW w:w="5000"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389"/>
        <w:gridCol w:w="1022"/>
        <w:gridCol w:w="992"/>
        <w:gridCol w:w="362"/>
        <w:gridCol w:w="1476"/>
        <w:gridCol w:w="1116"/>
        <w:gridCol w:w="662"/>
        <w:gridCol w:w="872"/>
        <w:gridCol w:w="1401"/>
      </w:tblGrid>
      <w:tr w14:paraId="792DED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850" w:type="pct"/>
            <w:gridSpan w:val="2"/>
            <w:tcBorders>
              <w:bottom w:val="single" w:color="000000" w:sz="4" w:space="0"/>
              <w:right w:val="single" w:color="000000" w:sz="4" w:space="0"/>
            </w:tcBorders>
            <w:vAlign w:val="center"/>
          </w:tcPr>
          <w:p w14:paraId="069761EE">
            <w:pPr>
              <w:pStyle w:val="160"/>
              <w:autoSpaceDE w:val="0"/>
              <w:autoSpaceDN w:val="0"/>
              <w:rPr>
                <w:szCs w:val="21"/>
              </w:rPr>
            </w:pPr>
            <w:r>
              <w:rPr>
                <w:szCs w:val="21"/>
              </w:rPr>
              <w:t>工作内容</w:t>
            </w:r>
          </w:p>
        </w:tc>
        <w:tc>
          <w:tcPr>
            <w:tcW w:w="4150" w:type="pct"/>
            <w:gridSpan w:val="7"/>
            <w:tcBorders>
              <w:left w:val="single" w:color="000000" w:sz="4" w:space="0"/>
              <w:bottom w:val="single" w:color="000000" w:sz="4" w:space="0"/>
            </w:tcBorders>
            <w:vAlign w:val="center"/>
          </w:tcPr>
          <w:p w14:paraId="7894A294">
            <w:pPr>
              <w:pStyle w:val="160"/>
              <w:autoSpaceDE w:val="0"/>
              <w:autoSpaceDN w:val="0"/>
              <w:rPr>
                <w:szCs w:val="21"/>
              </w:rPr>
            </w:pPr>
            <w:r>
              <w:rPr>
                <w:szCs w:val="21"/>
              </w:rPr>
              <w:t>完成情况</w:t>
            </w:r>
          </w:p>
        </w:tc>
      </w:tr>
      <w:tr w14:paraId="6AC073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235" w:type="pct"/>
            <w:vMerge w:val="restart"/>
            <w:tcBorders>
              <w:top w:val="single" w:color="000000" w:sz="4" w:space="0"/>
              <w:bottom w:val="single" w:color="000000" w:sz="4" w:space="0"/>
              <w:right w:val="single" w:color="000000" w:sz="4" w:space="0"/>
            </w:tcBorders>
            <w:vAlign w:val="center"/>
          </w:tcPr>
          <w:p w14:paraId="72039428">
            <w:pPr>
              <w:pStyle w:val="160"/>
              <w:autoSpaceDE w:val="0"/>
              <w:autoSpaceDN w:val="0"/>
              <w:rPr>
                <w:szCs w:val="21"/>
              </w:rPr>
            </w:pPr>
            <w:r>
              <w:rPr>
                <w:szCs w:val="21"/>
              </w:rPr>
              <w:t>风险调查</w:t>
            </w:r>
          </w:p>
        </w:tc>
        <w:tc>
          <w:tcPr>
            <w:tcW w:w="616" w:type="pct"/>
            <w:vMerge w:val="restart"/>
            <w:tcBorders>
              <w:top w:val="single" w:color="000000" w:sz="4" w:space="0"/>
              <w:left w:val="single" w:color="000000" w:sz="4" w:space="0"/>
              <w:bottom w:val="single" w:color="000000" w:sz="4" w:space="0"/>
              <w:right w:val="single" w:color="000000" w:sz="4" w:space="0"/>
            </w:tcBorders>
            <w:vAlign w:val="center"/>
          </w:tcPr>
          <w:p w14:paraId="0E57B70C">
            <w:pPr>
              <w:pStyle w:val="160"/>
              <w:autoSpaceDE w:val="0"/>
              <w:autoSpaceDN w:val="0"/>
              <w:rPr>
                <w:szCs w:val="21"/>
              </w:rPr>
            </w:pPr>
            <w:r>
              <w:rPr>
                <w:szCs w:val="21"/>
              </w:rPr>
              <w:t>危险物质</w:t>
            </w:r>
          </w:p>
        </w:tc>
        <w:tc>
          <w:tcPr>
            <w:tcW w:w="598" w:type="pct"/>
            <w:tcBorders>
              <w:top w:val="single" w:color="000000" w:sz="4" w:space="0"/>
              <w:left w:val="single" w:color="000000" w:sz="4" w:space="0"/>
              <w:bottom w:val="single" w:color="000000" w:sz="4" w:space="0"/>
              <w:right w:val="single" w:color="000000" w:sz="4" w:space="0"/>
            </w:tcBorders>
            <w:vAlign w:val="center"/>
          </w:tcPr>
          <w:p w14:paraId="56160C38">
            <w:pPr>
              <w:pStyle w:val="160"/>
              <w:autoSpaceDE w:val="0"/>
              <w:autoSpaceDN w:val="0"/>
              <w:rPr>
                <w:szCs w:val="21"/>
              </w:rPr>
            </w:pPr>
            <w:r>
              <w:rPr>
                <w:szCs w:val="21"/>
              </w:rPr>
              <w:t>名称</w:t>
            </w:r>
          </w:p>
        </w:tc>
        <w:tc>
          <w:tcPr>
            <w:tcW w:w="3552" w:type="pct"/>
            <w:gridSpan w:val="6"/>
            <w:tcBorders>
              <w:top w:val="single" w:color="000000" w:sz="4" w:space="0"/>
              <w:left w:val="single" w:color="000000" w:sz="4" w:space="0"/>
              <w:bottom w:val="single" w:color="000000" w:sz="4" w:space="0"/>
            </w:tcBorders>
            <w:vAlign w:val="center"/>
          </w:tcPr>
          <w:p w14:paraId="26DF976A">
            <w:pPr>
              <w:pStyle w:val="160"/>
              <w:autoSpaceDE w:val="0"/>
              <w:autoSpaceDN w:val="0"/>
              <w:rPr>
                <w:szCs w:val="21"/>
              </w:rPr>
            </w:pPr>
            <w:r>
              <w:rPr>
                <w:szCs w:val="21"/>
              </w:rPr>
              <w:t xml:space="preserve">废矿物油 </w:t>
            </w:r>
          </w:p>
        </w:tc>
      </w:tr>
      <w:tr w14:paraId="57A0EB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235" w:type="pct"/>
            <w:vMerge w:val="continue"/>
            <w:tcBorders>
              <w:top w:val="nil"/>
              <w:bottom w:val="single" w:color="000000" w:sz="4" w:space="0"/>
              <w:right w:val="single" w:color="000000" w:sz="4" w:space="0"/>
            </w:tcBorders>
            <w:vAlign w:val="center"/>
          </w:tcPr>
          <w:p w14:paraId="741D00D2">
            <w:pPr>
              <w:pStyle w:val="160"/>
              <w:autoSpaceDE w:val="0"/>
              <w:autoSpaceDN w:val="0"/>
              <w:rPr>
                <w:szCs w:val="21"/>
              </w:rPr>
            </w:pPr>
          </w:p>
        </w:tc>
        <w:tc>
          <w:tcPr>
            <w:tcW w:w="616" w:type="pct"/>
            <w:vMerge w:val="continue"/>
            <w:tcBorders>
              <w:top w:val="nil"/>
              <w:left w:val="single" w:color="000000" w:sz="4" w:space="0"/>
              <w:bottom w:val="single" w:color="000000" w:sz="4" w:space="0"/>
              <w:right w:val="single" w:color="000000" w:sz="4" w:space="0"/>
            </w:tcBorders>
            <w:vAlign w:val="center"/>
          </w:tcPr>
          <w:p w14:paraId="17B55F05">
            <w:pPr>
              <w:pStyle w:val="160"/>
              <w:autoSpaceDE w:val="0"/>
              <w:autoSpaceDN w:val="0"/>
              <w:rPr>
                <w:szCs w:val="21"/>
              </w:rPr>
            </w:pPr>
          </w:p>
        </w:tc>
        <w:tc>
          <w:tcPr>
            <w:tcW w:w="598" w:type="pct"/>
            <w:tcBorders>
              <w:top w:val="single" w:color="000000" w:sz="4" w:space="0"/>
              <w:left w:val="single" w:color="000000" w:sz="4" w:space="0"/>
              <w:bottom w:val="single" w:color="000000" w:sz="4" w:space="0"/>
              <w:right w:val="single" w:color="000000" w:sz="4" w:space="0"/>
            </w:tcBorders>
            <w:vAlign w:val="center"/>
          </w:tcPr>
          <w:p w14:paraId="240AF77E">
            <w:pPr>
              <w:pStyle w:val="160"/>
              <w:autoSpaceDE w:val="0"/>
              <w:autoSpaceDN w:val="0"/>
              <w:rPr>
                <w:szCs w:val="21"/>
              </w:rPr>
            </w:pPr>
            <w:r>
              <w:rPr>
                <w:szCs w:val="21"/>
              </w:rPr>
              <w:t>存在总量</w:t>
            </w:r>
          </w:p>
        </w:tc>
        <w:tc>
          <w:tcPr>
            <w:tcW w:w="3552" w:type="pct"/>
            <w:gridSpan w:val="6"/>
            <w:tcBorders>
              <w:top w:val="single" w:color="000000" w:sz="4" w:space="0"/>
              <w:left w:val="single" w:color="000000" w:sz="4" w:space="0"/>
              <w:bottom w:val="single" w:color="000000" w:sz="4" w:space="0"/>
            </w:tcBorders>
            <w:vAlign w:val="center"/>
          </w:tcPr>
          <w:p w14:paraId="53C56AD9">
            <w:pPr>
              <w:pStyle w:val="160"/>
              <w:autoSpaceDE w:val="0"/>
              <w:autoSpaceDN w:val="0"/>
              <w:rPr>
                <w:szCs w:val="21"/>
              </w:rPr>
            </w:pPr>
            <w:r>
              <w:rPr>
                <w:rFonts w:hint="eastAsia"/>
                <w:szCs w:val="21"/>
              </w:rPr>
              <w:t>0.99</w:t>
            </w:r>
            <w:r>
              <w:rPr>
                <w:szCs w:val="21"/>
              </w:rPr>
              <w:t>t/a</w:t>
            </w:r>
          </w:p>
        </w:tc>
      </w:tr>
      <w:tr w14:paraId="07EAFD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235" w:type="pct"/>
            <w:vMerge w:val="continue"/>
            <w:tcBorders>
              <w:top w:val="nil"/>
              <w:bottom w:val="single" w:color="000000" w:sz="4" w:space="0"/>
              <w:right w:val="single" w:color="000000" w:sz="4" w:space="0"/>
            </w:tcBorders>
            <w:vAlign w:val="center"/>
          </w:tcPr>
          <w:p w14:paraId="5364A64F">
            <w:pPr>
              <w:pStyle w:val="160"/>
              <w:autoSpaceDE w:val="0"/>
              <w:autoSpaceDN w:val="0"/>
              <w:rPr>
                <w:szCs w:val="21"/>
              </w:rPr>
            </w:pPr>
          </w:p>
        </w:tc>
        <w:tc>
          <w:tcPr>
            <w:tcW w:w="616" w:type="pct"/>
            <w:vMerge w:val="restart"/>
            <w:tcBorders>
              <w:top w:val="single" w:color="000000" w:sz="4" w:space="0"/>
              <w:left w:val="single" w:color="000000" w:sz="4" w:space="0"/>
              <w:bottom w:val="single" w:color="000000" w:sz="4" w:space="0"/>
              <w:right w:val="single" w:color="000000" w:sz="4" w:space="0"/>
            </w:tcBorders>
            <w:vAlign w:val="center"/>
          </w:tcPr>
          <w:p w14:paraId="574D04D5">
            <w:pPr>
              <w:pStyle w:val="160"/>
              <w:autoSpaceDE w:val="0"/>
              <w:autoSpaceDN w:val="0"/>
              <w:rPr>
                <w:szCs w:val="21"/>
              </w:rPr>
            </w:pPr>
            <w:r>
              <w:rPr>
                <w:szCs w:val="21"/>
              </w:rPr>
              <w:t>环境</w:t>
            </w:r>
          </w:p>
          <w:p w14:paraId="40BF3AF1">
            <w:pPr>
              <w:pStyle w:val="160"/>
              <w:autoSpaceDE w:val="0"/>
              <w:autoSpaceDN w:val="0"/>
              <w:rPr>
                <w:szCs w:val="21"/>
              </w:rPr>
            </w:pPr>
            <w:r>
              <w:rPr>
                <w:szCs w:val="21"/>
              </w:rPr>
              <w:t>敏感性</w:t>
            </w:r>
          </w:p>
        </w:tc>
        <w:tc>
          <w:tcPr>
            <w:tcW w:w="598" w:type="pct"/>
            <w:vMerge w:val="restart"/>
            <w:tcBorders>
              <w:top w:val="single" w:color="000000" w:sz="4" w:space="0"/>
              <w:left w:val="single" w:color="000000" w:sz="4" w:space="0"/>
              <w:bottom w:val="single" w:color="000000" w:sz="4" w:space="0"/>
              <w:right w:val="single" w:color="000000" w:sz="4" w:space="0"/>
            </w:tcBorders>
            <w:vAlign w:val="center"/>
          </w:tcPr>
          <w:p w14:paraId="0345080C">
            <w:pPr>
              <w:pStyle w:val="160"/>
              <w:autoSpaceDE w:val="0"/>
              <w:autoSpaceDN w:val="0"/>
              <w:rPr>
                <w:szCs w:val="21"/>
              </w:rPr>
            </w:pPr>
            <w:r>
              <w:rPr>
                <w:szCs w:val="21"/>
              </w:rPr>
              <w:t>大气</w:t>
            </w:r>
          </w:p>
        </w:tc>
        <w:tc>
          <w:tcPr>
            <w:tcW w:w="1781" w:type="pct"/>
            <w:gridSpan w:val="3"/>
            <w:tcBorders>
              <w:top w:val="single" w:color="000000" w:sz="4" w:space="0"/>
              <w:left w:val="single" w:color="000000" w:sz="4" w:space="0"/>
              <w:bottom w:val="single" w:color="000000" w:sz="4" w:space="0"/>
              <w:right w:val="single" w:color="000000" w:sz="4" w:space="0"/>
            </w:tcBorders>
            <w:vAlign w:val="center"/>
          </w:tcPr>
          <w:p w14:paraId="0A525555">
            <w:pPr>
              <w:pStyle w:val="160"/>
              <w:autoSpaceDE w:val="0"/>
              <w:autoSpaceDN w:val="0"/>
              <w:rPr>
                <w:szCs w:val="21"/>
              </w:rPr>
            </w:pPr>
            <w:r>
              <w:rPr>
                <w:szCs w:val="21"/>
              </w:rPr>
              <w:t>500 m</w:t>
            </w:r>
            <w:r>
              <w:rPr>
                <w:spacing w:val="-2"/>
                <w:szCs w:val="21"/>
              </w:rPr>
              <w:t xml:space="preserve"> </w:t>
            </w:r>
            <w:r>
              <w:rPr>
                <w:szCs w:val="21"/>
              </w:rPr>
              <w:t>范围内人口数</w:t>
            </w:r>
            <w:r>
              <w:rPr>
                <w:szCs w:val="21"/>
                <w:u w:val="single"/>
              </w:rPr>
              <w:t xml:space="preserve">     </w:t>
            </w:r>
            <w:r>
              <w:rPr>
                <w:szCs w:val="21"/>
              </w:rPr>
              <w:t xml:space="preserve">  </w:t>
            </w:r>
            <w:r>
              <w:rPr>
                <w:szCs w:val="21"/>
                <w:u w:val="single"/>
              </w:rPr>
              <w:t xml:space="preserve"> </w:t>
            </w:r>
          </w:p>
        </w:tc>
        <w:tc>
          <w:tcPr>
            <w:tcW w:w="1770" w:type="pct"/>
            <w:gridSpan w:val="3"/>
            <w:tcBorders>
              <w:top w:val="single" w:color="000000" w:sz="4" w:space="0"/>
              <w:left w:val="single" w:color="000000" w:sz="4" w:space="0"/>
              <w:bottom w:val="single" w:color="000000" w:sz="4" w:space="0"/>
            </w:tcBorders>
            <w:vAlign w:val="center"/>
          </w:tcPr>
          <w:p w14:paraId="13A04E5D">
            <w:pPr>
              <w:pStyle w:val="160"/>
              <w:autoSpaceDE w:val="0"/>
              <w:autoSpaceDN w:val="0"/>
              <w:rPr>
                <w:szCs w:val="21"/>
              </w:rPr>
            </w:pPr>
            <w:r>
              <w:rPr>
                <w:szCs w:val="21"/>
              </w:rPr>
              <w:t>5 km</w:t>
            </w:r>
            <w:r>
              <w:rPr>
                <w:spacing w:val="-2"/>
                <w:szCs w:val="21"/>
              </w:rPr>
              <w:t xml:space="preserve"> </w:t>
            </w:r>
            <w:r>
              <w:rPr>
                <w:szCs w:val="21"/>
              </w:rPr>
              <w:t>范围内人口数</w:t>
            </w:r>
            <w:r>
              <w:rPr>
                <w:szCs w:val="21"/>
                <w:u w:val="single"/>
              </w:rPr>
              <w:t xml:space="preserve">      </w:t>
            </w:r>
          </w:p>
        </w:tc>
      </w:tr>
      <w:tr w14:paraId="03B2356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235" w:type="pct"/>
            <w:vMerge w:val="continue"/>
            <w:tcBorders>
              <w:top w:val="nil"/>
              <w:bottom w:val="single" w:color="000000" w:sz="4" w:space="0"/>
              <w:right w:val="single" w:color="000000" w:sz="4" w:space="0"/>
            </w:tcBorders>
            <w:vAlign w:val="center"/>
          </w:tcPr>
          <w:p w14:paraId="5D1B2D04">
            <w:pPr>
              <w:pStyle w:val="160"/>
              <w:autoSpaceDE w:val="0"/>
              <w:autoSpaceDN w:val="0"/>
              <w:rPr>
                <w:szCs w:val="21"/>
              </w:rPr>
            </w:pPr>
          </w:p>
        </w:tc>
        <w:tc>
          <w:tcPr>
            <w:tcW w:w="616" w:type="pct"/>
            <w:vMerge w:val="continue"/>
            <w:tcBorders>
              <w:top w:val="nil"/>
              <w:left w:val="single" w:color="000000" w:sz="4" w:space="0"/>
              <w:bottom w:val="single" w:color="000000" w:sz="4" w:space="0"/>
              <w:right w:val="single" w:color="000000" w:sz="4" w:space="0"/>
            </w:tcBorders>
            <w:vAlign w:val="center"/>
          </w:tcPr>
          <w:p w14:paraId="769AED72">
            <w:pPr>
              <w:pStyle w:val="160"/>
              <w:autoSpaceDE w:val="0"/>
              <w:autoSpaceDN w:val="0"/>
              <w:rPr>
                <w:szCs w:val="21"/>
              </w:rPr>
            </w:pPr>
          </w:p>
        </w:tc>
        <w:tc>
          <w:tcPr>
            <w:tcW w:w="598" w:type="pct"/>
            <w:vMerge w:val="continue"/>
            <w:tcBorders>
              <w:top w:val="nil"/>
              <w:left w:val="single" w:color="000000" w:sz="4" w:space="0"/>
              <w:bottom w:val="single" w:color="000000" w:sz="4" w:space="0"/>
              <w:right w:val="single" w:color="000000" w:sz="4" w:space="0"/>
            </w:tcBorders>
            <w:vAlign w:val="center"/>
          </w:tcPr>
          <w:p w14:paraId="309421A8">
            <w:pPr>
              <w:pStyle w:val="160"/>
              <w:autoSpaceDE w:val="0"/>
              <w:autoSpaceDN w:val="0"/>
              <w:rPr>
                <w:szCs w:val="21"/>
              </w:rPr>
            </w:pPr>
          </w:p>
        </w:tc>
        <w:tc>
          <w:tcPr>
            <w:tcW w:w="2706" w:type="pct"/>
            <w:gridSpan w:val="5"/>
            <w:tcBorders>
              <w:top w:val="single" w:color="000000" w:sz="4" w:space="0"/>
              <w:left w:val="single" w:color="000000" w:sz="4" w:space="0"/>
              <w:bottom w:val="single" w:color="000000" w:sz="4" w:space="0"/>
              <w:right w:val="single" w:color="000000" w:sz="4" w:space="0"/>
            </w:tcBorders>
            <w:vAlign w:val="center"/>
          </w:tcPr>
          <w:p w14:paraId="3DDBEB98">
            <w:pPr>
              <w:pStyle w:val="160"/>
              <w:autoSpaceDE w:val="0"/>
              <w:autoSpaceDN w:val="0"/>
              <w:rPr>
                <w:szCs w:val="21"/>
              </w:rPr>
            </w:pPr>
            <w:r>
              <w:rPr>
                <w:szCs w:val="21"/>
              </w:rPr>
              <w:t>每公里管段周边200m范围内人口数（最大）</w:t>
            </w:r>
          </w:p>
        </w:tc>
        <w:tc>
          <w:tcPr>
            <w:tcW w:w="845" w:type="pct"/>
            <w:tcBorders>
              <w:top w:val="single" w:color="000000" w:sz="4" w:space="0"/>
              <w:left w:val="single" w:color="000000" w:sz="4" w:space="0"/>
              <w:bottom w:val="single" w:color="000000" w:sz="4" w:space="0"/>
            </w:tcBorders>
            <w:vAlign w:val="center"/>
          </w:tcPr>
          <w:p w14:paraId="38E9FD96">
            <w:pPr>
              <w:pStyle w:val="160"/>
              <w:autoSpaceDE w:val="0"/>
              <w:autoSpaceDN w:val="0"/>
              <w:rPr>
                <w:szCs w:val="21"/>
              </w:rPr>
            </w:pPr>
            <w:r>
              <w:rPr>
                <w:szCs w:val="21"/>
              </w:rPr>
              <w:t>人</w:t>
            </w:r>
          </w:p>
        </w:tc>
      </w:tr>
      <w:tr w14:paraId="2BFBC8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235" w:type="pct"/>
            <w:vMerge w:val="continue"/>
            <w:tcBorders>
              <w:top w:val="nil"/>
              <w:bottom w:val="single" w:color="000000" w:sz="4" w:space="0"/>
              <w:right w:val="single" w:color="000000" w:sz="4" w:space="0"/>
            </w:tcBorders>
            <w:vAlign w:val="center"/>
          </w:tcPr>
          <w:p w14:paraId="66B70542">
            <w:pPr>
              <w:pStyle w:val="160"/>
              <w:autoSpaceDE w:val="0"/>
              <w:autoSpaceDN w:val="0"/>
              <w:rPr>
                <w:szCs w:val="21"/>
              </w:rPr>
            </w:pPr>
          </w:p>
        </w:tc>
        <w:tc>
          <w:tcPr>
            <w:tcW w:w="616" w:type="pct"/>
            <w:vMerge w:val="continue"/>
            <w:tcBorders>
              <w:top w:val="nil"/>
              <w:left w:val="single" w:color="000000" w:sz="4" w:space="0"/>
              <w:bottom w:val="single" w:color="000000" w:sz="4" w:space="0"/>
              <w:right w:val="single" w:color="000000" w:sz="4" w:space="0"/>
            </w:tcBorders>
            <w:vAlign w:val="center"/>
          </w:tcPr>
          <w:p w14:paraId="16519D34">
            <w:pPr>
              <w:pStyle w:val="160"/>
              <w:autoSpaceDE w:val="0"/>
              <w:autoSpaceDN w:val="0"/>
              <w:rPr>
                <w:szCs w:val="21"/>
              </w:rPr>
            </w:pPr>
          </w:p>
        </w:tc>
        <w:tc>
          <w:tcPr>
            <w:tcW w:w="598" w:type="pct"/>
            <w:vMerge w:val="restart"/>
            <w:tcBorders>
              <w:top w:val="single" w:color="000000" w:sz="4" w:space="0"/>
              <w:left w:val="single" w:color="000000" w:sz="4" w:space="0"/>
              <w:bottom w:val="single" w:color="000000" w:sz="4" w:space="0"/>
              <w:right w:val="single" w:color="000000" w:sz="4" w:space="0"/>
            </w:tcBorders>
            <w:vAlign w:val="center"/>
          </w:tcPr>
          <w:p w14:paraId="5408A0C4">
            <w:pPr>
              <w:pStyle w:val="160"/>
              <w:autoSpaceDE w:val="0"/>
              <w:autoSpaceDN w:val="0"/>
              <w:rPr>
                <w:szCs w:val="21"/>
              </w:rPr>
            </w:pPr>
            <w:r>
              <w:rPr>
                <w:szCs w:val="21"/>
              </w:rPr>
              <w:t>地表水</w:t>
            </w:r>
          </w:p>
        </w:tc>
        <w:tc>
          <w:tcPr>
            <w:tcW w:w="1108" w:type="pct"/>
            <w:gridSpan w:val="2"/>
            <w:tcBorders>
              <w:top w:val="single" w:color="000000" w:sz="4" w:space="0"/>
              <w:left w:val="single" w:color="000000" w:sz="4" w:space="0"/>
              <w:bottom w:val="single" w:color="000000" w:sz="4" w:space="0"/>
              <w:right w:val="single" w:color="000000" w:sz="4" w:space="0"/>
            </w:tcBorders>
            <w:vAlign w:val="center"/>
          </w:tcPr>
          <w:p w14:paraId="6A0C66FA">
            <w:pPr>
              <w:pStyle w:val="160"/>
              <w:autoSpaceDE w:val="0"/>
              <w:autoSpaceDN w:val="0"/>
              <w:rPr>
                <w:szCs w:val="21"/>
              </w:rPr>
            </w:pPr>
            <w:r>
              <w:rPr>
                <w:szCs w:val="21"/>
              </w:rPr>
              <w:t>地表水功能敏感性</w:t>
            </w:r>
          </w:p>
        </w:tc>
        <w:tc>
          <w:tcPr>
            <w:tcW w:w="673" w:type="pct"/>
            <w:tcBorders>
              <w:top w:val="single" w:color="000000" w:sz="4" w:space="0"/>
              <w:left w:val="single" w:color="000000" w:sz="4" w:space="0"/>
              <w:bottom w:val="single" w:color="000000" w:sz="4" w:space="0"/>
              <w:right w:val="single" w:color="000000" w:sz="4" w:space="0"/>
            </w:tcBorders>
            <w:vAlign w:val="center"/>
          </w:tcPr>
          <w:p w14:paraId="78D7749C">
            <w:pPr>
              <w:pStyle w:val="160"/>
              <w:autoSpaceDE w:val="0"/>
              <w:autoSpaceDN w:val="0"/>
              <w:rPr>
                <w:szCs w:val="21"/>
              </w:rPr>
            </w:pPr>
            <w:r>
              <w:rPr>
                <w:szCs w:val="21"/>
              </w:rPr>
              <w:t>F1□</w:t>
            </w:r>
          </w:p>
        </w:tc>
        <w:tc>
          <w:tcPr>
            <w:tcW w:w="925" w:type="pct"/>
            <w:gridSpan w:val="2"/>
            <w:tcBorders>
              <w:top w:val="single" w:color="000000" w:sz="4" w:space="0"/>
              <w:left w:val="single" w:color="000000" w:sz="4" w:space="0"/>
              <w:bottom w:val="single" w:color="000000" w:sz="4" w:space="0"/>
              <w:right w:val="single" w:color="000000" w:sz="4" w:space="0"/>
            </w:tcBorders>
            <w:vAlign w:val="center"/>
          </w:tcPr>
          <w:p w14:paraId="7CA1852C">
            <w:pPr>
              <w:pStyle w:val="160"/>
              <w:autoSpaceDE w:val="0"/>
              <w:autoSpaceDN w:val="0"/>
              <w:rPr>
                <w:szCs w:val="21"/>
              </w:rPr>
            </w:pPr>
            <w:r>
              <w:rPr>
                <w:szCs w:val="21"/>
              </w:rPr>
              <w:t>F2□</w:t>
            </w:r>
          </w:p>
        </w:tc>
        <w:tc>
          <w:tcPr>
            <w:tcW w:w="845" w:type="pct"/>
            <w:tcBorders>
              <w:top w:val="single" w:color="000000" w:sz="4" w:space="0"/>
              <w:left w:val="single" w:color="000000" w:sz="4" w:space="0"/>
              <w:bottom w:val="single" w:color="000000" w:sz="4" w:space="0"/>
            </w:tcBorders>
            <w:vAlign w:val="center"/>
          </w:tcPr>
          <w:p w14:paraId="5B7ED69A">
            <w:pPr>
              <w:pStyle w:val="160"/>
              <w:autoSpaceDE w:val="0"/>
              <w:autoSpaceDN w:val="0"/>
              <w:rPr>
                <w:szCs w:val="21"/>
              </w:rPr>
            </w:pPr>
            <w:r>
              <w:rPr>
                <w:szCs w:val="21"/>
              </w:rPr>
              <w:t>F3□</w:t>
            </w:r>
          </w:p>
        </w:tc>
      </w:tr>
      <w:tr w14:paraId="79109B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83" w:hRule="atLeast"/>
        </w:trPr>
        <w:tc>
          <w:tcPr>
            <w:tcW w:w="235" w:type="pct"/>
            <w:vMerge w:val="continue"/>
            <w:tcBorders>
              <w:top w:val="nil"/>
              <w:bottom w:val="single" w:color="000000" w:sz="4" w:space="0"/>
              <w:right w:val="single" w:color="000000" w:sz="4" w:space="0"/>
            </w:tcBorders>
            <w:vAlign w:val="center"/>
          </w:tcPr>
          <w:p w14:paraId="753E5E8B">
            <w:pPr>
              <w:pStyle w:val="160"/>
              <w:autoSpaceDE w:val="0"/>
              <w:autoSpaceDN w:val="0"/>
              <w:rPr>
                <w:szCs w:val="21"/>
              </w:rPr>
            </w:pPr>
          </w:p>
        </w:tc>
        <w:tc>
          <w:tcPr>
            <w:tcW w:w="616" w:type="pct"/>
            <w:vMerge w:val="continue"/>
            <w:tcBorders>
              <w:top w:val="nil"/>
              <w:left w:val="single" w:color="000000" w:sz="4" w:space="0"/>
              <w:bottom w:val="single" w:color="000000" w:sz="4" w:space="0"/>
              <w:right w:val="single" w:color="000000" w:sz="4" w:space="0"/>
            </w:tcBorders>
            <w:vAlign w:val="center"/>
          </w:tcPr>
          <w:p w14:paraId="74BE0124">
            <w:pPr>
              <w:pStyle w:val="160"/>
              <w:autoSpaceDE w:val="0"/>
              <w:autoSpaceDN w:val="0"/>
              <w:rPr>
                <w:szCs w:val="21"/>
              </w:rPr>
            </w:pPr>
          </w:p>
        </w:tc>
        <w:tc>
          <w:tcPr>
            <w:tcW w:w="598" w:type="pct"/>
            <w:vMerge w:val="continue"/>
            <w:tcBorders>
              <w:top w:val="nil"/>
              <w:left w:val="single" w:color="000000" w:sz="4" w:space="0"/>
              <w:bottom w:val="single" w:color="000000" w:sz="4" w:space="0"/>
              <w:right w:val="single" w:color="000000" w:sz="4" w:space="0"/>
            </w:tcBorders>
            <w:vAlign w:val="center"/>
          </w:tcPr>
          <w:p w14:paraId="383EABA7">
            <w:pPr>
              <w:pStyle w:val="160"/>
              <w:autoSpaceDE w:val="0"/>
              <w:autoSpaceDN w:val="0"/>
              <w:rPr>
                <w:szCs w:val="21"/>
              </w:rPr>
            </w:pPr>
          </w:p>
        </w:tc>
        <w:tc>
          <w:tcPr>
            <w:tcW w:w="1108" w:type="pct"/>
            <w:gridSpan w:val="2"/>
            <w:tcBorders>
              <w:top w:val="single" w:color="000000" w:sz="4" w:space="0"/>
              <w:left w:val="single" w:color="000000" w:sz="4" w:space="0"/>
              <w:bottom w:val="single" w:color="000000" w:sz="4" w:space="0"/>
              <w:right w:val="single" w:color="000000" w:sz="4" w:space="0"/>
            </w:tcBorders>
            <w:vAlign w:val="center"/>
          </w:tcPr>
          <w:p w14:paraId="574BFCF5">
            <w:pPr>
              <w:pStyle w:val="160"/>
              <w:autoSpaceDE w:val="0"/>
              <w:autoSpaceDN w:val="0"/>
              <w:rPr>
                <w:szCs w:val="21"/>
              </w:rPr>
            </w:pPr>
            <w:r>
              <w:rPr>
                <w:szCs w:val="21"/>
              </w:rPr>
              <w:t>环境敏感目标分级</w:t>
            </w:r>
          </w:p>
        </w:tc>
        <w:tc>
          <w:tcPr>
            <w:tcW w:w="673" w:type="pct"/>
            <w:tcBorders>
              <w:top w:val="single" w:color="000000" w:sz="4" w:space="0"/>
              <w:left w:val="single" w:color="000000" w:sz="4" w:space="0"/>
              <w:bottom w:val="single" w:color="000000" w:sz="4" w:space="0"/>
              <w:right w:val="single" w:color="000000" w:sz="4" w:space="0"/>
            </w:tcBorders>
            <w:vAlign w:val="center"/>
          </w:tcPr>
          <w:p w14:paraId="1934344C">
            <w:pPr>
              <w:pStyle w:val="160"/>
              <w:autoSpaceDE w:val="0"/>
              <w:autoSpaceDN w:val="0"/>
              <w:rPr>
                <w:szCs w:val="21"/>
              </w:rPr>
            </w:pPr>
            <w:r>
              <w:rPr>
                <w:szCs w:val="21"/>
              </w:rPr>
              <w:t>S1□</w:t>
            </w:r>
          </w:p>
        </w:tc>
        <w:tc>
          <w:tcPr>
            <w:tcW w:w="925" w:type="pct"/>
            <w:gridSpan w:val="2"/>
            <w:tcBorders>
              <w:top w:val="single" w:color="000000" w:sz="4" w:space="0"/>
              <w:left w:val="single" w:color="000000" w:sz="4" w:space="0"/>
              <w:bottom w:val="single" w:color="000000" w:sz="4" w:space="0"/>
              <w:right w:val="single" w:color="000000" w:sz="4" w:space="0"/>
            </w:tcBorders>
            <w:vAlign w:val="center"/>
          </w:tcPr>
          <w:p w14:paraId="02C713AA">
            <w:pPr>
              <w:pStyle w:val="160"/>
              <w:autoSpaceDE w:val="0"/>
              <w:autoSpaceDN w:val="0"/>
              <w:rPr>
                <w:szCs w:val="21"/>
              </w:rPr>
            </w:pPr>
            <w:r>
              <w:rPr>
                <w:szCs w:val="21"/>
              </w:rPr>
              <w:t>S2□</w:t>
            </w:r>
          </w:p>
        </w:tc>
        <w:tc>
          <w:tcPr>
            <w:tcW w:w="845" w:type="pct"/>
            <w:tcBorders>
              <w:top w:val="single" w:color="000000" w:sz="4" w:space="0"/>
              <w:left w:val="single" w:color="000000" w:sz="4" w:space="0"/>
              <w:bottom w:val="single" w:color="000000" w:sz="4" w:space="0"/>
            </w:tcBorders>
            <w:vAlign w:val="center"/>
          </w:tcPr>
          <w:p w14:paraId="2A4A223F">
            <w:pPr>
              <w:pStyle w:val="160"/>
              <w:autoSpaceDE w:val="0"/>
              <w:autoSpaceDN w:val="0"/>
              <w:rPr>
                <w:szCs w:val="21"/>
              </w:rPr>
            </w:pPr>
            <w:r>
              <w:rPr>
                <w:szCs w:val="21"/>
              </w:rPr>
              <w:t>S3□</w:t>
            </w:r>
          </w:p>
        </w:tc>
      </w:tr>
      <w:tr w14:paraId="759301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83" w:hRule="atLeast"/>
        </w:trPr>
        <w:tc>
          <w:tcPr>
            <w:tcW w:w="235" w:type="pct"/>
            <w:vMerge w:val="continue"/>
            <w:tcBorders>
              <w:top w:val="nil"/>
              <w:bottom w:val="single" w:color="000000" w:sz="4" w:space="0"/>
              <w:right w:val="single" w:color="000000" w:sz="4" w:space="0"/>
            </w:tcBorders>
            <w:vAlign w:val="center"/>
          </w:tcPr>
          <w:p w14:paraId="0D222C8B">
            <w:pPr>
              <w:pStyle w:val="160"/>
              <w:autoSpaceDE w:val="0"/>
              <w:autoSpaceDN w:val="0"/>
              <w:rPr>
                <w:szCs w:val="21"/>
              </w:rPr>
            </w:pPr>
          </w:p>
        </w:tc>
        <w:tc>
          <w:tcPr>
            <w:tcW w:w="616" w:type="pct"/>
            <w:vMerge w:val="continue"/>
            <w:tcBorders>
              <w:top w:val="nil"/>
              <w:left w:val="single" w:color="000000" w:sz="4" w:space="0"/>
              <w:bottom w:val="single" w:color="000000" w:sz="4" w:space="0"/>
              <w:right w:val="single" w:color="000000" w:sz="4" w:space="0"/>
            </w:tcBorders>
            <w:vAlign w:val="center"/>
          </w:tcPr>
          <w:p w14:paraId="73138F0F">
            <w:pPr>
              <w:pStyle w:val="160"/>
              <w:autoSpaceDE w:val="0"/>
              <w:autoSpaceDN w:val="0"/>
              <w:rPr>
                <w:szCs w:val="21"/>
              </w:rPr>
            </w:pPr>
          </w:p>
        </w:tc>
        <w:tc>
          <w:tcPr>
            <w:tcW w:w="598" w:type="pct"/>
            <w:vMerge w:val="restart"/>
            <w:tcBorders>
              <w:top w:val="single" w:color="000000" w:sz="4" w:space="0"/>
              <w:left w:val="single" w:color="000000" w:sz="4" w:space="0"/>
              <w:bottom w:val="single" w:color="000000" w:sz="4" w:space="0"/>
              <w:right w:val="single" w:color="000000" w:sz="4" w:space="0"/>
            </w:tcBorders>
            <w:vAlign w:val="center"/>
          </w:tcPr>
          <w:p w14:paraId="506425FD">
            <w:pPr>
              <w:pStyle w:val="160"/>
              <w:autoSpaceDE w:val="0"/>
              <w:autoSpaceDN w:val="0"/>
              <w:rPr>
                <w:szCs w:val="21"/>
              </w:rPr>
            </w:pPr>
            <w:r>
              <w:rPr>
                <w:szCs w:val="21"/>
              </w:rPr>
              <w:t>地下水</w:t>
            </w:r>
          </w:p>
        </w:tc>
        <w:tc>
          <w:tcPr>
            <w:tcW w:w="1108" w:type="pct"/>
            <w:gridSpan w:val="2"/>
            <w:tcBorders>
              <w:top w:val="single" w:color="000000" w:sz="4" w:space="0"/>
              <w:left w:val="single" w:color="000000" w:sz="4" w:space="0"/>
              <w:bottom w:val="single" w:color="000000" w:sz="4" w:space="0"/>
              <w:right w:val="single" w:color="000000" w:sz="4" w:space="0"/>
            </w:tcBorders>
            <w:vAlign w:val="center"/>
          </w:tcPr>
          <w:p w14:paraId="2D123859">
            <w:pPr>
              <w:pStyle w:val="160"/>
              <w:autoSpaceDE w:val="0"/>
              <w:autoSpaceDN w:val="0"/>
              <w:rPr>
                <w:szCs w:val="21"/>
              </w:rPr>
            </w:pPr>
            <w:r>
              <w:rPr>
                <w:szCs w:val="21"/>
              </w:rPr>
              <w:t>地下水功能敏感性</w:t>
            </w:r>
          </w:p>
        </w:tc>
        <w:tc>
          <w:tcPr>
            <w:tcW w:w="673" w:type="pct"/>
            <w:tcBorders>
              <w:top w:val="single" w:color="000000" w:sz="4" w:space="0"/>
              <w:left w:val="single" w:color="000000" w:sz="4" w:space="0"/>
              <w:bottom w:val="single" w:color="000000" w:sz="4" w:space="0"/>
              <w:right w:val="single" w:color="000000" w:sz="4" w:space="0"/>
            </w:tcBorders>
            <w:vAlign w:val="center"/>
          </w:tcPr>
          <w:p w14:paraId="2F087537">
            <w:pPr>
              <w:pStyle w:val="160"/>
              <w:autoSpaceDE w:val="0"/>
              <w:autoSpaceDN w:val="0"/>
              <w:rPr>
                <w:szCs w:val="21"/>
              </w:rPr>
            </w:pPr>
            <w:r>
              <w:rPr>
                <w:szCs w:val="21"/>
              </w:rPr>
              <w:t>G1□</w:t>
            </w:r>
          </w:p>
        </w:tc>
        <w:tc>
          <w:tcPr>
            <w:tcW w:w="925" w:type="pct"/>
            <w:gridSpan w:val="2"/>
            <w:tcBorders>
              <w:top w:val="single" w:color="000000" w:sz="4" w:space="0"/>
              <w:left w:val="single" w:color="000000" w:sz="4" w:space="0"/>
              <w:bottom w:val="single" w:color="000000" w:sz="4" w:space="0"/>
              <w:right w:val="single" w:color="000000" w:sz="4" w:space="0"/>
            </w:tcBorders>
            <w:vAlign w:val="center"/>
          </w:tcPr>
          <w:p w14:paraId="7285925F">
            <w:pPr>
              <w:pStyle w:val="160"/>
              <w:autoSpaceDE w:val="0"/>
              <w:autoSpaceDN w:val="0"/>
              <w:rPr>
                <w:szCs w:val="21"/>
              </w:rPr>
            </w:pPr>
            <w:r>
              <w:rPr>
                <w:szCs w:val="21"/>
              </w:rPr>
              <w:t>G2□</w:t>
            </w:r>
          </w:p>
        </w:tc>
        <w:tc>
          <w:tcPr>
            <w:tcW w:w="845" w:type="pct"/>
            <w:tcBorders>
              <w:top w:val="single" w:color="000000" w:sz="4" w:space="0"/>
              <w:left w:val="single" w:color="000000" w:sz="4" w:space="0"/>
              <w:bottom w:val="single" w:color="000000" w:sz="4" w:space="0"/>
            </w:tcBorders>
            <w:vAlign w:val="center"/>
          </w:tcPr>
          <w:p w14:paraId="094D4D16">
            <w:pPr>
              <w:pStyle w:val="160"/>
              <w:autoSpaceDE w:val="0"/>
              <w:autoSpaceDN w:val="0"/>
              <w:rPr>
                <w:szCs w:val="21"/>
              </w:rPr>
            </w:pPr>
            <w:r>
              <w:rPr>
                <w:szCs w:val="21"/>
              </w:rPr>
              <w:t>G3□</w:t>
            </w:r>
          </w:p>
        </w:tc>
      </w:tr>
      <w:tr w14:paraId="4B17E8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83" w:hRule="atLeast"/>
        </w:trPr>
        <w:tc>
          <w:tcPr>
            <w:tcW w:w="235" w:type="pct"/>
            <w:vMerge w:val="continue"/>
            <w:tcBorders>
              <w:top w:val="nil"/>
              <w:bottom w:val="single" w:color="000000" w:sz="4" w:space="0"/>
              <w:right w:val="single" w:color="000000" w:sz="4" w:space="0"/>
            </w:tcBorders>
            <w:vAlign w:val="center"/>
          </w:tcPr>
          <w:p w14:paraId="23A05644">
            <w:pPr>
              <w:pStyle w:val="160"/>
              <w:autoSpaceDE w:val="0"/>
              <w:autoSpaceDN w:val="0"/>
              <w:rPr>
                <w:szCs w:val="21"/>
              </w:rPr>
            </w:pPr>
          </w:p>
        </w:tc>
        <w:tc>
          <w:tcPr>
            <w:tcW w:w="616" w:type="pct"/>
            <w:vMerge w:val="continue"/>
            <w:tcBorders>
              <w:top w:val="nil"/>
              <w:left w:val="single" w:color="000000" w:sz="4" w:space="0"/>
              <w:bottom w:val="single" w:color="000000" w:sz="4" w:space="0"/>
              <w:right w:val="single" w:color="000000" w:sz="4" w:space="0"/>
            </w:tcBorders>
            <w:vAlign w:val="center"/>
          </w:tcPr>
          <w:p w14:paraId="591A368F">
            <w:pPr>
              <w:pStyle w:val="160"/>
              <w:autoSpaceDE w:val="0"/>
              <w:autoSpaceDN w:val="0"/>
              <w:rPr>
                <w:szCs w:val="21"/>
              </w:rPr>
            </w:pPr>
          </w:p>
        </w:tc>
        <w:tc>
          <w:tcPr>
            <w:tcW w:w="598" w:type="pct"/>
            <w:vMerge w:val="continue"/>
            <w:tcBorders>
              <w:top w:val="nil"/>
              <w:left w:val="single" w:color="000000" w:sz="4" w:space="0"/>
              <w:bottom w:val="single" w:color="000000" w:sz="4" w:space="0"/>
              <w:right w:val="single" w:color="000000" w:sz="4" w:space="0"/>
            </w:tcBorders>
            <w:vAlign w:val="center"/>
          </w:tcPr>
          <w:p w14:paraId="5DABED34">
            <w:pPr>
              <w:pStyle w:val="160"/>
              <w:autoSpaceDE w:val="0"/>
              <w:autoSpaceDN w:val="0"/>
              <w:rPr>
                <w:szCs w:val="21"/>
              </w:rPr>
            </w:pPr>
          </w:p>
        </w:tc>
        <w:tc>
          <w:tcPr>
            <w:tcW w:w="1108" w:type="pct"/>
            <w:gridSpan w:val="2"/>
            <w:tcBorders>
              <w:top w:val="single" w:color="000000" w:sz="4" w:space="0"/>
              <w:left w:val="single" w:color="000000" w:sz="4" w:space="0"/>
              <w:bottom w:val="single" w:color="000000" w:sz="4" w:space="0"/>
              <w:right w:val="single" w:color="000000" w:sz="4" w:space="0"/>
            </w:tcBorders>
            <w:vAlign w:val="center"/>
          </w:tcPr>
          <w:p w14:paraId="27B7DB41">
            <w:pPr>
              <w:pStyle w:val="160"/>
              <w:autoSpaceDE w:val="0"/>
              <w:autoSpaceDN w:val="0"/>
              <w:rPr>
                <w:szCs w:val="21"/>
              </w:rPr>
            </w:pPr>
            <w:r>
              <w:rPr>
                <w:szCs w:val="21"/>
              </w:rPr>
              <w:t>包气带防污性能</w:t>
            </w:r>
          </w:p>
        </w:tc>
        <w:tc>
          <w:tcPr>
            <w:tcW w:w="673" w:type="pct"/>
            <w:tcBorders>
              <w:top w:val="single" w:color="000000" w:sz="4" w:space="0"/>
              <w:left w:val="single" w:color="000000" w:sz="4" w:space="0"/>
              <w:bottom w:val="single" w:color="000000" w:sz="4" w:space="0"/>
              <w:right w:val="single" w:color="000000" w:sz="4" w:space="0"/>
            </w:tcBorders>
            <w:vAlign w:val="center"/>
          </w:tcPr>
          <w:p w14:paraId="53630DA6">
            <w:pPr>
              <w:pStyle w:val="160"/>
              <w:autoSpaceDE w:val="0"/>
              <w:autoSpaceDN w:val="0"/>
              <w:rPr>
                <w:szCs w:val="21"/>
              </w:rPr>
            </w:pPr>
            <w:r>
              <w:rPr>
                <w:szCs w:val="21"/>
              </w:rPr>
              <w:t>D1□</w:t>
            </w:r>
          </w:p>
        </w:tc>
        <w:tc>
          <w:tcPr>
            <w:tcW w:w="925" w:type="pct"/>
            <w:gridSpan w:val="2"/>
            <w:tcBorders>
              <w:top w:val="single" w:color="000000" w:sz="4" w:space="0"/>
              <w:left w:val="single" w:color="000000" w:sz="4" w:space="0"/>
              <w:bottom w:val="single" w:color="000000" w:sz="4" w:space="0"/>
              <w:right w:val="single" w:color="000000" w:sz="4" w:space="0"/>
            </w:tcBorders>
            <w:vAlign w:val="center"/>
          </w:tcPr>
          <w:p w14:paraId="1A0F8C9F">
            <w:pPr>
              <w:pStyle w:val="160"/>
              <w:autoSpaceDE w:val="0"/>
              <w:autoSpaceDN w:val="0"/>
              <w:rPr>
                <w:szCs w:val="21"/>
              </w:rPr>
            </w:pPr>
            <w:r>
              <w:rPr>
                <w:szCs w:val="21"/>
              </w:rPr>
              <w:t>D2□</w:t>
            </w:r>
          </w:p>
        </w:tc>
        <w:tc>
          <w:tcPr>
            <w:tcW w:w="845" w:type="pct"/>
            <w:tcBorders>
              <w:top w:val="single" w:color="000000" w:sz="4" w:space="0"/>
              <w:left w:val="single" w:color="000000" w:sz="4" w:space="0"/>
              <w:bottom w:val="single" w:color="000000" w:sz="4" w:space="0"/>
            </w:tcBorders>
            <w:vAlign w:val="center"/>
          </w:tcPr>
          <w:p w14:paraId="61927824">
            <w:pPr>
              <w:pStyle w:val="160"/>
              <w:autoSpaceDE w:val="0"/>
              <w:autoSpaceDN w:val="0"/>
              <w:rPr>
                <w:szCs w:val="21"/>
              </w:rPr>
            </w:pPr>
            <w:r>
              <w:rPr>
                <w:szCs w:val="21"/>
              </w:rPr>
              <w:t>D3□</w:t>
            </w:r>
          </w:p>
        </w:tc>
      </w:tr>
      <w:tr w14:paraId="60D61D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83" w:hRule="atLeast"/>
        </w:trPr>
        <w:tc>
          <w:tcPr>
            <w:tcW w:w="850" w:type="pct"/>
            <w:gridSpan w:val="2"/>
            <w:vMerge w:val="restart"/>
            <w:tcBorders>
              <w:top w:val="single" w:color="000000" w:sz="4" w:space="0"/>
              <w:left w:val="single" w:color="000000" w:sz="4" w:space="0"/>
              <w:bottom w:val="single" w:color="000000" w:sz="4" w:space="0"/>
              <w:right w:val="single" w:color="000000" w:sz="4" w:space="0"/>
            </w:tcBorders>
            <w:vAlign w:val="center"/>
          </w:tcPr>
          <w:p w14:paraId="6F48E843">
            <w:pPr>
              <w:pStyle w:val="160"/>
              <w:autoSpaceDE w:val="0"/>
              <w:autoSpaceDN w:val="0"/>
              <w:rPr>
                <w:szCs w:val="21"/>
              </w:rPr>
            </w:pPr>
            <w:r>
              <w:rPr>
                <w:szCs w:val="21"/>
              </w:rPr>
              <w:t>物质及工艺</w:t>
            </w:r>
          </w:p>
          <w:p w14:paraId="5B033C5D">
            <w:pPr>
              <w:pStyle w:val="160"/>
              <w:autoSpaceDE w:val="0"/>
              <w:autoSpaceDN w:val="0"/>
              <w:rPr>
                <w:szCs w:val="21"/>
              </w:rPr>
            </w:pPr>
            <w:r>
              <w:rPr>
                <w:szCs w:val="21"/>
              </w:rPr>
              <w:t>系统危险性</w:t>
            </w:r>
          </w:p>
        </w:tc>
        <w:tc>
          <w:tcPr>
            <w:tcW w:w="598" w:type="pct"/>
            <w:tcBorders>
              <w:top w:val="single" w:color="000000" w:sz="4" w:space="0"/>
              <w:left w:val="single" w:color="000000" w:sz="4" w:space="0"/>
              <w:bottom w:val="single" w:color="000000" w:sz="4" w:space="0"/>
              <w:right w:val="single" w:color="000000" w:sz="4" w:space="0"/>
            </w:tcBorders>
            <w:vAlign w:val="center"/>
          </w:tcPr>
          <w:p w14:paraId="262F9686">
            <w:pPr>
              <w:pStyle w:val="160"/>
              <w:autoSpaceDE w:val="0"/>
              <w:autoSpaceDN w:val="0"/>
              <w:rPr>
                <w:szCs w:val="21"/>
              </w:rPr>
            </w:pPr>
            <w:r>
              <w:rPr>
                <w:szCs w:val="21"/>
              </w:rPr>
              <w:t>Q</w:t>
            </w:r>
            <w:r>
              <w:rPr>
                <w:i/>
                <w:szCs w:val="21"/>
              </w:rPr>
              <w:t xml:space="preserve"> </w:t>
            </w:r>
            <w:r>
              <w:rPr>
                <w:szCs w:val="21"/>
              </w:rPr>
              <w:t>值</w:t>
            </w:r>
          </w:p>
        </w:tc>
        <w:tc>
          <w:tcPr>
            <w:tcW w:w="1108" w:type="pct"/>
            <w:gridSpan w:val="2"/>
            <w:tcBorders>
              <w:top w:val="single" w:color="000000" w:sz="4" w:space="0"/>
              <w:left w:val="single" w:color="000000" w:sz="4" w:space="0"/>
              <w:bottom w:val="single" w:color="000000" w:sz="4" w:space="0"/>
              <w:right w:val="single" w:color="000000" w:sz="4" w:space="0"/>
            </w:tcBorders>
            <w:vAlign w:val="center"/>
          </w:tcPr>
          <w:p w14:paraId="0AAE6B40">
            <w:pPr>
              <w:pStyle w:val="160"/>
              <w:autoSpaceDE w:val="0"/>
              <w:autoSpaceDN w:val="0"/>
              <w:rPr>
                <w:szCs w:val="21"/>
              </w:rPr>
            </w:pPr>
            <w:r>
              <w:rPr>
                <w:szCs w:val="21"/>
              </w:rPr>
              <w:t>Q＜1√</w:t>
            </w:r>
          </w:p>
        </w:tc>
        <w:tc>
          <w:tcPr>
            <w:tcW w:w="673" w:type="pct"/>
            <w:tcBorders>
              <w:top w:val="single" w:color="000000" w:sz="4" w:space="0"/>
              <w:left w:val="single" w:color="000000" w:sz="4" w:space="0"/>
              <w:bottom w:val="single" w:color="000000" w:sz="4" w:space="0"/>
              <w:right w:val="single" w:color="000000" w:sz="4" w:space="0"/>
            </w:tcBorders>
            <w:vAlign w:val="center"/>
          </w:tcPr>
          <w:p w14:paraId="60551E2F">
            <w:pPr>
              <w:pStyle w:val="160"/>
              <w:autoSpaceDE w:val="0"/>
              <w:autoSpaceDN w:val="0"/>
              <w:rPr>
                <w:szCs w:val="21"/>
              </w:rPr>
            </w:pPr>
            <w:r>
              <w:rPr>
                <w:szCs w:val="21"/>
              </w:rPr>
              <w:t>1≤Q＜10□</w:t>
            </w:r>
          </w:p>
        </w:tc>
        <w:tc>
          <w:tcPr>
            <w:tcW w:w="925" w:type="pct"/>
            <w:gridSpan w:val="2"/>
            <w:tcBorders>
              <w:top w:val="single" w:color="000000" w:sz="4" w:space="0"/>
              <w:left w:val="single" w:color="000000" w:sz="4" w:space="0"/>
              <w:bottom w:val="single" w:color="000000" w:sz="4" w:space="0"/>
              <w:right w:val="single" w:color="000000" w:sz="4" w:space="0"/>
            </w:tcBorders>
            <w:vAlign w:val="center"/>
          </w:tcPr>
          <w:p w14:paraId="3C73EA29">
            <w:pPr>
              <w:pStyle w:val="160"/>
              <w:autoSpaceDE w:val="0"/>
              <w:autoSpaceDN w:val="0"/>
              <w:rPr>
                <w:szCs w:val="21"/>
              </w:rPr>
            </w:pPr>
            <w:r>
              <w:rPr>
                <w:szCs w:val="21"/>
              </w:rPr>
              <w:t>10≤Q＜100□</w:t>
            </w:r>
          </w:p>
        </w:tc>
        <w:tc>
          <w:tcPr>
            <w:tcW w:w="845" w:type="pct"/>
            <w:tcBorders>
              <w:top w:val="single" w:color="000000" w:sz="4" w:space="0"/>
              <w:left w:val="single" w:color="000000" w:sz="4" w:space="0"/>
              <w:bottom w:val="single" w:color="000000" w:sz="4" w:space="0"/>
            </w:tcBorders>
            <w:vAlign w:val="center"/>
          </w:tcPr>
          <w:p w14:paraId="45EAEEC0">
            <w:pPr>
              <w:pStyle w:val="160"/>
              <w:autoSpaceDE w:val="0"/>
              <w:autoSpaceDN w:val="0"/>
              <w:rPr>
                <w:szCs w:val="21"/>
              </w:rPr>
            </w:pPr>
            <w:r>
              <w:rPr>
                <w:szCs w:val="21"/>
              </w:rPr>
              <w:t>Q＞100□</w:t>
            </w:r>
          </w:p>
        </w:tc>
      </w:tr>
      <w:tr w14:paraId="5DB96B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850" w:type="pct"/>
            <w:gridSpan w:val="2"/>
            <w:vMerge w:val="continue"/>
            <w:tcBorders>
              <w:top w:val="nil"/>
              <w:left w:val="single" w:color="000000" w:sz="4" w:space="0"/>
              <w:bottom w:val="single" w:color="000000" w:sz="4" w:space="0"/>
              <w:right w:val="single" w:color="000000" w:sz="4" w:space="0"/>
            </w:tcBorders>
            <w:vAlign w:val="center"/>
          </w:tcPr>
          <w:p w14:paraId="1123A6BA">
            <w:pPr>
              <w:pStyle w:val="160"/>
              <w:autoSpaceDE w:val="0"/>
              <w:autoSpaceDN w:val="0"/>
              <w:rPr>
                <w:szCs w:val="21"/>
              </w:rPr>
            </w:pPr>
          </w:p>
        </w:tc>
        <w:tc>
          <w:tcPr>
            <w:tcW w:w="598" w:type="pct"/>
            <w:tcBorders>
              <w:top w:val="single" w:color="000000" w:sz="4" w:space="0"/>
              <w:left w:val="single" w:color="000000" w:sz="4" w:space="0"/>
              <w:bottom w:val="single" w:color="000000" w:sz="4" w:space="0"/>
              <w:right w:val="single" w:color="000000" w:sz="4" w:space="0"/>
            </w:tcBorders>
            <w:vAlign w:val="center"/>
          </w:tcPr>
          <w:p w14:paraId="1FBFEE9C">
            <w:pPr>
              <w:pStyle w:val="160"/>
              <w:autoSpaceDE w:val="0"/>
              <w:autoSpaceDN w:val="0"/>
              <w:rPr>
                <w:szCs w:val="21"/>
              </w:rPr>
            </w:pPr>
            <w:r>
              <w:rPr>
                <w:szCs w:val="21"/>
              </w:rPr>
              <w:t>M 值</w:t>
            </w:r>
          </w:p>
        </w:tc>
        <w:tc>
          <w:tcPr>
            <w:tcW w:w="1108" w:type="pct"/>
            <w:gridSpan w:val="2"/>
            <w:tcBorders>
              <w:top w:val="single" w:color="000000" w:sz="4" w:space="0"/>
              <w:left w:val="single" w:color="000000" w:sz="4" w:space="0"/>
              <w:bottom w:val="single" w:color="000000" w:sz="4" w:space="0"/>
              <w:right w:val="single" w:color="000000" w:sz="4" w:space="0"/>
            </w:tcBorders>
            <w:vAlign w:val="center"/>
          </w:tcPr>
          <w:p w14:paraId="2131A3A0">
            <w:pPr>
              <w:pStyle w:val="160"/>
              <w:autoSpaceDE w:val="0"/>
              <w:autoSpaceDN w:val="0"/>
              <w:rPr>
                <w:szCs w:val="21"/>
              </w:rPr>
            </w:pPr>
            <w:r>
              <w:rPr>
                <w:szCs w:val="21"/>
              </w:rPr>
              <w:t>M1□</w:t>
            </w:r>
          </w:p>
        </w:tc>
        <w:tc>
          <w:tcPr>
            <w:tcW w:w="673" w:type="pct"/>
            <w:tcBorders>
              <w:top w:val="single" w:color="000000" w:sz="4" w:space="0"/>
              <w:left w:val="single" w:color="000000" w:sz="4" w:space="0"/>
              <w:bottom w:val="single" w:color="000000" w:sz="4" w:space="0"/>
              <w:right w:val="single" w:color="000000" w:sz="4" w:space="0"/>
            </w:tcBorders>
            <w:vAlign w:val="center"/>
          </w:tcPr>
          <w:p w14:paraId="085EF982">
            <w:pPr>
              <w:pStyle w:val="160"/>
              <w:autoSpaceDE w:val="0"/>
              <w:autoSpaceDN w:val="0"/>
              <w:rPr>
                <w:szCs w:val="21"/>
              </w:rPr>
            </w:pPr>
            <w:r>
              <w:rPr>
                <w:szCs w:val="21"/>
              </w:rPr>
              <w:t>M2□</w:t>
            </w:r>
          </w:p>
        </w:tc>
        <w:tc>
          <w:tcPr>
            <w:tcW w:w="925" w:type="pct"/>
            <w:gridSpan w:val="2"/>
            <w:tcBorders>
              <w:top w:val="single" w:color="000000" w:sz="4" w:space="0"/>
              <w:left w:val="single" w:color="000000" w:sz="4" w:space="0"/>
              <w:bottom w:val="single" w:color="000000" w:sz="4" w:space="0"/>
              <w:right w:val="single" w:color="000000" w:sz="4" w:space="0"/>
            </w:tcBorders>
            <w:vAlign w:val="center"/>
          </w:tcPr>
          <w:p w14:paraId="3E96B589">
            <w:pPr>
              <w:pStyle w:val="160"/>
              <w:autoSpaceDE w:val="0"/>
              <w:autoSpaceDN w:val="0"/>
              <w:rPr>
                <w:szCs w:val="21"/>
              </w:rPr>
            </w:pPr>
            <w:r>
              <w:rPr>
                <w:szCs w:val="21"/>
              </w:rPr>
              <w:t>M3□</w:t>
            </w:r>
          </w:p>
        </w:tc>
        <w:tc>
          <w:tcPr>
            <w:tcW w:w="845" w:type="pct"/>
            <w:tcBorders>
              <w:top w:val="single" w:color="000000" w:sz="4" w:space="0"/>
              <w:left w:val="single" w:color="000000" w:sz="4" w:space="0"/>
              <w:bottom w:val="single" w:color="000000" w:sz="4" w:space="0"/>
            </w:tcBorders>
            <w:vAlign w:val="center"/>
          </w:tcPr>
          <w:p w14:paraId="36BF2349">
            <w:pPr>
              <w:pStyle w:val="160"/>
              <w:autoSpaceDE w:val="0"/>
              <w:autoSpaceDN w:val="0"/>
              <w:rPr>
                <w:szCs w:val="21"/>
              </w:rPr>
            </w:pPr>
            <w:r>
              <w:rPr>
                <w:szCs w:val="21"/>
              </w:rPr>
              <w:t>M4□</w:t>
            </w:r>
          </w:p>
        </w:tc>
      </w:tr>
      <w:tr w14:paraId="68F33C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850" w:type="pct"/>
            <w:gridSpan w:val="2"/>
            <w:vMerge w:val="continue"/>
            <w:tcBorders>
              <w:top w:val="nil"/>
              <w:left w:val="single" w:color="000000" w:sz="4" w:space="0"/>
              <w:bottom w:val="single" w:color="000000" w:sz="4" w:space="0"/>
              <w:right w:val="single" w:color="000000" w:sz="4" w:space="0"/>
            </w:tcBorders>
            <w:vAlign w:val="center"/>
          </w:tcPr>
          <w:p w14:paraId="2D519E60">
            <w:pPr>
              <w:pStyle w:val="160"/>
              <w:autoSpaceDE w:val="0"/>
              <w:autoSpaceDN w:val="0"/>
              <w:rPr>
                <w:szCs w:val="21"/>
              </w:rPr>
            </w:pPr>
          </w:p>
        </w:tc>
        <w:tc>
          <w:tcPr>
            <w:tcW w:w="598" w:type="pct"/>
            <w:tcBorders>
              <w:top w:val="single" w:color="000000" w:sz="4" w:space="0"/>
              <w:left w:val="single" w:color="000000" w:sz="4" w:space="0"/>
              <w:bottom w:val="single" w:color="000000" w:sz="4" w:space="0"/>
              <w:right w:val="single" w:color="000000" w:sz="4" w:space="0"/>
            </w:tcBorders>
            <w:vAlign w:val="center"/>
          </w:tcPr>
          <w:p w14:paraId="2F359A79">
            <w:pPr>
              <w:pStyle w:val="160"/>
              <w:autoSpaceDE w:val="0"/>
              <w:autoSpaceDN w:val="0"/>
              <w:rPr>
                <w:szCs w:val="21"/>
              </w:rPr>
            </w:pPr>
            <w:r>
              <w:rPr>
                <w:szCs w:val="21"/>
              </w:rPr>
              <w:t>P 值</w:t>
            </w:r>
          </w:p>
        </w:tc>
        <w:tc>
          <w:tcPr>
            <w:tcW w:w="1108" w:type="pct"/>
            <w:gridSpan w:val="2"/>
            <w:tcBorders>
              <w:top w:val="single" w:color="000000" w:sz="4" w:space="0"/>
              <w:left w:val="single" w:color="000000" w:sz="4" w:space="0"/>
              <w:bottom w:val="single" w:color="000000" w:sz="4" w:space="0"/>
              <w:right w:val="single" w:color="000000" w:sz="4" w:space="0"/>
            </w:tcBorders>
            <w:vAlign w:val="center"/>
          </w:tcPr>
          <w:p w14:paraId="3673E661">
            <w:pPr>
              <w:pStyle w:val="160"/>
              <w:autoSpaceDE w:val="0"/>
              <w:autoSpaceDN w:val="0"/>
              <w:rPr>
                <w:szCs w:val="21"/>
              </w:rPr>
            </w:pPr>
            <w:r>
              <w:rPr>
                <w:szCs w:val="21"/>
              </w:rPr>
              <w:t>P1□</w:t>
            </w:r>
          </w:p>
        </w:tc>
        <w:tc>
          <w:tcPr>
            <w:tcW w:w="673" w:type="pct"/>
            <w:tcBorders>
              <w:top w:val="single" w:color="000000" w:sz="4" w:space="0"/>
              <w:left w:val="single" w:color="000000" w:sz="4" w:space="0"/>
              <w:bottom w:val="single" w:color="000000" w:sz="4" w:space="0"/>
              <w:right w:val="single" w:color="000000" w:sz="4" w:space="0"/>
            </w:tcBorders>
            <w:vAlign w:val="center"/>
          </w:tcPr>
          <w:p w14:paraId="1759E996">
            <w:pPr>
              <w:pStyle w:val="160"/>
              <w:autoSpaceDE w:val="0"/>
              <w:autoSpaceDN w:val="0"/>
              <w:rPr>
                <w:szCs w:val="21"/>
              </w:rPr>
            </w:pPr>
            <w:r>
              <w:rPr>
                <w:szCs w:val="21"/>
              </w:rPr>
              <w:t>P2□</w:t>
            </w:r>
          </w:p>
        </w:tc>
        <w:tc>
          <w:tcPr>
            <w:tcW w:w="925" w:type="pct"/>
            <w:gridSpan w:val="2"/>
            <w:tcBorders>
              <w:top w:val="single" w:color="000000" w:sz="4" w:space="0"/>
              <w:left w:val="single" w:color="000000" w:sz="4" w:space="0"/>
              <w:bottom w:val="single" w:color="000000" w:sz="4" w:space="0"/>
              <w:right w:val="single" w:color="000000" w:sz="4" w:space="0"/>
            </w:tcBorders>
            <w:vAlign w:val="center"/>
          </w:tcPr>
          <w:p w14:paraId="6F62EADE">
            <w:pPr>
              <w:pStyle w:val="160"/>
              <w:autoSpaceDE w:val="0"/>
              <w:autoSpaceDN w:val="0"/>
              <w:rPr>
                <w:szCs w:val="21"/>
              </w:rPr>
            </w:pPr>
            <w:r>
              <w:rPr>
                <w:szCs w:val="21"/>
              </w:rPr>
              <w:t>P3□</w:t>
            </w:r>
          </w:p>
        </w:tc>
        <w:tc>
          <w:tcPr>
            <w:tcW w:w="845" w:type="pct"/>
            <w:tcBorders>
              <w:top w:val="single" w:color="000000" w:sz="4" w:space="0"/>
              <w:left w:val="single" w:color="000000" w:sz="4" w:space="0"/>
              <w:bottom w:val="single" w:color="000000" w:sz="4" w:space="0"/>
            </w:tcBorders>
            <w:vAlign w:val="center"/>
          </w:tcPr>
          <w:p w14:paraId="40D93C83">
            <w:pPr>
              <w:pStyle w:val="160"/>
              <w:autoSpaceDE w:val="0"/>
              <w:autoSpaceDN w:val="0"/>
              <w:rPr>
                <w:szCs w:val="21"/>
              </w:rPr>
            </w:pPr>
            <w:r>
              <w:rPr>
                <w:szCs w:val="21"/>
              </w:rPr>
              <w:t>P4□</w:t>
            </w:r>
          </w:p>
        </w:tc>
      </w:tr>
      <w:tr w14:paraId="1441CC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83" w:hRule="atLeast"/>
        </w:trPr>
        <w:tc>
          <w:tcPr>
            <w:tcW w:w="850" w:type="pct"/>
            <w:gridSpan w:val="2"/>
            <w:vMerge w:val="restart"/>
            <w:tcBorders>
              <w:top w:val="single" w:color="000000" w:sz="4" w:space="0"/>
              <w:left w:val="single" w:color="000000" w:sz="4" w:space="0"/>
              <w:bottom w:val="single" w:color="000000" w:sz="4" w:space="0"/>
              <w:right w:val="single" w:color="000000" w:sz="4" w:space="0"/>
            </w:tcBorders>
            <w:vAlign w:val="center"/>
          </w:tcPr>
          <w:p w14:paraId="566FEAFF">
            <w:pPr>
              <w:pStyle w:val="160"/>
              <w:autoSpaceDE w:val="0"/>
              <w:autoSpaceDN w:val="0"/>
              <w:rPr>
                <w:szCs w:val="21"/>
              </w:rPr>
            </w:pPr>
            <w:r>
              <w:rPr>
                <w:szCs w:val="21"/>
              </w:rPr>
              <w:t>环境敏感程度</w:t>
            </w:r>
          </w:p>
        </w:tc>
        <w:tc>
          <w:tcPr>
            <w:tcW w:w="598" w:type="pct"/>
            <w:tcBorders>
              <w:top w:val="single" w:color="000000" w:sz="4" w:space="0"/>
              <w:left w:val="single" w:color="000000" w:sz="4" w:space="0"/>
              <w:bottom w:val="single" w:color="000000" w:sz="4" w:space="0"/>
              <w:right w:val="single" w:color="000000" w:sz="4" w:space="0"/>
            </w:tcBorders>
            <w:vAlign w:val="center"/>
          </w:tcPr>
          <w:p w14:paraId="1E971BC5">
            <w:pPr>
              <w:pStyle w:val="160"/>
              <w:autoSpaceDE w:val="0"/>
              <w:autoSpaceDN w:val="0"/>
              <w:rPr>
                <w:szCs w:val="21"/>
              </w:rPr>
            </w:pPr>
            <w:r>
              <w:rPr>
                <w:szCs w:val="21"/>
              </w:rPr>
              <w:t>大气</w:t>
            </w:r>
          </w:p>
        </w:tc>
        <w:tc>
          <w:tcPr>
            <w:tcW w:w="1108" w:type="pct"/>
            <w:gridSpan w:val="2"/>
            <w:tcBorders>
              <w:top w:val="single" w:color="000000" w:sz="4" w:space="0"/>
              <w:left w:val="single" w:color="000000" w:sz="4" w:space="0"/>
              <w:bottom w:val="single" w:color="000000" w:sz="4" w:space="0"/>
              <w:right w:val="single" w:color="000000" w:sz="4" w:space="0"/>
            </w:tcBorders>
            <w:vAlign w:val="center"/>
          </w:tcPr>
          <w:p w14:paraId="261113F5">
            <w:pPr>
              <w:pStyle w:val="160"/>
              <w:autoSpaceDE w:val="0"/>
              <w:autoSpaceDN w:val="0"/>
              <w:rPr>
                <w:szCs w:val="21"/>
              </w:rPr>
            </w:pPr>
            <w:r>
              <w:rPr>
                <w:szCs w:val="21"/>
              </w:rPr>
              <w:t>E1□</w:t>
            </w:r>
          </w:p>
        </w:tc>
        <w:tc>
          <w:tcPr>
            <w:tcW w:w="1072" w:type="pct"/>
            <w:gridSpan w:val="2"/>
            <w:tcBorders>
              <w:top w:val="single" w:color="000000" w:sz="4" w:space="0"/>
              <w:left w:val="single" w:color="000000" w:sz="4" w:space="0"/>
              <w:bottom w:val="single" w:color="000000" w:sz="4" w:space="0"/>
              <w:right w:val="single" w:color="000000" w:sz="4" w:space="0"/>
            </w:tcBorders>
            <w:vAlign w:val="center"/>
          </w:tcPr>
          <w:p w14:paraId="78376B1A">
            <w:pPr>
              <w:pStyle w:val="160"/>
              <w:autoSpaceDE w:val="0"/>
              <w:autoSpaceDN w:val="0"/>
              <w:rPr>
                <w:szCs w:val="21"/>
              </w:rPr>
            </w:pPr>
            <w:r>
              <w:rPr>
                <w:szCs w:val="21"/>
              </w:rPr>
              <w:t>E2□</w:t>
            </w:r>
          </w:p>
        </w:tc>
        <w:tc>
          <w:tcPr>
            <w:tcW w:w="1371" w:type="pct"/>
            <w:gridSpan w:val="2"/>
            <w:tcBorders>
              <w:top w:val="single" w:color="000000" w:sz="4" w:space="0"/>
              <w:left w:val="single" w:color="000000" w:sz="4" w:space="0"/>
              <w:bottom w:val="single" w:color="000000" w:sz="4" w:space="0"/>
            </w:tcBorders>
            <w:vAlign w:val="center"/>
          </w:tcPr>
          <w:p w14:paraId="0114C121">
            <w:pPr>
              <w:pStyle w:val="160"/>
              <w:autoSpaceDE w:val="0"/>
              <w:autoSpaceDN w:val="0"/>
              <w:rPr>
                <w:szCs w:val="21"/>
              </w:rPr>
            </w:pPr>
            <w:r>
              <w:rPr>
                <w:szCs w:val="21"/>
              </w:rPr>
              <w:t>E3□</w:t>
            </w:r>
          </w:p>
        </w:tc>
      </w:tr>
      <w:tr w14:paraId="358A14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83" w:hRule="atLeast"/>
        </w:trPr>
        <w:tc>
          <w:tcPr>
            <w:tcW w:w="850" w:type="pct"/>
            <w:gridSpan w:val="2"/>
            <w:vMerge w:val="continue"/>
            <w:tcBorders>
              <w:top w:val="nil"/>
              <w:left w:val="single" w:color="000000" w:sz="4" w:space="0"/>
              <w:bottom w:val="single" w:color="000000" w:sz="4" w:space="0"/>
              <w:right w:val="single" w:color="000000" w:sz="4" w:space="0"/>
            </w:tcBorders>
            <w:vAlign w:val="center"/>
          </w:tcPr>
          <w:p w14:paraId="3B3E105A">
            <w:pPr>
              <w:pStyle w:val="160"/>
              <w:autoSpaceDE w:val="0"/>
              <w:autoSpaceDN w:val="0"/>
              <w:rPr>
                <w:szCs w:val="21"/>
              </w:rPr>
            </w:pPr>
          </w:p>
        </w:tc>
        <w:tc>
          <w:tcPr>
            <w:tcW w:w="598" w:type="pct"/>
            <w:tcBorders>
              <w:top w:val="single" w:color="000000" w:sz="4" w:space="0"/>
              <w:left w:val="single" w:color="000000" w:sz="4" w:space="0"/>
              <w:bottom w:val="single" w:color="000000" w:sz="4" w:space="0"/>
              <w:right w:val="single" w:color="000000" w:sz="4" w:space="0"/>
            </w:tcBorders>
            <w:vAlign w:val="center"/>
          </w:tcPr>
          <w:p w14:paraId="570614D0">
            <w:pPr>
              <w:pStyle w:val="160"/>
              <w:autoSpaceDE w:val="0"/>
              <w:autoSpaceDN w:val="0"/>
              <w:rPr>
                <w:szCs w:val="21"/>
              </w:rPr>
            </w:pPr>
            <w:r>
              <w:rPr>
                <w:szCs w:val="21"/>
              </w:rPr>
              <w:t>地表水</w:t>
            </w:r>
          </w:p>
        </w:tc>
        <w:tc>
          <w:tcPr>
            <w:tcW w:w="1108" w:type="pct"/>
            <w:gridSpan w:val="2"/>
            <w:tcBorders>
              <w:top w:val="single" w:color="000000" w:sz="4" w:space="0"/>
              <w:left w:val="single" w:color="000000" w:sz="4" w:space="0"/>
              <w:bottom w:val="single" w:color="000000" w:sz="4" w:space="0"/>
              <w:right w:val="single" w:color="000000" w:sz="4" w:space="0"/>
            </w:tcBorders>
            <w:vAlign w:val="center"/>
          </w:tcPr>
          <w:p w14:paraId="1F595611">
            <w:pPr>
              <w:pStyle w:val="160"/>
              <w:autoSpaceDE w:val="0"/>
              <w:autoSpaceDN w:val="0"/>
              <w:rPr>
                <w:szCs w:val="21"/>
              </w:rPr>
            </w:pPr>
            <w:r>
              <w:rPr>
                <w:szCs w:val="21"/>
              </w:rPr>
              <w:t>E1□</w:t>
            </w:r>
          </w:p>
        </w:tc>
        <w:tc>
          <w:tcPr>
            <w:tcW w:w="1072" w:type="pct"/>
            <w:gridSpan w:val="2"/>
            <w:tcBorders>
              <w:top w:val="single" w:color="000000" w:sz="4" w:space="0"/>
              <w:left w:val="single" w:color="000000" w:sz="4" w:space="0"/>
              <w:bottom w:val="single" w:color="000000" w:sz="4" w:space="0"/>
              <w:right w:val="single" w:color="000000" w:sz="4" w:space="0"/>
            </w:tcBorders>
            <w:vAlign w:val="center"/>
          </w:tcPr>
          <w:p w14:paraId="4147903C">
            <w:pPr>
              <w:pStyle w:val="160"/>
              <w:autoSpaceDE w:val="0"/>
              <w:autoSpaceDN w:val="0"/>
              <w:rPr>
                <w:szCs w:val="21"/>
              </w:rPr>
            </w:pPr>
            <w:r>
              <w:rPr>
                <w:szCs w:val="21"/>
              </w:rPr>
              <w:t>E2□</w:t>
            </w:r>
          </w:p>
        </w:tc>
        <w:tc>
          <w:tcPr>
            <w:tcW w:w="1371" w:type="pct"/>
            <w:gridSpan w:val="2"/>
            <w:tcBorders>
              <w:top w:val="single" w:color="000000" w:sz="4" w:space="0"/>
              <w:left w:val="single" w:color="000000" w:sz="4" w:space="0"/>
              <w:bottom w:val="single" w:color="000000" w:sz="4" w:space="0"/>
            </w:tcBorders>
            <w:vAlign w:val="center"/>
          </w:tcPr>
          <w:p w14:paraId="71752144">
            <w:pPr>
              <w:pStyle w:val="160"/>
              <w:autoSpaceDE w:val="0"/>
              <w:autoSpaceDN w:val="0"/>
              <w:rPr>
                <w:szCs w:val="21"/>
              </w:rPr>
            </w:pPr>
            <w:r>
              <w:rPr>
                <w:szCs w:val="21"/>
              </w:rPr>
              <w:t>E3□</w:t>
            </w:r>
          </w:p>
        </w:tc>
      </w:tr>
      <w:tr w14:paraId="187993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83" w:hRule="atLeast"/>
        </w:trPr>
        <w:tc>
          <w:tcPr>
            <w:tcW w:w="850" w:type="pct"/>
            <w:gridSpan w:val="2"/>
            <w:vMerge w:val="continue"/>
            <w:tcBorders>
              <w:top w:val="nil"/>
              <w:left w:val="single" w:color="000000" w:sz="4" w:space="0"/>
              <w:bottom w:val="single" w:color="000000" w:sz="4" w:space="0"/>
              <w:right w:val="single" w:color="000000" w:sz="4" w:space="0"/>
            </w:tcBorders>
            <w:vAlign w:val="center"/>
          </w:tcPr>
          <w:p w14:paraId="0D4FDA3A">
            <w:pPr>
              <w:pStyle w:val="160"/>
              <w:autoSpaceDE w:val="0"/>
              <w:autoSpaceDN w:val="0"/>
              <w:rPr>
                <w:szCs w:val="21"/>
              </w:rPr>
            </w:pPr>
          </w:p>
        </w:tc>
        <w:tc>
          <w:tcPr>
            <w:tcW w:w="598" w:type="pct"/>
            <w:tcBorders>
              <w:top w:val="single" w:color="000000" w:sz="4" w:space="0"/>
              <w:left w:val="single" w:color="000000" w:sz="4" w:space="0"/>
              <w:bottom w:val="single" w:color="000000" w:sz="4" w:space="0"/>
              <w:right w:val="single" w:color="000000" w:sz="4" w:space="0"/>
            </w:tcBorders>
            <w:vAlign w:val="center"/>
          </w:tcPr>
          <w:p w14:paraId="4B73986B">
            <w:pPr>
              <w:pStyle w:val="160"/>
              <w:autoSpaceDE w:val="0"/>
              <w:autoSpaceDN w:val="0"/>
              <w:rPr>
                <w:szCs w:val="21"/>
              </w:rPr>
            </w:pPr>
            <w:r>
              <w:rPr>
                <w:szCs w:val="21"/>
              </w:rPr>
              <w:t>地下水</w:t>
            </w:r>
          </w:p>
        </w:tc>
        <w:tc>
          <w:tcPr>
            <w:tcW w:w="1108" w:type="pct"/>
            <w:gridSpan w:val="2"/>
            <w:tcBorders>
              <w:top w:val="single" w:color="000000" w:sz="4" w:space="0"/>
              <w:left w:val="single" w:color="000000" w:sz="4" w:space="0"/>
              <w:bottom w:val="single" w:color="000000" w:sz="4" w:space="0"/>
              <w:right w:val="single" w:color="000000" w:sz="4" w:space="0"/>
            </w:tcBorders>
            <w:vAlign w:val="center"/>
          </w:tcPr>
          <w:p w14:paraId="2CAB274D">
            <w:pPr>
              <w:pStyle w:val="160"/>
              <w:autoSpaceDE w:val="0"/>
              <w:autoSpaceDN w:val="0"/>
              <w:rPr>
                <w:szCs w:val="21"/>
              </w:rPr>
            </w:pPr>
            <w:r>
              <w:rPr>
                <w:szCs w:val="21"/>
              </w:rPr>
              <w:t>E1□</w:t>
            </w:r>
          </w:p>
        </w:tc>
        <w:tc>
          <w:tcPr>
            <w:tcW w:w="1072" w:type="pct"/>
            <w:gridSpan w:val="2"/>
            <w:tcBorders>
              <w:top w:val="single" w:color="000000" w:sz="4" w:space="0"/>
              <w:left w:val="single" w:color="000000" w:sz="4" w:space="0"/>
              <w:bottom w:val="single" w:color="000000" w:sz="4" w:space="0"/>
              <w:right w:val="single" w:color="000000" w:sz="4" w:space="0"/>
            </w:tcBorders>
            <w:vAlign w:val="center"/>
          </w:tcPr>
          <w:p w14:paraId="3D0F7410">
            <w:pPr>
              <w:pStyle w:val="160"/>
              <w:autoSpaceDE w:val="0"/>
              <w:autoSpaceDN w:val="0"/>
              <w:rPr>
                <w:szCs w:val="21"/>
              </w:rPr>
            </w:pPr>
            <w:r>
              <w:rPr>
                <w:szCs w:val="21"/>
              </w:rPr>
              <w:t>E2□</w:t>
            </w:r>
          </w:p>
        </w:tc>
        <w:tc>
          <w:tcPr>
            <w:tcW w:w="1371" w:type="pct"/>
            <w:gridSpan w:val="2"/>
            <w:tcBorders>
              <w:top w:val="single" w:color="000000" w:sz="4" w:space="0"/>
              <w:left w:val="single" w:color="000000" w:sz="4" w:space="0"/>
              <w:bottom w:val="single" w:color="000000" w:sz="4" w:space="0"/>
            </w:tcBorders>
            <w:vAlign w:val="center"/>
          </w:tcPr>
          <w:p w14:paraId="14E46168">
            <w:pPr>
              <w:pStyle w:val="160"/>
              <w:autoSpaceDE w:val="0"/>
              <w:autoSpaceDN w:val="0"/>
              <w:rPr>
                <w:szCs w:val="21"/>
              </w:rPr>
            </w:pPr>
            <w:r>
              <w:rPr>
                <w:szCs w:val="21"/>
              </w:rPr>
              <w:t>E3□</w:t>
            </w:r>
          </w:p>
        </w:tc>
      </w:tr>
      <w:tr w14:paraId="48EE6A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83" w:hRule="atLeast"/>
        </w:trPr>
        <w:tc>
          <w:tcPr>
            <w:tcW w:w="850" w:type="pct"/>
            <w:gridSpan w:val="2"/>
            <w:tcBorders>
              <w:top w:val="single" w:color="000000" w:sz="4" w:space="0"/>
              <w:left w:val="single" w:color="000000" w:sz="4" w:space="0"/>
              <w:bottom w:val="single" w:color="000000" w:sz="4" w:space="0"/>
              <w:right w:val="single" w:color="000000" w:sz="4" w:space="0"/>
            </w:tcBorders>
            <w:vAlign w:val="center"/>
          </w:tcPr>
          <w:p w14:paraId="0B11AD47">
            <w:pPr>
              <w:pStyle w:val="160"/>
              <w:autoSpaceDE w:val="0"/>
              <w:autoSpaceDN w:val="0"/>
              <w:rPr>
                <w:szCs w:val="21"/>
              </w:rPr>
            </w:pPr>
            <w:r>
              <w:rPr>
                <w:szCs w:val="21"/>
              </w:rPr>
              <w:t>环境风险潜势</w:t>
            </w:r>
          </w:p>
        </w:tc>
        <w:tc>
          <w:tcPr>
            <w:tcW w:w="816" w:type="pct"/>
            <w:gridSpan w:val="2"/>
            <w:tcBorders>
              <w:top w:val="single" w:color="000000" w:sz="4" w:space="0"/>
              <w:left w:val="single" w:color="000000" w:sz="4" w:space="0"/>
              <w:bottom w:val="single" w:color="000000" w:sz="4" w:space="0"/>
              <w:right w:val="single" w:color="000000" w:sz="4" w:space="0"/>
            </w:tcBorders>
            <w:vAlign w:val="center"/>
          </w:tcPr>
          <w:p w14:paraId="40313FC7">
            <w:pPr>
              <w:pStyle w:val="160"/>
              <w:autoSpaceDE w:val="0"/>
              <w:autoSpaceDN w:val="0"/>
              <w:rPr>
                <w:szCs w:val="21"/>
              </w:rPr>
            </w:pPr>
            <w:r>
              <w:rPr>
                <w:szCs w:val="21"/>
              </w:rPr>
              <w:t>Ⅳ</w:t>
            </w:r>
            <w:r>
              <w:rPr>
                <w:szCs w:val="21"/>
                <w:vertAlign w:val="superscript"/>
              </w:rPr>
              <w:t>+</w:t>
            </w:r>
            <w:r>
              <w:rPr>
                <w:szCs w:val="21"/>
              </w:rPr>
              <w:t>□</w:t>
            </w:r>
          </w:p>
        </w:tc>
        <w:tc>
          <w:tcPr>
            <w:tcW w:w="890" w:type="pct"/>
            <w:tcBorders>
              <w:top w:val="single" w:color="000000" w:sz="4" w:space="0"/>
              <w:left w:val="single" w:color="000000" w:sz="4" w:space="0"/>
              <w:bottom w:val="single" w:color="000000" w:sz="4" w:space="0"/>
              <w:right w:val="single" w:color="000000" w:sz="4" w:space="0"/>
            </w:tcBorders>
            <w:vAlign w:val="center"/>
          </w:tcPr>
          <w:p w14:paraId="3C689DF8">
            <w:pPr>
              <w:pStyle w:val="160"/>
              <w:autoSpaceDE w:val="0"/>
              <w:autoSpaceDN w:val="0"/>
              <w:rPr>
                <w:szCs w:val="21"/>
              </w:rPr>
            </w:pPr>
            <w:r>
              <w:rPr>
                <w:szCs w:val="21"/>
              </w:rPr>
              <w:t>Ⅳ□</w:t>
            </w:r>
          </w:p>
        </w:tc>
        <w:tc>
          <w:tcPr>
            <w:tcW w:w="673" w:type="pct"/>
            <w:tcBorders>
              <w:top w:val="single" w:color="000000" w:sz="4" w:space="0"/>
              <w:left w:val="single" w:color="000000" w:sz="4" w:space="0"/>
              <w:bottom w:val="single" w:color="000000" w:sz="4" w:space="0"/>
              <w:right w:val="single" w:color="000000" w:sz="4" w:space="0"/>
            </w:tcBorders>
            <w:vAlign w:val="center"/>
          </w:tcPr>
          <w:p w14:paraId="1481036B">
            <w:pPr>
              <w:pStyle w:val="160"/>
              <w:autoSpaceDE w:val="0"/>
              <w:autoSpaceDN w:val="0"/>
              <w:rPr>
                <w:szCs w:val="21"/>
              </w:rPr>
            </w:pPr>
            <w:r>
              <w:rPr>
                <w:szCs w:val="21"/>
              </w:rPr>
              <w:t>Ⅲ□</w:t>
            </w:r>
          </w:p>
        </w:tc>
        <w:tc>
          <w:tcPr>
            <w:tcW w:w="925" w:type="pct"/>
            <w:gridSpan w:val="2"/>
            <w:tcBorders>
              <w:top w:val="single" w:color="000000" w:sz="4" w:space="0"/>
              <w:left w:val="single" w:color="000000" w:sz="4" w:space="0"/>
              <w:bottom w:val="single" w:color="000000" w:sz="4" w:space="0"/>
              <w:right w:val="single" w:color="000000" w:sz="4" w:space="0"/>
            </w:tcBorders>
            <w:vAlign w:val="center"/>
          </w:tcPr>
          <w:p w14:paraId="346CEEEC">
            <w:pPr>
              <w:pStyle w:val="160"/>
              <w:autoSpaceDE w:val="0"/>
              <w:autoSpaceDN w:val="0"/>
              <w:rPr>
                <w:szCs w:val="21"/>
              </w:rPr>
            </w:pPr>
            <w:r>
              <w:rPr>
                <w:szCs w:val="21"/>
              </w:rPr>
              <w:t>Ⅱ□</w:t>
            </w:r>
          </w:p>
        </w:tc>
        <w:tc>
          <w:tcPr>
            <w:tcW w:w="845" w:type="pct"/>
            <w:tcBorders>
              <w:top w:val="single" w:color="000000" w:sz="4" w:space="0"/>
              <w:left w:val="single" w:color="000000" w:sz="4" w:space="0"/>
              <w:bottom w:val="single" w:color="000000" w:sz="4" w:space="0"/>
            </w:tcBorders>
            <w:vAlign w:val="center"/>
          </w:tcPr>
          <w:p w14:paraId="52169F69">
            <w:pPr>
              <w:pStyle w:val="160"/>
              <w:autoSpaceDE w:val="0"/>
              <w:autoSpaceDN w:val="0"/>
              <w:rPr>
                <w:szCs w:val="21"/>
              </w:rPr>
            </w:pPr>
            <w:r>
              <w:rPr>
                <w:szCs w:val="21"/>
              </w:rPr>
              <w:t>I√</w:t>
            </w:r>
          </w:p>
        </w:tc>
      </w:tr>
      <w:tr w14:paraId="02966D3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83" w:hRule="atLeast"/>
        </w:trPr>
        <w:tc>
          <w:tcPr>
            <w:tcW w:w="850" w:type="pct"/>
            <w:gridSpan w:val="2"/>
            <w:tcBorders>
              <w:top w:val="single" w:color="000000" w:sz="4" w:space="0"/>
              <w:bottom w:val="single" w:color="000000" w:sz="4" w:space="0"/>
              <w:right w:val="single" w:color="000000" w:sz="4" w:space="0"/>
            </w:tcBorders>
            <w:vAlign w:val="center"/>
          </w:tcPr>
          <w:p w14:paraId="7D792EF4">
            <w:pPr>
              <w:pStyle w:val="160"/>
              <w:autoSpaceDE w:val="0"/>
              <w:autoSpaceDN w:val="0"/>
              <w:rPr>
                <w:szCs w:val="21"/>
              </w:rPr>
            </w:pPr>
            <w:r>
              <w:rPr>
                <w:szCs w:val="21"/>
              </w:rPr>
              <w:t>评价等级</w:t>
            </w:r>
          </w:p>
        </w:tc>
        <w:tc>
          <w:tcPr>
            <w:tcW w:w="1706" w:type="pct"/>
            <w:gridSpan w:val="3"/>
            <w:tcBorders>
              <w:top w:val="single" w:color="000000" w:sz="4" w:space="0"/>
              <w:left w:val="single" w:color="000000" w:sz="4" w:space="0"/>
              <w:bottom w:val="single" w:color="000000" w:sz="4" w:space="0"/>
              <w:right w:val="single" w:color="000000" w:sz="4" w:space="0"/>
            </w:tcBorders>
            <w:vAlign w:val="center"/>
          </w:tcPr>
          <w:p w14:paraId="2D0B4126">
            <w:pPr>
              <w:pStyle w:val="160"/>
              <w:autoSpaceDE w:val="0"/>
              <w:autoSpaceDN w:val="0"/>
              <w:rPr>
                <w:szCs w:val="21"/>
              </w:rPr>
            </w:pPr>
            <w:r>
              <w:rPr>
                <w:szCs w:val="21"/>
              </w:rPr>
              <w:t>一级□</w:t>
            </w:r>
          </w:p>
        </w:tc>
        <w:tc>
          <w:tcPr>
            <w:tcW w:w="673" w:type="pct"/>
            <w:tcBorders>
              <w:top w:val="single" w:color="000000" w:sz="4" w:space="0"/>
              <w:left w:val="single" w:color="000000" w:sz="4" w:space="0"/>
              <w:bottom w:val="single" w:color="000000" w:sz="4" w:space="0"/>
              <w:right w:val="single" w:color="000000" w:sz="4" w:space="0"/>
            </w:tcBorders>
            <w:vAlign w:val="center"/>
          </w:tcPr>
          <w:p w14:paraId="23CF280C">
            <w:pPr>
              <w:pStyle w:val="160"/>
              <w:autoSpaceDE w:val="0"/>
              <w:autoSpaceDN w:val="0"/>
              <w:rPr>
                <w:szCs w:val="21"/>
              </w:rPr>
            </w:pPr>
            <w:r>
              <w:rPr>
                <w:szCs w:val="21"/>
              </w:rPr>
              <w:t>二级□</w:t>
            </w:r>
          </w:p>
        </w:tc>
        <w:tc>
          <w:tcPr>
            <w:tcW w:w="925" w:type="pct"/>
            <w:gridSpan w:val="2"/>
            <w:tcBorders>
              <w:top w:val="single" w:color="000000" w:sz="4" w:space="0"/>
              <w:left w:val="single" w:color="000000" w:sz="4" w:space="0"/>
              <w:bottom w:val="single" w:color="000000" w:sz="4" w:space="0"/>
              <w:right w:val="single" w:color="000000" w:sz="4" w:space="0"/>
            </w:tcBorders>
            <w:vAlign w:val="center"/>
          </w:tcPr>
          <w:p w14:paraId="5D4014A5">
            <w:pPr>
              <w:pStyle w:val="160"/>
              <w:autoSpaceDE w:val="0"/>
              <w:autoSpaceDN w:val="0"/>
              <w:rPr>
                <w:szCs w:val="21"/>
              </w:rPr>
            </w:pPr>
            <w:r>
              <w:rPr>
                <w:szCs w:val="21"/>
              </w:rPr>
              <w:t>三级□</w:t>
            </w:r>
          </w:p>
        </w:tc>
        <w:tc>
          <w:tcPr>
            <w:tcW w:w="845" w:type="pct"/>
            <w:tcBorders>
              <w:top w:val="single" w:color="000000" w:sz="4" w:space="0"/>
              <w:left w:val="single" w:color="000000" w:sz="4" w:space="0"/>
              <w:bottom w:val="single" w:color="000000" w:sz="4" w:space="0"/>
            </w:tcBorders>
            <w:vAlign w:val="center"/>
          </w:tcPr>
          <w:p w14:paraId="7E64F84C">
            <w:pPr>
              <w:pStyle w:val="160"/>
              <w:autoSpaceDE w:val="0"/>
              <w:autoSpaceDN w:val="0"/>
              <w:rPr>
                <w:szCs w:val="21"/>
              </w:rPr>
            </w:pPr>
            <w:r>
              <w:rPr>
                <w:szCs w:val="21"/>
              </w:rPr>
              <w:t>简单分析√</w:t>
            </w:r>
          </w:p>
        </w:tc>
      </w:tr>
      <w:tr w14:paraId="77E3EF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235" w:type="pct"/>
            <w:vMerge w:val="restart"/>
            <w:tcBorders>
              <w:top w:val="single" w:color="000000" w:sz="4" w:space="0"/>
              <w:bottom w:val="single" w:color="000000" w:sz="4" w:space="0"/>
              <w:right w:val="single" w:color="000000" w:sz="4" w:space="0"/>
            </w:tcBorders>
            <w:vAlign w:val="center"/>
          </w:tcPr>
          <w:p w14:paraId="5FE82574">
            <w:pPr>
              <w:pStyle w:val="160"/>
              <w:autoSpaceDE w:val="0"/>
              <w:autoSpaceDN w:val="0"/>
              <w:rPr>
                <w:szCs w:val="21"/>
              </w:rPr>
            </w:pPr>
            <w:r>
              <w:rPr>
                <w:szCs w:val="21"/>
              </w:rPr>
              <w:t>风险识别</w:t>
            </w:r>
          </w:p>
        </w:tc>
        <w:tc>
          <w:tcPr>
            <w:tcW w:w="616" w:type="pct"/>
            <w:tcBorders>
              <w:top w:val="single" w:color="000000" w:sz="4" w:space="0"/>
              <w:left w:val="single" w:color="000000" w:sz="4" w:space="0"/>
              <w:bottom w:val="single" w:color="000000" w:sz="4" w:space="0"/>
              <w:right w:val="single" w:color="000000" w:sz="4" w:space="0"/>
            </w:tcBorders>
            <w:vAlign w:val="center"/>
          </w:tcPr>
          <w:p w14:paraId="67F1AA82">
            <w:pPr>
              <w:pStyle w:val="160"/>
              <w:autoSpaceDE w:val="0"/>
              <w:autoSpaceDN w:val="0"/>
              <w:rPr>
                <w:szCs w:val="21"/>
              </w:rPr>
            </w:pPr>
            <w:r>
              <w:rPr>
                <w:szCs w:val="21"/>
              </w:rPr>
              <w:t>物质</w:t>
            </w:r>
          </w:p>
          <w:p w14:paraId="3D272620">
            <w:pPr>
              <w:pStyle w:val="160"/>
              <w:autoSpaceDE w:val="0"/>
              <w:autoSpaceDN w:val="0"/>
              <w:rPr>
                <w:szCs w:val="21"/>
              </w:rPr>
            </w:pPr>
            <w:r>
              <w:rPr>
                <w:szCs w:val="21"/>
              </w:rPr>
              <w:t>危险性</w:t>
            </w:r>
          </w:p>
        </w:tc>
        <w:tc>
          <w:tcPr>
            <w:tcW w:w="1706" w:type="pct"/>
            <w:gridSpan w:val="3"/>
            <w:tcBorders>
              <w:top w:val="single" w:color="000000" w:sz="4" w:space="0"/>
              <w:left w:val="single" w:color="000000" w:sz="4" w:space="0"/>
              <w:bottom w:val="single" w:color="000000" w:sz="4" w:space="0"/>
              <w:right w:val="single" w:color="000000" w:sz="4" w:space="0"/>
            </w:tcBorders>
            <w:vAlign w:val="center"/>
          </w:tcPr>
          <w:p w14:paraId="21EE7EDB">
            <w:pPr>
              <w:pStyle w:val="160"/>
              <w:autoSpaceDE w:val="0"/>
              <w:autoSpaceDN w:val="0"/>
              <w:rPr>
                <w:szCs w:val="21"/>
              </w:rPr>
            </w:pPr>
            <w:r>
              <w:rPr>
                <w:szCs w:val="21"/>
              </w:rPr>
              <w:t>有毒有害□</w:t>
            </w:r>
          </w:p>
        </w:tc>
        <w:tc>
          <w:tcPr>
            <w:tcW w:w="2443" w:type="pct"/>
            <w:gridSpan w:val="4"/>
            <w:tcBorders>
              <w:top w:val="single" w:color="000000" w:sz="4" w:space="0"/>
              <w:left w:val="single" w:color="000000" w:sz="4" w:space="0"/>
              <w:bottom w:val="single" w:color="000000" w:sz="4" w:space="0"/>
            </w:tcBorders>
            <w:vAlign w:val="center"/>
          </w:tcPr>
          <w:p w14:paraId="55855A3E">
            <w:pPr>
              <w:pStyle w:val="160"/>
              <w:autoSpaceDE w:val="0"/>
              <w:autoSpaceDN w:val="0"/>
              <w:rPr>
                <w:szCs w:val="21"/>
              </w:rPr>
            </w:pPr>
            <w:r>
              <w:rPr>
                <w:szCs w:val="21"/>
              </w:rPr>
              <w:t>易燃易爆 √</w:t>
            </w:r>
          </w:p>
        </w:tc>
      </w:tr>
      <w:tr w14:paraId="7E418BB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235" w:type="pct"/>
            <w:vMerge w:val="continue"/>
            <w:tcBorders>
              <w:top w:val="nil"/>
              <w:bottom w:val="single" w:color="000000" w:sz="4" w:space="0"/>
              <w:right w:val="single" w:color="000000" w:sz="4" w:space="0"/>
            </w:tcBorders>
            <w:vAlign w:val="center"/>
          </w:tcPr>
          <w:p w14:paraId="7E6F13BE">
            <w:pPr>
              <w:pStyle w:val="160"/>
              <w:autoSpaceDE w:val="0"/>
              <w:autoSpaceDN w:val="0"/>
              <w:rPr>
                <w:szCs w:val="21"/>
              </w:rPr>
            </w:pPr>
          </w:p>
        </w:tc>
        <w:tc>
          <w:tcPr>
            <w:tcW w:w="616" w:type="pct"/>
            <w:tcBorders>
              <w:top w:val="single" w:color="000000" w:sz="4" w:space="0"/>
              <w:left w:val="single" w:color="000000" w:sz="4" w:space="0"/>
              <w:bottom w:val="single" w:color="000000" w:sz="4" w:space="0"/>
              <w:right w:val="single" w:color="000000" w:sz="4" w:space="0"/>
            </w:tcBorders>
            <w:vAlign w:val="center"/>
          </w:tcPr>
          <w:p w14:paraId="065553F1">
            <w:pPr>
              <w:pStyle w:val="160"/>
              <w:autoSpaceDE w:val="0"/>
              <w:autoSpaceDN w:val="0"/>
              <w:rPr>
                <w:szCs w:val="21"/>
              </w:rPr>
            </w:pPr>
            <w:r>
              <w:rPr>
                <w:szCs w:val="21"/>
              </w:rPr>
              <w:t>环境风险</w:t>
            </w:r>
          </w:p>
          <w:p w14:paraId="1281F808">
            <w:pPr>
              <w:pStyle w:val="160"/>
              <w:autoSpaceDE w:val="0"/>
              <w:autoSpaceDN w:val="0"/>
              <w:rPr>
                <w:szCs w:val="21"/>
              </w:rPr>
            </w:pPr>
            <w:r>
              <w:rPr>
                <w:szCs w:val="21"/>
              </w:rPr>
              <w:t>类型</w:t>
            </w:r>
          </w:p>
        </w:tc>
        <w:tc>
          <w:tcPr>
            <w:tcW w:w="1706" w:type="pct"/>
            <w:gridSpan w:val="3"/>
            <w:tcBorders>
              <w:top w:val="single" w:color="000000" w:sz="4" w:space="0"/>
              <w:left w:val="single" w:color="000000" w:sz="4" w:space="0"/>
              <w:bottom w:val="single" w:color="000000" w:sz="4" w:space="0"/>
              <w:right w:val="single" w:color="000000" w:sz="4" w:space="0"/>
            </w:tcBorders>
            <w:vAlign w:val="center"/>
          </w:tcPr>
          <w:p w14:paraId="1F14F638">
            <w:pPr>
              <w:pStyle w:val="160"/>
              <w:autoSpaceDE w:val="0"/>
              <w:autoSpaceDN w:val="0"/>
              <w:rPr>
                <w:szCs w:val="21"/>
              </w:rPr>
            </w:pPr>
            <w:r>
              <w:rPr>
                <w:szCs w:val="21"/>
              </w:rPr>
              <w:t>泄漏√</w:t>
            </w:r>
          </w:p>
        </w:tc>
        <w:tc>
          <w:tcPr>
            <w:tcW w:w="2443" w:type="pct"/>
            <w:gridSpan w:val="4"/>
            <w:tcBorders>
              <w:top w:val="single" w:color="000000" w:sz="4" w:space="0"/>
              <w:left w:val="single" w:color="000000" w:sz="4" w:space="0"/>
              <w:bottom w:val="single" w:color="000000" w:sz="4" w:space="0"/>
            </w:tcBorders>
            <w:vAlign w:val="center"/>
          </w:tcPr>
          <w:p w14:paraId="02367560">
            <w:pPr>
              <w:pStyle w:val="160"/>
              <w:autoSpaceDE w:val="0"/>
              <w:autoSpaceDN w:val="0"/>
              <w:rPr>
                <w:szCs w:val="21"/>
              </w:rPr>
            </w:pPr>
            <w:r>
              <w:rPr>
                <w:szCs w:val="21"/>
              </w:rPr>
              <w:t>火灾、爆炸引发伴生/次生污染物排放√</w:t>
            </w:r>
          </w:p>
        </w:tc>
      </w:tr>
      <w:tr w14:paraId="1247DE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235" w:type="pct"/>
            <w:vMerge w:val="continue"/>
            <w:tcBorders>
              <w:top w:val="nil"/>
              <w:bottom w:val="single" w:color="000000" w:sz="4" w:space="0"/>
              <w:right w:val="single" w:color="000000" w:sz="4" w:space="0"/>
            </w:tcBorders>
            <w:vAlign w:val="center"/>
          </w:tcPr>
          <w:p w14:paraId="339A9D6B">
            <w:pPr>
              <w:pStyle w:val="160"/>
              <w:autoSpaceDE w:val="0"/>
              <w:autoSpaceDN w:val="0"/>
              <w:rPr>
                <w:szCs w:val="21"/>
              </w:rPr>
            </w:pPr>
          </w:p>
        </w:tc>
        <w:tc>
          <w:tcPr>
            <w:tcW w:w="616" w:type="pct"/>
            <w:tcBorders>
              <w:top w:val="single" w:color="000000" w:sz="4" w:space="0"/>
              <w:left w:val="single" w:color="000000" w:sz="4" w:space="0"/>
              <w:bottom w:val="single" w:color="000000" w:sz="4" w:space="0"/>
              <w:right w:val="single" w:color="000000" w:sz="4" w:space="0"/>
            </w:tcBorders>
            <w:vAlign w:val="center"/>
          </w:tcPr>
          <w:p w14:paraId="4D95CE7D">
            <w:pPr>
              <w:pStyle w:val="160"/>
              <w:autoSpaceDE w:val="0"/>
              <w:autoSpaceDN w:val="0"/>
              <w:rPr>
                <w:szCs w:val="21"/>
              </w:rPr>
            </w:pPr>
            <w:r>
              <w:rPr>
                <w:szCs w:val="21"/>
              </w:rPr>
              <w:t>影响途径</w:t>
            </w:r>
          </w:p>
        </w:tc>
        <w:tc>
          <w:tcPr>
            <w:tcW w:w="1706" w:type="pct"/>
            <w:gridSpan w:val="3"/>
            <w:tcBorders>
              <w:top w:val="single" w:color="000000" w:sz="4" w:space="0"/>
              <w:left w:val="single" w:color="000000" w:sz="4" w:space="0"/>
              <w:bottom w:val="single" w:color="000000" w:sz="4" w:space="0"/>
              <w:right w:val="single" w:color="000000" w:sz="4" w:space="0"/>
            </w:tcBorders>
            <w:vAlign w:val="center"/>
          </w:tcPr>
          <w:p w14:paraId="071F693B">
            <w:pPr>
              <w:pStyle w:val="160"/>
              <w:autoSpaceDE w:val="0"/>
              <w:autoSpaceDN w:val="0"/>
              <w:rPr>
                <w:szCs w:val="21"/>
              </w:rPr>
            </w:pPr>
            <w:r>
              <w:rPr>
                <w:szCs w:val="21"/>
              </w:rPr>
              <w:t>大气 √</w:t>
            </w:r>
          </w:p>
        </w:tc>
        <w:tc>
          <w:tcPr>
            <w:tcW w:w="1072" w:type="pct"/>
            <w:gridSpan w:val="2"/>
            <w:tcBorders>
              <w:top w:val="single" w:color="000000" w:sz="4" w:space="0"/>
              <w:left w:val="single" w:color="000000" w:sz="4" w:space="0"/>
              <w:bottom w:val="single" w:color="000000" w:sz="4" w:space="0"/>
              <w:right w:val="single" w:color="000000" w:sz="4" w:space="0"/>
            </w:tcBorders>
            <w:vAlign w:val="center"/>
          </w:tcPr>
          <w:p w14:paraId="5B14AB6A">
            <w:pPr>
              <w:pStyle w:val="160"/>
              <w:autoSpaceDE w:val="0"/>
              <w:autoSpaceDN w:val="0"/>
              <w:rPr>
                <w:szCs w:val="21"/>
              </w:rPr>
            </w:pPr>
            <w:r>
              <w:rPr>
                <w:szCs w:val="21"/>
              </w:rPr>
              <w:t>地表水√</w:t>
            </w:r>
          </w:p>
        </w:tc>
        <w:tc>
          <w:tcPr>
            <w:tcW w:w="1371" w:type="pct"/>
            <w:gridSpan w:val="2"/>
            <w:tcBorders>
              <w:top w:val="single" w:color="000000" w:sz="4" w:space="0"/>
              <w:left w:val="single" w:color="000000" w:sz="4" w:space="0"/>
              <w:bottom w:val="single" w:color="000000" w:sz="4" w:space="0"/>
            </w:tcBorders>
            <w:vAlign w:val="center"/>
          </w:tcPr>
          <w:p w14:paraId="4300D713">
            <w:pPr>
              <w:pStyle w:val="160"/>
              <w:autoSpaceDE w:val="0"/>
              <w:autoSpaceDN w:val="0"/>
              <w:rPr>
                <w:szCs w:val="21"/>
              </w:rPr>
            </w:pPr>
            <w:r>
              <w:rPr>
                <w:szCs w:val="21"/>
              </w:rPr>
              <w:t>地下水√</w:t>
            </w:r>
          </w:p>
        </w:tc>
      </w:tr>
      <w:tr w14:paraId="53B522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83" w:hRule="atLeast"/>
        </w:trPr>
        <w:tc>
          <w:tcPr>
            <w:tcW w:w="850" w:type="pct"/>
            <w:gridSpan w:val="2"/>
            <w:tcBorders>
              <w:top w:val="single" w:color="000000" w:sz="4" w:space="0"/>
              <w:bottom w:val="single" w:color="000000" w:sz="4" w:space="0"/>
              <w:right w:val="single" w:color="000000" w:sz="4" w:space="0"/>
            </w:tcBorders>
            <w:vAlign w:val="center"/>
          </w:tcPr>
          <w:p w14:paraId="6A2AE6FC">
            <w:pPr>
              <w:pStyle w:val="160"/>
              <w:autoSpaceDE w:val="0"/>
              <w:autoSpaceDN w:val="0"/>
              <w:rPr>
                <w:szCs w:val="21"/>
              </w:rPr>
            </w:pPr>
            <w:r>
              <w:rPr>
                <w:szCs w:val="21"/>
              </w:rPr>
              <w:t>事故情形分析</w:t>
            </w:r>
          </w:p>
        </w:tc>
        <w:tc>
          <w:tcPr>
            <w:tcW w:w="816" w:type="pct"/>
            <w:gridSpan w:val="2"/>
            <w:tcBorders>
              <w:top w:val="single" w:color="000000" w:sz="4" w:space="0"/>
              <w:left w:val="single" w:color="000000" w:sz="4" w:space="0"/>
              <w:bottom w:val="single" w:color="000000" w:sz="4" w:space="0"/>
              <w:right w:val="single" w:color="000000" w:sz="4" w:space="0"/>
            </w:tcBorders>
            <w:vAlign w:val="center"/>
          </w:tcPr>
          <w:p w14:paraId="0AEC30C9">
            <w:pPr>
              <w:pStyle w:val="160"/>
              <w:autoSpaceDE w:val="0"/>
              <w:autoSpaceDN w:val="0"/>
              <w:rPr>
                <w:szCs w:val="21"/>
              </w:rPr>
            </w:pPr>
            <w:r>
              <w:rPr>
                <w:szCs w:val="21"/>
              </w:rPr>
              <w:t>源强设定方法</w:t>
            </w:r>
          </w:p>
        </w:tc>
        <w:tc>
          <w:tcPr>
            <w:tcW w:w="890" w:type="pct"/>
            <w:tcBorders>
              <w:top w:val="single" w:color="000000" w:sz="4" w:space="0"/>
              <w:left w:val="single" w:color="000000" w:sz="4" w:space="0"/>
              <w:bottom w:val="single" w:color="000000" w:sz="4" w:space="0"/>
              <w:right w:val="single" w:color="000000" w:sz="4" w:space="0"/>
            </w:tcBorders>
            <w:vAlign w:val="center"/>
          </w:tcPr>
          <w:p w14:paraId="22183D54">
            <w:pPr>
              <w:pStyle w:val="160"/>
              <w:autoSpaceDE w:val="0"/>
              <w:autoSpaceDN w:val="0"/>
              <w:rPr>
                <w:szCs w:val="21"/>
              </w:rPr>
            </w:pPr>
            <w:r>
              <w:rPr>
                <w:szCs w:val="21"/>
              </w:rPr>
              <w:t>计算法 □</w:t>
            </w:r>
          </w:p>
        </w:tc>
        <w:tc>
          <w:tcPr>
            <w:tcW w:w="1072" w:type="pct"/>
            <w:gridSpan w:val="2"/>
            <w:tcBorders>
              <w:top w:val="single" w:color="000000" w:sz="4" w:space="0"/>
              <w:left w:val="single" w:color="000000" w:sz="4" w:space="0"/>
              <w:bottom w:val="single" w:color="000000" w:sz="4" w:space="0"/>
              <w:right w:val="single" w:color="000000" w:sz="4" w:space="0"/>
            </w:tcBorders>
            <w:vAlign w:val="center"/>
          </w:tcPr>
          <w:p w14:paraId="16F57CBC">
            <w:pPr>
              <w:pStyle w:val="160"/>
              <w:autoSpaceDE w:val="0"/>
              <w:autoSpaceDN w:val="0"/>
              <w:rPr>
                <w:szCs w:val="21"/>
              </w:rPr>
            </w:pPr>
            <w:r>
              <w:rPr>
                <w:szCs w:val="21"/>
              </w:rPr>
              <w:t>经验估算法 □</w:t>
            </w:r>
          </w:p>
        </w:tc>
        <w:tc>
          <w:tcPr>
            <w:tcW w:w="1371" w:type="pct"/>
            <w:gridSpan w:val="2"/>
            <w:tcBorders>
              <w:top w:val="single" w:color="000000" w:sz="4" w:space="0"/>
              <w:left w:val="single" w:color="000000" w:sz="4" w:space="0"/>
              <w:bottom w:val="single" w:color="000000" w:sz="4" w:space="0"/>
            </w:tcBorders>
            <w:vAlign w:val="center"/>
          </w:tcPr>
          <w:p w14:paraId="62BEFB22">
            <w:pPr>
              <w:pStyle w:val="160"/>
              <w:autoSpaceDE w:val="0"/>
              <w:autoSpaceDN w:val="0"/>
              <w:rPr>
                <w:szCs w:val="21"/>
              </w:rPr>
            </w:pPr>
            <w:r>
              <w:rPr>
                <w:szCs w:val="21"/>
              </w:rPr>
              <w:t>其他估算法 □</w:t>
            </w:r>
          </w:p>
        </w:tc>
      </w:tr>
      <w:tr w14:paraId="134BE0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235" w:type="pct"/>
            <w:vMerge w:val="restart"/>
            <w:tcBorders>
              <w:top w:val="single" w:color="000000" w:sz="4" w:space="0"/>
              <w:bottom w:val="single" w:color="000000" w:sz="4" w:space="0"/>
              <w:right w:val="single" w:color="000000" w:sz="4" w:space="0"/>
            </w:tcBorders>
            <w:vAlign w:val="center"/>
          </w:tcPr>
          <w:p w14:paraId="66E9A4EB">
            <w:pPr>
              <w:pStyle w:val="160"/>
              <w:autoSpaceDE w:val="0"/>
              <w:autoSpaceDN w:val="0"/>
              <w:rPr>
                <w:szCs w:val="21"/>
              </w:rPr>
            </w:pPr>
            <w:r>
              <w:rPr>
                <w:szCs w:val="21"/>
              </w:rPr>
              <w:t>风险预测与评价</w:t>
            </w:r>
          </w:p>
        </w:tc>
        <w:tc>
          <w:tcPr>
            <w:tcW w:w="616" w:type="pct"/>
            <w:vMerge w:val="restart"/>
            <w:tcBorders>
              <w:top w:val="single" w:color="000000" w:sz="4" w:space="0"/>
              <w:left w:val="single" w:color="000000" w:sz="4" w:space="0"/>
              <w:bottom w:val="single" w:color="000000" w:sz="4" w:space="0"/>
              <w:right w:val="single" w:color="000000" w:sz="4" w:space="0"/>
            </w:tcBorders>
            <w:vAlign w:val="center"/>
          </w:tcPr>
          <w:p w14:paraId="2C68C009">
            <w:pPr>
              <w:pStyle w:val="160"/>
              <w:autoSpaceDE w:val="0"/>
              <w:autoSpaceDN w:val="0"/>
              <w:rPr>
                <w:szCs w:val="21"/>
              </w:rPr>
            </w:pPr>
            <w:r>
              <w:rPr>
                <w:szCs w:val="21"/>
              </w:rPr>
              <w:t>大气</w:t>
            </w:r>
          </w:p>
        </w:tc>
        <w:tc>
          <w:tcPr>
            <w:tcW w:w="816" w:type="pct"/>
            <w:gridSpan w:val="2"/>
            <w:tcBorders>
              <w:top w:val="single" w:color="000000" w:sz="4" w:space="0"/>
              <w:left w:val="single" w:color="000000" w:sz="4" w:space="0"/>
              <w:bottom w:val="single" w:color="000000" w:sz="4" w:space="0"/>
              <w:right w:val="single" w:color="000000" w:sz="4" w:space="0"/>
            </w:tcBorders>
            <w:vAlign w:val="center"/>
          </w:tcPr>
          <w:p w14:paraId="499BEBFD">
            <w:pPr>
              <w:pStyle w:val="160"/>
              <w:autoSpaceDE w:val="0"/>
              <w:autoSpaceDN w:val="0"/>
              <w:rPr>
                <w:szCs w:val="21"/>
              </w:rPr>
            </w:pPr>
            <w:r>
              <w:rPr>
                <w:szCs w:val="21"/>
              </w:rPr>
              <w:t>预测模型</w:t>
            </w:r>
          </w:p>
        </w:tc>
        <w:tc>
          <w:tcPr>
            <w:tcW w:w="890" w:type="pct"/>
            <w:tcBorders>
              <w:top w:val="single" w:color="000000" w:sz="4" w:space="0"/>
              <w:left w:val="single" w:color="000000" w:sz="4" w:space="0"/>
              <w:bottom w:val="single" w:color="000000" w:sz="4" w:space="0"/>
              <w:right w:val="single" w:color="000000" w:sz="4" w:space="0"/>
            </w:tcBorders>
            <w:vAlign w:val="center"/>
          </w:tcPr>
          <w:p w14:paraId="7DB93720">
            <w:pPr>
              <w:pStyle w:val="160"/>
              <w:autoSpaceDE w:val="0"/>
              <w:autoSpaceDN w:val="0"/>
              <w:rPr>
                <w:szCs w:val="21"/>
              </w:rPr>
            </w:pPr>
            <w:r>
              <w:rPr>
                <w:szCs w:val="21"/>
              </w:rPr>
              <w:t>SLAB □</w:t>
            </w:r>
          </w:p>
        </w:tc>
        <w:tc>
          <w:tcPr>
            <w:tcW w:w="1072" w:type="pct"/>
            <w:gridSpan w:val="2"/>
            <w:tcBorders>
              <w:top w:val="single" w:color="000000" w:sz="4" w:space="0"/>
              <w:left w:val="single" w:color="000000" w:sz="4" w:space="0"/>
              <w:bottom w:val="single" w:color="000000" w:sz="4" w:space="0"/>
              <w:right w:val="single" w:color="000000" w:sz="4" w:space="0"/>
            </w:tcBorders>
            <w:vAlign w:val="center"/>
          </w:tcPr>
          <w:p w14:paraId="4584CE3F">
            <w:pPr>
              <w:pStyle w:val="160"/>
              <w:autoSpaceDE w:val="0"/>
              <w:autoSpaceDN w:val="0"/>
              <w:rPr>
                <w:szCs w:val="21"/>
              </w:rPr>
            </w:pPr>
            <w:r>
              <w:rPr>
                <w:szCs w:val="21"/>
              </w:rPr>
              <w:t>AFTOX □</w:t>
            </w:r>
          </w:p>
        </w:tc>
        <w:tc>
          <w:tcPr>
            <w:tcW w:w="1371" w:type="pct"/>
            <w:gridSpan w:val="2"/>
            <w:tcBorders>
              <w:top w:val="single" w:color="000000" w:sz="4" w:space="0"/>
              <w:left w:val="single" w:color="000000" w:sz="4" w:space="0"/>
              <w:bottom w:val="single" w:color="000000" w:sz="4" w:space="0"/>
            </w:tcBorders>
            <w:vAlign w:val="center"/>
          </w:tcPr>
          <w:p w14:paraId="12E9180A">
            <w:pPr>
              <w:pStyle w:val="160"/>
              <w:autoSpaceDE w:val="0"/>
              <w:autoSpaceDN w:val="0"/>
              <w:rPr>
                <w:szCs w:val="21"/>
              </w:rPr>
            </w:pPr>
            <w:r>
              <w:rPr>
                <w:szCs w:val="21"/>
              </w:rPr>
              <w:t>其他 □</w:t>
            </w:r>
          </w:p>
        </w:tc>
      </w:tr>
      <w:tr w14:paraId="626948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235" w:type="pct"/>
            <w:vMerge w:val="continue"/>
            <w:tcBorders>
              <w:top w:val="nil"/>
              <w:bottom w:val="single" w:color="000000" w:sz="4" w:space="0"/>
              <w:right w:val="single" w:color="000000" w:sz="4" w:space="0"/>
            </w:tcBorders>
            <w:vAlign w:val="center"/>
          </w:tcPr>
          <w:p w14:paraId="60E69598">
            <w:pPr>
              <w:pStyle w:val="160"/>
              <w:autoSpaceDE w:val="0"/>
              <w:autoSpaceDN w:val="0"/>
              <w:rPr>
                <w:szCs w:val="21"/>
              </w:rPr>
            </w:pPr>
          </w:p>
        </w:tc>
        <w:tc>
          <w:tcPr>
            <w:tcW w:w="616" w:type="pct"/>
            <w:vMerge w:val="continue"/>
            <w:tcBorders>
              <w:top w:val="nil"/>
              <w:left w:val="single" w:color="000000" w:sz="4" w:space="0"/>
              <w:bottom w:val="single" w:color="000000" w:sz="4" w:space="0"/>
              <w:right w:val="single" w:color="000000" w:sz="4" w:space="0"/>
            </w:tcBorders>
            <w:vAlign w:val="center"/>
          </w:tcPr>
          <w:p w14:paraId="0905D7B7">
            <w:pPr>
              <w:pStyle w:val="160"/>
              <w:autoSpaceDE w:val="0"/>
              <w:autoSpaceDN w:val="0"/>
              <w:rPr>
                <w:szCs w:val="21"/>
              </w:rPr>
            </w:pPr>
          </w:p>
        </w:tc>
        <w:tc>
          <w:tcPr>
            <w:tcW w:w="816" w:type="pct"/>
            <w:gridSpan w:val="2"/>
            <w:vMerge w:val="restart"/>
            <w:tcBorders>
              <w:top w:val="single" w:color="000000" w:sz="4" w:space="0"/>
              <w:left w:val="single" w:color="000000" w:sz="4" w:space="0"/>
              <w:bottom w:val="single" w:color="000000" w:sz="4" w:space="0"/>
              <w:right w:val="single" w:color="000000" w:sz="4" w:space="0"/>
            </w:tcBorders>
            <w:vAlign w:val="center"/>
          </w:tcPr>
          <w:p w14:paraId="403145BF">
            <w:pPr>
              <w:pStyle w:val="160"/>
              <w:autoSpaceDE w:val="0"/>
              <w:autoSpaceDN w:val="0"/>
              <w:rPr>
                <w:szCs w:val="21"/>
              </w:rPr>
            </w:pPr>
            <w:r>
              <w:rPr>
                <w:szCs w:val="21"/>
              </w:rPr>
              <w:t>预测结果</w:t>
            </w:r>
          </w:p>
        </w:tc>
        <w:tc>
          <w:tcPr>
            <w:tcW w:w="3333" w:type="pct"/>
            <w:gridSpan w:val="5"/>
            <w:tcBorders>
              <w:top w:val="single" w:color="000000" w:sz="4" w:space="0"/>
              <w:left w:val="single" w:color="000000" w:sz="4" w:space="0"/>
              <w:bottom w:val="single" w:color="000000" w:sz="4" w:space="0"/>
            </w:tcBorders>
            <w:vAlign w:val="center"/>
          </w:tcPr>
          <w:p w14:paraId="3D4D880E">
            <w:pPr>
              <w:pStyle w:val="160"/>
              <w:autoSpaceDE w:val="0"/>
              <w:autoSpaceDN w:val="0"/>
              <w:rPr>
                <w:szCs w:val="21"/>
              </w:rPr>
            </w:pPr>
            <w:r>
              <w:rPr>
                <w:szCs w:val="21"/>
              </w:rPr>
              <w:t>大气毒性终点浓度-1最大影响范围</w:t>
            </w:r>
            <w:r>
              <w:rPr>
                <w:szCs w:val="21"/>
                <w:u w:val="single"/>
              </w:rPr>
              <w:t xml:space="preserve"> </w:t>
            </w:r>
            <w:r>
              <w:rPr>
                <w:szCs w:val="21"/>
                <w:u w:val="single"/>
              </w:rPr>
              <w:tab/>
            </w:r>
            <w:r>
              <w:rPr>
                <w:szCs w:val="21"/>
              </w:rPr>
              <w:t>m</w:t>
            </w:r>
          </w:p>
        </w:tc>
      </w:tr>
      <w:tr w14:paraId="2DC34D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83" w:hRule="atLeast"/>
        </w:trPr>
        <w:tc>
          <w:tcPr>
            <w:tcW w:w="235" w:type="pct"/>
            <w:vMerge w:val="continue"/>
            <w:tcBorders>
              <w:top w:val="nil"/>
              <w:bottom w:val="single" w:color="000000" w:sz="4" w:space="0"/>
              <w:right w:val="single" w:color="000000" w:sz="4" w:space="0"/>
            </w:tcBorders>
            <w:vAlign w:val="center"/>
          </w:tcPr>
          <w:p w14:paraId="7C0EE795">
            <w:pPr>
              <w:pStyle w:val="160"/>
              <w:autoSpaceDE w:val="0"/>
              <w:autoSpaceDN w:val="0"/>
              <w:rPr>
                <w:szCs w:val="21"/>
              </w:rPr>
            </w:pPr>
          </w:p>
        </w:tc>
        <w:tc>
          <w:tcPr>
            <w:tcW w:w="616" w:type="pct"/>
            <w:vMerge w:val="continue"/>
            <w:tcBorders>
              <w:top w:val="nil"/>
              <w:left w:val="single" w:color="000000" w:sz="4" w:space="0"/>
              <w:bottom w:val="single" w:color="000000" w:sz="4" w:space="0"/>
              <w:right w:val="single" w:color="000000" w:sz="4" w:space="0"/>
            </w:tcBorders>
            <w:vAlign w:val="center"/>
          </w:tcPr>
          <w:p w14:paraId="62D728DA">
            <w:pPr>
              <w:pStyle w:val="160"/>
              <w:autoSpaceDE w:val="0"/>
              <w:autoSpaceDN w:val="0"/>
              <w:rPr>
                <w:szCs w:val="21"/>
              </w:rPr>
            </w:pPr>
          </w:p>
        </w:tc>
        <w:tc>
          <w:tcPr>
            <w:tcW w:w="816" w:type="pct"/>
            <w:gridSpan w:val="2"/>
            <w:vMerge w:val="continue"/>
            <w:tcBorders>
              <w:top w:val="nil"/>
              <w:left w:val="single" w:color="000000" w:sz="4" w:space="0"/>
              <w:bottom w:val="single" w:color="000000" w:sz="4" w:space="0"/>
              <w:right w:val="single" w:color="000000" w:sz="4" w:space="0"/>
            </w:tcBorders>
            <w:vAlign w:val="center"/>
          </w:tcPr>
          <w:p w14:paraId="7347186C">
            <w:pPr>
              <w:pStyle w:val="160"/>
              <w:autoSpaceDE w:val="0"/>
              <w:autoSpaceDN w:val="0"/>
              <w:rPr>
                <w:szCs w:val="21"/>
              </w:rPr>
            </w:pPr>
          </w:p>
        </w:tc>
        <w:tc>
          <w:tcPr>
            <w:tcW w:w="3333" w:type="pct"/>
            <w:gridSpan w:val="5"/>
            <w:tcBorders>
              <w:top w:val="single" w:color="000000" w:sz="4" w:space="0"/>
              <w:left w:val="single" w:color="000000" w:sz="4" w:space="0"/>
              <w:bottom w:val="single" w:color="000000" w:sz="4" w:space="0"/>
            </w:tcBorders>
            <w:vAlign w:val="center"/>
          </w:tcPr>
          <w:p w14:paraId="0980D04A">
            <w:pPr>
              <w:pStyle w:val="160"/>
              <w:autoSpaceDE w:val="0"/>
              <w:autoSpaceDN w:val="0"/>
              <w:rPr>
                <w:szCs w:val="21"/>
              </w:rPr>
            </w:pPr>
            <w:r>
              <w:rPr>
                <w:szCs w:val="21"/>
              </w:rPr>
              <w:t>大气毒性终点浓度-2最大影响范围</w:t>
            </w:r>
            <w:r>
              <w:rPr>
                <w:szCs w:val="21"/>
                <w:u w:val="single"/>
              </w:rPr>
              <w:t xml:space="preserve"> </w:t>
            </w:r>
            <w:r>
              <w:rPr>
                <w:szCs w:val="21"/>
                <w:u w:val="single"/>
              </w:rPr>
              <w:tab/>
            </w:r>
            <w:r>
              <w:rPr>
                <w:szCs w:val="21"/>
              </w:rPr>
              <w:t>m</w:t>
            </w:r>
          </w:p>
        </w:tc>
      </w:tr>
      <w:tr w14:paraId="3B9B64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83" w:hRule="atLeast"/>
        </w:trPr>
        <w:tc>
          <w:tcPr>
            <w:tcW w:w="235" w:type="pct"/>
            <w:vMerge w:val="continue"/>
            <w:tcBorders>
              <w:top w:val="nil"/>
              <w:bottom w:val="single" w:color="000000" w:sz="4" w:space="0"/>
              <w:right w:val="single" w:color="000000" w:sz="4" w:space="0"/>
            </w:tcBorders>
            <w:vAlign w:val="center"/>
          </w:tcPr>
          <w:p w14:paraId="387FE357">
            <w:pPr>
              <w:pStyle w:val="160"/>
              <w:autoSpaceDE w:val="0"/>
              <w:autoSpaceDN w:val="0"/>
              <w:rPr>
                <w:szCs w:val="21"/>
              </w:rPr>
            </w:pPr>
          </w:p>
        </w:tc>
        <w:tc>
          <w:tcPr>
            <w:tcW w:w="616" w:type="pct"/>
            <w:tcBorders>
              <w:top w:val="single" w:color="000000" w:sz="4" w:space="0"/>
              <w:left w:val="single" w:color="000000" w:sz="4" w:space="0"/>
              <w:bottom w:val="single" w:color="000000" w:sz="4" w:space="0"/>
              <w:right w:val="single" w:color="000000" w:sz="4" w:space="0"/>
            </w:tcBorders>
            <w:vAlign w:val="center"/>
          </w:tcPr>
          <w:p w14:paraId="1D4145EB">
            <w:pPr>
              <w:pStyle w:val="160"/>
              <w:autoSpaceDE w:val="0"/>
              <w:autoSpaceDN w:val="0"/>
              <w:rPr>
                <w:szCs w:val="21"/>
              </w:rPr>
            </w:pPr>
            <w:r>
              <w:rPr>
                <w:szCs w:val="21"/>
              </w:rPr>
              <w:t>地表水</w:t>
            </w:r>
          </w:p>
        </w:tc>
        <w:tc>
          <w:tcPr>
            <w:tcW w:w="4150" w:type="pct"/>
            <w:gridSpan w:val="7"/>
            <w:tcBorders>
              <w:top w:val="single" w:color="000000" w:sz="4" w:space="0"/>
              <w:left w:val="single" w:color="000000" w:sz="4" w:space="0"/>
              <w:bottom w:val="single" w:color="000000" w:sz="4" w:space="0"/>
            </w:tcBorders>
            <w:vAlign w:val="center"/>
          </w:tcPr>
          <w:p w14:paraId="6C23FC85">
            <w:pPr>
              <w:pStyle w:val="160"/>
              <w:autoSpaceDE w:val="0"/>
              <w:autoSpaceDN w:val="0"/>
              <w:rPr>
                <w:szCs w:val="21"/>
              </w:rPr>
            </w:pPr>
            <w:r>
              <w:rPr>
                <w:szCs w:val="21"/>
              </w:rPr>
              <w:t>最近环境敏感目标</w:t>
            </w:r>
            <w:r>
              <w:rPr>
                <w:szCs w:val="21"/>
                <w:u w:val="single"/>
              </w:rPr>
              <w:t xml:space="preserve"> </w:t>
            </w:r>
            <w:r>
              <w:rPr>
                <w:szCs w:val="21"/>
                <w:u w:val="single"/>
              </w:rPr>
              <w:tab/>
            </w:r>
            <w:r>
              <w:rPr>
                <w:szCs w:val="21"/>
              </w:rPr>
              <w:t>，到达时间</w:t>
            </w:r>
            <w:r>
              <w:rPr>
                <w:szCs w:val="21"/>
                <w:u w:val="single"/>
              </w:rPr>
              <w:t xml:space="preserve"> </w:t>
            </w:r>
            <w:r>
              <w:rPr>
                <w:szCs w:val="21"/>
                <w:u w:val="single"/>
              </w:rPr>
              <w:tab/>
            </w:r>
            <w:r>
              <w:rPr>
                <w:szCs w:val="21"/>
              </w:rPr>
              <w:t>h</w:t>
            </w:r>
          </w:p>
        </w:tc>
      </w:tr>
      <w:tr w14:paraId="3D0223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235" w:type="pct"/>
            <w:vMerge w:val="continue"/>
            <w:tcBorders>
              <w:top w:val="nil"/>
              <w:bottom w:val="single" w:color="000000" w:sz="4" w:space="0"/>
              <w:right w:val="single" w:color="000000" w:sz="4" w:space="0"/>
            </w:tcBorders>
            <w:vAlign w:val="center"/>
          </w:tcPr>
          <w:p w14:paraId="53653858">
            <w:pPr>
              <w:pStyle w:val="160"/>
              <w:autoSpaceDE w:val="0"/>
              <w:autoSpaceDN w:val="0"/>
              <w:rPr>
                <w:szCs w:val="21"/>
              </w:rPr>
            </w:pPr>
          </w:p>
        </w:tc>
        <w:tc>
          <w:tcPr>
            <w:tcW w:w="616" w:type="pct"/>
            <w:vMerge w:val="restart"/>
            <w:tcBorders>
              <w:top w:val="single" w:color="000000" w:sz="4" w:space="0"/>
              <w:left w:val="single" w:color="000000" w:sz="4" w:space="0"/>
              <w:bottom w:val="single" w:color="000000" w:sz="4" w:space="0"/>
              <w:right w:val="single" w:color="000000" w:sz="4" w:space="0"/>
            </w:tcBorders>
            <w:vAlign w:val="center"/>
          </w:tcPr>
          <w:p w14:paraId="6D2F6088">
            <w:pPr>
              <w:pStyle w:val="160"/>
              <w:autoSpaceDE w:val="0"/>
              <w:autoSpaceDN w:val="0"/>
              <w:rPr>
                <w:szCs w:val="21"/>
              </w:rPr>
            </w:pPr>
            <w:r>
              <w:rPr>
                <w:szCs w:val="21"/>
              </w:rPr>
              <w:t>地下水</w:t>
            </w:r>
          </w:p>
        </w:tc>
        <w:tc>
          <w:tcPr>
            <w:tcW w:w="4150" w:type="pct"/>
            <w:gridSpan w:val="7"/>
            <w:tcBorders>
              <w:top w:val="single" w:color="000000" w:sz="4" w:space="0"/>
              <w:left w:val="single" w:color="000000" w:sz="4" w:space="0"/>
              <w:bottom w:val="single" w:color="000000" w:sz="4" w:space="0"/>
            </w:tcBorders>
            <w:vAlign w:val="center"/>
          </w:tcPr>
          <w:p w14:paraId="4D973612">
            <w:pPr>
              <w:pStyle w:val="160"/>
              <w:autoSpaceDE w:val="0"/>
              <w:autoSpaceDN w:val="0"/>
              <w:rPr>
                <w:szCs w:val="21"/>
              </w:rPr>
            </w:pPr>
            <w:r>
              <w:rPr>
                <w:szCs w:val="21"/>
              </w:rPr>
              <w:t>下游厂区边界到达时间</w:t>
            </w:r>
            <w:r>
              <w:rPr>
                <w:szCs w:val="21"/>
                <w:u w:val="single"/>
              </w:rPr>
              <w:t xml:space="preserve"> </w:t>
            </w:r>
            <w:r>
              <w:rPr>
                <w:szCs w:val="21"/>
                <w:u w:val="single"/>
              </w:rPr>
              <w:tab/>
            </w:r>
            <w:r>
              <w:rPr>
                <w:szCs w:val="21"/>
              </w:rPr>
              <w:t>d</w:t>
            </w:r>
          </w:p>
        </w:tc>
      </w:tr>
      <w:tr w14:paraId="73B6DA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235" w:type="pct"/>
            <w:vMerge w:val="continue"/>
            <w:tcBorders>
              <w:top w:val="nil"/>
              <w:bottom w:val="single" w:color="000000" w:sz="4" w:space="0"/>
              <w:right w:val="single" w:color="000000" w:sz="4" w:space="0"/>
            </w:tcBorders>
            <w:vAlign w:val="center"/>
          </w:tcPr>
          <w:p w14:paraId="16126912">
            <w:pPr>
              <w:pStyle w:val="160"/>
              <w:autoSpaceDE w:val="0"/>
              <w:autoSpaceDN w:val="0"/>
              <w:rPr>
                <w:szCs w:val="21"/>
              </w:rPr>
            </w:pPr>
          </w:p>
        </w:tc>
        <w:tc>
          <w:tcPr>
            <w:tcW w:w="616" w:type="pct"/>
            <w:vMerge w:val="continue"/>
            <w:tcBorders>
              <w:top w:val="nil"/>
              <w:left w:val="single" w:color="000000" w:sz="4" w:space="0"/>
              <w:bottom w:val="single" w:color="000000" w:sz="4" w:space="0"/>
              <w:right w:val="single" w:color="000000" w:sz="4" w:space="0"/>
            </w:tcBorders>
            <w:vAlign w:val="center"/>
          </w:tcPr>
          <w:p w14:paraId="5B558E4F">
            <w:pPr>
              <w:pStyle w:val="160"/>
              <w:autoSpaceDE w:val="0"/>
              <w:autoSpaceDN w:val="0"/>
              <w:rPr>
                <w:szCs w:val="21"/>
              </w:rPr>
            </w:pPr>
          </w:p>
        </w:tc>
        <w:tc>
          <w:tcPr>
            <w:tcW w:w="4150" w:type="pct"/>
            <w:gridSpan w:val="7"/>
            <w:tcBorders>
              <w:top w:val="single" w:color="000000" w:sz="4" w:space="0"/>
              <w:left w:val="single" w:color="000000" w:sz="4" w:space="0"/>
              <w:bottom w:val="single" w:color="000000" w:sz="4" w:space="0"/>
            </w:tcBorders>
            <w:vAlign w:val="center"/>
          </w:tcPr>
          <w:p w14:paraId="7C41646E">
            <w:pPr>
              <w:pStyle w:val="160"/>
              <w:autoSpaceDE w:val="0"/>
              <w:autoSpaceDN w:val="0"/>
              <w:rPr>
                <w:szCs w:val="21"/>
              </w:rPr>
            </w:pPr>
            <w:r>
              <w:rPr>
                <w:szCs w:val="21"/>
              </w:rPr>
              <w:t>最近环境敏感目标</w:t>
            </w:r>
            <w:r>
              <w:rPr>
                <w:szCs w:val="21"/>
                <w:u w:val="single"/>
              </w:rPr>
              <w:t xml:space="preserve"> </w:t>
            </w:r>
            <w:r>
              <w:rPr>
                <w:szCs w:val="21"/>
                <w:u w:val="single"/>
              </w:rPr>
              <w:tab/>
            </w:r>
            <w:r>
              <w:rPr>
                <w:szCs w:val="21"/>
              </w:rPr>
              <w:t>，到达时间</w:t>
            </w:r>
            <w:r>
              <w:rPr>
                <w:szCs w:val="21"/>
                <w:u w:val="single"/>
              </w:rPr>
              <w:t xml:space="preserve"> </w:t>
            </w:r>
            <w:r>
              <w:rPr>
                <w:szCs w:val="21"/>
                <w:u w:val="single"/>
              </w:rPr>
              <w:tab/>
            </w:r>
            <w:r>
              <w:rPr>
                <w:szCs w:val="21"/>
              </w:rPr>
              <w:t>d</w:t>
            </w:r>
          </w:p>
        </w:tc>
      </w:tr>
      <w:tr w14:paraId="1A589C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850" w:type="pct"/>
            <w:gridSpan w:val="2"/>
            <w:tcBorders>
              <w:top w:val="single" w:color="000000" w:sz="4" w:space="0"/>
              <w:bottom w:val="single" w:color="000000" w:sz="4" w:space="0"/>
              <w:right w:val="single" w:color="000000" w:sz="4" w:space="0"/>
            </w:tcBorders>
            <w:vAlign w:val="center"/>
          </w:tcPr>
          <w:p w14:paraId="48DDDBAD">
            <w:pPr>
              <w:pStyle w:val="160"/>
              <w:autoSpaceDE w:val="0"/>
              <w:autoSpaceDN w:val="0"/>
              <w:rPr>
                <w:szCs w:val="21"/>
              </w:rPr>
            </w:pPr>
            <w:r>
              <w:rPr>
                <w:szCs w:val="21"/>
              </w:rPr>
              <w:t>重点风险</w:t>
            </w:r>
          </w:p>
          <w:p w14:paraId="02414D26">
            <w:pPr>
              <w:pStyle w:val="160"/>
              <w:autoSpaceDE w:val="0"/>
              <w:autoSpaceDN w:val="0"/>
              <w:rPr>
                <w:szCs w:val="21"/>
              </w:rPr>
            </w:pPr>
            <w:r>
              <w:rPr>
                <w:szCs w:val="21"/>
              </w:rPr>
              <w:t>防范措施</w:t>
            </w:r>
          </w:p>
        </w:tc>
        <w:tc>
          <w:tcPr>
            <w:tcW w:w="4150" w:type="pct"/>
            <w:gridSpan w:val="7"/>
            <w:tcBorders>
              <w:top w:val="single" w:color="000000" w:sz="4" w:space="0"/>
              <w:left w:val="single" w:color="000000" w:sz="4" w:space="0"/>
              <w:bottom w:val="single" w:color="000000" w:sz="4" w:space="0"/>
            </w:tcBorders>
            <w:vAlign w:val="center"/>
          </w:tcPr>
          <w:p w14:paraId="1E39615B">
            <w:pPr>
              <w:pStyle w:val="160"/>
              <w:autoSpaceDE w:val="0"/>
              <w:autoSpaceDN w:val="0"/>
              <w:jc w:val="left"/>
              <w:rPr>
                <w:szCs w:val="21"/>
              </w:rPr>
            </w:pPr>
            <w:r>
              <w:rPr>
                <w:szCs w:val="21"/>
              </w:rPr>
              <w:t>废矿物油储存在封闭桶内并放置专用防漏托盘内，暂存于</w:t>
            </w:r>
            <w:r>
              <w:rPr>
                <w:rFonts w:hint="eastAsia"/>
                <w:szCs w:val="21"/>
              </w:rPr>
              <w:t>危废贮存点</w:t>
            </w:r>
            <w:r>
              <w:rPr>
                <w:szCs w:val="21"/>
              </w:rPr>
              <w:t>，且危废贮存点采取防风、防雨、防晒措施，定期检查。</w:t>
            </w:r>
          </w:p>
        </w:tc>
      </w:tr>
      <w:tr w14:paraId="5D4CBA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850" w:type="pct"/>
            <w:gridSpan w:val="2"/>
            <w:tcBorders>
              <w:top w:val="single" w:color="000000" w:sz="4" w:space="0"/>
              <w:bottom w:val="single" w:color="000000" w:sz="4" w:space="0"/>
              <w:right w:val="single" w:color="000000" w:sz="4" w:space="0"/>
            </w:tcBorders>
            <w:vAlign w:val="center"/>
          </w:tcPr>
          <w:p w14:paraId="5479C7ED">
            <w:pPr>
              <w:pStyle w:val="160"/>
              <w:autoSpaceDE w:val="0"/>
              <w:autoSpaceDN w:val="0"/>
              <w:rPr>
                <w:szCs w:val="21"/>
              </w:rPr>
            </w:pPr>
            <w:r>
              <w:rPr>
                <w:szCs w:val="21"/>
              </w:rPr>
              <w:t>评价结论与建议</w:t>
            </w:r>
          </w:p>
        </w:tc>
        <w:tc>
          <w:tcPr>
            <w:tcW w:w="4150" w:type="pct"/>
            <w:gridSpan w:val="7"/>
            <w:tcBorders>
              <w:top w:val="single" w:color="000000" w:sz="4" w:space="0"/>
              <w:left w:val="single" w:color="000000" w:sz="4" w:space="0"/>
              <w:bottom w:val="single" w:color="000000" w:sz="4" w:space="0"/>
            </w:tcBorders>
            <w:vAlign w:val="center"/>
          </w:tcPr>
          <w:p w14:paraId="5EF7A39D">
            <w:pPr>
              <w:pStyle w:val="160"/>
              <w:autoSpaceDE w:val="0"/>
              <w:autoSpaceDN w:val="0"/>
              <w:rPr>
                <w:szCs w:val="21"/>
              </w:rPr>
            </w:pPr>
            <w:r>
              <w:rPr>
                <w:szCs w:val="21"/>
              </w:rPr>
              <w:t>项目存在一定风险，但风险处于环境可接受的水平，项目风险防范措施可行。综合分析，项目从环境风险角度可行。</w:t>
            </w:r>
          </w:p>
        </w:tc>
      </w:tr>
      <w:tr w14:paraId="40A4C9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5000" w:type="pct"/>
            <w:gridSpan w:val="9"/>
            <w:tcBorders>
              <w:top w:val="single" w:color="000000" w:sz="4" w:space="0"/>
            </w:tcBorders>
            <w:vAlign w:val="center"/>
          </w:tcPr>
          <w:p w14:paraId="638A0313">
            <w:pPr>
              <w:pStyle w:val="160"/>
              <w:autoSpaceDE w:val="0"/>
              <w:autoSpaceDN w:val="0"/>
              <w:rPr>
                <w:szCs w:val="21"/>
              </w:rPr>
            </w:pPr>
            <w:r>
              <w:rPr>
                <w:szCs w:val="21"/>
              </w:rPr>
              <w:t>注：“□”为勾选项，“</w:t>
            </w:r>
            <w:r>
              <w:rPr>
                <w:szCs w:val="21"/>
                <w:u w:val="single"/>
              </w:rPr>
              <w:t xml:space="preserve"> </w:t>
            </w:r>
            <w:r>
              <w:rPr>
                <w:szCs w:val="21"/>
                <w:u w:val="single"/>
              </w:rPr>
              <w:tab/>
            </w:r>
            <w:r>
              <w:rPr>
                <w:szCs w:val="21"/>
              </w:rPr>
              <w:t>”为填写项。</w:t>
            </w:r>
          </w:p>
        </w:tc>
      </w:tr>
    </w:tbl>
    <w:p w14:paraId="0CE20F71">
      <w:pPr>
        <w:spacing w:before="78"/>
      </w:pPr>
    </w:p>
    <w:p w14:paraId="57770CD5">
      <w:pPr>
        <w:spacing w:before="78"/>
      </w:pPr>
    </w:p>
    <w:bookmarkEnd w:id="678"/>
    <w:p w14:paraId="0D343CB8">
      <w:pPr>
        <w:spacing w:before="78"/>
      </w:pPr>
    </w:p>
    <w:p w14:paraId="280A238E">
      <w:pPr>
        <w:spacing w:before="78"/>
      </w:pPr>
    </w:p>
    <w:p w14:paraId="31FD5835">
      <w:pPr>
        <w:spacing w:before="78"/>
        <w:sectPr>
          <w:pgSz w:w="11906" w:h="16838"/>
          <w:pgMar w:top="1440" w:right="1797" w:bottom="1440" w:left="1797" w:header="850" w:footer="964" w:gutter="0"/>
          <w:cols w:space="720" w:num="1"/>
          <w:docGrid w:type="lines" w:linePitch="312" w:charSpace="0"/>
        </w:sectPr>
      </w:pPr>
    </w:p>
    <w:p w14:paraId="0DB49C1D">
      <w:pPr>
        <w:pStyle w:val="3"/>
        <w:rPr>
          <w:color w:val="auto"/>
        </w:rPr>
      </w:pPr>
      <w:bookmarkStart w:id="679" w:name="_Toc49074070"/>
      <w:bookmarkStart w:id="680" w:name="_Toc6414"/>
      <w:bookmarkStart w:id="681" w:name="_Toc48917742"/>
      <w:bookmarkStart w:id="682" w:name="_Toc239274315"/>
      <w:r>
        <w:rPr>
          <w:color w:val="auto"/>
        </w:rPr>
        <w:t>附件</w:t>
      </w:r>
      <w:bookmarkEnd w:id="679"/>
      <w:bookmarkEnd w:id="680"/>
      <w:bookmarkEnd w:id="681"/>
      <w:bookmarkEnd w:id="682"/>
    </w:p>
    <w:p w14:paraId="64D5B5D6">
      <w:pPr>
        <w:pStyle w:val="4"/>
        <w:rPr>
          <w:color w:val="auto"/>
        </w:rPr>
      </w:pPr>
      <w:bookmarkStart w:id="683" w:name="_Toc239274316"/>
      <w:bookmarkStart w:id="684" w:name="_Toc157020273"/>
      <w:r>
        <w:rPr>
          <w:rFonts w:ascii="Times New Roman" w:hAnsi="Times New Roman" w:eastAsia="宋体"/>
          <w:color w:val="auto"/>
        </w:rPr>
        <w:t>附件1环评委托书</w:t>
      </w:r>
      <w:bookmarkEnd w:id="683"/>
      <w:bookmarkEnd w:id="684"/>
    </w:p>
    <w:p w14:paraId="62459E85">
      <w:pPr>
        <w:pStyle w:val="143"/>
        <w:spacing w:before="159"/>
      </w:pPr>
      <w:bookmarkStart w:id="685" w:name="_Toc157020274"/>
      <w:r>
        <w:drawing>
          <wp:inline distT="0" distB="0" distL="0" distR="0">
            <wp:extent cx="5505450" cy="7115175"/>
            <wp:effectExtent l="0" t="0" r="0" b="0"/>
            <wp:docPr id="1277316676"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316676" name="图片 51"/>
                    <pic:cNvPicPr>
                      <a:picLocks noChangeAspect="1" noChangeArrowheads="1"/>
                    </pic:cNvPicPr>
                  </pic:nvPicPr>
                  <pic:blipFill>
                    <a:blip r:embed="rId152"/>
                    <a:srcRect b="9458"/>
                    <a:stretch>
                      <a:fillRect/>
                    </a:stretch>
                  </pic:blipFill>
                  <pic:spPr>
                    <a:xfrm>
                      <a:off x="0" y="0"/>
                      <a:ext cx="5511567" cy="7122517"/>
                    </a:xfrm>
                    <a:prstGeom prst="rect">
                      <a:avLst/>
                    </a:prstGeom>
                    <a:noFill/>
                    <a:ln>
                      <a:noFill/>
                    </a:ln>
                  </pic:spPr>
                </pic:pic>
              </a:graphicData>
            </a:graphic>
          </wp:inline>
        </w:drawing>
      </w:r>
    </w:p>
    <w:p w14:paraId="0EFD7BC2">
      <w:pPr>
        <w:pStyle w:val="4"/>
        <w:rPr>
          <w:rFonts w:ascii="Times New Roman" w:hAnsi="Times New Roman" w:eastAsia="宋体"/>
          <w:color w:val="auto"/>
        </w:rPr>
      </w:pPr>
      <w:bookmarkStart w:id="686" w:name="_Toc239274317"/>
      <w:r>
        <w:rPr>
          <w:rFonts w:ascii="Times New Roman" w:hAnsi="Times New Roman" w:eastAsia="宋体"/>
          <w:color w:val="auto"/>
        </w:rPr>
        <w:t>附件2</w:t>
      </w:r>
      <w:r>
        <w:rPr>
          <w:rFonts w:hint="eastAsia" w:ascii="Times New Roman" w:hAnsi="Times New Roman" w:eastAsia="宋体"/>
          <w:color w:val="auto"/>
        </w:rPr>
        <w:t>营业执照</w:t>
      </w:r>
      <w:bookmarkEnd w:id="685"/>
      <w:bookmarkEnd w:id="686"/>
    </w:p>
    <w:p w14:paraId="301C4344">
      <w:pPr>
        <w:pStyle w:val="135"/>
        <w:spacing w:before="0" w:beforeLines="0" w:line="240" w:lineRule="auto"/>
        <w:jc w:val="center"/>
      </w:pPr>
      <w:r>
        <w:drawing>
          <wp:inline distT="0" distB="0" distL="0" distR="0">
            <wp:extent cx="6917690" cy="5041900"/>
            <wp:effectExtent l="4445" t="0" r="1905" b="1905"/>
            <wp:docPr id="2924819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48196" name="图片 1"/>
                    <pic:cNvPicPr>
                      <a:picLocks noChangeAspect="1"/>
                    </pic:cNvPicPr>
                  </pic:nvPicPr>
                  <pic:blipFill>
                    <a:blip r:embed="rId153"/>
                    <a:stretch>
                      <a:fillRect/>
                    </a:stretch>
                  </pic:blipFill>
                  <pic:spPr>
                    <a:xfrm rot="16200000">
                      <a:off x="0" y="0"/>
                      <a:ext cx="6935129" cy="5054975"/>
                    </a:xfrm>
                    <a:prstGeom prst="rect">
                      <a:avLst/>
                    </a:prstGeom>
                  </pic:spPr>
                </pic:pic>
              </a:graphicData>
            </a:graphic>
          </wp:inline>
        </w:drawing>
      </w:r>
      <w:bookmarkStart w:id="687" w:name="_Toc157020275"/>
    </w:p>
    <w:p w14:paraId="7AEF4DD8">
      <w:pPr>
        <w:pStyle w:val="135"/>
        <w:spacing w:before="0" w:beforeLines="0" w:line="240" w:lineRule="auto"/>
      </w:pPr>
    </w:p>
    <w:p w14:paraId="5816587A">
      <w:pPr>
        <w:pStyle w:val="135"/>
        <w:spacing w:before="0" w:beforeLines="0" w:line="240" w:lineRule="auto"/>
      </w:pPr>
    </w:p>
    <w:p w14:paraId="658F8174">
      <w:pPr>
        <w:pStyle w:val="135"/>
        <w:spacing w:before="0" w:beforeLines="0" w:line="240" w:lineRule="auto"/>
      </w:pPr>
    </w:p>
    <w:p w14:paraId="6151E16C">
      <w:pPr>
        <w:pStyle w:val="135"/>
        <w:spacing w:before="0" w:beforeLines="0" w:line="240" w:lineRule="auto"/>
      </w:pPr>
    </w:p>
    <w:p w14:paraId="0215F906">
      <w:pPr>
        <w:pStyle w:val="135"/>
        <w:spacing w:before="0" w:beforeLines="0" w:line="240" w:lineRule="auto"/>
      </w:pPr>
    </w:p>
    <w:p w14:paraId="159A6374">
      <w:pPr>
        <w:pStyle w:val="135"/>
        <w:spacing w:before="0" w:beforeLines="0" w:line="240" w:lineRule="auto"/>
      </w:pPr>
    </w:p>
    <w:p w14:paraId="58821C8E">
      <w:pPr>
        <w:pStyle w:val="4"/>
        <w:rPr>
          <w:rFonts w:ascii="Times New Roman" w:hAnsi="Times New Roman" w:eastAsia="宋体"/>
          <w:color w:val="auto"/>
        </w:rPr>
      </w:pPr>
      <w:bookmarkStart w:id="688" w:name="_Toc239274318"/>
      <w:r>
        <w:rPr>
          <w:rFonts w:ascii="Times New Roman" w:hAnsi="Times New Roman" w:eastAsia="宋体"/>
          <w:color w:val="auto"/>
        </w:rPr>
        <w:t>附件3项目备案证明</w:t>
      </w:r>
      <w:bookmarkEnd w:id="687"/>
      <w:bookmarkEnd w:id="688"/>
    </w:p>
    <w:p w14:paraId="128E5F43">
      <w:pPr>
        <w:adjustRightInd w:val="0"/>
        <w:snapToGrid w:val="0"/>
        <w:spacing w:before="0" w:beforeLines="0" w:line="240" w:lineRule="auto"/>
        <w:rPr>
          <w:b/>
          <w:kern w:val="32"/>
          <w:sz w:val="32"/>
          <w:szCs w:val="20"/>
        </w:rPr>
      </w:pPr>
      <w:r>
        <w:drawing>
          <wp:inline distT="0" distB="0" distL="0" distR="0">
            <wp:extent cx="5278120" cy="7481570"/>
            <wp:effectExtent l="0" t="0" r="0" b="5080"/>
            <wp:docPr id="26530407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304077" name="图片 1"/>
                    <pic:cNvPicPr>
                      <a:picLocks noChangeAspect="1"/>
                    </pic:cNvPicPr>
                  </pic:nvPicPr>
                  <pic:blipFill>
                    <a:blip r:embed="rId154"/>
                    <a:stretch>
                      <a:fillRect/>
                    </a:stretch>
                  </pic:blipFill>
                  <pic:spPr>
                    <a:xfrm>
                      <a:off x="0" y="0"/>
                      <a:ext cx="5278120" cy="7481570"/>
                    </a:xfrm>
                    <a:prstGeom prst="rect">
                      <a:avLst/>
                    </a:prstGeom>
                  </pic:spPr>
                </pic:pic>
              </a:graphicData>
            </a:graphic>
          </wp:inline>
        </w:drawing>
      </w:r>
    </w:p>
    <w:p w14:paraId="479C1FFE">
      <w:pPr>
        <w:pStyle w:val="4"/>
        <w:rPr>
          <w:rFonts w:ascii="Times New Roman" w:hAnsi="Times New Roman" w:eastAsia="宋体"/>
          <w:color w:val="auto"/>
        </w:rPr>
      </w:pPr>
      <w:bookmarkStart w:id="689" w:name="_Toc239274319"/>
      <w:bookmarkStart w:id="690" w:name="_Toc157020276"/>
      <w:r>
        <w:rPr>
          <w:rFonts w:hint="eastAsia"/>
          <w:color w:val="auto"/>
        </w:rPr>
        <w:drawing>
          <wp:anchor distT="0" distB="0" distL="114300" distR="114300" simplePos="0" relativeHeight="251698176" behindDoc="0" locked="0" layoutInCell="1" allowOverlap="1">
            <wp:simplePos x="0" y="0"/>
            <wp:positionH relativeFrom="margin">
              <wp:align>right</wp:align>
            </wp:positionH>
            <wp:positionV relativeFrom="paragraph">
              <wp:posOffset>666750</wp:posOffset>
            </wp:positionV>
            <wp:extent cx="5276850" cy="7458075"/>
            <wp:effectExtent l="0" t="0" r="0" b="9525"/>
            <wp:wrapTopAndBottom/>
            <wp:docPr id="1425126824"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126824" name="图片 52"/>
                    <pic:cNvPicPr>
                      <a:picLocks noChangeAspect="1" noChangeArrowheads="1"/>
                    </pic:cNvPicPr>
                  </pic:nvPicPr>
                  <pic:blipFill>
                    <a:blip r:embed="rId155"/>
                    <a:srcRect/>
                    <a:stretch>
                      <a:fillRect/>
                    </a:stretch>
                  </pic:blipFill>
                  <pic:spPr>
                    <a:xfrm rot="10800000">
                      <a:off x="0" y="0"/>
                      <a:ext cx="5276850" cy="7458075"/>
                    </a:xfrm>
                    <a:prstGeom prst="rect">
                      <a:avLst/>
                    </a:prstGeom>
                    <a:noFill/>
                    <a:ln>
                      <a:noFill/>
                    </a:ln>
                  </pic:spPr>
                </pic:pic>
              </a:graphicData>
            </a:graphic>
          </wp:anchor>
        </w:drawing>
      </w:r>
      <w:r>
        <w:rPr>
          <w:rFonts w:ascii="Times New Roman" w:hAnsi="Times New Roman" w:eastAsia="宋体"/>
          <w:color w:val="auto"/>
        </w:rPr>
        <w:t>附件</w:t>
      </w:r>
      <w:r>
        <w:rPr>
          <w:rFonts w:hint="eastAsia" w:ascii="Times New Roman" w:hAnsi="Times New Roman" w:eastAsia="宋体"/>
          <w:color w:val="auto"/>
        </w:rPr>
        <w:t>4</w:t>
      </w:r>
      <w:r>
        <w:rPr>
          <w:rFonts w:ascii="Times New Roman" w:hAnsi="Times New Roman" w:eastAsia="宋体"/>
          <w:color w:val="auto"/>
        </w:rPr>
        <w:t>项目</w:t>
      </w:r>
      <w:r>
        <w:rPr>
          <w:rFonts w:hint="eastAsia" w:ascii="Times New Roman" w:hAnsi="Times New Roman" w:eastAsia="宋体"/>
          <w:color w:val="auto"/>
        </w:rPr>
        <w:t>不涉及林草地</w:t>
      </w:r>
      <w:r>
        <w:rPr>
          <w:rFonts w:ascii="Times New Roman" w:hAnsi="Times New Roman" w:eastAsia="宋体"/>
          <w:color w:val="auto"/>
        </w:rPr>
        <w:t>证明</w:t>
      </w:r>
      <w:bookmarkEnd w:id="689"/>
    </w:p>
    <w:p w14:paraId="26C999F8">
      <w:pPr>
        <w:spacing w:before="79"/>
      </w:pPr>
    </w:p>
    <w:p w14:paraId="5970A17A">
      <w:pPr>
        <w:spacing w:before="79"/>
      </w:pPr>
    </w:p>
    <w:p w14:paraId="18430552">
      <w:pPr>
        <w:spacing w:before="79"/>
      </w:pPr>
      <w:r>
        <w:drawing>
          <wp:anchor distT="0" distB="0" distL="114300" distR="114300" simplePos="0" relativeHeight="251724800" behindDoc="0" locked="0" layoutInCell="1" allowOverlap="1">
            <wp:simplePos x="0" y="0"/>
            <wp:positionH relativeFrom="column">
              <wp:posOffset>1905</wp:posOffset>
            </wp:positionH>
            <wp:positionV relativeFrom="paragraph">
              <wp:posOffset>0</wp:posOffset>
            </wp:positionV>
            <wp:extent cx="5273675" cy="7456170"/>
            <wp:effectExtent l="0" t="0" r="3175" b="0"/>
            <wp:wrapSquare wrapText="bothSides"/>
            <wp:docPr id="106700245"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00245" name="图片 57"/>
                    <pic:cNvPicPr>
                      <a:picLocks noChangeAspect="1" noChangeArrowheads="1"/>
                    </pic:cNvPicPr>
                  </pic:nvPicPr>
                  <pic:blipFill>
                    <a:blip r:embed="rId156"/>
                    <a:srcRect/>
                    <a:stretch>
                      <a:fillRect/>
                    </a:stretch>
                  </pic:blipFill>
                  <pic:spPr>
                    <a:xfrm>
                      <a:off x="0" y="0"/>
                      <a:ext cx="5273675" cy="7456170"/>
                    </a:xfrm>
                    <a:prstGeom prst="rect">
                      <a:avLst/>
                    </a:prstGeom>
                    <a:noFill/>
                  </pic:spPr>
                </pic:pic>
              </a:graphicData>
            </a:graphic>
          </wp:anchor>
        </w:drawing>
      </w:r>
    </w:p>
    <w:p w14:paraId="6E6CF151">
      <w:pPr>
        <w:spacing w:before="79"/>
      </w:pPr>
    </w:p>
    <w:p w14:paraId="7AEFE245">
      <w:pPr>
        <w:spacing w:before="79"/>
      </w:pPr>
    </w:p>
    <w:p w14:paraId="28D09438">
      <w:pPr>
        <w:spacing w:before="79"/>
      </w:pPr>
    </w:p>
    <w:p w14:paraId="08EBB198">
      <w:pPr>
        <w:spacing w:before="79"/>
      </w:pPr>
      <w:r>
        <w:rPr>
          <w:rFonts w:hint="eastAsia"/>
        </w:rPr>
        <w:drawing>
          <wp:anchor distT="0" distB="0" distL="114300" distR="114300" simplePos="0" relativeHeight="251725824" behindDoc="0" locked="0" layoutInCell="1" allowOverlap="1">
            <wp:simplePos x="0" y="0"/>
            <wp:positionH relativeFrom="margin">
              <wp:align>right</wp:align>
            </wp:positionH>
            <wp:positionV relativeFrom="paragraph">
              <wp:posOffset>262890</wp:posOffset>
            </wp:positionV>
            <wp:extent cx="5276850" cy="7458075"/>
            <wp:effectExtent l="0" t="0" r="0" b="9525"/>
            <wp:wrapTopAndBottom/>
            <wp:docPr id="1473845787" name="图片 54" descr="图片包含 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845787" name="图片 54" descr="图片包含 文本&#10;&#10;描述已自动生成"/>
                    <pic:cNvPicPr>
                      <a:picLocks noChangeAspect="1" noChangeArrowheads="1"/>
                    </pic:cNvPicPr>
                  </pic:nvPicPr>
                  <pic:blipFill>
                    <a:blip r:embed="rId157"/>
                    <a:srcRect/>
                    <a:stretch>
                      <a:fillRect/>
                    </a:stretch>
                  </pic:blipFill>
                  <pic:spPr>
                    <a:xfrm rot="10800000">
                      <a:off x="0" y="0"/>
                      <a:ext cx="5276850" cy="7458075"/>
                    </a:xfrm>
                    <a:prstGeom prst="rect">
                      <a:avLst/>
                    </a:prstGeom>
                    <a:noFill/>
                    <a:ln>
                      <a:noFill/>
                    </a:ln>
                  </pic:spPr>
                </pic:pic>
              </a:graphicData>
            </a:graphic>
          </wp:anchor>
        </w:drawing>
      </w:r>
    </w:p>
    <w:p w14:paraId="50E1FAC9">
      <w:pPr>
        <w:spacing w:before="79"/>
      </w:pPr>
    </w:p>
    <w:p w14:paraId="7AE9417D">
      <w:pPr>
        <w:pStyle w:val="4"/>
        <w:rPr>
          <w:rFonts w:ascii="Times New Roman" w:hAnsi="Times New Roman" w:eastAsia="宋体"/>
          <w:color w:val="auto"/>
        </w:rPr>
      </w:pPr>
      <w:bookmarkStart w:id="691" w:name="_Toc239274320"/>
      <w:r>
        <w:rPr>
          <w:rFonts w:hint="eastAsia" w:ascii="Times New Roman" w:hAnsi="Times New Roman" w:eastAsia="宋体"/>
          <w:color w:val="auto"/>
        </w:rPr>
        <w:t>附件5土地租赁协议</w:t>
      </w:r>
      <w:bookmarkEnd w:id="690"/>
      <w:bookmarkEnd w:id="691"/>
    </w:p>
    <w:p w14:paraId="6182426F">
      <w:pPr>
        <w:spacing w:before="0" w:beforeLines="0" w:line="240" w:lineRule="auto"/>
        <w:jc w:val="center"/>
        <w:rPr>
          <w:b/>
          <w:kern w:val="32"/>
          <w:sz w:val="32"/>
          <w:szCs w:val="20"/>
        </w:rPr>
      </w:pPr>
      <w:r>
        <w:drawing>
          <wp:inline distT="0" distB="0" distL="0" distR="0">
            <wp:extent cx="5278120" cy="7300595"/>
            <wp:effectExtent l="0" t="0" r="0" b="0"/>
            <wp:docPr id="141989128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891285" name="图片 1"/>
                    <pic:cNvPicPr>
                      <a:picLocks noChangeAspect="1"/>
                    </pic:cNvPicPr>
                  </pic:nvPicPr>
                  <pic:blipFill>
                    <a:blip r:embed="rId158"/>
                    <a:stretch>
                      <a:fillRect/>
                    </a:stretch>
                  </pic:blipFill>
                  <pic:spPr>
                    <a:xfrm>
                      <a:off x="0" y="0"/>
                      <a:ext cx="5278120" cy="7300595"/>
                    </a:xfrm>
                    <a:prstGeom prst="rect">
                      <a:avLst/>
                    </a:prstGeom>
                  </pic:spPr>
                </pic:pic>
              </a:graphicData>
            </a:graphic>
          </wp:inline>
        </w:drawing>
      </w:r>
    </w:p>
    <w:p w14:paraId="5D3B7710">
      <w:pPr>
        <w:spacing w:before="79"/>
        <w:rPr>
          <w:b/>
          <w:kern w:val="32"/>
          <w:sz w:val="32"/>
          <w:szCs w:val="20"/>
        </w:rPr>
      </w:pPr>
    </w:p>
    <w:p w14:paraId="4E66F446">
      <w:pPr>
        <w:spacing w:before="79"/>
        <w:rPr>
          <w:b/>
          <w:kern w:val="32"/>
          <w:sz w:val="32"/>
          <w:szCs w:val="20"/>
        </w:rPr>
      </w:pPr>
    </w:p>
    <w:p w14:paraId="4F829F5C">
      <w:pPr>
        <w:pStyle w:val="4"/>
        <w:rPr>
          <w:rFonts w:ascii="Times New Roman" w:hAnsi="Times New Roman" w:eastAsia="宋体"/>
          <w:color w:val="auto"/>
        </w:rPr>
      </w:pPr>
      <w:bookmarkStart w:id="692" w:name="_Toc239274321"/>
      <w:r>
        <w:rPr>
          <w:rFonts w:hint="eastAsia" w:ascii="Times New Roman" w:hAnsi="Times New Roman" w:eastAsia="宋体"/>
          <w:color w:val="auto"/>
        </w:rPr>
        <w:t>附件6用地规划说明</w:t>
      </w:r>
      <w:bookmarkEnd w:id="692"/>
    </w:p>
    <w:p w14:paraId="3431B0C9">
      <w:pPr>
        <w:pStyle w:val="190"/>
        <w:ind w:firstLine="0" w:firstLineChars="0"/>
      </w:pPr>
      <w:r>
        <w:drawing>
          <wp:inline distT="0" distB="0" distL="0" distR="0">
            <wp:extent cx="5248275" cy="7461885"/>
            <wp:effectExtent l="0" t="0" r="0" b="5715"/>
            <wp:docPr id="2079341061"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341061" name="图片 57"/>
                    <pic:cNvPicPr>
                      <a:picLocks noChangeAspect="1" noChangeArrowheads="1"/>
                    </pic:cNvPicPr>
                  </pic:nvPicPr>
                  <pic:blipFill>
                    <a:blip r:embed="rId159"/>
                    <a:srcRect l="4154" t="4738" r="11509" b="5362"/>
                    <a:stretch>
                      <a:fillRect/>
                    </a:stretch>
                  </pic:blipFill>
                  <pic:spPr>
                    <a:xfrm>
                      <a:off x="0" y="0"/>
                      <a:ext cx="5252375" cy="7468044"/>
                    </a:xfrm>
                    <a:prstGeom prst="rect">
                      <a:avLst/>
                    </a:prstGeom>
                    <a:noFill/>
                    <a:ln>
                      <a:noFill/>
                    </a:ln>
                  </pic:spPr>
                </pic:pic>
              </a:graphicData>
            </a:graphic>
          </wp:inline>
        </w:drawing>
      </w:r>
    </w:p>
    <w:p w14:paraId="0791EAF0">
      <w:pPr>
        <w:spacing w:before="79"/>
        <w:rPr>
          <w:b/>
          <w:kern w:val="32"/>
          <w:sz w:val="32"/>
          <w:szCs w:val="20"/>
        </w:rPr>
      </w:pPr>
    </w:p>
    <w:p w14:paraId="1485017D">
      <w:pPr>
        <w:spacing w:before="79"/>
        <w:rPr>
          <w:b/>
          <w:kern w:val="32"/>
          <w:sz w:val="32"/>
          <w:szCs w:val="20"/>
        </w:rPr>
      </w:pPr>
    </w:p>
    <w:p w14:paraId="3106A7E0">
      <w:pPr>
        <w:spacing w:before="79"/>
        <w:rPr>
          <w:b/>
          <w:kern w:val="32"/>
          <w:sz w:val="32"/>
          <w:szCs w:val="20"/>
        </w:rPr>
      </w:pPr>
      <w:r>
        <w:drawing>
          <wp:anchor distT="0" distB="0" distL="114300" distR="114300" simplePos="0" relativeHeight="251727872" behindDoc="0" locked="0" layoutInCell="1" allowOverlap="1">
            <wp:simplePos x="0" y="0"/>
            <wp:positionH relativeFrom="margin">
              <wp:align>left</wp:align>
            </wp:positionH>
            <wp:positionV relativeFrom="margin">
              <wp:align>top</wp:align>
            </wp:positionV>
            <wp:extent cx="5274310" cy="7361555"/>
            <wp:effectExtent l="0" t="0" r="2540" b="0"/>
            <wp:wrapSquare wrapText="bothSides"/>
            <wp:docPr id="149525084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250845" name="图片 1"/>
                    <pic:cNvPicPr>
                      <a:picLocks noChangeAspect="1"/>
                    </pic:cNvPicPr>
                  </pic:nvPicPr>
                  <pic:blipFill>
                    <a:blip r:embed="rId160"/>
                    <a:stretch>
                      <a:fillRect/>
                    </a:stretch>
                  </pic:blipFill>
                  <pic:spPr>
                    <a:xfrm>
                      <a:off x="0" y="0"/>
                      <a:ext cx="5274310" cy="7361555"/>
                    </a:xfrm>
                    <a:prstGeom prst="rect">
                      <a:avLst/>
                    </a:prstGeom>
                  </pic:spPr>
                </pic:pic>
              </a:graphicData>
            </a:graphic>
          </wp:anchor>
        </w:drawing>
      </w:r>
    </w:p>
    <w:p w14:paraId="5BD73600">
      <w:pPr>
        <w:spacing w:before="79"/>
        <w:rPr>
          <w:b/>
          <w:kern w:val="32"/>
          <w:sz w:val="32"/>
          <w:szCs w:val="20"/>
        </w:rPr>
      </w:pPr>
    </w:p>
    <w:p w14:paraId="22CAE36A">
      <w:pPr>
        <w:spacing w:before="79"/>
        <w:rPr>
          <w:b/>
          <w:kern w:val="32"/>
          <w:sz w:val="32"/>
          <w:szCs w:val="20"/>
        </w:rPr>
      </w:pPr>
    </w:p>
    <w:p w14:paraId="2C285F1D">
      <w:pPr>
        <w:spacing w:before="79"/>
        <w:rPr>
          <w:b/>
          <w:kern w:val="32"/>
          <w:sz w:val="32"/>
          <w:szCs w:val="20"/>
        </w:rPr>
      </w:pPr>
    </w:p>
    <w:p w14:paraId="4D537961">
      <w:pPr>
        <w:pStyle w:val="4"/>
        <w:rPr>
          <w:rFonts w:ascii="Times New Roman" w:hAnsi="Times New Roman" w:eastAsia="宋体"/>
          <w:color w:val="auto"/>
        </w:rPr>
      </w:pPr>
      <w:bookmarkStart w:id="693" w:name="_Toc157020279"/>
      <w:bookmarkStart w:id="694" w:name="_Toc239274322"/>
      <w:r>
        <w:rPr>
          <w:rFonts w:hint="eastAsia" w:ascii="Times New Roman" w:hAnsi="Times New Roman" w:eastAsia="宋体"/>
          <w:color w:val="auto"/>
        </w:rPr>
        <w:t>附件7阜新亿升达铁选厂采矿许可证</w:t>
      </w:r>
      <w:bookmarkEnd w:id="693"/>
      <w:bookmarkEnd w:id="694"/>
    </w:p>
    <w:p w14:paraId="16644C8B">
      <w:pPr>
        <w:pStyle w:val="75"/>
        <w:spacing w:before="79"/>
        <w:ind w:left="0" w:leftChars="0" w:firstLine="0" w:firstLineChars="0"/>
      </w:pPr>
      <w:r>
        <w:drawing>
          <wp:inline distT="0" distB="0" distL="114300" distR="114300">
            <wp:extent cx="7092950" cy="5171440"/>
            <wp:effectExtent l="27305" t="10795" r="20955" b="20955"/>
            <wp:docPr id="65" name="图片 65" descr="f7d77dbc488fb7caa4e39df1671c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f7d77dbc488fb7caa4e39df1671c745"/>
                    <pic:cNvPicPr>
                      <a:picLocks noChangeAspect="1"/>
                    </pic:cNvPicPr>
                  </pic:nvPicPr>
                  <pic:blipFill>
                    <a:blip r:embed="rId161"/>
                    <a:stretch>
                      <a:fillRect/>
                    </a:stretch>
                  </pic:blipFill>
                  <pic:spPr>
                    <a:xfrm rot="16200000">
                      <a:off x="0" y="0"/>
                      <a:ext cx="7092950" cy="5171440"/>
                    </a:xfrm>
                    <a:prstGeom prst="rect">
                      <a:avLst/>
                    </a:prstGeom>
                    <a:ln>
                      <a:solidFill>
                        <a:schemeClr val="tx1"/>
                      </a:solidFill>
                    </a:ln>
                  </pic:spPr>
                </pic:pic>
              </a:graphicData>
            </a:graphic>
          </wp:inline>
        </w:drawing>
      </w:r>
    </w:p>
    <w:p w14:paraId="20D91CDB">
      <w:pPr>
        <w:spacing w:before="79"/>
        <w:rPr>
          <w:b/>
          <w:kern w:val="32"/>
          <w:sz w:val="32"/>
          <w:szCs w:val="20"/>
        </w:rPr>
      </w:pPr>
    </w:p>
    <w:p w14:paraId="4434C56A">
      <w:pPr>
        <w:spacing w:before="79"/>
        <w:rPr>
          <w:b/>
          <w:kern w:val="32"/>
          <w:sz w:val="32"/>
          <w:szCs w:val="20"/>
        </w:rPr>
      </w:pPr>
    </w:p>
    <w:p w14:paraId="378654C4">
      <w:pPr>
        <w:spacing w:before="79"/>
        <w:rPr>
          <w:b/>
          <w:kern w:val="32"/>
          <w:sz w:val="32"/>
          <w:szCs w:val="20"/>
        </w:rPr>
      </w:pPr>
    </w:p>
    <w:p w14:paraId="1594ED07">
      <w:pPr>
        <w:spacing w:before="79"/>
        <w:rPr>
          <w:b/>
          <w:kern w:val="32"/>
          <w:sz w:val="32"/>
          <w:szCs w:val="20"/>
        </w:rPr>
      </w:pPr>
      <w:r>
        <w:rPr>
          <w:b/>
          <w:kern w:val="32"/>
          <w:sz w:val="32"/>
          <w:szCs w:val="20"/>
        </w:rPr>
        <w:drawing>
          <wp:anchor distT="0" distB="0" distL="114300" distR="114300" simplePos="0" relativeHeight="251723776" behindDoc="0" locked="0" layoutInCell="1" allowOverlap="1">
            <wp:simplePos x="0" y="0"/>
            <wp:positionH relativeFrom="margin">
              <wp:posOffset>49530</wp:posOffset>
            </wp:positionH>
            <wp:positionV relativeFrom="margin">
              <wp:posOffset>333375</wp:posOffset>
            </wp:positionV>
            <wp:extent cx="5124450" cy="6244590"/>
            <wp:effectExtent l="0" t="0" r="0" b="3810"/>
            <wp:wrapSquare wrapText="bothSides"/>
            <wp:docPr id="2118704206"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704206" name="图片 60"/>
                    <pic:cNvPicPr>
                      <a:picLocks noChangeAspect="1" noChangeArrowheads="1"/>
                    </pic:cNvPicPr>
                  </pic:nvPicPr>
                  <pic:blipFill>
                    <a:blip r:embed="rId162"/>
                    <a:srcRect l="16607" t="11638" b="12178"/>
                    <a:stretch>
                      <a:fillRect/>
                    </a:stretch>
                  </pic:blipFill>
                  <pic:spPr>
                    <a:xfrm>
                      <a:off x="0" y="0"/>
                      <a:ext cx="5124450" cy="6244590"/>
                    </a:xfrm>
                    <a:prstGeom prst="rect">
                      <a:avLst/>
                    </a:prstGeom>
                    <a:noFill/>
                    <a:ln>
                      <a:noFill/>
                    </a:ln>
                  </pic:spPr>
                </pic:pic>
              </a:graphicData>
            </a:graphic>
          </wp:anchor>
        </w:drawing>
      </w:r>
    </w:p>
    <w:p w14:paraId="3239BD91">
      <w:pPr>
        <w:spacing w:before="79"/>
        <w:rPr>
          <w:b/>
          <w:kern w:val="32"/>
          <w:sz w:val="32"/>
          <w:szCs w:val="20"/>
        </w:rPr>
      </w:pPr>
    </w:p>
    <w:p w14:paraId="376EB434">
      <w:pPr>
        <w:pStyle w:val="4"/>
        <w:rPr>
          <w:rFonts w:ascii="Times New Roman" w:hAnsi="Times New Roman" w:eastAsia="宋体"/>
          <w:color w:val="auto"/>
        </w:rPr>
      </w:pPr>
      <w:bookmarkStart w:id="695" w:name="_Toc239274323"/>
      <w:bookmarkStart w:id="696" w:name="_Toc157020284"/>
      <w:r>
        <w:rPr>
          <w:rFonts w:hint="eastAsia" w:ascii="Times New Roman" w:hAnsi="Times New Roman" w:eastAsia="宋体"/>
          <w:color w:val="auto"/>
        </w:rPr>
        <w:t>附件8尾矿及废石成分检测报告</w:t>
      </w:r>
      <w:bookmarkEnd w:id="695"/>
      <w:bookmarkEnd w:id="696"/>
    </w:p>
    <w:p w14:paraId="2D03EFEE">
      <w:pPr>
        <w:pStyle w:val="189"/>
        <w:spacing w:before="79"/>
        <w:ind w:firstLine="0" w:firstLineChars="0"/>
      </w:pPr>
      <w:r>
        <w:rPr>
          <w:rFonts w:hint="eastAsia" w:ascii="宋体" w:hAnsi="宋体"/>
          <w:sz w:val="28"/>
        </w:rPr>
        <w:drawing>
          <wp:anchor distT="0" distB="0" distL="114300" distR="114300" simplePos="0" relativeHeight="251662336" behindDoc="0" locked="0" layoutInCell="1" allowOverlap="1">
            <wp:simplePos x="0" y="0"/>
            <wp:positionH relativeFrom="column">
              <wp:posOffset>-71120</wp:posOffset>
            </wp:positionH>
            <wp:positionV relativeFrom="paragraph">
              <wp:posOffset>98425</wp:posOffset>
            </wp:positionV>
            <wp:extent cx="5223510" cy="7188835"/>
            <wp:effectExtent l="9525" t="9525" r="24765" b="21590"/>
            <wp:wrapTopAndBottom/>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pic:cNvPicPr>
                  </pic:nvPicPr>
                  <pic:blipFill>
                    <a:blip r:embed="rId163"/>
                    <a:stretch>
                      <a:fillRect/>
                    </a:stretch>
                  </pic:blipFill>
                  <pic:spPr>
                    <a:xfrm>
                      <a:off x="0" y="0"/>
                      <a:ext cx="5223510" cy="7188835"/>
                    </a:xfrm>
                    <a:prstGeom prst="rect">
                      <a:avLst/>
                    </a:prstGeom>
                    <a:noFill/>
                    <a:ln>
                      <a:solidFill>
                        <a:schemeClr val="tx1"/>
                      </a:solidFill>
                    </a:ln>
                  </pic:spPr>
                </pic:pic>
              </a:graphicData>
            </a:graphic>
          </wp:anchor>
        </w:drawing>
      </w:r>
    </w:p>
    <w:p w14:paraId="0B184A6A">
      <w:pPr>
        <w:pStyle w:val="189"/>
        <w:spacing w:before="79"/>
        <w:ind w:firstLine="0" w:firstLineChars="0"/>
        <w:jc w:val="left"/>
      </w:pPr>
      <w:r>
        <w:drawing>
          <wp:anchor distT="0" distB="0" distL="114300" distR="114300" simplePos="0" relativeHeight="251695104" behindDoc="0" locked="0" layoutInCell="1" allowOverlap="1">
            <wp:simplePos x="0" y="0"/>
            <wp:positionH relativeFrom="column">
              <wp:posOffset>62865</wp:posOffset>
            </wp:positionH>
            <wp:positionV relativeFrom="paragraph">
              <wp:posOffset>229870</wp:posOffset>
            </wp:positionV>
            <wp:extent cx="5340350" cy="7389495"/>
            <wp:effectExtent l="0" t="0" r="0" b="1905"/>
            <wp:wrapTopAndBottom/>
            <wp:docPr id="556694896"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694896" name="图片 49"/>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a:xfrm>
                      <a:off x="0" y="0"/>
                      <a:ext cx="5340350" cy="7389495"/>
                    </a:xfrm>
                    <a:prstGeom prst="rect">
                      <a:avLst/>
                    </a:prstGeom>
                    <a:noFill/>
                    <a:ln>
                      <a:noFill/>
                    </a:ln>
                  </pic:spPr>
                </pic:pic>
              </a:graphicData>
            </a:graphic>
          </wp:anchor>
        </w:drawing>
      </w:r>
    </w:p>
    <w:p w14:paraId="3DEB8CE4">
      <w:pPr>
        <w:pStyle w:val="189"/>
        <w:spacing w:before="79"/>
        <w:ind w:firstLine="0" w:firstLineChars="0"/>
      </w:pPr>
    </w:p>
    <w:p w14:paraId="047A0BBC">
      <w:pPr>
        <w:pStyle w:val="189"/>
        <w:spacing w:before="79"/>
        <w:ind w:firstLine="0" w:firstLineChars="0"/>
      </w:pPr>
    </w:p>
    <w:p w14:paraId="759F19E5">
      <w:pPr>
        <w:pStyle w:val="189"/>
        <w:spacing w:before="79"/>
        <w:ind w:firstLine="0" w:firstLineChars="0"/>
      </w:pPr>
      <w:r>
        <w:drawing>
          <wp:anchor distT="0" distB="0" distL="114300" distR="114300" simplePos="0" relativeHeight="251699200" behindDoc="0" locked="0" layoutInCell="1" allowOverlap="1">
            <wp:simplePos x="0" y="0"/>
            <wp:positionH relativeFrom="margin">
              <wp:align>left</wp:align>
            </wp:positionH>
            <wp:positionV relativeFrom="margin">
              <wp:align>top</wp:align>
            </wp:positionV>
            <wp:extent cx="5365115" cy="7059930"/>
            <wp:effectExtent l="0" t="0" r="6985" b="7620"/>
            <wp:wrapSquare wrapText="bothSides"/>
            <wp:docPr id="1344172268"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172268" name="图片 50"/>
                    <pic:cNvPicPr>
                      <a:picLocks noChangeAspect="1" noChangeArrowheads="1"/>
                    </pic:cNvPicPr>
                  </pic:nvPicPr>
                  <pic:blipFill>
                    <a:blip r:embed="rId165"/>
                    <a:srcRect/>
                    <a:stretch>
                      <a:fillRect/>
                    </a:stretch>
                  </pic:blipFill>
                  <pic:spPr>
                    <a:xfrm>
                      <a:off x="0" y="0"/>
                      <a:ext cx="5365115" cy="7059930"/>
                    </a:xfrm>
                    <a:prstGeom prst="rect">
                      <a:avLst/>
                    </a:prstGeom>
                    <a:noFill/>
                  </pic:spPr>
                </pic:pic>
              </a:graphicData>
            </a:graphic>
          </wp:anchor>
        </w:drawing>
      </w:r>
    </w:p>
    <w:p w14:paraId="1088CC24">
      <w:pPr>
        <w:pStyle w:val="4"/>
        <w:rPr>
          <w:rFonts w:ascii="Times New Roman" w:hAnsi="Times New Roman" w:eastAsia="宋体"/>
          <w:color w:val="auto"/>
        </w:rPr>
      </w:pPr>
      <w:r>
        <w:rPr>
          <w:color w:val="auto"/>
        </w:rPr>
        <w:br w:type="page"/>
      </w:r>
      <w:bookmarkStart w:id="697" w:name="_Toc239274324"/>
      <w:bookmarkStart w:id="698" w:name="_Toc157020286"/>
      <w:bookmarkStart w:id="699" w:name="_Toc157020285"/>
      <w:r>
        <w:rPr>
          <w:rFonts w:hint="eastAsia" w:ascii="Times New Roman" w:hAnsi="Times New Roman" w:eastAsia="宋体"/>
          <w:color w:val="auto"/>
        </w:rPr>
        <w:t>附件9 废石及尾矿辐射检测报告</w:t>
      </w:r>
      <w:bookmarkEnd w:id="697"/>
      <w:bookmarkEnd w:id="698"/>
    </w:p>
    <w:p w14:paraId="35C15451">
      <w:pPr>
        <w:spacing w:before="79"/>
      </w:pPr>
      <w:r>
        <w:drawing>
          <wp:anchor distT="0" distB="0" distL="114300" distR="114300" simplePos="0" relativeHeight="251710464" behindDoc="0" locked="0" layoutInCell="1" allowOverlap="1">
            <wp:simplePos x="0" y="0"/>
            <wp:positionH relativeFrom="margin">
              <wp:align>right</wp:align>
            </wp:positionH>
            <wp:positionV relativeFrom="margin">
              <wp:posOffset>894715</wp:posOffset>
            </wp:positionV>
            <wp:extent cx="5200650" cy="7354570"/>
            <wp:effectExtent l="0" t="0" r="0" b="0"/>
            <wp:wrapSquare wrapText="bothSides"/>
            <wp:docPr id="1403889045"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889045" name="图片 60"/>
                    <pic:cNvPicPr>
                      <a:picLocks noChangeAspect="1" noChangeArrowheads="1"/>
                    </pic:cNvPicPr>
                  </pic:nvPicPr>
                  <pic:blipFill>
                    <a:blip r:embed="rId166"/>
                    <a:srcRect/>
                    <a:stretch>
                      <a:fillRect/>
                    </a:stretch>
                  </pic:blipFill>
                  <pic:spPr>
                    <a:xfrm>
                      <a:off x="0" y="0"/>
                      <a:ext cx="5200650" cy="7354570"/>
                    </a:xfrm>
                    <a:prstGeom prst="rect">
                      <a:avLst/>
                    </a:prstGeom>
                    <a:noFill/>
                    <a:ln>
                      <a:noFill/>
                    </a:ln>
                  </pic:spPr>
                </pic:pic>
              </a:graphicData>
            </a:graphic>
          </wp:anchor>
        </w:drawing>
      </w:r>
    </w:p>
    <w:p w14:paraId="42AAB4D8">
      <w:pPr>
        <w:spacing w:before="79"/>
      </w:pPr>
    </w:p>
    <w:p w14:paraId="5AF70216">
      <w:pPr>
        <w:spacing w:before="79"/>
      </w:pPr>
      <w:r>
        <w:drawing>
          <wp:anchor distT="0" distB="0" distL="114300" distR="114300" simplePos="0" relativeHeight="251711488" behindDoc="0" locked="0" layoutInCell="1" allowOverlap="1">
            <wp:simplePos x="0" y="0"/>
            <wp:positionH relativeFrom="margin">
              <wp:align>left</wp:align>
            </wp:positionH>
            <wp:positionV relativeFrom="margin">
              <wp:align>top</wp:align>
            </wp:positionV>
            <wp:extent cx="5278120" cy="7458710"/>
            <wp:effectExtent l="0" t="0" r="0" b="8890"/>
            <wp:wrapSquare wrapText="bothSides"/>
            <wp:docPr id="585035982"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035982" name="图片 63"/>
                    <pic:cNvPicPr>
                      <a:picLocks noChangeAspect="1" noChangeArrowheads="1"/>
                    </pic:cNvPicPr>
                  </pic:nvPicPr>
                  <pic:blipFill>
                    <a:blip r:embed="rId167"/>
                    <a:srcRect/>
                    <a:stretch>
                      <a:fillRect/>
                    </a:stretch>
                  </pic:blipFill>
                  <pic:spPr>
                    <a:xfrm>
                      <a:off x="0" y="0"/>
                      <a:ext cx="5278120" cy="7458710"/>
                    </a:xfrm>
                    <a:prstGeom prst="rect">
                      <a:avLst/>
                    </a:prstGeom>
                    <a:noFill/>
                    <a:ln>
                      <a:noFill/>
                    </a:ln>
                  </pic:spPr>
                </pic:pic>
              </a:graphicData>
            </a:graphic>
          </wp:anchor>
        </w:drawing>
      </w:r>
    </w:p>
    <w:p w14:paraId="1CB07785">
      <w:pPr>
        <w:spacing w:before="79"/>
      </w:pPr>
    </w:p>
    <w:p w14:paraId="2F1EAB9C">
      <w:pPr>
        <w:spacing w:before="79"/>
      </w:pPr>
    </w:p>
    <w:p w14:paraId="10610674">
      <w:pPr>
        <w:spacing w:before="79"/>
      </w:pPr>
    </w:p>
    <w:p w14:paraId="6694B5FF">
      <w:pPr>
        <w:spacing w:before="79"/>
      </w:pPr>
      <w:r>
        <w:drawing>
          <wp:anchor distT="0" distB="0" distL="114300" distR="114300" simplePos="0" relativeHeight="251712512" behindDoc="0" locked="0" layoutInCell="1" allowOverlap="1">
            <wp:simplePos x="0" y="0"/>
            <wp:positionH relativeFrom="margin">
              <wp:align>left</wp:align>
            </wp:positionH>
            <wp:positionV relativeFrom="margin">
              <wp:align>top</wp:align>
            </wp:positionV>
            <wp:extent cx="5278120" cy="7458710"/>
            <wp:effectExtent l="0" t="0" r="0" b="8890"/>
            <wp:wrapSquare wrapText="bothSides"/>
            <wp:docPr id="98342103"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42103" name="图片 65"/>
                    <pic:cNvPicPr>
                      <a:picLocks noChangeAspect="1" noChangeArrowheads="1"/>
                    </pic:cNvPicPr>
                  </pic:nvPicPr>
                  <pic:blipFill>
                    <a:blip r:embed="rId168"/>
                    <a:srcRect/>
                    <a:stretch>
                      <a:fillRect/>
                    </a:stretch>
                  </pic:blipFill>
                  <pic:spPr>
                    <a:xfrm>
                      <a:off x="0" y="0"/>
                      <a:ext cx="5278120" cy="7458710"/>
                    </a:xfrm>
                    <a:prstGeom prst="rect">
                      <a:avLst/>
                    </a:prstGeom>
                    <a:noFill/>
                    <a:ln>
                      <a:noFill/>
                    </a:ln>
                  </pic:spPr>
                </pic:pic>
              </a:graphicData>
            </a:graphic>
          </wp:anchor>
        </w:drawing>
      </w:r>
    </w:p>
    <w:p w14:paraId="72746FB6">
      <w:pPr>
        <w:spacing w:before="79"/>
      </w:pPr>
    </w:p>
    <w:p w14:paraId="1582C74D">
      <w:pPr>
        <w:spacing w:before="79"/>
      </w:pPr>
    </w:p>
    <w:p w14:paraId="76067046">
      <w:pPr>
        <w:spacing w:before="79"/>
      </w:pPr>
    </w:p>
    <w:p w14:paraId="5AB8E045">
      <w:pPr>
        <w:pStyle w:val="4"/>
        <w:rPr>
          <w:rFonts w:ascii="Times New Roman" w:hAnsi="Times New Roman" w:eastAsia="宋体"/>
          <w:color w:val="auto"/>
        </w:rPr>
      </w:pPr>
      <w:bookmarkStart w:id="700" w:name="_Toc239274325"/>
      <w:bookmarkStart w:id="701" w:name="OLE_LINK24"/>
      <w:r>
        <w:rPr>
          <w:rFonts w:hint="eastAsia" w:ascii="Times New Roman" w:hAnsi="Times New Roman" w:eastAsia="宋体"/>
          <w:color w:val="auto"/>
        </w:rPr>
        <w:t>附件10 泥饼浸出液监测报告</w:t>
      </w:r>
      <w:bookmarkEnd w:id="700"/>
    </w:p>
    <w:bookmarkEnd w:id="701"/>
    <w:p w14:paraId="4F34853B">
      <w:pPr>
        <w:spacing w:before="79"/>
      </w:pPr>
    </w:p>
    <w:p w14:paraId="6B0C353A">
      <w:pPr>
        <w:adjustRightInd w:val="0"/>
        <w:snapToGrid w:val="0"/>
        <w:spacing w:before="0" w:beforeLines="0" w:line="240" w:lineRule="auto"/>
        <w:jc w:val="center"/>
      </w:pPr>
      <w:r>
        <w:rPr>
          <w:rFonts w:hint="eastAsia"/>
        </w:rPr>
        <w:drawing>
          <wp:inline distT="0" distB="0" distL="114300" distR="114300">
            <wp:extent cx="5271770" cy="7536180"/>
            <wp:effectExtent l="0" t="0" r="1270" b="7620"/>
            <wp:docPr id="84" name="图片 84" descr="ef778fc9da659d6eedf0a8878eab0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descr="ef778fc9da659d6eedf0a8878eab0da"/>
                    <pic:cNvPicPr>
                      <a:picLocks noChangeAspect="1"/>
                    </pic:cNvPicPr>
                  </pic:nvPicPr>
                  <pic:blipFill>
                    <a:blip r:embed="rId169"/>
                    <a:stretch>
                      <a:fillRect/>
                    </a:stretch>
                  </pic:blipFill>
                  <pic:spPr>
                    <a:xfrm>
                      <a:off x="0" y="0"/>
                      <a:ext cx="5271770" cy="7536180"/>
                    </a:xfrm>
                    <a:prstGeom prst="rect">
                      <a:avLst/>
                    </a:prstGeom>
                  </pic:spPr>
                </pic:pic>
              </a:graphicData>
            </a:graphic>
          </wp:inline>
        </w:drawing>
      </w:r>
    </w:p>
    <w:p w14:paraId="4E62DC18">
      <w:pPr>
        <w:spacing w:before="79"/>
      </w:pPr>
    </w:p>
    <w:p w14:paraId="41A25F75">
      <w:pPr>
        <w:spacing w:before="79"/>
        <w:jc w:val="left"/>
      </w:pPr>
    </w:p>
    <w:p w14:paraId="0D34E413">
      <w:pPr>
        <w:spacing w:before="79"/>
        <w:ind w:left="360"/>
      </w:pPr>
    </w:p>
    <w:p w14:paraId="411E54D7">
      <w:pPr>
        <w:adjustRightInd w:val="0"/>
        <w:snapToGrid w:val="0"/>
        <w:spacing w:before="0" w:beforeLines="0" w:line="240" w:lineRule="auto"/>
        <w:jc w:val="center"/>
      </w:pPr>
      <w:r>
        <w:rPr>
          <w:rFonts w:hint="eastAsia"/>
        </w:rPr>
        <w:drawing>
          <wp:inline distT="0" distB="0" distL="114300" distR="114300">
            <wp:extent cx="5270500" cy="7426960"/>
            <wp:effectExtent l="0" t="0" r="2540" b="10160"/>
            <wp:docPr id="85" name="图片 85" descr="f8c05b48fd34f27743d0579815116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descr="f8c05b48fd34f27743d05798151161b"/>
                    <pic:cNvPicPr>
                      <a:picLocks noChangeAspect="1"/>
                    </pic:cNvPicPr>
                  </pic:nvPicPr>
                  <pic:blipFill>
                    <a:blip r:embed="rId170"/>
                    <a:stretch>
                      <a:fillRect/>
                    </a:stretch>
                  </pic:blipFill>
                  <pic:spPr>
                    <a:xfrm>
                      <a:off x="0" y="0"/>
                      <a:ext cx="5270500" cy="7426960"/>
                    </a:xfrm>
                    <a:prstGeom prst="rect">
                      <a:avLst/>
                    </a:prstGeom>
                  </pic:spPr>
                </pic:pic>
              </a:graphicData>
            </a:graphic>
          </wp:inline>
        </w:drawing>
      </w:r>
    </w:p>
    <w:p w14:paraId="43A98ED4">
      <w:pPr>
        <w:spacing w:before="79"/>
        <w:ind w:left="360"/>
      </w:pPr>
    </w:p>
    <w:p w14:paraId="5AD922DF">
      <w:pPr>
        <w:spacing w:before="79"/>
        <w:ind w:left="360"/>
      </w:pPr>
    </w:p>
    <w:p w14:paraId="571BA644">
      <w:pPr>
        <w:spacing w:before="79"/>
        <w:ind w:left="360"/>
      </w:pPr>
    </w:p>
    <w:p w14:paraId="5AC67610">
      <w:pPr>
        <w:spacing w:before="79"/>
        <w:ind w:left="360"/>
      </w:pPr>
    </w:p>
    <w:p w14:paraId="0AAC2B38">
      <w:pPr>
        <w:adjustRightInd w:val="0"/>
        <w:snapToGrid w:val="0"/>
        <w:spacing w:before="0" w:beforeLines="0" w:line="240" w:lineRule="auto"/>
        <w:jc w:val="center"/>
      </w:pPr>
      <w:r>
        <w:rPr>
          <w:rFonts w:hint="eastAsia"/>
        </w:rPr>
        <w:drawing>
          <wp:inline distT="0" distB="0" distL="114300" distR="114300">
            <wp:extent cx="5272405" cy="7632700"/>
            <wp:effectExtent l="0" t="0" r="635" b="2540"/>
            <wp:docPr id="86" name="图片 86" descr="4548f494f83e7893aaf6c4b945a79f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descr="4548f494f83e7893aaf6c4b945a79f4"/>
                    <pic:cNvPicPr>
                      <a:picLocks noChangeAspect="1"/>
                    </pic:cNvPicPr>
                  </pic:nvPicPr>
                  <pic:blipFill>
                    <a:blip r:embed="rId171"/>
                    <a:stretch>
                      <a:fillRect/>
                    </a:stretch>
                  </pic:blipFill>
                  <pic:spPr>
                    <a:xfrm>
                      <a:off x="0" y="0"/>
                      <a:ext cx="5272405" cy="7632700"/>
                    </a:xfrm>
                    <a:prstGeom prst="rect">
                      <a:avLst/>
                    </a:prstGeom>
                  </pic:spPr>
                </pic:pic>
              </a:graphicData>
            </a:graphic>
          </wp:inline>
        </w:drawing>
      </w:r>
    </w:p>
    <w:p w14:paraId="0A02A9EF">
      <w:pPr>
        <w:spacing w:before="79"/>
      </w:pPr>
    </w:p>
    <w:p w14:paraId="233DFE35">
      <w:pPr>
        <w:spacing w:before="79"/>
      </w:pPr>
    </w:p>
    <w:p w14:paraId="1C4DFC91">
      <w:pPr>
        <w:spacing w:before="79"/>
      </w:pPr>
    </w:p>
    <w:p w14:paraId="76DEFAD3">
      <w:pPr>
        <w:adjustRightInd w:val="0"/>
        <w:snapToGrid w:val="0"/>
        <w:spacing w:before="0" w:beforeLines="0" w:line="240" w:lineRule="auto"/>
        <w:jc w:val="center"/>
      </w:pPr>
      <w:r>
        <w:rPr>
          <w:rFonts w:hint="eastAsia"/>
        </w:rPr>
        <w:drawing>
          <wp:inline distT="0" distB="0" distL="114300" distR="114300">
            <wp:extent cx="5267325" cy="7660640"/>
            <wp:effectExtent l="0" t="0" r="5715" b="5080"/>
            <wp:docPr id="87" name="图片 87" descr="6148561423eb9a2389c8cf647639a6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descr="6148561423eb9a2389c8cf647639a6d"/>
                    <pic:cNvPicPr>
                      <a:picLocks noChangeAspect="1"/>
                    </pic:cNvPicPr>
                  </pic:nvPicPr>
                  <pic:blipFill>
                    <a:blip r:embed="rId172"/>
                    <a:stretch>
                      <a:fillRect/>
                    </a:stretch>
                  </pic:blipFill>
                  <pic:spPr>
                    <a:xfrm>
                      <a:off x="0" y="0"/>
                      <a:ext cx="5267325" cy="7660640"/>
                    </a:xfrm>
                    <a:prstGeom prst="rect">
                      <a:avLst/>
                    </a:prstGeom>
                  </pic:spPr>
                </pic:pic>
              </a:graphicData>
            </a:graphic>
          </wp:inline>
        </w:drawing>
      </w:r>
    </w:p>
    <w:p w14:paraId="63495AAD">
      <w:pPr>
        <w:spacing w:before="79"/>
      </w:pPr>
    </w:p>
    <w:p w14:paraId="10287997">
      <w:pPr>
        <w:spacing w:before="79"/>
      </w:pPr>
    </w:p>
    <w:p w14:paraId="7BCD480E">
      <w:pPr>
        <w:spacing w:before="79"/>
      </w:pPr>
    </w:p>
    <w:p w14:paraId="0D5235C1">
      <w:pPr>
        <w:spacing w:before="0" w:beforeLines="0" w:line="240" w:lineRule="auto"/>
      </w:pPr>
      <w:r>
        <w:rPr>
          <w:rFonts w:hint="eastAsia"/>
        </w:rPr>
        <w:drawing>
          <wp:inline distT="0" distB="0" distL="114300" distR="114300">
            <wp:extent cx="5263515" cy="7637780"/>
            <wp:effectExtent l="0" t="0" r="9525" b="12700"/>
            <wp:docPr id="88" name="图片 88" descr="978a8f0a6e9c55d0e4e5aef3e0f35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descr="978a8f0a6e9c55d0e4e5aef3e0f35f1"/>
                    <pic:cNvPicPr>
                      <a:picLocks noChangeAspect="1"/>
                    </pic:cNvPicPr>
                  </pic:nvPicPr>
                  <pic:blipFill>
                    <a:blip r:embed="rId173"/>
                    <a:stretch>
                      <a:fillRect/>
                    </a:stretch>
                  </pic:blipFill>
                  <pic:spPr>
                    <a:xfrm>
                      <a:off x="0" y="0"/>
                      <a:ext cx="5263515" cy="7637780"/>
                    </a:xfrm>
                    <a:prstGeom prst="rect">
                      <a:avLst/>
                    </a:prstGeom>
                  </pic:spPr>
                </pic:pic>
              </a:graphicData>
            </a:graphic>
          </wp:inline>
        </w:drawing>
      </w:r>
    </w:p>
    <w:p w14:paraId="2168ECD7">
      <w:pPr>
        <w:pStyle w:val="4"/>
        <w:rPr>
          <w:rFonts w:ascii="Times New Roman" w:hAnsi="Times New Roman" w:eastAsia="宋体"/>
          <w:color w:val="auto"/>
        </w:rPr>
      </w:pPr>
      <w:bookmarkStart w:id="702" w:name="_Toc239274326"/>
      <w:r>
        <w:rPr>
          <w:rFonts w:hint="eastAsia" w:ascii="Times New Roman" w:hAnsi="Times New Roman" w:eastAsia="宋体"/>
          <w:color w:val="auto"/>
        </w:rPr>
        <w:t>附件11 泥饼处置的说明</w:t>
      </w:r>
      <w:bookmarkEnd w:id="702"/>
    </w:p>
    <w:p w14:paraId="577A9EAF">
      <w:pPr>
        <w:spacing w:before="79"/>
      </w:pPr>
      <w:r>
        <w:drawing>
          <wp:anchor distT="0" distB="0" distL="114300" distR="114300" simplePos="0" relativeHeight="251718656" behindDoc="0" locked="0" layoutInCell="1" allowOverlap="1">
            <wp:simplePos x="0" y="0"/>
            <wp:positionH relativeFrom="margin">
              <wp:posOffset>20955</wp:posOffset>
            </wp:positionH>
            <wp:positionV relativeFrom="margin">
              <wp:posOffset>952500</wp:posOffset>
            </wp:positionV>
            <wp:extent cx="5057775" cy="7216140"/>
            <wp:effectExtent l="0" t="0" r="9525" b="3810"/>
            <wp:wrapSquare wrapText="bothSides"/>
            <wp:docPr id="30161829"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61829" name="图片 60"/>
                    <pic:cNvPicPr>
                      <a:picLocks noChangeAspect="1" noChangeArrowheads="1"/>
                    </pic:cNvPicPr>
                  </pic:nvPicPr>
                  <pic:blipFill>
                    <a:blip r:embed="rId174"/>
                    <a:srcRect/>
                    <a:stretch>
                      <a:fillRect/>
                    </a:stretch>
                  </pic:blipFill>
                  <pic:spPr>
                    <a:xfrm>
                      <a:off x="0" y="0"/>
                      <a:ext cx="5057775" cy="7216140"/>
                    </a:xfrm>
                    <a:prstGeom prst="rect">
                      <a:avLst/>
                    </a:prstGeom>
                    <a:noFill/>
                    <a:ln>
                      <a:noFill/>
                    </a:ln>
                  </pic:spPr>
                </pic:pic>
              </a:graphicData>
            </a:graphic>
          </wp:anchor>
        </w:drawing>
      </w:r>
    </w:p>
    <w:p w14:paraId="16267CB7">
      <w:pPr>
        <w:pStyle w:val="4"/>
        <w:rPr>
          <w:rFonts w:ascii="Times New Roman" w:hAnsi="Times New Roman" w:eastAsia="宋体"/>
          <w:color w:val="auto"/>
        </w:rPr>
      </w:pPr>
      <w:bookmarkStart w:id="703" w:name="_Toc239274327"/>
      <w:r>
        <w:rPr>
          <w:color w:val="auto"/>
        </w:rPr>
        <w:drawing>
          <wp:anchor distT="0" distB="0" distL="114300" distR="114300" simplePos="0" relativeHeight="251696128" behindDoc="0" locked="0" layoutInCell="1" allowOverlap="1">
            <wp:simplePos x="0" y="0"/>
            <wp:positionH relativeFrom="column">
              <wp:posOffset>-55245</wp:posOffset>
            </wp:positionH>
            <wp:positionV relativeFrom="paragraph">
              <wp:posOffset>419100</wp:posOffset>
            </wp:positionV>
            <wp:extent cx="5306695" cy="7629525"/>
            <wp:effectExtent l="0" t="0" r="8255" b="9525"/>
            <wp:wrapTopAndBottom/>
            <wp:docPr id="107433834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338340" name="图片 1"/>
                    <pic:cNvPicPr>
                      <a:picLocks noChangeAspect="1"/>
                    </pic:cNvPicPr>
                  </pic:nvPicPr>
                  <pic:blipFill>
                    <a:blip r:embed="rId175">
                      <a:extLst>
                        <a:ext uri="{28A0092B-C50C-407E-A947-70E740481C1C}">
                          <a14:useLocalDpi xmlns:a14="http://schemas.microsoft.com/office/drawing/2010/main" val="0"/>
                        </a:ext>
                      </a:extLst>
                    </a:blip>
                    <a:stretch>
                      <a:fillRect/>
                    </a:stretch>
                  </pic:blipFill>
                  <pic:spPr>
                    <a:xfrm>
                      <a:off x="0" y="0"/>
                      <a:ext cx="5306695" cy="7629525"/>
                    </a:xfrm>
                    <a:prstGeom prst="rect">
                      <a:avLst/>
                    </a:prstGeom>
                  </pic:spPr>
                </pic:pic>
              </a:graphicData>
            </a:graphic>
          </wp:anchor>
        </w:drawing>
      </w:r>
      <w:r>
        <w:rPr>
          <w:rFonts w:ascii="Times New Roman" w:hAnsi="Times New Roman" w:eastAsia="宋体"/>
          <w:color w:val="auto"/>
        </w:rPr>
        <w:t>附件</w:t>
      </w:r>
      <w:r>
        <w:rPr>
          <w:rFonts w:hint="eastAsia" w:ascii="Times New Roman" w:hAnsi="Times New Roman" w:eastAsia="宋体"/>
          <w:color w:val="auto"/>
        </w:rPr>
        <w:t>12原料来源协议</w:t>
      </w:r>
      <w:bookmarkEnd w:id="703"/>
    </w:p>
    <w:p w14:paraId="7EDD1E56">
      <w:pPr>
        <w:spacing w:before="79"/>
      </w:pPr>
    </w:p>
    <w:p w14:paraId="06C659ED">
      <w:pPr>
        <w:spacing w:before="79"/>
      </w:pPr>
    </w:p>
    <w:p w14:paraId="267C1879">
      <w:pPr>
        <w:pStyle w:val="4"/>
        <w:rPr>
          <w:rFonts w:ascii="Times New Roman" w:hAnsi="Times New Roman" w:eastAsia="宋体"/>
          <w:color w:val="auto"/>
        </w:rPr>
      </w:pPr>
      <w:bookmarkStart w:id="704" w:name="_Toc239274328"/>
      <w:r>
        <w:rPr>
          <w:sz w:val="24"/>
          <w:szCs w:val="22"/>
        </w:rPr>
        <w:drawing>
          <wp:anchor distT="0" distB="0" distL="114300" distR="114300" simplePos="0" relativeHeight="251717632" behindDoc="1" locked="0" layoutInCell="1" allowOverlap="1">
            <wp:simplePos x="0" y="0"/>
            <wp:positionH relativeFrom="margin">
              <wp:align>right</wp:align>
            </wp:positionH>
            <wp:positionV relativeFrom="paragraph">
              <wp:posOffset>664210</wp:posOffset>
            </wp:positionV>
            <wp:extent cx="5267325" cy="7510780"/>
            <wp:effectExtent l="0" t="0" r="9525" b="0"/>
            <wp:wrapTopAndBottom/>
            <wp:docPr id="500027946"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027946" name="图片 59"/>
                    <pic:cNvPicPr>
                      <a:picLocks noChangeAspect="1" noChangeArrowheads="1"/>
                    </pic:cNvPicPr>
                  </pic:nvPicPr>
                  <pic:blipFill>
                    <a:blip r:embed="rId176"/>
                    <a:srcRect/>
                    <a:stretch>
                      <a:fillRect/>
                    </a:stretch>
                  </pic:blipFill>
                  <pic:spPr>
                    <a:xfrm>
                      <a:off x="0" y="0"/>
                      <a:ext cx="5267325" cy="7510780"/>
                    </a:xfrm>
                    <a:prstGeom prst="rect">
                      <a:avLst/>
                    </a:prstGeom>
                  </pic:spPr>
                </pic:pic>
              </a:graphicData>
            </a:graphic>
          </wp:anchor>
        </w:drawing>
      </w:r>
      <w:r>
        <w:rPr>
          <w:rFonts w:ascii="Times New Roman" w:hAnsi="Times New Roman" w:eastAsia="宋体"/>
          <w:color w:val="auto"/>
        </w:rPr>
        <w:t>附件</w:t>
      </w:r>
      <w:r>
        <w:rPr>
          <w:rFonts w:hint="eastAsia" w:ascii="Times New Roman" w:hAnsi="Times New Roman" w:eastAsia="宋体"/>
          <w:color w:val="auto"/>
        </w:rPr>
        <w:t>13用水协议及取水证</w:t>
      </w:r>
      <w:bookmarkEnd w:id="704"/>
    </w:p>
    <w:p w14:paraId="01C3B41A">
      <w:pPr>
        <w:spacing w:before="79"/>
      </w:pPr>
    </w:p>
    <w:p w14:paraId="58F89C0F">
      <w:pPr>
        <w:spacing w:before="79"/>
      </w:pPr>
    </w:p>
    <w:p w14:paraId="5301F286">
      <w:pPr>
        <w:spacing w:before="79"/>
      </w:pPr>
      <w:r>
        <w:drawing>
          <wp:anchor distT="0" distB="0" distL="114300" distR="114300" simplePos="0" relativeHeight="251726848" behindDoc="0" locked="0" layoutInCell="1" allowOverlap="1">
            <wp:simplePos x="0" y="0"/>
            <wp:positionH relativeFrom="column">
              <wp:posOffset>0</wp:posOffset>
            </wp:positionH>
            <wp:positionV relativeFrom="paragraph">
              <wp:posOffset>0</wp:posOffset>
            </wp:positionV>
            <wp:extent cx="5029835" cy="6895465"/>
            <wp:effectExtent l="0" t="0" r="0" b="635"/>
            <wp:wrapSquare wrapText="bothSides"/>
            <wp:docPr id="1598203771"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203771" name="图片 59"/>
                    <pic:cNvPicPr>
                      <a:picLocks noChangeAspect="1" noChangeArrowheads="1"/>
                    </pic:cNvPicPr>
                  </pic:nvPicPr>
                  <pic:blipFill>
                    <a:blip r:embed="rId177"/>
                    <a:srcRect/>
                    <a:stretch>
                      <a:fillRect/>
                    </a:stretch>
                  </pic:blipFill>
                  <pic:spPr>
                    <a:xfrm>
                      <a:off x="0" y="0"/>
                      <a:ext cx="5029835" cy="6895465"/>
                    </a:xfrm>
                    <a:prstGeom prst="rect">
                      <a:avLst/>
                    </a:prstGeom>
                    <a:noFill/>
                  </pic:spPr>
                </pic:pic>
              </a:graphicData>
            </a:graphic>
          </wp:anchor>
        </w:drawing>
      </w:r>
    </w:p>
    <w:p w14:paraId="7B6E0A26">
      <w:pPr>
        <w:spacing w:before="79"/>
      </w:pPr>
    </w:p>
    <w:p w14:paraId="7E61844F">
      <w:pPr>
        <w:spacing w:before="79"/>
      </w:pPr>
    </w:p>
    <w:p w14:paraId="1C93AA58">
      <w:pPr>
        <w:spacing w:before="79"/>
      </w:pPr>
    </w:p>
    <w:p w14:paraId="7DFF81E5">
      <w:pPr>
        <w:spacing w:before="79"/>
      </w:pPr>
    </w:p>
    <w:p w14:paraId="375C0C12">
      <w:pPr>
        <w:pStyle w:val="4"/>
        <w:rPr>
          <w:rFonts w:ascii="Times New Roman" w:hAnsi="Times New Roman" w:eastAsia="宋体"/>
          <w:color w:val="auto"/>
        </w:rPr>
      </w:pPr>
      <w:bookmarkStart w:id="705" w:name="_Toc239274329"/>
      <w:r>
        <w:rPr>
          <w:rFonts w:hint="eastAsia" w:ascii="Times New Roman" w:hAnsi="Times New Roman" w:eastAsia="宋体"/>
          <w:color w:val="auto"/>
        </w:rPr>
        <w:t>附</w:t>
      </w:r>
      <w:r>
        <w:rPr>
          <w:rFonts w:ascii="Times New Roman" w:hAnsi="Times New Roman" w:eastAsia="宋体"/>
          <w:color w:val="auto"/>
        </w:rPr>
        <w:t>件</w:t>
      </w:r>
      <w:r>
        <w:rPr>
          <w:rFonts w:hint="eastAsia" w:ascii="Times New Roman" w:hAnsi="Times New Roman" w:eastAsia="宋体"/>
          <w:color w:val="auto"/>
        </w:rPr>
        <w:t>14</w:t>
      </w:r>
      <w:r>
        <w:rPr>
          <w:rFonts w:ascii="Times New Roman" w:hAnsi="Times New Roman" w:eastAsia="宋体"/>
          <w:color w:val="auto"/>
        </w:rPr>
        <w:t>监测报告</w:t>
      </w:r>
      <w:bookmarkEnd w:id="699"/>
      <w:bookmarkEnd w:id="705"/>
    </w:p>
    <w:p w14:paraId="11CC7667">
      <w:pPr>
        <w:pStyle w:val="151"/>
        <w:ind w:firstLine="0" w:firstLineChars="0"/>
      </w:pPr>
      <w:r>
        <w:drawing>
          <wp:inline distT="0" distB="0" distL="0" distR="0">
            <wp:extent cx="5455285" cy="7714615"/>
            <wp:effectExtent l="0" t="0" r="0" b="635"/>
            <wp:docPr id="1306173156" name="图片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173156" name="图片 165"/>
                    <pic:cNvPicPr>
                      <a:picLocks noChangeAspect="1" noChangeArrowheads="1"/>
                    </pic:cNvPicPr>
                  </pic:nvPicPr>
                  <pic:blipFill>
                    <a:blip r:embed="rId178"/>
                    <a:srcRect/>
                    <a:stretch>
                      <a:fillRect/>
                    </a:stretch>
                  </pic:blipFill>
                  <pic:spPr>
                    <a:xfrm>
                      <a:off x="0" y="0"/>
                      <a:ext cx="5464107" cy="7726502"/>
                    </a:xfrm>
                    <a:prstGeom prst="rect">
                      <a:avLst/>
                    </a:prstGeom>
                    <a:noFill/>
                    <a:ln>
                      <a:noFill/>
                    </a:ln>
                  </pic:spPr>
                </pic:pic>
              </a:graphicData>
            </a:graphic>
          </wp:inline>
        </w:drawing>
      </w:r>
    </w:p>
    <w:p w14:paraId="3DE5ADA6">
      <w:pPr>
        <w:pStyle w:val="151"/>
        <w:ind w:firstLine="0" w:firstLineChars="0"/>
      </w:pPr>
      <w:r>
        <w:rPr>
          <w:rFonts w:hint="eastAsia"/>
        </w:rPr>
        <w:drawing>
          <wp:inline distT="0" distB="0" distL="0" distR="0">
            <wp:extent cx="5271135" cy="7453630"/>
            <wp:effectExtent l="0" t="0" r="5715" b="0"/>
            <wp:docPr id="1285853480" name="图片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853480" name="图片 166"/>
                    <pic:cNvPicPr>
                      <a:picLocks noChangeAspect="1" noChangeArrowheads="1"/>
                    </pic:cNvPicPr>
                  </pic:nvPicPr>
                  <pic:blipFill>
                    <a:blip r:embed="rId179"/>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1109634011" name="图片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634011" name="图片 167"/>
                    <pic:cNvPicPr>
                      <a:picLocks noChangeAspect="1" noChangeArrowheads="1"/>
                    </pic:cNvPicPr>
                  </pic:nvPicPr>
                  <pic:blipFill>
                    <a:blip r:embed="rId180"/>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134836339" name="图片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36339" name="图片 168"/>
                    <pic:cNvPicPr>
                      <a:picLocks noChangeAspect="1" noChangeArrowheads="1"/>
                    </pic:cNvPicPr>
                  </pic:nvPicPr>
                  <pic:blipFill>
                    <a:blip r:embed="rId181"/>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1481575003" name="图片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575003" name="图片 169"/>
                    <pic:cNvPicPr>
                      <a:picLocks noChangeAspect="1" noChangeArrowheads="1"/>
                    </pic:cNvPicPr>
                  </pic:nvPicPr>
                  <pic:blipFill>
                    <a:blip r:embed="rId182"/>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161269377" name="图片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69377" name="图片 170"/>
                    <pic:cNvPicPr>
                      <a:picLocks noChangeAspect="1" noChangeArrowheads="1"/>
                    </pic:cNvPicPr>
                  </pic:nvPicPr>
                  <pic:blipFill>
                    <a:blip r:embed="rId183"/>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2007830312" name="图片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830312" name="图片 171"/>
                    <pic:cNvPicPr>
                      <a:picLocks noChangeAspect="1" noChangeArrowheads="1"/>
                    </pic:cNvPicPr>
                  </pic:nvPicPr>
                  <pic:blipFill>
                    <a:blip r:embed="rId184"/>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1328798649" name="图片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798649" name="图片 172"/>
                    <pic:cNvPicPr>
                      <a:picLocks noChangeAspect="1" noChangeArrowheads="1"/>
                    </pic:cNvPicPr>
                  </pic:nvPicPr>
                  <pic:blipFill>
                    <a:blip r:embed="rId185"/>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274748978" name="图片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748978" name="图片 173"/>
                    <pic:cNvPicPr>
                      <a:picLocks noChangeAspect="1" noChangeArrowheads="1"/>
                    </pic:cNvPicPr>
                  </pic:nvPicPr>
                  <pic:blipFill>
                    <a:blip r:embed="rId186"/>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2051233895" name="图片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233895" name="图片 174"/>
                    <pic:cNvPicPr>
                      <a:picLocks noChangeAspect="1" noChangeArrowheads="1"/>
                    </pic:cNvPicPr>
                  </pic:nvPicPr>
                  <pic:blipFill>
                    <a:blip r:embed="rId187"/>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189451576" name="图片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51576" name="图片 175"/>
                    <pic:cNvPicPr>
                      <a:picLocks noChangeAspect="1" noChangeArrowheads="1"/>
                    </pic:cNvPicPr>
                  </pic:nvPicPr>
                  <pic:blipFill>
                    <a:blip r:embed="rId188"/>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33692884" name="图片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92884" name="图片 176"/>
                    <pic:cNvPicPr>
                      <a:picLocks noChangeAspect="1" noChangeArrowheads="1"/>
                    </pic:cNvPicPr>
                  </pic:nvPicPr>
                  <pic:blipFill>
                    <a:blip r:embed="rId189"/>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2083786369" name="图片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86369" name="图片 177"/>
                    <pic:cNvPicPr>
                      <a:picLocks noChangeAspect="1" noChangeArrowheads="1"/>
                    </pic:cNvPicPr>
                  </pic:nvPicPr>
                  <pic:blipFill>
                    <a:blip r:embed="rId190"/>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1259213416" name="图片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213416" name="图片 178"/>
                    <pic:cNvPicPr>
                      <a:picLocks noChangeAspect="1" noChangeArrowheads="1"/>
                    </pic:cNvPicPr>
                  </pic:nvPicPr>
                  <pic:blipFill>
                    <a:blip r:embed="rId191"/>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234120143" name="图片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120143" name="图片 179"/>
                    <pic:cNvPicPr>
                      <a:picLocks noChangeAspect="1" noChangeArrowheads="1"/>
                    </pic:cNvPicPr>
                  </pic:nvPicPr>
                  <pic:blipFill>
                    <a:blip r:embed="rId192"/>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507868667" name="图片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868667" name="图片 180"/>
                    <pic:cNvPicPr>
                      <a:picLocks noChangeAspect="1" noChangeArrowheads="1"/>
                    </pic:cNvPicPr>
                  </pic:nvPicPr>
                  <pic:blipFill>
                    <a:blip r:embed="rId193"/>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299439987" name="图片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439987" name="图片 181"/>
                    <pic:cNvPicPr>
                      <a:picLocks noChangeAspect="1" noChangeArrowheads="1"/>
                    </pic:cNvPicPr>
                  </pic:nvPicPr>
                  <pic:blipFill>
                    <a:blip r:embed="rId194"/>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1180760734" name="图片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760734" name="图片 182"/>
                    <pic:cNvPicPr>
                      <a:picLocks noChangeAspect="1" noChangeArrowheads="1"/>
                    </pic:cNvPicPr>
                  </pic:nvPicPr>
                  <pic:blipFill>
                    <a:blip r:embed="rId195"/>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88960373" name="图片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60373" name="图片 183"/>
                    <pic:cNvPicPr>
                      <a:picLocks noChangeAspect="1" noChangeArrowheads="1"/>
                    </pic:cNvPicPr>
                  </pic:nvPicPr>
                  <pic:blipFill>
                    <a:blip r:embed="rId196"/>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800974224" name="图片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974224" name="图片 184"/>
                    <pic:cNvPicPr>
                      <a:picLocks noChangeAspect="1" noChangeArrowheads="1"/>
                    </pic:cNvPicPr>
                  </pic:nvPicPr>
                  <pic:blipFill>
                    <a:blip r:embed="rId197"/>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689852367" name="图片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852367" name="图片 185"/>
                    <pic:cNvPicPr>
                      <a:picLocks noChangeAspect="1" noChangeArrowheads="1"/>
                    </pic:cNvPicPr>
                  </pic:nvPicPr>
                  <pic:blipFill>
                    <a:blip r:embed="rId198"/>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1418167505" name="图片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167505" name="图片 186"/>
                    <pic:cNvPicPr>
                      <a:picLocks noChangeAspect="1" noChangeArrowheads="1"/>
                    </pic:cNvPicPr>
                  </pic:nvPicPr>
                  <pic:blipFill>
                    <a:blip r:embed="rId199"/>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491802196" name="图片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802196" name="图片 187"/>
                    <pic:cNvPicPr>
                      <a:picLocks noChangeAspect="1" noChangeArrowheads="1"/>
                    </pic:cNvPicPr>
                  </pic:nvPicPr>
                  <pic:blipFill>
                    <a:blip r:embed="rId200"/>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125724207" name="图片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24207" name="图片 188"/>
                    <pic:cNvPicPr>
                      <a:picLocks noChangeAspect="1" noChangeArrowheads="1"/>
                    </pic:cNvPicPr>
                  </pic:nvPicPr>
                  <pic:blipFill>
                    <a:blip r:embed="rId201"/>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808239139" name="图片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239139" name="图片 189"/>
                    <pic:cNvPicPr>
                      <a:picLocks noChangeAspect="1" noChangeArrowheads="1"/>
                    </pic:cNvPicPr>
                  </pic:nvPicPr>
                  <pic:blipFill>
                    <a:blip r:embed="rId202"/>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412602769" name="图片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602769" name="图片 190"/>
                    <pic:cNvPicPr>
                      <a:picLocks noChangeAspect="1" noChangeArrowheads="1"/>
                    </pic:cNvPicPr>
                  </pic:nvPicPr>
                  <pic:blipFill>
                    <a:blip r:embed="rId203"/>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1380727821" name="图片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727821" name="图片 191"/>
                    <pic:cNvPicPr>
                      <a:picLocks noChangeAspect="1" noChangeArrowheads="1"/>
                    </pic:cNvPicPr>
                  </pic:nvPicPr>
                  <pic:blipFill>
                    <a:blip r:embed="rId204"/>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1021944727" name="图片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944727" name="图片 192"/>
                    <pic:cNvPicPr>
                      <a:picLocks noChangeAspect="1" noChangeArrowheads="1"/>
                    </pic:cNvPicPr>
                  </pic:nvPicPr>
                  <pic:blipFill>
                    <a:blip r:embed="rId205"/>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2014960824" name="图片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960824" name="图片 193"/>
                    <pic:cNvPicPr>
                      <a:picLocks noChangeAspect="1" noChangeArrowheads="1"/>
                    </pic:cNvPicPr>
                  </pic:nvPicPr>
                  <pic:blipFill>
                    <a:blip r:embed="rId206"/>
                    <a:srcRect/>
                    <a:stretch>
                      <a:fillRect/>
                    </a:stretch>
                  </pic:blipFill>
                  <pic:spPr>
                    <a:xfrm>
                      <a:off x="0" y="0"/>
                      <a:ext cx="5271135" cy="7453630"/>
                    </a:xfrm>
                    <a:prstGeom prst="rect">
                      <a:avLst/>
                    </a:prstGeom>
                    <a:noFill/>
                    <a:ln>
                      <a:noFill/>
                    </a:ln>
                  </pic:spPr>
                </pic:pic>
              </a:graphicData>
            </a:graphic>
          </wp:inline>
        </w:drawing>
      </w:r>
    </w:p>
    <w:p w14:paraId="54864DFF">
      <w:pPr>
        <w:pStyle w:val="151"/>
        <w:ind w:firstLine="0" w:firstLineChars="0"/>
      </w:pPr>
      <w:r>
        <w:drawing>
          <wp:inline distT="0" distB="0" distL="0" distR="0">
            <wp:extent cx="5271135" cy="7453630"/>
            <wp:effectExtent l="0" t="0" r="5715" b="0"/>
            <wp:docPr id="1302288847" name="图片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288847" name="图片 194"/>
                    <pic:cNvPicPr>
                      <a:picLocks noChangeAspect="1" noChangeArrowheads="1"/>
                    </pic:cNvPicPr>
                  </pic:nvPicPr>
                  <pic:blipFill>
                    <a:blip r:embed="rId207"/>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1119570571" name="图片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570571" name="图片 195"/>
                    <pic:cNvPicPr>
                      <a:picLocks noChangeAspect="1" noChangeArrowheads="1"/>
                    </pic:cNvPicPr>
                  </pic:nvPicPr>
                  <pic:blipFill>
                    <a:blip r:embed="rId208"/>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1684219708" name="图片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219708" name="图片 196"/>
                    <pic:cNvPicPr>
                      <a:picLocks noChangeAspect="1" noChangeArrowheads="1"/>
                    </pic:cNvPicPr>
                  </pic:nvPicPr>
                  <pic:blipFill>
                    <a:blip r:embed="rId209"/>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620079081" name="图片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079081" name="图片 197"/>
                    <pic:cNvPicPr>
                      <a:picLocks noChangeAspect="1" noChangeArrowheads="1"/>
                    </pic:cNvPicPr>
                  </pic:nvPicPr>
                  <pic:blipFill>
                    <a:blip r:embed="rId210"/>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732588905" name="图片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588905" name="图片 198"/>
                    <pic:cNvPicPr>
                      <a:picLocks noChangeAspect="1" noChangeArrowheads="1"/>
                    </pic:cNvPicPr>
                  </pic:nvPicPr>
                  <pic:blipFill>
                    <a:blip r:embed="rId211"/>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858067531" name="图片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067531" name="图片 199"/>
                    <pic:cNvPicPr>
                      <a:picLocks noChangeAspect="1" noChangeArrowheads="1"/>
                    </pic:cNvPicPr>
                  </pic:nvPicPr>
                  <pic:blipFill>
                    <a:blip r:embed="rId212"/>
                    <a:srcRect/>
                    <a:stretch>
                      <a:fillRect/>
                    </a:stretch>
                  </pic:blipFill>
                  <pic:spPr>
                    <a:xfrm>
                      <a:off x="0" y="0"/>
                      <a:ext cx="5271135" cy="7453630"/>
                    </a:xfrm>
                    <a:prstGeom prst="rect">
                      <a:avLst/>
                    </a:prstGeom>
                    <a:noFill/>
                    <a:ln>
                      <a:noFill/>
                    </a:ln>
                  </pic:spPr>
                </pic:pic>
              </a:graphicData>
            </a:graphic>
          </wp:inline>
        </w:drawing>
      </w:r>
    </w:p>
    <w:p w14:paraId="76F46F03">
      <w:pPr>
        <w:pStyle w:val="151"/>
        <w:ind w:firstLine="0" w:firstLineChars="0"/>
      </w:pPr>
    </w:p>
    <w:p w14:paraId="1C638C21">
      <w:pPr>
        <w:pStyle w:val="151"/>
        <w:ind w:firstLine="0" w:firstLineChars="0"/>
      </w:pPr>
    </w:p>
    <w:p w14:paraId="4D259169">
      <w:pPr>
        <w:pStyle w:val="151"/>
        <w:ind w:firstLine="0" w:firstLineChars="0"/>
      </w:pPr>
    </w:p>
    <w:p w14:paraId="2E1987EC">
      <w:pPr>
        <w:pStyle w:val="151"/>
        <w:ind w:firstLine="0" w:firstLineChars="0"/>
      </w:pPr>
    </w:p>
    <w:p w14:paraId="5EBEF55A">
      <w:pPr>
        <w:pStyle w:val="4"/>
        <w:rPr>
          <w:rFonts w:ascii="Times New Roman" w:hAnsi="Times New Roman" w:eastAsia="宋体"/>
          <w:color w:val="auto"/>
        </w:rPr>
      </w:pPr>
      <w:bookmarkStart w:id="706" w:name="_Toc239274330"/>
      <w:r>
        <w:rPr>
          <w:rFonts w:ascii="Times New Roman" w:hAnsi="Times New Roman" w:eastAsia="宋体"/>
          <w:color w:val="auto"/>
        </w:rPr>
        <w:t>附件</w:t>
      </w:r>
      <w:r>
        <w:rPr>
          <w:rFonts w:hint="eastAsia" w:ascii="Times New Roman" w:hAnsi="Times New Roman" w:eastAsia="宋体"/>
          <w:color w:val="auto"/>
        </w:rPr>
        <w:t>15分区管控查询</w:t>
      </w:r>
      <w:bookmarkEnd w:id="706"/>
    </w:p>
    <w:p w14:paraId="64AF93CB">
      <w:pPr>
        <w:pStyle w:val="151"/>
        <w:ind w:firstLine="0" w:firstLineChars="0"/>
        <w:jc w:val="center"/>
      </w:pPr>
      <w:r>
        <w:drawing>
          <wp:inline distT="0" distB="0" distL="0" distR="0">
            <wp:extent cx="6870700" cy="3801745"/>
            <wp:effectExtent l="0" t="8573" r="0" b="0"/>
            <wp:docPr id="1284037734"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037734" name="图片 57"/>
                    <pic:cNvPicPr>
                      <a:picLocks noChangeAspect="1" noChangeArrowheads="1"/>
                    </pic:cNvPicPr>
                  </pic:nvPicPr>
                  <pic:blipFill>
                    <a:blip r:embed="rId213"/>
                    <a:srcRect/>
                    <a:stretch>
                      <a:fillRect/>
                    </a:stretch>
                  </pic:blipFill>
                  <pic:spPr>
                    <a:xfrm rot="16200000">
                      <a:off x="0" y="0"/>
                      <a:ext cx="6884341" cy="3809347"/>
                    </a:xfrm>
                    <a:prstGeom prst="rect">
                      <a:avLst/>
                    </a:prstGeom>
                    <a:noFill/>
                    <a:ln>
                      <a:noFill/>
                    </a:ln>
                  </pic:spPr>
                </pic:pic>
              </a:graphicData>
            </a:graphic>
          </wp:inline>
        </w:drawing>
      </w:r>
    </w:p>
    <w:p w14:paraId="4DAA69CB">
      <w:pPr>
        <w:pStyle w:val="151"/>
        <w:ind w:firstLine="0" w:firstLineChars="0"/>
      </w:pPr>
    </w:p>
    <w:p w14:paraId="0930F9BC">
      <w:pPr>
        <w:pStyle w:val="151"/>
        <w:ind w:firstLine="0" w:firstLineChars="0"/>
      </w:pPr>
    </w:p>
    <w:sectPr>
      <w:headerReference r:id="rId25" w:type="default"/>
      <w:pgSz w:w="11906" w:h="16838"/>
      <w:pgMar w:top="1440" w:right="1800" w:bottom="1440" w:left="1800" w:header="850" w:footer="964" w:gutter="0"/>
      <w:cols w:space="0" w:num="1"/>
      <w:docGrid w:type="lines" w:linePitch="31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altName w:val="MT Extra"/>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TimesNewRoman">
    <w:altName w:val="黑体"/>
    <w:panose1 w:val="00000000000000000000"/>
    <w:charset w:val="00"/>
    <w:family w:val="roman"/>
    <w:pitch w:val="default"/>
    <w:sig w:usb0="00000000" w:usb1="00000000" w:usb2="00000010" w:usb3="00000000" w:csb0="00040001" w:csb1="00000000"/>
  </w:font>
  <w:font w:name="Verdana">
    <w:altName w:val="Tahoma"/>
    <w:panose1 w:val="020B0604030504040204"/>
    <w:charset w:val="00"/>
    <w:family w:val="swiss"/>
    <w:pitch w:val="default"/>
    <w:sig w:usb0="00000000" w:usb1="00000000" w:usb2="00000010" w:usb3="00000000" w:csb0="2000019F" w:csb1="00000000"/>
  </w:font>
  <w:font w:name="Tahoma">
    <w:panose1 w:val="020B0604030504040204"/>
    <w:charset w:val="00"/>
    <w:family w:val="swiss"/>
    <w:pitch w:val="default"/>
    <w:sig w:usb0="E1002EFF" w:usb1="C000605B" w:usb2="00000029" w:usb3="00000000" w:csb0="200101FF" w:csb1="2028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swiss"/>
    <w:pitch w:val="default"/>
    <w:sig w:usb0="80000287" w:usb1="280F3C52" w:usb2="00000016" w:usb3="00000000" w:csb0="0004001F" w:csb1="00000000"/>
  </w:font>
  <w:font w:name="楷体_GB2312">
    <w:panose1 w:val="02010609030101010101"/>
    <w:charset w:val="86"/>
    <w:family w:val="modern"/>
    <w:pitch w:val="default"/>
    <w:sig w:usb0="00000001" w:usb1="080E0000" w:usb2="0000000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MT Extra">
    <w:panose1 w:val="05050102010205020202"/>
    <w:charset w:val="00"/>
    <w:family w:val="auto"/>
    <w:pitch w:val="default"/>
    <w:sig w:usb0="80000000" w:usb1="00000000" w:usb2="00000000" w:usb3="00000000" w:csb0="00000000" w:csb1="00000000"/>
  </w:font>
  <w:font w:name="ˎ̥">
    <w:altName w:val="Times New Roman"/>
    <w:panose1 w:val="00000000000000000000"/>
    <w:charset w:val="00"/>
    <w:family w:val="moder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幼圆">
    <w:altName w:val="宋体"/>
    <w:panose1 w:val="02010509060101010101"/>
    <w:charset w:val="86"/>
    <w:family w:val="modern"/>
    <w:pitch w:val="default"/>
    <w:sig w:usb0="00000000" w:usb1="00000000" w:usb2="00000000" w:usb3="00000000" w:csb0="00040000" w:csb1="00000000"/>
  </w:font>
  <w:font w:name="隶书">
    <w:panose1 w:val="02010509060101010101"/>
    <w:charset w:val="86"/>
    <w:family w:val="modern"/>
    <w:pitch w:val="default"/>
    <w:sig w:usb0="00000001" w:usb1="080E0000" w:usb2="00000000" w:usb3="00000000" w:csb0="00040000" w:csb1="00000000"/>
  </w:font>
  <w:font w:name="CG Times (W1)">
    <w:altName w:val="Times New Roman"/>
    <w:panose1 w:val="00000000000000000000"/>
    <w:charset w:val="00"/>
    <w:family w:val="roman"/>
    <w:pitch w:val="default"/>
    <w:sig w:usb0="00000000" w:usb1="00000000" w:usb2="00000000" w:usb3="00000000" w:csb0="00000000" w:csb1="00000000"/>
  </w:font>
  <w:font w:name="Century">
    <w:altName w:val="Nyala"/>
    <w:panose1 w:val="02040604050505020304"/>
    <w:charset w:val="00"/>
    <w:family w:val="roman"/>
    <w:pitch w:val="default"/>
    <w:sig w:usb0="00000000" w:usb1="00000000" w:usb2="00000000" w:usb3="00000000" w:csb0="2000009F" w:csb1="DFD70000"/>
  </w:font>
  <w:font w:name="Nyala">
    <w:panose1 w:val="02000504070300020003"/>
    <w:charset w:val="00"/>
    <w:family w:val="auto"/>
    <w:pitch w:val="default"/>
    <w:sig w:usb0="A000006F" w:usb1="00000000" w:usb2="00000800" w:usb3="00000000" w:csb0="00000093" w:csb1="00000000"/>
  </w:font>
  <w:font w:name="华文中宋">
    <w:panose1 w:val="02010600040101010101"/>
    <w:charset w:val="86"/>
    <w:family w:val="auto"/>
    <w:pitch w:val="default"/>
    <w:sig w:usb0="00000287" w:usb1="080F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A00002EF" w:usb1="4000207B" w:usb2="00000000" w:usb3="00000000" w:csb0="2000019F" w:csb1="00000000"/>
  </w:font>
  <w:font w:name="”“Times New Roman”“">
    <w:altName w:val="宋体"/>
    <w:panose1 w:val="00000000000000000000"/>
    <w:charset w:val="86"/>
    <w:family w:val="roman"/>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华文新魏">
    <w:panose1 w:val="02010800040101010101"/>
    <w:charset w:val="86"/>
    <w:family w:val="auto"/>
    <w:pitch w:val="default"/>
    <w:sig w:usb0="00000001" w:usb1="080F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IADJBO+Arial,Bold">
    <w:altName w:val="宋体"/>
    <w:panose1 w:val="00000000000000000000"/>
    <w:charset w:val="86"/>
    <w:family w:val="swiss"/>
    <w:pitch w:val="default"/>
    <w:sig w:usb0="00000000" w:usb1="00000000" w:usb2="00000010" w:usb3="00000000" w:csb0="00040000" w:csb1="00000000"/>
  </w:font>
  <w:font w:name="方正大标宋简体">
    <w:altName w:val="宋体"/>
    <w:panose1 w:val="00000000000000000000"/>
    <w:charset w:val="86"/>
    <w:family w:val="auto"/>
    <w:pitch w:val="default"/>
    <w:sig w:usb0="00000000" w:usb1="00000000" w:usb2="00000010" w:usb3="00000000" w:csb0="00040000" w:csb1="00000000"/>
  </w:font>
  <w:font w:name="Garamond">
    <w:altName w:val="Adobe Garamond Pro"/>
    <w:panose1 w:val="02020404030301010803"/>
    <w:charset w:val="00"/>
    <w:family w:val="roman"/>
    <w:pitch w:val="default"/>
    <w:sig w:usb0="00000000" w:usb1="00000000" w:usb2="00000000" w:usb3="00000000" w:csb0="0000009F" w:csb1="DFD70000"/>
  </w:font>
  <w:font w:name="Adobe Garamond Pro">
    <w:panose1 w:val="02020502060506020403"/>
    <w:charset w:val="00"/>
    <w:family w:val="auto"/>
    <w:pitch w:val="default"/>
    <w:sig w:usb0="00000007" w:usb1="00000001" w:usb2="00000000" w:usb3="00000000" w:csb0="20000093" w:csb1="00000000"/>
  </w:font>
  <w:font w:name="Financial  (MF)">
    <w:altName w:val="Times New Roman"/>
    <w:panose1 w:val="00000000000000000000"/>
    <w:charset w:val="00"/>
    <w:family w:val="roman"/>
    <w:pitch w:val="default"/>
    <w:sig w:usb0="00000000" w:usb1="00000000" w:usb2="00000000" w:usb3="00000000" w:csb0="00000001" w:csb1="00000000"/>
  </w:font>
  <w:font w:name="Book Antiqua">
    <w:altName w:val="Segoe Print"/>
    <w:panose1 w:val="02040602050305030304"/>
    <w:charset w:val="00"/>
    <w:family w:val="roman"/>
    <w:pitch w:val="default"/>
    <w:sig w:usb0="00000000" w:usb1="00000000" w:usb2="00000000" w:usb3="00000000" w:csb0="2000009F" w:csb1="DFD70000"/>
  </w:font>
  <w:font w:name="Times">
    <w:altName w:val="Times New Roman"/>
    <w:panose1 w:val="02020603050405020304"/>
    <w:charset w:val="00"/>
    <w:family w:val="roman"/>
    <w:pitch w:val="default"/>
    <w:sig w:usb0="00000000" w:usb1="00000000" w:usb2="00000009" w:usb3="00000000" w:csb0="000001FF" w:csb1="00000000"/>
  </w:font>
  <w:font w:name="仿宋体">
    <w:altName w:val="宋体"/>
    <w:panose1 w:val="00000000000000000000"/>
    <w:charset w:val="86"/>
    <w:family w:val="roman"/>
    <w:pitch w:val="default"/>
    <w:sig w:usb0="00000000" w:usb1="00000000" w:usb2="00000010" w:usb3="00000000" w:csb0="00040000" w:csb1="00000000"/>
  </w:font>
  <w:font w:name="五">
    <w:altName w:val="黑体"/>
    <w:panose1 w:val="00000000000000000000"/>
    <w:charset w:val="86"/>
    <w:family w:val="auto"/>
    <w:pitch w:val="default"/>
    <w:sig w:usb0="00000000" w:usb1="00000000" w:usb2="00000010" w:usb3="00000000" w:csb0="00040000" w:csb1="00000000"/>
  </w:font>
  <w:font w:name="汉鼎简书宋">
    <w:altName w:val="宋体"/>
    <w:panose1 w:val="00000000000000000000"/>
    <w:charset w:val="86"/>
    <w:family w:val="auto"/>
    <w:pitch w:val="default"/>
    <w:sig w:usb0="00000000" w:usb1="00000000" w:usb2="00000010" w:usb3="00000000" w:csb0="00040000" w:csb1="00000000"/>
  </w:font>
  <w:font w:name="MingLiU">
    <w:panose1 w:val="02020509000000000000"/>
    <w:charset w:val="88"/>
    <w:family w:val="modern"/>
    <w:pitch w:val="default"/>
    <w:sig w:usb0="A00002FF" w:usb1="28CFFCFA" w:usb2="00000016" w:usb3="00000000" w:csb0="00100001" w:csb1="00000000"/>
  </w:font>
  <w:font w:name="新宋体">
    <w:panose1 w:val="02010609030101010101"/>
    <w:charset w:val="86"/>
    <w:family w:val="modern"/>
    <w:pitch w:val="default"/>
    <w:sig w:usb0="00000003" w:usb1="288F0000" w:usb2="00000006" w:usb3="00000000" w:csb0="00040001" w:csb1="00000000"/>
  </w:font>
  <w:font w:name="仿宋">
    <w:panose1 w:val="02010609060101010101"/>
    <w:charset w:val="86"/>
    <w:family w:val="modern"/>
    <w:pitch w:val="default"/>
    <w:sig w:usb0="800002BF" w:usb1="38CF7CFA" w:usb2="00000016" w:usb3="00000000" w:csb0="00040001" w:csb1="00000000"/>
  </w:font>
  <w:font w:name="Microsoft YaHei UI">
    <w:altName w:val="宋体"/>
    <w:panose1 w:val="020B0503020204020204"/>
    <w:charset w:val="86"/>
    <w:family w:val="swiss"/>
    <w:pitch w:val="default"/>
    <w:sig w:usb0="00000000" w:usb1="00000000" w:usb2="00000016" w:usb3="00000000" w:csb0="0004001F" w:csb1="00000000"/>
  </w:font>
  <w:font w:name="MS Mincho">
    <w:panose1 w:val="02020609040205080304"/>
    <w:charset w:val="80"/>
    <w:family w:val="modern"/>
    <w:pitch w:val="default"/>
    <w:sig w:usb0="E00002FF" w:usb1="6AC7FDFB" w:usb2="00000012" w:usb3="00000000" w:csb0="4002009F" w:csb1="DFD70000"/>
  </w:font>
  <w:font w:name="Bookman">
    <w:altName w:val="Segoe Print"/>
    <w:panose1 w:val="00000000000000000000"/>
    <w:charset w:val="00"/>
    <w:family w:val="roman"/>
    <w:pitch w:val="default"/>
    <w:sig w:usb0="00000000" w:usb1="00000000" w:usb2="00000000" w:usb3="00000000" w:csb0="00000001" w:csb1="00000000"/>
  </w:font>
  <w:font w:name="??">
    <w:altName w:val="Times New Roman"/>
    <w:panose1 w:val="00000000000000000000"/>
    <w:charset w:val="00"/>
    <w:family w:val="roman"/>
    <w:pitch w:val="default"/>
    <w:sig w:usb0="00000000" w:usb1="00000000" w:usb2="00000000" w:usb3="00000000" w:csb0="00040001" w:csb1="00000000"/>
  </w:font>
  <w:font w:name="Times:">
    <w:altName w:val="Times New Roman"/>
    <w:panose1 w:val="00000000000000000000"/>
    <w:charset w:val="00"/>
    <w:family w:val="roman"/>
    <w:pitch w:val="default"/>
    <w:sig w:usb0="00000000" w:usb1="00000000" w:usb2="00000000" w:usb3="00000000" w:csb0="00000001" w:csb1="00000000"/>
  </w:font>
  <w:font w:name="方正书宋简体">
    <w:altName w:val="微软雅黑"/>
    <w:panose1 w:val="00000000000000000000"/>
    <w:charset w:val="86"/>
    <w:family w:val="script"/>
    <w:pitch w:val="default"/>
    <w:sig w:usb0="00000000" w:usb1="00000000" w:usb2="00000010" w:usb3="00000000" w:csb0="00040000" w:csb1="00000000"/>
  </w:font>
  <w:font w:name="DY341+ZJXIAP-345">
    <w:altName w:val="Times New Roman"/>
    <w:panose1 w:val="00000000000000000000"/>
    <w:charset w:val="00"/>
    <w:family w:val="roman"/>
    <w:pitch w:val="default"/>
    <w:sig w:usb0="00000000" w:usb1="00000000" w:usb2="00000000" w:usb3="00000000" w:csb0="00000000" w:csb1="00000000"/>
  </w:font>
  <w:font w:name="DY1+ZJXH8t-1">
    <w:altName w:val="Times New Roman"/>
    <w:panose1 w:val="00000000000000000000"/>
    <w:charset w:val="00"/>
    <w:family w:val="roman"/>
    <w:pitch w:val="default"/>
    <w:sig w:usb0="00000000" w:usb1="00000000" w:usb2="00000000" w:usb3="00000000" w:csb0="00000000" w:csb1="00000000"/>
  </w:font>
  <w:font w:name="DY2+ZJXH8t-2">
    <w:altName w:val="Segoe Print"/>
    <w:panose1 w:val="00000000000000000000"/>
    <w:charset w:val="00"/>
    <w:family w:val="roman"/>
    <w:pitch w:val="default"/>
    <w:sig w:usb0="00000000" w:usb1="00000000" w:usb2="00000000" w:usb3="00000000" w:csb0="00000000" w:csb1="00000000"/>
  </w:font>
  <w:font w:name="Wingdings 2">
    <w:altName w:val="MS Reference Specialty"/>
    <w:panose1 w:val="05020102010507070707"/>
    <w:charset w:val="02"/>
    <w:family w:val="roman"/>
    <w:pitch w:val="default"/>
    <w:sig w:usb0="00000000" w:usb1="00000000" w:usb2="00000000" w:usb3="00000000" w:csb0="80000000" w:csb1="00000000"/>
  </w:font>
  <w:font w:name="MS Reference Specialty">
    <w:panose1 w:val="05000500000000000000"/>
    <w:charset w:val="00"/>
    <w:family w:val="auto"/>
    <w:pitch w:val="default"/>
    <w:sig w:usb0="00000000" w:usb1="00000000" w:usb2="00000000" w:usb3="00000000" w:csb0="80000000" w:csb1="00000000"/>
  </w:font>
  <w:font w:name="Cambria Math">
    <w:panose1 w:val="02040503050406030204"/>
    <w:charset w:val="00"/>
    <w:family w:val="roman"/>
    <w:pitch w:val="default"/>
    <w:sig w:usb0="E00002FF" w:usb1="420024FF" w:usb2="00000000" w:usb3="00000000" w:csb0="2000019F" w:csb1="00000000"/>
  </w:font>
  <w:font w:name="TimesNewRomanPS-BoldMT">
    <w:altName w:val="宋体"/>
    <w:panose1 w:val="00000000000000000000"/>
    <w:charset w:val="86"/>
    <w:family w:val="auto"/>
    <w:pitch w:val="default"/>
    <w:sig w:usb0="00000000" w:usb1="00000000" w:usb2="00000000" w:usb3="00000000" w:csb0="00040000" w:csb1="00000000"/>
  </w:font>
  <w:font w:name="TimesNewRomanPSMT">
    <w:altName w:val="Times New Roman"/>
    <w:panose1 w:val="00000000000000000000"/>
    <w:charset w:val="00"/>
    <w:family w:val="roman"/>
    <w:pitch w:val="default"/>
    <w:sig w:usb0="00000000" w:usb1="00000000" w:usb2="00000000" w:usb3="00000000" w:csb0="00040001" w:csb1="00000000"/>
  </w:font>
  <w:font w:name="等线">
    <w:altName w:val="微软雅黑"/>
    <w:panose1 w:val="00000000000000000000"/>
    <w:charset w:val="00"/>
    <w:family w:val="auto"/>
    <w:pitch w:val="default"/>
    <w:sig w:usb0="00000000" w:usb1="00000000" w:usb2="00000000" w:usb3="00000000" w:csb0="00000000"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99786D">
    <w:pPr>
      <w:spacing w:before="60"/>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5CCE1">
    <w:pPr>
      <w:spacing w:before="60"/>
      <w:ind w:firstLine="360"/>
      <w:jc w:val="center"/>
    </w:pPr>
  </w:p>
  <w:p w14:paraId="2F6191EE">
    <w:pPr>
      <w:spacing w:before="6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042B4">
    <w:pPr>
      <w:spacing w:before="60"/>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BBF14">
    <w:pPr>
      <w:spacing w:before="60"/>
      <w:ind w:firstLine="360"/>
    </w:pPr>
    <w:r>
      <mc:AlternateContent>
        <mc:Choice Requires="wps">
          <w:drawing>
            <wp:anchor distT="0" distB="0" distL="114300" distR="114300" simplePos="0" relativeHeight="251659264" behindDoc="0" locked="0" layoutInCell="1" allowOverlap="1">
              <wp:simplePos x="0" y="0"/>
              <wp:positionH relativeFrom="margin">
                <wp:posOffset>2362200</wp:posOffset>
              </wp:positionH>
              <wp:positionV relativeFrom="paragraph">
                <wp:posOffset>635</wp:posOffset>
              </wp:positionV>
              <wp:extent cx="742950" cy="401320"/>
              <wp:effectExtent l="0" t="0" r="0" b="17780"/>
              <wp:wrapNone/>
              <wp:docPr id="1236800052" name="文本框 5"/>
              <wp:cNvGraphicFramePr/>
              <a:graphic xmlns:a="http://schemas.openxmlformats.org/drawingml/2006/main">
                <a:graphicData uri="http://schemas.microsoft.com/office/word/2010/wordprocessingShape">
                  <wps:wsp>
                    <wps:cNvSpPr txBox="1">
                      <a:spLocks noChangeArrowheads="1"/>
                    </wps:cNvSpPr>
                    <wps:spPr bwMode="auto">
                      <a:xfrm>
                        <a:off x="0" y="0"/>
                        <a:ext cx="742950" cy="401320"/>
                      </a:xfrm>
                      <a:prstGeom prst="rect">
                        <a:avLst/>
                      </a:prstGeom>
                      <a:noFill/>
                      <a:ln>
                        <a:noFill/>
                      </a:ln>
                    </wps:spPr>
                    <wps:txbx>
                      <w:txbxContent>
                        <w:p w14:paraId="5CCFCBB5">
                          <w:pPr>
                            <w:spacing w:before="60"/>
                            <w:ind w:firstLine="360"/>
                            <w:jc w:val="center"/>
                          </w:pPr>
                          <w:r>
                            <w:fldChar w:fldCharType="begin"/>
                          </w:r>
                          <w:r>
                            <w:instrText xml:space="preserve">PAGE   \* MERGEFORMAT</w:instrText>
                          </w:r>
                          <w:r>
                            <w:fldChar w:fldCharType="separate"/>
                          </w:r>
                          <w:r>
                            <w:rPr>
                              <w:lang w:val="zh-CN"/>
                            </w:rPr>
                            <w:t>III</w:t>
                          </w:r>
                          <w:r>
                            <w:fldChar w:fldCharType="end"/>
                          </w:r>
                        </w:p>
                      </w:txbxContent>
                    </wps:txbx>
                    <wps:bodyPr rot="0" vert="horz" wrap="square" lIns="0" tIns="0" rIns="0" bIns="0" anchor="t" anchorCtr="0" upright="1">
                      <a:noAutofit/>
                    </wps:bodyPr>
                  </wps:wsp>
                </a:graphicData>
              </a:graphic>
            </wp:anchor>
          </w:drawing>
        </mc:Choice>
        <mc:Fallback>
          <w:pict>
            <v:shape id="文本框 5" o:spid="_x0000_s1026" o:spt="202" type="#_x0000_t202" style="position:absolute;left:0pt;margin-left:186pt;margin-top:0.05pt;height:31.6pt;width:58.5pt;mso-position-horizontal-relative:margin;z-index:251659264;mso-width-relative:page;mso-height-relative:page;" filled="f" stroked="f" coordsize="21600,21600" o:gfxdata="UEsDBAoAAAAAAIdO4kAAAAAAAAAAAAAAAAAEAAAAZHJzL1BLAwQUAAAACACHTuJAymB0YdYAAAAH&#10;AQAADwAAAGRycy9kb3ducmV2LnhtbE2Py07DMBBF90j8gzVI7KjdBoU2xKkQghVSRRoWLJ14mkSN&#10;xyF2H/x9pytYXp3RvWfy9dkN4ohT6D1pmM8UCKTG255aDV/V+8MSRIiGrBk8oYZfDLAubm9yk1l/&#10;ohKP29gKLqGQGQ1djGMmZWg6dCbM/IjEbOcnZyLHqZV2Micud4NcKJVKZ3rihc6M+Nphs98enIaX&#10;byrf+p9N/Vnuyr6qVoo+0r3W93dz9Qwi4jn+HcNVn9WhYKfaH8gGMWhInhb8S7wCwfhxueJYa0iT&#10;BGSRy//+xQVQSwMEFAAAAAgAh07iQLgmJJcUAgAADQQAAA4AAABkcnMvZTJvRG9jLnhtbK1Ty24T&#10;MRTdI/EPlvdkJtOmlFEmVWlUhFQeUuEDHI8nYzH2NddOZsoHwB+wYsOe78p3cO1JQimbLthY1497&#10;fM7x8fxiMB3bKvQabMWnk5wzZSXU2q4r/vHD9bNzznwQthYdWFXxO+X5xeLpk3nvSlVAC12tkBGI&#10;9WXvKt6G4Mos87JVRvgJOGVpswE0ItAU11mNoid002VFnp9lPWDtEKTynlaX4ybfI+JjAKFptFRL&#10;kBujbBhRUXUikCTfauf5IrFtGiXDu6bxKrCu4qQ0pJEuoXoVx2wxF+UahWu13FMQj6HwQJMR2tKl&#10;R6ilCIJtUP8DZbRE8NCEiQSTjUKSI6Rimj/w5rYVTiUtZLV3R9P9/4OVb7fvkemaklCcnJ3neT4r&#10;OLPC0Mvvvn/b/fi1+/mVzaJPvfMlHb911BCGlzBQT9Ls3Q3IT55ZuGqFXatLROhbJWriOY2d2b3W&#10;EcdHkFX/Bmq6R2wCJKChQRNNJFsYodMb3R3fSA2BSVp8flq8mNGOpK3TfHpSpDfMRHlodujDKwWG&#10;xaLiSBFI4GJ740MkI8rDkXiXhWvddSkGnf1rgQ7GlUQ+8h2Zh2E17M1YQX1HMhDGVNGfoqIF/MJZ&#10;T4mquP+8Eag4615bsiLG71DgoVgdCmEltVY8cDaWV2GM6cahXreEPJpt4ZLsanSSEn0dWex5UkqS&#10;wn2iYwzvz9OpP7948R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KYHRh1gAAAAcBAAAPAAAAAAAA&#10;AAEAIAAAACIAAABkcnMvZG93bnJldi54bWxQSwECFAAUAAAACACHTuJAuCYklxQCAAANBAAADgAA&#10;AAAAAAABACAAAAAlAQAAZHJzL2Uyb0RvYy54bWxQSwUGAAAAAAYABgBZAQAAqwUAAAAA&#10;">
              <v:fill on="f" focussize="0,0"/>
              <v:stroke on="f"/>
              <v:imagedata o:title=""/>
              <o:lock v:ext="edit" aspectratio="f"/>
              <v:textbox inset="0mm,0mm,0mm,0mm">
                <w:txbxContent>
                  <w:p w14:paraId="5CCFCBB5">
                    <w:pPr>
                      <w:spacing w:before="60"/>
                      <w:ind w:firstLine="360"/>
                      <w:jc w:val="center"/>
                    </w:pPr>
                    <w:r>
                      <w:fldChar w:fldCharType="begin"/>
                    </w:r>
                    <w:r>
                      <w:instrText xml:space="preserve">PAGE   \* MERGEFORMAT</w:instrText>
                    </w:r>
                    <w:r>
                      <w:fldChar w:fldCharType="separate"/>
                    </w:r>
                    <w:r>
                      <w:rPr>
                        <w:lang w:val="zh-CN"/>
                      </w:rPr>
                      <w:t>III</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099C6">
    <w:pPr>
      <w:spacing w:before="60"/>
      <w:ind w:firstLine="36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14013891" name="文本框 6"/>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7A86E205">
                          <w:pPr>
                            <w:spacing w:before="60"/>
                            <w:ind w:firstLine="360"/>
                            <w:jc w:val="center"/>
                          </w:pPr>
                          <w:r>
                            <w:fldChar w:fldCharType="begin"/>
                          </w:r>
                          <w:r>
                            <w:instrText xml:space="preserve">PAGE   \* MERGEFORMAT</w:instrText>
                          </w:r>
                          <w:r>
                            <w:fldChar w:fldCharType="separate"/>
                          </w:r>
                          <w:r>
                            <w:rPr>
                              <w:lang w:val="zh-CN"/>
                            </w:rPr>
                            <w:t>II</w:t>
                          </w:r>
                          <w:r>
                            <w:fldChar w:fldCharType="end"/>
                          </w:r>
                        </w:p>
                      </w:txbxContent>
                    </wps:txbx>
                    <wps:bodyPr rot="0" vert="horz" wrap="none" lIns="0" tIns="0" rIns="0" bIns="0" anchor="t" anchorCtr="0" upright="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m581Q0CAAANBAAADgAAAGRycy9lMm9Eb2MueG1srVPNjtMwEL4j8Q6W&#10;7zRJgVWJmq6WrYqQlh9p4QFcx0ksEo81dpuUB4A34MSFO8/V52DsNN1lueyBizW2Z76Z7/Pn5eXQ&#10;tWyv0GkwBc9mKWfKSCi1qQv++dPm2YIz54UpRQtGFfygHL9cPX2y7G2u5tBAWypkBGJc3tuCN97b&#10;PEmcbFQn3AysMnRZAXbC0xbrpETRE3rXJvM0vUh6wNIiSOUcna7HS35CxMcAQlVpqdYgd50yfkRF&#10;1QpPlFyjreOrOG1VKek/VJVTnrUFJ6Y+rtSE4m1Yk9VS5DUK22h5GkE8ZoQHnDqhDTU9Q62FF2yH&#10;+h+oTksEB5WfSeiSkUhUhFhk6QNtbhthVeRCUjt7Ft39P1j5fv8RmS7JCS+zF2n2fPEq48yIjl7+&#10;+OP78efv469v7CLo1FuXU/qtpQI/vIaBaiJnZ29AfnHMwHUjTK2uEKFvlChpzixUJvdKRxwXQLb9&#10;Oyipj9h5iEBDhV0QkWRhhE5vdDi/kRo8k6HlYr5YpHQl6W7ahB4in8otOv9GQcdCUHAkE0R4sb9x&#10;fkydUkI3AxvdtnQu8tb8dUCY4SSOHyYeZ/fDdqDswGkL5YGIIIy+ol9FQQP4lbOePFVwQ1+Is/at&#10;ISmC/aYAp2A7BcJIKiy452wMr/1o051FXTeEO4l9RXJtdCRyN8NpSnJJlOLk6GDD+/uYdfeLV3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zql5uc8AAAAFAQAADwAAAAAAAAABACAAAAAiAAAAZHJz&#10;L2Rvd25yZXYueG1sUEsBAhQAFAAAAAgAh07iQOZufNUNAgAADQQAAA4AAAAAAAAAAQAgAAAAHgEA&#10;AGRycy9lMm9Eb2MueG1sUEsFBgAAAAAGAAYAWQEAAJ0FAAAAAA==&#10;">
              <v:fill on="f" focussize="0,0"/>
              <v:stroke on="f"/>
              <v:imagedata o:title=""/>
              <o:lock v:ext="edit" aspectratio="f"/>
              <v:textbox inset="0mm,0mm,0mm,0mm" style="mso-fit-shape-to-text:t;">
                <w:txbxContent>
                  <w:p w14:paraId="7A86E205">
                    <w:pPr>
                      <w:spacing w:before="60"/>
                      <w:ind w:firstLine="360"/>
                      <w:jc w:val="center"/>
                    </w:pPr>
                    <w:r>
                      <w:fldChar w:fldCharType="begin"/>
                    </w:r>
                    <w:r>
                      <w:instrText xml:space="preserve">PAGE   \* MERGEFORMAT</w:instrText>
                    </w:r>
                    <w:r>
                      <w:fldChar w:fldCharType="separate"/>
                    </w:r>
                    <w:r>
                      <w:rPr>
                        <w:lang w:val="zh-CN"/>
                      </w:rPr>
                      <w:t>II</w:t>
                    </w:r>
                    <w:r>
                      <w:fldChar w:fldCharType="end"/>
                    </w:r>
                  </w:p>
                </w:txbxContent>
              </v:textbox>
            </v:shape>
          </w:pict>
        </mc:Fallback>
      </mc:AlternateContent>
    </w:r>
  </w:p>
  <w:p w14:paraId="27A814ED">
    <w:pPr>
      <w:spacing w:before="60"/>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5079A5">
    <w:pPr>
      <w:pStyle w:val="58"/>
      <w:spacing w:before="60"/>
      <w:ind w:left="980" w:hanging="560"/>
      <w:jc w:val="center"/>
    </w:pPr>
    <w:r>
      <w:fldChar w:fldCharType="begin"/>
    </w:r>
    <w:r>
      <w:instrText xml:space="preserve">PAGE   \* MERGEFORMAT</w:instrText>
    </w:r>
    <w:r>
      <w:fldChar w:fldCharType="separate"/>
    </w:r>
    <w:r>
      <w:rPr>
        <w:lang w:val="zh-CN"/>
      </w:rPr>
      <w:t>2</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8AD9E">
    <w:pPr>
      <w:spacing w:before="60"/>
      <w:ind w:firstLine="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41550872" name="文本框 4"/>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26EBF6A4">
                          <w:pPr>
                            <w:pStyle w:val="58"/>
                            <w:spacing w:before="60"/>
                          </w:pPr>
                          <w:r>
                            <w:rPr>
                              <w:rFonts w:hint="eastAsia"/>
                            </w:rPr>
                            <w:fldChar w:fldCharType="begin"/>
                          </w:r>
                          <w:r>
                            <w:rPr>
                              <w:rFonts w:hint="eastAsia"/>
                            </w:rPr>
                            <w:instrText xml:space="preserve"> PAGE  \* MERGEFORMAT </w:instrText>
                          </w:r>
                          <w:r>
                            <w:rPr>
                              <w:rFonts w:hint="eastAsia"/>
                            </w:rPr>
                            <w:fldChar w:fldCharType="separate"/>
                          </w:r>
                          <w:r>
                            <w:rPr>
                              <w:rFonts w:hint="eastAsia"/>
                            </w:rPr>
                            <w:t>46</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4eDoQ0CAAANBAAADgAAAGRycy9lMm9Eb2MueG1srVPNjtMwEL4j8Q6W&#10;7zRptQtV1HS1bFWEtPxICw/gOk5jEXussdukPAC8AScu3HmuPgdjp+kuy2UPXKyxPfPN930eL656&#10;07K9Qq/Blnw6yTlTVkKl7bbknz+tX8w580HYSrRgVckPyvOr5fNni84VagYNtJVCRiDWF50reROC&#10;K7LMy0YZ4SfglKXLGtCIQFvcZhWKjtBNm83y/GXWAVYOQSrv6XQ1XPITIj4FEOpaS7UCuTPKhgEV&#10;VSsCSfKNdp4vE9u6VjJ8qGuvAmtLTkpDWqkJxZu4ZsuFKLYoXKPliYJ4CoVHmozQlpqeoVYiCLZD&#10;/Q+U0RLBQx0mEkw2CEmOkIpp/sibu0Y4lbSQ1d6dTff/D1a+339EpquSz6YX08vLfP5qxpkVhl7+&#10;+OP78efv469v7CL61DlfUPqdo4LQv4aepidp9u4W5BfPLNw0wm7VNSJ0jRIV8ZzGyuxB6YDjI8im&#10;ewcV9RG7AAmor9FEE8kWRuj0RofzG6k+MBlbzmfzeU5Xku7GTewhirHcoQ9vFBgWg5IjDUGCF/tb&#10;H4bUMSV2s7DWbUvnomjtXweEGU8S/ch44B76TU/ZUdMGqgMJQRjmin4VBQ3gV846mqmSW/pCnLVv&#10;LVkRx28McAw2YyCspMKSB86G8CYMY7pzqLcN4Y5mX5Nda52E3HM4saQpSVacJjqO4cN9yrr/xcs/&#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zql5uc8AAAAFAQAADwAAAAAAAAABACAAAAAiAAAAZHJz&#10;L2Rvd25yZXYueG1sUEsBAhQAFAAAAAgAh07iQN+Hg6ENAgAADQQAAA4AAAAAAAAAAQAgAAAAHgEA&#10;AGRycy9lMm9Eb2MueG1sUEsFBgAAAAAGAAYAWQEAAJ0FAAAAAA==&#10;">
              <v:fill on="f" focussize="0,0"/>
              <v:stroke on="f"/>
              <v:imagedata o:title=""/>
              <o:lock v:ext="edit" aspectratio="f"/>
              <v:textbox inset="0mm,0mm,0mm,0mm" style="mso-fit-shape-to-text:t;">
                <w:txbxContent>
                  <w:p w14:paraId="26EBF6A4">
                    <w:pPr>
                      <w:pStyle w:val="58"/>
                      <w:spacing w:before="60"/>
                    </w:pPr>
                    <w:r>
                      <w:rPr>
                        <w:rFonts w:hint="eastAsia"/>
                      </w:rPr>
                      <w:fldChar w:fldCharType="begin"/>
                    </w:r>
                    <w:r>
                      <w:rPr>
                        <w:rFonts w:hint="eastAsia"/>
                      </w:rPr>
                      <w:instrText xml:space="preserve"> PAGE  \* MERGEFORMAT </w:instrText>
                    </w:r>
                    <w:r>
                      <w:rPr>
                        <w:rFonts w:hint="eastAsia"/>
                      </w:rPr>
                      <w:fldChar w:fldCharType="separate"/>
                    </w:r>
                    <w:r>
                      <w:rPr>
                        <w:rFonts w:hint="eastAsia"/>
                      </w:rPr>
                      <w:t>46</w:t>
                    </w:r>
                    <w:r>
                      <w:rPr>
                        <w:rFonts w:hint="eastAsia"/>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61D315">
    <w:pPr>
      <w:spacing w:before="60"/>
      <w:ind w:firstLine="42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5C8713">
    <w:pPr>
      <w:pStyle w:val="58"/>
      <w:spacing w:before="60"/>
      <w:ind w:left="980" w:hanging="560"/>
      <w:jc w:val="center"/>
    </w:pPr>
    <w:r>
      <w:fldChar w:fldCharType="begin"/>
    </w:r>
    <w:r>
      <w:instrText xml:space="preserve">PAGE   \* MERGEFORMAT</w:instrText>
    </w:r>
    <w:r>
      <w:fldChar w:fldCharType="separate"/>
    </w:r>
    <w:r>
      <w:rPr>
        <w:lang w:val="zh-CN"/>
      </w:rPr>
      <w:t>2</w:t>
    </w:r>
    <w: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1321C">
    <w:pPr>
      <w:spacing w:before="60"/>
      <w:ind w:firstLine="360"/>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17318582" name="文本框 3"/>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4F112FBB">
                          <w:pPr>
                            <w:pStyle w:val="58"/>
                            <w:spacing w:before="60"/>
                          </w:pPr>
                          <w:r>
                            <w:rPr>
                              <w:rFonts w:hint="eastAsia"/>
                            </w:rPr>
                            <w:fldChar w:fldCharType="begin"/>
                          </w:r>
                          <w:r>
                            <w:rPr>
                              <w:rFonts w:hint="eastAsia"/>
                            </w:rPr>
                            <w:instrText xml:space="preserve"> PAGE  \* MERGEFORMAT </w:instrText>
                          </w:r>
                          <w:r>
                            <w:rPr>
                              <w:rFonts w:hint="eastAsia"/>
                            </w:rPr>
                            <w:fldChar w:fldCharType="separate"/>
                          </w:r>
                          <w:r>
                            <w:rPr>
                              <w:rFonts w:hint="eastAsia"/>
                            </w:rPr>
                            <w:t>212</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RsIfg0CAAAMBAAADgAAAGRycy9lMm9Eb2MueG1srVNLbtswEN0X6B0I&#10;7mvZTj+CYDlIY7gokH6AtAegKcoiKnKIIW3JPUB7g6666b7n8jk6pCwnTTdZdEMMh8M37z0OF5e9&#10;adleoddgSz6bTDlTVkKl7bbknz+tn+Wc+SBsJVqwquQH5fnl8umTRecKNYcG2kohIxDri86VvAnB&#10;FVnmZaOM8BNwytJhDWhEoC1uswpFR+imzebT6cusA6wcglTeU3Y1HPITIj4GEOpaS7UCuTPKhgEV&#10;VSsCSfKNdp4vE9u6VjJ8qGuvAmtLTkpDWqkJxZu4ZsuFKLYoXKPliYJ4DIUHmozQlpqeoVYiCLZD&#10;/Q+U0RLBQx0mEkw2CEmOkIrZ9IE3t41wKmkhq707m+7/H6x8v/+ITFclfz57dTHLX+Rzzqww9PDH&#10;H9+PP38ff31jF9GmzvmCqm8d1Yf+NfQ0PEmydzcgv3hm4boRdquuEKFrlKiI5izezO5dHXB8BNl0&#10;76CiPmIXIAH1NZroIbnCCJ2e6HB+ItUHJmPLfJ7nUzqSdDZuYg9RjNcd+vBGgWExKDnSDCR4sb/x&#10;YSgdS2I3C2vdtpQXRWv/ShBmzCT6kfHAPfSbnqqjpg1UBxKCMIwVfSoKGsCvnHU0UiW39IM4a99a&#10;siJO3xjgGGzGQFhJF0seOBvC6zBM6c6h3jaEO5p9RXatdRJyx+HEkoYkWXEa6DiF9/ep6u4TL/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zql5uc8AAAAFAQAADwAAAAAAAAABACAAAAAiAAAAZHJz&#10;L2Rvd25yZXYueG1sUEsBAhQAFAAAAAgAh07iQNUbCH4NAgAADAQAAA4AAAAAAAAAAQAgAAAAHgEA&#10;AGRycy9lMm9Eb2MueG1sUEsFBgAAAAAGAAYAWQEAAJ0FAAAAAA==&#10;">
              <v:fill on="f" focussize="0,0"/>
              <v:stroke on="f"/>
              <v:imagedata o:title=""/>
              <o:lock v:ext="edit" aspectratio="f"/>
              <v:textbox inset="0mm,0mm,0mm,0mm" style="mso-fit-shape-to-text:t;">
                <w:txbxContent>
                  <w:p w14:paraId="4F112FBB">
                    <w:pPr>
                      <w:pStyle w:val="58"/>
                      <w:spacing w:before="60"/>
                    </w:pPr>
                    <w:r>
                      <w:rPr>
                        <w:rFonts w:hint="eastAsia"/>
                      </w:rPr>
                      <w:fldChar w:fldCharType="begin"/>
                    </w:r>
                    <w:r>
                      <w:rPr>
                        <w:rFonts w:hint="eastAsia"/>
                      </w:rPr>
                      <w:instrText xml:space="preserve"> PAGE  \* MERGEFORMAT </w:instrText>
                    </w:r>
                    <w:r>
                      <w:rPr>
                        <w:rFonts w:hint="eastAsia"/>
                      </w:rPr>
                      <w:fldChar w:fldCharType="separate"/>
                    </w:r>
                    <w:r>
                      <w:rPr>
                        <w:rFonts w:hint="eastAsia"/>
                      </w:rPr>
                      <w:t>212</w:t>
                    </w:r>
                    <w:r>
                      <w:rPr>
                        <w:rFonts w:hint="eastAsia"/>
                      </w:rPr>
                      <w:fldChar w:fldCharType="end"/>
                    </w:r>
                  </w:p>
                </w:txbxContent>
              </v:textbox>
            </v:shape>
          </w:pict>
        </mc:Fallback>
      </mc:AlternateContent>
    </w:r>
  </w:p>
  <w:p w14:paraId="17CC3EEE">
    <w:pPr>
      <w:spacing w:before="60"/>
      <w:ind w:firstLine="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36537">
    <w:pPr>
      <w:spacing w:before="60"/>
      <w:ind w:firstLine="360"/>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90193990"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5F4B87BB">
                          <w:pPr>
                            <w:pStyle w:val="58"/>
                            <w:spacing w:before="60"/>
                          </w:pPr>
                          <w:r>
                            <w:rPr>
                              <w:rFonts w:hint="eastAsia"/>
                            </w:rPr>
                            <w:fldChar w:fldCharType="begin"/>
                          </w:r>
                          <w:r>
                            <w:rPr>
                              <w:rFonts w:hint="eastAsia"/>
                            </w:rPr>
                            <w:instrText xml:space="preserve"> PAGE  \* MERGEFORMAT </w:instrText>
                          </w:r>
                          <w:r>
                            <w:rPr>
                              <w:rFonts w:hint="eastAsia"/>
                            </w:rPr>
                            <w:fldChar w:fldCharType="separate"/>
                          </w:r>
                          <w:r>
                            <w:rPr>
                              <w:rFonts w:hint="eastAsia"/>
                            </w:rPr>
                            <w:t>230</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9FdlQsCAAAMBAAADgAAAGRycy9lMm9Eb2MueG1srVPNjtMwEL4j8Q6W&#10;7zRpkVAbNV0tWxUhLT/SwgO4jtNYxB5r7DYpDwBvwIkLd56rz8HYabrLctkDF2s8Hn/zfZ/Hy6ve&#10;tOyg0GuwJZ9Ocs6UlVBpuyv550+bF3POfBC2Ei1YVfKj8vxq9fzZsnOFmkEDbaWQEYj1RedK3oTg&#10;iizzslFG+Ak4ZemwBjQi0BZ3WYWiI3TTZrM8f5V1gJVDkMp7yq6HQ35GxKcAQl1rqdYg90bZMKCi&#10;akUgSb7RzvNVYlvXSoYPde1VYG3JSWlIKzWheBvXbLUUxQ6Fa7Q8UxBPofBIkxHaUtML1FoEwfao&#10;/4EyWiJ4qMNEgskGIckRUjHNH3lz1winkhay2ruL6f7/wcr3h4/IdFXy+SKfLl4uFuSMFYYe/vTj&#10;++nn79Ovb2wWbeqcL6j6zlF96F9DT8OTJHt3C/KLZxZuGmF36hoRukaJimhO483swdUBx0eQbfcO&#10;Kuoj9gESUF+jiR6SK4zQicjx8kSqD0zGlvPZfJ7TkaSzcRN7iGK87tCHNwoMi0HJkWYgwYvDrQ9D&#10;6VgSu1nY6LalvCha+1eCMGMm0Y+MB+6h3/ZUHTVtoTqSEIRhrOhTUdAAfuWso5EquaUfxFn71pIV&#10;xDmMAY7BdgyElXSx5IGzIbwJw5TuHepdQ7ij2ddk10YnIfcczixpSJIV54GOU/hwn6ruP/Hq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M6pebnPAAAABQEAAA8AAAAAAAAAAQAgAAAAIgAAAGRycy9k&#10;b3ducmV2LnhtbFBLAQIUABQAAAAIAIdO4kCn0V2VCwIAAAwEAAAOAAAAAAAAAAEAIAAAAB4BAABk&#10;cnMvZTJvRG9jLnhtbFBLBQYAAAAABgAGAFkBAACbBQAAAAA=&#10;">
              <v:fill on="f" focussize="0,0"/>
              <v:stroke on="f"/>
              <v:imagedata o:title=""/>
              <o:lock v:ext="edit" aspectratio="f"/>
              <v:textbox inset="0mm,0mm,0mm,0mm" style="mso-fit-shape-to-text:t;">
                <w:txbxContent>
                  <w:p w14:paraId="5F4B87BB">
                    <w:pPr>
                      <w:pStyle w:val="58"/>
                      <w:spacing w:before="60"/>
                    </w:pPr>
                    <w:r>
                      <w:rPr>
                        <w:rFonts w:hint="eastAsia"/>
                      </w:rPr>
                      <w:fldChar w:fldCharType="begin"/>
                    </w:r>
                    <w:r>
                      <w:rPr>
                        <w:rFonts w:hint="eastAsia"/>
                      </w:rPr>
                      <w:instrText xml:space="preserve"> PAGE  \* MERGEFORMAT </w:instrText>
                    </w:r>
                    <w:r>
                      <w:rPr>
                        <w:rFonts w:hint="eastAsia"/>
                      </w:rPr>
                      <w:fldChar w:fldCharType="separate"/>
                    </w:r>
                    <w:r>
                      <w:rPr>
                        <w:rFonts w:hint="eastAsia"/>
                      </w:rPr>
                      <w:t>230</w:t>
                    </w:r>
                    <w:r>
                      <w:rPr>
                        <w:rFonts w:hint="eastAsia"/>
                      </w:rPr>
                      <w:fldChar w:fldCharType="end"/>
                    </w:r>
                  </w:p>
                </w:txbxContent>
              </v:textbox>
            </v:shape>
          </w:pict>
        </mc:Fallback>
      </mc:AlternateContent>
    </w:r>
  </w:p>
  <w:p w14:paraId="084EE9CB">
    <w:pPr>
      <w:spacing w:before="60"/>
      <w:ind w:firstLine="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24EA81">
    <w:pPr>
      <w:spacing w:before="60"/>
      <w:ind w:firstLine="360"/>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85067307" name="文本框 1"/>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58A25943">
                          <w:pPr>
                            <w:pStyle w:val="58"/>
                            <w:spacing w:before="60"/>
                          </w:pPr>
                          <w:r>
                            <w:rPr>
                              <w:rFonts w:hint="eastAsia"/>
                            </w:rPr>
                            <w:fldChar w:fldCharType="begin"/>
                          </w:r>
                          <w:r>
                            <w:rPr>
                              <w:rFonts w:hint="eastAsia"/>
                            </w:rPr>
                            <w:instrText xml:space="preserve"> PAGE  \* MERGEFORMAT </w:instrText>
                          </w:r>
                          <w:r>
                            <w:rPr>
                              <w:rFonts w:hint="eastAsia"/>
                            </w:rPr>
                            <w:fldChar w:fldCharType="separate"/>
                          </w:r>
                          <w:r>
                            <w:rPr>
                              <w:rFonts w:hint="eastAsia"/>
                            </w:rPr>
                            <w:t>236</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3IF3QwCAAAMBAAADgAAAGRycy9lMm9Eb2MueG1srVPNjtMwEL4j8Q6W&#10;7zRpV+xWUdPVslUR0vIjLTyA6ziNReyxxm6T8gDwBpy4cOe5+hyMnaYsy2UPXKyxZ/zNN58/L657&#10;07K9Qq/Blnw6yTlTVkKl7bbknz6uX8w580HYSrRgVckPyvPr5fNni84VagYNtJVCRiDWF50reROC&#10;K7LMy0YZ4SfglKVkDWhEoC1uswpFR+imzWZ5fpl1gJVDkMp7Ol0NSX5CxKcAQl1rqVYgd0bZMKCi&#10;akWgkXyjnefLxLaulQzv69qrwNqS06QhrdSE4k1cs+VCFFsUrtHyREE8hcKjmYzQlpqeoVYiCLZD&#10;/Q+U0RLBQx0mEkw2DJIUoSmm+SNt7hvhVJqFpPbuLLr/f7Dy3f4DMl2V/GL+Mr+8usivOLPC0MMf&#10;v387/vh1/PmVTaNMnfMFVd87qg/9K+jJPGlk7+5AfvbMwm0j7FbdIELXKFERzXQze3B1wPERZNO9&#10;hYr6iF2ABNTXaKKGpAojdHqiw/mJVB+YjC3ns/k8p5Sk3LghdpkoxusOfXitwLAYlBzJAwle7O98&#10;GErHktjNwlq3bfJBa/86IMx4kuhHxgP30G/6kxwbqA40CMJgK/pUFDSAXzjryFIlt/SDOGvfWJIi&#10;um8McAw2YyCspIslD5wN4W0YXLpzqLcN4Y5i35Bca50GiboOHE4sySRJipOhowsf7lPVn0+8/A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OqXm5zwAAAAUBAAAPAAAAAAAAAAEAIAAAACIAAABkcnMv&#10;ZG93bnJldi54bWxQSwECFAAUAAAACACHTuJA43IF3QwCAAAMBAAADgAAAAAAAAABACAAAAAeAQAA&#10;ZHJzL2Uyb0RvYy54bWxQSwUGAAAAAAYABgBZAQAAnAUAAAAA&#10;">
              <v:fill on="f" focussize="0,0"/>
              <v:stroke on="f"/>
              <v:imagedata o:title=""/>
              <o:lock v:ext="edit" aspectratio="f"/>
              <v:textbox inset="0mm,0mm,0mm,0mm" style="mso-fit-shape-to-text:t;">
                <w:txbxContent>
                  <w:p w14:paraId="58A25943">
                    <w:pPr>
                      <w:pStyle w:val="58"/>
                      <w:spacing w:before="60"/>
                    </w:pPr>
                    <w:r>
                      <w:rPr>
                        <w:rFonts w:hint="eastAsia"/>
                      </w:rPr>
                      <w:fldChar w:fldCharType="begin"/>
                    </w:r>
                    <w:r>
                      <w:rPr>
                        <w:rFonts w:hint="eastAsia"/>
                      </w:rPr>
                      <w:instrText xml:space="preserve"> PAGE  \* MERGEFORMAT </w:instrText>
                    </w:r>
                    <w:r>
                      <w:rPr>
                        <w:rFonts w:hint="eastAsia"/>
                      </w:rPr>
                      <w:fldChar w:fldCharType="separate"/>
                    </w:r>
                    <w:r>
                      <w:rPr>
                        <w:rFonts w:hint="eastAsia"/>
                      </w:rPr>
                      <w:t>236</w:t>
                    </w:r>
                    <w:r>
                      <w:rPr>
                        <w:rFonts w:hint="eastAsi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B9EBA3">
    <w:pPr>
      <w:spacing w:before="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2283A0">
    <w:pPr>
      <w:pStyle w:val="36"/>
      <w:spacing w:before="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93215D">
    <w:pPr>
      <w:spacing w:before="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53AD46">
    <w:pPr>
      <w:pStyle w:val="36"/>
      <w:spacing w:before="60"/>
    </w:pPr>
    <w:bookmarkStart w:id="707" w:name="_Hlk175235130"/>
    <w:bookmarkStart w:id="708" w:name="_Hlk175235131"/>
    <w:bookmarkStart w:id="709" w:name="_Hlk175235133"/>
    <w:bookmarkStart w:id="710" w:name="_Hlk175235132"/>
    <w:r>
      <w:rPr>
        <w:rFonts w:hint="eastAsia"/>
      </w:rPr>
      <w:t>鸿泽废旧资源利用有限公司矿山废弃尾矿综合利用项目</w:t>
    </w:r>
    <w:bookmarkEnd w:id="707"/>
    <w:bookmarkEnd w:id="708"/>
    <w:bookmarkEnd w:id="709"/>
    <w:bookmarkEnd w:id="710"/>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A931A">
    <w:pPr>
      <w:pBdr>
        <w:bottom w:val="single" w:color="auto" w:sz="4" w:space="1"/>
      </w:pBdr>
      <w:spacing w:before="60"/>
    </w:pPr>
    <w:r>
      <w:t>目录</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EF10FF">
    <w:pPr>
      <w:spacing w:before="60"/>
      <w:ind w:firstLine="36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BA595">
    <w:pPr>
      <w:pStyle w:val="36"/>
      <w:spacing w:before="60"/>
    </w:pPr>
    <w:r>
      <w:rPr>
        <w:rFonts w:hint="eastAsia"/>
      </w:rPr>
      <w:t>鸿泽废旧资源利用有限公司矿山废弃尾矿综合利用项目</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743A5">
    <w:pPr>
      <w:spacing w:before="6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6D910D">
    <w:pPr>
      <w:pStyle w:val="36"/>
      <w:spacing w:before="60"/>
    </w:pPr>
    <w:r>
      <w:rPr>
        <w:rFonts w:hint="eastAsia"/>
      </w:rPr>
      <w:t>鸿泽废旧资源利用有限公司矿山废弃尾矿综合利用项目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3"/>
    <w:multiLevelType w:val="singleLevel"/>
    <w:tmpl w:val="FFFFFF83"/>
    <w:lvl w:ilvl="0" w:tentative="0">
      <w:start w:val="1"/>
      <w:numFmt w:val="bullet"/>
      <w:pStyle w:val="489"/>
      <w:lvlText w:val=""/>
      <w:lvlJc w:val="left"/>
      <w:pPr>
        <w:tabs>
          <w:tab w:val="left" w:pos="780"/>
        </w:tabs>
        <w:ind w:left="780" w:leftChars="200" w:hanging="360" w:hangingChars="200"/>
      </w:pPr>
      <w:rPr>
        <w:rFonts w:hint="default" w:ascii="Wingdings" w:hAnsi="Wingdings"/>
      </w:rPr>
    </w:lvl>
  </w:abstractNum>
  <w:abstractNum w:abstractNumId="1">
    <w:nsid w:val="FFFFFF88"/>
    <w:multiLevelType w:val="singleLevel"/>
    <w:tmpl w:val="FFFFFF88"/>
    <w:lvl w:ilvl="0" w:tentative="0">
      <w:start w:val="1"/>
      <w:numFmt w:val="decimal"/>
      <w:pStyle w:val="2474"/>
      <w:lvlText w:val="表7.%1"/>
      <w:lvlJc w:val="left"/>
      <w:pPr>
        <w:tabs>
          <w:tab w:val="left" w:pos="780"/>
        </w:tabs>
        <w:ind w:left="780" w:hanging="420"/>
      </w:pPr>
      <w:rPr>
        <w:rFonts w:hint="eastAsia"/>
        <w:sz w:val="24"/>
        <w:szCs w:val="24"/>
      </w:rPr>
    </w:lvl>
  </w:abstractNum>
  <w:abstractNum w:abstractNumId="2">
    <w:nsid w:val="00000002"/>
    <w:multiLevelType w:val="multilevel"/>
    <w:tmpl w:val="00000002"/>
    <w:lvl w:ilvl="0" w:tentative="0">
      <w:start w:val="1"/>
      <w:numFmt w:val="decimal"/>
      <w:pStyle w:val="1119"/>
      <w:lvlText w:val="%1"/>
      <w:lvlJc w:val="left"/>
      <w:pPr>
        <w:tabs>
          <w:tab w:val="left" w:pos="425"/>
        </w:tabs>
        <w:ind w:left="0" w:firstLine="0"/>
      </w:pPr>
      <w:rPr>
        <w:rFonts w:hint="eastAsia"/>
      </w:rPr>
    </w:lvl>
    <w:lvl w:ilvl="1" w:tentative="0">
      <w:start w:val="1"/>
      <w:numFmt w:val="decimal"/>
      <w:pStyle w:val="910"/>
      <w:lvlText w:val="%1.%2"/>
      <w:lvlJc w:val="left"/>
      <w:pPr>
        <w:tabs>
          <w:tab w:val="left" w:pos="425"/>
        </w:tabs>
        <w:ind w:left="0" w:firstLine="0"/>
      </w:pPr>
      <w:rPr>
        <w:rFonts w:hint="eastAsia"/>
      </w:rPr>
    </w:lvl>
    <w:lvl w:ilvl="2" w:tentative="0">
      <w:start w:val="1"/>
      <w:numFmt w:val="decimal"/>
      <w:pStyle w:val="912"/>
      <w:lvlText w:val="%1.%2.%3"/>
      <w:lvlJc w:val="left"/>
      <w:pPr>
        <w:tabs>
          <w:tab w:val="left" w:pos="425"/>
        </w:tabs>
        <w:ind w:left="0" w:firstLine="0"/>
      </w:pPr>
      <w:rPr>
        <w:rFonts w:hint="eastAsia"/>
      </w:rPr>
    </w:lvl>
    <w:lvl w:ilvl="3" w:tentative="0">
      <w:start w:val="1"/>
      <w:numFmt w:val="decimal"/>
      <w:lvlText w:val="%1.%2.%3.%4"/>
      <w:lvlJc w:val="left"/>
      <w:pPr>
        <w:tabs>
          <w:tab w:val="left" w:pos="425"/>
        </w:tabs>
        <w:ind w:left="0" w:firstLine="0"/>
      </w:pPr>
      <w:rPr>
        <w:rFonts w:hint="eastAsia"/>
      </w:rPr>
    </w:lvl>
    <w:lvl w:ilvl="4" w:tentative="0">
      <w:start w:val="1"/>
      <w:numFmt w:val="decimal"/>
      <w:lvlText w:val="%1.%2.%3.%4.%5"/>
      <w:lvlJc w:val="left"/>
      <w:pPr>
        <w:tabs>
          <w:tab w:val="left" w:pos="425"/>
        </w:tabs>
        <w:ind w:left="0" w:firstLine="0"/>
      </w:pPr>
      <w:rPr>
        <w:rFonts w:hint="eastAsia"/>
      </w:rPr>
    </w:lvl>
    <w:lvl w:ilvl="5" w:tentative="0">
      <w:start w:val="1"/>
      <w:numFmt w:val="decimal"/>
      <w:lvlText w:val="%1.%2.%3.%4.%5.%6"/>
      <w:lvlJc w:val="left"/>
      <w:pPr>
        <w:tabs>
          <w:tab w:val="left" w:pos="425"/>
        </w:tabs>
        <w:ind w:left="0" w:firstLine="0"/>
      </w:pPr>
      <w:rPr>
        <w:rFonts w:hint="eastAsia"/>
      </w:rPr>
    </w:lvl>
    <w:lvl w:ilvl="6" w:tentative="0">
      <w:start w:val="1"/>
      <w:numFmt w:val="decimal"/>
      <w:lvlText w:val="%1.%2.%3.%4.%5.%6.%7"/>
      <w:lvlJc w:val="left"/>
      <w:pPr>
        <w:tabs>
          <w:tab w:val="left" w:pos="425"/>
        </w:tabs>
        <w:ind w:left="0" w:firstLine="0"/>
      </w:pPr>
      <w:rPr>
        <w:rFonts w:hint="eastAsia"/>
      </w:rPr>
    </w:lvl>
    <w:lvl w:ilvl="7" w:tentative="0">
      <w:start w:val="1"/>
      <w:numFmt w:val="decimal"/>
      <w:lvlText w:val="%1.%2.%3.%4.%5.%6.%7.%8"/>
      <w:lvlJc w:val="left"/>
      <w:pPr>
        <w:tabs>
          <w:tab w:val="left" w:pos="425"/>
        </w:tabs>
        <w:ind w:left="0" w:firstLine="0"/>
      </w:pPr>
      <w:rPr>
        <w:rFonts w:hint="eastAsia"/>
      </w:rPr>
    </w:lvl>
    <w:lvl w:ilvl="8" w:tentative="0">
      <w:start w:val="1"/>
      <w:numFmt w:val="decimal"/>
      <w:lvlText w:val="%1.%2.%3.%4.%5.%6.%7.%8.%9"/>
      <w:lvlJc w:val="left"/>
      <w:pPr>
        <w:tabs>
          <w:tab w:val="left" w:pos="425"/>
        </w:tabs>
        <w:ind w:left="0" w:firstLine="0"/>
      </w:pPr>
      <w:rPr>
        <w:rFonts w:hint="eastAsia"/>
      </w:rPr>
    </w:lvl>
  </w:abstractNum>
  <w:abstractNum w:abstractNumId="3">
    <w:nsid w:val="00000020"/>
    <w:multiLevelType w:val="multilevel"/>
    <w:tmpl w:val="00000020"/>
    <w:lvl w:ilvl="0" w:tentative="0">
      <w:start w:val="1"/>
      <w:numFmt w:val="none"/>
      <w:pStyle w:val="1047"/>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0000002B"/>
    <w:multiLevelType w:val="multilevel"/>
    <w:tmpl w:val="0000002B"/>
    <w:lvl w:ilvl="0" w:tentative="0">
      <w:start w:val="1"/>
      <w:numFmt w:val="none"/>
      <w:pStyle w:val="1074"/>
      <w:lvlText w:val="%1注："/>
      <w:lvlJc w:val="left"/>
      <w:pPr>
        <w:tabs>
          <w:tab w:val="left" w:pos="1140"/>
        </w:tabs>
        <w:ind w:left="840" w:hanging="42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6243E8C"/>
    <w:multiLevelType w:val="multilevel"/>
    <w:tmpl w:val="06243E8C"/>
    <w:lvl w:ilvl="0" w:tentative="0">
      <w:start w:val="1"/>
      <w:numFmt w:val="decimal"/>
      <w:pStyle w:val="1480"/>
      <w:lvlText w:val="表14.3-%1"/>
      <w:lvlJc w:val="center"/>
      <w:pPr>
        <w:tabs>
          <w:tab w:val="left" w:pos="720"/>
        </w:tabs>
        <w:ind w:left="-4" w:firstLine="4"/>
      </w:pPr>
      <w:rPr>
        <w:rFonts w:hint="eastAsia"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lang w:val="en-U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A1C025A"/>
    <w:multiLevelType w:val="multilevel"/>
    <w:tmpl w:val="0A1C025A"/>
    <w:lvl w:ilvl="0" w:tentative="0">
      <w:start w:val="1"/>
      <w:numFmt w:val="decimal"/>
      <w:pStyle w:val="2548"/>
      <w:lvlText w:val="表8.%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A72759C"/>
    <w:multiLevelType w:val="multilevel"/>
    <w:tmpl w:val="0A72759C"/>
    <w:lvl w:ilvl="0" w:tentative="0">
      <w:start w:val="1"/>
      <w:numFmt w:val="decimal"/>
      <w:pStyle w:val="2546"/>
      <w:lvlText w:val="表7.%1"/>
      <w:lvlJc w:val="left"/>
      <w:pPr>
        <w:ind w:left="420" w:hanging="420"/>
      </w:pPr>
      <w:rPr>
        <w:rFonts w:hint="eastAsia"/>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C6E16C2"/>
    <w:multiLevelType w:val="multilevel"/>
    <w:tmpl w:val="0C6E16C2"/>
    <w:lvl w:ilvl="0" w:tentative="0">
      <w:start w:val="1"/>
      <w:numFmt w:val="decimal"/>
      <w:pStyle w:val="2484"/>
      <w:lvlText w:val="表1.%1"/>
      <w:lvlJc w:val="center"/>
      <w:pPr>
        <w:ind w:left="1413" w:hanging="420"/>
      </w:pPr>
      <w:rPr>
        <w:rFonts w:hint="eastAsia"/>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CF40DDF"/>
    <w:multiLevelType w:val="multilevel"/>
    <w:tmpl w:val="0CF40DDF"/>
    <w:lvl w:ilvl="0" w:tentative="0">
      <w:start w:val="1"/>
      <w:numFmt w:val="decimal"/>
      <w:lvlText w:val="表5.7-%1"/>
      <w:lvlJc w:val="center"/>
      <w:pPr>
        <w:ind w:left="1320" w:hanging="440"/>
      </w:pPr>
      <w:rPr>
        <w:rFonts w:hint="default" w:ascii="Times New Roman" w:hAnsi="Times New Roman" w:eastAsia="宋体"/>
        <w:b/>
        <w:color w:val="000000" w:themeColor="text1"/>
        <w:sz w:val="21"/>
        <w14:textFill>
          <w14:solidFill>
            <w14:schemeClr w14:val="tx1"/>
          </w14:solidFill>
        </w14:textFill>
      </w:rPr>
    </w:lvl>
    <w:lvl w:ilvl="1" w:tentative="0">
      <w:start w:val="1"/>
      <w:numFmt w:val="lowerLetter"/>
      <w:lvlText w:val="%2)"/>
      <w:lvlJc w:val="left"/>
      <w:pPr>
        <w:ind w:left="1760" w:hanging="440"/>
      </w:pPr>
    </w:lvl>
    <w:lvl w:ilvl="2" w:tentative="0">
      <w:start w:val="1"/>
      <w:numFmt w:val="lowerRoman"/>
      <w:lvlText w:val="%3."/>
      <w:lvlJc w:val="right"/>
      <w:pPr>
        <w:ind w:left="2200" w:hanging="440"/>
      </w:pPr>
    </w:lvl>
    <w:lvl w:ilvl="3" w:tentative="0">
      <w:start w:val="1"/>
      <w:numFmt w:val="decimal"/>
      <w:lvlText w:val="%4."/>
      <w:lvlJc w:val="left"/>
      <w:pPr>
        <w:ind w:left="2640" w:hanging="440"/>
      </w:pPr>
    </w:lvl>
    <w:lvl w:ilvl="4" w:tentative="0">
      <w:start w:val="1"/>
      <w:numFmt w:val="lowerLetter"/>
      <w:lvlText w:val="%5)"/>
      <w:lvlJc w:val="left"/>
      <w:pPr>
        <w:ind w:left="3080" w:hanging="440"/>
      </w:pPr>
    </w:lvl>
    <w:lvl w:ilvl="5" w:tentative="0">
      <w:start w:val="1"/>
      <w:numFmt w:val="lowerRoman"/>
      <w:lvlText w:val="%6."/>
      <w:lvlJc w:val="right"/>
      <w:pPr>
        <w:ind w:left="3520" w:hanging="440"/>
      </w:pPr>
    </w:lvl>
    <w:lvl w:ilvl="6" w:tentative="0">
      <w:start w:val="1"/>
      <w:numFmt w:val="decimal"/>
      <w:lvlText w:val="%7."/>
      <w:lvlJc w:val="left"/>
      <w:pPr>
        <w:ind w:left="3960" w:hanging="440"/>
      </w:pPr>
    </w:lvl>
    <w:lvl w:ilvl="7" w:tentative="0">
      <w:start w:val="1"/>
      <w:numFmt w:val="lowerLetter"/>
      <w:lvlText w:val="%8)"/>
      <w:lvlJc w:val="left"/>
      <w:pPr>
        <w:ind w:left="4400" w:hanging="440"/>
      </w:pPr>
    </w:lvl>
    <w:lvl w:ilvl="8" w:tentative="0">
      <w:start w:val="1"/>
      <w:numFmt w:val="lowerRoman"/>
      <w:lvlText w:val="%9."/>
      <w:lvlJc w:val="right"/>
      <w:pPr>
        <w:ind w:left="4840" w:hanging="440"/>
      </w:pPr>
    </w:lvl>
  </w:abstractNum>
  <w:abstractNum w:abstractNumId="10">
    <w:nsid w:val="11EF2631"/>
    <w:multiLevelType w:val="multilevel"/>
    <w:tmpl w:val="11EF2631"/>
    <w:lvl w:ilvl="0" w:tentative="0">
      <w:start w:val="1"/>
      <w:numFmt w:val="decimalEnclosedCircle"/>
      <w:lvlText w:val="%1"/>
      <w:lvlJc w:val="left"/>
      <w:pPr>
        <w:ind w:left="840" w:hanging="36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11">
    <w:nsid w:val="13C46D97"/>
    <w:multiLevelType w:val="multilevel"/>
    <w:tmpl w:val="13C46D97"/>
    <w:lvl w:ilvl="0" w:tentative="0">
      <w:start w:val="1"/>
      <w:numFmt w:val="decimal"/>
      <w:pStyle w:val="2489"/>
      <w:lvlText w:val="表4.%1"/>
      <w:lvlJc w:val="left"/>
      <w:pPr>
        <w:ind w:left="900" w:hanging="420"/>
      </w:pPr>
      <w:rPr>
        <w:rFonts w:hint="eastAsia" w:eastAsia="黑体"/>
        <w:sz w:val="24"/>
        <w:vertAlign w:val="baseline"/>
        <w:lang w:val="en-US"/>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pStyle w:val="2578"/>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2">
    <w:nsid w:val="16591406"/>
    <w:multiLevelType w:val="multilevel"/>
    <w:tmpl w:val="16591406"/>
    <w:lvl w:ilvl="0" w:tentative="0">
      <w:start w:val="1"/>
      <w:numFmt w:val="decimal"/>
      <w:pStyle w:val="1720"/>
      <w:lvlText w:val="表4.9-%1"/>
      <w:lvlJc w:val="center"/>
      <w:pPr>
        <w:tabs>
          <w:tab w:val="left" w:pos="1424"/>
        </w:tabs>
        <w:ind w:left="573" w:firstLine="0"/>
      </w:pPr>
      <w:rPr>
        <w:rFonts w:hint="default" w:ascii="Times New Roman" w:hAnsi="Times New Roman"/>
        <w:b/>
        <w:i w:val="0"/>
        <w:sz w:val="24"/>
        <w:szCs w:val="24"/>
        <w:lang w:val="en-U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166B4CC6"/>
    <w:multiLevelType w:val="multilevel"/>
    <w:tmpl w:val="166B4CC6"/>
    <w:lvl w:ilvl="0" w:tentative="0">
      <w:start w:val="1"/>
      <w:numFmt w:val="decimal"/>
      <w:pStyle w:val="2556"/>
      <w:lvlText w:val="表13.%1"/>
      <w:lvlJc w:val="left"/>
      <w:pPr>
        <w:ind w:left="618" w:hanging="420"/>
      </w:pPr>
      <w:rPr>
        <w:rFonts w:hint="default" w:ascii="Times New Roman" w:hAnsi="Times New Roman" w:eastAsia="黑体" w:cs="Times New Roman"/>
        <w:lang w:val="zh-CN"/>
      </w:rPr>
    </w:lvl>
    <w:lvl w:ilvl="1" w:tentative="0">
      <w:start w:val="1"/>
      <w:numFmt w:val="lowerLetter"/>
      <w:lvlText w:val="%2)"/>
      <w:lvlJc w:val="left"/>
      <w:pPr>
        <w:tabs>
          <w:tab w:val="left" w:pos="1038"/>
        </w:tabs>
        <w:ind w:left="1038" w:hanging="420"/>
      </w:pPr>
    </w:lvl>
    <w:lvl w:ilvl="2" w:tentative="0">
      <w:start w:val="1"/>
      <w:numFmt w:val="lowerRoman"/>
      <w:lvlText w:val="%3."/>
      <w:lvlJc w:val="right"/>
      <w:pPr>
        <w:tabs>
          <w:tab w:val="left" w:pos="1458"/>
        </w:tabs>
        <w:ind w:left="1458" w:hanging="420"/>
      </w:pPr>
    </w:lvl>
    <w:lvl w:ilvl="3" w:tentative="0">
      <w:start w:val="1"/>
      <w:numFmt w:val="decimal"/>
      <w:lvlText w:val="%4."/>
      <w:lvlJc w:val="left"/>
      <w:pPr>
        <w:tabs>
          <w:tab w:val="left" w:pos="1878"/>
        </w:tabs>
        <w:ind w:left="1878" w:hanging="420"/>
      </w:pPr>
    </w:lvl>
    <w:lvl w:ilvl="4" w:tentative="0">
      <w:start w:val="1"/>
      <w:numFmt w:val="lowerLetter"/>
      <w:lvlText w:val="%5)"/>
      <w:lvlJc w:val="left"/>
      <w:pPr>
        <w:tabs>
          <w:tab w:val="left" w:pos="2298"/>
        </w:tabs>
        <w:ind w:left="2298" w:hanging="420"/>
      </w:pPr>
    </w:lvl>
    <w:lvl w:ilvl="5" w:tentative="0">
      <w:start w:val="1"/>
      <w:numFmt w:val="lowerRoman"/>
      <w:lvlText w:val="%6."/>
      <w:lvlJc w:val="right"/>
      <w:pPr>
        <w:tabs>
          <w:tab w:val="left" w:pos="2718"/>
        </w:tabs>
        <w:ind w:left="2718" w:hanging="420"/>
      </w:pPr>
    </w:lvl>
    <w:lvl w:ilvl="6" w:tentative="0">
      <w:start w:val="1"/>
      <w:numFmt w:val="decimal"/>
      <w:lvlText w:val="%7."/>
      <w:lvlJc w:val="left"/>
      <w:pPr>
        <w:tabs>
          <w:tab w:val="left" w:pos="3138"/>
        </w:tabs>
        <w:ind w:left="3138" w:hanging="420"/>
      </w:pPr>
    </w:lvl>
    <w:lvl w:ilvl="7" w:tentative="0">
      <w:start w:val="1"/>
      <w:numFmt w:val="lowerLetter"/>
      <w:lvlText w:val="%8)"/>
      <w:lvlJc w:val="left"/>
      <w:pPr>
        <w:tabs>
          <w:tab w:val="left" w:pos="3558"/>
        </w:tabs>
        <w:ind w:left="3558" w:hanging="420"/>
      </w:pPr>
    </w:lvl>
    <w:lvl w:ilvl="8" w:tentative="0">
      <w:start w:val="1"/>
      <w:numFmt w:val="lowerRoman"/>
      <w:lvlText w:val="%9."/>
      <w:lvlJc w:val="right"/>
      <w:pPr>
        <w:tabs>
          <w:tab w:val="left" w:pos="3978"/>
        </w:tabs>
        <w:ind w:left="3978" w:hanging="420"/>
      </w:pPr>
    </w:lvl>
  </w:abstractNum>
  <w:abstractNum w:abstractNumId="14">
    <w:nsid w:val="170D7D92"/>
    <w:multiLevelType w:val="multilevel"/>
    <w:tmpl w:val="170D7D92"/>
    <w:lvl w:ilvl="0" w:tentative="0">
      <w:start w:val="1"/>
      <w:numFmt w:val="decimal"/>
      <w:pStyle w:val="2450"/>
      <w:lvlText w:val="图8-%1"/>
      <w:lvlJc w:val="left"/>
      <w:pPr>
        <w:ind w:left="420" w:hanging="420"/>
      </w:pPr>
      <w:rPr>
        <w:rFonts w:hint="eastAsia"/>
      </w:rPr>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5">
    <w:nsid w:val="18E3793B"/>
    <w:multiLevelType w:val="multilevel"/>
    <w:tmpl w:val="18E3793B"/>
    <w:lvl w:ilvl="0" w:tentative="0">
      <w:start w:val="1"/>
      <w:numFmt w:val="decimal"/>
      <w:pStyle w:val="2490"/>
      <w:lvlText w:val="图7-%1"/>
      <w:lvlJc w:val="left"/>
      <w:pPr>
        <w:ind w:left="1040" w:hanging="420"/>
      </w:pPr>
      <w:rPr>
        <w:rFonts w:hint="eastAsia"/>
        <w:color w:val="000000"/>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6">
    <w:nsid w:val="19D06438"/>
    <w:multiLevelType w:val="multilevel"/>
    <w:tmpl w:val="19D06438"/>
    <w:lvl w:ilvl="0" w:tentative="0">
      <w:start w:val="1"/>
      <w:numFmt w:val="decimal"/>
      <w:lvlText w:val="%1"/>
      <w:lvlJc w:val="left"/>
      <w:pPr>
        <w:ind w:left="432" w:hanging="432"/>
      </w:pPr>
    </w:lvl>
    <w:lvl w:ilvl="1" w:tentative="0">
      <w:start w:val="1"/>
      <w:numFmt w:val="decimal"/>
      <w:lvlText w:val="%1.%2"/>
      <w:lvlJc w:val="left"/>
      <w:pPr>
        <w:ind w:left="576" w:hanging="576"/>
      </w:pPr>
    </w:lvl>
    <w:lvl w:ilvl="2" w:tentative="0">
      <w:start w:val="1"/>
      <w:numFmt w:val="decimal"/>
      <w:lvlText w:val="%1.%2.%3"/>
      <w:lvlJc w:val="left"/>
      <w:pPr>
        <w:ind w:left="720" w:hanging="720"/>
      </w:pPr>
    </w:lvl>
    <w:lvl w:ilvl="3" w:tentative="0">
      <w:start w:val="1"/>
      <w:numFmt w:val="decimal"/>
      <w:pStyle w:val="329"/>
      <w:lvlText w:val="%1.%2.%3.%4"/>
      <w:lvlJc w:val="left"/>
      <w:pPr>
        <w:ind w:left="864" w:hanging="864"/>
      </w:pPr>
    </w:lvl>
    <w:lvl w:ilvl="4" w:tentative="0">
      <w:start w:val="1"/>
      <w:numFmt w:val="decimal"/>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abstractNum w:abstractNumId="17">
    <w:nsid w:val="1D870DB2"/>
    <w:multiLevelType w:val="multilevel"/>
    <w:tmpl w:val="1D870DB2"/>
    <w:lvl w:ilvl="0" w:tentative="0">
      <w:start w:val="1"/>
      <w:numFmt w:val="decimal"/>
      <w:pStyle w:val="2473"/>
      <w:lvlText w:val="表9.%1"/>
      <w:lvlJc w:val="left"/>
      <w:pPr>
        <w:ind w:left="2972" w:hanging="420"/>
      </w:pPr>
      <w:rPr>
        <w:rFonts w:hint="eastAsia" w:ascii="黑体" w:eastAsia="黑体"/>
        <w:b w:val="0"/>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8">
    <w:nsid w:val="1DE10883"/>
    <w:multiLevelType w:val="multilevel"/>
    <w:tmpl w:val="1DE10883"/>
    <w:lvl w:ilvl="0" w:tentative="0">
      <w:start w:val="1"/>
      <w:numFmt w:val="decimal"/>
      <w:pStyle w:val="603"/>
      <w:lvlText w:val="%1"/>
      <w:lvlJc w:val="left"/>
      <w:pPr>
        <w:tabs>
          <w:tab w:val="left" w:pos="432"/>
        </w:tabs>
        <w:ind w:left="432" w:hanging="432"/>
      </w:pPr>
      <w:rPr>
        <w:rFonts w:hint="eastAsia"/>
      </w:rPr>
    </w:lvl>
    <w:lvl w:ilvl="1" w:tentative="0">
      <w:start w:val="1"/>
      <w:numFmt w:val="decimal"/>
      <w:lvlRestart w:val="0"/>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9">
    <w:nsid w:val="1E1CF1D6"/>
    <w:multiLevelType w:val="singleLevel"/>
    <w:tmpl w:val="1E1CF1D6"/>
    <w:lvl w:ilvl="0" w:tentative="0">
      <w:start w:val="1"/>
      <w:numFmt w:val="decimal"/>
      <w:pStyle w:val="20"/>
      <w:lvlText w:val="%1."/>
      <w:lvlJc w:val="left"/>
      <w:pPr>
        <w:tabs>
          <w:tab w:val="left" w:pos="360"/>
        </w:tabs>
        <w:ind w:left="360" w:hanging="360"/>
      </w:pPr>
    </w:lvl>
  </w:abstractNum>
  <w:abstractNum w:abstractNumId="20">
    <w:nsid w:val="1FDC79EE"/>
    <w:multiLevelType w:val="multilevel"/>
    <w:tmpl w:val="1FDC79EE"/>
    <w:lvl w:ilvl="0" w:tentative="0">
      <w:start w:val="1"/>
      <w:numFmt w:val="bullet"/>
      <w:lvlText w:val=""/>
      <w:lvlJc w:val="left"/>
      <w:pPr>
        <w:ind w:left="852" w:hanging="420"/>
      </w:pPr>
      <w:rPr>
        <w:rFonts w:hint="default" w:ascii="Wingdings" w:hAnsi="Wingdings"/>
      </w:rPr>
    </w:lvl>
    <w:lvl w:ilvl="1" w:tentative="0">
      <w:start w:val="1"/>
      <w:numFmt w:val="bullet"/>
      <w:lvlText w:val=""/>
      <w:lvlJc w:val="left"/>
      <w:pPr>
        <w:ind w:left="1272" w:hanging="420"/>
      </w:pPr>
      <w:rPr>
        <w:rFonts w:hint="default" w:ascii="Wingdings" w:hAnsi="Wingdings"/>
      </w:rPr>
    </w:lvl>
    <w:lvl w:ilvl="2" w:tentative="0">
      <w:start w:val="1"/>
      <w:numFmt w:val="bullet"/>
      <w:lvlText w:val=""/>
      <w:lvlJc w:val="left"/>
      <w:pPr>
        <w:ind w:left="1692" w:hanging="420"/>
      </w:pPr>
      <w:rPr>
        <w:rFonts w:hint="default" w:ascii="Wingdings" w:hAnsi="Wingdings"/>
      </w:rPr>
    </w:lvl>
    <w:lvl w:ilvl="3" w:tentative="0">
      <w:start w:val="1"/>
      <w:numFmt w:val="bullet"/>
      <w:lvlText w:val=""/>
      <w:lvlJc w:val="left"/>
      <w:pPr>
        <w:ind w:left="2112" w:hanging="420"/>
      </w:pPr>
      <w:rPr>
        <w:rFonts w:hint="default" w:ascii="Wingdings" w:hAnsi="Wingdings"/>
      </w:rPr>
    </w:lvl>
    <w:lvl w:ilvl="4" w:tentative="0">
      <w:start w:val="1"/>
      <w:numFmt w:val="bullet"/>
      <w:lvlText w:val=""/>
      <w:lvlJc w:val="left"/>
      <w:pPr>
        <w:ind w:left="2532" w:hanging="420"/>
      </w:pPr>
      <w:rPr>
        <w:rFonts w:hint="default" w:ascii="Wingdings" w:hAnsi="Wingdings"/>
      </w:rPr>
    </w:lvl>
    <w:lvl w:ilvl="5" w:tentative="0">
      <w:start w:val="1"/>
      <w:numFmt w:val="bullet"/>
      <w:lvlText w:val=""/>
      <w:lvlJc w:val="left"/>
      <w:pPr>
        <w:ind w:left="2952" w:hanging="420"/>
      </w:pPr>
      <w:rPr>
        <w:rFonts w:hint="default" w:ascii="Wingdings" w:hAnsi="Wingdings"/>
      </w:rPr>
    </w:lvl>
    <w:lvl w:ilvl="6" w:tentative="0">
      <w:start w:val="1"/>
      <w:numFmt w:val="bullet"/>
      <w:lvlText w:val=""/>
      <w:lvlJc w:val="left"/>
      <w:pPr>
        <w:ind w:left="3372" w:hanging="420"/>
      </w:pPr>
      <w:rPr>
        <w:rFonts w:hint="default" w:ascii="Wingdings" w:hAnsi="Wingdings"/>
      </w:rPr>
    </w:lvl>
    <w:lvl w:ilvl="7" w:tentative="0">
      <w:start w:val="1"/>
      <w:numFmt w:val="bullet"/>
      <w:lvlText w:val=""/>
      <w:lvlJc w:val="left"/>
      <w:pPr>
        <w:ind w:left="3792" w:hanging="420"/>
      </w:pPr>
      <w:rPr>
        <w:rFonts w:hint="default" w:ascii="Wingdings" w:hAnsi="Wingdings"/>
      </w:rPr>
    </w:lvl>
    <w:lvl w:ilvl="8" w:tentative="0">
      <w:start w:val="1"/>
      <w:numFmt w:val="bullet"/>
      <w:lvlText w:val=""/>
      <w:lvlJc w:val="left"/>
      <w:pPr>
        <w:ind w:left="4212" w:hanging="420"/>
      </w:pPr>
      <w:rPr>
        <w:rFonts w:hint="default" w:ascii="Wingdings" w:hAnsi="Wingdings"/>
      </w:rPr>
    </w:lvl>
  </w:abstractNum>
  <w:abstractNum w:abstractNumId="21">
    <w:nsid w:val="26525B74"/>
    <w:multiLevelType w:val="multilevel"/>
    <w:tmpl w:val="26525B74"/>
    <w:lvl w:ilvl="0" w:tentative="0">
      <w:start w:val="0"/>
      <w:numFmt w:val="decimal"/>
      <w:pStyle w:val="2541"/>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2">
    <w:nsid w:val="266A6B21"/>
    <w:multiLevelType w:val="multilevel"/>
    <w:tmpl w:val="266A6B21"/>
    <w:lvl w:ilvl="0" w:tentative="0">
      <w:start w:val="1"/>
      <w:numFmt w:val="decimal"/>
      <w:pStyle w:val="2410"/>
      <w:lvlText w:val="表1.%1"/>
      <w:lvlJc w:val="left"/>
      <w:pPr>
        <w:ind w:left="420" w:hanging="420"/>
      </w:pPr>
      <w:rPr>
        <w:rFonts w:hint="eastAsia"/>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3">
    <w:nsid w:val="27120CBB"/>
    <w:multiLevelType w:val="multilevel"/>
    <w:tmpl w:val="27120CBB"/>
    <w:lvl w:ilvl="0" w:tentative="0">
      <w:start w:val="1"/>
      <w:numFmt w:val="decimal"/>
      <w:pStyle w:val="2441"/>
      <w:lvlText w:val="表4.%1"/>
      <w:lvlJc w:val="left"/>
      <w:pPr>
        <w:ind w:left="420" w:hanging="420"/>
      </w:pPr>
      <w:rPr>
        <w:rFonts w:hint="eastAsia"/>
        <w:sz w:val="24"/>
        <w:szCs w:val="24"/>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4">
    <w:nsid w:val="274A7D6A"/>
    <w:multiLevelType w:val="multilevel"/>
    <w:tmpl w:val="274A7D6A"/>
    <w:lvl w:ilvl="0" w:tentative="0">
      <w:start w:val="0"/>
      <w:numFmt w:val="decimal"/>
      <w:pStyle w:val="2488"/>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5">
    <w:nsid w:val="2876006B"/>
    <w:multiLevelType w:val="multilevel"/>
    <w:tmpl w:val="2876006B"/>
    <w:lvl w:ilvl="0" w:tentative="0">
      <w:start w:val="0"/>
      <w:numFmt w:val="decimal"/>
      <w:pStyle w:val="2445"/>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6">
    <w:nsid w:val="2DF8516D"/>
    <w:multiLevelType w:val="multilevel"/>
    <w:tmpl w:val="2DF8516D"/>
    <w:lvl w:ilvl="0" w:tentative="0">
      <w:start w:val="0"/>
      <w:numFmt w:val="decimal"/>
      <w:pStyle w:val="2487"/>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7">
    <w:nsid w:val="2FC55A97"/>
    <w:multiLevelType w:val="multilevel"/>
    <w:tmpl w:val="2FC55A97"/>
    <w:lvl w:ilvl="0" w:tentative="0">
      <w:start w:val="0"/>
      <w:numFmt w:val="decimal"/>
      <w:pStyle w:val="2481"/>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8">
    <w:nsid w:val="32A360BD"/>
    <w:multiLevelType w:val="multilevel"/>
    <w:tmpl w:val="32A360BD"/>
    <w:lvl w:ilvl="0" w:tentative="0">
      <w:start w:val="1"/>
      <w:numFmt w:val="decimal"/>
      <w:pStyle w:val="1386"/>
      <w:lvlText w:val="%1"/>
      <w:lvlJc w:val="left"/>
      <w:pPr>
        <w:tabs>
          <w:tab w:val="left" w:pos="537"/>
        </w:tabs>
        <w:ind w:left="537" w:hanging="432"/>
      </w:pPr>
    </w:lvl>
    <w:lvl w:ilvl="1" w:tentative="0">
      <w:start w:val="1"/>
      <w:numFmt w:val="decimal"/>
      <w:lvlText w:val="%1.%2"/>
      <w:lvlJc w:val="left"/>
      <w:pPr>
        <w:tabs>
          <w:tab w:val="left" w:pos="-12759"/>
        </w:tabs>
        <w:ind w:left="-12759" w:hanging="576"/>
      </w:pPr>
    </w:lvl>
    <w:lvl w:ilvl="2" w:tentative="0">
      <w:start w:val="1"/>
      <w:numFmt w:val="decimal"/>
      <w:lvlText w:val="%1.%2.%3"/>
      <w:lvlJc w:val="left"/>
      <w:pPr>
        <w:tabs>
          <w:tab w:val="left" w:pos="-12615"/>
        </w:tabs>
        <w:ind w:left="-12615" w:hanging="720"/>
      </w:pPr>
    </w:lvl>
    <w:lvl w:ilvl="3" w:tentative="0">
      <w:start w:val="1"/>
      <w:numFmt w:val="decimal"/>
      <w:lvlText w:val="%1.%2.%3.%4"/>
      <w:lvlJc w:val="left"/>
      <w:pPr>
        <w:tabs>
          <w:tab w:val="left" w:pos="-12471"/>
        </w:tabs>
        <w:ind w:left="-12471" w:hanging="864"/>
      </w:pPr>
    </w:lvl>
    <w:lvl w:ilvl="4" w:tentative="0">
      <w:start w:val="1"/>
      <w:numFmt w:val="decimal"/>
      <w:lvlText w:val="%1.%2.%3.%4.%5"/>
      <w:lvlJc w:val="left"/>
      <w:pPr>
        <w:tabs>
          <w:tab w:val="left" w:pos="-12327"/>
        </w:tabs>
        <w:ind w:left="-12327" w:hanging="1008"/>
      </w:pPr>
    </w:lvl>
    <w:lvl w:ilvl="5" w:tentative="0">
      <w:start w:val="1"/>
      <w:numFmt w:val="decimal"/>
      <w:lvlText w:val="%1.%2.%3.%4.%5.%6"/>
      <w:lvlJc w:val="left"/>
      <w:pPr>
        <w:tabs>
          <w:tab w:val="left" w:pos="-12183"/>
        </w:tabs>
        <w:ind w:left="-12183" w:hanging="1152"/>
      </w:pPr>
    </w:lvl>
    <w:lvl w:ilvl="6" w:tentative="0">
      <w:start w:val="1"/>
      <w:numFmt w:val="decimal"/>
      <w:lvlText w:val="%1.%2.%3.%4.%5.%6.%7"/>
      <w:lvlJc w:val="left"/>
      <w:pPr>
        <w:tabs>
          <w:tab w:val="left" w:pos="-12039"/>
        </w:tabs>
        <w:ind w:left="-12039" w:hanging="1296"/>
      </w:pPr>
    </w:lvl>
    <w:lvl w:ilvl="7" w:tentative="0">
      <w:start w:val="1"/>
      <w:numFmt w:val="decimal"/>
      <w:lvlText w:val="%1.%2.%3.%4.%5.%6.%7.%8"/>
      <w:lvlJc w:val="left"/>
      <w:pPr>
        <w:tabs>
          <w:tab w:val="left" w:pos="-11895"/>
        </w:tabs>
        <w:ind w:left="-11895" w:hanging="1440"/>
      </w:pPr>
    </w:lvl>
    <w:lvl w:ilvl="8" w:tentative="0">
      <w:start w:val="1"/>
      <w:numFmt w:val="decimal"/>
      <w:lvlText w:val="%1.%2.%3.%4.%5.%6.%7.%8.%9"/>
      <w:lvlJc w:val="left"/>
      <w:pPr>
        <w:tabs>
          <w:tab w:val="left" w:pos="-11751"/>
        </w:tabs>
        <w:ind w:left="-11751" w:hanging="1584"/>
      </w:pPr>
    </w:lvl>
  </w:abstractNum>
  <w:abstractNum w:abstractNumId="29">
    <w:nsid w:val="3381287A"/>
    <w:multiLevelType w:val="multilevel"/>
    <w:tmpl w:val="3381287A"/>
    <w:lvl w:ilvl="0" w:tentative="0">
      <w:start w:val="0"/>
      <w:numFmt w:val="decimal"/>
      <w:pStyle w:val="2492"/>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0">
    <w:nsid w:val="33BA3598"/>
    <w:multiLevelType w:val="multilevel"/>
    <w:tmpl w:val="33BA3598"/>
    <w:lvl w:ilvl="0" w:tentative="0">
      <w:start w:val="1"/>
      <w:numFmt w:val="decimal"/>
      <w:pStyle w:val="2439"/>
      <w:lvlText w:val="图3-%1"/>
      <w:lvlJc w:val="left"/>
      <w:pPr>
        <w:ind w:left="420" w:hanging="420"/>
      </w:pPr>
      <w:rPr>
        <w:rFonts w:hint="eastAsia"/>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1">
    <w:nsid w:val="384730C7"/>
    <w:multiLevelType w:val="multilevel"/>
    <w:tmpl w:val="384730C7"/>
    <w:lvl w:ilvl="0" w:tentative="0">
      <w:start w:val="1"/>
      <w:numFmt w:val="decimalEnclosedCircle"/>
      <w:lvlText w:val="%1"/>
      <w:lvlJc w:val="left"/>
      <w:pPr>
        <w:ind w:left="785" w:hanging="360"/>
      </w:pPr>
      <w:rPr>
        <w:rFonts w:hint="default" w:ascii="宋体" w:hAnsi="宋体"/>
      </w:r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32">
    <w:nsid w:val="408A38BF"/>
    <w:multiLevelType w:val="multilevel"/>
    <w:tmpl w:val="408A38BF"/>
    <w:lvl w:ilvl="0" w:tentative="0">
      <w:start w:val="1"/>
      <w:numFmt w:val="decimal"/>
      <w:pStyle w:val="2440"/>
      <w:lvlText w:val="图4-%1"/>
      <w:lvlJc w:val="left"/>
      <w:pPr>
        <w:ind w:left="845" w:hanging="420"/>
      </w:pPr>
      <w:rPr>
        <w:rFonts w:hint="eastAsia"/>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3">
    <w:nsid w:val="45924559"/>
    <w:multiLevelType w:val="multilevel"/>
    <w:tmpl w:val="45924559"/>
    <w:lvl w:ilvl="0" w:tentative="0">
      <w:start w:val="1"/>
      <w:numFmt w:val="bullet"/>
      <w:pStyle w:val="358"/>
      <w:lvlText w:val=""/>
      <w:lvlJc w:val="left"/>
      <w:pPr>
        <w:tabs>
          <w:tab w:val="left" w:pos="907"/>
        </w:tabs>
        <w:ind w:left="907" w:hanging="420"/>
      </w:pPr>
      <w:rPr>
        <w:rFonts w:hint="default" w:ascii="Wingdings" w:hAnsi="Wingdings"/>
      </w:rPr>
    </w:lvl>
    <w:lvl w:ilvl="1" w:tentative="0">
      <w:start w:val="1"/>
      <w:numFmt w:val="bullet"/>
      <w:lvlText w:val=""/>
      <w:lvlJc w:val="left"/>
      <w:pPr>
        <w:tabs>
          <w:tab w:val="left" w:pos="1327"/>
        </w:tabs>
        <w:ind w:left="1327" w:hanging="420"/>
      </w:pPr>
      <w:rPr>
        <w:rFonts w:hint="default" w:ascii="Wingdings" w:hAnsi="Wingdings"/>
      </w:rPr>
    </w:lvl>
    <w:lvl w:ilvl="2" w:tentative="0">
      <w:start w:val="1"/>
      <w:numFmt w:val="bullet"/>
      <w:lvlText w:val=""/>
      <w:lvlJc w:val="left"/>
      <w:pPr>
        <w:tabs>
          <w:tab w:val="left" w:pos="1747"/>
        </w:tabs>
        <w:ind w:left="1747" w:hanging="420"/>
      </w:pPr>
      <w:rPr>
        <w:rFonts w:hint="default" w:ascii="Wingdings" w:hAnsi="Wingdings"/>
      </w:rPr>
    </w:lvl>
    <w:lvl w:ilvl="3" w:tentative="0">
      <w:start w:val="1"/>
      <w:numFmt w:val="bullet"/>
      <w:lvlText w:val=""/>
      <w:lvlJc w:val="left"/>
      <w:pPr>
        <w:tabs>
          <w:tab w:val="left" w:pos="2167"/>
        </w:tabs>
        <w:ind w:left="2167" w:hanging="420"/>
      </w:pPr>
      <w:rPr>
        <w:rFonts w:hint="default" w:ascii="Wingdings" w:hAnsi="Wingdings"/>
      </w:rPr>
    </w:lvl>
    <w:lvl w:ilvl="4" w:tentative="0">
      <w:start w:val="1"/>
      <w:numFmt w:val="bullet"/>
      <w:lvlText w:val=""/>
      <w:lvlJc w:val="left"/>
      <w:pPr>
        <w:tabs>
          <w:tab w:val="left" w:pos="2587"/>
        </w:tabs>
        <w:ind w:left="2587" w:hanging="420"/>
      </w:pPr>
      <w:rPr>
        <w:rFonts w:hint="default" w:ascii="Wingdings" w:hAnsi="Wingdings"/>
      </w:rPr>
    </w:lvl>
    <w:lvl w:ilvl="5" w:tentative="0">
      <w:start w:val="1"/>
      <w:numFmt w:val="bullet"/>
      <w:lvlText w:val=""/>
      <w:lvlJc w:val="left"/>
      <w:pPr>
        <w:tabs>
          <w:tab w:val="left" w:pos="3007"/>
        </w:tabs>
        <w:ind w:left="3007" w:hanging="420"/>
      </w:pPr>
      <w:rPr>
        <w:rFonts w:hint="default" w:ascii="Wingdings" w:hAnsi="Wingdings"/>
      </w:rPr>
    </w:lvl>
    <w:lvl w:ilvl="6" w:tentative="0">
      <w:start w:val="1"/>
      <w:numFmt w:val="bullet"/>
      <w:lvlText w:val=""/>
      <w:lvlJc w:val="left"/>
      <w:pPr>
        <w:tabs>
          <w:tab w:val="left" w:pos="3427"/>
        </w:tabs>
        <w:ind w:left="3427" w:hanging="420"/>
      </w:pPr>
      <w:rPr>
        <w:rFonts w:hint="default" w:ascii="Wingdings" w:hAnsi="Wingdings"/>
      </w:rPr>
    </w:lvl>
    <w:lvl w:ilvl="7" w:tentative="0">
      <w:start w:val="1"/>
      <w:numFmt w:val="bullet"/>
      <w:lvlText w:val=""/>
      <w:lvlJc w:val="left"/>
      <w:pPr>
        <w:tabs>
          <w:tab w:val="left" w:pos="3847"/>
        </w:tabs>
        <w:ind w:left="3847" w:hanging="420"/>
      </w:pPr>
      <w:rPr>
        <w:rFonts w:hint="default" w:ascii="Wingdings" w:hAnsi="Wingdings"/>
      </w:rPr>
    </w:lvl>
    <w:lvl w:ilvl="8" w:tentative="0">
      <w:start w:val="1"/>
      <w:numFmt w:val="bullet"/>
      <w:lvlText w:val=""/>
      <w:lvlJc w:val="left"/>
      <w:pPr>
        <w:tabs>
          <w:tab w:val="left" w:pos="4267"/>
        </w:tabs>
        <w:ind w:left="4267" w:hanging="420"/>
      </w:pPr>
      <w:rPr>
        <w:rFonts w:hint="default" w:ascii="Wingdings" w:hAnsi="Wingdings"/>
      </w:rPr>
    </w:lvl>
  </w:abstractNum>
  <w:abstractNum w:abstractNumId="34">
    <w:nsid w:val="46B37517"/>
    <w:multiLevelType w:val="multilevel"/>
    <w:tmpl w:val="46B37517"/>
    <w:lvl w:ilvl="0" w:tentative="0">
      <w:start w:val="1"/>
      <w:numFmt w:val="decimal"/>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5">
    <w:nsid w:val="46E73FB9"/>
    <w:multiLevelType w:val="multilevel"/>
    <w:tmpl w:val="46E73FB9"/>
    <w:lvl w:ilvl="0" w:tentative="0">
      <w:start w:val="1"/>
      <w:numFmt w:val="decimal"/>
      <w:pStyle w:val="2550"/>
      <w:lvlText w:val="表10.%1"/>
      <w:lvlJc w:val="left"/>
      <w:pPr>
        <w:ind w:left="620" w:hanging="420"/>
      </w:pPr>
      <w:rPr>
        <w:rFonts w:hint="eastAsia" w:ascii="黑体" w:eastAsia="黑体"/>
        <w:b w:val="0"/>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6">
    <w:nsid w:val="48214CC1"/>
    <w:multiLevelType w:val="multilevel"/>
    <w:tmpl w:val="48214CC1"/>
    <w:lvl w:ilvl="0" w:tentative="0">
      <w:start w:val="1"/>
      <w:numFmt w:val="decimal"/>
      <w:pStyle w:val="2413"/>
      <w:lvlText w:val="图6-%1"/>
      <w:lvlJc w:val="left"/>
      <w:pPr>
        <w:ind w:left="420" w:hanging="420"/>
      </w:pPr>
      <w:rPr>
        <w:rFonts w:hint="eastAsia"/>
        <w:b w:val="0"/>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7">
    <w:nsid w:val="48BF19F9"/>
    <w:multiLevelType w:val="multilevel"/>
    <w:tmpl w:val="48BF19F9"/>
    <w:lvl w:ilvl="0" w:tentative="0">
      <w:start w:val="1"/>
      <w:numFmt w:val="decimal"/>
      <w:pStyle w:val="1982"/>
      <w:lvlText w:val="(%1)"/>
      <w:lvlJc w:val="left"/>
      <w:pPr>
        <w:tabs>
          <w:tab w:val="left" w:pos="840"/>
        </w:tabs>
        <w:ind w:left="840" w:hanging="360"/>
      </w:pPr>
      <w:rPr>
        <w:rFonts w:ascii="Times New Roman" w:hAnsi="Times New Roman" w:eastAsia="宋体"/>
        <w:b/>
        <w:kern w:val="2"/>
        <w:sz w:val="24"/>
        <w:szCs w:val="24"/>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38">
    <w:nsid w:val="491603A6"/>
    <w:multiLevelType w:val="singleLevel"/>
    <w:tmpl w:val="491603A6"/>
    <w:lvl w:ilvl="0" w:tentative="0">
      <w:start w:val="1"/>
      <w:numFmt w:val="upperLetter"/>
      <w:lvlText w:val="%1."/>
      <w:lvlJc w:val="left"/>
      <w:pPr>
        <w:tabs>
          <w:tab w:val="left" w:pos="312"/>
        </w:tabs>
      </w:pPr>
    </w:lvl>
  </w:abstractNum>
  <w:abstractNum w:abstractNumId="39">
    <w:nsid w:val="4A2836DF"/>
    <w:multiLevelType w:val="multilevel"/>
    <w:tmpl w:val="4A2836DF"/>
    <w:lvl w:ilvl="0" w:tentative="0">
      <w:start w:val="0"/>
      <w:numFmt w:val="decimal"/>
      <w:pStyle w:val="2549"/>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0">
    <w:nsid w:val="4AD05F5C"/>
    <w:multiLevelType w:val="multilevel"/>
    <w:tmpl w:val="4AD05F5C"/>
    <w:lvl w:ilvl="0" w:tentative="0">
      <w:start w:val="1"/>
      <w:numFmt w:val="decimal"/>
      <w:pStyle w:val="2449"/>
      <w:lvlText w:val="表5.%1"/>
      <w:lvlJc w:val="left"/>
      <w:pPr>
        <w:ind w:left="620" w:hanging="420"/>
      </w:pPr>
      <w:rPr>
        <w:rFonts w:hint="eastAsia"/>
        <w:sz w:val="24"/>
        <w:szCs w:val="24"/>
        <w:vertAlign w:val="baseline"/>
        <w:lang w:val="zh-CN"/>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1">
    <w:nsid w:val="4BB070D5"/>
    <w:multiLevelType w:val="multilevel"/>
    <w:tmpl w:val="4BB070D5"/>
    <w:lvl w:ilvl="0" w:tentative="0">
      <w:start w:val="1"/>
      <w:numFmt w:val="decimal"/>
      <w:pStyle w:val="2414"/>
      <w:lvlText w:val="表6.%1"/>
      <w:lvlJc w:val="left"/>
      <w:pPr>
        <w:ind w:left="420" w:hanging="420"/>
      </w:pPr>
      <w:rPr>
        <w:rFonts w:hint="eastAsia"/>
        <w:lang w:val="en-US"/>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2">
    <w:nsid w:val="4C077CDA"/>
    <w:multiLevelType w:val="multilevel"/>
    <w:tmpl w:val="4C077CDA"/>
    <w:lvl w:ilvl="0" w:tentative="0">
      <w:start w:val="1"/>
      <w:numFmt w:val="decimal"/>
      <w:pStyle w:val="2448"/>
      <w:lvlText w:val="图5-%1"/>
      <w:lvlJc w:val="left"/>
      <w:pPr>
        <w:ind w:left="620" w:hanging="420"/>
      </w:pPr>
      <w:rPr>
        <w:rFonts w:hint="eastAsia"/>
      </w:rPr>
    </w:lvl>
    <w:lvl w:ilvl="1" w:tentative="0">
      <w:start w:val="0"/>
      <w:numFmt w:val="none"/>
      <w:lvlText w:val=""/>
      <w:lvlJc w:val="left"/>
      <w:pPr>
        <w:tabs>
          <w:tab w:val="left" w:pos="360"/>
        </w:tabs>
      </w:pPr>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3">
    <w:nsid w:val="4C6915EE"/>
    <w:multiLevelType w:val="multilevel"/>
    <w:tmpl w:val="4C6915EE"/>
    <w:lvl w:ilvl="0" w:tentative="0">
      <w:start w:val="1"/>
      <w:numFmt w:val="decimal"/>
      <w:pStyle w:val="1393"/>
      <w:lvlText w:val="表16.4-%1"/>
      <w:lvlJc w:val="center"/>
      <w:pPr>
        <w:tabs>
          <w:tab w:val="left" w:pos="720"/>
        </w:tabs>
        <w:ind w:left="-4" w:firstLine="4"/>
      </w:pPr>
      <w:rPr>
        <w:rFonts w:hint="eastAsia" w:ascii="黑体" w:hAnsi="宋体" w:eastAsia="黑体"/>
        <w:b w:val="0"/>
        <w:bCs w:val="0"/>
        <w:i w:val="0"/>
        <w:iCs w:val="0"/>
        <w:caps w:val="0"/>
        <w:smallCaps w:val="0"/>
        <w:strike w:val="0"/>
        <w:dstrike w:val="0"/>
        <w:outline w:val="0"/>
        <w:shadow w:val="0"/>
        <w:emboss w:val="0"/>
        <w:imprint w:val="0"/>
        <w:color w:val="auto"/>
        <w:spacing w:val="0"/>
        <w:w w:val="100"/>
        <w:kern w:val="2"/>
        <w:position w:val="0"/>
        <w:sz w:val="24"/>
        <w:u w:val="none"/>
        <w:shd w:val="clear" w:color="auto" w:fill="auto"/>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4">
    <w:nsid w:val="50114F41"/>
    <w:multiLevelType w:val="multilevel"/>
    <w:tmpl w:val="50114F41"/>
    <w:lvl w:ilvl="0" w:tentative="0">
      <w:start w:val="1"/>
      <w:numFmt w:val="decimal"/>
      <w:pStyle w:val="2491"/>
      <w:lvlText w:val="表8.%1"/>
      <w:lvlJc w:val="left"/>
      <w:pPr>
        <w:ind w:left="620" w:hanging="420"/>
      </w:pPr>
      <w:rPr>
        <w:rFonts w:hint="eastAsia"/>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5">
    <w:nsid w:val="50D419F8"/>
    <w:multiLevelType w:val="multilevel"/>
    <w:tmpl w:val="50D419F8"/>
    <w:lvl w:ilvl="0" w:tentative="0">
      <w:start w:val="0"/>
      <w:numFmt w:val="decimal"/>
      <w:pStyle w:val="2485"/>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6">
    <w:nsid w:val="53122D01"/>
    <w:multiLevelType w:val="multilevel"/>
    <w:tmpl w:val="53122D01"/>
    <w:lvl w:ilvl="0" w:tentative="0">
      <w:start w:val="0"/>
      <w:numFmt w:val="decimal"/>
      <w:pStyle w:val="2531"/>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7">
    <w:nsid w:val="539D0185"/>
    <w:multiLevelType w:val="multilevel"/>
    <w:tmpl w:val="539D0185"/>
    <w:lvl w:ilvl="0" w:tentative="0">
      <w:start w:val="1"/>
      <w:numFmt w:val="decimal"/>
      <w:pStyle w:val="1456"/>
      <w:lvlText w:val="表5.12-%1"/>
      <w:lvlJc w:val="center"/>
      <w:pPr>
        <w:tabs>
          <w:tab w:val="left" w:pos="1080"/>
        </w:tabs>
        <w:ind w:left="480" w:firstLine="0"/>
      </w:pPr>
      <w:rPr>
        <w:rFonts w:hint="default" w:ascii="Times New Roman" w:hAnsi="Times New Roman"/>
        <w:b/>
        <w:i w:val="0"/>
        <w:sz w:val="26"/>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8">
    <w:nsid w:val="57645893"/>
    <w:multiLevelType w:val="multilevel"/>
    <w:tmpl w:val="57645893"/>
    <w:lvl w:ilvl="0" w:tentative="0">
      <w:start w:val="1"/>
      <w:numFmt w:val="chineseCountingThousand"/>
      <w:pStyle w:val="2567"/>
      <w:lvlText w:val="%1、"/>
      <w:lvlJc w:val="left"/>
      <w:pPr>
        <w:tabs>
          <w:tab w:val="left" w:pos="840"/>
        </w:tabs>
        <w:ind w:left="840" w:hanging="840"/>
      </w:pPr>
      <w:rPr>
        <w:rFonts w:hint="eastAsia"/>
        <w:b/>
        <w:i w:val="0"/>
        <w:sz w:val="84"/>
        <w:szCs w:val="32"/>
      </w:rPr>
    </w:lvl>
    <w:lvl w:ilvl="1" w:tentative="0">
      <w:start w:val="1"/>
      <w:numFmt w:val="decimal"/>
      <w:pStyle w:val="2568"/>
      <w:suff w:val="space"/>
      <w:lvlText w:val="%2 "/>
      <w:lvlJc w:val="left"/>
      <w:pPr>
        <w:ind w:left="0" w:firstLine="0"/>
      </w:pPr>
      <w:rPr>
        <w:rFonts w:hint="eastAsia" w:ascii="黑体" w:eastAsia="黑体"/>
        <w:sz w:val="48"/>
        <w:szCs w:val="28"/>
      </w:rPr>
    </w:lvl>
    <w:lvl w:ilvl="2" w:tentative="0">
      <w:start w:val="1"/>
      <w:numFmt w:val="decimal"/>
      <w:pStyle w:val="2565"/>
      <w:suff w:val="space"/>
      <w:lvlText w:val="%2.%3 "/>
      <w:lvlJc w:val="left"/>
      <w:pPr>
        <w:ind w:left="0" w:firstLine="0"/>
      </w:pPr>
      <w:rPr>
        <w:rFonts w:hint="eastAsia" w:ascii="黑体" w:eastAsia="黑体"/>
        <w:sz w:val="32"/>
        <w:szCs w:val="24"/>
      </w:rPr>
    </w:lvl>
    <w:lvl w:ilvl="3" w:tentative="0">
      <w:start w:val="1"/>
      <w:numFmt w:val="decimal"/>
      <w:pStyle w:val="2566"/>
      <w:suff w:val="space"/>
      <w:lvlText w:val="%2.%3.%4 "/>
      <w:lvlJc w:val="left"/>
      <w:pPr>
        <w:ind w:left="1260" w:firstLine="0"/>
      </w:pPr>
      <w:rPr>
        <w:rFonts w:hint="eastAsia" w:ascii="宋体" w:eastAsia="宋体"/>
        <w:b/>
        <w:i w:val="0"/>
        <w:sz w:val="30"/>
        <w:szCs w:val="21"/>
      </w:rPr>
    </w:lvl>
    <w:lvl w:ilvl="4" w:tentative="0">
      <w:start w:val="1"/>
      <w:numFmt w:val="decimal"/>
      <w:lvlText w:val="%1.%2.%3.%4.%5."/>
      <w:lvlJc w:val="left"/>
      <w:pPr>
        <w:tabs>
          <w:tab w:val="left" w:pos="1192"/>
        </w:tabs>
        <w:ind w:left="1192" w:hanging="992"/>
      </w:pPr>
      <w:rPr>
        <w:rFonts w:hint="eastAsia"/>
      </w:rPr>
    </w:lvl>
    <w:lvl w:ilvl="5" w:tentative="0">
      <w:start w:val="1"/>
      <w:numFmt w:val="decimal"/>
      <w:lvlText w:val="%1.%2.%3.%4.%5.%6."/>
      <w:lvlJc w:val="left"/>
      <w:pPr>
        <w:tabs>
          <w:tab w:val="left" w:pos="1334"/>
        </w:tabs>
        <w:ind w:left="1334" w:hanging="1134"/>
      </w:pPr>
      <w:rPr>
        <w:rFonts w:hint="eastAsia"/>
      </w:rPr>
    </w:lvl>
    <w:lvl w:ilvl="6" w:tentative="0">
      <w:start w:val="1"/>
      <w:numFmt w:val="decimal"/>
      <w:lvlText w:val="%1.%2.%3.%4.%5.%6.%7."/>
      <w:lvlJc w:val="left"/>
      <w:pPr>
        <w:tabs>
          <w:tab w:val="left" w:pos="1476"/>
        </w:tabs>
        <w:ind w:left="1476" w:hanging="1276"/>
      </w:pPr>
      <w:rPr>
        <w:rFonts w:hint="eastAsia"/>
      </w:rPr>
    </w:lvl>
    <w:lvl w:ilvl="7" w:tentative="0">
      <w:start w:val="1"/>
      <w:numFmt w:val="decimal"/>
      <w:lvlText w:val="%1.%2.%3.%4.%5.%6.%7.%8."/>
      <w:lvlJc w:val="left"/>
      <w:pPr>
        <w:tabs>
          <w:tab w:val="left" w:pos="1618"/>
        </w:tabs>
        <w:ind w:left="1618" w:hanging="1418"/>
      </w:pPr>
      <w:rPr>
        <w:rFonts w:hint="eastAsia"/>
      </w:rPr>
    </w:lvl>
    <w:lvl w:ilvl="8" w:tentative="0">
      <w:start w:val="1"/>
      <w:numFmt w:val="decimal"/>
      <w:lvlText w:val="%1.%2.%3.%4.%5.%6.%7.%8.%9."/>
      <w:lvlJc w:val="left"/>
      <w:pPr>
        <w:tabs>
          <w:tab w:val="left" w:pos="1759"/>
        </w:tabs>
        <w:ind w:left="1759" w:hanging="1559"/>
      </w:pPr>
      <w:rPr>
        <w:rFonts w:hint="eastAsia"/>
      </w:rPr>
    </w:lvl>
  </w:abstractNum>
  <w:abstractNum w:abstractNumId="49">
    <w:nsid w:val="5A9B3ACD"/>
    <w:multiLevelType w:val="multilevel"/>
    <w:tmpl w:val="5A9B3ACD"/>
    <w:lvl w:ilvl="0" w:tentative="0">
      <w:start w:val="0"/>
      <w:numFmt w:val="decimal"/>
      <w:pStyle w:val="2545"/>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50">
    <w:nsid w:val="602416B3"/>
    <w:multiLevelType w:val="multilevel"/>
    <w:tmpl w:val="602416B3"/>
    <w:lvl w:ilvl="0" w:tentative="0">
      <w:start w:val="1"/>
      <w:numFmt w:val="decimal"/>
      <w:pStyle w:val="2438"/>
      <w:lvlText w:val="表3.%1"/>
      <w:lvlJc w:val="left"/>
      <w:pPr>
        <w:ind w:left="420" w:hanging="420"/>
      </w:pPr>
      <w:rPr>
        <w:rFonts w:hint="eastAsia"/>
        <w:i w:val="0"/>
        <w:sz w:val="24"/>
        <w:szCs w:val="24"/>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51">
    <w:nsid w:val="613C014B"/>
    <w:multiLevelType w:val="multilevel"/>
    <w:tmpl w:val="613C014B"/>
    <w:lvl w:ilvl="0" w:tentative="0">
      <w:start w:val="1"/>
      <w:numFmt w:val="decimal"/>
      <w:pStyle w:val="2409"/>
      <w:lvlText w:val="图1-%1"/>
      <w:lvlJc w:val="left"/>
      <w:pPr>
        <w:ind w:left="420" w:hanging="420"/>
      </w:pPr>
      <w:rPr>
        <w:rFonts w:hint="eastAsia"/>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52">
    <w:nsid w:val="633B2820"/>
    <w:multiLevelType w:val="multilevel"/>
    <w:tmpl w:val="633B2820"/>
    <w:lvl w:ilvl="0" w:tentative="0">
      <w:start w:val="1"/>
      <w:numFmt w:val="decimal"/>
      <w:pStyle w:val="2405"/>
      <w:lvlText w:val="表2.%1"/>
      <w:lvlJc w:val="center"/>
      <w:pPr>
        <w:ind w:left="420" w:hanging="420"/>
      </w:pPr>
      <w:rPr>
        <w:rFonts w:hint="default" w:ascii="Times New Roman" w:hAnsi="Times New Roman" w:eastAsia="黑体" w:cs="Times New Roman"/>
        <w:lang w:val="en-US"/>
      </w:rPr>
    </w:lvl>
    <w:lvl w:ilvl="1" w:tentative="0">
      <w:start w:val="1"/>
      <w:numFmt w:val="bullet"/>
      <w:lvlText w:val=""/>
      <w:lvlJc w:val="left"/>
      <w:pPr>
        <w:tabs>
          <w:tab w:val="left" w:pos="840"/>
        </w:tabs>
        <w:ind w:left="840" w:hanging="420"/>
      </w:pPr>
      <w:rPr>
        <w:rFonts w:hint="default" w:ascii="Wingdings" w:hAnsi="Wingdings"/>
        <w:lang w:val="en-US"/>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3">
    <w:nsid w:val="67E223FF"/>
    <w:multiLevelType w:val="multilevel"/>
    <w:tmpl w:val="67E223FF"/>
    <w:lvl w:ilvl="0" w:tentative="0">
      <w:start w:val="1"/>
      <w:numFmt w:val="decimal"/>
      <w:pStyle w:val="2412"/>
      <w:lvlText w:val="图2-%1"/>
      <w:lvlJc w:val="left"/>
      <w:pPr>
        <w:ind w:left="5523" w:hanging="420"/>
      </w:pPr>
      <w:rPr>
        <w:rFonts w:hint="eastAsia"/>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54">
    <w:nsid w:val="680A11B6"/>
    <w:multiLevelType w:val="multilevel"/>
    <w:tmpl w:val="680A11B6"/>
    <w:lvl w:ilvl="0" w:tentative="0">
      <w:start w:val="0"/>
      <w:numFmt w:val="decimal"/>
      <w:pStyle w:val="2486"/>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55">
    <w:nsid w:val="68B8209D"/>
    <w:multiLevelType w:val="multilevel"/>
    <w:tmpl w:val="68B8209D"/>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56">
    <w:nsid w:val="6C682E20"/>
    <w:multiLevelType w:val="multilevel"/>
    <w:tmpl w:val="6C682E20"/>
    <w:lvl w:ilvl="0" w:tentative="0">
      <w:start w:val="0"/>
      <w:numFmt w:val="decimal"/>
      <w:pStyle w:val="2477"/>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57">
    <w:nsid w:val="6D814E45"/>
    <w:multiLevelType w:val="multilevel"/>
    <w:tmpl w:val="6D814E45"/>
    <w:lvl w:ilvl="0" w:tentative="0">
      <w:start w:val="12"/>
      <w:numFmt w:val="decimal"/>
      <w:pStyle w:val="571"/>
      <w:lvlText w:val="%1"/>
      <w:lvlJc w:val="left"/>
      <w:pPr>
        <w:tabs>
          <w:tab w:val="left" w:pos="425"/>
        </w:tabs>
        <w:ind w:left="425" w:hanging="425"/>
      </w:pPr>
      <w:rPr>
        <w:rFonts w:hint="eastAsia"/>
      </w:rPr>
    </w:lvl>
    <w:lvl w:ilvl="1" w:tentative="0">
      <w:start w:val="1"/>
      <w:numFmt w:val="decimal"/>
      <w:suff w:val="space"/>
      <w:lvlText w:val="%1.%2"/>
      <w:lvlJc w:val="left"/>
      <w:pPr>
        <w:ind w:left="992" w:hanging="992"/>
      </w:pPr>
      <w:rPr>
        <w:rFonts w:hint="eastAsia"/>
      </w:rPr>
    </w:lvl>
    <w:lvl w:ilvl="2" w:tentative="0">
      <w:start w:val="1"/>
      <w:numFmt w:val="decimal"/>
      <w:suff w:val="space"/>
      <w:lvlText w:val="%1.%2.%3"/>
      <w:lvlJc w:val="left"/>
      <w:pPr>
        <w:ind w:left="0" w:firstLine="0"/>
      </w:pPr>
      <w:rPr>
        <w:rFonts w:hint="eastAsia"/>
      </w:rPr>
    </w:lvl>
    <w:lvl w:ilvl="3" w:tentative="0">
      <w:start w:val="4"/>
      <w:numFmt w:val="decimal"/>
      <w:suff w:val="space"/>
      <w:lvlText w:val="%1.%2.%3.%4"/>
      <w:lvlJc w:val="left"/>
      <w:pPr>
        <w:ind w:left="0" w:firstLine="0"/>
      </w:pPr>
      <w:rPr>
        <w:rFonts w:hint="eastAsia"/>
      </w:rPr>
    </w:lvl>
    <w:lvl w:ilvl="4" w:tentative="0">
      <w:start w:val="1"/>
      <w:numFmt w:val="decimal"/>
      <w:suff w:val="space"/>
      <w:lvlText w:val="%1.%2.%3.%4.%5"/>
      <w:lvlJc w:val="left"/>
      <w:pPr>
        <w:ind w:left="0" w:firstLine="0"/>
      </w:pPr>
      <w:rPr>
        <w:rFonts w:hint="eastAsia"/>
      </w:rPr>
    </w:lvl>
    <w:lvl w:ilvl="5" w:tentative="0">
      <w:start w:val="1"/>
      <w:numFmt w:val="decimal"/>
      <w:lvlText w:val="%1.%2.%3.%4.%5.%6"/>
      <w:lvlJc w:val="left"/>
      <w:pPr>
        <w:tabs>
          <w:tab w:val="left" w:pos="3260"/>
        </w:tabs>
        <w:ind w:left="3260" w:hanging="3260"/>
      </w:pPr>
      <w:rPr>
        <w:rFonts w:hint="eastAsia"/>
      </w:rPr>
    </w:lvl>
    <w:lvl w:ilvl="6" w:tentative="0">
      <w:start w:val="1"/>
      <w:numFmt w:val="decimal"/>
      <w:lvlText w:val="%1.%2.%3.%4.%5.%6.%7"/>
      <w:lvlJc w:val="left"/>
      <w:pPr>
        <w:tabs>
          <w:tab w:val="left" w:pos="399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58">
    <w:nsid w:val="6E271E7B"/>
    <w:multiLevelType w:val="multilevel"/>
    <w:tmpl w:val="6E271E7B"/>
    <w:lvl w:ilvl="0" w:tentative="0">
      <w:start w:val="1"/>
      <w:numFmt w:val="decimal"/>
      <w:pStyle w:val="1923"/>
      <w:lvlText w:val="表4.%1"/>
      <w:lvlJc w:val="left"/>
      <w:pPr>
        <w:ind w:left="3398" w:hanging="420"/>
      </w:pPr>
      <w:rPr>
        <w:rFonts w:hint="eastAsia" w:cs="Times New Roman"/>
      </w:rPr>
    </w:lvl>
    <w:lvl w:ilvl="1" w:tentative="0">
      <w:start w:val="1"/>
      <w:numFmt w:val="lowerLetter"/>
      <w:lvlText w:val="%2)"/>
      <w:lvlJc w:val="left"/>
      <w:pPr>
        <w:ind w:left="4102" w:hanging="420"/>
      </w:pPr>
      <w:rPr>
        <w:rFonts w:cs="Times New Roman"/>
      </w:rPr>
    </w:lvl>
    <w:lvl w:ilvl="2" w:tentative="0">
      <w:start w:val="1"/>
      <w:numFmt w:val="lowerRoman"/>
      <w:lvlText w:val="%3."/>
      <w:lvlJc w:val="right"/>
      <w:pPr>
        <w:ind w:left="4522" w:hanging="420"/>
      </w:pPr>
      <w:rPr>
        <w:rFonts w:cs="Times New Roman"/>
      </w:rPr>
    </w:lvl>
    <w:lvl w:ilvl="3" w:tentative="0">
      <w:start w:val="1"/>
      <w:numFmt w:val="decimal"/>
      <w:lvlText w:val="%4."/>
      <w:lvlJc w:val="left"/>
      <w:pPr>
        <w:ind w:left="4942" w:hanging="420"/>
      </w:pPr>
      <w:rPr>
        <w:rFonts w:cs="Times New Roman"/>
      </w:rPr>
    </w:lvl>
    <w:lvl w:ilvl="4" w:tentative="0">
      <w:start w:val="1"/>
      <w:numFmt w:val="lowerLetter"/>
      <w:lvlText w:val="%5)"/>
      <w:lvlJc w:val="left"/>
      <w:pPr>
        <w:ind w:left="5362" w:hanging="420"/>
      </w:pPr>
      <w:rPr>
        <w:rFonts w:cs="Times New Roman"/>
      </w:rPr>
    </w:lvl>
    <w:lvl w:ilvl="5" w:tentative="0">
      <w:start w:val="1"/>
      <w:numFmt w:val="lowerRoman"/>
      <w:lvlText w:val="%6."/>
      <w:lvlJc w:val="right"/>
      <w:pPr>
        <w:ind w:left="5782" w:hanging="420"/>
      </w:pPr>
      <w:rPr>
        <w:rFonts w:cs="Times New Roman"/>
      </w:rPr>
    </w:lvl>
    <w:lvl w:ilvl="6" w:tentative="0">
      <w:start w:val="1"/>
      <w:numFmt w:val="decimal"/>
      <w:lvlText w:val="%7."/>
      <w:lvlJc w:val="left"/>
      <w:pPr>
        <w:ind w:left="6202" w:hanging="420"/>
      </w:pPr>
      <w:rPr>
        <w:rFonts w:cs="Times New Roman"/>
      </w:rPr>
    </w:lvl>
    <w:lvl w:ilvl="7" w:tentative="0">
      <w:start w:val="1"/>
      <w:numFmt w:val="lowerLetter"/>
      <w:lvlText w:val="%8)"/>
      <w:lvlJc w:val="left"/>
      <w:pPr>
        <w:ind w:left="6622" w:hanging="420"/>
      </w:pPr>
      <w:rPr>
        <w:rFonts w:cs="Times New Roman"/>
      </w:rPr>
    </w:lvl>
    <w:lvl w:ilvl="8" w:tentative="0">
      <w:start w:val="1"/>
      <w:numFmt w:val="lowerRoman"/>
      <w:lvlText w:val="%9."/>
      <w:lvlJc w:val="right"/>
      <w:pPr>
        <w:ind w:left="7042" w:hanging="420"/>
      </w:pPr>
      <w:rPr>
        <w:rFonts w:cs="Times New Roman"/>
      </w:rPr>
    </w:lvl>
  </w:abstractNum>
  <w:abstractNum w:abstractNumId="59">
    <w:nsid w:val="73303BDC"/>
    <w:multiLevelType w:val="multilevel"/>
    <w:tmpl w:val="73303BDC"/>
    <w:lvl w:ilvl="0" w:tentative="0">
      <w:start w:val="16"/>
      <w:numFmt w:val="decimal"/>
      <w:lvlText w:val="%1"/>
      <w:lvlJc w:val="left"/>
      <w:pPr>
        <w:tabs>
          <w:tab w:val="left" w:pos="425"/>
        </w:tabs>
        <w:ind w:left="425" w:hanging="425"/>
      </w:pPr>
      <w:rPr>
        <w:rFonts w:hint="eastAsia"/>
      </w:rPr>
    </w:lvl>
    <w:lvl w:ilvl="1" w:tentative="0">
      <w:start w:val="1"/>
      <w:numFmt w:val="decimal"/>
      <w:lvlText w:val="%1.%2"/>
      <w:lvlJc w:val="left"/>
      <w:pPr>
        <w:tabs>
          <w:tab w:val="left" w:pos="-186"/>
        </w:tabs>
        <w:ind w:left="-906" w:firstLine="0"/>
      </w:pPr>
      <w:rPr>
        <w:rFonts w:hint="eastAsia"/>
      </w:rPr>
    </w:lvl>
    <w:lvl w:ilvl="2" w:tentative="0">
      <w:start w:val="1"/>
      <w:numFmt w:val="decimal"/>
      <w:lvlText w:val="%1.%2.%3"/>
      <w:lvlJc w:val="left"/>
      <w:pPr>
        <w:tabs>
          <w:tab w:val="left" w:pos="-437"/>
        </w:tabs>
        <w:ind w:left="-437" w:hanging="709"/>
      </w:pPr>
      <w:rPr>
        <w:rFonts w:hint="default" w:ascii="Times New Roman" w:hAnsi="Times New Roman" w:eastAsia="黑体" w:cs="Times New Roman"/>
        <w:b/>
        <w:bCs w:val="0"/>
        <w:i w:val="0"/>
        <w:iCs w:val="0"/>
        <w:caps w:val="0"/>
        <w:smallCaps w:val="0"/>
        <w:strike w:val="0"/>
        <w:dstrike w:val="0"/>
        <w:outline w:val="0"/>
        <w:shadow w:val="0"/>
        <w:emboss w:val="0"/>
        <w:imprint w:val="0"/>
        <w:vanish w:val="0"/>
        <w:spacing w:val="0"/>
        <w:position w:val="0"/>
        <w:sz w:val="24"/>
        <w:szCs w:val="24"/>
        <w:u w:val="none"/>
        <w:vertAlign w:val="baseline"/>
      </w:rPr>
    </w:lvl>
    <w:lvl w:ilvl="3" w:tentative="0">
      <w:start w:val="1"/>
      <w:numFmt w:val="decimal"/>
      <w:pStyle w:val="1394"/>
      <w:lvlText w:val="%1.%2.%3.%4"/>
      <w:lvlJc w:val="left"/>
      <w:pPr>
        <w:tabs>
          <w:tab w:val="left" w:pos="180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0">
    <w:nsid w:val="76933334"/>
    <w:multiLevelType w:val="multilevel"/>
    <w:tmpl w:val="76933334"/>
    <w:lvl w:ilvl="0" w:tentative="0">
      <w:start w:val="1"/>
      <w:numFmt w:val="none"/>
      <w:pStyle w:val="485"/>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1">
    <w:nsid w:val="7E6365D6"/>
    <w:multiLevelType w:val="multilevel"/>
    <w:tmpl w:val="7E6365D6"/>
    <w:lvl w:ilvl="0" w:tentative="0">
      <w:start w:val="0"/>
      <w:numFmt w:val="decimal"/>
      <w:pStyle w:val="2483"/>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62">
    <w:nsid w:val="7EC77B19"/>
    <w:multiLevelType w:val="multilevel"/>
    <w:tmpl w:val="7EC77B19"/>
    <w:lvl w:ilvl="0" w:tentative="0">
      <w:start w:val="0"/>
      <w:numFmt w:val="decimal"/>
      <w:pStyle w:val="2555"/>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63">
    <w:nsid w:val="7F43732C"/>
    <w:multiLevelType w:val="multilevel"/>
    <w:tmpl w:val="7F43732C"/>
    <w:lvl w:ilvl="0" w:tentative="0">
      <w:start w:val="0"/>
      <w:numFmt w:val="decimal"/>
      <w:pStyle w:val="2539"/>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19"/>
  </w:num>
  <w:num w:numId="2">
    <w:abstractNumId w:val="16"/>
  </w:num>
  <w:num w:numId="3">
    <w:abstractNumId w:val="33"/>
  </w:num>
  <w:num w:numId="4">
    <w:abstractNumId w:val="60"/>
  </w:num>
  <w:num w:numId="5">
    <w:abstractNumId w:val="0"/>
  </w:num>
  <w:num w:numId="6">
    <w:abstractNumId w:val="57"/>
  </w:num>
  <w:num w:numId="7">
    <w:abstractNumId w:val="18"/>
  </w:num>
  <w:num w:numId="8">
    <w:abstractNumId w:val="2"/>
  </w:num>
  <w:num w:numId="9">
    <w:abstractNumId w:val="3"/>
  </w:num>
  <w:num w:numId="10">
    <w:abstractNumId w:val="4"/>
  </w:num>
  <w:num w:numId="11">
    <w:abstractNumId w:val="28"/>
  </w:num>
  <w:num w:numId="12">
    <w:abstractNumId w:val="43"/>
  </w:num>
  <w:num w:numId="13">
    <w:abstractNumId w:val="59"/>
  </w:num>
  <w:num w:numId="14">
    <w:abstractNumId w:val="47"/>
  </w:num>
  <w:num w:numId="15">
    <w:abstractNumId w:val="5"/>
  </w:num>
  <w:num w:numId="16">
    <w:abstractNumId w:val="12"/>
  </w:num>
  <w:num w:numId="17">
    <w:abstractNumId w:val="58"/>
  </w:num>
  <w:num w:numId="18">
    <w:abstractNumId w:val="37"/>
  </w:num>
  <w:num w:numId="19">
    <w:abstractNumId w:val="52"/>
  </w:num>
  <w:num w:numId="20">
    <w:abstractNumId w:val="51"/>
  </w:num>
  <w:num w:numId="21">
    <w:abstractNumId w:val="22"/>
  </w:num>
  <w:num w:numId="22">
    <w:abstractNumId w:val="53"/>
  </w:num>
  <w:num w:numId="23">
    <w:abstractNumId w:val="36"/>
  </w:num>
  <w:num w:numId="24">
    <w:abstractNumId w:val="41"/>
  </w:num>
  <w:num w:numId="25">
    <w:abstractNumId w:val="50"/>
  </w:num>
  <w:num w:numId="26">
    <w:abstractNumId w:val="30"/>
  </w:num>
  <w:num w:numId="27">
    <w:abstractNumId w:val="32"/>
  </w:num>
  <w:num w:numId="28">
    <w:abstractNumId w:val="23"/>
  </w:num>
  <w:num w:numId="29">
    <w:abstractNumId w:val="25"/>
  </w:num>
  <w:num w:numId="30">
    <w:abstractNumId w:val="42"/>
  </w:num>
  <w:num w:numId="31">
    <w:abstractNumId w:val="40"/>
  </w:num>
  <w:num w:numId="32">
    <w:abstractNumId w:val="14"/>
  </w:num>
  <w:num w:numId="33">
    <w:abstractNumId w:val="17"/>
  </w:num>
  <w:num w:numId="34">
    <w:abstractNumId w:val="1"/>
  </w:num>
  <w:num w:numId="35">
    <w:abstractNumId w:val="56"/>
  </w:num>
  <w:num w:numId="36">
    <w:abstractNumId w:val="27"/>
  </w:num>
  <w:num w:numId="37">
    <w:abstractNumId w:val="61"/>
  </w:num>
  <w:num w:numId="38">
    <w:abstractNumId w:val="8"/>
  </w:num>
  <w:num w:numId="39">
    <w:abstractNumId w:val="45"/>
  </w:num>
  <w:num w:numId="40">
    <w:abstractNumId w:val="54"/>
  </w:num>
  <w:num w:numId="41">
    <w:abstractNumId w:val="26"/>
  </w:num>
  <w:num w:numId="42">
    <w:abstractNumId w:val="24"/>
  </w:num>
  <w:num w:numId="43">
    <w:abstractNumId w:val="11"/>
  </w:num>
  <w:num w:numId="44">
    <w:abstractNumId w:val="15"/>
  </w:num>
  <w:num w:numId="45">
    <w:abstractNumId w:val="44"/>
  </w:num>
  <w:num w:numId="46">
    <w:abstractNumId w:val="29"/>
  </w:num>
  <w:num w:numId="47">
    <w:abstractNumId w:val="46"/>
  </w:num>
  <w:num w:numId="48">
    <w:abstractNumId w:val="63"/>
  </w:num>
  <w:num w:numId="49">
    <w:abstractNumId w:val="21"/>
  </w:num>
  <w:num w:numId="50">
    <w:abstractNumId w:val="49"/>
  </w:num>
  <w:num w:numId="51">
    <w:abstractNumId w:val="7"/>
  </w:num>
  <w:num w:numId="52">
    <w:abstractNumId w:val="6"/>
  </w:num>
  <w:num w:numId="53">
    <w:abstractNumId w:val="39"/>
  </w:num>
  <w:num w:numId="54">
    <w:abstractNumId w:val="35"/>
  </w:num>
  <w:num w:numId="55">
    <w:abstractNumId w:val="62"/>
  </w:num>
  <w:num w:numId="56">
    <w:abstractNumId w:val="13"/>
  </w:num>
  <w:num w:numId="57">
    <w:abstractNumId w:val="48"/>
  </w:num>
  <w:num w:numId="58">
    <w:abstractNumId w:val="55"/>
  </w:num>
  <w:num w:numId="59">
    <w:abstractNumId w:val="20"/>
  </w:num>
  <w:num w:numId="60">
    <w:abstractNumId w:val="34"/>
  </w:num>
  <w:num w:numId="61">
    <w:abstractNumId w:val="10"/>
  </w:num>
  <w:num w:numId="62">
    <w:abstractNumId w:val="38"/>
  </w:num>
  <w:num w:numId="63">
    <w:abstractNumId w:val="31"/>
  </w:num>
  <w:num w:numId="6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hideSpellingError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nforcement="0"/>
  <w:defaultTabStop w:val="420"/>
  <w:drawingGridHorizontalSpacing w:val="105"/>
  <w:drawingGridVerticalSpacing w:val="319"/>
  <w:displayHorizontalDrawingGridEvery w:val="2"/>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U1Y2NlZDIzNTY4MjJjNTg1ZDdkYmQxOTYwNmZlMTMifQ=="/>
  </w:docVars>
  <w:rsids>
    <w:rsidRoot w:val="00172A27"/>
    <w:rsid w:val="00000245"/>
    <w:rsid w:val="00000DA5"/>
    <w:rsid w:val="00001BAD"/>
    <w:rsid w:val="000026E3"/>
    <w:rsid w:val="000029B7"/>
    <w:rsid w:val="00002A27"/>
    <w:rsid w:val="00002F88"/>
    <w:rsid w:val="00003128"/>
    <w:rsid w:val="00003171"/>
    <w:rsid w:val="000034BF"/>
    <w:rsid w:val="0000388A"/>
    <w:rsid w:val="00003D39"/>
    <w:rsid w:val="00003FB9"/>
    <w:rsid w:val="000042D1"/>
    <w:rsid w:val="000043BE"/>
    <w:rsid w:val="000058C8"/>
    <w:rsid w:val="00007F06"/>
    <w:rsid w:val="0001008B"/>
    <w:rsid w:val="00010AB6"/>
    <w:rsid w:val="00011233"/>
    <w:rsid w:val="00011392"/>
    <w:rsid w:val="0001169B"/>
    <w:rsid w:val="00011AF6"/>
    <w:rsid w:val="00011B1B"/>
    <w:rsid w:val="000124A8"/>
    <w:rsid w:val="000126E2"/>
    <w:rsid w:val="0001271B"/>
    <w:rsid w:val="00012986"/>
    <w:rsid w:val="00012A10"/>
    <w:rsid w:val="00012B4A"/>
    <w:rsid w:val="00013212"/>
    <w:rsid w:val="00014408"/>
    <w:rsid w:val="00014C68"/>
    <w:rsid w:val="00015C0A"/>
    <w:rsid w:val="00015FEC"/>
    <w:rsid w:val="00016C0B"/>
    <w:rsid w:val="00017A65"/>
    <w:rsid w:val="00017A72"/>
    <w:rsid w:val="00017CF7"/>
    <w:rsid w:val="00017D79"/>
    <w:rsid w:val="00017E30"/>
    <w:rsid w:val="000205DA"/>
    <w:rsid w:val="00020DD9"/>
    <w:rsid w:val="00020FA4"/>
    <w:rsid w:val="000212BE"/>
    <w:rsid w:val="00021685"/>
    <w:rsid w:val="00021799"/>
    <w:rsid w:val="00021E16"/>
    <w:rsid w:val="0002224E"/>
    <w:rsid w:val="0002231A"/>
    <w:rsid w:val="000224B0"/>
    <w:rsid w:val="000226D4"/>
    <w:rsid w:val="00022C10"/>
    <w:rsid w:val="00022D94"/>
    <w:rsid w:val="00022E68"/>
    <w:rsid w:val="00022E69"/>
    <w:rsid w:val="000232EF"/>
    <w:rsid w:val="000234AE"/>
    <w:rsid w:val="00023560"/>
    <w:rsid w:val="00023A6A"/>
    <w:rsid w:val="00023B25"/>
    <w:rsid w:val="00024EF2"/>
    <w:rsid w:val="00025031"/>
    <w:rsid w:val="00025355"/>
    <w:rsid w:val="000253D7"/>
    <w:rsid w:val="000255EC"/>
    <w:rsid w:val="00025A20"/>
    <w:rsid w:val="00025F23"/>
    <w:rsid w:val="00025FBD"/>
    <w:rsid w:val="00026B45"/>
    <w:rsid w:val="000277F6"/>
    <w:rsid w:val="000279A5"/>
    <w:rsid w:val="00030425"/>
    <w:rsid w:val="0003051F"/>
    <w:rsid w:val="0003134B"/>
    <w:rsid w:val="00031983"/>
    <w:rsid w:val="00031F6C"/>
    <w:rsid w:val="00032C04"/>
    <w:rsid w:val="00032C79"/>
    <w:rsid w:val="0003346D"/>
    <w:rsid w:val="00033B24"/>
    <w:rsid w:val="00034339"/>
    <w:rsid w:val="00034400"/>
    <w:rsid w:val="0003539A"/>
    <w:rsid w:val="000356F2"/>
    <w:rsid w:val="00035FB7"/>
    <w:rsid w:val="000361B3"/>
    <w:rsid w:val="000364A2"/>
    <w:rsid w:val="00036798"/>
    <w:rsid w:val="00036F7E"/>
    <w:rsid w:val="000377BB"/>
    <w:rsid w:val="00037CFC"/>
    <w:rsid w:val="0004026D"/>
    <w:rsid w:val="00041246"/>
    <w:rsid w:val="000419C9"/>
    <w:rsid w:val="000419F3"/>
    <w:rsid w:val="00042F0B"/>
    <w:rsid w:val="00043261"/>
    <w:rsid w:val="000439F7"/>
    <w:rsid w:val="00043EAD"/>
    <w:rsid w:val="0004412D"/>
    <w:rsid w:val="00044286"/>
    <w:rsid w:val="00044FBF"/>
    <w:rsid w:val="000453E5"/>
    <w:rsid w:val="000463D0"/>
    <w:rsid w:val="00047191"/>
    <w:rsid w:val="0004782E"/>
    <w:rsid w:val="00050179"/>
    <w:rsid w:val="000502DB"/>
    <w:rsid w:val="00051349"/>
    <w:rsid w:val="00051F7C"/>
    <w:rsid w:val="00052A18"/>
    <w:rsid w:val="00053280"/>
    <w:rsid w:val="0005335B"/>
    <w:rsid w:val="0005339F"/>
    <w:rsid w:val="00053B57"/>
    <w:rsid w:val="00053E48"/>
    <w:rsid w:val="0005489C"/>
    <w:rsid w:val="00056409"/>
    <w:rsid w:val="00057468"/>
    <w:rsid w:val="0005748A"/>
    <w:rsid w:val="00057615"/>
    <w:rsid w:val="00057949"/>
    <w:rsid w:val="00060FEF"/>
    <w:rsid w:val="0006128B"/>
    <w:rsid w:val="0006163F"/>
    <w:rsid w:val="000624A6"/>
    <w:rsid w:val="0006253A"/>
    <w:rsid w:val="00062C1C"/>
    <w:rsid w:val="00062E86"/>
    <w:rsid w:val="00063157"/>
    <w:rsid w:val="0006366B"/>
    <w:rsid w:val="00063CC8"/>
    <w:rsid w:val="00063D9E"/>
    <w:rsid w:val="00063FB8"/>
    <w:rsid w:val="00064193"/>
    <w:rsid w:val="00064A0A"/>
    <w:rsid w:val="00065262"/>
    <w:rsid w:val="0006585E"/>
    <w:rsid w:val="00066483"/>
    <w:rsid w:val="00066DCC"/>
    <w:rsid w:val="000674BF"/>
    <w:rsid w:val="0006778A"/>
    <w:rsid w:val="00070138"/>
    <w:rsid w:val="000701F1"/>
    <w:rsid w:val="0007058D"/>
    <w:rsid w:val="00070C34"/>
    <w:rsid w:val="00070F76"/>
    <w:rsid w:val="00071FBB"/>
    <w:rsid w:val="00072819"/>
    <w:rsid w:val="00073625"/>
    <w:rsid w:val="00073CEE"/>
    <w:rsid w:val="00073E02"/>
    <w:rsid w:val="00073E22"/>
    <w:rsid w:val="000741EB"/>
    <w:rsid w:val="000747A7"/>
    <w:rsid w:val="00074A95"/>
    <w:rsid w:val="00075049"/>
    <w:rsid w:val="000752F1"/>
    <w:rsid w:val="00075411"/>
    <w:rsid w:val="000755E7"/>
    <w:rsid w:val="000760D3"/>
    <w:rsid w:val="000766C8"/>
    <w:rsid w:val="00076731"/>
    <w:rsid w:val="000778BE"/>
    <w:rsid w:val="00077A8C"/>
    <w:rsid w:val="00080330"/>
    <w:rsid w:val="00080B7E"/>
    <w:rsid w:val="000812C5"/>
    <w:rsid w:val="000815EF"/>
    <w:rsid w:val="000815FF"/>
    <w:rsid w:val="00081F72"/>
    <w:rsid w:val="00082068"/>
    <w:rsid w:val="000820E0"/>
    <w:rsid w:val="000827B6"/>
    <w:rsid w:val="00082BD5"/>
    <w:rsid w:val="00082F2E"/>
    <w:rsid w:val="00083683"/>
    <w:rsid w:val="00085792"/>
    <w:rsid w:val="00085DB2"/>
    <w:rsid w:val="00086416"/>
    <w:rsid w:val="00087039"/>
    <w:rsid w:val="000870DD"/>
    <w:rsid w:val="0008730A"/>
    <w:rsid w:val="00087465"/>
    <w:rsid w:val="00087E83"/>
    <w:rsid w:val="00090228"/>
    <w:rsid w:val="000903B9"/>
    <w:rsid w:val="000903D7"/>
    <w:rsid w:val="0009075B"/>
    <w:rsid w:val="00090D22"/>
    <w:rsid w:val="00090DA8"/>
    <w:rsid w:val="0009104D"/>
    <w:rsid w:val="000918A6"/>
    <w:rsid w:val="000921AC"/>
    <w:rsid w:val="000923A6"/>
    <w:rsid w:val="00093354"/>
    <w:rsid w:val="00093876"/>
    <w:rsid w:val="00093B47"/>
    <w:rsid w:val="0009420F"/>
    <w:rsid w:val="00094433"/>
    <w:rsid w:val="0009452E"/>
    <w:rsid w:val="000955BF"/>
    <w:rsid w:val="0009630A"/>
    <w:rsid w:val="00096472"/>
    <w:rsid w:val="00096E08"/>
    <w:rsid w:val="000A1017"/>
    <w:rsid w:val="000A1163"/>
    <w:rsid w:val="000A2162"/>
    <w:rsid w:val="000A2483"/>
    <w:rsid w:val="000A3A30"/>
    <w:rsid w:val="000A4105"/>
    <w:rsid w:val="000A4CF6"/>
    <w:rsid w:val="000A5F49"/>
    <w:rsid w:val="000A680C"/>
    <w:rsid w:val="000A7001"/>
    <w:rsid w:val="000A7F28"/>
    <w:rsid w:val="000B0420"/>
    <w:rsid w:val="000B048D"/>
    <w:rsid w:val="000B0BD7"/>
    <w:rsid w:val="000B0F6E"/>
    <w:rsid w:val="000B1452"/>
    <w:rsid w:val="000B24C0"/>
    <w:rsid w:val="000B4693"/>
    <w:rsid w:val="000B4B00"/>
    <w:rsid w:val="000B4FB6"/>
    <w:rsid w:val="000B537D"/>
    <w:rsid w:val="000B62FD"/>
    <w:rsid w:val="000B6346"/>
    <w:rsid w:val="000B6B42"/>
    <w:rsid w:val="000B7BCF"/>
    <w:rsid w:val="000C016D"/>
    <w:rsid w:val="000C024B"/>
    <w:rsid w:val="000C043D"/>
    <w:rsid w:val="000C099E"/>
    <w:rsid w:val="000C0B4A"/>
    <w:rsid w:val="000C1234"/>
    <w:rsid w:val="000C125D"/>
    <w:rsid w:val="000C1F4F"/>
    <w:rsid w:val="000C20DB"/>
    <w:rsid w:val="000C2909"/>
    <w:rsid w:val="000C3F5B"/>
    <w:rsid w:val="000C46DB"/>
    <w:rsid w:val="000C4EB8"/>
    <w:rsid w:val="000C4EFB"/>
    <w:rsid w:val="000C53F4"/>
    <w:rsid w:val="000C54A0"/>
    <w:rsid w:val="000C5BD0"/>
    <w:rsid w:val="000C5BD5"/>
    <w:rsid w:val="000C62E6"/>
    <w:rsid w:val="000C6ADC"/>
    <w:rsid w:val="000C7077"/>
    <w:rsid w:val="000D0417"/>
    <w:rsid w:val="000D0C53"/>
    <w:rsid w:val="000D111D"/>
    <w:rsid w:val="000D1627"/>
    <w:rsid w:val="000D23FA"/>
    <w:rsid w:val="000D2745"/>
    <w:rsid w:val="000D4306"/>
    <w:rsid w:val="000D46D8"/>
    <w:rsid w:val="000D4876"/>
    <w:rsid w:val="000D5E65"/>
    <w:rsid w:val="000D7965"/>
    <w:rsid w:val="000D7CC7"/>
    <w:rsid w:val="000D7D9E"/>
    <w:rsid w:val="000E03AA"/>
    <w:rsid w:val="000E066F"/>
    <w:rsid w:val="000E12DD"/>
    <w:rsid w:val="000E1711"/>
    <w:rsid w:val="000E33C5"/>
    <w:rsid w:val="000E57E7"/>
    <w:rsid w:val="000E6A7C"/>
    <w:rsid w:val="000E7B1F"/>
    <w:rsid w:val="000E7F8F"/>
    <w:rsid w:val="000F011E"/>
    <w:rsid w:val="000F0365"/>
    <w:rsid w:val="000F07B4"/>
    <w:rsid w:val="000F0F5A"/>
    <w:rsid w:val="000F13A1"/>
    <w:rsid w:val="000F1493"/>
    <w:rsid w:val="000F1A22"/>
    <w:rsid w:val="000F1A6D"/>
    <w:rsid w:val="000F1DC6"/>
    <w:rsid w:val="000F1EEC"/>
    <w:rsid w:val="000F239E"/>
    <w:rsid w:val="000F240B"/>
    <w:rsid w:val="000F264E"/>
    <w:rsid w:val="000F39D0"/>
    <w:rsid w:val="000F3FEA"/>
    <w:rsid w:val="000F4228"/>
    <w:rsid w:val="000F43E3"/>
    <w:rsid w:val="000F4C52"/>
    <w:rsid w:val="000F506A"/>
    <w:rsid w:val="000F5757"/>
    <w:rsid w:val="000F59FB"/>
    <w:rsid w:val="000F68EA"/>
    <w:rsid w:val="000F6A56"/>
    <w:rsid w:val="000F7B07"/>
    <w:rsid w:val="001001FA"/>
    <w:rsid w:val="001009BB"/>
    <w:rsid w:val="00100C4C"/>
    <w:rsid w:val="00100C79"/>
    <w:rsid w:val="00100CF1"/>
    <w:rsid w:val="00100F7E"/>
    <w:rsid w:val="00101F02"/>
    <w:rsid w:val="00101F8E"/>
    <w:rsid w:val="00102561"/>
    <w:rsid w:val="00103897"/>
    <w:rsid w:val="00103AA5"/>
    <w:rsid w:val="00104810"/>
    <w:rsid w:val="001048F5"/>
    <w:rsid w:val="00104922"/>
    <w:rsid w:val="00104AE7"/>
    <w:rsid w:val="00104C77"/>
    <w:rsid w:val="00104DBC"/>
    <w:rsid w:val="00104FDA"/>
    <w:rsid w:val="00105E66"/>
    <w:rsid w:val="00105F70"/>
    <w:rsid w:val="00106BD5"/>
    <w:rsid w:val="00106C11"/>
    <w:rsid w:val="00107290"/>
    <w:rsid w:val="00110228"/>
    <w:rsid w:val="00110364"/>
    <w:rsid w:val="00110A4B"/>
    <w:rsid w:val="00110D95"/>
    <w:rsid w:val="00110EBA"/>
    <w:rsid w:val="00110F33"/>
    <w:rsid w:val="00111215"/>
    <w:rsid w:val="00112877"/>
    <w:rsid w:val="001141F5"/>
    <w:rsid w:val="00114557"/>
    <w:rsid w:val="00115282"/>
    <w:rsid w:val="00115FAE"/>
    <w:rsid w:val="00115FB9"/>
    <w:rsid w:val="0011625B"/>
    <w:rsid w:val="00116F6F"/>
    <w:rsid w:val="00116FE7"/>
    <w:rsid w:val="00117DCE"/>
    <w:rsid w:val="00117F1B"/>
    <w:rsid w:val="00120192"/>
    <w:rsid w:val="001203BD"/>
    <w:rsid w:val="001205A2"/>
    <w:rsid w:val="00120BE9"/>
    <w:rsid w:val="00120FD9"/>
    <w:rsid w:val="001216E1"/>
    <w:rsid w:val="00121B6E"/>
    <w:rsid w:val="00121C7F"/>
    <w:rsid w:val="00121F38"/>
    <w:rsid w:val="0012213A"/>
    <w:rsid w:val="00122801"/>
    <w:rsid w:val="00122D08"/>
    <w:rsid w:val="00123F6E"/>
    <w:rsid w:val="00124041"/>
    <w:rsid w:val="001243E8"/>
    <w:rsid w:val="00124424"/>
    <w:rsid w:val="00125F48"/>
    <w:rsid w:val="0012611F"/>
    <w:rsid w:val="001263DC"/>
    <w:rsid w:val="001270B8"/>
    <w:rsid w:val="00127121"/>
    <w:rsid w:val="00127306"/>
    <w:rsid w:val="001273A0"/>
    <w:rsid w:val="00127718"/>
    <w:rsid w:val="00127744"/>
    <w:rsid w:val="00127E77"/>
    <w:rsid w:val="001315D9"/>
    <w:rsid w:val="00131B74"/>
    <w:rsid w:val="00131B95"/>
    <w:rsid w:val="00131D1E"/>
    <w:rsid w:val="00132B17"/>
    <w:rsid w:val="00132D1D"/>
    <w:rsid w:val="00132F08"/>
    <w:rsid w:val="0013306A"/>
    <w:rsid w:val="00134231"/>
    <w:rsid w:val="001346D1"/>
    <w:rsid w:val="00135857"/>
    <w:rsid w:val="00135CD4"/>
    <w:rsid w:val="0013615E"/>
    <w:rsid w:val="00137488"/>
    <w:rsid w:val="00137708"/>
    <w:rsid w:val="00137AFC"/>
    <w:rsid w:val="00137CCF"/>
    <w:rsid w:val="001407BF"/>
    <w:rsid w:val="00140F68"/>
    <w:rsid w:val="00141189"/>
    <w:rsid w:val="00141514"/>
    <w:rsid w:val="0014167C"/>
    <w:rsid w:val="00141DD0"/>
    <w:rsid w:val="00141FC1"/>
    <w:rsid w:val="00142362"/>
    <w:rsid w:val="001423E1"/>
    <w:rsid w:val="00142617"/>
    <w:rsid w:val="00142F23"/>
    <w:rsid w:val="00143022"/>
    <w:rsid w:val="001430AF"/>
    <w:rsid w:val="001431D0"/>
    <w:rsid w:val="001436A7"/>
    <w:rsid w:val="001439F9"/>
    <w:rsid w:val="001449E7"/>
    <w:rsid w:val="00145137"/>
    <w:rsid w:val="00145809"/>
    <w:rsid w:val="00146A17"/>
    <w:rsid w:val="00146B46"/>
    <w:rsid w:val="00146E08"/>
    <w:rsid w:val="0014723F"/>
    <w:rsid w:val="00147700"/>
    <w:rsid w:val="001478B9"/>
    <w:rsid w:val="00147D92"/>
    <w:rsid w:val="00147F1A"/>
    <w:rsid w:val="001507B0"/>
    <w:rsid w:val="001514CA"/>
    <w:rsid w:val="00152674"/>
    <w:rsid w:val="00152938"/>
    <w:rsid w:val="00152A9D"/>
    <w:rsid w:val="00152B34"/>
    <w:rsid w:val="00152E5D"/>
    <w:rsid w:val="001534F6"/>
    <w:rsid w:val="001544BD"/>
    <w:rsid w:val="00155000"/>
    <w:rsid w:val="001553C2"/>
    <w:rsid w:val="0015594E"/>
    <w:rsid w:val="00155AEA"/>
    <w:rsid w:val="00155C53"/>
    <w:rsid w:val="00155F47"/>
    <w:rsid w:val="00156CB2"/>
    <w:rsid w:val="00156D74"/>
    <w:rsid w:val="00156F49"/>
    <w:rsid w:val="001573FF"/>
    <w:rsid w:val="00160265"/>
    <w:rsid w:val="001606FA"/>
    <w:rsid w:val="001608BA"/>
    <w:rsid w:val="00160C27"/>
    <w:rsid w:val="001610FB"/>
    <w:rsid w:val="001614F5"/>
    <w:rsid w:val="00161AD7"/>
    <w:rsid w:val="00161B70"/>
    <w:rsid w:val="0016232A"/>
    <w:rsid w:val="001630AD"/>
    <w:rsid w:val="00163213"/>
    <w:rsid w:val="00163AAA"/>
    <w:rsid w:val="00163DAC"/>
    <w:rsid w:val="001644BF"/>
    <w:rsid w:val="001644F3"/>
    <w:rsid w:val="0016474B"/>
    <w:rsid w:val="00164B94"/>
    <w:rsid w:val="00164E9C"/>
    <w:rsid w:val="001658C0"/>
    <w:rsid w:val="001670C9"/>
    <w:rsid w:val="001672D1"/>
    <w:rsid w:val="00167BA6"/>
    <w:rsid w:val="001701AB"/>
    <w:rsid w:val="001704A0"/>
    <w:rsid w:val="001706BA"/>
    <w:rsid w:val="0017182C"/>
    <w:rsid w:val="00171955"/>
    <w:rsid w:val="00172A27"/>
    <w:rsid w:val="00172A43"/>
    <w:rsid w:val="00172E5D"/>
    <w:rsid w:val="00172F3B"/>
    <w:rsid w:val="00173315"/>
    <w:rsid w:val="001742C4"/>
    <w:rsid w:val="001751E6"/>
    <w:rsid w:val="0017531C"/>
    <w:rsid w:val="001754DE"/>
    <w:rsid w:val="00175D54"/>
    <w:rsid w:val="00175E99"/>
    <w:rsid w:val="001762FA"/>
    <w:rsid w:val="00176520"/>
    <w:rsid w:val="0018055A"/>
    <w:rsid w:val="001805DB"/>
    <w:rsid w:val="00180635"/>
    <w:rsid w:val="001810D3"/>
    <w:rsid w:val="00181C92"/>
    <w:rsid w:val="001822CC"/>
    <w:rsid w:val="00182620"/>
    <w:rsid w:val="00182682"/>
    <w:rsid w:val="0018274C"/>
    <w:rsid w:val="00182BCB"/>
    <w:rsid w:val="0018372D"/>
    <w:rsid w:val="00183EE6"/>
    <w:rsid w:val="00184206"/>
    <w:rsid w:val="0018454C"/>
    <w:rsid w:val="001849B4"/>
    <w:rsid w:val="00185979"/>
    <w:rsid w:val="001860D5"/>
    <w:rsid w:val="001861D8"/>
    <w:rsid w:val="00186C17"/>
    <w:rsid w:val="00187035"/>
    <w:rsid w:val="00187702"/>
    <w:rsid w:val="00187F53"/>
    <w:rsid w:val="001902D5"/>
    <w:rsid w:val="00190E21"/>
    <w:rsid w:val="0019182C"/>
    <w:rsid w:val="00191A76"/>
    <w:rsid w:val="00191BA6"/>
    <w:rsid w:val="0019253B"/>
    <w:rsid w:val="00192C8C"/>
    <w:rsid w:val="00193040"/>
    <w:rsid w:val="00193450"/>
    <w:rsid w:val="001938F6"/>
    <w:rsid w:val="00193DBC"/>
    <w:rsid w:val="00194E27"/>
    <w:rsid w:val="00196144"/>
    <w:rsid w:val="001961A5"/>
    <w:rsid w:val="0019622F"/>
    <w:rsid w:val="00197060"/>
    <w:rsid w:val="00197B8E"/>
    <w:rsid w:val="001A01AD"/>
    <w:rsid w:val="001A0F8A"/>
    <w:rsid w:val="001A14A0"/>
    <w:rsid w:val="001A17D9"/>
    <w:rsid w:val="001A17E8"/>
    <w:rsid w:val="001A1C8C"/>
    <w:rsid w:val="001A1ED6"/>
    <w:rsid w:val="001A226B"/>
    <w:rsid w:val="001A2503"/>
    <w:rsid w:val="001A2B71"/>
    <w:rsid w:val="001A2E08"/>
    <w:rsid w:val="001A3333"/>
    <w:rsid w:val="001A387F"/>
    <w:rsid w:val="001A42EB"/>
    <w:rsid w:val="001A4B34"/>
    <w:rsid w:val="001A554E"/>
    <w:rsid w:val="001A5E39"/>
    <w:rsid w:val="001A5F64"/>
    <w:rsid w:val="001A6413"/>
    <w:rsid w:val="001A6FB4"/>
    <w:rsid w:val="001A793A"/>
    <w:rsid w:val="001A7B71"/>
    <w:rsid w:val="001B066C"/>
    <w:rsid w:val="001B06BB"/>
    <w:rsid w:val="001B086F"/>
    <w:rsid w:val="001B0A30"/>
    <w:rsid w:val="001B0BBF"/>
    <w:rsid w:val="001B123D"/>
    <w:rsid w:val="001B14E1"/>
    <w:rsid w:val="001B18BF"/>
    <w:rsid w:val="001B19D2"/>
    <w:rsid w:val="001B1B1F"/>
    <w:rsid w:val="001B1C7A"/>
    <w:rsid w:val="001B1F6B"/>
    <w:rsid w:val="001B2089"/>
    <w:rsid w:val="001B28BD"/>
    <w:rsid w:val="001B2B69"/>
    <w:rsid w:val="001B4517"/>
    <w:rsid w:val="001B49B4"/>
    <w:rsid w:val="001B4A72"/>
    <w:rsid w:val="001B4F75"/>
    <w:rsid w:val="001B55CD"/>
    <w:rsid w:val="001B5B48"/>
    <w:rsid w:val="001B5B9A"/>
    <w:rsid w:val="001B6793"/>
    <w:rsid w:val="001B6BDB"/>
    <w:rsid w:val="001B6DB9"/>
    <w:rsid w:val="001B7014"/>
    <w:rsid w:val="001B7365"/>
    <w:rsid w:val="001B758C"/>
    <w:rsid w:val="001B7816"/>
    <w:rsid w:val="001B7BB9"/>
    <w:rsid w:val="001C02FC"/>
    <w:rsid w:val="001C144D"/>
    <w:rsid w:val="001C1E52"/>
    <w:rsid w:val="001C1E94"/>
    <w:rsid w:val="001C2621"/>
    <w:rsid w:val="001C2A1E"/>
    <w:rsid w:val="001C3AEB"/>
    <w:rsid w:val="001C4211"/>
    <w:rsid w:val="001C47C0"/>
    <w:rsid w:val="001C48A6"/>
    <w:rsid w:val="001C4AC9"/>
    <w:rsid w:val="001C4B46"/>
    <w:rsid w:val="001C4DF6"/>
    <w:rsid w:val="001C554B"/>
    <w:rsid w:val="001C5E25"/>
    <w:rsid w:val="001C610E"/>
    <w:rsid w:val="001C7C49"/>
    <w:rsid w:val="001C7D34"/>
    <w:rsid w:val="001D03C3"/>
    <w:rsid w:val="001D0630"/>
    <w:rsid w:val="001D093D"/>
    <w:rsid w:val="001D1D0E"/>
    <w:rsid w:val="001D1EB7"/>
    <w:rsid w:val="001D356A"/>
    <w:rsid w:val="001D3AAA"/>
    <w:rsid w:val="001D4097"/>
    <w:rsid w:val="001D477F"/>
    <w:rsid w:val="001D4C69"/>
    <w:rsid w:val="001D5617"/>
    <w:rsid w:val="001D561C"/>
    <w:rsid w:val="001D5DEE"/>
    <w:rsid w:val="001D6D99"/>
    <w:rsid w:val="001E0800"/>
    <w:rsid w:val="001E0EA0"/>
    <w:rsid w:val="001E1040"/>
    <w:rsid w:val="001E1983"/>
    <w:rsid w:val="001E3041"/>
    <w:rsid w:val="001E3089"/>
    <w:rsid w:val="001E3163"/>
    <w:rsid w:val="001E390F"/>
    <w:rsid w:val="001E39D4"/>
    <w:rsid w:val="001E447B"/>
    <w:rsid w:val="001E56E3"/>
    <w:rsid w:val="001E609F"/>
    <w:rsid w:val="001F035F"/>
    <w:rsid w:val="001F135E"/>
    <w:rsid w:val="001F1618"/>
    <w:rsid w:val="001F194C"/>
    <w:rsid w:val="001F1AE3"/>
    <w:rsid w:val="001F3B1F"/>
    <w:rsid w:val="001F3CED"/>
    <w:rsid w:val="001F4184"/>
    <w:rsid w:val="001F41F5"/>
    <w:rsid w:val="001F4277"/>
    <w:rsid w:val="001F44E7"/>
    <w:rsid w:val="001F45A2"/>
    <w:rsid w:val="001F47EA"/>
    <w:rsid w:val="001F576C"/>
    <w:rsid w:val="001F6280"/>
    <w:rsid w:val="001F6692"/>
    <w:rsid w:val="001F749A"/>
    <w:rsid w:val="001F7C56"/>
    <w:rsid w:val="001F7C64"/>
    <w:rsid w:val="001F7F7E"/>
    <w:rsid w:val="0020066E"/>
    <w:rsid w:val="0020081A"/>
    <w:rsid w:val="002010F8"/>
    <w:rsid w:val="0020244F"/>
    <w:rsid w:val="002026DF"/>
    <w:rsid w:val="002028D4"/>
    <w:rsid w:val="002038F1"/>
    <w:rsid w:val="002048D5"/>
    <w:rsid w:val="00205503"/>
    <w:rsid w:val="00205D7A"/>
    <w:rsid w:val="00206028"/>
    <w:rsid w:val="002074B8"/>
    <w:rsid w:val="00207FC4"/>
    <w:rsid w:val="002103BE"/>
    <w:rsid w:val="00210A57"/>
    <w:rsid w:val="00210FBC"/>
    <w:rsid w:val="00210FE0"/>
    <w:rsid w:val="002119C8"/>
    <w:rsid w:val="00211C3B"/>
    <w:rsid w:val="00212607"/>
    <w:rsid w:val="00212876"/>
    <w:rsid w:val="002128C0"/>
    <w:rsid w:val="00212FE9"/>
    <w:rsid w:val="002131EA"/>
    <w:rsid w:val="00214E6D"/>
    <w:rsid w:val="00215188"/>
    <w:rsid w:val="00216CF6"/>
    <w:rsid w:val="00216EB5"/>
    <w:rsid w:val="00220056"/>
    <w:rsid w:val="0022014D"/>
    <w:rsid w:val="002203BC"/>
    <w:rsid w:val="00220B92"/>
    <w:rsid w:val="00220D77"/>
    <w:rsid w:val="0022131F"/>
    <w:rsid w:val="002213FC"/>
    <w:rsid w:val="0022183F"/>
    <w:rsid w:val="00222A4A"/>
    <w:rsid w:val="00222B05"/>
    <w:rsid w:val="00222D06"/>
    <w:rsid w:val="00223431"/>
    <w:rsid w:val="00224536"/>
    <w:rsid w:val="00224703"/>
    <w:rsid w:val="002247E9"/>
    <w:rsid w:val="00224F9A"/>
    <w:rsid w:val="00225503"/>
    <w:rsid w:val="00225BA2"/>
    <w:rsid w:val="0022644C"/>
    <w:rsid w:val="002265DD"/>
    <w:rsid w:val="00226DF4"/>
    <w:rsid w:val="0022767F"/>
    <w:rsid w:val="0022775B"/>
    <w:rsid w:val="00227AE3"/>
    <w:rsid w:val="00230B37"/>
    <w:rsid w:val="00230CAD"/>
    <w:rsid w:val="002314A0"/>
    <w:rsid w:val="00231A9E"/>
    <w:rsid w:val="00231AEF"/>
    <w:rsid w:val="00231E26"/>
    <w:rsid w:val="0023238A"/>
    <w:rsid w:val="00233285"/>
    <w:rsid w:val="0023428B"/>
    <w:rsid w:val="00234D97"/>
    <w:rsid w:val="00234DE7"/>
    <w:rsid w:val="00235200"/>
    <w:rsid w:val="00235E7A"/>
    <w:rsid w:val="0023622E"/>
    <w:rsid w:val="0023625C"/>
    <w:rsid w:val="00236D08"/>
    <w:rsid w:val="002374C0"/>
    <w:rsid w:val="002403EC"/>
    <w:rsid w:val="0024063E"/>
    <w:rsid w:val="00240940"/>
    <w:rsid w:val="00240ABF"/>
    <w:rsid w:val="00241182"/>
    <w:rsid w:val="00241A8E"/>
    <w:rsid w:val="00242FAD"/>
    <w:rsid w:val="002432C0"/>
    <w:rsid w:val="00243404"/>
    <w:rsid w:val="002439BD"/>
    <w:rsid w:val="00243A47"/>
    <w:rsid w:val="00243DEA"/>
    <w:rsid w:val="00243FA8"/>
    <w:rsid w:val="00244534"/>
    <w:rsid w:val="00244859"/>
    <w:rsid w:val="002457B6"/>
    <w:rsid w:val="00245DFD"/>
    <w:rsid w:val="00246268"/>
    <w:rsid w:val="00246B73"/>
    <w:rsid w:val="00246F5D"/>
    <w:rsid w:val="00247F1F"/>
    <w:rsid w:val="002502E6"/>
    <w:rsid w:val="00250479"/>
    <w:rsid w:val="00250EF6"/>
    <w:rsid w:val="0025121F"/>
    <w:rsid w:val="00251CE7"/>
    <w:rsid w:val="00251D4F"/>
    <w:rsid w:val="0025233B"/>
    <w:rsid w:val="002524CE"/>
    <w:rsid w:val="0025296A"/>
    <w:rsid w:val="00254504"/>
    <w:rsid w:val="00254B7A"/>
    <w:rsid w:val="00254F5F"/>
    <w:rsid w:val="0025579F"/>
    <w:rsid w:val="00256781"/>
    <w:rsid w:val="00256AF5"/>
    <w:rsid w:val="002571DD"/>
    <w:rsid w:val="00257B2E"/>
    <w:rsid w:val="00257BD0"/>
    <w:rsid w:val="002604D8"/>
    <w:rsid w:val="00260C91"/>
    <w:rsid w:val="00260F6E"/>
    <w:rsid w:val="00261C37"/>
    <w:rsid w:val="00261E20"/>
    <w:rsid w:val="00262BC4"/>
    <w:rsid w:val="0026401C"/>
    <w:rsid w:val="0026406B"/>
    <w:rsid w:val="002640E6"/>
    <w:rsid w:val="00264276"/>
    <w:rsid w:val="00264EB3"/>
    <w:rsid w:val="00265E88"/>
    <w:rsid w:val="002662C3"/>
    <w:rsid w:val="00266409"/>
    <w:rsid w:val="00266BD4"/>
    <w:rsid w:val="002676BE"/>
    <w:rsid w:val="00267F4A"/>
    <w:rsid w:val="002709CB"/>
    <w:rsid w:val="00270AC9"/>
    <w:rsid w:val="00271F09"/>
    <w:rsid w:val="002720B0"/>
    <w:rsid w:val="00272174"/>
    <w:rsid w:val="002721E8"/>
    <w:rsid w:val="00272662"/>
    <w:rsid w:val="00273039"/>
    <w:rsid w:val="00274193"/>
    <w:rsid w:val="0027441E"/>
    <w:rsid w:val="00274458"/>
    <w:rsid w:val="00274BD1"/>
    <w:rsid w:val="00274E36"/>
    <w:rsid w:val="002755D5"/>
    <w:rsid w:val="00275A19"/>
    <w:rsid w:val="00276143"/>
    <w:rsid w:val="00276282"/>
    <w:rsid w:val="0027629C"/>
    <w:rsid w:val="002762BA"/>
    <w:rsid w:val="002769EB"/>
    <w:rsid w:val="00277093"/>
    <w:rsid w:val="00277609"/>
    <w:rsid w:val="00277E91"/>
    <w:rsid w:val="002800E7"/>
    <w:rsid w:val="002801C0"/>
    <w:rsid w:val="00280AFA"/>
    <w:rsid w:val="00280C63"/>
    <w:rsid w:val="00281159"/>
    <w:rsid w:val="0028174B"/>
    <w:rsid w:val="002819CC"/>
    <w:rsid w:val="00281B51"/>
    <w:rsid w:val="00281BA0"/>
    <w:rsid w:val="00281C1F"/>
    <w:rsid w:val="00282206"/>
    <w:rsid w:val="002824A1"/>
    <w:rsid w:val="00282508"/>
    <w:rsid w:val="002826EB"/>
    <w:rsid w:val="00282777"/>
    <w:rsid w:val="00282A97"/>
    <w:rsid w:val="0028355A"/>
    <w:rsid w:val="00283819"/>
    <w:rsid w:val="002842D7"/>
    <w:rsid w:val="00284B37"/>
    <w:rsid w:val="00285255"/>
    <w:rsid w:val="00285864"/>
    <w:rsid w:val="0028797C"/>
    <w:rsid w:val="002909F0"/>
    <w:rsid w:val="00290D4E"/>
    <w:rsid w:val="00290DF0"/>
    <w:rsid w:val="00290E61"/>
    <w:rsid w:val="0029111A"/>
    <w:rsid w:val="00291342"/>
    <w:rsid w:val="002913E3"/>
    <w:rsid w:val="00291987"/>
    <w:rsid w:val="0029259F"/>
    <w:rsid w:val="00292833"/>
    <w:rsid w:val="00292B07"/>
    <w:rsid w:val="00292BAB"/>
    <w:rsid w:val="00292CC9"/>
    <w:rsid w:val="002936FD"/>
    <w:rsid w:val="002941A3"/>
    <w:rsid w:val="0029459E"/>
    <w:rsid w:val="002948CB"/>
    <w:rsid w:val="00294F92"/>
    <w:rsid w:val="00295236"/>
    <w:rsid w:val="00295B88"/>
    <w:rsid w:val="00295D44"/>
    <w:rsid w:val="002963D5"/>
    <w:rsid w:val="00296E7B"/>
    <w:rsid w:val="00296E98"/>
    <w:rsid w:val="00297052"/>
    <w:rsid w:val="00297535"/>
    <w:rsid w:val="00297AB1"/>
    <w:rsid w:val="00297C7C"/>
    <w:rsid w:val="002A0F68"/>
    <w:rsid w:val="002A19BA"/>
    <w:rsid w:val="002A1B4B"/>
    <w:rsid w:val="002A1EA0"/>
    <w:rsid w:val="002A2C3B"/>
    <w:rsid w:val="002A4475"/>
    <w:rsid w:val="002A46E5"/>
    <w:rsid w:val="002A4ACE"/>
    <w:rsid w:val="002A4D44"/>
    <w:rsid w:val="002A6003"/>
    <w:rsid w:val="002A64D3"/>
    <w:rsid w:val="002A6B86"/>
    <w:rsid w:val="002A6F0F"/>
    <w:rsid w:val="002A7A57"/>
    <w:rsid w:val="002B091A"/>
    <w:rsid w:val="002B0C2E"/>
    <w:rsid w:val="002B0E50"/>
    <w:rsid w:val="002B13AD"/>
    <w:rsid w:val="002B158D"/>
    <w:rsid w:val="002B175B"/>
    <w:rsid w:val="002B1F25"/>
    <w:rsid w:val="002B21A1"/>
    <w:rsid w:val="002B2D9E"/>
    <w:rsid w:val="002B2EA9"/>
    <w:rsid w:val="002B358F"/>
    <w:rsid w:val="002B36D3"/>
    <w:rsid w:val="002B3AFA"/>
    <w:rsid w:val="002B3D03"/>
    <w:rsid w:val="002B425B"/>
    <w:rsid w:val="002B4355"/>
    <w:rsid w:val="002B4520"/>
    <w:rsid w:val="002B5369"/>
    <w:rsid w:val="002B5598"/>
    <w:rsid w:val="002B6A0D"/>
    <w:rsid w:val="002B77A5"/>
    <w:rsid w:val="002B7C2E"/>
    <w:rsid w:val="002C0041"/>
    <w:rsid w:val="002C00FA"/>
    <w:rsid w:val="002C0260"/>
    <w:rsid w:val="002C02FA"/>
    <w:rsid w:val="002C0BD0"/>
    <w:rsid w:val="002C15ED"/>
    <w:rsid w:val="002C16D8"/>
    <w:rsid w:val="002C1707"/>
    <w:rsid w:val="002C2173"/>
    <w:rsid w:val="002C2412"/>
    <w:rsid w:val="002C27F1"/>
    <w:rsid w:val="002C3812"/>
    <w:rsid w:val="002C4449"/>
    <w:rsid w:val="002C57FB"/>
    <w:rsid w:val="002C64D2"/>
    <w:rsid w:val="002C6597"/>
    <w:rsid w:val="002C6888"/>
    <w:rsid w:val="002C6B8D"/>
    <w:rsid w:val="002C7435"/>
    <w:rsid w:val="002C774A"/>
    <w:rsid w:val="002C7B5B"/>
    <w:rsid w:val="002D044F"/>
    <w:rsid w:val="002D1107"/>
    <w:rsid w:val="002D14BE"/>
    <w:rsid w:val="002D1822"/>
    <w:rsid w:val="002D25D3"/>
    <w:rsid w:val="002D2C90"/>
    <w:rsid w:val="002D3392"/>
    <w:rsid w:val="002D3A98"/>
    <w:rsid w:val="002D4033"/>
    <w:rsid w:val="002D4664"/>
    <w:rsid w:val="002D4766"/>
    <w:rsid w:val="002D5900"/>
    <w:rsid w:val="002D5A9F"/>
    <w:rsid w:val="002D6188"/>
    <w:rsid w:val="002D7075"/>
    <w:rsid w:val="002D748E"/>
    <w:rsid w:val="002D7820"/>
    <w:rsid w:val="002D7CA1"/>
    <w:rsid w:val="002E0418"/>
    <w:rsid w:val="002E05CB"/>
    <w:rsid w:val="002E0BC9"/>
    <w:rsid w:val="002E0FB5"/>
    <w:rsid w:val="002E18E1"/>
    <w:rsid w:val="002E20CE"/>
    <w:rsid w:val="002E2D7E"/>
    <w:rsid w:val="002E355D"/>
    <w:rsid w:val="002E3AF1"/>
    <w:rsid w:val="002E5808"/>
    <w:rsid w:val="002E5A55"/>
    <w:rsid w:val="002E5BC2"/>
    <w:rsid w:val="002E6436"/>
    <w:rsid w:val="002E6E35"/>
    <w:rsid w:val="002E71EC"/>
    <w:rsid w:val="002E741F"/>
    <w:rsid w:val="002F0AD7"/>
    <w:rsid w:val="002F19E8"/>
    <w:rsid w:val="002F1B95"/>
    <w:rsid w:val="002F3736"/>
    <w:rsid w:val="002F42A9"/>
    <w:rsid w:val="002F4D5E"/>
    <w:rsid w:val="002F6093"/>
    <w:rsid w:val="002F625C"/>
    <w:rsid w:val="002F6F92"/>
    <w:rsid w:val="002F7560"/>
    <w:rsid w:val="002F7679"/>
    <w:rsid w:val="002F785E"/>
    <w:rsid w:val="002F7AD9"/>
    <w:rsid w:val="002F7BE3"/>
    <w:rsid w:val="003005FF"/>
    <w:rsid w:val="003012DB"/>
    <w:rsid w:val="0030273D"/>
    <w:rsid w:val="00302F49"/>
    <w:rsid w:val="00303114"/>
    <w:rsid w:val="00303761"/>
    <w:rsid w:val="00304360"/>
    <w:rsid w:val="003045C1"/>
    <w:rsid w:val="00304C21"/>
    <w:rsid w:val="00305DBF"/>
    <w:rsid w:val="00305F70"/>
    <w:rsid w:val="003065FD"/>
    <w:rsid w:val="003070EE"/>
    <w:rsid w:val="00307B34"/>
    <w:rsid w:val="00310060"/>
    <w:rsid w:val="00310384"/>
    <w:rsid w:val="00310C05"/>
    <w:rsid w:val="00311D43"/>
    <w:rsid w:val="00311EBC"/>
    <w:rsid w:val="003120D9"/>
    <w:rsid w:val="003121B7"/>
    <w:rsid w:val="003129B5"/>
    <w:rsid w:val="00312AD6"/>
    <w:rsid w:val="00312EDA"/>
    <w:rsid w:val="00313C85"/>
    <w:rsid w:val="00314193"/>
    <w:rsid w:val="003146F1"/>
    <w:rsid w:val="0031492A"/>
    <w:rsid w:val="00314CF9"/>
    <w:rsid w:val="00314E0F"/>
    <w:rsid w:val="00315611"/>
    <w:rsid w:val="003160A6"/>
    <w:rsid w:val="0031643D"/>
    <w:rsid w:val="00316A58"/>
    <w:rsid w:val="00317075"/>
    <w:rsid w:val="0031718F"/>
    <w:rsid w:val="0031723D"/>
    <w:rsid w:val="00317513"/>
    <w:rsid w:val="00317884"/>
    <w:rsid w:val="00317929"/>
    <w:rsid w:val="00317FC1"/>
    <w:rsid w:val="0032073A"/>
    <w:rsid w:val="00322010"/>
    <w:rsid w:val="00322D56"/>
    <w:rsid w:val="00322DDE"/>
    <w:rsid w:val="0032370C"/>
    <w:rsid w:val="00323BF5"/>
    <w:rsid w:val="00325425"/>
    <w:rsid w:val="00325A47"/>
    <w:rsid w:val="0032615F"/>
    <w:rsid w:val="0032686E"/>
    <w:rsid w:val="00326AA2"/>
    <w:rsid w:val="00326EBD"/>
    <w:rsid w:val="00327658"/>
    <w:rsid w:val="00327CB1"/>
    <w:rsid w:val="003303BF"/>
    <w:rsid w:val="00330FB3"/>
    <w:rsid w:val="00332CFB"/>
    <w:rsid w:val="00332DB6"/>
    <w:rsid w:val="00335577"/>
    <w:rsid w:val="003355B1"/>
    <w:rsid w:val="00336569"/>
    <w:rsid w:val="003368EE"/>
    <w:rsid w:val="00336DA2"/>
    <w:rsid w:val="00336E1E"/>
    <w:rsid w:val="00336F63"/>
    <w:rsid w:val="00336F81"/>
    <w:rsid w:val="00337236"/>
    <w:rsid w:val="003373DE"/>
    <w:rsid w:val="00337545"/>
    <w:rsid w:val="0034142D"/>
    <w:rsid w:val="003415E3"/>
    <w:rsid w:val="003420A8"/>
    <w:rsid w:val="00342386"/>
    <w:rsid w:val="00342479"/>
    <w:rsid w:val="00342B34"/>
    <w:rsid w:val="00342C0B"/>
    <w:rsid w:val="00343177"/>
    <w:rsid w:val="00343475"/>
    <w:rsid w:val="00343796"/>
    <w:rsid w:val="0034380F"/>
    <w:rsid w:val="003440C8"/>
    <w:rsid w:val="0034471C"/>
    <w:rsid w:val="003447DE"/>
    <w:rsid w:val="003448E3"/>
    <w:rsid w:val="00344ACF"/>
    <w:rsid w:val="00344B68"/>
    <w:rsid w:val="003450F1"/>
    <w:rsid w:val="003455D4"/>
    <w:rsid w:val="00345A98"/>
    <w:rsid w:val="00345DCB"/>
    <w:rsid w:val="00345F53"/>
    <w:rsid w:val="00346210"/>
    <w:rsid w:val="00346BE6"/>
    <w:rsid w:val="00347287"/>
    <w:rsid w:val="00347BE2"/>
    <w:rsid w:val="00347DB1"/>
    <w:rsid w:val="0035034D"/>
    <w:rsid w:val="00350839"/>
    <w:rsid w:val="00351007"/>
    <w:rsid w:val="00351096"/>
    <w:rsid w:val="003512AE"/>
    <w:rsid w:val="00351313"/>
    <w:rsid w:val="00351698"/>
    <w:rsid w:val="00351BF0"/>
    <w:rsid w:val="00351C05"/>
    <w:rsid w:val="003541E9"/>
    <w:rsid w:val="0035470A"/>
    <w:rsid w:val="003547CA"/>
    <w:rsid w:val="00354962"/>
    <w:rsid w:val="00354994"/>
    <w:rsid w:val="00354F33"/>
    <w:rsid w:val="003551A0"/>
    <w:rsid w:val="003556CC"/>
    <w:rsid w:val="00355AA0"/>
    <w:rsid w:val="00355EBD"/>
    <w:rsid w:val="00356132"/>
    <w:rsid w:val="0035647B"/>
    <w:rsid w:val="00357C37"/>
    <w:rsid w:val="00357C7B"/>
    <w:rsid w:val="003608DC"/>
    <w:rsid w:val="00360AF4"/>
    <w:rsid w:val="00360E93"/>
    <w:rsid w:val="00361263"/>
    <w:rsid w:val="00361827"/>
    <w:rsid w:val="00361BC9"/>
    <w:rsid w:val="00361EC2"/>
    <w:rsid w:val="00362134"/>
    <w:rsid w:val="003626BE"/>
    <w:rsid w:val="0036273F"/>
    <w:rsid w:val="0036299B"/>
    <w:rsid w:val="00362B3B"/>
    <w:rsid w:val="00362C5B"/>
    <w:rsid w:val="00362D4F"/>
    <w:rsid w:val="00362D63"/>
    <w:rsid w:val="0036334D"/>
    <w:rsid w:val="00363653"/>
    <w:rsid w:val="00363EC9"/>
    <w:rsid w:val="00364A8D"/>
    <w:rsid w:val="00365005"/>
    <w:rsid w:val="003657CD"/>
    <w:rsid w:val="003657EA"/>
    <w:rsid w:val="00365CFA"/>
    <w:rsid w:val="0036623A"/>
    <w:rsid w:val="00366246"/>
    <w:rsid w:val="00366399"/>
    <w:rsid w:val="0036679A"/>
    <w:rsid w:val="00366BA3"/>
    <w:rsid w:val="0036758F"/>
    <w:rsid w:val="00367AA3"/>
    <w:rsid w:val="00367E8A"/>
    <w:rsid w:val="00370B7D"/>
    <w:rsid w:val="00370C46"/>
    <w:rsid w:val="003714F7"/>
    <w:rsid w:val="0037162A"/>
    <w:rsid w:val="00372995"/>
    <w:rsid w:val="0037301B"/>
    <w:rsid w:val="003740B8"/>
    <w:rsid w:val="003746D2"/>
    <w:rsid w:val="0037519A"/>
    <w:rsid w:val="003751D8"/>
    <w:rsid w:val="00375223"/>
    <w:rsid w:val="003759FD"/>
    <w:rsid w:val="0037690E"/>
    <w:rsid w:val="00376E54"/>
    <w:rsid w:val="003779A6"/>
    <w:rsid w:val="00377B66"/>
    <w:rsid w:val="00377F26"/>
    <w:rsid w:val="00377FEE"/>
    <w:rsid w:val="00380369"/>
    <w:rsid w:val="00381735"/>
    <w:rsid w:val="00381E37"/>
    <w:rsid w:val="00381F59"/>
    <w:rsid w:val="00382431"/>
    <w:rsid w:val="003824A3"/>
    <w:rsid w:val="0038348C"/>
    <w:rsid w:val="00383F5B"/>
    <w:rsid w:val="00384069"/>
    <w:rsid w:val="00384080"/>
    <w:rsid w:val="0038420D"/>
    <w:rsid w:val="00384B27"/>
    <w:rsid w:val="003854D7"/>
    <w:rsid w:val="00385924"/>
    <w:rsid w:val="003861DC"/>
    <w:rsid w:val="0038670B"/>
    <w:rsid w:val="00386874"/>
    <w:rsid w:val="003902B3"/>
    <w:rsid w:val="0039093E"/>
    <w:rsid w:val="00390AC6"/>
    <w:rsid w:val="00391196"/>
    <w:rsid w:val="00392949"/>
    <w:rsid w:val="00392BE1"/>
    <w:rsid w:val="00392E0E"/>
    <w:rsid w:val="00392EF7"/>
    <w:rsid w:val="00392F1A"/>
    <w:rsid w:val="0039313C"/>
    <w:rsid w:val="00393198"/>
    <w:rsid w:val="0039356F"/>
    <w:rsid w:val="00393E74"/>
    <w:rsid w:val="003941F3"/>
    <w:rsid w:val="003953DD"/>
    <w:rsid w:val="003953DF"/>
    <w:rsid w:val="003967D5"/>
    <w:rsid w:val="00396B91"/>
    <w:rsid w:val="00396E41"/>
    <w:rsid w:val="0039795A"/>
    <w:rsid w:val="00397B62"/>
    <w:rsid w:val="00397D99"/>
    <w:rsid w:val="003A0D37"/>
    <w:rsid w:val="003A1BE8"/>
    <w:rsid w:val="003A25BC"/>
    <w:rsid w:val="003A2FC0"/>
    <w:rsid w:val="003A3880"/>
    <w:rsid w:val="003A3B61"/>
    <w:rsid w:val="003A469D"/>
    <w:rsid w:val="003A4AD0"/>
    <w:rsid w:val="003A4E8A"/>
    <w:rsid w:val="003A55DE"/>
    <w:rsid w:val="003A66D9"/>
    <w:rsid w:val="003A6911"/>
    <w:rsid w:val="003A7ADF"/>
    <w:rsid w:val="003B043B"/>
    <w:rsid w:val="003B075C"/>
    <w:rsid w:val="003B1325"/>
    <w:rsid w:val="003B1C36"/>
    <w:rsid w:val="003B2435"/>
    <w:rsid w:val="003B2538"/>
    <w:rsid w:val="003B34C3"/>
    <w:rsid w:val="003B3702"/>
    <w:rsid w:val="003B3B71"/>
    <w:rsid w:val="003B4737"/>
    <w:rsid w:val="003B4CC6"/>
    <w:rsid w:val="003B4D81"/>
    <w:rsid w:val="003B5BEE"/>
    <w:rsid w:val="003B5E88"/>
    <w:rsid w:val="003B64E3"/>
    <w:rsid w:val="003B6C02"/>
    <w:rsid w:val="003B713F"/>
    <w:rsid w:val="003B736D"/>
    <w:rsid w:val="003B75A0"/>
    <w:rsid w:val="003B7BFD"/>
    <w:rsid w:val="003B7EED"/>
    <w:rsid w:val="003C0B9B"/>
    <w:rsid w:val="003C161C"/>
    <w:rsid w:val="003C1943"/>
    <w:rsid w:val="003C26EE"/>
    <w:rsid w:val="003C2CB7"/>
    <w:rsid w:val="003C3409"/>
    <w:rsid w:val="003C38AE"/>
    <w:rsid w:val="003C3D9D"/>
    <w:rsid w:val="003C3EB1"/>
    <w:rsid w:val="003C3F59"/>
    <w:rsid w:val="003C53A4"/>
    <w:rsid w:val="003C564C"/>
    <w:rsid w:val="003C5952"/>
    <w:rsid w:val="003C5CEF"/>
    <w:rsid w:val="003C5F95"/>
    <w:rsid w:val="003C62DC"/>
    <w:rsid w:val="003C632F"/>
    <w:rsid w:val="003C6CF1"/>
    <w:rsid w:val="003C730D"/>
    <w:rsid w:val="003C786D"/>
    <w:rsid w:val="003C7BB1"/>
    <w:rsid w:val="003C7C85"/>
    <w:rsid w:val="003D01BF"/>
    <w:rsid w:val="003D03E9"/>
    <w:rsid w:val="003D045B"/>
    <w:rsid w:val="003D0653"/>
    <w:rsid w:val="003D0E76"/>
    <w:rsid w:val="003D10AF"/>
    <w:rsid w:val="003D1133"/>
    <w:rsid w:val="003D2083"/>
    <w:rsid w:val="003D25F0"/>
    <w:rsid w:val="003D28DE"/>
    <w:rsid w:val="003D296E"/>
    <w:rsid w:val="003D2BCD"/>
    <w:rsid w:val="003D3012"/>
    <w:rsid w:val="003D36BC"/>
    <w:rsid w:val="003D3922"/>
    <w:rsid w:val="003D39FA"/>
    <w:rsid w:val="003D3AF5"/>
    <w:rsid w:val="003D3B7B"/>
    <w:rsid w:val="003D3D00"/>
    <w:rsid w:val="003D410F"/>
    <w:rsid w:val="003D4195"/>
    <w:rsid w:val="003D429B"/>
    <w:rsid w:val="003D460E"/>
    <w:rsid w:val="003D490A"/>
    <w:rsid w:val="003D4AA8"/>
    <w:rsid w:val="003D501B"/>
    <w:rsid w:val="003D5490"/>
    <w:rsid w:val="003D559E"/>
    <w:rsid w:val="003D5651"/>
    <w:rsid w:val="003D6037"/>
    <w:rsid w:val="003D6729"/>
    <w:rsid w:val="003D77E6"/>
    <w:rsid w:val="003D7E65"/>
    <w:rsid w:val="003E03EF"/>
    <w:rsid w:val="003E1102"/>
    <w:rsid w:val="003E1197"/>
    <w:rsid w:val="003E12E1"/>
    <w:rsid w:val="003E1EE2"/>
    <w:rsid w:val="003E280A"/>
    <w:rsid w:val="003E2EE4"/>
    <w:rsid w:val="003E3174"/>
    <w:rsid w:val="003E351E"/>
    <w:rsid w:val="003E382B"/>
    <w:rsid w:val="003E40DA"/>
    <w:rsid w:val="003E45CB"/>
    <w:rsid w:val="003E4811"/>
    <w:rsid w:val="003E52B6"/>
    <w:rsid w:val="003E544F"/>
    <w:rsid w:val="003E6060"/>
    <w:rsid w:val="003E6D3C"/>
    <w:rsid w:val="003E71A6"/>
    <w:rsid w:val="003E7DE2"/>
    <w:rsid w:val="003F02C1"/>
    <w:rsid w:val="003F06B3"/>
    <w:rsid w:val="003F0874"/>
    <w:rsid w:val="003F0894"/>
    <w:rsid w:val="003F17BD"/>
    <w:rsid w:val="003F1A37"/>
    <w:rsid w:val="003F2101"/>
    <w:rsid w:val="003F23A0"/>
    <w:rsid w:val="003F32C0"/>
    <w:rsid w:val="003F3466"/>
    <w:rsid w:val="003F3C52"/>
    <w:rsid w:val="003F3D06"/>
    <w:rsid w:val="003F42D0"/>
    <w:rsid w:val="003F43AA"/>
    <w:rsid w:val="003F4FDC"/>
    <w:rsid w:val="003F5551"/>
    <w:rsid w:val="003F5687"/>
    <w:rsid w:val="003F604E"/>
    <w:rsid w:val="003F64C3"/>
    <w:rsid w:val="003F671C"/>
    <w:rsid w:val="003F7A36"/>
    <w:rsid w:val="004005C6"/>
    <w:rsid w:val="0040118B"/>
    <w:rsid w:val="00401333"/>
    <w:rsid w:val="004015B5"/>
    <w:rsid w:val="004017BE"/>
    <w:rsid w:val="00401F8A"/>
    <w:rsid w:val="004022DB"/>
    <w:rsid w:val="0040356C"/>
    <w:rsid w:val="004038DE"/>
    <w:rsid w:val="004042B9"/>
    <w:rsid w:val="0040497F"/>
    <w:rsid w:val="00404C4A"/>
    <w:rsid w:val="00404F2D"/>
    <w:rsid w:val="0040507F"/>
    <w:rsid w:val="00405C76"/>
    <w:rsid w:val="00406574"/>
    <w:rsid w:val="004065EA"/>
    <w:rsid w:val="004067D6"/>
    <w:rsid w:val="00406AAD"/>
    <w:rsid w:val="00406CA4"/>
    <w:rsid w:val="00407489"/>
    <w:rsid w:val="00407CC5"/>
    <w:rsid w:val="00410774"/>
    <w:rsid w:val="00410AE5"/>
    <w:rsid w:val="004118C6"/>
    <w:rsid w:val="00411B58"/>
    <w:rsid w:val="00411B5F"/>
    <w:rsid w:val="004126ED"/>
    <w:rsid w:val="004130F8"/>
    <w:rsid w:val="004131CC"/>
    <w:rsid w:val="004131F7"/>
    <w:rsid w:val="004135BB"/>
    <w:rsid w:val="00413699"/>
    <w:rsid w:val="00413935"/>
    <w:rsid w:val="00413BE8"/>
    <w:rsid w:val="00413D86"/>
    <w:rsid w:val="00413E8C"/>
    <w:rsid w:val="0041436C"/>
    <w:rsid w:val="00414873"/>
    <w:rsid w:val="0041525A"/>
    <w:rsid w:val="0041530B"/>
    <w:rsid w:val="004155E6"/>
    <w:rsid w:val="00415668"/>
    <w:rsid w:val="0041617D"/>
    <w:rsid w:val="00417395"/>
    <w:rsid w:val="00417B44"/>
    <w:rsid w:val="00420288"/>
    <w:rsid w:val="00420327"/>
    <w:rsid w:val="00420979"/>
    <w:rsid w:val="00420D7A"/>
    <w:rsid w:val="00421DE2"/>
    <w:rsid w:val="00422200"/>
    <w:rsid w:val="004222F1"/>
    <w:rsid w:val="004224D7"/>
    <w:rsid w:val="00422D04"/>
    <w:rsid w:val="004237D7"/>
    <w:rsid w:val="004242F3"/>
    <w:rsid w:val="00425B92"/>
    <w:rsid w:val="00425DDB"/>
    <w:rsid w:val="0042614D"/>
    <w:rsid w:val="00426160"/>
    <w:rsid w:val="00426388"/>
    <w:rsid w:val="00426454"/>
    <w:rsid w:val="00427665"/>
    <w:rsid w:val="00427967"/>
    <w:rsid w:val="004308FE"/>
    <w:rsid w:val="00431092"/>
    <w:rsid w:val="004315BE"/>
    <w:rsid w:val="00431BDA"/>
    <w:rsid w:val="00432088"/>
    <w:rsid w:val="0043282F"/>
    <w:rsid w:val="00433387"/>
    <w:rsid w:val="004334A3"/>
    <w:rsid w:val="00433F01"/>
    <w:rsid w:val="00433F02"/>
    <w:rsid w:val="0043438A"/>
    <w:rsid w:val="00435149"/>
    <w:rsid w:val="00435E27"/>
    <w:rsid w:val="00435F60"/>
    <w:rsid w:val="004363D5"/>
    <w:rsid w:val="00436C9D"/>
    <w:rsid w:val="004375EA"/>
    <w:rsid w:val="004376D3"/>
    <w:rsid w:val="00437BAD"/>
    <w:rsid w:val="00440554"/>
    <w:rsid w:val="0044059D"/>
    <w:rsid w:val="00440EF0"/>
    <w:rsid w:val="004412BB"/>
    <w:rsid w:val="00441690"/>
    <w:rsid w:val="00441883"/>
    <w:rsid w:val="00442240"/>
    <w:rsid w:val="004423CE"/>
    <w:rsid w:val="004424CB"/>
    <w:rsid w:val="00442748"/>
    <w:rsid w:val="0044349E"/>
    <w:rsid w:val="00443A5D"/>
    <w:rsid w:val="00443FCC"/>
    <w:rsid w:val="0044560F"/>
    <w:rsid w:val="00445DE6"/>
    <w:rsid w:val="00446035"/>
    <w:rsid w:val="004468BE"/>
    <w:rsid w:val="00446AB4"/>
    <w:rsid w:val="00446D8D"/>
    <w:rsid w:val="00446EFE"/>
    <w:rsid w:val="00447C25"/>
    <w:rsid w:val="00450707"/>
    <w:rsid w:val="0045089F"/>
    <w:rsid w:val="00450BC5"/>
    <w:rsid w:val="00450E26"/>
    <w:rsid w:val="004515CC"/>
    <w:rsid w:val="00451C06"/>
    <w:rsid w:val="00451E47"/>
    <w:rsid w:val="00452293"/>
    <w:rsid w:val="004522B3"/>
    <w:rsid w:val="00452713"/>
    <w:rsid w:val="00452CEA"/>
    <w:rsid w:val="00453BA0"/>
    <w:rsid w:val="00453DA3"/>
    <w:rsid w:val="00454D37"/>
    <w:rsid w:val="00455125"/>
    <w:rsid w:val="00455EA5"/>
    <w:rsid w:val="00456AC9"/>
    <w:rsid w:val="004574F4"/>
    <w:rsid w:val="0045780E"/>
    <w:rsid w:val="0045790F"/>
    <w:rsid w:val="004605A0"/>
    <w:rsid w:val="004606BC"/>
    <w:rsid w:val="00460BC4"/>
    <w:rsid w:val="00460DCF"/>
    <w:rsid w:val="00460F13"/>
    <w:rsid w:val="00460FB1"/>
    <w:rsid w:val="00461152"/>
    <w:rsid w:val="004614D7"/>
    <w:rsid w:val="00461874"/>
    <w:rsid w:val="004619A9"/>
    <w:rsid w:val="00461D8A"/>
    <w:rsid w:val="00462340"/>
    <w:rsid w:val="0046318D"/>
    <w:rsid w:val="004636A4"/>
    <w:rsid w:val="004643AD"/>
    <w:rsid w:val="004643C9"/>
    <w:rsid w:val="0046485C"/>
    <w:rsid w:val="00464953"/>
    <w:rsid w:val="00466012"/>
    <w:rsid w:val="00466EE3"/>
    <w:rsid w:val="004672E1"/>
    <w:rsid w:val="00467947"/>
    <w:rsid w:val="004704D0"/>
    <w:rsid w:val="00470918"/>
    <w:rsid w:val="004709F8"/>
    <w:rsid w:val="004711DC"/>
    <w:rsid w:val="00471629"/>
    <w:rsid w:val="0047198A"/>
    <w:rsid w:val="00471C37"/>
    <w:rsid w:val="00473031"/>
    <w:rsid w:val="00473424"/>
    <w:rsid w:val="00473720"/>
    <w:rsid w:val="004739B8"/>
    <w:rsid w:val="00473F21"/>
    <w:rsid w:val="00474F79"/>
    <w:rsid w:val="004751F3"/>
    <w:rsid w:val="004752A2"/>
    <w:rsid w:val="004756C7"/>
    <w:rsid w:val="004761A5"/>
    <w:rsid w:val="00476419"/>
    <w:rsid w:val="00476F16"/>
    <w:rsid w:val="0047753B"/>
    <w:rsid w:val="004776D8"/>
    <w:rsid w:val="00480164"/>
    <w:rsid w:val="004804B9"/>
    <w:rsid w:val="00481220"/>
    <w:rsid w:val="00481298"/>
    <w:rsid w:val="00481F35"/>
    <w:rsid w:val="004820E0"/>
    <w:rsid w:val="004826AB"/>
    <w:rsid w:val="00482952"/>
    <w:rsid w:val="00482A17"/>
    <w:rsid w:val="00482DBA"/>
    <w:rsid w:val="00484445"/>
    <w:rsid w:val="00484EA7"/>
    <w:rsid w:val="00484F00"/>
    <w:rsid w:val="00484F19"/>
    <w:rsid w:val="004850EF"/>
    <w:rsid w:val="004854C1"/>
    <w:rsid w:val="0048567C"/>
    <w:rsid w:val="004857EA"/>
    <w:rsid w:val="004879B5"/>
    <w:rsid w:val="00487BB1"/>
    <w:rsid w:val="00490381"/>
    <w:rsid w:val="00490448"/>
    <w:rsid w:val="00490853"/>
    <w:rsid w:val="00490B57"/>
    <w:rsid w:val="00490E08"/>
    <w:rsid w:val="0049127F"/>
    <w:rsid w:val="004916C9"/>
    <w:rsid w:val="00491908"/>
    <w:rsid w:val="004919A7"/>
    <w:rsid w:val="00491B0A"/>
    <w:rsid w:val="00492A01"/>
    <w:rsid w:val="004930AA"/>
    <w:rsid w:val="00493F39"/>
    <w:rsid w:val="00494E02"/>
    <w:rsid w:val="00495A71"/>
    <w:rsid w:val="00495B53"/>
    <w:rsid w:val="00495D88"/>
    <w:rsid w:val="00495F7E"/>
    <w:rsid w:val="004967A0"/>
    <w:rsid w:val="00496BA9"/>
    <w:rsid w:val="0049709B"/>
    <w:rsid w:val="0049775F"/>
    <w:rsid w:val="004A080E"/>
    <w:rsid w:val="004A0A48"/>
    <w:rsid w:val="004A0AD0"/>
    <w:rsid w:val="004A1B6A"/>
    <w:rsid w:val="004A2EF5"/>
    <w:rsid w:val="004A3C22"/>
    <w:rsid w:val="004A3DF8"/>
    <w:rsid w:val="004A4F51"/>
    <w:rsid w:val="004A51BC"/>
    <w:rsid w:val="004A54CA"/>
    <w:rsid w:val="004A633A"/>
    <w:rsid w:val="004A6385"/>
    <w:rsid w:val="004A6748"/>
    <w:rsid w:val="004A6B70"/>
    <w:rsid w:val="004A7EA1"/>
    <w:rsid w:val="004A7EF0"/>
    <w:rsid w:val="004B04E3"/>
    <w:rsid w:val="004B07E0"/>
    <w:rsid w:val="004B08CF"/>
    <w:rsid w:val="004B1192"/>
    <w:rsid w:val="004B1A9C"/>
    <w:rsid w:val="004B1BFD"/>
    <w:rsid w:val="004B1ED4"/>
    <w:rsid w:val="004B2340"/>
    <w:rsid w:val="004B2B21"/>
    <w:rsid w:val="004B3B1E"/>
    <w:rsid w:val="004B46EE"/>
    <w:rsid w:val="004B47D0"/>
    <w:rsid w:val="004B5641"/>
    <w:rsid w:val="004B6362"/>
    <w:rsid w:val="004B6ECD"/>
    <w:rsid w:val="004C008D"/>
    <w:rsid w:val="004C0C0B"/>
    <w:rsid w:val="004C0D80"/>
    <w:rsid w:val="004C1A86"/>
    <w:rsid w:val="004C2019"/>
    <w:rsid w:val="004C21FD"/>
    <w:rsid w:val="004C2509"/>
    <w:rsid w:val="004C297E"/>
    <w:rsid w:val="004C29B8"/>
    <w:rsid w:val="004C2AE7"/>
    <w:rsid w:val="004C325A"/>
    <w:rsid w:val="004C3590"/>
    <w:rsid w:val="004C3674"/>
    <w:rsid w:val="004C46A2"/>
    <w:rsid w:val="004C46C5"/>
    <w:rsid w:val="004C4D92"/>
    <w:rsid w:val="004C5163"/>
    <w:rsid w:val="004C5256"/>
    <w:rsid w:val="004C58B3"/>
    <w:rsid w:val="004C61B6"/>
    <w:rsid w:val="004C6281"/>
    <w:rsid w:val="004C6456"/>
    <w:rsid w:val="004C6615"/>
    <w:rsid w:val="004C6C18"/>
    <w:rsid w:val="004C6F66"/>
    <w:rsid w:val="004C715D"/>
    <w:rsid w:val="004C7281"/>
    <w:rsid w:val="004D0042"/>
    <w:rsid w:val="004D01C8"/>
    <w:rsid w:val="004D0325"/>
    <w:rsid w:val="004D0DF9"/>
    <w:rsid w:val="004D0FD0"/>
    <w:rsid w:val="004D1058"/>
    <w:rsid w:val="004D1DB5"/>
    <w:rsid w:val="004D1DDC"/>
    <w:rsid w:val="004D236D"/>
    <w:rsid w:val="004D30E9"/>
    <w:rsid w:val="004D4039"/>
    <w:rsid w:val="004D46AE"/>
    <w:rsid w:val="004D4774"/>
    <w:rsid w:val="004D48F3"/>
    <w:rsid w:val="004D4AEB"/>
    <w:rsid w:val="004D4DB7"/>
    <w:rsid w:val="004D4EBC"/>
    <w:rsid w:val="004D5A02"/>
    <w:rsid w:val="004D695A"/>
    <w:rsid w:val="004D738B"/>
    <w:rsid w:val="004D7D8F"/>
    <w:rsid w:val="004D7DB5"/>
    <w:rsid w:val="004E08D0"/>
    <w:rsid w:val="004E0C0C"/>
    <w:rsid w:val="004E0C7B"/>
    <w:rsid w:val="004E1159"/>
    <w:rsid w:val="004E1D9F"/>
    <w:rsid w:val="004E1EF1"/>
    <w:rsid w:val="004E2194"/>
    <w:rsid w:val="004E2434"/>
    <w:rsid w:val="004E350B"/>
    <w:rsid w:val="004E39C3"/>
    <w:rsid w:val="004E3C14"/>
    <w:rsid w:val="004E3F2E"/>
    <w:rsid w:val="004E43BF"/>
    <w:rsid w:val="004E4467"/>
    <w:rsid w:val="004E4BDD"/>
    <w:rsid w:val="004E4C90"/>
    <w:rsid w:val="004E4DA8"/>
    <w:rsid w:val="004E57B9"/>
    <w:rsid w:val="004E5E50"/>
    <w:rsid w:val="004E7052"/>
    <w:rsid w:val="004E70AE"/>
    <w:rsid w:val="004E7800"/>
    <w:rsid w:val="004E7A26"/>
    <w:rsid w:val="004F09E1"/>
    <w:rsid w:val="004F1A31"/>
    <w:rsid w:val="004F1C07"/>
    <w:rsid w:val="004F21A3"/>
    <w:rsid w:val="004F243F"/>
    <w:rsid w:val="004F2472"/>
    <w:rsid w:val="004F27B9"/>
    <w:rsid w:val="004F28C4"/>
    <w:rsid w:val="004F2925"/>
    <w:rsid w:val="004F2CE2"/>
    <w:rsid w:val="004F301D"/>
    <w:rsid w:val="004F3216"/>
    <w:rsid w:val="004F4E35"/>
    <w:rsid w:val="004F4E46"/>
    <w:rsid w:val="004F4EC5"/>
    <w:rsid w:val="004F52A3"/>
    <w:rsid w:val="004F5372"/>
    <w:rsid w:val="004F59CD"/>
    <w:rsid w:val="004F5C93"/>
    <w:rsid w:val="004F621C"/>
    <w:rsid w:val="004F746D"/>
    <w:rsid w:val="00500579"/>
    <w:rsid w:val="00500FE0"/>
    <w:rsid w:val="0050109C"/>
    <w:rsid w:val="005023E3"/>
    <w:rsid w:val="00502B9E"/>
    <w:rsid w:val="00502E77"/>
    <w:rsid w:val="005032BE"/>
    <w:rsid w:val="00503A92"/>
    <w:rsid w:val="00503EB9"/>
    <w:rsid w:val="00503FF4"/>
    <w:rsid w:val="00504E36"/>
    <w:rsid w:val="00504E7A"/>
    <w:rsid w:val="00504F6C"/>
    <w:rsid w:val="00505139"/>
    <w:rsid w:val="00505642"/>
    <w:rsid w:val="00506195"/>
    <w:rsid w:val="005064F1"/>
    <w:rsid w:val="00506B52"/>
    <w:rsid w:val="0050747F"/>
    <w:rsid w:val="00507C03"/>
    <w:rsid w:val="00507C08"/>
    <w:rsid w:val="00507DE7"/>
    <w:rsid w:val="00510625"/>
    <w:rsid w:val="00510686"/>
    <w:rsid w:val="005107C5"/>
    <w:rsid w:val="00510ABB"/>
    <w:rsid w:val="00510CCA"/>
    <w:rsid w:val="005117E1"/>
    <w:rsid w:val="005118CA"/>
    <w:rsid w:val="00511919"/>
    <w:rsid w:val="00511E7E"/>
    <w:rsid w:val="0051202A"/>
    <w:rsid w:val="00512288"/>
    <w:rsid w:val="00512B15"/>
    <w:rsid w:val="005130B8"/>
    <w:rsid w:val="005139A3"/>
    <w:rsid w:val="00514D25"/>
    <w:rsid w:val="00515054"/>
    <w:rsid w:val="005154C0"/>
    <w:rsid w:val="005165C7"/>
    <w:rsid w:val="00516B24"/>
    <w:rsid w:val="00516BBF"/>
    <w:rsid w:val="00516C85"/>
    <w:rsid w:val="00517B6F"/>
    <w:rsid w:val="00517BFB"/>
    <w:rsid w:val="00517E7D"/>
    <w:rsid w:val="00520898"/>
    <w:rsid w:val="00520C4E"/>
    <w:rsid w:val="00521AFA"/>
    <w:rsid w:val="00521FD0"/>
    <w:rsid w:val="00522A94"/>
    <w:rsid w:val="00522C04"/>
    <w:rsid w:val="00522F00"/>
    <w:rsid w:val="005232DB"/>
    <w:rsid w:val="0052346E"/>
    <w:rsid w:val="00523D04"/>
    <w:rsid w:val="005244FF"/>
    <w:rsid w:val="005245DC"/>
    <w:rsid w:val="0052484D"/>
    <w:rsid w:val="005250DE"/>
    <w:rsid w:val="00525565"/>
    <w:rsid w:val="00525D8F"/>
    <w:rsid w:val="0052763A"/>
    <w:rsid w:val="005312ED"/>
    <w:rsid w:val="005316B8"/>
    <w:rsid w:val="0053182D"/>
    <w:rsid w:val="00532442"/>
    <w:rsid w:val="0053310B"/>
    <w:rsid w:val="005336D6"/>
    <w:rsid w:val="005337C2"/>
    <w:rsid w:val="005338B5"/>
    <w:rsid w:val="00533913"/>
    <w:rsid w:val="00533D2F"/>
    <w:rsid w:val="00534120"/>
    <w:rsid w:val="00536C62"/>
    <w:rsid w:val="0053786A"/>
    <w:rsid w:val="005400E9"/>
    <w:rsid w:val="0054084C"/>
    <w:rsid w:val="00541520"/>
    <w:rsid w:val="005417D9"/>
    <w:rsid w:val="00541F2A"/>
    <w:rsid w:val="00542CFF"/>
    <w:rsid w:val="00543207"/>
    <w:rsid w:val="005440DB"/>
    <w:rsid w:val="0054474F"/>
    <w:rsid w:val="00544D2B"/>
    <w:rsid w:val="005454C2"/>
    <w:rsid w:val="00545D55"/>
    <w:rsid w:val="005461D8"/>
    <w:rsid w:val="00546563"/>
    <w:rsid w:val="005468B6"/>
    <w:rsid w:val="00546A86"/>
    <w:rsid w:val="00546EAF"/>
    <w:rsid w:val="00546FCF"/>
    <w:rsid w:val="005472DF"/>
    <w:rsid w:val="0054766E"/>
    <w:rsid w:val="00547F62"/>
    <w:rsid w:val="00550820"/>
    <w:rsid w:val="00550CBE"/>
    <w:rsid w:val="00551409"/>
    <w:rsid w:val="00552050"/>
    <w:rsid w:val="005525C4"/>
    <w:rsid w:val="00552BE3"/>
    <w:rsid w:val="00552F52"/>
    <w:rsid w:val="00553316"/>
    <w:rsid w:val="0055351C"/>
    <w:rsid w:val="00554516"/>
    <w:rsid w:val="00555075"/>
    <w:rsid w:val="005563AA"/>
    <w:rsid w:val="00560063"/>
    <w:rsid w:val="00560399"/>
    <w:rsid w:val="005611AB"/>
    <w:rsid w:val="005617E0"/>
    <w:rsid w:val="005622A7"/>
    <w:rsid w:val="00562981"/>
    <w:rsid w:val="00562998"/>
    <w:rsid w:val="00563121"/>
    <w:rsid w:val="0056371E"/>
    <w:rsid w:val="00563B35"/>
    <w:rsid w:val="00564480"/>
    <w:rsid w:val="00564999"/>
    <w:rsid w:val="00564C51"/>
    <w:rsid w:val="00564D24"/>
    <w:rsid w:val="00565258"/>
    <w:rsid w:val="005653BD"/>
    <w:rsid w:val="00565E66"/>
    <w:rsid w:val="00566EC4"/>
    <w:rsid w:val="0056770D"/>
    <w:rsid w:val="0056778A"/>
    <w:rsid w:val="005677A5"/>
    <w:rsid w:val="005700CB"/>
    <w:rsid w:val="005700F0"/>
    <w:rsid w:val="00570195"/>
    <w:rsid w:val="00570424"/>
    <w:rsid w:val="005712D2"/>
    <w:rsid w:val="005713B3"/>
    <w:rsid w:val="00571470"/>
    <w:rsid w:val="00571542"/>
    <w:rsid w:val="005716C4"/>
    <w:rsid w:val="00571DC1"/>
    <w:rsid w:val="00571DF5"/>
    <w:rsid w:val="005722AD"/>
    <w:rsid w:val="005729BC"/>
    <w:rsid w:val="00572CF5"/>
    <w:rsid w:val="00572D1F"/>
    <w:rsid w:val="005731D0"/>
    <w:rsid w:val="0057335D"/>
    <w:rsid w:val="005735E7"/>
    <w:rsid w:val="00573BF6"/>
    <w:rsid w:val="005748ED"/>
    <w:rsid w:val="00575463"/>
    <w:rsid w:val="0057568F"/>
    <w:rsid w:val="00575CDE"/>
    <w:rsid w:val="00575CF5"/>
    <w:rsid w:val="00575EF7"/>
    <w:rsid w:val="005777CF"/>
    <w:rsid w:val="00580E90"/>
    <w:rsid w:val="005826CC"/>
    <w:rsid w:val="00582984"/>
    <w:rsid w:val="00582BA9"/>
    <w:rsid w:val="00583094"/>
    <w:rsid w:val="00583362"/>
    <w:rsid w:val="0058356B"/>
    <w:rsid w:val="00583685"/>
    <w:rsid w:val="00583A14"/>
    <w:rsid w:val="00583C8B"/>
    <w:rsid w:val="005844D6"/>
    <w:rsid w:val="00584533"/>
    <w:rsid w:val="00584D5F"/>
    <w:rsid w:val="00585D1C"/>
    <w:rsid w:val="0058640E"/>
    <w:rsid w:val="005874D0"/>
    <w:rsid w:val="00587FE9"/>
    <w:rsid w:val="005909B6"/>
    <w:rsid w:val="005917D3"/>
    <w:rsid w:val="005917F0"/>
    <w:rsid w:val="00591AA1"/>
    <w:rsid w:val="00591BDA"/>
    <w:rsid w:val="00591C03"/>
    <w:rsid w:val="00591F33"/>
    <w:rsid w:val="005923A5"/>
    <w:rsid w:val="0059253E"/>
    <w:rsid w:val="00592AF3"/>
    <w:rsid w:val="00593490"/>
    <w:rsid w:val="00593CA7"/>
    <w:rsid w:val="005944AC"/>
    <w:rsid w:val="005949BA"/>
    <w:rsid w:val="00594B05"/>
    <w:rsid w:val="005957AB"/>
    <w:rsid w:val="00596720"/>
    <w:rsid w:val="0059673A"/>
    <w:rsid w:val="00596CBD"/>
    <w:rsid w:val="00596E3E"/>
    <w:rsid w:val="0059762B"/>
    <w:rsid w:val="00597C08"/>
    <w:rsid w:val="00597D3F"/>
    <w:rsid w:val="005A00F7"/>
    <w:rsid w:val="005A02EC"/>
    <w:rsid w:val="005A033E"/>
    <w:rsid w:val="005A0392"/>
    <w:rsid w:val="005A172E"/>
    <w:rsid w:val="005A213C"/>
    <w:rsid w:val="005A25B1"/>
    <w:rsid w:val="005A27E4"/>
    <w:rsid w:val="005A39F8"/>
    <w:rsid w:val="005A3A51"/>
    <w:rsid w:val="005A3D8E"/>
    <w:rsid w:val="005A3EF3"/>
    <w:rsid w:val="005A412C"/>
    <w:rsid w:val="005A5ACE"/>
    <w:rsid w:val="005A5BAE"/>
    <w:rsid w:val="005A5C70"/>
    <w:rsid w:val="005A5CAD"/>
    <w:rsid w:val="005A62D4"/>
    <w:rsid w:val="005A64E9"/>
    <w:rsid w:val="005A6706"/>
    <w:rsid w:val="005B057B"/>
    <w:rsid w:val="005B109A"/>
    <w:rsid w:val="005B1E23"/>
    <w:rsid w:val="005B2A2E"/>
    <w:rsid w:val="005B2E55"/>
    <w:rsid w:val="005B35AE"/>
    <w:rsid w:val="005B3E71"/>
    <w:rsid w:val="005B50D6"/>
    <w:rsid w:val="005B5565"/>
    <w:rsid w:val="005B5922"/>
    <w:rsid w:val="005B5B7F"/>
    <w:rsid w:val="005B645C"/>
    <w:rsid w:val="005B6B6B"/>
    <w:rsid w:val="005B7112"/>
    <w:rsid w:val="005B742F"/>
    <w:rsid w:val="005B7726"/>
    <w:rsid w:val="005B78D5"/>
    <w:rsid w:val="005B7CBE"/>
    <w:rsid w:val="005C0358"/>
    <w:rsid w:val="005C1585"/>
    <w:rsid w:val="005C1A16"/>
    <w:rsid w:val="005C20FB"/>
    <w:rsid w:val="005C2A63"/>
    <w:rsid w:val="005C2DC5"/>
    <w:rsid w:val="005C3284"/>
    <w:rsid w:val="005C36D3"/>
    <w:rsid w:val="005C3FA7"/>
    <w:rsid w:val="005C4120"/>
    <w:rsid w:val="005C49B4"/>
    <w:rsid w:val="005C4B55"/>
    <w:rsid w:val="005C572D"/>
    <w:rsid w:val="005C672D"/>
    <w:rsid w:val="005C6CD4"/>
    <w:rsid w:val="005C6CF4"/>
    <w:rsid w:val="005C6E64"/>
    <w:rsid w:val="005C78A5"/>
    <w:rsid w:val="005C7D15"/>
    <w:rsid w:val="005C7D43"/>
    <w:rsid w:val="005C7F77"/>
    <w:rsid w:val="005D0EB9"/>
    <w:rsid w:val="005D248D"/>
    <w:rsid w:val="005D2EE5"/>
    <w:rsid w:val="005D3218"/>
    <w:rsid w:val="005D3532"/>
    <w:rsid w:val="005D3C61"/>
    <w:rsid w:val="005D4E9B"/>
    <w:rsid w:val="005D51ED"/>
    <w:rsid w:val="005D5ADB"/>
    <w:rsid w:val="005D62EE"/>
    <w:rsid w:val="005D69C2"/>
    <w:rsid w:val="005D6A03"/>
    <w:rsid w:val="005D6A12"/>
    <w:rsid w:val="005D6A9A"/>
    <w:rsid w:val="005D6CB5"/>
    <w:rsid w:val="005D762B"/>
    <w:rsid w:val="005D76C2"/>
    <w:rsid w:val="005E015A"/>
    <w:rsid w:val="005E1115"/>
    <w:rsid w:val="005E143C"/>
    <w:rsid w:val="005E1B50"/>
    <w:rsid w:val="005E1D6D"/>
    <w:rsid w:val="005E1FFA"/>
    <w:rsid w:val="005E2800"/>
    <w:rsid w:val="005E2865"/>
    <w:rsid w:val="005E2E2D"/>
    <w:rsid w:val="005E32D3"/>
    <w:rsid w:val="005E3396"/>
    <w:rsid w:val="005E3A1F"/>
    <w:rsid w:val="005E3D33"/>
    <w:rsid w:val="005E3F38"/>
    <w:rsid w:val="005E48E0"/>
    <w:rsid w:val="005E50D8"/>
    <w:rsid w:val="005E5E7D"/>
    <w:rsid w:val="005E7150"/>
    <w:rsid w:val="005E75DE"/>
    <w:rsid w:val="005E76FF"/>
    <w:rsid w:val="005E78CD"/>
    <w:rsid w:val="005E7BF6"/>
    <w:rsid w:val="005F0611"/>
    <w:rsid w:val="005F0BF0"/>
    <w:rsid w:val="005F0EDC"/>
    <w:rsid w:val="005F0FEA"/>
    <w:rsid w:val="005F153E"/>
    <w:rsid w:val="005F163C"/>
    <w:rsid w:val="005F176E"/>
    <w:rsid w:val="005F1D51"/>
    <w:rsid w:val="005F1E8E"/>
    <w:rsid w:val="005F1F2E"/>
    <w:rsid w:val="005F25E0"/>
    <w:rsid w:val="005F30B6"/>
    <w:rsid w:val="005F3587"/>
    <w:rsid w:val="005F40A0"/>
    <w:rsid w:val="005F42E5"/>
    <w:rsid w:val="005F49DC"/>
    <w:rsid w:val="005F4D0A"/>
    <w:rsid w:val="005F579F"/>
    <w:rsid w:val="005F7178"/>
    <w:rsid w:val="005F77B5"/>
    <w:rsid w:val="005F7935"/>
    <w:rsid w:val="006002EC"/>
    <w:rsid w:val="006009CE"/>
    <w:rsid w:val="00600CC9"/>
    <w:rsid w:val="00600D03"/>
    <w:rsid w:val="00601431"/>
    <w:rsid w:val="00601589"/>
    <w:rsid w:val="006017BE"/>
    <w:rsid w:val="006019FD"/>
    <w:rsid w:val="00601A0E"/>
    <w:rsid w:val="0060261E"/>
    <w:rsid w:val="00603251"/>
    <w:rsid w:val="0060365F"/>
    <w:rsid w:val="00603A73"/>
    <w:rsid w:val="00604804"/>
    <w:rsid w:val="00605332"/>
    <w:rsid w:val="00605DC6"/>
    <w:rsid w:val="0060607C"/>
    <w:rsid w:val="0060607F"/>
    <w:rsid w:val="00606385"/>
    <w:rsid w:val="00606461"/>
    <w:rsid w:val="006066DF"/>
    <w:rsid w:val="00606AD0"/>
    <w:rsid w:val="00606B14"/>
    <w:rsid w:val="00607FF8"/>
    <w:rsid w:val="00611B34"/>
    <w:rsid w:val="00612732"/>
    <w:rsid w:val="0061313C"/>
    <w:rsid w:val="00613F4F"/>
    <w:rsid w:val="006140AD"/>
    <w:rsid w:val="0061445E"/>
    <w:rsid w:val="00614A2F"/>
    <w:rsid w:val="00614AEC"/>
    <w:rsid w:val="00614C80"/>
    <w:rsid w:val="00615CDE"/>
    <w:rsid w:val="006163C6"/>
    <w:rsid w:val="00616861"/>
    <w:rsid w:val="00617421"/>
    <w:rsid w:val="0061768F"/>
    <w:rsid w:val="006178D2"/>
    <w:rsid w:val="00617AD6"/>
    <w:rsid w:val="00620173"/>
    <w:rsid w:val="00620E3D"/>
    <w:rsid w:val="00621338"/>
    <w:rsid w:val="006226F6"/>
    <w:rsid w:val="00622702"/>
    <w:rsid w:val="00623C92"/>
    <w:rsid w:val="00624348"/>
    <w:rsid w:val="00624460"/>
    <w:rsid w:val="00624A27"/>
    <w:rsid w:val="006252DB"/>
    <w:rsid w:val="00625BF4"/>
    <w:rsid w:val="00625F7A"/>
    <w:rsid w:val="0062626E"/>
    <w:rsid w:val="0062659F"/>
    <w:rsid w:val="006266C1"/>
    <w:rsid w:val="006267E2"/>
    <w:rsid w:val="00627102"/>
    <w:rsid w:val="00627780"/>
    <w:rsid w:val="006279B1"/>
    <w:rsid w:val="00627D19"/>
    <w:rsid w:val="00630686"/>
    <w:rsid w:val="006306AF"/>
    <w:rsid w:val="006306ED"/>
    <w:rsid w:val="00631624"/>
    <w:rsid w:val="006316B8"/>
    <w:rsid w:val="0063224F"/>
    <w:rsid w:val="00632A47"/>
    <w:rsid w:val="00632DD5"/>
    <w:rsid w:val="00633C08"/>
    <w:rsid w:val="006346DC"/>
    <w:rsid w:val="006350CC"/>
    <w:rsid w:val="00635517"/>
    <w:rsid w:val="0063580A"/>
    <w:rsid w:val="00635B5D"/>
    <w:rsid w:val="00635B77"/>
    <w:rsid w:val="00636071"/>
    <w:rsid w:val="006360BD"/>
    <w:rsid w:val="0063613C"/>
    <w:rsid w:val="00636BB7"/>
    <w:rsid w:val="00636F95"/>
    <w:rsid w:val="006377CC"/>
    <w:rsid w:val="0063787C"/>
    <w:rsid w:val="00637C74"/>
    <w:rsid w:val="00640112"/>
    <w:rsid w:val="006417CD"/>
    <w:rsid w:val="00642588"/>
    <w:rsid w:val="00642B90"/>
    <w:rsid w:val="00642DA1"/>
    <w:rsid w:val="00643131"/>
    <w:rsid w:val="00643DED"/>
    <w:rsid w:val="006446B0"/>
    <w:rsid w:val="006447BE"/>
    <w:rsid w:val="00645902"/>
    <w:rsid w:val="00645D75"/>
    <w:rsid w:val="00645DF4"/>
    <w:rsid w:val="00645E32"/>
    <w:rsid w:val="006461DC"/>
    <w:rsid w:val="006461FA"/>
    <w:rsid w:val="00647FED"/>
    <w:rsid w:val="00650073"/>
    <w:rsid w:val="006501FE"/>
    <w:rsid w:val="00651048"/>
    <w:rsid w:val="00651051"/>
    <w:rsid w:val="00651493"/>
    <w:rsid w:val="0065245D"/>
    <w:rsid w:val="006525AE"/>
    <w:rsid w:val="00652D1D"/>
    <w:rsid w:val="00653116"/>
    <w:rsid w:val="00653603"/>
    <w:rsid w:val="00653924"/>
    <w:rsid w:val="00653975"/>
    <w:rsid w:val="00653DAD"/>
    <w:rsid w:val="0065491B"/>
    <w:rsid w:val="006561AA"/>
    <w:rsid w:val="0065681A"/>
    <w:rsid w:val="0065707F"/>
    <w:rsid w:val="00657B0E"/>
    <w:rsid w:val="0066007B"/>
    <w:rsid w:val="00660380"/>
    <w:rsid w:val="00660381"/>
    <w:rsid w:val="00660466"/>
    <w:rsid w:val="006605A0"/>
    <w:rsid w:val="00660741"/>
    <w:rsid w:val="00660977"/>
    <w:rsid w:val="00660B6D"/>
    <w:rsid w:val="006614B9"/>
    <w:rsid w:val="00661FF2"/>
    <w:rsid w:val="006627C8"/>
    <w:rsid w:val="00662CE2"/>
    <w:rsid w:val="006632CE"/>
    <w:rsid w:val="006634E0"/>
    <w:rsid w:val="006637F9"/>
    <w:rsid w:val="00663906"/>
    <w:rsid w:val="0066399A"/>
    <w:rsid w:val="00663CBF"/>
    <w:rsid w:val="00663CC5"/>
    <w:rsid w:val="0066465E"/>
    <w:rsid w:val="00664EBB"/>
    <w:rsid w:val="006650F1"/>
    <w:rsid w:val="00665AC9"/>
    <w:rsid w:val="00666D2C"/>
    <w:rsid w:val="0066795B"/>
    <w:rsid w:val="006679DF"/>
    <w:rsid w:val="00667A81"/>
    <w:rsid w:val="00667AA1"/>
    <w:rsid w:val="00667ACA"/>
    <w:rsid w:val="00670024"/>
    <w:rsid w:val="00670B0A"/>
    <w:rsid w:val="00670B3E"/>
    <w:rsid w:val="006719CB"/>
    <w:rsid w:val="00672172"/>
    <w:rsid w:val="00672E7A"/>
    <w:rsid w:val="0067326C"/>
    <w:rsid w:val="0067333F"/>
    <w:rsid w:val="00673411"/>
    <w:rsid w:val="00673ACC"/>
    <w:rsid w:val="00674CD3"/>
    <w:rsid w:val="0067512F"/>
    <w:rsid w:val="00675A20"/>
    <w:rsid w:val="00675BBC"/>
    <w:rsid w:val="00676179"/>
    <w:rsid w:val="00676446"/>
    <w:rsid w:val="006764EF"/>
    <w:rsid w:val="00676C52"/>
    <w:rsid w:val="00676E6B"/>
    <w:rsid w:val="00677B72"/>
    <w:rsid w:val="00677CBA"/>
    <w:rsid w:val="00677D57"/>
    <w:rsid w:val="0068065A"/>
    <w:rsid w:val="00680E1C"/>
    <w:rsid w:val="00681494"/>
    <w:rsid w:val="00682C43"/>
    <w:rsid w:val="00683DA4"/>
    <w:rsid w:val="00683F0B"/>
    <w:rsid w:val="00684298"/>
    <w:rsid w:val="00684F23"/>
    <w:rsid w:val="00685218"/>
    <w:rsid w:val="006852E4"/>
    <w:rsid w:val="0068530D"/>
    <w:rsid w:val="00685D85"/>
    <w:rsid w:val="0068660C"/>
    <w:rsid w:val="0068710E"/>
    <w:rsid w:val="0068754E"/>
    <w:rsid w:val="00687733"/>
    <w:rsid w:val="00690B4C"/>
    <w:rsid w:val="006910CF"/>
    <w:rsid w:val="006911F9"/>
    <w:rsid w:val="00691776"/>
    <w:rsid w:val="00692560"/>
    <w:rsid w:val="00692623"/>
    <w:rsid w:val="00692827"/>
    <w:rsid w:val="00692CF0"/>
    <w:rsid w:val="00692D02"/>
    <w:rsid w:val="00693177"/>
    <w:rsid w:val="006936F5"/>
    <w:rsid w:val="00693842"/>
    <w:rsid w:val="0069384D"/>
    <w:rsid w:val="00694040"/>
    <w:rsid w:val="0069431A"/>
    <w:rsid w:val="00694375"/>
    <w:rsid w:val="00694477"/>
    <w:rsid w:val="006947FE"/>
    <w:rsid w:val="00694863"/>
    <w:rsid w:val="00694936"/>
    <w:rsid w:val="00695234"/>
    <w:rsid w:val="00695239"/>
    <w:rsid w:val="00695CBA"/>
    <w:rsid w:val="00695D37"/>
    <w:rsid w:val="00696101"/>
    <w:rsid w:val="00696D63"/>
    <w:rsid w:val="00696E72"/>
    <w:rsid w:val="00697120"/>
    <w:rsid w:val="0069738E"/>
    <w:rsid w:val="00697574"/>
    <w:rsid w:val="006976D3"/>
    <w:rsid w:val="0069778D"/>
    <w:rsid w:val="00697AA3"/>
    <w:rsid w:val="00697DA8"/>
    <w:rsid w:val="006A025D"/>
    <w:rsid w:val="006A06C5"/>
    <w:rsid w:val="006A1A9D"/>
    <w:rsid w:val="006A1FE5"/>
    <w:rsid w:val="006A2369"/>
    <w:rsid w:val="006A2FFB"/>
    <w:rsid w:val="006A3DFA"/>
    <w:rsid w:val="006A49E3"/>
    <w:rsid w:val="006A5263"/>
    <w:rsid w:val="006A565E"/>
    <w:rsid w:val="006A61CF"/>
    <w:rsid w:val="006A6679"/>
    <w:rsid w:val="006A69B9"/>
    <w:rsid w:val="006A6CB2"/>
    <w:rsid w:val="006A6CBD"/>
    <w:rsid w:val="006A7B20"/>
    <w:rsid w:val="006A7FA7"/>
    <w:rsid w:val="006B0F01"/>
    <w:rsid w:val="006B0F02"/>
    <w:rsid w:val="006B0FC4"/>
    <w:rsid w:val="006B12F4"/>
    <w:rsid w:val="006B1466"/>
    <w:rsid w:val="006B15EE"/>
    <w:rsid w:val="006B1A0B"/>
    <w:rsid w:val="006B21AE"/>
    <w:rsid w:val="006B2318"/>
    <w:rsid w:val="006B31E2"/>
    <w:rsid w:val="006B429F"/>
    <w:rsid w:val="006B4674"/>
    <w:rsid w:val="006B48BD"/>
    <w:rsid w:val="006B4C52"/>
    <w:rsid w:val="006B5305"/>
    <w:rsid w:val="006B5310"/>
    <w:rsid w:val="006B5401"/>
    <w:rsid w:val="006B6B93"/>
    <w:rsid w:val="006B6D2D"/>
    <w:rsid w:val="006B6F28"/>
    <w:rsid w:val="006B7689"/>
    <w:rsid w:val="006B7E71"/>
    <w:rsid w:val="006C03B7"/>
    <w:rsid w:val="006C0763"/>
    <w:rsid w:val="006C0B7B"/>
    <w:rsid w:val="006C0C8C"/>
    <w:rsid w:val="006C0F74"/>
    <w:rsid w:val="006C2E7E"/>
    <w:rsid w:val="006C3281"/>
    <w:rsid w:val="006C3458"/>
    <w:rsid w:val="006C3D57"/>
    <w:rsid w:val="006C403B"/>
    <w:rsid w:val="006C40A7"/>
    <w:rsid w:val="006C4329"/>
    <w:rsid w:val="006C46DE"/>
    <w:rsid w:val="006C4C5B"/>
    <w:rsid w:val="006C4D39"/>
    <w:rsid w:val="006C5B2C"/>
    <w:rsid w:val="006C5C78"/>
    <w:rsid w:val="006C6705"/>
    <w:rsid w:val="006C6856"/>
    <w:rsid w:val="006C7C82"/>
    <w:rsid w:val="006D07F1"/>
    <w:rsid w:val="006D0EAD"/>
    <w:rsid w:val="006D1E3B"/>
    <w:rsid w:val="006D22AA"/>
    <w:rsid w:val="006D2322"/>
    <w:rsid w:val="006D276E"/>
    <w:rsid w:val="006D2954"/>
    <w:rsid w:val="006D2AF4"/>
    <w:rsid w:val="006D3040"/>
    <w:rsid w:val="006D3D15"/>
    <w:rsid w:val="006D4AA2"/>
    <w:rsid w:val="006D4CA2"/>
    <w:rsid w:val="006D66A0"/>
    <w:rsid w:val="006D76EE"/>
    <w:rsid w:val="006D7847"/>
    <w:rsid w:val="006D7B02"/>
    <w:rsid w:val="006D7D7D"/>
    <w:rsid w:val="006E066E"/>
    <w:rsid w:val="006E082F"/>
    <w:rsid w:val="006E0D88"/>
    <w:rsid w:val="006E0DF2"/>
    <w:rsid w:val="006E1034"/>
    <w:rsid w:val="006E1453"/>
    <w:rsid w:val="006E230F"/>
    <w:rsid w:val="006E2556"/>
    <w:rsid w:val="006E2587"/>
    <w:rsid w:val="006E42F2"/>
    <w:rsid w:val="006E558B"/>
    <w:rsid w:val="006E5896"/>
    <w:rsid w:val="006E58FE"/>
    <w:rsid w:val="006E6155"/>
    <w:rsid w:val="006E6190"/>
    <w:rsid w:val="006E625F"/>
    <w:rsid w:val="006E6A7F"/>
    <w:rsid w:val="006E77B3"/>
    <w:rsid w:val="006E7994"/>
    <w:rsid w:val="006F0373"/>
    <w:rsid w:val="006F0695"/>
    <w:rsid w:val="006F0F55"/>
    <w:rsid w:val="006F13F4"/>
    <w:rsid w:val="006F161E"/>
    <w:rsid w:val="006F1800"/>
    <w:rsid w:val="006F2387"/>
    <w:rsid w:val="006F2452"/>
    <w:rsid w:val="006F34D8"/>
    <w:rsid w:val="006F38AA"/>
    <w:rsid w:val="006F394E"/>
    <w:rsid w:val="006F3CDC"/>
    <w:rsid w:val="006F3DBD"/>
    <w:rsid w:val="006F4284"/>
    <w:rsid w:val="006F529C"/>
    <w:rsid w:val="006F5D85"/>
    <w:rsid w:val="006F6AEC"/>
    <w:rsid w:val="006F71FD"/>
    <w:rsid w:val="006F74DE"/>
    <w:rsid w:val="006F774D"/>
    <w:rsid w:val="006F77B4"/>
    <w:rsid w:val="007004F8"/>
    <w:rsid w:val="007007B9"/>
    <w:rsid w:val="007009EF"/>
    <w:rsid w:val="00700D21"/>
    <w:rsid w:val="00701AF2"/>
    <w:rsid w:val="00701C4B"/>
    <w:rsid w:val="00701DC9"/>
    <w:rsid w:val="007020A5"/>
    <w:rsid w:val="00702CBF"/>
    <w:rsid w:val="00703CCA"/>
    <w:rsid w:val="00704336"/>
    <w:rsid w:val="00704509"/>
    <w:rsid w:val="0070490E"/>
    <w:rsid w:val="00704B7B"/>
    <w:rsid w:val="00704D47"/>
    <w:rsid w:val="0070540D"/>
    <w:rsid w:val="00705431"/>
    <w:rsid w:val="007057EB"/>
    <w:rsid w:val="00705DA6"/>
    <w:rsid w:val="00705E8A"/>
    <w:rsid w:val="007060FC"/>
    <w:rsid w:val="00706823"/>
    <w:rsid w:val="00706FA1"/>
    <w:rsid w:val="007070AD"/>
    <w:rsid w:val="00707347"/>
    <w:rsid w:val="007078B3"/>
    <w:rsid w:val="007101C0"/>
    <w:rsid w:val="007109D7"/>
    <w:rsid w:val="00710CD8"/>
    <w:rsid w:val="00711099"/>
    <w:rsid w:val="007113B3"/>
    <w:rsid w:val="00711404"/>
    <w:rsid w:val="007123D9"/>
    <w:rsid w:val="007124E5"/>
    <w:rsid w:val="00712EB8"/>
    <w:rsid w:val="00712F61"/>
    <w:rsid w:val="00713446"/>
    <w:rsid w:val="0071366A"/>
    <w:rsid w:val="007139E3"/>
    <w:rsid w:val="00713A7D"/>
    <w:rsid w:val="00713E15"/>
    <w:rsid w:val="0071412C"/>
    <w:rsid w:val="00714339"/>
    <w:rsid w:val="00714448"/>
    <w:rsid w:val="007145D2"/>
    <w:rsid w:val="00714663"/>
    <w:rsid w:val="00714F87"/>
    <w:rsid w:val="0071596F"/>
    <w:rsid w:val="00715DEB"/>
    <w:rsid w:val="00715F55"/>
    <w:rsid w:val="00716272"/>
    <w:rsid w:val="00716CCD"/>
    <w:rsid w:val="00716D67"/>
    <w:rsid w:val="007172BB"/>
    <w:rsid w:val="0071790F"/>
    <w:rsid w:val="00720B75"/>
    <w:rsid w:val="007218AD"/>
    <w:rsid w:val="00722A72"/>
    <w:rsid w:val="00723C19"/>
    <w:rsid w:val="00723F45"/>
    <w:rsid w:val="00723F88"/>
    <w:rsid w:val="0072497D"/>
    <w:rsid w:val="00724D5B"/>
    <w:rsid w:val="00725236"/>
    <w:rsid w:val="00725326"/>
    <w:rsid w:val="00725CE0"/>
    <w:rsid w:val="00726008"/>
    <w:rsid w:val="00726ED3"/>
    <w:rsid w:val="0072704A"/>
    <w:rsid w:val="007307BB"/>
    <w:rsid w:val="007308BB"/>
    <w:rsid w:val="00730E6E"/>
    <w:rsid w:val="00731726"/>
    <w:rsid w:val="00731B8A"/>
    <w:rsid w:val="007325A3"/>
    <w:rsid w:val="00732A1D"/>
    <w:rsid w:val="00732B86"/>
    <w:rsid w:val="007332F1"/>
    <w:rsid w:val="0073394D"/>
    <w:rsid w:val="007340AA"/>
    <w:rsid w:val="00734144"/>
    <w:rsid w:val="007344F9"/>
    <w:rsid w:val="0073544A"/>
    <w:rsid w:val="0073597F"/>
    <w:rsid w:val="00735CEB"/>
    <w:rsid w:val="0073686A"/>
    <w:rsid w:val="0073722D"/>
    <w:rsid w:val="00737A12"/>
    <w:rsid w:val="00737C21"/>
    <w:rsid w:val="00737C9F"/>
    <w:rsid w:val="00737F09"/>
    <w:rsid w:val="00740C1F"/>
    <w:rsid w:val="0074156F"/>
    <w:rsid w:val="00741601"/>
    <w:rsid w:val="00741C25"/>
    <w:rsid w:val="00742764"/>
    <w:rsid w:val="0074281C"/>
    <w:rsid w:val="0074394C"/>
    <w:rsid w:val="00744636"/>
    <w:rsid w:val="007453E2"/>
    <w:rsid w:val="007453EF"/>
    <w:rsid w:val="00745E5C"/>
    <w:rsid w:val="007465EE"/>
    <w:rsid w:val="0074693D"/>
    <w:rsid w:val="007473E6"/>
    <w:rsid w:val="0075061D"/>
    <w:rsid w:val="00750FA9"/>
    <w:rsid w:val="00751CA5"/>
    <w:rsid w:val="0075224B"/>
    <w:rsid w:val="00752487"/>
    <w:rsid w:val="0075279A"/>
    <w:rsid w:val="00752F68"/>
    <w:rsid w:val="00752FEB"/>
    <w:rsid w:val="00753747"/>
    <w:rsid w:val="0075394D"/>
    <w:rsid w:val="00753D4C"/>
    <w:rsid w:val="00753DB7"/>
    <w:rsid w:val="007540A4"/>
    <w:rsid w:val="007541A8"/>
    <w:rsid w:val="0075427E"/>
    <w:rsid w:val="007542B3"/>
    <w:rsid w:val="007550EA"/>
    <w:rsid w:val="00755356"/>
    <w:rsid w:val="007560CA"/>
    <w:rsid w:val="00756138"/>
    <w:rsid w:val="0075615E"/>
    <w:rsid w:val="007567BF"/>
    <w:rsid w:val="007570EF"/>
    <w:rsid w:val="00757AD0"/>
    <w:rsid w:val="00757DCF"/>
    <w:rsid w:val="00760A6C"/>
    <w:rsid w:val="00760F37"/>
    <w:rsid w:val="007610E3"/>
    <w:rsid w:val="00761596"/>
    <w:rsid w:val="00761D0E"/>
    <w:rsid w:val="00761DFA"/>
    <w:rsid w:val="0076252B"/>
    <w:rsid w:val="007625E0"/>
    <w:rsid w:val="00762742"/>
    <w:rsid w:val="00762AEC"/>
    <w:rsid w:val="00762FDA"/>
    <w:rsid w:val="007633A3"/>
    <w:rsid w:val="00763FB8"/>
    <w:rsid w:val="007640A1"/>
    <w:rsid w:val="00764367"/>
    <w:rsid w:val="0076463E"/>
    <w:rsid w:val="00764654"/>
    <w:rsid w:val="007650C8"/>
    <w:rsid w:val="00765F4A"/>
    <w:rsid w:val="00766456"/>
    <w:rsid w:val="007670C0"/>
    <w:rsid w:val="00767E31"/>
    <w:rsid w:val="00767F4D"/>
    <w:rsid w:val="0077013C"/>
    <w:rsid w:val="00771993"/>
    <w:rsid w:val="0077245A"/>
    <w:rsid w:val="0077281B"/>
    <w:rsid w:val="007735F6"/>
    <w:rsid w:val="0077382B"/>
    <w:rsid w:val="00774476"/>
    <w:rsid w:val="0077453A"/>
    <w:rsid w:val="00774DFE"/>
    <w:rsid w:val="00774F47"/>
    <w:rsid w:val="0077607F"/>
    <w:rsid w:val="00776F58"/>
    <w:rsid w:val="00777399"/>
    <w:rsid w:val="00777452"/>
    <w:rsid w:val="00777638"/>
    <w:rsid w:val="0077781E"/>
    <w:rsid w:val="00777A11"/>
    <w:rsid w:val="00777A40"/>
    <w:rsid w:val="007801E9"/>
    <w:rsid w:val="0078057C"/>
    <w:rsid w:val="007814F4"/>
    <w:rsid w:val="00782587"/>
    <w:rsid w:val="0078390B"/>
    <w:rsid w:val="00783A58"/>
    <w:rsid w:val="007845F0"/>
    <w:rsid w:val="007846EA"/>
    <w:rsid w:val="00784B01"/>
    <w:rsid w:val="00785249"/>
    <w:rsid w:val="007856D0"/>
    <w:rsid w:val="00785D37"/>
    <w:rsid w:val="00786C54"/>
    <w:rsid w:val="00786FFD"/>
    <w:rsid w:val="007878CF"/>
    <w:rsid w:val="00787A64"/>
    <w:rsid w:val="00787DA7"/>
    <w:rsid w:val="00787EEB"/>
    <w:rsid w:val="00787FD8"/>
    <w:rsid w:val="00790244"/>
    <w:rsid w:val="00790DD5"/>
    <w:rsid w:val="00791ADF"/>
    <w:rsid w:val="00791B87"/>
    <w:rsid w:val="007927D1"/>
    <w:rsid w:val="00793207"/>
    <w:rsid w:val="00793A51"/>
    <w:rsid w:val="00794157"/>
    <w:rsid w:val="00794B59"/>
    <w:rsid w:val="00795136"/>
    <w:rsid w:val="007955AE"/>
    <w:rsid w:val="00795A3A"/>
    <w:rsid w:val="007969A9"/>
    <w:rsid w:val="00796DF1"/>
    <w:rsid w:val="007973A1"/>
    <w:rsid w:val="0079776A"/>
    <w:rsid w:val="007A067F"/>
    <w:rsid w:val="007A0772"/>
    <w:rsid w:val="007A11DA"/>
    <w:rsid w:val="007A199C"/>
    <w:rsid w:val="007A1B36"/>
    <w:rsid w:val="007A1D7D"/>
    <w:rsid w:val="007A1E1B"/>
    <w:rsid w:val="007A201B"/>
    <w:rsid w:val="007A2FAC"/>
    <w:rsid w:val="007A301D"/>
    <w:rsid w:val="007A3948"/>
    <w:rsid w:val="007A4B8D"/>
    <w:rsid w:val="007A51B4"/>
    <w:rsid w:val="007A5DC6"/>
    <w:rsid w:val="007A5EE1"/>
    <w:rsid w:val="007A611B"/>
    <w:rsid w:val="007A692B"/>
    <w:rsid w:val="007A6C42"/>
    <w:rsid w:val="007A6D5A"/>
    <w:rsid w:val="007A739D"/>
    <w:rsid w:val="007A746D"/>
    <w:rsid w:val="007A7552"/>
    <w:rsid w:val="007A7609"/>
    <w:rsid w:val="007A7827"/>
    <w:rsid w:val="007A7A87"/>
    <w:rsid w:val="007B07AB"/>
    <w:rsid w:val="007B0A75"/>
    <w:rsid w:val="007B0B69"/>
    <w:rsid w:val="007B1987"/>
    <w:rsid w:val="007B19CC"/>
    <w:rsid w:val="007B1B50"/>
    <w:rsid w:val="007B27BA"/>
    <w:rsid w:val="007B2894"/>
    <w:rsid w:val="007B2ABB"/>
    <w:rsid w:val="007B382E"/>
    <w:rsid w:val="007B38B6"/>
    <w:rsid w:val="007B3DE8"/>
    <w:rsid w:val="007B3FF2"/>
    <w:rsid w:val="007B417B"/>
    <w:rsid w:val="007B467D"/>
    <w:rsid w:val="007B508A"/>
    <w:rsid w:val="007B59CC"/>
    <w:rsid w:val="007B5F17"/>
    <w:rsid w:val="007B64BE"/>
    <w:rsid w:val="007B6508"/>
    <w:rsid w:val="007B68D6"/>
    <w:rsid w:val="007B696B"/>
    <w:rsid w:val="007B6A8E"/>
    <w:rsid w:val="007B6DC0"/>
    <w:rsid w:val="007C086F"/>
    <w:rsid w:val="007C0976"/>
    <w:rsid w:val="007C0C3A"/>
    <w:rsid w:val="007C1A7A"/>
    <w:rsid w:val="007C29DA"/>
    <w:rsid w:val="007C2D35"/>
    <w:rsid w:val="007C3123"/>
    <w:rsid w:val="007C33EF"/>
    <w:rsid w:val="007C33F6"/>
    <w:rsid w:val="007C3676"/>
    <w:rsid w:val="007C3BC5"/>
    <w:rsid w:val="007C49B4"/>
    <w:rsid w:val="007C676B"/>
    <w:rsid w:val="007C6BD8"/>
    <w:rsid w:val="007C6F98"/>
    <w:rsid w:val="007C717F"/>
    <w:rsid w:val="007C799F"/>
    <w:rsid w:val="007C7D98"/>
    <w:rsid w:val="007D02BD"/>
    <w:rsid w:val="007D09A0"/>
    <w:rsid w:val="007D0E22"/>
    <w:rsid w:val="007D10FD"/>
    <w:rsid w:val="007D1922"/>
    <w:rsid w:val="007D195E"/>
    <w:rsid w:val="007D1F9E"/>
    <w:rsid w:val="007D253C"/>
    <w:rsid w:val="007D2555"/>
    <w:rsid w:val="007D2706"/>
    <w:rsid w:val="007D2772"/>
    <w:rsid w:val="007D3966"/>
    <w:rsid w:val="007D3BDE"/>
    <w:rsid w:val="007D41F9"/>
    <w:rsid w:val="007D44B8"/>
    <w:rsid w:val="007D50D8"/>
    <w:rsid w:val="007D5943"/>
    <w:rsid w:val="007D5A2C"/>
    <w:rsid w:val="007D5E34"/>
    <w:rsid w:val="007D5E73"/>
    <w:rsid w:val="007D61C8"/>
    <w:rsid w:val="007D6B72"/>
    <w:rsid w:val="007D709F"/>
    <w:rsid w:val="007D7EAD"/>
    <w:rsid w:val="007E0D56"/>
    <w:rsid w:val="007E0F35"/>
    <w:rsid w:val="007E1524"/>
    <w:rsid w:val="007E1D80"/>
    <w:rsid w:val="007E1E00"/>
    <w:rsid w:val="007E2007"/>
    <w:rsid w:val="007E2FBC"/>
    <w:rsid w:val="007E3133"/>
    <w:rsid w:val="007E321B"/>
    <w:rsid w:val="007E3262"/>
    <w:rsid w:val="007E32AF"/>
    <w:rsid w:val="007E3FDC"/>
    <w:rsid w:val="007E4479"/>
    <w:rsid w:val="007E472E"/>
    <w:rsid w:val="007E4B6E"/>
    <w:rsid w:val="007E5086"/>
    <w:rsid w:val="007E5777"/>
    <w:rsid w:val="007E5E5D"/>
    <w:rsid w:val="007E648A"/>
    <w:rsid w:val="007F0A29"/>
    <w:rsid w:val="007F0C59"/>
    <w:rsid w:val="007F165A"/>
    <w:rsid w:val="007F170D"/>
    <w:rsid w:val="007F19BF"/>
    <w:rsid w:val="007F2172"/>
    <w:rsid w:val="007F2679"/>
    <w:rsid w:val="007F3241"/>
    <w:rsid w:val="007F35BC"/>
    <w:rsid w:val="007F3A7A"/>
    <w:rsid w:val="007F4F3D"/>
    <w:rsid w:val="007F4F82"/>
    <w:rsid w:val="007F66E7"/>
    <w:rsid w:val="007F783F"/>
    <w:rsid w:val="007F7EE1"/>
    <w:rsid w:val="00801046"/>
    <w:rsid w:val="008013B2"/>
    <w:rsid w:val="0080196D"/>
    <w:rsid w:val="00801F6A"/>
    <w:rsid w:val="00802740"/>
    <w:rsid w:val="00802937"/>
    <w:rsid w:val="0080354E"/>
    <w:rsid w:val="008040CF"/>
    <w:rsid w:val="0080450A"/>
    <w:rsid w:val="0080457A"/>
    <w:rsid w:val="00805284"/>
    <w:rsid w:val="00805510"/>
    <w:rsid w:val="008056B4"/>
    <w:rsid w:val="00805703"/>
    <w:rsid w:val="008057DB"/>
    <w:rsid w:val="00805CFC"/>
    <w:rsid w:val="00806017"/>
    <w:rsid w:val="008060C6"/>
    <w:rsid w:val="008074CD"/>
    <w:rsid w:val="008076CC"/>
    <w:rsid w:val="008079D6"/>
    <w:rsid w:val="00807BAB"/>
    <w:rsid w:val="00807DA1"/>
    <w:rsid w:val="00807E19"/>
    <w:rsid w:val="008101BE"/>
    <w:rsid w:val="008102F1"/>
    <w:rsid w:val="0081155C"/>
    <w:rsid w:val="008116C2"/>
    <w:rsid w:val="00811D93"/>
    <w:rsid w:val="00811DA2"/>
    <w:rsid w:val="008122FA"/>
    <w:rsid w:val="00812574"/>
    <w:rsid w:val="008128C4"/>
    <w:rsid w:val="00813DAB"/>
    <w:rsid w:val="00814044"/>
    <w:rsid w:val="008151C9"/>
    <w:rsid w:val="00815FA0"/>
    <w:rsid w:val="008161C6"/>
    <w:rsid w:val="008169C8"/>
    <w:rsid w:val="008172BC"/>
    <w:rsid w:val="008172E7"/>
    <w:rsid w:val="00820E15"/>
    <w:rsid w:val="008211A8"/>
    <w:rsid w:val="00822707"/>
    <w:rsid w:val="00823BD5"/>
    <w:rsid w:val="00823DB0"/>
    <w:rsid w:val="00823E97"/>
    <w:rsid w:val="0082406D"/>
    <w:rsid w:val="0082412F"/>
    <w:rsid w:val="00824572"/>
    <w:rsid w:val="008249C3"/>
    <w:rsid w:val="00824D28"/>
    <w:rsid w:val="00824D36"/>
    <w:rsid w:val="00824E11"/>
    <w:rsid w:val="00825351"/>
    <w:rsid w:val="0082588F"/>
    <w:rsid w:val="00825E44"/>
    <w:rsid w:val="0082625A"/>
    <w:rsid w:val="0082629B"/>
    <w:rsid w:val="00826C41"/>
    <w:rsid w:val="008272AE"/>
    <w:rsid w:val="00827384"/>
    <w:rsid w:val="00827ED7"/>
    <w:rsid w:val="008305A0"/>
    <w:rsid w:val="008313AA"/>
    <w:rsid w:val="008313E1"/>
    <w:rsid w:val="008314B0"/>
    <w:rsid w:val="008315AC"/>
    <w:rsid w:val="00831714"/>
    <w:rsid w:val="00831A76"/>
    <w:rsid w:val="008328B1"/>
    <w:rsid w:val="00832CB3"/>
    <w:rsid w:val="00832F4E"/>
    <w:rsid w:val="00833060"/>
    <w:rsid w:val="008335CD"/>
    <w:rsid w:val="00834C6B"/>
    <w:rsid w:val="008353BB"/>
    <w:rsid w:val="00835457"/>
    <w:rsid w:val="008354C3"/>
    <w:rsid w:val="00835CB2"/>
    <w:rsid w:val="00835DF8"/>
    <w:rsid w:val="00835E31"/>
    <w:rsid w:val="0083652A"/>
    <w:rsid w:val="008369F0"/>
    <w:rsid w:val="00836B7A"/>
    <w:rsid w:val="00836CA2"/>
    <w:rsid w:val="00837661"/>
    <w:rsid w:val="00837A72"/>
    <w:rsid w:val="008402B4"/>
    <w:rsid w:val="00840BBE"/>
    <w:rsid w:val="00840D45"/>
    <w:rsid w:val="0084144D"/>
    <w:rsid w:val="008419CD"/>
    <w:rsid w:val="00841A56"/>
    <w:rsid w:val="00841A72"/>
    <w:rsid w:val="00841E2C"/>
    <w:rsid w:val="00843437"/>
    <w:rsid w:val="008436AC"/>
    <w:rsid w:val="00843B2E"/>
    <w:rsid w:val="00843B4A"/>
    <w:rsid w:val="00843C16"/>
    <w:rsid w:val="008440BA"/>
    <w:rsid w:val="00844581"/>
    <w:rsid w:val="008447DC"/>
    <w:rsid w:val="00844F57"/>
    <w:rsid w:val="0084569E"/>
    <w:rsid w:val="00847CDB"/>
    <w:rsid w:val="00847EE1"/>
    <w:rsid w:val="0085073F"/>
    <w:rsid w:val="00850A0A"/>
    <w:rsid w:val="0085111C"/>
    <w:rsid w:val="0085155F"/>
    <w:rsid w:val="00851861"/>
    <w:rsid w:val="008518B5"/>
    <w:rsid w:val="00852805"/>
    <w:rsid w:val="00852AFA"/>
    <w:rsid w:val="00852BFF"/>
    <w:rsid w:val="00852D0C"/>
    <w:rsid w:val="00853813"/>
    <w:rsid w:val="008547A0"/>
    <w:rsid w:val="00854A4E"/>
    <w:rsid w:val="008550AE"/>
    <w:rsid w:val="00855283"/>
    <w:rsid w:val="00855805"/>
    <w:rsid w:val="00855CE6"/>
    <w:rsid w:val="00856303"/>
    <w:rsid w:val="00856788"/>
    <w:rsid w:val="00856C62"/>
    <w:rsid w:val="00856F8F"/>
    <w:rsid w:val="008577CD"/>
    <w:rsid w:val="00860F70"/>
    <w:rsid w:val="008615D1"/>
    <w:rsid w:val="00861DAB"/>
    <w:rsid w:val="00862789"/>
    <w:rsid w:val="00862E78"/>
    <w:rsid w:val="00863A71"/>
    <w:rsid w:val="00863B59"/>
    <w:rsid w:val="00863FA5"/>
    <w:rsid w:val="00864400"/>
    <w:rsid w:val="00864448"/>
    <w:rsid w:val="00864B71"/>
    <w:rsid w:val="00864D1C"/>
    <w:rsid w:val="00864E1E"/>
    <w:rsid w:val="00865379"/>
    <w:rsid w:val="0086555A"/>
    <w:rsid w:val="00865712"/>
    <w:rsid w:val="00866C9E"/>
    <w:rsid w:val="00866D76"/>
    <w:rsid w:val="008678F9"/>
    <w:rsid w:val="00867BBD"/>
    <w:rsid w:val="00867EAB"/>
    <w:rsid w:val="008705EF"/>
    <w:rsid w:val="008708B3"/>
    <w:rsid w:val="00870CDE"/>
    <w:rsid w:val="008712EB"/>
    <w:rsid w:val="008713C2"/>
    <w:rsid w:val="00871B0A"/>
    <w:rsid w:val="00871E73"/>
    <w:rsid w:val="00871E83"/>
    <w:rsid w:val="008746C4"/>
    <w:rsid w:val="00875387"/>
    <w:rsid w:val="008754B6"/>
    <w:rsid w:val="008758F4"/>
    <w:rsid w:val="00875D51"/>
    <w:rsid w:val="00876E70"/>
    <w:rsid w:val="008770C5"/>
    <w:rsid w:val="00877933"/>
    <w:rsid w:val="0087796D"/>
    <w:rsid w:val="008806F0"/>
    <w:rsid w:val="008807CC"/>
    <w:rsid w:val="00880C82"/>
    <w:rsid w:val="00880C90"/>
    <w:rsid w:val="00880CE6"/>
    <w:rsid w:val="00880E81"/>
    <w:rsid w:val="00880F22"/>
    <w:rsid w:val="00881BF9"/>
    <w:rsid w:val="00882FD3"/>
    <w:rsid w:val="00883131"/>
    <w:rsid w:val="0088332E"/>
    <w:rsid w:val="00883A16"/>
    <w:rsid w:val="00883CE6"/>
    <w:rsid w:val="00884075"/>
    <w:rsid w:val="00884A18"/>
    <w:rsid w:val="00884BE9"/>
    <w:rsid w:val="00884DBD"/>
    <w:rsid w:val="00884DE7"/>
    <w:rsid w:val="0088534A"/>
    <w:rsid w:val="008853AB"/>
    <w:rsid w:val="00885451"/>
    <w:rsid w:val="008857E3"/>
    <w:rsid w:val="0088595D"/>
    <w:rsid w:val="00885A6C"/>
    <w:rsid w:val="0088630C"/>
    <w:rsid w:val="008869D1"/>
    <w:rsid w:val="008874A6"/>
    <w:rsid w:val="00890451"/>
    <w:rsid w:val="00890722"/>
    <w:rsid w:val="00890836"/>
    <w:rsid w:val="00890AA5"/>
    <w:rsid w:val="00890B1A"/>
    <w:rsid w:val="00891365"/>
    <w:rsid w:val="00891E78"/>
    <w:rsid w:val="00892228"/>
    <w:rsid w:val="00892500"/>
    <w:rsid w:val="00892DDE"/>
    <w:rsid w:val="008948AC"/>
    <w:rsid w:val="00894A90"/>
    <w:rsid w:val="00894B8E"/>
    <w:rsid w:val="008964F9"/>
    <w:rsid w:val="0089657F"/>
    <w:rsid w:val="0089759A"/>
    <w:rsid w:val="00897830"/>
    <w:rsid w:val="008979F4"/>
    <w:rsid w:val="00897D9E"/>
    <w:rsid w:val="008A0155"/>
    <w:rsid w:val="008A036F"/>
    <w:rsid w:val="008A17FD"/>
    <w:rsid w:val="008A217B"/>
    <w:rsid w:val="008A22C7"/>
    <w:rsid w:val="008A3357"/>
    <w:rsid w:val="008A3427"/>
    <w:rsid w:val="008A3A10"/>
    <w:rsid w:val="008A4883"/>
    <w:rsid w:val="008A4E76"/>
    <w:rsid w:val="008A544E"/>
    <w:rsid w:val="008A59F8"/>
    <w:rsid w:val="008A65F2"/>
    <w:rsid w:val="008A6D66"/>
    <w:rsid w:val="008A6ED2"/>
    <w:rsid w:val="008A6FC8"/>
    <w:rsid w:val="008A7240"/>
    <w:rsid w:val="008A7310"/>
    <w:rsid w:val="008A7968"/>
    <w:rsid w:val="008A7E29"/>
    <w:rsid w:val="008B0654"/>
    <w:rsid w:val="008B0C93"/>
    <w:rsid w:val="008B1170"/>
    <w:rsid w:val="008B19F9"/>
    <w:rsid w:val="008B1C27"/>
    <w:rsid w:val="008B1CE2"/>
    <w:rsid w:val="008B271B"/>
    <w:rsid w:val="008B28BB"/>
    <w:rsid w:val="008B2E25"/>
    <w:rsid w:val="008B2EC4"/>
    <w:rsid w:val="008B2F7B"/>
    <w:rsid w:val="008B38D0"/>
    <w:rsid w:val="008B3A94"/>
    <w:rsid w:val="008B3D42"/>
    <w:rsid w:val="008B4271"/>
    <w:rsid w:val="008B434C"/>
    <w:rsid w:val="008B461F"/>
    <w:rsid w:val="008B4ED7"/>
    <w:rsid w:val="008B560D"/>
    <w:rsid w:val="008B5EA2"/>
    <w:rsid w:val="008B5EB3"/>
    <w:rsid w:val="008B5FEF"/>
    <w:rsid w:val="008B6267"/>
    <w:rsid w:val="008B65B9"/>
    <w:rsid w:val="008B6772"/>
    <w:rsid w:val="008B67BD"/>
    <w:rsid w:val="008B698A"/>
    <w:rsid w:val="008B713D"/>
    <w:rsid w:val="008B7DF0"/>
    <w:rsid w:val="008C0614"/>
    <w:rsid w:val="008C12B7"/>
    <w:rsid w:val="008C1BB6"/>
    <w:rsid w:val="008C1E24"/>
    <w:rsid w:val="008C1FB4"/>
    <w:rsid w:val="008C2E4C"/>
    <w:rsid w:val="008C3C91"/>
    <w:rsid w:val="008C42CB"/>
    <w:rsid w:val="008C5330"/>
    <w:rsid w:val="008C5405"/>
    <w:rsid w:val="008C5E03"/>
    <w:rsid w:val="008C60D5"/>
    <w:rsid w:val="008C674A"/>
    <w:rsid w:val="008C6855"/>
    <w:rsid w:val="008C7932"/>
    <w:rsid w:val="008D03B9"/>
    <w:rsid w:val="008D09B3"/>
    <w:rsid w:val="008D14D4"/>
    <w:rsid w:val="008D14DF"/>
    <w:rsid w:val="008D1570"/>
    <w:rsid w:val="008D1B01"/>
    <w:rsid w:val="008D1B64"/>
    <w:rsid w:val="008D1FAE"/>
    <w:rsid w:val="008D3113"/>
    <w:rsid w:val="008D3BB5"/>
    <w:rsid w:val="008D3BF4"/>
    <w:rsid w:val="008D3D99"/>
    <w:rsid w:val="008D4702"/>
    <w:rsid w:val="008D56A9"/>
    <w:rsid w:val="008D5AEE"/>
    <w:rsid w:val="008D5B6C"/>
    <w:rsid w:val="008D64FB"/>
    <w:rsid w:val="008D654D"/>
    <w:rsid w:val="008D6AB0"/>
    <w:rsid w:val="008D6C17"/>
    <w:rsid w:val="008D6C3E"/>
    <w:rsid w:val="008D70E7"/>
    <w:rsid w:val="008D730E"/>
    <w:rsid w:val="008D7415"/>
    <w:rsid w:val="008D77EF"/>
    <w:rsid w:val="008D7D5D"/>
    <w:rsid w:val="008E0600"/>
    <w:rsid w:val="008E11FD"/>
    <w:rsid w:val="008E18C5"/>
    <w:rsid w:val="008E1AA8"/>
    <w:rsid w:val="008E1ACF"/>
    <w:rsid w:val="008E22BF"/>
    <w:rsid w:val="008E2D9C"/>
    <w:rsid w:val="008E2E6E"/>
    <w:rsid w:val="008E32BB"/>
    <w:rsid w:val="008E33CD"/>
    <w:rsid w:val="008E45C8"/>
    <w:rsid w:val="008E491D"/>
    <w:rsid w:val="008E56BA"/>
    <w:rsid w:val="008E5898"/>
    <w:rsid w:val="008E5C17"/>
    <w:rsid w:val="008E5D6D"/>
    <w:rsid w:val="008E6B70"/>
    <w:rsid w:val="008E6ED9"/>
    <w:rsid w:val="008E714A"/>
    <w:rsid w:val="008E7259"/>
    <w:rsid w:val="008E72B7"/>
    <w:rsid w:val="008E741A"/>
    <w:rsid w:val="008F08B8"/>
    <w:rsid w:val="008F0A15"/>
    <w:rsid w:val="008F1372"/>
    <w:rsid w:val="008F16DE"/>
    <w:rsid w:val="008F16F6"/>
    <w:rsid w:val="008F22E3"/>
    <w:rsid w:val="008F2565"/>
    <w:rsid w:val="008F2F8C"/>
    <w:rsid w:val="008F3212"/>
    <w:rsid w:val="008F328D"/>
    <w:rsid w:val="008F35C1"/>
    <w:rsid w:val="008F3E15"/>
    <w:rsid w:val="008F581A"/>
    <w:rsid w:val="008F5E1C"/>
    <w:rsid w:val="008F604D"/>
    <w:rsid w:val="008F67A3"/>
    <w:rsid w:val="008F6D3F"/>
    <w:rsid w:val="008F72CC"/>
    <w:rsid w:val="008F7889"/>
    <w:rsid w:val="008F7C3D"/>
    <w:rsid w:val="009004BB"/>
    <w:rsid w:val="00900954"/>
    <w:rsid w:val="00900F78"/>
    <w:rsid w:val="009014C1"/>
    <w:rsid w:val="00901553"/>
    <w:rsid w:val="00902139"/>
    <w:rsid w:val="0090289F"/>
    <w:rsid w:val="00902F16"/>
    <w:rsid w:val="00902FF9"/>
    <w:rsid w:val="00904039"/>
    <w:rsid w:val="00904081"/>
    <w:rsid w:val="009040A7"/>
    <w:rsid w:val="0090458A"/>
    <w:rsid w:val="00904698"/>
    <w:rsid w:val="009058F6"/>
    <w:rsid w:val="00905A2B"/>
    <w:rsid w:val="00905D3B"/>
    <w:rsid w:val="00906924"/>
    <w:rsid w:val="00906B73"/>
    <w:rsid w:val="00906C8D"/>
    <w:rsid w:val="00906F1B"/>
    <w:rsid w:val="00907872"/>
    <w:rsid w:val="00907A8C"/>
    <w:rsid w:val="00907F0B"/>
    <w:rsid w:val="0091011F"/>
    <w:rsid w:val="009105D6"/>
    <w:rsid w:val="009107C4"/>
    <w:rsid w:val="00912742"/>
    <w:rsid w:val="00912A86"/>
    <w:rsid w:val="00912D3A"/>
    <w:rsid w:val="00912D56"/>
    <w:rsid w:val="00912ED3"/>
    <w:rsid w:val="00912F9A"/>
    <w:rsid w:val="00913128"/>
    <w:rsid w:val="00913662"/>
    <w:rsid w:val="00913686"/>
    <w:rsid w:val="0091390B"/>
    <w:rsid w:val="00913E11"/>
    <w:rsid w:val="009147A1"/>
    <w:rsid w:val="0091515F"/>
    <w:rsid w:val="009153E9"/>
    <w:rsid w:val="00915582"/>
    <w:rsid w:val="009156ED"/>
    <w:rsid w:val="0091570F"/>
    <w:rsid w:val="00915F7F"/>
    <w:rsid w:val="00916267"/>
    <w:rsid w:val="00916268"/>
    <w:rsid w:val="009165A0"/>
    <w:rsid w:val="00916AA1"/>
    <w:rsid w:val="00916E18"/>
    <w:rsid w:val="00916ED9"/>
    <w:rsid w:val="00916FC6"/>
    <w:rsid w:val="00917729"/>
    <w:rsid w:val="00920221"/>
    <w:rsid w:val="00920592"/>
    <w:rsid w:val="009207F6"/>
    <w:rsid w:val="00920BA9"/>
    <w:rsid w:val="00920E44"/>
    <w:rsid w:val="00921B5A"/>
    <w:rsid w:val="009224FE"/>
    <w:rsid w:val="00922986"/>
    <w:rsid w:val="009234D9"/>
    <w:rsid w:val="009246DB"/>
    <w:rsid w:val="009247CD"/>
    <w:rsid w:val="00924845"/>
    <w:rsid w:val="00924879"/>
    <w:rsid w:val="00925226"/>
    <w:rsid w:val="009255AB"/>
    <w:rsid w:val="00925C1B"/>
    <w:rsid w:val="009261FB"/>
    <w:rsid w:val="0092632A"/>
    <w:rsid w:val="009263FF"/>
    <w:rsid w:val="009268D3"/>
    <w:rsid w:val="009269A0"/>
    <w:rsid w:val="009269E6"/>
    <w:rsid w:val="009271E9"/>
    <w:rsid w:val="00927687"/>
    <w:rsid w:val="009279E1"/>
    <w:rsid w:val="00927A73"/>
    <w:rsid w:val="00930023"/>
    <w:rsid w:val="0093021B"/>
    <w:rsid w:val="00930678"/>
    <w:rsid w:val="00930BC7"/>
    <w:rsid w:val="00931BAA"/>
    <w:rsid w:val="00931E94"/>
    <w:rsid w:val="00932AD6"/>
    <w:rsid w:val="009331E1"/>
    <w:rsid w:val="0093338C"/>
    <w:rsid w:val="009335A6"/>
    <w:rsid w:val="009339AC"/>
    <w:rsid w:val="00934608"/>
    <w:rsid w:val="00934BB9"/>
    <w:rsid w:val="00934C40"/>
    <w:rsid w:val="00934E92"/>
    <w:rsid w:val="00934EF6"/>
    <w:rsid w:val="009355DF"/>
    <w:rsid w:val="0093563D"/>
    <w:rsid w:val="00935F66"/>
    <w:rsid w:val="00936B3A"/>
    <w:rsid w:val="00936FF3"/>
    <w:rsid w:val="00937A48"/>
    <w:rsid w:val="00937AC7"/>
    <w:rsid w:val="00937BF4"/>
    <w:rsid w:val="009400CB"/>
    <w:rsid w:val="009402EC"/>
    <w:rsid w:val="00940520"/>
    <w:rsid w:val="00940E11"/>
    <w:rsid w:val="0094107D"/>
    <w:rsid w:val="00941503"/>
    <w:rsid w:val="009429A6"/>
    <w:rsid w:val="00942D69"/>
    <w:rsid w:val="00943DA6"/>
    <w:rsid w:val="0094576E"/>
    <w:rsid w:val="00945DF2"/>
    <w:rsid w:val="0094608F"/>
    <w:rsid w:val="00946D54"/>
    <w:rsid w:val="009471CD"/>
    <w:rsid w:val="009471D5"/>
    <w:rsid w:val="0094734C"/>
    <w:rsid w:val="0094795E"/>
    <w:rsid w:val="009500B9"/>
    <w:rsid w:val="00950240"/>
    <w:rsid w:val="00950259"/>
    <w:rsid w:val="00950F99"/>
    <w:rsid w:val="009514DB"/>
    <w:rsid w:val="00951BED"/>
    <w:rsid w:val="009520D1"/>
    <w:rsid w:val="0095325D"/>
    <w:rsid w:val="0095334B"/>
    <w:rsid w:val="00953572"/>
    <w:rsid w:val="00953966"/>
    <w:rsid w:val="0095437B"/>
    <w:rsid w:val="00954545"/>
    <w:rsid w:val="009549DA"/>
    <w:rsid w:val="00954A54"/>
    <w:rsid w:val="00954F0F"/>
    <w:rsid w:val="00955A70"/>
    <w:rsid w:val="00955EA3"/>
    <w:rsid w:val="0095621F"/>
    <w:rsid w:val="009568F3"/>
    <w:rsid w:val="00956AF8"/>
    <w:rsid w:val="0095748F"/>
    <w:rsid w:val="0095793C"/>
    <w:rsid w:val="00957A4C"/>
    <w:rsid w:val="00957E24"/>
    <w:rsid w:val="009604BB"/>
    <w:rsid w:val="00960640"/>
    <w:rsid w:val="0096090A"/>
    <w:rsid w:val="00960FCA"/>
    <w:rsid w:val="009610DF"/>
    <w:rsid w:val="00961285"/>
    <w:rsid w:val="009619EF"/>
    <w:rsid w:val="00961DAC"/>
    <w:rsid w:val="00963490"/>
    <w:rsid w:val="009635DB"/>
    <w:rsid w:val="00964153"/>
    <w:rsid w:val="0096424D"/>
    <w:rsid w:val="00964BFF"/>
    <w:rsid w:val="00964DBC"/>
    <w:rsid w:val="0096550C"/>
    <w:rsid w:val="00966387"/>
    <w:rsid w:val="009667A8"/>
    <w:rsid w:val="00967140"/>
    <w:rsid w:val="0096767D"/>
    <w:rsid w:val="009676DE"/>
    <w:rsid w:val="0096776E"/>
    <w:rsid w:val="00967DA9"/>
    <w:rsid w:val="00970D20"/>
    <w:rsid w:val="00971383"/>
    <w:rsid w:val="009713FA"/>
    <w:rsid w:val="0097177B"/>
    <w:rsid w:val="00971809"/>
    <w:rsid w:val="009718C0"/>
    <w:rsid w:val="0097233F"/>
    <w:rsid w:val="00972577"/>
    <w:rsid w:val="0097314F"/>
    <w:rsid w:val="00973793"/>
    <w:rsid w:val="00973C0C"/>
    <w:rsid w:val="00974424"/>
    <w:rsid w:val="00974982"/>
    <w:rsid w:val="00974B27"/>
    <w:rsid w:val="009768FD"/>
    <w:rsid w:val="00976C5F"/>
    <w:rsid w:val="009770CE"/>
    <w:rsid w:val="00977251"/>
    <w:rsid w:val="00977869"/>
    <w:rsid w:val="00981AA4"/>
    <w:rsid w:val="00981E1F"/>
    <w:rsid w:val="00982081"/>
    <w:rsid w:val="009831D5"/>
    <w:rsid w:val="0098330A"/>
    <w:rsid w:val="009835A4"/>
    <w:rsid w:val="00983931"/>
    <w:rsid w:val="009846D7"/>
    <w:rsid w:val="00984C09"/>
    <w:rsid w:val="00984E47"/>
    <w:rsid w:val="00985EDC"/>
    <w:rsid w:val="00986068"/>
    <w:rsid w:val="009862C5"/>
    <w:rsid w:val="00986A29"/>
    <w:rsid w:val="00986F2A"/>
    <w:rsid w:val="00986F76"/>
    <w:rsid w:val="00986FB9"/>
    <w:rsid w:val="00987D7A"/>
    <w:rsid w:val="00992080"/>
    <w:rsid w:val="009936F8"/>
    <w:rsid w:val="00993A71"/>
    <w:rsid w:val="00994848"/>
    <w:rsid w:val="00995E0F"/>
    <w:rsid w:val="00995F4D"/>
    <w:rsid w:val="0099772E"/>
    <w:rsid w:val="0099781C"/>
    <w:rsid w:val="00997CA9"/>
    <w:rsid w:val="009A0464"/>
    <w:rsid w:val="009A0712"/>
    <w:rsid w:val="009A083C"/>
    <w:rsid w:val="009A15F9"/>
    <w:rsid w:val="009A1CD4"/>
    <w:rsid w:val="009A1F40"/>
    <w:rsid w:val="009A2192"/>
    <w:rsid w:val="009A2614"/>
    <w:rsid w:val="009A2DC8"/>
    <w:rsid w:val="009A3501"/>
    <w:rsid w:val="009A384F"/>
    <w:rsid w:val="009A3D8D"/>
    <w:rsid w:val="009A44D2"/>
    <w:rsid w:val="009A54F8"/>
    <w:rsid w:val="009A5D14"/>
    <w:rsid w:val="009A5F7F"/>
    <w:rsid w:val="009A63C8"/>
    <w:rsid w:val="009A6727"/>
    <w:rsid w:val="009A6844"/>
    <w:rsid w:val="009A6DE7"/>
    <w:rsid w:val="009A78D9"/>
    <w:rsid w:val="009B09A1"/>
    <w:rsid w:val="009B0E6F"/>
    <w:rsid w:val="009B15BA"/>
    <w:rsid w:val="009B1915"/>
    <w:rsid w:val="009B1B51"/>
    <w:rsid w:val="009B1F2B"/>
    <w:rsid w:val="009B1FE8"/>
    <w:rsid w:val="009B29A9"/>
    <w:rsid w:val="009B2D4F"/>
    <w:rsid w:val="009B2DEB"/>
    <w:rsid w:val="009B2E91"/>
    <w:rsid w:val="009B2ED9"/>
    <w:rsid w:val="009B2F40"/>
    <w:rsid w:val="009B36FA"/>
    <w:rsid w:val="009B404B"/>
    <w:rsid w:val="009B46FB"/>
    <w:rsid w:val="009B47A0"/>
    <w:rsid w:val="009B569C"/>
    <w:rsid w:val="009B5D16"/>
    <w:rsid w:val="009B62C6"/>
    <w:rsid w:val="009B67B4"/>
    <w:rsid w:val="009B6CE9"/>
    <w:rsid w:val="009B7661"/>
    <w:rsid w:val="009C0767"/>
    <w:rsid w:val="009C0EFC"/>
    <w:rsid w:val="009C1436"/>
    <w:rsid w:val="009C27E3"/>
    <w:rsid w:val="009C2932"/>
    <w:rsid w:val="009C2B87"/>
    <w:rsid w:val="009C30EB"/>
    <w:rsid w:val="009C3569"/>
    <w:rsid w:val="009C35EC"/>
    <w:rsid w:val="009C427D"/>
    <w:rsid w:val="009C482B"/>
    <w:rsid w:val="009C4A84"/>
    <w:rsid w:val="009C4FB9"/>
    <w:rsid w:val="009C5315"/>
    <w:rsid w:val="009C53E3"/>
    <w:rsid w:val="009C6E46"/>
    <w:rsid w:val="009C722C"/>
    <w:rsid w:val="009C7267"/>
    <w:rsid w:val="009C75BE"/>
    <w:rsid w:val="009C7E61"/>
    <w:rsid w:val="009C7FA7"/>
    <w:rsid w:val="009D00D1"/>
    <w:rsid w:val="009D0656"/>
    <w:rsid w:val="009D0B28"/>
    <w:rsid w:val="009D19BA"/>
    <w:rsid w:val="009D2139"/>
    <w:rsid w:val="009D2A23"/>
    <w:rsid w:val="009D3084"/>
    <w:rsid w:val="009D3BC4"/>
    <w:rsid w:val="009D5BB7"/>
    <w:rsid w:val="009D5CB5"/>
    <w:rsid w:val="009D6BB6"/>
    <w:rsid w:val="009D6DBD"/>
    <w:rsid w:val="009D770B"/>
    <w:rsid w:val="009E019D"/>
    <w:rsid w:val="009E13E2"/>
    <w:rsid w:val="009E1548"/>
    <w:rsid w:val="009E1A72"/>
    <w:rsid w:val="009E1C2B"/>
    <w:rsid w:val="009E1C8B"/>
    <w:rsid w:val="009E1CC3"/>
    <w:rsid w:val="009E36DB"/>
    <w:rsid w:val="009E3C13"/>
    <w:rsid w:val="009E4755"/>
    <w:rsid w:val="009E4C16"/>
    <w:rsid w:val="009E4EA9"/>
    <w:rsid w:val="009E5016"/>
    <w:rsid w:val="009E5C77"/>
    <w:rsid w:val="009E5D2C"/>
    <w:rsid w:val="009E6323"/>
    <w:rsid w:val="009E661A"/>
    <w:rsid w:val="009E6EB7"/>
    <w:rsid w:val="009E75D1"/>
    <w:rsid w:val="009E7725"/>
    <w:rsid w:val="009F024E"/>
    <w:rsid w:val="009F0A2F"/>
    <w:rsid w:val="009F17CC"/>
    <w:rsid w:val="009F1BB3"/>
    <w:rsid w:val="009F217B"/>
    <w:rsid w:val="009F22CF"/>
    <w:rsid w:val="009F254C"/>
    <w:rsid w:val="009F337A"/>
    <w:rsid w:val="009F33BD"/>
    <w:rsid w:val="009F3A80"/>
    <w:rsid w:val="009F3CC7"/>
    <w:rsid w:val="009F3CF7"/>
    <w:rsid w:val="009F454E"/>
    <w:rsid w:val="009F482A"/>
    <w:rsid w:val="009F594B"/>
    <w:rsid w:val="009F5E93"/>
    <w:rsid w:val="009F617A"/>
    <w:rsid w:val="009F790C"/>
    <w:rsid w:val="009F7A00"/>
    <w:rsid w:val="009F7B37"/>
    <w:rsid w:val="009F7B88"/>
    <w:rsid w:val="00A00026"/>
    <w:rsid w:val="00A00220"/>
    <w:rsid w:val="00A00341"/>
    <w:rsid w:val="00A0074A"/>
    <w:rsid w:val="00A007F5"/>
    <w:rsid w:val="00A00C94"/>
    <w:rsid w:val="00A00FAE"/>
    <w:rsid w:val="00A0129A"/>
    <w:rsid w:val="00A01436"/>
    <w:rsid w:val="00A027BC"/>
    <w:rsid w:val="00A02CB5"/>
    <w:rsid w:val="00A038FD"/>
    <w:rsid w:val="00A04892"/>
    <w:rsid w:val="00A04958"/>
    <w:rsid w:val="00A04A6F"/>
    <w:rsid w:val="00A05DFB"/>
    <w:rsid w:val="00A05EDD"/>
    <w:rsid w:val="00A05F22"/>
    <w:rsid w:val="00A0691B"/>
    <w:rsid w:val="00A0713C"/>
    <w:rsid w:val="00A0745C"/>
    <w:rsid w:val="00A07820"/>
    <w:rsid w:val="00A078C8"/>
    <w:rsid w:val="00A10EC4"/>
    <w:rsid w:val="00A12152"/>
    <w:rsid w:val="00A12DEB"/>
    <w:rsid w:val="00A12F9F"/>
    <w:rsid w:val="00A131AE"/>
    <w:rsid w:val="00A13AFA"/>
    <w:rsid w:val="00A14464"/>
    <w:rsid w:val="00A146FC"/>
    <w:rsid w:val="00A147F0"/>
    <w:rsid w:val="00A150E7"/>
    <w:rsid w:val="00A16BE5"/>
    <w:rsid w:val="00A17402"/>
    <w:rsid w:val="00A174B6"/>
    <w:rsid w:val="00A17586"/>
    <w:rsid w:val="00A178F1"/>
    <w:rsid w:val="00A20F94"/>
    <w:rsid w:val="00A2175A"/>
    <w:rsid w:val="00A21E17"/>
    <w:rsid w:val="00A22428"/>
    <w:rsid w:val="00A22D57"/>
    <w:rsid w:val="00A22D8E"/>
    <w:rsid w:val="00A22F99"/>
    <w:rsid w:val="00A230FB"/>
    <w:rsid w:val="00A236B3"/>
    <w:rsid w:val="00A2370D"/>
    <w:rsid w:val="00A241E6"/>
    <w:rsid w:val="00A2424F"/>
    <w:rsid w:val="00A2456D"/>
    <w:rsid w:val="00A24BB1"/>
    <w:rsid w:val="00A25194"/>
    <w:rsid w:val="00A257D5"/>
    <w:rsid w:val="00A25C27"/>
    <w:rsid w:val="00A25FCD"/>
    <w:rsid w:val="00A262EB"/>
    <w:rsid w:val="00A26C37"/>
    <w:rsid w:val="00A278F5"/>
    <w:rsid w:val="00A30996"/>
    <w:rsid w:val="00A30A6C"/>
    <w:rsid w:val="00A3166D"/>
    <w:rsid w:val="00A3209C"/>
    <w:rsid w:val="00A32458"/>
    <w:rsid w:val="00A332B7"/>
    <w:rsid w:val="00A33352"/>
    <w:rsid w:val="00A33990"/>
    <w:rsid w:val="00A3401C"/>
    <w:rsid w:val="00A34182"/>
    <w:rsid w:val="00A3470B"/>
    <w:rsid w:val="00A34E7C"/>
    <w:rsid w:val="00A3558D"/>
    <w:rsid w:val="00A36D89"/>
    <w:rsid w:val="00A37E5C"/>
    <w:rsid w:val="00A40521"/>
    <w:rsid w:val="00A407D4"/>
    <w:rsid w:val="00A41981"/>
    <w:rsid w:val="00A42773"/>
    <w:rsid w:val="00A42BC0"/>
    <w:rsid w:val="00A42D8D"/>
    <w:rsid w:val="00A43036"/>
    <w:rsid w:val="00A43065"/>
    <w:rsid w:val="00A4307C"/>
    <w:rsid w:val="00A43F92"/>
    <w:rsid w:val="00A43FBE"/>
    <w:rsid w:val="00A44526"/>
    <w:rsid w:val="00A44A5E"/>
    <w:rsid w:val="00A4545B"/>
    <w:rsid w:val="00A4576F"/>
    <w:rsid w:val="00A4647B"/>
    <w:rsid w:val="00A473FA"/>
    <w:rsid w:val="00A47AB2"/>
    <w:rsid w:val="00A5021B"/>
    <w:rsid w:val="00A50FA1"/>
    <w:rsid w:val="00A51081"/>
    <w:rsid w:val="00A51635"/>
    <w:rsid w:val="00A519D7"/>
    <w:rsid w:val="00A520E6"/>
    <w:rsid w:val="00A52156"/>
    <w:rsid w:val="00A52A5F"/>
    <w:rsid w:val="00A52A86"/>
    <w:rsid w:val="00A52B5A"/>
    <w:rsid w:val="00A52D9D"/>
    <w:rsid w:val="00A5332F"/>
    <w:rsid w:val="00A534A2"/>
    <w:rsid w:val="00A53D14"/>
    <w:rsid w:val="00A54545"/>
    <w:rsid w:val="00A54E1D"/>
    <w:rsid w:val="00A54F3B"/>
    <w:rsid w:val="00A55140"/>
    <w:rsid w:val="00A55897"/>
    <w:rsid w:val="00A5590A"/>
    <w:rsid w:val="00A55B96"/>
    <w:rsid w:val="00A55F2B"/>
    <w:rsid w:val="00A5682D"/>
    <w:rsid w:val="00A57023"/>
    <w:rsid w:val="00A570D9"/>
    <w:rsid w:val="00A57F16"/>
    <w:rsid w:val="00A605B3"/>
    <w:rsid w:val="00A60809"/>
    <w:rsid w:val="00A61AA3"/>
    <w:rsid w:val="00A62AD1"/>
    <w:rsid w:val="00A62EE3"/>
    <w:rsid w:val="00A632F3"/>
    <w:rsid w:val="00A63665"/>
    <w:rsid w:val="00A636C6"/>
    <w:rsid w:val="00A6390B"/>
    <w:rsid w:val="00A639CE"/>
    <w:rsid w:val="00A641B3"/>
    <w:rsid w:val="00A6428B"/>
    <w:rsid w:val="00A64C65"/>
    <w:rsid w:val="00A64D19"/>
    <w:rsid w:val="00A65CD8"/>
    <w:rsid w:val="00A66049"/>
    <w:rsid w:val="00A6722A"/>
    <w:rsid w:val="00A67978"/>
    <w:rsid w:val="00A679CC"/>
    <w:rsid w:val="00A70325"/>
    <w:rsid w:val="00A70328"/>
    <w:rsid w:val="00A70C4F"/>
    <w:rsid w:val="00A717D9"/>
    <w:rsid w:val="00A72131"/>
    <w:rsid w:val="00A7220B"/>
    <w:rsid w:val="00A724F1"/>
    <w:rsid w:val="00A7348F"/>
    <w:rsid w:val="00A7379A"/>
    <w:rsid w:val="00A747A6"/>
    <w:rsid w:val="00A75220"/>
    <w:rsid w:val="00A75277"/>
    <w:rsid w:val="00A757CC"/>
    <w:rsid w:val="00A7647D"/>
    <w:rsid w:val="00A767AC"/>
    <w:rsid w:val="00A77326"/>
    <w:rsid w:val="00A77E69"/>
    <w:rsid w:val="00A80031"/>
    <w:rsid w:val="00A80240"/>
    <w:rsid w:val="00A80285"/>
    <w:rsid w:val="00A803B4"/>
    <w:rsid w:val="00A80F41"/>
    <w:rsid w:val="00A818DB"/>
    <w:rsid w:val="00A819DB"/>
    <w:rsid w:val="00A81D86"/>
    <w:rsid w:val="00A82059"/>
    <w:rsid w:val="00A833ED"/>
    <w:rsid w:val="00A83F01"/>
    <w:rsid w:val="00A8564A"/>
    <w:rsid w:val="00A857AB"/>
    <w:rsid w:val="00A85A70"/>
    <w:rsid w:val="00A8637E"/>
    <w:rsid w:val="00A86A3C"/>
    <w:rsid w:val="00A876EA"/>
    <w:rsid w:val="00A90BF6"/>
    <w:rsid w:val="00A91AA9"/>
    <w:rsid w:val="00A92A4D"/>
    <w:rsid w:val="00A93941"/>
    <w:rsid w:val="00A953ED"/>
    <w:rsid w:val="00A95913"/>
    <w:rsid w:val="00A95C6E"/>
    <w:rsid w:val="00A95F0E"/>
    <w:rsid w:val="00A963F8"/>
    <w:rsid w:val="00A97046"/>
    <w:rsid w:val="00A971AA"/>
    <w:rsid w:val="00A97244"/>
    <w:rsid w:val="00AA0210"/>
    <w:rsid w:val="00AA099D"/>
    <w:rsid w:val="00AA0FBF"/>
    <w:rsid w:val="00AA10A7"/>
    <w:rsid w:val="00AA16EE"/>
    <w:rsid w:val="00AA1EA9"/>
    <w:rsid w:val="00AA2087"/>
    <w:rsid w:val="00AA23E3"/>
    <w:rsid w:val="00AA2537"/>
    <w:rsid w:val="00AA28C7"/>
    <w:rsid w:val="00AA2C78"/>
    <w:rsid w:val="00AA2CB8"/>
    <w:rsid w:val="00AA32E5"/>
    <w:rsid w:val="00AA3368"/>
    <w:rsid w:val="00AA42FD"/>
    <w:rsid w:val="00AA432B"/>
    <w:rsid w:val="00AA43E7"/>
    <w:rsid w:val="00AA4C92"/>
    <w:rsid w:val="00AA5EFA"/>
    <w:rsid w:val="00AA6424"/>
    <w:rsid w:val="00AA649B"/>
    <w:rsid w:val="00AA6641"/>
    <w:rsid w:val="00AA6FC1"/>
    <w:rsid w:val="00AB0709"/>
    <w:rsid w:val="00AB07E9"/>
    <w:rsid w:val="00AB0D06"/>
    <w:rsid w:val="00AB14B6"/>
    <w:rsid w:val="00AB1B7A"/>
    <w:rsid w:val="00AB27A7"/>
    <w:rsid w:val="00AB2A94"/>
    <w:rsid w:val="00AB3407"/>
    <w:rsid w:val="00AB35C0"/>
    <w:rsid w:val="00AB4B1B"/>
    <w:rsid w:val="00AB4EE9"/>
    <w:rsid w:val="00AB55A4"/>
    <w:rsid w:val="00AB5F93"/>
    <w:rsid w:val="00AB6539"/>
    <w:rsid w:val="00AB6B54"/>
    <w:rsid w:val="00AB6D30"/>
    <w:rsid w:val="00AC040E"/>
    <w:rsid w:val="00AC045A"/>
    <w:rsid w:val="00AC1312"/>
    <w:rsid w:val="00AC1E8A"/>
    <w:rsid w:val="00AC2CAE"/>
    <w:rsid w:val="00AC34A9"/>
    <w:rsid w:val="00AC3AEA"/>
    <w:rsid w:val="00AC3B59"/>
    <w:rsid w:val="00AC3E2C"/>
    <w:rsid w:val="00AC3E35"/>
    <w:rsid w:val="00AC4519"/>
    <w:rsid w:val="00AC5081"/>
    <w:rsid w:val="00AC58EE"/>
    <w:rsid w:val="00AC5F6F"/>
    <w:rsid w:val="00AC6A51"/>
    <w:rsid w:val="00AC6BA5"/>
    <w:rsid w:val="00AC6C74"/>
    <w:rsid w:val="00AD0505"/>
    <w:rsid w:val="00AD0BA0"/>
    <w:rsid w:val="00AD0F1F"/>
    <w:rsid w:val="00AD10E6"/>
    <w:rsid w:val="00AD1208"/>
    <w:rsid w:val="00AD1B93"/>
    <w:rsid w:val="00AD1F81"/>
    <w:rsid w:val="00AD23F5"/>
    <w:rsid w:val="00AD2ACB"/>
    <w:rsid w:val="00AD2B28"/>
    <w:rsid w:val="00AD2E2D"/>
    <w:rsid w:val="00AD2E67"/>
    <w:rsid w:val="00AD444C"/>
    <w:rsid w:val="00AD4558"/>
    <w:rsid w:val="00AD497C"/>
    <w:rsid w:val="00AD4E24"/>
    <w:rsid w:val="00AD5087"/>
    <w:rsid w:val="00AD5312"/>
    <w:rsid w:val="00AD582B"/>
    <w:rsid w:val="00AD6A7C"/>
    <w:rsid w:val="00AD6B84"/>
    <w:rsid w:val="00AD6C5B"/>
    <w:rsid w:val="00AD6D21"/>
    <w:rsid w:val="00AD6E82"/>
    <w:rsid w:val="00AD6FB9"/>
    <w:rsid w:val="00AD73FF"/>
    <w:rsid w:val="00AD7999"/>
    <w:rsid w:val="00AD7EE9"/>
    <w:rsid w:val="00AD7FAC"/>
    <w:rsid w:val="00AD7FD3"/>
    <w:rsid w:val="00AE03B8"/>
    <w:rsid w:val="00AE0CCD"/>
    <w:rsid w:val="00AE13DC"/>
    <w:rsid w:val="00AE19EB"/>
    <w:rsid w:val="00AE1B17"/>
    <w:rsid w:val="00AE2734"/>
    <w:rsid w:val="00AE30C4"/>
    <w:rsid w:val="00AE3F05"/>
    <w:rsid w:val="00AE46E1"/>
    <w:rsid w:val="00AE4A19"/>
    <w:rsid w:val="00AE4A46"/>
    <w:rsid w:val="00AE4E53"/>
    <w:rsid w:val="00AE542F"/>
    <w:rsid w:val="00AE6423"/>
    <w:rsid w:val="00AE662D"/>
    <w:rsid w:val="00AE6F25"/>
    <w:rsid w:val="00AE78EF"/>
    <w:rsid w:val="00AE79BD"/>
    <w:rsid w:val="00AE7AF6"/>
    <w:rsid w:val="00AE7B49"/>
    <w:rsid w:val="00AF092F"/>
    <w:rsid w:val="00AF0BC7"/>
    <w:rsid w:val="00AF0E37"/>
    <w:rsid w:val="00AF13B8"/>
    <w:rsid w:val="00AF26DB"/>
    <w:rsid w:val="00AF2A7C"/>
    <w:rsid w:val="00AF3007"/>
    <w:rsid w:val="00AF3546"/>
    <w:rsid w:val="00AF3726"/>
    <w:rsid w:val="00AF3736"/>
    <w:rsid w:val="00AF3DD9"/>
    <w:rsid w:val="00AF4293"/>
    <w:rsid w:val="00AF4C99"/>
    <w:rsid w:val="00AF5312"/>
    <w:rsid w:val="00AF591A"/>
    <w:rsid w:val="00AF5C9A"/>
    <w:rsid w:val="00AF5ED6"/>
    <w:rsid w:val="00AF7335"/>
    <w:rsid w:val="00B00726"/>
    <w:rsid w:val="00B008C1"/>
    <w:rsid w:val="00B00E79"/>
    <w:rsid w:val="00B01AA6"/>
    <w:rsid w:val="00B03689"/>
    <w:rsid w:val="00B04136"/>
    <w:rsid w:val="00B04438"/>
    <w:rsid w:val="00B05150"/>
    <w:rsid w:val="00B05532"/>
    <w:rsid w:val="00B06E28"/>
    <w:rsid w:val="00B0704F"/>
    <w:rsid w:val="00B07128"/>
    <w:rsid w:val="00B074AB"/>
    <w:rsid w:val="00B0797E"/>
    <w:rsid w:val="00B07B94"/>
    <w:rsid w:val="00B07CAC"/>
    <w:rsid w:val="00B10A42"/>
    <w:rsid w:val="00B11C4F"/>
    <w:rsid w:val="00B13DA3"/>
    <w:rsid w:val="00B14000"/>
    <w:rsid w:val="00B1400F"/>
    <w:rsid w:val="00B1406D"/>
    <w:rsid w:val="00B142BD"/>
    <w:rsid w:val="00B165D9"/>
    <w:rsid w:val="00B16EB3"/>
    <w:rsid w:val="00B17725"/>
    <w:rsid w:val="00B20991"/>
    <w:rsid w:val="00B21B63"/>
    <w:rsid w:val="00B21D05"/>
    <w:rsid w:val="00B21D1C"/>
    <w:rsid w:val="00B2212E"/>
    <w:rsid w:val="00B222F7"/>
    <w:rsid w:val="00B22A10"/>
    <w:rsid w:val="00B22E6A"/>
    <w:rsid w:val="00B23887"/>
    <w:rsid w:val="00B245D0"/>
    <w:rsid w:val="00B24729"/>
    <w:rsid w:val="00B24C50"/>
    <w:rsid w:val="00B24DF4"/>
    <w:rsid w:val="00B25463"/>
    <w:rsid w:val="00B25734"/>
    <w:rsid w:val="00B25ADA"/>
    <w:rsid w:val="00B25FEA"/>
    <w:rsid w:val="00B26A8C"/>
    <w:rsid w:val="00B26CED"/>
    <w:rsid w:val="00B27308"/>
    <w:rsid w:val="00B274AF"/>
    <w:rsid w:val="00B274E4"/>
    <w:rsid w:val="00B27D87"/>
    <w:rsid w:val="00B27EBA"/>
    <w:rsid w:val="00B30F62"/>
    <w:rsid w:val="00B31266"/>
    <w:rsid w:val="00B31D30"/>
    <w:rsid w:val="00B3244C"/>
    <w:rsid w:val="00B32B61"/>
    <w:rsid w:val="00B32C6B"/>
    <w:rsid w:val="00B342A4"/>
    <w:rsid w:val="00B34A98"/>
    <w:rsid w:val="00B35451"/>
    <w:rsid w:val="00B35454"/>
    <w:rsid w:val="00B3695B"/>
    <w:rsid w:val="00B37794"/>
    <w:rsid w:val="00B37822"/>
    <w:rsid w:val="00B37AFD"/>
    <w:rsid w:val="00B37CD5"/>
    <w:rsid w:val="00B40125"/>
    <w:rsid w:val="00B4016C"/>
    <w:rsid w:val="00B402BB"/>
    <w:rsid w:val="00B4077D"/>
    <w:rsid w:val="00B413D7"/>
    <w:rsid w:val="00B4161A"/>
    <w:rsid w:val="00B418BF"/>
    <w:rsid w:val="00B422DE"/>
    <w:rsid w:val="00B425CB"/>
    <w:rsid w:val="00B4285A"/>
    <w:rsid w:val="00B42E24"/>
    <w:rsid w:val="00B43078"/>
    <w:rsid w:val="00B43C3E"/>
    <w:rsid w:val="00B43EA4"/>
    <w:rsid w:val="00B44B8C"/>
    <w:rsid w:val="00B456A8"/>
    <w:rsid w:val="00B45CAF"/>
    <w:rsid w:val="00B45E49"/>
    <w:rsid w:val="00B46918"/>
    <w:rsid w:val="00B46988"/>
    <w:rsid w:val="00B46EE9"/>
    <w:rsid w:val="00B4776C"/>
    <w:rsid w:val="00B47912"/>
    <w:rsid w:val="00B47E79"/>
    <w:rsid w:val="00B5010A"/>
    <w:rsid w:val="00B504FD"/>
    <w:rsid w:val="00B512F8"/>
    <w:rsid w:val="00B5132D"/>
    <w:rsid w:val="00B51518"/>
    <w:rsid w:val="00B51CE9"/>
    <w:rsid w:val="00B52B41"/>
    <w:rsid w:val="00B536C9"/>
    <w:rsid w:val="00B537F8"/>
    <w:rsid w:val="00B54007"/>
    <w:rsid w:val="00B54897"/>
    <w:rsid w:val="00B54F9C"/>
    <w:rsid w:val="00B557CC"/>
    <w:rsid w:val="00B559D8"/>
    <w:rsid w:val="00B55A0B"/>
    <w:rsid w:val="00B56E73"/>
    <w:rsid w:val="00B57453"/>
    <w:rsid w:val="00B575E2"/>
    <w:rsid w:val="00B57A84"/>
    <w:rsid w:val="00B604C0"/>
    <w:rsid w:val="00B60531"/>
    <w:rsid w:val="00B608C9"/>
    <w:rsid w:val="00B6148C"/>
    <w:rsid w:val="00B614A5"/>
    <w:rsid w:val="00B61578"/>
    <w:rsid w:val="00B61646"/>
    <w:rsid w:val="00B61A82"/>
    <w:rsid w:val="00B61B04"/>
    <w:rsid w:val="00B6312D"/>
    <w:rsid w:val="00B63244"/>
    <w:rsid w:val="00B633A0"/>
    <w:rsid w:val="00B636B1"/>
    <w:rsid w:val="00B6384C"/>
    <w:rsid w:val="00B63D5F"/>
    <w:rsid w:val="00B64C57"/>
    <w:rsid w:val="00B64E67"/>
    <w:rsid w:val="00B6524D"/>
    <w:rsid w:val="00B6541C"/>
    <w:rsid w:val="00B66471"/>
    <w:rsid w:val="00B66878"/>
    <w:rsid w:val="00B6762D"/>
    <w:rsid w:val="00B702A0"/>
    <w:rsid w:val="00B702B0"/>
    <w:rsid w:val="00B702FA"/>
    <w:rsid w:val="00B7035D"/>
    <w:rsid w:val="00B70C23"/>
    <w:rsid w:val="00B70CC8"/>
    <w:rsid w:val="00B715E2"/>
    <w:rsid w:val="00B71B39"/>
    <w:rsid w:val="00B72C3B"/>
    <w:rsid w:val="00B72D3F"/>
    <w:rsid w:val="00B73258"/>
    <w:rsid w:val="00B74A4C"/>
    <w:rsid w:val="00B752D2"/>
    <w:rsid w:val="00B7547D"/>
    <w:rsid w:val="00B756E3"/>
    <w:rsid w:val="00B75F12"/>
    <w:rsid w:val="00B75F5D"/>
    <w:rsid w:val="00B76C8F"/>
    <w:rsid w:val="00B7715C"/>
    <w:rsid w:val="00B7717B"/>
    <w:rsid w:val="00B777F3"/>
    <w:rsid w:val="00B779BB"/>
    <w:rsid w:val="00B77D6B"/>
    <w:rsid w:val="00B80488"/>
    <w:rsid w:val="00B805F9"/>
    <w:rsid w:val="00B80B49"/>
    <w:rsid w:val="00B81B3A"/>
    <w:rsid w:val="00B8208E"/>
    <w:rsid w:val="00B8212F"/>
    <w:rsid w:val="00B823DA"/>
    <w:rsid w:val="00B82AB3"/>
    <w:rsid w:val="00B82AC4"/>
    <w:rsid w:val="00B82F5E"/>
    <w:rsid w:val="00B8363D"/>
    <w:rsid w:val="00B83659"/>
    <w:rsid w:val="00B838D9"/>
    <w:rsid w:val="00B851EA"/>
    <w:rsid w:val="00B85F04"/>
    <w:rsid w:val="00B86D57"/>
    <w:rsid w:val="00B87051"/>
    <w:rsid w:val="00B873EC"/>
    <w:rsid w:val="00B87A86"/>
    <w:rsid w:val="00B87E88"/>
    <w:rsid w:val="00B90053"/>
    <w:rsid w:val="00B90199"/>
    <w:rsid w:val="00B901F3"/>
    <w:rsid w:val="00B907DF"/>
    <w:rsid w:val="00B916B2"/>
    <w:rsid w:val="00B92181"/>
    <w:rsid w:val="00B923D0"/>
    <w:rsid w:val="00B924A0"/>
    <w:rsid w:val="00B92E0A"/>
    <w:rsid w:val="00B92E39"/>
    <w:rsid w:val="00B92E90"/>
    <w:rsid w:val="00B92F2A"/>
    <w:rsid w:val="00B9306B"/>
    <w:rsid w:val="00B933CE"/>
    <w:rsid w:val="00B945C8"/>
    <w:rsid w:val="00B9522D"/>
    <w:rsid w:val="00B95E35"/>
    <w:rsid w:val="00B95F4C"/>
    <w:rsid w:val="00B9602D"/>
    <w:rsid w:val="00B971BF"/>
    <w:rsid w:val="00B97A24"/>
    <w:rsid w:val="00B97D28"/>
    <w:rsid w:val="00BA028D"/>
    <w:rsid w:val="00BA0907"/>
    <w:rsid w:val="00BA0B92"/>
    <w:rsid w:val="00BA0FCD"/>
    <w:rsid w:val="00BA1884"/>
    <w:rsid w:val="00BA189C"/>
    <w:rsid w:val="00BA27F5"/>
    <w:rsid w:val="00BA2BF2"/>
    <w:rsid w:val="00BA2F2C"/>
    <w:rsid w:val="00BA2FE1"/>
    <w:rsid w:val="00BA3E67"/>
    <w:rsid w:val="00BA4123"/>
    <w:rsid w:val="00BA49BE"/>
    <w:rsid w:val="00BA4B61"/>
    <w:rsid w:val="00BA4EDB"/>
    <w:rsid w:val="00BA5276"/>
    <w:rsid w:val="00BA5399"/>
    <w:rsid w:val="00BA53FC"/>
    <w:rsid w:val="00BA5718"/>
    <w:rsid w:val="00BB0501"/>
    <w:rsid w:val="00BB05BD"/>
    <w:rsid w:val="00BB0796"/>
    <w:rsid w:val="00BB09FD"/>
    <w:rsid w:val="00BB0BC2"/>
    <w:rsid w:val="00BB0E5B"/>
    <w:rsid w:val="00BB155F"/>
    <w:rsid w:val="00BB1618"/>
    <w:rsid w:val="00BB1687"/>
    <w:rsid w:val="00BB1C72"/>
    <w:rsid w:val="00BB3118"/>
    <w:rsid w:val="00BB3CAE"/>
    <w:rsid w:val="00BB46AF"/>
    <w:rsid w:val="00BB4810"/>
    <w:rsid w:val="00BB4B9E"/>
    <w:rsid w:val="00BB541E"/>
    <w:rsid w:val="00BB5629"/>
    <w:rsid w:val="00BB5847"/>
    <w:rsid w:val="00BB66BA"/>
    <w:rsid w:val="00BB75F9"/>
    <w:rsid w:val="00BB7B51"/>
    <w:rsid w:val="00BB7FE4"/>
    <w:rsid w:val="00BC05B8"/>
    <w:rsid w:val="00BC0EF6"/>
    <w:rsid w:val="00BC13F2"/>
    <w:rsid w:val="00BC1953"/>
    <w:rsid w:val="00BC2418"/>
    <w:rsid w:val="00BC249A"/>
    <w:rsid w:val="00BC26F3"/>
    <w:rsid w:val="00BC2C88"/>
    <w:rsid w:val="00BC352A"/>
    <w:rsid w:val="00BC3712"/>
    <w:rsid w:val="00BC3731"/>
    <w:rsid w:val="00BC38EE"/>
    <w:rsid w:val="00BC4905"/>
    <w:rsid w:val="00BC5D46"/>
    <w:rsid w:val="00BC7E98"/>
    <w:rsid w:val="00BC7F67"/>
    <w:rsid w:val="00BC7F87"/>
    <w:rsid w:val="00BD00C5"/>
    <w:rsid w:val="00BD0526"/>
    <w:rsid w:val="00BD05B9"/>
    <w:rsid w:val="00BD05C7"/>
    <w:rsid w:val="00BD078C"/>
    <w:rsid w:val="00BD07BA"/>
    <w:rsid w:val="00BD10E7"/>
    <w:rsid w:val="00BD16A1"/>
    <w:rsid w:val="00BD1DB9"/>
    <w:rsid w:val="00BD31C3"/>
    <w:rsid w:val="00BD3B1B"/>
    <w:rsid w:val="00BD3FE8"/>
    <w:rsid w:val="00BD41C6"/>
    <w:rsid w:val="00BD4300"/>
    <w:rsid w:val="00BD4697"/>
    <w:rsid w:val="00BD5DEF"/>
    <w:rsid w:val="00BD6816"/>
    <w:rsid w:val="00BD6FA8"/>
    <w:rsid w:val="00BD788E"/>
    <w:rsid w:val="00BE024B"/>
    <w:rsid w:val="00BE05AA"/>
    <w:rsid w:val="00BE0618"/>
    <w:rsid w:val="00BE101D"/>
    <w:rsid w:val="00BE10B6"/>
    <w:rsid w:val="00BE1C40"/>
    <w:rsid w:val="00BE2260"/>
    <w:rsid w:val="00BE3399"/>
    <w:rsid w:val="00BE404E"/>
    <w:rsid w:val="00BE4E1B"/>
    <w:rsid w:val="00BE4EFD"/>
    <w:rsid w:val="00BE66BB"/>
    <w:rsid w:val="00BE6827"/>
    <w:rsid w:val="00BE6900"/>
    <w:rsid w:val="00BE6F17"/>
    <w:rsid w:val="00BE72C0"/>
    <w:rsid w:val="00BE7E75"/>
    <w:rsid w:val="00BE7E87"/>
    <w:rsid w:val="00BE7FCA"/>
    <w:rsid w:val="00BF0266"/>
    <w:rsid w:val="00BF02F7"/>
    <w:rsid w:val="00BF0C62"/>
    <w:rsid w:val="00BF1525"/>
    <w:rsid w:val="00BF1596"/>
    <w:rsid w:val="00BF1837"/>
    <w:rsid w:val="00BF1D17"/>
    <w:rsid w:val="00BF2D73"/>
    <w:rsid w:val="00BF32CA"/>
    <w:rsid w:val="00BF44DB"/>
    <w:rsid w:val="00BF49B9"/>
    <w:rsid w:val="00BF4D30"/>
    <w:rsid w:val="00BF5248"/>
    <w:rsid w:val="00BF57FD"/>
    <w:rsid w:val="00BF5D49"/>
    <w:rsid w:val="00BF67C5"/>
    <w:rsid w:val="00BF7321"/>
    <w:rsid w:val="00C00A6A"/>
    <w:rsid w:val="00C0174F"/>
    <w:rsid w:val="00C01FDF"/>
    <w:rsid w:val="00C02084"/>
    <w:rsid w:val="00C02CDE"/>
    <w:rsid w:val="00C02D7C"/>
    <w:rsid w:val="00C02EC5"/>
    <w:rsid w:val="00C02ED9"/>
    <w:rsid w:val="00C03EDA"/>
    <w:rsid w:val="00C044FE"/>
    <w:rsid w:val="00C05325"/>
    <w:rsid w:val="00C05826"/>
    <w:rsid w:val="00C05FE0"/>
    <w:rsid w:val="00C065BA"/>
    <w:rsid w:val="00C06D96"/>
    <w:rsid w:val="00C07CEE"/>
    <w:rsid w:val="00C07DAB"/>
    <w:rsid w:val="00C11277"/>
    <w:rsid w:val="00C1140D"/>
    <w:rsid w:val="00C1157C"/>
    <w:rsid w:val="00C12B4B"/>
    <w:rsid w:val="00C131D2"/>
    <w:rsid w:val="00C132C6"/>
    <w:rsid w:val="00C133AA"/>
    <w:rsid w:val="00C135C9"/>
    <w:rsid w:val="00C13AFE"/>
    <w:rsid w:val="00C14D00"/>
    <w:rsid w:val="00C161FB"/>
    <w:rsid w:val="00C1620C"/>
    <w:rsid w:val="00C16249"/>
    <w:rsid w:val="00C16856"/>
    <w:rsid w:val="00C16E81"/>
    <w:rsid w:val="00C173B1"/>
    <w:rsid w:val="00C17FCB"/>
    <w:rsid w:val="00C20A97"/>
    <w:rsid w:val="00C21AD2"/>
    <w:rsid w:val="00C223DD"/>
    <w:rsid w:val="00C22CBC"/>
    <w:rsid w:val="00C233ED"/>
    <w:rsid w:val="00C238AE"/>
    <w:rsid w:val="00C23D5B"/>
    <w:rsid w:val="00C23D5D"/>
    <w:rsid w:val="00C23E0C"/>
    <w:rsid w:val="00C24708"/>
    <w:rsid w:val="00C248E4"/>
    <w:rsid w:val="00C24A9C"/>
    <w:rsid w:val="00C24BDD"/>
    <w:rsid w:val="00C2565B"/>
    <w:rsid w:val="00C25BB0"/>
    <w:rsid w:val="00C2600C"/>
    <w:rsid w:val="00C2675D"/>
    <w:rsid w:val="00C26836"/>
    <w:rsid w:val="00C271C0"/>
    <w:rsid w:val="00C301C4"/>
    <w:rsid w:val="00C301F9"/>
    <w:rsid w:val="00C30909"/>
    <w:rsid w:val="00C30D0C"/>
    <w:rsid w:val="00C31185"/>
    <w:rsid w:val="00C31251"/>
    <w:rsid w:val="00C31592"/>
    <w:rsid w:val="00C31905"/>
    <w:rsid w:val="00C31906"/>
    <w:rsid w:val="00C325BB"/>
    <w:rsid w:val="00C32725"/>
    <w:rsid w:val="00C32E9A"/>
    <w:rsid w:val="00C339F3"/>
    <w:rsid w:val="00C33E4D"/>
    <w:rsid w:val="00C341B4"/>
    <w:rsid w:val="00C342D5"/>
    <w:rsid w:val="00C34AC5"/>
    <w:rsid w:val="00C350AA"/>
    <w:rsid w:val="00C353D0"/>
    <w:rsid w:val="00C3578A"/>
    <w:rsid w:val="00C35C77"/>
    <w:rsid w:val="00C3667F"/>
    <w:rsid w:val="00C36DFF"/>
    <w:rsid w:val="00C37327"/>
    <w:rsid w:val="00C3748B"/>
    <w:rsid w:val="00C375C4"/>
    <w:rsid w:val="00C37BC8"/>
    <w:rsid w:val="00C401D6"/>
    <w:rsid w:val="00C421AB"/>
    <w:rsid w:val="00C42C7C"/>
    <w:rsid w:val="00C4352E"/>
    <w:rsid w:val="00C4383A"/>
    <w:rsid w:val="00C43B86"/>
    <w:rsid w:val="00C443C5"/>
    <w:rsid w:val="00C44708"/>
    <w:rsid w:val="00C44FAC"/>
    <w:rsid w:val="00C451A8"/>
    <w:rsid w:val="00C45925"/>
    <w:rsid w:val="00C46D84"/>
    <w:rsid w:val="00C47642"/>
    <w:rsid w:val="00C47B64"/>
    <w:rsid w:val="00C501EE"/>
    <w:rsid w:val="00C507E6"/>
    <w:rsid w:val="00C50BE4"/>
    <w:rsid w:val="00C517F6"/>
    <w:rsid w:val="00C51805"/>
    <w:rsid w:val="00C52396"/>
    <w:rsid w:val="00C52E0C"/>
    <w:rsid w:val="00C53377"/>
    <w:rsid w:val="00C54505"/>
    <w:rsid w:val="00C549A5"/>
    <w:rsid w:val="00C54B51"/>
    <w:rsid w:val="00C54ED4"/>
    <w:rsid w:val="00C551E6"/>
    <w:rsid w:val="00C5561E"/>
    <w:rsid w:val="00C55E12"/>
    <w:rsid w:val="00C56345"/>
    <w:rsid w:val="00C56A3A"/>
    <w:rsid w:val="00C57285"/>
    <w:rsid w:val="00C5799F"/>
    <w:rsid w:val="00C600BF"/>
    <w:rsid w:val="00C60EF3"/>
    <w:rsid w:val="00C61475"/>
    <w:rsid w:val="00C61ECC"/>
    <w:rsid w:val="00C621AE"/>
    <w:rsid w:val="00C6247C"/>
    <w:rsid w:val="00C62B64"/>
    <w:rsid w:val="00C62F5B"/>
    <w:rsid w:val="00C6318A"/>
    <w:rsid w:val="00C636A5"/>
    <w:rsid w:val="00C640B6"/>
    <w:rsid w:val="00C652ED"/>
    <w:rsid w:val="00C65853"/>
    <w:rsid w:val="00C663F9"/>
    <w:rsid w:val="00C66662"/>
    <w:rsid w:val="00C671BA"/>
    <w:rsid w:val="00C675DB"/>
    <w:rsid w:val="00C67C46"/>
    <w:rsid w:val="00C705F8"/>
    <w:rsid w:val="00C70723"/>
    <w:rsid w:val="00C70D9E"/>
    <w:rsid w:val="00C7178F"/>
    <w:rsid w:val="00C72275"/>
    <w:rsid w:val="00C73843"/>
    <w:rsid w:val="00C73A29"/>
    <w:rsid w:val="00C73B60"/>
    <w:rsid w:val="00C74D23"/>
    <w:rsid w:val="00C76048"/>
    <w:rsid w:val="00C765AE"/>
    <w:rsid w:val="00C769AC"/>
    <w:rsid w:val="00C76DEA"/>
    <w:rsid w:val="00C770D2"/>
    <w:rsid w:val="00C774B3"/>
    <w:rsid w:val="00C77564"/>
    <w:rsid w:val="00C7786F"/>
    <w:rsid w:val="00C7789B"/>
    <w:rsid w:val="00C77E76"/>
    <w:rsid w:val="00C8032B"/>
    <w:rsid w:val="00C805A0"/>
    <w:rsid w:val="00C811B0"/>
    <w:rsid w:val="00C8158F"/>
    <w:rsid w:val="00C81B3E"/>
    <w:rsid w:val="00C81BF5"/>
    <w:rsid w:val="00C82142"/>
    <w:rsid w:val="00C8247B"/>
    <w:rsid w:val="00C82E0A"/>
    <w:rsid w:val="00C833F1"/>
    <w:rsid w:val="00C83578"/>
    <w:rsid w:val="00C844F9"/>
    <w:rsid w:val="00C8568C"/>
    <w:rsid w:val="00C866F4"/>
    <w:rsid w:val="00C86E1F"/>
    <w:rsid w:val="00C878BE"/>
    <w:rsid w:val="00C87916"/>
    <w:rsid w:val="00C87A32"/>
    <w:rsid w:val="00C9022D"/>
    <w:rsid w:val="00C9069A"/>
    <w:rsid w:val="00C90992"/>
    <w:rsid w:val="00C90E2D"/>
    <w:rsid w:val="00C91D06"/>
    <w:rsid w:val="00C921B6"/>
    <w:rsid w:val="00C92561"/>
    <w:rsid w:val="00C92842"/>
    <w:rsid w:val="00C93A50"/>
    <w:rsid w:val="00C944D2"/>
    <w:rsid w:val="00C9485F"/>
    <w:rsid w:val="00C949C1"/>
    <w:rsid w:val="00C94F5B"/>
    <w:rsid w:val="00C94FDB"/>
    <w:rsid w:val="00C96548"/>
    <w:rsid w:val="00C966E8"/>
    <w:rsid w:val="00C967DF"/>
    <w:rsid w:val="00C96C76"/>
    <w:rsid w:val="00C97A88"/>
    <w:rsid w:val="00CA0491"/>
    <w:rsid w:val="00CA0961"/>
    <w:rsid w:val="00CA09F7"/>
    <w:rsid w:val="00CA1AD0"/>
    <w:rsid w:val="00CA1E7E"/>
    <w:rsid w:val="00CA22C5"/>
    <w:rsid w:val="00CA23B0"/>
    <w:rsid w:val="00CA3442"/>
    <w:rsid w:val="00CA411A"/>
    <w:rsid w:val="00CA53B1"/>
    <w:rsid w:val="00CA55C6"/>
    <w:rsid w:val="00CA5B9F"/>
    <w:rsid w:val="00CA5D02"/>
    <w:rsid w:val="00CA68D1"/>
    <w:rsid w:val="00CA79F6"/>
    <w:rsid w:val="00CA7EF7"/>
    <w:rsid w:val="00CB0981"/>
    <w:rsid w:val="00CB1517"/>
    <w:rsid w:val="00CB1632"/>
    <w:rsid w:val="00CB179F"/>
    <w:rsid w:val="00CB18BB"/>
    <w:rsid w:val="00CB1A10"/>
    <w:rsid w:val="00CB2177"/>
    <w:rsid w:val="00CB2DBA"/>
    <w:rsid w:val="00CB2FBD"/>
    <w:rsid w:val="00CB3E0A"/>
    <w:rsid w:val="00CB3F18"/>
    <w:rsid w:val="00CB45C8"/>
    <w:rsid w:val="00CB45DE"/>
    <w:rsid w:val="00CB470A"/>
    <w:rsid w:val="00CB4990"/>
    <w:rsid w:val="00CB5133"/>
    <w:rsid w:val="00CB5211"/>
    <w:rsid w:val="00CB58D2"/>
    <w:rsid w:val="00CB5B23"/>
    <w:rsid w:val="00CB6BFB"/>
    <w:rsid w:val="00CB7ACD"/>
    <w:rsid w:val="00CB7D2A"/>
    <w:rsid w:val="00CB7F96"/>
    <w:rsid w:val="00CC0574"/>
    <w:rsid w:val="00CC05A5"/>
    <w:rsid w:val="00CC0CBD"/>
    <w:rsid w:val="00CC1025"/>
    <w:rsid w:val="00CC195D"/>
    <w:rsid w:val="00CC2227"/>
    <w:rsid w:val="00CC23AF"/>
    <w:rsid w:val="00CC24D0"/>
    <w:rsid w:val="00CC2949"/>
    <w:rsid w:val="00CC430A"/>
    <w:rsid w:val="00CC4BCA"/>
    <w:rsid w:val="00CC4D33"/>
    <w:rsid w:val="00CC503E"/>
    <w:rsid w:val="00CC551D"/>
    <w:rsid w:val="00CC55DA"/>
    <w:rsid w:val="00CC60B7"/>
    <w:rsid w:val="00CC6169"/>
    <w:rsid w:val="00CC616C"/>
    <w:rsid w:val="00CC6295"/>
    <w:rsid w:val="00CC67EA"/>
    <w:rsid w:val="00CD0EB9"/>
    <w:rsid w:val="00CD1144"/>
    <w:rsid w:val="00CD115C"/>
    <w:rsid w:val="00CD13A7"/>
    <w:rsid w:val="00CD25EB"/>
    <w:rsid w:val="00CD2DCD"/>
    <w:rsid w:val="00CD3555"/>
    <w:rsid w:val="00CD4522"/>
    <w:rsid w:val="00CD45F7"/>
    <w:rsid w:val="00CD4C14"/>
    <w:rsid w:val="00CD4D68"/>
    <w:rsid w:val="00CD4D8E"/>
    <w:rsid w:val="00CD57B3"/>
    <w:rsid w:val="00CD5D9F"/>
    <w:rsid w:val="00CD6C94"/>
    <w:rsid w:val="00CD72A3"/>
    <w:rsid w:val="00CE15DC"/>
    <w:rsid w:val="00CE1C6C"/>
    <w:rsid w:val="00CE2DDC"/>
    <w:rsid w:val="00CE3117"/>
    <w:rsid w:val="00CE31BE"/>
    <w:rsid w:val="00CE38BA"/>
    <w:rsid w:val="00CE4174"/>
    <w:rsid w:val="00CE43F3"/>
    <w:rsid w:val="00CE4744"/>
    <w:rsid w:val="00CE4793"/>
    <w:rsid w:val="00CE4B38"/>
    <w:rsid w:val="00CE4B9B"/>
    <w:rsid w:val="00CE4F66"/>
    <w:rsid w:val="00CE5167"/>
    <w:rsid w:val="00CE6600"/>
    <w:rsid w:val="00CE6DEC"/>
    <w:rsid w:val="00CE72AE"/>
    <w:rsid w:val="00CE7564"/>
    <w:rsid w:val="00CE7675"/>
    <w:rsid w:val="00CE7F1E"/>
    <w:rsid w:val="00CF161C"/>
    <w:rsid w:val="00CF1F82"/>
    <w:rsid w:val="00CF25B9"/>
    <w:rsid w:val="00CF26DA"/>
    <w:rsid w:val="00CF2FC9"/>
    <w:rsid w:val="00CF423F"/>
    <w:rsid w:val="00CF43B8"/>
    <w:rsid w:val="00CF4C5F"/>
    <w:rsid w:val="00CF5500"/>
    <w:rsid w:val="00CF5A81"/>
    <w:rsid w:val="00CF5B15"/>
    <w:rsid w:val="00CF5BAB"/>
    <w:rsid w:val="00CF5F04"/>
    <w:rsid w:val="00CF6E87"/>
    <w:rsid w:val="00CF7C7F"/>
    <w:rsid w:val="00D000B1"/>
    <w:rsid w:val="00D00701"/>
    <w:rsid w:val="00D00E1A"/>
    <w:rsid w:val="00D0196D"/>
    <w:rsid w:val="00D02061"/>
    <w:rsid w:val="00D02B17"/>
    <w:rsid w:val="00D02F0B"/>
    <w:rsid w:val="00D0325A"/>
    <w:rsid w:val="00D0359F"/>
    <w:rsid w:val="00D04E65"/>
    <w:rsid w:val="00D0528F"/>
    <w:rsid w:val="00D0565E"/>
    <w:rsid w:val="00D0604C"/>
    <w:rsid w:val="00D0626F"/>
    <w:rsid w:val="00D062FB"/>
    <w:rsid w:val="00D071C6"/>
    <w:rsid w:val="00D07BAC"/>
    <w:rsid w:val="00D1091B"/>
    <w:rsid w:val="00D10EEA"/>
    <w:rsid w:val="00D12328"/>
    <w:rsid w:val="00D124F8"/>
    <w:rsid w:val="00D12CB4"/>
    <w:rsid w:val="00D12DF2"/>
    <w:rsid w:val="00D13409"/>
    <w:rsid w:val="00D136AE"/>
    <w:rsid w:val="00D13E20"/>
    <w:rsid w:val="00D14719"/>
    <w:rsid w:val="00D14C62"/>
    <w:rsid w:val="00D14DF5"/>
    <w:rsid w:val="00D153C1"/>
    <w:rsid w:val="00D155B5"/>
    <w:rsid w:val="00D1666E"/>
    <w:rsid w:val="00D168B3"/>
    <w:rsid w:val="00D17A83"/>
    <w:rsid w:val="00D20B9F"/>
    <w:rsid w:val="00D21678"/>
    <w:rsid w:val="00D21B0A"/>
    <w:rsid w:val="00D21DE3"/>
    <w:rsid w:val="00D21E2E"/>
    <w:rsid w:val="00D221E5"/>
    <w:rsid w:val="00D22BF5"/>
    <w:rsid w:val="00D23003"/>
    <w:rsid w:val="00D23F45"/>
    <w:rsid w:val="00D2450D"/>
    <w:rsid w:val="00D252B5"/>
    <w:rsid w:val="00D25C23"/>
    <w:rsid w:val="00D261EA"/>
    <w:rsid w:val="00D26D9F"/>
    <w:rsid w:val="00D27362"/>
    <w:rsid w:val="00D27B37"/>
    <w:rsid w:val="00D27D65"/>
    <w:rsid w:val="00D306F1"/>
    <w:rsid w:val="00D308AD"/>
    <w:rsid w:val="00D30FA6"/>
    <w:rsid w:val="00D3146F"/>
    <w:rsid w:val="00D317A5"/>
    <w:rsid w:val="00D3191E"/>
    <w:rsid w:val="00D31A24"/>
    <w:rsid w:val="00D321F5"/>
    <w:rsid w:val="00D32AAD"/>
    <w:rsid w:val="00D32BD7"/>
    <w:rsid w:val="00D32E19"/>
    <w:rsid w:val="00D32F16"/>
    <w:rsid w:val="00D33340"/>
    <w:rsid w:val="00D34029"/>
    <w:rsid w:val="00D348B8"/>
    <w:rsid w:val="00D34CAC"/>
    <w:rsid w:val="00D34F92"/>
    <w:rsid w:val="00D34FDC"/>
    <w:rsid w:val="00D355B8"/>
    <w:rsid w:val="00D35805"/>
    <w:rsid w:val="00D36B34"/>
    <w:rsid w:val="00D36F26"/>
    <w:rsid w:val="00D373BE"/>
    <w:rsid w:val="00D37474"/>
    <w:rsid w:val="00D37658"/>
    <w:rsid w:val="00D378ED"/>
    <w:rsid w:val="00D40102"/>
    <w:rsid w:val="00D403D4"/>
    <w:rsid w:val="00D40D69"/>
    <w:rsid w:val="00D40E45"/>
    <w:rsid w:val="00D41F26"/>
    <w:rsid w:val="00D41F3B"/>
    <w:rsid w:val="00D42155"/>
    <w:rsid w:val="00D42265"/>
    <w:rsid w:val="00D42359"/>
    <w:rsid w:val="00D44599"/>
    <w:rsid w:val="00D44808"/>
    <w:rsid w:val="00D4484E"/>
    <w:rsid w:val="00D44DE8"/>
    <w:rsid w:val="00D44F84"/>
    <w:rsid w:val="00D45D39"/>
    <w:rsid w:val="00D4628E"/>
    <w:rsid w:val="00D46520"/>
    <w:rsid w:val="00D46A66"/>
    <w:rsid w:val="00D46C46"/>
    <w:rsid w:val="00D46CBC"/>
    <w:rsid w:val="00D4791E"/>
    <w:rsid w:val="00D505A9"/>
    <w:rsid w:val="00D5063D"/>
    <w:rsid w:val="00D51770"/>
    <w:rsid w:val="00D518C4"/>
    <w:rsid w:val="00D51A81"/>
    <w:rsid w:val="00D51A82"/>
    <w:rsid w:val="00D53A63"/>
    <w:rsid w:val="00D542EF"/>
    <w:rsid w:val="00D54A57"/>
    <w:rsid w:val="00D55576"/>
    <w:rsid w:val="00D55739"/>
    <w:rsid w:val="00D55799"/>
    <w:rsid w:val="00D55BB0"/>
    <w:rsid w:val="00D56138"/>
    <w:rsid w:val="00D56B26"/>
    <w:rsid w:val="00D56BDA"/>
    <w:rsid w:val="00D572CB"/>
    <w:rsid w:val="00D5761F"/>
    <w:rsid w:val="00D606C6"/>
    <w:rsid w:val="00D61883"/>
    <w:rsid w:val="00D622D0"/>
    <w:rsid w:val="00D626DF"/>
    <w:rsid w:val="00D63558"/>
    <w:rsid w:val="00D63A04"/>
    <w:rsid w:val="00D63ED0"/>
    <w:rsid w:val="00D64454"/>
    <w:rsid w:val="00D6514B"/>
    <w:rsid w:val="00D65B3D"/>
    <w:rsid w:val="00D66C4B"/>
    <w:rsid w:val="00D66D77"/>
    <w:rsid w:val="00D66FCB"/>
    <w:rsid w:val="00D66FD5"/>
    <w:rsid w:val="00D67314"/>
    <w:rsid w:val="00D6757F"/>
    <w:rsid w:val="00D67750"/>
    <w:rsid w:val="00D7050F"/>
    <w:rsid w:val="00D70FF0"/>
    <w:rsid w:val="00D71214"/>
    <w:rsid w:val="00D71D91"/>
    <w:rsid w:val="00D71EA6"/>
    <w:rsid w:val="00D72059"/>
    <w:rsid w:val="00D72261"/>
    <w:rsid w:val="00D7226C"/>
    <w:rsid w:val="00D72B88"/>
    <w:rsid w:val="00D736EF"/>
    <w:rsid w:val="00D7467E"/>
    <w:rsid w:val="00D74CAF"/>
    <w:rsid w:val="00D7527E"/>
    <w:rsid w:val="00D766D1"/>
    <w:rsid w:val="00D77541"/>
    <w:rsid w:val="00D77E46"/>
    <w:rsid w:val="00D8014F"/>
    <w:rsid w:val="00D80840"/>
    <w:rsid w:val="00D80B8C"/>
    <w:rsid w:val="00D80D02"/>
    <w:rsid w:val="00D82342"/>
    <w:rsid w:val="00D828DB"/>
    <w:rsid w:val="00D82947"/>
    <w:rsid w:val="00D84B02"/>
    <w:rsid w:val="00D84CC3"/>
    <w:rsid w:val="00D85445"/>
    <w:rsid w:val="00D855DB"/>
    <w:rsid w:val="00D85610"/>
    <w:rsid w:val="00D85B78"/>
    <w:rsid w:val="00D85E14"/>
    <w:rsid w:val="00D85EDA"/>
    <w:rsid w:val="00D865EE"/>
    <w:rsid w:val="00D866AC"/>
    <w:rsid w:val="00D86FF6"/>
    <w:rsid w:val="00D87D65"/>
    <w:rsid w:val="00D91636"/>
    <w:rsid w:val="00D91702"/>
    <w:rsid w:val="00D9182C"/>
    <w:rsid w:val="00D91903"/>
    <w:rsid w:val="00D91DCC"/>
    <w:rsid w:val="00D92DAA"/>
    <w:rsid w:val="00D92FCB"/>
    <w:rsid w:val="00D93344"/>
    <w:rsid w:val="00D94083"/>
    <w:rsid w:val="00D9450E"/>
    <w:rsid w:val="00D95188"/>
    <w:rsid w:val="00D95D6C"/>
    <w:rsid w:val="00D95E95"/>
    <w:rsid w:val="00D95FF3"/>
    <w:rsid w:val="00D96260"/>
    <w:rsid w:val="00D9634A"/>
    <w:rsid w:val="00D966D4"/>
    <w:rsid w:val="00D971C9"/>
    <w:rsid w:val="00D97541"/>
    <w:rsid w:val="00D97546"/>
    <w:rsid w:val="00D97E7E"/>
    <w:rsid w:val="00DA02D9"/>
    <w:rsid w:val="00DA1D58"/>
    <w:rsid w:val="00DA1DA3"/>
    <w:rsid w:val="00DA371E"/>
    <w:rsid w:val="00DA43B1"/>
    <w:rsid w:val="00DA4D8E"/>
    <w:rsid w:val="00DA4FA7"/>
    <w:rsid w:val="00DA501E"/>
    <w:rsid w:val="00DA5068"/>
    <w:rsid w:val="00DA62D0"/>
    <w:rsid w:val="00DA6D50"/>
    <w:rsid w:val="00DA7366"/>
    <w:rsid w:val="00DA74F9"/>
    <w:rsid w:val="00DA78A3"/>
    <w:rsid w:val="00DA7D41"/>
    <w:rsid w:val="00DB07B3"/>
    <w:rsid w:val="00DB136F"/>
    <w:rsid w:val="00DB1604"/>
    <w:rsid w:val="00DB163C"/>
    <w:rsid w:val="00DB169C"/>
    <w:rsid w:val="00DB1956"/>
    <w:rsid w:val="00DB1AF7"/>
    <w:rsid w:val="00DB1DB1"/>
    <w:rsid w:val="00DB1F30"/>
    <w:rsid w:val="00DB20F5"/>
    <w:rsid w:val="00DB31A4"/>
    <w:rsid w:val="00DB3228"/>
    <w:rsid w:val="00DB3557"/>
    <w:rsid w:val="00DB3F5A"/>
    <w:rsid w:val="00DB4257"/>
    <w:rsid w:val="00DB4AA4"/>
    <w:rsid w:val="00DB4DBC"/>
    <w:rsid w:val="00DB5336"/>
    <w:rsid w:val="00DB5380"/>
    <w:rsid w:val="00DB5508"/>
    <w:rsid w:val="00DB6046"/>
    <w:rsid w:val="00DB6180"/>
    <w:rsid w:val="00DB67EF"/>
    <w:rsid w:val="00DB6D37"/>
    <w:rsid w:val="00DB6E9E"/>
    <w:rsid w:val="00DB6FA1"/>
    <w:rsid w:val="00DB72C1"/>
    <w:rsid w:val="00DB7BD3"/>
    <w:rsid w:val="00DC0896"/>
    <w:rsid w:val="00DC0933"/>
    <w:rsid w:val="00DC1C41"/>
    <w:rsid w:val="00DC1C93"/>
    <w:rsid w:val="00DC1E67"/>
    <w:rsid w:val="00DC1F61"/>
    <w:rsid w:val="00DC25FA"/>
    <w:rsid w:val="00DC3123"/>
    <w:rsid w:val="00DC3793"/>
    <w:rsid w:val="00DC382F"/>
    <w:rsid w:val="00DC3E19"/>
    <w:rsid w:val="00DC3F6E"/>
    <w:rsid w:val="00DC457D"/>
    <w:rsid w:val="00DC472D"/>
    <w:rsid w:val="00DC570D"/>
    <w:rsid w:val="00DC5769"/>
    <w:rsid w:val="00DC610F"/>
    <w:rsid w:val="00DC63A8"/>
    <w:rsid w:val="00DC64BE"/>
    <w:rsid w:val="00DC6989"/>
    <w:rsid w:val="00DC7109"/>
    <w:rsid w:val="00DC77E1"/>
    <w:rsid w:val="00DC7DB1"/>
    <w:rsid w:val="00DC7DD7"/>
    <w:rsid w:val="00DD01A1"/>
    <w:rsid w:val="00DD1CBC"/>
    <w:rsid w:val="00DD1DE3"/>
    <w:rsid w:val="00DD2824"/>
    <w:rsid w:val="00DD294B"/>
    <w:rsid w:val="00DD33B5"/>
    <w:rsid w:val="00DD3A40"/>
    <w:rsid w:val="00DD45A2"/>
    <w:rsid w:val="00DD48A6"/>
    <w:rsid w:val="00DD4A85"/>
    <w:rsid w:val="00DD5374"/>
    <w:rsid w:val="00DD5C5B"/>
    <w:rsid w:val="00DD664A"/>
    <w:rsid w:val="00DD6B79"/>
    <w:rsid w:val="00DD6D85"/>
    <w:rsid w:val="00DD6D96"/>
    <w:rsid w:val="00DD6EF3"/>
    <w:rsid w:val="00DD7615"/>
    <w:rsid w:val="00DE022C"/>
    <w:rsid w:val="00DE04D2"/>
    <w:rsid w:val="00DE05B7"/>
    <w:rsid w:val="00DE07EF"/>
    <w:rsid w:val="00DE0B4A"/>
    <w:rsid w:val="00DE0D99"/>
    <w:rsid w:val="00DE0FCD"/>
    <w:rsid w:val="00DE1369"/>
    <w:rsid w:val="00DE1F0F"/>
    <w:rsid w:val="00DE22EA"/>
    <w:rsid w:val="00DE2831"/>
    <w:rsid w:val="00DE3535"/>
    <w:rsid w:val="00DE380D"/>
    <w:rsid w:val="00DE3904"/>
    <w:rsid w:val="00DE4B33"/>
    <w:rsid w:val="00DE5097"/>
    <w:rsid w:val="00DE5AAA"/>
    <w:rsid w:val="00DE61FC"/>
    <w:rsid w:val="00DE61FE"/>
    <w:rsid w:val="00DE6726"/>
    <w:rsid w:val="00DE7A8D"/>
    <w:rsid w:val="00DE7F6F"/>
    <w:rsid w:val="00DF00F5"/>
    <w:rsid w:val="00DF0BB5"/>
    <w:rsid w:val="00DF1D1F"/>
    <w:rsid w:val="00DF208D"/>
    <w:rsid w:val="00DF29C3"/>
    <w:rsid w:val="00DF2B34"/>
    <w:rsid w:val="00DF2E11"/>
    <w:rsid w:val="00DF3269"/>
    <w:rsid w:val="00DF3B3D"/>
    <w:rsid w:val="00DF425B"/>
    <w:rsid w:val="00DF444D"/>
    <w:rsid w:val="00DF489B"/>
    <w:rsid w:val="00DF4AF7"/>
    <w:rsid w:val="00DF4ECF"/>
    <w:rsid w:val="00DF4FAE"/>
    <w:rsid w:val="00DF5477"/>
    <w:rsid w:val="00DF5837"/>
    <w:rsid w:val="00DF6084"/>
    <w:rsid w:val="00DF615B"/>
    <w:rsid w:val="00DF61C5"/>
    <w:rsid w:val="00DF6391"/>
    <w:rsid w:val="00DF646A"/>
    <w:rsid w:val="00DF683D"/>
    <w:rsid w:val="00DF7777"/>
    <w:rsid w:val="00DF7F3E"/>
    <w:rsid w:val="00E00691"/>
    <w:rsid w:val="00E0083D"/>
    <w:rsid w:val="00E00F2B"/>
    <w:rsid w:val="00E01272"/>
    <w:rsid w:val="00E01632"/>
    <w:rsid w:val="00E01A67"/>
    <w:rsid w:val="00E02AE4"/>
    <w:rsid w:val="00E02BA6"/>
    <w:rsid w:val="00E02EFD"/>
    <w:rsid w:val="00E03075"/>
    <w:rsid w:val="00E03874"/>
    <w:rsid w:val="00E038C9"/>
    <w:rsid w:val="00E038D5"/>
    <w:rsid w:val="00E03BDF"/>
    <w:rsid w:val="00E04198"/>
    <w:rsid w:val="00E0438E"/>
    <w:rsid w:val="00E0441B"/>
    <w:rsid w:val="00E04976"/>
    <w:rsid w:val="00E05B4C"/>
    <w:rsid w:val="00E060A7"/>
    <w:rsid w:val="00E060F6"/>
    <w:rsid w:val="00E067A6"/>
    <w:rsid w:val="00E06AF2"/>
    <w:rsid w:val="00E07712"/>
    <w:rsid w:val="00E10790"/>
    <w:rsid w:val="00E10AA6"/>
    <w:rsid w:val="00E12DE4"/>
    <w:rsid w:val="00E1323A"/>
    <w:rsid w:val="00E137FA"/>
    <w:rsid w:val="00E13B97"/>
    <w:rsid w:val="00E13BBB"/>
    <w:rsid w:val="00E14419"/>
    <w:rsid w:val="00E150CF"/>
    <w:rsid w:val="00E155E4"/>
    <w:rsid w:val="00E15D86"/>
    <w:rsid w:val="00E16951"/>
    <w:rsid w:val="00E16E5F"/>
    <w:rsid w:val="00E174B1"/>
    <w:rsid w:val="00E1767C"/>
    <w:rsid w:val="00E20843"/>
    <w:rsid w:val="00E208E9"/>
    <w:rsid w:val="00E215C6"/>
    <w:rsid w:val="00E219B6"/>
    <w:rsid w:val="00E21BE8"/>
    <w:rsid w:val="00E22280"/>
    <w:rsid w:val="00E22CE1"/>
    <w:rsid w:val="00E23165"/>
    <w:rsid w:val="00E237A1"/>
    <w:rsid w:val="00E240B9"/>
    <w:rsid w:val="00E2541D"/>
    <w:rsid w:val="00E258FD"/>
    <w:rsid w:val="00E26737"/>
    <w:rsid w:val="00E26E22"/>
    <w:rsid w:val="00E27051"/>
    <w:rsid w:val="00E27079"/>
    <w:rsid w:val="00E307DD"/>
    <w:rsid w:val="00E310E9"/>
    <w:rsid w:val="00E3219F"/>
    <w:rsid w:val="00E32376"/>
    <w:rsid w:val="00E32987"/>
    <w:rsid w:val="00E32AE7"/>
    <w:rsid w:val="00E32CD5"/>
    <w:rsid w:val="00E32F77"/>
    <w:rsid w:val="00E33048"/>
    <w:rsid w:val="00E33084"/>
    <w:rsid w:val="00E33816"/>
    <w:rsid w:val="00E3385B"/>
    <w:rsid w:val="00E33E8B"/>
    <w:rsid w:val="00E34B24"/>
    <w:rsid w:val="00E35669"/>
    <w:rsid w:val="00E3587F"/>
    <w:rsid w:val="00E35A12"/>
    <w:rsid w:val="00E360EF"/>
    <w:rsid w:val="00E36A5A"/>
    <w:rsid w:val="00E3780E"/>
    <w:rsid w:val="00E37BF0"/>
    <w:rsid w:val="00E37F82"/>
    <w:rsid w:val="00E40055"/>
    <w:rsid w:val="00E40583"/>
    <w:rsid w:val="00E40681"/>
    <w:rsid w:val="00E408D7"/>
    <w:rsid w:val="00E4095E"/>
    <w:rsid w:val="00E40CE6"/>
    <w:rsid w:val="00E4124D"/>
    <w:rsid w:val="00E418D5"/>
    <w:rsid w:val="00E41D13"/>
    <w:rsid w:val="00E4247B"/>
    <w:rsid w:val="00E4275B"/>
    <w:rsid w:val="00E43985"/>
    <w:rsid w:val="00E44206"/>
    <w:rsid w:val="00E442F0"/>
    <w:rsid w:val="00E449C7"/>
    <w:rsid w:val="00E45672"/>
    <w:rsid w:val="00E45FA6"/>
    <w:rsid w:val="00E460DA"/>
    <w:rsid w:val="00E461E0"/>
    <w:rsid w:val="00E462D5"/>
    <w:rsid w:val="00E46B0A"/>
    <w:rsid w:val="00E47990"/>
    <w:rsid w:val="00E47BE4"/>
    <w:rsid w:val="00E51C02"/>
    <w:rsid w:val="00E5200C"/>
    <w:rsid w:val="00E52548"/>
    <w:rsid w:val="00E52724"/>
    <w:rsid w:val="00E52804"/>
    <w:rsid w:val="00E534E8"/>
    <w:rsid w:val="00E534FD"/>
    <w:rsid w:val="00E5361E"/>
    <w:rsid w:val="00E54006"/>
    <w:rsid w:val="00E5401C"/>
    <w:rsid w:val="00E542D9"/>
    <w:rsid w:val="00E54B1F"/>
    <w:rsid w:val="00E5536E"/>
    <w:rsid w:val="00E5546F"/>
    <w:rsid w:val="00E55B94"/>
    <w:rsid w:val="00E561BF"/>
    <w:rsid w:val="00E5645B"/>
    <w:rsid w:val="00E56EE1"/>
    <w:rsid w:val="00E574BD"/>
    <w:rsid w:val="00E60875"/>
    <w:rsid w:val="00E60E80"/>
    <w:rsid w:val="00E60F0C"/>
    <w:rsid w:val="00E6154C"/>
    <w:rsid w:val="00E62575"/>
    <w:rsid w:val="00E63CAD"/>
    <w:rsid w:val="00E64983"/>
    <w:rsid w:val="00E6528C"/>
    <w:rsid w:val="00E65FE0"/>
    <w:rsid w:val="00E663C3"/>
    <w:rsid w:val="00E66ACE"/>
    <w:rsid w:val="00E67D3E"/>
    <w:rsid w:val="00E67F06"/>
    <w:rsid w:val="00E70D4E"/>
    <w:rsid w:val="00E70F74"/>
    <w:rsid w:val="00E71637"/>
    <w:rsid w:val="00E716E9"/>
    <w:rsid w:val="00E71A72"/>
    <w:rsid w:val="00E72506"/>
    <w:rsid w:val="00E7292C"/>
    <w:rsid w:val="00E72EF4"/>
    <w:rsid w:val="00E7305F"/>
    <w:rsid w:val="00E730A1"/>
    <w:rsid w:val="00E733F3"/>
    <w:rsid w:val="00E73440"/>
    <w:rsid w:val="00E746DB"/>
    <w:rsid w:val="00E74770"/>
    <w:rsid w:val="00E74888"/>
    <w:rsid w:val="00E74C77"/>
    <w:rsid w:val="00E750A6"/>
    <w:rsid w:val="00E754B5"/>
    <w:rsid w:val="00E75AF0"/>
    <w:rsid w:val="00E75B78"/>
    <w:rsid w:val="00E764AE"/>
    <w:rsid w:val="00E7660C"/>
    <w:rsid w:val="00E76DDF"/>
    <w:rsid w:val="00E76EA3"/>
    <w:rsid w:val="00E77170"/>
    <w:rsid w:val="00E8082F"/>
    <w:rsid w:val="00E80BD1"/>
    <w:rsid w:val="00E80F0D"/>
    <w:rsid w:val="00E81A53"/>
    <w:rsid w:val="00E81C9E"/>
    <w:rsid w:val="00E81DBA"/>
    <w:rsid w:val="00E81DD8"/>
    <w:rsid w:val="00E82016"/>
    <w:rsid w:val="00E82563"/>
    <w:rsid w:val="00E83432"/>
    <w:rsid w:val="00E838FA"/>
    <w:rsid w:val="00E8484C"/>
    <w:rsid w:val="00E85075"/>
    <w:rsid w:val="00E8510D"/>
    <w:rsid w:val="00E85C3D"/>
    <w:rsid w:val="00E86045"/>
    <w:rsid w:val="00E8628D"/>
    <w:rsid w:val="00E86DB9"/>
    <w:rsid w:val="00E86F65"/>
    <w:rsid w:val="00E87C8B"/>
    <w:rsid w:val="00E915B2"/>
    <w:rsid w:val="00E91957"/>
    <w:rsid w:val="00E9285B"/>
    <w:rsid w:val="00E928B5"/>
    <w:rsid w:val="00E92A05"/>
    <w:rsid w:val="00E92ED8"/>
    <w:rsid w:val="00E93342"/>
    <w:rsid w:val="00E93ACD"/>
    <w:rsid w:val="00E93C54"/>
    <w:rsid w:val="00E93E14"/>
    <w:rsid w:val="00E94001"/>
    <w:rsid w:val="00E945F7"/>
    <w:rsid w:val="00E94A07"/>
    <w:rsid w:val="00E954DB"/>
    <w:rsid w:val="00E95DA6"/>
    <w:rsid w:val="00E965CA"/>
    <w:rsid w:val="00E968EB"/>
    <w:rsid w:val="00E9703B"/>
    <w:rsid w:val="00EA0324"/>
    <w:rsid w:val="00EA0985"/>
    <w:rsid w:val="00EA1073"/>
    <w:rsid w:val="00EA10AD"/>
    <w:rsid w:val="00EA1AC3"/>
    <w:rsid w:val="00EA1EDB"/>
    <w:rsid w:val="00EA3C03"/>
    <w:rsid w:val="00EA43C6"/>
    <w:rsid w:val="00EA44DE"/>
    <w:rsid w:val="00EA4D89"/>
    <w:rsid w:val="00EA50A2"/>
    <w:rsid w:val="00EA50D2"/>
    <w:rsid w:val="00EA5158"/>
    <w:rsid w:val="00EA51FF"/>
    <w:rsid w:val="00EA5224"/>
    <w:rsid w:val="00EA5C5D"/>
    <w:rsid w:val="00EA7A92"/>
    <w:rsid w:val="00EA7B3F"/>
    <w:rsid w:val="00EB02ED"/>
    <w:rsid w:val="00EB1071"/>
    <w:rsid w:val="00EB171F"/>
    <w:rsid w:val="00EB20A3"/>
    <w:rsid w:val="00EB35D0"/>
    <w:rsid w:val="00EB3C6C"/>
    <w:rsid w:val="00EB4676"/>
    <w:rsid w:val="00EB4BB4"/>
    <w:rsid w:val="00EB5073"/>
    <w:rsid w:val="00EB5433"/>
    <w:rsid w:val="00EB73D6"/>
    <w:rsid w:val="00EB7D7A"/>
    <w:rsid w:val="00EC04C4"/>
    <w:rsid w:val="00EC10BD"/>
    <w:rsid w:val="00EC116A"/>
    <w:rsid w:val="00EC1345"/>
    <w:rsid w:val="00EC1364"/>
    <w:rsid w:val="00EC1903"/>
    <w:rsid w:val="00EC1DA4"/>
    <w:rsid w:val="00EC2360"/>
    <w:rsid w:val="00EC29E3"/>
    <w:rsid w:val="00EC2A3B"/>
    <w:rsid w:val="00EC2D8B"/>
    <w:rsid w:val="00EC34A4"/>
    <w:rsid w:val="00EC3F6E"/>
    <w:rsid w:val="00EC43AA"/>
    <w:rsid w:val="00EC4AE0"/>
    <w:rsid w:val="00EC51B1"/>
    <w:rsid w:val="00EC53FC"/>
    <w:rsid w:val="00EC591D"/>
    <w:rsid w:val="00EC5DFB"/>
    <w:rsid w:val="00EC6598"/>
    <w:rsid w:val="00EC6B2C"/>
    <w:rsid w:val="00EC6DFE"/>
    <w:rsid w:val="00EC715E"/>
    <w:rsid w:val="00EC7423"/>
    <w:rsid w:val="00ED0340"/>
    <w:rsid w:val="00ED19B7"/>
    <w:rsid w:val="00ED1CE0"/>
    <w:rsid w:val="00ED2166"/>
    <w:rsid w:val="00ED22C9"/>
    <w:rsid w:val="00ED2B0D"/>
    <w:rsid w:val="00ED30A3"/>
    <w:rsid w:val="00ED33C1"/>
    <w:rsid w:val="00ED57F0"/>
    <w:rsid w:val="00ED6A18"/>
    <w:rsid w:val="00ED6A80"/>
    <w:rsid w:val="00ED6C2B"/>
    <w:rsid w:val="00ED7C64"/>
    <w:rsid w:val="00EE0320"/>
    <w:rsid w:val="00EE0477"/>
    <w:rsid w:val="00EE0C36"/>
    <w:rsid w:val="00EE0E50"/>
    <w:rsid w:val="00EE1137"/>
    <w:rsid w:val="00EE18D5"/>
    <w:rsid w:val="00EE2359"/>
    <w:rsid w:val="00EE2B7B"/>
    <w:rsid w:val="00EE2D9A"/>
    <w:rsid w:val="00EE2FA2"/>
    <w:rsid w:val="00EE3238"/>
    <w:rsid w:val="00EE36C5"/>
    <w:rsid w:val="00EE4090"/>
    <w:rsid w:val="00EE4BE5"/>
    <w:rsid w:val="00EE516A"/>
    <w:rsid w:val="00EE56BB"/>
    <w:rsid w:val="00EE5852"/>
    <w:rsid w:val="00EE5A55"/>
    <w:rsid w:val="00EE63F0"/>
    <w:rsid w:val="00EE6BCC"/>
    <w:rsid w:val="00EE6D7E"/>
    <w:rsid w:val="00EE6FD3"/>
    <w:rsid w:val="00EE7D19"/>
    <w:rsid w:val="00EF0971"/>
    <w:rsid w:val="00EF16A4"/>
    <w:rsid w:val="00EF18CE"/>
    <w:rsid w:val="00EF1981"/>
    <w:rsid w:val="00EF1F29"/>
    <w:rsid w:val="00EF283E"/>
    <w:rsid w:val="00EF3307"/>
    <w:rsid w:val="00EF403A"/>
    <w:rsid w:val="00EF4044"/>
    <w:rsid w:val="00EF4176"/>
    <w:rsid w:val="00EF41BD"/>
    <w:rsid w:val="00EF47DA"/>
    <w:rsid w:val="00EF4F20"/>
    <w:rsid w:val="00EF514C"/>
    <w:rsid w:val="00EF54DE"/>
    <w:rsid w:val="00EF6191"/>
    <w:rsid w:val="00EF6C66"/>
    <w:rsid w:val="00EF6CFD"/>
    <w:rsid w:val="00EF6D06"/>
    <w:rsid w:val="00EF70F1"/>
    <w:rsid w:val="00EF7559"/>
    <w:rsid w:val="00EF76D9"/>
    <w:rsid w:val="00EF7B76"/>
    <w:rsid w:val="00F00529"/>
    <w:rsid w:val="00F01340"/>
    <w:rsid w:val="00F019A9"/>
    <w:rsid w:val="00F01C65"/>
    <w:rsid w:val="00F0208E"/>
    <w:rsid w:val="00F022B3"/>
    <w:rsid w:val="00F02617"/>
    <w:rsid w:val="00F02714"/>
    <w:rsid w:val="00F02741"/>
    <w:rsid w:val="00F02A6D"/>
    <w:rsid w:val="00F036C9"/>
    <w:rsid w:val="00F03A10"/>
    <w:rsid w:val="00F04492"/>
    <w:rsid w:val="00F047FA"/>
    <w:rsid w:val="00F0487D"/>
    <w:rsid w:val="00F04BE1"/>
    <w:rsid w:val="00F04D56"/>
    <w:rsid w:val="00F04F87"/>
    <w:rsid w:val="00F05AD2"/>
    <w:rsid w:val="00F05AEE"/>
    <w:rsid w:val="00F05CBE"/>
    <w:rsid w:val="00F06712"/>
    <w:rsid w:val="00F0672D"/>
    <w:rsid w:val="00F06B20"/>
    <w:rsid w:val="00F0705B"/>
    <w:rsid w:val="00F076E1"/>
    <w:rsid w:val="00F07920"/>
    <w:rsid w:val="00F1026D"/>
    <w:rsid w:val="00F111CB"/>
    <w:rsid w:val="00F11566"/>
    <w:rsid w:val="00F116DA"/>
    <w:rsid w:val="00F118A7"/>
    <w:rsid w:val="00F12AC1"/>
    <w:rsid w:val="00F13078"/>
    <w:rsid w:val="00F13AF6"/>
    <w:rsid w:val="00F13B1D"/>
    <w:rsid w:val="00F141BB"/>
    <w:rsid w:val="00F1501A"/>
    <w:rsid w:val="00F15C5D"/>
    <w:rsid w:val="00F15C7A"/>
    <w:rsid w:val="00F15F6B"/>
    <w:rsid w:val="00F179C0"/>
    <w:rsid w:val="00F203C6"/>
    <w:rsid w:val="00F20F15"/>
    <w:rsid w:val="00F211EF"/>
    <w:rsid w:val="00F21522"/>
    <w:rsid w:val="00F22FB9"/>
    <w:rsid w:val="00F23157"/>
    <w:rsid w:val="00F23866"/>
    <w:rsid w:val="00F24EF9"/>
    <w:rsid w:val="00F25425"/>
    <w:rsid w:val="00F26269"/>
    <w:rsid w:val="00F26BDC"/>
    <w:rsid w:val="00F26EB8"/>
    <w:rsid w:val="00F27085"/>
    <w:rsid w:val="00F2708A"/>
    <w:rsid w:val="00F3013D"/>
    <w:rsid w:val="00F30541"/>
    <w:rsid w:val="00F3082C"/>
    <w:rsid w:val="00F3089E"/>
    <w:rsid w:val="00F30959"/>
    <w:rsid w:val="00F30A30"/>
    <w:rsid w:val="00F3136F"/>
    <w:rsid w:val="00F318AF"/>
    <w:rsid w:val="00F31ABB"/>
    <w:rsid w:val="00F31B19"/>
    <w:rsid w:val="00F31B71"/>
    <w:rsid w:val="00F32B5A"/>
    <w:rsid w:val="00F332C7"/>
    <w:rsid w:val="00F33781"/>
    <w:rsid w:val="00F33BC7"/>
    <w:rsid w:val="00F33FD2"/>
    <w:rsid w:val="00F3423C"/>
    <w:rsid w:val="00F34325"/>
    <w:rsid w:val="00F34510"/>
    <w:rsid w:val="00F345A7"/>
    <w:rsid w:val="00F3472D"/>
    <w:rsid w:val="00F35445"/>
    <w:rsid w:val="00F36999"/>
    <w:rsid w:val="00F37B89"/>
    <w:rsid w:val="00F37F40"/>
    <w:rsid w:val="00F4082F"/>
    <w:rsid w:val="00F4099C"/>
    <w:rsid w:val="00F410CE"/>
    <w:rsid w:val="00F41FA4"/>
    <w:rsid w:val="00F433A5"/>
    <w:rsid w:val="00F446C9"/>
    <w:rsid w:val="00F44CE7"/>
    <w:rsid w:val="00F44F67"/>
    <w:rsid w:val="00F45643"/>
    <w:rsid w:val="00F45B81"/>
    <w:rsid w:val="00F45CED"/>
    <w:rsid w:val="00F45EE7"/>
    <w:rsid w:val="00F45F49"/>
    <w:rsid w:val="00F460D3"/>
    <w:rsid w:val="00F462C5"/>
    <w:rsid w:val="00F46AB1"/>
    <w:rsid w:val="00F47904"/>
    <w:rsid w:val="00F47B29"/>
    <w:rsid w:val="00F50687"/>
    <w:rsid w:val="00F50F0C"/>
    <w:rsid w:val="00F51502"/>
    <w:rsid w:val="00F5164B"/>
    <w:rsid w:val="00F51886"/>
    <w:rsid w:val="00F51DCD"/>
    <w:rsid w:val="00F51EC1"/>
    <w:rsid w:val="00F52023"/>
    <w:rsid w:val="00F52337"/>
    <w:rsid w:val="00F52BF7"/>
    <w:rsid w:val="00F52FCA"/>
    <w:rsid w:val="00F530F7"/>
    <w:rsid w:val="00F53BCE"/>
    <w:rsid w:val="00F53EF0"/>
    <w:rsid w:val="00F53F26"/>
    <w:rsid w:val="00F54113"/>
    <w:rsid w:val="00F54491"/>
    <w:rsid w:val="00F54A2F"/>
    <w:rsid w:val="00F550A7"/>
    <w:rsid w:val="00F550FA"/>
    <w:rsid w:val="00F55479"/>
    <w:rsid w:val="00F560A8"/>
    <w:rsid w:val="00F56408"/>
    <w:rsid w:val="00F565D7"/>
    <w:rsid w:val="00F57C86"/>
    <w:rsid w:val="00F60208"/>
    <w:rsid w:val="00F60C09"/>
    <w:rsid w:val="00F61922"/>
    <w:rsid w:val="00F61B58"/>
    <w:rsid w:val="00F62679"/>
    <w:rsid w:val="00F63877"/>
    <w:rsid w:val="00F644DE"/>
    <w:rsid w:val="00F64626"/>
    <w:rsid w:val="00F65065"/>
    <w:rsid w:val="00F6530E"/>
    <w:rsid w:val="00F65E6A"/>
    <w:rsid w:val="00F65EFE"/>
    <w:rsid w:val="00F66320"/>
    <w:rsid w:val="00F663F5"/>
    <w:rsid w:val="00F67897"/>
    <w:rsid w:val="00F67E0F"/>
    <w:rsid w:val="00F67EC3"/>
    <w:rsid w:val="00F70AFF"/>
    <w:rsid w:val="00F70D15"/>
    <w:rsid w:val="00F70DC5"/>
    <w:rsid w:val="00F714B3"/>
    <w:rsid w:val="00F7176E"/>
    <w:rsid w:val="00F726E7"/>
    <w:rsid w:val="00F72899"/>
    <w:rsid w:val="00F728D5"/>
    <w:rsid w:val="00F72DFC"/>
    <w:rsid w:val="00F73B2B"/>
    <w:rsid w:val="00F73C9E"/>
    <w:rsid w:val="00F75EBD"/>
    <w:rsid w:val="00F774D5"/>
    <w:rsid w:val="00F774E5"/>
    <w:rsid w:val="00F77799"/>
    <w:rsid w:val="00F77F29"/>
    <w:rsid w:val="00F80C7F"/>
    <w:rsid w:val="00F8168A"/>
    <w:rsid w:val="00F819D8"/>
    <w:rsid w:val="00F81FCE"/>
    <w:rsid w:val="00F825D8"/>
    <w:rsid w:val="00F826AD"/>
    <w:rsid w:val="00F82A15"/>
    <w:rsid w:val="00F83FD1"/>
    <w:rsid w:val="00F840C3"/>
    <w:rsid w:val="00F84518"/>
    <w:rsid w:val="00F84A64"/>
    <w:rsid w:val="00F84B98"/>
    <w:rsid w:val="00F84FFE"/>
    <w:rsid w:val="00F8514C"/>
    <w:rsid w:val="00F85190"/>
    <w:rsid w:val="00F85E9F"/>
    <w:rsid w:val="00F8651A"/>
    <w:rsid w:val="00F8657D"/>
    <w:rsid w:val="00F86A38"/>
    <w:rsid w:val="00F86C8C"/>
    <w:rsid w:val="00F873D9"/>
    <w:rsid w:val="00F87411"/>
    <w:rsid w:val="00F87648"/>
    <w:rsid w:val="00F876CD"/>
    <w:rsid w:val="00F878D7"/>
    <w:rsid w:val="00F87BA6"/>
    <w:rsid w:val="00F9014D"/>
    <w:rsid w:val="00F9080F"/>
    <w:rsid w:val="00F90DEF"/>
    <w:rsid w:val="00F91498"/>
    <w:rsid w:val="00F91AFC"/>
    <w:rsid w:val="00F91C75"/>
    <w:rsid w:val="00F91EA6"/>
    <w:rsid w:val="00F9278F"/>
    <w:rsid w:val="00F92C6F"/>
    <w:rsid w:val="00F92D1B"/>
    <w:rsid w:val="00F931C1"/>
    <w:rsid w:val="00F936D4"/>
    <w:rsid w:val="00F93A7B"/>
    <w:rsid w:val="00F93D2F"/>
    <w:rsid w:val="00F94789"/>
    <w:rsid w:val="00F949C0"/>
    <w:rsid w:val="00F95027"/>
    <w:rsid w:val="00F951F4"/>
    <w:rsid w:val="00F953C9"/>
    <w:rsid w:val="00F953D8"/>
    <w:rsid w:val="00F95440"/>
    <w:rsid w:val="00F956B2"/>
    <w:rsid w:val="00F95C27"/>
    <w:rsid w:val="00F95D0E"/>
    <w:rsid w:val="00F95D82"/>
    <w:rsid w:val="00F961FC"/>
    <w:rsid w:val="00F96BD8"/>
    <w:rsid w:val="00FA0769"/>
    <w:rsid w:val="00FA0E39"/>
    <w:rsid w:val="00FA2DBB"/>
    <w:rsid w:val="00FA2E29"/>
    <w:rsid w:val="00FA34FF"/>
    <w:rsid w:val="00FA35C7"/>
    <w:rsid w:val="00FA3748"/>
    <w:rsid w:val="00FA3EE1"/>
    <w:rsid w:val="00FA480F"/>
    <w:rsid w:val="00FA4BBC"/>
    <w:rsid w:val="00FA52F5"/>
    <w:rsid w:val="00FA5C2F"/>
    <w:rsid w:val="00FA6175"/>
    <w:rsid w:val="00FA630C"/>
    <w:rsid w:val="00FA6425"/>
    <w:rsid w:val="00FA6817"/>
    <w:rsid w:val="00FA697C"/>
    <w:rsid w:val="00FA7EDA"/>
    <w:rsid w:val="00FB0BAC"/>
    <w:rsid w:val="00FB1198"/>
    <w:rsid w:val="00FB1768"/>
    <w:rsid w:val="00FB1874"/>
    <w:rsid w:val="00FB27B6"/>
    <w:rsid w:val="00FB2CBC"/>
    <w:rsid w:val="00FB2EF6"/>
    <w:rsid w:val="00FB33ED"/>
    <w:rsid w:val="00FB3F03"/>
    <w:rsid w:val="00FB406E"/>
    <w:rsid w:val="00FB4349"/>
    <w:rsid w:val="00FB4403"/>
    <w:rsid w:val="00FB4BB0"/>
    <w:rsid w:val="00FB5306"/>
    <w:rsid w:val="00FB5945"/>
    <w:rsid w:val="00FB59AD"/>
    <w:rsid w:val="00FB5DFE"/>
    <w:rsid w:val="00FB5E63"/>
    <w:rsid w:val="00FB5EF1"/>
    <w:rsid w:val="00FB65AD"/>
    <w:rsid w:val="00FB6A53"/>
    <w:rsid w:val="00FB6DC6"/>
    <w:rsid w:val="00FB7482"/>
    <w:rsid w:val="00FB7CE0"/>
    <w:rsid w:val="00FC0250"/>
    <w:rsid w:val="00FC03EF"/>
    <w:rsid w:val="00FC0B4C"/>
    <w:rsid w:val="00FC1432"/>
    <w:rsid w:val="00FC1849"/>
    <w:rsid w:val="00FC206D"/>
    <w:rsid w:val="00FC236D"/>
    <w:rsid w:val="00FC29B4"/>
    <w:rsid w:val="00FC2AE4"/>
    <w:rsid w:val="00FC308D"/>
    <w:rsid w:val="00FC381B"/>
    <w:rsid w:val="00FC42EE"/>
    <w:rsid w:val="00FC462C"/>
    <w:rsid w:val="00FC4679"/>
    <w:rsid w:val="00FC4BCB"/>
    <w:rsid w:val="00FC54E5"/>
    <w:rsid w:val="00FC6215"/>
    <w:rsid w:val="00FC675B"/>
    <w:rsid w:val="00FC697B"/>
    <w:rsid w:val="00FC6F66"/>
    <w:rsid w:val="00FC70DC"/>
    <w:rsid w:val="00FC70EF"/>
    <w:rsid w:val="00FC797B"/>
    <w:rsid w:val="00FC7EF6"/>
    <w:rsid w:val="00FD09D8"/>
    <w:rsid w:val="00FD0B25"/>
    <w:rsid w:val="00FD22DD"/>
    <w:rsid w:val="00FD24DA"/>
    <w:rsid w:val="00FD264F"/>
    <w:rsid w:val="00FD2F75"/>
    <w:rsid w:val="00FD2F8F"/>
    <w:rsid w:val="00FD309D"/>
    <w:rsid w:val="00FD3A7A"/>
    <w:rsid w:val="00FD3C8D"/>
    <w:rsid w:val="00FD3E2F"/>
    <w:rsid w:val="00FD419F"/>
    <w:rsid w:val="00FD456C"/>
    <w:rsid w:val="00FD4759"/>
    <w:rsid w:val="00FD5118"/>
    <w:rsid w:val="00FD5726"/>
    <w:rsid w:val="00FD6043"/>
    <w:rsid w:val="00FD63B1"/>
    <w:rsid w:val="00FD68D6"/>
    <w:rsid w:val="00FD7744"/>
    <w:rsid w:val="00FD774B"/>
    <w:rsid w:val="00FD7B4E"/>
    <w:rsid w:val="00FE0737"/>
    <w:rsid w:val="00FE0E1F"/>
    <w:rsid w:val="00FE1942"/>
    <w:rsid w:val="00FE230F"/>
    <w:rsid w:val="00FE2534"/>
    <w:rsid w:val="00FE26B4"/>
    <w:rsid w:val="00FE3AC4"/>
    <w:rsid w:val="00FE3C3A"/>
    <w:rsid w:val="00FE3F5E"/>
    <w:rsid w:val="00FE4037"/>
    <w:rsid w:val="00FE42F2"/>
    <w:rsid w:val="00FE5487"/>
    <w:rsid w:val="00FE5B97"/>
    <w:rsid w:val="00FE64A4"/>
    <w:rsid w:val="00FE78E1"/>
    <w:rsid w:val="00FF0591"/>
    <w:rsid w:val="00FF07B4"/>
    <w:rsid w:val="00FF0A5F"/>
    <w:rsid w:val="00FF0EC1"/>
    <w:rsid w:val="00FF1B39"/>
    <w:rsid w:val="00FF1DF6"/>
    <w:rsid w:val="00FF2862"/>
    <w:rsid w:val="00FF2C24"/>
    <w:rsid w:val="00FF2CDF"/>
    <w:rsid w:val="00FF3458"/>
    <w:rsid w:val="00FF3A27"/>
    <w:rsid w:val="00FF3BCC"/>
    <w:rsid w:val="00FF3D3E"/>
    <w:rsid w:val="00FF4923"/>
    <w:rsid w:val="00FF4CF5"/>
    <w:rsid w:val="00FF4D25"/>
    <w:rsid w:val="00FF4E62"/>
    <w:rsid w:val="00FF4F0A"/>
    <w:rsid w:val="00FF5429"/>
    <w:rsid w:val="00FF63E7"/>
    <w:rsid w:val="00FF6952"/>
    <w:rsid w:val="00FF6B45"/>
    <w:rsid w:val="00FF7286"/>
    <w:rsid w:val="00FF72D9"/>
    <w:rsid w:val="00FF7DAF"/>
    <w:rsid w:val="00FF7DE9"/>
    <w:rsid w:val="0100390C"/>
    <w:rsid w:val="01011432"/>
    <w:rsid w:val="01050F22"/>
    <w:rsid w:val="01064C9A"/>
    <w:rsid w:val="01081839"/>
    <w:rsid w:val="01083CCE"/>
    <w:rsid w:val="010B2944"/>
    <w:rsid w:val="010C0502"/>
    <w:rsid w:val="01103713"/>
    <w:rsid w:val="01192C1F"/>
    <w:rsid w:val="011949CD"/>
    <w:rsid w:val="0119677B"/>
    <w:rsid w:val="011B6997"/>
    <w:rsid w:val="011B7ED8"/>
    <w:rsid w:val="011C1B76"/>
    <w:rsid w:val="012515C4"/>
    <w:rsid w:val="0127533C"/>
    <w:rsid w:val="01284C10"/>
    <w:rsid w:val="012D4E11"/>
    <w:rsid w:val="012F5F9F"/>
    <w:rsid w:val="013171D3"/>
    <w:rsid w:val="01333A66"/>
    <w:rsid w:val="013B4944"/>
    <w:rsid w:val="013C246A"/>
    <w:rsid w:val="01427401"/>
    <w:rsid w:val="0146062C"/>
    <w:rsid w:val="014812EF"/>
    <w:rsid w:val="014A6652"/>
    <w:rsid w:val="014C3992"/>
    <w:rsid w:val="014C60C3"/>
    <w:rsid w:val="014C6B51"/>
    <w:rsid w:val="014D572B"/>
    <w:rsid w:val="014F0398"/>
    <w:rsid w:val="01510A39"/>
    <w:rsid w:val="015408C4"/>
    <w:rsid w:val="01545A05"/>
    <w:rsid w:val="015679D0"/>
    <w:rsid w:val="015769E9"/>
    <w:rsid w:val="015800BA"/>
    <w:rsid w:val="015E4AD6"/>
    <w:rsid w:val="015E6DD6"/>
    <w:rsid w:val="016937C8"/>
    <w:rsid w:val="016C71F3"/>
    <w:rsid w:val="01747E56"/>
    <w:rsid w:val="0176597C"/>
    <w:rsid w:val="017936BE"/>
    <w:rsid w:val="017A0D44"/>
    <w:rsid w:val="017C2CB3"/>
    <w:rsid w:val="017D476B"/>
    <w:rsid w:val="01802C9E"/>
    <w:rsid w:val="018276FB"/>
    <w:rsid w:val="018555A6"/>
    <w:rsid w:val="01857C73"/>
    <w:rsid w:val="018720DF"/>
    <w:rsid w:val="01874D15"/>
    <w:rsid w:val="018856AF"/>
    <w:rsid w:val="018877F4"/>
    <w:rsid w:val="01887ACF"/>
    <w:rsid w:val="018C33F1"/>
    <w:rsid w:val="018E7169"/>
    <w:rsid w:val="018F4C90"/>
    <w:rsid w:val="01907BCA"/>
    <w:rsid w:val="019245EA"/>
    <w:rsid w:val="0194674A"/>
    <w:rsid w:val="01974F9B"/>
    <w:rsid w:val="01A46DA5"/>
    <w:rsid w:val="01A57412"/>
    <w:rsid w:val="01A66FF4"/>
    <w:rsid w:val="01A85D51"/>
    <w:rsid w:val="01A94A2E"/>
    <w:rsid w:val="01AA1AC9"/>
    <w:rsid w:val="01AA3877"/>
    <w:rsid w:val="01AB198E"/>
    <w:rsid w:val="01B140BF"/>
    <w:rsid w:val="01B573F4"/>
    <w:rsid w:val="01B66AA1"/>
    <w:rsid w:val="01B82438"/>
    <w:rsid w:val="01BE4222"/>
    <w:rsid w:val="01BF5575"/>
    <w:rsid w:val="01C04754"/>
    <w:rsid w:val="01C71D6A"/>
    <w:rsid w:val="01C72903"/>
    <w:rsid w:val="01C81F50"/>
    <w:rsid w:val="01CC7C92"/>
    <w:rsid w:val="01CE29C1"/>
    <w:rsid w:val="01D11412"/>
    <w:rsid w:val="01D134FA"/>
    <w:rsid w:val="01D136A9"/>
    <w:rsid w:val="01D54D98"/>
    <w:rsid w:val="01D61869"/>
    <w:rsid w:val="01DB6127"/>
    <w:rsid w:val="01E267FE"/>
    <w:rsid w:val="01E274B5"/>
    <w:rsid w:val="01E4322D"/>
    <w:rsid w:val="01E46D89"/>
    <w:rsid w:val="01E70628"/>
    <w:rsid w:val="01EB4256"/>
    <w:rsid w:val="01F250A3"/>
    <w:rsid w:val="01F537C1"/>
    <w:rsid w:val="01F571E8"/>
    <w:rsid w:val="01F80A87"/>
    <w:rsid w:val="01FD609D"/>
    <w:rsid w:val="01FE5971"/>
    <w:rsid w:val="020138B9"/>
    <w:rsid w:val="020E02AA"/>
    <w:rsid w:val="020E2058"/>
    <w:rsid w:val="02117D9A"/>
    <w:rsid w:val="0213602D"/>
    <w:rsid w:val="021545C4"/>
    <w:rsid w:val="02184C85"/>
    <w:rsid w:val="021D693B"/>
    <w:rsid w:val="021F6013"/>
    <w:rsid w:val="021F6B64"/>
    <w:rsid w:val="02205A60"/>
    <w:rsid w:val="02274EC8"/>
    <w:rsid w:val="022A6766"/>
    <w:rsid w:val="022B35A1"/>
    <w:rsid w:val="022D1D83"/>
    <w:rsid w:val="022E2D4C"/>
    <w:rsid w:val="022F4AC9"/>
    <w:rsid w:val="02301FCF"/>
    <w:rsid w:val="02342087"/>
    <w:rsid w:val="02353A89"/>
    <w:rsid w:val="023644A5"/>
    <w:rsid w:val="023651E7"/>
    <w:rsid w:val="02385327"/>
    <w:rsid w:val="023B6BC5"/>
    <w:rsid w:val="023D0B8F"/>
    <w:rsid w:val="023E60E5"/>
    <w:rsid w:val="023F0A73"/>
    <w:rsid w:val="02421D02"/>
    <w:rsid w:val="02441F1E"/>
    <w:rsid w:val="02447828"/>
    <w:rsid w:val="024535A0"/>
    <w:rsid w:val="024737BC"/>
    <w:rsid w:val="02493A94"/>
    <w:rsid w:val="024E4B4B"/>
    <w:rsid w:val="025008C3"/>
    <w:rsid w:val="02511F45"/>
    <w:rsid w:val="025263E9"/>
    <w:rsid w:val="02533F0F"/>
    <w:rsid w:val="02555ED9"/>
    <w:rsid w:val="02566F65"/>
    <w:rsid w:val="025832D3"/>
    <w:rsid w:val="02587777"/>
    <w:rsid w:val="0259076E"/>
    <w:rsid w:val="025A0EF9"/>
    <w:rsid w:val="025B6669"/>
    <w:rsid w:val="025C2B4A"/>
    <w:rsid w:val="025F28B4"/>
    <w:rsid w:val="02611FB6"/>
    <w:rsid w:val="02624152"/>
    <w:rsid w:val="02627C15"/>
    <w:rsid w:val="026360FF"/>
    <w:rsid w:val="02675D4C"/>
    <w:rsid w:val="02685C0C"/>
    <w:rsid w:val="026B74AB"/>
    <w:rsid w:val="027125E7"/>
    <w:rsid w:val="02714395"/>
    <w:rsid w:val="02755496"/>
    <w:rsid w:val="027951DA"/>
    <w:rsid w:val="027A5940"/>
    <w:rsid w:val="02807D6C"/>
    <w:rsid w:val="028103EF"/>
    <w:rsid w:val="02820350"/>
    <w:rsid w:val="028761ED"/>
    <w:rsid w:val="02902A6D"/>
    <w:rsid w:val="02905705"/>
    <w:rsid w:val="029232D9"/>
    <w:rsid w:val="029C37FA"/>
    <w:rsid w:val="029E162E"/>
    <w:rsid w:val="029E2FEA"/>
    <w:rsid w:val="02A76009"/>
    <w:rsid w:val="02A76FF8"/>
    <w:rsid w:val="02A835D2"/>
    <w:rsid w:val="02A96DE6"/>
    <w:rsid w:val="02AB5AF9"/>
    <w:rsid w:val="02AC3316"/>
    <w:rsid w:val="02AD227F"/>
    <w:rsid w:val="02B0310F"/>
    <w:rsid w:val="02B21002"/>
    <w:rsid w:val="02B26E88"/>
    <w:rsid w:val="02B32C00"/>
    <w:rsid w:val="02B47C8B"/>
    <w:rsid w:val="02B629CA"/>
    <w:rsid w:val="02B7449E"/>
    <w:rsid w:val="02BD0FEE"/>
    <w:rsid w:val="02BF3353"/>
    <w:rsid w:val="02C17351"/>
    <w:rsid w:val="02C26D4F"/>
    <w:rsid w:val="02C32E43"/>
    <w:rsid w:val="02C36868"/>
    <w:rsid w:val="02CA4827"/>
    <w:rsid w:val="02CB619B"/>
    <w:rsid w:val="02CC17E9"/>
    <w:rsid w:val="02CE0832"/>
    <w:rsid w:val="02CE2AFD"/>
    <w:rsid w:val="02D05560"/>
    <w:rsid w:val="02D35C04"/>
    <w:rsid w:val="02D52B76"/>
    <w:rsid w:val="02D74B40"/>
    <w:rsid w:val="02DA018C"/>
    <w:rsid w:val="02DA61D1"/>
    <w:rsid w:val="02DB4E4E"/>
    <w:rsid w:val="02DC20C4"/>
    <w:rsid w:val="02DC2156"/>
    <w:rsid w:val="02DD1A2B"/>
    <w:rsid w:val="02E01A7A"/>
    <w:rsid w:val="02E1776D"/>
    <w:rsid w:val="02E17B17"/>
    <w:rsid w:val="02E35293"/>
    <w:rsid w:val="02E66B31"/>
    <w:rsid w:val="02EA4873"/>
    <w:rsid w:val="02EE0AAE"/>
    <w:rsid w:val="02F34B1B"/>
    <w:rsid w:val="02FA0367"/>
    <w:rsid w:val="02FC0453"/>
    <w:rsid w:val="02FE0187"/>
    <w:rsid w:val="03086AA8"/>
    <w:rsid w:val="03091DE3"/>
    <w:rsid w:val="030A5F1C"/>
    <w:rsid w:val="030B6881"/>
    <w:rsid w:val="030D40BE"/>
    <w:rsid w:val="030F42DA"/>
    <w:rsid w:val="030F52E3"/>
    <w:rsid w:val="031511C4"/>
    <w:rsid w:val="031C6C92"/>
    <w:rsid w:val="031F2043"/>
    <w:rsid w:val="0321400D"/>
    <w:rsid w:val="03231B33"/>
    <w:rsid w:val="0327436E"/>
    <w:rsid w:val="03281CE7"/>
    <w:rsid w:val="032A4C70"/>
    <w:rsid w:val="03304250"/>
    <w:rsid w:val="03322A98"/>
    <w:rsid w:val="03323B24"/>
    <w:rsid w:val="03380F32"/>
    <w:rsid w:val="033F5DAF"/>
    <w:rsid w:val="0340173B"/>
    <w:rsid w:val="0340696F"/>
    <w:rsid w:val="034075DD"/>
    <w:rsid w:val="0341020B"/>
    <w:rsid w:val="03433F84"/>
    <w:rsid w:val="03463A74"/>
    <w:rsid w:val="03473B75"/>
    <w:rsid w:val="03483348"/>
    <w:rsid w:val="03483413"/>
    <w:rsid w:val="034A55A0"/>
    <w:rsid w:val="034B5D33"/>
    <w:rsid w:val="034D4E02"/>
    <w:rsid w:val="035241C7"/>
    <w:rsid w:val="0352455F"/>
    <w:rsid w:val="03546191"/>
    <w:rsid w:val="03551451"/>
    <w:rsid w:val="035644BB"/>
    <w:rsid w:val="035717DD"/>
    <w:rsid w:val="035D6DC5"/>
    <w:rsid w:val="035E0DBD"/>
    <w:rsid w:val="035E4919"/>
    <w:rsid w:val="036068E4"/>
    <w:rsid w:val="03630182"/>
    <w:rsid w:val="03681C3C"/>
    <w:rsid w:val="036839EA"/>
    <w:rsid w:val="03692760"/>
    <w:rsid w:val="036C58F1"/>
    <w:rsid w:val="036D7252"/>
    <w:rsid w:val="036F6B27"/>
    <w:rsid w:val="03724984"/>
    <w:rsid w:val="03754774"/>
    <w:rsid w:val="03791753"/>
    <w:rsid w:val="037C0842"/>
    <w:rsid w:val="037C7496"/>
    <w:rsid w:val="037D0EFF"/>
    <w:rsid w:val="037D672C"/>
    <w:rsid w:val="037E4FBC"/>
    <w:rsid w:val="037E6D6A"/>
    <w:rsid w:val="03836A76"/>
    <w:rsid w:val="03852101"/>
    <w:rsid w:val="038A33AB"/>
    <w:rsid w:val="038D4BE9"/>
    <w:rsid w:val="038D5773"/>
    <w:rsid w:val="039043D5"/>
    <w:rsid w:val="039368F1"/>
    <w:rsid w:val="039842CF"/>
    <w:rsid w:val="03984D1D"/>
    <w:rsid w:val="03993BA4"/>
    <w:rsid w:val="039C4395"/>
    <w:rsid w:val="039E11BA"/>
    <w:rsid w:val="039E740C"/>
    <w:rsid w:val="039F0875"/>
    <w:rsid w:val="039F4F4E"/>
    <w:rsid w:val="03A10CAA"/>
    <w:rsid w:val="03A34A22"/>
    <w:rsid w:val="03A37489"/>
    <w:rsid w:val="03A553E2"/>
    <w:rsid w:val="03A762C0"/>
    <w:rsid w:val="03A8028B"/>
    <w:rsid w:val="03A964DC"/>
    <w:rsid w:val="03AF54E9"/>
    <w:rsid w:val="03B32AD2"/>
    <w:rsid w:val="03B55068"/>
    <w:rsid w:val="03B6171D"/>
    <w:rsid w:val="03B920E2"/>
    <w:rsid w:val="03B922B9"/>
    <w:rsid w:val="03B94246"/>
    <w:rsid w:val="03BC7892"/>
    <w:rsid w:val="03BE185C"/>
    <w:rsid w:val="03BE44FB"/>
    <w:rsid w:val="03C24D40"/>
    <w:rsid w:val="03C52BEB"/>
    <w:rsid w:val="03CA0201"/>
    <w:rsid w:val="03CA1FAF"/>
    <w:rsid w:val="03CC21CB"/>
    <w:rsid w:val="03CD2B37"/>
    <w:rsid w:val="03D1333D"/>
    <w:rsid w:val="03D177E1"/>
    <w:rsid w:val="03D41080"/>
    <w:rsid w:val="03D70B20"/>
    <w:rsid w:val="03D746CC"/>
    <w:rsid w:val="03D84F0B"/>
    <w:rsid w:val="03DB240E"/>
    <w:rsid w:val="03E07A24"/>
    <w:rsid w:val="03E219EE"/>
    <w:rsid w:val="03E84FE9"/>
    <w:rsid w:val="03E90C72"/>
    <w:rsid w:val="03E93FF5"/>
    <w:rsid w:val="03ED5D1A"/>
    <w:rsid w:val="03F22F52"/>
    <w:rsid w:val="03F25B4D"/>
    <w:rsid w:val="03F81852"/>
    <w:rsid w:val="03FB2A2B"/>
    <w:rsid w:val="03FD2384"/>
    <w:rsid w:val="04001E75"/>
    <w:rsid w:val="04004921"/>
    <w:rsid w:val="0406477E"/>
    <w:rsid w:val="040A4AA1"/>
    <w:rsid w:val="040C6A6B"/>
    <w:rsid w:val="040D1A80"/>
    <w:rsid w:val="04115E30"/>
    <w:rsid w:val="04133CDE"/>
    <w:rsid w:val="041729B8"/>
    <w:rsid w:val="04176E11"/>
    <w:rsid w:val="041871BE"/>
    <w:rsid w:val="041E44A0"/>
    <w:rsid w:val="042042C5"/>
    <w:rsid w:val="04243DB5"/>
    <w:rsid w:val="04276022"/>
    <w:rsid w:val="04277401"/>
    <w:rsid w:val="04292FD8"/>
    <w:rsid w:val="042A34D3"/>
    <w:rsid w:val="042B5143"/>
    <w:rsid w:val="042F2B33"/>
    <w:rsid w:val="042F62B6"/>
    <w:rsid w:val="0430275A"/>
    <w:rsid w:val="04310280"/>
    <w:rsid w:val="04387860"/>
    <w:rsid w:val="043930E0"/>
    <w:rsid w:val="04393E40"/>
    <w:rsid w:val="043A7135"/>
    <w:rsid w:val="043D09D3"/>
    <w:rsid w:val="043F474B"/>
    <w:rsid w:val="044004C3"/>
    <w:rsid w:val="0440101B"/>
    <w:rsid w:val="044236A8"/>
    <w:rsid w:val="044605DF"/>
    <w:rsid w:val="044704D0"/>
    <w:rsid w:val="04471852"/>
    <w:rsid w:val="044A4FC7"/>
    <w:rsid w:val="04506958"/>
    <w:rsid w:val="0451631E"/>
    <w:rsid w:val="045226B8"/>
    <w:rsid w:val="04526CC0"/>
    <w:rsid w:val="045521C0"/>
    <w:rsid w:val="04555B4B"/>
    <w:rsid w:val="045B52FD"/>
    <w:rsid w:val="045D2E23"/>
    <w:rsid w:val="045F3EC1"/>
    <w:rsid w:val="04602913"/>
    <w:rsid w:val="046248DD"/>
    <w:rsid w:val="04640482"/>
    <w:rsid w:val="04651CD8"/>
    <w:rsid w:val="046C750A"/>
    <w:rsid w:val="046E110A"/>
    <w:rsid w:val="046E7D42"/>
    <w:rsid w:val="047528F1"/>
    <w:rsid w:val="04806B11"/>
    <w:rsid w:val="04820ADC"/>
    <w:rsid w:val="04826D2E"/>
    <w:rsid w:val="04866244"/>
    <w:rsid w:val="048E1E25"/>
    <w:rsid w:val="0490144A"/>
    <w:rsid w:val="04902CB6"/>
    <w:rsid w:val="049525BD"/>
    <w:rsid w:val="04986316"/>
    <w:rsid w:val="049B394B"/>
    <w:rsid w:val="049F343C"/>
    <w:rsid w:val="04A171B4"/>
    <w:rsid w:val="04A24E62"/>
    <w:rsid w:val="04A3117E"/>
    <w:rsid w:val="04A41D1E"/>
    <w:rsid w:val="04AC0BD2"/>
    <w:rsid w:val="04B02B61"/>
    <w:rsid w:val="04B14F1D"/>
    <w:rsid w:val="04B213C1"/>
    <w:rsid w:val="04BB4FFE"/>
    <w:rsid w:val="04BC223F"/>
    <w:rsid w:val="04BD7D66"/>
    <w:rsid w:val="04C11604"/>
    <w:rsid w:val="04C3537C"/>
    <w:rsid w:val="04C904B8"/>
    <w:rsid w:val="04CB4231"/>
    <w:rsid w:val="04D07A99"/>
    <w:rsid w:val="04D1571B"/>
    <w:rsid w:val="04D40081"/>
    <w:rsid w:val="04D74983"/>
    <w:rsid w:val="04DC01EC"/>
    <w:rsid w:val="04E15802"/>
    <w:rsid w:val="04E377CC"/>
    <w:rsid w:val="04EB48D3"/>
    <w:rsid w:val="04F06BEA"/>
    <w:rsid w:val="04F25C61"/>
    <w:rsid w:val="04F274F3"/>
    <w:rsid w:val="04F3694B"/>
    <w:rsid w:val="04F475F8"/>
    <w:rsid w:val="04F573BA"/>
    <w:rsid w:val="04FD0162"/>
    <w:rsid w:val="04FF037E"/>
    <w:rsid w:val="05001F93"/>
    <w:rsid w:val="05014417"/>
    <w:rsid w:val="05015EA4"/>
    <w:rsid w:val="05093900"/>
    <w:rsid w:val="050F05C1"/>
    <w:rsid w:val="051200B1"/>
    <w:rsid w:val="051300AE"/>
    <w:rsid w:val="05145A90"/>
    <w:rsid w:val="051536FE"/>
    <w:rsid w:val="0517289F"/>
    <w:rsid w:val="05176F0B"/>
    <w:rsid w:val="051B153F"/>
    <w:rsid w:val="051B7341"/>
    <w:rsid w:val="051E5080"/>
    <w:rsid w:val="05216546"/>
    <w:rsid w:val="05222520"/>
    <w:rsid w:val="05241B93"/>
    <w:rsid w:val="052438CC"/>
    <w:rsid w:val="052849AD"/>
    <w:rsid w:val="05290F57"/>
    <w:rsid w:val="052A32DF"/>
    <w:rsid w:val="052A495F"/>
    <w:rsid w:val="052D6D84"/>
    <w:rsid w:val="052E05D6"/>
    <w:rsid w:val="052F26B9"/>
    <w:rsid w:val="053022E6"/>
    <w:rsid w:val="0532605E"/>
    <w:rsid w:val="05353DA0"/>
    <w:rsid w:val="05365DEF"/>
    <w:rsid w:val="053A13B6"/>
    <w:rsid w:val="053C6EDC"/>
    <w:rsid w:val="05404C1F"/>
    <w:rsid w:val="05452235"/>
    <w:rsid w:val="05476ED2"/>
    <w:rsid w:val="05497F99"/>
    <w:rsid w:val="054E09BE"/>
    <w:rsid w:val="05505DB7"/>
    <w:rsid w:val="05524952"/>
    <w:rsid w:val="05575AC4"/>
    <w:rsid w:val="05597A8E"/>
    <w:rsid w:val="055A3010"/>
    <w:rsid w:val="055A7363"/>
    <w:rsid w:val="055C132D"/>
    <w:rsid w:val="055F0B42"/>
    <w:rsid w:val="05602691"/>
    <w:rsid w:val="05676691"/>
    <w:rsid w:val="05687CD1"/>
    <w:rsid w:val="056A253B"/>
    <w:rsid w:val="056A3A4A"/>
    <w:rsid w:val="056C3788"/>
    <w:rsid w:val="056D7748"/>
    <w:rsid w:val="056F1060"/>
    <w:rsid w:val="056F72B2"/>
    <w:rsid w:val="05707F34"/>
    <w:rsid w:val="05720B50"/>
    <w:rsid w:val="057331A2"/>
    <w:rsid w:val="057F441C"/>
    <w:rsid w:val="05801C52"/>
    <w:rsid w:val="05810D93"/>
    <w:rsid w:val="05850883"/>
    <w:rsid w:val="0586441E"/>
    <w:rsid w:val="05883ED0"/>
    <w:rsid w:val="0591547A"/>
    <w:rsid w:val="05926AFC"/>
    <w:rsid w:val="05940AC6"/>
    <w:rsid w:val="05946ADF"/>
    <w:rsid w:val="05955B7C"/>
    <w:rsid w:val="05962A91"/>
    <w:rsid w:val="05972365"/>
    <w:rsid w:val="059726A3"/>
    <w:rsid w:val="05997E8B"/>
    <w:rsid w:val="059E36F3"/>
    <w:rsid w:val="05A445EF"/>
    <w:rsid w:val="05A47428"/>
    <w:rsid w:val="05A7587F"/>
    <w:rsid w:val="05A833CB"/>
    <w:rsid w:val="05AC22B4"/>
    <w:rsid w:val="05B13C4F"/>
    <w:rsid w:val="05B44CC5"/>
    <w:rsid w:val="05B60A3D"/>
    <w:rsid w:val="05B80C59"/>
    <w:rsid w:val="05BD455A"/>
    <w:rsid w:val="05BE5B43"/>
    <w:rsid w:val="05CC78EA"/>
    <w:rsid w:val="05CD5D86"/>
    <w:rsid w:val="05D435B9"/>
    <w:rsid w:val="05D826FB"/>
    <w:rsid w:val="05DB2E94"/>
    <w:rsid w:val="05DB3FDB"/>
    <w:rsid w:val="05DD06BF"/>
    <w:rsid w:val="05DD246D"/>
    <w:rsid w:val="05DE0AE0"/>
    <w:rsid w:val="05DE1650"/>
    <w:rsid w:val="05DE5EF1"/>
    <w:rsid w:val="05DE7F94"/>
    <w:rsid w:val="05E27A84"/>
    <w:rsid w:val="05E476D5"/>
    <w:rsid w:val="05E64A5A"/>
    <w:rsid w:val="05E76E48"/>
    <w:rsid w:val="05EA6F2B"/>
    <w:rsid w:val="05EC37DD"/>
    <w:rsid w:val="05EC445F"/>
    <w:rsid w:val="05ED752D"/>
    <w:rsid w:val="05EE32CE"/>
    <w:rsid w:val="05EE5226"/>
    <w:rsid w:val="05EF21A1"/>
    <w:rsid w:val="05EF467C"/>
    <w:rsid w:val="05F477B7"/>
    <w:rsid w:val="05F805B0"/>
    <w:rsid w:val="05F872A7"/>
    <w:rsid w:val="05F9301F"/>
    <w:rsid w:val="05FB01CC"/>
    <w:rsid w:val="05FB28F4"/>
    <w:rsid w:val="05FB5A9A"/>
    <w:rsid w:val="06007F0A"/>
    <w:rsid w:val="06043E9E"/>
    <w:rsid w:val="060774EA"/>
    <w:rsid w:val="060806B6"/>
    <w:rsid w:val="06085010"/>
    <w:rsid w:val="060914B4"/>
    <w:rsid w:val="060A6FDB"/>
    <w:rsid w:val="060E6ACB"/>
    <w:rsid w:val="06112117"/>
    <w:rsid w:val="06127C3D"/>
    <w:rsid w:val="061439B5"/>
    <w:rsid w:val="0616408D"/>
    <w:rsid w:val="0616772D"/>
    <w:rsid w:val="06175254"/>
    <w:rsid w:val="06182A54"/>
    <w:rsid w:val="061834A6"/>
    <w:rsid w:val="06191E5D"/>
    <w:rsid w:val="061B11E8"/>
    <w:rsid w:val="061B2F96"/>
    <w:rsid w:val="0620235A"/>
    <w:rsid w:val="06257970"/>
    <w:rsid w:val="062C51A3"/>
    <w:rsid w:val="06325849"/>
    <w:rsid w:val="06336531"/>
    <w:rsid w:val="063522A9"/>
    <w:rsid w:val="0639341C"/>
    <w:rsid w:val="063B7194"/>
    <w:rsid w:val="064047AA"/>
    <w:rsid w:val="064249C6"/>
    <w:rsid w:val="06465A4B"/>
    <w:rsid w:val="06467843"/>
    <w:rsid w:val="06473986"/>
    <w:rsid w:val="06490539"/>
    <w:rsid w:val="064A387B"/>
    <w:rsid w:val="064A5629"/>
    <w:rsid w:val="064F2C3F"/>
    <w:rsid w:val="064F3E42"/>
    <w:rsid w:val="065344DE"/>
    <w:rsid w:val="065546FA"/>
    <w:rsid w:val="06571BE8"/>
    <w:rsid w:val="065A0DDD"/>
    <w:rsid w:val="065B3392"/>
    <w:rsid w:val="065B7836"/>
    <w:rsid w:val="065D16A6"/>
    <w:rsid w:val="065E719D"/>
    <w:rsid w:val="06606BFB"/>
    <w:rsid w:val="06622973"/>
    <w:rsid w:val="06640499"/>
    <w:rsid w:val="0664445A"/>
    <w:rsid w:val="0664493D"/>
    <w:rsid w:val="066761DB"/>
    <w:rsid w:val="066833E1"/>
    <w:rsid w:val="066944DC"/>
    <w:rsid w:val="066A7A79"/>
    <w:rsid w:val="066C37F1"/>
    <w:rsid w:val="066F6E3E"/>
    <w:rsid w:val="06744454"/>
    <w:rsid w:val="067526A6"/>
    <w:rsid w:val="0676290E"/>
    <w:rsid w:val="067803E8"/>
    <w:rsid w:val="06782196"/>
    <w:rsid w:val="067F52D3"/>
    <w:rsid w:val="06840B3B"/>
    <w:rsid w:val="068428E9"/>
    <w:rsid w:val="068A026E"/>
    <w:rsid w:val="068C5D45"/>
    <w:rsid w:val="068D091C"/>
    <w:rsid w:val="068D4BB7"/>
    <w:rsid w:val="06905732"/>
    <w:rsid w:val="0695059B"/>
    <w:rsid w:val="06976AC0"/>
    <w:rsid w:val="069A01B7"/>
    <w:rsid w:val="069B4A96"/>
    <w:rsid w:val="069B740A"/>
    <w:rsid w:val="069C40D7"/>
    <w:rsid w:val="069F3BC7"/>
    <w:rsid w:val="06A66D03"/>
    <w:rsid w:val="06AC7590"/>
    <w:rsid w:val="06AE5BB8"/>
    <w:rsid w:val="06B331CE"/>
    <w:rsid w:val="06B6401D"/>
    <w:rsid w:val="06B807E5"/>
    <w:rsid w:val="06B86A37"/>
    <w:rsid w:val="06BD404D"/>
    <w:rsid w:val="06BF7DC5"/>
    <w:rsid w:val="06C23411"/>
    <w:rsid w:val="06C320D5"/>
    <w:rsid w:val="06C47189"/>
    <w:rsid w:val="06C84AC8"/>
    <w:rsid w:val="06CB0518"/>
    <w:rsid w:val="06CC3FAA"/>
    <w:rsid w:val="06CC4290"/>
    <w:rsid w:val="06CE625A"/>
    <w:rsid w:val="06D61CB9"/>
    <w:rsid w:val="06DA5DDD"/>
    <w:rsid w:val="06DE46EF"/>
    <w:rsid w:val="06DF2215"/>
    <w:rsid w:val="06DF5874"/>
    <w:rsid w:val="06DF5D71"/>
    <w:rsid w:val="06E25862"/>
    <w:rsid w:val="06E7545A"/>
    <w:rsid w:val="06E86BF4"/>
    <w:rsid w:val="06F75031"/>
    <w:rsid w:val="06F757B1"/>
    <w:rsid w:val="06F85066"/>
    <w:rsid w:val="06F8684F"/>
    <w:rsid w:val="06F869A0"/>
    <w:rsid w:val="06FA0DFD"/>
    <w:rsid w:val="06FB30AC"/>
    <w:rsid w:val="07010DB6"/>
    <w:rsid w:val="07034156"/>
    <w:rsid w:val="07035B99"/>
    <w:rsid w:val="0705451D"/>
    <w:rsid w:val="07087A5A"/>
    <w:rsid w:val="07091040"/>
    <w:rsid w:val="070B4DB8"/>
    <w:rsid w:val="070D5509"/>
    <w:rsid w:val="070E2AFA"/>
    <w:rsid w:val="070E32F3"/>
    <w:rsid w:val="070E6657"/>
    <w:rsid w:val="07185B7D"/>
    <w:rsid w:val="071874D5"/>
    <w:rsid w:val="07190C8A"/>
    <w:rsid w:val="07195727"/>
    <w:rsid w:val="071A4FFB"/>
    <w:rsid w:val="071C1F54"/>
    <w:rsid w:val="071D1D74"/>
    <w:rsid w:val="071E2B3C"/>
    <w:rsid w:val="071E2D3E"/>
    <w:rsid w:val="071F09A6"/>
    <w:rsid w:val="071F6AB6"/>
    <w:rsid w:val="07275488"/>
    <w:rsid w:val="0728596A"/>
    <w:rsid w:val="072A7934"/>
    <w:rsid w:val="072E6CF9"/>
    <w:rsid w:val="07340FEE"/>
    <w:rsid w:val="07352828"/>
    <w:rsid w:val="073A569E"/>
    <w:rsid w:val="073C7FDB"/>
    <w:rsid w:val="073E6F3C"/>
    <w:rsid w:val="07402317"/>
    <w:rsid w:val="0742658C"/>
    <w:rsid w:val="074A2F58"/>
    <w:rsid w:val="074B3B46"/>
    <w:rsid w:val="074C563F"/>
    <w:rsid w:val="074E2EF7"/>
    <w:rsid w:val="07512869"/>
    <w:rsid w:val="0753050D"/>
    <w:rsid w:val="07567712"/>
    <w:rsid w:val="07577003"/>
    <w:rsid w:val="07577FFE"/>
    <w:rsid w:val="075C1AB8"/>
    <w:rsid w:val="075F3634"/>
    <w:rsid w:val="07614372"/>
    <w:rsid w:val="076B1CFB"/>
    <w:rsid w:val="076B3AA9"/>
    <w:rsid w:val="076B5F63"/>
    <w:rsid w:val="076D6F60"/>
    <w:rsid w:val="076E018C"/>
    <w:rsid w:val="076F3599"/>
    <w:rsid w:val="07723089"/>
    <w:rsid w:val="07764601"/>
    <w:rsid w:val="077A5DF3"/>
    <w:rsid w:val="077E1A2E"/>
    <w:rsid w:val="078057A6"/>
    <w:rsid w:val="07827A92"/>
    <w:rsid w:val="07832BA1"/>
    <w:rsid w:val="07833AF3"/>
    <w:rsid w:val="078533E8"/>
    <w:rsid w:val="07862691"/>
    <w:rsid w:val="07886409"/>
    <w:rsid w:val="078D3A1F"/>
    <w:rsid w:val="079052BE"/>
    <w:rsid w:val="07911761"/>
    <w:rsid w:val="07971F69"/>
    <w:rsid w:val="079B08F7"/>
    <w:rsid w:val="079B25E0"/>
    <w:rsid w:val="079C3C62"/>
    <w:rsid w:val="07A64AE1"/>
    <w:rsid w:val="07A70F85"/>
    <w:rsid w:val="07A71C9D"/>
    <w:rsid w:val="07AB20F7"/>
    <w:rsid w:val="07AC6BC5"/>
    <w:rsid w:val="07AE3F64"/>
    <w:rsid w:val="07B46FBB"/>
    <w:rsid w:val="07B94814"/>
    <w:rsid w:val="07BB13F5"/>
    <w:rsid w:val="07BE5E08"/>
    <w:rsid w:val="07C02047"/>
    <w:rsid w:val="07C11740"/>
    <w:rsid w:val="07C5765D"/>
    <w:rsid w:val="07C7226A"/>
    <w:rsid w:val="07C75183"/>
    <w:rsid w:val="07C80D97"/>
    <w:rsid w:val="07C80EFB"/>
    <w:rsid w:val="07C82CA9"/>
    <w:rsid w:val="07CD4764"/>
    <w:rsid w:val="07CF5DE6"/>
    <w:rsid w:val="07D22587"/>
    <w:rsid w:val="07D51E28"/>
    <w:rsid w:val="07D93108"/>
    <w:rsid w:val="07DB780C"/>
    <w:rsid w:val="07DC0503"/>
    <w:rsid w:val="07DD760F"/>
    <w:rsid w:val="07DE2D8B"/>
    <w:rsid w:val="07DF6433"/>
    <w:rsid w:val="07E15B19"/>
    <w:rsid w:val="07E9507F"/>
    <w:rsid w:val="07EC6998"/>
    <w:rsid w:val="07ED2710"/>
    <w:rsid w:val="07EE3262"/>
    <w:rsid w:val="07F12200"/>
    <w:rsid w:val="07F41CF0"/>
    <w:rsid w:val="07F97307"/>
    <w:rsid w:val="07FB307F"/>
    <w:rsid w:val="07FB4E2D"/>
    <w:rsid w:val="07FF5C22"/>
    <w:rsid w:val="080079A0"/>
    <w:rsid w:val="080440F0"/>
    <w:rsid w:val="080651B2"/>
    <w:rsid w:val="080767B5"/>
    <w:rsid w:val="080A1514"/>
    <w:rsid w:val="080B2B96"/>
    <w:rsid w:val="080D19C3"/>
    <w:rsid w:val="080D4B60"/>
    <w:rsid w:val="080F08D8"/>
    <w:rsid w:val="080F25EF"/>
    <w:rsid w:val="08122176"/>
    <w:rsid w:val="0817778D"/>
    <w:rsid w:val="08191757"/>
    <w:rsid w:val="082222B1"/>
    <w:rsid w:val="08236132"/>
    <w:rsid w:val="0825512E"/>
    <w:rsid w:val="0828199A"/>
    <w:rsid w:val="0829657F"/>
    <w:rsid w:val="082A5712"/>
    <w:rsid w:val="082B2A54"/>
    <w:rsid w:val="082F0F7A"/>
    <w:rsid w:val="08362309"/>
    <w:rsid w:val="08386081"/>
    <w:rsid w:val="08396FFC"/>
    <w:rsid w:val="08397703"/>
    <w:rsid w:val="083D5445"/>
    <w:rsid w:val="083E0197"/>
    <w:rsid w:val="08403DF8"/>
    <w:rsid w:val="08420CAE"/>
    <w:rsid w:val="0845254C"/>
    <w:rsid w:val="084555EB"/>
    <w:rsid w:val="08470072"/>
    <w:rsid w:val="084A7B62"/>
    <w:rsid w:val="08533319"/>
    <w:rsid w:val="08536A17"/>
    <w:rsid w:val="085C0DB2"/>
    <w:rsid w:val="085D5AE7"/>
    <w:rsid w:val="085D7896"/>
    <w:rsid w:val="085E2268"/>
    <w:rsid w:val="085E716A"/>
    <w:rsid w:val="08602EE2"/>
    <w:rsid w:val="08634780"/>
    <w:rsid w:val="08640C24"/>
    <w:rsid w:val="086A3D60"/>
    <w:rsid w:val="086D76BC"/>
    <w:rsid w:val="086E4B7E"/>
    <w:rsid w:val="086E55FF"/>
    <w:rsid w:val="08760957"/>
    <w:rsid w:val="087B5F6E"/>
    <w:rsid w:val="087E15BA"/>
    <w:rsid w:val="088043A1"/>
    <w:rsid w:val="088210AA"/>
    <w:rsid w:val="0882654F"/>
    <w:rsid w:val="08856DEC"/>
    <w:rsid w:val="088766C0"/>
    <w:rsid w:val="088A7F5F"/>
    <w:rsid w:val="088C1F29"/>
    <w:rsid w:val="088C3CD7"/>
    <w:rsid w:val="08907C6B"/>
    <w:rsid w:val="089332B7"/>
    <w:rsid w:val="08941636"/>
    <w:rsid w:val="08966904"/>
    <w:rsid w:val="08975368"/>
    <w:rsid w:val="0898267C"/>
    <w:rsid w:val="08984D3A"/>
    <w:rsid w:val="089A108C"/>
    <w:rsid w:val="089B03BE"/>
    <w:rsid w:val="089E621C"/>
    <w:rsid w:val="08A234FA"/>
    <w:rsid w:val="08A27B5F"/>
    <w:rsid w:val="08A36CA8"/>
    <w:rsid w:val="08A454C4"/>
    <w:rsid w:val="08A640D8"/>
    <w:rsid w:val="08A82006"/>
    <w:rsid w:val="08A90D2D"/>
    <w:rsid w:val="08A92ADB"/>
    <w:rsid w:val="08AB100E"/>
    <w:rsid w:val="08AB6853"/>
    <w:rsid w:val="08AE00F1"/>
    <w:rsid w:val="08AE03EB"/>
    <w:rsid w:val="08AE6343"/>
    <w:rsid w:val="08B1198F"/>
    <w:rsid w:val="08B1680C"/>
    <w:rsid w:val="08B51480"/>
    <w:rsid w:val="08B6410C"/>
    <w:rsid w:val="08B647E3"/>
    <w:rsid w:val="08B66FA6"/>
    <w:rsid w:val="08B82D1E"/>
    <w:rsid w:val="08BA6A96"/>
    <w:rsid w:val="08BB5834"/>
    <w:rsid w:val="08C571E9"/>
    <w:rsid w:val="08C711B3"/>
    <w:rsid w:val="08CC4A1B"/>
    <w:rsid w:val="08CE2541"/>
    <w:rsid w:val="08CF44F5"/>
    <w:rsid w:val="08D555B1"/>
    <w:rsid w:val="08DC4C5E"/>
    <w:rsid w:val="08DE7E5B"/>
    <w:rsid w:val="08E51639"/>
    <w:rsid w:val="08EB6C4F"/>
    <w:rsid w:val="08F16230"/>
    <w:rsid w:val="08F17FDE"/>
    <w:rsid w:val="08F35DAB"/>
    <w:rsid w:val="08F85810"/>
    <w:rsid w:val="08FC70AE"/>
    <w:rsid w:val="08FD4BD5"/>
    <w:rsid w:val="08FF26FB"/>
    <w:rsid w:val="08FF56CA"/>
    <w:rsid w:val="0902043D"/>
    <w:rsid w:val="090425ED"/>
    <w:rsid w:val="09050B81"/>
    <w:rsid w:val="090917CB"/>
    <w:rsid w:val="090A5086"/>
    <w:rsid w:val="090D25F9"/>
    <w:rsid w:val="090E293E"/>
    <w:rsid w:val="091066B6"/>
    <w:rsid w:val="09120859"/>
    <w:rsid w:val="091A12E3"/>
    <w:rsid w:val="091E5277"/>
    <w:rsid w:val="09221BD6"/>
    <w:rsid w:val="09224301"/>
    <w:rsid w:val="09242161"/>
    <w:rsid w:val="09271591"/>
    <w:rsid w:val="09271C52"/>
    <w:rsid w:val="09297778"/>
    <w:rsid w:val="092C1016"/>
    <w:rsid w:val="092E10B5"/>
    <w:rsid w:val="093652FB"/>
    <w:rsid w:val="093700E7"/>
    <w:rsid w:val="09387D62"/>
    <w:rsid w:val="09393B70"/>
    <w:rsid w:val="093C74AB"/>
    <w:rsid w:val="093E76C7"/>
    <w:rsid w:val="09443F8B"/>
    <w:rsid w:val="0946032A"/>
    <w:rsid w:val="09474723"/>
    <w:rsid w:val="09475E50"/>
    <w:rsid w:val="09491013"/>
    <w:rsid w:val="09526CCE"/>
    <w:rsid w:val="095350D2"/>
    <w:rsid w:val="09547AF8"/>
    <w:rsid w:val="095A2027"/>
    <w:rsid w:val="095A2B76"/>
    <w:rsid w:val="095E1B17"/>
    <w:rsid w:val="09622C8A"/>
    <w:rsid w:val="0972111F"/>
    <w:rsid w:val="0973738B"/>
    <w:rsid w:val="09756E61"/>
    <w:rsid w:val="09765B2D"/>
    <w:rsid w:val="09774987"/>
    <w:rsid w:val="097962DF"/>
    <w:rsid w:val="097A7FD3"/>
    <w:rsid w:val="097F79FF"/>
    <w:rsid w:val="09804A38"/>
    <w:rsid w:val="09811362"/>
    <w:rsid w:val="098175B4"/>
    <w:rsid w:val="09886B94"/>
    <w:rsid w:val="09901628"/>
    <w:rsid w:val="09940CC9"/>
    <w:rsid w:val="09976DD7"/>
    <w:rsid w:val="09985150"/>
    <w:rsid w:val="099E1F14"/>
    <w:rsid w:val="099F7A3A"/>
    <w:rsid w:val="09A36D2E"/>
    <w:rsid w:val="09A432A2"/>
    <w:rsid w:val="09A83C44"/>
    <w:rsid w:val="09A84B40"/>
    <w:rsid w:val="09AA00D8"/>
    <w:rsid w:val="09AD76FA"/>
    <w:rsid w:val="09AD771A"/>
    <w:rsid w:val="09AF2373"/>
    <w:rsid w:val="09B47989"/>
    <w:rsid w:val="09B61B3E"/>
    <w:rsid w:val="09B91209"/>
    <w:rsid w:val="09BF125C"/>
    <w:rsid w:val="09C00789"/>
    <w:rsid w:val="09CA108C"/>
    <w:rsid w:val="09CB082F"/>
    <w:rsid w:val="09CB4CD3"/>
    <w:rsid w:val="09CC303E"/>
    <w:rsid w:val="09CF47C3"/>
    <w:rsid w:val="09D04097"/>
    <w:rsid w:val="09DE53DE"/>
    <w:rsid w:val="09E1374B"/>
    <w:rsid w:val="09E162A4"/>
    <w:rsid w:val="09E67DC2"/>
    <w:rsid w:val="09E813E1"/>
    <w:rsid w:val="09E81E0B"/>
    <w:rsid w:val="09E951E8"/>
    <w:rsid w:val="09EA6F07"/>
    <w:rsid w:val="09ED6999"/>
    <w:rsid w:val="09EE1A69"/>
    <w:rsid w:val="09F00295"/>
    <w:rsid w:val="09F510F6"/>
    <w:rsid w:val="09F558AC"/>
    <w:rsid w:val="09F75AC8"/>
    <w:rsid w:val="09F918D4"/>
    <w:rsid w:val="09F9539C"/>
    <w:rsid w:val="0A037FC9"/>
    <w:rsid w:val="0A04256B"/>
    <w:rsid w:val="0A0501E5"/>
    <w:rsid w:val="0A067AB9"/>
    <w:rsid w:val="0A073F5D"/>
    <w:rsid w:val="0A0A57FB"/>
    <w:rsid w:val="0A0A6F8A"/>
    <w:rsid w:val="0A0C1573"/>
    <w:rsid w:val="0A116B8A"/>
    <w:rsid w:val="0A137BFC"/>
    <w:rsid w:val="0A195A3E"/>
    <w:rsid w:val="0A1E7D15"/>
    <w:rsid w:val="0A1F35AA"/>
    <w:rsid w:val="0A2368BD"/>
    <w:rsid w:val="0A256191"/>
    <w:rsid w:val="0A2763AD"/>
    <w:rsid w:val="0A283998"/>
    <w:rsid w:val="0A291D63"/>
    <w:rsid w:val="0A2A19F9"/>
    <w:rsid w:val="0A2D14EA"/>
    <w:rsid w:val="0A2E7FDC"/>
    <w:rsid w:val="0A2F7010"/>
    <w:rsid w:val="0A300855"/>
    <w:rsid w:val="0A301A70"/>
    <w:rsid w:val="0A310FDA"/>
    <w:rsid w:val="0A312D88"/>
    <w:rsid w:val="0A323A1D"/>
    <w:rsid w:val="0A35602F"/>
    <w:rsid w:val="0A391C3C"/>
    <w:rsid w:val="0A3930ED"/>
    <w:rsid w:val="0A3E7253"/>
    <w:rsid w:val="0A400BF5"/>
    <w:rsid w:val="0A407D85"/>
    <w:rsid w:val="0A431CD8"/>
    <w:rsid w:val="0A466107"/>
    <w:rsid w:val="0A4B7CC0"/>
    <w:rsid w:val="0A4C1970"/>
    <w:rsid w:val="0A4C69F3"/>
    <w:rsid w:val="0A4F1460"/>
    <w:rsid w:val="0A4F76B2"/>
    <w:rsid w:val="0A51342A"/>
    <w:rsid w:val="0A526C05"/>
    <w:rsid w:val="0A544CC8"/>
    <w:rsid w:val="0A560A40"/>
    <w:rsid w:val="0A572A77"/>
    <w:rsid w:val="0A5838F1"/>
    <w:rsid w:val="0A5B7E05"/>
    <w:rsid w:val="0A5C592B"/>
    <w:rsid w:val="0A5D1DCF"/>
    <w:rsid w:val="0A5E16A3"/>
    <w:rsid w:val="0A5F5B47"/>
    <w:rsid w:val="0A60366D"/>
    <w:rsid w:val="0A677AAB"/>
    <w:rsid w:val="0A6C3DC0"/>
    <w:rsid w:val="0A6D2417"/>
    <w:rsid w:val="0A717628"/>
    <w:rsid w:val="0A740EC6"/>
    <w:rsid w:val="0A7669ED"/>
    <w:rsid w:val="0A7809B7"/>
    <w:rsid w:val="0A7901DB"/>
    <w:rsid w:val="0A7B30EB"/>
    <w:rsid w:val="0A7D5FCD"/>
    <w:rsid w:val="0A83110A"/>
    <w:rsid w:val="0A854E82"/>
    <w:rsid w:val="0A8B5265"/>
    <w:rsid w:val="0A8C39DA"/>
    <w:rsid w:val="0A8E331D"/>
    <w:rsid w:val="0A90203D"/>
    <w:rsid w:val="0A9D592B"/>
    <w:rsid w:val="0AA079E0"/>
    <w:rsid w:val="0AA25A34"/>
    <w:rsid w:val="0AA572D2"/>
    <w:rsid w:val="0AA6399E"/>
    <w:rsid w:val="0AA6753A"/>
    <w:rsid w:val="0AA7129C"/>
    <w:rsid w:val="0AA95014"/>
    <w:rsid w:val="0AAE2F72"/>
    <w:rsid w:val="0AAF64DF"/>
    <w:rsid w:val="0AAF6F0E"/>
    <w:rsid w:val="0AB1211B"/>
    <w:rsid w:val="0AB243BE"/>
    <w:rsid w:val="0AB333D1"/>
    <w:rsid w:val="0AB87005"/>
    <w:rsid w:val="0ABD4BA8"/>
    <w:rsid w:val="0ABE3B8D"/>
    <w:rsid w:val="0ABF65E6"/>
    <w:rsid w:val="0AC0235E"/>
    <w:rsid w:val="0AC0410C"/>
    <w:rsid w:val="0AC05EBA"/>
    <w:rsid w:val="0AC46F27"/>
    <w:rsid w:val="0AC51722"/>
    <w:rsid w:val="0AD007F3"/>
    <w:rsid w:val="0AD16319"/>
    <w:rsid w:val="0AD3127A"/>
    <w:rsid w:val="0AD35BED"/>
    <w:rsid w:val="0AD41965"/>
    <w:rsid w:val="0AD6392F"/>
    <w:rsid w:val="0AD727CC"/>
    <w:rsid w:val="0AD7791B"/>
    <w:rsid w:val="0AD8682D"/>
    <w:rsid w:val="0AD97C6F"/>
    <w:rsid w:val="0ADE4853"/>
    <w:rsid w:val="0AE61DC4"/>
    <w:rsid w:val="0AE7534A"/>
    <w:rsid w:val="0AE909AB"/>
    <w:rsid w:val="0AEB554D"/>
    <w:rsid w:val="0AED7863"/>
    <w:rsid w:val="0AF42EEB"/>
    <w:rsid w:val="0B023801"/>
    <w:rsid w:val="0B0B35D9"/>
    <w:rsid w:val="0B0F299D"/>
    <w:rsid w:val="0B100C55"/>
    <w:rsid w:val="0B1260D4"/>
    <w:rsid w:val="0B136931"/>
    <w:rsid w:val="0B1570F1"/>
    <w:rsid w:val="0B266665"/>
    <w:rsid w:val="0B2823DD"/>
    <w:rsid w:val="0B291CB1"/>
    <w:rsid w:val="0B2A60D5"/>
    <w:rsid w:val="0B350656"/>
    <w:rsid w:val="0B372620"/>
    <w:rsid w:val="0B37305A"/>
    <w:rsid w:val="0B3A5C6C"/>
    <w:rsid w:val="0B3C04E9"/>
    <w:rsid w:val="0B41524D"/>
    <w:rsid w:val="0B422D73"/>
    <w:rsid w:val="0B433B6E"/>
    <w:rsid w:val="0B446AEB"/>
    <w:rsid w:val="0B494101"/>
    <w:rsid w:val="0B4D3BF1"/>
    <w:rsid w:val="0B536FB3"/>
    <w:rsid w:val="0B556AF5"/>
    <w:rsid w:val="0B584344"/>
    <w:rsid w:val="0B5A630E"/>
    <w:rsid w:val="0B5B2331"/>
    <w:rsid w:val="0B5C2086"/>
    <w:rsid w:val="0B5C3E34"/>
    <w:rsid w:val="0B5D23D9"/>
    <w:rsid w:val="0B5F3925"/>
    <w:rsid w:val="0B5F6C1E"/>
    <w:rsid w:val="0B606E9B"/>
    <w:rsid w:val="0B68195A"/>
    <w:rsid w:val="0B6902FF"/>
    <w:rsid w:val="0B6A2548"/>
    <w:rsid w:val="0B6A5D6E"/>
    <w:rsid w:val="0B6C7DF0"/>
    <w:rsid w:val="0B6E1DBA"/>
    <w:rsid w:val="0B6E5FE8"/>
    <w:rsid w:val="0B70168E"/>
    <w:rsid w:val="0B731A1D"/>
    <w:rsid w:val="0B753148"/>
    <w:rsid w:val="0B7864B7"/>
    <w:rsid w:val="0B7C07C5"/>
    <w:rsid w:val="0B7D7D83"/>
    <w:rsid w:val="0B802E55"/>
    <w:rsid w:val="0B865355"/>
    <w:rsid w:val="0B867103"/>
    <w:rsid w:val="0B896BF3"/>
    <w:rsid w:val="0B8C3611"/>
    <w:rsid w:val="0B8D0492"/>
    <w:rsid w:val="0B8E7D02"/>
    <w:rsid w:val="0B8F1523"/>
    <w:rsid w:val="0B955598"/>
    <w:rsid w:val="0B974E6D"/>
    <w:rsid w:val="0B9E6145"/>
    <w:rsid w:val="0BA3254E"/>
    <w:rsid w:val="0BA33970"/>
    <w:rsid w:val="0BA37CB5"/>
    <w:rsid w:val="0BA80E28"/>
    <w:rsid w:val="0BAB0918"/>
    <w:rsid w:val="0BAB4DBC"/>
    <w:rsid w:val="0BAB6B6A"/>
    <w:rsid w:val="0BAC6539"/>
    <w:rsid w:val="0BB1251C"/>
    <w:rsid w:val="0BB21CA6"/>
    <w:rsid w:val="0BB35A1E"/>
    <w:rsid w:val="0BB74284"/>
    <w:rsid w:val="0BC5431F"/>
    <w:rsid w:val="0BC64AA2"/>
    <w:rsid w:val="0BC83278"/>
    <w:rsid w:val="0BCB3DB7"/>
    <w:rsid w:val="0BD25035"/>
    <w:rsid w:val="0BD264F0"/>
    <w:rsid w:val="0BD460C1"/>
    <w:rsid w:val="0BD53BE7"/>
    <w:rsid w:val="0BD55995"/>
    <w:rsid w:val="0BDA439A"/>
    <w:rsid w:val="0BDB1A6F"/>
    <w:rsid w:val="0BDC31C7"/>
    <w:rsid w:val="0BDC4F75"/>
    <w:rsid w:val="0BE27694"/>
    <w:rsid w:val="0BE35E99"/>
    <w:rsid w:val="0BE51BEF"/>
    <w:rsid w:val="0BE8391A"/>
    <w:rsid w:val="0BEB51B8"/>
    <w:rsid w:val="0BEC3EC4"/>
    <w:rsid w:val="0BEF4CA9"/>
    <w:rsid w:val="0BF422BF"/>
    <w:rsid w:val="0BF56037"/>
    <w:rsid w:val="0BFB189F"/>
    <w:rsid w:val="0BFF2A12"/>
    <w:rsid w:val="0BFF7E5D"/>
    <w:rsid w:val="0C061354"/>
    <w:rsid w:val="0C063DA0"/>
    <w:rsid w:val="0C0B585A"/>
    <w:rsid w:val="0C0F0EA7"/>
    <w:rsid w:val="0C101B3C"/>
    <w:rsid w:val="0C1069CD"/>
    <w:rsid w:val="0C18633A"/>
    <w:rsid w:val="0C1D7E0B"/>
    <w:rsid w:val="0C1F2E83"/>
    <w:rsid w:val="0C2406F4"/>
    <w:rsid w:val="0C2506CA"/>
    <w:rsid w:val="0C2671FD"/>
    <w:rsid w:val="0C2C7CAB"/>
    <w:rsid w:val="0C2D3A23"/>
    <w:rsid w:val="0C30706F"/>
    <w:rsid w:val="0C3363A1"/>
    <w:rsid w:val="0C36043D"/>
    <w:rsid w:val="0C3703FE"/>
    <w:rsid w:val="0C387F6D"/>
    <w:rsid w:val="0C393981"/>
    <w:rsid w:val="0C410022"/>
    <w:rsid w:val="0C4A70C8"/>
    <w:rsid w:val="0C4C4CEB"/>
    <w:rsid w:val="0C4D73E2"/>
    <w:rsid w:val="0C4D7C21"/>
    <w:rsid w:val="0C50675F"/>
    <w:rsid w:val="0C511AB2"/>
    <w:rsid w:val="0C512413"/>
    <w:rsid w:val="0C542D5E"/>
    <w:rsid w:val="0C567EAE"/>
    <w:rsid w:val="0C582030"/>
    <w:rsid w:val="0C5D33BF"/>
    <w:rsid w:val="0C5E3BDC"/>
    <w:rsid w:val="0C655ADA"/>
    <w:rsid w:val="0C656D19"/>
    <w:rsid w:val="0C6805B7"/>
    <w:rsid w:val="0C686809"/>
    <w:rsid w:val="0C6A07D3"/>
    <w:rsid w:val="0C6A72B9"/>
    <w:rsid w:val="0C6B3571"/>
    <w:rsid w:val="0C6C00A7"/>
    <w:rsid w:val="0C6C454B"/>
    <w:rsid w:val="0C6C5EFB"/>
    <w:rsid w:val="0C704F35"/>
    <w:rsid w:val="0C711B61"/>
    <w:rsid w:val="0C7156BE"/>
    <w:rsid w:val="0C757A49"/>
    <w:rsid w:val="0C760F26"/>
    <w:rsid w:val="0C7D22B4"/>
    <w:rsid w:val="0C7F4E7F"/>
    <w:rsid w:val="0C811679"/>
    <w:rsid w:val="0C812E73"/>
    <w:rsid w:val="0C8278CB"/>
    <w:rsid w:val="0C8317C7"/>
    <w:rsid w:val="0C871385"/>
    <w:rsid w:val="0C886979"/>
    <w:rsid w:val="0C8A2C23"/>
    <w:rsid w:val="0C8B6869"/>
    <w:rsid w:val="0C8C699B"/>
    <w:rsid w:val="0C8E44C1"/>
    <w:rsid w:val="0C915D60"/>
    <w:rsid w:val="0C9422C9"/>
    <w:rsid w:val="0C9604EF"/>
    <w:rsid w:val="0C964082"/>
    <w:rsid w:val="0C966F98"/>
    <w:rsid w:val="0C9675D9"/>
    <w:rsid w:val="0C9910B8"/>
    <w:rsid w:val="0C9C64B3"/>
    <w:rsid w:val="0CA0054F"/>
    <w:rsid w:val="0CA02447"/>
    <w:rsid w:val="0CA21D1B"/>
    <w:rsid w:val="0CA27F6D"/>
    <w:rsid w:val="0CA35486"/>
    <w:rsid w:val="0CA664CD"/>
    <w:rsid w:val="0CA710DF"/>
    <w:rsid w:val="0CA96098"/>
    <w:rsid w:val="0CAA5073"/>
    <w:rsid w:val="0CAA6E21"/>
    <w:rsid w:val="0CAF4438"/>
    <w:rsid w:val="0CB0101E"/>
    <w:rsid w:val="0CB35867"/>
    <w:rsid w:val="0CBD2D61"/>
    <w:rsid w:val="0CBE467B"/>
    <w:rsid w:val="0CBE6B66"/>
    <w:rsid w:val="0CBF2051"/>
    <w:rsid w:val="0CC04897"/>
    <w:rsid w:val="0CC223BD"/>
    <w:rsid w:val="0CC33F47"/>
    <w:rsid w:val="0CCC6D98"/>
    <w:rsid w:val="0CD15314"/>
    <w:rsid w:val="0CD27050"/>
    <w:rsid w:val="0CD345CA"/>
    <w:rsid w:val="0CD520F0"/>
    <w:rsid w:val="0CD66E6D"/>
    <w:rsid w:val="0CD93B7F"/>
    <w:rsid w:val="0CE3096D"/>
    <w:rsid w:val="0CE340E1"/>
    <w:rsid w:val="0CEA5470"/>
    <w:rsid w:val="0CF32576"/>
    <w:rsid w:val="0CF37CB7"/>
    <w:rsid w:val="0CF462EF"/>
    <w:rsid w:val="0CF51F11"/>
    <w:rsid w:val="0CF9496E"/>
    <w:rsid w:val="0CF956B3"/>
    <w:rsid w:val="0CFA1A3F"/>
    <w:rsid w:val="0CFA3905"/>
    <w:rsid w:val="0CFC291C"/>
    <w:rsid w:val="0CFE7397"/>
    <w:rsid w:val="0D004C93"/>
    <w:rsid w:val="0D03588C"/>
    <w:rsid w:val="0D047582"/>
    <w:rsid w:val="0D0D5801"/>
    <w:rsid w:val="0D0D6C8F"/>
    <w:rsid w:val="0D0E115E"/>
    <w:rsid w:val="0D110C4F"/>
    <w:rsid w:val="0D1153B7"/>
    <w:rsid w:val="0D116EA1"/>
    <w:rsid w:val="0D12215D"/>
    <w:rsid w:val="0D12720D"/>
    <w:rsid w:val="0D181FDD"/>
    <w:rsid w:val="0D186DB0"/>
    <w:rsid w:val="0D1C6A9F"/>
    <w:rsid w:val="0D1C7D1F"/>
    <w:rsid w:val="0D1D48FF"/>
    <w:rsid w:val="0D1D75F3"/>
    <w:rsid w:val="0D235AC7"/>
    <w:rsid w:val="0D2673F7"/>
    <w:rsid w:val="0D2941EA"/>
    <w:rsid w:val="0D2C3EBE"/>
    <w:rsid w:val="0D2C5A88"/>
    <w:rsid w:val="0D2D174A"/>
    <w:rsid w:val="0D2F31CB"/>
    <w:rsid w:val="0D33241E"/>
    <w:rsid w:val="0D352B8F"/>
    <w:rsid w:val="0D3601A3"/>
    <w:rsid w:val="0D373FD6"/>
    <w:rsid w:val="0D3A1F53"/>
    <w:rsid w:val="0D3F0613"/>
    <w:rsid w:val="0D3F3A0E"/>
    <w:rsid w:val="0D4032E2"/>
    <w:rsid w:val="0D4161DA"/>
    <w:rsid w:val="0D417786"/>
    <w:rsid w:val="0D444B80"/>
    <w:rsid w:val="0D464D9C"/>
    <w:rsid w:val="0D466B4A"/>
    <w:rsid w:val="0D470B14"/>
    <w:rsid w:val="0D4C7ED9"/>
    <w:rsid w:val="0D5079C9"/>
    <w:rsid w:val="0D547404"/>
    <w:rsid w:val="0D553231"/>
    <w:rsid w:val="0D554FDF"/>
    <w:rsid w:val="0D5A1957"/>
    <w:rsid w:val="0D5A25F6"/>
    <w:rsid w:val="0D5B058D"/>
    <w:rsid w:val="0D5F7C0C"/>
    <w:rsid w:val="0D621895"/>
    <w:rsid w:val="0D660A25"/>
    <w:rsid w:val="0D660F9A"/>
    <w:rsid w:val="0D68593C"/>
    <w:rsid w:val="0D685E0B"/>
    <w:rsid w:val="0D6B035F"/>
    <w:rsid w:val="0D6D4DC9"/>
    <w:rsid w:val="0D703BC7"/>
    <w:rsid w:val="0D7116ED"/>
    <w:rsid w:val="0D7124F2"/>
    <w:rsid w:val="0D71793F"/>
    <w:rsid w:val="0D731909"/>
    <w:rsid w:val="0D795180"/>
    <w:rsid w:val="0D7A4A46"/>
    <w:rsid w:val="0D7C6A10"/>
    <w:rsid w:val="0D823E5A"/>
    <w:rsid w:val="0D847672"/>
    <w:rsid w:val="0D875676"/>
    <w:rsid w:val="0D892EDB"/>
    <w:rsid w:val="0D896A37"/>
    <w:rsid w:val="0D8D4779"/>
    <w:rsid w:val="0D935B07"/>
    <w:rsid w:val="0D9802A2"/>
    <w:rsid w:val="0D98311E"/>
    <w:rsid w:val="0D990BE7"/>
    <w:rsid w:val="0D9A50E8"/>
    <w:rsid w:val="0D9D24E2"/>
    <w:rsid w:val="0D9E1268"/>
    <w:rsid w:val="0DA16476"/>
    <w:rsid w:val="0DA675E9"/>
    <w:rsid w:val="0DA83420"/>
    <w:rsid w:val="0DAB4641"/>
    <w:rsid w:val="0DB066B9"/>
    <w:rsid w:val="0DB31BDC"/>
    <w:rsid w:val="0DB31D06"/>
    <w:rsid w:val="0DB40252"/>
    <w:rsid w:val="0DB77A48"/>
    <w:rsid w:val="0DBC0BBA"/>
    <w:rsid w:val="0DC3019B"/>
    <w:rsid w:val="0DC442AF"/>
    <w:rsid w:val="0DC51F2A"/>
    <w:rsid w:val="0DC857B1"/>
    <w:rsid w:val="0DCD1019"/>
    <w:rsid w:val="0DCE4438"/>
    <w:rsid w:val="0DDA7292"/>
    <w:rsid w:val="0DDF0D4D"/>
    <w:rsid w:val="0DDF2AFB"/>
    <w:rsid w:val="0DE0138C"/>
    <w:rsid w:val="0DE47F95"/>
    <w:rsid w:val="0DE545B5"/>
    <w:rsid w:val="0DE97857"/>
    <w:rsid w:val="0DF02010"/>
    <w:rsid w:val="0DF648DD"/>
    <w:rsid w:val="0DF73A01"/>
    <w:rsid w:val="0DF90060"/>
    <w:rsid w:val="0DF91E0E"/>
    <w:rsid w:val="0DFA5B87"/>
    <w:rsid w:val="0DFC7A6B"/>
    <w:rsid w:val="0DFF2614"/>
    <w:rsid w:val="0E061EAC"/>
    <w:rsid w:val="0E0662D9"/>
    <w:rsid w:val="0E097B78"/>
    <w:rsid w:val="0E0D1416"/>
    <w:rsid w:val="0E107158"/>
    <w:rsid w:val="0E14123E"/>
    <w:rsid w:val="0E19425F"/>
    <w:rsid w:val="0E1A3287"/>
    <w:rsid w:val="0E1F1896"/>
    <w:rsid w:val="0E2416AA"/>
    <w:rsid w:val="0E272D67"/>
    <w:rsid w:val="0E294EEE"/>
    <w:rsid w:val="0E2A3F84"/>
    <w:rsid w:val="0E2B3F92"/>
    <w:rsid w:val="0E2E03FD"/>
    <w:rsid w:val="0E320E7D"/>
    <w:rsid w:val="0E3241D3"/>
    <w:rsid w:val="0E35096D"/>
    <w:rsid w:val="0E3548DF"/>
    <w:rsid w:val="0E364E11"/>
    <w:rsid w:val="0E372E5A"/>
    <w:rsid w:val="0E3948D3"/>
    <w:rsid w:val="0E3A6262"/>
    <w:rsid w:val="0E3D4330"/>
    <w:rsid w:val="0E3F75E0"/>
    <w:rsid w:val="0E451EA1"/>
    <w:rsid w:val="0E455054"/>
    <w:rsid w:val="0E56100F"/>
    <w:rsid w:val="0E581364"/>
    <w:rsid w:val="0E5928AD"/>
    <w:rsid w:val="0E5B6625"/>
    <w:rsid w:val="0E611762"/>
    <w:rsid w:val="0E622007"/>
    <w:rsid w:val="0E626CA5"/>
    <w:rsid w:val="0E63197E"/>
    <w:rsid w:val="0E680D42"/>
    <w:rsid w:val="0E6C75C4"/>
    <w:rsid w:val="0E6F0323"/>
    <w:rsid w:val="0E710BF6"/>
    <w:rsid w:val="0E7C617B"/>
    <w:rsid w:val="0E833DCE"/>
    <w:rsid w:val="0E835B7C"/>
    <w:rsid w:val="0E83792A"/>
    <w:rsid w:val="0E863A79"/>
    <w:rsid w:val="0E884F40"/>
    <w:rsid w:val="0E8C4A31"/>
    <w:rsid w:val="0E925DBF"/>
    <w:rsid w:val="0E96765D"/>
    <w:rsid w:val="0E9E29B6"/>
    <w:rsid w:val="0E9E4764"/>
    <w:rsid w:val="0E9E6834"/>
    <w:rsid w:val="0EA11E6E"/>
    <w:rsid w:val="0EA66E80"/>
    <w:rsid w:val="0EA7186A"/>
    <w:rsid w:val="0EA91DB6"/>
    <w:rsid w:val="0EAC5FA2"/>
    <w:rsid w:val="0EAD6DCB"/>
    <w:rsid w:val="0EAE0E4B"/>
    <w:rsid w:val="0EB14497"/>
    <w:rsid w:val="0EB16245"/>
    <w:rsid w:val="0EB34C8B"/>
    <w:rsid w:val="0EB421D9"/>
    <w:rsid w:val="0EB83A78"/>
    <w:rsid w:val="0EBB70C4"/>
    <w:rsid w:val="0EBC55DC"/>
    <w:rsid w:val="0EBE0962"/>
    <w:rsid w:val="0EBF3EF9"/>
    <w:rsid w:val="0EC046DA"/>
    <w:rsid w:val="0EC56195"/>
    <w:rsid w:val="0EC802D3"/>
    <w:rsid w:val="0EC86A0D"/>
    <w:rsid w:val="0ECA24B3"/>
    <w:rsid w:val="0ECA7307"/>
    <w:rsid w:val="0ECB0140"/>
    <w:rsid w:val="0ECC12D1"/>
    <w:rsid w:val="0ECE571C"/>
    <w:rsid w:val="0ED338CC"/>
    <w:rsid w:val="0EDC5A05"/>
    <w:rsid w:val="0EDF7256"/>
    <w:rsid w:val="0EE06B2A"/>
    <w:rsid w:val="0EE07824"/>
    <w:rsid w:val="0EE27F0B"/>
    <w:rsid w:val="0EE74DE8"/>
    <w:rsid w:val="0EE811C0"/>
    <w:rsid w:val="0EEB647F"/>
    <w:rsid w:val="0EEC3721"/>
    <w:rsid w:val="0EED1247"/>
    <w:rsid w:val="0EF56A7A"/>
    <w:rsid w:val="0EF600FC"/>
    <w:rsid w:val="0EF76383"/>
    <w:rsid w:val="0EFB73FB"/>
    <w:rsid w:val="0EFD76DC"/>
    <w:rsid w:val="0F032819"/>
    <w:rsid w:val="0F034DA5"/>
    <w:rsid w:val="0F0547E3"/>
    <w:rsid w:val="0F0740B7"/>
    <w:rsid w:val="0F0A256B"/>
    <w:rsid w:val="0F0C791F"/>
    <w:rsid w:val="0F0E7B3C"/>
    <w:rsid w:val="0F136F00"/>
    <w:rsid w:val="0F1862C4"/>
    <w:rsid w:val="0F1F7C19"/>
    <w:rsid w:val="0F242EBB"/>
    <w:rsid w:val="0F256B48"/>
    <w:rsid w:val="0F317386"/>
    <w:rsid w:val="0F317FA7"/>
    <w:rsid w:val="0F3357A5"/>
    <w:rsid w:val="0F336312"/>
    <w:rsid w:val="0F3A0931"/>
    <w:rsid w:val="0F3A26DF"/>
    <w:rsid w:val="0F3B6457"/>
    <w:rsid w:val="0F3E37B7"/>
    <w:rsid w:val="0F3E631F"/>
    <w:rsid w:val="0F3F7CF5"/>
    <w:rsid w:val="0F451083"/>
    <w:rsid w:val="0F470958"/>
    <w:rsid w:val="0F4808FD"/>
    <w:rsid w:val="0F485C18"/>
    <w:rsid w:val="0F495598"/>
    <w:rsid w:val="0F4D16CE"/>
    <w:rsid w:val="0F5337A0"/>
    <w:rsid w:val="0F5372FC"/>
    <w:rsid w:val="0F596A5F"/>
    <w:rsid w:val="0F5A2BFE"/>
    <w:rsid w:val="0F5A4B2F"/>
    <w:rsid w:val="0F5C08A7"/>
    <w:rsid w:val="0F5E3A6B"/>
    <w:rsid w:val="0F607C6B"/>
    <w:rsid w:val="0F615EBD"/>
    <w:rsid w:val="0F6167D9"/>
    <w:rsid w:val="0F621390"/>
    <w:rsid w:val="0F64775C"/>
    <w:rsid w:val="0F6B0AEA"/>
    <w:rsid w:val="0F6C365A"/>
    <w:rsid w:val="0F706100"/>
    <w:rsid w:val="0F70730C"/>
    <w:rsid w:val="0F735BF1"/>
    <w:rsid w:val="0F7554C5"/>
    <w:rsid w:val="0F76748F"/>
    <w:rsid w:val="0F767555"/>
    <w:rsid w:val="0F7B4AA5"/>
    <w:rsid w:val="0F7C2CF7"/>
    <w:rsid w:val="0F7E7485"/>
    <w:rsid w:val="0F852FE9"/>
    <w:rsid w:val="0F857D19"/>
    <w:rsid w:val="0F865924"/>
    <w:rsid w:val="0F8A6A96"/>
    <w:rsid w:val="0F8E47D8"/>
    <w:rsid w:val="0F916205"/>
    <w:rsid w:val="0F931DEF"/>
    <w:rsid w:val="0F937B15"/>
    <w:rsid w:val="0F955B67"/>
    <w:rsid w:val="0F955FBB"/>
    <w:rsid w:val="0F964E1E"/>
    <w:rsid w:val="0FA25CB6"/>
    <w:rsid w:val="0FA36D3D"/>
    <w:rsid w:val="0FA41D79"/>
    <w:rsid w:val="0FA4224E"/>
    <w:rsid w:val="0FA64FD7"/>
    <w:rsid w:val="0FA77648"/>
    <w:rsid w:val="0FA933C0"/>
    <w:rsid w:val="0FB0783B"/>
    <w:rsid w:val="0FB75ADD"/>
    <w:rsid w:val="0FB87AA7"/>
    <w:rsid w:val="0FBB2283"/>
    <w:rsid w:val="0FC147F0"/>
    <w:rsid w:val="0FC27F89"/>
    <w:rsid w:val="0FC46E24"/>
    <w:rsid w:val="0FC802F8"/>
    <w:rsid w:val="0FC8456B"/>
    <w:rsid w:val="0FCA7A47"/>
    <w:rsid w:val="0FCB6EBE"/>
    <w:rsid w:val="0FCC47CA"/>
    <w:rsid w:val="0FCE72CB"/>
    <w:rsid w:val="0FD146C5"/>
    <w:rsid w:val="0FD204DB"/>
    <w:rsid w:val="0FD3668F"/>
    <w:rsid w:val="0FD57666"/>
    <w:rsid w:val="0FDD25F1"/>
    <w:rsid w:val="0FDF3286"/>
    <w:rsid w:val="0FE44E94"/>
    <w:rsid w:val="0FEB5787"/>
    <w:rsid w:val="0FEC492F"/>
    <w:rsid w:val="0FEE6083"/>
    <w:rsid w:val="0FF30ADF"/>
    <w:rsid w:val="0FF334F9"/>
    <w:rsid w:val="0FF5723E"/>
    <w:rsid w:val="0FF7181C"/>
    <w:rsid w:val="0FFA3C1C"/>
    <w:rsid w:val="0FFC3E38"/>
    <w:rsid w:val="0FFD54BA"/>
    <w:rsid w:val="100131FC"/>
    <w:rsid w:val="10045D36"/>
    <w:rsid w:val="100625C1"/>
    <w:rsid w:val="10086037"/>
    <w:rsid w:val="10090303"/>
    <w:rsid w:val="10095573"/>
    <w:rsid w:val="100B407B"/>
    <w:rsid w:val="100C57E1"/>
    <w:rsid w:val="101004BA"/>
    <w:rsid w:val="1010343F"/>
    <w:rsid w:val="10134CDE"/>
    <w:rsid w:val="101747CE"/>
    <w:rsid w:val="101A2510"/>
    <w:rsid w:val="101A427E"/>
    <w:rsid w:val="101A606C"/>
    <w:rsid w:val="101C3B92"/>
    <w:rsid w:val="101E5B5C"/>
    <w:rsid w:val="101F18D4"/>
    <w:rsid w:val="1021389E"/>
    <w:rsid w:val="10233173"/>
    <w:rsid w:val="102365F6"/>
    <w:rsid w:val="10243A68"/>
    <w:rsid w:val="10284C2D"/>
    <w:rsid w:val="102D3FF1"/>
    <w:rsid w:val="102E38C6"/>
    <w:rsid w:val="10303AE2"/>
    <w:rsid w:val="1031014C"/>
    <w:rsid w:val="10345380"/>
    <w:rsid w:val="103A670E"/>
    <w:rsid w:val="103E7FAD"/>
    <w:rsid w:val="10401F77"/>
    <w:rsid w:val="10431635"/>
    <w:rsid w:val="10433815"/>
    <w:rsid w:val="1044187D"/>
    <w:rsid w:val="1045133B"/>
    <w:rsid w:val="104906FF"/>
    <w:rsid w:val="10503E19"/>
    <w:rsid w:val="10523A58"/>
    <w:rsid w:val="10525806"/>
    <w:rsid w:val="10545A22"/>
    <w:rsid w:val="10593038"/>
    <w:rsid w:val="105E41AB"/>
    <w:rsid w:val="106B5E71"/>
    <w:rsid w:val="106C2D6C"/>
    <w:rsid w:val="106D3F9B"/>
    <w:rsid w:val="107514F4"/>
    <w:rsid w:val="107B45B1"/>
    <w:rsid w:val="107C18BD"/>
    <w:rsid w:val="107F794E"/>
    <w:rsid w:val="10831E63"/>
    <w:rsid w:val="108856CC"/>
    <w:rsid w:val="108B646B"/>
    <w:rsid w:val="108D4A90"/>
    <w:rsid w:val="1090632E"/>
    <w:rsid w:val="109202F8"/>
    <w:rsid w:val="10923E54"/>
    <w:rsid w:val="1092654A"/>
    <w:rsid w:val="10944070"/>
    <w:rsid w:val="10945E1E"/>
    <w:rsid w:val="10987EC8"/>
    <w:rsid w:val="109951E3"/>
    <w:rsid w:val="109A0F5B"/>
    <w:rsid w:val="109B2A5D"/>
    <w:rsid w:val="109D1177"/>
    <w:rsid w:val="10A24863"/>
    <w:rsid w:val="10A51DDA"/>
    <w:rsid w:val="10A53C29"/>
    <w:rsid w:val="10A5627E"/>
    <w:rsid w:val="10A67900"/>
    <w:rsid w:val="10A85F35"/>
    <w:rsid w:val="10AB12C6"/>
    <w:rsid w:val="10AD5132"/>
    <w:rsid w:val="10AE797F"/>
    <w:rsid w:val="10AF2C58"/>
    <w:rsid w:val="10B25990"/>
    <w:rsid w:val="10B65D95"/>
    <w:rsid w:val="10B67062"/>
    <w:rsid w:val="10B75E3C"/>
    <w:rsid w:val="10B83C29"/>
    <w:rsid w:val="10B93AD7"/>
    <w:rsid w:val="10B9412D"/>
    <w:rsid w:val="10BB784F"/>
    <w:rsid w:val="10BC5EEA"/>
    <w:rsid w:val="10C20BDE"/>
    <w:rsid w:val="10C36704"/>
    <w:rsid w:val="10C47810"/>
    <w:rsid w:val="10C57603"/>
    <w:rsid w:val="10C607B5"/>
    <w:rsid w:val="10C61D50"/>
    <w:rsid w:val="10C71C75"/>
    <w:rsid w:val="10CA5CE4"/>
    <w:rsid w:val="10CE43A6"/>
    <w:rsid w:val="10CF6E57"/>
    <w:rsid w:val="10D34B99"/>
    <w:rsid w:val="10D52871"/>
    <w:rsid w:val="10D91A83"/>
    <w:rsid w:val="10DB1C9F"/>
    <w:rsid w:val="10DE353E"/>
    <w:rsid w:val="10DE709A"/>
    <w:rsid w:val="10E04BC3"/>
    <w:rsid w:val="10E072B6"/>
    <w:rsid w:val="10E2302E"/>
    <w:rsid w:val="10E93381"/>
    <w:rsid w:val="10E976D2"/>
    <w:rsid w:val="10F20D97"/>
    <w:rsid w:val="10F25551"/>
    <w:rsid w:val="10F62635"/>
    <w:rsid w:val="10F708AA"/>
    <w:rsid w:val="10FC52EA"/>
    <w:rsid w:val="10FE14EA"/>
    <w:rsid w:val="10FE1D30"/>
    <w:rsid w:val="10FE598E"/>
    <w:rsid w:val="110275B1"/>
    <w:rsid w:val="11032FA4"/>
    <w:rsid w:val="11074842"/>
    <w:rsid w:val="11096809"/>
    <w:rsid w:val="110A60E1"/>
    <w:rsid w:val="110F36F7"/>
    <w:rsid w:val="11140D0D"/>
    <w:rsid w:val="11161575"/>
    <w:rsid w:val="1118788E"/>
    <w:rsid w:val="111B6540"/>
    <w:rsid w:val="1122167C"/>
    <w:rsid w:val="11234D3B"/>
    <w:rsid w:val="11243F86"/>
    <w:rsid w:val="11276C93"/>
    <w:rsid w:val="112A22DF"/>
    <w:rsid w:val="112B2672"/>
    <w:rsid w:val="112C7269"/>
    <w:rsid w:val="113118BF"/>
    <w:rsid w:val="11311EF8"/>
    <w:rsid w:val="11357601"/>
    <w:rsid w:val="113D2012"/>
    <w:rsid w:val="113F222E"/>
    <w:rsid w:val="11407D54"/>
    <w:rsid w:val="11416F6F"/>
    <w:rsid w:val="114535BD"/>
    <w:rsid w:val="11457FEC"/>
    <w:rsid w:val="11472410"/>
    <w:rsid w:val="11494141"/>
    <w:rsid w:val="114C494B"/>
    <w:rsid w:val="114E2471"/>
    <w:rsid w:val="11502559"/>
    <w:rsid w:val="11507CD0"/>
    <w:rsid w:val="11531836"/>
    <w:rsid w:val="11561326"/>
    <w:rsid w:val="11592BC4"/>
    <w:rsid w:val="115958E8"/>
    <w:rsid w:val="115A7068"/>
    <w:rsid w:val="115B60E8"/>
    <w:rsid w:val="11621A79"/>
    <w:rsid w:val="11643A43"/>
    <w:rsid w:val="11651DD5"/>
    <w:rsid w:val="11661EA5"/>
    <w:rsid w:val="116752E1"/>
    <w:rsid w:val="116B72B1"/>
    <w:rsid w:val="116E6670"/>
    <w:rsid w:val="116F23E8"/>
    <w:rsid w:val="117443FC"/>
    <w:rsid w:val="117479FE"/>
    <w:rsid w:val="11765524"/>
    <w:rsid w:val="117B6FDE"/>
    <w:rsid w:val="117D2D56"/>
    <w:rsid w:val="117D4B05"/>
    <w:rsid w:val="117E7006"/>
    <w:rsid w:val="11835FE2"/>
    <w:rsid w:val="118539B9"/>
    <w:rsid w:val="1186113A"/>
    <w:rsid w:val="11862D05"/>
    <w:rsid w:val="118B7068"/>
    <w:rsid w:val="118C4D48"/>
    <w:rsid w:val="119276A7"/>
    <w:rsid w:val="1193257A"/>
    <w:rsid w:val="11963E18"/>
    <w:rsid w:val="1198193E"/>
    <w:rsid w:val="11987B90"/>
    <w:rsid w:val="119A7465"/>
    <w:rsid w:val="119D246B"/>
    <w:rsid w:val="119F7373"/>
    <w:rsid w:val="11A007F3"/>
    <w:rsid w:val="11A16A45"/>
    <w:rsid w:val="11A227BD"/>
    <w:rsid w:val="11A46535"/>
    <w:rsid w:val="11A622AD"/>
    <w:rsid w:val="11A93B4C"/>
    <w:rsid w:val="11A976A8"/>
    <w:rsid w:val="11B322D4"/>
    <w:rsid w:val="11B3725C"/>
    <w:rsid w:val="11B5604C"/>
    <w:rsid w:val="11BB654F"/>
    <w:rsid w:val="11CB5870"/>
    <w:rsid w:val="11CC783A"/>
    <w:rsid w:val="11CE35B2"/>
    <w:rsid w:val="11D0732A"/>
    <w:rsid w:val="11D1786F"/>
    <w:rsid w:val="11D64215"/>
    <w:rsid w:val="11D84431"/>
    <w:rsid w:val="11DC7A7D"/>
    <w:rsid w:val="11DD3B50"/>
    <w:rsid w:val="11DE6E1F"/>
    <w:rsid w:val="11E06E41"/>
    <w:rsid w:val="11E078FA"/>
    <w:rsid w:val="11E22BBA"/>
    <w:rsid w:val="11E3705D"/>
    <w:rsid w:val="11E44B84"/>
    <w:rsid w:val="11E46932"/>
    <w:rsid w:val="11E608FC"/>
    <w:rsid w:val="11E75881"/>
    <w:rsid w:val="11E903EC"/>
    <w:rsid w:val="11E9219A"/>
    <w:rsid w:val="11E95386"/>
    <w:rsid w:val="11E95B94"/>
    <w:rsid w:val="11EB4164"/>
    <w:rsid w:val="11ED3EAE"/>
    <w:rsid w:val="11EE155E"/>
    <w:rsid w:val="11F36B75"/>
    <w:rsid w:val="11F50B3F"/>
    <w:rsid w:val="11FA43A7"/>
    <w:rsid w:val="11FC011F"/>
    <w:rsid w:val="11FC55B2"/>
    <w:rsid w:val="12015736"/>
    <w:rsid w:val="12046FD4"/>
    <w:rsid w:val="1206210D"/>
    <w:rsid w:val="12075296"/>
    <w:rsid w:val="12096398"/>
    <w:rsid w:val="12145176"/>
    <w:rsid w:val="12154213"/>
    <w:rsid w:val="12154D3D"/>
    <w:rsid w:val="12170AB5"/>
    <w:rsid w:val="1217110D"/>
    <w:rsid w:val="12183532"/>
    <w:rsid w:val="12192A7F"/>
    <w:rsid w:val="121A659E"/>
    <w:rsid w:val="121A67F7"/>
    <w:rsid w:val="121B20D7"/>
    <w:rsid w:val="12213749"/>
    <w:rsid w:val="12241BED"/>
    <w:rsid w:val="1227456F"/>
    <w:rsid w:val="122B27B2"/>
    <w:rsid w:val="122B630F"/>
    <w:rsid w:val="122D020D"/>
    <w:rsid w:val="122D6FB1"/>
    <w:rsid w:val="122E0BAD"/>
    <w:rsid w:val="12316D19"/>
    <w:rsid w:val="12323B41"/>
    <w:rsid w:val="123A47A4"/>
    <w:rsid w:val="123C00EC"/>
    <w:rsid w:val="12415429"/>
    <w:rsid w:val="12442667"/>
    <w:rsid w:val="12445622"/>
    <w:rsid w:val="124813EB"/>
    <w:rsid w:val="12490E8B"/>
    <w:rsid w:val="124A2743"/>
    <w:rsid w:val="124A63E0"/>
    <w:rsid w:val="124E66A8"/>
    <w:rsid w:val="12597320"/>
    <w:rsid w:val="125C0BBE"/>
    <w:rsid w:val="126114F6"/>
    <w:rsid w:val="126161D4"/>
    <w:rsid w:val="126207AD"/>
    <w:rsid w:val="12655F72"/>
    <w:rsid w:val="12684521"/>
    <w:rsid w:val="126B7053"/>
    <w:rsid w:val="126E269F"/>
    <w:rsid w:val="12767ED2"/>
    <w:rsid w:val="127777A6"/>
    <w:rsid w:val="127A6ED4"/>
    <w:rsid w:val="127B7D73"/>
    <w:rsid w:val="127E28E2"/>
    <w:rsid w:val="128123D2"/>
    <w:rsid w:val="12816876"/>
    <w:rsid w:val="12865F17"/>
    <w:rsid w:val="128679E9"/>
    <w:rsid w:val="12875B8A"/>
    <w:rsid w:val="128819B3"/>
    <w:rsid w:val="1288550F"/>
    <w:rsid w:val="128A572B"/>
    <w:rsid w:val="12906AB9"/>
    <w:rsid w:val="129245E0"/>
    <w:rsid w:val="12940358"/>
    <w:rsid w:val="12942106"/>
    <w:rsid w:val="129801D4"/>
    <w:rsid w:val="129D0117"/>
    <w:rsid w:val="12A04609"/>
    <w:rsid w:val="12A13315"/>
    <w:rsid w:val="12A14823"/>
    <w:rsid w:val="12A32349"/>
    <w:rsid w:val="12A52565"/>
    <w:rsid w:val="12A6008B"/>
    <w:rsid w:val="12AB56A1"/>
    <w:rsid w:val="12AD1419"/>
    <w:rsid w:val="12B24C82"/>
    <w:rsid w:val="12B32B77"/>
    <w:rsid w:val="12BD6324"/>
    <w:rsid w:val="12C475B4"/>
    <w:rsid w:val="12C50511"/>
    <w:rsid w:val="12C61F6D"/>
    <w:rsid w:val="12C64289"/>
    <w:rsid w:val="12C76C23"/>
    <w:rsid w:val="12C85395"/>
    <w:rsid w:val="12CC7AF2"/>
    <w:rsid w:val="12CD384D"/>
    <w:rsid w:val="12D06EB6"/>
    <w:rsid w:val="12D22C2E"/>
    <w:rsid w:val="12D469A6"/>
    <w:rsid w:val="12DE15D3"/>
    <w:rsid w:val="12E0359D"/>
    <w:rsid w:val="12E05166"/>
    <w:rsid w:val="12E070F9"/>
    <w:rsid w:val="12E110C3"/>
    <w:rsid w:val="12E34E3B"/>
    <w:rsid w:val="12E36BE9"/>
    <w:rsid w:val="12E532D6"/>
    <w:rsid w:val="12E56E05"/>
    <w:rsid w:val="12E840BD"/>
    <w:rsid w:val="12EA61CA"/>
    <w:rsid w:val="12EA65E5"/>
    <w:rsid w:val="12EB53B3"/>
    <w:rsid w:val="12EE1C86"/>
    <w:rsid w:val="12F17558"/>
    <w:rsid w:val="12F26E2C"/>
    <w:rsid w:val="12F35E42"/>
    <w:rsid w:val="12F42BAD"/>
    <w:rsid w:val="12F9640D"/>
    <w:rsid w:val="12FE3A23"/>
    <w:rsid w:val="13021B5A"/>
    <w:rsid w:val="1303728B"/>
    <w:rsid w:val="130520F3"/>
    <w:rsid w:val="130A0F6C"/>
    <w:rsid w:val="130D347A"/>
    <w:rsid w:val="13112B47"/>
    <w:rsid w:val="13117BFA"/>
    <w:rsid w:val="1314552E"/>
    <w:rsid w:val="131B632D"/>
    <w:rsid w:val="13207E3D"/>
    <w:rsid w:val="13217712"/>
    <w:rsid w:val="13272F7A"/>
    <w:rsid w:val="132A4818"/>
    <w:rsid w:val="132B0374"/>
    <w:rsid w:val="132E67BD"/>
    <w:rsid w:val="13311C92"/>
    <w:rsid w:val="13337B71"/>
    <w:rsid w:val="13350F22"/>
    <w:rsid w:val="13367661"/>
    <w:rsid w:val="13392CAD"/>
    <w:rsid w:val="13394A5B"/>
    <w:rsid w:val="133B4C77"/>
    <w:rsid w:val="133E6515"/>
    <w:rsid w:val="133F69CE"/>
    <w:rsid w:val="1340228E"/>
    <w:rsid w:val="13421B62"/>
    <w:rsid w:val="13484123"/>
    <w:rsid w:val="13496B0F"/>
    <w:rsid w:val="134A0A16"/>
    <w:rsid w:val="134C0C32"/>
    <w:rsid w:val="134E49AB"/>
    <w:rsid w:val="13525B1D"/>
    <w:rsid w:val="13550837"/>
    <w:rsid w:val="13557860"/>
    <w:rsid w:val="13585A3C"/>
    <w:rsid w:val="135950FD"/>
    <w:rsid w:val="135B2C24"/>
    <w:rsid w:val="135E44C2"/>
    <w:rsid w:val="1362048E"/>
    <w:rsid w:val="13645F7C"/>
    <w:rsid w:val="13653AA2"/>
    <w:rsid w:val="1366285D"/>
    <w:rsid w:val="13663179"/>
    <w:rsid w:val="1367781A"/>
    <w:rsid w:val="136917E4"/>
    <w:rsid w:val="136A2E67"/>
    <w:rsid w:val="136A730B"/>
    <w:rsid w:val="136D32AD"/>
    <w:rsid w:val="136D5148"/>
    <w:rsid w:val="136F4921"/>
    <w:rsid w:val="13702B73"/>
    <w:rsid w:val="13704CAD"/>
    <w:rsid w:val="13750189"/>
    <w:rsid w:val="13755A81"/>
    <w:rsid w:val="13781A27"/>
    <w:rsid w:val="137D0B11"/>
    <w:rsid w:val="137D2B9A"/>
    <w:rsid w:val="137E6912"/>
    <w:rsid w:val="13820924"/>
    <w:rsid w:val="138228A6"/>
    <w:rsid w:val="138B5309"/>
    <w:rsid w:val="138E124B"/>
    <w:rsid w:val="13985C26"/>
    <w:rsid w:val="139C56E1"/>
    <w:rsid w:val="139D445C"/>
    <w:rsid w:val="139F689F"/>
    <w:rsid w:val="13A0180C"/>
    <w:rsid w:val="13A26AA4"/>
    <w:rsid w:val="13A812FE"/>
    <w:rsid w:val="13B14F39"/>
    <w:rsid w:val="13B54E8D"/>
    <w:rsid w:val="13BB7412"/>
    <w:rsid w:val="13BD3541"/>
    <w:rsid w:val="13C13DAC"/>
    <w:rsid w:val="13C447DD"/>
    <w:rsid w:val="13C44C6D"/>
    <w:rsid w:val="13C82687"/>
    <w:rsid w:val="13CB2087"/>
    <w:rsid w:val="13CE1647"/>
    <w:rsid w:val="13CE328A"/>
    <w:rsid w:val="13CE5AEB"/>
    <w:rsid w:val="13D84061"/>
    <w:rsid w:val="13DD188A"/>
    <w:rsid w:val="13DD5D2E"/>
    <w:rsid w:val="13DF3855"/>
    <w:rsid w:val="13DF5F4F"/>
    <w:rsid w:val="13E2231C"/>
    <w:rsid w:val="13E250F3"/>
    <w:rsid w:val="13E7095B"/>
    <w:rsid w:val="13E76389"/>
    <w:rsid w:val="13E9022F"/>
    <w:rsid w:val="13EA214E"/>
    <w:rsid w:val="13F015BE"/>
    <w:rsid w:val="13F22685"/>
    <w:rsid w:val="13F76DF0"/>
    <w:rsid w:val="13FF7A53"/>
    <w:rsid w:val="14002B17"/>
    <w:rsid w:val="14025795"/>
    <w:rsid w:val="14030ED7"/>
    <w:rsid w:val="14031A78"/>
    <w:rsid w:val="14060DE1"/>
    <w:rsid w:val="14076907"/>
    <w:rsid w:val="14092680"/>
    <w:rsid w:val="140B289C"/>
    <w:rsid w:val="140D6614"/>
    <w:rsid w:val="140E7C96"/>
    <w:rsid w:val="14117786"/>
    <w:rsid w:val="141379A2"/>
    <w:rsid w:val="141D437D"/>
    <w:rsid w:val="141F00F5"/>
    <w:rsid w:val="14212F55"/>
    <w:rsid w:val="14215943"/>
    <w:rsid w:val="14276563"/>
    <w:rsid w:val="142D2812"/>
    <w:rsid w:val="14302302"/>
    <w:rsid w:val="143811B7"/>
    <w:rsid w:val="143925D5"/>
    <w:rsid w:val="14396787"/>
    <w:rsid w:val="14423DE3"/>
    <w:rsid w:val="14425B91"/>
    <w:rsid w:val="1446401E"/>
    <w:rsid w:val="144D6A10"/>
    <w:rsid w:val="145204CA"/>
    <w:rsid w:val="14522278"/>
    <w:rsid w:val="145360DE"/>
    <w:rsid w:val="1457788F"/>
    <w:rsid w:val="145D6AB7"/>
    <w:rsid w:val="145E0836"/>
    <w:rsid w:val="145F04F1"/>
    <w:rsid w:val="145F6743"/>
    <w:rsid w:val="14634486"/>
    <w:rsid w:val="14661D12"/>
    <w:rsid w:val="1466786F"/>
    <w:rsid w:val="14681A9C"/>
    <w:rsid w:val="146D51DC"/>
    <w:rsid w:val="147026FF"/>
    <w:rsid w:val="14722711"/>
    <w:rsid w:val="14767A0C"/>
    <w:rsid w:val="14771CDF"/>
    <w:rsid w:val="147A0359"/>
    <w:rsid w:val="147B0914"/>
    <w:rsid w:val="14826792"/>
    <w:rsid w:val="14831FAA"/>
    <w:rsid w:val="148368D6"/>
    <w:rsid w:val="148443FC"/>
    <w:rsid w:val="14881AC7"/>
    <w:rsid w:val="14922675"/>
    <w:rsid w:val="149363ED"/>
    <w:rsid w:val="14970357"/>
    <w:rsid w:val="1497412F"/>
    <w:rsid w:val="149A3C1F"/>
    <w:rsid w:val="149A59CD"/>
    <w:rsid w:val="149A777C"/>
    <w:rsid w:val="14A12216"/>
    <w:rsid w:val="14A16D5C"/>
    <w:rsid w:val="14A30D26"/>
    <w:rsid w:val="14A343CA"/>
    <w:rsid w:val="14A64372"/>
    <w:rsid w:val="14A66120"/>
    <w:rsid w:val="14A8633C"/>
    <w:rsid w:val="14AB2659"/>
    <w:rsid w:val="14B03CDB"/>
    <w:rsid w:val="14B338CD"/>
    <w:rsid w:val="14BF7019"/>
    <w:rsid w:val="14BF71E2"/>
    <w:rsid w:val="14C146AD"/>
    <w:rsid w:val="14C36CD2"/>
    <w:rsid w:val="14C52A4A"/>
    <w:rsid w:val="14C6399F"/>
    <w:rsid w:val="14CB202B"/>
    <w:rsid w:val="14CD7B51"/>
    <w:rsid w:val="14CF6317"/>
    <w:rsid w:val="14D17E8A"/>
    <w:rsid w:val="14D26F15"/>
    <w:rsid w:val="14D30EE0"/>
    <w:rsid w:val="14D622CF"/>
    <w:rsid w:val="14DE617B"/>
    <w:rsid w:val="14EB7FD7"/>
    <w:rsid w:val="14EC447B"/>
    <w:rsid w:val="14EF1875"/>
    <w:rsid w:val="14F17B7B"/>
    <w:rsid w:val="14F377D6"/>
    <w:rsid w:val="14F94BD2"/>
    <w:rsid w:val="14F96B98"/>
    <w:rsid w:val="14FA12EC"/>
    <w:rsid w:val="14FE7D0A"/>
    <w:rsid w:val="150002F1"/>
    <w:rsid w:val="15001CD4"/>
    <w:rsid w:val="15001ED4"/>
    <w:rsid w:val="15003A82"/>
    <w:rsid w:val="15035321"/>
    <w:rsid w:val="150A4BFB"/>
    <w:rsid w:val="150A66AF"/>
    <w:rsid w:val="150F0169"/>
    <w:rsid w:val="150F1F18"/>
    <w:rsid w:val="1514752E"/>
    <w:rsid w:val="151A5CE5"/>
    <w:rsid w:val="151D3F8C"/>
    <w:rsid w:val="151D5806"/>
    <w:rsid w:val="15204125"/>
    <w:rsid w:val="15211C4B"/>
    <w:rsid w:val="15227E9D"/>
    <w:rsid w:val="15287181"/>
    <w:rsid w:val="152959D8"/>
    <w:rsid w:val="152C0D1B"/>
    <w:rsid w:val="152F25BA"/>
    <w:rsid w:val="152F6116"/>
    <w:rsid w:val="1534384E"/>
    <w:rsid w:val="15347BD0"/>
    <w:rsid w:val="15363948"/>
    <w:rsid w:val="1537333A"/>
    <w:rsid w:val="153C5E15"/>
    <w:rsid w:val="153E45AB"/>
    <w:rsid w:val="15436065"/>
    <w:rsid w:val="15451DDD"/>
    <w:rsid w:val="1547402C"/>
    <w:rsid w:val="15485429"/>
    <w:rsid w:val="154871D8"/>
    <w:rsid w:val="154904C9"/>
    <w:rsid w:val="154A11A2"/>
    <w:rsid w:val="154C45E2"/>
    <w:rsid w:val="154C4BC0"/>
    <w:rsid w:val="154D47EE"/>
    <w:rsid w:val="15512064"/>
    <w:rsid w:val="15513534"/>
    <w:rsid w:val="15545B7C"/>
    <w:rsid w:val="155838BF"/>
    <w:rsid w:val="15597637"/>
    <w:rsid w:val="155A139E"/>
    <w:rsid w:val="155B515D"/>
    <w:rsid w:val="1561393D"/>
    <w:rsid w:val="15634011"/>
    <w:rsid w:val="156758B0"/>
    <w:rsid w:val="156C55BC"/>
    <w:rsid w:val="156D6C3E"/>
    <w:rsid w:val="156E606E"/>
    <w:rsid w:val="156F530F"/>
    <w:rsid w:val="1570318C"/>
    <w:rsid w:val="15703F40"/>
    <w:rsid w:val="15711284"/>
    <w:rsid w:val="15714980"/>
    <w:rsid w:val="15765A1B"/>
    <w:rsid w:val="1577727D"/>
    <w:rsid w:val="1578279B"/>
    <w:rsid w:val="15791A87"/>
    <w:rsid w:val="15802E15"/>
    <w:rsid w:val="15873D72"/>
    <w:rsid w:val="158A77F0"/>
    <w:rsid w:val="158B46EF"/>
    <w:rsid w:val="158E72E0"/>
    <w:rsid w:val="158F5663"/>
    <w:rsid w:val="15916DD0"/>
    <w:rsid w:val="159348F7"/>
    <w:rsid w:val="159468C1"/>
    <w:rsid w:val="15950B37"/>
    <w:rsid w:val="159863B1"/>
    <w:rsid w:val="159D5775"/>
    <w:rsid w:val="15A22D8C"/>
    <w:rsid w:val="15A46B04"/>
    <w:rsid w:val="15A550C2"/>
    <w:rsid w:val="15A703A2"/>
    <w:rsid w:val="15A90642"/>
    <w:rsid w:val="15AC4FB2"/>
    <w:rsid w:val="15AE34DE"/>
    <w:rsid w:val="15AF77CE"/>
    <w:rsid w:val="15B50D11"/>
    <w:rsid w:val="15B8610B"/>
    <w:rsid w:val="15BD5E17"/>
    <w:rsid w:val="15BD7BC5"/>
    <w:rsid w:val="15BF4316"/>
    <w:rsid w:val="15BF56EC"/>
    <w:rsid w:val="15C2342E"/>
    <w:rsid w:val="15C63D1D"/>
    <w:rsid w:val="15C9747E"/>
    <w:rsid w:val="15CD684B"/>
    <w:rsid w:val="15D078F9"/>
    <w:rsid w:val="15D16C3C"/>
    <w:rsid w:val="15D31197"/>
    <w:rsid w:val="15DD2016"/>
    <w:rsid w:val="15E433A4"/>
    <w:rsid w:val="15E52C78"/>
    <w:rsid w:val="15E85A6A"/>
    <w:rsid w:val="15E9286E"/>
    <w:rsid w:val="15EE7D7F"/>
    <w:rsid w:val="15F555B1"/>
    <w:rsid w:val="15F86E50"/>
    <w:rsid w:val="15FB06EE"/>
    <w:rsid w:val="15FD475F"/>
    <w:rsid w:val="15FF1F8C"/>
    <w:rsid w:val="15FF61B2"/>
    <w:rsid w:val="16021A7C"/>
    <w:rsid w:val="16027CCE"/>
    <w:rsid w:val="16052351"/>
    <w:rsid w:val="160624AC"/>
    <w:rsid w:val="16094BB9"/>
    <w:rsid w:val="160B1661"/>
    <w:rsid w:val="160C67C6"/>
    <w:rsid w:val="160E0421"/>
    <w:rsid w:val="160E5416"/>
    <w:rsid w:val="16102658"/>
    <w:rsid w:val="16104199"/>
    <w:rsid w:val="16135A37"/>
    <w:rsid w:val="1615355E"/>
    <w:rsid w:val="16174912"/>
    <w:rsid w:val="16176848"/>
    <w:rsid w:val="161F43DC"/>
    <w:rsid w:val="162714E3"/>
    <w:rsid w:val="16290DB7"/>
    <w:rsid w:val="162A6D5B"/>
    <w:rsid w:val="162C31E2"/>
    <w:rsid w:val="162F0800"/>
    <w:rsid w:val="16302145"/>
    <w:rsid w:val="16331F8C"/>
    <w:rsid w:val="163628C3"/>
    <w:rsid w:val="163A1216"/>
    <w:rsid w:val="163D0D06"/>
    <w:rsid w:val="163F4A7E"/>
    <w:rsid w:val="163F5F04"/>
    <w:rsid w:val="16402CE9"/>
    <w:rsid w:val="16481D0C"/>
    <w:rsid w:val="164833F6"/>
    <w:rsid w:val="16491E8B"/>
    <w:rsid w:val="164976AB"/>
    <w:rsid w:val="164E6A70"/>
    <w:rsid w:val="16530534"/>
    <w:rsid w:val="16533CDD"/>
    <w:rsid w:val="1657134E"/>
    <w:rsid w:val="1658246F"/>
    <w:rsid w:val="16582CFB"/>
    <w:rsid w:val="16591D98"/>
    <w:rsid w:val="16593F84"/>
    <w:rsid w:val="16597D82"/>
    <w:rsid w:val="165A0286"/>
    <w:rsid w:val="165E4F6A"/>
    <w:rsid w:val="165F0C7D"/>
    <w:rsid w:val="16626137"/>
    <w:rsid w:val="16641230"/>
    <w:rsid w:val="16672FCD"/>
    <w:rsid w:val="16691AFB"/>
    <w:rsid w:val="166D15EC"/>
    <w:rsid w:val="166F3ECC"/>
    <w:rsid w:val="167209B0"/>
    <w:rsid w:val="16721C9F"/>
    <w:rsid w:val="167239AA"/>
    <w:rsid w:val="1676615B"/>
    <w:rsid w:val="16775FC6"/>
    <w:rsid w:val="167C182F"/>
    <w:rsid w:val="167C538B"/>
    <w:rsid w:val="167F131F"/>
    <w:rsid w:val="16803A86"/>
    <w:rsid w:val="16826719"/>
    <w:rsid w:val="16883EC5"/>
    <w:rsid w:val="168B7804"/>
    <w:rsid w:val="168F0348"/>
    <w:rsid w:val="16905228"/>
    <w:rsid w:val="16924BAE"/>
    <w:rsid w:val="169326D4"/>
    <w:rsid w:val="16970417"/>
    <w:rsid w:val="169750FB"/>
    <w:rsid w:val="169A52D4"/>
    <w:rsid w:val="169E17A5"/>
    <w:rsid w:val="169E79F7"/>
    <w:rsid w:val="16A50D85"/>
    <w:rsid w:val="16A668AC"/>
    <w:rsid w:val="16A86080"/>
    <w:rsid w:val="16A9014A"/>
    <w:rsid w:val="16AA24A1"/>
    <w:rsid w:val="16AA2F16"/>
    <w:rsid w:val="16AA3D7D"/>
    <w:rsid w:val="16AA639C"/>
    <w:rsid w:val="16AB0FCE"/>
    <w:rsid w:val="16AC2F2A"/>
    <w:rsid w:val="16AD19E8"/>
    <w:rsid w:val="16B0772A"/>
    <w:rsid w:val="16B25250"/>
    <w:rsid w:val="16B30A5D"/>
    <w:rsid w:val="16B5089D"/>
    <w:rsid w:val="16B965DF"/>
    <w:rsid w:val="16BA2357"/>
    <w:rsid w:val="16BA5EB3"/>
    <w:rsid w:val="16BF1FDC"/>
    <w:rsid w:val="16C21F84"/>
    <w:rsid w:val="16C62AAA"/>
    <w:rsid w:val="16D231FD"/>
    <w:rsid w:val="16D90A2F"/>
    <w:rsid w:val="16DC22CD"/>
    <w:rsid w:val="16DE4297"/>
    <w:rsid w:val="16DF591A"/>
    <w:rsid w:val="16E24AD0"/>
    <w:rsid w:val="16E323D6"/>
    <w:rsid w:val="16E3540A"/>
    <w:rsid w:val="16E84D29"/>
    <w:rsid w:val="16E96798"/>
    <w:rsid w:val="16EA49EA"/>
    <w:rsid w:val="16F02D2D"/>
    <w:rsid w:val="16F13FCB"/>
    <w:rsid w:val="16F26C82"/>
    <w:rsid w:val="16F5338F"/>
    <w:rsid w:val="16F72C63"/>
    <w:rsid w:val="16F75359"/>
    <w:rsid w:val="16FC471D"/>
    <w:rsid w:val="17011703"/>
    <w:rsid w:val="170535D2"/>
    <w:rsid w:val="17076407"/>
    <w:rsid w:val="17081314"/>
    <w:rsid w:val="170A6E3A"/>
    <w:rsid w:val="170D692B"/>
    <w:rsid w:val="170D7083"/>
    <w:rsid w:val="170E53FC"/>
    <w:rsid w:val="171449A7"/>
    <w:rsid w:val="17147CB9"/>
    <w:rsid w:val="17163A31"/>
    <w:rsid w:val="171C4DC0"/>
    <w:rsid w:val="171E28E6"/>
    <w:rsid w:val="171F21BA"/>
    <w:rsid w:val="17233A58"/>
    <w:rsid w:val="172B6DB1"/>
    <w:rsid w:val="173065AC"/>
    <w:rsid w:val="17312619"/>
    <w:rsid w:val="1732013F"/>
    <w:rsid w:val="1735378C"/>
    <w:rsid w:val="17371C25"/>
    <w:rsid w:val="173A0CA2"/>
    <w:rsid w:val="173B5162"/>
    <w:rsid w:val="173B7B6B"/>
    <w:rsid w:val="17400AAE"/>
    <w:rsid w:val="174175CE"/>
    <w:rsid w:val="17424826"/>
    <w:rsid w:val="17430527"/>
    <w:rsid w:val="17451C21"/>
    <w:rsid w:val="174707F2"/>
    <w:rsid w:val="174A0533"/>
    <w:rsid w:val="174A5489"/>
    <w:rsid w:val="174D4F79"/>
    <w:rsid w:val="174E1D5F"/>
    <w:rsid w:val="174F1DAC"/>
    <w:rsid w:val="1750389F"/>
    <w:rsid w:val="17513101"/>
    <w:rsid w:val="17533407"/>
    <w:rsid w:val="17541C76"/>
    <w:rsid w:val="175579C2"/>
    <w:rsid w:val="17583D2E"/>
    <w:rsid w:val="175B1444"/>
    <w:rsid w:val="17604CAC"/>
    <w:rsid w:val="176805DF"/>
    <w:rsid w:val="17683B61"/>
    <w:rsid w:val="176D616F"/>
    <w:rsid w:val="176E475F"/>
    <w:rsid w:val="17702E89"/>
    <w:rsid w:val="17793735"/>
    <w:rsid w:val="177B0B01"/>
    <w:rsid w:val="177C13BA"/>
    <w:rsid w:val="1781324A"/>
    <w:rsid w:val="17814BA3"/>
    <w:rsid w:val="178650AF"/>
    <w:rsid w:val="17887D5F"/>
    <w:rsid w:val="178C784F"/>
    <w:rsid w:val="178E704F"/>
    <w:rsid w:val="17936E30"/>
    <w:rsid w:val="17946704"/>
    <w:rsid w:val="179901BE"/>
    <w:rsid w:val="17A32DEB"/>
    <w:rsid w:val="17A56B63"/>
    <w:rsid w:val="17A834B7"/>
    <w:rsid w:val="17AA5F28"/>
    <w:rsid w:val="17AC6144"/>
    <w:rsid w:val="17AF31D7"/>
    <w:rsid w:val="17B172B6"/>
    <w:rsid w:val="17B2302E"/>
    <w:rsid w:val="17B40B54"/>
    <w:rsid w:val="17B46DA6"/>
    <w:rsid w:val="17BA3F9F"/>
    <w:rsid w:val="17BB6387"/>
    <w:rsid w:val="17BF60B6"/>
    <w:rsid w:val="17C0120A"/>
    <w:rsid w:val="17C0399D"/>
    <w:rsid w:val="17C153BB"/>
    <w:rsid w:val="17C52D61"/>
    <w:rsid w:val="17C76AD9"/>
    <w:rsid w:val="17C9780C"/>
    <w:rsid w:val="17CE60BA"/>
    <w:rsid w:val="17D11706"/>
    <w:rsid w:val="17D16E07"/>
    <w:rsid w:val="17D17655"/>
    <w:rsid w:val="17D31922"/>
    <w:rsid w:val="17D45C0F"/>
    <w:rsid w:val="17D631C0"/>
    <w:rsid w:val="17D905BB"/>
    <w:rsid w:val="17E256C1"/>
    <w:rsid w:val="17E458DD"/>
    <w:rsid w:val="17E72CD8"/>
    <w:rsid w:val="17EA27C8"/>
    <w:rsid w:val="17EE050A"/>
    <w:rsid w:val="17F160D0"/>
    <w:rsid w:val="17F17FFA"/>
    <w:rsid w:val="17F453F5"/>
    <w:rsid w:val="17FD24FB"/>
    <w:rsid w:val="17FD6CA6"/>
    <w:rsid w:val="1800023D"/>
    <w:rsid w:val="18041ADC"/>
    <w:rsid w:val="18071C22"/>
    <w:rsid w:val="18113658"/>
    <w:rsid w:val="1814462B"/>
    <w:rsid w:val="18185587"/>
    <w:rsid w:val="181A12FF"/>
    <w:rsid w:val="181D2B9D"/>
    <w:rsid w:val="182240F7"/>
    <w:rsid w:val="182668CE"/>
    <w:rsid w:val="182860D2"/>
    <w:rsid w:val="182E5131"/>
    <w:rsid w:val="18300B23"/>
    <w:rsid w:val="18372893"/>
    <w:rsid w:val="183A374F"/>
    <w:rsid w:val="183B1275"/>
    <w:rsid w:val="183D6D9C"/>
    <w:rsid w:val="184300EF"/>
    <w:rsid w:val="18430EA9"/>
    <w:rsid w:val="1844637C"/>
    <w:rsid w:val="1849373C"/>
    <w:rsid w:val="18510A99"/>
    <w:rsid w:val="1853036D"/>
    <w:rsid w:val="185364C6"/>
    <w:rsid w:val="1854746C"/>
    <w:rsid w:val="18552337"/>
    <w:rsid w:val="18575DED"/>
    <w:rsid w:val="185A452C"/>
    <w:rsid w:val="185D743E"/>
    <w:rsid w:val="18607D79"/>
    <w:rsid w:val="1861786D"/>
    <w:rsid w:val="18624A54"/>
    <w:rsid w:val="186500A0"/>
    <w:rsid w:val="18652FC2"/>
    <w:rsid w:val="186662F2"/>
    <w:rsid w:val="18694035"/>
    <w:rsid w:val="186A59A8"/>
    <w:rsid w:val="186B1B5B"/>
    <w:rsid w:val="186B4263"/>
    <w:rsid w:val="186C50FF"/>
    <w:rsid w:val="186E164B"/>
    <w:rsid w:val="18707171"/>
    <w:rsid w:val="18712437"/>
    <w:rsid w:val="18756535"/>
    <w:rsid w:val="18770500"/>
    <w:rsid w:val="187C40C2"/>
    <w:rsid w:val="187C5B16"/>
    <w:rsid w:val="187D53EA"/>
    <w:rsid w:val="18814EDA"/>
    <w:rsid w:val="18817EE7"/>
    <w:rsid w:val="18842C1C"/>
    <w:rsid w:val="1889646B"/>
    <w:rsid w:val="188B3FAB"/>
    <w:rsid w:val="188E3A9B"/>
    <w:rsid w:val="189310B2"/>
    <w:rsid w:val="18932E60"/>
    <w:rsid w:val="18980476"/>
    <w:rsid w:val="18A24E51"/>
    <w:rsid w:val="18A45547"/>
    <w:rsid w:val="18A57152"/>
    <w:rsid w:val="18B43502"/>
    <w:rsid w:val="18B828C6"/>
    <w:rsid w:val="18BB756C"/>
    <w:rsid w:val="18BC23B6"/>
    <w:rsid w:val="18BC5F12"/>
    <w:rsid w:val="18C354F3"/>
    <w:rsid w:val="18CC449E"/>
    <w:rsid w:val="18CD0120"/>
    <w:rsid w:val="18D25597"/>
    <w:rsid w:val="18D3325C"/>
    <w:rsid w:val="18D5309D"/>
    <w:rsid w:val="18D56F01"/>
    <w:rsid w:val="18D72D4C"/>
    <w:rsid w:val="18D82612"/>
    <w:rsid w:val="18DC4807"/>
    <w:rsid w:val="18E0374C"/>
    <w:rsid w:val="18E13BCB"/>
    <w:rsid w:val="18E2730C"/>
    <w:rsid w:val="18E32B1D"/>
    <w:rsid w:val="18E35613"/>
    <w:rsid w:val="18EA73CF"/>
    <w:rsid w:val="18EB5D0B"/>
    <w:rsid w:val="18F00519"/>
    <w:rsid w:val="18F41B50"/>
    <w:rsid w:val="18F57676"/>
    <w:rsid w:val="18FD47EE"/>
    <w:rsid w:val="18FF04F5"/>
    <w:rsid w:val="19017DC9"/>
    <w:rsid w:val="19081158"/>
    <w:rsid w:val="190B50EC"/>
    <w:rsid w:val="19151AC7"/>
    <w:rsid w:val="19153875"/>
    <w:rsid w:val="191C10A7"/>
    <w:rsid w:val="191E4E1F"/>
    <w:rsid w:val="191F46F3"/>
    <w:rsid w:val="19241D0A"/>
    <w:rsid w:val="19253490"/>
    <w:rsid w:val="192D0BBE"/>
    <w:rsid w:val="19320D8E"/>
    <w:rsid w:val="1935389B"/>
    <w:rsid w:val="193625E9"/>
    <w:rsid w:val="19363F89"/>
    <w:rsid w:val="193B777F"/>
    <w:rsid w:val="194221BD"/>
    <w:rsid w:val="194303E2"/>
    <w:rsid w:val="1945415A"/>
    <w:rsid w:val="194A5C14"/>
    <w:rsid w:val="194B373A"/>
    <w:rsid w:val="194D300E"/>
    <w:rsid w:val="194E0845"/>
    <w:rsid w:val="194E74CF"/>
    <w:rsid w:val="19502AFF"/>
    <w:rsid w:val="19510D51"/>
    <w:rsid w:val="19551028"/>
    <w:rsid w:val="19566367"/>
    <w:rsid w:val="19573E8D"/>
    <w:rsid w:val="19597C05"/>
    <w:rsid w:val="195A572B"/>
    <w:rsid w:val="195C76F5"/>
    <w:rsid w:val="196229FF"/>
    <w:rsid w:val="19627103"/>
    <w:rsid w:val="19674E18"/>
    <w:rsid w:val="196D36B1"/>
    <w:rsid w:val="196D545F"/>
    <w:rsid w:val="196E0853"/>
    <w:rsid w:val="197230DB"/>
    <w:rsid w:val="19726F19"/>
    <w:rsid w:val="19731396"/>
    <w:rsid w:val="19742560"/>
    <w:rsid w:val="1974347A"/>
    <w:rsid w:val="197467ED"/>
    <w:rsid w:val="19766A09"/>
    <w:rsid w:val="19811AAD"/>
    <w:rsid w:val="198318D4"/>
    <w:rsid w:val="19864B80"/>
    <w:rsid w:val="19873C1D"/>
    <w:rsid w:val="198840F3"/>
    <w:rsid w:val="198A4263"/>
    <w:rsid w:val="1991739F"/>
    <w:rsid w:val="199A63EE"/>
    <w:rsid w:val="199B021E"/>
    <w:rsid w:val="199E7D0E"/>
    <w:rsid w:val="19A03A86"/>
    <w:rsid w:val="19A25FF3"/>
    <w:rsid w:val="19A52E4A"/>
    <w:rsid w:val="19A60971"/>
    <w:rsid w:val="19A76BC3"/>
    <w:rsid w:val="19AA12E4"/>
    <w:rsid w:val="19AA3D70"/>
    <w:rsid w:val="19AD1CFF"/>
    <w:rsid w:val="19B050C4"/>
    <w:rsid w:val="19B17A41"/>
    <w:rsid w:val="19B327BD"/>
    <w:rsid w:val="19B54E51"/>
    <w:rsid w:val="19B96A57"/>
    <w:rsid w:val="19BB187E"/>
    <w:rsid w:val="19BE5CBA"/>
    <w:rsid w:val="19BF638E"/>
    <w:rsid w:val="19C04FFF"/>
    <w:rsid w:val="19C07C84"/>
    <w:rsid w:val="19C31F4B"/>
    <w:rsid w:val="19C5529B"/>
    <w:rsid w:val="19C71013"/>
    <w:rsid w:val="19C77265"/>
    <w:rsid w:val="19C8557D"/>
    <w:rsid w:val="19C86B39"/>
    <w:rsid w:val="19CE163C"/>
    <w:rsid w:val="19D11E91"/>
    <w:rsid w:val="19D32E4E"/>
    <w:rsid w:val="19D35B4D"/>
    <w:rsid w:val="19D81AC5"/>
    <w:rsid w:val="19D8421D"/>
    <w:rsid w:val="19DC436D"/>
    <w:rsid w:val="19DE635C"/>
    <w:rsid w:val="19E00326"/>
    <w:rsid w:val="19E13B72"/>
    <w:rsid w:val="19EE47F1"/>
    <w:rsid w:val="19EF40C6"/>
    <w:rsid w:val="19F02D3B"/>
    <w:rsid w:val="19F33BB6"/>
    <w:rsid w:val="19F40203"/>
    <w:rsid w:val="19F416DC"/>
    <w:rsid w:val="19F8707D"/>
    <w:rsid w:val="19F8741E"/>
    <w:rsid w:val="19FA567B"/>
    <w:rsid w:val="19FE60EA"/>
    <w:rsid w:val="19FF69FF"/>
    <w:rsid w:val="1A076555"/>
    <w:rsid w:val="1A0A47A7"/>
    <w:rsid w:val="1A100A95"/>
    <w:rsid w:val="1A1678A4"/>
    <w:rsid w:val="1A182156"/>
    <w:rsid w:val="1A187AC0"/>
    <w:rsid w:val="1A197394"/>
    <w:rsid w:val="1A1B310D"/>
    <w:rsid w:val="1A1F0E4F"/>
    <w:rsid w:val="1A202AB5"/>
    <w:rsid w:val="1A206975"/>
    <w:rsid w:val="1A231FC1"/>
    <w:rsid w:val="1A253F8B"/>
    <w:rsid w:val="1A275223"/>
    <w:rsid w:val="1A2A3350"/>
    <w:rsid w:val="1A2A45CA"/>
    <w:rsid w:val="1A366537"/>
    <w:rsid w:val="1A3A4A74"/>
    <w:rsid w:val="1A3F329F"/>
    <w:rsid w:val="1A4131B9"/>
    <w:rsid w:val="1A450189"/>
    <w:rsid w:val="1A475CCF"/>
    <w:rsid w:val="1A497C7A"/>
    <w:rsid w:val="1A4B49F2"/>
    <w:rsid w:val="1A4C1518"/>
    <w:rsid w:val="1A4E5290"/>
    <w:rsid w:val="1A557163"/>
    <w:rsid w:val="1A5959E3"/>
    <w:rsid w:val="1A5D3725"/>
    <w:rsid w:val="1A604FC3"/>
    <w:rsid w:val="1A620D3B"/>
    <w:rsid w:val="1A622189"/>
    <w:rsid w:val="1A626F8D"/>
    <w:rsid w:val="1A640DA1"/>
    <w:rsid w:val="1A6525DA"/>
    <w:rsid w:val="1A693E78"/>
    <w:rsid w:val="1A6A7051"/>
    <w:rsid w:val="1A736AA5"/>
    <w:rsid w:val="1A75281D"/>
    <w:rsid w:val="1A766595"/>
    <w:rsid w:val="1A7908A8"/>
    <w:rsid w:val="1A7955BE"/>
    <w:rsid w:val="1A7D5B75"/>
    <w:rsid w:val="1A7F369B"/>
    <w:rsid w:val="1A803B1F"/>
    <w:rsid w:val="1A845156"/>
    <w:rsid w:val="1A846F04"/>
    <w:rsid w:val="1A8567D8"/>
    <w:rsid w:val="1A8E3418"/>
    <w:rsid w:val="1A8E38DF"/>
    <w:rsid w:val="1A901407"/>
    <w:rsid w:val="1A920A3F"/>
    <w:rsid w:val="1A943933"/>
    <w:rsid w:val="1A952EBF"/>
    <w:rsid w:val="1A9829AF"/>
    <w:rsid w:val="1AA021B6"/>
    <w:rsid w:val="1AA11864"/>
    <w:rsid w:val="1AA145EF"/>
    <w:rsid w:val="1AA17AB6"/>
    <w:rsid w:val="1AA255DC"/>
    <w:rsid w:val="1AA318C8"/>
    <w:rsid w:val="1AA475A6"/>
    <w:rsid w:val="1AA50C28"/>
    <w:rsid w:val="1AA71614"/>
    <w:rsid w:val="1AA749A0"/>
    <w:rsid w:val="1AAB4490"/>
    <w:rsid w:val="1AAC1FB7"/>
    <w:rsid w:val="1AB21997"/>
    <w:rsid w:val="1AB30BDD"/>
    <w:rsid w:val="1AB31597"/>
    <w:rsid w:val="1AB772D9"/>
    <w:rsid w:val="1AB86BAD"/>
    <w:rsid w:val="1AB948D7"/>
    <w:rsid w:val="1ABC669E"/>
    <w:rsid w:val="1ABD2416"/>
    <w:rsid w:val="1AC25B01"/>
    <w:rsid w:val="1AC612CA"/>
    <w:rsid w:val="1AC67AF6"/>
    <w:rsid w:val="1AC73736"/>
    <w:rsid w:val="1AC83294"/>
    <w:rsid w:val="1AC967AE"/>
    <w:rsid w:val="1ACB068F"/>
    <w:rsid w:val="1AD5150D"/>
    <w:rsid w:val="1AD5775F"/>
    <w:rsid w:val="1ADF05DE"/>
    <w:rsid w:val="1ADF238C"/>
    <w:rsid w:val="1AE1340A"/>
    <w:rsid w:val="1AE16104"/>
    <w:rsid w:val="1AE21435"/>
    <w:rsid w:val="1AE94FB9"/>
    <w:rsid w:val="1AEC35CF"/>
    <w:rsid w:val="1AEC6857"/>
    <w:rsid w:val="1AEF6A73"/>
    <w:rsid w:val="1AF000F5"/>
    <w:rsid w:val="1AF02B36"/>
    <w:rsid w:val="1AF177AE"/>
    <w:rsid w:val="1AFF658A"/>
    <w:rsid w:val="1B040045"/>
    <w:rsid w:val="1B053D44"/>
    <w:rsid w:val="1B07086E"/>
    <w:rsid w:val="1B081AE1"/>
    <w:rsid w:val="1B0E451B"/>
    <w:rsid w:val="1B0F0EC3"/>
    <w:rsid w:val="1B102545"/>
    <w:rsid w:val="1B132036"/>
    <w:rsid w:val="1B190D89"/>
    <w:rsid w:val="1B19589E"/>
    <w:rsid w:val="1B1A121B"/>
    <w:rsid w:val="1B1B3ED3"/>
    <w:rsid w:val="1B1C4C0F"/>
    <w:rsid w:val="1B1F09DB"/>
    <w:rsid w:val="1B244243"/>
    <w:rsid w:val="1B261195"/>
    <w:rsid w:val="1B2628EB"/>
    <w:rsid w:val="1B270E3C"/>
    <w:rsid w:val="1B286F03"/>
    <w:rsid w:val="1B2972D9"/>
    <w:rsid w:val="1B2A38E1"/>
    <w:rsid w:val="1B2A7AAB"/>
    <w:rsid w:val="1B2B3823"/>
    <w:rsid w:val="1B2B737F"/>
    <w:rsid w:val="1B2D1349"/>
    <w:rsid w:val="1B2F52AD"/>
    <w:rsid w:val="1B324BB2"/>
    <w:rsid w:val="1B34418A"/>
    <w:rsid w:val="1B373F76"/>
    <w:rsid w:val="1B395F40"/>
    <w:rsid w:val="1B3C158C"/>
    <w:rsid w:val="1B404677"/>
    <w:rsid w:val="1B40570F"/>
    <w:rsid w:val="1B414DF5"/>
    <w:rsid w:val="1B4318B7"/>
    <w:rsid w:val="1B44441F"/>
    <w:rsid w:val="1B481CDF"/>
    <w:rsid w:val="1B4A4141"/>
    <w:rsid w:val="1B4C593F"/>
    <w:rsid w:val="1B4D5548"/>
    <w:rsid w:val="1B4F12C0"/>
    <w:rsid w:val="1B502A2B"/>
    <w:rsid w:val="1B522B5E"/>
    <w:rsid w:val="1B5468D6"/>
    <w:rsid w:val="1B5D46B2"/>
    <w:rsid w:val="1B5E7755"/>
    <w:rsid w:val="1B5F527B"/>
    <w:rsid w:val="1B662AAD"/>
    <w:rsid w:val="1B6825DF"/>
    <w:rsid w:val="1B684130"/>
    <w:rsid w:val="1B6C1CB8"/>
    <w:rsid w:val="1B6F1962"/>
    <w:rsid w:val="1B724FAE"/>
    <w:rsid w:val="1B7533B8"/>
    <w:rsid w:val="1B754A9E"/>
    <w:rsid w:val="1B764214"/>
    <w:rsid w:val="1B7668CD"/>
    <w:rsid w:val="1B7F6CDA"/>
    <w:rsid w:val="1B803B6F"/>
    <w:rsid w:val="1B851185"/>
    <w:rsid w:val="1B860A5A"/>
    <w:rsid w:val="1B8A054A"/>
    <w:rsid w:val="1B8C4169"/>
    <w:rsid w:val="1B8F3DB2"/>
    <w:rsid w:val="1B980FE2"/>
    <w:rsid w:val="1B9969DF"/>
    <w:rsid w:val="1B9A62B3"/>
    <w:rsid w:val="1B9E377C"/>
    <w:rsid w:val="1B9F2094"/>
    <w:rsid w:val="1BA244F7"/>
    <w:rsid w:val="1BA710FC"/>
    <w:rsid w:val="1BA73B5A"/>
    <w:rsid w:val="1BAA304E"/>
    <w:rsid w:val="1BB86F8A"/>
    <w:rsid w:val="1BBE4697"/>
    <w:rsid w:val="1BBF795A"/>
    <w:rsid w:val="1BC31CAE"/>
    <w:rsid w:val="1BCD48DA"/>
    <w:rsid w:val="1BCD6688"/>
    <w:rsid w:val="1BCF2401"/>
    <w:rsid w:val="1BD417C5"/>
    <w:rsid w:val="1BE877C1"/>
    <w:rsid w:val="1BE91714"/>
    <w:rsid w:val="1BE95EF7"/>
    <w:rsid w:val="1BEC2FB3"/>
    <w:rsid w:val="1BEC4D61"/>
    <w:rsid w:val="1BF029D5"/>
    <w:rsid w:val="1BF0338C"/>
    <w:rsid w:val="1BF542F1"/>
    <w:rsid w:val="1BF63146"/>
    <w:rsid w:val="1BF80778"/>
    <w:rsid w:val="1BFA0D88"/>
    <w:rsid w:val="1BFE4A94"/>
    <w:rsid w:val="1C0025BA"/>
    <w:rsid w:val="1C006A5E"/>
    <w:rsid w:val="1C0540A5"/>
    <w:rsid w:val="1C073948"/>
    <w:rsid w:val="1C07551E"/>
    <w:rsid w:val="1C0E2F29"/>
    <w:rsid w:val="1C142509"/>
    <w:rsid w:val="1C145AD5"/>
    <w:rsid w:val="1C1918CE"/>
    <w:rsid w:val="1C197B20"/>
    <w:rsid w:val="1C1F164A"/>
    <w:rsid w:val="1C1F5136"/>
    <w:rsid w:val="1C204A0A"/>
    <w:rsid w:val="1C220782"/>
    <w:rsid w:val="1C286B0C"/>
    <w:rsid w:val="1C2A5889"/>
    <w:rsid w:val="1C2A7637"/>
    <w:rsid w:val="1C346708"/>
    <w:rsid w:val="1C3A1F70"/>
    <w:rsid w:val="1C3B5CE8"/>
    <w:rsid w:val="1C404B96"/>
    <w:rsid w:val="1C4306F9"/>
    <w:rsid w:val="1C44410F"/>
    <w:rsid w:val="1C444B9D"/>
    <w:rsid w:val="1C444CA0"/>
    <w:rsid w:val="1C453AED"/>
    <w:rsid w:val="1C4743F8"/>
    <w:rsid w:val="1C47643B"/>
    <w:rsid w:val="1C4918AC"/>
    <w:rsid w:val="1C49360C"/>
    <w:rsid w:val="1C4A7CD9"/>
    <w:rsid w:val="1C4D5939"/>
    <w:rsid w:val="1C4E304D"/>
    <w:rsid w:val="1C4E7A4A"/>
    <w:rsid w:val="1C511068"/>
    <w:rsid w:val="1C56042C"/>
    <w:rsid w:val="1C5609F0"/>
    <w:rsid w:val="1C5648D0"/>
    <w:rsid w:val="1C596C44"/>
    <w:rsid w:val="1C5A43C0"/>
    <w:rsid w:val="1C5A616E"/>
    <w:rsid w:val="1C5B4A8F"/>
    <w:rsid w:val="1C5D7A0C"/>
    <w:rsid w:val="1C626DD1"/>
    <w:rsid w:val="1C6360EC"/>
    <w:rsid w:val="1C662D65"/>
    <w:rsid w:val="1C675182"/>
    <w:rsid w:val="1C6963B1"/>
    <w:rsid w:val="1C7A236C"/>
    <w:rsid w:val="1C7D3FB5"/>
    <w:rsid w:val="1C7D749C"/>
    <w:rsid w:val="1C7F3E27"/>
    <w:rsid w:val="1C8256C5"/>
    <w:rsid w:val="1C826BA3"/>
    <w:rsid w:val="1C872CDB"/>
    <w:rsid w:val="1C874A89"/>
    <w:rsid w:val="1C890801"/>
    <w:rsid w:val="1C8D750E"/>
    <w:rsid w:val="1C8F393E"/>
    <w:rsid w:val="1C931E46"/>
    <w:rsid w:val="1C9A47BD"/>
    <w:rsid w:val="1CA06FF4"/>
    <w:rsid w:val="1CA13D9D"/>
    <w:rsid w:val="1CA275A7"/>
    <w:rsid w:val="1CA35B99"/>
    <w:rsid w:val="1CA473E9"/>
    <w:rsid w:val="1CA64228"/>
    <w:rsid w:val="1CA74E49"/>
    <w:rsid w:val="1CAE2016"/>
    <w:rsid w:val="1CB34116"/>
    <w:rsid w:val="1CB3587E"/>
    <w:rsid w:val="1CB74D3E"/>
    <w:rsid w:val="1CC17F9B"/>
    <w:rsid w:val="1CC253C7"/>
    <w:rsid w:val="1CC36E2B"/>
    <w:rsid w:val="1CC61A56"/>
    <w:rsid w:val="1CC730D8"/>
    <w:rsid w:val="1CC950A2"/>
    <w:rsid w:val="1CC96E50"/>
    <w:rsid w:val="1CD04BA2"/>
    <w:rsid w:val="1CD13F56"/>
    <w:rsid w:val="1CD221A8"/>
    <w:rsid w:val="1CDF72B4"/>
    <w:rsid w:val="1CE04199"/>
    <w:rsid w:val="1CE4012E"/>
    <w:rsid w:val="1CE67A02"/>
    <w:rsid w:val="1CE72644"/>
    <w:rsid w:val="1CEB5018"/>
    <w:rsid w:val="1CEE2D5A"/>
    <w:rsid w:val="1CF00859"/>
    <w:rsid w:val="1CF06AD2"/>
    <w:rsid w:val="1CF32208"/>
    <w:rsid w:val="1CF33ECD"/>
    <w:rsid w:val="1CF814E3"/>
    <w:rsid w:val="1CFA34AD"/>
    <w:rsid w:val="1CFD4D4B"/>
    <w:rsid w:val="1CFF0AC4"/>
    <w:rsid w:val="1CFF77C6"/>
    <w:rsid w:val="1D01132A"/>
    <w:rsid w:val="1D022362"/>
    <w:rsid w:val="1D063C00"/>
    <w:rsid w:val="1D085BCA"/>
    <w:rsid w:val="1D0C49D1"/>
    <w:rsid w:val="1D0E7CD1"/>
    <w:rsid w:val="1D1207F7"/>
    <w:rsid w:val="1D126A49"/>
    <w:rsid w:val="1D187DD7"/>
    <w:rsid w:val="1D1D0F4A"/>
    <w:rsid w:val="1D1D719C"/>
    <w:rsid w:val="1D2247B2"/>
    <w:rsid w:val="1D230E05"/>
    <w:rsid w:val="1D2422D8"/>
    <w:rsid w:val="1D25296F"/>
    <w:rsid w:val="1D275FCD"/>
    <w:rsid w:val="1D276192"/>
    <w:rsid w:val="1D284DDF"/>
    <w:rsid w:val="1D28626C"/>
    <w:rsid w:val="1D2B5F1E"/>
    <w:rsid w:val="1D2B7B0B"/>
    <w:rsid w:val="1D2D3883"/>
    <w:rsid w:val="1D303373"/>
    <w:rsid w:val="1D352737"/>
    <w:rsid w:val="1D3540E3"/>
    <w:rsid w:val="1D37200B"/>
    <w:rsid w:val="1D383FD6"/>
    <w:rsid w:val="1D3A1AFC"/>
    <w:rsid w:val="1D3F7112"/>
    <w:rsid w:val="1D4020AA"/>
    <w:rsid w:val="1D491D3F"/>
    <w:rsid w:val="1D4A378F"/>
    <w:rsid w:val="1D4A4435"/>
    <w:rsid w:val="1D4C2776"/>
    <w:rsid w:val="1D517A34"/>
    <w:rsid w:val="1D53776E"/>
    <w:rsid w:val="1D570900"/>
    <w:rsid w:val="1D5A2821"/>
    <w:rsid w:val="1D5C5AC2"/>
    <w:rsid w:val="1D5C7CC4"/>
    <w:rsid w:val="1D5D277E"/>
    <w:rsid w:val="1D5E3070"/>
    <w:rsid w:val="1D5E6DA6"/>
    <w:rsid w:val="1D5F1562"/>
    <w:rsid w:val="1D604517"/>
    <w:rsid w:val="1D61352C"/>
    <w:rsid w:val="1D6152DA"/>
    <w:rsid w:val="1D615A41"/>
    <w:rsid w:val="1D631052"/>
    <w:rsid w:val="1D6372A4"/>
    <w:rsid w:val="1D642111"/>
    <w:rsid w:val="1D662B7A"/>
    <w:rsid w:val="1D69418F"/>
    <w:rsid w:val="1D6F2CDC"/>
    <w:rsid w:val="1D703313"/>
    <w:rsid w:val="1D774AFE"/>
    <w:rsid w:val="1D795808"/>
    <w:rsid w:val="1D7B2840"/>
    <w:rsid w:val="1D7C3EC2"/>
    <w:rsid w:val="1D7D2400"/>
    <w:rsid w:val="1D7F1C04"/>
    <w:rsid w:val="1D846077"/>
    <w:rsid w:val="1D84721B"/>
    <w:rsid w:val="1D882867"/>
    <w:rsid w:val="1D8A4831"/>
    <w:rsid w:val="1D8B0460"/>
    <w:rsid w:val="1D8E4E63"/>
    <w:rsid w:val="1D943902"/>
    <w:rsid w:val="1D976F4E"/>
    <w:rsid w:val="1D984719"/>
    <w:rsid w:val="1D9A4BAB"/>
    <w:rsid w:val="1D9B6A3E"/>
    <w:rsid w:val="1D9C6312"/>
    <w:rsid w:val="1DA90A2F"/>
    <w:rsid w:val="1DAC0C4B"/>
    <w:rsid w:val="1DAF24EA"/>
    <w:rsid w:val="1DB2206D"/>
    <w:rsid w:val="1DB3586B"/>
    <w:rsid w:val="1DB7335B"/>
    <w:rsid w:val="1DBB70FD"/>
    <w:rsid w:val="1DBE78CB"/>
    <w:rsid w:val="1DBF3C91"/>
    <w:rsid w:val="1DC00253"/>
    <w:rsid w:val="1DC13FCB"/>
    <w:rsid w:val="1DC15D79"/>
    <w:rsid w:val="1DC92352"/>
    <w:rsid w:val="1DCA7323"/>
    <w:rsid w:val="1DCB4E4A"/>
    <w:rsid w:val="1DD5764B"/>
    <w:rsid w:val="1DD612B2"/>
    <w:rsid w:val="1DD737EE"/>
    <w:rsid w:val="1DD7559C"/>
    <w:rsid w:val="1DDD0CC6"/>
    <w:rsid w:val="1DE06B47"/>
    <w:rsid w:val="1DE32193"/>
    <w:rsid w:val="1DE5415D"/>
    <w:rsid w:val="1DE55F0B"/>
    <w:rsid w:val="1DE63A32"/>
    <w:rsid w:val="1DE8432D"/>
    <w:rsid w:val="1DEB7AB4"/>
    <w:rsid w:val="1DF45115"/>
    <w:rsid w:val="1DF532EA"/>
    <w:rsid w:val="1DFA5622"/>
    <w:rsid w:val="1DFB0CD3"/>
    <w:rsid w:val="1DFE6FCD"/>
    <w:rsid w:val="1DFF1789"/>
    <w:rsid w:val="1E04159F"/>
    <w:rsid w:val="1E0565AE"/>
    <w:rsid w:val="1E085F02"/>
    <w:rsid w:val="1E0B3B01"/>
    <w:rsid w:val="1E0C77D3"/>
    <w:rsid w:val="1E0E6C5D"/>
    <w:rsid w:val="1E113539"/>
    <w:rsid w:val="1E125D3E"/>
    <w:rsid w:val="1E193E07"/>
    <w:rsid w:val="1E1C4EBD"/>
    <w:rsid w:val="1E1D38F7"/>
    <w:rsid w:val="1E225D87"/>
    <w:rsid w:val="1E25455A"/>
    <w:rsid w:val="1E256308"/>
    <w:rsid w:val="1E2660A9"/>
    <w:rsid w:val="1E276C97"/>
    <w:rsid w:val="1E2E78B2"/>
    <w:rsid w:val="1E2F53D8"/>
    <w:rsid w:val="1E2F71D8"/>
    <w:rsid w:val="1E320F02"/>
    <w:rsid w:val="1E3429EF"/>
    <w:rsid w:val="1E390005"/>
    <w:rsid w:val="1E3B5B2B"/>
    <w:rsid w:val="1E3C5B1A"/>
    <w:rsid w:val="1E3C6E79"/>
    <w:rsid w:val="1E3D18A3"/>
    <w:rsid w:val="1E3E32C8"/>
    <w:rsid w:val="1E4075E6"/>
    <w:rsid w:val="1E4470D6"/>
    <w:rsid w:val="1E480648"/>
    <w:rsid w:val="1E4A0464"/>
    <w:rsid w:val="1E4C380B"/>
    <w:rsid w:val="1E4D231D"/>
    <w:rsid w:val="1E4E3AB1"/>
    <w:rsid w:val="1E4E3EB5"/>
    <w:rsid w:val="1E5152AC"/>
    <w:rsid w:val="1E51534F"/>
    <w:rsid w:val="1E517538"/>
    <w:rsid w:val="1E525066"/>
    <w:rsid w:val="1E5258BB"/>
    <w:rsid w:val="1E553D37"/>
    <w:rsid w:val="1E560BB7"/>
    <w:rsid w:val="1E5C06AF"/>
    <w:rsid w:val="1E6257AE"/>
    <w:rsid w:val="1E62755C"/>
    <w:rsid w:val="1E682698"/>
    <w:rsid w:val="1E684FD8"/>
    <w:rsid w:val="1E6932E2"/>
    <w:rsid w:val="1E6C3F37"/>
    <w:rsid w:val="1E750AAC"/>
    <w:rsid w:val="1E780B2E"/>
    <w:rsid w:val="1E7B23CC"/>
    <w:rsid w:val="1E7D37D0"/>
    <w:rsid w:val="1E7D4396"/>
    <w:rsid w:val="1E7F253B"/>
    <w:rsid w:val="1E8056A2"/>
    <w:rsid w:val="1E805C34"/>
    <w:rsid w:val="1E830B67"/>
    <w:rsid w:val="1E830C89"/>
    <w:rsid w:val="1E85149C"/>
    <w:rsid w:val="1E887D73"/>
    <w:rsid w:val="1E8A3391"/>
    <w:rsid w:val="1E8B407E"/>
    <w:rsid w:val="1E8E3219"/>
    <w:rsid w:val="1E9030B7"/>
    <w:rsid w:val="1E9116BB"/>
    <w:rsid w:val="1E935967"/>
    <w:rsid w:val="1E957931"/>
    <w:rsid w:val="1E960FB4"/>
    <w:rsid w:val="1E967206"/>
    <w:rsid w:val="1E9A6A31"/>
    <w:rsid w:val="1EA11BFC"/>
    <w:rsid w:val="1EA47B74"/>
    <w:rsid w:val="1EA80CF1"/>
    <w:rsid w:val="1EA90CE7"/>
    <w:rsid w:val="1EAD7EB4"/>
    <w:rsid w:val="1EAF2841"/>
    <w:rsid w:val="1EB06519"/>
    <w:rsid w:val="1EB2396E"/>
    <w:rsid w:val="1EBB6C6C"/>
    <w:rsid w:val="1EBF0EDC"/>
    <w:rsid w:val="1EC57AEB"/>
    <w:rsid w:val="1EC64A9D"/>
    <w:rsid w:val="1EC70E56"/>
    <w:rsid w:val="1EC71AB5"/>
    <w:rsid w:val="1EC975DB"/>
    <w:rsid w:val="1ECB5101"/>
    <w:rsid w:val="1ECC0E79"/>
    <w:rsid w:val="1ECD61C2"/>
    <w:rsid w:val="1ECF4B8A"/>
    <w:rsid w:val="1ED15590"/>
    <w:rsid w:val="1ED4717D"/>
    <w:rsid w:val="1ED55F80"/>
    <w:rsid w:val="1EDA17E8"/>
    <w:rsid w:val="1EDD3086"/>
    <w:rsid w:val="1EE00F26"/>
    <w:rsid w:val="1EE658ED"/>
    <w:rsid w:val="1EEE7042"/>
    <w:rsid w:val="1EF1268E"/>
    <w:rsid w:val="1EF26B32"/>
    <w:rsid w:val="1EF328AA"/>
    <w:rsid w:val="1EF33ABA"/>
    <w:rsid w:val="1EF5759E"/>
    <w:rsid w:val="1EF74148"/>
    <w:rsid w:val="1EF83A1C"/>
    <w:rsid w:val="1EFC2137"/>
    <w:rsid w:val="1EFD54D7"/>
    <w:rsid w:val="1EFF124F"/>
    <w:rsid w:val="1EFF2FFD"/>
    <w:rsid w:val="1EFF636F"/>
    <w:rsid w:val="1F0625DD"/>
    <w:rsid w:val="1F0966CF"/>
    <w:rsid w:val="1F0C571A"/>
    <w:rsid w:val="1F0C5DA2"/>
    <w:rsid w:val="1F0E3063"/>
    <w:rsid w:val="1F115354"/>
    <w:rsid w:val="1F152A7A"/>
    <w:rsid w:val="1F1E5A42"/>
    <w:rsid w:val="1F1F369F"/>
    <w:rsid w:val="1F204EFD"/>
    <w:rsid w:val="1F2672CB"/>
    <w:rsid w:val="1F29007A"/>
    <w:rsid w:val="1F2962CC"/>
    <w:rsid w:val="1F2E5690"/>
    <w:rsid w:val="1F32168E"/>
    <w:rsid w:val="1F3233D2"/>
    <w:rsid w:val="1F3F164B"/>
    <w:rsid w:val="1F3F2497"/>
    <w:rsid w:val="1F40358A"/>
    <w:rsid w:val="1F422EEA"/>
    <w:rsid w:val="1F4510B3"/>
    <w:rsid w:val="1F470DE4"/>
    <w:rsid w:val="1F49071C"/>
    <w:rsid w:val="1F4B2B8D"/>
    <w:rsid w:val="1F4D1FBA"/>
    <w:rsid w:val="1F501AAA"/>
    <w:rsid w:val="1F503858"/>
    <w:rsid w:val="1F50752E"/>
    <w:rsid w:val="1F51312D"/>
    <w:rsid w:val="1F52137F"/>
    <w:rsid w:val="1F57006D"/>
    <w:rsid w:val="1F5A0233"/>
    <w:rsid w:val="1F5A5233"/>
    <w:rsid w:val="1F5A6485"/>
    <w:rsid w:val="1F5F2A1E"/>
    <w:rsid w:val="1F5F3A9B"/>
    <w:rsid w:val="1F657781"/>
    <w:rsid w:val="1F661DE6"/>
    <w:rsid w:val="1F664E2A"/>
    <w:rsid w:val="1F6B0692"/>
    <w:rsid w:val="1F6B68E4"/>
    <w:rsid w:val="1F6E4598"/>
    <w:rsid w:val="1F7237CF"/>
    <w:rsid w:val="1F737547"/>
    <w:rsid w:val="1F796AC2"/>
    <w:rsid w:val="1F7A7DCA"/>
    <w:rsid w:val="1F817EB6"/>
    <w:rsid w:val="1F884DA0"/>
    <w:rsid w:val="1F8B663F"/>
    <w:rsid w:val="1F8D5FCD"/>
    <w:rsid w:val="1F8E612F"/>
    <w:rsid w:val="1F8F25D3"/>
    <w:rsid w:val="1F9223F1"/>
    <w:rsid w:val="1F933745"/>
    <w:rsid w:val="1F941997"/>
    <w:rsid w:val="1F9438DD"/>
    <w:rsid w:val="1F9951FF"/>
    <w:rsid w:val="1F9A4AD4"/>
    <w:rsid w:val="1FA12306"/>
    <w:rsid w:val="1FA41807"/>
    <w:rsid w:val="1FA63478"/>
    <w:rsid w:val="1FA64D15"/>
    <w:rsid w:val="1FA706BA"/>
    <w:rsid w:val="1FA91331"/>
    <w:rsid w:val="1FAF67D1"/>
    <w:rsid w:val="1FB01B7C"/>
    <w:rsid w:val="1FB06B81"/>
    <w:rsid w:val="1FB1385B"/>
    <w:rsid w:val="1FB262C1"/>
    <w:rsid w:val="1FB45B95"/>
    <w:rsid w:val="1FB72055"/>
    <w:rsid w:val="1FB75686"/>
    <w:rsid w:val="1FB907B8"/>
    <w:rsid w:val="1FBC7140"/>
    <w:rsid w:val="1FBD03B2"/>
    <w:rsid w:val="1FBE0616"/>
    <w:rsid w:val="1FBE7A9E"/>
    <w:rsid w:val="1FC538BD"/>
    <w:rsid w:val="1FC752CE"/>
    <w:rsid w:val="1FCA128A"/>
    <w:rsid w:val="1FCA360B"/>
    <w:rsid w:val="1FCD30FB"/>
    <w:rsid w:val="1FCF190A"/>
    <w:rsid w:val="1FD004F5"/>
    <w:rsid w:val="1FD57B86"/>
    <w:rsid w:val="1FD93D52"/>
    <w:rsid w:val="1FDB75C6"/>
    <w:rsid w:val="1FDF698A"/>
    <w:rsid w:val="1FE05660"/>
    <w:rsid w:val="1FE2150F"/>
    <w:rsid w:val="1FE40369"/>
    <w:rsid w:val="1FE43FA1"/>
    <w:rsid w:val="1FE71021"/>
    <w:rsid w:val="1FEC434F"/>
    <w:rsid w:val="1FF22EB1"/>
    <w:rsid w:val="20012DA5"/>
    <w:rsid w:val="20020FF7"/>
    <w:rsid w:val="200645AA"/>
    <w:rsid w:val="2007660D"/>
    <w:rsid w:val="200A3C47"/>
    <w:rsid w:val="200D72CC"/>
    <w:rsid w:val="200F053E"/>
    <w:rsid w:val="200F7274"/>
    <w:rsid w:val="20112FE8"/>
    <w:rsid w:val="201302EF"/>
    <w:rsid w:val="2014177F"/>
    <w:rsid w:val="20146634"/>
    <w:rsid w:val="20166850"/>
    <w:rsid w:val="201725C8"/>
    <w:rsid w:val="201900EE"/>
    <w:rsid w:val="201A7DE8"/>
    <w:rsid w:val="201E08FE"/>
    <w:rsid w:val="2020322B"/>
    <w:rsid w:val="202535F3"/>
    <w:rsid w:val="20294048"/>
    <w:rsid w:val="202A22FB"/>
    <w:rsid w:val="202D3482"/>
    <w:rsid w:val="203171E6"/>
    <w:rsid w:val="203B5E14"/>
    <w:rsid w:val="203C3DDD"/>
    <w:rsid w:val="203D202F"/>
    <w:rsid w:val="203E700B"/>
    <w:rsid w:val="204001B0"/>
    <w:rsid w:val="204131A1"/>
    <w:rsid w:val="20466400"/>
    <w:rsid w:val="204A02A8"/>
    <w:rsid w:val="204C4020"/>
    <w:rsid w:val="204E2DA0"/>
    <w:rsid w:val="204F1DA3"/>
    <w:rsid w:val="204F3B10"/>
    <w:rsid w:val="20506C69"/>
    <w:rsid w:val="20522BB1"/>
    <w:rsid w:val="2059498F"/>
    <w:rsid w:val="205B0707"/>
    <w:rsid w:val="205E01F7"/>
    <w:rsid w:val="205E1FA5"/>
    <w:rsid w:val="20601879"/>
    <w:rsid w:val="20605D1D"/>
    <w:rsid w:val="2060784B"/>
    <w:rsid w:val="2060790C"/>
    <w:rsid w:val="20607ACB"/>
    <w:rsid w:val="20631BD9"/>
    <w:rsid w:val="20634806"/>
    <w:rsid w:val="20646707"/>
    <w:rsid w:val="206770AC"/>
    <w:rsid w:val="206B4F4B"/>
    <w:rsid w:val="206C2914"/>
    <w:rsid w:val="206C46C2"/>
    <w:rsid w:val="206E1E82"/>
    <w:rsid w:val="208233C0"/>
    <w:rsid w:val="20847C5E"/>
    <w:rsid w:val="208539D6"/>
    <w:rsid w:val="20857A6A"/>
    <w:rsid w:val="20902B53"/>
    <w:rsid w:val="2090699D"/>
    <w:rsid w:val="20916684"/>
    <w:rsid w:val="209634ED"/>
    <w:rsid w:val="209854B7"/>
    <w:rsid w:val="209B6D55"/>
    <w:rsid w:val="20A00DD5"/>
    <w:rsid w:val="20A53730"/>
    <w:rsid w:val="20AA6F98"/>
    <w:rsid w:val="20B322F1"/>
    <w:rsid w:val="20B66645"/>
    <w:rsid w:val="20B91E5B"/>
    <w:rsid w:val="20BD316F"/>
    <w:rsid w:val="20BE2A44"/>
    <w:rsid w:val="20C462AC"/>
    <w:rsid w:val="20C703C4"/>
    <w:rsid w:val="20D03C42"/>
    <w:rsid w:val="20D109C9"/>
    <w:rsid w:val="20D12777"/>
    <w:rsid w:val="20D3029D"/>
    <w:rsid w:val="20D34741"/>
    <w:rsid w:val="20D9162C"/>
    <w:rsid w:val="20DB53A4"/>
    <w:rsid w:val="20DC70AF"/>
    <w:rsid w:val="20DD2ECA"/>
    <w:rsid w:val="20E25382"/>
    <w:rsid w:val="20E26732"/>
    <w:rsid w:val="20E5422A"/>
    <w:rsid w:val="20E73D48"/>
    <w:rsid w:val="20EA304C"/>
    <w:rsid w:val="20EE3329"/>
    <w:rsid w:val="20EE4CBF"/>
    <w:rsid w:val="20EF0E4F"/>
    <w:rsid w:val="20F555B5"/>
    <w:rsid w:val="20F75336"/>
    <w:rsid w:val="20FA1CCE"/>
    <w:rsid w:val="20FB77F4"/>
    <w:rsid w:val="20FD531A"/>
    <w:rsid w:val="21022930"/>
    <w:rsid w:val="210B3EDB"/>
    <w:rsid w:val="210B5C89"/>
    <w:rsid w:val="210D3C0A"/>
    <w:rsid w:val="210E2B59"/>
    <w:rsid w:val="210E39CB"/>
    <w:rsid w:val="21132BE0"/>
    <w:rsid w:val="21156B08"/>
    <w:rsid w:val="21181271"/>
    <w:rsid w:val="211A2370"/>
    <w:rsid w:val="211A5F44"/>
    <w:rsid w:val="211B1C44"/>
    <w:rsid w:val="21260276"/>
    <w:rsid w:val="21262AC3"/>
    <w:rsid w:val="2129610F"/>
    <w:rsid w:val="212B00D9"/>
    <w:rsid w:val="213276BA"/>
    <w:rsid w:val="21333432"/>
    <w:rsid w:val="21355D04"/>
    <w:rsid w:val="21374CD0"/>
    <w:rsid w:val="213B5E42"/>
    <w:rsid w:val="213B7BED"/>
    <w:rsid w:val="213F1DD6"/>
    <w:rsid w:val="213F3B84"/>
    <w:rsid w:val="214356B4"/>
    <w:rsid w:val="21447D4F"/>
    <w:rsid w:val="214B077B"/>
    <w:rsid w:val="214E1419"/>
    <w:rsid w:val="21500EA4"/>
    <w:rsid w:val="21507B40"/>
    <w:rsid w:val="21513314"/>
    <w:rsid w:val="21514E6A"/>
    <w:rsid w:val="215238B8"/>
    <w:rsid w:val="21534ADC"/>
    <w:rsid w:val="21555156"/>
    <w:rsid w:val="215869F4"/>
    <w:rsid w:val="215C7A7E"/>
    <w:rsid w:val="215D73FD"/>
    <w:rsid w:val="21613AFB"/>
    <w:rsid w:val="21621621"/>
    <w:rsid w:val="216268CD"/>
    <w:rsid w:val="21630028"/>
    <w:rsid w:val="2164183D"/>
    <w:rsid w:val="21663AC3"/>
    <w:rsid w:val="216655B5"/>
    <w:rsid w:val="21686BBE"/>
    <w:rsid w:val="216929AF"/>
    <w:rsid w:val="216A0E66"/>
    <w:rsid w:val="216B029C"/>
    <w:rsid w:val="21717AB6"/>
    <w:rsid w:val="217355DC"/>
    <w:rsid w:val="21743E43"/>
    <w:rsid w:val="21771570"/>
    <w:rsid w:val="21780E44"/>
    <w:rsid w:val="217A696B"/>
    <w:rsid w:val="217D1B4E"/>
    <w:rsid w:val="217E28FF"/>
    <w:rsid w:val="21815F4B"/>
    <w:rsid w:val="21817CF9"/>
    <w:rsid w:val="2186530F"/>
    <w:rsid w:val="21880388"/>
    <w:rsid w:val="218912A4"/>
    <w:rsid w:val="218E547E"/>
    <w:rsid w:val="21902632"/>
    <w:rsid w:val="21935C7E"/>
    <w:rsid w:val="219519F6"/>
    <w:rsid w:val="2196789E"/>
    <w:rsid w:val="219957D9"/>
    <w:rsid w:val="219E3067"/>
    <w:rsid w:val="21A00A16"/>
    <w:rsid w:val="21A1039B"/>
    <w:rsid w:val="21A3542B"/>
    <w:rsid w:val="21AB0FE5"/>
    <w:rsid w:val="21AF0D0A"/>
    <w:rsid w:val="21B300CF"/>
    <w:rsid w:val="21B55BF5"/>
    <w:rsid w:val="21B71FC9"/>
    <w:rsid w:val="21B87493"/>
    <w:rsid w:val="21C127EB"/>
    <w:rsid w:val="21C30312"/>
    <w:rsid w:val="21C61BB0"/>
    <w:rsid w:val="21C85928"/>
    <w:rsid w:val="21CB5418"/>
    <w:rsid w:val="21D06EF6"/>
    <w:rsid w:val="21D20555"/>
    <w:rsid w:val="21D40771"/>
    <w:rsid w:val="21D818E3"/>
    <w:rsid w:val="21D95D87"/>
    <w:rsid w:val="21DC13D3"/>
    <w:rsid w:val="21DF0EC4"/>
    <w:rsid w:val="21DF2C54"/>
    <w:rsid w:val="21E34627"/>
    <w:rsid w:val="21F31FB1"/>
    <w:rsid w:val="21F50477"/>
    <w:rsid w:val="21F52495"/>
    <w:rsid w:val="21F77BC7"/>
    <w:rsid w:val="21FA5CFD"/>
    <w:rsid w:val="21FA7AAB"/>
    <w:rsid w:val="21FD5B3C"/>
    <w:rsid w:val="21FE0187"/>
    <w:rsid w:val="22000284"/>
    <w:rsid w:val="22032E04"/>
    <w:rsid w:val="22034BB2"/>
    <w:rsid w:val="220628F4"/>
    <w:rsid w:val="220821C8"/>
    <w:rsid w:val="220953C2"/>
    <w:rsid w:val="220D77DF"/>
    <w:rsid w:val="22121299"/>
    <w:rsid w:val="22146DBF"/>
    <w:rsid w:val="22175C74"/>
    <w:rsid w:val="2219522F"/>
    <w:rsid w:val="221A3D42"/>
    <w:rsid w:val="221B5747"/>
    <w:rsid w:val="221B63A0"/>
    <w:rsid w:val="221C4ABD"/>
    <w:rsid w:val="221C5C74"/>
    <w:rsid w:val="221C75B2"/>
    <w:rsid w:val="22274D44"/>
    <w:rsid w:val="22291CAA"/>
    <w:rsid w:val="222A43CB"/>
    <w:rsid w:val="222D7E81"/>
    <w:rsid w:val="222E3E55"/>
    <w:rsid w:val="222F59A7"/>
    <w:rsid w:val="223030FB"/>
    <w:rsid w:val="22317971"/>
    <w:rsid w:val="2234120F"/>
    <w:rsid w:val="22364F87"/>
    <w:rsid w:val="22372AAE"/>
    <w:rsid w:val="223A3DAB"/>
    <w:rsid w:val="223B434C"/>
    <w:rsid w:val="223C054C"/>
    <w:rsid w:val="223E3E3C"/>
    <w:rsid w:val="223F2BBE"/>
    <w:rsid w:val="22433200"/>
    <w:rsid w:val="22444791"/>
    <w:rsid w:val="224650EC"/>
    <w:rsid w:val="22486FF3"/>
    <w:rsid w:val="224D0523"/>
    <w:rsid w:val="224F429B"/>
    <w:rsid w:val="224F7DF7"/>
    <w:rsid w:val="225152DA"/>
    <w:rsid w:val="225418B2"/>
    <w:rsid w:val="225662C2"/>
    <w:rsid w:val="22590C76"/>
    <w:rsid w:val="22596EC8"/>
    <w:rsid w:val="225D57F4"/>
    <w:rsid w:val="22617B2B"/>
    <w:rsid w:val="226A1F33"/>
    <w:rsid w:val="226A2E83"/>
    <w:rsid w:val="226D4721"/>
    <w:rsid w:val="22714212"/>
    <w:rsid w:val="22723AE6"/>
    <w:rsid w:val="22761828"/>
    <w:rsid w:val="22763F87"/>
    <w:rsid w:val="227930C6"/>
    <w:rsid w:val="22794E74"/>
    <w:rsid w:val="227D2BB6"/>
    <w:rsid w:val="227E06DD"/>
    <w:rsid w:val="228201CD"/>
    <w:rsid w:val="228527F1"/>
    <w:rsid w:val="22877591"/>
    <w:rsid w:val="228D26CE"/>
    <w:rsid w:val="22900A93"/>
    <w:rsid w:val="22910102"/>
    <w:rsid w:val="22983B0C"/>
    <w:rsid w:val="229D0535"/>
    <w:rsid w:val="229E1534"/>
    <w:rsid w:val="22A87507"/>
    <w:rsid w:val="22AB0E66"/>
    <w:rsid w:val="22AD2D70"/>
    <w:rsid w:val="22B1460E"/>
    <w:rsid w:val="22B4600F"/>
    <w:rsid w:val="22B660C8"/>
    <w:rsid w:val="22BB36DF"/>
    <w:rsid w:val="22BB548D"/>
    <w:rsid w:val="22BD2FB3"/>
    <w:rsid w:val="22C04851"/>
    <w:rsid w:val="22C205C9"/>
    <w:rsid w:val="22C34341"/>
    <w:rsid w:val="22C60FFD"/>
    <w:rsid w:val="22C95DFC"/>
    <w:rsid w:val="22CA7943"/>
    <w:rsid w:val="22D16A5E"/>
    <w:rsid w:val="22D17079"/>
    <w:rsid w:val="22D84291"/>
    <w:rsid w:val="22DD18A7"/>
    <w:rsid w:val="22DD5403"/>
    <w:rsid w:val="22DF2DB8"/>
    <w:rsid w:val="22E13401"/>
    <w:rsid w:val="22E26EBD"/>
    <w:rsid w:val="22E72F77"/>
    <w:rsid w:val="22E744D4"/>
    <w:rsid w:val="22E81C12"/>
    <w:rsid w:val="22E9397E"/>
    <w:rsid w:val="22E94F81"/>
    <w:rsid w:val="22EC315F"/>
    <w:rsid w:val="22EF3388"/>
    <w:rsid w:val="22EF63AC"/>
    <w:rsid w:val="22F40E8C"/>
    <w:rsid w:val="22F80437"/>
    <w:rsid w:val="22F8141C"/>
    <w:rsid w:val="22F866E1"/>
    <w:rsid w:val="22F93B4B"/>
    <w:rsid w:val="22F95FB5"/>
    <w:rsid w:val="22FC71C7"/>
    <w:rsid w:val="23072480"/>
    <w:rsid w:val="230C2EAF"/>
    <w:rsid w:val="230D4E94"/>
    <w:rsid w:val="231227B0"/>
    <w:rsid w:val="231419F8"/>
    <w:rsid w:val="23190B5B"/>
    <w:rsid w:val="231921B3"/>
    <w:rsid w:val="23195F49"/>
    <w:rsid w:val="231A0405"/>
    <w:rsid w:val="231A6657"/>
    <w:rsid w:val="231D3206"/>
    <w:rsid w:val="23211912"/>
    <w:rsid w:val="23214B81"/>
    <w:rsid w:val="23243032"/>
    <w:rsid w:val="232474D6"/>
    <w:rsid w:val="23256DAA"/>
    <w:rsid w:val="232B0864"/>
    <w:rsid w:val="232C0139"/>
    <w:rsid w:val="232C051B"/>
    <w:rsid w:val="232E2103"/>
    <w:rsid w:val="232E3EB1"/>
    <w:rsid w:val="23345D75"/>
    <w:rsid w:val="23377874"/>
    <w:rsid w:val="23386ADD"/>
    <w:rsid w:val="233C3329"/>
    <w:rsid w:val="233C53E7"/>
    <w:rsid w:val="23411E36"/>
    <w:rsid w:val="2341673D"/>
    <w:rsid w:val="234378A6"/>
    <w:rsid w:val="23470090"/>
    <w:rsid w:val="234C4337"/>
    <w:rsid w:val="234E77D3"/>
    <w:rsid w:val="23507FD7"/>
    <w:rsid w:val="235C0A1E"/>
    <w:rsid w:val="23615928"/>
    <w:rsid w:val="23645B24"/>
    <w:rsid w:val="2366709A"/>
    <w:rsid w:val="236C180A"/>
    <w:rsid w:val="23707A7B"/>
    <w:rsid w:val="237415CC"/>
    <w:rsid w:val="23773744"/>
    <w:rsid w:val="237750EB"/>
    <w:rsid w:val="237A70F6"/>
    <w:rsid w:val="23825FAA"/>
    <w:rsid w:val="238443CB"/>
    <w:rsid w:val="23847F75"/>
    <w:rsid w:val="238705A1"/>
    <w:rsid w:val="23887A65"/>
    <w:rsid w:val="23897339"/>
    <w:rsid w:val="238E2BA1"/>
    <w:rsid w:val="23963804"/>
    <w:rsid w:val="2398757C"/>
    <w:rsid w:val="239D4B92"/>
    <w:rsid w:val="239E0D0F"/>
    <w:rsid w:val="239F4DAE"/>
    <w:rsid w:val="23A10B26"/>
    <w:rsid w:val="23A14683"/>
    <w:rsid w:val="23A36271"/>
    <w:rsid w:val="23A423C5"/>
    <w:rsid w:val="23A979DB"/>
    <w:rsid w:val="23AB5501"/>
    <w:rsid w:val="23AB5BD2"/>
    <w:rsid w:val="23AD74CB"/>
    <w:rsid w:val="23B24AE2"/>
    <w:rsid w:val="23B62FB1"/>
    <w:rsid w:val="23B95E70"/>
    <w:rsid w:val="23BD17E3"/>
    <w:rsid w:val="23C07454"/>
    <w:rsid w:val="23C13CB1"/>
    <w:rsid w:val="23C6058D"/>
    <w:rsid w:val="23CB5BA3"/>
    <w:rsid w:val="23D5257E"/>
    <w:rsid w:val="23D53342"/>
    <w:rsid w:val="23D56FE1"/>
    <w:rsid w:val="23DA7B95"/>
    <w:rsid w:val="23DC5551"/>
    <w:rsid w:val="23E66539"/>
    <w:rsid w:val="23E7405F"/>
    <w:rsid w:val="23E82D84"/>
    <w:rsid w:val="23EC5247"/>
    <w:rsid w:val="23ED78C8"/>
    <w:rsid w:val="23EF1510"/>
    <w:rsid w:val="23F073B8"/>
    <w:rsid w:val="23F36292"/>
    <w:rsid w:val="23F46EA8"/>
    <w:rsid w:val="23F60283"/>
    <w:rsid w:val="23FA0237"/>
    <w:rsid w:val="23FA0B3C"/>
    <w:rsid w:val="23FE3883"/>
    <w:rsid w:val="23FF13A9"/>
    <w:rsid w:val="240115C5"/>
    <w:rsid w:val="24027986"/>
    <w:rsid w:val="24042E63"/>
    <w:rsid w:val="2406098A"/>
    <w:rsid w:val="24083164"/>
    <w:rsid w:val="24084702"/>
    <w:rsid w:val="240B2444"/>
    <w:rsid w:val="240B5FA0"/>
    <w:rsid w:val="24107A5A"/>
    <w:rsid w:val="24125580"/>
    <w:rsid w:val="24150BCD"/>
    <w:rsid w:val="2415543D"/>
    <w:rsid w:val="24194B61"/>
    <w:rsid w:val="241A61E3"/>
    <w:rsid w:val="24207C9D"/>
    <w:rsid w:val="24213A15"/>
    <w:rsid w:val="242157C3"/>
    <w:rsid w:val="2423153B"/>
    <w:rsid w:val="24251D7B"/>
    <w:rsid w:val="24264B88"/>
    <w:rsid w:val="24295A0F"/>
    <w:rsid w:val="242B014C"/>
    <w:rsid w:val="24307381"/>
    <w:rsid w:val="2432352D"/>
    <w:rsid w:val="243279D1"/>
    <w:rsid w:val="243A1D15"/>
    <w:rsid w:val="243B25C2"/>
    <w:rsid w:val="243C084F"/>
    <w:rsid w:val="243C25FD"/>
    <w:rsid w:val="243C43AB"/>
    <w:rsid w:val="24400C24"/>
    <w:rsid w:val="244020ED"/>
    <w:rsid w:val="244119C2"/>
    <w:rsid w:val="2443398C"/>
    <w:rsid w:val="24446463"/>
    <w:rsid w:val="244A4D1A"/>
    <w:rsid w:val="244C5E64"/>
    <w:rsid w:val="244E66EB"/>
    <w:rsid w:val="245254CF"/>
    <w:rsid w:val="245301AB"/>
    <w:rsid w:val="245340EB"/>
    <w:rsid w:val="245416F5"/>
    <w:rsid w:val="246102B6"/>
    <w:rsid w:val="24653902"/>
    <w:rsid w:val="2465455A"/>
    <w:rsid w:val="24662E56"/>
    <w:rsid w:val="246833F2"/>
    <w:rsid w:val="24693543"/>
    <w:rsid w:val="246A0F18"/>
    <w:rsid w:val="246B4C91"/>
    <w:rsid w:val="246E0388"/>
    <w:rsid w:val="246E0A8E"/>
    <w:rsid w:val="246E18BC"/>
    <w:rsid w:val="247206AB"/>
    <w:rsid w:val="2472601F"/>
    <w:rsid w:val="24727DCD"/>
    <w:rsid w:val="24771887"/>
    <w:rsid w:val="2479115B"/>
    <w:rsid w:val="247B3126"/>
    <w:rsid w:val="24816262"/>
    <w:rsid w:val="2483022C"/>
    <w:rsid w:val="24831FDA"/>
    <w:rsid w:val="2483647E"/>
    <w:rsid w:val="24883A94"/>
    <w:rsid w:val="24886055"/>
    <w:rsid w:val="24890865"/>
    <w:rsid w:val="248A5117"/>
    <w:rsid w:val="248B0556"/>
    <w:rsid w:val="248D10AB"/>
    <w:rsid w:val="248E09BE"/>
    <w:rsid w:val="2492283E"/>
    <w:rsid w:val="249266C1"/>
    <w:rsid w:val="24945F95"/>
    <w:rsid w:val="24975A86"/>
    <w:rsid w:val="249924AD"/>
    <w:rsid w:val="24A13F24"/>
    <w:rsid w:val="24A4245D"/>
    <w:rsid w:val="24A47A11"/>
    <w:rsid w:val="24A61E00"/>
    <w:rsid w:val="24A85EE5"/>
    <w:rsid w:val="24A863B5"/>
    <w:rsid w:val="24AA57B9"/>
    <w:rsid w:val="24B02758"/>
    <w:rsid w:val="24B14D99"/>
    <w:rsid w:val="24BE3012"/>
    <w:rsid w:val="24C111D7"/>
    <w:rsid w:val="24C22B02"/>
    <w:rsid w:val="24C7636B"/>
    <w:rsid w:val="24C85C3F"/>
    <w:rsid w:val="24C96E23"/>
    <w:rsid w:val="24CA7C09"/>
    <w:rsid w:val="24CC0283"/>
    <w:rsid w:val="24CC3981"/>
    <w:rsid w:val="24D2342C"/>
    <w:rsid w:val="24DB1523"/>
    <w:rsid w:val="24DD793C"/>
    <w:rsid w:val="24E50DD4"/>
    <w:rsid w:val="24E52C95"/>
    <w:rsid w:val="24E62DB7"/>
    <w:rsid w:val="24E63CEF"/>
    <w:rsid w:val="24E744D2"/>
    <w:rsid w:val="24E92FC0"/>
    <w:rsid w:val="24E94533"/>
    <w:rsid w:val="24EC4023"/>
    <w:rsid w:val="24ED1BB0"/>
    <w:rsid w:val="24EE1B49"/>
    <w:rsid w:val="24F014E2"/>
    <w:rsid w:val="24F35784"/>
    <w:rsid w:val="24F9229C"/>
    <w:rsid w:val="24FB16D9"/>
    <w:rsid w:val="24FE78B3"/>
    <w:rsid w:val="24FF08FD"/>
    <w:rsid w:val="25021151"/>
    <w:rsid w:val="2506615E"/>
    <w:rsid w:val="250A64A0"/>
    <w:rsid w:val="250E4BA7"/>
    <w:rsid w:val="250E5D48"/>
    <w:rsid w:val="250E7981"/>
    <w:rsid w:val="25110665"/>
    <w:rsid w:val="25147D0A"/>
    <w:rsid w:val="25162E4E"/>
    <w:rsid w:val="251934E4"/>
    <w:rsid w:val="251946ED"/>
    <w:rsid w:val="251A3BA0"/>
    <w:rsid w:val="251B0465"/>
    <w:rsid w:val="251D41DD"/>
    <w:rsid w:val="251E1D03"/>
    <w:rsid w:val="251F7F55"/>
    <w:rsid w:val="25203CCD"/>
    <w:rsid w:val="2524063E"/>
    <w:rsid w:val="252625DB"/>
    <w:rsid w:val="25264EFD"/>
    <w:rsid w:val="252B3531"/>
    <w:rsid w:val="252E63EA"/>
    <w:rsid w:val="252F08A4"/>
    <w:rsid w:val="252F3F10"/>
    <w:rsid w:val="2530011D"/>
    <w:rsid w:val="25315EDA"/>
    <w:rsid w:val="25331C52"/>
    <w:rsid w:val="253355B6"/>
    <w:rsid w:val="253F4153"/>
    <w:rsid w:val="253F4961"/>
    <w:rsid w:val="25405BF6"/>
    <w:rsid w:val="25426F0E"/>
    <w:rsid w:val="2543028D"/>
    <w:rsid w:val="25441769"/>
    <w:rsid w:val="25441DB3"/>
    <w:rsid w:val="25455E14"/>
    <w:rsid w:val="2547729C"/>
    <w:rsid w:val="2549389B"/>
    <w:rsid w:val="25494FD2"/>
    <w:rsid w:val="254B6F9C"/>
    <w:rsid w:val="254F010E"/>
    <w:rsid w:val="25506360"/>
    <w:rsid w:val="2551032A"/>
    <w:rsid w:val="25545725"/>
    <w:rsid w:val="255552F4"/>
    <w:rsid w:val="2556149D"/>
    <w:rsid w:val="25575658"/>
    <w:rsid w:val="255E0351"/>
    <w:rsid w:val="25605599"/>
    <w:rsid w:val="25653094"/>
    <w:rsid w:val="256A4F48"/>
    <w:rsid w:val="25725AFB"/>
    <w:rsid w:val="257A162F"/>
    <w:rsid w:val="257A448F"/>
    <w:rsid w:val="257E1D0A"/>
    <w:rsid w:val="258411B1"/>
    <w:rsid w:val="25850D9A"/>
    <w:rsid w:val="25860928"/>
    <w:rsid w:val="25862DD1"/>
    <w:rsid w:val="25875AFA"/>
    <w:rsid w:val="25893A50"/>
    <w:rsid w:val="258A1146"/>
    <w:rsid w:val="258E50DA"/>
    <w:rsid w:val="25950217"/>
    <w:rsid w:val="25956469"/>
    <w:rsid w:val="259B3353"/>
    <w:rsid w:val="25A43E02"/>
    <w:rsid w:val="25AA2F32"/>
    <w:rsid w:val="25AB3597"/>
    <w:rsid w:val="25AD51DD"/>
    <w:rsid w:val="25AE12D9"/>
    <w:rsid w:val="25AE3087"/>
    <w:rsid w:val="25B10E34"/>
    <w:rsid w:val="25B763DF"/>
    <w:rsid w:val="25BD32CA"/>
    <w:rsid w:val="25C04AF1"/>
    <w:rsid w:val="25C200C9"/>
    <w:rsid w:val="25C30CBA"/>
    <w:rsid w:val="25C31048"/>
    <w:rsid w:val="25C428AA"/>
    <w:rsid w:val="25C77767"/>
    <w:rsid w:val="25C77A92"/>
    <w:rsid w:val="25C96113"/>
    <w:rsid w:val="25CC175F"/>
    <w:rsid w:val="25CD6ECB"/>
    <w:rsid w:val="25CF5B31"/>
    <w:rsid w:val="25D21167"/>
    <w:rsid w:val="25D32AED"/>
    <w:rsid w:val="25DC5E46"/>
    <w:rsid w:val="25DE13C8"/>
    <w:rsid w:val="25E217F8"/>
    <w:rsid w:val="25E80F02"/>
    <w:rsid w:val="25E92311"/>
    <w:rsid w:val="25EF6AF4"/>
    <w:rsid w:val="25F136F5"/>
    <w:rsid w:val="25F238B5"/>
    <w:rsid w:val="25FA489A"/>
    <w:rsid w:val="25FF38E2"/>
    <w:rsid w:val="2605469A"/>
    <w:rsid w:val="26083411"/>
    <w:rsid w:val="2609650F"/>
    <w:rsid w:val="260C02FD"/>
    <w:rsid w:val="260D5FFF"/>
    <w:rsid w:val="260E11A7"/>
    <w:rsid w:val="260E3B25"/>
    <w:rsid w:val="2610479C"/>
    <w:rsid w:val="261576DA"/>
    <w:rsid w:val="26162A88"/>
    <w:rsid w:val="261A4BD2"/>
    <w:rsid w:val="261B5AEF"/>
    <w:rsid w:val="26202999"/>
    <w:rsid w:val="26243349"/>
    <w:rsid w:val="26244852"/>
    <w:rsid w:val="26290CB5"/>
    <w:rsid w:val="262D66A1"/>
    <w:rsid w:val="26324F2E"/>
    <w:rsid w:val="26331D5A"/>
    <w:rsid w:val="26424821"/>
    <w:rsid w:val="26431DDB"/>
    <w:rsid w:val="264404C8"/>
    <w:rsid w:val="26445799"/>
    <w:rsid w:val="264C0B1A"/>
    <w:rsid w:val="264D4D16"/>
    <w:rsid w:val="264D6D44"/>
    <w:rsid w:val="264F1D53"/>
    <w:rsid w:val="264F6880"/>
    <w:rsid w:val="26506553"/>
    <w:rsid w:val="265A5438"/>
    <w:rsid w:val="265A576D"/>
    <w:rsid w:val="265A6D6B"/>
    <w:rsid w:val="265C1789"/>
    <w:rsid w:val="2661634B"/>
    <w:rsid w:val="26616D07"/>
    <w:rsid w:val="26663961"/>
    <w:rsid w:val="26664012"/>
    <w:rsid w:val="2668592C"/>
    <w:rsid w:val="267D757B"/>
    <w:rsid w:val="267E19EC"/>
    <w:rsid w:val="267E514F"/>
    <w:rsid w:val="268169ED"/>
    <w:rsid w:val="268362C1"/>
    <w:rsid w:val="2685203A"/>
    <w:rsid w:val="26881FC7"/>
    <w:rsid w:val="26893375"/>
    <w:rsid w:val="268E0AF9"/>
    <w:rsid w:val="26914E82"/>
    <w:rsid w:val="269229A8"/>
    <w:rsid w:val="26977FBF"/>
    <w:rsid w:val="26991B1E"/>
    <w:rsid w:val="269C7383"/>
    <w:rsid w:val="269F73BA"/>
    <w:rsid w:val="26A050C5"/>
    <w:rsid w:val="26A12BEB"/>
    <w:rsid w:val="26A3319D"/>
    <w:rsid w:val="26AA6E22"/>
    <w:rsid w:val="26AD77E2"/>
    <w:rsid w:val="26AF5308"/>
    <w:rsid w:val="26B036A4"/>
    <w:rsid w:val="26B50445"/>
    <w:rsid w:val="26B7240F"/>
    <w:rsid w:val="26B91CE3"/>
    <w:rsid w:val="26C61EB7"/>
    <w:rsid w:val="26C92BC5"/>
    <w:rsid w:val="26CA0394"/>
    <w:rsid w:val="26CA3EF0"/>
    <w:rsid w:val="26CC7C68"/>
    <w:rsid w:val="26D74138"/>
    <w:rsid w:val="26D92385"/>
    <w:rsid w:val="26D94133"/>
    <w:rsid w:val="26E054C2"/>
    <w:rsid w:val="26E10430"/>
    <w:rsid w:val="26E15D4F"/>
    <w:rsid w:val="26E2748C"/>
    <w:rsid w:val="26E31456"/>
    <w:rsid w:val="26E34FB2"/>
    <w:rsid w:val="26E66850"/>
    <w:rsid w:val="26E74CBE"/>
    <w:rsid w:val="26E8614E"/>
    <w:rsid w:val="26EE4083"/>
    <w:rsid w:val="26F176CF"/>
    <w:rsid w:val="26F20826"/>
    <w:rsid w:val="26F31699"/>
    <w:rsid w:val="26F40F6D"/>
    <w:rsid w:val="26F45411"/>
    <w:rsid w:val="26F856AF"/>
    <w:rsid w:val="26FC6074"/>
    <w:rsid w:val="270216C1"/>
    <w:rsid w:val="270218DC"/>
    <w:rsid w:val="27032D56"/>
    <w:rsid w:val="27076EF2"/>
    <w:rsid w:val="270D0281"/>
    <w:rsid w:val="271B299E"/>
    <w:rsid w:val="272222DA"/>
    <w:rsid w:val="27250CAB"/>
    <w:rsid w:val="27257379"/>
    <w:rsid w:val="2726229F"/>
    <w:rsid w:val="272F1FA5"/>
    <w:rsid w:val="272F2932"/>
    <w:rsid w:val="272F6449"/>
    <w:rsid w:val="27335ABE"/>
    <w:rsid w:val="27335F39"/>
    <w:rsid w:val="273467F4"/>
    <w:rsid w:val="27392E24"/>
    <w:rsid w:val="273D2914"/>
    <w:rsid w:val="273D46C2"/>
    <w:rsid w:val="27441EF5"/>
    <w:rsid w:val="274526B5"/>
    <w:rsid w:val="274556D9"/>
    <w:rsid w:val="27466343"/>
    <w:rsid w:val="274D7DC0"/>
    <w:rsid w:val="2754116D"/>
    <w:rsid w:val="2756767F"/>
    <w:rsid w:val="275A1718"/>
    <w:rsid w:val="275D2FB6"/>
    <w:rsid w:val="275E288B"/>
    <w:rsid w:val="275E4DF0"/>
    <w:rsid w:val="275F5FB9"/>
    <w:rsid w:val="27600B19"/>
    <w:rsid w:val="27606603"/>
    <w:rsid w:val="2762237B"/>
    <w:rsid w:val="27644345"/>
    <w:rsid w:val="2767173F"/>
    <w:rsid w:val="27675BE3"/>
    <w:rsid w:val="276A468F"/>
    <w:rsid w:val="276B2414"/>
    <w:rsid w:val="276B56D3"/>
    <w:rsid w:val="276B5CCD"/>
    <w:rsid w:val="276E2ACE"/>
    <w:rsid w:val="276E51C4"/>
    <w:rsid w:val="276F40F5"/>
    <w:rsid w:val="277007F9"/>
    <w:rsid w:val="27767BD4"/>
    <w:rsid w:val="27795824"/>
    <w:rsid w:val="277B343D"/>
    <w:rsid w:val="277C578B"/>
    <w:rsid w:val="277D5407"/>
    <w:rsid w:val="277D71B5"/>
    <w:rsid w:val="27822A1D"/>
    <w:rsid w:val="2784748A"/>
    <w:rsid w:val="27866712"/>
    <w:rsid w:val="27871DE1"/>
    <w:rsid w:val="278A3680"/>
    <w:rsid w:val="278E2729"/>
    <w:rsid w:val="27911DCC"/>
    <w:rsid w:val="27912C60"/>
    <w:rsid w:val="27982240"/>
    <w:rsid w:val="279B3ADF"/>
    <w:rsid w:val="279E13B0"/>
    <w:rsid w:val="279F428A"/>
    <w:rsid w:val="279F537D"/>
    <w:rsid w:val="27A110F5"/>
    <w:rsid w:val="27A40BE5"/>
    <w:rsid w:val="27A75FE0"/>
    <w:rsid w:val="27AB1F74"/>
    <w:rsid w:val="27AB3D22"/>
    <w:rsid w:val="27AC7A9A"/>
    <w:rsid w:val="27AF1AC7"/>
    <w:rsid w:val="27B01338"/>
    <w:rsid w:val="27B0758A"/>
    <w:rsid w:val="27B5694E"/>
    <w:rsid w:val="27B64475"/>
    <w:rsid w:val="27B8643F"/>
    <w:rsid w:val="27B92102"/>
    <w:rsid w:val="27BB06D2"/>
    <w:rsid w:val="27BB437C"/>
    <w:rsid w:val="27BD3079"/>
    <w:rsid w:val="27BD3A55"/>
    <w:rsid w:val="27BD5803"/>
    <w:rsid w:val="27BF77CD"/>
    <w:rsid w:val="27C0561D"/>
    <w:rsid w:val="27C24383"/>
    <w:rsid w:val="27C9064C"/>
    <w:rsid w:val="27D112AE"/>
    <w:rsid w:val="27D33279"/>
    <w:rsid w:val="27D72D69"/>
    <w:rsid w:val="27D74B17"/>
    <w:rsid w:val="27D82529"/>
    <w:rsid w:val="27DB3EDB"/>
    <w:rsid w:val="27DC09B5"/>
    <w:rsid w:val="27E15740"/>
    <w:rsid w:val="27E361A2"/>
    <w:rsid w:val="27E6001E"/>
    <w:rsid w:val="27EB23F9"/>
    <w:rsid w:val="27EB6814"/>
    <w:rsid w:val="27F21951"/>
    <w:rsid w:val="27F37477"/>
    <w:rsid w:val="27F54F9D"/>
    <w:rsid w:val="27F8174D"/>
    <w:rsid w:val="27F82CDF"/>
    <w:rsid w:val="27F92735"/>
    <w:rsid w:val="27FA0805"/>
    <w:rsid w:val="27FA7CF6"/>
    <w:rsid w:val="27FB7A0C"/>
    <w:rsid w:val="27FD02F5"/>
    <w:rsid w:val="2800693D"/>
    <w:rsid w:val="280332B8"/>
    <w:rsid w:val="28033B5E"/>
    <w:rsid w:val="28044245"/>
    <w:rsid w:val="280478D6"/>
    <w:rsid w:val="28060F58"/>
    <w:rsid w:val="280671AA"/>
    <w:rsid w:val="28094EEC"/>
    <w:rsid w:val="280C3C5C"/>
    <w:rsid w:val="280C5E8F"/>
    <w:rsid w:val="28100029"/>
    <w:rsid w:val="28125B4F"/>
    <w:rsid w:val="28154622"/>
    <w:rsid w:val="28163846"/>
    <w:rsid w:val="281B2FAC"/>
    <w:rsid w:val="281C077C"/>
    <w:rsid w:val="281C4C20"/>
    <w:rsid w:val="281F201A"/>
    <w:rsid w:val="282D5367"/>
    <w:rsid w:val="282E6701"/>
    <w:rsid w:val="28302479"/>
    <w:rsid w:val="28304227"/>
    <w:rsid w:val="28321D4D"/>
    <w:rsid w:val="28326E9C"/>
    <w:rsid w:val="28335AC5"/>
    <w:rsid w:val="2835183D"/>
    <w:rsid w:val="28355CE1"/>
    <w:rsid w:val="28375D1F"/>
    <w:rsid w:val="28397580"/>
    <w:rsid w:val="283D06F2"/>
    <w:rsid w:val="283D6944"/>
    <w:rsid w:val="283E520D"/>
    <w:rsid w:val="283F446A"/>
    <w:rsid w:val="284101E2"/>
    <w:rsid w:val="28427CBE"/>
    <w:rsid w:val="28445F24"/>
    <w:rsid w:val="28447DD9"/>
    <w:rsid w:val="28485A15"/>
    <w:rsid w:val="284B72B3"/>
    <w:rsid w:val="284E658D"/>
    <w:rsid w:val="28546167"/>
    <w:rsid w:val="28575C58"/>
    <w:rsid w:val="285C6DCA"/>
    <w:rsid w:val="285D2B42"/>
    <w:rsid w:val="28642123"/>
    <w:rsid w:val="286B34B1"/>
    <w:rsid w:val="286B525F"/>
    <w:rsid w:val="286D7CAF"/>
    <w:rsid w:val="286F36BF"/>
    <w:rsid w:val="28702875"/>
    <w:rsid w:val="28732366"/>
    <w:rsid w:val="287405B8"/>
    <w:rsid w:val="28771E56"/>
    <w:rsid w:val="28773C04"/>
    <w:rsid w:val="287913FB"/>
    <w:rsid w:val="28833F3B"/>
    <w:rsid w:val="28836A4D"/>
    <w:rsid w:val="28855A72"/>
    <w:rsid w:val="288650F5"/>
    <w:rsid w:val="2886653D"/>
    <w:rsid w:val="28880A71"/>
    <w:rsid w:val="288836ED"/>
    <w:rsid w:val="288F4F38"/>
    <w:rsid w:val="288F53F1"/>
    <w:rsid w:val="289447B6"/>
    <w:rsid w:val="289A5B44"/>
    <w:rsid w:val="289C18BC"/>
    <w:rsid w:val="28A01025"/>
    <w:rsid w:val="28A16085"/>
    <w:rsid w:val="28A31A6C"/>
    <w:rsid w:val="28A349F9"/>
    <w:rsid w:val="28A502AF"/>
    <w:rsid w:val="28AB40FB"/>
    <w:rsid w:val="28AC72C3"/>
    <w:rsid w:val="28AE02A0"/>
    <w:rsid w:val="28B04BBB"/>
    <w:rsid w:val="28B3244F"/>
    <w:rsid w:val="28B93684"/>
    <w:rsid w:val="28BA7F95"/>
    <w:rsid w:val="28BB1CCD"/>
    <w:rsid w:val="28BC3D0D"/>
    <w:rsid w:val="28C17BE6"/>
    <w:rsid w:val="28C57065"/>
    <w:rsid w:val="28C76763"/>
    <w:rsid w:val="28C81369"/>
    <w:rsid w:val="28C94F6F"/>
    <w:rsid w:val="28CB659B"/>
    <w:rsid w:val="28D70B46"/>
    <w:rsid w:val="28DB31C3"/>
    <w:rsid w:val="28DE3C83"/>
    <w:rsid w:val="28E079FB"/>
    <w:rsid w:val="28E13773"/>
    <w:rsid w:val="28E868B0"/>
    <w:rsid w:val="28EA6ACC"/>
    <w:rsid w:val="28EA6FF5"/>
    <w:rsid w:val="28EC2844"/>
    <w:rsid w:val="28EF40E2"/>
    <w:rsid w:val="28EF5E90"/>
    <w:rsid w:val="28F125E0"/>
    <w:rsid w:val="28F33BD2"/>
    <w:rsid w:val="28F434A6"/>
    <w:rsid w:val="28F47A27"/>
    <w:rsid w:val="28F669D1"/>
    <w:rsid w:val="28FA3EFE"/>
    <w:rsid w:val="28FB2A87"/>
    <w:rsid w:val="28FD67FF"/>
    <w:rsid w:val="28FE60D3"/>
    <w:rsid w:val="29011ACE"/>
    <w:rsid w:val="29086F52"/>
    <w:rsid w:val="290B6D16"/>
    <w:rsid w:val="290F208E"/>
    <w:rsid w:val="29100580"/>
    <w:rsid w:val="291122AA"/>
    <w:rsid w:val="291470C8"/>
    <w:rsid w:val="29150458"/>
    <w:rsid w:val="29190126"/>
    <w:rsid w:val="291A1CCA"/>
    <w:rsid w:val="291B0927"/>
    <w:rsid w:val="291B0A33"/>
    <w:rsid w:val="291C5576"/>
    <w:rsid w:val="291D29FD"/>
    <w:rsid w:val="291E22D1"/>
    <w:rsid w:val="291E49C7"/>
    <w:rsid w:val="29222E8B"/>
    <w:rsid w:val="29243C4C"/>
    <w:rsid w:val="2925719E"/>
    <w:rsid w:val="292813A2"/>
    <w:rsid w:val="292C0E92"/>
    <w:rsid w:val="292D0604"/>
    <w:rsid w:val="292D0766"/>
    <w:rsid w:val="292E2DC6"/>
    <w:rsid w:val="292E4C0A"/>
    <w:rsid w:val="292F2731"/>
    <w:rsid w:val="29340DF8"/>
    <w:rsid w:val="2936586D"/>
    <w:rsid w:val="29415C5E"/>
    <w:rsid w:val="294206B6"/>
    <w:rsid w:val="29424212"/>
    <w:rsid w:val="2944442E"/>
    <w:rsid w:val="29446C81"/>
    <w:rsid w:val="29453D02"/>
    <w:rsid w:val="29453EF6"/>
    <w:rsid w:val="294E705B"/>
    <w:rsid w:val="294F5A52"/>
    <w:rsid w:val="295126A7"/>
    <w:rsid w:val="29552176"/>
    <w:rsid w:val="295B3526"/>
    <w:rsid w:val="295D3539"/>
    <w:rsid w:val="295E0DFE"/>
    <w:rsid w:val="295E1B68"/>
    <w:rsid w:val="29634188"/>
    <w:rsid w:val="296415A3"/>
    <w:rsid w:val="29644161"/>
    <w:rsid w:val="29693E94"/>
    <w:rsid w:val="296A40E9"/>
    <w:rsid w:val="296B25F4"/>
    <w:rsid w:val="29712D49"/>
    <w:rsid w:val="29717687"/>
    <w:rsid w:val="29731C06"/>
    <w:rsid w:val="29733D0B"/>
    <w:rsid w:val="2976035F"/>
    <w:rsid w:val="29780755"/>
    <w:rsid w:val="297B10DB"/>
    <w:rsid w:val="297D7B3B"/>
    <w:rsid w:val="29820015"/>
    <w:rsid w:val="29842A7C"/>
    <w:rsid w:val="29872F06"/>
    <w:rsid w:val="298F7EB4"/>
    <w:rsid w:val="29932CBF"/>
    <w:rsid w:val="29943B95"/>
    <w:rsid w:val="299802D6"/>
    <w:rsid w:val="29A056A2"/>
    <w:rsid w:val="29A1463E"/>
    <w:rsid w:val="29AF73CD"/>
    <w:rsid w:val="29B03871"/>
    <w:rsid w:val="29B2066E"/>
    <w:rsid w:val="29B460DC"/>
    <w:rsid w:val="29B50E88"/>
    <w:rsid w:val="29B6075C"/>
    <w:rsid w:val="29BA46F0"/>
    <w:rsid w:val="29BA649E"/>
    <w:rsid w:val="29BD54BC"/>
    <w:rsid w:val="29BD5F8E"/>
    <w:rsid w:val="29BF5862"/>
    <w:rsid w:val="29C235A5"/>
    <w:rsid w:val="29C42123"/>
    <w:rsid w:val="29C55BD3"/>
    <w:rsid w:val="29CA2459"/>
    <w:rsid w:val="29CE1F49"/>
    <w:rsid w:val="29CE3CF8"/>
    <w:rsid w:val="29D07A70"/>
    <w:rsid w:val="29DA114E"/>
    <w:rsid w:val="29DB6414"/>
    <w:rsid w:val="29E22B8D"/>
    <w:rsid w:val="29E452C9"/>
    <w:rsid w:val="29E7300B"/>
    <w:rsid w:val="29EB5E5D"/>
    <w:rsid w:val="29EC6AC2"/>
    <w:rsid w:val="29F12CB0"/>
    <w:rsid w:val="29F14408"/>
    <w:rsid w:val="29F179E6"/>
    <w:rsid w:val="29FB2613"/>
    <w:rsid w:val="2A033539"/>
    <w:rsid w:val="2A0911D4"/>
    <w:rsid w:val="2A092F82"/>
    <w:rsid w:val="2A0F1DC5"/>
    <w:rsid w:val="2A151846"/>
    <w:rsid w:val="2A151926"/>
    <w:rsid w:val="2A154580"/>
    <w:rsid w:val="2A1979B0"/>
    <w:rsid w:val="2A1B77A0"/>
    <w:rsid w:val="2A1C2CB5"/>
    <w:rsid w:val="2A1F3A3D"/>
    <w:rsid w:val="2A1F3D52"/>
    <w:rsid w:val="2A202079"/>
    <w:rsid w:val="2A222295"/>
    <w:rsid w:val="2A257690"/>
    <w:rsid w:val="2A2A691C"/>
    <w:rsid w:val="2A2B06E0"/>
    <w:rsid w:val="2A30050E"/>
    <w:rsid w:val="2A353D77"/>
    <w:rsid w:val="2A3709F0"/>
    <w:rsid w:val="2A377AEF"/>
    <w:rsid w:val="2A3873C3"/>
    <w:rsid w:val="2A3B4E26"/>
    <w:rsid w:val="2A3D05C7"/>
    <w:rsid w:val="2A3D0E87"/>
    <w:rsid w:val="2A3E70CF"/>
    <w:rsid w:val="2A3F4BF5"/>
    <w:rsid w:val="2A4346E5"/>
    <w:rsid w:val="2A440AB3"/>
    <w:rsid w:val="2A455FA3"/>
    <w:rsid w:val="2A465F84"/>
    <w:rsid w:val="2A467D32"/>
    <w:rsid w:val="2A495A74"/>
    <w:rsid w:val="2A517423"/>
    <w:rsid w:val="2A5340F8"/>
    <w:rsid w:val="2A57342C"/>
    <w:rsid w:val="2A5E65A6"/>
    <w:rsid w:val="2A612DBE"/>
    <w:rsid w:val="2A622692"/>
    <w:rsid w:val="2A6308E4"/>
    <w:rsid w:val="2A636B36"/>
    <w:rsid w:val="2A64465C"/>
    <w:rsid w:val="2A6922B9"/>
    <w:rsid w:val="2A6B7798"/>
    <w:rsid w:val="2A6D3510"/>
    <w:rsid w:val="2A7319B6"/>
    <w:rsid w:val="2A73489F"/>
    <w:rsid w:val="2A742AF1"/>
    <w:rsid w:val="2A7C19A5"/>
    <w:rsid w:val="2A7C3754"/>
    <w:rsid w:val="2A7D06D5"/>
    <w:rsid w:val="2A7E3970"/>
    <w:rsid w:val="2A7E571E"/>
    <w:rsid w:val="2A7E5F7B"/>
    <w:rsid w:val="2A816FBC"/>
    <w:rsid w:val="2A820794"/>
    <w:rsid w:val="2A830F86"/>
    <w:rsid w:val="2A8419E3"/>
    <w:rsid w:val="2A846B43"/>
    <w:rsid w:val="2A8939A3"/>
    <w:rsid w:val="2A8A2314"/>
    <w:rsid w:val="2A8B1DAE"/>
    <w:rsid w:val="2A90216B"/>
    <w:rsid w:val="2A930A9D"/>
    <w:rsid w:val="2A97058D"/>
    <w:rsid w:val="2A994305"/>
    <w:rsid w:val="2A9A453D"/>
    <w:rsid w:val="2A9E191C"/>
    <w:rsid w:val="2A9F1E58"/>
    <w:rsid w:val="2A9F38E6"/>
    <w:rsid w:val="2AA333D6"/>
    <w:rsid w:val="2AA902C1"/>
    <w:rsid w:val="2AAB228B"/>
    <w:rsid w:val="2AB40F49"/>
    <w:rsid w:val="2AB70C30"/>
    <w:rsid w:val="2ABA427C"/>
    <w:rsid w:val="2ABB14A2"/>
    <w:rsid w:val="2ABD3B87"/>
    <w:rsid w:val="2ABE3D6C"/>
    <w:rsid w:val="2AC07449"/>
    <w:rsid w:val="2AC425C0"/>
    <w:rsid w:val="2AC5334C"/>
    <w:rsid w:val="2AC6698A"/>
    <w:rsid w:val="2AC84BEB"/>
    <w:rsid w:val="2AC86999"/>
    <w:rsid w:val="2ACD2201"/>
    <w:rsid w:val="2AD05CF0"/>
    <w:rsid w:val="2AD43590"/>
    <w:rsid w:val="2ADB2708"/>
    <w:rsid w:val="2ADB2B70"/>
    <w:rsid w:val="2ADB66F4"/>
    <w:rsid w:val="2ADC2444"/>
    <w:rsid w:val="2ADE7138"/>
    <w:rsid w:val="2ADF658E"/>
    <w:rsid w:val="2AE01F34"/>
    <w:rsid w:val="2AE35581"/>
    <w:rsid w:val="2AE5579D"/>
    <w:rsid w:val="2AE5754B"/>
    <w:rsid w:val="2AEA2DB3"/>
    <w:rsid w:val="2AED28A3"/>
    <w:rsid w:val="2AED4651"/>
    <w:rsid w:val="2AF36EB4"/>
    <w:rsid w:val="2AF404DD"/>
    <w:rsid w:val="2AF4778E"/>
    <w:rsid w:val="2AF552B4"/>
    <w:rsid w:val="2AF64C2F"/>
    <w:rsid w:val="2AF7102C"/>
    <w:rsid w:val="2AF94DA4"/>
    <w:rsid w:val="2AFB3FDD"/>
    <w:rsid w:val="2AFC2AE6"/>
    <w:rsid w:val="2AFE685E"/>
    <w:rsid w:val="2AFF0012"/>
    <w:rsid w:val="2B0025D7"/>
    <w:rsid w:val="2B011EAB"/>
    <w:rsid w:val="2B0149B5"/>
    <w:rsid w:val="2B0439C6"/>
    <w:rsid w:val="2B056EA2"/>
    <w:rsid w:val="2B0F1914"/>
    <w:rsid w:val="2B113C43"/>
    <w:rsid w:val="2B1159A3"/>
    <w:rsid w:val="2B14398C"/>
    <w:rsid w:val="2B1C6CE5"/>
    <w:rsid w:val="2B2143CC"/>
    <w:rsid w:val="2B25203D"/>
    <w:rsid w:val="2B2636BF"/>
    <w:rsid w:val="2B2B6F28"/>
    <w:rsid w:val="2B2C33CC"/>
    <w:rsid w:val="2B30453E"/>
    <w:rsid w:val="2B326508"/>
    <w:rsid w:val="2B342280"/>
    <w:rsid w:val="2B345DDC"/>
    <w:rsid w:val="2B367DA6"/>
    <w:rsid w:val="2B3E30FF"/>
    <w:rsid w:val="2B400F64"/>
    <w:rsid w:val="2B440A81"/>
    <w:rsid w:val="2B441E23"/>
    <w:rsid w:val="2B45448D"/>
    <w:rsid w:val="2B454778"/>
    <w:rsid w:val="2B457FE9"/>
    <w:rsid w:val="2B4A1AA4"/>
    <w:rsid w:val="2B4B52C6"/>
    <w:rsid w:val="2B4C1378"/>
    <w:rsid w:val="2B4D50E5"/>
    <w:rsid w:val="2B4D50F0"/>
    <w:rsid w:val="2B4D6E9E"/>
    <w:rsid w:val="2B5244B4"/>
    <w:rsid w:val="2B566C7A"/>
    <w:rsid w:val="2B577D1D"/>
    <w:rsid w:val="2B597F39"/>
    <w:rsid w:val="2B5A784A"/>
    <w:rsid w:val="2B5E2D03"/>
    <w:rsid w:val="2B5E72FD"/>
    <w:rsid w:val="2B5F7125"/>
    <w:rsid w:val="2B6043F8"/>
    <w:rsid w:val="2B60606F"/>
    <w:rsid w:val="2B65243A"/>
    <w:rsid w:val="2B686D01"/>
    <w:rsid w:val="2B6C7C6C"/>
    <w:rsid w:val="2B710CD6"/>
    <w:rsid w:val="2B7803BF"/>
    <w:rsid w:val="2B795EE5"/>
    <w:rsid w:val="2B7C46C3"/>
    <w:rsid w:val="2B7D7783"/>
    <w:rsid w:val="2B812C29"/>
    <w:rsid w:val="2B8F4E1E"/>
    <w:rsid w:val="2B8F74B6"/>
    <w:rsid w:val="2B920D55"/>
    <w:rsid w:val="2B97636B"/>
    <w:rsid w:val="2B9920E3"/>
    <w:rsid w:val="2B9E76FA"/>
    <w:rsid w:val="2B9F7450"/>
    <w:rsid w:val="2BA07916"/>
    <w:rsid w:val="2BA32F62"/>
    <w:rsid w:val="2BA411B4"/>
    <w:rsid w:val="2BA7521C"/>
    <w:rsid w:val="2BA967CA"/>
    <w:rsid w:val="2BAC62BA"/>
    <w:rsid w:val="2BAE3DE1"/>
    <w:rsid w:val="2BAF34B5"/>
    <w:rsid w:val="2BB02055"/>
    <w:rsid w:val="2BB719C3"/>
    <w:rsid w:val="2BB807BB"/>
    <w:rsid w:val="2BBA5814"/>
    <w:rsid w:val="2BBD4024"/>
    <w:rsid w:val="2BC058C2"/>
    <w:rsid w:val="2BC2163A"/>
    <w:rsid w:val="2BC33129"/>
    <w:rsid w:val="2BC36674"/>
    <w:rsid w:val="2BC56F4B"/>
    <w:rsid w:val="2BCA52C4"/>
    <w:rsid w:val="2BCF3D57"/>
    <w:rsid w:val="2BD03EA4"/>
    <w:rsid w:val="2BD10EA5"/>
    <w:rsid w:val="2BDB3958"/>
    <w:rsid w:val="2BDD7457"/>
    <w:rsid w:val="2BE05E12"/>
    <w:rsid w:val="2BE11E94"/>
    <w:rsid w:val="2BE1557D"/>
    <w:rsid w:val="2BE9306B"/>
    <w:rsid w:val="2BEA78BC"/>
    <w:rsid w:val="2BED37C5"/>
    <w:rsid w:val="2BEE68D3"/>
    <w:rsid w:val="2BEF58F4"/>
    <w:rsid w:val="2BF35C97"/>
    <w:rsid w:val="2BF9664A"/>
    <w:rsid w:val="2BFA26C4"/>
    <w:rsid w:val="2BFA7026"/>
    <w:rsid w:val="2BFB4B4C"/>
    <w:rsid w:val="2BFC690D"/>
    <w:rsid w:val="2BFD08C4"/>
    <w:rsid w:val="2C0003B4"/>
    <w:rsid w:val="2C054755"/>
    <w:rsid w:val="2C057779"/>
    <w:rsid w:val="2C063C1D"/>
    <w:rsid w:val="2C0729D3"/>
    <w:rsid w:val="2C08698C"/>
    <w:rsid w:val="2C091017"/>
    <w:rsid w:val="2C0C0B07"/>
    <w:rsid w:val="2C0C6A9D"/>
    <w:rsid w:val="2C0E0D23"/>
    <w:rsid w:val="2C1300E8"/>
    <w:rsid w:val="2C1D0F66"/>
    <w:rsid w:val="2C2236D3"/>
    <w:rsid w:val="2C251BC9"/>
    <w:rsid w:val="2C293467"/>
    <w:rsid w:val="2C2C73FB"/>
    <w:rsid w:val="2C3047F6"/>
    <w:rsid w:val="2C336612"/>
    <w:rsid w:val="2C336FDC"/>
    <w:rsid w:val="2C391E4B"/>
    <w:rsid w:val="2C3A1B18"/>
    <w:rsid w:val="2C3D481C"/>
    <w:rsid w:val="2C3F712F"/>
    <w:rsid w:val="2C45036F"/>
    <w:rsid w:val="2C457C9B"/>
    <w:rsid w:val="2C4604BD"/>
    <w:rsid w:val="2C493B09"/>
    <w:rsid w:val="2C4B4C1E"/>
    <w:rsid w:val="2C4B5AD3"/>
    <w:rsid w:val="2C5030EA"/>
    <w:rsid w:val="2C516465"/>
    <w:rsid w:val="2C596FCF"/>
    <w:rsid w:val="2C60319D"/>
    <w:rsid w:val="2C640943"/>
    <w:rsid w:val="2C646B95"/>
    <w:rsid w:val="2C6646BB"/>
    <w:rsid w:val="2C671380"/>
    <w:rsid w:val="2C680433"/>
    <w:rsid w:val="2C6A0BCC"/>
    <w:rsid w:val="2C6C77F8"/>
    <w:rsid w:val="2C6D2EB1"/>
    <w:rsid w:val="2C703778"/>
    <w:rsid w:val="2C7548FE"/>
    <w:rsid w:val="2C7768C8"/>
    <w:rsid w:val="2C78619D"/>
    <w:rsid w:val="2C793DFA"/>
    <w:rsid w:val="2C7A0167"/>
    <w:rsid w:val="2C7E7C57"/>
    <w:rsid w:val="2C8313C9"/>
    <w:rsid w:val="2C840FA8"/>
    <w:rsid w:val="2C840FE5"/>
    <w:rsid w:val="2C870C74"/>
    <w:rsid w:val="2C8A5E31"/>
    <w:rsid w:val="2C8D5D2D"/>
    <w:rsid w:val="2C92725E"/>
    <w:rsid w:val="2C934D84"/>
    <w:rsid w:val="2C950AFD"/>
    <w:rsid w:val="2C9A69E4"/>
    <w:rsid w:val="2C9F5DB1"/>
    <w:rsid w:val="2CA156F3"/>
    <w:rsid w:val="2CA5093E"/>
    <w:rsid w:val="2CA87E44"/>
    <w:rsid w:val="2CAB0320"/>
    <w:rsid w:val="2CAB47C4"/>
    <w:rsid w:val="2CAD0DA7"/>
    <w:rsid w:val="2CB21FD4"/>
    <w:rsid w:val="2CB43679"/>
    <w:rsid w:val="2CB76CC5"/>
    <w:rsid w:val="2CB9084A"/>
    <w:rsid w:val="2CB90C8F"/>
    <w:rsid w:val="2CBA5F10"/>
    <w:rsid w:val="2CC106CB"/>
    <w:rsid w:val="2CC47634"/>
    <w:rsid w:val="2CC6515A"/>
    <w:rsid w:val="2CCE400E"/>
    <w:rsid w:val="2CD40BC2"/>
    <w:rsid w:val="2CD71115"/>
    <w:rsid w:val="2CDA0C05"/>
    <w:rsid w:val="2CDB417E"/>
    <w:rsid w:val="2CDC497D"/>
    <w:rsid w:val="2CE35D0C"/>
    <w:rsid w:val="2CE675AA"/>
    <w:rsid w:val="2CF20751"/>
    <w:rsid w:val="2CF241A1"/>
    <w:rsid w:val="2CF25F4F"/>
    <w:rsid w:val="2CF55A3F"/>
    <w:rsid w:val="2CF73565"/>
    <w:rsid w:val="2CF77A09"/>
    <w:rsid w:val="2CF85B24"/>
    <w:rsid w:val="2CFA4E04"/>
    <w:rsid w:val="2CFB75C0"/>
    <w:rsid w:val="2CFC4341"/>
    <w:rsid w:val="2CFE75A9"/>
    <w:rsid w:val="2CFF1140"/>
    <w:rsid w:val="2D047A30"/>
    <w:rsid w:val="2D061C16"/>
    <w:rsid w:val="2D083ED8"/>
    <w:rsid w:val="2D095047"/>
    <w:rsid w:val="2D0D2D89"/>
    <w:rsid w:val="2D0F08AF"/>
    <w:rsid w:val="2D1129C3"/>
    <w:rsid w:val="2D113BEB"/>
    <w:rsid w:val="2D142369"/>
    <w:rsid w:val="2D19172E"/>
    <w:rsid w:val="2D1949AC"/>
    <w:rsid w:val="2D1C121E"/>
    <w:rsid w:val="2D1E58EB"/>
    <w:rsid w:val="2D1F486A"/>
    <w:rsid w:val="2D2008CC"/>
    <w:rsid w:val="2D200D0E"/>
    <w:rsid w:val="2D216834"/>
    <w:rsid w:val="2D2500D2"/>
    <w:rsid w:val="2D252497"/>
    <w:rsid w:val="2D2B45F7"/>
    <w:rsid w:val="2D307CBA"/>
    <w:rsid w:val="2D324BCA"/>
    <w:rsid w:val="2D3447B9"/>
    <w:rsid w:val="2D375395"/>
    <w:rsid w:val="2D393B7E"/>
    <w:rsid w:val="2D3A4ECB"/>
    <w:rsid w:val="2D3F40EE"/>
    <w:rsid w:val="2D406CBA"/>
    <w:rsid w:val="2D406FD8"/>
    <w:rsid w:val="2D45114D"/>
    <w:rsid w:val="2D4542D1"/>
    <w:rsid w:val="2D46629B"/>
    <w:rsid w:val="2D4D7629"/>
    <w:rsid w:val="2D5E35E4"/>
    <w:rsid w:val="2D6230D5"/>
    <w:rsid w:val="2D650892"/>
    <w:rsid w:val="2D697F02"/>
    <w:rsid w:val="2D6A01DB"/>
    <w:rsid w:val="2D6F134E"/>
    <w:rsid w:val="2D6F5C56"/>
    <w:rsid w:val="2D706A18"/>
    <w:rsid w:val="2D7208BF"/>
    <w:rsid w:val="2D7352E2"/>
    <w:rsid w:val="2D74727D"/>
    <w:rsid w:val="2D76092E"/>
    <w:rsid w:val="2D773EEE"/>
    <w:rsid w:val="2D796670"/>
    <w:rsid w:val="2D811081"/>
    <w:rsid w:val="2D834DF9"/>
    <w:rsid w:val="2D855015"/>
    <w:rsid w:val="2D874EDD"/>
    <w:rsid w:val="2D8D5C78"/>
    <w:rsid w:val="2D8F7C42"/>
    <w:rsid w:val="2D945258"/>
    <w:rsid w:val="2D990AC0"/>
    <w:rsid w:val="2D9B1BA7"/>
    <w:rsid w:val="2DA3549B"/>
    <w:rsid w:val="2DA41B2C"/>
    <w:rsid w:val="2DA51D1C"/>
    <w:rsid w:val="2DA643FB"/>
    <w:rsid w:val="2DB05697"/>
    <w:rsid w:val="2DB249DF"/>
    <w:rsid w:val="2DB476A8"/>
    <w:rsid w:val="2DB553FC"/>
    <w:rsid w:val="2DB63420"/>
    <w:rsid w:val="2DB777D3"/>
    <w:rsid w:val="2DB80F46"/>
    <w:rsid w:val="2DB94CBF"/>
    <w:rsid w:val="2DBA2F11"/>
    <w:rsid w:val="2DBA5A8C"/>
    <w:rsid w:val="2DBA7833"/>
    <w:rsid w:val="2DBB0A37"/>
    <w:rsid w:val="2DBD655D"/>
    <w:rsid w:val="2DC31699"/>
    <w:rsid w:val="2DC55411"/>
    <w:rsid w:val="2DC7118A"/>
    <w:rsid w:val="2DC773DC"/>
    <w:rsid w:val="2DCA1525"/>
    <w:rsid w:val="2DCA2A1D"/>
    <w:rsid w:val="2DCB21CD"/>
    <w:rsid w:val="2DCB222F"/>
    <w:rsid w:val="2DCC054E"/>
    <w:rsid w:val="2DCE0EEF"/>
    <w:rsid w:val="2DCF003E"/>
    <w:rsid w:val="2DCF44E2"/>
    <w:rsid w:val="2DD16F30"/>
    <w:rsid w:val="2DD37B2E"/>
    <w:rsid w:val="2DD53C24"/>
    <w:rsid w:val="2DD90EBD"/>
    <w:rsid w:val="2DDD09AD"/>
    <w:rsid w:val="2DE7182C"/>
    <w:rsid w:val="2DEE4968"/>
    <w:rsid w:val="2DF26972"/>
    <w:rsid w:val="2DF301D1"/>
    <w:rsid w:val="2DF61A6F"/>
    <w:rsid w:val="2DFA155F"/>
    <w:rsid w:val="2DFA7E6A"/>
    <w:rsid w:val="2DFD1E99"/>
    <w:rsid w:val="2E0777D8"/>
    <w:rsid w:val="2E0A3AF5"/>
    <w:rsid w:val="2E0A6EF6"/>
    <w:rsid w:val="2E0C3040"/>
    <w:rsid w:val="2E0E6DB8"/>
    <w:rsid w:val="2E126723"/>
    <w:rsid w:val="2E13617D"/>
    <w:rsid w:val="2E150147"/>
    <w:rsid w:val="2E1A1DF7"/>
    <w:rsid w:val="2E1A575D"/>
    <w:rsid w:val="2E2150C9"/>
    <w:rsid w:val="2E255EB0"/>
    <w:rsid w:val="2E271C28"/>
    <w:rsid w:val="2E2760CC"/>
    <w:rsid w:val="2E310CF9"/>
    <w:rsid w:val="2E3305CD"/>
    <w:rsid w:val="2E341724"/>
    <w:rsid w:val="2E3B3926"/>
    <w:rsid w:val="2E3B5035"/>
    <w:rsid w:val="2E3D1FF7"/>
    <w:rsid w:val="2E4432E7"/>
    <w:rsid w:val="2E45507E"/>
    <w:rsid w:val="2E4647A4"/>
    <w:rsid w:val="2E494294"/>
    <w:rsid w:val="2E4E6C29"/>
    <w:rsid w:val="2E50005F"/>
    <w:rsid w:val="2E505623"/>
    <w:rsid w:val="2E5073D1"/>
    <w:rsid w:val="2E541C40"/>
    <w:rsid w:val="2E56250D"/>
    <w:rsid w:val="2E56395B"/>
    <w:rsid w:val="2E581FE4"/>
    <w:rsid w:val="2E60662B"/>
    <w:rsid w:val="2E62484E"/>
    <w:rsid w:val="2E627104"/>
    <w:rsid w:val="2E690586"/>
    <w:rsid w:val="2E692241"/>
    <w:rsid w:val="2E6D7F83"/>
    <w:rsid w:val="2E6F42AC"/>
    <w:rsid w:val="2E701821"/>
    <w:rsid w:val="2E711609"/>
    <w:rsid w:val="2E742A02"/>
    <w:rsid w:val="2E755089"/>
    <w:rsid w:val="2E772BB0"/>
    <w:rsid w:val="2E782484"/>
    <w:rsid w:val="2E794660"/>
    <w:rsid w:val="2E7A444E"/>
    <w:rsid w:val="2E7C2C0B"/>
    <w:rsid w:val="2E7D5411"/>
    <w:rsid w:val="2E7F25F4"/>
    <w:rsid w:val="2E8452CD"/>
    <w:rsid w:val="2E87338A"/>
    <w:rsid w:val="2E880E77"/>
    <w:rsid w:val="2E8C7518"/>
    <w:rsid w:val="2E8D23D3"/>
    <w:rsid w:val="2E8F28F0"/>
    <w:rsid w:val="2E903DFD"/>
    <w:rsid w:val="2E905A1F"/>
    <w:rsid w:val="2E9123DD"/>
    <w:rsid w:val="2E912E13"/>
    <w:rsid w:val="2E915825"/>
    <w:rsid w:val="2E9237C8"/>
    <w:rsid w:val="2E9574DA"/>
    <w:rsid w:val="2E976DAE"/>
    <w:rsid w:val="2E9C43C4"/>
    <w:rsid w:val="2E9F5C62"/>
    <w:rsid w:val="2EA27501"/>
    <w:rsid w:val="2EA43279"/>
    <w:rsid w:val="2EA6739B"/>
    <w:rsid w:val="2EA72D69"/>
    <w:rsid w:val="2EA74B17"/>
    <w:rsid w:val="2EA93C02"/>
    <w:rsid w:val="2EAD409C"/>
    <w:rsid w:val="2EAE1214"/>
    <w:rsid w:val="2EB003FA"/>
    <w:rsid w:val="2EB15996"/>
    <w:rsid w:val="2EB16D04"/>
    <w:rsid w:val="2EB60653"/>
    <w:rsid w:val="2EB72FAC"/>
    <w:rsid w:val="2EB81777"/>
    <w:rsid w:val="2EB84F76"/>
    <w:rsid w:val="2EB86D24"/>
    <w:rsid w:val="2EC02C1E"/>
    <w:rsid w:val="2EC41B6D"/>
    <w:rsid w:val="2EC51D18"/>
    <w:rsid w:val="2EC92CDF"/>
    <w:rsid w:val="2ECA7B7A"/>
    <w:rsid w:val="2ECD27D0"/>
    <w:rsid w:val="2ECF0B61"/>
    <w:rsid w:val="2ECF17F6"/>
    <w:rsid w:val="2ED27419"/>
    <w:rsid w:val="2ED31DB0"/>
    <w:rsid w:val="2ED613FA"/>
    <w:rsid w:val="2ED718A0"/>
    <w:rsid w:val="2ED809BE"/>
    <w:rsid w:val="2ED81174"/>
    <w:rsid w:val="2EE46F73"/>
    <w:rsid w:val="2EED7B2A"/>
    <w:rsid w:val="2EEF7E4F"/>
    <w:rsid w:val="2EF04710"/>
    <w:rsid w:val="2EF10DD9"/>
    <w:rsid w:val="2EF17758"/>
    <w:rsid w:val="2EF74361"/>
    <w:rsid w:val="2F063F34"/>
    <w:rsid w:val="2F087CAC"/>
    <w:rsid w:val="2F0B78C9"/>
    <w:rsid w:val="2F0C6C2D"/>
    <w:rsid w:val="2F0F103A"/>
    <w:rsid w:val="2F1523C9"/>
    <w:rsid w:val="2F15738D"/>
    <w:rsid w:val="2F181B28"/>
    <w:rsid w:val="2F181CE6"/>
    <w:rsid w:val="2F1A178D"/>
    <w:rsid w:val="2F2027D8"/>
    <w:rsid w:val="2F2329A1"/>
    <w:rsid w:val="2F2443BA"/>
    <w:rsid w:val="2F25260C"/>
    <w:rsid w:val="2F2820FC"/>
    <w:rsid w:val="2F2B399A"/>
    <w:rsid w:val="2F3527BA"/>
    <w:rsid w:val="2F3A6D43"/>
    <w:rsid w:val="2F3B68A0"/>
    <w:rsid w:val="2F3F2FA2"/>
    <w:rsid w:val="2F4131BE"/>
    <w:rsid w:val="2F464330"/>
    <w:rsid w:val="2F4A02C4"/>
    <w:rsid w:val="2F4B1946"/>
    <w:rsid w:val="2F594063"/>
    <w:rsid w:val="2F5A7DDB"/>
    <w:rsid w:val="2F5C3B54"/>
    <w:rsid w:val="2F5C6564"/>
    <w:rsid w:val="2F5C77D7"/>
    <w:rsid w:val="2F5E73ED"/>
    <w:rsid w:val="2F6824F8"/>
    <w:rsid w:val="2F6C7A55"/>
    <w:rsid w:val="2F6D5D61"/>
    <w:rsid w:val="2F6F3CA2"/>
    <w:rsid w:val="2F7470EF"/>
    <w:rsid w:val="2F754C15"/>
    <w:rsid w:val="2F7670FF"/>
    <w:rsid w:val="2F77273B"/>
    <w:rsid w:val="2F794705"/>
    <w:rsid w:val="2F796F4C"/>
    <w:rsid w:val="2F7B222C"/>
    <w:rsid w:val="2F7B66D0"/>
    <w:rsid w:val="2F7D2448"/>
    <w:rsid w:val="2F867893"/>
    <w:rsid w:val="2F8953C9"/>
    <w:rsid w:val="2F8F3F29"/>
    <w:rsid w:val="2F9028FF"/>
    <w:rsid w:val="2F967065"/>
    <w:rsid w:val="2F971030"/>
    <w:rsid w:val="2F974B8C"/>
    <w:rsid w:val="2FA15A0A"/>
    <w:rsid w:val="2FA554FB"/>
    <w:rsid w:val="2FA77F0B"/>
    <w:rsid w:val="2FAA5A06"/>
    <w:rsid w:val="2FAB0637"/>
    <w:rsid w:val="2FAC4ADB"/>
    <w:rsid w:val="2FAD0853"/>
    <w:rsid w:val="2FAF1EA0"/>
    <w:rsid w:val="2FB614B6"/>
    <w:rsid w:val="2FB83381"/>
    <w:rsid w:val="2FB83A61"/>
    <w:rsid w:val="2FBB2F70"/>
    <w:rsid w:val="2FBD3D51"/>
    <w:rsid w:val="2FBE480E"/>
    <w:rsid w:val="2FC75471"/>
    <w:rsid w:val="2FCB5823"/>
    <w:rsid w:val="2FCE2CA3"/>
    <w:rsid w:val="2FCF4325"/>
    <w:rsid w:val="2FCF7117"/>
    <w:rsid w:val="2FD35683"/>
    <w:rsid w:val="2FD51AD0"/>
    <w:rsid w:val="2FDB2CCA"/>
    <w:rsid w:val="2FDB716E"/>
    <w:rsid w:val="2FDD2EE6"/>
    <w:rsid w:val="2FDE41A2"/>
    <w:rsid w:val="2FE05E76"/>
    <w:rsid w:val="2FE844EF"/>
    <w:rsid w:val="2FE853E7"/>
    <w:rsid w:val="2FEC7D80"/>
    <w:rsid w:val="2FED3F70"/>
    <w:rsid w:val="2FEF3D99"/>
    <w:rsid w:val="2FF008DC"/>
    <w:rsid w:val="2FF10740"/>
    <w:rsid w:val="2FF10CCA"/>
    <w:rsid w:val="2FF124EE"/>
    <w:rsid w:val="2FF63FA8"/>
    <w:rsid w:val="2FF67D88"/>
    <w:rsid w:val="2FF77C0A"/>
    <w:rsid w:val="2FF9621F"/>
    <w:rsid w:val="2FF975F4"/>
    <w:rsid w:val="30015DFD"/>
    <w:rsid w:val="300B7369"/>
    <w:rsid w:val="300C7328"/>
    <w:rsid w:val="300F0BC6"/>
    <w:rsid w:val="300F6E18"/>
    <w:rsid w:val="301376D1"/>
    <w:rsid w:val="301D1535"/>
    <w:rsid w:val="30202DD3"/>
    <w:rsid w:val="30215815"/>
    <w:rsid w:val="302204C8"/>
    <w:rsid w:val="30241C05"/>
    <w:rsid w:val="30251DF5"/>
    <w:rsid w:val="3025345C"/>
    <w:rsid w:val="30275CE8"/>
    <w:rsid w:val="30297EDA"/>
    <w:rsid w:val="302B3D82"/>
    <w:rsid w:val="30313232"/>
    <w:rsid w:val="303200B5"/>
    <w:rsid w:val="303F2404"/>
    <w:rsid w:val="303F76FD"/>
    <w:rsid w:val="3044101E"/>
    <w:rsid w:val="30446AC1"/>
    <w:rsid w:val="30466CDD"/>
    <w:rsid w:val="30482DB3"/>
    <w:rsid w:val="3049057C"/>
    <w:rsid w:val="30491CA2"/>
    <w:rsid w:val="304A60A2"/>
    <w:rsid w:val="304C3BC8"/>
    <w:rsid w:val="304E1A43"/>
    <w:rsid w:val="305111DE"/>
    <w:rsid w:val="30536D05"/>
    <w:rsid w:val="30556F21"/>
    <w:rsid w:val="30590093"/>
    <w:rsid w:val="305C34E6"/>
    <w:rsid w:val="305D73C0"/>
    <w:rsid w:val="305E17D7"/>
    <w:rsid w:val="305E56A9"/>
    <w:rsid w:val="305E675C"/>
    <w:rsid w:val="3062519A"/>
    <w:rsid w:val="306453B6"/>
    <w:rsid w:val="306727B0"/>
    <w:rsid w:val="3069505E"/>
    <w:rsid w:val="306C6AE6"/>
    <w:rsid w:val="306E1CCD"/>
    <w:rsid w:val="3071362F"/>
    <w:rsid w:val="307500EA"/>
    <w:rsid w:val="30760C45"/>
    <w:rsid w:val="30774A46"/>
    <w:rsid w:val="30790154"/>
    <w:rsid w:val="307D6477"/>
    <w:rsid w:val="308062D6"/>
    <w:rsid w:val="30837CD8"/>
    <w:rsid w:val="30882E00"/>
    <w:rsid w:val="308B0B94"/>
    <w:rsid w:val="308B22B5"/>
    <w:rsid w:val="308C0468"/>
    <w:rsid w:val="309335A5"/>
    <w:rsid w:val="309A2B85"/>
    <w:rsid w:val="309D08C8"/>
    <w:rsid w:val="30A25EDE"/>
    <w:rsid w:val="30A47560"/>
    <w:rsid w:val="30A83E93"/>
    <w:rsid w:val="30A92DC8"/>
    <w:rsid w:val="30AC28B9"/>
    <w:rsid w:val="30B04157"/>
    <w:rsid w:val="30B17ECF"/>
    <w:rsid w:val="30B25AE1"/>
    <w:rsid w:val="30B55C11"/>
    <w:rsid w:val="30B71989"/>
    <w:rsid w:val="30B874AF"/>
    <w:rsid w:val="30BE33DD"/>
    <w:rsid w:val="30BE3FD2"/>
    <w:rsid w:val="30C234F8"/>
    <w:rsid w:val="30C365E3"/>
    <w:rsid w:val="30C45E54"/>
    <w:rsid w:val="30C4716D"/>
    <w:rsid w:val="30C916BD"/>
    <w:rsid w:val="30CB71E3"/>
    <w:rsid w:val="30CD1A42"/>
    <w:rsid w:val="30CE2690"/>
    <w:rsid w:val="30D43819"/>
    <w:rsid w:val="30D46A92"/>
    <w:rsid w:val="30D77936"/>
    <w:rsid w:val="30D836AE"/>
    <w:rsid w:val="30DA4560"/>
    <w:rsid w:val="30DC13F0"/>
    <w:rsid w:val="30DF4A3C"/>
    <w:rsid w:val="30E06A4E"/>
    <w:rsid w:val="30E6401D"/>
    <w:rsid w:val="30E87D95"/>
    <w:rsid w:val="30EF11F7"/>
    <w:rsid w:val="30F36AE2"/>
    <w:rsid w:val="30FA5034"/>
    <w:rsid w:val="30FC21C9"/>
    <w:rsid w:val="30FC4936"/>
    <w:rsid w:val="310101AC"/>
    <w:rsid w:val="3103697D"/>
    <w:rsid w:val="31037881"/>
    <w:rsid w:val="310426F5"/>
    <w:rsid w:val="3104473B"/>
    <w:rsid w:val="31097D0B"/>
    <w:rsid w:val="310B5831"/>
    <w:rsid w:val="311346E6"/>
    <w:rsid w:val="31185CD0"/>
    <w:rsid w:val="311A3CC6"/>
    <w:rsid w:val="311C2969"/>
    <w:rsid w:val="311C359A"/>
    <w:rsid w:val="31232B7B"/>
    <w:rsid w:val="31244B45"/>
    <w:rsid w:val="31293F09"/>
    <w:rsid w:val="31295CB7"/>
    <w:rsid w:val="312A215B"/>
    <w:rsid w:val="312A2B57"/>
    <w:rsid w:val="312B5ED3"/>
    <w:rsid w:val="312D39F9"/>
    <w:rsid w:val="312D3BE7"/>
    <w:rsid w:val="312F7772"/>
    <w:rsid w:val="31307046"/>
    <w:rsid w:val="313661D4"/>
    <w:rsid w:val="31391E91"/>
    <w:rsid w:val="313A1CEF"/>
    <w:rsid w:val="313F372D"/>
    <w:rsid w:val="3140278D"/>
    <w:rsid w:val="3143321D"/>
    <w:rsid w:val="31464ABB"/>
    <w:rsid w:val="314B3321"/>
    <w:rsid w:val="314F01E5"/>
    <w:rsid w:val="31540F86"/>
    <w:rsid w:val="315419A0"/>
    <w:rsid w:val="315512CA"/>
    <w:rsid w:val="31570A76"/>
    <w:rsid w:val="31584BB3"/>
    <w:rsid w:val="3159659D"/>
    <w:rsid w:val="315A2315"/>
    <w:rsid w:val="315B7DB5"/>
    <w:rsid w:val="315C038D"/>
    <w:rsid w:val="315C1DDA"/>
    <w:rsid w:val="315E3BB3"/>
    <w:rsid w:val="315F16D9"/>
    <w:rsid w:val="316226C9"/>
    <w:rsid w:val="3166515D"/>
    <w:rsid w:val="316737CE"/>
    <w:rsid w:val="316B62D0"/>
    <w:rsid w:val="316F4012"/>
    <w:rsid w:val="31717D8A"/>
    <w:rsid w:val="31722F1D"/>
    <w:rsid w:val="3172765E"/>
    <w:rsid w:val="317901B0"/>
    <w:rsid w:val="317A4765"/>
    <w:rsid w:val="317A6513"/>
    <w:rsid w:val="317E4255"/>
    <w:rsid w:val="31805AB5"/>
    <w:rsid w:val="31813D45"/>
    <w:rsid w:val="318F1FBE"/>
    <w:rsid w:val="318F2B68"/>
    <w:rsid w:val="31915E9F"/>
    <w:rsid w:val="3198137B"/>
    <w:rsid w:val="31984075"/>
    <w:rsid w:val="31994BEB"/>
    <w:rsid w:val="31A17F44"/>
    <w:rsid w:val="31A67308"/>
    <w:rsid w:val="31AA0C3A"/>
    <w:rsid w:val="31AA329C"/>
    <w:rsid w:val="31AA504A"/>
    <w:rsid w:val="31B03453"/>
    <w:rsid w:val="31B163D9"/>
    <w:rsid w:val="31B934DF"/>
    <w:rsid w:val="31BB0CC6"/>
    <w:rsid w:val="31C0486E"/>
    <w:rsid w:val="31C3435E"/>
    <w:rsid w:val="31C679AA"/>
    <w:rsid w:val="31C81974"/>
    <w:rsid w:val="31CD0D39"/>
    <w:rsid w:val="31CE0908"/>
    <w:rsid w:val="31CF24E1"/>
    <w:rsid w:val="31D125D7"/>
    <w:rsid w:val="31D24C45"/>
    <w:rsid w:val="31D352F5"/>
    <w:rsid w:val="31D976DD"/>
    <w:rsid w:val="31DC06CE"/>
    <w:rsid w:val="31E2724D"/>
    <w:rsid w:val="31E5253E"/>
    <w:rsid w:val="31E57E30"/>
    <w:rsid w:val="31E87920"/>
    <w:rsid w:val="31EC5663"/>
    <w:rsid w:val="31EF6F01"/>
    <w:rsid w:val="31F218F5"/>
    <w:rsid w:val="31F4601B"/>
    <w:rsid w:val="31F46B28"/>
    <w:rsid w:val="31F664E1"/>
    <w:rsid w:val="31F938DC"/>
    <w:rsid w:val="31F97D80"/>
    <w:rsid w:val="31FB58A6"/>
    <w:rsid w:val="31FF500C"/>
    <w:rsid w:val="320271BE"/>
    <w:rsid w:val="320504D2"/>
    <w:rsid w:val="32057DF0"/>
    <w:rsid w:val="320B7BFA"/>
    <w:rsid w:val="320E0170"/>
    <w:rsid w:val="32140715"/>
    <w:rsid w:val="32146967"/>
    <w:rsid w:val="321A2D0F"/>
    <w:rsid w:val="321E77E6"/>
    <w:rsid w:val="321F369F"/>
    <w:rsid w:val="322C3CB1"/>
    <w:rsid w:val="322C5A5F"/>
    <w:rsid w:val="32326DEE"/>
    <w:rsid w:val="32342B66"/>
    <w:rsid w:val="32384404"/>
    <w:rsid w:val="323963CE"/>
    <w:rsid w:val="323B3EF4"/>
    <w:rsid w:val="323D7C6C"/>
    <w:rsid w:val="32430FFB"/>
    <w:rsid w:val="32454D73"/>
    <w:rsid w:val="32466B0F"/>
    <w:rsid w:val="324A223F"/>
    <w:rsid w:val="324C4E40"/>
    <w:rsid w:val="32502EDB"/>
    <w:rsid w:val="32513C22"/>
    <w:rsid w:val="3252037F"/>
    <w:rsid w:val="32546D64"/>
    <w:rsid w:val="325B29F5"/>
    <w:rsid w:val="325E7BE3"/>
    <w:rsid w:val="32607DFF"/>
    <w:rsid w:val="32624CA7"/>
    <w:rsid w:val="32633462"/>
    <w:rsid w:val="326525FA"/>
    <w:rsid w:val="32655415"/>
    <w:rsid w:val="326630DC"/>
    <w:rsid w:val="32672F3B"/>
    <w:rsid w:val="32691929"/>
    <w:rsid w:val="32691DEC"/>
    <w:rsid w:val="326D5579"/>
    <w:rsid w:val="326E757A"/>
    <w:rsid w:val="32700042"/>
    <w:rsid w:val="32715B68"/>
    <w:rsid w:val="32755658"/>
    <w:rsid w:val="32757CBE"/>
    <w:rsid w:val="3276317E"/>
    <w:rsid w:val="32786EF6"/>
    <w:rsid w:val="32793B66"/>
    <w:rsid w:val="32794A1C"/>
    <w:rsid w:val="327A5F20"/>
    <w:rsid w:val="327C4E40"/>
    <w:rsid w:val="327E786F"/>
    <w:rsid w:val="327F0CFA"/>
    <w:rsid w:val="328050DB"/>
    <w:rsid w:val="328238D1"/>
    <w:rsid w:val="328533C1"/>
    <w:rsid w:val="3288217E"/>
    <w:rsid w:val="328C6328"/>
    <w:rsid w:val="32902492"/>
    <w:rsid w:val="3291620A"/>
    <w:rsid w:val="32920BD4"/>
    <w:rsid w:val="32933D30"/>
    <w:rsid w:val="32937EAE"/>
    <w:rsid w:val="32957F14"/>
    <w:rsid w:val="329D695D"/>
    <w:rsid w:val="329E1F35"/>
    <w:rsid w:val="329F4483"/>
    <w:rsid w:val="32A45F3D"/>
    <w:rsid w:val="32A65C3C"/>
    <w:rsid w:val="32A90F5A"/>
    <w:rsid w:val="32AE46C6"/>
    <w:rsid w:val="32AF0EA5"/>
    <w:rsid w:val="32B14498"/>
    <w:rsid w:val="32B20B24"/>
    <w:rsid w:val="32B96BBB"/>
    <w:rsid w:val="32BA12BD"/>
    <w:rsid w:val="32BA5629"/>
    <w:rsid w:val="32BA750F"/>
    <w:rsid w:val="32BC69A5"/>
    <w:rsid w:val="32C4038E"/>
    <w:rsid w:val="32CB34CA"/>
    <w:rsid w:val="32D0288E"/>
    <w:rsid w:val="32D06D32"/>
    <w:rsid w:val="32D225A9"/>
    <w:rsid w:val="32D305D1"/>
    <w:rsid w:val="32D31CC3"/>
    <w:rsid w:val="32D4033E"/>
    <w:rsid w:val="32D6161D"/>
    <w:rsid w:val="32DB1233"/>
    <w:rsid w:val="32E14A9C"/>
    <w:rsid w:val="32E33279"/>
    <w:rsid w:val="32E4458C"/>
    <w:rsid w:val="32E509B1"/>
    <w:rsid w:val="32E620B2"/>
    <w:rsid w:val="32E95E2E"/>
    <w:rsid w:val="32EB3B6C"/>
    <w:rsid w:val="32ED64DF"/>
    <w:rsid w:val="32EE4D2E"/>
    <w:rsid w:val="32EF5B1D"/>
    <w:rsid w:val="32F26A71"/>
    <w:rsid w:val="32F81EED"/>
    <w:rsid w:val="32FB3DF2"/>
    <w:rsid w:val="32FD564D"/>
    <w:rsid w:val="32FF5620"/>
    <w:rsid w:val="33022C64"/>
    <w:rsid w:val="3303289C"/>
    <w:rsid w:val="33072928"/>
    <w:rsid w:val="330876E7"/>
    <w:rsid w:val="330C2C32"/>
    <w:rsid w:val="330C5891"/>
    <w:rsid w:val="330D5C27"/>
    <w:rsid w:val="330D67CE"/>
    <w:rsid w:val="330F5CA9"/>
    <w:rsid w:val="33105381"/>
    <w:rsid w:val="33124DA7"/>
    <w:rsid w:val="331A61FF"/>
    <w:rsid w:val="331F7372"/>
    <w:rsid w:val="332017DD"/>
    <w:rsid w:val="33242BDA"/>
    <w:rsid w:val="33260700"/>
    <w:rsid w:val="33264BA4"/>
    <w:rsid w:val="332673E7"/>
    <w:rsid w:val="3327082B"/>
    <w:rsid w:val="332A0613"/>
    <w:rsid w:val="332D674C"/>
    <w:rsid w:val="332E3A59"/>
    <w:rsid w:val="332E5807"/>
    <w:rsid w:val="3330332D"/>
    <w:rsid w:val="333405E1"/>
    <w:rsid w:val="33353039"/>
    <w:rsid w:val="33386686"/>
    <w:rsid w:val="333D65CC"/>
    <w:rsid w:val="333F17C2"/>
    <w:rsid w:val="33432FFF"/>
    <w:rsid w:val="334535AF"/>
    <w:rsid w:val="33484B1B"/>
    <w:rsid w:val="334E3082"/>
    <w:rsid w:val="33503756"/>
    <w:rsid w:val="33527747"/>
    <w:rsid w:val="33541711"/>
    <w:rsid w:val="33596D28"/>
    <w:rsid w:val="335D1A0D"/>
    <w:rsid w:val="335F3EFA"/>
    <w:rsid w:val="33615BDC"/>
    <w:rsid w:val="33624391"/>
    <w:rsid w:val="336A2CE3"/>
    <w:rsid w:val="33751688"/>
    <w:rsid w:val="337A6C9E"/>
    <w:rsid w:val="337C33E4"/>
    <w:rsid w:val="3383387C"/>
    <w:rsid w:val="338471F4"/>
    <w:rsid w:val="33884F17"/>
    <w:rsid w:val="33894F9D"/>
    <w:rsid w:val="338A5133"/>
    <w:rsid w:val="338C66D2"/>
    <w:rsid w:val="33900270"/>
    <w:rsid w:val="339064C2"/>
    <w:rsid w:val="33941B78"/>
    <w:rsid w:val="33955886"/>
    <w:rsid w:val="33987B14"/>
    <w:rsid w:val="339C4E66"/>
    <w:rsid w:val="33A15FD9"/>
    <w:rsid w:val="33A409F8"/>
    <w:rsid w:val="33A44626"/>
    <w:rsid w:val="33A6714E"/>
    <w:rsid w:val="33A855B9"/>
    <w:rsid w:val="33AA6CF4"/>
    <w:rsid w:val="33AF5832"/>
    <w:rsid w:val="33AF6CB8"/>
    <w:rsid w:val="33B2468A"/>
    <w:rsid w:val="33B314F6"/>
    <w:rsid w:val="33BB76E2"/>
    <w:rsid w:val="33BE6B8B"/>
    <w:rsid w:val="33C25F6A"/>
    <w:rsid w:val="33C5616B"/>
    <w:rsid w:val="33C70135"/>
    <w:rsid w:val="33C87A09"/>
    <w:rsid w:val="33D12D62"/>
    <w:rsid w:val="33D21752"/>
    <w:rsid w:val="33D363B1"/>
    <w:rsid w:val="33D5736C"/>
    <w:rsid w:val="33D94AF6"/>
    <w:rsid w:val="33DA50D6"/>
    <w:rsid w:val="33DE0FDB"/>
    <w:rsid w:val="33E04D53"/>
    <w:rsid w:val="33E10DBC"/>
    <w:rsid w:val="33E14ED2"/>
    <w:rsid w:val="33E16D1D"/>
    <w:rsid w:val="33E324C9"/>
    <w:rsid w:val="33E5680D"/>
    <w:rsid w:val="33E67E90"/>
    <w:rsid w:val="33E74334"/>
    <w:rsid w:val="33EA3E24"/>
    <w:rsid w:val="33EA5BD2"/>
    <w:rsid w:val="33ED121E"/>
    <w:rsid w:val="33ED42C5"/>
    <w:rsid w:val="33F151B2"/>
    <w:rsid w:val="33F26834"/>
    <w:rsid w:val="33F661A9"/>
    <w:rsid w:val="33F702EF"/>
    <w:rsid w:val="33F82B82"/>
    <w:rsid w:val="33FA3E2F"/>
    <w:rsid w:val="33FB1B8D"/>
    <w:rsid w:val="33FC5905"/>
    <w:rsid w:val="33FD7E20"/>
    <w:rsid w:val="33FE78CF"/>
    <w:rsid w:val="34000F51"/>
    <w:rsid w:val="3400443C"/>
    <w:rsid w:val="340128A1"/>
    <w:rsid w:val="340523C9"/>
    <w:rsid w:val="340B1632"/>
    <w:rsid w:val="340C5B48"/>
    <w:rsid w:val="340F73E6"/>
    <w:rsid w:val="341113B0"/>
    <w:rsid w:val="341474C5"/>
    <w:rsid w:val="34160775"/>
    <w:rsid w:val="341715C0"/>
    <w:rsid w:val="34200AA4"/>
    <w:rsid w:val="342114E9"/>
    <w:rsid w:val="342509B8"/>
    <w:rsid w:val="3428494C"/>
    <w:rsid w:val="3429764D"/>
    <w:rsid w:val="342A2472"/>
    <w:rsid w:val="343259ED"/>
    <w:rsid w:val="34330300"/>
    <w:rsid w:val="3433216F"/>
    <w:rsid w:val="343432F1"/>
    <w:rsid w:val="34383DD1"/>
    <w:rsid w:val="343B01DB"/>
    <w:rsid w:val="343E5F1E"/>
    <w:rsid w:val="343E7CCC"/>
    <w:rsid w:val="344072EB"/>
    <w:rsid w:val="34412608"/>
    <w:rsid w:val="34423059"/>
    <w:rsid w:val="344352E2"/>
    <w:rsid w:val="344778AF"/>
    <w:rsid w:val="3448340A"/>
    <w:rsid w:val="34497927"/>
    <w:rsid w:val="344F012B"/>
    <w:rsid w:val="344F3C87"/>
    <w:rsid w:val="3454129D"/>
    <w:rsid w:val="34565015"/>
    <w:rsid w:val="345C31CC"/>
    <w:rsid w:val="34621C0C"/>
    <w:rsid w:val="34640730"/>
    <w:rsid w:val="34670FD0"/>
    <w:rsid w:val="34683A6C"/>
    <w:rsid w:val="3469438E"/>
    <w:rsid w:val="346A0AC1"/>
    <w:rsid w:val="346C0E92"/>
    <w:rsid w:val="346D04EA"/>
    <w:rsid w:val="346F27C6"/>
    <w:rsid w:val="346F60D7"/>
    <w:rsid w:val="347436ED"/>
    <w:rsid w:val="347D07F4"/>
    <w:rsid w:val="347E2B71"/>
    <w:rsid w:val="347F36F4"/>
    <w:rsid w:val="347F41D9"/>
    <w:rsid w:val="348240B1"/>
    <w:rsid w:val="34824EE6"/>
    <w:rsid w:val="34866C99"/>
    <w:rsid w:val="34873421"/>
    <w:rsid w:val="3489363D"/>
    <w:rsid w:val="348A2F11"/>
    <w:rsid w:val="348B06AD"/>
    <w:rsid w:val="348C051F"/>
    <w:rsid w:val="34930017"/>
    <w:rsid w:val="349618B6"/>
    <w:rsid w:val="3499149E"/>
    <w:rsid w:val="34A2025B"/>
    <w:rsid w:val="34A35D81"/>
    <w:rsid w:val="34A51AF9"/>
    <w:rsid w:val="34A742CA"/>
    <w:rsid w:val="34AE2E07"/>
    <w:rsid w:val="34AE6BFF"/>
    <w:rsid w:val="34AF2977"/>
    <w:rsid w:val="34B1049E"/>
    <w:rsid w:val="34B3603C"/>
    <w:rsid w:val="34B4356F"/>
    <w:rsid w:val="34B65664"/>
    <w:rsid w:val="34B8182C"/>
    <w:rsid w:val="34B8321F"/>
    <w:rsid w:val="34B95429"/>
    <w:rsid w:val="34BA37F6"/>
    <w:rsid w:val="34BC4C83"/>
    <w:rsid w:val="34BD6E42"/>
    <w:rsid w:val="34BE4592"/>
    <w:rsid w:val="34C01D71"/>
    <w:rsid w:val="34C04E88"/>
    <w:rsid w:val="34C135C3"/>
    <w:rsid w:val="34C21DCF"/>
    <w:rsid w:val="34C226AB"/>
    <w:rsid w:val="34C725FC"/>
    <w:rsid w:val="34CC177B"/>
    <w:rsid w:val="34CE7116"/>
    <w:rsid w:val="34D10A9B"/>
    <w:rsid w:val="34D10B40"/>
    <w:rsid w:val="34D20A39"/>
    <w:rsid w:val="34D20B35"/>
    <w:rsid w:val="34D22D53"/>
    <w:rsid w:val="34D2402D"/>
    <w:rsid w:val="34D34B31"/>
    <w:rsid w:val="34D4418C"/>
    <w:rsid w:val="34D7437A"/>
    <w:rsid w:val="34D85783"/>
    <w:rsid w:val="34D9259E"/>
    <w:rsid w:val="34DB551B"/>
    <w:rsid w:val="34E0599E"/>
    <w:rsid w:val="34E56399"/>
    <w:rsid w:val="34EA1021"/>
    <w:rsid w:val="34EE6121"/>
    <w:rsid w:val="34F02F4F"/>
    <w:rsid w:val="34F12A49"/>
    <w:rsid w:val="34F14725"/>
    <w:rsid w:val="34F52A80"/>
    <w:rsid w:val="34FA62E8"/>
    <w:rsid w:val="34FB4DDC"/>
    <w:rsid w:val="34FF56AD"/>
    <w:rsid w:val="35004F81"/>
    <w:rsid w:val="3502519D"/>
    <w:rsid w:val="350420A0"/>
    <w:rsid w:val="35044145"/>
    <w:rsid w:val="35045E46"/>
    <w:rsid w:val="35055B55"/>
    <w:rsid w:val="35074561"/>
    <w:rsid w:val="35080BDC"/>
    <w:rsid w:val="350909E7"/>
    <w:rsid w:val="350A68DD"/>
    <w:rsid w:val="350D491F"/>
    <w:rsid w:val="350E5DAF"/>
    <w:rsid w:val="350F3267"/>
    <w:rsid w:val="35101668"/>
    <w:rsid w:val="35143D96"/>
    <w:rsid w:val="351530B1"/>
    <w:rsid w:val="35154ED0"/>
    <w:rsid w:val="351647A5"/>
    <w:rsid w:val="351759D1"/>
    <w:rsid w:val="3518051D"/>
    <w:rsid w:val="351A4295"/>
    <w:rsid w:val="351E56F7"/>
    <w:rsid w:val="352275ED"/>
    <w:rsid w:val="352769B2"/>
    <w:rsid w:val="352B0250"/>
    <w:rsid w:val="352B46F4"/>
    <w:rsid w:val="352D5A09"/>
    <w:rsid w:val="3530432C"/>
    <w:rsid w:val="35310A40"/>
    <w:rsid w:val="35366BF5"/>
    <w:rsid w:val="35386E11"/>
    <w:rsid w:val="353B74DB"/>
    <w:rsid w:val="353D1152"/>
    <w:rsid w:val="353F5AA9"/>
    <w:rsid w:val="3540620C"/>
    <w:rsid w:val="35493DFE"/>
    <w:rsid w:val="354B0534"/>
    <w:rsid w:val="354B444E"/>
    <w:rsid w:val="354D6418"/>
    <w:rsid w:val="35505FBC"/>
    <w:rsid w:val="355754E9"/>
    <w:rsid w:val="35577297"/>
    <w:rsid w:val="35622BA2"/>
    <w:rsid w:val="35653B33"/>
    <w:rsid w:val="356A39F8"/>
    <w:rsid w:val="356B637C"/>
    <w:rsid w:val="356E1117"/>
    <w:rsid w:val="35702107"/>
    <w:rsid w:val="357339A5"/>
    <w:rsid w:val="3575771D"/>
    <w:rsid w:val="3576136C"/>
    <w:rsid w:val="357712ED"/>
    <w:rsid w:val="35775243"/>
    <w:rsid w:val="357A4D33"/>
    <w:rsid w:val="357D65D2"/>
    <w:rsid w:val="3586192A"/>
    <w:rsid w:val="35895FEE"/>
    <w:rsid w:val="358D0E1F"/>
    <w:rsid w:val="358D0F0B"/>
    <w:rsid w:val="358F3D6E"/>
    <w:rsid w:val="359027A9"/>
    <w:rsid w:val="35942299"/>
    <w:rsid w:val="35951B6D"/>
    <w:rsid w:val="35951B88"/>
    <w:rsid w:val="359607F3"/>
    <w:rsid w:val="359A7184"/>
    <w:rsid w:val="359B1AD9"/>
    <w:rsid w:val="359E55F9"/>
    <w:rsid w:val="359F072B"/>
    <w:rsid w:val="35A63D7A"/>
    <w:rsid w:val="35A85D44"/>
    <w:rsid w:val="35AD335B"/>
    <w:rsid w:val="35B00755"/>
    <w:rsid w:val="35B20971"/>
    <w:rsid w:val="35B50461"/>
    <w:rsid w:val="35B649B5"/>
    <w:rsid w:val="35B80AA0"/>
    <w:rsid w:val="35BC22C3"/>
    <w:rsid w:val="35BC534C"/>
    <w:rsid w:val="35BD25FF"/>
    <w:rsid w:val="35C10BB4"/>
    <w:rsid w:val="35C219D2"/>
    <w:rsid w:val="35C67F79"/>
    <w:rsid w:val="35C728BC"/>
    <w:rsid w:val="35C80195"/>
    <w:rsid w:val="35CF5088"/>
    <w:rsid w:val="35D00DF7"/>
    <w:rsid w:val="35D025B1"/>
    <w:rsid w:val="35D07049"/>
    <w:rsid w:val="35D26CBC"/>
    <w:rsid w:val="35DA6EEA"/>
    <w:rsid w:val="35DC154A"/>
    <w:rsid w:val="35DE1766"/>
    <w:rsid w:val="35E0728C"/>
    <w:rsid w:val="35E26E86"/>
    <w:rsid w:val="35E328D9"/>
    <w:rsid w:val="35E6118E"/>
    <w:rsid w:val="35E86141"/>
    <w:rsid w:val="35F04F53"/>
    <w:rsid w:val="35F05BDE"/>
    <w:rsid w:val="35F745D6"/>
    <w:rsid w:val="35F920FC"/>
    <w:rsid w:val="35FC7E3E"/>
    <w:rsid w:val="35FE7713"/>
    <w:rsid w:val="36003680"/>
    <w:rsid w:val="36062A6B"/>
    <w:rsid w:val="360A4309"/>
    <w:rsid w:val="360B5FF1"/>
    <w:rsid w:val="36123472"/>
    <w:rsid w:val="36145188"/>
    <w:rsid w:val="361707D4"/>
    <w:rsid w:val="361B6516"/>
    <w:rsid w:val="361C05B7"/>
    <w:rsid w:val="361D70A7"/>
    <w:rsid w:val="361E42BB"/>
    <w:rsid w:val="36203034"/>
    <w:rsid w:val="36203B2D"/>
    <w:rsid w:val="362329B5"/>
    <w:rsid w:val="36243C7D"/>
    <w:rsid w:val="36263E05"/>
    <w:rsid w:val="362670E1"/>
    <w:rsid w:val="36295031"/>
    <w:rsid w:val="362C0724"/>
    <w:rsid w:val="36301896"/>
    <w:rsid w:val="36343134"/>
    <w:rsid w:val="36352F10"/>
    <w:rsid w:val="36357E2F"/>
    <w:rsid w:val="36370E76"/>
    <w:rsid w:val="363779B7"/>
    <w:rsid w:val="36392E40"/>
    <w:rsid w:val="363B44C3"/>
    <w:rsid w:val="3644260B"/>
    <w:rsid w:val="364F3CE2"/>
    <w:rsid w:val="36525CB0"/>
    <w:rsid w:val="36527A5E"/>
    <w:rsid w:val="3655578F"/>
    <w:rsid w:val="36556F56"/>
    <w:rsid w:val="36563EA7"/>
    <w:rsid w:val="3656754F"/>
    <w:rsid w:val="365732C7"/>
    <w:rsid w:val="365C268B"/>
    <w:rsid w:val="365E6403"/>
    <w:rsid w:val="36624145"/>
    <w:rsid w:val="3662581F"/>
    <w:rsid w:val="366351C4"/>
    <w:rsid w:val="36637EBD"/>
    <w:rsid w:val="3667175C"/>
    <w:rsid w:val="366B615C"/>
    <w:rsid w:val="366C6D72"/>
    <w:rsid w:val="366E0F69"/>
    <w:rsid w:val="366F2A70"/>
    <w:rsid w:val="3674175C"/>
    <w:rsid w:val="367B5207"/>
    <w:rsid w:val="367D0CC8"/>
    <w:rsid w:val="367E6AA5"/>
    <w:rsid w:val="36820344"/>
    <w:rsid w:val="36877303"/>
    <w:rsid w:val="368816D2"/>
    <w:rsid w:val="36890FE9"/>
    <w:rsid w:val="368A544A"/>
    <w:rsid w:val="36914A2B"/>
    <w:rsid w:val="36934511"/>
    <w:rsid w:val="369462C9"/>
    <w:rsid w:val="3699596E"/>
    <w:rsid w:val="369D517D"/>
    <w:rsid w:val="369F731C"/>
    <w:rsid w:val="36A007CA"/>
    <w:rsid w:val="36A209E6"/>
    <w:rsid w:val="36A22794"/>
    <w:rsid w:val="36A52284"/>
    <w:rsid w:val="36A62A31"/>
    <w:rsid w:val="36A91D74"/>
    <w:rsid w:val="36AB47FB"/>
    <w:rsid w:val="36B129D7"/>
    <w:rsid w:val="36B8096A"/>
    <w:rsid w:val="36B9188B"/>
    <w:rsid w:val="36C00E6C"/>
    <w:rsid w:val="36C20E5E"/>
    <w:rsid w:val="36C841D0"/>
    <w:rsid w:val="36C941C4"/>
    <w:rsid w:val="36CF10AF"/>
    <w:rsid w:val="36D10539"/>
    <w:rsid w:val="36D30B9F"/>
    <w:rsid w:val="36DE2D24"/>
    <w:rsid w:val="36DE6EDB"/>
    <w:rsid w:val="36DF7544"/>
    <w:rsid w:val="36E25286"/>
    <w:rsid w:val="36E40AF7"/>
    <w:rsid w:val="36E4195C"/>
    <w:rsid w:val="36E52680"/>
    <w:rsid w:val="36E56B24"/>
    <w:rsid w:val="36E903B9"/>
    <w:rsid w:val="36EA63AA"/>
    <w:rsid w:val="36EE59D9"/>
    <w:rsid w:val="36F31165"/>
    <w:rsid w:val="36F9612C"/>
    <w:rsid w:val="36FA4EBE"/>
    <w:rsid w:val="36FB1EA4"/>
    <w:rsid w:val="36FB65E0"/>
    <w:rsid w:val="36FD5C1C"/>
    <w:rsid w:val="36FD68C5"/>
    <w:rsid w:val="37003BEE"/>
    <w:rsid w:val="370074BA"/>
    <w:rsid w:val="3701395E"/>
    <w:rsid w:val="37054AD1"/>
    <w:rsid w:val="370778AC"/>
    <w:rsid w:val="370A653A"/>
    <w:rsid w:val="370B658B"/>
    <w:rsid w:val="371378FE"/>
    <w:rsid w:val="37176AFB"/>
    <w:rsid w:val="37180CA8"/>
    <w:rsid w:val="371A057C"/>
    <w:rsid w:val="371D1E1A"/>
    <w:rsid w:val="371D2FD8"/>
    <w:rsid w:val="3720034E"/>
    <w:rsid w:val="372633C5"/>
    <w:rsid w:val="372A20AD"/>
    <w:rsid w:val="37337890"/>
    <w:rsid w:val="37357164"/>
    <w:rsid w:val="373760CD"/>
    <w:rsid w:val="37386C54"/>
    <w:rsid w:val="373B42C5"/>
    <w:rsid w:val="373B6744"/>
    <w:rsid w:val="373C6C97"/>
    <w:rsid w:val="373C7928"/>
    <w:rsid w:val="37411FAD"/>
    <w:rsid w:val="37415715"/>
    <w:rsid w:val="37427AD3"/>
    <w:rsid w:val="37436AAE"/>
    <w:rsid w:val="374455F9"/>
    <w:rsid w:val="37465815"/>
    <w:rsid w:val="374E46CA"/>
    <w:rsid w:val="374F78C3"/>
    <w:rsid w:val="37612729"/>
    <w:rsid w:val="37695060"/>
    <w:rsid w:val="376D2DA2"/>
    <w:rsid w:val="37706B2E"/>
    <w:rsid w:val="37712166"/>
    <w:rsid w:val="377320FF"/>
    <w:rsid w:val="37735EDE"/>
    <w:rsid w:val="377C3F0C"/>
    <w:rsid w:val="377D6D5D"/>
    <w:rsid w:val="377E5384"/>
    <w:rsid w:val="378025DA"/>
    <w:rsid w:val="378105FB"/>
    <w:rsid w:val="37826121"/>
    <w:rsid w:val="378974B0"/>
    <w:rsid w:val="378B162C"/>
    <w:rsid w:val="378C0D4E"/>
    <w:rsid w:val="378D387D"/>
    <w:rsid w:val="379320DC"/>
    <w:rsid w:val="37936580"/>
    <w:rsid w:val="37955E55"/>
    <w:rsid w:val="37955FE9"/>
    <w:rsid w:val="379653F9"/>
    <w:rsid w:val="37996756"/>
    <w:rsid w:val="379A790F"/>
    <w:rsid w:val="379F4582"/>
    <w:rsid w:val="37A16410"/>
    <w:rsid w:val="37A8202C"/>
    <w:rsid w:val="37AC5FF3"/>
    <w:rsid w:val="37AD55DE"/>
    <w:rsid w:val="37AE5168"/>
    <w:rsid w:val="37B24C58"/>
    <w:rsid w:val="37B704C1"/>
    <w:rsid w:val="37B7226F"/>
    <w:rsid w:val="37B925E2"/>
    <w:rsid w:val="37BD53AB"/>
    <w:rsid w:val="37BE14C0"/>
    <w:rsid w:val="37BF130A"/>
    <w:rsid w:val="37BF7375"/>
    <w:rsid w:val="37C0018E"/>
    <w:rsid w:val="37C12BFE"/>
    <w:rsid w:val="37C44253"/>
    <w:rsid w:val="37C4498C"/>
    <w:rsid w:val="37C869EA"/>
    <w:rsid w:val="37D20E57"/>
    <w:rsid w:val="37D813CF"/>
    <w:rsid w:val="37D83F93"/>
    <w:rsid w:val="37DA41AF"/>
    <w:rsid w:val="37DB610F"/>
    <w:rsid w:val="37E56948"/>
    <w:rsid w:val="37E63190"/>
    <w:rsid w:val="37E868CC"/>
    <w:rsid w:val="37EB3CC7"/>
    <w:rsid w:val="37EF5EA7"/>
    <w:rsid w:val="37F1535C"/>
    <w:rsid w:val="37F4686F"/>
    <w:rsid w:val="37F7216F"/>
    <w:rsid w:val="37FA1570"/>
    <w:rsid w:val="37FC45AF"/>
    <w:rsid w:val="37FD65CF"/>
    <w:rsid w:val="380134EA"/>
    <w:rsid w:val="3801798E"/>
    <w:rsid w:val="38080D1C"/>
    <w:rsid w:val="380B4369"/>
    <w:rsid w:val="380F124C"/>
    <w:rsid w:val="381256F7"/>
    <w:rsid w:val="3814146F"/>
    <w:rsid w:val="38142549"/>
    <w:rsid w:val="38150A31"/>
    <w:rsid w:val="38152052"/>
    <w:rsid w:val="38156F95"/>
    <w:rsid w:val="381950DB"/>
    <w:rsid w:val="381A45AC"/>
    <w:rsid w:val="381F1BC2"/>
    <w:rsid w:val="3820263F"/>
    <w:rsid w:val="38213DE9"/>
    <w:rsid w:val="382432E8"/>
    <w:rsid w:val="382471D8"/>
    <w:rsid w:val="3825542A"/>
    <w:rsid w:val="38260110"/>
    <w:rsid w:val="38262F51"/>
    <w:rsid w:val="38275E85"/>
    <w:rsid w:val="38284F1B"/>
    <w:rsid w:val="382A0F33"/>
    <w:rsid w:val="382D2531"/>
    <w:rsid w:val="382F62A9"/>
    <w:rsid w:val="38306188"/>
    <w:rsid w:val="38392C84"/>
    <w:rsid w:val="383970F1"/>
    <w:rsid w:val="383E51AC"/>
    <w:rsid w:val="3845163B"/>
    <w:rsid w:val="38471845"/>
    <w:rsid w:val="38472A51"/>
    <w:rsid w:val="384855BD"/>
    <w:rsid w:val="38486DD2"/>
    <w:rsid w:val="3848736B"/>
    <w:rsid w:val="384A6C3F"/>
    <w:rsid w:val="384B01C1"/>
    <w:rsid w:val="384D2BD3"/>
    <w:rsid w:val="3858263B"/>
    <w:rsid w:val="385B52F0"/>
    <w:rsid w:val="3862545B"/>
    <w:rsid w:val="3863699B"/>
    <w:rsid w:val="386F66A6"/>
    <w:rsid w:val="3872222A"/>
    <w:rsid w:val="38740160"/>
    <w:rsid w:val="387719FE"/>
    <w:rsid w:val="387A4D99"/>
    <w:rsid w:val="388008B3"/>
    <w:rsid w:val="3880670B"/>
    <w:rsid w:val="38883C94"/>
    <w:rsid w:val="388A1666"/>
    <w:rsid w:val="388A1731"/>
    <w:rsid w:val="388F4F9A"/>
    <w:rsid w:val="38961E84"/>
    <w:rsid w:val="38995E18"/>
    <w:rsid w:val="389C17D6"/>
    <w:rsid w:val="38A7296A"/>
    <w:rsid w:val="38AA1DD4"/>
    <w:rsid w:val="38AA3B82"/>
    <w:rsid w:val="38AC3BAE"/>
    <w:rsid w:val="38AD5595"/>
    <w:rsid w:val="38AE3672"/>
    <w:rsid w:val="38B8629F"/>
    <w:rsid w:val="38B86D12"/>
    <w:rsid w:val="38B95B73"/>
    <w:rsid w:val="38BB18EB"/>
    <w:rsid w:val="38BD52D9"/>
    <w:rsid w:val="38BF587F"/>
    <w:rsid w:val="38C05153"/>
    <w:rsid w:val="38C52157"/>
    <w:rsid w:val="38CA2552"/>
    <w:rsid w:val="38D113F0"/>
    <w:rsid w:val="38D1368F"/>
    <w:rsid w:val="38D24F7D"/>
    <w:rsid w:val="38D351C0"/>
    <w:rsid w:val="38D40BFF"/>
    <w:rsid w:val="38DD3F57"/>
    <w:rsid w:val="38E250CA"/>
    <w:rsid w:val="38E54BBA"/>
    <w:rsid w:val="38E86458"/>
    <w:rsid w:val="38EC46E2"/>
    <w:rsid w:val="38EC597B"/>
    <w:rsid w:val="38ED3A6E"/>
    <w:rsid w:val="38EE71E5"/>
    <w:rsid w:val="38EF5A38"/>
    <w:rsid w:val="38F60EAD"/>
    <w:rsid w:val="38F65019"/>
    <w:rsid w:val="38F74498"/>
    <w:rsid w:val="38F82B3F"/>
    <w:rsid w:val="38FD06DF"/>
    <w:rsid w:val="3902576C"/>
    <w:rsid w:val="39047736"/>
    <w:rsid w:val="39051C9C"/>
    <w:rsid w:val="3905700A"/>
    <w:rsid w:val="39083C99"/>
    <w:rsid w:val="39084FC8"/>
    <w:rsid w:val="390908A8"/>
    <w:rsid w:val="390A63CE"/>
    <w:rsid w:val="390C65EA"/>
    <w:rsid w:val="390D5245"/>
    <w:rsid w:val="390F3274"/>
    <w:rsid w:val="39115B90"/>
    <w:rsid w:val="39135CFA"/>
    <w:rsid w:val="39137979"/>
    <w:rsid w:val="3914549F"/>
    <w:rsid w:val="391A0D07"/>
    <w:rsid w:val="391E1E7A"/>
    <w:rsid w:val="391F00CC"/>
    <w:rsid w:val="391F477E"/>
    <w:rsid w:val="39203D6F"/>
    <w:rsid w:val="39225E0E"/>
    <w:rsid w:val="39241D31"/>
    <w:rsid w:val="392751D2"/>
    <w:rsid w:val="39276F80"/>
    <w:rsid w:val="392C04C3"/>
    <w:rsid w:val="392E030F"/>
    <w:rsid w:val="392E47B3"/>
    <w:rsid w:val="392F4087"/>
    <w:rsid w:val="39335925"/>
    <w:rsid w:val="393643FB"/>
    <w:rsid w:val="393722AC"/>
    <w:rsid w:val="3938118D"/>
    <w:rsid w:val="393A0A60"/>
    <w:rsid w:val="393C73E5"/>
    <w:rsid w:val="393D0552"/>
    <w:rsid w:val="393D2C48"/>
    <w:rsid w:val="39406F47"/>
    <w:rsid w:val="39461AFC"/>
    <w:rsid w:val="394871E4"/>
    <w:rsid w:val="39494261"/>
    <w:rsid w:val="394A2C6F"/>
    <w:rsid w:val="394C4C39"/>
    <w:rsid w:val="394E6C03"/>
    <w:rsid w:val="394F430B"/>
    <w:rsid w:val="39504CED"/>
    <w:rsid w:val="395104A1"/>
    <w:rsid w:val="3951178E"/>
    <w:rsid w:val="3951224F"/>
    <w:rsid w:val="39580388"/>
    <w:rsid w:val="395D0BF4"/>
    <w:rsid w:val="395F245C"/>
    <w:rsid w:val="39604232"/>
    <w:rsid w:val="39621CD3"/>
    <w:rsid w:val="39627FB8"/>
    <w:rsid w:val="39644F4B"/>
    <w:rsid w:val="39661AE4"/>
    <w:rsid w:val="39685895"/>
    <w:rsid w:val="396D0A8A"/>
    <w:rsid w:val="396E2E01"/>
    <w:rsid w:val="39704BB1"/>
    <w:rsid w:val="397207A7"/>
    <w:rsid w:val="39730417"/>
    <w:rsid w:val="39754AB6"/>
    <w:rsid w:val="39763A64"/>
    <w:rsid w:val="397641FF"/>
    <w:rsid w:val="39770C30"/>
    <w:rsid w:val="397A17A6"/>
    <w:rsid w:val="397A3554"/>
    <w:rsid w:val="397C3770"/>
    <w:rsid w:val="397C551E"/>
    <w:rsid w:val="397D1296"/>
    <w:rsid w:val="397E2754"/>
    <w:rsid w:val="39842625"/>
    <w:rsid w:val="398443D3"/>
    <w:rsid w:val="398628F2"/>
    <w:rsid w:val="39880EED"/>
    <w:rsid w:val="39895F8A"/>
    <w:rsid w:val="39900FC9"/>
    <w:rsid w:val="39926B26"/>
    <w:rsid w:val="399834E3"/>
    <w:rsid w:val="399D4784"/>
    <w:rsid w:val="39A17874"/>
    <w:rsid w:val="39A46823"/>
    <w:rsid w:val="39A607ED"/>
    <w:rsid w:val="39A95BE7"/>
    <w:rsid w:val="39AC1B82"/>
    <w:rsid w:val="39AF5E34"/>
    <w:rsid w:val="39B06F76"/>
    <w:rsid w:val="39B572A6"/>
    <w:rsid w:val="39B73F4C"/>
    <w:rsid w:val="39B825F0"/>
    <w:rsid w:val="39BA65AC"/>
    <w:rsid w:val="39BD78E5"/>
    <w:rsid w:val="39C35901"/>
    <w:rsid w:val="39C666B4"/>
    <w:rsid w:val="39C80763"/>
    <w:rsid w:val="39C90037"/>
    <w:rsid w:val="39CB3764"/>
    <w:rsid w:val="39D207F3"/>
    <w:rsid w:val="39D47C41"/>
    <w:rsid w:val="39D76BF8"/>
    <w:rsid w:val="39DA600C"/>
    <w:rsid w:val="39DC7D6B"/>
    <w:rsid w:val="39DF160C"/>
    <w:rsid w:val="39E16D31"/>
    <w:rsid w:val="39E430C3"/>
    <w:rsid w:val="39E60BE9"/>
    <w:rsid w:val="39EE7A9E"/>
    <w:rsid w:val="39EF3F42"/>
    <w:rsid w:val="39F03816"/>
    <w:rsid w:val="39F41558"/>
    <w:rsid w:val="39F5319F"/>
    <w:rsid w:val="39F552D0"/>
    <w:rsid w:val="39F71049"/>
    <w:rsid w:val="39FB3414"/>
    <w:rsid w:val="3A013C75"/>
    <w:rsid w:val="3A0557A4"/>
    <w:rsid w:val="3A06303A"/>
    <w:rsid w:val="3A085004"/>
    <w:rsid w:val="3A0B4AF4"/>
    <w:rsid w:val="3A0E3831"/>
    <w:rsid w:val="3A1A0893"/>
    <w:rsid w:val="3A1A6AE5"/>
    <w:rsid w:val="3A1C460B"/>
    <w:rsid w:val="3A1E0383"/>
    <w:rsid w:val="3A1E45A7"/>
    <w:rsid w:val="3A1F234D"/>
    <w:rsid w:val="3A211C22"/>
    <w:rsid w:val="3A22223D"/>
    <w:rsid w:val="3A2317DB"/>
    <w:rsid w:val="3A246C6E"/>
    <w:rsid w:val="3A26548A"/>
    <w:rsid w:val="3A280D5E"/>
    <w:rsid w:val="3A2A4F7A"/>
    <w:rsid w:val="3A2B2AA0"/>
    <w:rsid w:val="3A2D3FCE"/>
    <w:rsid w:val="3A2E1983"/>
    <w:rsid w:val="3A300993"/>
    <w:rsid w:val="3A322081"/>
    <w:rsid w:val="3A3335F1"/>
    <w:rsid w:val="3A350718"/>
    <w:rsid w:val="3A445910"/>
    <w:rsid w:val="3A4A1178"/>
    <w:rsid w:val="3A4D2A17"/>
    <w:rsid w:val="3A561988"/>
    <w:rsid w:val="3A5820E6"/>
    <w:rsid w:val="3A5B15D7"/>
    <w:rsid w:val="3A5E0F20"/>
    <w:rsid w:val="3A5F72C0"/>
    <w:rsid w:val="3A614714"/>
    <w:rsid w:val="3A624C5E"/>
    <w:rsid w:val="3A627819"/>
    <w:rsid w:val="3A661D2A"/>
    <w:rsid w:val="3A6B10EF"/>
    <w:rsid w:val="3A6C43F3"/>
    <w:rsid w:val="3A6C5593"/>
    <w:rsid w:val="3A7461F5"/>
    <w:rsid w:val="3A760E74"/>
    <w:rsid w:val="3A8328DC"/>
    <w:rsid w:val="3A83468A"/>
    <w:rsid w:val="3A86474E"/>
    <w:rsid w:val="3A865F28"/>
    <w:rsid w:val="3A875A60"/>
    <w:rsid w:val="3A881CA1"/>
    <w:rsid w:val="3A8A3C6B"/>
    <w:rsid w:val="3A8D72B7"/>
    <w:rsid w:val="3A8F1281"/>
    <w:rsid w:val="3A937946"/>
    <w:rsid w:val="3A944AE9"/>
    <w:rsid w:val="3A993EAE"/>
    <w:rsid w:val="3A9C74FA"/>
    <w:rsid w:val="3A9F7E02"/>
    <w:rsid w:val="3AA12D62"/>
    <w:rsid w:val="3AA20FB4"/>
    <w:rsid w:val="3AA35560"/>
    <w:rsid w:val="3AA362BF"/>
    <w:rsid w:val="3AA73B8F"/>
    <w:rsid w:val="3AA7481D"/>
    <w:rsid w:val="3AA92EF2"/>
    <w:rsid w:val="3AAA1402"/>
    <w:rsid w:val="3AAA7E69"/>
    <w:rsid w:val="3AAC1E33"/>
    <w:rsid w:val="3AAE15B7"/>
    <w:rsid w:val="3AB17807"/>
    <w:rsid w:val="3AB24C7F"/>
    <w:rsid w:val="3ABA2C53"/>
    <w:rsid w:val="3AC0768C"/>
    <w:rsid w:val="3AC23405"/>
    <w:rsid w:val="3AC23D63"/>
    <w:rsid w:val="3AC76C6D"/>
    <w:rsid w:val="3AC93013"/>
    <w:rsid w:val="3ACA22B9"/>
    <w:rsid w:val="3ACA4067"/>
    <w:rsid w:val="3ACB3C77"/>
    <w:rsid w:val="3ACD1DA9"/>
    <w:rsid w:val="3ACE5550"/>
    <w:rsid w:val="3AD153F6"/>
    <w:rsid w:val="3AD46C94"/>
    <w:rsid w:val="3AD54E40"/>
    <w:rsid w:val="3AD82C34"/>
    <w:rsid w:val="3AD849D6"/>
    <w:rsid w:val="3ADA7655"/>
    <w:rsid w:val="3ADB2F82"/>
    <w:rsid w:val="3ADE1CEF"/>
    <w:rsid w:val="3AE25855"/>
    <w:rsid w:val="3AE35129"/>
    <w:rsid w:val="3AE53B01"/>
    <w:rsid w:val="3AE55345"/>
    <w:rsid w:val="3AE8273F"/>
    <w:rsid w:val="3AEC66D3"/>
    <w:rsid w:val="3AED3A1B"/>
    <w:rsid w:val="3AF410E4"/>
    <w:rsid w:val="3AF45588"/>
    <w:rsid w:val="3AFB0202"/>
    <w:rsid w:val="3AFB726B"/>
    <w:rsid w:val="3AFF182A"/>
    <w:rsid w:val="3B00217F"/>
    <w:rsid w:val="3B034EC7"/>
    <w:rsid w:val="3B047A71"/>
    <w:rsid w:val="3B077069"/>
    <w:rsid w:val="3B0E664A"/>
    <w:rsid w:val="3B1637DF"/>
    <w:rsid w:val="3B223EA3"/>
    <w:rsid w:val="3B244E5C"/>
    <w:rsid w:val="3B27450D"/>
    <w:rsid w:val="3B2B6D80"/>
    <w:rsid w:val="3B2C2F74"/>
    <w:rsid w:val="3B2D2B14"/>
    <w:rsid w:val="3B351E28"/>
    <w:rsid w:val="3B376D9A"/>
    <w:rsid w:val="3B3911ED"/>
    <w:rsid w:val="3B40257B"/>
    <w:rsid w:val="3B410FF4"/>
    <w:rsid w:val="3B464036"/>
    <w:rsid w:val="3B467B23"/>
    <w:rsid w:val="3B47390A"/>
    <w:rsid w:val="3B491430"/>
    <w:rsid w:val="3B4F0A10"/>
    <w:rsid w:val="3B5620E2"/>
    <w:rsid w:val="3B57144D"/>
    <w:rsid w:val="3B5878C5"/>
    <w:rsid w:val="3B5E567C"/>
    <w:rsid w:val="3B5F6EA5"/>
    <w:rsid w:val="3B6224F2"/>
    <w:rsid w:val="3B697D24"/>
    <w:rsid w:val="3B702E61"/>
    <w:rsid w:val="3B716BD9"/>
    <w:rsid w:val="3B723436"/>
    <w:rsid w:val="3B777157"/>
    <w:rsid w:val="3B7A32F7"/>
    <w:rsid w:val="3B7C29B9"/>
    <w:rsid w:val="3B837F8F"/>
    <w:rsid w:val="3B84690C"/>
    <w:rsid w:val="3B871F63"/>
    <w:rsid w:val="3B8B1764"/>
    <w:rsid w:val="3B8B7C9A"/>
    <w:rsid w:val="3B8E32E7"/>
    <w:rsid w:val="3B943436"/>
    <w:rsid w:val="3B957440"/>
    <w:rsid w:val="3BA743A8"/>
    <w:rsid w:val="3BAC19BF"/>
    <w:rsid w:val="3BB014AF"/>
    <w:rsid w:val="3BB41E86"/>
    <w:rsid w:val="3BB51E29"/>
    <w:rsid w:val="3BB777C2"/>
    <w:rsid w:val="3BBB7E54"/>
    <w:rsid w:val="3BBD1E1E"/>
    <w:rsid w:val="3BBF5B96"/>
    <w:rsid w:val="3BC5252F"/>
    <w:rsid w:val="3BC82C9D"/>
    <w:rsid w:val="3BC84D65"/>
    <w:rsid w:val="3BCB0836"/>
    <w:rsid w:val="3BCB62E9"/>
    <w:rsid w:val="3BCC2B77"/>
    <w:rsid w:val="3BD038FF"/>
    <w:rsid w:val="3BD258C9"/>
    <w:rsid w:val="3BD625CA"/>
    <w:rsid w:val="3BD95A5A"/>
    <w:rsid w:val="3BE92C13"/>
    <w:rsid w:val="3BEC2915"/>
    <w:rsid w:val="3BED44B1"/>
    <w:rsid w:val="3BEE0229"/>
    <w:rsid w:val="3BFA097C"/>
    <w:rsid w:val="3BFE1F56"/>
    <w:rsid w:val="3BFF41E4"/>
    <w:rsid w:val="3C0417FB"/>
    <w:rsid w:val="3C047A4D"/>
    <w:rsid w:val="3C0812EB"/>
    <w:rsid w:val="3C08753D"/>
    <w:rsid w:val="3C095063"/>
    <w:rsid w:val="3C0D06AF"/>
    <w:rsid w:val="3C0D26EB"/>
    <w:rsid w:val="3C0E61D6"/>
    <w:rsid w:val="3C0F6037"/>
    <w:rsid w:val="3C1168D2"/>
    <w:rsid w:val="3C134475"/>
    <w:rsid w:val="3C1744FA"/>
    <w:rsid w:val="3C1747FC"/>
    <w:rsid w:val="3C2043D6"/>
    <w:rsid w:val="3C2679C3"/>
    <w:rsid w:val="3C277297"/>
    <w:rsid w:val="3C2B322B"/>
    <w:rsid w:val="3C3309B3"/>
    <w:rsid w:val="3C3E7500"/>
    <w:rsid w:val="3C422090"/>
    <w:rsid w:val="3C463BC1"/>
    <w:rsid w:val="3C495460"/>
    <w:rsid w:val="3C4B11D8"/>
    <w:rsid w:val="3C4C0972"/>
    <w:rsid w:val="3C4C591B"/>
    <w:rsid w:val="3C53008C"/>
    <w:rsid w:val="3C5462DE"/>
    <w:rsid w:val="3C552056"/>
    <w:rsid w:val="3C5A766D"/>
    <w:rsid w:val="3C5C5193"/>
    <w:rsid w:val="3C5F2ED5"/>
    <w:rsid w:val="3C60501F"/>
    <w:rsid w:val="3C65265B"/>
    <w:rsid w:val="3C687FDC"/>
    <w:rsid w:val="3C6B136D"/>
    <w:rsid w:val="3C6B187A"/>
    <w:rsid w:val="3C6D73A0"/>
    <w:rsid w:val="3C6E0F32"/>
    <w:rsid w:val="3C710E70"/>
    <w:rsid w:val="3C7636AF"/>
    <w:rsid w:val="3C7B42F3"/>
    <w:rsid w:val="3C7D1A1A"/>
    <w:rsid w:val="3C811679"/>
    <w:rsid w:val="3C850B8E"/>
    <w:rsid w:val="3C8666B4"/>
    <w:rsid w:val="3C88242C"/>
    <w:rsid w:val="3C8841DA"/>
    <w:rsid w:val="3C8A42BF"/>
    <w:rsid w:val="3C8B3CCA"/>
    <w:rsid w:val="3C8E237C"/>
    <w:rsid w:val="3C90308E"/>
    <w:rsid w:val="3C904911"/>
    <w:rsid w:val="3C92761C"/>
    <w:rsid w:val="3C942B7F"/>
    <w:rsid w:val="3C9444C5"/>
    <w:rsid w:val="3CA07775"/>
    <w:rsid w:val="3CA40261"/>
    <w:rsid w:val="3CA60B04"/>
    <w:rsid w:val="3CAC215A"/>
    <w:rsid w:val="3CAD1E92"/>
    <w:rsid w:val="3CB02832"/>
    <w:rsid w:val="3CB20431"/>
    <w:rsid w:val="3CB4494B"/>
    <w:rsid w:val="3CB6214F"/>
    <w:rsid w:val="3CB9452B"/>
    <w:rsid w:val="3CC2193F"/>
    <w:rsid w:val="3CC33464"/>
    <w:rsid w:val="3CC52046"/>
    <w:rsid w:val="3CC571DC"/>
    <w:rsid w:val="3CC7043E"/>
    <w:rsid w:val="3CC76CE0"/>
    <w:rsid w:val="3CCB2319"/>
    <w:rsid w:val="3CCC697F"/>
    <w:rsid w:val="3CCC7164"/>
    <w:rsid w:val="3CCD6091"/>
    <w:rsid w:val="3CCD770B"/>
    <w:rsid w:val="3CCF1E09"/>
    <w:rsid w:val="3CD4473E"/>
    <w:rsid w:val="3CD8583C"/>
    <w:rsid w:val="3CD92C87"/>
    <w:rsid w:val="3CD967E3"/>
    <w:rsid w:val="3CDC4526"/>
    <w:rsid w:val="3CDE029E"/>
    <w:rsid w:val="3CE05DC4"/>
    <w:rsid w:val="3CE45F9B"/>
    <w:rsid w:val="3CE77152"/>
    <w:rsid w:val="3CEB6517"/>
    <w:rsid w:val="3CED04E1"/>
    <w:rsid w:val="3CED6733"/>
    <w:rsid w:val="3CEF4259"/>
    <w:rsid w:val="3CF01727"/>
    <w:rsid w:val="3CF03B2D"/>
    <w:rsid w:val="3CF42030"/>
    <w:rsid w:val="3CF655E7"/>
    <w:rsid w:val="3CF74EBC"/>
    <w:rsid w:val="3CF90C34"/>
    <w:rsid w:val="3CF96CED"/>
    <w:rsid w:val="3CFD4BC8"/>
    <w:rsid w:val="3D000214"/>
    <w:rsid w:val="3D001FC2"/>
    <w:rsid w:val="3D0575D8"/>
    <w:rsid w:val="3D0777F5"/>
    <w:rsid w:val="3D0C0065"/>
    <w:rsid w:val="3D0F66A9"/>
    <w:rsid w:val="3D1039F4"/>
    <w:rsid w:val="3D113DD0"/>
    <w:rsid w:val="3D131C82"/>
    <w:rsid w:val="3D152F75"/>
    <w:rsid w:val="3D1D575D"/>
    <w:rsid w:val="3D1F4715"/>
    <w:rsid w:val="3D2008B6"/>
    <w:rsid w:val="3D2222A2"/>
    <w:rsid w:val="3D2263DC"/>
    <w:rsid w:val="3D281519"/>
    <w:rsid w:val="3D2A703F"/>
    <w:rsid w:val="3D2E655A"/>
    <w:rsid w:val="3D325F67"/>
    <w:rsid w:val="3D3303D5"/>
    <w:rsid w:val="3D333210"/>
    <w:rsid w:val="3D391339"/>
    <w:rsid w:val="3D393726"/>
    <w:rsid w:val="3D3A1978"/>
    <w:rsid w:val="3D3A5ABF"/>
    <w:rsid w:val="3D3B22E2"/>
    <w:rsid w:val="3D3B749E"/>
    <w:rsid w:val="3D404AB5"/>
    <w:rsid w:val="3D4178D9"/>
    <w:rsid w:val="3D474095"/>
    <w:rsid w:val="3D4B7C8D"/>
    <w:rsid w:val="3D4E4820"/>
    <w:rsid w:val="3D4F6AA6"/>
    <w:rsid w:val="3D516CC2"/>
    <w:rsid w:val="3D567E34"/>
    <w:rsid w:val="3D583BAC"/>
    <w:rsid w:val="3D5A517B"/>
    <w:rsid w:val="3D5A52F7"/>
    <w:rsid w:val="3D605E5D"/>
    <w:rsid w:val="3D6C58AA"/>
    <w:rsid w:val="3D6E1622"/>
    <w:rsid w:val="3D711112"/>
    <w:rsid w:val="3D711439"/>
    <w:rsid w:val="3D715881"/>
    <w:rsid w:val="3D734E8A"/>
    <w:rsid w:val="3D745844"/>
    <w:rsid w:val="3D74650C"/>
    <w:rsid w:val="3D766728"/>
    <w:rsid w:val="3D785FFC"/>
    <w:rsid w:val="3D7A07C5"/>
    <w:rsid w:val="3D7B02C4"/>
    <w:rsid w:val="3D8449A1"/>
    <w:rsid w:val="3D862A25"/>
    <w:rsid w:val="3D8D43BC"/>
    <w:rsid w:val="3D94581B"/>
    <w:rsid w:val="3D99398A"/>
    <w:rsid w:val="3D9F5C7F"/>
    <w:rsid w:val="3DA649C1"/>
    <w:rsid w:val="3DA75D3A"/>
    <w:rsid w:val="3DA83092"/>
    <w:rsid w:val="3DAB6290"/>
    <w:rsid w:val="3DB17760"/>
    <w:rsid w:val="3DB42DAD"/>
    <w:rsid w:val="3DB50FFF"/>
    <w:rsid w:val="3DB54290"/>
    <w:rsid w:val="3DB8289D"/>
    <w:rsid w:val="3DBA4867"/>
    <w:rsid w:val="3DBC3F4F"/>
    <w:rsid w:val="3DC2371B"/>
    <w:rsid w:val="3DC41242"/>
    <w:rsid w:val="3DC47494"/>
    <w:rsid w:val="3DC51867"/>
    <w:rsid w:val="3DC70D32"/>
    <w:rsid w:val="3DC72873"/>
    <w:rsid w:val="3DCC00F6"/>
    <w:rsid w:val="3DCC459A"/>
    <w:rsid w:val="3DD31670"/>
    <w:rsid w:val="3DD82F3F"/>
    <w:rsid w:val="3DDA0A65"/>
    <w:rsid w:val="3DDA2813"/>
    <w:rsid w:val="3DDB2220"/>
    <w:rsid w:val="3DDD0555"/>
    <w:rsid w:val="3DDD67A7"/>
    <w:rsid w:val="3DE10046"/>
    <w:rsid w:val="3DE64286"/>
    <w:rsid w:val="3DF15DAF"/>
    <w:rsid w:val="3DF5589F"/>
    <w:rsid w:val="3DF77869"/>
    <w:rsid w:val="3DF80EEB"/>
    <w:rsid w:val="3DFB1C60"/>
    <w:rsid w:val="3E012496"/>
    <w:rsid w:val="3E027FBC"/>
    <w:rsid w:val="3E047890"/>
    <w:rsid w:val="3E0B26DF"/>
    <w:rsid w:val="3E0C4997"/>
    <w:rsid w:val="3E0F11FF"/>
    <w:rsid w:val="3E10092B"/>
    <w:rsid w:val="3E1048EE"/>
    <w:rsid w:val="3E1A5306"/>
    <w:rsid w:val="3E1B5ED9"/>
    <w:rsid w:val="3E1D441D"/>
    <w:rsid w:val="3E1D4DF6"/>
    <w:rsid w:val="3E1E0BD5"/>
    <w:rsid w:val="3E1E71EA"/>
    <w:rsid w:val="3E2361F8"/>
    <w:rsid w:val="3E246184"/>
    <w:rsid w:val="3E2717D1"/>
    <w:rsid w:val="3E277BBC"/>
    <w:rsid w:val="3E285C74"/>
    <w:rsid w:val="3E295A9C"/>
    <w:rsid w:val="3E2D328B"/>
    <w:rsid w:val="3E2E2B5F"/>
    <w:rsid w:val="3E2E7003"/>
    <w:rsid w:val="3E304B29"/>
    <w:rsid w:val="3E3208A1"/>
    <w:rsid w:val="3E343916"/>
    <w:rsid w:val="3E375EB7"/>
    <w:rsid w:val="3E391C30"/>
    <w:rsid w:val="3E3F4D6C"/>
    <w:rsid w:val="3E411A8E"/>
    <w:rsid w:val="3E41232F"/>
    <w:rsid w:val="3E4509F4"/>
    <w:rsid w:val="3E453D00"/>
    <w:rsid w:val="3E4743B5"/>
    <w:rsid w:val="3E497999"/>
    <w:rsid w:val="3E4A767E"/>
    <w:rsid w:val="3E4D3067"/>
    <w:rsid w:val="3E4D33B6"/>
    <w:rsid w:val="3E5478E9"/>
    <w:rsid w:val="3E5500EC"/>
    <w:rsid w:val="3E560936"/>
    <w:rsid w:val="3E5720B6"/>
    <w:rsid w:val="3E601919"/>
    <w:rsid w:val="3E611186"/>
    <w:rsid w:val="3E614CE2"/>
    <w:rsid w:val="3E672868"/>
    <w:rsid w:val="3E686071"/>
    <w:rsid w:val="3E693D35"/>
    <w:rsid w:val="3E6C5987"/>
    <w:rsid w:val="3E6D5755"/>
    <w:rsid w:val="3E6F38A3"/>
    <w:rsid w:val="3E71188D"/>
    <w:rsid w:val="3E715242"/>
    <w:rsid w:val="3E740EBA"/>
    <w:rsid w:val="3E7512D1"/>
    <w:rsid w:val="3E772758"/>
    <w:rsid w:val="3E776251"/>
    <w:rsid w:val="3E78202C"/>
    <w:rsid w:val="3E7C0537"/>
    <w:rsid w:val="3E7C7D6E"/>
    <w:rsid w:val="3E7E7642"/>
    <w:rsid w:val="3E8976CD"/>
    <w:rsid w:val="3E8A261C"/>
    <w:rsid w:val="3E8B1D5F"/>
    <w:rsid w:val="3E8B518E"/>
    <w:rsid w:val="3E8F7AA2"/>
    <w:rsid w:val="3E9065E3"/>
    <w:rsid w:val="3E907376"/>
    <w:rsid w:val="3E927592"/>
    <w:rsid w:val="3E974BA8"/>
    <w:rsid w:val="3E995EC3"/>
    <w:rsid w:val="3E9D58E2"/>
    <w:rsid w:val="3E9E6595"/>
    <w:rsid w:val="3EA16E79"/>
    <w:rsid w:val="3EA514B3"/>
    <w:rsid w:val="3EA66B99"/>
    <w:rsid w:val="3EA74BFB"/>
    <w:rsid w:val="3EA941E9"/>
    <w:rsid w:val="3EAB2402"/>
    <w:rsid w:val="3EAD58D5"/>
    <w:rsid w:val="3EAE3246"/>
    <w:rsid w:val="3EAF2D25"/>
    <w:rsid w:val="3EAF3CA0"/>
    <w:rsid w:val="3EB66A5F"/>
    <w:rsid w:val="3EB70DA6"/>
    <w:rsid w:val="3EBB6EA6"/>
    <w:rsid w:val="3EC05384"/>
    <w:rsid w:val="3EC05EAD"/>
    <w:rsid w:val="3EC55271"/>
    <w:rsid w:val="3EC60FE9"/>
    <w:rsid w:val="3EC62650"/>
    <w:rsid w:val="3EC7548D"/>
    <w:rsid w:val="3EC84D62"/>
    <w:rsid w:val="3EC86B10"/>
    <w:rsid w:val="3ECF4342"/>
    <w:rsid w:val="3ED022A8"/>
    <w:rsid w:val="3ED11235"/>
    <w:rsid w:val="3ED2798E"/>
    <w:rsid w:val="3ED420B9"/>
    <w:rsid w:val="3ED454B4"/>
    <w:rsid w:val="3ED96F6F"/>
    <w:rsid w:val="3EDE49E6"/>
    <w:rsid w:val="3EE020AB"/>
    <w:rsid w:val="3EE31B9B"/>
    <w:rsid w:val="3EE33ADD"/>
    <w:rsid w:val="3EE37066"/>
    <w:rsid w:val="3EE417EC"/>
    <w:rsid w:val="3EED6576"/>
    <w:rsid w:val="3EEF1B3E"/>
    <w:rsid w:val="3EF07C82"/>
    <w:rsid w:val="3EF142B8"/>
    <w:rsid w:val="3EF335E1"/>
    <w:rsid w:val="3EF43DA9"/>
    <w:rsid w:val="3EF94F1B"/>
    <w:rsid w:val="3EF95647"/>
    <w:rsid w:val="3EFE43A5"/>
    <w:rsid w:val="3F057D64"/>
    <w:rsid w:val="3F067638"/>
    <w:rsid w:val="3F0E36DA"/>
    <w:rsid w:val="3F11495A"/>
    <w:rsid w:val="3F1201EF"/>
    <w:rsid w:val="3F12205B"/>
    <w:rsid w:val="3F163D1F"/>
    <w:rsid w:val="3F181897"/>
    <w:rsid w:val="3F1C5CDE"/>
    <w:rsid w:val="3F1E667A"/>
    <w:rsid w:val="3F223B7A"/>
    <w:rsid w:val="3F260EFF"/>
    <w:rsid w:val="3F2A77CA"/>
    <w:rsid w:val="3F3003B9"/>
    <w:rsid w:val="3F31063E"/>
    <w:rsid w:val="3F3146B5"/>
    <w:rsid w:val="3F316DAB"/>
    <w:rsid w:val="3F335685"/>
    <w:rsid w:val="3F3A7EA2"/>
    <w:rsid w:val="3F3B5533"/>
    <w:rsid w:val="3F41113A"/>
    <w:rsid w:val="3F4168C2"/>
    <w:rsid w:val="3F446ADE"/>
    <w:rsid w:val="3F47212A"/>
    <w:rsid w:val="3F4A1C1A"/>
    <w:rsid w:val="3F5465F5"/>
    <w:rsid w:val="3F574812"/>
    <w:rsid w:val="3F58717E"/>
    <w:rsid w:val="3F5B7984"/>
    <w:rsid w:val="3F602F82"/>
    <w:rsid w:val="3F63123E"/>
    <w:rsid w:val="3F6A7BC7"/>
    <w:rsid w:val="3F6D1103"/>
    <w:rsid w:val="3F6E2485"/>
    <w:rsid w:val="3F6E5909"/>
    <w:rsid w:val="3F6F1681"/>
    <w:rsid w:val="3F710F55"/>
    <w:rsid w:val="3F7275DF"/>
    <w:rsid w:val="3F7B0026"/>
    <w:rsid w:val="3F7D3D9E"/>
    <w:rsid w:val="3F7E18C4"/>
    <w:rsid w:val="3F882F35"/>
    <w:rsid w:val="3F895F34"/>
    <w:rsid w:val="3F8C10BF"/>
    <w:rsid w:val="3F8C3FE1"/>
    <w:rsid w:val="3F8E1B07"/>
    <w:rsid w:val="3F8E487D"/>
    <w:rsid w:val="3F8F3AD1"/>
    <w:rsid w:val="3F9075F7"/>
    <w:rsid w:val="3F9134F1"/>
    <w:rsid w:val="3F9966FE"/>
    <w:rsid w:val="3F9A4950"/>
    <w:rsid w:val="3F9D00F6"/>
    <w:rsid w:val="3FA532F5"/>
    <w:rsid w:val="3FA72BC9"/>
    <w:rsid w:val="3FB12AEB"/>
    <w:rsid w:val="3FB377C0"/>
    <w:rsid w:val="3FB672B0"/>
    <w:rsid w:val="3FB816B8"/>
    <w:rsid w:val="3FB91002"/>
    <w:rsid w:val="3FBA5785"/>
    <w:rsid w:val="3FBD063E"/>
    <w:rsid w:val="3FBF5061"/>
    <w:rsid w:val="3FC25C55"/>
    <w:rsid w:val="3FC47AA3"/>
    <w:rsid w:val="3FC71847"/>
    <w:rsid w:val="3FC96FE3"/>
    <w:rsid w:val="3FCB2D5B"/>
    <w:rsid w:val="3FCE3D40"/>
    <w:rsid w:val="3FCE45FA"/>
    <w:rsid w:val="3FD00D1C"/>
    <w:rsid w:val="3FD37E62"/>
    <w:rsid w:val="3FD61700"/>
    <w:rsid w:val="3FD82CB8"/>
    <w:rsid w:val="3FD85478"/>
    <w:rsid w:val="3FDA5DF4"/>
    <w:rsid w:val="3FDB4C29"/>
    <w:rsid w:val="3FDF6807"/>
    <w:rsid w:val="3FE07E89"/>
    <w:rsid w:val="3FE21E53"/>
    <w:rsid w:val="3FE82A49"/>
    <w:rsid w:val="3FF04570"/>
    <w:rsid w:val="3FF1653A"/>
    <w:rsid w:val="3FF238C0"/>
    <w:rsid w:val="3FF322B2"/>
    <w:rsid w:val="3FF74A26"/>
    <w:rsid w:val="3FF853C0"/>
    <w:rsid w:val="3FFA0F4B"/>
    <w:rsid w:val="40006426"/>
    <w:rsid w:val="40026051"/>
    <w:rsid w:val="4004626D"/>
    <w:rsid w:val="400718BA"/>
    <w:rsid w:val="400E2C48"/>
    <w:rsid w:val="401144E6"/>
    <w:rsid w:val="4012098A"/>
    <w:rsid w:val="401553C3"/>
    <w:rsid w:val="40161AFD"/>
    <w:rsid w:val="4024337A"/>
    <w:rsid w:val="40262E9D"/>
    <w:rsid w:val="402661E4"/>
    <w:rsid w:val="40291830"/>
    <w:rsid w:val="40297A82"/>
    <w:rsid w:val="402B3C59"/>
    <w:rsid w:val="402D439E"/>
    <w:rsid w:val="40330012"/>
    <w:rsid w:val="403326AF"/>
    <w:rsid w:val="40390F52"/>
    <w:rsid w:val="403C7691"/>
    <w:rsid w:val="403E177F"/>
    <w:rsid w:val="40477F08"/>
    <w:rsid w:val="404971E7"/>
    <w:rsid w:val="404B5C4A"/>
    <w:rsid w:val="404E340E"/>
    <w:rsid w:val="404E5291"/>
    <w:rsid w:val="40534AFF"/>
    <w:rsid w:val="405675B0"/>
    <w:rsid w:val="405C03BC"/>
    <w:rsid w:val="405C39B3"/>
    <w:rsid w:val="405E7761"/>
    <w:rsid w:val="405F5252"/>
    <w:rsid w:val="40644F5E"/>
    <w:rsid w:val="40662A84"/>
    <w:rsid w:val="406665E0"/>
    <w:rsid w:val="40672D0C"/>
    <w:rsid w:val="4067554E"/>
    <w:rsid w:val="406B009A"/>
    <w:rsid w:val="406C4E70"/>
    <w:rsid w:val="406D5BC1"/>
    <w:rsid w:val="40730CFD"/>
    <w:rsid w:val="407641A7"/>
    <w:rsid w:val="40775579"/>
    <w:rsid w:val="4079336A"/>
    <w:rsid w:val="407A02DD"/>
    <w:rsid w:val="4081166C"/>
    <w:rsid w:val="40836969"/>
    <w:rsid w:val="40844CB8"/>
    <w:rsid w:val="40867975"/>
    <w:rsid w:val="40867B64"/>
    <w:rsid w:val="40881662"/>
    <w:rsid w:val="4090365D"/>
    <w:rsid w:val="40925627"/>
    <w:rsid w:val="409273D5"/>
    <w:rsid w:val="40A37882"/>
    <w:rsid w:val="40A4535A"/>
    <w:rsid w:val="40A62E81"/>
    <w:rsid w:val="40A67324"/>
    <w:rsid w:val="40A700EF"/>
    <w:rsid w:val="40A935B7"/>
    <w:rsid w:val="40A9471F"/>
    <w:rsid w:val="40AA2C2A"/>
    <w:rsid w:val="40AD2461"/>
    <w:rsid w:val="40B27A77"/>
    <w:rsid w:val="40B85AD5"/>
    <w:rsid w:val="40B97D06"/>
    <w:rsid w:val="40BC0098"/>
    <w:rsid w:val="40BF3393"/>
    <w:rsid w:val="40C11B93"/>
    <w:rsid w:val="40C22F04"/>
    <w:rsid w:val="40C531BA"/>
    <w:rsid w:val="40CF687B"/>
    <w:rsid w:val="40D02FFE"/>
    <w:rsid w:val="40D0614F"/>
    <w:rsid w:val="40D4166E"/>
    <w:rsid w:val="40D640C9"/>
    <w:rsid w:val="40D95004"/>
    <w:rsid w:val="40DC2D46"/>
    <w:rsid w:val="40DE257C"/>
    <w:rsid w:val="40E079E8"/>
    <w:rsid w:val="40E07F22"/>
    <w:rsid w:val="40E2214A"/>
    <w:rsid w:val="40E50169"/>
    <w:rsid w:val="40E5653B"/>
    <w:rsid w:val="40E61FFE"/>
    <w:rsid w:val="40E649D1"/>
    <w:rsid w:val="40E65224"/>
    <w:rsid w:val="40E70482"/>
    <w:rsid w:val="40E83499"/>
    <w:rsid w:val="40E86DD8"/>
    <w:rsid w:val="40E9517F"/>
    <w:rsid w:val="40EA0ABF"/>
    <w:rsid w:val="40EB2F89"/>
    <w:rsid w:val="40EE65D6"/>
    <w:rsid w:val="40EF2A79"/>
    <w:rsid w:val="40F956A6"/>
    <w:rsid w:val="40FB7670"/>
    <w:rsid w:val="40FE0CCC"/>
    <w:rsid w:val="40FE2CBD"/>
    <w:rsid w:val="40FF07E3"/>
    <w:rsid w:val="410302D3"/>
    <w:rsid w:val="41040DD3"/>
    <w:rsid w:val="41061B71"/>
    <w:rsid w:val="410B461F"/>
    <w:rsid w:val="410C362B"/>
    <w:rsid w:val="41107734"/>
    <w:rsid w:val="41110C42"/>
    <w:rsid w:val="41140AA0"/>
    <w:rsid w:val="41186412"/>
    <w:rsid w:val="411C3DE0"/>
    <w:rsid w:val="411E335F"/>
    <w:rsid w:val="41206CC1"/>
    <w:rsid w:val="41234C22"/>
    <w:rsid w:val="41265D6F"/>
    <w:rsid w:val="41281AE7"/>
    <w:rsid w:val="41285F8B"/>
    <w:rsid w:val="41336B41"/>
    <w:rsid w:val="4134048C"/>
    <w:rsid w:val="4135142B"/>
    <w:rsid w:val="41396120"/>
    <w:rsid w:val="413D1A37"/>
    <w:rsid w:val="41405B6B"/>
    <w:rsid w:val="41432F54"/>
    <w:rsid w:val="414F23BB"/>
    <w:rsid w:val="414F52C6"/>
    <w:rsid w:val="415052BD"/>
    <w:rsid w:val="4157061F"/>
    <w:rsid w:val="415E7BFF"/>
    <w:rsid w:val="41605725"/>
    <w:rsid w:val="416B7C26"/>
    <w:rsid w:val="416C40CA"/>
    <w:rsid w:val="416D28BD"/>
    <w:rsid w:val="416F5968"/>
    <w:rsid w:val="4171348E"/>
    <w:rsid w:val="417137CD"/>
    <w:rsid w:val="41727207"/>
    <w:rsid w:val="417411D1"/>
    <w:rsid w:val="417C1E33"/>
    <w:rsid w:val="417E5BAB"/>
    <w:rsid w:val="417F6E70"/>
    <w:rsid w:val="41807E0A"/>
    <w:rsid w:val="4182744A"/>
    <w:rsid w:val="41833FB5"/>
    <w:rsid w:val="41841097"/>
    <w:rsid w:val="41900068"/>
    <w:rsid w:val="4190164C"/>
    <w:rsid w:val="41921B01"/>
    <w:rsid w:val="41941738"/>
    <w:rsid w:val="419451C3"/>
    <w:rsid w:val="41986C6D"/>
    <w:rsid w:val="419D4283"/>
    <w:rsid w:val="419E624E"/>
    <w:rsid w:val="41A05B22"/>
    <w:rsid w:val="41A43864"/>
    <w:rsid w:val="41A66EFE"/>
    <w:rsid w:val="41A956FF"/>
    <w:rsid w:val="41AC44C7"/>
    <w:rsid w:val="41B10C5F"/>
    <w:rsid w:val="41B13830"/>
    <w:rsid w:val="41B216F1"/>
    <w:rsid w:val="41B33AA7"/>
    <w:rsid w:val="41B761E3"/>
    <w:rsid w:val="41BB0BAE"/>
    <w:rsid w:val="41BB295C"/>
    <w:rsid w:val="41BD66D4"/>
    <w:rsid w:val="41BE41FA"/>
    <w:rsid w:val="41C21F3C"/>
    <w:rsid w:val="41C537DA"/>
    <w:rsid w:val="41C55588"/>
    <w:rsid w:val="41C7063E"/>
    <w:rsid w:val="41C71300"/>
    <w:rsid w:val="41C96A18"/>
    <w:rsid w:val="41CE08E1"/>
    <w:rsid w:val="41CF2062"/>
    <w:rsid w:val="41D116D9"/>
    <w:rsid w:val="41D35EF7"/>
    <w:rsid w:val="41D407EF"/>
    <w:rsid w:val="41D61543"/>
    <w:rsid w:val="41D95A67"/>
    <w:rsid w:val="41DA7286"/>
    <w:rsid w:val="41DC5AA5"/>
    <w:rsid w:val="41DC67EC"/>
    <w:rsid w:val="41E023C2"/>
    <w:rsid w:val="41E201F5"/>
    <w:rsid w:val="41E225DE"/>
    <w:rsid w:val="41E2613A"/>
    <w:rsid w:val="41E53E7C"/>
    <w:rsid w:val="41EA1096"/>
    <w:rsid w:val="41EA2CE2"/>
    <w:rsid w:val="41EB049F"/>
    <w:rsid w:val="41F84884"/>
    <w:rsid w:val="42004812"/>
    <w:rsid w:val="42020C6D"/>
    <w:rsid w:val="420460B1"/>
    <w:rsid w:val="420A5691"/>
    <w:rsid w:val="420E33D3"/>
    <w:rsid w:val="420F4A55"/>
    <w:rsid w:val="42106710"/>
    <w:rsid w:val="4211719E"/>
    <w:rsid w:val="421502BE"/>
    <w:rsid w:val="421A58D4"/>
    <w:rsid w:val="421B27D5"/>
    <w:rsid w:val="421B789E"/>
    <w:rsid w:val="421D3616"/>
    <w:rsid w:val="421D66E1"/>
    <w:rsid w:val="42254279"/>
    <w:rsid w:val="42295B17"/>
    <w:rsid w:val="422960BD"/>
    <w:rsid w:val="422A188F"/>
    <w:rsid w:val="422C5607"/>
    <w:rsid w:val="422E137F"/>
    <w:rsid w:val="422E5823"/>
    <w:rsid w:val="42306E93"/>
    <w:rsid w:val="42310E70"/>
    <w:rsid w:val="42332E3A"/>
    <w:rsid w:val="423430DF"/>
    <w:rsid w:val="42352B76"/>
    <w:rsid w:val="423746D8"/>
    <w:rsid w:val="423B3A9C"/>
    <w:rsid w:val="423D7815"/>
    <w:rsid w:val="4242307D"/>
    <w:rsid w:val="4242646B"/>
    <w:rsid w:val="42446DF5"/>
    <w:rsid w:val="424566C9"/>
    <w:rsid w:val="4246491B"/>
    <w:rsid w:val="42470693"/>
    <w:rsid w:val="42501169"/>
    <w:rsid w:val="42576118"/>
    <w:rsid w:val="42576B28"/>
    <w:rsid w:val="42581281"/>
    <w:rsid w:val="425E3619"/>
    <w:rsid w:val="425F3757"/>
    <w:rsid w:val="425F3C2F"/>
    <w:rsid w:val="42602158"/>
    <w:rsid w:val="42637283"/>
    <w:rsid w:val="4268039B"/>
    <w:rsid w:val="4269685C"/>
    <w:rsid w:val="426D634C"/>
    <w:rsid w:val="42703746"/>
    <w:rsid w:val="42707BEA"/>
    <w:rsid w:val="42761CB9"/>
    <w:rsid w:val="427A45C5"/>
    <w:rsid w:val="427B20EB"/>
    <w:rsid w:val="427C168D"/>
    <w:rsid w:val="42802EBB"/>
    <w:rsid w:val="428066E5"/>
    <w:rsid w:val="428A415E"/>
    <w:rsid w:val="428E62C2"/>
    <w:rsid w:val="42982C9D"/>
    <w:rsid w:val="429B7E30"/>
    <w:rsid w:val="429D02B3"/>
    <w:rsid w:val="429F5DD9"/>
    <w:rsid w:val="42A17DA3"/>
    <w:rsid w:val="42A23DBD"/>
    <w:rsid w:val="42A269EF"/>
    <w:rsid w:val="42A45AE6"/>
    <w:rsid w:val="42A55272"/>
    <w:rsid w:val="42A87384"/>
    <w:rsid w:val="42A87AA7"/>
    <w:rsid w:val="42A95244"/>
    <w:rsid w:val="42B1469C"/>
    <w:rsid w:val="42B21C15"/>
    <w:rsid w:val="42B775C7"/>
    <w:rsid w:val="42B86E9B"/>
    <w:rsid w:val="42B91CA2"/>
    <w:rsid w:val="42BA2C13"/>
    <w:rsid w:val="42C02333"/>
    <w:rsid w:val="42C10446"/>
    <w:rsid w:val="42C121F4"/>
    <w:rsid w:val="42C27D1A"/>
    <w:rsid w:val="42C45840"/>
    <w:rsid w:val="42C615B8"/>
    <w:rsid w:val="42C83582"/>
    <w:rsid w:val="42C85330"/>
    <w:rsid w:val="42CD6DEA"/>
    <w:rsid w:val="42D00689"/>
    <w:rsid w:val="42D17381"/>
    <w:rsid w:val="42D57A4D"/>
    <w:rsid w:val="42D7226B"/>
    <w:rsid w:val="42D773EB"/>
    <w:rsid w:val="42DB39F4"/>
    <w:rsid w:val="42DD6902"/>
    <w:rsid w:val="42DE4B54"/>
    <w:rsid w:val="42EA799C"/>
    <w:rsid w:val="42EB63BA"/>
    <w:rsid w:val="42EE4ACA"/>
    <w:rsid w:val="42EF4FB3"/>
    <w:rsid w:val="42F0224E"/>
    <w:rsid w:val="42F73E67"/>
    <w:rsid w:val="42FB3958"/>
    <w:rsid w:val="42FC76D0"/>
    <w:rsid w:val="42FE6109"/>
    <w:rsid w:val="43010842"/>
    <w:rsid w:val="43012B66"/>
    <w:rsid w:val="430343A0"/>
    <w:rsid w:val="430345BA"/>
    <w:rsid w:val="43036D76"/>
    <w:rsid w:val="43065DC3"/>
    <w:rsid w:val="43075176"/>
    <w:rsid w:val="430842D4"/>
    <w:rsid w:val="43086074"/>
    <w:rsid w:val="4309167A"/>
    <w:rsid w:val="430B16C1"/>
    <w:rsid w:val="430B7913"/>
    <w:rsid w:val="430E34A3"/>
    <w:rsid w:val="430F5A1A"/>
    <w:rsid w:val="43120CA1"/>
    <w:rsid w:val="43122677"/>
    <w:rsid w:val="43122A4F"/>
    <w:rsid w:val="43147B68"/>
    <w:rsid w:val="4316634D"/>
    <w:rsid w:val="43193DDE"/>
    <w:rsid w:val="432519BC"/>
    <w:rsid w:val="4326474D"/>
    <w:rsid w:val="43282273"/>
    <w:rsid w:val="432A34CE"/>
    <w:rsid w:val="432D1637"/>
    <w:rsid w:val="432E3BF0"/>
    <w:rsid w:val="432F0B50"/>
    <w:rsid w:val="432F1853"/>
    <w:rsid w:val="4335673E"/>
    <w:rsid w:val="4336776F"/>
    <w:rsid w:val="43367FBF"/>
    <w:rsid w:val="43384391"/>
    <w:rsid w:val="433B01F8"/>
    <w:rsid w:val="433B4404"/>
    <w:rsid w:val="433E731A"/>
    <w:rsid w:val="434150E2"/>
    <w:rsid w:val="43421C8F"/>
    <w:rsid w:val="43430E5B"/>
    <w:rsid w:val="43432C09"/>
    <w:rsid w:val="43467E25"/>
    <w:rsid w:val="434763F5"/>
    <w:rsid w:val="43486471"/>
    <w:rsid w:val="4349660D"/>
    <w:rsid w:val="43496D97"/>
    <w:rsid w:val="43502618"/>
    <w:rsid w:val="43506BFB"/>
    <w:rsid w:val="43525542"/>
    <w:rsid w:val="435766B4"/>
    <w:rsid w:val="435E1725"/>
    <w:rsid w:val="435E3EE6"/>
    <w:rsid w:val="43615785"/>
    <w:rsid w:val="43617533"/>
    <w:rsid w:val="436314FD"/>
    <w:rsid w:val="43633DC5"/>
    <w:rsid w:val="43635059"/>
    <w:rsid w:val="436438EC"/>
    <w:rsid w:val="43686E11"/>
    <w:rsid w:val="436A63E7"/>
    <w:rsid w:val="436B1258"/>
    <w:rsid w:val="436D5ED7"/>
    <w:rsid w:val="436D748A"/>
    <w:rsid w:val="43727992"/>
    <w:rsid w:val="43776D56"/>
    <w:rsid w:val="437A3BE8"/>
    <w:rsid w:val="43817254"/>
    <w:rsid w:val="438374A9"/>
    <w:rsid w:val="43892A2E"/>
    <w:rsid w:val="438B3F4C"/>
    <w:rsid w:val="438B5F16"/>
    <w:rsid w:val="438C4B1A"/>
    <w:rsid w:val="438C7C44"/>
    <w:rsid w:val="438D1DAF"/>
    <w:rsid w:val="438F22F2"/>
    <w:rsid w:val="438F69B2"/>
    <w:rsid w:val="43924F9C"/>
    <w:rsid w:val="43943464"/>
    <w:rsid w:val="43961FBD"/>
    <w:rsid w:val="439D4A0F"/>
    <w:rsid w:val="439E42E3"/>
    <w:rsid w:val="439E624C"/>
    <w:rsid w:val="43A538C3"/>
    <w:rsid w:val="43A63197"/>
    <w:rsid w:val="43A7763B"/>
    <w:rsid w:val="43A86F10"/>
    <w:rsid w:val="43AD6B38"/>
    <w:rsid w:val="43AF7979"/>
    <w:rsid w:val="43B56B0B"/>
    <w:rsid w:val="43B81849"/>
    <w:rsid w:val="43B86202"/>
    <w:rsid w:val="43B9111D"/>
    <w:rsid w:val="43B92ECB"/>
    <w:rsid w:val="43BB4E95"/>
    <w:rsid w:val="43C024AB"/>
    <w:rsid w:val="43C401ED"/>
    <w:rsid w:val="43C4439E"/>
    <w:rsid w:val="43C91A95"/>
    <w:rsid w:val="43CF0940"/>
    <w:rsid w:val="43CF26EE"/>
    <w:rsid w:val="43D30E32"/>
    <w:rsid w:val="43D47D05"/>
    <w:rsid w:val="43D8262B"/>
    <w:rsid w:val="43D9356D"/>
    <w:rsid w:val="43DD12AF"/>
    <w:rsid w:val="43E048FB"/>
    <w:rsid w:val="43E319A7"/>
    <w:rsid w:val="43E53CC0"/>
    <w:rsid w:val="43E55CD4"/>
    <w:rsid w:val="43E60D1F"/>
    <w:rsid w:val="43E761E9"/>
    <w:rsid w:val="43E93065"/>
    <w:rsid w:val="43E94AF5"/>
    <w:rsid w:val="43EA3432"/>
    <w:rsid w:val="43EA58DD"/>
    <w:rsid w:val="43EC504E"/>
    <w:rsid w:val="43ED0DC6"/>
    <w:rsid w:val="43EE526A"/>
    <w:rsid w:val="43EF4B3E"/>
    <w:rsid w:val="43F53F7F"/>
    <w:rsid w:val="43F839F3"/>
    <w:rsid w:val="43FA01AB"/>
    <w:rsid w:val="43FB4D7E"/>
    <w:rsid w:val="43FD725B"/>
    <w:rsid w:val="44004F9E"/>
    <w:rsid w:val="44031621"/>
    <w:rsid w:val="440613BC"/>
    <w:rsid w:val="440B5E1C"/>
    <w:rsid w:val="440C5D17"/>
    <w:rsid w:val="440E1469"/>
    <w:rsid w:val="4410138C"/>
    <w:rsid w:val="4413082D"/>
    <w:rsid w:val="44130E01"/>
    <w:rsid w:val="44136A7F"/>
    <w:rsid w:val="4418738F"/>
    <w:rsid w:val="44191BBB"/>
    <w:rsid w:val="441B1DD7"/>
    <w:rsid w:val="441D78FE"/>
    <w:rsid w:val="441F5424"/>
    <w:rsid w:val="44224F14"/>
    <w:rsid w:val="44240C8C"/>
    <w:rsid w:val="442413AE"/>
    <w:rsid w:val="442944F4"/>
    <w:rsid w:val="442B28C2"/>
    <w:rsid w:val="442E5667"/>
    <w:rsid w:val="44313325"/>
    <w:rsid w:val="443133A9"/>
    <w:rsid w:val="44315157"/>
    <w:rsid w:val="44316F05"/>
    <w:rsid w:val="44337A94"/>
    <w:rsid w:val="443B5FD6"/>
    <w:rsid w:val="443F1622"/>
    <w:rsid w:val="444035EC"/>
    <w:rsid w:val="4440539A"/>
    <w:rsid w:val="44440224"/>
    <w:rsid w:val="44447DBD"/>
    <w:rsid w:val="4445003E"/>
    <w:rsid w:val="44466E54"/>
    <w:rsid w:val="44476729"/>
    <w:rsid w:val="44497F1B"/>
    <w:rsid w:val="444A728B"/>
    <w:rsid w:val="444A7FC7"/>
    <w:rsid w:val="444E7471"/>
    <w:rsid w:val="445256A3"/>
    <w:rsid w:val="4454417F"/>
    <w:rsid w:val="44586B88"/>
    <w:rsid w:val="4463567E"/>
    <w:rsid w:val="446835E6"/>
    <w:rsid w:val="44683D8F"/>
    <w:rsid w:val="446F7A2D"/>
    <w:rsid w:val="44716F15"/>
    <w:rsid w:val="4471712E"/>
    <w:rsid w:val="4473196C"/>
    <w:rsid w:val="44754765"/>
    <w:rsid w:val="44795553"/>
    <w:rsid w:val="447A6AFE"/>
    <w:rsid w:val="447C6181"/>
    <w:rsid w:val="447F4114"/>
    <w:rsid w:val="448654A3"/>
    <w:rsid w:val="448734FB"/>
    <w:rsid w:val="448D4A83"/>
    <w:rsid w:val="44913E48"/>
    <w:rsid w:val="44937BC0"/>
    <w:rsid w:val="449B0822"/>
    <w:rsid w:val="449C4CC6"/>
    <w:rsid w:val="449D0B4D"/>
    <w:rsid w:val="44A03EDE"/>
    <w:rsid w:val="44A65B45"/>
    <w:rsid w:val="44A919BE"/>
    <w:rsid w:val="44AC2A30"/>
    <w:rsid w:val="44B10046"/>
    <w:rsid w:val="44B26298"/>
    <w:rsid w:val="44B30262"/>
    <w:rsid w:val="44BA339E"/>
    <w:rsid w:val="44BB51F7"/>
    <w:rsid w:val="44BD68E4"/>
    <w:rsid w:val="44BF09B5"/>
    <w:rsid w:val="44C074E0"/>
    <w:rsid w:val="44C10289"/>
    <w:rsid w:val="44C164DB"/>
    <w:rsid w:val="44C4113A"/>
    <w:rsid w:val="44CE29A6"/>
    <w:rsid w:val="44D206E8"/>
    <w:rsid w:val="44D42BD3"/>
    <w:rsid w:val="44D501D8"/>
    <w:rsid w:val="44D572F5"/>
    <w:rsid w:val="44D75CFE"/>
    <w:rsid w:val="44D8091B"/>
    <w:rsid w:val="44D8244F"/>
    <w:rsid w:val="44D83825"/>
    <w:rsid w:val="44DA5FB4"/>
    <w:rsid w:val="44DB7AA2"/>
    <w:rsid w:val="44DE708D"/>
    <w:rsid w:val="44E52D55"/>
    <w:rsid w:val="44E73A68"/>
    <w:rsid w:val="44E93C84"/>
    <w:rsid w:val="44EB79FC"/>
    <w:rsid w:val="44EE3048"/>
    <w:rsid w:val="44F00B6E"/>
    <w:rsid w:val="44F06DC0"/>
    <w:rsid w:val="44F22952"/>
    <w:rsid w:val="44F248E6"/>
    <w:rsid w:val="44F543D6"/>
    <w:rsid w:val="44F763A1"/>
    <w:rsid w:val="44FA0FA1"/>
    <w:rsid w:val="44FA379B"/>
    <w:rsid w:val="44FE409C"/>
    <w:rsid w:val="45050DC8"/>
    <w:rsid w:val="45057A3E"/>
    <w:rsid w:val="45065F26"/>
    <w:rsid w:val="450B1E4C"/>
    <w:rsid w:val="450B72BB"/>
    <w:rsid w:val="450E5498"/>
    <w:rsid w:val="450F4AAB"/>
    <w:rsid w:val="45101210"/>
    <w:rsid w:val="45124B0D"/>
    <w:rsid w:val="45140D01"/>
    <w:rsid w:val="451505D5"/>
    <w:rsid w:val="45192EEA"/>
    <w:rsid w:val="451C5E07"/>
    <w:rsid w:val="451D224A"/>
    <w:rsid w:val="451F1453"/>
    <w:rsid w:val="452151CC"/>
    <w:rsid w:val="45230F44"/>
    <w:rsid w:val="4523418D"/>
    <w:rsid w:val="45277812"/>
    <w:rsid w:val="452B712A"/>
    <w:rsid w:val="452D47A4"/>
    <w:rsid w:val="452E1696"/>
    <w:rsid w:val="45356EC9"/>
    <w:rsid w:val="45390B0D"/>
    <w:rsid w:val="453E5D7D"/>
    <w:rsid w:val="45401AF6"/>
    <w:rsid w:val="4540598F"/>
    <w:rsid w:val="454228D8"/>
    <w:rsid w:val="45481CED"/>
    <w:rsid w:val="454B049A"/>
    <w:rsid w:val="454D7CB3"/>
    <w:rsid w:val="454D7D6F"/>
    <w:rsid w:val="45513D03"/>
    <w:rsid w:val="45521829"/>
    <w:rsid w:val="4554734F"/>
    <w:rsid w:val="455530C7"/>
    <w:rsid w:val="45570BED"/>
    <w:rsid w:val="455877CF"/>
    <w:rsid w:val="455C4456"/>
    <w:rsid w:val="45616A75"/>
    <w:rsid w:val="456652D4"/>
    <w:rsid w:val="456A6B72"/>
    <w:rsid w:val="456B4699"/>
    <w:rsid w:val="456F5F37"/>
    <w:rsid w:val="4570743E"/>
    <w:rsid w:val="4574354D"/>
    <w:rsid w:val="45763769"/>
    <w:rsid w:val="457A48DC"/>
    <w:rsid w:val="457A6B98"/>
    <w:rsid w:val="45800144"/>
    <w:rsid w:val="45837C34"/>
    <w:rsid w:val="45857508"/>
    <w:rsid w:val="45903135"/>
    <w:rsid w:val="45921554"/>
    <w:rsid w:val="459260C9"/>
    <w:rsid w:val="45961716"/>
    <w:rsid w:val="45967968"/>
    <w:rsid w:val="45991B64"/>
    <w:rsid w:val="45992FB4"/>
    <w:rsid w:val="459C2AA4"/>
    <w:rsid w:val="459E05CA"/>
    <w:rsid w:val="459E4A6E"/>
    <w:rsid w:val="45A007E6"/>
    <w:rsid w:val="45A02594"/>
    <w:rsid w:val="45A25298"/>
    <w:rsid w:val="45A64168"/>
    <w:rsid w:val="45A858ED"/>
    <w:rsid w:val="45AF4474"/>
    <w:rsid w:val="45AF4585"/>
    <w:rsid w:val="45B73292"/>
    <w:rsid w:val="45B96DC7"/>
    <w:rsid w:val="45C06792"/>
    <w:rsid w:val="45C16A25"/>
    <w:rsid w:val="45C2075D"/>
    <w:rsid w:val="45C269AF"/>
    <w:rsid w:val="45C344D5"/>
    <w:rsid w:val="45C76EB3"/>
    <w:rsid w:val="45CE4118"/>
    <w:rsid w:val="45CF3280"/>
    <w:rsid w:val="45CF69D6"/>
    <w:rsid w:val="45D31B8D"/>
    <w:rsid w:val="45D4223E"/>
    <w:rsid w:val="45D466E2"/>
    <w:rsid w:val="45DD2023"/>
    <w:rsid w:val="45E00BE3"/>
    <w:rsid w:val="45E01D9F"/>
    <w:rsid w:val="45E231A5"/>
    <w:rsid w:val="45E85A95"/>
    <w:rsid w:val="45E85CE9"/>
    <w:rsid w:val="45EC7588"/>
    <w:rsid w:val="45EE1561"/>
    <w:rsid w:val="45F12DF0"/>
    <w:rsid w:val="45F4643C"/>
    <w:rsid w:val="45F60406"/>
    <w:rsid w:val="45F823D0"/>
    <w:rsid w:val="45FC3543"/>
    <w:rsid w:val="46001285"/>
    <w:rsid w:val="4601007B"/>
    <w:rsid w:val="46027484"/>
    <w:rsid w:val="46040D75"/>
    <w:rsid w:val="46054AED"/>
    <w:rsid w:val="46120628"/>
    <w:rsid w:val="46162C19"/>
    <w:rsid w:val="46176A9D"/>
    <w:rsid w:val="46184820"/>
    <w:rsid w:val="46195EA3"/>
    <w:rsid w:val="461E170B"/>
    <w:rsid w:val="4620202C"/>
    <w:rsid w:val="46207231"/>
    <w:rsid w:val="4622744D"/>
    <w:rsid w:val="46276812"/>
    <w:rsid w:val="46284E65"/>
    <w:rsid w:val="46290C6F"/>
    <w:rsid w:val="462927FC"/>
    <w:rsid w:val="4629431C"/>
    <w:rsid w:val="462C02CC"/>
    <w:rsid w:val="462D6116"/>
    <w:rsid w:val="462F6080"/>
    <w:rsid w:val="463351B6"/>
    <w:rsid w:val="4633585C"/>
    <w:rsid w:val="463909CD"/>
    <w:rsid w:val="463A1ECC"/>
    <w:rsid w:val="463C0ED7"/>
    <w:rsid w:val="463D4287"/>
    <w:rsid w:val="463E71C8"/>
    <w:rsid w:val="4642189D"/>
    <w:rsid w:val="464318E0"/>
    <w:rsid w:val="464473C4"/>
    <w:rsid w:val="4645313C"/>
    <w:rsid w:val="46454EEA"/>
    <w:rsid w:val="464949DA"/>
    <w:rsid w:val="464A71CF"/>
    <w:rsid w:val="464C0E10"/>
    <w:rsid w:val="464E5D42"/>
    <w:rsid w:val="464F7B16"/>
    <w:rsid w:val="46532611"/>
    <w:rsid w:val="4654512D"/>
    <w:rsid w:val="465C55F8"/>
    <w:rsid w:val="465E7BAC"/>
    <w:rsid w:val="46601D24"/>
    <w:rsid w:val="466059E3"/>
    <w:rsid w:val="46625A9C"/>
    <w:rsid w:val="46641814"/>
    <w:rsid w:val="466454C4"/>
    <w:rsid w:val="4665733A"/>
    <w:rsid w:val="466873A1"/>
    <w:rsid w:val="466B2BA2"/>
    <w:rsid w:val="466C2E1C"/>
    <w:rsid w:val="4674757D"/>
    <w:rsid w:val="46752090"/>
    <w:rsid w:val="4676111D"/>
    <w:rsid w:val="46790652"/>
    <w:rsid w:val="468120A5"/>
    <w:rsid w:val="468123C6"/>
    <w:rsid w:val="46820877"/>
    <w:rsid w:val="4682613E"/>
    <w:rsid w:val="46841EB6"/>
    <w:rsid w:val="46844A32"/>
    <w:rsid w:val="46866FF9"/>
    <w:rsid w:val="468772B0"/>
    <w:rsid w:val="468A6DA0"/>
    <w:rsid w:val="468B4FF2"/>
    <w:rsid w:val="468C2B19"/>
    <w:rsid w:val="469043B7"/>
    <w:rsid w:val="46942B75"/>
    <w:rsid w:val="46966CED"/>
    <w:rsid w:val="4697221A"/>
    <w:rsid w:val="469A0759"/>
    <w:rsid w:val="469F45FA"/>
    <w:rsid w:val="46A14816"/>
    <w:rsid w:val="46A165C4"/>
    <w:rsid w:val="46A9191C"/>
    <w:rsid w:val="46AB1AC8"/>
    <w:rsid w:val="46AF05B5"/>
    <w:rsid w:val="46BC33FE"/>
    <w:rsid w:val="46BF2EEE"/>
    <w:rsid w:val="46BF4C9C"/>
    <w:rsid w:val="46C04884"/>
    <w:rsid w:val="46CB53EF"/>
    <w:rsid w:val="46CC408A"/>
    <w:rsid w:val="46CE34F7"/>
    <w:rsid w:val="46CF2BFE"/>
    <w:rsid w:val="46D42B86"/>
    <w:rsid w:val="46D86BA4"/>
    <w:rsid w:val="46DC2ABD"/>
    <w:rsid w:val="46DF3C1C"/>
    <w:rsid w:val="46E44703"/>
    <w:rsid w:val="46E464B1"/>
    <w:rsid w:val="46E91A07"/>
    <w:rsid w:val="46EA3A86"/>
    <w:rsid w:val="46EE5581"/>
    <w:rsid w:val="46EE732F"/>
    <w:rsid w:val="46F04E55"/>
    <w:rsid w:val="46F235EB"/>
    <w:rsid w:val="46F82BA4"/>
    <w:rsid w:val="46FC7C9E"/>
    <w:rsid w:val="46FE3A16"/>
    <w:rsid w:val="46FF153C"/>
    <w:rsid w:val="47013507"/>
    <w:rsid w:val="470152B5"/>
    <w:rsid w:val="47022DDB"/>
    <w:rsid w:val="47060B1D"/>
    <w:rsid w:val="4707201C"/>
    <w:rsid w:val="47084895"/>
    <w:rsid w:val="471212E7"/>
    <w:rsid w:val="47125420"/>
    <w:rsid w:val="47130AEF"/>
    <w:rsid w:val="47146CF3"/>
    <w:rsid w:val="471843AC"/>
    <w:rsid w:val="471C4059"/>
    <w:rsid w:val="471F1AEE"/>
    <w:rsid w:val="47226FD9"/>
    <w:rsid w:val="47254F5D"/>
    <w:rsid w:val="47261108"/>
    <w:rsid w:val="472B0583"/>
    <w:rsid w:val="47331309"/>
    <w:rsid w:val="47370C04"/>
    <w:rsid w:val="473D3E13"/>
    <w:rsid w:val="473D4890"/>
    <w:rsid w:val="473E2065"/>
    <w:rsid w:val="47402BAF"/>
    <w:rsid w:val="474358CD"/>
    <w:rsid w:val="474451A1"/>
    <w:rsid w:val="474C0618"/>
    <w:rsid w:val="474C2A71"/>
    <w:rsid w:val="47555600"/>
    <w:rsid w:val="475D7420"/>
    <w:rsid w:val="475E44B5"/>
    <w:rsid w:val="475F2B78"/>
    <w:rsid w:val="47605C51"/>
    <w:rsid w:val="476475F1"/>
    <w:rsid w:val="47653A95"/>
    <w:rsid w:val="47664C23"/>
    <w:rsid w:val="47671669"/>
    <w:rsid w:val="476D46F8"/>
    <w:rsid w:val="47705F96"/>
    <w:rsid w:val="47721D0E"/>
    <w:rsid w:val="47727F60"/>
    <w:rsid w:val="47750645"/>
    <w:rsid w:val="477908C9"/>
    <w:rsid w:val="477912EF"/>
    <w:rsid w:val="477C493B"/>
    <w:rsid w:val="477D4822"/>
    <w:rsid w:val="477F61D9"/>
    <w:rsid w:val="47860C34"/>
    <w:rsid w:val="47893A35"/>
    <w:rsid w:val="47895C90"/>
    <w:rsid w:val="478A52AA"/>
    <w:rsid w:val="478C71BA"/>
    <w:rsid w:val="478F28C0"/>
    <w:rsid w:val="478F6210"/>
    <w:rsid w:val="479003E6"/>
    <w:rsid w:val="47961EA1"/>
    <w:rsid w:val="4799729B"/>
    <w:rsid w:val="47A85975"/>
    <w:rsid w:val="47AB5220"/>
    <w:rsid w:val="47AC209C"/>
    <w:rsid w:val="47AD71EA"/>
    <w:rsid w:val="47AF0274"/>
    <w:rsid w:val="47B07DF0"/>
    <w:rsid w:val="47B265AF"/>
    <w:rsid w:val="47B57E4D"/>
    <w:rsid w:val="47B75973"/>
    <w:rsid w:val="47BE31A6"/>
    <w:rsid w:val="47BF255B"/>
    <w:rsid w:val="47C22C96"/>
    <w:rsid w:val="47C254DE"/>
    <w:rsid w:val="47C30CAB"/>
    <w:rsid w:val="47C36A0E"/>
    <w:rsid w:val="47C36F6E"/>
    <w:rsid w:val="47C730BD"/>
    <w:rsid w:val="47CB7671"/>
    <w:rsid w:val="47D50875"/>
    <w:rsid w:val="47D6229D"/>
    <w:rsid w:val="47D66741"/>
    <w:rsid w:val="47D77DC3"/>
    <w:rsid w:val="47DC5461"/>
    <w:rsid w:val="47DF5BB3"/>
    <w:rsid w:val="47E15039"/>
    <w:rsid w:val="47E26E94"/>
    <w:rsid w:val="47E30E5E"/>
    <w:rsid w:val="47E60EC0"/>
    <w:rsid w:val="47E726FC"/>
    <w:rsid w:val="47E744AA"/>
    <w:rsid w:val="47EB386F"/>
    <w:rsid w:val="47EB46E5"/>
    <w:rsid w:val="47F143D9"/>
    <w:rsid w:val="47F15329"/>
    <w:rsid w:val="47F852E2"/>
    <w:rsid w:val="47F97AC9"/>
    <w:rsid w:val="47FA2D3D"/>
    <w:rsid w:val="47FB7F56"/>
    <w:rsid w:val="47FD6248"/>
    <w:rsid w:val="47FD649B"/>
    <w:rsid w:val="47FE17F4"/>
    <w:rsid w:val="4801747A"/>
    <w:rsid w:val="48021CBC"/>
    <w:rsid w:val="48070F65"/>
    <w:rsid w:val="48084421"/>
    <w:rsid w:val="480C2163"/>
    <w:rsid w:val="480E401A"/>
    <w:rsid w:val="480E463B"/>
    <w:rsid w:val="48106A85"/>
    <w:rsid w:val="481334F1"/>
    <w:rsid w:val="48141018"/>
    <w:rsid w:val="481728B6"/>
    <w:rsid w:val="481B5CDF"/>
    <w:rsid w:val="48204D37"/>
    <w:rsid w:val="48215365"/>
    <w:rsid w:val="48233009"/>
    <w:rsid w:val="482374AD"/>
    <w:rsid w:val="482C45B3"/>
    <w:rsid w:val="482F5920"/>
    <w:rsid w:val="48313978"/>
    <w:rsid w:val="48315726"/>
    <w:rsid w:val="4832149E"/>
    <w:rsid w:val="48382F58"/>
    <w:rsid w:val="483C63FE"/>
    <w:rsid w:val="483D1A09"/>
    <w:rsid w:val="48425B85"/>
    <w:rsid w:val="484418FD"/>
    <w:rsid w:val="484511D1"/>
    <w:rsid w:val="48455675"/>
    <w:rsid w:val="4846562C"/>
    <w:rsid w:val="48474F49"/>
    <w:rsid w:val="484A2C8B"/>
    <w:rsid w:val="484C255F"/>
    <w:rsid w:val="484E5846"/>
    <w:rsid w:val="48535370"/>
    <w:rsid w:val="48552824"/>
    <w:rsid w:val="48577D5B"/>
    <w:rsid w:val="485853A8"/>
    <w:rsid w:val="485C7517"/>
    <w:rsid w:val="485E1720"/>
    <w:rsid w:val="486309AA"/>
    <w:rsid w:val="48651757"/>
    <w:rsid w:val="48651873"/>
    <w:rsid w:val="48671147"/>
    <w:rsid w:val="48693111"/>
    <w:rsid w:val="486C1707"/>
    <w:rsid w:val="486D24D6"/>
    <w:rsid w:val="486D7A57"/>
    <w:rsid w:val="487321E2"/>
    <w:rsid w:val="487F59C2"/>
    <w:rsid w:val="48813632"/>
    <w:rsid w:val="4881611D"/>
    <w:rsid w:val="48822425"/>
    <w:rsid w:val="48846D6F"/>
    <w:rsid w:val="48897310"/>
    <w:rsid w:val="488E2B78"/>
    <w:rsid w:val="488F069E"/>
    <w:rsid w:val="48913A25"/>
    <w:rsid w:val="489567B9"/>
    <w:rsid w:val="489839F7"/>
    <w:rsid w:val="489857A5"/>
    <w:rsid w:val="489932CB"/>
    <w:rsid w:val="489A151D"/>
    <w:rsid w:val="48A028AB"/>
    <w:rsid w:val="48A51C70"/>
    <w:rsid w:val="48A71E8C"/>
    <w:rsid w:val="48A73330"/>
    <w:rsid w:val="48A73C3A"/>
    <w:rsid w:val="48A93F5C"/>
    <w:rsid w:val="48AF2AEE"/>
    <w:rsid w:val="48AF5CE6"/>
    <w:rsid w:val="48B56357"/>
    <w:rsid w:val="48B652C8"/>
    <w:rsid w:val="48BA78E0"/>
    <w:rsid w:val="48BB640F"/>
    <w:rsid w:val="48C20A74"/>
    <w:rsid w:val="48C22822"/>
    <w:rsid w:val="48C26CC5"/>
    <w:rsid w:val="48C7608A"/>
    <w:rsid w:val="48CA65D2"/>
    <w:rsid w:val="48CA7928"/>
    <w:rsid w:val="48CF1315"/>
    <w:rsid w:val="48D76366"/>
    <w:rsid w:val="48DF1625"/>
    <w:rsid w:val="48DF5182"/>
    <w:rsid w:val="48E24C72"/>
    <w:rsid w:val="48E74E4E"/>
    <w:rsid w:val="48EC3D42"/>
    <w:rsid w:val="48F104BF"/>
    <w:rsid w:val="48F21359"/>
    <w:rsid w:val="48F30C2D"/>
    <w:rsid w:val="48FA1700"/>
    <w:rsid w:val="48FA1FBB"/>
    <w:rsid w:val="48FC132D"/>
    <w:rsid w:val="48FE1611"/>
    <w:rsid w:val="490075D3"/>
    <w:rsid w:val="490177EE"/>
    <w:rsid w:val="4904108C"/>
    <w:rsid w:val="49042E3F"/>
    <w:rsid w:val="490B339B"/>
    <w:rsid w:val="490B6678"/>
    <w:rsid w:val="490C7F41"/>
    <w:rsid w:val="491017DF"/>
    <w:rsid w:val="49115557"/>
    <w:rsid w:val="49170DBF"/>
    <w:rsid w:val="491913B5"/>
    <w:rsid w:val="491A7946"/>
    <w:rsid w:val="491C63D6"/>
    <w:rsid w:val="491D5CAA"/>
    <w:rsid w:val="49226CE1"/>
    <w:rsid w:val="49253AEA"/>
    <w:rsid w:val="49267254"/>
    <w:rsid w:val="49283B36"/>
    <w:rsid w:val="49284D7B"/>
    <w:rsid w:val="492B3565"/>
    <w:rsid w:val="492D05E3"/>
    <w:rsid w:val="492E7EB7"/>
    <w:rsid w:val="492F5A3D"/>
    <w:rsid w:val="49310A7D"/>
    <w:rsid w:val="49337ABA"/>
    <w:rsid w:val="49415E3C"/>
    <w:rsid w:val="49425710"/>
    <w:rsid w:val="4944592C"/>
    <w:rsid w:val="494D2A33"/>
    <w:rsid w:val="494E56CC"/>
    <w:rsid w:val="494E5A37"/>
    <w:rsid w:val="49501E4D"/>
    <w:rsid w:val="495042D1"/>
    <w:rsid w:val="4950607F"/>
    <w:rsid w:val="49507E2D"/>
    <w:rsid w:val="49557B3A"/>
    <w:rsid w:val="495711BC"/>
    <w:rsid w:val="4958211B"/>
    <w:rsid w:val="49584F34"/>
    <w:rsid w:val="495913D8"/>
    <w:rsid w:val="495D26A5"/>
    <w:rsid w:val="49606770"/>
    <w:rsid w:val="4963096F"/>
    <w:rsid w:val="49641B2B"/>
    <w:rsid w:val="49650A04"/>
    <w:rsid w:val="49663AF5"/>
    <w:rsid w:val="496658A3"/>
    <w:rsid w:val="496672F0"/>
    <w:rsid w:val="49670780"/>
    <w:rsid w:val="496970DC"/>
    <w:rsid w:val="496C0929"/>
    <w:rsid w:val="4970227E"/>
    <w:rsid w:val="4972249A"/>
    <w:rsid w:val="49780DD0"/>
    <w:rsid w:val="49781705"/>
    <w:rsid w:val="49782212"/>
    <w:rsid w:val="497C7B57"/>
    <w:rsid w:val="497D49F7"/>
    <w:rsid w:val="497F1F6E"/>
    <w:rsid w:val="49831FB1"/>
    <w:rsid w:val="49832EC6"/>
    <w:rsid w:val="4984163B"/>
    <w:rsid w:val="498521CD"/>
    <w:rsid w:val="49867CF3"/>
    <w:rsid w:val="49895E52"/>
    <w:rsid w:val="498A77E3"/>
    <w:rsid w:val="498D2E30"/>
    <w:rsid w:val="498D72D3"/>
    <w:rsid w:val="498F05A1"/>
    <w:rsid w:val="49922602"/>
    <w:rsid w:val="49924CBA"/>
    <w:rsid w:val="49936FA5"/>
    <w:rsid w:val="49942410"/>
    <w:rsid w:val="499441BE"/>
    <w:rsid w:val="49951AC7"/>
    <w:rsid w:val="4996612B"/>
    <w:rsid w:val="49973CAE"/>
    <w:rsid w:val="499C12C5"/>
    <w:rsid w:val="499C3073"/>
    <w:rsid w:val="499C7517"/>
    <w:rsid w:val="499E328F"/>
    <w:rsid w:val="499E6DEB"/>
    <w:rsid w:val="49A560E6"/>
    <w:rsid w:val="49AA1C33"/>
    <w:rsid w:val="49AB59AC"/>
    <w:rsid w:val="49AD702E"/>
    <w:rsid w:val="49AE1931"/>
    <w:rsid w:val="49AF0FF8"/>
    <w:rsid w:val="49B22896"/>
    <w:rsid w:val="49B44AF8"/>
    <w:rsid w:val="49B4660E"/>
    <w:rsid w:val="49B64F3A"/>
    <w:rsid w:val="49B900C8"/>
    <w:rsid w:val="49BE5930"/>
    <w:rsid w:val="49C03205"/>
    <w:rsid w:val="49C25686"/>
    <w:rsid w:val="49C40D2B"/>
    <w:rsid w:val="49C5081B"/>
    <w:rsid w:val="49C600F0"/>
    <w:rsid w:val="49C65380"/>
    <w:rsid w:val="49C83E68"/>
    <w:rsid w:val="49CD5922"/>
    <w:rsid w:val="49CF0436"/>
    <w:rsid w:val="49D15412"/>
    <w:rsid w:val="49D22EF5"/>
    <w:rsid w:val="49D722FD"/>
    <w:rsid w:val="49D870C4"/>
    <w:rsid w:val="49D942C7"/>
    <w:rsid w:val="49D96075"/>
    <w:rsid w:val="49E4596F"/>
    <w:rsid w:val="49E86F45"/>
    <w:rsid w:val="49ED53D0"/>
    <w:rsid w:val="49EE5790"/>
    <w:rsid w:val="49F11610"/>
    <w:rsid w:val="49F27137"/>
    <w:rsid w:val="49F70BF1"/>
    <w:rsid w:val="49FB423D"/>
    <w:rsid w:val="49FD0DD8"/>
    <w:rsid w:val="4A011FA7"/>
    <w:rsid w:val="4A040F20"/>
    <w:rsid w:val="4A0550BC"/>
    <w:rsid w:val="4A062BE2"/>
    <w:rsid w:val="4A070E34"/>
    <w:rsid w:val="4A0A6935"/>
    <w:rsid w:val="4A0B01F8"/>
    <w:rsid w:val="4A0E0B51"/>
    <w:rsid w:val="4A0F0A89"/>
    <w:rsid w:val="4A116313"/>
    <w:rsid w:val="4A121587"/>
    <w:rsid w:val="4A123335"/>
    <w:rsid w:val="4A13323F"/>
    <w:rsid w:val="4A184959"/>
    <w:rsid w:val="4A1B043B"/>
    <w:rsid w:val="4A1B4ADC"/>
    <w:rsid w:val="4A282B58"/>
    <w:rsid w:val="4A284344"/>
    <w:rsid w:val="4A2A68D0"/>
    <w:rsid w:val="4A2D4613"/>
    <w:rsid w:val="4A2F47D8"/>
    <w:rsid w:val="4A312BE8"/>
    <w:rsid w:val="4A3B2059"/>
    <w:rsid w:val="4A3B288C"/>
    <w:rsid w:val="4A3E237C"/>
    <w:rsid w:val="4A3F0422"/>
    <w:rsid w:val="4A443E36"/>
    <w:rsid w:val="4A4556DF"/>
    <w:rsid w:val="4A4A6F73"/>
    <w:rsid w:val="4A507745"/>
    <w:rsid w:val="4A527BD5"/>
    <w:rsid w:val="4A5303DD"/>
    <w:rsid w:val="4A534079"/>
    <w:rsid w:val="4A5B0858"/>
    <w:rsid w:val="4A5C2802"/>
    <w:rsid w:val="4A5E657A"/>
    <w:rsid w:val="4A616136"/>
    <w:rsid w:val="4A62606A"/>
    <w:rsid w:val="4A655B5A"/>
    <w:rsid w:val="4A6D4E4E"/>
    <w:rsid w:val="4A703C48"/>
    <w:rsid w:val="4A724CCD"/>
    <w:rsid w:val="4A743FEF"/>
    <w:rsid w:val="4A761A83"/>
    <w:rsid w:val="4A7E09CA"/>
    <w:rsid w:val="4A7E43F7"/>
    <w:rsid w:val="4A884BA4"/>
    <w:rsid w:val="4A89158D"/>
    <w:rsid w:val="4A8B4D94"/>
    <w:rsid w:val="4A8B61AB"/>
    <w:rsid w:val="4A8D1C42"/>
    <w:rsid w:val="4A8E6E5F"/>
    <w:rsid w:val="4A8F7895"/>
    <w:rsid w:val="4A8F7A4B"/>
    <w:rsid w:val="4A924C57"/>
    <w:rsid w:val="4A965D14"/>
    <w:rsid w:val="4A966F56"/>
    <w:rsid w:val="4A9A1CA8"/>
    <w:rsid w:val="4A9B5A20"/>
    <w:rsid w:val="4A9C665C"/>
    <w:rsid w:val="4A9E5A9A"/>
    <w:rsid w:val="4A9F5C76"/>
    <w:rsid w:val="4AA523FB"/>
    <w:rsid w:val="4AA541A9"/>
    <w:rsid w:val="4AAB2ED2"/>
    <w:rsid w:val="4AAC19DB"/>
    <w:rsid w:val="4AAC5537"/>
    <w:rsid w:val="4AAD089E"/>
    <w:rsid w:val="4AAD305D"/>
    <w:rsid w:val="4AAE12AF"/>
    <w:rsid w:val="4AAE6EB3"/>
    <w:rsid w:val="4AAF6DD6"/>
    <w:rsid w:val="4AB12B4E"/>
    <w:rsid w:val="4AB56AE2"/>
    <w:rsid w:val="4AB60164"/>
    <w:rsid w:val="4AB8212E"/>
    <w:rsid w:val="4AB9585E"/>
    <w:rsid w:val="4ABB39CC"/>
    <w:rsid w:val="4ABD353D"/>
    <w:rsid w:val="4ABD6EB3"/>
    <w:rsid w:val="4AC76815"/>
    <w:rsid w:val="4AC8753E"/>
    <w:rsid w:val="4AD01BAC"/>
    <w:rsid w:val="4AD122BB"/>
    <w:rsid w:val="4AD14F9E"/>
    <w:rsid w:val="4AD40B96"/>
    <w:rsid w:val="4AD4683C"/>
    <w:rsid w:val="4AD819BF"/>
    <w:rsid w:val="4ADA5E4C"/>
    <w:rsid w:val="4ADB5E1D"/>
    <w:rsid w:val="4ADD1B95"/>
    <w:rsid w:val="4AE57CAA"/>
    <w:rsid w:val="4AE647F7"/>
    <w:rsid w:val="4AE64EED"/>
    <w:rsid w:val="4AE6599B"/>
    <w:rsid w:val="4AE91781"/>
    <w:rsid w:val="4AED28B9"/>
    <w:rsid w:val="4AEE5122"/>
    <w:rsid w:val="4AEF3676"/>
    <w:rsid w:val="4AF07B1A"/>
    <w:rsid w:val="4AF1388B"/>
    <w:rsid w:val="4AF3760A"/>
    <w:rsid w:val="4AF869CF"/>
    <w:rsid w:val="4AFA0FC5"/>
    <w:rsid w:val="4AFB3151"/>
    <w:rsid w:val="4B005883"/>
    <w:rsid w:val="4B042DBA"/>
    <w:rsid w:val="4B0610EB"/>
    <w:rsid w:val="4B061B62"/>
    <w:rsid w:val="4B0B6702"/>
    <w:rsid w:val="4B0C247A"/>
    <w:rsid w:val="4B0C7423"/>
    <w:rsid w:val="4B0F4DAB"/>
    <w:rsid w:val="4B107101"/>
    <w:rsid w:val="4B157580"/>
    <w:rsid w:val="4B1650A7"/>
    <w:rsid w:val="4B1B1D74"/>
    <w:rsid w:val="4B1C090F"/>
    <w:rsid w:val="4B1D3C5D"/>
    <w:rsid w:val="4B1D4149"/>
    <w:rsid w:val="4B1F4421"/>
    <w:rsid w:val="4B2358AF"/>
    <w:rsid w:val="4B26183A"/>
    <w:rsid w:val="4B2772B4"/>
    <w:rsid w:val="4B284043"/>
    <w:rsid w:val="4B297859"/>
    <w:rsid w:val="4B2D07D6"/>
    <w:rsid w:val="4B3551B7"/>
    <w:rsid w:val="4B3C4B0D"/>
    <w:rsid w:val="4B3C51D2"/>
    <w:rsid w:val="4B3D2633"/>
    <w:rsid w:val="4B425E9C"/>
    <w:rsid w:val="4B49722A"/>
    <w:rsid w:val="4B4D0F4A"/>
    <w:rsid w:val="4B4F092F"/>
    <w:rsid w:val="4B59174A"/>
    <w:rsid w:val="4B642058"/>
    <w:rsid w:val="4B663938"/>
    <w:rsid w:val="4B66503F"/>
    <w:rsid w:val="4B667AAC"/>
    <w:rsid w:val="4B6978CC"/>
    <w:rsid w:val="4B6B7278"/>
    <w:rsid w:val="4B6C4CC7"/>
    <w:rsid w:val="4B6C5CBB"/>
    <w:rsid w:val="4B75001F"/>
    <w:rsid w:val="4B75277B"/>
    <w:rsid w:val="4B7D226C"/>
    <w:rsid w:val="4B83098E"/>
    <w:rsid w:val="4B8464B4"/>
    <w:rsid w:val="4B857DCA"/>
    <w:rsid w:val="4B8D5369"/>
    <w:rsid w:val="4B904E59"/>
    <w:rsid w:val="4B906C07"/>
    <w:rsid w:val="4B92472D"/>
    <w:rsid w:val="4B9A2B8C"/>
    <w:rsid w:val="4BA252A4"/>
    <w:rsid w:val="4BA34B8C"/>
    <w:rsid w:val="4BA42428"/>
    <w:rsid w:val="4BA62E09"/>
    <w:rsid w:val="4BA70A4D"/>
    <w:rsid w:val="4BA803F5"/>
    <w:rsid w:val="4BAC24D4"/>
    <w:rsid w:val="4BAD1567"/>
    <w:rsid w:val="4BAF0B9A"/>
    <w:rsid w:val="4BB52B12"/>
    <w:rsid w:val="4BB74E1E"/>
    <w:rsid w:val="4BB75C0E"/>
    <w:rsid w:val="4BB9041C"/>
    <w:rsid w:val="4BBB2B05"/>
    <w:rsid w:val="4BBE19C6"/>
    <w:rsid w:val="4BBF3760"/>
    <w:rsid w:val="4BBF74EC"/>
    <w:rsid w:val="4BC254FD"/>
    <w:rsid w:val="4BC4785E"/>
    <w:rsid w:val="4BC863A1"/>
    <w:rsid w:val="4BC92119"/>
    <w:rsid w:val="4BCB0DDD"/>
    <w:rsid w:val="4BD14E50"/>
    <w:rsid w:val="4BD25472"/>
    <w:rsid w:val="4BD56D10"/>
    <w:rsid w:val="4BD66E16"/>
    <w:rsid w:val="4BDC3BFA"/>
    <w:rsid w:val="4BDC48DF"/>
    <w:rsid w:val="4BE37909"/>
    <w:rsid w:val="4BE62CCB"/>
    <w:rsid w:val="4BE80006"/>
    <w:rsid w:val="4BE83F05"/>
    <w:rsid w:val="4BEB6E80"/>
    <w:rsid w:val="4BF01701"/>
    <w:rsid w:val="4BF61160"/>
    <w:rsid w:val="4BFC604B"/>
    <w:rsid w:val="4C03562B"/>
    <w:rsid w:val="4C0678FE"/>
    <w:rsid w:val="4C0875E3"/>
    <w:rsid w:val="4C0A0DA0"/>
    <w:rsid w:val="4C0D21DE"/>
    <w:rsid w:val="4C0F5D7E"/>
    <w:rsid w:val="4C0F7B6C"/>
    <w:rsid w:val="4C100A4F"/>
    <w:rsid w:val="4C104BA4"/>
    <w:rsid w:val="4C137FB6"/>
    <w:rsid w:val="4C150FBA"/>
    <w:rsid w:val="4C166E79"/>
    <w:rsid w:val="4C194E4E"/>
    <w:rsid w:val="4C1B2975"/>
    <w:rsid w:val="4C1C66ED"/>
    <w:rsid w:val="4C1E06B7"/>
    <w:rsid w:val="4C2061DD"/>
    <w:rsid w:val="4C2741B0"/>
    <w:rsid w:val="4C283AF7"/>
    <w:rsid w:val="4C2C4B82"/>
    <w:rsid w:val="4C303F46"/>
    <w:rsid w:val="4C3103EA"/>
    <w:rsid w:val="4C3351E5"/>
    <w:rsid w:val="4C3434D6"/>
    <w:rsid w:val="4C35155C"/>
    <w:rsid w:val="4C3677AE"/>
    <w:rsid w:val="4C387642"/>
    <w:rsid w:val="4C392DFB"/>
    <w:rsid w:val="4C39342B"/>
    <w:rsid w:val="4C3B0F34"/>
    <w:rsid w:val="4C3D6D8F"/>
    <w:rsid w:val="4C3E6663"/>
    <w:rsid w:val="4C3F0F6F"/>
    <w:rsid w:val="4C431ECB"/>
    <w:rsid w:val="4C453E95"/>
    <w:rsid w:val="4C4A1C3A"/>
    <w:rsid w:val="4C4B0D80"/>
    <w:rsid w:val="4C520360"/>
    <w:rsid w:val="4C5365B2"/>
    <w:rsid w:val="4C545E87"/>
    <w:rsid w:val="4C575A19"/>
    <w:rsid w:val="4C577725"/>
    <w:rsid w:val="4C5A3A1A"/>
    <w:rsid w:val="4C5C4FFF"/>
    <w:rsid w:val="4C5E4F57"/>
    <w:rsid w:val="4C5F6E8B"/>
    <w:rsid w:val="4C675BBA"/>
    <w:rsid w:val="4C686F6E"/>
    <w:rsid w:val="4C6A0213"/>
    <w:rsid w:val="4C6B4F7E"/>
    <w:rsid w:val="4C6C31D0"/>
    <w:rsid w:val="4C6F0F12"/>
    <w:rsid w:val="4C7D7030"/>
    <w:rsid w:val="4C7E1155"/>
    <w:rsid w:val="4C7E2F03"/>
    <w:rsid w:val="4C87000A"/>
    <w:rsid w:val="4C92075D"/>
    <w:rsid w:val="4C92366E"/>
    <w:rsid w:val="4C932DEE"/>
    <w:rsid w:val="4C9346E8"/>
    <w:rsid w:val="4C991AEB"/>
    <w:rsid w:val="4C9D782D"/>
    <w:rsid w:val="4C9E2214"/>
    <w:rsid w:val="4CA244EB"/>
    <w:rsid w:val="4CA30BBC"/>
    <w:rsid w:val="4CA87F80"/>
    <w:rsid w:val="4CAF7561"/>
    <w:rsid w:val="4CB22BAD"/>
    <w:rsid w:val="4CB444FD"/>
    <w:rsid w:val="4CB61D51"/>
    <w:rsid w:val="4CB66B41"/>
    <w:rsid w:val="4CB74D5C"/>
    <w:rsid w:val="4CBE5DDA"/>
    <w:rsid w:val="4CBE77A4"/>
    <w:rsid w:val="4CC0176E"/>
    <w:rsid w:val="4CCD0D31"/>
    <w:rsid w:val="4CCD1378"/>
    <w:rsid w:val="4CCE5C39"/>
    <w:rsid w:val="4CD11285"/>
    <w:rsid w:val="4CD174D7"/>
    <w:rsid w:val="4CD3324F"/>
    <w:rsid w:val="4CD34FFD"/>
    <w:rsid w:val="4CD9396C"/>
    <w:rsid w:val="4CDB5F44"/>
    <w:rsid w:val="4CDD5E7C"/>
    <w:rsid w:val="4CDE79B4"/>
    <w:rsid w:val="4CE10AA7"/>
    <w:rsid w:val="4CE3276B"/>
    <w:rsid w:val="4CE36BE2"/>
    <w:rsid w:val="4CEB4DF7"/>
    <w:rsid w:val="4CEE0089"/>
    <w:rsid w:val="4CEE1E37"/>
    <w:rsid w:val="4CEE389A"/>
    <w:rsid w:val="4CEF795D"/>
    <w:rsid w:val="4CF41083"/>
    <w:rsid w:val="4CF51418"/>
    <w:rsid w:val="4CF60CEC"/>
    <w:rsid w:val="4CF66F3E"/>
    <w:rsid w:val="4CF80F08"/>
    <w:rsid w:val="4CF84A64"/>
    <w:rsid w:val="4CFA4C80"/>
    <w:rsid w:val="4CFA7DA5"/>
    <w:rsid w:val="4D035C4F"/>
    <w:rsid w:val="4D0478AD"/>
    <w:rsid w:val="4D072E8F"/>
    <w:rsid w:val="4D0A2F51"/>
    <w:rsid w:val="4D146137"/>
    <w:rsid w:val="4D153868"/>
    <w:rsid w:val="4D155616"/>
    <w:rsid w:val="4D16138E"/>
    <w:rsid w:val="4D16313C"/>
    <w:rsid w:val="4D1B69A4"/>
    <w:rsid w:val="4D1D2807"/>
    <w:rsid w:val="4D1D34E8"/>
    <w:rsid w:val="4D214D9A"/>
    <w:rsid w:val="4D221F2F"/>
    <w:rsid w:val="4D223AB7"/>
    <w:rsid w:val="4D241CFD"/>
    <w:rsid w:val="4D292E6F"/>
    <w:rsid w:val="4D297313"/>
    <w:rsid w:val="4D3006A2"/>
    <w:rsid w:val="4D30497A"/>
    <w:rsid w:val="4D32373D"/>
    <w:rsid w:val="4D333CEE"/>
    <w:rsid w:val="4D39639D"/>
    <w:rsid w:val="4D3A7F05"/>
    <w:rsid w:val="4D3D322C"/>
    <w:rsid w:val="4D422183"/>
    <w:rsid w:val="4D471547"/>
    <w:rsid w:val="4D4952BF"/>
    <w:rsid w:val="4D4A301A"/>
    <w:rsid w:val="4D4A58AF"/>
    <w:rsid w:val="4D4A5E9F"/>
    <w:rsid w:val="4D510618"/>
    <w:rsid w:val="4D523F6D"/>
    <w:rsid w:val="4D52686A"/>
    <w:rsid w:val="4D533B95"/>
    <w:rsid w:val="4D5540DB"/>
    <w:rsid w:val="4D5D0D6B"/>
    <w:rsid w:val="4D5D3C89"/>
    <w:rsid w:val="4D5D4864"/>
    <w:rsid w:val="4D5D520F"/>
    <w:rsid w:val="4D6245D3"/>
    <w:rsid w:val="4D695962"/>
    <w:rsid w:val="4D6C2FA6"/>
    <w:rsid w:val="4D6D36A4"/>
    <w:rsid w:val="4D6D5452"/>
    <w:rsid w:val="4D7041EF"/>
    <w:rsid w:val="4D722A68"/>
    <w:rsid w:val="4D746D8D"/>
    <w:rsid w:val="4D775EB5"/>
    <w:rsid w:val="4D832F5F"/>
    <w:rsid w:val="4D844549"/>
    <w:rsid w:val="4D90747D"/>
    <w:rsid w:val="4D926C66"/>
    <w:rsid w:val="4D9329DF"/>
    <w:rsid w:val="4D95296E"/>
    <w:rsid w:val="4D987CD5"/>
    <w:rsid w:val="4D9D560B"/>
    <w:rsid w:val="4DA04ECB"/>
    <w:rsid w:val="4DA30E74"/>
    <w:rsid w:val="4DA43387"/>
    <w:rsid w:val="4DA4576E"/>
    <w:rsid w:val="4DA62712"/>
    <w:rsid w:val="4DA76E3D"/>
    <w:rsid w:val="4DAC584E"/>
    <w:rsid w:val="4DB017E2"/>
    <w:rsid w:val="4DB03590"/>
    <w:rsid w:val="4DB14EDF"/>
    <w:rsid w:val="4DB50BA7"/>
    <w:rsid w:val="4DB90697"/>
    <w:rsid w:val="4DBA440F"/>
    <w:rsid w:val="4DBF44B5"/>
    <w:rsid w:val="4DC162E8"/>
    <w:rsid w:val="4DC40DEA"/>
    <w:rsid w:val="4DC476BF"/>
    <w:rsid w:val="4DCA15C8"/>
    <w:rsid w:val="4DCA56DA"/>
    <w:rsid w:val="4DCB03CA"/>
    <w:rsid w:val="4DD41CB6"/>
    <w:rsid w:val="4DD47110"/>
    <w:rsid w:val="4DD54DA5"/>
    <w:rsid w:val="4DD6644D"/>
    <w:rsid w:val="4DD74FC1"/>
    <w:rsid w:val="4DDC25D7"/>
    <w:rsid w:val="4DDD23C7"/>
    <w:rsid w:val="4DDD3C5A"/>
    <w:rsid w:val="4DDE1EAC"/>
    <w:rsid w:val="4DE17BEE"/>
    <w:rsid w:val="4DE26C6C"/>
    <w:rsid w:val="4DE437AE"/>
    <w:rsid w:val="4DE52A78"/>
    <w:rsid w:val="4DE66FB2"/>
    <w:rsid w:val="4DE80F7C"/>
    <w:rsid w:val="4DE818F3"/>
    <w:rsid w:val="4DE82D2A"/>
    <w:rsid w:val="4DEB6377"/>
    <w:rsid w:val="4DEE5E67"/>
    <w:rsid w:val="4DEF230B"/>
    <w:rsid w:val="4DF01E53"/>
    <w:rsid w:val="4DF06083"/>
    <w:rsid w:val="4DF64584"/>
    <w:rsid w:val="4DF713DC"/>
    <w:rsid w:val="4DFD69EC"/>
    <w:rsid w:val="4E010FD0"/>
    <w:rsid w:val="4E035DB6"/>
    <w:rsid w:val="4E0538DC"/>
    <w:rsid w:val="4E065B01"/>
    <w:rsid w:val="4E094A4F"/>
    <w:rsid w:val="4E0B01FD"/>
    <w:rsid w:val="4E0D2791"/>
    <w:rsid w:val="4E0F686C"/>
    <w:rsid w:val="4E105DDD"/>
    <w:rsid w:val="4E1753BE"/>
    <w:rsid w:val="4E192EE4"/>
    <w:rsid w:val="4E197388"/>
    <w:rsid w:val="4E1A2E1C"/>
    <w:rsid w:val="4E1B3100"/>
    <w:rsid w:val="4E1D3A41"/>
    <w:rsid w:val="4E1E04FA"/>
    <w:rsid w:val="4E223559"/>
    <w:rsid w:val="4E244735"/>
    <w:rsid w:val="4E2A50F1"/>
    <w:rsid w:val="4E2B2C17"/>
    <w:rsid w:val="4E2F0959"/>
    <w:rsid w:val="4E375A60"/>
    <w:rsid w:val="4E3B7B85"/>
    <w:rsid w:val="4E3D0EFA"/>
    <w:rsid w:val="4E3E1419"/>
    <w:rsid w:val="4E3F66C2"/>
    <w:rsid w:val="4E420DB7"/>
    <w:rsid w:val="4E423A35"/>
    <w:rsid w:val="4E430BFC"/>
    <w:rsid w:val="4E451F2B"/>
    <w:rsid w:val="4E467A51"/>
    <w:rsid w:val="4E481A1B"/>
    <w:rsid w:val="4E485577"/>
    <w:rsid w:val="4E4869FD"/>
    <w:rsid w:val="4E4F4B24"/>
    <w:rsid w:val="4E4F6C02"/>
    <w:rsid w:val="4E50267E"/>
    <w:rsid w:val="4E537071"/>
    <w:rsid w:val="4E5A72CE"/>
    <w:rsid w:val="4E5E123E"/>
    <w:rsid w:val="4E65437B"/>
    <w:rsid w:val="4E6600F3"/>
    <w:rsid w:val="4E71109E"/>
    <w:rsid w:val="4E720846"/>
    <w:rsid w:val="4E766588"/>
    <w:rsid w:val="4E796F6C"/>
    <w:rsid w:val="4E7D5BAF"/>
    <w:rsid w:val="4E7D7E0E"/>
    <w:rsid w:val="4E810A89"/>
    <w:rsid w:val="4E84293E"/>
    <w:rsid w:val="4E875D72"/>
    <w:rsid w:val="4E885237"/>
    <w:rsid w:val="4E8C18D5"/>
    <w:rsid w:val="4E8C7B5A"/>
    <w:rsid w:val="4E8D5680"/>
    <w:rsid w:val="4E8F13F8"/>
    <w:rsid w:val="4E8F764A"/>
    <w:rsid w:val="4E936D6F"/>
    <w:rsid w:val="4E9459CA"/>
    <w:rsid w:val="4E964534"/>
    <w:rsid w:val="4E966694"/>
    <w:rsid w:val="4E984750"/>
    <w:rsid w:val="4E991E3C"/>
    <w:rsid w:val="4E9A51BD"/>
    <w:rsid w:val="4EA03605"/>
    <w:rsid w:val="4EA2737D"/>
    <w:rsid w:val="4EA31A34"/>
    <w:rsid w:val="4EA40B31"/>
    <w:rsid w:val="4EA73475"/>
    <w:rsid w:val="4EA74993"/>
    <w:rsid w:val="4EAA6232"/>
    <w:rsid w:val="4EAB3C8B"/>
    <w:rsid w:val="4EAD5D22"/>
    <w:rsid w:val="4EB12FE5"/>
    <w:rsid w:val="4EBB21ED"/>
    <w:rsid w:val="4EBE1CDD"/>
    <w:rsid w:val="4EC36941"/>
    <w:rsid w:val="4EC85307"/>
    <w:rsid w:val="4ECB0E82"/>
    <w:rsid w:val="4ECC264C"/>
    <w:rsid w:val="4ECD4EA0"/>
    <w:rsid w:val="4ECE29B0"/>
    <w:rsid w:val="4ED02860"/>
    <w:rsid w:val="4ED84B4D"/>
    <w:rsid w:val="4EDA048A"/>
    <w:rsid w:val="4EDB63EB"/>
    <w:rsid w:val="4EDE5EDB"/>
    <w:rsid w:val="4EDE7C89"/>
    <w:rsid w:val="4EE02A51"/>
    <w:rsid w:val="4EE03A01"/>
    <w:rsid w:val="4EE259CC"/>
    <w:rsid w:val="4EE554BC"/>
    <w:rsid w:val="4EEA0FE2"/>
    <w:rsid w:val="4EEA7809"/>
    <w:rsid w:val="4EEC4EA9"/>
    <w:rsid w:val="4EEF00E8"/>
    <w:rsid w:val="4EEF633A"/>
    <w:rsid w:val="4EF37BD9"/>
    <w:rsid w:val="4EF94AC3"/>
    <w:rsid w:val="4EFD0A57"/>
    <w:rsid w:val="4EFD45B3"/>
    <w:rsid w:val="4EFE6F6C"/>
    <w:rsid w:val="4EFF790F"/>
    <w:rsid w:val="4F02066C"/>
    <w:rsid w:val="4F025EB9"/>
    <w:rsid w:val="4F035942"/>
    <w:rsid w:val="4F041BE5"/>
    <w:rsid w:val="4F0B3174"/>
    <w:rsid w:val="4F0C0C9A"/>
    <w:rsid w:val="4F0D7790"/>
    <w:rsid w:val="4F0F2043"/>
    <w:rsid w:val="4F1426B9"/>
    <w:rsid w:val="4F155DA1"/>
    <w:rsid w:val="4F18763F"/>
    <w:rsid w:val="4F192763"/>
    <w:rsid w:val="4F195165"/>
    <w:rsid w:val="4F1C27F2"/>
    <w:rsid w:val="4F1C2CD3"/>
    <w:rsid w:val="4F1D2EA8"/>
    <w:rsid w:val="4F1E452A"/>
    <w:rsid w:val="4F1F09CE"/>
    <w:rsid w:val="4F204746"/>
    <w:rsid w:val="4F241C7C"/>
    <w:rsid w:val="4F245FE4"/>
    <w:rsid w:val="4F29184C"/>
    <w:rsid w:val="4F2C2F9E"/>
    <w:rsid w:val="4F2C717A"/>
    <w:rsid w:val="4F3337DE"/>
    <w:rsid w:val="4F356509"/>
    <w:rsid w:val="4F38383D"/>
    <w:rsid w:val="4F3860E4"/>
    <w:rsid w:val="4F3A3E1C"/>
    <w:rsid w:val="4F3D0E54"/>
    <w:rsid w:val="4F3D2C02"/>
    <w:rsid w:val="4F3F2E1E"/>
    <w:rsid w:val="4F3F7AAA"/>
    <w:rsid w:val="4F45114D"/>
    <w:rsid w:val="4F455F5A"/>
    <w:rsid w:val="4F4C3894"/>
    <w:rsid w:val="4F4F0F4A"/>
    <w:rsid w:val="4F5368C9"/>
    <w:rsid w:val="4F5543EF"/>
    <w:rsid w:val="4F5D3BF7"/>
    <w:rsid w:val="4F5F5722"/>
    <w:rsid w:val="4F624D5E"/>
    <w:rsid w:val="4F642884"/>
    <w:rsid w:val="4F675ED1"/>
    <w:rsid w:val="4F6B2D38"/>
    <w:rsid w:val="4F6D64E5"/>
    <w:rsid w:val="4F6E0EFB"/>
    <w:rsid w:val="4F717FEA"/>
    <w:rsid w:val="4F730D1A"/>
    <w:rsid w:val="4F734876"/>
    <w:rsid w:val="4F7F76BE"/>
    <w:rsid w:val="4F830E7C"/>
    <w:rsid w:val="4F8310B3"/>
    <w:rsid w:val="4F8346C5"/>
    <w:rsid w:val="4F8855B2"/>
    <w:rsid w:val="4F8C5937"/>
    <w:rsid w:val="4F8E0154"/>
    <w:rsid w:val="4F8E5013"/>
    <w:rsid w:val="4F9111A0"/>
    <w:rsid w:val="4F913C9E"/>
    <w:rsid w:val="4F934F18"/>
    <w:rsid w:val="4F950C90"/>
    <w:rsid w:val="4F9667B6"/>
    <w:rsid w:val="4F98252E"/>
    <w:rsid w:val="4F9A44F8"/>
    <w:rsid w:val="4FA17635"/>
    <w:rsid w:val="4FA26AC7"/>
    <w:rsid w:val="4FA872FA"/>
    <w:rsid w:val="4FA964E9"/>
    <w:rsid w:val="4FA97FC8"/>
    <w:rsid w:val="4FAA30D4"/>
    <w:rsid w:val="4FAB400F"/>
    <w:rsid w:val="4FAC7D88"/>
    <w:rsid w:val="4FAD5B31"/>
    <w:rsid w:val="4FB251FC"/>
    <w:rsid w:val="4FB530E0"/>
    <w:rsid w:val="4FB54E8E"/>
    <w:rsid w:val="4FB749C0"/>
    <w:rsid w:val="4FB8497E"/>
    <w:rsid w:val="4FB858C2"/>
    <w:rsid w:val="4FBD3D43"/>
    <w:rsid w:val="4FBE01E7"/>
    <w:rsid w:val="4FBF311C"/>
    <w:rsid w:val="4FC13833"/>
    <w:rsid w:val="4FC4182D"/>
    <w:rsid w:val="4FC43323"/>
    <w:rsid w:val="4FC60E49"/>
    <w:rsid w:val="4FC67D34"/>
    <w:rsid w:val="4FC74BC1"/>
    <w:rsid w:val="4FC82E13"/>
    <w:rsid w:val="4FCB2904"/>
    <w:rsid w:val="4FCB46B2"/>
    <w:rsid w:val="4FD3640A"/>
    <w:rsid w:val="4FD41AF8"/>
    <w:rsid w:val="4FD55530"/>
    <w:rsid w:val="4FD60D23"/>
    <w:rsid w:val="4FD73056"/>
    <w:rsid w:val="4FDF63AF"/>
    <w:rsid w:val="4FE15C83"/>
    <w:rsid w:val="4FE237A9"/>
    <w:rsid w:val="4FE37C4D"/>
    <w:rsid w:val="4FE4320D"/>
    <w:rsid w:val="4FE52ABE"/>
    <w:rsid w:val="4FE87012"/>
    <w:rsid w:val="4FE92D8A"/>
    <w:rsid w:val="4FEA79F2"/>
    <w:rsid w:val="4FEC7A1A"/>
    <w:rsid w:val="4FF576E3"/>
    <w:rsid w:val="4FF7345F"/>
    <w:rsid w:val="4FF83D4A"/>
    <w:rsid w:val="50011E81"/>
    <w:rsid w:val="50065646"/>
    <w:rsid w:val="500B7187"/>
    <w:rsid w:val="500F0A42"/>
    <w:rsid w:val="502142D2"/>
    <w:rsid w:val="5023004A"/>
    <w:rsid w:val="502344EE"/>
    <w:rsid w:val="502B33A2"/>
    <w:rsid w:val="502D0EC8"/>
    <w:rsid w:val="502F2E92"/>
    <w:rsid w:val="5031482D"/>
    <w:rsid w:val="50324731"/>
    <w:rsid w:val="5039786D"/>
    <w:rsid w:val="503A35E5"/>
    <w:rsid w:val="503D5EB6"/>
    <w:rsid w:val="50422116"/>
    <w:rsid w:val="50485D02"/>
    <w:rsid w:val="50487AB0"/>
    <w:rsid w:val="504B57F2"/>
    <w:rsid w:val="504B75A0"/>
    <w:rsid w:val="504E1EB7"/>
    <w:rsid w:val="504F41A8"/>
    <w:rsid w:val="5052092F"/>
    <w:rsid w:val="50546455"/>
    <w:rsid w:val="505521CD"/>
    <w:rsid w:val="505622BB"/>
    <w:rsid w:val="50566671"/>
    <w:rsid w:val="505A5A36"/>
    <w:rsid w:val="5064622D"/>
    <w:rsid w:val="506568B4"/>
    <w:rsid w:val="506863A4"/>
    <w:rsid w:val="50691DC3"/>
    <w:rsid w:val="506F328F"/>
    <w:rsid w:val="506F403E"/>
    <w:rsid w:val="507054A4"/>
    <w:rsid w:val="507408A5"/>
    <w:rsid w:val="50771731"/>
    <w:rsid w:val="50772144"/>
    <w:rsid w:val="5077665D"/>
    <w:rsid w:val="50792360"/>
    <w:rsid w:val="507928A6"/>
    <w:rsid w:val="5079410E"/>
    <w:rsid w:val="507B60D8"/>
    <w:rsid w:val="507E34D2"/>
    <w:rsid w:val="507E7976"/>
    <w:rsid w:val="507F0F62"/>
    <w:rsid w:val="50854860"/>
    <w:rsid w:val="508605D9"/>
    <w:rsid w:val="5086682B"/>
    <w:rsid w:val="508829FE"/>
    <w:rsid w:val="508E547A"/>
    <w:rsid w:val="50913BB1"/>
    <w:rsid w:val="509176A9"/>
    <w:rsid w:val="50923421"/>
    <w:rsid w:val="50A01BE5"/>
    <w:rsid w:val="50A05C06"/>
    <w:rsid w:val="50A33DFB"/>
    <w:rsid w:val="50AA26F8"/>
    <w:rsid w:val="50AC44E3"/>
    <w:rsid w:val="50AC6291"/>
    <w:rsid w:val="50AF5D81"/>
    <w:rsid w:val="50AF6900"/>
    <w:rsid w:val="50B43398"/>
    <w:rsid w:val="50BB4726"/>
    <w:rsid w:val="50BC224C"/>
    <w:rsid w:val="50BD5E44"/>
    <w:rsid w:val="50C3182D"/>
    <w:rsid w:val="50C90883"/>
    <w:rsid w:val="50CF3DF4"/>
    <w:rsid w:val="50D24AAF"/>
    <w:rsid w:val="50D42FEF"/>
    <w:rsid w:val="50D70E34"/>
    <w:rsid w:val="50DB0924"/>
    <w:rsid w:val="50DB50CC"/>
    <w:rsid w:val="50DC644B"/>
    <w:rsid w:val="50DF3DA2"/>
    <w:rsid w:val="50E53551"/>
    <w:rsid w:val="50E83041"/>
    <w:rsid w:val="50EB0A08"/>
    <w:rsid w:val="50EC093D"/>
    <w:rsid w:val="50ED7D32"/>
    <w:rsid w:val="50EF617E"/>
    <w:rsid w:val="50F36053"/>
    <w:rsid w:val="50F761C6"/>
    <w:rsid w:val="50FE7EF5"/>
    <w:rsid w:val="510F05CE"/>
    <w:rsid w:val="511300BE"/>
    <w:rsid w:val="51137F52"/>
    <w:rsid w:val="51185BD1"/>
    <w:rsid w:val="512027DB"/>
    <w:rsid w:val="51204302"/>
    <w:rsid w:val="5124051D"/>
    <w:rsid w:val="51246997"/>
    <w:rsid w:val="512739F2"/>
    <w:rsid w:val="512A7413"/>
    <w:rsid w:val="512C73D2"/>
    <w:rsid w:val="513444D8"/>
    <w:rsid w:val="513D7A13"/>
    <w:rsid w:val="513F75DA"/>
    <w:rsid w:val="514364CA"/>
    <w:rsid w:val="514426AA"/>
    <w:rsid w:val="51475FBA"/>
    <w:rsid w:val="514A5AAA"/>
    <w:rsid w:val="514B3A92"/>
    <w:rsid w:val="514C074E"/>
    <w:rsid w:val="514C3E46"/>
    <w:rsid w:val="51505537"/>
    <w:rsid w:val="51532BB1"/>
    <w:rsid w:val="515626A1"/>
    <w:rsid w:val="51571C09"/>
    <w:rsid w:val="51581F75"/>
    <w:rsid w:val="515D61BE"/>
    <w:rsid w:val="51601FAC"/>
    <w:rsid w:val="5160707C"/>
    <w:rsid w:val="51663EC6"/>
    <w:rsid w:val="516B614C"/>
    <w:rsid w:val="51711289"/>
    <w:rsid w:val="517A013D"/>
    <w:rsid w:val="517B2107"/>
    <w:rsid w:val="517B59AC"/>
    <w:rsid w:val="51825244"/>
    <w:rsid w:val="51840FBC"/>
    <w:rsid w:val="5184720E"/>
    <w:rsid w:val="51856AE2"/>
    <w:rsid w:val="51860A52"/>
    <w:rsid w:val="518720C4"/>
    <w:rsid w:val="51880687"/>
    <w:rsid w:val="51882575"/>
    <w:rsid w:val="51890696"/>
    <w:rsid w:val="518C1C1F"/>
    <w:rsid w:val="518E14AC"/>
    <w:rsid w:val="519531C9"/>
    <w:rsid w:val="51990D26"/>
    <w:rsid w:val="519D29E9"/>
    <w:rsid w:val="51A14CAE"/>
    <w:rsid w:val="51A4340C"/>
    <w:rsid w:val="51A451BA"/>
    <w:rsid w:val="51A67184"/>
    <w:rsid w:val="51AB52BE"/>
    <w:rsid w:val="51AC22C1"/>
    <w:rsid w:val="51B03B5F"/>
    <w:rsid w:val="51B1799A"/>
    <w:rsid w:val="51B51175"/>
    <w:rsid w:val="51B80C66"/>
    <w:rsid w:val="51BA572B"/>
    <w:rsid w:val="51C07B1A"/>
    <w:rsid w:val="51C13FBE"/>
    <w:rsid w:val="51C15D6C"/>
    <w:rsid w:val="51C27D36"/>
    <w:rsid w:val="51C35301"/>
    <w:rsid w:val="51C578C6"/>
    <w:rsid w:val="51C71BE5"/>
    <w:rsid w:val="51CC2BE6"/>
    <w:rsid w:val="51CD0D66"/>
    <w:rsid w:val="51CE0489"/>
    <w:rsid w:val="51D00906"/>
    <w:rsid w:val="51D23C36"/>
    <w:rsid w:val="51D84E64"/>
    <w:rsid w:val="51E0771C"/>
    <w:rsid w:val="51E23E3F"/>
    <w:rsid w:val="51E306E5"/>
    <w:rsid w:val="51E333FD"/>
    <w:rsid w:val="51E41A5B"/>
    <w:rsid w:val="51E8779D"/>
    <w:rsid w:val="51EE640D"/>
    <w:rsid w:val="51EF7503"/>
    <w:rsid w:val="51F06651"/>
    <w:rsid w:val="51F31C9E"/>
    <w:rsid w:val="51F36142"/>
    <w:rsid w:val="51F53C68"/>
    <w:rsid w:val="51F6353C"/>
    <w:rsid w:val="51F85506"/>
    <w:rsid w:val="52050633"/>
    <w:rsid w:val="5206142A"/>
    <w:rsid w:val="52093BF1"/>
    <w:rsid w:val="520A6757"/>
    <w:rsid w:val="520C2D5F"/>
    <w:rsid w:val="520D01BD"/>
    <w:rsid w:val="520E0886"/>
    <w:rsid w:val="52102850"/>
    <w:rsid w:val="52120BB4"/>
    <w:rsid w:val="5212566C"/>
    <w:rsid w:val="5213603D"/>
    <w:rsid w:val="52140592"/>
    <w:rsid w:val="52151C14"/>
    <w:rsid w:val="521764C4"/>
    <w:rsid w:val="52195BA8"/>
    <w:rsid w:val="5219601D"/>
    <w:rsid w:val="521A722A"/>
    <w:rsid w:val="521C2FA3"/>
    <w:rsid w:val="521D5006"/>
    <w:rsid w:val="52287B99"/>
    <w:rsid w:val="52313708"/>
    <w:rsid w:val="523253CE"/>
    <w:rsid w:val="52344790"/>
    <w:rsid w:val="5239277F"/>
    <w:rsid w:val="523C1897"/>
    <w:rsid w:val="524530BF"/>
    <w:rsid w:val="52457606"/>
    <w:rsid w:val="52495D62"/>
    <w:rsid w:val="524A7484"/>
    <w:rsid w:val="524D6E29"/>
    <w:rsid w:val="5253273C"/>
    <w:rsid w:val="525C7843"/>
    <w:rsid w:val="525E0C42"/>
    <w:rsid w:val="525E180D"/>
    <w:rsid w:val="526130AB"/>
    <w:rsid w:val="526A4118"/>
    <w:rsid w:val="526D37FE"/>
    <w:rsid w:val="52701540"/>
    <w:rsid w:val="527841B4"/>
    <w:rsid w:val="527F1CB8"/>
    <w:rsid w:val="527F4518"/>
    <w:rsid w:val="52830311"/>
    <w:rsid w:val="5285323E"/>
    <w:rsid w:val="52862B12"/>
    <w:rsid w:val="528943B0"/>
    <w:rsid w:val="528D2EA7"/>
    <w:rsid w:val="52911BE2"/>
    <w:rsid w:val="52946FDD"/>
    <w:rsid w:val="529867BF"/>
    <w:rsid w:val="52991EE4"/>
    <w:rsid w:val="529A0FB3"/>
    <w:rsid w:val="529C005E"/>
    <w:rsid w:val="529E42FF"/>
    <w:rsid w:val="52A03BD4"/>
    <w:rsid w:val="52A56D64"/>
    <w:rsid w:val="52A84C21"/>
    <w:rsid w:val="52AD509E"/>
    <w:rsid w:val="52B256B5"/>
    <w:rsid w:val="52B508CE"/>
    <w:rsid w:val="52B52EB7"/>
    <w:rsid w:val="52B534C8"/>
    <w:rsid w:val="52B7716F"/>
    <w:rsid w:val="52BA27BB"/>
    <w:rsid w:val="52BB0BA7"/>
    <w:rsid w:val="52BC29D7"/>
    <w:rsid w:val="52BE405A"/>
    <w:rsid w:val="52BF714B"/>
    <w:rsid w:val="52BF7DD2"/>
    <w:rsid w:val="52C50C32"/>
    <w:rsid w:val="52C75604"/>
    <w:rsid w:val="52CA0900"/>
    <w:rsid w:val="52CA50F4"/>
    <w:rsid w:val="52CB49C9"/>
    <w:rsid w:val="52CE1065"/>
    <w:rsid w:val="52CF44B9"/>
    <w:rsid w:val="52CF46D9"/>
    <w:rsid w:val="52CF4748"/>
    <w:rsid w:val="52D41ACF"/>
    <w:rsid w:val="52D63D56"/>
    <w:rsid w:val="52D71D95"/>
    <w:rsid w:val="52D7511B"/>
    <w:rsid w:val="52D946DE"/>
    <w:rsid w:val="52DA0CF1"/>
    <w:rsid w:val="52DC0984"/>
    <w:rsid w:val="52DC2732"/>
    <w:rsid w:val="52DD691D"/>
    <w:rsid w:val="52E02222"/>
    <w:rsid w:val="52E53CDC"/>
    <w:rsid w:val="52E55A8A"/>
    <w:rsid w:val="52E61B60"/>
    <w:rsid w:val="52E62323"/>
    <w:rsid w:val="52EA12F3"/>
    <w:rsid w:val="52EF4B5B"/>
    <w:rsid w:val="52F41FA6"/>
    <w:rsid w:val="52FB705C"/>
    <w:rsid w:val="52FC29D5"/>
    <w:rsid w:val="52FE08FA"/>
    <w:rsid w:val="530028C4"/>
    <w:rsid w:val="5302038E"/>
    <w:rsid w:val="53035FC3"/>
    <w:rsid w:val="530917F5"/>
    <w:rsid w:val="530A2A4C"/>
    <w:rsid w:val="530A3690"/>
    <w:rsid w:val="530B67BD"/>
    <w:rsid w:val="53144170"/>
    <w:rsid w:val="531A5D03"/>
    <w:rsid w:val="531B54F2"/>
    <w:rsid w:val="531B5950"/>
    <w:rsid w:val="531C2919"/>
    <w:rsid w:val="53242F2F"/>
    <w:rsid w:val="53272BFA"/>
    <w:rsid w:val="532C190B"/>
    <w:rsid w:val="53302860"/>
    <w:rsid w:val="533167DB"/>
    <w:rsid w:val="53332C9A"/>
    <w:rsid w:val="5338205E"/>
    <w:rsid w:val="533A2537"/>
    <w:rsid w:val="533B38FC"/>
    <w:rsid w:val="533E37CE"/>
    <w:rsid w:val="53426F62"/>
    <w:rsid w:val="53435031"/>
    <w:rsid w:val="534419ED"/>
    <w:rsid w:val="53446C55"/>
    <w:rsid w:val="534C3E1F"/>
    <w:rsid w:val="534C5B09"/>
    <w:rsid w:val="534D4075"/>
    <w:rsid w:val="534E5504"/>
    <w:rsid w:val="534F1156"/>
    <w:rsid w:val="53514ECE"/>
    <w:rsid w:val="53530C46"/>
    <w:rsid w:val="53542C10"/>
    <w:rsid w:val="5354676C"/>
    <w:rsid w:val="5355362F"/>
    <w:rsid w:val="53560736"/>
    <w:rsid w:val="53566988"/>
    <w:rsid w:val="53574DD6"/>
    <w:rsid w:val="53582700"/>
    <w:rsid w:val="535873E2"/>
    <w:rsid w:val="535B1E41"/>
    <w:rsid w:val="535C0EDF"/>
    <w:rsid w:val="535D7D17"/>
    <w:rsid w:val="535E39D2"/>
    <w:rsid w:val="53603363"/>
    <w:rsid w:val="53607807"/>
    <w:rsid w:val="536962F2"/>
    <w:rsid w:val="5369676E"/>
    <w:rsid w:val="536E1371"/>
    <w:rsid w:val="537137C2"/>
    <w:rsid w:val="53746E0E"/>
    <w:rsid w:val="5378263D"/>
    <w:rsid w:val="53782B20"/>
    <w:rsid w:val="53791CA9"/>
    <w:rsid w:val="53794425"/>
    <w:rsid w:val="537B1F4B"/>
    <w:rsid w:val="537D4134"/>
    <w:rsid w:val="53837051"/>
    <w:rsid w:val="53885F60"/>
    <w:rsid w:val="538A6632"/>
    <w:rsid w:val="53901E9A"/>
    <w:rsid w:val="5391556D"/>
    <w:rsid w:val="53927CBB"/>
    <w:rsid w:val="53952781"/>
    <w:rsid w:val="53966D85"/>
    <w:rsid w:val="5399603A"/>
    <w:rsid w:val="539D45B7"/>
    <w:rsid w:val="539F31AF"/>
    <w:rsid w:val="53A11B9E"/>
    <w:rsid w:val="53A414A2"/>
    <w:rsid w:val="53AE40CE"/>
    <w:rsid w:val="53AF1153"/>
    <w:rsid w:val="53B03160"/>
    <w:rsid w:val="53B042EA"/>
    <w:rsid w:val="53B71C49"/>
    <w:rsid w:val="53BB67EB"/>
    <w:rsid w:val="53C040D7"/>
    <w:rsid w:val="53C20146"/>
    <w:rsid w:val="53C22528"/>
    <w:rsid w:val="53C75190"/>
    <w:rsid w:val="53CE50DD"/>
    <w:rsid w:val="53D0673A"/>
    <w:rsid w:val="53D77AC9"/>
    <w:rsid w:val="53DC50DF"/>
    <w:rsid w:val="53DD49B3"/>
    <w:rsid w:val="53DF24DA"/>
    <w:rsid w:val="53DF349F"/>
    <w:rsid w:val="53DF697E"/>
    <w:rsid w:val="53E36D11"/>
    <w:rsid w:val="53E53868"/>
    <w:rsid w:val="53E61ABA"/>
    <w:rsid w:val="53E73A84"/>
    <w:rsid w:val="53EC4BF7"/>
    <w:rsid w:val="53EE59A2"/>
    <w:rsid w:val="53EE747C"/>
    <w:rsid w:val="53F02ADB"/>
    <w:rsid w:val="53F1220D"/>
    <w:rsid w:val="53F73CC7"/>
    <w:rsid w:val="53FA0C3E"/>
    <w:rsid w:val="53FC02D7"/>
    <w:rsid w:val="53FF372B"/>
    <w:rsid w:val="53FF72FF"/>
    <w:rsid w:val="540168F4"/>
    <w:rsid w:val="54037985"/>
    <w:rsid w:val="54077C82"/>
    <w:rsid w:val="54092E2C"/>
    <w:rsid w:val="540957A8"/>
    <w:rsid w:val="540E7263"/>
    <w:rsid w:val="54106B37"/>
    <w:rsid w:val="54160C43"/>
    <w:rsid w:val="541728B9"/>
    <w:rsid w:val="54181E8F"/>
    <w:rsid w:val="541904BB"/>
    <w:rsid w:val="541A09FA"/>
    <w:rsid w:val="541C1980"/>
    <w:rsid w:val="541C78F6"/>
    <w:rsid w:val="54233442"/>
    <w:rsid w:val="542919A7"/>
    <w:rsid w:val="54295326"/>
    <w:rsid w:val="542B571F"/>
    <w:rsid w:val="542C1497"/>
    <w:rsid w:val="542E3461"/>
    <w:rsid w:val="542E6958"/>
    <w:rsid w:val="542F6F11"/>
    <w:rsid w:val="54330A77"/>
    <w:rsid w:val="54390279"/>
    <w:rsid w:val="543C3DD0"/>
    <w:rsid w:val="543C55D0"/>
    <w:rsid w:val="543F7F04"/>
    <w:rsid w:val="5445681C"/>
    <w:rsid w:val="544762D1"/>
    <w:rsid w:val="54490905"/>
    <w:rsid w:val="54493DF7"/>
    <w:rsid w:val="544D4CEE"/>
    <w:rsid w:val="5454111A"/>
    <w:rsid w:val="5455279C"/>
    <w:rsid w:val="54556C40"/>
    <w:rsid w:val="54591281"/>
    <w:rsid w:val="545F7ABE"/>
    <w:rsid w:val="54622056"/>
    <w:rsid w:val="546318E7"/>
    <w:rsid w:val="54684BC5"/>
    <w:rsid w:val="5468648B"/>
    <w:rsid w:val="546926EB"/>
    <w:rsid w:val="54696247"/>
    <w:rsid w:val="546B30D6"/>
    <w:rsid w:val="546B6463"/>
    <w:rsid w:val="546D34FB"/>
    <w:rsid w:val="546E6AD5"/>
    <w:rsid w:val="54703A7A"/>
    <w:rsid w:val="54705828"/>
    <w:rsid w:val="54751090"/>
    <w:rsid w:val="54774E08"/>
    <w:rsid w:val="547A0454"/>
    <w:rsid w:val="547C41CC"/>
    <w:rsid w:val="547D1CF3"/>
    <w:rsid w:val="547F214E"/>
    <w:rsid w:val="547F7A92"/>
    <w:rsid w:val="548968E9"/>
    <w:rsid w:val="54901A26"/>
    <w:rsid w:val="54907C78"/>
    <w:rsid w:val="54921C42"/>
    <w:rsid w:val="54950F18"/>
    <w:rsid w:val="549A28A4"/>
    <w:rsid w:val="549D4260"/>
    <w:rsid w:val="54A12158"/>
    <w:rsid w:val="54A159E1"/>
    <w:rsid w:val="54A41D63"/>
    <w:rsid w:val="54A656ED"/>
    <w:rsid w:val="54A83213"/>
    <w:rsid w:val="54AA7E38"/>
    <w:rsid w:val="54AB4AB2"/>
    <w:rsid w:val="54AB5DA7"/>
    <w:rsid w:val="54B02062"/>
    <w:rsid w:val="54B03E76"/>
    <w:rsid w:val="54B24092"/>
    <w:rsid w:val="54B635B6"/>
    <w:rsid w:val="54BA6DCA"/>
    <w:rsid w:val="54C142D5"/>
    <w:rsid w:val="54C17E31"/>
    <w:rsid w:val="54C53467"/>
    <w:rsid w:val="54C65448"/>
    <w:rsid w:val="54C94F38"/>
    <w:rsid w:val="54CF254E"/>
    <w:rsid w:val="54CF3D9E"/>
    <w:rsid w:val="54CF5278"/>
    <w:rsid w:val="54D1276A"/>
    <w:rsid w:val="54D16921"/>
    <w:rsid w:val="54D45DB6"/>
    <w:rsid w:val="54D84FDF"/>
    <w:rsid w:val="54D9517B"/>
    <w:rsid w:val="54DC598B"/>
    <w:rsid w:val="54DE6C35"/>
    <w:rsid w:val="54E03A75"/>
    <w:rsid w:val="54E16725"/>
    <w:rsid w:val="54E473F5"/>
    <w:rsid w:val="54E71280"/>
    <w:rsid w:val="54EA55DA"/>
    <w:rsid w:val="54EF0E42"/>
    <w:rsid w:val="54F16968"/>
    <w:rsid w:val="54F2448F"/>
    <w:rsid w:val="54F27E24"/>
    <w:rsid w:val="54F31C6C"/>
    <w:rsid w:val="54F32D2F"/>
    <w:rsid w:val="54F70F79"/>
    <w:rsid w:val="54FC355F"/>
    <w:rsid w:val="54FE1085"/>
    <w:rsid w:val="54FE4177"/>
    <w:rsid w:val="54FF095A"/>
    <w:rsid w:val="55051AB3"/>
    <w:rsid w:val="55061CE8"/>
    <w:rsid w:val="550B4027"/>
    <w:rsid w:val="55115CC4"/>
    <w:rsid w:val="55133200"/>
    <w:rsid w:val="55142657"/>
    <w:rsid w:val="55154808"/>
    <w:rsid w:val="55173EF5"/>
    <w:rsid w:val="55195EBF"/>
    <w:rsid w:val="551B1C37"/>
    <w:rsid w:val="551F34D1"/>
    <w:rsid w:val="552328B1"/>
    <w:rsid w:val="552503C0"/>
    <w:rsid w:val="552A3C28"/>
    <w:rsid w:val="55326F81"/>
    <w:rsid w:val="55376345"/>
    <w:rsid w:val="55393E6B"/>
    <w:rsid w:val="553C395C"/>
    <w:rsid w:val="553D520A"/>
    <w:rsid w:val="55407BF5"/>
    <w:rsid w:val="55415E63"/>
    <w:rsid w:val="55437BAC"/>
    <w:rsid w:val="55466588"/>
    <w:rsid w:val="554A6079"/>
    <w:rsid w:val="554C3B9F"/>
    <w:rsid w:val="5552317F"/>
    <w:rsid w:val="55523875"/>
    <w:rsid w:val="55545149"/>
    <w:rsid w:val="55570796"/>
    <w:rsid w:val="55574E25"/>
    <w:rsid w:val="555A35CD"/>
    <w:rsid w:val="555B64D8"/>
    <w:rsid w:val="55621614"/>
    <w:rsid w:val="55630EE8"/>
    <w:rsid w:val="55651104"/>
    <w:rsid w:val="55686E01"/>
    <w:rsid w:val="55696059"/>
    <w:rsid w:val="556D100F"/>
    <w:rsid w:val="556D547D"/>
    <w:rsid w:val="557033D7"/>
    <w:rsid w:val="55711857"/>
    <w:rsid w:val="5572737D"/>
    <w:rsid w:val="55741347"/>
    <w:rsid w:val="55774994"/>
    <w:rsid w:val="55794BB0"/>
    <w:rsid w:val="557E2439"/>
    <w:rsid w:val="55801A9A"/>
    <w:rsid w:val="55825812"/>
    <w:rsid w:val="5587107B"/>
    <w:rsid w:val="558F1CDD"/>
    <w:rsid w:val="55913CA7"/>
    <w:rsid w:val="559317CE"/>
    <w:rsid w:val="5595230F"/>
    <w:rsid w:val="559B4B26"/>
    <w:rsid w:val="559D089E"/>
    <w:rsid w:val="559E5653"/>
    <w:rsid w:val="55A0038E"/>
    <w:rsid w:val="55A21A11"/>
    <w:rsid w:val="55A3444E"/>
    <w:rsid w:val="55A34AEC"/>
    <w:rsid w:val="55A43529"/>
    <w:rsid w:val="55A439DB"/>
    <w:rsid w:val="55A719A4"/>
    <w:rsid w:val="55AA42DD"/>
    <w:rsid w:val="55AA6B17"/>
    <w:rsid w:val="55AC0AE1"/>
    <w:rsid w:val="55B47996"/>
    <w:rsid w:val="55B654BC"/>
    <w:rsid w:val="55B75572"/>
    <w:rsid w:val="55B87486"/>
    <w:rsid w:val="55BA31FE"/>
    <w:rsid w:val="55BB15B0"/>
    <w:rsid w:val="55BF6A67"/>
    <w:rsid w:val="55C23E61"/>
    <w:rsid w:val="55C510F6"/>
    <w:rsid w:val="55C51BA3"/>
    <w:rsid w:val="55C72393"/>
    <w:rsid w:val="55C73B6D"/>
    <w:rsid w:val="55C951EF"/>
    <w:rsid w:val="55CA619E"/>
    <w:rsid w:val="55CC2F32"/>
    <w:rsid w:val="55CC4CE0"/>
    <w:rsid w:val="55CF47D0"/>
    <w:rsid w:val="55D00CA2"/>
    <w:rsid w:val="55DA73FC"/>
    <w:rsid w:val="55DF2C65"/>
    <w:rsid w:val="55DF4A13"/>
    <w:rsid w:val="55E0078B"/>
    <w:rsid w:val="55E262B1"/>
    <w:rsid w:val="55E464CD"/>
    <w:rsid w:val="55E92E91"/>
    <w:rsid w:val="55EA1914"/>
    <w:rsid w:val="55EB1F9F"/>
    <w:rsid w:val="55ED3168"/>
    <w:rsid w:val="55F10BEA"/>
    <w:rsid w:val="55F56BBD"/>
    <w:rsid w:val="55F66898"/>
    <w:rsid w:val="55F720AE"/>
    <w:rsid w:val="55FB34D0"/>
    <w:rsid w:val="55FE4C61"/>
    <w:rsid w:val="56003EA6"/>
    <w:rsid w:val="560B298E"/>
    <w:rsid w:val="56133E2B"/>
    <w:rsid w:val="56133FDC"/>
    <w:rsid w:val="56134972"/>
    <w:rsid w:val="561641AD"/>
    <w:rsid w:val="561B122F"/>
    <w:rsid w:val="561F3061"/>
    <w:rsid w:val="5624575B"/>
    <w:rsid w:val="562543F0"/>
    <w:rsid w:val="56292132"/>
    <w:rsid w:val="562C577E"/>
    <w:rsid w:val="56301712"/>
    <w:rsid w:val="563034C0"/>
    <w:rsid w:val="563167DC"/>
    <w:rsid w:val="56352885"/>
    <w:rsid w:val="56363B36"/>
    <w:rsid w:val="56390C17"/>
    <w:rsid w:val="563A6612"/>
    <w:rsid w:val="563B3C13"/>
    <w:rsid w:val="563B76C6"/>
    <w:rsid w:val="563C2632"/>
    <w:rsid w:val="563F1955"/>
    <w:rsid w:val="563F3703"/>
    <w:rsid w:val="563F54B2"/>
    <w:rsid w:val="564154B0"/>
    <w:rsid w:val="56460F02"/>
    <w:rsid w:val="56462CE4"/>
    <w:rsid w:val="564927D4"/>
    <w:rsid w:val="56521689"/>
    <w:rsid w:val="565430EE"/>
    <w:rsid w:val="56552F27"/>
    <w:rsid w:val="56556288"/>
    <w:rsid w:val="56576549"/>
    <w:rsid w:val="565820E1"/>
    <w:rsid w:val="565B4862"/>
    <w:rsid w:val="565C2507"/>
    <w:rsid w:val="565D1DDC"/>
    <w:rsid w:val="565F7902"/>
    <w:rsid w:val="56605D79"/>
    <w:rsid w:val="566413BC"/>
    <w:rsid w:val="56680EAC"/>
    <w:rsid w:val="566B44F9"/>
    <w:rsid w:val="566C3820"/>
    <w:rsid w:val="566D0EF7"/>
    <w:rsid w:val="566D69A1"/>
    <w:rsid w:val="56723AD9"/>
    <w:rsid w:val="567333AD"/>
    <w:rsid w:val="56790FA8"/>
    <w:rsid w:val="567A298E"/>
    <w:rsid w:val="567A473C"/>
    <w:rsid w:val="567A7499"/>
    <w:rsid w:val="567F3F36"/>
    <w:rsid w:val="567F7FA4"/>
    <w:rsid w:val="56821542"/>
    <w:rsid w:val="56836CA6"/>
    <w:rsid w:val="56842AE4"/>
    <w:rsid w:val="56856F52"/>
    <w:rsid w:val="56892BD1"/>
    <w:rsid w:val="568B6949"/>
    <w:rsid w:val="568C3447"/>
    <w:rsid w:val="568D26C1"/>
    <w:rsid w:val="568D446F"/>
    <w:rsid w:val="56905D0D"/>
    <w:rsid w:val="56912D78"/>
    <w:rsid w:val="56923937"/>
    <w:rsid w:val="569577C7"/>
    <w:rsid w:val="569A5A4B"/>
    <w:rsid w:val="569C1A6D"/>
    <w:rsid w:val="569F655C"/>
    <w:rsid w:val="56A1616C"/>
    <w:rsid w:val="56A31EE4"/>
    <w:rsid w:val="56A5007F"/>
    <w:rsid w:val="56A800D0"/>
    <w:rsid w:val="56A95021"/>
    <w:rsid w:val="56A96DCF"/>
    <w:rsid w:val="56AB2B47"/>
    <w:rsid w:val="56AD68BF"/>
    <w:rsid w:val="56B04601"/>
    <w:rsid w:val="56B25162"/>
    <w:rsid w:val="56BC2B99"/>
    <w:rsid w:val="56BE6D1E"/>
    <w:rsid w:val="56C17E20"/>
    <w:rsid w:val="56C37E91"/>
    <w:rsid w:val="56C645A7"/>
    <w:rsid w:val="56C65BD3"/>
    <w:rsid w:val="56CA1443"/>
    <w:rsid w:val="56CB4F97"/>
    <w:rsid w:val="56CD6F61"/>
    <w:rsid w:val="56CE6835"/>
    <w:rsid w:val="56CF557A"/>
    <w:rsid w:val="56D025AE"/>
    <w:rsid w:val="56D14B3F"/>
    <w:rsid w:val="56DA1FC6"/>
    <w:rsid w:val="56DB4FDE"/>
    <w:rsid w:val="56DF0A43"/>
    <w:rsid w:val="56E04EE6"/>
    <w:rsid w:val="56EB73E7"/>
    <w:rsid w:val="56ED2087"/>
    <w:rsid w:val="56EE1104"/>
    <w:rsid w:val="56EF6ED8"/>
    <w:rsid w:val="56F125AB"/>
    <w:rsid w:val="56F20776"/>
    <w:rsid w:val="56F35DB0"/>
    <w:rsid w:val="56F50266"/>
    <w:rsid w:val="56F60F80"/>
    <w:rsid w:val="56F8199D"/>
    <w:rsid w:val="56F91B04"/>
    <w:rsid w:val="56FA7AF7"/>
    <w:rsid w:val="56FB3ACE"/>
    <w:rsid w:val="56FB516F"/>
    <w:rsid w:val="56FC4DE8"/>
    <w:rsid w:val="56FD6E02"/>
    <w:rsid w:val="56FE35BF"/>
    <w:rsid w:val="56FE63C1"/>
    <w:rsid w:val="570109B9"/>
    <w:rsid w:val="57030BD5"/>
    <w:rsid w:val="57036941"/>
    <w:rsid w:val="57064435"/>
    <w:rsid w:val="570A3D11"/>
    <w:rsid w:val="570F1328"/>
    <w:rsid w:val="57160908"/>
    <w:rsid w:val="5718040C"/>
    <w:rsid w:val="571957A0"/>
    <w:rsid w:val="571A1A7B"/>
    <w:rsid w:val="571C3A45"/>
    <w:rsid w:val="57201787"/>
    <w:rsid w:val="5721344A"/>
    <w:rsid w:val="57250B4B"/>
    <w:rsid w:val="57253345"/>
    <w:rsid w:val="57283E05"/>
    <w:rsid w:val="57295D0E"/>
    <w:rsid w:val="572A43B4"/>
    <w:rsid w:val="572B172F"/>
    <w:rsid w:val="572D7A00"/>
    <w:rsid w:val="572E50A6"/>
    <w:rsid w:val="572F3778"/>
    <w:rsid w:val="573174F0"/>
    <w:rsid w:val="5737087F"/>
    <w:rsid w:val="5737262D"/>
    <w:rsid w:val="57390153"/>
    <w:rsid w:val="573C40E7"/>
    <w:rsid w:val="574134AB"/>
    <w:rsid w:val="57452F9B"/>
    <w:rsid w:val="57454E17"/>
    <w:rsid w:val="574C1099"/>
    <w:rsid w:val="574C1A84"/>
    <w:rsid w:val="574F3E1A"/>
    <w:rsid w:val="574F7976"/>
    <w:rsid w:val="575267EE"/>
    <w:rsid w:val="57527466"/>
    <w:rsid w:val="57551A55"/>
    <w:rsid w:val="575C02E5"/>
    <w:rsid w:val="575E22AF"/>
    <w:rsid w:val="57601B83"/>
    <w:rsid w:val="57612300"/>
    <w:rsid w:val="57650F48"/>
    <w:rsid w:val="57686FA6"/>
    <w:rsid w:val="57693433"/>
    <w:rsid w:val="57696D21"/>
    <w:rsid w:val="576C0528"/>
    <w:rsid w:val="576C1E43"/>
    <w:rsid w:val="576D42A0"/>
    <w:rsid w:val="57713FD6"/>
    <w:rsid w:val="5771432A"/>
    <w:rsid w:val="57753BE8"/>
    <w:rsid w:val="577613A7"/>
    <w:rsid w:val="5777143B"/>
    <w:rsid w:val="577B1DAD"/>
    <w:rsid w:val="577B333F"/>
    <w:rsid w:val="5780751F"/>
    <w:rsid w:val="57833AC4"/>
    <w:rsid w:val="57865255"/>
    <w:rsid w:val="57877110"/>
    <w:rsid w:val="578A2B4C"/>
    <w:rsid w:val="579161E1"/>
    <w:rsid w:val="579932E7"/>
    <w:rsid w:val="579B2BBB"/>
    <w:rsid w:val="57A06424"/>
    <w:rsid w:val="57A4224B"/>
    <w:rsid w:val="57A7077C"/>
    <w:rsid w:val="57AC6B77"/>
    <w:rsid w:val="57B4378E"/>
    <w:rsid w:val="57B74633"/>
    <w:rsid w:val="57BB325E"/>
    <w:rsid w:val="57BD5228"/>
    <w:rsid w:val="57C2639A"/>
    <w:rsid w:val="57CA4598"/>
    <w:rsid w:val="57D226A7"/>
    <w:rsid w:val="57D32355"/>
    <w:rsid w:val="57D476DC"/>
    <w:rsid w:val="57D707BF"/>
    <w:rsid w:val="57D90823"/>
    <w:rsid w:val="57DD4959"/>
    <w:rsid w:val="57E37E14"/>
    <w:rsid w:val="57E722A5"/>
    <w:rsid w:val="57E74053"/>
    <w:rsid w:val="57ED7F3E"/>
    <w:rsid w:val="57F16C7F"/>
    <w:rsid w:val="57F30C49"/>
    <w:rsid w:val="57F347A6"/>
    <w:rsid w:val="57F64296"/>
    <w:rsid w:val="57F66044"/>
    <w:rsid w:val="57FA7302"/>
    <w:rsid w:val="58020E8D"/>
    <w:rsid w:val="580B5E07"/>
    <w:rsid w:val="580C3AB9"/>
    <w:rsid w:val="580C5892"/>
    <w:rsid w:val="580D2E32"/>
    <w:rsid w:val="580E5A83"/>
    <w:rsid w:val="580F5D51"/>
    <w:rsid w:val="58112E7E"/>
    <w:rsid w:val="581B26E6"/>
    <w:rsid w:val="581E3404"/>
    <w:rsid w:val="58207CED"/>
    <w:rsid w:val="582232DD"/>
    <w:rsid w:val="58262DCD"/>
    <w:rsid w:val="58296419"/>
    <w:rsid w:val="582C7CB7"/>
    <w:rsid w:val="582F2E22"/>
    <w:rsid w:val="58325280"/>
    <w:rsid w:val="583354EA"/>
    <w:rsid w:val="58346D44"/>
    <w:rsid w:val="583B7EFB"/>
    <w:rsid w:val="583F1BE5"/>
    <w:rsid w:val="58403763"/>
    <w:rsid w:val="58416DAD"/>
    <w:rsid w:val="58421289"/>
    <w:rsid w:val="5842572D"/>
    <w:rsid w:val="5847052D"/>
    <w:rsid w:val="584C2108"/>
    <w:rsid w:val="58500300"/>
    <w:rsid w:val="5850568B"/>
    <w:rsid w:val="585F008D"/>
    <w:rsid w:val="58607961"/>
    <w:rsid w:val="58616610"/>
    <w:rsid w:val="58675193"/>
    <w:rsid w:val="58676F42"/>
    <w:rsid w:val="58692CBA"/>
    <w:rsid w:val="58693A18"/>
    <w:rsid w:val="586A7285"/>
    <w:rsid w:val="586B07E0"/>
    <w:rsid w:val="586E207E"/>
    <w:rsid w:val="58705DF6"/>
    <w:rsid w:val="58737694"/>
    <w:rsid w:val="58741EB5"/>
    <w:rsid w:val="58767185"/>
    <w:rsid w:val="587B1BED"/>
    <w:rsid w:val="587D49B7"/>
    <w:rsid w:val="587F072F"/>
    <w:rsid w:val="58816255"/>
    <w:rsid w:val="58816A83"/>
    <w:rsid w:val="5889335C"/>
    <w:rsid w:val="588B70D4"/>
    <w:rsid w:val="588E2720"/>
    <w:rsid w:val="589246DD"/>
    <w:rsid w:val="58932E72"/>
    <w:rsid w:val="589F66DB"/>
    <w:rsid w:val="58A1488C"/>
    <w:rsid w:val="58A3441E"/>
    <w:rsid w:val="58A63EC6"/>
    <w:rsid w:val="58A65CBC"/>
    <w:rsid w:val="58A81A34"/>
    <w:rsid w:val="58AB5080"/>
    <w:rsid w:val="58B12AEA"/>
    <w:rsid w:val="58B3335B"/>
    <w:rsid w:val="58B54151"/>
    <w:rsid w:val="58B73A25"/>
    <w:rsid w:val="58B8154B"/>
    <w:rsid w:val="58B8779D"/>
    <w:rsid w:val="58B94C27"/>
    <w:rsid w:val="58B959EF"/>
    <w:rsid w:val="58BC728D"/>
    <w:rsid w:val="58BD4DB3"/>
    <w:rsid w:val="58BE1257"/>
    <w:rsid w:val="58C16652"/>
    <w:rsid w:val="58C1672F"/>
    <w:rsid w:val="58C44394"/>
    <w:rsid w:val="58C47EF0"/>
    <w:rsid w:val="58C663D8"/>
    <w:rsid w:val="58C72BED"/>
    <w:rsid w:val="58CA7BFC"/>
    <w:rsid w:val="58CB127E"/>
    <w:rsid w:val="58D96DD9"/>
    <w:rsid w:val="58DC348C"/>
    <w:rsid w:val="58E32A6C"/>
    <w:rsid w:val="58E42340"/>
    <w:rsid w:val="58E467E4"/>
    <w:rsid w:val="58E6255C"/>
    <w:rsid w:val="58E660B8"/>
    <w:rsid w:val="58ED4BF9"/>
    <w:rsid w:val="58F46A27"/>
    <w:rsid w:val="58F5454D"/>
    <w:rsid w:val="58F93D73"/>
    <w:rsid w:val="58FC5B3E"/>
    <w:rsid w:val="58FD6109"/>
    <w:rsid w:val="58FD6C29"/>
    <w:rsid w:val="58FE588D"/>
    <w:rsid w:val="58FE78A6"/>
    <w:rsid w:val="59011144"/>
    <w:rsid w:val="590328D2"/>
    <w:rsid w:val="590474D8"/>
    <w:rsid w:val="590579B7"/>
    <w:rsid w:val="590B5B1F"/>
    <w:rsid w:val="590E5520"/>
    <w:rsid w:val="59100756"/>
    <w:rsid w:val="591358A6"/>
    <w:rsid w:val="59184025"/>
    <w:rsid w:val="591D58F6"/>
    <w:rsid w:val="592137F8"/>
    <w:rsid w:val="592459EA"/>
    <w:rsid w:val="59246BE1"/>
    <w:rsid w:val="59262959"/>
    <w:rsid w:val="592B4413"/>
    <w:rsid w:val="592C6363"/>
    <w:rsid w:val="592D1F39"/>
    <w:rsid w:val="59301C8F"/>
    <w:rsid w:val="593212FE"/>
    <w:rsid w:val="593502DC"/>
    <w:rsid w:val="59356601"/>
    <w:rsid w:val="593969A1"/>
    <w:rsid w:val="593A4563"/>
    <w:rsid w:val="593C0A65"/>
    <w:rsid w:val="5943175D"/>
    <w:rsid w:val="594554D5"/>
    <w:rsid w:val="594669FB"/>
    <w:rsid w:val="594A0CAC"/>
    <w:rsid w:val="594D6137"/>
    <w:rsid w:val="59505C28"/>
    <w:rsid w:val="59513E7A"/>
    <w:rsid w:val="5954396A"/>
    <w:rsid w:val="5955323E"/>
    <w:rsid w:val="59590F80"/>
    <w:rsid w:val="595A2602"/>
    <w:rsid w:val="595B1CCD"/>
    <w:rsid w:val="595D5A83"/>
    <w:rsid w:val="595E418D"/>
    <w:rsid w:val="5963002A"/>
    <w:rsid w:val="59632FD1"/>
    <w:rsid w:val="5963595B"/>
    <w:rsid w:val="59635CBB"/>
    <w:rsid w:val="59637709"/>
    <w:rsid w:val="59657925"/>
    <w:rsid w:val="59701C86"/>
    <w:rsid w:val="59701FF1"/>
    <w:rsid w:val="59771406"/>
    <w:rsid w:val="59777658"/>
    <w:rsid w:val="5980650D"/>
    <w:rsid w:val="59817665"/>
    <w:rsid w:val="59827C98"/>
    <w:rsid w:val="59831B59"/>
    <w:rsid w:val="59837DAB"/>
    <w:rsid w:val="598633F7"/>
    <w:rsid w:val="598A113A"/>
    <w:rsid w:val="5991071A"/>
    <w:rsid w:val="599124C8"/>
    <w:rsid w:val="599259E9"/>
    <w:rsid w:val="59945B14"/>
    <w:rsid w:val="5999312B"/>
    <w:rsid w:val="599B50F5"/>
    <w:rsid w:val="599C0E6D"/>
    <w:rsid w:val="599D70BF"/>
    <w:rsid w:val="59A246D5"/>
    <w:rsid w:val="59A3044D"/>
    <w:rsid w:val="59A34332"/>
    <w:rsid w:val="59A41ECD"/>
    <w:rsid w:val="59A55F73"/>
    <w:rsid w:val="59A71CEC"/>
    <w:rsid w:val="59AC1815"/>
    <w:rsid w:val="59AF294E"/>
    <w:rsid w:val="59AF6DF2"/>
    <w:rsid w:val="59B47F65"/>
    <w:rsid w:val="59B47FD2"/>
    <w:rsid w:val="59B77A55"/>
    <w:rsid w:val="59B81875"/>
    <w:rsid w:val="59B95834"/>
    <w:rsid w:val="59BB5797"/>
    <w:rsid w:val="59BD150F"/>
    <w:rsid w:val="59BF4DB4"/>
    <w:rsid w:val="59C06909"/>
    <w:rsid w:val="59C363FA"/>
    <w:rsid w:val="59C52172"/>
    <w:rsid w:val="59CC52AE"/>
    <w:rsid w:val="59CF1242"/>
    <w:rsid w:val="59D2663D"/>
    <w:rsid w:val="59E00D5A"/>
    <w:rsid w:val="59E20201"/>
    <w:rsid w:val="59E558AA"/>
    <w:rsid w:val="59E7658C"/>
    <w:rsid w:val="59E940B2"/>
    <w:rsid w:val="59EA238B"/>
    <w:rsid w:val="59EA607C"/>
    <w:rsid w:val="59EE791A"/>
    <w:rsid w:val="59F82547"/>
    <w:rsid w:val="59F91E1B"/>
    <w:rsid w:val="59FA62BF"/>
    <w:rsid w:val="59FB2037"/>
    <w:rsid w:val="59FB3DE5"/>
    <w:rsid w:val="59FD190B"/>
    <w:rsid w:val="59FE2D59"/>
    <w:rsid w:val="59FF05AA"/>
    <w:rsid w:val="5A0233C6"/>
    <w:rsid w:val="5A026448"/>
    <w:rsid w:val="5A0326D6"/>
    <w:rsid w:val="5A05069E"/>
    <w:rsid w:val="5A0603EF"/>
    <w:rsid w:val="5A0709DC"/>
    <w:rsid w:val="5A0933D6"/>
    <w:rsid w:val="5A096502"/>
    <w:rsid w:val="5A0A227A"/>
    <w:rsid w:val="5A10260A"/>
    <w:rsid w:val="5A10566E"/>
    <w:rsid w:val="5A107190"/>
    <w:rsid w:val="5A137381"/>
    <w:rsid w:val="5A137EC1"/>
    <w:rsid w:val="5A184997"/>
    <w:rsid w:val="5A19426B"/>
    <w:rsid w:val="5A1A0B70"/>
    <w:rsid w:val="5A1C04C5"/>
    <w:rsid w:val="5A1F5D26"/>
    <w:rsid w:val="5A1F7AD4"/>
    <w:rsid w:val="5A2377A6"/>
    <w:rsid w:val="5A24333C"/>
    <w:rsid w:val="5A244F06"/>
    <w:rsid w:val="5A2570B4"/>
    <w:rsid w:val="5A2A6479"/>
    <w:rsid w:val="5A32467E"/>
    <w:rsid w:val="5A3572F7"/>
    <w:rsid w:val="5A3B0686"/>
    <w:rsid w:val="5A3B5DD0"/>
    <w:rsid w:val="5A3B68D8"/>
    <w:rsid w:val="5A3C514C"/>
    <w:rsid w:val="5A3D3EAE"/>
    <w:rsid w:val="5A405C9C"/>
    <w:rsid w:val="5A414361"/>
    <w:rsid w:val="5A427C66"/>
    <w:rsid w:val="5A4320EC"/>
    <w:rsid w:val="5A470DD9"/>
    <w:rsid w:val="5A47527D"/>
    <w:rsid w:val="5A4C63EF"/>
    <w:rsid w:val="5A4E2167"/>
    <w:rsid w:val="5A532DAD"/>
    <w:rsid w:val="5A535002"/>
    <w:rsid w:val="5A584D94"/>
    <w:rsid w:val="5A59283D"/>
    <w:rsid w:val="5A59376A"/>
    <w:rsid w:val="5A5B2AD6"/>
    <w:rsid w:val="5A5D05FC"/>
    <w:rsid w:val="5A625C12"/>
    <w:rsid w:val="5A661E4F"/>
    <w:rsid w:val="5A670EDA"/>
    <w:rsid w:val="5A6831D8"/>
    <w:rsid w:val="5A690D4F"/>
    <w:rsid w:val="5A6C4F75"/>
    <w:rsid w:val="5A6D2D52"/>
    <w:rsid w:val="5A6E7F19"/>
    <w:rsid w:val="5A727C5C"/>
    <w:rsid w:val="5A73233B"/>
    <w:rsid w:val="5A776714"/>
    <w:rsid w:val="5A7A5346"/>
    <w:rsid w:val="5A7D47FA"/>
    <w:rsid w:val="5A7F0572"/>
    <w:rsid w:val="5A806E78"/>
    <w:rsid w:val="5A843DDB"/>
    <w:rsid w:val="5A875679"/>
    <w:rsid w:val="5A892AE0"/>
    <w:rsid w:val="5A89319F"/>
    <w:rsid w:val="5A8D5E0E"/>
    <w:rsid w:val="5A8E2EAB"/>
    <w:rsid w:val="5A8E6A07"/>
    <w:rsid w:val="5A90452E"/>
    <w:rsid w:val="5A933C22"/>
    <w:rsid w:val="5A9658BC"/>
    <w:rsid w:val="5A971D60"/>
    <w:rsid w:val="5A9835E7"/>
    <w:rsid w:val="5A9A35FE"/>
    <w:rsid w:val="5A9A4363"/>
    <w:rsid w:val="5A9C1351"/>
    <w:rsid w:val="5A9C7F8C"/>
    <w:rsid w:val="5A9D6C4B"/>
    <w:rsid w:val="5A9D6F19"/>
    <w:rsid w:val="5AA03C8C"/>
    <w:rsid w:val="5AA04FFC"/>
    <w:rsid w:val="5AA32FCB"/>
    <w:rsid w:val="5AA61AE4"/>
    <w:rsid w:val="5AAB75B9"/>
    <w:rsid w:val="5AAE6A72"/>
    <w:rsid w:val="5AB074F9"/>
    <w:rsid w:val="5AB26B9A"/>
    <w:rsid w:val="5AB26D7B"/>
    <w:rsid w:val="5AB3021C"/>
    <w:rsid w:val="5AB83120"/>
    <w:rsid w:val="5AB915EF"/>
    <w:rsid w:val="5ABD72D7"/>
    <w:rsid w:val="5AC46C80"/>
    <w:rsid w:val="5AC613B2"/>
    <w:rsid w:val="5AC62645"/>
    <w:rsid w:val="5AC661A1"/>
    <w:rsid w:val="5AC71F19"/>
    <w:rsid w:val="5ACB44FE"/>
    <w:rsid w:val="5ACC71F9"/>
    <w:rsid w:val="5ACE5056"/>
    <w:rsid w:val="5AD05272"/>
    <w:rsid w:val="5AD54BD9"/>
    <w:rsid w:val="5AD71C49"/>
    <w:rsid w:val="5ADB4989"/>
    <w:rsid w:val="5ADC249B"/>
    <w:rsid w:val="5ADC3C17"/>
    <w:rsid w:val="5ADC59C5"/>
    <w:rsid w:val="5ADE5689"/>
    <w:rsid w:val="5AE623A0"/>
    <w:rsid w:val="5AE768A1"/>
    <w:rsid w:val="5AED000B"/>
    <w:rsid w:val="5AED1980"/>
    <w:rsid w:val="5AED7BD2"/>
    <w:rsid w:val="5AEE74A6"/>
    <w:rsid w:val="5AF26F96"/>
    <w:rsid w:val="5AF32D0E"/>
    <w:rsid w:val="5AF5066E"/>
    <w:rsid w:val="5AF63549"/>
    <w:rsid w:val="5AF73C5D"/>
    <w:rsid w:val="5AF76631"/>
    <w:rsid w:val="5AF80325"/>
    <w:rsid w:val="5AF8134E"/>
    <w:rsid w:val="5AF820D3"/>
    <w:rsid w:val="5AFD4446"/>
    <w:rsid w:val="5AFE1DDF"/>
    <w:rsid w:val="5B06360A"/>
    <w:rsid w:val="5B0867BA"/>
    <w:rsid w:val="5B0B5270"/>
    <w:rsid w:val="5B0C7AAD"/>
    <w:rsid w:val="5B0F5D9A"/>
    <w:rsid w:val="5B101B12"/>
    <w:rsid w:val="5B1038C0"/>
    <w:rsid w:val="5B153306"/>
    <w:rsid w:val="5B1E5FDD"/>
    <w:rsid w:val="5B27544C"/>
    <w:rsid w:val="5B296730"/>
    <w:rsid w:val="5B2972CE"/>
    <w:rsid w:val="5B2A2BD4"/>
    <w:rsid w:val="5B2A351E"/>
    <w:rsid w:val="5B2D6220"/>
    <w:rsid w:val="5B3255E5"/>
    <w:rsid w:val="5B33135D"/>
    <w:rsid w:val="5B345801"/>
    <w:rsid w:val="5B360DE5"/>
    <w:rsid w:val="5B3A128A"/>
    <w:rsid w:val="5B3D35AC"/>
    <w:rsid w:val="5B3E3A75"/>
    <w:rsid w:val="5B403E7D"/>
    <w:rsid w:val="5B413A7A"/>
    <w:rsid w:val="5B423504"/>
    <w:rsid w:val="5B445318"/>
    <w:rsid w:val="5B4B77BA"/>
    <w:rsid w:val="5B4C6B49"/>
    <w:rsid w:val="5B4D7783"/>
    <w:rsid w:val="5B4E301F"/>
    <w:rsid w:val="5B500161"/>
    <w:rsid w:val="5B50593D"/>
    <w:rsid w:val="5B510420"/>
    <w:rsid w:val="5B566A1A"/>
    <w:rsid w:val="5B5A2D8E"/>
    <w:rsid w:val="5B5F1BE4"/>
    <w:rsid w:val="5B614211"/>
    <w:rsid w:val="5B615ECA"/>
    <w:rsid w:val="5B6559BA"/>
    <w:rsid w:val="5B6643C2"/>
    <w:rsid w:val="5B694D7F"/>
    <w:rsid w:val="5B6B6D49"/>
    <w:rsid w:val="5B751A8B"/>
    <w:rsid w:val="5B7756EE"/>
    <w:rsid w:val="5B77749C"/>
    <w:rsid w:val="5B7C4A37"/>
    <w:rsid w:val="5B7C717D"/>
    <w:rsid w:val="5B7D6FD2"/>
    <w:rsid w:val="5B7F4692"/>
    <w:rsid w:val="5B811D24"/>
    <w:rsid w:val="5B8147BE"/>
    <w:rsid w:val="5B871DD5"/>
    <w:rsid w:val="5B8836FB"/>
    <w:rsid w:val="5B8F47E5"/>
    <w:rsid w:val="5B90055D"/>
    <w:rsid w:val="5B90249F"/>
    <w:rsid w:val="5B924E87"/>
    <w:rsid w:val="5B9462A0"/>
    <w:rsid w:val="5B975D90"/>
    <w:rsid w:val="5B9C33A6"/>
    <w:rsid w:val="5B9C39DE"/>
    <w:rsid w:val="5B9E2C7A"/>
    <w:rsid w:val="5BA05949"/>
    <w:rsid w:val="5BA109BC"/>
    <w:rsid w:val="5BA436A3"/>
    <w:rsid w:val="5BA67D81"/>
    <w:rsid w:val="5BA858A7"/>
    <w:rsid w:val="5BAA7871"/>
    <w:rsid w:val="5BAC183B"/>
    <w:rsid w:val="5BB10BFF"/>
    <w:rsid w:val="5BB22BCA"/>
    <w:rsid w:val="5BB30FF4"/>
    <w:rsid w:val="5BB62CC1"/>
    <w:rsid w:val="5BB66640"/>
    <w:rsid w:val="5BB71F8E"/>
    <w:rsid w:val="5BB95C62"/>
    <w:rsid w:val="5BC07095"/>
    <w:rsid w:val="5BC71BC7"/>
    <w:rsid w:val="5BC76675"/>
    <w:rsid w:val="5BCC5A39"/>
    <w:rsid w:val="5BCD17B1"/>
    <w:rsid w:val="5BCF04DC"/>
    <w:rsid w:val="5BD14DFE"/>
    <w:rsid w:val="5BD86BAB"/>
    <w:rsid w:val="5BDA5B74"/>
    <w:rsid w:val="5BDB7A2A"/>
    <w:rsid w:val="5BE979A5"/>
    <w:rsid w:val="5BEE47F1"/>
    <w:rsid w:val="5BF52189"/>
    <w:rsid w:val="5BF84A80"/>
    <w:rsid w:val="5BF87051"/>
    <w:rsid w:val="5BFD3468"/>
    <w:rsid w:val="5BFE1979"/>
    <w:rsid w:val="5BFF1AC4"/>
    <w:rsid w:val="5C036F81"/>
    <w:rsid w:val="5C047277"/>
    <w:rsid w:val="5C052D02"/>
    <w:rsid w:val="5C0B41BC"/>
    <w:rsid w:val="5C0D7E00"/>
    <w:rsid w:val="5C125416"/>
    <w:rsid w:val="5C181D0C"/>
    <w:rsid w:val="5C184B4C"/>
    <w:rsid w:val="5C1D0C84"/>
    <w:rsid w:val="5C2313D1"/>
    <w:rsid w:val="5C2A09B2"/>
    <w:rsid w:val="5C2D3FFE"/>
    <w:rsid w:val="5C327E1B"/>
    <w:rsid w:val="5C390BF5"/>
    <w:rsid w:val="5C3B2BBF"/>
    <w:rsid w:val="5C3C77A9"/>
    <w:rsid w:val="5C3E7FB9"/>
    <w:rsid w:val="5C4001D5"/>
    <w:rsid w:val="5C4015AE"/>
    <w:rsid w:val="5C401F83"/>
    <w:rsid w:val="5C435E37"/>
    <w:rsid w:val="5C451348"/>
    <w:rsid w:val="5C45759A"/>
    <w:rsid w:val="5C4956B6"/>
    <w:rsid w:val="5C4A2E02"/>
    <w:rsid w:val="5C4E46A0"/>
    <w:rsid w:val="5C515F3F"/>
    <w:rsid w:val="5C563555"/>
    <w:rsid w:val="5C5A1CE2"/>
    <w:rsid w:val="5C5D0D87"/>
    <w:rsid w:val="5C5D48E3"/>
    <w:rsid w:val="5C606182"/>
    <w:rsid w:val="5C622E85"/>
    <w:rsid w:val="5C677510"/>
    <w:rsid w:val="5C700ABB"/>
    <w:rsid w:val="5C7419FB"/>
    <w:rsid w:val="5C7435C7"/>
    <w:rsid w:val="5C7554AD"/>
    <w:rsid w:val="5C7659A5"/>
    <w:rsid w:val="5C817592"/>
    <w:rsid w:val="5C8465BF"/>
    <w:rsid w:val="5C89392A"/>
    <w:rsid w:val="5C8C51C9"/>
    <w:rsid w:val="5C8C6A67"/>
    <w:rsid w:val="5C902F0B"/>
    <w:rsid w:val="5C925110"/>
    <w:rsid w:val="5C935B49"/>
    <w:rsid w:val="5C974299"/>
    <w:rsid w:val="5C9A0B7E"/>
    <w:rsid w:val="5C9C177B"/>
    <w:rsid w:val="5C9D73D6"/>
    <w:rsid w:val="5C9F483D"/>
    <w:rsid w:val="5CA0231D"/>
    <w:rsid w:val="5CA50038"/>
    <w:rsid w:val="5CA849A3"/>
    <w:rsid w:val="5CAD7A90"/>
    <w:rsid w:val="5CB12446"/>
    <w:rsid w:val="5CB16BFB"/>
    <w:rsid w:val="5CBA1D36"/>
    <w:rsid w:val="5CBA7F88"/>
    <w:rsid w:val="5CBD5382"/>
    <w:rsid w:val="5CBF3317"/>
    <w:rsid w:val="5CBF3CB8"/>
    <w:rsid w:val="5CC24933"/>
    <w:rsid w:val="5CC46711"/>
    <w:rsid w:val="5CC6692D"/>
    <w:rsid w:val="5CC901CB"/>
    <w:rsid w:val="5CC976F9"/>
    <w:rsid w:val="5CCB5CF1"/>
    <w:rsid w:val="5CCC1A69"/>
    <w:rsid w:val="5CD5255F"/>
    <w:rsid w:val="5CD74714"/>
    <w:rsid w:val="5CDD3C76"/>
    <w:rsid w:val="5CE4023C"/>
    <w:rsid w:val="5CE40B61"/>
    <w:rsid w:val="5CE47DFD"/>
    <w:rsid w:val="5CE62B2B"/>
    <w:rsid w:val="5CE776DB"/>
    <w:rsid w:val="5CE8654D"/>
    <w:rsid w:val="5CE868B8"/>
    <w:rsid w:val="5CE943C9"/>
    <w:rsid w:val="5CEB7A75"/>
    <w:rsid w:val="5CF50FC0"/>
    <w:rsid w:val="5CF637D8"/>
    <w:rsid w:val="5CF759D5"/>
    <w:rsid w:val="5CF76BF6"/>
    <w:rsid w:val="5CF96C6F"/>
    <w:rsid w:val="5CFE60C6"/>
    <w:rsid w:val="5D0134C1"/>
    <w:rsid w:val="5D073A96"/>
    <w:rsid w:val="5D07484F"/>
    <w:rsid w:val="5D0C2F21"/>
    <w:rsid w:val="5D0E734B"/>
    <w:rsid w:val="5D1256CE"/>
    <w:rsid w:val="5D1551BE"/>
    <w:rsid w:val="5D156F6C"/>
    <w:rsid w:val="5D1643FF"/>
    <w:rsid w:val="5D1744ED"/>
    <w:rsid w:val="5D1A6C78"/>
    <w:rsid w:val="5D1C02FB"/>
    <w:rsid w:val="5D1E5492"/>
    <w:rsid w:val="5D1E6296"/>
    <w:rsid w:val="5D221689"/>
    <w:rsid w:val="5D26561D"/>
    <w:rsid w:val="5D296EBB"/>
    <w:rsid w:val="5D2B2C34"/>
    <w:rsid w:val="5D2F7998"/>
    <w:rsid w:val="5D301FF8"/>
    <w:rsid w:val="5D302AE9"/>
    <w:rsid w:val="5D327B1E"/>
    <w:rsid w:val="5D331AE8"/>
    <w:rsid w:val="5D333896"/>
    <w:rsid w:val="5D335C3A"/>
    <w:rsid w:val="5D35760E"/>
    <w:rsid w:val="5D375134"/>
    <w:rsid w:val="5D392AE2"/>
    <w:rsid w:val="5D395350"/>
    <w:rsid w:val="5D3A69D3"/>
    <w:rsid w:val="5D3D1206"/>
    <w:rsid w:val="5D3D64C3"/>
    <w:rsid w:val="5D4126F9"/>
    <w:rsid w:val="5D437F7D"/>
    <w:rsid w:val="5D447851"/>
    <w:rsid w:val="5D4A02A2"/>
    <w:rsid w:val="5D4A1D97"/>
    <w:rsid w:val="5D4B2CFA"/>
    <w:rsid w:val="5D4E4B80"/>
    <w:rsid w:val="5D4F50C2"/>
    <w:rsid w:val="5D5061F6"/>
    <w:rsid w:val="5D535CE6"/>
    <w:rsid w:val="5D551A5E"/>
    <w:rsid w:val="5D5D0571"/>
    <w:rsid w:val="5D64429D"/>
    <w:rsid w:val="5D667504"/>
    <w:rsid w:val="5D683540"/>
    <w:rsid w:val="5D6C282E"/>
    <w:rsid w:val="5D6D24E6"/>
    <w:rsid w:val="5D6F2B20"/>
    <w:rsid w:val="5D7336BB"/>
    <w:rsid w:val="5D75275C"/>
    <w:rsid w:val="5D752FCB"/>
    <w:rsid w:val="5D775E79"/>
    <w:rsid w:val="5D78609D"/>
    <w:rsid w:val="5D7F0889"/>
    <w:rsid w:val="5D7F339F"/>
    <w:rsid w:val="5D847211"/>
    <w:rsid w:val="5D850596"/>
    <w:rsid w:val="5D8E08B0"/>
    <w:rsid w:val="5D92368B"/>
    <w:rsid w:val="5D927E85"/>
    <w:rsid w:val="5D964551"/>
    <w:rsid w:val="5D9C58DF"/>
    <w:rsid w:val="5D9C768D"/>
    <w:rsid w:val="5D9F4227"/>
    <w:rsid w:val="5DA14CA4"/>
    <w:rsid w:val="5DA17974"/>
    <w:rsid w:val="5DA76D38"/>
    <w:rsid w:val="5DA779D9"/>
    <w:rsid w:val="5DAA7FFC"/>
    <w:rsid w:val="5DAB78D0"/>
    <w:rsid w:val="5DAF767D"/>
    <w:rsid w:val="5DB1426C"/>
    <w:rsid w:val="5DB265C8"/>
    <w:rsid w:val="5DB378D1"/>
    <w:rsid w:val="5DB46785"/>
    <w:rsid w:val="5DB744C7"/>
    <w:rsid w:val="5DB761C8"/>
    <w:rsid w:val="5DBD3056"/>
    <w:rsid w:val="5DBE7604"/>
    <w:rsid w:val="5DC10EA2"/>
    <w:rsid w:val="5DC56BE4"/>
    <w:rsid w:val="5DCB3930"/>
    <w:rsid w:val="5DCC20E0"/>
    <w:rsid w:val="5DCF35BF"/>
    <w:rsid w:val="5DD40BD5"/>
    <w:rsid w:val="5DD76917"/>
    <w:rsid w:val="5DD8276B"/>
    <w:rsid w:val="5DD93833"/>
    <w:rsid w:val="5DDF6716"/>
    <w:rsid w:val="5DEC306F"/>
    <w:rsid w:val="5DED4AF1"/>
    <w:rsid w:val="5DEF58CC"/>
    <w:rsid w:val="5DF00527"/>
    <w:rsid w:val="5DF04B89"/>
    <w:rsid w:val="5DF11EF1"/>
    <w:rsid w:val="5DF2129C"/>
    <w:rsid w:val="5DF30008"/>
    <w:rsid w:val="5DF678BE"/>
    <w:rsid w:val="5DF80ADA"/>
    <w:rsid w:val="5DF947FF"/>
    <w:rsid w:val="5DFB0858"/>
    <w:rsid w:val="5DFB149C"/>
    <w:rsid w:val="5DFB2606"/>
    <w:rsid w:val="5DFC012C"/>
    <w:rsid w:val="5DFD637E"/>
    <w:rsid w:val="5DFE5C52"/>
    <w:rsid w:val="5DFF7C9E"/>
    <w:rsid w:val="5E007C1C"/>
    <w:rsid w:val="5E056FE1"/>
    <w:rsid w:val="5E0771FD"/>
    <w:rsid w:val="5E08087F"/>
    <w:rsid w:val="5E087EF0"/>
    <w:rsid w:val="5E1629C0"/>
    <w:rsid w:val="5E18352B"/>
    <w:rsid w:val="5E1B4A56"/>
    <w:rsid w:val="5E20337F"/>
    <w:rsid w:val="5E211CA5"/>
    <w:rsid w:val="5E231B5D"/>
    <w:rsid w:val="5E234AAD"/>
    <w:rsid w:val="5E253121"/>
    <w:rsid w:val="5E280F21"/>
    <w:rsid w:val="5E2B420B"/>
    <w:rsid w:val="5E2D4789"/>
    <w:rsid w:val="5E2F2BA5"/>
    <w:rsid w:val="5E3478C6"/>
    <w:rsid w:val="5E363060"/>
    <w:rsid w:val="5E3641C2"/>
    <w:rsid w:val="5E385608"/>
    <w:rsid w:val="5E394EDC"/>
    <w:rsid w:val="5E3E6996"/>
    <w:rsid w:val="5E435D5B"/>
    <w:rsid w:val="5E44249D"/>
    <w:rsid w:val="5E461CD5"/>
    <w:rsid w:val="5E467D95"/>
    <w:rsid w:val="5E484D02"/>
    <w:rsid w:val="5E497F75"/>
    <w:rsid w:val="5E4D0988"/>
    <w:rsid w:val="5E56783C"/>
    <w:rsid w:val="5E594391"/>
    <w:rsid w:val="5E597410"/>
    <w:rsid w:val="5E5D6E1D"/>
    <w:rsid w:val="5E5E2B95"/>
    <w:rsid w:val="5E6006BB"/>
    <w:rsid w:val="5E621F03"/>
    <w:rsid w:val="5E622685"/>
    <w:rsid w:val="5E6257BF"/>
    <w:rsid w:val="5E6301AB"/>
    <w:rsid w:val="5E6957C1"/>
    <w:rsid w:val="5E6E5F24"/>
    <w:rsid w:val="5E734892"/>
    <w:rsid w:val="5E757B0E"/>
    <w:rsid w:val="5E764E2D"/>
    <w:rsid w:val="5E7D126D"/>
    <w:rsid w:val="5E7D7F49"/>
    <w:rsid w:val="5E7F0087"/>
    <w:rsid w:val="5E8061E8"/>
    <w:rsid w:val="5E824AD5"/>
    <w:rsid w:val="5E825A96"/>
    <w:rsid w:val="5E84084D"/>
    <w:rsid w:val="5E850A01"/>
    <w:rsid w:val="5E8633D0"/>
    <w:rsid w:val="5E8720EC"/>
    <w:rsid w:val="5E8819C0"/>
    <w:rsid w:val="5E8A207E"/>
    <w:rsid w:val="5E914D18"/>
    <w:rsid w:val="5E92177F"/>
    <w:rsid w:val="5E954AF4"/>
    <w:rsid w:val="5E961741"/>
    <w:rsid w:val="5E9640DD"/>
    <w:rsid w:val="5E987B2B"/>
    <w:rsid w:val="5E9A487F"/>
    <w:rsid w:val="5E9C5B7A"/>
    <w:rsid w:val="5E9F11E3"/>
    <w:rsid w:val="5E9F4D52"/>
    <w:rsid w:val="5EA20CD3"/>
    <w:rsid w:val="5EA46A2E"/>
    <w:rsid w:val="5EA70098"/>
    <w:rsid w:val="5EB06204"/>
    <w:rsid w:val="5EB34C8F"/>
    <w:rsid w:val="5EB87B87"/>
    <w:rsid w:val="5EB91C34"/>
    <w:rsid w:val="5EBA3716"/>
    <w:rsid w:val="5EBA426F"/>
    <w:rsid w:val="5EBC59BB"/>
    <w:rsid w:val="5EC56770"/>
    <w:rsid w:val="5ECE3876"/>
    <w:rsid w:val="5ED06217"/>
    <w:rsid w:val="5ED15115"/>
    <w:rsid w:val="5ED95E7A"/>
    <w:rsid w:val="5EDA221B"/>
    <w:rsid w:val="5EEC1F4F"/>
    <w:rsid w:val="5EEE3F19"/>
    <w:rsid w:val="5EEF00C4"/>
    <w:rsid w:val="5EF01A3F"/>
    <w:rsid w:val="5EF157B7"/>
    <w:rsid w:val="5EF2169C"/>
    <w:rsid w:val="5EF3065B"/>
    <w:rsid w:val="5EF77271"/>
    <w:rsid w:val="5EFA466C"/>
    <w:rsid w:val="5EFC6636"/>
    <w:rsid w:val="5F011E9E"/>
    <w:rsid w:val="5F031CA0"/>
    <w:rsid w:val="5F0454EA"/>
    <w:rsid w:val="5F053010"/>
    <w:rsid w:val="5F0608C4"/>
    <w:rsid w:val="5F0949A4"/>
    <w:rsid w:val="5F0A6B6D"/>
    <w:rsid w:val="5F0D0843"/>
    <w:rsid w:val="5F0E6369"/>
    <w:rsid w:val="5F0F04E8"/>
    <w:rsid w:val="5F131BD1"/>
    <w:rsid w:val="5F150B9D"/>
    <w:rsid w:val="5F155949"/>
    <w:rsid w:val="5F180F96"/>
    <w:rsid w:val="5F1D035A"/>
    <w:rsid w:val="5F1D22C3"/>
    <w:rsid w:val="5F1F0576"/>
    <w:rsid w:val="5F2153BC"/>
    <w:rsid w:val="5F265461"/>
    <w:rsid w:val="5F272BAF"/>
    <w:rsid w:val="5F2931A3"/>
    <w:rsid w:val="5F294F51"/>
    <w:rsid w:val="5F296CFF"/>
    <w:rsid w:val="5F2B0CC9"/>
    <w:rsid w:val="5F304531"/>
    <w:rsid w:val="5F3436E8"/>
    <w:rsid w:val="5F357D99"/>
    <w:rsid w:val="5F36141C"/>
    <w:rsid w:val="5F385194"/>
    <w:rsid w:val="5F3A0F0C"/>
    <w:rsid w:val="5F3B67D0"/>
    <w:rsid w:val="5F3D47CE"/>
    <w:rsid w:val="5F41673E"/>
    <w:rsid w:val="5F4620EA"/>
    <w:rsid w:val="5F4B4EC7"/>
    <w:rsid w:val="5F4F0E5B"/>
    <w:rsid w:val="5F5226F9"/>
    <w:rsid w:val="5F5233E7"/>
    <w:rsid w:val="5F526256"/>
    <w:rsid w:val="5F555D46"/>
    <w:rsid w:val="5F5A7800"/>
    <w:rsid w:val="5F5C0E82"/>
    <w:rsid w:val="5F5C70D4"/>
    <w:rsid w:val="5F5E1B86"/>
    <w:rsid w:val="5F607874"/>
    <w:rsid w:val="5F640B79"/>
    <w:rsid w:val="5F654C8A"/>
    <w:rsid w:val="5F667F53"/>
    <w:rsid w:val="5F68472C"/>
    <w:rsid w:val="5F6B5569"/>
    <w:rsid w:val="5F6D12E1"/>
    <w:rsid w:val="5F7256AE"/>
    <w:rsid w:val="5F742670"/>
    <w:rsid w:val="5F775C8B"/>
    <w:rsid w:val="5F784F49"/>
    <w:rsid w:val="5F795ED8"/>
    <w:rsid w:val="5F824661"/>
    <w:rsid w:val="5F85487D"/>
    <w:rsid w:val="5F874772"/>
    <w:rsid w:val="5F881F20"/>
    <w:rsid w:val="5F8E3006"/>
    <w:rsid w:val="5F8E562C"/>
    <w:rsid w:val="5F950838"/>
    <w:rsid w:val="5F96432A"/>
    <w:rsid w:val="5F9745B0"/>
    <w:rsid w:val="5F97635E"/>
    <w:rsid w:val="5F9905F6"/>
    <w:rsid w:val="5F9C6679"/>
    <w:rsid w:val="5FA36AB1"/>
    <w:rsid w:val="5FA63B0A"/>
    <w:rsid w:val="5FAE0222"/>
    <w:rsid w:val="5FAF15CD"/>
    <w:rsid w:val="5FB07420"/>
    <w:rsid w:val="5FB27537"/>
    <w:rsid w:val="5FB962D5"/>
    <w:rsid w:val="5FBB35B3"/>
    <w:rsid w:val="5FBC7B73"/>
    <w:rsid w:val="5FBF1411"/>
    <w:rsid w:val="5FC133DB"/>
    <w:rsid w:val="5FC249CB"/>
    <w:rsid w:val="5FC5111D"/>
    <w:rsid w:val="5FC5161A"/>
    <w:rsid w:val="5FCA5698"/>
    <w:rsid w:val="5FCE4A2E"/>
    <w:rsid w:val="5FD47D5E"/>
    <w:rsid w:val="5FD90C11"/>
    <w:rsid w:val="5FDB26EF"/>
    <w:rsid w:val="5FE175D9"/>
    <w:rsid w:val="5FE50975"/>
    <w:rsid w:val="5FE570CA"/>
    <w:rsid w:val="5FE64BF0"/>
    <w:rsid w:val="5FEA2932"/>
    <w:rsid w:val="5FED2422"/>
    <w:rsid w:val="5FEE3FDA"/>
    <w:rsid w:val="5FF13CC0"/>
    <w:rsid w:val="5FF72AE6"/>
    <w:rsid w:val="5FF76DFD"/>
    <w:rsid w:val="5FFC08B7"/>
    <w:rsid w:val="60011A2A"/>
    <w:rsid w:val="60031C46"/>
    <w:rsid w:val="600734E4"/>
    <w:rsid w:val="60077599"/>
    <w:rsid w:val="60082DB8"/>
    <w:rsid w:val="600C0AFA"/>
    <w:rsid w:val="600C644D"/>
    <w:rsid w:val="600D101E"/>
    <w:rsid w:val="600D572A"/>
    <w:rsid w:val="600F4147"/>
    <w:rsid w:val="601312D0"/>
    <w:rsid w:val="601A18EE"/>
    <w:rsid w:val="601A5CAC"/>
    <w:rsid w:val="601C4AB5"/>
    <w:rsid w:val="60213E7A"/>
    <w:rsid w:val="60241D9D"/>
    <w:rsid w:val="60275934"/>
    <w:rsid w:val="60275F84"/>
    <w:rsid w:val="602A5424"/>
    <w:rsid w:val="602D6CC3"/>
    <w:rsid w:val="602F205D"/>
    <w:rsid w:val="602F47E9"/>
    <w:rsid w:val="602F5A5D"/>
    <w:rsid w:val="60300E7C"/>
    <w:rsid w:val="60327E35"/>
    <w:rsid w:val="60343BAD"/>
    <w:rsid w:val="60374A20"/>
    <w:rsid w:val="603A0512"/>
    <w:rsid w:val="603B4F3C"/>
    <w:rsid w:val="604007A4"/>
    <w:rsid w:val="60410761"/>
    <w:rsid w:val="6042276E"/>
    <w:rsid w:val="60437128"/>
    <w:rsid w:val="60455DBA"/>
    <w:rsid w:val="604858AA"/>
    <w:rsid w:val="604A517F"/>
    <w:rsid w:val="604C7FF0"/>
    <w:rsid w:val="604E450D"/>
    <w:rsid w:val="60575AEE"/>
    <w:rsid w:val="605A3967"/>
    <w:rsid w:val="605D5F6F"/>
    <w:rsid w:val="605E5D77"/>
    <w:rsid w:val="60601D56"/>
    <w:rsid w:val="60614C37"/>
    <w:rsid w:val="606171FC"/>
    <w:rsid w:val="6062071A"/>
    <w:rsid w:val="60636240"/>
    <w:rsid w:val="6064494A"/>
    <w:rsid w:val="6065020A"/>
    <w:rsid w:val="6065645C"/>
    <w:rsid w:val="606707D6"/>
    <w:rsid w:val="606B2FB1"/>
    <w:rsid w:val="606C6949"/>
    <w:rsid w:val="606D7C2E"/>
    <w:rsid w:val="606F4A42"/>
    <w:rsid w:val="606F72DB"/>
    <w:rsid w:val="60716C29"/>
    <w:rsid w:val="607404DF"/>
    <w:rsid w:val="607522F5"/>
    <w:rsid w:val="607A3D8D"/>
    <w:rsid w:val="607B7A2E"/>
    <w:rsid w:val="60822B6A"/>
    <w:rsid w:val="60830691"/>
    <w:rsid w:val="6088305E"/>
    <w:rsid w:val="60897D30"/>
    <w:rsid w:val="608F5287"/>
    <w:rsid w:val="609216D4"/>
    <w:rsid w:val="60934D78"/>
    <w:rsid w:val="6094289E"/>
    <w:rsid w:val="60966616"/>
    <w:rsid w:val="6098238E"/>
    <w:rsid w:val="609A3629"/>
    <w:rsid w:val="609B3C2C"/>
    <w:rsid w:val="609F72EE"/>
    <w:rsid w:val="60A00F72"/>
    <w:rsid w:val="60A01243"/>
    <w:rsid w:val="60A46F85"/>
    <w:rsid w:val="60A50489"/>
    <w:rsid w:val="60A61275"/>
    <w:rsid w:val="60A84DD7"/>
    <w:rsid w:val="60A855A4"/>
    <w:rsid w:val="60AB546B"/>
    <w:rsid w:val="60AC112E"/>
    <w:rsid w:val="60AC408B"/>
    <w:rsid w:val="60AE1BB1"/>
    <w:rsid w:val="60AF0FFC"/>
    <w:rsid w:val="60B5348B"/>
    <w:rsid w:val="60B71B8D"/>
    <w:rsid w:val="60B94F1A"/>
    <w:rsid w:val="60C00AC0"/>
    <w:rsid w:val="60C2740B"/>
    <w:rsid w:val="60C34B9A"/>
    <w:rsid w:val="60C413D5"/>
    <w:rsid w:val="60C5488B"/>
    <w:rsid w:val="60C66DA7"/>
    <w:rsid w:val="60C969EB"/>
    <w:rsid w:val="60CE074D"/>
    <w:rsid w:val="60D13AF2"/>
    <w:rsid w:val="60D4713E"/>
    <w:rsid w:val="60D809DC"/>
    <w:rsid w:val="60D84E80"/>
    <w:rsid w:val="60DB04CD"/>
    <w:rsid w:val="60E03D35"/>
    <w:rsid w:val="60E07891"/>
    <w:rsid w:val="60E3131D"/>
    <w:rsid w:val="60E400DF"/>
    <w:rsid w:val="60E47381"/>
    <w:rsid w:val="60E52B6C"/>
    <w:rsid w:val="60E530F9"/>
    <w:rsid w:val="60E66AA7"/>
    <w:rsid w:val="60E9697F"/>
    <w:rsid w:val="60EC6236"/>
    <w:rsid w:val="60EF5D26"/>
    <w:rsid w:val="60F00943"/>
    <w:rsid w:val="60F65306"/>
    <w:rsid w:val="60F670B5"/>
    <w:rsid w:val="60F872D1"/>
    <w:rsid w:val="60F90953"/>
    <w:rsid w:val="60FA0D27"/>
    <w:rsid w:val="60FA4C22"/>
    <w:rsid w:val="60FA4DF7"/>
    <w:rsid w:val="60FA6BA5"/>
    <w:rsid w:val="60FA6CC8"/>
    <w:rsid w:val="60FD48E7"/>
    <w:rsid w:val="60FE664A"/>
    <w:rsid w:val="60FF5F74"/>
    <w:rsid w:val="61001CE1"/>
    <w:rsid w:val="6106379C"/>
    <w:rsid w:val="61077514"/>
    <w:rsid w:val="61087662"/>
    <w:rsid w:val="61097B37"/>
    <w:rsid w:val="610B0DB2"/>
    <w:rsid w:val="610C68D8"/>
    <w:rsid w:val="610F0176"/>
    <w:rsid w:val="61114ABA"/>
    <w:rsid w:val="61135EB8"/>
    <w:rsid w:val="611A7247"/>
    <w:rsid w:val="611B6B1B"/>
    <w:rsid w:val="611D37B0"/>
    <w:rsid w:val="611F03B9"/>
    <w:rsid w:val="6129300D"/>
    <w:rsid w:val="612970A2"/>
    <w:rsid w:val="612A51EA"/>
    <w:rsid w:val="612E2CF2"/>
    <w:rsid w:val="613247BC"/>
    <w:rsid w:val="61330C75"/>
    <w:rsid w:val="61396F86"/>
    <w:rsid w:val="613A1697"/>
    <w:rsid w:val="613E6FFE"/>
    <w:rsid w:val="613F6CAD"/>
    <w:rsid w:val="613F71A6"/>
    <w:rsid w:val="61412A26"/>
    <w:rsid w:val="61425A64"/>
    <w:rsid w:val="61446072"/>
    <w:rsid w:val="61453B98"/>
    <w:rsid w:val="6146003C"/>
    <w:rsid w:val="614918DA"/>
    <w:rsid w:val="6155027F"/>
    <w:rsid w:val="61573869"/>
    <w:rsid w:val="615755BD"/>
    <w:rsid w:val="615A3AE7"/>
    <w:rsid w:val="615D3929"/>
    <w:rsid w:val="615F2EAC"/>
    <w:rsid w:val="615F4C5A"/>
    <w:rsid w:val="616B7AA3"/>
    <w:rsid w:val="616C4AAF"/>
    <w:rsid w:val="616D5FBA"/>
    <w:rsid w:val="616D6A24"/>
    <w:rsid w:val="61734BA9"/>
    <w:rsid w:val="617F3F26"/>
    <w:rsid w:val="618273BD"/>
    <w:rsid w:val="6183303E"/>
    <w:rsid w:val="61840B64"/>
    <w:rsid w:val="61842912"/>
    <w:rsid w:val="61881AD9"/>
    <w:rsid w:val="61932B55"/>
    <w:rsid w:val="61952D71"/>
    <w:rsid w:val="619554F8"/>
    <w:rsid w:val="619612AB"/>
    <w:rsid w:val="61970898"/>
    <w:rsid w:val="6198361C"/>
    <w:rsid w:val="619863BE"/>
    <w:rsid w:val="61994610"/>
    <w:rsid w:val="619A3EE4"/>
    <w:rsid w:val="619D55AD"/>
    <w:rsid w:val="61A61F71"/>
    <w:rsid w:val="61A84853"/>
    <w:rsid w:val="61A905CB"/>
    <w:rsid w:val="61B50D1E"/>
    <w:rsid w:val="61B56F70"/>
    <w:rsid w:val="61B60396"/>
    <w:rsid w:val="61BC3E5A"/>
    <w:rsid w:val="61BF394A"/>
    <w:rsid w:val="61BF5AE9"/>
    <w:rsid w:val="61C24DE8"/>
    <w:rsid w:val="61C465CF"/>
    <w:rsid w:val="61C471B3"/>
    <w:rsid w:val="61C55405"/>
    <w:rsid w:val="61C62F2B"/>
    <w:rsid w:val="61C86CA3"/>
    <w:rsid w:val="61CA444D"/>
    <w:rsid w:val="61CB0541"/>
    <w:rsid w:val="61D03DA9"/>
    <w:rsid w:val="61D85FA8"/>
    <w:rsid w:val="61D90E17"/>
    <w:rsid w:val="61DA0784"/>
    <w:rsid w:val="61DA731F"/>
    <w:rsid w:val="61DA7CFF"/>
    <w:rsid w:val="61DE799D"/>
    <w:rsid w:val="61E0301D"/>
    <w:rsid w:val="61E11D46"/>
    <w:rsid w:val="61E141BE"/>
    <w:rsid w:val="61E64AA8"/>
    <w:rsid w:val="61E97BCB"/>
    <w:rsid w:val="61EA6C19"/>
    <w:rsid w:val="61EB0BE3"/>
    <w:rsid w:val="61ED4F4C"/>
    <w:rsid w:val="61F17290"/>
    <w:rsid w:val="61F23D20"/>
    <w:rsid w:val="61F377C5"/>
    <w:rsid w:val="61F41846"/>
    <w:rsid w:val="61F71336"/>
    <w:rsid w:val="61F878F3"/>
    <w:rsid w:val="61FA7256"/>
    <w:rsid w:val="6200643D"/>
    <w:rsid w:val="6203135B"/>
    <w:rsid w:val="620409F7"/>
    <w:rsid w:val="620D0B5A"/>
    <w:rsid w:val="620D375F"/>
    <w:rsid w:val="620F02E9"/>
    <w:rsid w:val="62117068"/>
    <w:rsid w:val="62126170"/>
    <w:rsid w:val="621413E8"/>
    <w:rsid w:val="621517BC"/>
    <w:rsid w:val="62197C87"/>
    <w:rsid w:val="621C6FEF"/>
    <w:rsid w:val="621F15B7"/>
    <w:rsid w:val="62265FBC"/>
    <w:rsid w:val="622A4573"/>
    <w:rsid w:val="622B3982"/>
    <w:rsid w:val="622C5484"/>
    <w:rsid w:val="622F0AD0"/>
    <w:rsid w:val="622F287E"/>
    <w:rsid w:val="622F6D22"/>
    <w:rsid w:val="622F7953"/>
    <w:rsid w:val="62312A9A"/>
    <w:rsid w:val="623460E6"/>
    <w:rsid w:val="62361E5F"/>
    <w:rsid w:val="62364DF1"/>
    <w:rsid w:val="623B56C7"/>
    <w:rsid w:val="623D26D8"/>
    <w:rsid w:val="623E6F65"/>
    <w:rsid w:val="623F32A9"/>
    <w:rsid w:val="62422353"/>
    <w:rsid w:val="6244386E"/>
    <w:rsid w:val="62455343"/>
    <w:rsid w:val="624553E4"/>
    <w:rsid w:val="624731C8"/>
    <w:rsid w:val="62481E88"/>
    <w:rsid w:val="62491799"/>
    <w:rsid w:val="624A76B8"/>
    <w:rsid w:val="624C78D4"/>
    <w:rsid w:val="62522A10"/>
    <w:rsid w:val="62595B4D"/>
    <w:rsid w:val="625A57A9"/>
    <w:rsid w:val="625D388F"/>
    <w:rsid w:val="625E3163"/>
    <w:rsid w:val="626000A8"/>
    <w:rsid w:val="62616D47"/>
    <w:rsid w:val="62626B0C"/>
    <w:rsid w:val="62634C1E"/>
    <w:rsid w:val="626544F2"/>
    <w:rsid w:val="626946AD"/>
    <w:rsid w:val="62724E61"/>
    <w:rsid w:val="627666FF"/>
    <w:rsid w:val="628232F6"/>
    <w:rsid w:val="628472D5"/>
    <w:rsid w:val="628726BA"/>
    <w:rsid w:val="628B1BDE"/>
    <w:rsid w:val="628C1A7E"/>
    <w:rsid w:val="628E1A5B"/>
    <w:rsid w:val="628E5CCA"/>
    <w:rsid w:val="628F77C1"/>
    <w:rsid w:val="62913539"/>
    <w:rsid w:val="6292105F"/>
    <w:rsid w:val="62946B85"/>
    <w:rsid w:val="629628FD"/>
    <w:rsid w:val="629B488E"/>
    <w:rsid w:val="629B6165"/>
    <w:rsid w:val="62A0627F"/>
    <w:rsid w:val="62A56FE4"/>
    <w:rsid w:val="62A74B0A"/>
    <w:rsid w:val="62A849B5"/>
    <w:rsid w:val="62AA45FB"/>
    <w:rsid w:val="62AA63A9"/>
    <w:rsid w:val="62AE5E99"/>
    <w:rsid w:val="62AF1C11"/>
    <w:rsid w:val="62B114E5"/>
    <w:rsid w:val="62B248B2"/>
    <w:rsid w:val="62B2525D"/>
    <w:rsid w:val="62B334AF"/>
    <w:rsid w:val="62B62F9F"/>
    <w:rsid w:val="62B9616B"/>
    <w:rsid w:val="62BA520D"/>
    <w:rsid w:val="62BB05B6"/>
    <w:rsid w:val="62BC2A97"/>
    <w:rsid w:val="62BD60DC"/>
    <w:rsid w:val="62C21870"/>
    <w:rsid w:val="62C236F2"/>
    <w:rsid w:val="62C32833"/>
    <w:rsid w:val="62CC1C3B"/>
    <w:rsid w:val="62CC7D62"/>
    <w:rsid w:val="62CF1BD7"/>
    <w:rsid w:val="62CF4B21"/>
    <w:rsid w:val="62D37149"/>
    <w:rsid w:val="62D96C3F"/>
    <w:rsid w:val="62DB2FA5"/>
    <w:rsid w:val="62DD677E"/>
    <w:rsid w:val="62DE0165"/>
    <w:rsid w:val="62DF7A8A"/>
    <w:rsid w:val="62E278F0"/>
    <w:rsid w:val="62E71660"/>
    <w:rsid w:val="62EA49F7"/>
    <w:rsid w:val="62EC076F"/>
    <w:rsid w:val="62EE78BE"/>
    <w:rsid w:val="62EE7AED"/>
    <w:rsid w:val="62EF025F"/>
    <w:rsid w:val="62EF1E31"/>
    <w:rsid w:val="62F13046"/>
    <w:rsid w:val="62F35FA1"/>
    <w:rsid w:val="62F42FAE"/>
    <w:rsid w:val="62F53AC8"/>
    <w:rsid w:val="62F87114"/>
    <w:rsid w:val="62FB040C"/>
    <w:rsid w:val="62FB30A8"/>
    <w:rsid w:val="62FD472A"/>
    <w:rsid w:val="62FD7923"/>
    <w:rsid w:val="62FF5629"/>
    <w:rsid w:val="630078AD"/>
    <w:rsid w:val="63040FB0"/>
    <w:rsid w:val="630551F9"/>
    <w:rsid w:val="630755A9"/>
    <w:rsid w:val="63097573"/>
    <w:rsid w:val="630B0B6F"/>
    <w:rsid w:val="630B32FD"/>
    <w:rsid w:val="631877B6"/>
    <w:rsid w:val="631A352E"/>
    <w:rsid w:val="631D6B7A"/>
    <w:rsid w:val="6320666B"/>
    <w:rsid w:val="63250BED"/>
    <w:rsid w:val="63260125"/>
    <w:rsid w:val="63272E60"/>
    <w:rsid w:val="632919C3"/>
    <w:rsid w:val="6330791D"/>
    <w:rsid w:val="63323BC9"/>
    <w:rsid w:val="63330FFD"/>
    <w:rsid w:val="63343EC4"/>
    <w:rsid w:val="633640E0"/>
    <w:rsid w:val="63365E8E"/>
    <w:rsid w:val="63377C30"/>
    <w:rsid w:val="633839B4"/>
    <w:rsid w:val="633A00D0"/>
    <w:rsid w:val="633B5253"/>
    <w:rsid w:val="633D0FCB"/>
    <w:rsid w:val="633D546F"/>
    <w:rsid w:val="634467FD"/>
    <w:rsid w:val="63452AE3"/>
    <w:rsid w:val="634630EF"/>
    <w:rsid w:val="634B193A"/>
    <w:rsid w:val="634C116F"/>
    <w:rsid w:val="6351399E"/>
    <w:rsid w:val="63544DA0"/>
    <w:rsid w:val="63545442"/>
    <w:rsid w:val="635527B8"/>
    <w:rsid w:val="63584057"/>
    <w:rsid w:val="63586960"/>
    <w:rsid w:val="635A1B96"/>
    <w:rsid w:val="635D2D54"/>
    <w:rsid w:val="636429FB"/>
    <w:rsid w:val="636447A9"/>
    <w:rsid w:val="636724EC"/>
    <w:rsid w:val="636C5C15"/>
    <w:rsid w:val="636F39C2"/>
    <w:rsid w:val="637335B7"/>
    <w:rsid w:val="63750765"/>
    <w:rsid w:val="637A221F"/>
    <w:rsid w:val="637A5CEE"/>
    <w:rsid w:val="637E728C"/>
    <w:rsid w:val="638210D3"/>
    <w:rsid w:val="63824E00"/>
    <w:rsid w:val="638E5CCA"/>
    <w:rsid w:val="639B133B"/>
    <w:rsid w:val="639C042F"/>
    <w:rsid w:val="639D5F0D"/>
    <w:rsid w:val="63A05DBE"/>
    <w:rsid w:val="63A115BB"/>
    <w:rsid w:val="63A651BC"/>
    <w:rsid w:val="63A70B3A"/>
    <w:rsid w:val="63B0096C"/>
    <w:rsid w:val="63B82D47"/>
    <w:rsid w:val="63BA479C"/>
    <w:rsid w:val="63BF7C32"/>
    <w:rsid w:val="63C45248"/>
    <w:rsid w:val="63C611A9"/>
    <w:rsid w:val="63C75763"/>
    <w:rsid w:val="63C83284"/>
    <w:rsid w:val="63C926D6"/>
    <w:rsid w:val="63CE60C7"/>
    <w:rsid w:val="63D062E3"/>
    <w:rsid w:val="63D57455"/>
    <w:rsid w:val="63D92749"/>
    <w:rsid w:val="63DC4958"/>
    <w:rsid w:val="63E47698"/>
    <w:rsid w:val="63E5460A"/>
    <w:rsid w:val="63EA1225"/>
    <w:rsid w:val="63ED344E"/>
    <w:rsid w:val="63ED479F"/>
    <w:rsid w:val="63F55D49"/>
    <w:rsid w:val="63F73AE6"/>
    <w:rsid w:val="63F83144"/>
    <w:rsid w:val="63FF0976"/>
    <w:rsid w:val="64047D3A"/>
    <w:rsid w:val="64061D04"/>
    <w:rsid w:val="640B2E77"/>
    <w:rsid w:val="640D3093"/>
    <w:rsid w:val="641206A9"/>
    <w:rsid w:val="64122457"/>
    <w:rsid w:val="64137F7D"/>
    <w:rsid w:val="64142CFB"/>
    <w:rsid w:val="64155AA4"/>
    <w:rsid w:val="641D7424"/>
    <w:rsid w:val="641E0DFC"/>
    <w:rsid w:val="6421269A"/>
    <w:rsid w:val="642301C1"/>
    <w:rsid w:val="6424218B"/>
    <w:rsid w:val="64243F39"/>
    <w:rsid w:val="64267CB1"/>
    <w:rsid w:val="6429154F"/>
    <w:rsid w:val="642A7CF8"/>
    <w:rsid w:val="642E6B65"/>
    <w:rsid w:val="64322AF9"/>
    <w:rsid w:val="64326656"/>
    <w:rsid w:val="643360E7"/>
    <w:rsid w:val="64357EF4"/>
    <w:rsid w:val="64395C36"/>
    <w:rsid w:val="643A74EB"/>
    <w:rsid w:val="643B7C00"/>
    <w:rsid w:val="643C436C"/>
    <w:rsid w:val="643E4FFA"/>
    <w:rsid w:val="64446389"/>
    <w:rsid w:val="6445282D"/>
    <w:rsid w:val="64460353"/>
    <w:rsid w:val="64483DE5"/>
    <w:rsid w:val="644A511E"/>
    <w:rsid w:val="644C3BBB"/>
    <w:rsid w:val="644D348F"/>
    <w:rsid w:val="64560441"/>
    <w:rsid w:val="64564FAD"/>
    <w:rsid w:val="645E569D"/>
    <w:rsid w:val="64610CE9"/>
    <w:rsid w:val="64620A40"/>
    <w:rsid w:val="64682077"/>
    <w:rsid w:val="646A5DEF"/>
    <w:rsid w:val="646D58E0"/>
    <w:rsid w:val="64713622"/>
    <w:rsid w:val="64760C38"/>
    <w:rsid w:val="64790728"/>
    <w:rsid w:val="647B54F7"/>
    <w:rsid w:val="647B7FFD"/>
    <w:rsid w:val="647D41B1"/>
    <w:rsid w:val="648038E1"/>
    <w:rsid w:val="64805613"/>
    <w:rsid w:val="64813139"/>
    <w:rsid w:val="648A120A"/>
    <w:rsid w:val="648A46E4"/>
    <w:rsid w:val="648F3AA8"/>
    <w:rsid w:val="649015CE"/>
    <w:rsid w:val="64942E6C"/>
    <w:rsid w:val="6495434A"/>
    <w:rsid w:val="64986E00"/>
    <w:rsid w:val="649A3955"/>
    <w:rsid w:val="649E2313"/>
    <w:rsid w:val="64A21BBD"/>
    <w:rsid w:val="64A62BA0"/>
    <w:rsid w:val="64A77044"/>
    <w:rsid w:val="64AC465A"/>
    <w:rsid w:val="64AD7237"/>
    <w:rsid w:val="64B17EC2"/>
    <w:rsid w:val="64B27796"/>
    <w:rsid w:val="64B452BD"/>
    <w:rsid w:val="64B56676"/>
    <w:rsid w:val="64B90B25"/>
    <w:rsid w:val="64BA625A"/>
    <w:rsid w:val="64BB183B"/>
    <w:rsid w:val="64BD4F76"/>
    <w:rsid w:val="64C71494"/>
    <w:rsid w:val="64D64BB0"/>
    <w:rsid w:val="64D70D63"/>
    <w:rsid w:val="64D771FD"/>
    <w:rsid w:val="64DA6254"/>
    <w:rsid w:val="64DB4467"/>
    <w:rsid w:val="64E2590C"/>
    <w:rsid w:val="64E42046"/>
    <w:rsid w:val="64E57B6C"/>
    <w:rsid w:val="64E9765C"/>
    <w:rsid w:val="64F34037"/>
    <w:rsid w:val="64F833D5"/>
    <w:rsid w:val="64FB113D"/>
    <w:rsid w:val="64FB3760"/>
    <w:rsid w:val="64FF0C2E"/>
    <w:rsid w:val="65000502"/>
    <w:rsid w:val="65030F77"/>
    <w:rsid w:val="65044496"/>
    <w:rsid w:val="65053D6A"/>
    <w:rsid w:val="65076700"/>
    <w:rsid w:val="65091AAC"/>
    <w:rsid w:val="6509385A"/>
    <w:rsid w:val="65102E3B"/>
    <w:rsid w:val="651144BD"/>
    <w:rsid w:val="65136487"/>
    <w:rsid w:val="651421FF"/>
    <w:rsid w:val="65177936"/>
    <w:rsid w:val="65186F5E"/>
    <w:rsid w:val="651F307E"/>
    <w:rsid w:val="6522491C"/>
    <w:rsid w:val="65270184"/>
    <w:rsid w:val="65295CAB"/>
    <w:rsid w:val="652A37D1"/>
    <w:rsid w:val="652A557F"/>
    <w:rsid w:val="652E1513"/>
    <w:rsid w:val="652F2B95"/>
    <w:rsid w:val="652F332F"/>
    <w:rsid w:val="65313143"/>
    <w:rsid w:val="65314B5F"/>
    <w:rsid w:val="653463FD"/>
    <w:rsid w:val="65385EEE"/>
    <w:rsid w:val="65393A14"/>
    <w:rsid w:val="653A1C66"/>
    <w:rsid w:val="653A20A3"/>
    <w:rsid w:val="653B59DE"/>
    <w:rsid w:val="653D52B2"/>
    <w:rsid w:val="653E102A"/>
    <w:rsid w:val="65404DA2"/>
    <w:rsid w:val="654448CB"/>
    <w:rsid w:val="65474383"/>
    <w:rsid w:val="65476131"/>
    <w:rsid w:val="654839FF"/>
    <w:rsid w:val="65491EA9"/>
    <w:rsid w:val="6549634D"/>
    <w:rsid w:val="654A75D3"/>
    <w:rsid w:val="654C6CE4"/>
    <w:rsid w:val="654C7974"/>
    <w:rsid w:val="654E5711"/>
    <w:rsid w:val="65501489"/>
    <w:rsid w:val="655820EC"/>
    <w:rsid w:val="655C44A2"/>
    <w:rsid w:val="655F5048"/>
    <w:rsid w:val="656169D8"/>
    <w:rsid w:val="65645A82"/>
    <w:rsid w:val="65652A5B"/>
    <w:rsid w:val="65681526"/>
    <w:rsid w:val="656C3DE9"/>
    <w:rsid w:val="656C5B5F"/>
    <w:rsid w:val="656D7E7A"/>
    <w:rsid w:val="65715FAF"/>
    <w:rsid w:val="657219D1"/>
    <w:rsid w:val="65750EF0"/>
    <w:rsid w:val="65752C9E"/>
    <w:rsid w:val="65753419"/>
    <w:rsid w:val="657809E0"/>
    <w:rsid w:val="6578669F"/>
    <w:rsid w:val="657F1D6E"/>
    <w:rsid w:val="657F3B1C"/>
    <w:rsid w:val="65801643"/>
    <w:rsid w:val="65815589"/>
    <w:rsid w:val="65822B9D"/>
    <w:rsid w:val="65827169"/>
    <w:rsid w:val="658833FF"/>
    <w:rsid w:val="65911D2C"/>
    <w:rsid w:val="659205A5"/>
    <w:rsid w:val="6593581A"/>
    <w:rsid w:val="659C092C"/>
    <w:rsid w:val="65A457F8"/>
    <w:rsid w:val="65A67180"/>
    <w:rsid w:val="65A672FB"/>
    <w:rsid w:val="65A73073"/>
    <w:rsid w:val="65A75A3F"/>
    <w:rsid w:val="65A977C4"/>
    <w:rsid w:val="65AA7E46"/>
    <w:rsid w:val="65AB4C51"/>
    <w:rsid w:val="65B04D30"/>
    <w:rsid w:val="65B35CE2"/>
    <w:rsid w:val="65B7618D"/>
    <w:rsid w:val="65B80DDC"/>
    <w:rsid w:val="65BC08CD"/>
    <w:rsid w:val="65C07C91"/>
    <w:rsid w:val="65C6799D"/>
    <w:rsid w:val="65C77271"/>
    <w:rsid w:val="65C9243A"/>
    <w:rsid w:val="65CB0B10"/>
    <w:rsid w:val="65D34035"/>
    <w:rsid w:val="65D774B5"/>
    <w:rsid w:val="65D976D1"/>
    <w:rsid w:val="65DC2D1D"/>
    <w:rsid w:val="65DE32B0"/>
    <w:rsid w:val="65E15C63"/>
    <w:rsid w:val="65E24802"/>
    <w:rsid w:val="65E72CC4"/>
    <w:rsid w:val="65E87816"/>
    <w:rsid w:val="65F20A5D"/>
    <w:rsid w:val="65F41882"/>
    <w:rsid w:val="65F53DDF"/>
    <w:rsid w:val="65F91B21"/>
    <w:rsid w:val="65FD10AE"/>
    <w:rsid w:val="65FE44A1"/>
    <w:rsid w:val="66010F6E"/>
    <w:rsid w:val="66036443"/>
    <w:rsid w:val="660810D3"/>
    <w:rsid w:val="660B3602"/>
    <w:rsid w:val="660C63C3"/>
    <w:rsid w:val="660E4EA0"/>
    <w:rsid w:val="660E6C4E"/>
    <w:rsid w:val="661032A7"/>
    <w:rsid w:val="6611705B"/>
    <w:rsid w:val="66117621"/>
    <w:rsid w:val="661529DE"/>
    <w:rsid w:val="661701F9"/>
    <w:rsid w:val="66184849"/>
    <w:rsid w:val="661A250E"/>
    <w:rsid w:val="661B7E1F"/>
    <w:rsid w:val="661F6125"/>
    <w:rsid w:val="661F70AE"/>
    <w:rsid w:val="66201B95"/>
    <w:rsid w:val="662774D5"/>
    <w:rsid w:val="66293A88"/>
    <w:rsid w:val="662B15AE"/>
    <w:rsid w:val="662E109F"/>
    <w:rsid w:val="66303069"/>
    <w:rsid w:val="663336D9"/>
    <w:rsid w:val="66383CCB"/>
    <w:rsid w:val="663C1A0D"/>
    <w:rsid w:val="663C37BC"/>
    <w:rsid w:val="663F14FE"/>
    <w:rsid w:val="663F505A"/>
    <w:rsid w:val="664408C2"/>
    <w:rsid w:val="6646463A"/>
    <w:rsid w:val="664663E8"/>
    <w:rsid w:val="66485C13"/>
    <w:rsid w:val="664B2222"/>
    <w:rsid w:val="66501015"/>
    <w:rsid w:val="66507267"/>
    <w:rsid w:val="66522CE8"/>
    <w:rsid w:val="66576847"/>
    <w:rsid w:val="66577A0E"/>
    <w:rsid w:val="665E55F6"/>
    <w:rsid w:val="665E7BD6"/>
    <w:rsid w:val="66611474"/>
    <w:rsid w:val="66664CDC"/>
    <w:rsid w:val="66674E70"/>
    <w:rsid w:val="666A0329"/>
    <w:rsid w:val="666D0F09"/>
    <w:rsid w:val="66703465"/>
    <w:rsid w:val="66734643"/>
    <w:rsid w:val="66742F55"/>
    <w:rsid w:val="66770C98"/>
    <w:rsid w:val="667967BE"/>
    <w:rsid w:val="667A42E4"/>
    <w:rsid w:val="667A52AC"/>
    <w:rsid w:val="667B0788"/>
    <w:rsid w:val="667B2536"/>
    <w:rsid w:val="667C005C"/>
    <w:rsid w:val="66807B4C"/>
    <w:rsid w:val="66813D3C"/>
    <w:rsid w:val="66872145"/>
    <w:rsid w:val="66875F3C"/>
    <w:rsid w:val="66965794"/>
    <w:rsid w:val="669730E8"/>
    <w:rsid w:val="669929BC"/>
    <w:rsid w:val="669A66A8"/>
    <w:rsid w:val="669C1E7E"/>
    <w:rsid w:val="669D60CE"/>
    <w:rsid w:val="66A114F4"/>
    <w:rsid w:val="66A21CED"/>
    <w:rsid w:val="66A31A8D"/>
    <w:rsid w:val="66A3383B"/>
    <w:rsid w:val="66A5244E"/>
    <w:rsid w:val="66A955AA"/>
    <w:rsid w:val="66AA2E1B"/>
    <w:rsid w:val="66AB26EF"/>
    <w:rsid w:val="66AF0E0A"/>
    <w:rsid w:val="66AF21DF"/>
    <w:rsid w:val="66B1690D"/>
    <w:rsid w:val="66B21CD0"/>
    <w:rsid w:val="66B23A7E"/>
    <w:rsid w:val="66B61C2B"/>
    <w:rsid w:val="66B912B0"/>
    <w:rsid w:val="66C0619B"/>
    <w:rsid w:val="66C537B1"/>
    <w:rsid w:val="66C67529"/>
    <w:rsid w:val="66C92474"/>
    <w:rsid w:val="66CA0DC7"/>
    <w:rsid w:val="66CA526B"/>
    <w:rsid w:val="66CA6024"/>
    <w:rsid w:val="66CB136B"/>
    <w:rsid w:val="66CB25C9"/>
    <w:rsid w:val="66CC0FE3"/>
    <w:rsid w:val="66D167DD"/>
    <w:rsid w:val="66D24120"/>
    <w:rsid w:val="66D32372"/>
    <w:rsid w:val="66D505DD"/>
    <w:rsid w:val="66DB3DEA"/>
    <w:rsid w:val="66DB6495"/>
    <w:rsid w:val="66DE592A"/>
    <w:rsid w:val="66E005EB"/>
    <w:rsid w:val="66E02E1B"/>
    <w:rsid w:val="66E41CDD"/>
    <w:rsid w:val="66E559E1"/>
    <w:rsid w:val="66E6421D"/>
    <w:rsid w:val="66E856F1"/>
    <w:rsid w:val="66EB1746"/>
    <w:rsid w:val="66EC10AB"/>
    <w:rsid w:val="66EC6F90"/>
    <w:rsid w:val="66F04EFF"/>
    <w:rsid w:val="66F3009E"/>
    <w:rsid w:val="66F71800"/>
    <w:rsid w:val="66F75934"/>
    <w:rsid w:val="66FE6CC3"/>
    <w:rsid w:val="67000C8D"/>
    <w:rsid w:val="67002A3B"/>
    <w:rsid w:val="670151B2"/>
    <w:rsid w:val="6703252B"/>
    <w:rsid w:val="670342D9"/>
    <w:rsid w:val="67090333"/>
    <w:rsid w:val="670F0ED0"/>
    <w:rsid w:val="670F2C7E"/>
    <w:rsid w:val="670F43D6"/>
    <w:rsid w:val="6711301F"/>
    <w:rsid w:val="67120D6A"/>
    <w:rsid w:val="6712451C"/>
    <w:rsid w:val="671309C0"/>
    <w:rsid w:val="67147E1B"/>
    <w:rsid w:val="671B7875"/>
    <w:rsid w:val="671F55B7"/>
    <w:rsid w:val="672002AE"/>
    <w:rsid w:val="67206C39"/>
    <w:rsid w:val="6723497B"/>
    <w:rsid w:val="672450A9"/>
    <w:rsid w:val="67265E23"/>
    <w:rsid w:val="67362901"/>
    <w:rsid w:val="67380DFF"/>
    <w:rsid w:val="67395F4D"/>
    <w:rsid w:val="673A3255"/>
    <w:rsid w:val="673B1CAF"/>
    <w:rsid w:val="67402BA0"/>
    <w:rsid w:val="674566A0"/>
    <w:rsid w:val="674B1DDA"/>
    <w:rsid w:val="674E7C4A"/>
    <w:rsid w:val="675049A8"/>
    <w:rsid w:val="675138A6"/>
    <w:rsid w:val="67515045"/>
    <w:rsid w:val="67520936"/>
    <w:rsid w:val="6752360B"/>
    <w:rsid w:val="67580AC9"/>
    <w:rsid w:val="67582A11"/>
    <w:rsid w:val="675A65EF"/>
    <w:rsid w:val="675E7762"/>
    <w:rsid w:val="676062C5"/>
    <w:rsid w:val="676270AE"/>
    <w:rsid w:val="67672ABA"/>
    <w:rsid w:val="676758FB"/>
    <w:rsid w:val="67713939"/>
    <w:rsid w:val="67717495"/>
    <w:rsid w:val="67735735"/>
    <w:rsid w:val="677376B1"/>
    <w:rsid w:val="6774437C"/>
    <w:rsid w:val="6775544F"/>
    <w:rsid w:val="677A7238"/>
    <w:rsid w:val="677B09C4"/>
    <w:rsid w:val="677B47B7"/>
    <w:rsid w:val="67804076"/>
    <w:rsid w:val="678E44EB"/>
    <w:rsid w:val="678E6299"/>
    <w:rsid w:val="678F3DBF"/>
    <w:rsid w:val="67931CC6"/>
    <w:rsid w:val="679367D6"/>
    <w:rsid w:val="6796514D"/>
    <w:rsid w:val="679871D5"/>
    <w:rsid w:val="679B09B6"/>
    <w:rsid w:val="679F2254"/>
    <w:rsid w:val="679F4002"/>
    <w:rsid w:val="679F7B90"/>
    <w:rsid w:val="67A27F96"/>
    <w:rsid w:val="67A519FE"/>
    <w:rsid w:val="67AB6E4B"/>
    <w:rsid w:val="67AC6836"/>
    <w:rsid w:val="67AD680C"/>
    <w:rsid w:val="67AE017B"/>
    <w:rsid w:val="67B05778"/>
    <w:rsid w:val="67B51A77"/>
    <w:rsid w:val="67B53825"/>
    <w:rsid w:val="67C21679"/>
    <w:rsid w:val="67C73559"/>
    <w:rsid w:val="67C82921"/>
    <w:rsid w:val="67CB3049"/>
    <w:rsid w:val="67CD00CB"/>
    <w:rsid w:val="67CE48E7"/>
    <w:rsid w:val="67D0240D"/>
    <w:rsid w:val="67D16185"/>
    <w:rsid w:val="67D225ED"/>
    <w:rsid w:val="67D53EC8"/>
    <w:rsid w:val="67D80513"/>
    <w:rsid w:val="67DA4729"/>
    <w:rsid w:val="67DE621C"/>
    <w:rsid w:val="67DF08A2"/>
    <w:rsid w:val="67DF4D46"/>
    <w:rsid w:val="67E04B62"/>
    <w:rsid w:val="67E10ABE"/>
    <w:rsid w:val="67E20393"/>
    <w:rsid w:val="67E42140"/>
    <w:rsid w:val="67E4410B"/>
    <w:rsid w:val="67E45EB9"/>
    <w:rsid w:val="67E75368"/>
    <w:rsid w:val="67E97973"/>
    <w:rsid w:val="67EA29F0"/>
    <w:rsid w:val="67EE31DB"/>
    <w:rsid w:val="67EF5B5F"/>
    <w:rsid w:val="67F00D02"/>
    <w:rsid w:val="67F325A0"/>
    <w:rsid w:val="67F3390B"/>
    <w:rsid w:val="67F33A35"/>
    <w:rsid w:val="67FA1B80"/>
    <w:rsid w:val="68014CBD"/>
    <w:rsid w:val="6806127D"/>
    <w:rsid w:val="68091DC3"/>
    <w:rsid w:val="6809292A"/>
    <w:rsid w:val="680E2BC8"/>
    <w:rsid w:val="6810519A"/>
    <w:rsid w:val="68106CAE"/>
    <w:rsid w:val="68145290"/>
    <w:rsid w:val="681670EB"/>
    <w:rsid w:val="68197454"/>
    <w:rsid w:val="681B6AFA"/>
    <w:rsid w:val="681C1D4C"/>
    <w:rsid w:val="681C5653"/>
    <w:rsid w:val="681F78D9"/>
    <w:rsid w:val="68210EBB"/>
    <w:rsid w:val="68232E85"/>
    <w:rsid w:val="68242759"/>
    <w:rsid w:val="682463D6"/>
    <w:rsid w:val="68246BFD"/>
    <w:rsid w:val="68257FEF"/>
    <w:rsid w:val="68260162"/>
    <w:rsid w:val="6826248C"/>
    <w:rsid w:val="682637C7"/>
    <w:rsid w:val="68264723"/>
    <w:rsid w:val="682712A3"/>
    <w:rsid w:val="68277C2A"/>
    <w:rsid w:val="68282249"/>
    <w:rsid w:val="682913BC"/>
    <w:rsid w:val="682A68C5"/>
    <w:rsid w:val="682B3AE8"/>
    <w:rsid w:val="68303608"/>
    <w:rsid w:val="683F2B36"/>
    <w:rsid w:val="683F3A37"/>
    <w:rsid w:val="683F57E5"/>
    <w:rsid w:val="683F6A41"/>
    <w:rsid w:val="6841330B"/>
    <w:rsid w:val="68464DC5"/>
    <w:rsid w:val="684828EC"/>
    <w:rsid w:val="68490412"/>
    <w:rsid w:val="68491692"/>
    <w:rsid w:val="684C3FDA"/>
    <w:rsid w:val="684D3A5E"/>
    <w:rsid w:val="684E5A28"/>
    <w:rsid w:val="68504ED0"/>
    <w:rsid w:val="68522EE9"/>
    <w:rsid w:val="68541290"/>
    <w:rsid w:val="685C7FAA"/>
    <w:rsid w:val="685E3D5A"/>
    <w:rsid w:val="68632E35"/>
    <w:rsid w:val="68637725"/>
    <w:rsid w:val="6864524C"/>
    <w:rsid w:val="68684D3C"/>
    <w:rsid w:val="68694610"/>
    <w:rsid w:val="686977AA"/>
    <w:rsid w:val="686C7D58"/>
    <w:rsid w:val="686D4100"/>
    <w:rsid w:val="686E1C26"/>
    <w:rsid w:val="686E3FED"/>
    <w:rsid w:val="68725BBA"/>
    <w:rsid w:val="68774BB2"/>
    <w:rsid w:val="687818ED"/>
    <w:rsid w:val="68786042"/>
    <w:rsid w:val="68790CF7"/>
    <w:rsid w:val="687920A3"/>
    <w:rsid w:val="687A05CB"/>
    <w:rsid w:val="687A681D"/>
    <w:rsid w:val="687F5BE1"/>
    <w:rsid w:val="68804C1A"/>
    <w:rsid w:val="68817BAC"/>
    <w:rsid w:val="688356D2"/>
    <w:rsid w:val="6884144A"/>
    <w:rsid w:val="688558EE"/>
    <w:rsid w:val="6888718C"/>
    <w:rsid w:val="688C30EC"/>
    <w:rsid w:val="688D38DD"/>
    <w:rsid w:val="688D4FC1"/>
    <w:rsid w:val="688F22C8"/>
    <w:rsid w:val="68907DEF"/>
    <w:rsid w:val="6891032A"/>
    <w:rsid w:val="68991D71"/>
    <w:rsid w:val="689A7362"/>
    <w:rsid w:val="68A33FC6"/>
    <w:rsid w:val="68A613C0"/>
    <w:rsid w:val="68A655FF"/>
    <w:rsid w:val="68A95F4A"/>
    <w:rsid w:val="68AF4719"/>
    <w:rsid w:val="68B166E3"/>
    <w:rsid w:val="68B351FB"/>
    <w:rsid w:val="68B36DB8"/>
    <w:rsid w:val="68B41D2F"/>
    <w:rsid w:val="68B93CF2"/>
    <w:rsid w:val="68C06926"/>
    <w:rsid w:val="68C2324F"/>
    <w:rsid w:val="68C46B48"/>
    <w:rsid w:val="68C53F3C"/>
    <w:rsid w:val="68C61A62"/>
    <w:rsid w:val="68C64A8F"/>
    <w:rsid w:val="68CB0E27"/>
    <w:rsid w:val="68CD4B9F"/>
    <w:rsid w:val="68CF4DBB"/>
    <w:rsid w:val="68D00106"/>
    <w:rsid w:val="68D26659"/>
    <w:rsid w:val="68D3156D"/>
    <w:rsid w:val="68D73415"/>
    <w:rsid w:val="68DE6DAC"/>
    <w:rsid w:val="68E85E7D"/>
    <w:rsid w:val="68EC771B"/>
    <w:rsid w:val="68F22857"/>
    <w:rsid w:val="68F353B9"/>
    <w:rsid w:val="68F42334"/>
    <w:rsid w:val="68F7180E"/>
    <w:rsid w:val="68F8169B"/>
    <w:rsid w:val="68F91E38"/>
    <w:rsid w:val="69006D22"/>
    <w:rsid w:val="690650ED"/>
    <w:rsid w:val="69110F2F"/>
    <w:rsid w:val="691427CE"/>
    <w:rsid w:val="69153B11"/>
    <w:rsid w:val="691B1DAE"/>
    <w:rsid w:val="691B3B5C"/>
    <w:rsid w:val="69207B74"/>
    <w:rsid w:val="69230BF2"/>
    <w:rsid w:val="69230C63"/>
    <w:rsid w:val="69252C2D"/>
    <w:rsid w:val="692A0243"/>
    <w:rsid w:val="692A1FF1"/>
    <w:rsid w:val="692D5055"/>
    <w:rsid w:val="692E2C2F"/>
    <w:rsid w:val="693178A3"/>
    <w:rsid w:val="69342E70"/>
    <w:rsid w:val="69351C5B"/>
    <w:rsid w:val="6942558D"/>
    <w:rsid w:val="69425A53"/>
    <w:rsid w:val="69434E61"/>
    <w:rsid w:val="69476A1E"/>
    <w:rsid w:val="694F7CAA"/>
    <w:rsid w:val="69513A22"/>
    <w:rsid w:val="695157D0"/>
    <w:rsid w:val="695452C0"/>
    <w:rsid w:val="69555FB4"/>
    <w:rsid w:val="69557CC5"/>
    <w:rsid w:val="69595134"/>
    <w:rsid w:val="695B03FD"/>
    <w:rsid w:val="695B664F"/>
    <w:rsid w:val="695C7F92"/>
    <w:rsid w:val="695D4175"/>
    <w:rsid w:val="69603C65"/>
    <w:rsid w:val="69635503"/>
    <w:rsid w:val="69671149"/>
    <w:rsid w:val="696763D3"/>
    <w:rsid w:val="696E001A"/>
    <w:rsid w:val="69717C20"/>
    <w:rsid w:val="697A58AB"/>
    <w:rsid w:val="697F233D"/>
    <w:rsid w:val="698060B5"/>
    <w:rsid w:val="69823DE9"/>
    <w:rsid w:val="69856A0A"/>
    <w:rsid w:val="698712D0"/>
    <w:rsid w:val="698931BC"/>
    <w:rsid w:val="69894F6A"/>
    <w:rsid w:val="698971FC"/>
    <w:rsid w:val="698A01B0"/>
    <w:rsid w:val="699131BB"/>
    <w:rsid w:val="699173C9"/>
    <w:rsid w:val="6994390F"/>
    <w:rsid w:val="699745CD"/>
    <w:rsid w:val="699C59EA"/>
    <w:rsid w:val="699D0A15"/>
    <w:rsid w:val="699E4CE4"/>
    <w:rsid w:val="69A25D1C"/>
    <w:rsid w:val="69A753F0"/>
    <w:rsid w:val="69AA3132"/>
    <w:rsid w:val="69AF3C0E"/>
    <w:rsid w:val="69B61AD7"/>
    <w:rsid w:val="69B905E2"/>
    <w:rsid w:val="69B921BA"/>
    <w:rsid w:val="69BD10B7"/>
    <w:rsid w:val="69BD4C13"/>
    <w:rsid w:val="69BE2ADE"/>
    <w:rsid w:val="69BE439F"/>
    <w:rsid w:val="69BE6F8C"/>
    <w:rsid w:val="69BF4E42"/>
    <w:rsid w:val="69BF6D92"/>
    <w:rsid w:val="69C243A3"/>
    <w:rsid w:val="69C51D1A"/>
    <w:rsid w:val="69C729D7"/>
    <w:rsid w:val="69C843D4"/>
    <w:rsid w:val="69D2308E"/>
    <w:rsid w:val="69D511AF"/>
    <w:rsid w:val="69DA212C"/>
    <w:rsid w:val="69DA3ABA"/>
    <w:rsid w:val="69DD3507"/>
    <w:rsid w:val="69DF7B1C"/>
    <w:rsid w:val="69E15434"/>
    <w:rsid w:val="69E313F1"/>
    <w:rsid w:val="69E44DCD"/>
    <w:rsid w:val="69E57EA3"/>
    <w:rsid w:val="69E71C90"/>
    <w:rsid w:val="69E72135"/>
    <w:rsid w:val="69EA2D89"/>
    <w:rsid w:val="69F266EB"/>
    <w:rsid w:val="69F43D63"/>
    <w:rsid w:val="69F5065E"/>
    <w:rsid w:val="69F83509"/>
    <w:rsid w:val="69FA04D3"/>
    <w:rsid w:val="69FF347E"/>
    <w:rsid w:val="69FF3D24"/>
    <w:rsid w:val="69FF4345"/>
    <w:rsid w:val="6A040A94"/>
    <w:rsid w:val="6A10568B"/>
    <w:rsid w:val="6A165325"/>
    <w:rsid w:val="6A197828"/>
    <w:rsid w:val="6A1D56B2"/>
    <w:rsid w:val="6A1F0A77"/>
    <w:rsid w:val="6A1F58CE"/>
    <w:rsid w:val="6A236A13"/>
    <w:rsid w:val="6A2444A4"/>
    <w:rsid w:val="6A2A45B9"/>
    <w:rsid w:val="6A2B4273"/>
    <w:rsid w:val="6A2B42E8"/>
    <w:rsid w:val="6A315F02"/>
    <w:rsid w:val="6A356EA0"/>
    <w:rsid w:val="6A392D95"/>
    <w:rsid w:val="6A3A2708"/>
    <w:rsid w:val="6A3C4A04"/>
    <w:rsid w:val="6A425119"/>
    <w:rsid w:val="6A464C09"/>
    <w:rsid w:val="6A48372D"/>
    <w:rsid w:val="6A4B7D7B"/>
    <w:rsid w:val="6A4E61B3"/>
    <w:rsid w:val="6A55309E"/>
    <w:rsid w:val="6A554E4C"/>
    <w:rsid w:val="6A5570CD"/>
    <w:rsid w:val="6A5D01A4"/>
    <w:rsid w:val="6A617C95"/>
    <w:rsid w:val="6A6432E1"/>
    <w:rsid w:val="6A6652AB"/>
    <w:rsid w:val="6A6921D7"/>
    <w:rsid w:val="6A6D03E7"/>
    <w:rsid w:val="6A6F12DE"/>
    <w:rsid w:val="6A771C37"/>
    <w:rsid w:val="6A772D37"/>
    <w:rsid w:val="6A7F636D"/>
    <w:rsid w:val="6A8058DF"/>
    <w:rsid w:val="6A812074"/>
    <w:rsid w:val="6A8120E5"/>
    <w:rsid w:val="6A816B1C"/>
    <w:rsid w:val="6A8219B9"/>
    <w:rsid w:val="6A843983"/>
    <w:rsid w:val="6A917AEC"/>
    <w:rsid w:val="6A9425AC"/>
    <w:rsid w:val="6A95793E"/>
    <w:rsid w:val="6A98708D"/>
    <w:rsid w:val="6A9A31A7"/>
    <w:rsid w:val="6A9C2A7B"/>
    <w:rsid w:val="6A9C35C2"/>
    <w:rsid w:val="6A9C4DAF"/>
    <w:rsid w:val="6AA07179"/>
    <w:rsid w:val="6AA10091"/>
    <w:rsid w:val="6AA13260"/>
    <w:rsid w:val="6AA15FA4"/>
    <w:rsid w:val="6AA33E09"/>
    <w:rsid w:val="6AA45DD3"/>
    <w:rsid w:val="6AA87672"/>
    <w:rsid w:val="6AAB53B4"/>
    <w:rsid w:val="6AAE1371"/>
    <w:rsid w:val="6AB0499A"/>
    <w:rsid w:val="6AB8422B"/>
    <w:rsid w:val="6ABA1153"/>
    <w:rsid w:val="6ABC311D"/>
    <w:rsid w:val="6AC07F71"/>
    <w:rsid w:val="6AC50223"/>
    <w:rsid w:val="6AC75107"/>
    <w:rsid w:val="6AC87D14"/>
    <w:rsid w:val="6ACA5A68"/>
    <w:rsid w:val="6ACD70D8"/>
    <w:rsid w:val="6AD07310"/>
    <w:rsid w:val="6AD14E1A"/>
    <w:rsid w:val="6AD15F47"/>
    <w:rsid w:val="6AD246EE"/>
    <w:rsid w:val="6AD51D57"/>
    <w:rsid w:val="6AD71D05"/>
    <w:rsid w:val="6AD84EC4"/>
    <w:rsid w:val="6ADA4351"/>
    <w:rsid w:val="6AE03108"/>
    <w:rsid w:val="6AE40FA5"/>
    <w:rsid w:val="6AEA1A38"/>
    <w:rsid w:val="6AF061ED"/>
    <w:rsid w:val="6AF428B7"/>
    <w:rsid w:val="6AF6662F"/>
    <w:rsid w:val="6AFA571E"/>
    <w:rsid w:val="6AFC6811"/>
    <w:rsid w:val="6AFD3D25"/>
    <w:rsid w:val="6AFD72E0"/>
    <w:rsid w:val="6AFF6BBA"/>
    <w:rsid w:val="6B013226"/>
    <w:rsid w:val="6B0303F0"/>
    <w:rsid w:val="6B040422"/>
    <w:rsid w:val="6B0625EA"/>
    <w:rsid w:val="6B0A032C"/>
    <w:rsid w:val="6B0A3A34"/>
    <w:rsid w:val="6B0E7D79"/>
    <w:rsid w:val="6B113469"/>
    <w:rsid w:val="6B1222ED"/>
    <w:rsid w:val="6B124F9C"/>
    <w:rsid w:val="6B142F59"/>
    <w:rsid w:val="6B15282D"/>
    <w:rsid w:val="6B160A7F"/>
    <w:rsid w:val="6B1E16E2"/>
    <w:rsid w:val="6B1E288A"/>
    <w:rsid w:val="6B2036AC"/>
    <w:rsid w:val="6B213462"/>
    <w:rsid w:val="6B252A70"/>
    <w:rsid w:val="6B295E3A"/>
    <w:rsid w:val="6B2B3DFF"/>
    <w:rsid w:val="6B316C7D"/>
    <w:rsid w:val="6B347157"/>
    <w:rsid w:val="6B3709F5"/>
    <w:rsid w:val="6B3766F8"/>
    <w:rsid w:val="6B3929BF"/>
    <w:rsid w:val="6B3B2294"/>
    <w:rsid w:val="6B4E563B"/>
    <w:rsid w:val="6B4F440E"/>
    <w:rsid w:val="6B5126FD"/>
    <w:rsid w:val="6B517D09"/>
    <w:rsid w:val="6B59193D"/>
    <w:rsid w:val="6B5F3ADD"/>
    <w:rsid w:val="6B6123B9"/>
    <w:rsid w:val="6B6A2B79"/>
    <w:rsid w:val="6B6A4927"/>
    <w:rsid w:val="6B6C4B43"/>
    <w:rsid w:val="6B6D4417"/>
    <w:rsid w:val="6B6E2650"/>
    <w:rsid w:val="6B712159"/>
    <w:rsid w:val="6B7439F8"/>
    <w:rsid w:val="6B76151E"/>
    <w:rsid w:val="6B777044"/>
    <w:rsid w:val="6B7852CF"/>
    <w:rsid w:val="6B7B2FD8"/>
    <w:rsid w:val="6B7D28AC"/>
    <w:rsid w:val="6B826114"/>
    <w:rsid w:val="6B8359E9"/>
    <w:rsid w:val="6B851761"/>
    <w:rsid w:val="6B855C05"/>
    <w:rsid w:val="6B87197D"/>
    <w:rsid w:val="6B882FFF"/>
    <w:rsid w:val="6B8B128F"/>
    <w:rsid w:val="6B8E00C8"/>
    <w:rsid w:val="6B9145AA"/>
    <w:rsid w:val="6B930322"/>
    <w:rsid w:val="6B96571C"/>
    <w:rsid w:val="6B9A16B0"/>
    <w:rsid w:val="6B9B71D6"/>
    <w:rsid w:val="6B9D2F4E"/>
    <w:rsid w:val="6BA41E2C"/>
    <w:rsid w:val="6BA51CB8"/>
    <w:rsid w:val="6BA717F9"/>
    <w:rsid w:val="6BA8544F"/>
    <w:rsid w:val="6BAC5757"/>
    <w:rsid w:val="6BAF67DE"/>
    <w:rsid w:val="6BB65DBE"/>
    <w:rsid w:val="6BC009EB"/>
    <w:rsid w:val="6BC6252F"/>
    <w:rsid w:val="6BC711C7"/>
    <w:rsid w:val="6BCD3421"/>
    <w:rsid w:val="6BCE3108"/>
    <w:rsid w:val="6BD13E82"/>
    <w:rsid w:val="6BD314DC"/>
    <w:rsid w:val="6BD36970"/>
    <w:rsid w:val="6BD46244"/>
    <w:rsid w:val="6BD85D34"/>
    <w:rsid w:val="6BD932E0"/>
    <w:rsid w:val="6BDA42E1"/>
    <w:rsid w:val="6BDB5825"/>
    <w:rsid w:val="6BE21B12"/>
    <w:rsid w:val="6BE4292B"/>
    <w:rsid w:val="6BE96194"/>
    <w:rsid w:val="6BEF1CAC"/>
    <w:rsid w:val="6BEF393A"/>
    <w:rsid w:val="6BF608B1"/>
    <w:rsid w:val="6BF61418"/>
    <w:rsid w:val="6BF71434"/>
    <w:rsid w:val="6C0315E5"/>
    <w:rsid w:val="6C03258C"/>
    <w:rsid w:val="6C035A18"/>
    <w:rsid w:val="6C046B2A"/>
    <w:rsid w:val="6C070FF9"/>
    <w:rsid w:val="6C092392"/>
    <w:rsid w:val="6C0D1056"/>
    <w:rsid w:val="6C130940"/>
    <w:rsid w:val="6C134FBF"/>
    <w:rsid w:val="6C150D37"/>
    <w:rsid w:val="6C1672C1"/>
    <w:rsid w:val="6C180827"/>
    <w:rsid w:val="6C240F7A"/>
    <w:rsid w:val="6C262F44"/>
    <w:rsid w:val="6C264998"/>
    <w:rsid w:val="6C292A34"/>
    <w:rsid w:val="6C2947E2"/>
    <w:rsid w:val="6C2C42D2"/>
    <w:rsid w:val="6C327B3B"/>
    <w:rsid w:val="6C353187"/>
    <w:rsid w:val="6C384A25"/>
    <w:rsid w:val="6C3A410F"/>
    <w:rsid w:val="6C3B4AA3"/>
    <w:rsid w:val="6C3E12E7"/>
    <w:rsid w:val="6C472EBA"/>
    <w:rsid w:val="6C495933"/>
    <w:rsid w:val="6C520E5F"/>
    <w:rsid w:val="6C55253B"/>
    <w:rsid w:val="6C5555D7"/>
    <w:rsid w:val="6C57134F"/>
    <w:rsid w:val="6C5775A1"/>
    <w:rsid w:val="6C580B24"/>
    <w:rsid w:val="6C580C23"/>
    <w:rsid w:val="6C5D448C"/>
    <w:rsid w:val="6C5D4D01"/>
    <w:rsid w:val="6C5D623A"/>
    <w:rsid w:val="6C5E0930"/>
    <w:rsid w:val="6C606ADD"/>
    <w:rsid w:val="6C613F7C"/>
    <w:rsid w:val="6C643A6C"/>
    <w:rsid w:val="6C755C79"/>
    <w:rsid w:val="6C7625FC"/>
    <w:rsid w:val="6C765525"/>
    <w:rsid w:val="6C77554D"/>
    <w:rsid w:val="6C7A3FFD"/>
    <w:rsid w:val="6C7C2B64"/>
    <w:rsid w:val="6C7C64C3"/>
    <w:rsid w:val="6C7E0B48"/>
    <w:rsid w:val="6C81461E"/>
    <w:rsid w:val="6C821484"/>
    <w:rsid w:val="6C8400DD"/>
    <w:rsid w:val="6C861C34"/>
    <w:rsid w:val="6C892B57"/>
    <w:rsid w:val="6C8A0530"/>
    <w:rsid w:val="6C8B45EA"/>
    <w:rsid w:val="6C9205D9"/>
    <w:rsid w:val="6C927DF4"/>
    <w:rsid w:val="6C942FCC"/>
    <w:rsid w:val="6C97174C"/>
    <w:rsid w:val="6C9854C4"/>
    <w:rsid w:val="6C9A56E0"/>
    <w:rsid w:val="6C9B4450"/>
    <w:rsid w:val="6C9C1F54"/>
    <w:rsid w:val="6C9D2ADA"/>
    <w:rsid w:val="6CA15179"/>
    <w:rsid w:val="6CA15B15"/>
    <w:rsid w:val="6CA34594"/>
    <w:rsid w:val="6CA4030D"/>
    <w:rsid w:val="6CA67BE1"/>
    <w:rsid w:val="6CAB169B"/>
    <w:rsid w:val="6CAD5413"/>
    <w:rsid w:val="6CAF118B"/>
    <w:rsid w:val="6CB247D7"/>
    <w:rsid w:val="6CB30550"/>
    <w:rsid w:val="6CB70040"/>
    <w:rsid w:val="6CB93A04"/>
    <w:rsid w:val="6CBD3A21"/>
    <w:rsid w:val="6CC02E04"/>
    <w:rsid w:val="6CC13712"/>
    <w:rsid w:val="6CC81EA4"/>
    <w:rsid w:val="6CCD1611"/>
    <w:rsid w:val="6CD30C48"/>
    <w:rsid w:val="6CD40BF2"/>
    <w:rsid w:val="6CD77A3A"/>
    <w:rsid w:val="6CD90324"/>
    <w:rsid w:val="6CDA3D2E"/>
    <w:rsid w:val="6CDA788A"/>
    <w:rsid w:val="6CDB5804"/>
    <w:rsid w:val="6CE10C19"/>
    <w:rsid w:val="6CE55CB0"/>
    <w:rsid w:val="6CE93F4E"/>
    <w:rsid w:val="6CEA21C3"/>
    <w:rsid w:val="6CF21078"/>
    <w:rsid w:val="6CF44DF0"/>
    <w:rsid w:val="6CF964FB"/>
    <w:rsid w:val="6CFA617E"/>
    <w:rsid w:val="6D03513A"/>
    <w:rsid w:val="6D062D75"/>
    <w:rsid w:val="6D07615A"/>
    <w:rsid w:val="6D0907C7"/>
    <w:rsid w:val="6D0B038C"/>
    <w:rsid w:val="6D0B4828"/>
    <w:rsid w:val="6D1014FE"/>
    <w:rsid w:val="6D105FCF"/>
    <w:rsid w:val="6D131803"/>
    <w:rsid w:val="6D156B14"/>
    <w:rsid w:val="6D170ADE"/>
    <w:rsid w:val="6D203E37"/>
    <w:rsid w:val="6D2356D5"/>
    <w:rsid w:val="6D27790C"/>
    <w:rsid w:val="6D285546"/>
    <w:rsid w:val="6D2E0DA9"/>
    <w:rsid w:val="6D2F407A"/>
    <w:rsid w:val="6D3471BE"/>
    <w:rsid w:val="6D350F65"/>
    <w:rsid w:val="6D356354"/>
    <w:rsid w:val="6D366369"/>
    <w:rsid w:val="6D384618"/>
    <w:rsid w:val="6D3B2A1F"/>
    <w:rsid w:val="6D3E250F"/>
    <w:rsid w:val="6D413995"/>
    <w:rsid w:val="6D413DAD"/>
    <w:rsid w:val="6D415B5B"/>
    <w:rsid w:val="6D432AD8"/>
    <w:rsid w:val="6D4A0EB4"/>
    <w:rsid w:val="6D4A2199"/>
    <w:rsid w:val="6D4A21EE"/>
    <w:rsid w:val="6D4D2752"/>
    <w:rsid w:val="6D4F2C2D"/>
    <w:rsid w:val="6D55083B"/>
    <w:rsid w:val="6D5910F7"/>
    <w:rsid w:val="6D594C53"/>
    <w:rsid w:val="6D5C4AC9"/>
    <w:rsid w:val="6D5E28AD"/>
    <w:rsid w:val="6D621711"/>
    <w:rsid w:val="6D673814"/>
    <w:rsid w:val="6D6F30FB"/>
    <w:rsid w:val="6D704ED9"/>
    <w:rsid w:val="6D7318B0"/>
    <w:rsid w:val="6D760E66"/>
    <w:rsid w:val="6D763A57"/>
    <w:rsid w:val="6D765805"/>
    <w:rsid w:val="6D77157D"/>
    <w:rsid w:val="6D7D4DE5"/>
    <w:rsid w:val="6D7E0B5E"/>
    <w:rsid w:val="6D805151"/>
    <w:rsid w:val="6D837F22"/>
    <w:rsid w:val="6D853C9A"/>
    <w:rsid w:val="6D8829E3"/>
    <w:rsid w:val="6D88378A"/>
    <w:rsid w:val="6D8D0DA1"/>
    <w:rsid w:val="6D8D2B4F"/>
    <w:rsid w:val="6D8F68C7"/>
    <w:rsid w:val="6D943EDD"/>
    <w:rsid w:val="6D965EA7"/>
    <w:rsid w:val="6D9B526C"/>
    <w:rsid w:val="6D9D5488"/>
    <w:rsid w:val="6D9E4D5C"/>
    <w:rsid w:val="6DA700B4"/>
    <w:rsid w:val="6DAC7479"/>
    <w:rsid w:val="6DB04D54"/>
    <w:rsid w:val="6DB12CE1"/>
    <w:rsid w:val="6DB36A59"/>
    <w:rsid w:val="6DBC7DE8"/>
    <w:rsid w:val="6DBE53FE"/>
    <w:rsid w:val="6DBF6212"/>
    <w:rsid w:val="6DC02F24"/>
    <w:rsid w:val="6DC04CD2"/>
    <w:rsid w:val="6DC347C2"/>
    <w:rsid w:val="6DC72505"/>
    <w:rsid w:val="6DD10B89"/>
    <w:rsid w:val="6DD32C57"/>
    <w:rsid w:val="6DD5201D"/>
    <w:rsid w:val="6DD53CBD"/>
    <w:rsid w:val="6DD66C0A"/>
    <w:rsid w:val="6DDE1102"/>
    <w:rsid w:val="6DDF784E"/>
    <w:rsid w:val="6DE36C13"/>
    <w:rsid w:val="6DE43A8F"/>
    <w:rsid w:val="6DE4511F"/>
    <w:rsid w:val="6DE54739"/>
    <w:rsid w:val="6DE704B1"/>
    <w:rsid w:val="6DEC5AC7"/>
    <w:rsid w:val="6DEE5CE3"/>
    <w:rsid w:val="6DEF3809"/>
    <w:rsid w:val="6DEF7365"/>
    <w:rsid w:val="6DF02BC2"/>
    <w:rsid w:val="6DF2235C"/>
    <w:rsid w:val="6DF31CF8"/>
    <w:rsid w:val="6DF66946"/>
    <w:rsid w:val="6DF9765E"/>
    <w:rsid w:val="6DFA4688"/>
    <w:rsid w:val="6DFD1A82"/>
    <w:rsid w:val="6DFF490E"/>
    <w:rsid w:val="6E002E86"/>
    <w:rsid w:val="6E032E11"/>
    <w:rsid w:val="6E037D27"/>
    <w:rsid w:val="6E041063"/>
    <w:rsid w:val="6E076DA5"/>
    <w:rsid w:val="6E0A23F1"/>
    <w:rsid w:val="6E0C43BB"/>
    <w:rsid w:val="6E0D6F64"/>
    <w:rsid w:val="6E0F17B6"/>
    <w:rsid w:val="6E0F7A08"/>
    <w:rsid w:val="6E103620"/>
    <w:rsid w:val="6E123C47"/>
    <w:rsid w:val="6E1754F9"/>
    <w:rsid w:val="6E181FB7"/>
    <w:rsid w:val="6E182D60"/>
    <w:rsid w:val="6E1B45FE"/>
    <w:rsid w:val="6E1D3ED3"/>
    <w:rsid w:val="6E1D791F"/>
    <w:rsid w:val="6E1F7C4B"/>
    <w:rsid w:val="6E220329"/>
    <w:rsid w:val="6E25180C"/>
    <w:rsid w:val="6E25722B"/>
    <w:rsid w:val="6E2666E8"/>
    <w:rsid w:val="6E280D0B"/>
    <w:rsid w:val="6E286B47"/>
    <w:rsid w:val="6E292877"/>
    <w:rsid w:val="6E2B2A93"/>
    <w:rsid w:val="6E2C05BA"/>
    <w:rsid w:val="6E2C680B"/>
    <w:rsid w:val="6E326016"/>
    <w:rsid w:val="6E380D0C"/>
    <w:rsid w:val="6E3B25AB"/>
    <w:rsid w:val="6E405E13"/>
    <w:rsid w:val="6E4476B1"/>
    <w:rsid w:val="6E490584"/>
    <w:rsid w:val="6E4C47B8"/>
    <w:rsid w:val="6E5813AF"/>
    <w:rsid w:val="6E5864B7"/>
    <w:rsid w:val="6E5F098F"/>
    <w:rsid w:val="6E6164B5"/>
    <w:rsid w:val="6E63628A"/>
    <w:rsid w:val="6E63661D"/>
    <w:rsid w:val="6E651E4C"/>
    <w:rsid w:val="6E697118"/>
    <w:rsid w:val="6E6B7334"/>
    <w:rsid w:val="6E707791"/>
    <w:rsid w:val="6E751F61"/>
    <w:rsid w:val="6E7F4B8D"/>
    <w:rsid w:val="6E7F53D8"/>
    <w:rsid w:val="6E7F7660"/>
    <w:rsid w:val="6E8472F1"/>
    <w:rsid w:val="6E922B12"/>
    <w:rsid w:val="6E932B2B"/>
    <w:rsid w:val="6E982F4B"/>
    <w:rsid w:val="6E9A5523"/>
    <w:rsid w:val="6E9B274D"/>
    <w:rsid w:val="6E9E36A8"/>
    <w:rsid w:val="6EA014BF"/>
    <w:rsid w:val="6EA0345E"/>
    <w:rsid w:val="6EA2262A"/>
    <w:rsid w:val="6EA63EC8"/>
    <w:rsid w:val="6EA83093"/>
    <w:rsid w:val="6EAB14DE"/>
    <w:rsid w:val="6EB028FA"/>
    <w:rsid w:val="6EB2181E"/>
    <w:rsid w:val="6EB81E4D"/>
    <w:rsid w:val="6EBA3E17"/>
    <w:rsid w:val="6EC10D02"/>
    <w:rsid w:val="6EC343A4"/>
    <w:rsid w:val="6EC66E4A"/>
    <w:rsid w:val="6ECB438B"/>
    <w:rsid w:val="6ECF5F45"/>
    <w:rsid w:val="6ED21161"/>
    <w:rsid w:val="6ED46AFA"/>
    <w:rsid w:val="6ED477D3"/>
    <w:rsid w:val="6ED529FF"/>
    <w:rsid w:val="6ED60C1D"/>
    <w:rsid w:val="6ED85841"/>
    <w:rsid w:val="6EDA6267"/>
    <w:rsid w:val="6EDC7BD6"/>
    <w:rsid w:val="6EE36ECA"/>
    <w:rsid w:val="6EE449F0"/>
    <w:rsid w:val="6EE964AB"/>
    <w:rsid w:val="6EED1AF7"/>
    <w:rsid w:val="6EF015E7"/>
    <w:rsid w:val="6EF3748B"/>
    <w:rsid w:val="6EF410D7"/>
    <w:rsid w:val="6EF64503"/>
    <w:rsid w:val="6EF82458"/>
    <w:rsid w:val="6EF87108"/>
    <w:rsid w:val="6EFC1D3A"/>
    <w:rsid w:val="6EFC7F8C"/>
    <w:rsid w:val="6EFE3D04"/>
    <w:rsid w:val="6EFF2934"/>
    <w:rsid w:val="6F0155A2"/>
    <w:rsid w:val="6F017D76"/>
    <w:rsid w:val="6F0230C8"/>
    <w:rsid w:val="6F023BD1"/>
    <w:rsid w:val="6F06530B"/>
    <w:rsid w:val="6F0848D7"/>
    <w:rsid w:val="6F0926A9"/>
    <w:rsid w:val="6F0B01CF"/>
    <w:rsid w:val="6F0D2199"/>
    <w:rsid w:val="6F0E31FF"/>
    <w:rsid w:val="6F0F1F10"/>
    <w:rsid w:val="6F101B9F"/>
    <w:rsid w:val="6F101C89"/>
    <w:rsid w:val="6F141779"/>
    <w:rsid w:val="6F1E6154"/>
    <w:rsid w:val="6F1F1ECC"/>
    <w:rsid w:val="6F225F5B"/>
    <w:rsid w:val="6F23376B"/>
    <w:rsid w:val="6F275CE9"/>
    <w:rsid w:val="6F275ED3"/>
    <w:rsid w:val="6F2A0B07"/>
    <w:rsid w:val="6F32398A"/>
    <w:rsid w:val="6F345978"/>
    <w:rsid w:val="6F360C4F"/>
    <w:rsid w:val="6F394D3C"/>
    <w:rsid w:val="6F4436E1"/>
    <w:rsid w:val="6F49628C"/>
    <w:rsid w:val="6F4D4C8B"/>
    <w:rsid w:val="6F543924"/>
    <w:rsid w:val="6F55389A"/>
    <w:rsid w:val="6F567B23"/>
    <w:rsid w:val="6F5C0A2B"/>
    <w:rsid w:val="6F5F29D8"/>
    <w:rsid w:val="6F651772"/>
    <w:rsid w:val="6F6A0157"/>
    <w:rsid w:val="6F6A1399"/>
    <w:rsid w:val="6F6D3D3C"/>
    <w:rsid w:val="6F773244"/>
    <w:rsid w:val="6F786C20"/>
    <w:rsid w:val="6F7C10CD"/>
    <w:rsid w:val="6F7D52B5"/>
    <w:rsid w:val="6F7D6FD7"/>
    <w:rsid w:val="6F80296B"/>
    <w:rsid w:val="6F80419E"/>
    <w:rsid w:val="6F810491"/>
    <w:rsid w:val="6F814935"/>
    <w:rsid w:val="6F832A49"/>
    <w:rsid w:val="6F84112B"/>
    <w:rsid w:val="6F855772"/>
    <w:rsid w:val="6F8D5088"/>
    <w:rsid w:val="6F906926"/>
    <w:rsid w:val="6F95454C"/>
    <w:rsid w:val="6F9957DB"/>
    <w:rsid w:val="6F9C0C2D"/>
    <w:rsid w:val="6F9C6B92"/>
    <w:rsid w:val="6FA60798"/>
    <w:rsid w:val="6FAC19B2"/>
    <w:rsid w:val="6FAC43AB"/>
    <w:rsid w:val="6FB10D76"/>
    <w:rsid w:val="6FB26980"/>
    <w:rsid w:val="6FB46AB9"/>
    <w:rsid w:val="6FB61627"/>
    <w:rsid w:val="6FB7699D"/>
    <w:rsid w:val="6FB940CF"/>
    <w:rsid w:val="6FB97C2B"/>
    <w:rsid w:val="6FC14D32"/>
    <w:rsid w:val="6FC2117B"/>
    <w:rsid w:val="6FC22F83"/>
    <w:rsid w:val="6FC35714"/>
    <w:rsid w:val="6FC50CC6"/>
    <w:rsid w:val="6FC84312"/>
    <w:rsid w:val="6FC87AA8"/>
    <w:rsid w:val="6FCA008A"/>
    <w:rsid w:val="6FCD1928"/>
    <w:rsid w:val="6FD64C81"/>
    <w:rsid w:val="6FD74555"/>
    <w:rsid w:val="6FD76303"/>
    <w:rsid w:val="6FDA6FD0"/>
    <w:rsid w:val="6FDB225A"/>
    <w:rsid w:val="6FDC5069"/>
    <w:rsid w:val="6FDC5CBF"/>
    <w:rsid w:val="6FDF1B51"/>
    <w:rsid w:val="6FE217FD"/>
    <w:rsid w:val="6FE663C9"/>
    <w:rsid w:val="6FE836A5"/>
    <w:rsid w:val="6FEA7F06"/>
    <w:rsid w:val="6FEF3B62"/>
    <w:rsid w:val="6FF17619"/>
    <w:rsid w:val="6FF2313D"/>
    <w:rsid w:val="6FF24F26"/>
    <w:rsid w:val="6FF65DE1"/>
    <w:rsid w:val="6FF670D1"/>
    <w:rsid w:val="6FF944CB"/>
    <w:rsid w:val="6FFB0243"/>
    <w:rsid w:val="6FFB46E7"/>
    <w:rsid w:val="6FFC44F1"/>
    <w:rsid w:val="6FFE5F86"/>
    <w:rsid w:val="70052E70"/>
    <w:rsid w:val="700729B8"/>
    <w:rsid w:val="700757EF"/>
    <w:rsid w:val="700C5FA2"/>
    <w:rsid w:val="700E47EB"/>
    <w:rsid w:val="700F1F41"/>
    <w:rsid w:val="700F3CEF"/>
    <w:rsid w:val="70122E20"/>
    <w:rsid w:val="70180DF5"/>
    <w:rsid w:val="701B093A"/>
    <w:rsid w:val="701B2C28"/>
    <w:rsid w:val="701B6B38"/>
    <w:rsid w:val="701C7146"/>
    <w:rsid w:val="701D28B0"/>
    <w:rsid w:val="7020098E"/>
    <w:rsid w:val="702021C6"/>
    <w:rsid w:val="70267017"/>
    <w:rsid w:val="70267E64"/>
    <w:rsid w:val="702720A1"/>
    <w:rsid w:val="702C2AF3"/>
    <w:rsid w:val="703750FD"/>
    <w:rsid w:val="70375E10"/>
    <w:rsid w:val="70411408"/>
    <w:rsid w:val="70421EAC"/>
    <w:rsid w:val="70441BEA"/>
    <w:rsid w:val="70473489"/>
    <w:rsid w:val="704E0CBB"/>
    <w:rsid w:val="70510EFD"/>
    <w:rsid w:val="7051430D"/>
    <w:rsid w:val="7055204A"/>
    <w:rsid w:val="70560B9A"/>
    <w:rsid w:val="7056191E"/>
    <w:rsid w:val="70587444"/>
    <w:rsid w:val="705931BC"/>
    <w:rsid w:val="705C33D8"/>
    <w:rsid w:val="70614685"/>
    <w:rsid w:val="7064228D"/>
    <w:rsid w:val="7065276D"/>
    <w:rsid w:val="70671D7D"/>
    <w:rsid w:val="706C2EEF"/>
    <w:rsid w:val="706F1990"/>
    <w:rsid w:val="70721085"/>
    <w:rsid w:val="707236D3"/>
    <w:rsid w:val="70732556"/>
    <w:rsid w:val="70751679"/>
    <w:rsid w:val="70765B1C"/>
    <w:rsid w:val="70785D38"/>
    <w:rsid w:val="707903FB"/>
    <w:rsid w:val="707B36E0"/>
    <w:rsid w:val="707F0E75"/>
    <w:rsid w:val="7080699B"/>
    <w:rsid w:val="70822628"/>
    <w:rsid w:val="70827AA5"/>
    <w:rsid w:val="70877D29"/>
    <w:rsid w:val="708C17E3"/>
    <w:rsid w:val="708C3591"/>
    <w:rsid w:val="70904454"/>
    <w:rsid w:val="70956D9D"/>
    <w:rsid w:val="709A23FF"/>
    <w:rsid w:val="709B5583"/>
    <w:rsid w:val="709C53B3"/>
    <w:rsid w:val="709D579F"/>
    <w:rsid w:val="709D59C2"/>
    <w:rsid w:val="709F3737"/>
    <w:rsid w:val="709F3AFD"/>
    <w:rsid w:val="70A46B2D"/>
    <w:rsid w:val="70AB1C6A"/>
    <w:rsid w:val="70AB7EBB"/>
    <w:rsid w:val="70AD3C34"/>
    <w:rsid w:val="70B45C10"/>
    <w:rsid w:val="70B623BC"/>
    <w:rsid w:val="70BA00FF"/>
    <w:rsid w:val="70BC000A"/>
    <w:rsid w:val="70BD374B"/>
    <w:rsid w:val="70C25205"/>
    <w:rsid w:val="70C661D2"/>
    <w:rsid w:val="70C86A3E"/>
    <w:rsid w:val="70C87D92"/>
    <w:rsid w:val="70CA4EBA"/>
    <w:rsid w:val="70CC5C20"/>
    <w:rsid w:val="70CF6602"/>
    <w:rsid w:val="70D2369A"/>
    <w:rsid w:val="70D25448"/>
    <w:rsid w:val="70D374C2"/>
    <w:rsid w:val="70D672D5"/>
    <w:rsid w:val="70D94A29"/>
    <w:rsid w:val="70D94D2C"/>
    <w:rsid w:val="70DC0075"/>
    <w:rsid w:val="70DF1913"/>
    <w:rsid w:val="70DF36C1"/>
    <w:rsid w:val="70E02E77"/>
    <w:rsid w:val="70E2572E"/>
    <w:rsid w:val="70E402C9"/>
    <w:rsid w:val="70E433CD"/>
    <w:rsid w:val="70E707C8"/>
    <w:rsid w:val="70EB42B8"/>
    <w:rsid w:val="70ED2282"/>
    <w:rsid w:val="70EE7DA8"/>
    <w:rsid w:val="70EF770A"/>
    <w:rsid w:val="70F03B20"/>
    <w:rsid w:val="70F10AB0"/>
    <w:rsid w:val="70F74EAF"/>
    <w:rsid w:val="70FC24C5"/>
    <w:rsid w:val="70FD7FEB"/>
    <w:rsid w:val="71025602"/>
    <w:rsid w:val="710475CC"/>
    <w:rsid w:val="71055D3D"/>
    <w:rsid w:val="71067B98"/>
    <w:rsid w:val="71072C18"/>
    <w:rsid w:val="710C520A"/>
    <w:rsid w:val="710E3FA6"/>
    <w:rsid w:val="71107D1F"/>
    <w:rsid w:val="71110948"/>
    <w:rsid w:val="71133AA5"/>
    <w:rsid w:val="711364ED"/>
    <w:rsid w:val="7113780F"/>
    <w:rsid w:val="71153587"/>
    <w:rsid w:val="711B73D3"/>
    <w:rsid w:val="71202C04"/>
    <w:rsid w:val="71227B50"/>
    <w:rsid w:val="712554BD"/>
    <w:rsid w:val="71257C6E"/>
    <w:rsid w:val="71267542"/>
    <w:rsid w:val="71297032"/>
    <w:rsid w:val="712D6B22"/>
    <w:rsid w:val="7130216F"/>
    <w:rsid w:val="71333A0D"/>
    <w:rsid w:val="713451B0"/>
    <w:rsid w:val="71347F0C"/>
    <w:rsid w:val="7137174F"/>
    <w:rsid w:val="713734FD"/>
    <w:rsid w:val="71381463"/>
    <w:rsid w:val="713B6DC0"/>
    <w:rsid w:val="713C6D66"/>
    <w:rsid w:val="7141437C"/>
    <w:rsid w:val="7141612A"/>
    <w:rsid w:val="71431EA2"/>
    <w:rsid w:val="71435015"/>
    <w:rsid w:val="71451B18"/>
    <w:rsid w:val="71467BE4"/>
    <w:rsid w:val="7148570A"/>
    <w:rsid w:val="714A4664"/>
    <w:rsid w:val="714D4ACF"/>
    <w:rsid w:val="71502811"/>
    <w:rsid w:val="71542301"/>
    <w:rsid w:val="715467A8"/>
    <w:rsid w:val="715A42ED"/>
    <w:rsid w:val="715E4F2E"/>
    <w:rsid w:val="71600CA6"/>
    <w:rsid w:val="71615653"/>
    <w:rsid w:val="71641E18"/>
    <w:rsid w:val="71645D54"/>
    <w:rsid w:val="71687B5B"/>
    <w:rsid w:val="716A5647"/>
    <w:rsid w:val="716B31A7"/>
    <w:rsid w:val="716D33C3"/>
    <w:rsid w:val="716D41E0"/>
    <w:rsid w:val="716D6F1F"/>
    <w:rsid w:val="716E175E"/>
    <w:rsid w:val="71763E02"/>
    <w:rsid w:val="717C7162"/>
    <w:rsid w:val="717F618F"/>
    <w:rsid w:val="71816E6E"/>
    <w:rsid w:val="71864485"/>
    <w:rsid w:val="718A5D23"/>
    <w:rsid w:val="718F158B"/>
    <w:rsid w:val="71903AC8"/>
    <w:rsid w:val="71946BA2"/>
    <w:rsid w:val="71964074"/>
    <w:rsid w:val="719941B8"/>
    <w:rsid w:val="719C4F57"/>
    <w:rsid w:val="71A14527"/>
    <w:rsid w:val="71A36DE5"/>
    <w:rsid w:val="71A843FB"/>
    <w:rsid w:val="71AF7537"/>
    <w:rsid w:val="71B7406C"/>
    <w:rsid w:val="71B763EC"/>
    <w:rsid w:val="71BB412E"/>
    <w:rsid w:val="71BC1C54"/>
    <w:rsid w:val="71BD534A"/>
    <w:rsid w:val="71C56D5B"/>
    <w:rsid w:val="71C92FAF"/>
    <w:rsid w:val="71D7083C"/>
    <w:rsid w:val="71D720B7"/>
    <w:rsid w:val="71D76B36"/>
    <w:rsid w:val="71D945B4"/>
    <w:rsid w:val="71DB5774"/>
    <w:rsid w:val="71DC30AD"/>
    <w:rsid w:val="71DE5190"/>
    <w:rsid w:val="71E03B95"/>
    <w:rsid w:val="71E56182"/>
    <w:rsid w:val="71E847F7"/>
    <w:rsid w:val="71EA0AA6"/>
    <w:rsid w:val="71EF1778"/>
    <w:rsid w:val="71EF202A"/>
    <w:rsid w:val="71F65166"/>
    <w:rsid w:val="71F907B3"/>
    <w:rsid w:val="71FB4957"/>
    <w:rsid w:val="71FE226D"/>
    <w:rsid w:val="71FE3C29"/>
    <w:rsid w:val="72005FE5"/>
    <w:rsid w:val="72021D5D"/>
    <w:rsid w:val="72022C08"/>
    <w:rsid w:val="72040858"/>
    <w:rsid w:val="720B50E0"/>
    <w:rsid w:val="720D164A"/>
    <w:rsid w:val="7218332F"/>
    <w:rsid w:val="721C50E5"/>
    <w:rsid w:val="72200435"/>
    <w:rsid w:val="722500DF"/>
    <w:rsid w:val="722815B7"/>
    <w:rsid w:val="722C78DA"/>
    <w:rsid w:val="722F68CA"/>
    <w:rsid w:val="7230437E"/>
    <w:rsid w:val="7233178D"/>
    <w:rsid w:val="72377F1C"/>
    <w:rsid w:val="72395053"/>
    <w:rsid w:val="723B701D"/>
    <w:rsid w:val="723D2D95"/>
    <w:rsid w:val="724203AC"/>
    <w:rsid w:val="724759C2"/>
    <w:rsid w:val="724C122A"/>
    <w:rsid w:val="724F2AC9"/>
    <w:rsid w:val="724F4877"/>
    <w:rsid w:val="725B321B"/>
    <w:rsid w:val="725D3437"/>
    <w:rsid w:val="725E381E"/>
    <w:rsid w:val="725F7688"/>
    <w:rsid w:val="7261692B"/>
    <w:rsid w:val="726227FC"/>
    <w:rsid w:val="72623B00"/>
    <w:rsid w:val="726A345E"/>
    <w:rsid w:val="726F4F19"/>
    <w:rsid w:val="72707456"/>
    <w:rsid w:val="7275252F"/>
    <w:rsid w:val="7275482B"/>
    <w:rsid w:val="727B563D"/>
    <w:rsid w:val="727E1145"/>
    <w:rsid w:val="727E20F3"/>
    <w:rsid w:val="727E6F0A"/>
    <w:rsid w:val="727F515C"/>
    <w:rsid w:val="72802C82"/>
    <w:rsid w:val="72833A7C"/>
    <w:rsid w:val="72842591"/>
    <w:rsid w:val="72924F44"/>
    <w:rsid w:val="72933DE9"/>
    <w:rsid w:val="72953A4B"/>
    <w:rsid w:val="729660C5"/>
    <w:rsid w:val="729B2130"/>
    <w:rsid w:val="729B5D0E"/>
    <w:rsid w:val="729B6500"/>
    <w:rsid w:val="729C45C6"/>
    <w:rsid w:val="72A4535D"/>
    <w:rsid w:val="72A46970"/>
    <w:rsid w:val="72A619B2"/>
    <w:rsid w:val="72A93F87"/>
    <w:rsid w:val="72AA05BD"/>
    <w:rsid w:val="72AB41A3"/>
    <w:rsid w:val="72AD0E56"/>
    <w:rsid w:val="72AD508D"/>
    <w:rsid w:val="72AF5315"/>
    <w:rsid w:val="72AF7BC1"/>
    <w:rsid w:val="72BD6285"/>
    <w:rsid w:val="72C25048"/>
    <w:rsid w:val="72C2773E"/>
    <w:rsid w:val="72C60FDD"/>
    <w:rsid w:val="72C842AA"/>
    <w:rsid w:val="72C93D9D"/>
    <w:rsid w:val="72CA7432"/>
    <w:rsid w:val="72CB65F3"/>
    <w:rsid w:val="72CC13EC"/>
    <w:rsid w:val="72D00C15"/>
    <w:rsid w:val="72D059B7"/>
    <w:rsid w:val="72D16012"/>
    <w:rsid w:val="72D52FCE"/>
    <w:rsid w:val="72DA4A88"/>
    <w:rsid w:val="72DA6184"/>
    <w:rsid w:val="72E1242C"/>
    <w:rsid w:val="72E25EE9"/>
    <w:rsid w:val="72E41784"/>
    <w:rsid w:val="72E43211"/>
    <w:rsid w:val="72E476B5"/>
    <w:rsid w:val="72EA51D5"/>
    <w:rsid w:val="72EC6569"/>
    <w:rsid w:val="72ED6265"/>
    <w:rsid w:val="72EE5E3E"/>
    <w:rsid w:val="72F0019E"/>
    <w:rsid w:val="72F01BB6"/>
    <w:rsid w:val="72F0605A"/>
    <w:rsid w:val="72F157E5"/>
    <w:rsid w:val="72F3798E"/>
    <w:rsid w:val="72F5541E"/>
    <w:rsid w:val="72F97630"/>
    <w:rsid w:val="72FC49FE"/>
    <w:rsid w:val="72FD2105"/>
    <w:rsid w:val="7300638B"/>
    <w:rsid w:val="73010267"/>
    <w:rsid w:val="73041B05"/>
    <w:rsid w:val="73092C77"/>
    <w:rsid w:val="7309711B"/>
    <w:rsid w:val="730E4732"/>
    <w:rsid w:val="730E64E0"/>
    <w:rsid w:val="73155AC0"/>
    <w:rsid w:val="73172685"/>
    <w:rsid w:val="731D2320"/>
    <w:rsid w:val="731F693F"/>
    <w:rsid w:val="732263AE"/>
    <w:rsid w:val="732318CF"/>
    <w:rsid w:val="73252B34"/>
    <w:rsid w:val="7329156C"/>
    <w:rsid w:val="732A0E43"/>
    <w:rsid w:val="732C6966"/>
    <w:rsid w:val="73317DD8"/>
    <w:rsid w:val="73326672"/>
    <w:rsid w:val="73373C88"/>
    <w:rsid w:val="73374D00"/>
    <w:rsid w:val="733A10F5"/>
    <w:rsid w:val="733B20A7"/>
    <w:rsid w:val="733B6756"/>
    <w:rsid w:val="733C129F"/>
    <w:rsid w:val="73402431"/>
    <w:rsid w:val="73440153"/>
    <w:rsid w:val="73465C7A"/>
    <w:rsid w:val="734D7008"/>
    <w:rsid w:val="734E2D80"/>
    <w:rsid w:val="73502E3D"/>
    <w:rsid w:val="735465E8"/>
    <w:rsid w:val="735556A1"/>
    <w:rsid w:val="73570411"/>
    <w:rsid w:val="7358775B"/>
    <w:rsid w:val="73593BFF"/>
    <w:rsid w:val="735C36EF"/>
    <w:rsid w:val="735D7C07"/>
    <w:rsid w:val="735E1215"/>
    <w:rsid w:val="735E570A"/>
    <w:rsid w:val="735E7467"/>
    <w:rsid w:val="735F4F8D"/>
    <w:rsid w:val="735F6D3B"/>
    <w:rsid w:val="7360175E"/>
    <w:rsid w:val="736305DA"/>
    <w:rsid w:val="73650303"/>
    <w:rsid w:val="73661E78"/>
    <w:rsid w:val="73691968"/>
    <w:rsid w:val="73693E74"/>
    <w:rsid w:val="736A5E0C"/>
    <w:rsid w:val="736C2987"/>
    <w:rsid w:val="736D3206"/>
    <w:rsid w:val="73724CC1"/>
    <w:rsid w:val="73742891"/>
    <w:rsid w:val="7375652D"/>
    <w:rsid w:val="737E3A6D"/>
    <w:rsid w:val="738249E9"/>
    <w:rsid w:val="73837FCC"/>
    <w:rsid w:val="738467A2"/>
    <w:rsid w:val="738B11F0"/>
    <w:rsid w:val="738B5D82"/>
    <w:rsid w:val="738D1653"/>
    <w:rsid w:val="73952CB2"/>
    <w:rsid w:val="73980B47"/>
    <w:rsid w:val="73991257"/>
    <w:rsid w:val="73995B41"/>
    <w:rsid w:val="739A7D73"/>
    <w:rsid w:val="739F0D0D"/>
    <w:rsid w:val="739F35DC"/>
    <w:rsid w:val="73A11102"/>
    <w:rsid w:val="73A17B8F"/>
    <w:rsid w:val="73A429A0"/>
    <w:rsid w:val="73A63C37"/>
    <w:rsid w:val="73AD0F38"/>
    <w:rsid w:val="73AE23C8"/>
    <w:rsid w:val="73AE37EF"/>
    <w:rsid w:val="73B00CA9"/>
    <w:rsid w:val="73B13A3B"/>
    <w:rsid w:val="73B40E35"/>
    <w:rsid w:val="73B47087"/>
    <w:rsid w:val="73BA6FBC"/>
    <w:rsid w:val="73BB6668"/>
    <w:rsid w:val="73C13552"/>
    <w:rsid w:val="73C42C92"/>
    <w:rsid w:val="73C54EE2"/>
    <w:rsid w:val="73C60B68"/>
    <w:rsid w:val="73CA0659"/>
    <w:rsid w:val="73CA68AB"/>
    <w:rsid w:val="73CB2FAD"/>
    <w:rsid w:val="73D17C39"/>
    <w:rsid w:val="73D43285"/>
    <w:rsid w:val="73D634A1"/>
    <w:rsid w:val="73DB2866"/>
    <w:rsid w:val="73DD5195"/>
    <w:rsid w:val="73DE2937"/>
    <w:rsid w:val="73E3171A"/>
    <w:rsid w:val="73E50A89"/>
    <w:rsid w:val="73E6120B"/>
    <w:rsid w:val="73E831D5"/>
    <w:rsid w:val="73EA7F5B"/>
    <w:rsid w:val="73EB05CF"/>
    <w:rsid w:val="73EB2787"/>
    <w:rsid w:val="73EB324F"/>
    <w:rsid w:val="73EC4A73"/>
    <w:rsid w:val="73F06465"/>
    <w:rsid w:val="73F2766C"/>
    <w:rsid w:val="73F456D6"/>
    <w:rsid w:val="73F73418"/>
    <w:rsid w:val="73FA488D"/>
    <w:rsid w:val="73FB6A64"/>
    <w:rsid w:val="73FE47A6"/>
    <w:rsid w:val="73FE6554"/>
    <w:rsid w:val="7400610E"/>
    <w:rsid w:val="74026044"/>
    <w:rsid w:val="740616BD"/>
    <w:rsid w:val="740645C4"/>
    <w:rsid w:val="7407365B"/>
    <w:rsid w:val="740F42BD"/>
    <w:rsid w:val="74134167"/>
    <w:rsid w:val="741369A5"/>
    <w:rsid w:val="7413731B"/>
    <w:rsid w:val="74142B4F"/>
    <w:rsid w:val="74143FCA"/>
    <w:rsid w:val="7419338E"/>
    <w:rsid w:val="7420471D"/>
    <w:rsid w:val="74237D69"/>
    <w:rsid w:val="74251D33"/>
    <w:rsid w:val="74255EC4"/>
    <w:rsid w:val="742A6B38"/>
    <w:rsid w:val="742B72E4"/>
    <w:rsid w:val="742C1037"/>
    <w:rsid w:val="742D0653"/>
    <w:rsid w:val="742D6E39"/>
    <w:rsid w:val="7433780E"/>
    <w:rsid w:val="743407C7"/>
    <w:rsid w:val="743A07C2"/>
    <w:rsid w:val="743B3304"/>
    <w:rsid w:val="743B414C"/>
    <w:rsid w:val="743B53C0"/>
    <w:rsid w:val="743D4513"/>
    <w:rsid w:val="74471CA9"/>
    <w:rsid w:val="744877CF"/>
    <w:rsid w:val="744A3547"/>
    <w:rsid w:val="744F0B5E"/>
    <w:rsid w:val="7453376F"/>
    <w:rsid w:val="74533E38"/>
    <w:rsid w:val="74546797"/>
    <w:rsid w:val="745469F6"/>
    <w:rsid w:val="745D298F"/>
    <w:rsid w:val="7460720F"/>
    <w:rsid w:val="74654825"/>
    <w:rsid w:val="746740F9"/>
    <w:rsid w:val="74681C20"/>
    <w:rsid w:val="746903FC"/>
    <w:rsid w:val="746A1E3C"/>
    <w:rsid w:val="746A3BEA"/>
    <w:rsid w:val="74744A68"/>
    <w:rsid w:val="7479207F"/>
    <w:rsid w:val="747B1953"/>
    <w:rsid w:val="747C3044"/>
    <w:rsid w:val="747F6B6E"/>
    <w:rsid w:val="748051BB"/>
    <w:rsid w:val="7487479C"/>
    <w:rsid w:val="748C590E"/>
    <w:rsid w:val="748C6691"/>
    <w:rsid w:val="748F53FE"/>
    <w:rsid w:val="74943A03"/>
    <w:rsid w:val="7496678D"/>
    <w:rsid w:val="74982505"/>
    <w:rsid w:val="74996C40"/>
    <w:rsid w:val="749E4CDA"/>
    <w:rsid w:val="749F4B95"/>
    <w:rsid w:val="749F7D37"/>
    <w:rsid w:val="74A00A9E"/>
    <w:rsid w:val="74A0243F"/>
    <w:rsid w:val="74A20C02"/>
    <w:rsid w:val="74A302A1"/>
    <w:rsid w:val="74AB66DC"/>
    <w:rsid w:val="74AE3AD6"/>
    <w:rsid w:val="74B208B5"/>
    <w:rsid w:val="74B361D8"/>
    <w:rsid w:val="74B706C6"/>
    <w:rsid w:val="74BA06CD"/>
    <w:rsid w:val="74BF5CE3"/>
    <w:rsid w:val="74CC0400"/>
    <w:rsid w:val="74CE23CA"/>
    <w:rsid w:val="74D13E3E"/>
    <w:rsid w:val="74D2081A"/>
    <w:rsid w:val="74D84FF7"/>
    <w:rsid w:val="74DF1EE2"/>
    <w:rsid w:val="74E120FE"/>
    <w:rsid w:val="74E131DB"/>
    <w:rsid w:val="74E41BEE"/>
    <w:rsid w:val="74E514C2"/>
    <w:rsid w:val="74E56975"/>
    <w:rsid w:val="74E96020"/>
    <w:rsid w:val="74F00593"/>
    <w:rsid w:val="74F040EF"/>
    <w:rsid w:val="74F51705"/>
    <w:rsid w:val="74FB2A94"/>
    <w:rsid w:val="74FC0CE6"/>
    <w:rsid w:val="74FD05BA"/>
    <w:rsid w:val="75027FA9"/>
    <w:rsid w:val="7503334D"/>
    <w:rsid w:val="75067F17"/>
    <w:rsid w:val="75096F5F"/>
    <w:rsid w:val="750A13FE"/>
    <w:rsid w:val="750E27C7"/>
    <w:rsid w:val="75110FEE"/>
    <w:rsid w:val="75124494"/>
    <w:rsid w:val="75181919"/>
    <w:rsid w:val="751C1388"/>
    <w:rsid w:val="751D046A"/>
    <w:rsid w:val="75271ADB"/>
    <w:rsid w:val="75285EF4"/>
    <w:rsid w:val="75287D2D"/>
    <w:rsid w:val="75297601"/>
    <w:rsid w:val="752B4A48"/>
    <w:rsid w:val="752B5127"/>
    <w:rsid w:val="752E10BB"/>
    <w:rsid w:val="7530273D"/>
    <w:rsid w:val="75312E09"/>
    <w:rsid w:val="7533222E"/>
    <w:rsid w:val="75357D54"/>
    <w:rsid w:val="75384E1C"/>
    <w:rsid w:val="754069D7"/>
    <w:rsid w:val="75466405"/>
    <w:rsid w:val="754D1541"/>
    <w:rsid w:val="754D5211"/>
    <w:rsid w:val="75530B22"/>
    <w:rsid w:val="75542513"/>
    <w:rsid w:val="75577B53"/>
    <w:rsid w:val="7558758D"/>
    <w:rsid w:val="75597265"/>
    <w:rsid w:val="755D4183"/>
    <w:rsid w:val="75610658"/>
    <w:rsid w:val="756165EF"/>
    <w:rsid w:val="7564308B"/>
    <w:rsid w:val="75662603"/>
    <w:rsid w:val="75666D28"/>
    <w:rsid w:val="75683CCB"/>
    <w:rsid w:val="756920F3"/>
    <w:rsid w:val="756B19C7"/>
    <w:rsid w:val="756D27D9"/>
    <w:rsid w:val="756D4344"/>
    <w:rsid w:val="75703482"/>
    <w:rsid w:val="75720FA8"/>
    <w:rsid w:val="75722D56"/>
    <w:rsid w:val="75736F2C"/>
    <w:rsid w:val="7579607C"/>
    <w:rsid w:val="757D16FB"/>
    <w:rsid w:val="757F5473"/>
    <w:rsid w:val="75846F2D"/>
    <w:rsid w:val="75850B31"/>
    <w:rsid w:val="75872C04"/>
    <w:rsid w:val="7589009F"/>
    <w:rsid w:val="758962F1"/>
    <w:rsid w:val="758A3D23"/>
    <w:rsid w:val="758A65EC"/>
    <w:rsid w:val="758D5DE2"/>
    <w:rsid w:val="758F1B5A"/>
    <w:rsid w:val="75914DAC"/>
    <w:rsid w:val="7592164A"/>
    <w:rsid w:val="759233F8"/>
    <w:rsid w:val="75954C96"/>
    <w:rsid w:val="75985DFD"/>
    <w:rsid w:val="759C4277"/>
    <w:rsid w:val="759D1CBC"/>
    <w:rsid w:val="759E0D5A"/>
    <w:rsid w:val="759E7FEF"/>
    <w:rsid w:val="75A1363B"/>
    <w:rsid w:val="75A849CA"/>
    <w:rsid w:val="75AC3F78"/>
    <w:rsid w:val="75B0717F"/>
    <w:rsid w:val="75B11375"/>
    <w:rsid w:val="75B16ECE"/>
    <w:rsid w:val="75B25848"/>
    <w:rsid w:val="75B574BD"/>
    <w:rsid w:val="75B605EA"/>
    <w:rsid w:val="75B72E5F"/>
    <w:rsid w:val="75BA092D"/>
    <w:rsid w:val="75C37A55"/>
    <w:rsid w:val="75C5557C"/>
    <w:rsid w:val="75C73210"/>
    <w:rsid w:val="75CA0DE4"/>
    <w:rsid w:val="75CD61DE"/>
    <w:rsid w:val="75CF3C6A"/>
    <w:rsid w:val="75CF63FA"/>
    <w:rsid w:val="75D237F5"/>
    <w:rsid w:val="75D27C98"/>
    <w:rsid w:val="75D86488"/>
    <w:rsid w:val="75DA14E0"/>
    <w:rsid w:val="75DB6C00"/>
    <w:rsid w:val="75DE03EB"/>
    <w:rsid w:val="75E075B6"/>
    <w:rsid w:val="75E17122"/>
    <w:rsid w:val="75E43022"/>
    <w:rsid w:val="75E55C1E"/>
    <w:rsid w:val="75E614AC"/>
    <w:rsid w:val="75E654AB"/>
    <w:rsid w:val="75EA48E1"/>
    <w:rsid w:val="75EB48B6"/>
    <w:rsid w:val="75F04612"/>
    <w:rsid w:val="75F55735"/>
    <w:rsid w:val="75FB0F9D"/>
    <w:rsid w:val="75FB611F"/>
    <w:rsid w:val="75FB71EF"/>
    <w:rsid w:val="75FD0644"/>
    <w:rsid w:val="75FE45EA"/>
    <w:rsid w:val="75FE6484"/>
    <w:rsid w:val="760029C6"/>
    <w:rsid w:val="760836BA"/>
    <w:rsid w:val="760A7432"/>
    <w:rsid w:val="760B425E"/>
    <w:rsid w:val="760B6D06"/>
    <w:rsid w:val="760D0CD1"/>
    <w:rsid w:val="760F6C17"/>
    <w:rsid w:val="761109C2"/>
    <w:rsid w:val="76164029"/>
    <w:rsid w:val="76170BED"/>
    <w:rsid w:val="761756AB"/>
    <w:rsid w:val="7617607C"/>
    <w:rsid w:val="761958C7"/>
    <w:rsid w:val="76207A49"/>
    <w:rsid w:val="76253106"/>
    <w:rsid w:val="76262652"/>
    <w:rsid w:val="762A7BFC"/>
    <w:rsid w:val="762C1A00"/>
    <w:rsid w:val="762F181E"/>
    <w:rsid w:val="762F6E99"/>
    <w:rsid w:val="7630676D"/>
    <w:rsid w:val="7631219F"/>
    <w:rsid w:val="763444AF"/>
    <w:rsid w:val="76366479"/>
    <w:rsid w:val="76366E28"/>
    <w:rsid w:val="76380DA6"/>
    <w:rsid w:val="763A1038"/>
    <w:rsid w:val="763A3DF9"/>
    <w:rsid w:val="763B3A90"/>
    <w:rsid w:val="763E5411"/>
    <w:rsid w:val="764B35A7"/>
    <w:rsid w:val="764B632B"/>
    <w:rsid w:val="764D731F"/>
    <w:rsid w:val="764F12E9"/>
    <w:rsid w:val="76500BBD"/>
    <w:rsid w:val="76504FC9"/>
    <w:rsid w:val="76510DDE"/>
    <w:rsid w:val="76522B87"/>
    <w:rsid w:val="76592168"/>
    <w:rsid w:val="766444F3"/>
    <w:rsid w:val="766506E4"/>
    <w:rsid w:val="766703E1"/>
    <w:rsid w:val="76672E7E"/>
    <w:rsid w:val="766823AB"/>
    <w:rsid w:val="766905FD"/>
    <w:rsid w:val="766C1E9B"/>
    <w:rsid w:val="766D176F"/>
    <w:rsid w:val="766D79C1"/>
    <w:rsid w:val="766F7295"/>
    <w:rsid w:val="76790114"/>
    <w:rsid w:val="767C687E"/>
    <w:rsid w:val="7680239F"/>
    <w:rsid w:val="7682521B"/>
    <w:rsid w:val="76842C31"/>
    <w:rsid w:val="7684674F"/>
    <w:rsid w:val="76866E1C"/>
    <w:rsid w:val="76883573"/>
    <w:rsid w:val="768C7E47"/>
    <w:rsid w:val="768E0F06"/>
    <w:rsid w:val="768F16E6"/>
    <w:rsid w:val="76937428"/>
    <w:rsid w:val="76992DDA"/>
    <w:rsid w:val="769D6CE0"/>
    <w:rsid w:val="76A07988"/>
    <w:rsid w:val="76A50E7A"/>
    <w:rsid w:val="76A553AD"/>
    <w:rsid w:val="76A72ED3"/>
    <w:rsid w:val="76A827A7"/>
    <w:rsid w:val="76AC673B"/>
    <w:rsid w:val="76AE14D0"/>
    <w:rsid w:val="76B24BBF"/>
    <w:rsid w:val="76B92C06"/>
    <w:rsid w:val="76BC38E1"/>
    <w:rsid w:val="76C770D1"/>
    <w:rsid w:val="76CA582B"/>
    <w:rsid w:val="76CF27C0"/>
    <w:rsid w:val="76CF6AED"/>
    <w:rsid w:val="76D417EE"/>
    <w:rsid w:val="76D4637C"/>
    <w:rsid w:val="76DB2AC7"/>
    <w:rsid w:val="76E2215D"/>
    <w:rsid w:val="76E543D4"/>
    <w:rsid w:val="76E94FCC"/>
    <w:rsid w:val="76EA1012"/>
    <w:rsid w:val="76EA2DC0"/>
    <w:rsid w:val="76EA492D"/>
    <w:rsid w:val="76EE465E"/>
    <w:rsid w:val="76F123A0"/>
    <w:rsid w:val="76FF4B26"/>
    <w:rsid w:val="77007CD3"/>
    <w:rsid w:val="770562E1"/>
    <w:rsid w:val="7709593C"/>
    <w:rsid w:val="770D3B8D"/>
    <w:rsid w:val="771640A9"/>
    <w:rsid w:val="77204A34"/>
    <w:rsid w:val="772067E2"/>
    <w:rsid w:val="772207AC"/>
    <w:rsid w:val="77247EBD"/>
    <w:rsid w:val="77293B77"/>
    <w:rsid w:val="772A2D24"/>
    <w:rsid w:val="772A6DDD"/>
    <w:rsid w:val="772C162A"/>
    <w:rsid w:val="772C33D8"/>
    <w:rsid w:val="772C5186"/>
    <w:rsid w:val="7730025B"/>
    <w:rsid w:val="77336EDA"/>
    <w:rsid w:val="77381D7D"/>
    <w:rsid w:val="773E7CFC"/>
    <w:rsid w:val="773F5EFF"/>
    <w:rsid w:val="77416E84"/>
    <w:rsid w:val="774502E9"/>
    <w:rsid w:val="77453361"/>
    <w:rsid w:val="77453F58"/>
    <w:rsid w:val="77471FC0"/>
    <w:rsid w:val="7747223C"/>
    <w:rsid w:val="77476464"/>
    <w:rsid w:val="77491EA0"/>
    <w:rsid w:val="77493F8A"/>
    <w:rsid w:val="774E334F"/>
    <w:rsid w:val="77534E09"/>
    <w:rsid w:val="77562203"/>
    <w:rsid w:val="77600F2A"/>
    <w:rsid w:val="77613082"/>
    <w:rsid w:val="77615048"/>
    <w:rsid w:val="776808B4"/>
    <w:rsid w:val="776C195E"/>
    <w:rsid w:val="776C64E7"/>
    <w:rsid w:val="7770353A"/>
    <w:rsid w:val="77753D8F"/>
    <w:rsid w:val="77755404"/>
    <w:rsid w:val="7778661E"/>
    <w:rsid w:val="777D1AF5"/>
    <w:rsid w:val="77811976"/>
    <w:rsid w:val="7784090E"/>
    <w:rsid w:val="77846D70"/>
    <w:rsid w:val="77860D3A"/>
    <w:rsid w:val="778B45A3"/>
    <w:rsid w:val="778D7592"/>
    <w:rsid w:val="77925931"/>
    <w:rsid w:val="77936268"/>
    <w:rsid w:val="779571D0"/>
    <w:rsid w:val="7799092E"/>
    <w:rsid w:val="77996CC0"/>
    <w:rsid w:val="779C055E"/>
    <w:rsid w:val="77A13DC6"/>
    <w:rsid w:val="77A47413"/>
    <w:rsid w:val="77A94A29"/>
    <w:rsid w:val="77AB3955"/>
    <w:rsid w:val="77AB69F3"/>
    <w:rsid w:val="77B07B65"/>
    <w:rsid w:val="77B3120C"/>
    <w:rsid w:val="77B353F1"/>
    <w:rsid w:val="77B37656"/>
    <w:rsid w:val="77B51620"/>
    <w:rsid w:val="77BA4E88"/>
    <w:rsid w:val="77BF424C"/>
    <w:rsid w:val="77BF5FFA"/>
    <w:rsid w:val="77C622B3"/>
    <w:rsid w:val="77C67167"/>
    <w:rsid w:val="77CD68CA"/>
    <w:rsid w:val="77CD6969"/>
    <w:rsid w:val="77D10262"/>
    <w:rsid w:val="77D575CC"/>
    <w:rsid w:val="77D6360D"/>
    <w:rsid w:val="77D914FF"/>
    <w:rsid w:val="77E36B46"/>
    <w:rsid w:val="77E43CB3"/>
    <w:rsid w:val="77E85551"/>
    <w:rsid w:val="77E93077"/>
    <w:rsid w:val="77EA39E8"/>
    <w:rsid w:val="77EB4BA3"/>
    <w:rsid w:val="77EC380F"/>
    <w:rsid w:val="77EC3D92"/>
    <w:rsid w:val="77F665A5"/>
    <w:rsid w:val="77F75794"/>
    <w:rsid w:val="77F81E76"/>
    <w:rsid w:val="77F9775E"/>
    <w:rsid w:val="77FE6B23"/>
    <w:rsid w:val="78005F6B"/>
    <w:rsid w:val="78054355"/>
    <w:rsid w:val="780D4FB8"/>
    <w:rsid w:val="78110EE4"/>
    <w:rsid w:val="781400F4"/>
    <w:rsid w:val="781C7056"/>
    <w:rsid w:val="781E71C5"/>
    <w:rsid w:val="78247AC8"/>
    <w:rsid w:val="782567A5"/>
    <w:rsid w:val="78284C25"/>
    <w:rsid w:val="782B3690"/>
    <w:rsid w:val="782E3942"/>
    <w:rsid w:val="78304EA9"/>
    <w:rsid w:val="78394B9C"/>
    <w:rsid w:val="783B7D77"/>
    <w:rsid w:val="783C764B"/>
    <w:rsid w:val="783E07EC"/>
    <w:rsid w:val="7842203E"/>
    <w:rsid w:val="784309DA"/>
    <w:rsid w:val="784E220C"/>
    <w:rsid w:val="785250C1"/>
    <w:rsid w:val="786170B2"/>
    <w:rsid w:val="786372CE"/>
    <w:rsid w:val="78645414"/>
    <w:rsid w:val="786B014C"/>
    <w:rsid w:val="786B1CDE"/>
    <w:rsid w:val="786C6182"/>
    <w:rsid w:val="786F242F"/>
    <w:rsid w:val="786F4220"/>
    <w:rsid w:val="786F5C73"/>
    <w:rsid w:val="7872306D"/>
    <w:rsid w:val="78727511"/>
    <w:rsid w:val="78811502"/>
    <w:rsid w:val="7883019C"/>
    <w:rsid w:val="78850FF2"/>
    <w:rsid w:val="78855302"/>
    <w:rsid w:val="78857244"/>
    <w:rsid w:val="788756E6"/>
    <w:rsid w:val="78886D34"/>
    <w:rsid w:val="788C732E"/>
    <w:rsid w:val="788F4339"/>
    <w:rsid w:val="78936C2A"/>
    <w:rsid w:val="78954E88"/>
    <w:rsid w:val="78961451"/>
    <w:rsid w:val="78970D25"/>
    <w:rsid w:val="789842C8"/>
    <w:rsid w:val="78A000BA"/>
    <w:rsid w:val="78A00B27"/>
    <w:rsid w:val="78A376CA"/>
    <w:rsid w:val="78A51694"/>
    <w:rsid w:val="78AB7723"/>
    <w:rsid w:val="78AF4695"/>
    <w:rsid w:val="78AF725D"/>
    <w:rsid w:val="78AF7473"/>
    <w:rsid w:val="78B51FBF"/>
    <w:rsid w:val="78B611AB"/>
    <w:rsid w:val="78B813C8"/>
    <w:rsid w:val="78BA2A47"/>
    <w:rsid w:val="78C22246"/>
    <w:rsid w:val="78C46997"/>
    <w:rsid w:val="78C63702"/>
    <w:rsid w:val="78C87131"/>
    <w:rsid w:val="78CD32B5"/>
    <w:rsid w:val="78CD4747"/>
    <w:rsid w:val="78CE2999"/>
    <w:rsid w:val="78CF04BF"/>
    <w:rsid w:val="78D21D5D"/>
    <w:rsid w:val="78D50825"/>
    <w:rsid w:val="78D6184E"/>
    <w:rsid w:val="78D816E2"/>
    <w:rsid w:val="78DF33FE"/>
    <w:rsid w:val="78E22755"/>
    <w:rsid w:val="78E33148"/>
    <w:rsid w:val="78E71CAD"/>
    <w:rsid w:val="78EB5000"/>
    <w:rsid w:val="78EC2E1F"/>
    <w:rsid w:val="78EC72C3"/>
    <w:rsid w:val="78EE4DE9"/>
    <w:rsid w:val="78F32400"/>
    <w:rsid w:val="78F42BEF"/>
    <w:rsid w:val="78FB5758"/>
    <w:rsid w:val="78FB7506"/>
    <w:rsid w:val="79022643"/>
    <w:rsid w:val="790378CF"/>
    <w:rsid w:val="79053EE1"/>
    <w:rsid w:val="79091C23"/>
    <w:rsid w:val="790939D1"/>
    <w:rsid w:val="790A14F7"/>
    <w:rsid w:val="790A7749"/>
    <w:rsid w:val="790C34C1"/>
    <w:rsid w:val="790F4D60"/>
    <w:rsid w:val="79184546"/>
    <w:rsid w:val="79187B3A"/>
    <w:rsid w:val="7919007E"/>
    <w:rsid w:val="791A10F0"/>
    <w:rsid w:val="791B3704"/>
    <w:rsid w:val="791D747D"/>
    <w:rsid w:val="791F1447"/>
    <w:rsid w:val="792325CB"/>
    <w:rsid w:val="79244451"/>
    <w:rsid w:val="792539C4"/>
    <w:rsid w:val="79296364"/>
    <w:rsid w:val="792B7DEB"/>
    <w:rsid w:val="792F40B6"/>
    <w:rsid w:val="793067C1"/>
    <w:rsid w:val="7936053E"/>
    <w:rsid w:val="79383DC0"/>
    <w:rsid w:val="793B7903"/>
    <w:rsid w:val="793D7B1F"/>
    <w:rsid w:val="79406C7D"/>
    <w:rsid w:val="79424F6E"/>
    <w:rsid w:val="79440EAD"/>
    <w:rsid w:val="794445C2"/>
    <w:rsid w:val="794762A8"/>
    <w:rsid w:val="794B223C"/>
    <w:rsid w:val="794D0F04"/>
    <w:rsid w:val="794D2D86"/>
    <w:rsid w:val="794E3ADA"/>
    <w:rsid w:val="79507900"/>
    <w:rsid w:val="795804B5"/>
    <w:rsid w:val="795814B0"/>
    <w:rsid w:val="795A5FDB"/>
    <w:rsid w:val="795A61A3"/>
    <w:rsid w:val="795D3D1D"/>
    <w:rsid w:val="796706F8"/>
    <w:rsid w:val="796E035F"/>
    <w:rsid w:val="796F62A7"/>
    <w:rsid w:val="79773198"/>
    <w:rsid w:val="79795DC5"/>
    <w:rsid w:val="797A667D"/>
    <w:rsid w:val="79872B48"/>
    <w:rsid w:val="79894B12"/>
    <w:rsid w:val="798A40ED"/>
    <w:rsid w:val="798C57CF"/>
    <w:rsid w:val="798D5FC4"/>
    <w:rsid w:val="79982FA7"/>
    <w:rsid w:val="79986A30"/>
    <w:rsid w:val="799C4845"/>
    <w:rsid w:val="79A2678F"/>
    <w:rsid w:val="79A454A8"/>
    <w:rsid w:val="79A501FE"/>
    <w:rsid w:val="79A77C45"/>
    <w:rsid w:val="79A90D10"/>
    <w:rsid w:val="79B50780"/>
    <w:rsid w:val="79B7167F"/>
    <w:rsid w:val="79B7342D"/>
    <w:rsid w:val="79B95C7B"/>
    <w:rsid w:val="79C15918"/>
    <w:rsid w:val="79C32A4E"/>
    <w:rsid w:val="79C913B2"/>
    <w:rsid w:val="79CB6613"/>
    <w:rsid w:val="79CB6ED9"/>
    <w:rsid w:val="79CD0EA3"/>
    <w:rsid w:val="79D0629D"/>
    <w:rsid w:val="79D42231"/>
    <w:rsid w:val="79D45899"/>
    <w:rsid w:val="79D55FA9"/>
    <w:rsid w:val="79D6193D"/>
    <w:rsid w:val="79DB12C6"/>
    <w:rsid w:val="79DD7AC2"/>
    <w:rsid w:val="79E07D62"/>
    <w:rsid w:val="79E17841"/>
    <w:rsid w:val="79E31F95"/>
    <w:rsid w:val="79E53808"/>
    <w:rsid w:val="79E61F64"/>
    <w:rsid w:val="79E75577"/>
    <w:rsid w:val="79E81839"/>
    <w:rsid w:val="79EB757B"/>
    <w:rsid w:val="79EE2C15"/>
    <w:rsid w:val="79F062B0"/>
    <w:rsid w:val="79F71A7C"/>
    <w:rsid w:val="79FB18D8"/>
    <w:rsid w:val="79FC52E4"/>
    <w:rsid w:val="79FC56BA"/>
    <w:rsid w:val="79FF3026"/>
    <w:rsid w:val="7A014471"/>
    <w:rsid w:val="7A044199"/>
    <w:rsid w:val="7A0B6B34"/>
    <w:rsid w:val="7A1370BB"/>
    <w:rsid w:val="7A141389"/>
    <w:rsid w:val="7A170CA8"/>
    <w:rsid w:val="7A184D5E"/>
    <w:rsid w:val="7A1940E8"/>
    <w:rsid w:val="7A1E3999"/>
    <w:rsid w:val="7A212F9C"/>
    <w:rsid w:val="7A213F0E"/>
    <w:rsid w:val="7A2B310F"/>
    <w:rsid w:val="7A2B5BC9"/>
    <w:rsid w:val="7A2F56B9"/>
    <w:rsid w:val="7A322091"/>
    <w:rsid w:val="7A3251AA"/>
    <w:rsid w:val="7A356A48"/>
    <w:rsid w:val="7A3721E5"/>
    <w:rsid w:val="7A376CA1"/>
    <w:rsid w:val="7A3A405E"/>
    <w:rsid w:val="7A3C7DD6"/>
    <w:rsid w:val="7A3F2C70"/>
    <w:rsid w:val="7A401675"/>
    <w:rsid w:val="7A440A39"/>
    <w:rsid w:val="7A456C8B"/>
    <w:rsid w:val="7A466140"/>
    <w:rsid w:val="7A4B626B"/>
    <w:rsid w:val="7A506BCF"/>
    <w:rsid w:val="7A513882"/>
    <w:rsid w:val="7A5661C7"/>
    <w:rsid w:val="7A597B8B"/>
    <w:rsid w:val="7A5A200A"/>
    <w:rsid w:val="7A5C004B"/>
    <w:rsid w:val="7A5C2227"/>
    <w:rsid w:val="7A5C507C"/>
    <w:rsid w:val="7A5C51B6"/>
    <w:rsid w:val="7A5D0FDA"/>
    <w:rsid w:val="7A6115EB"/>
    <w:rsid w:val="7A6A04A0"/>
    <w:rsid w:val="7A6A7689"/>
    <w:rsid w:val="7A6B18FD"/>
    <w:rsid w:val="7A6D4434"/>
    <w:rsid w:val="7A71000D"/>
    <w:rsid w:val="7A722BAF"/>
    <w:rsid w:val="7A7364B4"/>
    <w:rsid w:val="7A746A4C"/>
    <w:rsid w:val="7A7670B3"/>
    <w:rsid w:val="7A770168"/>
    <w:rsid w:val="7A7B26AD"/>
    <w:rsid w:val="7A7C4677"/>
    <w:rsid w:val="7A7F1A71"/>
    <w:rsid w:val="7A811C8D"/>
    <w:rsid w:val="7A846E66"/>
    <w:rsid w:val="7A886B78"/>
    <w:rsid w:val="7A897A95"/>
    <w:rsid w:val="7A8A69B9"/>
    <w:rsid w:val="7A8C48BA"/>
    <w:rsid w:val="7A8F7F06"/>
    <w:rsid w:val="7A9078BD"/>
    <w:rsid w:val="7A9D4E2F"/>
    <w:rsid w:val="7A9F5054"/>
    <w:rsid w:val="7AA02113"/>
    <w:rsid w:val="7AA112D1"/>
    <w:rsid w:val="7AA42620"/>
    <w:rsid w:val="7AA65447"/>
    <w:rsid w:val="7AAC2C90"/>
    <w:rsid w:val="7AAD2A82"/>
    <w:rsid w:val="7AAD65DE"/>
    <w:rsid w:val="7AB14320"/>
    <w:rsid w:val="7AB160CE"/>
    <w:rsid w:val="7AB20098"/>
    <w:rsid w:val="7AB2345B"/>
    <w:rsid w:val="7AB61208"/>
    <w:rsid w:val="7AB77493"/>
    <w:rsid w:val="7ABB080A"/>
    <w:rsid w:val="7ABB6F28"/>
    <w:rsid w:val="7AC11E4A"/>
    <w:rsid w:val="7AC13549"/>
    <w:rsid w:val="7AC31DEF"/>
    <w:rsid w:val="7AC322A6"/>
    <w:rsid w:val="7AC51B7A"/>
    <w:rsid w:val="7ACB4CB6"/>
    <w:rsid w:val="7AD4000F"/>
    <w:rsid w:val="7AD81021"/>
    <w:rsid w:val="7ADC7F09"/>
    <w:rsid w:val="7ADF410A"/>
    <w:rsid w:val="7AE00762"/>
    <w:rsid w:val="7AE168FA"/>
    <w:rsid w:val="7AE2097E"/>
    <w:rsid w:val="7AE24CA4"/>
    <w:rsid w:val="7AE61CC6"/>
    <w:rsid w:val="7AE70D64"/>
    <w:rsid w:val="7AE77D42"/>
    <w:rsid w:val="7AEF4E49"/>
    <w:rsid w:val="7AF81F4F"/>
    <w:rsid w:val="7AFB37ED"/>
    <w:rsid w:val="7AFD4C76"/>
    <w:rsid w:val="7AFD57B8"/>
    <w:rsid w:val="7AFE508C"/>
    <w:rsid w:val="7B007056"/>
    <w:rsid w:val="7B0127FC"/>
    <w:rsid w:val="7B0365AA"/>
    <w:rsid w:val="7B072192"/>
    <w:rsid w:val="7B097114"/>
    <w:rsid w:val="7B0F1047"/>
    <w:rsid w:val="7B0F54EB"/>
    <w:rsid w:val="7B1859CE"/>
    <w:rsid w:val="7B186D4A"/>
    <w:rsid w:val="7B1B29CD"/>
    <w:rsid w:val="7B1D19B6"/>
    <w:rsid w:val="7B1D3764"/>
    <w:rsid w:val="7B1F453D"/>
    <w:rsid w:val="7B234AF2"/>
    <w:rsid w:val="7B2435F8"/>
    <w:rsid w:val="7B252618"/>
    <w:rsid w:val="7B256ABC"/>
    <w:rsid w:val="7B2745E3"/>
    <w:rsid w:val="7B292109"/>
    <w:rsid w:val="7B2C7E4B"/>
    <w:rsid w:val="7B2F16E9"/>
    <w:rsid w:val="7B2F5245"/>
    <w:rsid w:val="7B364826"/>
    <w:rsid w:val="7B364F05"/>
    <w:rsid w:val="7B374250"/>
    <w:rsid w:val="7B3B008E"/>
    <w:rsid w:val="7B3B1E3C"/>
    <w:rsid w:val="7B3E71A5"/>
    <w:rsid w:val="7B424F78"/>
    <w:rsid w:val="7B454A69"/>
    <w:rsid w:val="7B483E51"/>
    <w:rsid w:val="7B4E6013"/>
    <w:rsid w:val="7B4E69D1"/>
    <w:rsid w:val="7B4F0BEC"/>
    <w:rsid w:val="7B502763"/>
    <w:rsid w:val="7B51165F"/>
    <w:rsid w:val="7B5215D0"/>
    <w:rsid w:val="7B582291"/>
    <w:rsid w:val="7B5B428C"/>
    <w:rsid w:val="7B615D46"/>
    <w:rsid w:val="7B670E83"/>
    <w:rsid w:val="7B6944CA"/>
    <w:rsid w:val="7B6C6499"/>
    <w:rsid w:val="7B6E2211"/>
    <w:rsid w:val="7B7066F4"/>
    <w:rsid w:val="7B707D38"/>
    <w:rsid w:val="7B716BB1"/>
    <w:rsid w:val="7B7315D6"/>
    <w:rsid w:val="7B733F31"/>
    <w:rsid w:val="7B767318"/>
    <w:rsid w:val="7B7A0BB6"/>
    <w:rsid w:val="7B7A2964"/>
    <w:rsid w:val="7B7C5CFD"/>
    <w:rsid w:val="7B7D06A6"/>
    <w:rsid w:val="7B7D6057"/>
    <w:rsid w:val="7B7F2C00"/>
    <w:rsid w:val="7B803942"/>
    <w:rsid w:val="7B821819"/>
    <w:rsid w:val="7B8225D5"/>
    <w:rsid w:val="7B85492F"/>
    <w:rsid w:val="7B8657AD"/>
    <w:rsid w:val="7B8669B2"/>
    <w:rsid w:val="7B871525"/>
    <w:rsid w:val="7B875081"/>
    <w:rsid w:val="7B89704B"/>
    <w:rsid w:val="7B8B6B93"/>
    <w:rsid w:val="7B8C08E9"/>
    <w:rsid w:val="7B8E4662"/>
    <w:rsid w:val="7B8F3F36"/>
    <w:rsid w:val="7B912423"/>
    <w:rsid w:val="7B915F00"/>
    <w:rsid w:val="7B922DFD"/>
    <w:rsid w:val="7B95154C"/>
    <w:rsid w:val="7B9652C4"/>
    <w:rsid w:val="7B986208"/>
    <w:rsid w:val="7B9C6D7F"/>
    <w:rsid w:val="7B9D2AF7"/>
    <w:rsid w:val="7B9D74A9"/>
    <w:rsid w:val="7B9F79D0"/>
    <w:rsid w:val="7BA144C8"/>
    <w:rsid w:val="7BA2010D"/>
    <w:rsid w:val="7BA46C4D"/>
    <w:rsid w:val="7BA774D1"/>
    <w:rsid w:val="7BA9149B"/>
    <w:rsid w:val="7BAE6AB2"/>
    <w:rsid w:val="7BAF222A"/>
    <w:rsid w:val="7BB00A0A"/>
    <w:rsid w:val="7BB045D8"/>
    <w:rsid w:val="7BBA0FB3"/>
    <w:rsid w:val="7BBB4173"/>
    <w:rsid w:val="7BBD1CA9"/>
    <w:rsid w:val="7BBF2A6D"/>
    <w:rsid w:val="7BC06529"/>
    <w:rsid w:val="7BC40083"/>
    <w:rsid w:val="7BC45C03"/>
    <w:rsid w:val="7BC541A2"/>
    <w:rsid w:val="7BC720F8"/>
    <w:rsid w:val="7BCA4A34"/>
    <w:rsid w:val="7BCB487B"/>
    <w:rsid w:val="7BCE0F02"/>
    <w:rsid w:val="7BCF3A79"/>
    <w:rsid w:val="7BD445EE"/>
    <w:rsid w:val="7BD61748"/>
    <w:rsid w:val="7BDD401B"/>
    <w:rsid w:val="7BDE7397"/>
    <w:rsid w:val="7BE2675B"/>
    <w:rsid w:val="7BE40849"/>
    <w:rsid w:val="7BE473F9"/>
    <w:rsid w:val="7BE67FFA"/>
    <w:rsid w:val="7BE75B20"/>
    <w:rsid w:val="7BE920C2"/>
    <w:rsid w:val="7BEE1BB0"/>
    <w:rsid w:val="7BF02C26"/>
    <w:rsid w:val="7BF07F73"/>
    <w:rsid w:val="7BF1074D"/>
    <w:rsid w:val="7BF2699E"/>
    <w:rsid w:val="7BF479F4"/>
    <w:rsid w:val="7BF5023D"/>
    <w:rsid w:val="7BF53906"/>
    <w:rsid w:val="7BF87D2D"/>
    <w:rsid w:val="7BF929D4"/>
    <w:rsid w:val="7BFA1CF7"/>
    <w:rsid w:val="7BFD3595"/>
    <w:rsid w:val="7BFF10BB"/>
    <w:rsid w:val="7C004051"/>
    <w:rsid w:val="7C0E0E27"/>
    <w:rsid w:val="7C0F60DA"/>
    <w:rsid w:val="7C0F776E"/>
    <w:rsid w:val="7C1307CF"/>
    <w:rsid w:val="7C136CDD"/>
    <w:rsid w:val="7C1903CF"/>
    <w:rsid w:val="7C1914FD"/>
    <w:rsid w:val="7C1968D9"/>
    <w:rsid w:val="7C1A4147"/>
    <w:rsid w:val="7C1A5EF5"/>
    <w:rsid w:val="7C1E3C37"/>
    <w:rsid w:val="7C200750"/>
    <w:rsid w:val="7C217284"/>
    <w:rsid w:val="7C2648D1"/>
    <w:rsid w:val="7C286864"/>
    <w:rsid w:val="7C296138"/>
    <w:rsid w:val="7C2A25DC"/>
    <w:rsid w:val="7C2D13DE"/>
    <w:rsid w:val="7C2F64DC"/>
    <w:rsid w:val="7C30518D"/>
    <w:rsid w:val="7C3074C7"/>
    <w:rsid w:val="7C32332F"/>
    <w:rsid w:val="7C32526D"/>
    <w:rsid w:val="7C326349"/>
    <w:rsid w:val="7C352D2F"/>
    <w:rsid w:val="7C374CF9"/>
    <w:rsid w:val="7C3945CD"/>
    <w:rsid w:val="7C3A64E7"/>
    <w:rsid w:val="7C3F770A"/>
    <w:rsid w:val="7C4000D4"/>
    <w:rsid w:val="7C411CD0"/>
    <w:rsid w:val="7C43544C"/>
    <w:rsid w:val="7C490589"/>
    <w:rsid w:val="7C4D1E27"/>
    <w:rsid w:val="7C5533D1"/>
    <w:rsid w:val="7C574A54"/>
    <w:rsid w:val="7C58716E"/>
    <w:rsid w:val="7C594C70"/>
    <w:rsid w:val="7C5D4691"/>
    <w:rsid w:val="7C5F1B5A"/>
    <w:rsid w:val="7C5F6CFE"/>
    <w:rsid w:val="7C605FFE"/>
    <w:rsid w:val="7C627441"/>
    <w:rsid w:val="7C6559F4"/>
    <w:rsid w:val="7C6B49A3"/>
    <w:rsid w:val="7C6F7FEF"/>
    <w:rsid w:val="7C725D31"/>
    <w:rsid w:val="7C7750F6"/>
    <w:rsid w:val="7C7E0232"/>
    <w:rsid w:val="7C7F1785"/>
    <w:rsid w:val="7C8415C1"/>
    <w:rsid w:val="7C853F87"/>
    <w:rsid w:val="7C854B25"/>
    <w:rsid w:val="7C857813"/>
    <w:rsid w:val="7C8617DD"/>
    <w:rsid w:val="7C865339"/>
    <w:rsid w:val="7C8861CB"/>
    <w:rsid w:val="7C8866E9"/>
    <w:rsid w:val="7C8963BE"/>
    <w:rsid w:val="7C8A4E29"/>
    <w:rsid w:val="7C8B0BA1"/>
    <w:rsid w:val="7C8B294F"/>
    <w:rsid w:val="7C8C5A43"/>
    <w:rsid w:val="7C8C6317"/>
    <w:rsid w:val="7C8C6365"/>
    <w:rsid w:val="7C8D66C7"/>
    <w:rsid w:val="7C8E608F"/>
    <w:rsid w:val="7C8F1986"/>
    <w:rsid w:val="7C9537CE"/>
    <w:rsid w:val="7C991510"/>
    <w:rsid w:val="7C9941D9"/>
    <w:rsid w:val="7C99506C"/>
    <w:rsid w:val="7C9A562F"/>
    <w:rsid w:val="7C9A7F2E"/>
    <w:rsid w:val="7C9C2DAE"/>
    <w:rsid w:val="7C9F329C"/>
    <w:rsid w:val="7CA103C5"/>
    <w:rsid w:val="7CA43702"/>
    <w:rsid w:val="7CA50AF3"/>
    <w:rsid w:val="7CA67789"/>
    <w:rsid w:val="7CA83501"/>
    <w:rsid w:val="7CA9417B"/>
    <w:rsid w:val="7CAC1243"/>
    <w:rsid w:val="7CAE3536"/>
    <w:rsid w:val="7CAF2AE1"/>
    <w:rsid w:val="7CB00608"/>
    <w:rsid w:val="7CB4772E"/>
    <w:rsid w:val="7CB579CC"/>
    <w:rsid w:val="7CB63E70"/>
    <w:rsid w:val="7CB7128B"/>
    <w:rsid w:val="7CB83F86"/>
    <w:rsid w:val="7CBA3C1C"/>
    <w:rsid w:val="7CC540B3"/>
    <w:rsid w:val="7CC663F8"/>
    <w:rsid w:val="7CCB71F0"/>
    <w:rsid w:val="7CCC5441"/>
    <w:rsid w:val="7CCD11BA"/>
    <w:rsid w:val="7CD00D66"/>
    <w:rsid w:val="7CD42548"/>
    <w:rsid w:val="7CD662C0"/>
    <w:rsid w:val="7CDB38D7"/>
    <w:rsid w:val="7CDD764F"/>
    <w:rsid w:val="7CDE6F23"/>
    <w:rsid w:val="7CDF05C4"/>
    <w:rsid w:val="7CDF4D92"/>
    <w:rsid w:val="7CE00EED"/>
    <w:rsid w:val="7CE704CD"/>
    <w:rsid w:val="7CE81B50"/>
    <w:rsid w:val="7CEA58C8"/>
    <w:rsid w:val="7CEB1D0B"/>
    <w:rsid w:val="7CF15B8F"/>
    <w:rsid w:val="7CF33E80"/>
    <w:rsid w:val="7CF34035"/>
    <w:rsid w:val="7CF84488"/>
    <w:rsid w:val="7CFC5110"/>
    <w:rsid w:val="7D0050EB"/>
    <w:rsid w:val="7D006E99"/>
    <w:rsid w:val="7D007775"/>
    <w:rsid w:val="7D032E2D"/>
    <w:rsid w:val="7D050953"/>
    <w:rsid w:val="7D056BA5"/>
    <w:rsid w:val="7D060228"/>
    <w:rsid w:val="7D0B062A"/>
    <w:rsid w:val="7D0D15B6"/>
    <w:rsid w:val="7D0D7808"/>
    <w:rsid w:val="7D0E27DE"/>
    <w:rsid w:val="7D11554A"/>
    <w:rsid w:val="7D121E00"/>
    <w:rsid w:val="7D146690"/>
    <w:rsid w:val="7D1646C8"/>
    <w:rsid w:val="7D175ED4"/>
    <w:rsid w:val="7D1B1F25"/>
    <w:rsid w:val="7D1D403E"/>
    <w:rsid w:val="7D20753B"/>
    <w:rsid w:val="7D230DDA"/>
    <w:rsid w:val="7D24527D"/>
    <w:rsid w:val="7D275737"/>
    <w:rsid w:val="7D28412D"/>
    <w:rsid w:val="7D2C2422"/>
    <w:rsid w:val="7D2C41A4"/>
    <w:rsid w:val="7D3126CB"/>
    <w:rsid w:val="7D3357F3"/>
    <w:rsid w:val="7D33726F"/>
    <w:rsid w:val="7D341239"/>
    <w:rsid w:val="7D36433B"/>
    <w:rsid w:val="7D371E77"/>
    <w:rsid w:val="7D3871CB"/>
    <w:rsid w:val="7D3923AB"/>
    <w:rsid w:val="7D3C5F73"/>
    <w:rsid w:val="7D3D1E9B"/>
    <w:rsid w:val="7D3E3E65"/>
    <w:rsid w:val="7D3F1BD3"/>
    <w:rsid w:val="7D3F637C"/>
    <w:rsid w:val="7D494CE4"/>
    <w:rsid w:val="7D517063"/>
    <w:rsid w:val="7D566D23"/>
    <w:rsid w:val="7D5B6FBC"/>
    <w:rsid w:val="7D5D42EC"/>
    <w:rsid w:val="7D5F62B6"/>
    <w:rsid w:val="7D620487"/>
    <w:rsid w:val="7D625114"/>
    <w:rsid w:val="7D637428"/>
    <w:rsid w:val="7D637DB1"/>
    <w:rsid w:val="7D6513F2"/>
    <w:rsid w:val="7D667F1E"/>
    <w:rsid w:val="7D67516A"/>
    <w:rsid w:val="7D6D7FBA"/>
    <w:rsid w:val="7D6E474B"/>
    <w:rsid w:val="7D6F2271"/>
    <w:rsid w:val="7D80447E"/>
    <w:rsid w:val="7D8201F6"/>
    <w:rsid w:val="7D832D67"/>
    <w:rsid w:val="7D8370C8"/>
    <w:rsid w:val="7D8469FA"/>
    <w:rsid w:val="7D8555F0"/>
    <w:rsid w:val="7D892FCB"/>
    <w:rsid w:val="7D8C2E23"/>
    <w:rsid w:val="7D8C3AFA"/>
    <w:rsid w:val="7D8C4BD1"/>
    <w:rsid w:val="7D8E7EDC"/>
    <w:rsid w:val="7D912C27"/>
    <w:rsid w:val="7D935F5F"/>
    <w:rsid w:val="7D943785"/>
    <w:rsid w:val="7D983576"/>
    <w:rsid w:val="7D99109C"/>
    <w:rsid w:val="7D9A72EE"/>
    <w:rsid w:val="7D9B3066"/>
    <w:rsid w:val="7D9C12B8"/>
    <w:rsid w:val="7D9D6DDE"/>
    <w:rsid w:val="7D9F2B56"/>
    <w:rsid w:val="7D9F66B2"/>
    <w:rsid w:val="7DA77C5D"/>
    <w:rsid w:val="7DAF266D"/>
    <w:rsid w:val="7DB06B11"/>
    <w:rsid w:val="7DB11D69"/>
    <w:rsid w:val="7DB14637"/>
    <w:rsid w:val="7DB163E5"/>
    <w:rsid w:val="7DB75CAC"/>
    <w:rsid w:val="7DB859C6"/>
    <w:rsid w:val="7DBA5F7A"/>
    <w:rsid w:val="7DBF4FA6"/>
    <w:rsid w:val="7DBF6D54"/>
    <w:rsid w:val="7DC26844"/>
    <w:rsid w:val="7DC425BD"/>
    <w:rsid w:val="7DC4436B"/>
    <w:rsid w:val="7DC525E8"/>
    <w:rsid w:val="7DC66335"/>
    <w:rsid w:val="7DC75C09"/>
    <w:rsid w:val="7DCA721C"/>
    <w:rsid w:val="7DCE2545"/>
    <w:rsid w:val="7DD33773"/>
    <w:rsid w:val="7DD405D4"/>
    <w:rsid w:val="7DD65E4C"/>
    <w:rsid w:val="7DD86068"/>
    <w:rsid w:val="7DDA3B8E"/>
    <w:rsid w:val="7DDF73F6"/>
    <w:rsid w:val="7DE73238"/>
    <w:rsid w:val="7DE859ED"/>
    <w:rsid w:val="7DE85A60"/>
    <w:rsid w:val="7DE92023"/>
    <w:rsid w:val="7DEA396D"/>
    <w:rsid w:val="7DF96F7F"/>
    <w:rsid w:val="7E002EC9"/>
    <w:rsid w:val="7E0230E5"/>
    <w:rsid w:val="7E064983"/>
    <w:rsid w:val="7E116B22"/>
    <w:rsid w:val="7E123328"/>
    <w:rsid w:val="7E132BFC"/>
    <w:rsid w:val="7E152E18"/>
    <w:rsid w:val="7E1C5F55"/>
    <w:rsid w:val="7E1D1CCD"/>
    <w:rsid w:val="7E1F26EE"/>
    <w:rsid w:val="7E215319"/>
    <w:rsid w:val="7E244E09"/>
    <w:rsid w:val="7E266DD3"/>
    <w:rsid w:val="7E282B4B"/>
    <w:rsid w:val="7E2968C4"/>
    <w:rsid w:val="7E2A48C5"/>
    <w:rsid w:val="7E2B263C"/>
    <w:rsid w:val="7E2C3CBE"/>
    <w:rsid w:val="7E2D1F10"/>
    <w:rsid w:val="7E3037AE"/>
    <w:rsid w:val="7E331EC8"/>
    <w:rsid w:val="7E33329E"/>
    <w:rsid w:val="7E394D59"/>
    <w:rsid w:val="7E3E411D"/>
    <w:rsid w:val="7E413C0D"/>
    <w:rsid w:val="7E4454AB"/>
    <w:rsid w:val="7E49635E"/>
    <w:rsid w:val="7E4B4A8C"/>
    <w:rsid w:val="7E4E00D8"/>
    <w:rsid w:val="7E4F7053"/>
    <w:rsid w:val="7E521976"/>
    <w:rsid w:val="7E576F8D"/>
    <w:rsid w:val="7E584AB3"/>
    <w:rsid w:val="7E594646"/>
    <w:rsid w:val="7E5D031B"/>
    <w:rsid w:val="7E5F22E5"/>
    <w:rsid w:val="7E61605D"/>
    <w:rsid w:val="7E623E4C"/>
    <w:rsid w:val="7E63433D"/>
    <w:rsid w:val="7E6416AA"/>
    <w:rsid w:val="7E673E53"/>
    <w:rsid w:val="7E6B2C78"/>
    <w:rsid w:val="7E6C1E82"/>
    <w:rsid w:val="7E6D4A02"/>
    <w:rsid w:val="7E6F077A"/>
    <w:rsid w:val="7E730FCE"/>
    <w:rsid w:val="7E7538B7"/>
    <w:rsid w:val="7E79193A"/>
    <w:rsid w:val="7E7C2E97"/>
    <w:rsid w:val="7E7C4C45"/>
    <w:rsid w:val="7E7E09BD"/>
    <w:rsid w:val="7E7E10FB"/>
    <w:rsid w:val="7E7F64E4"/>
    <w:rsid w:val="7E843AFA"/>
    <w:rsid w:val="7E847A49"/>
    <w:rsid w:val="7E851D4C"/>
    <w:rsid w:val="7E8645F2"/>
    <w:rsid w:val="7E88183C"/>
    <w:rsid w:val="7E895EDA"/>
    <w:rsid w:val="7E8D0C00"/>
    <w:rsid w:val="7E9158F1"/>
    <w:rsid w:val="7E924469"/>
    <w:rsid w:val="7E935CDA"/>
    <w:rsid w:val="7E9D2766"/>
    <w:rsid w:val="7E9D4FA7"/>
    <w:rsid w:val="7E9E696A"/>
    <w:rsid w:val="7EA321D2"/>
    <w:rsid w:val="7EA5419C"/>
    <w:rsid w:val="7EA85A3A"/>
    <w:rsid w:val="7EA90A81"/>
    <w:rsid w:val="7EAA5332"/>
    <w:rsid w:val="7EAA7A04"/>
    <w:rsid w:val="7EAD3051"/>
    <w:rsid w:val="7EB02B41"/>
    <w:rsid w:val="7EB268B9"/>
    <w:rsid w:val="7EB4618D"/>
    <w:rsid w:val="7EB50B00"/>
    <w:rsid w:val="7EBB576E"/>
    <w:rsid w:val="7EBC14E6"/>
    <w:rsid w:val="7EC377B2"/>
    <w:rsid w:val="7EC5039A"/>
    <w:rsid w:val="7ECA3C03"/>
    <w:rsid w:val="7ECD36F3"/>
    <w:rsid w:val="7ECE103F"/>
    <w:rsid w:val="7ED06D3F"/>
    <w:rsid w:val="7ED30767"/>
    <w:rsid w:val="7EDC56E4"/>
    <w:rsid w:val="7EDD7BC9"/>
    <w:rsid w:val="7EDE76AE"/>
    <w:rsid w:val="7EE10F4C"/>
    <w:rsid w:val="7EE34CC4"/>
    <w:rsid w:val="7EE36A72"/>
    <w:rsid w:val="7EE573E5"/>
    <w:rsid w:val="7EEC0B0F"/>
    <w:rsid w:val="7EED7AD6"/>
    <w:rsid w:val="7EF620B4"/>
    <w:rsid w:val="7EF70770"/>
    <w:rsid w:val="7EF944E8"/>
    <w:rsid w:val="7EFB0260"/>
    <w:rsid w:val="7EFC18E2"/>
    <w:rsid w:val="7EFC5D86"/>
    <w:rsid w:val="7EFF01E5"/>
    <w:rsid w:val="7F016EF9"/>
    <w:rsid w:val="7F017A8B"/>
    <w:rsid w:val="7F037115"/>
    <w:rsid w:val="7F04471E"/>
    <w:rsid w:val="7F062761"/>
    <w:rsid w:val="7F08297D"/>
    <w:rsid w:val="7F0C5FC9"/>
    <w:rsid w:val="7F1430D0"/>
    <w:rsid w:val="7F1629A4"/>
    <w:rsid w:val="7F1840BB"/>
    <w:rsid w:val="7F1B620C"/>
    <w:rsid w:val="7F1C3D32"/>
    <w:rsid w:val="7F1C3DA0"/>
    <w:rsid w:val="7F2132BF"/>
    <w:rsid w:val="7F280929"/>
    <w:rsid w:val="7F297A01"/>
    <w:rsid w:val="7F2C70B4"/>
    <w:rsid w:val="7F2D4191"/>
    <w:rsid w:val="7F3217A8"/>
    <w:rsid w:val="7F383036"/>
    <w:rsid w:val="7F4037BB"/>
    <w:rsid w:val="7F453289"/>
    <w:rsid w:val="7F454F9F"/>
    <w:rsid w:val="7F460599"/>
    <w:rsid w:val="7F4715B8"/>
    <w:rsid w:val="7F47533B"/>
    <w:rsid w:val="7F4A4D43"/>
    <w:rsid w:val="7F4C286A"/>
    <w:rsid w:val="7F4C4618"/>
    <w:rsid w:val="7F4C65AF"/>
    <w:rsid w:val="7F4E65E2"/>
    <w:rsid w:val="7F511C2E"/>
    <w:rsid w:val="7F56235D"/>
    <w:rsid w:val="7F593272"/>
    <w:rsid w:val="7F593D4F"/>
    <w:rsid w:val="7F5B0CFF"/>
    <w:rsid w:val="7F5E0D7A"/>
    <w:rsid w:val="7F5E259D"/>
    <w:rsid w:val="7F651B7D"/>
    <w:rsid w:val="7F652505"/>
    <w:rsid w:val="7F65392B"/>
    <w:rsid w:val="7F6D27E0"/>
    <w:rsid w:val="7F72355B"/>
    <w:rsid w:val="7F737DF6"/>
    <w:rsid w:val="7F74591C"/>
    <w:rsid w:val="7F7614AC"/>
    <w:rsid w:val="7F7818B1"/>
    <w:rsid w:val="7F7D0C75"/>
    <w:rsid w:val="7F8244DD"/>
    <w:rsid w:val="7F833DB1"/>
    <w:rsid w:val="7F895920"/>
    <w:rsid w:val="7F8D7DF4"/>
    <w:rsid w:val="7F8E000F"/>
    <w:rsid w:val="7F9137BA"/>
    <w:rsid w:val="7F9164CE"/>
    <w:rsid w:val="7F9175B5"/>
    <w:rsid w:val="7F927DE0"/>
    <w:rsid w:val="7F930498"/>
    <w:rsid w:val="7F945FBF"/>
    <w:rsid w:val="7F967793"/>
    <w:rsid w:val="7F9935D5"/>
    <w:rsid w:val="7F9B7696"/>
    <w:rsid w:val="7F9D3B84"/>
    <w:rsid w:val="7FA245A1"/>
    <w:rsid w:val="7FA2692E"/>
    <w:rsid w:val="7FA51F7A"/>
    <w:rsid w:val="7FA73F44"/>
    <w:rsid w:val="7FAB3A34"/>
    <w:rsid w:val="7FAD2461"/>
    <w:rsid w:val="7FAE0E2E"/>
    <w:rsid w:val="7FAE28CB"/>
    <w:rsid w:val="7FB623D9"/>
    <w:rsid w:val="7FB77BE9"/>
    <w:rsid w:val="7FB846CC"/>
    <w:rsid w:val="7FBA072D"/>
    <w:rsid w:val="7FBD72C3"/>
    <w:rsid w:val="7FC00B62"/>
    <w:rsid w:val="7FC06DB4"/>
    <w:rsid w:val="7FC40652"/>
    <w:rsid w:val="7FC44AF6"/>
    <w:rsid w:val="7FC6538A"/>
    <w:rsid w:val="7FC71EF0"/>
    <w:rsid w:val="7FC77B40"/>
    <w:rsid w:val="7FC9737F"/>
    <w:rsid w:val="7FCA102E"/>
    <w:rsid w:val="7FCB0746"/>
    <w:rsid w:val="7FD16AB5"/>
    <w:rsid w:val="7FD73D04"/>
    <w:rsid w:val="7FDF723A"/>
    <w:rsid w:val="7FE24F7C"/>
    <w:rsid w:val="7FE42AA2"/>
    <w:rsid w:val="7FE900B8"/>
    <w:rsid w:val="7FEB2083"/>
    <w:rsid w:val="7FF01447"/>
    <w:rsid w:val="7FF0553E"/>
    <w:rsid w:val="7FF07699"/>
    <w:rsid w:val="7FF254B2"/>
    <w:rsid w:val="7FF32CE5"/>
    <w:rsid w:val="7FF56670"/>
    <w:rsid w:val="7FF8479F"/>
    <w:rsid w:val="7FFB2AB0"/>
    <w:rsid w:val="7FFF168A"/>
    <w:rsid w:val="7FFF37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FFC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9" w:semiHidden="0" w:name="heading 7"/>
    <w:lsdException w:qFormat="1" w:unhideWhenUsed="0" w:uiPriority="0" w:semiHidden="0" w:name="heading 8"/>
    <w:lsdException w:qFormat="1" w:unhideWhenUsed="0" w:uiPriority="99"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0" w:semiHidden="0" w:name="Normal Indent"/>
    <w:lsdException w:qFormat="1"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35" w:semiHidden="0" w:name="caption"/>
    <w:lsdException w:qFormat="1" w:unhideWhenUsed="0" w:uiPriority="0" w:semiHidden="0" w:name="table of figures"/>
    <w:lsdException w:qFormat="1" w:unhideWhenUsed="0" w:uiPriority="99" w:semiHidden="0" w:name="envelope address"/>
    <w:lsdException w:qFormat="1" w:unhideWhenUsed="0" w:uiPriority="99" w:semiHidden="0" w:name="envelope return"/>
    <w:lsdException w:qFormat="1" w:uiPriority="99" w:semiHidden="0" w:name="footnote reference"/>
    <w:lsdException w:qFormat="1" w:unhideWhenUsed="0" w:uiPriority="99" w:semiHidden="0" w:name="annotation reference"/>
    <w:lsdException w:qFormat="1" w:unhideWhenUsed="0" w:uiPriority="99" w:semiHidden="0" w:name="line number"/>
    <w:lsdException w:qFormat="1" w:unhideWhenUsed="0" w:uiPriority="99"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qFormat="1" w:unhideWhenUsed="0" w:uiPriority="99"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99" w:semiHidden="0" w:name="List 2"/>
    <w:lsdException w:qFormat="1" w:unhideWhenUsed="0" w:uiPriority="99" w:semiHidden="0" w:name="List 3"/>
    <w:lsdException w:qFormat="1" w:unhideWhenUsed="0" w:uiPriority="0" w:semiHidden="0" w:name="List 4"/>
    <w:lsdException w:qFormat="1" w:unhideWhenUsed="0" w:uiPriority="99"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qFormat="1" w:unhideWhenUsed="0" w:uiPriority="0" w:semiHidden="0" w:name="List Continue"/>
    <w:lsdException w:qFormat="1" w:unhideWhenUsed="0" w:uiPriority="99" w:semiHidden="0" w:name="List Continue 2"/>
    <w:lsdException w:qFormat="1" w:unhideWhenUsed="0" w:uiPriority="99" w:semiHidden="0" w:name="List Continue 3"/>
    <w:lsdException w:qFormat="1" w:unhideWhenUsed="0" w:uiPriority="99" w:semiHidden="0" w:name="List Continue 4"/>
    <w:lsdException w:qFormat="1" w:unhideWhenUsed="0" w:uiPriority="99" w:semiHidden="0" w:name="List Continue 5"/>
    <w:lsdException w:qFormat="1" w:unhideWhenUsed="0" w:uiPriority="0" w:semiHidden="0"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iPriority="99" w:semiHidden="0" w:name="Body Text Indent 2"/>
    <w:lsdException w:qFormat="1" w:unhideWhenUsed="0" w:uiPriority="99" w:semiHidden="0" w:name="Body Text Indent 3"/>
    <w:lsdException w:qFormat="1" w:unhideWhenUsed="0" w:uiPriority="0" w:semiHidden="0" w:name="Block Text"/>
    <w:lsdException w:qFormat="1"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semiHidden="0" w:name="E-mail Signature"/>
    <w:lsdException w:qFormat="1" w:uiPriority="99" w:semiHidden="0" w:name="Normal (Web)"/>
    <w:lsdException w:qFormat="1" w:unhideWhenUsed="0" w:uiPriority="99" w:semiHidden="0" w:name="HTML Acronym"/>
    <w:lsdException w:qFormat="1" w:unhideWhenUsed="0" w:uiPriority="0" w:semiHidden="0" w:name="HTML Address"/>
    <w:lsdException w:qFormat="1" w:unhideWhenUsed="0" w:uiPriority="99" w:semiHidden="0" w:name="HTML Cite"/>
    <w:lsdException w:qFormat="1" w:unhideWhenUsed="0" w:uiPriority="0" w:semiHidden="0" w:name="HTML Code"/>
    <w:lsdException w:qFormat="1" w:unhideWhenUsed="0" w:uiPriority="99" w:semiHidden="0" w:name="HTML Definition"/>
    <w:lsdException w:qFormat="1" w:unhideWhenUsed="0" w:uiPriority="99" w:semiHidden="0" w:name="HTML Keyboard"/>
    <w:lsdException w:qFormat="1" w:unhideWhenUsed="0" w:uiPriority="0" w:semiHidden="0" w:name="HTML Preformatted"/>
    <w:lsdException w:qFormat="1" w:unhideWhenUsed="0" w:uiPriority="99" w:semiHidden="0" w:name="HTML Sample"/>
    <w:lsdException w:qFormat="1" w:unhideWhenUsed="0" w:uiPriority="99"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qFormat="1" w:unhideWhenUsed="0" w:uiPriority="0" w:semiHidden="0" w:name="Table Simple 1"/>
    <w:lsdException w:uiPriority="0" w:name="Table Simple 2"/>
    <w:lsdException w:qFormat="1" w:unhideWhenUsed="0" w:uiPriority="99" w:semiHidden="0" w:name="Table Simple 3"/>
    <w:lsdException w:qFormat="1" w:unhideWhenUsed="0" w:uiPriority="0" w:semiHidden="0" w:name="Table Classic 1"/>
    <w:lsdException w:uiPriority="0" w:name="Table Classic 2"/>
    <w:lsdException w:qFormat="1" w:unhideWhenUsed="0" w:uiPriority="99" w:semiHidden="0" w:name="Table Classic 3"/>
    <w:lsdException w:uiPriority="0" w:name="Table Classic 4"/>
    <w:lsdException w:uiPriority="0" w:name="Table Colorful 1"/>
    <w:lsdException w:qFormat="1" w:unhideWhenUsed="0" w:uiPriority="0" w:semiHidden="0" w:name="Table Colorful 2"/>
    <w:lsdException w:qFormat="1" w:unhideWhenUsed="0" w:uiPriority="0" w:semiHidden="0" w:name="Table Colorful 3"/>
    <w:lsdException w:uiPriority="0" w:name="Table Columns 1"/>
    <w:lsdException w:uiPriority="0" w:name="Table Columns 2"/>
    <w:lsdException w:uiPriority="0" w:name="Table Columns 3"/>
    <w:lsdException w:uiPriority="0" w:name="Table Columns 4"/>
    <w:lsdException w:uiPriority="0" w:name="Table Columns 5"/>
    <w:lsdException w:qFormat="1" w:unhideWhenUsed="0" w:uiPriority="0" w:semiHidden="0" w:name="Table Grid 1"/>
    <w:lsdException w:uiPriority="0" w:name="Table Grid 2"/>
    <w:lsdException w:uiPriority="0" w:name="Table Grid 3"/>
    <w:lsdException w:uiPriority="0" w:name="Table Grid 4"/>
    <w:lsdException w:qFormat="1" w:uiPriority="0" w:semiHidden="0" w:name="Table Grid 5"/>
    <w:lsdException w:uiPriority="0" w:name="Table Grid 6"/>
    <w:lsdException w:uiPriority="0" w:name="Table Grid 7"/>
    <w:lsdException w:uiPriority="0" w:name="Table Grid 8"/>
    <w:lsdException w:qFormat="1" w:unhideWhenUsed="0" w:uiPriority="0" w:semiHidden="0" w:name="Table List 1"/>
    <w:lsdException w:uiPriority="0" w:name="Table List 2"/>
    <w:lsdException w:uiPriority="0" w:name="Table List 3"/>
    <w:lsdException w:uiPriority="0" w:name="Table List 4"/>
    <w:lsdException w:qFormat="1" w:unhideWhenUsed="0" w:uiPriority="0" w:semiHidden="0" w:name="Table List 5"/>
    <w:lsdException w:uiPriority="0" w:name="Table List 6"/>
    <w:lsdException w:uiPriority="0" w:name="Table List 7"/>
    <w:lsdException w:uiPriority="0" w:name="Table List 8"/>
    <w:lsdException w:uiPriority="0" w:name="Table 3D effects 1"/>
    <w:lsdException w:qFormat="1" w:unhideWhenUsed="0" w:uiPriority="99" w:semiHidden="0" w:name="Table 3D effects 2"/>
    <w:lsdException w:qFormat="1" w:unhideWhenUsed="0" w:uiPriority="0" w:semiHidden="0" w:name="Table 3D effects 3"/>
    <w:lsdException w:uiPriority="0" w:name="Table Contemporary"/>
    <w:lsdException w:qFormat="1" w:unhideWhenUsed="0" w:uiPriority="0" w:semiHidden="0" w:name="Table Elegant"/>
    <w:lsdException w:qFormat="1" w:unhideWhenUsed="0" w:uiPriority="0" w:semiHidden="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0" w:semiHidden="0" w:name="Table Grid"/>
    <w:lsdException w:qFormat="1" w:unhideWhenUsed="0" w:uiPriority="0" w:semiHidden="0" w:name="Table Theme"/>
    <w:lsdException w:qFormat="1" w:unhideWhenUsed="0" w:uiPriority="99" w:semiHidden="0" w:name="Placeholder Text"/>
    <w:lsdException w:qFormat="1" w:uiPriority="0" w:name="No Spacing"/>
    <w:lsdException w:qFormat="1" w:unhideWhenUsed="0" w:uiPriority="60" w:semiHidden="0" w:name="Light Shading"/>
    <w:lsdException w:qFormat="1" w:unhideWhenUsed="0" w:uiPriority="61" w:semiHidden="0" w:name="Light List"/>
    <w:lsdException w:unhideWhenUsed="0" w:uiPriority="62" w:semiHidden="0" w:name="Light Grid"/>
    <w:lsdException w:qFormat="1"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qFormat="1" w:unhideWhenUsed="0" w:uiPriority="60" w:semiHidden="0" w:name="Light Shading Accent 1"/>
    <w:lsdException w:qFormat="1"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iPriority="29" w:name="Quote"/>
    <w:lsdException w:qFormat="1" w:uiPriority="3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qFormat="1"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qFormat="1"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qFormat="1"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qFormat="1"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qFormat="1"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before="25" w:beforeLines="25" w:line="440" w:lineRule="exact"/>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46"/>
    <w:qFormat/>
    <w:uiPriority w:val="0"/>
    <w:pPr>
      <w:keepNext/>
      <w:keepLines/>
      <w:tabs>
        <w:tab w:val="left" w:pos="360"/>
      </w:tabs>
      <w:spacing w:before="340" w:beforeLines="0" w:after="330" w:line="578" w:lineRule="auto"/>
      <w:outlineLvl w:val="0"/>
    </w:pPr>
    <w:rPr>
      <w:b/>
      <w:bCs/>
      <w:color w:val="000000"/>
      <w:kern w:val="32"/>
      <w:sz w:val="44"/>
      <w:szCs w:val="20"/>
    </w:rPr>
  </w:style>
  <w:style w:type="paragraph" w:styleId="4">
    <w:name w:val="heading 2"/>
    <w:basedOn w:val="1"/>
    <w:next w:val="1"/>
    <w:link w:val="158"/>
    <w:qFormat/>
    <w:uiPriority w:val="0"/>
    <w:pPr>
      <w:keepNext/>
      <w:keepLines/>
      <w:spacing w:before="260" w:beforeLines="0" w:after="260" w:line="415" w:lineRule="auto"/>
      <w:outlineLvl w:val="1"/>
    </w:pPr>
    <w:rPr>
      <w:rFonts w:ascii="Arial" w:hAnsi="Arial" w:eastAsia="黑体"/>
      <w:b/>
      <w:color w:val="000000"/>
      <w:kern w:val="32"/>
      <w:sz w:val="32"/>
      <w:szCs w:val="20"/>
    </w:rPr>
  </w:style>
  <w:style w:type="paragraph" w:styleId="5">
    <w:name w:val="heading 3"/>
    <w:basedOn w:val="1"/>
    <w:next w:val="6"/>
    <w:link w:val="154"/>
    <w:qFormat/>
    <w:uiPriority w:val="99"/>
    <w:pPr>
      <w:keepLines/>
      <w:spacing w:before="260" w:beforeLines="0" w:after="260" w:line="415" w:lineRule="auto"/>
      <w:outlineLvl w:val="2"/>
    </w:pPr>
    <w:rPr>
      <w:b/>
      <w:bCs/>
      <w:color w:val="000000"/>
      <w:kern w:val="32"/>
      <w:sz w:val="28"/>
      <w:szCs w:val="20"/>
    </w:rPr>
  </w:style>
  <w:style w:type="paragraph" w:styleId="7">
    <w:name w:val="heading 4"/>
    <w:basedOn w:val="1"/>
    <w:next w:val="1"/>
    <w:link w:val="147"/>
    <w:qFormat/>
    <w:uiPriority w:val="9"/>
    <w:pPr>
      <w:keepNext/>
      <w:keepLines/>
      <w:adjustRightInd w:val="0"/>
      <w:snapToGrid w:val="0"/>
      <w:spacing w:before="78"/>
      <w:outlineLvl w:val="3"/>
    </w:pPr>
    <w:rPr>
      <w:b/>
      <w:color w:val="000000"/>
      <w:kern w:val="32"/>
      <w:sz w:val="24"/>
      <w:szCs w:val="28"/>
    </w:rPr>
  </w:style>
  <w:style w:type="paragraph" w:styleId="8">
    <w:name w:val="heading 5"/>
    <w:basedOn w:val="1"/>
    <w:next w:val="1"/>
    <w:link w:val="152"/>
    <w:qFormat/>
    <w:uiPriority w:val="9"/>
    <w:pPr>
      <w:keepNext/>
      <w:keepLines/>
      <w:tabs>
        <w:tab w:val="left" w:pos="1008"/>
      </w:tabs>
      <w:spacing w:before="280" w:beforeLines="0" w:after="290" w:line="376" w:lineRule="auto"/>
      <w:ind w:left="1008" w:hanging="1008"/>
      <w:outlineLvl w:val="4"/>
    </w:pPr>
    <w:rPr>
      <w:rFonts w:ascii="Calibri" w:hAnsi="Calibri"/>
      <w:b/>
      <w:bCs/>
      <w:sz w:val="28"/>
      <w:szCs w:val="28"/>
    </w:rPr>
  </w:style>
  <w:style w:type="paragraph" w:styleId="9">
    <w:name w:val="heading 6"/>
    <w:basedOn w:val="1"/>
    <w:next w:val="1"/>
    <w:link w:val="161"/>
    <w:qFormat/>
    <w:uiPriority w:val="9"/>
    <w:pPr>
      <w:keepNext/>
      <w:keepLines/>
      <w:tabs>
        <w:tab w:val="left" w:pos="1152"/>
      </w:tabs>
      <w:spacing w:before="240" w:beforeLines="0" w:after="64" w:line="320" w:lineRule="auto"/>
      <w:ind w:left="1152" w:hanging="1152"/>
      <w:outlineLvl w:val="5"/>
    </w:pPr>
    <w:rPr>
      <w:rFonts w:ascii="Arial" w:hAnsi="Arial" w:eastAsia="黑体"/>
      <w:b/>
      <w:bCs/>
      <w:sz w:val="24"/>
    </w:rPr>
  </w:style>
  <w:style w:type="paragraph" w:styleId="10">
    <w:name w:val="heading 7"/>
    <w:basedOn w:val="1"/>
    <w:next w:val="1"/>
    <w:link w:val="165"/>
    <w:qFormat/>
    <w:uiPriority w:val="99"/>
    <w:pPr>
      <w:keepNext/>
      <w:keepLines/>
      <w:tabs>
        <w:tab w:val="left" w:pos="1296"/>
      </w:tabs>
      <w:spacing w:before="240" w:beforeLines="0" w:after="64" w:line="320" w:lineRule="auto"/>
      <w:ind w:left="1296" w:hanging="1296"/>
      <w:outlineLvl w:val="6"/>
    </w:pPr>
    <w:rPr>
      <w:rFonts w:ascii="Calibri" w:hAnsi="Calibri"/>
      <w:b/>
      <w:bCs/>
      <w:sz w:val="24"/>
    </w:rPr>
  </w:style>
  <w:style w:type="paragraph" w:styleId="11">
    <w:name w:val="heading 8"/>
    <w:basedOn w:val="1"/>
    <w:next w:val="1"/>
    <w:link w:val="153"/>
    <w:qFormat/>
    <w:uiPriority w:val="0"/>
    <w:pPr>
      <w:keepNext/>
      <w:keepLines/>
      <w:tabs>
        <w:tab w:val="left" w:pos="1440"/>
      </w:tabs>
      <w:spacing w:before="240" w:beforeLines="0" w:after="64" w:line="320" w:lineRule="auto"/>
      <w:ind w:left="1440" w:hanging="1440"/>
      <w:outlineLvl w:val="7"/>
    </w:pPr>
    <w:rPr>
      <w:rFonts w:ascii="Arial" w:hAnsi="Arial" w:eastAsia="黑体"/>
      <w:sz w:val="24"/>
    </w:rPr>
  </w:style>
  <w:style w:type="paragraph" w:styleId="12">
    <w:name w:val="heading 9"/>
    <w:basedOn w:val="1"/>
    <w:next w:val="1"/>
    <w:link w:val="139"/>
    <w:qFormat/>
    <w:uiPriority w:val="99"/>
    <w:pPr>
      <w:keepNext/>
      <w:keepLines/>
      <w:tabs>
        <w:tab w:val="left" w:pos="1584"/>
      </w:tabs>
      <w:spacing w:before="240" w:beforeLines="0" w:after="64" w:line="320" w:lineRule="auto"/>
      <w:ind w:left="1584" w:hanging="1584"/>
      <w:outlineLvl w:val="8"/>
    </w:pPr>
    <w:rPr>
      <w:rFonts w:ascii="Arial" w:hAnsi="Arial" w:eastAsia="黑体"/>
      <w:szCs w:val="21"/>
    </w:rPr>
  </w:style>
  <w:style w:type="character" w:default="1" w:styleId="117">
    <w:name w:val="Default Paragraph Font"/>
    <w:semiHidden/>
    <w:unhideWhenUsed/>
    <w:qFormat/>
    <w:uiPriority w:val="1"/>
  </w:style>
  <w:style w:type="table" w:default="1" w:styleId="89">
    <w:name w:val="Normal Table"/>
    <w:semiHidden/>
    <w:unhideWhenUsed/>
    <w:qFormat/>
    <w:uiPriority w:val="99"/>
    <w:tblPr>
      <w:tblCellMar>
        <w:top w:w="0" w:type="dxa"/>
        <w:left w:w="108" w:type="dxa"/>
        <w:bottom w:w="0" w:type="dxa"/>
        <w:right w:w="108" w:type="dxa"/>
      </w:tblCellMar>
    </w:tblPr>
  </w:style>
  <w:style w:type="paragraph" w:styleId="2">
    <w:name w:val="macro"/>
    <w:link w:val="1658"/>
    <w:qFormat/>
    <w:uiPriority w:val="99"/>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Times New Roman"/>
      <w:kern w:val="2"/>
      <w:sz w:val="24"/>
      <w:szCs w:val="24"/>
      <w:lang w:val="en-US" w:eastAsia="zh-CN" w:bidi="ar-SA"/>
    </w:rPr>
  </w:style>
  <w:style w:type="paragraph" w:styleId="6">
    <w:name w:val="Normal Indent"/>
    <w:basedOn w:val="1"/>
    <w:next w:val="1"/>
    <w:link w:val="166"/>
    <w:unhideWhenUsed/>
    <w:qFormat/>
    <w:uiPriority w:val="0"/>
    <w:pPr>
      <w:spacing w:before="0" w:beforeLines="0" w:line="360" w:lineRule="auto"/>
      <w:ind w:firstLine="420" w:firstLineChars="200"/>
    </w:pPr>
    <w:rPr>
      <w:rFonts w:ascii="Calibri" w:hAnsi="Calibri"/>
      <w:sz w:val="24"/>
    </w:rPr>
  </w:style>
  <w:style w:type="paragraph" w:styleId="13">
    <w:name w:val="List 3"/>
    <w:basedOn w:val="1"/>
    <w:qFormat/>
    <w:uiPriority w:val="99"/>
    <w:pPr>
      <w:spacing w:before="0" w:beforeLines="0" w:line="240" w:lineRule="auto"/>
      <w:ind w:left="100" w:leftChars="400" w:hanging="200" w:hangingChars="200"/>
    </w:pPr>
    <w:rPr>
      <w:rFonts w:ascii="宋体"/>
      <w:sz w:val="28"/>
      <w:szCs w:val="20"/>
    </w:rPr>
  </w:style>
  <w:style w:type="paragraph" w:styleId="14">
    <w:name w:val="toc 7"/>
    <w:basedOn w:val="1"/>
    <w:next w:val="1"/>
    <w:qFormat/>
    <w:uiPriority w:val="39"/>
    <w:pPr>
      <w:spacing w:before="0" w:beforeLines="0" w:line="240" w:lineRule="auto"/>
      <w:ind w:left="1260"/>
      <w:jc w:val="left"/>
    </w:pPr>
    <w:rPr>
      <w:rFonts w:ascii="Calibri" w:hAnsi="Calibri"/>
      <w:sz w:val="18"/>
      <w:szCs w:val="18"/>
    </w:rPr>
  </w:style>
  <w:style w:type="paragraph" w:styleId="15">
    <w:name w:val="List Number 2"/>
    <w:basedOn w:val="1"/>
    <w:qFormat/>
    <w:uiPriority w:val="0"/>
    <w:pPr>
      <w:widowControl/>
      <w:tabs>
        <w:tab w:val="left" w:pos="780"/>
      </w:tabs>
      <w:spacing w:before="72" w:beforeLines="30" w:after="72" w:afterLines="30" w:line="300" w:lineRule="auto"/>
      <w:ind w:left="780" w:hanging="360"/>
    </w:pPr>
    <w:rPr>
      <w:kern w:val="0"/>
      <w:sz w:val="24"/>
    </w:rPr>
  </w:style>
  <w:style w:type="paragraph" w:styleId="16">
    <w:name w:val="Note Heading"/>
    <w:basedOn w:val="1"/>
    <w:next w:val="1"/>
    <w:link w:val="174"/>
    <w:qFormat/>
    <w:uiPriority w:val="0"/>
    <w:pPr>
      <w:spacing w:before="0" w:beforeLines="0" w:line="240" w:lineRule="auto"/>
      <w:jc w:val="center"/>
    </w:pPr>
    <w:rPr>
      <w:kern w:val="0"/>
      <w:sz w:val="20"/>
      <w:szCs w:val="20"/>
    </w:rPr>
  </w:style>
  <w:style w:type="paragraph" w:styleId="17">
    <w:name w:val="List Bullet 4"/>
    <w:basedOn w:val="1"/>
    <w:qFormat/>
    <w:uiPriority w:val="0"/>
    <w:pPr>
      <w:widowControl/>
      <w:tabs>
        <w:tab w:val="left" w:pos="1620"/>
      </w:tabs>
      <w:spacing w:before="72" w:beforeLines="30" w:after="72" w:afterLines="30" w:line="300" w:lineRule="auto"/>
      <w:ind w:left="1620" w:hanging="360"/>
    </w:pPr>
    <w:rPr>
      <w:kern w:val="0"/>
      <w:sz w:val="24"/>
    </w:rPr>
  </w:style>
  <w:style w:type="paragraph" w:styleId="18">
    <w:name w:val="index 8"/>
    <w:basedOn w:val="1"/>
    <w:next w:val="1"/>
    <w:qFormat/>
    <w:uiPriority w:val="0"/>
    <w:pPr>
      <w:spacing w:before="0" w:beforeLines="0" w:line="240" w:lineRule="auto"/>
      <w:ind w:left="1680" w:hanging="210"/>
      <w:jc w:val="left"/>
    </w:pPr>
    <w:rPr>
      <w:sz w:val="20"/>
      <w:szCs w:val="20"/>
    </w:rPr>
  </w:style>
  <w:style w:type="paragraph" w:styleId="19">
    <w:name w:val="E-mail Signature"/>
    <w:basedOn w:val="1"/>
    <w:link w:val="2611"/>
    <w:qFormat/>
    <w:uiPriority w:val="0"/>
  </w:style>
  <w:style w:type="paragraph" w:styleId="20">
    <w:name w:val="List Number"/>
    <w:basedOn w:val="1"/>
    <w:qFormat/>
    <w:uiPriority w:val="0"/>
    <w:pPr>
      <w:numPr>
        <w:ilvl w:val="0"/>
        <w:numId w:val="1"/>
      </w:numPr>
    </w:pPr>
  </w:style>
  <w:style w:type="paragraph" w:styleId="21">
    <w:name w:val="caption"/>
    <w:basedOn w:val="1"/>
    <w:next w:val="1"/>
    <w:link w:val="162"/>
    <w:qFormat/>
    <w:uiPriority w:val="35"/>
    <w:pPr>
      <w:adjustRightInd w:val="0"/>
      <w:snapToGrid w:val="0"/>
      <w:spacing w:before="0" w:beforeLines="0" w:line="360" w:lineRule="auto"/>
      <w:ind w:firstLine="440" w:firstLineChars="200"/>
      <w:jc w:val="center"/>
    </w:pPr>
    <w:rPr>
      <w:rFonts w:ascii="Cambria" w:hAnsi="Cambria" w:eastAsia="黑体"/>
      <w:sz w:val="22"/>
      <w:szCs w:val="20"/>
    </w:rPr>
  </w:style>
  <w:style w:type="paragraph" w:styleId="22">
    <w:name w:val="index 5"/>
    <w:basedOn w:val="1"/>
    <w:next w:val="1"/>
    <w:qFormat/>
    <w:uiPriority w:val="0"/>
    <w:pPr>
      <w:spacing w:before="0" w:beforeLines="0" w:line="240" w:lineRule="auto"/>
      <w:ind w:left="1050" w:hanging="210"/>
      <w:jc w:val="left"/>
    </w:pPr>
    <w:rPr>
      <w:sz w:val="20"/>
      <w:szCs w:val="20"/>
    </w:rPr>
  </w:style>
  <w:style w:type="paragraph" w:styleId="23">
    <w:name w:val="List Bullet"/>
    <w:basedOn w:val="1"/>
    <w:qFormat/>
    <w:uiPriority w:val="0"/>
    <w:pPr>
      <w:tabs>
        <w:tab w:val="left" w:pos="846"/>
      </w:tabs>
      <w:spacing w:before="0" w:beforeLines="0" w:line="240" w:lineRule="auto"/>
      <w:ind w:left="846" w:hanging="420"/>
    </w:pPr>
    <w:rPr>
      <w:szCs w:val="20"/>
    </w:rPr>
  </w:style>
  <w:style w:type="paragraph" w:styleId="24">
    <w:name w:val="envelope address"/>
    <w:basedOn w:val="1"/>
    <w:qFormat/>
    <w:uiPriority w:val="99"/>
    <w:pPr>
      <w:adjustRightInd w:val="0"/>
      <w:snapToGrid w:val="0"/>
      <w:spacing w:before="0" w:beforeLines="0" w:line="360" w:lineRule="auto"/>
      <w:ind w:left="100" w:leftChars="1400"/>
      <w:textAlignment w:val="baseline"/>
    </w:pPr>
    <w:rPr>
      <w:rFonts w:ascii="Arial" w:hAnsi="Arial" w:cs="Arial"/>
      <w:kern w:val="0"/>
      <w:sz w:val="24"/>
    </w:rPr>
  </w:style>
  <w:style w:type="paragraph" w:styleId="25">
    <w:name w:val="Document Map"/>
    <w:basedOn w:val="1"/>
    <w:link w:val="182"/>
    <w:unhideWhenUsed/>
    <w:qFormat/>
    <w:uiPriority w:val="0"/>
    <w:pPr>
      <w:spacing w:before="0" w:beforeLines="0" w:line="240" w:lineRule="auto"/>
    </w:pPr>
    <w:rPr>
      <w:rFonts w:ascii="宋体" w:hAnsi="Calibri"/>
      <w:sz w:val="18"/>
      <w:szCs w:val="18"/>
    </w:rPr>
  </w:style>
  <w:style w:type="paragraph" w:styleId="26">
    <w:name w:val="toa heading"/>
    <w:basedOn w:val="1"/>
    <w:next w:val="1"/>
    <w:qFormat/>
    <w:uiPriority w:val="0"/>
    <w:pPr>
      <w:spacing w:before="120" w:beforeLines="0" w:line="240" w:lineRule="auto"/>
    </w:pPr>
    <w:rPr>
      <w:rFonts w:ascii="Arial" w:hAnsi="Arial"/>
      <w:sz w:val="24"/>
      <w:szCs w:val="20"/>
    </w:rPr>
  </w:style>
  <w:style w:type="paragraph" w:styleId="27">
    <w:name w:val="annotation text"/>
    <w:basedOn w:val="1"/>
    <w:link w:val="200"/>
    <w:qFormat/>
    <w:uiPriority w:val="99"/>
    <w:pPr>
      <w:jc w:val="left"/>
    </w:pPr>
  </w:style>
  <w:style w:type="paragraph" w:styleId="28">
    <w:name w:val="index 6"/>
    <w:basedOn w:val="1"/>
    <w:next w:val="1"/>
    <w:qFormat/>
    <w:uiPriority w:val="0"/>
    <w:pPr>
      <w:spacing w:before="0" w:beforeLines="0" w:line="240" w:lineRule="auto"/>
      <w:ind w:left="1260" w:hanging="210"/>
      <w:jc w:val="left"/>
    </w:pPr>
    <w:rPr>
      <w:sz w:val="20"/>
      <w:szCs w:val="20"/>
    </w:rPr>
  </w:style>
  <w:style w:type="paragraph" w:styleId="29">
    <w:name w:val="Salutation"/>
    <w:basedOn w:val="1"/>
    <w:next w:val="1"/>
    <w:link w:val="1398"/>
    <w:qFormat/>
    <w:uiPriority w:val="0"/>
    <w:pPr>
      <w:spacing w:before="0" w:beforeLines="0" w:line="240" w:lineRule="auto"/>
    </w:pPr>
    <w:rPr>
      <w:sz w:val="28"/>
    </w:rPr>
  </w:style>
  <w:style w:type="paragraph" w:styleId="30">
    <w:name w:val="Body Text 3"/>
    <w:basedOn w:val="1"/>
    <w:link w:val="241"/>
    <w:qFormat/>
    <w:uiPriority w:val="0"/>
    <w:pPr>
      <w:spacing w:before="0" w:beforeLines="0" w:line="240" w:lineRule="atLeast"/>
    </w:pPr>
    <w:rPr>
      <w:rFonts w:ascii="宋体" w:hAnsi="宋体"/>
      <w:sz w:val="28"/>
    </w:rPr>
  </w:style>
  <w:style w:type="paragraph" w:styleId="31">
    <w:name w:val="Closing"/>
    <w:basedOn w:val="1"/>
    <w:link w:val="844"/>
    <w:qFormat/>
    <w:uiPriority w:val="0"/>
    <w:pPr>
      <w:ind w:left="100" w:leftChars="2100"/>
    </w:pPr>
    <w:rPr>
      <w:kern w:val="0"/>
      <w:sz w:val="28"/>
      <w:szCs w:val="20"/>
    </w:rPr>
  </w:style>
  <w:style w:type="paragraph" w:styleId="32">
    <w:name w:val="List Bullet 3"/>
    <w:basedOn w:val="1"/>
    <w:qFormat/>
    <w:uiPriority w:val="0"/>
    <w:pPr>
      <w:widowControl/>
      <w:tabs>
        <w:tab w:val="left" w:pos="1200"/>
      </w:tabs>
      <w:spacing w:before="72" w:beforeLines="30" w:after="72" w:afterLines="30" w:line="300" w:lineRule="auto"/>
      <w:ind w:left="1200" w:hanging="360"/>
    </w:pPr>
    <w:rPr>
      <w:kern w:val="0"/>
      <w:sz w:val="24"/>
    </w:rPr>
  </w:style>
  <w:style w:type="paragraph" w:styleId="33">
    <w:name w:val="Body Text"/>
    <w:basedOn w:val="1"/>
    <w:next w:val="34"/>
    <w:link w:val="181"/>
    <w:qFormat/>
    <w:uiPriority w:val="0"/>
    <w:pPr>
      <w:autoSpaceDE w:val="0"/>
      <w:autoSpaceDN w:val="0"/>
      <w:spacing w:before="0" w:beforeLines="0" w:line="240" w:lineRule="auto"/>
      <w:jc w:val="left"/>
    </w:pPr>
    <w:rPr>
      <w:rFonts w:ascii="宋体" w:hAnsi="宋体" w:cs="宋体"/>
      <w:kern w:val="0"/>
      <w:sz w:val="24"/>
      <w:lang w:val="zh-CN" w:bidi="zh-CN"/>
    </w:rPr>
  </w:style>
  <w:style w:type="paragraph" w:customStyle="1" w:styleId="34">
    <w:name w:val="Default"/>
    <w:link w:val="2457"/>
    <w:qFormat/>
    <w:uiPriority w:val="0"/>
    <w:pPr>
      <w:widowControl w:val="0"/>
      <w:autoSpaceDE w:val="0"/>
      <w:autoSpaceDN w:val="0"/>
      <w:adjustRightInd w:val="0"/>
    </w:pPr>
    <w:rPr>
      <w:rFonts w:ascii="宋体" w:hAnsi="Times New Roman" w:eastAsia="宋体" w:cs="宋体"/>
      <w:lang w:val="en-US" w:eastAsia="zh-CN" w:bidi="ar-SA"/>
    </w:rPr>
  </w:style>
  <w:style w:type="paragraph" w:styleId="35">
    <w:name w:val="Body Text Indent"/>
    <w:basedOn w:val="1"/>
    <w:next w:val="36"/>
    <w:link w:val="242"/>
    <w:qFormat/>
    <w:uiPriority w:val="99"/>
    <w:pPr>
      <w:spacing w:before="0" w:beforeLines="0" w:line="480" w:lineRule="exact"/>
      <w:ind w:firstLine="480" w:firstLineChars="200"/>
    </w:pPr>
    <w:rPr>
      <w:sz w:val="24"/>
    </w:rPr>
  </w:style>
  <w:style w:type="paragraph" w:styleId="36">
    <w:name w:val="header"/>
    <w:basedOn w:val="1"/>
    <w:next w:val="37"/>
    <w:link w:val="145"/>
    <w:qFormat/>
    <w:uiPriority w:val="99"/>
    <w:pPr>
      <w:pBdr>
        <w:bottom w:val="single" w:color="auto" w:sz="6" w:space="1"/>
      </w:pBdr>
      <w:tabs>
        <w:tab w:val="center" w:pos="4153"/>
        <w:tab w:val="right" w:pos="8306"/>
      </w:tabs>
      <w:snapToGrid w:val="0"/>
      <w:spacing w:line="240" w:lineRule="atLeast"/>
      <w:jc w:val="center"/>
    </w:pPr>
    <w:rPr>
      <w:sz w:val="18"/>
      <w:szCs w:val="18"/>
    </w:rPr>
  </w:style>
  <w:style w:type="paragraph" w:customStyle="1" w:styleId="37">
    <w:name w:val="样式5"/>
    <w:basedOn w:val="6"/>
    <w:qFormat/>
    <w:uiPriority w:val="0"/>
    <w:pPr>
      <w:spacing w:before="120" w:after="120" w:line="500" w:lineRule="exact"/>
      <w:ind w:firstLine="200"/>
      <w:jc w:val="center"/>
    </w:pPr>
    <w:rPr>
      <w:rFonts w:ascii="Times New Roman" w:hAnsi="Times New Roman" w:eastAsia="黑体"/>
    </w:rPr>
  </w:style>
  <w:style w:type="paragraph" w:styleId="38">
    <w:name w:val="List Number 3"/>
    <w:basedOn w:val="1"/>
    <w:qFormat/>
    <w:uiPriority w:val="0"/>
    <w:pPr>
      <w:widowControl/>
      <w:tabs>
        <w:tab w:val="left" w:pos="1200"/>
      </w:tabs>
      <w:spacing w:before="72" w:beforeLines="30" w:after="72" w:afterLines="30" w:line="300" w:lineRule="auto"/>
      <w:ind w:left="1200" w:hanging="360"/>
    </w:pPr>
    <w:rPr>
      <w:kern w:val="0"/>
      <w:sz w:val="24"/>
    </w:rPr>
  </w:style>
  <w:style w:type="paragraph" w:styleId="39">
    <w:name w:val="List 2"/>
    <w:basedOn w:val="1"/>
    <w:qFormat/>
    <w:uiPriority w:val="99"/>
    <w:pPr>
      <w:spacing w:before="0" w:beforeLines="0" w:line="240" w:lineRule="auto"/>
      <w:ind w:left="100" w:leftChars="200" w:hanging="200" w:hangingChars="200"/>
    </w:pPr>
    <w:rPr>
      <w:rFonts w:ascii="宋体"/>
      <w:sz w:val="28"/>
      <w:szCs w:val="20"/>
    </w:rPr>
  </w:style>
  <w:style w:type="paragraph" w:styleId="40">
    <w:name w:val="List Continue"/>
    <w:basedOn w:val="1"/>
    <w:qFormat/>
    <w:uiPriority w:val="0"/>
    <w:pPr>
      <w:spacing w:before="0" w:beforeLines="0" w:after="120" w:line="240" w:lineRule="auto"/>
      <w:ind w:left="420" w:leftChars="200"/>
    </w:pPr>
  </w:style>
  <w:style w:type="paragraph" w:styleId="41">
    <w:name w:val="Block Text"/>
    <w:basedOn w:val="1"/>
    <w:qFormat/>
    <w:uiPriority w:val="0"/>
    <w:pPr>
      <w:spacing w:before="0" w:beforeLines="0" w:after="120" w:line="240" w:lineRule="auto"/>
      <w:ind w:left="1440" w:leftChars="700" w:right="1440" w:rightChars="700"/>
    </w:pPr>
  </w:style>
  <w:style w:type="paragraph" w:styleId="42">
    <w:name w:val="List Bullet 2"/>
    <w:basedOn w:val="1"/>
    <w:qFormat/>
    <w:uiPriority w:val="0"/>
    <w:pPr>
      <w:tabs>
        <w:tab w:val="left" w:pos="1140"/>
      </w:tabs>
      <w:spacing w:before="120" w:beforeLines="0" w:after="120" w:line="460" w:lineRule="exact"/>
      <w:ind w:left="956" w:hanging="438"/>
    </w:pPr>
    <w:rPr>
      <w:rFonts w:ascii="宋体"/>
      <w:snapToGrid w:val="0"/>
      <w:color w:val="000000"/>
      <w:kern w:val="0"/>
      <w:sz w:val="24"/>
      <w:szCs w:val="20"/>
    </w:rPr>
  </w:style>
  <w:style w:type="paragraph" w:styleId="43">
    <w:name w:val="HTML Address"/>
    <w:basedOn w:val="1"/>
    <w:link w:val="2612"/>
    <w:qFormat/>
    <w:uiPriority w:val="0"/>
    <w:rPr>
      <w:i/>
      <w:iCs/>
    </w:rPr>
  </w:style>
  <w:style w:type="paragraph" w:styleId="44">
    <w:name w:val="index 4"/>
    <w:basedOn w:val="1"/>
    <w:next w:val="1"/>
    <w:qFormat/>
    <w:uiPriority w:val="0"/>
    <w:pPr>
      <w:spacing w:before="0" w:beforeLines="0" w:line="240" w:lineRule="auto"/>
      <w:ind w:left="840" w:hanging="210"/>
      <w:jc w:val="left"/>
    </w:pPr>
    <w:rPr>
      <w:sz w:val="20"/>
      <w:szCs w:val="20"/>
    </w:rPr>
  </w:style>
  <w:style w:type="paragraph" w:styleId="45">
    <w:name w:val="toc 5"/>
    <w:basedOn w:val="1"/>
    <w:next w:val="1"/>
    <w:qFormat/>
    <w:uiPriority w:val="39"/>
    <w:pPr>
      <w:spacing w:before="0" w:beforeLines="0" w:line="240" w:lineRule="auto"/>
      <w:ind w:left="840"/>
      <w:jc w:val="left"/>
    </w:pPr>
    <w:rPr>
      <w:rFonts w:ascii="Calibri" w:hAnsi="Calibri"/>
      <w:sz w:val="18"/>
      <w:szCs w:val="18"/>
    </w:rPr>
  </w:style>
  <w:style w:type="paragraph" w:styleId="46">
    <w:name w:val="toc 3"/>
    <w:basedOn w:val="1"/>
    <w:next w:val="1"/>
    <w:qFormat/>
    <w:uiPriority w:val="39"/>
    <w:pPr>
      <w:spacing w:before="0" w:beforeLines="0" w:line="264" w:lineRule="auto"/>
      <w:ind w:left="200" w:leftChars="200"/>
      <w:jc w:val="left"/>
    </w:pPr>
    <w:rPr>
      <w:b/>
      <w:iCs/>
      <w:sz w:val="24"/>
      <w:szCs w:val="20"/>
    </w:rPr>
  </w:style>
  <w:style w:type="paragraph" w:styleId="47">
    <w:name w:val="Plain Text"/>
    <w:basedOn w:val="1"/>
    <w:link w:val="255"/>
    <w:qFormat/>
    <w:uiPriority w:val="0"/>
    <w:rPr>
      <w:rFonts w:ascii="宋体" w:hAnsi="Courier New"/>
      <w:szCs w:val="21"/>
    </w:rPr>
  </w:style>
  <w:style w:type="paragraph" w:styleId="48">
    <w:name w:val="List Bullet 5"/>
    <w:basedOn w:val="1"/>
    <w:qFormat/>
    <w:uiPriority w:val="0"/>
    <w:pPr>
      <w:widowControl/>
      <w:tabs>
        <w:tab w:val="left" w:pos="2040"/>
      </w:tabs>
      <w:spacing w:before="72" w:beforeLines="30" w:after="72" w:afterLines="30" w:line="300" w:lineRule="auto"/>
      <w:ind w:left="2040" w:hanging="360"/>
    </w:pPr>
    <w:rPr>
      <w:kern w:val="0"/>
      <w:sz w:val="24"/>
    </w:rPr>
  </w:style>
  <w:style w:type="paragraph" w:styleId="49">
    <w:name w:val="List Number 4"/>
    <w:basedOn w:val="1"/>
    <w:qFormat/>
    <w:uiPriority w:val="0"/>
    <w:pPr>
      <w:widowControl/>
      <w:tabs>
        <w:tab w:val="left" w:pos="1620"/>
      </w:tabs>
      <w:spacing w:before="72" w:beforeLines="30" w:after="72" w:afterLines="30" w:line="300" w:lineRule="auto"/>
      <w:ind w:left="1620" w:hanging="360"/>
    </w:pPr>
    <w:rPr>
      <w:kern w:val="0"/>
      <w:sz w:val="24"/>
    </w:rPr>
  </w:style>
  <w:style w:type="paragraph" w:styleId="50">
    <w:name w:val="toc 8"/>
    <w:basedOn w:val="1"/>
    <w:next w:val="1"/>
    <w:qFormat/>
    <w:uiPriority w:val="39"/>
    <w:pPr>
      <w:spacing w:before="0" w:beforeLines="0" w:line="240" w:lineRule="auto"/>
      <w:ind w:left="1470"/>
      <w:jc w:val="left"/>
    </w:pPr>
    <w:rPr>
      <w:rFonts w:ascii="Calibri" w:hAnsi="Calibri"/>
      <w:sz w:val="18"/>
      <w:szCs w:val="18"/>
    </w:rPr>
  </w:style>
  <w:style w:type="paragraph" w:styleId="51">
    <w:name w:val="index 3"/>
    <w:basedOn w:val="1"/>
    <w:next w:val="1"/>
    <w:qFormat/>
    <w:uiPriority w:val="0"/>
    <w:pPr>
      <w:spacing w:before="0" w:beforeLines="0" w:line="240" w:lineRule="auto"/>
      <w:ind w:left="630" w:hanging="210"/>
      <w:jc w:val="left"/>
    </w:pPr>
    <w:rPr>
      <w:sz w:val="20"/>
      <w:szCs w:val="20"/>
    </w:rPr>
  </w:style>
  <w:style w:type="paragraph" w:styleId="52">
    <w:name w:val="Date"/>
    <w:basedOn w:val="1"/>
    <w:next w:val="1"/>
    <w:link w:val="148"/>
    <w:qFormat/>
    <w:uiPriority w:val="0"/>
    <w:pPr>
      <w:ind w:left="100" w:leftChars="2500"/>
    </w:pPr>
  </w:style>
  <w:style w:type="paragraph" w:styleId="53">
    <w:name w:val="Body Text Indent 2"/>
    <w:basedOn w:val="1"/>
    <w:next w:val="54"/>
    <w:link w:val="258"/>
    <w:unhideWhenUsed/>
    <w:qFormat/>
    <w:uiPriority w:val="99"/>
    <w:pPr>
      <w:spacing w:after="120" w:line="480" w:lineRule="auto"/>
      <w:ind w:left="420" w:leftChars="200"/>
    </w:pPr>
  </w:style>
  <w:style w:type="paragraph" w:styleId="54">
    <w:name w:val="Body Text First Indent"/>
    <w:basedOn w:val="33"/>
    <w:next w:val="1"/>
    <w:link w:val="299"/>
    <w:qFormat/>
    <w:uiPriority w:val="0"/>
    <w:pPr>
      <w:ind w:firstLine="420" w:firstLineChars="100"/>
    </w:pPr>
  </w:style>
  <w:style w:type="paragraph" w:styleId="55">
    <w:name w:val="endnote text"/>
    <w:basedOn w:val="1"/>
    <w:link w:val="137"/>
    <w:qFormat/>
    <w:uiPriority w:val="0"/>
    <w:pPr>
      <w:snapToGrid w:val="0"/>
      <w:spacing w:before="0" w:beforeLines="0" w:line="240" w:lineRule="auto"/>
      <w:jc w:val="left"/>
    </w:pPr>
    <w:rPr>
      <w:szCs w:val="20"/>
    </w:rPr>
  </w:style>
  <w:style w:type="paragraph" w:styleId="56">
    <w:name w:val="List Continue 5"/>
    <w:basedOn w:val="1"/>
    <w:qFormat/>
    <w:uiPriority w:val="99"/>
    <w:pPr>
      <w:adjustRightInd w:val="0"/>
      <w:spacing w:before="0" w:beforeLines="0" w:after="120" w:line="360" w:lineRule="auto"/>
      <w:ind w:left="2100" w:leftChars="1000"/>
      <w:textAlignment w:val="baseline"/>
    </w:pPr>
    <w:rPr>
      <w:kern w:val="0"/>
      <w:sz w:val="24"/>
      <w:szCs w:val="20"/>
    </w:rPr>
  </w:style>
  <w:style w:type="paragraph" w:styleId="57">
    <w:name w:val="Balloon Text"/>
    <w:basedOn w:val="1"/>
    <w:link w:val="138"/>
    <w:qFormat/>
    <w:uiPriority w:val="99"/>
    <w:pPr>
      <w:spacing w:before="0" w:line="240" w:lineRule="auto"/>
    </w:pPr>
    <w:rPr>
      <w:sz w:val="18"/>
      <w:szCs w:val="18"/>
    </w:rPr>
  </w:style>
  <w:style w:type="paragraph" w:styleId="58">
    <w:name w:val="footer"/>
    <w:basedOn w:val="1"/>
    <w:next w:val="1"/>
    <w:link w:val="136"/>
    <w:qFormat/>
    <w:uiPriority w:val="99"/>
    <w:pPr>
      <w:tabs>
        <w:tab w:val="center" w:pos="4153"/>
        <w:tab w:val="right" w:pos="8306"/>
      </w:tabs>
      <w:snapToGrid w:val="0"/>
      <w:jc w:val="left"/>
    </w:pPr>
    <w:rPr>
      <w:sz w:val="18"/>
    </w:rPr>
  </w:style>
  <w:style w:type="paragraph" w:styleId="59">
    <w:name w:val="envelope return"/>
    <w:basedOn w:val="1"/>
    <w:qFormat/>
    <w:uiPriority w:val="99"/>
    <w:pPr>
      <w:adjustRightInd w:val="0"/>
      <w:snapToGrid w:val="0"/>
      <w:spacing w:before="0" w:beforeLines="0" w:line="360" w:lineRule="auto"/>
      <w:textAlignment w:val="baseline"/>
    </w:pPr>
    <w:rPr>
      <w:rFonts w:ascii="Arial" w:hAnsi="Arial" w:cs="Arial"/>
      <w:kern w:val="0"/>
      <w:sz w:val="24"/>
      <w:szCs w:val="20"/>
    </w:rPr>
  </w:style>
  <w:style w:type="paragraph" w:styleId="60">
    <w:name w:val="Signature"/>
    <w:basedOn w:val="1"/>
    <w:link w:val="545"/>
    <w:qFormat/>
    <w:uiPriority w:val="0"/>
    <w:pPr>
      <w:spacing w:before="0" w:beforeLines="0" w:line="240" w:lineRule="auto"/>
      <w:ind w:left="100" w:leftChars="2100"/>
    </w:pPr>
  </w:style>
  <w:style w:type="paragraph" w:styleId="61">
    <w:name w:val="toc 1"/>
    <w:basedOn w:val="1"/>
    <w:next w:val="1"/>
    <w:qFormat/>
    <w:uiPriority w:val="39"/>
  </w:style>
  <w:style w:type="paragraph" w:styleId="62">
    <w:name w:val="List Continue 4"/>
    <w:basedOn w:val="1"/>
    <w:qFormat/>
    <w:uiPriority w:val="99"/>
    <w:pPr>
      <w:adjustRightInd w:val="0"/>
      <w:spacing w:before="0" w:beforeLines="0" w:after="120" w:line="360" w:lineRule="auto"/>
      <w:ind w:left="1680" w:leftChars="800"/>
      <w:textAlignment w:val="baseline"/>
    </w:pPr>
    <w:rPr>
      <w:kern w:val="0"/>
      <w:sz w:val="24"/>
      <w:szCs w:val="20"/>
    </w:rPr>
  </w:style>
  <w:style w:type="paragraph" w:styleId="63">
    <w:name w:val="toc 4"/>
    <w:basedOn w:val="1"/>
    <w:next w:val="1"/>
    <w:qFormat/>
    <w:uiPriority w:val="39"/>
    <w:pPr>
      <w:spacing w:before="0" w:beforeLines="0" w:line="240" w:lineRule="auto"/>
      <w:ind w:left="630"/>
      <w:jc w:val="left"/>
    </w:pPr>
    <w:rPr>
      <w:rFonts w:ascii="Calibri" w:hAnsi="Calibri"/>
      <w:sz w:val="18"/>
      <w:szCs w:val="18"/>
    </w:rPr>
  </w:style>
  <w:style w:type="paragraph" w:styleId="64">
    <w:name w:val="index heading"/>
    <w:basedOn w:val="1"/>
    <w:next w:val="65"/>
    <w:qFormat/>
    <w:uiPriority w:val="0"/>
    <w:pPr>
      <w:spacing w:before="0" w:beforeLines="0" w:line="240" w:lineRule="auto"/>
    </w:pPr>
  </w:style>
  <w:style w:type="paragraph" w:styleId="65">
    <w:name w:val="index 1"/>
    <w:basedOn w:val="1"/>
    <w:next w:val="1"/>
    <w:autoRedefine/>
    <w:unhideWhenUsed/>
    <w:qFormat/>
    <w:uiPriority w:val="0"/>
  </w:style>
  <w:style w:type="paragraph" w:styleId="66">
    <w:name w:val="Subtitle"/>
    <w:basedOn w:val="1"/>
    <w:next w:val="1"/>
    <w:link w:val="328"/>
    <w:qFormat/>
    <w:uiPriority w:val="11"/>
    <w:pPr>
      <w:adjustRightInd w:val="0"/>
      <w:snapToGrid w:val="0"/>
      <w:spacing w:before="240" w:beforeLines="0" w:after="60" w:line="312" w:lineRule="auto"/>
      <w:ind w:firstLine="200" w:firstLineChars="200"/>
      <w:jc w:val="center"/>
      <w:outlineLvl w:val="1"/>
    </w:pPr>
    <w:rPr>
      <w:rFonts w:ascii="Cambria" w:hAnsi="Cambria"/>
      <w:b/>
      <w:bCs/>
      <w:kern w:val="28"/>
      <w:sz w:val="32"/>
      <w:szCs w:val="32"/>
    </w:rPr>
  </w:style>
  <w:style w:type="paragraph" w:styleId="67">
    <w:name w:val="List Number 5"/>
    <w:basedOn w:val="1"/>
    <w:qFormat/>
    <w:uiPriority w:val="0"/>
    <w:pPr>
      <w:widowControl/>
      <w:tabs>
        <w:tab w:val="left" w:pos="2040"/>
      </w:tabs>
      <w:spacing w:before="72" w:beforeLines="30" w:after="72" w:afterLines="30" w:line="300" w:lineRule="auto"/>
      <w:ind w:left="2040" w:hanging="360"/>
    </w:pPr>
    <w:rPr>
      <w:kern w:val="0"/>
      <w:sz w:val="24"/>
    </w:rPr>
  </w:style>
  <w:style w:type="paragraph" w:styleId="68">
    <w:name w:val="List"/>
    <w:basedOn w:val="1"/>
    <w:link w:val="2293"/>
    <w:qFormat/>
    <w:uiPriority w:val="0"/>
    <w:pPr>
      <w:spacing w:before="0" w:beforeLines="0" w:line="240" w:lineRule="auto"/>
      <w:ind w:left="200" w:hanging="200" w:hangingChars="200"/>
    </w:pPr>
  </w:style>
  <w:style w:type="paragraph" w:styleId="69">
    <w:name w:val="footnote text"/>
    <w:basedOn w:val="1"/>
    <w:link w:val="393"/>
    <w:unhideWhenUsed/>
    <w:qFormat/>
    <w:uiPriority w:val="0"/>
    <w:pPr>
      <w:adjustRightInd w:val="0"/>
      <w:snapToGrid w:val="0"/>
      <w:spacing w:before="0" w:beforeLines="0" w:line="360" w:lineRule="auto"/>
      <w:ind w:firstLine="200" w:firstLineChars="200"/>
      <w:jc w:val="left"/>
    </w:pPr>
    <w:rPr>
      <w:sz w:val="18"/>
      <w:szCs w:val="18"/>
    </w:rPr>
  </w:style>
  <w:style w:type="paragraph" w:styleId="70">
    <w:name w:val="toc 6"/>
    <w:basedOn w:val="1"/>
    <w:next w:val="1"/>
    <w:qFormat/>
    <w:uiPriority w:val="39"/>
    <w:pPr>
      <w:spacing w:before="0" w:beforeLines="0" w:line="240" w:lineRule="auto"/>
      <w:ind w:left="1050"/>
      <w:jc w:val="left"/>
    </w:pPr>
    <w:rPr>
      <w:rFonts w:ascii="Calibri" w:hAnsi="Calibri"/>
      <w:sz w:val="18"/>
      <w:szCs w:val="18"/>
    </w:rPr>
  </w:style>
  <w:style w:type="paragraph" w:styleId="71">
    <w:name w:val="List 5"/>
    <w:basedOn w:val="1"/>
    <w:qFormat/>
    <w:uiPriority w:val="99"/>
    <w:pPr>
      <w:spacing w:before="0" w:beforeLines="0" w:line="240" w:lineRule="auto"/>
      <w:ind w:left="100" w:leftChars="800" w:hanging="200" w:hangingChars="200"/>
    </w:pPr>
    <w:rPr>
      <w:rFonts w:ascii="宋体"/>
      <w:sz w:val="28"/>
      <w:szCs w:val="20"/>
    </w:rPr>
  </w:style>
  <w:style w:type="paragraph" w:styleId="72">
    <w:name w:val="Body Text Indent 3"/>
    <w:basedOn w:val="1"/>
    <w:link w:val="243"/>
    <w:qFormat/>
    <w:uiPriority w:val="99"/>
    <w:pPr>
      <w:spacing w:before="0" w:beforeLines="0" w:after="120" w:line="240" w:lineRule="auto"/>
      <w:ind w:left="420" w:leftChars="200"/>
    </w:pPr>
    <w:rPr>
      <w:sz w:val="16"/>
      <w:szCs w:val="16"/>
    </w:rPr>
  </w:style>
  <w:style w:type="paragraph" w:styleId="73">
    <w:name w:val="index 7"/>
    <w:basedOn w:val="1"/>
    <w:next w:val="1"/>
    <w:qFormat/>
    <w:uiPriority w:val="0"/>
    <w:pPr>
      <w:spacing w:before="0" w:beforeLines="0" w:line="240" w:lineRule="auto"/>
      <w:ind w:left="1470" w:hanging="210"/>
      <w:jc w:val="left"/>
    </w:pPr>
    <w:rPr>
      <w:sz w:val="20"/>
      <w:szCs w:val="20"/>
    </w:rPr>
  </w:style>
  <w:style w:type="paragraph" w:styleId="74">
    <w:name w:val="index 9"/>
    <w:basedOn w:val="1"/>
    <w:next w:val="1"/>
    <w:qFormat/>
    <w:uiPriority w:val="0"/>
    <w:pPr>
      <w:spacing w:before="0" w:beforeLines="0" w:line="240" w:lineRule="auto"/>
      <w:ind w:left="1890" w:hanging="210"/>
      <w:jc w:val="left"/>
    </w:pPr>
    <w:rPr>
      <w:sz w:val="20"/>
      <w:szCs w:val="20"/>
    </w:rPr>
  </w:style>
  <w:style w:type="paragraph" w:styleId="75">
    <w:name w:val="table of figures"/>
    <w:basedOn w:val="1"/>
    <w:next w:val="1"/>
    <w:qFormat/>
    <w:uiPriority w:val="0"/>
    <w:pPr>
      <w:autoSpaceDE w:val="0"/>
      <w:autoSpaceDN w:val="0"/>
      <w:spacing w:line="360" w:lineRule="auto"/>
      <w:ind w:left="200" w:leftChars="200" w:hanging="200" w:hangingChars="200"/>
    </w:pPr>
    <w:rPr>
      <w:rFonts w:ascii="Calibri" w:hAnsi="Calibri"/>
      <w:sz w:val="28"/>
      <w:szCs w:val="20"/>
    </w:rPr>
  </w:style>
  <w:style w:type="paragraph" w:styleId="76">
    <w:name w:val="toc 2"/>
    <w:basedOn w:val="1"/>
    <w:next w:val="1"/>
    <w:qFormat/>
    <w:uiPriority w:val="39"/>
    <w:pPr>
      <w:ind w:left="420" w:leftChars="200"/>
    </w:pPr>
  </w:style>
  <w:style w:type="paragraph" w:styleId="77">
    <w:name w:val="toc 9"/>
    <w:basedOn w:val="1"/>
    <w:next w:val="1"/>
    <w:qFormat/>
    <w:uiPriority w:val="39"/>
    <w:pPr>
      <w:spacing w:before="0" w:beforeLines="0" w:line="240" w:lineRule="auto"/>
      <w:ind w:left="1680"/>
      <w:jc w:val="left"/>
    </w:pPr>
    <w:rPr>
      <w:rFonts w:ascii="Calibri" w:hAnsi="Calibri"/>
      <w:sz w:val="18"/>
      <w:szCs w:val="18"/>
    </w:rPr>
  </w:style>
  <w:style w:type="paragraph" w:styleId="78">
    <w:name w:val="Body Text 2"/>
    <w:basedOn w:val="1"/>
    <w:link w:val="244"/>
    <w:qFormat/>
    <w:uiPriority w:val="0"/>
    <w:pPr>
      <w:spacing w:before="0" w:beforeLines="0" w:after="120" w:line="480" w:lineRule="auto"/>
    </w:pPr>
  </w:style>
  <w:style w:type="paragraph" w:styleId="79">
    <w:name w:val="List 4"/>
    <w:basedOn w:val="1"/>
    <w:qFormat/>
    <w:uiPriority w:val="0"/>
    <w:pPr>
      <w:spacing w:before="0" w:beforeLines="0" w:line="240" w:lineRule="auto"/>
      <w:ind w:left="100" w:leftChars="600" w:hanging="200" w:hangingChars="200"/>
    </w:pPr>
    <w:rPr>
      <w:rFonts w:ascii="宋体"/>
      <w:sz w:val="28"/>
      <w:szCs w:val="20"/>
    </w:rPr>
  </w:style>
  <w:style w:type="paragraph" w:styleId="80">
    <w:name w:val="List Continue 2"/>
    <w:basedOn w:val="1"/>
    <w:qFormat/>
    <w:uiPriority w:val="99"/>
    <w:pPr>
      <w:spacing w:before="0" w:beforeLines="0" w:after="120" w:line="240" w:lineRule="auto"/>
      <w:ind w:left="840" w:leftChars="400"/>
    </w:pPr>
    <w:rPr>
      <w:rFonts w:ascii="宋体"/>
      <w:sz w:val="28"/>
      <w:szCs w:val="20"/>
    </w:rPr>
  </w:style>
  <w:style w:type="paragraph" w:styleId="81">
    <w:name w:val="Message Header"/>
    <w:basedOn w:val="1"/>
    <w:link w:val="1551"/>
    <w:qFormat/>
    <w:uiPriority w:val="0"/>
    <w:pPr>
      <w:keepLines/>
      <w:widowControl/>
      <w:tabs>
        <w:tab w:val="left" w:pos="720"/>
        <w:tab w:val="left" w:pos="4320"/>
        <w:tab w:val="left" w:pos="5040"/>
        <w:tab w:val="right" w:pos="8640"/>
      </w:tabs>
      <w:spacing w:after="40" w:line="440" w:lineRule="atLeast"/>
      <w:ind w:left="720" w:hanging="720"/>
      <w:jc w:val="left"/>
    </w:pPr>
    <w:rPr>
      <w:rFonts w:ascii="Arial" w:hAnsi="Arial"/>
      <w:spacing w:val="-5"/>
    </w:rPr>
  </w:style>
  <w:style w:type="paragraph" w:styleId="82">
    <w:name w:val="HTML Preformatted"/>
    <w:basedOn w:val="1"/>
    <w:link w:val="131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Lines="0" w:line="240" w:lineRule="auto"/>
      <w:jc w:val="left"/>
    </w:pPr>
    <w:rPr>
      <w:rFonts w:ascii="Arial" w:hAnsi="Arial" w:cs="Arial"/>
      <w:kern w:val="0"/>
      <w:sz w:val="24"/>
    </w:rPr>
  </w:style>
  <w:style w:type="paragraph" w:styleId="83">
    <w:name w:val="Normal (Web)"/>
    <w:basedOn w:val="1"/>
    <w:link w:val="1922"/>
    <w:unhideWhenUsed/>
    <w:qFormat/>
    <w:uiPriority w:val="99"/>
    <w:pPr>
      <w:widowControl/>
      <w:spacing w:before="100" w:beforeLines="0" w:beforeAutospacing="1" w:after="100" w:afterAutospacing="1" w:line="240" w:lineRule="auto"/>
      <w:jc w:val="left"/>
    </w:pPr>
    <w:rPr>
      <w:rFonts w:ascii="宋体" w:hAnsi="宋体" w:cs="宋体"/>
      <w:kern w:val="0"/>
      <w:sz w:val="24"/>
    </w:rPr>
  </w:style>
  <w:style w:type="paragraph" w:styleId="84">
    <w:name w:val="List Continue 3"/>
    <w:basedOn w:val="1"/>
    <w:qFormat/>
    <w:uiPriority w:val="99"/>
    <w:pPr>
      <w:spacing w:before="0" w:beforeLines="0" w:after="120" w:line="240" w:lineRule="auto"/>
      <w:ind w:left="1260" w:leftChars="600"/>
    </w:pPr>
    <w:rPr>
      <w:rFonts w:ascii="宋体"/>
      <w:sz w:val="28"/>
      <w:szCs w:val="20"/>
    </w:rPr>
  </w:style>
  <w:style w:type="paragraph" w:styleId="85">
    <w:name w:val="index 2"/>
    <w:basedOn w:val="1"/>
    <w:next w:val="1"/>
    <w:qFormat/>
    <w:uiPriority w:val="0"/>
    <w:pPr>
      <w:spacing w:before="0" w:beforeLines="0" w:line="240" w:lineRule="auto"/>
      <w:ind w:left="420" w:hanging="210"/>
      <w:jc w:val="left"/>
    </w:pPr>
    <w:rPr>
      <w:sz w:val="20"/>
      <w:szCs w:val="20"/>
    </w:rPr>
  </w:style>
  <w:style w:type="paragraph" w:styleId="86">
    <w:name w:val="Title"/>
    <w:basedOn w:val="1"/>
    <w:next w:val="1"/>
    <w:link w:val="323"/>
    <w:qFormat/>
    <w:uiPriority w:val="0"/>
    <w:pPr>
      <w:spacing w:before="240" w:after="60"/>
      <w:jc w:val="center"/>
      <w:outlineLvl w:val="0"/>
    </w:pPr>
    <w:rPr>
      <w:rFonts w:ascii="Cambria" w:hAnsi="Cambria"/>
      <w:b/>
      <w:bCs/>
      <w:sz w:val="32"/>
      <w:szCs w:val="32"/>
    </w:rPr>
  </w:style>
  <w:style w:type="paragraph" w:styleId="87">
    <w:name w:val="annotation subject"/>
    <w:basedOn w:val="27"/>
    <w:next w:val="27"/>
    <w:link w:val="201"/>
    <w:qFormat/>
    <w:uiPriority w:val="0"/>
    <w:rPr>
      <w:b/>
      <w:bCs/>
    </w:rPr>
  </w:style>
  <w:style w:type="paragraph" w:styleId="88">
    <w:name w:val="Body Text First Indent 2"/>
    <w:basedOn w:val="35"/>
    <w:next w:val="1"/>
    <w:link w:val="245"/>
    <w:qFormat/>
    <w:uiPriority w:val="0"/>
    <w:pPr>
      <w:spacing w:after="120" w:line="240" w:lineRule="auto"/>
      <w:ind w:left="420" w:leftChars="200" w:firstLine="420"/>
    </w:pPr>
    <w:rPr>
      <w:sz w:val="21"/>
    </w:rPr>
  </w:style>
  <w:style w:type="table" w:styleId="90">
    <w:name w:val="Table Grid"/>
    <w:basedOn w:val="8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Theme"/>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2">
    <w:name w:val="Table Colorful 2"/>
    <w:basedOn w:val="89"/>
    <w:qFormat/>
    <w:uiPriority w:val="0"/>
    <w:pPr>
      <w:widowControl w:val="0"/>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9"/>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9"/>
    <w:qFormat/>
    <w:uiPriority w:val="0"/>
    <w:pPr>
      <w:widowControl w:val="0"/>
      <w:jc w:val="center"/>
    </w:pPr>
    <w:rPr>
      <w:rFonts w:eastAsia="Arial"/>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vAlign w:val="center"/>
    </w:tcPr>
    <w:tblStylePr w:type="firstRow">
      <w:rPr>
        <w:caps/>
        <w:color w:val="auto"/>
      </w:rPr>
      <w:tblPr/>
      <w:tcPr>
        <w:tcBorders>
          <w:tl2br w:val="nil"/>
          <w:tr2bl w:val="nil"/>
        </w:tcBorders>
      </w:tcPr>
    </w:tblStylePr>
  </w:style>
  <w:style w:type="table" w:styleId="95">
    <w:name w:val="Table Classic 1"/>
    <w:basedOn w:val="89"/>
    <w:qFormat/>
    <w:uiPriority w:val="0"/>
    <w:pPr>
      <w:widowControl w:val="0"/>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3"/>
    <w:basedOn w:val="89"/>
    <w:qFormat/>
    <w:uiPriority w:val="99"/>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rFonts w:cs="Times New Roman"/>
        <w:b/>
        <w:bCs/>
        <w:i/>
        <w:iCs/>
        <w:color w:val="FFFFFF"/>
      </w:rPr>
      <w:tblPr/>
      <w:tcPr>
        <w:tcBorders>
          <w:bottom w:val="single" w:color="000000" w:sz="6" w:space="0"/>
          <w:tl2br w:val="nil"/>
          <w:tr2bl w:val="nil"/>
        </w:tcBorders>
        <w:shd w:val="solid" w:color="000080" w:fill="FFFFFF"/>
      </w:tcPr>
    </w:tblStylePr>
    <w:tblStylePr w:type="lastRow">
      <w:rPr>
        <w:rFonts w:cs="Times New Roman"/>
        <w:color w:val="000080"/>
      </w:rPr>
      <w:tblPr/>
      <w:tcPr>
        <w:tcBorders>
          <w:top w:val="single" w:color="000000" w:sz="12" w:space="0"/>
          <w:tl2br w:val="nil"/>
          <w:tr2bl w:val="nil"/>
        </w:tcBorders>
        <w:shd w:val="solid" w:color="FFFFFF" w:fill="FFFFFF"/>
      </w:tcPr>
    </w:tblStylePr>
    <w:tblStylePr w:type="firstCol">
      <w:rPr>
        <w:rFonts w:cs="Times New Roman"/>
        <w:b/>
        <w:bCs/>
        <w:color w:val="000000"/>
      </w:rPr>
      <w:tblPr/>
      <w:tcPr>
        <w:tcBorders>
          <w:tl2br w:val="nil"/>
          <w:tr2bl w:val="nil"/>
        </w:tcBorders>
      </w:tcPr>
    </w:tblStylePr>
  </w:style>
  <w:style w:type="table" w:styleId="97">
    <w:name w:val="Table Simple 1"/>
    <w:basedOn w:val="89"/>
    <w:qFormat/>
    <w:uiPriority w:val="0"/>
    <w:pPr>
      <w:widowControl w:val="0"/>
      <w:spacing w:before="25" w:beforeLines="25" w:line="440" w:lineRule="exact"/>
      <w:jc w:val="both"/>
    </w:pPr>
    <w:tblPr>
      <w:tblBorders>
        <w:top w:val="single" w:color="008000" w:sz="12" w:space="0"/>
        <w:bottom w:val="single" w:color="008000" w:sz="12" w:space="0"/>
      </w:tblBorders>
    </w:tblPr>
    <w:tcPr>
      <w:shd w:val="clear" w:color="auto" w:fill="auto"/>
    </w:tcPr>
    <w:tblStylePr w:type="firstRow">
      <w:tblPr/>
      <w:tcPr>
        <w:tcBorders>
          <w:top w:val="nil"/>
          <w:left w:val="nil"/>
          <w:bottom w:val="single" w:color="008000" w:sz="6" w:space="0"/>
          <w:right w:val="nil"/>
          <w:insideH w:val="nil"/>
          <w:insideV w:val="nil"/>
          <w:tl2br w:val="nil"/>
          <w:tr2bl w:val="nil"/>
        </w:tcBorders>
      </w:tcPr>
    </w:tblStylePr>
    <w:tblStylePr w:type="lastRow">
      <w:tblPr/>
      <w:tcPr>
        <w:tcBorders>
          <w:top w:val="single" w:color="008000" w:sz="6" w:space="0"/>
          <w:left w:val="nil"/>
          <w:bottom w:val="nil"/>
          <w:right w:val="nil"/>
          <w:insideH w:val="nil"/>
          <w:insideV w:val="nil"/>
          <w:tl2br w:val="nil"/>
          <w:tr2bl w:val="nil"/>
        </w:tcBorders>
      </w:tcPr>
    </w:tblStylePr>
  </w:style>
  <w:style w:type="table" w:styleId="98">
    <w:name w:val="Table Simple 3"/>
    <w:basedOn w:val="89"/>
    <w:qFormat/>
    <w:uiPriority w:val="99"/>
    <w:pPr>
      <w:widowControl w:val="0"/>
      <w:jc w:val="both"/>
    </w:pPr>
    <w:tblPr>
      <w:tblBorders>
        <w:top w:val="single" w:color="000000" w:sz="12" w:space="0"/>
        <w:left w:val="single" w:color="000000" w:sz="12" w:space="0"/>
        <w:bottom w:val="single" w:color="000000" w:sz="12" w:space="0"/>
        <w:right w:val="single" w:color="000000" w:sz="12" w:space="0"/>
      </w:tblBorders>
    </w:tblPr>
    <w:tblStylePr w:type="firstRow">
      <w:rPr>
        <w:rFonts w:cs="Times New Roman"/>
        <w:b/>
        <w:bCs/>
        <w:color w:val="FFFFFF"/>
      </w:rPr>
      <w:tblPr/>
      <w:tcPr>
        <w:tcBorders>
          <w:tl2br w:val="nil"/>
          <w:tr2bl w:val="nil"/>
        </w:tcBorders>
        <w:shd w:val="solid" w:color="000000" w:fill="FFFFFF"/>
      </w:tcPr>
    </w:tblStylePr>
  </w:style>
  <w:style w:type="table" w:styleId="99">
    <w:name w:val="Table 3D effects 2"/>
    <w:basedOn w:val="89"/>
    <w:qFormat/>
    <w:uiPriority w:val="99"/>
    <w:pPr>
      <w:widowControl w:val="0"/>
      <w:jc w:val="both"/>
    </w:pPr>
    <w:tblPr>
      <w:tblStyleRowBandSize w:val="1"/>
    </w:tblPr>
    <w:tcPr>
      <w:shd w:val="solid" w:color="C0C0C0" w:fill="FFFFFF"/>
    </w:tcPr>
    <w:tblStylePr w:type="firstRow">
      <w:rPr>
        <w:rFonts w:cs="Times New Roman"/>
        <w:b/>
        <w:bCs/>
      </w:rPr>
      <w:tblPr/>
      <w:tcPr>
        <w:tcBorders>
          <w:tl2br w:val="nil"/>
          <w:tr2bl w:val="nil"/>
        </w:tcBorders>
      </w:tcPr>
    </w:tblStylePr>
    <w:tblStylePr w:type="firstCol">
      <w:rPr>
        <w:rFonts w:cs="Times New Roman"/>
      </w:rPr>
      <w:tblPr/>
      <w:tcPr>
        <w:tcBorders>
          <w:top w:val="nil"/>
          <w:bottom w:val="nil"/>
          <w:right w:val="single" w:color="808080" w:sz="6" w:space="0"/>
          <w:tl2br w:val="nil"/>
          <w:tr2bl w:val="nil"/>
        </w:tcBorders>
      </w:tcPr>
    </w:tblStylePr>
    <w:tblStylePr w:type="lastCol">
      <w:rPr>
        <w:rFonts w:cs="Times New Roman"/>
      </w:rPr>
      <w:tblPr/>
      <w:tcPr>
        <w:tcBorders>
          <w:right w:val="single" w:color="FFFFFF" w:sz="6" w:space="0"/>
          <w:tl2br w:val="nil"/>
          <w:tr2bl w:val="nil"/>
        </w:tcBorders>
      </w:tcPr>
    </w:tblStylePr>
    <w:tblStylePr w:type="band1Horz">
      <w:rPr>
        <w:rFonts w:cs="Times New Roman"/>
      </w:rPr>
      <w:tblPr/>
      <w:tcPr>
        <w:tcBorders>
          <w:top w:val="single" w:color="808080" w:sz="6" w:space="0"/>
          <w:bottom w:val="single" w:color="FFFFFF" w:sz="6" w:space="0"/>
          <w:tl2br w:val="nil"/>
          <w:tr2bl w:val="nil"/>
        </w:tcBorders>
      </w:tcPr>
    </w:tblStylePr>
    <w:tblStylePr w:type="swCell">
      <w:rPr>
        <w:rFonts w:cs="Times New Roman"/>
        <w:b/>
        <w:bCs/>
      </w:rPr>
      <w:tblPr/>
      <w:tcPr>
        <w:tcBorders>
          <w:tl2br w:val="nil"/>
          <w:tr2bl w:val="nil"/>
        </w:tcBorders>
      </w:tcPr>
    </w:tblStylePr>
  </w:style>
  <w:style w:type="table" w:styleId="100">
    <w:name w:val="Table 3D effects 3"/>
    <w:basedOn w:val="89"/>
    <w:qFormat/>
    <w:uiPriority w:val="0"/>
    <w:pPr>
      <w:widowControl w:val="0"/>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1">
    <w:name w:val="Table List 1"/>
    <w:basedOn w:val="89"/>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2">
    <w:name w:val="Table List 5"/>
    <w:basedOn w:val="89"/>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03">
    <w:name w:val="Table Grid 1"/>
    <w:basedOn w:val="89"/>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04">
    <w:name w:val="Table Grid 5"/>
    <w:basedOn w:val="89"/>
    <w:unhideWhenUsed/>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05">
    <w:name w:val="Table Professional"/>
    <w:basedOn w:val="89"/>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06">
    <w:name w:val="Light Shading"/>
    <w:basedOn w:val="89"/>
    <w:qFormat/>
    <w:uiPriority w:val="60"/>
    <w:rPr>
      <w:rFonts w:ascii="Calibri" w:hAnsi="Calibri"/>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07">
    <w:name w:val="Light Shading Accent 1"/>
    <w:basedOn w:val="89"/>
    <w:qFormat/>
    <w:uiPriority w:val="60"/>
    <w:rPr>
      <w:rFonts w:ascii="Calibri" w:hAnsi="Calibri"/>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08">
    <w:name w:val="Light Shading Accent 2"/>
    <w:basedOn w:val="89"/>
    <w:qFormat/>
    <w:uiPriority w:val="60"/>
    <w:rPr>
      <w:rFonts w:ascii="Calibri" w:hAnsi="Calibri"/>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09">
    <w:name w:val="Light List"/>
    <w:basedOn w:val="89"/>
    <w:qFormat/>
    <w:uiPriority w:val="61"/>
    <w:rPr>
      <w:rFonts w:ascii="Calibri" w:hAnsi="Calibri"/>
    </w:rPr>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C7EDCC"/>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10">
    <w:name w:val="Light List Accent 1"/>
    <w:basedOn w:val="89"/>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CCE8C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11">
    <w:name w:val="Medium Shading 1"/>
    <w:basedOn w:val="89"/>
    <w:qFormat/>
    <w:uiPriority w:val="63"/>
    <w:rPr>
      <w:rFonts w:ascii="Calibri" w:hAnsi="Calibri"/>
    </w:rPr>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C7EDCC"/>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12">
    <w:name w:val="Medium Grid 3 Accent 1"/>
    <w:basedOn w:val="89"/>
    <w:qFormat/>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3DFEE"/>
    </w:tcPr>
    <w:tblStylePr w:type="firstRow">
      <w:rPr>
        <w:b/>
        <w:bCs/>
        <w:i w:val="0"/>
        <w:iCs w:val="0"/>
        <w:color w:val="CCE8CF"/>
      </w:rPr>
      <w:tblPr/>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4F81BD"/>
      </w:tcPr>
    </w:tblStylePr>
    <w:tblStylePr w:type="lastRow">
      <w:rPr>
        <w:b/>
        <w:bCs/>
        <w:i w:val="0"/>
        <w:iCs w:val="0"/>
        <w:color w:val="CCE8CF"/>
      </w:rPr>
      <w:tblPr/>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4F81BD"/>
      </w:tcPr>
    </w:tblStylePr>
    <w:tblStylePr w:type="firstCol">
      <w:rPr>
        <w:b/>
        <w:bCs/>
        <w:i w:val="0"/>
        <w:iCs w:val="0"/>
        <w:color w:val="CCE8CF"/>
      </w:rPr>
      <w:tblPr/>
      <w:tcPr>
        <w:tcBorders>
          <w:left w:val="single" w:color="CCE8CF" w:sz="8" w:space="0"/>
          <w:right w:val="single" w:color="CCE8CF" w:sz="24" w:space="0"/>
          <w:insideH w:val="nil"/>
          <w:insideV w:val="nil"/>
        </w:tcBorders>
        <w:shd w:val="clear" w:color="auto" w:fill="4F81BD"/>
      </w:tcPr>
    </w:tblStylePr>
    <w:tblStylePr w:type="lastCol">
      <w:rPr>
        <w:b/>
        <w:bCs/>
        <w:i w:val="0"/>
        <w:iCs w:val="0"/>
        <w:color w:val="CCE8CF"/>
      </w:rPr>
      <w:tblPr/>
      <w:tcPr>
        <w:tcBorders>
          <w:top w:val="nil"/>
          <w:left w:val="single" w:color="CCE8CF" w:sz="24" w:space="0"/>
          <w:bottom w:val="nil"/>
          <w:right w:val="nil"/>
          <w:insideH w:val="nil"/>
          <w:insideV w:val="nil"/>
        </w:tcBorders>
        <w:shd w:val="clear" w:color="auto" w:fill="4F81BD"/>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cBorders>
        <w:shd w:val="clear" w:color="auto" w:fill="A7BFDE"/>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A7BFDE"/>
      </w:tcPr>
    </w:tblStylePr>
  </w:style>
  <w:style w:type="table" w:styleId="113">
    <w:name w:val="Medium Grid 3 Accent 2"/>
    <w:basedOn w:val="89"/>
    <w:qFormat/>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FD3D2"/>
    </w:tcPr>
    <w:tblStylePr w:type="firstRow">
      <w:rPr>
        <w:b/>
        <w:bCs/>
        <w:i w:val="0"/>
        <w:iCs w:val="0"/>
        <w:color w:val="CCE8CF"/>
      </w:rPr>
      <w:tblPr/>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C0504D"/>
      </w:tcPr>
    </w:tblStylePr>
    <w:tblStylePr w:type="lastRow">
      <w:rPr>
        <w:b/>
        <w:bCs/>
        <w:i w:val="0"/>
        <w:iCs w:val="0"/>
        <w:color w:val="CCE8CF"/>
      </w:rPr>
      <w:tblPr/>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C0504D"/>
      </w:tcPr>
    </w:tblStylePr>
    <w:tblStylePr w:type="firstCol">
      <w:rPr>
        <w:b/>
        <w:bCs/>
        <w:i w:val="0"/>
        <w:iCs w:val="0"/>
        <w:color w:val="CCE8CF"/>
      </w:rPr>
      <w:tblPr/>
      <w:tcPr>
        <w:tcBorders>
          <w:left w:val="single" w:color="CCE8CF" w:sz="8" w:space="0"/>
          <w:right w:val="single" w:color="CCE8CF" w:sz="24" w:space="0"/>
          <w:insideH w:val="nil"/>
          <w:insideV w:val="nil"/>
        </w:tcBorders>
        <w:shd w:val="clear" w:color="auto" w:fill="C0504D"/>
      </w:tcPr>
    </w:tblStylePr>
    <w:tblStylePr w:type="lastCol">
      <w:rPr>
        <w:b/>
        <w:bCs/>
        <w:i w:val="0"/>
        <w:iCs w:val="0"/>
        <w:color w:val="CCE8CF"/>
      </w:rPr>
      <w:tblPr/>
      <w:tcPr>
        <w:tcBorders>
          <w:top w:val="nil"/>
          <w:left w:val="single" w:color="CCE8CF" w:sz="24" w:space="0"/>
          <w:bottom w:val="nil"/>
          <w:right w:val="nil"/>
          <w:insideH w:val="nil"/>
          <w:insideV w:val="nil"/>
        </w:tcBorders>
        <w:shd w:val="clear" w:color="auto" w:fill="C0504D"/>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cBorders>
        <w:shd w:val="clear" w:color="auto" w:fill="DFA7A6"/>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DFA7A6"/>
      </w:tcPr>
    </w:tblStylePr>
  </w:style>
  <w:style w:type="table" w:styleId="114">
    <w:name w:val="Medium Grid 3 Accent 3"/>
    <w:basedOn w:val="89"/>
    <w:qFormat/>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6EED5"/>
    </w:tcPr>
    <w:tblStylePr w:type="firstRow">
      <w:rPr>
        <w:b/>
        <w:bCs/>
        <w:i w:val="0"/>
        <w:iCs w:val="0"/>
        <w:color w:val="CCE8CF"/>
      </w:rPr>
      <w:tblPr/>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9BBB59"/>
      </w:tcPr>
    </w:tblStylePr>
    <w:tblStylePr w:type="lastRow">
      <w:rPr>
        <w:b/>
        <w:bCs/>
        <w:i w:val="0"/>
        <w:iCs w:val="0"/>
        <w:color w:val="CCE8CF"/>
      </w:rPr>
      <w:tblPr/>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9BBB59"/>
      </w:tcPr>
    </w:tblStylePr>
    <w:tblStylePr w:type="firstCol">
      <w:rPr>
        <w:b/>
        <w:bCs/>
        <w:i w:val="0"/>
        <w:iCs w:val="0"/>
        <w:color w:val="CCE8CF"/>
      </w:rPr>
      <w:tblPr/>
      <w:tcPr>
        <w:tcBorders>
          <w:left w:val="single" w:color="CCE8CF" w:sz="8" w:space="0"/>
          <w:right w:val="single" w:color="CCE8CF" w:sz="24" w:space="0"/>
          <w:insideH w:val="nil"/>
          <w:insideV w:val="nil"/>
        </w:tcBorders>
        <w:shd w:val="clear" w:color="auto" w:fill="9BBB59"/>
      </w:tcPr>
    </w:tblStylePr>
    <w:tblStylePr w:type="lastCol">
      <w:rPr>
        <w:b/>
        <w:bCs/>
        <w:i w:val="0"/>
        <w:iCs w:val="0"/>
        <w:color w:val="CCE8CF"/>
      </w:rPr>
      <w:tblPr/>
      <w:tcPr>
        <w:tcBorders>
          <w:top w:val="nil"/>
          <w:left w:val="single" w:color="CCE8CF" w:sz="24" w:space="0"/>
          <w:bottom w:val="nil"/>
          <w:right w:val="nil"/>
          <w:insideH w:val="nil"/>
          <w:insideV w:val="nil"/>
        </w:tcBorders>
        <w:shd w:val="clear" w:color="auto" w:fill="9BBB59"/>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cBorders>
        <w:shd w:val="clear" w:color="auto" w:fill="CDDDAC"/>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CDDDAC"/>
      </w:tcPr>
    </w:tblStylePr>
  </w:style>
  <w:style w:type="table" w:styleId="115">
    <w:name w:val="Colorful Grid Accent 2"/>
    <w:basedOn w:val="89"/>
    <w:qFormat/>
    <w:uiPriority w:val="73"/>
    <w:rPr>
      <w:color w:val="000000"/>
    </w:rPr>
    <w:tblPr>
      <w:tblBorders>
        <w:insideH w:val="single" w:color="CCE8C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CCE8CF"/>
      </w:rPr>
      <w:tblPr/>
      <w:tcPr>
        <w:shd w:val="clear" w:color="auto" w:fill="943634"/>
      </w:tcPr>
    </w:tblStylePr>
    <w:tblStylePr w:type="lastCol">
      <w:rPr>
        <w:color w:val="CCE8C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116">
    <w:name w:val="Colorful Grid Accent 3"/>
    <w:basedOn w:val="89"/>
    <w:qFormat/>
    <w:uiPriority w:val="73"/>
    <w:rPr>
      <w:color w:val="000000"/>
    </w:rPr>
    <w:tblPr>
      <w:tblBorders>
        <w:insideH w:val="single" w:color="CCE8C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CCE8CF"/>
      </w:rPr>
      <w:tblPr/>
      <w:tcPr>
        <w:shd w:val="clear" w:color="auto" w:fill="76923C"/>
      </w:tcPr>
    </w:tblStylePr>
    <w:tblStylePr w:type="lastCol">
      <w:rPr>
        <w:color w:val="CCE8C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styleId="118">
    <w:name w:val="Strong"/>
    <w:qFormat/>
    <w:uiPriority w:val="22"/>
    <w:rPr>
      <w:b/>
      <w:bCs/>
    </w:rPr>
  </w:style>
  <w:style w:type="character" w:styleId="119">
    <w:name w:val="endnote reference"/>
    <w:basedOn w:val="117"/>
    <w:qFormat/>
    <w:uiPriority w:val="0"/>
    <w:rPr>
      <w:vertAlign w:val="superscript"/>
    </w:rPr>
  </w:style>
  <w:style w:type="character" w:styleId="120">
    <w:name w:val="page number"/>
    <w:basedOn w:val="117"/>
    <w:qFormat/>
    <w:uiPriority w:val="99"/>
  </w:style>
  <w:style w:type="character" w:styleId="121">
    <w:name w:val="FollowedHyperlink"/>
    <w:basedOn w:val="117"/>
    <w:qFormat/>
    <w:uiPriority w:val="99"/>
    <w:rPr>
      <w:color w:val="800080"/>
      <w:u w:val="single"/>
    </w:rPr>
  </w:style>
  <w:style w:type="character" w:styleId="122">
    <w:name w:val="Emphasis"/>
    <w:basedOn w:val="117"/>
    <w:qFormat/>
    <w:uiPriority w:val="0"/>
    <w:rPr>
      <w:color w:val="CC0000"/>
    </w:rPr>
  </w:style>
  <w:style w:type="character" w:styleId="123">
    <w:name w:val="line number"/>
    <w:qFormat/>
    <w:uiPriority w:val="99"/>
  </w:style>
  <w:style w:type="character" w:styleId="124">
    <w:name w:val="HTML Definition"/>
    <w:qFormat/>
    <w:uiPriority w:val="99"/>
    <w:rPr>
      <w:i/>
      <w:iCs/>
    </w:rPr>
  </w:style>
  <w:style w:type="character" w:styleId="125">
    <w:name w:val="HTML Typewriter"/>
    <w:qFormat/>
    <w:uiPriority w:val="99"/>
    <w:rPr>
      <w:rFonts w:ascii="Courier New" w:hAnsi="Courier New" w:cs="Courier New"/>
      <w:sz w:val="20"/>
      <w:szCs w:val="20"/>
    </w:rPr>
  </w:style>
  <w:style w:type="character" w:styleId="126">
    <w:name w:val="HTML Acronym"/>
    <w:qFormat/>
    <w:uiPriority w:val="99"/>
  </w:style>
  <w:style w:type="character" w:styleId="127">
    <w:name w:val="HTML Variable"/>
    <w:qFormat/>
    <w:uiPriority w:val="0"/>
    <w:rPr>
      <w:i/>
      <w:iCs/>
    </w:rPr>
  </w:style>
  <w:style w:type="character" w:styleId="128">
    <w:name w:val="Hyperlink"/>
    <w:unhideWhenUsed/>
    <w:qFormat/>
    <w:uiPriority w:val="99"/>
    <w:rPr>
      <w:color w:val="0563C1"/>
      <w:u w:val="single"/>
    </w:rPr>
  </w:style>
  <w:style w:type="character" w:styleId="129">
    <w:name w:val="HTML Code"/>
    <w:qFormat/>
    <w:uiPriority w:val="0"/>
    <w:rPr>
      <w:rFonts w:ascii="Courier New" w:hAnsi="Courier New" w:eastAsia="宋体" w:cs="Courier New"/>
      <w:color w:val="000000"/>
      <w:kern w:val="2"/>
      <w:sz w:val="20"/>
      <w:szCs w:val="20"/>
      <w:lang w:val="en-US" w:eastAsia="zh-CN" w:bidi="ar-SA"/>
    </w:rPr>
  </w:style>
  <w:style w:type="character" w:styleId="130">
    <w:name w:val="annotation reference"/>
    <w:basedOn w:val="117"/>
    <w:qFormat/>
    <w:uiPriority w:val="99"/>
    <w:rPr>
      <w:sz w:val="21"/>
      <w:szCs w:val="21"/>
    </w:rPr>
  </w:style>
  <w:style w:type="character" w:styleId="131">
    <w:name w:val="HTML Cite"/>
    <w:qFormat/>
    <w:uiPriority w:val="99"/>
    <w:rPr>
      <w:i/>
      <w:iCs/>
    </w:rPr>
  </w:style>
  <w:style w:type="character" w:styleId="132">
    <w:name w:val="footnote reference"/>
    <w:unhideWhenUsed/>
    <w:qFormat/>
    <w:uiPriority w:val="99"/>
    <w:rPr>
      <w:vertAlign w:val="superscript"/>
    </w:rPr>
  </w:style>
  <w:style w:type="character" w:styleId="133">
    <w:name w:val="HTML Keyboard"/>
    <w:qFormat/>
    <w:uiPriority w:val="99"/>
    <w:rPr>
      <w:rFonts w:ascii="Courier New" w:hAnsi="Courier New" w:cs="Courier New"/>
      <w:sz w:val="20"/>
      <w:szCs w:val="20"/>
    </w:rPr>
  </w:style>
  <w:style w:type="character" w:styleId="134">
    <w:name w:val="HTML Sample"/>
    <w:qFormat/>
    <w:uiPriority w:val="99"/>
    <w:rPr>
      <w:rFonts w:ascii="Courier New" w:hAnsi="Courier New" w:cs="Courier New"/>
    </w:rPr>
  </w:style>
  <w:style w:type="paragraph" w:customStyle="1" w:styleId="135">
    <w:name w:val="Fließtext"/>
    <w:basedOn w:val="1"/>
    <w:qFormat/>
    <w:uiPriority w:val="0"/>
    <w:pPr>
      <w:overflowPunct w:val="0"/>
      <w:autoSpaceDE w:val="0"/>
      <w:autoSpaceDN w:val="0"/>
      <w:adjustRightInd w:val="0"/>
      <w:textAlignment w:val="baseline"/>
    </w:pPr>
    <w:rPr>
      <w:kern w:val="28"/>
      <w:szCs w:val="20"/>
    </w:rPr>
  </w:style>
  <w:style w:type="character" w:customStyle="1" w:styleId="136">
    <w:name w:val="页脚 字符"/>
    <w:link w:val="58"/>
    <w:qFormat/>
    <w:uiPriority w:val="99"/>
    <w:rPr>
      <w:kern w:val="2"/>
      <w:sz w:val="18"/>
      <w:szCs w:val="24"/>
    </w:rPr>
  </w:style>
  <w:style w:type="character" w:customStyle="1" w:styleId="137">
    <w:name w:val="尾注文本 字符"/>
    <w:link w:val="55"/>
    <w:qFormat/>
    <w:uiPriority w:val="0"/>
    <w:rPr>
      <w:kern w:val="2"/>
      <w:sz w:val="21"/>
    </w:rPr>
  </w:style>
  <w:style w:type="character" w:customStyle="1" w:styleId="138">
    <w:name w:val="批注框文本 字符"/>
    <w:link w:val="57"/>
    <w:qFormat/>
    <w:uiPriority w:val="99"/>
    <w:rPr>
      <w:kern w:val="2"/>
      <w:sz w:val="18"/>
      <w:szCs w:val="18"/>
    </w:rPr>
  </w:style>
  <w:style w:type="character" w:customStyle="1" w:styleId="139">
    <w:name w:val="标题 9 字符"/>
    <w:link w:val="12"/>
    <w:qFormat/>
    <w:uiPriority w:val="9"/>
    <w:rPr>
      <w:rFonts w:ascii="Arial" w:hAnsi="Arial" w:eastAsia="黑体"/>
      <w:kern w:val="2"/>
      <w:sz w:val="21"/>
      <w:szCs w:val="21"/>
    </w:rPr>
  </w:style>
  <w:style w:type="character" w:customStyle="1" w:styleId="140">
    <w:name w:val="报告 Char Char"/>
    <w:link w:val="141"/>
    <w:qFormat/>
    <w:uiPriority w:val="0"/>
    <w:rPr>
      <w:rFonts w:ascii="TimesNewRoman" w:hAnsi="TimesNewRoman"/>
      <w:sz w:val="24"/>
    </w:rPr>
  </w:style>
  <w:style w:type="paragraph" w:customStyle="1" w:styleId="141">
    <w:name w:val="报告"/>
    <w:basedOn w:val="1"/>
    <w:link w:val="140"/>
    <w:qFormat/>
    <w:uiPriority w:val="0"/>
    <w:pPr>
      <w:adjustRightInd w:val="0"/>
      <w:spacing w:before="0" w:beforeLines="0" w:line="360" w:lineRule="auto"/>
      <w:ind w:firstLine="505"/>
      <w:textAlignment w:val="center"/>
    </w:pPr>
    <w:rPr>
      <w:rFonts w:ascii="TimesNewRoman" w:hAnsi="TimesNewRoman"/>
      <w:kern w:val="0"/>
      <w:sz w:val="24"/>
      <w:szCs w:val="20"/>
    </w:rPr>
  </w:style>
  <w:style w:type="character" w:customStyle="1" w:styleId="142">
    <w:name w:val="表格头 字符"/>
    <w:link w:val="143"/>
    <w:qFormat/>
    <w:uiPriority w:val="0"/>
    <w:rPr>
      <w:bCs/>
      <w:sz w:val="21"/>
      <w:szCs w:val="21"/>
    </w:rPr>
  </w:style>
  <w:style w:type="paragraph" w:customStyle="1" w:styleId="143">
    <w:name w:val="表格头"/>
    <w:basedOn w:val="1"/>
    <w:link w:val="142"/>
    <w:qFormat/>
    <w:uiPriority w:val="0"/>
    <w:pPr>
      <w:widowControl/>
      <w:spacing w:before="50" w:beforeLines="50" w:line="240" w:lineRule="auto"/>
      <w:jc w:val="center"/>
    </w:pPr>
    <w:rPr>
      <w:bCs/>
      <w:kern w:val="0"/>
      <w:szCs w:val="21"/>
    </w:rPr>
  </w:style>
  <w:style w:type="character" w:customStyle="1" w:styleId="144">
    <w:name w:val="font21"/>
    <w:qFormat/>
    <w:uiPriority w:val="0"/>
    <w:rPr>
      <w:rFonts w:hint="default" w:ascii="Times New Roman" w:hAnsi="Times New Roman" w:cs="Times New Roman"/>
      <w:color w:val="000000"/>
      <w:sz w:val="21"/>
      <w:szCs w:val="21"/>
      <w:u w:val="none"/>
    </w:rPr>
  </w:style>
  <w:style w:type="character" w:customStyle="1" w:styleId="145">
    <w:name w:val="页眉 字符"/>
    <w:link w:val="36"/>
    <w:qFormat/>
    <w:uiPriority w:val="99"/>
    <w:rPr>
      <w:kern w:val="2"/>
      <w:sz w:val="18"/>
      <w:szCs w:val="18"/>
    </w:rPr>
  </w:style>
  <w:style w:type="character" w:customStyle="1" w:styleId="146">
    <w:name w:val="标题 1 字符"/>
    <w:link w:val="3"/>
    <w:qFormat/>
    <w:uiPriority w:val="0"/>
    <w:rPr>
      <w:b/>
      <w:bCs/>
      <w:color w:val="000000"/>
      <w:kern w:val="32"/>
      <w:sz w:val="44"/>
    </w:rPr>
  </w:style>
  <w:style w:type="character" w:customStyle="1" w:styleId="147">
    <w:name w:val="标题 4 字符"/>
    <w:link w:val="7"/>
    <w:qFormat/>
    <w:uiPriority w:val="9"/>
    <w:rPr>
      <w:b/>
      <w:color w:val="000000"/>
      <w:kern w:val="32"/>
      <w:sz w:val="24"/>
      <w:szCs w:val="28"/>
    </w:rPr>
  </w:style>
  <w:style w:type="character" w:customStyle="1" w:styleId="148">
    <w:name w:val="日期 字符"/>
    <w:link w:val="52"/>
    <w:qFormat/>
    <w:uiPriority w:val="0"/>
    <w:rPr>
      <w:kern w:val="2"/>
      <w:sz w:val="21"/>
      <w:szCs w:val="24"/>
    </w:rPr>
  </w:style>
  <w:style w:type="character" w:customStyle="1" w:styleId="149">
    <w:name w:val="font11"/>
    <w:qFormat/>
    <w:uiPriority w:val="0"/>
    <w:rPr>
      <w:rFonts w:hint="eastAsia" w:ascii="宋体" w:hAnsi="宋体" w:eastAsia="宋体"/>
      <w:color w:val="000000"/>
      <w:sz w:val="21"/>
      <w:szCs w:val="21"/>
      <w:u w:val="none"/>
    </w:rPr>
  </w:style>
  <w:style w:type="character" w:customStyle="1" w:styleId="150">
    <w:name w:val="0 正文 Char"/>
    <w:link w:val="151"/>
    <w:qFormat/>
    <w:uiPriority w:val="0"/>
    <w:rPr>
      <w:sz w:val="24"/>
      <w:szCs w:val="24"/>
    </w:rPr>
  </w:style>
  <w:style w:type="paragraph" w:customStyle="1" w:styleId="151">
    <w:name w:val="0 正文"/>
    <w:basedOn w:val="1"/>
    <w:link w:val="150"/>
    <w:qFormat/>
    <w:uiPriority w:val="0"/>
    <w:pPr>
      <w:widowControl/>
      <w:spacing w:before="0" w:beforeLines="0" w:line="360" w:lineRule="auto"/>
      <w:ind w:firstLine="480" w:firstLineChars="200"/>
    </w:pPr>
    <w:rPr>
      <w:kern w:val="0"/>
      <w:sz w:val="24"/>
    </w:rPr>
  </w:style>
  <w:style w:type="character" w:customStyle="1" w:styleId="152">
    <w:name w:val="标题 5 字符"/>
    <w:link w:val="8"/>
    <w:qFormat/>
    <w:uiPriority w:val="9"/>
    <w:rPr>
      <w:rFonts w:ascii="Calibri" w:hAnsi="Calibri"/>
      <w:b/>
      <w:bCs/>
      <w:kern w:val="2"/>
      <w:sz w:val="28"/>
      <w:szCs w:val="28"/>
    </w:rPr>
  </w:style>
  <w:style w:type="character" w:customStyle="1" w:styleId="153">
    <w:name w:val="标题 8 字符"/>
    <w:link w:val="11"/>
    <w:qFormat/>
    <w:uiPriority w:val="9"/>
    <w:rPr>
      <w:rFonts w:ascii="Arial" w:hAnsi="Arial" w:eastAsia="黑体"/>
      <w:kern w:val="2"/>
      <w:sz w:val="24"/>
      <w:szCs w:val="24"/>
    </w:rPr>
  </w:style>
  <w:style w:type="character" w:customStyle="1" w:styleId="154">
    <w:name w:val="标题 3 字符"/>
    <w:link w:val="5"/>
    <w:qFormat/>
    <w:uiPriority w:val="99"/>
    <w:rPr>
      <w:b/>
      <w:bCs/>
      <w:color w:val="000000"/>
      <w:kern w:val="32"/>
      <w:sz w:val="28"/>
    </w:rPr>
  </w:style>
  <w:style w:type="character" w:customStyle="1" w:styleId="155">
    <w:name w:val="标题1"/>
    <w:basedOn w:val="117"/>
    <w:qFormat/>
    <w:uiPriority w:val="0"/>
  </w:style>
  <w:style w:type="character" w:customStyle="1" w:styleId="156">
    <w:name w:val="日期 字符1"/>
    <w:basedOn w:val="117"/>
    <w:semiHidden/>
    <w:qFormat/>
    <w:uiPriority w:val="99"/>
  </w:style>
  <w:style w:type="character" w:customStyle="1" w:styleId="157">
    <w:name w:val="font41"/>
    <w:qFormat/>
    <w:uiPriority w:val="0"/>
    <w:rPr>
      <w:rFonts w:hint="eastAsia" w:ascii="宋体" w:hAnsi="宋体" w:eastAsia="宋体"/>
      <w:color w:val="000000"/>
      <w:sz w:val="21"/>
      <w:szCs w:val="21"/>
      <w:u w:val="none"/>
    </w:rPr>
  </w:style>
  <w:style w:type="character" w:customStyle="1" w:styleId="158">
    <w:name w:val="标题 2 字符"/>
    <w:link w:val="4"/>
    <w:qFormat/>
    <w:uiPriority w:val="0"/>
    <w:rPr>
      <w:rFonts w:ascii="Arial" w:hAnsi="Arial" w:eastAsia="黑体"/>
      <w:b/>
      <w:color w:val="000000"/>
      <w:kern w:val="32"/>
      <w:sz w:val="32"/>
    </w:rPr>
  </w:style>
  <w:style w:type="character" w:customStyle="1" w:styleId="159">
    <w:name w:val="表格 Char Char"/>
    <w:link w:val="160"/>
    <w:qFormat/>
    <w:uiPriority w:val="0"/>
    <w:rPr>
      <w:snapToGrid/>
      <w:sz w:val="21"/>
    </w:rPr>
  </w:style>
  <w:style w:type="paragraph" w:customStyle="1" w:styleId="160">
    <w:name w:val="表格"/>
    <w:basedOn w:val="1"/>
    <w:next w:val="1"/>
    <w:link w:val="159"/>
    <w:qFormat/>
    <w:uiPriority w:val="0"/>
    <w:pPr>
      <w:widowControl/>
      <w:spacing w:before="0" w:beforeLines="0" w:line="240" w:lineRule="auto"/>
      <w:jc w:val="center"/>
    </w:pPr>
    <w:rPr>
      <w:snapToGrid w:val="0"/>
      <w:kern w:val="0"/>
      <w:szCs w:val="20"/>
    </w:rPr>
  </w:style>
  <w:style w:type="character" w:customStyle="1" w:styleId="161">
    <w:name w:val="标题 6 字符"/>
    <w:link w:val="9"/>
    <w:qFormat/>
    <w:uiPriority w:val="9"/>
    <w:rPr>
      <w:rFonts w:ascii="Arial" w:hAnsi="Arial" w:eastAsia="黑体"/>
      <w:b/>
      <w:bCs/>
      <w:kern w:val="2"/>
      <w:sz w:val="24"/>
      <w:szCs w:val="24"/>
    </w:rPr>
  </w:style>
  <w:style w:type="character" w:customStyle="1" w:styleId="162">
    <w:name w:val="题注 字符"/>
    <w:link w:val="21"/>
    <w:qFormat/>
    <w:uiPriority w:val="35"/>
    <w:rPr>
      <w:rFonts w:ascii="Cambria" w:hAnsi="Cambria" w:eastAsia="黑体"/>
      <w:kern w:val="2"/>
      <w:sz w:val="22"/>
    </w:rPr>
  </w:style>
  <w:style w:type="character" w:customStyle="1" w:styleId="163">
    <w:name w:val="图头 字符"/>
    <w:basedOn w:val="142"/>
    <w:link w:val="164"/>
    <w:qFormat/>
    <w:uiPriority w:val="0"/>
    <w:rPr>
      <w:sz w:val="21"/>
      <w:szCs w:val="21"/>
    </w:rPr>
  </w:style>
  <w:style w:type="paragraph" w:customStyle="1" w:styleId="164">
    <w:name w:val="图头"/>
    <w:basedOn w:val="143"/>
    <w:link w:val="163"/>
    <w:qFormat/>
    <w:uiPriority w:val="0"/>
    <w:pPr>
      <w:spacing w:before="0" w:beforeLines="0" w:after="50" w:afterLines="50"/>
    </w:pPr>
  </w:style>
  <w:style w:type="character" w:customStyle="1" w:styleId="165">
    <w:name w:val="标题 7 字符"/>
    <w:link w:val="10"/>
    <w:qFormat/>
    <w:uiPriority w:val="9"/>
    <w:rPr>
      <w:rFonts w:ascii="Calibri" w:hAnsi="Calibri"/>
      <w:b/>
      <w:bCs/>
      <w:kern w:val="2"/>
      <w:sz w:val="24"/>
      <w:szCs w:val="24"/>
    </w:rPr>
  </w:style>
  <w:style w:type="character" w:customStyle="1" w:styleId="166">
    <w:name w:val="正文缩进 字符1"/>
    <w:link w:val="6"/>
    <w:qFormat/>
    <w:uiPriority w:val="0"/>
    <w:rPr>
      <w:rFonts w:ascii="Calibri" w:hAnsi="Calibri"/>
      <w:kern w:val="2"/>
      <w:sz w:val="24"/>
      <w:szCs w:val="24"/>
    </w:rPr>
  </w:style>
  <w:style w:type="character" w:customStyle="1" w:styleId="167">
    <w:name w:val="样式1 Char"/>
    <w:link w:val="168"/>
    <w:qFormat/>
    <w:uiPriority w:val="0"/>
    <w:rPr>
      <w:sz w:val="24"/>
    </w:rPr>
  </w:style>
  <w:style w:type="paragraph" w:customStyle="1" w:styleId="168">
    <w:name w:val="样式1"/>
    <w:basedOn w:val="169"/>
    <w:link w:val="167"/>
    <w:qFormat/>
    <w:uiPriority w:val="0"/>
    <w:pPr>
      <w:spacing w:line="480" w:lineRule="atLeast"/>
      <w:ind w:firstLine="567"/>
      <w:jc w:val="center"/>
      <w:textAlignment w:val="baseline"/>
    </w:pPr>
    <w:rPr>
      <w:kern w:val="0"/>
      <w:szCs w:val="20"/>
    </w:rPr>
  </w:style>
  <w:style w:type="paragraph" w:customStyle="1" w:styleId="169">
    <w:name w:val="a-文本缩2"/>
    <w:qFormat/>
    <w:uiPriority w:val="0"/>
    <w:pPr>
      <w:widowControl w:val="0"/>
      <w:adjustRightInd w:val="0"/>
      <w:snapToGrid w:val="0"/>
      <w:spacing w:line="360" w:lineRule="auto"/>
      <w:ind w:firstLine="480" w:firstLineChars="200"/>
      <w:jc w:val="both"/>
    </w:pPr>
    <w:rPr>
      <w:rFonts w:ascii="Times New Roman" w:hAnsi="Times New Roman" w:eastAsia="宋体" w:cs="Times New Roman"/>
      <w:kern w:val="2"/>
      <w:sz w:val="24"/>
      <w:szCs w:val="21"/>
      <w:lang w:val="en-US" w:eastAsia="zh-CN" w:bidi="ar-SA"/>
    </w:rPr>
  </w:style>
  <w:style w:type="character" w:customStyle="1" w:styleId="170">
    <w:name w:val="表格文字 Char"/>
    <w:link w:val="171"/>
    <w:qFormat/>
    <w:uiPriority w:val="0"/>
    <w:rPr>
      <w:color w:val="000000"/>
      <w:kern w:val="32"/>
      <w:sz w:val="21"/>
    </w:rPr>
  </w:style>
  <w:style w:type="paragraph" w:customStyle="1" w:styleId="171">
    <w:name w:val="表格文字"/>
    <w:basedOn w:val="1"/>
    <w:link w:val="170"/>
    <w:qFormat/>
    <w:uiPriority w:val="0"/>
    <w:pPr>
      <w:adjustRightInd w:val="0"/>
      <w:snapToGrid w:val="0"/>
      <w:spacing w:before="0" w:beforeLines="0" w:line="400" w:lineRule="exact"/>
      <w:jc w:val="center"/>
    </w:pPr>
    <w:rPr>
      <w:color w:val="000000"/>
      <w:kern w:val="32"/>
      <w:szCs w:val="20"/>
    </w:rPr>
  </w:style>
  <w:style w:type="character" w:customStyle="1" w:styleId="172">
    <w:name w:val="健牛正文 Char"/>
    <w:link w:val="173"/>
    <w:qFormat/>
    <w:uiPriority w:val="0"/>
    <w:rPr>
      <w:rFonts w:ascii="Calibri" w:hAnsi="Calibri"/>
      <w:kern w:val="2"/>
      <w:sz w:val="28"/>
      <w:szCs w:val="28"/>
    </w:rPr>
  </w:style>
  <w:style w:type="paragraph" w:customStyle="1" w:styleId="173">
    <w:name w:val="健牛正文"/>
    <w:basedOn w:val="1"/>
    <w:link w:val="172"/>
    <w:qFormat/>
    <w:uiPriority w:val="0"/>
    <w:pPr>
      <w:spacing w:before="0" w:beforeLines="0" w:line="480" w:lineRule="exact"/>
      <w:ind w:firstLine="560" w:firstLineChars="200"/>
    </w:pPr>
    <w:rPr>
      <w:rFonts w:ascii="Calibri" w:hAnsi="Calibri"/>
      <w:sz w:val="28"/>
      <w:szCs w:val="28"/>
    </w:rPr>
  </w:style>
  <w:style w:type="character" w:customStyle="1" w:styleId="174">
    <w:name w:val="注释标题 字符"/>
    <w:link w:val="16"/>
    <w:qFormat/>
    <w:uiPriority w:val="99"/>
  </w:style>
  <w:style w:type="character" w:customStyle="1" w:styleId="175">
    <w:name w:val="注释标题 字符1"/>
    <w:qFormat/>
    <w:uiPriority w:val="0"/>
    <w:rPr>
      <w:kern w:val="2"/>
      <w:sz w:val="21"/>
      <w:szCs w:val="24"/>
    </w:rPr>
  </w:style>
  <w:style w:type="character" w:customStyle="1" w:styleId="176">
    <w:name w:val="表头 Char"/>
    <w:link w:val="177"/>
    <w:qFormat/>
    <w:uiPriority w:val="0"/>
    <w:rPr>
      <w:b/>
      <w:bCs/>
      <w:color w:val="000000"/>
      <w:kern w:val="32"/>
      <w:sz w:val="24"/>
      <w:szCs w:val="24"/>
    </w:rPr>
  </w:style>
  <w:style w:type="paragraph" w:customStyle="1" w:styleId="177">
    <w:name w:val="表头"/>
    <w:basedOn w:val="1"/>
    <w:next w:val="1"/>
    <w:link w:val="176"/>
    <w:qFormat/>
    <w:uiPriority w:val="0"/>
    <w:pPr>
      <w:keepNext/>
      <w:adjustRightInd w:val="0"/>
      <w:snapToGrid w:val="0"/>
      <w:spacing w:after="20" w:afterLines="20"/>
      <w:jc w:val="center"/>
    </w:pPr>
    <w:rPr>
      <w:b/>
      <w:bCs/>
      <w:color w:val="000000"/>
      <w:kern w:val="32"/>
      <w:sz w:val="24"/>
    </w:rPr>
  </w:style>
  <w:style w:type="character" w:customStyle="1" w:styleId="178">
    <w:name w:val="正文缩进 字符"/>
    <w:qFormat/>
    <w:uiPriority w:val="0"/>
    <w:rPr>
      <w:rFonts w:ascii="Times New Roman" w:hAnsi="Times New Roman" w:eastAsia="宋体" w:cs="Times New Roman"/>
      <w:szCs w:val="20"/>
    </w:rPr>
  </w:style>
  <w:style w:type="character" w:customStyle="1" w:styleId="179">
    <w:name w:val="正文(首行缩进) Char Char"/>
    <w:link w:val="180"/>
    <w:qFormat/>
    <w:uiPriority w:val="0"/>
    <w:rPr>
      <w:snapToGrid/>
      <w:color w:val="000000"/>
      <w:sz w:val="24"/>
      <w:szCs w:val="24"/>
    </w:rPr>
  </w:style>
  <w:style w:type="paragraph" w:customStyle="1" w:styleId="180">
    <w:name w:val="正文(首行缩进)"/>
    <w:basedOn w:val="1"/>
    <w:link w:val="179"/>
    <w:qFormat/>
    <w:uiPriority w:val="0"/>
    <w:pPr>
      <w:spacing w:before="0" w:beforeLines="0" w:line="360" w:lineRule="auto"/>
      <w:ind w:firstLine="540" w:firstLineChars="225"/>
    </w:pPr>
    <w:rPr>
      <w:snapToGrid w:val="0"/>
      <w:color w:val="000000"/>
      <w:kern w:val="0"/>
      <w:sz w:val="24"/>
    </w:rPr>
  </w:style>
  <w:style w:type="character" w:customStyle="1" w:styleId="181">
    <w:name w:val="正文文本 字符"/>
    <w:link w:val="33"/>
    <w:qFormat/>
    <w:uiPriority w:val="0"/>
    <w:rPr>
      <w:rFonts w:ascii="宋体" w:hAnsi="宋体" w:cs="宋体"/>
      <w:sz w:val="24"/>
      <w:szCs w:val="24"/>
      <w:lang w:val="zh-CN" w:bidi="zh-CN"/>
    </w:rPr>
  </w:style>
  <w:style w:type="character" w:customStyle="1" w:styleId="182">
    <w:name w:val="文档结构图 字符"/>
    <w:link w:val="25"/>
    <w:qFormat/>
    <w:uiPriority w:val="0"/>
    <w:rPr>
      <w:rFonts w:ascii="宋体" w:hAnsi="Calibri"/>
      <w:kern w:val="2"/>
      <w:sz w:val="18"/>
      <w:szCs w:val="18"/>
    </w:rPr>
  </w:style>
  <w:style w:type="paragraph" w:customStyle="1" w:styleId="183">
    <w:name w:val="正文图"/>
    <w:basedOn w:val="1"/>
    <w:qFormat/>
    <w:uiPriority w:val="0"/>
    <w:pPr>
      <w:adjustRightInd w:val="0"/>
      <w:snapToGrid w:val="0"/>
      <w:spacing w:before="40" w:beforeLines="0" w:line="240" w:lineRule="auto"/>
      <w:jc w:val="center"/>
      <w:textAlignment w:val="baseline"/>
    </w:pPr>
    <w:rPr>
      <w:rFonts w:ascii="宋体"/>
      <w:kern w:val="0"/>
      <w:sz w:val="24"/>
      <w:szCs w:val="20"/>
    </w:rPr>
  </w:style>
  <w:style w:type="paragraph" w:customStyle="1" w:styleId="184">
    <w:name w:val="ZH正文"/>
    <w:basedOn w:val="1"/>
    <w:qFormat/>
    <w:uiPriority w:val="0"/>
    <w:pPr>
      <w:spacing w:before="0" w:beforeLines="0" w:line="360" w:lineRule="auto"/>
      <w:ind w:firstLine="200" w:firstLineChars="200"/>
    </w:pPr>
    <w:rPr>
      <w:rFonts w:ascii="Calibri" w:hAnsi="Calibri"/>
      <w:sz w:val="24"/>
    </w:rPr>
  </w:style>
  <w:style w:type="paragraph" w:customStyle="1" w:styleId="185">
    <w:name w:val="ZH表头"/>
    <w:basedOn w:val="1"/>
    <w:qFormat/>
    <w:uiPriority w:val="0"/>
    <w:pPr>
      <w:spacing w:before="0" w:beforeLines="50" w:line="360" w:lineRule="auto"/>
      <w:jc w:val="center"/>
    </w:pPr>
    <w:rPr>
      <w:rFonts w:ascii="Calibri" w:hAnsi="Calibri"/>
      <w:b/>
    </w:rPr>
  </w:style>
  <w:style w:type="paragraph" w:customStyle="1" w:styleId="186">
    <w:name w:val="_Style 11"/>
    <w:basedOn w:val="1"/>
    <w:qFormat/>
    <w:uiPriority w:val="0"/>
    <w:pPr>
      <w:widowControl/>
      <w:spacing w:before="0" w:beforeLines="0" w:after="160" w:line="240" w:lineRule="exact"/>
      <w:jc w:val="left"/>
    </w:pPr>
    <w:rPr>
      <w:rFonts w:ascii="Verdana" w:hAnsi="Verdana" w:eastAsia="仿宋_GB2312"/>
      <w:kern w:val="0"/>
      <w:sz w:val="24"/>
      <w:szCs w:val="20"/>
      <w:lang w:eastAsia="en-US"/>
    </w:rPr>
  </w:style>
  <w:style w:type="paragraph" w:customStyle="1" w:styleId="187">
    <w:name w:val="ZH三级标题"/>
    <w:basedOn w:val="5"/>
    <w:qFormat/>
    <w:uiPriority w:val="0"/>
    <w:pPr>
      <w:keepNext/>
      <w:spacing w:before="0" w:beforeLines="50" w:after="0" w:afterLines="50" w:line="360" w:lineRule="auto"/>
    </w:pPr>
    <w:rPr>
      <w:rFonts w:eastAsia="楷体"/>
      <w:color w:val="auto"/>
      <w:kern w:val="0"/>
      <w:sz w:val="32"/>
      <w:szCs w:val="32"/>
    </w:rPr>
  </w:style>
  <w:style w:type="paragraph" w:customStyle="1" w:styleId="188">
    <w:name w:val="WFRH"/>
    <w:basedOn w:val="1"/>
    <w:qFormat/>
    <w:uiPriority w:val="99"/>
    <w:pPr>
      <w:widowControl/>
      <w:spacing w:before="0" w:beforeLines="0" w:after="100" w:line="500" w:lineRule="exact"/>
      <w:ind w:firstLine="200" w:firstLineChars="200"/>
      <w:jc w:val="left"/>
    </w:pPr>
    <w:rPr>
      <w:rFonts w:ascii="宋体" w:hAnsi="Calibri" w:cs="Calibri"/>
      <w:kern w:val="0"/>
      <w:sz w:val="28"/>
      <w:szCs w:val="20"/>
    </w:rPr>
  </w:style>
  <w:style w:type="paragraph" w:styleId="189">
    <w:name w:val="List Paragraph"/>
    <w:basedOn w:val="1"/>
    <w:link w:val="2580"/>
    <w:qFormat/>
    <w:uiPriority w:val="34"/>
    <w:pPr>
      <w:ind w:firstLine="420" w:firstLineChars="200"/>
    </w:pPr>
  </w:style>
  <w:style w:type="paragraph" w:customStyle="1" w:styleId="190">
    <w:name w:val="0正文"/>
    <w:link w:val="2607"/>
    <w:qFormat/>
    <w:uiPriority w:val="0"/>
    <w:pPr>
      <w:widowControl w:val="0"/>
      <w:spacing w:line="360" w:lineRule="auto"/>
      <w:ind w:firstLine="720" w:firstLineChars="200"/>
      <w:jc w:val="both"/>
    </w:pPr>
    <w:rPr>
      <w:rFonts w:ascii="Times New Roman" w:hAnsi="Times New Roman" w:eastAsia="宋体" w:cs="Times New Roman"/>
      <w:sz w:val="24"/>
      <w:lang w:val="en-US" w:eastAsia="zh-CN" w:bidi="ar-SA"/>
    </w:rPr>
  </w:style>
  <w:style w:type="paragraph" w:customStyle="1" w:styleId="191">
    <w:name w:val="ZH表格内字体"/>
    <w:basedOn w:val="1"/>
    <w:qFormat/>
    <w:uiPriority w:val="0"/>
    <w:pPr>
      <w:spacing w:before="0" w:beforeLines="0" w:line="240" w:lineRule="auto"/>
      <w:jc w:val="center"/>
    </w:pPr>
    <w:rPr>
      <w:rFonts w:ascii="Calibri" w:hAnsi="Calibri" w:eastAsia="Times New Roman"/>
      <w:szCs w:val="21"/>
    </w:rPr>
  </w:style>
  <w:style w:type="paragraph" w:customStyle="1" w:styleId="192">
    <w:name w:val="Char Char Char Char Char Char1 Char Char Char Char"/>
    <w:basedOn w:val="1"/>
    <w:qFormat/>
    <w:uiPriority w:val="0"/>
    <w:pPr>
      <w:spacing w:before="0" w:beforeLines="0" w:line="240" w:lineRule="auto"/>
    </w:pPr>
    <w:rPr>
      <w:szCs w:val="20"/>
    </w:rPr>
  </w:style>
  <w:style w:type="paragraph" w:customStyle="1" w:styleId="193">
    <w:name w:val="规划院正文"/>
    <w:basedOn w:val="1"/>
    <w:qFormat/>
    <w:uiPriority w:val="0"/>
    <w:pPr>
      <w:adjustRightInd w:val="0"/>
      <w:snapToGrid w:val="0"/>
      <w:spacing w:before="0" w:beforeLines="0" w:line="300" w:lineRule="auto"/>
      <w:ind w:firstLine="200" w:firstLineChars="200"/>
    </w:pPr>
    <w:rPr>
      <w:rFonts w:ascii="宋体" w:hAnsi="宋体"/>
      <w:color w:val="000000"/>
      <w:sz w:val="24"/>
    </w:rPr>
  </w:style>
  <w:style w:type="paragraph" w:customStyle="1" w:styleId="194">
    <w:name w:val="样式2"/>
    <w:basedOn w:val="1"/>
    <w:qFormat/>
    <w:uiPriority w:val="0"/>
    <w:pPr>
      <w:spacing w:before="0" w:beforeLines="0" w:line="240" w:lineRule="auto"/>
      <w:jc w:val="center"/>
    </w:pPr>
    <w:rPr>
      <w:rFonts w:eastAsia="仿宋_GB2312"/>
      <w:b/>
      <w:bCs/>
      <w:sz w:val="32"/>
      <w:szCs w:val="32"/>
    </w:rPr>
  </w:style>
  <w:style w:type="paragraph" w:customStyle="1" w:styleId="195">
    <w:name w:val="Table Paragraph"/>
    <w:basedOn w:val="1"/>
    <w:qFormat/>
    <w:uiPriority w:val="1"/>
    <w:pPr>
      <w:autoSpaceDE w:val="0"/>
      <w:autoSpaceDN w:val="0"/>
      <w:spacing w:before="0" w:beforeLines="0" w:line="240" w:lineRule="auto"/>
      <w:jc w:val="center"/>
    </w:pPr>
    <w:rPr>
      <w:rFonts w:eastAsia="Times New Roman"/>
      <w:kern w:val="0"/>
      <w:sz w:val="22"/>
      <w:szCs w:val="22"/>
      <w:lang w:eastAsia="en-US"/>
    </w:rPr>
  </w:style>
  <w:style w:type="table" w:customStyle="1" w:styleId="196">
    <w:name w:val="Table Normal"/>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197">
    <w:name w:val="徐正生"/>
    <w:basedOn w:val="97"/>
    <w:qFormat/>
    <w:uiPriority w:val="0"/>
    <w:pPr>
      <w:spacing w:before="0" w:beforeLines="0" w:line="240" w:lineRule="auto"/>
    </w:pPr>
    <w:tblPr>
      <w:tblBorders>
        <w:top w:val="single" w:color="000000" w:sz="12" w:space="0"/>
        <w:bottom w:val="single" w:color="000000" w:sz="12" w:space="0"/>
        <w:insideH w:val="single" w:color="000000" w:sz="8" w:space="0"/>
        <w:insideV w:val="single" w:color="000000" w:sz="8" w:space="0"/>
      </w:tblBorders>
    </w:tbl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198">
    <w:name w:val="网格型16"/>
    <w:basedOn w:val="8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9">
    <w:name w:val="Table Normal3"/>
    <w:semiHidden/>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00">
    <w:name w:val="批注文字 字符1"/>
    <w:link w:val="27"/>
    <w:qFormat/>
    <w:uiPriority w:val="99"/>
    <w:rPr>
      <w:kern w:val="2"/>
      <w:sz w:val="21"/>
      <w:szCs w:val="24"/>
    </w:rPr>
  </w:style>
  <w:style w:type="character" w:customStyle="1" w:styleId="201">
    <w:name w:val="批注主题 字符"/>
    <w:link w:val="87"/>
    <w:qFormat/>
    <w:uiPriority w:val="99"/>
    <w:rPr>
      <w:b/>
      <w:bCs/>
      <w:kern w:val="2"/>
      <w:sz w:val="21"/>
      <w:szCs w:val="24"/>
    </w:rPr>
  </w:style>
  <w:style w:type="character" w:customStyle="1" w:styleId="202">
    <w:name w:val="批注文字 字符"/>
    <w:qFormat/>
    <w:uiPriority w:val="99"/>
    <w:rPr>
      <w:kern w:val="2"/>
      <w:sz w:val="21"/>
      <w:szCs w:val="24"/>
    </w:rPr>
  </w:style>
  <w:style w:type="character" w:customStyle="1" w:styleId="203">
    <w:name w:val="标题2"/>
    <w:basedOn w:val="117"/>
    <w:qFormat/>
    <w:uiPriority w:val="0"/>
  </w:style>
  <w:style w:type="paragraph" w:customStyle="1" w:styleId="204">
    <w:name w:val="Char Char Char Char Char Char1 Char Char Char Char1"/>
    <w:basedOn w:val="1"/>
    <w:qFormat/>
    <w:uiPriority w:val="0"/>
    <w:pPr>
      <w:spacing w:before="0" w:beforeLines="0" w:line="240" w:lineRule="auto"/>
    </w:pPr>
    <w:rPr>
      <w:szCs w:val="20"/>
    </w:rPr>
  </w:style>
  <w:style w:type="character" w:customStyle="1" w:styleId="205">
    <w:name w:val="表格文字 Char Char"/>
    <w:qFormat/>
    <w:uiPriority w:val="0"/>
    <w:rPr>
      <w:rFonts w:ascii="宋体" w:hAnsi="宋体"/>
      <w:bCs/>
      <w:snapToGrid w:val="0"/>
      <w:szCs w:val="21"/>
      <w:lang w:val="eu-ES" w:eastAsia="zh-CN"/>
    </w:rPr>
  </w:style>
  <w:style w:type="character" w:customStyle="1" w:styleId="206">
    <w:name w:val="5 正文 博创 Char"/>
    <w:link w:val="207"/>
    <w:qFormat/>
    <w:uiPriority w:val="0"/>
  </w:style>
  <w:style w:type="paragraph" w:customStyle="1" w:styleId="207">
    <w:name w:val="5 正文 博创"/>
    <w:basedOn w:val="1"/>
    <w:link w:val="206"/>
    <w:unhideWhenUsed/>
    <w:qFormat/>
    <w:uiPriority w:val="0"/>
    <w:pPr>
      <w:autoSpaceDE w:val="0"/>
      <w:autoSpaceDN w:val="0"/>
      <w:spacing w:before="0" w:beforeLines="0" w:line="360" w:lineRule="auto"/>
      <w:ind w:firstLine="480" w:firstLineChars="200"/>
    </w:pPr>
    <w:rPr>
      <w:kern w:val="0"/>
      <w:sz w:val="20"/>
      <w:szCs w:val="20"/>
    </w:rPr>
  </w:style>
  <w:style w:type="paragraph" w:customStyle="1" w:styleId="208">
    <w:name w:val="Char"/>
    <w:basedOn w:val="1"/>
    <w:qFormat/>
    <w:uiPriority w:val="0"/>
    <w:pPr>
      <w:adjustRightInd w:val="0"/>
      <w:snapToGrid w:val="0"/>
      <w:spacing w:before="0" w:beforeLines="0" w:line="240" w:lineRule="auto"/>
    </w:pPr>
    <w:rPr>
      <w:sz w:val="32"/>
      <w:szCs w:val="32"/>
    </w:rPr>
  </w:style>
  <w:style w:type="paragraph" w:customStyle="1" w:styleId="209">
    <w:name w:val="表文"/>
    <w:basedOn w:val="1"/>
    <w:next w:val="1"/>
    <w:qFormat/>
    <w:uiPriority w:val="0"/>
    <w:pPr>
      <w:spacing w:line="240" w:lineRule="auto"/>
      <w:jc w:val="center"/>
    </w:pPr>
    <w:rPr>
      <w:rFonts w:asciiTheme="minorHAnsi" w:hAnsiTheme="minorHAnsi" w:eastAsiaTheme="minorEastAsia" w:cstheme="minorBidi"/>
    </w:rPr>
  </w:style>
  <w:style w:type="paragraph" w:customStyle="1" w:styleId="210">
    <w:name w:val="表格内容---"/>
    <w:basedOn w:val="211"/>
    <w:link w:val="228"/>
    <w:qFormat/>
    <w:uiPriority w:val="0"/>
    <w:pPr>
      <w:spacing w:beforeLines="0" w:afterLines="0" w:line="240" w:lineRule="auto"/>
    </w:pPr>
    <w:rPr>
      <w:color w:val="auto"/>
      <w:sz w:val="21"/>
    </w:rPr>
  </w:style>
  <w:style w:type="paragraph" w:customStyle="1" w:styleId="211">
    <w:name w:val="表内文字"/>
    <w:basedOn w:val="1"/>
    <w:link w:val="229"/>
    <w:qFormat/>
    <w:uiPriority w:val="0"/>
    <w:pPr>
      <w:spacing w:beforeLines="50" w:afterLines="50" w:line="240" w:lineRule="exact"/>
      <w:jc w:val="center"/>
    </w:pPr>
    <w:rPr>
      <w:color w:val="000000"/>
      <w:kern w:val="0"/>
      <w:sz w:val="24"/>
      <w:szCs w:val="20"/>
    </w:rPr>
  </w:style>
  <w:style w:type="paragraph" w:customStyle="1" w:styleId="212">
    <w:name w:val="正文---"/>
    <w:basedOn w:val="1"/>
    <w:link w:val="213"/>
    <w:qFormat/>
    <w:uiPriority w:val="0"/>
    <w:pPr>
      <w:spacing w:line="360" w:lineRule="auto"/>
      <w:ind w:firstLine="200" w:firstLineChars="200"/>
    </w:pPr>
    <w:rPr>
      <w:sz w:val="24"/>
    </w:rPr>
  </w:style>
  <w:style w:type="character" w:customStyle="1" w:styleId="213">
    <w:name w:val="正文--- Char"/>
    <w:basedOn w:val="117"/>
    <w:link w:val="212"/>
    <w:qFormat/>
    <w:uiPriority w:val="0"/>
    <w:rPr>
      <w:sz w:val="24"/>
    </w:rPr>
  </w:style>
  <w:style w:type="paragraph" w:customStyle="1" w:styleId="214">
    <w:name w:val="表内容"/>
    <w:basedOn w:val="1"/>
    <w:next w:val="1"/>
    <w:qFormat/>
    <w:uiPriority w:val="0"/>
    <w:pPr>
      <w:widowControl/>
      <w:jc w:val="center"/>
    </w:pPr>
    <w:rPr>
      <w:kern w:val="0"/>
      <w:szCs w:val="21"/>
    </w:rPr>
  </w:style>
  <w:style w:type="paragraph" w:customStyle="1" w:styleId="215">
    <w:name w:val="_Style 4"/>
    <w:next w:val="1"/>
    <w:qFormat/>
    <w:uiPriority w:val="1"/>
    <w:pPr>
      <w:widowControl w:val="0"/>
      <w:jc w:val="both"/>
    </w:pPr>
    <w:rPr>
      <w:rFonts w:ascii="Times New Roman" w:hAnsi="Times New Roman" w:eastAsia="仿宋_GB2312" w:cs="Times New Roman"/>
      <w:kern w:val="2"/>
      <w:sz w:val="24"/>
      <w:szCs w:val="22"/>
      <w:lang w:val="en-US" w:eastAsia="zh-CN" w:bidi="ar-SA"/>
    </w:rPr>
  </w:style>
  <w:style w:type="paragraph" w:customStyle="1" w:styleId="216">
    <w:name w:val="表标题---"/>
    <w:basedOn w:val="1"/>
    <w:qFormat/>
    <w:uiPriority w:val="0"/>
    <w:rPr>
      <w:rFonts w:eastAsiaTheme="minorEastAsia"/>
      <w:b/>
      <w:bCs/>
      <w:szCs w:val="21"/>
    </w:rPr>
  </w:style>
  <w:style w:type="paragraph" w:customStyle="1" w:styleId="217">
    <w:name w:val="02"/>
    <w:basedOn w:val="1"/>
    <w:qFormat/>
    <w:uiPriority w:val="0"/>
    <w:pPr>
      <w:keepNext/>
      <w:keepLines/>
      <w:jc w:val="center"/>
    </w:pPr>
    <w:rPr>
      <w:b/>
      <w:color w:val="333333"/>
      <w:szCs w:val="20"/>
    </w:rPr>
  </w:style>
  <w:style w:type="paragraph" w:customStyle="1" w:styleId="218">
    <w:name w:val="环评正文"/>
    <w:basedOn w:val="6"/>
    <w:qFormat/>
    <w:uiPriority w:val="0"/>
    <w:pPr>
      <w:ind w:firstLine="480"/>
    </w:pPr>
    <w:rPr>
      <w:color w:val="000000"/>
    </w:rPr>
  </w:style>
  <w:style w:type="paragraph" w:customStyle="1" w:styleId="219">
    <w:name w:val="样式6"/>
    <w:basedOn w:val="1"/>
    <w:link w:val="1703"/>
    <w:qFormat/>
    <w:uiPriority w:val="0"/>
    <w:pPr>
      <w:spacing w:line="360" w:lineRule="auto"/>
      <w:ind w:firstLine="200" w:firstLineChars="200"/>
    </w:pPr>
    <w:rPr>
      <w:rFonts w:ascii="宋体"/>
      <w:color w:val="000000"/>
      <w:sz w:val="24"/>
    </w:rPr>
  </w:style>
  <w:style w:type="paragraph" w:customStyle="1" w:styleId="220">
    <w:name w:val="表文字"/>
    <w:basedOn w:val="1"/>
    <w:link w:val="432"/>
    <w:qFormat/>
    <w:uiPriority w:val="0"/>
    <w:pPr>
      <w:spacing w:line="240" w:lineRule="exact"/>
      <w:jc w:val="center"/>
    </w:pPr>
    <w:rPr>
      <w:sz w:val="24"/>
    </w:rPr>
  </w:style>
  <w:style w:type="table" w:customStyle="1" w:styleId="221">
    <w:name w:val="跟朱哥一样"/>
    <w:basedOn w:val="89"/>
    <w:qFormat/>
    <w:uiPriority w:val="99"/>
    <w:tblPr>
      <w:jc w:val="center"/>
      <w:tblBorders>
        <w:top w:val="single" w:color="auto" w:sz="12" w:space="0"/>
        <w:bottom w:val="single" w:color="auto" w:sz="12" w:space="0"/>
        <w:insideH w:val="single" w:color="auto" w:sz="4" w:space="0"/>
        <w:insideV w:val="single" w:color="auto" w:sz="4" w:space="0"/>
      </w:tblBorders>
    </w:tblPr>
    <w:trPr>
      <w:jc w:val="center"/>
    </w:trPr>
    <w:tcPr>
      <w:vAlign w:val="center"/>
    </w:tcPr>
  </w:style>
  <w:style w:type="paragraph" w:customStyle="1" w:styleId="222">
    <w:name w:val="报告正文"/>
    <w:next w:val="1"/>
    <w:link w:val="379"/>
    <w:qFormat/>
    <w:uiPriority w:val="0"/>
    <w:pPr>
      <w:spacing w:line="360" w:lineRule="auto"/>
      <w:ind w:firstLine="200" w:firstLineChars="200"/>
    </w:pPr>
    <w:rPr>
      <w:rFonts w:ascii="Times New Roman" w:hAnsi="Times New Roman" w:eastAsia="Times New Roman" w:cs="Times New Roman"/>
      <w:bCs/>
      <w:kern w:val="44"/>
      <w:sz w:val="24"/>
      <w:szCs w:val="44"/>
      <w:lang w:val="en-US" w:eastAsia="zh-CN" w:bidi="ar-SA"/>
    </w:rPr>
  </w:style>
  <w:style w:type="paragraph" w:customStyle="1" w:styleId="223">
    <w:name w:val="正文部分"/>
    <w:basedOn w:val="1"/>
    <w:qFormat/>
    <w:uiPriority w:val="0"/>
    <w:pPr>
      <w:spacing w:line="480" w:lineRule="exact"/>
      <w:ind w:firstLine="1446" w:firstLineChars="200"/>
    </w:pPr>
    <w:rPr>
      <w:sz w:val="24"/>
    </w:rPr>
  </w:style>
  <w:style w:type="paragraph" w:customStyle="1" w:styleId="224">
    <w:name w:val="a-表内"/>
    <w:qFormat/>
    <w:uiPriority w:val="0"/>
    <w:pPr>
      <w:adjustRightInd w:val="0"/>
      <w:snapToGrid w:val="0"/>
      <w:jc w:val="center"/>
    </w:pPr>
    <w:rPr>
      <w:rFonts w:ascii="Times New Roman" w:hAnsi="Times New Roman" w:eastAsia="宋体" w:cs="Times New Roman"/>
      <w:color w:val="000000"/>
      <w:kern w:val="2"/>
      <w:sz w:val="21"/>
      <w:szCs w:val="21"/>
      <w:lang w:val="en-US" w:eastAsia="zh-CN" w:bidi="ar-SA"/>
    </w:rPr>
  </w:style>
  <w:style w:type="paragraph" w:customStyle="1" w:styleId="225">
    <w:name w:val="正文（首行缩进）"/>
    <w:basedOn w:val="1"/>
    <w:qFormat/>
    <w:uiPriority w:val="0"/>
    <w:pPr>
      <w:spacing w:line="360" w:lineRule="auto"/>
      <w:ind w:firstLine="200" w:firstLineChars="200"/>
      <w:jc w:val="left"/>
    </w:pPr>
    <w:rPr>
      <w:rFonts w:ascii="宋体" w:hAnsi="宋体"/>
      <w:snapToGrid w:val="0"/>
      <w:color w:val="000000"/>
      <w:sz w:val="24"/>
      <w:szCs w:val="20"/>
    </w:rPr>
  </w:style>
  <w:style w:type="paragraph" w:customStyle="1" w:styleId="226">
    <w:name w:val="正文3"/>
    <w:basedOn w:val="1"/>
    <w:next w:val="1"/>
    <w:qFormat/>
    <w:uiPriority w:val="0"/>
    <w:pPr>
      <w:spacing w:line="529" w:lineRule="exact"/>
      <w:ind w:firstLine="200" w:firstLineChars="200"/>
    </w:pPr>
    <w:rPr>
      <w:rFonts w:ascii="宋体" w:hAnsi="宋体"/>
      <w:sz w:val="24"/>
    </w:rPr>
  </w:style>
  <w:style w:type="paragraph" w:customStyle="1" w:styleId="227">
    <w:name w:val="3级标题"/>
    <w:basedOn w:val="86"/>
    <w:link w:val="938"/>
    <w:qFormat/>
    <w:uiPriority w:val="0"/>
    <w:pPr>
      <w:overflowPunct w:val="0"/>
      <w:autoSpaceDE w:val="0"/>
      <w:autoSpaceDN w:val="0"/>
      <w:spacing w:before="120" w:after="120" w:line="360" w:lineRule="auto"/>
      <w:jc w:val="left"/>
      <w:outlineLvl w:val="2"/>
    </w:pPr>
    <w:rPr>
      <w:rFonts w:ascii="Times New Roman" w:hAnsi="Times New Roman"/>
      <w:color w:val="000000"/>
      <w:sz w:val="28"/>
      <w:szCs w:val="28"/>
    </w:rPr>
  </w:style>
  <w:style w:type="character" w:customStyle="1" w:styleId="228">
    <w:name w:val="表格内容--- Char"/>
    <w:basedOn w:val="229"/>
    <w:link w:val="210"/>
    <w:qFormat/>
    <w:uiPriority w:val="0"/>
    <w:rPr>
      <w:color w:val="auto"/>
      <w:kern w:val="0"/>
      <w:sz w:val="21"/>
      <w:szCs w:val="20"/>
    </w:rPr>
  </w:style>
  <w:style w:type="character" w:customStyle="1" w:styleId="229">
    <w:name w:val="表内文字 Char1"/>
    <w:basedOn w:val="117"/>
    <w:link w:val="211"/>
    <w:qFormat/>
    <w:uiPriority w:val="0"/>
    <w:rPr>
      <w:color w:val="000000"/>
      <w:kern w:val="0"/>
      <w:sz w:val="24"/>
      <w:szCs w:val="20"/>
    </w:rPr>
  </w:style>
  <w:style w:type="paragraph" w:customStyle="1" w:styleId="230">
    <w:name w:val="表内容小5"/>
    <w:basedOn w:val="1"/>
    <w:qFormat/>
    <w:uiPriority w:val="0"/>
    <w:pPr>
      <w:tabs>
        <w:tab w:val="left" w:pos="4660"/>
      </w:tabs>
      <w:adjustRightInd w:val="0"/>
      <w:snapToGrid w:val="0"/>
      <w:spacing w:line="240" w:lineRule="atLeast"/>
      <w:jc w:val="center"/>
    </w:pPr>
    <w:rPr>
      <w:rFonts w:cs="宋体"/>
      <w:kern w:val="0"/>
      <w:sz w:val="20"/>
      <w:szCs w:val="20"/>
    </w:rPr>
  </w:style>
  <w:style w:type="paragraph" w:customStyle="1" w:styleId="231">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232">
    <w:name w:val="font31"/>
    <w:basedOn w:val="117"/>
    <w:qFormat/>
    <w:uiPriority w:val="0"/>
    <w:rPr>
      <w:rFonts w:hint="default" w:ascii="Times New Roman" w:hAnsi="Times New Roman" w:cs="Times New Roman"/>
      <w:color w:val="000000"/>
      <w:sz w:val="21"/>
      <w:szCs w:val="21"/>
      <w:u w:val="none"/>
    </w:rPr>
  </w:style>
  <w:style w:type="paragraph" w:customStyle="1" w:styleId="233">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234">
    <w:name w:val="表内字"/>
    <w:link w:val="1179"/>
    <w:qFormat/>
    <w:uiPriority w:val="0"/>
    <w:pPr>
      <w:spacing w:line="312" w:lineRule="auto"/>
      <w:jc w:val="center"/>
    </w:pPr>
    <w:rPr>
      <w:rFonts w:ascii="Times New Roman" w:hAnsi="Times New Roman" w:eastAsia="宋体" w:cs="Times New Roman"/>
      <w:color w:val="000000"/>
      <w:sz w:val="21"/>
      <w:lang w:val="en-US" w:eastAsia="zh-CN" w:bidi="ar-SA"/>
    </w:rPr>
  </w:style>
  <w:style w:type="paragraph" w:customStyle="1" w:styleId="235">
    <w:name w:val="表标题"/>
    <w:basedOn w:val="20"/>
    <w:next w:val="33"/>
    <w:link w:val="1256"/>
    <w:qFormat/>
    <w:uiPriority w:val="0"/>
    <w:pPr>
      <w:spacing w:line="240" w:lineRule="auto"/>
      <w:ind w:left="0" w:firstLine="0"/>
    </w:pPr>
  </w:style>
  <w:style w:type="character" w:customStyle="1" w:styleId="236">
    <w:name w:val="font51"/>
    <w:basedOn w:val="117"/>
    <w:qFormat/>
    <w:uiPriority w:val="0"/>
    <w:rPr>
      <w:rFonts w:hint="eastAsia" w:ascii="宋体" w:hAnsi="宋体" w:eastAsia="宋体" w:cs="宋体"/>
      <w:color w:val="000000"/>
      <w:sz w:val="21"/>
      <w:szCs w:val="21"/>
      <w:u w:val="none"/>
    </w:rPr>
  </w:style>
  <w:style w:type="character" w:customStyle="1" w:styleId="237">
    <w:name w:val="font61"/>
    <w:basedOn w:val="117"/>
    <w:qFormat/>
    <w:uiPriority w:val="0"/>
    <w:rPr>
      <w:rFonts w:hint="default" w:ascii="Times New Roman" w:hAnsi="Times New Roman" w:cs="Times New Roman"/>
      <w:color w:val="000000"/>
      <w:sz w:val="21"/>
      <w:szCs w:val="21"/>
      <w:u w:val="none"/>
    </w:rPr>
  </w:style>
  <w:style w:type="paragraph" w:customStyle="1" w:styleId="238">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239">
    <w:name w:val="修订4"/>
    <w:hidden/>
    <w:unhideWhenUsed/>
    <w:qFormat/>
    <w:uiPriority w:val="99"/>
    <w:rPr>
      <w:rFonts w:ascii="Times New Roman" w:hAnsi="Times New Roman" w:eastAsia="宋体" w:cs="Times New Roman"/>
      <w:kern w:val="2"/>
      <w:sz w:val="21"/>
      <w:szCs w:val="24"/>
      <w:lang w:val="en-US" w:eastAsia="zh-CN" w:bidi="ar-SA"/>
    </w:rPr>
  </w:style>
  <w:style w:type="paragraph" w:customStyle="1" w:styleId="240">
    <w:name w:val="Char1"/>
    <w:basedOn w:val="1"/>
    <w:qFormat/>
    <w:uiPriority w:val="0"/>
    <w:pPr>
      <w:adjustRightInd w:val="0"/>
      <w:snapToGrid w:val="0"/>
      <w:spacing w:before="0" w:beforeLines="0" w:line="240" w:lineRule="auto"/>
    </w:pPr>
    <w:rPr>
      <w:sz w:val="32"/>
      <w:szCs w:val="32"/>
    </w:rPr>
  </w:style>
  <w:style w:type="character" w:customStyle="1" w:styleId="241">
    <w:name w:val="正文文本 3 字符"/>
    <w:basedOn w:val="117"/>
    <w:link w:val="30"/>
    <w:qFormat/>
    <w:uiPriority w:val="0"/>
    <w:rPr>
      <w:rFonts w:ascii="宋体" w:hAnsi="宋体"/>
      <w:kern w:val="2"/>
      <w:sz w:val="28"/>
      <w:szCs w:val="24"/>
    </w:rPr>
  </w:style>
  <w:style w:type="character" w:customStyle="1" w:styleId="242">
    <w:name w:val="正文文本缩进 字符"/>
    <w:basedOn w:val="117"/>
    <w:link w:val="35"/>
    <w:qFormat/>
    <w:uiPriority w:val="99"/>
    <w:rPr>
      <w:kern w:val="2"/>
      <w:sz w:val="24"/>
      <w:szCs w:val="24"/>
    </w:rPr>
  </w:style>
  <w:style w:type="character" w:customStyle="1" w:styleId="243">
    <w:name w:val="正文文本缩进 3 字符"/>
    <w:basedOn w:val="117"/>
    <w:link w:val="72"/>
    <w:qFormat/>
    <w:uiPriority w:val="99"/>
    <w:rPr>
      <w:kern w:val="2"/>
      <w:sz w:val="16"/>
      <w:szCs w:val="16"/>
    </w:rPr>
  </w:style>
  <w:style w:type="character" w:customStyle="1" w:styleId="244">
    <w:name w:val="正文文本 2 字符"/>
    <w:basedOn w:val="117"/>
    <w:link w:val="78"/>
    <w:qFormat/>
    <w:uiPriority w:val="0"/>
    <w:rPr>
      <w:kern w:val="2"/>
      <w:sz w:val="21"/>
      <w:szCs w:val="24"/>
    </w:rPr>
  </w:style>
  <w:style w:type="character" w:customStyle="1" w:styleId="245">
    <w:name w:val="正文文本首行缩进 2 字符"/>
    <w:basedOn w:val="242"/>
    <w:link w:val="88"/>
    <w:qFormat/>
    <w:uiPriority w:val="0"/>
    <w:rPr>
      <w:kern w:val="2"/>
      <w:sz w:val="21"/>
      <w:szCs w:val="24"/>
    </w:rPr>
  </w:style>
  <w:style w:type="table" w:customStyle="1" w:styleId="246">
    <w:name w:val="网格型1"/>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47">
    <w:name w:val="Char Char4"/>
    <w:basedOn w:val="117"/>
    <w:qFormat/>
    <w:uiPriority w:val="0"/>
    <w:rPr>
      <w:rFonts w:eastAsia="黑体"/>
      <w:b/>
      <w:bCs/>
      <w:kern w:val="44"/>
      <w:sz w:val="36"/>
      <w:szCs w:val="44"/>
      <w:lang w:val="en-US" w:eastAsia="zh-CN" w:bidi="ar-SA"/>
    </w:rPr>
  </w:style>
  <w:style w:type="character" w:customStyle="1" w:styleId="248">
    <w:name w:val="Char Char12"/>
    <w:basedOn w:val="117"/>
    <w:qFormat/>
    <w:uiPriority w:val="0"/>
    <w:rPr>
      <w:rFonts w:eastAsia="黑体"/>
      <w:b/>
      <w:bCs/>
      <w:kern w:val="44"/>
      <w:sz w:val="36"/>
      <w:szCs w:val="44"/>
      <w:lang w:val="en-US" w:eastAsia="zh-CN" w:bidi="ar-SA"/>
    </w:rPr>
  </w:style>
  <w:style w:type="character" w:customStyle="1" w:styleId="249">
    <w:name w:val="chword"/>
    <w:basedOn w:val="117"/>
    <w:qFormat/>
    <w:uiPriority w:val="0"/>
    <w:rPr>
      <w:rFonts w:cs="Times New Roman"/>
    </w:rPr>
  </w:style>
  <w:style w:type="character" w:customStyle="1" w:styleId="250">
    <w:name w:val="Char Char7"/>
    <w:basedOn w:val="117"/>
    <w:qFormat/>
    <w:uiPriority w:val="0"/>
    <w:rPr>
      <w:rFonts w:ascii="宋体" w:eastAsia="宋体"/>
      <w:kern w:val="2"/>
      <w:sz w:val="18"/>
      <w:szCs w:val="18"/>
      <w:lang w:val="en-US" w:eastAsia="zh-CN" w:bidi="ar-SA"/>
    </w:rPr>
  </w:style>
  <w:style w:type="character" w:customStyle="1" w:styleId="251">
    <w:name w:val="Char Char10"/>
    <w:basedOn w:val="117"/>
    <w:qFormat/>
    <w:uiPriority w:val="0"/>
    <w:rPr>
      <w:rFonts w:ascii="Arial" w:hAnsi="Arial" w:eastAsia="黑体"/>
      <w:b/>
      <w:bCs/>
      <w:kern w:val="2"/>
      <w:sz w:val="32"/>
      <w:szCs w:val="32"/>
      <w:lang w:val="en-US" w:eastAsia="zh-CN" w:bidi="ar-SA"/>
    </w:rPr>
  </w:style>
  <w:style w:type="character" w:customStyle="1" w:styleId="252">
    <w:name w:val="Char Char11"/>
    <w:basedOn w:val="117"/>
    <w:qFormat/>
    <w:uiPriority w:val="0"/>
    <w:rPr>
      <w:rFonts w:eastAsia="黑体"/>
      <w:bCs/>
      <w:kern w:val="2"/>
      <w:sz w:val="30"/>
      <w:szCs w:val="32"/>
      <w:lang w:val="en-US" w:eastAsia="zh-CN" w:bidi="ar-SA"/>
    </w:rPr>
  </w:style>
  <w:style w:type="character" w:customStyle="1" w:styleId="253">
    <w:name w:val="样式 宋体 四号"/>
    <w:qFormat/>
    <w:uiPriority w:val="0"/>
    <w:rPr>
      <w:rFonts w:ascii="宋体" w:hAnsi="宋体"/>
      <w:sz w:val="24"/>
    </w:rPr>
  </w:style>
  <w:style w:type="character" w:customStyle="1" w:styleId="254">
    <w:name w:val="样式 正文 +"/>
    <w:qFormat/>
    <w:uiPriority w:val="0"/>
    <w:rPr>
      <w:kern w:val="0"/>
      <w:sz w:val="24"/>
    </w:rPr>
  </w:style>
  <w:style w:type="character" w:customStyle="1" w:styleId="255">
    <w:name w:val="纯文本 字符"/>
    <w:link w:val="47"/>
    <w:qFormat/>
    <w:uiPriority w:val="0"/>
    <w:rPr>
      <w:rFonts w:ascii="宋体" w:hAnsi="Courier New"/>
      <w:kern w:val="2"/>
      <w:sz w:val="21"/>
      <w:szCs w:val="21"/>
    </w:rPr>
  </w:style>
  <w:style w:type="character" w:customStyle="1" w:styleId="256">
    <w:name w:val="Char Char1211"/>
    <w:basedOn w:val="117"/>
    <w:qFormat/>
    <w:uiPriority w:val="0"/>
    <w:rPr>
      <w:rFonts w:eastAsia="黑体"/>
      <w:b/>
      <w:bCs/>
      <w:kern w:val="44"/>
      <w:sz w:val="36"/>
      <w:szCs w:val="44"/>
      <w:lang w:val="en-US" w:eastAsia="zh-CN" w:bidi="ar-SA"/>
    </w:rPr>
  </w:style>
  <w:style w:type="character" w:customStyle="1" w:styleId="257">
    <w:name w:val="纯文本 Char Char"/>
    <w:basedOn w:val="117"/>
    <w:qFormat/>
    <w:uiPriority w:val="0"/>
    <w:rPr>
      <w:rFonts w:ascii="宋体" w:hAnsi="Courier New" w:eastAsia="宋体" w:cs="Courier New"/>
      <w:kern w:val="2"/>
      <w:sz w:val="21"/>
      <w:szCs w:val="21"/>
      <w:lang w:val="en-US" w:eastAsia="zh-CN" w:bidi="ar-SA"/>
    </w:rPr>
  </w:style>
  <w:style w:type="character" w:customStyle="1" w:styleId="258">
    <w:name w:val="正文文本缩进 2 字符"/>
    <w:basedOn w:val="117"/>
    <w:link w:val="53"/>
    <w:qFormat/>
    <w:uiPriority w:val="99"/>
    <w:rPr>
      <w:kern w:val="2"/>
      <w:sz w:val="21"/>
      <w:szCs w:val="24"/>
    </w:rPr>
  </w:style>
  <w:style w:type="character" w:customStyle="1" w:styleId="259">
    <w:name w:val="正文文本 Char Char"/>
    <w:basedOn w:val="117"/>
    <w:qFormat/>
    <w:uiPriority w:val="0"/>
    <w:rPr>
      <w:rFonts w:ascii="仿宋_GB2312" w:eastAsia="仿宋_GB2312"/>
      <w:kern w:val="2"/>
      <w:sz w:val="30"/>
      <w:szCs w:val="24"/>
      <w:lang w:val="en-US" w:eastAsia="zh-CN" w:bidi="ar-SA"/>
    </w:rPr>
  </w:style>
  <w:style w:type="character" w:customStyle="1" w:styleId="260">
    <w:name w:val="普通文字 Char Char Char Char Char Char Char Char Char Char Char Char Char Char Char Char Char Char Char Char Char Char Char Char Char Char Char Char Char"/>
    <w:basedOn w:val="117"/>
    <w:autoRedefine/>
    <w:qFormat/>
    <w:uiPriority w:val="0"/>
    <w:rPr>
      <w:rFonts w:ascii="宋体" w:hAnsi="Courier New" w:eastAsia="宋体" w:cs="Courier New"/>
      <w:kern w:val="2"/>
      <w:sz w:val="21"/>
      <w:szCs w:val="21"/>
      <w:lang w:val="en-US" w:eastAsia="zh-CN" w:bidi="ar-SA"/>
    </w:rPr>
  </w:style>
  <w:style w:type="paragraph" w:customStyle="1" w:styleId="261">
    <w:name w:val="xz2"/>
    <w:basedOn w:val="1"/>
    <w:qFormat/>
    <w:uiPriority w:val="0"/>
    <w:pPr>
      <w:spacing w:before="0" w:beforeLines="50" w:line="240" w:lineRule="auto"/>
      <w:jc w:val="left"/>
      <w:outlineLvl w:val="1"/>
    </w:pPr>
    <w:rPr>
      <w:rFonts w:ascii="楷体_GB2312" w:eastAsia="楷体_GB2312"/>
      <w:b/>
      <w:sz w:val="32"/>
      <w:szCs w:val="30"/>
    </w:rPr>
  </w:style>
  <w:style w:type="paragraph" w:customStyle="1" w:styleId="262">
    <w:name w:val="hh正文"/>
    <w:basedOn w:val="1"/>
    <w:qFormat/>
    <w:uiPriority w:val="0"/>
    <w:pPr>
      <w:spacing w:before="0" w:beforeLines="0" w:line="400" w:lineRule="exact"/>
      <w:ind w:left="212" w:leftChars="101" w:firstLine="480" w:firstLineChars="200"/>
    </w:pPr>
    <w:rPr>
      <w:sz w:val="24"/>
    </w:rPr>
  </w:style>
  <w:style w:type="paragraph" w:customStyle="1" w:styleId="263">
    <w:name w:val="Char Char Char Char"/>
    <w:basedOn w:val="1"/>
    <w:link w:val="428"/>
    <w:qFormat/>
    <w:uiPriority w:val="0"/>
    <w:pPr>
      <w:spacing w:before="0" w:beforeLines="0" w:line="360" w:lineRule="auto"/>
      <w:ind w:firstLine="200" w:firstLineChars="200"/>
    </w:pPr>
    <w:rPr>
      <w:rFonts w:ascii="宋体" w:hAnsi="宋体" w:cs="宋体"/>
      <w:sz w:val="24"/>
    </w:rPr>
  </w:style>
  <w:style w:type="paragraph" w:customStyle="1" w:styleId="264">
    <w:name w:val="p0"/>
    <w:basedOn w:val="1"/>
    <w:qFormat/>
    <w:uiPriority w:val="0"/>
    <w:pPr>
      <w:widowControl/>
      <w:spacing w:before="0" w:beforeLines="0" w:line="240" w:lineRule="auto"/>
    </w:pPr>
    <w:rPr>
      <w:kern w:val="0"/>
      <w:szCs w:val="21"/>
    </w:rPr>
  </w:style>
  <w:style w:type="paragraph" w:customStyle="1" w:styleId="265">
    <w:name w:val="默认段落字体 Para Char Char Char Char Char Char Char Char Char Char Char Char"/>
    <w:basedOn w:val="25"/>
    <w:autoRedefine/>
    <w:qFormat/>
    <w:uiPriority w:val="0"/>
    <w:pPr>
      <w:shd w:val="clear" w:color="auto" w:fill="000080"/>
      <w:adjustRightInd w:val="0"/>
      <w:spacing w:line="436" w:lineRule="exact"/>
      <w:ind w:left="357"/>
      <w:jc w:val="left"/>
      <w:outlineLvl w:val="3"/>
    </w:pPr>
    <w:rPr>
      <w:rFonts w:ascii="Tahoma" w:hAnsi="Tahoma"/>
      <w:b/>
      <w:sz w:val="24"/>
      <w:szCs w:val="24"/>
    </w:rPr>
  </w:style>
  <w:style w:type="paragraph" w:customStyle="1" w:styleId="266">
    <w:name w:val="默认段落字体 Para Char Char Char Char Char Char Char Char Char1 Char Char Char Char Char Char Char"/>
    <w:basedOn w:val="25"/>
    <w:autoRedefine/>
    <w:qFormat/>
    <w:uiPriority w:val="0"/>
    <w:pPr>
      <w:shd w:val="clear" w:color="auto" w:fill="000080"/>
    </w:pPr>
    <w:rPr>
      <w:rFonts w:ascii="Tahoma" w:hAnsi="Tahoma" w:cs="Tahoma"/>
      <w:sz w:val="24"/>
      <w:szCs w:val="24"/>
    </w:rPr>
  </w:style>
  <w:style w:type="paragraph" w:customStyle="1" w:styleId="267">
    <w:name w:val="Char Char Char Char Char Char Char Char Char Char"/>
    <w:basedOn w:val="1"/>
    <w:autoRedefine/>
    <w:qFormat/>
    <w:uiPriority w:val="0"/>
    <w:pPr>
      <w:spacing w:before="0" w:beforeLines="0" w:line="240" w:lineRule="auto"/>
      <w:jc w:val="left"/>
    </w:pPr>
    <w:rPr>
      <w:szCs w:val="21"/>
    </w:rPr>
  </w:style>
  <w:style w:type="paragraph" w:customStyle="1" w:styleId="268">
    <w:name w:val="Char Char Char Char Char Char Char Char Char Char11"/>
    <w:basedOn w:val="1"/>
    <w:autoRedefine/>
    <w:qFormat/>
    <w:uiPriority w:val="0"/>
    <w:pPr>
      <w:spacing w:before="0" w:beforeLines="0" w:line="240" w:lineRule="auto"/>
      <w:jc w:val="left"/>
    </w:pPr>
    <w:rPr>
      <w:szCs w:val="21"/>
    </w:rPr>
  </w:style>
  <w:style w:type="paragraph" w:customStyle="1" w:styleId="269">
    <w:name w:val="流程文字"/>
    <w:basedOn w:val="1"/>
    <w:qFormat/>
    <w:uiPriority w:val="0"/>
    <w:pPr>
      <w:tabs>
        <w:tab w:val="left" w:pos="6480"/>
      </w:tabs>
      <w:topLinePunct/>
      <w:adjustRightInd w:val="0"/>
      <w:snapToGrid w:val="0"/>
      <w:spacing w:before="0" w:beforeLines="0" w:line="240" w:lineRule="auto"/>
      <w:jc w:val="center"/>
    </w:pPr>
    <w:rPr>
      <w:rFonts w:eastAsia="仿宋_GB2312"/>
      <w:szCs w:val="20"/>
    </w:rPr>
  </w:style>
  <w:style w:type="paragraph" w:customStyle="1" w:styleId="270">
    <w:name w:val="样式 默认段落字体 Para Char Char Char Char +"/>
    <w:basedOn w:val="1"/>
    <w:qFormat/>
    <w:uiPriority w:val="0"/>
    <w:pPr>
      <w:spacing w:before="0" w:beforeLines="50" w:afterLines="50" w:line="360" w:lineRule="auto"/>
      <w:jc w:val="left"/>
    </w:pPr>
    <w:rPr>
      <w:rFonts w:eastAsia="黑体"/>
      <w:kern w:val="0"/>
      <w:sz w:val="28"/>
    </w:rPr>
  </w:style>
  <w:style w:type="paragraph" w:customStyle="1" w:styleId="271">
    <w:name w:val="TOC 标题1"/>
    <w:basedOn w:val="3"/>
    <w:next w:val="1"/>
    <w:autoRedefine/>
    <w:qFormat/>
    <w:uiPriority w:val="39"/>
    <w:pPr>
      <w:widowControl/>
      <w:tabs>
        <w:tab w:val="clear" w:pos="360"/>
      </w:tabs>
      <w:spacing w:before="480" w:after="0" w:line="276" w:lineRule="auto"/>
      <w:jc w:val="left"/>
      <w:outlineLvl w:val="9"/>
    </w:pPr>
    <w:rPr>
      <w:rFonts w:ascii="Cambria" w:hAnsi="Cambria"/>
      <w:color w:val="365F91"/>
      <w:kern w:val="0"/>
      <w:sz w:val="28"/>
      <w:szCs w:val="28"/>
    </w:rPr>
  </w:style>
  <w:style w:type="paragraph" w:customStyle="1" w:styleId="272">
    <w:name w:val="公式"/>
    <w:basedOn w:val="1"/>
    <w:next w:val="1"/>
    <w:qFormat/>
    <w:uiPriority w:val="0"/>
    <w:pPr>
      <w:snapToGrid w:val="0"/>
      <w:spacing w:before="120" w:beforeLines="0" w:after="120" w:line="240" w:lineRule="auto"/>
      <w:jc w:val="center"/>
    </w:pPr>
    <w:rPr>
      <w:rFonts w:eastAsia="仿宋_GB2312"/>
      <w:snapToGrid w:val="0"/>
      <w:color w:val="000000"/>
      <w:sz w:val="30"/>
      <w:szCs w:val="32"/>
    </w:rPr>
  </w:style>
  <w:style w:type="paragraph" w:customStyle="1" w:styleId="273">
    <w:name w:val="表格填充1"/>
    <w:basedOn w:val="1"/>
    <w:qFormat/>
    <w:uiPriority w:val="0"/>
    <w:pPr>
      <w:adjustRightInd w:val="0"/>
      <w:snapToGrid w:val="0"/>
      <w:spacing w:before="0" w:beforeLines="0" w:line="400" w:lineRule="exact"/>
      <w:jc w:val="center"/>
    </w:pPr>
    <w:rPr>
      <w:snapToGrid w:val="0"/>
      <w:szCs w:val="18"/>
    </w:rPr>
  </w:style>
  <w:style w:type="paragraph" w:customStyle="1" w:styleId="274">
    <w:name w:val="样式 正文 +1"/>
    <w:basedOn w:val="1"/>
    <w:qFormat/>
    <w:uiPriority w:val="0"/>
    <w:pPr>
      <w:spacing w:before="0" w:beforeLines="0" w:line="360" w:lineRule="auto"/>
      <w:ind w:firstLine="200" w:firstLineChars="200"/>
      <w:jc w:val="left"/>
    </w:pPr>
    <w:rPr>
      <w:rFonts w:cs="宋体"/>
      <w:sz w:val="24"/>
      <w:szCs w:val="20"/>
    </w:rPr>
  </w:style>
  <w:style w:type="paragraph" w:customStyle="1" w:styleId="275">
    <w:name w:val="biaoti1"/>
    <w:basedOn w:val="1"/>
    <w:next w:val="1"/>
    <w:qFormat/>
    <w:uiPriority w:val="0"/>
    <w:pPr>
      <w:spacing w:before="0" w:beforeLines="50" w:afterLines="50" w:line="360" w:lineRule="auto"/>
      <w:jc w:val="left"/>
    </w:pPr>
    <w:rPr>
      <w:b/>
      <w:bCs/>
      <w:kern w:val="21"/>
    </w:rPr>
  </w:style>
  <w:style w:type="paragraph" w:customStyle="1" w:styleId="276">
    <w:name w:val="简单回函地址"/>
    <w:basedOn w:val="1"/>
    <w:qFormat/>
    <w:uiPriority w:val="0"/>
    <w:pPr>
      <w:spacing w:before="0" w:beforeLines="0" w:line="240" w:lineRule="auto"/>
    </w:pPr>
    <w:rPr>
      <w:rFonts w:ascii="宋体"/>
      <w:sz w:val="28"/>
      <w:szCs w:val="20"/>
    </w:rPr>
  </w:style>
  <w:style w:type="character" w:customStyle="1" w:styleId="277">
    <w:name w:val="环保表内字（五号） Char"/>
    <w:link w:val="278"/>
    <w:qFormat/>
    <w:uiPriority w:val="0"/>
    <w:rPr>
      <w:sz w:val="21"/>
      <w:lang w:val="zh-CN"/>
    </w:rPr>
  </w:style>
  <w:style w:type="paragraph" w:customStyle="1" w:styleId="278">
    <w:name w:val="环保表内字（五号）"/>
    <w:basedOn w:val="1"/>
    <w:link w:val="277"/>
    <w:qFormat/>
    <w:uiPriority w:val="0"/>
    <w:pPr>
      <w:adjustRightInd w:val="0"/>
      <w:snapToGrid w:val="0"/>
      <w:spacing w:before="0" w:beforeLines="0" w:line="0" w:lineRule="atLeast"/>
      <w:jc w:val="left"/>
    </w:pPr>
    <w:rPr>
      <w:kern w:val="0"/>
      <w:szCs w:val="20"/>
      <w:lang w:val="zh-CN"/>
    </w:rPr>
  </w:style>
  <w:style w:type="paragraph" w:customStyle="1" w:styleId="279">
    <w:name w:val="表标"/>
    <w:next w:val="1"/>
    <w:link w:val="280"/>
    <w:qFormat/>
    <w:uiPriority w:val="0"/>
    <w:pPr>
      <w:tabs>
        <w:tab w:val="left" w:pos="8207"/>
      </w:tabs>
      <w:adjustRightInd w:val="0"/>
      <w:snapToGrid w:val="0"/>
      <w:spacing w:before="120" w:line="312" w:lineRule="auto"/>
      <w:jc w:val="center"/>
      <w:textAlignment w:val="baseline"/>
    </w:pPr>
    <w:rPr>
      <w:rFonts w:ascii="Times New Roman" w:hAnsi="Times New Roman" w:eastAsia="黑体" w:cs="Times New Roman"/>
      <w:kern w:val="2"/>
      <w:sz w:val="24"/>
      <w:lang w:val="en-US" w:eastAsia="zh-CN" w:bidi="ar-SA"/>
    </w:rPr>
  </w:style>
  <w:style w:type="character" w:customStyle="1" w:styleId="280">
    <w:name w:val="表标 Char"/>
    <w:basedOn w:val="117"/>
    <w:link w:val="279"/>
    <w:qFormat/>
    <w:uiPriority w:val="0"/>
    <w:rPr>
      <w:rFonts w:eastAsia="黑体"/>
      <w:kern w:val="2"/>
      <w:sz w:val="24"/>
    </w:rPr>
  </w:style>
  <w:style w:type="paragraph" w:customStyle="1" w:styleId="281">
    <w:name w:val="表"/>
    <w:qFormat/>
    <w:uiPriority w:val="0"/>
    <w:pPr>
      <w:jc w:val="center"/>
    </w:pPr>
    <w:rPr>
      <w:rFonts w:ascii="Times New Roman" w:hAnsi="Times New Roman" w:eastAsia="宋体" w:cs="Times New Roman"/>
      <w:sz w:val="21"/>
      <w:lang w:val="en-US" w:eastAsia="zh-CN" w:bidi="ar-SA"/>
    </w:rPr>
  </w:style>
  <w:style w:type="paragraph" w:customStyle="1" w:styleId="282">
    <w:name w:val="样式 宋体 小四 行距: 多倍行距 1.3 字行"/>
    <w:basedOn w:val="1"/>
    <w:qFormat/>
    <w:uiPriority w:val="0"/>
    <w:pPr>
      <w:spacing w:before="0" w:beforeLines="0" w:line="312" w:lineRule="auto"/>
      <w:ind w:firstLine="480" w:firstLineChars="200"/>
    </w:pPr>
    <w:rPr>
      <w:rFonts w:ascii="宋体" w:hAnsi="宋体" w:cs="宋体"/>
      <w:sz w:val="24"/>
      <w:szCs w:val="20"/>
    </w:rPr>
  </w:style>
  <w:style w:type="character" w:customStyle="1" w:styleId="283">
    <w:name w:val="环保表头 Char Char"/>
    <w:link w:val="284"/>
    <w:qFormat/>
    <w:uiPriority w:val="0"/>
    <w:rPr>
      <w:rFonts w:eastAsia="黑体"/>
      <w:b/>
      <w:bCs/>
      <w:kern w:val="44"/>
      <w:sz w:val="24"/>
      <w:szCs w:val="30"/>
    </w:rPr>
  </w:style>
  <w:style w:type="paragraph" w:customStyle="1" w:styleId="284">
    <w:name w:val="环保表头"/>
    <w:link w:val="283"/>
    <w:qFormat/>
    <w:uiPriority w:val="0"/>
    <w:pPr>
      <w:jc w:val="center"/>
    </w:pPr>
    <w:rPr>
      <w:rFonts w:ascii="Times New Roman" w:hAnsi="Times New Roman" w:eastAsia="黑体" w:cs="Times New Roman"/>
      <w:b/>
      <w:bCs/>
      <w:kern w:val="44"/>
      <w:sz w:val="24"/>
      <w:szCs w:val="30"/>
      <w:lang w:val="en-US" w:eastAsia="zh-CN" w:bidi="ar-SA"/>
    </w:rPr>
  </w:style>
  <w:style w:type="character" w:customStyle="1" w:styleId="285">
    <w:name w:val="font101"/>
    <w:basedOn w:val="117"/>
    <w:qFormat/>
    <w:uiPriority w:val="0"/>
    <w:rPr>
      <w:rFonts w:hint="default" w:ascii="Times New Roman" w:hAnsi="Times New Roman" w:cs="Times New Roman"/>
      <w:color w:val="000000"/>
      <w:sz w:val="24"/>
      <w:szCs w:val="24"/>
      <w:u w:val="none"/>
    </w:rPr>
  </w:style>
  <w:style w:type="paragraph" w:customStyle="1" w:styleId="286">
    <w:name w:val="44"/>
    <w:basedOn w:val="1"/>
    <w:qFormat/>
    <w:uiPriority w:val="0"/>
    <w:pPr>
      <w:adjustRightInd w:val="0"/>
      <w:snapToGrid w:val="0"/>
      <w:spacing w:before="0" w:beforeLines="30" w:afterLines="30" w:line="300" w:lineRule="auto"/>
      <w:ind w:firstLine="480" w:firstLineChars="200"/>
    </w:pPr>
    <w:rPr>
      <w:rFonts w:cs="宋体"/>
      <w:sz w:val="24"/>
      <w:szCs w:val="20"/>
    </w:rPr>
  </w:style>
  <w:style w:type="paragraph" w:customStyle="1" w:styleId="287">
    <w:name w:val="5"/>
    <w:basedOn w:val="1"/>
    <w:qFormat/>
    <w:uiPriority w:val="0"/>
    <w:pPr>
      <w:adjustRightInd w:val="0"/>
      <w:snapToGrid w:val="0"/>
      <w:spacing w:before="0" w:beforeLines="30" w:afterLines="30" w:line="300" w:lineRule="auto"/>
    </w:pPr>
    <w:rPr>
      <w:rFonts w:cs="宋体"/>
      <w:sz w:val="24"/>
      <w:szCs w:val="20"/>
    </w:rPr>
  </w:style>
  <w:style w:type="character" w:customStyle="1" w:styleId="288">
    <w:name w:val="Char Char121"/>
    <w:basedOn w:val="117"/>
    <w:qFormat/>
    <w:uiPriority w:val="0"/>
    <w:rPr>
      <w:rFonts w:eastAsia="黑体"/>
      <w:b/>
      <w:bCs/>
      <w:kern w:val="44"/>
      <w:sz w:val="36"/>
      <w:szCs w:val="44"/>
      <w:lang w:val="en-US" w:eastAsia="zh-CN" w:bidi="ar-SA"/>
    </w:rPr>
  </w:style>
  <w:style w:type="character" w:customStyle="1" w:styleId="289">
    <w:name w:val="页眉 Char"/>
    <w:basedOn w:val="117"/>
    <w:qFormat/>
    <w:uiPriority w:val="99"/>
    <w:rPr>
      <w:rFonts w:ascii="Cambria" w:hAnsi="Cambria" w:eastAsia="宋体"/>
      <w:b/>
      <w:bCs/>
      <w:kern w:val="2"/>
      <w:sz w:val="32"/>
      <w:szCs w:val="32"/>
      <w:lang w:val="en-US" w:eastAsia="zh-CN" w:bidi="ar-SA"/>
    </w:rPr>
  </w:style>
  <w:style w:type="paragraph" w:customStyle="1" w:styleId="290">
    <w:name w:val="Char Char Char Char Char Char Char Char Char Char1"/>
    <w:basedOn w:val="1"/>
    <w:qFormat/>
    <w:uiPriority w:val="0"/>
    <w:pPr>
      <w:spacing w:before="0" w:beforeLines="0" w:line="240" w:lineRule="auto"/>
      <w:jc w:val="left"/>
    </w:pPr>
    <w:rPr>
      <w:szCs w:val="21"/>
    </w:rPr>
  </w:style>
  <w:style w:type="paragraph" w:customStyle="1" w:styleId="291">
    <w:name w:val="正文27磅"/>
    <w:basedOn w:val="1"/>
    <w:qFormat/>
    <w:uiPriority w:val="0"/>
    <w:pPr>
      <w:spacing w:before="0" w:beforeLines="0" w:line="540" w:lineRule="exact"/>
      <w:ind w:firstLine="480" w:firstLineChars="200"/>
    </w:pPr>
    <w:rPr>
      <w:rFonts w:ascii="Calibri" w:hAnsi="Calibri"/>
      <w:sz w:val="24"/>
    </w:rPr>
  </w:style>
  <w:style w:type="paragraph" w:customStyle="1" w:styleId="292">
    <w:name w:val="标题b"/>
    <w:basedOn w:val="1"/>
    <w:qFormat/>
    <w:uiPriority w:val="0"/>
    <w:pPr>
      <w:autoSpaceDE w:val="0"/>
      <w:autoSpaceDN w:val="0"/>
      <w:adjustRightInd w:val="0"/>
      <w:spacing w:before="0" w:beforeLines="50" w:afterLines="50" w:line="360" w:lineRule="auto"/>
      <w:outlineLvl w:val="1"/>
    </w:pPr>
    <w:rPr>
      <w:rFonts w:ascii="宋体" w:hAnsi="宋体" w:eastAsia="黑体" w:cs="仿宋_GB2312"/>
      <w:b/>
      <w:color w:val="000000"/>
      <w:kern w:val="0"/>
      <w:sz w:val="32"/>
    </w:rPr>
  </w:style>
  <w:style w:type="paragraph" w:customStyle="1" w:styleId="293">
    <w:name w:val="标题c"/>
    <w:basedOn w:val="292"/>
    <w:qFormat/>
    <w:uiPriority w:val="0"/>
    <w:pPr>
      <w:spacing w:beforeLines="20" w:afterLines="20"/>
      <w:outlineLvl w:val="2"/>
    </w:pPr>
    <w:rPr>
      <w:sz w:val="28"/>
    </w:rPr>
  </w:style>
  <w:style w:type="character" w:customStyle="1" w:styleId="294">
    <w:name w:val="标题 Char2"/>
    <w:basedOn w:val="117"/>
    <w:qFormat/>
    <w:uiPriority w:val="99"/>
    <w:rPr>
      <w:rFonts w:ascii="Cambria" w:hAnsi="Cambria" w:eastAsia="宋体"/>
      <w:b/>
      <w:bCs/>
      <w:kern w:val="2"/>
      <w:sz w:val="32"/>
      <w:szCs w:val="32"/>
      <w:lang w:val="en-US" w:eastAsia="zh-CN" w:bidi="ar-SA"/>
    </w:rPr>
  </w:style>
  <w:style w:type="character" w:customStyle="1" w:styleId="295">
    <w:name w:val="正文文本 Char1"/>
    <w:basedOn w:val="117"/>
    <w:qFormat/>
    <w:uiPriority w:val="0"/>
    <w:rPr>
      <w:rFonts w:ascii="仿宋_GB2312" w:eastAsia="仿宋_GB2312"/>
      <w:kern w:val="2"/>
      <w:sz w:val="30"/>
      <w:szCs w:val="24"/>
    </w:rPr>
  </w:style>
  <w:style w:type="character" w:customStyle="1" w:styleId="296">
    <w:name w:val="标题 Char1"/>
    <w:basedOn w:val="117"/>
    <w:qFormat/>
    <w:uiPriority w:val="10"/>
    <w:rPr>
      <w:rFonts w:ascii="Cambria" w:hAnsi="Cambria" w:eastAsia="宋体" w:cs="Times New Roman"/>
      <w:b/>
      <w:bCs/>
      <w:sz w:val="32"/>
      <w:szCs w:val="32"/>
    </w:rPr>
  </w:style>
  <w:style w:type="character" w:customStyle="1" w:styleId="297">
    <w:name w:val="正文文本 Char"/>
    <w:basedOn w:val="117"/>
    <w:qFormat/>
    <w:uiPriority w:val="0"/>
    <w:rPr>
      <w:rFonts w:ascii="仿宋_GB2312" w:hAnsi="Times New Roman" w:eastAsia="仿宋_GB2312" w:cs="Times New Roman"/>
      <w:sz w:val="30"/>
      <w:szCs w:val="24"/>
    </w:rPr>
  </w:style>
  <w:style w:type="paragraph" w:customStyle="1" w:styleId="298">
    <w:name w:val="【表格】"/>
    <w:next w:val="54"/>
    <w:qFormat/>
    <w:uiPriority w:val="39"/>
    <w:pPr>
      <w:jc w:val="center"/>
    </w:pPr>
    <w:rPr>
      <w:rFonts w:ascii="Times New Roman" w:hAnsi="Times New Roman" w:eastAsia="宋体" w:cs="Times New Roman"/>
      <w:sz w:val="21"/>
      <w:szCs w:val="24"/>
      <w:lang w:val="en-US" w:eastAsia="zh-CN" w:bidi="ar-SA"/>
    </w:rPr>
  </w:style>
  <w:style w:type="character" w:customStyle="1" w:styleId="299">
    <w:name w:val="正文文本首行缩进 字符"/>
    <w:basedOn w:val="181"/>
    <w:link w:val="54"/>
    <w:qFormat/>
    <w:uiPriority w:val="0"/>
    <w:rPr>
      <w:rFonts w:ascii="宋体" w:hAnsi="宋体" w:cs="宋体"/>
      <w:sz w:val="24"/>
      <w:szCs w:val="24"/>
      <w:lang w:val="zh-CN" w:bidi="zh-CN"/>
    </w:rPr>
  </w:style>
  <w:style w:type="paragraph" w:customStyle="1" w:styleId="300">
    <w:name w:val="表头—liuxk"/>
    <w:basedOn w:val="1"/>
    <w:qFormat/>
    <w:uiPriority w:val="0"/>
    <w:pPr>
      <w:spacing w:before="0" w:beforeLines="0" w:line="240" w:lineRule="auto"/>
      <w:ind w:firstLine="680" w:firstLineChars="200"/>
      <w:jc w:val="center"/>
    </w:pPr>
    <w:rPr>
      <w:kern w:val="0"/>
      <w:sz w:val="24"/>
    </w:rPr>
  </w:style>
  <w:style w:type="character" w:customStyle="1" w:styleId="301">
    <w:name w:val="Char Char21"/>
    <w:qFormat/>
    <w:uiPriority w:val="0"/>
    <w:rPr>
      <w:rFonts w:ascii="Arial" w:hAnsi="Arial"/>
      <w:sz w:val="24"/>
      <w:szCs w:val="24"/>
      <w:lang w:val="fr-FR"/>
    </w:rPr>
  </w:style>
  <w:style w:type="character" w:customStyle="1" w:styleId="302">
    <w:name w:val="正文文本 2 Char1"/>
    <w:basedOn w:val="117"/>
    <w:qFormat/>
    <w:uiPriority w:val="0"/>
    <w:rPr>
      <w:kern w:val="2"/>
      <w:sz w:val="21"/>
      <w:szCs w:val="24"/>
    </w:rPr>
  </w:style>
  <w:style w:type="character" w:customStyle="1" w:styleId="303">
    <w:name w:val="纯文本 Char1"/>
    <w:basedOn w:val="117"/>
    <w:qFormat/>
    <w:uiPriority w:val="0"/>
    <w:rPr>
      <w:rFonts w:ascii="宋体" w:hAnsi="Courier New" w:cs="Courier New"/>
      <w:kern w:val="2"/>
      <w:sz w:val="21"/>
      <w:szCs w:val="21"/>
    </w:rPr>
  </w:style>
  <w:style w:type="character" w:customStyle="1" w:styleId="304">
    <w:name w:val="正文文本缩进 Char1"/>
    <w:basedOn w:val="117"/>
    <w:qFormat/>
    <w:uiPriority w:val="0"/>
    <w:rPr>
      <w:kern w:val="2"/>
      <w:sz w:val="21"/>
      <w:szCs w:val="24"/>
    </w:rPr>
  </w:style>
  <w:style w:type="character" w:customStyle="1" w:styleId="305">
    <w:name w:val="批注框文本 Char1"/>
    <w:basedOn w:val="117"/>
    <w:qFormat/>
    <w:uiPriority w:val="99"/>
    <w:rPr>
      <w:kern w:val="2"/>
      <w:sz w:val="18"/>
      <w:szCs w:val="18"/>
    </w:rPr>
  </w:style>
  <w:style w:type="character" w:customStyle="1" w:styleId="306">
    <w:name w:val="日期 Char1"/>
    <w:basedOn w:val="117"/>
    <w:qFormat/>
    <w:uiPriority w:val="0"/>
    <w:rPr>
      <w:kern w:val="2"/>
      <w:sz w:val="21"/>
      <w:szCs w:val="24"/>
    </w:rPr>
  </w:style>
  <w:style w:type="character" w:customStyle="1" w:styleId="307">
    <w:name w:val="正文文本缩进 2 Char1"/>
    <w:basedOn w:val="117"/>
    <w:qFormat/>
    <w:uiPriority w:val="0"/>
    <w:rPr>
      <w:kern w:val="2"/>
      <w:sz w:val="21"/>
      <w:szCs w:val="24"/>
    </w:rPr>
  </w:style>
  <w:style w:type="paragraph" w:customStyle="1" w:styleId="308">
    <w:name w:val="论文正文2"/>
    <w:basedOn w:val="1"/>
    <w:link w:val="309"/>
    <w:qFormat/>
    <w:uiPriority w:val="0"/>
    <w:pPr>
      <w:spacing w:before="0" w:beforeLines="0" w:line="360" w:lineRule="auto"/>
      <w:ind w:firstLine="560" w:firstLineChars="200"/>
    </w:pPr>
    <w:rPr>
      <w:sz w:val="28"/>
      <w:szCs w:val="28"/>
    </w:rPr>
  </w:style>
  <w:style w:type="character" w:customStyle="1" w:styleId="309">
    <w:name w:val="论文正文2 Char Char"/>
    <w:link w:val="308"/>
    <w:qFormat/>
    <w:uiPriority w:val="0"/>
    <w:rPr>
      <w:kern w:val="2"/>
      <w:sz w:val="28"/>
      <w:szCs w:val="28"/>
    </w:rPr>
  </w:style>
  <w:style w:type="paragraph" w:customStyle="1" w:styleId="310">
    <w:name w:val="0表头~百傲"/>
    <w:basedOn w:val="1"/>
    <w:qFormat/>
    <w:uiPriority w:val="0"/>
    <w:pPr>
      <w:tabs>
        <w:tab w:val="left" w:pos="1156"/>
      </w:tabs>
      <w:spacing w:before="0" w:beforeLines="0" w:line="240" w:lineRule="auto"/>
      <w:jc w:val="center"/>
    </w:pPr>
    <w:rPr>
      <w:b/>
      <w:lang w:val="zh-CN" w:bidi="zh-CN"/>
    </w:rPr>
  </w:style>
  <w:style w:type="paragraph" w:customStyle="1" w:styleId="311">
    <w:name w:val="0表格-百傲"/>
    <w:basedOn w:val="1"/>
    <w:qFormat/>
    <w:uiPriority w:val="0"/>
    <w:pPr>
      <w:snapToGrid w:val="0"/>
      <w:spacing w:before="0" w:beforeLines="0" w:line="240" w:lineRule="auto"/>
      <w:jc w:val="center"/>
    </w:pPr>
    <w:rPr>
      <w:snapToGrid w:val="0"/>
      <w:color w:val="000000"/>
      <w:szCs w:val="21"/>
      <w:lang w:val="zh-CN"/>
    </w:rPr>
  </w:style>
  <w:style w:type="character" w:customStyle="1" w:styleId="312">
    <w:name w:val="宏文本 字符"/>
    <w:basedOn w:val="117"/>
    <w:qFormat/>
    <w:uiPriority w:val="99"/>
    <w:rPr>
      <w:rFonts w:ascii="Courier New" w:hAnsi="Courier New" w:cs="Courier New"/>
      <w:kern w:val="2"/>
      <w:sz w:val="24"/>
      <w:szCs w:val="24"/>
    </w:rPr>
  </w:style>
  <w:style w:type="paragraph" w:customStyle="1" w:styleId="313">
    <w:name w:val="电子邮件签名1"/>
    <w:basedOn w:val="1"/>
    <w:next w:val="19"/>
    <w:link w:val="1559"/>
    <w:qFormat/>
    <w:uiPriority w:val="0"/>
    <w:pPr>
      <w:adjustRightInd w:val="0"/>
      <w:spacing w:before="0" w:beforeLines="0" w:line="360" w:lineRule="auto"/>
      <w:textAlignment w:val="baseline"/>
    </w:pPr>
    <w:rPr>
      <w:kern w:val="0"/>
      <w:sz w:val="20"/>
      <w:szCs w:val="20"/>
    </w:rPr>
  </w:style>
  <w:style w:type="character" w:customStyle="1" w:styleId="314">
    <w:name w:val="称呼 字符"/>
    <w:basedOn w:val="117"/>
    <w:qFormat/>
    <w:uiPriority w:val="99"/>
    <w:rPr>
      <w:kern w:val="2"/>
      <w:sz w:val="21"/>
      <w:szCs w:val="24"/>
    </w:rPr>
  </w:style>
  <w:style w:type="paragraph" w:customStyle="1" w:styleId="315">
    <w:name w:val="结束语1"/>
    <w:basedOn w:val="1"/>
    <w:next w:val="1"/>
    <w:qFormat/>
    <w:uiPriority w:val="0"/>
    <w:pPr>
      <w:spacing w:before="0" w:beforeLines="0" w:line="240" w:lineRule="auto"/>
      <w:ind w:left="4320"/>
    </w:pPr>
    <w:rPr>
      <w:rFonts w:ascii="等线" w:hAnsi="等线" w:eastAsia="等线"/>
      <w:sz w:val="28"/>
      <w:szCs w:val="22"/>
    </w:rPr>
  </w:style>
  <w:style w:type="paragraph" w:customStyle="1" w:styleId="316">
    <w:name w:val="HTML 地址1"/>
    <w:basedOn w:val="1"/>
    <w:next w:val="43"/>
    <w:link w:val="1554"/>
    <w:qFormat/>
    <w:uiPriority w:val="0"/>
    <w:pPr>
      <w:adjustRightInd w:val="0"/>
      <w:spacing w:before="0" w:beforeLines="0" w:line="360" w:lineRule="auto"/>
      <w:textAlignment w:val="baseline"/>
    </w:pPr>
    <w:rPr>
      <w:i/>
      <w:iCs/>
      <w:kern w:val="0"/>
      <w:sz w:val="20"/>
      <w:szCs w:val="20"/>
    </w:rPr>
  </w:style>
  <w:style w:type="character" w:customStyle="1" w:styleId="317">
    <w:name w:val="签名 字符"/>
    <w:basedOn w:val="117"/>
    <w:qFormat/>
    <w:uiPriority w:val="99"/>
    <w:rPr>
      <w:kern w:val="2"/>
      <w:sz w:val="21"/>
      <w:szCs w:val="24"/>
    </w:rPr>
  </w:style>
  <w:style w:type="character" w:customStyle="1" w:styleId="318">
    <w:name w:val="副标题 字符"/>
    <w:basedOn w:val="117"/>
    <w:qFormat/>
    <w:uiPriority w:val="11"/>
    <w:rPr>
      <w:rFonts w:asciiTheme="minorHAnsi" w:hAnsiTheme="minorHAnsi" w:eastAsiaTheme="minorEastAsia" w:cstheme="minorBidi"/>
      <w:b/>
      <w:bCs/>
      <w:kern w:val="28"/>
      <w:sz w:val="32"/>
      <w:szCs w:val="32"/>
    </w:rPr>
  </w:style>
  <w:style w:type="character" w:customStyle="1" w:styleId="319">
    <w:name w:val="脚注文本 字符"/>
    <w:basedOn w:val="117"/>
    <w:qFormat/>
    <w:uiPriority w:val="0"/>
    <w:rPr>
      <w:kern w:val="2"/>
      <w:sz w:val="18"/>
      <w:szCs w:val="18"/>
    </w:rPr>
  </w:style>
  <w:style w:type="character" w:customStyle="1" w:styleId="320">
    <w:name w:val="HTML 预设格式 字符"/>
    <w:basedOn w:val="117"/>
    <w:qFormat/>
    <w:uiPriority w:val="99"/>
    <w:rPr>
      <w:rFonts w:ascii="Courier New" w:hAnsi="Courier New" w:cs="Courier New"/>
      <w:kern w:val="2"/>
    </w:rPr>
  </w:style>
  <w:style w:type="table" w:customStyle="1" w:styleId="321">
    <w:name w:val="简明型 11"/>
    <w:basedOn w:val="89"/>
    <w:qFormat/>
    <w:uiPriority w:val="0"/>
    <w:pPr>
      <w:widowControl w:val="0"/>
      <w:jc w:val="both"/>
    </w:pPr>
    <w:tblPr>
      <w:tblBorders>
        <w:top w:val="single" w:color="008000" w:sz="12" w:space="0"/>
        <w:bottom w:val="single" w:color="008000" w:sz="12" w:space="0"/>
      </w:tblBorders>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character" w:customStyle="1" w:styleId="322">
    <w:name w:val="标题 字符"/>
    <w:basedOn w:val="117"/>
    <w:qFormat/>
    <w:uiPriority w:val="0"/>
    <w:rPr>
      <w:rFonts w:ascii="等线 Light" w:hAnsi="等线 Light" w:eastAsia="等线 Light" w:cs="Times New Roman"/>
      <w:b/>
      <w:bCs/>
      <w:sz w:val="32"/>
      <w:szCs w:val="32"/>
    </w:rPr>
  </w:style>
  <w:style w:type="character" w:customStyle="1" w:styleId="323">
    <w:name w:val="标题 字符2"/>
    <w:link w:val="86"/>
    <w:qFormat/>
    <w:uiPriority w:val="0"/>
    <w:rPr>
      <w:rFonts w:ascii="Cambria" w:hAnsi="Cambria"/>
      <w:b/>
      <w:bCs/>
      <w:kern w:val="2"/>
      <w:sz w:val="32"/>
      <w:szCs w:val="32"/>
    </w:rPr>
  </w:style>
  <w:style w:type="paragraph" w:customStyle="1" w:styleId="324">
    <w:name w:val="前言标题"/>
    <w:basedOn w:val="86"/>
    <w:next w:val="1"/>
    <w:link w:val="327"/>
    <w:qFormat/>
    <w:uiPriority w:val="0"/>
    <w:pPr>
      <w:adjustRightInd w:val="0"/>
      <w:snapToGrid w:val="0"/>
      <w:spacing w:beforeLines="0" w:after="240" w:line="360" w:lineRule="auto"/>
    </w:pPr>
  </w:style>
  <w:style w:type="paragraph" w:customStyle="1" w:styleId="325">
    <w:name w:val="标题3"/>
    <w:basedOn w:val="5"/>
    <w:next w:val="1"/>
    <w:link w:val="331"/>
    <w:qFormat/>
    <w:uiPriority w:val="0"/>
    <w:pPr>
      <w:keepNext/>
      <w:adjustRightInd w:val="0"/>
      <w:snapToGrid w:val="0"/>
      <w:spacing w:line="416" w:lineRule="auto"/>
      <w:ind w:left="720"/>
    </w:pPr>
    <w:rPr>
      <w:color w:val="auto"/>
      <w:kern w:val="2"/>
      <w:szCs w:val="32"/>
    </w:rPr>
  </w:style>
  <w:style w:type="character" w:customStyle="1" w:styleId="326">
    <w:name w:val="标题 1 字符2"/>
    <w:qFormat/>
    <w:uiPriority w:val="0"/>
    <w:rPr>
      <w:rFonts w:ascii="Times New Roman" w:hAnsi="Times New Roman" w:eastAsia="宋体" w:cs="Times New Roman"/>
      <w:b/>
      <w:bCs/>
      <w:kern w:val="44"/>
      <w:sz w:val="32"/>
      <w:szCs w:val="32"/>
    </w:rPr>
  </w:style>
  <w:style w:type="character" w:customStyle="1" w:styleId="327">
    <w:name w:val="前言标题 Char"/>
    <w:link w:val="324"/>
    <w:qFormat/>
    <w:uiPriority w:val="0"/>
    <w:rPr>
      <w:rFonts w:ascii="Cambria" w:hAnsi="Cambria"/>
      <w:b/>
      <w:bCs/>
      <w:kern w:val="2"/>
      <w:sz w:val="32"/>
      <w:szCs w:val="32"/>
    </w:rPr>
  </w:style>
  <w:style w:type="character" w:customStyle="1" w:styleId="328">
    <w:name w:val="副标题 字符2"/>
    <w:link w:val="66"/>
    <w:qFormat/>
    <w:uiPriority w:val="11"/>
    <w:rPr>
      <w:rFonts w:ascii="Cambria" w:hAnsi="Cambria"/>
      <w:b/>
      <w:bCs/>
      <w:kern w:val="28"/>
      <w:sz w:val="32"/>
      <w:szCs w:val="32"/>
    </w:rPr>
  </w:style>
  <w:style w:type="paragraph" w:customStyle="1" w:styleId="329">
    <w:name w:val="标题4"/>
    <w:basedOn w:val="325"/>
    <w:next w:val="1"/>
    <w:link w:val="333"/>
    <w:qFormat/>
    <w:uiPriority w:val="0"/>
    <w:pPr>
      <w:numPr>
        <w:ilvl w:val="3"/>
        <w:numId w:val="2"/>
      </w:numPr>
      <w:spacing w:before="240" w:after="240"/>
    </w:pPr>
    <w:rPr>
      <w:sz w:val="24"/>
      <w:szCs w:val="24"/>
    </w:rPr>
  </w:style>
  <w:style w:type="character" w:customStyle="1" w:styleId="330">
    <w:name w:val="标题 2 字符2"/>
    <w:qFormat/>
    <w:uiPriority w:val="0"/>
    <w:rPr>
      <w:rFonts w:ascii="Times New Roman" w:hAnsi="Times New Roman" w:eastAsia="宋体" w:cs="Times New Roman"/>
      <w:b/>
      <w:bCs/>
      <w:kern w:val="44"/>
      <w:sz w:val="30"/>
      <w:szCs w:val="32"/>
    </w:rPr>
  </w:style>
  <w:style w:type="character" w:customStyle="1" w:styleId="331">
    <w:name w:val="标题3 Char"/>
    <w:link w:val="325"/>
    <w:qFormat/>
    <w:uiPriority w:val="0"/>
    <w:rPr>
      <w:b/>
      <w:bCs/>
      <w:kern w:val="2"/>
      <w:sz w:val="28"/>
      <w:szCs w:val="32"/>
    </w:rPr>
  </w:style>
  <w:style w:type="paragraph" w:customStyle="1" w:styleId="332">
    <w:name w:val="表头样式"/>
    <w:link w:val="334"/>
    <w:qFormat/>
    <w:uiPriority w:val="0"/>
    <w:pPr>
      <w:jc w:val="center"/>
    </w:pPr>
    <w:rPr>
      <w:rFonts w:ascii="Times New Roman" w:hAnsi="Times New Roman" w:eastAsia="宋体" w:cs="Times New Roman"/>
      <w:b/>
      <w:kern w:val="2"/>
      <w:sz w:val="24"/>
      <w:lang w:val="en-US" w:eastAsia="zh-CN" w:bidi="ar-SA"/>
    </w:rPr>
  </w:style>
  <w:style w:type="character" w:customStyle="1" w:styleId="333">
    <w:name w:val="标题4 Char"/>
    <w:link w:val="329"/>
    <w:qFormat/>
    <w:uiPriority w:val="0"/>
    <w:rPr>
      <w:b/>
      <w:bCs/>
      <w:kern w:val="2"/>
      <w:sz w:val="24"/>
      <w:szCs w:val="24"/>
    </w:rPr>
  </w:style>
  <w:style w:type="character" w:customStyle="1" w:styleId="334">
    <w:name w:val="表头样式 Char"/>
    <w:link w:val="332"/>
    <w:qFormat/>
    <w:uiPriority w:val="0"/>
    <w:rPr>
      <w:b/>
      <w:kern w:val="2"/>
      <w:sz w:val="24"/>
    </w:rPr>
  </w:style>
  <w:style w:type="character" w:customStyle="1" w:styleId="335">
    <w:name w:val="标题 3 字符2"/>
    <w:qFormat/>
    <w:uiPriority w:val="99"/>
    <w:rPr>
      <w:rFonts w:ascii="Times New Roman" w:hAnsi="Times New Roman" w:eastAsia="宋体" w:cs="Times New Roman"/>
      <w:b/>
      <w:bCs/>
      <w:sz w:val="32"/>
      <w:szCs w:val="32"/>
    </w:rPr>
  </w:style>
  <w:style w:type="character" w:customStyle="1" w:styleId="336">
    <w:name w:val="标题 4 字符2"/>
    <w:qFormat/>
    <w:uiPriority w:val="9"/>
    <w:rPr>
      <w:rFonts w:ascii="Cambria" w:hAnsi="Cambria" w:eastAsia="宋体" w:cs="Times New Roman"/>
      <w:b/>
      <w:bCs/>
      <w:sz w:val="28"/>
      <w:szCs w:val="28"/>
    </w:rPr>
  </w:style>
  <w:style w:type="character" w:customStyle="1" w:styleId="337">
    <w:name w:val="批注框文本 字符2"/>
    <w:qFormat/>
    <w:uiPriority w:val="99"/>
    <w:rPr>
      <w:rFonts w:ascii="Times New Roman" w:hAnsi="Times New Roman" w:eastAsia="宋体" w:cs="Times New Roman"/>
      <w:sz w:val="18"/>
      <w:szCs w:val="18"/>
    </w:rPr>
  </w:style>
  <w:style w:type="paragraph" w:customStyle="1" w:styleId="338">
    <w:name w:val="图例"/>
    <w:link w:val="340"/>
    <w:qFormat/>
    <w:uiPriority w:val="0"/>
    <w:pPr>
      <w:adjustRightInd w:val="0"/>
      <w:snapToGrid w:val="0"/>
    </w:pPr>
    <w:rPr>
      <w:rFonts w:ascii="Times New Roman" w:hAnsi="Times New Roman" w:eastAsia="宋体" w:cs="Times New Roman"/>
      <w:kern w:val="2"/>
      <w:sz w:val="21"/>
      <w:lang w:val="en-US" w:eastAsia="zh-CN" w:bidi="ar-SA"/>
    </w:rPr>
  </w:style>
  <w:style w:type="paragraph" w:customStyle="1" w:styleId="339">
    <w:name w:val="附件附图样式"/>
    <w:link w:val="341"/>
    <w:qFormat/>
    <w:uiPriority w:val="0"/>
    <w:rPr>
      <w:rFonts w:ascii="Times New Roman" w:hAnsi="Times New Roman" w:eastAsia="宋体" w:cs="Times New Roman"/>
      <w:b/>
      <w:kern w:val="2"/>
      <w:sz w:val="28"/>
      <w:lang w:val="en-US" w:eastAsia="zh-CN" w:bidi="ar-SA"/>
    </w:rPr>
  </w:style>
  <w:style w:type="character" w:customStyle="1" w:styleId="340">
    <w:name w:val="图例 Char"/>
    <w:link w:val="338"/>
    <w:qFormat/>
    <w:uiPriority w:val="0"/>
    <w:rPr>
      <w:kern w:val="2"/>
      <w:sz w:val="21"/>
    </w:rPr>
  </w:style>
  <w:style w:type="character" w:customStyle="1" w:styleId="341">
    <w:name w:val="附件附图样式 Char"/>
    <w:link w:val="339"/>
    <w:qFormat/>
    <w:uiPriority w:val="0"/>
    <w:rPr>
      <w:b/>
      <w:kern w:val="2"/>
      <w:sz w:val="28"/>
    </w:rPr>
  </w:style>
  <w:style w:type="character" w:customStyle="1" w:styleId="342">
    <w:name w:val="标题 5 字符2"/>
    <w:qFormat/>
    <w:uiPriority w:val="9"/>
    <w:rPr>
      <w:rFonts w:ascii="Times New Roman" w:hAnsi="Times New Roman" w:eastAsia="宋体" w:cs="Times New Roman"/>
      <w:b/>
      <w:bCs/>
      <w:sz w:val="28"/>
      <w:szCs w:val="28"/>
    </w:rPr>
  </w:style>
  <w:style w:type="character" w:customStyle="1" w:styleId="343">
    <w:name w:val="标题 6 字符2"/>
    <w:qFormat/>
    <w:uiPriority w:val="9"/>
    <w:rPr>
      <w:rFonts w:ascii="Cambria" w:hAnsi="Cambria" w:eastAsia="宋体" w:cs="Times New Roman"/>
      <w:b/>
      <w:bCs/>
      <w:sz w:val="24"/>
      <w:szCs w:val="24"/>
    </w:rPr>
  </w:style>
  <w:style w:type="character" w:customStyle="1" w:styleId="344">
    <w:name w:val="标题 7 字符2"/>
    <w:qFormat/>
    <w:uiPriority w:val="99"/>
    <w:rPr>
      <w:rFonts w:ascii="Times New Roman" w:hAnsi="Times New Roman" w:eastAsia="宋体" w:cs="Times New Roman"/>
      <w:b/>
      <w:bCs/>
      <w:sz w:val="24"/>
      <w:szCs w:val="24"/>
    </w:rPr>
  </w:style>
  <w:style w:type="character" w:customStyle="1" w:styleId="345">
    <w:name w:val="标题 8 字符2"/>
    <w:qFormat/>
    <w:uiPriority w:val="0"/>
    <w:rPr>
      <w:rFonts w:ascii="Cambria" w:hAnsi="Cambria" w:eastAsia="宋体" w:cs="Times New Roman"/>
      <w:sz w:val="24"/>
      <w:szCs w:val="24"/>
    </w:rPr>
  </w:style>
  <w:style w:type="character" w:customStyle="1" w:styleId="346">
    <w:name w:val="标题 9 字符2"/>
    <w:qFormat/>
    <w:uiPriority w:val="99"/>
    <w:rPr>
      <w:rFonts w:ascii="Cambria" w:hAnsi="Cambria" w:eastAsia="宋体" w:cs="Times New Roman"/>
      <w:szCs w:val="21"/>
    </w:rPr>
  </w:style>
  <w:style w:type="paragraph" w:customStyle="1" w:styleId="347">
    <w:name w:val="标题一样式"/>
    <w:basedOn w:val="3"/>
    <w:link w:val="349"/>
    <w:qFormat/>
    <w:uiPriority w:val="0"/>
    <w:pPr>
      <w:tabs>
        <w:tab w:val="clear" w:pos="360"/>
      </w:tabs>
      <w:adjustRightInd w:val="0"/>
      <w:snapToGrid w:val="0"/>
      <w:spacing w:before="240" w:beforeLines="100" w:after="240" w:afterLines="100" w:line="480" w:lineRule="auto"/>
      <w:ind w:left="432"/>
      <w:jc w:val="left"/>
    </w:pPr>
    <w:rPr>
      <w:color w:val="auto"/>
      <w:kern w:val="44"/>
      <w:sz w:val="32"/>
      <w:szCs w:val="32"/>
    </w:rPr>
  </w:style>
  <w:style w:type="table" w:customStyle="1" w:styleId="348">
    <w:name w:val="办公室表格样式"/>
    <w:basedOn w:val="89"/>
    <w:qFormat/>
    <w:uiPriority w:val="99"/>
    <w:pPr>
      <w:contextualSpacing/>
      <w:jc w:val="center"/>
    </w:pPr>
    <w:tblPr>
      <w:jc w:val="center"/>
      <w:tblBorders>
        <w:top w:val="single" w:color="auto" w:sz="12" w:space="0"/>
        <w:bottom w:val="single" w:color="auto" w:sz="12" w:space="0"/>
        <w:insideH w:val="single" w:color="auto" w:sz="6" w:space="0"/>
        <w:insideV w:val="single" w:color="auto" w:sz="6" w:space="0"/>
      </w:tblBorders>
    </w:tblPr>
    <w:trPr>
      <w:jc w:val="center"/>
    </w:trPr>
    <w:tcPr>
      <w:vAlign w:val="center"/>
    </w:tcPr>
  </w:style>
  <w:style w:type="character" w:customStyle="1" w:styleId="349">
    <w:name w:val="标题一样式 Char"/>
    <w:basedOn w:val="326"/>
    <w:link w:val="347"/>
    <w:qFormat/>
    <w:uiPriority w:val="0"/>
    <w:rPr>
      <w:rFonts w:ascii="Times New Roman" w:hAnsi="Times New Roman" w:eastAsia="宋体" w:cs="Times New Roman"/>
      <w:kern w:val="44"/>
      <w:sz w:val="32"/>
      <w:szCs w:val="32"/>
    </w:rPr>
  </w:style>
  <w:style w:type="character" w:customStyle="1" w:styleId="350">
    <w:name w:val="我的正文 Char Char"/>
    <w:link w:val="351"/>
    <w:qFormat/>
    <w:uiPriority w:val="0"/>
    <w:rPr>
      <w:rFonts w:ascii="Arial" w:hAnsi="Arial" w:eastAsia="楷体_GB2312" w:cs="宋体"/>
      <w:sz w:val="24"/>
    </w:rPr>
  </w:style>
  <w:style w:type="paragraph" w:customStyle="1" w:styleId="351">
    <w:name w:val="我的正文 Char"/>
    <w:basedOn w:val="1"/>
    <w:link w:val="350"/>
    <w:qFormat/>
    <w:uiPriority w:val="0"/>
    <w:pPr>
      <w:spacing w:before="0" w:beforeLines="0" w:line="360" w:lineRule="auto"/>
      <w:ind w:firstLine="480" w:firstLineChars="200"/>
    </w:pPr>
    <w:rPr>
      <w:rFonts w:ascii="Arial" w:hAnsi="Arial" w:eastAsia="楷体_GB2312" w:cs="宋体"/>
      <w:kern w:val="0"/>
      <w:sz w:val="24"/>
      <w:szCs w:val="20"/>
    </w:rPr>
  </w:style>
  <w:style w:type="paragraph" w:customStyle="1" w:styleId="352">
    <w:name w:val="CM38"/>
    <w:basedOn w:val="1"/>
    <w:next w:val="1"/>
    <w:qFormat/>
    <w:uiPriority w:val="0"/>
    <w:pPr>
      <w:autoSpaceDE w:val="0"/>
      <w:autoSpaceDN w:val="0"/>
      <w:adjustRightInd w:val="0"/>
      <w:spacing w:before="0" w:beforeLines="0" w:after="478" w:line="240" w:lineRule="auto"/>
      <w:jc w:val="left"/>
    </w:pPr>
    <w:rPr>
      <w:rFonts w:ascii="宋体"/>
      <w:kern w:val="0"/>
      <w:sz w:val="24"/>
    </w:rPr>
  </w:style>
  <w:style w:type="paragraph" w:customStyle="1" w:styleId="353">
    <w:name w:val="样式 (符号) 宋体 行距: 多倍行距 1.3 字行1"/>
    <w:basedOn w:val="1"/>
    <w:qFormat/>
    <w:uiPriority w:val="0"/>
    <w:pPr>
      <w:spacing w:before="156" w:beforeLines="50" w:line="360" w:lineRule="auto"/>
      <w:ind w:firstLine="200" w:firstLineChars="200"/>
    </w:pPr>
    <w:rPr>
      <w:rFonts w:hAnsi="宋体" w:cs="宋体"/>
      <w:sz w:val="24"/>
      <w:szCs w:val="20"/>
    </w:rPr>
  </w:style>
  <w:style w:type="paragraph" w:customStyle="1" w:styleId="354">
    <w:name w:val="正文1"/>
    <w:link w:val="425"/>
    <w:qFormat/>
    <w:uiPriority w:val="0"/>
    <w:pPr>
      <w:spacing w:line="360" w:lineRule="auto"/>
      <w:ind w:firstLine="480" w:firstLineChars="200"/>
    </w:pPr>
    <w:rPr>
      <w:rFonts w:ascii="Times New Roman" w:hAnsi="Times New Roman" w:eastAsia="宋体" w:cs="宋体"/>
      <w:sz w:val="24"/>
      <w:lang w:val="en-US" w:eastAsia="zh-CN" w:bidi="ar-SA"/>
    </w:rPr>
  </w:style>
  <w:style w:type="paragraph" w:customStyle="1" w:styleId="355">
    <w:name w:val="五号表格"/>
    <w:basedOn w:val="1"/>
    <w:qFormat/>
    <w:uiPriority w:val="0"/>
    <w:pPr>
      <w:spacing w:before="0" w:beforeLines="0" w:line="240" w:lineRule="atLeast"/>
      <w:jc w:val="center"/>
    </w:pPr>
  </w:style>
  <w:style w:type="character" w:customStyle="1" w:styleId="356">
    <w:name w:val="纯文本 字符2"/>
    <w:qFormat/>
    <w:uiPriority w:val="0"/>
    <w:rPr>
      <w:rFonts w:ascii="宋体" w:hAnsi="Courier New" w:eastAsia="宋体" w:cs="Courier New"/>
      <w:szCs w:val="21"/>
    </w:rPr>
  </w:style>
  <w:style w:type="paragraph" w:customStyle="1" w:styleId="357">
    <w:name w:val="默认段落字体 Para Char"/>
    <w:basedOn w:val="1"/>
    <w:qFormat/>
    <w:uiPriority w:val="0"/>
    <w:pPr>
      <w:spacing w:before="0" w:beforeLines="0" w:line="360" w:lineRule="auto"/>
      <w:ind w:firstLine="200" w:firstLineChars="200"/>
    </w:pPr>
    <w:rPr>
      <w:rFonts w:ascii="宋体" w:hAnsi="宋体" w:cs="宋体"/>
      <w:sz w:val="24"/>
    </w:rPr>
  </w:style>
  <w:style w:type="paragraph" w:customStyle="1" w:styleId="358">
    <w:name w:val="样式 正文缩进报告书正文 +"/>
    <w:basedOn w:val="6"/>
    <w:qFormat/>
    <w:uiPriority w:val="0"/>
    <w:pPr>
      <w:numPr>
        <w:ilvl w:val="0"/>
        <w:numId w:val="3"/>
      </w:numPr>
      <w:spacing w:line="240" w:lineRule="auto"/>
      <w:ind w:left="0" w:firstLine="200" w:firstLineChars="0"/>
      <w:jc w:val="center"/>
    </w:pPr>
    <w:rPr>
      <w:rFonts w:ascii="Times New Roman" w:hAnsi="Times New Roman"/>
      <w:b/>
      <w:color w:val="000000"/>
      <w:kern w:val="0"/>
    </w:rPr>
  </w:style>
  <w:style w:type="paragraph" w:customStyle="1" w:styleId="359">
    <w:name w:val="正文终"/>
    <w:basedOn w:val="1"/>
    <w:qFormat/>
    <w:uiPriority w:val="0"/>
    <w:pPr>
      <w:spacing w:before="0" w:beforeLines="0" w:line="360" w:lineRule="auto"/>
      <w:ind w:firstLine="200" w:firstLineChars="200"/>
    </w:pPr>
    <w:rPr>
      <w:rFonts w:cs="宋体"/>
      <w:sz w:val="24"/>
    </w:rPr>
  </w:style>
  <w:style w:type="character" w:customStyle="1" w:styleId="360">
    <w:name w:val="页脚 Char"/>
    <w:qFormat/>
    <w:uiPriority w:val="99"/>
    <w:rPr>
      <w:kern w:val="2"/>
      <w:sz w:val="18"/>
    </w:rPr>
  </w:style>
  <w:style w:type="character" w:customStyle="1" w:styleId="361">
    <w:name w:val="文档结构图 字符2"/>
    <w:qFormat/>
    <w:uiPriority w:val="0"/>
    <w:rPr>
      <w:rFonts w:ascii="Times New Roman" w:hAnsi="Times New Roman" w:eastAsia="宋体" w:cs="Times New Roman"/>
      <w:sz w:val="24"/>
      <w:szCs w:val="20"/>
      <w:shd w:val="clear" w:color="auto" w:fill="000080"/>
    </w:rPr>
  </w:style>
  <w:style w:type="paragraph" w:customStyle="1" w:styleId="362">
    <w:name w:val="样式 首行缩进:  2 字符"/>
    <w:basedOn w:val="1"/>
    <w:link w:val="1189"/>
    <w:qFormat/>
    <w:uiPriority w:val="0"/>
    <w:pPr>
      <w:spacing w:before="0" w:beforeLines="0" w:line="240" w:lineRule="auto"/>
      <w:ind w:firstLine="200" w:firstLineChars="200"/>
    </w:pPr>
    <w:rPr>
      <w:b/>
      <w:sz w:val="32"/>
      <w:szCs w:val="20"/>
    </w:rPr>
  </w:style>
  <w:style w:type="paragraph" w:customStyle="1" w:styleId="363">
    <w:name w:val="样式 四号 首行缩进:  2 字符"/>
    <w:basedOn w:val="1"/>
    <w:link w:val="364"/>
    <w:qFormat/>
    <w:uiPriority w:val="0"/>
    <w:pPr>
      <w:adjustRightInd w:val="0"/>
      <w:snapToGrid w:val="0"/>
      <w:spacing w:before="0" w:beforeLines="0" w:line="360" w:lineRule="auto"/>
      <w:ind w:firstLine="496" w:firstLineChars="200"/>
    </w:pPr>
    <w:rPr>
      <w:spacing w:val="4"/>
      <w:kern w:val="0"/>
      <w:sz w:val="24"/>
    </w:rPr>
  </w:style>
  <w:style w:type="character" w:customStyle="1" w:styleId="364">
    <w:name w:val="样式 四号 首行缩进:  2 字符 Char"/>
    <w:link w:val="363"/>
    <w:qFormat/>
    <w:uiPriority w:val="0"/>
    <w:rPr>
      <w:spacing w:val="4"/>
      <w:sz w:val="24"/>
      <w:szCs w:val="24"/>
    </w:rPr>
  </w:style>
  <w:style w:type="paragraph" w:customStyle="1" w:styleId="365">
    <w:name w:val="正文文档"/>
    <w:basedOn w:val="1"/>
    <w:link w:val="366"/>
    <w:qFormat/>
    <w:uiPriority w:val="0"/>
    <w:pPr>
      <w:spacing w:before="0" w:beforeLines="0" w:line="360" w:lineRule="auto"/>
      <w:ind w:firstLine="480" w:firstLineChars="200"/>
    </w:pPr>
    <w:rPr>
      <w:rFonts w:cs="宋体"/>
      <w:sz w:val="24"/>
      <w:szCs w:val="20"/>
    </w:rPr>
  </w:style>
  <w:style w:type="character" w:customStyle="1" w:styleId="366">
    <w:name w:val="正文文档 Char"/>
    <w:link w:val="365"/>
    <w:qFormat/>
    <w:uiPriority w:val="0"/>
    <w:rPr>
      <w:rFonts w:cs="宋体"/>
      <w:kern w:val="2"/>
      <w:sz w:val="24"/>
    </w:rPr>
  </w:style>
  <w:style w:type="paragraph" w:customStyle="1" w:styleId="367">
    <w:name w:val="正文加粗"/>
    <w:basedOn w:val="365"/>
    <w:link w:val="368"/>
    <w:qFormat/>
    <w:uiPriority w:val="0"/>
    <w:pPr>
      <w:ind w:firstLine="482"/>
    </w:pPr>
    <w:rPr>
      <w:rFonts w:ascii="宋体" w:hAnsi="宋体"/>
      <w:b/>
      <w:bCs/>
    </w:rPr>
  </w:style>
  <w:style w:type="character" w:customStyle="1" w:styleId="368">
    <w:name w:val="正文加粗 Char"/>
    <w:link w:val="367"/>
    <w:qFormat/>
    <w:uiPriority w:val="0"/>
    <w:rPr>
      <w:rFonts w:ascii="宋体" w:hAnsi="宋体" w:cs="宋体"/>
      <w:b/>
      <w:bCs/>
      <w:kern w:val="2"/>
      <w:sz w:val="24"/>
    </w:rPr>
  </w:style>
  <w:style w:type="paragraph" w:customStyle="1" w:styleId="369">
    <w:name w:val="Char11"/>
    <w:basedOn w:val="1"/>
    <w:qFormat/>
    <w:uiPriority w:val="0"/>
    <w:pPr>
      <w:adjustRightInd w:val="0"/>
      <w:snapToGrid w:val="0"/>
      <w:spacing w:before="0" w:beforeLines="0" w:line="360" w:lineRule="auto"/>
      <w:ind w:firstLine="200" w:firstLineChars="200"/>
    </w:pPr>
    <w:rPr>
      <w:rFonts w:ascii="仿宋_GB2312" w:eastAsia="仿宋_GB2312"/>
      <w:b/>
      <w:sz w:val="32"/>
      <w:szCs w:val="32"/>
    </w:rPr>
  </w:style>
  <w:style w:type="character" w:customStyle="1" w:styleId="370">
    <w:name w:val="正文文本 字符2"/>
    <w:qFormat/>
    <w:uiPriority w:val="0"/>
    <w:rPr>
      <w:rFonts w:ascii="Times New Roman" w:hAnsi="Times New Roman" w:eastAsia="宋体" w:cs="Times New Roman"/>
      <w:spacing w:val="4"/>
      <w:sz w:val="24"/>
      <w:szCs w:val="24"/>
    </w:rPr>
  </w:style>
  <w:style w:type="character" w:customStyle="1" w:styleId="371">
    <w:name w:val="sendername2"/>
    <w:qFormat/>
    <w:uiPriority w:val="0"/>
    <w:rPr>
      <w:rFonts w:hint="default" w:ascii="Verdana" w:hAnsi="Verdana"/>
      <w:color w:val="0066CC"/>
      <w:sz w:val="18"/>
      <w:szCs w:val="18"/>
    </w:rPr>
  </w:style>
  <w:style w:type="paragraph" w:customStyle="1" w:styleId="372">
    <w:name w:val="样式 行距: 多倍行距 1.3 字行"/>
    <w:basedOn w:val="1"/>
    <w:qFormat/>
    <w:uiPriority w:val="0"/>
    <w:pPr>
      <w:spacing w:before="0" w:beforeLines="0" w:line="360" w:lineRule="auto"/>
      <w:ind w:firstLine="200" w:firstLineChars="200"/>
    </w:pPr>
    <w:rPr>
      <w:rFonts w:cs="宋体"/>
      <w:sz w:val="24"/>
      <w:szCs w:val="20"/>
    </w:rPr>
  </w:style>
  <w:style w:type="paragraph" w:customStyle="1" w:styleId="373">
    <w:name w:val="样式 行距: 多倍行距 1.3 字行1"/>
    <w:basedOn w:val="1"/>
    <w:qFormat/>
    <w:uiPriority w:val="0"/>
    <w:pPr>
      <w:spacing w:before="0" w:beforeLines="50" w:line="360" w:lineRule="auto"/>
      <w:ind w:firstLine="200" w:firstLineChars="200"/>
    </w:pPr>
    <w:rPr>
      <w:rFonts w:cs="宋体"/>
      <w:sz w:val="24"/>
      <w:szCs w:val="20"/>
    </w:rPr>
  </w:style>
  <w:style w:type="paragraph" w:customStyle="1" w:styleId="374">
    <w:name w:val="样式 宋体 加粗 段前: 4.65 磅 行距: 多倍行距 1.3 字行"/>
    <w:basedOn w:val="1"/>
    <w:qFormat/>
    <w:uiPriority w:val="0"/>
    <w:pPr>
      <w:spacing w:before="0" w:beforeLines="50" w:line="360" w:lineRule="auto"/>
      <w:ind w:firstLine="200" w:firstLineChars="200"/>
    </w:pPr>
    <w:rPr>
      <w:rFonts w:ascii="宋体" w:hAnsi="宋体" w:cs="宋体"/>
      <w:b/>
      <w:bCs/>
      <w:sz w:val="24"/>
      <w:szCs w:val="20"/>
    </w:rPr>
  </w:style>
  <w:style w:type="character" w:customStyle="1" w:styleId="375">
    <w:name w:val="无节 Char"/>
    <w:qFormat/>
    <w:uiPriority w:val="0"/>
    <w:rPr>
      <w:rFonts w:ascii="Arial" w:hAnsi="Arial" w:eastAsia="黑体"/>
      <w:b/>
      <w:bCs/>
      <w:kern w:val="2"/>
      <w:sz w:val="24"/>
      <w:szCs w:val="24"/>
    </w:rPr>
  </w:style>
  <w:style w:type="paragraph" w:customStyle="1" w:styleId="376">
    <w:name w:val="样式 首行缩进:  2 字符 段前: 0.5 行"/>
    <w:basedOn w:val="1"/>
    <w:qFormat/>
    <w:uiPriority w:val="0"/>
    <w:pPr>
      <w:snapToGrid w:val="0"/>
      <w:spacing w:before="0" w:beforeLines="50" w:line="360" w:lineRule="auto"/>
      <w:ind w:firstLine="200" w:firstLineChars="200"/>
    </w:pPr>
    <w:rPr>
      <w:rFonts w:cs="宋体"/>
      <w:sz w:val="24"/>
      <w:szCs w:val="20"/>
    </w:rPr>
  </w:style>
  <w:style w:type="paragraph" w:customStyle="1" w:styleId="377">
    <w:name w:val="样式 样式 样式 首行缩进:  2 字符 + 首行缩进:  2 字符2 + 首行缩进:  2 字符"/>
    <w:basedOn w:val="1"/>
    <w:qFormat/>
    <w:uiPriority w:val="0"/>
    <w:pPr>
      <w:adjustRightInd w:val="0"/>
      <w:snapToGrid w:val="0"/>
      <w:spacing w:before="0" w:beforeLines="0" w:line="360" w:lineRule="auto"/>
      <w:ind w:firstLine="520" w:firstLineChars="200"/>
    </w:pPr>
    <w:rPr>
      <w:rFonts w:cs="宋体"/>
      <w:spacing w:val="10"/>
      <w:kern w:val="0"/>
      <w:sz w:val="24"/>
      <w:szCs w:val="20"/>
    </w:rPr>
  </w:style>
  <w:style w:type="paragraph" w:customStyle="1" w:styleId="378">
    <w:name w:val="样式 宋体 行距: 多倍行距 1.3 字行"/>
    <w:basedOn w:val="1"/>
    <w:qFormat/>
    <w:uiPriority w:val="0"/>
    <w:pPr>
      <w:spacing w:before="0" w:beforeLines="50" w:line="360" w:lineRule="auto"/>
      <w:ind w:firstLine="200" w:firstLineChars="200"/>
    </w:pPr>
    <w:rPr>
      <w:rFonts w:ascii="宋体" w:hAnsi="宋体" w:cs="宋体"/>
      <w:sz w:val="24"/>
      <w:szCs w:val="20"/>
    </w:rPr>
  </w:style>
  <w:style w:type="character" w:customStyle="1" w:styleId="379">
    <w:name w:val="报告正文 Char"/>
    <w:link w:val="222"/>
    <w:qFormat/>
    <w:uiPriority w:val="0"/>
    <w:rPr>
      <w:rFonts w:eastAsia="Times New Roman"/>
      <w:bCs/>
      <w:kern w:val="44"/>
      <w:sz w:val="24"/>
      <w:szCs w:val="44"/>
    </w:rPr>
  </w:style>
  <w:style w:type="character" w:customStyle="1" w:styleId="380">
    <w:name w:val="正文文本缩进 2 字符2"/>
    <w:qFormat/>
    <w:uiPriority w:val="99"/>
    <w:rPr>
      <w:rFonts w:ascii="Times New Roman" w:hAnsi="Times New Roman" w:eastAsia="宋体" w:cs="Times New Roman"/>
      <w:sz w:val="24"/>
      <w:szCs w:val="20"/>
    </w:rPr>
  </w:style>
  <w:style w:type="paragraph" w:customStyle="1" w:styleId="381">
    <w:name w:val="加粗报告正文"/>
    <w:basedOn w:val="1"/>
    <w:qFormat/>
    <w:uiPriority w:val="0"/>
    <w:pPr>
      <w:adjustRightInd w:val="0"/>
      <w:snapToGrid w:val="0"/>
      <w:spacing w:before="0" w:beforeLines="0" w:line="480" w:lineRule="exact"/>
      <w:ind w:firstLine="200" w:firstLineChars="200"/>
    </w:pPr>
    <w:rPr>
      <w:b/>
      <w:sz w:val="24"/>
    </w:rPr>
  </w:style>
  <w:style w:type="character" w:customStyle="1" w:styleId="382">
    <w:name w:val="word"/>
    <w:qFormat/>
    <w:uiPriority w:val="0"/>
  </w:style>
  <w:style w:type="character" w:customStyle="1" w:styleId="383">
    <w:name w:val="news_c_da1"/>
    <w:qFormat/>
    <w:uiPriority w:val="0"/>
    <w:rPr>
      <w:rFonts w:hint="default" w:ascii="ˎ̥" w:hAnsi="ˎ̥"/>
      <w:b/>
      <w:bCs/>
      <w:color w:val="000000"/>
      <w:sz w:val="24"/>
      <w:szCs w:val="24"/>
    </w:rPr>
  </w:style>
  <w:style w:type="paragraph" w:customStyle="1" w:styleId="384">
    <w:name w:val="xl24"/>
    <w:basedOn w:val="1"/>
    <w:qFormat/>
    <w:uiPriority w:val="0"/>
    <w:pPr>
      <w:widowControl/>
      <w:spacing w:before="100" w:beforeLines="0" w:beforeAutospacing="1" w:after="100" w:afterAutospacing="1" w:line="240" w:lineRule="auto"/>
      <w:jc w:val="left"/>
    </w:pPr>
    <w:rPr>
      <w:rFonts w:eastAsia="Arial Unicode MS"/>
      <w:kern w:val="0"/>
      <w:sz w:val="24"/>
    </w:rPr>
  </w:style>
  <w:style w:type="paragraph" w:customStyle="1" w:styleId="385">
    <w:name w:val="样式 样式 段后: 0.5 行1 + 左侧:  2 字符 段后: 0.5 行"/>
    <w:basedOn w:val="1"/>
    <w:qFormat/>
    <w:uiPriority w:val="0"/>
    <w:pPr>
      <w:adjustRightInd w:val="0"/>
      <w:snapToGrid w:val="0"/>
      <w:spacing w:before="0" w:beforeLines="0" w:afterLines="50" w:line="300" w:lineRule="auto"/>
      <w:ind w:firstLine="200" w:firstLineChars="200"/>
    </w:pPr>
    <w:rPr>
      <w:rFonts w:cs="宋体"/>
      <w:sz w:val="28"/>
      <w:szCs w:val="20"/>
    </w:rPr>
  </w:style>
  <w:style w:type="table" w:customStyle="1" w:styleId="386">
    <w:name w:val="网格型2"/>
    <w:basedOn w:val="89"/>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87">
    <w:name w:val="样式 五号 居中 右侧:  -0.11 厘米"/>
    <w:basedOn w:val="1"/>
    <w:qFormat/>
    <w:uiPriority w:val="0"/>
    <w:pPr>
      <w:spacing w:before="0" w:beforeLines="0" w:line="240" w:lineRule="auto"/>
      <w:ind w:right="-64"/>
      <w:jc w:val="center"/>
    </w:pPr>
    <w:rPr>
      <w:rFonts w:cs="宋体"/>
      <w:szCs w:val="20"/>
    </w:rPr>
  </w:style>
  <w:style w:type="character" w:customStyle="1" w:styleId="388">
    <w:name w:val="批注文字 字符2"/>
    <w:qFormat/>
    <w:uiPriority w:val="99"/>
    <w:rPr>
      <w:rFonts w:ascii="Times New Roman" w:hAnsi="Times New Roman" w:eastAsia="宋体" w:cs="Times New Roman"/>
      <w:sz w:val="24"/>
      <w:szCs w:val="20"/>
    </w:rPr>
  </w:style>
  <w:style w:type="character" w:customStyle="1" w:styleId="389">
    <w:name w:val="批注主题 字符2"/>
    <w:qFormat/>
    <w:uiPriority w:val="0"/>
    <w:rPr>
      <w:rFonts w:ascii="Times New Roman" w:hAnsi="Times New Roman" w:eastAsia="宋体" w:cs="Times New Roman"/>
      <w:b/>
      <w:bCs/>
      <w:sz w:val="24"/>
      <w:szCs w:val="20"/>
    </w:rPr>
  </w:style>
  <w:style w:type="paragraph" w:customStyle="1" w:styleId="390">
    <w:name w:val="pic-info"/>
    <w:basedOn w:val="1"/>
    <w:qFormat/>
    <w:uiPriority w:val="0"/>
    <w:pPr>
      <w:widowControl/>
      <w:spacing w:before="100" w:beforeLines="0" w:beforeAutospacing="1" w:after="100" w:afterAutospacing="1" w:line="240" w:lineRule="auto"/>
      <w:jc w:val="left"/>
    </w:pPr>
    <w:rPr>
      <w:rFonts w:ascii="宋体" w:hAnsi="宋体" w:cs="宋体"/>
      <w:kern w:val="0"/>
      <w:sz w:val="24"/>
    </w:rPr>
  </w:style>
  <w:style w:type="paragraph" w:customStyle="1" w:styleId="391">
    <w:name w:val="标准"/>
    <w:basedOn w:val="1"/>
    <w:qFormat/>
    <w:uiPriority w:val="99"/>
    <w:pPr>
      <w:keepNext/>
      <w:adjustRightInd w:val="0"/>
      <w:snapToGrid w:val="0"/>
      <w:spacing w:before="0" w:beforeLines="0" w:line="312" w:lineRule="atLeast"/>
      <w:ind w:firstLine="590" w:firstLineChars="200"/>
      <w:textAlignment w:val="baseline"/>
    </w:pPr>
    <w:rPr>
      <w:snapToGrid w:val="0"/>
      <w:spacing w:val="10"/>
      <w:kern w:val="0"/>
      <w:sz w:val="24"/>
      <w:szCs w:val="20"/>
    </w:rPr>
  </w:style>
  <w:style w:type="paragraph" w:customStyle="1" w:styleId="392">
    <w:name w:val="样式 正文（首行缩进两字） + 行距: 1.5 倍行距"/>
    <w:basedOn w:val="6"/>
    <w:qFormat/>
    <w:uiPriority w:val="0"/>
    <w:pPr>
      <w:adjustRightInd w:val="0"/>
      <w:snapToGrid w:val="0"/>
      <w:ind w:firstLine="510" w:firstLineChars="0"/>
    </w:pPr>
    <w:rPr>
      <w:rFonts w:ascii="Times New Roman" w:hAnsi="Times New Roman" w:cs="宋体"/>
      <w:spacing w:val="4"/>
      <w:kern w:val="0"/>
      <w:sz w:val="28"/>
      <w:szCs w:val="20"/>
    </w:rPr>
  </w:style>
  <w:style w:type="character" w:customStyle="1" w:styleId="393">
    <w:name w:val="脚注文本 字符2"/>
    <w:link w:val="69"/>
    <w:qFormat/>
    <w:uiPriority w:val="0"/>
    <w:rPr>
      <w:kern w:val="2"/>
      <w:sz w:val="18"/>
      <w:szCs w:val="18"/>
    </w:rPr>
  </w:style>
  <w:style w:type="paragraph" w:customStyle="1" w:styleId="394">
    <w:name w:val="样式 (中文) 仿宋_GB2312 四号 首行缩进:  0.98 厘米 行距: 固定值 22 磅"/>
    <w:basedOn w:val="1"/>
    <w:qFormat/>
    <w:uiPriority w:val="0"/>
    <w:pPr>
      <w:spacing w:before="0" w:beforeLines="0" w:line="300" w:lineRule="auto"/>
      <w:ind w:firstLine="556"/>
    </w:pPr>
    <w:rPr>
      <w:rFonts w:eastAsia="仿宋_GB2312" w:cs="宋体"/>
      <w:spacing w:val="-2"/>
      <w:sz w:val="28"/>
      <w:szCs w:val="20"/>
    </w:rPr>
  </w:style>
  <w:style w:type="paragraph" w:customStyle="1" w:styleId="395">
    <w:name w:val="正文五号无缩进表格内容字"/>
    <w:basedOn w:val="1"/>
    <w:qFormat/>
    <w:uiPriority w:val="0"/>
    <w:pPr>
      <w:adjustRightInd w:val="0"/>
      <w:snapToGrid w:val="0"/>
      <w:spacing w:before="0" w:beforeLines="0" w:line="360" w:lineRule="auto"/>
    </w:pPr>
    <w:rPr>
      <w:kern w:val="0"/>
    </w:rPr>
  </w:style>
  <w:style w:type="table" w:customStyle="1" w:styleId="396">
    <w:name w:val="自选表格1"/>
    <w:basedOn w:val="89"/>
    <w:qFormat/>
    <w:uiPriority w:val="99"/>
    <w:pPr>
      <w:adjustRightInd w:val="0"/>
      <w:snapToGrid w:val="0"/>
      <w:spacing w:line="360" w:lineRule="auto"/>
      <w:jc w:val="both"/>
    </w:p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
    <w:tcPr>
      <w:vAlign w:val="center"/>
    </w:tcPr>
    <w:tblStylePr w:type="firstRow">
      <w:rPr>
        <w:rFonts w:hint="default" w:ascii="Times New Roman" w:hAnsi="Times New Roman" w:eastAsia="宋体" w:cs="Times New Roman"/>
        <w:sz w:val="21"/>
        <w:szCs w:val="21"/>
      </w:rPr>
      <w:tcPr>
        <w:tcBorders>
          <w:top w:val="single" w:color="auto" w:sz="12" w:space="0"/>
        </w:tcBorders>
      </w:tcPr>
    </w:tblStylePr>
    <w:tblStylePr w:type="lastRow">
      <w:rPr>
        <w:rFonts w:hint="default" w:ascii="Times New Roman" w:hAnsi="Times New Roman" w:eastAsia="宋体" w:cs="Times New Roman"/>
        <w:caps w:val="0"/>
        <w:smallCaps w:val="0"/>
        <w:strike w:val="0"/>
        <w:dstrike w:val="0"/>
        <w:vanish w:val="0"/>
        <w:sz w:val="21"/>
        <w:szCs w:val="21"/>
        <w:u w:val="none"/>
      </w:rPr>
      <w:tcPr>
        <w:tcBorders>
          <w:bottom w:val="single" w:color="000000" w:sz="12" w:space="0"/>
        </w:tcBorders>
        <w:vAlign w:val="bottom"/>
      </w:tcPr>
    </w:tblStylePr>
    <w:tblStylePr w:type="firstCol">
      <w:tcPr>
        <w:tcBorders>
          <w:left w:val="single" w:color="auto" w:sz="12" w:space="0"/>
        </w:tcBorders>
      </w:tcPr>
    </w:tblStylePr>
    <w:tblStylePr w:type="lastCol">
      <w:tcPr>
        <w:tcBorders>
          <w:bottom w:val="single" w:color="auto" w:sz="12" w:space="0"/>
          <w:right w:val="single" w:color="auto" w:sz="12" w:space="0"/>
        </w:tcBorders>
      </w:tcPr>
    </w:tblStylePr>
  </w:style>
  <w:style w:type="paragraph" w:customStyle="1" w:styleId="397">
    <w:name w:val="样式4"/>
    <w:basedOn w:val="1"/>
    <w:qFormat/>
    <w:uiPriority w:val="0"/>
    <w:pPr>
      <w:spacing w:before="0" w:beforeLines="0" w:line="240" w:lineRule="auto"/>
    </w:pPr>
  </w:style>
  <w:style w:type="paragraph" w:customStyle="1" w:styleId="398">
    <w:name w:val="表格内容格式"/>
    <w:basedOn w:val="1"/>
    <w:qFormat/>
    <w:uiPriority w:val="0"/>
    <w:pPr>
      <w:adjustRightInd w:val="0"/>
      <w:spacing w:before="0" w:beforeLines="0" w:line="240" w:lineRule="atLeast"/>
      <w:textAlignment w:val="baseline"/>
    </w:pPr>
    <w:rPr>
      <w:rFonts w:ascii="宋体" w:hAnsi="宋体"/>
      <w:snapToGrid w:val="0"/>
      <w:color w:val="000000"/>
      <w:kern w:val="0"/>
      <w:szCs w:val="20"/>
    </w:rPr>
  </w:style>
  <w:style w:type="paragraph" w:customStyle="1" w:styleId="399">
    <w:name w:val="表内"/>
    <w:basedOn w:val="1"/>
    <w:link w:val="400"/>
    <w:qFormat/>
    <w:uiPriority w:val="0"/>
    <w:pPr>
      <w:spacing w:before="0" w:beforeLines="0" w:line="240" w:lineRule="auto"/>
      <w:jc w:val="center"/>
    </w:pPr>
    <w:rPr>
      <w:rFonts w:eastAsia="仿宋_GB2312"/>
    </w:rPr>
  </w:style>
  <w:style w:type="character" w:customStyle="1" w:styleId="400">
    <w:name w:val="表内 Char"/>
    <w:link w:val="399"/>
    <w:qFormat/>
    <w:uiPriority w:val="0"/>
    <w:rPr>
      <w:rFonts w:eastAsia="仿宋_GB2312"/>
      <w:kern w:val="2"/>
      <w:sz w:val="21"/>
      <w:szCs w:val="24"/>
    </w:rPr>
  </w:style>
  <w:style w:type="paragraph" w:customStyle="1" w:styleId="401">
    <w:name w:val="表内表"/>
    <w:basedOn w:val="1"/>
    <w:qFormat/>
    <w:uiPriority w:val="0"/>
    <w:pPr>
      <w:spacing w:before="0" w:beforeLines="0" w:line="240" w:lineRule="auto"/>
      <w:jc w:val="center"/>
    </w:pPr>
    <w:rPr>
      <w:rFonts w:eastAsia="仿宋_GB2312" w:cs="宋体"/>
      <w:kern w:val="0"/>
      <w:szCs w:val="20"/>
    </w:rPr>
  </w:style>
  <w:style w:type="paragraph" w:customStyle="1" w:styleId="402">
    <w:name w:val="Char Char Char Char Char Char Char"/>
    <w:basedOn w:val="1"/>
    <w:qFormat/>
    <w:uiPriority w:val="0"/>
    <w:pPr>
      <w:spacing w:before="0" w:beforeLines="0" w:line="360" w:lineRule="auto"/>
      <w:ind w:firstLine="200" w:firstLineChars="200"/>
    </w:pPr>
    <w:rPr>
      <w:rFonts w:ascii="宋体" w:hAnsi="宋体" w:cs="宋体"/>
      <w:sz w:val="24"/>
    </w:rPr>
  </w:style>
  <w:style w:type="paragraph" w:customStyle="1" w:styleId="403">
    <w:name w:val="样式3"/>
    <w:basedOn w:val="194"/>
    <w:link w:val="2600"/>
    <w:qFormat/>
    <w:uiPriority w:val="0"/>
    <w:pPr>
      <w:jc w:val="left"/>
    </w:pPr>
    <w:rPr>
      <w:rFonts w:eastAsia="宋体"/>
      <w:b w:val="0"/>
      <w:bCs w:val="0"/>
      <w:sz w:val="18"/>
      <w:szCs w:val="18"/>
    </w:rPr>
  </w:style>
  <w:style w:type="paragraph" w:customStyle="1" w:styleId="404">
    <w:name w:val="默认段落字体 Para Char Char Char Char"/>
    <w:basedOn w:val="1"/>
    <w:qFormat/>
    <w:uiPriority w:val="0"/>
    <w:pPr>
      <w:spacing w:before="0" w:beforeLines="0" w:line="240" w:lineRule="auto"/>
    </w:pPr>
  </w:style>
  <w:style w:type="character" w:customStyle="1" w:styleId="405">
    <w:name w:val="标题 3 Char3"/>
    <w:qFormat/>
    <w:uiPriority w:val="0"/>
    <w:rPr>
      <w:rFonts w:eastAsia="宋体"/>
      <w:b/>
      <w:bCs/>
      <w:kern w:val="2"/>
      <w:sz w:val="32"/>
      <w:szCs w:val="32"/>
      <w:lang w:val="en-US" w:eastAsia="zh-CN" w:bidi="ar-SA"/>
    </w:rPr>
  </w:style>
  <w:style w:type="paragraph" w:customStyle="1" w:styleId="406">
    <w:name w:val="表名称1"/>
    <w:basedOn w:val="1"/>
    <w:qFormat/>
    <w:uiPriority w:val="0"/>
    <w:pPr>
      <w:widowControl/>
      <w:autoSpaceDE w:val="0"/>
      <w:autoSpaceDN w:val="0"/>
      <w:spacing w:before="0" w:beforeLines="0" w:line="240" w:lineRule="auto"/>
      <w:ind w:left="5250" w:right="45"/>
      <w:jc w:val="right"/>
    </w:pPr>
    <w:rPr>
      <w:rFonts w:ascii="宋体"/>
      <w:kern w:val="0"/>
      <w:sz w:val="24"/>
    </w:rPr>
  </w:style>
  <w:style w:type="paragraph" w:customStyle="1" w:styleId="407">
    <w:name w:val="正文4"/>
    <w:basedOn w:val="1"/>
    <w:qFormat/>
    <w:uiPriority w:val="0"/>
    <w:pPr>
      <w:widowControl/>
      <w:tabs>
        <w:tab w:val="left" w:pos="8640"/>
      </w:tabs>
      <w:autoSpaceDE w:val="0"/>
      <w:autoSpaceDN w:val="0"/>
      <w:spacing w:before="0" w:beforeLines="0" w:line="240" w:lineRule="auto"/>
      <w:ind w:right="6"/>
      <w:jc w:val="center"/>
    </w:pPr>
    <w:rPr>
      <w:rFonts w:hint="eastAsia" w:ascii="宋体"/>
      <w:kern w:val="0"/>
      <w:szCs w:val="20"/>
    </w:rPr>
  </w:style>
  <w:style w:type="table" w:customStyle="1" w:styleId="408">
    <w:name w:val="表格主题1"/>
    <w:basedOn w:val="89"/>
    <w:qFormat/>
    <w:uiPriority w:val="0"/>
    <w:pPr>
      <w:widowControl w:val="0"/>
      <w:adjustRightInd w:val="0"/>
      <w:snapToGrid w:val="0"/>
      <w:spacing w:line="360" w:lineRule="auto"/>
      <w:ind w:firstLine="59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9">
    <w:name w:val="表格主题2"/>
    <w:basedOn w:val="91"/>
    <w:qFormat/>
    <w:uiPriority w:val="0"/>
    <w:pPr>
      <w:spacing w:line="360" w:lineRule="auto"/>
    </w:pPr>
  </w:style>
  <w:style w:type="table" w:customStyle="1" w:styleId="410">
    <w:name w:val="表格主题3"/>
    <w:basedOn w:val="89"/>
    <w:qFormat/>
    <w:uiPriority w:val="0"/>
    <w:pPr>
      <w:widowControl w:val="0"/>
      <w:adjustRightInd w:val="0"/>
      <w:snapToGrid w:val="0"/>
      <w:spacing w:line="360" w:lineRule="auto"/>
      <w:ind w:firstLine="59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11">
    <w:name w:val="表格主题4"/>
    <w:basedOn w:val="89"/>
    <w:qFormat/>
    <w:uiPriority w:val="0"/>
    <w:pPr>
      <w:widowControl w:val="0"/>
      <w:adjustRightInd w:val="0"/>
      <w:snapToGrid w:val="0"/>
      <w:spacing w:line="360" w:lineRule="auto"/>
      <w:ind w:firstLine="59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12">
    <w:name w:val="表格主题5"/>
    <w:basedOn w:val="89"/>
    <w:qFormat/>
    <w:uiPriority w:val="0"/>
    <w:pPr>
      <w:widowControl w:val="0"/>
      <w:adjustRightInd w:val="0"/>
      <w:snapToGrid w:val="0"/>
      <w:spacing w:line="360" w:lineRule="auto"/>
      <w:ind w:firstLine="59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13">
    <w:name w:val="表格主题6"/>
    <w:basedOn w:val="89"/>
    <w:qFormat/>
    <w:uiPriority w:val="0"/>
    <w:pPr>
      <w:widowControl w:val="0"/>
      <w:adjustRightInd w:val="0"/>
      <w:snapToGrid w:val="0"/>
      <w:spacing w:line="360" w:lineRule="auto"/>
      <w:ind w:firstLine="59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14">
    <w:name w:val="表格主题7"/>
    <w:basedOn w:val="89"/>
    <w:qFormat/>
    <w:uiPriority w:val="0"/>
    <w:pPr>
      <w:widowControl w:val="0"/>
      <w:adjustRightInd w:val="0"/>
      <w:snapToGrid w:val="0"/>
      <w:spacing w:line="360" w:lineRule="auto"/>
      <w:ind w:firstLine="59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15">
    <w:name w:val="日期 字符2"/>
    <w:qFormat/>
    <w:uiPriority w:val="0"/>
    <w:rPr>
      <w:rFonts w:ascii="Times New Roman" w:hAnsi="Times New Roman" w:eastAsia="宋体" w:cs="Times New Roman"/>
      <w:szCs w:val="20"/>
    </w:rPr>
  </w:style>
  <w:style w:type="character" w:customStyle="1" w:styleId="416">
    <w:name w:val="正文文本缩进 字符2"/>
    <w:qFormat/>
    <w:uiPriority w:val="99"/>
    <w:rPr>
      <w:rFonts w:ascii="Times New Roman" w:hAnsi="Times New Roman" w:eastAsia="宋体" w:cs="Times New Roman"/>
      <w:szCs w:val="24"/>
    </w:rPr>
  </w:style>
  <w:style w:type="character" w:customStyle="1" w:styleId="417">
    <w:name w:val="注释标题 字符2"/>
    <w:qFormat/>
    <w:uiPriority w:val="0"/>
    <w:rPr>
      <w:rFonts w:ascii="Times New Roman" w:hAnsi="Times New Roman" w:eastAsia="宋体" w:cs="Times New Roman"/>
      <w:szCs w:val="20"/>
    </w:rPr>
  </w:style>
  <w:style w:type="character" w:customStyle="1" w:styleId="418">
    <w:name w:val="Char Char"/>
    <w:qFormat/>
    <w:uiPriority w:val="0"/>
    <w:rPr>
      <w:rFonts w:ascii="Arial" w:hAnsi="Arial" w:eastAsia="宋体" w:cs="Arial"/>
      <w:kern w:val="24"/>
      <w:sz w:val="24"/>
      <w:lang w:val="en-US" w:eastAsia="zh-CN" w:bidi="ar-SA"/>
    </w:rPr>
  </w:style>
  <w:style w:type="paragraph" w:customStyle="1" w:styleId="419">
    <w:name w:val="正文文本 21"/>
    <w:basedOn w:val="1"/>
    <w:qFormat/>
    <w:uiPriority w:val="0"/>
    <w:pPr>
      <w:adjustRightInd w:val="0"/>
      <w:spacing w:before="0" w:beforeLines="0" w:line="360" w:lineRule="atLeast"/>
      <w:ind w:left="425"/>
      <w:jc w:val="left"/>
      <w:textAlignment w:val="baseline"/>
    </w:pPr>
    <w:rPr>
      <w:rFonts w:ascii="宋体"/>
      <w:kern w:val="0"/>
      <w:sz w:val="24"/>
      <w:szCs w:val="20"/>
    </w:rPr>
  </w:style>
  <w:style w:type="paragraph" w:customStyle="1" w:styleId="420">
    <w:name w:val="表格正文"/>
    <w:basedOn w:val="1"/>
    <w:link w:val="1270"/>
    <w:qFormat/>
    <w:uiPriority w:val="0"/>
    <w:pPr>
      <w:adjustRightInd w:val="0"/>
      <w:spacing w:before="0" w:beforeLines="0" w:line="460" w:lineRule="exact"/>
      <w:textAlignment w:val="baseline"/>
    </w:pPr>
    <w:rPr>
      <w:kern w:val="0"/>
      <w:sz w:val="24"/>
      <w:szCs w:val="20"/>
    </w:rPr>
  </w:style>
  <w:style w:type="character" w:customStyle="1" w:styleId="421">
    <w:name w:val="尾注文本 字符2"/>
    <w:qFormat/>
    <w:uiPriority w:val="0"/>
    <w:rPr>
      <w:sz w:val="18"/>
      <w:szCs w:val="18"/>
    </w:rPr>
  </w:style>
  <w:style w:type="paragraph" w:customStyle="1" w:styleId="422">
    <w:name w:val="xl31"/>
    <w:basedOn w:val="1"/>
    <w:qFormat/>
    <w:uiPriority w:val="0"/>
    <w:pPr>
      <w:widowControl/>
      <w:spacing w:before="100" w:beforeLines="0" w:beforeAutospacing="1" w:after="100" w:afterAutospacing="1" w:line="240" w:lineRule="auto"/>
      <w:jc w:val="center"/>
      <w:textAlignment w:val="center"/>
    </w:pPr>
    <w:rPr>
      <w:rFonts w:ascii="Arial Unicode MS" w:hAnsi="Arial Unicode MS" w:eastAsia="Arial Unicode MS" w:cs="Arial Unicode MS"/>
      <w:kern w:val="0"/>
      <w:sz w:val="24"/>
    </w:rPr>
  </w:style>
  <w:style w:type="paragraph" w:customStyle="1" w:styleId="423">
    <w:name w:val="10"/>
    <w:basedOn w:val="1"/>
    <w:qFormat/>
    <w:uiPriority w:val="0"/>
    <w:pPr>
      <w:spacing w:before="0" w:beforeLines="0" w:line="240" w:lineRule="auto"/>
    </w:pPr>
    <w:rPr>
      <w:rFonts w:ascii="宋体" w:hAnsi="Courier New"/>
      <w:szCs w:val="20"/>
    </w:rPr>
  </w:style>
  <w:style w:type="paragraph" w:customStyle="1" w:styleId="424">
    <w:name w:val="纯文本1"/>
    <w:basedOn w:val="1"/>
    <w:qFormat/>
    <w:uiPriority w:val="0"/>
    <w:pPr>
      <w:adjustRightInd w:val="0"/>
      <w:spacing w:before="0" w:beforeLines="0" w:line="240" w:lineRule="auto"/>
      <w:jc w:val="left"/>
      <w:textAlignment w:val="baseline"/>
    </w:pPr>
    <w:rPr>
      <w:rFonts w:ascii="宋体"/>
      <w:kern w:val="0"/>
      <w:sz w:val="24"/>
      <w:szCs w:val="20"/>
    </w:rPr>
  </w:style>
  <w:style w:type="character" w:customStyle="1" w:styleId="425">
    <w:name w:val="正文1 Char"/>
    <w:link w:val="354"/>
    <w:qFormat/>
    <w:uiPriority w:val="0"/>
    <w:rPr>
      <w:rFonts w:cs="宋体"/>
      <w:sz w:val="24"/>
    </w:rPr>
  </w:style>
  <w:style w:type="paragraph" w:customStyle="1" w:styleId="426">
    <w:name w:val="样式 宋体 首行缩进:  0.99 厘米 行距: 固定值 24 磅"/>
    <w:basedOn w:val="1"/>
    <w:qFormat/>
    <w:uiPriority w:val="0"/>
    <w:pPr>
      <w:adjustRightInd w:val="0"/>
      <w:spacing w:before="0" w:beforeLines="0" w:line="240" w:lineRule="auto"/>
      <w:ind w:firstLine="560" w:firstLineChars="200"/>
    </w:pPr>
    <w:rPr>
      <w:kern w:val="0"/>
      <w:szCs w:val="21"/>
    </w:rPr>
  </w:style>
  <w:style w:type="paragraph" w:customStyle="1" w:styleId="427">
    <w:name w:val="Char Char Char Char Char Char Char1"/>
    <w:basedOn w:val="1"/>
    <w:qFormat/>
    <w:uiPriority w:val="0"/>
    <w:pPr>
      <w:widowControl/>
      <w:spacing w:before="0" w:beforeLines="0" w:line="360" w:lineRule="auto"/>
      <w:jc w:val="left"/>
    </w:pPr>
    <w:rPr>
      <w:color w:val="000000"/>
      <w:sz w:val="24"/>
    </w:rPr>
  </w:style>
  <w:style w:type="character" w:customStyle="1" w:styleId="428">
    <w:name w:val="Char Char Char Char Char"/>
    <w:link w:val="263"/>
    <w:qFormat/>
    <w:uiPriority w:val="0"/>
    <w:rPr>
      <w:rFonts w:ascii="宋体" w:hAnsi="宋体" w:cs="宋体"/>
      <w:kern w:val="2"/>
      <w:sz w:val="24"/>
      <w:szCs w:val="24"/>
    </w:rPr>
  </w:style>
  <w:style w:type="paragraph" w:customStyle="1" w:styleId="429">
    <w:name w:val="表格，五宋"/>
    <w:link w:val="430"/>
    <w:qFormat/>
    <w:uiPriority w:val="0"/>
    <w:pPr>
      <w:keepNext/>
      <w:widowControl w:val="0"/>
      <w:adjustRightInd w:val="0"/>
      <w:spacing w:line="360" w:lineRule="exact"/>
      <w:jc w:val="center"/>
    </w:pPr>
    <w:rPr>
      <w:rFonts w:ascii="宋体" w:hAnsi="宋体" w:eastAsia="宋体" w:cs="Times New Roman"/>
      <w:sz w:val="21"/>
      <w:lang w:val="en-US" w:eastAsia="zh-CN" w:bidi="ar-SA"/>
    </w:rPr>
  </w:style>
  <w:style w:type="character" w:customStyle="1" w:styleId="430">
    <w:name w:val="表格，五宋 Char"/>
    <w:link w:val="429"/>
    <w:qFormat/>
    <w:uiPriority w:val="0"/>
    <w:rPr>
      <w:rFonts w:ascii="宋体" w:hAnsi="宋体"/>
      <w:sz w:val="21"/>
    </w:rPr>
  </w:style>
  <w:style w:type="paragraph" w:customStyle="1" w:styleId="431">
    <w:name w:val="Char122"/>
    <w:basedOn w:val="1"/>
    <w:qFormat/>
    <w:uiPriority w:val="0"/>
    <w:pPr>
      <w:spacing w:before="0" w:beforeLines="0" w:line="240" w:lineRule="auto"/>
    </w:pPr>
  </w:style>
  <w:style w:type="character" w:customStyle="1" w:styleId="432">
    <w:name w:val="表文字 Char"/>
    <w:link w:val="220"/>
    <w:qFormat/>
    <w:uiPriority w:val="0"/>
    <w:rPr>
      <w:kern w:val="2"/>
      <w:sz w:val="24"/>
      <w:szCs w:val="24"/>
    </w:rPr>
  </w:style>
  <w:style w:type="character" w:customStyle="1" w:styleId="433">
    <w:name w:val="一级标题，黑粗，三号，序号 Char"/>
    <w:qFormat/>
    <w:uiPriority w:val="0"/>
    <w:rPr>
      <w:rFonts w:ascii="Times New Roman" w:hAnsi="Times New Roman" w:eastAsia="宋体" w:cs="Times New Roman"/>
      <w:b/>
      <w:bCs/>
      <w:kern w:val="44"/>
      <w:sz w:val="44"/>
      <w:szCs w:val="44"/>
    </w:rPr>
  </w:style>
  <w:style w:type="character" w:customStyle="1" w:styleId="434">
    <w:name w:val="Char Char14"/>
    <w:qFormat/>
    <w:uiPriority w:val="0"/>
    <w:rPr>
      <w:rFonts w:ascii="Times New Roman" w:hAnsi="Times New Roman" w:eastAsia="宋体" w:cs="Times New Roman"/>
      <w:sz w:val="18"/>
      <w:szCs w:val="18"/>
    </w:rPr>
  </w:style>
  <w:style w:type="character" w:customStyle="1" w:styleId="435">
    <w:name w:val="Char Char13"/>
    <w:qFormat/>
    <w:uiPriority w:val="0"/>
    <w:rPr>
      <w:rFonts w:ascii="Times New Roman" w:hAnsi="Times New Roman" w:eastAsia="宋体" w:cs="Times New Roman"/>
      <w:sz w:val="18"/>
      <w:szCs w:val="18"/>
    </w:rPr>
  </w:style>
  <w:style w:type="paragraph" w:customStyle="1" w:styleId="436">
    <w:name w:val="表头2"/>
    <w:basedOn w:val="1"/>
    <w:next w:val="281"/>
    <w:qFormat/>
    <w:uiPriority w:val="0"/>
    <w:pPr>
      <w:adjustRightInd w:val="0"/>
      <w:snapToGrid w:val="0"/>
      <w:spacing w:before="50" w:beforeLines="50" w:line="240" w:lineRule="auto"/>
      <w:jc w:val="center"/>
    </w:pPr>
    <w:rPr>
      <w:rFonts w:ascii="楷体_GB2312" w:hAnsi="宋体" w:eastAsia="楷体_GB2312"/>
      <w:b/>
      <w:spacing w:val="10"/>
      <w:sz w:val="24"/>
    </w:rPr>
  </w:style>
  <w:style w:type="paragraph" w:customStyle="1" w:styleId="437">
    <w:name w:val="表头1"/>
    <w:basedOn w:val="1"/>
    <w:qFormat/>
    <w:uiPriority w:val="0"/>
    <w:pPr>
      <w:keepNext/>
      <w:adjustRightInd w:val="0"/>
      <w:snapToGrid w:val="0"/>
      <w:spacing w:before="0" w:beforeLines="0" w:line="240" w:lineRule="auto"/>
      <w:jc w:val="center"/>
      <w:textAlignment w:val="baseline"/>
    </w:pPr>
    <w:rPr>
      <w:rFonts w:eastAsia="黑体"/>
      <w:kern w:val="0"/>
      <w:sz w:val="24"/>
      <w:szCs w:val="20"/>
    </w:rPr>
  </w:style>
  <w:style w:type="paragraph" w:customStyle="1" w:styleId="438">
    <w:name w:val="样式 正文首行缩进 + 首行缩进:  1 字符 段前: 2 行"/>
    <w:basedOn w:val="54"/>
    <w:qFormat/>
    <w:uiPriority w:val="0"/>
    <w:pPr>
      <w:spacing w:line="360" w:lineRule="auto"/>
      <w:ind w:firstLine="0" w:firstLineChars="0"/>
      <w:jc w:val="center"/>
      <w:textAlignment w:val="bottom"/>
    </w:pPr>
    <w:rPr>
      <w:rFonts w:eastAsia="幼圆"/>
      <w:kern w:val="2"/>
      <w:lang w:val="en-US" w:bidi="ar-SA"/>
    </w:rPr>
  </w:style>
  <w:style w:type="character" w:customStyle="1" w:styleId="439">
    <w:name w:val="正文首行缩进 字符"/>
    <w:basedOn w:val="181"/>
    <w:qFormat/>
    <w:uiPriority w:val="0"/>
    <w:rPr>
      <w:rFonts w:ascii="Times New Roman" w:hAnsi="Times New Roman" w:eastAsia="宋体" w:cs="Times New Roman"/>
      <w:sz w:val="24"/>
      <w:szCs w:val="20"/>
      <w:lang w:val="zh-CN" w:bidi="zh-CN"/>
    </w:rPr>
  </w:style>
  <w:style w:type="paragraph" w:customStyle="1" w:styleId="440">
    <w:name w:val="样式 正文文本 + (西文) 宋体 左侧:  0.42 厘米 右侧:  0.42 厘米"/>
    <w:basedOn w:val="33"/>
    <w:qFormat/>
    <w:uiPriority w:val="0"/>
    <w:pPr>
      <w:jc w:val="center"/>
      <w:textAlignment w:val="bottom"/>
    </w:pPr>
    <w:rPr>
      <w:kern w:val="2"/>
      <w:lang w:val="en-US" w:bidi="ar-SA"/>
    </w:rPr>
  </w:style>
  <w:style w:type="paragraph" w:customStyle="1" w:styleId="441">
    <w:name w:val="目录2"/>
    <w:basedOn w:val="1"/>
    <w:next w:val="1"/>
    <w:qFormat/>
    <w:uiPriority w:val="0"/>
    <w:pPr>
      <w:adjustRightInd w:val="0"/>
      <w:snapToGrid w:val="0"/>
      <w:spacing w:before="0" w:beforeLines="0" w:line="420" w:lineRule="atLeast"/>
    </w:pPr>
    <w:rPr>
      <w:szCs w:val="20"/>
    </w:rPr>
  </w:style>
  <w:style w:type="paragraph" w:customStyle="1" w:styleId="442">
    <w:name w:val="标题11"/>
    <w:basedOn w:val="1"/>
    <w:next w:val="1"/>
    <w:link w:val="837"/>
    <w:qFormat/>
    <w:uiPriority w:val="0"/>
    <w:pPr>
      <w:adjustRightInd w:val="0"/>
      <w:snapToGrid w:val="0"/>
      <w:spacing w:before="300" w:beforeLines="300" w:after="600" w:line="420" w:lineRule="atLeast"/>
      <w:jc w:val="center"/>
      <w:outlineLvl w:val="0"/>
    </w:pPr>
    <w:rPr>
      <w:b/>
      <w:spacing w:val="4"/>
      <w:kern w:val="0"/>
      <w:sz w:val="48"/>
      <w:szCs w:val="20"/>
    </w:rPr>
  </w:style>
  <w:style w:type="paragraph" w:customStyle="1" w:styleId="443">
    <w:name w:val="日期1"/>
    <w:basedOn w:val="1"/>
    <w:next w:val="1"/>
    <w:qFormat/>
    <w:uiPriority w:val="0"/>
    <w:pPr>
      <w:adjustRightInd w:val="0"/>
      <w:spacing w:before="0" w:beforeLines="0" w:line="360" w:lineRule="atLeast"/>
      <w:ind w:firstLine="590"/>
      <w:textAlignment w:val="baseline"/>
    </w:pPr>
    <w:rPr>
      <w:rFonts w:eastAsia="楷体_GB2312"/>
      <w:b/>
      <w:kern w:val="0"/>
      <w:sz w:val="24"/>
      <w:szCs w:val="20"/>
    </w:rPr>
  </w:style>
  <w:style w:type="paragraph" w:customStyle="1" w:styleId="444">
    <w:name w:val="3"/>
    <w:basedOn w:val="1"/>
    <w:next w:val="72"/>
    <w:qFormat/>
    <w:uiPriority w:val="0"/>
    <w:pPr>
      <w:adjustRightInd w:val="0"/>
      <w:spacing w:before="0" w:beforeLines="0" w:line="360" w:lineRule="atLeast"/>
      <w:ind w:firstLine="590"/>
    </w:pPr>
    <w:rPr>
      <w:kern w:val="0"/>
      <w:sz w:val="24"/>
      <w:szCs w:val="20"/>
    </w:rPr>
  </w:style>
  <w:style w:type="character" w:customStyle="1" w:styleId="445">
    <w:name w:val="正文文本缩进 3 字符2"/>
    <w:qFormat/>
    <w:uiPriority w:val="99"/>
    <w:rPr>
      <w:rFonts w:ascii="Times New Roman" w:hAnsi="Times New Roman" w:eastAsia="宋体" w:cs="Times New Roman"/>
      <w:spacing w:val="10"/>
      <w:kern w:val="0"/>
      <w:sz w:val="16"/>
      <w:szCs w:val="16"/>
    </w:rPr>
  </w:style>
  <w:style w:type="character" w:customStyle="1" w:styleId="446">
    <w:name w:val="正文文本 2 字符2"/>
    <w:qFormat/>
    <w:uiPriority w:val="0"/>
    <w:rPr>
      <w:rFonts w:ascii="Times New Roman" w:hAnsi="Times New Roman" w:eastAsia="隶书" w:cs="Times New Roman"/>
      <w:spacing w:val="10"/>
      <w:kern w:val="0"/>
      <w:szCs w:val="20"/>
    </w:rPr>
  </w:style>
  <w:style w:type="paragraph" w:customStyle="1" w:styleId="447">
    <w:name w:val="Body Text 21"/>
    <w:basedOn w:val="1"/>
    <w:qFormat/>
    <w:uiPriority w:val="0"/>
    <w:pPr>
      <w:adjustRightInd w:val="0"/>
      <w:spacing w:before="0" w:beforeLines="0" w:line="360" w:lineRule="atLeast"/>
      <w:textAlignment w:val="baseline"/>
    </w:pPr>
    <w:rPr>
      <w:kern w:val="0"/>
      <w:sz w:val="24"/>
      <w:szCs w:val="20"/>
    </w:rPr>
  </w:style>
  <w:style w:type="paragraph" w:customStyle="1" w:styleId="448">
    <w:name w:val="孙为军标题2"/>
    <w:basedOn w:val="1"/>
    <w:qFormat/>
    <w:uiPriority w:val="0"/>
    <w:pPr>
      <w:tabs>
        <w:tab w:val="left" w:pos="425"/>
      </w:tabs>
      <w:spacing w:before="0" w:beforeLines="0" w:line="360" w:lineRule="atLeast"/>
      <w:ind w:left="425" w:hanging="425"/>
    </w:pPr>
    <w:rPr>
      <w:szCs w:val="20"/>
    </w:rPr>
  </w:style>
  <w:style w:type="paragraph" w:customStyle="1" w:styleId="449">
    <w:name w:val="font0"/>
    <w:basedOn w:val="1"/>
    <w:qFormat/>
    <w:uiPriority w:val="0"/>
    <w:pPr>
      <w:widowControl/>
      <w:spacing w:before="100" w:beforeLines="0" w:beforeAutospacing="1" w:after="100" w:afterAutospacing="1" w:line="240" w:lineRule="auto"/>
      <w:jc w:val="left"/>
    </w:pPr>
    <w:rPr>
      <w:rFonts w:hint="eastAsia" w:ascii="宋体" w:hAnsi="宋体" w:cs="Arial Unicode MS"/>
      <w:kern w:val="0"/>
      <w:sz w:val="24"/>
    </w:rPr>
  </w:style>
  <w:style w:type="paragraph" w:customStyle="1" w:styleId="450">
    <w:name w:val="font5"/>
    <w:basedOn w:val="1"/>
    <w:qFormat/>
    <w:uiPriority w:val="0"/>
    <w:pPr>
      <w:widowControl/>
      <w:spacing w:before="100" w:beforeLines="0" w:beforeAutospacing="1" w:after="100" w:afterAutospacing="1" w:line="240" w:lineRule="auto"/>
      <w:jc w:val="left"/>
    </w:pPr>
    <w:rPr>
      <w:rFonts w:hint="eastAsia" w:ascii="宋体" w:hAnsi="宋体" w:cs="Arial Unicode MS"/>
      <w:kern w:val="0"/>
      <w:sz w:val="18"/>
      <w:szCs w:val="18"/>
    </w:rPr>
  </w:style>
  <w:style w:type="paragraph" w:customStyle="1" w:styleId="451">
    <w:name w:val="font6"/>
    <w:basedOn w:val="1"/>
    <w:qFormat/>
    <w:uiPriority w:val="0"/>
    <w:pPr>
      <w:widowControl/>
      <w:spacing w:before="100" w:beforeLines="0" w:beforeAutospacing="1" w:after="100" w:afterAutospacing="1" w:line="240" w:lineRule="auto"/>
      <w:jc w:val="left"/>
    </w:pPr>
    <w:rPr>
      <w:rFonts w:eastAsia="Arial Unicode MS"/>
      <w:kern w:val="0"/>
      <w:sz w:val="24"/>
    </w:rPr>
  </w:style>
  <w:style w:type="paragraph" w:customStyle="1" w:styleId="452">
    <w:name w:val="样式 首行缩进:  2 字符1"/>
    <w:basedOn w:val="1"/>
    <w:qFormat/>
    <w:uiPriority w:val="0"/>
    <w:pPr>
      <w:adjustRightInd w:val="0"/>
      <w:snapToGrid w:val="0"/>
      <w:spacing w:before="0" w:beforeLines="0" w:line="360" w:lineRule="auto"/>
      <w:ind w:firstLine="528" w:firstLineChars="200"/>
    </w:pPr>
    <w:rPr>
      <w:rFonts w:cs="宋体"/>
      <w:spacing w:val="12"/>
      <w:sz w:val="24"/>
      <w:szCs w:val="20"/>
    </w:rPr>
  </w:style>
  <w:style w:type="paragraph" w:customStyle="1" w:styleId="453">
    <w:name w:val="表1"/>
    <w:basedOn w:val="397"/>
    <w:link w:val="1557"/>
    <w:qFormat/>
    <w:uiPriority w:val="0"/>
    <w:pPr>
      <w:adjustRightInd w:val="0"/>
      <w:snapToGrid w:val="0"/>
      <w:spacing w:before="60" w:after="60"/>
      <w:jc w:val="center"/>
    </w:pPr>
    <w:rPr>
      <w:rFonts w:ascii="宋体" w:hAnsi="宋体"/>
      <w:sz w:val="24"/>
      <w:szCs w:val="20"/>
    </w:rPr>
  </w:style>
  <w:style w:type="paragraph" w:customStyle="1" w:styleId="454">
    <w:name w:val="样式 首行缩进:  2 字符4"/>
    <w:basedOn w:val="1"/>
    <w:qFormat/>
    <w:uiPriority w:val="0"/>
    <w:pPr>
      <w:adjustRightInd w:val="0"/>
      <w:snapToGrid w:val="0"/>
      <w:spacing w:before="0" w:beforeLines="0" w:line="360" w:lineRule="auto"/>
      <w:ind w:firstLine="480" w:firstLineChars="200"/>
    </w:pPr>
    <w:rPr>
      <w:rFonts w:cs="宋体"/>
      <w:spacing w:val="12"/>
      <w:sz w:val="24"/>
    </w:rPr>
  </w:style>
  <w:style w:type="paragraph" w:customStyle="1" w:styleId="455">
    <w:name w:val="样式 正文文本 2 + 首行缩进:  2 字符"/>
    <w:basedOn w:val="78"/>
    <w:qFormat/>
    <w:uiPriority w:val="0"/>
    <w:pPr>
      <w:spacing w:after="0" w:line="320" w:lineRule="atLeast"/>
      <w:jc w:val="center"/>
    </w:pPr>
    <w:rPr>
      <w:spacing w:val="20"/>
      <w:kern w:val="0"/>
      <w:position w:val="-20"/>
      <w:szCs w:val="21"/>
    </w:rPr>
  </w:style>
  <w:style w:type="paragraph" w:customStyle="1" w:styleId="456">
    <w:name w:val="文本框"/>
    <w:basedOn w:val="1"/>
    <w:qFormat/>
    <w:uiPriority w:val="0"/>
    <w:pPr>
      <w:adjustRightInd w:val="0"/>
      <w:snapToGrid w:val="0"/>
      <w:spacing w:before="0" w:beforeLines="0" w:after="6" w:line="240" w:lineRule="auto"/>
      <w:jc w:val="center"/>
    </w:pPr>
    <w:rPr>
      <w:rFonts w:eastAsia="仿宋_GB2312"/>
    </w:rPr>
  </w:style>
  <w:style w:type="paragraph" w:customStyle="1" w:styleId="457">
    <w:name w:val="表头名称"/>
    <w:basedOn w:val="6"/>
    <w:qFormat/>
    <w:uiPriority w:val="0"/>
    <w:pPr>
      <w:autoSpaceDE w:val="0"/>
      <w:autoSpaceDN w:val="0"/>
      <w:adjustRightInd w:val="0"/>
      <w:ind w:firstLine="0" w:firstLineChars="0"/>
      <w:jc w:val="center"/>
    </w:pPr>
    <w:rPr>
      <w:rFonts w:ascii="黑体" w:hAnsi="宋体" w:eastAsia="黑体"/>
      <w:kern w:val="0"/>
      <w:szCs w:val="20"/>
    </w:rPr>
  </w:style>
  <w:style w:type="paragraph" w:customStyle="1" w:styleId="458">
    <w:name w:val="表格内容"/>
    <w:basedOn w:val="1"/>
    <w:link w:val="1484"/>
    <w:qFormat/>
    <w:uiPriority w:val="0"/>
    <w:pPr>
      <w:overflowPunct w:val="0"/>
      <w:adjustRightInd w:val="0"/>
      <w:spacing w:before="40" w:beforeLines="0" w:after="60" w:line="200" w:lineRule="atLeast"/>
      <w:textAlignment w:val="baseline"/>
    </w:pPr>
    <w:rPr>
      <w:rFonts w:ascii="Arial" w:hAnsi="Arial" w:eastAsia="仿宋_GB2312"/>
      <w:kern w:val="0"/>
      <w:sz w:val="24"/>
      <w:szCs w:val="20"/>
    </w:rPr>
  </w:style>
  <w:style w:type="paragraph" w:customStyle="1" w:styleId="459">
    <w:name w:val="大纲正文"/>
    <w:basedOn w:val="1"/>
    <w:link w:val="460"/>
    <w:qFormat/>
    <w:uiPriority w:val="0"/>
    <w:pPr>
      <w:widowControl/>
      <w:adjustRightInd w:val="0"/>
      <w:snapToGrid w:val="0"/>
      <w:spacing w:before="0" w:beforeLines="0" w:after="156" w:afterLines="50" w:line="300" w:lineRule="auto"/>
      <w:ind w:firstLine="480" w:firstLineChars="200"/>
    </w:pPr>
    <w:rPr>
      <w:rFonts w:cs="宋体"/>
      <w:sz w:val="24"/>
      <w:szCs w:val="20"/>
    </w:rPr>
  </w:style>
  <w:style w:type="character" w:customStyle="1" w:styleId="460">
    <w:name w:val="大纲正文 Char"/>
    <w:link w:val="459"/>
    <w:qFormat/>
    <w:uiPriority w:val="0"/>
    <w:rPr>
      <w:rFonts w:cs="宋体"/>
      <w:kern w:val="2"/>
      <w:sz w:val="24"/>
    </w:rPr>
  </w:style>
  <w:style w:type="paragraph" w:customStyle="1" w:styleId="461">
    <w:name w:val="样式 样式 首行缩进:  2 字符4 + 首行缩进:  2 字符"/>
    <w:basedOn w:val="454"/>
    <w:qFormat/>
    <w:uiPriority w:val="0"/>
    <w:pPr>
      <w:ind w:right="3" w:rightChars="1"/>
    </w:pPr>
    <w:rPr>
      <w:spacing w:val="0"/>
      <w:kern w:val="0"/>
      <w:szCs w:val="20"/>
    </w:rPr>
  </w:style>
  <w:style w:type="paragraph" w:customStyle="1" w:styleId="462">
    <w:name w:val="表格式"/>
    <w:basedOn w:val="1"/>
    <w:qFormat/>
    <w:uiPriority w:val="0"/>
    <w:pPr>
      <w:spacing w:before="60" w:beforeLines="0" w:after="60" w:line="320" w:lineRule="exact"/>
      <w:jc w:val="center"/>
    </w:pPr>
    <w:rPr>
      <w:rFonts w:ascii="宋体"/>
      <w:spacing w:val="6"/>
      <w:szCs w:val="20"/>
    </w:rPr>
  </w:style>
  <w:style w:type="paragraph" w:customStyle="1" w:styleId="463">
    <w:name w:val="样式 注释标题 + 首行缩进:  2 字符"/>
    <w:basedOn w:val="16"/>
    <w:qFormat/>
    <w:uiPriority w:val="0"/>
    <w:pPr>
      <w:adjustRightInd w:val="0"/>
      <w:snapToGrid w:val="0"/>
    </w:pPr>
    <w:rPr>
      <w:rFonts w:eastAsia="黑体" w:cs="宋体"/>
      <w:spacing w:val="20"/>
      <w:sz w:val="24"/>
      <w:szCs w:val="24"/>
    </w:rPr>
  </w:style>
  <w:style w:type="paragraph" w:customStyle="1" w:styleId="464">
    <w:name w:val="font7"/>
    <w:basedOn w:val="1"/>
    <w:qFormat/>
    <w:uiPriority w:val="0"/>
    <w:pPr>
      <w:widowControl/>
      <w:spacing w:before="100" w:beforeLines="0" w:beforeAutospacing="1" w:after="100" w:afterAutospacing="1" w:line="240" w:lineRule="auto"/>
      <w:jc w:val="left"/>
    </w:pPr>
    <w:rPr>
      <w:rFonts w:hint="eastAsia" w:ascii="宋体" w:hAnsi="宋体"/>
      <w:kern w:val="0"/>
      <w:sz w:val="18"/>
      <w:szCs w:val="18"/>
    </w:rPr>
  </w:style>
  <w:style w:type="paragraph" w:customStyle="1" w:styleId="465">
    <w:name w:val="xl25"/>
    <w:basedOn w:val="1"/>
    <w:qFormat/>
    <w:uiPriority w:val="0"/>
    <w:pPr>
      <w:widowControl/>
      <w:pBdr>
        <w:bottom w:val="single" w:color="auto" w:sz="4" w:space="0"/>
        <w:right w:val="single" w:color="auto" w:sz="4" w:space="0"/>
      </w:pBdr>
      <w:spacing w:before="100" w:beforeLines="0" w:beforeAutospacing="1" w:after="100" w:afterAutospacing="1" w:line="240" w:lineRule="auto"/>
      <w:jc w:val="center"/>
    </w:pPr>
    <w:rPr>
      <w:kern w:val="0"/>
      <w:szCs w:val="21"/>
    </w:rPr>
  </w:style>
  <w:style w:type="paragraph" w:customStyle="1" w:styleId="466">
    <w:name w:val="xl26"/>
    <w:basedOn w:val="1"/>
    <w:qFormat/>
    <w:uiPriority w:val="0"/>
    <w:pPr>
      <w:widowControl/>
      <w:pBdr>
        <w:top w:val="double" w:color="auto" w:sz="6" w:space="0"/>
        <w:bottom w:val="single" w:color="auto" w:sz="4" w:space="0"/>
      </w:pBdr>
      <w:spacing w:before="100" w:beforeLines="0" w:beforeAutospacing="1" w:after="100" w:afterAutospacing="1" w:line="240" w:lineRule="auto"/>
      <w:jc w:val="center"/>
    </w:pPr>
    <w:rPr>
      <w:rFonts w:ascii="宋体" w:hAnsi="宋体"/>
      <w:kern w:val="0"/>
      <w:szCs w:val="21"/>
    </w:rPr>
  </w:style>
  <w:style w:type="paragraph" w:customStyle="1" w:styleId="467">
    <w:name w:val="xl27"/>
    <w:basedOn w:val="1"/>
    <w:qFormat/>
    <w:uiPriority w:val="0"/>
    <w:pPr>
      <w:widowControl/>
      <w:pBdr>
        <w:top w:val="double" w:color="auto" w:sz="6" w:space="0"/>
        <w:left w:val="single" w:color="auto" w:sz="4" w:space="0"/>
        <w:bottom w:val="single" w:color="auto" w:sz="4" w:space="0"/>
      </w:pBdr>
      <w:spacing w:before="100" w:beforeLines="0" w:beforeAutospacing="1" w:after="100" w:afterAutospacing="1" w:line="240" w:lineRule="auto"/>
      <w:jc w:val="center"/>
    </w:pPr>
    <w:rPr>
      <w:rFonts w:ascii="宋体" w:hAnsi="宋体"/>
      <w:kern w:val="0"/>
      <w:szCs w:val="21"/>
    </w:rPr>
  </w:style>
  <w:style w:type="paragraph" w:customStyle="1" w:styleId="468">
    <w:name w:val="xl28"/>
    <w:basedOn w:val="1"/>
    <w:qFormat/>
    <w:uiPriority w:val="0"/>
    <w:pPr>
      <w:widowControl/>
      <w:pBdr>
        <w:top w:val="double" w:color="auto" w:sz="6" w:space="0"/>
        <w:bottom w:val="single" w:color="auto" w:sz="4" w:space="0"/>
        <w:right w:val="single" w:color="auto" w:sz="4" w:space="0"/>
      </w:pBdr>
      <w:spacing w:before="100" w:beforeLines="0" w:beforeAutospacing="1" w:after="100" w:afterAutospacing="1" w:line="240" w:lineRule="auto"/>
      <w:jc w:val="center"/>
    </w:pPr>
    <w:rPr>
      <w:rFonts w:ascii="宋体" w:hAnsi="宋体"/>
      <w:kern w:val="0"/>
      <w:szCs w:val="21"/>
    </w:rPr>
  </w:style>
  <w:style w:type="paragraph" w:customStyle="1" w:styleId="469">
    <w:name w:val="xl29"/>
    <w:basedOn w:val="1"/>
    <w:qFormat/>
    <w:uiPriority w:val="0"/>
    <w:pPr>
      <w:widowControl/>
      <w:pBdr>
        <w:top w:val="single" w:color="auto" w:sz="4" w:space="0"/>
        <w:left w:val="single" w:color="auto" w:sz="4" w:space="0"/>
        <w:bottom w:val="single" w:color="auto" w:sz="4" w:space="0"/>
      </w:pBdr>
      <w:spacing w:before="100" w:beforeLines="0" w:beforeAutospacing="1" w:after="100" w:afterAutospacing="1" w:line="240" w:lineRule="auto"/>
      <w:jc w:val="center"/>
    </w:pPr>
    <w:rPr>
      <w:rFonts w:ascii="宋体" w:hAnsi="宋体"/>
      <w:kern w:val="0"/>
      <w:szCs w:val="21"/>
    </w:rPr>
  </w:style>
  <w:style w:type="paragraph" w:customStyle="1" w:styleId="470">
    <w:name w:val="xl30"/>
    <w:basedOn w:val="1"/>
    <w:qFormat/>
    <w:uiPriority w:val="0"/>
    <w:pPr>
      <w:widowControl/>
      <w:pBdr>
        <w:top w:val="single" w:color="auto" w:sz="4" w:space="0"/>
        <w:bottom w:val="single" w:color="auto" w:sz="4" w:space="0"/>
        <w:right w:val="single" w:color="auto" w:sz="4" w:space="0"/>
      </w:pBdr>
      <w:spacing w:before="100" w:beforeLines="0" w:beforeAutospacing="1" w:after="100" w:afterAutospacing="1" w:line="240" w:lineRule="auto"/>
      <w:jc w:val="center"/>
    </w:pPr>
    <w:rPr>
      <w:rFonts w:ascii="宋体" w:hAnsi="宋体"/>
      <w:kern w:val="0"/>
      <w:szCs w:val="21"/>
    </w:rPr>
  </w:style>
  <w:style w:type="paragraph" w:customStyle="1" w:styleId="471">
    <w:name w:val="xl22"/>
    <w:basedOn w:val="1"/>
    <w:qFormat/>
    <w:uiPriority w:val="0"/>
    <w:pPr>
      <w:widowControl/>
      <w:pBdr>
        <w:bottom w:val="single" w:color="auto" w:sz="4" w:space="0"/>
      </w:pBdr>
      <w:spacing w:before="100" w:beforeLines="0" w:beforeAutospacing="1" w:after="100" w:afterAutospacing="1" w:line="240" w:lineRule="auto"/>
      <w:jc w:val="center"/>
    </w:pPr>
    <w:rPr>
      <w:rFonts w:ascii="宋体" w:hAnsi="宋体"/>
      <w:kern w:val="0"/>
      <w:szCs w:val="21"/>
    </w:rPr>
  </w:style>
  <w:style w:type="paragraph" w:customStyle="1" w:styleId="472">
    <w:name w:val="样式 标题2 + (中文) 宋体"/>
    <w:basedOn w:val="1"/>
    <w:next w:val="1"/>
    <w:qFormat/>
    <w:uiPriority w:val="0"/>
    <w:pPr>
      <w:adjustRightInd w:val="0"/>
      <w:snapToGrid w:val="0"/>
      <w:spacing w:before="120" w:beforeLines="0" w:after="240" w:line="360" w:lineRule="auto"/>
    </w:pPr>
    <w:rPr>
      <w:rFonts w:eastAsia="黑体"/>
      <w:spacing w:val="10"/>
      <w:kern w:val="0"/>
      <w:sz w:val="32"/>
      <w:szCs w:val="20"/>
    </w:rPr>
  </w:style>
  <w:style w:type="paragraph" w:customStyle="1" w:styleId="473">
    <w:name w:val="样式 样式 首行缩进:  2 字符 + 首行缩进:  2 字符"/>
    <w:basedOn w:val="362"/>
    <w:qFormat/>
    <w:uiPriority w:val="0"/>
    <w:pPr>
      <w:adjustRightInd w:val="0"/>
      <w:snapToGrid w:val="0"/>
      <w:spacing w:line="360" w:lineRule="auto"/>
      <w:ind w:firstLine="560"/>
    </w:pPr>
    <w:rPr>
      <w:rFonts w:cs="宋体"/>
      <w:b w:val="0"/>
      <w:spacing w:val="10"/>
      <w:kern w:val="0"/>
      <w:sz w:val="24"/>
      <w:szCs w:val="24"/>
    </w:rPr>
  </w:style>
  <w:style w:type="paragraph" w:customStyle="1" w:styleId="474">
    <w:name w:val="样式 标题3 + (中文) 宋体 Char Char"/>
    <w:basedOn w:val="325"/>
    <w:next w:val="1"/>
    <w:qFormat/>
    <w:uiPriority w:val="0"/>
    <w:pPr>
      <w:keepNext w:val="0"/>
      <w:keepLines w:val="0"/>
      <w:spacing w:before="240" w:after="120" w:line="360" w:lineRule="auto"/>
      <w:outlineLvl w:val="9"/>
    </w:pPr>
    <w:rPr>
      <w:rFonts w:eastAsia="楷体_GB2312"/>
      <w:i/>
      <w:iCs/>
      <w:spacing w:val="10"/>
      <w:kern w:val="0"/>
      <w:szCs w:val="20"/>
    </w:rPr>
  </w:style>
  <w:style w:type="character" w:customStyle="1" w:styleId="475">
    <w:name w:val="正文文本 3 字符2"/>
    <w:qFormat/>
    <w:uiPriority w:val="0"/>
    <w:rPr>
      <w:rFonts w:ascii="Times New Roman" w:hAnsi="Times New Roman" w:eastAsia="宋体" w:cs="Times New Roman"/>
      <w:sz w:val="16"/>
      <w:szCs w:val="16"/>
    </w:rPr>
  </w:style>
  <w:style w:type="paragraph" w:customStyle="1" w:styleId="476">
    <w:name w:val="表头文字"/>
    <w:basedOn w:val="47"/>
    <w:qFormat/>
    <w:uiPriority w:val="0"/>
    <w:pPr>
      <w:adjustRightInd w:val="0"/>
      <w:snapToGrid w:val="0"/>
      <w:spacing w:before="100" w:beforeLines="100" w:after="50" w:afterLines="50" w:line="360" w:lineRule="auto"/>
      <w:jc w:val="center"/>
    </w:pPr>
    <w:rPr>
      <w:rFonts w:ascii="Times New Roman" w:hAnsi="Times New Roman" w:eastAsia="黑体" w:cs="Courier New"/>
      <w:b/>
      <w:bCs/>
      <w:sz w:val="28"/>
      <w:szCs w:val="28"/>
    </w:rPr>
  </w:style>
  <w:style w:type="paragraph" w:customStyle="1" w:styleId="477">
    <w:name w:val="表格内字体"/>
    <w:basedOn w:val="47"/>
    <w:qFormat/>
    <w:uiPriority w:val="0"/>
    <w:pPr>
      <w:adjustRightInd w:val="0"/>
      <w:snapToGrid w:val="0"/>
      <w:spacing w:before="0" w:beforeLines="0" w:line="240" w:lineRule="auto"/>
      <w:jc w:val="center"/>
    </w:pPr>
    <w:rPr>
      <w:rFonts w:ascii="Times New Roman" w:hAnsi="Times New Roman" w:cs="Courier New"/>
      <w:sz w:val="28"/>
      <w:szCs w:val="24"/>
    </w:rPr>
  </w:style>
  <w:style w:type="paragraph" w:customStyle="1" w:styleId="478">
    <w:name w:val="正文文字2"/>
    <w:basedOn w:val="33"/>
    <w:next w:val="33"/>
    <w:qFormat/>
    <w:uiPriority w:val="0"/>
    <w:pPr>
      <w:autoSpaceDE/>
      <w:autoSpaceDN/>
      <w:adjustRightInd w:val="0"/>
      <w:snapToGrid w:val="0"/>
      <w:jc w:val="both"/>
      <w:textAlignment w:val="baseline"/>
    </w:pPr>
    <w:rPr>
      <w:rFonts w:ascii="Times New Roman" w:hAnsi="Times New Roman" w:cs="Times New Roman"/>
      <w:snapToGrid w:val="0"/>
      <w:szCs w:val="20"/>
      <w:lang w:val="en-US" w:bidi="ar-SA"/>
    </w:rPr>
  </w:style>
  <w:style w:type="paragraph" w:customStyle="1" w:styleId="479">
    <w:name w:val="目录1"/>
    <w:basedOn w:val="1"/>
    <w:next w:val="1"/>
    <w:qFormat/>
    <w:uiPriority w:val="0"/>
    <w:pPr>
      <w:adjustRightInd w:val="0"/>
      <w:snapToGrid w:val="0"/>
      <w:spacing w:before="120" w:beforeLines="0" w:after="120" w:line="420" w:lineRule="atLeast"/>
    </w:pPr>
    <w:rPr>
      <w:b/>
      <w:sz w:val="24"/>
      <w:szCs w:val="20"/>
    </w:rPr>
  </w:style>
  <w:style w:type="paragraph" w:customStyle="1" w:styleId="480">
    <w:name w:val="目录3"/>
    <w:basedOn w:val="1"/>
    <w:next w:val="1"/>
    <w:qFormat/>
    <w:uiPriority w:val="0"/>
    <w:pPr>
      <w:adjustRightInd w:val="0"/>
      <w:snapToGrid w:val="0"/>
      <w:spacing w:before="0" w:beforeLines="0" w:line="420" w:lineRule="atLeast"/>
    </w:pPr>
    <w:rPr>
      <w:i/>
      <w:sz w:val="28"/>
      <w:szCs w:val="20"/>
    </w:rPr>
  </w:style>
  <w:style w:type="paragraph" w:customStyle="1" w:styleId="481">
    <w:name w:val="样式 四号 段前: 7.8 磅 行距: 多倍行距 1.25 字行 首行缩进:  2 字符"/>
    <w:basedOn w:val="1"/>
    <w:qFormat/>
    <w:uiPriority w:val="0"/>
    <w:pPr>
      <w:spacing w:before="50" w:beforeLines="50" w:line="300" w:lineRule="auto"/>
      <w:ind w:firstLine="200" w:firstLineChars="200"/>
    </w:pPr>
    <w:rPr>
      <w:rFonts w:cs="宋体"/>
      <w:sz w:val="28"/>
      <w:szCs w:val="20"/>
    </w:rPr>
  </w:style>
  <w:style w:type="paragraph" w:customStyle="1" w:styleId="482">
    <w:name w:val="表体"/>
    <w:basedOn w:val="1"/>
    <w:link w:val="1917"/>
    <w:qFormat/>
    <w:uiPriority w:val="0"/>
    <w:pPr>
      <w:overflowPunct w:val="0"/>
      <w:adjustRightInd w:val="0"/>
      <w:spacing w:before="80" w:beforeLines="0" w:after="80" w:line="240" w:lineRule="auto"/>
      <w:ind w:left="-57" w:right="-57"/>
      <w:jc w:val="center"/>
      <w:textAlignment w:val="baseline"/>
    </w:pPr>
    <w:rPr>
      <w:rFonts w:ascii="宋体"/>
      <w:color w:val="000000"/>
      <w:kern w:val="24"/>
      <w:szCs w:val="20"/>
    </w:rPr>
  </w:style>
  <w:style w:type="paragraph" w:customStyle="1" w:styleId="483">
    <w:name w:val="cauc-0 Char"/>
    <w:qFormat/>
    <w:uiPriority w:val="0"/>
    <w:pPr>
      <w:spacing w:line="360" w:lineRule="auto"/>
      <w:ind w:firstLine="480" w:firstLineChars="200"/>
      <w:jc w:val="both"/>
    </w:pPr>
    <w:rPr>
      <w:rFonts w:ascii="Times New Roman" w:hAnsi="Times New Roman" w:eastAsia="宋体" w:cs="Times New Roman"/>
      <w:kern w:val="2"/>
      <w:sz w:val="24"/>
      <w:szCs w:val="24"/>
      <w:lang w:val="en-US" w:eastAsia="zh-CN" w:bidi="ar-SA"/>
    </w:rPr>
  </w:style>
  <w:style w:type="paragraph" w:customStyle="1" w:styleId="484">
    <w:name w:val="样式 报告书正文 + 首行缩进:  2 字符"/>
    <w:basedOn w:val="1"/>
    <w:qFormat/>
    <w:uiPriority w:val="0"/>
    <w:pPr>
      <w:spacing w:before="0" w:beforeLines="0" w:line="300" w:lineRule="auto"/>
      <w:ind w:firstLine="478" w:firstLineChars="199"/>
    </w:pPr>
    <w:rPr>
      <w:sz w:val="24"/>
    </w:rPr>
  </w:style>
  <w:style w:type="paragraph" w:customStyle="1" w:styleId="485">
    <w:name w:val="列项——"/>
    <w:qFormat/>
    <w:uiPriority w:val="0"/>
    <w:pPr>
      <w:widowControl w:val="0"/>
      <w:numPr>
        <w:ilvl w:val="0"/>
        <w:numId w:val="4"/>
      </w:numPr>
      <w:tabs>
        <w:tab w:val="left" w:pos="854"/>
        <w:tab w:val="clear" w:pos="1140"/>
      </w:tabs>
      <w:ind w:left="200" w:leftChars="200" w:hanging="200" w:hangingChars="200"/>
      <w:jc w:val="both"/>
    </w:pPr>
    <w:rPr>
      <w:rFonts w:ascii="宋体" w:hAnsi="Times New Roman" w:eastAsia="宋体" w:cs="Times New Roman"/>
      <w:sz w:val="21"/>
      <w:lang w:val="en-US" w:eastAsia="zh-CN" w:bidi="ar-SA"/>
    </w:rPr>
  </w:style>
  <w:style w:type="paragraph" w:customStyle="1" w:styleId="486">
    <w:name w:val="段"/>
    <w:link w:val="908"/>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487">
    <w:name w:val="xl49"/>
    <w:basedOn w:val="1"/>
    <w:qFormat/>
    <w:uiPriority w:val="0"/>
    <w:pPr>
      <w:widowControl/>
      <w:spacing w:before="100" w:beforeLines="0" w:after="100" w:line="240" w:lineRule="auto"/>
      <w:jc w:val="center"/>
    </w:pPr>
    <w:rPr>
      <w:rFonts w:ascii="宋体" w:hAnsi="宋体"/>
      <w:kern w:val="0"/>
      <w:sz w:val="24"/>
      <w:szCs w:val="20"/>
    </w:rPr>
  </w:style>
  <w:style w:type="paragraph" w:customStyle="1" w:styleId="488">
    <w:name w:val="块项目"/>
    <w:next w:val="54"/>
    <w:qFormat/>
    <w:uiPriority w:val="0"/>
    <w:pPr>
      <w:tabs>
        <w:tab w:val="left" w:pos="780"/>
        <w:tab w:val="left" w:pos="976"/>
      </w:tabs>
      <w:spacing w:before="120" w:after="120" w:line="360" w:lineRule="auto"/>
      <w:ind w:left="992" w:leftChars="200" w:hanging="527" w:hangingChars="200"/>
    </w:pPr>
    <w:rPr>
      <w:rFonts w:ascii="Times New Roman" w:hAnsi="Times New Roman" w:eastAsia="宋体" w:cs="Times New Roman"/>
      <w:b/>
      <w:spacing w:val="20"/>
      <w:sz w:val="24"/>
      <w:lang w:val="en-US" w:eastAsia="zh-CN" w:bidi="ar-SA"/>
    </w:rPr>
  </w:style>
  <w:style w:type="paragraph" w:customStyle="1" w:styleId="489">
    <w:name w:val="表头5"/>
    <w:basedOn w:val="1"/>
    <w:qFormat/>
    <w:uiPriority w:val="0"/>
    <w:pPr>
      <w:numPr>
        <w:ilvl w:val="0"/>
        <w:numId w:val="5"/>
      </w:numPr>
      <w:tabs>
        <w:tab w:val="left" w:pos="1080"/>
        <w:tab w:val="clear" w:pos="780"/>
      </w:tabs>
      <w:adjustRightInd w:val="0"/>
      <w:snapToGrid w:val="0"/>
      <w:spacing w:before="240" w:beforeLines="100" w:after="120" w:afterLines="50" w:line="240" w:lineRule="atLeast"/>
      <w:ind w:left="950" w:leftChars="250" w:hanging="425" w:firstLineChars="0"/>
    </w:pPr>
    <w:rPr>
      <w:b/>
      <w:sz w:val="24"/>
    </w:rPr>
  </w:style>
  <w:style w:type="paragraph" w:customStyle="1" w:styleId="490">
    <w:name w:val="表头4"/>
    <w:basedOn w:val="489"/>
    <w:qFormat/>
    <w:uiPriority w:val="0"/>
  </w:style>
  <w:style w:type="character" w:customStyle="1" w:styleId="491">
    <w:name w:val="unnamed1"/>
    <w:qFormat/>
    <w:uiPriority w:val="0"/>
  </w:style>
  <w:style w:type="character" w:customStyle="1" w:styleId="492">
    <w:name w:val="尾注文本 Char1"/>
    <w:semiHidden/>
    <w:qFormat/>
    <w:uiPriority w:val="99"/>
    <w:rPr>
      <w:kern w:val="2"/>
      <w:sz w:val="24"/>
    </w:rPr>
  </w:style>
  <w:style w:type="paragraph" w:customStyle="1" w:styleId="493">
    <w:name w:val="7"/>
    <w:basedOn w:val="1"/>
    <w:next w:val="6"/>
    <w:qFormat/>
    <w:uiPriority w:val="0"/>
    <w:pPr>
      <w:spacing w:before="0" w:beforeLines="0" w:line="240" w:lineRule="auto"/>
      <w:ind w:firstLine="420" w:firstLineChars="200"/>
    </w:pPr>
    <w:rPr>
      <w:sz w:val="24"/>
    </w:rPr>
  </w:style>
  <w:style w:type="paragraph" w:customStyle="1" w:styleId="494">
    <w:name w:val="ZHENGWEN"/>
    <w:basedOn w:val="1"/>
    <w:qFormat/>
    <w:uiPriority w:val="0"/>
    <w:pPr>
      <w:spacing w:before="0" w:beforeLines="0" w:line="360" w:lineRule="auto"/>
    </w:pPr>
    <w:rPr>
      <w:sz w:val="24"/>
    </w:rPr>
  </w:style>
  <w:style w:type="paragraph" w:customStyle="1" w:styleId="495">
    <w:name w:val="注释1"/>
    <w:basedOn w:val="1"/>
    <w:qFormat/>
    <w:uiPriority w:val="0"/>
    <w:pPr>
      <w:spacing w:before="0" w:beforeLines="0" w:line="460" w:lineRule="exact"/>
    </w:pPr>
    <w:rPr>
      <w:sz w:val="28"/>
      <w:szCs w:val="20"/>
    </w:rPr>
  </w:style>
  <w:style w:type="paragraph" w:customStyle="1" w:styleId="496">
    <w:name w:val="标题三"/>
    <w:basedOn w:val="5"/>
    <w:qFormat/>
    <w:uiPriority w:val="0"/>
    <w:pPr>
      <w:keepNext/>
      <w:spacing w:before="0" w:after="0" w:line="360" w:lineRule="auto"/>
    </w:pPr>
    <w:rPr>
      <w:rFonts w:ascii="宋体" w:hAnsi="宋体"/>
      <w:color w:val="auto"/>
      <w:kern w:val="2"/>
      <w:szCs w:val="32"/>
    </w:rPr>
  </w:style>
  <w:style w:type="paragraph" w:customStyle="1" w:styleId="497">
    <w:name w:val="样式 样式 四号 首行缩进:  2 字符 + 宋体"/>
    <w:basedOn w:val="1"/>
    <w:qFormat/>
    <w:uiPriority w:val="0"/>
    <w:pPr>
      <w:adjustRightInd w:val="0"/>
      <w:snapToGrid w:val="0"/>
      <w:spacing w:before="0" w:beforeLines="0" w:line="360" w:lineRule="auto"/>
      <w:ind w:firstLine="600" w:firstLineChars="200"/>
    </w:pPr>
    <w:rPr>
      <w:kern w:val="0"/>
      <w:sz w:val="28"/>
      <w:szCs w:val="28"/>
    </w:rPr>
  </w:style>
  <w:style w:type="paragraph" w:customStyle="1" w:styleId="498">
    <w:name w:val="样式 标题 3 + 四号 非加粗 段前: 7.8 磅 段后: 6 磅 行距: 多倍行距 1.25 字行"/>
    <w:basedOn w:val="5"/>
    <w:qFormat/>
    <w:uiPriority w:val="0"/>
    <w:pPr>
      <w:keepNext/>
      <w:spacing w:before="240" w:after="240" w:line="300" w:lineRule="auto"/>
    </w:pPr>
    <w:rPr>
      <w:rFonts w:cs="宋体"/>
      <w:b w:val="0"/>
      <w:bCs w:val="0"/>
      <w:color w:val="auto"/>
      <w:kern w:val="2"/>
    </w:rPr>
  </w:style>
  <w:style w:type="paragraph" w:customStyle="1" w:styleId="499">
    <w:name w:val="图表标题"/>
    <w:basedOn w:val="1"/>
    <w:link w:val="854"/>
    <w:qFormat/>
    <w:uiPriority w:val="0"/>
    <w:pPr>
      <w:widowControl/>
      <w:spacing w:before="0" w:beforeLines="0" w:line="360" w:lineRule="auto"/>
      <w:jc w:val="center"/>
    </w:pPr>
    <w:rPr>
      <w:rFonts w:ascii="黑体" w:hAnsi="Calibri" w:eastAsia="黑体"/>
      <w:kern w:val="0"/>
      <w:sz w:val="24"/>
      <w:lang w:bidi="en-US"/>
    </w:rPr>
  </w:style>
  <w:style w:type="character" w:customStyle="1" w:styleId="500">
    <w:name w:val="图表标题 Char"/>
    <w:qFormat/>
    <w:uiPriority w:val="0"/>
    <w:rPr>
      <w:rFonts w:ascii="黑体" w:hAnsi="Calibri" w:eastAsia="黑体"/>
      <w:sz w:val="24"/>
      <w:szCs w:val="24"/>
      <w:lang w:val="en-US" w:eastAsia="zh-CN" w:bidi="en-US"/>
    </w:rPr>
  </w:style>
  <w:style w:type="paragraph" w:customStyle="1" w:styleId="501">
    <w:name w:val="1标题4级"/>
    <w:basedOn w:val="502"/>
    <w:qFormat/>
    <w:uiPriority w:val="0"/>
  </w:style>
  <w:style w:type="paragraph" w:customStyle="1" w:styleId="502">
    <w:name w:val="1标题3级"/>
    <w:basedOn w:val="503"/>
    <w:qFormat/>
    <w:uiPriority w:val="0"/>
  </w:style>
  <w:style w:type="paragraph" w:customStyle="1" w:styleId="503">
    <w:name w:val="1标题2级"/>
    <w:basedOn w:val="1"/>
    <w:qFormat/>
    <w:uiPriority w:val="0"/>
    <w:pPr>
      <w:keepNext/>
      <w:snapToGrid w:val="0"/>
      <w:spacing w:before="0" w:beforeLines="0" w:line="420" w:lineRule="auto"/>
      <w:outlineLvl w:val="1"/>
    </w:pPr>
    <w:rPr>
      <w:rFonts w:eastAsia="黑体"/>
      <w:b/>
      <w:sz w:val="28"/>
      <w:szCs w:val="20"/>
    </w:rPr>
  </w:style>
  <w:style w:type="paragraph" w:customStyle="1" w:styleId="504">
    <w:name w:val="1文章"/>
    <w:basedOn w:val="1"/>
    <w:qFormat/>
    <w:uiPriority w:val="0"/>
    <w:pPr>
      <w:snapToGrid w:val="0"/>
      <w:spacing w:before="0" w:beforeLines="0" w:line="360" w:lineRule="auto"/>
      <w:ind w:firstLine="454"/>
      <w:outlineLvl w:val="4"/>
    </w:pPr>
    <w:rPr>
      <w:spacing w:val="4"/>
      <w:sz w:val="24"/>
    </w:rPr>
  </w:style>
  <w:style w:type="paragraph" w:customStyle="1" w:styleId="505">
    <w:name w:val="1表格头"/>
    <w:basedOn w:val="506"/>
    <w:qFormat/>
    <w:uiPriority w:val="0"/>
  </w:style>
  <w:style w:type="paragraph" w:customStyle="1" w:styleId="506">
    <w:name w:val="1表格"/>
    <w:basedOn w:val="504"/>
    <w:qFormat/>
    <w:uiPriority w:val="0"/>
    <w:pPr>
      <w:spacing w:line="240" w:lineRule="auto"/>
      <w:ind w:firstLine="0"/>
      <w:jc w:val="center"/>
    </w:pPr>
    <w:rPr>
      <w:sz w:val="21"/>
    </w:rPr>
  </w:style>
  <w:style w:type="paragraph" w:customStyle="1" w:styleId="507">
    <w:name w:val="图片"/>
    <w:qFormat/>
    <w:uiPriority w:val="0"/>
    <w:pPr>
      <w:widowControl w:val="0"/>
      <w:adjustRightInd w:val="0"/>
      <w:snapToGrid w:val="0"/>
      <w:spacing w:line="360" w:lineRule="atLeast"/>
      <w:jc w:val="center"/>
    </w:pPr>
    <w:rPr>
      <w:rFonts w:ascii="Times New Roman" w:hAnsi="Times New Roman" w:eastAsia="宋体" w:cs="Times New Roman"/>
      <w:bCs/>
      <w:snapToGrid w:val="0"/>
      <w:sz w:val="21"/>
      <w:szCs w:val="21"/>
      <w:lang w:val="en-US" w:eastAsia="zh-CN" w:bidi="ar-SA"/>
    </w:rPr>
  </w:style>
  <w:style w:type="paragraph" w:customStyle="1" w:styleId="508">
    <w:name w:val="表格五中"/>
    <w:qFormat/>
    <w:uiPriority w:val="0"/>
    <w:pPr>
      <w:adjustRightInd w:val="0"/>
      <w:snapToGrid w:val="0"/>
      <w:jc w:val="center"/>
    </w:pPr>
    <w:rPr>
      <w:rFonts w:ascii="宋体" w:hAnsi="宋体" w:eastAsia="宋体" w:cs="Times New Roman"/>
      <w:color w:val="000000"/>
      <w:sz w:val="21"/>
      <w:lang w:val="en-US" w:eastAsia="zh-CN" w:bidi="ar-SA"/>
    </w:rPr>
  </w:style>
  <w:style w:type="paragraph" w:customStyle="1" w:styleId="509">
    <w:name w:val="列项·"/>
    <w:qFormat/>
    <w:uiPriority w:val="0"/>
    <w:pPr>
      <w:tabs>
        <w:tab w:val="left" w:pos="420"/>
        <w:tab w:val="left" w:pos="840"/>
      </w:tabs>
      <w:ind w:left="840" w:leftChars="200" w:hanging="420" w:hangingChars="200"/>
      <w:jc w:val="both"/>
    </w:pPr>
    <w:rPr>
      <w:rFonts w:ascii="宋体" w:hAnsi="Times New Roman" w:eastAsia="宋体" w:cs="Times New Roman"/>
      <w:sz w:val="21"/>
      <w:lang w:val="en-US" w:eastAsia="zh-CN" w:bidi="ar-SA"/>
    </w:rPr>
  </w:style>
  <w:style w:type="paragraph" w:customStyle="1" w:styleId="510">
    <w:name w:val="样式 首行缩进 Char + 首行缩进:  2.57 字符"/>
    <w:basedOn w:val="1"/>
    <w:qFormat/>
    <w:uiPriority w:val="0"/>
    <w:pPr>
      <w:snapToGrid w:val="0"/>
      <w:spacing w:before="0" w:beforeLines="0" w:line="480" w:lineRule="auto"/>
      <w:ind w:firstLine="480" w:firstLineChars="225"/>
    </w:pPr>
    <w:rPr>
      <w:color w:val="000000"/>
    </w:rPr>
  </w:style>
  <w:style w:type="paragraph" w:customStyle="1" w:styleId="511">
    <w:name w:val="00正文"/>
    <w:basedOn w:val="1"/>
    <w:qFormat/>
    <w:uiPriority w:val="0"/>
    <w:pPr>
      <w:snapToGrid w:val="0"/>
      <w:spacing w:before="0" w:beforeLines="0" w:line="400" w:lineRule="exact"/>
      <w:ind w:firstLine="480"/>
      <w:jc w:val="center"/>
    </w:pPr>
  </w:style>
  <w:style w:type="paragraph" w:customStyle="1" w:styleId="512">
    <w:name w:val="正文首行缩进2字符"/>
    <w:basedOn w:val="1"/>
    <w:qFormat/>
    <w:uiPriority w:val="0"/>
    <w:pPr>
      <w:autoSpaceDE w:val="0"/>
      <w:autoSpaceDN w:val="0"/>
      <w:spacing w:before="0" w:beforeLines="0" w:line="560" w:lineRule="exact"/>
      <w:ind w:firstLine="200" w:firstLineChars="200"/>
    </w:pPr>
    <w:rPr>
      <w:kern w:val="0"/>
      <w:sz w:val="28"/>
    </w:rPr>
  </w:style>
  <w:style w:type="paragraph" w:customStyle="1" w:styleId="513">
    <w:name w:val="表格1"/>
    <w:basedOn w:val="1"/>
    <w:link w:val="687"/>
    <w:qFormat/>
    <w:uiPriority w:val="0"/>
    <w:pPr>
      <w:adjustRightInd w:val="0"/>
      <w:spacing w:before="0" w:beforeLines="0" w:line="20" w:lineRule="atLeast"/>
      <w:jc w:val="center"/>
      <w:textAlignment w:val="center"/>
    </w:pPr>
    <w:rPr>
      <w:rFonts w:ascii="CG Times (W1)"/>
      <w:kern w:val="0"/>
      <w:szCs w:val="20"/>
    </w:rPr>
  </w:style>
  <w:style w:type="paragraph" w:customStyle="1" w:styleId="514">
    <w:name w:val="xl57"/>
    <w:basedOn w:val="1"/>
    <w:qFormat/>
    <w:uiPriority w:val="0"/>
    <w:pPr>
      <w:widowControl/>
      <w:pBdr>
        <w:left w:val="single" w:color="auto" w:sz="4" w:space="0"/>
        <w:right w:val="single" w:color="auto" w:sz="4" w:space="0"/>
      </w:pBdr>
      <w:spacing w:before="100" w:beforeLines="0" w:after="100" w:line="240" w:lineRule="auto"/>
      <w:jc w:val="center"/>
      <w:textAlignment w:val="center"/>
    </w:pPr>
    <w:rPr>
      <w:rFonts w:ascii="宋体" w:hAnsi="宋体"/>
      <w:kern w:val="0"/>
      <w:sz w:val="22"/>
      <w:szCs w:val="20"/>
    </w:rPr>
  </w:style>
  <w:style w:type="paragraph" w:customStyle="1" w:styleId="515">
    <w:name w:val="6"/>
    <w:basedOn w:val="1"/>
    <w:next w:val="6"/>
    <w:qFormat/>
    <w:uiPriority w:val="0"/>
    <w:pPr>
      <w:adjustRightInd w:val="0"/>
      <w:spacing w:before="0" w:beforeLines="0" w:line="312" w:lineRule="atLeast"/>
      <w:ind w:firstLine="420"/>
      <w:textAlignment w:val="baseline"/>
    </w:pPr>
    <w:rPr>
      <w:kern w:val="0"/>
      <w:sz w:val="28"/>
      <w:szCs w:val="20"/>
    </w:rPr>
  </w:style>
  <w:style w:type="paragraph" w:customStyle="1" w:styleId="516">
    <w:name w:val="样式"/>
    <w:basedOn w:val="1"/>
    <w:next w:val="47"/>
    <w:qFormat/>
    <w:uiPriority w:val="0"/>
    <w:pPr>
      <w:widowControl/>
      <w:spacing w:before="0" w:beforeLines="0" w:line="240" w:lineRule="auto"/>
      <w:jc w:val="left"/>
    </w:pPr>
    <w:rPr>
      <w:rFonts w:ascii="宋体" w:hAnsi="Courier New" w:cs="Century"/>
      <w:kern w:val="0"/>
      <w:szCs w:val="21"/>
    </w:rPr>
  </w:style>
  <w:style w:type="character" w:customStyle="1" w:styleId="517">
    <w:name w:val="正文首行缩进 2 字符"/>
    <w:basedOn w:val="242"/>
    <w:qFormat/>
    <w:uiPriority w:val="0"/>
    <w:rPr>
      <w:rFonts w:ascii="Times New Roman" w:hAnsi="Times New Roman" w:eastAsia="宋体" w:cs="Times New Roman"/>
      <w:kern w:val="2"/>
      <w:sz w:val="24"/>
      <w:szCs w:val="20"/>
    </w:rPr>
  </w:style>
  <w:style w:type="character" w:customStyle="1" w:styleId="518">
    <w:name w:val="正文（小四）"/>
    <w:qFormat/>
    <w:uiPriority w:val="0"/>
    <w:rPr>
      <w:rFonts w:ascii="Times New Roman" w:hAnsi="Times New Roman" w:eastAsia="宋体"/>
      <w:sz w:val="24"/>
    </w:rPr>
  </w:style>
  <w:style w:type="paragraph" w:customStyle="1" w:styleId="519">
    <w:name w:val="font8"/>
    <w:basedOn w:val="1"/>
    <w:qFormat/>
    <w:uiPriority w:val="0"/>
    <w:pPr>
      <w:widowControl/>
      <w:spacing w:before="100" w:beforeLines="0" w:beforeAutospacing="1" w:after="100" w:afterAutospacing="1" w:line="240" w:lineRule="auto"/>
      <w:jc w:val="left"/>
    </w:pPr>
    <w:rPr>
      <w:rFonts w:hint="eastAsia" w:ascii="宋体"/>
      <w:kern w:val="0"/>
      <w:sz w:val="22"/>
      <w:szCs w:val="22"/>
    </w:rPr>
  </w:style>
  <w:style w:type="paragraph" w:customStyle="1" w:styleId="520">
    <w:name w:val="font9"/>
    <w:basedOn w:val="1"/>
    <w:qFormat/>
    <w:uiPriority w:val="0"/>
    <w:pPr>
      <w:widowControl/>
      <w:spacing w:before="100" w:beforeLines="0" w:beforeAutospacing="1" w:after="100" w:afterAutospacing="1" w:line="240" w:lineRule="auto"/>
      <w:jc w:val="left"/>
    </w:pPr>
    <w:rPr>
      <w:rFonts w:hint="eastAsia" w:ascii="宋体"/>
      <w:b/>
      <w:bCs/>
      <w:kern w:val="0"/>
      <w:sz w:val="24"/>
    </w:rPr>
  </w:style>
  <w:style w:type="paragraph" w:customStyle="1" w:styleId="521">
    <w:name w:val="font10"/>
    <w:basedOn w:val="1"/>
    <w:qFormat/>
    <w:uiPriority w:val="0"/>
    <w:pPr>
      <w:widowControl/>
      <w:spacing w:before="100" w:beforeLines="0" w:beforeAutospacing="1" w:after="100" w:afterAutospacing="1" w:line="240" w:lineRule="auto"/>
      <w:jc w:val="left"/>
    </w:pPr>
    <w:rPr>
      <w:b/>
      <w:bCs/>
      <w:kern w:val="0"/>
      <w:sz w:val="24"/>
    </w:rPr>
  </w:style>
  <w:style w:type="paragraph" w:customStyle="1" w:styleId="522">
    <w:name w:val="xl23"/>
    <w:basedOn w:val="1"/>
    <w:qFormat/>
    <w:uiPriority w:val="0"/>
    <w:pPr>
      <w:widowControl/>
      <w:pBdr>
        <w:top w:val="single" w:color="auto" w:sz="4" w:space="0"/>
        <w:left w:val="single" w:color="auto" w:sz="4" w:space="0"/>
      </w:pBdr>
      <w:spacing w:before="100" w:beforeLines="0" w:beforeAutospacing="1" w:after="100" w:afterAutospacing="1" w:line="240" w:lineRule="auto"/>
      <w:jc w:val="left"/>
      <w:textAlignment w:val="top"/>
    </w:pPr>
    <w:rPr>
      <w:rFonts w:ascii="Arial Unicode MS" w:hAnsi="Arial Unicode MS" w:eastAsia="Arial Unicode MS"/>
      <w:kern w:val="0"/>
      <w:sz w:val="24"/>
    </w:rPr>
  </w:style>
  <w:style w:type="paragraph" w:customStyle="1" w:styleId="52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right"/>
    </w:pPr>
    <w:rPr>
      <w:rFonts w:ascii="Arial Unicode MS" w:hAnsi="Arial Unicode MS" w:eastAsia="Arial Unicode MS"/>
      <w:kern w:val="0"/>
      <w:sz w:val="24"/>
    </w:rPr>
  </w:style>
  <w:style w:type="paragraph" w:customStyle="1" w:styleId="52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right"/>
      <w:textAlignment w:val="center"/>
    </w:pPr>
    <w:rPr>
      <w:rFonts w:ascii="Arial Unicode MS" w:hAnsi="Arial Unicode MS" w:eastAsia="Arial Unicode MS"/>
      <w:kern w:val="0"/>
      <w:sz w:val="24"/>
    </w:rPr>
  </w:style>
  <w:style w:type="paragraph" w:customStyle="1" w:styleId="52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center"/>
      <w:textAlignment w:val="center"/>
    </w:pPr>
    <w:rPr>
      <w:rFonts w:ascii="Arial Unicode MS" w:hAnsi="Arial Unicode MS" w:eastAsia="Arial Unicode MS"/>
      <w:kern w:val="0"/>
      <w:sz w:val="24"/>
    </w:rPr>
  </w:style>
  <w:style w:type="paragraph" w:customStyle="1" w:styleId="526">
    <w:name w:val="xl35"/>
    <w:basedOn w:val="1"/>
    <w:qFormat/>
    <w:uiPriority w:val="0"/>
    <w:pPr>
      <w:widowControl/>
      <w:pBdr>
        <w:top w:val="single" w:color="auto" w:sz="4" w:space="0"/>
        <w:left w:val="single" w:color="auto" w:sz="4" w:space="0"/>
        <w:bottom w:val="single" w:color="auto" w:sz="4" w:space="0"/>
      </w:pBdr>
      <w:spacing w:before="100" w:beforeLines="0" w:beforeAutospacing="1" w:after="100" w:afterAutospacing="1" w:line="240" w:lineRule="auto"/>
      <w:jc w:val="left"/>
      <w:textAlignment w:val="center"/>
    </w:pPr>
    <w:rPr>
      <w:rFonts w:eastAsia="Arial Unicode MS"/>
      <w:kern w:val="0"/>
      <w:sz w:val="24"/>
    </w:rPr>
  </w:style>
  <w:style w:type="paragraph" w:customStyle="1" w:styleId="527">
    <w:name w:val="xl36"/>
    <w:basedOn w:val="1"/>
    <w:qFormat/>
    <w:uiPriority w:val="0"/>
    <w:pPr>
      <w:widowControl/>
      <w:pBdr>
        <w:top w:val="single" w:color="auto" w:sz="4" w:space="0"/>
        <w:bottom w:val="single" w:color="auto" w:sz="4" w:space="0"/>
        <w:right w:val="single" w:color="auto" w:sz="4" w:space="0"/>
      </w:pBdr>
      <w:spacing w:before="100" w:beforeLines="0" w:beforeAutospacing="1" w:after="100" w:afterAutospacing="1" w:line="240" w:lineRule="auto"/>
      <w:jc w:val="left"/>
      <w:textAlignment w:val="center"/>
    </w:pPr>
    <w:rPr>
      <w:rFonts w:ascii="Arial Unicode MS" w:hAnsi="Arial Unicode MS" w:eastAsia="Arial Unicode MS"/>
      <w:kern w:val="0"/>
      <w:sz w:val="24"/>
    </w:rPr>
  </w:style>
  <w:style w:type="paragraph" w:customStyle="1" w:styleId="528">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center"/>
      <w:textAlignment w:val="center"/>
    </w:pPr>
    <w:rPr>
      <w:rFonts w:ascii="Arial Unicode MS" w:hAnsi="Arial Unicode MS" w:eastAsia="Arial Unicode MS"/>
      <w:kern w:val="0"/>
      <w:sz w:val="24"/>
    </w:rPr>
  </w:style>
  <w:style w:type="paragraph" w:customStyle="1" w:styleId="529">
    <w:name w:val="xl38"/>
    <w:basedOn w:val="1"/>
    <w:qFormat/>
    <w:uiPriority w:val="0"/>
    <w:pPr>
      <w:widowControl/>
      <w:pBdr>
        <w:top w:val="single" w:color="auto" w:sz="4" w:space="0"/>
        <w:left w:val="single" w:color="auto" w:sz="4" w:space="0"/>
        <w:bottom w:val="single" w:color="auto" w:sz="4" w:space="0"/>
      </w:pBdr>
      <w:spacing w:before="100" w:beforeLines="0" w:beforeAutospacing="1" w:after="100" w:afterAutospacing="1" w:line="240" w:lineRule="auto"/>
      <w:jc w:val="left"/>
      <w:textAlignment w:val="center"/>
    </w:pPr>
    <w:rPr>
      <w:rFonts w:ascii="Arial Unicode MS" w:hAnsi="Arial Unicode MS" w:eastAsia="Arial Unicode MS"/>
      <w:kern w:val="0"/>
      <w:sz w:val="24"/>
    </w:rPr>
  </w:style>
  <w:style w:type="paragraph" w:customStyle="1" w:styleId="530">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center"/>
      <w:textAlignment w:val="center"/>
    </w:pPr>
    <w:rPr>
      <w:rFonts w:eastAsia="Arial Unicode MS"/>
      <w:kern w:val="0"/>
      <w:sz w:val="24"/>
    </w:rPr>
  </w:style>
  <w:style w:type="paragraph" w:customStyle="1" w:styleId="531">
    <w:name w:val="xl40"/>
    <w:basedOn w:val="1"/>
    <w:qFormat/>
    <w:uiPriority w:val="0"/>
    <w:pPr>
      <w:widowControl/>
      <w:pBdr>
        <w:top w:val="single" w:color="auto" w:sz="4" w:space="0"/>
        <w:left w:val="single" w:color="auto" w:sz="4" w:space="0"/>
        <w:right w:val="single" w:color="auto" w:sz="4" w:space="0"/>
      </w:pBdr>
      <w:spacing w:before="100" w:beforeLines="0" w:beforeAutospacing="1" w:after="100" w:afterAutospacing="1" w:line="240" w:lineRule="auto"/>
      <w:jc w:val="center"/>
      <w:textAlignment w:val="center"/>
    </w:pPr>
    <w:rPr>
      <w:rFonts w:ascii="Arial Unicode MS" w:hAnsi="Arial Unicode MS" w:eastAsia="Arial Unicode MS"/>
      <w:kern w:val="0"/>
      <w:sz w:val="24"/>
    </w:rPr>
  </w:style>
  <w:style w:type="paragraph" w:customStyle="1" w:styleId="532">
    <w:name w:val="xl41"/>
    <w:basedOn w:val="1"/>
    <w:qFormat/>
    <w:uiPriority w:val="0"/>
    <w:pPr>
      <w:widowControl/>
      <w:pBdr>
        <w:top w:val="single" w:color="auto" w:sz="4" w:space="0"/>
        <w:left w:val="single" w:color="auto" w:sz="4" w:space="0"/>
        <w:bottom w:val="single" w:color="auto" w:sz="4" w:space="0"/>
      </w:pBdr>
      <w:spacing w:before="100" w:beforeLines="0" w:beforeAutospacing="1" w:after="100" w:afterAutospacing="1" w:line="240" w:lineRule="auto"/>
      <w:jc w:val="center"/>
      <w:textAlignment w:val="center"/>
    </w:pPr>
    <w:rPr>
      <w:rFonts w:ascii="Arial Unicode MS" w:hAnsi="Arial Unicode MS" w:eastAsia="Arial Unicode MS"/>
      <w:kern w:val="0"/>
      <w:sz w:val="24"/>
    </w:rPr>
  </w:style>
  <w:style w:type="paragraph" w:customStyle="1" w:styleId="533">
    <w:name w:val="xl42"/>
    <w:basedOn w:val="1"/>
    <w:qFormat/>
    <w:uiPriority w:val="0"/>
    <w:pPr>
      <w:widowControl/>
      <w:pBdr>
        <w:top w:val="single" w:color="auto" w:sz="4" w:space="0"/>
        <w:bottom w:val="single" w:color="auto" w:sz="4" w:space="0"/>
      </w:pBdr>
      <w:spacing w:before="100" w:beforeLines="0" w:beforeAutospacing="1" w:after="100" w:afterAutospacing="1" w:line="240" w:lineRule="auto"/>
      <w:jc w:val="center"/>
      <w:textAlignment w:val="center"/>
    </w:pPr>
    <w:rPr>
      <w:rFonts w:ascii="Arial Unicode MS" w:hAnsi="Arial Unicode MS" w:eastAsia="Arial Unicode MS"/>
      <w:kern w:val="0"/>
      <w:sz w:val="24"/>
    </w:rPr>
  </w:style>
  <w:style w:type="paragraph" w:customStyle="1" w:styleId="534">
    <w:name w:val="xl43"/>
    <w:basedOn w:val="1"/>
    <w:qFormat/>
    <w:uiPriority w:val="0"/>
    <w:pPr>
      <w:widowControl/>
      <w:pBdr>
        <w:top w:val="single" w:color="auto" w:sz="4" w:space="0"/>
        <w:bottom w:val="single" w:color="auto" w:sz="4" w:space="0"/>
        <w:right w:val="single" w:color="auto" w:sz="4" w:space="0"/>
      </w:pBdr>
      <w:spacing w:before="100" w:beforeLines="0" w:beforeAutospacing="1" w:after="100" w:afterAutospacing="1" w:line="240" w:lineRule="auto"/>
      <w:jc w:val="center"/>
      <w:textAlignment w:val="center"/>
    </w:pPr>
    <w:rPr>
      <w:rFonts w:ascii="Arial Unicode MS" w:hAnsi="Arial Unicode MS" w:eastAsia="Arial Unicode MS"/>
      <w:kern w:val="0"/>
      <w:sz w:val="24"/>
    </w:rPr>
  </w:style>
  <w:style w:type="paragraph" w:customStyle="1" w:styleId="535">
    <w:name w:val="xl44"/>
    <w:basedOn w:val="1"/>
    <w:qFormat/>
    <w:uiPriority w:val="0"/>
    <w:pPr>
      <w:widowControl/>
      <w:pBdr>
        <w:top w:val="single" w:color="auto" w:sz="4" w:space="0"/>
        <w:bottom w:val="single" w:color="auto" w:sz="4" w:space="0"/>
      </w:pBdr>
      <w:spacing w:before="100" w:beforeLines="0" w:beforeAutospacing="1" w:after="100" w:afterAutospacing="1" w:line="240" w:lineRule="auto"/>
      <w:jc w:val="center"/>
      <w:textAlignment w:val="center"/>
    </w:pPr>
    <w:rPr>
      <w:rFonts w:ascii="Arial Unicode MS" w:hAnsi="Arial Unicode MS" w:eastAsia="Arial Unicode MS"/>
      <w:kern w:val="0"/>
      <w:sz w:val="24"/>
    </w:rPr>
  </w:style>
  <w:style w:type="paragraph" w:customStyle="1" w:styleId="536">
    <w:name w:val="xl45"/>
    <w:basedOn w:val="1"/>
    <w:qFormat/>
    <w:uiPriority w:val="0"/>
    <w:pPr>
      <w:widowControl/>
      <w:pBdr>
        <w:top w:val="single" w:color="auto" w:sz="4" w:space="0"/>
        <w:bottom w:val="single" w:color="auto" w:sz="4" w:space="0"/>
        <w:right w:val="single" w:color="auto" w:sz="4" w:space="0"/>
      </w:pBdr>
      <w:spacing w:before="100" w:beforeLines="0" w:beforeAutospacing="1" w:after="100" w:afterAutospacing="1" w:line="240" w:lineRule="auto"/>
      <w:jc w:val="center"/>
      <w:textAlignment w:val="center"/>
    </w:pPr>
    <w:rPr>
      <w:rFonts w:ascii="Arial Unicode MS" w:hAnsi="Arial Unicode MS" w:eastAsia="Arial Unicode MS"/>
      <w:kern w:val="0"/>
      <w:sz w:val="24"/>
    </w:rPr>
  </w:style>
  <w:style w:type="paragraph" w:customStyle="1" w:styleId="537">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center"/>
      <w:textAlignment w:val="center"/>
    </w:pPr>
    <w:rPr>
      <w:rFonts w:ascii="Arial Unicode MS" w:hAnsi="Arial Unicode MS" w:eastAsia="Arial Unicode MS"/>
      <w:kern w:val="0"/>
      <w:sz w:val="36"/>
      <w:szCs w:val="36"/>
    </w:rPr>
  </w:style>
  <w:style w:type="paragraph" w:customStyle="1" w:styleId="538">
    <w:name w:val="xl47"/>
    <w:basedOn w:val="1"/>
    <w:qFormat/>
    <w:uiPriority w:val="0"/>
    <w:pPr>
      <w:widowControl/>
      <w:pBdr>
        <w:top w:val="single" w:color="auto" w:sz="4" w:space="0"/>
        <w:bottom w:val="single" w:color="auto" w:sz="4" w:space="0"/>
        <w:right w:val="single" w:color="auto" w:sz="4" w:space="0"/>
      </w:pBdr>
      <w:spacing w:before="100" w:beforeLines="0" w:beforeAutospacing="1" w:after="100" w:afterAutospacing="1" w:line="240" w:lineRule="auto"/>
      <w:jc w:val="center"/>
      <w:textAlignment w:val="center"/>
    </w:pPr>
    <w:rPr>
      <w:rFonts w:ascii="Arial Unicode MS" w:hAnsi="Arial Unicode MS" w:eastAsia="Arial Unicode MS"/>
      <w:kern w:val="0"/>
      <w:sz w:val="24"/>
    </w:rPr>
  </w:style>
  <w:style w:type="paragraph" w:customStyle="1" w:styleId="539">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center"/>
      <w:textAlignment w:val="center"/>
    </w:pPr>
    <w:rPr>
      <w:rFonts w:ascii="Arial Unicode MS" w:hAnsi="Arial Unicode MS" w:eastAsia="Arial Unicode MS"/>
      <w:kern w:val="0"/>
      <w:sz w:val="36"/>
      <w:szCs w:val="36"/>
    </w:rPr>
  </w:style>
  <w:style w:type="paragraph" w:customStyle="1" w:styleId="540">
    <w:name w:val="内容"/>
    <w:basedOn w:val="1"/>
    <w:qFormat/>
    <w:uiPriority w:val="0"/>
    <w:pPr>
      <w:spacing w:before="0" w:beforeLines="0" w:line="240" w:lineRule="auto"/>
      <w:ind w:firstLine="420" w:firstLineChars="200"/>
      <w:jc w:val="left"/>
    </w:pPr>
    <w:rPr>
      <w:rFonts w:ascii="宋体" w:hAnsi="宋体"/>
      <w:szCs w:val="28"/>
    </w:rPr>
  </w:style>
  <w:style w:type="paragraph" w:customStyle="1" w:styleId="541">
    <w:name w:val="表内小四中"/>
    <w:qFormat/>
    <w:uiPriority w:val="0"/>
    <w:pPr>
      <w:adjustRightInd w:val="0"/>
      <w:ind w:left="-50"/>
      <w:jc w:val="center"/>
      <w:textAlignment w:val="baseline"/>
    </w:pPr>
    <w:rPr>
      <w:rFonts w:ascii="Times New Roman" w:hAnsi="Times New Roman" w:eastAsia="宋体" w:cs="Times New Roman"/>
      <w:sz w:val="24"/>
      <w:lang w:val="en-US" w:eastAsia="zh-CN" w:bidi="ar-SA"/>
    </w:rPr>
  </w:style>
  <w:style w:type="paragraph" w:customStyle="1" w:styleId="542">
    <w:name w:val="表名称"/>
    <w:qFormat/>
    <w:uiPriority w:val="0"/>
    <w:pPr>
      <w:widowControl w:val="0"/>
      <w:tabs>
        <w:tab w:val="left" w:pos="0"/>
        <w:tab w:val="left" w:pos="756"/>
        <w:tab w:val="left" w:pos="945"/>
      </w:tabs>
      <w:spacing w:before="120" w:after="120" w:line="360" w:lineRule="auto"/>
      <w:jc w:val="center"/>
    </w:pPr>
    <w:rPr>
      <w:rFonts w:ascii="宋体" w:hAnsi="宋体" w:eastAsia="宋体" w:cs="Times New Roman"/>
      <w:b/>
      <w:bCs/>
      <w:sz w:val="21"/>
      <w:szCs w:val="21"/>
      <w:lang w:val="en-US" w:eastAsia="zh-CN" w:bidi="ar-SA"/>
    </w:rPr>
  </w:style>
  <w:style w:type="paragraph" w:customStyle="1" w:styleId="543">
    <w:name w:val="图表名称"/>
    <w:basedOn w:val="54"/>
    <w:next w:val="54"/>
    <w:link w:val="2475"/>
    <w:qFormat/>
    <w:uiPriority w:val="0"/>
    <w:pPr>
      <w:autoSpaceDE/>
      <w:autoSpaceDN/>
      <w:spacing w:after="120"/>
      <w:jc w:val="both"/>
    </w:pPr>
    <w:rPr>
      <w:rFonts w:ascii="Times New Roman" w:hAnsi="Times New Roman" w:cs="Times New Roman"/>
      <w:kern w:val="2"/>
      <w:sz w:val="21"/>
      <w:lang w:val="en-US" w:bidi="ar-SA"/>
    </w:rPr>
  </w:style>
  <w:style w:type="paragraph" w:customStyle="1" w:styleId="544">
    <w:name w:val="PP 行"/>
    <w:basedOn w:val="60"/>
    <w:qFormat/>
    <w:uiPriority w:val="0"/>
  </w:style>
  <w:style w:type="character" w:customStyle="1" w:styleId="545">
    <w:name w:val="签名 字符1"/>
    <w:link w:val="60"/>
    <w:qFormat/>
    <w:uiPriority w:val="0"/>
    <w:rPr>
      <w:kern w:val="2"/>
      <w:sz w:val="21"/>
      <w:szCs w:val="24"/>
    </w:rPr>
  </w:style>
  <w:style w:type="paragraph" w:customStyle="1" w:styleId="546">
    <w:name w:val="内部地址姓名"/>
    <w:basedOn w:val="1"/>
    <w:qFormat/>
    <w:uiPriority w:val="0"/>
    <w:pPr>
      <w:spacing w:before="0" w:beforeLines="0" w:line="240" w:lineRule="auto"/>
    </w:pPr>
  </w:style>
  <w:style w:type="paragraph" w:customStyle="1" w:styleId="547">
    <w:name w:val="首行缩进2字符"/>
    <w:basedOn w:val="1"/>
    <w:qFormat/>
    <w:uiPriority w:val="0"/>
    <w:pPr>
      <w:spacing w:before="0" w:beforeLines="0" w:line="460" w:lineRule="exact"/>
    </w:pPr>
    <w:rPr>
      <w:sz w:val="28"/>
      <w:szCs w:val="20"/>
    </w:rPr>
  </w:style>
  <w:style w:type="paragraph" w:customStyle="1" w:styleId="548">
    <w:name w:val="点项目"/>
    <w:qFormat/>
    <w:uiPriority w:val="0"/>
    <w:pPr>
      <w:tabs>
        <w:tab w:val="left" w:pos="550"/>
        <w:tab w:val="left" w:pos="874"/>
      </w:tabs>
      <w:adjustRightInd w:val="0"/>
      <w:snapToGrid w:val="0"/>
      <w:spacing w:before="240" w:line="240" w:lineRule="atLeast"/>
      <w:ind w:left="874" w:hanging="420"/>
      <w:jc w:val="both"/>
    </w:pPr>
    <w:rPr>
      <w:rFonts w:ascii="Times New Roman" w:hAnsi="Times New Roman" w:eastAsia="宋体" w:cs="Times New Roman"/>
      <w:b/>
      <w:spacing w:val="12"/>
      <w:sz w:val="24"/>
      <w:lang w:val="en-US" w:eastAsia="zh-CN" w:bidi="ar-SA"/>
    </w:rPr>
  </w:style>
  <w:style w:type="paragraph" w:customStyle="1" w:styleId="549">
    <w:name w:val="名录"/>
    <w:basedOn w:val="1"/>
    <w:qFormat/>
    <w:uiPriority w:val="0"/>
    <w:pPr>
      <w:snapToGrid w:val="0"/>
      <w:spacing w:before="0" w:beforeLines="0" w:line="240" w:lineRule="auto"/>
      <w:ind w:left="-140" w:leftChars="-50" w:right="-140" w:rightChars="-50"/>
      <w:jc w:val="center"/>
    </w:pPr>
    <w:rPr>
      <w:color w:val="000000"/>
      <w:spacing w:val="20"/>
      <w:szCs w:val="18"/>
    </w:rPr>
  </w:style>
  <w:style w:type="paragraph" w:customStyle="1" w:styleId="550">
    <w:name w:val="表注"/>
    <w:basedOn w:val="1"/>
    <w:next w:val="54"/>
    <w:qFormat/>
    <w:uiPriority w:val="0"/>
    <w:pPr>
      <w:spacing w:before="0" w:beforeLines="0" w:line="240" w:lineRule="auto"/>
    </w:pPr>
  </w:style>
  <w:style w:type="paragraph" w:customStyle="1" w:styleId="551">
    <w:name w:val="表内五中"/>
    <w:qFormat/>
    <w:uiPriority w:val="0"/>
    <w:pPr>
      <w:adjustRightInd w:val="0"/>
      <w:ind w:left="-50"/>
      <w:jc w:val="center"/>
      <w:textAlignment w:val="baseline"/>
    </w:pPr>
    <w:rPr>
      <w:rFonts w:ascii="Times New Roman" w:hAnsi="Times New Roman" w:eastAsia="宋体" w:cs="Times New Roman"/>
      <w:sz w:val="21"/>
      <w:lang w:val="en-US" w:eastAsia="zh-CN" w:bidi="ar-SA"/>
    </w:rPr>
  </w:style>
  <w:style w:type="paragraph" w:customStyle="1" w:styleId="552">
    <w:name w:val="表格 3"/>
    <w:basedOn w:val="1"/>
    <w:qFormat/>
    <w:uiPriority w:val="0"/>
    <w:pPr>
      <w:autoSpaceDE w:val="0"/>
      <w:autoSpaceDN w:val="0"/>
      <w:adjustRightInd w:val="0"/>
      <w:spacing w:before="0" w:beforeLines="0" w:line="240" w:lineRule="atLeast"/>
      <w:ind w:right="120" w:firstLine="236" w:firstLineChars="200"/>
    </w:pPr>
    <w:rPr>
      <w:rFonts w:ascii="宋体" w:hAnsi="宋体"/>
      <w:color w:val="000000"/>
      <w:w w:val="66"/>
      <w:kern w:val="0"/>
      <w:szCs w:val="20"/>
    </w:rPr>
  </w:style>
  <w:style w:type="paragraph" w:customStyle="1" w:styleId="553">
    <w:name w:val="acee正文"/>
    <w:basedOn w:val="1"/>
    <w:qFormat/>
    <w:uiPriority w:val="0"/>
    <w:pPr>
      <w:spacing w:before="0" w:beforeLines="0" w:line="480" w:lineRule="exact"/>
      <w:ind w:firstLine="640" w:firstLineChars="200"/>
    </w:pPr>
    <w:rPr>
      <w:rFonts w:ascii="仿宋_GB2312" w:hAnsi="宋体" w:eastAsia="仿宋_GB2312"/>
      <w:sz w:val="32"/>
    </w:rPr>
  </w:style>
  <w:style w:type="paragraph" w:customStyle="1" w:styleId="554">
    <w:name w:val="图名称 Char Char Char Char Char Char Char Char Char Char"/>
    <w:basedOn w:val="1"/>
    <w:qFormat/>
    <w:uiPriority w:val="0"/>
    <w:pPr>
      <w:tabs>
        <w:tab w:val="left" w:pos="-120"/>
      </w:tabs>
      <w:adjustRightInd w:val="0"/>
      <w:snapToGrid w:val="0"/>
      <w:spacing w:before="120" w:beforeLines="50" w:line="360" w:lineRule="auto"/>
    </w:pPr>
    <w:rPr>
      <w:color w:val="000000"/>
      <w:kern w:val="0"/>
      <w:sz w:val="24"/>
      <w:szCs w:val="20"/>
    </w:rPr>
  </w:style>
  <w:style w:type="character" w:customStyle="1" w:styleId="555">
    <w:name w:val="首行缩进 Char Char"/>
    <w:qFormat/>
    <w:uiPriority w:val="0"/>
    <w:rPr>
      <w:rFonts w:eastAsia="宋体"/>
      <w:color w:val="000000"/>
      <w:kern w:val="2"/>
      <w:sz w:val="24"/>
      <w:szCs w:val="24"/>
      <w:lang w:val="en-US" w:eastAsia="zh-CN" w:bidi="ar-SA"/>
    </w:rPr>
  </w:style>
  <w:style w:type="paragraph" w:customStyle="1" w:styleId="556">
    <w:name w:val="样式 标题 1 + (中文) 黑体 行距: 固定值 25 磅"/>
    <w:basedOn w:val="3"/>
    <w:qFormat/>
    <w:uiPriority w:val="0"/>
    <w:pPr>
      <w:widowControl/>
      <w:tabs>
        <w:tab w:val="clear" w:pos="360"/>
      </w:tabs>
      <w:adjustRightInd w:val="0"/>
      <w:snapToGrid w:val="0"/>
      <w:spacing w:before="600" w:after="720" w:line="500" w:lineRule="exact"/>
      <w:ind w:left="1185" w:hanging="720"/>
      <w:jc w:val="center"/>
    </w:pPr>
    <w:rPr>
      <w:rFonts w:eastAsia="黑体" w:cs="宋体"/>
      <w:kern w:val="44"/>
      <w:sz w:val="32"/>
    </w:rPr>
  </w:style>
  <w:style w:type="paragraph" w:customStyle="1" w:styleId="557">
    <w:name w:val="标题2（杨）"/>
    <w:basedOn w:val="1"/>
    <w:qFormat/>
    <w:uiPriority w:val="0"/>
    <w:pPr>
      <w:spacing w:before="0" w:beforeLines="0" w:line="360" w:lineRule="auto"/>
      <w:ind w:left="1305" w:hanging="420"/>
      <w:jc w:val="left"/>
      <w:outlineLvl w:val="1"/>
    </w:pPr>
    <w:rPr>
      <w:rFonts w:eastAsia="黑体"/>
      <w:b/>
      <w:sz w:val="28"/>
      <w:szCs w:val="20"/>
    </w:rPr>
  </w:style>
  <w:style w:type="paragraph" w:customStyle="1" w:styleId="558">
    <w:name w:val="标题3（杨）"/>
    <w:basedOn w:val="1"/>
    <w:qFormat/>
    <w:uiPriority w:val="0"/>
    <w:pPr>
      <w:spacing w:before="120" w:beforeLines="0" w:after="120" w:line="240" w:lineRule="auto"/>
      <w:ind w:left="1725" w:hanging="420"/>
    </w:pPr>
    <w:rPr>
      <w:rFonts w:eastAsia="黑体"/>
      <w:b/>
      <w:sz w:val="28"/>
      <w:szCs w:val="20"/>
    </w:rPr>
  </w:style>
  <w:style w:type="paragraph" w:customStyle="1" w:styleId="559">
    <w:name w:val="标题4（杨）"/>
    <w:basedOn w:val="1"/>
    <w:qFormat/>
    <w:uiPriority w:val="0"/>
    <w:pPr>
      <w:spacing w:before="120" w:beforeLines="0" w:after="120" w:line="240" w:lineRule="auto"/>
      <w:ind w:left="2145" w:hanging="420"/>
    </w:pPr>
    <w:rPr>
      <w:rFonts w:eastAsia="黑体"/>
      <w:b/>
      <w:sz w:val="28"/>
      <w:szCs w:val="20"/>
    </w:rPr>
  </w:style>
  <w:style w:type="paragraph" w:customStyle="1" w:styleId="560">
    <w:name w:val="标题5（杨）"/>
    <w:basedOn w:val="1"/>
    <w:qFormat/>
    <w:uiPriority w:val="0"/>
    <w:pPr>
      <w:spacing w:before="0" w:beforeLines="0" w:line="240" w:lineRule="auto"/>
      <w:ind w:left="2565" w:hanging="420"/>
    </w:pPr>
    <w:rPr>
      <w:szCs w:val="20"/>
    </w:rPr>
  </w:style>
  <w:style w:type="paragraph" w:customStyle="1" w:styleId="561">
    <w:name w:val="标题6（杨）"/>
    <w:basedOn w:val="1"/>
    <w:qFormat/>
    <w:uiPriority w:val="0"/>
    <w:pPr>
      <w:spacing w:before="0" w:beforeLines="0" w:line="240" w:lineRule="auto"/>
      <w:ind w:left="2985" w:hanging="420"/>
    </w:pPr>
    <w:rPr>
      <w:szCs w:val="20"/>
    </w:rPr>
  </w:style>
  <w:style w:type="paragraph" w:customStyle="1" w:styleId="562">
    <w:name w:val="样式 正文文本 2 + 宋体 小四 行距: 固定值 25 磅"/>
    <w:basedOn w:val="78"/>
    <w:qFormat/>
    <w:uiPriority w:val="0"/>
    <w:pPr>
      <w:spacing w:after="0" w:line="360" w:lineRule="auto"/>
      <w:ind w:firstLine="480" w:firstLineChars="200"/>
    </w:pPr>
    <w:rPr>
      <w:rFonts w:ascii="宋体" w:hAnsi="宋体" w:cs="宋体"/>
      <w:sz w:val="24"/>
      <w:szCs w:val="20"/>
    </w:rPr>
  </w:style>
  <w:style w:type="paragraph" w:customStyle="1" w:styleId="563">
    <w:name w:val="样式 正文文本 2 + 宋体 小四 黑色"/>
    <w:basedOn w:val="78"/>
    <w:qFormat/>
    <w:uiPriority w:val="0"/>
    <w:pPr>
      <w:spacing w:after="0" w:line="312" w:lineRule="auto"/>
      <w:ind w:firstLine="420"/>
    </w:pPr>
    <w:rPr>
      <w:rFonts w:ascii="宋体" w:hAnsi="宋体"/>
      <w:color w:val="000000"/>
      <w:kern w:val="0"/>
      <w:sz w:val="24"/>
      <w:szCs w:val="20"/>
    </w:rPr>
  </w:style>
  <w:style w:type="character" w:customStyle="1" w:styleId="564">
    <w:name w:val="样式 正文文本 2 + 宋体 小四 黑色 Char"/>
    <w:qFormat/>
    <w:uiPriority w:val="0"/>
    <w:rPr>
      <w:rFonts w:ascii="宋体" w:hAnsi="宋体" w:eastAsia="隶书"/>
      <w:color w:val="000000"/>
      <w:spacing w:val="10"/>
      <w:sz w:val="24"/>
      <w:lang w:val="en-US" w:eastAsia="zh-CN" w:bidi="ar-SA"/>
    </w:rPr>
  </w:style>
  <w:style w:type="paragraph" w:customStyle="1" w:styleId="565">
    <w:name w:val="样式 标题3（杨） + 字距调整二号"/>
    <w:basedOn w:val="558"/>
    <w:qFormat/>
    <w:uiPriority w:val="0"/>
    <w:pPr>
      <w:spacing w:after="48" w:afterLines="20" w:line="312" w:lineRule="auto"/>
      <w:ind w:left="0" w:firstLine="0"/>
      <w:jc w:val="left"/>
      <w:outlineLvl w:val="2"/>
    </w:pPr>
    <w:rPr>
      <w:rFonts w:ascii="黑体"/>
      <w:sz w:val="24"/>
    </w:rPr>
  </w:style>
  <w:style w:type="paragraph" w:customStyle="1" w:styleId="566">
    <w:name w:val="正文（杨）"/>
    <w:basedOn w:val="1"/>
    <w:qFormat/>
    <w:uiPriority w:val="0"/>
    <w:pPr>
      <w:adjustRightInd w:val="0"/>
      <w:snapToGrid w:val="0"/>
      <w:spacing w:before="0" w:beforeLines="0" w:line="360" w:lineRule="auto"/>
      <w:ind w:firstLine="480" w:firstLineChars="200"/>
      <w:jc w:val="left"/>
    </w:pPr>
    <w:rPr>
      <w:sz w:val="24"/>
      <w:szCs w:val="20"/>
    </w:rPr>
  </w:style>
  <w:style w:type="character" w:customStyle="1" w:styleId="567">
    <w:name w:val="正文（杨） Char"/>
    <w:qFormat/>
    <w:uiPriority w:val="0"/>
    <w:rPr>
      <w:rFonts w:eastAsia="宋体"/>
      <w:kern w:val="2"/>
      <w:sz w:val="24"/>
      <w:lang w:val="en-US" w:eastAsia="zh-CN" w:bidi="ar-SA"/>
    </w:rPr>
  </w:style>
  <w:style w:type="paragraph" w:customStyle="1" w:styleId="568">
    <w:name w:val="样式 样式 标题3（杨） + 字距调整二号 + 两端对齐 行距: 多倍行距 1.3 字行"/>
    <w:basedOn w:val="565"/>
    <w:qFormat/>
    <w:uiPriority w:val="0"/>
    <w:pPr>
      <w:adjustRightInd w:val="0"/>
      <w:snapToGrid w:val="0"/>
      <w:jc w:val="both"/>
    </w:pPr>
    <w:rPr>
      <w:rFonts w:cs="宋体"/>
    </w:rPr>
  </w:style>
  <w:style w:type="paragraph" w:customStyle="1" w:styleId="569">
    <w:name w:val="样式 标题1（杨） + 段后: 0.2 行"/>
    <w:basedOn w:val="1"/>
    <w:qFormat/>
    <w:uiPriority w:val="0"/>
    <w:pPr>
      <w:keepNext/>
      <w:keepLines/>
      <w:widowControl/>
      <w:tabs>
        <w:tab w:val="left" w:pos="425"/>
      </w:tabs>
      <w:adjustRightInd w:val="0"/>
      <w:snapToGrid w:val="0"/>
      <w:spacing w:before="624" w:beforeLines="200" w:after="624" w:afterLines="200" w:line="312" w:lineRule="auto"/>
      <w:ind w:left="425" w:hanging="425"/>
      <w:jc w:val="center"/>
      <w:outlineLvl w:val="0"/>
    </w:pPr>
    <w:rPr>
      <w:rFonts w:eastAsia="黑体" w:cs="宋体"/>
      <w:b/>
      <w:bCs/>
      <w:color w:val="000000"/>
      <w:kern w:val="44"/>
      <w:sz w:val="32"/>
      <w:szCs w:val="20"/>
    </w:rPr>
  </w:style>
  <w:style w:type="paragraph" w:customStyle="1" w:styleId="570">
    <w:name w:val="样式 正文文本 2 + 宋体 小四 段后: 0 磅 行距: 多倍行距 1.3 字行"/>
    <w:basedOn w:val="78"/>
    <w:qFormat/>
    <w:uiPriority w:val="0"/>
    <w:pPr>
      <w:adjustRightInd w:val="0"/>
      <w:snapToGrid w:val="0"/>
      <w:spacing w:after="0" w:line="360" w:lineRule="auto"/>
      <w:ind w:firstLine="480" w:firstLineChars="200"/>
    </w:pPr>
    <w:rPr>
      <w:rFonts w:ascii="宋体" w:hAnsi="宋体" w:cs="宋体"/>
      <w:sz w:val="24"/>
      <w:szCs w:val="20"/>
    </w:rPr>
  </w:style>
  <w:style w:type="paragraph" w:customStyle="1" w:styleId="571">
    <w:name w:val="样式 出版正文 + (中文) 宋体 四号 首行缩进:  1.5 字符 行距: 1.5 倍行距"/>
    <w:basedOn w:val="1"/>
    <w:qFormat/>
    <w:uiPriority w:val="0"/>
    <w:pPr>
      <w:numPr>
        <w:ilvl w:val="0"/>
        <w:numId w:val="6"/>
      </w:numPr>
      <w:tabs>
        <w:tab w:val="clear" w:pos="425"/>
      </w:tabs>
      <w:spacing w:before="0" w:beforeLines="0" w:line="240" w:lineRule="auto"/>
      <w:ind w:left="0" w:firstLine="0"/>
    </w:pPr>
    <w:rPr>
      <w:rFonts w:ascii="宋体" w:hAnsi="宋体"/>
      <w:bCs/>
      <w:kern w:val="0"/>
      <w:szCs w:val="32"/>
    </w:rPr>
  </w:style>
  <w:style w:type="paragraph" w:customStyle="1" w:styleId="572">
    <w:name w:val="样式 标题 2节标题 1.1b21.1标题2标题 1.1标题 yjm2第一章 标题 2Heading 2 Hidd..."/>
    <w:basedOn w:val="4"/>
    <w:qFormat/>
    <w:uiPriority w:val="0"/>
    <w:pPr>
      <w:spacing w:line="416" w:lineRule="auto"/>
    </w:pPr>
    <w:rPr>
      <w:rFonts w:eastAsia="宋体"/>
      <w:bCs/>
      <w:color w:val="auto"/>
      <w:kern w:val="2"/>
      <w:sz w:val="30"/>
      <w:szCs w:val="32"/>
    </w:rPr>
  </w:style>
  <w:style w:type="character" w:customStyle="1" w:styleId="573">
    <w:name w:val="样式 标题 2节标题 1.1b21.1标题2标题 1.1标题 yjm2第一章 标题 2Heading 2 Hidd... Char"/>
    <w:qFormat/>
    <w:uiPriority w:val="0"/>
    <w:rPr>
      <w:rFonts w:ascii="Arial" w:hAnsi="Arial" w:eastAsia="宋体"/>
      <w:b/>
      <w:bCs/>
      <w:kern w:val="2"/>
      <w:sz w:val="30"/>
      <w:szCs w:val="32"/>
      <w:lang w:val="en-US" w:eastAsia="zh-CN" w:bidi="ar-SA"/>
    </w:rPr>
  </w:style>
  <w:style w:type="paragraph" w:customStyle="1" w:styleId="574">
    <w:name w:val="样式 首行缩进:  2 字符 段后: 0.5 行"/>
    <w:basedOn w:val="1"/>
    <w:qFormat/>
    <w:uiPriority w:val="0"/>
    <w:pPr>
      <w:adjustRightInd w:val="0"/>
      <w:snapToGrid w:val="0"/>
      <w:spacing w:before="0" w:beforeLines="0" w:after="30" w:afterLines="30" w:line="300" w:lineRule="auto"/>
      <w:ind w:firstLine="200" w:firstLineChars="200"/>
    </w:pPr>
    <w:rPr>
      <w:rFonts w:cs="宋体"/>
      <w:sz w:val="28"/>
      <w:szCs w:val="20"/>
    </w:rPr>
  </w:style>
  <w:style w:type="paragraph" w:customStyle="1" w:styleId="575">
    <w:name w:val="Char Char1 Char Char Char Char Char Char"/>
    <w:basedOn w:val="1"/>
    <w:qFormat/>
    <w:uiPriority w:val="0"/>
    <w:pPr>
      <w:widowControl/>
      <w:spacing w:before="0" w:beforeLines="0" w:after="160" w:line="240" w:lineRule="exact"/>
      <w:jc w:val="left"/>
    </w:pPr>
    <w:rPr>
      <w:rFonts w:ascii="Verdana" w:hAnsi="Verdana" w:eastAsia="仿宋_GB2312"/>
      <w:kern w:val="0"/>
      <w:sz w:val="24"/>
      <w:szCs w:val="20"/>
      <w:lang w:eastAsia="en-US"/>
    </w:rPr>
  </w:style>
  <w:style w:type="paragraph" w:customStyle="1" w:styleId="576">
    <w:name w:val="Char Char Char1 Char Char Char Char Char Char Char Char Char Char Char Char Char Char Char Char Char Char Char"/>
    <w:basedOn w:val="1"/>
    <w:qFormat/>
    <w:uiPriority w:val="0"/>
    <w:pPr>
      <w:spacing w:before="0" w:beforeLines="0" w:line="240" w:lineRule="auto"/>
    </w:pPr>
  </w:style>
  <w:style w:type="paragraph" w:customStyle="1" w:styleId="577">
    <w:name w:val="表头终"/>
    <w:basedOn w:val="6"/>
    <w:link w:val="578"/>
    <w:qFormat/>
    <w:uiPriority w:val="0"/>
    <w:pPr>
      <w:snapToGrid w:val="0"/>
      <w:spacing w:before="156" w:beforeLines="50"/>
      <w:ind w:firstLine="480"/>
      <w:jc w:val="center"/>
    </w:pPr>
    <w:rPr>
      <w:rFonts w:ascii="Times New Roman" w:hAnsi="Times New Roman" w:eastAsia="黑体"/>
      <w:szCs w:val="20"/>
    </w:rPr>
  </w:style>
  <w:style w:type="character" w:customStyle="1" w:styleId="578">
    <w:name w:val="表头终 Char"/>
    <w:link w:val="577"/>
    <w:qFormat/>
    <w:uiPriority w:val="0"/>
    <w:rPr>
      <w:rFonts w:eastAsia="黑体"/>
      <w:kern w:val="2"/>
      <w:sz w:val="24"/>
    </w:rPr>
  </w:style>
  <w:style w:type="character" w:customStyle="1" w:styleId="579">
    <w:name w:val="google-src-text1"/>
    <w:qFormat/>
    <w:uiPriority w:val="0"/>
    <w:rPr>
      <w:vanish/>
    </w:rPr>
  </w:style>
  <w:style w:type="paragraph" w:customStyle="1" w:styleId="580">
    <w:name w:val="表题"/>
    <w:basedOn w:val="1"/>
    <w:link w:val="581"/>
    <w:qFormat/>
    <w:uiPriority w:val="0"/>
    <w:pPr>
      <w:tabs>
        <w:tab w:val="left" w:pos="4305"/>
      </w:tabs>
      <w:adjustRightInd w:val="0"/>
      <w:snapToGrid w:val="0"/>
      <w:spacing w:before="0" w:beforeLines="0" w:line="240" w:lineRule="auto"/>
      <w:jc w:val="center"/>
    </w:pPr>
    <w:rPr>
      <w:rFonts w:ascii="黑体" w:hAnsi="宋体" w:eastAsia="黑体"/>
      <w:color w:val="000000"/>
      <w:sz w:val="24"/>
    </w:rPr>
  </w:style>
  <w:style w:type="character" w:customStyle="1" w:styleId="581">
    <w:name w:val="表题 Char"/>
    <w:link w:val="580"/>
    <w:qFormat/>
    <w:uiPriority w:val="0"/>
    <w:rPr>
      <w:rFonts w:ascii="黑体" w:hAnsi="宋体" w:eastAsia="黑体"/>
      <w:color w:val="000000"/>
      <w:kern w:val="2"/>
      <w:sz w:val="24"/>
      <w:szCs w:val="24"/>
    </w:rPr>
  </w:style>
  <w:style w:type="paragraph" w:customStyle="1" w:styleId="582">
    <w:name w:val="5 Char"/>
    <w:basedOn w:val="1"/>
    <w:qFormat/>
    <w:uiPriority w:val="0"/>
    <w:pPr>
      <w:spacing w:before="0" w:beforeLines="0" w:line="240" w:lineRule="auto"/>
    </w:pPr>
  </w:style>
  <w:style w:type="paragraph" w:customStyle="1" w:styleId="583">
    <w:name w:val="表内5"/>
    <w:basedOn w:val="1"/>
    <w:qFormat/>
    <w:uiPriority w:val="0"/>
    <w:pPr>
      <w:tabs>
        <w:tab w:val="left" w:pos="4305"/>
      </w:tabs>
      <w:adjustRightInd w:val="0"/>
      <w:snapToGrid w:val="0"/>
      <w:spacing w:before="0" w:beforeLines="0" w:line="240" w:lineRule="auto"/>
      <w:jc w:val="center"/>
    </w:pPr>
    <w:rPr>
      <w:rFonts w:ascii="宋体" w:hAnsi="宋体"/>
      <w:color w:val="000000"/>
      <w:szCs w:val="21"/>
    </w:rPr>
  </w:style>
  <w:style w:type="paragraph" w:customStyle="1" w:styleId="584">
    <w:name w:val="燕山正文"/>
    <w:basedOn w:val="1"/>
    <w:link w:val="585"/>
    <w:qFormat/>
    <w:uiPriority w:val="0"/>
    <w:pPr>
      <w:tabs>
        <w:tab w:val="left" w:pos="4680"/>
      </w:tabs>
      <w:adjustRightInd w:val="0"/>
      <w:snapToGrid w:val="0"/>
      <w:spacing w:before="0" w:beforeLines="0" w:line="360" w:lineRule="auto"/>
      <w:ind w:firstLine="480" w:firstLineChars="200"/>
      <w:jc w:val="left"/>
    </w:pPr>
    <w:rPr>
      <w:rFonts w:hAnsi="宋体"/>
      <w:color w:val="000000"/>
      <w:sz w:val="24"/>
    </w:rPr>
  </w:style>
  <w:style w:type="character" w:customStyle="1" w:styleId="585">
    <w:name w:val="燕山正文 Char"/>
    <w:link w:val="584"/>
    <w:qFormat/>
    <w:uiPriority w:val="0"/>
    <w:rPr>
      <w:rFonts w:hAnsi="宋体"/>
      <w:color w:val="000000"/>
      <w:kern w:val="2"/>
      <w:sz w:val="24"/>
      <w:szCs w:val="24"/>
    </w:rPr>
  </w:style>
  <w:style w:type="paragraph" w:customStyle="1" w:styleId="586">
    <w:name w:val="表题 Char Char"/>
    <w:basedOn w:val="1"/>
    <w:link w:val="587"/>
    <w:qFormat/>
    <w:uiPriority w:val="0"/>
    <w:pPr>
      <w:spacing w:before="0" w:beforeLines="0" w:line="360" w:lineRule="auto"/>
      <w:ind w:firstLine="562" w:firstLineChars="200"/>
      <w:jc w:val="center"/>
    </w:pPr>
    <w:rPr>
      <w:rFonts w:hAnsi="宋体"/>
      <w:b/>
      <w:bCs/>
      <w:sz w:val="28"/>
      <w:szCs w:val="28"/>
    </w:rPr>
  </w:style>
  <w:style w:type="character" w:customStyle="1" w:styleId="587">
    <w:name w:val="表题 Char Char Char"/>
    <w:link w:val="586"/>
    <w:qFormat/>
    <w:uiPriority w:val="0"/>
    <w:rPr>
      <w:rFonts w:hAnsi="宋体"/>
      <w:b/>
      <w:bCs/>
      <w:kern w:val="2"/>
      <w:sz w:val="28"/>
      <w:szCs w:val="28"/>
    </w:rPr>
  </w:style>
  <w:style w:type="paragraph" w:customStyle="1" w:styleId="588">
    <w:name w:val="一级条标题"/>
    <w:basedOn w:val="3"/>
    <w:next w:val="1"/>
    <w:qFormat/>
    <w:uiPriority w:val="0"/>
    <w:pPr>
      <w:keepNext w:val="0"/>
      <w:keepLines w:val="0"/>
      <w:widowControl/>
      <w:spacing w:before="0" w:after="0" w:line="240" w:lineRule="auto"/>
      <w:outlineLvl w:val="2"/>
    </w:pPr>
    <w:rPr>
      <w:rFonts w:ascii="黑体" w:eastAsia="黑体"/>
      <w:b w:val="0"/>
      <w:bCs w:val="0"/>
      <w:color w:val="auto"/>
      <w:kern w:val="0"/>
      <w:sz w:val="21"/>
    </w:rPr>
  </w:style>
  <w:style w:type="character" w:customStyle="1" w:styleId="589">
    <w:name w:val="normaltext1"/>
    <w:qFormat/>
    <w:uiPriority w:val="0"/>
    <w:rPr>
      <w:rFonts w:hint="default" w:ascii="Verdana" w:hAnsi="Verdana"/>
      <w:color w:val="000000"/>
      <w:sz w:val="13"/>
      <w:szCs w:val="13"/>
    </w:rPr>
  </w:style>
  <w:style w:type="paragraph" w:customStyle="1" w:styleId="590">
    <w:name w:val="Char Char Char Char111"/>
    <w:basedOn w:val="1"/>
    <w:link w:val="629"/>
    <w:qFormat/>
    <w:uiPriority w:val="0"/>
    <w:pPr>
      <w:spacing w:before="0" w:beforeLines="0" w:line="240" w:lineRule="auto"/>
    </w:pPr>
  </w:style>
  <w:style w:type="paragraph" w:customStyle="1" w:styleId="591">
    <w:name w:val="样式 样式 样式 四号 段前: 7.8 磅 行距: 多倍行距 1.25 字行 首行缩进:  2 字符 + 首行缩进:  2 字符...1"/>
    <w:basedOn w:val="1"/>
    <w:qFormat/>
    <w:uiPriority w:val="0"/>
    <w:pPr>
      <w:snapToGrid w:val="0"/>
      <w:spacing w:before="50" w:beforeLines="50" w:line="300" w:lineRule="auto"/>
      <w:ind w:firstLine="200" w:firstLineChars="200"/>
    </w:pPr>
    <w:rPr>
      <w:rFonts w:cs="宋体"/>
      <w:sz w:val="28"/>
      <w:szCs w:val="20"/>
    </w:rPr>
  </w:style>
  <w:style w:type="paragraph" w:customStyle="1" w:styleId="592">
    <w:name w:val="样式 正文－1 + 首行缩进:  2 字符"/>
    <w:basedOn w:val="1"/>
    <w:qFormat/>
    <w:uiPriority w:val="0"/>
    <w:pPr>
      <w:spacing w:before="0" w:beforeLines="0" w:line="360" w:lineRule="auto"/>
      <w:ind w:firstLine="480" w:firstLineChars="200"/>
      <w:jc w:val="left"/>
    </w:pPr>
    <w:rPr>
      <w:sz w:val="24"/>
      <w:szCs w:val="20"/>
    </w:rPr>
  </w:style>
  <w:style w:type="paragraph" w:customStyle="1" w:styleId="593">
    <w:name w:val="Char Char Char Char Char Char1 Char"/>
    <w:basedOn w:val="1"/>
    <w:qFormat/>
    <w:uiPriority w:val="0"/>
    <w:pPr>
      <w:spacing w:before="0" w:beforeLines="0" w:line="240" w:lineRule="auto"/>
    </w:pPr>
  </w:style>
  <w:style w:type="paragraph" w:customStyle="1" w:styleId="594">
    <w:name w:val="规划正文样式 Char"/>
    <w:basedOn w:val="1"/>
    <w:qFormat/>
    <w:uiPriority w:val="0"/>
    <w:pPr>
      <w:spacing w:before="0" w:beforeLines="0" w:line="400" w:lineRule="exact"/>
      <w:ind w:firstLine="480" w:firstLineChars="200"/>
    </w:pPr>
    <w:rPr>
      <w:sz w:val="24"/>
    </w:rPr>
  </w:style>
  <w:style w:type="paragraph" w:customStyle="1" w:styleId="595">
    <w:name w:val="Char Char Char Char Char Char1 Char Char Char Char Char Char Char Char Char Char Char Char Char Char Char Char"/>
    <w:basedOn w:val="1"/>
    <w:qFormat/>
    <w:uiPriority w:val="0"/>
    <w:pPr>
      <w:spacing w:before="0" w:beforeLines="0" w:line="240" w:lineRule="auto"/>
    </w:pPr>
  </w:style>
  <w:style w:type="table" w:customStyle="1" w:styleId="596">
    <w:name w:val="网格型3"/>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97">
    <w:name w:val="H5 Char"/>
    <w:qFormat/>
    <w:uiPriority w:val="0"/>
    <w:rPr>
      <w:rFonts w:ascii="宋体" w:eastAsia="宋体"/>
      <w:b/>
      <w:sz w:val="28"/>
      <w:lang w:val="en-US" w:eastAsia="zh-CN" w:bidi="ar-SA"/>
    </w:rPr>
  </w:style>
  <w:style w:type="paragraph" w:customStyle="1" w:styleId="598">
    <w:name w:val="讲稿"/>
    <w:basedOn w:val="1"/>
    <w:qFormat/>
    <w:uiPriority w:val="0"/>
    <w:pPr>
      <w:spacing w:before="0" w:beforeLines="0" w:line="240" w:lineRule="auto"/>
      <w:ind w:firstLine="431"/>
    </w:pPr>
    <w:rPr>
      <w:rFonts w:ascii="Arial" w:hAnsi="Arial"/>
      <w:kern w:val="0"/>
      <w:szCs w:val="20"/>
    </w:rPr>
  </w:style>
  <w:style w:type="paragraph" w:customStyle="1" w:styleId="599">
    <w:name w:val="表内5号居中"/>
    <w:qFormat/>
    <w:uiPriority w:val="0"/>
    <w:pPr>
      <w:widowControl w:val="0"/>
      <w:adjustRightInd w:val="0"/>
      <w:snapToGrid w:val="0"/>
      <w:ind w:left="-50" w:leftChars="-50" w:right="-50" w:rightChars="-50"/>
      <w:jc w:val="center"/>
      <w:textAlignment w:val="baseline"/>
    </w:pPr>
    <w:rPr>
      <w:rFonts w:ascii="Times New Roman" w:hAnsi="Times New Roman" w:eastAsia="宋体" w:cs="Times New Roman"/>
      <w:sz w:val="21"/>
      <w:lang w:val="en-US" w:eastAsia="zh-CN" w:bidi="ar-SA"/>
    </w:rPr>
  </w:style>
  <w:style w:type="paragraph" w:customStyle="1" w:styleId="600">
    <w:name w:val="表内5号两端对齐"/>
    <w:qFormat/>
    <w:uiPriority w:val="0"/>
    <w:pPr>
      <w:adjustRightInd w:val="0"/>
      <w:snapToGrid w:val="0"/>
      <w:ind w:left="-50" w:leftChars="-50" w:right="-50" w:rightChars="-50"/>
      <w:jc w:val="both"/>
    </w:pPr>
    <w:rPr>
      <w:rFonts w:ascii="Times New Roman" w:hAnsi="Times New Roman" w:eastAsia="宋体" w:cs="Times New Roman"/>
      <w:sz w:val="21"/>
      <w:lang w:val="en-US" w:eastAsia="zh-CN" w:bidi="ar-SA"/>
    </w:rPr>
  </w:style>
  <w:style w:type="paragraph" w:customStyle="1" w:styleId="601">
    <w:name w:val="一级标题"/>
    <w:basedOn w:val="3"/>
    <w:qFormat/>
    <w:uiPriority w:val="0"/>
    <w:pPr>
      <w:tabs>
        <w:tab w:val="left" w:pos="900"/>
        <w:tab w:val="clear" w:pos="360"/>
      </w:tabs>
      <w:spacing w:before="120" w:after="120"/>
      <w:ind w:left="900" w:hanging="420"/>
    </w:pPr>
    <w:rPr>
      <w:rFonts w:eastAsia="黑体" w:cs="宋体"/>
      <w:color w:val="auto"/>
      <w:kern w:val="44"/>
    </w:rPr>
  </w:style>
  <w:style w:type="character" w:customStyle="1" w:styleId="602">
    <w:name w:val="标题1.1.1.1.1.1 Char"/>
    <w:qFormat/>
    <w:uiPriority w:val="0"/>
    <w:rPr>
      <w:rFonts w:ascii="Arial" w:hAnsi="Arial" w:eastAsia="黑体" w:cs="Times New Roman"/>
      <w:b/>
      <w:bCs/>
      <w:sz w:val="24"/>
      <w:szCs w:val="24"/>
    </w:rPr>
  </w:style>
  <w:style w:type="paragraph" w:customStyle="1" w:styleId="603">
    <w:name w:val="样式 标题 1 + (中文) 黑体"/>
    <w:basedOn w:val="3"/>
    <w:qFormat/>
    <w:uiPriority w:val="0"/>
    <w:pPr>
      <w:numPr>
        <w:ilvl w:val="0"/>
        <w:numId w:val="7"/>
      </w:numPr>
      <w:tabs>
        <w:tab w:val="clear" w:pos="360"/>
      </w:tabs>
    </w:pPr>
    <w:rPr>
      <w:rFonts w:eastAsia="黑体"/>
      <w:color w:val="auto"/>
      <w:kern w:val="44"/>
      <w:szCs w:val="44"/>
    </w:rPr>
  </w:style>
  <w:style w:type="paragraph" w:customStyle="1" w:styleId="604">
    <w:name w:val="字元 字元 Char Char 字元 字元1 Char Char Char"/>
    <w:basedOn w:val="1"/>
    <w:qFormat/>
    <w:uiPriority w:val="0"/>
    <w:pPr>
      <w:spacing w:before="0" w:beforeLines="0" w:line="240" w:lineRule="auto"/>
    </w:pPr>
    <w:rPr>
      <w:sz w:val="24"/>
    </w:rPr>
  </w:style>
  <w:style w:type="paragraph" w:customStyle="1" w:styleId="605">
    <w:name w:val="默认段落字体 Para Char Char Char Char Char Char Char"/>
    <w:basedOn w:val="1"/>
    <w:qFormat/>
    <w:uiPriority w:val="0"/>
    <w:pPr>
      <w:spacing w:before="0" w:beforeLines="0" w:line="240" w:lineRule="auto"/>
    </w:pPr>
    <w:rPr>
      <w:rFonts w:ascii="Arial" w:hAnsi="Arial" w:cs="Arial"/>
      <w:sz w:val="20"/>
      <w:szCs w:val="20"/>
    </w:rPr>
  </w:style>
  <w:style w:type="paragraph" w:customStyle="1" w:styleId="606">
    <w:name w:val="Char Char Char"/>
    <w:basedOn w:val="1"/>
    <w:qFormat/>
    <w:uiPriority w:val="0"/>
    <w:pPr>
      <w:spacing w:before="0" w:beforeLines="0" w:line="240" w:lineRule="auto"/>
    </w:pPr>
  </w:style>
  <w:style w:type="paragraph" w:customStyle="1" w:styleId="607">
    <w:name w:val="正文2002"/>
    <w:basedOn w:val="1"/>
    <w:qFormat/>
    <w:uiPriority w:val="0"/>
    <w:pPr>
      <w:spacing w:before="0" w:beforeLines="0" w:line="320" w:lineRule="exact"/>
      <w:jc w:val="center"/>
    </w:pPr>
    <w:rPr>
      <w:rFonts w:ascii="宋体" w:hAnsi="宋体"/>
      <w:b/>
      <w:color w:val="0000FF"/>
    </w:rPr>
  </w:style>
  <w:style w:type="paragraph" w:customStyle="1" w:styleId="608">
    <w:name w:val="Char Char Char111"/>
    <w:basedOn w:val="1"/>
    <w:qFormat/>
    <w:uiPriority w:val="0"/>
    <w:pPr>
      <w:widowControl/>
      <w:snapToGrid w:val="0"/>
      <w:spacing w:before="0" w:beforeLines="0" w:after="160" w:line="300" w:lineRule="auto"/>
      <w:jc w:val="left"/>
    </w:pPr>
    <w:rPr>
      <w:rFonts w:ascii="仿宋_GB2312" w:hAnsi="Verdana" w:eastAsia="仿宋_GB2312" w:cs="Arial"/>
      <w:b/>
      <w:kern w:val="0"/>
      <w:sz w:val="28"/>
      <w:szCs w:val="28"/>
      <w:lang w:eastAsia="en-US"/>
    </w:rPr>
  </w:style>
  <w:style w:type="table" w:customStyle="1" w:styleId="609">
    <w:name w:val="网格型4"/>
    <w:basedOn w:val="8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10">
    <w:name w:val="办公室表格样式1"/>
    <w:basedOn w:val="89"/>
    <w:qFormat/>
    <w:uiPriority w:val="99"/>
    <w:pPr>
      <w:contextualSpacing/>
      <w:jc w:val="center"/>
    </w:pPr>
    <w:tblPr>
      <w:tblBorders>
        <w:top w:val="single" w:color="auto" w:sz="12" w:space="0"/>
        <w:bottom w:val="single" w:color="auto" w:sz="12" w:space="0"/>
        <w:insideH w:val="single" w:color="auto" w:sz="6" w:space="0"/>
        <w:insideV w:val="single" w:color="auto" w:sz="6" w:space="0"/>
      </w:tblBorders>
    </w:tblPr>
  </w:style>
  <w:style w:type="table" w:customStyle="1" w:styleId="611">
    <w:name w:val="网格型11"/>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12">
    <w:name w:val="典雅型1"/>
    <w:basedOn w:val="89"/>
    <w:qFormat/>
    <w:uiPriority w:val="0"/>
    <w:pPr>
      <w:widowControl w:val="0"/>
      <w:jc w:val="center"/>
    </w:pPr>
    <w:rPr>
      <w:rFonts w:eastAsia="Arial"/>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vAlign w:val="center"/>
    </w:tcPr>
    <w:tblStylePr w:type="firstRow">
      <w:rPr>
        <w:caps/>
        <w:color w:val="auto"/>
      </w:rPr>
      <w:tcPr>
        <w:tcBorders>
          <w:tl2br w:val="nil"/>
          <w:tr2bl w:val="nil"/>
        </w:tcBorders>
      </w:tcPr>
    </w:tblStylePr>
  </w:style>
  <w:style w:type="table" w:customStyle="1" w:styleId="613">
    <w:name w:val="表格主题8"/>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14">
    <w:name w:val="网格型21"/>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15">
    <w:name w:val="自选表格11"/>
    <w:basedOn w:val="89"/>
    <w:qFormat/>
    <w:uiPriority w:val="99"/>
    <w:pPr>
      <w:adjustRightInd w:val="0"/>
      <w:snapToGrid w:val="0"/>
      <w:spacing w:line="360" w:lineRule="auto"/>
      <w:jc w:val="both"/>
    </w:p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
    <w:tcPr>
      <w:vAlign w:val="center"/>
    </w:tcPr>
    <w:tblStylePr w:type="firstRow">
      <w:rPr>
        <w:rFonts w:hint="default" w:ascii="Times New Roman" w:hAnsi="Times New Roman" w:eastAsia="宋体" w:cs="Times New Roman"/>
        <w:sz w:val="21"/>
        <w:szCs w:val="21"/>
      </w:rPr>
      <w:tcPr>
        <w:tcBorders>
          <w:top w:val="single" w:color="auto" w:sz="12" w:space="0"/>
        </w:tcBorders>
      </w:tcPr>
    </w:tblStylePr>
    <w:tblStylePr w:type="lastRow">
      <w:rPr>
        <w:rFonts w:hint="default" w:ascii="Times New Roman" w:hAnsi="Times New Roman" w:eastAsia="宋体" w:cs="Times New Roman"/>
        <w:caps w:val="0"/>
        <w:smallCaps w:val="0"/>
        <w:strike w:val="0"/>
        <w:dstrike w:val="0"/>
        <w:vanish w:val="0"/>
        <w:sz w:val="21"/>
        <w:szCs w:val="21"/>
        <w:u w:val="none"/>
      </w:rPr>
      <w:tcPr>
        <w:tcBorders>
          <w:bottom w:val="single" w:color="000000" w:sz="12" w:space="0"/>
        </w:tcBorders>
        <w:vAlign w:val="bottom"/>
      </w:tcPr>
    </w:tblStylePr>
    <w:tblStylePr w:type="firstCol">
      <w:tcPr>
        <w:tcBorders>
          <w:left w:val="single" w:color="auto" w:sz="12" w:space="0"/>
        </w:tcBorders>
      </w:tcPr>
    </w:tblStylePr>
    <w:tblStylePr w:type="lastCol">
      <w:tcPr>
        <w:tcBorders>
          <w:bottom w:val="single" w:color="auto" w:sz="12" w:space="0"/>
          <w:right w:val="single" w:color="auto" w:sz="12" w:space="0"/>
        </w:tcBorders>
      </w:tcPr>
    </w:tblStylePr>
  </w:style>
  <w:style w:type="paragraph" w:customStyle="1" w:styleId="616">
    <w:name w:val="Char Char Char Char Char Char Char21"/>
    <w:basedOn w:val="1"/>
    <w:qFormat/>
    <w:uiPriority w:val="0"/>
    <w:pPr>
      <w:adjustRightInd w:val="0"/>
      <w:snapToGrid w:val="0"/>
      <w:spacing w:before="0" w:beforeLines="0" w:line="360" w:lineRule="auto"/>
      <w:ind w:firstLine="200" w:firstLineChars="200"/>
    </w:pPr>
    <w:rPr>
      <w:rFonts w:ascii="宋体" w:hAnsi="宋体" w:cs="宋体"/>
      <w:sz w:val="24"/>
    </w:rPr>
  </w:style>
  <w:style w:type="table" w:customStyle="1" w:styleId="617">
    <w:name w:val="表格主题11"/>
    <w:basedOn w:val="89"/>
    <w:qFormat/>
    <w:uiPriority w:val="0"/>
    <w:pPr>
      <w:widowControl w:val="0"/>
      <w:adjustRightInd w:val="0"/>
      <w:snapToGrid w:val="0"/>
      <w:spacing w:line="360" w:lineRule="auto"/>
      <w:ind w:firstLine="59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18">
    <w:name w:val="表格主题21"/>
    <w:basedOn w:val="91"/>
    <w:qFormat/>
    <w:uiPriority w:val="0"/>
    <w:pPr>
      <w:spacing w:line="360" w:lineRule="auto"/>
    </w:pPr>
  </w:style>
  <w:style w:type="table" w:customStyle="1" w:styleId="619">
    <w:name w:val="表格主题31"/>
    <w:basedOn w:val="89"/>
    <w:qFormat/>
    <w:uiPriority w:val="0"/>
    <w:pPr>
      <w:widowControl w:val="0"/>
      <w:adjustRightInd w:val="0"/>
      <w:snapToGrid w:val="0"/>
      <w:spacing w:line="360" w:lineRule="auto"/>
      <w:ind w:firstLine="59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20">
    <w:name w:val="表格主题41"/>
    <w:basedOn w:val="89"/>
    <w:qFormat/>
    <w:uiPriority w:val="0"/>
    <w:pPr>
      <w:widowControl w:val="0"/>
      <w:adjustRightInd w:val="0"/>
      <w:snapToGrid w:val="0"/>
      <w:spacing w:line="360" w:lineRule="auto"/>
      <w:ind w:firstLine="59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21">
    <w:name w:val="表格主题51"/>
    <w:basedOn w:val="89"/>
    <w:qFormat/>
    <w:uiPriority w:val="0"/>
    <w:pPr>
      <w:widowControl w:val="0"/>
      <w:adjustRightInd w:val="0"/>
      <w:snapToGrid w:val="0"/>
      <w:spacing w:line="360" w:lineRule="auto"/>
      <w:ind w:firstLine="59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22">
    <w:name w:val="表格主题61"/>
    <w:basedOn w:val="89"/>
    <w:qFormat/>
    <w:uiPriority w:val="0"/>
    <w:pPr>
      <w:widowControl w:val="0"/>
      <w:adjustRightInd w:val="0"/>
      <w:snapToGrid w:val="0"/>
      <w:spacing w:line="360" w:lineRule="auto"/>
      <w:ind w:firstLine="59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23">
    <w:name w:val="表格主题71"/>
    <w:basedOn w:val="89"/>
    <w:qFormat/>
    <w:uiPriority w:val="0"/>
    <w:pPr>
      <w:widowControl w:val="0"/>
      <w:adjustRightInd w:val="0"/>
      <w:snapToGrid w:val="0"/>
      <w:spacing w:line="360" w:lineRule="auto"/>
      <w:ind w:firstLine="59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24">
    <w:name w:val="正文文本 211"/>
    <w:basedOn w:val="1"/>
    <w:qFormat/>
    <w:uiPriority w:val="0"/>
    <w:pPr>
      <w:adjustRightInd w:val="0"/>
      <w:snapToGrid w:val="0"/>
      <w:spacing w:before="0" w:beforeLines="0" w:line="360" w:lineRule="atLeast"/>
      <w:ind w:left="425" w:firstLine="480" w:firstLineChars="200"/>
      <w:jc w:val="left"/>
      <w:textAlignment w:val="baseline"/>
    </w:pPr>
    <w:rPr>
      <w:rFonts w:ascii="宋体"/>
      <w:kern w:val="0"/>
      <w:sz w:val="24"/>
      <w:szCs w:val="20"/>
    </w:rPr>
  </w:style>
  <w:style w:type="table" w:customStyle="1" w:styleId="625">
    <w:name w:val="专业型1"/>
    <w:basedOn w:val="89"/>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tcBorders>
          <w:tl2br w:val="nil"/>
          <w:tr2bl w:val="nil"/>
        </w:tcBorders>
        <w:shd w:val="solid" w:color="000000" w:fill="FFFFFF"/>
      </w:tcPr>
    </w:tblStylePr>
  </w:style>
  <w:style w:type="character" w:customStyle="1" w:styleId="626">
    <w:name w:val="Char Char411"/>
    <w:qFormat/>
    <w:uiPriority w:val="0"/>
    <w:rPr>
      <w:b/>
      <w:bCs/>
      <w:kern w:val="44"/>
      <w:sz w:val="44"/>
      <w:szCs w:val="44"/>
    </w:rPr>
  </w:style>
  <w:style w:type="paragraph" w:customStyle="1" w:styleId="627">
    <w:name w:val="纯文本11"/>
    <w:basedOn w:val="1"/>
    <w:qFormat/>
    <w:uiPriority w:val="0"/>
    <w:pPr>
      <w:adjustRightInd w:val="0"/>
      <w:snapToGrid w:val="0"/>
      <w:spacing w:before="0" w:beforeLines="0" w:line="360" w:lineRule="auto"/>
      <w:ind w:firstLine="480" w:firstLineChars="200"/>
      <w:jc w:val="left"/>
      <w:textAlignment w:val="baseline"/>
    </w:pPr>
    <w:rPr>
      <w:rFonts w:ascii="宋体"/>
      <w:kern w:val="0"/>
      <w:sz w:val="24"/>
      <w:szCs w:val="20"/>
    </w:rPr>
  </w:style>
  <w:style w:type="paragraph" w:customStyle="1" w:styleId="628">
    <w:name w:val="Char Char Char Char Char Char Char11"/>
    <w:basedOn w:val="1"/>
    <w:qFormat/>
    <w:uiPriority w:val="0"/>
    <w:pPr>
      <w:widowControl/>
      <w:adjustRightInd w:val="0"/>
      <w:snapToGrid w:val="0"/>
      <w:spacing w:before="0" w:beforeLines="0" w:line="360" w:lineRule="auto"/>
      <w:ind w:firstLine="480" w:firstLineChars="200"/>
      <w:jc w:val="left"/>
    </w:pPr>
    <w:rPr>
      <w:color w:val="000000"/>
      <w:sz w:val="24"/>
    </w:rPr>
  </w:style>
  <w:style w:type="character" w:customStyle="1" w:styleId="629">
    <w:name w:val="Char Char Char Char Char11"/>
    <w:link w:val="590"/>
    <w:qFormat/>
    <w:uiPriority w:val="0"/>
    <w:rPr>
      <w:kern w:val="2"/>
      <w:sz w:val="21"/>
      <w:szCs w:val="24"/>
    </w:rPr>
  </w:style>
  <w:style w:type="character" w:customStyle="1" w:styleId="630">
    <w:name w:val="Char Char141"/>
    <w:qFormat/>
    <w:uiPriority w:val="0"/>
    <w:rPr>
      <w:rFonts w:ascii="Times New Roman" w:hAnsi="Times New Roman" w:eastAsia="宋体" w:cs="Times New Roman"/>
      <w:sz w:val="18"/>
      <w:szCs w:val="18"/>
    </w:rPr>
  </w:style>
  <w:style w:type="character" w:customStyle="1" w:styleId="631">
    <w:name w:val="Char Char131"/>
    <w:qFormat/>
    <w:uiPriority w:val="0"/>
    <w:rPr>
      <w:rFonts w:ascii="Times New Roman" w:hAnsi="Times New Roman" w:eastAsia="宋体" w:cs="Times New Roman"/>
      <w:sz w:val="18"/>
      <w:szCs w:val="18"/>
    </w:rPr>
  </w:style>
  <w:style w:type="character" w:customStyle="1" w:styleId="632">
    <w:name w:val="Char Char101"/>
    <w:qFormat/>
    <w:uiPriority w:val="0"/>
    <w:rPr>
      <w:rFonts w:ascii="Times New Roman" w:hAnsi="Times New Roman" w:eastAsia="宋体" w:cs="Times New Roman"/>
      <w:szCs w:val="24"/>
      <w:shd w:val="clear" w:color="auto" w:fill="000080"/>
    </w:rPr>
  </w:style>
  <w:style w:type="paragraph" w:customStyle="1" w:styleId="633">
    <w:name w:val="日期11"/>
    <w:basedOn w:val="1"/>
    <w:next w:val="1"/>
    <w:qFormat/>
    <w:uiPriority w:val="0"/>
    <w:pPr>
      <w:adjustRightInd w:val="0"/>
      <w:snapToGrid w:val="0"/>
      <w:spacing w:before="0" w:beforeLines="0" w:line="360" w:lineRule="atLeast"/>
      <w:ind w:firstLine="590" w:firstLineChars="200"/>
      <w:textAlignment w:val="baseline"/>
    </w:pPr>
    <w:rPr>
      <w:rFonts w:eastAsia="楷体_GB2312"/>
      <w:b/>
      <w:kern w:val="0"/>
      <w:sz w:val="24"/>
      <w:szCs w:val="20"/>
    </w:rPr>
  </w:style>
  <w:style w:type="paragraph" w:customStyle="1" w:styleId="634">
    <w:name w:val="正文31"/>
    <w:qFormat/>
    <w:uiPriority w:val="0"/>
    <w:pPr>
      <w:widowControl w:val="0"/>
      <w:adjustRightInd w:val="0"/>
      <w:spacing w:line="360" w:lineRule="atLeast"/>
      <w:ind w:firstLine="567"/>
      <w:textAlignment w:val="baseline"/>
    </w:pPr>
    <w:rPr>
      <w:rFonts w:ascii="宋体" w:hAnsi="Times New Roman" w:eastAsia="宋体" w:cs="Times New Roman"/>
      <w:sz w:val="22"/>
      <w:lang w:val="en-US" w:eastAsia="zh-CN" w:bidi="ar-SA"/>
    </w:rPr>
  </w:style>
  <w:style w:type="paragraph" w:customStyle="1" w:styleId="635">
    <w:name w:val="Char Char1 Char Char Char Char Char Char1"/>
    <w:basedOn w:val="1"/>
    <w:qFormat/>
    <w:uiPriority w:val="0"/>
    <w:pPr>
      <w:widowControl/>
      <w:adjustRightInd w:val="0"/>
      <w:snapToGrid w:val="0"/>
      <w:spacing w:before="0" w:beforeLines="0" w:after="160" w:line="240" w:lineRule="exact"/>
      <w:ind w:firstLine="480" w:firstLineChars="200"/>
      <w:jc w:val="left"/>
    </w:pPr>
    <w:rPr>
      <w:rFonts w:ascii="Verdana" w:hAnsi="Verdana" w:eastAsia="仿宋_GB2312"/>
      <w:kern w:val="0"/>
      <w:sz w:val="24"/>
      <w:szCs w:val="20"/>
      <w:lang w:eastAsia="en-US"/>
    </w:rPr>
  </w:style>
  <w:style w:type="paragraph" w:customStyle="1" w:styleId="636">
    <w:name w:val="Char Char Char1 Char Char Char Char Char Char Char Char Char Char Char Char Char Char Char Char Char Char Char1"/>
    <w:basedOn w:val="1"/>
    <w:qFormat/>
    <w:uiPriority w:val="0"/>
    <w:pPr>
      <w:adjustRightInd w:val="0"/>
      <w:snapToGrid w:val="0"/>
      <w:spacing w:before="0" w:beforeLines="0" w:line="360" w:lineRule="auto"/>
      <w:ind w:firstLine="480" w:firstLineChars="200"/>
    </w:pPr>
    <w:rPr>
      <w:sz w:val="24"/>
    </w:rPr>
  </w:style>
  <w:style w:type="paragraph" w:customStyle="1" w:styleId="637">
    <w:name w:val="Char Char Char Char Char Char1 Char1"/>
    <w:basedOn w:val="1"/>
    <w:qFormat/>
    <w:uiPriority w:val="0"/>
    <w:pPr>
      <w:adjustRightInd w:val="0"/>
      <w:snapToGrid w:val="0"/>
      <w:spacing w:before="0" w:beforeLines="0" w:line="360" w:lineRule="auto"/>
      <w:ind w:firstLine="480" w:firstLineChars="200"/>
    </w:pPr>
    <w:rPr>
      <w:sz w:val="24"/>
    </w:rPr>
  </w:style>
  <w:style w:type="paragraph" w:customStyle="1" w:styleId="638">
    <w:name w:val="Char Char Char Char Char Char1 Char Char Char Char Char Char Char Char Char Char Char Char Char Char Char Char1"/>
    <w:basedOn w:val="1"/>
    <w:qFormat/>
    <w:uiPriority w:val="0"/>
    <w:pPr>
      <w:adjustRightInd w:val="0"/>
      <w:snapToGrid w:val="0"/>
      <w:spacing w:before="0" w:beforeLines="0" w:line="360" w:lineRule="auto"/>
      <w:ind w:firstLine="480" w:firstLineChars="200"/>
    </w:pPr>
    <w:rPr>
      <w:sz w:val="24"/>
    </w:rPr>
  </w:style>
  <w:style w:type="table" w:customStyle="1" w:styleId="639">
    <w:name w:val="网格型31"/>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40">
    <w:name w:val="字元 字元 Char Char 字元 字元1 Char Char Char1"/>
    <w:basedOn w:val="1"/>
    <w:qFormat/>
    <w:uiPriority w:val="0"/>
    <w:pPr>
      <w:adjustRightInd w:val="0"/>
      <w:snapToGrid w:val="0"/>
      <w:spacing w:before="0" w:beforeLines="0" w:line="360" w:lineRule="auto"/>
      <w:ind w:firstLine="480" w:firstLineChars="200"/>
    </w:pPr>
    <w:rPr>
      <w:sz w:val="24"/>
    </w:rPr>
  </w:style>
  <w:style w:type="table" w:customStyle="1" w:styleId="641">
    <w:name w:val="立体型 31"/>
    <w:basedOn w:val="89"/>
    <w:qFormat/>
    <w:uiPriority w:val="0"/>
    <w:pPr>
      <w:widowControl w:val="0"/>
      <w:jc w:val="both"/>
    </w:pPr>
    <w:tblStylePr w:type="firstRow">
      <w:rPr>
        <w:b/>
        <w:bCs/>
      </w:rPr>
      <w:tcPr>
        <w:tcBorders>
          <w:tl2br w:val="nil"/>
          <w:tr2bl w:val="nil"/>
        </w:tcBorders>
      </w:tcPr>
    </w:tblStylePr>
    <w:tblStylePr w:type="firstCol">
      <w:tcPr>
        <w:tcBorders>
          <w:top w:val="nil"/>
          <w:bottom w:val="nil"/>
          <w:right w:val="single" w:color="808080" w:sz="6" w:space="0"/>
          <w:tl2br w:val="nil"/>
          <w:tr2bl w:val="nil"/>
        </w:tcBorders>
      </w:tcPr>
    </w:tblStylePr>
    <w:tblStylePr w:type="lastCol">
      <w:tcPr>
        <w:tcBorders>
          <w:right w:val="single" w:color="FFFFFF" w:sz="6" w:space="0"/>
          <w:tl2br w:val="nil"/>
          <w:tr2bl w:val="nil"/>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band1Horz">
      <w:tcPr>
        <w:tcBorders>
          <w:top w:val="single" w:color="808080" w:sz="6" w:space="0"/>
          <w:bottom w:val="single" w:color="FFFFFF" w:sz="6" w:space="0"/>
          <w:tl2br w:val="nil"/>
          <w:tr2bl w:val="nil"/>
        </w:tcBorders>
      </w:tcPr>
    </w:tblStylePr>
    <w:tblStylePr w:type="swCell">
      <w:rPr>
        <w:b/>
        <w:bCs/>
      </w:rPr>
      <w:tcPr>
        <w:tcBorders>
          <w:tl2br w:val="nil"/>
          <w:tr2bl w:val="nil"/>
        </w:tcBorders>
      </w:tcPr>
    </w:tblStylePr>
  </w:style>
  <w:style w:type="character" w:customStyle="1" w:styleId="642">
    <w:name w:val="正文缩进 Char"/>
    <w:link w:val="643"/>
    <w:qFormat/>
    <w:uiPriority w:val="0"/>
    <w:rPr>
      <w:sz w:val="28"/>
    </w:rPr>
  </w:style>
  <w:style w:type="paragraph" w:customStyle="1" w:styleId="643">
    <w:name w:val="正文缩进1"/>
    <w:basedOn w:val="1"/>
    <w:link w:val="642"/>
    <w:qFormat/>
    <w:uiPriority w:val="0"/>
    <w:pPr>
      <w:adjustRightInd w:val="0"/>
      <w:spacing w:before="0" w:beforeLines="0" w:line="520" w:lineRule="exact"/>
      <w:ind w:firstLine="200" w:firstLineChars="200"/>
      <w:textAlignment w:val="baseline"/>
    </w:pPr>
    <w:rPr>
      <w:kern w:val="0"/>
      <w:sz w:val="28"/>
      <w:szCs w:val="20"/>
    </w:rPr>
  </w:style>
  <w:style w:type="character" w:customStyle="1" w:styleId="644">
    <w:name w:val="段落文字 Char Char"/>
    <w:link w:val="645"/>
    <w:qFormat/>
    <w:uiPriority w:val="0"/>
    <w:rPr>
      <w:rFonts w:hAnsi="华文中宋" w:eastAsia="华文中宋"/>
      <w:color w:val="000000"/>
      <w:sz w:val="24"/>
      <w:szCs w:val="24"/>
    </w:rPr>
  </w:style>
  <w:style w:type="paragraph" w:customStyle="1" w:styleId="645">
    <w:name w:val="段落文字"/>
    <w:basedOn w:val="1"/>
    <w:link w:val="644"/>
    <w:qFormat/>
    <w:uiPriority w:val="0"/>
    <w:pPr>
      <w:adjustRightInd w:val="0"/>
      <w:snapToGrid w:val="0"/>
      <w:spacing w:before="0" w:beforeLines="50" w:line="400" w:lineRule="exact"/>
      <w:ind w:firstLine="200" w:firstLineChars="200"/>
    </w:pPr>
    <w:rPr>
      <w:rFonts w:hAnsi="华文中宋" w:eastAsia="华文中宋"/>
      <w:color w:val="000000"/>
      <w:kern w:val="0"/>
      <w:sz w:val="24"/>
    </w:rPr>
  </w:style>
  <w:style w:type="paragraph" w:customStyle="1" w:styleId="646">
    <w:name w:val="正文一"/>
    <w:basedOn w:val="1"/>
    <w:qFormat/>
    <w:uiPriority w:val="0"/>
    <w:pPr>
      <w:tabs>
        <w:tab w:val="left" w:pos="7995"/>
      </w:tabs>
      <w:adjustRightInd w:val="0"/>
      <w:spacing w:before="0" w:beforeLines="0" w:line="312" w:lineRule="auto"/>
      <w:ind w:firstLine="567"/>
      <w:textAlignment w:val="baseline"/>
    </w:pPr>
    <w:rPr>
      <w:kern w:val="0"/>
      <w:sz w:val="28"/>
      <w:szCs w:val="20"/>
    </w:rPr>
  </w:style>
  <w:style w:type="paragraph" w:customStyle="1" w:styleId="647">
    <w:name w:val="小标题一"/>
    <w:basedOn w:val="1"/>
    <w:qFormat/>
    <w:uiPriority w:val="0"/>
    <w:pPr>
      <w:spacing w:before="156" w:beforeLines="0" w:after="156" w:line="240" w:lineRule="auto"/>
      <w:ind w:firstLine="482" w:firstLineChars="200"/>
    </w:pPr>
    <w:rPr>
      <w:rFonts w:cs="宋体"/>
      <w:b/>
      <w:bCs/>
      <w:sz w:val="24"/>
      <w:szCs w:val="20"/>
    </w:rPr>
  </w:style>
  <w:style w:type="paragraph" w:customStyle="1" w:styleId="648">
    <w:name w:val="小标题二"/>
    <w:basedOn w:val="647"/>
    <w:qFormat/>
    <w:uiPriority w:val="0"/>
    <w:pPr>
      <w:spacing w:before="0" w:after="0"/>
      <w:ind w:firstLine="200"/>
    </w:pPr>
    <w:rPr>
      <w:b w:val="0"/>
      <w:szCs w:val="24"/>
    </w:rPr>
  </w:style>
  <w:style w:type="character" w:customStyle="1" w:styleId="649">
    <w:name w:val="正文ye Char Char"/>
    <w:link w:val="650"/>
    <w:qFormat/>
    <w:uiPriority w:val="0"/>
    <w:rPr>
      <w:rFonts w:hAnsi="华文中宋" w:eastAsia="华文中宋"/>
    </w:rPr>
  </w:style>
  <w:style w:type="paragraph" w:customStyle="1" w:styleId="650">
    <w:name w:val="正文ye"/>
    <w:basedOn w:val="1"/>
    <w:link w:val="649"/>
    <w:qFormat/>
    <w:uiPriority w:val="0"/>
    <w:pPr>
      <w:spacing w:before="0" w:beforeLines="50" w:afterLines="50" w:line="400" w:lineRule="exact"/>
      <w:ind w:firstLine="454"/>
    </w:pPr>
    <w:rPr>
      <w:rFonts w:hAnsi="华文中宋" w:eastAsia="华文中宋"/>
      <w:kern w:val="0"/>
      <w:sz w:val="20"/>
      <w:szCs w:val="20"/>
    </w:rPr>
  </w:style>
  <w:style w:type="character" w:customStyle="1" w:styleId="651">
    <w:name w:val="unnamed11"/>
    <w:qFormat/>
    <w:uiPriority w:val="0"/>
    <w:rPr>
      <w:rFonts w:hint="default" w:ascii="ˎ̥" w:hAnsi="ˎ̥"/>
      <w:sz w:val="22"/>
      <w:szCs w:val="22"/>
      <w:u w:val="none"/>
    </w:rPr>
  </w:style>
  <w:style w:type="character" w:customStyle="1" w:styleId="652">
    <w:name w:val="信息标题 Char"/>
    <w:link w:val="653"/>
    <w:qFormat/>
    <w:uiPriority w:val="0"/>
    <w:rPr>
      <w:rFonts w:ascii="Arial" w:hAnsi="Arial" w:eastAsia="华文中宋" w:cs="Arial"/>
      <w:shd w:val="pct20" w:color="auto" w:fill="auto"/>
    </w:rPr>
  </w:style>
  <w:style w:type="paragraph" w:customStyle="1" w:styleId="653">
    <w:name w:val="信息标题1"/>
    <w:basedOn w:val="1"/>
    <w:link w:val="652"/>
    <w:qFormat/>
    <w:uiPriority w:val="0"/>
    <w:pPr>
      <w:pBdr>
        <w:top w:val="single" w:color="auto" w:sz="6" w:space="1"/>
        <w:left w:val="single" w:color="auto" w:sz="6" w:space="1"/>
        <w:bottom w:val="single" w:color="auto" w:sz="6" w:space="1"/>
        <w:right w:val="single" w:color="auto" w:sz="6" w:space="1"/>
      </w:pBdr>
      <w:shd w:val="pct20" w:color="auto" w:fill="auto"/>
      <w:adjustRightInd w:val="0"/>
      <w:snapToGrid w:val="0"/>
      <w:spacing w:before="0" w:beforeLines="0" w:line="360" w:lineRule="exact"/>
      <w:ind w:left="1080" w:leftChars="500" w:hanging="1080" w:hangingChars="500"/>
    </w:pPr>
    <w:rPr>
      <w:rFonts w:ascii="Arial" w:hAnsi="Arial" w:eastAsia="华文中宋" w:cs="Arial"/>
      <w:kern w:val="0"/>
      <w:sz w:val="20"/>
      <w:szCs w:val="20"/>
    </w:rPr>
  </w:style>
  <w:style w:type="character" w:customStyle="1" w:styleId="654">
    <w:name w:val="正文文字缩进 Char1"/>
    <w:qFormat/>
    <w:uiPriority w:val="0"/>
    <w:rPr>
      <w:rFonts w:ascii="Times New Roman" w:hAnsi="Times New Roman" w:eastAsia="宋体" w:cs="Times New Roman"/>
      <w:sz w:val="28"/>
      <w:szCs w:val="20"/>
    </w:rPr>
  </w:style>
  <w:style w:type="character" w:customStyle="1" w:styleId="655">
    <w:name w:val="表格2 Char Char"/>
    <w:link w:val="656"/>
    <w:qFormat/>
    <w:uiPriority w:val="0"/>
    <w:rPr>
      <w:rFonts w:ascii="华文中宋" w:hAnsi="华文中宋" w:eastAsia="华文中宋"/>
      <w:sz w:val="24"/>
      <w:szCs w:val="21"/>
    </w:rPr>
  </w:style>
  <w:style w:type="paragraph" w:customStyle="1" w:styleId="656">
    <w:name w:val="表格2"/>
    <w:basedOn w:val="1"/>
    <w:link w:val="655"/>
    <w:qFormat/>
    <w:uiPriority w:val="0"/>
    <w:pPr>
      <w:keepNext/>
      <w:widowControl/>
      <w:autoSpaceDE w:val="0"/>
      <w:autoSpaceDN w:val="0"/>
      <w:snapToGrid w:val="0"/>
      <w:spacing w:before="0" w:beforeLines="0" w:line="240" w:lineRule="auto"/>
      <w:jc w:val="center"/>
    </w:pPr>
    <w:rPr>
      <w:rFonts w:ascii="华文中宋" w:hAnsi="华文中宋" w:eastAsia="华文中宋"/>
      <w:kern w:val="0"/>
      <w:sz w:val="24"/>
      <w:szCs w:val="21"/>
    </w:rPr>
  </w:style>
  <w:style w:type="character" w:customStyle="1" w:styleId="657">
    <w:name w:val="style161"/>
    <w:qFormat/>
    <w:uiPriority w:val="0"/>
    <w:rPr>
      <w:color w:val="333333"/>
      <w:sz w:val="18"/>
      <w:szCs w:val="18"/>
    </w:rPr>
  </w:style>
  <w:style w:type="character" w:customStyle="1" w:styleId="658">
    <w:name w:val="正文1 Char Char"/>
    <w:qFormat/>
    <w:uiPriority w:val="0"/>
    <w:rPr>
      <w:kern w:val="2"/>
      <w:sz w:val="28"/>
      <w:szCs w:val="24"/>
    </w:rPr>
  </w:style>
  <w:style w:type="character" w:customStyle="1" w:styleId="659">
    <w:name w:val="c14-b1"/>
    <w:qFormat/>
    <w:uiPriority w:val="0"/>
    <w:rPr>
      <w:rFonts w:hint="eastAsia" w:ascii="宋体" w:hAnsi="宋体" w:eastAsia="宋体"/>
      <w:color w:val="000000"/>
      <w:spacing w:val="480"/>
      <w:sz w:val="28"/>
      <w:szCs w:val="28"/>
      <w:u w:val="none"/>
    </w:rPr>
  </w:style>
  <w:style w:type="character" w:customStyle="1" w:styleId="660">
    <w:name w:val="content1"/>
    <w:qFormat/>
    <w:uiPriority w:val="99"/>
    <w:rPr>
      <w:rFonts w:hint="eastAsia" w:ascii="宋体" w:hAnsi="宋体" w:eastAsia="宋体"/>
      <w:color w:val="333333"/>
      <w:sz w:val="21"/>
      <w:szCs w:val="21"/>
    </w:rPr>
  </w:style>
  <w:style w:type="character" w:customStyle="1" w:styleId="661">
    <w:name w:val="样式 宋体 加粗"/>
    <w:qFormat/>
    <w:uiPriority w:val="0"/>
    <w:rPr>
      <w:rFonts w:ascii="宋体" w:hAnsi="宋体" w:eastAsia="宋体"/>
      <w:b/>
      <w:bCs/>
      <w:kern w:val="0"/>
      <w:sz w:val="28"/>
      <w:szCs w:val="28"/>
      <w:vertAlign w:val="baseline"/>
    </w:rPr>
  </w:style>
  <w:style w:type="character" w:customStyle="1" w:styleId="662">
    <w:name w:val="批注引用1"/>
    <w:qFormat/>
    <w:uiPriority w:val="0"/>
    <w:rPr>
      <w:sz w:val="21"/>
    </w:rPr>
  </w:style>
  <w:style w:type="character" w:customStyle="1" w:styleId="663">
    <w:name w:val="正文文字 Char Char"/>
    <w:qFormat/>
    <w:uiPriority w:val="0"/>
    <w:rPr>
      <w:rFonts w:ascii="Times New Roman" w:hAnsi="Times New Roman" w:eastAsia="宋体" w:cs="Times New Roman"/>
      <w:sz w:val="15"/>
      <w:szCs w:val="20"/>
    </w:rPr>
  </w:style>
  <w:style w:type="character" w:customStyle="1" w:styleId="664">
    <w:name w:val="标题1.1.1.1 Char Char"/>
    <w:link w:val="665"/>
    <w:qFormat/>
    <w:uiPriority w:val="0"/>
    <w:rPr>
      <w:rFonts w:eastAsia="华文中宋"/>
      <w:b/>
    </w:rPr>
  </w:style>
  <w:style w:type="paragraph" w:customStyle="1" w:styleId="665">
    <w:name w:val="标题1.1.1.1"/>
    <w:basedOn w:val="1"/>
    <w:link w:val="664"/>
    <w:qFormat/>
    <w:uiPriority w:val="0"/>
    <w:pPr>
      <w:spacing w:before="0" w:beforeLines="50" w:afterLines="50" w:line="300" w:lineRule="auto"/>
    </w:pPr>
    <w:rPr>
      <w:rFonts w:eastAsia="华文中宋"/>
      <w:b/>
      <w:kern w:val="0"/>
      <w:sz w:val="20"/>
      <w:szCs w:val="20"/>
    </w:rPr>
  </w:style>
  <w:style w:type="character" w:customStyle="1" w:styleId="666">
    <w:name w:val="样式 宋体 黑色"/>
    <w:qFormat/>
    <w:uiPriority w:val="0"/>
    <w:rPr>
      <w:rFonts w:ascii="宋体" w:hAnsi="宋体"/>
      <w:color w:val="000000"/>
    </w:rPr>
  </w:style>
  <w:style w:type="character" w:customStyle="1" w:styleId="667">
    <w:name w:val="正文(首行缩进2字) Char Char Char Char1"/>
    <w:qFormat/>
    <w:uiPriority w:val="0"/>
    <w:rPr>
      <w:rFonts w:eastAsia="宋体"/>
    </w:rPr>
  </w:style>
  <w:style w:type="character" w:customStyle="1" w:styleId="668">
    <w:name w:val="正文文字 Char1"/>
    <w:qFormat/>
    <w:uiPriority w:val="0"/>
    <w:rPr>
      <w:rFonts w:ascii="Times New Roman" w:hAnsi="Times New Roman" w:eastAsia="宋体" w:cs="Times New Roman"/>
      <w:sz w:val="15"/>
      <w:szCs w:val="20"/>
    </w:rPr>
  </w:style>
  <w:style w:type="character" w:customStyle="1" w:styleId="669">
    <w:name w:val="页码1"/>
    <w:qFormat/>
    <w:uiPriority w:val="0"/>
  </w:style>
  <w:style w:type="character" w:customStyle="1" w:styleId="670">
    <w:name w:val="正文（首行缩进两字） Char"/>
    <w:qFormat/>
    <w:uiPriority w:val="0"/>
    <w:rPr>
      <w:rFonts w:eastAsia="宋体"/>
      <w:sz w:val="28"/>
      <w:lang w:val="en-US" w:eastAsia="zh-CN"/>
    </w:rPr>
  </w:style>
  <w:style w:type="character" w:customStyle="1" w:styleId="671">
    <w:name w:val="1.1标题 2 Char"/>
    <w:qFormat/>
    <w:uiPriority w:val="0"/>
    <w:rPr>
      <w:rFonts w:ascii="宋体" w:hAnsi="Times New Roman" w:eastAsia="黑体" w:cs="Times New Roman"/>
      <w:b/>
      <w:bCs/>
      <w:kern w:val="44"/>
      <w:sz w:val="36"/>
      <w:szCs w:val="20"/>
    </w:rPr>
  </w:style>
  <w:style w:type="character" w:customStyle="1" w:styleId="672">
    <w:name w:val="表名 Char Char"/>
    <w:link w:val="673"/>
    <w:qFormat/>
    <w:uiPriority w:val="0"/>
    <w:rPr>
      <w:rFonts w:hAnsi="华文中宋" w:cs="宋体"/>
      <w:b/>
      <w:bCs/>
      <w:color w:val="000000"/>
      <w:sz w:val="28"/>
      <w:szCs w:val="28"/>
    </w:rPr>
  </w:style>
  <w:style w:type="paragraph" w:customStyle="1" w:styleId="673">
    <w:name w:val="表名"/>
    <w:basedOn w:val="1"/>
    <w:next w:val="1"/>
    <w:link w:val="672"/>
    <w:qFormat/>
    <w:uiPriority w:val="0"/>
    <w:pPr>
      <w:spacing w:before="0" w:beforeLines="0" w:line="360" w:lineRule="auto"/>
      <w:jc w:val="center"/>
    </w:pPr>
    <w:rPr>
      <w:rFonts w:hAnsi="华文中宋" w:cs="宋体"/>
      <w:b/>
      <w:bCs/>
      <w:color w:val="000000"/>
      <w:kern w:val="0"/>
      <w:sz w:val="28"/>
      <w:szCs w:val="28"/>
    </w:rPr>
  </w:style>
  <w:style w:type="character" w:customStyle="1" w:styleId="674">
    <w:name w:val="四号 正文 Char Char"/>
    <w:link w:val="675"/>
    <w:qFormat/>
    <w:uiPriority w:val="0"/>
    <w:rPr>
      <w:spacing w:val="6"/>
      <w:sz w:val="28"/>
    </w:rPr>
  </w:style>
  <w:style w:type="paragraph" w:customStyle="1" w:styleId="675">
    <w:name w:val="四号 正文"/>
    <w:basedOn w:val="1"/>
    <w:link w:val="674"/>
    <w:qFormat/>
    <w:uiPriority w:val="0"/>
    <w:pPr>
      <w:spacing w:before="0" w:beforeLines="0" w:line="240" w:lineRule="auto"/>
      <w:ind w:firstLine="584" w:firstLineChars="200"/>
    </w:pPr>
    <w:rPr>
      <w:spacing w:val="6"/>
      <w:kern w:val="0"/>
      <w:sz w:val="28"/>
      <w:szCs w:val="20"/>
    </w:rPr>
  </w:style>
  <w:style w:type="character" w:customStyle="1" w:styleId="676">
    <w:name w:val="标题 1 Char Char Char Char"/>
    <w:qFormat/>
    <w:uiPriority w:val="0"/>
    <w:rPr>
      <w:rFonts w:ascii="黑体" w:hAnsi="宋体" w:eastAsia="宋体"/>
      <w:b/>
      <w:bCs/>
      <w:kern w:val="44"/>
      <w:sz w:val="44"/>
      <w:szCs w:val="44"/>
    </w:rPr>
  </w:style>
  <w:style w:type="character" w:customStyle="1" w:styleId="677">
    <w:name w:val="news-021"/>
    <w:qFormat/>
    <w:uiPriority w:val="0"/>
    <w:rPr>
      <w:spacing w:val="330"/>
      <w:sz w:val="18"/>
      <w:szCs w:val="18"/>
    </w:rPr>
  </w:style>
  <w:style w:type="character" w:customStyle="1" w:styleId="678">
    <w:name w:val="tel"/>
    <w:qFormat/>
    <w:uiPriority w:val="0"/>
  </w:style>
  <w:style w:type="character" w:customStyle="1" w:styleId="679">
    <w:name w:val="neirong1"/>
    <w:qFormat/>
    <w:uiPriority w:val="0"/>
    <w:rPr>
      <w:color w:val="333333"/>
      <w:sz w:val="18"/>
      <w:szCs w:val="18"/>
    </w:rPr>
  </w:style>
  <w:style w:type="character" w:customStyle="1" w:styleId="680">
    <w:name w:val="样式 宋体 小四 黑色"/>
    <w:qFormat/>
    <w:uiPriority w:val="0"/>
    <w:rPr>
      <w:rFonts w:ascii="宋体" w:hAnsi="宋体"/>
      <w:color w:val="000000"/>
    </w:rPr>
  </w:style>
  <w:style w:type="character" w:customStyle="1" w:styleId="681">
    <w:name w:val="type1"/>
    <w:qFormat/>
    <w:uiPriority w:val="0"/>
    <w:rPr>
      <w:color w:val="333333"/>
      <w:spacing w:val="240"/>
      <w:sz w:val="18"/>
      <w:szCs w:val="18"/>
      <w:u w:val="none"/>
    </w:rPr>
  </w:style>
  <w:style w:type="character" w:customStyle="1" w:styleId="682">
    <w:name w:val="(一) Char1"/>
    <w:qFormat/>
    <w:uiPriority w:val="0"/>
    <w:rPr>
      <w:rFonts w:ascii="Arial" w:hAnsi="Arial" w:eastAsia="黑体"/>
      <w:b/>
      <w:bCs/>
      <w:sz w:val="28"/>
      <w:szCs w:val="28"/>
    </w:rPr>
  </w:style>
  <w:style w:type="character" w:customStyle="1" w:styleId="683">
    <w:name w:val="占位符文本1"/>
    <w:qFormat/>
    <w:uiPriority w:val="99"/>
    <w:rPr>
      <w:color w:val="808080"/>
    </w:rPr>
  </w:style>
  <w:style w:type="character" w:customStyle="1" w:styleId="684">
    <w:name w:val="1正文 Char Char"/>
    <w:link w:val="685"/>
    <w:qFormat/>
    <w:uiPriority w:val="0"/>
    <w:rPr>
      <w:rFonts w:ascii="宋体" w:hAnsi="华文中宋"/>
    </w:rPr>
  </w:style>
  <w:style w:type="paragraph" w:customStyle="1" w:styleId="685">
    <w:name w:val="1正文"/>
    <w:basedOn w:val="1"/>
    <w:link w:val="684"/>
    <w:qFormat/>
    <w:uiPriority w:val="0"/>
    <w:pPr>
      <w:adjustRightInd w:val="0"/>
      <w:snapToGrid w:val="0"/>
      <w:spacing w:before="0" w:beforeLines="0" w:line="360" w:lineRule="auto"/>
      <w:ind w:firstLine="561"/>
    </w:pPr>
    <w:rPr>
      <w:rFonts w:ascii="宋体" w:hAnsi="华文中宋"/>
      <w:kern w:val="0"/>
      <w:sz w:val="20"/>
      <w:szCs w:val="20"/>
    </w:rPr>
  </w:style>
  <w:style w:type="character" w:customStyle="1" w:styleId="686">
    <w:name w:val="px14"/>
    <w:qFormat/>
    <w:uiPriority w:val="0"/>
  </w:style>
  <w:style w:type="character" w:customStyle="1" w:styleId="687">
    <w:name w:val="表格1 Char Char"/>
    <w:link w:val="513"/>
    <w:qFormat/>
    <w:uiPriority w:val="0"/>
    <w:rPr>
      <w:rFonts w:ascii="CG Times (W1)"/>
      <w:sz w:val="21"/>
    </w:rPr>
  </w:style>
  <w:style w:type="character" w:customStyle="1" w:styleId="688">
    <w:name w:val="表格样式7 Char Char"/>
    <w:link w:val="689"/>
    <w:qFormat/>
    <w:uiPriority w:val="0"/>
    <w:rPr>
      <w:rFonts w:hAnsi="华文中宋" w:eastAsia="华文中宋"/>
      <w:b/>
      <w:spacing w:val="4"/>
    </w:rPr>
  </w:style>
  <w:style w:type="paragraph" w:customStyle="1" w:styleId="689">
    <w:name w:val="表格样式7"/>
    <w:basedOn w:val="1"/>
    <w:link w:val="688"/>
    <w:qFormat/>
    <w:uiPriority w:val="0"/>
    <w:pPr>
      <w:snapToGrid w:val="0"/>
      <w:spacing w:before="0" w:beforeLines="50" w:afterLines="50" w:line="240" w:lineRule="auto"/>
    </w:pPr>
    <w:rPr>
      <w:rFonts w:hAnsi="华文中宋" w:eastAsia="华文中宋"/>
      <w:b/>
      <w:spacing w:val="4"/>
      <w:kern w:val="0"/>
      <w:sz w:val="20"/>
      <w:szCs w:val="20"/>
    </w:rPr>
  </w:style>
  <w:style w:type="character" w:customStyle="1" w:styleId="690">
    <w:name w:val="图名样式7 Char Char"/>
    <w:link w:val="691"/>
    <w:qFormat/>
    <w:uiPriority w:val="0"/>
    <w:rPr>
      <w:rFonts w:hAnsi="华文中宋" w:eastAsia="华文中宋"/>
      <w:b/>
      <w:spacing w:val="6"/>
    </w:rPr>
  </w:style>
  <w:style w:type="paragraph" w:customStyle="1" w:styleId="691">
    <w:name w:val="图名样式7"/>
    <w:basedOn w:val="1"/>
    <w:link w:val="690"/>
    <w:qFormat/>
    <w:uiPriority w:val="0"/>
    <w:pPr>
      <w:spacing w:before="0" w:beforeLines="50" w:afterLines="50" w:line="360" w:lineRule="auto"/>
      <w:ind w:firstLine="539"/>
      <w:jc w:val="center"/>
    </w:pPr>
    <w:rPr>
      <w:rFonts w:hAnsi="华文中宋" w:eastAsia="华文中宋"/>
      <w:b/>
      <w:spacing w:val="6"/>
      <w:kern w:val="0"/>
      <w:sz w:val="20"/>
      <w:szCs w:val="20"/>
    </w:rPr>
  </w:style>
  <w:style w:type="character" w:customStyle="1" w:styleId="692">
    <w:name w:val="Char6"/>
    <w:qFormat/>
    <w:uiPriority w:val="0"/>
    <w:rPr>
      <w:rFonts w:ascii="Times New Roman" w:hAnsi="Times New Roman" w:eastAsia="宋体" w:cs="Times New Roman"/>
      <w:kern w:val="2"/>
      <w:sz w:val="18"/>
      <w:szCs w:val="18"/>
      <w:lang w:val="en-US" w:eastAsia="zh-CN"/>
    </w:rPr>
  </w:style>
  <w:style w:type="paragraph" w:customStyle="1" w:styleId="693">
    <w:name w:val="xl58"/>
    <w:basedOn w:val="1"/>
    <w:qFormat/>
    <w:uiPriority w:val="0"/>
    <w:pPr>
      <w:widowControl/>
      <w:pBdr>
        <w:top w:val="single" w:color="auto" w:sz="8" w:space="0"/>
        <w:left w:val="single" w:color="auto" w:sz="4" w:space="0"/>
        <w:right w:val="single" w:color="auto" w:sz="4" w:space="0"/>
      </w:pBdr>
      <w:spacing w:before="100" w:beforeLines="0" w:beforeAutospacing="1" w:after="100" w:afterAutospacing="1" w:line="240" w:lineRule="auto"/>
      <w:jc w:val="center"/>
      <w:textAlignment w:val="center"/>
    </w:pPr>
    <w:rPr>
      <w:rFonts w:hint="eastAsia" w:ascii="宋体" w:hAnsi="宋体"/>
      <w:kern w:val="0"/>
      <w:sz w:val="22"/>
      <w:szCs w:val="22"/>
    </w:rPr>
  </w:style>
  <w:style w:type="paragraph" w:customStyle="1" w:styleId="694">
    <w:name w:val="样式 表格 + 四号 两端对齐 行距: 1.5 倍行距1"/>
    <w:basedOn w:val="160"/>
    <w:qFormat/>
    <w:uiPriority w:val="0"/>
    <w:pPr>
      <w:widowControl w:val="0"/>
      <w:autoSpaceDE w:val="0"/>
      <w:autoSpaceDN w:val="0"/>
      <w:adjustRightInd w:val="0"/>
    </w:pPr>
    <w:rPr>
      <w:rFonts w:cs="宋体"/>
      <w:snapToGrid/>
      <w:kern w:val="2"/>
      <w:sz w:val="24"/>
      <w:szCs w:val="24"/>
    </w:rPr>
  </w:style>
  <w:style w:type="paragraph" w:customStyle="1" w:styleId="695">
    <w:name w:val="三级编号"/>
    <w:basedOn w:val="645"/>
    <w:qFormat/>
    <w:uiPriority w:val="0"/>
    <w:pPr>
      <w:spacing w:after="120" w:line="520" w:lineRule="exact"/>
      <w:ind w:firstLine="0" w:firstLineChars="0"/>
    </w:pPr>
    <w:rPr>
      <w:rFonts w:ascii="等线" w:hAnsi="Times New Roman" w:eastAsia="宋体"/>
      <w:color w:val="auto"/>
      <w:sz w:val="28"/>
    </w:rPr>
  </w:style>
  <w:style w:type="paragraph" w:customStyle="1" w:styleId="696">
    <w:name w:val="正文文本缩进1"/>
    <w:basedOn w:val="1"/>
    <w:qFormat/>
    <w:uiPriority w:val="0"/>
    <w:pPr>
      <w:adjustRightInd w:val="0"/>
      <w:spacing w:before="0" w:beforeLines="0" w:line="520" w:lineRule="atLeast"/>
      <w:ind w:firstLine="560" w:firstLineChars="200"/>
      <w:jc w:val="left"/>
      <w:textAlignment w:val="baseline"/>
    </w:pPr>
    <w:rPr>
      <w:kern w:val="0"/>
      <w:sz w:val="28"/>
      <w:szCs w:val="20"/>
    </w:rPr>
  </w:style>
  <w:style w:type="paragraph" w:customStyle="1" w:styleId="697">
    <w:name w:val="文档结构图1"/>
    <w:basedOn w:val="1"/>
    <w:qFormat/>
    <w:uiPriority w:val="0"/>
    <w:pPr>
      <w:shd w:val="clear" w:color="auto" w:fill="000080"/>
      <w:adjustRightInd w:val="0"/>
      <w:spacing w:before="0" w:beforeLines="0" w:line="520" w:lineRule="atLeast"/>
      <w:ind w:firstLine="200" w:firstLineChars="200"/>
      <w:jc w:val="left"/>
      <w:textAlignment w:val="baseline"/>
    </w:pPr>
    <w:rPr>
      <w:kern w:val="0"/>
      <w:sz w:val="28"/>
      <w:szCs w:val="20"/>
    </w:rPr>
  </w:style>
  <w:style w:type="character" w:customStyle="1" w:styleId="698">
    <w:name w:val="批注文字 Char1"/>
    <w:qFormat/>
    <w:uiPriority w:val="0"/>
    <w:rPr>
      <w:sz w:val="28"/>
    </w:rPr>
  </w:style>
  <w:style w:type="paragraph" w:customStyle="1" w:styleId="699">
    <w:name w:val="列表 21"/>
    <w:basedOn w:val="1"/>
    <w:qFormat/>
    <w:uiPriority w:val="0"/>
    <w:pPr>
      <w:spacing w:before="120" w:beforeLines="0" w:line="360" w:lineRule="auto"/>
      <w:ind w:left="840" w:hanging="420"/>
    </w:pPr>
    <w:rPr>
      <w:sz w:val="28"/>
      <w:szCs w:val="20"/>
    </w:rPr>
  </w:style>
  <w:style w:type="paragraph" w:customStyle="1" w:styleId="700">
    <w:name w:val="样式 标题 3 + 首行缩进:  1.92 字符"/>
    <w:basedOn w:val="5"/>
    <w:qFormat/>
    <w:uiPriority w:val="0"/>
    <w:pPr>
      <w:keepNext/>
      <w:adjustRightInd w:val="0"/>
      <w:spacing w:before="240" w:beforeLines="50" w:after="240" w:afterLines="50"/>
      <w:ind w:firstLine="200" w:firstLineChars="200"/>
      <w:jc w:val="left"/>
    </w:pPr>
    <w:rPr>
      <w:rFonts w:ascii="华文中宋" w:hAnsi="华文中宋" w:eastAsia="华文中宋" w:cs="宋体"/>
      <w:kern w:val="2"/>
      <w:sz w:val="32"/>
      <w:szCs w:val="32"/>
    </w:rPr>
  </w:style>
  <w:style w:type="paragraph" w:customStyle="1" w:styleId="701">
    <w:name w:val="批注主题1"/>
    <w:basedOn w:val="27"/>
    <w:next w:val="27"/>
    <w:qFormat/>
    <w:uiPriority w:val="0"/>
    <w:pPr>
      <w:spacing w:before="120" w:beforeLines="0" w:line="360" w:lineRule="auto"/>
    </w:pPr>
    <w:rPr>
      <w:b/>
      <w:bCs/>
      <w:kern w:val="0"/>
      <w:sz w:val="28"/>
      <w:szCs w:val="20"/>
    </w:rPr>
  </w:style>
  <w:style w:type="paragraph" w:customStyle="1" w:styleId="702">
    <w:name w:val="正文文本缩进 31"/>
    <w:basedOn w:val="1"/>
    <w:qFormat/>
    <w:uiPriority w:val="0"/>
    <w:pPr>
      <w:adjustRightInd w:val="0"/>
      <w:spacing w:before="0" w:beforeLines="0" w:line="520" w:lineRule="atLeast"/>
      <w:ind w:firstLine="560" w:firstLineChars="200"/>
      <w:jc w:val="left"/>
      <w:textAlignment w:val="baseline"/>
    </w:pPr>
    <w:rPr>
      <w:color w:val="FF0000"/>
      <w:kern w:val="0"/>
      <w:sz w:val="28"/>
      <w:szCs w:val="20"/>
    </w:rPr>
  </w:style>
  <w:style w:type="paragraph" w:customStyle="1" w:styleId="703">
    <w:name w:val="正文首行缩进1"/>
    <w:basedOn w:val="33"/>
    <w:link w:val="2107"/>
    <w:qFormat/>
    <w:uiPriority w:val="0"/>
    <w:pPr>
      <w:autoSpaceDE/>
      <w:autoSpaceDN/>
      <w:spacing w:after="120"/>
      <w:ind w:firstLine="420" w:firstLineChars="100"/>
      <w:jc w:val="both"/>
    </w:pPr>
    <w:rPr>
      <w:rFonts w:ascii="Times New Roman" w:hAnsi="Times New Roman" w:cs="Times New Roman"/>
      <w:sz w:val="21"/>
      <w:szCs w:val="20"/>
      <w:lang w:val="en-US" w:bidi="ar-SA"/>
    </w:rPr>
  </w:style>
  <w:style w:type="paragraph" w:customStyle="1" w:styleId="704">
    <w:name w:val="正文文本 31"/>
    <w:basedOn w:val="1"/>
    <w:qFormat/>
    <w:uiPriority w:val="0"/>
    <w:pPr>
      <w:spacing w:before="100" w:beforeLines="0" w:beforeAutospacing="1" w:line="360" w:lineRule="auto"/>
    </w:pPr>
    <w:rPr>
      <w:b/>
      <w:kern w:val="0"/>
      <w:sz w:val="28"/>
      <w:szCs w:val="20"/>
    </w:rPr>
  </w:style>
  <w:style w:type="paragraph" w:customStyle="1" w:styleId="705">
    <w:name w:val="样式 标题 1 + 段前: 3 磅 段后: 3 磅 行距: 多倍行距 1.3 字行"/>
    <w:basedOn w:val="3"/>
    <w:qFormat/>
    <w:uiPriority w:val="0"/>
    <w:pPr>
      <w:tabs>
        <w:tab w:val="left" w:pos="1740"/>
        <w:tab w:val="left" w:pos="8280"/>
        <w:tab w:val="clear" w:pos="360"/>
      </w:tabs>
      <w:snapToGrid w:val="0"/>
      <w:spacing w:before="360" w:beforeLines="50" w:after="120" w:line="312" w:lineRule="auto"/>
      <w:ind w:left="1740" w:firstLine="289"/>
      <w:jc w:val="center"/>
    </w:pPr>
    <w:rPr>
      <w:rFonts w:eastAsia="黑体" w:cs="宋体"/>
      <w:b w:val="0"/>
      <w:color w:val="auto"/>
      <w:kern w:val="44"/>
      <w:sz w:val="30"/>
      <w:szCs w:val="30"/>
    </w:rPr>
  </w:style>
  <w:style w:type="paragraph" w:customStyle="1" w:styleId="706">
    <w:name w:val="font12"/>
    <w:basedOn w:val="1"/>
    <w:qFormat/>
    <w:uiPriority w:val="0"/>
    <w:pPr>
      <w:widowControl/>
      <w:spacing w:before="100" w:beforeLines="0" w:beforeAutospacing="1" w:after="100" w:afterAutospacing="1" w:line="240" w:lineRule="auto"/>
      <w:jc w:val="left"/>
    </w:pPr>
    <w:rPr>
      <w:kern w:val="0"/>
      <w:sz w:val="22"/>
      <w:szCs w:val="22"/>
    </w:rPr>
  </w:style>
  <w:style w:type="character" w:customStyle="1" w:styleId="707">
    <w:name w:val="页脚 Char1"/>
    <w:qFormat/>
    <w:uiPriority w:val="0"/>
    <w:rPr>
      <w:sz w:val="18"/>
      <w:szCs w:val="18"/>
    </w:rPr>
  </w:style>
  <w:style w:type="paragraph" w:customStyle="1" w:styleId="708">
    <w:name w:val="正文文本缩进 21"/>
    <w:basedOn w:val="1"/>
    <w:qFormat/>
    <w:uiPriority w:val="0"/>
    <w:pPr>
      <w:adjustRightInd w:val="0"/>
      <w:spacing w:before="0" w:beforeLines="0" w:after="120" w:line="480" w:lineRule="auto"/>
      <w:ind w:left="420" w:leftChars="200" w:firstLine="200" w:firstLineChars="200"/>
      <w:jc w:val="left"/>
      <w:textAlignment w:val="baseline"/>
    </w:pPr>
    <w:rPr>
      <w:kern w:val="0"/>
      <w:sz w:val="28"/>
      <w:szCs w:val="20"/>
    </w:rPr>
  </w:style>
  <w:style w:type="paragraph" w:customStyle="1" w:styleId="709">
    <w:name w:val="正文文本缩进 22"/>
    <w:basedOn w:val="1"/>
    <w:qFormat/>
    <w:uiPriority w:val="0"/>
    <w:pPr>
      <w:autoSpaceDE w:val="0"/>
      <w:autoSpaceDN w:val="0"/>
      <w:adjustRightInd w:val="0"/>
      <w:spacing w:before="120" w:beforeLines="0" w:line="295" w:lineRule="atLeast"/>
      <w:ind w:firstLine="570"/>
      <w:textAlignment w:val="baseline"/>
    </w:pPr>
    <w:rPr>
      <w:rFonts w:ascii="宋体" w:hAnsi="Tms Rmn"/>
      <w:kern w:val="0"/>
      <w:sz w:val="28"/>
      <w:szCs w:val="20"/>
    </w:rPr>
  </w:style>
  <w:style w:type="paragraph" w:customStyle="1" w:styleId="710">
    <w:name w:val="正文首行缩进 21"/>
    <w:basedOn w:val="696"/>
    <w:qFormat/>
    <w:uiPriority w:val="0"/>
    <w:pPr>
      <w:adjustRightInd/>
      <w:spacing w:before="120" w:after="120" w:line="360" w:lineRule="auto"/>
      <w:ind w:left="420" w:firstLine="210" w:firstLineChars="0"/>
      <w:jc w:val="both"/>
      <w:textAlignment w:val="auto"/>
    </w:pPr>
    <w:rPr>
      <w:kern w:val="2"/>
      <w:sz w:val="21"/>
    </w:rPr>
  </w:style>
  <w:style w:type="character" w:customStyle="1" w:styleId="711">
    <w:name w:val="页眉 Char1"/>
    <w:qFormat/>
    <w:uiPriority w:val="0"/>
    <w:rPr>
      <w:sz w:val="18"/>
      <w:szCs w:val="18"/>
    </w:rPr>
  </w:style>
  <w:style w:type="character" w:customStyle="1" w:styleId="712">
    <w:name w:val="副标题 Char1"/>
    <w:qFormat/>
    <w:uiPriority w:val="0"/>
    <w:rPr>
      <w:rFonts w:ascii="Calibri Light" w:hAnsi="Calibri Light" w:cs="Times New Roman"/>
      <w:b/>
      <w:bCs/>
      <w:kern w:val="28"/>
      <w:sz w:val="32"/>
      <w:szCs w:val="32"/>
    </w:rPr>
  </w:style>
  <w:style w:type="paragraph" w:customStyle="1" w:styleId="713">
    <w:name w:val="_Style 31"/>
    <w:basedOn w:val="1"/>
    <w:next w:val="708"/>
    <w:qFormat/>
    <w:uiPriority w:val="0"/>
    <w:pPr>
      <w:spacing w:before="0" w:beforeLines="0" w:line="240" w:lineRule="auto"/>
      <w:ind w:firstLine="570"/>
    </w:pPr>
    <w:rPr>
      <w:sz w:val="28"/>
      <w:szCs w:val="20"/>
    </w:rPr>
  </w:style>
  <w:style w:type="paragraph" w:customStyle="1" w:styleId="714">
    <w:name w:val="样式 宋体 四号 首行缩进:  1 厘米 段前: 6 磅 行距: 1.5 倍行距"/>
    <w:basedOn w:val="1"/>
    <w:qFormat/>
    <w:uiPriority w:val="0"/>
    <w:pPr>
      <w:spacing w:before="0" w:beforeLines="0" w:line="360" w:lineRule="auto"/>
      <w:ind w:firstLine="538" w:firstLineChars="192"/>
    </w:pPr>
    <w:rPr>
      <w:rFonts w:ascii="宋体" w:hAnsi="宋体" w:cs="宋体"/>
      <w:kern w:val="0"/>
      <w:sz w:val="28"/>
      <w:szCs w:val="20"/>
    </w:rPr>
  </w:style>
  <w:style w:type="paragraph" w:customStyle="1" w:styleId="715">
    <w:name w:val="样式 表格编号 + 首行缩进:  2 字符 段前: 0.25 行 段后: 1 行"/>
    <w:basedOn w:val="1"/>
    <w:qFormat/>
    <w:uiPriority w:val="0"/>
    <w:pPr>
      <w:tabs>
        <w:tab w:val="left" w:pos="720"/>
      </w:tabs>
      <w:spacing w:before="0" w:beforeAutospacing="1" w:afterLines="25" w:line="240" w:lineRule="auto"/>
      <w:ind w:firstLine="200" w:firstLineChars="200"/>
    </w:pPr>
    <w:rPr>
      <w:szCs w:val="20"/>
    </w:rPr>
  </w:style>
  <w:style w:type="paragraph" w:customStyle="1" w:styleId="716">
    <w:name w:val="xl56"/>
    <w:basedOn w:val="1"/>
    <w:qFormat/>
    <w:uiPriority w:val="0"/>
    <w:pPr>
      <w:widowControl/>
      <w:pBdr>
        <w:top w:val="single" w:color="auto" w:sz="8" w:space="0"/>
        <w:left w:val="single" w:color="auto" w:sz="4" w:space="0"/>
        <w:right w:val="single" w:color="auto" w:sz="4" w:space="0"/>
      </w:pBdr>
      <w:spacing w:before="100" w:beforeLines="0" w:beforeAutospacing="1" w:after="100" w:afterAutospacing="1" w:line="240" w:lineRule="auto"/>
      <w:jc w:val="center"/>
      <w:textAlignment w:val="center"/>
    </w:pPr>
    <w:rPr>
      <w:rFonts w:hint="eastAsia" w:ascii="宋体" w:hAnsi="宋体"/>
      <w:kern w:val="0"/>
      <w:sz w:val="22"/>
      <w:szCs w:val="22"/>
    </w:rPr>
  </w:style>
  <w:style w:type="paragraph" w:customStyle="1" w:styleId="717">
    <w:name w:val="Char2"/>
    <w:basedOn w:val="1"/>
    <w:qFormat/>
    <w:uiPriority w:val="0"/>
    <w:pPr>
      <w:spacing w:before="0" w:beforeLines="50" w:afterLines="50" w:line="240" w:lineRule="auto"/>
      <w:jc w:val="center"/>
    </w:pPr>
    <w:rPr>
      <w:rFonts w:ascii="黑体" w:eastAsia="黑体"/>
      <w:spacing w:val="6"/>
      <w:sz w:val="24"/>
      <w:szCs w:val="28"/>
    </w:rPr>
  </w:style>
  <w:style w:type="paragraph" w:customStyle="1" w:styleId="718">
    <w:name w:val="_Style 34"/>
    <w:basedOn w:val="1"/>
    <w:next w:val="643"/>
    <w:qFormat/>
    <w:uiPriority w:val="0"/>
    <w:pPr>
      <w:adjustRightInd w:val="0"/>
      <w:spacing w:before="0" w:beforeLines="0" w:line="520" w:lineRule="exact"/>
      <w:ind w:firstLine="200" w:firstLineChars="200"/>
      <w:textAlignment w:val="baseline"/>
    </w:pPr>
    <w:rPr>
      <w:kern w:val="0"/>
      <w:sz w:val="28"/>
      <w:szCs w:val="20"/>
    </w:rPr>
  </w:style>
  <w:style w:type="paragraph" w:customStyle="1" w:styleId="719">
    <w:name w:val="_Style 36"/>
    <w:basedOn w:val="1"/>
    <w:next w:val="708"/>
    <w:qFormat/>
    <w:uiPriority w:val="0"/>
    <w:pPr>
      <w:spacing w:before="0" w:beforeLines="0" w:line="240" w:lineRule="auto"/>
      <w:ind w:firstLine="570"/>
    </w:pPr>
    <w:rPr>
      <w:sz w:val="28"/>
      <w:szCs w:val="20"/>
    </w:rPr>
  </w:style>
  <w:style w:type="paragraph" w:customStyle="1" w:styleId="720">
    <w:name w:val="索引 41"/>
    <w:basedOn w:val="1"/>
    <w:next w:val="1"/>
    <w:qFormat/>
    <w:uiPriority w:val="0"/>
    <w:pPr>
      <w:tabs>
        <w:tab w:val="right" w:leader="dot" w:pos="3954"/>
      </w:tabs>
      <w:adjustRightInd w:val="0"/>
      <w:spacing w:before="0" w:beforeLines="0" w:line="360" w:lineRule="atLeast"/>
      <w:ind w:left="840" w:hanging="210"/>
      <w:jc w:val="left"/>
      <w:textAlignment w:val="baseline"/>
    </w:pPr>
    <w:rPr>
      <w:rFonts w:eastAsia="华文中宋"/>
      <w:kern w:val="0"/>
      <w:sz w:val="20"/>
      <w:szCs w:val="20"/>
    </w:rPr>
  </w:style>
  <w:style w:type="paragraph" w:customStyle="1" w:styleId="721">
    <w:name w:val="表号"/>
    <w:basedOn w:val="1"/>
    <w:qFormat/>
    <w:uiPriority w:val="0"/>
    <w:pPr>
      <w:snapToGrid w:val="0"/>
      <w:spacing w:before="0" w:beforeLines="0" w:line="240" w:lineRule="auto"/>
    </w:pPr>
    <w:rPr>
      <w:spacing w:val="4"/>
    </w:rPr>
  </w:style>
  <w:style w:type="paragraph" w:customStyle="1" w:styleId="722">
    <w:name w:val="默认段落字体 Para Char Char Char Char Char Char Char Char Char Char"/>
    <w:basedOn w:val="1"/>
    <w:qFormat/>
    <w:uiPriority w:val="0"/>
    <w:pPr>
      <w:spacing w:before="0" w:beforeLines="0" w:line="240" w:lineRule="auto"/>
    </w:pPr>
  </w:style>
  <w:style w:type="paragraph" w:customStyle="1" w:styleId="723">
    <w:name w:val="Char Char Char1"/>
    <w:basedOn w:val="1"/>
    <w:qFormat/>
    <w:uiPriority w:val="99"/>
    <w:pPr>
      <w:spacing w:before="0" w:beforeLines="50" w:afterLines="50" w:line="240" w:lineRule="auto"/>
      <w:jc w:val="center"/>
    </w:pPr>
    <w:rPr>
      <w:rFonts w:ascii="黑体" w:eastAsia="黑体"/>
      <w:spacing w:val="6"/>
      <w:sz w:val="24"/>
      <w:szCs w:val="28"/>
    </w:rPr>
  </w:style>
  <w:style w:type="paragraph" w:customStyle="1" w:styleId="724">
    <w:name w:val="样式 华文中宋 小四 段后: 9.5 磅 行距: 多倍行距 1.25 字行"/>
    <w:basedOn w:val="1"/>
    <w:qFormat/>
    <w:uiPriority w:val="0"/>
    <w:pPr>
      <w:spacing w:before="0" w:beforeLines="0" w:after="190" w:line="276" w:lineRule="auto"/>
      <w:ind w:firstLine="200" w:firstLineChars="200"/>
    </w:pPr>
    <w:rPr>
      <w:rFonts w:ascii="华文中宋" w:hAnsi="华文中宋" w:eastAsia="华文中宋" w:cs="宋体"/>
      <w:spacing w:val="4"/>
      <w:sz w:val="24"/>
      <w:szCs w:val="20"/>
    </w:rPr>
  </w:style>
  <w:style w:type="paragraph" w:customStyle="1" w:styleId="725">
    <w:name w:val="普通(Web)"/>
    <w:basedOn w:val="1"/>
    <w:qFormat/>
    <w:uiPriority w:val="0"/>
    <w:pPr>
      <w:widowControl/>
      <w:spacing w:before="100" w:beforeLines="0" w:after="100" w:line="330" w:lineRule="atLeast"/>
      <w:jc w:val="left"/>
    </w:pPr>
    <w:rPr>
      <w:rFonts w:ascii="宋体" w:hAnsi="宋体"/>
      <w:kern w:val="0"/>
      <w:sz w:val="22"/>
      <w:szCs w:val="20"/>
    </w:rPr>
  </w:style>
  <w:style w:type="paragraph" w:customStyle="1" w:styleId="726">
    <w:name w:val="Char7"/>
    <w:basedOn w:val="1"/>
    <w:qFormat/>
    <w:uiPriority w:val="0"/>
    <w:pPr>
      <w:spacing w:before="0" w:beforeLines="50" w:afterLines="50" w:line="240" w:lineRule="auto"/>
      <w:jc w:val="center"/>
    </w:pPr>
    <w:rPr>
      <w:rFonts w:ascii="黑体" w:eastAsia="黑体"/>
      <w:spacing w:val="6"/>
      <w:sz w:val="24"/>
      <w:szCs w:val="28"/>
    </w:rPr>
  </w:style>
  <w:style w:type="paragraph" w:customStyle="1" w:styleId="727">
    <w:name w:val="标题2（普通）"/>
    <w:basedOn w:val="3"/>
    <w:qFormat/>
    <w:uiPriority w:val="0"/>
    <w:pPr>
      <w:tabs>
        <w:tab w:val="clear" w:pos="360"/>
      </w:tabs>
      <w:adjustRightInd w:val="0"/>
      <w:snapToGrid w:val="0"/>
      <w:spacing w:before="50" w:after="0" w:line="360" w:lineRule="exact"/>
      <w:jc w:val="left"/>
      <w:outlineLvl w:val="1"/>
    </w:pPr>
    <w:rPr>
      <w:rFonts w:eastAsia="黑体"/>
      <w:bCs w:val="0"/>
      <w:color w:val="auto"/>
      <w:kern w:val="44"/>
      <w:sz w:val="24"/>
    </w:rPr>
  </w:style>
  <w:style w:type="paragraph" w:customStyle="1" w:styleId="728">
    <w:name w:val="Char14 Char Char1 Char1"/>
    <w:basedOn w:val="1"/>
    <w:qFormat/>
    <w:uiPriority w:val="0"/>
    <w:pPr>
      <w:spacing w:before="0" w:beforeLines="50" w:afterLines="50" w:line="240" w:lineRule="auto"/>
      <w:jc w:val="center"/>
    </w:pPr>
    <w:rPr>
      <w:rFonts w:ascii="黑体" w:eastAsia="黑体"/>
      <w:spacing w:val="6"/>
      <w:sz w:val="24"/>
      <w:szCs w:val="28"/>
    </w:rPr>
  </w:style>
  <w:style w:type="paragraph" w:customStyle="1" w:styleId="729">
    <w:name w:val="样式 标题 1 + 黑体 居中"/>
    <w:basedOn w:val="3"/>
    <w:qFormat/>
    <w:uiPriority w:val="0"/>
    <w:pPr>
      <w:tabs>
        <w:tab w:val="clear" w:pos="360"/>
      </w:tabs>
      <w:spacing w:before="120" w:after="120" w:line="360" w:lineRule="auto"/>
      <w:jc w:val="center"/>
    </w:pPr>
    <w:rPr>
      <w:rFonts w:ascii="黑体" w:hAnsi="黑体" w:eastAsia="黑体"/>
      <w:bCs w:val="0"/>
      <w:color w:val="auto"/>
      <w:kern w:val="44"/>
      <w:sz w:val="32"/>
    </w:rPr>
  </w:style>
  <w:style w:type="paragraph" w:customStyle="1" w:styleId="730">
    <w:name w:val="正文(首行缩进2字)"/>
    <w:basedOn w:val="1"/>
    <w:qFormat/>
    <w:uiPriority w:val="0"/>
    <w:pPr>
      <w:overflowPunct w:val="0"/>
      <w:autoSpaceDE w:val="0"/>
      <w:autoSpaceDN w:val="0"/>
      <w:adjustRightInd w:val="0"/>
      <w:snapToGrid w:val="0"/>
      <w:spacing w:before="60" w:beforeLines="0" w:after="60" w:line="300" w:lineRule="auto"/>
      <w:textAlignment w:val="baseline"/>
    </w:pPr>
    <w:rPr>
      <w:kern w:val="0"/>
      <w:sz w:val="24"/>
      <w:szCs w:val="20"/>
    </w:rPr>
  </w:style>
  <w:style w:type="paragraph" w:customStyle="1" w:styleId="731">
    <w:name w:val="正文标题"/>
    <w:basedOn w:val="1"/>
    <w:qFormat/>
    <w:uiPriority w:val="0"/>
    <w:pPr>
      <w:widowControl/>
      <w:tabs>
        <w:tab w:val="left" w:pos="480"/>
      </w:tabs>
      <w:autoSpaceDE w:val="0"/>
      <w:autoSpaceDN w:val="0"/>
      <w:adjustRightInd w:val="0"/>
      <w:spacing w:before="0" w:beforeLines="0" w:line="240" w:lineRule="atLeast"/>
      <w:ind w:left="482" w:firstLine="62" w:firstLineChars="200"/>
      <w:jc w:val="left"/>
      <w:textAlignment w:val="bottom"/>
    </w:pPr>
    <w:rPr>
      <w:rFonts w:ascii="宋体" w:hAnsi="宋体"/>
      <w:kern w:val="0"/>
      <w:sz w:val="28"/>
      <w:szCs w:val="20"/>
    </w:rPr>
  </w:style>
  <w:style w:type="paragraph" w:customStyle="1" w:styleId="732">
    <w:name w:val="样式-正表lshy"/>
    <w:basedOn w:val="1"/>
    <w:qFormat/>
    <w:uiPriority w:val="0"/>
    <w:pPr>
      <w:adjustRightInd w:val="0"/>
      <w:snapToGrid w:val="0"/>
      <w:spacing w:before="0" w:beforeLines="0" w:line="240" w:lineRule="atLeast"/>
      <w:jc w:val="center"/>
      <w:textAlignment w:val="baseline"/>
    </w:pPr>
    <w:rPr>
      <w:rFonts w:ascii="宋体"/>
      <w:color w:val="000000"/>
      <w:kern w:val="0"/>
      <w:szCs w:val="20"/>
    </w:rPr>
  </w:style>
  <w:style w:type="paragraph" w:customStyle="1" w:styleId="733">
    <w:name w:val="索引 11"/>
    <w:basedOn w:val="1"/>
    <w:next w:val="1"/>
    <w:qFormat/>
    <w:uiPriority w:val="0"/>
    <w:pPr>
      <w:adjustRightInd w:val="0"/>
      <w:spacing w:before="0" w:beforeLines="0" w:line="520" w:lineRule="atLeast"/>
      <w:ind w:firstLine="200" w:firstLineChars="200"/>
      <w:jc w:val="left"/>
      <w:textAlignment w:val="baseline"/>
    </w:pPr>
    <w:rPr>
      <w:kern w:val="0"/>
      <w:sz w:val="28"/>
      <w:szCs w:val="20"/>
    </w:rPr>
  </w:style>
  <w:style w:type="paragraph" w:customStyle="1" w:styleId="734">
    <w:name w:val="表格一"/>
    <w:basedOn w:val="1"/>
    <w:qFormat/>
    <w:uiPriority w:val="0"/>
    <w:pPr>
      <w:keepNext/>
      <w:keepLines/>
      <w:adjustRightInd w:val="0"/>
      <w:spacing w:before="0" w:beforeLines="0" w:line="240" w:lineRule="auto"/>
      <w:jc w:val="center"/>
      <w:textAlignment w:val="baseline"/>
    </w:pPr>
    <w:rPr>
      <w:kern w:val="0"/>
      <w:sz w:val="24"/>
      <w:szCs w:val="20"/>
    </w:rPr>
  </w:style>
  <w:style w:type="paragraph" w:customStyle="1" w:styleId="735">
    <w:name w:val="文本块1"/>
    <w:basedOn w:val="1"/>
    <w:qFormat/>
    <w:uiPriority w:val="0"/>
    <w:pPr>
      <w:tabs>
        <w:tab w:val="left" w:pos="0"/>
      </w:tabs>
      <w:spacing w:before="0" w:beforeLines="0" w:line="240" w:lineRule="auto"/>
      <w:ind w:left="720" w:right="1260"/>
    </w:pPr>
    <w:rPr>
      <w:rFonts w:ascii="宋体"/>
      <w:kern w:val="0"/>
      <w:sz w:val="28"/>
      <w:szCs w:val="20"/>
    </w:rPr>
  </w:style>
  <w:style w:type="paragraph" w:customStyle="1" w:styleId="736">
    <w:name w:val="正文 + 小四"/>
    <w:basedOn w:val="1"/>
    <w:qFormat/>
    <w:uiPriority w:val="0"/>
    <w:pPr>
      <w:spacing w:before="0" w:beforeLines="0" w:line="360" w:lineRule="exact"/>
      <w:jc w:val="center"/>
    </w:pPr>
    <w:rPr>
      <w:sz w:val="24"/>
      <w:szCs w:val="20"/>
    </w:rPr>
  </w:style>
  <w:style w:type="paragraph" w:customStyle="1" w:styleId="737">
    <w:name w:val="索引 21"/>
    <w:basedOn w:val="1"/>
    <w:next w:val="1"/>
    <w:qFormat/>
    <w:uiPriority w:val="0"/>
    <w:pPr>
      <w:tabs>
        <w:tab w:val="right" w:leader="dot" w:pos="3954"/>
      </w:tabs>
      <w:adjustRightInd w:val="0"/>
      <w:spacing w:before="0" w:beforeLines="0" w:line="360" w:lineRule="atLeast"/>
      <w:ind w:left="420" w:hanging="210"/>
      <w:jc w:val="left"/>
      <w:textAlignment w:val="baseline"/>
    </w:pPr>
    <w:rPr>
      <w:rFonts w:eastAsia="华文中宋"/>
      <w:kern w:val="0"/>
      <w:sz w:val="20"/>
      <w:szCs w:val="20"/>
    </w:rPr>
  </w:style>
  <w:style w:type="paragraph" w:customStyle="1" w:styleId="738">
    <w:name w:val="样式 表格 + 四号 两端对齐 行距: 1.5 倍行距"/>
    <w:basedOn w:val="160"/>
    <w:qFormat/>
    <w:uiPriority w:val="0"/>
    <w:pPr>
      <w:widowControl w:val="0"/>
      <w:autoSpaceDE w:val="0"/>
      <w:autoSpaceDN w:val="0"/>
      <w:adjustRightInd w:val="0"/>
    </w:pPr>
    <w:rPr>
      <w:rFonts w:cs="宋体"/>
      <w:snapToGrid/>
      <w:sz w:val="24"/>
      <w:szCs w:val="24"/>
    </w:rPr>
  </w:style>
  <w:style w:type="paragraph" w:customStyle="1" w:styleId="739">
    <w:name w:val="Source"/>
    <w:basedOn w:val="1"/>
    <w:qFormat/>
    <w:uiPriority w:val="0"/>
    <w:pPr>
      <w:tabs>
        <w:tab w:val="left" w:pos="1080"/>
        <w:tab w:val="left" w:pos="2160"/>
        <w:tab w:val="left" w:pos="3240"/>
        <w:tab w:val="left" w:pos="4320"/>
        <w:tab w:val="left" w:pos="5400"/>
        <w:tab w:val="left" w:pos="6480"/>
        <w:tab w:val="left" w:pos="7560"/>
      </w:tabs>
      <w:spacing w:before="0" w:beforeLines="0" w:line="260" w:lineRule="atLeast"/>
      <w:jc w:val="left"/>
    </w:pPr>
    <w:rPr>
      <w:sz w:val="18"/>
    </w:rPr>
  </w:style>
  <w:style w:type="paragraph" w:customStyle="1" w:styleId="740">
    <w:name w:val="xl62"/>
    <w:basedOn w:val="1"/>
    <w:qFormat/>
    <w:uiPriority w:val="0"/>
    <w:pPr>
      <w:widowControl/>
      <w:pBdr>
        <w:top w:val="single" w:color="auto" w:sz="4" w:space="0"/>
        <w:bottom w:val="single" w:color="auto" w:sz="4" w:space="0"/>
      </w:pBdr>
      <w:spacing w:before="100" w:beforeLines="0" w:beforeAutospacing="1" w:after="100" w:afterAutospacing="1" w:line="240" w:lineRule="auto"/>
      <w:jc w:val="center"/>
      <w:textAlignment w:val="center"/>
    </w:pPr>
    <w:rPr>
      <w:rFonts w:ascii="Arial Unicode MS" w:hAnsi="Arial Unicode MS" w:eastAsia="Arial Unicode MS" w:cs="Arial Unicode MS"/>
      <w:kern w:val="0"/>
      <w:sz w:val="20"/>
      <w:szCs w:val="20"/>
    </w:rPr>
  </w:style>
  <w:style w:type="paragraph" w:customStyle="1" w:styleId="741">
    <w:name w:val="列表1"/>
    <w:basedOn w:val="1"/>
    <w:qFormat/>
    <w:uiPriority w:val="0"/>
    <w:pPr>
      <w:spacing w:before="0" w:beforeLines="0" w:line="240" w:lineRule="auto"/>
      <w:ind w:left="200" w:hanging="200" w:hangingChars="200"/>
    </w:pPr>
  </w:style>
  <w:style w:type="paragraph" w:customStyle="1" w:styleId="742">
    <w:name w:val="Char2 Char Char Char"/>
    <w:basedOn w:val="1"/>
    <w:qFormat/>
    <w:uiPriority w:val="0"/>
    <w:pPr>
      <w:spacing w:before="0" w:beforeLines="50" w:afterLines="50" w:line="240" w:lineRule="auto"/>
      <w:jc w:val="center"/>
    </w:pPr>
    <w:rPr>
      <w:rFonts w:ascii="黑体" w:eastAsia="黑体"/>
      <w:spacing w:val="6"/>
      <w:sz w:val="24"/>
      <w:szCs w:val="28"/>
    </w:rPr>
  </w:style>
  <w:style w:type="paragraph" w:customStyle="1" w:styleId="743">
    <w:name w:val="xl53"/>
    <w:basedOn w:val="1"/>
    <w:qFormat/>
    <w:uiPriority w:val="0"/>
    <w:pPr>
      <w:widowControl/>
      <w:pBdr>
        <w:top w:val="single" w:color="auto" w:sz="8" w:space="0"/>
        <w:left w:val="single" w:color="auto" w:sz="4" w:space="0"/>
        <w:bottom w:val="single" w:color="auto" w:sz="4" w:space="0"/>
      </w:pBdr>
      <w:spacing w:before="100" w:beforeLines="0" w:beforeAutospacing="1" w:after="100" w:afterAutospacing="1" w:line="240" w:lineRule="auto"/>
      <w:jc w:val="center"/>
      <w:textAlignment w:val="center"/>
    </w:pPr>
    <w:rPr>
      <w:rFonts w:hint="eastAsia" w:ascii="宋体" w:hAnsi="宋体"/>
      <w:kern w:val="0"/>
      <w:sz w:val="22"/>
      <w:szCs w:val="22"/>
    </w:rPr>
  </w:style>
  <w:style w:type="paragraph" w:customStyle="1" w:styleId="744">
    <w:name w:val="xl50"/>
    <w:basedOn w:val="1"/>
    <w:qFormat/>
    <w:uiPriority w:val="0"/>
    <w:pPr>
      <w:widowControl/>
      <w:pBdr>
        <w:top w:val="single" w:color="auto" w:sz="4" w:space="0"/>
        <w:left w:val="single" w:color="auto" w:sz="4" w:space="0"/>
        <w:bottom w:val="single" w:color="auto" w:sz="8" w:space="0"/>
        <w:right w:val="single" w:color="auto" w:sz="4" w:space="0"/>
      </w:pBdr>
      <w:spacing w:before="100" w:beforeLines="0" w:beforeAutospacing="1" w:after="100" w:afterAutospacing="1" w:line="240" w:lineRule="auto"/>
      <w:jc w:val="center"/>
      <w:textAlignment w:val="center"/>
    </w:pPr>
    <w:rPr>
      <w:rFonts w:ascii="宋体" w:hAnsi="宋体"/>
      <w:b/>
      <w:bCs/>
      <w:kern w:val="0"/>
      <w:sz w:val="22"/>
      <w:szCs w:val="22"/>
    </w:rPr>
  </w:style>
  <w:style w:type="paragraph" w:customStyle="1" w:styleId="745">
    <w:name w:val="xl51"/>
    <w:basedOn w:val="1"/>
    <w:qFormat/>
    <w:uiPriority w:val="0"/>
    <w:pPr>
      <w:widowControl/>
      <w:pBdr>
        <w:top w:val="single" w:color="auto" w:sz="4" w:space="0"/>
        <w:left w:val="single" w:color="auto" w:sz="4" w:space="0"/>
        <w:bottom w:val="single" w:color="auto" w:sz="8" w:space="0"/>
        <w:right w:val="single" w:color="auto" w:sz="4" w:space="0"/>
      </w:pBdr>
      <w:spacing w:before="100" w:beforeLines="0" w:beforeAutospacing="1" w:after="100" w:afterAutospacing="1" w:line="240" w:lineRule="auto"/>
      <w:jc w:val="center"/>
      <w:textAlignment w:val="center"/>
    </w:pPr>
    <w:rPr>
      <w:rFonts w:ascii="宋体" w:hAnsi="宋体"/>
      <w:b/>
      <w:bCs/>
      <w:kern w:val="0"/>
      <w:sz w:val="22"/>
      <w:szCs w:val="22"/>
    </w:rPr>
  </w:style>
  <w:style w:type="paragraph" w:customStyle="1" w:styleId="746">
    <w:name w:val="论文"/>
    <w:basedOn w:val="1"/>
    <w:qFormat/>
    <w:uiPriority w:val="0"/>
    <w:pPr>
      <w:spacing w:before="0" w:beforeLines="0" w:line="240" w:lineRule="auto"/>
    </w:pPr>
    <w:rPr>
      <w:rFonts w:ascii="黑体" w:eastAsia="黑体"/>
      <w:sz w:val="28"/>
      <w:szCs w:val="20"/>
    </w:rPr>
  </w:style>
  <w:style w:type="paragraph" w:customStyle="1" w:styleId="747">
    <w:name w:val="港口总体布局规划"/>
    <w:basedOn w:val="1"/>
    <w:qFormat/>
    <w:uiPriority w:val="0"/>
    <w:pPr>
      <w:snapToGrid w:val="0"/>
      <w:spacing w:before="0" w:beforeLines="0" w:line="312" w:lineRule="auto"/>
      <w:ind w:firstLine="567"/>
    </w:pPr>
    <w:rPr>
      <w:spacing w:val="8"/>
      <w:sz w:val="24"/>
      <w:szCs w:val="20"/>
    </w:rPr>
  </w:style>
  <w:style w:type="paragraph" w:customStyle="1" w:styleId="748">
    <w:name w:val="xl52"/>
    <w:basedOn w:val="1"/>
    <w:qFormat/>
    <w:uiPriority w:val="0"/>
    <w:pPr>
      <w:widowControl/>
      <w:spacing w:before="100" w:beforeLines="0" w:beforeAutospacing="1" w:after="100" w:afterAutospacing="1" w:line="240" w:lineRule="auto"/>
      <w:jc w:val="center"/>
      <w:textAlignment w:val="center"/>
    </w:pPr>
    <w:rPr>
      <w:rFonts w:hint="eastAsia" w:ascii="宋体" w:hAnsi="宋体"/>
      <w:b/>
      <w:bCs/>
      <w:kern w:val="0"/>
      <w:sz w:val="32"/>
      <w:szCs w:val="32"/>
    </w:rPr>
  </w:style>
  <w:style w:type="paragraph" w:customStyle="1" w:styleId="749">
    <w:name w:val="标题5"/>
    <w:basedOn w:val="8"/>
    <w:next w:val="1"/>
    <w:link w:val="1346"/>
    <w:qFormat/>
    <w:uiPriority w:val="99"/>
    <w:pPr>
      <w:tabs>
        <w:tab w:val="clear" w:pos="1008"/>
      </w:tabs>
      <w:spacing w:before="120" w:after="120" w:line="240" w:lineRule="auto"/>
      <w:ind w:firstLine="200" w:firstLineChars="200"/>
    </w:pPr>
    <w:rPr>
      <w:rFonts w:ascii="宋体" w:hAnsi="Times New Roman" w:cs="宋体"/>
      <w:bCs w:val="0"/>
      <w:spacing w:val="4"/>
      <w:sz w:val="24"/>
    </w:rPr>
  </w:style>
  <w:style w:type="paragraph" w:customStyle="1" w:styleId="750">
    <w:name w:val="xl54"/>
    <w:basedOn w:val="1"/>
    <w:qFormat/>
    <w:uiPriority w:val="0"/>
    <w:pPr>
      <w:widowControl/>
      <w:pBdr>
        <w:top w:val="single" w:color="auto" w:sz="8" w:space="0"/>
        <w:bottom w:val="single" w:color="auto" w:sz="4" w:space="0"/>
      </w:pBdr>
      <w:spacing w:before="100" w:beforeLines="0" w:beforeAutospacing="1" w:after="100" w:afterAutospacing="1" w:line="240" w:lineRule="auto"/>
      <w:jc w:val="center"/>
      <w:textAlignment w:val="center"/>
    </w:pPr>
    <w:rPr>
      <w:rFonts w:hint="eastAsia" w:ascii="宋体" w:hAnsi="宋体"/>
      <w:kern w:val="0"/>
      <w:sz w:val="22"/>
      <w:szCs w:val="22"/>
    </w:rPr>
  </w:style>
  <w:style w:type="paragraph" w:customStyle="1" w:styleId="751">
    <w:name w:val="xl55"/>
    <w:basedOn w:val="1"/>
    <w:qFormat/>
    <w:uiPriority w:val="0"/>
    <w:pPr>
      <w:widowControl/>
      <w:pBdr>
        <w:top w:val="single" w:color="auto" w:sz="8" w:space="0"/>
        <w:bottom w:val="single" w:color="auto" w:sz="4" w:space="0"/>
        <w:right w:val="single" w:color="auto" w:sz="4" w:space="0"/>
      </w:pBdr>
      <w:spacing w:before="100" w:beforeLines="0" w:beforeAutospacing="1" w:after="100" w:afterAutospacing="1" w:line="240" w:lineRule="auto"/>
      <w:jc w:val="center"/>
      <w:textAlignment w:val="center"/>
    </w:pPr>
    <w:rPr>
      <w:rFonts w:hint="eastAsia" w:ascii="宋体" w:hAnsi="宋体"/>
      <w:kern w:val="0"/>
      <w:sz w:val="22"/>
      <w:szCs w:val="22"/>
    </w:rPr>
  </w:style>
  <w:style w:type="paragraph" w:customStyle="1" w:styleId="752">
    <w:name w:val="xl59"/>
    <w:basedOn w:val="1"/>
    <w:qFormat/>
    <w:uiPriority w:val="0"/>
    <w:pPr>
      <w:widowControl/>
      <w:pBdr>
        <w:left w:val="single" w:color="auto" w:sz="4" w:space="0"/>
        <w:bottom w:val="single" w:color="auto" w:sz="4" w:space="0"/>
        <w:right w:val="single" w:color="auto" w:sz="4" w:space="0"/>
      </w:pBdr>
      <w:spacing w:before="100" w:beforeLines="0" w:beforeAutospacing="1" w:after="100" w:afterAutospacing="1" w:line="240" w:lineRule="auto"/>
      <w:jc w:val="center"/>
      <w:textAlignment w:val="center"/>
    </w:pPr>
    <w:rPr>
      <w:rFonts w:ascii="宋体" w:hAnsi="宋体"/>
      <w:kern w:val="0"/>
      <w:sz w:val="24"/>
    </w:rPr>
  </w:style>
  <w:style w:type="paragraph" w:customStyle="1" w:styleId="753">
    <w:name w:val="样式 标题 1 + 黑体 二号 加粗 自动设置"/>
    <w:basedOn w:val="3"/>
    <w:qFormat/>
    <w:uiPriority w:val="0"/>
    <w:pPr>
      <w:tabs>
        <w:tab w:val="clear" w:pos="360"/>
      </w:tabs>
      <w:spacing w:before="360" w:beforeLines="50" w:line="360" w:lineRule="auto"/>
      <w:jc w:val="center"/>
    </w:pPr>
    <w:rPr>
      <w:rFonts w:ascii="黑体" w:hAnsi="黑体" w:eastAsia="黑体"/>
      <w:color w:val="auto"/>
      <w:kern w:val="44"/>
      <w:szCs w:val="44"/>
    </w:rPr>
  </w:style>
  <w:style w:type="paragraph" w:customStyle="1" w:styleId="754">
    <w:name w:val="xl60"/>
    <w:basedOn w:val="1"/>
    <w:qFormat/>
    <w:uiPriority w:val="0"/>
    <w:pPr>
      <w:widowControl/>
      <w:pBdr>
        <w:left w:val="single" w:color="auto" w:sz="4" w:space="0"/>
        <w:bottom w:val="single" w:color="auto" w:sz="4" w:space="0"/>
        <w:right w:val="single" w:color="auto" w:sz="8" w:space="0"/>
      </w:pBdr>
      <w:spacing w:before="100" w:beforeLines="0" w:beforeAutospacing="1" w:after="100" w:afterAutospacing="1" w:line="240" w:lineRule="auto"/>
      <w:jc w:val="center"/>
      <w:textAlignment w:val="center"/>
    </w:pPr>
    <w:rPr>
      <w:rFonts w:ascii="宋体" w:hAnsi="宋体"/>
      <w:kern w:val="0"/>
      <w:sz w:val="24"/>
    </w:rPr>
  </w:style>
  <w:style w:type="paragraph" w:customStyle="1" w:styleId="755">
    <w:name w:val="xl61"/>
    <w:basedOn w:val="1"/>
    <w:qFormat/>
    <w:uiPriority w:val="0"/>
    <w:pPr>
      <w:widowControl/>
      <w:spacing w:before="100" w:beforeLines="0" w:beforeAutospacing="1" w:after="100" w:afterAutospacing="1" w:line="240" w:lineRule="auto"/>
      <w:jc w:val="left"/>
      <w:textAlignment w:val="center"/>
    </w:pPr>
    <w:rPr>
      <w:rFonts w:ascii="宋体" w:hAnsi="宋体"/>
      <w:kern w:val="0"/>
      <w:sz w:val="40"/>
      <w:szCs w:val="40"/>
    </w:rPr>
  </w:style>
  <w:style w:type="paragraph" w:customStyle="1" w:styleId="756">
    <w:name w:val="样式 标题 2 + 居中"/>
    <w:basedOn w:val="4"/>
    <w:qFormat/>
    <w:uiPriority w:val="0"/>
    <w:pPr>
      <w:spacing w:before="240" w:beforeLines="50" w:after="240" w:afterLines="50" w:line="240" w:lineRule="auto"/>
      <w:ind w:left="3420" w:firstLine="288"/>
      <w:jc w:val="left"/>
    </w:pPr>
    <w:rPr>
      <w:rFonts w:ascii="Times New Roman" w:hAnsi="Times New Roman" w:eastAsia="宋体"/>
      <w:color w:val="auto"/>
      <w:kern w:val="2"/>
      <w:sz w:val="28"/>
      <w:szCs w:val="28"/>
    </w:rPr>
  </w:style>
  <w:style w:type="paragraph" w:customStyle="1" w:styleId="757">
    <w:name w:val="Table"/>
    <w:basedOn w:val="1"/>
    <w:qFormat/>
    <w:uiPriority w:val="0"/>
    <w:pPr>
      <w:spacing w:before="100" w:beforeLines="0" w:beforeAutospacing="1" w:after="240" w:line="240" w:lineRule="auto"/>
      <w:jc w:val="left"/>
    </w:pPr>
    <w:rPr>
      <w:rFonts w:eastAsia="黑体"/>
      <w:spacing w:val="4"/>
      <w:sz w:val="24"/>
    </w:rPr>
  </w:style>
  <w:style w:type="paragraph" w:customStyle="1" w:styleId="758">
    <w:name w:val="索引 31"/>
    <w:basedOn w:val="1"/>
    <w:next w:val="1"/>
    <w:qFormat/>
    <w:uiPriority w:val="0"/>
    <w:pPr>
      <w:tabs>
        <w:tab w:val="right" w:leader="dot" w:pos="3954"/>
      </w:tabs>
      <w:adjustRightInd w:val="0"/>
      <w:spacing w:before="0" w:beforeLines="0" w:line="360" w:lineRule="atLeast"/>
      <w:ind w:left="630" w:hanging="210"/>
      <w:jc w:val="left"/>
      <w:textAlignment w:val="baseline"/>
    </w:pPr>
    <w:rPr>
      <w:rFonts w:eastAsia="华文中宋"/>
      <w:kern w:val="0"/>
      <w:sz w:val="20"/>
      <w:szCs w:val="20"/>
    </w:rPr>
  </w:style>
  <w:style w:type="paragraph" w:customStyle="1" w:styleId="759">
    <w:name w:val="索引 51"/>
    <w:basedOn w:val="1"/>
    <w:next w:val="1"/>
    <w:qFormat/>
    <w:uiPriority w:val="0"/>
    <w:pPr>
      <w:tabs>
        <w:tab w:val="right" w:leader="dot" w:pos="3954"/>
      </w:tabs>
      <w:adjustRightInd w:val="0"/>
      <w:spacing w:before="0" w:beforeLines="0" w:line="360" w:lineRule="atLeast"/>
      <w:ind w:left="1050" w:hanging="210"/>
      <w:jc w:val="left"/>
      <w:textAlignment w:val="baseline"/>
    </w:pPr>
    <w:rPr>
      <w:rFonts w:eastAsia="华文中宋"/>
      <w:kern w:val="0"/>
      <w:sz w:val="20"/>
      <w:szCs w:val="20"/>
    </w:rPr>
  </w:style>
  <w:style w:type="paragraph" w:customStyle="1" w:styleId="760">
    <w:name w:val="索引 61"/>
    <w:basedOn w:val="1"/>
    <w:next w:val="1"/>
    <w:qFormat/>
    <w:uiPriority w:val="0"/>
    <w:pPr>
      <w:tabs>
        <w:tab w:val="right" w:leader="dot" w:pos="3954"/>
      </w:tabs>
      <w:adjustRightInd w:val="0"/>
      <w:spacing w:before="0" w:beforeLines="0" w:line="360" w:lineRule="atLeast"/>
      <w:ind w:left="1260" w:hanging="210"/>
      <w:jc w:val="left"/>
      <w:textAlignment w:val="baseline"/>
    </w:pPr>
    <w:rPr>
      <w:rFonts w:eastAsia="华文中宋"/>
      <w:kern w:val="0"/>
      <w:sz w:val="20"/>
      <w:szCs w:val="20"/>
    </w:rPr>
  </w:style>
  <w:style w:type="paragraph" w:customStyle="1" w:styleId="761">
    <w:name w:val="索引 71"/>
    <w:basedOn w:val="1"/>
    <w:next w:val="1"/>
    <w:qFormat/>
    <w:uiPriority w:val="0"/>
    <w:pPr>
      <w:tabs>
        <w:tab w:val="right" w:leader="dot" w:pos="3954"/>
      </w:tabs>
      <w:adjustRightInd w:val="0"/>
      <w:spacing w:before="0" w:beforeLines="0" w:line="360" w:lineRule="atLeast"/>
      <w:ind w:left="1470" w:hanging="210"/>
      <w:jc w:val="left"/>
      <w:textAlignment w:val="baseline"/>
    </w:pPr>
    <w:rPr>
      <w:rFonts w:eastAsia="华文中宋"/>
      <w:kern w:val="0"/>
      <w:sz w:val="20"/>
      <w:szCs w:val="20"/>
    </w:rPr>
  </w:style>
  <w:style w:type="paragraph" w:customStyle="1" w:styleId="762">
    <w:name w:val="索引 81"/>
    <w:basedOn w:val="1"/>
    <w:next w:val="1"/>
    <w:qFormat/>
    <w:uiPriority w:val="0"/>
    <w:pPr>
      <w:tabs>
        <w:tab w:val="right" w:leader="dot" w:pos="3954"/>
      </w:tabs>
      <w:adjustRightInd w:val="0"/>
      <w:spacing w:before="0" w:beforeLines="0" w:line="360" w:lineRule="atLeast"/>
      <w:ind w:left="1680" w:hanging="210"/>
      <w:jc w:val="left"/>
      <w:textAlignment w:val="baseline"/>
    </w:pPr>
    <w:rPr>
      <w:rFonts w:eastAsia="华文中宋"/>
      <w:kern w:val="0"/>
      <w:sz w:val="20"/>
      <w:szCs w:val="20"/>
    </w:rPr>
  </w:style>
  <w:style w:type="paragraph" w:customStyle="1" w:styleId="763">
    <w:name w:val="Char Char Char Char Char Char Char Char Char Char Char Char Char"/>
    <w:basedOn w:val="1"/>
    <w:qFormat/>
    <w:uiPriority w:val="0"/>
    <w:pPr>
      <w:snapToGrid w:val="0"/>
      <w:spacing w:before="0" w:beforeLines="0" w:line="360" w:lineRule="auto"/>
    </w:pPr>
    <w:rPr>
      <w:rFonts w:eastAsia="仿宋_GB2312" w:cs="宋体"/>
      <w:sz w:val="24"/>
    </w:rPr>
  </w:style>
  <w:style w:type="paragraph" w:customStyle="1" w:styleId="764">
    <w:name w:val="索引 91"/>
    <w:basedOn w:val="1"/>
    <w:next w:val="1"/>
    <w:qFormat/>
    <w:uiPriority w:val="0"/>
    <w:pPr>
      <w:tabs>
        <w:tab w:val="right" w:leader="dot" w:pos="3954"/>
      </w:tabs>
      <w:adjustRightInd w:val="0"/>
      <w:spacing w:before="0" w:beforeLines="0" w:line="360" w:lineRule="atLeast"/>
      <w:ind w:left="1890" w:hanging="210"/>
      <w:jc w:val="left"/>
      <w:textAlignment w:val="baseline"/>
    </w:pPr>
    <w:rPr>
      <w:rFonts w:eastAsia="华文中宋"/>
      <w:kern w:val="0"/>
      <w:sz w:val="20"/>
      <w:szCs w:val="20"/>
    </w:rPr>
  </w:style>
  <w:style w:type="paragraph" w:customStyle="1" w:styleId="765">
    <w:name w:val="索引标题1"/>
    <w:basedOn w:val="1"/>
    <w:next w:val="733"/>
    <w:qFormat/>
    <w:uiPriority w:val="0"/>
    <w:pPr>
      <w:adjustRightInd w:val="0"/>
      <w:spacing w:before="100" w:beforeLines="0" w:beforeAutospacing="1" w:after="120" w:line="360" w:lineRule="atLeast"/>
      <w:jc w:val="left"/>
      <w:textAlignment w:val="baseline"/>
    </w:pPr>
    <w:rPr>
      <w:rFonts w:eastAsia="华文中宋"/>
      <w:b/>
      <w:i/>
      <w:kern w:val="0"/>
      <w:sz w:val="20"/>
      <w:szCs w:val="20"/>
    </w:rPr>
  </w:style>
  <w:style w:type="paragraph" w:customStyle="1" w:styleId="766">
    <w:name w:val="样式 标题 3 + 首行缩进:  2 字符 段前: 0.5 行"/>
    <w:basedOn w:val="5"/>
    <w:qFormat/>
    <w:uiPriority w:val="0"/>
    <w:pPr>
      <w:keepNext/>
      <w:adjustRightInd w:val="0"/>
      <w:snapToGrid w:val="0"/>
      <w:spacing w:before="240" w:beforeLines="50" w:after="240" w:afterLines="50" w:line="360" w:lineRule="atLeast"/>
      <w:jc w:val="left"/>
    </w:pPr>
    <w:rPr>
      <w:rFonts w:ascii="华文中宋" w:hAnsi="华文中宋" w:eastAsia="华文中宋" w:cs="宋体"/>
      <w:color w:val="auto"/>
      <w:kern w:val="2"/>
      <w:sz w:val="24"/>
      <w:szCs w:val="24"/>
    </w:rPr>
  </w:style>
  <w:style w:type="paragraph" w:customStyle="1" w:styleId="767">
    <w:name w:val="样式 样式 标题 2 + 首行缩进:  2 字符 段前: 0.5 行 + 首行缩进:  2 字符 段前: 0.5 行"/>
    <w:basedOn w:val="1"/>
    <w:qFormat/>
    <w:uiPriority w:val="0"/>
    <w:pPr>
      <w:keepNext/>
      <w:keepLines/>
      <w:adjustRightInd w:val="0"/>
      <w:snapToGrid w:val="0"/>
      <w:spacing w:before="0" w:beforeLines="50" w:beforeAutospacing="1" w:line="360" w:lineRule="atLeast"/>
      <w:jc w:val="left"/>
      <w:outlineLvl w:val="1"/>
    </w:pPr>
    <w:rPr>
      <w:rFonts w:ascii="Arial" w:hAnsi="Arial" w:eastAsia="华文中宋" w:cs="宋体"/>
      <w:b/>
      <w:bCs/>
      <w:sz w:val="28"/>
      <w:szCs w:val="20"/>
    </w:rPr>
  </w:style>
  <w:style w:type="paragraph" w:customStyle="1" w:styleId="768">
    <w:name w:val="样式 标题 2 + 华文中宋 小四 居中 段前: 6 磅 段后: 0 磅 行距: 固定值 18 磅"/>
    <w:basedOn w:val="4"/>
    <w:qFormat/>
    <w:uiPriority w:val="0"/>
    <w:pPr>
      <w:spacing w:before="240" w:beforeLines="50" w:after="240" w:afterLines="100" w:line="360" w:lineRule="exact"/>
      <w:jc w:val="left"/>
    </w:pPr>
    <w:rPr>
      <w:rFonts w:ascii="华文中宋" w:hAnsi="华文中宋" w:eastAsia="华文中宋" w:cs="宋体"/>
      <w:bCs/>
      <w:color w:val="FF0000"/>
      <w:kern w:val="2"/>
      <w:sz w:val="28"/>
      <w:szCs w:val="28"/>
    </w:rPr>
  </w:style>
  <w:style w:type="paragraph" w:customStyle="1" w:styleId="769">
    <w:name w:val="样式 样式 样式 样式 正文文本缩进 + 华文中宋 小四 加粗 首行缩进:  0 厘米 + 段前: 1 行 + 段前: 0.5 ..."/>
    <w:basedOn w:val="1"/>
    <w:qFormat/>
    <w:uiPriority w:val="0"/>
    <w:pPr>
      <w:adjustRightInd w:val="0"/>
      <w:spacing w:before="0" w:beforeLines="50" w:beforeAutospacing="1" w:line="312" w:lineRule="auto"/>
      <w:ind w:right="-284"/>
      <w:textAlignment w:val="baseline"/>
    </w:pPr>
    <w:rPr>
      <w:rFonts w:ascii="华文中宋" w:hAnsi="华文中宋" w:eastAsia="华文中宋" w:cs="宋体"/>
      <w:b/>
      <w:bCs/>
      <w:kern w:val="0"/>
      <w:sz w:val="24"/>
      <w:szCs w:val="20"/>
    </w:rPr>
  </w:style>
  <w:style w:type="paragraph" w:customStyle="1" w:styleId="770">
    <w:name w:val="样式 标题 2 + 四号 段前: 0 磅 段后: 6 磅 行距: 1.5 倍行距"/>
    <w:basedOn w:val="4"/>
    <w:qFormat/>
    <w:uiPriority w:val="0"/>
    <w:pPr>
      <w:tabs>
        <w:tab w:val="left" w:pos="1740"/>
      </w:tabs>
      <w:adjustRightInd w:val="0"/>
      <w:spacing w:before="240" w:beforeLines="50" w:after="240" w:afterLines="50" w:line="300" w:lineRule="auto"/>
      <w:ind w:left="1740" w:hanging="420"/>
      <w:jc w:val="left"/>
      <w:textAlignment w:val="baseline"/>
    </w:pPr>
    <w:rPr>
      <w:rFonts w:ascii="Times New Roman" w:hAnsi="Times New Roman" w:eastAsia="华文中宋" w:cs="黑体"/>
      <w:bCs/>
      <w:color w:val="FF0000"/>
      <w:kern w:val="2"/>
      <w:sz w:val="28"/>
      <w:szCs w:val="28"/>
    </w:rPr>
  </w:style>
  <w:style w:type="paragraph" w:customStyle="1" w:styleId="771">
    <w:name w:val="2"/>
    <w:basedOn w:val="1"/>
    <w:next w:val="627"/>
    <w:qFormat/>
    <w:uiPriority w:val="0"/>
    <w:pPr>
      <w:spacing w:before="0" w:beforeLines="0" w:line="240" w:lineRule="auto"/>
    </w:pPr>
    <w:rPr>
      <w:rFonts w:ascii="宋体" w:hAnsi="Courier New"/>
      <w:spacing w:val="20"/>
      <w:szCs w:val="20"/>
    </w:rPr>
  </w:style>
  <w:style w:type="paragraph" w:customStyle="1" w:styleId="772">
    <w:name w:val="Char Char1 Char Char Char Char Char Char Char Char Char Char Char Char Char Char Char Char Char Char Char"/>
    <w:basedOn w:val="1"/>
    <w:qFormat/>
    <w:uiPriority w:val="0"/>
    <w:pPr>
      <w:widowControl/>
      <w:spacing w:before="0" w:beforeLines="0" w:line="240" w:lineRule="auto"/>
      <w:jc w:val="left"/>
    </w:pPr>
    <w:rPr>
      <w:rFonts w:ascii="宋体" w:hAnsi="宋体" w:cs="宋体"/>
      <w:color w:val="000000"/>
      <w:kern w:val="0"/>
      <w:sz w:val="24"/>
    </w:rPr>
  </w:style>
  <w:style w:type="paragraph" w:customStyle="1" w:styleId="773">
    <w:name w:val="xl63"/>
    <w:basedOn w:val="1"/>
    <w:qFormat/>
    <w:uiPriority w:val="0"/>
    <w:pPr>
      <w:widowControl/>
      <w:pBdr>
        <w:top w:val="single" w:color="auto" w:sz="4" w:space="0"/>
        <w:bottom w:val="single" w:color="auto" w:sz="4" w:space="0"/>
        <w:right w:val="single" w:color="auto" w:sz="4" w:space="0"/>
      </w:pBdr>
      <w:spacing w:before="100" w:beforeLines="0" w:beforeAutospacing="1" w:after="100" w:afterAutospacing="1" w:line="240" w:lineRule="auto"/>
      <w:jc w:val="center"/>
      <w:textAlignment w:val="center"/>
    </w:pPr>
    <w:rPr>
      <w:rFonts w:ascii="Arial Unicode MS" w:hAnsi="Arial Unicode MS" w:eastAsia="Arial Unicode MS" w:cs="Arial Unicode MS"/>
      <w:kern w:val="0"/>
      <w:sz w:val="20"/>
      <w:szCs w:val="20"/>
    </w:rPr>
  </w:style>
  <w:style w:type="paragraph" w:customStyle="1" w:styleId="774">
    <w:name w:val="样式 宋体 左 首行缩进:  0.91 厘米"/>
    <w:basedOn w:val="1"/>
    <w:qFormat/>
    <w:uiPriority w:val="0"/>
    <w:pPr>
      <w:adjustRightInd w:val="0"/>
      <w:spacing w:before="0" w:beforeLines="0" w:line="360" w:lineRule="auto"/>
      <w:ind w:firstLine="567"/>
      <w:jc w:val="left"/>
    </w:pPr>
    <w:rPr>
      <w:rFonts w:ascii="宋体" w:hAnsi="宋体" w:cs="宋体"/>
      <w:kern w:val="0"/>
      <w:sz w:val="28"/>
      <w:szCs w:val="20"/>
    </w:rPr>
  </w:style>
  <w:style w:type="paragraph" w:customStyle="1" w:styleId="775">
    <w:name w:val="文本条款"/>
    <w:qFormat/>
    <w:uiPriority w:val="0"/>
    <w:pPr>
      <w:spacing w:after="120"/>
      <w:jc w:val="both"/>
    </w:pPr>
    <w:rPr>
      <w:rFonts w:ascii="Calibri" w:hAnsi="Calibri" w:eastAsia="宋体" w:cs="Times New Roman"/>
      <w:kern w:val="2"/>
      <w:sz w:val="21"/>
      <w:szCs w:val="24"/>
      <w:lang w:val="en-US" w:eastAsia="zh-CN" w:bidi="ar-SA"/>
    </w:rPr>
  </w:style>
  <w:style w:type="paragraph" w:customStyle="1" w:styleId="776">
    <w:name w:val="正文(首行缩进2字) Char Char Char Char"/>
    <w:basedOn w:val="1"/>
    <w:qFormat/>
    <w:uiPriority w:val="0"/>
    <w:pPr>
      <w:overflowPunct w:val="0"/>
      <w:autoSpaceDE w:val="0"/>
      <w:autoSpaceDN w:val="0"/>
      <w:adjustRightInd w:val="0"/>
      <w:spacing w:before="0" w:beforeLines="0" w:after="120" w:line="300" w:lineRule="auto"/>
      <w:ind w:firstLine="200" w:firstLineChars="200"/>
      <w:textAlignment w:val="baseline"/>
    </w:pPr>
    <w:rPr>
      <w:kern w:val="0"/>
      <w:sz w:val="24"/>
      <w:szCs w:val="20"/>
    </w:rPr>
  </w:style>
  <w:style w:type="paragraph" w:customStyle="1" w:styleId="777">
    <w:name w:val="样式 宋体 两端对齐"/>
    <w:basedOn w:val="1"/>
    <w:qFormat/>
    <w:uiPriority w:val="0"/>
    <w:pPr>
      <w:adjustRightInd w:val="0"/>
      <w:spacing w:before="0" w:beforeLines="0" w:line="360" w:lineRule="auto"/>
      <w:ind w:firstLine="567"/>
    </w:pPr>
    <w:rPr>
      <w:rFonts w:ascii="宋体" w:hAnsi="宋体" w:cs="宋体"/>
      <w:kern w:val="0"/>
      <w:sz w:val="28"/>
      <w:szCs w:val="20"/>
    </w:rPr>
  </w:style>
  <w:style w:type="paragraph" w:customStyle="1" w:styleId="778">
    <w:name w:val="报告正文-四号"/>
    <w:basedOn w:val="1"/>
    <w:qFormat/>
    <w:uiPriority w:val="0"/>
    <w:pPr>
      <w:tabs>
        <w:tab w:val="left" w:pos="8222"/>
        <w:tab w:val="left" w:pos="8280"/>
      </w:tabs>
      <w:adjustRightInd w:val="0"/>
      <w:snapToGrid w:val="0"/>
      <w:spacing w:before="0" w:beforeLines="0" w:line="312" w:lineRule="auto"/>
      <w:ind w:firstLine="567"/>
      <w:textAlignment w:val="baseline"/>
    </w:pPr>
    <w:rPr>
      <w:spacing w:val="10"/>
      <w:kern w:val="0"/>
      <w:sz w:val="28"/>
      <w:szCs w:val="20"/>
    </w:rPr>
  </w:style>
  <w:style w:type="paragraph" w:customStyle="1" w:styleId="779">
    <w:name w:val="xl69"/>
    <w:basedOn w:val="1"/>
    <w:qFormat/>
    <w:uiPriority w:val="0"/>
    <w:pPr>
      <w:widowControl/>
      <w:pBdr>
        <w:left w:val="single" w:color="auto" w:sz="4" w:space="0"/>
        <w:right w:val="single" w:color="auto" w:sz="4" w:space="0"/>
      </w:pBdr>
      <w:adjustRightInd w:val="0"/>
      <w:spacing w:before="100" w:beforeLines="0" w:beforeAutospacing="1" w:after="100" w:afterAutospacing="1" w:line="360" w:lineRule="auto"/>
      <w:jc w:val="center"/>
      <w:textAlignment w:val="center"/>
    </w:pPr>
    <w:rPr>
      <w:rFonts w:ascii="宋体" w:hAnsi="宋体"/>
      <w:kern w:val="0"/>
      <w:sz w:val="24"/>
    </w:rPr>
  </w:style>
  <w:style w:type="paragraph" w:customStyle="1" w:styleId="780">
    <w:name w:val="样式-表头"/>
    <w:basedOn w:val="1"/>
    <w:qFormat/>
    <w:uiPriority w:val="0"/>
    <w:pPr>
      <w:adjustRightInd w:val="0"/>
      <w:snapToGrid w:val="0"/>
      <w:spacing w:before="0" w:beforeLines="0" w:line="288" w:lineRule="auto"/>
      <w:jc w:val="center"/>
      <w:textAlignment w:val="baseline"/>
    </w:pPr>
    <w:rPr>
      <w:rFonts w:eastAsia="黑体"/>
      <w:spacing w:val="10"/>
      <w:kern w:val="0"/>
      <w:sz w:val="24"/>
    </w:rPr>
  </w:style>
  <w:style w:type="paragraph" w:customStyle="1" w:styleId="781">
    <w:name w:val="普通 (Web)"/>
    <w:basedOn w:val="1"/>
    <w:qFormat/>
    <w:uiPriority w:val="0"/>
    <w:pPr>
      <w:widowControl/>
      <w:adjustRightInd w:val="0"/>
      <w:spacing w:before="100" w:beforeLines="0" w:beforeAutospacing="1" w:after="100" w:afterAutospacing="1" w:line="360" w:lineRule="auto"/>
      <w:ind w:firstLine="567"/>
      <w:jc w:val="left"/>
      <w:textAlignment w:val="baseline"/>
    </w:pPr>
    <w:rPr>
      <w:rFonts w:ascii="宋体" w:hAnsi="宋体" w:cs="黑体"/>
      <w:color w:val="000000"/>
      <w:kern w:val="0"/>
      <w:sz w:val="24"/>
    </w:rPr>
  </w:style>
  <w:style w:type="paragraph" w:customStyle="1" w:styleId="782">
    <w:name w:val="节"/>
    <w:basedOn w:val="1"/>
    <w:qFormat/>
    <w:uiPriority w:val="0"/>
    <w:pPr>
      <w:autoSpaceDE w:val="0"/>
      <w:autoSpaceDN w:val="0"/>
      <w:adjustRightInd w:val="0"/>
      <w:snapToGrid w:val="0"/>
      <w:spacing w:before="100" w:beforeLines="0" w:beforeAutospacing="1" w:after="120" w:line="312" w:lineRule="auto"/>
      <w:ind w:firstLine="567"/>
      <w:textAlignment w:val="bottom"/>
    </w:pPr>
    <w:rPr>
      <w:rFonts w:ascii="宋体"/>
      <w:b/>
      <w:spacing w:val="6"/>
      <w:kern w:val="0"/>
      <w:sz w:val="32"/>
      <w:szCs w:val="20"/>
    </w:rPr>
  </w:style>
  <w:style w:type="paragraph" w:customStyle="1" w:styleId="783">
    <w:name w:val="样式 标题 21.1标题 21.1标题2标题 2 Char + 行距: 单倍行距"/>
    <w:basedOn w:val="4"/>
    <w:qFormat/>
    <w:uiPriority w:val="0"/>
    <w:pPr>
      <w:adjustRightInd w:val="0"/>
      <w:spacing w:before="240" w:beforeLines="50" w:after="240" w:afterLines="50" w:line="240" w:lineRule="auto"/>
      <w:jc w:val="left"/>
      <w:textAlignment w:val="baseline"/>
    </w:pPr>
    <w:rPr>
      <w:rFonts w:ascii="华文中宋" w:hAnsi="华文中宋" w:eastAsia="华文中宋" w:cs="宋体"/>
      <w:bCs/>
      <w:color w:val="FF0000"/>
      <w:kern w:val="2"/>
      <w:sz w:val="24"/>
      <w:szCs w:val="28"/>
    </w:rPr>
  </w:style>
  <w:style w:type="paragraph" w:customStyle="1" w:styleId="784">
    <w:name w:val="宋体，加粗，无缩进"/>
    <w:basedOn w:val="624"/>
    <w:qFormat/>
    <w:uiPriority w:val="0"/>
    <w:pPr>
      <w:snapToGrid/>
      <w:spacing w:beforeLines="50" w:beforeAutospacing="1" w:line="360" w:lineRule="auto"/>
      <w:ind w:left="0" w:firstLine="0" w:firstLineChars="0"/>
    </w:pPr>
    <w:rPr>
      <w:rFonts w:hAnsi="宋体"/>
      <w:b/>
      <w:spacing w:val="6"/>
      <w:sz w:val="28"/>
      <w:szCs w:val="28"/>
    </w:rPr>
  </w:style>
  <w:style w:type="paragraph" w:customStyle="1" w:styleId="785">
    <w:name w:val="段落"/>
    <w:basedOn w:val="1"/>
    <w:qFormat/>
    <w:uiPriority w:val="0"/>
    <w:pPr>
      <w:spacing w:before="0" w:beforeLines="50" w:beforeAutospacing="1" w:line="300" w:lineRule="auto"/>
      <w:ind w:firstLine="539"/>
    </w:pPr>
    <w:rPr>
      <w:rFonts w:ascii="华文中宋" w:hAnsi="华文中宋" w:eastAsia="华文中宋"/>
      <w:spacing w:val="6"/>
      <w:sz w:val="24"/>
    </w:rPr>
  </w:style>
  <w:style w:type="paragraph" w:customStyle="1" w:styleId="786">
    <w:name w:val="样式 章 + 首行缩进:  0 厘米"/>
    <w:basedOn w:val="3"/>
    <w:qFormat/>
    <w:uiPriority w:val="0"/>
    <w:pPr>
      <w:tabs>
        <w:tab w:val="left" w:pos="8280"/>
        <w:tab w:val="clear" w:pos="360"/>
      </w:tabs>
      <w:snapToGrid w:val="0"/>
      <w:spacing w:before="360" w:beforeLines="50" w:after="0" w:line="312" w:lineRule="auto"/>
      <w:jc w:val="center"/>
    </w:pPr>
    <w:rPr>
      <w:rFonts w:ascii="黑体" w:eastAsia="黑体" w:cs="宋体"/>
      <w:b w:val="0"/>
      <w:color w:val="auto"/>
      <w:spacing w:val="6"/>
      <w:kern w:val="44"/>
      <w:sz w:val="30"/>
      <w:szCs w:val="36"/>
    </w:rPr>
  </w:style>
  <w:style w:type="paragraph" w:customStyle="1" w:styleId="787">
    <w:name w:val="列表 31"/>
    <w:basedOn w:val="1"/>
    <w:qFormat/>
    <w:uiPriority w:val="0"/>
    <w:pPr>
      <w:spacing w:before="100" w:beforeLines="0" w:beforeAutospacing="1" w:line="360" w:lineRule="auto"/>
      <w:ind w:left="1260" w:hanging="420"/>
    </w:pPr>
    <w:rPr>
      <w:sz w:val="28"/>
      <w:szCs w:val="20"/>
    </w:rPr>
  </w:style>
  <w:style w:type="paragraph" w:customStyle="1" w:styleId="788">
    <w:name w:val="表头一"/>
    <w:basedOn w:val="1"/>
    <w:next w:val="20"/>
    <w:qFormat/>
    <w:uiPriority w:val="0"/>
    <w:pPr>
      <w:spacing w:before="0" w:beforeLines="50" w:beforeAutospacing="1" w:line="240" w:lineRule="auto"/>
      <w:jc w:val="center"/>
    </w:pPr>
    <w:rPr>
      <w:b/>
      <w:sz w:val="28"/>
    </w:rPr>
  </w:style>
  <w:style w:type="paragraph" w:customStyle="1" w:styleId="789">
    <w:name w:val="样式 表格 + 段前: 3 磅 段后: 3 磅"/>
    <w:basedOn w:val="160"/>
    <w:qFormat/>
    <w:uiPriority w:val="0"/>
    <w:pPr>
      <w:widowControl w:val="0"/>
      <w:autoSpaceDE w:val="0"/>
      <w:autoSpaceDN w:val="0"/>
      <w:adjustRightInd w:val="0"/>
    </w:pPr>
    <w:rPr>
      <w:rFonts w:cs="宋体"/>
      <w:snapToGrid/>
      <w:kern w:val="2"/>
      <w:sz w:val="24"/>
      <w:szCs w:val="24"/>
    </w:rPr>
  </w:style>
  <w:style w:type="paragraph" w:customStyle="1" w:styleId="790">
    <w:name w:val="样式 样式 标题 3 + 首行缩进:  1.92 字符 + 首行缩进:  2 字符"/>
    <w:basedOn w:val="1"/>
    <w:qFormat/>
    <w:uiPriority w:val="0"/>
    <w:pPr>
      <w:keepNext/>
      <w:keepLines/>
      <w:adjustRightInd w:val="0"/>
      <w:snapToGrid w:val="0"/>
      <w:spacing w:before="0" w:beforeLines="0" w:line="360" w:lineRule="auto"/>
      <w:ind w:firstLine="562" w:firstLineChars="200"/>
      <w:jc w:val="left"/>
      <w:outlineLvl w:val="2"/>
    </w:pPr>
    <w:rPr>
      <w:rFonts w:cs="宋体"/>
      <w:b/>
      <w:bCs/>
      <w:sz w:val="28"/>
      <w:szCs w:val="28"/>
    </w:rPr>
  </w:style>
  <w:style w:type="paragraph" w:customStyle="1" w:styleId="791">
    <w:name w:val="样式 宋体 两端对齐 首行缩进:  0.73 厘米"/>
    <w:basedOn w:val="1"/>
    <w:qFormat/>
    <w:uiPriority w:val="0"/>
    <w:pPr>
      <w:adjustRightInd w:val="0"/>
      <w:spacing w:before="0" w:beforeLines="0" w:line="360" w:lineRule="auto"/>
      <w:ind w:firstLine="560" w:firstLineChars="200"/>
    </w:pPr>
    <w:rPr>
      <w:rFonts w:ascii="宋体" w:hAnsi="宋体" w:cs="宋体"/>
      <w:kern w:val="0"/>
      <w:sz w:val="28"/>
      <w:szCs w:val="20"/>
    </w:rPr>
  </w:style>
  <w:style w:type="paragraph" w:customStyle="1" w:styleId="792">
    <w:name w:val="样式 宋体 左 首行缩进:  0.99 厘米"/>
    <w:basedOn w:val="1"/>
    <w:qFormat/>
    <w:uiPriority w:val="0"/>
    <w:pPr>
      <w:adjustRightInd w:val="0"/>
      <w:snapToGrid w:val="0"/>
      <w:spacing w:before="0" w:beforeLines="0" w:line="360" w:lineRule="auto"/>
      <w:jc w:val="left"/>
    </w:pPr>
    <w:rPr>
      <w:rFonts w:ascii="宋体" w:hAnsi="宋体" w:cs="宋体"/>
      <w:kern w:val="0"/>
      <w:sz w:val="28"/>
      <w:szCs w:val="20"/>
    </w:rPr>
  </w:style>
  <w:style w:type="paragraph" w:customStyle="1" w:styleId="793">
    <w:name w:val="样式 样式 (西文) 华文中宋 (中文) 华文中宋 小四 行距: 固定值 20 磅 首行缩进:  2 字符 + 首行缩进:  2..."/>
    <w:basedOn w:val="1"/>
    <w:qFormat/>
    <w:uiPriority w:val="0"/>
    <w:pPr>
      <w:spacing w:before="0" w:beforeLines="0" w:after="60" w:line="400" w:lineRule="exact"/>
      <w:ind w:firstLine="200" w:firstLineChars="200"/>
    </w:pPr>
    <w:rPr>
      <w:rFonts w:ascii="华文中宋" w:hAnsi="华文中宋" w:eastAsia="华文中宋" w:cs="宋体"/>
      <w:sz w:val="24"/>
      <w:szCs w:val="20"/>
    </w:rPr>
  </w:style>
  <w:style w:type="paragraph" w:customStyle="1" w:styleId="794">
    <w:name w:val="样式 表格 + 宋体 四号 黑色 两端对齐 行距: 1.5 倍行距"/>
    <w:basedOn w:val="160"/>
    <w:qFormat/>
    <w:uiPriority w:val="0"/>
    <w:pPr>
      <w:widowControl w:val="0"/>
      <w:autoSpaceDE w:val="0"/>
      <w:autoSpaceDN w:val="0"/>
      <w:adjustRightInd w:val="0"/>
    </w:pPr>
    <w:rPr>
      <w:rFonts w:ascii="宋体" w:cs="宋体"/>
      <w:snapToGrid/>
      <w:color w:val="000000"/>
      <w:kern w:val="2"/>
      <w:sz w:val="24"/>
      <w:szCs w:val="24"/>
    </w:rPr>
  </w:style>
  <w:style w:type="paragraph" w:customStyle="1" w:styleId="795">
    <w:name w:val="样式 标题 3 + 两端对齐 段前: 0 磅 段后: 0 磅 行距: 单倍行距"/>
    <w:basedOn w:val="5"/>
    <w:qFormat/>
    <w:uiPriority w:val="0"/>
    <w:pPr>
      <w:keepNext/>
      <w:adjustRightInd w:val="0"/>
      <w:spacing w:before="240" w:beforeLines="50" w:after="240" w:afterLines="30" w:line="300" w:lineRule="auto"/>
      <w:ind w:firstLine="567" w:firstLineChars="149"/>
    </w:pPr>
    <w:rPr>
      <w:rFonts w:ascii="华文中宋" w:hAnsi="华文中宋" w:eastAsia="华文中宋" w:cs="宋体"/>
      <w:kern w:val="2"/>
      <w:sz w:val="32"/>
      <w:szCs w:val="24"/>
    </w:rPr>
  </w:style>
  <w:style w:type="paragraph" w:customStyle="1" w:styleId="796">
    <w:name w:val="样式 标题 3 + 两端对齐 段前: 0 磅 段后: 0 磅 行距: 单倍行距1"/>
    <w:basedOn w:val="5"/>
    <w:qFormat/>
    <w:uiPriority w:val="0"/>
    <w:pPr>
      <w:keepNext/>
      <w:adjustRightInd w:val="0"/>
      <w:spacing w:before="240" w:beforeLines="50" w:after="240" w:afterLines="50" w:line="300" w:lineRule="auto"/>
      <w:ind w:firstLine="567" w:firstLineChars="149"/>
      <w:jc w:val="left"/>
    </w:pPr>
    <w:rPr>
      <w:rFonts w:ascii="华文中宋" w:hAnsi="华文中宋" w:eastAsia="华文中宋" w:cs="宋体"/>
      <w:b w:val="0"/>
      <w:kern w:val="2"/>
      <w:sz w:val="24"/>
      <w:szCs w:val="24"/>
    </w:rPr>
  </w:style>
  <w:style w:type="paragraph" w:customStyle="1" w:styleId="797">
    <w:name w:val="样式 标题 2 + (中文) 宋体 小三 段后: 0 磅 行距: 多倍行距 1.3 字行"/>
    <w:basedOn w:val="4"/>
    <w:qFormat/>
    <w:uiPriority w:val="0"/>
    <w:pPr>
      <w:tabs>
        <w:tab w:val="left" w:pos="1740"/>
      </w:tabs>
      <w:adjustRightInd w:val="0"/>
      <w:spacing w:before="240" w:beforeLines="50" w:after="240" w:afterLines="30" w:line="312" w:lineRule="auto"/>
      <w:ind w:left="1740" w:hanging="420"/>
      <w:jc w:val="left"/>
      <w:textAlignment w:val="baseline"/>
    </w:pPr>
    <w:rPr>
      <w:rFonts w:ascii="Times New Roman" w:hAnsi="Times New Roman" w:eastAsia="宋体" w:cs="宋体"/>
      <w:bCs/>
      <w:color w:val="FF0000"/>
      <w:kern w:val="2"/>
      <w:sz w:val="28"/>
      <w:szCs w:val="28"/>
    </w:rPr>
  </w:style>
  <w:style w:type="paragraph" w:customStyle="1" w:styleId="798">
    <w:name w:val="样式 样式 标题 3 + 首行缩进:  1.92 字符 + 首行缩进:  2 字符1"/>
    <w:basedOn w:val="700"/>
    <w:qFormat/>
    <w:uiPriority w:val="0"/>
    <w:pPr>
      <w:spacing w:line="319" w:lineRule="auto"/>
    </w:pPr>
    <w:rPr>
      <w:b w:val="0"/>
      <w:sz w:val="28"/>
      <w:szCs w:val="28"/>
    </w:rPr>
  </w:style>
  <w:style w:type="paragraph" w:customStyle="1" w:styleId="799">
    <w:name w:val="样式 两端对齐"/>
    <w:basedOn w:val="1"/>
    <w:qFormat/>
    <w:uiPriority w:val="0"/>
    <w:pPr>
      <w:adjustRightInd w:val="0"/>
      <w:spacing w:before="0" w:beforeLines="0" w:line="240" w:lineRule="auto"/>
      <w:jc w:val="center"/>
    </w:pPr>
    <w:rPr>
      <w:rFonts w:cs="宋体"/>
      <w:sz w:val="28"/>
      <w:szCs w:val="20"/>
    </w:rPr>
  </w:style>
  <w:style w:type="paragraph" w:customStyle="1" w:styleId="800">
    <w:name w:val="普通(网站)1"/>
    <w:basedOn w:val="1"/>
    <w:qFormat/>
    <w:uiPriority w:val="0"/>
    <w:pPr>
      <w:widowControl/>
      <w:spacing w:before="100" w:beforeLines="0" w:beforeAutospacing="1" w:after="100" w:afterAutospacing="1" w:line="240" w:lineRule="auto"/>
      <w:jc w:val="left"/>
    </w:pPr>
    <w:rPr>
      <w:rFonts w:ascii="宋体" w:hAnsi="宋体" w:cs="宋体"/>
      <w:kern w:val="0"/>
      <w:sz w:val="24"/>
    </w:rPr>
  </w:style>
  <w:style w:type="paragraph" w:customStyle="1" w:styleId="801">
    <w:name w:val="列表 41"/>
    <w:basedOn w:val="1"/>
    <w:qFormat/>
    <w:uiPriority w:val="0"/>
    <w:pPr>
      <w:spacing w:before="0" w:beforeLines="0" w:line="240" w:lineRule="auto"/>
      <w:ind w:left="100" w:leftChars="600" w:hanging="200" w:hangingChars="200"/>
    </w:pPr>
  </w:style>
  <w:style w:type="paragraph" w:customStyle="1" w:styleId="802">
    <w:name w:val="font13"/>
    <w:basedOn w:val="1"/>
    <w:qFormat/>
    <w:uiPriority w:val="0"/>
    <w:pPr>
      <w:widowControl/>
      <w:spacing w:before="100" w:beforeLines="0" w:beforeAutospacing="1" w:after="100" w:afterAutospacing="1" w:line="240" w:lineRule="auto"/>
      <w:jc w:val="left"/>
    </w:pPr>
    <w:rPr>
      <w:rFonts w:hint="eastAsia" w:ascii="宋体" w:hAnsi="宋体"/>
      <w:kern w:val="0"/>
      <w:sz w:val="20"/>
      <w:szCs w:val="20"/>
    </w:rPr>
  </w:style>
  <w:style w:type="paragraph" w:customStyle="1" w:styleId="803">
    <w:name w:val="Figure"/>
    <w:basedOn w:val="1"/>
    <w:qFormat/>
    <w:uiPriority w:val="0"/>
    <w:pPr>
      <w:spacing w:before="100" w:beforeLines="0" w:beforeAutospacing="1" w:after="240" w:line="240" w:lineRule="auto"/>
      <w:jc w:val="center"/>
    </w:pPr>
    <w:rPr>
      <w:rFonts w:eastAsia="黑体"/>
      <w:spacing w:val="4"/>
      <w:sz w:val="24"/>
    </w:rPr>
  </w:style>
  <w:style w:type="paragraph" w:customStyle="1" w:styleId="804">
    <w:name w:val="列表接续 21"/>
    <w:basedOn w:val="1"/>
    <w:qFormat/>
    <w:uiPriority w:val="0"/>
    <w:pPr>
      <w:spacing w:before="0" w:beforeLines="0" w:after="120" w:line="240" w:lineRule="auto"/>
      <w:ind w:left="840" w:leftChars="400"/>
    </w:pPr>
  </w:style>
  <w:style w:type="paragraph" w:customStyle="1" w:styleId="805">
    <w:name w:val="列表接续 31"/>
    <w:basedOn w:val="1"/>
    <w:qFormat/>
    <w:uiPriority w:val="0"/>
    <w:pPr>
      <w:spacing w:before="0" w:beforeLines="0" w:after="120" w:line="240" w:lineRule="auto"/>
      <w:ind w:left="1260" w:leftChars="600"/>
    </w:pPr>
  </w:style>
  <w:style w:type="paragraph" w:customStyle="1" w:styleId="806">
    <w:name w:val="样式 华文中宋 小四 段前: 7.8 磅 行距: 固定值 18 磅"/>
    <w:basedOn w:val="1"/>
    <w:qFormat/>
    <w:uiPriority w:val="0"/>
    <w:pPr>
      <w:autoSpaceDE w:val="0"/>
      <w:autoSpaceDN w:val="0"/>
      <w:snapToGrid w:val="0"/>
      <w:spacing w:before="100" w:beforeLines="0" w:beforeAutospacing="1" w:line="360" w:lineRule="exact"/>
      <w:ind w:firstLine="200" w:firstLineChars="200"/>
      <w:jc w:val="left"/>
    </w:pPr>
    <w:rPr>
      <w:rFonts w:ascii="华文中宋" w:hAnsi="华文中宋" w:eastAsia="华文中宋" w:cs="宋体"/>
      <w:sz w:val="24"/>
      <w:szCs w:val="20"/>
    </w:rPr>
  </w:style>
  <w:style w:type="paragraph" w:customStyle="1" w:styleId="807">
    <w:name w:val="xl111"/>
    <w:basedOn w:val="1"/>
    <w:qFormat/>
    <w:uiPriority w:val="0"/>
    <w:pPr>
      <w:widowControl/>
      <w:pBdr>
        <w:left w:val="single" w:color="auto" w:sz="4" w:space="0"/>
        <w:right w:val="single" w:color="auto" w:sz="4" w:space="0"/>
      </w:pBdr>
      <w:adjustRightInd w:val="0"/>
      <w:snapToGrid w:val="0"/>
      <w:spacing w:before="100" w:beforeLines="0" w:beforeAutospacing="1" w:after="100" w:afterAutospacing="1" w:line="360" w:lineRule="exact"/>
      <w:ind w:firstLine="200" w:firstLineChars="200"/>
      <w:jc w:val="left"/>
      <w:textAlignment w:val="center"/>
    </w:pPr>
    <w:rPr>
      <w:rFonts w:ascii="Arial Unicode MS" w:hAnsi="Arial Unicode MS" w:eastAsia="Arial Unicode MS" w:cs="Arial Unicode MS"/>
      <w:kern w:val="0"/>
      <w:sz w:val="20"/>
      <w:szCs w:val="20"/>
    </w:rPr>
  </w:style>
  <w:style w:type="paragraph" w:customStyle="1" w:styleId="808">
    <w:name w:val="样式 标题 1 + 华文中宋 四号 加粗 自动设置"/>
    <w:basedOn w:val="3"/>
    <w:qFormat/>
    <w:uiPriority w:val="0"/>
    <w:pPr>
      <w:tabs>
        <w:tab w:val="left" w:pos="8280"/>
        <w:tab w:val="clear" w:pos="360"/>
      </w:tabs>
      <w:snapToGrid w:val="0"/>
      <w:spacing w:before="360" w:beforeLines="50" w:after="240" w:afterLines="100" w:line="360" w:lineRule="auto"/>
      <w:jc w:val="center"/>
    </w:pPr>
    <w:rPr>
      <w:rFonts w:ascii="黑体" w:hAnsi="华文中宋" w:eastAsia="黑体"/>
      <w:color w:val="auto"/>
      <w:kern w:val="44"/>
      <w:sz w:val="32"/>
      <w:szCs w:val="32"/>
    </w:rPr>
  </w:style>
  <w:style w:type="paragraph" w:customStyle="1" w:styleId="809">
    <w:name w:val="样式 华文中宋 小四 加粗 段前: 7.8 磅 段后: 7.8 磅"/>
    <w:basedOn w:val="1"/>
    <w:qFormat/>
    <w:uiPriority w:val="0"/>
    <w:pPr>
      <w:keepNext/>
      <w:autoSpaceDE w:val="0"/>
      <w:autoSpaceDN w:val="0"/>
      <w:snapToGrid w:val="0"/>
      <w:spacing w:before="100" w:beforeLines="0" w:beforeAutospacing="1" w:after="120" w:line="240" w:lineRule="auto"/>
      <w:jc w:val="left"/>
    </w:pPr>
    <w:rPr>
      <w:rFonts w:ascii="华文中宋" w:hAnsi="华文中宋" w:eastAsia="华文中宋" w:cs="宋体"/>
      <w:b/>
      <w:bCs/>
      <w:kern w:val="0"/>
      <w:sz w:val="24"/>
      <w:szCs w:val="20"/>
    </w:rPr>
  </w:style>
  <w:style w:type="paragraph" w:customStyle="1" w:styleId="810">
    <w:name w:val="样式 样式 样式 正文文本缩进 + 华文中宋 小四 加粗 首行缩进:  0 厘米 + 段前: 1 行 + 段前: 0.5 行"/>
    <w:basedOn w:val="1"/>
    <w:qFormat/>
    <w:uiPriority w:val="0"/>
    <w:pPr>
      <w:adjustRightInd w:val="0"/>
      <w:spacing w:before="0" w:beforeLines="50" w:beforeAutospacing="1" w:afterLines="50" w:line="312" w:lineRule="auto"/>
      <w:ind w:right="-284"/>
      <w:textAlignment w:val="baseline"/>
    </w:pPr>
    <w:rPr>
      <w:rFonts w:ascii="华文中宋" w:hAnsi="华文中宋" w:eastAsia="华文中宋" w:cs="宋体"/>
      <w:b/>
      <w:bCs/>
      <w:kern w:val="0"/>
      <w:sz w:val="24"/>
      <w:szCs w:val="20"/>
    </w:rPr>
  </w:style>
  <w:style w:type="paragraph" w:customStyle="1" w:styleId="811">
    <w:name w:val="列表编号 21"/>
    <w:basedOn w:val="1"/>
    <w:qFormat/>
    <w:uiPriority w:val="0"/>
    <w:pPr>
      <w:tabs>
        <w:tab w:val="left" w:pos="780"/>
      </w:tabs>
      <w:spacing w:before="100" w:beforeLines="0" w:beforeAutospacing="1" w:line="360" w:lineRule="auto"/>
      <w:ind w:left="780" w:hanging="360" w:firstLineChars="200"/>
      <w:contextualSpacing/>
    </w:pPr>
    <w:rPr>
      <w:sz w:val="28"/>
      <w:szCs w:val="20"/>
    </w:rPr>
  </w:style>
  <w:style w:type="paragraph" w:customStyle="1" w:styleId="812">
    <w:name w:val="一级段落"/>
    <w:basedOn w:val="86"/>
    <w:next w:val="645"/>
    <w:qFormat/>
    <w:uiPriority w:val="0"/>
    <w:pPr>
      <w:adjustRightInd w:val="0"/>
      <w:snapToGrid w:val="0"/>
      <w:spacing w:before="100" w:beforeLines="0" w:beforeAutospacing="1" w:line="360" w:lineRule="auto"/>
      <w:jc w:val="left"/>
    </w:pPr>
    <w:rPr>
      <w:rFonts w:ascii="Arial" w:hAnsi="Arial" w:eastAsia="黑体" w:cs="Arial"/>
      <w:kern w:val="0"/>
      <w:sz w:val="30"/>
    </w:rPr>
  </w:style>
  <w:style w:type="paragraph" w:customStyle="1" w:styleId="813">
    <w:name w:val="列出段落1"/>
    <w:basedOn w:val="1"/>
    <w:qFormat/>
    <w:uiPriority w:val="0"/>
    <w:pPr>
      <w:spacing w:before="100" w:beforeLines="0" w:beforeAutospacing="1" w:line="360" w:lineRule="auto"/>
      <w:ind w:firstLine="420" w:firstLineChars="200"/>
    </w:pPr>
    <w:rPr>
      <w:sz w:val="28"/>
      <w:szCs w:val="20"/>
    </w:rPr>
  </w:style>
  <w:style w:type="paragraph" w:customStyle="1" w:styleId="814">
    <w:name w:val="样式 宋体 加粗 行距: 1.5 倍行距"/>
    <w:basedOn w:val="7"/>
    <w:qFormat/>
    <w:uiPriority w:val="0"/>
    <w:pPr>
      <w:adjustRightInd/>
      <w:snapToGrid/>
      <w:spacing w:before="280" w:beforeLines="0" w:after="290" w:line="360" w:lineRule="auto"/>
      <w:ind w:firstLine="578" w:firstLineChars="200"/>
    </w:pPr>
    <w:rPr>
      <w:rFonts w:ascii="宋体" w:hAnsi="宋体" w:cs="宋体"/>
      <w:b w:val="0"/>
      <w:color w:val="auto"/>
      <w:spacing w:val="4"/>
      <w:kern w:val="2"/>
      <w:sz w:val="28"/>
      <w:lang w:val="zh-CN"/>
    </w:rPr>
  </w:style>
  <w:style w:type="paragraph" w:customStyle="1" w:styleId="815">
    <w:name w:val="Char Char Char Char1 Char Char Char Char Char Char1 Char Char Char1 Char Char Char1 Char Char Char Char Char Char Char"/>
    <w:basedOn w:val="1"/>
    <w:qFormat/>
    <w:uiPriority w:val="0"/>
    <w:pPr>
      <w:spacing w:before="0" w:beforeLines="0" w:line="240" w:lineRule="auto"/>
    </w:pPr>
  </w:style>
  <w:style w:type="paragraph" w:customStyle="1" w:styleId="816">
    <w:name w:val="正文111"/>
    <w:basedOn w:val="1"/>
    <w:qFormat/>
    <w:uiPriority w:val="0"/>
    <w:pPr>
      <w:spacing w:before="0" w:beforeLines="0" w:line="360" w:lineRule="auto"/>
      <w:ind w:firstLine="480" w:firstLineChars="200"/>
    </w:pPr>
    <w:rPr>
      <w:rFonts w:hAnsi="华文中宋" w:eastAsia="华文中宋"/>
      <w:sz w:val="24"/>
    </w:rPr>
  </w:style>
  <w:style w:type="paragraph" w:customStyle="1" w:styleId="817">
    <w:name w:val="Char Char Char Char Char Char Char Char Char"/>
    <w:basedOn w:val="1"/>
    <w:qFormat/>
    <w:uiPriority w:val="0"/>
    <w:pPr>
      <w:spacing w:before="0" w:beforeLines="50" w:afterLines="50" w:line="240" w:lineRule="auto"/>
      <w:jc w:val="center"/>
    </w:pPr>
    <w:rPr>
      <w:rFonts w:ascii="黑体" w:eastAsia="黑体"/>
      <w:spacing w:val="6"/>
      <w:sz w:val="24"/>
      <w:szCs w:val="28"/>
    </w:rPr>
  </w:style>
  <w:style w:type="paragraph" w:customStyle="1" w:styleId="818">
    <w:name w:val="纯文本2"/>
    <w:basedOn w:val="1"/>
    <w:qFormat/>
    <w:uiPriority w:val="0"/>
    <w:pPr>
      <w:adjustRightInd w:val="0"/>
      <w:spacing w:before="0" w:beforeLines="0" w:line="240" w:lineRule="auto"/>
      <w:textAlignment w:val="baseline"/>
    </w:pPr>
    <w:rPr>
      <w:rFonts w:ascii="宋体" w:hAnsi="Arial"/>
      <w:kern w:val="0"/>
      <w:szCs w:val="20"/>
    </w:rPr>
  </w:style>
  <w:style w:type="paragraph" w:customStyle="1" w:styleId="819">
    <w:name w:val="Char Char Char Char Char Char Char Char Char Char Char Char Char Char Char Char"/>
    <w:basedOn w:val="1"/>
    <w:qFormat/>
    <w:uiPriority w:val="0"/>
    <w:pPr>
      <w:spacing w:before="0" w:beforeLines="50" w:afterLines="50" w:line="240" w:lineRule="auto"/>
      <w:jc w:val="center"/>
    </w:pPr>
    <w:rPr>
      <w:rFonts w:ascii="黑体" w:eastAsia="黑体"/>
      <w:spacing w:val="6"/>
      <w:sz w:val="24"/>
      <w:szCs w:val="28"/>
    </w:rPr>
  </w:style>
  <w:style w:type="paragraph" w:customStyle="1" w:styleId="820">
    <w:name w:val="正式文字"/>
    <w:basedOn w:val="627"/>
    <w:qFormat/>
    <w:uiPriority w:val="0"/>
    <w:pPr>
      <w:spacing w:line="312" w:lineRule="auto"/>
      <w:ind w:firstLine="567" w:firstLineChars="0"/>
      <w:jc w:val="both"/>
    </w:pPr>
    <w:rPr>
      <w:rFonts w:hAnsi="Courier New" w:cs="仿宋_GB2312"/>
      <w:spacing w:val="6"/>
      <w:sz w:val="28"/>
      <w:szCs w:val="21"/>
    </w:rPr>
  </w:style>
  <w:style w:type="character" w:customStyle="1" w:styleId="821">
    <w:name w:val="批注主题 Char1"/>
    <w:qFormat/>
    <w:uiPriority w:val="0"/>
    <w:rPr>
      <w:b/>
      <w:bCs/>
      <w:sz w:val="28"/>
    </w:rPr>
  </w:style>
  <w:style w:type="character" w:customStyle="1" w:styleId="822">
    <w:name w:val="文档结构图 Char1"/>
    <w:qFormat/>
    <w:uiPriority w:val="99"/>
    <w:rPr>
      <w:rFonts w:ascii="宋体"/>
      <w:sz w:val="18"/>
      <w:szCs w:val="18"/>
      <w:lang w:val="zh-CN" w:eastAsia="zh-CN"/>
    </w:rPr>
  </w:style>
  <w:style w:type="paragraph" w:customStyle="1" w:styleId="823">
    <w:name w:val="(a正文"/>
    <w:basedOn w:val="1"/>
    <w:link w:val="824"/>
    <w:qFormat/>
    <w:uiPriority w:val="0"/>
    <w:pPr>
      <w:spacing w:before="0" w:beforeLines="0"/>
      <w:ind w:firstLine="200" w:firstLineChars="200"/>
    </w:pPr>
    <w:rPr>
      <w:rFonts w:eastAsia="仿宋_GB2312"/>
      <w:color w:val="000000"/>
      <w:sz w:val="24"/>
    </w:rPr>
  </w:style>
  <w:style w:type="character" w:customStyle="1" w:styleId="824">
    <w:name w:val="(a正文 Char"/>
    <w:link w:val="823"/>
    <w:qFormat/>
    <w:uiPriority w:val="0"/>
    <w:rPr>
      <w:rFonts w:eastAsia="仿宋_GB2312"/>
      <w:color w:val="000000"/>
      <w:kern w:val="2"/>
      <w:sz w:val="24"/>
      <w:szCs w:val="24"/>
    </w:rPr>
  </w:style>
  <w:style w:type="character" w:customStyle="1" w:styleId="825">
    <w:name w:val="题注 字符2"/>
    <w:qFormat/>
    <w:uiPriority w:val="35"/>
    <w:rPr>
      <w:rFonts w:ascii="Cambria" w:hAnsi="Cambria" w:eastAsia="黑体" w:cs="Times New Roman"/>
      <w:sz w:val="22"/>
      <w:szCs w:val="20"/>
    </w:rPr>
  </w:style>
  <w:style w:type="paragraph" w:customStyle="1" w:styleId="826">
    <w:name w:val="char"/>
    <w:basedOn w:val="1"/>
    <w:qFormat/>
    <w:uiPriority w:val="0"/>
    <w:pPr>
      <w:widowControl/>
      <w:spacing w:before="0" w:beforeLines="0" w:after="160" w:line="240" w:lineRule="exact"/>
      <w:jc w:val="left"/>
    </w:pPr>
    <w:rPr>
      <w:rFonts w:ascii="Verdana" w:hAnsi="Verdana" w:eastAsia="仿宋_GB2312" w:cs="”“Times New Roman”“"/>
      <w:kern w:val="0"/>
      <w:sz w:val="24"/>
      <w:szCs w:val="20"/>
      <w:lang w:eastAsia="en-US"/>
    </w:rPr>
  </w:style>
  <w:style w:type="paragraph" w:customStyle="1" w:styleId="827">
    <w:name w:val="表格里"/>
    <w:basedOn w:val="1"/>
    <w:qFormat/>
    <w:uiPriority w:val="0"/>
    <w:pPr>
      <w:adjustRightInd w:val="0"/>
      <w:snapToGrid w:val="0"/>
      <w:spacing w:before="0" w:beforeLines="0" w:line="240" w:lineRule="auto"/>
      <w:jc w:val="center"/>
    </w:pPr>
    <w:rPr>
      <w:rFonts w:cs="宋体"/>
      <w:szCs w:val="21"/>
    </w:rPr>
  </w:style>
  <w:style w:type="paragraph" w:customStyle="1" w:styleId="828">
    <w:name w:val="图表标题用字体"/>
    <w:basedOn w:val="1"/>
    <w:next w:val="1"/>
    <w:qFormat/>
    <w:uiPriority w:val="0"/>
    <w:pPr>
      <w:adjustRightInd w:val="0"/>
      <w:snapToGrid w:val="0"/>
      <w:spacing w:before="0" w:beforeLines="0" w:line="360" w:lineRule="auto"/>
      <w:ind w:firstLine="480" w:firstLineChars="200"/>
      <w:jc w:val="center"/>
    </w:pPr>
    <w:rPr>
      <w:b/>
      <w:kern w:val="0"/>
      <w:sz w:val="24"/>
    </w:rPr>
  </w:style>
  <w:style w:type="character" w:customStyle="1" w:styleId="829">
    <w:name w:val="四号 正文 Char1"/>
    <w:qFormat/>
    <w:uiPriority w:val="0"/>
    <w:rPr>
      <w:rFonts w:ascii="Times New Roman" w:hAnsi="Times New Roman" w:cs="宋体"/>
      <w:spacing w:val="6"/>
      <w:kern w:val="2"/>
      <w:sz w:val="28"/>
    </w:rPr>
  </w:style>
  <w:style w:type="paragraph" w:customStyle="1" w:styleId="830">
    <w:name w:val="Char Char3 Char Char Char Char Char Char Char"/>
    <w:basedOn w:val="1"/>
    <w:qFormat/>
    <w:uiPriority w:val="0"/>
    <w:pPr>
      <w:widowControl/>
      <w:spacing w:before="0" w:beforeLines="0" w:after="160" w:line="240" w:lineRule="exact"/>
      <w:jc w:val="left"/>
    </w:pPr>
    <w:rPr>
      <w:rFonts w:ascii="Arial" w:hAnsi="Arial" w:eastAsia="Times New Roman" w:cs="Verdana"/>
      <w:b/>
      <w:kern w:val="0"/>
      <w:sz w:val="24"/>
      <w:lang w:eastAsia="en-US"/>
    </w:rPr>
  </w:style>
  <w:style w:type="character" w:customStyle="1" w:styleId="831">
    <w:name w:val="签名页 Char Char"/>
    <w:link w:val="832"/>
    <w:qFormat/>
    <w:uiPriority w:val="0"/>
    <w:rPr>
      <w:rFonts w:ascii="楷体_GB2312" w:eastAsia="楷体_GB2312" w:cs="宋体"/>
      <w:b/>
      <w:bCs/>
      <w:sz w:val="30"/>
    </w:rPr>
  </w:style>
  <w:style w:type="paragraph" w:customStyle="1" w:styleId="832">
    <w:name w:val="签名页"/>
    <w:basedOn w:val="1"/>
    <w:link w:val="831"/>
    <w:qFormat/>
    <w:uiPriority w:val="0"/>
    <w:pPr>
      <w:spacing w:before="0" w:beforeLines="0" w:line="360" w:lineRule="auto"/>
    </w:pPr>
    <w:rPr>
      <w:rFonts w:ascii="楷体_GB2312" w:eastAsia="楷体_GB2312" w:cs="宋体"/>
      <w:b/>
      <w:bCs/>
      <w:kern w:val="0"/>
      <w:sz w:val="30"/>
      <w:szCs w:val="20"/>
    </w:rPr>
  </w:style>
  <w:style w:type="character" w:customStyle="1" w:styleId="833">
    <w:name w:val="图 名 Char Char"/>
    <w:link w:val="834"/>
    <w:qFormat/>
    <w:uiPriority w:val="0"/>
    <w:rPr>
      <w:rFonts w:cs="宋体"/>
      <w:b/>
      <w:bCs/>
      <w:sz w:val="24"/>
      <w:szCs w:val="24"/>
    </w:rPr>
  </w:style>
  <w:style w:type="paragraph" w:customStyle="1" w:styleId="834">
    <w:name w:val="图 名"/>
    <w:basedOn w:val="365"/>
    <w:link w:val="833"/>
    <w:qFormat/>
    <w:uiPriority w:val="0"/>
    <w:pPr>
      <w:spacing w:after="156" w:line="240" w:lineRule="auto"/>
      <w:ind w:firstLine="0" w:firstLineChars="0"/>
      <w:jc w:val="center"/>
    </w:pPr>
    <w:rPr>
      <w:b/>
      <w:bCs/>
      <w:kern w:val="0"/>
      <w:szCs w:val="24"/>
    </w:rPr>
  </w:style>
  <w:style w:type="character" w:customStyle="1" w:styleId="835">
    <w:name w:val="文本正文 Char Char"/>
    <w:link w:val="836"/>
    <w:qFormat/>
    <w:uiPriority w:val="0"/>
    <w:rPr>
      <w:rFonts w:ascii="宋体" w:hAnsi="宋体"/>
      <w:sz w:val="24"/>
      <w:szCs w:val="28"/>
    </w:rPr>
  </w:style>
  <w:style w:type="paragraph" w:customStyle="1" w:styleId="836">
    <w:name w:val="文本正文"/>
    <w:basedOn w:val="1"/>
    <w:link w:val="835"/>
    <w:qFormat/>
    <w:uiPriority w:val="0"/>
    <w:pPr>
      <w:adjustRightInd w:val="0"/>
      <w:spacing w:before="0" w:beforeLines="0" w:line="360" w:lineRule="auto"/>
      <w:ind w:firstLine="599" w:firstLineChars="214"/>
      <w:jc w:val="left"/>
      <w:textAlignment w:val="baseline"/>
    </w:pPr>
    <w:rPr>
      <w:rFonts w:ascii="宋体" w:hAnsi="宋体"/>
      <w:kern w:val="0"/>
      <w:sz w:val="24"/>
      <w:szCs w:val="28"/>
    </w:rPr>
  </w:style>
  <w:style w:type="character" w:customStyle="1" w:styleId="837">
    <w:name w:val="标题1 Char Char"/>
    <w:link w:val="442"/>
    <w:qFormat/>
    <w:uiPriority w:val="0"/>
    <w:rPr>
      <w:b/>
      <w:spacing w:val="4"/>
      <w:sz w:val="48"/>
    </w:rPr>
  </w:style>
  <w:style w:type="character" w:customStyle="1" w:styleId="838">
    <w:name w:val="正文（小四缩进） Char Char"/>
    <w:qFormat/>
    <w:uiPriority w:val="0"/>
    <w:rPr>
      <w:rFonts w:ascii="宋体" w:hAnsi="宋体" w:eastAsia="宋体" w:cs="宋体"/>
      <w:kern w:val="2"/>
      <w:sz w:val="24"/>
      <w:lang w:val="en-US" w:eastAsia="zh-CN" w:bidi="ar-SA"/>
    </w:rPr>
  </w:style>
  <w:style w:type="character" w:customStyle="1" w:styleId="839">
    <w:name w:val="备注 Char Char"/>
    <w:link w:val="840"/>
    <w:qFormat/>
    <w:uiPriority w:val="0"/>
    <w:rPr>
      <w:rFonts w:cs="宋体"/>
      <w:sz w:val="18"/>
    </w:rPr>
  </w:style>
  <w:style w:type="paragraph" w:customStyle="1" w:styleId="840">
    <w:name w:val="备注"/>
    <w:basedOn w:val="365"/>
    <w:link w:val="839"/>
    <w:qFormat/>
    <w:uiPriority w:val="0"/>
    <w:pPr>
      <w:spacing w:line="240" w:lineRule="auto"/>
      <w:ind w:firstLine="0" w:firstLineChars="0"/>
    </w:pPr>
    <w:rPr>
      <w:kern w:val="0"/>
      <w:sz w:val="18"/>
    </w:rPr>
  </w:style>
  <w:style w:type="character" w:customStyle="1" w:styleId="841">
    <w:name w:val="表格文字加粗 Char Char"/>
    <w:link w:val="842"/>
    <w:qFormat/>
    <w:uiPriority w:val="0"/>
    <w:rPr>
      <w:rFonts w:cs="宋体"/>
      <w:b/>
      <w:bCs/>
    </w:rPr>
  </w:style>
  <w:style w:type="paragraph" w:customStyle="1" w:styleId="842">
    <w:name w:val="表格文字加粗"/>
    <w:basedOn w:val="1"/>
    <w:link w:val="841"/>
    <w:qFormat/>
    <w:uiPriority w:val="0"/>
    <w:pPr>
      <w:spacing w:before="0" w:beforeLines="0" w:line="240" w:lineRule="auto"/>
      <w:jc w:val="center"/>
    </w:pPr>
    <w:rPr>
      <w:rFonts w:cs="宋体"/>
      <w:b/>
      <w:bCs/>
      <w:kern w:val="0"/>
      <w:sz w:val="20"/>
      <w:szCs w:val="20"/>
    </w:rPr>
  </w:style>
  <w:style w:type="character" w:customStyle="1" w:styleId="843">
    <w:name w:val="标题4 Char Char"/>
    <w:qFormat/>
    <w:uiPriority w:val="0"/>
    <w:rPr>
      <w:rFonts w:ascii="Times New Roman" w:hAnsi="Times New Roman" w:eastAsia="Times New Roman" w:cs="宋体"/>
      <w:b/>
      <w:sz w:val="24"/>
      <w:szCs w:val="24"/>
    </w:rPr>
  </w:style>
  <w:style w:type="character" w:customStyle="1" w:styleId="844">
    <w:name w:val="结束语 字符1"/>
    <w:link w:val="31"/>
    <w:qFormat/>
    <w:uiPriority w:val="0"/>
    <w:rPr>
      <w:sz w:val="28"/>
    </w:rPr>
  </w:style>
  <w:style w:type="character" w:customStyle="1" w:styleId="845">
    <w:name w:val="标题 2 Char Char1"/>
    <w:qFormat/>
    <w:uiPriority w:val="0"/>
    <w:rPr>
      <w:rFonts w:ascii="Arial" w:hAnsi="Arial" w:eastAsia="黑体"/>
      <w:b/>
      <w:bCs/>
      <w:kern w:val="2"/>
      <w:sz w:val="32"/>
      <w:szCs w:val="32"/>
      <w:lang w:val="en-US" w:eastAsia="zh-CN" w:bidi="ar-SA"/>
    </w:rPr>
  </w:style>
  <w:style w:type="character" w:customStyle="1" w:styleId="846">
    <w:name w:val="正文加粗 Char Char"/>
    <w:qFormat/>
    <w:uiPriority w:val="0"/>
    <w:rPr>
      <w:rFonts w:ascii="宋体" w:hAnsi="宋体" w:eastAsia="宋体" w:cs="宋体"/>
      <w:b/>
      <w:bCs/>
      <w:sz w:val="24"/>
      <w:szCs w:val="20"/>
    </w:rPr>
  </w:style>
  <w:style w:type="character" w:customStyle="1" w:styleId="847">
    <w:name w:val="标题 32 Char"/>
    <w:qFormat/>
    <w:uiPriority w:val="0"/>
    <w:rPr>
      <w:rFonts w:eastAsia="宋体"/>
      <w:b/>
      <w:bCs/>
      <w:kern w:val="2"/>
      <w:sz w:val="32"/>
      <w:szCs w:val="32"/>
      <w:lang w:val="en-US" w:eastAsia="zh-CN" w:bidi="ar-SA"/>
    </w:rPr>
  </w:style>
  <w:style w:type="character" w:customStyle="1" w:styleId="848">
    <w:name w:val="图居中 Char Char"/>
    <w:link w:val="849"/>
    <w:qFormat/>
    <w:uiPriority w:val="0"/>
    <w:rPr>
      <w:rFonts w:ascii="宋体" w:hAnsi="宋体" w:cs="宋体"/>
      <w:sz w:val="24"/>
    </w:rPr>
  </w:style>
  <w:style w:type="paragraph" w:customStyle="1" w:styleId="849">
    <w:name w:val="图居中"/>
    <w:basedOn w:val="1"/>
    <w:link w:val="848"/>
    <w:qFormat/>
    <w:uiPriority w:val="0"/>
    <w:pPr>
      <w:spacing w:before="0" w:beforeLines="0" w:line="240" w:lineRule="auto"/>
      <w:jc w:val="center"/>
    </w:pPr>
    <w:rPr>
      <w:rFonts w:ascii="宋体" w:hAnsi="宋体" w:cs="宋体"/>
      <w:kern w:val="0"/>
      <w:sz w:val="24"/>
      <w:szCs w:val="20"/>
    </w:rPr>
  </w:style>
  <w:style w:type="character" w:customStyle="1" w:styleId="850">
    <w:name w:val="正文文档 Char Char Char Char Char Char"/>
    <w:qFormat/>
    <w:uiPriority w:val="0"/>
    <w:rPr>
      <w:rFonts w:eastAsia="宋体" w:cs="宋体"/>
      <w:kern w:val="2"/>
      <w:sz w:val="24"/>
      <w:lang w:val="en-US" w:eastAsia="zh-CN" w:bidi="ar-SA"/>
    </w:rPr>
  </w:style>
  <w:style w:type="character" w:customStyle="1" w:styleId="851">
    <w:name w:val="样式 报告正文 + 首行缩进:  2 字符 Char Char"/>
    <w:qFormat/>
    <w:uiPriority w:val="0"/>
    <w:rPr>
      <w:rFonts w:eastAsia="宋体" w:cs="宋体"/>
      <w:kern w:val="2"/>
      <w:sz w:val="24"/>
      <w:lang w:val="en-US" w:eastAsia="zh-CN" w:bidi="ar-SA"/>
    </w:rPr>
  </w:style>
  <w:style w:type="character" w:customStyle="1" w:styleId="852">
    <w:name w:val="图名 Char1"/>
    <w:link w:val="853"/>
    <w:qFormat/>
    <w:uiPriority w:val="0"/>
    <w:rPr>
      <w:rFonts w:cs="宋体"/>
      <w:b/>
      <w:bCs/>
      <w:sz w:val="24"/>
      <w:szCs w:val="24"/>
    </w:rPr>
  </w:style>
  <w:style w:type="paragraph" w:customStyle="1" w:styleId="853">
    <w:name w:val="图名"/>
    <w:basedOn w:val="1"/>
    <w:link w:val="852"/>
    <w:qFormat/>
    <w:uiPriority w:val="0"/>
    <w:pPr>
      <w:spacing w:before="0" w:beforeLines="0" w:after="156" w:line="240" w:lineRule="auto"/>
      <w:jc w:val="center"/>
    </w:pPr>
    <w:rPr>
      <w:rFonts w:cs="宋体"/>
      <w:b/>
      <w:bCs/>
      <w:kern w:val="0"/>
      <w:sz w:val="24"/>
    </w:rPr>
  </w:style>
  <w:style w:type="character" w:customStyle="1" w:styleId="854">
    <w:name w:val="图表标题 Char Char"/>
    <w:link w:val="499"/>
    <w:qFormat/>
    <w:uiPriority w:val="0"/>
    <w:rPr>
      <w:rFonts w:ascii="黑体" w:hAnsi="Calibri" w:eastAsia="黑体"/>
      <w:sz w:val="24"/>
      <w:szCs w:val="24"/>
      <w:lang w:bidi="en-US"/>
    </w:rPr>
  </w:style>
  <w:style w:type="character" w:customStyle="1" w:styleId="855">
    <w:name w:val="报告正文 Char Char"/>
    <w:qFormat/>
    <w:uiPriority w:val="0"/>
    <w:rPr>
      <w:rFonts w:eastAsia="宋体"/>
      <w:kern w:val="2"/>
      <w:sz w:val="28"/>
      <w:szCs w:val="28"/>
      <w:lang w:val="en-US" w:eastAsia="zh-CN" w:bidi="ar-SA"/>
    </w:rPr>
  </w:style>
  <w:style w:type="character" w:customStyle="1" w:styleId="856">
    <w:name w:val="Char Char181"/>
    <w:qFormat/>
    <w:uiPriority w:val="0"/>
    <w:rPr>
      <w:rFonts w:eastAsia="黑体"/>
      <w:b/>
      <w:bCs/>
      <w:kern w:val="2"/>
      <w:sz w:val="28"/>
      <w:szCs w:val="28"/>
      <w:lang w:val="en-US" w:eastAsia="zh-CN" w:bidi="ar-SA"/>
    </w:rPr>
  </w:style>
  <w:style w:type="character" w:customStyle="1" w:styleId="857">
    <w:name w:val="标题 8 Char1"/>
    <w:qFormat/>
    <w:uiPriority w:val="0"/>
    <w:rPr>
      <w:rFonts w:hint="default" w:ascii="Cambria" w:hAnsi="Cambria" w:eastAsia="宋体" w:cs="Times New Roman"/>
      <w:kern w:val="2"/>
      <w:sz w:val="24"/>
      <w:szCs w:val="24"/>
    </w:rPr>
  </w:style>
  <w:style w:type="character" w:customStyle="1" w:styleId="858">
    <w:name w:val="正文（小四缩进） Char1"/>
    <w:link w:val="859"/>
    <w:qFormat/>
    <w:uiPriority w:val="0"/>
    <w:rPr>
      <w:rFonts w:ascii="宋体" w:hAnsi="宋体" w:cs="宋体"/>
      <w:sz w:val="24"/>
    </w:rPr>
  </w:style>
  <w:style w:type="paragraph" w:customStyle="1" w:styleId="859">
    <w:name w:val="正文（小四缩进）"/>
    <w:basedOn w:val="1"/>
    <w:link w:val="858"/>
    <w:qFormat/>
    <w:uiPriority w:val="0"/>
    <w:pPr>
      <w:spacing w:before="0" w:beforeLines="0" w:line="360" w:lineRule="auto"/>
      <w:ind w:firstLine="480" w:firstLineChars="200"/>
    </w:pPr>
    <w:rPr>
      <w:rFonts w:ascii="宋体" w:hAnsi="宋体" w:cs="宋体"/>
      <w:kern w:val="0"/>
      <w:sz w:val="24"/>
      <w:szCs w:val="20"/>
    </w:rPr>
  </w:style>
  <w:style w:type="character" w:customStyle="1" w:styleId="860">
    <w:name w:val="表格文字+左 Char Char"/>
    <w:link w:val="861"/>
    <w:qFormat/>
    <w:uiPriority w:val="0"/>
    <w:rPr>
      <w:rFonts w:cs="宋体"/>
      <w:spacing w:val="-4"/>
      <w:sz w:val="22"/>
    </w:rPr>
  </w:style>
  <w:style w:type="paragraph" w:customStyle="1" w:styleId="861">
    <w:name w:val="表格文字+左"/>
    <w:basedOn w:val="171"/>
    <w:link w:val="860"/>
    <w:qFormat/>
    <w:uiPriority w:val="0"/>
    <w:pPr>
      <w:adjustRightInd/>
      <w:snapToGrid/>
      <w:spacing w:line="240" w:lineRule="auto"/>
      <w:jc w:val="left"/>
    </w:pPr>
    <w:rPr>
      <w:rFonts w:cs="宋体"/>
      <w:color w:val="auto"/>
      <w:spacing w:val="-4"/>
      <w:kern w:val="0"/>
      <w:sz w:val="22"/>
    </w:rPr>
  </w:style>
  <w:style w:type="character" w:customStyle="1" w:styleId="862">
    <w:name w:val="页眉1 Char Char"/>
    <w:qFormat/>
    <w:uiPriority w:val="0"/>
    <w:rPr>
      <w:rFonts w:eastAsia="宋体"/>
      <w:kern w:val="2"/>
      <w:sz w:val="18"/>
      <w:szCs w:val="18"/>
      <w:lang w:val="en-US" w:eastAsia="zh-CN" w:bidi="ar-SA"/>
    </w:rPr>
  </w:style>
  <w:style w:type="character" w:customStyle="1" w:styleId="863">
    <w:name w:val="标题 1 Char Char"/>
    <w:qFormat/>
    <w:uiPriority w:val="0"/>
    <w:rPr>
      <w:rFonts w:eastAsia="宋体"/>
      <w:b/>
      <w:bCs/>
      <w:kern w:val="44"/>
      <w:sz w:val="44"/>
      <w:szCs w:val="44"/>
      <w:lang w:val="en-US" w:eastAsia="zh-CN" w:bidi="ar-SA"/>
    </w:rPr>
  </w:style>
  <w:style w:type="character" w:customStyle="1" w:styleId="864">
    <w:name w:val="标题 4 Char Char"/>
    <w:qFormat/>
    <w:uiPriority w:val="0"/>
    <w:rPr>
      <w:rFonts w:ascii="Cambria" w:hAnsi="Cambria" w:eastAsia="宋体" w:cs="Times New Roman"/>
      <w:b/>
      <w:bCs/>
      <w:sz w:val="28"/>
      <w:szCs w:val="28"/>
    </w:rPr>
  </w:style>
  <w:style w:type="character" w:customStyle="1" w:styleId="865">
    <w:name w:val="apple-style-span"/>
    <w:qFormat/>
    <w:uiPriority w:val="0"/>
  </w:style>
  <w:style w:type="character" w:customStyle="1" w:styleId="866">
    <w:name w:val="正文A Char2"/>
    <w:link w:val="867"/>
    <w:qFormat/>
    <w:uiPriority w:val="0"/>
    <w:rPr>
      <w:sz w:val="24"/>
    </w:rPr>
  </w:style>
  <w:style w:type="paragraph" w:customStyle="1" w:styleId="867">
    <w:name w:val="正文A"/>
    <w:link w:val="866"/>
    <w:qFormat/>
    <w:uiPriority w:val="0"/>
    <w:pPr>
      <w:tabs>
        <w:tab w:val="left" w:pos="0"/>
      </w:tabs>
      <w:adjustRightInd w:val="0"/>
      <w:spacing w:before="120" w:line="360" w:lineRule="auto"/>
      <w:ind w:firstLine="480"/>
      <w:jc w:val="both"/>
    </w:pPr>
    <w:rPr>
      <w:rFonts w:ascii="Times New Roman" w:hAnsi="Times New Roman" w:eastAsia="宋体" w:cs="Times New Roman"/>
      <w:sz w:val="24"/>
      <w:lang w:val="en-US" w:eastAsia="zh-CN" w:bidi="ar-SA"/>
    </w:rPr>
  </w:style>
  <w:style w:type="character" w:customStyle="1" w:styleId="868">
    <w:name w:val="标题 1 Char Char1"/>
    <w:qFormat/>
    <w:uiPriority w:val="0"/>
    <w:rPr>
      <w:rFonts w:eastAsia="黑体"/>
      <w:b/>
      <w:bCs/>
      <w:kern w:val="44"/>
      <w:sz w:val="32"/>
      <w:szCs w:val="44"/>
      <w:lang w:val="en-US" w:eastAsia="zh-CN" w:bidi="ar-SA"/>
    </w:rPr>
  </w:style>
  <w:style w:type="character" w:customStyle="1" w:styleId="869">
    <w:name w:val="gyy 正文 Char Char"/>
    <w:link w:val="870"/>
    <w:qFormat/>
    <w:uiPriority w:val="0"/>
    <w:rPr>
      <w:color w:val="000000"/>
      <w:sz w:val="28"/>
      <w:szCs w:val="28"/>
    </w:rPr>
  </w:style>
  <w:style w:type="paragraph" w:customStyle="1" w:styleId="870">
    <w:name w:val="gyy 正文"/>
    <w:basedOn w:val="1"/>
    <w:link w:val="869"/>
    <w:qFormat/>
    <w:uiPriority w:val="0"/>
    <w:pPr>
      <w:snapToGrid w:val="0"/>
      <w:spacing w:before="156" w:beforeLines="50" w:after="156" w:afterLines="50" w:line="360" w:lineRule="auto"/>
      <w:ind w:firstLine="566" w:firstLineChars="202"/>
      <w:contextualSpacing/>
      <w:jc w:val="left"/>
    </w:pPr>
    <w:rPr>
      <w:color w:val="000000"/>
      <w:kern w:val="0"/>
      <w:sz w:val="28"/>
      <w:szCs w:val="28"/>
    </w:rPr>
  </w:style>
  <w:style w:type="character" w:customStyle="1" w:styleId="871">
    <w:name w:val="Char Char111"/>
    <w:qFormat/>
    <w:uiPriority w:val="0"/>
    <w:rPr>
      <w:kern w:val="2"/>
      <w:sz w:val="18"/>
      <w:szCs w:val="18"/>
    </w:rPr>
  </w:style>
  <w:style w:type="character" w:customStyle="1" w:styleId="872">
    <w:name w:val="正文文本缩进 3 Char1"/>
    <w:qFormat/>
    <w:uiPriority w:val="0"/>
    <w:rPr>
      <w:kern w:val="2"/>
      <w:sz w:val="16"/>
      <w:szCs w:val="16"/>
    </w:rPr>
  </w:style>
  <w:style w:type="character" w:customStyle="1" w:styleId="873">
    <w:name w:val="注释标题 Char1"/>
    <w:qFormat/>
    <w:uiPriority w:val="99"/>
    <w:rPr>
      <w:kern w:val="2"/>
      <w:sz w:val="21"/>
      <w:szCs w:val="22"/>
    </w:rPr>
  </w:style>
  <w:style w:type="character" w:customStyle="1" w:styleId="874">
    <w:name w:val="正文 + 宋体 Char"/>
    <w:link w:val="875"/>
    <w:qFormat/>
    <w:uiPriority w:val="0"/>
    <w:rPr>
      <w:rFonts w:ascii="宋体" w:hAnsi="宋体"/>
      <w:sz w:val="24"/>
      <w:szCs w:val="24"/>
    </w:rPr>
  </w:style>
  <w:style w:type="paragraph" w:customStyle="1" w:styleId="875">
    <w:name w:val="正文 + 宋体"/>
    <w:basedOn w:val="1"/>
    <w:link w:val="874"/>
    <w:qFormat/>
    <w:uiPriority w:val="0"/>
    <w:pPr>
      <w:spacing w:before="0" w:beforeLines="0" w:line="360" w:lineRule="auto"/>
      <w:ind w:firstLine="200" w:firstLineChars="200"/>
      <w:jc w:val="left"/>
    </w:pPr>
    <w:rPr>
      <w:rFonts w:ascii="宋体" w:hAnsi="宋体"/>
      <w:kern w:val="0"/>
      <w:sz w:val="24"/>
    </w:rPr>
  </w:style>
  <w:style w:type="character" w:customStyle="1" w:styleId="876">
    <w:name w:val="highlight1"/>
    <w:qFormat/>
    <w:uiPriority w:val="0"/>
    <w:rPr>
      <w:sz w:val="21"/>
      <w:szCs w:val="21"/>
    </w:rPr>
  </w:style>
  <w:style w:type="character" w:customStyle="1" w:styleId="877">
    <w:name w:val="明显引用 Char1"/>
    <w:qFormat/>
    <w:uiPriority w:val="0"/>
    <w:rPr>
      <w:b/>
      <w:bCs/>
      <w:i/>
      <w:iCs/>
      <w:color w:val="4F81BD"/>
      <w:kern w:val="2"/>
      <w:sz w:val="21"/>
      <w:szCs w:val="22"/>
    </w:rPr>
  </w:style>
  <w:style w:type="character" w:customStyle="1" w:styleId="878">
    <w:name w:val="报告书正文 Char Char"/>
    <w:link w:val="879"/>
    <w:qFormat/>
    <w:uiPriority w:val="0"/>
    <w:rPr>
      <w:sz w:val="24"/>
    </w:rPr>
  </w:style>
  <w:style w:type="paragraph" w:customStyle="1" w:styleId="879">
    <w:name w:val="报告书正文"/>
    <w:basedOn w:val="35"/>
    <w:link w:val="878"/>
    <w:qFormat/>
    <w:uiPriority w:val="0"/>
    <w:pPr>
      <w:spacing w:line="300" w:lineRule="auto"/>
      <w:ind w:firstLine="200"/>
    </w:pPr>
    <w:rPr>
      <w:kern w:val="0"/>
      <w:szCs w:val="20"/>
    </w:rPr>
  </w:style>
  <w:style w:type="character" w:customStyle="1" w:styleId="880">
    <w:name w:val="广鹿岛 Char Char"/>
    <w:link w:val="881"/>
    <w:qFormat/>
    <w:uiPriority w:val="0"/>
    <w:rPr>
      <w:sz w:val="24"/>
    </w:rPr>
  </w:style>
  <w:style w:type="paragraph" w:customStyle="1" w:styleId="881">
    <w:name w:val="广鹿岛"/>
    <w:basedOn w:val="1"/>
    <w:link w:val="880"/>
    <w:qFormat/>
    <w:uiPriority w:val="0"/>
    <w:pPr>
      <w:spacing w:before="0" w:beforeLines="0" w:line="500" w:lineRule="exact"/>
      <w:ind w:firstLine="200" w:firstLineChars="200"/>
    </w:pPr>
    <w:rPr>
      <w:kern w:val="0"/>
      <w:sz w:val="24"/>
      <w:szCs w:val="20"/>
    </w:rPr>
  </w:style>
  <w:style w:type="character" w:customStyle="1" w:styleId="882">
    <w:name w:val="正文文档 Char Char"/>
    <w:qFormat/>
    <w:uiPriority w:val="0"/>
    <w:rPr>
      <w:rFonts w:eastAsia="宋体" w:cs="宋体"/>
      <w:kern w:val="2"/>
      <w:sz w:val="24"/>
      <w:szCs w:val="24"/>
      <w:lang w:val="en-US" w:eastAsia="zh-CN" w:bidi="ar-SA"/>
    </w:rPr>
  </w:style>
  <w:style w:type="character" w:customStyle="1" w:styleId="883">
    <w:name w:val="标题 32 Char2"/>
    <w:qFormat/>
    <w:uiPriority w:val="0"/>
    <w:rPr>
      <w:rFonts w:eastAsia="宋体"/>
      <w:b/>
      <w:bCs/>
      <w:kern w:val="2"/>
      <w:sz w:val="32"/>
      <w:szCs w:val="32"/>
      <w:lang w:val="en-US" w:eastAsia="zh-CN" w:bidi="ar-SA"/>
    </w:rPr>
  </w:style>
  <w:style w:type="character" w:customStyle="1" w:styleId="884">
    <w:name w:val="初设正文 Char Char"/>
    <w:link w:val="885"/>
    <w:qFormat/>
    <w:uiPriority w:val="0"/>
    <w:rPr>
      <w:sz w:val="28"/>
      <w:szCs w:val="24"/>
    </w:rPr>
  </w:style>
  <w:style w:type="paragraph" w:customStyle="1" w:styleId="885">
    <w:name w:val="初设正文"/>
    <w:basedOn w:val="35"/>
    <w:link w:val="884"/>
    <w:qFormat/>
    <w:uiPriority w:val="0"/>
    <w:pPr>
      <w:tabs>
        <w:tab w:val="left" w:pos="3200"/>
      </w:tabs>
      <w:spacing w:line="240" w:lineRule="auto"/>
      <w:ind w:firstLine="570" w:firstLineChars="0"/>
    </w:pPr>
    <w:rPr>
      <w:kern w:val="0"/>
      <w:sz w:val="28"/>
    </w:rPr>
  </w:style>
  <w:style w:type="character" w:customStyle="1" w:styleId="886">
    <w:name w:val="概述 Char1"/>
    <w:qFormat/>
    <w:uiPriority w:val="0"/>
    <w:rPr>
      <w:rFonts w:eastAsia="黑体"/>
      <w:b/>
      <w:bCs/>
      <w:kern w:val="44"/>
      <w:sz w:val="32"/>
      <w:szCs w:val="44"/>
      <w:lang w:val="en-US" w:eastAsia="zh-CN" w:bidi="ar-SA"/>
    </w:rPr>
  </w:style>
  <w:style w:type="character" w:customStyle="1" w:styleId="887">
    <w:name w:val="正文(小四缩进)+紧缩2磅 Char Char"/>
    <w:link w:val="888"/>
    <w:qFormat/>
    <w:uiPriority w:val="0"/>
    <w:rPr>
      <w:rFonts w:ascii="宋体" w:hAnsi="宋体" w:cs="宋体"/>
      <w:spacing w:val="-40"/>
      <w:sz w:val="24"/>
    </w:rPr>
  </w:style>
  <w:style w:type="paragraph" w:customStyle="1" w:styleId="888">
    <w:name w:val="正文(小四缩进)+紧缩2磅"/>
    <w:basedOn w:val="859"/>
    <w:link w:val="887"/>
    <w:qFormat/>
    <w:uiPriority w:val="0"/>
    <w:rPr>
      <w:spacing w:val="-40"/>
    </w:rPr>
  </w:style>
  <w:style w:type="character" w:customStyle="1" w:styleId="889">
    <w:name w:val="Char Char19"/>
    <w:qFormat/>
    <w:uiPriority w:val="0"/>
    <w:rPr>
      <w:rFonts w:ascii="宋体" w:hAnsi="宋体" w:eastAsia="楷体_GB2312"/>
      <w:b/>
      <w:bCs/>
      <w:kern w:val="44"/>
      <w:sz w:val="28"/>
      <w:szCs w:val="30"/>
      <w:lang w:val="zh-CN"/>
    </w:rPr>
  </w:style>
  <w:style w:type="character" w:customStyle="1" w:styleId="890">
    <w:name w:val="tj-正文 Char Char"/>
    <w:link w:val="891"/>
    <w:qFormat/>
    <w:uiPriority w:val="0"/>
    <w:rPr>
      <w:rFonts w:ascii="宋体" w:hAnsi="宋体"/>
      <w:sz w:val="24"/>
      <w:szCs w:val="24"/>
    </w:rPr>
  </w:style>
  <w:style w:type="paragraph" w:customStyle="1" w:styleId="891">
    <w:name w:val="tj-正文"/>
    <w:basedOn w:val="1"/>
    <w:link w:val="890"/>
    <w:qFormat/>
    <w:uiPriority w:val="0"/>
    <w:pPr>
      <w:spacing w:before="0" w:beforeLines="0"/>
      <w:ind w:firstLine="480" w:firstLineChars="200"/>
    </w:pPr>
    <w:rPr>
      <w:rFonts w:ascii="宋体" w:hAnsi="宋体"/>
      <w:kern w:val="0"/>
      <w:sz w:val="24"/>
    </w:rPr>
  </w:style>
  <w:style w:type="character" w:customStyle="1" w:styleId="892">
    <w:name w:val="封面文字 Char Char"/>
    <w:qFormat/>
    <w:uiPriority w:val="0"/>
    <w:rPr>
      <w:rFonts w:eastAsia="宋体"/>
      <w:kern w:val="2"/>
      <w:sz w:val="24"/>
      <w:szCs w:val="24"/>
      <w:lang w:val="en-US" w:eastAsia="zh-CN" w:bidi="ar-SA"/>
    </w:rPr>
  </w:style>
  <w:style w:type="character" w:customStyle="1" w:styleId="893">
    <w:name w:val="数字标题 Char Char"/>
    <w:link w:val="894"/>
    <w:qFormat/>
    <w:uiPriority w:val="0"/>
    <w:rPr>
      <w:rFonts w:ascii="宋体" w:hAnsi="宋体" w:cs="宋体"/>
      <w:b/>
      <w:bCs/>
      <w:sz w:val="24"/>
      <w:szCs w:val="24"/>
    </w:rPr>
  </w:style>
  <w:style w:type="paragraph" w:customStyle="1" w:styleId="894">
    <w:name w:val="数字标题"/>
    <w:basedOn w:val="33"/>
    <w:link w:val="893"/>
    <w:qFormat/>
    <w:uiPriority w:val="0"/>
    <w:pPr>
      <w:autoSpaceDE/>
      <w:autoSpaceDN/>
      <w:spacing w:line="360" w:lineRule="auto"/>
      <w:ind w:firstLine="482" w:firstLineChars="200"/>
    </w:pPr>
    <w:rPr>
      <w:b/>
      <w:bCs/>
      <w:lang w:val="en-US" w:bidi="ar-SA"/>
    </w:rPr>
  </w:style>
  <w:style w:type="character" w:customStyle="1" w:styleId="895">
    <w:name w:val="正文 Char Char"/>
    <w:qFormat/>
    <w:uiPriority w:val="0"/>
    <w:rPr>
      <w:rFonts w:ascii="宋体" w:eastAsia="宋体" w:cs="宋体"/>
      <w:kern w:val="2"/>
      <w:sz w:val="24"/>
      <w:szCs w:val="24"/>
      <w:lang w:val="en-US" w:eastAsia="zh-CN" w:bidi="ar-SA"/>
    </w:rPr>
  </w:style>
  <w:style w:type="character" w:customStyle="1" w:styleId="896">
    <w:name w:val="图名+段后0.5行 Char Char"/>
    <w:link w:val="897"/>
    <w:qFormat/>
    <w:uiPriority w:val="0"/>
    <w:rPr>
      <w:rFonts w:ascii="宋体" w:cs="宋体"/>
      <w:b/>
      <w:bCs/>
      <w:sz w:val="24"/>
      <w:szCs w:val="24"/>
    </w:rPr>
  </w:style>
  <w:style w:type="paragraph" w:customStyle="1" w:styleId="897">
    <w:name w:val="图名+段后0.5行"/>
    <w:basedOn w:val="853"/>
    <w:link w:val="896"/>
    <w:qFormat/>
    <w:uiPriority w:val="0"/>
    <w:pPr>
      <w:spacing w:afterLines="50"/>
    </w:pPr>
    <w:rPr>
      <w:rFonts w:ascii="宋体"/>
    </w:rPr>
  </w:style>
  <w:style w:type="character" w:customStyle="1" w:styleId="898">
    <w:name w:val="样式标题3+13磅 Char Char"/>
    <w:link w:val="899"/>
    <w:qFormat/>
    <w:uiPriority w:val="0"/>
    <w:rPr>
      <w:rFonts w:ascii="宋体"/>
      <w:b/>
      <w:bCs/>
      <w:sz w:val="26"/>
      <w:szCs w:val="26"/>
    </w:rPr>
  </w:style>
  <w:style w:type="paragraph" w:customStyle="1" w:styleId="899">
    <w:name w:val="样式标题3+13磅"/>
    <w:basedOn w:val="5"/>
    <w:link w:val="898"/>
    <w:qFormat/>
    <w:uiPriority w:val="0"/>
    <w:pPr>
      <w:keepNext/>
      <w:spacing w:before="0" w:after="0" w:line="240" w:lineRule="auto"/>
      <w:jc w:val="left"/>
    </w:pPr>
    <w:rPr>
      <w:rFonts w:ascii="宋体"/>
      <w:color w:val="auto"/>
      <w:kern w:val="0"/>
      <w:sz w:val="26"/>
      <w:szCs w:val="26"/>
    </w:rPr>
  </w:style>
  <w:style w:type="character" w:customStyle="1" w:styleId="900">
    <w:name w:val="无间隔 字符1"/>
    <w:link w:val="901"/>
    <w:qFormat/>
    <w:uiPriority w:val="0"/>
    <w:rPr>
      <w:rFonts w:ascii="宋体" w:hAnsi="Calibri"/>
      <w:sz w:val="24"/>
    </w:rPr>
  </w:style>
  <w:style w:type="paragraph" w:styleId="901">
    <w:name w:val="No Spacing"/>
    <w:link w:val="900"/>
    <w:semiHidden/>
    <w:unhideWhenUsed/>
    <w:qFormat/>
    <w:uiPriority w:val="0"/>
    <w:pPr>
      <w:widowControl w:val="0"/>
      <w:spacing w:beforeLines="25"/>
      <w:jc w:val="both"/>
    </w:pPr>
    <w:rPr>
      <w:rFonts w:ascii="宋体" w:hAnsi="Calibri" w:eastAsia="宋体" w:cs="Times New Roman"/>
      <w:sz w:val="24"/>
      <w:lang w:val="en-US" w:eastAsia="zh-CN" w:bidi="ar-SA"/>
    </w:rPr>
  </w:style>
  <w:style w:type="paragraph" w:customStyle="1" w:styleId="902">
    <w:name w:val="无间隔1"/>
    <w:basedOn w:val="1"/>
    <w:next w:val="901"/>
    <w:qFormat/>
    <w:uiPriority w:val="1"/>
    <w:pPr>
      <w:spacing w:before="0" w:beforeLines="0" w:line="360" w:lineRule="auto"/>
    </w:pPr>
    <w:rPr>
      <w:rFonts w:ascii="宋体" w:hAnsi="Calibri" w:eastAsia="等线"/>
      <w:sz w:val="24"/>
      <w:szCs w:val="22"/>
    </w:rPr>
  </w:style>
  <w:style w:type="character" w:customStyle="1" w:styleId="903">
    <w:name w:val="图表标题1 Char Char"/>
    <w:link w:val="904"/>
    <w:qFormat/>
    <w:uiPriority w:val="0"/>
    <w:rPr>
      <w:rFonts w:hAnsi="宋体"/>
      <w:b/>
      <w:spacing w:val="6"/>
      <w:sz w:val="24"/>
      <w:szCs w:val="24"/>
      <w:lang w:val="zh-CN"/>
    </w:rPr>
  </w:style>
  <w:style w:type="paragraph" w:customStyle="1" w:styleId="904">
    <w:name w:val="图表标题1"/>
    <w:basedOn w:val="1"/>
    <w:link w:val="903"/>
    <w:qFormat/>
    <w:uiPriority w:val="0"/>
    <w:pPr>
      <w:adjustRightInd w:val="0"/>
      <w:spacing w:before="0" w:beforeLines="0" w:line="360" w:lineRule="auto"/>
      <w:jc w:val="center"/>
    </w:pPr>
    <w:rPr>
      <w:rFonts w:hAnsi="宋体"/>
      <w:b/>
      <w:spacing w:val="6"/>
      <w:kern w:val="0"/>
      <w:sz w:val="24"/>
      <w:lang w:val="zh-CN"/>
    </w:rPr>
  </w:style>
  <w:style w:type="character" w:customStyle="1" w:styleId="905">
    <w:name w:val="引用 字符2"/>
    <w:link w:val="906"/>
    <w:qFormat/>
    <w:uiPriority w:val="29"/>
    <w:rPr>
      <w:rFonts w:ascii="宋体" w:hAnsi="Calibri"/>
      <w:i/>
      <w:iCs/>
      <w:color w:val="000000"/>
      <w:sz w:val="24"/>
    </w:rPr>
  </w:style>
  <w:style w:type="paragraph" w:styleId="906">
    <w:name w:val="Quote"/>
    <w:basedOn w:val="1"/>
    <w:next w:val="1"/>
    <w:link w:val="905"/>
    <w:semiHidden/>
    <w:unhideWhenUsed/>
    <w:qFormat/>
    <w:uiPriority w:val="29"/>
    <w:pPr>
      <w:spacing w:before="200" w:after="160"/>
      <w:ind w:left="864" w:right="864"/>
      <w:jc w:val="center"/>
    </w:pPr>
    <w:rPr>
      <w:rFonts w:ascii="宋体" w:hAnsi="Calibri"/>
      <w:i/>
      <w:iCs/>
      <w:color w:val="000000"/>
      <w:kern w:val="0"/>
      <w:sz w:val="24"/>
      <w:szCs w:val="20"/>
    </w:rPr>
  </w:style>
  <w:style w:type="paragraph" w:customStyle="1" w:styleId="907">
    <w:name w:val="引用1"/>
    <w:basedOn w:val="1"/>
    <w:next w:val="1"/>
    <w:qFormat/>
    <w:uiPriority w:val="29"/>
    <w:pPr>
      <w:spacing w:before="0" w:beforeLines="0" w:line="360" w:lineRule="auto"/>
    </w:pPr>
    <w:rPr>
      <w:rFonts w:ascii="宋体" w:hAnsi="Calibri" w:eastAsia="等线"/>
      <w:i/>
      <w:iCs/>
      <w:color w:val="000000"/>
      <w:sz w:val="24"/>
      <w:szCs w:val="22"/>
    </w:rPr>
  </w:style>
  <w:style w:type="character" w:customStyle="1" w:styleId="908">
    <w:name w:val="段 Char Char"/>
    <w:link w:val="486"/>
    <w:qFormat/>
    <w:uiPriority w:val="0"/>
    <w:rPr>
      <w:rFonts w:ascii="宋体"/>
      <w:sz w:val="21"/>
    </w:rPr>
  </w:style>
  <w:style w:type="character" w:customStyle="1" w:styleId="909">
    <w:name w:val="苍南标2 Char Char"/>
    <w:link w:val="910"/>
    <w:qFormat/>
    <w:uiPriority w:val="0"/>
    <w:rPr>
      <w:b/>
      <w:sz w:val="24"/>
      <w:szCs w:val="24"/>
    </w:rPr>
  </w:style>
  <w:style w:type="paragraph" w:customStyle="1" w:styleId="910">
    <w:name w:val="苍南标2"/>
    <w:basedOn w:val="1"/>
    <w:link w:val="909"/>
    <w:qFormat/>
    <w:uiPriority w:val="0"/>
    <w:pPr>
      <w:numPr>
        <w:ilvl w:val="1"/>
        <w:numId w:val="8"/>
      </w:numPr>
      <w:spacing w:before="0" w:beforeLines="0" w:line="360" w:lineRule="auto"/>
      <w:outlineLvl w:val="1"/>
    </w:pPr>
    <w:rPr>
      <w:b/>
      <w:kern w:val="0"/>
      <w:sz w:val="24"/>
    </w:rPr>
  </w:style>
  <w:style w:type="character" w:customStyle="1" w:styleId="911">
    <w:name w:val="苍南标3 Char Char"/>
    <w:link w:val="912"/>
    <w:qFormat/>
    <w:uiPriority w:val="0"/>
    <w:rPr>
      <w:b/>
      <w:sz w:val="24"/>
      <w:szCs w:val="24"/>
    </w:rPr>
  </w:style>
  <w:style w:type="paragraph" w:customStyle="1" w:styleId="912">
    <w:name w:val="苍南标3"/>
    <w:basedOn w:val="1"/>
    <w:link w:val="911"/>
    <w:qFormat/>
    <w:uiPriority w:val="0"/>
    <w:pPr>
      <w:numPr>
        <w:ilvl w:val="2"/>
        <w:numId w:val="8"/>
      </w:numPr>
      <w:spacing w:before="0" w:beforeLines="0" w:line="360" w:lineRule="auto"/>
    </w:pPr>
    <w:rPr>
      <w:b/>
      <w:kern w:val="0"/>
      <w:sz w:val="24"/>
    </w:rPr>
  </w:style>
  <w:style w:type="character" w:customStyle="1" w:styleId="913">
    <w:name w:val="证书"/>
    <w:qFormat/>
    <w:uiPriority w:val="0"/>
    <w:rPr>
      <w:rFonts w:ascii="楷体_GB2312" w:hAnsi="楷体_GB2312" w:eastAsia="楷体_GB2312"/>
      <w:b/>
      <w:bCs/>
      <w:sz w:val="36"/>
    </w:rPr>
  </w:style>
  <w:style w:type="character" w:customStyle="1" w:styleId="914">
    <w:name w:val="Char Char41"/>
    <w:qFormat/>
    <w:uiPriority w:val="0"/>
    <w:rPr>
      <w:rFonts w:ascii="宋体" w:hAnsi="Courier New" w:eastAsia="宋体"/>
      <w:kern w:val="2"/>
      <w:sz w:val="24"/>
      <w:lang w:val="en-US" w:eastAsia="zh-CN" w:bidi="ar-SA"/>
    </w:rPr>
  </w:style>
  <w:style w:type="character" w:customStyle="1" w:styleId="915">
    <w:name w:val="font1page1"/>
    <w:qFormat/>
    <w:uiPriority w:val="0"/>
    <w:rPr>
      <w:rFonts w:hint="default" w:ascii="Verdana" w:hAnsi="Verdana"/>
      <w:color w:val="333333"/>
      <w:sz w:val="21"/>
      <w:szCs w:val="21"/>
      <w:u w:val="none"/>
    </w:rPr>
  </w:style>
  <w:style w:type="character" w:customStyle="1" w:styleId="916">
    <w:name w:val="图表名 Char Char"/>
    <w:link w:val="917"/>
    <w:qFormat/>
    <w:uiPriority w:val="0"/>
    <w:rPr>
      <w:rFonts w:ascii="宋体" w:cs="宋体"/>
      <w:bCs/>
      <w:color w:val="000000"/>
      <w:sz w:val="24"/>
      <w:szCs w:val="21"/>
    </w:rPr>
  </w:style>
  <w:style w:type="paragraph" w:customStyle="1" w:styleId="917">
    <w:name w:val="图表名"/>
    <w:basedOn w:val="1"/>
    <w:link w:val="916"/>
    <w:qFormat/>
    <w:uiPriority w:val="0"/>
    <w:pPr>
      <w:adjustRightInd w:val="0"/>
      <w:snapToGrid w:val="0"/>
      <w:spacing w:before="93" w:beforeLines="30" w:line="360" w:lineRule="auto"/>
      <w:ind w:right="32"/>
      <w:jc w:val="center"/>
    </w:pPr>
    <w:rPr>
      <w:rFonts w:ascii="宋体" w:cs="宋体"/>
      <w:bCs/>
      <w:color w:val="000000"/>
      <w:kern w:val="0"/>
      <w:sz w:val="24"/>
      <w:szCs w:val="21"/>
    </w:rPr>
  </w:style>
  <w:style w:type="character" w:customStyle="1" w:styleId="918">
    <w:name w:val="Char Char201"/>
    <w:qFormat/>
    <w:uiPriority w:val="0"/>
    <w:rPr>
      <w:rFonts w:ascii="Arial" w:hAnsi="Arial" w:eastAsia="黑体"/>
      <w:b/>
      <w:bCs/>
      <w:kern w:val="2"/>
      <w:sz w:val="32"/>
      <w:szCs w:val="32"/>
      <w:lang w:val="en-US" w:eastAsia="zh-CN" w:bidi="ar-SA"/>
    </w:rPr>
  </w:style>
  <w:style w:type="character" w:customStyle="1" w:styleId="919">
    <w:name w:val="标题 7 Char1"/>
    <w:qFormat/>
    <w:uiPriority w:val="0"/>
    <w:rPr>
      <w:b/>
      <w:bCs/>
      <w:kern w:val="2"/>
      <w:sz w:val="24"/>
      <w:szCs w:val="24"/>
    </w:rPr>
  </w:style>
  <w:style w:type="character" w:customStyle="1" w:styleId="920">
    <w:name w:val="Char Char Char Char Char Char Char Char"/>
    <w:qFormat/>
    <w:uiPriority w:val="0"/>
    <w:rPr>
      <w:rFonts w:eastAsia="宋体"/>
      <w:b/>
      <w:bCs/>
      <w:kern w:val="2"/>
      <w:sz w:val="32"/>
      <w:szCs w:val="32"/>
      <w:lang w:val="en-US" w:eastAsia="zh-CN" w:bidi="ar-SA"/>
    </w:rPr>
  </w:style>
  <w:style w:type="character" w:customStyle="1" w:styleId="921">
    <w:name w:val="标题 2 Char1"/>
    <w:qFormat/>
    <w:uiPriority w:val="0"/>
    <w:rPr>
      <w:rFonts w:ascii="Cambria" w:hAnsi="Cambria" w:eastAsia="宋体" w:cs="Times New Roman"/>
      <w:b/>
      <w:bCs/>
      <w:kern w:val="2"/>
      <w:sz w:val="32"/>
      <w:szCs w:val="32"/>
    </w:rPr>
  </w:style>
  <w:style w:type="character" w:customStyle="1" w:styleId="922">
    <w:name w:val="正文(缩进)+加粗 Char Char"/>
    <w:link w:val="923"/>
    <w:qFormat/>
    <w:uiPriority w:val="0"/>
    <w:rPr>
      <w:rFonts w:ascii="宋体" w:hAnsi="宋体" w:cs="宋体"/>
      <w:b/>
      <w:bCs/>
      <w:sz w:val="24"/>
    </w:rPr>
  </w:style>
  <w:style w:type="paragraph" w:customStyle="1" w:styleId="923">
    <w:name w:val="正文(缩进)+加粗"/>
    <w:basedOn w:val="859"/>
    <w:link w:val="922"/>
    <w:qFormat/>
    <w:uiPriority w:val="0"/>
    <w:pPr>
      <w:ind w:firstLine="482"/>
    </w:pPr>
    <w:rPr>
      <w:b/>
      <w:bCs/>
    </w:rPr>
  </w:style>
  <w:style w:type="character" w:customStyle="1" w:styleId="924">
    <w:name w:val="图表 Char Char"/>
    <w:link w:val="925"/>
    <w:qFormat/>
    <w:uiPriority w:val="0"/>
    <w:rPr>
      <w:rFonts w:ascii="黑体" w:hAnsi="宋体" w:eastAsia="黑体"/>
      <w:sz w:val="24"/>
      <w:szCs w:val="24"/>
    </w:rPr>
  </w:style>
  <w:style w:type="paragraph" w:customStyle="1" w:styleId="925">
    <w:name w:val="图表"/>
    <w:basedOn w:val="1"/>
    <w:link w:val="924"/>
    <w:qFormat/>
    <w:uiPriority w:val="0"/>
    <w:pPr>
      <w:adjustRightInd w:val="0"/>
      <w:snapToGrid w:val="0"/>
      <w:spacing w:before="0" w:beforeLines="0" w:line="360" w:lineRule="auto"/>
      <w:ind w:firstLine="480"/>
      <w:jc w:val="center"/>
    </w:pPr>
    <w:rPr>
      <w:rFonts w:ascii="黑体" w:hAnsi="宋体" w:eastAsia="黑体"/>
      <w:kern w:val="0"/>
      <w:sz w:val="24"/>
    </w:rPr>
  </w:style>
  <w:style w:type="character" w:customStyle="1" w:styleId="926">
    <w:name w:val="图名 Char Char"/>
    <w:qFormat/>
    <w:uiPriority w:val="0"/>
    <w:rPr>
      <w:rFonts w:ascii="宋体" w:hAnsi="宋体" w:eastAsia="宋体" w:cs="宋体"/>
      <w:b/>
      <w:bCs/>
      <w:kern w:val="2"/>
      <w:sz w:val="24"/>
      <w:szCs w:val="24"/>
      <w:lang w:val="en-US" w:eastAsia="zh-CN" w:bidi="ar-SA"/>
    </w:rPr>
  </w:style>
  <w:style w:type="character" w:customStyle="1" w:styleId="927">
    <w:name w:val="表格文字小 Char Char"/>
    <w:link w:val="928"/>
    <w:qFormat/>
    <w:uiPriority w:val="0"/>
    <w:rPr>
      <w:rFonts w:ascii="宋体" w:cs="宋体"/>
      <w:sz w:val="18"/>
    </w:rPr>
  </w:style>
  <w:style w:type="paragraph" w:customStyle="1" w:styleId="928">
    <w:name w:val="表格文字小"/>
    <w:basedOn w:val="171"/>
    <w:link w:val="927"/>
    <w:qFormat/>
    <w:uiPriority w:val="0"/>
    <w:pPr>
      <w:adjustRightInd/>
      <w:snapToGrid/>
      <w:spacing w:line="240" w:lineRule="auto"/>
      <w:ind w:left="-120" w:leftChars="-50" w:right="-120" w:rightChars="-50"/>
    </w:pPr>
    <w:rPr>
      <w:rFonts w:ascii="宋体" w:cs="宋体"/>
      <w:color w:val="auto"/>
      <w:kern w:val="0"/>
      <w:sz w:val="18"/>
    </w:rPr>
  </w:style>
  <w:style w:type="character" w:customStyle="1" w:styleId="929">
    <w:name w:val="Char Char9"/>
    <w:qFormat/>
    <w:uiPriority w:val="0"/>
    <w:rPr>
      <w:rFonts w:eastAsia="宋体"/>
      <w:kern w:val="2"/>
      <w:sz w:val="21"/>
      <w:szCs w:val="24"/>
      <w:lang w:val="en-US" w:eastAsia="zh-CN" w:bidi="ar-SA"/>
    </w:rPr>
  </w:style>
  <w:style w:type="character" w:customStyle="1" w:styleId="930">
    <w:name w:val="Char Char31"/>
    <w:qFormat/>
    <w:uiPriority w:val="0"/>
    <w:rPr>
      <w:kern w:val="2"/>
      <w:sz w:val="21"/>
      <w:szCs w:val="24"/>
    </w:rPr>
  </w:style>
  <w:style w:type="character" w:customStyle="1" w:styleId="931">
    <w:name w:val="正文文本 3 Char1"/>
    <w:qFormat/>
    <w:uiPriority w:val="0"/>
    <w:rPr>
      <w:kern w:val="2"/>
      <w:sz w:val="16"/>
      <w:szCs w:val="16"/>
    </w:rPr>
  </w:style>
  <w:style w:type="character" w:customStyle="1" w:styleId="932">
    <w:name w:val="表名+段前0.5行 Char Char"/>
    <w:link w:val="933"/>
    <w:qFormat/>
    <w:uiPriority w:val="0"/>
    <w:rPr>
      <w:rFonts w:ascii="宋体" w:cs="宋体"/>
      <w:b/>
      <w:bCs/>
      <w:sz w:val="24"/>
    </w:rPr>
  </w:style>
  <w:style w:type="paragraph" w:customStyle="1" w:styleId="933">
    <w:name w:val="表名+段前0.5行"/>
    <w:basedOn w:val="673"/>
    <w:link w:val="932"/>
    <w:qFormat/>
    <w:uiPriority w:val="0"/>
    <w:pPr>
      <w:spacing w:before="156" w:beforeLines="50" w:line="240" w:lineRule="auto"/>
    </w:pPr>
    <w:rPr>
      <w:rFonts w:ascii="宋体" w:hAnsi="Times New Roman"/>
      <w:color w:val="auto"/>
      <w:sz w:val="24"/>
      <w:szCs w:val="20"/>
    </w:rPr>
  </w:style>
  <w:style w:type="character" w:customStyle="1" w:styleId="934">
    <w:name w:val="明显引用 字符2"/>
    <w:link w:val="935"/>
    <w:qFormat/>
    <w:uiPriority w:val="30"/>
    <w:rPr>
      <w:rFonts w:ascii="宋体" w:hAnsi="Calibri"/>
      <w:b/>
      <w:bCs/>
      <w:i/>
      <w:iCs/>
      <w:color w:val="4F81BD"/>
      <w:sz w:val="24"/>
    </w:rPr>
  </w:style>
  <w:style w:type="paragraph" w:styleId="935">
    <w:name w:val="Intense Quote"/>
    <w:basedOn w:val="1"/>
    <w:next w:val="1"/>
    <w:link w:val="934"/>
    <w:semiHidden/>
    <w:unhideWhenUsed/>
    <w:qFormat/>
    <w:uiPriority w:val="30"/>
    <w:pPr>
      <w:pBdr>
        <w:top w:val="single" w:color="4472C4" w:themeColor="accent1" w:sz="4" w:space="10"/>
        <w:bottom w:val="single" w:color="4472C4" w:themeColor="accent1" w:sz="4" w:space="10"/>
      </w:pBdr>
      <w:spacing w:before="360" w:after="360"/>
      <w:ind w:left="864" w:right="864"/>
      <w:jc w:val="center"/>
    </w:pPr>
    <w:rPr>
      <w:rFonts w:ascii="宋体" w:hAnsi="Calibri"/>
      <w:b/>
      <w:bCs/>
      <w:i/>
      <w:iCs/>
      <w:color w:val="4F81BD"/>
      <w:kern w:val="0"/>
      <w:sz w:val="24"/>
      <w:szCs w:val="20"/>
    </w:rPr>
  </w:style>
  <w:style w:type="paragraph" w:customStyle="1" w:styleId="936">
    <w:name w:val="明显引用1"/>
    <w:basedOn w:val="1"/>
    <w:next w:val="1"/>
    <w:qFormat/>
    <w:uiPriority w:val="30"/>
    <w:pPr>
      <w:pBdr>
        <w:bottom w:val="single" w:color="4F81BD" w:sz="4" w:space="4"/>
      </w:pBdr>
      <w:spacing w:before="200" w:beforeLines="0" w:after="280" w:line="360" w:lineRule="auto"/>
      <w:ind w:left="936" w:right="936"/>
    </w:pPr>
    <w:rPr>
      <w:rFonts w:ascii="宋体" w:hAnsi="Calibri" w:eastAsia="等线"/>
      <w:b/>
      <w:bCs/>
      <w:i/>
      <w:iCs/>
      <w:color w:val="4F81BD"/>
      <w:sz w:val="24"/>
      <w:szCs w:val="22"/>
    </w:rPr>
  </w:style>
  <w:style w:type="character" w:customStyle="1" w:styleId="937">
    <w:name w:val="明显参考1"/>
    <w:qFormat/>
    <w:uiPriority w:val="32"/>
    <w:rPr>
      <w:b/>
      <w:bCs/>
      <w:smallCaps/>
      <w:color w:val="C0504D"/>
      <w:spacing w:val="5"/>
      <w:u w:val="single"/>
    </w:rPr>
  </w:style>
  <w:style w:type="character" w:customStyle="1" w:styleId="938">
    <w:name w:val="3级标题 Char Char"/>
    <w:link w:val="227"/>
    <w:qFormat/>
    <w:uiPriority w:val="0"/>
    <w:rPr>
      <w:b/>
      <w:bCs/>
      <w:color w:val="000000"/>
      <w:kern w:val="2"/>
      <w:sz w:val="28"/>
      <w:szCs w:val="28"/>
    </w:rPr>
  </w:style>
  <w:style w:type="character" w:customStyle="1" w:styleId="939">
    <w:name w:val="1-正文 Char Char"/>
    <w:link w:val="940"/>
    <w:qFormat/>
    <w:uiPriority w:val="0"/>
    <w:rPr>
      <w:rFonts w:ascii="宋体" w:hAnsi="宋体"/>
      <w:sz w:val="24"/>
      <w:szCs w:val="24"/>
    </w:rPr>
  </w:style>
  <w:style w:type="paragraph" w:customStyle="1" w:styleId="940">
    <w:name w:val="1-正文"/>
    <w:basedOn w:val="1"/>
    <w:link w:val="939"/>
    <w:qFormat/>
    <w:uiPriority w:val="0"/>
    <w:pPr>
      <w:spacing w:before="0" w:beforeLines="0" w:line="360" w:lineRule="auto"/>
      <w:ind w:firstLine="480" w:firstLineChars="200"/>
    </w:pPr>
    <w:rPr>
      <w:rFonts w:ascii="宋体" w:hAnsi="宋体"/>
      <w:kern w:val="0"/>
      <w:sz w:val="24"/>
    </w:rPr>
  </w:style>
  <w:style w:type="character" w:customStyle="1" w:styleId="941">
    <w:name w:val="明显强调1"/>
    <w:qFormat/>
    <w:uiPriority w:val="21"/>
    <w:rPr>
      <w:b/>
      <w:bCs/>
      <w:i/>
      <w:iCs/>
      <w:color w:val="4F81BD"/>
    </w:rPr>
  </w:style>
  <w:style w:type="character" w:customStyle="1" w:styleId="942">
    <w:name w:val="标题   4 Char Char"/>
    <w:link w:val="943"/>
    <w:qFormat/>
    <w:uiPriority w:val="0"/>
    <w:rPr>
      <w:rFonts w:eastAsia="Times New Roman"/>
      <w:b/>
      <w:bCs/>
      <w:kern w:val="28"/>
      <w:sz w:val="24"/>
    </w:rPr>
  </w:style>
  <w:style w:type="paragraph" w:customStyle="1" w:styleId="943">
    <w:name w:val="标题   4"/>
    <w:basedOn w:val="7"/>
    <w:next w:val="7"/>
    <w:link w:val="942"/>
    <w:qFormat/>
    <w:uiPriority w:val="0"/>
    <w:pPr>
      <w:keepNext w:val="0"/>
      <w:keepLines w:val="0"/>
      <w:snapToGrid/>
      <w:spacing w:before="0" w:beforeLines="0" w:line="360" w:lineRule="auto"/>
      <w:jc w:val="left"/>
      <w:textAlignment w:val="baseline"/>
    </w:pPr>
    <w:rPr>
      <w:rFonts w:eastAsia="Times New Roman"/>
      <w:bCs/>
      <w:color w:val="auto"/>
      <w:kern w:val="28"/>
      <w:szCs w:val="20"/>
    </w:rPr>
  </w:style>
  <w:style w:type="character" w:customStyle="1" w:styleId="944">
    <w:name w:val="不明显参考1"/>
    <w:qFormat/>
    <w:uiPriority w:val="31"/>
    <w:rPr>
      <w:smallCaps/>
      <w:color w:val="C0504D"/>
      <w:u w:val="single"/>
    </w:rPr>
  </w:style>
  <w:style w:type="character" w:customStyle="1" w:styleId="945">
    <w:name w:val="样式 正文1 Char Char"/>
    <w:link w:val="946"/>
    <w:qFormat/>
    <w:uiPriority w:val="0"/>
    <w:rPr>
      <w:rFonts w:cs="宋体"/>
      <w:sz w:val="24"/>
    </w:rPr>
  </w:style>
  <w:style w:type="paragraph" w:customStyle="1" w:styleId="946">
    <w:name w:val="样式 正文1"/>
    <w:basedOn w:val="1"/>
    <w:link w:val="945"/>
    <w:qFormat/>
    <w:uiPriority w:val="0"/>
    <w:pPr>
      <w:spacing w:before="0" w:beforeLines="0" w:line="360" w:lineRule="auto"/>
      <w:ind w:firstLine="480" w:firstLineChars="200"/>
    </w:pPr>
    <w:rPr>
      <w:rFonts w:cs="宋体"/>
      <w:kern w:val="0"/>
      <w:sz w:val="24"/>
      <w:szCs w:val="20"/>
    </w:rPr>
  </w:style>
  <w:style w:type="character" w:customStyle="1" w:styleId="947">
    <w:name w:val="书籍标题1"/>
    <w:qFormat/>
    <w:uiPriority w:val="33"/>
    <w:rPr>
      <w:b/>
      <w:bCs/>
      <w:smallCaps/>
      <w:spacing w:val="5"/>
    </w:rPr>
  </w:style>
  <w:style w:type="character" w:customStyle="1" w:styleId="948">
    <w:name w:val="Char Char27"/>
    <w:qFormat/>
    <w:uiPriority w:val="0"/>
    <w:rPr>
      <w:rFonts w:ascii="Arial" w:hAnsi="Arial" w:eastAsia="黑体"/>
      <w:b/>
      <w:bCs/>
      <w:kern w:val="2"/>
      <w:sz w:val="28"/>
      <w:szCs w:val="28"/>
      <w:lang w:val="en-US" w:eastAsia="zh-CN" w:bidi="ar-SA"/>
    </w:rPr>
  </w:style>
  <w:style w:type="character" w:customStyle="1" w:styleId="949">
    <w:name w:val="苍南正文 Char Char"/>
    <w:link w:val="950"/>
    <w:qFormat/>
    <w:uiPriority w:val="0"/>
    <w:rPr>
      <w:sz w:val="24"/>
      <w:szCs w:val="28"/>
    </w:rPr>
  </w:style>
  <w:style w:type="paragraph" w:customStyle="1" w:styleId="950">
    <w:name w:val="苍南正文"/>
    <w:basedOn w:val="1"/>
    <w:link w:val="949"/>
    <w:qFormat/>
    <w:uiPriority w:val="0"/>
    <w:pPr>
      <w:spacing w:before="0" w:beforeLines="0" w:line="360" w:lineRule="auto"/>
      <w:ind w:firstLine="480" w:firstLineChars="200"/>
    </w:pPr>
    <w:rPr>
      <w:kern w:val="0"/>
      <w:sz w:val="24"/>
      <w:szCs w:val="28"/>
    </w:rPr>
  </w:style>
  <w:style w:type="character" w:customStyle="1" w:styleId="951">
    <w:name w:val="标题4 Char Char Char"/>
    <w:qFormat/>
    <w:uiPriority w:val="0"/>
    <w:rPr>
      <w:rFonts w:eastAsia="宋体" w:cs="宋体"/>
      <w:b/>
      <w:kern w:val="2"/>
      <w:sz w:val="24"/>
      <w:szCs w:val="24"/>
      <w:lang w:val="en-US" w:eastAsia="zh-CN" w:bidi="ar-SA"/>
    </w:rPr>
  </w:style>
  <w:style w:type="character" w:customStyle="1" w:styleId="952">
    <w:name w:val="段落 Char Char Char Char"/>
    <w:link w:val="953"/>
    <w:qFormat/>
    <w:uiPriority w:val="0"/>
    <w:rPr>
      <w:sz w:val="24"/>
      <w:szCs w:val="24"/>
    </w:rPr>
  </w:style>
  <w:style w:type="paragraph" w:customStyle="1" w:styleId="953">
    <w:name w:val="段落 Char"/>
    <w:basedOn w:val="1"/>
    <w:link w:val="952"/>
    <w:qFormat/>
    <w:uiPriority w:val="0"/>
    <w:pPr>
      <w:topLinePunct/>
      <w:snapToGrid w:val="0"/>
      <w:spacing w:before="0" w:beforeLines="0" w:line="360" w:lineRule="auto"/>
      <w:ind w:firstLine="200" w:firstLineChars="200"/>
    </w:pPr>
    <w:rPr>
      <w:kern w:val="0"/>
      <w:sz w:val="24"/>
    </w:rPr>
  </w:style>
  <w:style w:type="character" w:customStyle="1" w:styleId="954">
    <w:name w:val="Char Char20"/>
    <w:qFormat/>
    <w:uiPriority w:val="0"/>
    <w:rPr>
      <w:rFonts w:ascii="Arial" w:hAnsi="Arial" w:eastAsia="黑体"/>
      <w:b/>
      <w:bCs/>
      <w:kern w:val="2"/>
      <w:sz w:val="32"/>
      <w:szCs w:val="32"/>
      <w:lang w:val="en-US" w:eastAsia="zh-CN" w:bidi="ar-SA"/>
    </w:rPr>
  </w:style>
  <w:style w:type="character" w:customStyle="1" w:styleId="955">
    <w:name w:val="Char Char3"/>
    <w:qFormat/>
    <w:uiPriority w:val="0"/>
    <w:rPr>
      <w:kern w:val="2"/>
      <w:sz w:val="21"/>
      <w:szCs w:val="24"/>
    </w:rPr>
  </w:style>
  <w:style w:type="character" w:customStyle="1" w:styleId="956">
    <w:name w:val="公式对齐 Char Char"/>
    <w:link w:val="957"/>
    <w:qFormat/>
    <w:uiPriority w:val="0"/>
    <w:rPr>
      <w:sz w:val="24"/>
    </w:rPr>
  </w:style>
  <w:style w:type="paragraph" w:customStyle="1" w:styleId="957">
    <w:name w:val="公式对齐"/>
    <w:basedOn w:val="881"/>
    <w:link w:val="956"/>
    <w:qFormat/>
    <w:uiPriority w:val="0"/>
    <w:pPr>
      <w:ind w:firstLine="0" w:firstLineChars="0"/>
      <w:jc w:val="right"/>
    </w:pPr>
  </w:style>
  <w:style w:type="character" w:customStyle="1" w:styleId="958">
    <w:name w:val="Char Char Char Char Char1"/>
    <w:qFormat/>
    <w:uiPriority w:val="0"/>
    <w:rPr>
      <w:rFonts w:eastAsia="宋体"/>
      <w:b/>
      <w:bCs/>
      <w:kern w:val="2"/>
      <w:sz w:val="32"/>
      <w:szCs w:val="32"/>
      <w:lang w:val="en-US" w:eastAsia="zh-CN" w:bidi="ar-SA"/>
    </w:rPr>
  </w:style>
  <w:style w:type="character" w:customStyle="1" w:styleId="959">
    <w:name w:val="Char Char91"/>
    <w:qFormat/>
    <w:uiPriority w:val="0"/>
    <w:rPr>
      <w:rFonts w:eastAsia="宋体"/>
      <w:kern w:val="2"/>
      <w:sz w:val="21"/>
      <w:szCs w:val="24"/>
      <w:lang w:val="en-US" w:eastAsia="zh-CN" w:bidi="ar-SA"/>
    </w:rPr>
  </w:style>
  <w:style w:type="character" w:customStyle="1" w:styleId="960">
    <w:name w:val="表格文字居中 Char Char"/>
    <w:link w:val="961"/>
    <w:qFormat/>
    <w:uiPriority w:val="0"/>
    <w:rPr>
      <w:rFonts w:cs="宋体"/>
      <w:szCs w:val="21"/>
    </w:rPr>
  </w:style>
  <w:style w:type="paragraph" w:customStyle="1" w:styleId="961">
    <w:name w:val="表格文字居中"/>
    <w:basedOn w:val="1"/>
    <w:link w:val="960"/>
    <w:qFormat/>
    <w:uiPriority w:val="0"/>
    <w:pPr>
      <w:spacing w:before="0" w:beforeLines="0" w:line="240" w:lineRule="auto"/>
      <w:jc w:val="center"/>
    </w:pPr>
    <w:rPr>
      <w:rFonts w:cs="宋体"/>
      <w:kern w:val="0"/>
      <w:sz w:val="20"/>
      <w:szCs w:val="21"/>
    </w:rPr>
  </w:style>
  <w:style w:type="character" w:customStyle="1" w:styleId="962">
    <w:name w:val="样式 宋体"/>
    <w:qFormat/>
    <w:uiPriority w:val="0"/>
    <w:rPr>
      <w:rFonts w:ascii="Times New Roman" w:hAnsi="Times New Roman"/>
    </w:rPr>
  </w:style>
  <w:style w:type="character" w:customStyle="1" w:styleId="963">
    <w:name w:val="表头 Char Char"/>
    <w:qFormat/>
    <w:uiPriority w:val="0"/>
    <w:rPr>
      <w:rFonts w:ascii="宋体" w:hAnsi="Times New Roman" w:eastAsia="宋体" w:cs="Times New Roman"/>
      <w:b/>
      <w:bCs/>
      <w:sz w:val="24"/>
      <w:szCs w:val="21"/>
    </w:rPr>
  </w:style>
  <w:style w:type="character" w:customStyle="1" w:styleId="964">
    <w:name w:val="标题 9 Char1"/>
    <w:qFormat/>
    <w:uiPriority w:val="0"/>
    <w:rPr>
      <w:rFonts w:hint="default" w:ascii="Cambria" w:hAnsi="Cambria" w:eastAsia="宋体" w:cs="Times New Roman"/>
      <w:kern w:val="2"/>
      <w:sz w:val="21"/>
      <w:szCs w:val="21"/>
    </w:rPr>
  </w:style>
  <w:style w:type="character" w:customStyle="1" w:styleId="965">
    <w:name w:val="签名页1"/>
    <w:qFormat/>
    <w:uiPriority w:val="0"/>
    <w:rPr>
      <w:rFonts w:ascii="楷体_GB2312" w:hAnsi="楷体_GB2312" w:eastAsia="楷体_GB2312"/>
      <w:b/>
      <w:bCs/>
      <w:sz w:val="30"/>
    </w:rPr>
  </w:style>
  <w:style w:type="character" w:customStyle="1" w:styleId="966">
    <w:name w:val="Char Char18"/>
    <w:qFormat/>
    <w:uiPriority w:val="0"/>
    <w:rPr>
      <w:rFonts w:eastAsia="黑体"/>
      <w:b/>
      <w:bCs/>
      <w:kern w:val="2"/>
      <w:sz w:val="28"/>
      <w:szCs w:val="28"/>
      <w:lang w:val="en-US" w:eastAsia="zh-CN" w:bidi="ar-SA"/>
    </w:rPr>
  </w:style>
  <w:style w:type="character" w:customStyle="1" w:styleId="967">
    <w:name w:val="表格文字居中 Char1"/>
    <w:qFormat/>
    <w:uiPriority w:val="0"/>
    <w:rPr>
      <w:rFonts w:ascii="宋体"/>
      <w:color w:val="000000"/>
      <w:sz w:val="24"/>
      <w:szCs w:val="24"/>
      <w:lang w:val="zh-CN"/>
    </w:rPr>
  </w:style>
  <w:style w:type="character" w:customStyle="1" w:styleId="968">
    <w:name w:val="结束语 Char1"/>
    <w:qFormat/>
    <w:uiPriority w:val="0"/>
    <w:rPr>
      <w:kern w:val="2"/>
      <w:sz w:val="21"/>
      <w:szCs w:val="22"/>
    </w:rPr>
  </w:style>
  <w:style w:type="character" w:customStyle="1" w:styleId="969">
    <w:name w:val="注视"/>
    <w:qFormat/>
    <w:uiPriority w:val="0"/>
    <w:rPr>
      <w:rFonts w:ascii="宋体" w:hAnsi="宋体"/>
      <w:sz w:val="18"/>
    </w:rPr>
  </w:style>
  <w:style w:type="character" w:customStyle="1" w:styleId="970">
    <w:name w:val="Char Char191"/>
    <w:qFormat/>
    <w:uiPriority w:val="0"/>
    <w:rPr>
      <w:rFonts w:ascii="宋体" w:hAnsi="宋体" w:eastAsia="楷体_GB2312"/>
      <w:b/>
      <w:bCs/>
      <w:kern w:val="44"/>
      <w:sz w:val="28"/>
      <w:szCs w:val="30"/>
      <w:lang w:val="zh-CN"/>
    </w:rPr>
  </w:style>
  <w:style w:type="character" w:customStyle="1" w:styleId="971">
    <w:name w:val="正文首行缩进 Char1"/>
    <w:qFormat/>
    <w:uiPriority w:val="0"/>
    <w:rPr>
      <w:kern w:val="2"/>
      <w:sz w:val="21"/>
      <w:szCs w:val="22"/>
    </w:rPr>
  </w:style>
  <w:style w:type="character" w:customStyle="1" w:styleId="972">
    <w:name w:val="引用 Char1"/>
    <w:qFormat/>
    <w:uiPriority w:val="0"/>
    <w:rPr>
      <w:i/>
      <w:iCs/>
      <w:color w:val="000000"/>
      <w:kern w:val="2"/>
      <w:sz w:val="21"/>
      <w:szCs w:val="22"/>
    </w:rPr>
  </w:style>
  <w:style w:type="character" w:customStyle="1" w:styleId="973">
    <w:name w:val="tj-表名 Char Char"/>
    <w:link w:val="974"/>
    <w:qFormat/>
    <w:uiPriority w:val="0"/>
    <w:rPr>
      <w:rFonts w:ascii="黑体" w:eastAsia="黑体"/>
      <w:b/>
      <w:sz w:val="24"/>
      <w:szCs w:val="24"/>
    </w:rPr>
  </w:style>
  <w:style w:type="paragraph" w:customStyle="1" w:styleId="974">
    <w:name w:val="tj-表名"/>
    <w:basedOn w:val="1"/>
    <w:link w:val="973"/>
    <w:qFormat/>
    <w:uiPriority w:val="0"/>
    <w:pPr>
      <w:tabs>
        <w:tab w:val="left" w:pos="1140"/>
      </w:tabs>
      <w:spacing w:before="120" w:beforeLines="0" w:after="120" w:line="240" w:lineRule="auto"/>
      <w:ind w:left="737" w:hanging="317"/>
      <w:jc w:val="center"/>
    </w:pPr>
    <w:rPr>
      <w:rFonts w:ascii="黑体" w:eastAsia="黑体"/>
      <w:b/>
      <w:kern w:val="0"/>
      <w:sz w:val="24"/>
    </w:rPr>
  </w:style>
  <w:style w:type="character" w:customStyle="1" w:styleId="975">
    <w:name w:val="不明显强调1"/>
    <w:qFormat/>
    <w:uiPriority w:val="19"/>
    <w:rPr>
      <w:i/>
      <w:iCs/>
      <w:color w:val="808080"/>
    </w:rPr>
  </w:style>
  <w:style w:type="character" w:customStyle="1" w:styleId="976">
    <w:name w:val="结束语 字符"/>
    <w:basedOn w:val="117"/>
    <w:semiHidden/>
    <w:qFormat/>
    <w:uiPriority w:val="99"/>
    <w:rPr>
      <w:rFonts w:ascii="Times New Roman" w:hAnsi="Times New Roman" w:eastAsia="宋体" w:cs="Times New Roman"/>
      <w:sz w:val="24"/>
      <w:szCs w:val="20"/>
    </w:rPr>
  </w:style>
  <w:style w:type="character" w:customStyle="1" w:styleId="977">
    <w:name w:val="结束语 Char2"/>
    <w:semiHidden/>
    <w:qFormat/>
    <w:uiPriority w:val="99"/>
    <w:rPr>
      <w:kern w:val="2"/>
      <w:sz w:val="24"/>
    </w:rPr>
  </w:style>
  <w:style w:type="paragraph" w:customStyle="1" w:styleId="978">
    <w:name w:val="cs10 additive Default Pa"/>
    <w:qFormat/>
    <w:uiPriority w:val="0"/>
    <w:pPr>
      <w:widowControl w:val="0"/>
      <w:autoSpaceDE w:val="0"/>
      <w:autoSpaceDN w:val="0"/>
      <w:adjustRightInd w:val="0"/>
    </w:pPr>
    <w:rPr>
      <w:rFonts w:ascii="Times New Roman" w:hAnsi="Times New Roman" w:eastAsia="宋体" w:cs="Times New Roman"/>
      <w:lang w:val="en-US" w:eastAsia="zh-CN" w:bidi="ar-SA"/>
    </w:rPr>
  </w:style>
  <w:style w:type="paragraph" w:customStyle="1" w:styleId="979">
    <w:name w:val="项目名称"/>
    <w:basedOn w:val="1"/>
    <w:qFormat/>
    <w:uiPriority w:val="0"/>
    <w:pPr>
      <w:spacing w:before="0" w:beforeLines="0" w:line="920" w:lineRule="exact"/>
      <w:jc w:val="center"/>
    </w:pPr>
    <w:rPr>
      <w:rFonts w:ascii="华文楷体" w:hAnsi="华文楷体" w:eastAsia="黑体" w:cs="宋体"/>
      <w:b/>
      <w:bCs/>
      <w:sz w:val="48"/>
      <w:szCs w:val="20"/>
    </w:rPr>
  </w:style>
  <w:style w:type="paragraph" w:customStyle="1" w:styleId="980">
    <w:name w:val="小四表格文字"/>
    <w:basedOn w:val="1"/>
    <w:qFormat/>
    <w:uiPriority w:val="0"/>
    <w:pPr>
      <w:spacing w:before="0" w:beforeLines="0" w:line="240" w:lineRule="auto"/>
      <w:jc w:val="center"/>
    </w:pPr>
    <w:rPr>
      <w:rFonts w:ascii="宋体" w:hAnsi="宋体" w:cs="宋体"/>
      <w:sz w:val="24"/>
      <w:szCs w:val="20"/>
    </w:rPr>
  </w:style>
  <w:style w:type="paragraph" w:customStyle="1" w:styleId="981">
    <w:name w:val="一级无标题条"/>
    <w:basedOn w:val="1"/>
    <w:qFormat/>
    <w:uiPriority w:val="0"/>
    <w:pPr>
      <w:spacing w:before="0" w:beforeLines="0" w:line="360" w:lineRule="auto"/>
    </w:pPr>
    <w:rPr>
      <w:rFonts w:ascii="宋体" w:hAnsi="Calibri"/>
      <w:sz w:val="24"/>
      <w:szCs w:val="22"/>
    </w:rPr>
  </w:style>
  <w:style w:type="paragraph" w:customStyle="1" w:styleId="982">
    <w:name w:val="jjj标题4"/>
    <w:basedOn w:val="5"/>
    <w:qFormat/>
    <w:uiPriority w:val="0"/>
    <w:pPr>
      <w:keepNext/>
      <w:spacing w:before="120" w:after="120" w:line="240" w:lineRule="auto"/>
      <w:outlineLvl w:val="3"/>
    </w:pPr>
    <w:rPr>
      <w:rFonts w:eastAsia="黑体"/>
      <w:color w:val="auto"/>
      <w:kern w:val="2"/>
      <w:sz w:val="24"/>
      <w:szCs w:val="32"/>
    </w:rPr>
  </w:style>
  <w:style w:type="paragraph" w:customStyle="1" w:styleId="983">
    <w:name w:val=".."/>
    <w:basedOn w:val="1"/>
    <w:next w:val="1"/>
    <w:qFormat/>
    <w:uiPriority w:val="0"/>
    <w:pPr>
      <w:autoSpaceDE w:val="0"/>
      <w:autoSpaceDN w:val="0"/>
      <w:adjustRightInd w:val="0"/>
      <w:spacing w:before="0" w:beforeLines="0" w:line="240" w:lineRule="auto"/>
      <w:jc w:val="left"/>
    </w:pPr>
    <w:rPr>
      <w:rFonts w:ascii="宋体"/>
      <w:kern w:val="0"/>
      <w:sz w:val="24"/>
    </w:rPr>
  </w:style>
  <w:style w:type="paragraph" w:customStyle="1" w:styleId="984">
    <w:name w:val="段落1"/>
    <w:basedOn w:val="1"/>
    <w:qFormat/>
    <w:uiPriority w:val="0"/>
    <w:pPr>
      <w:spacing w:before="0" w:beforeLines="0" w:line="580" w:lineRule="exact"/>
      <w:ind w:firstLine="200" w:firstLineChars="200"/>
    </w:pPr>
    <w:rPr>
      <w:spacing w:val="6"/>
      <w:sz w:val="28"/>
    </w:rPr>
  </w:style>
  <w:style w:type="paragraph" w:customStyle="1" w:styleId="985">
    <w:name w:val="列项——（一级）"/>
    <w:qFormat/>
    <w:uiPriority w:val="0"/>
    <w:pPr>
      <w:widowControl w:val="0"/>
      <w:tabs>
        <w:tab w:val="left" w:pos="1140"/>
      </w:tabs>
      <w:ind w:left="840" w:hanging="420"/>
      <w:jc w:val="both"/>
    </w:pPr>
    <w:rPr>
      <w:rFonts w:ascii="宋体" w:hAnsi="Times New Roman" w:eastAsia="宋体" w:cs="Times New Roman"/>
      <w:sz w:val="21"/>
      <w:lang w:val="en-US" w:eastAsia="zh-CN" w:bidi="ar-SA"/>
    </w:rPr>
  </w:style>
  <w:style w:type="paragraph" w:customStyle="1" w:styleId="986">
    <w:name w:val="三级无标题条"/>
    <w:basedOn w:val="1"/>
    <w:qFormat/>
    <w:uiPriority w:val="0"/>
    <w:pPr>
      <w:tabs>
        <w:tab w:val="left" w:pos="2100"/>
      </w:tabs>
      <w:spacing w:before="0" w:beforeLines="0" w:line="360" w:lineRule="auto"/>
      <w:ind w:left="2100" w:hanging="420"/>
    </w:pPr>
    <w:rPr>
      <w:rFonts w:ascii="宋体" w:hAnsi="Calibri"/>
      <w:sz w:val="24"/>
      <w:szCs w:val="22"/>
    </w:rPr>
  </w:style>
  <w:style w:type="paragraph" w:customStyle="1" w:styleId="987">
    <w:name w:val="目录"/>
    <w:basedOn w:val="365"/>
    <w:qFormat/>
    <w:uiPriority w:val="0"/>
    <w:pPr>
      <w:ind w:firstLine="562"/>
      <w:jc w:val="center"/>
    </w:pPr>
    <w:rPr>
      <w:rFonts w:ascii="Calibri" w:hAnsi="Calibri"/>
      <w:b/>
      <w:bCs/>
      <w:sz w:val="28"/>
    </w:rPr>
  </w:style>
  <w:style w:type="paragraph" w:customStyle="1" w:styleId="988">
    <w:name w:val="表正文2"/>
    <w:basedOn w:val="1"/>
    <w:qFormat/>
    <w:uiPriority w:val="0"/>
    <w:pPr>
      <w:tabs>
        <w:tab w:val="left" w:pos="0"/>
        <w:tab w:val="left" w:pos="1200"/>
      </w:tabs>
      <w:adjustRightInd w:val="0"/>
      <w:snapToGrid w:val="0"/>
      <w:spacing w:before="0" w:beforeLines="0" w:line="300" w:lineRule="auto"/>
      <w:jc w:val="center"/>
    </w:pPr>
    <w:rPr>
      <w:szCs w:val="28"/>
    </w:rPr>
  </w:style>
  <w:style w:type="paragraph" w:customStyle="1" w:styleId="989">
    <w:name w:val="正文，居中"/>
    <w:qFormat/>
    <w:uiPriority w:val="0"/>
    <w:pPr>
      <w:widowControl w:val="0"/>
      <w:adjustRightInd w:val="0"/>
      <w:snapToGrid w:val="0"/>
      <w:jc w:val="center"/>
    </w:pPr>
    <w:rPr>
      <w:rFonts w:ascii="宋体" w:hAnsi="宋体" w:eastAsia="宋体" w:cs="Times New Roman"/>
      <w:sz w:val="24"/>
      <w:szCs w:val="24"/>
      <w:lang w:val="en-US" w:eastAsia="zh-CN" w:bidi="ar-SA"/>
    </w:rPr>
  </w:style>
  <w:style w:type="paragraph" w:customStyle="1" w:styleId="990">
    <w:name w:val="样式表"/>
    <w:basedOn w:val="1"/>
    <w:qFormat/>
    <w:uiPriority w:val="0"/>
    <w:pPr>
      <w:keepNext/>
      <w:overflowPunct w:val="0"/>
      <w:autoSpaceDE w:val="0"/>
      <w:autoSpaceDN w:val="0"/>
      <w:adjustRightInd w:val="0"/>
      <w:snapToGrid w:val="0"/>
      <w:spacing w:before="60" w:beforeLines="0" w:after="60" w:line="360" w:lineRule="auto"/>
      <w:jc w:val="center"/>
      <w:textAlignment w:val="center"/>
    </w:pPr>
    <w:rPr>
      <w:rFonts w:ascii="宋体"/>
      <w:sz w:val="24"/>
      <w:szCs w:val="20"/>
    </w:rPr>
  </w:style>
  <w:style w:type="paragraph" w:customStyle="1" w:styleId="991">
    <w:name w:val="报告书"/>
    <w:basedOn w:val="1"/>
    <w:qFormat/>
    <w:uiPriority w:val="0"/>
    <w:pPr>
      <w:spacing w:before="0" w:beforeLines="0" w:line="1200" w:lineRule="exact"/>
      <w:jc w:val="center"/>
    </w:pPr>
    <w:rPr>
      <w:rFonts w:ascii="华文新魏" w:hAnsi="华文楷体" w:eastAsia="黑体" w:cs="宋体"/>
      <w:b/>
      <w:bCs/>
      <w:sz w:val="72"/>
      <w:szCs w:val="20"/>
    </w:rPr>
  </w:style>
  <w:style w:type="paragraph" w:customStyle="1" w:styleId="992">
    <w:name w:val="4级标题"/>
    <w:basedOn w:val="1"/>
    <w:link w:val="1934"/>
    <w:qFormat/>
    <w:uiPriority w:val="0"/>
    <w:pPr>
      <w:spacing w:before="0" w:beforeLines="0" w:line="360" w:lineRule="auto"/>
      <w:jc w:val="left"/>
      <w:outlineLvl w:val="4"/>
    </w:pPr>
    <w:rPr>
      <w:sz w:val="24"/>
    </w:rPr>
  </w:style>
  <w:style w:type="paragraph" w:customStyle="1" w:styleId="993">
    <w:name w:val="签名页3"/>
    <w:basedOn w:val="1"/>
    <w:qFormat/>
    <w:uiPriority w:val="0"/>
    <w:pPr>
      <w:spacing w:before="0" w:beforeLines="0" w:line="240" w:lineRule="auto"/>
      <w:jc w:val="center"/>
    </w:pPr>
    <w:rPr>
      <w:rFonts w:ascii="楷体_GB2312" w:eastAsia="楷体_GB2312" w:cs="宋体"/>
      <w:b/>
      <w:bCs/>
      <w:sz w:val="24"/>
      <w:szCs w:val="20"/>
    </w:rPr>
  </w:style>
  <w:style w:type="paragraph" w:customStyle="1" w:styleId="994">
    <w:name w:val="档案号"/>
    <w:basedOn w:val="36"/>
    <w:qFormat/>
    <w:uiPriority w:val="0"/>
    <w:pPr>
      <w:pBdr>
        <w:bottom w:val="none" w:color="auto" w:sz="0" w:space="0"/>
      </w:pBdr>
      <w:tabs>
        <w:tab w:val="center" w:pos="4320"/>
        <w:tab w:val="right" w:pos="8640"/>
        <w:tab w:val="clear" w:pos="4153"/>
        <w:tab w:val="clear" w:pos="8306"/>
      </w:tabs>
      <w:adjustRightInd w:val="0"/>
      <w:snapToGrid/>
      <w:spacing w:before="0" w:beforeLines="0" w:line="460" w:lineRule="exact"/>
      <w:ind w:firstLine="200" w:firstLineChars="200"/>
      <w:jc w:val="right"/>
      <w:textAlignment w:val="baseline"/>
    </w:pPr>
    <w:rPr>
      <w:rFonts w:ascii="宋体" w:hAnsi="Arial"/>
      <w:spacing w:val="3"/>
      <w:kern w:val="24"/>
      <w:sz w:val="24"/>
      <w:szCs w:val="20"/>
    </w:rPr>
  </w:style>
  <w:style w:type="paragraph" w:customStyle="1" w:styleId="995">
    <w:name w:val="样式 正文（首行缩进两字） + 行距: 固定值 20 磅"/>
    <w:basedOn w:val="6"/>
    <w:qFormat/>
    <w:uiPriority w:val="0"/>
    <w:pPr>
      <w:spacing w:after="62" w:afterLines="20" w:line="400" w:lineRule="exact"/>
      <w:ind w:firstLine="480"/>
    </w:pPr>
    <w:rPr>
      <w:rFonts w:ascii="Times New Roman" w:hAnsi="Times New Roman" w:cs="宋体"/>
      <w:szCs w:val="20"/>
    </w:rPr>
  </w:style>
  <w:style w:type="character" w:customStyle="1" w:styleId="996">
    <w:name w:val="明显引用 字符"/>
    <w:basedOn w:val="117"/>
    <w:qFormat/>
    <w:uiPriority w:val="30"/>
    <w:rPr>
      <w:rFonts w:ascii="Times New Roman" w:hAnsi="Times New Roman" w:eastAsia="宋体" w:cs="Times New Roman"/>
      <w:i/>
      <w:iCs/>
      <w:color w:val="5B9BD5"/>
      <w:sz w:val="24"/>
      <w:szCs w:val="20"/>
    </w:rPr>
  </w:style>
  <w:style w:type="character" w:customStyle="1" w:styleId="997">
    <w:name w:val="明显引用 Char2"/>
    <w:qFormat/>
    <w:uiPriority w:val="30"/>
    <w:rPr>
      <w:b/>
      <w:bCs/>
      <w:i/>
      <w:iCs/>
      <w:color w:val="4F81BD"/>
      <w:kern w:val="2"/>
      <w:sz w:val="24"/>
    </w:rPr>
  </w:style>
  <w:style w:type="paragraph" w:customStyle="1" w:styleId="998">
    <w:name w:val="报告标题 1"/>
    <w:basedOn w:val="3"/>
    <w:qFormat/>
    <w:uiPriority w:val="0"/>
    <w:pPr>
      <w:pageBreakBefore/>
      <w:widowControl/>
      <w:tabs>
        <w:tab w:val="left" w:pos="390"/>
        <w:tab w:val="center" w:pos="4677"/>
        <w:tab w:val="clear" w:pos="360"/>
      </w:tabs>
      <w:spacing w:before="0" w:after="0" w:line="480" w:lineRule="exact"/>
    </w:pPr>
    <w:rPr>
      <w:rFonts w:eastAsia="黑体" w:cs="宋体"/>
      <w:b w:val="0"/>
      <w:bCs w:val="0"/>
      <w:color w:val="auto"/>
      <w:kern w:val="0"/>
      <w:sz w:val="30"/>
    </w:rPr>
  </w:style>
  <w:style w:type="paragraph" w:customStyle="1" w:styleId="999">
    <w:name w:val="表格文字+加粗 右"/>
    <w:basedOn w:val="1"/>
    <w:qFormat/>
    <w:uiPriority w:val="0"/>
    <w:pPr>
      <w:spacing w:before="0" w:beforeLines="0" w:line="240" w:lineRule="auto"/>
      <w:jc w:val="right"/>
    </w:pPr>
    <w:rPr>
      <w:rFonts w:ascii="宋体" w:hAnsi="宋体" w:cs="宋体"/>
      <w:b/>
      <w:bCs/>
      <w:szCs w:val="20"/>
    </w:rPr>
  </w:style>
  <w:style w:type="paragraph" w:customStyle="1" w:styleId="1000">
    <w:name w:val="证书页"/>
    <w:basedOn w:val="1"/>
    <w:qFormat/>
    <w:uiPriority w:val="0"/>
    <w:pPr>
      <w:spacing w:before="0" w:beforeLines="0" w:line="360" w:lineRule="auto"/>
    </w:pPr>
    <w:rPr>
      <w:rFonts w:ascii="楷体_GB2312" w:eastAsia="楷体_GB2312" w:cs="宋体"/>
      <w:b/>
      <w:bCs/>
      <w:sz w:val="36"/>
      <w:szCs w:val="20"/>
    </w:rPr>
  </w:style>
  <w:style w:type="paragraph" w:customStyle="1" w:styleId="1001">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1002">
    <w:name w:val="Char Char Char Char Char Char Char Char Char1 Char Char Char1 Char Char Char"/>
    <w:basedOn w:val="1"/>
    <w:qFormat/>
    <w:uiPriority w:val="0"/>
    <w:pPr>
      <w:spacing w:before="0" w:beforeLines="0" w:line="360" w:lineRule="auto"/>
      <w:ind w:firstLine="200" w:firstLineChars="200"/>
    </w:pPr>
    <w:rPr>
      <w:rFonts w:ascii="宋体" w:hAnsi="宋体" w:cs="宋体"/>
      <w:sz w:val="24"/>
      <w:szCs w:val="22"/>
    </w:rPr>
  </w:style>
  <w:style w:type="paragraph" w:customStyle="1" w:styleId="1003">
    <w:name w:val="环评单位"/>
    <w:basedOn w:val="1"/>
    <w:qFormat/>
    <w:uiPriority w:val="0"/>
    <w:pPr>
      <w:spacing w:before="0" w:beforeLines="0" w:line="240" w:lineRule="auto"/>
      <w:jc w:val="center"/>
    </w:pPr>
    <w:rPr>
      <w:rFonts w:ascii="华文新魏" w:eastAsia="黑体" w:cs="宋体"/>
      <w:b/>
      <w:bCs/>
      <w:sz w:val="32"/>
      <w:szCs w:val="20"/>
    </w:rPr>
  </w:style>
  <w:style w:type="paragraph" w:customStyle="1" w:styleId="1004">
    <w:name w:val="样式章"/>
    <w:basedOn w:val="1"/>
    <w:qFormat/>
    <w:uiPriority w:val="0"/>
    <w:pPr>
      <w:snapToGrid w:val="0"/>
      <w:spacing w:before="0" w:beforeLines="0" w:line="312" w:lineRule="auto"/>
      <w:jc w:val="center"/>
    </w:pPr>
    <w:rPr>
      <w:rFonts w:ascii="黑体" w:hAnsi="Calibri" w:eastAsia="黑体"/>
      <w:b/>
      <w:spacing w:val="6"/>
      <w:sz w:val="36"/>
      <w:szCs w:val="22"/>
    </w:rPr>
  </w:style>
  <w:style w:type="paragraph" w:customStyle="1" w:styleId="1005">
    <w:name w:val="Char3"/>
    <w:basedOn w:val="1"/>
    <w:qFormat/>
    <w:uiPriority w:val="0"/>
    <w:pPr>
      <w:tabs>
        <w:tab w:val="left" w:pos="794"/>
        <w:tab w:val="left" w:pos="1191"/>
        <w:tab w:val="left" w:pos="1588"/>
        <w:tab w:val="left" w:pos="1985"/>
      </w:tabs>
      <w:autoSpaceDE w:val="0"/>
      <w:autoSpaceDN w:val="0"/>
      <w:adjustRightInd w:val="0"/>
      <w:spacing w:before="136" w:beforeLines="0" w:line="240" w:lineRule="auto"/>
    </w:pPr>
    <w:rPr>
      <w:rFonts w:ascii="Tahoma" w:hAnsi="Tahoma"/>
      <w:kern w:val="0"/>
      <w:sz w:val="24"/>
      <w:szCs w:val="20"/>
      <w:lang w:val="en-GB"/>
    </w:rPr>
  </w:style>
  <w:style w:type="paragraph" w:customStyle="1" w:styleId="1006">
    <w:name w:val="表3"/>
    <w:basedOn w:val="1"/>
    <w:qFormat/>
    <w:uiPriority w:val="0"/>
    <w:pPr>
      <w:adjustRightInd w:val="0"/>
      <w:spacing w:before="100" w:beforeLines="0" w:after="20" w:line="312" w:lineRule="atLeast"/>
      <w:jc w:val="center"/>
      <w:textAlignment w:val="baseline"/>
    </w:pPr>
    <w:rPr>
      <w:kern w:val="0"/>
      <w:sz w:val="24"/>
      <w:szCs w:val="20"/>
    </w:rPr>
  </w:style>
  <w:style w:type="paragraph" w:customStyle="1" w:styleId="1007">
    <w:name w:val="表格文字+右"/>
    <w:basedOn w:val="1"/>
    <w:qFormat/>
    <w:uiPriority w:val="0"/>
    <w:pPr>
      <w:spacing w:before="0" w:beforeLines="0" w:line="240" w:lineRule="auto"/>
      <w:jc w:val="right"/>
    </w:pPr>
    <w:rPr>
      <w:rFonts w:cs="宋体"/>
      <w:szCs w:val="20"/>
    </w:rPr>
  </w:style>
  <w:style w:type="paragraph" w:customStyle="1" w:styleId="1008">
    <w:name w:val="样式节"/>
    <w:basedOn w:val="1"/>
    <w:qFormat/>
    <w:uiPriority w:val="0"/>
    <w:pPr>
      <w:snapToGrid w:val="0"/>
      <w:spacing w:before="120" w:beforeLines="0" w:after="120" w:line="312" w:lineRule="auto"/>
      <w:ind w:firstLine="567"/>
    </w:pPr>
    <w:rPr>
      <w:rFonts w:ascii="宋体" w:hAnsi="Calibri"/>
      <w:b/>
      <w:spacing w:val="6"/>
      <w:sz w:val="32"/>
      <w:szCs w:val="22"/>
    </w:rPr>
  </w:style>
  <w:style w:type="paragraph" w:customStyle="1" w:styleId="1009">
    <w:name w:val="附录五级条标题"/>
    <w:basedOn w:val="1010"/>
    <w:next w:val="486"/>
    <w:qFormat/>
    <w:uiPriority w:val="0"/>
    <w:pPr>
      <w:tabs>
        <w:tab w:val="left" w:pos="1080"/>
        <w:tab w:val="left" w:pos="1740"/>
        <w:tab w:val="left" w:pos="1860"/>
        <w:tab w:val="left" w:pos="2160"/>
        <w:tab w:val="left" w:pos="2580"/>
        <w:tab w:val="left" w:pos="2790"/>
        <w:tab w:val="left" w:pos="3000"/>
        <w:tab w:val="left" w:pos="3360"/>
        <w:tab w:val="left" w:pos="3420"/>
        <w:tab w:val="left" w:pos="4290"/>
        <w:tab w:val="left" w:pos="4860"/>
      </w:tabs>
      <w:ind w:left="3420"/>
      <w:outlineLvl w:val="6"/>
    </w:pPr>
  </w:style>
  <w:style w:type="paragraph" w:customStyle="1" w:styleId="1010">
    <w:name w:val="附录四级条标题"/>
    <w:basedOn w:val="1011"/>
    <w:next w:val="486"/>
    <w:qFormat/>
    <w:uiPriority w:val="0"/>
    <w:pPr>
      <w:tabs>
        <w:tab w:val="left" w:pos="1080"/>
        <w:tab w:val="left" w:pos="1740"/>
        <w:tab w:val="left" w:pos="1860"/>
        <w:tab w:val="left" w:pos="2160"/>
        <w:tab w:val="left" w:pos="2580"/>
        <w:tab w:val="left" w:pos="2790"/>
        <w:tab w:val="left" w:pos="3000"/>
        <w:tab w:val="left" w:pos="3360"/>
        <w:tab w:val="left" w:pos="4290"/>
      </w:tabs>
      <w:ind w:left="3000"/>
      <w:outlineLvl w:val="5"/>
    </w:pPr>
  </w:style>
  <w:style w:type="paragraph" w:customStyle="1" w:styleId="1011">
    <w:name w:val="附录三级条标题"/>
    <w:basedOn w:val="1012"/>
    <w:next w:val="486"/>
    <w:qFormat/>
    <w:uiPriority w:val="0"/>
    <w:pPr>
      <w:tabs>
        <w:tab w:val="left" w:pos="1080"/>
        <w:tab w:val="left" w:pos="1740"/>
        <w:tab w:val="left" w:pos="1860"/>
        <w:tab w:val="left" w:pos="2160"/>
        <w:tab w:val="left" w:pos="2580"/>
        <w:tab w:val="left" w:pos="2790"/>
        <w:tab w:val="left" w:pos="3360"/>
      </w:tabs>
      <w:ind w:left="2580"/>
      <w:outlineLvl w:val="4"/>
    </w:pPr>
  </w:style>
  <w:style w:type="paragraph" w:customStyle="1" w:styleId="1012">
    <w:name w:val="附录二级条标题"/>
    <w:basedOn w:val="1013"/>
    <w:next w:val="486"/>
    <w:qFormat/>
    <w:uiPriority w:val="0"/>
    <w:pPr>
      <w:tabs>
        <w:tab w:val="left" w:pos="1080"/>
        <w:tab w:val="left" w:pos="1740"/>
        <w:tab w:val="left" w:pos="1860"/>
        <w:tab w:val="left" w:pos="2160"/>
        <w:tab w:val="left" w:pos="2790"/>
      </w:tabs>
      <w:ind w:left="2160"/>
      <w:outlineLvl w:val="3"/>
    </w:pPr>
  </w:style>
  <w:style w:type="paragraph" w:customStyle="1" w:styleId="1013">
    <w:name w:val="附录一级条标题"/>
    <w:basedOn w:val="1014"/>
    <w:next w:val="486"/>
    <w:qFormat/>
    <w:uiPriority w:val="0"/>
    <w:pPr>
      <w:tabs>
        <w:tab w:val="left" w:pos="1080"/>
        <w:tab w:val="left" w:pos="1740"/>
        <w:tab w:val="left" w:pos="1860"/>
      </w:tabs>
      <w:autoSpaceDN w:val="0"/>
      <w:spacing w:before="0" w:beforeLines="0" w:after="0" w:afterLines="0"/>
      <w:ind w:left="1740" w:hanging="420"/>
      <w:outlineLvl w:val="2"/>
    </w:pPr>
  </w:style>
  <w:style w:type="paragraph" w:customStyle="1" w:styleId="1014">
    <w:name w:val="附录章标题"/>
    <w:next w:val="486"/>
    <w:qFormat/>
    <w:uiPriority w:val="0"/>
    <w:pPr>
      <w:tabs>
        <w:tab w:val="left" w:pos="1080"/>
      </w:tabs>
      <w:wordWrap w:val="0"/>
      <w:overflowPunct w:val="0"/>
      <w:autoSpaceDE w:val="0"/>
      <w:spacing w:before="156" w:beforeLines="50" w:after="156" w:afterLines="50"/>
      <w:ind w:left="1080" w:hanging="360"/>
      <w:jc w:val="both"/>
      <w:textAlignment w:val="baseline"/>
      <w:outlineLvl w:val="1"/>
    </w:pPr>
    <w:rPr>
      <w:rFonts w:ascii="黑体" w:hAnsi="Calibri" w:eastAsia="黑体" w:cs="Times New Roman"/>
      <w:kern w:val="21"/>
      <w:sz w:val="21"/>
      <w:lang w:val="en-US" w:eastAsia="zh-CN" w:bidi="ar-SA"/>
    </w:rPr>
  </w:style>
  <w:style w:type="paragraph" w:customStyle="1" w:styleId="1015">
    <w:name w:val="样式 四号 首行缩进:  1.01 厘米 行距: 固定值 30 磅"/>
    <w:basedOn w:val="1"/>
    <w:qFormat/>
    <w:uiPriority w:val="0"/>
    <w:pPr>
      <w:spacing w:before="0" w:beforeLines="0" w:line="360" w:lineRule="auto"/>
      <w:ind w:firstLine="480" w:firstLineChars="200"/>
    </w:pPr>
    <w:rPr>
      <w:rFonts w:ascii="宋体" w:hAnsi="宋体"/>
      <w:sz w:val="24"/>
    </w:rPr>
  </w:style>
  <w:style w:type="paragraph" w:customStyle="1" w:styleId="1016">
    <w:name w:val="Char Char Char Char2"/>
    <w:basedOn w:val="1"/>
    <w:qFormat/>
    <w:uiPriority w:val="0"/>
    <w:pPr>
      <w:spacing w:before="0" w:beforeLines="0" w:line="240" w:lineRule="auto"/>
    </w:pPr>
  </w:style>
  <w:style w:type="paragraph" w:customStyle="1" w:styleId="1017">
    <w:name w:val="签名表"/>
    <w:basedOn w:val="1"/>
    <w:qFormat/>
    <w:uiPriority w:val="0"/>
    <w:pPr>
      <w:spacing w:before="0" w:beforeLines="0" w:line="240" w:lineRule="auto"/>
      <w:jc w:val="center"/>
    </w:pPr>
    <w:rPr>
      <w:rFonts w:ascii="楷体_GB2312" w:hAnsi="楷体_GB2312" w:eastAsia="楷体_GB2312" w:cs="宋体"/>
      <w:b/>
      <w:bCs/>
      <w:sz w:val="24"/>
      <w:szCs w:val="20"/>
    </w:rPr>
  </w:style>
  <w:style w:type="paragraph" w:customStyle="1" w:styleId="1018">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019">
    <w:name w:val="报告标题 3"/>
    <w:basedOn w:val="4"/>
    <w:qFormat/>
    <w:uiPriority w:val="0"/>
    <w:pPr>
      <w:keepNext w:val="0"/>
      <w:keepLines w:val="0"/>
      <w:spacing w:before="0" w:after="0" w:line="480" w:lineRule="exact"/>
      <w:outlineLvl w:val="2"/>
    </w:pPr>
    <w:rPr>
      <w:rFonts w:ascii="Times New Roman" w:hAnsi="Times New Roman" w:eastAsia="宋体"/>
      <w:b w:val="0"/>
      <w:bCs/>
      <w:color w:val="auto"/>
      <w:kern w:val="0"/>
      <w:sz w:val="28"/>
    </w:rPr>
  </w:style>
  <w:style w:type="paragraph" w:customStyle="1" w:styleId="1020">
    <w:name w:val="Char Char Char Char Char Char Char Char Char1 Char Char Char1 Char Char Char1"/>
    <w:basedOn w:val="1"/>
    <w:qFormat/>
    <w:uiPriority w:val="0"/>
    <w:pPr>
      <w:spacing w:before="0" w:beforeLines="0" w:line="360" w:lineRule="auto"/>
      <w:ind w:firstLine="200" w:firstLineChars="200"/>
    </w:pPr>
    <w:rPr>
      <w:rFonts w:ascii="宋体" w:hAnsi="宋体" w:cs="宋体"/>
      <w:sz w:val="24"/>
      <w:szCs w:val="22"/>
    </w:rPr>
  </w:style>
  <w:style w:type="paragraph" w:customStyle="1" w:styleId="1021">
    <w:name w:val="小五表格文字加粗"/>
    <w:basedOn w:val="1"/>
    <w:qFormat/>
    <w:uiPriority w:val="0"/>
    <w:pPr>
      <w:spacing w:before="0" w:beforeLines="0" w:line="240" w:lineRule="exact"/>
      <w:jc w:val="center"/>
    </w:pPr>
    <w:rPr>
      <w:rFonts w:cs="宋体"/>
      <w:b/>
      <w:bCs/>
      <w:sz w:val="18"/>
      <w:szCs w:val="20"/>
    </w:rPr>
  </w:style>
  <w:style w:type="paragraph" w:customStyle="1" w:styleId="1022">
    <w:name w:val="gwp-1"/>
    <w:basedOn w:val="1"/>
    <w:qFormat/>
    <w:uiPriority w:val="0"/>
    <w:pPr>
      <w:widowControl/>
      <w:adjustRightInd w:val="0"/>
      <w:snapToGrid w:val="0"/>
      <w:spacing w:before="240" w:beforeLines="0" w:line="307" w:lineRule="auto"/>
      <w:ind w:firstLine="567"/>
    </w:pPr>
    <w:rPr>
      <w:rFonts w:ascii="宋体" w:hAnsi="Calibri"/>
      <w:sz w:val="28"/>
      <w:szCs w:val="22"/>
    </w:rPr>
  </w:style>
  <w:style w:type="paragraph" w:customStyle="1" w:styleId="1023">
    <w:name w:val="z项目三级"/>
    <w:basedOn w:val="1"/>
    <w:qFormat/>
    <w:uiPriority w:val="0"/>
    <w:pPr>
      <w:tabs>
        <w:tab w:val="left" w:pos="720"/>
      </w:tabs>
      <w:snapToGrid w:val="0"/>
      <w:spacing w:before="0" w:beforeLines="0" w:line="312" w:lineRule="auto"/>
      <w:ind w:left="720" w:hanging="720"/>
      <w:jc w:val="left"/>
    </w:pPr>
    <w:rPr>
      <w:rFonts w:ascii="宋体"/>
      <w:b/>
      <w:bCs/>
      <w:spacing w:val="6"/>
      <w:sz w:val="28"/>
    </w:rPr>
  </w:style>
  <w:style w:type="paragraph" w:customStyle="1" w:styleId="1024">
    <w:name w:val="标题2zhsl"/>
    <w:basedOn w:val="1"/>
    <w:qFormat/>
    <w:uiPriority w:val="0"/>
    <w:pPr>
      <w:keepNext/>
      <w:keepLines/>
      <w:spacing w:before="312" w:beforeLines="100" w:after="156" w:afterLines="50" w:line="360" w:lineRule="auto"/>
      <w:outlineLvl w:val="1"/>
    </w:pPr>
    <w:rPr>
      <w:rFonts w:ascii="黑体" w:hAnsi="黑体" w:eastAsia="黑体" w:cs="宋体"/>
      <w:b/>
      <w:bCs/>
      <w:sz w:val="24"/>
      <w:szCs w:val="20"/>
    </w:rPr>
  </w:style>
  <w:style w:type="paragraph" w:customStyle="1" w:styleId="1025">
    <w:name w:val="Char Char Char Char Char Char3 Char"/>
    <w:basedOn w:val="1"/>
    <w:qFormat/>
    <w:uiPriority w:val="0"/>
    <w:pPr>
      <w:widowControl/>
      <w:spacing w:before="0" w:beforeLines="0" w:after="160" w:line="240" w:lineRule="exact"/>
      <w:jc w:val="left"/>
    </w:pPr>
    <w:rPr>
      <w:rFonts w:ascii="Verdana" w:hAnsi="Verdana" w:cs="Verdana"/>
      <w:kern w:val="0"/>
      <w:sz w:val="20"/>
      <w:szCs w:val="20"/>
      <w:lang w:eastAsia="en-US"/>
    </w:rPr>
  </w:style>
  <w:style w:type="paragraph" w:customStyle="1" w:styleId="1026">
    <w:name w:val="示例"/>
    <w:next w:val="486"/>
    <w:qFormat/>
    <w:uiPriority w:val="0"/>
    <w:pPr>
      <w:tabs>
        <w:tab w:val="left" w:pos="660"/>
        <w:tab w:val="left" w:pos="816"/>
      </w:tabs>
      <w:ind w:left="660" w:firstLine="419" w:firstLineChars="233"/>
      <w:jc w:val="both"/>
    </w:pPr>
    <w:rPr>
      <w:rFonts w:ascii="宋体" w:hAnsi="Calibri" w:eastAsia="宋体" w:cs="Times New Roman"/>
      <w:sz w:val="18"/>
      <w:lang w:val="en-US" w:eastAsia="zh-CN" w:bidi="ar-SA"/>
    </w:rPr>
  </w:style>
  <w:style w:type="paragraph" w:customStyle="1" w:styleId="1027">
    <w:name w:val="报告标题2"/>
    <w:basedOn w:val="4"/>
    <w:next w:val="222"/>
    <w:qFormat/>
    <w:uiPriority w:val="0"/>
    <w:pPr>
      <w:spacing w:before="0" w:after="0" w:line="480" w:lineRule="exact"/>
      <w:ind w:firstLine="556" w:firstLineChars="200"/>
    </w:pPr>
    <w:rPr>
      <w:rFonts w:ascii="Times New Roman" w:hAnsi="Times New Roman" w:eastAsia="宋体"/>
      <w:b w:val="0"/>
      <w:bCs/>
      <w:color w:val="auto"/>
      <w:kern w:val="2"/>
      <w:sz w:val="28"/>
    </w:rPr>
  </w:style>
  <w:style w:type="paragraph" w:customStyle="1" w:styleId="1028">
    <w:name w:val="正文S"/>
    <w:qFormat/>
    <w:uiPriority w:val="0"/>
    <w:pPr>
      <w:spacing w:before="156" w:beforeLines="50"/>
      <w:jc w:val="center"/>
    </w:pPr>
    <w:rPr>
      <w:rFonts w:ascii="宋体" w:hAnsi="宋体" w:eastAsia="黑体" w:cs="Times New Roman"/>
      <w:kern w:val="2"/>
      <w:sz w:val="24"/>
      <w:szCs w:val="24"/>
      <w:lang w:val="en-US" w:eastAsia="zh-CN" w:bidi="ar-SA"/>
    </w:rPr>
  </w:style>
  <w:style w:type="paragraph" w:customStyle="1" w:styleId="1029">
    <w:name w:val="Plain Text1"/>
    <w:basedOn w:val="1"/>
    <w:qFormat/>
    <w:uiPriority w:val="0"/>
    <w:pPr>
      <w:autoSpaceDE w:val="0"/>
      <w:autoSpaceDN w:val="0"/>
      <w:adjustRightInd w:val="0"/>
      <w:spacing w:before="0" w:beforeLines="0" w:line="240" w:lineRule="auto"/>
      <w:textAlignment w:val="baseline"/>
    </w:pPr>
    <w:rPr>
      <w:kern w:val="0"/>
      <w:szCs w:val="20"/>
    </w:rPr>
  </w:style>
  <w:style w:type="paragraph" w:customStyle="1" w:styleId="1030">
    <w:name w:val="样式 表格文字居中 + 段前: 自动 行距: 单倍行距"/>
    <w:basedOn w:val="961"/>
    <w:qFormat/>
    <w:uiPriority w:val="0"/>
    <w:pPr>
      <w:tabs>
        <w:tab w:val="left" w:pos="0"/>
        <w:tab w:val="left" w:pos="628"/>
        <w:tab w:val="left" w:pos="700"/>
        <w:tab w:val="left" w:pos="1400"/>
        <w:tab w:val="left" w:pos="1884"/>
      </w:tabs>
      <w:adjustRightInd w:val="0"/>
      <w:snapToGrid w:val="0"/>
    </w:pPr>
    <w:rPr>
      <w:rFonts w:ascii="宋体" w:hAnsi="宋体" w:eastAsia="等线" w:cs="Times New Roman"/>
      <w:sz w:val="24"/>
      <w:szCs w:val="24"/>
    </w:rPr>
  </w:style>
  <w:style w:type="paragraph" w:customStyle="1" w:styleId="1031">
    <w:name w:val="Char Char Char Char Char Char Char Char Char1 Char Char Char1 Char Char Char Char Char Char Char"/>
    <w:basedOn w:val="1"/>
    <w:qFormat/>
    <w:uiPriority w:val="0"/>
    <w:pPr>
      <w:spacing w:before="0" w:beforeLines="0" w:line="360" w:lineRule="auto"/>
      <w:ind w:firstLine="200" w:firstLineChars="200"/>
    </w:pPr>
    <w:rPr>
      <w:rFonts w:ascii="宋体" w:hAnsi="宋体" w:cs="宋体"/>
      <w:sz w:val="24"/>
    </w:rPr>
  </w:style>
  <w:style w:type="paragraph" w:customStyle="1" w:styleId="1032">
    <w:name w:val="正文表标题"/>
    <w:next w:val="486"/>
    <w:qFormat/>
    <w:uiPriority w:val="0"/>
    <w:pPr>
      <w:tabs>
        <w:tab w:val="left" w:pos="855"/>
      </w:tabs>
      <w:ind w:left="855" w:hanging="855"/>
      <w:jc w:val="center"/>
    </w:pPr>
    <w:rPr>
      <w:rFonts w:ascii="黑体" w:hAnsi="Times New Roman" w:eastAsia="黑体" w:cs="Times New Roman"/>
      <w:sz w:val="21"/>
      <w:lang w:val="en-US" w:eastAsia="zh-CN" w:bidi="ar-SA"/>
    </w:rPr>
  </w:style>
  <w:style w:type="paragraph" w:customStyle="1" w:styleId="1033">
    <w:name w:val="Char Char Char Char Char Char Char Char Char1 Char Char Char Char Char Char Char Char Char Char Char Char Char"/>
    <w:basedOn w:val="1"/>
    <w:qFormat/>
    <w:uiPriority w:val="0"/>
    <w:pPr>
      <w:spacing w:before="0" w:beforeLines="0" w:line="240" w:lineRule="auto"/>
    </w:pPr>
    <w:rPr>
      <w:rFonts w:ascii="宋体" w:hAnsi="宋体"/>
      <w:b/>
      <w:sz w:val="24"/>
    </w:rPr>
  </w:style>
  <w:style w:type="paragraph" w:customStyle="1" w:styleId="1034">
    <w:name w:val="三级条标题"/>
    <w:basedOn w:val="1035"/>
    <w:next w:val="486"/>
    <w:qFormat/>
    <w:uiPriority w:val="0"/>
    <w:pPr>
      <w:outlineLvl w:val="4"/>
    </w:pPr>
  </w:style>
  <w:style w:type="paragraph" w:customStyle="1" w:styleId="1035">
    <w:name w:val="二级条标题"/>
    <w:basedOn w:val="588"/>
    <w:next w:val="486"/>
    <w:qFormat/>
    <w:uiPriority w:val="0"/>
    <w:pPr>
      <w:tabs>
        <w:tab w:val="clear" w:pos="360"/>
      </w:tabs>
      <w:outlineLvl w:val="3"/>
    </w:pPr>
  </w:style>
  <w:style w:type="paragraph" w:customStyle="1" w:styleId="1036">
    <w:name w:val="样式 标题 1 + 黑体 四号"/>
    <w:basedOn w:val="3"/>
    <w:qFormat/>
    <w:uiPriority w:val="0"/>
    <w:pPr>
      <w:tabs>
        <w:tab w:val="clear" w:pos="360"/>
      </w:tabs>
      <w:spacing w:before="312" w:beforeLines="100" w:after="312" w:afterLines="100" w:line="360" w:lineRule="auto"/>
    </w:pPr>
    <w:rPr>
      <w:rFonts w:ascii="黑体" w:hAnsi="黑体" w:eastAsia="黑体"/>
      <w:color w:val="auto"/>
      <w:kern w:val="44"/>
      <w:sz w:val="28"/>
      <w:szCs w:val="28"/>
    </w:rPr>
  </w:style>
  <w:style w:type="paragraph" w:customStyle="1" w:styleId="1037">
    <w:name w:val="注："/>
    <w:next w:val="486"/>
    <w:qFormat/>
    <w:uiPriority w:val="0"/>
    <w:pPr>
      <w:widowControl w:val="0"/>
      <w:tabs>
        <w:tab w:val="left" w:pos="720"/>
      </w:tabs>
      <w:autoSpaceDE w:val="0"/>
      <w:autoSpaceDN w:val="0"/>
      <w:ind w:left="720" w:hanging="720"/>
      <w:jc w:val="both"/>
    </w:pPr>
    <w:rPr>
      <w:rFonts w:ascii="宋体" w:hAnsi="Times New Roman" w:eastAsia="宋体" w:cs="Times New Roman"/>
      <w:sz w:val="18"/>
      <w:lang w:val="en-US" w:eastAsia="zh-CN" w:bidi="ar-SA"/>
    </w:rPr>
  </w:style>
  <w:style w:type="paragraph" w:customStyle="1" w:styleId="1038">
    <w:name w:val="Char Char Char Char Char Char"/>
    <w:basedOn w:val="1"/>
    <w:qFormat/>
    <w:uiPriority w:val="0"/>
    <w:pPr>
      <w:adjustRightInd w:val="0"/>
      <w:spacing w:before="0" w:beforeLines="0" w:line="360" w:lineRule="auto"/>
    </w:pPr>
    <w:rPr>
      <w:kern w:val="0"/>
      <w:sz w:val="24"/>
      <w:szCs w:val="20"/>
    </w:rPr>
  </w:style>
  <w:style w:type="paragraph" w:customStyle="1" w:styleId="1039">
    <w:name w:val="表格字样"/>
    <w:basedOn w:val="1"/>
    <w:qFormat/>
    <w:uiPriority w:val="0"/>
    <w:pPr>
      <w:snapToGrid w:val="0"/>
      <w:spacing w:before="0" w:beforeLines="0" w:line="240" w:lineRule="auto"/>
    </w:pPr>
    <w:rPr>
      <w:szCs w:val="21"/>
    </w:rPr>
  </w:style>
  <w:style w:type="paragraph" w:customStyle="1" w:styleId="1040">
    <w:name w:val="表格文字小五 红色"/>
    <w:basedOn w:val="1"/>
    <w:qFormat/>
    <w:uiPriority w:val="0"/>
    <w:pPr>
      <w:spacing w:before="0" w:beforeLines="0" w:line="240" w:lineRule="auto"/>
      <w:jc w:val="center"/>
    </w:pPr>
    <w:rPr>
      <w:color w:val="FF0000"/>
      <w:sz w:val="18"/>
      <w:szCs w:val="21"/>
    </w:rPr>
  </w:style>
  <w:style w:type="paragraph" w:customStyle="1" w:styleId="1041">
    <w:name w:val="p15"/>
    <w:basedOn w:val="1"/>
    <w:qFormat/>
    <w:uiPriority w:val="0"/>
    <w:pPr>
      <w:widowControl/>
      <w:spacing w:before="0" w:beforeLines="0" w:line="360" w:lineRule="auto"/>
    </w:pPr>
    <w:rPr>
      <w:b/>
      <w:bCs/>
      <w:kern w:val="0"/>
      <w:sz w:val="24"/>
    </w:rPr>
  </w:style>
  <w:style w:type="paragraph" w:customStyle="1" w:styleId="1042">
    <w:name w:val="Char Char Char1 Char Char Char Char Char Char Char Char Char Char"/>
    <w:basedOn w:val="3"/>
    <w:qFormat/>
    <w:uiPriority w:val="0"/>
    <w:pPr>
      <w:tabs>
        <w:tab w:val="clear" w:pos="360"/>
      </w:tabs>
    </w:pPr>
    <w:rPr>
      <w:color w:val="auto"/>
      <w:kern w:val="44"/>
      <w:sz w:val="32"/>
      <w:szCs w:val="32"/>
    </w:rPr>
  </w:style>
  <w:style w:type="paragraph" w:customStyle="1" w:styleId="1043">
    <w:name w:val="前言、引言标题"/>
    <w:next w:val="1"/>
    <w:qFormat/>
    <w:uiPriority w:val="0"/>
    <w:pPr>
      <w:shd w:val="clear" w:color="FFFFFF" w:fill="FFFFFF"/>
      <w:tabs>
        <w:tab w:val="left" w:pos="902"/>
      </w:tabs>
      <w:spacing w:before="640" w:after="560"/>
      <w:ind w:left="902" w:hanging="420"/>
      <w:jc w:val="center"/>
      <w:outlineLvl w:val="0"/>
    </w:pPr>
    <w:rPr>
      <w:rFonts w:ascii="黑体" w:hAnsi="Times New Roman" w:eastAsia="黑体" w:cs="Times New Roman"/>
      <w:sz w:val="32"/>
      <w:lang w:val="en-US" w:eastAsia="zh-CN" w:bidi="ar-SA"/>
    </w:rPr>
  </w:style>
  <w:style w:type="paragraph" w:customStyle="1" w:styleId="1044">
    <w:name w:val="样式 (符号) 宋体 四号 左侧:  0.25 厘米 首行缩进:  0.99 厘米 行距: 1.5 倍行距"/>
    <w:basedOn w:val="1"/>
    <w:qFormat/>
    <w:uiPriority w:val="0"/>
    <w:pPr>
      <w:spacing w:before="0" w:beforeLines="0" w:line="360" w:lineRule="auto"/>
      <w:ind w:left="142" w:firstLine="480" w:firstLineChars="200"/>
    </w:pPr>
    <w:rPr>
      <w:rFonts w:ascii="宋体" w:hAnsi="宋体" w:cs="宋体"/>
      <w:sz w:val="24"/>
    </w:rPr>
  </w:style>
  <w:style w:type="paragraph" w:customStyle="1" w:styleId="1045">
    <w:name w:val="评价正文！！！"/>
    <w:basedOn w:val="1"/>
    <w:next w:val="33"/>
    <w:qFormat/>
    <w:uiPriority w:val="0"/>
    <w:pPr>
      <w:spacing w:before="0" w:beforeLines="0" w:line="360" w:lineRule="auto"/>
      <w:ind w:firstLine="200" w:firstLineChars="200"/>
    </w:pPr>
    <w:rPr>
      <w:rFonts w:ascii="宋体"/>
      <w:sz w:val="24"/>
      <w:szCs w:val="20"/>
    </w:rPr>
  </w:style>
  <w:style w:type="paragraph" w:customStyle="1" w:styleId="1046">
    <w:name w:val="基准页眉样式"/>
    <w:basedOn w:val="33"/>
    <w:qFormat/>
    <w:uiPriority w:val="0"/>
    <w:pPr>
      <w:autoSpaceDE/>
      <w:autoSpaceDN/>
      <w:spacing w:line="0" w:lineRule="atLeast"/>
      <w:jc w:val="both"/>
    </w:pPr>
    <w:rPr>
      <w:rFonts w:hAnsi="Times New Roman" w:eastAsia="仿宋_GB2312" w:cs="Times New Roman"/>
      <w:spacing w:val="-10"/>
      <w:kern w:val="2"/>
      <w:sz w:val="21"/>
      <w:szCs w:val="21"/>
      <w:lang w:val="en-US" w:bidi="ar-SA"/>
    </w:rPr>
  </w:style>
  <w:style w:type="paragraph" w:customStyle="1" w:styleId="1047">
    <w:name w:val="五级条标题"/>
    <w:basedOn w:val="1048"/>
    <w:next w:val="486"/>
    <w:qFormat/>
    <w:uiPriority w:val="0"/>
    <w:pPr>
      <w:numPr>
        <w:ilvl w:val="0"/>
        <w:numId w:val="9"/>
      </w:numPr>
      <w:tabs>
        <w:tab w:val="left" w:pos="360"/>
      </w:tabs>
      <w:ind w:left="0" w:firstLine="0"/>
      <w:outlineLvl w:val="6"/>
    </w:pPr>
  </w:style>
  <w:style w:type="paragraph" w:customStyle="1" w:styleId="1048">
    <w:name w:val="四级条标题"/>
    <w:basedOn w:val="1034"/>
    <w:next w:val="486"/>
    <w:qFormat/>
    <w:uiPriority w:val="0"/>
    <w:pPr>
      <w:outlineLvl w:val="5"/>
    </w:pPr>
  </w:style>
  <w:style w:type="paragraph" w:customStyle="1" w:styleId="1049">
    <w:name w:val="标题二"/>
    <w:basedOn w:val="4"/>
    <w:qFormat/>
    <w:uiPriority w:val="0"/>
    <w:pPr>
      <w:spacing w:before="0" w:after="0" w:line="360" w:lineRule="auto"/>
    </w:pPr>
    <w:rPr>
      <w:rFonts w:ascii="宋体" w:hAnsi="宋体"/>
      <w:b w:val="0"/>
      <w:bCs/>
      <w:color w:val="auto"/>
      <w:kern w:val="2"/>
      <w:sz w:val="30"/>
      <w:szCs w:val="32"/>
    </w:rPr>
  </w:style>
  <w:style w:type="paragraph" w:customStyle="1" w:styleId="1050">
    <w:name w:val="正文内容"/>
    <w:basedOn w:val="1"/>
    <w:qFormat/>
    <w:uiPriority w:val="0"/>
    <w:pPr>
      <w:spacing w:before="0" w:beforeLines="0" w:line="500" w:lineRule="exact"/>
      <w:ind w:firstLine="200" w:firstLineChars="200"/>
    </w:pPr>
    <w:rPr>
      <w:rFonts w:ascii="宋体" w:hAnsi="宋体"/>
      <w:sz w:val="28"/>
      <w:szCs w:val="28"/>
    </w:rPr>
  </w:style>
  <w:style w:type="paragraph" w:customStyle="1" w:styleId="1051">
    <w:name w:val="样式 标题 3头小标题 + (西文) 黑体 小四 段前: 12 磅 段后: 6 磅 行距: 多倍行距 1.73 字行"/>
    <w:basedOn w:val="5"/>
    <w:qFormat/>
    <w:uiPriority w:val="0"/>
    <w:pPr>
      <w:keepNext/>
      <w:spacing w:before="240" w:after="120" w:line="413" w:lineRule="auto"/>
    </w:pPr>
    <w:rPr>
      <w:rFonts w:ascii="黑体" w:hAnsi="黑体"/>
      <w:bCs w:val="0"/>
      <w:color w:val="auto"/>
      <w:kern w:val="2"/>
    </w:rPr>
  </w:style>
  <w:style w:type="paragraph" w:customStyle="1" w:styleId="1052">
    <w:name w:val="正文缩进 加粗倾斜"/>
    <w:basedOn w:val="859"/>
    <w:qFormat/>
    <w:uiPriority w:val="0"/>
    <w:pPr>
      <w:ind w:firstLine="482"/>
    </w:pPr>
    <w:rPr>
      <w:rFonts w:eastAsia="等线"/>
      <w:b/>
      <w:bCs/>
      <w:i/>
      <w:iCs/>
    </w:rPr>
  </w:style>
  <w:style w:type="paragraph" w:customStyle="1" w:styleId="1053">
    <w:name w:val="表格单位"/>
    <w:basedOn w:val="1"/>
    <w:next w:val="222"/>
    <w:qFormat/>
    <w:uiPriority w:val="0"/>
    <w:pPr>
      <w:wordWrap w:val="0"/>
      <w:spacing w:before="0" w:beforeLines="0" w:line="240" w:lineRule="exact"/>
      <w:ind w:right="96" w:rightChars="46"/>
      <w:jc w:val="right"/>
    </w:pPr>
    <w:rPr>
      <w:sz w:val="18"/>
      <w:szCs w:val="18"/>
    </w:rPr>
  </w:style>
  <w:style w:type="paragraph" w:customStyle="1" w:styleId="1054">
    <w:name w:val="font16style"/>
    <w:basedOn w:val="1"/>
    <w:qFormat/>
    <w:uiPriority w:val="0"/>
    <w:pPr>
      <w:widowControl/>
      <w:spacing w:before="100" w:beforeLines="0" w:beforeAutospacing="1" w:after="100" w:afterAutospacing="1" w:line="240" w:lineRule="auto"/>
      <w:jc w:val="left"/>
    </w:pPr>
    <w:rPr>
      <w:rFonts w:ascii="宋体" w:hAnsi="宋体" w:cs="宋体"/>
      <w:kern w:val="0"/>
      <w:sz w:val="24"/>
    </w:rPr>
  </w:style>
  <w:style w:type="paragraph" w:customStyle="1" w:styleId="1055">
    <w:name w:val="样式7"/>
    <w:basedOn w:val="168"/>
    <w:link w:val="1294"/>
    <w:qFormat/>
    <w:uiPriority w:val="0"/>
    <w:pPr>
      <w:tabs>
        <w:tab w:val="left" w:pos="7433"/>
      </w:tabs>
      <w:spacing w:before="60" w:after="60" w:line="240" w:lineRule="auto"/>
      <w:ind w:firstLine="0" w:firstLineChars="0"/>
    </w:pPr>
    <w:rPr>
      <w:rFonts w:ascii="宋体" w:hAnsi="Calibri"/>
      <w:bCs/>
    </w:rPr>
  </w:style>
  <w:style w:type="paragraph" w:customStyle="1" w:styleId="1056">
    <w:name w:val="Char Char Char Char1"/>
    <w:basedOn w:val="1"/>
    <w:qFormat/>
    <w:uiPriority w:val="0"/>
    <w:pPr>
      <w:spacing w:before="0" w:beforeLines="0" w:line="240" w:lineRule="auto"/>
    </w:pPr>
  </w:style>
  <w:style w:type="paragraph" w:customStyle="1" w:styleId="1057">
    <w:name w:val="样式 样式 样式 首行缩进:  2.35 字符 + 首行缩进:  2 字符 + 首行缩进:  2 字符"/>
    <w:basedOn w:val="1"/>
    <w:qFormat/>
    <w:uiPriority w:val="0"/>
    <w:pPr>
      <w:spacing w:before="0" w:beforeLines="0" w:line="460" w:lineRule="exact"/>
      <w:ind w:firstLine="200" w:firstLineChars="200"/>
    </w:pPr>
    <w:rPr>
      <w:rFonts w:cs="宋体"/>
      <w:spacing w:val="8"/>
      <w:sz w:val="24"/>
    </w:rPr>
  </w:style>
  <w:style w:type="paragraph" w:customStyle="1" w:styleId="1058">
    <w:name w:val="样式 表格文字"/>
    <w:basedOn w:val="1"/>
    <w:qFormat/>
    <w:uiPriority w:val="0"/>
    <w:pPr>
      <w:spacing w:before="0" w:beforeLines="0" w:line="240" w:lineRule="auto"/>
      <w:jc w:val="center"/>
    </w:pPr>
    <w:rPr>
      <w:rFonts w:cs="宋体"/>
      <w:color w:val="000000"/>
      <w:kern w:val="0"/>
      <w:szCs w:val="20"/>
    </w:rPr>
  </w:style>
  <w:style w:type="paragraph" w:customStyle="1" w:styleId="1059">
    <w:name w:val="报告标题1"/>
    <w:basedOn w:val="3"/>
    <w:next w:val="222"/>
    <w:qFormat/>
    <w:uiPriority w:val="0"/>
    <w:pPr>
      <w:keepNext w:val="0"/>
      <w:keepLines w:val="0"/>
      <w:tabs>
        <w:tab w:val="clear" w:pos="360"/>
      </w:tabs>
      <w:spacing w:before="0" w:after="0" w:line="480" w:lineRule="exact"/>
    </w:pPr>
    <w:rPr>
      <w:rFonts w:ascii="黑体" w:eastAsia="黑体"/>
      <w:b w:val="0"/>
      <w:bCs w:val="0"/>
      <w:kern w:val="44"/>
      <w:sz w:val="28"/>
      <w:szCs w:val="28"/>
    </w:rPr>
  </w:style>
  <w:style w:type="paragraph" w:customStyle="1" w:styleId="1060">
    <w:name w:val="表格文字居左"/>
    <w:basedOn w:val="961"/>
    <w:qFormat/>
    <w:uiPriority w:val="0"/>
    <w:pPr>
      <w:jc w:val="both"/>
    </w:pPr>
    <w:rPr>
      <w:rFonts w:ascii="等线" w:hAnsi="等线" w:eastAsia="等线"/>
      <w:szCs w:val="20"/>
    </w:rPr>
  </w:style>
  <w:style w:type="paragraph" w:customStyle="1" w:styleId="1061">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062">
    <w:name w:val="注释小五加粗"/>
    <w:basedOn w:val="1"/>
    <w:qFormat/>
    <w:uiPriority w:val="0"/>
    <w:pPr>
      <w:spacing w:before="0" w:beforeLines="0" w:line="300" w:lineRule="auto"/>
      <w:ind w:left="361" w:hanging="361" w:hangingChars="200"/>
    </w:pPr>
    <w:rPr>
      <w:rFonts w:ascii="宋体" w:hAnsi="宋体" w:cs="宋体"/>
      <w:b/>
      <w:bCs/>
      <w:sz w:val="18"/>
      <w:szCs w:val="20"/>
    </w:rPr>
  </w:style>
  <w:style w:type="paragraph" w:customStyle="1" w:styleId="1063">
    <w:name w:val="Char Char Char1 Char Char Char Char Char Char Char Char Char Char Char Char Char"/>
    <w:basedOn w:val="1"/>
    <w:qFormat/>
    <w:uiPriority w:val="0"/>
    <w:pPr>
      <w:spacing w:before="0" w:beforeLines="0" w:line="360" w:lineRule="auto"/>
      <w:ind w:firstLine="200" w:firstLineChars="200"/>
    </w:pPr>
    <w:rPr>
      <w:rFonts w:ascii="Arial" w:hAnsi="Arial" w:cs="宋体"/>
      <w:sz w:val="24"/>
    </w:rPr>
  </w:style>
  <w:style w:type="paragraph" w:customStyle="1" w:styleId="1064">
    <w:name w:val="注释小五"/>
    <w:basedOn w:val="1"/>
    <w:qFormat/>
    <w:uiPriority w:val="0"/>
    <w:pPr>
      <w:spacing w:before="0" w:beforeLines="0" w:line="300" w:lineRule="auto"/>
      <w:ind w:left="360" w:hanging="360" w:hangingChars="200"/>
    </w:pPr>
    <w:rPr>
      <w:rFonts w:ascii="宋体" w:hAnsi="宋体" w:cs="宋体"/>
      <w:sz w:val="18"/>
      <w:szCs w:val="20"/>
    </w:rPr>
  </w:style>
  <w:style w:type="character" w:customStyle="1" w:styleId="1065">
    <w:name w:val="引用 字符"/>
    <w:basedOn w:val="117"/>
    <w:qFormat/>
    <w:uiPriority w:val="29"/>
    <w:rPr>
      <w:rFonts w:ascii="Times New Roman" w:hAnsi="Times New Roman" w:eastAsia="宋体" w:cs="Times New Roman"/>
      <w:i/>
      <w:iCs/>
      <w:color w:val="404040"/>
      <w:sz w:val="24"/>
      <w:szCs w:val="20"/>
    </w:rPr>
  </w:style>
  <w:style w:type="character" w:customStyle="1" w:styleId="1066">
    <w:name w:val="引用 Char2"/>
    <w:qFormat/>
    <w:uiPriority w:val="29"/>
    <w:rPr>
      <w:i/>
      <w:iCs/>
      <w:color w:val="000000"/>
      <w:kern w:val="2"/>
      <w:sz w:val="24"/>
    </w:rPr>
  </w:style>
  <w:style w:type="paragraph" w:customStyle="1" w:styleId="1067">
    <w:name w:val="正文（悬挂缩进）"/>
    <w:basedOn w:val="859"/>
    <w:qFormat/>
    <w:uiPriority w:val="0"/>
    <w:pPr>
      <w:ind w:left="1440" w:leftChars="400" w:hanging="480" w:hangingChars="200"/>
    </w:pPr>
    <w:rPr>
      <w:rFonts w:eastAsia="等线"/>
    </w:rPr>
  </w:style>
  <w:style w:type="paragraph" w:customStyle="1" w:styleId="1068">
    <w:name w:val="节1"/>
    <w:basedOn w:val="1"/>
    <w:qFormat/>
    <w:uiPriority w:val="0"/>
    <w:pPr>
      <w:adjustRightInd w:val="0"/>
      <w:snapToGrid w:val="0"/>
      <w:spacing w:before="120" w:beforeLines="0" w:after="120" w:line="312" w:lineRule="auto"/>
      <w:ind w:firstLine="567"/>
    </w:pPr>
    <w:rPr>
      <w:rFonts w:ascii="宋体" w:hAnsi="宋体"/>
      <w:b/>
      <w:bCs/>
      <w:spacing w:val="6"/>
      <w:sz w:val="32"/>
      <w:szCs w:val="20"/>
    </w:rPr>
  </w:style>
  <w:style w:type="paragraph" w:customStyle="1" w:styleId="1069">
    <w:name w:val="正文小四右对齐"/>
    <w:basedOn w:val="1"/>
    <w:qFormat/>
    <w:uiPriority w:val="0"/>
    <w:pPr>
      <w:spacing w:before="0" w:beforeLines="0" w:line="360" w:lineRule="auto"/>
      <w:jc w:val="right"/>
    </w:pPr>
    <w:rPr>
      <w:rFonts w:ascii="宋体" w:hAnsi="宋体" w:cs="宋体"/>
      <w:sz w:val="24"/>
      <w:szCs w:val="20"/>
    </w:rPr>
  </w:style>
  <w:style w:type="paragraph" w:customStyle="1" w:styleId="1070">
    <w:name w:val="宋体 小五居中"/>
    <w:basedOn w:val="1"/>
    <w:qFormat/>
    <w:uiPriority w:val="0"/>
    <w:pPr>
      <w:spacing w:before="0" w:beforeLines="0" w:line="240" w:lineRule="auto"/>
      <w:jc w:val="center"/>
    </w:pPr>
    <w:rPr>
      <w:rFonts w:ascii="宋体" w:hAnsi="宋体" w:cs="宋体"/>
      <w:color w:val="000000"/>
      <w:kern w:val="0"/>
      <w:sz w:val="18"/>
      <w:szCs w:val="20"/>
    </w:rPr>
  </w:style>
  <w:style w:type="paragraph" w:customStyle="1" w:styleId="1071">
    <w:name w:val="首行缩进"/>
    <w:basedOn w:val="1"/>
    <w:qFormat/>
    <w:uiPriority w:val="0"/>
    <w:pPr>
      <w:spacing w:before="0" w:beforeLines="0" w:line="360" w:lineRule="auto"/>
      <w:ind w:firstLine="200" w:firstLineChars="200"/>
    </w:pPr>
    <w:rPr>
      <w:rFonts w:ascii="Calibri" w:hAnsi="Calibri"/>
      <w:sz w:val="24"/>
      <w:szCs w:val="21"/>
    </w:rPr>
  </w:style>
  <w:style w:type="paragraph" w:customStyle="1" w:styleId="1072">
    <w:name w:val="正文图标题"/>
    <w:next w:val="486"/>
    <w:qFormat/>
    <w:uiPriority w:val="0"/>
    <w:pPr>
      <w:jc w:val="center"/>
    </w:pPr>
    <w:rPr>
      <w:rFonts w:ascii="黑体" w:hAnsi="Calibri" w:eastAsia="黑体" w:cs="Times New Roman"/>
      <w:sz w:val="21"/>
      <w:lang w:val="en-US" w:eastAsia="zh-CN" w:bidi="ar-SA"/>
    </w:rPr>
  </w:style>
  <w:style w:type="paragraph" w:customStyle="1" w:styleId="1073">
    <w:name w:val="附录标识"/>
    <w:basedOn w:val="1043"/>
    <w:qFormat/>
    <w:uiPriority w:val="0"/>
    <w:pPr>
      <w:tabs>
        <w:tab w:val="left" w:pos="345"/>
        <w:tab w:val="left" w:pos="6405"/>
        <w:tab w:val="clear" w:pos="902"/>
      </w:tabs>
      <w:spacing w:after="200"/>
      <w:ind w:left="345" w:hanging="240"/>
    </w:pPr>
    <w:rPr>
      <w:rFonts w:hAnsi="Calibri"/>
      <w:sz w:val="21"/>
    </w:rPr>
  </w:style>
  <w:style w:type="paragraph" w:customStyle="1" w:styleId="1074">
    <w:name w:val="注×："/>
    <w:qFormat/>
    <w:uiPriority w:val="0"/>
    <w:pPr>
      <w:widowControl w:val="0"/>
      <w:numPr>
        <w:ilvl w:val="0"/>
        <w:numId w:val="10"/>
      </w:numPr>
      <w:tabs>
        <w:tab w:val="left" w:pos="630"/>
        <w:tab w:val="left" w:pos="795"/>
        <w:tab w:val="clear" w:pos="1140"/>
      </w:tabs>
      <w:autoSpaceDE w:val="0"/>
      <w:autoSpaceDN w:val="0"/>
      <w:ind w:left="795" w:hanging="360"/>
      <w:jc w:val="both"/>
    </w:pPr>
    <w:rPr>
      <w:rFonts w:ascii="宋体" w:hAnsi="Calibri" w:eastAsia="宋体" w:cs="Times New Roman"/>
      <w:sz w:val="18"/>
      <w:lang w:val="en-US" w:eastAsia="zh-CN" w:bidi="ar-SA"/>
    </w:rPr>
  </w:style>
  <w:style w:type="paragraph" w:customStyle="1" w:styleId="1075">
    <w:name w:val="Char Char Char1 Char Char Char Char1"/>
    <w:basedOn w:val="1"/>
    <w:qFormat/>
    <w:uiPriority w:val="0"/>
    <w:pPr>
      <w:spacing w:before="0" w:beforeLines="0" w:line="360" w:lineRule="auto"/>
      <w:ind w:firstLine="200" w:firstLineChars="200"/>
    </w:pPr>
    <w:rPr>
      <w:rFonts w:ascii="宋体" w:hAnsi="宋体" w:cs="宋体"/>
      <w:sz w:val="24"/>
    </w:rPr>
  </w:style>
  <w:style w:type="paragraph" w:customStyle="1" w:styleId="1076">
    <w:name w:val="标题 1 + (西文) 黑体 (中文) 黑体 三号 居中"/>
    <w:basedOn w:val="3"/>
    <w:next w:val="1"/>
    <w:qFormat/>
    <w:uiPriority w:val="0"/>
    <w:pPr>
      <w:tabs>
        <w:tab w:val="left" w:pos="450"/>
        <w:tab w:val="clear" w:pos="360"/>
      </w:tabs>
      <w:spacing w:before="120" w:after="120" w:line="360" w:lineRule="auto"/>
    </w:pPr>
    <w:rPr>
      <w:rFonts w:ascii="黑体" w:eastAsia="黑体"/>
      <w:b w:val="0"/>
      <w:color w:val="auto"/>
      <w:kern w:val="44"/>
      <w:sz w:val="32"/>
    </w:rPr>
  </w:style>
  <w:style w:type="paragraph" w:customStyle="1" w:styleId="1077">
    <w:name w:val="样式13"/>
    <w:basedOn w:val="1"/>
    <w:qFormat/>
    <w:uiPriority w:val="0"/>
    <w:pPr>
      <w:spacing w:before="0" w:beforeLines="0" w:line="240" w:lineRule="auto"/>
      <w:jc w:val="center"/>
    </w:pPr>
    <w:rPr>
      <w:szCs w:val="21"/>
    </w:rPr>
  </w:style>
  <w:style w:type="paragraph" w:customStyle="1" w:styleId="1078">
    <w:name w:val="正文文档加粗"/>
    <w:basedOn w:val="365"/>
    <w:qFormat/>
    <w:uiPriority w:val="0"/>
    <w:pPr>
      <w:ind w:firstLine="482"/>
    </w:pPr>
    <w:rPr>
      <w:rFonts w:ascii="Calibri" w:hAnsi="Calibri"/>
      <w:b/>
      <w:bCs/>
    </w:rPr>
  </w:style>
  <w:style w:type="paragraph" w:customStyle="1" w:styleId="1079">
    <w:name w:val="样式 标题 2SeHead wsa2 Char Char Char + 黑体 小四"/>
    <w:basedOn w:val="4"/>
    <w:qFormat/>
    <w:uiPriority w:val="0"/>
    <w:pPr>
      <w:spacing w:before="0" w:after="312" w:afterLines="100" w:line="360" w:lineRule="auto"/>
    </w:pPr>
    <w:rPr>
      <w:rFonts w:ascii="黑体" w:hAnsi="黑体"/>
      <w:bCs/>
      <w:color w:val="auto"/>
      <w:kern w:val="2"/>
      <w:sz w:val="24"/>
      <w:szCs w:val="24"/>
    </w:rPr>
  </w:style>
  <w:style w:type="paragraph" w:customStyle="1" w:styleId="1080">
    <w:name w:val="样式 表格文字 + 小五 行距: 固定值 12 磅"/>
    <w:basedOn w:val="171"/>
    <w:qFormat/>
    <w:uiPriority w:val="0"/>
    <w:pPr>
      <w:adjustRightInd/>
      <w:snapToGrid/>
      <w:spacing w:line="240" w:lineRule="exact"/>
    </w:pPr>
    <w:rPr>
      <w:rFonts w:cs="宋体"/>
      <w:color w:val="auto"/>
      <w:kern w:val="0"/>
      <w:sz w:val="18"/>
      <w:szCs w:val="18"/>
    </w:rPr>
  </w:style>
  <w:style w:type="paragraph" w:customStyle="1" w:styleId="1081">
    <w:name w:val="样式 样式 标题 1 + 黑体 四号 + 段前: 1 行 段后: 1 行"/>
    <w:basedOn w:val="1"/>
    <w:qFormat/>
    <w:uiPriority w:val="0"/>
    <w:pPr>
      <w:keepNext/>
      <w:keepLines/>
      <w:spacing w:before="312" w:beforeLines="100" w:after="312" w:afterLines="100" w:line="360" w:lineRule="auto"/>
      <w:outlineLvl w:val="0"/>
    </w:pPr>
    <w:rPr>
      <w:rFonts w:ascii="黑体" w:hAnsi="黑体" w:eastAsia="黑体" w:cs="宋体"/>
      <w:b/>
      <w:bCs/>
      <w:kern w:val="44"/>
      <w:sz w:val="28"/>
      <w:szCs w:val="20"/>
    </w:rPr>
  </w:style>
  <w:style w:type="paragraph" w:customStyle="1" w:styleId="1082">
    <w:name w:val="Char31"/>
    <w:basedOn w:val="1"/>
    <w:qFormat/>
    <w:uiPriority w:val="0"/>
    <w:pPr>
      <w:tabs>
        <w:tab w:val="left" w:pos="794"/>
        <w:tab w:val="left" w:pos="1191"/>
        <w:tab w:val="left" w:pos="1588"/>
        <w:tab w:val="left" w:pos="1985"/>
      </w:tabs>
      <w:autoSpaceDE w:val="0"/>
      <w:autoSpaceDN w:val="0"/>
      <w:adjustRightInd w:val="0"/>
      <w:spacing w:before="136" w:beforeLines="0" w:line="240" w:lineRule="auto"/>
    </w:pPr>
    <w:rPr>
      <w:rFonts w:ascii="Tahoma" w:hAnsi="Tahoma"/>
      <w:kern w:val="0"/>
      <w:sz w:val="24"/>
      <w:szCs w:val="20"/>
      <w:lang w:val="en-GB"/>
    </w:rPr>
  </w:style>
  <w:style w:type="paragraph" w:customStyle="1" w:styleId="1083">
    <w:name w:val="样式 表格编号 + 首行缩进:  2 字符 段前: 0.25 行 段后: 1 行1"/>
    <w:basedOn w:val="1"/>
    <w:qFormat/>
    <w:uiPriority w:val="0"/>
    <w:pPr>
      <w:spacing w:before="78" w:after="78" w:afterLines="25" w:line="240" w:lineRule="auto"/>
      <w:ind w:firstLine="200" w:firstLineChars="200"/>
    </w:pPr>
    <w:rPr>
      <w:rFonts w:cs="宋体"/>
      <w:szCs w:val="20"/>
    </w:rPr>
  </w:style>
  <w:style w:type="paragraph" w:customStyle="1" w:styleId="1084">
    <w:name w:val="样式节1"/>
    <w:basedOn w:val="1"/>
    <w:qFormat/>
    <w:uiPriority w:val="0"/>
    <w:pPr>
      <w:adjustRightInd w:val="0"/>
      <w:snapToGrid w:val="0"/>
      <w:spacing w:before="120" w:beforeLines="0" w:after="120" w:line="312" w:lineRule="auto"/>
      <w:ind w:firstLine="567"/>
    </w:pPr>
    <w:rPr>
      <w:rFonts w:ascii="宋体" w:hAnsi="Calibri"/>
      <w:b/>
      <w:spacing w:val="6"/>
      <w:sz w:val="32"/>
      <w:szCs w:val="32"/>
    </w:rPr>
  </w:style>
  <w:style w:type="paragraph" w:customStyle="1" w:styleId="1085">
    <w:name w:val="报告标题 4"/>
    <w:basedOn w:val="1086"/>
    <w:qFormat/>
    <w:uiPriority w:val="0"/>
    <w:rPr>
      <w:rFonts w:cs="Times New Roman"/>
      <w:szCs w:val="32"/>
    </w:rPr>
  </w:style>
  <w:style w:type="paragraph" w:customStyle="1" w:styleId="1086">
    <w:name w:val="报告标题3"/>
    <w:basedOn w:val="5"/>
    <w:next w:val="222"/>
    <w:qFormat/>
    <w:uiPriority w:val="0"/>
    <w:pPr>
      <w:keepLines w:val="0"/>
      <w:spacing w:before="0" w:after="0" w:line="480" w:lineRule="exact"/>
    </w:pPr>
    <w:rPr>
      <w:rFonts w:cs="宋体"/>
      <w:b w:val="0"/>
      <w:bCs w:val="0"/>
      <w:color w:val="auto"/>
      <w:kern w:val="2"/>
    </w:rPr>
  </w:style>
  <w:style w:type="paragraph" w:customStyle="1" w:styleId="1087">
    <w:name w:val="苍南图"/>
    <w:basedOn w:val="1"/>
    <w:qFormat/>
    <w:uiPriority w:val="0"/>
    <w:pPr>
      <w:spacing w:before="0" w:beforeLines="0" w:line="240" w:lineRule="auto"/>
      <w:jc w:val="center"/>
    </w:pPr>
    <w:rPr>
      <w:b/>
      <w:bCs/>
      <w:sz w:val="24"/>
      <w:szCs w:val="28"/>
    </w:rPr>
  </w:style>
  <w:style w:type="paragraph" w:customStyle="1" w:styleId="1088">
    <w:name w:val="签名页2"/>
    <w:basedOn w:val="1"/>
    <w:qFormat/>
    <w:uiPriority w:val="0"/>
    <w:pPr>
      <w:spacing w:before="0" w:beforeLines="0" w:line="240" w:lineRule="auto"/>
      <w:jc w:val="center"/>
    </w:pPr>
    <w:rPr>
      <w:rFonts w:ascii="黑体" w:eastAsia="黑体" w:cs="宋体"/>
      <w:sz w:val="28"/>
      <w:szCs w:val="20"/>
    </w:rPr>
  </w:style>
  <w:style w:type="paragraph" w:customStyle="1" w:styleId="1089">
    <w:name w:val="样式 段落 + 首行缩进:  2 字符"/>
    <w:basedOn w:val="1"/>
    <w:qFormat/>
    <w:uiPriority w:val="0"/>
    <w:pPr>
      <w:keepNext/>
      <w:keepLines/>
      <w:spacing w:before="600" w:beforeLines="0" w:after="260" w:line="240" w:lineRule="auto"/>
      <w:ind w:firstLine="200" w:firstLineChars="200"/>
      <w:outlineLvl w:val="2"/>
    </w:pPr>
    <w:rPr>
      <w:rFonts w:ascii="黑体" w:eastAsia="黑体" w:cs="宋体"/>
      <w:spacing w:val="6"/>
      <w:sz w:val="28"/>
      <w:szCs w:val="20"/>
    </w:rPr>
  </w:style>
  <w:style w:type="paragraph" w:customStyle="1" w:styleId="1090">
    <w:name w:val="表格文字居右"/>
    <w:basedOn w:val="961"/>
    <w:qFormat/>
    <w:uiPriority w:val="0"/>
    <w:pPr>
      <w:jc w:val="right"/>
    </w:pPr>
    <w:rPr>
      <w:rFonts w:ascii="等线" w:hAnsi="等线" w:eastAsia="等线"/>
      <w:szCs w:val="20"/>
    </w:rPr>
  </w:style>
  <w:style w:type="paragraph" w:customStyle="1" w:styleId="1091">
    <w:name w:val="样式表头1"/>
    <w:basedOn w:val="1"/>
    <w:qFormat/>
    <w:uiPriority w:val="0"/>
    <w:pPr>
      <w:adjustRightInd w:val="0"/>
      <w:snapToGrid w:val="0"/>
      <w:spacing w:before="0" w:beforeLines="0" w:after="156" w:afterLines="50" w:line="312" w:lineRule="auto"/>
      <w:ind w:firstLine="14"/>
      <w:jc w:val="center"/>
    </w:pPr>
    <w:rPr>
      <w:rFonts w:ascii="黑体" w:hAnsi="Calibri" w:eastAsia="黑体"/>
      <w:b/>
      <w:spacing w:val="6"/>
      <w:sz w:val="32"/>
      <w:szCs w:val="22"/>
    </w:rPr>
  </w:style>
  <w:style w:type="paragraph" w:customStyle="1" w:styleId="1092">
    <w:name w:val="附表标题"/>
    <w:basedOn w:val="1"/>
    <w:next w:val="68"/>
    <w:qFormat/>
    <w:uiPriority w:val="0"/>
    <w:pPr>
      <w:keepNext/>
      <w:tabs>
        <w:tab w:val="left" w:pos="480"/>
      </w:tabs>
      <w:adjustRightInd w:val="0"/>
      <w:spacing w:before="312" w:beforeLines="100" w:line="360" w:lineRule="auto"/>
      <w:jc w:val="center"/>
      <w:textAlignment w:val="baseline"/>
    </w:pPr>
    <w:rPr>
      <w:b/>
      <w:kern w:val="0"/>
      <w:sz w:val="24"/>
      <w:szCs w:val="20"/>
    </w:rPr>
  </w:style>
  <w:style w:type="paragraph" w:customStyle="1" w:styleId="1093">
    <w:name w:val="表格编号"/>
    <w:basedOn w:val="1"/>
    <w:next w:val="68"/>
    <w:qFormat/>
    <w:uiPriority w:val="0"/>
    <w:pPr>
      <w:spacing w:before="0" w:beforeLines="0" w:line="240" w:lineRule="auto"/>
    </w:pPr>
    <w:rPr>
      <w:rFonts w:cs="宋体"/>
      <w:szCs w:val="20"/>
    </w:rPr>
  </w:style>
  <w:style w:type="paragraph" w:customStyle="1" w:styleId="1094">
    <w:name w:val="样式 表头 + 小四"/>
    <w:basedOn w:val="75"/>
    <w:qFormat/>
    <w:uiPriority w:val="0"/>
    <w:pPr>
      <w:autoSpaceDE/>
      <w:autoSpaceDN/>
      <w:spacing w:before="0" w:beforeLines="0" w:line="240" w:lineRule="auto"/>
      <w:ind w:left="420" w:leftChars="0" w:firstLine="0" w:firstLineChars="0"/>
      <w:jc w:val="center"/>
    </w:pPr>
    <w:rPr>
      <w:rFonts w:ascii="Times New Roman" w:hAnsi="Times New Roman"/>
      <w:b/>
      <w:bCs/>
      <w:sz w:val="24"/>
    </w:rPr>
  </w:style>
  <w:style w:type="paragraph" w:customStyle="1" w:styleId="1095">
    <w:name w:val="0"/>
    <w:basedOn w:val="1"/>
    <w:qFormat/>
    <w:uiPriority w:val="0"/>
    <w:pPr>
      <w:widowControl/>
      <w:snapToGrid w:val="0"/>
      <w:spacing w:before="0" w:beforeLines="0" w:line="240" w:lineRule="auto"/>
    </w:pPr>
    <w:rPr>
      <w:kern w:val="0"/>
      <w:szCs w:val="20"/>
    </w:rPr>
  </w:style>
  <w:style w:type="paragraph" w:customStyle="1" w:styleId="1096">
    <w:name w:val="编制单位"/>
    <w:basedOn w:val="365"/>
    <w:qFormat/>
    <w:uiPriority w:val="0"/>
    <w:pPr>
      <w:spacing w:line="240" w:lineRule="auto"/>
      <w:ind w:firstLine="0" w:firstLineChars="0"/>
      <w:jc w:val="center"/>
    </w:pPr>
    <w:rPr>
      <w:rFonts w:ascii="华文仿宋" w:hAnsi="华文仿宋" w:eastAsia="华文仿宋"/>
      <w:b/>
      <w:bCs/>
      <w:sz w:val="32"/>
    </w:rPr>
  </w:style>
  <w:style w:type="paragraph" w:customStyle="1" w:styleId="1097">
    <w:name w:val="1 Char"/>
    <w:basedOn w:val="1"/>
    <w:qFormat/>
    <w:uiPriority w:val="0"/>
    <w:pPr>
      <w:spacing w:before="0" w:beforeLines="0" w:line="360" w:lineRule="auto"/>
      <w:ind w:firstLine="200" w:firstLineChars="200"/>
    </w:pPr>
    <w:rPr>
      <w:rFonts w:ascii="宋体" w:hAnsi="宋体" w:cs="宋体"/>
      <w:sz w:val="24"/>
    </w:rPr>
  </w:style>
  <w:style w:type="paragraph" w:customStyle="1" w:styleId="1098">
    <w:name w:val="四级无标题条"/>
    <w:basedOn w:val="1"/>
    <w:qFormat/>
    <w:uiPriority w:val="0"/>
    <w:pPr>
      <w:tabs>
        <w:tab w:val="left" w:pos="2520"/>
      </w:tabs>
      <w:spacing w:before="0" w:beforeLines="0" w:line="360" w:lineRule="auto"/>
      <w:ind w:left="2520" w:hanging="420"/>
    </w:pPr>
    <w:rPr>
      <w:rFonts w:ascii="宋体" w:hAnsi="Calibri"/>
      <w:sz w:val="24"/>
      <w:szCs w:val="22"/>
    </w:rPr>
  </w:style>
  <w:style w:type="paragraph" w:customStyle="1" w:styleId="1099">
    <w:name w:val="表格文字小五"/>
    <w:basedOn w:val="1"/>
    <w:qFormat/>
    <w:uiPriority w:val="0"/>
    <w:pPr>
      <w:spacing w:before="0" w:beforeLines="0" w:line="240" w:lineRule="auto"/>
      <w:jc w:val="center"/>
    </w:pPr>
    <w:rPr>
      <w:sz w:val="18"/>
      <w:szCs w:val="21"/>
    </w:rPr>
  </w:style>
  <w:style w:type="paragraph" w:customStyle="1" w:styleId="1100">
    <w:name w:val="样式 报告正文 + 首行缩进:  2 字符"/>
    <w:basedOn w:val="1"/>
    <w:link w:val="1125"/>
    <w:qFormat/>
    <w:uiPriority w:val="0"/>
    <w:pPr>
      <w:autoSpaceDE w:val="0"/>
      <w:autoSpaceDN w:val="0"/>
      <w:spacing w:before="0" w:beforeLines="0" w:line="360" w:lineRule="auto"/>
      <w:ind w:firstLine="200" w:firstLineChars="200"/>
    </w:pPr>
    <w:rPr>
      <w:rFonts w:cs="宋体"/>
      <w:sz w:val="24"/>
      <w:szCs w:val="20"/>
    </w:rPr>
  </w:style>
  <w:style w:type="paragraph" w:customStyle="1" w:styleId="1101">
    <w:name w:val="样式 四号 首行缩进:  1.01 厘米"/>
    <w:basedOn w:val="1"/>
    <w:qFormat/>
    <w:uiPriority w:val="0"/>
    <w:pPr>
      <w:spacing w:before="0" w:beforeLines="0" w:line="360" w:lineRule="auto"/>
      <w:ind w:firstLine="480" w:firstLineChars="200"/>
    </w:pPr>
    <w:rPr>
      <w:sz w:val="24"/>
    </w:rPr>
  </w:style>
  <w:style w:type="paragraph" w:customStyle="1" w:styleId="1102">
    <w:name w:val="字元 字元 字元"/>
    <w:basedOn w:val="1"/>
    <w:qFormat/>
    <w:uiPriority w:val="0"/>
    <w:pPr>
      <w:spacing w:before="0" w:beforeLines="0" w:line="360" w:lineRule="auto"/>
      <w:ind w:firstLine="200" w:firstLineChars="200"/>
    </w:pPr>
    <w:rPr>
      <w:rFonts w:ascii="宋体" w:hAnsi="宋体" w:cs="宋体"/>
      <w:sz w:val="24"/>
    </w:rPr>
  </w:style>
  <w:style w:type="paragraph" w:customStyle="1" w:styleId="1103">
    <w:name w:val="样式 四号 左侧:  0.25 厘米 首行缩进:  0.99 厘米 行距: 1.5 倍行距"/>
    <w:basedOn w:val="1"/>
    <w:qFormat/>
    <w:uiPriority w:val="0"/>
    <w:pPr>
      <w:spacing w:before="0" w:beforeLines="0" w:line="360" w:lineRule="auto"/>
      <w:ind w:left="142" w:firstLine="480" w:firstLineChars="200"/>
    </w:pPr>
    <w:rPr>
      <w:rFonts w:cs="宋体"/>
      <w:sz w:val="24"/>
    </w:rPr>
  </w:style>
  <w:style w:type="paragraph" w:customStyle="1" w:styleId="1104">
    <w:name w:val="标题2-2"/>
    <w:basedOn w:val="1"/>
    <w:qFormat/>
    <w:uiPriority w:val="0"/>
    <w:pPr>
      <w:autoSpaceDE w:val="0"/>
      <w:autoSpaceDN w:val="0"/>
      <w:adjustRightInd w:val="0"/>
      <w:snapToGrid w:val="0"/>
      <w:spacing w:before="120" w:beforeLines="0" w:after="20" w:line="300" w:lineRule="auto"/>
      <w:outlineLvl w:val="1"/>
    </w:pPr>
    <w:rPr>
      <w:rFonts w:ascii="宋体" w:hAnsi="Calibri" w:eastAsia="华文新魏"/>
      <w:b/>
      <w:bCs/>
      <w:snapToGrid w:val="0"/>
      <w:kern w:val="0"/>
      <w:sz w:val="32"/>
      <w:szCs w:val="32"/>
      <w:lang w:val="zh-CN"/>
    </w:rPr>
  </w:style>
  <w:style w:type="paragraph" w:customStyle="1" w:styleId="1105">
    <w:name w:val="Char Char Char1 Char Char Char Char"/>
    <w:basedOn w:val="1"/>
    <w:qFormat/>
    <w:uiPriority w:val="0"/>
    <w:pPr>
      <w:spacing w:before="0" w:beforeLines="0" w:line="360" w:lineRule="auto"/>
      <w:ind w:firstLine="200" w:firstLineChars="200"/>
    </w:pPr>
    <w:rPr>
      <w:rFonts w:ascii="宋体" w:hAnsi="宋体" w:cs="宋体"/>
      <w:sz w:val="24"/>
    </w:rPr>
  </w:style>
  <w:style w:type="paragraph" w:customStyle="1" w:styleId="1106">
    <w:name w:val="目 录"/>
    <w:basedOn w:val="1"/>
    <w:qFormat/>
    <w:uiPriority w:val="0"/>
    <w:pPr>
      <w:spacing w:before="0" w:beforeLines="0" w:line="240" w:lineRule="auto"/>
      <w:jc w:val="center"/>
    </w:pPr>
    <w:rPr>
      <w:rFonts w:cs="宋体"/>
      <w:b/>
      <w:bCs/>
      <w:sz w:val="28"/>
      <w:szCs w:val="20"/>
    </w:rPr>
  </w:style>
  <w:style w:type="paragraph" w:customStyle="1" w:styleId="1107">
    <w:name w:val="样式表头"/>
    <w:basedOn w:val="1"/>
    <w:qFormat/>
    <w:uiPriority w:val="0"/>
    <w:pPr>
      <w:adjustRightInd w:val="0"/>
      <w:snapToGrid w:val="0"/>
      <w:spacing w:before="0" w:beforeLines="0" w:line="312" w:lineRule="auto"/>
      <w:jc w:val="center"/>
    </w:pPr>
    <w:rPr>
      <w:rFonts w:ascii="黑体" w:hAnsi="Calibri" w:eastAsia="黑体"/>
      <w:b/>
      <w:spacing w:val="6"/>
      <w:sz w:val="32"/>
      <w:szCs w:val="22"/>
    </w:rPr>
  </w:style>
  <w:style w:type="paragraph" w:customStyle="1" w:styleId="1108">
    <w:name w:val="参考文献、索引标题"/>
    <w:basedOn w:val="1043"/>
    <w:next w:val="1"/>
    <w:qFormat/>
    <w:uiPriority w:val="0"/>
    <w:pPr>
      <w:tabs>
        <w:tab w:val="clear" w:pos="902"/>
      </w:tabs>
      <w:spacing w:after="200"/>
      <w:ind w:left="0" w:firstLine="0"/>
    </w:pPr>
    <w:rPr>
      <w:rFonts w:hAnsi="Calibri"/>
      <w:sz w:val="21"/>
    </w:rPr>
  </w:style>
  <w:style w:type="paragraph" w:customStyle="1" w:styleId="1109">
    <w:name w:val="报告标题 2"/>
    <w:basedOn w:val="4"/>
    <w:qFormat/>
    <w:uiPriority w:val="0"/>
    <w:pPr>
      <w:keepNext w:val="0"/>
      <w:keepLines w:val="0"/>
      <w:spacing w:before="0" w:after="0" w:line="480" w:lineRule="exact"/>
    </w:pPr>
    <w:rPr>
      <w:rFonts w:ascii="Times New Roman" w:hAnsi="Times New Roman" w:eastAsia="宋体" w:cs="宋体"/>
      <w:b w:val="0"/>
      <w:bCs/>
      <w:color w:val="auto"/>
      <w:kern w:val="0"/>
      <w:sz w:val="28"/>
    </w:rPr>
  </w:style>
  <w:style w:type="paragraph" w:customStyle="1" w:styleId="1110">
    <w:name w:val="正文加粗+倾斜"/>
    <w:basedOn w:val="365"/>
    <w:qFormat/>
    <w:uiPriority w:val="0"/>
    <w:pPr>
      <w:ind w:firstLine="482"/>
    </w:pPr>
    <w:rPr>
      <w:rFonts w:ascii="Calibri" w:hAnsi="Calibri"/>
      <w:b/>
      <w:bCs/>
      <w:i/>
      <w:iCs/>
    </w:rPr>
  </w:style>
  <w:style w:type="paragraph" w:customStyle="1" w:styleId="1111">
    <w:name w:val="王秀中"/>
    <w:basedOn w:val="1"/>
    <w:qFormat/>
    <w:uiPriority w:val="0"/>
    <w:pPr>
      <w:autoSpaceDE w:val="0"/>
      <w:autoSpaceDN w:val="0"/>
      <w:adjustRightInd w:val="0"/>
      <w:snapToGrid w:val="0"/>
      <w:spacing w:before="0" w:beforeLines="0" w:line="312" w:lineRule="auto"/>
      <w:ind w:firstLine="567"/>
    </w:pPr>
    <w:rPr>
      <w:rFonts w:ascii="宋体" w:hAnsi="Calibri"/>
      <w:kern w:val="0"/>
      <w:sz w:val="28"/>
      <w:szCs w:val="20"/>
    </w:rPr>
  </w:style>
  <w:style w:type="paragraph" w:customStyle="1" w:styleId="1112">
    <w:name w:val="表格新"/>
    <w:basedOn w:val="1"/>
    <w:qFormat/>
    <w:uiPriority w:val="0"/>
    <w:pPr>
      <w:adjustRightInd w:val="0"/>
      <w:snapToGrid w:val="0"/>
      <w:spacing w:before="60" w:beforeLines="0" w:after="60" w:line="360" w:lineRule="auto"/>
      <w:jc w:val="center"/>
      <w:textAlignment w:val="baseline"/>
    </w:pPr>
    <w:rPr>
      <w:rFonts w:ascii="宋体" w:hAnsi="宋体"/>
      <w:kern w:val="0"/>
      <w:sz w:val="24"/>
      <w:szCs w:val="20"/>
    </w:rPr>
  </w:style>
  <w:style w:type="paragraph" w:customStyle="1" w:styleId="1113">
    <w:name w:val="微调"/>
    <w:basedOn w:val="1"/>
    <w:next w:val="222"/>
    <w:qFormat/>
    <w:uiPriority w:val="0"/>
    <w:pPr>
      <w:spacing w:before="0" w:beforeLines="0" w:line="240" w:lineRule="exact"/>
    </w:pPr>
    <w:rPr>
      <w:sz w:val="18"/>
      <w:szCs w:val="18"/>
    </w:rPr>
  </w:style>
  <w:style w:type="paragraph" w:customStyle="1" w:styleId="1114">
    <w:name w:val="二级无标题条"/>
    <w:basedOn w:val="1"/>
    <w:qFormat/>
    <w:uiPriority w:val="0"/>
    <w:pPr>
      <w:spacing w:before="0" w:beforeLines="0" w:line="360" w:lineRule="auto"/>
    </w:pPr>
    <w:rPr>
      <w:rFonts w:ascii="宋体" w:hAnsi="Calibri"/>
      <w:sz w:val="24"/>
      <w:szCs w:val="22"/>
    </w:rPr>
  </w:style>
  <w:style w:type="paragraph" w:customStyle="1" w:styleId="1115">
    <w:name w:val="样式表1"/>
    <w:basedOn w:val="1"/>
    <w:qFormat/>
    <w:uiPriority w:val="0"/>
    <w:pPr>
      <w:adjustRightInd w:val="0"/>
      <w:snapToGrid w:val="0"/>
      <w:spacing w:before="60" w:beforeLines="0" w:after="60" w:line="360" w:lineRule="auto"/>
      <w:jc w:val="center"/>
    </w:pPr>
    <w:rPr>
      <w:rFonts w:ascii="宋体" w:hAnsi="宋体"/>
      <w:spacing w:val="6"/>
      <w:sz w:val="24"/>
      <w:szCs w:val="22"/>
    </w:rPr>
  </w:style>
  <w:style w:type="paragraph" w:customStyle="1" w:styleId="1116">
    <w:name w:val="五级无标题条"/>
    <w:basedOn w:val="1"/>
    <w:qFormat/>
    <w:uiPriority w:val="0"/>
    <w:pPr>
      <w:tabs>
        <w:tab w:val="left" w:pos="2940"/>
      </w:tabs>
      <w:spacing w:before="0" w:beforeLines="0" w:line="360" w:lineRule="auto"/>
      <w:ind w:left="2940" w:hanging="420"/>
    </w:pPr>
    <w:rPr>
      <w:rFonts w:ascii="宋体" w:hAnsi="Calibri"/>
      <w:sz w:val="24"/>
      <w:szCs w:val="22"/>
    </w:rPr>
  </w:style>
  <w:style w:type="paragraph" w:customStyle="1" w:styleId="1117">
    <w:name w:val="Char32"/>
    <w:basedOn w:val="1"/>
    <w:qFormat/>
    <w:uiPriority w:val="0"/>
    <w:pPr>
      <w:tabs>
        <w:tab w:val="left" w:pos="794"/>
        <w:tab w:val="left" w:pos="1191"/>
        <w:tab w:val="left" w:pos="1588"/>
        <w:tab w:val="left" w:pos="1985"/>
      </w:tabs>
      <w:autoSpaceDE w:val="0"/>
      <w:autoSpaceDN w:val="0"/>
      <w:adjustRightInd w:val="0"/>
      <w:spacing w:before="136" w:beforeLines="0" w:line="240" w:lineRule="auto"/>
    </w:pPr>
    <w:rPr>
      <w:rFonts w:ascii="Tahoma" w:hAnsi="Tahoma"/>
      <w:kern w:val="0"/>
      <w:sz w:val="24"/>
      <w:szCs w:val="20"/>
      <w:lang w:val="en-GB"/>
    </w:rPr>
  </w:style>
  <w:style w:type="paragraph" w:customStyle="1" w:styleId="1118">
    <w:name w:val="Char Char Char Char Char Char Char Char Char1 Char Char Char1 Char Char Char Char Char Char Char1"/>
    <w:basedOn w:val="1"/>
    <w:qFormat/>
    <w:uiPriority w:val="0"/>
    <w:pPr>
      <w:spacing w:before="0" w:beforeLines="0" w:line="360" w:lineRule="auto"/>
      <w:ind w:firstLine="200" w:firstLineChars="200"/>
    </w:pPr>
    <w:rPr>
      <w:rFonts w:ascii="宋体" w:hAnsi="宋体" w:cs="宋体"/>
      <w:sz w:val="24"/>
    </w:rPr>
  </w:style>
  <w:style w:type="paragraph" w:customStyle="1" w:styleId="1119">
    <w:name w:val="苍南标1"/>
    <w:basedOn w:val="1"/>
    <w:qFormat/>
    <w:uiPriority w:val="0"/>
    <w:pPr>
      <w:numPr>
        <w:ilvl w:val="0"/>
        <w:numId w:val="8"/>
      </w:numPr>
      <w:spacing w:before="0" w:beforeLines="0" w:line="360" w:lineRule="auto"/>
      <w:outlineLvl w:val="0"/>
    </w:pPr>
    <w:rPr>
      <w:b/>
      <w:sz w:val="32"/>
    </w:rPr>
  </w:style>
  <w:style w:type="character" w:customStyle="1" w:styleId="1120">
    <w:name w:val="标题2 Char"/>
    <w:qFormat/>
    <w:uiPriority w:val="0"/>
    <w:rPr>
      <w:rFonts w:ascii="Times New Roman" w:hAnsi="Times New Roman" w:eastAsia="黑体" w:cs="Times New Roman"/>
      <w:kern w:val="0"/>
      <w:sz w:val="28"/>
      <w:szCs w:val="20"/>
    </w:rPr>
  </w:style>
  <w:style w:type="character" w:customStyle="1" w:styleId="1121">
    <w:name w:val="图居中 Char"/>
    <w:qFormat/>
    <w:uiPriority w:val="0"/>
    <w:rPr>
      <w:rFonts w:ascii="Times New Roman" w:hAnsi="Times New Roman" w:eastAsia="宋体" w:cs="宋体"/>
      <w:sz w:val="24"/>
      <w:szCs w:val="20"/>
    </w:rPr>
  </w:style>
  <w:style w:type="character" w:customStyle="1" w:styleId="1122">
    <w:name w:val="表名 Char"/>
    <w:qFormat/>
    <w:uiPriority w:val="0"/>
    <w:rPr>
      <w:rFonts w:ascii="Times New Roman" w:hAnsi="Times New Roman" w:eastAsia="黑体" w:cs="宋体"/>
      <w:b/>
      <w:bCs/>
      <w:sz w:val="24"/>
      <w:szCs w:val="20"/>
    </w:rPr>
  </w:style>
  <w:style w:type="character" w:customStyle="1" w:styleId="1123">
    <w:name w:val="图 名 Char"/>
    <w:qFormat/>
    <w:uiPriority w:val="0"/>
    <w:rPr>
      <w:rFonts w:ascii="Times New Roman" w:hAnsi="Times New Roman" w:eastAsia="黑体" w:cs="宋体"/>
      <w:b/>
      <w:bCs/>
      <w:sz w:val="24"/>
      <w:szCs w:val="24"/>
    </w:rPr>
  </w:style>
  <w:style w:type="character" w:customStyle="1" w:styleId="1124">
    <w:name w:val="1-正文 Char"/>
    <w:qFormat/>
    <w:uiPriority w:val="0"/>
    <w:rPr>
      <w:rFonts w:ascii="宋体" w:hAnsi="宋体" w:eastAsia="宋体" w:cs="Times New Roman"/>
      <w:sz w:val="24"/>
      <w:szCs w:val="24"/>
    </w:rPr>
  </w:style>
  <w:style w:type="character" w:customStyle="1" w:styleId="1125">
    <w:name w:val="样式 报告正文 + 首行缩进:  2 字符 Char"/>
    <w:link w:val="1100"/>
    <w:qFormat/>
    <w:uiPriority w:val="0"/>
    <w:rPr>
      <w:rFonts w:cs="宋体"/>
      <w:kern w:val="2"/>
      <w:sz w:val="24"/>
    </w:rPr>
  </w:style>
  <w:style w:type="character" w:customStyle="1" w:styleId="1126">
    <w:name w:val="标题 4 Char1"/>
    <w:qFormat/>
    <w:uiPriority w:val="0"/>
    <w:rPr>
      <w:rFonts w:ascii="Arial" w:hAnsi="Arial" w:eastAsia="黑体" w:cs="Times New Roman"/>
      <w:b/>
      <w:bCs/>
      <w:sz w:val="28"/>
      <w:szCs w:val="28"/>
    </w:rPr>
  </w:style>
  <w:style w:type="character" w:customStyle="1" w:styleId="1127">
    <w:name w:val="备注 Char"/>
    <w:qFormat/>
    <w:uiPriority w:val="0"/>
    <w:rPr>
      <w:rFonts w:ascii="Times New Roman" w:hAnsi="Times New Roman" w:eastAsia="宋体" w:cs="宋体"/>
      <w:sz w:val="18"/>
      <w:szCs w:val="20"/>
    </w:rPr>
  </w:style>
  <w:style w:type="character" w:customStyle="1" w:styleId="1128">
    <w:name w:val="表格文字加粗 Char"/>
    <w:qFormat/>
    <w:uiPriority w:val="0"/>
    <w:rPr>
      <w:rFonts w:ascii="Times New Roman" w:hAnsi="Times New Roman" w:eastAsia="宋体" w:cs="宋体"/>
      <w:b/>
      <w:bCs/>
      <w:szCs w:val="20"/>
    </w:rPr>
  </w:style>
  <w:style w:type="character" w:customStyle="1" w:styleId="1129">
    <w:name w:val="正文（小四缩进） Char"/>
    <w:qFormat/>
    <w:uiPriority w:val="0"/>
    <w:rPr>
      <w:rFonts w:ascii="Times New Roman" w:hAnsi="Times New Roman" w:eastAsia="宋体" w:cs="宋体"/>
      <w:sz w:val="24"/>
      <w:szCs w:val="20"/>
    </w:rPr>
  </w:style>
  <w:style w:type="character" w:customStyle="1" w:styleId="1130">
    <w:name w:val="表格文字居中 Char"/>
    <w:qFormat/>
    <w:uiPriority w:val="0"/>
    <w:rPr>
      <w:rFonts w:ascii="Times New Roman" w:hAnsi="Times New Roman" w:eastAsia="宋体" w:cs="宋体"/>
      <w:szCs w:val="21"/>
    </w:rPr>
  </w:style>
  <w:style w:type="character" w:customStyle="1" w:styleId="1131">
    <w:name w:val="图名 Char"/>
    <w:qFormat/>
    <w:uiPriority w:val="0"/>
    <w:rPr>
      <w:rFonts w:ascii="Times New Roman" w:hAnsi="Times New Roman" w:eastAsia="宋体" w:cs="宋体"/>
      <w:b/>
      <w:bCs/>
      <w:sz w:val="24"/>
      <w:szCs w:val="24"/>
    </w:rPr>
  </w:style>
  <w:style w:type="character" w:customStyle="1" w:styleId="1132">
    <w:name w:val="图表 Char"/>
    <w:qFormat/>
    <w:uiPriority w:val="0"/>
    <w:rPr>
      <w:rFonts w:ascii="黑体" w:hAnsi="Times New Roman" w:eastAsia="黑体" w:cs="Times New Roman"/>
      <w:sz w:val="24"/>
      <w:szCs w:val="24"/>
    </w:rPr>
  </w:style>
  <w:style w:type="character" w:customStyle="1" w:styleId="1133">
    <w:name w:val="四号 正文 Char"/>
    <w:qFormat/>
    <w:uiPriority w:val="0"/>
    <w:rPr>
      <w:rFonts w:ascii="宋体" w:hAnsi="Calibri" w:eastAsia="宋体" w:cs="宋体"/>
      <w:spacing w:val="6"/>
      <w:kern w:val="2"/>
      <w:sz w:val="28"/>
      <w:lang w:val="en-US" w:eastAsia="zh-CN" w:bidi="ar-SA"/>
    </w:rPr>
  </w:style>
  <w:style w:type="character" w:customStyle="1" w:styleId="1134">
    <w:name w:val="图表标题1 Char"/>
    <w:qFormat/>
    <w:uiPriority w:val="0"/>
    <w:rPr>
      <w:rFonts w:ascii="宋体" w:hAnsi="宋体" w:eastAsia="宋体"/>
      <w:b/>
      <w:spacing w:val="6"/>
      <w:sz w:val="24"/>
      <w:szCs w:val="24"/>
    </w:rPr>
  </w:style>
  <w:style w:type="character" w:customStyle="1" w:styleId="1135">
    <w:name w:val="图表名 Char"/>
    <w:qFormat/>
    <w:uiPriority w:val="0"/>
    <w:rPr>
      <w:rFonts w:ascii="宋体" w:hAnsi="Times New Roman" w:eastAsia="宋体" w:cs="宋体"/>
      <w:bCs/>
      <w:color w:val="000000"/>
      <w:kern w:val="0"/>
      <w:sz w:val="24"/>
      <w:szCs w:val="21"/>
    </w:rPr>
  </w:style>
  <w:style w:type="character" w:customStyle="1" w:styleId="1136">
    <w:name w:val="广鹿岛 Char"/>
    <w:qFormat/>
    <w:uiPriority w:val="0"/>
    <w:rPr>
      <w:rFonts w:ascii="Times New Roman" w:hAnsi="Times New Roman" w:eastAsia="宋体" w:cs="Times New Roman"/>
      <w:sz w:val="24"/>
      <w:szCs w:val="20"/>
    </w:rPr>
  </w:style>
  <w:style w:type="character" w:customStyle="1" w:styleId="1137">
    <w:name w:val="公式对齐 Char"/>
    <w:qFormat/>
    <w:uiPriority w:val="0"/>
    <w:rPr>
      <w:rFonts w:ascii="Times New Roman" w:hAnsi="Times New Roman" w:eastAsia="宋体" w:cs="Times New Roman"/>
      <w:sz w:val="24"/>
      <w:szCs w:val="20"/>
    </w:rPr>
  </w:style>
  <w:style w:type="character" w:customStyle="1" w:styleId="1138">
    <w:name w:val="正文文字( 首段缩进两字） Char1"/>
    <w:qFormat/>
    <w:uiPriority w:val="0"/>
    <w:rPr>
      <w:rFonts w:ascii="Times New Roman" w:hAnsi="Times New Roman"/>
      <w:kern w:val="2"/>
      <w:sz w:val="21"/>
      <w:szCs w:val="24"/>
    </w:rPr>
  </w:style>
  <w:style w:type="character" w:customStyle="1" w:styleId="1139">
    <w:name w:val="标题1 Char"/>
    <w:qFormat/>
    <w:uiPriority w:val="0"/>
    <w:rPr>
      <w:rFonts w:ascii="Times New Roman" w:hAnsi="Times New Roman" w:eastAsia="黑体" w:cs="宋体"/>
      <w:b/>
      <w:kern w:val="44"/>
      <w:sz w:val="32"/>
      <w:szCs w:val="32"/>
    </w:rPr>
  </w:style>
  <w:style w:type="character" w:customStyle="1" w:styleId="1140">
    <w:name w:val="标题 5 Char Char"/>
    <w:qFormat/>
    <w:uiPriority w:val="0"/>
    <w:rPr>
      <w:rFonts w:eastAsia="黑体"/>
      <w:b/>
      <w:bCs/>
      <w:kern w:val="44"/>
      <w:sz w:val="28"/>
      <w:szCs w:val="44"/>
      <w:lang w:val="en-US" w:eastAsia="zh-CN" w:bidi="ar-SA"/>
    </w:rPr>
  </w:style>
  <w:style w:type="character" w:customStyle="1" w:styleId="1141">
    <w:name w:val="签名页 Char"/>
    <w:qFormat/>
    <w:uiPriority w:val="0"/>
    <w:rPr>
      <w:rFonts w:ascii="楷体_GB2312" w:hAnsi="Times New Roman" w:eastAsia="楷体_GB2312" w:cs="宋体"/>
      <w:b/>
      <w:bCs/>
      <w:sz w:val="30"/>
      <w:szCs w:val="20"/>
    </w:rPr>
  </w:style>
  <w:style w:type="character" w:customStyle="1" w:styleId="1142">
    <w:name w:val="tj-正文 Char"/>
    <w:qFormat/>
    <w:uiPriority w:val="0"/>
    <w:rPr>
      <w:rFonts w:ascii="宋体" w:hAnsi="宋体" w:eastAsia="宋体" w:cs="Times New Roman"/>
      <w:sz w:val="24"/>
      <w:szCs w:val="24"/>
    </w:rPr>
  </w:style>
  <w:style w:type="character" w:customStyle="1" w:styleId="1143">
    <w:name w:val="段 Char"/>
    <w:qFormat/>
    <w:uiPriority w:val="0"/>
    <w:rPr>
      <w:rFonts w:ascii="宋体" w:hAnsi="Times New Roman" w:eastAsia="宋体" w:cs="Times New Roman"/>
      <w:kern w:val="0"/>
      <w:szCs w:val="20"/>
    </w:rPr>
  </w:style>
  <w:style w:type="character" w:customStyle="1" w:styleId="1144">
    <w:name w:val="样式 正文1 Char"/>
    <w:qFormat/>
    <w:uiPriority w:val="0"/>
    <w:rPr>
      <w:rFonts w:ascii="Times New Roman" w:hAnsi="Times New Roman" w:eastAsia="宋体" w:cs="宋体"/>
      <w:sz w:val="24"/>
      <w:szCs w:val="20"/>
    </w:rPr>
  </w:style>
  <w:style w:type="character" w:customStyle="1" w:styleId="1145">
    <w:name w:val="gyy 正文 Char"/>
    <w:qFormat/>
    <w:uiPriority w:val="0"/>
    <w:rPr>
      <w:rFonts w:ascii="Times New Roman" w:hAnsi="Times New Roman" w:eastAsia="宋体" w:cs="Times New Roman"/>
      <w:color w:val="000000"/>
      <w:sz w:val="28"/>
      <w:szCs w:val="28"/>
    </w:rPr>
  </w:style>
  <w:style w:type="character" w:customStyle="1" w:styleId="1146">
    <w:name w:val="文本正文 Char"/>
    <w:qFormat/>
    <w:uiPriority w:val="0"/>
    <w:rPr>
      <w:rFonts w:ascii="宋体" w:hAnsi="宋体" w:eastAsia="宋体" w:cs="Times New Roman"/>
      <w:kern w:val="0"/>
      <w:sz w:val="24"/>
      <w:szCs w:val="28"/>
    </w:rPr>
  </w:style>
  <w:style w:type="character" w:customStyle="1" w:styleId="1147">
    <w:name w:val="表格文字+左 Char"/>
    <w:qFormat/>
    <w:uiPriority w:val="0"/>
    <w:rPr>
      <w:rFonts w:ascii="Times New Roman" w:hAnsi="Times New Roman" w:eastAsia="宋体" w:cs="宋体"/>
      <w:spacing w:val="-4"/>
      <w:sz w:val="22"/>
    </w:rPr>
  </w:style>
  <w:style w:type="character" w:customStyle="1" w:styleId="1148">
    <w:name w:val="正文(缩进)+加粗 Char"/>
    <w:qFormat/>
    <w:uiPriority w:val="0"/>
    <w:rPr>
      <w:rFonts w:ascii="宋体" w:hAnsi="宋体" w:cs="宋体"/>
      <w:b/>
      <w:bCs/>
      <w:sz w:val="24"/>
    </w:rPr>
  </w:style>
  <w:style w:type="character" w:customStyle="1" w:styleId="1149">
    <w:name w:val="初设正文 Char"/>
    <w:qFormat/>
    <w:uiPriority w:val="0"/>
    <w:rPr>
      <w:rFonts w:ascii="Times New Roman" w:hAnsi="Times New Roman" w:eastAsia="宋体" w:cs="Times New Roman"/>
      <w:sz w:val="28"/>
      <w:szCs w:val="24"/>
    </w:rPr>
  </w:style>
  <w:style w:type="character" w:customStyle="1" w:styleId="1150">
    <w:name w:val="表格文字小 Char"/>
    <w:qFormat/>
    <w:uiPriority w:val="0"/>
    <w:rPr>
      <w:rFonts w:ascii="宋体" w:hAnsi="Times New Roman" w:eastAsia="宋体" w:cs="宋体"/>
      <w:sz w:val="18"/>
    </w:rPr>
  </w:style>
  <w:style w:type="character" w:customStyle="1" w:styleId="1151">
    <w:name w:val="正文(小四缩进)+紧缩2磅 Char"/>
    <w:qFormat/>
    <w:uiPriority w:val="0"/>
    <w:rPr>
      <w:rFonts w:ascii="宋体" w:hAnsi="宋体" w:eastAsia="宋体" w:cs="宋体"/>
      <w:spacing w:val="-40"/>
      <w:sz w:val="24"/>
      <w:szCs w:val="20"/>
    </w:rPr>
  </w:style>
  <w:style w:type="character" w:customStyle="1" w:styleId="1152">
    <w:name w:val="表名+段前0.5行 Char"/>
    <w:qFormat/>
    <w:uiPriority w:val="0"/>
    <w:rPr>
      <w:rFonts w:ascii="宋体" w:hAnsi="Times New Roman" w:eastAsia="宋体" w:cs="宋体"/>
      <w:b/>
      <w:bCs/>
      <w:sz w:val="24"/>
      <w:szCs w:val="20"/>
    </w:rPr>
  </w:style>
  <w:style w:type="character" w:customStyle="1" w:styleId="1153">
    <w:name w:val="正文 Char"/>
    <w:qFormat/>
    <w:uiPriority w:val="0"/>
    <w:rPr>
      <w:rFonts w:ascii="宋体" w:eastAsia="宋体" w:cs="宋体"/>
      <w:kern w:val="2"/>
      <w:sz w:val="24"/>
      <w:szCs w:val="24"/>
      <w:lang w:val="en-US" w:eastAsia="zh-CN" w:bidi="ar-SA"/>
    </w:rPr>
  </w:style>
  <w:style w:type="character" w:customStyle="1" w:styleId="1154">
    <w:name w:val="图名+段后0.5行 Char"/>
    <w:qFormat/>
    <w:uiPriority w:val="0"/>
    <w:rPr>
      <w:rFonts w:ascii="宋体" w:hAnsi="Times New Roman" w:eastAsia="宋体" w:cs="宋体"/>
      <w:b/>
      <w:bCs/>
      <w:sz w:val="24"/>
      <w:szCs w:val="24"/>
    </w:rPr>
  </w:style>
  <w:style w:type="character" w:customStyle="1" w:styleId="1155">
    <w:name w:val="样式标题3+13磅 Char"/>
    <w:qFormat/>
    <w:uiPriority w:val="0"/>
    <w:rPr>
      <w:rFonts w:ascii="宋体" w:hAnsi="Times New Roman" w:eastAsia="宋体" w:cs="Times New Roman"/>
      <w:b/>
      <w:bCs/>
      <w:sz w:val="26"/>
      <w:szCs w:val="26"/>
    </w:rPr>
  </w:style>
  <w:style w:type="character" w:customStyle="1" w:styleId="1156">
    <w:name w:val="表格 Char"/>
    <w:qFormat/>
    <w:uiPriority w:val="0"/>
    <w:rPr>
      <w:rFonts w:ascii="宋体" w:hAnsi="宋体" w:eastAsia="宋体" w:cs="Times New Roman"/>
      <w:spacing w:val="6"/>
      <w:sz w:val="24"/>
      <w:szCs w:val="20"/>
    </w:rPr>
  </w:style>
  <w:style w:type="character" w:customStyle="1" w:styleId="1157">
    <w:name w:val="3级标题 Char"/>
    <w:qFormat/>
    <w:uiPriority w:val="0"/>
    <w:rPr>
      <w:b/>
      <w:sz w:val="24"/>
    </w:rPr>
  </w:style>
  <w:style w:type="character" w:customStyle="1" w:styleId="1158">
    <w:name w:val="1正文 Char"/>
    <w:qFormat/>
    <w:uiPriority w:val="0"/>
    <w:rPr>
      <w:rFonts w:ascii="Times New Roman" w:hAnsi="Times New Roman"/>
      <w:sz w:val="24"/>
      <w:szCs w:val="24"/>
    </w:rPr>
  </w:style>
  <w:style w:type="character" w:customStyle="1" w:styleId="1159">
    <w:name w:val="苍南正文 Char"/>
    <w:qFormat/>
    <w:uiPriority w:val="0"/>
    <w:rPr>
      <w:rFonts w:ascii="Times New Roman" w:hAnsi="Times New Roman" w:eastAsia="宋体" w:cs="Times New Roman"/>
      <w:sz w:val="24"/>
      <w:szCs w:val="28"/>
    </w:rPr>
  </w:style>
  <w:style w:type="character" w:customStyle="1" w:styleId="1160">
    <w:name w:val="段落 Char Char"/>
    <w:qFormat/>
    <w:uiPriority w:val="0"/>
    <w:rPr>
      <w:rFonts w:ascii="Times New Roman" w:hAnsi="Times New Roman" w:eastAsia="宋体" w:cs="Times New Roman"/>
      <w:sz w:val="24"/>
      <w:szCs w:val="24"/>
    </w:rPr>
  </w:style>
  <w:style w:type="character" w:customStyle="1" w:styleId="1161">
    <w:name w:val="报告书正文 Char"/>
    <w:qFormat/>
    <w:uiPriority w:val="0"/>
    <w:rPr>
      <w:rFonts w:ascii="Times New Roman" w:hAnsi="Times New Roman" w:eastAsia="宋体" w:cs="Times New Roman"/>
      <w:sz w:val="24"/>
      <w:szCs w:val="20"/>
      <w:lang w:val="zh-CN" w:eastAsia="zh-CN"/>
    </w:rPr>
  </w:style>
  <w:style w:type="character" w:customStyle="1" w:styleId="1162">
    <w:name w:val="苍南标2 Char"/>
    <w:qFormat/>
    <w:uiPriority w:val="0"/>
    <w:rPr>
      <w:rFonts w:ascii="Times New Roman" w:hAnsi="Times New Roman" w:eastAsia="宋体" w:cs="Times New Roman"/>
      <w:b/>
      <w:sz w:val="24"/>
      <w:szCs w:val="24"/>
      <w:lang w:val="zh-CN" w:eastAsia="zh-CN"/>
    </w:rPr>
  </w:style>
  <w:style w:type="character" w:customStyle="1" w:styleId="1163">
    <w:name w:val="苍南标3 Char"/>
    <w:qFormat/>
    <w:uiPriority w:val="0"/>
    <w:rPr>
      <w:rFonts w:ascii="Times New Roman" w:hAnsi="Times New Roman" w:eastAsia="宋体" w:cs="Times New Roman"/>
      <w:b/>
      <w:sz w:val="24"/>
      <w:szCs w:val="24"/>
      <w:lang w:val="zh-CN" w:eastAsia="zh-CN"/>
    </w:rPr>
  </w:style>
  <w:style w:type="table" w:customStyle="1" w:styleId="1164">
    <w:name w:val="网格型!1"/>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65">
    <w:name w:val="彩色型 21"/>
    <w:basedOn w:val="89"/>
    <w:qFormat/>
    <w:uiPriority w:val="0"/>
    <w:pPr>
      <w:widowControl w:val="0"/>
      <w:jc w:val="both"/>
    </w:pPr>
    <w:tblPr>
      <w:tblBorders>
        <w:bottom w:val="single" w:color="000000" w:sz="12" w:space="0"/>
      </w:tblBorders>
    </w:tblPr>
    <w:tcPr>
      <w:shd w:val="pct20" w:color="FFFF00" w:fill="FFFFFF"/>
    </w:tcPr>
    <w:tblStylePr w:type="firstRow">
      <w:rPr>
        <w:b/>
        <w:bCs/>
        <w:i/>
        <w:iCs/>
        <w:color w:val="FFFFFF"/>
      </w:rPr>
      <w:tcPr>
        <w:tcBorders>
          <w:bottom w:val="single" w:color="000000" w:sz="12" w:space="0"/>
          <w:tl2br w:val="nil"/>
          <w:tr2bl w:val="nil"/>
        </w:tcBorders>
        <w:shd w:val="solid" w:color="800000" w:fill="FFFFFF"/>
      </w:tcPr>
    </w:tblStylePr>
    <w:tblStylePr w:type="firstCol">
      <w:rPr>
        <w:b/>
        <w:bCs/>
        <w:i/>
        <w:iCs/>
      </w:rPr>
      <w:tcPr>
        <w:tcBorders>
          <w:tl2br w:val="nil"/>
          <w:tr2bl w:val="nil"/>
        </w:tcBorders>
      </w:tcPr>
    </w:tblStylePr>
    <w:tblStylePr w:type="lastCol">
      <w:tcPr>
        <w:tcBorders>
          <w:tl2br w:val="nil"/>
          <w:tr2bl w:val="nil"/>
        </w:tcBorders>
        <w:shd w:val="solid" w:color="C0C0C0" w:fill="FFFFFF"/>
      </w:tcPr>
    </w:tblStylePr>
    <w:tblStylePr w:type="swCell">
      <w:rPr>
        <w:b/>
        <w:bCs/>
        <w:i w:val="0"/>
        <w:iCs w:val="0"/>
      </w:rPr>
      <w:tcPr>
        <w:tcBorders>
          <w:tl2br w:val="nil"/>
          <w:tr2bl w:val="nil"/>
        </w:tcBorders>
      </w:tcPr>
    </w:tblStylePr>
  </w:style>
  <w:style w:type="table" w:customStyle="1" w:styleId="1166">
    <w:name w:val="古典型 11"/>
    <w:basedOn w:val="89"/>
    <w:qFormat/>
    <w:uiPriority w:val="0"/>
    <w:pPr>
      <w:widowControl w:val="0"/>
      <w:jc w:val="both"/>
    </w:pPr>
    <w:tblPr>
      <w:tblBorders>
        <w:top w:val="single" w:color="000000" w:sz="12" w:space="0"/>
        <w:bottom w:val="single" w:color="000000" w:sz="12" w:space="0"/>
      </w:tblBorders>
    </w:tblPr>
    <w:tcPr>
      <w:shd w:val="clear" w:color="auto" w:fill="auto"/>
    </w:tcPr>
    <w:tblStylePr w:type="firstRow">
      <w:rPr>
        <w:i/>
        <w:iCs/>
      </w:rPr>
      <w:tcPr>
        <w:tcBorders>
          <w:bottom w:val="single" w:color="000000" w:sz="6" w:space="0"/>
          <w:tl2br w:val="nil"/>
          <w:tr2bl w:val="nil"/>
        </w:tcBorders>
      </w:tcPr>
    </w:tblStylePr>
    <w:tblStylePr w:type="lastRow">
      <w:rPr>
        <w:color w:val="auto"/>
      </w:rPr>
      <w:tcPr>
        <w:tcBorders>
          <w:top w:val="single" w:color="000000" w:sz="6" w:space="0"/>
          <w:tl2br w:val="nil"/>
          <w:tr2bl w:val="nil"/>
        </w:tcBorders>
      </w:tcPr>
    </w:tblStylePr>
    <w:tblStylePr w:type="firstCol">
      <w:tcPr>
        <w:tcBorders>
          <w:right w:val="single" w:color="000000" w:sz="6" w:space="0"/>
          <w:tl2br w:val="nil"/>
          <w:tr2bl w:val="nil"/>
        </w:tcBorders>
      </w:tcPr>
    </w:tblStylePr>
    <w:tblStylePr w:type="neCell">
      <w:rPr>
        <w:b/>
        <w:bCs/>
        <w:i w:val="0"/>
        <w:iCs w:val="0"/>
      </w:rPr>
      <w:tcPr>
        <w:tcBorders>
          <w:tl2br w:val="nil"/>
          <w:tr2bl w:val="nil"/>
        </w:tcBorders>
      </w:tcPr>
    </w:tblStylePr>
    <w:tblStylePr w:type="swCell">
      <w:rPr>
        <w:b/>
        <w:bCs/>
      </w:rPr>
      <w:tcPr>
        <w:tcBorders>
          <w:tl2br w:val="nil"/>
          <w:tr2bl w:val="nil"/>
        </w:tcBorders>
      </w:tcPr>
    </w:tblStylePr>
  </w:style>
  <w:style w:type="table" w:customStyle="1" w:styleId="1167">
    <w:name w:val="网格型12"/>
    <w:basedOn w:val="89"/>
    <w:qFormat/>
    <w:uiPriority w:val="0"/>
    <w:pPr>
      <w:widowControl w:val="0"/>
      <w:adjustRightInd w:val="0"/>
      <w:snapToGrid w:val="0"/>
      <w:spacing w:line="360" w:lineRule="auto"/>
      <w:jc w:val="both"/>
      <w:textAlignment w:val="baseline"/>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68">
    <w:name w:val="图"/>
    <w:basedOn w:val="33"/>
    <w:link w:val="1169"/>
    <w:qFormat/>
    <w:uiPriority w:val="0"/>
    <w:pPr>
      <w:autoSpaceDE/>
      <w:autoSpaceDN/>
      <w:adjustRightInd w:val="0"/>
      <w:snapToGrid w:val="0"/>
      <w:spacing w:before="72" w:after="120" w:line="360" w:lineRule="auto"/>
      <w:jc w:val="both"/>
    </w:pPr>
    <w:rPr>
      <w:rFonts w:ascii="Times New Roman" w:hAnsi="Courier New" w:cs="Times New Roman"/>
      <w:spacing w:val="4"/>
      <w:kern w:val="2"/>
      <w:lang w:bidi="ar-SA"/>
    </w:rPr>
  </w:style>
  <w:style w:type="character" w:customStyle="1" w:styleId="1169">
    <w:name w:val="图 Char"/>
    <w:link w:val="1168"/>
    <w:qFormat/>
    <w:uiPriority w:val="0"/>
    <w:rPr>
      <w:rFonts w:hAnsi="Courier New"/>
      <w:spacing w:val="4"/>
      <w:kern w:val="2"/>
      <w:sz w:val="24"/>
      <w:szCs w:val="24"/>
      <w:lang w:val="zh-CN"/>
    </w:rPr>
  </w:style>
  <w:style w:type="paragraph" w:customStyle="1" w:styleId="1170">
    <w:name w:val="yyp"/>
    <w:basedOn w:val="66"/>
    <w:link w:val="1171"/>
    <w:qFormat/>
    <w:uiPriority w:val="0"/>
    <w:pPr>
      <w:adjustRightInd/>
      <w:snapToGrid/>
      <w:spacing w:before="0" w:after="120" w:line="360" w:lineRule="auto"/>
      <w:ind w:firstLine="480"/>
      <w:jc w:val="both"/>
      <w:outlineLvl w:val="9"/>
    </w:pPr>
    <w:rPr>
      <w:rFonts w:ascii="Times New Roman" w:hAnsi="Times New Roman"/>
      <w:b w:val="0"/>
      <w:bCs w:val="0"/>
      <w:kern w:val="2"/>
      <w:sz w:val="24"/>
      <w:szCs w:val="24"/>
    </w:rPr>
  </w:style>
  <w:style w:type="character" w:customStyle="1" w:styleId="1171">
    <w:name w:val="yyp Char"/>
    <w:link w:val="1170"/>
    <w:qFormat/>
    <w:uiPriority w:val="0"/>
    <w:rPr>
      <w:kern w:val="2"/>
      <w:sz w:val="24"/>
      <w:szCs w:val="24"/>
    </w:rPr>
  </w:style>
  <w:style w:type="paragraph" w:customStyle="1" w:styleId="1172">
    <w:name w:val="reader-word-layer"/>
    <w:basedOn w:val="1"/>
    <w:qFormat/>
    <w:uiPriority w:val="0"/>
    <w:pPr>
      <w:widowControl/>
      <w:spacing w:before="100" w:beforeLines="0" w:beforeAutospacing="1" w:after="100" w:afterAutospacing="1" w:line="240" w:lineRule="auto"/>
      <w:jc w:val="left"/>
    </w:pPr>
    <w:rPr>
      <w:rFonts w:ascii="宋体" w:hAnsi="宋体" w:cs="宋体"/>
      <w:kern w:val="0"/>
      <w:sz w:val="24"/>
    </w:rPr>
  </w:style>
  <w:style w:type="paragraph" w:customStyle="1" w:styleId="1173">
    <w:name w:val="CM9"/>
    <w:basedOn w:val="1"/>
    <w:next w:val="1"/>
    <w:qFormat/>
    <w:uiPriority w:val="0"/>
    <w:pPr>
      <w:autoSpaceDE w:val="0"/>
      <w:autoSpaceDN w:val="0"/>
      <w:adjustRightInd w:val="0"/>
      <w:spacing w:before="0" w:beforeLines="0" w:line="340" w:lineRule="atLeast"/>
      <w:jc w:val="left"/>
    </w:pPr>
    <w:rPr>
      <w:rFonts w:ascii="IADJBO+Arial,Bold" w:eastAsia="IADJBO+Arial,Bold"/>
      <w:kern w:val="0"/>
      <w:sz w:val="24"/>
    </w:rPr>
  </w:style>
  <w:style w:type="character" w:customStyle="1" w:styleId="1174">
    <w:name w:val="正文(首行缩进2字） Char"/>
    <w:link w:val="1175"/>
    <w:qFormat/>
    <w:uiPriority w:val="0"/>
    <w:rPr>
      <w:rFonts w:ascii="Arial" w:hAnsi="Arial" w:cs="Arial"/>
      <w:sz w:val="24"/>
      <w:szCs w:val="24"/>
    </w:rPr>
  </w:style>
  <w:style w:type="paragraph" w:customStyle="1" w:styleId="1175">
    <w:name w:val="正文(首行缩进2字）"/>
    <w:basedOn w:val="1"/>
    <w:link w:val="1174"/>
    <w:qFormat/>
    <w:uiPriority w:val="0"/>
    <w:pPr>
      <w:spacing w:before="0" w:beforeLines="0" w:line="480" w:lineRule="exact"/>
      <w:ind w:firstLine="200" w:firstLineChars="200"/>
    </w:pPr>
    <w:rPr>
      <w:rFonts w:ascii="Arial" w:hAnsi="Arial" w:cs="Arial"/>
      <w:kern w:val="0"/>
      <w:sz w:val="24"/>
    </w:rPr>
  </w:style>
  <w:style w:type="paragraph" w:customStyle="1" w:styleId="1176">
    <w:name w:val="1正文段落"/>
    <w:basedOn w:val="1"/>
    <w:link w:val="1273"/>
    <w:qFormat/>
    <w:uiPriority w:val="0"/>
    <w:pPr>
      <w:spacing w:before="0" w:beforeLines="0" w:line="360" w:lineRule="auto"/>
      <w:ind w:firstLine="480" w:firstLineChars="200"/>
      <w:jc w:val="left"/>
    </w:pPr>
    <w:rPr>
      <w:snapToGrid w:val="0"/>
      <w:kern w:val="0"/>
      <w:sz w:val="24"/>
    </w:rPr>
  </w:style>
  <w:style w:type="paragraph" w:customStyle="1" w:styleId="1177">
    <w:name w:val="正文样式"/>
    <w:basedOn w:val="1"/>
    <w:link w:val="1649"/>
    <w:qFormat/>
    <w:uiPriority w:val="0"/>
    <w:pPr>
      <w:spacing w:before="0" w:beforeLines="0" w:line="360" w:lineRule="auto"/>
      <w:ind w:firstLine="480" w:firstLineChars="200"/>
    </w:pPr>
    <w:rPr>
      <w:rFonts w:ascii="宋体" w:hAnsi="宋体"/>
      <w:color w:val="000000"/>
      <w:sz w:val="24"/>
    </w:rPr>
  </w:style>
  <w:style w:type="paragraph" w:customStyle="1" w:styleId="1178">
    <w:name w:val="Body Text 22"/>
    <w:basedOn w:val="1"/>
    <w:qFormat/>
    <w:uiPriority w:val="0"/>
    <w:pPr>
      <w:adjustRightInd w:val="0"/>
      <w:spacing w:before="0" w:beforeLines="0" w:line="440" w:lineRule="atLeast"/>
      <w:ind w:firstLine="480"/>
      <w:textAlignment w:val="baseline"/>
    </w:pPr>
    <w:rPr>
      <w:rFonts w:eastAsia="仿宋_GB2312"/>
      <w:sz w:val="24"/>
      <w:szCs w:val="20"/>
    </w:rPr>
  </w:style>
  <w:style w:type="character" w:customStyle="1" w:styleId="1179">
    <w:name w:val="表内字 Char1"/>
    <w:link w:val="234"/>
    <w:qFormat/>
    <w:uiPriority w:val="0"/>
    <w:rPr>
      <w:color w:val="000000"/>
      <w:sz w:val="21"/>
    </w:rPr>
  </w:style>
  <w:style w:type="paragraph" w:customStyle="1" w:styleId="1180">
    <w:name w:val="样式 标题 1第一部分1 + 黑体 小二 非加粗 居中 段前: 12 磅 段后: 12 磅 行距: 单倍行距"/>
    <w:basedOn w:val="3"/>
    <w:next w:val="4"/>
    <w:qFormat/>
    <w:uiPriority w:val="0"/>
    <w:pPr>
      <w:tabs>
        <w:tab w:val="left" w:pos="1800"/>
        <w:tab w:val="clear" w:pos="360"/>
      </w:tabs>
      <w:spacing w:before="240" w:after="240" w:line="240" w:lineRule="auto"/>
      <w:jc w:val="center"/>
    </w:pPr>
    <w:rPr>
      <w:rFonts w:ascii="黑体" w:eastAsia="黑体" w:cs="宋体"/>
      <w:color w:val="auto"/>
      <w:kern w:val="44"/>
      <w:sz w:val="36"/>
      <w:szCs w:val="44"/>
    </w:rPr>
  </w:style>
  <w:style w:type="paragraph" w:customStyle="1" w:styleId="1181">
    <w:name w:val="样式8"/>
    <w:basedOn w:val="1"/>
    <w:link w:val="1504"/>
    <w:qFormat/>
    <w:uiPriority w:val="0"/>
    <w:pPr>
      <w:spacing w:before="0" w:beforeLines="0" w:line="240" w:lineRule="auto"/>
      <w:ind w:firstLine="499"/>
    </w:pPr>
    <w:rPr>
      <w:rFonts w:ascii="宋体"/>
      <w:sz w:val="24"/>
      <w:szCs w:val="20"/>
    </w:rPr>
  </w:style>
  <w:style w:type="paragraph" w:customStyle="1" w:styleId="1182">
    <w:name w:val="表的格式（小四）"/>
    <w:basedOn w:val="1"/>
    <w:qFormat/>
    <w:uiPriority w:val="0"/>
    <w:pPr>
      <w:adjustRightInd w:val="0"/>
      <w:spacing w:before="0" w:beforeLines="0" w:line="360" w:lineRule="atLeast"/>
      <w:jc w:val="center"/>
    </w:pPr>
    <w:rPr>
      <w:kern w:val="0"/>
      <w:sz w:val="24"/>
      <w:szCs w:val="20"/>
    </w:rPr>
  </w:style>
  <w:style w:type="paragraph" w:customStyle="1" w:styleId="1183">
    <w:name w:val="表 头"/>
    <w:basedOn w:val="1"/>
    <w:qFormat/>
    <w:uiPriority w:val="0"/>
    <w:pPr>
      <w:adjustRightInd w:val="0"/>
      <w:spacing w:before="120" w:beforeLines="0" w:after="120" w:line="360" w:lineRule="atLeast"/>
      <w:jc w:val="center"/>
    </w:pPr>
    <w:rPr>
      <w:rFonts w:eastAsia="黑体"/>
      <w:spacing w:val="10"/>
      <w:kern w:val="0"/>
      <w:sz w:val="24"/>
      <w:szCs w:val="20"/>
    </w:rPr>
  </w:style>
  <w:style w:type="character" w:customStyle="1" w:styleId="1184">
    <w:name w:val="脚注引用1"/>
    <w:qFormat/>
    <w:uiPriority w:val="0"/>
    <w:rPr>
      <w:vertAlign w:val="superscript"/>
    </w:rPr>
  </w:style>
  <w:style w:type="character" w:customStyle="1" w:styleId="1185">
    <w:name w:val="已访问的超链接1"/>
    <w:qFormat/>
    <w:uiPriority w:val="0"/>
    <w:rPr>
      <w:color w:val="800080"/>
      <w:u w:val="single"/>
    </w:rPr>
  </w:style>
  <w:style w:type="character" w:customStyle="1" w:styleId="1186">
    <w:name w:val="样式 样式1 + 小四 黑色 Char"/>
    <w:link w:val="1187"/>
    <w:qFormat/>
    <w:uiPriority w:val="0"/>
    <w:rPr>
      <w:b/>
      <w:color w:val="000000"/>
      <w:spacing w:val="-2"/>
      <w:position w:val="-6"/>
      <w:sz w:val="24"/>
    </w:rPr>
  </w:style>
  <w:style w:type="paragraph" w:customStyle="1" w:styleId="1187">
    <w:name w:val="样式 样式1 + 小四 黑色"/>
    <w:basedOn w:val="1"/>
    <w:link w:val="1186"/>
    <w:qFormat/>
    <w:uiPriority w:val="0"/>
    <w:pPr>
      <w:pBdr>
        <w:top w:val="single" w:color="auto" w:sz="18" w:space="1"/>
        <w:left w:val="single" w:color="auto" w:sz="18" w:space="4"/>
        <w:bottom w:val="single" w:color="auto" w:sz="18" w:space="1"/>
        <w:right w:val="single" w:color="auto" w:sz="18" w:space="4"/>
      </w:pBdr>
      <w:adjustRightInd w:val="0"/>
      <w:snapToGrid w:val="0"/>
      <w:spacing w:before="0" w:beforeLines="0" w:line="360" w:lineRule="auto"/>
      <w:ind w:firstLine="200" w:firstLineChars="200"/>
    </w:pPr>
    <w:rPr>
      <w:b/>
      <w:color w:val="000000"/>
      <w:spacing w:val="-2"/>
      <w:kern w:val="0"/>
      <w:position w:val="-6"/>
      <w:sz w:val="24"/>
      <w:szCs w:val="20"/>
    </w:rPr>
  </w:style>
  <w:style w:type="character" w:customStyle="1" w:styleId="1188">
    <w:name w:val="尾注引用1"/>
    <w:qFormat/>
    <w:uiPriority w:val="0"/>
    <w:rPr>
      <w:vertAlign w:val="superscript"/>
    </w:rPr>
  </w:style>
  <w:style w:type="character" w:customStyle="1" w:styleId="1189">
    <w:name w:val="样式 首行缩进:  2 字符 Char"/>
    <w:link w:val="362"/>
    <w:qFormat/>
    <w:uiPriority w:val="0"/>
    <w:rPr>
      <w:b/>
      <w:kern w:val="2"/>
      <w:sz w:val="32"/>
    </w:rPr>
  </w:style>
  <w:style w:type="paragraph" w:customStyle="1" w:styleId="1190">
    <w:name w:val="样式 宋体 加粗 居中 首行缩进:  2 字符"/>
    <w:basedOn w:val="1"/>
    <w:qFormat/>
    <w:uiPriority w:val="0"/>
    <w:pPr>
      <w:spacing w:before="0" w:beforeLines="50" w:line="240" w:lineRule="auto"/>
      <w:jc w:val="center"/>
    </w:pPr>
    <w:rPr>
      <w:rFonts w:ascii="宋体" w:hAnsi="宋体"/>
      <w:b/>
      <w:szCs w:val="20"/>
    </w:rPr>
  </w:style>
  <w:style w:type="paragraph" w:customStyle="1" w:styleId="1191">
    <w:name w:val="样式 标题 2 + (西文) Times New Roman (中文) 楷体_GB2312 小二 段前: 0 磅 段后:..."/>
    <w:basedOn w:val="4"/>
    <w:qFormat/>
    <w:uiPriority w:val="0"/>
    <w:pPr>
      <w:tabs>
        <w:tab w:val="left" w:pos="1080"/>
        <w:tab w:val="left" w:pos="1440"/>
      </w:tabs>
      <w:adjustRightInd w:val="0"/>
      <w:snapToGrid w:val="0"/>
      <w:spacing w:before="0" w:after="0" w:line="413" w:lineRule="auto"/>
    </w:pPr>
    <w:rPr>
      <w:rFonts w:ascii="Times New Roman" w:hAnsi="Times New Roman" w:eastAsia="楷体_GB2312"/>
      <w:color w:val="auto"/>
      <w:kern w:val="2"/>
      <w:sz w:val="36"/>
      <w:lang w:val="zh-CN"/>
    </w:rPr>
  </w:style>
  <w:style w:type="paragraph" w:customStyle="1" w:styleId="1192">
    <w:name w:val="页脚1"/>
    <w:basedOn w:val="1"/>
    <w:qFormat/>
    <w:uiPriority w:val="0"/>
    <w:pPr>
      <w:tabs>
        <w:tab w:val="center" w:pos="4153"/>
        <w:tab w:val="right" w:pos="8306"/>
      </w:tabs>
      <w:snapToGrid w:val="0"/>
      <w:spacing w:before="0" w:beforeLines="0" w:line="240" w:lineRule="auto"/>
      <w:jc w:val="left"/>
    </w:pPr>
    <w:rPr>
      <w:sz w:val="18"/>
      <w:szCs w:val="20"/>
    </w:rPr>
  </w:style>
  <w:style w:type="paragraph" w:customStyle="1" w:styleId="1193">
    <w:name w:val="样式 标题 3 + 段前: 0.5 行"/>
    <w:basedOn w:val="5"/>
    <w:next w:val="1"/>
    <w:qFormat/>
    <w:uiPriority w:val="0"/>
    <w:pPr>
      <w:keepNext/>
      <w:tabs>
        <w:tab w:val="left" w:pos="720"/>
        <w:tab w:val="left" w:pos="1440"/>
      </w:tabs>
      <w:adjustRightInd w:val="0"/>
      <w:snapToGrid w:val="0"/>
      <w:spacing w:beforeLines="50" w:after="120" w:line="360" w:lineRule="auto"/>
      <w:ind w:left="720" w:hanging="720"/>
    </w:pPr>
    <w:rPr>
      <w:bCs w:val="0"/>
      <w:color w:val="auto"/>
      <w:kern w:val="0"/>
      <w:lang w:val="zh-CN"/>
    </w:rPr>
  </w:style>
  <w:style w:type="paragraph" w:customStyle="1" w:styleId="1194">
    <w:name w:val="脚注文本1"/>
    <w:basedOn w:val="1"/>
    <w:qFormat/>
    <w:uiPriority w:val="0"/>
    <w:pPr>
      <w:adjustRightInd w:val="0"/>
      <w:spacing w:before="0" w:beforeLines="0" w:line="360" w:lineRule="atLeast"/>
      <w:ind w:firstLine="590"/>
      <w:jc w:val="left"/>
      <w:textAlignment w:val="baseline"/>
    </w:pPr>
    <w:rPr>
      <w:rFonts w:ascii="Calibri" w:hAnsi="Calibri"/>
      <w:sz w:val="18"/>
      <w:szCs w:val="22"/>
    </w:rPr>
  </w:style>
  <w:style w:type="paragraph" w:customStyle="1" w:styleId="1195">
    <w:name w:val="样式 (中文) 仿宋_GB2312 首行缩进:  2 字符"/>
    <w:basedOn w:val="1"/>
    <w:qFormat/>
    <w:uiPriority w:val="0"/>
    <w:pPr>
      <w:spacing w:before="0" w:beforeLines="50" w:line="360" w:lineRule="auto"/>
      <w:ind w:firstLine="560" w:firstLineChars="200"/>
    </w:pPr>
    <w:rPr>
      <w:sz w:val="24"/>
      <w:szCs w:val="20"/>
    </w:rPr>
  </w:style>
  <w:style w:type="paragraph" w:customStyle="1" w:styleId="1196">
    <w:name w:val="样式 目录 2 + 首行缩进:  2 字符 段前: 0.5 行 行距: 多倍行距 1.25 字行1"/>
    <w:basedOn w:val="76"/>
    <w:qFormat/>
    <w:uiPriority w:val="0"/>
    <w:pPr>
      <w:tabs>
        <w:tab w:val="right" w:leader="dot" w:pos="8778"/>
      </w:tabs>
      <w:adjustRightInd w:val="0"/>
      <w:snapToGrid w:val="0"/>
      <w:spacing w:before="0" w:beforeLines="0" w:line="300" w:lineRule="auto"/>
      <w:ind w:left="0" w:leftChars="0" w:firstLine="420" w:firstLineChars="200"/>
    </w:pPr>
    <w:rPr>
      <w:smallCaps/>
      <w:sz w:val="20"/>
      <w:szCs w:val="20"/>
    </w:rPr>
  </w:style>
  <w:style w:type="paragraph" w:customStyle="1" w:styleId="1197">
    <w:name w:val="注释标题1"/>
    <w:basedOn w:val="1"/>
    <w:next w:val="1"/>
    <w:qFormat/>
    <w:uiPriority w:val="0"/>
    <w:pPr>
      <w:spacing w:before="0" w:beforeLines="0" w:line="240" w:lineRule="auto"/>
      <w:jc w:val="center"/>
    </w:pPr>
    <w:rPr>
      <w:rFonts w:ascii="Calibri" w:hAnsi="Calibri"/>
      <w:szCs w:val="22"/>
    </w:rPr>
  </w:style>
  <w:style w:type="paragraph" w:customStyle="1" w:styleId="1198">
    <w:name w:val="尾注文本1"/>
    <w:basedOn w:val="1"/>
    <w:qFormat/>
    <w:uiPriority w:val="0"/>
    <w:pPr>
      <w:snapToGrid w:val="0"/>
      <w:spacing w:before="0" w:beforeLines="0" w:line="240" w:lineRule="auto"/>
      <w:jc w:val="left"/>
    </w:pPr>
    <w:rPr>
      <w:rFonts w:ascii="Calibri" w:hAnsi="Calibri"/>
      <w:szCs w:val="22"/>
    </w:rPr>
  </w:style>
  <w:style w:type="paragraph" w:customStyle="1" w:styleId="1199">
    <w:name w:val="样式 小四 段前: 7.8 磅 行距: 多倍行距 1.25 字行1"/>
    <w:basedOn w:val="1"/>
    <w:qFormat/>
    <w:uiPriority w:val="0"/>
    <w:pPr>
      <w:snapToGrid w:val="0"/>
      <w:spacing w:before="0" w:beforeLines="0" w:line="240" w:lineRule="atLeast"/>
    </w:pPr>
    <w:rPr>
      <w:sz w:val="24"/>
      <w:szCs w:val="20"/>
    </w:rPr>
  </w:style>
  <w:style w:type="paragraph" w:customStyle="1" w:styleId="1200">
    <w:name w:val="样式 样式 标题1 + 行距: 单倍行距 + 段前: 1 行"/>
    <w:basedOn w:val="1201"/>
    <w:next w:val="1"/>
    <w:qFormat/>
    <w:uiPriority w:val="0"/>
    <w:pPr>
      <w:spacing w:beforeLines="0"/>
    </w:pPr>
  </w:style>
  <w:style w:type="paragraph" w:customStyle="1" w:styleId="1201">
    <w:name w:val="样式 标题1 + 行距: 单倍行距"/>
    <w:basedOn w:val="442"/>
    <w:qFormat/>
    <w:uiPriority w:val="0"/>
    <w:pPr>
      <w:spacing w:before="240" w:beforeLines="100" w:after="240" w:line="360" w:lineRule="auto"/>
      <w:jc w:val="left"/>
    </w:pPr>
    <w:rPr>
      <w:sz w:val="32"/>
    </w:rPr>
  </w:style>
  <w:style w:type="paragraph" w:customStyle="1" w:styleId="1202">
    <w:name w:val="表格内"/>
    <w:qFormat/>
    <w:uiPriority w:val="0"/>
    <w:pPr>
      <w:keepNext/>
      <w:keepLines/>
      <w:widowControl w:val="0"/>
      <w:tabs>
        <w:tab w:val="left" w:pos="9356"/>
      </w:tabs>
      <w:adjustRightInd w:val="0"/>
      <w:spacing w:before="40" w:after="40" w:line="80" w:lineRule="atLeast"/>
      <w:textAlignment w:val="baseline"/>
    </w:pPr>
    <w:rPr>
      <w:rFonts w:ascii="Arial" w:hAnsi="Times New Roman" w:eastAsia="宋体" w:cs="Times New Roman"/>
      <w:sz w:val="24"/>
      <w:lang w:val="en-US" w:eastAsia="zh-CN" w:bidi="ar-SA"/>
    </w:rPr>
  </w:style>
  <w:style w:type="paragraph" w:customStyle="1" w:styleId="1203">
    <w:name w:val="正文A Char"/>
    <w:basedOn w:val="1"/>
    <w:qFormat/>
    <w:uiPriority w:val="0"/>
    <w:pPr>
      <w:spacing w:before="0" w:beforeLines="0" w:line="480" w:lineRule="auto"/>
      <w:ind w:firstLine="200" w:firstLineChars="200"/>
    </w:pPr>
    <w:rPr>
      <w:sz w:val="24"/>
      <w:szCs w:val="20"/>
    </w:rPr>
  </w:style>
  <w:style w:type="paragraph" w:customStyle="1" w:styleId="1204">
    <w:name w:val="日期2"/>
    <w:basedOn w:val="1"/>
    <w:next w:val="1"/>
    <w:qFormat/>
    <w:uiPriority w:val="0"/>
    <w:pPr>
      <w:spacing w:before="0" w:beforeLines="0" w:line="240" w:lineRule="auto"/>
      <w:ind w:left="100" w:leftChars="2500"/>
    </w:pPr>
    <w:rPr>
      <w:rFonts w:ascii="Calibri" w:hAnsi="Calibri"/>
      <w:szCs w:val="22"/>
    </w:rPr>
  </w:style>
  <w:style w:type="paragraph" w:customStyle="1" w:styleId="1205">
    <w:name w:val="图文框"/>
    <w:basedOn w:val="1"/>
    <w:qFormat/>
    <w:uiPriority w:val="0"/>
    <w:pPr>
      <w:snapToGrid w:val="0"/>
      <w:spacing w:before="0" w:beforeLines="0" w:line="360" w:lineRule="exact"/>
      <w:jc w:val="center"/>
    </w:pPr>
    <w:rPr>
      <w:rFonts w:eastAsia="仿宋_GB2312"/>
      <w:spacing w:val="-20"/>
      <w:sz w:val="24"/>
      <w:szCs w:val="20"/>
    </w:rPr>
  </w:style>
  <w:style w:type="paragraph" w:customStyle="1" w:styleId="1206">
    <w:name w:val="样式 燕山正文 + 首行缩进:  3.5 字符2"/>
    <w:basedOn w:val="1"/>
    <w:qFormat/>
    <w:uiPriority w:val="0"/>
    <w:pPr>
      <w:tabs>
        <w:tab w:val="left" w:pos="4680"/>
      </w:tabs>
      <w:adjustRightInd w:val="0"/>
      <w:snapToGrid w:val="0"/>
      <w:spacing w:before="0" w:beforeLines="0" w:line="360" w:lineRule="auto"/>
      <w:jc w:val="center"/>
    </w:pPr>
    <w:rPr>
      <w:rFonts w:ascii="宋体" w:hAnsi="宋体"/>
      <w:color w:val="000000"/>
      <w:sz w:val="28"/>
      <w:szCs w:val="20"/>
    </w:rPr>
  </w:style>
  <w:style w:type="paragraph" w:customStyle="1" w:styleId="1207">
    <w:name w:val="批注框文本1"/>
    <w:basedOn w:val="1"/>
    <w:qFormat/>
    <w:uiPriority w:val="0"/>
    <w:pPr>
      <w:spacing w:before="0" w:beforeLines="0" w:line="240" w:lineRule="auto"/>
    </w:pPr>
    <w:rPr>
      <w:sz w:val="18"/>
      <w:szCs w:val="20"/>
      <w:lang w:val="zh-CN"/>
    </w:rPr>
  </w:style>
  <w:style w:type="paragraph" w:customStyle="1" w:styleId="1208">
    <w:name w:val="样式 目录 2 + 首行缩进:  2 字符 段前: 0.5 行 行距: 多倍行距 1.25 字行"/>
    <w:basedOn w:val="76"/>
    <w:qFormat/>
    <w:uiPriority w:val="0"/>
    <w:pPr>
      <w:tabs>
        <w:tab w:val="right" w:leader="dot" w:pos="8778"/>
      </w:tabs>
      <w:adjustRightInd w:val="0"/>
      <w:snapToGrid w:val="0"/>
      <w:spacing w:before="0" w:beforeLines="0" w:line="300" w:lineRule="auto"/>
      <w:ind w:left="0" w:leftChars="0" w:firstLine="420" w:firstLineChars="200"/>
    </w:pPr>
    <w:rPr>
      <w:smallCaps/>
      <w:sz w:val="20"/>
      <w:szCs w:val="20"/>
    </w:rPr>
  </w:style>
  <w:style w:type="paragraph" w:customStyle="1" w:styleId="1209">
    <w:name w:val="Char4 Char Char Char Char Char Char"/>
    <w:basedOn w:val="1"/>
    <w:qFormat/>
    <w:uiPriority w:val="0"/>
    <w:pPr>
      <w:spacing w:before="0" w:beforeLines="0" w:line="360" w:lineRule="auto"/>
      <w:ind w:firstLine="200" w:firstLineChars="200"/>
    </w:pPr>
    <w:rPr>
      <w:rFonts w:ascii="宋体" w:hAnsi="宋体"/>
      <w:sz w:val="24"/>
      <w:szCs w:val="20"/>
    </w:rPr>
  </w:style>
  <w:style w:type="paragraph" w:customStyle="1" w:styleId="1210">
    <w:name w:val="样式 标题 3 + 段前: 0.5 行1"/>
    <w:basedOn w:val="5"/>
    <w:next w:val="1"/>
    <w:qFormat/>
    <w:uiPriority w:val="0"/>
    <w:pPr>
      <w:keepNext/>
      <w:tabs>
        <w:tab w:val="left" w:pos="720"/>
        <w:tab w:val="left" w:pos="1440"/>
      </w:tabs>
      <w:adjustRightInd w:val="0"/>
      <w:snapToGrid w:val="0"/>
      <w:spacing w:beforeLines="50" w:after="120" w:line="360" w:lineRule="auto"/>
      <w:ind w:left="720" w:hanging="720"/>
    </w:pPr>
    <w:rPr>
      <w:bCs w:val="0"/>
      <w:color w:val="auto"/>
      <w:kern w:val="0"/>
      <w:lang w:val="zh-CN"/>
    </w:rPr>
  </w:style>
  <w:style w:type="paragraph" w:customStyle="1" w:styleId="1211">
    <w:name w:val="批注文字1"/>
    <w:basedOn w:val="1"/>
    <w:qFormat/>
    <w:uiPriority w:val="0"/>
    <w:pPr>
      <w:adjustRightInd w:val="0"/>
      <w:spacing w:before="0" w:beforeLines="0" w:line="360" w:lineRule="atLeast"/>
      <w:ind w:firstLine="590"/>
      <w:jc w:val="left"/>
      <w:textAlignment w:val="baseline"/>
    </w:pPr>
    <w:rPr>
      <w:rFonts w:ascii="Calibri" w:hAnsi="Calibri"/>
      <w:sz w:val="24"/>
      <w:szCs w:val="22"/>
    </w:rPr>
  </w:style>
  <w:style w:type="paragraph" w:customStyle="1" w:styleId="1212">
    <w:name w:val="样式 正文A + (中文) PMingLiU"/>
    <w:basedOn w:val="1"/>
    <w:qFormat/>
    <w:uiPriority w:val="0"/>
    <w:pPr>
      <w:spacing w:before="0" w:beforeLines="0" w:line="480" w:lineRule="auto"/>
      <w:ind w:firstLine="200" w:firstLineChars="200"/>
    </w:pPr>
    <w:rPr>
      <w:sz w:val="24"/>
      <w:szCs w:val="20"/>
    </w:rPr>
  </w:style>
  <w:style w:type="paragraph" w:customStyle="1" w:styleId="1213">
    <w:name w:val="表格样式1"/>
    <w:basedOn w:val="1"/>
    <w:qFormat/>
    <w:uiPriority w:val="0"/>
    <w:pPr>
      <w:spacing w:before="0" w:beforeLines="0" w:line="360" w:lineRule="exact"/>
      <w:jc w:val="center"/>
    </w:pPr>
    <w:rPr>
      <w:rFonts w:eastAsia="仿宋_GB2312"/>
      <w:color w:val="000080"/>
      <w:szCs w:val="20"/>
    </w:rPr>
  </w:style>
  <w:style w:type="paragraph" w:customStyle="1" w:styleId="1214">
    <w:name w:val="Char Char Char Char13"/>
    <w:basedOn w:val="1"/>
    <w:qFormat/>
    <w:uiPriority w:val="0"/>
    <w:pPr>
      <w:spacing w:before="0" w:beforeLines="0" w:line="240" w:lineRule="auto"/>
    </w:pPr>
  </w:style>
  <w:style w:type="paragraph" w:customStyle="1" w:styleId="1215">
    <w:name w:val="样式 四号 段前: 7.8 磅 行距: 多倍行距 1.25 字行"/>
    <w:basedOn w:val="1"/>
    <w:qFormat/>
    <w:uiPriority w:val="0"/>
    <w:pPr>
      <w:snapToGrid w:val="0"/>
      <w:spacing w:before="0" w:beforeLines="50" w:line="360" w:lineRule="auto"/>
      <w:ind w:firstLine="482" w:firstLineChars="200"/>
    </w:pPr>
    <w:rPr>
      <w:rFonts w:cs="宋体"/>
      <w:b/>
      <w:sz w:val="24"/>
    </w:rPr>
  </w:style>
  <w:style w:type="paragraph" w:customStyle="1" w:styleId="1216">
    <w:name w:val="表提11111"/>
    <w:basedOn w:val="54"/>
    <w:qFormat/>
    <w:uiPriority w:val="0"/>
    <w:pPr>
      <w:autoSpaceDE/>
      <w:autoSpaceDN/>
      <w:spacing w:after="120"/>
      <w:jc w:val="both"/>
    </w:pPr>
    <w:rPr>
      <w:rFonts w:ascii="Times New Roman" w:hAnsi="Times New Roman" w:cs="Times New Roman"/>
      <w:kern w:val="2"/>
      <w:sz w:val="21"/>
      <w:szCs w:val="20"/>
      <w:lang w:bidi="ar-SA"/>
    </w:rPr>
  </w:style>
  <w:style w:type="paragraph" w:customStyle="1" w:styleId="1217">
    <w:name w:val="Char Char Char Char12"/>
    <w:basedOn w:val="1"/>
    <w:qFormat/>
    <w:uiPriority w:val="0"/>
    <w:pPr>
      <w:spacing w:before="0" w:beforeLines="0" w:line="240" w:lineRule="auto"/>
    </w:pPr>
  </w:style>
  <w:style w:type="character" w:customStyle="1" w:styleId="1218">
    <w:name w:val="表格头 Char"/>
    <w:semiHidden/>
    <w:qFormat/>
    <w:uiPriority w:val="0"/>
    <w:rPr>
      <w:rFonts w:ascii="Arial" w:hAnsi="Arial" w:eastAsia="黑体" w:cs="Times New Roman"/>
      <w:snapToGrid w:val="0"/>
      <w:color w:val="000000"/>
      <w:kern w:val="0"/>
      <w:szCs w:val="24"/>
      <w:lang w:val="zh-CN" w:eastAsia="zh-CN"/>
    </w:rPr>
  </w:style>
  <w:style w:type="paragraph" w:customStyle="1" w:styleId="1219">
    <w:name w:val="Char Char Char Char11"/>
    <w:basedOn w:val="1"/>
    <w:qFormat/>
    <w:uiPriority w:val="0"/>
    <w:pPr>
      <w:spacing w:before="0" w:beforeLines="0" w:line="240" w:lineRule="auto"/>
    </w:pPr>
  </w:style>
  <w:style w:type="paragraph" w:customStyle="1" w:styleId="1220">
    <w:name w:val="Char Char Char Char10"/>
    <w:basedOn w:val="1"/>
    <w:qFormat/>
    <w:uiPriority w:val="0"/>
    <w:pPr>
      <w:spacing w:before="0" w:beforeLines="0" w:line="240" w:lineRule="auto"/>
    </w:pPr>
  </w:style>
  <w:style w:type="paragraph" w:customStyle="1" w:styleId="1221">
    <w:name w:val="Char Char Char Char9"/>
    <w:basedOn w:val="1"/>
    <w:qFormat/>
    <w:uiPriority w:val="0"/>
    <w:pPr>
      <w:spacing w:before="0" w:beforeLines="0" w:line="240" w:lineRule="auto"/>
    </w:pPr>
  </w:style>
  <w:style w:type="paragraph" w:customStyle="1" w:styleId="1222">
    <w:name w:val="Char Char Char Char8"/>
    <w:basedOn w:val="1"/>
    <w:qFormat/>
    <w:uiPriority w:val="0"/>
    <w:pPr>
      <w:spacing w:before="0" w:beforeLines="0" w:line="240" w:lineRule="auto"/>
    </w:pPr>
  </w:style>
  <w:style w:type="paragraph" w:customStyle="1" w:styleId="1223">
    <w:name w:val="Char Char Char Char7"/>
    <w:basedOn w:val="1"/>
    <w:qFormat/>
    <w:uiPriority w:val="0"/>
    <w:pPr>
      <w:spacing w:before="0" w:beforeLines="0" w:line="240" w:lineRule="auto"/>
    </w:pPr>
  </w:style>
  <w:style w:type="paragraph" w:customStyle="1" w:styleId="1224">
    <w:name w:val="Char Char Char Char6"/>
    <w:basedOn w:val="1"/>
    <w:qFormat/>
    <w:uiPriority w:val="0"/>
    <w:pPr>
      <w:spacing w:before="0" w:beforeLines="0" w:line="240" w:lineRule="auto"/>
    </w:pPr>
  </w:style>
  <w:style w:type="paragraph" w:customStyle="1" w:styleId="1225">
    <w:name w:val="Char Char Char Char5"/>
    <w:basedOn w:val="1"/>
    <w:qFormat/>
    <w:uiPriority w:val="0"/>
    <w:pPr>
      <w:spacing w:before="0" w:beforeLines="0" w:line="240" w:lineRule="auto"/>
    </w:pPr>
  </w:style>
  <w:style w:type="paragraph" w:customStyle="1" w:styleId="1226">
    <w:name w:val="Char Char Char Char4"/>
    <w:basedOn w:val="1"/>
    <w:qFormat/>
    <w:uiPriority w:val="0"/>
    <w:pPr>
      <w:spacing w:before="0" w:beforeLines="0" w:line="240" w:lineRule="auto"/>
    </w:pPr>
  </w:style>
  <w:style w:type="paragraph" w:customStyle="1" w:styleId="1227">
    <w:name w:val="Char Char Char Char3"/>
    <w:basedOn w:val="1"/>
    <w:qFormat/>
    <w:uiPriority w:val="0"/>
    <w:pPr>
      <w:spacing w:before="0" w:beforeLines="0" w:line="240" w:lineRule="auto"/>
    </w:pPr>
  </w:style>
  <w:style w:type="paragraph" w:customStyle="1" w:styleId="1228">
    <w:name w:val="Char Char Char Char15"/>
    <w:basedOn w:val="1"/>
    <w:qFormat/>
    <w:uiPriority w:val="0"/>
    <w:pPr>
      <w:spacing w:before="0" w:beforeLines="0" w:line="240" w:lineRule="auto"/>
    </w:pPr>
  </w:style>
  <w:style w:type="paragraph" w:customStyle="1" w:styleId="1229">
    <w:name w:val="Char Char Char Char14"/>
    <w:basedOn w:val="1"/>
    <w:qFormat/>
    <w:uiPriority w:val="0"/>
    <w:pPr>
      <w:spacing w:before="0" w:beforeLines="0" w:line="240" w:lineRule="auto"/>
    </w:pPr>
  </w:style>
  <w:style w:type="paragraph" w:customStyle="1" w:styleId="1230">
    <w:name w:val="Char Char Char Char18"/>
    <w:basedOn w:val="1"/>
    <w:qFormat/>
    <w:uiPriority w:val="0"/>
    <w:pPr>
      <w:spacing w:before="0" w:beforeLines="0" w:line="240" w:lineRule="auto"/>
    </w:pPr>
  </w:style>
  <w:style w:type="paragraph" w:customStyle="1" w:styleId="1231">
    <w:name w:val="Char Char Char Char17"/>
    <w:basedOn w:val="1"/>
    <w:qFormat/>
    <w:uiPriority w:val="0"/>
    <w:pPr>
      <w:spacing w:before="0" w:beforeLines="0" w:line="240" w:lineRule="auto"/>
    </w:pPr>
  </w:style>
  <w:style w:type="paragraph" w:customStyle="1" w:styleId="1232">
    <w:name w:val="Char Char Char Char16"/>
    <w:basedOn w:val="1"/>
    <w:qFormat/>
    <w:uiPriority w:val="0"/>
    <w:pPr>
      <w:spacing w:before="0" w:beforeLines="0" w:line="240" w:lineRule="auto"/>
    </w:pPr>
  </w:style>
  <w:style w:type="paragraph" w:customStyle="1" w:styleId="1233">
    <w:name w:val="表格文字（四）"/>
    <w:basedOn w:val="171"/>
    <w:qFormat/>
    <w:uiPriority w:val="0"/>
    <w:pPr>
      <w:spacing w:before="60" w:after="60" w:line="240" w:lineRule="atLeast"/>
    </w:pPr>
    <w:rPr>
      <w:color w:val="auto"/>
      <w:kern w:val="2"/>
      <w:sz w:val="28"/>
      <w:szCs w:val="24"/>
      <w:lang w:val="zh-CN"/>
    </w:rPr>
  </w:style>
  <w:style w:type="paragraph" w:customStyle="1" w:styleId="1234">
    <w:name w:val="正文小四"/>
    <w:basedOn w:val="1"/>
    <w:qFormat/>
    <w:uiPriority w:val="0"/>
    <w:pPr>
      <w:adjustRightInd w:val="0"/>
      <w:snapToGrid w:val="0"/>
      <w:spacing w:before="0" w:beforeLines="0" w:line="240" w:lineRule="auto"/>
    </w:pPr>
    <w:rPr>
      <w:rFonts w:ascii="宋体" w:hAnsi="宋体"/>
      <w:sz w:val="24"/>
      <w:szCs w:val="20"/>
    </w:rPr>
  </w:style>
  <w:style w:type="paragraph" w:customStyle="1" w:styleId="1235">
    <w:name w:val="Char Char Char Char19"/>
    <w:basedOn w:val="1"/>
    <w:qFormat/>
    <w:uiPriority w:val="0"/>
    <w:pPr>
      <w:spacing w:before="0" w:beforeLines="0" w:line="240" w:lineRule="auto"/>
    </w:pPr>
  </w:style>
  <w:style w:type="paragraph" w:customStyle="1" w:styleId="1236">
    <w:name w:val="样式 首行缩进:  2 字符 段前: 0.5 行3"/>
    <w:basedOn w:val="1"/>
    <w:qFormat/>
    <w:uiPriority w:val="0"/>
    <w:pPr>
      <w:spacing w:before="0" w:beforeLines="50" w:afterLines="50" w:line="360" w:lineRule="auto"/>
      <w:ind w:firstLine="480" w:firstLineChars="200"/>
    </w:pPr>
    <w:rPr>
      <w:rFonts w:cs="宋体"/>
      <w:sz w:val="24"/>
      <w:szCs w:val="20"/>
    </w:rPr>
  </w:style>
  <w:style w:type="paragraph" w:customStyle="1" w:styleId="1237">
    <w:name w:val="样式 标题 1 + 段前: 0.5 行"/>
    <w:basedOn w:val="3"/>
    <w:qFormat/>
    <w:uiPriority w:val="0"/>
    <w:pPr>
      <w:tabs>
        <w:tab w:val="left" w:pos="425"/>
        <w:tab w:val="clear" w:pos="360"/>
      </w:tabs>
      <w:spacing w:before="0"/>
      <w:ind w:left="425" w:hanging="425"/>
    </w:pPr>
    <w:rPr>
      <w:rFonts w:cs="宋体"/>
      <w:color w:val="auto"/>
      <w:kern w:val="44"/>
      <w:lang w:val="zh-CN"/>
    </w:rPr>
  </w:style>
  <w:style w:type="paragraph" w:customStyle="1" w:styleId="1238">
    <w:name w:val="样式 样式 样式 标题 2 + 段前: 0.5 行 + 段前: 0.5 行 + 段前: 0.5 行"/>
    <w:basedOn w:val="1"/>
    <w:next w:val="5"/>
    <w:qFormat/>
    <w:uiPriority w:val="0"/>
    <w:pPr>
      <w:keepNext/>
      <w:keepLines/>
      <w:tabs>
        <w:tab w:val="left" w:pos="1050"/>
      </w:tabs>
      <w:spacing w:before="0" w:beforeLines="0" w:line="415" w:lineRule="auto"/>
      <w:ind w:left="1418" w:hanging="992"/>
      <w:outlineLvl w:val="1"/>
    </w:pPr>
    <w:rPr>
      <w:rFonts w:ascii="Arial" w:hAnsi="Arial" w:eastAsia="黑体" w:cs="宋体"/>
      <w:bCs/>
      <w:sz w:val="32"/>
      <w:szCs w:val="20"/>
    </w:rPr>
  </w:style>
  <w:style w:type="paragraph" w:customStyle="1" w:styleId="1239">
    <w:name w:val="2级标题"/>
    <w:basedOn w:val="1238"/>
    <w:next w:val="1"/>
    <w:qFormat/>
    <w:uiPriority w:val="0"/>
    <w:pPr>
      <w:tabs>
        <w:tab w:val="left" w:pos="0"/>
        <w:tab w:val="clear" w:pos="1050"/>
      </w:tabs>
      <w:snapToGrid w:val="0"/>
      <w:spacing w:beforeLines="50"/>
      <w:ind w:left="0" w:firstLine="0"/>
    </w:pPr>
    <w:rPr>
      <w:bCs w:val="0"/>
    </w:rPr>
  </w:style>
  <w:style w:type="paragraph" w:customStyle="1" w:styleId="1240">
    <w:name w:val="样式 首行缩进:  0.85 厘米 段前: 7.8 磅"/>
    <w:basedOn w:val="1"/>
    <w:qFormat/>
    <w:uiPriority w:val="0"/>
    <w:pPr>
      <w:adjustRightInd w:val="0"/>
      <w:snapToGrid w:val="0"/>
      <w:spacing w:before="0" w:beforeLines="50" w:line="300" w:lineRule="auto"/>
      <w:ind w:firstLine="200" w:firstLineChars="200"/>
    </w:pPr>
    <w:rPr>
      <w:rFonts w:cs="宋体"/>
      <w:sz w:val="24"/>
    </w:rPr>
  </w:style>
  <w:style w:type="paragraph" w:customStyle="1" w:styleId="1241">
    <w:name w:val="样式 样式 首行缩进:  2 字符 + 首行缩进:  2 字符1"/>
    <w:basedOn w:val="362"/>
    <w:qFormat/>
    <w:uiPriority w:val="0"/>
    <w:pPr>
      <w:adjustRightInd w:val="0"/>
      <w:snapToGrid w:val="0"/>
      <w:spacing w:line="360" w:lineRule="auto"/>
      <w:ind w:firstLine="480"/>
    </w:pPr>
    <w:rPr>
      <w:rFonts w:ascii="Calibri" w:hAnsi="Calibri"/>
      <w:b w:val="0"/>
      <w:spacing w:val="20"/>
      <w:sz w:val="24"/>
      <w:szCs w:val="22"/>
    </w:rPr>
  </w:style>
  <w:style w:type="paragraph" w:customStyle="1" w:styleId="1242">
    <w:name w:val="样式 标题 3 + Arial 倾斜"/>
    <w:basedOn w:val="5"/>
    <w:link w:val="1243"/>
    <w:qFormat/>
    <w:uiPriority w:val="0"/>
    <w:pPr>
      <w:keepNext/>
      <w:adjustRightInd w:val="0"/>
      <w:snapToGrid w:val="0"/>
      <w:spacing w:before="160" w:after="160" w:line="360" w:lineRule="auto"/>
    </w:pPr>
    <w:rPr>
      <w:rFonts w:ascii="Arial" w:hAnsi="Arial" w:eastAsia="楷体_GB2312"/>
      <w:i/>
      <w:iCs/>
      <w:color w:val="auto"/>
      <w:kern w:val="2"/>
      <w:sz w:val="30"/>
      <w:szCs w:val="30"/>
      <w:lang w:val="zh-CN"/>
    </w:rPr>
  </w:style>
  <w:style w:type="character" w:customStyle="1" w:styleId="1243">
    <w:name w:val="样式 标题 3 + Arial 倾斜 Char"/>
    <w:link w:val="1242"/>
    <w:qFormat/>
    <w:uiPriority w:val="0"/>
    <w:rPr>
      <w:rFonts w:ascii="Arial" w:hAnsi="Arial" w:eastAsia="楷体_GB2312"/>
      <w:b/>
      <w:bCs/>
      <w:i/>
      <w:iCs/>
      <w:kern w:val="2"/>
      <w:sz w:val="30"/>
      <w:szCs w:val="30"/>
      <w:lang w:val="zh-CN"/>
    </w:rPr>
  </w:style>
  <w:style w:type="paragraph" w:customStyle="1" w:styleId="1244">
    <w:name w:val="日期3"/>
    <w:basedOn w:val="1"/>
    <w:next w:val="1"/>
    <w:qFormat/>
    <w:uiPriority w:val="0"/>
    <w:pPr>
      <w:adjustRightInd w:val="0"/>
      <w:spacing w:before="0" w:beforeLines="0" w:line="360" w:lineRule="atLeast"/>
      <w:ind w:firstLine="510"/>
      <w:textAlignment w:val="baseline"/>
    </w:pPr>
    <w:rPr>
      <w:rFonts w:eastAsia="楷体_GB2312"/>
      <w:b/>
      <w:kern w:val="0"/>
      <w:sz w:val="24"/>
      <w:szCs w:val="20"/>
    </w:rPr>
  </w:style>
  <w:style w:type="paragraph" w:customStyle="1" w:styleId="1245">
    <w:name w:val="样式 首行缩进:  0.87 厘米"/>
    <w:basedOn w:val="1"/>
    <w:qFormat/>
    <w:uiPriority w:val="0"/>
    <w:pPr>
      <w:adjustRightInd w:val="0"/>
      <w:snapToGrid w:val="0"/>
      <w:spacing w:before="0" w:beforeLines="0" w:line="360" w:lineRule="auto"/>
    </w:pPr>
    <w:rPr>
      <w:color w:val="FF0000"/>
      <w:spacing w:val="10"/>
      <w:sz w:val="24"/>
    </w:rPr>
  </w:style>
  <w:style w:type="paragraph" w:customStyle="1" w:styleId="1246">
    <w:name w:val="样式 样式 首行缩进:  2 字符 + 宋体"/>
    <w:basedOn w:val="362"/>
    <w:link w:val="1247"/>
    <w:qFormat/>
    <w:uiPriority w:val="0"/>
    <w:pPr>
      <w:adjustRightInd w:val="0"/>
      <w:snapToGrid w:val="0"/>
      <w:spacing w:line="360" w:lineRule="auto"/>
      <w:ind w:firstLine="480"/>
    </w:pPr>
    <w:rPr>
      <w:rFonts w:ascii="Calibri" w:hAnsi="Calibri"/>
      <w:b w:val="0"/>
      <w:spacing w:val="20"/>
      <w:sz w:val="24"/>
      <w:szCs w:val="22"/>
    </w:rPr>
  </w:style>
  <w:style w:type="character" w:customStyle="1" w:styleId="1247">
    <w:name w:val="样式 样式 首行缩进:  2 字符 + 宋体 Char"/>
    <w:link w:val="1246"/>
    <w:qFormat/>
    <w:uiPriority w:val="0"/>
    <w:rPr>
      <w:rFonts w:ascii="Calibri" w:hAnsi="Calibri"/>
      <w:spacing w:val="20"/>
      <w:kern w:val="2"/>
      <w:sz w:val="24"/>
      <w:szCs w:val="22"/>
    </w:rPr>
  </w:style>
  <w:style w:type="paragraph" w:customStyle="1" w:styleId="1248">
    <w:name w:val="样式 样式 首行缩进:  2 字符 + 首行缩进:  2 字符2"/>
    <w:basedOn w:val="362"/>
    <w:qFormat/>
    <w:uiPriority w:val="0"/>
    <w:pPr>
      <w:adjustRightInd w:val="0"/>
      <w:snapToGrid w:val="0"/>
      <w:spacing w:line="360" w:lineRule="auto"/>
      <w:ind w:firstLine="480"/>
    </w:pPr>
    <w:rPr>
      <w:rFonts w:ascii="Calibri" w:hAnsi="Calibri"/>
      <w:b w:val="0"/>
      <w:spacing w:val="20"/>
      <w:sz w:val="24"/>
      <w:szCs w:val="22"/>
    </w:rPr>
  </w:style>
  <w:style w:type="paragraph" w:customStyle="1" w:styleId="1249">
    <w:name w:val="样式 黑体 居中 首行缩进:  0.92 厘米 段前: 7.8 磅"/>
    <w:basedOn w:val="1"/>
    <w:qFormat/>
    <w:uiPriority w:val="0"/>
    <w:pPr>
      <w:adjustRightInd w:val="0"/>
      <w:snapToGrid w:val="0"/>
      <w:spacing w:before="156" w:beforeLines="0" w:line="360" w:lineRule="auto"/>
      <w:ind w:firstLine="520"/>
      <w:jc w:val="center"/>
    </w:pPr>
    <w:rPr>
      <w:rFonts w:ascii="黑体" w:eastAsia="黑体" w:cs="宋体"/>
      <w:spacing w:val="4"/>
      <w:sz w:val="24"/>
      <w:szCs w:val="20"/>
    </w:rPr>
  </w:style>
  <w:style w:type="paragraph" w:customStyle="1" w:styleId="1250">
    <w:name w:val="样式 样式 首行缩进:  2 字符 + 首行缩进:  2 字符3"/>
    <w:basedOn w:val="362"/>
    <w:qFormat/>
    <w:uiPriority w:val="0"/>
    <w:pPr>
      <w:adjustRightInd w:val="0"/>
      <w:snapToGrid w:val="0"/>
      <w:spacing w:line="360" w:lineRule="auto"/>
      <w:ind w:firstLine="480"/>
    </w:pPr>
    <w:rPr>
      <w:rFonts w:ascii="Calibri" w:hAnsi="Calibri"/>
      <w:b w:val="0"/>
      <w:spacing w:val="20"/>
      <w:sz w:val="24"/>
      <w:szCs w:val="22"/>
    </w:rPr>
  </w:style>
  <w:style w:type="paragraph" w:customStyle="1" w:styleId="1251">
    <w:name w:val="样式 五号 居中 首行缩进:  0.81 厘米 行距: 最小值 18 磅"/>
    <w:basedOn w:val="1"/>
    <w:qFormat/>
    <w:uiPriority w:val="0"/>
    <w:pPr>
      <w:adjustRightInd w:val="0"/>
      <w:snapToGrid w:val="0"/>
      <w:spacing w:before="0" w:beforeLines="0" w:line="360" w:lineRule="atLeast"/>
      <w:jc w:val="center"/>
    </w:pPr>
    <w:rPr>
      <w:rFonts w:cs="宋体"/>
      <w:spacing w:val="10"/>
      <w:szCs w:val="20"/>
    </w:rPr>
  </w:style>
  <w:style w:type="paragraph" w:customStyle="1" w:styleId="1252">
    <w:name w:val="小四表文左齐"/>
    <w:basedOn w:val="1"/>
    <w:qFormat/>
    <w:uiPriority w:val="0"/>
    <w:pPr>
      <w:spacing w:before="0" w:beforeLines="0" w:line="240" w:lineRule="auto"/>
      <w:jc w:val="center"/>
    </w:pPr>
    <w:rPr>
      <w:rFonts w:ascii="宋体" w:hAnsi="宋体"/>
      <w:sz w:val="24"/>
      <w:szCs w:val="20"/>
    </w:rPr>
  </w:style>
  <w:style w:type="paragraph" w:customStyle="1" w:styleId="1253">
    <w:name w:val="流程图"/>
    <w:basedOn w:val="1"/>
    <w:qFormat/>
    <w:uiPriority w:val="0"/>
    <w:pPr>
      <w:tabs>
        <w:tab w:val="left" w:pos="0"/>
      </w:tabs>
      <w:autoSpaceDE w:val="0"/>
      <w:autoSpaceDN w:val="0"/>
      <w:adjustRightInd w:val="0"/>
      <w:spacing w:before="0" w:beforeLines="0" w:line="240" w:lineRule="atLeast"/>
      <w:jc w:val="center"/>
      <w:textAlignment w:val="bottom"/>
    </w:pPr>
    <w:rPr>
      <w:rFonts w:ascii="宋体"/>
      <w:szCs w:val="20"/>
    </w:rPr>
  </w:style>
  <w:style w:type="character" w:styleId="1254">
    <w:name w:val="Placeholder Text"/>
    <w:qFormat/>
    <w:uiPriority w:val="99"/>
    <w:rPr>
      <w:color w:val="808080"/>
    </w:rPr>
  </w:style>
  <w:style w:type="paragraph" w:customStyle="1" w:styleId="1255">
    <w:name w:val="Char Char1 Char"/>
    <w:basedOn w:val="1"/>
    <w:qFormat/>
    <w:uiPriority w:val="0"/>
    <w:pPr>
      <w:spacing w:before="0" w:beforeLines="0" w:line="240" w:lineRule="auto"/>
    </w:pPr>
    <w:rPr>
      <w:sz w:val="24"/>
    </w:rPr>
  </w:style>
  <w:style w:type="character" w:customStyle="1" w:styleId="1256">
    <w:name w:val="表标题 Char"/>
    <w:link w:val="235"/>
    <w:qFormat/>
    <w:locked/>
    <w:uiPriority w:val="0"/>
    <w:rPr>
      <w:kern w:val="2"/>
      <w:sz w:val="21"/>
      <w:szCs w:val="24"/>
    </w:rPr>
  </w:style>
  <w:style w:type="paragraph" w:customStyle="1" w:styleId="1257">
    <w:name w:val="图表文字"/>
    <w:basedOn w:val="1"/>
    <w:qFormat/>
    <w:uiPriority w:val="0"/>
    <w:pPr>
      <w:spacing w:before="0" w:beforeLines="0" w:line="300" w:lineRule="exact"/>
      <w:jc w:val="center"/>
    </w:pPr>
    <w:rPr>
      <w:bCs/>
      <w:szCs w:val="20"/>
    </w:rPr>
  </w:style>
  <w:style w:type="paragraph" w:customStyle="1" w:styleId="1258">
    <w:name w:val="编号1"/>
    <w:basedOn w:val="1"/>
    <w:qFormat/>
    <w:uiPriority w:val="0"/>
    <w:pPr>
      <w:tabs>
        <w:tab w:val="left" w:pos="420"/>
      </w:tabs>
      <w:spacing w:before="0" w:beforeLines="0" w:line="240" w:lineRule="auto"/>
      <w:ind w:left="420" w:hanging="420"/>
    </w:pPr>
    <w:rPr>
      <w:szCs w:val="20"/>
    </w:rPr>
  </w:style>
  <w:style w:type="paragraph" w:customStyle="1" w:styleId="1259">
    <w:name w:val="Char Char Char2 Char Char Char1"/>
    <w:basedOn w:val="1"/>
    <w:qFormat/>
    <w:uiPriority w:val="0"/>
    <w:pPr>
      <w:spacing w:before="0" w:beforeLines="0" w:line="240" w:lineRule="auto"/>
    </w:pPr>
    <w:rPr>
      <w:szCs w:val="20"/>
    </w:rPr>
  </w:style>
  <w:style w:type="paragraph" w:customStyle="1" w:styleId="1260">
    <w:name w:val="Char Char Char Char Char Char11"/>
    <w:basedOn w:val="1"/>
    <w:qFormat/>
    <w:uiPriority w:val="0"/>
    <w:pPr>
      <w:spacing w:before="0" w:beforeLines="0" w:line="240" w:lineRule="auto"/>
    </w:pPr>
  </w:style>
  <w:style w:type="paragraph" w:customStyle="1" w:styleId="1261">
    <w:name w:val="Char Char Char Char Char Char Char Char Char1"/>
    <w:basedOn w:val="1"/>
    <w:qFormat/>
    <w:uiPriority w:val="0"/>
    <w:pPr>
      <w:spacing w:before="0" w:beforeLines="0" w:line="240" w:lineRule="auto"/>
    </w:pPr>
  </w:style>
  <w:style w:type="paragraph" w:customStyle="1" w:styleId="1262">
    <w:name w:val="Char Char Char Char Char Char Char Char Char Char Char Char Char Char Char Char1"/>
    <w:basedOn w:val="1"/>
    <w:qFormat/>
    <w:uiPriority w:val="0"/>
    <w:pPr>
      <w:spacing w:before="0" w:beforeLines="0" w:line="360" w:lineRule="auto"/>
      <w:ind w:firstLine="200" w:firstLineChars="200"/>
    </w:pPr>
    <w:rPr>
      <w:rFonts w:ascii="宋体" w:hAnsi="宋体" w:cs="宋体"/>
      <w:sz w:val="24"/>
    </w:rPr>
  </w:style>
  <w:style w:type="paragraph" w:customStyle="1" w:styleId="1263">
    <w:name w:val="a3"/>
    <w:basedOn w:val="1"/>
    <w:qFormat/>
    <w:uiPriority w:val="0"/>
    <w:pPr>
      <w:widowControl/>
      <w:spacing w:before="100" w:beforeLines="0" w:beforeAutospacing="1" w:after="100" w:afterAutospacing="1" w:line="240" w:lineRule="auto"/>
      <w:jc w:val="left"/>
    </w:pPr>
    <w:rPr>
      <w:rFonts w:ascii="宋体" w:hAnsi="宋体"/>
      <w:color w:val="000000"/>
      <w:kern w:val="0"/>
      <w:sz w:val="24"/>
    </w:rPr>
  </w:style>
  <w:style w:type="paragraph" w:customStyle="1" w:styleId="1264">
    <w:name w:val="样式 行距: 最小值 23 磅"/>
    <w:basedOn w:val="1"/>
    <w:qFormat/>
    <w:uiPriority w:val="0"/>
    <w:pPr>
      <w:adjustRightInd w:val="0"/>
      <w:snapToGrid w:val="0"/>
      <w:spacing w:before="0" w:beforeLines="0" w:line="360" w:lineRule="auto"/>
      <w:ind w:firstLine="480"/>
    </w:pPr>
    <w:rPr>
      <w:rFonts w:cs="宋体"/>
      <w:sz w:val="24"/>
      <w:szCs w:val="28"/>
    </w:rPr>
  </w:style>
  <w:style w:type="paragraph" w:customStyle="1" w:styleId="1265">
    <w:name w:val="Header Left"/>
    <w:basedOn w:val="36"/>
    <w:qFormat/>
    <w:uiPriority w:val="35"/>
    <w:pPr>
      <w:widowControl/>
      <w:pBdr>
        <w:bottom w:val="dashed" w:color="7F7F7F" w:sz="4" w:space="18"/>
      </w:pBdr>
      <w:tabs>
        <w:tab w:val="center" w:pos="4320"/>
        <w:tab w:val="right" w:pos="8640"/>
        <w:tab w:val="clear" w:pos="4153"/>
        <w:tab w:val="clear" w:pos="8306"/>
      </w:tabs>
      <w:adjustRightInd w:val="0"/>
      <w:snapToGrid/>
      <w:spacing w:before="0" w:beforeLines="0" w:after="200" w:line="396" w:lineRule="auto"/>
      <w:ind w:firstLine="200" w:firstLineChars="200"/>
      <w:jc w:val="left"/>
    </w:pPr>
    <w:rPr>
      <w:rFonts w:ascii="Calibri" w:hAnsi="Calibri"/>
      <w:color w:val="7F7F7F"/>
      <w:kern w:val="0"/>
      <w:sz w:val="20"/>
      <w:szCs w:val="20"/>
    </w:rPr>
  </w:style>
  <w:style w:type="character" w:customStyle="1" w:styleId="1266">
    <w:name w:val="样式 四号"/>
    <w:qFormat/>
    <w:uiPriority w:val="0"/>
    <w:rPr>
      <w:rFonts w:ascii="Times New Roman" w:hAnsi="Times New Roman" w:eastAsia="宋体"/>
      <w:sz w:val="24"/>
      <w:szCs w:val="24"/>
    </w:rPr>
  </w:style>
  <w:style w:type="paragraph" w:customStyle="1" w:styleId="1267">
    <w:name w:val="6表内文字 居中"/>
    <w:basedOn w:val="1"/>
    <w:qFormat/>
    <w:uiPriority w:val="0"/>
    <w:pPr>
      <w:adjustRightInd w:val="0"/>
      <w:spacing w:before="0" w:beforeLines="0" w:line="240" w:lineRule="atLeast"/>
      <w:jc w:val="center"/>
      <w:textAlignment w:val="baseline"/>
    </w:pPr>
    <w:rPr>
      <w:snapToGrid w:val="0"/>
      <w:kern w:val="0"/>
    </w:rPr>
  </w:style>
  <w:style w:type="paragraph" w:customStyle="1" w:styleId="1268">
    <w:name w:val="8"/>
    <w:basedOn w:val="1"/>
    <w:qFormat/>
    <w:uiPriority w:val="73"/>
    <w:pPr>
      <w:adjustRightInd w:val="0"/>
      <w:snapToGrid w:val="0"/>
      <w:spacing w:before="0" w:beforeLines="0" w:line="360" w:lineRule="auto"/>
      <w:ind w:firstLine="200" w:firstLineChars="200"/>
    </w:pPr>
    <w:rPr>
      <w:color w:val="000000"/>
      <w:sz w:val="24"/>
      <w:szCs w:val="20"/>
    </w:rPr>
  </w:style>
  <w:style w:type="table" w:customStyle="1" w:styleId="1269">
    <w:name w:val="我的样式"/>
    <w:basedOn w:val="89"/>
    <w:qFormat/>
    <w:uiPriority w:val="99"/>
    <w:pPr>
      <w:spacing w:line="240" w:lineRule="atLeast"/>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character" w:customStyle="1" w:styleId="1270">
    <w:name w:val="表格正文 Char"/>
    <w:link w:val="420"/>
    <w:qFormat/>
    <w:uiPriority w:val="0"/>
    <w:rPr>
      <w:sz w:val="24"/>
    </w:rPr>
  </w:style>
  <w:style w:type="character" w:customStyle="1" w:styleId="1271">
    <w:name w:val="表内文字 Char Char"/>
    <w:qFormat/>
    <w:uiPriority w:val="0"/>
    <w:rPr>
      <w:rFonts w:ascii="宋体" w:hAnsi="宋体" w:eastAsia="宋体" w:cs="Times New Roman"/>
      <w:szCs w:val="21"/>
    </w:rPr>
  </w:style>
  <w:style w:type="character" w:customStyle="1" w:styleId="1272">
    <w:name w:val="题注 字符1"/>
    <w:qFormat/>
    <w:uiPriority w:val="35"/>
    <w:rPr>
      <w:rFonts w:ascii="Cambria" w:hAnsi="Cambria" w:eastAsia="黑体"/>
      <w:kern w:val="2"/>
      <w:sz w:val="22"/>
    </w:rPr>
  </w:style>
  <w:style w:type="character" w:customStyle="1" w:styleId="1273">
    <w:name w:val="1正文段落 Char"/>
    <w:link w:val="1176"/>
    <w:qFormat/>
    <w:uiPriority w:val="0"/>
    <w:rPr>
      <w:snapToGrid w:val="0"/>
      <w:sz w:val="24"/>
      <w:szCs w:val="24"/>
    </w:rPr>
  </w:style>
  <w:style w:type="paragraph" w:customStyle="1" w:styleId="1274">
    <w:name w:val="Char Char10 Char Char"/>
    <w:basedOn w:val="1"/>
    <w:semiHidden/>
    <w:qFormat/>
    <w:uiPriority w:val="0"/>
    <w:pPr>
      <w:spacing w:before="0" w:beforeLines="0" w:line="240" w:lineRule="auto"/>
    </w:pPr>
  </w:style>
  <w:style w:type="paragraph" w:customStyle="1" w:styleId="1275">
    <w:name w:val="p9"/>
    <w:basedOn w:val="1"/>
    <w:qFormat/>
    <w:uiPriority w:val="0"/>
    <w:pPr>
      <w:widowControl/>
      <w:spacing w:before="100" w:beforeLines="0" w:beforeAutospacing="1" w:after="100" w:afterAutospacing="1" w:line="240" w:lineRule="auto"/>
      <w:jc w:val="left"/>
    </w:pPr>
    <w:rPr>
      <w:rFonts w:ascii="Arial Unicode MS" w:hAnsi="Arial Unicode MS" w:eastAsia="Arial Unicode MS" w:cs="Arial Unicode MS"/>
      <w:color w:val="000000"/>
      <w:kern w:val="0"/>
      <w:sz w:val="24"/>
    </w:rPr>
  </w:style>
  <w:style w:type="table" w:customStyle="1" w:styleId="1276">
    <w:name w:val="专业网格1"/>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77">
    <w:name w:val="图的标题"/>
    <w:basedOn w:val="1"/>
    <w:qFormat/>
    <w:uiPriority w:val="0"/>
    <w:pPr>
      <w:adjustRightInd w:val="0"/>
      <w:snapToGrid w:val="0"/>
      <w:spacing w:before="0" w:beforeLines="0" w:line="312" w:lineRule="auto"/>
      <w:jc w:val="center"/>
    </w:pPr>
    <w:rPr>
      <w:rFonts w:ascii="宋体" w:hAnsi="宋体"/>
    </w:rPr>
  </w:style>
  <w:style w:type="paragraph" w:customStyle="1" w:styleId="1278">
    <w:name w:val="样式 仿宋_GB2312"/>
    <w:basedOn w:val="1"/>
    <w:qFormat/>
    <w:uiPriority w:val="0"/>
    <w:pPr>
      <w:spacing w:before="0" w:beforeLines="0" w:line="500" w:lineRule="exact"/>
      <w:ind w:firstLine="504" w:firstLineChars="200"/>
    </w:pPr>
    <w:rPr>
      <w:spacing w:val="6"/>
      <w:sz w:val="24"/>
    </w:rPr>
  </w:style>
  <w:style w:type="paragraph" w:customStyle="1" w:styleId="1279">
    <w:name w:val="标题04"/>
    <w:basedOn w:val="47"/>
    <w:next w:val="53"/>
    <w:semiHidden/>
    <w:qFormat/>
    <w:uiPriority w:val="0"/>
    <w:pPr>
      <w:snapToGrid w:val="0"/>
      <w:spacing w:before="300" w:beforeLines="0" w:line="460" w:lineRule="exact"/>
      <w:jc w:val="left"/>
    </w:pPr>
    <w:rPr>
      <w:rFonts w:ascii="Times New Roman" w:hAnsi="Times New Roman"/>
      <w:b/>
      <w:sz w:val="24"/>
      <w:szCs w:val="24"/>
    </w:rPr>
  </w:style>
  <w:style w:type="character" w:customStyle="1" w:styleId="1280">
    <w:name w:val="a21"/>
    <w:qFormat/>
    <w:uiPriority w:val="0"/>
    <w:rPr>
      <w:rFonts w:hint="default" w:ascii="Arial" w:hAnsi="Arial" w:cs="Arial"/>
      <w:color w:val="000000"/>
      <w:sz w:val="21"/>
      <w:szCs w:val="21"/>
      <w:u w:val="none"/>
    </w:rPr>
  </w:style>
  <w:style w:type="paragraph" w:customStyle="1" w:styleId="1281">
    <w:name w:val="表内式样"/>
    <w:qFormat/>
    <w:uiPriority w:val="0"/>
    <w:pPr>
      <w:keepLines/>
      <w:widowControl w:val="0"/>
      <w:kinsoku w:val="0"/>
      <w:overflowPunct w:val="0"/>
      <w:adjustRightInd w:val="0"/>
      <w:spacing w:line="240" w:lineRule="atLeast"/>
      <w:jc w:val="center"/>
    </w:pPr>
    <w:rPr>
      <w:rFonts w:ascii="宋体" w:hAnsi="Times New Roman" w:eastAsia="宋体" w:cs="Times New Roman"/>
      <w:kern w:val="21"/>
      <w:sz w:val="21"/>
      <w:lang w:val="en-US" w:eastAsia="zh-CN" w:bidi="ar-SA"/>
    </w:rPr>
  </w:style>
  <w:style w:type="character" w:customStyle="1" w:styleId="1282">
    <w:name w:val="font1"/>
    <w:qFormat/>
    <w:uiPriority w:val="0"/>
    <w:rPr>
      <w:color w:val="000000"/>
      <w:sz w:val="18"/>
      <w:szCs w:val="18"/>
      <w:u w:val="none"/>
    </w:rPr>
  </w:style>
  <w:style w:type="paragraph" w:customStyle="1" w:styleId="1283">
    <w:name w:val="样式 正文首行缩进 + 首行缩进:  2 字符1"/>
    <w:basedOn w:val="54"/>
    <w:link w:val="1284"/>
    <w:qFormat/>
    <w:uiPriority w:val="0"/>
    <w:pPr>
      <w:autoSpaceDE/>
      <w:autoSpaceDN/>
      <w:ind w:firstLine="200" w:firstLineChars="200"/>
      <w:jc w:val="both"/>
    </w:pPr>
    <w:rPr>
      <w:rFonts w:ascii="Times New Roman" w:hAnsi="Times New Roman" w:cs="Times New Roman"/>
      <w:spacing w:val="4"/>
      <w:kern w:val="2"/>
      <w:lang w:val="en-US" w:bidi="ar-SA"/>
    </w:rPr>
  </w:style>
  <w:style w:type="character" w:customStyle="1" w:styleId="1284">
    <w:name w:val="样式 正文首行缩进 + 首行缩进:  2 字符1 Char"/>
    <w:link w:val="1283"/>
    <w:qFormat/>
    <w:uiPriority w:val="0"/>
    <w:rPr>
      <w:spacing w:val="4"/>
      <w:kern w:val="2"/>
      <w:sz w:val="24"/>
      <w:szCs w:val="24"/>
    </w:rPr>
  </w:style>
  <w:style w:type="table" w:customStyle="1" w:styleId="1285">
    <w:name w:val="网格型13"/>
    <w:basedOn w:val="89"/>
    <w:qFormat/>
    <w:uiPriority w:val="0"/>
    <w:pPr>
      <w:widowControl w:val="0"/>
      <w:spacing w:line="500" w:lineRule="exact"/>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86">
    <w:name w:val="CM79"/>
    <w:basedOn w:val="34"/>
    <w:next w:val="34"/>
    <w:qFormat/>
    <w:uiPriority w:val="0"/>
    <w:rPr>
      <w:rFonts w:ascii="黑体" w:eastAsia="黑体" w:cs="Times New Roman"/>
      <w:sz w:val="24"/>
      <w:szCs w:val="24"/>
    </w:rPr>
  </w:style>
  <w:style w:type="paragraph" w:customStyle="1" w:styleId="1287">
    <w:name w:val="CM12"/>
    <w:basedOn w:val="34"/>
    <w:next w:val="34"/>
    <w:qFormat/>
    <w:uiPriority w:val="0"/>
    <w:pPr>
      <w:spacing w:line="588" w:lineRule="atLeast"/>
    </w:pPr>
    <w:rPr>
      <w:rFonts w:ascii="黑体" w:eastAsia="黑体" w:cs="Times New Roman"/>
      <w:sz w:val="24"/>
      <w:szCs w:val="24"/>
    </w:rPr>
  </w:style>
  <w:style w:type="paragraph" w:customStyle="1" w:styleId="1288">
    <w:name w:val="CM76"/>
    <w:basedOn w:val="34"/>
    <w:next w:val="34"/>
    <w:qFormat/>
    <w:uiPriority w:val="0"/>
    <w:rPr>
      <w:rFonts w:ascii="黑体" w:eastAsia="黑体" w:cs="Times New Roman"/>
      <w:sz w:val="24"/>
      <w:szCs w:val="24"/>
    </w:rPr>
  </w:style>
  <w:style w:type="paragraph" w:customStyle="1" w:styleId="1289">
    <w:name w:val="CM2"/>
    <w:basedOn w:val="34"/>
    <w:next w:val="34"/>
    <w:qFormat/>
    <w:uiPriority w:val="0"/>
    <w:pPr>
      <w:spacing w:line="588" w:lineRule="atLeast"/>
    </w:pPr>
    <w:rPr>
      <w:rFonts w:ascii="黑体" w:eastAsia="黑体" w:cs="Times New Roman"/>
      <w:sz w:val="24"/>
      <w:szCs w:val="24"/>
    </w:rPr>
  </w:style>
  <w:style w:type="paragraph" w:customStyle="1" w:styleId="1290">
    <w:name w:val="Char4 Char Char Char Char Char Char1"/>
    <w:basedOn w:val="1"/>
    <w:qFormat/>
    <w:uiPriority w:val="0"/>
    <w:pPr>
      <w:spacing w:before="0" w:beforeLines="0" w:line="360" w:lineRule="auto"/>
      <w:ind w:firstLine="200" w:firstLineChars="200"/>
    </w:pPr>
    <w:rPr>
      <w:rFonts w:ascii="宋体" w:hAnsi="宋体" w:cs="宋体"/>
      <w:sz w:val="24"/>
    </w:rPr>
  </w:style>
  <w:style w:type="character" w:customStyle="1" w:styleId="1291">
    <w:name w:val="样式 四号 Char"/>
    <w:qFormat/>
    <w:uiPriority w:val="0"/>
    <w:rPr>
      <w:rFonts w:cs="宋体"/>
      <w:kern w:val="2"/>
      <w:sz w:val="28"/>
    </w:rPr>
  </w:style>
  <w:style w:type="paragraph" w:customStyle="1" w:styleId="1292">
    <w:name w:val="CM85"/>
    <w:basedOn w:val="34"/>
    <w:next w:val="34"/>
    <w:qFormat/>
    <w:uiPriority w:val="0"/>
    <w:rPr>
      <w:rFonts w:ascii="黑体" w:eastAsia="黑体" w:cs="Times New Roman"/>
      <w:sz w:val="24"/>
      <w:szCs w:val="24"/>
    </w:rPr>
  </w:style>
  <w:style w:type="paragraph" w:customStyle="1" w:styleId="1293">
    <w:name w:val="正文应首缩0.98"/>
    <w:basedOn w:val="1"/>
    <w:qFormat/>
    <w:uiPriority w:val="0"/>
    <w:pPr>
      <w:adjustRightInd w:val="0"/>
      <w:snapToGrid w:val="0"/>
      <w:spacing w:before="0" w:beforeLines="0" w:line="300" w:lineRule="auto"/>
      <w:ind w:firstLine="556"/>
      <w:textAlignment w:val="baseline"/>
    </w:pPr>
    <w:rPr>
      <w:kern w:val="0"/>
      <w:sz w:val="28"/>
      <w:szCs w:val="20"/>
    </w:rPr>
  </w:style>
  <w:style w:type="character" w:customStyle="1" w:styleId="1294">
    <w:name w:val="样式7 Char"/>
    <w:link w:val="1055"/>
    <w:qFormat/>
    <w:uiPriority w:val="0"/>
    <w:rPr>
      <w:rFonts w:ascii="宋体" w:hAnsi="Calibri"/>
      <w:bCs/>
      <w:sz w:val="24"/>
    </w:rPr>
  </w:style>
  <w:style w:type="paragraph" w:customStyle="1" w:styleId="1295">
    <w:name w:val="==&gt;"/>
    <w:qFormat/>
    <w:uiPriority w:val="0"/>
    <w:pPr>
      <w:overflowPunct w:val="0"/>
      <w:autoSpaceDE w:val="0"/>
      <w:autoSpaceDN w:val="0"/>
      <w:adjustRightInd w:val="0"/>
    </w:pPr>
    <w:rPr>
      <w:rFonts w:ascii="Times New Roman" w:hAnsi="Times New Roman" w:eastAsia="宋体" w:cs="Times New Roman"/>
      <w:lang w:val="en-GB" w:eastAsia="zh-CN" w:bidi="ar-SA"/>
    </w:rPr>
  </w:style>
  <w:style w:type="paragraph" w:customStyle="1" w:styleId="1296">
    <w:name w:val="gao 1"/>
    <w:basedOn w:val="1"/>
    <w:qFormat/>
    <w:uiPriority w:val="0"/>
    <w:pPr>
      <w:spacing w:before="0" w:beforeLines="0" w:line="240" w:lineRule="auto"/>
    </w:pPr>
    <w:rPr>
      <w:rFonts w:eastAsia="方正大标宋简体"/>
      <w:sz w:val="28"/>
      <w:szCs w:val="20"/>
    </w:rPr>
  </w:style>
  <w:style w:type="paragraph" w:customStyle="1" w:styleId="1297">
    <w:name w:val="样式0"/>
    <w:basedOn w:val="1"/>
    <w:qFormat/>
    <w:uiPriority w:val="0"/>
    <w:pPr>
      <w:spacing w:before="0" w:beforeLines="0" w:line="240" w:lineRule="auto"/>
      <w:ind w:firstLine="557" w:firstLineChars="198"/>
    </w:pPr>
    <w:rPr>
      <w:rFonts w:ascii="Garamond" w:hAnsi="Garamond"/>
      <w:b/>
      <w:bCs/>
      <w:sz w:val="28"/>
    </w:rPr>
  </w:style>
  <w:style w:type="paragraph" w:customStyle="1" w:styleId="1298">
    <w:name w:val="中文报告书样式"/>
    <w:basedOn w:val="1"/>
    <w:qFormat/>
    <w:uiPriority w:val="0"/>
    <w:pPr>
      <w:adjustRightInd w:val="0"/>
      <w:snapToGrid w:val="0"/>
      <w:spacing w:before="0" w:beforeLines="0" w:line="360" w:lineRule="auto"/>
      <w:ind w:firstLine="480" w:firstLineChars="200"/>
      <w:textAlignment w:val="baseline"/>
    </w:pPr>
    <w:rPr>
      <w:kern w:val="24"/>
      <w:sz w:val="24"/>
      <w:szCs w:val="20"/>
    </w:rPr>
  </w:style>
  <w:style w:type="paragraph" w:customStyle="1" w:styleId="1299">
    <w:name w:val="样式 样式1 + 首行缩进:  2 字符 行距: 1.5 倍行距"/>
    <w:basedOn w:val="168"/>
    <w:qFormat/>
    <w:uiPriority w:val="0"/>
    <w:pPr>
      <w:autoSpaceDE w:val="0"/>
      <w:autoSpaceDN w:val="0"/>
      <w:snapToGrid/>
      <w:spacing w:line="360" w:lineRule="auto"/>
      <w:ind w:firstLine="200"/>
      <w:jc w:val="left"/>
      <w:textAlignment w:val="auto"/>
    </w:pPr>
    <w:rPr>
      <w:rFonts w:ascii="宋体" w:cs="宋体"/>
    </w:rPr>
  </w:style>
  <w:style w:type="paragraph" w:customStyle="1" w:styleId="1300">
    <w:name w:val="sn"/>
    <w:basedOn w:val="54"/>
    <w:link w:val="1301"/>
    <w:qFormat/>
    <w:uiPriority w:val="0"/>
    <w:pPr>
      <w:autoSpaceDE/>
      <w:autoSpaceDN/>
      <w:spacing w:after="120" w:line="360" w:lineRule="auto"/>
      <w:ind w:firstLine="480" w:firstLineChars="200"/>
      <w:jc w:val="both"/>
    </w:pPr>
    <w:rPr>
      <w:rFonts w:ascii="Times New Roman" w:hAnsi="Times New Roman" w:cs="Times New Roman"/>
      <w:kern w:val="2"/>
      <w:lang w:val="en-US" w:bidi="ar-SA"/>
    </w:rPr>
  </w:style>
  <w:style w:type="character" w:customStyle="1" w:styleId="1301">
    <w:name w:val="sn Char Char"/>
    <w:link w:val="1300"/>
    <w:qFormat/>
    <w:uiPriority w:val="0"/>
    <w:rPr>
      <w:kern w:val="2"/>
      <w:sz w:val="24"/>
      <w:szCs w:val="24"/>
    </w:rPr>
  </w:style>
  <w:style w:type="paragraph" w:customStyle="1" w:styleId="1302">
    <w:name w:val="sn表题与图表"/>
    <w:basedOn w:val="1"/>
    <w:link w:val="1303"/>
    <w:qFormat/>
    <w:uiPriority w:val="0"/>
    <w:pPr>
      <w:snapToGrid w:val="0"/>
      <w:spacing w:before="0" w:beforeLines="0" w:line="240" w:lineRule="auto"/>
      <w:jc w:val="center"/>
    </w:pPr>
    <w:rPr>
      <w:rFonts w:ascii="宋体" w:hAnsi="宋体"/>
      <w:snapToGrid w:val="0"/>
      <w:kern w:val="0"/>
      <w:sz w:val="24"/>
    </w:rPr>
  </w:style>
  <w:style w:type="character" w:customStyle="1" w:styleId="1303">
    <w:name w:val="sn表题与图表 Char"/>
    <w:link w:val="1302"/>
    <w:qFormat/>
    <w:uiPriority w:val="0"/>
    <w:rPr>
      <w:rFonts w:ascii="宋体" w:hAnsi="宋体"/>
      <w:snapToGrid w:val="0"/>
      <w:sz w:val="24"/>
      <w:szCs w:val="24"/>
    </w:rPr>
  </w:style>
  <w:style w:type="paragraph" w:customStyle="1" w:styleId="1304">
    <w:name w:val="Document"/>
    <w:basedOn w:val="1"/>
    <w:qFormat/>
    <w:uiPriority w:val="0"/>
    <w:pPr>
      <w:widowControl/>
      <w:spacing w:before="0" w:beforeLines="0" w:line="240" w:lineRule="auto"/>
      <w:jc w:val="center"/>
    </w:pPr>
    <w:rPr>
      <w:rFonts w:ascii="Financial  (MF)" w:hAnsi="Financial  (MF)"/>
      <w:kern w:val="0"/>
      <w:sz w:val="24"/>
      <w:szCs w:val="20"/>
      <w:lang w:eastAsia="en-US"/>
    </w:rPr>
  </w:style>
  <w:style w:type="character" w:customStyle="1" w:styleId="1305">
    <w:name w:val="Char Char5"/>
    <w:qFormat/>
    <w:uiPriority w:val="0"/>
    <w:rPr>
      <w:rFonts w:eastAsia="宋体"/>
      <w:kern w:val="2"/>
      <w:sz w:val="21"/>
      <w:lang w:val="en-US" w:eastAsia="zh-CN" w:bidi="ar-SA"/>
    </w:rPr>
  </w:style>
  <w:style w:type="paragraph" w:customStyle="1" w:styleId="1306">
    <w:name w:val="Char Char Char Char Char Char Char5"/>
    <w:basedOn w:val="1"/>
    <w:qFormat/>
    <w:uiPriority w:val="0"/>
    <w:pPr>
      <w:spacing w:before="0" w:beforeLines="0" w:line="240" w:lineRule="auto"/>
    </w:pPr>
    <w:rPr>
      <w:szCs w:val="21"/>
    </w:rPr>
  </w:style>
  <w:style w:type="character" w:customStyle="1" w:styleId="1307">
    <w:name w:val="mud1"/>
    <w:qFormat/>
    <w:uiPriority w:val="0"/>
    <w:rPr>
      <w:sz w:val="18"/>
      <w:szCs w:val="18"/>
    </w:rPr>
  </w:style>
  <w:style w:type="character" w:customStyle="1" w:styleId="1308">
    <w:name w:val="Char Char112"/>
    <w:qFormat/>
    <w:uiPriority w:val="0"/>
    <w:rPr>
      <w:rFonts w:eastAsia="宋体"/>
      <w:b/>
      <w:bCs/>
      <w:kern w:val="44"/>
      <w:sz w:val="44"/>
      <w:szCs w:val="44"/>
      <w:lang w:val="en-US" w:eastAsia="zh-CN" w:bidi="ar-SA"/>
    </w:rPr>
  </w:style>
  <w:style w:type="character" w:customStyle="1" w:styleId="1309">
    <w:name w:val="标题2 Char Char"/>
    <w:qFormat/>
    <w:uiPriority w:val="0"/>
    <w:rPr>
      <w:rFonts w:ascii="Arial" w:hAnsi="Arial" w:eastAsia="黑体"/>
      <w:b/>
      <w:bCs/>
      <w:kern w:val="2"/>
      <w:sz w:val="32"/>
      <w:szCs w:val="32"/>
      <w:lang w:val="en-US" w:eastAsia="zh-CN" w:bidi="ar-SA"/>
    </w:rPr>
  </w:style>
  <w:style w:type="character" w:customStyle="1" w:styleId="1310">
    <w:name w:val="big"/>
    <w:qFormat/>
    <w:uiPriority w:val="0"/>
  </w:style>
  <w:style w:type="paragraph" w:customStyle="1" w:styleId="1311">
    <w:name w:val="font14"/>
    <w:basedOn w:val="1"/>
    <w:qFormat/>
    <w:uiPriority w:val="0"/>
    <w:pPr>
      <w:widowControl/>
      <w:spacing w:before="100" w:beforeLines="0" w:beforeAutospacing="1" w:after="100" w:afterAutospacing="1" w:line="240" w:lineRule="auto"/>
      <w:jc w:val="left"/>
    </w:pPr>
    <w:rPr>
      <w:rFonts w:ascii="宋体" w:hAnsi="宋体" w:cs="宋体"/>
      <w:kern w:val="0"/>
      <w:sz w:val="24"/>
    </w:rPr>
  </w:style>
  <w:style w:type="paragraph" w:customStyle="1" w:styleId="1312">
    <w:name w:val="font15"/>
    <w:basedOn w:val="1"/>
    <w:qFormat/>
    <w:uiPriority w:val="0"/>
    <w:pPr>
      <w:widowControl/>
      <w:spacing w:before="100" w:beforeLines="0" w:beforeAutospacing="1" w:after="100" w:afterAutospacing="1" w:line="240" w:lineRule="auto"/>
      <w:jc w:val="left"/>
    </w:pPr>
    <w:rPr>
      <w:rFonts w:ascii="宋体" w:hAnsi="宋体" w:cs="宋体"/>
      <w:kern w:val="0"/>
      <w:sz w:val="24"/>
    </w:rPr>
  </w:style>
  <w:style w:type="paragraph" w:customStyle="1" w:styleId="1313">
    <w:name w:val="font16"/>
    <w:basedOn w:val="1"/>
    <w:qFormat/>
    <w:uiPriority w:val="0"/>
    <w:pPr>
      <w:widowControl/>
      <w:spacing w:before="100" w:beforeLines="0" w:beforeAutospacing="1" w:after="100" w:afterAutospacing="1" w:line="240" w:lineRule="auto"/>
      <w:jc w:val="left"/>
    </w:pPr>
    <w:rPr>
      <w:rFonts w:ascii="宋体" w:hAnsi="宋体" w:cs="宋体"/>
      <w:kern w:val="0"/>
      <w:sz w:val="22"/>
      <w:szCs w:val="22"/>
    </w:rPr>
  </w:style>
  <w:style w:type="character" w:customStyle="1" w:styleId="1314">
    <w:name w:val="Char Char2"/>
    <w:qFormat/>
    <w:locked/>
    <w:uiPriority w:val="0"/>
    <w:rPr>
      <w:rFonts w:eastAsia="宋体"/>
      <w:kern w:val="2"/>
      <w:sz w:val="21"/>
      <w:szCs w:val="24"/>
      <w:lang w:val="en-US" w:eastAsia="zh-CN" w:bidi="ar-SA"/>
    </w:rPr>
  </w:style>
  <w:style w:type="character" w:customStyle="1" w:styleId="1315">
    <w:name w:val="HTML 预设格式 字符2"/>
    <w:link w:val="82"/>
    <w:qFormat/>
    <w:uiPriority w:val="0"/>
    <w:rPr>
      <w:rFonts w:ascii="Arial" w:hAnsi="Arial" w:cs="Arial"/>
      <w:sz w:val="24"/>
      <w:szCs w:val="24"/>
    </w:rPr>
  </w:style>
  <w:style w:type="paragraph" w:customStyle="1" w:styleId="1316">
    <w:name w:val="Char21"/>
    <w:basedOn w:val="1"/>
    <w:qFormat/>
    <w:uiPriority w:val="0"/>
    <w:pPr>
      <w:widowControl/>
      <w:spacing w:before="0" w:beforeLines="0" w:line="400" w:lineRule="exact"/>
      <w:jc w:val="center"/>
    </w:pPr>
    <w:rPr>
      <w:rFonts w:ascii="Tahoma" w:hAnsi="Tahoma"/>
      <w:sz w:val="32"/>
      <w:szCs w:val="28"/>
    </w:rPr>
  </w:style>
  <w:style w:type="paragraph" w:customStyle="1" w:styleId="1317">
    <w:name w:val="表蕊"/>
    <w:basedOn w:val="1"/>
    <w:qFormat/>
    <w:uiPriority w:val="0"/>
    <w:pPr>
      <w:adjustRightInd w:val="0"/>
      <w:spacing w:before="0" w:beforeLines="0" w:line="320" w:lineRule="atLeast"/>
      <w:jc w:val="left"/>
      <w:textAlignment w:val="baseline"/>
    </w:pPr>
    <w:rPr>
      <w:rFonts w:eastAsia="楷体_GB2312"/>
      <w:spacing w:val="-10"/>
      <w:kern w:val="0"/>
      <w:szCs w:val="20"/>
    </w:rPr>
  </w:style>
  <w:style w:type="paragraph" w:customStyle="1" w:styleId="1318">
    <w:name w:val="p18"/>
    <w:basedOn w:val="1"/>
    <w:qFormat/>
    <w:uiPriority w:val="0"/>
    <w:pPr>
      <w:widowControl/>
      <w:spacing w:before="0" w:beforeLines="0" w:line="480" w:lineRule="atLeast"/>
      <w:ind w:firstLine="420"/>
    </w:pPr>
    <w:rPr>
      <w:kern w:val="0"/>
      <w:sz w:val="24"/>
    </w:rPr>
  </w:style>
  <w:style w:type="paragraph" w:customStyle="1" w:styleId="1319">
    <w:name w:val="p16"/>
    <w:basedOn w:val="1"/>
    <w:qFormat/>
    <w:uiPriority w:val="0"/>
    <w:pPr>
      <w:widowControl/>
      <w:spacing w:before="0" w:beforeLines="0" w:line="420" w:lineRule="atLeast"/>
      <w:ind w:firstLine="480"/>
    </w:pPr>
    <w:rPr>
      <w:rFonts w:ascii="Book Antiqua" w:hAnsi="Book Antiqua" w:cs="宋体"/>
      <w:kern w:val="0"/>
      <w:sz w:val="24"/>
    </w:rPr>
  </w:style>
  <w:style w:type="character" w:customStyle="1" w:styleId="1320">
    <w:name w:val="g Char"/>
    <w:qFormat/>
    <w:locked/>
    <w:uiPriority w:val="0"/>
    <w:rPr>
      <w:rFonts w:eastAsia="宋体"/>
      <w:kern w:val="2"/>
      <w:sz w:val="18"/>
      <w:szCs w:val="18"/>
      <w:lang w:val="en-US" w:eastAsia="zh-CN" w:bidi="ar-SA"/>
    </w:rPr>
  </w:style>
  <w:style w:type="paragraph" w:customStyle="1" w:styleId="1321">
    <w:name w:val="09点"/>
    <w:basedOn w:val="1"/>
    <w:qFormat/>
    <w:uiPriority w:val="0"/>
    <w:pPr>
      <w:tabs>
        <w:tab w:val="left" w:pos="870"/>
      </w:tabs>
      <w:autoSpaceDE w:val="0"/>
      <w:autoSpaceDN w:val="0"/>
      <w:adjustRightInd w:val="0"/>
      <w:spacing w:before="60" w:beforeLines="0" w:after="60" w:line="288" w:lineRule="auto"/>
    </w:pPr>
    <w:rPr>
      <w:rFonts w:ascii="宋体"/>
      <w:sz w:val="24"/>
      <w:szCs w:val="20"/>
    </w:rPr>
  </w:style>
  <w:style w:type="character" w:customStyle="1" w:styleId="1322">
    <w:name w:val="注释标题1 Char Char"/>
    <w:qFormat/>
    <w:uiPriority w:val="0"/>
    <w:rPr>
      <w:rFonts w:eastAsia="宋体"/>
      <w:kern w:val="2"/>
      <w:sz w:val="21"/>
      <w:lang w:val="en-US" w:eastAsia="zh-CN" w:bidi="ar-SA"/>
    </w:rPr>
  </w:style>
  <w:style w:type="character" w:customStyle="1" w:styleId="1323">
    <w:name w:val="正文5号 Char"/>
    <w:qFormat/>
    <w:uiPriority w:val="0"/>
    <w:rPr>
      <w:rFonts w:eastAsia="宋体"/>
      <w:kern w:val="2"/>
      <w:sz w:val="24"/>
      <w:lang w:val="en-US" w:eastAsia="zh-CN" w:bidi="ar-SA"/>
    </w:rPr>
  </w:style>
  <w:style w:type="paragraph" w:customStyle="1" w:styleId="1324">
    <w:name w:val="正文首行缩进 2 + Times New Roman Char"/>
    <w:basedOn w:val="1"/>
    <w:link w:val="1325"/>
    <w:qFormat/>
    <w:uiPriority w:val="0"/>
    <w:pPr>
      <w:tabs>
        <w:tab w:val="left" w:pos="0"/>
        <w:tab w:val="left" w:pos="870"/>
        <w:tab w:val="left" w:pos="3150"/>
      </w:tabs>
      <w:autoSpaceDE w:val="0"/>
      <w:autoSpaceDN w:val="0"/>
      <w:spacing w:before="0" w:beforeLines="0" w:line="360" w:lineRule="auto"/>
      <w:ind w:firstLine="480" w:firstLineChars="200"/>
    </w:pPr>
    <w:rPr>
      <w:sz w:val="24"/>
    </w:rPr>
  </w:style>
  <w:style w:type="character" w:customStyle="1" w:styleId="1325">
    <w:name w:val="正文首行缩进 2 + Times New Roman Char Char"/>
    <w:link w:val="1324"/>
    <w:qFormat/>
    <w:uiPriority w:val="0"/>
    <w:rPr>
      <w:kern w:val="2"/>
      <w:sz w:val="24"/>
      <w:szCs w:val="24"/>
    </w:rPr>
  </w:style>
  <w:style w:type="paragraph" w:customStyle="1" w:styleId="1326">
    <w:name w:val="海南化工城正文 Char Char"/>
    <w:basedOn w:val="1"/>
    <w:link w:val="1327"/>
    <w:qFormat/>
    <w:uiPriority w:val="0"/>
    <w:pPr>
      <w:spacing w:before="0" w:beforeLines="0" w:line="324" w:lineRule="auto"/>
      <w:ind w:firstLine="480" w:firstLineChars="200"/>
    </w:pPr>
    <w:rPr>
      <w:rFonts w:ascii="宋体" w:hAnsi="宋体" w:cs="宋体"/>
      <w:sz w:val="24"/>
    </w:rPr>
  </w:style>
  <w:style w:type="character" w:customStyle="1" w:styleId="1327">
    <w:name w:val="海南化工城正文 Char Char Char"/>
    <w:link w:val="1326"/>
    <w:qFormat/>
    <w:uiPriority w:val="0"/>
    <w:rPr>
      <w:rFonts w:ascii="宋体" w:hAnsi="宋体" w:cs="宋体"/>
      <w:kern w:val="2"/>
      <w:sz w:val="24"/>
      <w:szCs w:val="24"/>
    </w:rPr>
  </w:style>
  <w:style w:type="paragraph" w:customStyle="1" w:styleId="1328">
    <w:name w:val="表字"/>
    <w:basedOn w:val="1"/>
    <w:qFormat/>
    <w:uiPriority w:val="0"/>
    <w:pPr>
      <w:spacing w:before="0" w:beforeLines="0" w:line="240" w:lineRule="auto"/>
      <w:jc w:val="center"/>
    </w:pPr>
    <w:rPr>
      <w:rFonts w:hint="eastAsia" w:ascii="宋体"/>
      <w:szCs w:val="20"/>
    </w:rPr>
  </w:style>
  <w:style w:type="paragraph" w:customStyle="1" w:styleId="1329">
    <w:name w:val="Char1 Char Char Char"/>
    <w:basedOn w:val="1"/>
    <w:qFormat/>
    <w:uiPriority w:val="0"/>
    <w:pPr>
      <w:spacing w:before="0" w:beforeLines="0" w:line="240" w:lineRule="auto"/>
    </w:pPr>
    <w:rPr>
      <w:sz w:val="24"/>
      <w:szCs w:val="20"/>
    </w:rPr>
  </w:style>
  <w:style w:type="paragraph" w:customStyle="1" w:styleId="1330">
    <w:name w:val="标题6"/>
    <w:basedOn w:val="1"/>
    <w:next w:val="54"/>
    <w:link w:val="1331"/>
    <w:qFormat/>
    <w:uiPriority w:val="0"/>
    <w:pPr>
      <w:keepNext/>
      <w:spacing w:before="0" w:beforeLines="0" w:line="360" w:lineRule="auto"/>
      <w:ind w:firstLine="567"/>
      <w:jc w:val="left"/>
      <w:outlineLvl w:val="5"/>
    </w:pPr>
    <w:rPr>
      <w:sz w:val="28"/>
      <w:szCs w:val="21"/>
    </w:rPr>
  </w:style>
  <w:style w:type="character" w:customStyle="1" w:styleId="1331">
    <w:name w:val="标题6 Char"/>
    <w:link w:val="1330"/>
    <w:qFormat/>
    <w:uiPriority w:val="0"/>
    <w:rPr>
      <w:kern w:val="2"/>
      <w:sz w:val="28"/>
      <w:szCs w:val="21"/>
    </w:rPr>
  </w:style>
  <w:style w:type="character" w:customStyle="1" w:styleId="1332">
    <w:name w:val="样式 样式 表格标题 + 首行缩进:  2 字符 Char"/>
    <w:link w:val="1333"/>
    <w:qFormat/>
    <w:uiPriority w:val="0"/>
    <w:rPr>
      <w:rFonts w:ascii="黑体" w:eastAsia="黑体" w:cs="宋体"/>
      <w:sz w:val="24"/>
    </w:rPr>
  </w:style>
  <w:style w:type="paragraph" w:customStyle="1" w:styleId="1333">
    <w:name w:val="样式 样式 表格标题 + 首行缩进:  2 字符"/>
    <w:basedOn w:val="1"/>
    <w:link w:val="1332"/>
    <w:qFormat/>
    <w:uiPriority w:val="0"/>
    <w:pPr>
      <w:autoSpaceDE w:val="0"/>
      <w:autoSpaceDN w:val="0"/>
      <w:adjustRightInd w:val="0"/>
      <w:spacing w:before="0" w:beforeLines="0" w:line="240" w:lineRule="auto"/>
      <w:jc w:val="center"/>
    </w:pPr>
    <w:rPr>
      <w:rFonts w:ascii="黑体" w:eastAsia="黑体" w:cs="宋体"/>
      <w:kern w:val="0"/>
      <w:sz w:val="24"/>
      <w:szCs w:val="20"/>
    </w:rPr>
  </w:style>
  <w:style w:type="paragraph" w:customStyle="1" w:styleId="1334">
    <w:name w:val="pl正文"/>
    <w:basedOn w:val="1"/>
    <w:qFormat/>
    <w:uiPriority w:val="0"/>
    <w:pPr>
      <w:snapToGrid w:val="0"/>
      <w:spacing w:before="0" w:beforeLines="0" w:line="360" w:lineRule="auto"/>
      <w:ind w:firstLine="492"/>
    </w:pPr>
    <w:rPr>
      <w:rFonts w:ascii="宋体" w:hAnsi="宋体"/>
      <w:color w:val="000000"/>
      <w:spacing w:val="6"/>
      <w:sz w:val="28"/>
    </w:rPr>
  </w:style>
  <w:style w:type="paragraph" w:customStyle="1" w:styleId="1335">
    <w:name w:val="！表格"/>
    <w:basedOn w:val="1"/>
    <w:qFormat/>
    <w:uiPriority w:val="0"/>
    <w:pPr>
      <w:adjustRightInd w:val="0"/>
      <w:spacing w:before="0" w:beforeLines="0" w:line="480" w:lineRule="exact"/>
      <w:jc w:val="center"/>
      <w:textAlignment w:val="baseline"/>
    </w:pPr>
    <w:rPr>
      <w:rFonts w:ascii="宋体" w:hAnsi="宋体"/>
      <w:kern w:val="0"/>
      <w:sz w:val="24"/>
    </w:rPr>
  </w:style>
  <w:style w:type="paragraph" w:customStyle="1" w:styleId="1336">
    <w:name w:val="陈光的正文"/>
    <w:basedOn w:val="1"/>
    <w:qFormat/>
    <w:uiPriority w:val="0"/>
    <w:pPr>
      <w:adjustRightInd w:val="0"/>
      <w:snapToGrid w:val="0"/>
      <w:spacing w:before="31" w:beforeLines="10" w:after="31" w:afterLines="10" w:line="360" w:lineRule="auto"/>
      <w:ind w:firstLine="560" w:firstLineChars="200"/>
    </w:pPr>
    <w:rPr>
      <w:sz w:val="28"/>
      <w:szCs w:val="20"/>
    </w:rPr>
  </w:style>
  <w:style w:type="paragraph" w:customStyle="1" w:styleId="1337">
    <w:name w:val="Char Char Char1 Char Char Char Char Char Char Char Char Char Char1"/>
    <w:basedOn w:val="1"/>
    <w:qFormat/>
    <w:uiPriority w:val="0"/>
    <w:pPr>
      <w:spacing w:before="0" w:beforeLines="0" w:line="240" w:lineRule="auto"/>
    </w:pPr>
  </w:style>
  <w:style w:type="paragraph" w:customStyle="1" w:styleId="1338">
    <w:name w:val="样式 题注 + 首行缩进:  2 字符2"/>
    <w:basedOn w:val="21"/>
    <w:link w:val="1339"/>
    <w:qFormat/>
    <w:uiPriority w:val="0"/>
    <w:pPr>
      <w:keepNext/>
      <w:spacing w:line="240" w:lineRule="auto"/>
      <w:ind w:firstLine="0" w:firstLineChars="0"/>
    </w:pPr>
    <w:rPr>
      <w:rFonts w:ascii="黑体" w:hAnsi="宋体" w:cs="宋体"/>
      <w:sz w:val="24"/>
    </w:rPr>
  </w:style>
  <w:style w:type="character" w:customStyle="1" w:styleId="1339">
    <w:name w:val="样式 题注 + 首行缩进:  2 字符2 Char"/>
    <w:link w:val="1338"/>
    <w:qFormat/>
    <w:uiPriority w:val="0"/>
    <w:rPr>
      <w:rFonts w:ascii="黑体" w:hAnsi="宋体" w:eastAsia="黑体" w:cs="宋体"/>
      <w:kern w:val="2"/>
      <w:sz w:val="24"/>
    </w:rPr>
  </w:style>
  <w:style w:type="paragraph" w:customStyle="1" w:styleId="1340">
    <w:name w:val="正文首行缩进2字符!"/>
    <w:basedOn w:val="1"/>
    <w:link w:val="1341"/>
    <w:qFormat/>
    <w:uiPriority w:val="0"/>
    <w:pPr>
      <w:adjustRightInd w:val="0"/>
      <w:snapToGrid w:val="0"/>
      <w:spacing w:before="0" w:beforeLines="0" w:line="360" w:lineRule="auto"/>
      <w:ind w:firstLine="560" w:firstLineChars="200"/>
      <w:jc w:val="left"/>
    </w:pPr>
    <w:rPr>
      <w:rFonts w:ascii="宋体" w:hAnsi="宋体" w:cs="宋体"/>
      <w:sz w:val="28"/>
      <w:szCs w:val="20"/>
    </w:rPr>
  </w:style>
  <w:style w:type="character" w:customStyle="1" w:styleId="1341">
    <w:name w:val="正文首行缩进2字符! Char"/>
    <w:link w:val="1340"/>
    <w:qFormat/>
    <w:uiPriority w:val="0"/>
    <w:rPr>
      <w:rFonts w:ascii="宋体" w:hAnsi="宋体" w:cs="宋体"/>
      <w:kern w:val="2"/>
      <w:sz w:val="28"/>
    </w:rPr>
  </w:style>
  <w:style w:type="paragraph" w:customStyle="1" w:styleId="1342">
    <w:name w:val="样式 表格备注"/>
    <w:basedOn w:val="1"/>
    <w:qFormat/>
    <w:uiPriority w:val="0"/>
    <w:pPr>
      <w:keepNext/>
      <w:tabs>
        <w:tab w:val="left" w:pos="628"/>
        <w:tab w:val="left" w:pos="1727"/>
        <w:tab w:val="left" w:pos="1884"/>
        <w:tab w:val="left" w:pos="4325"/>
        <w:tab w:val="left" w:pos="4900"/>
      </w:tabs>
      <w:adjustRightInd w:val="0"/>
      <w:snapToGrid w:val="0"/>
      <w:spacing w:before="0" w:beforeLines="0" w:line="360" w:lineRule="auto"/>
      <w:ind w:firstLine="480" w:firstLineChars="200"/>
    </w:pPr>
    <w:rPr>
      <w:rFonts w:ascii="宋体" w:hAnsi="宋体" w:eastAsia="楷体_GB2312" w:cs="宋体"/>
      <w:kern w:val="0"/>
      <w:sz w:val="24"/>
      <w:szCs w:val="20"/>
    </w:rPr>
  </w:style>
  <w:style w:type="character" w:customStyle="1" w:styleId="1343">
    <w:name w:val="Char Char51"/>
    <w:qFormat/>
    <w:uiPriority w:val="0"/>
    <w:rPr>
      <w:rFonts w:eastAsia="宋体"/>
      <w:kern w:val="2"/>
      <w:sz w:val="21"/>
      <w:lang w:val="en-US" w:eastAsia="zh-CN" w:bidi="ar-SA"/>
    </w:rPr>
  </w:style>
  <w:style w:type="paragraph" w:customStyle="1" w:styleId="1344">
    <w:name w:val="样式 正文首行缩进 + 首行缩进:  2 字符 行距: 1.5 倍行距"/>
    <w:basedOn w:val="54"/>
    <w:qFormat/>
    <w:uiPriority w:val="0"/>
    <w:pPr>
      <w:autoSpaceDE/>
      <w:autoSpaceDN/>
      <w:adjustRightInd w:val="0"/>
      <w:snapToGrid w:val="0"/>
      <w:spacing w:line="360" w:lineRule="auto"/>
      <w:ind w:firstLine="560" w:firstLineChars="200"/>
    </w:pPr>
    <w:rPr>
      <w:kern w:val="2"/>
      <w:sz w:val="28"/>
      <w:szCs w:val="20"/>
      <w:lang w:val="en-US" w:bidi="ar-SA"/>
    </w:rPr>
  </w:style>
  <w:style w:type="character" w:customStyle="1" w:styleId="1345">
    <w:name w:val="样式 正文文本缩进 2正文文本缩进 2 Char Char Char Char Char Char Char Char Cha... Char"/>
    <w:qFormat/>
    <w:uiPriority w:val="0"/>
    <w:rPr>
      <w:rFonts w:ascii="Arial" w:hAnsi="Arial" w:eastAsia="宋体"/>
      <w:kern w:val="2"/>
      <w:sz w:val="24"/>
      <w:szCs w:val="24"/>
      <w:lang w:val="en-US" w:eastAsia="zh-CN" w:bidi="ar-SA"/>
    </w:rPr>
  </w:style>
  <w:style w:type="character" w:customStyle="1" w:styleId="1346">
    <w:name w:val="标题5 Char"/>
    <w:link w:val="749"/>
    <w:qFormat/>
    <w:uiPriority w:val="99"/>
    <w:rPr>
      <w:rFonts w:ascii="宋体" w:cs="宋体"/>
      <w:b/>
      <w:spacing w:val="4"/>
      <w:kern w:val="2"/>
      <w:sz w:val="24"/>
      <w:szCs w:val="28"/>
    </w:rPr>
  </w:style>
  <w:style w:type="paragraph" w:customStyle="1" w:styleId="1347">
    <w:name w:val="三级标题5.1.1"/>
    <w:basedOn w:val="5"/>
    <w:qFormat/>
    <w:uiPriority w:val="0"/>
    <w:pPr>
      <w:adjustRightInd w:val="0"/>
      <w:snapToGrid w:val="0"/>
      <w:spacing w:before="0" w:after="0" w:line="360" w:lineRule="auto"/>
      <w:ind w:left="-57"/>
    </w:pPr>
    <w:rPr>
      <w:rFonts w:ascii="黑体" w:hAnsi="Arial" w:eastAsia="黑体" w:cs="宋体"/>
      <w:b w:val="0"/>
      <w:color w:val="auto"/>
      <w:kern w:val="0"/>
    </w:rPr>
  </w:style>
  <w:style w:type="table" w:customStyle="1" w:styleId="1348">
    <w:name w:val="网格型!2"/>
    <w:basedOn w:val="89"/>
    <w:qFormat/>
    <w:uiPriority w:val="0"/>
    <w:pPr>
      <w:widowControl w:val="0"/>
      <w:spacing w:line="312" w:lineRule="auto"/>
      <w:ind w:firstLine="482"/>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49">
    <w:name w:val="网格型!3"/>
    <w:basedOn w:val="89"/>
    <w:qFormat/>
    <w:uiPriority w:val="0"/>
    <w:pPr>
      <w:widowControl w:val="0"/>
      <w:spacing w:line="312" w:lineRule="auto"/>
      <w:ind w:firstLine="482"/>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50">
    <w:name w:val="pl表格后"/>
    <w:basedOn w:val="1"/>
    <w:qFormat/>
    <w:uiPriority w:val="0"/>
    <w:pPr>
      <w:adjustRightInd w:val="0"/>
      <w:snapToGrid w:val="0"/>
      <w:spacing w:before="0" w:beforeLines="0" w:line="240" w:lineRule="auto"/>
      <w:ind w:firstLine="560" w:firstLineChars="200"/>
    </w:pPr>
    <w:rPr>
      <w:rFonts w:ascii="宋体" w:hAnsi="宋体"/>
      <w:sz w:val="28"/>
    </w:rPr>
  </w:style>
  <w:style w:type="paragraph" w:customStyle="1" w:styleId="1351">
    <w:name w:val="样式 燕山正文 + 首行缩进:  3.5 字符"/>
    <w:basedOn w:val="584"/>
    <w:qFormat/>
    <w:uiPriority w:val="0"/>
    <w:pPr>
      <w:spacing w:before="93" w:beforeLines="30" w:after="93" w:afterLines="30"/>
      <w:jc w:val="both"/>
    </w:pPr>
    <w:rPr>
      <w:rFonts w:hAnsi="Times New Roman"/>
      <w:color w:val="auto"/>
      <w:szCs w:val="20"/>
    </w:rPr>
  </w:style>
  <w:style w:type="paragraph" w:customStyle="1" w:styleId="1352">
    <w:name w:val="表格文字2"/>
    <w:basedOn w:val="1"/>
    <w:qFormat/>
    <w:uiPriority w:val="0"/>
    <w:pPr>
      <w:tabs>
        <w:tab w:val="left" w:pos="277"/>
        <w:tab w:val="left" w:pos="600"/>
        <w:tab w:val="left" w:pos="780"/>
        <w:tab w:val="left" w:pos="2517"/>
      </w:tabs>
      <w:adjustRightInd w:val="0"/>
      <w:spacing w:before="60" w:beforeLines="0" w:line="240" w:lineRule="auto"/>
      <w:jc w:val="center"/>
    </w:pPr>
    <w:rPr>
      <w:kern w:val="0"/>
      <w:szCs w:val="21"/>
    </w:rPr>
  </w:style>
  <w:style w:type="paragraph" w:customStyle="1" w:styleId="1353">
    <w:name w:val="燕山正文 Char Char"/>
    <w:basedOn w:val="1"/>
    <w:qFormat/>
    <w:uiPriority w:val="0"/>
    <w:pPr>
      <w:adjustRightInd w:val="0"/>
      <w:snapToGrid w:val="0"/>
      <w:spacing w:before="0" w:beforeLines="0" w:line="360" w:lineRule="auto"/>
      <w:ind w:firstLine="567"/>
      <w:textAlignment w:val="baseline"/>
    </w:pPr>
    <w:rPr>
      <w:rFonts w:ascii="宋体" w:hAnsi="宋体"/>
      <w:color w:val="000000"/>
      <w:kern w:val="0"/>
      <w:sz w:val="28"/>
      <w:szCs w:val="28"/>
    </w:rPr>
  </w:style>
  <w:style w:type="paragraph" w:customStyle="1" w:styleId="1354">
    <w:name w:val="样式 燕山正文 + 首行缩进:  3.5 字符1"/>
    <w:basedOn w:val="584"/>
    <w:qFormat/>
    <w:uiPriority w:val="0"/>
    <w:pPr>
      <w:ind w:firstLine="200"/>
      <w:jc w:val="both"/>
    </w:pPr>
    <w:rPr>
      <w:rFonts w:ascii="宋体"/>
      <w:sz w:val="28"/>
      <w:szCs w:val="20"/>
    </w:rPr>
  </w:style>
  <w:style w:type="paragraph" w:customStyle="1" w:styleId="1355">
    <w:name w:val="表中"/>
    <w:basedOn w:val="1"/>
    <w:qFormat/>
    <w:uiPriority w:val="0"/>
    <w:pPr>
      <w:widowControl/>
      <w:snapToGrid w:val="0"/>
      <w:spacing w:before="48" w:beforeLines="20" w:after="48" w:afterLines="20" w:line="240" w:lineRule="exact"/>
      <w:ind w:hanging="420"/>
      <w:jc w:val="center"/>
    </w:pPr>
    <w:rPr>
      <w:rFonts w:ascii="宋体" w:hAnsi="宋体"/>
      <w:color w:val="000000"/>
      <w:sz w:val="24"/>
      <w:szCs w:val="22"/>
    </w:rPr>
  </w:style>
  <w:style w:type="paragraph" w:customStyle="1" w:styleId="1356">
    <w:name w:val="页号"/>
    <w:basedOn w:val="58"/>
    <w:qFormat/>
    <w:uiPriority w:val="0"/>
    <w:pPr>
      <w:tabs>
        <w:tab w:val="left" w:pos="720"/>
        <w:tab w:val="center" w:pos="4320"/>
        <w:tab w:val="right" w:pos="8640"/>
        <w:tab w:val="clear" w:pos="4153"/>
        <w:tab w:val="clear" w:pos="8306"/>
      </w:tabs>
      <w:adjustRightInd w:val="0"/>
      <w:snapToGrid/>
      <w:spacing w:before="0" w:beforeLines="0" w:line="360" w:lineRule="auto"/>
      <w:ind w:firstLine="200" w:firstLineChars="200"/>
      <w:jc w:val="center"/>
      <w:textAlignment w:val="baseline"/>
    </w:pPr>
    <w:rPr>
      <w:rFonts w:ascii="宋体" w:hAnsi="Arial"/>
      <w:spacing w:val="3"/>
      <w:kern w:val="24"/>
      <w:sz w:val="24"/>
      <w:szCs w:val="20"/>
    </w:rPr>
  </w:style>
  <w:style w:type="paragraph" w:customStyle="1" w:styleId="1357">
    <w:name w:val="表内小5中"/>
    <w:basedOn w:val="1"/>
    <w:qFormat/>
    <w:uiPriority w:val="0"/>
    <w:pPr>
      <w:spacing w:before="0" w:beforeLines="0" w:line="240" w:lineRule="auto"/>
    </w:pPr>
    <w:rPr>
      <w:rFonts w:ascii="宋体"/>
      <w:sz w:val="18"/>
      <w:szCs w:val="18"/>
    </w:rPr>
  </w:style>
  <w:style w:type="paragraph" w:customStyle="1" w:styleId="1358">
    <w:name w:val="样式 表内小5中 + 下划线 居中"/>
    <w:basedOn w:val="1357"/>
    <w:qFormat/>
    <w:uiPriority w:val="0"/>
    <w:pPr>
      <w:jc w:val="center"/>
    </w:pPr>
    <w:rPr>
      <w:szCs w:val="20"/>
      <w:u w:val="single"/>
    </w:rPr>
  </w:style>
  <w:style w:type="paragraph" w:customStyle="1" w:styleId="1359">
    <w:name w:val="表内5中"/>
    <w:basedOn w:val="1"/>
    <w:qFormat/>
    <w:uiPriority w:val="0"/>
    <w:pPr>
      <w:spacing w:before="0" w:beforeLines="0" w:line="240" w:lineRule="auto"/>
      <w:jc w:val="center"/>
    </w:pPr>
    <w:rPr>
      <w:rFonts w:ascii="宋体"/>
      <w:szCs w:val="21"/>
    </w:rPr>
  </w:style>
  <w:style w:type="paragraph" w:customStyle="1" w:styleId="1360">
    <w:name w:val="小5"/>
    <w:basedOn w:val="1"/>
    <w:qFormat/>
    <w:uiPriority w:val="0"/>
    <w:pPr>
      <w:spacing w:before="0" w:beforeLines="0" w:line="240" w:lineRule="exact"/>
      <w:jc w:val="center"/>
    </w:pPr>
    <w:rPr>
      <w:sz w:val="18"/>
    </w:rPr>
  </w:style>
  <w:style w:type="paragraph" w:customStyle="1" w:styleId="1361">
    <w:name w:val="条(二级)"/>
    <w:basedOn w:val="4"/>
    <w:next w:val="1"/>
    <w:qFormat/>
    <w:uiPriority w:val="0"/>
    <w:pPr>
      <w:tabs>
        <w:tab w:val="left" w:pos="360"/>
      </w:tabs>
      <w:autoSpaceDE w:val="0"/>
      <w:autoSpaceDN w:val="0"/>
      <w:adjustRightInd w:val="0"/>
      <w:spacing w:before="0" w:after="0" w:line="460" w:lineRule="exact"/>
      <w:ind w:firstLine="281" w:firstLineChars="100"/>
      <w:jc w:val="left"/>
      <w:textAlignment w:val="baseline"/>
      <w:outlineLvl w:val="9"/>
    </w:pPr>
    <w:rPr>
      <w:rFonts w:ascii="宋体" w:hAnsi="宋体" w:eastAsia="宋体"/>
      <w:smallCaps/>
      <w:color w:val="auto"/>
      <w:spacing w:val="3"/>
      <w:kern w:val="24"/>
      <w:sz w:val="26"/>
    </w:rPr>
  </w:style>
  <w:style w:type="paragraph" w:customStyle="1" w:styleId="1362">
    <w:name w:val="封面正文"/>
    <w:qFormat/>
    <w:uiPriority w:val="0"/>
    <w:pPr>
      <w:jc w:val="both"/>
    </w:pPr>
    <w:rPr>
      <w:rFonts w:ascii="Times New Roman" w:hAnsi="Times New Roman" w:eastAsia="宋体" w:cs="Times New Roman"/>
      <w:lang w:val="en-US" w:eastAsia="zh-CN" w:bidi="ar-SA"/>
    </w:rPr>
  </w:style>
  <w:style w:type="paragraph" w:customStyle="1" w:styleId="1363">
    <w:name w:val="样式－表"/>
    <w:basedOn w:val="1"/>
    <w:qFormat/>
    <w:uiPriority w:val="0"/>
    <w:pPr>
      <w:adjustRightInd w:val="0"/>
      <w:snapToGrid w:val="0"/>
      <w:spacing w:before="62" w:beforeLines="0" w:line="240" w:lineRule="auto"/>
      <w:jc w:val="center"/>
    </w:pPr>
    <w:rPr>
      <w:snapToGrid w:val="0"/>
      <w:color w:val="000000"/>
      <w:kern w:val="0"/>
      <w:sz w:val="24"/>
      <w:szCs w:val="20"/>
    </w:rPr>
  </w:style>
  <w:style w:type="paragraph" w:customStyle="1" w:styleId="1364">
    <w:name w:val="样式11"/>
    <w:basedOn w:val="1"/>
    <w:qFormat/>
    <w:uiPriority w:val="0"/>
    <w:pPr>
      <w:adjustRightInd w:val="0"/>
      <w:snapToGrid w:val="0"/>
      <w:spacing w:before="200" w:beforeLines="0" w:line="313" w:lineRule="exact"/>
      <w:jc w:val="center"/>
    </w:pPr>
    <w:rPr>
      <w:rFonts w:hAnsi="宋体" w:eastAsia="黑体"/>
      <w:bCs/>
      <w:color w:val="000000"/>
      <w:sz w:val="18"/>
      <w:szCs w:val="20"/>
    </w:rPr>
  </w:style>
  <w:style w:type="paragraph" w:customStyle="1" w:styleId="1365">
    <w:name w:val="style11"/>
    <w:basedOn w:val="1"/>
    <w:qFormat/>
    <w:uiPriority w:val="0"/>
    <w:pPr>
      <w:widowControl/>
      <w:spacing w:before="100" w:beforeLines="0" w:beforeAutospacing="1" w:after="100" w:afterAutospacing="1" w:line="240" w:lineRule="auto"/>
      <w:jc w:val="left"/>
    </w:pPr>
    <w:rPr>
      <w:rFonts w:ascii="宋体" w:hAnsi="宋体"/>
      <w:kern w:val="0"/>
      <w:sz w:val="24"/>
    </w:rPr>
  </w:style>
  <w:style w:type="paragraph" w:customStyle="1" w:styleId="1366">
    <w:name w:val="说明"/>
    <w:basedOn w:val="54"/>
    <w:qFormat/>
    <w:uiPriority w:val="0"/>
    <w:pPr>
      <w:tabs>
        <w:tab w:val="left" w:pos="360"/>
      </w:tabs>
      <w:autoSpaceDE/>
      <w:autoSpaceDN/>
      <w:spacing w:line="240" w:lineRule="exact"/>
      <w:ind w:firstLine="0" w:firstLineChars="0"/>
      <w:jc w:val="center"/>
    </w:pPr>
    <w:rPr>
      <w:rFonts w:ascii="Times New Roman" w:hAnsi="Times New Roman" w:cs="Times New Roman"/>
      <w:lang w:val="en-US" w:bidi="ar-SA"/>
    </w:rPr>
  </w:style>
  <w:style w:type="paragraph" w:customStyle="1" w:styleId="1367">
    <w:name w:val="layer1"/>
    <w:basedOn w:val="1"/>
    <w:next w:val="6"/>
    <w:qFormat/>
    <w:uiPriority w:val="0"/>
    <w:pPr>
      <w:tabs>
        <w:tab w:val="left" w:pos="425"/>
      </w:tabs>
      <w:spacing w:before="240" w:beforeLines="30" w:after="240" w:afterLines="30" w:line="300" w:lineRule="auto"/>
      <w:ind w:left="425" w:hanging="425"/>
    </w:pPr>
    <w:rPr>
      <w:rFonts w:eastAsia="黑体"/>
      <w:b/>
      <w:sz w:val="44"/>
      <w:szCs w:val="20"/>
    </w:rPr>
  </w:style>
  <w:style w:type="paragraph" w:customStyle="1" w:styleId="1368">
    <w:name w:val="layer2"/>
    <w:basedOn w:val="1"/>
    <w:next w:val="6"/>
    <w:qFormat/>
    <w:uiPriority w:val="0"/>
    <w:pPr>
      <w:tabs>
        <w:tab w:val="left" w:pos="720"/>
      </w:tabs>
      <w:spacing w:before="120" w:beforeLines="30" w:after="120" w:afterLines="30" w:line="300" w:lineRule="auto"/>
      <w:ind w:left="567" w:hanging="567"/>
    </w:pPr>
    <w:rPr>
      <w:rFonts w:eastAsia="黑体"/>
      <w:sz w:val="36"/>
      <w:szCs w:val="20"/>
    </w:rPr>
  </w:style>
  <w:style w:type="paragraph" w:customStyle="1" w:styleId="1369">
    <w:name w:val="layer3"/>
    <w:basedOn w:val="1"/>
    <w:next w:val="6"/>
    <w:qFormat/>
    <w:uiPriority w:val="0"/>
    <w:pPr>
      <w:spacing w:before="120" w:beforeLines="30" w:after="120" w:afterLines="30" w:line="300" w:lineRule="auto"/>
      <w:ind w:firstLine="482"/>
    </w:pPr>
    <w:rPr>
      <w:rFonts w:eastAsia="楷体_GB2312"/>
      <w:b/>
      <w:sz w:val="32"/>
      <w:szCs w:val="20"/>
    </w:rPr>
  </w:style>
  <w:style w:type="paragraph" w:customStyle="1" w:styleId="1370">
    <w:name w:val="layer4"/>
    <w:basedOn w:val="6"/>
    <w:next w:val="6"/>
    <w:qFormat/>
    <w:uiPriority w:val="0"/>
    <w:pPr>
      <w:tabs>
        <w:tab w:val="left" w:pos="1440"/>
      </w:tabs>
      <w:spacing w:before="120" w:beforeLines="30" w:after="120" w:afterLines="30" w:line="300" w:lineRule="auto"/>
      <w:ind w:left="851" w:hanging="851" w:firstLineChars="0"/>
    </w:pPr>
    <w:rPr>
      <w:rFonts w:ascii="Arial" w:hAnsi="Arial" w:eastAsia="楷体_GB2312"/>
      <w:sz w:val="30"/>
      <w:szCs w:val="20"/>
    </w:rPr>
  </w:style>
  <w:style w:type="paragraph" w:customStyle="1" w:styleId="1371">
    <w:name w:val="条(三级)"/>
    <w:basedOn w:val="1"/>
    <w:next w:val="1"/>
    <w:qFormat/>
    <w:uiPriority w:val="0"/>
    <w:pPr>
      <w:keepNext/>
      <w:keepLines/>
      <w:adjustRightInd w:val="0"/>
      <w:spacing w:before="72" w:beforeLines="30" w:after="72" w:afterLines="30" w:line="460" w:lineRule="exact"/>
      <w:ind w:firstLine="482"/>
      <w:jc w:val="left"/>
      <w:textAlignment w:val="baseline"/>
    </w:pPr>
    <w:rPr>
      <w:rFonts w:ascii="宋体" w:hAnsi="Arial"/>
      <w:spacing w:val="3"/>
      <w:kern w:val="24"/>
      <w:sz w:val="24"/>
      <w:szCs w:val="20"/>
    </w:rPr>
  </w:style>
  <w:style w:type="paragraph" w:customStyle="1" w:styleId="1372">
    <w:name w:val="表格样式"/>
    <w:basedOn w:val="1"/>
    <w:link w:val="1927"/>
    <w:qFormat/>
    <w:uiPriority w:val="0"/>
    <w:pPr>
      <w:spacing w:before="72" w:beforeLines="30" w:after="72" w:afterLines="30" w:line="240" w:lineRule="auto"/>
      <w:jc w:val="center"/>
    </w:pPr>
    <w:rPr>
      <w:rFonts w:ascii="宋体" w:hAnsi="宋体"/>
    </w:rPr>
  </w:style>
  <w:style w:type="paragraph" w:customStyle="1" w:styleId="1373">
    <w:name w:val="样式 标题 1 + 两端对齐"/>
    <w:basedOn w:val="3"/>
    <w:qFormat/>
    <w:uiPriority w:val="0"/>
    <w:pPr>
      <w:tabs>
        <w:tab w:val="left" w:pos="432"/>
        <w:tab w:val="clear" w:pos="360"/>
      </w:tabs>
      <w:spacing w:before="720" w:beforeLines="30" w:after="240" w:afterLines="30" w:line="300" w:lineRule="auto"/>
      <w:ind w:left="432" w:hanging="432"/>
    </w:pPr>
    <w:rPr>
      <w:rFonts w:ascii="宋体" w:hAnsi="宋体" w:eastAsia="黑体"/>
      <w:bCs w:val="0"/>
      <w:color w:val="auto"/>
      <w:kern w:val="44"/>
      <w:sz w:val="36"/>
    </w:rPr>
  </w:style>
  <w:style w:type="paragraph" w:customStyle="1" w:styleId="1374">
    <w:name w:val="标题2，第二标题"/>
    <w:basedOn w:val="54"/>
    <w:next w:val="54"/>
    <w:qFormat/>
    <w:uiPriority w:val="0"/>
    <w:pPr>
      <w:tabs>
        <w:tab w:val="left" w:pos="628"/>
        <w:tab w:val="left" w:pos="1727"/>
        <w:tab w:val="left" w:pos="1884"/>
        <w:tab w:val="left" w:pos="2660"/>
        <w:tab w:val="left" w:pos="5460"/>
      </w:tabs>
      <w:autoSpaceDE/>
      <w:autoSpaceDN/>
      <w:snapToGrid w:val="0"/>
      <w:spacing w:before="93" w:beforeLines="30" w:after="93" w:afterLines="30" w:line="440" w:lineRule="exact"/>
      <w:ind w:firstLine="0" w:firstLineChars="0"/>
      <w:jc w:val="both"/>
      <w:outlineLvl w:val="1"/>
    </w:pPr>
    <w:rPr>
      <w:rFonts w:ascii="Times New Roman" w:hAnsi="Times New Roman" w:eastAsia="黑体" w:cs="Times New Roman"/>
      <w:kern w:val="2"/>
      <w:sz w:val="28"/>
      <w:szCs w:val="20"/>
      <w:lang w:val="en-US" w:bidi="ar-SA"/>
    </w:rPr>
  </w:style>
  <w:style w:type="paragraph" w:customStyle="1" w:styleId="1375">
    <w:name w:val="样式 标题 1第一标题 + 段前: 0.3 行 段后: 0.3 行"/>
    <w:basedOn w:val="3"/>
    <w:qFormat/>
    <w:uiPriority w:val="0"/>
    <w:pPr>
      <w:keepLines w:val="0"/>
      <w:tabs>
        <w:tab w:val="left" w:pos="560"/>
        <w:tab w:val="clear" w:pos="360"/>
      </w:tabs>
      <w:autoSpaceDE w:val="0"/>
      <w:autoSpaceDN w:val="0"/>
      <w:adjustRightInd w:val="0"/>
      <w:spacing w:before="156" w:after="93" w:afterLines="30" w:line="300" w:lineRule="auto"/>
      <w:ind w:left="560" w:hanging="360"/>
    </w:pPr>
    <w:rPr>
      <w:rFonts w:ascii="宋体" w:hAnsi="宋体" w:eastAsia="黑体" w:cs="宋体"/>
      <w:b w:val="0"/>
      <w:color w:val="auto"/>
      <w:kern w:val="0"/>
      <w:sz w:val="32"/>
      <w:lang w:val="zh-CN"/>
    </w:rPr>
  </w:style>
  <w:style w:type="paragraph" w:customStyle="1" w:styleId="1376">
    <w:name w:val="标题 3，第三标题"/>
    <w:basedOn w:val="1"/>
    <w:qFormat/>
    <w:uiPriority w:val="0"/>
    <w:pPr>
      <w:tabs>
        <w:tab w:val="left" w:pos="628"/>
        <w:tab w:val="left" w:pos="1460"/>
        <w:tab w:val="left" w:pos="1727"/>
        <w:tab w:val="left" w:pos="1884"/>
        <w:tab w:val="left" w:pos="2660"/>
        <w:tab w:val="left" w:pos="5460"/>
      </w:tabs>
      <w:snapToGrid w:val="0"/>
      <w:spacing w:before="156" w:beforeLines="50" w:after="156" w:afterLines="50"/>
      <w:ind w:left="1460" w:hanging="420"/>
      <w:jc w:val="left"/>
      <w:outlineLvl w:val="2"/>
    </w:pPr>
    <w:rPr>
      <w:rFonts w:eastAsia="黑体" w:cs="宋体"/>
      <w:sz w:val="24"/>
      <w:szCs w:val="20"/>
    </w:rPr>
  </w:style>
  <w:style w:type="paragraph" w:customStyle="1" w:styleId="1377">
    <w:name w:val="样式 标题 4 + Times New Roman"/>
    <w:basedOn w:val="7"/>
    <w:qFormat/>
    <w:uiPriority w:val="0"/>
    <w:pPr>
      <w:tabs>
        <w:tab w:val="left" w:pos="1880"/>
      </w:tabs>
      <w:adjustRightInd/>
      <w:snapToGrid/>
      <w:spacing w:before="50" w:beforeLines="50" w:after="50" w:afterLines="50" w:line="460" w:lineRule="exact"/>
      <w:ind w:left="1880" w:hanging="420"/>
    </w:pPr>
    <w:rPr>
      <w:rFonts w:eastAsia="黑体"/>
      <w:b w:val="0"/>
      <w:color w:val="auto"/>
      <w:kern w:val="2"/>
      <w:szCs w:val="24"/>
    </w:rPr>
  </w:style>
  <w:style w:type="paragraph" w:customStyle="1" w:styleId="1378">
    <w:name w:val="样式 (西文) 宋体 首行缩进:  2 字符"/>
    <w:basedOn w:val="1"/>
    <w:qFormat/>
    <w:uiPriority w:val="0"/>
    <w:pPr>
      <w:spacing w:before="72" w:beforeLines="30" w:after="72" w:afterLines="30" w:line="240" w:lineRule="auto"/>
      <w:ind w:firstLine="420" w:firstLineChars="200"/>
    </w:pPr>
    <w:rPr>
      <w:rFonts w:ascii="宋体" w:hAnsi="宋体" w:cs="宋体"/>
      <w:sz w:val="24"/>
    </w:rPr>
  </w:style>
  <w:style w:type="table" w:customStyle="1" w:styleId="1379">
    <w:name w:val="网格型!4"/>
    <w:basedOn w:val="89"/>
    <w:qFormat/>
    <w:uiPriority w:val="0"/>
    <w:pPr>
      <w:widowControl w:val="0"/>
      <w:spacing w:line="312" w:lineRule="auto"/>
      <w:ind w:firstLine="482"/>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80">
    <w:name w:val="样式 表内字 + 两端对齐 行距: 多倍行距 1.3 字行"/>
    <w:basedOn w:val="234"/>
    <w:qFormat/>
    <w:uiPriority w:val="0"/>
    <w:pPr>
      <w:widowControl w:val="0"/>
      <w:spacing w:line="240" w:lineRule="auto"/>
      <w:jc w:val="both"/>
    </w:pPr>
    <w:rPr>
      <w:rFonts w:ascii="等线" w:hAnsi="等线" w:eastAsia="等线" w:cs="宋体"/>
      <w:kern w:val="2"/>
      <w:szCs w:val="21"/>
    </w:rPr>
  </w:style>
  <w:style w:type="paragraph" w:customStyle="1" w:styleId="1381">
    <w:name w:val="Char Char3 Char Char Char Char"/>
    <w:basedOn w:val="1"/>
    <w:qFormat/>
    <w:uiPriority w:val="0"/>
    <w:pPr>
      <w:widowControl/>
      <w:spacing w:before="72" w:beforeLines="30" w:after="160" w:afterLines="30" w:line="240" w:lineRule="exact"/>
      <w:jc w:val="left"/>
    </w:pPr>
    <w:rPr>
      <w:rFonts w:ascii="Verdana" w:hAnsi="Verdana"/>
      <w:kern w:val="0"/>
      <w:sz w:val="20"/>
      <w:szCs w:val="20"/>
      <w:lang w:eastAsia="en-US"/>
    </w:rPr>
  </w:style>
  <w:style w:type="paragraph" w:customStyle="1" w:styleId="1382">
    <w:name w:val="基准脚注"/>
    <w:basedOn w:val="1"/>
    <w:qFormat/>
    <w:uiPriority w:val="0"/>
    <w:pPr>
      <w:widowControl/>
      <w:spacing w:before="72" w:beforeLines="30" w:after="72" w:afterLines="30" w:line="360" w:lineRule="auto"/>
      <w:ind w:firstLine="200" w:firstLineChars="200"/>
      <w:jc w:val="left"/>
    </w:pPr>
    <w:rPr>
      <w:rFonts w:ascii="Garamond" w:hAnsi="Garamond"/>
      <w:kern w:val="0"/>
      <w:sz w:val="22"/>
      <w:szCs w:val="20"/>
    </w:rPr>
  </w:style>
  <w:style w:type="paragraph" w:customStyle="1" w:styleId="1383">
    <w:name w:val="样式 小四 居中"/>
    <w:basedOn w:val="1"/>
    <w:qFormat/>
    <w:uiPriority w:val="0"/>
    <w:pPr>
      <w:snapToGrid w:val="0"/>
      <w:spacing w:before="72" w:beforeLines="30" w:after="72" w:afterLines="30" w:line="240" w:lineRule="auto"/>
      <w:jc w:val="center"/>
    </w:pPr>
    <w:rPr>
      <w:rFonts w:ascii="宋体" w:cs="宋体"/>
      <w:sz w:val="24"/>
      <w:szCs w:val="20"/>
    </w:rPr>
  </w:style>
  <w:style w:type="paragraph" w:customStyle="1" w:styleId="1384">
    <w:name w:val="宋体 小四"/>
    <w:basedOn w:val="1"/>
    <w:qFormat/>
    <w:uiPriority w:val="0"/>
    <w:pPr>
      <w:snapToGrid w:val="0"/>
      <w:spacing w:before="72" w:beforeLines="30" w:after="72" w:afterLines="30" w:line="240" w:lineRule="auto"/>
    </w:pPr>
    <w:rPr>
      <w:rFonts w:ascii="宋体"/>
      <w:bCs/>
      <w:sz w:val="24"/>
    </w:rPr>
  </w:style>
  <w:style w:type="paragraph" w:customStyle="1" w:styleId="1385">
    <w:name w:val="样式 表标题12.5-1 + 段前: 1 行"/>
    <w:basedOn w:val="1"/>
    <w:qFormat/>
    <w:uiPriority w:val="0"/>
    <w:pPr>
      <w:tabs>
        <w:tab w:val="left" w:pos="280"/>
        <w:tab w:val="left" w:pos="537"/>
      </w:tabs>
      <w:adjustRightInd w:val="0"/>
      <w:snapToGrid w:val="0"/>
      <w:spacing w:before="240" w:beforeLines="100" w:after="72" w:afterLines="30" w:line="0" w:lineRule="atLeast"/>
      <w:ind w:left="537" w:hanging="432"/>
      <w:jc w:val="center"/>
    </w:pPr>
    <w:rPr>
      <w:rFonts w:ascii="黑体" w:hAnsi="宋体" w:eastAsia="黑体" w:cs="宋体"/>
      <w:b/>
      <w:bCs/>
      <w:sz w:val="24"/>
      <w:szCs w:val="20"/>
    </w:rPr>
  </w:style>
  <w:style w:type="paragraph" w:customStyle="1" w:styleId="1386">
    <w:name w:val="样式 标题 1 + 华文中宋 两端对齐 左侧:  0 厘米"/>
    <w:basedOn w:val="3"/>
    <w:next w:val="1"/>
    <w:qFormat/>
    <w:uiPriority w:val="0"/>
    <w:pPr>
      <w:numPr>
        <w:ilvl w:val="0"/>
        <w:numId w:val="11"/>
      </w:numPr>
      <w:tabs>
        <w:tab w:val="left" w:pos="1200"/>
        <w:tab w:val="clear" w:pos="537"/>
      </w:tabs>
      <w:spacing w:beforeLines="30" w:afterLines="30" w:line="300" w:lineRule="auto"/>
      <w:ind w:left="1200" w:hanging="360"/>
    </w:pPr>
    <w:rPr>
      <w:rFonts w:ascii="华文中宋" w:hAnsi="华文中宋" w:eastAsia="华文中宋"/>
      <w:bCs w:val="0"/>
      <w:color w:val="auto"/>
      <w:kern w:val="44"/>
      <w:sz w:val="30"/>
      <w:szCs w:val="30"/>
    </w:rPr>
  </w:style>
  <w:style w:type="paragraph" w:customStyle="1" w:styleId="1387">
    <w:name w:val="样式 表头 + 首行缩进:  2 字符"/>
    <w:basedOn w:val="177"/>
    <w:qFormat/>
    <w:uiPriority w:val="0"/>
    <w:pPr>
      <w:keepNext w:val="0"/>
      <w:tabs>
        <w:tab w:val="center" w:pos="4060"/>
        <w:tab w:val="right" w:pos="8261"/>
      </w:tabs>
      <w:suppressAutoHyphens/>
      <w:snapToGrid/>
      <w:spacing w:before="240" w:beforeLines="30" w:after="120" w:afterLines="30" w:line="240" w:lineRule="auto"/>
      <w:jc w:val="both"/>
    </w:pPr>
    <w:rPr>
      <w:rFonts w:ascii="黑体" w:eastAsia="黑体"/>
      <w:b w:val="0"/>
      <w:bCs w:val="0"/>
      <w:color w:val="auto"/>
      <w:spacing w:val="6"/>
      <w:kern w:val="0"/>
      <w:sz w:val="26"/>
      <w:szCs w:val="20"/>
    </w:rPr>
  </w:style>
  <w:style w:type="paragraph" w:customStyle="1" w:styleId="1388">
    <w:name w:val="样式 表字 + 首行缩进:  2 字符"/>
    <w:basedOn w:val="1"/>
    <w:qFormat/>
    <w:uiPriority w:val="0"/>
    <w:pPr>
      <w:spacing w:before="72" w:beforeLines="30" w:after="72" w:afterLines="30" w:line="240" w:lineRule="auto"/>
      <w:jc w:val="center"/>
    </w:pPr>
    <w:rPr>
      <w:rFonts w:ascii="宋体"/>
      <w:szCs w:val="21"/>
    </w:rPr>
  </w:style>
  <w:style w:type="paragraph" w:customStyle="1" w:styleId="1389">
    <w:name w:val="样式 小四 居中 段前: 6 磅 行距: 最小值 0 磅"/>
    <w:basedOn w:val="1"/>
    <w:qFormat/>
    <w:uiPriority w:val="0"/>
    <w:pPr>
      <w:snapToGrid w:val="0"/>
      <w:spacing w:before="72" w:beforeLines="30" w:after="72" w:afterLines="30" w:line="0" w:lineRule="atLeast"/>
      <w:jc w:val="center"/>
    </w:pPr>
    <w:rPr>
      <w:rFonts w:ascii="宋体" w:cs="宋体"/>
      <w:sz w:val="24"/>
      <w:szCs w:val="20"/>
    </w:rPr>
  </w:style>
  <w:style w:type="paragraph" w:customStyle="1" w:styleId="1390">
    <w:name w:val="kk"/>
    <w:basedOn w:val="33"/>
    <w:qFormat/>
    <w:uiPriority w:val="0"/>
    <w:pPr>
      <w:adjustRightInd w:val="0"/>
      <w:spacing w:before="72" w:beforeLines="30" w:afterLines="30" w:line="360" w:lineRule="auto"/>
      <w:jc w:val="both"/>
      <w:textAlignment w:val="baseline"/>
    </w:pPr>
    <w:rPr>
      <w:rFonts w:ascii="Times New Roman" w:hAnsi="Times New Roman" w:cs="Times New Roman"/>
      <w:spacing w:val="10"/>
      <w:szCs w:val="20"/>
      <w:lang w:val="en-US" w:bidi="ar-SA"/>
    </w:rPr>
  </w:style>
  <w:style w:type="paragraph" w:customStyle="1" w:styleId="1391">
    <w:name w:val="正文（1）"/>
    <w:basedOn w:val="6"/>
    <w:next w:val="54"/>
    <w:qFormat/>
    <w:uiPriority w:val="0"/>
    <w:pPr>
      <w:widowControl/>
      <w:adjustRightInd w:val="0"/>
      <w:snapToGrid w:val="0"/>
      <w:spacing w:line="480" w:lineRule="exact"/>
      <w:ind w:firstLine="480"/>
    </w:pPr>
    <w:rPr>
      <w:rFonts w:ascii="Times New Roman" w:hAnsi="Times New Roman"/>
      <w:kern w:val="0"/>
    </w:rPr>
  </w:style>
  <w:style w:type="paragraph" w:customStyle="1" w:styleId="1392">
    <w:name w:val="样式 样式 样式 正文首行缩进 + 首行缩进:  2 字符1 + 段前: 6 磅 + 首行缩进:  2 字符"/>
    <w:basedOn w:val="1"/>
    <w:qFormat/>
    <w:uiPriority w:val="0"/>
    <w:pPr>
      <w:spacing w:before="240" w:beforeLines="0" w:line="360" w:lineRule="auto"/>
      <w:ind w:firstLine="480" w:firstLineChars="200"/>
    </w:pPr>
    <w:rPr>
      <w:sz w:val="24"/>
      <w:szCs w:val="20"/>
    </w:rPr>
  </w:style>
  <w:style w:type="paragraph" w:customStyle="1" w:styleId="1393">
    <w:name w:val="表16.4-1"/>
    <w:basedOn w:val="1"/>
    <w:qFormat/>
    <w:uiPriority w:val="0"/>
    <w:pPr>
      <w:numPr>
        <w:ilvl w:val="0"/>
        <w:numId w:val="12"/>
      </w:numPr>
      <w:tabs>
        <w:tab w:val="center" w:pos="4060"/>
        <w:tab w:val="right" w:pos="8261"/>
      </w:tabs>
      <w:suppressAutoHyphens/>
      <w:adjustRightInd w:val="0"/>
      <w:spacing w:before="312" w:beforeLines="100" w:line="0" w:lineRule="atLeast"/>
      <w:ind w:firstLine="0"/>
      <w:jc w:val="center"/>
    </w:pPr>
    <w:rPr>
      <w:rFonts w:ascii="黑体" w:eastAsia="黑体" w:cs="宋体"/>
      <w:b/>
      <w:bCs/>
      <w:spacing w:val="6"/>
      <w:kern w:val="0"/>
      <w:sz w:val="24"/>
      <w:szCs w:val="20"/>
    </w:rPr>
  </w:style>
  <w:style w:type="paragraph" w:customStyle="1" w:styleId="1394">
    <w:name w:val="标题16.1.1.1"/>
    <w:basedOn w:val="7"/>
    <w:qFormat/>
    <w:uiPriority w:val="0"/>
    <w:pPr>
      <w:numPr>
        <w:ilvl w:val="3"/>
        <w:numId w:val="13"/>
      </w:numPr>
      <w:tabs>
        <w:tab w:val="left" w:pos="425"/>
      </w:tabs>
      <w:adjustRightInd/>
      <w:snapToGrid/>
      <w:spacing w:before="120" w:beforeLines="0" w:after="120" w:line="312" w:lineRule="auto"/>
    </w:pPr>
    <w:rPr>
      <w:rFonts w:ascii="Arial" w:hAnsi="Arial" w:eastAsia="黑体"/>
      <w:bCs/>
      <w:color w:val="auto"/>
      <w:kern w:val="2"/>
      <w:szCs w:val="24"/>
    </w:rPr>
  </w:style>
  <w:style w:type="table" w:customStyle="1" w:styleId="1395">
    <w:name w:val="网格型!5"/>
    <w:basedOn w:val="89"/>
    <w:qFormat/>
    <w:uiPriority w:val="0"/>
    <w:pPr>
      <w:widowControl w:val="0"/>
      <w:spacing w:line="312" w:lineRule="auto"/>
      <w:ind w:firstLine="482"/>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96">
    <w:name w:val="正文1（缩进）"/>
    <w:basedOn w:val="6"/>
    <w:qFormat/>
    <w:uiPriority w:val="0"/>
    <w:pPr>
      <w:snapToGrid w:val="0"/>
      <w:ind w:firstLine="473" w:firstLineChars="225"/>
    </w:pPr>
    <w:rPr>
      <w:rFonts w:ascii="宋体" w:hAnsi="宋体"/>
      <w:color w:val="000000"/>
      <w:szCs w:val="21"/>
    </w:rPr>
  </w:style>
  <w:style w:type="paragraph" w:customStyle="1" w:styleId="1397">
    <w:name w:val="样式 正文首行缩进 + 自动设置"/>
    <w:basedOn w:val="54"/>
    <w:link w:val="1558"/>
    <w:qFormat/>
    <w:uiPriority w:val="0"/>
    <w:pPr>
      <w:tabs>
        <w:tab w:val="left" w:pos="628"/>
        <w:tab w:val="left" w:pos="1727"/>
        <w:tab w:val="left" w:pos="1884"/>
        <w:tab w:val="left" w:pos="2660"/>
        <w:tab w:val="left" w:pos="5460"/>
      </w:tabs>
      <w:autoSpaceDE/>
      <w:autoSpaceDN/>
      <w:adjustRightInd w:val="0"/>
      <w:snapToGrid w:val="0"/>
      <w:spacing w:line="360" w:lineRule="auto"/>
      <w:ind w:firstLine="560" w:firstLineChars="200"/>
      <w:jc w:val="both"/>
    </w:pPr>
    <w:rPr>
      <w:rFonts w:cs="Times New Roman"/>
      <w:kern w:val="2"/>
      <w:sz w:val="28"/>
      <w:szCs w:val="28"/>
      <w:lang w:val="en-US" w:bidi="ar-SA"/>
    </w:rPr>
  </w:style>
  <w:style w:type="character" w:customStyle="1" w:styleId="1398">
    <w:name w:val="称呼 字符1"/>
    <w:link w:val="29"/>
    <w:qFormat/>
    <w:uiPriority w:val="0"/>
    <w:rPr>
      <w:kern w:val="2"/>
      <w:sz w:val="28"/>
      <w:szCs w:val="24"/>
    </w:rPr>
  </w:style>
  <w:style w:type="paragraph" w:customStyle="1" w:styleId="1399">
    <w:name w:val="正文22"/>
    <w:link w:val="1400"/>
    <w:qFormat/>
    <w:uiPriority w:val="0"/>
    <w:pPr>
      <w:widowControl w:val="0"/>
      <w:adjustRightInd w:val="0"/>
      <w:snapToGrid w:val="0"/>
      <w:spacing w:line="300" w:lineRule="auto"/>
      <w:ind w:firstLine="480" w:firstLineChars="200"/>
    </w:pPr>
    <w:rPr>
      <w:rFonts w:ascii="Times New Roman" w:hAnsi="宋体" w:eastAsia="宋体" w:cs="Times New Roman"/>
      <w:kern w:val="28"/>
      <w:sz w:val="24"/>
      <w:szCs w:val="24"/>
      <w:lang w:val="en-US" w:eastAsia="zh-CN" w:bidi="ar-SA"/>
    </w:rPr>
  </w:style>
  <w:style w:type="character" w:customStyle="1" w:styleId="1400">
    <w:name w:val="正文22 Char"/>
    <w:link w:val="1399"/>
    <w:qFormat/>
    <w:uiPriority w:val="0"/>
    <w:rPr>
      <w:rFonts w:hAnsi="宋体"/>
      <w:kern w:val="28"/>
      <w:sz w:val="24"/>
      <w:szCs w:val="24"/>
    </w:rPr>
  </w:style>
  <w:style w:type="paragraph" w:customStyle="1" w:styleId="1401">
    <w:name w:val="样式 正文22 + 首行缩进:  2 字符1"/>
    <w:basedOn w:val="1399"/>
    <w:next w:val="1399"/>
    <w:qFormat/>
    <w:uiPriority w:val="0"/>
    <w:pPr>
      <w:ind w:firstLine="560"/>
    </w:pPr>
    <w:rPr>
      <w:rFonts w:cs="宋体"/>
      <w:szCs w:val="20"/>
    </w:rPr>
  </w:style>
  <w:style w:type="paragraph" w:customStyle="1" w:styleId="1402">
    <w:name w:val="样式 样式 正文22 + 首行缩进:  2 字符 + 首行缩进:  2 字符"/>
    <w:basedOn w:val="1"/>
    <w:qFormat/>
    <w:uiPriority w:val="0"/>
    <w:pPr>
      <w:adjustRightInd w:val="0"/>
      <w:snapToGrid w:val="0"/>
      <w:spacing w:before="0" w:beforeLines="0" w:line="360" w:lineRule="auto"/>
      <w:ind w:firstLine="560" w:firstLineChars="200"/>
      <w:jc w:val="left"/>
    </w:pPr>
    <w:rPr>
      <w:rFonts w:cs="宋体"/>
      <w:kern w:val="28"/>
      <w:sz w:val="28"/>
      <w:szCs w:val="20"/>
    </w:rPr>
  </w:style>
  <w:style w:type="paragraph" w:customStyle="1" w:styleId="1403">
    <w:name w:val="a)"/>
    <w:basedOn w:val="1"/>
    <w:qFormat/>
    <w:uiPriority w:val="0"/>
    <w:pPr>
      <w:autoSpaceDE w:val="0"/>
      <w:autoSpaceDN w:val="0"/>
      <w:adjustRightInd w:val="0"/>
      <w:spacing w:before="0" w:beforeLines="0" w:line="360" w:lineRule="auto"/>
      <w:ind w:firstLine="482"/>
      <w:textAlignment w:val="baseline"/>
    </w:pPr>
    <w:rPr>
      <w:kern w:val="0"/>
      <w:sz w:val="24"/>
      <w:szCs w:val="20"/>
    </w:rPr>
  </w:style>
  <w:style w:type="paragraph" w:customStyle="1" w:styleId="1404">
    <w:name w:val="样式 正文首行缩进可研-正文首行缩进 + 首行缩进:  2 字符"/>
    <w:basedOn w:val="54"/>
    <w:qFormat/>
    <w:uiPriority w:val="0"/>
    <w:pPr>
      <w:tabs>
        <w:tab w:val="left" w:pos="628"/>
        <w:tab w:val="left" w:pos="1413"/>
        <w:tab w:val="left" w:pos="1727"/>
        <w:tab w:val="left" w:pos="1884"/>
        <w:tab w:val="left" w:pos="4900"/>
      </w:tabs>
      <w:autoSpaceDE/>
      <w:autoSpaceDN/>
      <w:adjustRightInd w:val="0"/>
      <w:snapToGrid w:val="0"/>
      <w:spacing w:line="360" w:lineRule="auto"/>
      <w:ind w:firstLine="560" w:firstLineChars="200"/>
      <w:jc w:val="both"/>
    </w:pPr>
    <w:rPr>
      <w:sz w:val="28"/>
      <w:szCs w:val="20"/>
      <w:lang w:val="en-US" w:bidi="ar-SA"/>
    </w:rPr>
  </w:style>
  <w:style w:type="paragraph" w:customStyle="1" w:styleId="1405">
    <w:name w:val="样式 样式 样式 正文首行缩进 + 首行缩进:  2 字符 + 首行缩进:  2 字符 + 首行缩进:  2 字符"/>
    <w:basedOn w:val="1"/>
    <w:qFormat/>
    <w:uiPriority w:val="0"/>
    <w:pPr>
      <w:widowControl/>
      <w:tabs>
        <w:tab w:val="left" w:pos="628"/>
        <w:tab w:val="left" w:pos="1727"/>
        <w:tab w:val="left" w:pos="1884"/>
        <w:tab w:val="left" w:pos="2660"/>
        <w:tab w:val="left" w:pos="5460"/>
      </w:tabs>
      <w:autoSpaceDE w:val="0"/>
      <w:snapToGrid w:val="0"/>
      <w:spacing w:before="0" w:beforeLines="0" w:line="360" w:lineRule="auto"/>
      <w:ind w:firstLine="200" w:firstLineChars="200"/>
      <w:jc w:val="left"/>
    </w:pPr>
    <w:rPr>
      <w:rFonts w:ascii="宋体"/>
      <w:snapToGrid w:val="0"/>
      <w:color w:val="000000"/>
      <w:kern w:val="0"/>
      <w:sz w:val="28"/>
      <w:szCs w:val="20"/>
    </w:rPr>
  </w:style>
  <w:style w:type="paragraph" w:customStyle="1" w:styleId="1406">
    <w:name w:val="样式 表格标题 + 自动设置"/>
    <w:basedOn w:val="6"/>
    <w:qFormat/>
    <w:uiPriority w:val="0"/>
    <w:pPr>
      <w:adjustRightInd w:val="0"/>
      <w:snapToGrid w:val="0"/>
      <w:spacing w:line="240" w:lineRule="auto"/>
      <w:ind w:firstLine="0" w:firstLineChars="0"/>
      <w:jc w:val="center"/>
    </w:pPr>
    <w:rPr>
      <w:rFonts w:ascii="黑体" w:hAnsi="宋体" w:eastAsia="黑体" w:cs="Arial"/>
      <w:color w:val="000000"/>
    </w:rPr>
  </w:style>
  <w:style w:type="paragraph" w:customStyle="1" w:styleId="1407">
    <w:name w:val="样式 居中 行距: 单倍行距"/>
    <w:basedOn w:val="1"/>
    <w:qFormat/>
    <w:uiPriority w:val="0"/>
    <w:pPr>
      <w:spacing w:before="0" w:beforeLines="0" w:line="240" w:lineRule="auto"/>
      <w:jc w:val="center"/>
    </w:pPr>
    <w:rPr>
      <w:rFonts w:ascii="宋体" w:hAnsi="宋体"/>
      <w:sz w:val="24"/>
      <w:szCs w:val="20"/>
    </w:rPr>
  </w:style>
  <w:style w:type="paragraph" w:customStyle="1" w:styleId="1408">
    <w:name w:val="样式 标题 6无节标题8二级项标题6，6级标题，小四中宋粗，无序号标题6，6级标题，小四中宋粗，无序号 Char标6..."/>
    <w:basedOn w:val="9"/>
    <w:qFormat/>
    <w:uiPriority w:val="0"/>
    <w:pPr>
      <w:keepNext w:val="0"/>
      <w:tabs>
        <w:tab w:val="left" w:pos="425"/>
        <w:tab w:val="clear" w:pos="1152"/>
      </w:tabs>
      <w:autoSpaceDN w:val="0"/>
      <w:spacing w:before="0" w:after="0" w:line="360" w:lineRule="auto"/>
      <w:ind w:left="425" w:hanging="425"/>
    </w:pPr>
    <w:rPr>
      <w:rFonts w:ascii="宋体" w:hAnsi="宋体" w:eastAsia="宋体"/>
      <w:b w:val="0"/>
      <w:bCs w:val="0"/>
      <w:sz w:val="28"/>
      <w:szCs w:val="20"/>
    </w:rPr>
  </w:style>
  <w:style w:type="paragraph" w:customStyle="1" w:styleId="1409">
    <w:name w:val="a1"/>
    <w:basedOn w:val="1"/>
    <w:qFormat/>
    <w:uiPriority w:val="0"/>
    <w:pPr>
      <w:widowControl/>
      <w:overflowPunct w:val="0"/>
      <w:autoSpaceDE w:val="0"/>
      <w:autoSpaceDN w:val="0"/>
      <w:adjustRightInd w:val="0"/>
      <w:spacing w:before="0" w:beforeLines="0" w:line="360" w:lineRule="auto"/>
      <w:jc w:val="left"/>
      <w:textAlignment w:val="baseline"/>
    </w:pPr>
    <w:rPr>
      <w:kern w:val="0"/>
      <w:sz w:val="24"/>
      <w:szCs w:val="20"/>
      <w:lang w:val="en-GB"/>
    </w:rPr>
  </w:style>
  <w:style w:type="paragraph" w:customStyle="1" w:styleId="1410">
    <w:name w:val="项目编号"/>
    <w:basedOn w:val="1"/>
    <w:next w:val="1"/>
    <w:qFormat/>
    <w:uiPriority w:val="0"/>
    <w:pPr>
      <w:tabs>
        <w:tab w:val="left" w:pos="360"/>
      </w:tabs>
      <w:spacing w:before="120" w:beforeLines="0" w:after="120" w:line="360" w:lineRule="auto"/>
    </w:pPr>
    <w:rPr>
      <w:sz w:val="24"/>
      <w:szCs w:val="20"/>
    </w:rPr>
  </w:style>
  <w:style w:type="paragraph" w:customStyle="1" w:styleId="1411">
    <w:name w:val="图文字"/>
    <w:basedOn w:val="1"/>
    <w:next w:val="1"/>
    <w:qFormat/>
    <w:uiPriority w:val="0"/>
    <w:pPr>
      <w:snapToGrid w:val="0"/>
      <w:spacing w:before="0" w:beforeLines="0" w:line="240" w:lineRule="auto"/>
    </w:pPr>
    <w:rPr>
      <w:rFonts w:ascii="Arial" w:hAnsi="Arial" w:eastAsia="楷体_GB2312"/>
      <w:sz w:val="24"/>
      <w:szCs w:val="20"/>
    </w:rPr>
  </w:style>
  <w:style w:type="paragraph" w:customStyle="1" w:styleId="1412">
    <w:name w:val="Achievement"/>
    <w:basedOn w:val="33"/>
    <w:qFormat/>
    <w:uiPriority w:val="0"/>
    <w:pPr>
      <w:widowControl/>
      <w:tabs>
        <w:tab w:val="left" w:pos="900"/>
      </w:tabs>
      <w:autoSpaceDE/>
      <w:autoSpaceDN/>
      <w:spacing w:after="60" w:line="220" w:lineRule="atLeast"/>
      <w:ind w:left="900" w:right="-360" w:hanging="420"/>
    </w:pPr>
    <w:rPr>
      <w:rFonts w:ascii="Times New Roman" w:hAnsi="Times New Roman" w:cs="Times New Roman"/>
      <w:sz w:val="20"/>
      <w:szCs w:val="20"/>
      <w:lang w:val="en-US" w:bidi="ar-SA"/>
    </w:rPr>
  </w:style>
  <w:style w:type="paragraph" w:customStyle="1" w:styleId="1413">
    <w:name w:val="样式 标题 3 + 段前: 0.3 行"/>
    <w:basedOn w:val="5"/>
    <w:qFormat/>
    <w:uiPriority w:val="0"/>
    <w:pPr>
      <w:spacing w:before="120" w:beforeLines="50" w:after="120" w:line="440" w:lineRule="exact"/>
      <w:ind w:firstLine="493"/>
    </w:pPr>
    <w:rPr>
      <w:rFonts w:ascii="Arial" w:hAnsi="Arial" w:eastAsia="黑体"/>
      <w:b w:val="0"/>
      <w:bCs w:val="0"/>
      <w:color w:val="auto"/>
      <w:spacing w:val="16"/>
      <w:w w:val="95"/>
      <w:kern w:val="0"/>
      <w:sz w:val="26"/>
    </w:rPr>
  </w:style>
  <w:style w:type="paragraph" w:customStyle="1" w:styleId="1414">
    <w:name w:val="样式 正文首行缩进 + 首行缩进:  2 字符"/>
    <w:basedOn w:val="54"/>
    <w:qFormat/>
    <w:uiPriority w:val="0"/>
    <w:pPr>
      <w:autoSpaceDE/>
      <w:autoSpaceDN/>
      <w:spacing w:line="300" w:lineRule="auto"/>
      <w:ind w:firstLine="480" w:firstLineChars="200"/>
      <w:jc w:val="both"/>
    </w:pPr>
    <w:rPr>
      <w:rFonts w:ascii="Times New Roman" w:hAnsi="Times New Roman" w:cs="Times New Roman"/>
      <w:kern w:val="2"/>
      <w:szCs w:val="20"/>
      <w:lang w:val="en-US" w:bidi="ar-SA"/>
    </w:rPr>
  </w:style>
  <w:style w:type="paragraph" w:customStyle="1" w:styleId="1415">
    <w:name w:val="样式 样式 正文首行缩进 + 首行缩进:  2 字符1 + 首行缩进:  2 字符"/>
    <w:basedOn w:val="1283"/>
    <w:qFormat/>
    <w:uiPriority w:val="0"/>
    <w:pPr>
      <w:spacing w:line="360" w:lineRule="auto"/>
      <w:ind w:firstLine="480"/>
    </w:pPr>
  </w:style>
  <w:style w:type="paragraph" w:customStyle="1" w:styleId="1416">
    <w:name w:val="样式 标题 3 + Times New Roman"/>
    <w:basedOn w:val="5"/>
    <w:qFormat/>
    <w:uiPriority w:val="0"/>
    <w:pPr>
      <w:keepNext/>
      <w:spacing w:before="72" w:beforeLines="30" w:after="160" w:line="460" w:lineRule="exact"/>
    </w:pPr>
    <w:rPr>
      <w:rFonts w:eastAsia="黑体"/>
      <w:b w:val="0"/>
      <w:bCs w:val="0"/>
      <w:color w:val="auto"/>
      <w:kern w:val="2"/>
      <w:szCs w:val="28"/>
    </w:rPr>
  </w:style>
  <w:style w:type="paragraph" w:customStyle="1" w:styleId="1417">
    <w:name w:val="表内序号"/>
    <w:basedOn w:val="1"/>
    <w:qFormat/>
    <w:uiPriority w:val="0"/>
    <w:pPr>
      <w:widowControl/>
      <w:adjustRightInd w:val="0"/>
      <w:snapToGrid w:val="0"/>
      <w:spacing w:before="0" w:beforeLines="0" w:line="240" w:lineRule="auto"/>
      <w:jc w:val="center"/>
    </w:pPr>
    <w:rPr>
      <w:spacing w:val="10"/>
      <w:kern w:val="0"/>
      <w:sz w:val="24"/>
      <w:szCs w:val="20"/>
    </w:rPr>
  </w:style>
  <w:style w:type="paragraph" w:customStyle="1" w:styleId="1418">
    <w:name w:val="Job Title"/>
    <w:next w:val="1"/>
    <w:qFormat/>
    <w:uiPriority w:val="0"/>
    <w:pPr>
      <w:spacing w:after="40" w:line="220" w:lineRule="atLeast"/>
    </w:pPr>
    <w:rPr>
      <w:rFonts w:ascii="Arial" w:hAnsi="Arial" w:eastAsia="宋体" w:cs="Times New Roman"/>
      <w:b/>
      <w:spacing w:val="-10"/>
      <w:lang w:val="en-US" w:eastAsia="zh-CN" w:bidi="ar-SA"/>
    </w:rPr>
  </w:style>
  <w:style w:type="paragraph" w:customStyle="1" w:styleId="1419">
    <w:name w:val="样式 样式 标题 3 + Times New Roman + 段前: 0.3 行"/>
    <w:basedOn w:val="1416"/>
    <w:qFormat/>
    <w:uiPriority w:val="0"/>
    <w:pPr>
      <w:spacing w:before="20" w:beforeLines="20" w:after="30" w:afterLines="30"/>
    </w:pPr>
    <w:rPr>
      <w:szCs w:val="20"/>
    </w:rPr>
  </w:style>
  <w:style w:type="paragraph" w:customStyle="1" w:styleId="1420">
    <w:name w:val="样式 样式 正文首行缩进 + 首行缩进:  2 字符1 + 段前: 6 磅"/>
    <w:basedOn w:val="1283"/>
    <w:qFormat/>
    <w:uiPriority w:val="0"/>
    <w:pPr>
      <w:spacing w:before="240" w:line="360" w:lineRule="auto"/>
    </w:pPr>
    <w:rPr>
      <w:szCs w:val="20"/>
    </w:rPr>
  </w:style>
  <w:style w:type="paragraph" w:customStyle="1" w:styleId="1421">
    <w:name w:val="样式 标题1 + 段后: 0.5 行"/>
    <w:basedOn w:val="442"/>
    <w:qFormat/>
    <w:uiPriority w:val="0"/>
    <w:pPr>
      <w:adjustRightInd/>
      <w:snapToGrid/>
      <w:spacing w:before="0" w:beforeLines="0" w:after="166" w:afterLines="50" w:line="300" w:lineRule="auto"/>
      <w:jc w:val="both"/>
      <w:outlineLvl w:val="9"/>
    </w:pPr>
    <w:rPr>
      <w:rFonts w:eastAsia="黑体"/>
      <w:b w:val="0"/>
      <w:spacing w:val="0"/>
      <w:kern w:val="2"/>
      <w:sz w:val="36"/>
    </w:rPr>
  </w:style>
  <w:style w:type="paragraph" w:customStyle="1" w:styleId="1422">
    <w:name w:val="样式 样式 标题 4 + Times New Roman + 左侧:  0 厘米 段前: 0.5 行 段后: 0.5 行"/>
    <w:basedOn w:val="1377"/>
    <w:qFormat/>
    <w:uiPriority w:val="0"/>
    <w:pPr>
      <w:tabs>
        <w:tab w:val="left" w:pos="2160"/>
        <w:tab w:val="clear" w:pos="1880"/>
      </w:tabs>
      <w:spacing w:before="48" w:after="72"/>
      <w:ind w:left="0"/>
    </w:pPr>
    <w:rPr>
      <w:szCs w:val="20"/>
    </w:rPr>
  </w:style>
  <w:style w:type="paragraph" w:customStyle="1" w:styleId="1423">
    <w:name w:val="样式 样式 正文首行缩进 + 首行缩进:  2 字符1 + 段前: 8.3 磅"/>
    <w:basedOn w:val="1283"/>
    <w:qFormat/>
    <w:uiPriority w:val="0"/>
    <w:pPr>
      <w:spacing w:before="166" w:line="360" w:lineRule="auto"/>
      <w:ind w:firstLine="480"/>
    </w:pPr>
    <w:rPr>
      <w:szCs w:val="20"/>
    </w:rPr>
  </w:style>
  <w:style w:type="paragraph" w:customStyle="1" w:styleId="1424">
    <w:name w:val="pl表格标题"/>
    <w:basedOn w:val="1"/>
    <w:qFormat/>
    <w:uiPriority w:val="0"/>
    <w:pPr>
      <w:snapToGrid w:val="0"/>
      <w:spacing w:before="0" w:beforeLines="0" w:line="360" w:lineRule="auto"/>
      <w:jc w:val="center"/>
    </w:pPr>
    <w:rPr>
      <w:rFonts w:ascii="宋体" w:hAnsi="宋体"/>
      <w:b/>
      <w:bCs/>
      <w:color w:val="000000"/>
      <w:sz w:val="28"/>
    </w:rPr>
  </w:style>
  <w:style w:type="paragraph" w:customStyle="1" w:styleId="1425">
    <w:name w:val="pl标题"/>
    <w:basedOn w:val="5"/>
    <w:qFormat/>
    <w:uiPriority w:val="0"/>
    <w:pPr>
      <w:widowControl/>
      <w:adjustRightInd w:val="0"/>
      <w:snapToGrid w:val="0"/>
      <w:spacing w:before="0" w:after="0" w:line="360" w:lineRule="auto"/>
    </w:pPr>
    <w:rPr>
      <w:bCs w:val="0"/>
      <w:color w:val="auto"/>
      <w:kern w:val="2"/>
      <w:szCs w:val="24"/>
    </w:rPr>
  </w:style>
  <w:style w:type="paragraph" w:customStyle="1" w:styleId="1426">
    <w:name w:val="表格文字自调"/>
    <w:basedOn w:val="47"/>
    <w:qFormat/>
    <w:uiPriority w:val="0"/>
    <w:pPr>
      <w:spacing w:before="0" w:beforeLines="0" w:line="240" w:lineRule="auto"/>
      <w:jc w:val="center"/>
    </w:pPr>
    <w:rPr>
      <w:rFonts w:ascii="Times New Roman" w:hAnsi="Times New Roman"/>
      <w:sz w:val="24"/>
    </w:rPr>
  </w:style>
  <w:style w:type="paragraph" w:customStyle="1" w:styleId="1427">
    <w:name w:val="正文首行不缩进"/>
    <w:basedOn w:val="1"/>
    <w:qFormat/>
    <w:uiPriority w:val="0"/>
    <w:pPr>
      <w:adjustRightInd w:val="0"/>
      <w:snapToGrid w:val="0"/>
      <w:spacing w:before="0" w:beforeLines="0" w:line="240" w:lineRule="auto"/>
      <w:outlineLvl w:val="0"/>
    </w:pPr>
    <w:rPr>
      <w:rFonts w:ascii="黑体" w:eastAsia="黑体"/>
      <w:szCs w:val="20"/>
    </w:rPr>
  </w:style>
  <w:style w:type="paragraph" w:customStyle="1" w:styleId="1428">
    <w:name w:val="表中居中文字"/>
    <w:basedOn w:val="1"/>
    <w:qFormat/>
    <w:uiPriority w:val="0"/>
    <w:pPr>
      <w:spacing w:before="0" w:beforeLines="0" w:line="240" w:lineRule="auto"/>
      <w:jc w:val="center"/>
    </w:pPr>
    <w:rPr>
      <w:szCs w:val="18"/>
    </w:rPr>
  </w:style>
  <w:style w:type="paragraph" w:customStyle="1" w:styleId="1429">
    <w:name w:val="样式 正文首行缩进 + 小四"/>
    <w:basedOn w:val="54"/>
    <w:qFormat/>
    <w:uiPriority w:val="0"/>
    <w:pPr>
      <w:autoSpaceDE/>
      <w:autoSpaceDN/>
      <w:spacing w:line="360" w:lineRule="auto"/>
      <w:ind w:firstLine="200" w:firstLineChars="200"/>
      <w:jc w:val="both"/>
    </w:pPr>
    <w:rPr>
      <w:rFonts w:hAnsi="Times New Roman"/>
      <w:kern w:val="2"/>
      <w:sz w:val="28"/>
      <w:szCs w:val="20"/>
      <w:lang w:val="en-US" w:bidi="ar-SA"/>
    </w:rPr>
  </w:style>
  <w:style w:type="paragraph" w:customStyle="1" w:styleId="1430">
    <w:name w:val="样式 样式 样式 样式 标题 21.1标题 21.1标题2标题 2 Char1节标2_Heading 2一级条 + 段前: 0...."/>
    <w:basedOn w:val="1"/>
    <w:qFormat/>
    <w:uiPriority w:val="0"/>
    <w:pPr>
      <w:keepNext/>
      <w:keepLines/>
      <w:tabs>
        <w:tab w:val="left" w:pos="840"/>
      </w:tabs>
      <w:adjustRightInd w:val="0"/>
      <w:spacing w:before="50" w:beforeLines="50" w:after="50" w:afterLines="50" w:line="240" w:lineRule="auto"/>
      <w:ind w:left="840" w:hanging="420"/>
      <w:outlineLvl w:val="1"/>
    </w:pPr>
    <w:rPr>
      <w:rFonts w:ascii="黑体" w:hAnsi="Arial" w:eastAsia="黑体" w:cs="宋体"/>
      <w:kern w:val="0"/>
      <w:sz w:val="28"/>
      <w:szCs w:val="20"/>
    </w:rPr>
  </w:style>
  <w:style w:type="paragraph" w:customStyle="1" w:styleId="1431">
    <w:name w:val="样式 样式 样式 样式 样式 样式 标题 21.1标题 21.1标题2标题 2 Char1节标2_Heading 2一级条 + ..."/>
    <w:basedOn w:val="1"/>
    <w:qFormat/>
    <w:uiPriority w:val="0"/>
    <w:pPr>
      <w:keepNext/>
      <w:keepLines/>
      <w:tabs>
        <w:tab w:val="left" w:pos="1320"/>
      </w:tabs>
      <w:adjustRightInd w:val="0"/>
      <w:spacing w:before="50" w:beforeLines="50" w:after="50" w:afterLines="50" w:line="240" w:lineRule="auto"/>
      <w:ind w:left="1320" w:hanging="420"/>
      <w:outlineLvl w:val="1"/>
    </w:pPr>
    <w:rPr>
      <w:rFonts w:ascii="黑体" w:hAnsi="Arial" w:eastAsia="黑体" w:cs="宋体"/>
      <w:kern w:val="0"/>
      <w:sz w:val="28"/>
      <w:szCs w:val="20"/>
    </w:rPr>
  </w:style>
  <w:style w:type="paragraph" w:customStyle="1" w:styleId="1432">
    <w:name w:val="样式 标题 51)项标题 5 Char1) Char项 Char标5一级项 + 首行缩进:  0.99 厘米"/>
    <w:basedOn w:val="8"/>
    <w:qFormat/>
    <w:uiPriority w:val="0"/>
    <w:pPr>
      <w:keepNext w:val="0"/>
      <w:keepLines w:val="0"/>
      <w:tabs>
        <w:tab w:val="left" w:pos="420"/>
        <w:tab w:val="clear" w:pos="1008"/>
      </w:tabs>
      <w:spacing w:before="0" w:after="0" w:line="360" w:lineRule="auto"/>
      <w:ind w:left="420" w:hanging="420"/>
    </w:pPr>
    <w:rPr>
      <w:rFonts w:ascii="宋体" w:hAnsi="Arial" w:cs="宋体"/>
      <w:b w:val="0"/>
      <w:bCs w:val="0"/>
      <w:kern w:val="24"/>
      <w:szCs w:val="20"/>
    </w:rPr>
  </w:style>
  <w:style w:type="paragraph" w:customStyle="1" w:styleId="1433">
    <w:name w:val="样式 标题 51)项标题 5 Char1) Char项 Char标5一级项 + (符号) 宋体"/>
    <w:basedOn w:val="8"/>
    <w:qFormat/>
    <w:uiPriority w:val="0"/>
    <w:pPr>
      <w:keepNext w:val="0"/>
      <w:keepLines w:val="0"/>
      <w:tabs>
        <w:tab w:val="left" w:pos="1140"/>
        <w:tab w:val="clear" w:pos="1008"/>
      </w:tabs>
      <w:adjustRightInd w:val="0"/>
      <w:snapToGrid w:val="0"/>
      <w:spacing w:before="0" w:after="0" w:line="360" w:lineRule="auto"/>
      <w:ind w:left="1140" w:hanging="720"/>
    </w:pPr>
    <w:rPr>
      <w:rFonts w:ascii="宋体" w:hAnsi="Arial" w:cs="宋体"/>
      <w:b w:val="0"/>
      <w:bCs w:val="0"/>
      <w:kern w:val="24"/>
    </w:rPr>
  </w:style>
  <w:style w:type="paragraph" w:customStyle="1" w:styleId="1434">
    <w:name w:val="样式 正文首行缩进 + (符号) 宋体1"/>
    <w:basedOn w:val="54"/>
    <w:qFormat/>
    <w:uiPriority w:val="0"/>
    <w:pPr>
      <w:tabs>
        <w:tab w:val="left" w:pos="420"/>
      </w:tabs>
      <w:autoSpaceDE/>
      <w:autoSpaceDN/>
      <w:spacing w:line="360" w:lineRule="auto"/>
      <w:ind w:left="420" w:hanging="420" w:firstLineChars="0"/>
      <w:jc w:val="both"/>
    </w:pPr>
    <w:rPr>
      <w:rFonts w:hAnsi="Times New Roman" w:cs="Times New Roman"/>
      <w:kern w:val="2"/>
      <w:sz w:val="28"/>
      <w:szCs w:val="20"/>
      <w:lang w:val="en-US" w:bidi="ar-SA"/>
    </w:rPr>
  </w:style>
  <w:style w:type="paragraph" w:customStyle="1" w:styleId="1435">
    <w:name w:val="样式 标题 51)项标题 5 Char1) Char项 Char标5一级项 + 小四"/>
    <w:basedOn w:val="8"/>
    <w:qFormat/>
    <w:uiPriority w:val="0"/>
    <w:pPr>
      <w:keepNext w:val="0"/>
      <w:keepLines w:val="0"/>
      <w:tabs>
        <w:tab w:val="clear" w:pos="1008"/>
      </w:tabs>
      <w:spacing w:before="0" w:after="0" w:line="360" w:lineRule="auto"/>
      <w:ind w:left="880" w:firstLine="200"/>
    </w:pPr>
    <w:rPr>
      <w:rFonts w:ascii="宋体" w:hAnsi="Arial" w:cs="宋体"/>
      <w:b w:val="0"/>
      <w:bCs w:val="0"/>
      <w:kern w:val="24"/>
    </w:rPr>
  </w:style>
  <w:style w:type="paragraph" w:customStyle="1" w:styleId="1436">
    <w:name w:val="样式 样式 标题 1标题 1 Char标1章 + 段前: 0.5 行 段后: 0.5 行3 + 段前: 0.5 行 段后: 0..."/>
    <w:basedOn w:val="1"/>
    <w:qFormat/>
    <w:uiPriority w:val="0"/>
    <w:pPr>
      <w:keepNext/>
      <w:widowControl/>
      <w:tabs>
        <w:tab w:val="left" w:pos="360"/>
      </w:tabs>
      <w:spacing w:before="50" w:beforeLines="50" w:after="50" w:afterLines="50" w:line="240" w:lineRule="auto"/>
      <w:ind w:left="340" w:hanging="340"/>
      <w:outlineLvl w:val="0"/>
    </w:pPr>
    <w:rPr>
      <w:rFonts w:ascii="黑体" w:hAnsi="Arial" w:eastAsia="黑体" w:cs="宋体"/>
      <w:kern w:val="24"/>
      <w:sz w:val="28"/>
      <w:szCs w:val="20"/>
    </w:rPr>
  </w:style>
  <w:style w:type="paragraph" w:customStyle="1" w:styleId="1437">
    <w:name w:val="样式 样式 正文首行缩进 + 黑色 + 首行缩进:  1 字符"/>
    <w:basedOn w:val="1"/>
    <w:qFormat/>
    <w:uiPriority w:val="0"/>
    <w:pPr>
      <w:spacing w:before="0" w:beforeLines="0" w:line="360" w:lineRule="auto"/>
    </w:pPr>
    <w:rPr>
      <w:rFonts w:ascii="宋体" w:cs="宋体"/>
      <w:color w:val="000000"/>
      <w:sz w:val="24"/>
      <w:szCs w:val="20"/>
    </w:rPr>
  </w:style>
  <w:style w:type="paragraph" w:customStyle="1" w:styleId="1438">
    <w:name w:val="样式 样式 样式 正文首行缩进 + 黑色 + 首行缩进:  1 字符 + 居中"/>
    <w:basedOn w:val="1437"/>
    <w:qFormat/>
    <w:uiPriority w:val="0"/>
    <w:pPr>
      <w:jc w:val="center"/>
    </w:pPr>
  </w:style>
  <w:style w:type="paragraph" w:customStyle="1" w:styleId="1439">
    <w:name w:val="样式 题注 + (西文) Arial (中文) 黑体 小四 Char Char"/>
    <w:basedOn w:val="21"/>
    <w:qFormat/>
    <w:uiPriority w:val="0"/>
    <w:pPr>
      <w:keepNext/>
      <w:ind w:firstLine="0"/>
    </w:pPr>
    <w:rPr>
      <w:rFonts w:ascii="Arial" w:hAnsi="Arial" w:cs="Arial"/>
      <w:kern w:val="0"/>
      <w:sz w:val="24"/>
      <w:szCs w:val="24"/>
    </w:rPr>
  </w:style>
  <w:style w:type="paragraph" w:customStyle="1" w:styleId="1440">
    <w:name w:val="新标题2"/>
    <w:basedOn w:val="1"/>
    <w:next w:val="54"/>
    <w:qFormat/>
    <w:uiPriority w:val="0"/>
    <w:pPr>
      <w:keepNext/>
      <w:spacing w:before="50" w:beforeLines="50" w:after="50" w:afterLines="50" w:line="360" w:lineRule="auto"/>
      <w:ind w:firstLine="200" w:firstLineChars="200"/>
      <w:jc w:val="center"/>
    </w:pPr>
    <w:rPr>
      <w:rFonts w:ascii="宋体" w:hAnsi="宋体"/>
      <w:kern w:val="0"/>
      <w:sz w:val="24"/>
    </w:rPr>
  </w:style>
  <w:style w:type="character" w:customStyle="1" w:styleId="1441">
    <w:name w:val="样式 正文首行缩进可研-正文首行缩进 + 首行缩进:  2 字符 Char"/>
    <w:qFormat/>
    <w:uiPriority w:val="0"/>
    <w:rPr>
      <w:rFonts w:ascii="宋体" w:hAnsi="宋体" w:eastAsia="宋体" w:cs="宋体"/>
      <w:sz w:val="28"/>
      <w:lang w:val="en-US" w:eastAsia="zh-CN" w:bidi="ar-SA"/>
    </w:rPr>
  </w:style>
  <w:style w:type="character" w:customStyle="1" w:styleId="1442">
    <w:name w:val="样式 正文首行缩进 + 自动设置 Char"/>
    <w:qFormat/>
    <w:uiPriority w:val="0"/>
    <w:rPr>
      <w:rFonts w:ascii="宋体" w:hAnsi="宋体" w:eastAsia="宋体"/>
      <w:b/>
      <w:bCs/>
      <w:snapToGrid w:val="0"/>
      <w:color w:val="000000"/>
      <w:kern w:val="2"/>
      <w:sz w:val="28"/>
      <w:szCs w:val="28"/>
      <w:lang w:val="en-US" w:eastAsia="zh-CN" w:bidi="ar-SA"/>
    </w:rPr>
  </w:style>
  <w:style w:type="paragraph" w:customStyle="1" w:styleId="1443">
    <w:name w:val="样式 燕山正文 + 首行缩进:  2 字符"/>
    <w:basedOn w:val="1"/>
    <w:qFormat/>
    <w:uiPriority w:val="0"/>
    <w:pPr>
      <w:tabs>
        <w:tab w:val="left" w:pos="4680"/>
      </w:tabs>
      <w:adjustRightInd w:val="0"/>
      <w:snapToGrid w:val="0"/>
      <w:spacing w:before="93" w:beforeLines="30" w:after="93" w:afterLines="30" w:line="360" w:lineRule="auto"/>
      <w:ind w:firstLine="480" w:firstLineChars="200"/>
      <w:jc w:val="left"/>
    </w:pPr>
    <w:rPr>
      <w:sz w:val="24"/>
      <w:szCs w:val="20"/>
    </w:rPr>
  </w:style>
  <w:style w:type="paragraph" w:customStyle="1" w:styleId="1444">
    <w:name w:val="样式 正文首行缩进 + 左侧:  -0.1 字符"/>
    <w:basedOn w:val="54"/>
    <w:qFormat/>
    <w:uiPriority w:val="0"/>
    <w:pPr>
      <w:keepNext/>
      <w:tabs>
        <w:tab w:val="left" w:pos="628"/>
        <w:tab w:val="left" w:pos="1380"/>
        <w:tab w:val="left" w:pos="1727"/>
        <w:tab w:val="left" w:pos="1884"/>
        <w:tab w:val="left" w:pos="4900"/>
      </w:tabs>
      <w:adjustRightInd w:val="0"/>
      <w:snapToGrid w:val="0"/>
      <w:spacing w:line="360" w:lineRule="auto"/>
      <w:ind w:firstLine="200" w:firstLineChars="200"/>
    </w:pPr>
    <w:rPr>
      <w:rFonts w:hAnsi="Times New Roman"/>
      <w:sz w:val="28"/>
      <w:szCs w:val="20"/>
      <w:lang w:bidi="ar-SA"/>
    </w:rPr>
  </w:style>
  <w:style w:type="paragraph" w:customStyle="1" w:styleId="1445">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446">
    <w:name w:val="封面标准号2"/>
    <w:basedOn w:val="1"/>
    <w:qFormat/>
    <w:uiPriority w:val="0"/>
    <w:pPr>
      <w:framePr w:w="9138" w:h="1244" w:hRule="exact" w:wrap="around" w:vAnchor="page" w:hAnchor="margin" w:y="2908" w:anchorLock="1"/>
      <w:kinsoku w:val="0"/>
      <w:overflowPunct w:val="0"/>
      <w:autoSpaceDE w:val="0"/>
      <w:autoSpaceDN w:val="0"/>
      <w:adjustRightInd w:val="0"/>
      <w:spacing w:before="357" w:beforeLines="0" w:line="280" w:lineRule="exact"/>
      <w:jc w:val="right"/>
      <w:textAlignment w:val="center"/>
    </w:pPr>
    <w:rPr>
      <w:kern w:val="0"/>
      <w:sz w:val="28"/>
      <w:szCs w:val="20"/>
    </w:rPr>
  </w:style>
  <w:style w:type="paragraph" w:customStyle="1" w:styleId="1447">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448">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449">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450">
    <w:name w:val="实施日期"/>
    <w:basedOn w:val="1449"/>
    <w:qFormat/>
    <w:uiPriority w:val="0"/>
    <w:pPr>
      <w:framePr w:hSpace="0" w:wrap="around" w:xAlign="right"/>
      <w:jc w:val="right"/>
    </w:pPr>
  </w:style>
  <w:style w:type="character" w:customStyle="1" w:styleId="1451">
    <w:name w:val="发布"/>
    <w:qFormat/>
    <w:uiPriority w:val="0"/>
    <w:rPr>
      <w:rFonts w:ascii="黑体" w:eastAsia="黑体"/>
      <w:spacing w:val="22"/>
      <w:w w:val="100"/>
      <w:position w:val="3"/>
      <w:sz w:val="28"/>
    </w:rPr>
  </w:style>
  <w:style w:type="paragraph" w:customStyle="1" w:styleId="1452">
    <w:name w:val="其他发布部门"/>
    <w:basedOn w:val="1"/>
    <w:qFormat/>
    <w:uiPriority w:val="0"/>
    <w:pPr>
      <w:framePr w:w="7433" w:h="585" w:hRule="exact" w:hSpace="180" w:vSpace="180" w:wrap="around" w:vAnchor="margin" w:hAnchor="margin" w:xAlign="center" w:y="14401" w:anchorLock="1"/>
      <w:widowControl/>
      <w:spacing w:before="0" w:beforeLines="0" w:line="0" w:lineRule="atLeast"/>
      <w:jc w:val="center"/>
    </w:pPr>
    <w:rPr>
      <w:rFonts w:ascii="黑体" w:eastAsia="黑体"/>
      <w:spacing w:val="20"/>
      <w:w w:val="135"/>
      <w:kern w:val="0"/>
      <w:sz w:val="36"/>
      <w:szCs w:val="20"/>
    </w:rPr>
  </w:style>
  <w:style w:type="paragraph" w:customStyle="1" w:styleId="1453">
    <w:name w:val="表格内容5"/>
    <w:basedOn w:val="1"/>
    <w:next w:val="1"/>
    <w:qFormat/>
    <w:uiPriority w:val="0"/>
    <w:pPr>
      <w:spacing w:before="40" w:beforeLines="0" w:after="60" w:line="200" w:lineRule="atLeast"/>
      <w:jc w:val="left"/>
      <w:textAlignment w:val="baseline"/>
    </w:pPr>
    <w:rPr>
      <w:rFonts w:ascii="Arial" w:hAnsi="Arial" w:eastAsia="仿宋_GB2312"/>
      <w:kern w:val="0"/>
    </w:rPr>
  </w:style>
  <w:style w:type="character" w:customStyle="1" w:styleId="1454">
    <w:name w:val="样式 黑体 小四"/>
    <w:qFormat/>
    <w:uiPriority w:val="0"/>
    <w:rPr>
      <w:rFonts w:ascii="黑体" w:hAnsi="黑体" w:eastAsia="黑体" w:cs="宋体"/>
      <w:color w:val="000000"/>
      <w:kern w:val="2"/>
      <w:sz w:val="24"/>
      <w:szCs w:val="20"/>
      <w:lang w:val="en-US" w:eastAsia="zh-CN"/>
    </w:rPr>
  </w:style>
  <w:style w:type="table" w:customStyle="1" w:styleId="1455">
    <w:name w:val="网格型!6"/>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56">
    <w:name w:val="表标题4.16"/>
    <w:basedOn w:val="1"/>
    <w:qFormat/>
    <w:uiPriority w:val="0"/>
    <w:pPr>
      <w:numPr>
        <w:ilvl w:val="0"/>
        <w:numId w:val="14"/>
      </w:numPr>
      <w:tabs>
        <w:tab w:val="center" w:pos="4060"/>
        <w:tab w:val="right" w:pos="8261"/>
      </w:tabs>
      <w:suppressAutoHyphens/>
      <w:adjustRightInd w:val="0"/>
      <w:spacing w:before="240" w:beforeLines="0" w:line="0" w:lineRule="atLeast"/>
      <w:jc w:val="right"/>
    </w:pPr>
    <w:rPr>
      <w:rFonts w:ascii="黑体" w:eastAsia="黑体" w:cs="宋体"/>
      <w:b/>
      <w:bCs/>
      <w:kern w:val="0"/>
      <w:sz w:val="24"/>
      <w:szCs w:val="20"/>
    </w:rPr>
  </w:style>
  <w:style w:type="paragraph" w:customStyle="1" w:styleId="1457">
    <w:name w:val="表内文字小"/>
    <w:basedOn w:val="1"/>
    <w:qFormat/>
    <w:uiPriority w:val="0"/>
    <w:pPr>
      <w:adjustRightInd w:val="0"/>
      <w:snapToGrid w:val="0"/>
      <w:spacing w:before="62" w:beforeLines="20" w:line="240" w:lineRule="auto"/>
      <w:jc w:val="center"/>
    </w:pPr>
    <w:rPr>
      <w:rFonts w:ascii="宋体" w:hAnsi="Times"/>
      <w:szCs w:val="21"/>
    </w:rPr>
  </w:style>
  <w:style w:type="paragraph" w:customStyle="1" w:styleId="1458">
    <w:name w:val="正文表头_小四号加粗居中"/>
    <w:basedOn w:val="1"/>
    <w:qFormat/>
    <w:uiPriority w:val="0"/>
    <w:pPr>
      <w:widowControl/>
      <w:adjustRightInd w:val="0"/>
      <w:snapToGrid w:val="0"/>
      <w:spacing w:before="0" w:beforeLines="0" w:line="240" w:lineRule="auto"/>
      <w:jc w:val="center"/>
    </w:pPr>
    <w:rPr>
      <w:rFonts w:eastAsia="楷体_GB2312"/>
      <w:b/>
      <w:kern w:val="0"/>
      <w:sz w:val="24"/>
    </w:rPr>
  </w:style>
  <w:style w:type="paragraph" w:customStyle="1" w:styleId="1459">
    <w:name w:val="样式_表头"/>
    <w:qFormat/>
    <w:uiPriority w:val="0"/>
    <w:pPr>
      <w:tabs>
        <w:tab w:val="left" w:pos="720"/>
      </w:tabs>
      <w:adjustRightInd w:val="0"/>
      <w:snapToGrid w:val="0"/>
      <w:jc w:val="center"/>
    </w:pPr>
    <w:rPr>
      <w:rFonts w:ascii="Times New Roman" w:hAnsi="Times New Roman" w:eastAsia="楷体_GB2312" w:cs="Times New Roman"/>
      <w:b/>
      <w:kern w:val="2"/>
      <w:sz w:val="24"/>
      <w:szCs w:val="24"/>
      <w:lang w:val="en-US" w:eastAsia="zh-CN" w:bidi="ar-SA"/>
    </w:rPr>
  </w:style>
  <w:style w:type="paragraph" w:customStyle="1" w:styleId="1460">
    <w:name w:val="正文表头"/>
    <w:qFormat/>
    <w:uiPriority w:val="0"/>
    <w:pPr>
      <w:adjustRightInd w:val="0"/>
      <w:snapToGrid w:val="0"/>
      <w:spacing w:line="360" w:lineRule="auto"/>
      <w:jc w:val="center"/>
    </w:pPr>
    <w:rPr>
      <w:rFonts w:ascii="Times New Roman" w:hAnsi="Times New Roman" w:eastAsia="楷体_GB2312" w:cs="Times New Roman"/>
      <w:b/>
      <w:kern w:val="2"/>
      <w:sz w:val="24"/>
      <w:szCs w:val="24"/>
      <w:lang w:val="en-US" w:eastAsia="zh-CN" w:bidi="ar-SA"/>
    </w:rPr>
  </w:style>
  <w:style w:type="paragraph" w:customStyle="1" w:styleId="1461">
    <w:name w:val="正文表格_小四号居中"/>
    <w:qFormat/>
    <w:uiPriority w:val="0"/>
    <w:pPr>
      <w:adjustRightInd w:val="0"/>
      <w:snapToGrid w:val="0"/>
      <w:jc w:val="center"/>
    </w:pPr>
    <w:rPr>
      <w:rFonts w:ascii="Times New Roman" w:hAnsi="Times New Roman" w:eastAsia="楷体_GB2312" w:cs="Times New Roman"/>
      <w:sz w:val="24"/>
      <w:szCs w:val="24"/>
      <w:lang w:val="en-US" w:eastAsia="zh-CN" w:bidi="ar-SA"/>
    </w:rPr>
  </w:style>
  <w:style w:type="paragraph" w:customStyle="1" w:styleId="1462">
    <w:name w:val="Char Char1 Char Char Char Char"/>
    <w:basedOn w:val="1"/>
    <w:semiHidden/>
    <w:qFormat/>
    <w:uiPriority w:val="0"/>
    <w:pPr>
      <w:spacing w:before="0" w:beforeLines="0" w:line="240" w:lineRule="auto"/>
      <w:jc w:val="center"/>
    </w:pPr>
    <w:rPr>
      <w:rFonts w:ascii="黑体" w:hAnsi="宋体" w:eastAsia="黑体" w:cs="宋体"/>
      <w:b/>
      <w:sz w:val="36"/>
      <w:szCs w:val="36"/>
    </w:rPr>
  </w:style>
  <w:style w:type="paragraph" w:customStyle="1" w:styleId="1463">
    <w:name w:val="样式 加粗 黑色 首行缩进:  0 厘米"/>
    <w:basedOn w:val="1"/>
    <w:qFormat/>
    <w:uiPriority w:val="0"/>
    <w:pPr>
      <w:tabs>
        <w:tab w:val="left" w:pos="432"/>
      </w:tabs>
      <w:spacing w:before="0" w:beforeLines="0" w:line="312" w:lineRule="auto"/>
      <w:ind w:left="432" w:hanging="432"/>
    </w:pPr>
    <w:rPr>
      <w:rFonts w:cs="宋体"/>
      <w:b/>
      <w:bCs/>
      <w:color w:val="000000"/>
      <w:sz w:val="24"/>
      <w:szCs w:val="20"/>
    </w:rPr>
  </w:style>
  <w:style w:type="paragraph" w:customStyle="1" w:styleId="1464">
    <w:name w:val="样式 黑体 加粗 居中"/>
    <w:basedOn w:val="1"/>
    <w:qFormat/>
    <w:uiPriority w:val="0"/>
    <w:pPr>
      <w:spacing w:before="0" w:beforeLines="0" w:line="312" w:lineRule="auto"/>
      <w:ind w:firstLine="573"/>
      <w:jc w:val="center"/>
    </w:pPr>
    <w:rPr>
      <w:rFonts w:eastAsia="黑体" w:cs="宋体"/>
      <w:b/>
      <w:bCs/>
      <w:sz w:val="24"/>
    </w:rPr>
  </w:style>
  <w:style w:type="paragraph" w:customStyle="1" w:styleId="1465">
    <w:name w:val="小表左密"/>
    <w:basedOn w:val="1"/>
    <w:qFormat/>
    <w:uiPriority w:val="0"/>
    <w:pPr>
      <w:keepNext/>
      <w:adjustRightInd w:val="0"/>
      <w:snapToGrid w:val="0"/>
      <w:spacing w:before="0" w:beforeLines="0" w:line="240" w:lineRule="atLeast"/>
    </w:pPr>
    <w:rPr>
      <w:rFonts w:ascii="宋体" w:hAnsi="宋体"/>
      <w:sz w:val="18"/>
      <w:szCs w:val="18"/>
    </w:rPr>
  </w:style>
  <w:style w:type="paragraph" w:customStyle="1" w:styleId="1466">
    <w:name w:val="编制人员"/>
    <w:basedOn w:val="1"/>
    <w:qFormat/>
    <w:uiPriority w:val="0"/>
    <w:pPr>
      <w:keepNext/>
      <w:tabs>
        <w:tab w:val="left" w:pos="2190"/>
      </w:tabs>
      <w:adjustRightInd w:val="0"/>
      <w:snapToGrid w:val="0"/>
      <w:spacing w:before="0" w:beforeLines="0" w:line="360" w:lineRule="auto"/>
      <w:jc w:val="center"/>
    </w:pPr>
    <w:rPr>
      <w:rFonts w:ascii="黑体" w:hAnsi="宋体" w:eastAsia="黑体"/>
      <w:sz w:val="32"/>
      <w:szCs w:val="28"/>
    </w:rPr>
  </w:style>
  <w:style w:type="paragraph" w:customStyle="1" w:styleId="1467">
    <w:name w:val="小表中密"/>
    <w:basedOn w:val="1"/>
    <w:qFormat/>
    <w:uiPriority w:val="0"/>
    <w:pPr>
      <w:keepNext/>
      <w:adjustRightInd w:val="0"/>
      <w:snapToGrid w:val="0"/>
      <w:spacing w:before="0" w:beforeLines="0" w:line="240" w:lineRule="atLeast"/>
      <w:jc w:val="center"/>
    </w:pPr>
    <w:rPr>
      <w:rFonts w:ascii="宋体" w:hAnsi="宋体"/>
      <w:sz w:val="18"/>
      <w:szCs w:val="18"/>
    </w:rPr>
  </w:style>
  <w:style w:type="paragraph" w:customStyle="1" w:styleId="1468">
    <w:name w:val="编制日期"/>
    <w:basedOn w:val="1"/>
    <w:link w:val="1469"/>
    <w:qFormat/>
    <w:uiPriority w:val="0"/>
    <w:pPr>
      <w:keepNext/>
      <w:tabs>
        <w:tab w:val="left" w:pos="2190"/>
      </w:tabs>
      <w:adjustRightInd w:val="0"/>
      <w:snapToGrid w:val="0"/>
      <w:spacing w:before="0" w:beforeLines="0" w:line="360" w:lineRule="auto"/>
      <w:jc w:val="center"/>
    </w:pPr>
    <w:rPr>
      <w:rFonts w:ascii="宋体" w:hAnsi="宋体"/>
      <w:sz w:val="32"/>
      <w:szCs w:val="28"/>
    </w:rPr>
  </w:style>
  <w:style w:type="character" w:customStyle="1" w:styleId="1469">
    <w:name w:val="编制日期 Char"/>
    <w:link w:val="1468"/>
    <w:qFormat/>
    <w:uiPriority w:val="0"/>
    <w:rPr>
      <w:rFonts w:ascii="宋体" w:hAnsi="宋体"/>
      <w:kern w:val="2"/>
      <w:sz w:val="32"/>
      <w:szCs w:val="28"/>
    </w:rPr>
  </w:style>
  <w:style w:type="paragraph" w:customStyle="1" w:styleId="1470">
    <w:name w:val="小表右密"/>
    <w:basedOn w:val="1"/>
    <w:qFormat/>
    <w:uiPriority w:val="0"/>
    <w:pPr>
      <w:keepNext/>
      <w:tabs>
        <w:tab w:val="left" w:pos="719"/>
        <w:tab w:val="left" w:pos="3156"/>
        <w:tab w:val="left" w:pos="4105"/>
        <w:tab w:val="left" w:pos="5054"/>
        <w:tab w:val="left" w:pos="6003"/>
        <w:tab w:val="left" w:pos="7183"/>
        <w:tab w:val="left" w:pos="8159"/>
        <w:tab w:val="left" w:pos="9312"/>
        <w:tab w:val="left" w:pos="10261"/>
        <w:tab w:val="left" w:pos="11210"/>
        <w:tab w:val="left" w:pos="12159"/>
        <w:tab w:val="left" w:pos="13108"/>
        <w:tab w:val="left" w:pos="14057"/>
        <w:tab w:val="left" w:pos="15006"/>
        <w:tab w:val="left" w:pos="15955"/>
        <w:tab w:val="left" w:pos="16904"/>
        <w:tab w:val="left" w:pos="17853"/>
        <w:tab w:val="left" w:pos="18802"/>
        <w:tab w:val="left" w:pos="19751"/>
        <w:tab w:val="left" w:pos="20700"/>
      </w:tabs>
      <w:adjustRightInd w:val="0"/>
      <w:snapToGrid w:val="0"/>
      <w:spacing w:before="0" w:beforeLines="0" w:line="240" w:lineRule="atLeast"/>
      <w:ind w:right="28" w:rightChars="10"/>
      <w:jc w:val="right"/>
    </w:pPr>
    <w:rPr>
      <w:rFonts w:ascii="宋体" w:hAnsi="宋体"/>
      <w:sz w:val="18"/>
      <w:szCs w:val="18"/>
    </w:rPr>
  </w:style>
  <w:style w:type="paragraph" w:customStyle="1" w:styleId="1471">
    <w:name w:val="小表右"/>
    <w:basedOn w:val="1"/>
    <w:link w:val="1475"/>
    <w:qFormat/>
    <w:uiPriority w:val="0"/>
    <w:pPr>
      <w:keepNext/>
      <w:tabs>
        <w:tab w:val="left" w:pos="719"/>
        <w:tab w:val="left" w:pos="3156"/>
        <w:tab w:val="left" w:pos="4105"/>
        <w:tab w:val="left" w:pos="5054"/>
        <w:tab w:val="left" w:pos="6003"/>
        <w:tab w:val="left" w:pos="7183"/>
        <w:tab w:val="left" w:pos="8159"/>
        <w:tab w:val="left" w:pos="9312"/>
        <w:tab w:val="left" w:pos="10261"/>
        <w:tab w:val="left" w:pos="11210"/>
        <w:tab w:val="left" w:pos="12159"/>
        <w:tab w:val="left" w:pos="13108"/>
        <w:tab w:val="left" w:pos="14057"/>
        <w:tab w:val="left" w:pos="15006"/>
        <w:tab w:val="left" w:pos="15955"/>
        <w:tab w:val="left" w:pos="16904"/>
        <w:tab w:val="left" w:pos="17853"/>
        <w:tab w:val="left" w:pos="18802"/>
        <w:tab w:val="left" w:pos="19751"/>
        <w:tab w:val="left" w:pos="20700"/>
      </w:tabs>
      <w:adjustRightInd w:val="0"/>
      <w:snapToGrid w:val="0"/>
      <w:spacing w:before="0" w:beforeLines="0" w:line="240" w:lineRule="atLeast"/>
      <w:ind w:right="28" w:rightChars="10"/>
      <w:jc w:val="right"/>
    </w:pPr>
    <w:rPr>
      <w:rFonts w:ascii="宋体" w:hAnsi="宋体"/>
      <w:szCs w:val="22"/>
    </w:rPr>
  </w:style>
  <w:style w:type="paragraph" w:customStyle="1" w:styleId="1472">
    <w:name w:val="小表中"/>
    <w:basedOn w:val="1"/>
    <w:link w:val="1474"/>
    <w:qFormat/>
    <w:uiPriority w:val="0"/>
    <w:pPr>
      <w:keepNext/>
      <w:tabs>
        <w:tab w:val="left" w:pos="1769"/>
      </w:tabs>
      <w:adjustRightInd w:val="0"/>
      <w:snapToGrid w:val="0"/>
      <w:spacing w:before="0" w:beforeLines="0" w:line="240" w:lineRule="atLeast"/>
      <w:jc w:val="center"/>
    </w:pPr>
    <w:rPr>
      <w:rFonts w:ascii="宋体" w:hAnsi="宋体"/>
      <w:szCs w:val="22"/>
    </w:rPr>
  </w:style>
  <w:style w:type="paragraph" w:customStyle="1" w:styleId="1473">
    <w:name w:val="小表左"/>
    <w:basedOn w:val="1"/>
    <w:link w:val="1476"/>
    <w:qFormat/>
    <w:uiPriority w:val="0"/>
    <w:pPr>
      <w:keepNext/>
      <w:adjustRightInd w:val="0"/>
      <w:snapToGrid w:val="0"/>
      <w:spacing w:before="0" w:beforeLines="0" w:line="240" w:lineRule="atLeast"/>
    </w:pPr>
    <w:rPr>
      <w:rFonts w:ascii="宋体" w:hAnsi="宋体"/>
      <w:szCs w:val="21"/>
    </w:rPr>
  </w:style>
  <w:style w:type="character" w:customStyle="1" w:styleId="1474">
    <w:name w:val="小表中 Char"/>
    <w:link w:val="1472"/>
    <w:qFormat/>
    <w:uiPriority w:val="0"/>
    <w:rPr>
      <w:rFonts w:ascii="宋体" w:hAnsi="宋体"/>
      <w:kern w:val="2"/>
      <w:sz w:val="21"/>
      <w:szCs w:val="22"/>
    </w:rPr>
  </w:style>
  <w:style w:type="character" w:customStyle="1" w:styleId="1475">
    <w:name w:val="小表右 Char"/>
    <w:link w:val="1471"/>
    <w:qFormat/>
    <w:uiPriority w:val="0"/>
    <w:rPr>
      <w:rFonts w:ascii="宋体" w:hAnsi="宋体"/>
      <w:kern w:val="2"/>
      <w:sz w:val="21"/>
      <w:szCs w:val="22"/>
    </w:rPr>
  </w:style>
  <w:style w:type="character" w:customStyle="1" w:styleId="1476">
    <w:name w:val="小表左 Char"/>
    <w:link w:val="1473"/>
    <w:qFormat/>
    <w:uiPriority w:val="0"/>
    <w:rPr>
      <w:rFonts w:ascii="宋体" w:hAnsi="宋体"/>
      <w:kern w:val="2"/>
      <w:sz w:val="21"/>
      <w:szCs w:val="21"/>
    </w:rPr>
  </w:style>
  <w:style w:type="paragraph" w:customStyle="1" w:styleId="1477">
    <w:name w:val="题注图名"/>
    <w:basedOn w:val="1"/>
    <w:link w:val="1478"/>
    <w:qFormat/>
    <w:uiPriority w:val="0"/>
    <w:pPr>
      <w:spacing w:before="0" w:beforeLines="0" w:after="120" w:line="300" w:lineRule="auto"/>
      <w:jc w:val="center"/>
    </w:pPr>
    <w:rPr>
      <w:b/>
      <w:bCs/>
      <w:szCs w:val="20"/>
      <w:lang w:val="zh-CN"/>
    </w:rPr>
  </w:style>
  <w:style w:type="character" w:customStyle="1" w:styleId="1478">
    <w:name w:val="题注图名 Char"/>
    <w:link w:val="1477"/>
    <w:qFormat/>
    <w:uiPriority w:val="0"/>
    <w:rPr>
      <w:b/>
      <w:bCs/>
      <w:kern w:val="2"/>
      <w:sz w:val="21"/>
      <w:lang w:val="zh-CN"/>
    </w:rPr>
  </w:style>
  <w:style w:type="character" w:customStyle="1" w:styleId="1479">
    <w:name w:val="Char Char8"/>
    <w:qFormat/>
    <w:uiPriority w:val="0"/>
    <w:rPr>
      <w:rFonts w:eastAsia="宋体"/>
      <w:kern w:val="2"/>
      <w:sz w:val="16"/>
      <w:szCs w:val="16"/>
      <w:lang w:val="en-US" w:eastAsia="zh-CN" w:bidi="ar-SA"/>
    </w:rPr>
  </w:style>
  <w:style w:type="paragraph" w:customStyle="1" w:styleId="1480">
    <w:name w:val="表3.3"/>
    <w:basedOn w:val="1"/>
    <w:qFormat/>
    <w:uiPriority w:val="0"/>
    <w:pPr>
      <w:numPr>
        <w:ilvl w:val="0"/>
        <w:numId w:val="15"/>
      </w:numPr>
      <w:tabs>
        <w:tab w:val="center" w:pos="4060"/>
        <w:tab w:val="right" w:pos="8261"/>
      </w:tabs>
      <w:suppressAutoHyphens/>
      <w:adjustRightInd w:val="0"/>
      <w:spacing w:before="240" w:beforeLines="0" w:line="0" w:lineRule="atLeast"/>
      <w:ind w:firstLine="0"/>
    </w:pPr>
    <w:rPr>
      <w:rFonts w:ascii="黑体" w:eastAsia="黑体"/>
      <w:b/>
      <w:spacing w:val="6"/>
      <w:kern w:val="0"/>
      <w:sz w:val="26"/>
      <w:szCs w:val="26"/>
    </w:rPr>
  </w:style>
  <w:style w:type="character" w:customStyle="1" w:styleId="1481">
    <w:name w:val="t_tag"/>
    <w:qFormat/>
    <w:uiPriority w:val="0"/>
  </w:style>
  <w:style w:type="paragraph" w:customStyle="1" w:styleId="1482">
    <w:name w:val="正文小四首缩1.3行距"/>
    <w:basedOn w:val="1"/>
    <w:link w:val="1483"/>
    <w:qFormat/>
    <w:uiPriority w:val="0"/>
    <w:pPr>
      <w:spacing w:before="0" w:beforeLines="0" w:line="312" w:lineRule="auto"/>
      <w:ind w:firstLine="420" w:firstLineChars="200"/>
    </w:pPr>
    <w:rPr>
      <w:sz w:val="24"/>
    </w:rPr>
  </w:style>
  <w:style w:type="character" w:customStyle="1" w:styleId="1483">
    <w:name w:val="正文小四首缩1.3行距 Char"/>
    <w:link w:val="1482"/>
    <w:qFormat/>
    <w:uiPriority w:val="0"/>
    <w:rPr>
      <w:kern w:val="2"/>
      <w:sz w:val="24"/>
      <w:szCs w:val="24"/>
    </w:rPr>
  </w:style>
  <w:style w:type="character" w:customStyle="1" w:styleId="1484">
    <w:name w:val="表格内容 Char"/>
    <w:link w:val="458"/>
    <w:qFormat/>
    <w:uiPriority w:val="0"/>
    <w:rPr>
      <w:rFonts w:ascii="Arial" w:hAnsi="Arial" w:eastAsia="仿宋_GB2312"/>
      <w:sz w:val="24"/>
    </w:rPr>
  </w:style>
  <w:style w:type="character" w:customStyle="1" w:styleId="1485">
    <w:name w:val="even Char1"/>
    <w:qFormat/>
    <w:locked/>
    <w:uiPriority w:val="0"/>
    <w:rPr>
      <w:rFonts w:ascii="宋体" w:hAnsi="宋体" w:eastAsia="宋体"/>
      <w:spacing w:val="6"/>
      <w:kern w:val="2"/>
      <w:sz w:val="18"/>
      <w:szCs w:val="18"/>
      <w:lang w:val="en-US" w:eastAsia="zh-CN" w:bidi="ar-SA"/>
    </w:rPr>
  </w:style>
  <w:style w:type="character" w:customStyle="1" w:styleId="1486">
    <w:name w:val="图文 Char1"/>
    <w:qFormat/>
    <w:locked/>
    <w:uiPriority w:val="0"/>
    <w:rPr>
      <w:rFonts w:ascii="宋体" w:hAnsi="宋体" w:eastAsia="宋体"/>
      <w:spacing w:val="6"/>
      <w:kern w:val="2"/>
      <w:sz w:val="24"/>
      <w:szCs w:val="24"/>
      <w:lang w:val="en-US" w:eastAsia="zh-CN" w:bidi="ar-SA"/>
    </w:rPr>
  </w:style>
  <w:style w:type="character" w:customStyle="1" w:styleId="1487">
    <w:name w:val="正文5号 Char1"/>
    <w:qFormat/>
    <w:locked/>
    <w:uiPriority w:val="0"/>
  </w:style>
  <w:style w:type="character" w:customStyle="1" w:styleId="1488">
    <w:name w:val="注释标题1 Char Char1"/>
    <w:qFormat/>
    <w:locked/>
    <w:uiPriority w:val="0"/>
    <w:rPr>
      <w:rFonts w:ascii="宋体" w:hAnsi="宋体" w:eastAsia="宋体"/>
      <w:kern w:val="2"/>
      <w:sz w:val="21"/>
      <w:lang w:val="en-US" w:eastAsia="zh-CN" w:bidi="ar-SA"/>
    </w:rPr>
  </w:style>
  <w:style w:type="character" w:customStyle="1" w:styleId="1489">
    <w:name w:val="Char Char6"/>
    <w:semiHidden/>
    <w:qFormat/>
    <w:locked/>
    <w:uiPriority w:val="0"/>
    <w:rPr>
      <w:rFonts w:ascii="宋体" w:hAnsi="宋体" w:eastAsia="宋体"/>
      <w:spacing w:val="6"/>
      <w:kern w:val="2"/>
      <w:sz w:val="24"/>
      <w:szCs w:val="24"/>
      <w:lang w:val="en-US" w:eastAsia="zh-CN" w:bidi="ar-SA"/>
    </w:rPr>
  </w:style>
  <w:style w:type="character" w:customStyle="1" w:styleId="1490">
    <w:name w:val="Char211"/>
    <w:qFormat/>
    <w:uiPriority w:val="0"/>
    <w:rPr>
      <w:rFonts w:hint="eastAsia" w:ascii="宋体" w:hAnsi="宋体" w:eastAsia="宋体"/>
      <w:b/>
      <w:bCs/>
      <w:kern w:val="44"/>
      <w:sz w:val="44"/>
      <w:szCs w:val="44"/>
      <w:lang w:val="en-US" w:eastAsia="zh-CN" w:bidi="ar-SA"/>
    </w:rPr>
  </w:style>
  <w:style w:type="character" w:customStyle="1" w:styleId="1491">
    <w:name w:val="Char Char81"/>
    <w:qFormat/>
    <w:uiPriority w:val="0"/>
    <w:rPr>
      <w:rFonts w:hint="eastAsia" w:ascii="宋体" w:hAnsi="宋体" w:eastAsia="宋体"/>
      <w:kern w:val="2"/>
      <w:sz w:val="16"/>
      <w:szCs w:val="16"/>
      <w:lang w:val="en-US" w:eastAsia="zh-CN" w:bidi="ar-SA"/>
    </w:rPr>
  </w:style>
  <w:style w:type="paragraph" w:customStyle="1" w:styleId="1492">
    <w:name w:val="样式 标题 21.1标题 2节标题 1.1_Heading 21.11.1标题2b2标题 2 CharH2节标...1"/>
    <w:basedOn w:val="7"/>
    <w:qFormat/>
    <w:uiPriority w:val="0"/>
    <w:pPr>
      <w:tabs>
        <w:tab w:val="left" w:pos="1080"/>
        <w:tab w:val="left" w:pos="1680"/>
      </w:tabs>
      <w:snapToGrid/>
      <w:spacing w:before="156" w:beforeLines="0" w:line="360" w:lineRule="auto"/>
      <w:ind w:left="1680" w:hanging="420"/>
      <w:jc w:val="left"/>
      <w:textAlignment w:val="baseline"/>
    </w:pPr>
    <w:rPr>
      <w:rFonts w:cs="宋体"/>
      <w:b w:val="0"/>
      <w:kern w:val="0"/>
      <w:szCs w:val="20"/>
    </w:rPr>
  </w:style>
  <w:style w:type="paragraph" w:customStyle="1" w:styleId="1493">
    <w:name w:val="Char Char Char1 Char"/>
    <w:basedOn w:val="1"/>
    <w:qFormat/>
    <w:uiPriority w:val="0"/>
    <w:pPr>
      <w:spacing w:before="0" w:beforeLines="0" w:line="240" w:lineRule="auto"/>
    </w:pPr>
  </w:style>
  <w:style w:type="character" w:customStyle="1" w:styleId="1494">
    <w:name w:val="fontstyle43h7bet0hxc"/>
    <w:qFormat/>
    <w:uiPriority w:val="0"/>
  </w:style>
  <w:style w:type="paragraph" w:customStyle="1" w:styleId="1495">
    <w:name w:val="A常用文字"/>
    <w:basedOn w:val="1"/>
    <w:qFormat/>
    <w:uiPriority w:val="0"/>
    <w:pPr>
      <w:adjustRightInd w:val="0"/>
      <w:snapToGrid w:val="0"/>
      <w:spacing w:before="0" w:beforeLines="0"/>
      <w:ind w:firstLine="567"/>
    </w:pPr>
    <w:rPr>
      <w:sz w:val="24"/>
      <w:szCs w:val="20"/>
    </w:rPr>
  </w:style>
  <w:style w:type="paragraph" w:customStyle="1" w:styleId="1496">
    <w:name w:val="Char Char10 Char Char1"/>
    <w:basedOn w:val="1"/>
    <w:semiHidden/>
    <w:qFormat/>
    <w:uiPriority w:val="0"/>
    <w:pPr>
      <w:spacing w:before="0" w:beforeLines="0" w:line="240" w:lineRule="auto"/>
    </w:pPr>
  </w:style>
  <w:style w:type="paragraph" w:customStyle="1" w:styleId="1497">
    <w:name w:val="样式 首行缩进:  2 字符 段前: 0.5 行1"/>
    <w:basedOn w:val="1"/>
    <w:qFormat/>
    <w:uiPriority w:val="0"/>
    <w:pPr>
      <w:snapToGrid w:val="0"/>
      <w:spacing w:before="0" w:beforeLines="50" w:line="360" w:lineRule="auto"/>
      <w:ind w:firstLine="200" w:firstLineChars="200"/>
    </w:pPr>
    <w:rPr>
      <w:rFonts w:cs="宋体"/>
      <w:sz w:val="24"/>
      <w:szCs w:val="20"/>
    </w:rPr>
  </w:style>
  <w:style w:type="character" w:customStyle="1" w:styleId="1498">
    <w:name w:val="表头 Char2"/>
    <w:qFormat/>
    <w:uiPriority w:val="0"/>
    <w:rPr>
      <w:rFonts w:eastAsia="黑体"/>
      <w:sz w:val="21"/>
      <w:szCs w:val="21"/>
    </w:rPr>
  </w:style>
  <w:style w:type="paragraph" w:customStyle="1" w:styleId="1499">
    <w:name w:val="Char Char1 Char1"/>
    <w:basedOn w:val="1"/>
    <w:next w:val="1"/>
    <w:qFormat/>
    <w:uiPriority w:val="0"/>
    <w:pPr>
      <w:keepNext/>
      <w:keepLines/>
      <w:widowControl/>
      <w:adjustRightInd w:val="0"/>
      <w:spacing w:before="40" w:beforeLines="0" w:after="40" w:line="360" w:lineRule="auto"/>
      <w:ind w:firstLine="200" w:firstLineChars="200"/>
      <w:textAlignment w:val="baseline"/>
    </w:pPr>
    <w:rPr>
      <w:rFonts w:cs="宋体"/>
      <w:kern w:val="0"/>
      <w:sz w:val="24"/>
      <w:szCs w:val="28"/>
    </w:rPr>
  </w:style>
  <w:style w:type="paragraph" w:customStyle="1" w:styleId="1500">
    <w:name w:val="表格内容－小五"/>
    <w:basedOn w:val="1"/>
    <w:qFormat/>
    <w:uiPriority w:val="0"/>
    <w:pPr>
      <w:spacing w:before="0" w:beforeLines="0" w:line="240" w:lineRule="exact"/>
      <w:jc w:val="center"/>
    </w:pPr>
    <w:rPr>
      <w:color w:val="000000"/>
      <w:sz w:val="18"/>
      <w:szCs w:val="18"/>
    </w:rPr>
  </w:style>
  <w:style w:type="paragraph" w:customStyle="1" w:styleId="1501">
    <w:name w:val="111正文文本"/>
    <w:basedOn w:val="1"/>
    <w:qFormat/>
    <w:uiPriority w:val="0"/>
    <w:pPr>
      <w:spacing w:before="78" w:beforeLines="0" w:line="400" w:lineRule="exact"/>
      <w:ind w:firstLine="480" w:firstLineChars="200"/>
    </w:pPr>
    <w:rPr>
      <w:sz w:val="24"/>
    </w:rPr>
  </w:style>
  <w:style w:type="paragraph" w:customStyle="1" w:styleId="1502">
    <w:name w:val="样式 首行缩进:  2 字符 段前: 0.5 行2"/>
    <w:basedOn w:val="1"/>
    <w:qFormat/>
    <w:uiPriority w:val="0"/>
    <w:pPr>
      <w:spacing w:before="163" w:beforeLines="50" w:line="240" w:lineRule="auto"/>
      <w:ind w:firstLine="482" w:firstLineChars="200"/>
      <w:contextualSpacing/>
    </w:pPr>
    <w:rPr>
      <w:b/>
      <w:sz w:val="24"/>
      <w:szCs w:val="20"/>
    </w:rPr>
  </w:style>
  <w:style w:type="paragraph" w:customStyle="1" w:styleId="1503">
    <w:name w:val="样式 加粗 首行缩进:  2 字符 段前: 0.5 行"/>
    <w:basedOn w:val="1"/>
    <w:qFormat/>
    <w:uiPriority w:val="0"/>
    <w:pPr>
      <w:spacing w:before="0" w:beforeLines="0" w:line="360" w:lineRule="auto"/>
      <w:ind w:firstLine="480" w:firstLineChars="200"/>
      <w:contextualSpacing/>
      <w:textAlignment w:val="center"/>
    </w:pPr>
    <w:rPr>
      <w:bCs/>
      <w:color w:val="000000"/>
      <w:sz w:val="24"/>
      <w:szCs w:val="20"/>
    </w:rPr>
  </w:style>
  <w:style w:type="character" w:customStyle="1" w:styleId="1504">
    <w:name w:val="样式8 Char"/>
    <w:link w:val="1181"/>
    <w:qFormat/>
    <w:uiPriority w:val="0"/>
    <w:rPr>
      <w:rFonts w:ascii="宋体"/>
      <w:kern w:val="2"/>
      <w:sz w:val="24"/>
    </w:rPr>
  </w:style>
  <w:style w:type="character" w:customStyle="1" w:styleId="1505">
    <w:name w:val="表格－正文 Char"/>
    <w:link w:val="1506"/>
    <w:qFormat/>
    <w:uiPriority w:val="0"/>
  </w:style>
  <w:style w:type="paragraph" w:customStyle="1" w:styleId="1506">
    <w:name w:val="表格－正文"/>
    <w:basedOn w:val="1"/>
    <w:link w:val="1505"/>
    <w:qFormat/>
    <w:uiPriority w:val="0"/>
    <w:pPr>
      <w:spacing w:before="0" w:beforeLines="0" w:line="300" w:lineRule="exact"/>
      <w:jc w:val="center"/>
    </w:pPr>
    <w:rPr>
      <w:kern w:val="0"/>
      <w:sz w:val="20"/>
      <w:szCs w:val="20"/>
    </w:rPr>
  </w:style>
  <w:style w:type="paragraph" w:customStyle="1" w:styleId="1507">
    <w:name w:val="333表头"/>
    <w:basedOn w:val="1"/>
    <w:qFormat/>
    <w:uiPriority w:val="0"/>
    <w:pPr>
      <w:widowControl/>
      <w:spacing w:before="200" w:beforeLines="0" w:line="240" w:lineRule="atLeast"/>
      <w:jc w:val="center"/>
    </w:pPr>
    <w:rPr>
      <w:rFonts w:ascii="楷体_GB2312" w:eastAsia="黑体"/>
      <w:color w:val="000000"/>
      <w:sz w:val="24"/>
    </w:rPr>
  </w:style>
  <w:style w:type="paragraph" w:customStyle="1" w:styleId="1508">
    <w:name w:val="表格下文本"/>
    <w:basedOn w:val="1"/>
    <w:next w:val="1"/>
    <w:qFormat/>
    <w:uiPriority w:val="0"/>
    <w:pPr>
      <w:spacing w:before="0" w:beforeLines="100" w:line="480" w:lineRule="exact"/>
      <w:ind w:firstLine="200" w:firstLineChars="200"/>
    </w:pPr>
    <w:rPr>
      <w:sz w:val="24"/>
    </w:rPr>
  </w:style>
  <w:style w:type="paragraph" w:customStyle="1" w:styleId="1509">
    <w:name w:val="样式 正文首行缩进 + (符号) 宋体 四号 首行缩进:  2 字符"/>
    <w:basedOn w:val="54"/>
    <w:qFormat/>
    <w:uiPriority w:val="0"/>
    <w:pPr>
      <w:tabs>
        <w:tab w:val="left" w:pos="628"/>
        <w:tab w:val="left" w:pos="1727"/>
        <w:tab w:val="left" w:pos="1884"/>
        <w:tab w:val="left" w:pos="4900"/>
      </w:tabs>
      <w:adjustRightInd w:val="0"/>
      <w:snapToGrid w:val="0"/>
      <w:spacing w:line="360" w:lineRule="auto"/>
      <w:ind w:firstLine="480" w:firstLineChars="200"/>
    </w:pPr>
    <w:rPr>
      <w:rFonts w:ascii="Calibri" w:hAnsi="Calibri" w:cs="Times New Roman"/>
      <w:lang w:bidi="ar-SA"/>
    </w:rPr>
  </w:style>
  <w:style w:type="paragraph" w:customStyle="1" w:styleId="1510">
    <w:name w:val="样式 正文 + 首行缩进:  2 字符"/>
    <w:basedOn w:val="1"/>
    <w:qFormat/>
    <w:uiPriority w:val="0"/>
    <w:pPr>
      <w:autoSpaceDE w:val="0"/>
      <w:autoSpaceDN w:val="0"/>
      <w:adjustRightInd w:val="0"/>
      <w:spacing w:before="0" w:beforeLines="0" w:line="360" w:lineRule="auto"/>
      <w:ind w:firstLine="480" w:firstLineChars="200"/>
    </w:pPr>
    <w:rPr>
      <w:rFonts w:ascii="宋体" w:cs="宋体"/>
      <w:color w:val="000000"/>
      <w:kern w:val="0"/>
      <w:sz w:val="24"/>
      <w:szCs w:val="20"/>
    </w:rPr>
  </w:style>
  <w:style w:type="paragraph" w:customStyle="1" w:styleId="1511">
    <w:name w:val="c"/>
    <w:qFormat/>
    <w:uiPriority w:val="0"/>
    <w:pPr>
      <w:widowControl w:val="0"/>
      <w:autoSpaceDE w:val="0"/>
      <w:autoSpaceDN w:val="0"/>
      <w:adjustRightInd w:val="0"/>
      <w:jc w:val="both"/>
    </w:pPr>
    <w:rPr>
      <w:rFonts w:ascii="Arial" w:hAnsi="Arial" w:eastAsia="宋体" w:cs="Times New Roman"/>
      <w:sz w:val="24"/>
      <w:lang w:val="en-US" w:eastAsia="zh-CN" w:bidi="ar-SA"/>
    </w:rPr>
  </w:style>
  <w:style w:type="character" w:customStyle="1" w:styleId="1512">
    <w:name w:val="称呼 Char1"/>
    <w:qFormat/>
    <w:uiPriority w:val="0"/>
    <w:rPr>
      <w:kern w:val="2"/>
      <w:sz w:val="24"/>
    </w:rPr>
  </w:style>
  <w:style w:type="paragraph" w:customStyle="1" w:styleId="1513">
    <w:name w:val="样式 标题 1 + 黑体 小四 非加粗 段前: 0 磅 段后: 0 磅 行距: 1.5 倍行距"/>
    <w:basedOn w:val="3"/>
    <w:qFormat/>
    <w:uiPriority w:val="0"/>
    <w:pPr>
      <w:tabs>
        <w:tab w:val="clear" w:pos="360"/>
      </w:tabs>
      <w:spacing w:before="240" w:after="60" w:line="360" w:lineRule="auto"/>
    </w:pPr>
    <w:rPr>
      <w:rFonts w:ascii="黑体" w:eastAsia="黑体"/>
      <w:b w:val="0"/>
      <w:bCs w:val="0"/>
      <w:color w:val="auto"/>
      <w:kern w:val="44"/>
      <w:sz w:val="24"/>
    </w:rPr>
  </w:style>
  <w:style w:type="paragraph" w:customStyle="1" w:styleId="1514">
    <w:name w:val="样式 小四 黑色 首行缩进:  0.36 厘米 行距: 1.5 倍行距"/>
    <w:basedOn w:val="1"/>
    <w:qFormat/>
    <w:uiPriority w:val="0"/>
    <w:pPr>
      <w:spacing w:before="0" w:beforeLines="0" w:line="360" w:lineRule="auto"/>
    </w:pPr>
    <w:rPr>
      <w:color w:val="000000"/>
      <w:sz w:val="24"/>
      <w:szCs w:val="20"/>
    </w:rPr>
  </w:style>
  <w:style w:type="paragraph" w:customStyle="1" w:styleId="1515">
    <w:name w:val="正文11"/>
    <w:basedOn w:val="1"/>
    <w:next w:val="1"/>
    <w:qFormat/>
    <w:uiPriority w:val="0"/>
    <w:pPr>
      <w:adjustRightInd w:val="0"/>
      <w:spacing w:before="0" w:beforeLines="0" w:line="480" w:lineRule="atLeast"/>
      <w:jc w:val="left"/>
      <w:textAlignment w:val="baseline"/>
    </w:pPr>
    <w:rPr>
      <w:kern w:val="0"/>
      <w:sz w:val="28"/>
      <w:szCs w:val="20"/>
    </w:rPr>
  </w:style>
  <w:style w:type="paragraph" w:customStyle="1" w:styleId="1516">
    <w:name w:val="Char4"/>
    <w:basedOn w:val="1"/>
    <w:qFormat/>
    <w:uiPriority w:val="0"/>
    <w:pPr>
      <w:spacing w:before="0" w:beforeLines="0" w:line="240" w:lineRule="auto"/>
    </w:pPr>
    <w:rPr>
      <w:spacing w:val="-2"/>
      <w:kern w:val="0"/>
      <w:sz w:val="24"/>
    </w:rPr>
  </w:style>
  <w:style w:type="paragraph" w:customStyle="1" w:styleId="1517">
    <w:name w:val="纯文本21"/>
    <w:basedOn w:val="1"/>
    <w:qFormat/>
    <w:uiPriority w:val="0"/>
    <w:pPr>
      <w:adjustRightInd w:val="0"/>
      <w:spacing w:before="0" w:beforeLines="0" w:line="360" w:lineRule="auto"/>
      <w:jc w:val="left"/>
      <w:textAlignment w:val="baseline"/>
    </w:pPr>
    <w:rPr>
      <w:rFonts w:ascii="宋体" w:hAnsi="Courier New"/>
      <w:sz w:val="24"/>
      <w:szCs w:val="20"/>
    </w:rPr>
  </w:style>
  <w:style w:type="character" w:customStyle="1" w:styleId="1518">
    <w:name w:val="表内字 Char Char"/>
    <w:qFormat/>
    <w:uiPriority w:val="0"/>
    <w:rPr>
      <w:color w:val="000000"/>
      <w:sz w:val="21"/>
    </w:rPr>
  </w:style>
  <w:style w:type="paragraph" w:customStyle="1" w:styleId="1519">
    <w:name w:val="纯文本3"/>
    <w:basedOn w:val="1"/>
    <w:qFormat/>
    <w:uiPriority w:val="0"/>
    <w:pPr>
      <w:adjustRightInd w:val="0"/>
      <w:spacing w:before="0" w:beforeLines="0" w:line="240" w:lineRule="auto"/>
      <w:jc w:val="left"/>
      <w:textAlignment w:val="baseline"/>
    </w:pPr>
    <w:rPr>
      <w:rFonts w:ascii="宋体" w:hAnsi="Courier New"/>
      <w:sz w:val="24"/>
      <w:szCs w:val="20"/>
    </w:rPr>
  </w:style>
  <w:style w:type="character" w:customStyle="1" w:styleId="1520">
    <w:name w:val="long_text"/>
    <w:qFormat/>
    <w:uiPriority w:val="0"/>
  </w:style>
  <w:style w:type="paragraph" w:customStyle="1" w:styleId="1521">
    <w:name w:val="Char Char Char1 Char11"/>
    <w:basedOn w:val="1"/>
    <w:next w:val="1"/>
    <w:qFormat/>
    <w:uiPriority w:val="0"/>
    <w:pPr>
      <w:spacing w:before="0" w:beforeLines="0" w:line="240" w:lineRule="auto"/>
    </w:pPr>
    <w:rPr>
      <w:rFonts w:ascii="宋体" w:hAnsi="宋体"/>
      <w:b/>
      <w:bCs/>
      <w:sz w:val="27"/>
    </w:rPr>
  </w:style>
  <w:style w:type="paragraph" w:customStyle="1" w:styleId="1522">
    <w:name w:val="目次"/>
    <w:next w:val="1"/>
    <w:qFormat/>
    <w:uiPriority w:val="0"/>
    <w:pPr>
      <w:jc w:val="center"/>
    </w:pPr>
    <w:rPr>
      <w:rFonts w:ascii="宋体" w:hAnsi="Times New Roman" w:eastAsia="黑体" w:cs="Times New Roman"/>
      <w:kern w:val="2"/>
      <w:sz w:val="32"/>
      <w:lang w:val="en-US" w:eastAsia="zh-CN" w:bidi="ar-SA"/>
    </w:rPr>
  </w:style>
  <w:style w:type="paragraph" w:customStyle="1" w:styleId="1523">
    <w:name w:val="样式 表格文字居中 + 五号"/>
    <w:basedOn w:val="961"/>
    <w:qFormat/>
    <w:uiPriority w:val="0"/>
    <w:pPr>
      <w:adjustRightInd w:val="0"/>
      <w:snapToGrid w:val="0"/>
    </w:pPr>
    <w:rPr>
      <w:rFonts w:ascii="宋体" w:hAnsi="宋体" w:eastAsia="等线"/>
      <w:snapToGrid w:val="0"/>
      <w:spacing w:val="-6"/>
    </w:rPr>
  </w:style>
  <w:style w:type="paragraph" w:customStyle="1" w:styleId="1524">
    <w:name w:val="zxl行距: 1.5 倍行距 首行缩进:  2 字符"/>
    <w:basedOn w:val="1"/>
    <w:next w:val="1"/>
    <w:qFormat/>
    <w:uiPriority w:val="0"/>
    <w:pPr>
      <w:spacing w:before="0" w:beforeLines="0" w:line="360" w:lineRule="auto"/>
      <w:ind w:firstLine="480" w:firstLineChars="200"/>
      <w:jc w:val="left"/>
    </w:pPr>
    <w:rPr>
      <w:rFonts w:ascii="宋体" w:hAnsi="宋体"/>
      <w:color w:val="000000"/>
      <w:sz w:val="24"/>
    </w:rPr>
  </w:style>
  <w:style w:type="paragraph" w:customStyle="1" w:styleId="1525">
    <w:name w:val="正文样式1"/>
    <w:basedOn w:val="1"/>
    <w:qFormat/>
    <w:uiPriority w:val="0"/>
    <w:pPr>
      <w:spacing w:before="0" w:beforeLines="0" w:line="240" w:lineRule="auto"/>
      <w:ind w:firstLine="420"/>
      <w:jc w:val="left"/>
    </w:pPr>
    <w:rPr>
      <w:rFonts w:ascii="宋体" w:hAnsi="宋体"/>
      <w:sz w:val="24"/>
      <w:szCs w:val="20"/>
    </w:rPr>
  </w:style>
  <w:style w:type="paragraph" w:customStyle="1" w:styleId="1526">
    <w:name w:val="正文缩"/>
    <w:basedOn w:val="1"/>
    <w:qFormat/>
    <w:uiPriority w:val="0"/>
    <w:pPr>
      <w:adjustRightInd w:val="0"/>
      <w:spacing w:before="0" w:beforeLines="0" w:line="480" w:lineRule="atLeast"/>
      <w:ind w:firstLine="567"/>
      <w:textAlignment w:val="baseline"/>
    </w:pPr>
    <w:rPr>
      <w:spacing w:val="6"/>
      <w:kern w:val="0"/>
      <w:sz w:val="28"/>
      <w:szCs w:val="20"/>
    </w:rPr>
  </w:style>
  <w:style w:type="character" w:customStyle="1" w:styleId="1527">
    <w:name w:val="news1"/>
    <w:qFormat/>
    <w:uiPriority w:val="0"/>
    <w:rPr>
      <w:spacing w:val="300"/>
      <w:sz w:val="20"/>
      <w:szCs w:val="20"/>
    </w:rPr>
  </w:style>
  <w:style w:type="paragraph" w:customStyle="1" w:styleId="1528">
    <w:name w:val="Char Char Char1 Char1"/>
    <w:basedOn w:val="1"/>
    <w:qFormat/>
    <w:uiPriority w:val="0"/>
    <w:pPr>
      <w:spacing w:before="0" w:beforeLines="0" w:line="360" w:lineRule="auto"/>
      <w:ind w:firstLine="200" w:firstLineChars="200"/>
    </w:pPr>
    <w:rPr>
      <w:rFonts w:ascii="宋体" w:hAnsi="宋体" w:cs="宋体"/>
      <w:sz w:val="24"/>
    </w:rPr>
  </w:style>
  <w:style w:type="paragraph" w:customStyle="1" w:styleId="1529">
    <w:name w:val="表第一列"/>
    <w:basedOn w:val="54"/>
    <w:qFormat/>
    <w:uiPriority w:val="0"/>
    <w:pPr>
      <w:keepNext/>
      <w:keepLines/>
      <w:tabs>
        <w:tab w:val="left" w:pos="1727"/>
        <w:tab w:val="left" w:pos="1884"/>
        <w:tab w:val="left" w:pos="2940"/>
      </w:tabs>
      <w:autoSpaceDE/>
      <w:autoSpaceDN/>
      <w:adjustRightInd w:val="0"/>
      <w:snapToGrid w:val="0"/>
      <w:spacing w:line="0" w:lineRule="atLeast"/>
      <w:ind w:firstLine="0" w:firstLineChars="0"/>
      <w:jc w:val="center"/>
    </w:pPr>
    <w:rPr>
      <w:rFonts w:cs="Times New Roman"/>
      <w:color w:val="000000"/>
      <w:kern w:val="2"/>
      <w:szCs w:val="21"/>
      <w:lang w:val="en-US" w:bidi="ar-SA"/>
    </w:rPr>
  </w:style>
  <w:style w:type="paragraph" w:customStyle="1" w:styleId="1530">
    <w:name w:val="正文标题标准格式"/>
    <w:basedOn w:val="1"/>
    <w:next w:val="1"/>
    <w:qFormat/>
    <w:uiPriority w:val="0"/>
    <w:pPr>
      <w:autoSpaceDE w:val="0"/>
      <w:autoSpaceDN w:val="0"/>
      <w:adjustRightInd w:val="0"/>
      <w:spacing w:before="0" w:beforeLines="0" w:line="360" w:lineRule="auto"/>
      <w:ind w:firstLine="374" w:firstLineChars="156"/>
    </w:pPr>
    <w:rPr>
      <w:rFonts w:ascii="宋体" w:hAnsi="宋体" w:cs="宋体"/>
      <w:kern w:val="0"/>
      <w:sz w:val="24"/>
    </w:rPr>
  </w:style>
  <w:style w:type="paragraph" w:customStyle="1" w:styleId="1531">
    <w:name w:val="附件样式"/>
    <w:basedOn w:val="1"/>
    <w:next w:val="1"/>
    <w:qFormat/>
    <w:uiPriority w:val="0"/>
    <w:pPr>
      <w:spacing w:before="0" w:beforeLines="0" w:line="360" w:lineRule="auto"/>
    </w:pPr>
    <w:rPr>
      <w:rFonts w:ascii="仿宋_GB2312" w:hAnsi="宋体" w:eastAsia="仿宋_GB2312"/>
      <w:sz w:val="28"/>
      <w:szCs w:val="28"/>
    </w:rPr>
  </w:style>
  <w:style w:type="paragraph" w:customStyle="1" w:styleId="1532">
    <w:name w:val="正文标题标准格式1"/>
    <w:basedOn w:val="1"/>
    <w:next w:val="1"/>
    <w:qFormat/>
    <w:uiPriority w:val="0"/>
    <w:pPr>
      <w:spacing w:before="0" w:beforeLines="0" w:line="360" w:lineRule="auto"/>
      <w:ind w:firstLine="499" w:firstLineChars="156"/>
    </w:pPr>
    <w:rPr>
      <w:rFonts w:ascii="仿宋_GB2312" w:hAnsi="宋体" w:eastAsia="仿宋_GB2312"/>
      <w:kern w:val="0"/>
      <w:sz w:val="32"/>
      <w:szCs w:val="32"/>
    </w:rPr>
  </w:style>
  <w:style w:type="paragraph" w:customStyle="1" w:styleId="1533">
    <w:name w:val="样式 样式 标题 7段无级项标题 7 表无节条表格标题1 Char表格标题1无节条 Char Char标7可研-标题... + ..."/>
    <w:basedOn w:val="1"/>
    <w:qFormat/>
    <w:uiPriority w:val="0"/>
    <w:pPr>
      <w:spacing w:before="0" w:beforeLines="0" w:line="360" w:lineRule="auto"/>
      <w:ind w:firstLine="480" w:firstLineChars="200"/>
      <w:jc w:val="left"/>
      <w:outlineLvl w:val="6"/>
    </w:pPr>
    <w:rPr>
      <w:rFonts w:ascii="宋体" w:hAnsi="宋体"/>
      <w:color w:val="000000"/>
      <w:sz w:val="24"/>
    </w:rPr>
  </w:style>
  <w:style w:type="paragraph" w:customStyle="1" w:styleId="1534">
    <w:name w:val="样式 宋体 小四 行距: 1.5 倍行距"/>
    <w:basedOn w:val="1"/>
    <w:qFormat/>
    <w:uiPriority w:val="0"/>
    <w:pPr>
      <w:spacing w:before="0" w:beforeLines="0" w:line="360" w:lineRule="auto"/>
    </w:pPr>
    <w:rPr>
      <w:rFonts w:ascii="宋体" w:hAnsi="宋体" w:cs="宋体"/>
      <w:kern w:val="0"/>
      <w:sz w:val="24"/>
    </w:rPr>
  </w:style>
  <w:style w:type="paragraph" w:customStyle="1" w:styleId="1535">
    <w:name w:val="样式 宋体 小四 居中 行距: 1.5 倍行距"/>
    <w:basedOn w:val="1"/>
    <w:qFormat/>
    <w:uiPriority w:val="0"/>
    <w:pPr>
      <w:spacing w:before="0" w:beforeLines="0" w:line="360" w:lineRule="auto"/>
      <w:jc w:val="center"/>
    </w:pPr>
    <w:rPr>
      <w:rFonts w:ascii="宋体" w:hAnsi="宋体" w:cs="宋体"/>
      <w:sz w:val="24"/>
      <w:szCs w:val="20"/>
    </w:rPr>
  </w:style>
  <w:style w:type="paragraph" w:customStyle="1" w:styleId="1536">
    <w:name w:val="样式 标题 3 + 左侧:  1.48 厘米"/>
    <w:basedOn w:val="5"/>
    <w:qFormat/>
    <w:uiPriority w:val="0"/>
    <w:pPr>
      <w:keepLines w:val="0"/>
      <w:spacing w:before="0" w:after="0" w:line="360" w:lineRule="auto"/>
    </w:pPr>
    <w:rPr>
      <w:rFonts w:ascii="黑体" w:cs="宋体"/>
      <w:b w:val="0"/>
      <w:bCs w:val="0"/>
      <w:color w:val="auto"/>
      <w:kern w:val="0"/>
      <w:sz w:val="24"/>
    </w:rPr>
  </w:style>
  <w:style w:type="paragraph" w:customStyle="1" w:styleId="1537">
    <w:name w:val="样式 标题 3 + 左侧:  0.74 厘米 首行缩进:  0.85 厘米"/>
    <w:basedOn w:val="5"/>
    <w:qFormat/>
    <w:uiPriority w:val="0"/>
    <w:pPr>
      <w:keepLines w:val="0"/>
      <w:spacing w:before="0" w:after="0" w:line="360" w:lineRule="auto"/>
    </w:pPr>
    <w:rPr>
      <w:rFonts w:ascii="黑体" w:cs="宋体"/>
      <w:b w:val="0"/>
      <w:bCs w:val="0"/>
      <w:color w:val="auto"/>
      <w:kern w:val="0"/>
      <w:sz w:val="24"/>
    </w:rPr>
  </w:style>
  <w:style w:type="paragraph" w:customStyle="1" w:styleId="1538">
    <w:name w:val="样式 黑体 小四 居中 行距: 1.5 倍行距"/>
    <w:basedOn w:val="1"/>
    <w:qFormat/>
    <w:uiPriority w:val="0"/>
    <w:pPr>
      <w:spacing w:before="0" w:beforeLines="0" w:line="360" w:lineRule="auto"/>
      <w:jc w:val="center"/>
    </w:pPr>
    <w:rPr>
      <w:rFonts w:ascii="黑体" w:hAnsi="黑体" w:eastAsia="黑体" w:cs="宋体"/>
      <w:sz w:val="24"/>
      <w:szCs w:val="20"/>
    </w:rPr>
  </w:style>
  <w:style w:type="paragraph" w:customStyle="1" w:styleId="1539">
    <w:name w:val="表格文字左"/>
    <w:basedOn w:val="1"/>
    <w:qFormat/>
    <w:uiPriority w:val="99"/>
    <w:pPr>
      <w:spacing w:before="0" w:beforeLines="0" w:line="240" w:lineRule="auto"/>
      <w:jc w:val="left"/>
    </w:pPr>
    <w:rPr>
      <w:rFonts w:ascii="宋体" w:hAnsi="宋体" w:cs="Arial"/>
      <w:sz w:val="24"/>
      <w:szCs w:val="18"/>
    </w:rPr>
  </w:style>
  <w:style w:type="character" w:customStyle="1" w:styleId="1540">
    <w:name w:val="页眉-old Char Char"/>
    <w:qFormat/>
    <w:uiPriority w:val="0"/>
    <w:rPr>
      <w:rFonts w:eastAsia="宋体"/>
      <w:kern w:val="2"/>
      <w:sz w:val="18"/>
      <w:szCs w:val="18"/>
      <w:lang w:val="en-US" w:eastAsia="zh-CN" w:bidi="ar-SA"/>
    </w:rPr>
  </w:style>
  <w:style w:type="paragraph" w:customStyle="1" w:styleId="1541">
    <w:name w:val="样式 文字块 + 小四 首行缩进:  2 字符"/>
    <w:basedOn w:val="41"/>
    <w:qFormat/>
    <w:uiPriority w:val="0"/>
    <w:pPr>
      <w:spacing w:after="0"/>
      <w:ind w:left="0" w:leftChars="0" w:right="0" w:rightChars="0" w:firstLine="425"/>
    </w:pPr>
    <w:rPr>
      <w:kern w:val="10"/>
      <w:sz w:val="24"/>
    </w:rPr>
  </w:style>
  <w:style w:type="character" w:customStyle="1" w:styleId="1542">
    <w:name w:val="图表头 Char Char"/>
    <w:link w:val="1543"/>
    <w:qFormat/>
    <w:uiPriority w:val="0"/>
    <w:rPr>
      <w:b/>
      <w:szCs w:val="24"/>
    </w:rPr>
  </w:style>
  <w:style w:type="paragraph" w:customStyle="1" w:styleId="1543">
    <w:name w:val="图表头"/>
    <w:basedOn w:val="1"/>
    <w:link w:val="1542"/>
    <w:qFormat/>
    <w:uiPriority w:val="0"/>
    <w:pPr>
      <w:spacing w:before="0" w:beforeLines="50" w:afterLines="50" w:line="360" w:lineRule="auto"/>
      <w:jc w:val="center"/>
    </w:pPr>
    <w:rPr>
      <w:b/>
      <w:kern w:val="0"/>
      <w:sz w:val="20"/>
    </w:rPr>
  </w:style>
  <w:style w:type="character" w:customStyle="1" w:styleId="1544">
    <w:name w:val="样式 (西文) 黑体 (符号) 宋体 小四"/>
    <w:qFormat/>
    <w:uiPriority w:val="0"/>
    <w:rPr>
      <w:rFonts w:ascii="黑体" w:hAnsi="黑体"/>
      <w:sz w:val="24"/>
    </w:rPr>
  </w:style>
  <w:style w:type="character" w:customStyle="1" w:styleId="1545">
    <w:name w:val="正文首行缩进 2 Char1"/>
    <w:qFormat/>
    <w:uiPriority w:val="0"/>
    <w:rPr>
      <w:rFonts w:ascii="宋体" w:hAnsi="宋体"/>
      <w:b/>
      <w:bCs/>
      <w:kern w:val="2"/>
      <w:sz w:val="24"/>
      <w:szCs w:val="24"/>
    </w:rPr>
  </w:style>
  <w:style w:type="character" w:customStyle="1" w:styleId="1546">
    <w:name w:val="样式1 Char Char"/>
    <w:qFormat/>
    <w:uiPriority w:val="0"/>
    <w:rPr>
      <w:rFonts w:ascii="黑体" w:hAnsi="宋体" w:eastAsia="黑体" w:cs="Arial"/>
      <w:sz w:val="24"/>
      <w:szCs w:val="24"/>
    </w:rPr>
  </w:style>
  <w:style w:type="character" w:customStyle="1" w:styleId="1547">
    <w:name w:val="link_account1"/>
    <w:qFormat/>
    <w:uiPriority w:val="0"/>
  </w:style>
  <w:style w:type="character" w:customStyle="1" w:styleId="1548">
    <w:name w:val="a章 Char Char"/>
    <w:link w:val="1549"/>
    <w:qFormat/>
    <w:uiPriority w:val="0"/>
    <w:rPr>
      <w:rFonts w:ascii="黑体" w:hAnsi="宋体" w:eastAsia="黑体"/>
      <w:bCs/>
      <w:kern w:val="44"/>
      <w:sz w:val="24"/>
      <w:szCs w:val="44"/>
    </w:rPr>
  </w:style>
  <w:style w:type="paragraph" w:customStyle="1" w:styleId="1549">
    <w:name w:val="a章"/>
    <w:basedOn w:val="3"/>
    <w:next w:val="1"/>
    <w:link w:val="1548"/>
    <w:qFormat/>
    <w:uiPriority w:val="0"/>
    <w:pPr>
      <w:tabs>
        <w:tab w:val="clear" w:pos="360"/>
      </w:tabs>
      <w:spacing w:before="240" w:after="60" w:line="360" w:lineRule="auto"/>
    </w:pPr>
    <w:rPr>
      <w:rFonts w:ascii="黑体" w:hAnsi="宋体" w:eastAsia="黑体"/>
      <w:b w:val="0"/>
      <w:color w:val="auto"/>
      <w:kern w:val="44"/>
      <w:sz w:val="24"/>
      <w:szCs w:val="44"/>
    </w:rPr>
  </w:style>
  <w:style w:type="character" w:customStyle="1" w:styleId="1550">
    <w:name w:val="信息标题 字符"/>
    <w:basedOn w:val="117"/>
    <w:semiHidden/>
    <w:qFormat/>
    <w:uiPriority w:val="99"/>
    <w:rPr>
      <w:rFonts w:ascii="等线 Light" w:hAnsi="等线 Light" w:eastAsia="等线 Light" w:cs="Times New Roman"/>
      <w:sz w:val="24"/>
      <w:szCs w:val="24"/>
      <w:shd w:val="pct20" w:color="auto" w:fill="auto"/>
    </w:rPr>
  </w:style>
  <w:style w:type="character" w:customStyle="1" w:styleId="1551">
    <w:name w:val="信息标题 字符1"/>
    <w:link w:val="81"/>
    <w:qFormat/>
    <w:uiPriority w:val="0"/>
    <w:rPr>
      <w:rFonts w:ascii="Arial" w:hAnsi="Arial"/>
      <w:spacing w:val="-5"/>
      <w:kern w:val="2"/>
      <w:sz w:val="21"/>
      <w:szCs w:val="24"/>
    </w:rPr>
  </w:style>
  <w:style w:type="character" w:customStyle="1" w:styleId="1552">
    <w:name w:val="章 Char Char"/>
    <w:qFormat/>
    <w:uiPriority w:val="0"/>
    <w:rPr>
      <w:smallCaps/>
      <w:spacing w:val="5"/>
      <w:sz w:val="32"/>
      <w:szCs w:val="32"/>
    </w:rPr>
  </w:style>
  <w:style w:type="character" w:customStyle="1" w:styleId="1553">
    <w:name w:val="样式 题注 + 首行缩进:  2 字符2 Char Char"/>
    <w:qFormat/>
    <w:uiPriority w:val="0"/>
    <w:rPr>
      <w:rFonts w:ascii="宋体" w:hAnsi="宋体" w:eastAsia="宋体" w:cs="宋体"/>
      <w:kern w:val="2"/>
      <w:sz w:val="24"/>
      <w:szCs w:val="24"/>
    </w:rPr>
  </w:style>
  <w:style w:type="character" w:customStyle="1" w:styleId="1554">
    <w:name w:val="HTML 地址 字符1"/>
    <w:link w:val="316"/>
    <w:qFormat/>
    <w:uiPriority w:val="0"/>
    <w:rPr>
      <w:i/>
      <w:iCs/>
    </w:rPr>
  </w:style>
  <w:style w:type="character" w:customStyle="1" w:styleId="1555">
    <w:name w:val="HTML 地址 字符"/>
    <w:basedOn w:val="117"/>
    <w:semiHidden/>
    <w:qFormat/>
    <w:uiPriority w:val="99"/>
    <w:rPr>
      <w:rFonts w:ascii="Times New Roman" w:hAnsi="Times New Roman" w:eastAsia="宋体" w:cs="Times New Roman"/>
      <w:i/>
      <w:iCs/>
      <w:sz w:val="24"/>
      <w:szCs w:val="20"/>
    </w:rPr>
  </w:style>
  <w:style w:type="character" w:customStyle="1" w:styleId="1556">
    <w:name w:val="HTML 地址 Char1"/>
    <w:qFormat/>
    <w:uiPriority w:val="0"/>
    <w:rPr>
      <w:i/>
      <w:iCs/>
      <w:kern w:val="2"/>
      <w:sz w:val="24"/>
    </w:rPr>
  </w:style>
  <w:style w:type="character" w:customStyle="1" w:styleId="1557">
    <w:name w:val="表1 Char Char"/>
    <w:link w:val="453"/>
    <w:qFormat/>
    <w:uiPriority w:val="0"/>
    <w:rPr>
      <w:rFonts w:ascii="宋体" w:hAnsi="宋体"/>
      <w:kern w:val="2"/>
      <w:sz w:val="24"/>
    </w:rPr>
  </w:style>
  <w:style w:type="character" w:customStyle="1" w:styleId="1558">
    <w:name w:val="样式 正文首行缩进 + 自动设置 Char Char"/>
    <w:link w:val="1397"/>
    <w:qFormat/>
    <w:uiPriority w:val="0"/>
    <w:rPr>
      <w:rFonts w:ascii="宋体" w:hAnsi="宋体"/>
      <w:kern w:val="2"/>
      <w:sz w:val="28"/>
      <w:szCs w:val="28"/>
    </w:rPr>
  </w:style>
  <w:style w:type="character" w:customStyle="1" w:styleId="1559">
    <w:name w:val="电子邮件签名 字符1"/>
    <w:link w:val="313"/>
    <w:qFormat/>
    <w:uiPriority w:val="0"/>
  </w:style>
  <w:style w:type="character" w:customStyle="1" w:styleId="1560">
    <w:name w:val="电子邮件签名 字符"/>
    <w:basedOn w:val="117"/>
    <w:semiHidden/>
    <w:qFormat/>
    <w:uiPriority w:val="99"/>
    <w:rPr>
      <w:rFonts w:ascii="Times New Roman" w:hAnsi="Times New Roman" w:eastAsia="宋体" w:cs="Times New Roman"/>
      <w:sz w:val="24"/>
      <w:szCs w:val="20"/>
    </w:rPr>
  </w:style>
  <w:style w:type="character" w:customStyle="1" w:styleId="1561">
    <w:name w:val="电子邮件签名 Char1"/>
    <w:qFormat/>
    <w:uiPriority w:val="0"/>
    <w:rPr>
      <w:kern w:val="2"/>
      <w:sz w:val="24"/>
    </w:rPr>
  </w:style>
  <w:style w:type="character" w:customStyle="1" w:styleId="1562">
    <w:name w:val="表格 标题 Char Char"/>
    <w:link w:val="1563"/>
    <w:qFormat/>
    <w:uiPriority w:val="0"/>
    <w:rPr>
      <w:rFonts w:ascii="黑体" w:hAnsi="宋体" w:eastAsia="黑体" w:cs="宋体"/>
      <w:sz w:val="24"/>
    </w:rPr>
  </w:style>
  <w:style w:type="paragraph" w:customStyle="1" w:styleId="1563">
    <w:name w:val="表格 标题"/>
    <w:basedOn w:val="21"/>
    <w:link w:val="1562"/>
    <w:qFormat/>
    <w:uiPriority w:val="0"/>
    <w:pPr>
      <w:spacing w:line="240" w:lineRule="auto"/>
      <w:ind w:left="115" w:firstLine="27" w:firstLineChars="0"/>
    </w:pPr>
    <w:rPr>
      <w:rFonts w:ascii="黑体" w:hAnsi="宋体" w:cs="宋体"/>
      <w:kern w:val="0"/>
      <w:sz w:val="24"/>
    </w:rPr>
  </w:style>
  <w:style w:type="character" w:customStyle="1" w:styleId="1564">
    <w:name w:val="HTML 预设格式 Char1"/>
    <w:qFormat/>
    <w:uiPriority w:val="99"/>
    <w:rPr>
      <w:rFonts w:ascii="Courier New" w:hAnsi="Courier New" w:cs="Courier New"/>
      <w:kern w:val="2"/>
    </w:rPr>
  </w:style>
  <w:style w:type="character" w:customStyle="1" w:styleId="1565">
    <w:name w:val="正文首行缩进2字符! Char Char"/>
    <w:qFormat/>
    <w:uiPriority w:val="0"/>
    <w:rPr>
      <w:rFonts w:ascii="宋体" w:hAnsi="宋体" w:cs="宋体"/>
      <w:kern w:val="2"/>
      <w:sz w:val="28"/>
    </w:rPr>
  </w:style>
  <w:style w:type="character" w:customStyle="1" w:styleId="1566">
    <w:name w:val="样式 正文首行缩进 + 四号 Char Char"/>
    <w:link w:val="1567"/>
    <w:qFormat/>
    <w:uiPriority w:val="0"/>
    <w:rPr>
      <w:rFonts w:ascii="宋体"/>
      <w:sz w:val="28"/>
      <w:szCs w:val="24"/>
    </w:rPr>
  </w:style>
  <w:style w:type="paragraph" w:customStyle="1" w:styleId="1567">
    <w:name w:val="样式 正文首行缩进 + 四号"/>
    <w:basedOn w:val="54"/>
    <w:link w:val="1566"/>
    <w:qFormat/>
    <w:uiPriority w:val="0"/>
    <w:pPr>
      <w:keepLines/>
      <w:tabs>
        <w:tab w:val="left" w:pos="0"/>
        <w:tab w:val="left" w:pos="1727"/>
        <w:tab w:val="left" w:pos="1884"/>
        <w:tab w:val="left" w:pos="8480"/>
      </w:tabs>
      <w:autoSpaceDE/>
      <w:autoSpaceDN/>
      <w:adjustRightInd w:val="0"/>
      <w:snapToGrid w:val="0"/>
      <w:spacing w:after="120"/>
      <w:ind w:left="-15" w:leftChars="-7"/>
      <w:jc w:val="both"/>
    </w:pPr>
    <w:rPr>
      <w:rFonts w:hAnsi="Times New Roman" w:cs="Times New Roman"/>
      <w:sz w:val="28"/>
      <w:lang w:val="en-US" w:bidi="ar-SA"/>
    </w:rPr>
  </w:style>
  <w:style w:type="character" w:customStyle="1" w:styleId="1568">
    <w:name w:val="签名 Char1"/>
    <w:qFormat/>
    <w:uiPriority w:val="0"/>
    <w:rPr>
      <w:kern w:val="2"/>
      <w:sz w:val="24"/>
    </w:rPr>
  </w:style>
  <w:style w:type="character" w:customStyle="1" w:styleId="1569">
    <w:name w:val="wrui1"/>
    <w:qFormat/>
    <w:uiPriority w:val="0"/>
    <w:rPr>
      <w:rFonts w:hint="eastAsia" w:ascii="宋体" w:hAnsi="宋体" w:eastAsia="宋体"/>
      <w:color w:val="330099"/>
      <w:sz w:val="18"/>
      <w:szCs w:val="18"/>
    </w:rPr>
  </w:style>
  <w:style w:type="paragraph" w:customStyle="1" w:styleId="1570">
    <w:name w:val="正文文字－退1"/>
    <w:basedOn w:val="33"/>
    <w:qFormat/>
    <w:uiPriority w:val="0"/>
    <w:pPr>
      <w:autoSpaceDE/>
      <w:autoSpaceDN/>
      <w:spacing w:beforeLines="50" w:afterLines="50" w:line="300" w:lineRule="auto"/>
      <w:ind w:firstLine="600" w:firstLineChars="600"/>
    </w:pPr>
    <w:rPr>
      <w:rFonts w:ascii="Times New Roman" w:hAnsi="Times New Roman" w:cs="Times New Roman"/>
      <w:kern w:val="2"/>
      <w:lang w:val="en-US" w:bidi="ar-SA"/>
    </w:rPr>
  </w:style>
  <w:style w:type="paragraph" w:customStyle="1" w:styleId="1571">
    <w:name w:val="Indent"/>
    <w:basedOn w:val="1"/>
    <w:qFormat/>
    <w:uiPriority w:val="0"/>
    <w:pPr>
      <w:widowControl/>
      <w:spacing w:before="0" w:beforeLines="0" w:after="240" w:line="240" w:lineRule="auto"/>
      <w:ind w:left="1440"/>
      <w:jc w:val="left"/>
    </w:pPr>
    <w:rPr>
      <w:rFonts w:ascii="Arial" w:hAnsi="Arial"/>
      <w:kern w:val="0"/>
      <w:sz w:val="24"/>
      <w:szCs w:val="20"/>
      <w:lang w:val="en-GB" w:eastAsia="en-US"/>
    </w:rPr>
  </w:style>
  <w:style w:type="paragraph" w:customStyle="1" w:styleId="1572">
    <w:name w:val="编制人员情况"/>
    <w:basedOn w:val="1"/>
    <w:qFormat/>
    <w:uiPriority w:val="0"/>
    <w:pPr>
      <w:tabs>
        <w:tab w:val="left" w:pos="600"/>
        <w:tab w:val="left" w:pos="3700"/>
        <w:tab w:val="left" w:pos="6900"/>
      </w:tabs>
      <w:adjustRightInd w:val="0"/>
      <w:snapToGrid w:val="0"/>
      <w:spacing w:before="0" w:beforeLines="0" w:after="120" w:line="360" w:lineRule="auto"/>
      <w:ind w:left="420" w:firstLine="180"/>
    </w:pPr>
    <w:rPr>
      <w:rFonts w:ascii="宋体" w:cs="宋体"/>
      <w:sz w:val="32"/>
      <w:szCs w:val="20"/>
    </w:rPr>
  </w:style>
  <w:style w:type="paragraph" w:customStyle="1" w:styleId="1573">
    <w:name w:val="CM29"/>
    <w:basedOn w:val="34"/>
    <w:next w:val="34"/>
    <w:qFormat/>
    <w:uiPriority w:val="0"/>
    <w:pPr>
      <w:spacing w:line="468" w:lineRule="atLeast"/>
    </w:pPr>
    <w:rPr>
      <w:sz w:val="24"/>
      <w:szCs w:val="24"/>
    </w:rPr>
  </w:style>
  <w:style w:type="paragraph" w:customStyle="1" w:styleId="1574">
    <w:name w:val="Date1"/>
    <w:basedOn w:val="1"/>
    <w:next w:val="1"/>
    <w:qFormat/>
    <w:uiPriority w:val="0"/>
    <w:pPr>
      <w:autoSpaceDE w:val="0"/>
      <w:autoSpaceDN w:val="0"/>
      <w:adjustRightInd w:val="0"/>
      <w:spacing w:before="0" w:beforeLines="0" w:line="360" w:lineRule="atLeast"/>
      <w:jc w:val="left"/>
      <w:textAlignment w:val="baseline"/>
    </w:pPr>
    <w:rPr>
      <w:kern w:val="0"/>
      <w:sz w:val="24"/>
      <w:szCs w:val="20"/>
    </w:rPr>
  </w:style>
  <w:style w:type="paragraph" w:customStyle="1" w:styleId="1575">
    <w:name w:val="正文页"/>
    <w:basedOn w:val="1"/>
    <w:qFormat/>
    <w:uiPriority w:val="0"/>
    <w:pPr>
      <w:spacing w:before="0" w:beforeLines="0" w:line="300" w:lineRule="auto"/>
      <w:ind w:firstLine="200" w:firstLineChars="200"/>
    </w:pPr>
    <w:rPr>
      <w:sz w:val="24"/>
    </w:rPr>
  </w:style>
  <w:style w:type="paragraph" w:customStyle="1" w:styleId="1576">
    <w:name w:val="样式 四号 行距: 1.5 倍行距"/>
    <w:basedOn w:val="1"/>
    <w:qFormat/>
    <w:uiPriority w:val="0"/>
    <w:pPr>
      <w:spacing w:before="0" w:beforeLines="0" w:line="360" w:lineRule="auto"/>
      <w:ind w:left="980" w:leftChars="200" w:hanging="560" w:hangingChars="200"/>
    </w:pPr>
    <w:rPr>
      <w:rFonts w:cs="宋体"/>
      <w:sz w:val="28"/>
      <w:szCs w:val="20"/>
    </w:rPr>
  </w:style>
  <w:style w:type="paragraph" w:customStyle="1" w:styleId="1577">
    <w:name w:val="样式 段落 + 首行缩进:  0.63 厘米 段前: 1 行"/>
    <w:basedOn w:val="785"/>
    <w:qFormat/>
    <w:uiPriority w:val="0"/>
    <w:pPr>
      <w:spacing w:beforeLines="0" w:beforeAutospacing="0" w:line="0" w:lineRule="atLeast"/>
      <w:ind w:left="773" w:leftChars="322" w:firstLine="360"/>
    </w:pPr>
    <w:rPr>
      <w:rFonts w:ascii="Arial" w:hAnsi="Arial" w:eastAsia="Arial"/>
      <w:spacing w:val="0"/>
      <w:sz w:val="22"/>
      <w:szCs w:val="20"/>
    </w:rPr>
  </w:style>
  <w:style w:type="paragraph" w:customStyle="1" w:styleId="1578">
    <w:name w:val="表格居中"/>
    <w:basedOn w:val="1"/>
    <w:qFormat/>
    <w:uiPriority w:val="0"/>
    <w:pPr>
      <w:spacing w:before="0" w:beforeLines="0" w:line="360" w:lineRule="auto"/>
      <w:jc w:val="center"/>
    </w:pPr>
    <w:rPr>
      <w:rFonts w:ascii="宋体" w:hAnsi="宋体"/>
      <w:kern w:val="0"/>
      <w:sz w:val="24"/>
      <w:szCs w:val="21"/>
    </w:rPr>
  </w:style>
  <w:style w:type="paragraph" w:customStyle="1" w:styleId="1579">
    <w:name w:val="gb1"/>
    <w:basedOn w:val="1"/>
    <w:qFormat/>
    <w:uiPriority w:val="0"/>
    <w:pPr>
      <w:widowControl/>
      <w:tabs>
        <w:tab w:val="left" w:pos="227"/>
      </w:tabs>
      <w:overflowPunct w:val="0"/>
      <w:autoSpaceDE w:val="0"/>
      <w:autoSpaceDN w:val="0"/>
      <w:adjustRightInd w:val="0"/>
      <w:spacing w:before="120" w:beforeLines="0" w:after="120" w:line="240" w:lineRule="auto"/>
      <w:textAlignment w:val="baseline"/>
    </w:pPr>
    <w:rPr>
      <w:rFonts w:ascii="Arial" w:hAnsi="Arial" w:eastAsia="仿宋体"/>
      <w:kern w:val="0"/>
      <w:sz w:val="24"/>
      <w:szCs w:val="20"/>
    </w:rPr>
  </w:style>
  <w:style w:type="paragraph" w:customStyle="1" w:styleId="1580">
    <w:name w:val="样式 宋体 小四 居中 段前: 3 磅 段后: 3 磅"/>
    <w:basedOn w:val="1"/>
    <w:qFormat/>
    <w:uiPriority w:val="0"/>
    <w:pPr>
      <w:pBdr>
        <w:top w:val="single" w:color="auto" w:sz="8" w:space="1"/>
        <w:left w:val="single" w:color="auto" w:sz="8" w:space="4"/>
        <w:bottom w:val="single" w:color="auto" w:sz="8" w:space="1"/>
        <w:right w:val="single" w:color="auto" w:sz="8" w:space="4"/>
        <w:between w:val="single" w:color="auto" w:sz="8" w:space="1"/>
      </w:pBdr>
      <w:spacing w:before="60" w:beforeLines="0" w:after="60" w:line="240" w:lineRule="auto"/>
      <w:jc w:val="center"/>
    </w:pPr>
    <w:rPr>
      <w:rFonts w:ascii="宋体" w:hAnsi="宋体" w:cs="宋体"/>
      <w:kern w:val="0"/>
      <w:sz w:val="24"/>
      <w:szCs w:val="20"/>
    </w:rPr>
  </w:style>
  <w:style w:type="paragraph" w:customStyle="1" w:styleId="1581">
    <w:name w:val="样式 标题 3 + 段前: 1 行"/>
    <w:basedOn w:val="5"/>
    <w:link w:val="1582"/>
    <w:qFormat/>
    <w:uiPriority w:val="0"/>
    <w:pPr>
      <w:keepNext/>
      <w:tabs>
        <w:tab w:val="left" w:pos="1134"/>
        <w:tab w:val="left" w:pos="1830"/>
      </w:tabs>
      <w:spacing w:beforeLines="100" w:after="0" w:line="0" w:lineRule="atLeast"/>
      <w:ind w:left="1134" w:hanging="1134"/>
    </w:pPr>
    <w:rPr>
      <w:rFonts w:ascii="Arial" w:hAnsi="Arial"/>
      <w:b w:val="0"/>
      <w:bCs w:val="0"/>
      <w:caps/>
      <w:color w:val="auto"/>
      <w:kern w:val="2"/>
      <w:sz w:val="22"/>
    </w:rPr>
  </w:style>
  <w:style w:type="character" w:customStyle="1" w:styleId="1582">
    <w:name w:val="样式 标题 3 + 段前: 1 行 Char"/>
    <w:link w:val="1581"/>
    <w:qFormat/>
    <w:uiPriority w:val="0"/>
    <w:rPr>
      <w:rFonts w:ascii="Arial" w:hAnsi="Arial"/>
      <w:caps/>
      <w:kern w:val="2"/>
      <w:sz w:val="22"/>
    </w:rPr>
  </w:style>
  <w:style w:type="paragraph" w:customStyle="1" w:styleId="1583">
    <w:name w:val="宏福正文-2"/>
    <w:basedOn w:val="1"/>
    <w:qFormat/>
    <w:uiPriority w:val="0"/>
    <w:pPr>
      <w:adjustRightInd w:val="0"/>
      <w:spacing w:before="240" w:beforeLines="0" w:line="400" w:lineRule="atLeast"/>
      <w:ind w:firstLine="567"/>
      <w:jc w:val="left"/>
      <w:textAlignment w:val="baseline"/>
    </w:pPr>
    <w:rPr>
      <w:sz w:val="28"/>
      <w:szCs w:val="20"/>
    </w:rPr>
  </w:style>
  <w:style w:type="paragraph" w:customStyle="1" w:styleId="1584">
    <w:name w:val="c_"/>
    <w:qFormat/>
    <w:uiPriority w:val="0"/>
    <w:pPr>
      <w:widowControl w:val="0"/>
      <w:autoSpaceDE w:val="0"/>
      <w:autoSpaceDN w:val="0"/>
      <w:adjustRightInd w:val="0"/>
      <w:jc w:val="both"/>
    </w:pPr>
    <w:rPr>
      <w:rFonts w:ascii="五" w:hAnsi="Times New Roman" w:eastAsia="五" w:cs="Times New Roman"/>
      <w:sz w:val="24"/>
      <w:lang w:val="en-US" w:eastAsia="zh-CN" w:bidi="ar-SA"/>
    </w:rPr>
  </w:style>
  <w:style w:type="paragraph" w:customStyle="1" w:styleId="1585">
    <w:name w:val="样式 标题 2 + 左侧:  0 厘米 首行缩进:  0 厘米"/>
    <w:basedOn w:val="4"/>
    <w:qFormat/>
    <w:uiPriority w:val="0"/>
    <w:pPr>
      <w:keepLines w:val="0"/>
      <w:tabs>
        <w:tab w:val="left" w:pos="735"/>
      </w:tabs>
      <w:adjustRightInd w:val="0"/>
      <w:snapToGrid w:val="0"/>
      <w:spacing w:before="0" w:after="0" w:line="360" w:lineRule="auto"/>
    </w:pPr>
    <w:rPr>
      <w:rFonts w:ascii="宋体" w:hAnsi="宋体" w:eastAsia="宋体" w:cs="宋体"/>
      <w:b w:val="0"/>
      <w:color w:val="auto"/>
      <w:kern w:val="2"/>
      <w:sz w:val="30"/>
    </w:rPr>
  </w:style>
  <w:style w:type="paragraph" w:customStyle="1" w:styleId="1586">
    <w:name w:val="样式 标题 4 + 段前: 1 行"/>
    <w:basedOn w:val="7"/>
    <w:qFormat/>
    <w:uiPriority w:val="0"/>
    <w:pPr>
      <w:keepNext w:val="0"/>
      <w:keepLines w:val="0"/>
      <w:adjustRightInd/>
      <w:spacing w:before="280" w:beforeLines="100" w:line="0" w:lineRule="atLeast"/>
    </w:pPr>
    <w:rPr>
      <w:rFonts w:ascii="Arial" w:hAnsi="Arial"/>
      <w:b w:val="0"/>
      <w:color w:val="auto"/>
      <w:kern w:val="2"/>
      <w:sz w:val="22"/>
      <w:szCs w:val="20"/>
    </w:rPr>
  </w:style>
  <w:style w:type="paragraph" w:customStyle="1" w:styleId="1587">
    <w:name w:val="样式 样式 四号 行距: 1.5 倍行距 + 左侧:  2 字符 悬挂缩进: 2 字符"/>
    <w:basedOn w:val="1576"/>
    <w:qFormat/>
    <w:uiPriority w:val="0"/>
    <w:pPr>
      <w:ind w:left="0" w:leftChars="0" w:firstLine="538" w:firstLineChars="192"/>
      <w:jc w:val="left"/>
    </w:pPr>
  </w:style>
  <w:style w:type="paragraph" w:customStyle="1" w:styleId="1588">
    <w:name w:val="样式 目录 1 + 左侧:  0 厘米 悬挂缩进: 7.53 字符4"/>
    <w:basedOn w:val="61"/>
    <w:qFormat/>
    <w:uiPriority w:val="0"/>
    <w:pPr>
      <w:tabs>
        <w:tab w:val="left" w:pos="720"/>
        <w:tab w:val="right" w:leader="dot" w:pos="8302"/>
        <w:tab w:val="right" w:leader="dot" w:pos="8820"/>
        <w:tab w:val="right" w:leader="dot" w:pos="9070"/>
      </w:tabs>
      <w:adjustRightInd w:val="0"/>
      <w:snapToGrid w:val="0"/>
      <w:spacing w:before="0" w:beforeLines="0" w:line="360" w:lineRule="auto"/>
      <w:ind w:left="753" w:hanging="753"/>
    </w:pPr>
    <w:rPr>
      <w:rFonts w:ascii="Calibri" w:hAnsi="Calibri"/>
      <w:b/>
      <w:bCs/>
      <w:caps/>
      <w:sz w:val="28"/>
      <w:szCs w:val="20"/>
    </w:rPr>
  </w:style>
  <w:style w:type="paragraph" w:customStyle="1" w:styleId="1589">
    <w:name w:val="样式 样式 宋体 四号 黑色 行距: 1.5 倍行距 + 左侧:  0 厘米 首行缩进:  0 厘米"/>
    <w:basedOn w:val="1590"/>
    <w:qFormat/>
    <w:uiPriority w:val="0"/>
    <w:rPr>
      <w:rFonts w:hAnsi="宋体"/>
      <w:b/>
      <w:sz w:val="30"/>
      <w:szCs w:val="30"/>
    </w:rPr>
  </w:style>
  <w:style w:type="paragraph" w:customStyle="1" w:styleId="1590">
    <w:name w:val="样式 宋体 四号 黑色 行距: 1.5 倍行距"/>
    <w:basedOn w:val="1"/>
    <w:qFormat/>
    <w:uiPriority w:val="0"/>
    <w:pPr>
      <w:spacing w:before="0" w:beforeLines="0" w:line="360" w:lineRule="auto"/>
    </w:pPr>
    <w:rPr>
      <w:rFonts w:ascii="宋体" w:cs="宋体"/>
      <w:color w:val="000000"/>
      <w:sz w:val="28"/>
      <w:szCs w:val="20"/>
    </w:rPr>
  </w:style>
  <w:style w:type="paragraph" w:customStyle="1" w:styleId="1591">
    <w:name w:val="标题1正文"/>
    <w:basedOn w:val="1"/>
    <w:qFormat/>
    <w:uiPriority w:val="0"/>
    <w:pPr>
      <w:keepNext/>
      <w:keepLines/>
      <w:spacing w:before="0" w:beforeLines="50" w:line="300" w:lineRule="auto"/>
      <w:ind w:left="850" w:leftChars="500" w:hanging="350" w:hangingChars="350"/>
    </w:pPr>
    <w:rPr>
      <w:sz w:val="24"/>
    </w:rPr>
  </w:style>
  <w:style w:type="paragraph" w:customStyle="1" w:styleId="1592">
    <w:name w:val="注1"/>
    <w:basedOn w:val="1"/>
    <w:qFormat/>
    <w:uiPriority w:val="0"/>
    <w:pPr>
      <w:keepNext/>
      <w:keepLines/>
      <w:spacing w:before="0" w:beforeLines="50" w:line="240" w:lineRule="auto"/>
      <w:ind w:left="755" w:leftChars="500" w:hanging="255" w:hangingChars="255"/>
    </w:pPr>
    <w:rPr>
      <w:sz w:val="24"/>
    </w:rPr>
  </w:style>
  <w:style w:type="paragraph" w:customStyle="1" w:styleId="1593">
    <w:name w:val="Char2 Char Char Char Char Char Char Char Char Char Char Char Char"/>
    <w:basedOn w:val="1"/>
    <w:qFormat/>
    <w:uiPriority w:val="0"/>
    <w:pPr>
      <w:widowControl/>
      <w:spacing w:before="0" w:beforeLines="0" w:after="160" w:line="240" w:lineRule="exact"/>
      <w:jc w:val="left"/>
    </w:pPr>
    <w:rPr>
      <w:rFonts w:ascii="Verdana" w:hAnsi="Verdana"/>
      <w:kern w:val="0"/>
      <w:sz w:val="20"/>
      <w:szCs w:val="20"/>
      <w:lang w:eastAsia="en-US"/>
    </w:rPr>
  </w:style>
  <w:style w:type="paragraph" w:customStyle="1" w:styleId="1594">
    <w:name w:val="样式 标题 1 + (符号) 黑体 小四 非加粗"/>
    <w:basedOn w:val="3"/>
    <w:qFormat/>
    <w:uiPriority w:val="0"/>
    <w:pPr>
      <w:tabs>
        <w:tab w:val="clear" w:pos="360"/>
      </w:tabs>
      <w:adjustRightInd w:val="0"/>
      <w:spacing w:before="240" w:after="60" w:line="360" w:lineRule="auto"/>
      <w:jc w:val="left"/>
      <w:textAlignment w:val="baseline"/>
    </w:pPr>
    <w:rPr>
      <w:rFonts w:ascii="黑体" w:eastAsia="黑体"/>
      <w:b w:val="0"/>
      <w:bCs w:val="0"/>
      <w:color w:val="auto"/>
      <w:kern w:val="0"/>
      <w:sz w:val="24"/>
      <w:szCs w:val="44"/>
    </w:rPr>
  </w:style>
  <w:style w:type="paragraph" w:customStyle="1" w:styleId="1595">
    <w:name w:val="正文首行缩进 +"/>
    <w:basedOn w:val="1"/>
    <w:qFormat/>
    <w:uiPriority w:val="0"/>
    <w:pPr>
      <w:tabs>
        <w:tab w:val="left" w:pos="7371"/>
      </w:tabs>
      <w:spacing w:before="0" w:beforeLines="0" w:line="360" w:lineRule="auto"/>
      <w:ind w:firstLine="480" w:firstLineChars="200"/>
    </w:pPr>
    <w:rPr>
      <w:rFonts w:ascii="宋体" w:hAnsi="宋体" w:cs="宋体"/>
      <w:kern w:val="0"/>
      <w:sz w:val="24"/>
    </w:rPr>
  </w:style>
  <w:style w:type="paragraph" w:customStyle="1" w:styleId="1596">
    <w:name w:val="样式 宋体 小四 行距: 1.5 倍行距 首行缩进:  2 字符"/>
    <w:basedOn w:val="1"/>
    <w:qFormat/>
    <w:uiPriority w:val="0"/>
    <w:pPr>
      <w:adjustRightInd w:val="0"/>
      <w:spacing w:before="0" w:beforeLines="0" w:line="360" w:lineRule="auto"/>
      <w:ind w:firstLine="480" w:firstLineChars="200"/>
      <w:textAlignment w:val="baseline"/>
    </w:pPr>
    <w:rPr>
      <w:rFonts w:ascii="宋体" w:hAnsi="宋体" w:cs="宋体"/>
      <w:kern w:val="0"/>
      <w:sz w:val="24"/>
      <w:szCs w:val="20"/>
    </w:rPr>
  </w:style>
  <w:style w:type="paragraph" w:customStyle="1" w:styleId="1597">
    <w:name w:val="Normal1"/>
    <w:qFormat/>
    <w:uiPriority w:val="0"/>
    <w:pPr>
      <w:widowControl w:val="0"/>
      <w:adjustRightInd w:val="0"/>
      <w:spacing w:line="360" w:lineRule="atLeast"/>
    </w:pPr>
    <w:rPr>
      <w:rFonts w:hint="eastAsia" w:ascii="宋体" w:hAnsi="Times New Roman" w:eastAsia="宋体" w:cs="Times New Roman"/>
      <w:sz w:val="34"/>
      <w:lang w:val="en-US" w:eastAsia="zh-CN" w:bidi="ar-SA"/>
    </w:rPr>
  </w:style>
  <w:style w:type="paragraph" w:customStyle="1" w:styleId="1598">
    <w:name w:val="c条2"/>
    <w:basedOn w:val="1"/>
    <w:next w:val="1"/>
    <w:qFormat/>
    <w:uiPriority w:val="0"/>
    <w:pPr>
      <w:spacing w:before="0" w:beforeLines="0" w:line="360" w:lineRule="auto"/>
      <w:outlineLvl w:val="2"/>
    </w:pPr>
    <w:rPr>
      <w:rFonts w:ascii="黑体" w:hAnsi="宋体"/>
      <w:sz w:val="24"/>
      <w:szCs w:val="21"/>
    </w:rPr>
  </w:style>
  <w:style w:type="paragraph" w:customStyle="1" w:styleId="1599">
    <w:name w:val="b条1"/>
    <w:basedOn w:val="1549"/>
    <w:next w:val="1"/>
    <w:qFormat/>
    <w:uiPriority w:val="0"/>
    <w:pPr>
      <w:outlineLvl w:val="1"/>
    </w:pPr>
  </w:style>
  <w:style w:type="paragraph" w:customStyle="1" w:styleId="1600">
    <w:name w:val="CM33"/>
    <w:basedOn w:val="34"/>
    <w:next w:val="34"/>
    <w:qFormat/>
    <w:uiPriority w:val="0"/>
    <w:rPr>
      <w:sz w:val="24"/>
      <w:szCs w:val="24"/>
    </w:rPr>
  </w:style>
  <w:style w:type="paragraph" w:customStyle="1" w:styleId="1601">
    <w:name w:val="列项"/>
    <w:basedOn w:val="1"/>
    <w:qFormat/>
    <w:uiPriority w:val="0"/>
    <w:pPr>
      <w:keepNext/>
      <w:keepLines/>
      <w:tabs>
        <w:tab w:val="left" w:pos="1588"/>
      </w:tabs>
      <w:spacing w:before="0" w:beforeLines="100" w:line="0" w:lineRule="atLeast"/>
      <w:ind w:left="1588" w:hanging="454"/>
    </w:pPr>
    <w:rPr>
      <w:rFonts w:ascii="Arial" w:hAnsi="Arial"/>
      <w:sz w:val="22"/>
    </w:rPr>
  </w:style>
  <w:style w:type="paragraph" w:customStyle="1" w:styleId="1602">
    <w:name w:val="样式 目录 1 + 左侧:  0 厘米 悬挂缩进: 7.53 字符5"/>
    <w:basedOn w:val="61"/>
    <w:qFormat/>
    <w:uiPriority w:val="0"/>
    <w:pPr>
      <w:tabs>
        <w:tab w:val="left" w:pos="720"/>
        <w:tab w:val="right" w:leader="dot" w:pos="8302"/>
        <w:tab w:val="right" w:leader="dot" w:pos="8820"/>
        <w:tab w:val="right" w:leader="dot" w:pos="9070"/>
      </w:tabs>
      <w:adjustRightInd w:val="0"/>
      <w:snapToGrid w:val="0"/>
      <w:spacing w:before="0" w:beforeLines="0" w:line="360" w:lineRule="auto"/>
      <w:ind w:left="960" w:hanging="960" w:hangingChars="343"/>
    </w:pPr>
    <w:rPr>
      <w:rFonts w:ascii="Calibri" w:hAnsi="Calibri"/>
      <w:b/>
      <w:bCs/>
      <w:caps/>
      <w:sz w:val="28"/>
      <w:szCs w:val="20"/>
    </w:rPr>
  </w:style>
  <w:style w:type="paragraph" w:customStyle="1" w:styleId="1603">
    <w:name w:val="样式 目录 1 + 左侧:  0 厘米 悬挂缩进: 7.53 字符3"/>
    <w:basedOn w:val="61"/>
    <w:qFormat/>
    <w:uiPriority w:val="0"/>
    <w:pPr>
      <w:tabs>
        <w:tab w:val="left" w:pos="720"/>
        <w:tab w:val="right" w:leader="dot" w:pos="8302"/>
        <w:tab w:val="right" w:leader="dot" w:pos="8820"/>
        <w:tab w:val="right" w:leader="dot" w:pos="9070"/>
      </w:tabs>
      <w:adjustRightInd w:val="0"/>
      <w:snapToGrid w:val="0"/>
      <w:spacing w:before="0" w:beforeLines="0" w:line="360" w:lineRule="auto"/>
      <w:ind w:left="753" w:hanging="753"/>
    </w:pPr>
    <w:rPr>
      <w:rFonts w:ascii="Calibri" w:hAnsi="Calibri"/>
      <w:b/>
      <w:bCs/>
      <w:caps/>
      <w:sz w:val="28"/>
      <w:szCs w:val="20"/>
    </w:rPr>
  </w:style>
  <w:style w:type="paragraph" w:customStyle="1" w:styleId="1604">
    <w:name w:val="段落2"/>
    <w:basedOn w:val="1"/>
    <w:qFormat/>
    <w:uiPriority w:val="0"/>
    <w:pPr>
      <w:spacing w:before="0" w:beforeLines="50" w:line="240" w:lineRule="auto"/>
      <w:ind w:left="500" w:leftChars="500"/>
    </w:pPr>
    <w:rPr>
      <w:rFonts w:ascii="Arial" w:hAnsi="Arial"/>
      <w:sz w:val="22"/>
    </w:rPr>
  </w:style>
  <w:style w:type="paragraph" w:customStyle="1" w:styleId="1605">
    <w:name w:val="样式 示例 + 段前: 1 行"/>
    <w:basedOn w:val="1026"/>
    <w:qFormat/>
    <w:uiPriority w:val="0"/>
    <w:pPr>
      <w:keepNext/>
      <w:keepLines/>
      <w:widowControl w:val="0"/>
      <w:tabs>
        <w:tab w:val="clear" w:pos="660"/>
        <w:tab w:val="clear" w:pos="816"/>
      </w:tabs>
      <w:spacing w:line="0" w:lineRule="atLeast"/>
      <w:ind w:left="826" w:leftChars="344" w:firstLine="307" w:firstLineChars="0"/>
    </w:pPr>
    <w:rPr>
      <w:rFonts w:ascii="Arial" w:hAnsi="Arial"/>
      <w:kern w:val="2"/>
      <w:sz w:val="20"/>
    </w:rPr>
  </w:style>
  <w:style w:type="paragraph" w:customStyle="1" w:styleId="1606">
    <w:name w:val="样式 目录 1 + 左侧:  0 厘米 悬挂缩进: 7.53 字符1"/>
    <w:basedOn w:val="61"/>
    <w:qFormat/>
    <w:uiPriority w:val="0"/>
    <w:pPr>
      <w:tabs>
        <w:tab w:val="left" w:pos="720"/>
        <w:tab w:val="right" w:leader="dot" w:pos="8302"/>
        <w:tab w:val="right" w:leader="dot" w:pos="8820"/>
        <w:tab w:val="right" w:leader="dot" w:pos="9070"/>
      </w:tabs>
      <w:adjustRightInd w:val="0"/>
      <w:snapToGrid w:val="0"/>
      <w:spacing w:before="0" w:beforeLines="0" w:line="360" w:lineRule="auto"/>
      <w:ind w:left="753" w:hanging="753"/>
    </w:pPr>
    <w:rPr>
      <w:rFonts w:ascii="Calibri" w:hAnsi="Calibri"/>
      <w:b/>
      <w:bCs/>
      <w:caps/>
      <w:sz w:val="28"/>
      <w:szCs w:val="28"/>
    </w:rPr>
  </w:style>
  <w:style w:type="paragraph" w:customStyle="1" w:styleId="1607">
    <w:name w:val="样式 目录 1 + 左侧:  0 厘米 悬挂缩进: 7.53 字符2"/>
    <w:basedOn w:val="61"/>
    <w:qFormat/>
    <w:uiPriority w:val="0"/>
    <w:pPr>
      <w:tabs>
        <w:tab w:val="left" w:pos="720"/>
        <w:tab w:val="right" w:leader="dot" w:pos="8302"/>
        <w:tab w:val="right" w:leader="dot" w:pos="8820"/>
        <w:tab w:val="right" w:leader="dot" w:pos="9070"/>
      </w:tabs>
      <w:adjustRightInd w:val="0"/>
      <w:snapToGrid w:val="0"/>
      <w:spacing w:before="0" w:beforeLines="0" w:line="360" w:lineRule="auto"/>
      <w:ind w:hanging="525"/>
    </w:pPr>
    <w:rPr>
      <w:rFonts w:ascii="Calibri" w:hAnsi="Calibri"/>
      <w:bCs/>
      <w:caps/>
      <w:sz w:val="28"/>
      <w:szCs w:val="28"/>
    </w:rPr>
  </w:style>
  <w:style w:type="paragraph" w:customStyle="1" w:styleId="1608">
    <w:name w:val="样式 目录 1 + 左侧:  0 厘米 悬挂缩进: 7.53 字符"/>
    <w:basedOn w:val="61"/>
    <w:qFormat/>
    <w:uiPriority w:val="0"/>
    <w:pPr>
      <w:tabs>
        <w:tab w:val="left" w:pos="720"/>
        <w:tab w:val="right" w:leader="dot" w:pos="8302"/>
        <w:tab w:val="right" w:leader="dot" w:pos="8820"/>
        <w:tab w:val="right" w:leader="dot" w:pos="9070"/>
      </w:tabs>
      <w:adjustRightInd w:val="0"/>
      <w:snapToGrid w:val="0"/>
      <w:spacing w:before="0" w:beforeLines="0" w:line="360" w:lineRule="auto"/>
      <w:ind w:left="753" w:hanging="753"/>
    </w:pPr>
    <w:rPr>
      <w:rFonts w:ascii="Calibri" w:hAnsi="Calibri"/>
      <w:b/>
      <w:bCs/>
      <w:caps/>
      <w:sz w:val="28"/>
      <w:szCs w:val="20"/>
    </w:rPr>
  </w:style>
  <w:style w:type="character" w:customStyle="1" w:styleId="1609">
    <w:name w:val="样式 (西文) 宋体"/>
    <w:qFormat/>
    <w:uiPriority w:val="0"/>
    <w:rPr>
      <w:rFonts w:ascii="Arial" w:hAnsi="Arial" w:eastAsia="宋体"/>
      <w:sz w:val="24"/>
    </w:rPr>
  </w:style>
  <w:style w:type="paragraph" w:customStyle="1" w:styleId="1610">
    <w:name w:val="新正文"/>
    <w:basedOn w:val="1"/>
    <w:qFormat/>
    <w:uiPriority w:val="0"/>
    <w:pPr>
      <w:spacing w:before="0" w:beforeLines="0" w:line="360" w:lineRule="auto"/>
      <w:ind w:firstLine="200" w:firstLineChars="200"/>
    </w:pPr>
    <w:rPr>
      <w:sz w:val="28"/>
    </w:rPr>
  </w:style>
  <w:style w:type="paragraph" w:customStyle="1" w:styleId="1611">
    <w:name w:val="文字2"/>
    <w:basedOn w:val="1"/>
    <w:qFormat/>
    <w:uiPriority w:val="0"/>
    <w:pPr>
      <w:spacing w:before="0" w:beforeLines="0" w:line="300" w:lineRule="auto"/>
      <w:ind w:firstLine="510"/>
    </w:pPr>
    <w:rPr>
      <w:sz w:val="24"/>
      <w:szCs w:val="20"/>
    </w:rPr>
  </w:style>
  <w:style w:type="paragraph" w:customStyle="1" w:styleId="1612">
    <w:name w:val="正文-hj"/>
    <w:basedOn w:val="6"/>
    <w:qFormat/>
    <w:uiPriority w:val="0"/>
    <w:pPr>
      <w:spacing w:line="300" w:lineRule="auto"/>
      <w:ind w:firstLine="200"/>
    </w:pPr>
    <w:rPr>
      <w:rFonts w:ascii="宋体" w:hAnsi="宋体"/>
      <w:kern w:val="0"/>
    </w:rPr>
  </w:style>
  <w:style w:type="paragraph" w:customStyle="1" w:styleId="1613">
    <w:name w:val="ljw正文"/>
    <w:basedOn w:val="1"/>
    <w:qFormat/>
    <w:uiPriority w:val="0"/>
    <w:pPr>
      <w:adjustRightInd w:val="0"/>
      <w:snapToGrid w:val="0"/>
      <w:spacing w:before="0" w:beforeLines="0" w:afterLines="50" w:line="300" w:lineRule="auto"/>
      <w:ind w:firstLine="480" w:firstLineChars="200"/>
    </w:pPr>
    <w:rPr>
      <w:rFonts w:ascii="宋体" w:hAnsi="宋体"/>
      <w:bCs/>
      <w:sz w:val="24"/>
      <w:szCs w:val="28"/>
    </w:rPr>
  </w:style>
  <w:style w:type="paragraph" w:customStyle="1" w:styleId="1614">
    <w:name w:val="样式3 Char"/>
    <w:basedOn w:val="1"/>
    <w:qFormat/>
    <w:uiPriority w:val="0"/>
    <w:pPr>
      <w:adjustRightInd w:val="0"/>
      <w:snapToGrid w:val="0"/>
      <w:spacing w:before="0" w:beforeLines="0" w:line="360" w:lineRule="auto"/>
      <w:ind w:firstLine="561"/>
    </w:pPr>
    <w:rPr>
      <w:rFonts w:ascii="宋体" w:hAnsi="宋体"/>
      <w:sz w:val="28"/>
      <w:lang w:val="en-GB"/>
    </w:rPr>
  </w:style>
  <w:style w:type="paragraph" w:customStyle="1" w:styleId="1615">
    <w:name w:val="项目符号"/>
    <w:basedOn w:val="1"/>
    <w:qFormat/>
    <w:uiPriority w:val="0"/>
    <w:pPr>
      <w:tabs>
        <w:tab w:val="left" w:pos="780"/>
      </w:tabs>
      <w:spacing w:before="0" w:beforeLines="0" w:line="360" w:lineRule="auto"/>
      <w:ind w:left="780" w:hanging="420"/>
    </w:pPr>
    <w:rPr>
      <w:rFonts w:cs="宋体"/>
      <w:spacing w:val="-8"/>
      <w:sz w:val="28"/>
      <w:szCs w:val="20"/>
    </w:rPr>
  </w:style>
  <w:style w:type="paragraph" w:customStyle="1" w:styleId="1616">
    <w:name w:val="Numbered List 1"/>
    <w:basedOn w:val="6"/>
    <w:qFormat/>
    <w:uiPriority w:val="0"/>
    <w:pPr>
      <w:widowControl/>
      <w:tabs>
        <w:tab w:val="left" w:pos="1440"/>
      </w:tabs>
      <w:spacing w:after="120" w:line="240" w:lineRule="atLeast"/>
      <w:ind w:left="1440" w:hanging="720" w:firstLineChars="0"/>
      <w:jc w:val="left"/>
    </w:pPr>
    <w:rPr>
      <w:rFonts w:ascii="Times New Roman" w:hAnsi="Times New Roman"/>
      <w:kern w:val="0"/>
      <w:szCs w:val="20"/>
      <w:u w:val="single"/>
      <w:lang w:val="en-GB"/>
    </w:rPr>
  </w:style>
  <w:style w:type="paragraph" w:customStyle="1" w:styleId="1617">
    <w:name w:val="_point"/>
    <w:qFormat/>
    <w:uiPriority w:val="0"/>
    <w:pPr>
      <w:ind w:left="1418" w:hanging="284"/>
      <w:jc w:val="both"/>
    </w:pPr>
    <w:rPr>
      <w:rFonts w:ascii="Times New Roman" w:hAnsi="Times New Roman" w:eastAsia="宋体" w:cs="Times New Roman"/>
      <w:sz w:val="24"/>
      <w:lang w:val="fr-FR" w:eastAsia="zh-CN" w:bidi="ar-SA"/>
    </w:rPr>
  </w:style>
  <w:style w:type="paragraph" w:customStyle="1" w:styleId="1618">
    <w:name w:val="Bullet 5"/>
    <w:basedOn w:val="1"/>
    <w:next w:val="1"/>
    <w:qFormat/>
    <w:uiPriority w:val="0"/>
    <w:pPr>
      <w:widowControl/>
      <w:tabs>
        <w:tab w:val="left" w:pos="1440"/>
        <w:tab w:val="left" w:pos="1588"/>
      </w:tabs>
      <w:spacing w:before="0" w:beforeLines="0" w:line="240" w:lineRule="auto"/>
      <w:ind w:left="5041" w:hanging="454"/>
      <w:jc w:val="left"/>
    </w:pPr>
    <w:rPr>
      <w:rFonts w:ascii="Arial" w:hAnsi="Arial"/>
      <w:kern w:val="0"/>
      <w:sz w:val="20"/>
      <w:szCs w:val="20"/>
    </w:rPr>
  </w:style>
  <w:style w:type="paragraph" w:customStyle="1" w:styleId="1619">
    <w:name w:val="Objective"/>
    <w:basedOn w:val="1"/>
    <w:next w:val="33"/>
    <w:qFormat/>
    <w:uiPriority w:val="0"/>
    <w:pPr>
      <w:widowControl/>
      <w:spacing w:before="220" w:beforeLines="0" w:after="220" w:line="220" w:lineRule="atLeast"/>
      <w:jc w:val="left"/>
    </w:pPr>
    <w:rPr>
      <w:kern w:val="0"/>
      <w:sz w:val="24"/>
      <w:szCs w:val="20"/>
    </w:rPr>
  </w:style>
  <w:style w:type="paragraph" w:customStyle="1" w:styleId="1620">
    <w:name w:val="二级条"/>
    <w:next w:val="7"/>
    <w:qFormat/>
    <w:uiPriority w:val="0"/>
    <w:pPr>
      <w:tabs>
        <w:tab w:val="left" w:pos="1709"/>
      </w:tabs>
      <w:spacing w:line="440" w:lineRule="exact"/>
      <w:ind w:left="1709" w:hanging="708"/>
    </w:pPr>
    <w:rPr>
      <w:rFonts w:ascii="宋体" w:hAnsi="Times New Roman" w:eastAsia="宋体" w:cs="Times New Roman"/>
      <w:sz w:val="24"/>
      <w:lang w:val="en-US" w:eastAsia="zh-CN" w:bidi="ar-SA"/>
    </w:rPr>
  </w:style>
  <w:style w:type="paragraph" w:customStyle="1" w:styleId="1621">
    <w:name w:val="标题4.1.1.1"/>
    <w:basedOn w:val="7"/>
    <w:qFormat/>
    <w:uiPriority w:val="0"/>
    <w:pPr>
      <w:keepNext w:val="0"/>
      <w:keepLines w:val="0"/>
      <w:spacing w:before="0" w:beforeLines="0" w:line="360" w:lineRule="auto"/>
    </w:pPr>
    <w:rPr>
      <w:rFonts w:ascii="宋体" w:hAnsi="宋体" w:cs="宋体"/>
      <w:b w:val="0"/>
      <w:color w:val="auto"/>
      <w:kern w:val="2"/>
      <w:sz w:val="28"/>
      <w:szCs w:val="20"/>
    </w:rPr>
  </w:style>
  <w:style w:type="paragraph" w:customStyle="1" w:styleId="1622">
    <w:name w:val="kkk"/>
    <w:basedOn w:val="7"/>
    <w:qFormat/>
    <w:uiPriority w:val="0"/>
    <w:pPr>
      <w:keepNext w:val="0"/>
      <w:keepLines w:val="0"/>
      <w:widowControl/>
      <w:adjustRightInd/>
      <w:snapToGrid/>
      <w:spacing w:before="0" w:beforeLines="0" w:line="360" w:lineRule="auto"/>
      <w:ind w:firstLine="200" w:firstLineChars="200"/>
      <w:outlineLvl w:val="9"/>
    </w:pPr>
    <w:rPr>
      <w:rFonts w:ascii="宋体" w:hAnsi="宋体"/>
      <w:b w:val="0"/>
      <w:color w:val="auto"/>
      <w:spacing w:val="16"/>
      <w:kern w:val="2"/>
      <w:szCs w:val="20"/>
    </w:rPr>
  </w:style>
  <w:style w:type="paragraph" w:customStyle="1" w:styleId="1623">
    <w:name w:val="一级标题LY"/>
    <w:basedOn w:val="3"/>
    <w:qFormat/>
    <w:uiPriority w:val="0"/>
    <w:pPr>
      <w:tabs>
        <w:tab w:val="left" w:pos="425"/>
        <w:tab w:val="clear" w:pos="360"/>
      </w:tabs>
      <w:spacing w:beforeLines="100" w:after="60" w:line="360" w:lineRule="auto"/>
      <w:ind w:left="425" w:hanging="425"/>
      <w:jc w:val="left"/>
    </w:pPr>
    <w:rPr>
      <w:rFonts w:ascii="宋体" w:hAnsi="宋体"/>
      <w:color w:val="auto"/>
      <w:kern w:val="44"/>
      <w:sz w:val="32"/>
      <w:szCs w:val="32"/>
    </w:rPr>
  </w:style>
  <w:style w:type="paragraph" w:customStyle="1" w:styleId="1624">
    <w:name w:val="ksheet"/>
    <w:basedOn w:val="1"/>
    <w:qFormat/>
    <w:uiPriority w:val="0"/>
    <w:pPr>
      <w:autoSpaceDE w:val="0"/>
      <w:autoSpaceDN w:val="0"/>
      <w:adjustRightInd w:val="0"/>
      <w:spacing w:before="0" w:beforeLines="0" w:line="300" w:lineRule="exact"/>
      <w:jc w:val="center"/>
      <w:textAlignment w:val="baseline"/>
    </w:pPr>
    <w:rPr>
      <w:rFonts w:ascii="宋体"/>
      <w:snapToGrid w:val="0"/>
      <w:color w:val="000000"/>
      <w:kern w:val="0"/>
      <w:sz w:val="24"/>
      <w:szCs w:val="20"/>
    </w:rPr>
  </w:style>
  <w:style w:type="paragraph" w:customStyle="1" w:styleId="1625">
    <w:name w:val="样式 表－居中列 + 黑色"/>
    <w:basedOn w:val="1"/>
    <w:qFormat/>
    <w:uiPriority w:val="0"/>
    <w:pPr>
      <w:suppressLineNumbers/>
      <w:suppressAutoHyphens/>
      <w:adjustRightInd w:val="0"/>
      <w:snapToGrid w:val="0"/>
      <w:spacing w:before="0" w:beforeLines="50" w:afterLines="50" w:line="240" w:lineRule="auto"/>
      <w:jc w:val="center"/>
    </w:pPr>
    <w:rPr>
      <w:rFonts w:cs="Arial"/>
      <w:color w:val="000000"/>
      <w:kern w:val="0"/>
      <w:sz w:val="24"/>
      <w:szCs w:val="21"/>
      <w:lang w:eastAsia="ja-JP"/>
    </w:rPr>
  </w:style>
  <w:style w:type="paragraph" w:customStyle="1" w:styleId="1626">
    <w:name w:val="表－居中列5"/>
    <w:basedOn w:val="1"/>
    <w:qFormat/>
    <w:uiPriority w:val="0"/>
    <w:pPr>
      <w:suppressLineNumbers/>
      <w:suppressAutoHyphens/>
      <w:snapToGrid w:val="0"/>
      <w:spacing w:before="60" w:beforeLines="0" w:after="60" w:line="240" w:lineRule="auto"/>
      <w:jc w:val="center"/>
    </w:pPr>
    <w:rPr>
      <w:rFonts w:cs="Arial"/>
      <w:sz w:val="24"/>
      <w:szCs w:val="21"/>
      <w:lang w:eastAsia="ja-JP"/>
    </w:rPr>
  </w:style>
  <w:style w:type="paragraph" w:customStyle="1" w:styleId="1627">
    <w:name w:val="Char1 Char Char Char Char Char Char"/>
    <w:basedOn w:val="1"/>
    <w:qFormat/>
    <w:uiPriority w:val="0"/>
    <w:pPr>
      <w:spacing w:before="0" w:beforeLines="0" w:line="240" w:lineRule="auto"/>
    </w:pPr>
    <w:rPr>
      <w:rFonts w:ascii="Tahoma" w:hAnsi="Tahoma"/>
      <w:sz w:val="24"/>
      <w:szCs w:val="20"/>
    </w:rPr>
  </w:style>
  <w:style w:type="paragraph" w:customStyle="1" w:styleId="1628">
    <w:name w:val="CM17"/>
    <w:basedOn w:val="1"/>
    <w:next w:val="1"/>
    <w:qFormat/>
    <w:uiPriority w:val="0"/>
    <w:pPr>
      <w:autoSpaceDE w:val="0"/>
      <w:autoSpaceDN w:val="0"/>
      <w:adjustRightInd w:val="0"/>
      <w:spacing w:before="0" w:beforeLines="0" w:line="626" w:lineRule="atLeast"/>
      <w:jc w:val="left"/>
      <w:textAlignment w:val="baseline"/>
    </w:pPr>
    <w:rPr>
      <w:rFonts w:ascii="Arial" w:hAnsi="Arial"/>
      <w:kern w:val="0"/>
      <w:sz w:val="24"/>
      <w:szCs w:val="20"/>
    </w:rPr>
  </w:style>
  <w:style w:type="paragraph" w:customStyle="1" w:styleId="1629">
    <w:name w:val="CM16"/>
    <w:basedOn w:val="1"/>
    <w:next w:val="1"/>
    <w:qFormat/>
    <w:uiPriority w:val="0"/>
    <w:pPr>
      <w:autoSpaceDE w:val="0"/>
      <w:autoSpaceDN w:val="0"/>
      <w:adjustRightInd w:val="0"/>
      <w:spacing w:before="0" w:beforeLines="0" w:line="546" w:lineRule="atLeast"/>
      <w:jc w:val="left"/>
    </w:pPr>
    <w:rPr>
      <w:rFonts w:ascii="Arial" w:hAnsi="Arial"/>
      <w:kern w:val="0"/>
      <w:sz w:val="24"/>
    </w:rPr>
  </w:style>
  <w:style w:type="paragraph" w:customStyle="1" w:styleId="1630">
    <w:name w:val="CM119"/>
    <w:basedOn w:val="1"/>
    <w:next w:val="1"/>
    <w:qFormat/>
    <w:uiPriority w:val="0"/>
    <w:pPr>
      <w:autoSpaceDE w:val="0"/>
      <w:autoSpaceDN w:val="0"/>
      <w:adjustRightInd w:val="0"/>
      <w:spacing w:before="0" w:beforeLines="0" w:after="130" w:line="240" w:lineRule="auto"/>
      <w:jc w:val="left"/>
    </w:pPr>
    <w:rPr>
      <w:rFonts w:ascii="宋体"/>
      <w:kern w:val="0"/>
      <w:sz w:val="24"/>
    </w:rPr>
  </w:style>
  <w:style w:type="paragraph" w:customStyle="1" w:styleId="1631">
    <w:name w:val="正文段落"/>
    <w:basedOn w:val="1"/>
    <w:link w:val="2504"/>
    <w:qFormat/>
    <w:uiPriority w:val="0"/>
    <w:pPr>
      <w:adjustRightInd w:val="0"/>
      <w:spacing w:before="0" w:beforeLines="0" w:line="360" w:lineRule="auto"/>
      <w:ind w:firstLine="520"/>
      <w:textAlignment w:val="baseline"/>
    </w:pPr>
    <w:rPr>
      <w:rFonts w:ascii="宋体" w:hAnsi="宋体" w:cs="宋体"/>
      <w:spacing w:val="20"/>
      <w:kern w:val="0"/>
      <w:sz w:val="28"/>
      <w:szCs w:val="20"/>
    </w:rPr>
  </w:style>
  <w:style w:type="paragraph" w:customStyle="1" w:styleId="1632">
    <w:name w:val="正文样式－文字"/>
    <w:basedOn w:val="1"/>
    <w:link w:val="1633"/>
    <w:qFormat/>
    <w:uiPriority w:val="0"/>
    <w:pPr>
      <w:tabs>
        <w:tab w:val="left" w:pos="-709"/>
        <w:tab w:val="left" w:pos="284"/>
      </w:tabs>
      <w:adjustRightInd w:val="0"/>
      <w:snapToGrid w:val="0"/>
      <w:spacing w:before="0" w:beforeLines="50" w:afterLines="50" w:line="360" w:lineRule="auto"/>
      <w:ind w:firstLine="200" w:firstLineChars="200"/>
      <w:jc w:val="left"/>
      <w:textAlignment w:val="baseline"/>
    </w:pPr>
    <w:rPr>
      <w:color w:val="000000"/>
      <w:kern w:val="0"/>
      <w:sz w:val="28"/>
    </w:rPr>
  </w:style>
  <w:style w:type="character" w:customStyle="1" w:styleId="1633">
    <w:name w:val="正文样式－文字 Char"/>
    <w:link w:val="1632"/>
    <w:qFormat/>
    <w:uiPriority w:val="0"/>
    <w:rPr>
      <w:color w:val="000000"/>
      <w:sz w:val="28"/>
      <w:szCs w:val="24"/>
    </w:rPr>
  </w:style>
  <w:style w:type="paragraph" w:customStyle="1" w:styleId="1634">
    <w:name w:val="正文样式－表格－左"/>
    <w:basedOn w:val="1"/>
    <w:qFormat/>
    <w:uiPriority w:val="0"/>
    <w:pPr>
      <w:tabs>
        <w:tab w:val="left" w:pos="-709"/>
        <w:tab w:val="left" w:pos="284"/>
      </w:tabs>
      <w:adjustRightInd w:val="0"/>
      <w:snapToGrid w:val="0"/>
      <w:spacing w:before="0" w:beforeLines="0" w:line="360" w:lineRule="auto"/>
      <w:jc w:val="left"/>
      <w:textAlignment w:val="baseline"/>
    </w:pPr>
    <w:rPr>
      <w:color w:val="000000"/>
      <w:kern w:val="0"/>
      <w:sz w:val="24"/>
    </w:rPr>
  </w:style>
  <w:style w:type="paragraph" w:customStyle="1" w:styleId="1635">
    <w:name w:val="样式 标题 1标题 1 Char一级标题，黑粗，三号，序号章chapOG Heading 1. (1.0)Part..."/>
    <w:basedOn w:val="3"/>
    <w:link w:val="1636"/>
    <w:qFormat/>
    <w:uiPriority w:val="0"/>
    <w:pPr>
      <w:tabs>
        <w:tab w:val="clear" w:pos="360"/>
      </w:tabs>
      <w:adjustRightInd w:val="0"/>
      <w:snapToGrid w:val="0"/>
      <w:spacing w:before="240" w:after="60" w:line="360" w:lineRule="auto"/>
      <w:jc w:val="left"/>
    </w:pPr>
    <w:rPr>
      <w:color w:val="auto"/>
      <w:kern w:val="44"/>
      <w:sz w:val="28"/>
    </w:rPr>
  </w:style>
  <w:style w:type="character" w:customStyle="1" w:styleId="1636">
    <w:name w:val="样式 标题 1标题 1 Char一级标题，黑粗，三号，序号章chapOG Heading 1. (1.0)Part... Char"/>
    <w:link w:val="1635"/>
    <w:qFormat/>
    <w:uiPriority w:val="0"/>
    <w:rPr>
      <w:b/>
      <w:bCs/>
      <w:kern w:val="44"/>
      <w:sz w:val="28"/>
    </w:rPr>
  </w:style>
  <w:style w:type="paragraph" w:customStyle="1" w:styleId="1637">
    <w:name w:val="首页页眉"/>
    <w:basedOn w:val="36"/>
    <w:qFormat/>
    <w:uiPriority w:val="0"/>
    <w:pPr>
      <w:pBdr>
        <w:bottom w:val="none" w:color="auto" w:sz="0" w:space="0"/>
      </w:pBdr>
      <w:tabs>
        <w:tab w:val="clear" w:pos="4153"/>
        <w:tab w:val="clear" w:pos="8306"/>
      </w:tabs>
      <w:adjustRightInd w:val="0"/>
      <w:spacing w:before="0" w:beforeLines="0" w:line="360" w:lineRule="auto"/>
      <w:ind w:firstLine="440" w:firstLineChars="200"/>
    </w:pPr>
    <w:rPr>
      <w:spacing w:val="20"/>
    </w:rPr>
  </w:style>
  <w:style w:type="paragraph" w:customStyle="1" w:styleId="1638">
    <w:name w:val="样式 表格内容 + (符号) 宋体 黑色 两端对齐"/>
    <w:basedOn w:val="458"/>
    <w:qFormat/>
    <w:uiPriority w:val="0"/>
    <w:pPr>
      <w:overflowPunct/>
      <w:snapToGrid w:val="0"/>
      <w:spacing w:before="0" w:after="0" w:line="240" w:lineRule="auto"/>
      <w:textAlignment w:val="auto"/>
    </w:pPr>
    <w:rPr>
      <w:rFonts w:ascii="宋体" w:hAnsi="宋体" w:eastAsia="宋体" w:cs="宋体"/>
      <w:color w:val="000000"/>
    </w:rPr>
  </w:style>
  <w:style w:type="paragraph" w:customStyle="1" w:styleId="1639">
    <w:name w:val="样式 表格内容 + (符号) 宋体 黑色1"/>
    <w:basedOn w:val="458"/>
    <w:link w:val="1640"/>
    <w:qFormat/>
    <w:uiPriority w:val="0"/>
    <w:pPr>
      <w:overflowPunct/>
      <w:snapToGrid w:val="0"/>
      <w:spacing w:before="0" w:after="0" w:line="240" w:lineRule="auto"/>
      <w:textAlignment w:val="auto"/>
    </w:pPr>
    <w:rPr>
      <w:rFonts w:ascii="宋体" w:hAnsi="Times New Roman" w:eastAsia="宋体"/>
      <w:color w:val="000000"/>
      <w:kern w:val="2"/>
    </w:rPr>
  </w:style>
  <w:style w:type="character" w:customStyle="1" w:styleId="1640">
    <w:name w:val="样式 表格内容 + (符号) 宋体 黑色1 Char"/>
    <w:link w:val="1639"/>
    <w:qFormat/>
    <w:uiPriority w:val="0"/>
    <w:rPr>
      <w:rFonts w:ascii="宋体"/>
      <w:color w:val="000000"/>
      <w:kern w:val="2"/>
      <w:sz w:val="24"/>
    </w:rPr>
  </w:style>
  <w:style w:type="paragraph" w:customStyle="1" w:styleId="1641">
    <w:name w:val="样式c"/>
    <w:qFormat/>
    <w:uiPriority w:val="0"/>
    <w:pPr>
      <w:tabs>
        <w:tab w:val="left" w:pos="1260"/>
      </w:tabs>
      <w:ind w:left="1260" w:hanging="420"/>
      <w:outlineLvl w:val="2"/>
    </w:pPr>
    <w:rPr>
      <w:rFonts w:ascii="宋体" w:hAnsi="宋体" w:eastAsia="宋体" w:cs="Times New Roman"/>
      <w:b/>
      <w:color w:val="000000"/>
      <w:spacing w:val="20"/>
      <w:sz w:val="24"/>
      <w:szCs w:val="24"/>
      <w:lang w:val="en-US" w:eastAsia="zh-CN" w:bidi="ar-SA"/>
    </w:rPr>
  </w:style>
  <w:style w:type="paragraph" w:customStyle="1" w:styleId="1642">
    <w:name w:val="?(??)3"/>
    <w:basedOn w:val="4"/>
    <w:next w:val="1"/>
    <w:qFormat/>
    <w:uiPriority w:val="0"/>
    <w:pPr>
      <w:autoSpaceDE w:val="0"/>
      <w:autoSpaceDN w:val="0"/>
      <w:adjustRightInd w:val="0"/>
      <w:spacing w:before="0" w:after="0" w:line="536870452" w:lineRule="auto"/>
      <w:jc w:val="left"/>
      <w:outlineLvl w:val="9"/>
    </w:pPr>
    <w:rPr>
      <w:rFonts w:ascii="宋体" w:hAnsi="宋体" w:eastAsia="宋体"/>
      <w:color w:val="auto"/>
      <w:spacing w:val="3"/>
      <w:kern w:val="24"/>
      <w:sz w:val="24"/>
    </w:rPr>
  </w:style>
  <w:style w:type="paragraph" w:customStyle="1" w:styleId="1643">
    <w:name w:val="16.3"/>
    <w:basedOn w:val="4"/>
    <w:link w:val="1644"/>
    <w:qFormat/>
    <w:uiPriority w:val="0"/>
    <w:pPr>
      <w:tabs>
        <w:tab w:val="left" w:pos="567"/>
      </w:tabs>
      <w:spacing w:before="0" w:after="0" w:line="360" w:lineRule="auto"/>
      <w:ind w:left="567" w:hanging="567"/>
      <w:jc w:val="left"/>
    </w:pPr>
    <w:rPr>
      <w:rFonts w:ascii="宋体" w:hAnsi="宋体" w:eastAsia="宋体"/>
      <w:bCs/>
      <w:color w:val="auto"/>
      <w:kern w:val="2"/>
      <w:sz w:val="28"/>
      <w:szCs w:val="30"/>
    </w:rPr>
  </w:style>
  <w:style w:type="character" w:customStyle="1" w:styleId="1644">
    <w:name w:val="16.3 Char Char"/>
    <w:link w:val="1643"/>
    <w:qFormat/>
    <w:uiPriority w:val="0"/>
    <w:rPr>
      <w:rFonts w:ascii="宋体" w:hAnsi="宋体"/>
      <w:b/>
      <w:bCs/>
      <w:kern w:val="2"/>
      <w:sz w:val="28"/>
      <w:szCs w:val="30"/>
    </w:rPr>
  </w:style>
  <w:style w:type="paragraph" w:customStyle="1" w:styleId="1645">
    <w:name w:val="文本标准格式"/>
    <w:basedOn w:val="1"/>
    <w:next w:val="1"/>
    <w:qFormat/>
    <w:uiPriority w:val="0"/>
    <w:pPr>
      <w:spacing w:before="0" w:beforeLines="0" w:line="360" w:lineRule="auto"/>
      <w:ind w:firstLine="528" w:firstLineChars="200"/>
    </w:pPr>
    <w:rPr>
      <w:rFonts w:ascii="宋体" w:hAnsi="宋体"/>
      <w:spacing w:val="-8"/>
      <w:sz w:val="28"/>
      <w:szCs w:val="28"/>
    </w:rPr>
  </w:style>
  <w:style w:type="paragraph" w:customStyle="1" w:styleId="1646">
    <w:name w:val="样式 样式 标题 3 + 段前: 1 行 +"/>
    <w:basedOn w:val="1581"/>
    <w:link w:val="1647"/>
    <w:qFormat/>
    <w:uiPriority w:val="0"/>
    <w:pPr>
      <w:tabs>
        <w:tab w:val="clear" w:pos="1134"/>
        <w:tab w:val="clear" w:pos="1830"/>
      </w:tabs>
      <w:spacing w:beforeLines="0" w:line="360" w:lineRule="auto"/>
      <w:ind w:left="0" w:firstLine="0"/>
    </w:pPr>
    <w:rPr>
      <w:rFonts w:cs="宋体"/>
      <w:kern w:val="0"/>
      <w:sz w:val="28"/>
    </w:rPr>
  </w:style>
  <w:style w:type="character" w:customStyle="1" w:styleId="1647">
    <w:name w:val="样式 样式 标题 3 + 段前: 1 行 + Char"/>
    <w:link w:val="1646"/>
    <w:qFormat/>
    <w:uiPriority w:val="0"/>
    <w:rPr>
      <w:rFonts w:ascii="Arial" w:hAnsi="Arial" w:cs="宋体"/>
      <w:caps/>
      <w:sz w:val="28"/>
    </w:rPr>
  </w:style>
  <w:style w:type="paragraph" w:customStyle="1" w:styleId="1648">
    <w:name w:val="样式 标题 21.1标题 21.1标题2标题 2 Char节二级标题，黑粗，小三，序号HD2Heading 2 ...1"/>
    <w:basedOn w:val="4"/>
    <w:next w:val="4"/>
    <w:qFormat/>
    <w:uiPriority w:val="0"/>
    <w:pPr>
      <w:tabs>
        <w:tab w:val="left" w:pos="180"/>
        <w:tab w:val="left" w:pos="567"/>
        <w:tab w:val="left" w:pos="1260"/>
        <w:tab w:val="left" w:pos="1980"/>
      </w:tabs>
      <w:spacing w:before="120" w:after="120" w:line="360" w:lineRule="auto"/>
      <w:ind w:left="567" w:hanging="567"/>
      <w:jc w:val="left"/>
    </w:pPr>
    <w:rPr>
      <w:rFonts w:ascii="宋体" w:hAnsi="宋体" w:eastAsia="宋体" w:cs="宋体"/>
      <w:bCs/>
      <w:color w:val="auto"/>
      <w:kern w:val="2"/>
      <w:sz w:val="28"/>
    </w:rPr>
  </w:style>
  <w:style w:type="character" w:customStyle="1" w:styleId="1649">
    <w:name w:val="正文样式 Char"/>
    <w:link w:val="1177"/>
    <w:qFormat/>
    <w:uiPriority w:val="0"/>
    <w:rPr>
      <w:rFonts w:ascii="宋体" w:hAnsi="宋体"/>
      <w:color w:val="000000"/>
      <w:kern w:val="2"/>
      <w:sz w:val="24"/>
      <w:szCs w:val="24"/>
    </w:rPr>
  </w:style>
  <w:style w:type="paragraph" w:customStyle="1" w:styleId="1650">
    <w:name w:val="表－居中列"/>
    <w:basedOn w:val="1"/>
    <w:link w:val="1651"/>
    <w:qFormat/>
    <w:uiPriority w:val="0"/>
    <w:pPr>
      <w:suppressLineNumbers/>
      <w:suppressAutoHyphens/>
      <w:snapToGrid w:val="0"/>
      <w:spacing w:before="60" w:beforeLines="0" w:after="60" w:line="240" w:lineRule="auto"/>
      <w:jc w:val="center"/>
    </w:pPr>
    <w:rPr>
      <w:rFonts w:cs="Arial"/>
      <w:color w:val="000000"/>
      <w:kern w:val="0"/>
      <w:sz w:val="24"/>
      <w:szCs w:val="21"/>
    </w:rPr>
  </w:style>
  <w:style w:type="character" w:customStyle="1" w:styleId="1651">
    <w:name w:val="表－居中列 Char"/>
    <w:link w:val="1650"/>
    <w:qFormat/>
    <w:uiPriority w:val="0"/>
    <w:rPr>
      <w:rFonts w:cs="Arial"/>
      <w:color w:val="000000"/>
      <w:sz w:val="24"/>
      <w:szCs w:val="21"/>
    </w:rPr>
  </w:style>
  <w:style w:type="paragraph" w:customStyle="1" w:styleId="1652">
    <w:name w:val="回信地址"/>
    <w:basedOn w:val="1"/>
    <w:qFormat/>
    <w:uiPriority w:val="0"/>
    <w:pPr>
      <w:keepLines/>
      <w:widowControl/>
      <w:spacing w:before="0" w:beforeLines="0" w:line="200" w:lineRule="atLeast"/>
      <w:ind w:right="-120"/>
      <w:jc w:val="left"/>
    </w:pPr>
    <w:rPr>
      <w:kern w:val="0"/>
      <w:sz w:val="18"/>
      <w:szCs w:val="20"/>
    </w:rPr>
  </w:style>
  <w:style w:type="paragraph" w:customStyle="1" w:styleId="1653">
    <w:name w:val="正文标准样式"/>
    <w:basedOn w:val="1"/>
    <w:link w:val="1654"/>
    <w:qFormat/>
    <w:uiPriority w:val="0"/>
    <w:pPr>
      <w:spacing w:before="0" w:beforeLines="0" w:line="360" w:lineRule="auto"/>
      <w:ind w:firstLine="567"/>
    </w:pPr>
    <w:rPr>
      <w:rFonts w:ascii="宋体" w:hAnsi="宋体"/>
      <w:color w:val="000000"/>
      <w:sz w:val="28"/>
    </w:rPr>
  </w:style>
  <w:style w:type="character" w:customStyle="1" w:styleId="1654">
    <w:name w:val="正文标准样式 Char"/>
    <w:link w:val="1653"/>
    <w:qFormat/>
    <w:uiPriority w:val="0"/>
    <w:rPr>
      <w:rFonts w:ascii="宋体" w:hAnsi="宋体"/>
      <w:color w:val="000000"/>
      <w:kern w:val="2"/>
      <w:sz w:val="28"/>
      <w:szCs w:val="24"/>
    </w:rPr>
  </w:style>
  <w:style w:type="paragraph" w:customStyle="1" w:styleId="1655">
    <w:name w:val="正文模板"/>
    <w:basedOn w:val="1653"/>
    <w:qFormat/>
    <w:uiPriority w:val="0"/>
    <w:pPr>
      <w:ind w:firstLine="100" w:firstLineChars="100"/>
    </w:pPr>
    <w:rPr>
      <w:color w:val="auto"/>
    </w:rPr>
  </w:style>
  <w:style w:type="paragraph" w:customStyle="1" w:styleId="1656">
    <w:name w:val="正文标准格式"/>
    <w:basedOn w:val="1"/>
    <w:next w:val="1"/>
    <w:link w:val="1657"/>
    <w:qFormat/>
    <w:uiPriority w:val="0"/>
    <w:pPr>
      <w:widowControl/>
      <w:snapToGrid w:val="0"/>
      <w:spacing w:before="0" w:beforeLines="0" w:line="360" w:lineRule="auto"/>
      <w:ind w:firstLine="560" w:firstLineChars="200"/>
    </w:pPr>
    <w:rPr>
      <w:rFonts w:ascii="宋体" w:hAnsi="宋体"/>
      <w:kern w:val="0"/>
      <w:sz w:val="28"/>
      <w:szCs w:val="30"/>
      <w:lang w:eastAsia="en-US"/>
    </w:rPr>
  </w:style>
  <w:style w:type="character" w:customStyle="1" w:styleId="1657">
    <w:name w:val="正文标准格式 Char"/>
    <w:link w:val="1656"/>
    <w:qFormat/>
    <w:uiPriority w:val="0"/>
    <w:rPr>
      <w:rFonts w:ascii="宋体" w:hAnsi="宋体"/>
      <w:sz w:val="28"/>
      <w:szCs w:val="30"/>
      <w:lang w:eastAsia="en-US"/>
    </w:rPr>
  </w:style>
  <w:style w:type="character" w:customStyle="1" w:styleId="1658">
    <w:name w:val="宏文本 字符1"/>
    <w:link w:val="2"/>
    <w:qFormat/>
    <w:uiPriority w:val="99"/>
    <w:rPr>
      <w:rFonts w:ascii="Courier New" w:hAnsi="Courier New"/>
      <w:kern w:val="2"/>
      <w:sz w:val="24"/>
      <w:szCs w:val="24"/>
    </w:rPr>
  </w:style>
  <w:style w:type="paragraph" w:customStyle="1" w:styleId="1659">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left"/>
    </w:pPr>
    <w:rPr>
      <w:rFonts w:ascii="宋体" w:hAnsi="宋体" w:cs="宋体"/>
      <w:kern w:val="0"/>
      <w:sz w:val="24"/>
    </w:rPr>
  </w:style>
  <w:style w:type="paragraph" w:customStyle="1" w:styleId="1660">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1661">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1662">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1663">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1664">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left"/>
    </w:pPr>
    <w:rPr>
      <w:rFonts w:ascii="宋体" w:hAnsi="宋体" w:cs="宋体"/>
      <w:kern w:val="0"/>
      <w:sz w:val="24"/>
    </w:rPr>
  </w:style>
  <w:style w:type="paragraph" w:customStyle="1" w:styleId="1665">
    <w:name w:val="xl72"/>
    <w:basedOn w:val="1"/>
    <w:qFormat/>
    <w:uiPriority w:val="0"/>
    <w:pPr>
      <w:widowControl/>
      <w:pBdr>
        <w:top w:val="single" w:color="auto" w:sz="4" w:space="0"/>
        <w:left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1666">
    <w:name w:val="xl73"/>
    <w:basedOn w:val="1"/>
    <w:qFormat/>
    <w:uiPriority w:val="0"/>
    <w:pPr>
      <w:widowControl/>
      <w:pBdr>
        <w:left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1667">
    <w:name w:val="xl74"/>
    <w:basedOn w:val="1"/>
    <w:qFormat/>
    <w:uiPriority w:val="0"/>
    <w:pPr>
      <w:widowControl/>
      <w:pBdr>
        <w:left w:val="single" w:color="auto" w:sz="4" w:space="0"/>
        <w:bottom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1668">
    <w:name w:val="xl75"/>
    <w:basedOn w:val="1"/>
    <w:qFormat/>
    <w:uiPriority w:val="0"/>
    <w:pPr>
      <w:widowControl/>
      <w:pBdr>
        <w:top w:val="single" w:color="auto" w:sz="4" w:space="0"/>
        <w:left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1669">
    <w:name w:val="云南正文"/>
    <w:qFormat/>
    <w:uiPriority w:val="0"/>
    <w:pPr>
      <w:spacing w:line="360" w:lineRule="auto"/>
      <w:ind w:firstLine="200" w:firstLineChars="200"/>
    </w:pPr>
    <w:rPr>
      <w:rFonts w:ascii="Arial" w:hAnsi="Arial" w:eastAsia="宋体" w:cs="Times New Roman"/>
      <w:bCs/>
      <w:sz w:val="28"/>
      <w:szCs w:val="30"/>
      <w:lang w:val="en-US" w:eastAsia="zh-CN" w:bidi="ar-SA"/>
    </w:rPr>
  </w:style>
  <w:style w:type="paragraph" w:customStyle="1" w:styleId="1670">
    <w:name w:val="样式 云南第九章二级标题 + 红色"/>
    <w:basedOn w:val="4"/>
    <w:qFormat/>
    <w:uiPriority w:val="0"/>
    <w:pPr>
      <w:keepNext w:val="0"/>
      <w:keepLines w:val="0"/>
      <w:tabs>
        <w:tab w:val="left" w:pos="567"/>
      </w:tabs>
      <w:spacing w:before="0" w:after="0" w:line="360" w:lineRule="auto"/>
      <w:ind w:left="567" w:hanging="567"/>
    </w:pPr>
    <w:rPr>
      <w:rFonts w:eastAsia="宋体"/>
      <w:bCs/>
      <w:color w:val="FF0000"/>
      <w:kern w:val="0"/>
      <w:sz w:val="28"/>
      <w:szCs w:val="30"/>
    </w:rPr>
  </w:style>
  <w:style w:type="paragraph" w:customStyle="1" w:styleId="1671">
    <w:name w:val="节标"/>
    <w:basedOn w:val="1"/>
    <w:qFormat/>
    <w:uiPriority w:val="0"/>
    <w:pPr>
      <w:widowControl/>
      <w:autoSpaceDE w:val="0"/>
      <w:autoSpaceDN w:val="0"/>
      <w:adjustRightInd w:val="0"/>
      <w:spacing w:before="0" w:beforeLines="0" w:line="480" w:lineRule="exact"/>
      <w:ind w:firstLine="567"/>
      <w:jc w:val="center"/>
      <w:textAlignment w:val="bottom"/>
    </w:pPr>
    <w:rPr>
      <w:b/>
      <w:kern w:val="0"/>
      <w:sz w:val="30"/>
      <w:szCs w:val="20"/>
    </w:rPr>
  </w:style>
  <w:style w:type="paragraph" w:customStyle="1" w:styleId="1672">
    <w:name w:val="In Table (II)"/>
    <w:basedOn w:val="1"/>
    <w:qFormat/>
    <w:uiPriority w:val="0"/>
    <w:pPr>
      <w:tabs>
        <w:tab w:val="left" w:pos="2200"/>
        <w:tab w:val="left" w:pos="3960"/>
        <w:tab w:val="left" w:pos="5280"/>
      </w:tabs>
      <w:spacing w:before="0" w:beforeLines="50" w:line="180" w:lineRule="exact"/>
      <w:ind w:right="-476"/>
    </w:pPr>
    <w:rPr>
      <w:rFonts w:ascii="Arial" w:hAnsi="Arial" w:cs="Arial"/>
      <w:color w:val="3366FF"/>
      <w:kern w:val="0"/>
      <w:sz w:val="22"/>
      <w:szCs w:val="21"/>
    </w:rPr>
  </w:style>
  <w:style w:type="paragraph" w:customStyle="1" w:styleId="1673">
    <w:name w:val="样式 宋体 小四"/>
    <w:basedOn w:val="1"/>
    <w:qFormat/>
    <w:uiPriority w:val="0"/>
    <w:pPr>
      <w:spacing w:before="0" w:beforeLines="0" w:line="288" w:lineRule="auto"/>
      <w:ind w:firstLine="250" w:firstLineChars="250"/>
    </w:pPr>
    <w:rPr>
      <w:rFonts w:ascii="宋体" w:cs="宋体"/>
      <w:sz w:val="24"/>
      <w:szCs w:val="20"/>
    </w:rPr>
  </w:style>
  <w:style w:type="paragraph" w:customStyle="1" w:styleId="1674">
    <w:name w:val="Char Char3 Char Char Char Char1"/>
    <w:basedOn w:val="1"/>
    <w:qFormat/>
    <w:uiPriority w:val="0"/>
    <w:pPr>
      <w:widowControl/>
      <w:spacing w:before="0" w:beforeLines="0" w:after="160" w:line="240" w:lineRule="exact"/>
      <w:jc w:val="left"/>
    </w:pPr>
    <w:rPr>
      <w:rFonts w:ascii="Verdana" w:hAnsi="Verdana"/>
      <w:kern w:val="0"/>
      <w:sz w:val="20"/>
      <w:szCs w:val="20"/>
      <w:lang w:eastAsia="en-US"/>
    </w:rPr>
  </w:style>
  <w:style w:type="paragraph" w:customStyle="1" w:styleId="1675">
    <w:name w:val="Char Char Char1 Char Char Char Char Char Char Char Char Char1 Char"/>
    <w:basedOn w:val="1"/>
    <w:qFormat/>
    <w:uiPriority w:val="0"/>
    <w:pPr>
      <w:spacing w:before="0" w:beforeLines="0" w:line="240" w:lineRule="auto"/>
    </w:pPr>
    <w:rPr>
      <w:sz w:val="24"/>
    </w:rPr>
  </w:style>
  <w:style w:type="paragraph" w:customStyle="1" w:styleId="1676">
    <w:name w:val="纯文本4"/>
    <w:basedOn w:val="1"/>
    <w:qFormat/>
    <w:uiPriority w:val="0"/>
    <w:pPr>
      <w:adjustRightInd w:val="0"/>
      <w:spacing w:before="0" w:beforeLines="0" w:line="240" w:lineRule="auto"/>
      <w:jc w:val="left"/>
      <w:textAlignment w:val="baseline"/>
    </w:pPr>
    <w:rPr>
      <w:rFonts w:ascii="宋体" w:hAnsi="Courier New"/>
      <w:sz w:val="24"/>
      <w:szCs w:val="20"/>
    </w:rPr>
  </w:style>
  <w:style w:type="paragraph" w:customStyle="1" w:styleId="1677">
    <w:name w:val="纯文本5"/>
    <w:basedOn w:val="1"/>
    <w:qFormat/>
    <w:uiPriority w:val="0"/>
    <w:pPr>
      <w:adjustRightInd w:val="0"/>
      <w:spacing w:before="0" w:beforeLines="0" w:line="240" w:lineRule="auto"/>
      <w:jc w:val="left"/>
      <w:textAlignment w:val="baseline"/>
    </w:pPr>
    <w:rPr>
      <w:rFonts w:ascii="宋体" w:hAnsi="Courier New"/>
      <w:sz w:val="24"/>
      <w:szCs w:val="20"/>
    </w:rPr>
  </w:style>
  <w:style w:type="paragraph" w:customStyle="1" w:styleId="1678">
    <w:name w:val="Char5"/>
    <w:basedOn w:val="1"/>
    <w:qFormat/>
    <w:uiPriority w:val="0"/>
    <w:pPr>
      <w:spacing w:before="0" w:beforeLines="0" w:line="240" w:lineRule="auto"/>
    </w:pPr>
    <w:rPr>
      <w:spacing w:val="-2"/>
      <w:kern w:val="0"/>
      <w:sz w:val="24"/>
    </w:rPr>
  </w:style>
  <w:style w:type="paragraph" w:customStyle="1" w:styleId="1679">
    <w:name w:val="Char Char Char1 Char2"/>
    <w:basedOn w:val="1"/>
    <w:qFormat/>
    <w:uiPriority w:val="0"/>
    <w:pPr>
      <w:spacing w:before="0" w:beforeLines="0" w:line="360" w:lineRule="auto"/>
      <w:ind w:firstLine="200" w:firstLineChars="200"/>
    </w:pPr>
    <w:rPr>
      <w:rFonts w:ascii="宋体" w:hAnsi="宋体" w:cs="宋体"/>
      <w:sz w:val="24"/>
    </w:rPr>
  </w:style>
  <w:style w:type="paragraph" w:customStyle="1" w:styleId="1680">
    <w:name w:val="Char Char Char1 Char Char Char Char Char Char Char Char Char1 Char1"/>
    <w:basedOn w:val="1"/>
    <w:qFormat/>
    <w:uiPriority w:val="0"/>
    <w:pPr>
      <w:spacing w:before="0" w:beforeLines="0" w:line="240" w:lineRule="auto"/>
    </w:pPr>
    <w:rPr>
      <w:sz w:val="24"/>
    </w:rPr>
  </w:style>
  <w:style w:type="character" w:customStyle="1" w:styleId="1681">
    <w:name w:val="new-title1"/>
    <w:qFormat/>
    <w:uiPriority w:val="0"/>
    <w:rPr>
      <w:rFonts w:cs="Times New Roman"/>
      <w:b/>
      <w:bCs/>
      <w:color w:val="FF0000"/>
      <w:sz w:val="32"/>
      <w:szCs w:val="32"/>
    </w:rPr>
  </w:style>
  <w:style w:type="character" w:customStyle="1" w:styleId="1682">
    <w:name w:val="td21"/>
    <w:qFormat/>
    <w:uiPriority w:val="0"/>
    <w:rPr>
      <w:rFonts w:cs="Times New Roman"/>
      <w:sz w:val="28"/>
      <w:szCs w:val="28"/>
      <w:u w:val="none"/>
    </w:rPr>
  </w:style>
  <w:style w:type="character" w:customStyle="1" w:styleId="1683">
    <w:name w:val="style21"/>
    <w:qFormat/>
    <w:uiPriority w:val="0"/>
    <w:rPr>
      <w:rFonts w:cs="Times New Roman"/>
    </w:rPr>
  </w:style>
  <w:style w:type="paragraph" w:customStyle="1" w:styleId="1684">
    <w:name w:val="调研内容"/>
    <w:basedOn w:val="1"/>
    <w:qFormat/>
    <w:uiPriority w:val="0"/>
    <w:pPr>
      <w:spacing w:before="0" w:beforeLines="0" w:line="360" w:lineRule="auto"/>
    </w:pPr>
    <w:rPr>
      <w:sz w:val="24"/>
      <w:szCs w:val="20"/>
    </w:rPr>
  </w:style>
  <w:style w:type="paragraph" w:customStyle="1" w:styleId="1685">
    <w:name w:val="样式 标题 21.1标题 21.1标题2标题 2 Char1节标2 + 段前: 0.5 行 段后: 0.5 行"/>
    <w:basedOn w:val="4"/>
    <w:qFormat/>
    <w:uiPriority w:val="0"/>
    <w:pPr>
      <w:keepNext w:val="0"/>
      <w:keepLines w:val="0"/>
      <w:tabs>
        <w:tab w:val="left" w:pos="628"/>
        <w:tab w:val="left" w:pos="720"/>
        <w:tab w:val="left" w:pos="1727"/>
        <w:tab w:val="left" w:pos="1884"/>
        <w:tab w:val="left" w:pos="4900"/>
      </w:tabs>
      <w:snapToGrid w:val="0"/>
      <w:spacing w:before="10" w:after="10" w:line="240" w:lineRule="auto"/>
      <w:ind w:left="720" w:hanging="720"/>
      <w:jc w:val="left"/>
    </w:pPr>
    <w:rPr>
      <w:rFonts w:ascii="黑体" w:cs="宋体"/>
      <w:b w:val="0"/>
      <w:bCs/>
      <w:color w:val="auto"/>
      <w:kern w:val="0"/>
      <w:sz w:val="24"/>
      <w:szCs w:val="24"/>
    </w:rPr>
  </w:style>
  <w:style w:type="paragraph" w:customStyle="1" w:styleId="1686">
    <w:name w:val="纯文本6"/>
    <w:basedOn w:val="1"/>
    <w:qFormat/>
    <w:uiPriority w:val="0"/>
    <w:pPr>
      <w:adjustRightInd w:val="0"/>
      <w:spacing w:before="0" w:beforeLines="0" w:line="360" w:lineRule="auto"/>
      <w:jc w:val="left"/>
      <w:textAlignment w:val="baseline"/>
    </w:pPr>
    <w:rPr>
      <w:rFonts w:ascii="宋体" w:hAnsi="Courier New"/>
      <w:sz w:val="24"/>
      <w:szCs w:val="20"/>
    </w:rPr>
  </w:style>
  <w:style w:type="paragraph" w:customStyle="1" w:styleId="1687">
    <w:name w:val="Char Char Char1 Char3"/>
    <w:basedOn w:val="1"/>
    <w:qFormat/>
    <w:uiPriority w:val="0"/>
    <w:pPr>
      <w:spacing w:before="0" w:beforeLines="0" w:line="360" w:lineRule="auto"/>
      <w:ind w:firstLine="200" w:firstLineChars="200"/>
    </w:pPr>
    <w:rPr>
      <w:rFonts w:ascii="宋体" w:hAnsi="宋体" w:cs="宋体"/>
      <w:sz w:val="24"/>
    </w:rPr>
  </w:style>
  <w:style w:type="paragraph" w:customStyle="1" w:styleId="1688">
    <w:name w:val="Char Char Char1 Char Char Char Char Char Char Char Char Char1 Char2"/>
    <w:basedOn w:val="1"/>
    <w:qFormat/>
    <w:uiPriority w:val="0"/>
    <w:pPr>
      <w:spacing w:before="0" w:beforeLines="0" w:line="240" w:lineRule="auto"/>
    </w:pPr>
  </w:style>
  <w:style w:type="character" w:customStyle="1" w:styleId="1689">
    <w:name w:val="Note Heading Char"/>
    <w:qFormat/>
    <w:locked/>
    <w:uiPriority w:val="0"/>
    <w:rPr>
      <w:rFonts w:cs="Times New Roman"/>
      <w:sz w:val="21"/>
    </w:rPr>
  </w:style>
  <w:style w:type="character" w:customStyle="1" w:styleId="1690">
    <w:name w:val="Body Text First Indent 2 Char"/>
    <w:qFormat/>
    <w:locked/>
    <w:uiPriority w:val="0"/>
    <w:rPr>
      <w:rFonts w:ascii="宋体" w:eastAsia="宋体" w:cs="Times New Roman"/>
      <w:b/>
      <w:bCs/>
      <w:kern w:val="2"/>
      <w:sz w:val="24"/>
      <w:szCs w:val="24"/>
    </w:rPr>
  </w:style>
  <w:style w:type="character" w:customStyle="1" w:styleId="1691">
    <w:name w:val="Message Header Char"/>
    <w:qFormat/>
    <w:locked/>
    <w:uiPriority w:val="0"/>
    <w:rPr>
      <w:rFonts w:ascii="Arial" w:hAnsi="Arial" w:cs="Arial"/>
      <w:sz w:val="24"/>
      <w:szCs w:val="24"/>
      <w:shd w:val="pct20" w:color="auto" w:fill="auto"/>
    </w:rPr>
  </w:style>
  <w:style w:type="character" w:customStyle="1" w:styleId="1692">
    <w:name w:val="Comment Subject Char"/>
    <w:qFormat/>
    <w:locked/>
    <w:uiPriority w:val="0"/>
    <w:rPr>
      <w:rFonts w:cs="Times New Roman"/>
      <w:b/>
      <w:bCs/>
      <w:kern w:val="2"/>
      <w:sz w:val="24"/>
      <w:szCs w:val="24"/>
    </w:rPr>
  </w:style>
  <w:style w:type="character" w:customStyle="1" w:styleId="1693">
    <w:name w:val="Closing Char"/>
    <w:qFormat/>
    <w:locked/>
    <w:uiPriority w:val="0"/>
    <w:rPr>
      <w:rFonts w:cs="Times New Roman"/>
      <w:sz w:val="21"/>
    </w:rPr>
  </w:style>
  <w:style w:type="character" w:customStyle="1" w:styleId="1694">
    <w:name w:val="HTML Address Char"/>
    <w:qFormat/>
    <w:locked/>
    <w:uiPriority w:val="0"/>
    <w:rPr>
      <w:rFonts w:cs="Times New Roman"/>
      <w:i/>
      <w:iCs/>
      <w:sz w:val="21"/>
    </w:rPr>
  </w:style>
  <w:style w:type="character" w:customStyle="1" w:styleId="1695">
    <w:name w:val="Subtitle Char"/>
    <w:qFormat/>
    <w:locked/>
    <w:uiPriority w:val="0"/>
    <w:rPr>
      <w:rFonts w:ascii="Arial" w:hAnsi="Arial" w:cs="Arial"/>
      <w:b/>
      <w:bCs/>
      <w:kern w:val="28"/>
      <w:sz w:val="32"/>
      <w:szCs w:val="32"/>
    </w:rPr>
  </w:style>
  <w:style w:type="character" w:customStyle="1" w:styleId="1696">
    <w:name w:val="E-mail Signature Char"/>
    <w:qFormat/>
    <w:locked/>
    <w:uiPriority w:val="0"/>
    <w:rPr>
      <w:rFonts w:cs="Times New Roman"/>
      <w:sz w:val="21"/>
    </w:rPr>
  </w:style>
  <w:style w:type="character" w:customStyle="1" w:styleId="1697">
    <w:name w:val="HTML Preformatted Char"/>
    <w:qFormat/>
    <w:locked/>
    <w:uiPriority w:val="0"/>
    <w:rPr>
      <w:rFonts w:ascii="Courier New" w:hAnsi="Courier New" w:cs="Courier New"/>
    </w:rPr>
  </w:style>
  <w:style w:type="character" w:customStyle="1" w:styleId="1698">
    <w:name w:val="Body Text 3 Char"/>
    <w:qFormat/>
    <w:locked/>
    <w:uiPriority w:val="0"/>
    <w:rPr>
      <w:rFonts w:cs="Times New Roman"/>
      <w:sz w:val="16"/>
      <w:szCs w:val="16"/>
    </w:rPr>
  </w:style>
  <w:style w:type="character" w:customStyle="1" w:styleId="1699">
    <w:name w:val="Signature Char"/>
    <w:qFormat/>
    <w:locked/>
    <w:uiPriority w:val="0"/>
    <w:rPr>
      <w:rFonts w:cs="Times New Roman"/>
      <w:sz w:val="21"/>
    </w:rPr>
  </w:style>
  <w:style w:type="character" w:customStyle="1" w:styleId="1700">
    <w:name w:val="Subtitle Char1"/>
    <w:qFormat/>
    <w:uiPriority w:val="11"/>
    <w:rPr>
      <w:rFonts w:ascii="Cambria" w:hAnsi="Cambria" w:cs="Times New Roman"/>
      <w:b/>
      <w:bCs/>
      <w:kern w:val="28"/>
      <w:sz w:val="32"/>
      <w:szCs w:val="32"/>
    </w:rPr>
  </w:style>
  <w:style w:type="paragraph" w:customStyle="1" w:styleId="1701">
    <w:name w:val="TOC 标题11"/>
    <w:basedOn w:val="3"/>
    <w:next w:val="1"/>
    <w:qFormat/>
    <w:uiPriority w:val="39"/>
    <w:pPr>
      <w:widowControl/>
      <w:tabs>
        <w:tab w:val="clear" w:pos="360"/>
      </w:tabs>
      <w:adjustRightInd w:val="0"/>
      <w:spacing w:before="240" w:after="60" w:line="276" w:lineRule="auto"/>
      <w:jc w:val="left"/>
      <w:outlineLvl w:val="9"/>
    </w:pPr>
    <w:rPr>
      <w:rFonts w:ascii="Cambria" w:hAnsi="Cambria"/>
      <w:color w:val="365F91"/>
      <w:kern w:val="0"/>
      <w:sz w:val="28"/>
      <w:szCs w:val="28"/>
    </w:rPr>
  </w:style>
  <w:style w:type="paragraph" w:customStyle="1" w:styleId="1702">
    <w:name w:val="列出段落2"/>
    <w:basedOn w:val="1"/>
    <w:qFormat/>
    <w:uiPriority w:val="0"/>
    <w:pPr>
      <w:spacing w:before="0" w:beforeLines="0" w:line="240" w:lineRule="auto"/>
      <w:ind w:firstLine="420" w:firstLineChars="200"/>
    </w:pPr>
    <w:rPr>
      <w:rFonts w:ascii="Calibri" w:hAnsi="Calibri"/>
      <w:szCs w:val="22"/>
    </w:rPr>
  </w:style>
  <w:style w:type="character" w:customStyle="1" w:styleId="1703">
    <w:name w:val="样式6 Char"/>
    <w:link w:val="219"/>
    <w:qFormat/>
    <w:uiPriority w:val="0"/>
    <w:rPr>
      <w:rFonts w:ascii="宋体"/>
      <w:color w:val="000000"/>
      <w:kern w:val="2"/>
      <w:sz w:val="24"/>
      <w:szCs w:val="24"/>
    </w:rPr>
  </w:style>
  <w:style w:type="paragraph" w:customStyle="1" w:styleId="1704">
    <w:name w:val="纯文本7"/>
    <w:basedOn w:val="1"/>
    <w:qFormat/>
    <w:uiPriority w:val="0"/>
    <w:pPr>
      <w:adjustRightInd w:val="0"/>
      <w:spacing w:before="0" w:beforeLines="0" w:line="360" w:lineRule="auto"/>
      <w:jc w:val="left"/>
      <w:textAlignment w:val="baseline"/>
    </w:pPr>
    <w:rPr>
      <w:rFonts w:ascii="宋体" w:hAnsi="Courier New"/>
      <w:sz w:val="24"/>
      <w:szCs w:val="20"/>
    </w:rPr>
  </w:style>
  <w:style w:type="paragraph" w:customStyle="1" w:styleId="1705">
    <w:name w:val="表内文字边 Char Char"/>
    <w:basedOn w:val="1"/>
    <w:link w:val="1706"/>
    <w:qFormat/>
    <w:uiPriority w:val="0"/>
    <w:pPr>
      <w:widowControl/>
      <w:adjustRightInd w:val="0"/>
      <w:snapToGrid w:val="0"/>
      <w:spacing w:before="0" w:beforeLines="0" w:line="240" w:lineRule="atLeast"/>
      <w:ind w:left="-21" w:leftChars="-10" w:right="-42" w:rightChars="-20"/>
    </w:pPr>
    <w:rPr>
      <w:rFonts w:ascii="宋体"/>
      <w:color w:val="000000"/>
      <w:szCs w:val="21"/>
    </w:rPr>
  </w:style>
  <w:style w:type="character" w:customStyle="1" w:styleId="1706">
    <w:name w:val="表内文字边 Char Char Char"/>
    <w:link w:val="1705"/>
    <w:qFormat/>
    <w:uiPriority w:val="0"/>
    <w:rPr>
      <w:rFonts w:ascii="宋体"/>
      <w:color w:val="000000"/>
      <w:kern w:val="2"/>
      <w:sz w:val="21"/>
      <w:szCs w:val="21"/>
    </w:rPr>
  </w:style>
  <w:style w:type="paragraph" w:customStyle="1" w:styleId="1707">
    <w:name w:val="表内文字边"/>
    <w:basedOn w:val="1"/>
    <w:qFormat/>
    <w:uiPriority w:val="0"/>
    <w:pPr>
      <w:widowControl/>
      <w:adjustRightInd w:val="0"/>
      <w:snapToGrid w:val="0"/>
      <w:spacing w:before="0" w:beforeLines="0" w:line="240" w:lineRule="auto"/>
    </w:pPr>
    <w:rPr>
      <w:rFonts w:ascii="宋体"/>
      <w:kern w:val="0"/>
      <w:szCs w:val="21"/>
    </w:rPr>
  </w:style>
  <w:style w:type="paragraph" w:customStyle="1" w:styleId="1708">
    <w:name w:val="图题 Char"/>
    <w:basedOn w:val="1"/>
    <w:link w:val="1709"/>
    <w:qFormat/>
    <w:uiPriority w:val="0"/>
    <w:pPr>
      <w:adjustRightInd w:val="0"/>
      <w:snapToGrid w:val="0"/>
      <w:spacing w:before="0" w:beforeLines="0" w:line="240" w:lineRule="auto"/>
      <w:jc w:val="center"/>
    </w:pPr>
    <w:rPr>
      <w:rFonts w:hAnsi="宋体"/>
      <w:snapToGrid w:val="0"/>
      <w:kern w:val="0"/>
      <w:sz w:val="24"/>
    </w:rPr>
  </w:style>
  <w:style w:type="character" w:customStyle="1" w:styleId="1709">
    <w:name w:val="图题 Char Char"/>
    <w:link w:val="1708"/>
    <w:qFormat/>
    <w:uiPriority w:val="0"/>
    <w:rPr>
      <w:rFonts w:hAnsi="宋体"/>
      <w:snapToGrid w:val="0"/>
      <w:sz w:val="24"/>
      <w:szCs w:val="24"/>
    </w:rPr>
  </w:style>
  <w:style w:type="paragraph" w:customStyle="1" w:styleId="1710">
    <w:name w:val="In Table"/>
    <w:basedOn w:val="1"/>
    <w:qFormat/>
    <w:uiPriority w:val="0"/>
    <w:pPr>
      <w:tabs>
        <w:tab w:val="left" w:pos="2200"/>
        <w:tab w:val="left" w:pos="3960"/>
        <w:tab w:val="left" w:pos="5280"/>
      </w:tabs>
      <w:spacing w:before="96" w:beforeLines="0" w:after="96" w:line="0" w:lineRule="atLeast"/>
      <w:jc w:val="center"/>
    </w:pPr>
    <w:rPr>
      <w:rFonts w:ascii="Tahoma" w:hAnsi="Tahoma" w:eastAsia="华文中宋"/>
      <w:szCs w:val="20"/>
    </w:rPr>
  </w:style>
  <w:style w:type="paragraph" w:customStyle="1" w:styleId="1711">
    <w:name w:val="福建正文缩进"/>
    <w:basedOn w:val="35"/>
    <w:qFormat/>
    <w:uiPriority w:val="0"/>
    <w:pPr>
      <w:tabs>
        <w:tab w:val="left" w:pos="4305"/>
      </w:tabs>
      <w:adjustRightInd w:val="0"/>
      <w:snapToGrid w:val="0"/>
      <w:spacing w:line="360" w:lineRule="auto"/>
      <w:ind w:firstLine="567" w:firstLineChars="0"/>
    </w:pPr>
    <w:rPr>
      <w:rFonts w:ascii="宋体" w:hAnsi="宋体"/>
      <w:color w:val="000000"/>
    </w:rPr>
  </w:style>
  <w:style w:type="character" w:customStyle="1" w:styleId="1712">
    <w:name w:val="表题 Char Char Char Char"/>
    <w:qFormat/>
    <w:uiPriority w:val="0"/>
    <w:rPr>
      <w:rFonts w:ascii="黑体" w:eastAsia="黑体"/>
      <w:bCs/>
      <w:kern w:val="2"/>
      <w:sz w:val="24"/>
      <w:szCs w:val="24"/>
    </w:rPr>
  </w:style>
  <w:style w:type="paragraph" w:customStyle="1" w:styleId="1713">
    <w:name w:val="表内小5 Char"/>
    <w:basedOn w:val="1"/>
    <w:link w:val="1714"/>
    <w:qFormat/>
    <w:uiPriority w:val="0"/>
    <w:pPr>
      <w:adjustRightInd w:val="0"/>
      <w:snapToGrid w:val="0"/>
      <w:spacing w:before="0" w:beforeLines="0" w:line="320" w:lineRule="exact"/>
      <w:ind w:left="-42" w:leftChars="-20" w:right="-42" w:rightChars="-20"/>
      <w:jc w:val="center"/>
    </w:pPr>
    <w:rPr>
      <w:rFonts w:ascii="宋体" w:hAnsi="宋体"/>
      <w:sz w:val="18"/>
    </w:rPr>
  </w:style>
  <w:style w:type="character" w:customStyle="1" w:styleId="1714">
    <w:name w:val="表内小5 Char Char"/>
    <w:link w:val="1713"/>
    <w:qFormat/>
    <w:uiPriority w:val="0"/>
    <w:rPr>
      <w:rFonts w:ascii="宋体" w:hAnsi="宋体"/>
      <w:kern w:val="2"/>
      <w:sz w:val="18"/>
      <w:szCs w:val="24"/>
    </w:rPr>
  </w:style>
  <w:style w:type="paragraph" w:customStyle="1" w:styleId="1715">
    <w:name w:val="码头表"/>
    <w:basedOn w:val="1"/>
    <w:qFormat/>
    <w:uiPriority w:val="0"/>
    <w:pPr>
      <w:adjustRightInd w:val="0"/>
      <w:snapToGrid w:val="0"/>
      <w:spacing w:before="0" w:beforeLines="0" w:line="240" w:lineRule="auto"/>
      <w:ind w:left="-60" w:leftChars="-25" w:right="-60" w:rightChars="-25"/>
      <w:jc w:val="center"/>
    </w:pPr>
    <w:rPr>
      <w:rFonts w:ascii="宋体" w:hAnsi="宋体"/>
      <w:sz w:val="18"/>
    </w:rPr>
  </w:style>
  <w:style w:type="paragraph" w:customStyle="1" w:styleId="1716">
    <w:name w:val="佛表"/>
    <w:basedOn w:val="68"/>
    <w:qFormat/>
    <w:uiPriority w:val="0"/>
    <w:pPr>
      <w:spacing w:line="0" w:lineRule="atLeast"/>
      <w:ind w:left="0" w:firstLine="0" w:firstLineChars="0"/>
      <w:jc w:val="center"/>
    </w:pPr>
  </w:style>
  <w:style w:type="paragraph" w:customStyle="1" w:styleId="1717">
    <w:name w:val="燕山正文 Char Char Char"/>
    <w:basedOn w:val="1"/>
    <w:link w:val="1718"/>
    <w:qFormat/>
    <w:uiPriority w:val="0"/>
    <w:pPr>
      <w:adjustRightInd w:val="0"/>
      <w:snapToGrid w:val="0"/>
      <w:spacing w:before="0" w:beforeLines="0" w:line="360" w:lineRule="auto"/>
      <w:ind w:firstLine="567"/>
      <w:textAlignment w:val="baseline"/>
    </w:pPr>
    <w:rPr>
      <w:rFonts w:ascii="宋体" w:hAnsi="宋体"/>
      <w:color w:val="000000"/>
      <w:kern w:val="0"/>
      <w:sz w:val="28"/>
      <w:szCs w:val="28"/>
    </w:rPr>
  </w:style>
  <w:style w:type="character" w:customStyle="1" w:styleId="1718">
    <w:name w:val="燕山正文 Char Char Char Char"/>
    <w:link w:val="1717"/>
    <w:qFormat/>
    <w:uiPriority w:val="0"/>
    <w:rPr>
      <w:rFonts w:ascii="宋体" w:hAnsi="宋体"/>
      <w:color w:val="000000"/>
      <w:sz w:val="28"/>
      <w:szCs w:val="28"/>
    </w:rPr>
  </w:style>
  <w:style w:type="paragraph" w:customStyle="1" w:styleId="1719">
    <w:name w:val="样式 标题 5 + 小四 非加粗 段前: 0 磅 段后: 0 磅 行距: 固定值 22 磅"/>
    <w:basedOn w:val="8"/>
    <w:qFormat/>
    <w:uiPriority w:val="0"/>
    <w:pPr>
      <w:tabs>
        <w:tab w:val="clear" w:pos="1008"/>
      </w:tabs>
      <w:spacing w:before="0" w:after="0" w:line="440" w:lineRule="exact"/>
      <w:ind w:left="0" w:firstLine="200" w:firstLineChars="200"/>
      <w:outlineLvl w:val="9"/>
    </w:pPr>
    <w:rPr>
      <w:rFonts w:ascii="Times New Roman" w:hAnsi="Times New Roman" w:cs="宋体"/>
      <w:b w:val="0"/>
      <w:bCs w:val="0"/>
      <w:sz w:val="24"/>
      <w:szCs w:val="20"/>
    </w:rPr>
  </w:style>
  <w:style w:type="paragraph" w:customStyle="1" w:styleId="1720">
    <w:name w:val="样式 表4.1 + 黑色"/>
    <w:basedOn w:val="1"/>
    <w:qFormat/>
    <w:uiPriority w:val="0"/>
    <w:pPr>
      <w:numPr>
        <w:ilvl w:val="0"/>
        <w:numId w:val="16"/>
      </w:numPr>
      <w:tabs>
        <w:tab w:val="center" w:pos="4060"/>
        <w:tab w:val="right" w:pos="8261"/>
      </w:tabs>
      <w:suppressAutoHyphens/>
      <w:adjustRightInd w:val="0"/>
      <w:spacing w:before="240" w:beforeLines="0" w:line="0" w:lineRule="atLeast"/>
    </w:pPr>
    <w:rPr>
      <w:rFonts w:ascii="黑体" w:eastAsia="黑体"/>
      <w:b/>
      <w:bCs/>
      <w:color w:val="000000"/>
      <w:kern w:val="0"/>
      <w:sz w:val="24"/>
      <w:szCs w:val="26"/>
    </w:rPr>
  </w:style>
  <w:style w:type="paragraph" w:customStyle="1" w:styleId="1721">
    <w:name w:val="ENEI正文"/>
    <w:basedOn w:val="1"/>
    <w:link w:val="1722"/>
    <w:qFormat/>
    <w:uiPriority w:val="0"/>
    <w:pPr>
      <w:spacing w:before="0" w:beforeLines="0" w:line="240" w:lineRule="auto"/>
      <w:ind w:firstLine="566" w:firstLineChars="202"/>
    </w:pPr>
    <w:rPr>
      <w:rFonts w:ascii="仿宋_GB2312" w:eastAsia="仿宋_GB2312"/>
      <w:sz w:val="28"/>
      <w:szCs w:val="28"/>
    </w:rPr>
  </w:style>
  <w:style w:type="character" w:customStyle="1" w:styleId="1722">
    <w:name w:val="ENEI正文 Char"/>
    <w:link w:val="1721"/>
    <w:qFormat/>
    <w:uiPriority w:val="0"/>
    <w:rPr>
      <w:rFonts w:ascii="仿宋_GB2312" w:eastAsia="仿宋_GB2312"/>
      <w:kern w:val="2"/>
      <w:sz w:val="28"/>
      <w:szCs w:val="28"/>
    </w:rPr>
  </w:style>
  <w:style w:type="paragraph" w:customStyle="1" w:styleId="1723">
    <w:name w:val="dxj正文"/>
    <w:basedOn w:val="1"/>
    <w:link w:val="1724"/>
    <w:qFormat/>
    <w:uiPriority w:val="0"/>
    <w:pPr>
      <w:spacing w:before="0" w:beforeLines="0" w:line="360" w:lineRule="auto"/>
      <w:ind w:firstLine="200" w:firstLineChars="200"/>
    </w:pPr>
    <w:rPr>
      <w:sz w:val="24"/>
    </w:rPr>
  </w:style>
  <w:style w:type="character" w:customStyle="1" w:styleId="1724">
    <w:name w:val="dxj正文 Char"/>
    <w:link w:val="1723"/>
    <w:qFormat/>
    <w:uiPriority w:val="0"/>
    <w:rPr>
      <w:kern w:val="2"/>
      <w:sz w:val="24"/>
      <w:szCs w:val="24"/>
    </w:rPr>
  </w:style>
  <w:style w:type="paragraph" w:customStyle="1" w:styleId="1725">
    <w:name w:val="正文－1.2倍行距－段后6磅"/>
    <w:basedOn w:val="1"/>
    <w:link w:val="1726"/>
    <w:qFormat/>
    <w:uiPriority w:val="0"/>
    <w:pPr>
      <w:spacing w:before="0" w:beforeLines="0" w:after="120" w:line="400" w:lineRule="exact"/>
      <w:ind w:firstLine="200" w:firstLineChars="200"/>
    </w:pPr>
    <w:rPr>
      <w:rFonts w:ascii="Calibri" w:hAnsi="Calibri"/>
      <w:sz w:val="24"/>
      <w:szCs w:val="21"/>
    </w:rPr>
  </w:style>
  <w:style w:type="character" w:customStyle="1" w:styleId="1726">
    <w:name w:val="正文－1.2倍行距－段后6磅 Char"/>
    <w:link w:val="1725"/>
    <w:qFormat/>
    <w:uiPriority w:val="0"/>
    <w:rPr>
      <w:rFonts w:ascii="Calibri" w:hAnsi="Calibri"/>
      <w:kern w:val="2"/>
      <w:sz w:val="24"/>
      <w:szCs w:val="21"/>
    </w:rPr>
  </w:style>
  <w:style w:type="paragraph" w:customStyle="1" w:styleId="1727">
    <w:name w:val="22222"/>
    <w:basedOn w:val="4"/>
    <w:qFormat/>
    <w:uiPriority w:val="0"/>
    <w:pPr>
      <w:spacing w:after="156" w:afterLines="50" w:line="288" w:lineRule="auto"/>
      <w:jc w:val="left"/>
    </w:pPr>
    <w:rPr>
      <w:bCs/>
      <w:kern w:val="2"/>
      <w:sz w:val="28"/>
      <w:szCs w:val="32"/>
    </w:rPr>
  </w:style>
  <w:style w:type="paragraph" w:customStyle="1" w:styleId="1728">
    <w:name w:val="正文－1.5行距－段后6磅"/>
    <w:basedOn w:val="1"/>
    <w:link w:val="1729"/>
    <w:qFormat/>
    <w:uiPriority w:val="0"/>
    <w:pPr>
      <w:spacing w:before="0" w:beforeLines="0" w:after="120" w:line="360" w:lineRule="auto"/>
      <w:ind w:firstLine="200" w:firstLineChars="200"/>
    </w:pPr>
    <w:rPr>
      <w:rFonts w:ascii="Calibri" w:hAnsi="Calibri"/>
      <w:sz w:val="24"/>
      <w:szCs w:val="21"/>
    </w:rPr>
  </w:style>
  <w:style w:type="character" w:customStyle="1" w:styleId="1729">
    <w:name w:val="正文－1.5行距－段后6磅 Char"/>
    <w:link w:val="1728"/>
    <w:qFormat/>
    <w:uiPriority w:val="0"/>
    <w:rPr>
      <w:rFonts w:ascii="Calibri" w:hAnsi="Calibri"/>
      <w:kern w:val="2"/>
      <w:sz w:val="24"/>
      <w:szCs w:val="21"/>
    </w:rPr>
  </w:style>
  <w:style w:type="character" w:customStyle="1" w:styleId="1730">
    <w:name w:val="表格 Char1"/>
    <w:qFormat/>
    <w:uiPriority w:val="0"/>
    <w:rPr>
      <w:rFonts w:eastAsia="宋体"/>
      <w:kern w:val="2"/>
      <w:sz w:val="24"/>
      <w:lang w:val="en-US" w:eastAsia="zh-CN" w:bidi="ar-SA"/>
    </w:rPr>
  </w:style>
  <w:style w:type="paragraph" w:customStyle="1" w:styleId="1731">
    <w:name w:val="目录1111111"/>
    <w:basedOn w:val="3"/>
    <w:qFormat/>
    <w:uiPriority w:val="0"/>
    <w:pPr>
      <w:tabs>
        <w:tab w:val="clear" w:pos="360"/>
      </w:tabs>
      <w:spacing w:before="120" w:after="120" w:line="360" w:lineRule="auto"/>
      <w:jc w:val="center"/>
    </w:pPr>
    <w:rPr>
      <w:color w:val="auto"/>
      <w:kern w:val="44"/>
      <w:szCs w:val="44"/>
    </w:rPr>
  </w:style>
  <w:style w:type="paragraph" w:customStyle="1" w:styleId="1732">
    <w:name w:val="Char Char Char Char Char Char1"/>
    <w:basedOn w:val="1"/>
    <w:next w:val="1"/>
    <w:semiHidden/>
    <w:qFormat/>
    <w:uiPriority w:val="0"/>
    <w:pPr>
      <w:spacing w:before="0" w:beforeLines="0" w:line="336" w:lineRule="auto"/>
      <w:ind w:firstLine="200" w:firstLineChars="200"/>
    </w:pPr>
    <w:rPr>
      <w:rFonts w:ascii="宋体" w:hAnsi="宋体" w:eastAsia="汉鼎简书宋" w:cs="宋体"/>
      <w:spacing w:val="4"/>
      <w:sz w:val="24"/>
    </w:rPr>
  </w:style>
  <w:style w:type="paragraph" w:customStyle="1" w:styleId="1733">
    <w:name w:val="目录222222"/>
    <w:basedOn w:val="4"/>
    <w:qFormat/>
    <w:uiPriority w:val="0"/>
    <w:pPr>
      <w:spacing w:after="50" w:afterLines="50" w:line="288" w:lineRule="auto"/>
    </w:pPr>
    <w:rPr>
      <w:bCs/>
      <w:color w:val="auto"/>
      <w:kern w:val="2"/>
      <w:sz w:val="28"/>
      <w:szCs w:val="32"/>
    </w:rPr>
  </w:style>
  <w:style w:type="paragraph" w:customStyle="1" w:styleId="1734">
    <w:name w:val="样式4 宋体 Char"/>
    <w:basedOn w:val="1"/>
    <w:qFormat/>
    <w:uiPriority w:val="0"/>
    <w:pPr>
      <w:spacing w:before="0" w:beforeLines="0" w:line="240" w:lineRule="auto"/>
    </w:pPr>
  </w:style>
  <w:style w:type="paragraph" w:customStyle="1" w:styleId="1735">
    <w:name w:val="小段黑字"/>
    <w:basedOn w:val="1"/>
    <w:link w:val="1736"/>
    <w:qFormat/>
    <w:uiPriority w:val="0"/>
    <w:pPr>
      <w:spacing w:before="0" w:beforeLines="30" w:afterLines="30" w:line="360" w:lineRule="auto"/>
    </w:pPr>
    <w:rPr>
      <w:rFonts w:ascii="宋体" w:hAnsi="Courier New" w:cs="Courier New"/>
      <w:b/>
      <w:sz w:val="24"/>
      <w:szCs w:val="21"/>
    </w:rPr>
  </w:style>
  <w:style w:type="character" w:customStyle="1" w:styleId="1736">
    <w:name w:val="小段黑字 Char"/>
    <w:link w:val="1735"/>
    <w:qFormat/>
    <w:uiPriority w:val="0"/>
    <w:rPr>
      <w:rFonts w:ascii="宋体" w:hAnsi="Courier New" w:cs="Courier New"/>
      <w:b/>
      <w:kern w:val="2"/>
      <w:sz w:val="24"/>
      <w:szCs w:val="21"/>
    </w:rPr>
  </w:style>
  <w:style w:type="paragraph" w:customStyle="1" w:styleId="1737">
    <w:name w:val="正文文本－5号字"/>
    <w:basedOn w:val="33"/>
    <w:link w:val="1738"/>
    <w:qFormat/>
    <w:uiPriority w:val="0"/>
    <w:pPr>
      <w:autoSpaceDE/>
      <w:autoSpaceDN/>
      <w:spacing w:before="78" w:line="480" w:lineRule="exact"/>
      <w:ind w:firstLine="480" w:firstLineChars="200"/>
      <w:jc w:val="both"/>
    </w:pPr>
    <w:rPr>
      <w:rFonts w:ascii="Times New Roman" w:hAnsi="Times New Roman" w:cs="Times New Roman"/>
      <w:kern w:val="2"/>
      <w:lang w:val="en-US" w:bidi="ar-SA"/>
    </w:rPr>
  </w:style>
  <w:style w:type="character" w:customStyle="1" w:styleId="1738">
    <w:name w:val="正文文本－5号字 Char"/>
    <w:link w:val="1737"/>
    <w:qFormat/>
    <w:uiPriority w:val="0"/>
    <w:rPr>
      <w:kern w:val="2"/>
      <w:sz w:val="24"/>
      <w:szCs w:val="24"/>
    </w:rPr>
  </w:style>
  <w:style w:type="paragraph" w:customStyle="1" w:styleId="1739">
    <w:name w:val="表格内容2"/>
    <w:basedOn w:val="1"/>
    <w:qFormat/>
    <w:uiPriority w:val="0"/>
    <w:pPr>
      <w:spacing w:before="0" w:beforeLines="0" w:line="360" w:lineRule="exact"/>
      <w:jc w:val="center"/>
    </w:pPr>
    <w:rPr>
      <w:rFonts w:ascii="Calibri" w:hAnsi="Calibri"/>
      <w:szCs w:val="21"/>
    </w:rPr>
  </w:style>
  <w:style w:type="paragraph" w:customStyle="1" w:styleId="1740">
    <w:name w:val="样式 样式 小段标题 + 首行缩进:  2 字符 段前: 0.5 行 段后: 0.5 行 + 首行缩进:  0.85 厘米 段..."/>
    <w:basedOn w:val="1"/>
    <w:link w:val="1741"/>
    <w:qFormat/>
    <w:uiPriority w:val="0"/>
    <w:pPr>
      <w:spacing w:before="0" w:beforeLines="70" w:line="240" w:lineRule="auto"/>
    </w:pPr>
    <w:rPr>
      <w:rFonts w:cs="宋体"/>
      <w:sz w:val="24"/>
      <w:szCs w:val="20"/>
    </w:rPr>
  </w:style>
  <w:style w:type="character" w:customStyle="1" w:styleId="1741">
    <w:name w:val="样式 样式 小段标题 + 首行缩进:  2 字符 段前: 0.5 行 段后: 0.5 行 + 首行缩进:  0.85 厘米 段... Char"/>
    <w:link w:val="1740"/>
    <w:qFormat/>
    <w:uiPriority w:val="0"/>
    <w:rPr>
      <w:rFonts w:cs="宋体"/>
      <w:kern w:val="2"/>
      <w:sz w:val="24"/>
    </w:rPr>
  </w:style>
  <w:style w:type="paragraph" w:customStyle="1" w:styleId="1742">
    <w:name w:val="222多段排列"/>
    <w:basedOn w:val="1"/>
    <w:qFormat/>
    <w:uiPriority w:val="0"/>
    <w:pPr>
      <w:adjustRightInd w:val="0"/>
      <w:snapToGrid w:val="0"/>
      <w:spacing w:before="20" w:beforeLines="20" w:line="400" w:lineRule="exact"/>
      <w:ind w:left="902" w:hanging="432"/>
    </w:pPr>
    <w:rPr>
      <w:sz w:val="24"/>
    </w:rPr>
  </w:style>
  <w:style w:type="character" w:customStyle="1" w:styleId="1743">
    <w:name w:val="style2"/>
    <w:qFormat/>
    <w:uiPriority w:val="0"/>
  </w:style>
  <w:style w:type="character" w:customStyle="1" w:styleId="1744">
    <w:name w:val="style5"/>
    <w:qFormat/>
    <w:uiPriority w:val="0"/>
  </w:style>
  <w:style w:type="paragraph" w:customStyle="1" w:styleId="1745">
    <w:name w:val="正文紧－多段单行"/>
    <w:basedOn w:val="1"/>
    <w:qFormat/>
    <w:uiPriority w:val="0"/>
    <w:pPr>
      <w:spacing w:before="0" w:beforeLines="0" w:after="160" w:line="420" w:lineRule="exact"/>
      <w:ind w:firstLine="200" w:firstLineChars="200"/>
      <w:jc w:val="left"/>
    </w:pPr>
    <w:rPr>
      <w:rFonts w:ascii="宋体" w:hAnsi="宋体"/>
      <w:sz w:val="24"/>
    </w:rPr>
  </w:style>
  <w:style w:type="character" w:customStyle="1" w:styleId="1746">
    <w:name w:val="正文段－5，0 Char"/>
    <w:link w:val="1747"/>
    <w:qFormat/>
    <w:uiPriority w:val="0"/>
    <w:rPr>
      <w:sz w:val="24"/>
    </w:rPr>
  </w:style>
  <w:style w:type="paragraph" w:customStyle="1" w:styleId="1747">
    <w:name w:val="正文段－5，0"/>
    <w:basedOn w:val="33"/>
    <w:next w:val="33"/>
    <w:link w:val="1746"/>
    <w:qFormat/>
    <w:uiPriority w:val="0"/>
    <w:pPr>
      <w:autoSpaceDE/>
      <w:autoSpaceDN/>
      <w:spacing w:before="25" w:beforeLines="25" w:after="120" w:line="288" w:lineRule="auto"/>
      <w:ind w:firstLine="200" w:firstLineChars="200"/>
      <w:jc w:val="both"/>
    </w:pPr>
    <w:rPr>
      <w:rFonts w:ascii="Times New Roman" w:hAnsi="Times New Roman" w:cs="Times New Roman"/>
      <w:szCs w:val="20"/>
      <w:lang w:val="en-US" w:bidi="ar-SA"/>
    </w:rPr>
  </w:style>
  <w:style w:type="paragraph" w:customStyle="1" w:styleId="1748">
    <w:name w:val="图内文字－小五"/>
    <w:basedOn w:val="1"/>
    <w:link w:val="1749"/>
    <w:qFormat/>
    <w:uiPriority w:val="0"/>
    <w:pPr>
      <w:spacing w:before="0" w:beforeLines="0" w:line="240" w:lineRule="exact"/>
      <w:jc w:val="center"/>
    </w:pPr>
    <w:rPr>
      <w:sz w:val="18"/>
      <w:szCs w:val="18"/>
    </w:rPr>
  </w:style>
  <w:style w:type="character" w:customStyle="1" w:styleId="1749">
    <w:name w:val="图内文字－小五 Char"/>
    <w:link w:val="1748"/>
    <w:qFormat/>
    <w:uiPriority w:val="0"/>
    <w:rPr>
      <w:kern w:val="2"/>
      <w:sz w:val="18"/>
      <w:szCs w:val="18"/>
    </w:rPr>
  </w:style>
  <w:style w:type="paragraph" w:customStyle="1" w:styleId="1750">
    <w:name w:val="正文楷体"/>
    <w:basedOn w:val="1"/>
    <w:qFormat/>
    <w:uiPriority w:val="0"/>
    <w:pPr>
      <w:spacing w:before="0" w:beforeLines="0" w:line="240" w:lineRule="auto"/>
    </w:pPr>
    <w:rPr>
      <w:rFonts w:eastAsia="楷体_GB2312"/>
    </w:rPr>
  </w:style>
  <w:style w:type="paragraph" w:customStyle="1" w:styleId="1751">
    <w:name w:val="样式 表格文字 + 两端对齐"/>
    <w:basedOn w:val="171"/>
    <w:qFormat/>
    <w:uiPriority w:val="0"/>
    <w:pPr>
      <w:wordWrap w:val="0"/>
      <w:spacing w:line="240" w:lineRule="auto"/>
    </w:pPr>
    <w:rPr>
      <w:rFonts w:ascii="宋体" w:hAnsi="Calibri"/>
      <w:snapToGrid w:val="0"/>
      <w:color w:val="auto"/>
      <w:kern w:val="0"/>
      <w:szCs w:val="28"/>
    </w:rPr>
  </w:style>
  <w:style w:type="paragraph" w:customStyle="1" w:styleId="1752">
    <w:name w:val="表、图名"/>
    <w:basedOn w:val="1"/>
    <w:qFormat/>
    <w:uiPriority w:val="0"/>
    <w:pPr>
      <w:adjustRightInd w:val="0"/>
      <w:snapToGrid w:val="0"/>
      <w:spacing w:before="100" w:beforeLines="0" w:beforeAutospacing="1" w:line="240" w:lineRule="auto"/>
      <w:ind w:left="-6"/>
      <w:jc w:val="center"/>
    </w:pPr>
    <w:rPr>
      <w:rFonts w:ascii="黑体" w:hAnsi="宋体" w:eastAsia="黑体"/>
      <w:color w:val="000000"/>
      <w:kern w:val="0"/>
      <w:sz w:val="24"/>
    </w:rPr>
  </w:style>
  <w:style w:type="paragraph" w:customStyle="1" w:styleId="1753">
    <w:name w:val="正文首行缩进 2 + Times New Roman"/>
    <w:basedOn w:val="1"/>
    <w:qFormat/>
    <w:uiPriority w:val="0"/>
    <w:pPr>
      <w:tabs>
        <w:tab w:val="left" w:pos="0"/>
        <w:tab w:val="left" w:pos="870"/>
        <w:tab w:val="left" w:pos="3150"/>
      </w:tabs>
      <w:autoSpaceDE w:val="0"/>
      <w:autoSpaceDN w:val="0"/>
      <w:spacing w:before="0" w:beforeLines="0" w:line="360" w:lineRule="auto"/>
      <w:ind w:firstLine="480" w:firstLineChars="200"/>
    </w:pPr>
    <w:rPr>
      <w:color w:val="000000"/>
      <w:kern w:val="0"/>
      <w:sz w:val="24"/>
    </w:rPr>
  </w:style>
  <w:style w:type="character" w:customStyle="1" w:styleId="1754">
    <w:name w:val="Char121"/>
    <w:qFormat/>
    <w:uiPriority w:val="0"/>
    <w:rPr>
      <w:rFonts w:eastAsia="宋体"/>
      <w:sz w:val="28"/>
      <w:lang w:val="en-US" w:eastAsia="zh-CN" w:bidi="ar-SA"/>
    </w:rPr>
  </w:style>
  <w:style w:type="character" w:customStyle="1" w:styleId="1755">
    <w:name w:val="td7"/>
    <w:qFormat/>
    <w:uiPriority w:val="0"/>
  </w:style>
  <w:style w:type="paragraph" w:customStyle="1" w:styleId="1756">
    <w:name w:val="1 Char Char Char Char Char Char Char Char Char Char Char Char Char Char Char Char Char Char Char"/>
    <w:basedOn w:val="1"/>
    <w:qFormat/>
    <w:uiPriority w:val="0"/>
    <w:pPr>
      <w:spacing w:before="0" w:beforeLines="0" w:line="240" w:lineRule="auto"/>
    </w:pPr>
  </w:style>
  <w:style w:type="character" w:customStyle="1" w:styleId="1757">
    <w:name w:val="表格－标题 Char"/>
    <w:link w:val="1758"/>
    <w:qFormat/>
    <w:uiPriority w:val="0"/>
  </w:style>
  <w:style w:type="paragraph" w:customStyle="1" w:styleId="1758">
    <w:name w:val="表格－标题"/>
    <w:basedOn w:val="1"/>
    <w:link w:val="1757"/>
    <w:qFormat/>
    <w:uiPriority w:val="0"/>
    <w:pPr>
      <w:spacing w:before="0" w:beforeLines="0" w:line="300" w:lineRule="exact"/>
      <w:jc w:val="center"/>
    </w:pPr>
    <w:rPr>
      <w:kern w:val="0"/>
      <w:sz w:val="20"/>
      <w:szCs w:val="20"/>
    </w:rPr>
  </w:style>
  <w:style w:type="paragraph" w:customStyle="1" w:styleId="1759">
    <w:name w:val="mtitle"/>
    <w:basedOn w:val="1"/>
    <w:qFormat/>
    <w:uiPriority w:val="0"/>
    <w:pPr>
      <w:widowControl/>
      <w:spacing w:before="30" w:beforeLines="0" w:line="240" w:lineRule="auto"/>
      <w:jc w:val="center"/>
    </w:pPr>
    <w:rPr>
      <w:rFonts w:ascii="方正小标宋简体" w:hAnsi="宋体" w:eastAsia="方正小标宋简体"/>
      <w:color w:val="000000"/>
      <w:kern w:val="0"/>
      <w:sz w:val="44"/>
      <w:szCs w:val="44"/>
    </w:rPr>
  </w:style>
  <w:style w:type="paragraph" w:customStyle="1" w:styleId="1760">
    <w:name w:val="表居中（中文）"/>
    <w:basedOn w:val="1"/>
    <w:qFormat/>
    <w:uiPriority w:val="0"/>
    <w:pPr>
      <w:adjustRightInd w:val="0"/>
      <w:spacing w:before="0" w:beforeLines="0" w:line="380" w:lineRule="atLeast"/>
      <w:jc w:val="center"/>
      <w:textAlignment w:val="baseline"/>
    </w:pPr>
    <w:rPr>
      <w:rFonts w:eastAsia="楷体_GB2312"/>
      <w:kern w:val="0"/>
      <w:szCs w:val="20"/>
    </w:rPr>
  </w:style>
  <w:style w:type="paragraph" w:customStyle="1" w:styleId="1761">
    <w:name w:val="MTDisplayEquation"/>
    <w:basedOn w:val="1"/>
    <w:next w:val="1"/>
    <w:qFormat/>
    <w:uiPriority w:val="0"/>
    <w:pPr>
      <w:tabs>
        <w:tab w:val="center" w:pos="4160"/>
        <w:tab w:val="right" w:pos="8320"/>
      </w:tabs>
      <w:adjustRightInd w:val="0"/>
      <w:snapToGrid w:val="0"/>
      <w:spacing w:before="0" w:beforeLines="0" w:line="360" w:lineRule="auto"/>
    </w:pPr>
    <w:rPr>
      <w:sz w:val="28"/>
    </w:rPr>
  </w:style>
  <w:style w:type="paragraph" w:customStyle="1" w:styleId="1762">
    <w:name w:val="标题四"/>
    <w:basedOn w:val="1"/>
    <w:qFormat/>
    <w:uiPriority w:val="0"/>
    <w:pPr>
      <w:spacing w:before="120" w:beforeLines="0" w:after="120" w:line="300" w:lineRule="auto"/>
      <w:ind w:firstLine="420"/>
      <w:outlineLvl w:val="2"/>
    </w:pPr>
    <w:rPr>
      <w:rFonts w:eastAsia="楷体_GB2312"/>
      <w:b/>
      <w:i/>
      <w:sz w:val="24"/>
    </w:rPr>
  </w:style>
  <w:style w:type="paragraph" w:customStyle="1" w:styleId="1763">
    <w:name w:val="标题正1"/>
    <w:basedOn w:val="1"/>
    <w:qFormat/>
    <w:uiPriority w:val="0"/>
    <w:pPr>
      <w:spacing w:before="120" w:beforeLines="0" w:after="120" w:line="500" w:lineRule="exact"/>
      <w:outlineLvl w:val="0"/>
    </w:pPr>
    <w:rPr>
      <w:rFonts w:ascii="宋体" w:hAnsi="宋体"/>
      <w:b/>
      <w:color w:val="000000"/>
      <w:sz w:val="30"/>
      <w:szCs w:val="30"/>
    </w:rPr>
  </w:style>
  <w:style w:type="paragraph" w:customStyle="1" w:styleId="1764">
    <w:name w:val="样式 标题 2标题 2 Char Char节标题 1.1H2（一）Underrubrik1prop2Heading..."/>
    <w:basedOn w:val="4"/>
    <w:qFormat/>
    <w:uiPriority w:val="0"/>
    <w:pPr>
      <w:spacing w:before="60" w:after="60" w:afterLines="50" w:line="500" w:lineRule="exact"/>
    </w:pPr>
    <w:rPr>
      <w:rFonts w:ascii="宋体" w:hAnsi="宋体" w:eastAsia="宋体" w:cs="宋体"/>
      <w:b w:val="0"/>
      <w:bCs/>
      <w:kern w:val="2"/>
      <w:sz w:val="24"/>
    </w:rPr>
  </w:style>
  <w:style w:type="paragraph" w:customStyle="1" w:styleId="1765">
    <w:name w:val="样式 标题 2标题 2 Char Char节标题 1.1H2（一）Underrubrik1prop2Heading...1"/>
    <w:basedOn w:val="4"/>
    <w:qFormat/>
    <w:uiPriority w:val="0"/>
    <w:pPr>
      <w:spacing w:before="60" w:after="60" w:afterLines="50" w:line="500" w:lineRule="exact"/>
    </w:pPr>
    <w:rPr>
      <w:rFonts w:ascii="宋体" w:hAnsi="宋体" w:eastAsia="宋体" w:cs="宋体"/>
      <w:bCs/>
      <w:kern w:val="2"/>
      <w:sz w:val="30"/>
    </w:rPr>
  </w:style>
  <w:style w:type="paragraph" w:customStyle="1" w:styleId="1766">
    <w:name w:val="样式 样式 标题 2标题 2 Char Char节标题 1.1H2（一）Underrubrik1prop2Heading...1..."/>
    <w:basedOn w:val="1765"/>
    <w:qFormat/>
    <w:uiPriority w:val="0"/>
    <w:rPr>
      <w:bCs w:val="0"/>
      <w:color w:val="auto"/>
      <w:sz w:val="28"/>
      <w:szCs w:val="30"/>
    </w:rPr>
  </w:style>
  <w:style w:type="paragraph" w:customStyle="1" w:styleId="1767">
    <w:name w:val="环评正文字体"/>
    <w:basedOn w:val="1"/>
    <w:qFormat/>
    <w:uiPriority w:val="0"/>
    <w:pPr>
      <w:spacing w:before="0" w:beforeLines="0" w:line="360" w:lineRule="auto"/>
      <w:ind w:firstLine="480" w:firstLineChars="200"/>
    </w:pPr>
    <w:rPr>
      <w:rFonts w:cs="宋体"/>
      <w:sz w:val="24"/>
      <w:szCs w:val="20"/>
    </w:rPr>
  </w:style>
  <w:style w:type="paragraph" w:customStyle="1" w:styleId="1768">
    <w:name w:val="环评0.01"/>
    <w:basedOn w:val="1"/>
    <w:next w:val="33"/>
    <w:qFormat/>
    <w:uiPriority w:val="0"/>
    <w:pPr>
      <w:adjustRightInd w:val="0"/>
      <w:snapToGrid w:val="0"/>
      <w:spacing w:before="0" w:beforeLines="0" w:line="360" w:lineRule="auto"/>
    </w:pPr>
    <w:rPr>
      <w:rFonts w:eastAsia="华文中宋"/>
      <w:sz w:val="28"/>
      <w:szCs w:val="28"/>
    </w:rPr>
  </w:style>
  <w:style w:type="paragraph" w:customStyle="1" w:styleId="1769">
    <w:name w:val="环评0.1"/>
    <w:basedOn w:val="47"/>
    <w:qFormat/>
    <w:uiPriority w:val="0"/>
    <w:pPr>
      <w:adjustRightInd w:val="0"/>
      <w:snapToGrid w:val="0"/>
      <w:spacing w:before="0" w:beforeLines="0" w:line="360" w:lineRule="auto"/>
    </w:pPr>
    <w:rPr>
      <w:rFonts w:ascii="Times New Roman" w:hAnsi="Times New Roman" w:eastAsia="黑体"/>
      <w:sz w:val="30"/>
    </w:rPr>
  </w:style>
  <w:style w:type="paragraph" w:customStyle="1" w:styleId="1770">
    <w:name w:val="环评1.0"/>
    <w:basedOn w:val="47"/>
    <w:qFormat/>
    <w:uiPriority w:val="0"/>
    <w:pPr>
      <w:adjustRightInd w:val="0"/>
      <w:snapToGrid w:val="0"/>
      <w:spacing w:before="0" w:beforeLines="0" w:line="360" w:lineRule="auto"/>
    </w:pPr>
    <w:rPr>
      <w:rFonts w:ascii="Times New Roman" w:hAnsi="Times New Roman"/>
      <w:sz w:val="32"/>
    </w:rPr>
  </w:style>
  <w:style w:type="paragraph" w:customStyle="1" w:styleId="1771">
    <w:name w:val="HP正文"/>
    <w:basedOn w:val="1"/>
    <w:qFormat/>
    <w:uiPriority w:val="0"/>
    <w:pPr>
      <w:spacing w:before="0" w:beforeLines="0" w:line="360" w:lineRule="auto"/>
      <w:ind w:firstLine="480" w:firstLineChars="200"/>
    </w:pPr>
    <w:rPr>
      <w:rFonts w:cs="宋体"/>
      <w:sz w:val="24"/>
      <w:szCs w:val="20"/>
    </w:rPr>
  </w:style>
  <w:style w:type="paragraph" w:customStyle="1" w:styleId="1772">
    <w:name w:val="001"/>
    <w:basedOn w:val="1"/>
    <w:qFormat/>
    <w:uiPriority w:val="0"/>
    <w:pPr>
      <w:spacing w:before="0" w:beforeLines="0" w:line="360" w:lineRule="auto"/>
    </w:pPr>
    <w:rPr>
      <w:rFonts w:eastAsia="华文中宋"/>
      <w:sz w:val="28"/>
      <w:szCs w:val="28"/>
    </w:rPr>
  </w:style>
  <w:style w:type="paragraph" w:customStyle="1" w:styleId="1773">
    <w:name w:val="01"/>
    <w:basedOn w:val="1"/>
    <w:qFormat/>
    <w:uiPriority w:val="0"/>
    <w:pPr>
      <w:adjustRightInd w:val="0"/>
      <w:snapToGrid w:val="0"/>
      <w:spacing w:before="0" w:beforeLines="0" w:line="360" w:lineRule="auto"/>
      <w:outlineLvl w:val="0"/>
    </w:pPr>
    <w:rPr>
      <w:rFonts w:eastAsia="黑体"/>
      <w:color w:val="000000"/>
      <w:sz w:val="30"/>
      <w:szCs w:val="30"/>
    </w:rPr>
  </w:style>
  <w:style w:type="paragraph" w:customStyle="1" w:styleId="1774">
    <w:name w:val="0001"/>
    <w:basedOn w:val="1"/>
    <w:qFormat/>
    <w:uiPriority w:val="0"/>
    <w:pPr>
      <w:adjustRightInd w:val="0"/>
      <w:snapToGrid w:val="0"/>
      <w:spacing w:before="0" w:beforeLines="0" w:line="360" w:lineRule="auto"/>
    </w:pPr>
    <w:rPr>
      <w:rFonts w:eastAsia="华文中宋"/>
      <w:sz w:val="24"/>
    </w:rPr>
  </w:style>
  <w:style w:type="paragraph" w:customStyle="1" w:styleId="1775">
    <w:name w:val="标题a"/>
    <w:basedOn w:val="1"/>
    <w:qFormat/>
    <w:uiPriority w:val="0"/>
    <w:pPr>
      <w:spacing w:before="0" w:beforeLines="0" w:line="240" w:lineRule="auto"/>
      <w:jc w:val="center"/>
    </w:pPr>
    <w:rPr>
      <w:rFonts w:ascii="楷体_GB2312" w:eastAsia="楷体_GB2312" w:cs="宋体"/>
      <w:b/>
      <w:bCs/>
      <w:sz w:val="36"/>
      <w:szCs w:val="20"/>
    </w:rPr>
  </w:style>
  <w:style w:type="character" w:customStyle="1" w:styleId="1776">
    <w:name w:val="text"/>
    <w:qFormat/>
    <w:uiPriority w:val="0"/>
  </w:style>
  <w:style w:type="character" w:customStyle="1" w:styleId="1777">
    <w:name w:val="at_1"/>
    <w:qFormat/>
    <w:uiPriority w:val="0"/>
  </w:style>
  <w:style w:type="character" w:customStyle="1" w:styleId="1778">
    <w:name w:val="line1"/>
    <w:qFormat/>
    <w:uiPriority w:val="0"/>
  </w:style>
  <w:style w:type="character" w:customStyle="1" w:styleId="1779">
    <w:name w:val="postbody1"/>
    <w:qFormat/>
    <w:uiPriority w:val="0"/>
    <w:rPr>
      <w:sz w:val="21"/>
      <w:szCs w:val="21"/>
    </w:rPr>
  </w:style>
  <w:style w:type="character" w:customStyle="1" w:styleId="1780">
    <w:name w:val="td71"/>
    <w:qFormat/>
    <w:uiPriority w:val="0"/>
    <w:rPr>
      <w:color w:val="3B3B3B"/>
      <w:sz w:val="21"/>
      <w:szCs w:val="21"/>
    </w:rPr>
  </w:style>
  <w:style w:type="character" w:customStyle="1" w:styleId="1781">
    <w:name w:val="px141"/>
    <w:qFormat/>
    <w:uiPriority w:val="0"/>
    <w:rPr>
      <w:rFonts w:hint="default" w:ascii="ˎ̥" w:hAnsi="ˎ̥"/>
      <w:sz w:val="21"/>
      <w:szCs w:val="21"/>
    </w:rPr>
  </w:style>
  <w:style w:type="character" w:customStyle="1" w:styleId="1782">
    <w:name w:val="b-121"/>
    <w:qFormat/>
    <w:uiPriority w:val="0"/>
    <w:rPr>
      <w:rFonts w:hint="default" w:ascii="ˎ̥" w:hAnsi="ˎ̥"/>
      <w:color w:val="000000"/>
      <w:sz w:val="18"/>
      <w:szCs w:val="18"/>
      <w:u w:val="none"/>
    </w:rPr>
  </w:style>
  <w:style w:type="character" w:customStyle="1" w:styleId="1783">
    <w:name w:val="a121"/>
    <w:qFormat/>
    <w:uiPriority w:val="0"/>
    <w:rPr>
      <w:sz w:val="14"/>
      <w:szCs w:val="14"/>
    </w:rPr>
  </w:style>
  <w:style w:type="paragraph" w:customStyle="1" w:styleId="1784">
    <w:name w:val="图片名称"/>
    <w:basedOn w:val="1"/>
    <w:qFormat/>
    <w:uiPriority w:val="0"/>
    <w:pPr>
      <w:spacing w:before="0" w:beforeLines="0" w:line="360" w:lineRule="auto"/>
      <w:jc w:val="center"/>
    </w:pPr>
    <w:rPr>
      <w:rFonts w:ascii="宋体" w:hAnsi="宋体"/>
      <w:b/>
      <w:spacing w:val="4"/>
      <w:sz w:val="24"/>
    </w:rPr>
  </w:style>
  <w:style w:type="character" w:customStyle="1" w:styleId="1785">
    <w:name w:val="s c c"/>
    <w:qFormat/>
    <w:uiPriority w:val="0"/>
  </w:style>
  <w:style w:type="paragraph" w:customStyle="1" w:styleId="1786">
    <w:name w:val="目录2222222"/>
    <w:basedOn w:val="4"/>
    <w:qFormat/>
    <w:uiPriority w:val="0"/>
    <w:pPr>
      <w:tabs>
        <w:tab w:val="left" w:pos="527"/>
      </w:tabs>
      <w:adjustRightInd w:val="0"/>
      <w:snapToGrid w:val="0"/>
      <w:spacing w:before="0" w:after="0" w:line="500" w:lineRule="exact"/>
    </w:pPr>
    <w:rPr>
      <w:rFonts w:ascii="Times New Roman" w:hAnsi="Times New Roman" w:eastAsia="宋体"/>
      <w:b w:val="0"/>
      <w:color w:val="auto"/>
      <w:kern w:val="2"/>
      <w:sz w:val="30"/>
    </w:rPr>
  </w:style>
  <w:style w:type="paragraph" w:customStyle="1" w:styleId="1787">
    <w:name w:val="目录111111111"/>
    <w:basedOn w:val="1"/>
    <w:qFormat/>
    <w:uiPriority w:val="0"/>
    <w:pPr>
      <w:spacing w:before="360" w:beforeLines="150" w:after="120" w:afterLines="50" w:line="500" w:lineRule="exact"/>
      <w:jc w:val="center"/>
      <w:outlineLvl w:val="0"/>
    </w:pPr>
    <w:rPr>
      <w:sz w:val="32"/>
    </w:rPr>
  </w:style>
  <w:style w:type="character" w:customStyle="1" w:styleId="1788">
    <w:name w:val="paragragh1"/>
    <w:qFormat/>
    <w:uiPriority w:val="0"/>
    <w:rPr>
      <w:color w:val="004040"/>
      <w:sz w:val="21"/>
      <w:szCs w:val="21"/>
    </w:rPr>
  </w:style>
  <w:style w:type="character" w:customStyle="1" w:styleId="1789">
    <w:name w:val="Char Char61"/>
    <w:qFormat/>
    <w:uiPriority w:val="0"/>
    <w:rPr>
      <w:rFonts w:ascii="宋体" w:hAnsi="宋体" w:eastAsia="宋体"/>
      <w:b/>
      <w:bCs/>
      <w:kern w:val="2"/>
      <w:sz w:val="44"/>
      <w:szCs w:val="24"/>
      <w:lang w:val="en-US" w:eastAsia="zh-CN" w:bidi="ar-SA"/>
    </w:rPr>
  </w:style>
  <w:style w:type="character" w:customStyle="1" w:styleId="1790">
    <w:name w:val="Plain Text Char"/>
    <w:qFormat/>
    <w:locked/>
    <w:uiPriority w:val="0"/>
    <w:rPr>
      <w:rFonts w:ascii="宋体" w:hAnsi="Courier New" w:eastAsia="宋体" w:cs="Courier New"/>
      <w:kern w:val="2"/>
      <w:sz w:val="21"/>
      <w:szCs w:val="21"/>
      <w:lang w:val="en-US" w:eastAsia="zh-CN" w:bidi="ar-SA"/>
    </w:rPr>
  </w:style>
  <w:style w:type="paragraph" w:customStyle="1" w:styleId="1791">
    <w:name w:val="正文AAA"/>
    <w:basedOn w:val="1"/>
    <w:qFormat/>
    <w:uiPriority w:val="0"/>
    <w:pPr>
      <w:spacing w:before="0" w:beforeLines="0" w:line="500" w:lineRule="exact"/>
      <w:ind w:firstLine="480" w:firstLineChars="200"/>
    </w:pPr>
    <w:rPr>
      <w:rFonts w:ascii="宋体" w:hAnsi="宋体" w:cs="宋体"/>
      <w:sz w:val="24"/>
      <w:szCs w:val="20"/>
    </w:rPr>
  </w:style>
  <w:style w:type="paragraph" w:customStyle="1" w:styleId="1792">
    <w:name w:val="002"/>
    <w:basedOn w:val="1"/>
    <w:qFormat/>
    <w:uiPriority w:val="0"/>
    <w:pPr>
      <w:spacing w:before="120" w:beforeLines="50" w:after="120" w:afterLines="50" w:line="560" w:lineRule="exact"/>
      <w:outlineLvl w:val="1"/>
    </w:pPr>
    <w:rPr>
      <w:rFonts w:ascii="黑体" w:eastAsia="黑体"/>
      <w:sz w:val="28"/>
      <w:szCs w:val="28"/>
    </w:rPr>
  </w:style>
  <w:style w:type="paragraph" w:customStyle="1" w:styleId="1793">
    <w:name w:val="11111111111111111"/>
    <w:basedOn w:val="3"/>
    <w:qFormat/>
    <w:uiPriority w:val="0"/>
    <w:pPr>
      <w:tabs>
        <w:tab w:val="clear" w:pos="360"/>
      </w:tabs>
      <w:spacing w:before="0" w:after="160" w:line="480" w:lineRule="auto"/>
      <w:jc w:val="center"/>
    </w:pPr>
    <w:rPr>
      <w:color w:val="auto"/>
      <w:kern w:val="44"/>
      <w:sz w:val="32"/>
      <w:szCs w:val="44"/>
    </w:rPr>
  </w:style>
  <w:style w:type="paragraph" w:customStyle="1" w:styleId="1794">
    <w:name w:val="2222222222"/>
    <w:basedOn w:val="4"/>
    <w:qFormat/>
    <w:uiPriority w:val="0"/>
    <w:pPr>
      <w:spacing w:before="0" w:line="360" w:lineRule="auto"/>
    </w:pPr>
    <w:rPr>
      <w:rFonts w:ascii="Cambria" w:hAnsi="Cambria" w:eastAsia="宋体"/>
      <w:b w:val="0"/>
      <w:bCs/>
      <w:color w:val="auto"/>
      <w:kern w:val="2"/>
      <w:sz w:val="28"/>
      <w:szCs w:val="32"/>
    </w:rPr>
  </w:style>
  <w:style w:type="paragraph" w:customStyle="1" w:styleId="1795">
    <w:name w:val="正文－前3.9 隔20"/>
    <w:basedOn w:val="1"/>
    <w:link w:val="1796"/>
    <w:qFormat/>
    <w:uiPriority w:val="0"/>
    <w:pPr>
      <w:spacing w:before="78" w:beforeLines="0" w:line="400" w:lineRule="exact"/>
      <w:ind w:firstLine="480" w:firstLineChars="200"/>
    </w:pPr>
    <w:rPr>
      <w:rFonts w:ascii="宋体" w:hAnsi="Courier New" w:cs="Courier New"/>
      <w:sz w:val="24"/>
      <w:szCs w:val="21"/>
    </w:rPr>
  </w:style>
  <w:style w:type="character" w:customStyle="1" w:styleId="1796">
    <w:name w:val="正文－前3.9 隔20 Char"/>
    <w:link w:val="1795"/>
    <w:qFormat/>
    <w:uiPriority w:val="0"/>
    <w:rPr>
      <w:rFonts w:ascii="宋体" w:hAnsi="Courier New" w:cs="Courier New"/>
      <w:kern w:val="2"/>
      <w:sz w:val="24"/>
      <w:szCs w:val="21"/>
    </w:rPr>
  </w:style>
  <w:style w:type="paragraph" w:customStyle="1" w:styleId="1797">
    <w:name w:val="目录222222222"/>
    <w:basedOn w:val="1"/>
    <w:qFormat/>
    <w:uiPriority w:val="0"/>
    <w:pPr>
      <w:spacing w:before="120" w:beforeLines="50" w:after="120" w:afterLines="50" w:line="500" w:lineRule="exact"/>
    </w:pPr>
    <w:rPr>
      <w:rFonts w:ascii="宋体" w:hAnsi="宋体"/>
      <w:b/>
      <w:sz w:val="24"/>
    </w:rPr>
  </w:style>
  <w:style w:type="paragraph" w:customStyle="1" w:styleId="1798">
    <w:name w:val="Char Char1 Char Char Char Char Char Char Char Char Char Char Char Char Char Char Char Char Char Char Char Char1 Char"/>
    <w:basedOn w:val="1"/>
    <w:qFormat/>
    <w:uiPriority w:val="0"/>
    <w:pPr>
      <w:spacing w:before="0" w:beforeLines="0" w:line="360" w:lineRule="auto"/>
      <w:ind w:firstLine="200" w:firstLineChars="200"/>
    </w:pPr>
    <w:rPr>
      <w:rFonts w:ascii="宋体" w:hAnsi="宋体" w:cs="宋体"/>
      <w:sz w:val="24"/>
    </w:rPr>
  </w:style>
  <w:style w:type="paragraph" w:customStyle="1" w:styleId="1799">
    <w:name w:val="报告正文文字"/>
    <w:basedOn w:val="1"/>
    <w:qFormat/>
    <w:uiPriority w:val="0"/>
    <w:pPr>
      <w:widowControl/>
      <w:autoSpaceDE w:val="0"/>
      <w:autoSpaceDN w:val="0"/>
      <w:spacing w:before="0" w:beforeLines="0" w:line="360" w:lineRule="auto"/>
      <w:ind w:firstLine="480" w:firstLineChars="200"/>
    </w:pPr>
    <w:rPr>
      <w:rFonts w:ascii="宋体" w:hAnsi="宋体"/>
      <w:color w:val="000000"/>
      <w:spacing w:val="4"/>
      <w:kern w:val="0"/>
      <w:sz w:val="24"/>
      <w:szCs w:val="20"/>
    </w:rPr>
  </w:style>
  <w:style w:type="paragraph" w:customStyle="1" w:styleId="1800">
    <w:name w:val="Char Char Char1 Char Char Char1 Char"/>
    <w:basedOn w:val="1"/>
    <w:qFormat/>
    <w:uiPriority w:val="0"/>
    <w:pPr>
      <w:spacing w:before="0" w:beforeLines="0" w:line="240" w:lineRule="auto"/>
    </w:pPr>
    <w:rPr>
      <w:szCs w:val="20"/>
    </w:rPr>
  </w:style>
  <w:style w:type="character" w:customStyle="1" w:styleId="1801">
    <w:name w:val="标题 21"/>
    <w:qFormat/>
    <w:uiPriority w:val="0"/>
    <w:rPr>
      <w:rFonts w:eastAsia="黑体"/>
      <w:b/>
      <w:kern w:val="2"/>
      <w:sz w:val="28"/>
      <w:lang w:val="en-US" w:eastAsia="zh-CN"/>
    </w:rPr>
  </w:style>
  <w:style w:type="character" w:customStyle="1" w:styleId="1802">
    <w:name w:val="正文格式 Char Char Char"/>
    <w:link w:val="1803"/>
    <w:qFormat/>
    <w:uiPriority w:val="0"/>
    <w:rPr>
      <w:spacing w:val="4"/>
      <w:sz w:val="24"/>
    </w:rPr>
  </w:style>
  <w:style w:type="paragraph" w:customStyle="1" w:styleId="1803">
    <w:name w:val="正文格式 Char Char"/>
    <w:basedOn w:val="1"/>
    <w:link w:val="1802"/>
    <w:qFormat/>
    <w:uiPriority w:val="0"/>
    <w:pPr>
      <w:spacing w:before="0" w:beforeLines="0" w:line="360" w:lineRule="auto"/>
      <w:ind w:firstLine="544" w:firstLineChars="200"/>
    </w:pPr>
    <w:rPr>
      <w:spacing w:val="4"/>
      <w:kern w:val="0"/>
      <w:sz w:val="24"/>
      <w:szCs w:val="20"/>
    </w:rPr>
  </w:style>
  <w:style w:type="character" w:customStyle="1" w:styleId="1804">
    <w:name w:val="正文001 Char"/>
    <w:link w:val="1805"/>
    <w:qFormat/>
    <w:uiPriority w:val="0"/>
    <w:rPr>
      <w:rFonts w:ascii="Arial" w:hAnsi="Arial"/>
      <w:sz w:val="24"/>
    </w:rPr>
  </w:style>
  <w:style w:type="paragraph" w:customStyle="1" w:styleId="1805">
    <w:name w:val="正文001"/>
    <w:basedOn w:val="1"/>
    <w:link w:val="1804"/>
    <w:qFormat/>
    <w:uiPriority w:val="0"/>
    <w:pPr>
      <w:spacing w:before="60" w:beforeLines="0" w:line="360" w:lineRule="auto"/>
      <w:ind w:firstLine="200" w:firstLineChars="200"/>
    </w:pPr>
    <w:rPr>
      <w:rFonts w:ascii="Arial" w:hAnsi="Arial"/>
      <w:kern w:val="0"/>
      <w:sz w:val="24"/>
      <w:szCs w:val="20"/>
    </w:rPr>
  </w:style>
  <w:style w:type="character" w:customStyle="1" w:styleId="1806">
    <w:name w:val="四 Char Char1"/>
    <w:qFormat/>
    <w:uiPriority w:val="0"/>
    <w:rPr>
      <w:rFonts w:eastAsia="宋体"/>
      <w:kern w:val="2"/>
      <w:sz w:val="21"/>
      <w:lang w:val="en-US" w:eastAsia="zh-CN"/>
    </w:rPr>
  </w:style>
  <w:style w:type="character" w:customStyle="1" w:styleId="1807">
    <w:name w:val="comp_content"/>
    <w:qFormat/>
    <w:uiPriority w:val="0"/>
    <w:rPr>
      <w:rFonts w:hint="default"/>
    </w:rPr>
  </w:style>
  <w:style w:type="character" w:customStyle="1" w:styleId="1808">
    <w:name w:val="bfont1"/>
    <w:qFormat/>
    <w:uiPriority w:val="0"/>
    <w:rPr>
      <w:rFonts w:hint="default" w:ascii="Arial" w:hAnsi="Arial"/>
      <w:sz w:val="18"/>
    </w:rPr>
  </w:style>
  <w:style w:type="character" w:customStyle="1" w:styleId="1809">
    <w:name w:val="style51"/>
    <w:qFormat/>
    <w:uiPriority w:val="0"/>
    <w:rPr>
      <w:color w:val="000000"/>
    </w:rPr>
  </w:style>
  <w:style w:type="character" w:customStyle="1" w:styleId="1810">
    <w:name w:val="四 Char Char"/>
    <w:link w:val="1811"/>
    <w:qFormat/>
    <w:uiPriority w:val="0"/>
    <w:rPr>
      <w:sz w:val="28"/>
    </w:rPr>
  </w:style>
  <w:style w:type="paragraph" w:customStyle="1" w:styleId="1811">
    <w:name w:val="四 Char"/>
    <w:basedOn w:val="1"/>
    <w:link w:val="1810"/>
    <w:qFormat/>
    <w:uiPriority w:val="0"/>
    <w:pPr>
      <w:spacing w:before="0" w:beforeLines="0" w:line="336" w:lineRule="auto"/>
      <w:ind w:firstLine="200" w:firstLineChars="200"/>
    </w:pPr>
    <w:rPr>
      <w:kern w:val="0"/>
      <w:sz w:val="28"/>
      <w:szCs w:val="20"/>
    </w:rPr>
  </w:style>
  <w:style w:type="character" w:customStyle="1" w:styleId="1812">
    <w:name w:val="热电厂正文 Char Char Char Char Char Char"/>
    <w:qFormat/>
    <w:uiPriority w:val="0"/>
    <w:rPr>
      <w:rFonts w:eastAsia="宋体"/>
      <w:kern w:val="2"/>
      <w:sz w:val="24"/>
      <w:lang w:val="en-US" w:eastAsia="zh-CN"/>
    </w:rPr>
  </w:style>
  <w:style w:type="character" w:customStyle="1" w:styleId="1813">
    <w:name w:val="样式 黑体 三号 加粗"/>
    <w:qFormat/>
    <w:uiPriority w:val="0"/>
    <w:rPr>
      <w:rFonts w:ascii="黑体" w:hAnsi="黑体" w:eastAsia="黑体"/>
      <w:b/>
      <w:sz w:val="44"/>
    </w:rPr>
  </w:style>
  <w:style w:type="character" w:customStyle="1" w:styleId="1814">
    <w:name w:val="p21"/>
    <w:qFormat/>
    <w:uiPriority w:val="0"/>
    <w:rPr>
      <w:color w:val="996600"/>
      <w:sz w:val="18"/>
    </w:rPr>
  </w:style>
  <w:style w:type="character" w:customStyle="1" w:styleId="1815">
    <w:name w:val="表1 Char"/>
    <w:qFormat/>
    <w:uiPriority w:val="0"/>
    <w:rPr>
      <w:rFonts w:eastAsia="宋体"/>
      <w:sz w:val="21"/>
      <w:lang w:val="en-US" w:eastAsia="zh-CN" w:bidi="ar-SA"/>
    </w:rPr>
  </w:style>
  <w:style w:type="character" w:customStyle="1" w:styleId="1816">
    <w:name w:val="style71"/>
    <w:qFormat/>
    <w:uiPriority w:val="0"/>
    <w:rPr>
      <w:rFonts w:hint="eastAsia" w:ascii="MingLiU" w:hAnsi="MingLiU" w:eastAsia="MingLiU"/>
    </w:rPr>
  </w:style>
  <w:style w:type="character" w:customStyle="1" w:styleId="1817">
    <w:name w:val="tpc_content1"/>
    <w:qFormat/>
    <w:uiPriority w:val="0"/>
    <w:rPr>
      <w:sz w:val="16"/>
    </w:rPr>
  </w:style>
  <w:style w:type="character" w:customStyle="1" w:styleId="1818">
    <w:name w:val="特点标题 Char Char"/>
    <w:qFormat/>
    <w:uiPriority w:val="0"/>
    <w:rPr>
      <w:rFonts w:eastAsia="宋体"/>
      <w:spacing w:val="20"/>
      <w:kern w:val="2"/>
      <w:sz w:val="24"/>
      <w:lang w:val="en-US" w:eastAsia="zh-CN"/>
    </w:rPr>
  </w:style>
  <w:style w:type="paragraph" w:customStyle="1" w:styleId="1819">
    <w:name w:val="Char Char Char1 Char Char Char Char Char Char Char Char Char Char Char Char Char1"/>
    <w:basedOn w:val="1"/>
    <w:qFormat/>
    <w:uiPriority w:val="0"/>
    <w:pPr>
      <w:spacing w:before="0" w:beforeLines="0" w:line="240" w:lineRule="auto"/>
    </w:pPr>
    <w:rPr>
      <w:szCs w:val="20"/>
    </w:rPr>
  </w:style>
  <w:style w:type="paragraph" w:customStyle="1" w:styleId="1820">
    <w:name w:val="热电厂正文 Char"/>
    <w:basedOn w:val="1"/>
    <w:qFormat/>
    <w:uiPriority w:val="0"/>
    <w:pPr>
      <w:spacing w:before="0" w:beforeLines="0"/>
      <w:ind w:firstLine="480" w:firstLineChars="200"/>
    </w:pPr>
    <w:rPr>
      <w:sz w:val="24"/>
      <w:szCs w:val="20"/>
    </w:rPr>
  </w:style>
  <w:style w:type="paragraph" w:customStyle="1" w:styleId="1821">
    <w:name w:val="报告标题10"/>
    <w:basedOn w:val="3"/>
    <w:qFormat/>
    <w:uiPriority w:val="0"/>
    <w:pPr>
      <w:tabs>
        <w:tab w:val="clear" w:pos="360"/>
      </w:tabs>
      <w:spacing w:before="120" w:after="120" w:line="360" w:lineRule="auto"/>
    </w:pPr>
    <w:rPr>
      <w:rFonts w:ascii="黑体" w:hAnsi="宋体" w:eastAsia="黑体"/>
      <w:b w:val="0"/>
      <w:bCs w:val="0"/>
      <w:color w:val="auto"/>
      <w:spacing w:val="4"/>
      <w:kern w:val="44"/>
      <w:sz w:val="32"/>
    </w:rPr>
  </w:style>
  <w:style w:type="paragraph" w:customStyle="1" w:styleId="1822">
    <w:name w:val="热电厂正文 Char Char Char Char"/>
    <w:basedOn w:val="1"/>
    <w:qFormat/>
    <w:uiPriority w:val="0"/>
    <w:pPr>
      <w:spacing w:before="0" w:beforeLines="0"/>
      <w:ind w:firstLine="480" w:firstLineChars="200"/>
    </w:pPr>
    <w:rPr>
      <w:sz w:val="24"/>
      <w:szCs w:val="20"/>
    </w:rPr>
  </w:style>
  <w:style w:type="paragraph" w:customStyle="1" w:styleId="1823">
    <w:name w:val="批注框文本 Char Char"/>
    <w:basedOn w:val="1"/>
    <w:qFormat/>
    <w:uiPriority w:val="0"/>
    <w:pPr>
      <w:spacing w:before="0" w:beforeLines="0" w:line="240" w:lineRule="auto"/>
    </w:pPr>
    <w:rPr>
      <w:sz w:val="18"/>
      <w:szCs w:val="20"/>
    </w:rPr>
  </w:style>
  <w:style w:type="paragraph" w:customStyle="1" w:styleId="1824">
    <w:name w:val="Char Char Char Char Char Char Char Char Char Char Char Char"/>
    <w:basedOn w:val="1"/>
    <w:qFormat/>
    <w:uiPriority w:val="0"/>
    <w:pPr>
      <w:spacing w:before="0" w:beforeLines="0" w:line="240" w:lineRule="auto"/>
    </w:pPr>
    <w:rPr>
      <w:szCs w:val="20"/>
    </w:rPr>
  </w:style>
  <w:style w:type="paragraph" w:customStyle="1" w:styleId="1825">
    <w:name w:val="1.1.1报告标题"/>
    <w:qFormat/>
    <w:uiPriority w:val="0"/>
    <w:pPr>
      <w:adjustRightInd w:val="0"/>
      <w:snapToGrid w:val="0"/>
      <w:spacing w:line="360" w:lineRule="auto"/>
      <w:outlineLvl w:val="2"/>
    </w:pPr>
    <w:rPr>
      <w:rFonts w:ascii="Times New Roman" w:hAnsi="Times New Roman" w:eastAsia="黑体" w:cs="Times New Roman"/>
      <w:color w:val="000000"/>
      <w:kern w:val="2"/>
      <w:sz w:val="28"/>
      <w:lang w:val="en-US" w:eastAsia="zh-CN" w:bidi="ar-SA"/>
    </w:rPr>
  </w:style>
  <w:style w:type="paragraph" w:customStyle="1" w:styleId="1826">
    <w:name w:val="样式 标题 4 + 黑色 左侧:  -0.01 厘米 首行缩进:  0.01 厘米"/>
    <w:basedOn w:val="7"/>
    <w:qFormat/>
    <w:uiPriority w:val="0"/>
    <w:pPr>
      <w:keepNext w:val="0"/>
      <w:keepLines w:val="0"/>
      <w:tabs>
        <w:tab w:val="left" w:pos="1080"/>
      </w:tabs>
      <w:adjustRightInd/>
      <w:snapToGrid/>
      <w:spacing w:before="156" w:beforeLines="50" w:line="312" w:lineRule="auto"/>
      <w:ind w:left="864" w:hanging="864"/>
    </w:pPr>
    <w:rPr>
      <w:rFonts w:ascii="仿宋_GB2312" w:hAnsi="Arial" w:eastAsia="仿宋_GB2312"/>
      <w:b w:val="0"/>
      <w:kern w:val="2"/>
      <w:sz w:val="28"/>
      <w:szCs w:val="20"/>
    </w:rPr>
  </w:style>
  <w:style w:type="paragraph" w:customStyle="1" w:styleId="1827">
    <w:name w:val="Char Char Char Char Char Char Char Char Char Char Char1 Char"/>
    <w:basedOn w:val="1"/>
    <w:next w:val="1"/>
    <w:qFormat/>
    <w:uiPriority w:val="0"/>
    <w:pPr>
      <w:spacing w:before="0" w:beforeLines="0" w:line="336" w:lineRule="auto"/>
      <w:ind w:firstLine="200" w:firstLineChars="200"/>
    </w:pPr>
    <w:rPr>
      <w:rFonts w:ascii="宋体" w:hAnsi="宋体" w:eastAsia="汉鼎简书宋"/>
      <w:spacing w:val="4"/>
      <w:sz w:val="24"/>
      <w:szCs w:val="20"/>
    </w:rPr>
  </w:style>
  <w:style w:type="paragraph" w:customStyle="1" w:styleId="1828">
    <w:name w:val="Char Char Char Char Char Char Char Char Char Char Char Char Char Char Char Char Char"/>
    <w:basedOn w:val="1"/>
    <w:next w:val="1"/>
    <w:qFormat/>
    <w:uiPriority w:val="0"/>
    <w:pPr>
      <w:spacing w:before="0" w:beforeLines="0" w:line="336" w:lineRule="auto"/>
      <w:ind w:firstLine="200" w:firstLineChars="200"/>
    </w:pPr>
    <w:rPr>
      <w:rFonts w:ascii="宋体" w:hAnsi="宋体" w:eastAsia="汉鼎简书宋"/>
      <w:spacing w:val="4"/>
      <w:sz w:val="24"/>
      <w:szCs w:val="20"/>
    </w:rPr>
  </w:style>
  <w:style w:type="paragraph" w:customStyle="1" w:styleId="1829">
    <w:name w:val="Char Char Char Char Char Char Char Char1"/>
    <w:basedOn w:val="1"/>
    <w:next w:val="1"/>
    <w:qFormat/>
    <w:uiPriority w:val="0"/>
    <w:pPr>
      <w:spacing w:before="0" w:beforeLines="0" w:line="336" w:lineRule="auto"/>
      <w:ind w:firstLine="200" w:firstLineChars="200"/>
    </w:pPr>
    <w:rPr>
      <w:rFonts w:ascii="宋体" w:hAnsi="宋体" w:eastAsia="汉鼎简书宋"/>
      <w:spacing w:val="4"/>
      <w:sz w:val="24"/>
      <w:szCs w:val="20"/>
    </w:rPr>
  </w:style>
  <w:style w:type="paragraph" w:customStyle="1" w:styleId="1830">
    <w:name w:val="样式 标题 1 + 宋体 黑色"/>
    <w:basedOn w:val="3"/>
    <w:qFormat/>
    <w:uiPriority w:val="0"/>
    <w:pPr>
      <w:keepNext w:val="0"/>
      <w:keepLines w:val="0"/>
      <w:pageBreakBefore/>
      <w:tabs>
        <w:tab w:val="clear" w:pos="360"/>
      </w:tabs>
      <w:topLinePunct/>
      <w:adjustRightInd w:val="0"/>
      <w:snapToGrid w:val="0"/>
      <w:spacing w:before="0" w:after="240" w:line="240" w:lineRule="auto"/>
      <w:jc w:val="center"/>
    </w:pPr>
    <w:rPr>
      <w:rFonts w:ascii="宋体" w:hAnsi="宋体"/>
      <w:bCs w:val="0"/>
      <w:caps/>
      <w:snapToGrid w:val="0"/>
      <w:spacing w:val="20"/>
      <w:kern w:val="16"/>
      <w:sz w:val="36"/>
    </w:rPr>
  </w:style>
  <w:style w:type="paragraph" w:customStyle="1" w:styleId="1831">
    <w:name w:val="表格填充2"/>
    <w:basedOn w:val="273"/>
    <w:qFormat/>
    <w:uiPriority w:val="0"/>
    <w:pPr>
      <w:spacing w:line="260" w:lineRule="exact"/>
    </w:pPr>
    <w:rPr>
      <w:rFonts w:ascii="宋体" w:hAnsi="宋体"/>
      <w:color w:val="000000"/>
      <w:kern w:val="0"/>
      <w:szCs w:val="20"/>
    </w:rPr>
  </w:style>
  <w:style w:type="paragraph" w:customStyle="1" w:styleId="1832">
    <w:name w:val="Char Char Char Char Char Char Char Char2 Char Char Char Char Char Char Char"/>
    <w:basedOn w:val="1"/>
    <w:next w:val="1"/>
    <w:qFormat/>
    <w:uiPriority w:val="0"/>
    <w:pPr>
      <w:spacing w:before="0" w:beforeLines="0" w:line="336" w:lineRule="auto"/>
      <w:ind w:firstLine="200" w:firstLineChars="200"/>
    </w:pPr>
    <w:rPr>
      <w:rFonts w:ascii="宋体" w:hAnsi="宋体" w:eastAsia="汉鼎简书宋"/>
      <w:spacing w:val="4"/>
      <w:sz w:val="24"/>
      <w:szCs w:val="20"/>
    </w:rPr>
  </w:style>
  <w:style w:type="paragraph" w:customStyle="1" w:styleId="1833">
    <w:name w:val="Char Char Char1 Char Char Char"/>
    <w:basedOn w:val="1"/>
    <w:qFormat/>
    <w:uiPriority w:val="0"/>
    <w:pPr>
      <w:spacing w:before="0" w:beforeLines="0" w:line="240" w:lineRule="auto"/>
    </w:pPr>
    <w:rPr>
      <w:szCs w:val="20"/>
    </w:rPr>
  </w:style>
  <w:style w:type="paragraph" w:customStyle="1" w:styleId="1834">
    <w:name w:val="Char Char Char Char Char Char Char Char2 Char Char Char Char Char Char Char Char Char Char Char Char Char Char Char"/>
    <w:basedOn w:val="1"/>
    <w:next w:val="1"/>
    <w:qFormat/>
    <w:uiPriority w:val="0"/>
    <w:pPr>
      <w:spacing w:before="0" w:beforeLines="0" w:line="336" w:lineRule="auto"/>
      <w:ind w:firstLine="200" w:firstLineChars="200"/>
    </w:pPr>
    <w:rPr>
      <w:spacing w:val="4"/>
      <w:sz w:val="24"/>
      <w:szCs w:val="20"/>
    </w:rPr>
  </w:style>
  <w:style w:type="paragraph" w:customStyle="1" w:styleId="1835">
    <w:name w:val="表正文"/>
    <w:basedOn w:val="1"/>
    <w:next w:val="72"/>
    <w:qFormat/>
    <w:uiPriority w:val="0"/>
    <w:pPr>
      <w:spacing w:before="0" w:beforeLines="0" w:line="240" w:lineRule="auto"/>
      <w:ind w:firstLine="570"/>
    </w:pPr>
    <w:rPr>
      <w:rFonts w:hint="eastAsia"/>
      <w:spacing w:val="-4"/>
      <w:sz w:val="28"/>
      <w:szCs w:val="20"/>
    </w:rPr>
  </w:style>
  <w:style w:type="paragraph" w:customStyle="1" w:styleId="1836">
    <w:name w:val="标题 33"/>
    <w:basedOn w:val="1"/>
    <w:next w:val="6"/>
    <w:qFormat/>
    <w:uiPriority w:val="0"/>
    <w:pPr>
      <w:keepNext/>
      <w:keepLines/>
      <w:spacing w:before="120" w:beforeLines="0" w:after="120" w:line="336" w:lineRule="auto"/>
      <w:ind w:firstLine="200" w:firstLineChars="200"/>
      <w:outlineLvl w:val="2"/>
    </w:pPr>
    <w:rPr>
      <w:rFonts w:hint="eastAsia"/>
      <w:b/>
      <w:sz w:val="26"/>
      <w:szCs w:val="20"/>
    </w:rPr>
  </w:style>
  <w:style w:type="paragraph" w:customStyle="1" w:styleId="1837">
    <w:name w:val="Char Char Char Char Char Char Char Char Char Char Char Char1 Char Char Char Char Char Char Char Char Char"/>
    <w:basedOn w:val="1"/>
    <w:next w:val="1"/>
    <w:qFormat/>
    <w:uiPriority w:val="0"/>
    <w:pPr>
      <w:spacing w:before="0" w:beforeLines="0" w:line="336" w:lineRule="auto"/>
      <w:ind w:firstLine="200" w:firstLineChars="200"/>
    </w:pPr>
    <w:rPr>
      <w:rFonts w:hint="eastAsia" w:ascii="宋体" w:hAnsi="宋体" w:eastAsia="汉鼎简书宋"/>
      <w:sz w:val="24"/>
      <w:szCs w:val="20"/>
    </w:rPr>
  </w:style>
  <w:style w:type="paragraph" w:customStyle="1" w:styleId="1838">
    <w:name w:val="Char Char Char1 Char Char Char Char Char Char Char Char Char"/>
    <w:basedOn w:val="1"/>
    <w:qFormat/>
    <w:uiPriority w:val="0"/>
    <w:pPr>
      <w:spacing w:before="0" w:beforeLines="0" w:line="240" w:lineRule="auto"/>
    </w:pPr>
    <w:rPr>
      <w:szCs w:val="20"/>
    </w:rPr>
  </w:style>
  <w:style w:type="paragraph" w:customStyle="1" w:styleId="1839">
    <w:name w:val="报告标题10.1"/>
    <w:basedOn w:val="4"/>
    <w:qFormat/>
    <w:uiPriority w:val="0"/>
    <w:pPr>
      <w:keepNext w:val="0"/>
      <w:keepLines w:val="0"/>
      <w:snapToGrid w:val="0"/>
      <w:spacing w:before="0" w:after="0" w:line="240" w:lineRule="auto"/>
    </w:pPr>
    <w:rPr>
      <w:rFonts w:ascii="Times New Roman" w:hAnsi="Times New Roman"/>
      <w:b w:val="0"/>
      <w:color w:val="auto"/>
      <w:kern w:val="2"/>
    </w:rPr>
  </w:style>
  <w:style w:type="paragraph" w:customStyle="1" w:styleId="1840">
    <w:name w:val="正文格式"/>
    <w:basedOn w:val="1"/>
    <w:qFormat/>
    <w:uiPriority w:val="0"/>
    <w:pPr>
      <w:spacing w:before="0" w:beforeLines="0" w:line="360" w:lineRule="auto"/>
      <w:ind w:firstLine="544" w:firstLineChars="200"/>
    </w:pPr>
    <w:rPr>
      <w:sz w:val="24"/>
      <w:szCs w:val="20"/>
    </w:rPr>
  </w:style>
  <w:style w:type="paragraph" w:customStyle="1" w:styleId="1841">
    <w:name w:val="1.1报告标题"/>
    <w:basedOn w:val="4"/>
    <w:qFormat/>
    <w:uiPriority w:val="0"/>
    <w:pPr>
      <w:keepNext w:val="0"/>
      <w:keepLines w:val="0"/>
      <w:adjustRightInd w:val="0"/>
      <w:snapToGrid w:val="0"/>
      <w:spacing w:before="0" w:after="0" w:line="360" w:lineRule="auto"/>
    </w:pPr>
    <w:rPr>
      <w:rFonts w:ascii="Times New Roman" w:hAnsi="Times New Roman"/>
      <w:b w:val="0"/>
      <w:color w:val="auto"/>
      <w:spacing w:val="4"/>
      <w:kern w:val="2"/>
    </w:rPr>
  </w:style>
  <w:style w:type="paragraph" w:customStyle="1" w:styleId="1842">
    <w:name w:val="Char Char Char Char Char Char Char Char2 Char Char Char Char Char Char Char Char Char"/>
    <w:basedOn w:val="1"/>
    <w:next w:val="1"/>
    <w:qFormat/>
    <w:uiPriority w:val="0"/>
    <w:pPr>
      <w:spacing w:before="0" w:beforeLines="0" w:line="336" w:lineRule="auto"/>
      <w:ind w:firstLine="200" w:firstLineChars="200"/>
    </w:pPr>
    <w:rPr>
      <w:rFonts w:ascii="宋体" w:hAnsi="宋体" w:eastAsia="汉鼎简书宋"/>
      <w:spacing w:val="4"/>
      <w:sz w:val="24"/>
      <w:szCs w:val="20"/>
    </w:rPr>
  </w:style>
  <w:style w:type="paragraph" w:customStyle="1" w:styleId="1843">
    <w:name w:val="1.1.1.1报告标题"/>
    <w:qFormat/>
    <w:uiPriority w:val="0"/>
    <w:pPr>
      <w:spacing w:line="360" w:lineRule="auto"/>
    </w:pPr>
    <w:rPr>
      <w:rFonts w:ascii="Times New Roman" w:hAnsi="Times New Roman" w:eastAsia="黑体" w:cs="Times New Roman"/>
      <w:spacing w:val="4"/>
      <w:kern w:val="2"/>
      <w:sz w:val="24"/>
      <w:lang w:val="en-US" w:eastAsia="zh-CN" w:bidi="ar-SA"/>
    </w:rPr>
  </w:style>
  <w:style w:type="paragraph" w:customStyle="1" w:styleId="1844">
    <w:name w:val="表注+左对齐"/>
    <w:basedOn w:val="1"/>
    <w:qFormat/>
    <w:uiPriority w:val="0"/>
    <w:pPr>
      <w:widowControl/>
      <w:adjustRightInd w:val="0"/>
      <w:snapToGrid w:val="0"/>
      <w:spacing w:before="0" w:beforeLines="0" w:line="240" w:lineRule="atLeast"/>
      <w:jc w:val="left"/>
      <w:textAlignment w:val="baseline"/>
    </w:pPr>
    <w:rPr>
      <w:rFonts w:ascii="仿宋_GB2312" w:eastAsia="仿宋_GB2312"/>
      <w:sz w:val="18"/>
      <w:szCs w:val="20"/>
    </w:rPr>
  </w:style>
  <w:style w:type="paragraph" w:customStyle="1" w:styleId="1845">
    <w:name w:val="Char Char Char Char Char Char Char Char2 Char Char Char Char Char Char Char Char Char Char Char Char Char"/>
    <w:basedOn w:val="1"/>
    <w:next w:val="1"/>
    <w:qFormat/>
    <w:uiPriority w:val="0"/>
    <w:pPr>
      <w:spacing w:before="0" w:beforeLines="0" w:line="336" w:lineRule="auto"/>
      <w:ind w:firstLine="200" w:firstLineChars="200"/>
    </w:pPr>
    <w:rPr>
      <w:rFonts w:ascii="宋体" w:hAnsi="宋体" w:eastAsia="汉鼎简书宋"/>
      <w:spacing w:val="4"/>
      <w:sz w:val="24"/>
      <w:szCs w:val="20"/>
    </w:rPr>
  </w:style>
  <w:style w:type="paragraph" w:customStyle="1" w:styleId="1846">
    <w:name w:val="Char Char Char Char Char Char Char Char Char Char Char Char Char Char"/>
    <w:basedOn w:val="1"/>
    <w:next w:val="1"/>
    <w:qFormat/>
    <w:uiPriority w:val="0"/>
    <w:pPr>
      <w:spacing w:before="0" w:beforeLines="0" w:line="336" w:lineRule="auto"/>
      <w:ind w:firstLine="200" w:firstLineChars="200"/>
    </w:pPr>
    <w:rPr>
      <w:rFonts w:ascii="宋体" w:hAnsi="宋体" w:eastAsia="汉鼎简书宋"/>
      <w:spacing w:val="4"/>
      <w:sz w:val="24"/>
      <w:szCs w:val="20"/>
    </w:rPr>
  </w:style>
  <w:style w:type="paragraph" w:customStyle="1" w:styleId="1847">
    <w:name w:val="Char Char Char Char Char Char Char Char Char Char Char Char1 Char Char Char Char Char Char Char Char Char Char Char Char1"/>
    <w:basedOn w:val="1"/>
    <w:next w:val="1"/>
    <w:qFormat/>
    <w:uiPriority w:val="0"/>
    <w:pPr>
      <w:spacing w:before="0" w:beforeLines="0" w:line="336" w:lineRule="auto"/>
      <w:ind w:firstLine="200" w:firstLineChars="200"/>
    </w:pPr>
    <w:rPr>
      <w:rFonts w:ascii="宋体" w:hAnsi="宋体" w:eastAsia="汉鼎简书宋"/>
      <w:spacing w:val="4"/>
      <w:sz w:val="24"/>
      <w:szCs w:val="20"/>
    </w:rPr>
  </w:style>
  <w:style w:type="paragraph" w:customStyle="1" w:styleId="1848">
    <w:name w:val="Char Char Char Char Char Char Char Char2"/>
    <w:basedOn w:val="1"/>
    <w:next w:val="1"/>
    <w:qFormat/>
    <w:uiPriority w:val="0"/>
    <w:pPr>
      <w:spacing w:before="0" w:beforeLines="0" w:line="336" w:lineRule="auto"/>
      <w:ind w:firstLine="200" w:firstLineChars="200"/>
    </w:pPr>
    <w:rPr>
      <w:rFonts w:ascii="宋体" w:hAnsi="宋体" w:eastAsia="汉鼎简书宋"/>
      <w:spacing w:val="4"/>
      <w:sz w:val="24"/>
      <w:szCs w:val="20"/>
    </w:rPr>
  </w:style>
  <w:style w:type="paragraph" w:customStyle="1" w:styleId="1849">
    <w:name w:val="目录55555555"/>
    <w:basedOn w:val="3"/>
    <w:qFormat/>
    <w:uiPriority w:val="0"/>
    <w:pPr>
      <w:tabs>
        <w:tab w:val="clear" w:pos="360"/>
      </w:tabs>
      <w:spacing w:before="0" w:after="312" w:afterLines="100" w:line="240" w:lineRule="auto"/>
      <w:jc w:val="center"/>
    </w:pPr>
    <w:rPr>
      <w:rFonts w:ascii="Calibri" w:hAnsi="Calibri"/>
      <w:color w:val="auto"/>
      <w:kern w:val="44"/>
      <w:sz w:val="30"/>
      <w:szCs w:val="30"/>
    </w:rPr>
  </w:style>
  <w:style w:type="paragraph" w:customStyle="1" w:styleId="1850">
    <w:name w:val="目录66666666"/>
    <w:basedOn w:val="4"/>
    <w:qFormat/>
    <w:uiPriority w:val="0"/>
    <w:pPr>
      <w:spacing w:before="0" w:after="156" w:afterLines="50" w:line="240" w:lineRule="auto"/>
    </w:pPr>
    <w:rPr>
      <w:rFonts w:ascii="Calibri" w:hAnsi="Calibri" w:eastAsia="宋体"/>
      <w:b w:val="0"/>
      <w:color w:val="auto"/>
      <w:kern w:val="2"/>
      <w:sz w:val="28"/>
    </w:rPr>
  </w:style>
  <w:style w:type="paragraph" w:customStyle="1" w:styleId="1851">
    <w:name w:val="我的表格"/>
    <w:basedOn w:val="1739"/>
    <w:qFormat/>
    <w:uiPriority w:val="0"/>
    <w:rPr>
      <w:color w:val="000000"/>
      <w:kern w:val="0"/>
    </w:rPr>
  </w:style>
  <w:style w:type="paragraph" w:customStyle="1" w:styleId="1852">
    <w:name w:val="目录11"/>
    <w:basedOn w:val="3"/>
    <w:qFormat/>
    <w:uiPriority w:val="0"/>
    <w:pPr>
      <w:tabs>
        <w:tab w:val="clear" w:pos="360"/>
      </w:tabs>
      <w:spacing w:before="120" w:beforeLines="50" w:after="120" w:line="480" w:lineRule="auto"/>
      <w:ind w:firstLine="883" w:firstLineChars="200"/>
      <w:jc w:val="center"/>
    </w:pPr>
    <w:rPr>
      <w:color w:val="auto"/>
      <w:kern w:val="44"/>
      <w:szCs w:val="44"/>
    </w:rPr>
  </w:style>
  <w:style w:type="paragraph" w:customStyle="1" w:styleId="1853">
    <w:name w:val="目录22"/>
    <w:basedOn w:val="4"/>
    <w:qFormat/>
    <w:uiPriority w:val="0"/>
    <w:pPr>
      <w:spacing w:before="120" w:beforeLines="50" w:after="120" w:line="360" w:lineRule="auto"/>
    </w:pPr>
    <w:rPr>
      <w:bCs/>
      <w:color w:val="auto"/>
      <w:kern w:val="2"/>
      <w:sz w:val="28"/>
      <w:szCs w:val="32"/>
    </w:rPr>
  </w:style>
  <w:style w:type="paragraph" w:customStyle="1" w:styleId="1854">
    <w:name w:val="font14b"/>
    <w:basedOn w:val="1"/>
    <w:qFormat/>
    <w:uiPriority w:val="0"/>
    <w:pPr>
      <w:widowControl/>
      <w:spacing w:before="100" w:beforeLines="0" w:beforeAutospacing="1" w:after="100" w:afterAutospacing="1" w:line="240" w:lineRule="auto"/>
      <w:jc w:val="left"/>
    </w:pPr>
    <w:rPr>
      <w:rFonts w:ascii="宋体" w:hAnsi="宋体" w:cs="宋体"/>
      <w:kern w:val="0"/>
      <w:sz w:val="24"/>
    </w:rPr>
  </w:style>
  <w:style w:type="paragraph" w:customStyle="1" w:styleId="1855">
    <w:name w:val="小段标题"/>
    <w:basedOn w:val="1728"/>
    <w:qFormat/>
    <w:uiPriority w:val="0"/>
    <w:pPr>
      <w:spacing w:before="240"/>
      <w:ind w:firstLine="0" w:firstLineChars="0"/>
    </w:pPr>
  </w:style>
  <w:style w:type="paragraph" w:customStyle="1" w:styleId="1856">
    <w:name w:val="表内容－五号"/>
    <w:basedOn w:val="160"/>
    <w:qFormat/>
    <w:uiPriority w:val="0"/>
    <w:pPr>
      <w:widowControl w:val="0"/>
    </w:pPr>
    <w:rPr>
      <w:rFonts w:ascii="宋体" w:hAnsi="宋体"/>
      <w:snapToGrid/>
      <w:kern w:val="2"/>
      <w:szCs w:val="21"/>
    </w:rPr>
  </w:style>
  <w:style w:type="paragraph" w:customStyle="1" w:styleId="1857">
    <w:name w:val="多列紧凑"/>
    <w:basedOn w:val="1"/>
    <w:qFormat/>
    <w:uiPriority w:val="0"/>
    <w:pPr>
      <w:spacing w:before="50" w:beforeLines="50" w:line="240" w:lineRule="auto"/>
      <w:ind w:firstLine="200" w:firstLineChars="200"/>
    </w:pPr>
    <w:rPr>
      <w:sz w:val="24"/>
    </w:rPr>
  </w:style>
  <w:style w:type="paragraph" w:customStyle="1" w:styleId="1858">
    <w:name w:val="强调段文"/>
    <w:basedOn w:val="1"/>
    <w:qFormat/>
    <w:uiPriority w:val="0"/>
    <w:pPr>
      <w:spacing w:before="156" w:beforeLines="50" w:line="360" w:lineRule="auto"/>
    </w:pPr>
    <w:rPr>
      <w:b/>
      <w:sz w:val="24"/>
    </w:rPr>
  </w:style>
  <w:style w:type="character" w:customStyle="1" w:styleId="1859">
    <w:name w:val="text1"/>
    <w:qFormat/>
    <w:uiPriority w:val="0"/>
  </w:style>
  <w:style w:type="paragraph" w:customStyle="1" w:styleId="1860">
    <w:name w:val="正文2 Char"/>
    <w:basedOn w:val="1"/>
    <w:qFormat/>
    <w:uiPriority w:val="0"/>
    <w:pPr>
      <w:spacing w:before="0" w:beforeLines="0" w:line="500" w:lineRule="exact"/>
      <w:ind w:firstLine="560" w:firstLineChars="200"/>
    </w:pPr>
    <w:rPr>
      <w:rFonts w:ascii="楷体_GB2312" w:eastAsia="楷体_GB2312" w:cs="宋体"/>
      <w:sz w:val="28"/>
      <w:szCs w:val="20"/>
    </w:rPr>
  </w:style>
  <w:style w:type="character" w:customStyle="1" w:styleId="1861">
    <w:name w:val="标题3333 Char"/>
    <w:qFormat/>
    <w:uiPriority w:val="0"/>
    <w:rPr>
      <w:rFonts w:ascii="宋体" w:hAnsi="宋体" w:eastAsia="宋体"/>
      <w:b/>
      <w:kern w:val="2"/>
      <w:sz w:val="24"/>
      <w:szCs w:val="24"/>
      <w:lang w:val="en-US" w:eastAsia="zh-CN" w:bidi="ar-SA"/>
    </w:rPr>
  </w:style>
  <w:style w:type="paragraph" w:customStyle="1" w:styleId="1862">
    <w:name w:val="表格标题111"/>
    <w:basedOn w:val="6"/>
    <w:qFormat/>
    <w:uiPriority w:val="0"/>
    <w:pPr>
      <w:spacing w:before="120" w:beforeLines="50" w:line="240" w:lineRule="auto"/>
      <w:ind w:firstLine="0" w:firstLineChars="0"/>
      <w:jc w:val="center"/>
    </w:pPr>
    <w:rPr>
      <w:rFonts w:eastAsia="黑体"/>
      <w:szCs w:val="21"/>
    </w:rPr>
  </w:style>
  <w:style w:type="paragraph" w:customStyle="1" w:styleId="1863">
    <w:name w:val="2222"/>
    <w:basedOn w:val="1"/>
    <w:qFormat/>
    <w:uiPriority w:val="0"/>
    <w:pPr>
      <w:spacing w:before="0" w:beforeLines="0" w:after="156" w:line="500" w:lineRule="exact"/>
      <w:jc w:val="left"/>
    </w:pPr>
    <w:rPr>
      <w:rFonts w:ascii="宋体" w:hAnsi="宋体"/>
      <w:b/>
      <w:color w:val="000066"/>
      <w:sz w:val="28"/>
      <w:szCs w:val="20"/>
    </w:rPr>
  </w:style>
  <w:style w:type="paragraph" w:customStyle="1" w:styleId="1864">
    <w:name w:val="目录00"/>
    <w:basedOn w:val="3"/>
    <w:qFormat/>
    <w:uiPriority w:val="0"/>
    <w:pPr>
      <w:tabs>
        <w:tab w:val="clear" w:pos="360"/>
      </w:tabs>
      <w:spacing w:before="120" w:beforeLines="50" w:line="480" w:lineRule="auto"/>
      <w:ind w:firstLine="643" w:firstLineChars="200"/>
      <w:jc w:val="center"/>
    </w:pPr>
    <w:rPr>
      <w:color w:val="auto"/>
      <w:kern w:val="44"/>
      <w:sz w:val="32"/>
      <w:szCs w:val="32"/>
    </w:rPr>
  </w:style>
  <w:style w:type="paragraph" w:customStyle="1" w:styleId="1865">
    <w:name w:val="框内文字"/>
    <w:basedOn w:val="1"/>
    <w:link w:val="1866"/>
    <w:qFormat/>
    <w:uiPriority w:val="0"/>
    <w:pPr>
      <w:spacing w:before="0" w:beforeLines="0" w:line="240" w:lineRule="atLeast"/>
      <w:jc w:val="center"/>
    </w:pPr>
    <w:rPr>
      <w:sz w:val="18"/>
      <w:szCs w:val="18"/>
    </w:rPr>
  </w:style>
  <w:style w:type="character" w:customStyle="1" w:styleId="1866">
    <w:name w:val="框内文字 Char"/>
    <w:link w:val="1865"/>
    <w:qFormat/>
    <w:uiPriority w:val="0"/>
    <w:rPr>
      <w:kern w:val="2"/>
      <w:sz w:val="18"/>
      <w:szCs w:val="18"/>
    </w:rPr>
  </w:style>
  <w:style w:type="paragraph" w:customStyle="1" w:styleId="1867">
    <w:name w:val="强调文字"/>
    <w:basedOn w:val="1"/>
    <w:link w:val="1868"/>
    <w:qFormat/>
    <w:uiPriority w:val="0"/>
    <w:pPr>
      <w:spacing w:before="156" w:beforeLines="50" w:line="360" w:lineRule="auto"/>
    </w:pPr>
    <w:rPr>
      <w:b/>
      <w:sz w:val="24"/>
    </w:rPr>
  </w:style>
  <w:style w:type="character" w:customStyle="1" w:styleId="1868">
    <w:name w:val="强调文字 Char"/>
    <w:link w:val="1867"/>
    <w:qFormat/>
    <w:uiPriority w:val="0"/>
    <w:rPr>
      <w:b/>
      <w:kern w:val="2"/>
      <w:sz w:val="24"/>
      <w:szCs w:val="24"/>
    </w:rPr>
  </w:style>
  <w:style w:type="paragraph" w:customStyle="1" w:styleId="1869">
    <w:name w:val="1.2倍行距"/>
    <w:basedOn w:val="1"/>
    <w:qFormat/>
    <w:uiPriority w:val="0"/>
    <w:pPr>
      <w:spacing w:before="156" w:beforeLines="50" w:line="288" w:lineRule="auto"/>
      <w:ind w:firstLine="480" w:firstLineChars="200"/>
    </w:pPr>
    <w:rPr>
      <w:sz w:val="24"/>
    </w:rPr>
  </w:style>
  <w:style w:type="paragraph" w:customStyle="1" w:styleId="1870">
    <w:name w:val="样式 样式 表格标题 + 段前: 0.5 行 + 段前: 0.5 行1"/>
    <w:basedOn w:val="1"/>
    <w:qFormat/>
    <w:uiPriority w:val="0"/>
    <w:pPr>
      <w:autoSpaceDE w:val="0"/>
      <w:autoSpaceDN w:val="0"/>
      <w:adjustRightInd w:val="0"/>
      <w:spacing w:before="120" w:beforeLines="50" w:line="400" w:lineRule="exact"/>
      <w:jc w:val="center"/>
    </w:pPr>
    <w:rPr>
      <w:rFonts w:ascii="宋体" w:hAnsi="宋体" w:cs="宋体"/>
      <w:b/>
      <w:sz w:val="24"/>
      <w:lang w:val="zh-CN"/>
    </w:rPr>
  </w:style>
  <w:style w:type="paragraph" w:customStyle="1" w:styleId="1871">
    <w:name w:val="BG1"/>
    <w:basedOn w:val="1"/>
    <w:qFormat/>
    <w:uiPriority w:val="0"/>
    <w:pPr>
      <w:autoSpaceDE w:val="0"/>
      <w:autoSpaceDN w:val="0"/>
      <w:spacing w:before="0" w:beforeLines="0" w:line="336" w:lineRule="auto"/>
      <w:jc w:val="center"/>
    </w:pPr>
    <w:rPr>
      <w:kern w:val="0"/>
    </w:rPr>
  </w:style>
  <w:style w:type="paragraph" w:customStyle="1" w:styleId="1872">
    <w:name w:val="插图标题"/>
    <w:basedOn w:val="1"/>
    <w:qFormat/>
    <w:uiPriority w:val="0"/>
    <w:pPr>
      <w:tabs>
        <w:tab w:val="left" w:pos="1134"/>
        <w:tab w:val="right" w:pos="7371"/>
      </w:tabs>
      <w:overflowPunct w:val="0"/>
      <w:adjustRightInd w:val="0"/>
      <w:spacing w:before="0" w:beforeLines="0" w:line="240" w:lineRule="auto"/>
      <w:ind w:firstLine="567"/>
      <w:jc w:val="center"/>
      <w:textAlignment w:val="baseline"/>
    </w:pPr>
    <w:rPr>
      <w:rFonts w:ascii="黑体" w:eastAsia="黑体"/>
      <w:kern w:val="0"/>
      <w:sz w:val="28"/>
      <w:szCs w:val="20"/>
    </w:rPr>
  </w:style>
  <w:style w:type="character" w:customStyle="1" w:styleId="1873">
    <w:name w:val="表格右"/>
    <w:qFormat/>
    <w:uiPriority w:val="0"/>
    <w:rPr>
      <w:rFonts w:ascii="宋体" w:hAnsi="宋体" w:eastAsia="宋体"/>
      <w:color w:val="000080"/>
      <w:kern w:val="2"/>
      <w:sz w:val="18"/>
      <w:szCs w:val="24"/>
      <w:lang w:val="en-US" w:eastAsia="zh-CN"/>
    </w:rPr>
  </w:style>
  <w:style w:type="paragraph" w:customStyle="1" w:styleId="1874">
    <w:name w:val="标-7"/>
    <w:basedOn w:val="1"/>
    <w:qFormat/>
    <w:uiPriority w:val="0"/>
    <w:pPr>
      <w:tabs>
        <w:tab w:val="left" w:pos="420"/>
      </w:tabs>
      <w:spacing w:before="120" w:beforeLines="0" w:line="240" w:lineRule="auto"/>
      <w:ind w:left="1701" w:hanging="425"/>
    </w:pPr>
    <w:rPr>
      <w:sz w:val="24"/>
      <w:szCs w:val="20"/>
    </w:rPr>
  </w:style>
  <w:style w:type="character" w:customStyle="1" w:styleId="1875">
    <w:name w:val="style81"/>
    <w:qFormat/>
    <w:uiPriority w:val="0"/>
    <w:rPr>
      <w:sz w:val="24"/>
      <w:szCs w:val="24"/>
    </w:rPr>
  </w:style>
  <w:style w:type="paragraph" w:customStyle="1" w:styleId="1876">
    <w:name w:val="样式 标题 2 + (西文) 宋体 四号 非加粗 Char Char"/>
    <w:basedOn w:val="4"/>
    <w:link w:val="1877"/>
    <w:qFormat/>
    <w:uiPriority w:val="0"/>
    <w:pPr>
      <w:spacing w:line="480" w:lineRule="exact"/>
    </w:pPr>
    <w:rPr>
      <w:bCs/>
      <w:color w:val="auto"/>
      <w:kern w:val="2"/>
      <w:sz w:val="28"/>
      <w:szCs w:val="32"/>
    </w:rPr>
  </w:style>
  <w:style w:type="character" w:customStyle="1" w:styleId="1877">
    <w:name w:val="样式 标题 2 + (西文) 宋体 四号 非加粗 Char Char Char"/>
    <w:link w:val="1876"/>
    <w:qFormat/>
    <w:uiPriority w:val="0"/>
    <w:rPr>
      <w:rFonts w:ascii="Arial" w:hAnsi="Arial" w:eastAsia="黑体"/>
      <w:b/>
      <w:bCs/>
      <w:kern w:val="2"/>
      <w:sz w:val="28"/>
      <w:szCs w:val="32"/>
    </w:rPr>
  </w:style>
  <w:style w:type="paragraph" w:customStyle="1" w:styleId="1878">
    <w:name w:val="基准页脚样式"/>
    <w:basedOn w:val="33"/>
    <w:qFormat/>
    <w:uiPriority w:val="0"/>
    <w:pPr>
      <w:autoSpaceDE/>
      <w:autoSpaceDN/>
      <w:spacing w:line="240" w:lineRule="exact"/>
      <w:jc w:val="center"/>
    </w:pPr>
    <w:rPr>
      <w:rFonts w:ascii="Times New Roman" w:hAnsi="Times New Roman" w:cs="Times New Roman"/>
      <w:bCs/>
      <w:kern w:val="2"/>
      <w:sz w:val="21"/>
      <w:lang w:val="en-US" w:bidi="ar-SA"/>
    </w:rPr>
  </w:style>
  <w:style w:type="table" w:customStyle="1" w:styleId="1879">
    <w:name w:val="徐正生1"/>
    <w:basedOn w:val="97"/>
    <w:qFormat/>
    <w:uiPriority w:val="0"/>
    <w:pPr>
      <w:spacing w:before="0" w:beforeLines="0" w:line="240" w:lineRule="auto"/>
    </w:pPr>
    <w:tblPr>
      <w:tblBorders>
        <w:top w:val="single" w:color="000000" w:sz="12" w:space="0"/>
        <w:bottom w:val="single" w:color="000000" w:sz="12" w:space="0"/>
        <w:insideH w:val="single" w:color="000000" w:sz="8" w:space="0"/>
        <w:insideV w:val="single" w:color="000000" w:sz="8" w:space="0"/>
      </w:tblBorders>
    </w:tbl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paragraph" w:customStyle="1" w:styleId="1880">
    <w:name w:val="正文表格"/>
    <w:basedOn w:val="1"/>
    <w:qFormat/>
    <w:uiPriority w:val="0"/>
    <w:pPr>
      <w:keepNext/>
      <w:keepLines/>
      <w:overflowPunct w:val="0"/>
      <w:adjustRightInd w:val="0"/>
      <w:spacing w:before="80" w:beforeLines="0" w:line="240" w:lineRule="auto"/>
      <w:jc w:val="center"/>
      <w:textAlignment w:val="bottom"/>
    </w:pPr>
    <w:rPr>
      <w:kern w:val="0"/>
      <w:sz w:val="28"/>
      <w:szCs w:val="20"/>
    </w:rPr>
  </w:style>
  <w:style w:type="paragraph" w:customStyle="1" w:styleId="1881">
    <w:name w:val="puce"/>
    <w:basedOn w:val="1"/>
    <w:qFormat/>
    <w:uiPriority w:val="0"/>
    <w:pPr>
      <w:adjustRightInd w:val="0"/>
      <w:snapToGrid w:val="0"/>
      <w:spacing w:before="0" w:beforeLines="0" w:line="360" w:lineRule="auto"/>
      <w:ind w:firstLine="425"/>
    </w:pPr>
    <w:rPr>
      <w:rFonts w:ascii="宋体" w:hAnsi="宋体"/>
      <w:spacing w:val="20"/>
      <w:sz w:val="24"/>
    </w:rPr>
  </w:style>
  <w:style w:type="paragraph" w:customStyle="1" w:styleId="1882">
    <w:name w:val="样式 标题 1 + 三号 居中"/>
    <w:basedOn w:val="3"/>
    <w:qFormat/>
    <w:uiPriority w:val="0"/>
    <w:pPr>
      <w:tabs>
        <w:tab w:val="clear" w:pos="360"/>
      </w:tabs>
      <w:spacing w:beforeLines="150" w:after="480" w:afterLines="200" w:line="240" w:lineRule="auto"/>
      <w:jc w:val="center"/>
    </w:pPr>
    <w:rPr>
      <w:rFonts w:eastAsia="黑体" w:cs="宋体"/>
      <w:color w:val="auto"/>
      <w:kern w:val="44"/>
      <w:sz w:val="36"/>
      <w:szCs w:val="48"/>
    </w:rPr>
  </w:style>
  <w:style w:type="paragraph" w:customStyle="1" w:styleId="1883">
    <w:name w:val="样式 标题 2 + (西文) 宋体 四号 非加粗"/>
    <w:basedOn w:val="4"/>
    <w:qFormat/>
    <w:uiPriority w:val="0"/>
    <w:pPr>
      <w:spacing w:line="480" w:lineRule="exact"/>
    </w:pPr>
    <w:rPr>
      <w:bCs/>
      <w:color w:val="auto"/>
      <w:kern w:val="2"/>
      <w:sz w:val="28"/>
      <w:szCs w:val="32"/>
    </w:rPr>
  </w:style>
  <w:style w:type="paragraph" w:customStyle="1" w:styleId="1884">
    <w:name w:val="正文新"/>
    <w:basedOn w:val="47"/>
    <w:qFormat/>
    <w:uiPriority w:val="0"/>
    <w:pPr>
      <w:spacing w:before="120" w:beforeLines="0" w:after="120" w:line="300" w:lineRule="auto"/>
      <w:ind w:firstLine="510"/>
    </w:pPr>
    <w:rPr>
      <w:rFonts w:hAnsi="Arial"/>
      <w:snapToGrid w:val="0"/>
      <w:kern w:val="0"/>
      <w:sz w:val="24"/>
      <w:szCs w:val="20"/>
    </w:rPr>
  </w:style>
  <w:style w:type="paragraph" w:customStyle="1" w:styleId="1885">
    <w:name w:val="样式 标题 2 + (西文) 宋体 四号 非加粗 Char"/>
    <w:basedOn w:val="4"/>
    <w:qFormat/>
    <w:uiPriority w:val="0"/>
    <w:pPr>
      <w:spacing w:line="480" w:lineRule="exact"/>
    </w:pPr>
    <w:rPr>
      <w:bCs/>
      <w:color w:val="auto"/>
      <w:kern w:val="2"/>
      <w:sz w:val="28"/>
      <w:szCs w:val="32"/>
    </w:rPr>
  </w:style>
  <w:style w:type="paragraph" w:customStyle="1" w:styleId="1886">
    <w:name w:val="样式 小四 首行缩进:  0 厘米 行距: 最小值 12 磅"/>
    <w:basedOn w:val="1"/>
    <w:qFormat/>
    <w:uiPriority w:val="0"/>
    <w:pPr>
      <w:adjustRightInd w:val="0"/>
      <w:spacing w:before="0" w:beforeLines="0" w:line="240" w:lineRule="atLeast"/>
      <w:textAlignment w:val="baseline"/>
    </w:pPr>
    <w:rPr>
      <w:rFonts w:cs="宋体"/>
      <w:kern w:val="0"/>
      <w:sz w:val="24"/>
      <w:szCs w:val="20"/>
    </w:rPr>
  </w:style>
  <w:style w:type="paragraph" w:customStyle="1" w:styleId="1887">
    <w:name w:val="样式 标题 3 + 小四 左侧:  0 厘米 首行缩进:  1 厘米 段前: 0 磅 段后: 0 磅 行距: 1.5 ..."/>
    <w:basedOn w:val="5"/>
    <w:next w:val="7"/>
    <w:qFormat/>
    <w:uiPriority w:val="0"/>
    <w:pPr>
      <w:keepNext/>
      <w:spacing w:before="0" w:after="0" w:line="360" w:lineRule="auto"/>
      <w:ind w:firstLine="567"/>
    </w:pPr>
    <w:rPr>
      <w:rFonts w:cs="宋体"/>
      <w:color w:val="auto"/>
      <w:kern w:val="0"/>
      <w:sz w:val="24"/>
    </w:rPr>
  </w:style>
  <w:style w:type="paragraph" w:customStyle="1" w:styleId="1888">
    <w:name w:val="Char Char1 Char Char Char Char Char Char Char Char Char1 Char"/>
    <w:basedOn w:val="1"/>
    <w:qFormat/>
    <w:uiPriority w:val="0"/>
    <w:pPr>
      <w:spacing w:before="0" w:beforeLines="0" w:line="240" w:lineRule="auto"/>
    </w:pPr>
  </w:style>
  <w:style w:type="paragraph" w:customStyle="1" w:styleId="1889">
    <w:name w:val="Char Char2 Char"/>
    <w:basedOn w:val="1"/>
    <w:qFormat/>
    <w:uiPriority w:val="0"/>
    <w:pPr>
      <w:spacing w:before="0" w:beforeLines="0" w:line="240" w:lineRule="auto"/>
    </w:pPr>
  </w:style>
  <w:style w:type="paragraph" w:customStyle="1" w:styleId="1890">
    <w:name w:val="样式 样式 正文文本 + 首行缩进:  2 字符 + 宋体 首行缩进:  2 字符"/>
    <w:basedOn w:val="1"/>
    <w:link w:val="1891"/>
    <w:qFormat/>
    <w:uiPriority w:val="0"/>
    <w:pPr>
      <w:adjustRightInd w:val="0"/>
      <w:snapToGrid w:val="0"/>
      <w:spacing w:before="120" w:beforeLines="0" w:line="300" w:lineRule="auto"/>
      <w:ind w:firstLine="480" w:firstLineChars="200"/>
      <w:textAlignment w:val="baseline"/>
    </w:pPr>
    <w:rPr>
      <w:rFonts w:cs="宋体"/>
      <w:sz w:val="24"/>
    </w:rPr>
  </w:style>
  <w:style w:type="character" w:customStyle="1" w:styleId="1891">
    <w:name w:val="样式 样式 正文文本 + 首行缩进:  2 字符 + 宋体 首行缩进:  2 字符 Char"/>
    <w:link w:val="1890"/>
    <w:qFormat/>
    <w:uiPriority w:val="0"/>
    <w:rPr>
      <w:rFonts w:cs="宋体"/>
      <w:kern w:val="2"/>
      <w:sz w:val="24"/>
      <w:szCs w:val="24"/>
    </w:rPr>
  </w:style>
  <w:style w:type="paragraph" w:customStyle="1" w:styleId="1892">
    <w:name w:val="样式 (中文) 仿宋_GB2312"/>
    <w:basedOn w:val="1"/>
    <w:link w:val="1893"/>
    <w:qFormat/>
    <w:uiPriority w:val="0"/>
    <w:pPr>
      <w:adjustRightInd w:val="0"/>
      <w:snapToGrid w:val="0"/>
      <w:spacing w:before="120" w:beforeLines="0" w:line="300" w:lineRule="auto"/>
      <w:ind w:firstLine="482"/>
      <w:textAlignment w:val="baseline"/>
    </w:pPr>
    <w:rPr>
      <w:rFonts w:eastAsia="仿宋_GB2312"/>
      <w:snapToGrid w:val="0"/>
      <w:kern w:val="0"/>
      <w:sz w:val="24"/>
      <w:szCs w:val="20"/>
    </w:rPr>
  </w:style>
  <w:style w:type="character" w:customStyle="1" w:styleId="1893">
    <w:name w:val="样式 (中文) 仿宋_GB2312 Char"/>
    <w:link w:val="1892"/>
    <w:qFormat/>
    <w:uiPriority w:val="0"/>
    <w:rPr>
      <w:rFonts w:eastAsia="仿宋_GB2312"/>
      <w:snapToGrid w:val="0"/>
      <w:sz w:val="24"/>
    </w:rPr>
  </w:style>
  <w:style w:type="paragraph" w:customStyle="1" w:styleId="1894">
    <w:name w:val="1 Char Char Char Char Char Char Char Char Char Char Char Char Char Char Char Char"/>
    <w:basedOn w:val="1"/>
    <w:qFormat/>
    <w:uiPriority w:val="0"/>
    <w:pPr>
      <w:spacing w:before="0" w:beforeLines="0" w:line="240" w:lineRule="auto"/>
    </w:pPr>
  </w:style>
  <w:style w:type="paragraph" w:customStyle="1" w:styleId="1895">
    <w:name w:val="样式10 Char"/>
    <w:basedOn w:val="1"/>
    <w:link w:val="1896"/>
    <w:qFormat/>
    <w:uiPriority w:val="0"/>
    <w:pPr>
      <w:spacing w:before="0" w:beforeLines="0" w:line="360" w:lineRule="auto"/>
      <w:ind w:firstLine="480" w:firstLineChars="200"/>
    </w:pPr>
    <w:rPr>
      <w:rFonts w:ascii="宋体" w:hAnsi="宋体"/>
      <w:kern w:val="10"/>
      <w:sz w:val="24"/>
    </w:rPr>
  </w:style>
  <w:style w:type="character" w:customStyle="1" w:styleId="1896">
    <w:name w:val="样式10 Char Char"/>
    <w:link w:val="1895"/>
    <w:qFormat/>
    <w:uiPriority w:val="0"/>
    <w:rPr>
      <w:rFonts w:ascii="宋体" w:hAnsi="宋体"/>
      <w:kern w:val="10"/>
      <w:sz w:val="24"/>
      <w:szCs w:val="24"/>
    </w:rPr>
  </w:style>
  <w:style w:type="paragraph" w:customStyle="1" w:styleId="1897">
    <w:name w:val="样式10"/>
    <w:basedOn w:val="1"/>
    <w:qFormat/>
    <w:uiPriority w:val="0"/>
    <w:pPr>
      <w:spacing w:before="0" w:beforeLines="0" w:line="360" w:lineRule="auto"/>
      <w:ind w:firstLine="480" w:firstLineChars="200"/>
    </w:pPr>
    <w:rPr>
      <w:rFonts w:ascii="宋体" w:hAnsi="宋体"/>
      <w:kern w:val="10"/>
      <w:sz w:val="24"/>
      <w:szCs w:val="20"/>
    </w:rPr>
  </w:style>
  <w:style w:type="character" w:customStyle="1" w:styleId="1898">
    <w:name w:val="9 Char"/>
    <w:qFormat/>
    <w:uiPriority w:val="0"/>
    <w:rPr>
      <w:kern w:val="2"/>
      <w:sz w:val="24"/>
      <w:szCs w:val="24"/>
    </w:rPr>
  </w:style>
  <w:style w:type="paragraph" w:customStyle="1" w:styleId="1899">
    <w:name w:val="8 Char"/>
    <w:basedOn w:val="1"/>
    <w:link w:val="1900"/>
    <w:semiHidden/>
    <w:qFormat/>
    <w:uiPriority w:val="0"/>
    <w:pPr>
      <w:spacing w:before="0" w:beforeLines="0" w:line="360" w:lineRule="auto"/>
      <w:ind w:firstLine="480" w:firstLineChars="200"/>
    </w:pPr>
    <w:rPr>
      <w:kern w:val="10"/>
      <w:sz w:val="24"/>
    </w:rPr>
  </w:style>
  <w:style w:type="character" w:customStyle="1" w:styleId="1900">
    <w:name w:val="8 Char Char"/>
    <w:link w:val="1899"/>
    <w:semiHidden/>
    <w:qFormat/>
    <w:uiPriority w:val="0"/>
    <w:rPr>
      <w:kern w:val="10"/>
      <w:sz w:val="24"/>
      <w:szCs w:val="24"/>
    </w:rPr>
  </w:style>
  <w:style w:type="paragraph" w:customStyle="1" w:styleId="1901">
    <w:name w:val="样式 标题 2标题 2 Char + (西文) Times New Roman (中文) 宋体 小四"/>
    <w:basedOn w:val="4"/>
    <w:qFormat/>
    <w:uiPriority w:val="0"/>
    <w:pPr>
      <w:spacing w:before="156" w:beforeLines="50" w:after="156" w:afterLines="50" w:line="360" w:lineRule="auto"/>
      <w:ind w:firstLine="240" w:firstLineChars="100"/>
      <w:outlineLvl w:val="9"/>
    </w:pPr>
    <w:rPr>
      <w:rFonts w:ascii="黑体" w:hAnsi="Times New Roman"/>
      <w:b w:val="0"/>
      <w:bCs/>
      <w:color w:val="auto"/>
      <w:kern w:val="2"/>
      <w:sz w:val="24"/>
      <w:szCs w:val="24"/>
    </w:rPr>
  </w:style>
  <w:style w:type="paragraph" w:customStyle="1" w:styleId="1902">
    <w:name w:val="标准文本 首行缩进:2 字符 行距1倍 Char"/>
    <w:basedOn w:val="1"/>
    <w:qFormat/>
    <w:uiPriority w:val="0"/>
    <w:pPr>
      <w:adjustRightInd w:val="0"/>
      <w:snapToGrid w:val="0"/>
      <w:spacing w:before="0" w:beforeLines="0" w:line="480" w:lineRule="exact"/>
      <w:ind w:firstLine="480" w:firstLineChars="200"/>
      <w:textAlignment w:val="center"/>
    </w:pPr>
    <w:rPr>
      <w:rFonts w:cs="宋体"/>
      <w:sz w:val="24"/>
    </w:rPr>
  </w:style>
  <w:style w:type="character" w:customStyle="1" w:styleId="1903">
    <w:name w:val="wz1"/>
    <w:qFormat/>
    <w:uiPriority w:val="0"/>
  </w:style>
  <w:style w:type="paragraph" w:customStyle="1" w:styleId="1904">
    <w:name w:val="4444"/>
    <w:basedOn w:val="1"/>
    <w:qFormat/>
    <w:uiPriority w:val="0"/>
    <w:pPr>
      <w:spacing w:before="156" w:beforeLines="50" w:line="360" w:lineRule="auto"/>
      <w:jc w:val="left"/>
    </w:pPr>
    <w:rPr>
      <w:rFonts w:ascii="宋体" w:hAnsi="宋体"/>
      <w:b/>
      <w:sz w:val="28"/>
      <w:szCs w:val="28"/>
    </w:rPr>
  </w:style>
  <w:style w:type="paragraph" w:customStyle="1" w:styleId="1905">
    <w:name w:val="样式 正文文本 + 首行缩进:  2 字符"/>
    <w:basedOn w:val="33"/>
    <w:link w:val="1906"/>
    <w:qFormat/>
    <w:uiPriority w:val="0"/>
    <w:pPr>
      <w:autoSpaceDE/>
      <w:autoSpaceDN/>
      <w:adjustRightInd w:val="0"/>
      <w:snapToGrid w:val="0"/>
      <w:spacing w:before="120" w:line="300" w:lineRule="auto"/>
      <w:ind w:firstLine="200" w:firstLineChars="200"/>
      <w:jc w:val="both"/>
      <w:textAlignment w:val="baseline"/>
    </w:pPr>
    <w:rPr>
      <w:rFonts w:ascii="Times New Roman" w:hAnsi="Times New Roman"/>
      <w:kern w:val="2"/>
      <w:lang w:val="en-US" w:bidi="ar-SA"/>
    </w:rPr>
  </w:style>
  <w:style w:type="character" w:customStyle="1" w:styleId="1906">
    <w:name w:val="样式 正文文本 + 首行缩进:  2 字符 Char"/>
    <w:link w:val="1905"/>
    <w:qFormat/>
    <w:uiPriority w:val="0"/>
    <w:rPr>
      <w:rFonts w:cs="宋体"/>
      <w:kern w:val="2"/>
      <w:sz w:val="24"/>
      <w:szCs w:val="24"/>
    </w:rPr>
  </w:style>
  <w:style w:type="paragraph" w:customStyle="1" w:styleId="1907">
    <w:name w:val="样式 标题 3 + 首行缩进:  2 字符 段前: 0.5 行 段后: 0.5 行"/>
    <w:basedOn w:val="5"/>
    <w:qFormat/>
    <w:uiPriority w:val="0"/>
    <w:pPr>
      <w:keepNext/>
      <w:spacing w:before="156" w:beforeLines="50" w:after="156" w:afterLines="50" w:line="360" w:lineRule="auto"/>
      <w:ind w:firstLine="482" w:firstLineChars="200"/>
    </w:pPr>
    <w:rPr>
      <w:rFonts w:cs="宋体"/>
      <w:color w:val="auto"/>
      <w:kern w:val="2"/>
      <w:sz w:val="24"/>
    </w:rPr>
  </w:style>
  <w:style w:type="character" w:customStyle="1" w:styleId="1908">
    <w:name w:val="time4"/>
    <w:qFormat/>
    <w:uiPriority w:val="0"/>
  </w:style>
  <w:style w:type="paragraph" w:customStyle="1" w:styleId="1909">
    <w:name w:val="正文01"/>
    <w:basedOn w:val="1"/>
    <w:link w:val="1910"/>
    <w:qFormat/>
    <w:uiPriority w:val="0"/>
    <w:pPr>
      <w:spacing w:before="60" w:beforeLines="0" w:line="460" w:lineRule="exact"/>
      <w:ind w:firstLine="200" w:firstLineChars="200"/>
    </w:pPr>
    <w:rPr>
      <w:sz w:val="24"/>
    </w:rPr>
  </w:style>
  <w:style w:type="character" w:customStyle="1" w:styleId="1910">
    <w:name w:val="正文01 Char"/>
    <w:link w:val="1909"/>
    <w:qFormat/>
    <w:uiPriority w:val="0"/>
    <w:rPr>
      <w:kern w:val="2"/>
      <w:sz w:val="24"/>
      <w:szCs w:val="24"/>
    </w:rPr>
  </w:style>
  <w:style w:type="paragraph" w:customStyle="1" w:styleId="1911">
    <w:name w:val="样式 宋体 居中"/>
    <w:basedOn w:val="1"/>
    <w:link w:val="1912"/>
    <w:qFormat/>
    <w:uiPriority w:val="0"/>
    <w:pPr>
      <w:spacing w:before="0" w:beforeLines="0" w:line="240" w:lineRule="auto"/>
      <w:jc w:val="center"/>
    </w:pPr>
    <w:rPr>
      <w:rFonts w:ascii="宋体" w:cs="宋体"/>
      <w:sz w:val="18"/>
      <w:szCs w:val="20"/>
    </w:rPr>
  </w:style>
  <w:style w:type="character" w:customStyle="1" w:styleId="1912">
    <w:name w:val="样式 宋体 居中 Char"/>
    <w:link w:val="1911"/>
    <w:qFormat/>
    <w:uiPriority w:val="0"/>
    <w:rPr>
      <w:rFonts w:ascii="宋体" w:cs="宋体"/>
      <w:kern w:val="2"/>
      <w:sz w:val="18"/>
    </w:rPr>
  </w:style>
  <w:style w:type="paragraph" w:customStyle="1" w:styleId="1913">
    <w:name w:val="B4"/>
    <w:basedOn w:val="1"/>
    <w:link w:val="1914"/>
    <w:qFormat/>
    <w:uiPriority w:val="99"/>
    <w:pPr>
      <w:spacing w:before="0" w:beforeLines="0" w:line="640" w:lineRule="exact"/>
      <w:ind w:firstLine="560" w:firstLineChars="200"/>
    </w:pPr>
    <w:rPr>
      <w:rFonts w:ascii="仿宋_GB2312" w:hAnsi="黑体" w:eastAsia="仿宋_GB2312"/>
      <w:kern w:val="10"/>
      <w:sz w:val="28"/>
      <w:szCs w:val="20"/>
    </w:rPr>
  </w:style>
  <w:style w:type="character" w:customStyle="1" w:styleId="1914">
    <w:name w:val="B4 Char"/>
    <w:link w:val="1913"/>
    <w:qFormat/>
    <w:locked/>
    <w:uiPriority w:val="99"/>
    <w:rPr>
      <w:rFonts w:ascii="仿宋_GB2312" w:hAnsi="黑体" w:eastAsia="仿宋_GB2312"/>
      <w:kern w:val="10"/>
      <w:sz w:val="28"/>
    </w:rPr>
  </w:style>
  <w:style w:type="paragraph" w:customStyle="1" w:styleId="1915">
    <w:name w:val="老吴文"/>
    <w:basedOn w:val="6"/>
    <w:qFormat/>
    <w:uiPriority w:val="0"/>
    <w:pPr>
      <w:widowControl/>
      <w:spacing w:before="20" w:after="20" w:line="540" w:lineRule="auto"/>
      <w:ind w:firstLine="200"/>
    </w:pPr>
    <w:rPr>
      <w:rFonts w:ascii="Times New Roman" w:hAnsi="Times New Roman"/>
      <w:color w:val="006600"/>
      <w:spacing w:val="2"/>
      <w:w w:val="101"/>
      <w:sz w:val="27"/>
      <w:szCs w:val="27"/>
      <w:lang w:val="zh-CN"/>
    </w:rPr>
  </w:style>
  <w:style w:type="character" w:customStyle="1" w:styleId="1916">
    <w:name w:val="apple-converted-space"/>
    <w:qFormat/>
    <w:uiPriority w:val="0"/>
  </w:style>
  <w:style w:type="character" w:customStyle="1" w:styleId="1917">
    <w:name w:val="表体 Char"/>
    <w:link w:val="482"/>
    <w:qFormat/>
    <w:uiPriority w:val="0"/>
    <w:rPr>
      <w:rFonts w:ascii="宋体"/>
      <w:color w:val="000000"/>
      <w:kern w:val="24"/>
      <w:sz w:val="21"/>
    </w:rPr>
  </w:style>
  <w:style w:type="character" w:customStyle="1" w:styleId="1918">
    <w:name w:val="正文(首行缩进) Char"/>
    <w:qFormat/>
    <w:uiPriority w:val="0"/>
    <w:rPr>
      <w:rFonts w:ascii="Times New Roman" w:hAnsi="Times New Roman" w:eastAsia="宋体" w:cs="Times New Roman"/>
      <w:snapToGrid w:val="0"/>
      <w:kern w:val="0"/>
      <w:sz w:val="24"/>
      <w:szCs w:val="24"/>
    </w:rPr>
  </w:style>
  <w:style w:type="paragraph" w:customStyle="1" w:styleId="1919">
    <w:name w:val="样式 样式 样式 首行缩进:  2 字符 + 首行缩进:  2 字符 + 首行缩进:  2 字符"/>
    <w:basedOn w:val="1"/>
    <w:link w:val="1920"/>
    <w:qFormat/>
    <w:uiPriority w:val="0"/>
    <w:pPr>
      <w:spacing w:before="0" w:beforeLines="0" w:line="360" w:lineRule="auto"/>
      <w:ind w:firstLine="200" w:firstLineChars="200"/>
    </w:pPr>
    <w:rPr>
      <w:rFonts w:ascii="Arial" w:hAnsi="Arial" w:eastAsia="新宋体"/>
      <w:sz w:val="24"/>
      <w:szCs w:val="20"/>
      <w:lang w:val="zh-CN"/>
    </w:rPr>
  </w:style>
  <w:style w:type="character" w:customStyle="1" w:styleId="1920">
    <w:name w:val="样式 样式 样式 首行缩进:  2 字符 + 首行缩进:  2 字符 + 首行缩进:  2 字符 Char"/>
    <w:link w:val="1919"/>
    <w:qFormat/>
    <w:uiPriority w:val="0"/>
    <w:rPr>
      <w:rFonts w:ascii="Arial" w:hAnsi="Arial" w:eastAsia="新宋体"/>
      <w:kern w:val="2"/>
      <w:sz w:val="24"/>
      <w:lang w:val="zh-CN"/>
    </w:rPr>
  </w:style>
  <w:style w:type="character" w:customStyle="1" w:styleId="1921">
    <w:name w:val="unnamed3"/>
    <w:qFormat/>
    <w:uiPriority w:val="0"/>
  </w:style>
  <w:style w:type="character" w:customStyle="1" w:styleId="1922">
    <w:name w:val="普通(网站) 字符"/>
    <w:link w:val="83"/>
    <w:qFormat/>
    <w:uiPriority w:val="99"/>
    <w:rPr>
      <w:rFonts w:ascii="宋体" w:hAnsi="宋体" w:cs="宋体"/>
      <w:sz w:val="24"/>
      <w:szCs w:val="24"/>
    </w:rPr>
  </w:style>
  <w:style w:type="paragraph" w:customStyle="1" w:styleId="1923">
    <w:name w:val="第四章表"/>
    <w:basedOn w:val="1"/>
    <w:qFormat/>
    <w:uiPriority w:val="0"/>
    <w:pPr>
      <w:numPr>
        <w:ilvl w:val="0"/>
        <w:numId w:val="17"/>
      </w:numPr>
      <w:adjustRightInd w:val="0"/>
      <w:snapToGrid w:val="0"/>
      <w:spacing w:before="0" w:beforeLines="0" w:line="400" w:lineRule="exact"/>
      <w:ind w:firstLine="0"/>
      <w:jc w:val="center"/>
    </w:pPr>
    <w:rPr>
      <w:rFonts w:eastAsia="黑体"/>
      <w:color w:val="2A2A2A"/>
      <w:sz w:val="24"/>
    </w:rPr>
  </w:style>
  <w:style w:type="character" w:customStyle="1" w:styleId="1924">
    <w:name w:val="公式说明 Char"/>
    <w:link w:val="1925"/>
    <w:qFormat/>
    <w:locked/>
    <w:uiPriority w:val="0"/>
    <w:rPr>
      <w:rFonts w:eastAsia="仿宋_GB2312"/>
      <w:sz w:val="32"/>
      <w:lang w:val="zh-CN"/>
    </w:rPr>
  </w:style>
  <w:style w:type="paragraph" w:customStyle="1" w:styleId="1925">
    <w:name w:val="公式说明"/>
    <w:basedOn w:val="1"/>
    <w:link w:val="1924"/>
    <w:qFormat/>
    <w:uiPriority w:val="0"/>
    <w:pPr>
      <w:tabs>
        <w:tab w:val="left" w:pos="1920"/>
      </w:tabs>
      <w:adjustRightInd w:val="0"/>
      <w:snapToGrid w:val="0"/>
      <w:spacing w:before="0" w:beforeLines="0" w:line="620" w:lineRule="exact"/>
      <w:ind w:firstLine="200" w:firstLineChars="200"/>
    </w:pPr>
    <w:rPr>
      <w:rFonts w:eastAsia="仿宋_GB2312"/>
      <w:kern w:val="0"/>
      <w:sz w:val="32"/>
      <w:szCs w:val="20"/>
      <w:lang w:val="zh-CN"/>
    </w:rPr>
  </w:style>
  <w:style w:type="paragraph" w:customStyle="1" w:styleId="1926">
    <w:name w:val="我的正文"/>
    <w:basedOn w:val="1"/>
    <w:qFormat/>
    <w:uiPriority w:val="0"/>
    <w:pPr>
      <w:spacing w:before="0" w:beforeLines="0" w:line="360" w:lineRule="auto"/>
      <w:ind w:firstLine="200" w:firstLineChars="200"/>
    </w:pPr>
    <w:rPr>
      <w:sz w:val="24"/>
      <w:szCs w:val="20"/>
      <w:lang w:val="zh-CN"/>
    </w:rPr>
  </w:style>
  <w:style w:type="character" w:customStyle="1" w:styleId="1927">
    <w:name w:val="表格样式 Char1"/>
    <w:link w:val="1372"/>
    <w:qFormat/>
    <w:uiPriority w:val="0"/>
    <w:rPr>
      <w:rFonts w:ascii="宋体" w:hAnsi="宋体"/>
      <w:kern w:val="2"/>
      <w:sz w:val="21"/>
      <w:szCs w:val="24"/>
    </w:rPr>
  </w:style>
  <w:style w:type="character" w:customStyle="1" w:styleId="1928">
    <w:name w:val="3级 Char"/>
    <w:link w:val="1929"/>
    <w:qFormat/>
    <w:uiPriority w:val="0"/>
    <w:rPr>
      <w:bCs/>
      <w:color w:val="000000"/>
      <w:sz w:val="24"/>
      <w:szCs w:val="24"/>
    </w:rPr>
  </w:style>
  <w:style w:type="paragraph" w:customStyle="1" w:styleId="1929">
    <w:name w:val="3级"/>
    <w:basedOn w:val="5"/>
    <w:link w:val="1928"/>
    <w:qFormat/>
    <w:uiPriority w:val="0"/>
    <w:pPr>
      <w:keepNext/>
      <w:adjustRightInd w:val="0"/>
      <w:snapToGrid w:val="0"/>
      <w:spacing w:before="0" w:after="0" w:line="360" w:lineRule="auto"/>
    </w:pPr>
    <w:rPr>
      <w:b w:val="0"/>
      <w:kern w:val="0"/>
      <w:sz w:val="24"/>
      <w:szCs w:val="24"/>
    </w:rPr>
  </w:style>
  <w:style w:type="character" w:customStyle="1" w:styleId="1930">
    <w:name w:val="条文首行缩进 Char"/>
    <w:link w:val="1931"/>
    <w:qFormat/>
    <w:uiPriority w:val="0"/>
    <w:rPr>
      <w:rFonts w:ascii="Arial" w:hAnsi="Arial"/>
      <w:sz w:val="24"/>
      <w:szCs w:val="24"/>
    </w:rPr>
  </w:style>
  <w:style w:type="paragraph" w:customStyle="1" w:styleId="1931">
    <w:name w:val="条文首行缩进"/>
    <w:basedOn w:val="1"/>
    <w:link w:val="1930"/>
    <w:qFormat/>
    <w:uiPriority w:val="0"/>
    <w:pPr>
      <w:spacing w:before="0" w:beforeLines="0" w:line="240" w:lineRule="auto"/>
      <w:ind w:firstLine="480" w:firstLineChars="200"/>
    </w:pPr>
    <w:rPr>
      <w:rFonts w:ascii="Arial" w:hAnsi="Arial"/>
      <w:kern w:val="0"/>
      <w:sz w:val="24"/>
    </w:rPr>
  </w:style>
  <w:style w:type="character" w:customStyle="1" w:styleId="1932">
    <w:name w:val="1级 Char"/>
    <w:link w:val="1933"/>
    <w:qFormat/>
    <w:uiPriority w:val="0"/>
    <w:rPr>
      <w:bCs/>
      <w:color w:val="000000"/>
      <w:kern w:val="44"/>
      <w:sz w:val="30"/>
      <w:szCs w:val="30"/>
    </w:rPr>
  </w:style>
  <w:style w:type="paragraph" w:customStyle="1" w:styleId="1933">
    <w:name w:val="1级"/>
    <w:basedOn w:val="3"/>
    <w:link w:val="1932"/>
    <w:qFormat/>
    <w:uiPriority w:val="0"/>
    <w:pPr>
      <w:pageBreakBefore/>
      <w:tabs>
        <w:tab w:val="clear" w:pos="360"/>
      </w:tabs>
      <w:adjustRightInd w:val="0"/>
      <w:snapToGrid w:val="0"/>
      <w:spacing w:before="0" w:after="0"/>
      <w:ind w:firstLine="480" w:firstLineChars="200"/>
      <w:jc w:val="center"/>
    </w:pPr>
    <w:rPr>
      <w:b w:val="0"/>
      <w:kern w:val="44"/>
      <w:sz w:val="30"/>
      <w:szCs w:val="30"/>
    </w:rPr>
  </w:style>
  <w:style w:type="character" w:customStyle="1" w:styleId="1934">
    <w:name w:val="4级标题 Char"/>
    <w:link w:val="992"/>
    <w:qFormat/>
    <w:uiPriority w:val="0"/>
    <w:rPr>
      <w:kern w:val="2"/>
      <w:sz w:val="24"/>
      <w:szCs w:val="24"/>
    </w:rPr>
  </w:style>
  <w:style w:type="character" w:customStyle="1" w:styleId="1935">
    <w:name w:val="2级 Char"/>
    <w:link w:val="1936"/>
    <w:qFormat/>
    <w:uiPriority w:val="0"/>
    <w:rPr>
      <w:bCs/>
      <w:color w:val="000000"/>
      <w:sz w:val="24"/>
      <w:szCs w:val="24"/>
    </w:rPr>
  </w:style>
  <w:style w:type="paragraph" w:customStyle="1" w:styleId="1936">
    <w:name w:val="2级"/>
    <w:basedOn w:val="4"/>
    <w:link w:val="1935"/>
    <w:qFormat/>
    <w:uiPriority w:val="0"/>
    <w:pPr>
      <w:adjustRightInd w:val="0"/>
      <w:snapToGrid w:val="0"/>
      <w:spacing w:before="0" w:after="0" w:line="360" w:lineRule="auto"/>
    </w:pPr>
    <w:rPr>
      <w:rFonts w:ascii="Times New Roman" w:hAnsi="Times New Roman" w:eastAsia="宋体"/>
      <w:b w:val="0"/>
      <w:bCs/>
      <w:kern w:val="0"/>
      <w:sz w:val="24"/>
      <w:szCs w:val="24"/>
    </w:rPr>
  </w:style>
  <w:style w:type="character" w:customStyle="1" w:styleId="1937">
    <w:name w:val="封面 Char"/>
    <w:link w:val="1938"/>
    <w:qFormat/>
    <w:uiPriority w:val="0"/>
    <w:rPr>
      <w:rFonts w:ascii="仿宋" w:hAnsi="仿宋" w:eastAsia="仿宋"/>
      <w:b/>
      <w:sz w:val="52"/>
      <w:szCs w:val="52"/>
    </w:rPr>
  </w:style>
  <w:style w:type="paragraph" w:customStyle="1" w:styleId="1938">
    <w:name w:val="封面"/>
    <w:basedOn w:val="1"/>
    <w:link w:val="1937"/>
    <w:qFormat/>
    <w:uiPriority w:val="0"/>
    <w:pPr>
      <w:widowControl/>
      <w:spacing w:before="100" w:beforeLines="0" w:beforeAutospacing="1" w:after="100" w:afterAutospacing="1" w:line="360" w:lineRule="auto"/>
      <w:jc w:val="center"/>
    </w:pPr>
    <w:rPr>
      <w:rFonts w:ascii="仿宋" w:hAnsi="仿宋" w:eastAsia="仿宋"/>
      <w:b/>
      <w:kern w:val="0"/>
      <w:sz w:val="52"/>
      <w:szCs w:val="52"/>
    </w:rPr>
  </w:style>
  <w:style w:type="character" w:customStyle="1" w:styleId="1939">
    <w:name w:val="short_text"/>
    <w:qFormat/>
    <w:uiPriority w:val="0"/>
  </w:style>
  <w:style w:type="character" w:customStyle="1" w:styleId="1940">
    <w:name w:val="zw1"/>
    <w:qFormat/>
    <w:uiPriority w:val="0"/>
    <w:rPr>
      <w:rFonts w:hint="eastAsia" w:ascii="宋体" w:hAnsi="宋体" w:eastAsia="宋体"/>
      <w:sz w:val="22"/>
      <w:szCs w:val="22"/>
    </w:rPr>
  </w:style>
  <w:style w:type="character" w:customStyle="1" w:styleId="1941">
    <w:name w:val="正文-可研 Char"/>
    <w:link w:val="1942"/>
    <w:qFormat/>
    <w:uiPriority w:val="0"/>
    <w:rPr>
      <w:rFonts w:hAnsi="Calibri"/>
      <w:sz w:val="24"/>
      <w:szCs w:val="21"/>
    </w:rPr>
  </w:style>
  <w:style w:type="paragraph" w:customStyle="1" w:styleId="1942">
    <w:name w:val="正文-可研"/>
    <w:basedOn w:val="1"/>
    <w:link w:val="1941"/>
    <w:qFormat/>
    <w:uiPriority w:val="0"/>
    <w:pPr>
      <w:spacing w:before="0" w:beforeLines="0" w:line="360" w:lineRule="auto"/>
      <w:ind w:firstLine="480" w:firstLineChars="200"/>
    </w:pPr>
    <w:rPr>
      <w:rFonts w:hAnsi="Calibri"/>
      <w:kern w:val="0"/>
      <w:sz w:val="24"/>
      <w:szCs w:val="21"/>
    </w:rPr>
  </w:style>
  <w:style w:type="character" w:customStyle="1" w:styleId="1943">
    <w:name w:val="批注框文本 字符1"/>
    <w:qFormat/>
    <w:uiPriority w:val="99"/>
    <w:rPr>
      <w:sz w:val="18"/>
      <w:szCs w:val="18"/>
    </w:rPr>
  </w:style>
  <w:style w:type="paragraph" w:customStyle="1" w:styleId="1944">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character" w:customStyle="1" w:styleId="1945">
    <w:name w:val="副标题 字符1"/>
    <w:qFormat/>
    <w:uiPriority w:val="11"/>
    <w:rPr>
      <w:b/>
      <w:bCs/>
      <w:kern w:val="28"/>
      <w:sz w:val="32"/>
      <w:szCs w:val="32"/>
    </w:rPr>
  </w:style>
  <w:style w:type="paragraph" w:customStyle="1" w:styleId="1946">
    <w:name w:val="xl98"/>
    <w:basedOn w:val="1"/>
    <w:qFormat/>
    <w:uiPriority w:val="0"/>
    <w:pPr>
      <w:widowControl/>
      <w:pBdr>
        <w:left w:val="single" w:color="auto" w:sz="4" w:space="0"/>
        <w:bottom w:val="single" w:color="auto" w:sz="4"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character" w:customStyle="1" w:styleId="1947">
    <w:name w:val="文档结构图 字符1"/>
    <w:qFormat/>
    <w:uiPriority w:val="0"/>
    <w:rPr>
      <w:rFonts w:ascii="Microsoft YaHei UI" w:eastAsia="Microsoft YaHei UI"/>
      <w:sz w:val="18"/>
      <w:szCs w:val="18"/>
    </w:rPr>
  </w:style>
  <w:style w:type="character" w:customStyle="1" w:styleId="1948">
    <w:name w:val="正文文本缩进 字符1"/>
    <w:semiHidden/>
    <w:qFormat/>
    <w:uiPriority w:val="99"/>
  </w:style>
  <w:style w:type="character" w:customStyle="1" w:styleId="1949">
    <w:name w:val="尾注文本 字符1"/>
    <w:semiHidden/>
    <w:qFormat/>
    <w:uiPriority w:val="99"/>
  </w:style>
  <w:style w:type="paragraph" w:customStyle="1" w:styleId="1950">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left"/>
    </w:pPr>
    <w:rPr>
      <w:rFonts w:ascii="宋体" w:hAnsi="宋体" w:cs="宋体"/>
      <w:kern w:val="0"/>
      <w:sz w:val="20"/>
      <w:szCs w:val="20"/>
    </w:rPr>
  </w:style>
  <w:style w:type="paragraph" w:customStyle="1" w:styleId="1951">
    <w:name w:val="J【表中文字】"/>
    <w:basedOn w:val="1"/>
    <w:qFormat/>
    <w:uiPriority w:val="0"/>
    <w:pPr>
      <w:spacing w:before="0" w:beforeLines="0" w:line="240" w:lineRule="auto"/>
      <w:jc w:val="center"/>
      <w:textAlignment w:val="center"/>
    </w:pPr>
    <w:rPr>
      <w:rFonts w:cs="宋体"/>
      <w:szCs w:val="21"/>
    </w:rPr>
  </w:style>
  <w:style w:type="paragraph" w:customStyle="1" w:styleId="1952">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1953">
    <w:name w:val="可研1"/>
    <w:basedOn w:val="1"/>
    <w:qFormat/>
    <w:uiPriority w:val="0"/>
    <w:pPr>
      <w:adjustRightInd w:val="0"/>
      <w:snapToGrid w:val="0"/>
      <w:spacing w:before="0" w:beforeLines="0" w:line="360" w:lineRule="auto"/>
      <w:ind w:firstLine="480" w:firstLineChars="200"/>
    </w:pPr>
    <w:rPr>
      <w:b/>
      <w:color w:val="000000"/>
      <w:kern w:val="0"/>
      <w:sz w:val="28"/>
      <w:szCs w:val="28"/>
    </w:rPr>
  </w:style>
  <w:style w:type="character" w:customStyle="1" w:styleId="1954">
    <w:name w:val="正文文本 字符1"/>
    <w:qFormat/>
    <w:uiPriority w:val="0"/>
  </w:style>
  <w:style w:type="character" w:customStyle="1" w:styleId="1955">
    <w:name w:val="脚注文本 字符1"/>
    <w:semiHidden/>
    <w:qFormat/>
    <w:uiPriority w:val="99"/>
    <w:rPr>
      <w:sz w:val="18"/>
      <w:szCs w:val="18"/>
    </w:rPr>
  </w:style>
  <w:style w:type="paragraph" w:customStyle="1" w:styleId="1956">
    <w:name w:val="样式 正文缩进1 + 行距: 固定值 24 磅"/>
    <w:basedOn w:val="1"/>
    <w:qFormat/>
    <w:uiPriority w:val="0"/>
    <w:pPr>
      <w:widowControl/>
      <w:snapToGrid w:val="0"/>
      <w:spacing w:before="0" w:beforeLines="0" w:line="480" w:lineRule="exact"/>
      <w:ind w:firstLine="200" w:firstLineChars="200"/>
    </w:pPr>
    <w:rPr>
      <w:rFonts w:ascii="宋体" w:cs="宋体"/>
      <w:spacing w:val="6"/>
      <w:kern w:val="24"/>
      <w:sz w:val="24"/>
      <w:szCs w:val="20"/>
    </w:rPr>
  </w:style>
  <w:style w:type="character" w:customStyle="1" w:styleId="1957">
    <w:name w:val="纯文本 字符1"/>
    <w:semiHidden/>
    <w:qFormat/>
    <w:uiPriority w:val="99"/>
    <w:rPr>
      <w:rFonts w:ascii="等线" w:hAnsi="Courier New" w:cs="Courier New"/>
    </w:rPr>
  </w:style>
  <w:style w:type="character" w:customStyle="1" w:styleId="1958">
    <w:name w:val="批注主题 字符1"/>
    <w:qFormat/>
    <w:uiPriority w:val="99"/>
    <w:rPr>
      <w:b/>
      <w:bCs/>
    </w:rPr>
  </w:style>
  <w:style w:type="character" w:customStyle="1" w:styleId="1959">
    <w:name w:val="标题 字符1"/>
    <w:qFormat/>
    <w:uiPriority w:val="0"/>
    <w:rPr>
      <w:rFonts w:ascii="等线 Light" w:hAnsi="等线 Light" w:eastAsia="等线 Light" w:cs="Times New Roman"/>
      <w:b/>
      <w:bCs/>
      <w:sz w:val="32"/>
      <w:szCs w:val="32"/>
    </w:rPr>
  </w:style>
  <w:style w:type="paragraph" w:customStyle="1" w:styleId="1960">
    <w:name w:val="xl97"/>
    <w:basedOn w:val="1"/>
    <w:qFormat/>
    <w:uiPriority w:val="0"/>
    <w:pPr>
      <w:widowControl/>
      <w:pBdr>
        <w:top w:val="single" w:color="auto" w:sz="4" w:space="0"/>
        <w:left w:val="single" w:color="auto" w:sz="4" w:space="0"/>
      </w:pBdr>
      <w:spacing w:before="100" w:beforeLines="0" w:beforeAutospacing="1" w:after="100" w:afterAutospacing="1" w:line="240" w:lineRule="auto"/>
      <w:jc w:val="center"/>
    </w:pPr>
    <w:rPr>
      <w:rFonts w:ascii="宋体" w:hAnsi="宋体" w:cs="宋体"/>
      <w:kern w:val="0"/>
      <w:sz w:val="24"/>
    </w:rPr>
  </w:style>
  <w:style w:type="character" w:customStyle="1" w:styleId="1961">
    <w:name w:val="正文文本缩进 3 字符1"/>
    <w:semiHidden/>
    <w:qFormat/>
    <w:uiPriority w:val="99"/>
    <w:rPr>
      <w:sz w:val="16"/>
      <w:szCs w:val="16"/>
    </w:rPr>
  </w:style>
  <w:style w:type="paragraph" w:customStyle="1" w:styleId="1962">
    <w:name w:val="Char Char Char Char Char Char Char Char Char Char Char1 Char Char Char Char Char Char Char"/>
    <w:basedOn w:val="1"/>
    <w:qFormat/>
    <w:uiPriority w:val="0"/>
    <w:pPr>
      <w:spacing w:before="0" w:beforeLines="0" w:line="240" w:lineRule="auto"/>
    </w:pPr>
  </w:style>
  <w:style w:type="character" w:customStyle="1" w:styleId="1963">
    <w:name w:val="正文首行缩进 字符1"/>
    <w:semiHidden/>
    <w:qFormat/>
    <w:uiPriority w:val="99"/>
  </w:style>
  <w:style w:type="character" w:customStyle="1" w:styleId="1964">
    <w:name w:val="正文首行缩进 2 字符1"/>
    <w:semiHidden/>
    <w:qFormat/>
    <w:uiPriority w:val="99"/>
  </w:style>
  <w:style w:type="paragraph" w:customStyle="1" w:styleId="1965">
    <w:name w:val="修订11"/>
    <w:unhideWhenUsed/>
    <w:qFormat/>
    <w:uiPriority w:val="99"/>
    <w:rPr>
      <w:rFonts w:ascii="Times New Roman" w:hAnsi="Times New Roman" w:eastAsia="宋体" w:cs="Times New Roman"/>
      <w:color w:val="000000"/>
      <w:sz w:val="24"/>
      <w:szCs w:val="24"/>
      <w:lang w:val="en-US" w:eastAsia="zh-CN" w:bidi="ar-SA"/>
    </w:rPr>
  </w:style>
  <w:style w:type="character" w:customStyle="1" w:styleId="1966">
    <w:name w:val="正文文本 2 字符1"/>
    <w:semiHidden/>
    <w:qFormat/>
    <w:uiPriority w:val="99"/>
  </w:style>
  <w:style w:type="paragraph" w:customStyle="1" w:styleId="1967">
    <w:name w:val="Char Char Char Char Char Char Char4"/>
    <w:basedOn w:val="1"/>
    <w:qFormat/>
    <w:uiPriority w:val="0"/>
    <w:pPr>
      <w:spacing w:before="0" w:beforeLines="0" w:line="240" w:lineRule="auto"/>
    </w:pPr>
  </w:style>
  <w:style w:type="character" w:customStyle="1" w:styleId="1968">
    <w:name w:val="正文文本缩进 2 字符1"/>
    <w:semiHidden/>
    <w:qFormat/>
    <w:uiPriority w:val="99"/>
  </w:style>
  <w:style w:type="character" w:customStyle="1" w:styleId="1969">
    <w:name w:val="正文文本 3 字符1"/>
    <w:semiHidden/>
    <w:qFormat/>
    <w:uiPriority w:val="99"/>
    <w:rPr>
      <w:sz w:val="16"/>
      <w:szCs w:val="16"/>
    </w:rPr>
  </w:style>
  <w:style w:type="paragraph" w:customStyle="1" w:styleId="1970">
    <w:name w:val="xl88"/>
    <w:basedOn w:val="1"/>
    <w:qFormat/>
    <w:uiPriority w:val="0"/>
    <w:pPr>
      <w:widowControl/>
      <w:pBdr>
        <w:top w:val="single" w:color="auto" w:sz="4" w:space="0"/>
        <w:left w:val="single" w:color="auto" w:sz="4" w:space="0"/>
        <w:bottom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1971">
    <w:name w:val="xl147"/>
    <w:basedOn w:val="1"/>
    <w:qFormat/>
    <w:uiPriority w:val="0"/>
    <w:pPr>
      <w:widowControl/>
      <w:pBdr>
        <w:top w:val="single" w:color="auto" w:sz="4" w:space="0"/>
        <w:left w:val="single" w:color="auto" w:sz="12" w:space="0"/>
        <w:right w:val="single" w:color="auto" w:sz="4" w:space="0"/>
      </w:pBdr>
      <w:shd w:val="clear" w:color="000000" w:fill="FFFF00"/>
      <w:spacing w:before="100" w:beforeLines="0" w:beforeAutospacing="1" w:after="100" w:afterAutospacing="1" w:line="240" w:lineRule="auto"/>
      <w:jc w:val="center"/>
    </w:pPr>
    <w:rPr>
      <w:rFonts w:ascii="宋体" w:hAnsi="宋体" w:cs="宋体"/>
      <w:kern w:val="0"/>
      <w:sz w:val="24"/>
    </w:rPr>
  </w:style>
  <w:style w:type="paragraph" w:customStyle="1" w:styleId="1972">
    <w:name w:val="xl116"/>
    <w:basedOn w:val="1"/>
    <w:qFormat/>
    <w:uiPriority w:val="0"/>
    <w:pPr>
      <w:widowControl/>
      <w:pBdr>
        <w:top w:val="single" w:color="auto" w:sz="4" w:space="0"/>
        <w:left w:val="single" w:color="auto" w:sz="4" w:space="0"/>
        <w:bottom w:val="single" w:color="auto" w:sz="12" w:space="0"/>
      </w:pBdr>
      <w:spacing w:before="100" w:beforeLines="0" w:beforeAutospacing="1" w:after="100" w:afterAutospacing="1" w:line="240" w:lineRule="auto"/>
      <w:jc w:val="center"/>
    </w:pPr>
    <w:rPr>
      <w:rFonts w:ascii="宋体" w:hAnsi="宋体" w:cs="宋体"/>
      <w:kern w:val="0"/>
      <w:sz w:val="24"/>
    </w:rPr>
  </w:style>
  <w:style w:type="paragraph" w:customStyle="1" w:styleId="1973">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1974">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1975">
    <w:name w:val="xl90"/>
    <w:basedOn w:val="1"/>
    <w:qFormat/>
    <w:uiPriority w:val="0"/>
    <w:pPr>
      <w:widowControl/>
      <w:pBdr>
        <w:left w:val="single" w:color="auto" w:sz="4" w:space="0"/>
        <w:bottom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1976">
    <w:name w:val="xl148"/>
    <w:basedOn w:val="1"/>
    <w:qFormat/>
    <w:uiPriority w:val="0"/>
    <w:pPr>
      <w:widowControl/>
      <w:pBdr>
        <w:left w:val="single" w:color="auto" w:sz="4" w:space="0"/>
        <w:bottom w:val="single" w:color="auto" w:sz="4" w:space="0"/>
        <w:right w:val="single" w:color="auto" w:sz="4" w:space="0"/>
      </w:pBdr>
      <w:shd w:val="clear" w:color="000000" w:fill="FFFF00"/>
      <w:spacing w:before="100" w:beforeLines="0" w:beforeAutospacing="1" w:after="100" w:afterAutospacing="1" w:line="240" w:lineRule="auto"/>
      <w:jc w:val="center"/>
    </w:pPr>
    <w:rPr>
      <w:rFonts w:ascii="宋体" w:hAnsi="宋体" w:cs="宋体"/>
      <w:kern w:val="0"/>
      <w:sz w:val="24"/>
    </w:rPr>
  </w:style>
  <w:style w:type="paragraph" w:customStyle="1" w:styleId="1977">
    <w:name w:val="xl117"/>
    <w:basedOn w:val="1"/>
    <w:qFormat/>
    <w:uiPriority w:val="0"/>
    <w:pPr>
      <w:widowControl/>
      <w:pBdr>
        <w:top w:val="single" w:color="auto" w:sz="4" w:space="0"/>
        <w:left w:val="single" w:color="auto" w:sz="4" w:space="0"/>
        <w:bottom w:val="single" w:color="auto" w:sz="12"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1978">
    <w:name w:val="xl92"/>
    <w:basedOn w:val="1"/>
    <w:qFormat/>
    <w:uiPriority w:val="0"/>
    <w:pPr>
      <w:widowControl/>
      <w:pBdr>
        <w:top w:val="single" w:color="auto" w:sz="4" w:space="0"/>
        <w:bottom w:val="single" w:color="auto" w:sz="4"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1979">
    <w:name w:val="xl150"/>
    <w:basedOn w:val="1"/>
    <w:qFormat/>
    <w:uiPriority w:val="0"/>
    <w:pPr>
      <w:widowControl/>
      <w:pBdr>
        <w:left w:val="single" w:color="auto" w:sz="4" w:space="0"/>
        <w:bottom w:val="single" w:color="auto" w:sz="4" w:space="0"/>
      </w:pBdr>
      <w:shd w:val="clear" w:color="000000" w:fill="FFFF00"/>
      <w:spacing w:before="100" w:beforeLines="0" w:beforeAutospacing="1" w:after="100" w:afterAutospacing="1" w:line="240" w:lineRule="auto"/>
      <w:jc w:val="center"/>
    </w:pPr>
    <w:rPr>
      <w:rFonts w:ascii="宋体" w:hAnsi="宋体" w:cs="宋体"/>
      <w:kern w:val="0"/>
      <w:sz w:val="24"/>
    </w:rPr>
  </w:style>
  <w:style w:type="paragraph" w:customStyle="1" w:styleId="1980">
    <w:name w:val="xl119"/>
    <w:basedOn w:val="1"/>
    <w:qFormat/>
    <w:uiPriority w:val="0"/>
    <w:pPr>
      <w:widowControl/>
      <w:pBdr>
        <w:top w:val="single" w:color="auto" w:sz="4" w:space="0"/>
        <w:left w:val="single" w:color="auto" w:sz="12" w:space="0"/>
        <w:bottom w:val="single" w:color="auto" w:sz="12"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1981">
    <w:name w:val="一太郎８"/>
    <w:qFormat/>
    <w:uiPriority w:val="0"/>
    <w:pPr>
      <w:widowControl w:val="0"/>
      <w:wordWrap w:val="0"/>
      <w:autoSpaceDE w:val="0"/>
      <w:autoSpaceDN w:val="0"/>
      <w:adjustRightInd w:val="0"/>
      <w:spacing w:line="452" w:lineRule="atLeast"/>
      <w:jc w:val="both"/>
    </w:pPr>
    <w:rPr>
      <w:rFonts w:ascii="Times New Roman" w:hAnsi="Times New Roman" w:eastAsia="MS Mincho" w:cs="Times New Roman"/>
      <w:spacing w:val="10"/>
      <w:sz w:val="21"/>
      <w:lang w:val="en-US" w:eastAsia="ja-JP" w:bidi="ar-SA"/>
    </w:rPr>
  </w:style>
  <w:style w:type="paragraph" w:customStyle="1" w:styleId="1982">
    <w:name w:val="四级标题"/>
    <w:basedOn w:val="1"/>
    <w:next w:val="1"/>
    <w:qFormat/>
    <w:uiPriority w:val="0"/>
    <w:pPr>
      <w:numPr>
        <w:ilvl w:val="0"/>
        <w:numId w:val="18"/>
      </w:numPr>
      <w:snapToGrid w:val="0"/>
      <w:spacing w:before="156" w:beforeLines="50" w:line="360" w:lineRule="auto"/>
      <w:ind w:firstLine="0"/>
    </w:pPr>
    <w:rPr>
      <w:rFonts w:cs="宋体"/>
      <w:b/>
      <w:sz w:val="24"/>
    </w:rPr>
  </w:style>
  <w:style w:type="paragraph" w:customStyle="1" w:styleId="1983">
    <w:name w:val="ST20_32"/>
    <w:basedOn w:val="58"/>
    <w:qFormat/>
    <w:uiPriority w:val="0"/>
    <w:pPr>
      <w:keepLines/>
      <w:tabs>
        <w:tab w:val="center" w:pos="4320"/>
        <w:tab w:val="clear" w:pos="4153"/>
        <w:tab w:val="clear" w:pos="8306"/>
      </w:tabs>
      <w:autoSpaceDE w:val="0"/>
      <w:autoSpaceDN w:val="0"/>
      <w:adjustRightInd w:val="0"/>
      <w:snapToGrid/>
      <w:spacing w:before="0" w:beforeLines="0" w:line="360" w:lineRule="atLeast"/>
      <w:ind w:firstLine="200" w:firstLineChars="200"/>
      <w:jc w:val="center"/>
      <w:textAlignment w:val="baseline"/>
    </w:pPr>
    <w:rPr>
      <w:rFonts w:ascii="宋体" w:hAnsi="Tms Rmn"/>
      <w:kern w:val="0"/>
      <w:sz w:val="28"/>
      <w:szCs w:val="20"/>
      <w:lang w:val="zh-CN"/>
    </w:rPr>
  </w:style>
  <w:style w:type="paragraph" w:customStyle="1" w:styleId="1984">
    <w:name w:val="Char Char Char Char Char Char Char Char Char Char Char Char Char Char Char Char Char Char Char Char Char Char Char Char"/>
    <w:basedOn w:val="1"/>
    <w:qFormat/>
    <w:uiPriority w:val="0"/>
    <w:pPr>
      <w:adjustRightInd w:val="0"/>
      <w:snapToGrid w:val="0"/>
      <w:spacing w:before="0" w:beforeLines="0" w:line="360" w:lineRule="auto"/>
      <w:ind w:firstLine="480" w:firstLineChars="200"/>
    </w:pPr>
    <w:rPr>
      <w:color w:val="000000"/>
      <w:kern w:val="0"/>
      <w:sz w:val="24"/>
    </w:rPr>
  </w:style>
  <w:style w:type="paragraph" w:customStyle="1" w:styleId="1985">
    <w:name w:val="Char Char Char Char Char Char Char3"/>
    <w:basedOn w:val="1"/>
    <w:qFormat/>
    <w:uiPriority w:val="0"/>
    <w:pPr>
      <w:spacing w:before="0" w:beforeLines="0" w:line="240" w:lineRule="auto"/>
    </w:pPr>
  </w:style>
  <w:style w:type="paragraph" w:customStyle="1" w:styleId="1986">
    <w:name w:val="样式 样式 (符号) Arial 四号 黑色 行距: 固定值 26 磅1 + 首行缩进:  2 字符"/>
    <w:basedOn w:val="1"/>
    <w:qFormat/>
    <w:uiPriority w:val="0"/>
    <w:pPr>
      <w:spacing w:before="0" w:beforeLines="0" w:line="360" w:lineRule="auto"/>
      <w:ind w:firstLine="200" w:firstLineChars="200"/>
    </w:pPr>
    <w:rPr>
      <w:rFonts w:hAnsi="Arial" w:eastAsia="MS Mincho" w:cs="宋体"/>
      <w:color w:val="000000"/>
      <w:sz w:val="24"/>
      <w:szCs w:val="20"/>
    </w:rPr>
  </w:style>
  <w:style w:type="paragraph" w:customStyle="1" w:styleId="1987">
    <w:name w:val="Char Char Char Char Char Char Char2"/>
    <w:basedOn w:val="1"/>
    <w:qFormat/>
    <w:uiPriority w:val="0"/>
    <w:pPr>
      <w:spacing w:before="0" w:beforeLines="0" w:line="240" w:lineRule="auto"/>
    </w:pPr>
  </w:style>
  <w:style w:type="paragraph" w:customStyle="1" w:styleId="1988">
    <w:name w:val="表样式"/>
    <w:basedOn w:val="1"/>
    <w:next w:val="1"/>
    <w:qFormat/>
    <w:uiPriority w:val="0"/>
    <w:pPr>
      <w:widowControl/>
      <w:adjustRightInd w:val="0"/>
      <w:snapToGrid w:val="0"/>
      <w:spacing w:before="0" w:beforeLines="0" w:line="240" w:lineRule="auto"/>
      <w:jc w:val="center"/>
    </w:pPr>
    <w:rPr>
      <w:kern w:val="24"/>
      <w:szCs w:val="20"/>
    </w:rPr>
  </w:style>
  <w:style w:type="paragraph" w:customStyle="1" w:styleId="1989">
    <w:name w:val="样式 文章1 + 首行缩进:  6 字符1"/>
    <w:basedOn w:val="1"/>
    <w:qFormat/>
    <w:uiPriority w:val="0"/>
    <w:pPr>
      <w:spacing w:before="0" w:beforeLines="0" w:line="600" w:lineRule="exact"/>
      <w:ind w:firstLine="200" w:firstLineChars="200"/>
    </w:pPr>
    <w:rPr>
      <w:rFonts w:cs="宋体"/>
      <w:sz w:val="28"/>
      <w:szCs w:val="20"/>
    </w:rPr>
  </w:style>
  <w:style w:type="paragraph" w:customStyle="1" w:styleId="1990">
    <w:name w:val="xl136"/>
    <w:basedOn w:val="1"/>
    <w:qFormat/>
    <w:uiPriority w:val="0"/>
    <w:pPr>
      <w:widowControl/>
      <w:pBdr>
        <w:left w:val="single" w:color="auto" w:sz="12" w:space="0"/>
        <w:bottom w:val="single" w:color="auto" w:sz="4" w:space="0"/>
        <w:right w:val="single" w:color="auto" w:sz="4" w:space="0"/>
      </w:pBdr>
      <w:shd w:val="clear" w:color="000000" w:fill="FFFF00"/>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1991">
    <w:name w:val="List Paragraph1"/>
    <w:basedOn w:val="1"/>
    <w:qFormat/>
    <w:uiPriority w:val="34"/>
    <w:pPr>
      <w:adjustRightInd w:val="0"/>
      <w:snapToGrid w:val="0"/>
      <w:spacing w:before="0" w:beforeLines="0" w:line="360" w:lineRule="auto"/>
      <w:ind w:firstLine="420" w:firstLineChars="200"/>
    </w:pPr>
    <w:rPr>
      <w:rFonts w:ascii="Calibri" w:hAnsi="Calibri"/>
      <w:color w:val="000000"/>
      <w:kern w:val="0"/>
      <w:sz w:val="24"/>
      <w:szCs w:val="22"/>
    </w:rPr>
  </w:style>
  <w:style w:type="paragraph" w:customStyle="1" w:styleId="1992">
    <w:name w:val="表内容中"/>
    <w:basedOn w:val="52"/>
    <w:qFormat/>
    <w:uiPriority w:val="0"/>
    <w:pPr>
      <w:snapToGrid w:val="0"/>
      <w:spacing w:before="0" w:beforeLines="0" w:line="240" w:lineRule="auto"/>
      <w:ind w:left="0" w:leftChars="0"/>
    </w:pPr>
    <w:rPr>
      <w:rFonts w:ascii="楷体_GB2312" w:hAnsi="Arial" w:eastAsia="楷体_GB2312" w:cs="Arial"/>
      <w:color w:val="FF0000"/>
      <w:sz w:val="28"/>
      <w:szCs w:val="28"/>
    </w:rPr>
  </w:style>
  <w:style w:type="paragraph" w:customStyle="1" w:styleId="1993">
    <w:name w:val="列出段落3"/>
    <w:basedOn w:val="1"/>
    <w:qFormat/>
    <w:uiPriority w:val="34"/>
    <w:pPr>
      <w:adjustRightInd w:val="0"/>
      <w:snapToGrid w:val="0"/>
      <w:spacing w:before="0" w:beforeLines="0" w:line="360" w:lineRule="auto"/>
      <w:ind w:firstLine="420" w:firstLineChars="200"/>
      <w:jc w:val="left"/>
    </w:pPr>
    <w:rPr>
      <w:kern w:val="0"/>
      <w:sz w:val="24"/>
      <w:szCs w:val="22"/>
    </w:rPr>
  </w:style>
  <w:style w:type="paragraph" w:customStyle="1" w:styleId="1994">
    <w:name w:val="单位"/>
    <w:basedOn w:val="21"/>
    <w:qFormat/>
    <w:uiPriority w:val="0"/>
    <w:pPr>
      <w:adjustRightInd/>
      <w:snapToGrid/>
      <w:ind w:firstLine="0" w:firstLineChars="0"/>
      <w:jc w:val="right"/>
    </w:pPr>
    <w:rPr>
      <w:rFonts w:ascii="等线" w:hAnsi="等线" w:eastAsia="宋体" w:cs="Arial"/>
      <w:sz w:val="18"/>
    </w:rPr>
  </w:style>
  <w:style w:type="paragraph" w:customStyle="1" w:styleId="1995">
    <w:name w:val="xl76"/>
    <w:basedOn w:val="1"/>
    <w:qFormat/>
    <w:uiPriority w:val="0"/>
    <w:pPr>
      <w:widowControl/>
      <w:pBdr>
        <w:left w:val="single" w:color="auto" w:sz="4" w:space="0"/>
        <w:bottom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1996">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1997">
    <w:name w:val="xl79"/>
    <w:basedOn w:val="1"/>
    <w:qFormat/>
    <w:uiPriority w:val="0"/>
    <w:pPr>
      <w:widowControl/>
      <w:pBdr>
        <w:top w:val="single" w:color="auto" w:sz="4" w:space="0"/>
        <w:left w:val="single" w:color="auto" w:sz="4" w:space="0"/>
        <w:bottom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1998">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1999">
    <w:name w:val="xl82"/>
    <w:basedOn w:val="1"/>
    <w:qFormat/>
    <w:uiPriority w:val="0"/>
    <w:pPr>
      <w:widowControl/>
      <w:pBdr>
        <w:top w:val="single" w:color="auto" w:sz="4" w:space="0"/>
        <w:left w:val="single" w:color="auto" w:sz="4" w:space="0"/>
        <w:bottom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00">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01">
    <w:name w:val="xl84"/>
    <w:basedOn w:val="1"/>
    <w:qFormat/>
    <w:uiPriority w:val="0"/>
    <w:pPr>
      <w:widowControl/>
      <w:pBdr>
        <w:top w:val="single" w:color="auto" w:sz="4" w:space="0"/>
        <w:left w:val="single" w:color="auto" w:sz="4" w:space="0"/>
        <w:bottom w:val="single" w:color="auto" w:sz="12"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02">
    <w:name w:val="xl85"/>
    <w:basedOn w:val="1"/>
    <w:qFormat/>
    <w:uiPriority w:val="0"/>
    <w:pPr>
      <w:widowControl/>
      <w:pBdr>
        <w:top w:val="single" w:color="auto" w:sz="4" w:space="0"/>
        <w:left w:val="single" w:color="auto" w:sz="4" w:space="0"/>
        <w:bottom w:val="single" w:color="auto" w:sz="12" w:space="0"/>
      </w:pBdr>
      <w:spacing w:before="100" w:beforeLines="0" w:beforeAutospacing="1" w:after="100" w:afterAutospacing="1" w:line="240" w:lineRule="auto"/>
      <w:jc w:val="center"/>
    </w:pPr>
    <w:rPr>
      <w:rFonts w:ascii="宋体" w:hAnsi="宋体" w:cs="宋体"/>
      <w:kern w:val="0"/>
      <w:sz w:val="24"/>
    </w:rPr>
  </w:style>
  <w:style w:type="paragraph" w:customStyle="1" w:styleId="2003">
    <w:name w:val="xl89"/>
    <w:basedOn w:val="1"/>
    <w:qFormat/>
    <w:uiPriority w:val="0"/>
    <w:pPr>
      <w:widowControl/>
      <w:pBdr>
        <w:top w:val="single" w:color="auto" w:sz="4" w:space="0"/>
        <w:left w:val="single" w:color="auto" w:sz="12" w:space="0"/>
        <w:bottom w:val="single" w:color="auto" w:sz="4"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04">
    <w:name w:val="xl91"/>
    <w:basedOn w:val="1"/>
    <w:qFormat/>
    <w:uiPriority w:val="0"/>
    <w:pPr>
      <w:widowControl/>
      <w:pBdr>
        <w:top w:val="single" w:color="auto" w:sz="4" w:space="0"/>
        <w:left w:val="single" w:color="auto" w:sz="4" w:space="0"/>
        <w:bottom w:val="single" w:color="auto" w:sz="12"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05">
    <w:name w:val="xl93"/>
    <w:basedOn w:val="1"/>
    <w:qFormat/>
    <w:uiPriority w:val="0"/>
    <w:pPr>
      <w:widowControl/>
      <w:pBdr>
        <w:top w:val="single" w:color="auto" w:sz="4" w:space="0"/>
        <w:bottom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06">
    <w:name w:val="xl94"/>
    <w:basedOn w:val="1"/>
    <w:qFormat/>
    <w:uiPriority w:val="0"/>
    <w:pPr>
      <w:widowControl/>
      <w:pBdr>
        <w:top w:val="single" w:color="auto" w:sz="4" w:space="0"/>
        <w:left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07">
    <w:name w:val="xl95"/>
    <w:basedOn w:val="1"/>
    <w:qFormat/>
    <w:uiPriority w:val="0"/>
    <w:pPr>
      <w:widowControl/>
      <w:pBdr>
        <w:top w:val="single" w:color="auto" w:sz="4" w:space="0"/>
        <w:left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08">
    <w:name w:val="xl96"/>
    <w:basedOn w:val="1"/>
    <w:qFormat/>
    <w:uiPriority w:val="0"/>
    <w:pPr>
      <w:widowControl/>
      <w:pBdr>
        <w:top w:val="single" w:color="auto" w:sz="4" w:space="0"/>
        <w:left w:val="single" w:color="auto" w:sz="4"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09">
    <w:name w:val="xl99"/>
    <w:basedOn w:val="1"/>
    <w:qFormat/>
    <w:uiPriority w:val="0"/>
    <w:pPr>
      <w:widowControl/>
      <w:pBdr>
        <w:left w:val="single" w:color="auto" w:sz="4" w:space="0"/>
        <w:bottom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10">
    <w:name w:val="xl100"/>
    <w:basedOn w:val="1"/>
    <w:qFormat/>
    <w:uiPriority w:val="0"/>
    <w:pPr>
      <w:widowControl/>
      <w:pBdr>
        <w:top w:val="single" w:color="auto" w:sz="4" w:space="0"/>
        <w:lef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11">
    <w:name w:val="xl101"/>
    <w:basedOn w:val="1"/>
    <w:qFormat/>
    <w:uiPriority w:val="0"/>
    <w:pPr>
      <w:widowControl/>
      <w:pBdr>
        <w:top w:val="single" w:color="auto" w:sz="4" w:space="0"/>
        <w:left w:val="single" w:color="auto" w:sz="4"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12">
    <w:name w:val="xl102"/>
    <w:basedOn w:val="1"/>
    <w:qFormat/>
    <w:uiPriority w:val="0"/>
    <w:pPr>
      <w:widowControl/>
      <w:pBdr>
        <w:left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13">
    <w:name w:val="xl103"/>
    <w:basedOn w:val="1"/>
    <w:qFormat/>
    <w:uiPriority w:val="0"/>
    <w:pPr>
      <w:widowControl/>
      <w:pBdr>
        <w:top w:val="single" w:color="auto" w:sz="4" w:space="0"/>
        <w:left w:val="single" w:color="auto" w:sz="4"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14">
    <w:name w:val="xl104"/>
    <w:basedOn w:val="1"/>
    <w:qFormat/>
    <w:uiPriority w:val="0"/>
    <w:pPr>
      <w:widowControl/>
      <w:pBdr>
        <w:left w:val="single" w:color="auto" w:sz="4" w:space="0"/>
        <w:bottom w:val="single" w:color="auto" w:sz="4"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15">
    <w:name w:val="xl137"/>
    <w:basedOn w:val="1"/>
    <w:qFormat/>
    <w:uiPriority w:val="0"/>
    <w:pPr>
      <w:widowControl/>
      <w:pBdr>
        <w:top w:val="single" w:color="auto" w:sz="4" w:space="0"/>
        <w:left w:val="single" w:color="auto" w:sz="12" w:space="0"/>
        <w:bottom w:val="single" w:color="auto" w:sz="12" w:space="0"/>
        <w:right w:val="single" w:color="auto" w:sz="4" w:space="0"/>
      </w:pBdr>
      <w:shd w:val="clear" w:color="000000" w:fill="FFFF00"/>
      <w:spacing w:before="100" w:beforeLines="0" w:beforeAutospacing="1" w:after="100" w:afterAutospacing="1" w:line="240" w:lineRule="auto"/>
      <w:jc w:val="center"/>
    </w:pPr>
    <w:rPr>
      <w:rFonts w:ascii="宋体" w:hAnsi="宋体" w:cs="宋体"/>
      <w:kern w:val="0"/>
      <w:sz w:val="24"/>
    </w:rPr>
  </w:style>
  <w:style w:type="paragraph" w:customStyle="1" w:styleId="2016">
    <w:name w:val="xl105"/>
    <w:basedOn w:val="1"/>
    <w:qFormat/>
    <w:uiPriority w:val="0"/>
    <w:pPr>
      <w:widowControl/>
      <w:pBdr>
        <w:left w:val="single" w:color="auto" w:sz="4" w:space="0"/>
        <w:bottom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17">
    <w:name w:val="xl138"/>
    <w:basedOn w:val="1"/>
    <w:qFormat/>
    <w:uiPriority w:val="0"/>
    <w:pPr>
      <w:widowControl/>
      <w:pBdr>
        <w:top w:val="single" w:color="auto" w:sz="4" w:space="0"/>
        <w:left w:val="single" w:color="auto" w:sz="12" w:space="0"/>
        <w:bottom w:val="single" w:color="auto" w:sz="12" w:space="0"/>
        <w:right w:val="single" w:color="auto" w:sz="4" w:space="0"/>
      </w:pBdr>
      <w:shd w:val="clear" w:color="000000" w:fill="FFFF00"/>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18">
    <w:name w:val="xl106"/>
    <w:basedOn w:val="1"/>
    <w:qFormat/>
    <w:uiPriority w:val="0"/>
    <w:pPr>
      <w:widowControl/>
      <w:pBdr>
        <w:left w:val="single" w:color="auto" w:sz="4" w:space="0"/>
        <w:bottom w:val="single" w:color="auto" w:sz="4"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19">
    <w:name w:val="xl139"/>
    <w:basedOn w:val="1"/>
    <w:qFormat/>
    <w:uiPriority w:val="0"/>
    <w:pPr>
      <w:widowControl/>
      <w:pBdr>
        <w:top w:val="single" w:color="auto" w:sz="4" w:space="0"/>
        <w:left w:val="single" w:color="auto" w:sz="12" w:space="0"/>
        <w:right w:val="single" w:color="auto" w:sz="4" w:space="0"/>
      </w:pBdr>
      <w:shd w:val="clear" w:color="000000" w:fill="FFFF00"/>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20">
    <w:name w:val="xl107"/>
    <w:basedOn w:val="1"/>
    <w:qFormat/>
    <w:uiPriority w:val="0"/>
    <w:pPr>
      <w:widowControl/>
      <w:pBdr>
        <w:left w:val="single" w:color="auto" w:sz="12" w:space="0"/>
        <w:bottom w:val="single" w:color="auto" w:sz="4"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21">
    <w:name w:val="xl140"/>
    <w:basedOn w:val="1"/>
    <w:qFormat/>
    <w:uiPriority w:val="0"/>
    <w:pPr>
      <w:widowControl/>
      <w:pBdr>
        <w:top w:val="single" w:color="auto" w:sz="4" w:space="0"/>
        <w:left w:val="single" w:color="auto" w:sz="4" w:space="0"/>
        <w:bottom w:val="single" w:color="auto" w:sz="12" w:space="0"/>
        <w:right w:val="single" w:color="auto" w:sz="4" w:space="0"/>
      </w:pBdr>
      <w:spacing w:before="100" w:beforeLines="0" w:beforeAutospacing="1" w:after="100" w:afterAutospacing="1" w:line="240" w:lineRule="auto"/>
      <w:jc w:val="center"/>
      <w:textAlignment w:val="center"/>
    </w:pPr>
    <w:rPr>
      <w:rFonts w:ascii="宋体" w:hAnsi="宋体" w:cs="宋体"/>
      <w:b/>
      <w:bCs/>
      <w:kern w:val="0"/>
      <w:sz w:val="24"/>
    </w:rPr>
  </w:style>
  <w:style w:type="paragraph" w:customStyle="1" w:styleId="2022">
    <w:name w:val="xl108"/>
    <w:basedOn w:val="1"/>
    <w:qFormat/>
    <w:uiPriority w:val="0"/>
    <w:pPr>
      <w:widowControl/>
      <w:pBdr>
        <w:bottom w:val="single" w:color="auto" w:sz="4"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23">
    <w:name w:val="xl141"/>
    <w:basedOn w:val="1"/>
    <w:qFormat/>
    <w:uiPriority w:val="0"/>
    <w:pPr>
      <w:widowControl/>
      <w:pBdr>
        <w:top w:val="single" w:color="auto" w:sz="12" w:space="0"/>
        <w:bottom w:val="single" w:color="auto" w:sz="4" w:space="0"/>
      </w:pBdr>
      <w:spacing w:before="100" w:beforeLines="0" w:beforeAutospacing="1" w:after="100" w:afterAutospacing="1" w:line="240" w:lineRule="auto"/>
      <w:jc w:val="left"/>
      <w:textAlignment w:val="center"/>
    </w:pPr>
    <w:rPr>
      <w:rFonts w:ascii="宋体" w:hAnsi="宋体" w:cs="宋体"/>
      <w:kern w:val="0"/>
      <w:sz w:val="24"/>
    </w:rPr>
  </w:style>
  <w:style w:type="paragraph" w:customStyle="1" w:styleId="2024">
    <w:name w:val="xl109"/>
    <w:basedOn w:val="1"/>
    <w:qFormat/>
    <w:uiPriority w:val="0"/>
    <w:pPr>
      <w:widowControl/>
      <w:pBdr>
        <w:left w:val="single" w:color="auto" w:sz="4" w:space="0"/>
        <w:bottom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25">
    <w:name w:val="xl142"/>
    <w:basedOn w:val="1"/>
    <w:qFormat/>
    <w:uiPriority w:val="0"/>
    <w:pPr>
      <w:widowControl/>
      <w:pBdr>
        <w:top w:val="single" w:color="auto" w:sz="4" w:space="0"/>
        <w:left w:val="single" w:color="auto" w:sz="4" w:space="0"/>
        <w:bottom w:val="single" w:color="auto" w:sz="12" w:space="0"/>
        <w:right w:val="single" w:color="auto" w:sz="4" w:space="0"/>
      </w:pBdr>
      <w:spacing w:before="100" w:beforeLines="0" w:beforeAutospacing="1" w:after="100" w:afterAutospacing="1" w:line="240" w:lineRule="auto"/>
      <w:jc w:val="center"/>
      <w:textAlignment w:val="center"/>
    </w:pPr>
    <w:rPr>
      <w:rFonts w:ascii="宋体" w:hAnsi="宋体" w:cs="宋体"/>
      <w:b/>
      <w:bCs/>
      <w:kern w:val="0"/>
      <w:sz w:val="24"/>
    </w:rPr>
  </w:style>
  <w:style w:type="paragraph" w:customStyle="1" w:styleId="2026">
    <w:name w:val="xl110"/>
    <w:basedOn w:val="1"/>
    <w:qFormat/>
    <w:uiPriority w:val="0"/>
    <w:pPr>
      <w:widowControl/>
      <w:pBdr>
        <w:top w:val="single" w:color="auto" w:sz="4" w:space="0"/>
        <w:bottom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27">
    <w:name w:val="xl143"/>
    <w:basedOn w:val="1"/>
    <w:qFormat/>
    <w:uiPriority w:val="0"/>
    <w:pPr>
      <w:widowControl/>
      <w:pBdr>
        <w:top w:val="single" w:color="auto" w:sz="4" w:space="0"/>
        <w:left w:val="single" w:color="auto" w:sz="12"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28">
    <w:name w:val="xl144"/>
    <w:basedOn w:val="1"/>
    <w:qFormat/>
    <w:uiPriority w:val="0"/>
    <w:pPr>
      <w:widowControl/>
      <w:pBdr>
        <w:left w:val="single" w:color="auto" w:sz="12" w:space="0"/>
        <w:bottom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29">
    <w:name w:val="xl112"/>
    <w:basedOn w:val="1"/>
    <w:qFormat/>
    <w:uiPriority w:val="0"/>
    <w:pPr>
      <w:widowControl/>
      <w:pBdr>
        <w:left w:val="single" w:color="auto" w:sz="12" w:space="0"/>
        <w:bottom w:val="single" w:color="auto" w:sz="12"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30">
    <w:name w:val="xl113"/>
    <w:basedOn w:val="1"/>
    <w:qFormat/>
    <w:uiPriority w:val="0"/>
    <w:pPr>
      <w:widowControl/>
      <w:pBdr>
        <w:left w:val="single" w:color="auto" w:sz="4" w:space="0"/>
        <w:bottom w:val="single" w:color="auto" w:sz="12"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31">
    <w:name w:val="xl145"/>
    <w:basedOn w:val="1"/>
    <w:qFormat/>
    <w:uiPriority w:val="0"/>
    <w:pPr>
      <w:widowControl/>
      <w:pBdr>
        <w:top w:val="single" w:color="auto" w:sz="4" w:space="0"/>
        <w:left w:val="single" w:color="auto" w:sz="4" w:space="0"/>
        <w:right w:val="single" w:color="auto" w:sz="4" w:space="0"/>
      </w:pBdr>
      <w:shd w:val="clear" w:color="000000" w:fill="FFFF00"/>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32">
    <w:name w:val="xl114"/>
    <w:basedOn w:val="1"/>
    <w:qFormat/>
    <w:uiPriority w:val="0"/>
    <w:pPr>
      <w:widowControl/>
      <w:pBdr>
        <w:left w:val="single" w:color="auto" w:sz="4" w:space="0"/>
        <w:bottom w:val="single" w:color="auto" w:sz="12"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33">
    <w:name w:val="xl146"/>
    <w:basedOn w:val="1"/>
    <w:qFormat/>
    <w:uiPriority w:val="0"/>
    <w:pPr>
      <w:widowControl/>
      <w:pBdr>
        <w:top w:val="single" w:color="auto" w:sz="4" w:space="0"/>
        <w:left w:val="single" w:color="auto" w:sz="4" w:space="0"/>
      </w:pBdr>
      <w:shd w:val="clear" w:color="000000" w:fill="FFFF00"/>
      <w:spacing w:before="100" w:beforeLines="0" w:beforeAutospacing="1" w:after="100" w:afterAutospacing="1" w:line="240" w:lineRule="auto"/>
      <w:jc w:val="center"/>
    </w:pPr>
    <w:rPr>
      <w:rFonts w:ascii="宋体" w:hAnsi="宋体" w:cs="宋体"/>
      <w:kern w:val="0"/>
      <w:sz w:val="24"/>
    </w:rPr>
  </w:style>
  <w:style w:type="paragraph" w:customStyle="1" w:styleId="2034">
    <w:name w:val="xl115"/>
    <w:basedOn w:val="1"/>
    <w:qFormat/>
    <w:uiPriority w:val="0"/>
    <w:pPr>
      <w:widowControl/>
      <w:pBdr>
        <w:left w:val="single" w:color="auto" w:sz="4" w:space="0"/>
        <w:bottom w:val="single" w:color="auto" w:sz="12"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35">
    <w:name w:val="xl149"/>
    <w:basedOn w:val="1"/>
    <w:qFormat/>
    <w:uiPriority w:val="0"/>
    <w:pPr>
      <w:widowControl/>
      <w:pBdr>
        <w:left w:val="single" w:color="auto" w:sz="4" w:space="0"/>
        <w:bottom w:val="single" w:color="auto" w:sz="4" w:space="0"/>
        <w:right w:val="single" w:color="auto" w:sz="4" w:space="0"/>
      </w:pBdr>
      <w:shd w:val="clear" w:color="000000" w:fill="FFFF00"/>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36">
    <w:name w:val="xl118"/>
    <w:basedOn w:val="1"/>
    <w:qFormat/>
    <w:uiPriority w:val="0"/>
    <w:pPr>
      <w:widowControl/>
      <w:pBdr>
        <w:top w:val="single" w:color="auto" w:sz="4" w:space="0"/>
        <w:left w:val="single" w:color="auto" w:sz="4" w:space="0"/>
        <w:bottom w:val="single" w:color="auto" w:sz="12"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37">
    <w:name w:val="xl151"/>
    <w:basedOn w:val="1"/>
    <w:qFormat/>
    <w:uiPriority w:val="0"/>
    <w:pPr>
      <w:widowControl/>
      <w:pBdr>
        <w:left w:val="single" w:color="auto" w:sz="12" w:space="0"/>
        <w:bottom w:val="single" w:color="auto" w:sz="4" w:space="0"/>
        <w:right w:val="single" w:color="auto" w:sz="4" w:space="0"/>
      </w:pBdr>
      <w:shd w:val="clear" w:color="000000" w:fill="FFFF00"/>
      <w:spacing w:before="100" w:beforeLines="0" w:beforeAutospacing="1" w:after="100" w:afterAutospacing="1" w:line="240" w:lineRule="auto"/>
      <w:jc w:val="center"/>
    </w:pPr>
    <w:rPr>
      <w:rFonts w:ascii="宋体" w:hAnsi="宋体" w:cs="宋体"/>
      <w:kern w:val="0"/>
      <w:sz w:val="24"/>
    </w:rPr>
  </w:style>
  <w:style w:type="paragraph" w:customStyle="1" w:styleId="2038">
    <w:name w:val="xl120"/>
    <w:basedOn w:val="1"/>
    <w:qFormat/>
    <w:uiPriority w:val="0"/>
    <w:pPr>
      <w:widowControl/>
      <w:pBdr>
        <w:left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39">
    <w:name w:val="xl152"/>
    <w:basedOn w:val="1"/>
    <w:qFormat/>
    <w:uiPriority w:val="0"/>
    <w:pPr>
      <w:widowControl/>
      <w:pBdr>
        <w:top w:val="single" w:color="auto" w:sz="4" w:space="0"/>
        <w:left w:val="single" w:color="auto" w:sz="4" w:space="0"/>
        <w:right w:val="single" w:color="auto" w:sz="4" w:space="0"/>
      </w:pBdr>
      <w:shd w:val="clear" w:color="000000" w:fill="FFFF00"/>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40">
    <w:name w:val="xl121"/>
    <w:basedOn w:val="1"/>
    <w:qFormat/>
    <w:uiPriority w:val="0"/>
    <w:pPr>
      <w:widowControl/>
      <w:pBdr>
        <w:lef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41">
    <w:name w:val="xl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Lines="0" w:beforeAutospacing="1" w:after="100" w:afterAutospacing="1" w:line="240" w:lineRule="auto"/>
      <w:jc w:val="center"/>
    </w:pPr>
    <w:rPr>
      <w:rFonts w:ascii="宋体" w:hAnsi="宋体" w:cs="宋体"/>
      <w:kern w:val="0"/>
      <w:sz w:val="24"/>
    </w:rPr>
  </w:style>
  <w:style w:type="paragraph" w:customStyle="1" w:styleId="2042">
    <w:name w:val="xl122"/>
    <w:basedOn w:val="1"/>
    <w:qFormat/>
    <w:uiPriority w:val="0"/>
    <w:pPr>
      <w:widowControl/>
      <w:pBdr>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43">
    <w:name w:val="xl154"/>
    <w:basedOn w:val="1"/>
    <w:qFormat/>
    <w:uiPriority w:val="0"/>
    <w:pPr>
      <w:widowControl/>
      <w:pBdr>
        <w:left w:val="single" w:color="auto" w:sz="4" w:space="0"/>
        <w:bottom w:val="single" w:color="auto" w:sz="4" w:space="0"/>
        <w:right w:val="single" w:color="auto" w:sz="4" w:space="0"/>
      </w:pBdr>
      <w:shd w:val="clear" w:color="000000" w:fill="FFFF00"/>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44">
    <w:name w:val="xl123"/>
    <w:basedOn w:val="1"/>
    <w:qFormat/>
    <w:uiPriority w:val="0"/>
    <w:pPr>
      <w:widowControl/>
      <w:pBdr>
        <w:left w:val="single" w:color="auto" w:sz="4" w:space="0"/>
        <w:bottom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45">
    <w:name w:val="xl155"/>
    <w:basedOn w:val="1"/>
    <w:qFormat/>
    <w:uiPriority w:val="0"/>
    <w:pPr>
      <w:widowControl/>
      <w:pBdr>
        <w:left w:val="single" w:color="auto" w:sz="4" w:space="0"/>
        <w:bottom w:val="single" w:color="auto" w:sz="4" w:space="0"/>
        <w:right w:val="single" w:color="auto" w:sz="4" w:space="0"/>
      </w:pBdr>
      <w:shd w:val="clear" w:color="000000" w:fill="FFFF00"/>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46">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47">
    <w:name w:val="xl156"/>
    <w:basedOn w:val="1"/>
    <w:qFormat/>
    <w:uiPriority w:val="0"/>
    <w:pPr>
      <w:widowControl/>
      <w:pBdr>
        <w:left w:val="single" w:color="auto" w:sz="4" w:space="0"/>
        <w:bottom w:val="single" w:color="auto" w:sz="4" w:space="0"/>
      </w:pBdr>
      <w:shd w:val="clear" w:color="000000" w:fill="FFFF00"/>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48">
    <w:name w:val="xl125"/>
    <w:basedOn w:val="1"/>
    <w:qFormat/>
    <w:uiPriority w:val="0"/>
    <w:pPr>
      <w:widowControl/>
      <w:pBdr>
        <w:top w:val="single" w:color="auto" w:sz="4" w:space="0"/>
        <w:left w:val="single" w:color="auto" w:sz="4" w:space="0"/>
        <w:bottom w:val="single" w:color="auto" w:sz="12"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49">
    <w:name w:val="xl157"/>
    <w:basedOn w:val="1"/>
    <w:qFormat/>
    <w:uiPriority w:val="0"/>
    <w:pPr>
      <w:widowControl/>
      <w:pBdr>
        <w:left w:val="single" w:color="auto" w:sz="12" w:space="0"/>
        <w:bottom w:val="single" w:color="auto" w:sz="4" w:space="0"/>
        <w:right w:val="single" w:color="auto" w:sz="4" w:space="0"/>
      </w:pBdr>
      <w:shd w:val="clear" w:color="000000" w:fill="FFFF00"/>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50">
    <w:name w:val="xl126"/>
    <w:basedOn w:val="1"/>
    <w:qFormat/>
    <w:uiPriority w:val="0"/>
    <w:pPr>
      <w:widowControl/>
      <w:pBdr>
        <w:top w:val="single" w:color="auto" w:sz="4" w:space="0"/>
        <w:left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51">
    <w:name w:val="xl158"/>
    <w:basedOn w:val="1"/>
    <w:qFormat/>
    <w:uiPriority w:val="0"/>
    <w:pPr>
      <w:widowControl/>
      <w:pBdr>
        <w:top w:val="single" w:color="auto" w:sz="4" w:space="0"/>
        <w:left w:val="single" w:color="auto" w:sz="4" w:space="0"/>
        <w:bottom w:val="single" w:color="auto" w:sz="12" w:space="0"/>
        <w:right w:val="single" w:color="auto" w:sz="4" w:space="0"/>
      </w:pBdr>
      <w:spacing w:before="100" w:beforeLines="0" w:beforeAutospacing="1" w:after="100" w:afterAutospacing="1" w:line="240" w:lineRule="auto"/>
      <w:jc w:val="center"/>
      <w:textAlignment w:val="center"/>
    </w:pPr>
    <w:rPr>
      <w:rFonts w:ascii="宋体" w:hAnsi="宋体" w:cs="宋体"/>
      <w:b/>
      <w:bCs/>
      <w:kern w:val="0"/>
      <w:sz w:val="24"/>
    </w:rPr>
  </w:style>
  <w:style w:type="paragraph" w:customStyle="1" w:styleId="2052">
    <w:name w:val="xl127"/>
    <w:basedOn w:val="1"/>
    <w:qFormat/>
    <w:uiPriority w:val="0"/>
    <w:pPr>
      <w:widowControl/>
      <w:pBdr>
        <w:top w:val="single" w:color="auto" w:sz="12" w:space="0"/>
        <w:left w:val="single" w:color="auto" w:sz="12" w:space="0"/>
        <w:bottom w:val="single" w:color="auto" w:sz="4" w:space="0"/>
        <w:right w:val="single" w:color="auto" w:sz="4" w:space="0"/>
      </w:pBdr>
      <w:spacing w:before="100" w:beforeLines="0" w:beforeAutospacing="1" w:after="100" w:afterAutospacing="1" w:line="240" w:lineRule="auto"/>
      <w:jc w:val="center"/>
      <w:textAlignment w:val="center"/>
    </w:pPr>
    <w:rPr>
      <w:rFonts w:ascii="宋体" w:hAnsi="宋体" w:cs="宋体"/>
      <w:b/>
      <w:bCs/>
      <w:kern w:val="0"/>
      <w:sz w:val="24"/>
    </w:rPr>
  </w:style>
  <w:style w:type="paragraph" w:customStyle="1" w:styleId="2053">
    <w:name w:val="xl159"/>
    <w:basedOn w:val="1"/>
    <w:qFormat/>
    <w:uiPriority w:val="0"/>
    <w:pPr>
      <w:widowControl/>
      <w:pBdr>
        <w:top w:val="single" w:color="auto" w:sz="12" w:space="0"/>
        <w:bottom w:val="single" w:color="auto" w:sz="4" w:space="0"/>
      </w:pBdr>
      <w:spacing w:before="100" w:beforeLines="0" w:beforeAutospacing="1" w:after="100" w:afterAutospacing="1" w:line="240" w:lineRule="auto"/>
      <w:jc w:val="left"/>
      <w:textAlignment w:val="center"/>
    </w:pPr>
    <w:rPr>
      <w:rFonts w:ascii="宋体" w:hAnsi="宋体" w:cs="宋体"/>
      <w:kern w:val="0"/>
      <w:sz w:val="24"/>
    </w:rPr>
  </w:style>
  <w:style w:type="paragraph" w:customStyle="1" w:styleId="2054">
    <w:name w:val="xl128"/>
    <w:basedOn w:val="1"/>
    <w:qFormat/>
    <w:uiPriority w:val="0"/>
    <w:pPr>
      <w:widowControl/>
      <w:pBdr>
        <w:top w:val="single" w:color="auto" w:sz="4" w:space="0"/>
        <w:left w:val="single" w:color="auto" w:sz="12" w:space="0"/>
        <w:bottom w:val="single" w:color="auto" w:sz="12" w:space="0"/>
        <w:right w:val="single" w:color="auto" w:sz="4" w:space="0"/>
      </w:pBdr>
      <w:spacing w:before="100" w:beforeLines="0" w:beforeAutospacing="1" w:after="100" w:afterAutospacing="1" w:line="240" w:lineRule="auto"/>
      <w:jc w:val="center"/>
      <w:textAlignment w:val="center"/>
    </w:pPr>
    <w:rPr>
      <w:rFonts w:ascii="宋体" w:hAnsi="宋体" w:cs="宋体"/>
      <w:b/>
      <w:bCs/>
      <w:kern w:val="0"/>
      <w:sz w:val="24"/>
    </w:rPr>
  </w:style>
  <w:style w:type="paragraph" w:customStyle="1" w:styleId="2055">
    <w:name w:val="xl160"/>
    <w:basedOn w:val="1"/>
    <w:qFormat/>
    <w:uiPriority w:val="0"/>
    <w:pPr>
      <w:widowControl/>
      <w:pBdr>
        <w:top w:val="single" w:color="auto" w:sz="4" w:space="0"/>
        <w:left w:val="single" w:color="auto" w:sz="4" w:space="0"/>
        <w:bottom w:val="single" w:color="auto" w:sz="12" w:space="0"/>
        <w:right w:val="single" w:color="auto" w:sz="4" w:space="0"/>
      </w:pBdr>
      <w:spacing w:before="100" w:beforeLines="0" w:beforeAutospacing="1" w:after="100" w:afterAutospacing="1" w:line="240" w:lineRule="auto"/>
      <w:jc w:val="center"/>
      <w:textAlignment w:val="center"/>
    </w:pPr>
    <w:rPr>
      <w:rFonts w:ascii="宋体" w:hAnsi="宋体" w:cs="宋体"/>
      <w:b/>
      <w:bCs/>
      <w:kern w:val="0"/>
      <w:sz w:val="24"/>
    </w:rPr>
  </w:style>
  <w:style w:type="paragraph" w:customStyle="1" w:styleId="2056">
    <w:name w:val="xl129"/>
    <w:basedOn w:val="1"/>
    <w:qFormat/>
    <w:uiPriority w:val="0"/>
    <w:pPr>
      <w:widowControl/>
      <w:pBdr>
        <w:top w:val="single" w:color="auto" w:sz="12" w:space="0"/>
        <w:left w:val="single" w:color="auto" w:sz="4" w:space="0"/>
        <w:bottom w:val="single" w:color="auto" w:sz="4" w:space="0"/>
        <w:right w:val="single" w:color="auto" w:sz="4" w:space="0"/>
      </w:pBdr>
      <w:spacing w:before="100" w:beforeLines="0" w:beforeAutospacing="1" w:after="100" w:afterAutospacing="1" w:line="240" w:lineRule="auto"/>
      <w:jc w:val="center"/>
      <w:textAlignment w:val="center"/>
    </w:pPr>
    <w:rPr>
      <w:rFonts w:ascii="宋体" w:hAnsi="宋体" w:cs="宋体"/>
      <w:b/>
      <w:bCs/>
      <w:kern w:val="0"/>
      <w:sz w:val="24"/>
    </w:rPr>
  </w:style>
  <w:style w:type="paragraph" w:customStyle="1" w:styleId="2057">
    <w:name w:val="xl161"/>
    <w:basedOn w:val="1"/>
    <w:qFormat/>
    <w:uiPriority w:val="0"/>
    <w:pPr>
      <w:widowControl/>
      <w:pBdr>
        <w:top w:val="single" w:color="auto" w:sz="4" w:space="0"/>
        <w:left w:val="single" w:color="auto" w:sz="12" w:space="0"/>
        <w:bottom w:val="single" w:color="auto" w:sz="4"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58">
    <w:name w:val="xl130"/>
    <w:basedOn w:val="1"/>
    <w:qFormat/>
    <w:uiPriority w:val="0"/>
    <w:pPr>
      <w:widowControl/>
      <w:pBdr>
        <w:top w:val="single" w:color="auto" w:sz="4" w:space="0"/>
        <w:left w:val="single" w:color="auto" w:sz="4" w:space="0"/>
        <w:bottom w:val="single" w:color="auto" w:sz="12" w:space="0"/>
        <w:right w:val="single" w:color="auto" w:sz="4" w:space="0"/>
      </w:pBdr>
      <w:spacing w:before="100" w:beforeLines="0" w:beforeAutospacing="1" w:after="100" w:afterAutospacing="1" w:line="240" w:lineRule="auto"/>
      <w:jc w:val="center"/>
      <w:textAlignment w:val="center"/>
    </w:pPr>
    <w:rPr>
      <w:rFonts w:ascii="宋体" w:hAnsi="宋体" w:cs="宋体"/>
      <w:b/>
      <w:bCs/>
      <w:kern w:val="0"/>
      <w:sz w:val="24"/>
    </w:rPr>
  </w:style>
  <w:style w:type="paragraph" w:customStyle="1" w:styleId="2059">
    <w:name w:val="xl131"/>
    <w:basedOn w:val="1"/>
    <w:qFormat/>
    <w:uiPriority w:val="0"/>
    <w:pPr>
      <w:widowControl/>
      <w:pBdr>
        <w:top w:val="single" w:color="auto" w:sz="12" w:space="0"/>
        <w:left w:val="single" w:color="auto" w:sz="4" w:space="0"/>
        <w:bottom w:val="single" w:color="auto" w:sz="4" w:space="0"/>
      </w:pBdr>
      <w:spacing w:before="100" w:beforeLines="0" w:beforeAutospacing="1" w:after="100" w:afterAutospacing="1" w:line="240" w:lineRule="auto"/>
      <w:jc w:val="center"/>
      <w:textAlignment w:val="center"/>
    </w:pPr>
    <w:rPr>
      <w:rFonts w:ascii="宋体" w:hAnsi="宋体" w:cs="宋体"/>
      <w:b/>
      <w:bCs/>
      <w:kern w:val="0"/>
      <w:sz w:val="24"/>
    </w:rPr>
  </w:style>
  <w:style w:type="paragraph" w:customStyle="1" w:styleId="2060">
    <w:name w:val="xl132"/>
    <w:basedOn w:val="1"/>
    <w:qFormat/>
    <w:uiPriority w:val="0"/>
    <w:pPr>
      <w:widowControl/>
      <w:pBdr>
        <w:top w:val="single" w:color="auto" w:sz="4" w:space="0"/>
        <w:left w:val="single" w:color="auto" w:sz="12" w:space="0"/>
        <w:bottom w:val="single" w:color="auto" w:sz="4" w:space="0"/>
        <w:right w:val="single" w:color="auto" w:sz="4" w:space="0"/>
      </w:pBdr>
      <w:shd w:val="clear" w:color="000000" w:fill="FFFF00"/>
      <w:spacing w:before="100" w:beforeLines="0" w:beforeAutospacing="1" w:after="100" w:afterAutospacing="1" w:line="240" w:lineRule="auto"/>
      <w:jc w:val="center"/>
    </w:pPr>
    <w:rPr>
      <w:rFonts w:ascii="宋体" w:hAnsi="宋体" w:cs="宋体"/>
      <w:kern w:val="0"/>
      <w:sz w:val="24"/>
    </w:rPr>
  </w:style>
  <w:style w:type="paragraph" w:customStyle="1" w:styleId="2061">
    <w:name w:val="xl133"/>
    <w:basedOn w:val="1"/>
    <w:qFormat/>
    <w:uiPriority w:val="0"/>
    <w:pPr>
      <w:widowControl/>
      <w:pBdr>
        <w:top w:val="single" w:color="auto" w:sz="4" w:space="0"/>
        <w:left w:val="single" w:color="auto" w:sz="12" w:space="0"/>
        <w:bottom w:val="single" w:color="auto" w:sz="4" w:space="0"/>
        <w:right w:val="single" w:color="auto" w:sz="4" w:space="0"/>
      </w:pBdr>
      <w:shd w:val="clear" w:color="000000" w:fill="FFFF00"/>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62">
    <w:name w:val="xl134"/>
    <w:basedOn w:val="1"/>
    <w:qFormat/>
    <w:uiPriority w:val="0"/>
    <w:pPr>
      <w:widowControl/>
      <w:pBdr>
        <w:top w:val="single" w:color="auto" w:sz="4" w:space="0"/>
        <w:left w:val="single" w:color="auto" w:sz="12" w:space="0"/>
        <w:right w:val="single" w:color="auto" w:sz="4" w:space="0"/>
      </w:pBdr>
      <w:shd w:val="clear" w:color="000000" w:fill="FFFF00"/>
      <w:spacing w:before="100" w:beforeLines="0" w:beforeAutospacing="1" w:after="100" w:afterAutospacing="1" w:line="240" w:lineRule="auto"/>
      <w:jc w:val="center"/>
    </w:pPr>
    <w:rPr>
      <w:rFonts w:ascii="宋体" w:hAnsi="宋体" w:cs="宋体"/>
      <w:kern w:val="0"/>
      <w:sz w:val="24"/>
    </w:rPr>
  </w:style>
  <w:style w:type="paragraph" w:customStyle="1" w:styleId="2063">
    <w:name w:val="xl135"/>
    <w:basedOn w:val="1"/>
    <w:qFormat/>
    <w:uiPriority w:val="0"/>
    <w:pPr>
      <w:widowControl/>
      <w:pBdr>
        <w:left w:val="single" w:color="auto" w:sz="12" w:space="0"/>
        <w:bottom w:val="single" w:color="auto" w:sz="4" w:space="0"/>
        <w:right w:val="single" w:color="auto" w:sz="4" w:space="0"/>
      </w:pBdr>
      <w:shd w:val="clear" w:color="000000" w:fill="FFFF00"/>
      <w:spacing w:before="100" w:beforeLines="0" w:beforeAutospacing="1" w:after="100" w:afterAutospacing="1" w:line="240" w:lineRule="auto"/>
      <w:jc w:val="center"/>
    </w:pPr>
    <w:rPr>
      <w:rFonts w:ascii="宋体" w:hAnsi="宋体" w:cs="宋体"/>
      <w:kern w:val="0"/>
      <w:sz w:val="24"/>
    </w:rPr>
  </w:style>
  <w:style w:type="paragraph" w:customStyle="1" w:styleId="2064">
    <w:name w:val="_Style 2"/>
    <w:basedOn w:val="1"/>
    <w:qFormat/>
    <w:uiPriority w:val="34"/>
    <w:pPr>
      <w:adjustRightInd w:val="0"/>
      <w:snapToGrid w:val="0"/>
      <w:spacing w:before="0" w:beforeLines="0" w:line="360" w:lineRule="auto"/>
      <w:ind w:firstLine="420" w:firstLineChars="200"/>
    </w:pPr>
    <w:rPr>
      <w:sz w:val="24"/>
      <w:szCs w:val="20"/>
    </w:rPr>
  </w:style>
  <w:style w:type="paragraph" w:customStyle="1" w:styleId="2065">
    <w:name w:val="Char Char Char Char Char Char Char6"/>
    <w:basedOn w:val="1"/>
    <w:qFormat/>
    <w:uiPriority w:val="0"/>
    <w:pPr>
      <w:spacing w:before="0" w:beforeLines="0" w:line="240" w:lineRule="auto"/>
    </w:pPr>
  </w:style>
  <w:style w:type="table" w:customStyle="1" w:styleId="2066">
    <w:name w:val="Table Normal1"/>
    <w:unhideWhenUsed/>
    <w:qFormat/>
    <w:uiPriority w:val="2"/>
    <w:pPr>
      <w:widowControl w:val="0"/>
    </w:pPr>
    <w:rPr>
      <w:rFonts w:ascii="Calibri" w:hAnsi="Calibri"/>
      <w:sz w:val="22"/>
      <w:lang w:eastAsia="en-US"/>
    </w:rPr>
    <w:tblPr>
      <w:tblCellMar>
        <w:top w:w="0" w:type="dxa"/>
        <w:left w:w="0" w:type="dxa"/>
        <w:bottom w:w="0" w:type="dxa"/>
        <w:right w:w="0" w:type="dxa"/>
      </w:tblCellMar>
    </w:tblPr>
  </w:style>
  <w:style w:type="character" w:customStyle="1" w:styleId="2067">
    <w:name w:val="lh13"/>
    <w:qFormat/>
    <w:uiPriority w:val="0"/>
  </w:style>
  <w:style w:type="character" w:customStyle="1" w:styleId="2068">
    <w:name w:val="myfont11"/>
    <w:qFormat/>
    <w:uiPriority w:val="0"/>
    <w:rPr>
      <w:rFonts w:hint="default"/>
      <w:color w:val="000000"/>
      <w:sz w:val="18"/>
      <w:szCs w:val="18"/>
    </w:rPr>
  </w:style>
  <w:style w:type="character" w:customStyle="1" w:styleId="2069">
    <w:name w:val="tpc_content"/>
    <w:qFormat/>
    <w:uiPriority w:val="0"/>
  </w:style>
  <w:style w:type="character" w:customStyle="1" w:styleId="2070">
    <w:name w:val="样式 标题 1 + 黑体 四号 非加粗 Char Char"/>
    <w:link w:val="2071"/>
    <w:qFormat/>
    <w:uiPriority w:val="0"/>
    <w:rPr>
      <w:rFonts w:ascii="黑体" w:hAnsi="黑体" w:eastAsia="黑体"/>
      <w:b/>
      <w:bCs/>
      <w:kern w:val="44"/>
      <w:sz w:val="28"/>
      <w:szCs w:val="44"/>
    </w:rPr>
  </w:style>
  <w:style w:type="paragraph" w:customStyle="1" w:styleId="2071">
    <w:name w:val="样式 标题 1 + 黑体 四号 非加粗"/>
    <w:basedOn w:val="3"/>
    <w:link w:val="2070"/>
    <w:qFormat/>
    <w:uiPriority w:val="0"/>
    <w:pPr>
      <w:tabs>
        <w:tab w:val="clear" w:pos="360"/>
      </w:tabs>
      <w:spacing w:before="0" w:beforeLines="150" w:after="0" w:afterLines="100" w:line="360" w:lineRule="auto"/>
      <w:ind w:left="200" w:leftChars="200"/>
      <w:jc w:val="center"/>
    </w:pPr>
    <w:rPr>
      <w:rFonts w:ascii="黑体" w:hAnsi="黑体" w:eastAsia="黑体"/>
      <w:color w:val="auto"/>
      <w:kern w:val="44"/>
      <w:sz w:val="28"/>
      <w:szCs w:val="44"/>
    </w:rPr>
  </w:style>
  <w:style w:type="character" w:customStyle="1" w:styleId="2072">
    <w:name w:val="contentfont1"/>
    <w:qFormat/>
    <w:uiPriority w:val="0"/>
    <w:rPr>
      <w:rFonts w:hint="default"/>
      <w:sz w:val="18"/>
      <w:szCs w:val="18"/>
    </w:rPr>
  </w:style>
  <w:style w:type="character" w:customStyle="1" w:styleId="2073">
    <w:name w:val="正文01 Char Char"/>
    <w:qFormat/>
    <w:uiPriority w:val="0"/>
    <w:rPr>
      <w:rFonts w:ascii="Cambria" w:hAnsi="Cambria" w:eastAsia="宋体" w:cs="Cambria"/>
      <w:bCs/>
      <w:kern w:val="2"/>
      <w:sz w:val="24"/>
      <w:szCs w:val="24"/>
      <w:lang w:val="en-US" w:eastAsia="zh-CN" w:bidi="ar-SA"/>
    </w:rPr>
  </w:style>
  <w:style w:type="character" w:customStyle="1" w:styleId="2074">
    <w:name w:val="style1"/>
    <w:qFormat/>
    <w:uiPriority w:val="0"/>
  </w:style>
  <w:style w:type="character" w:customStyle="1" w:styleId="2075">
    <w:name w:val="style101"/>
    <w:qFormat/>
    <w:uiPriority w:val="0"/>
    <w:rPr>
      <w:rFonts w:hint="eastAsia" w:ascii="黑体" w:eastAsia="黑体"/>
      <w:color w:val="FF0000"/>
      <w:sz w:val="30"/>
      <w:szCs w:val="30"/>
    </w:rPr>
  </w:style>
  <w:style w:type="character" w:customStyle="1" w:styleId="2076">
    <w:name w:val="cardlinkman"/>
    <w:qFormat/>
    <w:uiPriority w:val="0"/>
  </w:style>
  <w:style w:type="character" w:customStyle="1" w:styleId="2077">
    <w:name w:val="样式 标题 1 + 黑体 三号 非加粗 Char Char"/>
    <w:link w:val="2078"/>
    <w:qFormat/>
    <w:uiPriority w:val="0"/>
    <w:rPr>
      <w:rFonts w:ascii="黑体" w:hAnsi="黑体" w:eastAsia="黑体"/>
      <w:b/>
      <w:bCs/>
      <w:kern w:val="44"/>
      <w:sz w:val="32"/>
      <w:szCs w:val="44"/>
    </w:rPr>
  </w:style>
  <w:style w:type="paragraph" w:customStyle="1" w:styleId="2078">
    <w:name w:val="样式 标题 1 + 黑体 三号 非加粗"/>
    <w:basedOn w:val="3"/>
    <w:link w:val="2077"/>
    <w:qFormat/>
    <w:uiPriority w:val="0"/>
    <w:pPr>
      <w:tabs>
        <w:tab w:val="clear" w:pos="360"/>
      </w:tabs>
      <w:spacing w:before="0" w:beforeLines="150" w:after="0" w:afterLines="100" w:line="360" w:lineRule="auto"/>
      <w:jc w:val="center"/>
    </w:pPr>
    <w:rPr>
      <w:rFonts w:ascii="黑体" w:hAnsi="黑体" w:eastAsia="黑体"/>
      <w:color w:val="auto"/>
      <w:kern w:val="44"/>
      <w:sz w:val="32"/>
      <w:szCs w:val="44"/>
    </w:rPr>
  </w:style>
  <w:style w:type="character" w:customStyle="1" w:styleId="2079">
    <w:name w:val="样式 标题 1 + (中文) 黑体 四号 非加粗 Char Char"/>
    <w:link w:val="2080"/>
    <w:qFormat/>
    <w:uiPriority w:val="0"/>
    <w:rPr>
      <w:rFonts w:ascii="宋体" w:eastAsia="黑体"/>
      <w:b/>
      <w:bCs/>
      <w:kern w:val="44"/>
      <w:sz w:val="32"/>
      <w:szCs w:val="44"/>
    </w:rPr>
  </w:style>
  <w:style w:type="paragraph" w:customStyle="1" w:styleId="2080">
    <w:name w:val="样式 标题 1 + (中文) 黑体 四号 非加粗"/>
    <w:basedOn w:val="3"/>
    <w:link w:val="2079"/>
    <w:qFormat/>
    <w:uiPriority w:val="0"/>
    <w:pPr>
      <w:tabs>
        <w:tab w:val="clear" w:pos="360"/>
      </w:tabs>
      <w:spacing w:before="0" w:beforeLines="150" w:after="0" w:afterLines="100" w:line="360" w:lineRule="auto"/>
      <w:jc w:val="center"/>
    </w:pPr>
    <w:rPr>
      <w:rFonts w:ascii="宋体" w:eastAsia="黑体"/>
      <w:color w:val="auto"/>
      <w:kern w:val="44"/>
      <w:sz w:val="32"/>
      <w:szCs w:val="44"/>
    </w:rPr>
  </w:style>
  <w:style w:type="character" w:customStyle="1" w:styleId="2081">
    <w:name w:val="1正文段落 Char Char"/>
    <w:qFormat/>
    <w:uiPriority w:val="0"/>
    <w:rPr>
      <w:rFonts w:ascii="Cambria" w:hAnsi="Cambria" w:cs="Cambria"/>
      <w:snapToGrid w:val="0"/>
      <w:sz w:val="24"/>
      <w:szCs w:val="24"/>
    </w:rPr>
  </w:style>
  <w:style w:type="character" w:customStyle="1" w:styleId="2082">
    <w:name w:val="大标题 Char Char"/>
    <w:link w:val="2083"/>
    <w:qFormat/>
    <w:uiPriority w:val="0"/>
    <w:rPr>
      <w:rFonts w:ascii="Tahoma" w:hAnsi="Tahoma" w:eastAsia="楷体_GB2312" w:cs="Tahoma"/>
      <w:b/>
      <w:bCs/>
      <w:sz w:val="32"/>
      <w:szCs w:val="32"/>
    </w:rPr>
  </w:style>
  <w:style w:type="paragraph" w:customStyle="1" w:styleId="2083">
    <w:name w:val="大标题"/>
    <w:basedOn w:val="86"/>
    <w:next w:val="1"/>
    <w:link w:val="2082"/>
    <w:qFormat/>
    <w:uiPriority w:val="0"/>
    <w:pPr>
      <w:spacing w:before="480" w:beforeLines="0" w:after="360" w:line="240" w:lineRule="auto"/>
    </w:pPr>
    <w:rPr>
      <w:rFonts w:ascii="Tahoma" w:hAnsi="Tahoma" w:eastAsia="楷体_GB2312" w:cs="Tahoma"/>
      <w:kern w:val="0"/>
    </w:rPr>
  </w:style>
  <w:style w:type="character" w:customStyle="1" w:styleId="2084">
    <w:name w:val="标题 1 Char1"/>
    <w:qFormat/>
    <w:uiPriority w:val="0"/>
    <w:rPr>
      <w:rFonts w:ascii="Times New Roman" w:hAnsi="Times New Roman" w:eastAsia="宋体" w:cs="Times New Roman"/>
      <w:b/>
      <w:bCs/>
      <w:kern w:val="44"/>
      <w:sz w:val="30"/>
      <w:szCs w:val="30"/>
    </w:rPr>
  </w:style>
  <w:style w:type="character" w:customStyle="1" w:styleId="2085">
    <w:name w:val="z-窗体顶端 Char2"/>
    <w:link w:val="2086"/>
    <w:qFormat/>
    <w:uiPriority w:val="0"/>
    <w:rPr>
      <w:rFonts w:ascii="Arial" w:hAnsi="Arial" w:cs="Arial"/>
      <w:vanish/>
      <w:sz w:val="16"/>
      <w:szCs w:val="16"/>
    </w:rPr>
  </w:style>
  <w:style w:type="paragraph" w:customStyle="1" w:styleId="2086">
    <w:name w:val="z-窗体顶端1"/>
    <w:basedOn w:val="1"/>
    <w:next w:val="1"/>
    <w:link w:val="2085"/>
    <w:qFormat/>
    <w:uiPriority w:val="0"/>
    <w:pPr>
      <w:widowControl/>
      <w:pBdr>
        <w:bottom w:val="single" w:color="auto" w:sz="6" w:space="1"/>
      </w:pBdr>
      <w:spacing w:before="0" w:beforeLines="0" w:line="240" w:lineRule="auto"/>
      <w:jc w:val="center"/>
    </w:pPr>
    <w:rPr>
      <w:rFonts w:ascii="Arial" w:hAnsi="Arial" w:cs="Arial"/>
      <w:vanish/>
      <w:kern w:val="0"/>
      <w:sz w:val="16"/>
      <w:szCs w:val="16"/>
    </w:rPr>
  </w:style>
  <w:style w:type="character" w:customStyle="1" w:styleId="2087">
    <w:name w:val="标题 1.1 Char"/>
    <w:qFormat/>
    <w:uiPriority w:val="0"/>
    <w:rPr>
      <w:rFonts w:ascii="Times New Roman" w:hAnsi="Times New Roman" w:eastAsia="宋体" w:cs="Times New Roman"/>
      <w:b/>
      <w:sz w:val="28"/>
      <w:szCs w:val="28"/>
    </w:rPr>
  </w:style>
  <w:style w:type="character" w:customStyle="1" w:styleId="2088">
    <w:name w:val="titlet1"/>
    <w:qFormat/>
    <w:uiPriority w:val="0"/>
    <w:rPr>
      <w:rFonts w:hint="default" w:ascii="Arial" w:hAnsi="Arial" w:cs="Arial"/>
      <w:b/>
      <w:bCs/>
      <w:color w:val="990000"/>
      <w:sz w:val="20"/>
      <w:szCs w:val="20"/>
    </w:rPr>
  </w:style>
  <w:style w:type="character" w:customStyle="1" w:styleId="2089">
    <w:name w:val="t31"/>
    <w:qFormat/>
    <w:uiPriority w:val="0"/>
    <w:rPr>
      <w:rFonts w:hint="eastAsia" w:ascii="宋体" w:hAnsi="宋体" w:eastAsia="宋体"/>
      <w:color w:val="000000"/>
      <w:sz w:val="18"/>
      <w:szCs w:val="18"/>
    </w:rPr>
  </w:style>
  <w:style w:type="character" w:customStyle="1" w:styleId="2090">
    <w:name w:val="d1"/>
    <w:qFormat/>
    <w:uiPriority w:val="0"/>
    <w:rPr>
      <w:rFonts w:hint="default"/>
      <w:color w:val="5C5C5C"/>
      <w:sz w:val="21"/>
      <w:szCs w:val="21"/>
      <w:u w:val="none"/>
    </w:rPr>
  </w:style>
  <w:style w:type="character" w:customStyle="1" w:styleId="2091">
    <w:name w:val="txt41"/>
    <w:qFormat/>
    <w:uiPriority w:val="0"/>
    <w:rPr>
      <w:color w:val="000000"/>
      <w:sz w:val="30"/>
      <w:szCs w:val="30"/>
      <w:bdr w:val="single" w:color="000000" w:sz="6" w:space="0"/>
    </w:rPr>
  </w:style>
  <w:style w:type="character" w:customStyle="1" w:styleId="2092">
    <w:name w:val="bone"/>
    <w:qFormat/>
    <w:uiPriority w:val="0"/>
  </w:style>
  <w:style w:type="character" w:customStyle="1" w:styleId="2093">
    <w:name w:val="line1501"/>
    <w:qFormat/>
    <w:uiPriority w:val="0"/>
  </w:style>
  <w:style w:type="character" w:customStyle="1" w:styleId="2094">
    <w:name w:val="style591"/>
    <w:qFormat/>
    <w:uiPriority w:val="0"/>
    <w:rPr>
      <w:color w:val="0033CC"/>
      <w:sz w:val="20"/>
      <w:szCs w:val="20"/>
    </w:rPr>
  </w:style>
  <w:style w:type="character" w:customStyle="1" w:styleId="2095">
    <w:name w:val="标题 1.1 Char Char"/>
    <w:qFormat/>
    <w:uiPriority w:val="0"/>
    <w:rPr>
      <w:rFonts w:ascii="黑体" w:hAnsi="宋体" w:eastAsia="黑体"/>
      <w:b/>
      <w:bCs/>
      <w:spacing w:val="-20"/>
      <w:kern w:val="21"/>
      <w:sz w:val="32"/>
      <w:szCs w:val="32"/>
      <w:lang w:val="en-US" w:eastAsia="zh-CN" w:bidi="ar-SA"/>
    </w:rPr>
  </w:style>
  <w:style w:type="character" w:customStyle="1" w:styleId="2096">
    <w:name w:val="s1"/>
    <w:qFormat/>
    <w:uiPriority w:val="0"/>
    <w:rPr>
      <w:sz w:val="16"/>
      <w:szCs w:val="16"/>
    </w:rPr>
  </w:style>
  <w:style w:type="character" w:customStyle="1" w:styleId="2097">
    <w:name w:val="w"/>
    <w:qFormat/>
    <w:uiPriority w:val="0"/>
  </w:style>
  <w:style w:type="character" w:customStyle="1" w:styleId="2098">
    <w:name w:val="repeat-item"/>
    <w:qFormat/>
    <w:uiPriority w:val="0"/>
  </w:style>
  <w:style w:type="character" w:customStyle="1" w:styleId="2099">
    <w:name w:val="style241"/>
    <w:qFormat/>
    <w:uiPriority w:val="0"/>
    <w:rPr>
      <w:sz w:val="21"/>
      <w:szCs w:val="21"/>
    </w:rPr>
  </w:style>
  <w:style w:type="character" w:customStyle="1" w:styleId="2100">
    <w:name w:val="yjtitle1"/>
    <w:qFormat/>
    <w:uiPriority w:val="0"/>
  </w:style>
  <w:style w:type="character" w:customStyle="1" w:styleId="2101">
    <w:name w:val="big1"/>
    <w:qFormat/>
    <w:uiPriority w:val="0"/>
    <w:rPr>
      <w:color w:val="000000"/>
      <w:sz w:val="18"/>
      <w:szCs w:val="18"/>
    </w:rPr>
  </w:style>
  <w:style w:type="character" w:customStyle="1" w:styleId="2102">
    <w:name w:val="zi_081"/>
    <w:qFormat/>
    <w:uiPriority w:val="0"/>
    <w:rPr>
      <w:rFonts w:hint="default" w:ascii="Verdana" w:hAnsi="Verdana"/>
      <w:b/>
      <w:bCs/>
      <w:color w:val="C90000"/>
      <w:sz w:val="18"/>
      <w:szCs w:val="18"/>
    </w:rPr>
  </w:style>
  <w:style w:type="character" w:customStyle="1" w:styleId="2103">
    <w:name w:val="font"/>
    <w:qFormat/>
    <w:uiPriority w:val="0"/>
  </w:style>
  <w:style w:type="character" w:customStyle="1" w:styleId="2104">
    <w:name w:val="txt31"/>
    <w:qFormat/>
    <w:uiPriority w:val="0"/>
    <w:rPr>
      <w:rFonts w:hint="default" w:ascii="Arial" w:hAnsi="Arial" w:cs="Arial"/>
      <w:color w:val="FF3300"/>
      <w:sz w:val="18"/>
      <w:szCs w:val="18"/>
    </w:rPr>
  </w:style>
  <w:style w:type="character" w:customStyle="1" w:styleId="2105">
    <w:name w:val="3zw1"/>
    <w:qFormat/>
    <w:uiPriority w:val="0"/>
    <w:rPr>
      <w:color w:val="000000"/>
      <w:sz w:val="21"/>
      <w:szCs w:val="21"/>
      <w:u w:val="none"/>
    </w:rPr>
  </w:style>
  <w:style w:type="character" w:customStyle="1" w:styleId="2106">
    <w:name w:val="main1"/>
    <w:qFormat/>
    <w:uiPriority w:val="0"/>
    <w:rPr>
      <w:color w:val="333333"/>
      <w:sz w:val="18"/>
      <w:szCs w:val="18"/>
    </w:rPr>
  </w:style>
  <w:style w:type="character" w:customStyle="1" w:styleId="2107">
    <w:name w:val="正文首行缩进1 Char Char"/>
    <w:link w:val="703"/>
    <w:qFormat/>
    <w:uiPriority w:val="0"/>
    <w:rPr>
      <w:sz w:val="21"/>
    </w:rPr>
  </w:style>
  <w:style w:type="character" w:customStyle="1" w:styleId="2108">
    <w:name w:val="HTML 预设格式 字符1"/>
    <w:qFormat/>
    <w:uiPriority w:val="0"/>
    <w:rPr>
      <w:rFonts w:ascii="Courier New" w:hAnsi="Courier New" w:cs="Courier New"/>
      <w:sz w:val="20"/>
      <w:szCs w:val="20"/>
    </w:rPr>
  </w:style>
  <w:style w:type="paragraph" w:customStyle="1" w:styleId="2109">
    <w:name w:val="样式 标题 2标题 2 Char + 左侧:  2 字符2"/>
    <w:basedOn w:val="4"/>
    <w:qFormat/>
    <w:uiPriority w:val="0"/>
    <w:pPr>
      <w:spacing w:before="0" w:after="0" w:line="360" w:lineRule="auto"/>
      <w:ind w:left="420" w:leftChars="200"/>
    </w:pPr>
    <w:rPr>
      <w:rFonts w:cs="宋体"/>
      <w:bCs/>
      <w:color w:val="auto"/>
      <w:kern w:val="2"/>
      <w:sz w:val="24"/>
    </w:rPr>
  </w:style>
  <w:style w:type="paragraph" w:customStyle="1" w:styleId="2110">
    <w:name w:val="中文表标题"/>
    <w:basedOn w:val="1"/>
    <w:next w:val="1"/>
    <w:qFormat/>
    <w:uiPriority w:val="0"/>
    <w:pPr>
      <w:keepNext/>
      <w:widowControl/>
      <w:overflowPunct w:val="0"/>
      <w:adjustRightInd w:val="0"/>
      <w:snapToGrid w:val="0"/>
      <w:spacing w:before="480" w:beforeLines="0" w:after="360" w:line="500" w:lineRule="exact"/>
      <w:ind w:firstLine="200" w:firstLineChars="200"/>
      <w:jc w:val="center"/>
      <w:textAlignment w:val="baseline"/>
    </w:pPr>
    <w:rPr>
      <w:rFonts w:eastAsia="仿宋_GB2312"/>
      <w:kern w:val="0"/>
      <w:sz w:val="28"/>
      <w:szCs w:val="20"/>
    </w:rPr>
  </w:style>
  <w:style w:type="paragraph" w:customStyle="1" w:styleId="2111">
    <w:name w:val="样式 标题 + 段后: 1 行"/>
    <w:basedOn w:val="86"/>
    <w:qFormat/>
    <w:uiPriority w:val="0"/>
    <w:pPr>
      <w:spacing w:before="0" w:beforeLines="0" w:after="0" w:line="360" w:lineRule="auto"/>
    </w:pPr>
    <w:rPr>
      <w:rFonts w:ascii="Arial" w:hAnsi="Arial" w:eastAsia="等线" w:cs="宋体"/>
      <w:szCs w:val="20"/>
    </w:rPr>
  </w:style>
  <w:style w:type="paragraph" w:customStyle="1" w:styleId="2112">
    <w:name w:val="正文 1"/>
    <w:basedOn w:val="1"/>
    <w:qFormat/>
    <w:uiPriority w:val="0"/>
    <w:pPr>
      <w:spacing w:before="0" w:beforeLines="0" w:line="480" w:lineRule="exact"/>
      <w:ind w:firstLine="567"/>
    </w:pPr>
    <w:rPr>
      <w:sz w:val="28"/>
      <w:szCs w:val="20"/>
    </w:rPr>
  </w:style>
  <w:style w:type="paragraph" w:customStyle="1" w:styleId="2113">
    <w:name w:val="zw"/>
    <w:basedOn w:val="1"/>
    <w:qFormat/>
    <w:uiPriority w:val="0"/>
    <w:pPr>
      <w:widowControl/>
      <w:spacing w:before="100" w:beforeLines="0" w:beforeAutospacing="1" w:after="100" w:afterAutospacing="1" w:line="440" w:lineRule="atLeast"/>
      <w:jc w:val="left"/>
    </w:pPr>
    <w:rPr>
      <w:rFonts w:ascii="宋体" w:hAnsi="宋体" w:cs="宋体"/>
      <w:kern w:val="0"/>
      <w:sz w:val="22"/>
      <w:szCs w:val="22"/>
    </w:rPr>
  </w:style>
  <w:style w:type="paragraph" w:customStyle="1" w:styleId="2114">
    <w:name w:val="Char Char Char11"/>
    <w:basedOn w:val="1"/>
    <w:qFormat/>
    <w:uiPriority w:val="0"/>
    <w:pPr>
      <w:spacing w:before="0" w:beforeLines="0" w:line="240" w:lineRule="auto"/>
    </w:pPr>
  </w:style>
  <w:style w:type="paragraph" w:customStyle="1" w:styleId="2115">
    <w:name w:val="正文888"/>
    <w:basedOn w:val="1"/>
    <w:qFormat/>
    <w:uiPriority w:val="0"/>
    <w:pPr>
      <w:tabs>
        <w:tab w:val="left" w:pos="3060"/>
      </w:tabs>
      <w:adjustRightInd w:val="0"/>
      <w:snapToGrid w:val="0"/>
      <w:spacing w:before="0" w:beforeLines="0" w:line="360" w:lineRule="auto"/>
      <w:ind w:firstLine="200" w:firstLineChars="200"/>
      <w:jc w:val="left"/>
    </w:pPr>
    <w:rPr>
      <w:color w:val="000000"/>
      <w:sz w:val="28"/>
      <w:szCs w:val="28"/>
    </w:rPr>
  </w:style>
  <w:style w:type="paragraph" w:customStyle="1" w:styleId="2116">
    <w:name w:val="Char Char Char Char Char Char Char Char Char Char Char Char Char1"/>
    <w:basedOn w:val="1"/>
    <w:qFormat/>
    <w:uiPriority w:val="0"/>
    <w:pPr>
      <w:spacing w:before="0" w:beforeLines="0" w:line="360" w:lineRule="auto"/>
      <w:ind w:firstLine="200" w:firstLineChars="200"/>
    </w:pPr>
    <w:rPr>
      <w:rFonts w:ascii="宋体" w:hAnsi="宋体" w:cs="宋体"/>
      <w:sz w:val="24"/>
    </w:rPr>
  </w:style>
  <w:style w:type="paragraph" w:customStyle="1" w:styleId="2117">
    <w:name w:val="z-窗体底端1"/>
    <w:basedOn w:val="1"/>
    <w:next w:val="1"/>
    <w:link w:val="2121"/>
    <w:qFormat/>
    <w:uiPriority w:val="0"/>
    <w:pPr>
      <w:widowControl/>
      <w:pBdr>
        <w:top w:val="single" w:color="auto" w:sz="6" w:space="1"/>
      </w:pBdr>
      <w:spacing w:before="0" w:beforeLines="0" w:line="240" w:lineRule="auto"/>
      <w:jc w:val="center"/>
    </w:pPr>
    <w:rPr>
      <w:rFonts w:ascii="Arial" w:hAnsi="Arial" w:cs="Arial"/>
      <w:vanish/>
      <w:kern w:val="0"/>
      <w:sz w:val="16"/>
      <w:szCs w:val="16"/>
    </w:rPr>
  </w:style>
  <w:style w:type="character" w:customStyle="1" w:styleId="2118">
    <w:name w:val="z-窗体底端 字符"/>
    <w:basedOn w:val="117"/>
    <w:semiHidden/>
    <w:qFormat/>
    <w:uiPriority w:val="99"/>
    <w:rPr>
      <w:rFonts w:ascii="Arial" w:hAnsi="Arial" w:eastAsia="宋体" w:cs="Arial"/>
      <w:vanish/>
      <w:sz w:val="16"/>
      <w:szCs w:val="16"/>
    </w:rPr>
  </w:style>
  <w:style w:type="character" w:customStyle="1" w:styleId="2119">
    <w:name w:val="z-窗体底端 Char"/>
    <w:link w:val="2120"/>
    <w:qFormat/>
    <w:uiPriority w:val="0"/>
    <w:rPr>
      <w:rFonts w:ascii="Arial" w:hAnsi="Arial" w:cs="Arial"/>
      <w:vanish/>
      <w:sz w:val="16"/>
      <w:szCs w:val="16"/>
    </w:rPr>
  </w:style>
  <w:style w:type="paragraph" w:customStyle="1" w:styleId="2120">
    <w:name w:val="z-窗体底端11"/>
    <w:basedOn w:val="1"/>
    <w:next w:val="1"/>
    <w:link w:val="2119"/>
    <w:qFormat/>
    <w:uiPriority w:val="0"/>
    <w:pPr>
      <w:widowControl/>
      <w:pBdr>
        <w:top w:val="single" w:color="auto" w:sz="6" w:space="1"/>
      </w:pBdr>
      <w:spacing w:before="0" w:beforeLines="0" w:line="240" w:lineRule="auto"/>
      <w:jc w:val="center"/>
    </w:pPr>
    <w:rPr>
      <w:rFonts w:ascii="Arial" w:hAnsi="Arial" w:cs="Arial"/>
      <w:vanish/>
      <w:kern w:val="0"/>
      <w:sz w:val="16"/>
      <w:szCs w:val="16"/>
    </w:rPr>
  </w:style>
  <w:style w:type="character" w:customStyle="1" w:styleId="2121">
    <w:name w:val="z-窗体底端 Char1"/>
    <w:link w:val="2117"/>
    <w:qFormat/>
    <w:uiPriority w:val="0"/>
    <w:rPr>
      <w:rFonts w:ascii="Arial" w:hAnsi="Arial" w:cs="Arial"/>
      <w:vanish/>
      <w:sz w:val="16"/>
      <w:szCs w:val="16"/>
    </w:rPr>
  </w:style>
  <w:style w:type="paragraph" w:customStyle="1" w:styleId="2122">
    <w:name w:val="Char Char Char2"/>
    <w:basedOn w:val="1"/>
    <w:qFormat/>
    <w:uiPriority w:val="0"/>
    <w:pPr>
      <w:widowControl/>
      <w:spacing w:before="0" w:beforeLines="0" w:after="160" w:line="240" w:lineRule="exact"/>
      <w:jc w:val="left"/>
    </w:pPr>
    <w:rPr>
      <w:rFonts w:ascii="Verdana" w:hAnsi="Verdana"/>
      <w:kern w:val="0"/>
      <w:sz w:val="20"/>
      <w:szCs w:val="20"/>
      <w:lang w:eastAsia="en-US"/>
    </w:rPr>
  </w:style>
  <w:style w:type="paragraph" w:customStyle="1" w:styleId="2123">
    <w:name w:val="表格样式2"/>
    <w:basedOn w:val="1"/>
    <w:qFormat/>
    <w:uiPriority w:val="0"/>
    <w:pPr>
      <w:spacing w:before="0" w:beforeLines="0" w:line="320" w:lineRule="exact"/>
      <w:jc w:val="center"/>
    </w:pPr>
    <w:rPr>
      <w:color w:val="000000"/>
      <w:szCs w:val="21"/>
    </w:rPr>
  </w:style>
  <w:style w:type="paragraph" w:customStyle="1" w:styleId="2124">
    <w:name w:val="新正文样式"/>
    <w:basedOn w:val="1"/>
    <w:qFormat/>
    <w:uiPriority w:val="0"/>
    <w:pPr>
      <w:tabs>
        <w:tab w:val="left" w:pos="567"/>
      </w:tabs>
      <w:spacing w:before="0" w:beforeLines="0" w:line="360" w:lineRule="auto"/>
      <w:ind w:firstLine="567"/>
    </w:pPr>
    <w:rPr>
      <w:spacing w:val="20"/>
      <w:sz w:val="24"/>
      <w:szCs w:val="20"/>
    </w:rPr>
  </w:style>
  <w:style w:type="paragraph" w:customStyle="1" w:styleId="2125">
    <w:name w:val="字元 字元"/>
    <w:basedOn w:val="1"/>
    <w:qFormat/>
    <w:uiPriority w:val="0"/>
    <w:pPr>
      <w:spacing w:before="0" w:beforeLines="0" w:line="240" w:lineRule="auto"/>
    </w:pPr>
    <w:rPr>
      <w:sz w:val="24"/>
    </w:rPr>
  </w:style>
  <w:style w:type="paragraph" w:customStyle="1" w:styleId="2126">
    <w:name w:val="表格001"/>
    <w:basedOn w:val="1"/>
    <w:qFormat/>
    <w:uiPriority w:val="0"/>
    <w:pPr>
      <w:spacing w:before="0" w:beforeLines="0" w:line="240" w:lineRule="auto"/>
      <w:jc w:val="center"/>
    </w:pPr>
    <w:rPr>
      <w:sz w:val="24"/>
    </w:rPr>
  </w:style>
  <w:style w:type="paragraph" w:customStyle="1" w:styleId="2127">
    <w:name w:val="样式 标题 3 + 首行缩进:  2 字符"/>
    <w:basedOn w:val="5"/>
    <w:qFormat/>
    <w:uiPriority w:val="0"/>
    <w:pPr>
      <w:keepLines w:val="0"/>
      <w:spacing w:before="0" w:after="0" w:line="240" w:lineRule="auto"/>
      <w:jc w:val="center"/>
      <w:outlineLvl w:val="9"/>
    </w:pPr>
    <w:rPr>
      <w:rFonts w:ascii="宋体"/>
      <w:b w:val="0"/>
      <w:bCs w:val="0"/>
      <w:color w:val="auto"/>
      <w:kern w:val="2"/>
      <w:sz w:val="24"/>
      <w:szCs w:val="24"/>
    </w:rPr>
  </w:style>
  <w:style w:type="paragraph" w:customStyle="1" w:styleId="2128">
    <w:name w:val="xl19"/>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center"/>
    </w:pPr>
    <w:rPr>
      <w:rFonts w:ascii="Arial Unicode MS" w:hAnsi="Arial Unicode MS" w:eastAsia="Arial Unicode MS" w:cs="Arial Unicode MS"/>
      <w:kern w:val="0"/>
      <w:sz w:val="24"/>
    </w:rPr>
  </w:style>
  <w:style w:type="paragraph" w:customStyle="1" w:styleId="2129">
    <w:name w:val="表格文字样式"/>
    <w:basedOn w:val="1"/>
    <w:qFormat/>
    <w:uiPriority w:val="0"/>
    <w:pPr>
      <w:tabs>
        <w:tab w:val="left" w:pos="567"/>
      </w:tabs>
      <w:spacing w:before="0" w:beforeLines="0" w:line="240" w:lineRule="auto"/>
      <w:jc w:val="center"/>
    </w:pPr>
    <w:rPr>
      <w:spacing w:val="20"/>
      <w:sz w:val="24"/>
      <w:szCs w:val="20"/>
    </w:rPr>
  </w:style>
  <w:style w:type="paragraph" w:customStyle="1" w:styleId="2130">
    <w:name w:val="Char Char Char12"/>
    <w:basedOn w:val="1"/>
    <w:qFormat/>
    <w:uiPriority w:val="0"/>
    <w:pPr>
      <w:spacing w:before="0" w:beforeLines="0" w:line="240" w:lineRule="auto"/>
    </w:pPr>
  </w:style>
  <w:style w:type="paragraph" w:customStyle="1" w:styleId="2131">
    <w:name w:val="zg1"/>
    <w:basedOn w:val="1"/>
    <w:qFormat/>
    <w:uiPriority w:val="0"/>
    <w:pPr>
      <w:spacing w:before="0" w:beforeLines="0" w:line="500" w:lineRule="exact"/>
    </w:pPr>
    <w:rPr>
      <w:sz w:val="24"/>
      <w:szCs w:val="20"/>
    </w:rPr>
  </w:style>
  <w:style w:type="character" w:customStyle="1" w:styleId="2132">
    <w:name w:val="z-窗体顶端 字符"/>
    <w:basedOn w:val="117"/>
    <w:semiHidden/>
    <w:qFormat/>
    <w:uiPriority w:val="99"/>
    <w:rPr>
      <w:rFonts w:ascii="Arial" w:hAnsi="Arial" w:eastAsia="宋体" w:cs="Arial"/>
      <w:vanish/>
      <w:sz w:val="16"/>
      <w:szCs w:val="16"/>
    </w:rPr>
  </w:style>
  <w:style w:type="character" w:customStyle="1" w:styleId="2133">
    <w:name w:val="z-窗体顶端 Char"/>
    <w:link w:val="2134"/>
    <w:qFormat/>
    <w:uiPriority w:val="0"/>
    <w:rPr>
      <w:rFonts w:ascii="Arial" w:hAnsi="Arial" w:cs="Arial"/>
      <w:vanish/>
      <w:sz w:val="16"/>
      <w:szCs w:val="16"/>
    </w:rPr>
  </w:style>
  <w:style w:type="paragraph" w:customStyle="1" w:styleId="2134">
    <w:name w:val="z-窗体顶端11"/>
    <w:basedOn w:val="1"/>
    <w:next w:val="1"/>
    <w:link w:val="2133"/>
    <w:qFormat/>
    <w:uiPriority w:val="0"/>
    <w:pPr>
      <w:widowControl/>
      <w:pBdr>
        <w:bottom w:val="single" w:color="auto" w:sz="6" w:space="1"/>
      </w:pBdr>
      <w:spacing w:before="0" w:beforeLines="0" w:line="240" w:lineRule="auto"/>
      <w:jc w:val="center"/>
    </w:pPr>
    <w:rPr>
      <w:rFonts w:ascii="Arial" w:hAnsi="Arial" w:cs="Arial"/>
      <w:vanish/>
      <w:kern w:val="0"/>
      <w:sz w:val="16"/>
      <w:szCs w:val="16"/>
    </w:rPr>
  </w:style>
  <w:style w:type="character" w:customStyle="1" w:styleId="2135">
    <w:name w:val="z-窗体顶端 字符1"/>
    <w:qFormat/>
    <w:uiPriority w:val="0"/>
    <w:rPr>
      <w:rFonts w:ascii="Arial" w:hAnsi="Arial" w:cs="Arial"/>
      <w:vanish/>
      <w:sz w:val="16"/>
      <w:szCs w:val="16"/>
    </w:rPr>
  </w:style>
  <w:style w:type="character" w:customStyle="1" w:styleId="2136">
    <w:name w:val="z-窗体顶端 Char1"/>
    <w:semiHidden/>
    <w:qFormat/>
    <w:uiPriority w:val="99"/>
    <w:rPr>
      <w:rFonts w:ascii="Arial" w:hAnsi="Arial" w:cs="Arial"/>
      <w:vanish/>
      <w:kern w:val="2"/>
      <w:sz w:val="16"/>
      <w:szCs w:val="16"/>
    </w:rPr>
  </w:style>
  <w:style w:type="paragraph" w:customStyle="1" w:styleId="2137">
    <w:name w:val="style3"/>
    <w:basedOn w:val="1"/>
    <w:qFormat/>
    <w:uiPriority w:val="0"/>
    <w:pPr>
      <w:widowControl/>
      <w:spacing w:before="100" w:beforeLines="0" w:beforeAutospacing="1" w:after="100" w:afterAutospacing="1" w:line="300" w:lineRule="atLeast"/>
      <w:jc w:val="left"/>
    </w:pPr>
    <w:rPr>
      <w:rFonts w:ascii="宋体" w:hAnsi="宋体" w:cs="宋体"/>
      <w:color w:val="FF6666"/>
      <w:kern w:val="0"/>
      <w:sz w:val="18"/>
      <w:szCs w:val="18"/>
    </w:rPr>
  </w:style>
  <w:style w:type="table" w:customStyle="1" w:styleId="2138">
    <w:name w:val="网格型5"/>
    <w:basedOn w:val="89"/>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2139">
    <w:name w:val="text_style"/>
    <w:qFormat/>
    <w:uiPriority w:val="0"/>
  </w:style>
  <w:style w:type="character" w:customStyle="1" w:styleId="2140">
    <w:name w:val="bumpedfont15"/>
    <w:qFormat/>
    <w:uiPriority w:val="0"/>
  </w:style>
  <w:style w:type="paragraph" w:customStyle="1" w:styleId="2141">
    <w:name w:val="Char13"/>
    <w:basedOn w:val="1"/>
    <w:qFormat/>
    <w:uiPriority w:val="0"/>
    <w:pPr>
      <w:spacing w:before="0" w:beforeLines="0" w:line="240" w:lineRule="auto"/>
    </w:pPr>
  </w:style>
  <w:style w:type="paragraph" w:customStyle="1" w:styleId="2142">
    <w:name w:val="样式 宋体 四号 行距: 1.5 倍行距"/>
    <w:basedOn w:val="1"/>
    <w:link w:val="2143"/>
    <w:qFormat/>
    <w:uiPriority w:val="0"/>
    <w:pPr>
      <w:spacing w:before="0" w:beforeLines="0" w:line="360" w:lineRule="auto"/>
      <w:ind w:firstLine="560" w:firstLineChars="200"/>
    </w:pPr>
    <w:rPr>
      <w:rFonts w:ascii="宋体" w:hAnsi="宋体"/>
      <w:sz w:val="28"/>
      <w:szCs w:val="20"/>
      <w:lang w:val="zh-CN"/>
    </w:rPr>
  </w:style>
  <w:style w:type="character" w:customStyle="1" w:styleId="2143">
    <w:name w:val="样式 宋体 四号 行距: 1.5 倍行距 Char"/>
    <w:link w:val="2142"/>
    <w:qFormat/>
    <w:uiPriority w:val="0"/>
    <w:rPr>
      <w:rFonts w:ascii="宋体" w:hAnsi="宋体"/>
      <w:kern w:val="2"/>
      <w:sz w:val="28"/>
      <w:lang w:val="zh-CN"/>
    </w:rPr>
  </w:style>
  <w:style w:type="paragraph" w:customStyle="1" w:styleId="2144">
    <w:name w:val="沉稳样式正文"/>
    <w:basedOn w:val="1"/>
    <w:qFormat/>
    <w:uiPriority w:val="0"/>
    <w:pPr>
      <w:spacing w:before="0" w:beforeLines="0" w:line="240" w:lineRule="auto"/>
    </w:pPr>
    <w:rPr>
      <w:rFonts w:eastAsia="仿宋_GB2312"/>
      <w:sz w:val="24"/>
      <w:szCs w:val="20"/>
    </w:rPr>
  </w:style>
  <w:style w:type="paragraph" w:customStyle="1" w:styleId="2145">
    <w:name w:val="样式123"/>
    <w:basedOn w:val="1"/>
    <w:link w:val="2146"/>
    <w:qFormat/>
    <w:uiPriority w:val="0"/>
    <w:pPr>
      <w:adjustRightInd w:val="0"/>
      <w:snapToGrid w:val="0"/>
      <w:spacing w:before="0" w:beforeLines="0" w:line="360" w:lineRule="auto"/>
      <w:jc w:val="left"/>
    </w:pPr>
    <w:rPr>
      <w:rFonts w:hAnsi="宋体"/>
      <w:sz w:val="24"/>
      <w:lang w:val="zh-CN"/>
    </w:rPr>
  </w:style>
  <w:style w:type="character" w:customStyle="1" w:styleId="2146">
    <w:name w:val="样式123 Char"/>
    <w:link w:val="2145"/>
    <w:qFormat/>
    <w:uiPriority w:val="0"/>
    <w:rPr>
      <w:rFonts w:hAnsi="宋体"/>
      <w:kern w:val="2"/>
      <w:sz w:val="24"/>
      <w:szCs w:val="24"/>
      <w:lang w:val="zh-CN"/>
    </w:rPr>
  </w:style>
  <w:style w:type="table" w:customStyle="1" w:styleId="2147">
    <w:name w:val="网格型6"/>
    <w:basedOn w:val="89"/>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148">
    <w:name w:val="Char12"/>
    <w:basedOn w:val="1"/>
    <w:qFormat/>
    <w:uiPriority w:val="0"/>
    <w:pPr>
      <w:spacing w:before="0" w:beforeLines="0" w:line="240" w:lineRule="auto"/>
    </w:pPr>
  </w:style>
  <w:style w:type="character" w:customStyle="1" w:styleId="2149">
    <w:name w:val="报告正文样式 Char Char"/>
    <w:link w:val="2150"/>
    <w:qFormat/>
    <w:uiPriority w:val="0"/>
    <w:rPr>
      <w:rFonts w:ascii="宋体" w:hAnsi="宋体"/>
      <w:color w:val="000000"/>
      <w:kern w:val="24"/>
      <w:sz w:val="24"/>
      <w:szCs w:val="24"/>
    </w:rPr>
  </w:style>
  <w:style w:type="paragraph" w:customStyle="1" w:styleId="2150">
    <w:name w:val="报告正文样式"/>
    <w:basedOn w:val="1"/>
    <w:link w:val="2149"/>
    <w:qFormat/>
    <w:uiPriority w:val="0"/>
    <w:pPr>
      <w:adjustRightInd w:val="0"/>
      <w:snapToGrid w:val="0"/>
      <w:spacing w:before="0" w:beforeLines="50" w:line="360" w:lineRule="auto"/>
      <w:ind w:firstLine="480" w:firstLineChars="200"/>
      <w:jc w:val="left"/>
    </w:pPr>
    <w:rPr>
      <w:rFonts w:ascii="宋体" w:hAnsi="宋体"/>
      <w:color w:val="000000"/>
      <w:kern w:val="24"/>
      <w:sz w:val="24"/>
    </w:rPr>
  </w:style>
  <w:style w:type="table" w:customStyle="1" w:styleId="2151">
    <w:name w:val="办公室表格样式2"/>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152">
    <w:name w:val="办公室表格样式3"/>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153">
    <w:name w:val="办公室表格样式4"/>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paragraph" w:customStyle="1" w:styleId="2154">
    <w:name w:val="样式007"/>
    <w:basedOn w:val="1"/>
    <w:link w:val="2155"/>
    <w:qFormat/>
    <w:uiPriority w:val="0"/>
    <w:pPr>
      <w:widowControl/>
      <w:tabs>
        <w:tab w:val="center" w:pos="4536"/>
        <w:tab w:val="right" w:pos="9072"/>
      </w:tabs>
      <w:snapToGrid w:val="0"/>
      <w:spacing w:before="50" w:beforeLines="50" w:after="50" w:afterLines="50" w:line="300" w:lineRule="auto"/>
      <w:jc w:val="left"/>
    </w:pPr>
    <w:rPr>
      <w:kern w:val="0"/>
      <w:sz w:val="24"/>
      <w:lang w:val="zh-CN" w:bidi="en-US"/>
    </w:rPr>
  </w:style>
  <w:style w:type="character" w:customStyle="1" w:styleId="2155">
    <w:name w:val="样式007 Char"/>
    <w:link w:val="2154"/>
    <w:qFormat/>
    <w:uiPriority w:val="0"/>
    <w:rPr>
      <w:sz w:val="24"/>
      <w:szCs w:val="24"/>
      <w:lang w:val="zh-CN" w:bidi="en-US"/>
    </w:rPr>
  </w:style>
  <w:style w:type="paragraph" w:customStyle="1" w:styleId="2156">
    <w:name w:val="标题（小四）"/>
    <w:basedOn w:val="5"/>
    <w:qFormat/>
    <w:uiPriority w:val="0"/>
    <w:pPr>
      <w:keepNext/>
      <w:tabs>
        <w:tab w:val="left" w:pos="540"/>
      </w:tabs>
      <w:spacing w:before="20" w:after="20" w:line="360" w:lineRule="auto"/>
    </w:pPr>
    <w:rPr>
      <w:rFonts w:ascii="宋体" w:hAnsi="宋体" w:cs="宋体"/>
      <w:color w:val="auto"/>
      <w:kern w:val="2"/>
      <w:sz w:val="24"/>
      <w:szCs w:val="24"/>
    </w:rPr>
  </w:style>
  <w:style w:type="table" w:customStyle="1" w:styleId="2157">
    <w:name w:val="浅色底纹 - 着色 21"/>
    <w:basedOn w:val="89"/>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2158">
    <w:name w:val="浅色底纹 - 强调文字颜色 111"/>
    <w:basedOn w:val="89"/>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la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tcBorders>
          <w:top w:val="nil"/>
          <w:left w:val="nil"/>
          <w:bottom w:val="nil"/>
          <w:right w:val="nil"/>
          <w:insideH w:val="nil"/>
          <w:insideV w:val="nil"/>
          <w:tl2br w:val="nil"/>
          <w:tr2bl w:val="nil"/>
        </w:tcBorders>
        <w:shd w:val="clear" w:color="auto" w:fill="D3DFEE"/>
      </w:tcPr>
    </w:tblStylePr>
  </w:style>
  <w:style w:type="table" w:customStyle="1" w:styleId="2159">
    <w:name w:val="网格型7"/>
    <w:basedOn w:val="89"/>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60">
    <w:name w:val="办公室表格样式5"/>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161">
    <w:name w:val="办公室表格样式6"/>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162">
    <w:name w:val="办公室表格样式7"/>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163">
    <w:name w:val="办公室表格样式71"/>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character" w:customStyle="1" w:styleId="2164">
    <w:name w:val="页眉 字符1"/>
    <w:qFormat/>
    <w:uiPriority w:val="99"/>
    <w:rPr>
      <w:sz w:val="18"/>
      <w:szCs w:val="18"/>
    </w:rPr>
  </w:style>
  <w:style w:type="character" w:customStyle="1" w:styleId="2165">
    <w:name w:val="页脚 字符1"/>
    <w:qFormat/>
    <w:uiPriority w:val="99"/>
    <w:rPr>
      <w:sz w:val="18"/>
      <w:szCs w:val="18"/>
    </w:rPr>
  </w:style>
  <w:style w:type="table" w:customStyle="1" w:styleId="2166">
    <w:name w:val="办公室表格样式8"/>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167">
    <w:name w:val="浅色底纹 - 强调文字颜色 112"/>
    <w:basedOn w:val="89"/>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la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tcBorders>
          <w:top w:val="nil"/>
          <w:left w:val="nil"/>
          <w:bottom w:val="nil"/>
          <w:right w:val="nil"/>
          <w:insideH w:val="nil"/>
          <w:insideV w:val="nil"/>
          <w:tl2br w:val="nil"/>
          <w:tr2bl w:val="nil"/>
        </w:tcBorders>
        <w:shd w:val="clear" w:color="auto" w:fill="D3DFEE"/>
      </w:tcPr>
    </w:tblStylePr>
  </w:style>
  <w:style w:type="table" w:customStyle="1" w:styleId="2168">
    <w:name w:val="网格型8"/>
    <w:basedOn w:val="89"/>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69">
    <w:name w:val="浅色底纹 - 着色 22"/>
    <w:basedOn w:val="89"/>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2170">
    <w:name w:val="网格型111"/>
    <w:basedOn w:val="89"/>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171">
    <w:name w:val="网格型41"/>
    <w:basedOn w:val="89"/>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72">
    <w:name w:val="网格型51"/>
    <w:basedOn w:val="8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173">
    <w:name w:val="网格型61"/>
    <w:basedOn w:val="8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174">
    <w:name w:val="办公室表格样式11"/>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175">
    <w:name w:val="办公室表格样式21"/>
    <w:basedOn w:val="89"/>
    <w:qFormat/>
    <w:locked/>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176">
    <w:name w:val="办公室表格样式31"/>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177">
    <w:name w:val="办公室表格样式41"/>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178">
    <w:name w:val="浅色底纹 - 着色 211"/>
    <w:basedOn w:val="89"/>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2179">
    <w:name w:val="浅色底纹 - 强调文字颜色 1111"/>
    <w:basedOn w:val="89"/>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la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tcBorders>
          <w:top w:val="nil"/>
          <w:left w:val="nil"/>
          <w:bottom w:val="nil"/>
          <w:right w:val="nil"/>
          <w:insideH w:val="nil"/>
          <w:insideV w:val="nil"/>
          <w:tl2br w:val="nil"/>
          <w:tr2bl w:val="nil"/>
        </w:tcBorders>
        <w:shd w:val="clear" w:color="auto" w:fill="D3DFEE"/>
      </w:tcPr>
    </w:tblStylePr>
  </w:style>
  <w:style w:type="table" w:customStyle="1" w:styleId="2180">
    <w:name w:val="网格型71"/>
    <w:basedOn w:val="89"/>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81">
    <w:name w:val="办公室表格样式51"/>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182">
    <w:name w:val="办公室表格样式61"/>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183">
    <w:name w:val="办公室表格样式72"/>
    <w:basedOn w:val="89"/>
    <w:qFormat/>
    <w:locked/>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184">
    <w:name w:val="办公室表格样式711"/>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185">
    <w:name w:val="办公室表格样式9"/>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186">
    <w:name w:val="浅色底纹 - 强调文字颜色 113"/>
    <w:basedOn w:val="89"/>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la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tcBorders>
          <w:top w:val="nil"/>
          <w:left w:val="nil"/>
          <w:bottom w:val="nil"/>
          <w:right w:val="nil"/>
          <w:insideH w:val="nil"/>
          <w:insideV w:val="nil"/>
          <w:tl2br w:val="nil"/>
          <w:tr2bl w:val="nil"/>
        </w:tcBorders>
        <w:shd w:val="clear" w:color="auto" w:fill="D3DFEE"/>
      </w:tcPr>
    </w:tblStylePr>
  </w:style>
  <w:style w:type="table" w:customStyle="1" w:styleId="2187">
    <w:name w:val="网格型22"/>
    <w:basedOn w:val="89"/>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188">
    <w:name w:val="网格型9"/>
    <w:basedOn w:val="89"/>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89">
    <w:name w:val="浅色底纹 - 着色 23"/>
    <w:basedOn w:val="89"/>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2190">
    <w:name w:val="网格型32"/>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91">
    <w:name w:val="网格型112"/>
    <w:basedOn w:val="89"/>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192">
    <w:name w:val="网格型42"/>
    <w:basedOn w:val="89"/>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93">
    <w:name w:val="Table Normal2"/>
    <w:unhideWhenUsed/>
    <w:qFormat/>
    <w:uiPriority w:val="2"/>
    <w:pPr>
      <w:widowControl w:val="0"/>
    </w:pPr>
    <w:rPr>
      <w:rFonts w:ascii="Calibri" w:hAnsi="Calibri"/>
      <w:sz w:val="22"/>
      <w:lang w:eastAsia="en-US"/>
    </w:rPr>
    <w:tblPr>
      <w:tblCellMar>
        <w:top w:w="0" w:type="dxa"/>
        <w:left w:w="0" w:type="dxa"/>
        <w:bottom w:w="0" w:type="dxa"/>
        <w:right w:w="0" w:type="dxa"/>
      </w:tblCellMar>
    </w:tblPr>
  </w:style>
  <w:style w:type="table" w:customStyle="1" w:styleId="2194">
    <w:name w:val="网格型52"/>
    <w:basedOn w:val="8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195">
    <w:name w:val="网格型62"/>
    <w:basedOn w:val="8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196">
    <w:name w:val="办公室表格样式12"/>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197">
    <w:name w:val="办公室表格样式22"/>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198">
    <w:name w:val="办公室表格样式32"/>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199">
    <w:name w:val="办公室表格样式42"/>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200">
    <w:name w:val="浅色底纹 - 着色 212"/>
    <w:basedOn w:val="89"/>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2201">
    <w:name w:val="浅色底纹 - 强调文字颜色 1112"/>
    <w:basedOn w:val="89"/>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la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tcBorders>
          <w:top w:val="nil"/>
          <w:left w:val="nil"/>
          <w:bottom w:val="nil"/>
          <w:right w:val="nil"/>
          <w:insideH w:val="nil"/>
          <w:insideV w:val="nil"/>
          <w:tl2br w:val="nil"/>
          <w:tr2bl w:val="nil"/>
        </w:tcBorders>
        <w:shd w:val="clear" w:color="auto" w:fill="D3DFEE"/>
      </w:tcPr>
    </w:tblStylePr>
  </w:style>
  <w:style w:type="table" w:customStyle="1" w:styleId="2202">
    <w:name w:val="网格型72"/>
    <w:basedOn w:val="89"/>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03">
    <w:name w:val="办公室表格样式52"/>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204">
    <w:name w:val="办公室表格样式62"/>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205">
    <w:name w:val="办公室表格样式73"/>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206">
    <w:name w:val="办公室表格样式712"/>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207">
    <w:name w:val="办公室表格样式10"/>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208">
    <w:name w:val="浅色底纹 - 强调文字颜色 114"/>
    <w:basedOn w:val="89"/>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la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tcBorders>
          <w:top w:val="nil"/>
          <w:left w:val="nil"/>
          <w:bottom w:val="nil"/>
          <w:right w:val="nil"/>
          <w:insideH w:val="nil"/>
          <w:insideV w:val="nil"/>
          <w:tl2br w:val="nil"/>
          <w:tr2bl w:val="nil"/>
        </w:tcBorders>
        <w:shd w:val="clear" w:color="auto" w:fill="D3DFEE"/>
      </w:tcPr>
    </w:tblStylePr>
  </w:style>
  <w:style w:type="table" w:customStyle="1" w:styleId="2209">
    <w:name w:val="网格型23"/>
    <w:basedOn w:val="89"/>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210">
    <w:name w:val="网格型10"/>
    <w:basedOn w:val="89"/>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11">
    <w:name w:val="浅色底纹 - 着色 24"/>
    <w:basedOn w:val="89"/>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2212">
    <w:name w:val="网格型14"/>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13">
    <w:name w:val="网格型33"/>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14">
    <w:name w:val="网格型113"/>
    <w:basedOn w:val="89"/>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215">
    <w:name w:val="网格型43"/>
    <w:basedOn w:val="89"/>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16">
    <w:name w:val="Table Normal31"/>
    <w:unhideWhenUsed/>
    <w:qFormat/>
    <w:uiPriority w:val="2"/>
    <w:pPr>
      <w:widowControl w:val="0"/>
    </w:pPr>
    <w:rPr>
      <w:rFonts w:ascii="Calibri" w:hAnsi="Calibri"/>
      <w:sz w:val="22"/>
      <w:lang w:eastAsia="en-US"/>
    </w:rPr>
    <w:tblPr>
      <w:tblCellMar>
        <w:top w:w="0" w:type="dxa"/>
        <w:left w:w="0" w:type="dxa"/>
        <w:bottom w:w="0" w:type="dxa"/>
        <w:right w:w="0" w:type="dxa"/>
      </w:tblCellMar>
    </w:tblPr>
  </w:style>
  <w:style w:type="table" w:customStyle="1" w:styleId="2217">
    <w:name w:val="网格型53"/>
    <w:basedOn w:val="8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218">
    <w:name w:val="网格型63"/>
    <w:basedOn w:val="8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219">
    <w:name w:val="办公室表格样式13"/>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220">
    <w:name w:val="办公室表格样式23"/>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221">
    <w:name w:val="办公室表格样式33"/>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222">
    <w:name w:val="办公室表格样式43"/>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223">
    <w:name w:val="浅色底纹 - 着色 213"/>
    <w:basedOn w:val="89"/>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2224">
    <w:name w:val="浅色底纹 - 强调文字颜色 1113"/>
    <w:basedOn w:val="89"/>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la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tcBorders>
          <w:top w:val="nil"/>
          <w:left w:val="nil"/>
          <w:bottom w:val="nil"/>
          <w:right w:val="nil"/>
          <w:insideH w:val="nil"/>
          <w:insideV w:val="nil"/>
          <w:tl2br w:val="nil"/>
          <w:tr2bl w:val="nil"/>
        </w:tcBorders>
        <w:shd w:val="clear" w:color="auto" w:fill="D3DFEE"/>
      </w:tcPr>
    </w:tblStylePr>
  </w:style>
  <w:style w:type="table" w:customStyle="1" w:styleId="2225">
    <w:name w:val="网格型73"/>
    <w:basedOn w:val="89"/>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26">
    <w:name w:val="办公室表格样式53"/>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227">
    <w:name w:val="办公室表格样式63"/>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228">
    <w:name w:val="办公室表格样式74"/>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229">
    <w:name w:val="办公室表格样式713"/>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230">
    <w:name w:val="办公室表格样式81"/>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231">
    <w:name w:val="浅色底纹 - 强调文字颜色 1121"/>
    <w:basedOn w:val="89"/>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la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tcBorders>
          <w:top w:val="nil"/>
          <w:left w:val="nil"/>
          <w:bottom w:val="nil"/>
          <w:right w:val="nil"/>
          <w:insideH w:val="nil"/>
          <w:insideV w:val="nil"/>
          <w:tl2br w:val="nil"/>
          <w:tr2bl w:val="nil"/>
        </w:tcBorders>
        <w:shd w:val="clear" w:color="auto" w:fill="D3DFEE"/>
      </w:tcPr>
    </w:tblStylePr>
  </w:style>
  <w:style w:type="table" w:customStyle="1" w:styleId="2232">
    <w:name w:val="网格型211"/>
    <w:basedOn w:val="89"/>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233">
    <w:name w:val="网格型81"/>
    <w:basedOn w:val="89"/>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34">
    <w:name w:val="浅色底纹 - 着色 221"/>
    <w:basedOn w:val="89"/>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2235">
    <w:name w:val="网格型121"/>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36">
    <w:name w:val="网格型311"/>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37">
    <w:name w:val="网格型1111"/>
    <w:basedOn w:val="89"/>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238">
    <w:name w:val="网格型411"/>
    <w:basedOn w:val="89"/>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39">
    <w:name w:val="Table Normal11"/>
    <w:unhideWhenUsed/>
    <w:qFormat/>
    <w:uiPriority w:val="2"/>
    <w:pPr>
      <w:widowControl w:val="0"/>
    </w:pPr>
    <w:rPr>
      <w:rFonts w:ascii="Calibri" w:hAnsi="Calibri"/>
      <w:sz w:val="22"/>
      <w:lang w:eastAsia="en-US"/>
    </w:rPr>
    <w:tblPr>
      <w:tblCellMar>
        <w:top w:w="0" w:type="dxa"/>
        <w:left w:w="0" w:type="dxa"/>
        <w:bottom w:w="0" w:type="dxa"/>
        <w:right w:w="0" w:type="dxa"/>
      </w:tblCellMar>
    </w:tblPr>
  </w:style>
  <w:style w:type="table" w:customStyle="1" w:styleId="2240">
    <w:name w:val="网格型511"/>
    <w:basedOn w:val="8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241">
    <w:name w:val="网格型611"/>
    <w:basedOn w:val="8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242">
    <w:name w:val="办公室表格样式111"/>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243">
    <w:name w:val="办公室表格样式211"/>
    <w:basedOn w:val="89"/>
    <w:qFormat/>
    <w:locked/>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244">
    <w:name w:val="办公室表格样式311"/>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245">
    <w:name w:val="办公室表格样式411"/>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246">
    <w:name w:val="浅色底纹 - 着色 2111"/>
    <w:basedOn w:val="89"/>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2247">
    <w:name w:val="浅色底纹 - 强调文字颜色 11111"/>
    <w:basedOn w:val="89"/>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la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tcBorders>
          <w:top w:val="nil"/>
          <w:left w:val="nil"/>
          <w:bottom w:val="nil"/>
          <w:right w:val="nil"/>
          <w:insideH w:val="nil"/>
          <w:insideV w:val="nil"/>
          <w:tl2br w:val="nil"/>
          <w:tr2bl w:val="nil"/>
        </w:tcBorders>
        <w:shd w:val="clear" w:color="auto" w:fill="D3DFEE"/>
      </w:tcPr>
    </w:tblStylePr>
  </w:style>
  <w:style w:type="table" w:customStyle="1" w:styleId="2248">
    <w:name w:val="网格型711"/>
    <w:basedOn w:val="89"/>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49">
    <w:name w:val="办公室表格样式511"/>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250">
    <w:name w:val="办公室表格样式611"/>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251">
    <w:name w:val="办公室表格样式721"/>
    <w:basedOn w:val="89"/>
    <w:qFormat/>
    <w:locked/>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252">
    <w:name w:val="办公室表格样式7111"/>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253">
    <w:name w:val="办公室表格样式91"/>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254">
    <w:name w:val="浅色底纹 - 强调文字颜色 1131"/>
    <w:basedOn w:val="89"/>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la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tcBorders>
          <w:top w:val="nil"/>
          <w:left w:val="nil"/>
          <w:bottom w:val="nil"/>
          <w:right w:val="nil"/>
          <w:insideH w:val="nil"/>
          <w:insideV w:val="nil"/>
          <w:tl2br w:val="nil"/>
          <w:tr2bl w:val="nil"/>
        </w:tcBorders>
        <w:shd w:val="clear" w:color="auto" w:fill="D3DFEE"/>
      </w:tcPr>
    </w:tblStylePr>
  </w:style>
  <w:style w:type="table" w:customStyle="1" w:styleId="2255">
    <w:name w:val="网格型221"/>
    <w:basedOn w:val="89"/>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256">
    <w:name w:val="网格型91"/>
    <w:basedOn w:val="89"/>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57">
    <w:name w:val="浅色底纹 - 着色 231"/>
    <w:basedOn w:val="89"/>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2258">
    <w:name w:val="网格型131"/>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59">
    <w:name w:val="网格型321"/>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60">
    <w:name w:val="网格型1121"/>
    <w:basedOn w:val="89"/>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261">
    <w:name w:val="网格型421"/>
    <w:basedOn w:val="89"/>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62">
    <w:name w:val="Table Normal21"/>
    <w:unhideWhenUsed/>
    <w:qFormat/>
    <w:uiPriority w:val="2"/>
    <w:pPr>
      <w:widowControl w:val="0"/>
    </w:pPr>
    <w:rPr>
      <w:rFonts w:ascii="Calibri" w:hAnsi="Calibri"/>
      <w:sz w:val="22"/>
      <w:lang w:eastAsia="en-US"/>
    </w:rPr>
    <w:tblPr>
      <w:tblCellMar>
        <w:top w:w="0" w:type="dxa"/>
        <w:left w:w="0" w:type="dxa"/>
        <w:bottom w:w="0" w:type="dxa"/>
        <w:right w:w="0" w:type="dxa"/>
      </w:tblCellMar>
    </w:tblPr>
  </w:style>
  <w:style w:type="table" w:customStyle="1" w:styleId="2263">
    <w:name w:val="网格型521"/>
    <w:basedOn w:val="8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264">
    <w:name w:val="网格型621"/>
    <w:basedOn w:val="8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265">
    <w:name w:val="办公室表格样式121"/>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266">
    <w:name w:val="办公室表格样式221"/>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267">
    <w:name w:val="办公室表格样式321"/>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268">
    <w:name w:val="办公室表格样式421"/>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269">
    <w:name w:val="浅色底纹 - 着色 2121"/>
    <w:basedOn w:val="89"/>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2270">
    <w:name w:val="浅色底纹 - 强调文字颜色 11121"/>
    <w:basedOn w:val="89"/>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la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tcBorders>
          <w:top w:val="nil"/>
          <w:left w:val="nil"/>
          <w:bottom w:val="nil"/>
          <w:right w:val="nil"/>
          <w:insideH w:val="nil"/>
          <w:insideV w:val="nil"/>
          <w:tl2br w:val="nil"/>
          <w:tr2bl w:val="nil"/>
        </w:tcBorders>
        <w:shd w:val="clear" w:color="auto" w:fill="D3DFEE"/>
      </w:tcPr>
    </w:tblStylePr>
  </w:style>
  <w:style w:type="table" w:customStyle="1" w:styleId="2271">
    <w:name w:val="网格型721"/>
    <w:basedOn w:val="89"/>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72">
    <w:name w:val="办公室表格样式521"/>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273">
    <w:name w:val="办公室表格样式621"/>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274">
    <w:name w:val="办公室表格样式731"/>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275">
    <w:name w:val="办公室表格样式7121"/>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paragraph" w:customStyle="1" w:styleId="2276">
    <w:name w:val="Char18"/>
    <w:basedOn w:val="1"/>
    <w:qFormat/>
    <w:uiPriority w:val="0"/>
    <w:pPr>
      <w:spacing w:before="0" w:beforeLines="0" w:line="240" w:lineRule="auto"/>
    </w:pPr>
    <w:rPr>
      <w:szCs w:val="21"/>
    </w:rPr>
  </w:style>
  <w:style w:type="paragraph" w:customStyle="1" w:styleId="2277">
    <w:name w:val="Char17"/>
    <w:basedOn w:val="1"/>
    <w:qFormat/>
    <w:uiPriority w:val="0"/>
    <w:pPr>
      <w:spacing w:before="0" w:beforeLines="0" w:line="240" w:lineRule="auto"/>
    </w:pPr>
    <w:rPr>
      <w:szCs w:val="21"/>
    </w:rPr>
  </w:style>
  <w:style w:type="paragraph" w:customStyle="1" w:styleId="2278">
    <w:name w:val="Char16"/>
    <w:basedOn w:val="1"/>
    <w:qFormat/>
    <w:uiPriority w:val="0"/>
    <w:pPr>
      <w:spacing w:before="0" w:beforeLines="0" w:line="240" w:lineRule="auto"/>
    </w:pPr>
    <w:rPr>
      <w:szCs w:val="21"/>
    </w:rPr>
  </w:style>
  <w:style w:type="paragraph" w:customStyle="1" w:styleId="2279">
    <w:name w:val="Char15"/>
    <w:basedOn w:val="1"/>
    <w:qFormat/>
    <w:uiPriority w:val="0"/>
    <w:pPr>
      <w:spacing w:before="0" w:beforeLines="0" w:line="240" w:lineRule="auto"/>
    </w:pPr>
    <w:rPr>
      <w:szCs w:val="21"/>
    </w:rPr>
  </w:style>
  <w:style w:type="paragraph" w:customStyle="1" w:styleId="2280">
    <w:name w:val="Char14"/>
    <w:basedOn w:val="1"/>
    <w:qFormat/>
    <w:uiPriority w:val="0"/>
    <w:pPr>
      <w:spacing w:before="0" w:beforeLines="0" w:line="240" w:lineRule="auto"/>
    </w:pPr>
    <w:rPr>
      <w:szCs w:val="21"/>
    </w:rPr>
  </w:style>
  <w:style w:type="table" w:customStyle="1" w:styleId="2281">
    <w:name w:val="网格型15"/>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282">
    <w:name w:val="访问过的超链接1"/>
    <w:qFormat/>
    <w:uiPriority w:val="0"/>
    <w:rPr>
      <w:color w:val="800080"/>
      <w:u w:val="single"/>
    </w:rPr>
  </w:style>
  <w:style w:type="character" w:customStyle="1" w:styleId="2283">
    <w:name w:val="样式 样式2 + Char"/>
    <w:qFormat/>
    <w:locked/>
    <w:uiPriority w:val="0"/>
    <w:rPr>
      <w:rFonts w:ascii="宋体" w:eastAsia="宋体"/>
      <w:b/>
      <w:bCs/>
      <w:caps/>
      <w:color w:val="000000"/>
      <w:kern w:val="2"/>
      <w:sz w:val="28"/>
      <w:szCs w:val="28"/>
      <w:lang w:val="zh-CN" w:eastAsia="zh-CN" w:bidi="ar-SA"/>
    </w:rPr>
  </w:style>
  <w:style w:type="character" w:customStyle="1" w:styleId="2284">
    <w:name w:val="说明书 Char"/>
    <w:link w:val="2285"/>
    <w:qFormat/>
    <w:uiPriority w:val="0"/>
    <w:rPr>
      <w:rFonts w:ascii="宋体" w:hAnsi="Arial"/>
      <w:sz w:val="28"/>
    </w:rPr>
  </w:style>
  <w:style w:type="paragraph" w:customStyle="1" w:styleId="2285">
    <w:name w:val="说明书"/>
    <w:basedOn w:val="1"/>
    <w:link w:val="2284"/>
    <w:qFormat/>
    <w:uiPriority w:val="0"/>
    <w:pPr>
      <w:adjustRightInd w:val="0"/>
      <w:spacing w:before="0" w:beforeLines="0" w:line="360" w:lineRule="auto"/>
      <w:ind w:firstLine="425"/>
      <w:textAlignment w:val="baseline"/>
    </w:pPr>
    <w:rPr>
      <w:rFonts w:ascii="宋体" w:hAnsi="Arial"/>
      <w:kern w:val="0"/>
      <w:sz w:val="28"/>
      <w:szCs w:val="20"/>
    </w:rPr>
  </w:style>
  <w:style w:type="character" w:customStyle="1" w:styleId="2286">
    <w:name w:val="样式 题注 + (西文) Arial (中文) 黑体 小四 Char Char Char"/>
    <w:qFormat/>
    <w:uiPriority w:val="0"/>
    <w:rPr>
      <w:rFonts w:ascii="黑体" w:hAnsi="Arial" w:eastAsia="黑体"/>
      <w:kern w:val="2"/>
      <w:sz w:val="28"/>
      <w:lang w:val="en-US" w:eastAsia="zh-CN"/>
    </w:rPr>
  </w:style>
  <w:style w:type="character" w:customStyle="1" w:styleId="2287">
    <w:name w:val="样式 样式2 + 加粗 Char"/>
    <w:qFormat/>
    <w:locked/>
    <w:uiPriority w:val="0"/>
    <w:rPr>
      <w:rFonts w:ascii="宋体" w:eastAsia="宋体"/>
      <w:b/>
      <w:bCs/>
      <w:caps/>
      <w:color w:val="000000"/>
      <w:sz w:val="24"/>
      <w:szCs w:val="24"/>
      <w:lang w:val="zh-CN" w:eastAsia="zh-CN" w:bidi="ar-SA"/>
    </w:rPr>
  </w:style>
  <w:style w:type="character" w:customStyle="1" w:styleId="2288">
    <w:name w:val="样式2 Char"/>
    <w:qFormat/>
    <w:locked/>
    <w:uiPriority w:val="0"/>
    <w:rPr>
      <w:rFonts w:ascii="宋体" w:eastAsia="宋体"/>
      <w:b/>
      <w:bCs/>
      <w:caps/>
      <w:color w:val="000000"/>
      <w:sz w:val="24"/>
      <w:szCs w:val="24"/>
      <w:lang w:val="zh-CN" w:eastAsia="zh-CN" w:bidi="ar-SA"/>
    </w:rPr>
  </w:style>
  <w:style w:type="character" w:customStyle="1" w:styleId="2289">
    <w:name w:val="样式 题注 Char"/>
    <w:qFormat/>
    <w:uiPriority w:val="0"/>
    <w:rPr>
      <w:rFonts w:ascii="Arial" w:hAnsi="Arial" w:eastAsia="黑体" w:cs="宋体"/>
      <w:color w:val="000000"/>
      <w:kern w:val="2"/>
      <w:sz w:val="24"/>
      <w:szCs w:val="24"/>
      <w:lang w:val="en-US" w:eastAsia="zh-CN" w:bidi="ar-SA"/>
    </w:rPr>
  </w:style>
  <w:style w:type="character" w:customStyle="1" w:styleId="2290">
    <w:name w:val="表格5 Char Char"/>
    <w:link w:val="2291"/>
    <w:qFormat/>
    <w:uiPriority w:val="0"/>
    <w:rPr>
      <w:rFonts w:cs="宋体"/>
    </w:rPr>
  </w:style>
  <w:style w:type="paragraph" w:customStyle="1" w:styleId="2291">
    <w:name w:val="表格5"/>
    <w:basedOn w:val="1"/>
    <w:link w:val="2290"/>
    <w:qFormat/>
    <w:uiPriority w:val="0"/>
    <w:pPr>
      <w:spacing w:before="0" w:beforeLines="0" w:line="240" w:lineRule="auto"/>
    </w:pPr>
    <w:rPr>
      <w:rFonts w:cs="宋体"/>
      <w:kern w:val="0"/>
      <w:sz w:val="20"/>
      <w:szCs w:val="20"/>
    </w:rPr>
  </w:style>
  <w:style w:type="character" w:customStyle="1" w:styleId="2292">
    <w:name w:val="font01"/>
    <w:qFormat/>
    <w:uiPriority w:val="0"/>
    <w:rPr>
      <w:rFonts w:hint="default" w:ascii="Times New Roman" w:hAnsi="Times New Roman" w:cs="Times New Roman"/>
      <w:color w:val="000000"/>
      <w:sz w:val="24"/>
      <w:szCs w:val="24"/>
      <w:u w:val="none"/>
      <w:vertAlign w:val="superscript"/>
    </w:rPr>
  </w:style>
  <w:style w:type="character" w:customStyle="1" w:styleId="2293">
    <w:name w:val="列表 字符"/>
    <w:link w:val="68"/>
    <w:qFormat/>
    <w:uiPriority w:val="0"/>
    <w:rPr>
      <w:kern w:val="2"/>
      <w:sz w:val="21"/>
      <w:szCs w:val="24"/>
    </w:rPr>
  </w:style>
  <w:style w:type="character" w:customStyle="1" w:styleId="2294">
    <w:name w:val="black121"/>
    <w:qFormat/>
    <w:uiPriority w:val="0"/>
    <w:rPr>
      <w:rFonts w:hint="eastAsia" w:ascii="宋体" w:hAnsi="宋体" w:eastAsia="宋体"/>
      <w:color w:val="000000"/>
      <w:sz w:val="18"/>
      <w:szCs w:val="18"/>
      <w:u w:val="none"/>
    </w:rPr>
  </w:style>
  <w:style w:type="character" w:customStyle="1" w:styleId="2295">
    <w:name w:val="表格文字居中 Char Char Char Char"/>
    <w:qFormat/>
    <w:uiPriority w:val="0"/>
    <w:rPr>
      <w:rFonts w:ascii="宋体" w:hAnsi="宋体"/>
      <w:color w:val="000000"/>
    </w:rPr>
  </w:style>
  <w:style w:type="character" w:customStyle="1" w:styleId="2296">
    <w:name w:val="wenzhang1"/>
    <w:qFormat/>
    <w:uiPriority w:val="0"/>
    <w:rPr>
      <w:rFonts w:ascii="Arial" w:hAnsi="Arial"/>
      <w:color w:val="auto"/>
      <w:sz w:val="21"/>
    </w:rPr>
  </w:style>
  <w:style w:type="character" w:customStyle="1" w:styleId="2297">
    <w:name w:val="样式 表格 + 自动设置 Char"/>
    <w:qFormat/>
    <w:locked/>
    <w:uiPriority w:val="0"/>
    <w:rPr>
      <w:rFonts w:ascii="宋体" w:eastAsia="宋体"/>
      <w:b/>
      <w:color w:val="000000"/>
      <w:sz w:val="24"/>
      <w:szCs w:val="24"/>
      <w:lang w:val="en-US" w:eastAsia="zh-CN" w:bidi="ar-SA"/>
    </w:rPr>
  </w:style>
  <w:style w:type="character" w:customStyle="1" w:styleId="2298">
    <w:name w:val="样式 标题 51)项标题 5 Char1) Char项 Char标5 + 左 Char"/>
    <w:link w:val="2299"/>
    <w:qFormat/>
    <w:uiPriority w:val="0"/>
    <w:rPr>
      <w:rFonts w:ascii="宋体" w:hAnsi="宋体"/>
      <w:b/>
      <w:color w:val="000000"/>
      <w:kern w:val="24"/>
      <w:sz w:val="28"/>
    </w:rPr>
  </w:style>
  <w:style w:type="paragraph" w:customStyle="1" w:styleId="2299">
    <w:name w:val="样式 标题 51)项标题 5 Char1) Char项 Char标5 + 左"/>
    <w:basedOn w:val="8"/>
    <w:next w:val="54"/>
    <w:link w:val="2298"/>
    <w:qFormat/>
    <w:uiPriority w:val="0"/>
    <w:pPr>
      <w:keepNext w:val="0"/>
      <w:keepLines w:val="0"/>
      <w:tabs>
        <w:tab w:val="left" w:pos="636"/>
        <w:tab w:val="left" w:pos="1727"/>
        <w:tab w:val="left" w:pos="1884"/>
        <w:tab w:val="left" w:pos="2660"/>
        <w:tab w:val="left" w:pos="5460"/>
        <w:tab w:val="clear" w:pos="1008"/>
      </w:tabs>
      <w:autoSpaceDE w:val="0"/>
      <w:autoSpaceDN w:val="0"/>
      <w:adjustRightInd w:val="0"/>
      <w:snapToGrid w:val="0"/>
      <w:spacing w:before="0" w:after="0" w:line="360" w:lineRule="auto"/>
      <w:ind w:left="1247" w:hanging="396"/>
    </w:pPr>
    <w:rPr>
      <w:rFonts w:ascii="宋体" w:hAnsi="宋体"/>
      <w:bCs w:val="0"/>
      <w:color w:val="000000"/>
      <w:kern w:val="24"/>
      <w:szCs w:val="20"/>
    </w:rPr>
  </w:style>
  <w:style w:type="character" w:customStyle="1" w:styleId="2300">
    <w:name w:val="b02"/>
    <w:qFormat/>
    <w:uiPriority w:val="0"/>
    <w:rPr>
      <w:b/>
      <w:bCs/>
      <w:color w:val="000000"/>
    </w:rPr>
  </w:style>
  <w:style w:type="character" w:customStyle="1" w:styleId="2301">
    <w:name w:val="正文首行缩进2 Char Char"/>
    <w:link w:val="2302"/>
    <w:qFormat/>
    <w:uiPriority w:val="0"/>
    <w:rPr>
      <w:rFonts w:ascii="宋体" w:hAnsi="宋体"/>
      <w:sz w:val="24"/>
      <w:szCs w:val="24"/>
      <w:lang w:val="zh-CN"/>
    </w:rPr>
  </w:style>
  <w:style w:type="paragraph" w:customStyle="1" w:styleId="2302">
    <w:name w:val="正文首行缩进2"/>
    <w:basedOn w:val="1"/>
    <w:link w:val="2301"/>
    <w:qFormat/>
    <w:uiPriority w:val="0"/>
    <w:pPr>
      <w:spacing w:before="0" w:beforeLines="0" w:line="360" w:lineRule="auto"/>
      <w:ind w:firstLine="480" w:firstLineChars="200"/>
    </w:pPr>
    <w:rPr>
      <w:rFonts w:ascii="宋体" w:hAnsi="宋体"/>
      <w:kern w:val="0"/>
      <w:sz w:val="24"/>
      <w:lang w:val="zh-CN"/>
    </w:rPr>
  </w:style>
  <w:style w:type="paragraph" w:customStyle="1" w:styleId="2303">
    <w:name w:val="规划正文样式"/>
    <w:basedOn w:val="1"/>
    <w:qFormat/>
    <w:uiPriority w:val="0"/>
    <w:pPr>
      <w:widowControl/>
      <w:spacing w:before="120" w:beforeLines="0" w:after="80"/>
      <w:ind w:firstLine="567"/>
      <w:jc w:val="left"/>
    </w:pPr>
    <w:rPr>
      <w:rFonts w:ascii="宋体" w:hAnsi="宋体" w:eastAsia="等线"/>
      <w:sz w:val="24"/>
      <w:lang w:bidi="en-US"/>
    </w:rPr>
  </w:style>
  <w:style w:type="paragraph" w:customStyle="1" w:styleId="2304">
    <w:name w:val="样式 标题 1标题 1 Char标1章第一章 + 段前: 0.5 行 段后: 0.5 行"/>
    <w:basedOn w:val="3"/>
    <w:qFormat/>
    <w:uiPriority w:val="0"/>
    <w:pPr>
      <w:keepLines w:val="0"/>
      <w:tabs>
        <w:tab w:val="clear" w:pos="360"/>
      </w:tabs>
      <w:autoSpaceDE w:val="0"/>
      <w:autoSpaceDN w:val="0"/>
      <w:adjustRightInd w:val="0"/>
      <w:spacing w:before="156" w:after="156" w:line="240" w:lineRule="auto"/>
    </w:pPr>
    <w:rPr>
      <w:rFonts w:ascii="黑体" w:hAnsi="Arial" w:eastAsia="黑体"/>
      <w:b w:val="0"/>
      <w:bCs w:val="0"/>
      <w:kern w:val="24"/>
      <w:sz w:val="28"/>
      <w:lang w:val="zh-CN"/>
    </w:rPr>
  </w:style>
  <w:style w:type="paragraph" w:customStyle="1" w:styleId="2305">
    <w:name w:val="标题 21.1标题 21.1标题2标题 2 Char1节_Heading 2标2二级标题1.1标题 +..."/>
    <w:basedOn w:val="1"/>
    <w:qFormat/>
    <w:uiPriority w:val="0"/>
    <w:pPr>
      <w:widowControl/>
      <w:tabs>
        <w:tab w:val="left" w:pos="1120"/>
      </w:tabs>
      <w:spacing w:before="0" w:beforeLines="0" w:line="360" w:lineRule="auto"/>
      <w:ind w:firstLine="200" w:firstLineChars="200"/>
      <w:jc w:val="left"/>
    </w:pPr>
    <w:rPr>
      <w:rFonts w:ascii="宋体" w:hAnsi="宋体"/>
      <w:kern w:val="0"/>
      <w:sz w:val="24"/>
    </w:rPr>
  </w:style>
  <w:style w:type="paragraph" w:customStyle="1" w:styleId="2306">
    <w:name w:val="标题 61"/>
    <w:basedOn w:val="54"/>
    <w:next w:val="54"/>
    <w:qFormat/>
    <w:uiPriority w:val="0"/>
    <w:pPr>
      <w:keepNext/>
      <w:tabs>
        <w:tab w:val="left" w:pos="628"/>
        <w:tab w:val="left" w:pos="1727"/>
        <w:tab w:val="left" w:pos="1884"/>
        <w:tab w:val="left" w:pos="4900"/>
      </w:tabs>
      <w:autoSpaceDE/>
      <w:autoSpaceDN/>
      <w:snapToGrid w:val="0"/>
      <w:spacing w:line="300" w:lineRule="auto"/>
      <w:ind w:left="-237" w:firstLine="567" w:firstLineChars="0"/>
      <w:jc w:val="both"/>
      <w:textAlignment w:val="baseline"/>
      <w:outlineLvl w:val="5"/>
    </w:pPr>
    <w:rPr>
      <w:rFonts w:hint="eastAsia" w:eastAsia="等线" w:cs="Times New Roman"/>
      <w:b/>
      <w:sz w:val="28"/>
      <w:szCs w:val="20"/>
      <w:lang w:val="en-US" w:bidi="ar-SA"/>
    </w:rPr>
  </w:style>
  <w:style w:type="paragraph" w:customStyle="1" w:styleId="2307">
    <w:name w:val="AE"/>
    <w:qFormat/>
    <w:uiPriority w:val="0"/>
    <w:pPr>
      <w:tabs>
        <w:tab w:val="left" w:pos="703"/>
      </w:tabs>
      <w:ind w:left="709" w:hanging="709"/>
      <w:jc w:val="both"/>
    </w:pPr>
    <w:rPr>
      <w:rFonts w:ascii="Bookman" w:hAnsi="Bookman" w:eastAsia="宋体" w:cs="Times New Roman"/>
      <w:lang w:val="de-DE" w:eastAsia="en-US" w:bidi="ar-SA"/>
    </w:rPr>
  </w:style>
  <w:style w:type="paragraph" w:customStyle="1" w:styleId="2308">
    <w:name w:val="样式 标题 51)项标题 5 Char1) Char项 Char标5 + 左1"/>
    <w:basedOn w:val="8"/>
    <w:next w:val="1"/>
    <w:qFormat/>
    <w:uiPriority w:val="0"/>
    <w:pPr>
      <w:tabs>
        <w:tab w:val="left" w:pos="360"/>
        <w:tab w:val="left" w:pos="1120"/>
        <w:tab w:val="clear" w:pos="1008"/>
      </w:tabs>
      <w:adjustRightInd w:val="0"/>
      <w:spacing w:before="0" w:after="0" w:line="360" w:lineRule="auto"/>
      <w:ind w:left="360" w:hanging="360" w:firstLineChars="200"/>
      <w:jc w:val="left"/>
    </w:pPr>
    <w:rPr>
      <w:rFonts w:ascii="宋体" w:hAnsi="Arial"/>
      <w:b w:val="0"/>
      <w:bCs w:val="0"/>
      <w:kern w:val="24"/>
      <w:sz w:val="24"/>
      <w:szCs w:val="20"/>
    </w:rPr>
  </w:style>
  <w:style w:type="paragraph" w:customStyle="1" w:styleId="2309">
    <w:name w:val="样式 标题 41.1.1.1标题 4.1.1.1.1标题 4 Char款1.1.1.1 Char标4 + 两端对齐"/>
    <w:basedOn w:val="7"/>
    <w:qFormat/>
    <w:uiPriority w:val="0"/>
    <w:pPr>
      <w:tabs>
        <w:tab w:val="left" w:pos="864"/>
        <w:tab w:val="left" w:pos="3440"/>
      </w:tabs>
      <w:adjustRightInd/>
      <w:snapToGrid/>
      <w:spacing w:before="0" w:beforeLines="0" w:line="360" w:lineRule="auto"/>
      <w:ind w:left="835" w:leftChars="-14" w:hanging="864"/>
    </w:pPr>
    <w:rPr>
      <w:rFonts w:ascii="宋体" w:hAnsi="Arial"/>
      <w:b w:val="0"/>
      <w:color w:val="auto"/>
      <w:kern w:val="2"/>
      <w:sz w:val="28"/>
      <w:szCs w:val="24"/>
    </w:rPr>
  </w:style>
  <w:style w:type="paragraph" w:customStyle="1" w:styleId="2310">
    <w:name w:val="样式 居中"/>
    <w:basedOn w:val="1"/>
    <w:qFormat/>
    <w:uiPriority w:val="0"/>
    <w:pPr>
      <w:tabs>
        <w:tab w:val="left" w:pos="1590"/>
      </w:tabs>
      <w:spacing w:before="0" w:beforeLines="0" w:line="400" w:lineRule="exact"/>
      <w:ind w:left="1590" w:hanging="420"/>
      <w:jc w:val="center"/>
    </w:pPr>
    <w:rPr>
      <w:spacing w:val="8"/>
      <w:sz w:val="24"/>
      <w:szCs w:val="20"/>
    </w:rPr>
  </w:style>
  <w:style w:type="paragraph" w:customStyle="1" w:styleId="2311">
    <w:name w:val="样式 标题 1 + 黑体 四号 自动设置 两端对齐 段前: 7.8 磅 段后: 7.8 磅"/>
    <w:basedOn w:val="3"/>
    <w:qFormat/>
    <w:uiPriority w:val="0"/>
    <w:pPr>
      <w:keepLines w:val="0"/>
      <w:tabs>
        <w:tab w:val="left" w:pos="480"/>
      </w:tabs>
      <w:autoSpaceDE w:val="0"/>
      <w:autoSpaceDN w:val="0"/>
      <w:adjustRightInd w:val="0"/>
      <w:spacing w:before="120" w:after="120" w:line="240" w:lineRule="auto"/>
      <w:ind w:hanging="425"/>
    </w:pPr>
    <w:rPr>
      <w:rFonts w:ascii="黑体" w:hAnsi="宋体" w:eastAsia="黑体"/>
      <w:b w:val="0"/>
      <w:bCs w:val="0"/>
      <w:color w:val="auto"/>
      <w:kern w:val="0"/>
      <w:sz w:val="24"/>
    </w:rPr>
  </w:style>
  <w:style w:type="paragraph" w:customStyle="1" w:styleId="2312">
    <w:name w:val="zxl正文首行缩进  2 字符 行距: Char"/>
    <w:basedOn w:val="1"/>
    <w:qFormat/>
    <w:uiPriority w:val="0"/>
    <w:pPr>
      <w:widowControl/>
      <w:tabs>
        <w:tab w:val="left" w:pos="-1843"/>
        <w:tab w:val="left" w:pos="1727"/>
        <w:tab w:val="left" w:pos="1884"/>
        <w:tab w:val="left" w:pos="3440"/>
      </w:tabs>
      <w:spacing w:before="0" w:beforeLines="0" w:line="336" w:lineRule="auto"/>
      <w:ind w:left="560" w:leftChars="-14" w:firstLine="840" w:firstLineChars="350"/>
      <w:textAlignment w:val="bottom"/>
      <w:outlineLvl w:val="0"/>
    </w:pPr>
    <w:rPr>
      <w:rFonts w:ascii="宋体" w:hAnsi="宋体"/>
      <w:color w:val="000000"/>
      <w:sz w:val="24"/>
    </w:rPr>
  </w:style>
  <w:style w:type="paragraph" w:customStyle="1" w:styleId="2313">
    <w:name w:val="正文－1"/>
    <w:basedOn w:val="1"/>
    <w:qFormat/>
    <w:uiPriority w:val="0"/>
    <w:pPr>
      <w:spacing w:before="0" w:beforeLines="0" w:line="360" w:lineRule="auto"/>
      <w:ind w:firstLine="200" w:firstLineChars="200"/>
      <w:jc w:val="left"/>
    </w:pPr>
    <w:rPr>
      <w:sz w:val="24"/>
      <w:szCs w:val="20"/>
    </w:rPr>
  </w:style>
  <w:style w:type="paragraph" w:customStyle="1" w:styleId="2314">
    <w:name w:val="CM3"/>
    <w:basedOn w:val="1"/>
    <w:next w:val="1"/>
    <w:qFormat/>
    <w:uiPriority w:val="99"/>
    <w:pPr>
      <w:autoSpaceDE w:val="0"/>
      <w:autoSpaceDN w:val="0"/>
      <w:adjustRightInd w:val="0"/>
      <w:spacing w:before="0" w:beforeLines="0" w:line="626" w:lineRule="atLeast"/>
      <w:jc w:val="left"/>
    </w:pPr>
    <w:rPr>
      <w:rFonts w:ascii="宋体"/>
      <w:kern w:val="0"/>
      <w:sz w:val="24"/>
    </w:rPr>
  </w:style>
  <w:style w:type="paragraph" w:customStyle="1" w:styleId="2315">
    <w:name w:val="bt2"/>
    <w:basedOn w:val="1"/>
    <w:qFormat/>
    <w:uiPriority w:val="0"/>
    <w:pPr>
      <w:adjustRightInd w:val="0"/>
      <w:spacing w:before="0" w:beforeLines="0" w:line="500" w:lineRule="exact"/>
      <w:ind w:firstLine="624"/>
      <w:textAlignment w:val="baseline"/>
    </w:pPr>
    <w:rPr>
      <w:b/>
      <w:kern w:val="0"/>
      <w:sz w:val="30"/>
      <w:szCs w:val="20"/>
    </w:rPr>
  </w:style>
  <w:style w:type="paragraph" w:customStyle="1" w:styleId="2316">
    <w:name w:val="注意"/>
    <w:basedOn w:val="1"/>
    <w:qFormat/>
    <w:uiPriority w:val="99"/>
    <w:pPr>
      <w:keepNext/>
      <w:widowControl/>
      <w:spacing w:before="0" w:beforeLines="0" w:line="360" w:lineRule="auto"/>
      <w:ind w:firstLine="225" w:firstLineChars="225"/>
      <w:jc w:val="left"/>
    </w:pPr>
    <w:rPr>
      <w:rFonts w:ascii="宋体" w:hAnsi="宋体" w:eastAsia="楷体_GB2312"/>
      <w:color w:val="000000"/>
      <w:szCs w:val="20"/>
    </w:rPr>
  </w:style>
  <w:style w:type="paragraph" w:customStyle="1" w:styleId="2317">
    <w:name w:val="CM21"/>
    <w:basedOn w:val="34"/>
    <w:next w:val="34"/>
    <w:qFormat/>
    <w:uiPriority w:val="0"/>
    <w:pPr>
      <w:spacing w:line="626" w:lineRule="atLeast"/>
    </w:pPr>
    <w:rPr>
      <w:rFonts w:cs="Times New Roman"/>
      <w:sz w:val="24"/>
      <w:szCs w:val="24"/>
    </w:rPr>
  </w:style>
  <w:style w:type="paragraph" w:customStyle="1" w:styleId="2318">
    <w:name w:val="附件标题"/>
    <w:qFormat/>
    <w:uiPriority w:val="0"/>
    <w:pPr>
      <w:spacing w:line="360" w:lineRule="auto"/>
      <w:jc w:val="center"/>
    </w:pPr>
    <w:rPr>
      <w:rFonts w:ascii="宋体" w:hAnsi="Times New Roman" w:eastAsia="黑体" w:cs="Times New Roman"/>
      <w:kern w:val="2"/>
      <w:sz w:val="24"/>
      <w:lang w:val="en-US" w:eastAsia="zh-CN" w:bidi="ar-SA"/>
    </w:rPr>
  </w:style>
  <w:style w:type="paragraph" w:customStyle="1" w:styleId="2319">
    <w:name w:val="Paragraph"/>
    <w:basedOn w:val="1"/>
    <w:qFormat/>
    <w:uiPriority w:val="0"/>
    <w:pPr>
      <w:widowControl/>
      <w:spacing w:before="0" w:beforeLines="0" w:after="240" w:line="320" w:lineRule="atLeast"/>
      <w:ind w:left="1008"/>
    </w:pPr>
    <w:rPr>
      <w:kern w:val="0"/>
      <w:sz w:val="22"/>
      <w:szCs w:val="20"/>
      <w:lang w:eastAsia="en-US"/>
    </w:rPr>
  </w:style>
  <w:style w:type="paragraph" w:customStyle="1" w:styleId="2320">
    <w:name w:val="样式 标题 1标题 1 Char标1章 + 段前: 0.5 行 段后: 0.5 行2"/>
    <w:basedOn w:val="3"/>
    <w:qFormat/>
    <w:uiPriority w:val="0"/>
    <w:pPr>
      <w:keepLines w:val="0"/>
      <w:autoSpaceDE w:val="0"/>
      <w:autoSpaceDN w:val="0"/>
      <w:adjustRightInd w:val="0"/>
      <w:snapToGrid w:val="0"/>
      <w:spacing w:beforeLines="50" w:afterLines="50" w:line="240" w:lineRule="auto"/>
      <w:ind w:left="360" w:hanging="360"/>
      <w:jc w:val="left"/>
    </w:pPr>
    <w:rPr>
      <w:rFonts w:ascii="黑体" w:hAnsi="Arial" w:eastAsia="黑体" w:cs="宋体"/>
      <w:b w:val="0"/>
      <w:bCs w:val="0"/>
      <w:kern w:val="24"/>
      <w:sz w:val="28"/>
      <w:lang w:val="zh-CN"/>
    </w:rPr>
  </w:style>
  <w:style w:type="paragraph" w:customStyle="1" w:styleId="2321">
    <w:name w:val="标3正文项"/>
    <w:basedOn w:val="1"/>
    <w:qFormat/>
    <w:uiPriority w:val="0"/>
    <w:pPr>
      <w:tabs>
        <w:tab w:val="left" w:pos="360"/>
      </w:tabs>
      <w:spacing w:before="0" w:beforeLines="0" w:line="360" w:lineRule="auto"/>
      <w:ind w:left="822" w:hanging="397"/>
    </w:pPr>
    <w:rPr>
      <w:kern w:val="0"/>
      <w:sz w:val="24"/>
      <w:szCs w:val="20"/>
    </w:rPr>
  </w:style>
  <w:style w:type="paragraph" w:customStyle="1" w:styleId="2322">
    <w:name w:val="Indent 1"/>
    <w:basedOn w:val="1"/>
    <w:qFormat/>
    <w:uiPriority w:val="0"/>
    <w:pPr>
      <w:widowControl/>
      <w:tabs>
        <w:tab w:val="left" w:pos="1440"/>
      </w:tabs>
      <w:spacing w:before="0" w:beforeLines="0" w:after="120" w:line="290" w:lineRule="atLeast"/>
      <w:ind w:left="180"/>
    </w:pPr>
    <w:rPr>
      <w:kern w:val="0"/>
      <w:sz w:val="24"/>
      <w:szCs w:val="20"/>
    </w:rPr>
  </w:style>
  <w:style w:type="paragraph" w:customStyle="1" w:styleId="2323">
    <w:name w:val="标题 41"/>
    <w:basedOn w:val="54"/>
    <w:next w:val="54"/>
    <w:qFormat/>
    <w:uiPriority w:val="0"/>
    <w:pPr>
      <w:tabs>
        <w:tab w:val="left" w:pos="628"/>
        <w:tab w:val="left" w:pos="1727"/>
        <w:tab w:val="left" w:pos="1884"/>
        <w:tab w:val="left" w:pos="2660"/>
        <w:tab w:val="left" w:pos="5460"/>
      </w:tabs>
      <w:autoSpaceDE/>
      <w:autoSpaceDN/>
      <w:snapToGrid w:val="0"/>
      <w:spacing w:line="300" w:lineRule="auto"/>
      <w:ind w:firstLine="0" w:firstLineChars="0"/>
      <w:jc w:val="both"/>
      <w:outlineLvl w:val="3"/>
    </w:pPr>
    <w:rPr>
      <w:rFonts w:hint="eastAsia" w:eastAsia="等线" w:cs="Times New Roman"/>
      <w:spacing w:val="3"/>
      <w:sz w:val="28"/>
      <w:szCs w:val="20"/>
      <w:lang w:val="en-US" w:bidi="ar-SA"/>
    </w:rPr>
  </w:style>
  <w:style w:type="paragraph" w:customStyle="1" w:styleId="2324">
    <w:name w:val="样式 表格 + 自动设置"/>
    <w:basedOn w:val="160"/>
    <w:qFormat/>
    <w:uiPriority w:val="0"/>
    <w:pPr>
      <w:widowControl w:val="0"/>
      <w:tabs>
        <w:tab w:val="left" w:pos="3440"/>
      </w:tabs>
      <w:adjustRightInd w:val="0"/>
      <w:spacing w:line="460" w:lineRule="exact"/>
      <w:ind w:left="-14" w:leftChars="-14"/>
      <w:jc w:val="left"/>
    </w:pPr>
    <w:rPr>
      <w:rFonts w:ascii="宋体" w:hAnsi="宋体" w:eastAsia="等线"/>
      <w:b/>
      <w:snapToGrid/>
      <w:color w:val="000000"/>
      <w:kern w:val="2"/>
      <w:sz w:val="24"/>
      <w:szCs w:val="24"/>
    </w:rPr>
  </w:style>
  <w:style w:type="paragraph" w:customStyle="1" w:styleId="2325">
    <w:name w:val="样式 表格文字居中 + 加粗 右侧:  -0.06 字符"/>
    <w:basedOn w:val="961"/>
    <w:qFormat/>
    <w:uiPriority w:val="0"/>
    <w:pPr>
      <w:tabs>
        <w:tab w:val="left" w:pos="1727"/>
        <w:tab w:val="left" w:pos="1884"/>
      </w:tabs>
      <w:autoSpaceDE w:val="0"/>
      <w:autoSpaceDN w:val="0"/>
      <w:adjustRightInd w:val="0"/>
      <w:snapToGrid w:val="0"/>
      <w:spacing w:line="360" w:lineRule="auto"/>
      <w:ind w:left="1" w:leftChars="-152" w:hanging="427" w:hangingChars="178"/>
    </w:pPr>
    <w:rPr>
      <w:rFonts w:ascii="宋体" w:hAnsi="宋体" w:cs="Times New Roman"/>
      <w:color w:val="000000"/>
      <w:sz w:val="24"/>
      <w:szCs w:val="22"/>
      <w:lang w:val="zh-CN"/>
    </w:rPr>
  </w:style>
  <w:style w:type="paragraph" w:customStyle="1" w:styleId="2326">
    <w:name w:val="表格标题居中"/>
    <w:basedOn w:val="1"/>
    <w:qFormat/>
    <w:uiPriority w:val="0"/>
    <w:pPr>
      <w:adjustRightInd w:val="0"/>
      <w:snapToGrid w:val="0"/>
      <w:spacing w:before="0" w:beforeLines="0" w:line="240" w:lineRule="auto"/>
      <w:jc w:val="center"/>
    </w:pPr>
    <w:rPr>
      <w:rFonts w:ascii="黑体" w:hAnsi="宋体" w:eastAsia="黑体"/>
      <w:szCs w:val="20"/>
    </w:rPr>
  </w:style>
  <w:style w:type="paragraph" w:customStyle="1" w:styleId="2327">
    <w:name w:val="样式 样式 注意 + 首行缩进:  2 字符 + 首行缩进:  2 字符"/>
    <w:basedOn w:val="54"/>
    <w:next w:val="54"/>
    <w:qFormat/>
    <w:uiPriority w:val="0"/>
    <w:pPr>
      <w:tabs>
        <w:tab w:val="left" w:pos="628"/>
        <w:tab w:val="left" w:pos="1727"/>
        <w:tab w:val="left" w:pos="1884"/>
        <w:tab w:val="left" w:pos="4900"/>
      </w:tabs>
      <w:adjustRightInd w:val="0"/>
      <w:snapToGrid w:val="0"/>
      <w:spacing w:line="360" w:lineRule="auto"/>
      <w:ind w:left="-28" w:firstLine="480" w:firstLineChars="0"/>
    </w:pPr>
    <w:rPr>
      <w:rFonts w:ascii="楷体_GB2312" w:hAnsi="等线" w:eastAsia="楷体_GB2312" w:cs="Times New Roman"/>
      <w:color w:val="000000"/>
      <w:szCs w:val="20"/>
      <w:lang w:bidi="ar-SA"/>
    </w:rPr>
  </w:style>
  <w:style w:type="paragraph" w:customStyle="1" w:styleId="2328">
    <w:name w:val="首页脚注"/>
    <w:basedOn w:val="58"/>
    <w:qFormat/>
    <w:uiPriority w:val="0"/>
    <w:pPr>
      <w:keepLines/>
      <w:widowControl/>
      <w:tabs>
        <w:tab w:val="center" w:pos="4320"/>
        <w:tab w:val="clear" w:pos="4153"/>
        <w:tab w:val="clear" w:pos="8306"/>
      </w:tabs>
      <w:overflowPunct w:val="0"/>
      <w:autoSpaceDE w:val="0"/>
      <w:autoSpaceDN w:val="0"/>
      <w:adjustRightInd w:val="0"/>
      <w:snapToGrid/>
      <w:spacing w:before="0" w:beforeLines="0" w:line="360" w:lineRule="auto"/>
      <w:ind w:firstLine="200" w:firstLineChars="200"/>
      <w:jc w:val="center"/>
      <w:textAlignment w:val="baseline"/>
    </w:pPr>
    <w:rPr>
      <w:kern w:val="0"/>
      <w:sz w:val="28"/>
      <w:szCs w:val="20"/>
    </w:rPr>
  </w:style>
  <w:style w:type="paragraph" w:customStyle="1" w:styleId="2329">
    <w:name w:val="CM62"/>
    <w:basedOn w:val="1"/>
    <w:next w:val="1"/>
    <w:qFormat/>
    <w:uiPriority w:val="0"/>
    <w:pPr>
      <w:autoSpaceDE w:val="0"/>
      <w:autoSpaceDN w:val="0"/>
      <w:adjustRightInd w:val="0"/>
      <w:spacing w:before="0" w:beforeLines="0" w:line="623" w:lineRule="atLeast"/>
      <w:jc w:val="left"/>
    </w:pPr>
    <w:rPr>
      <w:rFonts w:ascii="宋体"/>
      <w:kern w:val="0"/>
      <w:sz w:val="24"/>
    </w:rPr>
  </w:style>
  <w:style w:type="paragraph" w:customStyle="1" w:styleId="2330">
    <w:name w:val="CM25"/>
    <w:basedOn w:val="1"/>
    <w:next w:val="1"/>
    <w:qFormat/>
    <w:uiPriority w:val="0"/>
    <w:pPr>
      <w:autoSpaceDE w:val="0"/>
      <w:autoSpaceDN w:val="0"/>
      <w:adjustRightInd w:val="0"/>
      <w:spacing w:before="0" w:beforeLines="0" w:after="190" w:line="240" w:lineRule="auto"/>
      <w:jc w:val="left"/>
    </w:pPr>
    <w:rPr>
      <w:rFonts w:ascii="黑体" w:eastAsia="黑体"/>
      <w:kern w:val="0"/>
      <w:sz w:val="24"/>
    </w:rPr>
  </w:style>
  <w:style w:type="paragraph" w:customStyle="1" w:styleId="2331">
    <w:name w:val="LIST OF BULLETS"/>
    <w:basedOn w:val="1"/>
    <w:qFormat/>
    <w:uiPriority w:val="0"/>
    <w:pPr>
      <w:widowControl/>
      <w:spacing w:before="0" w:beforeLines="0" w:after="60" w:line="240" w:lineRule="auto"/>
    </w:pPr>
    <w:rPr>
      <w:kern w:val="0"/>
      <w:sz w:val="22"/>
      <w:szCs w:val="20"/>
      <w:lang w:eastAsia="en-US"/>
    </w:rPr>
  </w:style>
  <w:style w:type="paragraph" w:customStyle="1" w:styleId="2332">
    <w:name w:val="CM10"/>
    <w:basedOn w:val="34"/>
    <w:next w:val="34"/>
    <w:qFormat/>
    <w:uiPriority w:val="99"/>
    <w:rPr>
      <w:rFonts w:ascii="黑体" w:hAnsi="Calibri" w:eastAsia="黑体" w:cs="Times New Roman"/>
      <w:sz w:val="24"/>
      <w:szCs w:val="24"/>
    </w:rPr>
  </w:style>
  <w:style w:type="paragraph" w:customStyle="1" w:styleId="2333">
    <w:name w:val="Mycontent"/>
    <w:basedOn w:val="61"/>
    <w:qFormat/>
    <w:uiPriority w:val="0"/>
    <w:pPr>
      <w:tabs>
        <w:tab w:val="right" w:leader="dot" w:pos="8296"/>
        <w:tab w:val="right" w:leader="dot" w:pos="9627"/>
      </w:tabs>
      <w:spacing w:before="120" w:beforeLines="0" w:after="120" w:line="360" w:lineRule="auto"/>
      <w:ind w:firstLine="640" w:firstLineChars="200"/>
      <w:jc w:val="left"/>
    </w:pPr>
    <w:rPr>
      <w:rFonts w:ascii="宋体" w:eastAsia="黑体"/>
      <w:caps/>
      <w:sz w:val="24"/>
      <w:szCs w:val="20"/>
    </w:rPr>
  </w:style>
  <w:style w:type="paragraph" w:customStyle="1" w:styleId="2334">
    <w:name w:val="条(四级)"/>
    <w:basedOn w:val="1371"/>
    <w:next w:val="7"/>
    <w:qFormat/>
    <w:uiPriority w:val="0"/>
    <w:pPr>
      <w:spacing w:before="0" w:beforeLines="0" w:after="0" w:afterLines="0"/>
      <w:ind w:firstLine="0"/>
      <w:outlineLvl w:val="1"/>
    </w:pPr>
    <w:rPr>
      <w:rFonts w:eastAsia="等线"/>
    </w:rPr>
  </w:style>
  <w:style w:type="paragraph" w:customStyle="1" w:styleId="2335">
    <w:name w:val="CM18"/>
    <w:basedOn w:val="34"/>
    <w:next w:val="34"/>
    <w:qFormat/>
    <w:uiPriority w:val="99"/>
    <w:rPr>
      <w:rFonts w:ascii="黑体" w:hAnsi="Calibri" w:eastAsia="黑体" w:cs="Times New Roman"/>
      <w:sz w:val="24"/>
      <w:szCs w:val="24"/>
    </w:rPr>
  </w:style>
  <w:style w:type="paragraph" w:customStyle="1" w:styleId="2336">
    <w:name w:val="Items"/>
    <w:basedOn w:val="1"/>
    <w:qFormat/>
    <w:uiPriority w:val="0"/>
    <w:pPr>
      <w:spacing w:before="48" w:beforeLines="0" w:after="72" w:line="560" w:lineRule="exact"/>
      <w:ind w:left="240" w:firstLine="80"/>
    </w:pPr>
    <w:rPr>
      <w:rFonts w:ascii="Arial" w:hAnsi="Arial"/>
      <w:sz w:val="28"/>
      <w:szCs w:val="20"/>
    </w:rPr>
  </w:style>
  <w:style w:type="paragraph" w:customStyle="1" w:styleId="2337">
    <w:name w:val="我的标题 4"/>
    <w:basedOn w:val="7"/>
    <w:qFormat/>
    <w:uiPriority w:val="0"/>
    <w:pPr>
      <w:tabs>
        <w:tab w:val="left" w:pos="1440"/>
      </w:tabs>
      <w:adjustRightInd/>
      <w:snapToGrid/>
      <w:spacing w:before="120" w:beforeLines="0" w:after="120" w:line="240" w:lineRule="auto"/>
      <w:ind w:left="864" w:hanging="864"/>
    </w:pPr>
    <w:rPr>
      <w:rFonts w:ascii="Arial" w:hAnsi="Arial" w:eastAsia="仿宋_GB2312"/>
      <w:b w:val="0"/>
      <w:color w:val="auto"/>
      <w:kern w:val="2"/>
      <w:sz w:val="28"/>
      <w:szCs w:val="20"/>
    </w:rPr>
  </w:style>
  <w:style w:type="paragraph" w:customStyle="1" w:styleId="2338">
    <w:name w:val="样式 标题 21.1标题 21.1标题2标题 2 Char1节_Heading 2标2 + 两端对齐"/>
    <w:basedOn w:val="4"/>
    <w:qFormat/>
    <w:uiPriority w:val="0"/>
    <w:pPr>
      <w:tabs>
        <w:tab w:val="left" w:pos="576"/>
        <w:tab w:val="left" w:pos="3440"/>
      </w:tabs>
      <w:spacing w:before="0" w:after="0" w:line="360" w:lineRule="auto"/>
      <w:ind w:left="576" w:hanging="576"/>
    </w:pPr>
    <w:rPr>
      <w:rFonts w:ascii="黑体"/>
      <w:b w:val="0"/>
      <w:bCs/>
      <w:color w:val="auto"/>
      <w:kern w:val="2"/>
      <w:sz w:val="24"/>
      <w:szCs w:val="24"/>
    </w:rPr>
  </w:style>
  <w:style w:type="paragraph" w:customStyle="1" w:styleId="2339">
    <w:name w:val="样式 题注 + 首行缩进:  2 字符"/>
    <w:basedOn w:val="21"/>
    <w:qFormat/>
    <w:uiPriority w:val="0"/>
    <w:pPr>
      <w:keepNext/>
      <w:tabs>
        <w:tab w:val="left" w:pos="3440"/>
      </w:tabs>
      <w:adjustRightInd/>
      <w:snapToGrid/>
      <w:spacing w:before="152" w:after="160"/>
      <w:ind w:left="-34" w:leftChars="-14" w:firstLine="400" w:firstLineChars="257"/>
    </w:pPr>
    <w:rPr>
      <w:rFonts w:ascii="Arial" w:hAnsi="Arial" w:eastAsia="宋体"/>
      <w:sz w:val="24"/>
    </w:rPr>
  </w:style>
  <w:style w:type="paragraph" w:customStyle="1" w:styleId="2340">
    <w:name w:val="Indent 2"/>
    <w:basedOn w:val="1"/>
    <w:qFormat/>
    <w:uiPriority w:val="0"/>
    <w:pPr>
      <w:widowControl/>
      <w:tabs>
        <w:tab w:val="left" w:pos="720"/>
      </w:tabs>
      <w:spacing w:before="0" w:beforeLines="0" w:after="120" w:line="240" w:lineRule="auto"/>
    </w:pPr>
    <w:rPr>
      <w:rFonts w:ascii="Arial" w:hAnsi="Arial"/>
      <w:kern w:val="0"/>
      <w:sz w:val="24"/>
      <w:szCs w:val="20"/>
      <w:lang w:eastAsia="en-US"/>
    </w:rPr>
  </w:style>
  <w:style w:type="paragraph" w:customStyle="1" w:styleId="2341">
    <w:name w:val="样式 标题 51)项标5标题 5 Char21) Char2项 Char2 + 左侧:  -0.04 厘米 首行缩..."/>
    <w:basedOn w:val="8"/>
    <w:qFormat/>
    <w:uiPriority w:val="0"/>
    <w:pPr>
      <w:keepNext w:val="0"/>
      <w:keepLines w:val="0"/>
      <w:widowControl/>
      <w:tabs>
        <w:tab w:val="left" w:pos="360"/>
        <w:tab w:val="left" w:pos="2580"/>
        <w:tab w:val="clear" w:pos="1008"/>
      </w:tabs>
      <w:adjustRightInd w:val="0"/>
      <w:snapToGrid w:val="0"/>
      <w:spacing w:before="0" w:after="0" w:line="360" w:lineRule="auto"/>
      <w:ind w:left="1247" w:firstLine="567"/>
      <w:jc w:val="left"/>
      <w:textAlignment w:val="baseline"/>
    </w:pPr>
    <w:rPr>
      <w:rFonts w:ascii="宋体" w:hAnsi="宋体"/>
      <w:b w:val="0"/>
      <w:bCs w:val="0"/>
      <w:szCs w:val="20"/>
    </w:rPr>
  </w:style>
  <w:style w:type="paragraph" w:customStyle="1" w:styleId="2342">
    <w:name w:val="章(一级)"/>
    <w:basedOn w:val="3"/>
    <w:next w:val="1361"/>
    <w:qFormat/>
    <w:uiPriority w:val="0"/>
    <w:pPr>
      <w:tabs>
        <w:tab w:val="clear" w:pos="360"/>
      </w:tabs>
      <w:adjustRightInd w:val="0"/>
      <w:spacing w:before="0" w:after="0" w:line="460" w:lineRule="exact"/>
      <w:jc w:val="left"/>
      <w:textAlignment w:val="baseline"/>
    </w:pPr>
    <w:rPr>
      <w:rFonts w:ascii="宋体" w:hAnsi="Arial" w:eastAsia="等线"/>
      <w:bCs w:val="0"/>
      <w:color w:val="auto"/>
      <w:kern w:val="24"/>
      <w:sz w:val="24"/>
    </w:rPr>
  </w:style>
  <w:style w:type="paragraph" w:customStyle="1" w:styleId="2343">
    <w:name w:val="样式 样式1 + 行距: 1.5 倍行距1"/>
    <w:basedOn w:val="1"/>
    <w:qFormat/>
    <w:uiPriority w:val="0"/>
    <w:pPr>
      <w:keepNext/>
      <w:keepLines/>
      <w:tabs>
        <w:tab w:val="left" w:pos="425"/>
      </w:tabs>
      <w:spacing w:before="340" w:beforeLines="0" w:after="330" w:line="320" w:lineRule="exact"/>
      <w:ind w:left="425" w:hanging="425"/>
      <w:outlineLvl w:val="0"/>
    </w:pPr>
    <w:rPr>
      <w:rFonts w:ascii="黑体" w:eastAsia="黑体" w:cs="宋体"/>
      <w:kern w:val="44"/>
      <w:sz w:val="28"/>
      <w:szCs w:val="20"/>
    </w:rPr>
  </w:style>
  <w:style w:type="paragraph" w:customStyle="1" w:styleId="2344">
    <w:name w:val="样式 标题 21.1标题 21.1标题2标题 2 Char1节标2_Heading 2一级条 + 段前: 0....4"/>
    <w:basedOn w:val="1"/>
    <w:next w:val="54"/>
    <w:qFormat/>
    <w:uiPriority w:val="0"/>
    <w:pPr>
      <w:tabs>
        <w:tab w:val="left" w:pos="3440"/>
      </w:tabs>
      <w:autoSpaceDE w:val="0"/>
      <w:autoSpaceDN w:val="0"/>
      <w:adjustRightInd w:val="0"/>
      <w:spacing w:before="156" w:beforeLines="0" w:after="156" w:line="360" w:lineRule="auto"/>
      <w:ind w:left="-29" w:leftChars="-14" w:firstLine="840" w:firstLineChars="350"/>
    </w:pPr>
    <w:rPr>
      <w:rFonts w:ascii="宋体" w:hAnsi="宋体"/>
      <w:kern w:val="0"/>
      <w:sz w:val="24"/>
      <w:szCs w:val="20"/>
      <w:lang w:val="zh-CN"/>
    </w:rPr>
  </w:style>
  <w:style w:type="paragraph" w:customStyle="1" w:styleId="2345">
    <w:name w:val="样式 Indent 2 + (中文) 宋体"/>
    <w:basedOn w:val="2340"/>
    <w:qFormat/>
    <w:uiPriority w:val="0"/>
    <w:pPr>
      <w:tabs>
        <w:tab w:val="left" w:pos="360"/>
        <w:tab w:val="left" w:pos="1138"/>
        <w:tab w:val="clear" w:pos="720"/>
      </w:tabs>
      <w:spacing w:after="0" w:line="360" w:lineRule="auto"/>
      <w:ind w:left="1138" w:hanging="360"/>
      <w:jc w:val="left"/>
    </w:pPr>
    <w:rPr>
      <w:rFonts w:ascii="宋体" w:hAnsi="宋体"/>
      <w:sz w:val="28"/>
      <w:lang w:eastAsia="zh-CN"/>
    </w:rPr>
  </w:style>
  <w:style w:type="paragraph" w:customStyle="1" w:styleId="2346">
    <w:name w:val="样式 首行缩进:  1.13 厘米"/>
    <w:basedOn w:val="1"/>
    <w:qFormat/>
    <w:uiPriority w:val="0"/>
    <w:pPr>
      <w:adjustRightInd w:val="0"/>
      <w:snapToGrid w:val="0"/>
      <w:spacing w:before="0" w:beforeLines="0" w:line="520" w:lineRule="atLeast"/>
      <w:ind w:firstLine="641"/>
      <w:textAlignment w:val="baseline"/>
    </w:pPr>
    <w:rPr>
      <w:rFonts w:eastAsia="仿宋_GB2312"/>
      <w:b/>
      <w:sz w:val="32"/>
      <w:szCs w:val="20"/>
    </w:rPr>
  </w:style>
  <w:style w:type="paragraph" w:customStyle="1" w:styleId="2347">
    <w:name w:val="样式 正文首行缩进 + 首行缩进:  1 字符"/>
    <w:basedOn w:val="54"/>
    <w:qFormat/>
    <w:uiPriority w:val="0"/>
    <w:pPr>
      <w:tabs>
        <w:tab w:val="left" w:pos="3440"/>
      </w:tabs>
      <w:autoSpaceDE/>
      <w:autoSpaceDN/>
      <w:spacing w:line="360" w:lineRule="auto"/>
      <w:ind w:left="-29" w:leftChars="-14" w:firstLine="980" w:firstLineChars="350"/>
      <w:jc w:val="both"/>
    </w:pPr>
    <w:rPr>
      <w:rFonts w:eastAsia="等线" w:cs="Times New Roman"/>
      <w:color w:val="000000"/>
      <w:kern w:val="2"/>
      <w:sz w:val="28"/>
      <w:lang w:val="en-US" w:bidi="ar-SA"/>
    </w:rPr>
  </w:style>
  <w:style w:type="paragraph" w:customStyle="1" w:styleId="2348">
    <w:name w:val="CM14"/>
    <w:basedOn w:val="34"/>
    <w:next w:val="34"/>
    <w:qFormat/>
    <w:uiPriority w:val="99"/>
    <w:rPr>
      <w:rFonts w:ascii="黑体" w:hAnsi="Calibri" w:eastAsia="黑体" w:cs="Times New Roman"/>
      <w:sz w:val="24"/>
      <w:szCs w:val="24"/>
    </w:rPr>
  </w:style>
  <w:style w:type="paragraph" w:customStyle="1" w:styleId="2349">
    <w:name w:val="样式 标题 31.1.1条标题 3 Char Char标题 3 Char标3 + 两端对齐"/>
    <w:basedOn w:val="5"/>
    <w:qFormat/>
    <w:uiPriority w:val="0"/>
    <w:pPr>
      <w:keepNext/>
      <w:tabs>
        <w:tab w:val="left" w:pos="3440"/>
      </w:tabs>
      <w:spacing w:before="0" w:after="0" w:line="360" w:lineRule="auto"/>
    </w:pPr>
    <w:rPr>
      <w:rFonts w:ascii="宋体" w:hAnsi="Arial"/>
      <w:b w:val="0"/>
      <w:bCs w:val="0"/>
      <w:kern w:val="2"/>
      <w:sz w:val="24"/>
      <w:szCs w:val="24"/>
    </w:rPr>
  </w:style>
  <w:style w:type="paragraph" w:customStyle="1" w:styleId="2350">
    <w:name w:val="样式 宋体 四号 首行缩进:  0.99 厘米 行距: 多倍行距 1.25 字行"/>
    <w:basedOn w:val="1"/>
    <w:qFormat/>
    <w:uiPriority w:val="0"/>
    <w:pPr>
      <w:tabs>
        <w:tab w:val="left" w:pos="0"/>
        <w:tab w:val="left" w:pos="1200"/>
      </w:tabs>
      <w:adjustRightInd w:val="0"/>
      <w:snapToGrid w:val="0"/>
      <w:spacing w:before="0" w:beforeLines="0" w:line="300" w:lineRule="auto"/>
      <w:ind w:firstLine="561" w:firstLineChars="200"/>
      <w:jc w:val="center"/>
    </w:pPr>
    <w:rPr>
      <w:rFonts w:hint="eastAsia" w:ascii="宋体" w:hAnsi="宋体"/>
      <w:kern w:val="0"/>
      <w:sz w:val="28"/>
      <w:szCs w:val="28"/>
    </w:rPr>
  </w:style>
  <w:style w:type="paragraph" w:customStyle="1" w:styleId="2351">
    <w:name w:val="样式 标题 51)项标题 5 Char1) Char项 Char标5一级项 + 四号"/>
    <w:basedOn w:val="8"/>
    <w:qFormat/>
    <w:uiPriority w:val="0"/>
    <w:pPr>
      <w:keepNext w:val="0"/>
      <w:keepLines w:val="0"/>
      <w:tabs>
        <w:tab w:val="clear" w:pos="1008"/>
      </w:tabs>
      <w:adjustRightInd w:val="0"/>
      <w:snapToGrid w:val="0"/>
      <w:spacing w:before="0" w:after="0" w:line="360" w:lineRule="auto"/>
      <w:ind w:left="-177" w:firstLine="567"/>
      <w:jc w:val="left"/>
    </w:pPr>
    <w:rPr>
      <w:rFonts w:ascii="宋体" w:hAnsi="Arial"/>
      <w:b w:val="0"/>
      <w:bCs w:val="0"/>
      <w:kern w:val="24"/>
      <w:szCs w:val="20"/>
      <w:lang w:val="zh-CN"/>
    </w:rPr>
  </w:style>
  <w:style w:type="paragraph" w:customStyle="1" w:styleId="2352">
    <w:name w:val="表中字"/>
    <w:basedOn w:val="1"/>
    <w:qFormat/>
    <w:uiPriority w:val="0"/>
    <w:pPr>
      <w:tabs>
        <w:tab w:val="left" w:pos="180"/>
      </w:tabs>
      <w:spacing w:before="0" w:beforeLines="0" w:line="240" w:lineRule="atLeast"/>
    </w:pPr>
    <w:rPr>
      <w:rFonts w:ascii="宋体" w:hAnsi="宋体"/>
      <w:szCs w:val="20"/>
    </w:rPr>
  </w:style>
  <w:style w:type="paragraph" w:customStyle="1" w:styleId="2353">
    <w:name w:val="样式 标题 21.1标题 21.1标题2标题 2 Char1节标2_Heading 2一级条 + 段前: 0....1"/>
    <w:basedOn w:val="1"/>
    <w:next w:val="54"/>
    <w:qFormat/>
    <w:uiPriority w:val="0"/>
    <w:pPr>
      <w:tabs>
        <w:tab w:val="left" w:pos="3440"/>
      </w:tabs>
      <w:autoSpaceDE w:val="0"/>
      <w:autoSpaceDN w:val="0"/>
      <w:adjustRightInd w:val="0"/>
      <w:spacing w:before="156" w:beforeLines="0" w:after="156" w:line="360" w:lineRule="auto"/>
      <w:ind w:left="-29" w:leftChars="-14" w:firstLine="840" w:firstLineChars="350"/>
    </w:pPr>
    <w:rPr>
      <w:rFonts w:ascii="宋体" w:hAnsi="宋体"/>
      <w:kern w:val="0"/>
      <w:sz w:val="24"/>
      <w:szCs w:val="20"/>
      <w:lang w:val="zh-CN"/>
    </w:rPr>
  </w:style>
  <w:style w:type="paragraph" w:customStyle="1" w:styleId="2354">
    <w:name w:val="CM8"/>
    <w:basedOn w:val="34"/>
    <w:next w:val="34"/>
    <w:qFormat/>
    <w:uiPriority w:val="99"/>
    <w:pPr>
      <w:spacing w:line="468" w:lineRule="atLeast"/>
    </w:pPr>
    <w:rPr>
      <w:rFonts w:ascii="黑体" w:hAnsi="Calibri" w:eastAsia="黑体" w:cs="Times New Roman"/>
      <w:sz w:val="24"/>
      <w:szCs w:val="24"/>
    </w:rPr>
  </w:style>
  <w:style w:type="paragraph" w:customStyle="1" w:styleId="2355">
    <w:name w:val="1.1.项目名称与建设性质"/>
    <w:basedOn w:val="3"/>
    <w:qFormat/>
    <w:uiPriority w:val="0"/>
    <w:pPr>
      <w:tabs>
        <w:tab w:val="left" w:pos="540"/>
        <w:tab w:val="left" w:pos="5040"/>
        <w:tab w:val="left" w:pos="6825"/>
        <w:tab w:val="clear" w:pos="360"/>
      </w:tabs>
      <w:snapToGrid w:val="0"/>
      <w:spacing w:before="120" w:after="120" w:line="440" w:lineRule="exact"/>
      <w:jc w:val="left"/>
    </w:pPr>
    <w:rPr>
      <w:rFonts w:eastAsia="等线"/>
      <w:bCs w:val="0"/>
      <w:color w:val="auto"/>
      <w:spacing w:val="20"/>
      <w:kern w:val="44"/>
      <w:sz w:val="28"/>
    </w:rPr>
  </w:style>
  <w:style w:type="paragraph" w:customStyle="1" w:styleId="2356">
    <w:name w:val="样式 注意 + 小四 首行缩进:  2 字符"/>
    <w:basedOn w:val="2316"/>
    <w:qFormat/>
    <w:uiPriority w:val="0"/>
    <w:pPr>
      <w:widowControl w:val="0"/>
      <w:tabs>
        <w:tab w:val="left" w:pos="3440"/>
      </w:tabs>
      <w:autoSpaceDE w:val="0"/>
      <w:autoSpaceDN w:val="0"/>
      <w:adjustRightInd w:val="0"/>
      <w:ind w:left="-28" w:leftChars="-14" w:firstLine="350" w:firstLineChars="350"/>
      <w:jc w:val="both"/>
    </w:pPr>
    <w:rPr>
      <w:sz w:val="24"/>
      <w:lang w:val="zh-CN"/>
    </w:rPr>
  </w:style>
  <w:style w:type="paragraph" w:customStyle="1" w:styleId="2357">
    <w:name w:val="样式 样式2 +"/>
    <w:basedOn w:val="194"/>
    <w:qFormat/>
    <w:uiPriority w:val="0"/>
    <w:pPr>
      <w:tabs>
        <w:tab w:val="left" w:pos="3440"/>
      </w:tabs>
      <w:adjustRightInd w:val="0"/>
      <w:spacing w:line="520" w:lineRule="exact"/>
      <w:ind w:left="-14" w:leftChars="-14"/>
      <w:jc w:val="both"/>
    </w:pPr>
    <w:rPr>
      <w:rFonts w:eastAsia="宋体"/>
      <w:b w:val="0"/>
      <w:color w:val="000000"/>
      <w:sz w:val="28"/>
      <w:szCs w:val="28"/>
      <w:lang w:val="zh-CN"/>
    </w:rPr>
  </w:style>
  <w:style w:type="paragraph" w:customStyle="1" w:styleId="2358">
    <w:name w:val="样式 正文文本表内容 + 居中"/>
    <w:basedOn w:val="33"/>
    <w:qFormat/>
    <w:uiPriority w:val="0"/>
    <w:pPr>
      <w:tabs>
        <w:tab w:val="left" w:pos="0"/>
        <w:tab w:val="left" w:pos="2304"/>
      </w:tabs>
      <w:autoSpaceDE/>
      <w:autoSpaceDN/>
      <w:adjustRightInd w:val="0"/>
      <w:spacing w:line="300" w:lineRule="auto"/>
      <w:ind w:right="-10"/>
      <w:jc w:val="center"/>
      <w:textAlignment w:val="baseline"/>
    </w:pPr>
    <w:rPr>
      <w:rFonts w:hAnsi="等线" w:eastAsia="等线" w:cs="Times New Roman"/>
      <w:sz w:val="21"/>
      <w:szCs w:val="22"/>
      <w:lang w:val="en-US" w:bidi="ar-SA"/>
    </w:rPr>
  </w:style>
  <w:style w:type="paragraph" w:customStyle="1" w:styleId="2359">
    <w:name w:val="标题 11"/>
    <w:basedOn w:val="1"/>
    <w:next w:val="54"/>
    <w:qFormat/>
    <w:uiPriority w:val="0"/>
    <w:pPr>
      <w:keepNext/>
      <w:snapToGrid w:val="0"/>
      <w:spacing w:before="120" w:beforeLines="0" w:after="120" w:line="240" w:lineRule="auto"/>
      <w:outlineLvl w:val="0"/>
    </w:pPr>
    <w:rPr>
      <w:rFonts w:hint="eastAsia" w:hAnsi="Arial" w:eastAsia="黑体"/>
      <w:kern w:val="24"/>
      <w:sz w:val="28"/>
      <w:szCs w:val="20"/>
    </w:rPr>
  </w:style>
  <w:style w:type="paragraph" w:customStyle="1" w:styleId="2360">
    <w:name w:val="表格文字中"/>
    <w:basedOn w:val="1"/>
    <w:next w:val="54"/>
    <w:qFormat/>
    <w:uiPriority w:val="0"/>
    <w:pPr>
      <w:tabs>
        <w:tab w:val="left" w:pos="1727"/>
        <w:tab w:val="left" w:pos="1884"/>
      </w:tabs>
      <w:autoSpaceDE w:val="0"/>
      <w:autoSpaceDN w:val="0"/>
      <w:adjustRightInd w:val="0"/>
      <w:snapToGrid w:val="0"/>
      <w:spacing w:before="0" w:beforeLines="0" w:line="360" w:lineRule="auto"/>
      <w:jc w:val="center"/>
    </w:pPr>
    <w:rPr>
      <w:rFonts w:ascii="宋体"/>
      <w:color w:val="000000"/>
      <w:kern w:val="0"/>
      <w:sz w:val="24"/>
      <w:szCs w:val="20"/>
      <w:lang w:val="zh-CN"/>
    </w:rPr>
  </w:style>
  <w:style w:type="paragraph" w:customStyle="1" w:styleId="2361">
    <w:name w:val="列表项目符号1."/>
    <w:basedOn w:val="1"/>
    <w:qFormat/>
    <w:uiPriority w:val="0"/>
    <w:pPr>
      <w:adjustRightInd w:val="0"/>
      <w:spacing w:before="0" w:beforeLines="0" w:line="312" w:lineRule="atLeast"/>
      <w:ind w:left="425" w:hanging="425"/>
      <w:textAlignment w:val="baseline"/>
    </w:pPr>
    <w:rPr>
      <w:kern w:val="0"/>
      <w:szCs w:val="20"/>
    </w:rPr>
  </w:style>
  <w:style w:type="paragraph" w:customStyle="1" w:styleId="2362">
    <w:name w:val="clschspara"/>
    <w:basedOn w:val="1"/>
    <w:qFormat/>
    <w:uiPriority w:val="0"/>
    <w:pPr>
      <w:widowControl/>
      <w:spacing w:before="100" w:beforeLines="0" w:beforeAutospacing="1" w:after="100" w:afterAutospacing="1" w:line="360" w:lineRule="auto"/>
      <w:ind w:firstLine="300"/>
      <w:jc w:val="left"/>
    </w:pPr>
    <w:rPr>
      <w:rFonts w:ascii="宋体" w:hAnsi="宋体"/>
      <w:kern w:val="0"/>
      <w:szCs w:val="20"/>
    </w:rPr>
  </w:style>
  <w:style w:type="paragraph" w:customStyle="1" w:styleId="2363">
    <w:name w:val="文-5"/>
    <w:basedOn w:val="1"/>
    <w:qFormat/>
    <w:uiPriority w:val="0"/>
    <w:pPr>
      <w:tabs>
        <w:tab w:val="right" w:leader="dot" w:pos="8789"/>
      </w:tabs>
      <w:spacing w:before="120" w:beforeLines="0" w:line="240" w:lineRule="auto"/>
      <w:ind w:left="1276" w:firstLine="482"/>
    </w:pPr>
    <w:rPr>
      <w:sz w:val="24"/>
      <w:szCs w:val="20"/>
    </w:rPr>
  </w:style>
  <w:style w:type="paragraph" w:customStyle="1" w:styleId="2364">
    <w:name w:val="样式 表格文字居中 + 右侧:  -0.06 字符"/>
    <w:basedOn w:val="1"/>
    <w:next w:val="54"/>
    <w:qFormat/>
    <w:uiPriority w:val="0"/>
    <w:pPr>
      <w:keepNext/>
      <w:tabs>
        <w:tab w:val="left" w:pos="3440"/>
      </w:tabs>
      <w:autoSpaceDE w:val="0"/>
      <w:autoSpaceDN w:val="0"/>
      <w:adjustRightInd w:val="0"/>
      <w:spacing w:before="0" w:beforeLines="0" w:line="360" w:lineRule="auto"/>
      <w:ind w:left="-28" w:leftChars="-14" w:right="-17" w:firstLine="350" w:firstLineChars="350"/>
    </w:pPr>
    <w:rPr>
      <w:rFonts w:ascii="宋体" w:hAnsi="宋体"/>
      <w:color w:val="000000"/>
      <w:sz w:val="24"/>
      <w:szCs w:val="20"/>
      <w:lang w:val="zh-CN"/>
    </w:rPr>
  </w:style>
  <w:style w:type="paragraph" w:customStyle="1" w:styleId="2365">
    <w:name w:val="样式 标题 1标题 1 Char标1 + 段前: 0.5 行 段后: 0.5 行1"/>
    <w:basedOn w:val="3"/>
    <w:qFormat/>
    <w:uiPriority w:val="0"/>
    <w:pPr>
      <w:keepNext w:val="0"/>
      <w:keepLines w:val="0"/>
      <w:tabs>
        <w:tab w:val="left" w:pos="420"/>
        <w:tab w:val="left" w:pos="840"/>
        <w:tab w:val="clear" w:pos="360"/>
      </w:tabs>
      <w:autoSpaceDE w:val="0"/>
      <w:autoSpaceDN w:val="0"/>
      <w:adjustRightInd w:val="0"/>
      <w:spacing w:before="120" w:after="120" w:line="240" w:lineRule="auto"/>
      <w:ind w:left="420" w:hanging="420"/>
      <w:textAlignment w:val="bottom"/>
    </w:pPr>
    <w:rPr>
      <w:rFonts w:ascii="黑体" w:hAnsi="Arial" w:eastAsia="黑体"/>
      <w:b w:val="0"/>
      <w:bCs w:val="0"/>
      <w:color w:val="auto"/>
      <w:kern w:val="0"/>
      <w:sz w:val="28"/>
      <w:lang w:val="zh-CN"/>
    </w:rPr>
  </w:style>
  <w:style w:type="paragraph" w:customStyle="1" w:styleId="2366">
    <w:name w:val="样式 表格文字居中 + 右侧:  -0.06 字符1"/>
    <w:basedOn w:val="961"/>
    <w:qFormat/>
    <w:uiPriority w:val="0"/>
    <w:pPr>
      <w:keepNext/>
      <w:adjustRightInd w:val="0"/>
      <w:ind w:right="-17"/>
    </w:pPr>
    <w:rPr>
      <w:rFonts w:ascii="宋体" w:hAnsi="宋体" w:cs="Times New Roman"/>
      <w:color w:val="000000"/>
      <w:spacing w:val="-20"/>
      <w:szCs w:val="22"/>
    </w:rPr>
  </w:style>
  <w:style w:type="paragraph" w:customStyle="1" w:styleId="2367">
    <w:name w:val="样式 表格 + 首行缩进:  0.99 厘米"/>
    <w:basedOn w:val="160"/>
    <w:qFormat/>
    <w:uiPriority w:val="0"/>
    <w:pPr>
      <w:widowControl w:val="0"/>
      <w:tabs>
        <w:tab w:val="left" w:pos="3440"/>
      </w:tabs>
      <w:adjustRightInd w:val="0"/>
      <w:spacing w:line="360" w:lineRule="auto"/>
      <w:ind w:left="-14" w:leftChars="-14" w:firstLine="561"/>
      <w:jc w:val="left"/>
    </w:pPr>
    <w:rPr>
      <w:rFonts w:ascii="宋体" w:hAnsi="宋体" w:eastAsia="等线"/>
      <w:bCs/>
      <w:snapToGrid/>
      <w:color w:val="000000"/>
      <w:kern w:val="2"/>
      <w:sz w:val="24"/>
      <w:szCs w:val="24"/>
    </w:rPr>
  </w:style>
  <w:style w:type="paragraph" w:customStyle="1" w:styleId="2368">
    <w:name w:val="项目号"/>
    <w:basedOn w:val="1"/>
    <w:qFormat/>
    <w:uiPriority w:val="0"/>
    <w:pPr>
      <w:tabs>
        <w:tab w:val="left" w:pos="425"/>
      </w:tabs>
      <w:spacing w:before="0" w:beforeLines="0" w:line="300" w:lineRule="auto"/>
      <w:ind w:left="1364" w:hanging="360"/>
      <w:jc w:val="left"/>
    </w:pPr>
    <w:rPr>
      <w:sz w:val="24"/>
      <w:szCs w:val="20"/>
    </w:rPr>
  </w:style>
  <w:style w:type="paragraph" w:customStyle="1" w:styleId="2369">
    <w:name w:val="列表项目符号1.缩2"/>
    <w:basedOn w:val="2361"/>
    <w:qFormat/>
    <w:uiPriority w:val="0"/>
    <w:pPr>
      <w:tabs>
        <w:tab w:val="left" w:pos="945"/>
      </w:tabs>
      <w:spacing w:line="360" w:lineRule="auto"/>
      <w:ind w:left="0" w:firstLine="425"/>
    </w:pPr>
    <w:rPr>
      <w:sz w:val="24"/>
    </w:rPr>
  </w:style>
  <w:style w:type="paragraph" w:customStyle="1" w:styleId="2370">
    <w:name w:val="样式 注意 + 首行缩进:  2 字符"/>
    <w:basedOn w:val="54"/>
    <w:next w:val="54"/>
    <w:qFormat/>
    <w:uiPriority w:val="0"/>
    <w:pPr>
      <w:keepNext/>
      <w:tabs>
        <w:tab w:val="left" w:pos="628"/>
        <w:tab w:val="left" w:pos="1727"/>
        <w:tab w:val="left" w:pos="1884"/>
        <w:tab w:val="left" w:pos="3440"/>
        <w:tab w:val="left" w:pos="4900"/>
      </w:tabs>
      <w:adjustRightInd w:val="0"/>
      <w:snapToGrid w:val="0"/>
      <w:spacing w:line="360" w:lineRule="auto"/>
      <w:ind w:left="-28" w:leftChars="-14" w:firstLine="350" w:firstLineChars="350"/>
      <w:jc w:val="both"/>
    </w:pPr>
    <w:rPr>
      <w:rFonts w:eastAsia="等线" w:cs="Times New Roman"/>
      <w:szCs w:val="20"/>
      <w:lang w:bidi="ar-SA"/>
    </w:rPr>
  </w:style>
  <w:style w:type="paragraph" w:customStyle="1" w:styleId="2371">
    <w:name w:val="样式 表格 + (符号) 宋体 自动设置"/>
    <w:basedOn w:val="160"/>
    <w:qFormat/>
    <w:uiPriority w:val="0"/>
    <w:pPr>
      <w:widowControl w:val="0"/>
      <w:tabs>
        <w:tab w:val="left" w:pos="3440"/>
      </w:tabs>
      <w:adjustRightInd w:val="0"/>
      <w:spacing w:line="440" w:lineRule="exact"/>
      <w:ind w:left="-14" w:leftChars="-14"/>
      <w:jc w:val="left"/>
    </w:pPr>
    <w:rPr>
      <w:rFonts w:ascii="宋体" w:eastAsia="等线"/>
      <w:b/>
      <w:snapToGrid/>
      <w:kern w:val="2"/>
      <w:sz w:val="24"/>
      <w:szCs w:val="24"/>
    </w:rPr>
  </w:style>
  <w:style w:type="paragraph" w:customStyle="1" w:styleId="2372">
    <w:name w:val="样式 标题 21.1标题 21.1标题2标题 2 Char1节标2_Heading 2一级条 + 段前: 0...."/>
    <w:basedOn w:val="4"/>
    <w:qFormat/>
    <w:uiPriority w:val="0"/>
    <w:pPr>
      <w:keepLines w:val="0"/>
      <w:tabs>
        <w:tab w:val="left" w:pos="3440"/>
      </w:tabs>
      <w:autoSpaceDE w:val="0"/>
      <w:autoSpaceDN w:val="0"/>
      <w:adjustRightInd w:val="0"/>
      <w:spacing w:beforeLines="50" w:afterLines="50" w:line="360" w:lineRule="auto"/>
    </w:pPr>
    <w:rPr>
      <w:rFonts w:ascii="黑体"/>
      <w:b w:val="0"/>
      <w:kern w:val="2"/>
      <w:sz w:val="24"/>
      <w:lang w:val="zh-CN"/>
    </w:rPr>
  </w:style>
  <w:style w:type="paragraph" w:customStyle="1" w:styleId="2373">
    <w:name w:val="样式 标题 1标题 1 Char标1章 + 段前: 0.5 行 段后: 0.5 行"/>
    <w:basedOn w:val="1"/>
    <w:next w:val="54"/>
    <w:qFormat/>
    <w:uiPriority w:val="0"/>
    <w:pPr>
      <w:tabs>
        <w:tab w:val="left" w:pos="3440"/>
      </w:tabs>
      <w:autoSpaceDE w:val="0"/>
      <w:autoSpaceDN w:val="0"/>
      <w:adjustRightInd w:val="0"/>
      <w:spacing w:before="0" w:beforeLines="50" w:afterLines="50" w:line="360" w:lineRule="auto"/>
      <w:ind w:left="-14" w:leftChars="-14"/>
    </w:pPr>
    <w:rPr>
      <w:rFonts w:ascii="宋体" w:hAnsi="宋体"/>
      <w:color w:val="000000"/>
      <w:sz w:val="24"/>
      <w:szCs w:val="20"/>
      <w:lang w:val="zh-CN"/>
    </w:rPr>
  </w:style>
  <w:style w:type="paragraph" w:customStyle="1" w:styleId="2374">
    <w:name w:val="Sun"/>
    <w:basedOn w:val="1"/>
    <w:qFormat/>
    <w:uiPriority w:val="0"/>
    <w:pPr>
      <w:adjustRightInd w:val="0"/>
      <w:spacing w:before="0" w:beforeLines="0" w:line="360" w:lineRule="auto"/>
      <w:ind w:firstLine="567"/>
      <w:textAlignment w:val="baseline"/>
    </w:pPr>
    <w:rPr>
      <w:kern w:val="28"/>
      <w:sz w:val="28"/>
      <w:szCs w:val="20"/>
    </w:rPr>
  </w:style>
  <w:style w:type="paragraph" w:customStyle="1" w:styleId="2375">
    <w:name w:val="尾注文字"/>
    <w:basedOn w:val="1"/>
    <w:qFormat/>
    <w:uiPriority w:val="0"/>
    <w:pPr>
      <w:autoSpaceDE w:val="0"/>
      <w:autoSpaceDN w:val="0"/>
      <w:adjustRightInd w:val="0"/>
      <w:spacing w:before="0" w:beforeLines="0" w:line="360" w:lineRule="atLeast"/>
      <w:jc w:val="left"/>
      <w:textAlignment w:val="baseline"/>
    </w:pPr>
    <w:rPr>
      <w:rFonts w:ascii="宋体" w:hAnsi="Tms Rmn"/>
      <w:kern w:val="0"/>
      <w:szCs w:val="20"/>
    </w:rPr>
  </w:style>
  <w:style w:type="paragraph" w:customStyle="1" w:styleId="2376">
    <w:name w:val="我的标题 2"/>
    <w:basedOn w:val="4"/>
    <w:qFormat/>
    <w:uiPriority w:val="0"/>
    <w:pPr>
      <w:tabs>
        <w:tab w:val="left" w:pos="1140"/>
      </w:tabs>
      <w:snapToGrid w:val="0"/>
      <w:spacing w:before="200" w:after="80" w:line="240" w:lineRule="auto"/>
      <w:ind w:left="1140" w:hanging="720"/>
    </w:pPr>
    <w:rPr>
      <w:rFonts w:hint="eastAsia" w:ascii="黑体"/>
      <w:bCs/>
      <w:color w:val="auto"/>
      <w:kern w:val="2"/>
    </w:rPr>
  </w:style>
  <w:style w:type="paragraph" w:customStyle="1" w:styleId="2377">
    <w:name w:val="样式 题注"/>
    <w:basedOn w:val="53"/>
    <w:qFormat/>
    <w:uiPriority w:val="0"/>
    <w:pPr>
      <w:keepNext/>
      <w:tabs>
        <w:tab w:val="left" w:pos="3440"/>
      </w:tabs>
      <w:spacing w:before="0" w:beforeLines="0" w:after="0" w:line="240" w:lineRule="auto"/>
      <w:ind w:left="-29" w:leftChars="-14"/>
    </w:pPr>
    <w:rPr>
      <w:rFonts w:ascii="宋体" w:hAnsi="宋体"/>
      <w:sz w:val="24"/>
      <w:szCs w:val="20"/>
    </w:rPr>
  </w:style>
  <w:style w:type="paragraph" w:customStyle="1" w:styleId="2378">
    <w:name w:val="样式 标题 21.1标题 21.1标题2标题 2 Char1节_Heading 2标2二级标题1.1标题 +...2"/>
    <w:basedOn w:val="4"/>
    <w:qFormat/>
    <w:uiPriority w:val="0"/>
    <w:pPr>
      <w:keepLines w:val="0"/>
      <w:tabs>
        <w:tab w:val="left" w:pos="360"/>
      </w:tabs>
      <w:adjustRightInd w:val="0"/>
      <w:snapToGrid w:val="0"/>
      <w:spacing w:beforeLines="50" w:afterLines="50" w:line="240" w:lineRule="auto"/>
      <w:ind w:left="360" w:hanging="360"/>
      <w:jc w:val="left"/>
    </w:pPr>
    <w:rPr>
      <w:rFonts w:ascii="黑体"/>
      <w:b w:val="0"/>
      <w:color w:val="auto"/>
      <w:kern w:val="2"/>
      <w:sz w:val="28"/>
      <w:szCs w:val="28"/>
    </w:rPr>
  </w:style>
  <w:style w:type="paragraph" w:customStyle="1" w:styleId="2379">
    <w:name w:val="Title 3"/>
    <w:basedOn w:val="1"/>
    <w:qFormat/>
    <w:uiPriority w:val="0"/>
    <w:pPr>
      <w:widowControl/>
      <w:spacing w:before="0" w:beforeLines="0" w:line="240" w:lineRule="auto"/>
      <w:jc w:val="center"/>
    </w:pPr>
    <w:rPr>
      <w:rFonts w:ascii="Arial" w:hAnsi="Arial"/>
      <w:b/>
      <w:kern w:val="0"/>
      <w:sz w:val="28"/>
      <w:szCs w:val="20"/>
      <w:lang w:val="en-GB"/>
    </w:rPr>
  </w:style>
  <w:style w:type="paragraph" w:customStyle="1" w:styleId="2380">
    <w:name w:val="样式 标题 21.1标题 21.1标题2标题 2 Char1节标2_Heading 2一级条 + 段前: 0....5"/>
    <w:basedOn w:val="4"/>
    <w:next w:val="54"/>
    <w:qFormat/>
    <w:uiPriority w:val="0"/>
    <w:pPr>
      <w:keepLines w:val="0"/>
      <w:tabs>
        <w:tab w:val="left" w:pos="3440"/>
      </w:tabs>
      <w:autoSpaceDE w:val="0"/>
      <w:autoSpaceDN w:val="0"/>
      <w:adjustRightInd w:val="0"/>
      <w:spacing w:beforeLines="50" w:afterLines="50" w:line="360" w:lineRule="auto"/>
    </w:pPr>
    <w:rPr>
      <w:rFonts w:ascii="黑体"/>
      <w:b w:val="0"/>
      <w:kern w:val="2"/>
      <w:sz w:val="24"/>
      <w:lang w:val="zh-CN"/>
    </w:rPr>
  </w:style>
  <w:style w:type="paragraph" w:customStyle="1" w:styleId="2381">
    <w:name w:val="样式 标题 21.1标题 21.1标题2标题 2 Char1节sect 1.2H2H21R2h2Leve..."/>
    <w:basedOn w:val="4"/>
    <w:qFormat/>
    <w:uiPriority w:val="0"/>
    <w:pPr>
      <w:widowControl/>
      <w:tabs>
        <w:tab w:val="left" w:pos="567"/>
        <w:tab w:val="left" w:pos="680"/>
        <w:tab w:val="left" w:pos="1120"/>
      </w:tabs>
      <w:spacing w:before="0" w:after="0" w:line="336" w:lineRule="auto"/>
      <w:ind w:left="567" w:hanging="567"/>
    </w:pPr>
    <w:rPr>
      <w:rFonts w:ascii="Times New Roman" w:hAnsi="Times New Roman"/>
      <w:b w:val="0"/>
      <w:color w:val="auto"/>
      <w:kern w:val="2"/>
      <w:sz w:val="24"/>
    </w:rPr>
  </w:style>
  <w:style w:type="paragraph" w:customStyle="1" w:styleId="2382">
    <w:name w:val="样式 标题 21.1标题 21.1标题2标题 2 Char1节标2_Heading 2一级条 + 段前: 0....2"/>
    <w:basedOn w:val="1"/>
    <w:next w:val="54"/>
    <w:qFormat/>
    <w:uiPriority w:val="0"/>
    <w:pPr>
      <w:keepNext/>
      <w:tabs>
        <w:tab w:val="left" w:pos="360"/>
      </w:tabs>
      <w:autoSpaceDE w:val="0"/>
      <w:autoSpaceDN w:val="0"/>
      <w:adjustRightInd w:val="0"/>
      <w:spacing w:before="120" w:beforeLines="0" w:after="120" w:line="360" w:lineRule="auto"/>
      <w:ind w:left="840" w:hanging="360"/>
      <w:jc w:val="left"/>
    </w:pPr>
    <w:rPr>
      <w:rFonts w:ascii="宋体"/>
      <w:color w:val="000000"/>
      <w:sz w:val="28"/>
      <w:szCs w:val="20"/>
      <w:lang w:val="zh-CN"/>
    </w:rPr>
  </w:style>
  <w:style w:type="paragraph" w:customStyle="1" w:styleId="2383">
    <w:name w:val="样式 标题 51)项标5标题 5 Char21) Char2项 Char2 + 左侧:  -0.04 厘米"/>
    <w:basedOn w:val="1"/>
    <w:qFormat/>
    <w:uiPriority w:val="0"/>
    <w:pPr>
      <w:tabs>
        <w:tab w:val="left" w:pos="360"/>
        <w:tab w:val="left" w:pos="628"/>
        <w:tab w:val="left" w:pos="1727"/>
        <w:tab w:val="left" w:pos="1884"/>
        <w:tab w:val="left" w:pos="2660"/>
        <w:tab w:val="left" w:pos="5460"/>
      </w:tabs>
      <w:autoSpaceDE w:val="0"/>
      <w:autoSpaceDN w:val="0"/>
      <w:adjustRightInd w:val="0"/>
      <w:snapToGrid w:val="0"/>
      <w:spacing w:before="0" w:beforeLines="0" w:line="360" w:lineRule="auto"/>
      <w:ind w:left="840" w:hanging="360"/>
    </w:pPr>
    <w:rPr>
      <w:rFonts w:ascii="黑体" w:eastAsia="黑体"/>
      <w:kern w:val="0"/>
      <w:sz w:val="28"/>
      <w:szCs w:val="20"/>
    </w:rPr>
  </w:style>
  <w:style w:type="paragraph" w:customStyle="1" w:styleId="2384">
    <w:name w:val="样式 样式 正文文本表内容 + 居中 + 右侧:  -0.1 字符"/>
    <w:basedOn w:val="2358"/>
    <w:qFormat/>
    <w:uiPriority w:val="0"/>
    <w:pPr>
      <w:spacing w:before="156" w:line="360" w:lineRule="auto"/>
      <w:ind w:right="0"/>
    </w:pPr>
  </w:style>
  <w:style w:type="paragraph" w:customStyle="1" w:styleId="2385">
    <w:name w:val="样式 样式2 + 加粗"/>
    <w:basedOn w:val="194"/>
    <w:qFormat/>
    <w:uiPriority w:val="0"/>
    <w:pPr>
      <w:tabs>
        <w:tab w:val="left" w:pos="3440"/>
      </w:tabs>
      <w:adjustRightInd w:val="0"/>
      <w:spacing w:line="360" w:lineRule="auto"/>
      <w:ind w:left="-14" w:leftChars="-14"/>
      <w:jc w:val="both"/>
    </w:pPr>
    <w:rPr>
      <w:rFonts w:eastAsia="宋体"/>
      <w:b w:val="0"/>
      <w:caps/>
      <w:color w:val="000000"/>
      <w:sz w:val="28"/>
      <w:szCs w:val="28"/>
      <w:lang w:val="zh-CN"/>
    </w:rPr>
  </w:style>
  <w:style w:type="paragraph" w:customStyle="1" w:styleId="2386">
    <w:name w:val="我的标题 3"/>
    <w:basedOn w:val="5"/>
    <w:qFormat/>
    <w:uiPriority w:val="0"/>
    <w:pPr>
      <w:keepNext/>
      <w:tabs>
        <w:tab w:val="left" w:pos="1080"/>
      </w:tabs>
      <w:snapToGrid w:val="0"/>
      <w:spacing w:before="120" w:after="120" w:line="240" w:lineRule="auto"/>
      <w:ind w:left="720" w:hanging="720"/>
    </w:pPr>
    <w:rPr>
      <w:rFonts w:ascii="黑体" w:eastAsia="黑体"/>
      <w:color w:val="auto"/>
      <w:kern w:val="2"/>
      <w:sz w:val="32"/>
    </w:rPr>
  </w:style>
  <w:style w:type="paragraph" w:customStyle="1" w:styleId="2387">
    <w:name w:val="样式 标题 1标题 1 Char标1章 + 段前: 0.5 行 段后: 0.5 行1"/>
    <w:basedOn w:val="3"/>
    <w:qFormat/>
    <w:uiPriority w:val="0"/>
    <w:pPr>
      <w:keepLines w:val="0"/>
      <w:tabs>
        <w:tab w:val="left" w:pos="3440"/>
        <w:tab w:val="clear" w:pos="360"/>
      </w:tabs>
      <w:autoSpaceDE w:val="0"/>
      <w:autoSpaceDN w:val="0"/>
      <w:adjustRightInd w:val="0"/>
      <w:spacing w:beforeLines="50" w:afterLines="50" w:line="360" w:lineRule="auto"/>
      <w:ind w:left="-14" w:leftChars="-14"/>
    </w:pPr>
    <w:rPr>
      <w:rFonts w:ascii="黑体" w:hAnsi="Arial" w:eastAsia="黑体"/>
      <w:b w:val="0"/>
      <w:bCs w:val="0"/>
      <w:kern w:val="24"/>
      <w:sz w:val="24"/>
      <w:lang w:val="zh-CN"/>
    </w:rPr>
  </w:style>
  <w:style w:type="paragraph" w:customStyle="1" w:styleId="2388">
    <w:name w:val="样式 标题 21.1标题 21.1标题2标题 2 Char1节标2_Heading 2一级条 + 段前: 0....3"/>
    <w:basedOn w:val="54"/>
    <w:next w:val="54"/>
    <w:qFormat/>
    <w:uiPriority w:val="0"/>
    <w:pPr>
      <w:tabs>
        <w:tab w:val="left" w:pos="360"/>
        <w:tab w:val="left" w:pos="628"/>
        <w:tab w:val="left" w:pos="1727"/>
        <w:tab w:val="left" w:pos="1884"/>
        <w:tab w:val="left" w:pos="4900"/>
      </w:tabs>
      <w:adjustRightInd w:val="0"/>
      <w:spacing w:before="50" w:after="50" w:line="360" w:lineRule="auto"/>
      <w:ind w:left="-200" w:hanging="425" w:firstLineChars="0"/>
    </w:pPr>
    <w:rPr>
      <w:rFonts w:hAnsi="等线" w:eastAsia="黑体" w:cs="Times New Roman"/>
      <w:sz w:val="28"/>
      <w:szCs w:val="20"/>
      <w:lang w:bidi="ar-SA"/>
    </w:rPr>
  </w:style>
  <w:style w:type="paragraph" w:customStyle="1" w:styleId="2389">
    <w:name w:val="Personal Info"/>
    <w:basedOn w:val="1412"/>
    <w:qFormat/>
    <w:uiPriority w:val="0"/>
    <w:pPr>
      <w:tabs>
        <w:tab w:val="left" w:pos="855"/>
        <w:tab w:val="clear" w:pos="900"/>
      </w:tabs>
      <w:spacing w:before="220"/>
      <w:ind w:left="855" w:hanging="855"/>
    </w:pPr>
    <w:rPr>
      <w:rFonts w:ascii="等线" w:hAnsi="等线" w:eastAsia="等线"/>
    </w:rPr>
  </w:style>
  <w:style w:type="paragraph" w:customStyle="1" w:styleId="2390">
    <w:name w:val="样式 标题 21.1标题 21.1标题2标题 2 Char1节标2_Heading 2一级条 + 行距: 1...."/>
    <w:basedOn w:val="4"/>
    <w:qFormat/>
    <w:uiPriority w:val="0"/>
    <w:pPr>
      <w:keepLines w:val="0"/>
      <w:tabs>
        <w:tab w:val="left" w:pos="3440"/>
      </w:tabs>
      <w:autoSpaceDE w:val="0"/>
      <w:autoSpaceDN w:val="0"/>
      <w:adjustRightInd w:val="0"/>
      <w:spacing w:beforeLines="50" w:afterLines="50" w:line="360" w:lineRule="auto"/>
    </w:pPr>
    <w:rPr>
      <w:rFonts w:ascii="黑体"/>
      <w:b w:val="0"/>
      <w:kern w:val="2"/>
      <w:sz w:val="24"/>
      <w:szCs w:val="24"/>
      <w:lang w:val="zh-CN"/>
    </w:rPr>
  </w:style>
  <w:style w:type="character" w:customStyle="1" w:styleId="2391">
    <w:name w:val="引用 字符1"/>
    <w:qFormat/>
    <w:uiPriority w:val="29"/>
    <w:rPr>
      <w:i/>
      <w:iCs/>
      <w:color w:val="404040"/>
    </w:rPr>
  </w:style>
  <w:style w:type="character" w:customStyle="1" w:styleId="2392">
    <w:name w:val="明显引用 字符1"/>
    <w:qFormat/>
    <w:uiPriority w:val="30"/>
    <w:rPr>
      <w:i/>
      <w:iCs/>
      <w:color w:val="5B9BD5"/>
    </w:rPr>
  </w:style>
  <w:style w:type="paragraph" w:customStyle="1" w:styleId="2393">
    <w:name w:val="msonormal"/>
    <w:basedOn w:val="1"/>
    <w:qFormat/>
    <w:uiPriority w:val="0"/>
    <w:pPr>
      <w:widowControl/>
      <w:spacing w:before="100" w:beforeLines="0" w:beforeAutospacing="1" w:after="100" w:afterAutospacing="1" w:line="240" w:lineRule="auto"/>
      <w:jc w:val="left"/>
    </w:pPr>
    <w:rPr>
      <w:rFonts w:ascii="宋体" w:hAnsi="宋体" w:cs="宋体"/>
      <w:kern w:val="0"/>
      <w:sz w:val="24"/>
    </w:rPr>
  </w:style>
  <w:style w:type="character" w:customStyle="1" w:styleId="2394">
    <w:name w:val="fontstyle01"/>
    <w:qFormat/>
    <w:uiPriority w:val="0"/>
    <w:rPr>
      <w:rFonts w:hint="eastAsia" w:ascii="仿宋_GB2312" w:eastAsia="仿宋_GB2312"/>
      <w:color w:val="000000"/>
      <w:sz w:val="30"/>
      <w:szCs w:val="30"/>
    </w:rPr>
  </w:style>
  <w:style w:type="character" w:customStyle="1" w:styleId="2395">
    <w:name w:val="标题 1 字符1"/>
    <w:qFormat/>
    <w:uiPriority w:val="0"/>
    <w:rPr>
      <w:b/>
      <w:bCs/>
      <w:kern w:val="44"/>
      <w:sz w:val="32"/>
      <w:szCs w:val="32"/>
    </w:rPr>
  </w:style>
  <w:style w:type="character" w:customStyle="1" w:styleId="2396">
    <w:name w:val="标题 2 字符1"/>
    <w:qFormat/>
    <w:uiPriority w:val="0"/>
    <w:rPr>
      <w:b/>
      <w:bCs/>
      <w:kern w:val="44"/>
      <w:sz w:val="30"/>
      <w:szCs w:val="32"/>
    </w:rPr>
  </w:style>
  <w:style w:type="character" w:customStyle="1" w:styleId="2397">
    <w:name w:val="标题 3 字符1"/>
    <w:qFormat/>
    <w:uiPriority w:val="9"/>
    <w:rPr>
      <w:b/>
      <w:bCs/>
      <w:kern w:val="2"/>
      <w:sz w:val="32"/>
      <w:szCs w:val="32"/>
    </w:rPr>
  </w:style>
  <w:style w:type="character" w:customStyle="1" w:styleId="2398">
    <w:name w:val="标题 4 字符1"/>
    <w:qFormat/>
    <w:uiPriority w:val="9"/>
    <w:rPr>
      <w:rFonts w:ascii="Cambria" w:hAnsi="Cambria"/>
      <w:b/>
      <w:bCs/>
      <w:kern w:val="2"/>
      <w:sz w:val="28"/>
      <w:szCs w:val="28"/>
    </w:rPr>
  </w:style>
  <w:style w:type="character" w:customStyle="1" w:styleId="2399">
    <w:name w:val="标题 5 字符1"/>
    <w:qFormat/>
    <w:uiPriority w:val="9"/>
    <w:rPr>
      <w:b/>
      <w:bCs/>
      <w:kern w:val="2"/>
      <w:sz w:val="28"/>
      <w:szCs w:val="28"/>
    </w:rPr>
  </w:style>
  <w:style w:type="character" w:customStyle="1" w:styleId="2400">
    <w:name w:val="标题 6 字符1"/>
    <w:qFormat/>
    <w:uiPriority w:val="9"/>
    <w:rPr>
      <w:rFonts w:ascii="Cambria" w:hAnsi="Cambria"/>
      <w:b/>
      <w:bCs/>
      <w:kern w:val="2"/>
      <w:sz w:val="24"/>
      <w:szCs w:val="24"/>
    </w:rPr>
  </w:style>
  <w:style w:type="character" w:customStyle="1" w:styleId="2401">
    <w:name w:val="标题 7 字符1"/>
    <w:qFormat/>
    <w:uiPriority w:val="9"/>
    <w:rPr>
      <w:b/>
      <w:bCs/>
      <w:kern w:val="2"/>
      <w:sz w:val="24"/>
      <w:szCs w:val="24"/>
    </w:rPr>
  </w:style>
  <w:style w:type="character" w:customStyle="1" w:styleId="2402">
    <w:name w:val="标题 8 字符1"/>
    <w:qFormat/>
    <w:uiPriority w:val="9"/>
    <w:rPr>
      <w:rFonts w:ascii="Cambria" w:hAnsi="Cambria"/>
      <w:kern w:val="2"/>
      <w:sz w:val="24"/>
      <w:szCs w:val="24"/>
    </w:rPr>
  </w:style>
  <w:style w:type="character" w:customStyle="1" w:styleId="2403">
    <w:name w:val="标题 9 字符1"/>
    <w:qFormat/>
    <w:uiPriority w:val="9"/>
    <w:rPr>
      <w:rFonts w:ascii="Cambria" w:hAnsi="Cambria"/>
      <w:kern w:val="2"/>
      <w:sz w:val="21"/>
      <w:szCs w:val="21"/>
    </w:rPr>
  </w:style>
  <w:style w:type="character" w:customStyle="1" w:styleId="2404">
    <w:name w:val="css-text3"/>
    <w:qFormat/>
    <w:uiPriority w:val="99"/>
    <w:rPr>
      <w:rFonts w:cs="Times New Roman"/>
    </w:rPr>
  </w:style>
  <w:style w:type="paragraph" w:customStyle="1" w:styleId="2405">
    <w:name w:val="第二张表标头"/>
    <w:basedOn w:val="1"/>
    <w:next w:val="1"/>
    <w:qFormat/>
    <w:uiPriority w:val="0"/>
    <w:pPr>
      <w:widowControl/>
      <w:numPr>
        <w:ilvl w:val="0"/>
        <w:numId w:val="19"/>
      </w:numPr>
      <w:adjustRightInd w:val="0"/>
      <w:snapToGrid w:val="0"/>
      <w:spacing w:before="0" w:beforeLines="0" w:line="480" w:lineRule="exact"/>
      <w:ind w:firstLine="0"/>
      <w:jc w:val="center"/>
    </w:pPr>
    <w:rPr>
      <w:rFonts w:ascii="黑体" w:hAnsi="宋体" w:eastAsia="黑体" w:cs="宋体"/>
      <w:kern w:val="0"/>
      <w:sz w:val="24"/>
      <w:szCs w:val="21"/>
    </w:rPr>
  </w:style>
  <w:style w:type="paragraph" w:customStyle="1" w:styleId="2406">
    <w:name w:val="报告表格内容"/>
    <w:basedOn w:val="1"/>
    <w:next w:val="1"/>
    <w:link w:val="2407"/>
    <w:qFormat/>
    <w:uiPriority w:val="0"/>
    <w:pPr>
      <w:widowControl/>
      <w:adjustRightInd w:val="0"/>
      <w:snapToGrid w:val="0"/>
      <w:spacing w:before="0" w:beforeLines="0" w:line="240" w:lineRule="auto"/>
      <w:jc w:val="center"/>
    </w:pPr>
    <w:rPr>
      <w:rFonts w:cs="宋体"/>
      <w:kern w:val="0"/>
      <w:szCs w:val="20"/>
      <w:lang w:val="zh-CN"/>
    </w:rPr>
  </w:style>
  <w:style w:type="character" w:customStyle="1" w:styleId="2407">
    <w:name w:val="报告表格内容 Char"/>
    <w:link w:val="2406"/>
    <w:qFormat/>
    <w:uiPriority w:val="0"/>
    <w:rPr>
      <w:rFonts w:cs="宋体"/>
      <w:sz w:val="21"/>
      <w:lang w:val="zh-CN"/>
    </w:rPr>
  </w:style>
  <w:style w:type="character" w:customStyle="1" w:styleId="2408">
    <w:name w:val="未处理的提及1"/>
    <w:semiHidden/>
    <w:unhideWhenUsed/>
    <w:qFormat/>
    <w:uiPriority w:val="99"/>
    <w:rPr>
      <w:color w:val="808080"/>
      <w:shd w:val="clear" w:color="auto" w:fill="E6E6E6"/>
    </w:rPr>
  </w:style>
  <w:style w:type="paragraph" w:customStyle="1" w:styleId="2409">
    <w:name w:val="第一章图标头"/>
    <w:basedOn w:val="8"/>
    <w:qFormat/>
    <w:uiPriority w:val="0"/>
    <w:pPr>
      <w:keepNext w:val="0"/>
      <w:keepLines w:val="0"/>
      <w:widowControl/>
      <w:numPr>
        <w:ilvl w:val="0"/>
        <w:numId w:val="20"/>
      </w:numPr>
      <w:tabs>
        <w:tab w:val="left" w:pos="972"/>
        <w:tab w:val="clear" w:pos="1008"/>
      </w:tabs>
      <w:spacing w:before="0" w:after="0" w:line="360" w:lineRule="auto"/>
      <w:jc w:val="center"/>
      <w:outlineLvl w:val="9"/>
    </w:pPr>
    <w:rPr>
      <w:rFonts w:ascii="黑体" w:hAnsi="Times New Roman" w:eastAsia="黑体" w:cs="宋体"/>
      <w:b w:val="0"/>
      <w:bCs w:val="0"/>
      <w:kern w:val="0"/>
      <w:sz w:val="24"/>
      <w:szCs w:val="21"/>
    </w:rPr>
  </w:style>
  <w:style w:type="paragraph" w:customStyle="1" w:styleId="2410">
    <w:name w:val="第一章表标头"/>
    <w:basedOn w:val="8"/>
    <w:qFormat/>
    <w:uiPriority w:val="0"/>
    <w:pPr>
      <w:keepNext w:val="0"/>
      <w:keepLines w:val="0"/>
      <w:widowControl/>
      <w:numPr>
        <w:ilvl w:val="0"/>
        <w:numId w:val="21"/>
      </w:numPr>
      <w:tabs>
        <w:tab w:val="clear" w:pos="1008"/>
      </w:tabs>
      <w:spacing w:before="0" w:after="0" w:line="240" w:lineRule="auto"/>
      <w:jc w:val="center"/>
      <w:outlineLvl w:val="9"/>
    </w:pPr>
    <w:rPr>
      <w:rFonts w:ascii="黑体" w:hAnsi="Times New Roman" w:eastAsia="黑体" w:cs="宋体"/>
      <w:b w:val="0"/>
      <w:bCs w:val="0"/>
      <w:kern w:val="0"/>
      <w:sz w:val="24"/>
      <w:szCs w:val="21"/>
    </w:rPr>
  </w:style>
  <w:style w:type="paragraph" w:customStyle="1" w:styleId="2411">
    <w:name w:val="加重"/>
    <w:basedOn w:val="222"/>
    <w:next w:val="222"/>
    <w:qFormat/>
    <w:uiPriority w:val="0"/>
    <w:pPr>
      <w:spacing w:after="50" w:afterLines="50" w:line="400" w:lineRule="exact"/>
      <w:ind w:firstLine="480"/>
    </w:pPr>
    <w:rPr>
      <w:rFonts w:eastAsia="宋体" w:cs="宋体"/>
      <w:b/>
      <w:bCs w:val="0"/>
      <w:kern w:val="0"/>
      <w:szCs w:val="24"/>
      <w:lang w:val="zh-CN"/>
    </w:rPr>
  </w:style>
  <w:style w:type="paragraph" w:customStyle="1" w:styleId="2412">
    <w:name w:val="第二张图标头"/>
    <w:basedOn w:val="8"/>
    <w:qFormat/>
    <w:uiPriority w:val="0"/>
    <w:pPr>
      <w:keepNext w:val="0"/>
      <w:keepLines w:val="0"/>
      <w:widowControl/>
      <w:numPr>
        <w:ilvl w:val="0"/>
        <w:numId w:val="22"/>
      </w:numPr>
      <w:tabs>
        <w:tab w:val="clear" w:pos="1008"/>
      </w:tabs>
      <w:spacing w:before="0" w:after="0" w:line="360" w:lineRule="auto"/>
      <w:jc w:val="center"/>
      <w:outlineLvl w:val="9"/>
    </w:pPr>
    <w:rPr>
      <w:rFonts w:ascii="黑体" w:hAnsi="Times New Roman" w:eastAsia="黑体" w:cs="宋体"/>
      <w:b w:val="0"/>
      <w:bCs w:val="0"/>
      <w:kern w:val="0"/>
      <w:sz w:val="24"/>
      <w:szCs w:val="21"/>
    </w:rPr>
  </w:style>
  <w:style w:type="paragraph" w:customStyle="1" w:styleId="2413">
    <w:name w:val="第六章图标头"/>
    <w:basedOn w:val="8"/>
    <w:qFormat/>
    <w:uiPriority w:val="0"/>
    <w:pPr>
      <w:keepNext w:val="0"/>
      <w:keepLines w:val="0"/>
      <w:widowControl/>
      <w:numPr>
        <w:ilvl w:val="0"/>
        <w:numId w:val="23"/>
      </w:numPr>
      <w:tabs>
        <w:tab w:val="clear" w:pos="1008"/>
      </w:tabs>
      <w:spacing w:before="0" w:after="0" w:line="360" w:lineRule="auto"/>
      <w:jc w:val="center"/>
      <w:outlineLvl w:val="9"/>
    </w:pPr>
    <w:rPr>
      <w:rFonts w:ascii="黑体" w:hAnsi="Times New Roman" w:eastAsia="黑体" w:cs="宋体"/>
      <w:b w:val="0"/>
      <w:bCs w:val="0"/>
      <w:kern w:val="0"/>
      <w:sz w:val="24"/>
      <w:szCs w:val="21"/>
    </w:rPr>
  </w:style>
  <w:style w:type="paragraph" w:customStyle="1" w:styleId="2414">
    <w:name w:val="第六章表标头"/>
    <w:basedOn w:val="8"/>
    <w:next w:val="1"/>
    <w:qFormat/>
    <w:uiPriority w:val="0"/>
    <w:pPr>
      <w:keepNext w:val="0"/>
      <w:keepLines w:val="0"/>
      <w:widowControl/>
      <w:numPr>
        <w:ilvl w:val="0"/>
        <w:numId w:val="24"/>
      </w:numPr>
      <w:tabs>
        <w:tab w:val="clear" w:pos="1008"/>
      </w:tabs>
      <w:spacing w:before="0" w:after="0" w:line="240" w:lineRule="auto"/>
      <w:jc w:val="center"/>
      <w:outlineLvl w:val="9"/>
    </w:pPr>
    <w:rPr>
      <w:rFonts w:ascii="黑体" w:hAnsi="Times New Roman" w:eastAsia="黑体" w:cs="宋体"/>
      <w:b w:val="0"/>
      <w:bCs w:val="0"/>
      <w:kern w:val="0"/>
      <w:sz w:val="24"/>
      <w:szCs w:val="21"/>
    </w:rPr>
  </w:style>
  <w:style w:type="paragraph" w:customStyle="1" w:styleId="2415">
    <w:name w:val="正文加重"/>
    <w:basedOn w:val="1"/>
    <w:next w:val="1"/>
    <w:link w:val="2416"/>
    <w:qFormat/>
    <w:uiPriority w:val="0"/>
    <w:pPr>
      <w:widowControl/>
      <w:spacing w:before="0" w:beforeLines="0" w:after="50" w:afterLines="50" w:line="240" w:lineRule="auto"/>
      <w:ind w:firstLine="200" w:firstLineChars="200"/>
      <w:jc w:val="left"/>
    </w:pPr>
    <w:rPr>
      <w:rFonts w:cs="宋体"/>
      <w:b/>
      <w:bCs/>
      <w:kern w:val="0"/>
      <w:sz w:val="24"/>
      <w:szCs w:val="20"/>
      <w:lang w:val="zh-CN"/>
    </w:rPr>
  </w:style>
  <w:style w:type="character" w:customStyle="1" w:styleId="2416">
    <w:name w:val="正文加重 Char"/>
    <w:link w:val="2415"/>
    <w:qFormat/>
    <w:uiPriority w:val="0"/>
    <w:rPr>
      <w:rFonts w:cs="宋体"/>
      <w:b/>
      <w:bCs/>
      <w:sz w:val="24"/>
      <w:lang w:val="zh-CN"/>
    </w:rPr>
  </w:style>
  <w:style w:type="character" w:customStyle="1" w:styleId="2417">
    <w:name w:val="标题3 Char2"/>
    <w:qFormat/>
    <w:uiPriority w:val="0"/>
    <w:rPr>
      <w:rFonts w:ascii="黑体" w:hAnsi="黑体" w:eastAsia="黑体"/>
      <w:b/>
      <w:bCs/>
      <w:kern w:val="2"/>
      <w:sz w:val="30"/>
      <w:szCs w:val="32"/>
    </w:rPr>
  </w:style>
  <w:style w:type="character" w:customStyle="1" w:styleId="2418">
    <w:name w:val="表题 Char1"/>
    <w:qFormat/>
    <w:uiPriority w:val="0"/>
    <w:rPr>
      <w:rFonts w:ascii="黑体" w:eastAsia="黑体"/>
      <w:kern w:val="2"/>
      <w:sz w:val="24"/>
      <w:szCs w:val="21"/>
      <w:lang w:val="en-US" w:eastAsia="zh-CN" w:bidi="ar-SA"/>
    </w:rPr>
  </w:style>
  <w:style w:type="paragraph" w:customStyle="1" w:styleId="2419">
    <w:name w:val="资料来源"/>
    <w:basedOn w:val="1"/>
    <w:next w:val="459"/>
    <w:qFormat/>
    <w:uiPriority w:val="0"/>
    <w:pPr>
      <w:widowControl/>
      <w:spacing w:before="78" w:line="240" w:lineRule="auto"/>
      <w:jc w:val="left"/>
    </w:pPr>
    <w:rPr>
      <w:rFonts w:cs="宋体"/>
      <w:kern w:val="0"/>
      <w:sz w:val="20"/>
      <w:szCs w:val="20"/>
    </w:rPr>
  </w:style>
  <w:style w:type="character" w:customStyle="1" w:styleId="2420">
    <w:name w:val="9hui181"/>
    <w:qFormat/>
    <w:uiPriority w:val="0"/>
    <w:rPr>
      <w:color w:val="333333"/>
      <w:sz w:val="18"/>
      <w:szCs w:val="18"/>
      <w:u w:val="none"/>
    </w:rPr>
  </w:style>
  <w:style w:type="paragraph" w:customStyle="1" w:styleId="2421">
    <w:name w:val="样式 加粗报告正文 + 首行缩进:  2 字符"/>
    <w:basedOn w:val="1"/>
    <w:qFormat/>
    <w:uiPriority w:val="0"/>
    <w:pPr>
      <w:widowControl/>
      <w:spacing w:before="0" w:beforeLines="0" w:line="240" w:lineRule="auto"/>
      <w:ind w:firstLine="482" w:firstLineChars="200"/>
      <w:jc w:val="left"/>
    </w:pPr>
    <w:rPr>
      <w:rFonts w:cs="宋体"/>
      <w:b/>
      <w:kern w:val="0"/>
      <w:sz w:val="24"/>
    </w:rPr>
  </w:style>
  <w:style w:type="paragraph" w:customStyle="1" w:styleId="2422">
    <w:name w:val="标头报告正文"/>
    <w:basedOn w:val="1"/>
    <w:link w:val="2423"/>
    <w:qFormat/>
    <w:uiPriority w:val="0"/>
    <w:pPr>
      <w:widowControl/>
      <w:spacing w:before="0" w:beforeLines="0" w:line="360" w:lineRule="exact"/>
      <w:jc w:val="left"/>
    </w:pPr>
    <w:rPr>
      <w:rFonts w:cs="宋体"/>
      <w:b/>
      <w:kern w:val="0"/>
      <w:sz w:val="24"/>
    </w:rPr>
  </w:style>
  <w:style w:type="character" w:customStyle="1" w:styleId="2423">
    <w:name w:val="标头报告正文 Char"/>
    <w:link w:val="2422"/>
    <w:qFormat/>
    <w:uiPriority w:val="0"/>
    <w:rPr>
      <w:rFonts w:cs="宋体"/>
      <w:b/>
      <w:sz w:val="24"/>
      <w:szCs w:val="24"/>
    </w:rPr>
  </w:style>
  <w:style w:type="character" w:customStyle="1" w:styleId="2424">
    <w:name w:val="图题 Char1"/>
    <w:qFormat/>
    <w:uiPriority w:val="0"/>
    <w:rPr>
      <w:rFonts w:ascii="黑体" w:eastAsia="黑体"/>
      <w:kern w:val="2"/>
      <w:sz w:val="21"/>
      <w:szCs w:val="21"/>
      <w:lang w:val="en-US" w:eastAsia="zh-CN" w:bidi="ar-SA"/>
    </w:rPr>
  </w:style>
  <w:style w:type="paragraph" w:customStyle="1" w:styleId="2425">
    <w:name w:val="报告书3号"/>
    <w:basedOn w:val="6"/>
    <w:qFormat/>
    <w:uiPriority w:val="0"/>
    <w:pPr>
      <w:widowControl/>
      <w:tabs>
        <w:tab w:val="left" w:pos="0"/>
        <w:tab w:val="left" w:pos="482"/>
      </w:tabs>
      <w:overflowPunct w:val="0"/>
      <w:topLinePunct/>
      <w:spacing w:line="480" w:lineRule="exact"/>
      <w:ind w:firstLine="480" w:firstLineChars="0"/>
      <w:jc w:val="left"/>
    </w:pPr>
    <w:rPr>
      <w:rFonts w:ascii="Times New Roman" w:hAnsi="Times New Roman" w:cs="宋体"/>
      <w:color w:val="000000"/>
      <w:kern w:val="0"/>
    </w:rPr>
  </w:style>
  <w:style w:type="character" w:customStyle="1" w:styleId="2426">
    <w:name w:val="报告书3号 Char"/>
    <w:qFormat/>
    <w:uiPriority w:val="0"/>
    <w:rPr>
      <w:color w:val="000000"/>
      <w:kern w:val="2"/>
      <w:sz w:val="24"/>
      <w:szCs w:val="24"/>
    </w:rPr>
  </w:style>
  <w:style w:type="character" w:customStyle="1" w:styleId="2427">
    <w:name w:val="标题 2 Char Char"/>
    <w:qFormat/>
    <w:uiPriority w:val="0"/>
    <w:rPr>
      <w:rFonts w:ascii="Arial" w:hAnsi="Arial" w:eastAsia="黑体"/>
      <w:bCs/>
      <w:kern w:val="2"/>
      <w:sz w:val="28"/>
      <w:szCs w:val="32"/>
      <w:lang w:val="en-US" w:eastAsia="zh-CN" w:bidi="ar-SA"/>
    </w:rPr>
  </w:style>
  <w:style w:type="character" w:customStyle="1" w:styleId="2428">
    <w:name w:val="blue"/>
    <w:qFormat/>
    <w:uiPriority w:val="0"/>
  </w:style>
  <w:style w:type="character" w:customStyle="1" w:styleId="2429">
    <w:name w:val="f241"/>
    <w:qFormat/>
    <w:uiPriority w:val="0"/>
    <w:rPr>
      <w:sz w:val="36"/>
      <w:szCs w:val="36"/>
    </w:rPr>
  </w:style>
  <w:style w:type="character" w:customStyle="1" w:styleId="2430">
    <w:name w:val="text31"/>
    <w:qFormat/>
    <w:uiPriority w:val="0"/>
    <w:rPr>
      <w:rFonts w:hint="eastAsia" w:ascii="宋体" w:hAnsi="宋体" w:eastAsia="宋体"/>
      <w:color w:val="673434"/>
      <w:sz w:val="22"/>
      <w:szCs w:val="22"/>
      <w:u w:val="none"/>
    </w:rPr>
  </w:style>
  <w:style w:type="paragraph" w:customStyle="1" w:styleId="2431">
    <w:name w:val="正文首行缩近"/>
    <w:qFormat/>
    <w:uiPriority w:val="0"/>
    <w:pPr>
      <w:adjustRightInd w:val="0"/>
      <w:snapToGrid w:val="0"/>
      <w:spacing w:line="360" w:lineRule="auto"/>
      <w:ind w:firstLine="480" w:firstLineChars="200"/>
      <w:jc w:val="both"/>
    </w:pPr>
    <w:rPr>
      <w:rFonts w:ascii="Times New Roman" w:hAnsi="Times New Roman" w:eastAsia="宋体" w:cs="Times New Roman"/>
      <w:sz w:val="24"/>
      <w:lang w:val="en-US" w:eastAsia="zh-CN" w:bidi="ar-SA"/>
    </w:rPr>
  </w:style>
  <w:style w:type="paragraph" w:customStyle="1" w:styleId="2432">
    <w:name w:val="样式 正正正正文 + 首行缩进:  2 字符"/>
    <w:basedOn w:val="1"/>
    <w:qFormat/>
    <w:uiPriority w:val="0"/>
    <w:pPr>
      <w:widowControl/>
      <w:spacing w:before="0" w:beforeLines="0" w:line="240" w:lineRule="auto"/>
      <w:ind w:firstLine="486" w:firstLineChars="200"/>
      <w:jc w:val="left"/>
    </w:pPr>
    <w:rPr>
      <w:rFonts w:cs="宋体"/>
      <w:kern w:val="0"/>
      <w:sz w:val="24"/>
      <w:szCs w:val="20"/>
    </w:rPr>
  </w:style>
  <w:style w:type="character" w:customStyle="1" w:styleId="2433">
    <w:name w:val="样式 正正正正文 + 首行缩进:  2 字符 Char"/>
    <w:qFormat/>
    <w:uiPriority w:val="0"/>
    <w:rPr>
      <w:rFonts w:eastAsia="宋体" w:cs="宋体"/>
      <w:kern w:val="2"/>
      <w:sz w:val="24"/>
      <w:lang w:val="en-US" w:eastAsia="zh-CN" w:bidi="ar-SA"/>
    </w:rPr>
  </w:style>
  <w:style w:type="paragraph" w:customStyle="1" w:styleId="2434">
    <w:name w:val="样式 样式 正正正正文 + 首行缩进:  2 字符 + 首行缩进:  2 字符"/>
    <w:basedOn w:val="2432"/>
    <w:qFormat/>
    <w:uiPriority w:val="0"/>
    <w:pPr>
      <w:ind w:firstLine="480"/>
    </w:pPr>
  </w:style>
  <w:style w:type="paragraph" w:customStyle="1" w:styleId="2435">
    <w:name w:val="样式 标题 4 + (西文) Times New Roman (中文) 宋体 小四"/>
    <w:basedOn w:val="7"/>
    <w:qFormat/>
    <w:uiPriority w:val="0"/>
    <w:pPr>
      <w:widowControl/>
      <w:adjustRightInd/>
      <w:snapToGrid/>
      <w:spacing w:before="100" w:beforeLines="100" w:after="100" w:afterLines="100" w:line="240" w:lineRule="auto"/>
      <w:jc w:val="left"/>
    </w:pPr>
    <w:rPr>
      <w:rFonts w:cs="宋体"/>
      <w:bCs/>
      <w:color w:val="auto"/>
      <w:kern w:val="0"/>
      <w:lang w:val="zh-CN"/>
    </w:rPr>
  </w:style>
  <w:style w:type="character" w:customStyle="1" w:styleId="2436">
    <w:name w:val="样式 标题 4 + (西文) Times New Roman (中文) 宋体 小四 Char"/>
    <w:qFormat/>
    <w:uiPriority w:val="0"/>
    <w:rPr>
      <w:rFonts w:ascii="Arial" w:hAnsi="Arial" w:eastAsia="宋体"/>
      <w:b/>
      <w:bCs/>
      <w:kern w:val="2"/>
      <w:sz w:val="24"/>
      <w:szCs w:val="28"/>
      <w:lang w:val="en-US" w:eastAsia="zh-CN" w:bidi="ar-SA"/>
    </w:rPr>
  </w:style>
  <w:style w:type="character" w:customStyle="1" w:styleId="2437">
    <w:name w:val="test1"/>
    <w:qFormat/>
    <w:uiPriority w:val="0"/>
    <w:rPr>
      <w:rFonts w:hint="default" w:ascii="ˎ̥" w:hAnsi="ˎ̥"/>
      <w:color w:val="000000"/>
      <w:sz w:val="23"/>
      <w:szCs w:val="23"/>
      <w:u w:val="none"/>
    </w:rPr>
  </w:style>
  <w:style w:type="paragraph" w:customStyle="1" w:styleId="2438">
    <w:name w:val="第三章表标头"/>
    <w:basedOn w:val="8"/>
    <w:qFormat/>
    <w:uiPriority w:val="0"/>
    <w:pPr>
      <w:keepNext w:val="0"/>
      <w:keepLines w:val="0"/>
      <w:widowControl/>
      <w:numPr>
        <w:ilvl w:val="0"/>
        <w:numId w:val="25"/>
      </w:numPr>
      <w:tabs>
        <w:tab w:val="clear" w:pos="1008"/>
      </w:tabs>
      <w:spacing w:before="0" w:after="0" w:line="240" w:lineRule="auto"/>
      <w:jc w:val="center"/>
      <w:outlineLvl w:val="9"/>
    </w:pPr>
    <w:rPr>
      <w:rFonts w:ascii="黑体" w:hAnsi="Times New Roman" w:eastAsia="黑体" w:cs="宋体"/>
      <w:b w:val="0"/>
      <w:bCs w:val="0"/>
      <w:kern w:val="0"/>
      <w:sz w:val="24"/>
      <w:szCs w:val="21"/>
    </w:rPr>
  </w:style>
  <w:style w:type="paragraph" w:customStyle="1" w:styleId="2439">
    <w:name w:val="第三章图标头"/>
    <w:basedOn w:val="8"/>
    <w:qFormat/>
    <w:uiPriority w:val="0"/>
    <w:pPr>
      <w:keepNext w:val="0"/>
      <w:keepLines w:val="0"/>
      <w:widowControl/>
      <w:numPr>
        <w:ilvl w:val="0"/>
        <w:numId w:val="26"/>
      </w:numPr>
      <w:tabs>
        <w:tab w:val="clear" w:pos="1008"/>
      </w:tabs>
      <w:spacing w:before="0" w:after="0" w:line="240" w:lineRule="auto"/>
      <w:jc w:val="center"/>
      <w:outlineLvl w:val="9"/>
    </w:pPr>
    <w:rPr>
      <w:rFonts w:ascii="黑体" w:hAnsi="宋体" w:eastAsia="黑体" w:cs="宋体"/>
      <w:b w:val="0"/>
      <w:bCs w:val="0"/>
      <w:kern w:val="0"/>
      <w:sz w:val="24"/>
      <w:szCs w:val="21"/>
    </w:rPr>
  </w:style>
  <w:style w:type="paragraph" w:customStyle="1" w:styleId="2440">
    <w:name w:val="第四章图标头"/>
    <w:basedOn w:val="8"/>
    <w:qFormat/>
    <w:uiPriority w:val="0"/>
    <w:pPr>
      <w:keepNext w:val="0"/>
      <w:keepLines w:val="0"/>
      <w:widowControl/>
      <w:numPr>
        <w:ilvl w:val="0"/>
        <w:numId w:val="27"/>
      </w:numPr>
      <w:tabs>
        <w:tab w:val="left" w:pos="444"/>
        <w:tab w:val="clear" w:pos="1008"/>
      </w:tabs>
      <w:spacing w:before="0" w:after="0" w:line="240" w:lineRule="auto"/>
      <w:jc w:val="center"/>
      <w:outlineLvl w:val="9"/>
    </w:pPr>
    <w:rPr>
      <w:rFonts w:ascii="黑体" w:hAnsi="Times New Roman" w:eastAsia="黑体" w:cs="宋体"/>
      <w:b w:val="0"/>
      <w:bCs w:val="0"/>
      <w:kern w:val="0"/>
      <w:sz w:val="24"/>
      <w:szCs w:val="21"/>
    </w:rPr>
  </w:style>
  <w:style w:type="paragraph" w:customStyle="1" w:styleId="2441">
    <w:name w:val="第四章表标头"/>
    <w:basedOn w:val="8"/>
    <w:qFormat/>
    <w:uiPriority w:val="0"/>
    <w:pPr>
      <w:keepNext w:val="0"/>
      <w:keepLines w:val="0"/>
      <w:widowControl/>
      <w:numPr>
        <w:ilvl w:val="0"/>
        <w:numId w:val="28"/>
      </w:numPr>
      <w:tabs>
        <w:tab w:val="clear" w:pos="1008"/>
      </w:tabs>
      <w:spacing w:before="0" w:after="0" w:line="240" w:lineRule="auto"/>
      <w:jc w:val="center"/>
      <w:outlineLvl w:val="9"/>
    </w:pPr>
    <w:rPr>
      <w:rFonts w:ascii="黑体" w:hAnsi="Times New Roman" w:eastAsia="黑体" w:cs="宋体"/>
      <w:b w:val="0"/>
      <w:bCs w:val="0"/>
      <w:kern w:val="0"/>
      <w:sz w:val="24"/>
      <w:szCs w:val="21"/>
    </w:rPr>
  </w:style>
  <w:style w:type="character" w:customStyle="1" w:styleId="2442">
    <w:name w:val="a51"/>
    <w:qFormat/>
    <w:uiPriority w:val="0"/>
    <w:rPr>
      <w:rFonts w:hint="default" w:ascii="??" w:hAnsi="??"/>
      <w:b/>
      <w:bCs/>
      <w:color w:val="003CC8"/>
      <w:sz w:val="35"/>
      <w:szCs w:val="35"/>
    </w:rPr>
  </w:style>
  <w:style w:type="character" w:customStyle="1" w:styleId="2443">
    <w:name w:val="font201"/>
    <w:qFormat/>
    <w:uiPriority w:val="0"/>
  </w:style>
  <w:style w:type="paragraph" w:customStyle="1" w:styleId="2444">
    <w:name w:val="第七章图标头"/>
    <w:basedOn w:val="8"/>
    <w:qFormat/>
    <w:uiPriority w:val="0"/>
    <w:pPr>
      <w:keepNext w:val="0"/>
      <w:keepLines w:val="0"/>
      <w:widowControl/>
      <w:tabs>
        <w:tab w:val="clear" w:pos="1008"/>
      </w:tabs>
      <w:spacing w:before="0" w:after="0" w:line="240" w:lineRule="auto"/>
      <w:ind w:left="0" w:firstLine="0"/>
      <w:jc w:val="center"/>
      <w:outlineLvl w:val="9"/>
    </w:pPr>
    <w:rPr>
      <w:rFonts w:ascii="黑体" w:hAnsi="Times New Roman" w:eastAsia="黑体" w:cs="宋体"/>
      <w:b w:val="0"/>
      <w:bCs w:val="0"/>
      <w:kern w:val="0"/>
      <w:sz w:val="24"/>
      <w:szCs w:val="21"/>
    </w:rPr>
  </w:style>
  <w:style w:type="paragraph" w:customStyle="1" w:styleId="2445">
    <w:name w:val="第七章表标头"/>
    <w:basedOn w:val="8"/>
    <w:qFormat/>
    <w:uiPriority w:val="0"/>
    <w:pPr>
      <w:keepNext w:val="0"/>
      <w:keepLines w:val="0"/>
      <w:widowControl/>
      <w:numPr>
        <w:ilvl w:val="0"/>
        <w:numId w:val="29"/>
      </w:numPr>
      <w:tabs>
        <w:tab w:val="clear" w:pos="1008"/>
      </w:tabs>
      <w:spacing w:before="0" w:after="0" w:line="240" w:lineRule="auto"/>
      <w:ind w:left="0" w:firstLine="0"/>
      <w:jc w:val="center"/>
      <w:outlineLvl w:val="9"/>
    </w:pPr>
    <w:rPr>
      <w:rFonts w:ascii="黑体" w:hAnsi="Times New Roman" w:eastAsia="黑体" w:cs="宋体"/>
      <w:b w:val="0"/>
      <w:bCs w:val="0"/>
      <w:kern w:val="0"/>
      <w:sz w:val="24"/>
      <w:szCs w:val="21"/>
    </w:rPr>
  </w:style>
  <w:style w:type="paragraph" w:customStyle="1" w:styleId="2446">
    <w:name w:val="表格内文字"/>
    <w:basedOn w:val="222"/>
    <w:next w:val="222"/>
    <w:qFormat/>
    <w:uiPriority w:val="0"/>
    <w:pPr>
      <w:spacing w:after="50" w:afterLines="50" w:line="240" w:lineRule="auto"/>
      <w:ind w:firstLine="0" w:firstLineChars="0"/>
      <w:jc w:val="center"/>
    </w:pPr>
    <w:rPr>
      <w:rFonts w:eastAsia="宋体" w:cs="宋体"/>
      <w:bCs w:val="0"/>
      <w:kern w:val="0"/>
      <w:sz w:val="21"/>
      <w:szCs w:val="20"/>
      <w:lang w:val="zh-CN"/>
    </w:rPr>
  </w:style>
  <w:style w:type="paragraph" w:customStyle="1" w:styleId="2447">
    <w:name w:val="强调内容"/>
    <w:basedOn w:val="1"/>
    <w:next w:val="1"/>
    <w:link w:val="2505"/>
    <w:qFormat/>
    <w:uiPriority w:val="0"/>
    <w:pPr>
      <w:widowControl/>
      <w:spacing w:before="0" w:beforeLines="0" w:line="400" w:lineRule="exact"/>
      <w:ind w:firstLine="200" w:firstLineChars="200"/>
      <w:jc w:val="left"/>
    </w:pPr>
    <w:rPr>
      <w:rFonts w:cs="宋体"/>
      <w:b/>
      <w:kern w:val="0"/>
      <w:sz w:val="24"/>
      <w:szCs w:val="20"/>
    </w:rPr>
  </w:style>
  <w:style w:type="paragraph" w:customStyle="1" w:styleId="2448">
    <w:name w:val="第五章图标头"/>
    <w:basedOn w:val="1"/>
    <w:qFormat/>
    <w:uiPriority w:val="0"/>
    <w:pPr>
      <w:widowControl/>
      <w:numPr>
        <w:ilvl w:val="0"/>
        <w:numId w:val="30"/>
      </w:numPr>
      <w:spacing w:before="0" w:beforeLines="0" w:after="50" w:afterLines="50" w:line="360" w:lineRule="auto"/>
      <w:ind w:firstLine="0"/>
      <w:jc w:val="center"/>
    </w:pPr>
    <w:rPr>
      <w:rFonts w:eastAsia="黑体" w:cs="宋体"/>
      <w:kern w:val="0"/>
      <w:sz w:val="24"/>
    </w:rPr>
  </w:style>
  <w:style w:type="paragraph" w:customStyle="1" w:styleId="2449">
    <w:name w:val="第五章表标头"/>
    <w:basedOn w:val="1"/>
    <w:qFormat/>
    <w:uiPriority w:val="0"/>
    <w:pPr>
      <w:widowControl/>
      <w:numPr>
        <w:ilvl w:val="0"/>
        <w:numId w:val="31"/>
      </w:numPr>
      <w:spacing w:before="0" w:beforeLines="0" w:line="240" w:lineRule="auto"/>
      <w:ind w:firstLine="0"/>
      <w:jc w:val="center"/>
    </w:pPr>
    <w:rPr>
      <w:rFonts w:eastAsia="黑体" w:cs="宋体"/>
      <w:kern w:val="0"/>
      <w:sz w:val="24"/>
    </w:rPr>
  </w:style>
  <w:style w:type="paragraph" w:customStyle="1" w:styleId="2450">
    <w:name w:val="第八章图标头"/>
    <w:basedOn w:val="1"/>
    <w:qFormat/>
    <w:uiPriority w:val="0"/>
    <w:pPr>
      <w:widowControl/>
      <w:numPr>
        <w:ilvl w:val="0"/>
        <w:numId w:val="32"/>
      </w:numPr>
      <w:spacing w:before="0" w:beforeLines="0" w:after="50" w:afterLines="50" w:line="240" w:lineRule="auto"/>
      <w:ind w:firstLine="0"/>
      <w:jc w:val="center"/>
    </w:pPr>
    <w:rPr>
      <w:rFonts w:eastAsia="黑体" w:cs="宋体"/>
      <w:kern w:val="0"/>
      <w:sz w:val="24"/>
    </w:rPr>
  </w:style>
  <w:style w:type="paragraph" w:customStyle="1" w:styleId="2451">
    <w:name w:val="第八章表标头"/>
    <w:basedOn w:val="2450"/>
    <w:qFormat/>
    <w:uiPriority w:val="0"/>
    <w:pPr>
      <w:numPr>
        <w:numId w:val="0"/>
      </w:numPr>
      <w:tabs>
        <w:tab w:val="left" w:pos="0"/>
      </w:tabs>
      <w:ind w:left="420" w:hanging="420"/>
    </w:pPr>
  </w:style>
  <w:style w:type="table" w:customStyle="1" w:styleId="2452">
    <w:name w:val="表格虚线1"/>
    <w:basedOn w:val="89"/>
    <w:qFormat/>
    <w:uiPriority w:val="0"/>
    <w:pPr>
      <w:widowControl w:val="0"/>
      <w:adjustRightInd w:val="0"/>
      <w:snapToGrid w:val="0"/>
      <w:spacing w:line="480" w:lineRule="exact"/>
      <w:ind w:firstLine="20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453">
    <w:name w:val="样式 左侧:  0.95 厘米 行距: 1.5 倍行距"/>
    <w:basedOn w:val="1"/>
    <w:qFormat/>
    <w:uiPriority w:val="0"/>
    <w:pPr>
      <w:widowControl/>
      <w:spacing w:before="0" w:beforeLines="0" w:line="360" w:lineRule="auto"/>
      <w:ind w:firstLine="200" w:firstLineChars="200"/>
      <w:jc w:val="left"/>
    </w:pPr>
    <w:rPr>
      <w:rFonts w:ascii="Calibri" w:hAnsi="Calibri" w:cs="宋体"/>
      <w:kern w:val="0"/>
      <w:sz w:val="24"/>
      <w:szCs w:val="20"/>
      <w:lang w:eastAsia="en-US" w:bidi="en-US"/>
    </w:rPr>
  </w:style>
  <w:style w:type="paragraph" w:customStyle="1" w:styleId="2454">
    <w:name w:val="样式 样式6 + 首行缩进:  2 字符"/>
    <w:basedOn w:val="1"/>
    <w:qFormat/>
    <w:uiPriority w:val="0"/>
    <w:pPr>
      <w:widowControl/>
      <w:spacing w:before="0" w:beforeLines="0" w:line="360" w:lineRule="exact"/>
      <w:ind w:firstLine="485" w:firstLineChars="200"/>
      <w:jc w:val="left"/>
    </w:pPr>
    <w:rPr>
      <w:rFonts w:eastAsia="Times New Roman" w:cs="宋体"/>
      <w:kern w:val="0"/>
      <w:sz w:val="24"/>
      <w:szCs w:val="20"/>
    </w:rPr>
  </w:style>
  <w:style w:type="paragraph" w:customStyle="1" w:styleId="2455">
    <w:name w:val="我的正文+2"/>
    <w:basedOn w:val="34"/>
    <w:next w:val="34"/>
    <w:link w:val="2458"/>
    <w:qFormat/>
    <w:uiPriority w:val="0"/>
    <w:rPr>
      <w:color w:val="000000"/>
      <w:sz w:val="24"/>
      <w:szCs w:val="24"/>
    </w:rPr>
  </w:style>
  <w:style w:type="paragraph" w:customStyle="1" w:styleId="2456">
    <w:name w:val="样式 我的正文+2 + Times New Roman 黑色"/>
    <w:basedOn w:val="2455"/>
    <w:link w:val="2459"/>
    <w:qFormat/>
    <w:uiPriority w:val="0"/>
    <w:pPr>
      <w:spacing w:before="81" w:line="360" w:lineRule="exact"/>
    </w:pPr>
  </w:style>
  <w:style w:type="character" w:customStyle="1" w:styleId="2457">
    <w:name w:val="Default Char"/>
    <w:link w:val="34"/>
    <w:qFormat/>
    <w:uiPriority w:val="0"/>
    <w:rPr>
      <w:rFonts w:ascii="宋体" w:cs="宋体"/>
    </w:rPr>
  </w:style>
  <w:style w:type="character" w:customStyle="1" w:styleId="2458">
    <w:name w:val="我的正文+2 Char"/>
    <w:link w:val="2455"/>
    <w:qFormat/>
    <w:uiPriority w:val="0"/>
    <w:rPr>
      <w:rFonts w:ascii="宋体" w:cs="宋体"/>
      <w:color w:val="000000"/>
      <w:sz w:val="24"/>
      <w:szCs w:val="24"/>
    </w:rPr>
  </w:style>
  <w:style w:type="character" w:customStyle="1" w:styleId="2459">
    <w:name w:val="样式 我的正文+2 + Times New Roman 黑色 Char"/>
    <w:link w:val="2456"/>
    <w:qFormat/>
    <w:uiPriority w:val="0"/>
    <w:rPr>
      <w:rFonts w:ascii="宋体" w:cs="宋体"/>
      <w:color w:val="000000"/>
      <w:sz w:val="24"/>
      <w:szCs w:val="24"/>
    </w:rPr>
  </w:style>
  <w:style w:type="paragraph" w:customStyle="1" w:styleId="2460">
    <w:name w:val="样式 样式6 + 首行缩进:  2 字符1"/>
    <w:basedOn w:val="219"/>
    <w:qFormat/>
    <w:uiPriority w:val="0"/>
    <w:pPr>
      <w:widowControl/>
      <w:spacing w:before="81" w:beforeLines="0" w:after="50" w:afterLines="50" w:line="360" w:lineRule="exact"/>
      <w:ind w:firstLine="485"/>
      <w:jc w:val="left"/>
    </w:pPr>
    <w:rPr>
      <w:rFonts w:ascii="Times New Roman" w:cs="宋体"/>
      <w:color w:val="auto"/>
      <w:szCs w:val="20"/>
      <w:lang w:val="zh-CN"/>
    </w:rPr>
  </w:style>
  <w:style w:type="paragraph" w:customStyle="1" w:styleId="2461">
    <w:name w:val="表后"/>
    <w:basedOn w:val="2431"/>
    <w:semiHidden/>
    <w:qFormat/>
    <w:uiPriority w:val="0"/>
    <w:pPr>
      <w:spacing w:line="240" w:lineRule="auto"/>
      <w:ind w:firstLine="0" w:firstLineChars="0"/>
    </w:pPr>
  </w:style>
  <w:style w:type="paragraph" w:customStyle="1" w:styleId="2462">
    <w:name w:val="表格03"/>
    <w:basedOn w:val="1"/>
    <w:semiHidden/>
    <w:qFormat/>
    <w:uiPriority w:val="0"/>
    <w:pPr>
      <w:widowControl/>
      <w:spacing w:before="0" w:beforeLines="0" w:line="400" w:lineRule="exact"/>
      <w:jc w:val="center"/>
    </w:pPr>
    <w:rPr>
      <w:rFonts w:cs="宋体"/>
      <w:kern w:val="0"/>
      <w:szCs w:val="21"/>
    </w:rPr>
  </w:style>
  <w:style w:type="paragraph" w:customStyle="1" w:styleId="2463">
    <w:name w:val="正文（首行缩进两字） Char Char Char Char1 Char11"/>
    <w:basedOn w:val="1"/>
    <w:next w:val="6"/>
    <w:semiHidden/>
    <w:qFormat/>
    <w:uiPriority w:val="0"/>
    <w:pPr>
      <w:widowControl/>
      <w:spacing w:before="0" w:beforeLines="0"/>
      <w:ind w:firstLine="200" w:firstLineChars="200"/>
      <w:jc w:val="left"/>
    </w:pPr>
    <w:rPr>
      <w:rFonts w:ascii="Arial" w:hAnsi="Arial" w:cs="宋体"/>
      <w:kern w:val="0"/>
      <w:sz w:val="24"/>
    </w:rPr>
  </w:style>
  <w:style w:type="paragraph" w:customStyle="1" w:styleId="2464">
    <w:name w:val="a正文"/>
    <w:basedOn w:val="1"/>
    <w:qFormat/>
    <w:uiPriority w:val="0"/>
    <w:pPr>
      <w:widowControl/>
      <w:overflowPunct w:val="0"/>
      <w:autoSpaceDE w:val="0"/>
      <w:autoSpaceDN w:val="0"/>
      <w:spacing w:before="20" w:beforeLines="20" w:after="30" w:afterLines="30" w:line="360" w:lineRule="auto"/>
      <w:ind w:firstLine="200" w:firstLineChars="200"/>
      <w:jc w:val="left"/>
    </w:pPr>
    <w:rPr>
      <w:rFonts w:cs="宋体"/>
      <w:kern w:val="0"/>
      <w:sz w:val="24"/>
    </w:rPr>
  </w:style>
  <w:style w:type="paragraph" w:customStyle="1" w:styleId="2465">
    <w:name w:val="样式 2s + 段前: 0.5 行 段后: 0.5 行"/>
    <w:basedOn w:val="1"/>
    <w:link w:val="2466"/>
    <w:qFormat/>
    <w:uiPriority w:val="0"/>
    <w:pPr>
      <w:keepNext/>
      <w:keepLines/>
      <w:widowControl/>
      <w:spacing w:before="120" w:beforeLines="50" w:line="360" w:lineRule="auto"/>
      <w:jc w:val="left"/>
      <w:outlineLvl w:val="1"/>
    </w:pPr>
    <w:rPr>
      <w:rFonts w:cs="宋体"/>
      <w:b/>
      <w:bCs/>
      <w:kern w:val="0"/>
      <w:sz w:val="30"/>
      <w:szCs w:val="20"/>
      <w:lang w:val="zh-CN"/>
    </w:rPr>
  </w:style>
  <w:style w:type="character" w:customStyle="1" w:styleId="2466">
    <w:name w:val="样式 2s + 段前: 0.5 行 段后: 0.5 行 Char"/>
    <w:link w:val="2465"/>
    <w:qFormat/>
    <w:uiPriority w:val="0"/>
    <w:rPr>
      <w:rFonts w:cs="宋体"/>
      <w:b/>
      <w:bCs/>
      <w:sz w:val="30"/>
      <w:lang w:val="zh-CN"/>
    </w:rPr>
  </w:style>
  <w:style w:type="paragraph" w:customStyle="1" w:styleId="2467">
    <w:name w:val="3s"/>
    <w:basedOn w:val="5"/>
    <w:link w:val="2468"/>
    <w:qFormat/>
    <w:uiPriority w:val="0"/>
    <w:pPr>
      <w:keepNext/>
      <w:widowControl/>
      <w:spacing w:before="120" w:beforeLines="50" w:after="0" w:line="360" w:lineRule="auto"/>
      <w:jc w:val="left"/>
    </w:pPr>
    <w:rPr>
      <w:rFonts w:cs="宋体"/>
      <w:bCs w:val="0"/>
      <w:color w:val="auto"/>
      <w:kern w:val="0"/>
      <w:lang w:val="it-IT"/>
    </w:rPr>
  </w:style>
  <w:style w:type="character" w:customStyle="1" w:styleId="2468">
    <w:name w:val="3s Char"/>
    <w:link w:val="2467"/>
    <w:qFormat/>
    <w:uiPriority w:val="0"/>
    <w:rPr>
      <w:rFonts w:cs="宋体"/>
      <w:b/>
      <w:sz w:val="28"/>
      <w:lang w:val="it-IT"/>
    </w:rPr>
  </w:style>
  <w:style w:type="paragraph" w:customStyle="1" w:styleId="2469">
    <w:name w:val="样式 样式 样式 正文首行缩进 2 + 首行缩进:  2 字符 + 首行缩进:  2 字符 + 首行缩进:  2 字符"/>
    <w:basedOn w:val="1"/>
    <w:qFormat/>
    <w:uiPriority w:val="0"/>
    <w:pPr>
      <w:widowControl/>
      <w:spacing w:before="0" w:beforeLines="0"/>
      <w:ind w:firstLine="200" w:firstLineChars="200"/>
      <w:jc w:val="left"/>
    </w:pPr>
    <w:rPr>
      <w:rFonts w:cs="宋体"/>
      <w:kern w:val="0"/>
      <w:sz w:val="24"/>
      <w:szCs w:val="20"/>
    </w:rPr>
  </w:style>
  <w:style w:type="character" w:customStyle="1" w:styleId="2470">
    <w:name w:val="Char Char Char Char Char Char Char Char Char Char Char Char Char Char Char  Char Char"/>
    <w:qFormat/>
    <w:uiPriority w:val="0"/>
    <w:rPr>
      <w:rFonts w:hint="default" w:ascii="Arial" w:hAnsi="Arial" w:eastAsia="黑体" w:cs="Arial"/>
      <w:kern w:val="2"/>
      <w:lang w:val="en-US" w:eastAsia="zh-CN" w:bidi="ar-SA"/>
    </w:rPr>
  </w:style>
  <w:style w:type="character" w:customStyle="1" w:styleId="2471">
    <w:name w:val="Char Char35"/>
    <w:qFormat/>
    <w:uiPriority w:val="0"/>
    <w:rPr>
      <w:rFonts w:hint="default" w:ascii="Arial" w:hAnsi="Arial" w:eastAsia="黑体" w:cs="Arial"/>
      <w:bCs/>
      <w:kern w:val="2"/>
      <w:sz w:val="28"/>
      <w:szCs w:val="32"/>
      <w:lang w:val="en-US" w:eastAsia="zh-CN" w:bidi="ar-SA"/>
    </w:rPr>
  </w:style>
  <w:style w:type="character" w:customStyle="1" w:styleId="2472">
    <w:name w:val="Char Char25"/>
    <w:qFormat/>
    <w:uiPriority w:val="0"/>
    <w:rPr>
      <w:rFonts w:hint="default" w:ascii="Arial" w:hAnsi="Arial" w:eastAsia="黑体" w:cs="Arial"/>
      <w:bCs/>
      <w:kern w:val="2"/>
      <w:sz w:val="24"/>
      <w:szCs w:val="28"/>
      <w:lang w:val="en-US" w:eastAsia="zh-CN" w:bidi="ar-SA"/>
    </w:rPr>
  </w:style>
  <w:style w:type="paragraph" w:customStyle="1" w:styleId="2473">
    <w:name w:val="第九章表标头"/>
    <w:qFormat/>
    <w:uiPriority w:val="0"/>
    <w:pPr>
      <w:numPr>
        <w:ilvl w:val="0"/>
        <w:numId w:val="33"/>
      </w:numPr>
      <w:ind w:left="420"/>
      <w:jc w:val="center"/>
    </w:pPr>
    <w:rPr>
      <w:rFonts w:ascii="Times New Roman" w:hAnsi="Times New Roman" w:eastAsia="黑体" w:cs="Times New Roman"/>
      <w:kern w:val="2"/>
      <w:sz w:val="24"/>
      <w:szCs w:val="24"/>
      <w:lang w:val="en-US" w:eastAsia="zh-CN" w:bidi="ar-SA"/>
    </w:rPr>
  </w:style>
  <w:style w:type="paragraph" w:customStyle="1" w:styleId="2474">
    <w:name w:val="第七章表头"/>
    <w:basedOn w:val="20"/>
    <w:next w:val="1"/>
    <w:qFormat/>
    <w:uiPriority w:val="0"/>
    <w:pPr>
      <w:widowControl/>
      <w:numPr>
        <w:ilvl w:val="0"/>
        <w:numId w:val="34"/>
      </w:numPr>
      <w:tabs>
        <w:tab w:val="clear" w:pos="360"/>
      </w:tabs>
      <w:spacing w:before="0" w:beforeLines="0" w:line="240" w:lineRule="auto"/>
      <w:ind w:firstLine="0"/>
      <w:jc w:val="left"/>
    </w:pPr>
    <w:rPr>
      <w:rFonts w:eastAsia="黑体" w:cs="宋体"/>
      <w:kern w:val="0"/>
      <w:sz w:val="24"/>
    </w:rPr>
  </w:style>
  <w:style w:type="character" w:customStyle="1" w:styleId="2475">
    <w:name w:val="图表名称 Char"/>
    <w:link w:val="543"/>
    <w:qFormat/>
    <w:uiPriority w:val="0"/>
    <w:rPr>
      <w:kern w:val="2"/>
      <w:sz w:val="21"/>
      <w:szCs w:val="24"/>
    </w:rPr>
  </w:style>
  <w:style w:type="character" w:customStyle="1" w:styleId="2476">
    <w:name w:val="z-窗体底端 字符1"/>
    <w:qFormat/>
    <w:uiPriority w:val="0"/>
    <w:rPr>
      <w:rFonts w:ascii="Arial" w:hAnsi="Arial" w:cs="宋体"/>
      <w:vanish/>
      <w:sz w:val="16"/>
      <w:szCs w:val="16"/>
      <w:lang w:val="zh-CN" w:eastAsia="zh-CN"/>
    </w:rPr>
  </w:style>
  <w:style w:type="paragraph" w:customStyle="1" w:styleId="2477">
    <w:name w:val="第二章图标头"/>
    <w:basedOn w:val="1"/>
    <w:qFormat/>
    <w:uiPriority w:val="0"/>
    <w:pPr>
      <w:widowControl/>
      <w:numPr>
        <w:ilvl w:val="0"/>
        <w:numId w:val="35"/>
      </w:numPr>
      <w:spacing w:before="0" w:beforeLines="0" w:line="240" w:lineRule="auto"/>
      <w:jc w:val="center"/>
    </w:pPr>
    <w:rPr>
      <w:rFonts w:ascii="黑体" w:eastAsia="黑体" w:cs="宋体"/>
      <w:kern w:val="0"/>
      <w:sz w:val="24"/>
      <w:szCs w:val="20"/>
    </w:rPr>
  </w:style>
  <w:style w:type="paragraph" w:customStyle="1" w:styleId="2478">
    <w:name w:val="p2"/>
    <w:basedOn w:val="1"/>
    <w:qFormat/>
    <w:uiPriority w:val="0"/>
    <w:pPr>
      <w:widowControl/>
      <w:spacing w:before="100" w:beforeLines="0" w:beforeAutospacing="1" w:after="100" w:afterAutospacing="1" w:line="460" w:lineRule="exact"/>
      <w:ind w:firstLine="200" w:firstLineChars="200"/>
      <w:jc w:val="left"/>
    </w:pPr>
    <w:rPr>
      <w:rFonts w:ascii="宋体" w:hAnsi="宋体" w:cs="宋体"/>
      <w:kern w:val="0"/>
      <w:sz w:val="24"/>
    </w:rPr>
  </w:style>
  <w:style w:type="character" w:customStyle="1" w:styleId="2479">
    <w:name w:val="Char Char23"/>
    <w:qFormat/>
    <w:uiPriority w:val="0"/>
    <w:rPr>
      <w:rFonts w:eastAsia="楷体_GB2312"/>
      <w:b/>
      <w:bCs/>
      <w:kern w:val="2"/>
      <w:sz w:val="24"/>
      <w:szCs w:val="24"/>
      <w:lang w:val="en-US" w:eastAsia="zh-CN" w:bidi="ar-SA"/>
    </w:rPr>
  </w:style>
  <w:style w:type="character" w:customStyle="1" w:styleId="2480">
    <w:name w:val="Char Char22"/>
    <w:qFormat/>
    <w:uiPriority w:val="0"/>
    <w:rPr>
      <w:rFonts w:ascii="Arial" w:hAnsi="Arial" w:eastAsia="黑体"/>
      <w:kern w:val="2"/>
      <w:sz w:val="24"/>
      <w:szCs w:val="24"/>
      <w:lang w:val="en-US" w:eastAsia="zh-CN" w:bidi="ar-SA"/>
    </w:rPr>
  </w:style>
  <w:style w:type="paragraph" w:customStyle="1" w:styleId="2481">
    <w:name w:val="样式 第八章图标头 + 黑色"/>
    <w:basedOn w:val="2450"/>
    <w:qFormat/>
    <w:uiPriority w:val="0"/>
    <w:pPr>
      <w:numPr>
        <w:numId w:val="36"/>
      </w:numPr>
      <w:ind w:firstLine="0"/>
    </w:pPr>
    <w:rPr>
      <w:color w:val="000000"/>
    </w:rPr>
  </w:style>
  <w:style w:type="character" w:customStyle="1" w:styleId="2482">
    <w:name w:val="pt91"/>
    <w:qFormat/>
    <w:uiPriority w:val="0"/>
    <w:rPr>
      <w:sz w:val="18"/>
      <w:szCs w:val="18"/>
    </w:rPr>
  </w:style>
  <w:style w:type="paragraph" w:customStyle="1" w:styleId="2483">
    <w:name w:val="第九章表头"/>
    <w:basedOn w:val="2473"/>
    <w:qFormat/>
    <w:uiPriority w:val="0"/>
    <w:pPr>
      <w:numPr>
        <w:numId w:val="37"/>
      </w:numPr>
      <w:ind w:left="420"/>
    </w:pPr>
  </w:style>
  <w:style w:type="paragraph" w:customStyle="1" w:styleId="2484">
    <w:name w:val="第一章表标题"/>
    <w:basedOn w:val="1"/>
    <w:next w:val="1"/>
    <w:qFormat/>
    <w:uiPriority w:val="0"/>
    <w:pPr>
      <w:widowControl/>
      <w:numPr>
        <w:ilvl w:val="0"/>
        <w:numId w:val="38"/>
      </w:numPr>
      <w:spacing w:before="0" w:beforeLines="0"/>
      <w:ind w:firstLine="0"/>
      <w:jc w:val="center"/>
    </w:pPr>
    <w:rPr>
      <w:rFonts w:eastAsia="黑体" w:cs="宋体"/>
      <w:kern w:val="0"/>
      <w:sz w:val="24"/>
      <w:szCs w:val="20"/>
    </w:rPr>
  </w:style>
  <w:style w:type="paragraph" w:customStyle="1" w:styleId="2485">
    <w:name w:val="第一章表头"/>
    <w:basedOn w:val="222"/>
    <w:next w:val="222"/>
    <w:link w:val="2544"/>
    <w:qFormat/>
    <w:uiPriority w:val="0"/>
    <w:pPr>
      <w:numPr>
        <w:ilvl w:val="0"/>
        <w:numId w:val="39"/>
      </w:numPr>
      <w:spacing w:after="50" w:afterLines="50" w:line="400" w:lineRule="exact"/>
      <w:ind w:firstLine="0" w:firstLineChars="0"/>
      <w:jc w:val="center"/>
    </w:pPr>
    <w:rPr>
      <w:rFonts w:ascii="黑体" w:eastAsia="黑体" w:cs="宋体"/>
      <w:bCs w:val="0"/>
      <w:color w:val="000000"/>
      <w:kern w:val="0"/>
      <w:szCs w:val="24"/>
      <w:lang w:val="zh-CN"/>
    </w:rPr>
  </w:style>
  <w:style w:type="paragraph" w:customStyle="1" w:styleId="2486">
    <w:name w:val="第二章表标题"/>
    <w:basedOn w:val="1"/>
    <w:next w:val="1"/>
    <w:qFormat/>
    <w:uiPriority w:val="0"/>
    <w:pPr>
      <w:widowControl/>
      <w:numPr>
        <w:ilvl w:val="0"/>
        <w:numId w:val="40"/>
      </w:numPr>
      <w:spacing w:before="0" w:beforeLines="0"/>
      <w:jc w:val="center"/>
    </w:pPr>
    <w:rPr>
      <w:rFonts w:eastAsia="黑体" w:cs="宋体"/>
      <w:bCs/>
      <w:kern w:val="0"/>
      <w:sz w:val="24"/>
      <w:szCs w:val="20"/>
    </w:rPr>
  </w:style>
  <w:style w:type="paragraph" w:customStyle="1" w:styleId="2487">
    <w:name w:val="第四章表标题"/>
    <w:basedOn w:val="1"/>
    <w:next w:val="1"/>
    <w:qFormat/>
    <w:uiPriority w:val="0"/>
    <w:pPr>
      <w:widowControl/>
      <w:numPr>
        <w:ilvl w:val="0"/>
        <w:numId w:val="41"/>
      </w:numPr>
      <w:spacing w:before="0" w:beforeLines="0"/>
      <w:jc w:val="center"/>
    </w:pPr>
    <w:rPr>
      <w:rFonts w:eastAsia="黑体" w:cs="宋体"/>
      <w:kern w:val="0"/>
      <w:sz w:val="24"/>
      <w:szCs w:val="20"/>
    </w:rPr>
  </w:style>
  <w:style w:type="paragraph" w:customStyle="1" w:styleId="2488">
    <w:name w:val="第五章表标题"/>
    <w:basedOn w:val="1"/>
    <w:next w:val="1"/>
    <w:qFormat/>
    <w:uiPriority w:val="0"/>
    <w:pPr>
      <w:widowControl/>
      <w:numPr>
        <w:ilvl w:val="0"/>
        <w:numId w:val="42"/>
      </w:numPr>
      <w:spacing w:before="0" w:beforeLines="0"/>
      <w:jc w:val="center"/>
    </w:pPr>
    <w:rPr>
      <w:rFonts w:eastAsia="黑体" w:cs="宋体"/>
      <w:kern w:val="0"/>
      <w:sz w:val="24"/>
      <w:szCs w:val="20"/>
    </w:rPr>
  </w:style>
  <w:style w:type="paragraph" w:customStyle="1" w:styleId="2489">
    <w:name w:val="第四章表头"/>
    <w:basedOn w:val="1"/>
    <w:next w:val="1"/>
    <w:qFormat/>
    <w:uiPriority w:val="0"/>
    <w:pPr>
      <w:widowControl/>
      <w:numPr>
        <w:ilvl w:val="0"/>
        <w:numId w:val="43"/>
      </w:numPr>
      <w:spacing w:before="0" w:beforeLines="0" w:line="400" w:lineRule="exact"/>
      <w:ind w:firstLine="0"/>
      <w:jc w:val="center"/>
    </w:pPr>
    <w:rPr>
      <w:rFonts w:ascii="黑体" w:eastAsia="黑体" w:cs="宋体"/>
      <w:color w:val="000000"/>
      <w:kern w:val="0"/>
      <w:sz w:val="24"/>
    </w:rPr>
  </w:style>
  <w:style w:type="paragraph" w:customStyle="1" w:styleId="2490">
    <w:name w:val="第七章图标题"/>
    <w:basedOn w:val="1"/>
    <w:next w:val="1"/>
    <w:qFormat/>
    <w:uiPriority w:val="0"/>
    <w:pPr>
      <w:widowControl/>
      <w:numPr>
        <w:ilvl w:val="0"/>
        <w:numId w:val="44"/>
      </w:numPr>
      <w:spacing w:before="0" w:beforeLines="0" w:line="360" w:lineRule="auto"/>
      <w:ind w:firstLine="0"/>
      <w:jc w:val="center"/>
    </w:pPr>
    <w:rPr>
      <w:rFonts w:eastAsia="黑体" w:cs="宋体"/>
      <w:kern w:val="0"/>
      <w:sz w:val="24"/>
      <w:szCs w:val="20"/>
    </w:rPr>
  </w:style>
  <w:style w:type="paragraph" w:customStyle="1" w:styleId="2491">
    <w:name w:val="第八章表标题"/>
    <w:basedOn w:val="1"/>
    <w:next w:val="1"/>
    <w:qFormat/>
    <w:uiPriority w:val="0"/>
    <w:pPr>
      <w:widowControl/>
      <w:numPr>
        <w:ilvl w:val="0"/>
        <w:numId w:val="45"/>
      </w:numPr>
      <w:spacing w:before="0" w:beforeLines="0"/>
      <w:ind w:firstLine="0"/>
      <w:jc w:val="center"/>
    </w:pPr>
    <w:rPr>
      <w:rFonts w:eastAsia="黑体" w:cs="宋体"/>
      <w:kern w:val="0"/>
      <w:sz w:val="24"/>
      <w:szCs w:val="20"/>
    </w:rPr>
  </w:style>
  <w:style w:type="paragraph" w:customStyle="1" w:styleId="2492">
    <w:name w:val="第十一章表标头"/>
    <w:basedOn w:val="1"/>
    <w:next w:val="1"/>
    <w:qFormat/>
    <w:uiPriority w:val="0"/>
    <w:pPr>
      <w:widowControl/>
      <w:numPr>
        <w:ilvl w:val="0"/>
        <w:numId w:val="46"/>
      </w:numPr>
      <w:spacing w:before="0" w:beforeLines="0"/>
      <w:jc w:val="center"/>
    </w:pPr>
    <w:rPr>
      <w:rFonts w:eastAsia="黑体" w:cs="宋体"/>
      <w:kern w:val="0"/>
      <w:sz w:val="24"/>
      <w:szCs w:val="20"/>
    </w:rPr>
  </w:style>
  <w:style w:type="paragraph" w:customStyle="1" w:styleId="2493">
    <w:name w:val="CM22"/>
    <w:basedOn w:val="1"/>
    <w:next w:val="1"/>
    <w:qFormat/>
    <w:uiPriority w:val="0"/>
    <w:pPr>
      <w:widowControl/>
      <w:autoSpaceDE w:val="0"/>
      <w:autoSpaceDN w:val="0"/>
      <w:spacing w:before="0" w:beforeLines="0" w:after="83" w:line="240" w:lineRule="auto"/>
      <w:jc w:val="left"/>
    </w:pPr>
    <w:rPr>
      <w:rFonts w:ascii="宋体" w:hAnsi="Calibri" w:cs="宋体"/>
      <w:kern w:val="0"/>
      <w:sz w:val="24"/>
    </w:rPr>
  </w:style>
  <w:style w:type="paragraph" w:customStyle="1" w:styleId="2494">
    <w:name w:val="CM24"/>
    <w:basedOn w:val="1"/>
    <w:next w:val="1"/>
    <w:qFormat/>
    <w:uiPriority w:val="0"/>
    <w:pPr>
      <w:widowControl/>
      <w:autoSpaceDE w:val="0"/>
      <w:autoSpaceDN w:val="0"/>
      <w:spacing w:before="0" w:beforeLines="0" w:after="1360" w:line="240" w:lineRule="auto"/>
      <w:jc w:val="left"/>
    </w:pPr>
    <w:rPr>
      <w:rFonts w:ascii="宋体" w:hAnsi="Calibri" w:cs="宋体"/>
      <w:kern w:val="0"/>
      <w:sz w:val="24"/>
    </w:rPr>
  </w:style>
  <w:style w:type="paragraph" w:customStyle="1" w:styleId="2495">
    <w:name w:val="CM27"/>
    <w:basedOn w:val="34"/>
    <w:next w:val="34"/>
    <w:qFormat/>
    <w:uiPriority w:val="0"/>
    <w:pPr>
      <w:spacing w:after="355"/>
    </w:pPr>
    <w:rPr>
      <w:rFonts w:hAnsi="Calibri" w:cs="Times New Roman"/>
      <w:sz w:val="24"/>
      <w:szCs w:val="24"/>
    </w:rPr>
  </w:style>
  <w:style w:type="paragraph" w:customStyle="1" w:styleId="2496">
    <w:name w:val="CM5"/>
    <w:basedOn w:val="34"/>
    <w:next w:val="34"/>
    <w:qFormat/>
    <w:uiPriority w:val="0"/>
    <w:pPr>
      <w:spacing w:line="391" w:lineRule="atLeast"/>
    </w:pPr>
    <w:rPr>
      <w:rFonts w:hAnsi="Calibri" w:cs="Times New Roman"/>
      <w:sz w:val="24"/>
      <w:szCs w:val="24"/>
    </w:rPr>
  </w:style>
  <w:style w:type="paragraph" w:customStyle="1" w:styleId="2497">
    <w:name w:val="CM28"/>
    <w:basedOn w:val="34"/>
    <w:next w:val="34"/>
    <w:qFormat/>
    <w:uiPriority w:val="0"/>
    <w:pPr>
      <w:spacing w:after="188"/>
    </w:pPr>
    <w:rPr>
      <w:rFonts w:hAnsi="Calibri" w:cs="Times New Roman"/>
      <w:sz w:val="24"/>
      <w:szCs w:val="24"/>
    </w:rPr>
  </w:style>
  <w:style w:type="paragraph" w:customStyle="1" w:styleId="2498">
    <w:name w:val="Char Char2 Char Char Char Char Char Char Char Char Char Char Char Char Char Char Char Char Char Char1 Char Char Char Char Char Char Char Char1"/>
    <w:basedOn w:val="1"/>
    <w:qFormat/>
    <w:uiPriority w:val="0"/>
    <w:pPr>
      <w:widowControl/>
      <w:spacing w:before="0" w:beforeLines="0" w:line="240" w:lineRule="auto"/>
      <w:jc w:val="left"/>
    </w:pPr>
    <w:rPr>
      <w:rFonts w:cs="宋体"/>
      <w:kern w:val="0"/>
    </w:rPr>
  </w:style>
  <w:style w:type="character" w:customStyle="1" w:styleId="2499">
    <w:name w:val="wenzi02neirong"/>
    <w:qFormat/>
    <w:uiPriority w:val="0"/>
  </w:style>
  <w:style w:type="paragraph" w:customStyle="1" w:styleId="2500">
    <w:name w:val="报告正文 小四 段前: 6 磅 段后: 6 磅 行距: 多倍行距 1.7 字行"/>
    <w:basedOn w:val="1"/>
    <w:link w:val="2501"/>
    <w:qFormat/>
    <w:uiPriority w:val="0"/>
    <w:pPr>
      <w:widowControl/>
      <w:spacing w:before="72" w:beforeLines="30" w:after="72" w:afterLines="30" w:line="408" w:lineRule="auto"/>
      <w:ind w:firstLine="480" w:firstLineChars="200"/>
      <w:jc w:val="left"/>
    </w:pPr>
    <w:rPr>
      <w:rFonts w:cs="宋体"/>
      <w:kern w:val="0"/>
      <w:sz w:val="24"/>
    </w:rPr>
  </w:style>
  <w:style w:type="character" w:customStyle="1" w:styleId="2501">
    <w:name w:val="报告正文 小四 段前: 6 磅 段后: 6 磅 行距: 多倍行距 1.7 字行 Char"/>
    <w:link w:val="2500"/>
    <w:qFormat/>
    <w:uiPriority w:val="0"/>
    <w:rPr>
      <w:rFonts w:cs="宋体"/>
      <w:sz w:val="24"/>
      <w:szCs w:val="24"/>
    </w:rPr>
  </w:style>
  <w:style w:type="paragraph" w:customStyle="1" w:styleId="2502">
    <w:name w:val="我的正文+3"/>
    <w:basedOn w:val="34"/>
    <w:next w:val="34"/>
    <w:qFormat/>
    <w:uiPriority w:val="0"/>
    <w:rPr>
      <w:rFonts w:cs="Times New Roman"/>
      <w:sz w:val="24"/>
      <w:szCs w:val="24"/>
    </w:rPr>
  </w:style>
  <w:style w:type="paragraph" w:customStyle="1" w:styleId="2503">
    <w:name w:val="我的正文+4"/>
    <w:basedOn w:val="34"/>
    <w:next w:val="34"/>
    <w:qFormat/>
    <w:uiPriority w:val="0"/>
    <w:rPr>
      <w:rFonts w:cs="Times New Roman"/>
      <w:sz w:val="24"/>
      <w:szCs w:val="24"/>
    </w:rPr>
  </w:style>
  <w:style w:type="character" w:customStyle="1" w:styleId="2504">
    <w:name w:val="正文段落 Char"/>
    <w:link w:val="1631"/>
    <w:qFormat/>
    <w:uiPriority w:val="0"/>
    <w:rPr>
      <w:rFonts w:ascii="宋体" w:hAnsi="宋体" w:cs="宋体"/>
      <w:spacing w:val="20"/>
      <w:sz w:val="28"/>
    </w:rPr>
  </w:style>
  <w:style w:type="character" w:customStyle="1" w:styleId="2505">
    <w:name w:val="强调内容 Char"/>
    <w:link w:val="2447"/>
    <w:qFormat/>
    <w:uiPriority w:val="0"/>
    <w:rPr>
      <w:rFonts w:cs="宋体"/>
      <w:b/>
      <w:sz w:val="24"/>
    </w:rPr>
  </w:style>
  <w:style w:type="character" w:customStyle="1" w:styleId="2506">
    <w:name w:val="Char Char28"/>
    <w:qFormat/>
    <w:uiPriority w:val="0"/>
    <w:rPr>
      <w:rFonts w:ascii="Arial" w:hAnsi="Arial" w:eastAsia="黑体"/>
      <w:b/>
      <w:bCs/>
      <w:kern w:val="2"/>
      <w:sz w:val="28"/>
      <w:szCs w:val="28"/>
      <w:lang w:val="en-US" w:eastAsia="zh-CN" w:bidi="ar-SA"/>
    </w:rPr>
  </w:style>
  <w:style w:type="paragraph" w:customStyle="1" w:styleId="2507">
    <w:name w:val="样式 标题 2标题2 + 居中"/>
    <w:basedOn w:val="4"/>
    <w:qFormat/>
    <w:uiPriority w:val="0"/>
    <w:pPr>
      <w:widowControl/>
      <w:tabs>
        <w:tab w:val="left" w:pos="1440"/>
      </w:tabs>
      <w:spacing w:before="480" w:after="120" w:line="400" w:lineRule="exact"/>
      <w:ind w:left="1440" w:hanging="360"/>
      <w:jc w:val="center"/>
    </w:pPr>
    <w:rPr>
      <w:rFonts w:cs="宋体"/>
      <w:b w:val="0"/>
      <w:color w:val="auto"/>
      <w:kern w:val="0"/>
      <w:sz w:val="30"/>
      <w:lang w:val="zh-CN"/>
    </w:rPr>
  </w:style>
  <w:style w:type="paragraph" w:customStyle="1" w:styleId="2508">
    <w:name w:val="样式 标题 11标题11.标题 1H1Chapter Headline章chap + 左侧:  0 厘米 首行缩..."/>
    <w:basedOn w:val="3"/>
    <w:qFormat/>
    <w:uiPriority w:val="0"/>
    <w:pPr>
      <w:widowControl/>
      <w:tabs>
        <w:tab w:val="left" w:pos="720"/>
        <w:tab w:val="clear" w:pos="360"/>
      </w:tabs>
      <w:spacing w:before="480" w:after="360" w:line="400" w:lineRule="exact"/>
      <w:ind w:left="720" w:hanging="360"/>
      <w:jc w:val="center"/>
    </w:pPr>
    <w:rPr>
      <w:rFonts w:eastAsia="黑体" w:cs="宋体"/>
      <w:b w:val="0"/>
      <w:bCs w:val="0"/>
      <w:color w:val="auto"/>
      <w:kern w:val="44"/>
      <w:sz w:val="32"/>
    </w:rPr>
  </w:style>
  <w:style w:type="paragraph" w:customStyle="1" w:styleId="2509">
    <w:name w:val="样式 报告正文 + 首行缩进:  2 字符1"/>
    <w:basedOn w:val="222"/>
    <w:link w:val="2512"/>
    <w:qFormat/>
    <w:uiPriority w:val="0"/>
    <w:pPr>
      <w:spacing w:before="95" w:after="50" w:afterLines="50" w:line="360" w:lineRule="exact"/>
    </w:pPr>
    <w:rPr>
      <w:rFonts w:eastAsia="宋体" w:cs="宋体"/>
      <w:bCs w:val="0"/>
      <w:kern w:val="0"/>
      <w:szCs w:val="24"/>
      <w:lang w:val="zh-CN"/>
    </w:rPr>
  </w:style>
  <w:style w:type="paragraph" w:customStyle="1" w:styleId="2510">
    <w:name w:val="样式 样式1 + Times:"/>
    <w:basedOn w:val="168"/>
    <w:link w:val="2511"/>
    <w:qFormat/>
    <w:uiPriority w:val="0"/>
    <w:pPr>
      <w:widowControl/>
      <w:spacing w:before="81" w:line="360" w:lineRule="exact"/>
      <w:ind w:firstLine="200"/>
      <w:jc w:val="left"/>
      <w:textAlignment w:val="auto"/>
    </w:pPr>
    <w:rPr>
      <w:rFonts w:ascii="Times:" w:hAnsi="Times:" w:cs="宋体"/>
      <w:szCs w:val="24"/>
      <w:lang w:val="zh-CN"/>
    </w:rPr>
  </w:style>
  <w:style w:type="character" w:customStyle="1" w:styleId="2511">
    <w:name w:val="样式 样式1 + Times: Char"/>
    <w:link w:val="2510"/>
    <w:qFormat/>
    <w:uiPriority w:val="0"/>
    <w:rPr>
      <w:rFonts w:ascii="Times:" w:hAnsi="Times:" w:cs="宋体"/>
      <w:sz w:val="24"/>
      <w:szCs w:val="24"/>
      <w:lang w:val="zh-CN"/>
    </w:rPr>
  </w:style>
  <w:style w:type="character" w:customStyle="1" w:styleId="2512">
    <w:name w:val="样式 报告正文 + 首行缩进:  2 字符1 Char"/>
    <w:link w:val="2509"/>
    <w:qFormat/>
    <w:uiPriority w:val="0"/>
    <w:rPr>
      <w:rFonts w:cs="宋体"/>
      <w:sz w:val="24"/>
      <w:szCs w:val="24"/>
      <w:lang w:val="zh-CN"/>
    </w:rPr>
  </w:style>
  <w:style w:type="paragraph" w:customStyle="1" w:styleId="2513">
    <w:name w:val="我的正文+12"/>
    <w:basedOn w:val="34"/>
    <w:next w:val="34"/>
    <w:uiPriority w:val="0"/>
    <w:rPr>
      <w:rFonts w:cs="Times New Roman"/>
      <w:sz w:val="24"/>
      <w:szCs w:val="24"/>
    </w:rPr>
  </w:style>
  <w:style w:type="paragraph" w:customStyle="1" w:styleId="2514">
    <w:name w:val="我的正文+13"/>
    <w:basedOn w:val="34"/>
    <w:next w:val="34"/>
    <w:qFormat/>
    <w:uiPriority w:val="0"/>
    <w:rPr>
      <w:rFonts w:cs="Times New Roman"/>
      <w:sz w:val="24"/>
      <w:szCs w:val="24"/>
    </w:rPr>
  </w:style>
  <w:style w:type="paragraph" w:customStyle="1" w:styleId="2515">
    <w:name w:val="Pa1"/>
    <w:basedOn w:val="34"/>
    <w:next w:val="34"/>
    <w:qFormat/>
    <w:uiPriority w:val="0"/>
    <w:pPr>
      <w:spacing w:line="241" w:lineRule="atLeast"/>
    </w:pPr>
    <w:rPr>
      <w:rFonts w:ascii="微软雅黑" w:eastAsia="微软雅黑" w:cs="Times New Roman"/>
      <w:sz w:val="24"/>
      <w:szCs w:val="24"/>
    </w:rPr>
  </w:style>
  <w:style w:type="paragraph" w:customStyle="1" w:styleId="2516">
    <w:name w:val="样式 黑色 首行缩进:  2 字符"/>
    <w:basedOn w:val="1"/>
    <w:qFormat/>
    <w:uiPriority w:val="0"/>
    <w:pPr>
      <w:widowControl/>
      <w:spacing w:before="0" w:beforeLines="0" w:line="360" w:lineRule="auto"/>
      <w:ind w:firstLine="480" w:firstLineChars="200"/>
      <w:jc w:val="left"/>
    </w:pPr>
    <w:rPr>
      <w:rFonts w:cs="宋体"/>
      <w:color w:val="000000"/>
      <w:kern w:val="0"/>
      <w:sz w:val="28"/>
      <w:szCs w:val="20"/>
    </w:rPr>
  </w:style>
  <w:style w:type="character" w:customStyle="1" w:styleId="2517">
    <w:name w:val="ca-01"/>
    <w:qFormat/>
    <w:uiPriority w:val="0"/>
    <w:rPr>
      <w:rFonts w:hint="eastAsia" w:ascii="仿宋_GB2312" w:hAnsi="宋体" w:eastAsia="仿宋_GB2312"/>
      <w:sz w:val="32"/>
      <w:szCs w:val="32"/>
      <w:lang w:val="en-US" w:eastAsia="zh-CN" w:bidi="ar-SA"/>
    </w:rPr>
  </w:style>
  <w:style w:type="character" w:customStyle="1" w:styleId="2518">
    <w:name w:val="f14"/>
    <w:qFormat/>
    <w:uiPriority w:val="0"/>
  </w:style>
  <w:style w:type="character" w:customStyle="1" w:styleId="2519">
    <w:name w:val="设计标题3"/>
    <w:qFormat/>
    <w:uiPriority w:val="0"/>
    <w:rPr>
      <w:rFonts w:ascii="黑体" w:eastAsia="黑体"/>
      <w:b/>
    </w:rPr>
  </w:style>
  <w:style w:type="character" w:customStyle="1" w:styleId="2520">
    <w:name w:val="Char Char30"/>
    <w:qFormat/>
    <w:uiPriority w:val="0"/>
    <w:rPr>
      <w:rFonts w:ascii="Times New Roman" w:hAnsi="Times New Roman" w:eastAsia="楷体_GB2312" w:cs="Times New Roman"/>
      <w:b/>
      <w:bCs/>
      <w:sz w:val="24"/>
      <w:szCs w:val="24"/>
    </w:rPr>
  </w:style>
  <w:style w:type="character" w:customStyle="1" w:styleId="2521">
    <w:name w:val="Char Char29"/>
    <w:qFormat/>
    <w:uiPriority w:val="0"/>
    <w:rPr>
      <w:rFonts w:ascii="Arial" w:hAnsi="Arial" w:eastAsia="黑体" w:cs="Times New Roman"/>
      <w:sz w:val="24"/>
      <w:szCs w:val="24"/>
    </w:rPr>
  </w:style>
  <w:style w:type="character" w:customStyle="1" w:styleId="2522">
    <w:name w:val="Char Char26"/>
    <w:qFormat/>
    <w:uiPriority w:val="0"/>
    <w:rPr>
      <w:rFonts w:ascii="Arial" w:hAnsi="Arial" w:eastAsia="黑体" w:cs="Times New Roman"/>
      <w:sz w:val="24"/>
      <w:szCs w:val="21"/>
    </w:rPr>
  </w:style>
  <w:style w:type="character" w:customStyle="1" w:styleId="2523">
    <w:name w:val="正文文字( 首段缩进两字） Char Char"/>
    <w:qFormat/>
    <w:uiPriority w:val="0"/>
    <w:rPr>
      <w:rFonts w:ascii="仿宋_GB2312" w:hAnsi="Times New Roman" w:eastAsia="仿宋_GB2312" w:cs="Times New Roman"/>
      <w:sz w:val="24"/>
      <w:szCs w:val="20"/>
    </w:rPr>
  </w:style>
  <w:style w:type="character" w:customStyle="1" w:styleId="2524">
    <w:name w:val="Char Char33"/>
    <w:qFormat/>
    <w:uiPriority w:val="0"/>
    <w:rPr>
      <w:rFonts w:ascii="Arial" w:hAnsi="Arial" w:eastAsia="黑体" w:cs="Times New Roman"/>
      <w:b/>
      <w:bCs/>
      <w:sz w:val="28"/>
      <w:szCs w:val="28"/>
    </w:rPr>
  </w:style>
  <w:style w:type="character" w:customStyle="1" w:styleId="2525">
    <w:name w:val="Char Char32"/>
    <w:qFormat/>
    <w:uiPriority w:val="0"/>
    <w:rPr>
      <w:rFonts w:ascii="Times New Roman" w:hAnsi="Times New Roman" w:eastAsia="宋体" w:cs="Times New Roman"/>
      <w:b/>
      <w:bCs/>
      <w:sz w:val="28"/>
      <w:szCs w:val="28"/>
    </w:rPr>
  </w:style>
  <w:style w:type="paragraph" w:customStyle="1" w:styleId="2526">
    <w:name w:val="Pa14"/>
    <w:basedOn w:val="34"/>
    <w:next w:val="34"/>
    <w:qFormat/>
    <w:uiPriority w:val="0"/>
    <w:pPr>
      <w:spacing w:line="161" w:lineRule="atLeast"/>
    </w:pPr>
    <w:rPr>
      <w:rFonts w:ascii="微软雅黑" w:eastAsia="微软雅黑" w:cs="Times New Roman"/>
      <w:sz w:val="24"/>
      <w:szCs w:val="24"/>
    </w:rPr>
  </w:style>
  <w:style w:type="paragraph" w:customStyle="1" w:styleId="2527">
    <w:name w:val="第七章表头 Char Char Char"/>
    <w:basedOn w:val="20"/>
    <w:next w:val="1"/>
    <w:qFormat/>
    <w:uiPriority w:val="0"/>
    <w:pPr>
      <w:widowControl/>
      <w:numPr>
        <w:ilvl w:val="0"/>
        <w:numId w:val="0"/>
      </w:numPr>
      <w:tabs>
        <w:tab w:val="left" w:pos="851"/>
        <w:tab w:val="clear" w:pos="360"/>
      </w:tabs>
      <w:spacing w:before="0" w:beforeLines="0" w:line="240" w:lineRule="auto"/>
      <w:ind w:left="340"/>
      <w:jc w:val="left"/>
    </w:pPr>
    <w:rPr>
      <w:rFonts w:eastAsia="黑体" w:cs="宋体"/>
      <w:kern w:val="0"/>
      <w:sz w:val="24"/>
    </w:rPr>
  </w:style>
  <w:style w:type="character" w:customStyle="1" w:styleId="2528">
    <w:name w:val="标题 1.1 Char Char2"/>
    <w:qFormat/>
    <w:uiPriority w:val="0"/>
    <w:rPr>
      <w:rFonts w:ascii="黑体" w:hAnsi="黑体" w:eastAsia="黑体"/>
      <w:b/>
      <w:bCs/>
      <w:kern w:val="2"/>
      <w:sz w:val="32"/>
      <w:szCs w:val="32"/>
      <w:lang w:val="en-US" w:eastAsia="zh-CN" w:bidi="ar-SA"/>
    </w:rPr>
  </w:style>
  <w:style w:type="character" w:customStyle="1" w:styleId="2529">
    <w:name w:val="about1"/>
    <w:qFormat/>
    <w:uiPriority w:val="0"/>
  </w:style>
  <w:style w:type="paragraph" w:customStyle="1" w:styleId="2530">
    <w:name w:val="texte"/>
    <w:basedOn w:val="1"/>
    <w:qFormat/>
    <w:uiPriority w:val="99"/>
    <w:pPr>
      <w:widowControl/>
      <w:spacing w:before="100" w:beforeLines="0" w:beforeAutospacing="1" w:after="100" w:afterAutospacing="1" w:line="360" w:lineRule="auto"/>
      <w:ind w:firstLine="510" w:firstLineChars="200"/>
      <w:jc w:val="left"/>
    </w:pPr>
    <w:rPr>
      <w:rFonts w:cs="宋体"/>
      <w:kern w:val="0"/>
      <w:sz w:val="24"/>
      <w:szCs w:val="22"/>
      <w:lang w:val="fr-FR"/>
    </w:rPr>
  </w:style>
  <w:style w:type="paragraph" w:customStyle="1" w:styleId="2531">
    <w:name w:val="第二章表"/>
    <w:basedOn w:val="8"/>
    <w:qFormat/>
    <w:uiPriority w:val="0"/>
    <w:pPr>
      <w:keepNext w:val="0"/>
      <w:keepLines w:val="0"/>
      <w:widowControl/>
      <w:numPr>
        <w:ilvl w:val="0"/>
        <w:numId w:val="47"/>
      </w:numPr>
      <w:tabs>
        <w:tab w:val="clear" w:pos="1008"/>
      </w:tabs>
      <w:spacing w:before="0" w:after="0" w:line="480" w:lineRule="exact"/>
      <w:ind w:left="0" w:firstLine="0"/>
      <w:jc w:val="center"/>
      <w:outlineLvl w:val="9"/>
    </w:pPr>
    <w:rPr>
      <w:rFonts w:ascii="黑体" w:hAnsi="Times New Roman" w:eastAsia="黑体" w:cs="宋体"/>
      <w:b w:val="0"/>
      <w:bCs w:val="0"/>
      <w:kern w:val="0"/>
      <w:sz w:val="24"/>
      <w:szCs w:val="21"/>
    </w:rPr>
  </w:style>
  <w:style w:type="paragraph" w:customStyle="1" w:styleId="2532">
    <w:name w:val="样式 楷体_GB2312 小四 行距: 1.5 倍行距 首行缩进:  2 字符"/>
    <w:basedOn w:val="1"/>
    <w:qFormat/>
    <w:uiPriority w:val="0"/>
    <w:pPr>
      <w:widowControl/>
      <w:spacing w:before="0" w:beforeLines="0" w:line="360" w:lineRule="auto"/>
      <w:ind w:firstLine="560" w:firstLineChars="200"/>
      <w:jc w:val="left"/>
    </w:pPr>
    <w:rPr>
      <w:rFonts w:ascii="楷体_GB2312" w:eastAsia="楷体_GB2312" w:cs="宋体"/>
      <w:color w:val="FF0000"/>
      <w:kern w:val="0"/>
      <w:sz w:val="28"/>
      <w:szCs w:val="28"/>
    </w:rPr>
  </w:style>
  <w:style w:type="paragraph" w:customStyle="1" w:styleId="2533">
    <w:name w:val="样式 (符号) 宋体 黑色 居中"/>
    <w:basedOn w:val="1"/>
    <w:link w:val="2534"/>
    <w:qFormat/>
    <w:uiPriority w:val="0"/>
    <w:pPr>
      <w:widowControl/>
      <w:spacing w:before="50" w:beforeLines="50" w:after="50" w:afterLines="50" w:line="300" w:lineRule="auto"/>
      <w:ind w:firstLine="200" w:firstLineChars="200"/>
      <w:jc w:val="left"/>
    </w:pPr>
    <w:rPr>
      <w:rFonts w:hAnsi="宋体" w:eastAsia="Times New Roman" w:cs="宋体"/>
      <w:color w:val="000000"/>
      <w:kern w:val="0"/>
      <w:sz w:val="24"/>
      <w:szCs w:val="20"/>
      <w:lang w:val="zh-CN"/>
    </w:rPr>
  </w:style>
  <w:style w:type="character" w:customStyle="1" w:styleId="2534">
    <w:name w:val="样式 (符号) 宋体 黑色 居中 Char"/>
    <w:link w:val="2533"/>
    <w:qFormat/>
    <w:uiPriority w:val="0"/>
    <w:rPr>
      <w:rFonts w:hAnsi="宋体" w:eastAsia="Times New Roman" w:cs="宋体"/>
      <w:color w:val="000000"/>
      <w:sz w:val="24"/>
      <w:lang w:val="zh-CN"/>
    </w:rPr>
  </w:style>
  <w:style w:type="paragraph" w:customStyle="1" w:styleId="2535">
    <w:name w:val="样式 大纲正文 + (符号) 宋体"/>
    <w:basedOn w:val="459"/>
    <w:next w:val="459"/>
    <w:qFormat/>
    <w:uiPriority w:val="0"/>
    <w:pPr>
      <w:adjustRightInd/>
      <w:snapToGrid/>
      <w:spacing w:before="156" w:beforeLines="50"/>
      <w:jc w:val="left"/>
    </w:pPr>
    <w:rPr>
      <w:color w:val="000000"/>
      <w:kern w:val="0"/>
    </w:rPr>
  </w:style>
  <w:style w:type="paragraph" w:customStyle="1" w:styleId="2536">
    <w:name w:val="样式 大纲正文 + 宋体"/>
    <w:basedOn w:val="459"/>
    <w:qFormat/>
    <w:uiPriority w:val="0"/>
    <w:pPr>
      <w:adjustRightInd/>
      <w:snapToGrid/>
      <w:spacing w:before="50" w:beforeLines="50" w:after="50"/>
      <w:ind w:firstLine="200"/>
      <w:jc w:val="left"/>
    </w:pPr>
    <w:rPr>
      <w:rFonts w:ascii="宋体" w:hAnsi="宋体"/>
      <w:color w:val="000000"/>
      <w:kern w:val="0"/>
    </w:rPr>
  </w:style>
  <w:style w:type="character" w:customStyle="1" w:styleId="2537">
    <w:name w:val="样式 黑体 小四 居中 Char"/>
    <w:qFormat/>
    <w:uiPriority w:val="0"/>
    <w:rPr>
      <w:rFonts w:ascii="黑体" w:hAnsi="黑体" w:eastAsia="黑体" w:cs="宋体"/>
      <w:kern w:val="2"/>
      <w:sz w:val="24"/>
      <w:lang w:val="en-US" w:eastAsia="zh-CN" w:bidi="ar-SA"/>
    </w:rPr>
  </w:style>
  <w:style w:type="character" w:customStyle="1" w:styleId="2538">
    <w:name w:val="样式 正文缩进报告书正文 + (西文) 方正书宋简体 Char"/>
    <w:qFormat/>
    <w:uiPriority w:val="0"/>
    <w:rPr>
      <w:rFonts w:ascii="方正书宋简体" w:hAnsi="方正书宋简体" w:eastAsia="宋体"/>
      <w:b/>
      <w:color w:val="000000"/>
      <w:kern w:val="2"/>
      <w:sz w:val="24"/>
      <w:szCs w:val="24"/>
      <w:lang w:val="en-US" w:eastAsia="zh-CN" w:bidi="ar-SA"/>
    </w:rPr>
  </w:style>
  <w:style w:type="paragraph" w:customStyle="1" w:styleId="2539">
    <w:name w:val="强调标题"/>
    <w:basedOn w:val="222"/>
    <w:next w:val="222"/>
    <w:qFormat/>
    <w:uiPriority w:val="0"/>
    <w:pPr>
      <w:numPr>
        <w:ilvl w:val="0"/>
        <w:numId w:val="48"/>
      </w:numPr>
      <w:spacing w:line="440" w:lineRule="exact"/>
    </w:pPr>
    <w:rPr>
      <w:rFonts w:eastAsia="宋体" w:cs="宋体"/>
      <w:bCs w:val="0"/>
      <w:kern w:val="0"/>
      <w:szCs w:val="20"/>
      <w:lang w:val="zh-CN"/>
    </w:rPr>
  </w:style>
  <w:style w:type="paragraph" w:customStyle="1" w:styleId="2540">
    <w:name w:val="T表格"/>
    <w:qFormat/>
    <w:uiPriority w:val="0"/>
    <w:pPr>
      <w:adjustRightInd w:val="0"/>
      <w:snapToGrid w:val="0"/>
      <w:spacing w:line="360" w:lineRule="auto"/>
      <w:jc w:val="center"/>
    </w:pPr>
    <w:rPr>
      <w:rFonts w:ascii="Times New Roman" w:hAnsi="Times New Roman" w:eastAsia="宋体" w:cs="Times New Roman"/>
      <w:color w:val="000000"/>
      <w:sz w:val="21"/>
      <w:lang w:val="en-US" w:eastAsia="zh-CN" w:bidi="ar-SA"/>
    </w:rPr>
  </w:style>
  <w:style w:type="paragraph" w:customStyle="1" w:styleId="2541">
    <w:name w:val="第五章表"/>
    <w:basedOn w:val="2441"/>
    <w:qFormat/>
    <w:uiPriority w:val="0"/>
    <w:pPr>
      <w:numPr>
        <w:ilvl w:val="0"/>
        <w:numId w:val="49"/>
      </w:numPr>
      <w:spacing w:line="480" w:lineRule="exact"/>
    </w:pPr>
    <w:rPr>
      <w:rFonts w:hAnsi="黑体"/>
      <w:bCs/>
      <w:color w:val="000000"/>
      <w:szCs w:val="20"/>
    </w:rPr>
  </w:style>
  <w:style w:type="paragraph" w:customStyle="1" w:styleId="2542">
    <w:name w:val="wuj2"/>
    <w:basedOn w:val="1"/>
    <w:qFormat/>
    <w:uiPriority w:val="0"/>
    <w:pPr>
      <w:widowControl/>
      <w:spacing w:before="0" w:beforeLines="0" w:line="360" w:lineRule="auto"/>
      <w:ind w:firstLine="521" w:firstLineChars="200"/>
      <w:jc w:val="left"/>
    </w:pPr>
    <w:rPr>
      <w:rFonts w:hAnsi="宋体" w:cs="宋体"/>
      <w:b/>
      <w:kern w:val="0"/>
      <w:sz w:val="24"/>
    </w:rPr>
  </w:style>
  <w:style w:type="paragraph" w:customStyle="1" w:styleId="2543">
    <w:name w:val="T正文"/>
    <w:qFormat/>
    <w:uiPriority w:val="0"/>
    <w:pPr>
      <w:widowControl w:val="0"/>
      <w:adjustRightInd w:val="0"/>
      <w:snapToGrid w:val="0"/>
      <w:spacing w:line="360" w:lineRule="auto"/>
      <w:ind w:firstLine="200" w:firstLineChars="200"/>
      <w:jc w:val="both"/>
    </w:pPr>
    <w:rPr>
      <w:rFonts w:ascii="Times New Roman" w:hAnsi="Times New Roman" w:eastAsia="仿宋_GB2312" w:cs="Times New Roman"/>
      <w:sz w:val="28"/>
      <w:lang w:val="en-US" w:eastAsia="zh-CN" w:bidi="ar-SA"/>
    </w:rPr>
  </w:style>
  <w:style w:type="character" w:customStyle="1" w:styleId="2544">
    <w:name w:val="第一章表头 Char"/>
    <w:link w:val="2485"/>
    <w:qFormat/>
    <w:uiPriority w:val="0"/>
    <w:rPr>
      <w:rFonts w:ascii="黑体" w:eastAsia="黑体" w:cs="宋体"/>
      <w:color w:val="000000"/>
      <w:sz w:val="24"/>
      <w:szCs w:val="24"/>
      <w:lang w:val="zh-CN"/>
    </w:rPr>
  </w:style>
  <w:style w:type="paragraph" w:customStyle="1" w:styleId="2545">
    <w:name w:val="第一章表"/>
    <w:basedOn w:val="1"/>
    <w:qFormat/>
    <w:uiPriority w:val="0"/>
    <w:pPr>
      <w:widowControl/>
      <w:numPr>
        <w:ilvl w:val="0"/>
        <w:numId w:val="50"/>
      </w:numPr>
      <w:spacing w:before="0" w:beforeLines="0" w:line="400" w:lineRule="exact"/>
      <w:jc w:val="center"/>
    </w:pPr>
    <w:rPr>
      <w:rFonts w:ascii="黑体" w:hAnsi="黑体" w:eastAsia="黑体" w:cs="宋体"/>
      <w:kern w:val="0"/>
      <w:sz w:val="24"/>
    </w:rPr>
  </w:style>
  <w:style w:type="paragraph" w:customStyle="1" w:styleId="2546">
    <w:name w:val="第七章表头44"/>
    <w:basedOn w:val="2485"/>
    <w:link w:val="2547"/>
    <w:qFormat/>
    <w:uiPriority w:val="0"/>
    <w:pPr>
      <w:numPr>
        <w:ilvl w:val="0"/>
        <w:numId w:val="51"/>
      </w:numPr>
      <w:spacing w:after="0" w:afterLines="0" w:line="440" w:lineRule="exact"/>
    </w:pPr>
  </w:style>
  <w:style w:type="character" w:customStyle="1" w:styleId="2547">
    <w:name w:val="第七章表头44 Char"/>
    <w:link w:val="2546"/>
    <w:qFormat/>
    <w:uiPriority w:val="0"/>
    <w:rPr>
      <w:rFonts w:ascii="黑体" w:eastAsia="黑体" w:cs="宋体"/>
      <w:color w:val="000000"/>
      <w:sz w:val="24"/>
      <w:szCs w:val="24"/>
      <w:lang w:val="zh-CN"/>
    </w:rPr>
  </w:style>
  <w:style w:type="paragraph" w:customStyle="1" w:styleId="2548">
    <w:name w:val="第八章表头"/>
    <w:basedOn w:val="222"/>
    <w:qFormat/>
    <w:uiPriority w:val="0"/>
    <w:pPr>
      <w:numPr>
        <w:ilvl w:val="0"/>
        <w:numId w:val="52"/>
      </w:numPr>
      <w:spacing w:line="440" w:lineRule="exact"/>
      <w:ind w:firstLine="0" w:firstLineChars="0"/>
      <w:jc w:val="center"/>
    </w:pPr>
    <w:rPr>
      <w:rFonts w:eastAsia="黑体" w:cs="宋体"/>
      <w:bCs w:val="0"/>
      <w:kern w:val="0"/>
      <w:szCs w:val="20"/>
      <w:lang w:val="zh-CN"/>
    </w:rPr>
  </w:style>
  <w:style w:type="paragraph" w:customStyle="1" w:styleId="2549">
    <w:name w:val="第九章表"/>
    <w:basedOn w:val="1"/>
    <w:qFormat/>
    <w:uiPriority w:val="0"/>
    <w:pPr>
      <w:widowControl/>
      <w:numPr>
        <w:ilvl w:val="0"/>
        <w:numId w:val="53"/>
      </w:numPr>
      <w:spacing w:before="0" w:beforeLines="0" w:line="480" w:lineRule="exact"/>
      <w:jc w:val="center"/>
    </w:pPr>
    <w:rPr>
      <w:rFonts w:eastAsia="黑体" w:cs="宋体"/>
      <w:kern w:val="0"/>
      <w:sz w:val="24"/>
      <w:szCs w:val="21"/>
    </w:rPr>
  </w:style>
  <w:style w:type="paragraph" w:customStyle="1" w:styleId="2550">
    <w:name w:val="第十章表头"/>
    <w:basedOn w:val="222"/>
    <w:qFormat/>
    <w:uiPriority w:val="0"/>
    <w:pPr>
      <w:numPr>
        <w:ilvl w:val="0"/>
        <w:numId w:val="54"/>
      </w:numPr>
      <w:spacing w:line="440" w:lineRule="exact"/>
      <w:ind w:firstLine="0" w:firstLineChars="0"/>
      <w:jc w:val="center"/>
    </w:pPr>
    <w:rPr>
      <w:rFonts w:eastAsia="黑体" w:cs="宋体"/>
      <w:bCs w:val="0"/>
      <w:kern w:val="0"/>
      <w:szCs w:val="20"/>
      <w:lang w:val="zh-CN"/>
    </w:rPr>
  </w:style>
  <w:style w:type="paragraph" w:customStyle="1" w:styleId="2551">
    <w:name w:val="报告表格标题"/>
    <w:basedOn w:val="1"/>
    <w:next w:val="1"/>
    <w:qFormat/>
    <w:uiPriority w:val="0"/>
    <w:pPr>
      <w:widowControl/>
      <w:spacing w:before="50" w:beforeLines="50" w:after="50" w:afterLines="50" w:line="480" w:lineRule="exact"/>
      <w:jc w:val="center"/>
    </w:pPr>
    <w:rPr>
      <w:rFonts w:ascii="黑体" w:hAnsi="宋体" w:eastAsia="黑体" w:cs="宋体"/>
      <w:kern w:val="0"/>
      <w:sz w:val="24"/>
      <w:szCs w:val="20"/>
    </w:rPr>
  </w:style>
  <w:style w:type="paragraph" w:customStyle="1" w:styleId="2552">
    <w:name w:val="默认段落字体 Para Char Char Char1 Char Char Char Char Char Char Char Char Char Char"/>
    <w:basedOn w:val="1"/>
    <w:qFormat/>
    <w:uiPriority w:val="0"/>
    <w:pPr>
      <w:widowControl/>
      <w:spacing w:before="0" w:beforeLines="0" w:line="240" w:lineRule="auto"/>
      <w:jc w:val="left"/>
    </w:pPr>
    <w:rPr>
      <w:rFonts w:cs="宋体"/>
      <w:kern w:val="0"/>
      <w:sz w:val="24"/>
    </w:rPr>
  </w:style>
  <w:style w:type="paragraph" w:customStyle="1" w:styleId="2553">
    <w:name w:val="第七章表标题"/>
    <w:basedOn w:val="1"/>
    <w:next w:val="1"/>
    <w:qFormat/>
    <w:uiPriority w:val="0"/>
    <w:pPr>
      <w:widowControl/>
      <w:tabs>
        <w:tab w:val="left" w:pos="851"/>
        <w:tab w:val="left" w:pos="1141"/>
        <w:tab w:val="left" w:pos="4335"/>
      </w:tabs>
      <w:spacing w:before="0" w:beforeLines="0"/>
      <w:jc w:val="center"/>
    </w:pPr>
    <w:rPr>
      <w:rFonts w:eastAsia="黑体" w:cs="宋体"/>
      <w:kern w:val="0"/>
      <w:sz w:val="24"/>
      <w:szCs w:val="20"/>
    </w:rPr>
  </w:style>
  <w:style w:type="paragraph" w:customStyle="1" w:styleId="2554">
    <w:name w:val="Char Char Char Char Char Char Char7"/>
    <w:basedOn w:val="1"/>
    <w:qFormat/>
    <w:uiPriority w:val="0"/>
    <w:pPr>
      <w:widowControl/>
      <w:spacing w:before="0" w:beforeLines="0" w:line="360" w:lineRule="auto"/>
      <w:ind w:firstLine="530" w:firstLineChars="221"/>
      <w:jc w:val="left"/>
    </w:pPr>
    <w:rPr>
      <w:rFonts w:ascii="宋体" w:hAnsi="宋体" w:cs="宋体"/>
      <w:kern w:val="0"/>
      <w:sz w:val="24"/>
    </w:rPr>
  </w:style>
  <w:style w:type="paragraph" w:customStyle="1" w:styleId="2555">
    <w:name w:val="第九章图标头"/>
    <w:basedOn w:val="2450"/>
    <w:next w:val="1"/>
    <w:qFormat/>
    <w:uiPriority w:val="0"/>
    <w:pPr>
      <w:numPr>
        <w:numId w:val="55"/>
      </w:numPr>
      <w:ind w:firstLine="0"/>
    </w:pPr>
  </w:style>
  <w:style w:type="paragraph" w:customStyle="1" w:styleId="2556">
    <w:name w:val="第十三章表标头"/>
    <w:basedOn w:val="2473"/>
    <w:qFormat/>
    <w:uiPriority w:val="0"/>
    <w:pPr>
      <w:numPr>
        <w:ilvl w:val="0"/>
        <w:numId w:val="56"/>
      </w:numPr>
      <w:spacing w:before="163" w:after="156"/>
    </w:pPr>
  </w:style>
  <w:style w:type="paragraph" w:customStyle="1" w:styleId="2557">
    <w:name w:val="样式 标题4 + 宋体 小四"/>
    <w:basedOn w:val="329"/>
    <w:qFormat/>
    <w:uiPriority w:val="99"/>
    <w:pPr>
      <w:keepNext w:val="0"/>
      <w:keepLines w:val="0"/>
      <w:widowControl/>
      <w:numPr>
        <w:ilvl w:val="0"/>
        <w:numId w:val="0"/>
      </w:numPr>
      <w:adjustRightInd/>
      <w:snapToGrid/>
      <w:spacing w:before="0" w:after="0" w:line="360" w:lineRule="auto"/>
      <w:ind w:firstLine="360" w:firstLineChars="150"/>
      <w:jc w:val="left"/>
      <w:outlineLvl w:val="9"/>
    </w:pPr>
    <w:rPr>
      <w:rFonts w:ascii="宋体" w:hAnsi="宋体" w:cs="宋体"/>
      <w:b w:val="0"/>
      <w:kern w:val="0"/>
      <w:lang w:val="zh-CN"/>
    </w:rPr>
  </w:style>
  <w:style w:type="paragraph" w:customStyle="1" w:styleId="2558">
    <w:name w:val="项目编制单位"/>
    <w:basedOn w:val="1"/>
    <w:qFormat/>
    <w:uiPriority w:val="0"/>
    <w:pPr>
      <w:widowControl/>
      <w:overflowPunct w:val="0"/>
      <w:spacing w:before="120" w:beforeLines="0" w:line="240" w:lineRule="auto"/>
      <w:jc w:val="center"/>
    </w:pPr>
    <w:rPr>
      <w:rFonts w:ascii="Arial" w:hAnsi="Arial" w:eastAsia="黑体" w:cs="宋体"/>
      <w:spacing w:val="20"/>
      <w:kern w:val="0"/>
      <w:sz w:val="44"/>
      <w:szCs w:val="20"/>
    </w:rPr>
  </w:style>
  <w:style w:type="paragraph" w:customStyle="1" w:styleId="2559">
    <w:name w:val="列出段落4"/>
    <w:basedOn w:val="1"/>
    <w:qFormat/>
    <w:uiPriority w:val="0"/>
    <w:pPr>
      <w:widowControl/>
      <w:spacing w:before="0" w:beforeLines="0" w:line="240" w:lineRule="auto"/>
      <w:ind w:firstLine="200" w:firstLineChars="200"/>
      <w:jc w:val="left"/>
    </w:pPr>
    <w:rPr>
      <w:rFonts w:ascii="Arial" w:hAnsi="Arial" w:cs="宋体"/>
      <w:kern w:val="0"/>
      <w:sz w:val="24"/>
      <w:szCs w:val="20"/>
    </w:rPr>
  </w:style>
  <w:style w:type="character" w:customStyle="1" w:styleId="2560">
    <w:name w:val="表格内容 Char Char"/>
    <w:qFormat/>
    <w:uiPriority w:val="0"/>
    <w:rPr>
      <w:rFonts w:ascii="Arial" w:hAnsi="Arial" w:eastAsia="仿宋_GB2312"/>
      <w:sz w:val="24"/>
    </w:rPr>
  </w:style>
  <w:style w:type="paragraph" w:customStyle="1" w:styleId="2561">
    <w:name w:val="样式 文字 1"/>
    <w:basedOn w:val="1"/>
    <w:qFormat/>
    <w:uiPriority w:val="0"/>
    <w:pPr>
      <w:widowControl/>
      <w:overflowPunct w:val="0"/>
      <w:spacing w:before="0" w:beforeLines="0" w:line="240" w:lineRule="auto"/>
      <w:ind w:firstLine="567"/>
      <w:jc w:val="left"/>
    </w:pPr>
    <w:rPr>
      <w:rFonts w:ascii="Arial" w:hAnsi="Arial" w:eastAsia="仿宋_GB2312" w:cs="宋体"/>
      <w:color w:val="000000"/>
      <w:kern w:val="0"/>
      <w:sz w:val="24"/>
      <w:szCs w:val="20"/>
    </w:rPr>
  </w:style>
  <w:style w:type="paragraph" w:customStyle="1" w:styleId="2562">
    <w:name w:val="正文-第几条"/>
    <w:basedOn w:val="1"/>
    <w:qFormat/>
    <w:uiPriority w:val="0"/>
    <w:pPr>
      <w:widowControl/>
      <w:spacing w:before="0" w:beforeLines="0" w:line="360" w:lineRule="auto"/>
      <w:jc w:val="left"/>
    </w:pPr>
    <w:rPr>
      <w:rFonts w:cs="宋体"/>
      <w:b/>
      <w:kern w:val="0"/>
      <w:sz w:val="24"/>
    </w:rPr>
  </w:style>
  <w:style w:type="paragraph" w:customStyle="1" w:styleId="2563">
    <w:name w:val="样式 加粗1"/>
    <w:basedOn w:val="1"/>
    <w:qFormat/>
    <w:uiPriority w:val="0"/>
    <w:pPr>
      <w:widowControl/>
      <w:spacing w:before="0" w:beforeLines="0" w:line="360" w:lineRule="auto"/>
      <w:ind w:firstLine="482" w:firstLineChars="200"/>
      <w:jc w:val="left"/>
    </w:pPr>
    <w:rPr>
      <w:rFonts w:eastAsia="黑体" w:cs="宋体"/>
      <w:b/>
      <w:bCs/>
      <w:kern w:val="0"/>
      <w:sz w:val="24"/>
      <w:szCs w:val="20"/>
    </w:rPr>
  </w:style>
  <w:style w:type="paragraph" w:customStyle="1" w:styleId="2564">
    <w:name w:val="tj说明书-正文"/>
    <w:link w:val="2570"/>
    <w:qFormat/>
    <w:uiPriority w:val="0"/>
    <w:pPr>
      <w:spacing w:line="360" w:lineRule="auto"/>
      <w:ind w:firstLine="200" w:firstLineChars="200"/>
    </w:pPr>
    <w:rPr>
      <w:rFonts w:ascii="宋体" w:hAnsi="宋体" w:eastAsia="宋体" w:cs="Times New Roman"/>
      <w:kern w:val="2"/>
      <w:sz w:val="21"/>
      <w:lang w:val="en-US" w:eastAsia="zh-CN" w:bidi="ar-SA"/>
    </w:rPr>
  </w:style>
  <w:style w:type="paragraph" w:customStyle="1" w:styleId="2565">
    <w:name w:val="tj说明书-标题3"/>
    <w:basedOn w:val="1"/>
    <w:next w:val="2566"/>
    <w:link w:val="2569"/>
    <w:qFormat/>
    <w:uiPriority w:val="0"/>
    <w:pPr>
      <w:widowControl/>
      <w:numPr>
        <w:ilvl w:val="2"/>
        <w:numId w:val="57"/>
      </w:numPr>
      <w:spacing w:before="50" w:beforeLines="50" w:after="50" w:afterLines="50" w:line="360" w:lineRule="auto"/>
      <w:jc w:val="left"/>
      <w:outlineLvl w:val="2"/>
    </w:pPr>
    <w:rPr>
      <w:rFonts w:ascii="黑体" w:hAnsi="黑体" w:eastAsia="黑体" w:cs="宋体"/>
      <w:b/>
      <w:kern w:val="0"/>
      <w:sz w:val="32"/>
      <w:lang w:val="zh-CN"/>
    </w:rPr>
  </w:style>
  <w:style w:type="paragraph" w:customStyle="1" w:styleId="2566">
    <w:name w:val="tj说明书-标题4"/>
    <w:basedOn w:val="1"/>
    <w:next w:val="2564"/>
    <w:qFormat/>
    <w:uiPriority w:val="0"/>
    <w:pPr>
      <w:widowControl/>
      <w:numPr>
        <w:ilvl w:val="3"/>
        <w:numId w:val="57"/>
      </w:numPr>
      <w:spacing w:before="0" w:beforeLines="0" w:line="360" w:lineRule="auto"/>
      <w:jc w:val="left"/>
      <w:outlineLvl w:val="3"/>
    </w:pPr>
    <w:rPr>
      <w:rFonts w:ascii="宋体" w:hAnsi="宋体" w:cs="宋体"/>
      <w:b/>
      <w:kern w:val="0"/>
      <w:sz w:val="30"/>
    </w:rPr>
  </w:style>
  <w:style w:type="paragraph" w:customStyle="1" w:styleId="2567">
    <w:name w:val="样式 tj说明书-标题1 + 段前: 2 行 段后: 1 行"/>
    <w:basedOn w:val="1"/>
    <w:qFormat/>
    <w:uiPriority w:val="0"/>
    <w:pPr>
      <w:widowControl/>
      <w:numPr>
        <w:ilvl w:val="0"/>
        <w:numId w:val="57"/>
      </w:numPr>
      <w:spacing w:before="624" w:beforeLines="200" w:after="312" w:afterLines="100" w:line="360" w:lineRule="auto"/>
      <w:ind w:firstLine="0"/>
      <w:jc w:val="center"/>
      <w:outlineLvl w:val="0"/>
    </w:pPr>
    <w:rPr>
      <w:rFonts w:ascii="黑体" w:hAnsi="黑体" w:eastAsia="黑体" w:cs="宋体"/>
      <w:kern w:val="0"/>
      <w:sz w:val="84"/>
      <w:szCs w:val="20"/>
    </w:rPr>
  </w:style>
  <w:style w:type="paragraph" w:customStyle="1" w:styleId="2568">
    <w:name w:val="样式 tj说明书-标题2 + 段前: 1 行"/>
    <w:basedOn w:val="1"/>
    <w:link w:val="2571"/>
    <w:qFormat/>
    <w:uiPriority w:val="0"/>
    <w:pPr>
      <w:widowControl/>
      <w:numPr>
        <w:ilvl w:val="1"/>
        <w:numId w:val="57"/>
      </w:numPr>
      <w:spacing w:before="312" w:beforeLines="100" w:line="360" w:lineRule="auto"/>
      <w:jc w:val="left"/>
      <w:outlineLvl w:val="1"/>
    </w:pPr>
    <w:rPr>
      <w:rFonts w:ascii="黑体" w:hAnsi="黑体" w:eastAsia="黑体" w:cs="宋体"/>
      <w:b/>
      <w:kern w:val="0"/>
      <w:sz w:val="48"/>
      <w:szCs w:val="20"/>
      <w:lang w:val="zh-CN"/>
    </w:rPr>
  </w:style>
  <w:style w:type="character" w:customStyle="1" w:styleId="2569">
    <w:name w:val="tj说明书-标题3 Char"/>
    <w:link w:val="2565"/>
    <w:qFormat/>
    <w:uiPriority w:val="0"/>
    <w:rPr>
      <w:rFonts w:ascii="黑体" w:hAnsi="黑体" w:eastAsia="黑体" w:cs="宋体"/>
      <w:b/>
      <w:sz w:val="32"/>
      <w:szCs w:val="24"/>
      <w:lang w:val="zh-CN"/>
    </w:rPr>
  </w:style>
  <w:style w:type="character" w:customStyle="1" w:styleId="2570">
    <w:name w:val="tj说明书-正文 Char"/>
    <w:link w:val="2564"/>
    <w:uiPriority w:val="0"/>
    <w:rPr>
      <w:rFonts w:ascii="宋体" w:hAnsi="宋体"/>
      <w:kern w:val="2"/>
      <w:sz w:val="21"/>
    </w:rPr>
  </w:style>
  <w:style w:type="character" w:customStyle="1" w:styleId="2571">
    <w:name w:val="样式 tj说明书-标题2 + 段前: 1 行 Char"/>
    <w:link w:val="2568"/>
    <w:qFormat/>
    <w:locked/>
    <w:uiPriority w:val="0"/>
    <w:rPr>
      <w:rFonts w:ascii="黑体" w:hAnsi="黑体" w:eastAsia="黑体" w:cs="宋体"/>
      <w:b/>
      <w:sz w:val="48"/>
      <w:lang w:val="zh-CN"/>
    </w:rPr>
  </w:style>
  <w:style w:type="paragraph" w:customStyle="1" w:styleId="2572">
    <w:name w:val="小四正文 Char"/>
    <w:basedOn w:val="1"/>
    <w:link w:val="2573"/>
    <w:qFormat/>
    <w:uiPriority w:val="0"/>
    <w:pPr>
      <w:widowControl/>
      <w:spacing w:before="0" w:beforeLines="0" w:line="300" w:lineRule="auto"/>
      <w:ind w:left="420" w:leftChars="200"/>
      <w:jc w:val="left"/>
    </w:pPr>
    <w:rPr>
      <w:rFonts w:ascii="宋体" w:hAnsi="宋体" w:cs="宋体"/>
      <w:kern w:val="0"/>
      <w:szCs w:val="21"/>
      <w:lang w:val="zh-CN"/>
    </w:rPr>
  </w:style>
  <w:style w:type="character" w:customStyle="1" w:styleId="2573">
    <w:name w:val="小四正文 Char Char"/>
    <w:link w:val="2572"/>
    <w:qFormat/>
    <w:uiPriority w:val="0"/>
    <w:rPr>
      <w:rFonts w:ascii="宋体" w:hAnsi="宋体" w:cs="宋体"/>
      <w:sz w:val="21"/>
      <w:szCs w:val="21"/>
      <w:lang w:val="zh-CN"/>
    </w:rPr>
  </w:style>
  <w:style w:type="table" w:customStyle="1" w:styleId="2574">
    <w:name w:val="表格虚线2"/>
    <w:basedOn w:val="89"/>
    <w:qFormat/>
    <w:uiPriority w:val="0"/>
    <w:pPr>
      <w:widowControl w:val="0"/>
      <w:adjustRightInd w:val="0"/>
      <w:snapToGrid w:val="0"/>
      <w:spacing w:line="480" w:lineRule="exact"/>
      <w:ind w:firstLine="20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575">
    <w:name w:val="无间隔 字符"/>
    <w:qFormat/>
    <w:uiPriority w:val="1"/>
    <w:rPr>
      <w:kern w:val="2"/>
      <w:sz w:val="24"/>
    </w:rPr>
  </w:style>
  <w:style w:type="character" w:customStyle="1" w:styleId="2576">
    <w:name w:val="font71"/>
    <w:qFormat/>
    <w:uiPriority w:val="0"/>
    <w:rPr>
      <w:rFonts w:hint="eastAsia" w:ascii="宋体" w:hAnsi="宋体" w:eastAsia="宋体" w:cs="宋体"/>
      <w:color w:val="000000"/>
      <w:sz w:val="21"/>
      <w:szCs w:val="21"/>
      <w:u w:val="none"/>
    </w:rPr>
  </w:style>
  <w:style w:type="paragraph" w:customStyle="1" w:styleId="2577">
    <w:name w:val="环保表内字（小五）"/>
    <w:qFormat/>
    <w:uiPriority w:val="0"/>
    <w:pPr>
      <w:tabs>
        <w:tab w:val="left" w:pos="402"/>
        <w:tab w:val="left" w:pos="1536"/>
        <w:tab w:val="left" w:pos="2160"/>
        <w:tab w:val="left" w:pos="4080"/>
        <w:tab w:val="left" w:pos="5072"/>
        <w:tab w:val="left" w:pos="6205"/>
        <w:tab w:val="left" w:pos="7195"/>
      </w:tabs>
      <w:adjustRightInd w:val="0"/>
      <w:snapToGrid w:val="0"/>
      <w:spacing w:line="0" w:lineRule="atLeast"/>
    </w:pPr>
    <w:rPr>
      <w:rFonts w:ascii="宋体" w:hAnsi="Times New Roman" w:eastAsia="宋体" w:cs="Times New Roman"/>
      <w:snapToGrid w:val="0"/>
      <w:color w:val="000000"/>
      <w:sz w:val="18"/>
      <w:szCs w:val="28"/>
      <w:lang w:val="en-US" w:eastAsia="zh-CN" w:bidi="ar-SA"/>
    </w:rPr>
  </w:style>
  <w:style w:type="paragraph" w:customStyle="1" w:styleId="2578">
    <w:name w:val="样式9"/>
    <w:basedOn w:val="7"/>
    <w:link w:val="2579"/>
    <w:qFormat/>
    <w:uiPriority w:val="0"/>
    <w:pPr>
      <w:numPr>
        <w:ilvl w:val="3"/>
        <w:numId w:val="43"/>
      </w:numPr>
      <w:spacing w:before="280" w:beforeLines="0" w:after="290" w:line="377" w:lineRule="auto"/>
      <w:ind w:left="0" w:firstLine="0"/>
    </w:pPr>
    <w:rPr>
      <w:rFonts w:ascii="Cambria" w:hAnsi="Cambria"/>
      <w:bCs/>
      <w:color w:val="auto"/>
      <w:kern w:val="2"/>
      <w:szCs w:val="24"/>
    </w:rPr>
  </w:style>
  <w:style w:type="character" w:customStyle="1" w:styleId="2579">
    <w:name w:val="样式9 Char"/>
    <w:link w:val="2578"/>
    <w:qFormat/>
    <w:uiPriority w:val="0"/>
    <w:rPr>
      <w:rFonts w:ascii="Cambria" w:hAnsi="Cambria"/>
      <w:b/>
      <w:bCs/>
      <w:kern w:val="2"/>
      <w:sz w:val="24"/>
      <w:szCs w:val="24"/>
    </w:rPr>
  </w:style>
  <w:style w:type="character" w:customStyle="1" w:styleId="2580">
    <w:name w:val="列表段落 字符"/>
    <w:link w:val="189"/>
    <w:qFormat/>
    <w:uiPriority w:val="34"/>
    <w:rPr>
      <w:kern w:val="2"/>
      <w:sz w:val="21"/>
      <w:szCs w:val="24"/>
    </w:rPr>
  </w:style>
  <w:style w:type="character" w:customStyle="1" w:styleId="2581">
    <w:name w:val="Char Char34"/>
    <w:qFormat/>
    <w:uiPriority w:val="0"/>
    <w:rPr>
      <w:rFonts w:ascii="Arial" w:hAnsi="Arial" w:eastAsia="黑体"/>
      <w:bCs/>
      <w:kern w:val="2"/>
      <w:sz w:val="28"/>
      <w:szCs w:val="32"/>
      <w:lang w:val="en-US" w:eastAsia="zh-CN" w:bidi="ar-SA"/>
    </w:rPr>
  </w:style>
  <w:style w:type="character" w:customStyle="1" w:styleId="2582">
    <w:name w:val="Char Char24"/>
    <w:qFormat/>
    <w:uiPriority w:val="0"/>
    <w:rPr>
      <w:rFonts w:ascii="Arial" w:hAnsi="Arial" w:eastAsia="黑体"/>
      <w:bCs/>
      <w:kern w:val="2"/>
      <w:sz w:val="24"/>
      <w:szCs w:val="28"/>
      <w:lang w:val="en-US" w:eastAsia="zh-CN" w:bidi="ar-SA"/>
    </w:rPr>
  </w:style>
  <w:style w:type="character" w:customStyle="1" w:styleId="2583">
    <w:name w:val="Char Char231"/>
    <w:qFormat/>
    <w:uiPriority w:val="0"/>
    <w:rPr>
      <w:rFonts w:eastAsia="楷体_GB2312"/>
      <w:b/>
      <w:bCs/>
      <w:kern w:val="2"/>
      <w:sz w:val="24"/>
      <w:szCs w:val="24"/>
      <w:lang w:val="en-US" w:eastAsia="zh-CN" w:bidi="ar-SA"/>
    </w:rPr>
  </w:style>
  <w:style w:type="character" w:customStyle="1" w:styleId="2584">
    <w:name w:val="Char Char221"/>
    <w:qFormat/>
    <w:uiPriority w:val="0"/>
    <w:rPr>
      <w:rFonts w:ascii="Arial" w:hAnsi="Arial" w:eastAsia="黑体"/>
      <w:kern w:val="2"/>
      <w:sz w:val="24"/>
      <w:szCs w:val="24"/>
      <w:lang w:val="en-US" w:eastAsia="zh-CN" w:bidi="ar-SA"/>
    </w:rPr>
  </w:style>
  <w:style w:type="character" w:customStyle="1" w:styleId="2585">
    <w:name w:val="Char Char211"/>
    <w:qFormat/>
    <w:uiPriority w:val="0"/>
    <w:rPr>
      <w:rFonts w:ascii="Arial" w:hAnsi="Arial" w:eastAsia="黑体"/>
      <w:kern w:val="2"/>
      <w:sz w:val="24"/>
      <w:szCs w:val="21"/>
      <w:lang w:val="en-US" w:eastAsia="zh-CN" w:bidi="ar-SA"/>
    </w:rPr>
  </w:style>
  <w:style w:type="paragraph" w:customStyle="1" w:styleId="2586">
    <w:name w:val="Char Char2 Char Char Char Char Char Char Char Char Char Char Char Char Char Char Char Char Char Char1 Char Char Char Char Char Char Char Char11"/>
    <w:basedOn w:val="1"/>
    <w:qFormat/>
    <w:uiPriority w:val="0"/>
    <w:pPr>
      <w:widowControl/>
      <w:spacing w:before="0" w:beforeLines="0" w:line="240" w:lineRule="auto"/>
      <w:jc w:val="left"/>
    </w:pPr>
    <w:rPr>
      <w:rFonts w:cs="宋体"/>
      <w:kern w:val="0"/>
    </w:rPr>
  </w:style>
  <w:style w:type="character" w:customStyle="1" w:styleId="2587">
    <w:name w:val="Char Char281"/>
    <w:qFormat/>
    <w:uiPriority w:val="0"/>
    <w:rPr>
      <w:rFonts w:ascii="Arial" w:hAnsi="Arial" w:eastAsia="黑体"/>
      <w:b/>
      <w:bCs/>
      <w:kern w:val="2"/>
      <w:sz w:val="28"/>
      <w:szCs w:val="28"/>
      <w:lang w:val="en-US" w:eastAsia="zh-CN" w:bidi="ar-SA"/>
    </w:rPr>
  </w:style>
  <w:style w:type="character" w:customStyle="1" w:styleId="2588">
    <w:name w:val="Char Char301"/>
    <w:qFormat/>
    <w:uiPriority w:val="0"/>
    <w:rPr>
      <w:rFonts w:ascii="Times New Roman" w:hAnsi="Times New Roman" w:eastAsia="楷体_GB2312" w:cs="Times New Roman"/>
      <w:b/>
      <w:bCs/>
      <w:sz w:val="24"/>
      <w:szCs w:val="24"/>
    </w:rPr>
  </w:style>
  <w:style w:type="character" w:customStyle="1" w:styleId="2589">
    <w:name w:val="Char Char291"/>
    <w:qFormat/>
    <w:uiPriority w:val="0"/>
    <w:rPr>
      <w:rFonts w:ascii="Arial" w:hAnsi="Arial" w:eastAsia="黑体" w:cs="Times New Roman"/>
      <w:sz w:val="24"/>
      <w:szCs w:val="24"/>
    </w:rPr>
  </w:style>
  <w:style w:type="character" w:customStyle="1" w:styleId="2590">
    <w:name w:val="Char Char261"/>
    <w:qFormat/>
    <w:uiPriority w:val="0"/>
    <w:rPr>
      <w:rFonts w:ascii="Arial" w:hAnsi="Arial" w:eastAsia="黑体" w:cs="Times New Roman"/>
      <w:sz w:val="24"/>
      <w:szCs w:val="21"/>
    </w:rPr>
  </w:style>
  <w:style w:type="character" w:customStyle="1" w:styleId="2591">
    <w:name w:val="Char Char331"/>
    <w:qFormat/>
    <w:uiPriority w:val="0"/>
    <w:rPr>
      <w:rFonts w:ascii="Arial" w:hAnsi="Arial" w:eastAsia="黑体" w:cs="Times New Roman"/>
      <w:b/>
      <w:bCs/>
      <w:sz w:val="28"/>
      <w:szCs w:val="28"/>
    </w:rPr>
  </w:style>
  <w:style w:type="character" w:customStyle="1" w:styleId="2592">
    <w:name w:val="Char Char321"/>
    <w:qFormat/>
    <w:uiPriority w:val="0"/>
    <w:rPr>
      <w:rFonts w:ascii="Times New Roman" w:hAnsi="Times New Roman" w:eastAsia="宋体" w:cs="Times New Roman"/>
      <w:b/>
      <w:bCs/>
      <w:sz w:val="28"/>
      <w:szCs w:val="28"/>
    </w:rPr>
  </w:style>
  <w:style w:type="character" w:customStyle="1" w:styleId="2593">
    <w:name w:val="Char Char311"/>
    <w:qFormat/>
    <w:uiPriority w:val="0"/>
    <w:rPr>
      <w:rFonts w:ascii="Arial" w:hAnsi="Arial" w:eastAsia="黑体" w:cs="Times New Roman"/>
      <w:b/>
      <w:bCs/>
      <w:sz w:val="24"/>
      <w:szCs w:val="24"/>
    </w:rPr>
  </w:style>
  <w:style w:type="paragraph" w:customStyle="1" w:styleId="2594">
    <w:name w:val="列出段落5"/>
    <w:basedOn w:val="1"/>
    <w:qFormat/>
    <w:uiPriority w:val="0"/>
    <w:pPr>
      <w:widowControl/>
      <w:spacing w:before="0" w:beforeLines="0" w:line="240" w:lineRule="auto"/>
      <w:ind w:firstLine="200" w:firstLineChars="200"/>
      <w:jc w:val="left"/>
    </w:pPr>
    <w:rPr>
      <w:rFonts w:ascii="Arial" w:hAnsi="Arial" w:cs="宋体"/>
      <w:kern w:val="0"/>
      <w:sz w:val="24"/>
      <w:szCs w:val="20"/>
    </w:rPr>
  </w:style>
  <w:style w:type="character" w:customStyle="1" w:styleId="2595">
    <w:name w:val="列出段落 Char"/>
    <w:qFormat/>
    <w:uiPriority w:val="34"/>
    <w:rPr>
      <w:kern w:val="2"/>
      <w:sz w:val="24"/>
    </w:rPr>
  </w:style>
  <w:style w:type="character" w:customStyle="1" w:styleId="2596">
    <w:name w:val="fontstyle11"/>
    <w:qFormat/>
    <w:uiPriority w:val="0"/>
    <w:rPr>
      <w:rFonts w:hint="default" w:ascii="DY341+ZJXIAP-345" w:hAnsi="DY341+ZJXIAP-345"/>
      <w:color w:val="000000"/>
      <w:sz w:val="16"/>
      <w:szCs w:val="16"/>
    </w:rPr>
  </w:style>
  <w:style w:type="character" w:customStyle="1" w:styleId="2597">
    <w:name w:val="fontstyle21"/>
    <w:qFormat/>
    <w:uiPriority w:val="0"/>
    <w:rPr>
      <w:rFonts w:hint="default" w:ascii="DY1+ZJXH8t-1" w:hAnsi="DY1+ZJXH8t-1"/>
      <w:color w:val="000000"/>
      <w:sz w:val="16"/>
      <w:szCs w:val="16"/>
    </w:rPr>
  </w:style>
  <w:style w:type="character" w:customStyle="1" w:styleId="2598">
    <w:name w:val="fontstyle31"/>
    <w:qFormat/>
    <w:uiPriority w:val="0"/>
    <w:rPr>
      <w:rFonts w:hint="default" w:ascii="DY2+ZJXH8t-2" w:hAnsi="DY2+ZJXH8t-2"/>
      <w:color w:val="000000"/>
      <w:sz w:val="16"/>
      <w:szCs w:val="16"/>
    </w:rPr>
  </w:style>
  <w:style w:type="paragraph" w:customStyle="1" w:styleId="2599">
    <w:name w:val="列出段落6"/>
    <w:basedOn w:val="1"/>
    <w:unhideWhenUsed/>
    <w:qFormat/>
    <w:uiPriority w:val="99"/>
    <w:pPr>
      <w:spacing w:before="0" w:beforeLines="0" w:line="240" w:lineRule="auto"/>
      <w:ind w:firstLine="420" w:firstLineChars="200"/>
    </w:pPr>
    <w:rPr>
      <w:rFonts w:hint="eastAsia" w:ascii="Calibri" w:hAnsi="Calibri"/>
      <w:spacing w:val="6"/>
      <w:sz w:val="24"/>
      <w:szCs w:val="20"/>
    </w:rPr>
  </w:style>
  <w:style w:type="character" w:customStyle="1" w:styleId="2600">
    <w:name w:val="样式3 Char1"/>
    <w:link w:val="403"/>
    <w:qFormat/>
    <w:uiPriority w:val="0"/>
    <w:rPr>
      <w:kern w:val="2"/>
      <w:sz w:val="18"/>
      <w:szCs w:val="18"/>
    </w:rPr>
  </w:style>
  <w:style w:type="character" w:customStyle="1" w:styleId="2601">
    <w:name w:val="font131"/>
    <w:qFormat/>
    <w:uiPriority w:val="0"/>
    <w:rPr>
      <w:rFonts w:hint="eastAsia" w:ascii="宋体" w:hAnsi="宋体" w:eastAsia="宋体" w:cs="宋体"/>
      <w:color w:val="000000"/>
      <w:sz w:val="21"/>
      <w:szCs w:val="21"/>
      <w:u w:val="none"/>
    </w:rPr>
  </w:style>
  <w:style w:type="character" w:customStyle="1" w:styleId="2602">
    <w:name w:val="新表格 Char"/>
    <w:link w:val="2603"/>
    <w:qFormat/>
    <w:uiPriority w:val="0"/>
    <w:rPr>
      <w:bCs/>
      <w:szCs w:val="21"/>
    </w:rPr>
  </w:style>
  <w:style w:type="paragraph" w:customStyle="1" w:styleId="2603">
    <w:name w:val="新表格"/>
    <w:link w:val="2602"/>
    <w:qFormat/>
    <w:uiPriority w:val="0"/>
    <w:pPr>
      <w:adjustRightInd w:val="0"/>
      <w:snapToGrid w:val="0"/>
      <w:spacing w:line="288" w:lineRule="auto"/>
      <w:jc w:val="center"/>
    </w:pPr>
    <w:rPr>
      <w:rFonts w:ascii="Times New Roman" w:hAnsi="Times New Roman" w:eastAsia="宋体" w:cs="Times New Roman"/>
      <w:bCs/>
      <w:szCs w:val="21"/>
      <w:lang w:val="en-US" w:eastAsia="zh-CN" w:bidi="ar-SA"/>
    </w:rPr>
  </w:style>
  <w:style w:type="paragraph" w:customStyle="1" w:styleId="2604">
    <w:name w:val="Char Char1"/>
    <w:basedOn w:val="1"/>
    <w:qFormat/>
    <w:uiPriority w:val="0"/>
    <w:pPr>
      <w:spacing w:before="0" w:beforeLines="0" w:line="240" w:lineRule="auto"/>
    </w:pPr>
  </w:style>
  <w:style w:type="paragraph" w:customStyle="1" w:styleId="2605">
    <w:name w:val="表中文字"/>
    <w:basedOn w:val="1"/>
    <w:qFormat/>
    <w:uiPriority w:val="0"/>
    <w:pPr>
      <w:widowControl/>
      <w:spacing w:before="0" w:beforeLines="0" w:line="240" w:lineRule="auto"/>
      <w:jc w:val="center"/>
    </w:pPr>
    <w:rPr>
      <w:kern w:val="0"/>
      <w:szCs w:val="21"/>
      <w:lang w:val="zh-CN"/>
    </w:rPr>
  </w:style>
  <w:style w:type="table" w:customStyle="1" w:styleId="2606">
    <w:name w:val="网格型161"/>
    <w:basedOn w:val="89"/>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607">
    <w:name w:val="0正文 Char"/>
    <w:link w:val="190"/>
    <w:qFormat/>
    <w:locked/>
    <w:uiPriority w:val="0"/>
    <w:rPr>
      <w:sz w:val="24"/>
    </w:rPr>
  </w:style>
  <w:style w:type="character" w:customStyle="1" w:styleId="2608">
    <w:name w:val="a新正文 字符"/>
    <w:link w:val="2609"/>
    <w:qFormat/>
    <w:uiPriority w:val="0"/>
    <w:rPr>
      <w:color w:val="000000"/>
      <w:sz w:val="24"/>
      <w:szCs w:val="30"/>
    </w:rPr>
  </w:style>
  <w:style w:type="paragraph" w:customStyle="1" w:styleId="2609">
    <w:name w:val="a新正文"/>
    <w:basedOn w:val="1"/>
    <w:link w:val="2608"/>
    <w:qFormat/>
    <w:uiPriority w:val="0"/>
    <w:pPr>
      <w:adjustRightInd w:val="0"/>
      <w:snapToGrid w:val="0"/>
      <w:spacing w:before="78" w:after="78" w:afterLines="25" w:line="360" w:lineRule="auto"/>
      <w:ind w:firstLine="480" w:firstLineChars="200"/>
    </w:pPr>
    <w:rPr>
      <w:color w:val="000000"/>
      <w:kern w:val="0"/>
      <w:sz w:val="24"/>
      <w:szCs w:val="30"/>
    </w:rPr>
  </w:style>
  <w:style w:type="paragraph" w:customStyle="1" w:styleId="2610">
    <w:name w:val="表格格式"/>
    <w:basedOn w:val="1"/>
    <w:next w:val="1"/>
    <w:qFormat/>
    <w:uiPriority w:val="0"/>
    <w:pPr>
      <w:spacing w:before="0" w:beforeLines="0" w:line="240" w:lineRule="auto"/>
      <w:jc w:val="center"/>
    </w:pPr>
    <w:rPr>
      <w:rFonts w:ascii="Calibri" w:hAnsi="Calibri" w:eastAsia="等线"/>
      <w:color w:val="000000"/>
      <w:szCs w:val="22"/>
    </w:rPr>
  </w:style>
  <w:style w:type="character" w:customStyle="1" w:styleId="2611">
    <w:name w:val="电子邮件签名 字符2"/>
    <w:basedOn w:val="117"/>
    <w:link w:val="19"/>
    <w:qFormat/>
    <w:uiPriority w:val="0"/>
    <w:rPr>
      <w:kern w:val="2"/>
      <w:sz w:val="21"/>
      <w:szCs w:val="24"/>
    </w:rPr>
  </w:style>
  <w:style w:type="character" w:customStyle="1" w:styleId="2612">
    <w:name w:val="HTML 地址 字符2"/>
    <w:basedOn w:val="117"/>
    <w:link w:val="43"/>
    <w:qFormat/>
    <w:uiPriority w:val="0"/>
    <w:rPr>
      <w:i/>
      <w:iCs/>
      <w:kern w:val="2"/>
      <w:sz w:val="21"/>
      <w:szCs w:val="24"/>
    </w:rPr>
  </w:style>
  <w:style w:type="character" w:customStyle="1" w:styleId="2613">
    <w:name w:val="结束语 字符2"/>
    <w:basedOn w:val="117"/>
    <w:qFormat/>
    <w:uiPriority w:val="0"/>
    <w:rPr>
      <w:kern w:val="2"/>
      <w:sz w:val="21"/>
      <w:szCs w:val="24"/>
    </w:rPr>
  </w:style>
  <w:style w:type="character" w:customStyle="1" w:styleId="2614">
    <w:name w:val="引用 字符3"/>
    <w:basedOn w:val="117"/>
    <w:semiHidden/>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2615">
    <w:name w:val="明显引用 字符3"/>
    <w:basedOn w:val="117"/>
    <w:semiHidden/>
    <w:qFormat/>
    <w:uiPriority w:val="99"/>
    <w:rPr>
      <w:i/>
      <w:iCs/>
      <w:color w:val="4472C4" w:themeColor="accent1"/>
      <w:kern w:val="2"/>
      <w:sz w:val="21"/>
      <w:szCs w:val="24"/>
      <w14:textFill>
        <w14:solidFill>
          <w14:schemeClr w14:val="accent1"/>
        </w14:solidFill>
      </w14:textFill>
    </w:rPr>
  </w:style>
  <w:style w:type="paragraph" w:customStyle="1" w:styleId="2616">
    <w:name w:val="修订5"/>
    <w:hidden/>
    <w:unhideWhenUsed/>
    <w:qFormat/>
    <w:uiPriority w:val="99"/>
    <w:rPr>
      <w:rFonts w:ascii="Times New Roman" w:hAnsi="Times New Roman" w:eastAsia="宋体" w:cs="Times New Roman"/>
      <w:kern w:val="2"/>
      <w:sz w:val="21"/>
      <w:szCs w:val="24"/>
      <w:lang w:val="en-US" w:eastAsia="zh-CN" w:bidi="ar-SA"/>
    </w:rPr>
  </w:style>
  <w:style w:type="paragraph" w:customStyle="1" w:styleId="2617">
    <w:name w:val="Revision"/>
    <w:hidden/>
    <w:unhideWhenUsed/>
    <w:qFormat/>
    <w:uiPriority w:val="99"/>
    <w:rPr>
      <w:rFonts w:ascii="Times New Roman" w:hAnsi="Times New Roman" w:eastAsia="宋体" w:cs="Times New Roman"/>
      <w:kern w:val="2"/>
      <w:sz w:val="21"/>
      <w:szCs w:val="24"/>
      <w:lang w:val="en-US" w:eastAsia="zh-CN" w:bidi="ar-SA"/>
    </w:rPr>
  </w:style>
  <w:style w:type="table" w:customStyle="1" w:styleId="2618">
    <w:name w:val="徐正生2"/>
    <w:basedOn w:val="97"/>
    <w:qFormat/>
    <w:uiPriority w:val="0"/>
    <w:pPr>
      <w:spacing w:before="0" w:beforeLines="0" w:line="240" w:lineRule="auto"/>
      <w:jc w:val="center"/>
    </w:pPr>
    <w:tblPr>
      <w:tblBorders>
        <w:top w:val="single" w:color="000000" w:sz="12" w:space="0"/>
        <w:bottom w:val="single" w:color="000000" w:sz="12" w:space="0"/>
        <w:insideH w:val="single" w:color="000000" w:sz="8" w:space="0"/>
        <w:insideV w:val="single" w:color="000000" w:sz="8" w:space="0"/>
      </w:tblBorders>
      <w:tblCellMar>
        <w:left w:w="28" w:type="dxa"/>
        <w:right w:w="28" w:type="dxa"/>
      </w:tblCellMar>
    </w:tblPr>
    <w:tcPr>
      <w:vAlign w:val="center"/>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paragraph" w:customStyle="1" w:styleId="2619">
    <w:name w:val="5表格&amp;图标题"/>
    <w:basedOn w:val="1"/>
    <w:qFormat/>
    <w:uiPriority w:val="0"/>
    <w:pPr>
      <w:autoSpaceDE w:val="0"/>
      <w:autoSpaceDN w:val="0"/>
      <w:adjustRightInd w:val="0"/>
      <w:spacing w:before="0" w:beforeLines="0" w:line="240" w:lineRule="auto"/>
      <w:jc w:val="center"/>
    </w:pPr>
    <w:rPr>
      <w:rFonts w:ascii="宋体"/>
      <w:b/>
      <w:bCs/>
      <w:kern w:val="0"/>
      <w:sz w:val="22"/>
      <w:szCs w:val="22"/>
    </w:rPr>
  </w:style>
  <w:style w:type="table" w:customStyle="1" w:styleId="2620">
    <w:name w:val="徐正生3"/>
    <w:basedOn w:val="97"/>
    <w:qFormat/>
    <w:uiPriority w:val="0"/>
    <w:pPr>
      <w:spacing w:before="0" w:beforeLines="0" w:line="240" w:lineRule="auto"/>
      <w:jc w:val="center"/>
    </w:pPr>
    <w:tblPr>
      <w:tblBorders>
        <w:top w:val="single" w:color="000000" w:sz="12" w:space="0"/>
        <w:bottom w:val="single" w:color="000000" w:sz="12" w:space="0"/>
        <w:insideH w:val="single" w:color="000000" w:sz="8" w:space="0"/>
        <w:insideV w:val="single" w:color="000000" w:sz="8" w:space="0"/>
      </w:tblBorders>
      <w:tblCellMar>
        <w:left w:w="28" w:type="dxa"/>
        <w:right w:w="28" w:type="dxa"/>
      </w:tblCellMar>
    </w:tblPr>
    <w:tcPr>
      <w:vAlign w:val="center"/>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2621">
    <w:name w:val="徐正生4"/>
    <w:basedOn w:val="97"/>
    <w:qFormat/>
    <w:uiPriority w:val="0"/>
    <w:pPr>
      <w:spacing w:before="0" w:beforeLines="0" w:line="240" w:lineRule="auto"/>
      <w:jc w:val="center"/>
    </w:pPr>
    <w:tblPr>
      <w:tblBorders>
        <w:top w:val="single" w:color="000000" w:sz="12" w:space="0"/>
        <w:bottom w:val="single" w:color="000000" w:sz="12" w:space="0"/>
        <w:insideH w:val="single" w:color="000000" w:sz="8" w:space="0"/>
        <w:insideV w:val="single" w:color="000000" w:sz="8" w:space="0"/>
      </w:tblBorders>
      <w:tblCellMar>
        <w:left w:w="28" w:type="dxa"/>
        <w:right w:w="28" w:type="dxa"/>
      </w:tblCellMar>
    </w:tblPr>
    <w:tcPr>
      <w:vAlign w:val="center"/>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paragraph" w:customStyle="1" w:styleId="2622">
    <w:name w:val="0正文-百奥"/>
    <w:basedOn w:val="1"/>
    <w:qFormat/>
    <w:uiPriority w:val="0"/>
    <w:pPr>
      <w:tabs>
        <w:tab w:val="left" w:pos="1265"/>
        <w:tab w:val="left" w:pos="6749"/>
      </w:tabs>
      <w:autoSpaceDE w:val="0"/>
      <w:autoSpaceDN w:val="0"/>
      <w:adjustRightInd w:val="0"/>
      <w:spacing w:before="0" w:beforeLines="0" w:line="360" w:lineRule="auto"/>
      <w:ind w:firstLine="200" w:firstLineChars="200"/>
    </w:pPr>
    <w:rPr>
      <w:rFonts w:hAnsi="宋体" w:cs="宋体"/>
      <w:sz w:val="24"/>
    </w:rPr>
  </w:style>
</w:styles>
</file>

<file path=word/_rels/document.xml.rels><?xml version="1.0" encoding="UTF-8" standalone="yes"?>
<Relationships xmlns="http://schemas.openxmlformats.org/package/2006/relationships"><Relationship Id="rId99" Type="http://schemas.openxmlformats.org/officeDocument/2006/relationships/oleObject" Target="embeddings/oleObject13.bin"/><Relationship Id="rId98" Type="http://schemas.openxmlformats.org/officeDocument/2006/relationships/image" Target="media/image59.wmf"/><Relationship Id="rId97" Type="http://schemas.openxmlformats.org/officeDocument/2006/relationships/oleObject" Target="embeddings/oleObject12.bin"/><Relationship Id="rId96" Type="http://schemas.openxmlformats.org/officeDocument/2006/relationships/image" Target="media/image58.wmf"/><Relationship Id="rId95" Type="http://schemas.openxmlformats.org/officeDocument/2006/relationships/oleObject" Target="embeddings/oleObject11.bin"/><Relationship Id="rId94" Type="http://schemas.openxmlformats.org/officeDocument/2006/relationships/image" Target="media/image57.wmf"/><Relationship Id="rId93" Type="http://schemas.openxmlformats.org/officeDocument/2006/relationships/oleObject" Target="embeddings/oleObject10.bin"/><Relationship Id="rId92" Type="http://schemas.openxmlformats.org/officeDocument/2006/relationships/image" Target="media/image56.wmf"/><Relationship Id="rId91" Type="http://schemas.openxmlformats.org/officeDocument/2006/relationships/oleObject" Target="embeddings/oleObject9.bin"/><Relationship Id="rId90" Type="http://schemas.openxmlformats.org/officeDocument/2006/relationships/image" Target="media/image55.wmf"/><Relationship Id="rId9" Type="http://schemas.openxmlformats.org/officeDocument/2006/relationships/footer" Target="footer2.xml"/><Relationship Id="rId89" Type="http://schemas.openxmlformats.org/officeDocument/2006/relationships/oleObject" Target="embeddings/oleObject8.bin"/><Relationship Id="rId88" Type="http://schemas.openxmlformats.org/officeDocument/2006/relationships/oleObject" Target="embeddings/oleObject7.bin"/><Relationship Id="rId87" Type="http://schemas.openxmlformats.org/officeDocument/2006/relationships/image" Target="media/image54.wmf"/><Relationship Id="rId86" Type="http://schemas.openxmlformats.org/officeDocument/2006/relationships/oleObject" Target="embeddings/oleObject6.bin"/><Relationship Id="rId85" Type="http://schemas.openxmlformats.org/officeDocument/2006/relationships/image" Target="media/image53.wmf"/><Relationship Id="rId84" Type="http://schemas.openxmlformats.org/officeDocument/2006/relationships/oleObject" Target="embeddings/oleObject5.bin"/><Relationship Id="rId83" Type="http://schemas.openxmlformats.org/officeDocument/2006/relationships/image" Target="media/image52.wmf"/><Relationship Id="rId82" Type="http://schemas.openxmlformats.org/officeDocument/2006/relationships/oleObject" Target="embeddings/oleObject4.bin"/><Relationship Id="rId81" Type="http://schemas.openxmlformats.org/officeDocument/2006/relationships/image" Target="media/image51.png"/><Relationship Id="rId80" Type="http://schemas.openxmlformats.org/officeDocument/2006/relationships/image" Target="media/image50.jpeg"/><Relationship Id="rId8" Type="http://schemas.openxmlformats.org/officeDocument/2006/relationships/footer" Target="footer1.xml"/><Relationship Id="rId79" Type="http://schemas.openxmlformats.org/officeDocument/2006/relationships/image" Target="media/image49.wmf"/><Relationship Id="rId78" Type="http://schemas.openxmlformats.org/officeDocument/2006/relationships/image" Target="media/image48.wmf"/><Relationship Id="rId77" Type="http://schemas.openxmlformats.org/officeDocument/2006/relationships/image" Target="media/image47.wmf"/><Relationship Id="rId76" Type="http://schemas.openxmlformats.org/officeDocument/2006/relationships/image" Target="media/image46.wmf"/><Relationship Id="rId75" Type="http://schemas.openxmlformats.org/officeDocument/2006/relationships/image" Target="media/image45.wmf"/><Relationship Id="rId74" Type="http://schemas.openxmlformats.org/officeDocument/2006/relationships/image" Target="media/image44.wmf"/><Relationship Id="rId73" Type="http://schemas.openxmlformats.org/officeDocument/2006/relationships/image" Target="media/image43.wmf"/><Relationship Id="rId72" Type="http://schemas.openxmlformats.org/officeDocument/2006/relationships/image" Target="media/image42.wmf"/><Relationship Id="rId71" Type="http://schemas.openxmlformats.org/officeDocument/2006/relationships/image" Target="media/image41.wmf"/><Relationship Id="rId70" Type="http://schemas.openxmlformats.org/officeDocument/2006/relationships/image" Target="media/image40.wmf"/><Relationship Id="rId7" Type="http://schemas.openxmlformats.org/officeDocument/2006/relationships/header" Target="header3.xml"/><Relationship Id="rId69" Type="http://schemas.openxmlformats.org/officeDocument/2006/relationships/image" Target="media/image39.jpeg"/><Relationship Id="rId68" Type="http://schemas.openxmlformats.org/officeDocument/2006/relationships/image" Target="media/image38.jpeg"/><Relationship Id="rId67" Type="http://schemas.openxmlformats.org/officeDocument/2006/relationships/image" Target="media/image37.png"/><Relationship Id="rId66" Type="http://schemas.openxmlformats.org/officeDocument/2006/relationships/image" Target="media/image36.png"/><Relationship Id="rId65" Type="http://schemas.openxmlformats.org/officeDocument/2006/relationships/image" Target="media/image35.png"/><Relationship Id="rId64" Type="http://schemas.openxmlformats.org/officeDocument/2006/relationships/image" Target="media/image34.png"/><Relationship Id="rId63" Type="http://schemas.openxmlformats.org/officeDocument/2006/relationships/image" Target="media/image33.png"/><Relationship Id="rId62" Type="http://schemas.openxmlformats.org/officeDocument/2006/relationships/image" Target="media/image32.png"/><Relationship Id="rId61" Type="http://schemas.openxmlformats.org/officeDocument/2006/relationships/image" Target="media/image31.png"/><Relationship Id="rId60" Type="http://schemas.openxmlformats.org/officeDocument/2006/relationships/image" Target="media/image30.png"/><Relationship Id="rId6" Type="http://schemas.openxmlformats.org/officeDocument/2006/relationships/header" Target="header2.xml"/><Relationship Id="rId59" Type="http://schemas.openxmlformats.org/officeDocument/2006/relationships/image" Target="media/image29.jpeg"/><Relationship Id="rId58" Type="http://schemas.openxmlformats.org/officeDocument/2006/relationships/image" Target="media/image28.jpeg"/><Relationship Id="rId57" Type="http://schemas.openxmlformats.org/officeDocument/2006/relationships/image" Target="media/image27.jpeg"/><Relationship Id="rId56" Type="http://schemas.openxmlformats.org/officeDocument/2006/relationships/image" Target="media/image26.png"/><Relationship Id="rId55" Type="http://schemas.openxmlformats.org/officeDocument/2006/relationships/image" Target="media/image25.png"/><Relationship Id="rId54" Type="http://schemas.openxmlformats.org/officeDocument/2006/relationships/image" Target="media/image24.png"/><Relationship Id="rId53" Type="http://schemas.openxmlformats.org/officeDocument/2006/relationships/chart" Target="charts/chart1.xml"/><Relationship Id="rId52" Type="http://schemas.openxmlformats.org/officeDocument/2006/relationships/image" Target="media/image23.png"/><Relationship Id="rId51" Type="http://schemas.openxmlformats.org/officeDocument/2006/relationships/image" Target="media/image22.jpeg"/><Relationship Id="rId50" Type="http://schemas.openxmlformats.org/officeDocument/2006/relationships/image" Target="media/image21.png"/><Relationship Id="rId5" Type="http://schemas.openxmlformats.org/officeDocument/2006/relationships/header" Target="header1.xml"/><Relationship Id="rId49" Type="http://schemas.openxmlformats.org/officeDocument/2006/relationships/image" Target="media/image20.jpeg"/><Relationship Id="rId48" Type="http://schemas.openxmlformats.org/officeDocument/2006/relationships/image" Target="media/image19.jpeg"/><Relationship Id="rId47" Type="http://schemas.openxmlformats.org/officeDocument/2006/relationships/image" Target="media/image18.png"/><Relationship Id="rId46" Type="http://schemas.openxmlformats.org/officeDocument/2006/relationships/image" Target="media/image17.png"/><Relationship Id="rId45" Type="http://schemas.openxmlformats.org/officeDocument/2006/relationships/image" Target="media/image16.jpeg"/><Relationship Id="rId44" Type="http://schemas.openxmlformats.org/officeDocument/2006/relationships/image" Target="media/image15.wmf"/><Relationship Id="rId43" Type="http://schemas.openxmlformats.org/officeDocument/2006/relationships/oleObject" Target="embeddings/oleObject3.bin"/><Relationship Id="rId42" Type="http://schemas.openxmlformats.org/officeDocument/2006/relationships/image" Target="media/image14.wmf"/><Relationship Id="rId41" Type="http://schemas.openxmlformats.org/officeDocument/2006/relationships/oleObject" Target="embeddings/oleObject2.bin"/><Relationship Id="rId40" Type="http://schemas.openxmlformats.org/officeDocument/2006/relationships/image" Target="media/image13.jpeg"/><Relationship Id="rId4" Type="http://schemas.openxmlformats.org/officeDocument/2006/relationships/endnotes" Target="endnotes.xml"/><Relationship Id="rId39" Type="http://schemas.openxmlformats.org/officeDocument/2006/relationships/image" Target="media/image12.png"/><Relationship Id="rId38" Type="http://schemas.openxmlformats.org/officeDocument/2006/relationships/image" Target="media/image11.jpeg"/><Relationship Id="rId37" Type="http://schemas.openxmlformats.org/officeDocument/2006/relationships/image" Target="media/image10.png"/><Relationship Id="rId36" Type="http://schemas.openxmlformats.org/officeDocument/2006/relationships/image" Target="media/image9.jpeg"/><Relationship Id="rId35" Type="http://schemas.openxmlformats.org/officeDocument/2006/relationships/image" Target="media/image8.png"/><Relationship Id="rId34" Type="http://schemas.openxmlformats.org/officeDocument/2006/relationships/image" Target="media/image7.png"/><Relationship Id="rId33" Type="http://schemas.openxmlformats.org/officeDocument/2006/relationships/image" Target="media/image6.png"/><Relationship Id="rId32" Type="http://schemas.openxmlformats.org/officeDocument/2006/relationships/image" Target="media/image5.png"/><Relationship Id="rId31" Type="http://schemas.openxmlformats.org/officeDocument/2006/relationships/image" Target="media/image4.png"/><Relationship Id="rId30" Type="http://schemas.openxmlformats.org/officeDocument/2006/relationships/image" Target="media/image3.wmf"/><Relationship Id="rId3" Type="http://schemas.openxmlformats.org/officeDocument/2006/relationships/footnotes" Target="footnotes.xml"/><Relationship Id="rId29" Type="http://schemas.openxmlformats.org/officeDocument/2006/relationships/oleObject" Target="embeddings/oleObject1.bin"/><Relationship Id="rId28" Type="http://schemas.openxmlformats.org/officeDocument/2006/relationships/image" Target="media/image2.png"/><Relationship Id="rId27" Type="http://schemas.openxmlformats.org/officeDocument/2006/relationships/image" Target="media/image1.jpeg"/><Relationship Id="rId26" Type="http://schemas.openxmlformats.org/officeDocument/2006/relationships/theme" Target="theme/theme1.xml"/><Relationship Id="rId25" Type="http://schemas.openxmlformats.org/officeDocument/2006/relationships/header" Target="header9.xml"/><Relationship Id="rId24" Type="http://schemas.openxmlformats.org/officeDocument/2006/relationships/footer" Target="footer12.xml"/><Relationship Id="rId23" Type="http://schemas.openxmlformats.org/officeDocument/2006/relationships/header" Target="header8.xml"/><Relationship Id="rId22" Type="http://schemas.openxmlformats.org/officeDocument/2006/relationships/footer" Target="footer11.xml"/><Relationship Id="rId218" Type="http://schemas.openxmlformats.org/officeDocument/2006/relationships/fontTable" Target="fontTable.xml"/><Relationship Id="rId217" Type="http://schemas.openxmlformats.org/officeDocument/2006/relationships/customXml" Target="../customXml/item3.xml"/><Relationship Id="rId216" Type="http://schemas.openxmlformats.org/officeDocument/2006/relationships/customXml" Target="../customXml/item2.xml"/><Relationship Id="rId215" Type="http://schemas.openxmlformats.org/officeDocument/2006/relationships/numbering" Target="numbering.xml"/><Relationship Id="rId214" Type="http://schemas.openxmlformats.org/officeDocument/2006/relationships/customXml" Target="../customXml/item1.xml"/><Relationship Id="rId213" Type="http://schemas.openxmlformats.org/officeDocument/2006/relationships/image" Target="media/image169.png"/><Relationship Id="rId212" Type="http://schemas.openxmlformats.org/officeDocument/2006/relationships/image" Target="media/image168.jpeg"/><Relationship Id="rId211" Type="http://schemas.openxmlformats.org/officeDocument/2006/relationships/image" Target="media/image167.jpeg"/><Relationship Id="rId210" Type="http://schemas.openxmlformats.org/officeDocument/2006/relationships/image" Target="media/image166.jpeg"/><Relationship Id="rId21" Type="http://schemas.openxmlformats.org/officeDocument/2006/relationships/footer" Target="footer10.xml"/><Relationship Id="rId209" Type="http://schemas.openxmlformats.org/officeDocument/2006/relationships/image" Target="media/image165.jpeg"/><Relationship Id="rId208" Type="http://schemas.openxmlformats.org/officeDocument/2006/relationships/image" Target="media/image164.jpeg"/><Relationship Id="rId207" Type="http://schemas.openxmlformats.org/officeDocument/2006/relationships/image" Target="media/image163.jpeg"/><Relationship Id="rId206" Type="http://schemas.openxmlformats.org/officeDocument/2006/relationships/image" Target="media/image162.jpeg"/><Relationship Id="rId205" Type="http://schemas.openxmlformats.org/officeDocument/2006/relationships/image" Target="media/image161.jpeg"/><Relationship Id="rId204" Type="http://schemas.openxmlformats.org/officeDocument/2006/relationships/image" Target="media/image160.jpeg"/><Relationship Id="rId203" Type="http://schemas.openxmlformats.org/officeDocument/2006/relationships/image" Target="media/image159.jpeg"/><Relationship Id="rId202" Type="http://schemas.openxmlformats.org/officeDocument/2006/relationships/image" Target="media/image158.jpeg"/><Relationship Id="rId201" Type="http://schemas.openxmlformats.org/officeDocument/2006/relationships/image" Target="media/image157.jpeg"/><Relationship Id="rId200" Type="http://schemas.openxmlformats.org/officeDocument/2006/relationships/image" Target="media/image156.jpeg"/><Relationship Id="rId20" Type="http://schemas.openxmlformats.org/officeDocument/2006/relationships/footer" Target="footer9.xml"/><Relationship Id="rId2" Type="http://schemas.openxmlformats.org/officeDocument/2006/relationships/settings" Target="settings.xml"/><Relationship Id="rId199" Type="http://schemas.openxmlformats.org/officeDocument/2006/relationships/image" Target="media/image155.jpeg"/><Relationship Id="rId198" Type="http://schemas.openxmlformats.org/officeDocument/2006/relationships/image" Target="media/image154.jpeg"/><Relationship Id="rId197" Type="http://schemas.openxmlformats.org/officeDocument/2006/relationships/image" Target="media/image153.jpeg"/><Relationship Id="rId196" Type="http://schemas.openxmlformats.org/officeDocument/2006/relationships/image" Target="media/image152.jpeg"/><Relationship Id="rId195" Type="http://schemas.openxmlformats.org/officeDocument/2006/relationships/image" Target="media/image151.jpeg"/><Relationship Id="rId194" Type="http://schemas.openxmlformats.org/officeDocument/2006/relationships/image" Target="media/image150.jpeg"/><Relationship Id="rId193" Type="http://schemas.openxmlformats.org/officeDocument/2006/relationships/image" Target="media/image149.jpeg"/><Relationship Id="rId192" Type="http://schemas.openxmlformats.org/officeDocument/2006/relationships/image" Target="media/image148.jpeg"/><Relationship Id="rId191" Type="http://schemas.openxmlformats.org/officeDocument/2006/relationships/image" Target="media/image147.jpeg"/><Relationship Id="rId190" Type="http://schemas.openxmlformats.org/officeDocument/2006/relationships/image" Target="media/image146.jpeg"/><Relationship Id="rId19" Type="http://schemas.openxmlformats.org/officeDocument/2006/relationships/header" Target="header7.xml"/><Relationship Id="rId189" Type="http://schemas.openxmlformats.org/officeDocument/2006/relationships/image" Target="media/image145.jpeg"/><Relationship Id="rId188" Type="http://schemas.openxmlformats.org/officeDocument/2006/relationships/image" Target="media/image144.jpeg"/><Relationship Id="rId187" Type="http://schemas.openxmlformats.org/officeDocument/2006/relationships/image" Target="media/image143.jpeg"/><Relationship Id="rId186" Type="http://schemas.openxmlformats.org/officeDocument/2006/relationships/image" Target="media/image142.jpeg"/><Relationship Id="rId185" Type="http://schemas.openxmlformats.org/officeDocument/2006/relationships/image" Target="media/image141.jpeg"/><Relationship Id="rId184" Type="http://schemas.openxmlformats.org/officeDocument/2006/relationships/image" Target="media/image140.jpeg"/><Relationship Id="rId183" Type="http://schemas.openxmlformats.org/officeDocument/2006/relationships/image" Target="media/image139.jpeg"/><Relationship Id="rId182" Type="http://schemas.openxmlformats.org/officeDocument/2006/relationships/image" Target="media/image138.jpeg"/><Relationship Id="rId181" Type="http://schemas.openxmlformats.org/officeDocument/2006/relationships/image" Target="media/image137.jpeg"/><Relationship Id="rId180" Type="http://schemas.openxmlformats.org/officeDocument/2006/relationships/image" Target="media/image136.jpeg"/><Relationship Id="rId18" Type="http://schemas.openxmlformats.org/officeDocument/2006/relationships/footer" Target="footer8.xml"/><Relationship Id="rId179" Type="http://schemas.openxmlformats.org/officeDocument/2006/relationships/image" Target="media/image135.jpeg"/><Relationship Id="rId178" Type="http://schemas.openxmlformats.org/officeDocument/2006/relationships/image" Target="media/image134.jpeg"/><Relationship Id="rId177" Type="http://schemas.openxmlformats.org/officeDocument/2006/relationships/image" Target="media/image133.png"/><Relationship Id="rId176" Type="http://schemas.openxmlformats.org/officeDocument/2006/relationships/image" Target="media/image132.png"/><Relationship Id="rId175" Type="http://schemas.openxmlformats.org/officeDocument/2006/relationships/image" Target="media/image131.jpeg"/><Relationship Id="rId174" Type="http://schemas.openxmlformats.org/officeDocument/2006/relationships/image" Target="media/image130.jpeg"/><Relationship Id="rId173" Type="http://schemas.openxmlformats.org/officeDocument/2006/relationships/image" Target="media/image129.jpeg"/><Relationship Id="rId172" Type="http://schemas.openxmlformats.org/officeDocument/2006/relationships/image" Target="media/image128.jpeg"/><Relationship Id="rId171" Type="http://schemas.openxmlformats.org/officeDocument/2006/relationships/image" Target="media/image127.jpeg"/><Relationship Id="rId170" Type="http://schemas.openxmlformats.org/officeDocument/2006/relationships/image" Target="media/image126.jpeg"/><Relationship Id="rId17" Type="http://schemas.openxmlformats.org/officeDocument/2006/relationships/footer" Target="footer7.xml"/><Relationship Id="rId169" Type="http://schemas.openxmlformats.org/officeDocument/2006/relationships/image" Target="media/image125.jpeg"/><Relationship Id="rId168" Type="http://schemas.openxmlformats.org/officeDocument/2006/relationships/image" Target="media/image124.jpeg"/><Relationship Id="rId167" Type="http://schemas.openxmlformats.org/officeDocument/2006/relationships/image" Target="media/image123.jpeg"/><Relationship Id="rId166" Type="http://schemas.openxmlformats.org/officeDocument/2006/relationships/image" Target="media/image122.jpeg"/><Relationship Id="rId165" Type="http://schemas.openxmlformats.org/officeDocument/2006/relationships/image" Target="media/image121.png"/><Relationship Id="rId164" Type="http://schemas.openxmlformats.org/officeDocument/2006/relationships/image" Target="media/image120.jpeg"/><Relationship Id="rId163" Type="http://schemas.openxmlformats.org/officeDocument/2006/relationships/image" Target="media/image119.jpeg"/><Relationship Id="rId162" Type="http://schemas.openxmlformats.org/officeDocument/2006/relationships/image" Target="media/image118.jpeg"/><Relationship Id="rId161" Type="http://schemas.openxmlformats.org/officeDocument/2006/relationships/image" Target="media/image117.jpeg"/><Relationship Id="rId160" Type="http://schemas.openxmlformats.org/officeDocument/2006/relationships/image" Target="media/image116.png"/><Relationship Id="rId16" Type="http://schemas.openxmlformats.org/officeDocument/2006/relationships/footer" Target="footer6.xml"/><Relationship Id="rId159" Type="http://schemas.openxmlformats.org/officeDocument/2006/relationships/image" Target="media/image115.jpeg"/><Relationship Id="rId158" Type="http://schemas.openxmlformats.org/officeDocument/2006/relationships/image" Target="media/image114.jpeg"/><Relationship Id="rId157" Type="http://schemas.openxmlformats.org/officeDocument/2006/relationships/image" Target="media/image113.jpeg"/><Relationship Id="rId156" Type="http://schemas.openxmlformats.org/officeDocument/2006/relationships/image" Target="media/image112.png"/><Relationship Id="rId155" Type="http://schemas.openxmlformats.org/officeDocument/2006/relationships/image" Target="media/image111.jpeg"/><Relationship Id="rId154" Type="http://schemas.openxmlformats.org/officeDocument/2006/relationships/image" Target="media/image110.jpeg"/><Relationship Id="rId153" Type="http://schemas.openxmlformats.org/officeDocument/2006/relationships/image" Target="media/image109.png"/><Relationship Id="rId152" Type="http://schemas.openxmlformats.org/officeDocument/2006/relationships/image" Target="media/image108.jpeg"/><Relationship Id="rId151" Type="http://schemas.openxmlformats.org/officeDocument/2006/relationships/image" Target="media/image107.png"/><Relationship Id="rId150" Type="http://schemas.openxmlformats.org/officeDocument/2006/relationships/image" Target="media/image106.png"/><Relationship Id="rId15" Type="http://schemas.openxmlformats.org/officeDocument/2006/relationships/header" Target="header6.xml"/><Relationship Id="rId149" Type="http://schemas.openxmlformats.org/officeDocument/2006/relationships/image" Target="media/image105.png"/><Relationship Id="rId148" Type="http://schemas.openxmlformats.org/officeDocument/2006/relationships/image" Target="media/image104.png"/><Relationship Id="rId147" Type="http://schemas.openxmlformats.org/officeDocument/2006/relationships/image" Target="media/image103.png"/><Relationship Id="rId146" Type="http://schemas.openxmlformats.org/officeDocument/2006/relationships/image" Target="media/image102.png"/><Relationship Id="rId145" Type="http://schemas.openxmlformats.org/officeDocument/2006/relationships/image" Target="media/image101.png"/><Relationship Id="rId144" Type="http://schemas.openxmlformats.org/officeDocument/2006/relationships/image" Target="media/image100.png"/><Relationship Id="rId143" Type="http://schemas.openxmlformats.org/officeDocument/2006/relationships/image" Target="media/image99.png"/><Relationship Id="rId142" Type="http://schemas.openxmlformats.org/officeDocument/2006/relationships/image" Target="media/image98.png"/><Relationship Id="rId141" Type="http://schemas.openxmlformats.org/officeDocument/2006/relationships/image" Target="media/image97.wmf"/><Relationship Id="rId140" Type="http://schemas.openxmlformats.org/officeDocument/2006/relationships/oleObject" Target="embeddings/oleObject17.bin"/><Relationship Id="rId14" Type="http://schemas.openxmlformats.org/officeDocument/2006/relationships/footer" Target="footer5.xml"/><Relationship Id="rId139" Type="http://schemas.openxmlformats.org/officeDocument/2006/relationships/image" Target="media/image96.jpeg"/><Relationship Id="rId138" Type="http://schemas.openxmlformats.org/officeDocument/2006/relationships/image" Target="media/image95.wmf"/><Relationship Id="rId137" Type="http://schemas.openxmlformats.org/officeDocument/2006/relationships/image" Target="media/image94.wmf"/><Relationship Id="rId136" Type="http://schemas.openxmlformats.org/officeDocument/2006/relationships/image" Target="media/image93.jpeg"/><Relationship Id="rId135" Type="http://schemas.openxmlformats.org/officeDocument/2006/relationships/image" Target="media/image92.png"/><Relationship Id="rId134" Type="http://schemas.openxmlformats.org/officeDocument/2006/relationships/image" Target="media/image91.png"/><Relationship Id="rId133" Type="http://schemas.openxmlformats.org/officeDocument/2006/relationships/image" Target="media/image90.png"/><Relationship Id="rId132" Type="http://schemas.openxmlformats.org/officeDocument/2006/relationships/image" Target="media/image89.png"/><Relationship Id="rId131" Type="http://schemas.openxmlformats.org/officeDocument/2006/relationships/image" Target="media/image88.png"/><Relationship Id="rId130" Type="http://schemas.openxmlformats.org/officeDocument/2006/relationships/image" Target="media/image87.png"/><Relationship Id="rId13" Type="http://schemas.openxmlformats.org/officeDocument/2006/relationships/footer" Target="footer4.xml"/><Relationship Id="rId129" Type="http://schemas.openxmlformats.org/officeDocument/2006/relationships/image" Target="media/image86.png"/><Relationship Id="rId128" Type="http://schemas.openxmlformats.org/officeDocument/2006/relationships/image" Target="media/image85.png"/><Relationship Id="rId127" Type="http://schemas.openxmlformats.org/officeDocument/2006/relationships/image" Target="media/image84.png"/><Relationship Id="rId126" Type="http://schemas.openxmlformats.org/officeDocument/2006/relationships/image" Target="media/image83.png"/><Relationship Id="rId125" Type="http://schemas.openxmlformats.org/officeDocument/2006/relationships/image" Target="media/image82.png"/><Relationship Id="rId124" Type="http://schemas.openxmlformats.org/officeDocument/2006/relationships/image" Target="media/image81.png"/><Relationship Id="rId123" Type="http://schemas.openxmlformats.org/officeDocument/2006/relationships/image" Target="media/image80.png"/><Relationship Id="rId122" Type="http://schemas.openxmlformats.org/officeDocument/2006/relationships/image" Target="media/image79.png"/><Relationship Id="rId121" Type="http://schemas.openxmlformats.org/officeDocument/2006/relationships/image" Target="media/image78.png"/><Relationship Id="rId120" Type="http://schemas.openxmlformats.org/officeDocument/2006/relationships/image" Target="media/image77.png"/><Relationship Id="rId12" Type="http://schemas.openxmlformats.org/officeDocument/2006/relationships/header" Target="header5.xml"/><Relationship Id="rId119" Type="http://schemas.openxmlformats.org/officeDocument/2006/relationships/image" Target="media/image76.png"/><Relationship Id="rId118" Type="http://schemas.openxmlformats.org/officeDocument/2006/relationships/image" Target="media/image75.png"/><Relationship Id="rId117" Type="http://schemas.openxmlformats.org/officeDocument/2006/relationships/image" Target="media/image74.png"/><Relationship Id="rId116" Type="http://schemas.openxmlformats.org/officeDocument/2006/relationships/image" Target="media/image73.png"/><Relationship Id="rId115" Type="http://schemas.openxmlformats.org/officeDocument/2006/relationships/image" Target="media/image72.jpeg"/><Relationship Id="rId114" Type="http://schemas.openxmlformats.org/officeDocument/2006/relationships/image" Target="media/image71.png"/><Relationship Id="rId113" Type="http://schemas.openxmlformats.org/officeDocument/2006/relationships/image" Target="media/image70.png"/><Relationship Id="rId112" Type="http://schemas.openxmlformats.org/officeDocument/2006/relationships/image" Target="media/image69.png"/><Relationship Id="rId111" Type="http://schemas.openxmlformats.org/officeDocument/2006/relationships/image" Target="media/image68.png"/><Relationship Id="rId110" Type="http://schemas.openxmlformats.org/officeDocument/2006/relationships/image" Target="media/image67.png"/><Relationship Id="rId11" Type="http://schemas.openxmlformats.org/officeDocument/2006/relationships/header" Target="header4.xml"/><Relationship Id="rId109" Type="http://schemas.openxmlformats.org/officeDocument/2006/relationships/image" Target="media/image66.wmf"/><Relationship Id="rId108" Type="http://schemas.openxmlformats.org/officeDocument/2006/relationships/oleObject" Target="embeddings/oleObject16.bin"/><Relationship Id="rId107" Type="http://schemas.openxmlformats.org/officeDocument/2006/relationships/image" Target="media/image65.wmf"/><Relationship Id="rId106" Type="http://schemas.openxmlformats.org/officeDocument/2006/relationships/oleObject" Target="embeddings/oleObject15.bin"/><Relationship Id="rId105" Type="http://schemas.openxmlformats.org/officeDocument/2006/relationships/image" Target="media/image64.wmf"/><Relationship Id="rId104" Type="http://schemas.openxmlformats.org/officeDocument/2006/relationships/oleObject" Target="embeddings/oleObject14.bin"/><Relationship Id="rId103" Type="http://schemas.openxmlformats.org/officeDocument/2006/relationships/image" Target="media/image63.png"/><Relationship Id="rId102" Type="http://schemas.openxmlformats.org/officeDocument/2006/relationships/image" Target="media/image62.png"/><Relationship Id="rId101" Type="http://schemas.openxmlformats.org/officeDocument/2006/relationships/image" Target="media/image61.jpeg"/><Relationship Id="rId100" Type="http://schemas.openxmlformats.org/officeDocument/2006/relationships/image" Target="media/image60.wmf"/><Relationship Id="rId10" Type="http://schemas.openxmlformats.org/officeDocument/2006/relationships/footer" Target="footer3.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4" Type="http://schemas.microsoft.com/office/2011/relationships/chartColorStyle" Target="colors1.xml"/><Relationship Id="rId3" Type="http://schemas.microsoft.com/office/2011/relationships/chartStyle" Target="style1.xml"/><Relationship Id="rId2" Type="http://schemas.openxmlformats.org/officeDocument/2006/relationships/themeOverride" Target="../theme/themeOverride1.xml"/><Relationship Id="rId1" Type="http://schemas.openxmlformats.org/officeDocument/2006/relationships/oleObject" Target="file:///F:\&#25152;&#26377;&#36164;&#26009;\&#20844;&#24335;\&#28183;&#36879;&#31995;&#25968;&#21453;&#25512;.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56055555555556"/>
          <c:y val="0.0509259259259259"/>
          <c:w val="0.811305555555556"/>
          <c:h val="0.74037037037037"/>
        </c:manualLayout>
      </c:layout>
      <c:scatterChart>
        <c:scatterStyle val="smoothMarker"/>
        <c:varyColors val="0"/>
        <c:ser>
          <c:idx val="4"/>
          <c:order val="4"/>
          <c:tx>
            <c:strRef>
              <c:f>'[渗透系数反推.xls]补加10-3'!$A$6</c:f>
              <c:strCache>
                <c:ptCount val="1"/>
                <c:pt idx="0">
                  <c:v>0.0045</c:v>
                </c:pt>
              </c:strCache>
            </c:strRef>
          </c:tx>
          <c:spPr>
            <a:ln w="19050" cap="rnd">
              <a:solidFill>
                <a:schemeClr val="accent2">
                  <a:lumMod val="75000"/>
                </a:schemeClr>
              </a:solidFill>
              <a:round/>
            </a:ln>
            <a:effectLst/>
          </c:spPr>
          <c:marker>
            <c:symbol val="circle"/>
            <c:size val="5"/>
            <c:spPr>
              <a:solidFill>
                <a:schemeClr val="accent2">
                  <a:lumMod val="75000"/>
                </a:schemeClr>
              </a:solidFill>
              <a:ln w="9525">
                <a:solidFill>
                  <a:schemeClr val="accent2">
                    <a:lumMod val="75000"/>
                  </a:schemeClr>
                </a:solidFill>
              </a:ln>
              <a:effectLst/>
            </c:spPr>
          </c:marker>
          <c:dLbls>
            <c:delete val="1"/>
          </c:dLbls>
          <c:xVal>
            <c:numRef>
              <c:f>{1,2,3,4,5,6,7,8,9,10,11,12,13,14,15,16,17,18,19,20,21,22,23,24,25,26,27,28,29,30,31,32,33,34,35,36,37,38,39,40,41,42,43,44,45,46,47,48,49,50,51,52,53,54,55,56,57,58,59,60}</c:f>
              <c:numCache>
                <c:formatCode>General</c:formatCode>
                <c:ptCount val="6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numCache>
            </c:numRef>
          </c:xVal>
          <c:yVal>
            <c:numRef>
              <c:f>{5750,5630,5430,5310,5240,5160,5040,4960,4830,4760,4670,4530,4430,4310,4270,4110,4020,3940,3940,3940,3940,3850,3740,3650,3510,3400,3400,3400,3400,3400,3360,3240,3100,2940,2830,2740,2640,2540,2440,2270,2090,1990,1730,1570,1460,1240,1090,870,630,540,450,310,310,310,310,310,310,310,310,310}</c:f>
              <c:numCache>
                <c:formatCode>General</c:formatCode>
                <c:ptCount val="60"/>
                <c:pt idx="0">
                  <c:v>5750</c:v>
                </c:pt>
                <c:pt idx="1">
                  <c:v>5630</c:v>
                </c:pt>
                <c:pt idx="2">
                  <c:v>5430</c:v>
                </c:pt>
                <c:pt idx="3">
                  <c:v>5310</c:v>
                </c:pt>
                <c:pt idx="4">
                  <c:v>5240</c:v>
                </c:pt>
                <c:pt idx="5">
                  <c:v>5160</c:v>
                </c:pt>
                <c:pt idx="6">
                  <c:v>5040</c:v>
                </c:pt>
                <c:pt idx="7">
                  <c:v>4960</c:v>
                </c:pt>
                <c:pt idx="8">
                  <c:v>4830</c:v>
                </c:pt>
                <c:pt idx="9">
                  <c:v>4760</c:v>
                </c:pt>
                <c:pt idx="10">
                  <c:v>4670</c:v>
                </c:pt>
                <c:pt idx="11">
                  <c:v>4530</c:v>
                </c:pt>
                <c:pt idx="12">
                  <c:v>4430</c:v>
                </c:pt>
                <c:pt idx="13">
                  <c:v>4310</c:v>
                </c:pt>
                <c:pt idx="14">
                  <c:v>4270</c:v>
                </c:pt>
                <c:pt idx="15">
                  <c:v>4110</c:v>
                </c:pt>
                <c:pt idx="16">
                  <c:v>4020</c:v>
                </c:pt>
                <c:pt idx="17">
                  <c:v>3940</c:v>
                </c:pt>
                <c:pt idx="18">
                  <c:v>3940</c:v>
                </c:pt>
                <c:pt idx="19">
                  <c:v>3940</c:v>
                </c:pt>
                <c:pt idx="20">
                  <c:v>3940</c:v>
                </c:pt>
                <c:pt idx="21">
                  <c:v>3850</c:v>
                </c:pt>
                <c:pt idx="22">
                  <c:v>3740</c:v>
                </c:pt>
                <c:pt idx="23">
                  <c:v>3650</c:v>
                </c:pt>
                <c:pt idx="24">
                  <c:v>3510</c:v>
                </c:pt>
                <c:pt idx="25">
                  <c:v>3400</c:v>
                </c:pt>
                <c:pt idx="26">
                  <c:v>3400</c:v>
                </c:pt>
                <c:pt idx="27">
                  <c:v>3400</c:v>
                </c:pt>
                <c:pt idx="28">
                  <c:v>3400</c:v>
                </c:pt>
                <c:pt idx="29">
                  <c:v>3400</c:v>
                </c:pt>
                <c:pt idx="30">
                  <c:v>3360</c:v>
                </c:pt>
                <c:pt idx="31">
                  <c:v>3240</c:v>
                </c:pt>
                <c:pt idx="32">
                  <c:v>3100</c:v>
                </c:pt>
                <c:pt idx="33">
                  <c:v>2940</c:v>
                </c:pt>
                <c:pt idx="34">
                  <c:v>2830</c:v>
                </c:pt>
                <c:pt idx="35">
                  <c:v>2740</c:v>
                </c:pt>
                <c:pt idx="36">
                  <c:v>2640</c:v>
                </c:pt>
                <c:pt idx="37">
                  <c:v>2540</c:v>
                </c:pt>
                <c:pt idx="38">
                  <c:v>2440</c:v>
                </c:pt>
                <c:pt idx="39">
                  <c:v>2270</c:v>
                </c:pt>
                <c:pt idx="40">
                  <c:v>2090</c:v>
                </c:pt>
                <c:pt idx="41">
                  <c:v>1990</c:v>
                </c:pt>
                <c:pt idx="42">
                  <c:v>1730</c:v>
                </c:pt>
                <c:pt idx="43">
                  <c:v>1570</c:v>
                </c:pt>
                <c:pt idx="44">
                  <c:v>1460</c:v>
                </c:pt>
                <c:pt idx="45">
                  <c:v>1240</c:v>
                </c:pt>
                <c:pt idx="46">
                  <c:v>1090</c:v>
                </c:pt>
                <c:pt idx="47">
                  <c:v>870</c:v>
                </c:pt>
                <c:pt idx="48">
                  <c:v>630</c:v>
                </c:pt>
                <c:pt idx="49">
                  <c:v>540</c:v>
                </c:pt>
                <c:pt idx="50">
                  <c:v>450</c:v>
                </c:pt>
                <c:pt idx="51">
                  <c:v>310</c:v>
                </c:pt>
                <c:pt idx="52">
                  <c:v>310</c:v>
                </c:pt>
                <c:pt idx="53">
                  <c:v>310</c:v>
                </c:pt>
                <c:pt idx="54">
                  <c:v>310</c:v>
                </c:pt>
                <c:pt idx="55">
                  <c:v>310</c:v>
                </c:pt>
                <c:pt idx="56">
                  <c:v>310</c:v>
                </c:pt>
                <c:pt idx="57">
                  <c:v>310</c:v>
                </c:pt>
                <c:pt idx="58">
                  <c:v>310</c:v>
                </c:pt>
                <c:pt idx="59">
                  <c:v>310</c:v>
                </c:pt>
              </c:numCache>
            </c:numRef>
          </c:yVal>
          <c:smooth val="1"/>
        </c:ser>
        <c:dLbls>
          <c:showLegendKey val="0"/>
          <c:showVal val="0"/>
          <c:showCatName val="0"/>
          <c:showSerName val="0"/>
          <c:showPercent val="0"/>
          <c:showBubbleSize val="0"/>
        </c:dLbls>
        <c:axId val="662060477"/>
        <c:axId val="731849825"/>
        <c:extLst>
          <c:ext xmlns:c15="http://schemas.microsoft.com/office/drawing/2012/chart" uri="{02D57815-91ED-43cb-92C2-25804820EDAC}">
            <c15:filteredScatterSeries>
              <c15:ser>
                <c:idx val="0"/>
                <c:order val="0"/>
                <c:tx>
                  <c:strRef>
                    <c:extLst>
                      <c:ext uri="{02D57815-91ED-43cb-92C2-25804820EDAC}">
                        <c15:formulaRef>
                          <c15:sqref>'[渗透系数反推.xls]补加10-3'!$A$2</c15:sqref>
                        </c15:formulaRef>
                      </c:ext>
                    </c:extLst>
                    <c:strCache>
                      <c:ptCount val="1"/>
                      <c:pt idx="0">
                        <c:v>0.0014</c:v>
                      </c:pt>
                    </c:strCache>
                  </c:strRef>
                </c:tx>
                <c:spPr>
                  <a:ln w="19050" cap="rnd">
                    <a:solidFill>
                      <a:schemeClr val="accent2">
                        <a:lumMod val="75000"/>
                      </a:schemeClr>
                    </a:solidFill>
                    <a:round/>
                  </a:ln>
                  <a:effectLst/>
                </c:spPr>
                <c:marker>
                  <c:symbol val="circle"/>
                  <c:size val="5"/>
                  <c:spPr>
                    <a:solidFill>
                      <a:schemeClr val="accent2">
                        <a:lumMod val="75000"/>
                      </a:schemeClr>
                    </a:solidFill>
                    <a:ln w="9525">
                      <a:solidFill>
                        <a:schemeClr val="accent2">
                          <a:lumMod val="75000"/>
                        </a:schemeClr>
                      </a:solidFill>
                    </a:ln>
                    <a:effectLst/>
                  </c:spPr>
                </c:marker>
                <c:dLbls>
                  <c:delete val="1"/>
                </c:dLbls>
                <c:xVal>
                  <c:numRef>
                    <c:f>{1,2,3,4,5,6,7,8,9,10,11,12,13,14,15,16,17,18,19,20,21,22,23,24,25,26,27,28,29,30,31,32,33,34,35,36,37,38,39,40,41,42,43,44,45,46,47,48,49,50,51,52,53,54,55,56,57,58,59,60}</c:f>
                    <c:numCache>
                      <c:formatCode>General</c:formatCode>
                      <c:ptCount val="6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numCache>
                  </c:numRef>
                </c:xVal>
                <c:yVal>
                  <c:numRef>
                    <c:f>{4890,4800,4760,4320,4290,4160,4050,3960,3810,3650,3370,3100,2940,2760,2500,2500,2500,2510,2510,2310,2130,2010,1940,1800,1840,1850,1860,1800,1730,1600,1470,1260,1020,940,810,730,600,510,460,370,310,270,200,140,130,120,110,100,90,80,80,80,80,80,80,80,80,80,80,80}</c:f>
                    <c:numCache>
                      <c:formatCode>General</c:formatCode>
                      <c:ptCount val="60"/>
                      <c:pt idx="0">
                        <c:v>4890</c:v>
                      </c:pt>
                      <c:pt idx="1">
                        <c:v>4800</c:v>
                      </c:pt>
                      <c:pt idx="2">
                        <c:v>4760</c:v>
                      </c:pt>
                      <c:pt idx="3">
                        <c:v>4320</c:v>
                      </c:pt>
                      <c:pt idx="4">
                        <c:v>4290</c:v>
                      </c:pt>
                      <c:pt idx="5">
                        <c:v>4160</c:v>
                      </c:pt>
                      <c:pt idx="6">
                        <c:v>4050</c:v>
                      </c:pt>
                      <c:pt idx="7">
                        <c:v>3960</c:v>
                      </c:pt>
                      <c:pt idx="8">
                        <c:v>3810</c:v>
                      </c:pt>
                      <c:pt idx="9">
                        <c:v>3650</c:v>
                      </c:pt>
                      <c:pt idx="10">
                        <c:v>3370</c:v>
                      </c:pt>
                      <c:pt idx="11">
                        <c:v>3100</c:v>
                      </c:pt>
                      <c:pt idx="12">
                        <c:v>2940</c:v>
                      </c:pt>
                      <c:pt idx="13">
                        <c:v>2760</c:v>
                      </c:pt>
                      <c:pt idx="14">
                        <c:v>2500</c:v>
                      </c:pt>
                      <c:pt idx="15">
                        <c:v>2500</c:v>
                      </c:pt>
                      <c:pt idx="16">
                        <c:v>2500</c:v>
                      </c:pt>
                      <c:pt idx="17">
                        <c:v>2510</c:v>
                      </c:pt>
                      <c:pt idx="18">
                        <c:v>2510</c:v>
                      </c:pt>
                      <c:pt idx="19">
                        <c:v>2310</c:v>
                      </c:pt>
                      <c:pt idx="20">
                        <c:v>2130</c:v>
                      </c:pt>
                      <c:pt idx="21">
                        <c:v>2010</c:v>
                      </c:pt>
                      <c:pt idx="22">
                        <c:v>1940</c:v>
                      </c:pt>
                      <c:pt idx="23">
                        <c:v>1800</c:v>
                      </c:pt>
                      <c:pt idx="24">
                        <c:v>1840</c:v>
                      </c:pt>
                      <c:pt idx="25">
                        <c:v>1850</c:v>
                      </c:pt>
                      <c:pt idx="26">
                        <c:v>1860</c:v>
                      </c:pt>
                      <c:pt idx="27">
                        <c:v>1800</c:v>
                      </c:pt>
                      <c:pt idx="28">
                        <c:v>1730</c:v>
                      </c:pt>
                      <c:pt idx="29">
                        <c:v>1600</c:v>
                      </c:pt>
                      <c:pt idx="30">
                        <c:v>1470</c:v>
                      </c:pt>
                      <c:pt idx="31">
                        <c:v>1260</c:v>
                      </c:pt>
                      <c:pt idx="32">
                        <c:v>1020</c:v>
                      </c:pt>
                      <c:pt idx="33">
                        <c:v>940</c:v>
                      </c:pt>
                      <c:pt idx="34">
                        <c:v>810</c:v>
                      </c:pt>
                      <c:pt idx="35">
                        <c:v>730</c:v>
                      </c:pt>
                      <c:pt idx="36">
                        <c:v>600</c:v>
                      </c:pt>
                      <c:pt idx="37">
                        <c:v>510</c:v>
                      </c:pt>
                      <c:pt idx="38">
                        <c:v>460</c:v>
                      </c:pt>
                      <c:pt idx="39">
                        <c:v>370</c:v>
                      </c:pt>
                      <c:pt idx="40">
                        <c:v>310</c:v>
                      </c:pt>
                      <c:pt idx="41">
                        <c:v>270</c:v>
                      </c:pt>
                      <c:pt idx="42">
                        <c:v>200</c:v>
                      </c:pt>
                      <c:pt idx="43">
                        <c:v>140</c:v>
                      </c:pt>
                      <c:pt idx="44">
                        <c:v>130</c:v>
                      </c:pt>
                      <c:pt idx="45">
                        <c:v>120</c:v>
                      </c:pt>
                      <c:pt idx="46">
                        <c:v>110</c:v>
                      </c:pt>
                      <c:pt idx="47">
                        <c:v>100</c:v>
                      </c:pt>
                      <c:pt idx="48">
                        <c:v>90</c:v>
                      </c:pt>
                      <c:pt idx="49">
                        <c:v>80</c:v>
                      </c:pt>
                      <c:pt idx="50">
                        <c:v>80</c:v>
                      </c:pt>
                      <c:pt idx="51">
                        <c:v>80</c:v>
                      </c:pt>
                      <c:pt idx="52">
                        <c:v>80</c:v>
                      </c:pt>
                      <c:pt idx="53">
                        <c:v>80</c:v>
                      </c:pt>
                      <c:pt idx="54">
                        <c:v>80</c:v>
                      </c:pt>
                      <c:pt idx="55">
                        <c:v>80</c:v>
                      </c:pt>
                      <c:pt idx="56">
                        <c:v>80</c:v>
                      </c:pt>
                      <c:pt idx="57">
                        <c:v>80</c:v>
                      </c:pt>
                      <c:pt idx="58">
                        <c:v>80</c:v>
                      </c:pt>
                      <c:pt idx="59">
                        <c:v>80</c:v>
                      </c:pt>
                    </c:numCache>
                  </c:numRef>
                </c:yVal>
                <c:smooth val="1"/>
              </c15:ser>
            </c15:filteredScatterSeries>
            <c15:filteredScatterSeries>
              <c15:ser>
                <c:idx val="1"/>
                <c:order val="1"/>
                <c:tx>
                  <c:strRef>
                    <c:extLst>
                      <c:ext uri="{02D57815-91ED-43cb-92C2-25804820EDAC}">
                        <c15:formulaRef>
                          <c15:sqref>'[渗透系数反推.xls]补加10-3'!$A$3</c15:sqref>
                        </c15:formulaRef>
                      </c:ext>
                    </c:extLst>
                    <c:strCache>
                      <c:ptCount val="1"/>
                      <c:pt idx="0">
                        <c:v>0.0018</c:v>
                      </c:pt>
                    </c:strCache>
                  </c:strRef>
                </c:tx>
                <c:spPr>
                  <a:ln w="19050" cap="rnd">
                    <a:solidFill>
                      <a:schemeClr val="accent2">
                        <a:lumMod val="75000"/>
                      </a:schemeClr>
                    </a:solidFill>
                    <a:round/>
                  </a:ln>
                  <a:effectLst/>
                </c:spPr>
                <c:marker>
                  <c:symbol val="circle"/>
                  <c:size val="5"/>
                  <c:spPr>
                    <a:solidFill>
                      <a:schemeClr val="accent2">
                        <a:lumMod val="75000"/>
                      </a:schemeClr>
                    </a:solidFill>
                    <a:ln w="9525">
                      <a:solidFill>
                        <a:schemeClr val="accent2">
                          <a:lumMod val="75000"/>
                        </a:schemeClr>
                      </a:solidFill>
                    </a:ln>
                    <a:effectLst/>
                  </c:spPr>
                </c:marker>
                <c:dLbls>
                  <c:delete val="1"/>
                </c:dLbls>
                <c:xVal>
                  <c:numRef>
                    <c:f>{1,2,3,4,5,6,7,8,9,10,11,12,13,14,15,16,17,18,19,20,21,22,23,24,25,26,27,28,29,30,31,32,33,34,35,36,37,38,39,40,41,42,43,44,45,46,47,48,49,50,51,52,53,54,55,56,57,58,59,60}</c:f>
                    <c:numCache>
                      <c:formatCode>General</c:formatCode>
                      <c:ptCount val="6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numCache>
                  </c:numRef>
                </c:xVal>
                <c:yVal>
                  <c:numRef>
                    <c:f>{4930,4840,4730,4650,4510,4370,4250,4080,3860,3740,3640,3470,3310,3410,3450,3460,3460,3460,3460,3340,3270,3140,3010,2930,2840,2680,2540,2460,2380,2240,2130,2010,1900,1830,1710,1550,1460,1320,1200,1200,1200,1100,1000,900,800,700,600,400,300,200,180,160,140,120,110,110,110,110,110,110}</c:f>
                    <c:numCache>
                      <c:formatCode>General</c:formatCode>
                      <c:ptCount val="60"/>
                      <c:pt idx="0">
                        <c:v>4930</c:v>
                      </c:pt>
                      <c:pt idx="1">
                        <c:v>4840</c:v>
                      </c:pt>
                      <c:pt idx="2">
                        <c:v>4730</c:v>
                      </c:pt>
                      <c:pt idx="3">
                        <c:v>4650</c:v>
                      </c:pt>
                      <c:pt idx="4">
                        <c:v>4510</c:v>
                      </c:pt>
                      <c:pt idx="5">
                        <c:v>4370</c:v>
                      </c:pt>
                      <c:pt idx="6">
                        <c:v>4250</c:v>
                      </c:pt>
                      <c:pt idx="7">
                        <c:v>4080</c:v>
                      </c:pt>
                      <c:pt idx="8">
                        <c:v>3860</c:v>
                      </c:pt>
                      <c:pt idx="9">
                        <c:v>3740</c:v>
                      </c:pt>
                      <c:pt idx="10">
                        <c:v>3640</c:v>
                      </c:pt>
                      <c:pt idx="11">
                        <c:v>3470</c:v>
                      </c:pt>
                      <c:pt idx="12">
                        <c:v>3310</c:v>
                      </c:pt>
                      <c:pt idx="13">
                        <c:v>3410</c:v>
                      </c:pt>
                      <c:pt idx="14">
                        <c:v>3450</c:v>
                      </c:pt>
                      <c:pt idx="15">
                        <c:v>3460</c:v>
                      </c:pt>
                      <c:pt idx="16">
                        <c:v>3460</c:v>
                      </c:pt>
                      <c:pt idx="17">
                        <c:v>3460</c:v>
                      </c:pt>
                      <c:pt idx="18">
                        <c:v>3460</c:v>
                      </c:pt>
                      <c:pt idx="19">
                        <c:v>3340</c:v>
                      </c:pt>
                      <c:pt idx="20">
                        <c:v>3270</c:v>
                      </c:pt>
                      <c:pt idx="21">
                        <c:v>3140</c:v>
                      </c:pt>
                      <c:pt idx="22">
                        <c:v>3010</c:v>
                      </c:pt>
                      <c:pt idx="23">
                        <c:v>2930</c:v>
                      </c:pt>
                      <c:pt idx="24">
                        <c:v>2840</c:v>
                      </c:pt>
                      <c:pt idx="25">
                        <c:v>2680</c:v>
                      </c:pt>
                      <c:pt idx="26">
                        <c:v>2540</c:v>
                      </c:pt>
                      <c:pt idx="27">
                        <c:v>2460</c:v>
                      </c:pt>
                      <c:pt idx="28">
                        <c:v>2380</c:v>
                      </c:pt>
                      <c:pt idx="29">
                        <c:v>2240</c:v>
                      </c:pt>
                      <c:pt idx="30">
                        <c:v>2130</c:v>
                      </c:pt>
                      <c:pt idx="31">
                        <c:v>2010</c:v>
                      </c:pt>
                      <c:pt idx="32">
                        <c:v>1900</c:v>
                      </c:pt>
                      <c:pt idx="33">
                        <c:v>1830</c:v>
                      </c:pt>
                      <c:pt idx="34">
                        <c:v>1710</c:v>
                      </c:pt>
                      <c:pt idx="35">
                        <c:v>1550</c:v>
                      </c:pt>
                      <c:pt idx="36">
                        <c:v>1460</c:v>
                      </c:pt>
                      <c:pt idx="37">
                        <c:v>1320</c:v>
                      </c:pt>
                      <c:pt idx="38">
                        <c:v>1200</c:v>
                      </c:pt>
                      <c:pt idx="39">
                        <c:v>1200</c:v>
                      </c:pt>
                      <c:pt idx="40">
                        <c:v>1200</c:v>
                      </c:pt>
                      <c:pt idx="41">
                        <c:v>1100</c:v>
                      </c:pt>
                      <c:pt idx="42">
                        <c:v>1000</c:v>
                      </c:pt>
                      <c:pt idx="43">
                        <c:v>900</c:v>
                      </c:pt>
                      <c:pt idx="44">
                        <c:v>800</c:v>
                      </c:pt>
                      <c:pt idx="45">
                        <c:v>700</c:v>
                      </c:pt>
                      <c:pt idx="46">
                        <c:v>600</c:v>
                      </c:pt>
                      <c:pt idx="47">
                        <c:v>400</c:v>
                      </c:pt>
                      <c:pt idx="48">
                        <c:v>300</c:v>
                      </c:pt>
                      <c:pt idx="49">
                        <c:v>200</c:v>
                      </c:pt>
                      <c:pt idx="50">
                        <c:v>180</c:v>
                      </c:pt>
                      <c:pt idx="51">
                        <c:v>160</c:v>
                      </c:pt>
                      <c:pt idx="52">
                        <c:v>140</c:v>
                      </c:pt>
                      <c:pt idx="53">
                        <c:v>120</c:v>
                      </c:pt>
                      <c:pt idx="54">
                        <c:v>110</c:v>
                      </c:pt>
                      <c:pt idx="55">
                        <c:v>110</c:v>
                      </c:pt>
                      <c:pt idx="56">
                        <c:v>110</c:v>
                      </c:pt>
                      <c:pt idx="57">
                        <c:v>110</c:v>
                      </c:pt>
                      <c:pt idx="58">
                        <c:v>110</c:v>
                      </c:pt>
                      <c:pt idx="59">
                        <c:v>110</c:v>
                      </c:pt>
                    </c:numCache>
                  </c:numRef>
                </c:yVal>
                <c:smooth val="1"/>
              </c15:ser>
            </c15:filteredScatterSeries>
            <c15:filteredScatterSeries>
              <c15:ser>
                <c:idx val="2"/>
                <c:order val="2"/>
                <c:tx>
                  <c:strRef>
                    <c:extLst>
                      <c:ext uri="{02D57815-91ED-43cb-92C2-25804820EDAC}">
                        <c15:formulaRef>
                          <c15:sqref>'[渗透系数反推.xls]补加10-3'!$A$4</c15:sqref>
                        </c15:formulaRef>
                      </c:ext>
                    </c:extLst>
                    <c:strCache>
                      <c:ptCount val="1"/>
                      <c:pt idx="0">
                        <c:v>0.0021</c:v>
                      </c:pt>
                    </c:strCache>
                  </c:strRef>
                </c:tx>
                <c:spPr>
                  <a:ln w="19050" cap="rnd">
                    <a:solidFill>
                      <a:schemeClr val="accent2">
                        <a:lumMod val="75000"/>
                      </a:schemeClr>
                    </a:solidFill>
                    <a:round/>
                  </a:ln>
                  <a:effectLst/>
                </c:spPr>
                <c:marker>
                  <c:symbol val="circle"/>
                  <c:size val="5"/>
                  <c:spPr>
                    <a:solidFill>
                      <a:schemeClr val="accent2">
                        <a:lumMod val="75000"/>
                      </a:schemeClr>
                    </a:solidFill>
                    <a:ln w="9525">
                      <a:solidFill>
                        <a:schemeClr val="accent2">
                          <a:lumMod val="75000"/>
                        </a:schemeClr>
                      </a:solidFill>
                    </a:ln>
                    <a:effectLst/>
                  </c:spPr>
                </c:marker>
                <c:dLbls>
                  <c:delete val="1"/>
                </c:dLbls>
                <c:xVal>
                  <c:numRef>
                    <c:f>{1,2,3,4,5,6,7,8,9,10,11,12,13,14,15,16,17,18,19,20,21,22,23,24,25,26,27,28,29,30,31,32,33,34,35,36,37,38,39,40,41,42,43,44,45,46,47,48,49,50,51,52,53,54,55,56,57,58,59,60}</c:f>
                    <c:numCache>
                      <c:formatCode>General</c:formatCode>
                      <c:ptCount val="6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numCache>
                  </c:numRef>
                </c:xVal>
                <c:yVal>
                  <c:numRef>
                    <c:f>{5340,5210,5040,4940,4830,4710,4600,4610,4620,4630,4570,4530,4450,4320,4210,4080,3890,3760,3660,3530,3460,3270,3140,3090,2970,2840,2750,2610,2560,2560,2560,2560,2340,2250,2090,1960,1870,1720,1650,1500,1410,1300,1100,900,780,630,510,460,240,190,150,130,130,130,130,130,130,130,130,130}</c:f>
                    <c:numCache>
                      <c:formatCode>General</c:formatCode>
                      <c:ptCount val="60"/>
                      <c:pt idx="0">
                        <c:v>5340</c:v>
                      </c:pt>
                      <c:pt idx="1">
                        <c:v>5210</c:v>
                      </c:pt>
                      <c:pt idx="2">
                        <c:v>5040</c:v>
                      </c:pt>
                      <c:pt idx="3">
                        <c:v>4940</c:v>
                      </c:pt>
                      <c:pt idx="4">
                        <c:v>4830</c:v>
                      </c:pt>
                      <c:pt idx="5">
                        <c:v>4710</c:v>
                      </c:pt>
                      <c:pt idx="6">
                        <c:v>4600</c:v>
                      </c:pt>
                      <c:pt idx="7">
                        <c:v>4610</c:v>
                      </c:pt>
                      <c:pt idx="8">
                        <c:v>4620</c:v>
                      </c:pt>
                      <c:pt idx="9">
                        <c:v>4630</c:v>
                      </c:pt>
                      <c:pt idx="10">
                        <c:v>4570</c:v>
                      </c:pt>
                      <c:pt idx="11">
                        <c:v>4530</c:v>
                      </c:pt>
                      <c:pt idx="12">
                        <c:v>4450</c:v>
                      </c:pt>
                      <c:pt idx="13">
                        <c:v>4320</c:v>
                      </c:pt>
                      <c:pt idx="14">
                        <c:v>4210</c:v>
                      </c:pt>
                      <c:pt idx="15">
                        <c:v>4080</c:v>
                      </c:pt>
                      <c:pt idx="16">
                        <c:v>3890</c:v>
                      </c:pt>
                      <c:pt idx="17">
                        <c:v>3760</c:v>
                      </c:pt>
                      <c:pt idx="18">
                        <c:v>3660</c:v>
                      </c:pt>
                      <c:pt idx="19">
                        <c:v>3530</c:v>
                      </c:pt>
                      <c:pt idx="20">
                        <c:v>3460</c:v>
                      </c:pt>
                      <c:pt idx="21">
                        <c:v>3270</c:v>
                      </c:pt>
                      <c:pt idx="22">
                        <c:v>3140</c:v>
                      </c:pt>
                      <c:pt idx="23">
                        <c:v>3090</c:v>
                      </c:pt>
                      <c:pt idx="24">
                        <c:v>2970</c:v>
                      </c:pt>
                      <c:pt idx="25">
                        <c:v>2840</c:v>
                      </c:pt>
                      <c:pt idx="26">
                        <c:v>2750</c:v>
                      </c:pt>
                      <c:pt idx="27">
                        <c:v>2610</c:v>
                      </c:pt>
                      <c:pt idx="28">
                        <c:v>2560</c:v>
                      </c:pt>
                      <c:pt idx="29">
                        <c:v>2560</c:v>
                      </c:pt>
                      <c:pt idx="30">
                        <c:v>2560</c:v>
                      </c:pt>
                      <c:pt idx="31">
                        <c:v>2560</c:v>
                      </c:pt>
                      <c:pt idx="32">
                        <c:v>2340</c:v>
                      </c:pt>
                      <c:pt idx="33">
                        <c:v>2250</c:v>
                      </c:pt>
                      <c:pt idx="34">
                        <c:v>2090</c:v>
                      </c:pt>
                      <c:pt idx="35">
                        <c:v>1960</c:v>
                      </c:pt>
                      <c:pt idx="36">
                        <c:v>1870</c:v>
                      </c:pt>
                      <c:pt idx="37">
                        <c:v>1720</c:v>
                      </c:pt>
                      <c:pt idx="38">
                        <c:v>1650</c:v>
                      </c:pt>
                      <c:pt idx="39">
                        <c:v>1500</c:v>
                      </c:pt>
                      <c:pt idx="40">
                        <c:v>1410</c:v>
                      </c:pt>
                      <c:pt idx="41">
                        <c:v>1300</c:v>
                      </c:pt>
                      <c:pt idx="42">
                        <c:v>1100</c:v>
                      </c:pt>
                      <c:pt idx="43">
                        <c:v>900</c:v>
                      </c:pt>
                      <c:pt idx="44">
                        <c:v>780</c:v>
                      </c:pt>
                      <c:pt idx="45">
                        <c:v>630</c:v>
                      </c:pt>
                      <c:pt idx="46">
                        <c:v>510</c:v>
                      </c:pt>
                      <c:pt idx="47">
                        <c:v>460</c:v>
                      </c:pt>
                      <c:pt idx="48">
                        <c:v>240</c:v>
                      </c:pt>
                      <c:pt idx="49">
                        <c:v>190</c:v>
                      </c:pt>
                      <c:pt idx="50">
                        <c:v>150</c:v>
                      </c:pt>
                      <c:pt idx="51">
                        <c:v>130</c:v>
                      </c:pt>
                      <c:pt idx="52">
                        <c:v>130</c:v>
                      </c:pt>
                      <c:pt idx="53">
                        <c:v>130</c:v>
                      </c:pt>
                      <c:pt idx="54">
                        <c:v>130</c:v>
                      </c:pt>
                      <c:pt idx="55">
                        <c:v>130</c:v>
                      </c:pt>
                      <c:pt idx="56">
                        <c:v>130</c:v>
                      </c:pt>
                      <c:pt idx="57">
                        <c:v>130</c:v>
                      </c:pt>
                      <c:pt idx="58">
                        <c:v>130</c:v>
                      </c:pt>
                      <c:pt idx="59">
                        <c:v>130</c:v>
                      </c:pt>
                    </c:numCache>
                  </c:numRef>
                </c:yVal>
                <c:smooth val="1"/>
              </c15:ser>
            </c15:filteredScatterSeries>
            <c15:filteredScatterSeries>
              <c15:ser>
                <c:idx val="3"/>
                <c:order val="3"/>
                <c:tx>
                  <c:strRef>
                    <c:extLst>
                      <c:ext uri="{02D57815-91ED-43cb-92C2-25804820EDAC}">
                        <c15:formulaRef>
                          <c15:sqref>'[渗透系数反推.xls]补加10-3'!$A$5</c15:sqref>
                        </c15:formulaRef>
                      </c:ext>
                    </c:extLst>
                    <c:strCache>
                      <c:ptCount val="1"/>
                      <c:pt idx="0">
                        <c:v>0.0032</c:v>
                      </c:pt>
                    </c:strCache>
                  </c:strRef>
                </c:tx>
                <c:spPr>
                  <a:ln w="19050" cap="rnd">
                    <a:solidFill>
                      <a:schemeClr val="accent2">
                        <a:lumMod val="75000"/>
                      </a:schemeClr>
                    </a:solidFill>
                    <a:round/>
                  </a:ln>
                  <a:effectLst/>
                </c:spPr>
                <c:marker>
                  <c:symbol val="circle"/>
                  <c:size val="5"/>
                  <c:spPr>
                    <a:solidFill>
                      <a:schemeClr val="accent2">
                        <a:lumMod val="75000"/>
                      </a:schemeClr>
                    </a:solidFill>
                    <a:ln w="9525">
                      <a:solidFill>
                        <a:schemeClr val="accent2">
                          <a:lumMod val="75000"/>
                        </a:schemeClr>
                      </a:solidFill>
                    </a:ln>
                    <a:effectLst/>
                  </c:spPr>
                </c:marker>
                <c:dLbls>
                  <c:delete val="1"/>
                </c:dLbls>
                <c:xVal>
                  <c:numRef>
                    <c:f>{1,2,3,4,5,6,7,8,9,10,11,12,13,14,15,16,17,18,19,20,21,22,23,24,25,26,27,28,29,30,31,32,33,34,35,36,37,38,39,40,41,42,43,44,45,46,47,48,49,50,51,52,53,54,55,56,57,58,59,60}</c:f>
                    <c:numCache>
                      <c:formatCode>General</c:formatCode>
                      <c:ptCount val="6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numCache>
                  </c:numRef>
                </c:xVal>
                <c:yVal>
                  <c:numRef>
                    <c:f>{5530,5410,5360,5250,5140,5010,4950,4830,4670,4680,4690,4590,4590,4590,4590,4460,4320,4110,4000,3850,3710,3650,3500,3460,3460,3460,3480,3380,3190,3080,2940,2840,2750,2640,2550,2380,2260,2020,1950,1860,1730,1540,1480,1370,1250,1110,980,730,640,520,410,340,270,270,270,270,270,270,270,270}</c:f>
                    <c:numCache>
                      <c:formatCode>General</c:formatCode>
                      <c:ptCount val="60"/>
                      <c:pt idx="0">
                        <c:v>5530</c:v>
                      </c:pt>
                      <c:pt idx="1">
                        <c:v>5410</c:v>
                      </c:pt>
                      <c:pt idx="2">
                        <c:v>5360</c:v>
                      </c:pt>
                      <c:pt idx="3">
                        <c:v>5250</c:v>
                      </c:pt>
                      <c:pt idx="4">
                        <c:v>5140</c:v>
                      </c:pt>
                      <c:pt idx="5">
                        <c:v>5010</c:v>
                      </c:pt>
                      <c:pt idx="6">
                        <c:v>4950</c:v>
                      </c:pt>
                      <c:pt idx="7">
                        <c:v>4830</c:v>
                      </c:pt>
                      <c:pt idx="8">
                        <c:v>4670</c:v>
                      </c:pt>
                      <c:pt idx="9">
                        <c:v>4680</c:v>
                      </c:pt>
                      <c:pt idx="10">
                        <c:v>4690</c:v>
                      </c:pt>
                      <c:pt idx="11">
                        <c:v>4590</c:v>
                      </c:pt>
                      <c:pt idx="12">
                        <c:v>4590</c:v>
                      </c:pt>
                      <c:pt idx="13">
                        <c:v>4590</c:v>
                      </c:pt>
                      <c:pt idx="14">
                        <c:v>4590</c:v>
                      </c:pt>
                      <c:pt idx="15">
                        <c:v>4460</c:v>
                      </c:pt>
                      <c:pt idx="16">
                        <c:v>4320</c:v>
                      </c:pt>
                      <c:pt idx="17">
                        <c:v>4110</c:v>
                      </c:pt>
                      <c:pt idx="18">
                        <c:v>4000</c:v>
                      </c:pt>
                      <c:pt idx="19">
                        <c:v>3850</c:v>
                      </c:pt>
                      <c:pt idx="20">
                        <c:v>3710</c:v>
                      </c:pt>
                      <c:pt idx="21">
                        <c:v>3650</c:v>
                      </c:pt>
                      <c:pt idx="22">
                        <c:v>3500</c:v>
                      </c:pt>
                      <c:pt idx="23">
                        <c:v>3460</c:v>
                      </c:pt>
                      <c:pt idx="24">
                        <c:v>3460</c:v>
                      </c:pt>
                      <c:pt idx="25">
                        <c:v>3460</c:v>
                      </c:pt>
                      <c:pt idx="26">
                        <c:v>3480</c:v>
                      </c:pt>
                      <c:pt idx="27">
                        <c:v>3380</c:v>
                      </c:pt>
                      <c:pt idx="28">
                        <c:v>3190</c:v>
                      </c:pt>
                      <c:pt idx="29">
                        <c:v>3080</c:v>
                      </c:pt>
                      <c:pt idx="30">
                        <c:v>2940</c:v>
                      </c:pt>
                      <c:pt idx="31">
                        <c:v>2840</c:v>
                      </c:pt>
                      <c:pt idx="32">
                        <c:v>2750</c:v>
                      </c:pt>
                      <c:pt idx="33">
                        <c:v>2640</c:v>
                      </c:pt>
                      <c:pt idx="34">
                        <c:v>2550</c:v>
                      </c:pt>
                      <c:pt idx="35">
                        <c:v>2380</c:v>
                      </c:pt>
                      <c:pt idx="36">
                        <c:v>2260</c:v>
                      </c:pt>
                      <c:pt idx="37">
                        <c:v>2020</c:v>
                      </c:pt>
                      <c:pt idx="38">
                        <c:v>1950</c:v>
                      </c:pt>
                      <c:pt idx="39">
                        <c:v>1860</c:v>
                      </c:pt>
                      <c:pt idx="40">
                        <c:v>1730</c:v>
                      </c:pt>
                      <c:pt idx="41">
                        <c:v>1540</c:v>
                      </c:pt>
                      <c:pt idx="42">
                        <c:v>1480</c:v>
                      </c:pt>
                      <c:pt idx="43">
                        <c:v>1370</c:v>
                      </c:pt>
                      <c:pt idx="44">
                        <c:v>1250</c:v>
                      </c:pt>
                      <c:pt idx="45">
                        <c:v>1110</c:v>
                      </c:pt>
                      <c:pt idx="46">
                        <c:v>980</c:v>
                      </c:pt>
                      <c:pt idx="47">
                        <c:v>730</c:v>
                      </c:pt>
                      <c:pt idx="48">
                        <c:v>640</c:v>
                      </c:pt>
                      <c:pt idx="49">
                        <c:v>520</c:v>
                      </c:pt>
                      <c:pt idx="50">
                        <c:v>410</c:v>
                      </c:pt>
                      <c:pt idx="51">
                        <c:v>340</c:v>
                      </c:pt>
                      <c:pt idx="52">
                        <c:v>270</c:v>
                      </c:pt>
                      <c:pt idx="53">
                        <c:v>270</c:v>
                      </c:pt>
                      <c:pt idx="54">
                        <c:v>270</c:v>
                      </c:pt>
                      <c:pt idx="55">
                        <c:v>270</c:v>
                      </c:pt>
                      <c:pt idx="56">
                        <c:v>270</c:v>
                      </c:pt>
                      <c:pt idx="57">
                        <c:v>270</c:v>
                      </c:pt>
                      <c:pt idx="58">
                        <c:v>270</c:v>
                      </c:pt>
                      <c:pt idx="59">
                        <c:v>270</c:v>
                      </c:pt>
                    </c:numCache>
                  </c:numRef>
                </c:yVal>
                <c:smooth val="1"/>
              </c15:ser>
            </c15:filteredScatterSeries>
            <c15:filteredScatterSeries>
              <c15:ser>
                <c:idx val="5"/>
                <c:order val="5"/>
                <c:tx>
                  <c:strRef>
                    <c:extLst>
                      <c:ext uri="{02D57815-91ED-43cb-92C2-25804820EDAC}">
                        <c15:formulaRef>
                          <c15:sqref>'[渗透系数反推.xls]补加10-3'!$A$7</c15:sqref>
                        </c15:formulaRef>
                      </c:ext>
                    </c:extLst>
                    <c:strCache>
                      <c:ptCount val="1"/>
                      <c:pt idx="0">
                        <c:v>0.0051</c:v>
                      </c:pt>
                    </c:strCache>
                  </c:strRef>
                </c:tx>
                <c:spPr>
                  <a:ln w="19050" cap="rnd">
                    <a:solidFill>
                      <a:schemeClr val="accent6"/>
                    </a:solidFill>
                    <a:round/>
                  </a:ln>
                  <a:effectLst/>
                </c:spPr>
                <c:marker>
                  <c:symbol val="circle"/>
                  <c:size val="5"/>
                  <c:spPr>
                    <a:solidFill>
                      <a:schemeClr val="accent6"/>
                    </a:solidFill>
                    <a:ln w="9525">
                      <a:solidFill>
                        <a:schemeClr val="accent6"/>
                      </a:solidFill>
                    </a:ln>
                    <a:effectLst/>
                  </c:spPr>
                </c:marker>
                <c:dLbls>
                  <c:delete val="1"/>
                </c:dLbls>
                <c:xVal>
                  <c:numRef>
                    <c:f>{1,2,3,4,5,6,7,8,9,10,11,12,13,14,15,16,17,18,19,20,21,22,23,24,25,26,27,28,29,30,31,32,33,34,35,36,37,38,39,40,41,42,43,44,45,46,47,48,49,50,51,52,53,54,55,56,57,58,59,60}</c:f>
                    <c:numCache>
                      <c:formatCode>General</c:formatCode>
                      <c:ptCount val="6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numCache>
                  </c:numRef>
                </c:xVal>
                <c:yVal>
                  <c:numRef>
                    <c:f>{6120,6050,5940,5830,5740,5680,5540,5430,5360,5230,5130,5000,4930,4810,4680,4530,4430,4290,4130,4060,3940,3930,3920,3910,3900,3760,3640,3520,3460,3320,3250,3170,3020,2980,2840,2760,2680,2570,2460,2340,2260,2170,2050,1930,1740,1590,1340,1100,900,700,540,370,320,310,310,310,310,310,310,310}</c:f>
                    <c:numCache>
                      <c:formatCode>General</c:formatCode>
                      <c:ptCount val="60"/>
                      <c:pt idx="0">
                        <c:v>6120</c:v>
                      </c:pt>
                      <c:pt idx="1">
                        <c:v>6050</c:v>
                      </c:pt>
                      <c:pt idx="2">
                        <c:v>5940</c:v>
                      </c:pt>
                      <c:pt idx="3">
                        <c:v>5830</c:v>
                      </c:pt>
                      <c:pt idx="4">
                        <c:v>5740</c:v>
                      </c:pt>
                      <c:pt idx="5">
                        <c:v>5680</c:v>
                      </c:pt>
                      <c:pt idx="6">
                        <c:v>5540</c:v>
                      </c:pt>
                      <c:pt idx="7">
                        <c:v>5430</c:v>
                      </c:pt>
                      <c:pt idx="8">
                        <c:v>5360</c:v>
                      </c:pt>
                      <c:pt idx="9">
                        <c:v>5230</c:v>
                      </c:pt>
                      <c:pt idx="10">
                        <c:v>5130</c:v>
                      </c:pt>
                      <c:pt idx="11">
                        <c:v>5000</c:v>
                      </c:pt>
                      <c:pt idx="12">
                        <c:v>4930</c:v>
                      </c:pt>
                      <c:pt idx="13">
                        <c:v>4810</c:v>
                      </c:pt>
                      <c:pt idx="14">
                        <c:v>4680</c:v>
                      </c:pt>
                      <c:pt idx="15">
                        <c:v>4530</c:v>
                      </c:pt>
                      <c:pt idx="16">
                        <c:v>4430</c:v>
                      </c:pt>
                      <c:pt idx="17">
                        <c:v>4290</c:v>
                      </c:pt>
                      <c:pt idx="18">
                        <c:v>4130</c:v>
                      </c:pt>
                      <c:pt idx="19">
                        <c:v>4060</c:v>
                      </c:pt>
                      <c:pt idx="20">
                        <c:v>3940</c:v>
                      </c:pt>
                      <c:pt idx="21">
                        <c:v>3930</c:v>
                      </c:pt>
                      <c:pt idx="22">
                        <c:v>3920</c:v>
                      </c:pt>
                      <c:pt idx="23">
                        <c:v>3910</c:v>
                      </c:pt>
                      <c:pt idx="24">
                        <c:v>3900</c:v>
                      </c:pt>
                      <c:pt idx="25">
                        <c:v>3760</c:v>
                      </c:pt>
                      <c:pt idx="26">
                        <c:v>3640</c:v>
                      </c:pt>
                      <c:pt idx="27">
                        <c:v>3520</c:v>
                      </c:pt>
                      <c:pt idx="28">
                        <c:v>3460</c:v>
                      </c:pt>
                      <c:pt idx="29">
                        <c:v>3320</c:v>
                      </c:pt>
                      <c:pt idx="30">
                        <c:v>3250</c:v>
                      </c:pt>
                      <c:pt idx="31">
                        <c:v>3170</c:v>
                      </c:pt>
                      <c:pt idx="32">
                        <c:v>3020</c:v>
                      </c:pt>
                      <c:pt idx="33">
                        <c:v>2980</c:v>
                      </c:pt>
                      <c:pt idx="34">
                        <c:v>2840</c:v>
                      </c:pt>
                      <c:pt idx="35">
                        <c:v>2760</c:v>
                      </c:pt>
                      <c:pt idx="36">
                        <c:v>2680</c:v>
                      </c:pt>
                      <c:pt idx="37">
                        <c:v>2570</c:v>
                      </c:pt>
                      <c:pt idx="38">
                        <c:v>2460</c:v>
                      </c:pt>
                      <c:pt idx="39">
                        <c:v>2340</c:v>
                      </c:pt>
                      <c:pt idx="40">
                        <c:v>2260</c:v>
                      </c:pt>
                      <c:pt idx="41">
                        <c:v>2170</c:v>
                      </c:pt>
                      <c:pt idx="42">
                        <c:v>2050</c:v>
                      </c:pt>
                      <c:pt idx="43">
                        <c:v>1930</c:v>
                      </c:pt>
                      <c:pt idx="44">
                        <c:v>1740</c:v>
                      </c:pt>
                      <c:pt idx="45">
                        <c:v>1590</c:v>
                      </c:pt>
                      <c:pt idx="46">
                        <c:v>1340</c:v>
                      </c:pt>
                      <c:pt idx="47">
                        <c:v>1100</c:v>
                      </c:pt>
                      <c:pt idx="48">
                        <c:v>900</c:v>
                      </c:pt>
                      <c:pt idx="49">
                        <c:v>700</c:v>
                      </c:pt>
                      <c:pt idx="50">
                        <c:v>540</c:v>
                      </c:pt>
                      <c:pt idx="51">
                        <c:v>370</c:v>
                      </c:pt>
                      <c:pt idx="52">
                        <c:v>320</c:v>
                      </c:pt>
                      <c:pt idx="53">
                        <c:v>310</c:v>
                      </c:pt>
                      <c:pt idx="54">
                        <c:v>310</c:v>
                      </c:pt>
                      <c:pt idx="55">
                        <c:v>310</c:v>
                      </c:pt>
                      <c:pt idx="56">
                        <c:v>310</c:v>
                      </c:pt>
                      <c:pt idx="57">
                        <c:v>310</c:v>
                      </c:pt>
                      <c:pt idx="58">
                        <c:v>310</c:v>
                      </c:pt>
                      <c:pt idx="59">
                        <c:v>310</c:v>
                      </c:pt>
                    </c:numCache>
                  </c:numRef>
                </c:yVal>
                <c:smooth val="1"/>
              </c15:ser>
            </c15:filteredScatterSeries>
            <c15:filteredScatterSeries>
              <c15:ser>
                <c:idx val="6"/>
                <c:order val="6"/>
                <c:tx>
                  <c:strRef>
                    <c:extLst>
                      <c:ext uri="{02D57815-91ED-43cb-92C2-25804820EDAC}">
                        <c15:formulaRef>
                          <c15:sqref>'[渗透系数反推.xls]补加10-3'!$A$8</c15:sqref>
                        </c15:formulaRef>
                      </c:ext>
                    </c:extLst>
                    <c:strCache>
                      <c:ptCount val="1"/>
                      <c:pt idx="0">
                        <c:v>0.0083</c:v>
                      </c:pt>
                    </c:strCache>
                  </c:strRef>
                </c:tx>
                <c:spPr>
                  <a:ln w="19050"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dLbls>
                  <c:delete val="1"/>
                </c:dLbls>
                <c:xVal>
                  <c:numRef>
                    <c:f>{1,2,3,4,5,6,7,8,9,10,11,12,13,14,15,16,17,18,19,20,21,22,23,24,25,26,27,28,29,30,31,32,33,34,35,36,37,38,39,40,41,42,43,44,45,46,47,48,49,50,51,52,53,54,55,56,57,58,59,60}</c:f>
                    <c:numCache>
                      <c:formatCode>General</c:formatCode>
                      <c:ptCount val="6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numCache>
                  </c:numRef>
                </c:xVal>
                <c:yVal>
                  <c:numRef>
                    <c:f>{6350,6270,6150,6070,5940,5820,5770,5640,5550,5430,5470,5490,5500,5430,5430,5430,5430,5430,5310,5210,5110,5000,4890,4730,4610,4520,4380,4160,4080,3940,3860,3740,3640,3420,3250,3150,3020,2940,2840,2850,2860,2870,2840,2840,2840,2760,2610,2460,1980,1760,1430,980,690,500,500,500,500,500,500,500}</c:f>
                    <c:numCache>
                      <c:formatCode>General</c:formatCode>
                      <c:ptCount val="60"/>
                      <c:pt idx="0">
                        <c:v>6350</c:v>
                      </c:pt>
                      <c:pt idx="1">
                        <c:v>6270</c:v>
                      </c:pt>
                      <c:pt idx="2">
                        <c:v>6150</c:v>
                      </c:pt>
                      <c:pt idx="3">
                        <c:v>6070</c:v>
                      </c:pt>
                      <c:pt idx="4">
                        <c:v>5940</c:v>
                      </c:pt>
                      <c:pt idx="5">
                        <c:v>5820</c:v>
                      </c:pt>
                      <c:pt idx="6">
                        <c:v>5770</c:v>
                      </c:pt>
                      <c:pt idx="7">
                        <c:v>5640</c:v>
                      </c:pt>
                      <c:pt idx="8">
                        <c:v>5550</c:v>
                      </c:pt>
                      <c:pt idx="9">
                        <c:v>5430</c:v>
                      </c:pt>
                      <c:pt idx="10">
                        <c:v>5470</c:v>
                      </c:pt>
                      <c:pt idx="11">
                        <c:v>5490</c:v>
                      </c:pt>
                      <c:pt idx="12">
                        <c:v>5500</c:v>
                      </c:pt>
                      <c:pt idx="13">
                        <c:v>5430</c:v>
                      </c:pt>
                      <c:pt idx="14">
                        <c:v>5430</c:v>
                      </c:pt>
                      <c:pt idx="15">
                        <c:v>5430</c:v>
                      </c:pt>
                      <c:pt idx="16">
                        <c:v>5430</c:v>
                      </c:pt>
                      <c:pt idx="17">
                        <c:v>5430</c:v>
                      </c:pt>
                      <c:pt idx="18">
                        <c:v>5310</c:v>
                      </c:pt>
                      <c:pt idx="19">
                        <c:v>5210</c:v>
                      </c:pt>
                      <c:pt idx="20">
                        <c:v>5110</c:v>
                      </c:pt>
                      <c:pt idx="21">
                        <c:v>5000</c:v>
                      </c:pt>
                      <c:pt idx="22">
                        <c:v>4890</c:v>
                      </c:pt>
                      <c:pt idx="23">
                        <c:v>4730</c:v>
                      </c:pt>
                      <c:pt idx="24">
                        <c:v>4610</c:v>
                      </c:pt>
                      <c:pt idx="25">
                        <c:v>4520</c:v>
                      </c:pt>
                      <c:pt idx="26">
                        <c:v>4380</c:v>
                      </c:pt>
                      <c:pt idx="27">
                        <c:v>4160</c:v>
                      </c:pt>
                      <c:pt idx="28">
                        <c:v>4080</c:v>
                      </c:pt>
                      <c:pt idx="29">
                        <c:v>3940</c:v>
                      </c:pt>
                      <c:pt idx="30">
                        <c:v>3860</c:v>
                      </c:pt>
                      <c:pt idx="31">
                        <c:v>3740</c:v>
                      </c:pt>
                      <c:pt idx="32">
                        <c:v>3640</c:v>
                      </c:pt>
                      <c:pt idx="33">
                        <c:v>3420</c:v>
                      </c:pt>
                      <c:pt idx="34">
                        <c:v>3250</c:v>
                      </c:pt>
                      <c:pt idx="35">
                        <c:v>3150</c:v>
                      </c:pt>
                      <c:pt idx="36">
                        <c:v>3020</c:v>
                      </c:pt>
                      <c:pt idx="37">
                        <c:v>2940</c:v>
                      </c:pt>
                      <c:pt idx="38">
                        <c:v>2840</c:v>
                      </c:pt>
                      <c:pt idx="39">
                        <c:v>2850</c:v>
                      </c:pt>
                      <c:pt idx="40">
                        <c:v>2860</c:v>
                      </c:pt>
                      <c:pt idx="41">
                        <c:v>2870</c:v>
                      </c:pt>
                      <c:pt idx="42">
                        <c:v>2840</c:v>
                      </c:pt>
                      <c:pt idx="43">
                        <c:v>2840</c:v>
                      </c:pt>
                      <c:pt idx="44">
                        <c:v>2840</c:v>
                      </c:pt>
                      <c:pt idx="45">
                        <c:v>2760</c:v>
                      </c:pt>
                      <c:pt idx="46">
                        <c:v>2610</c:v>
                      </c:pt>
                      <c:pt idx="47">
                        <c:v>2460</c:v>
                      </c:pt>
                      <c:pt idx="48">
                        <c:v>1980</c:v>
                      </c:pt>
                      <c:pt idx="49">
                        <c:v>1760</c:v>
                      </c:pt>
                      <c:pt idx="50">
                        <c:v>1430</c:v>
                      </c:pt>
                      <c:pt idx="51">
                        <c:v>980</c:v>
                      </c:pt>
                      <c:pt idx="52">
                        <c:v>690</c:v>
                      </c:pt>
                      <c:pt idx="53">
                        <c:v>500</c:v>
                      </c:pt>
                      <c:pt idx="54">
                        <c:v>500</c:v>
                      </c:pt>
                      <c:pt idx="55">
                        <c:v>500</c:v>
                      </c:pt>
                      <c:pt idx="56">
                        <c:v>500</c:v>
                      </c:pt>
                      <c:pt idx="57">
                        <c:v>500</c:v>
                      </c:pt>
                      <c:pt idx="58">
                        <c:v>500</c:v>
                      </c:pt>
                      <c:pt idx="59">
                        <c:v>500</c:v>
                      </c:pt>
                    </c:numCache>
                  </c:numRef>
                </c:yVal>
                <c:smooth val="1"/>
              </c15:ser>
            </c15:filteredScatterSeries>
            <c15:filteredScatterSeries>
              <c15:ser>
                <c:idx val="7"/>
                <c:order val="7"/>
                <c:tx>
                  <c:strRef>
                    <c:extLst>
                      <c:ext uri="{02D57815-91ED-43cb-92C2-25804820EDAC}">
                        <c15:formulaRef>
                          <c15:sqref>'[渗透系数反推.xls]补加10-3'!$A$9</c15:sqref>
                        </c15:formulaRef>
                      </c:ext>
                    </c:extLst>
                    <c:strCache>
                      <c:ptCount val="1"/>
                      <c:pt idx="0">
                        <c:v>0.0089</c:v>
                      </c:pt>
                    </c:strCache>
                  </c:strRef>
                </c:tx>
                <c:spPr>
                  <a:ln w="19050"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dLbls>
                  <c:delete val="1"/>
                </c:dLbls>
                <c:xVal>
                  <c:numRef>
                    <c:f>{1,2,3,4,5,6,7,8,9,10,11,12,13,14,15,16,17,18,19,20,21,22,23,24,25,26,27,28,29,30,31,32,33,34,35,36,37,38,39,40,41,42,43,44,45,46,47,48,49,50,51,52,53,54,55,56,57,58,59,60}</c:f>
                    <c:numCache>
                      <c:formatCode>General</c:formatCode>
                      <c:ptCount val="6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numCache>
                  </c:numRef>
                </c:xVal>
                <c:yVal>
                  <c:numRef>
                    <c:f>{6430,6370,6240,6120,6000,5900,5690,5430,5240,5130,5080,4940,4830,4710,4580,4580,4580,4580,4460,4370,4210,4090,3940,3790,3590,3360,3240,3100,2940,2860,2710,2570,2340,2230,2140,2010,1970,1970,1960,1950,1940,1940,1940,1940,1840,1690,1540,1430,1120,840,740,640,540,540,540,540,540,540,540,540}</c:f>
                    <c:numCache>
                      <c:formatCode>General</c:formatCode>
                      <c:ptCount val="60"/>
                      <c:pt idx="0">
                        <c:v>6430</c:v>
                      </c:pt>
                      <c:pt idx="1">
                        <c:v>6370</c:v>
                      </c:pt>
                      <c:pt idx="2">
                        <c:v>6240</c:v>
                      </c:pt>
                      <c:pt idx="3">
                        <c:v>6120</c:v>
                      </c:pt>
                      <c:pt idx="4">
                        <c:v>6000</c:v>
                      </c:pt>
                      <c:pt idx="5">
                        <c:v>5900</c:v>
                      </c:pt>
                      <c:pt idx="6">
                        <c:v>5690</c:v>
                      </c:pt>
                      <c:pt idx="7">
                        <c:v>5430</c:v>
                      </c:pt>
                      <c:pt idx="8">
                        <c:v>5240</c:v>
                      </c:pt>
                      <c:pt idx="9">
                        <c:v>5130</c:v>
                      </c:pt>
                      <c:pt idx="10">
                        <c:v>5080</c:v>
                      </c:pt>
                      <c:pt idx="11">
                        <c:v>4940</c:v>
                      </c:pt>
                      <c:pt idx="12">
                        <c:v>4830</c:v>
                      </c:pt>
                      <c:pt idx="13">
                        <c:v>4710</c:v>
                      </c:pt>
                      <c:pt idx="14">
                        <c:v>4580</c:v>
                      </c:pt>
                      <c:pt idx="15">
                        <c:v>4580</c:v>
                      </c:pt>
                      <c:pt idx="16">
                        <c:v>4580</c:v>
                      </c:pt>
                      <c:pt idx="17">
                        <c:v>4580</c:v>
                      </c:pt>
                      <c:pt idx="18">
                        <c:v>4460</c:v>
                      </c:pt>
                      <c:pt idx="19">
                        <c:v>4370</c:v>
                      </c:pt>
                      <c:pt idx="20">
                        <c:v>4210</c:v>
                      </c:pt>
                      <c:pt idx="21">
                        <c:v>4090</c:v>
                      </c:pt>
                      <c:pt idx="22">
                        <c:v>3940</c:v>
                      </c:pt>
                      <c:pt idx="23">
                        <c:v>3790</c:v>
                      </c:pt>
                      <c:pt idx="24">
                        <c:v>3590</c:v>
                      </c:pt>
                      <c:pt idx="25">
                        <c:v>3360</c:v>
                      </c:pt>
                      <c:pt idx="26">
                        <c:v>3240</c:v>
                      </c:pt>
                      <c:pt idx="27">
                        <c:v>3100</c:v>
                      </c:pt>
                      <c:pt idx="28">
                        <c:v>2940</c:v>
                      </c:pt>
                      <c:pt idx="29">
                        <c:v>2860</c:v>
                      </c:pt>
                      <c:pt idx="30">
                        <c:v>2710</c:v>
                      </c:pt>
                      <c:pt idx="31">
                        <c:v>2570</c:v>
                      </c:pt>
                      <c:pt idx="32">
                        <c:v>2340</c:v>
                      </c:pt>
                      <c:pt idx="33">
                        <c:v>2230</c:v>
                      </c:pt>
                      <c:pt idx="34">
                        <c:v>2140</c:v>
                      </c:pt>
                      <c:pt idx="35">
                        <c:v>2010</c:v>
                      </c:pt>
                      <c:pt idx="36">
                        <c:v>1970</c:v>
                      </c:pt>
                      <c:pt idx="37">
                        <c:v>1970</c:v>
                      </c:pt>
                      <c:pt idx="38">
                        <c:v>1960</c:v>
                      </c:pt>
                      <c:pt idx="39">
                        <c:v>1950</c:v>
                      </c:pt>
                      <c:pt idx="40">
                        <c:v>1940</c:v>
                      </c:pt>
                      <c:pt idx="41">
                        <c:v>1940</c:v>
                      </c:pt>
                      <c:pt idx="42">
                        <c:v>1940</c:v>
                      </c:pt>
                      <c:pt idx="43">
                        <c:v>1940</c:v>
                      </c:pt>
                      <c:pt idx="44">
                        <c:v>1840</c:v>
                      </c:pt>
                      <c:pt idx="45">
                        <c:v>1690</c:v>
                      </c:pt>
                      <c:pt idx="46">
                        <c:v>1540</c:v>
                      </c:pt>
                      <c:pt idx="47">
                        <c:v>1430</c:v>
                      </c:pt>
                      <c:pt idx="48">
                        <c:v>1120</c:v>
                      </c:pt>
                      <c:pt idx="49">
                        <c:v>840</c:v>
                      </c:pt>
                      <c:pt idx="50">
                        <c:v>740</c:v>
                      </c:pt>
                      <c:pt idx="51">
                        <c:v>640</c:v>
                      </c:pt>
                      <c:pt idx="52">
                        <c:v>540</c:v>
                      </c:pt>
                      <c:pt idx="53">
                        <c:v>540</c:v>
                      </c:pt>
                      <c:pt idx="54">
                        <c:v>540</c:v>
                      </c:pt>
                      <c:pt idx="55">
                        <c:v>540</c:v>
                      </c:pt>
                      <c:pt idx="56">
                        <c:v>540</c:v>
                      </c:pt>
                      <c:pt idx="57">
                        <c:v>540</c:v>
                      </c:pt>
                      <c:pt idx="58">
                        <c:v>540</c:v>
                      </c:pt>
                      <c:pt idx="59">
                        <c:v>540</c:v>
                      </c:pt>
                    </c:numCache>
                  </c:numRef>
                </c:yVal>
                <c:smooth val="1"/>
              </c15:ser>
            </c15:filteredScatterSeries>
            <c15:filteredScatterSeries>
              <c15:ser>
                <c:idx val="8"/>
                <c:order val="8"/>
                <c:tx>
                  <c:strRef>
                    <c:extLst>
                      <c:ext uri="{02D57815-91ED-43cb-92C2-25804820EDAC}">
                        <c15:formulaRef>
                          <c15:sqref>'[渗透系数反推.xls]补加10-3'!$A$10</c15:sqref>
                        </c15:formulaRef>
                      </c:ext>
                    </c:extLst>
                    <c:strCache>
                      <c:ptCount val="1"/>
                      <c:pt idx="0">
                        <c:v>0.0093</c:v>
                      </c:pt>
                    </c:strCache>
                  </c:strRef>
                </c:tx>
                <c:spPr>
                  <a:ln w="19050"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dLbls>
                  <c:delete val="1"/>
                </c:dLbls>
                <c:xVal>
                  <c:numRef>
                    <c:f>{1,2,3,4,5,6,7,8,9,10,11,12,13,14,15,16,17,18,19,20,21,22,23,24,25,26,27,28,29,30,31,32,33,34,35,36,37,38,39,40,41,42,43,44,45,46,47,48,49,50,51,52,53,54,55,56,57,58,59,60}</c:f>
                    <c:numCache>
                      <c:formatCode>General</c:formatCode>
                      <c:ptCount val="6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numCache>
                  </c:numRef>
                </c:xVal>
                <c:yVal>
                  <c:numRef>
                    <c:f>{6680,6430,6340,6240,6170,6070,5940,5860,5710,5650,5560,5430,5340,5290,5040,4960,4830,4740,4680,4530,4530,4530,4530,4360,4210,4100,3880,3760,3640,3510,3430,3330,3270,3140,3040,2970,2860,2730,2640,2490,2330,2250,2190,2060,2060,2060,1950,1870,1760,1540,1370,1100,800,600,560,560,560,560,560,560}</c:f>
                    <c:numCache>
                      <c:formatCode>General</c:formatCode>
                      <c:ptCount val="60"/>
                      <c:pt idx="0">
                        <c:v>6680</c:v>
                      </c:pt>
                      <c:pt idx="1">
                        <c:v>6430</c:v>
                      </c:pt>
                      <c:pt idx="2">
                        <c:v>6340</c:v>
                      </c:pt>
                      <c:pt idx="3">
                        <c:v>6240</c:v>
                      </c:pt>
                      <c:pt idx="4">
                        <c:v>6170</c:v>
                      </c:pt>
                      <c:pt idx="5">
                        <c:v>6070</c:v>
                      </c:pt>
                      <c:pt idx="6">
                        <c:v>5940</c:v>
                      </c:pt>
                      <c:pt idx="7">
                        <c:v>5860</c:v>
                      </c:pt>
                      <c:pt idx="8">
                        <c:v>5710</c:v>
                      </c:pt>
                      <c:pt idx="9">
                        <c:v>5650</c:v>
                      </c:pt>
                      <c:pt idx="10">
                        <c:v>5560</c:v>
                      </c:pt>
                      <c:pt idx="11">
                        <c:v>5430</c:v>
                      </c:pt>
                      <c:pt idx="12">
                        <c:v>5340</c:v>
                      </c:pt>
                      <c:pt idx="13">
                        <c:v>5290</c:v>
                      </c:pt>
                      <c:pt idx="14">
                        <c:v>5040</c:v>
                      </c:pt>
                      <c:pt idx="15">
                        <c:v>4960</c:v>
                      </c:pt>
                      <c:pt idx="16">
                        <c:v>4830</c:v>
                      </c:pt>
                      <c:pt idx="17">
                        <c:v>4740</c:v>
                      </c:pt>
                      <c:pt idx="18">
                        <c:v>4680</c:v>
                      </c:pt>
                      <c:pt idx="19">
                        <c:v>4530</c:v>
                      </c:pt>
                      <c:pt idx="20">
                        <c:v>4530</c:v>
                      </c:pt>
                      <c:pt idx="21">
                        <c:v>4530</c:v>
                      </c:pt>
                      <c:pt idx="22">
                        <c:v>4530</c:v>
                      </c:pt>
                      <c:pt idx="23">
                        <c:v>4360</c:v>
                      </c:pt>
                      <c:pt idx="24">
                        <c:v>4210</c:v>
                      </c:pt>
                      <c:pt idx="25">
                        <c:v>4100</c:v>
                      </c:pt>
                      <c:pt idx="26">
                        <c:v>3880</c:v>
                      </c:pt>
                      <c:pt idx="27">
                        <c:v>3760</c:v>
                      </c:pt>
                      <c:pt idx="28">
                        <c:v>3640</c:v>
                      </c:pt>
                      <c:pt idx="29">
                        <c:v>3510</c:v>
                      </c:pt>
                      <c:pt idx="30">
                        <c:v>3430</c:v>
                      </c:pt>
                      <c:pt idx="31">
                        <c:v>3330</c:v>
                      </c:pt>
                      <c:pt idx="32">
                        <c:v>3270</c:v>
                      </c:pt>
                      <c:pt idx="33">
                        <c:v>3140</c:v>
                      </c:pt>
                      <c:pt idx="34">
                        <c:v>3040</c:v>
                      </c:pt>
                      <c:pt idx="35">
                        <c:v>2970</c:v>
                      </c:pt>
                      <c:pt idx="36">
                        <c:v>2860</c:v>
                      </c:pt>
                      <c:pt idx="37">
                        <c:v>2730</c:v>
                      </c:pt>
                      <c:pt idx="38">
                        <c:v>2640</c:v>
                      </c:pt>
                      <c:pt idx="39">
                        <c:v>2490</c:v>
                      </c:pt>
                      <c:pt idx="40">
                        <c:v>2330</c:v>
                      </c:pt>
                      <c:pt idx="41">
                        <c:v>2250</c:v>
                      </c:pt>
                      <c:pt idx="42">
                        <c:v>2190</c:v>
                      </c:pt>
                      <c:pt idx="43">
                        <c:v>2060</c:v>
                      </c:pt>
                      <c:pt idx="44">
                        <c:v>2060</c:v>
                      </c:pt>
                      <c:pt idx="45">
                        <c:v>2060</c:v>
                      </c:pt>
                      <c:pt idx="46">
                        <c:v>1950</c:v>
                      </c:pt>
                      <c:pt idx="47">
                        <c:v>1870</c:v>
                      </c:pt>
                      <c:pt idx="48">
                        <c:v>1760</c:v>
                      </c:pt>
                      <c:pt idx="49">
                        <c:v>1540</c:v>
                      </c:pt>
                      <c:pt idx="50">
                        <c:v>1370</c:v>
                      </c:pt>
                      <c:pt idx="51">
                        <c:v>1100</c:v>
                      </c:pt>
                      <c:pt idx="52">
                        <c:v>800</c:v>
                      </c:pt>
                      <c:pt idx="53">
                        <c:v>600</c:v>
                      </c:pt>
                      <c:pt idx="54">
                        <c:v>560</c:v>
                      </c:pt>
                      <c:pt idx="55">
                        <c:v>560</c:v>
                      </c:pt>
                      <c:pt idx="56">
                        <c:v>560</c:v>
                      </c:pt>
                      <c:pt idx="57">
                        <c:v>560</c:v>
                      </c:pt>
                      <c:pt idx="58">
                        <c:v>560</c:v>
                      </c:pt>
                      <c:pt idx="59">
                        <c:v>560</c:v>
                      </c:pt>
                    </c:numCache>
                  </c:numRef>
                </c:yVal>
                <c:smooth val="1"/>
              </c15:ser>
            </c15:filteredScatterSeries>
            <c15:filteredScatterSeries>
              <c15:ser>
                <c:idx val="9"/>
                <c:order val="9"/>
                <c:tx>
                  <c:strRef>
                    <c:extLst>
                      <c:ext uri="{02D57815-91ED-43cb-92C2-25804820EDAC}">
                        <c15:formulaRef>
                          <c15:sqref>'[渗透系数反推.xls]补加10-3'!$A$11</c15:sqref>
                        </c15:formulaRef>
                      </c:ext>
                    </c:extLst>
                    <c:strCache>
                      <c:ptCount val="1"/>
                      <c:pt idx="0">
                        <c:v>0.0099</c:v>
                      </c:pt>
                    </c:strCache>
                  </c:strRef>
                </c:tx>
                <c:spPr>
                  <a:ln w="19050"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dLbls>
                  <c:delete val="1"/>
                </c:dLbls>
                <c:xVal>
                  <c:numRef>
                    <c:f>{1,2,3,4,5,6,7,8,9,10,11,12,13,14,15,16,17,18,19,20,21,22,23,24,25,26,27,28,29,30,31,32,33,34,35,36,37,38,39,40,41,42,43,44,45,46,47,48,49,50,51,52,53,54,55,56,57,58,59,60}</c:f>
                    <c:numCache>
                      <c:formatCode>General</c:formatCode>
                      <c:ptCount val="6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numCache>
                  </c:numRef>
                </c:xVal>
                <c:yVal>
                  <c:numRef>
                    <c:f>{6840,6640,6540,6480,6320,6230,6140,6030,5940,5810,5570,5290,5130,5030,4960,4830,4760,4490,4570,4690,4760,4320,4130,3940,3760,3540,3370,3160,3010,2840,2640,2310,2430,2130,1940,1870,1680,1570,1350,1240,1060,870,810,760,640,600,600,600,600,600,600,600,600,600,600,600,600,600,600,600}</c:f>
                    <c:numCache>
                      <c:formatCode>General</c:formatCode>
                      <c:ptCount val="60"/>
                      <c:pt idx="0">
                        <c:v>6840</c:v>
                      </c:pt>
                      <c:pt idx="1">
                        <c:v>6640</c:v>
                      </c:pt>
                      <c:pt idx="2">
                        <c:v>6540</c:v>
                      </c:pt>
                      <c:pt idx="3">
                        <c:v>6480</c:v>
                      </c:pt>
                      <c:pt idx="4">
                        <c:v>6320</c:v>
                      </c:pt>
                      <c:pt idx="5">
                        <c:v>6230</c:v>
                      </c:pt>
                      <c:pt idx="6">
                        <c:v>6140</c:v>
                      </c:pt>
                      <c:pt idx="7">
                        <c:v>6030</c:v>
                      </c:pt>
                      <c:pt idx="8">
                        <c:v>5940</c:v>
                      </c:pt>
                      <c:pt idx="9">
                        <c:v>5810</c:v>
                      </c:pt>
                      <c:pt idx="10">
                        <c:v>5570</c:v>
                      </c:pt>
                      <c:pt idx="11">
                        <c:v>5290</c:v>
                      </c:pt>
                      <c:pt idx="12">
                        <c:v>5130</c:v>
                      </c:pt>
                      <c:pt idx="13">
                        <c:v>5030</c:v>
                      </c:pt>
                      <c:pt idx="14">
                        <c:v>4960</c:v>
                      </c:pt>
                      <c:pt idx="15">
                        <c:v>4830</c:v>
                      </c:pt>
                      <c:pt idx="16">
                        <c:v>4760</c:v>
                      </c:pt>
                      <c:pt idx="17">
                        <c:v>4490</c:v>
                      </c:pt>
                      <c:pt idx="18">
                        <c:v>4570</c:v>
                      </c:pt>
                      <c:pt idx="19">
                        <c:v>4690</c:v>
                      </c:pt>
                      <c:pt idx="20">
                        <c:v>4760</c:v>
                      </c:pt>
                      <c:pt idx="21">
                        <c:v>4320</c:v>
                      </c:pt>
                      <c:pt idx="22">
                        <c:v>4130</c:v>
                      </c:pt>
                      <c:pt idx="23">
                        <c:v>3940</c:v>
                      </c:pt>
                      <c:pt idx="24">
                        <c:v>3760</c:v>
                      </c:pt>
                      <c:pt idx="25">
                        <c:v>3540</c:v>
                      </c:pt>
                      <c:pt idx="26">
                        <c:v>3370</c:v>
                      </c:pt>
                      <c:pt idx="27">
                        <c:v>3160</c:v>
                      </c:pt>
                      <c:pt idx="28">
                        <c:v>3010</c:v>
                      </c:pt>
                      <c:pt idx="29">
                        <c:v>2840</c:v>
                      </c:pt>
                      <c:pt idx="30">
                        <c:v>2640</c:v>
                      </c:pt>
                      <c:pt idx="31">
                        <c:v>2310</c:v>
                      </c:pt>
                      <c:pt idx="32">
                        <c:v>2430</c:v>
                      </c:pt>
                      <c:pt idx="33">
                        <c:v>2130</c:v>
                      </c:pt>
                      <c:pt idx="34">
                        <c:v>1940</c:v>
                      </c:pt>
                      <c:pt idx="35">
                        <c:v>1870</c:v>
                      </c:pt>
                      <c:pt idx="36">
                        <c:v>1680</c:v>
                      </c:pt>
                      <c:pt idx="37">
                        <c:v>1570</c:v>
                      </c:pt>
                      <c:pt idx="38">
                        <c:v>1350</c:v>
                      </c:pt>
                      <c:pt idx="39">
                        <c:v>1240</c:v>
                      </c:pt>
                      <c:pt idx="40">
                        <c:v>1060</c:v>
                      </c:pt>
                      <c:pt idx="41">
                        <c:v>870</c:v>
                      </c:pt>
                      <c:pt idx="42">
                        <c:v>810</c:v>
                      </c:pt>
                      <c:pt idx="43">
                        <c:v>760</c:v>
                      </c:pt>
                      <c:pt idx="44">
                        <c:v>640</c:v>
                      </c:pt>
                      <c:pt idx="45">
                        <c:v>600</c:v>
                      </c:pt>
                      <c:pt idx="46">
                        <c:v>600</c:v>
                      </c:pt>
                      <c:pt idx="47">
                        <c:v>600</c:v>
                      </c:pt>
                      <c:pt idx="48">
                        <c:v>600</c:v>
                      </c:pt>
                      <c:pt idx="49">
                        <c:v>600</c:v>
                      </c:pt>
                      <c:pt idx="50">
                        <c:v>600</c:v>
                      </c:pt>
                      <c:pt idx="51">
                        <c:v>600</c:v>
                      </c:pt>
                      <c:pt idx="52">
                        <c:v>600</c:v>
                      </c:pt>
                      <c:pt idx="53">
                        <c:v>600</c:v>
                      </c:pt>
                      <c:pt idx="54">
                        <c:v>600</c:v>
                      </c:pt>
                      <c:pt idx="55">
                        <c:v>600</c:v>
                      </c:pt>
                      <c:pt idx="56">
                        <c:v>600</c:v>
                      </c:pt>
                      <c:pt idx="57">
                        <c:v>600</c:v>
                      </c:pt>
                      <c:pt idx="58">
                        <c:v>600</c:v>
                      </c:pt>
                      <c:pt idx="59">
                        <c:v>600</c:v>
                      </c:pt>
                    </c:numCache>
                  </c:numRef>
                </c:yVal>
                <c:smooth val="1"/>
              </c15:ser>
            </c15:filteredScatterSeries>
          </c:ext>
        </c:extLst>
      </c:scatterChart>
      <c:valAx>
        <c:axId val="66206047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rPr lang="en-US"/>
                  <a:t>T（min）</a:t>
                </a:r>
                <a:endParaRPr lang="en-US"/>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31849825"/>
        <c:crosses val="autoZero"/>
        <c:crossBetween val="midCat"/>
      </c:valAx>
      <c:valAx>
        <c:axId val="731849825"/>
        <c:scaling>
          <c:orientation val="minMax"/>
          <c:max val="6000"/>
        </c:scaling>
        <c:delete val="0"/>
        <c:axPos val="l"/>
        <c:majorGridlines>
          <c:spPr>
            <a:ln w="9525" cap="flat" cmpd="sng" algn="ctr">
              <a:solidFill>
                <a:schemeClr val="tx1">
                  <a:lumMod val="15000"/>
                  <a:lumOff val="85000"/>
                </a:schemeClr>
              </a:solidFill>
              <a:round/>
            </a:ln>
            <a:effectLst/>
          </c:spPr>
        </c:majorGridlines>
        <c:title>
          <c:tx>
            <c:rich>
              <a:bodyPr rot="-540000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rPr lang="en-US"/>
                  <a:t>Q(ml/min)</a:t>
                </a:r>
                <a:endParaRPr lang="en-US"/>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62060477"/>
        <c:crosses val="autoZero"/>
        <c:crossBetween val="midCat"/>
      </c:valAx>
      <c:spPr>
        <a:noFill/>
        <a:ln>
          <a:noFill/>
        </a:ln>
        <a:effectLst/>
      </c:spPr>
    </c:plotArea>
    <c:plotVisOnly val="1"/>
    <c:dispBlanksAs val="gap"/>
    <c:showDLblsOverMax val="0"/>
    <c:extLst>
      <c:ext uri="{0b15fc19-7d7d-44ad-8c2d-2c3a37ce22c3}">
        <chartProps xmlns="https://web.wps.cn/et/2018/main" chartId="{a721009b-3014-43af-b413-5fcc71535ad1}"/>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6e84666d-195a-4512-aaa8-ae366935d5b4</errorID>
      <errorWord>上世纪</errorWord>
      <group>L1_Word</group>
      <groupName>字词问题</groupName>
      <ability>L2_Typo</ability>
      <abilityName>字词错误</abilityName>
      <candidateList>
        <item>20世纪</item>
      </candidateList>
      <explain/>
      <paraID>5FCE2F84</paraID>
      <start>228</start>
      <end>231</end>
      <status>unmodified</status>
      <modifiedWord/>
      <trackRevisions>false</trackRevisions>
    </reviewItem>
    <reviewItem>
      <errorID>cf773ec9-4362-4431-a9e8-5f0d4619105e</errorID>
      <errorWord>九十年代</errorWord>
      <group>L1_Word</group>
      <groupName>字词问题</groupName>
      <ability>L2_Typo</ability>
      <abilityName>字词错误</abilityName>
      <candidateList>
        <item>90年代</item>
      </candidateList>
      <explain/>
      <paraID>5FCE2F84</paraID>
      <start>232</start>
      <end>236</end>
      <status>unmodified</status>
      <modifiedWord/>
      <trackRevisions>false</trackRevisions>
    </reviewItem>
    <reviewItem>
      <errorID>d7630195-bc2e-4add-953a-dd97716304db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26D3E7CD</paraID>
      <start>25</start>
      <end>28</end>
      <status>unmodified</status>
      <modifiedWord/>
      <trackRevisions>false</trackRevisions>
    </reviewItem>
    <reviewItem>
      <errorID>ebe381e3-0549-45d8-88d7-7d82be9b14d1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26D3E7CD</paraID>
      <start>46</start>
      <end>49</end>
      <status>unmodified</status>
      <modifiedWord/>
      <trackRevisions>false</trackRevisions>
    </reviewItem>
    <reviewItem>
      <errorID>07b5df05-7d9c-4b40-b9c2-5dc668506a00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26D3E7CD</paraID>
      <start>65</start>
      <end>68</end>
      <status>unmodified</status>
      <modifiedWord/>
      <trackRevisions>false</trackRevisions>
    </reviewItem>
    <reviewItem>
      <errorID>e606372a-c9d0-4803-8c4d-706fcbcf716b</errorID>
      <errorWord>[2021]</errorWord>
      <group>L1_Punc</group>
      <groupName>标点问题</groupName>
      <ability>L2_Punc_CN</ability>
      <abilityName>标点符号问题</abilityName>
      <candidateList>
        <item>〔2021〕</item>
      </candidateList>
      <explain/>
      <paraID>26D3E7CD</paraID>
      <start>105</start>
      <end>111</end>
      <status>unmodified</status>
      <modifiedWord/>
      <trackRevisions>false</trackRevisions>
    </reviewItem>
    <reviewItem>
      <errorID>5f2baac5-cbbb-4408-b38b-0e518c2b70b9</errorID>
      <errorWord>[2023]</errorWord>
      <group>L1_Punc</group>
      <groupName>标点问题</groupName>
      <ability>L2_Punc_CN</ability>
      <abilityName>标点符号问题</abilityName>
      <candidateList>
        <item>〔2023〕</item>
      </candidateList>
      <explain/>
      <paraID>26D3E7CD</paraID>
      <start>139</start>
      <end>145</end>
      <status>unmodified</status>
      <modifiedWord/>
      <trackRevisions>false</trackRevisions>
    </reviewItem>
    <reviewItem>
      <errorID>24f857dc-ff48-488f-8419-03e2d37ee0e6</errorID>
      <errorWord>(</errorWord>
      <group>L1_Format</group>
      <groupName>格式问题</groupName>
      <ability>L2_HalfPunc_CN</ability>
      <abilityName>全半角问题</abilityName>
      <candidateList>
        <item>（</item>
      </candidateList>
      <explain>文本全半角错误。</explain>
      <paraID>26D3E7CD</paraID>
      <start>258</start>
      <end>259</end>
      <status>unmodified</status>
      <modifiedWord/>
      <trackRevisions>false</trackRevisions>
    </reviewItem>
    <reviewItem>
      <errorID>6a3787b3-47f3-4adc-9b8f-0acb17564ec5</errorID>
      <errorWord>)</errorWord>
      <group>L1_Format</group>
      <groupName>格式问题</groupName>
      <ability>L2_HalfPunc_CN</ability>
      <abilityName>全半角问题</abilityName>
      <candidateList>
        <item>）</item>
      </candidateList>
      <explain>文本全半角错误。</explain>
      <paraID>26D3E7CD</paraID>
      <start>261</start>
      <end>262</end>
      <status>unmodified</status>
      <modifiedWord/>
      <trackRevisions>false</trackRevisions>
    </reviewItem>
    <reviewItem>
      <errorID>097851e0-504c-4b86-b501-5ad7f05cc4fa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26D3E7CD</paraID>
      <start>297</start>
      <end>300</end>
      <status>unmodified</status>
      <modifiedWord/>
      <trackRevisions>false</trackRevisions>
    </reviewItem>
    <reviewItem>
      <errorID>d3c8619f-9062-48f3-917e-73897d3502b3</errorID>
      <errorWord>，</errorWord>
      <group>L1_Word</group>
      <groupName>字词问题</groupName>
      <ability>L2_Typo</ability>
      <abilityName>字词错误</abilityName>
      <candidateList>
        <item>，在</item>
      </candidateList>
      <explain/>
      <paraID>1E7A9AD0</paraID>
      <start>240</start>
      <end>241</end>
      <status>unmodified</status>
      <modifiedWord/>
      <trackRevisions>false</trackRevisions>
    </reviewItem>
    <reviewItem>
      <errorID>6ff1d4d7-64a4-40a7-8395-ed6b6583cc78</errorID>
      <errorWord>[2015]</errorWord>
      <group>L1_Punc</group>
      <groupName>标点问题</groupName>
      <ability>L2_Punc_CN</ability>
      <abilityName>标点符号问题</abilityName>
      <candidateList>
        <item>〔2015〕</item>
      </candidateList>
      <explain/>
      <paraID> AE6373B</paraID>
      <start>26</start>
      <end>32</end>
      <status>unmodified</status>
      <modifiedWord/>
      <trackRevisions>false</trackRevisions>
    </reviewItem>
    <reviewItem>
      <errorID>c62d3d47-21e8-45aa-9713-e42f2004284b</errorID>
      <errorWord>[2016]</errorWord>
      <group>L1_Punc</group>
      <groupName>标点问题</groupName>
      <ability>L2_Punc_CN</ability>
      <abilityName>标点符号问题</abilityName>
      <candidateList>
        <item>〔2016〕</item>
      </candidateList>
      <explain/>
      <paraID>3CE18935</paraID>
      <start>27</start>
      <end>33</end>
      <status>unmodified</status>
      <modifiedWord/>
      <trackRevisions>false</trackRevisions>
    </reviewItem>
    <reviewItem>
      <errorID>8931d901-929a-4807-ae07-872e02f191ea</errorID>
      <errorWord>(</errorWord>
      <group>L1_Format</group>
      <groupName>格式问题</groupName>
      <ability>L2_HalfPunc_CN</ability>
      <abilityName>全半角问题</abilityName>
      <candidateList>
        <item>（</item>
      </candidateList>
      <explain>文本全半角错误。</explain>
      <paraID>335987A1</paraID>
      <start>15</start>
      <end>16</end>
      <status>unmodified</status>
      <modifiedWord/>
      <trackRevisions>false</trackRevisions>
    </reviewItem>
    <reviewItem>
      <errorID>8c5f1bca-fc56-459a-9fab-53cec683317a</errorID>
      <errorWord>[2023]</errorWord>
      <group>L1_Punc</group>
      <groupName>标点问题</groupName>
      <ability>L2_Punc_CN</ability>
      <abilityName>标点符号问题</abilityName>
      <candidateList>
        <item>〔2023〕</item>
      </candidateList>
      <explain/>
      <paraID>335987A1</paraID>
      <start>18</start>
      <end>24</end>
      <status>unmodified</status>
      <modifiedWord/>
      <trackRevisions>false</trackRevisions>
    </reviewItem>
    <reviewItem>
      <errorID>8cb2512c-dda3-4805-a6c9-31dfafd32aef</errorID>
      <errorWord>)</errorWord>
      <group>L1_Format</group>
      <groupName>格式问题</groupName>
      <ability>L2_HalfPunc_CN</ability>
      <abilityName>全半角问题</abilityName>
      <candidateList>
        <item>）</item>
      </candidateList>
      <explain>文本全半角错误。</explain>
      <paraID>335987A1</paraID>
      <start>27</start>
      <end>28</end>
      <status>unmodified</status>
      <modifiedWord/>
      <trackRevisions>false</trackRevisions>
    </reviewItem>
    <reviewItem>
      <errorID>63010796-dc08-406e-8576-93e66ccf9588</errorID>
      <errorWord>[2023]</errorWord>
      <group>L1_Punc</group>
      <groupName>标点问题</groupName>
      <ability>L2_Punc_CN</ability>
      <abilityName>标点符号问题</abilityName>
      <candidateList>
        <item>〔2023〕</item>
      </candidateList>
      <explain/>
      <paraID>41CA6CBE</paraID>
      <start>28</start>
      <end>34</end>
      <status>unmodified</status>
      <modifiedWord/>
      <trackRevisions>false</trackRevisions>
    </reviewItem>
    <reviewItem>
      <errorID>3e9f93cd-73fa-45e3-8906-a4063b4f96a5</errorID>
      <errorWord>(</errorWord>
      <group>L1_Format</group>
      <groupName>格式问题</groupName>
      <ability>L2_HalfPunc_CN</ability>
      <abilityName>全半角问题</abilityName>
      <candidateList>
        <item>（</item>
      </candidateList>
      <explain>文本全半角错误。</explain>
      <paraID>372FE2CF</paraID>
      <start>27</start>
      <end>28</end>
      <status>unmodified</status>
      <modifiedWord/>
      <trackRevisions>false</trackRevisions>
    </reviewItem>
    <reviewItem>
      <errorID>23bccb4d-cc7a-4df9-bf46-73444360e01f</errorID>
      <errorWord>[2016]</errorWord>
      <group>L1_Punc</group>
      <groupName>标点问题</groupName>
      <ability>L2_Punc_CN</ability>
      <abilityName>标点符号问题</abilityName>
      <candidateList>
        <item>〔2016〕</item>
      </candidateList>
      <explain/>
      <paraID>372FE2CF</paraID>
      <start>31</start>
      <end>37</end>
      <status>unmodified</status>
      <modifiedWord/>
      <trackRevisions>false</trackRevisions>
    </reviewItem>
    <reviewItem>
      <errorID>a267faf0-836c-4fcc-9db9-dd0be1f28869</errorID>
      <errorWord>)</errorWord>
      <group>L1_Format</group>
      <groupName>格式问题</groupName>
      <ability>L2_HalfPunc_CN</ability>
      <abilityName>全半角问题</abilityName>
      <candidateList>
        <item>）</item>
      </candidateList>
      <explain>文本全半角错误。</explain>
      <paraID>372FE2CF</paraID>
      <start>41</start>
      <end>42</end>
      <status>unmodified</status>
      <modifiedWord/>
      <trackRevisions>false</trackRevisions>
    </reviewItem>
    <reviewItem>
      <errorID>ccd7b8bd-37dd-4057-a449-1042552327c7</errorID>
      <errorWord>《中共中央、国务院</errorWord>
      <group>L1_Political</group>
      <groupName>政治性问题</groupName>
      <ability>L2_Unpolitical</ability>
      <abilityName>政治敏感错误</abilityName>
      <candidateList>
        <item>《中共中央 国务院</item>
      </candidateList>
      <explain/>
      <paraID>  531689</paraID>
      <start>0</start>
      <end>9</end>
      <status>unmodified</status>
      <modifiedWord/>
      <trackRevisions>false</trackRevisions>
    </reviewItem>
    <reviewItem>
      <errorID>a35e6837-86cf-4f34-b002-e7d3a17e504f</errorID>
      <errorWord>[2012]</errorWord>
      <group>L1_Punc</group>
      <groupName>标点问题</groupName>
      <ability>L2_Punc_CN</ability>
      <abilityName>标点符号问题</abilityName>
      <candidateList>
        <item>〔2012〕</item>
      </candidateList>
      <explain/>
      <paraID>776D8998</paraID>
      <start>29</start>
      <end>35</end>
      <status>unmodified</status>
      <modifiedWord/>
      <trackRevisions>false</trackRevisions>
    </reviewItem>
    <reviewItem>
      <errorID>7acdc725-42ec-4ba9-9707-2137fb3e4ce7</errorID>
      <errorWord>[2012]</errorWord>
      <group>L1_Punc</group>
      <groupName>标点问题</groupName>
      <ability>L2_Punc_CN</ability>
      <abilityName>标点符号问题</abilityName>
      <candidateList>
        <item>〔2012〕</item>
      </candidateList>
      <explain/>
      <paraID>404472CC</paraID>
      <start>28</start>
      <end>34</end>
      <status>unmodified</status>
      <modifiedWord/>
      <trackRevisions>false</trackRevisions>
    </reviewItem>
    <reviewItem>
      <errorID>9812bcaf-062d-4f3a-9445-69231d66c8a7</errorID>
      <errorWord>&lt;</errorWord>
      <group>L1_Format</group>
      <groupName>格式问题</groupName>
      <ability>L2_HalfPunc_CN</ability>
      <abilityName>全半角问题</abilityName>
      <candidateList>
        <item>〈</item>
      </candidateList>
      <explain>文本全半角错误。</explain>
      <paraID>1CF4C937</paraID>
      <start>5</start>
      <end>6</end>
      <status>unmodified</status>
      <modifiedWord/>
      <trackRevisions>false</trackRevisions>
    </reviewItem>
    <reviewItem>
      <errorID>03df7ed8-8e55-4da7-81ad-c219a14a18de</errorID>
      <errorWord>[2014]</errorWord>
      <group>L1_Punc</group>
      <groupName>标点问题</groupName>
      <ability>L2_Punc_CN</ability>
      <abilityName>标点符号问题</abilityName>
      <candidateList>
        <item>〔2014〕</item>
      </candidateList>
      <explain/>
      <paraID>1CF4C937</paraID>
      <start>38</start>
      <end>44</end>
      <status>unmodified</status>
      <modifiedWord/>
      <trackRevisions>false</trackRevisions>
    </reviewItem>
    <reviewItem>
      <errorID>8cfcb24c-6532-4f1c-bca5-95e7e5e3a0b3</errorID>
      <errorWord>[2025]</errorWord>
      <group>L1_Punc</group>
      <groupName>标点问题</groupName>
      <ability>L2_Punc_CN</ability>
      <abilityName>标点符号问题</abilityName>
      <candidateList>
        <item>〔2025〕</item>
      </candidateList>
      <explain/>
      <paraID>588AE1C6</paraID>
      <start>27</start>
      <end>33</end>
      <status>unmodified</status>
      <modifiedWord/>
      <trackRevisions>false</trackRevisions>
    </reviewItem>
    <reviewItem>
      <errorID>7d21bec1-f2ff-4abd-8ae8-5a4b3839f8d1</errorID>
      <errorWord>制</errorWord>
      <group>L1_Word</group>
      <groupName>字词问题</groupName>
      <ability>L2_Typo</ability>
      <abilityName>字词错误</abilityName>
      <candidateList>
        <item>制度</item>
      </candidateList>
      <explain/>
      <paraID>6C5DC068</paraID>
      <start>18</start>
      <end>19</end>
      <status>unmodified</status>
      <modifiedWord/>
      <trackRevisions>false</trackRevisions>
    </reviewItem>
    <reviewItem>
      <errorID>9003f2d6-88a2-44a0-be76-8406ec50ad73</errorID>
      <errorWord>[2017]</errorWord>
      <group>L1_Punc</group>
      <groupName>标点问题</groupName>
      <ability>L2_Punc_CN</ability>
      <abilityName>标点符号问题</abilityName>
      <candidateList>
        <item>〔2017〕</item>
      </candidateList>
      <explain/>
      <paraID>6C5DC068</paraID>
      <start>34</start>
      <end>40</end>
      <status>unmodified</status>
      <modifiedWord/>
      <trackRevisions>false</trackRevisions>
    </reviewItem>
    <reviewItem>
      <errorID>69f905cc-8cda-424c-ad06-8e34c51b450a</errorID>
      <errorWord>[2018]</errorWord>
      <group>L1_Punc</group>
      <groupName>标点问题</groupName>
      <ability>L2_Punc_CN</ability>
      <abilityName>标点符号问题</abilityName>
      <candidateList>
        <item>〔2018〕</item>
      </candidateList>
      <explain/>
      <paraID> E5E0881</paraID>
      <start>32</start>
      <end>38</end>
      <status>unmodified</status>
      <modifiedWord/>
      <trackRevisions>false</trackRevisions>
    </reviewItem>
    <reviewItem>
      <errorID>745b7e31-ab76-4aac-ad37-370fd8ab6895</errorID>
      <errorWord>[2022]</errorWord>
      <group>L1_Punc</group>
      <groupName>标点问题</groupName>
      <ability>L2_Punc_CN</ability>
      <abilityName>标点符号问题</abilityName>
      <candidateList>
        <item>〔2022〕</item>
      </candidateList>
      <explain/>
      <paraID>5F5F9A4D</paraID>
      <start>25</start>
      <end>31</end>
      <status>unmodified</status>
      <modifiedWord/>
      <trackRevisions>false</trackRevisions>
    </reviewItem>
    <reviewItem>
      <errorID>932b4d8e-e6e1-4df0-a8f0-791ad32f45f0</errorID>
      <errorWord>[2020]</errorWord>
      <group>L1_Punc</group>
      <groupName>标点问题</groupName>
      <ability>L2_Punc_CN</ability>
      <abilityName>标点符号问题</abilityName>
      <candidateList>
        <item>〔2020〕</item>
      </candidateList>
      <explain/>
      <paraID>295D0CD2</paraID>
      <start>26</start>
      <end>32</end>
      <status>unmodified</status>
      <modifiedWord/>
      <trackRevisions>false</trackRevisions>
    </reviewItem>
    <reviewItem>
      <errorID>af037a48-6a66-4a68-8f4f-117e8a3530e7</errorID>
      <errorWord>[2019]</errorWord>
      <group>L1_Punc</group>
      <groupName>标点问题</groupName>
      <ability>L2_Punc_CN</ability>
      <abilityName>标点符号问题</abilityName>
      <candidateList>
        <item>〔2019〕</item>
      </candidateList>
      <explain/>
      <paraID>71AF56A2</paraID>
      <start>31</start>
      <end>37</end>
      <status>unmodified</status>
      <modifiedWord/>
      <trackRevisions>false</trackRevisions>
    </reviewItem>
    <reviewItem>
      <errorID>f8844ecd-8c77-4673-b683-bc2c5a21f0e1</errorID>
      <errorWord>地方法规</errorWord>
      <group>L1_Political</group>
      <groupName>政治性问题</groupName>
      <ability>L2_Unpolitical</ability>
      <abilityName>政治敏感错误</abilityName>
      <candidateList>
        <item>地方性法规</item>
      </candidateList>
      <explain/>
      <paraID>6E9B7CCF</paraID>
      <start>5</start>
      <end>9</end>
      <status>unmodified</status>
      <modifiedWord/>
      <trackRevisions>false</trackRevisions>
    </reviewItem>
    <reviewItem>
      <errorID>15ca0ba6-27c7-4e2a-985f-33e768e1a712</errorID>
      <errorWord>年年</errorWord>
      <group>L1_Word</group>
      <groupName>字词问题</groupName>
      <ability>L2_Typo</ability>
      <abilityName>字词错误</abilityName>
      <candidateList>
        <item>年</item>
      </candidateList>
      <explain/>
      <paraID> 2C42DEE</paraID>
      <start>17</start>
      <end>18</end>
      <status>modified</status>
      <modifiedWord>年</modifiedWord>
      <trackRevisions>false</trackRevisions>
    </reviewItem>
    <reviewItem>
      <errorID>be5921d3-be58-40a8-8a03-052867b33930</errorID>
      <errorWord>[2022]</errorWord>
      <group>L1_Punc</group>
      <groupName>标点问题</groupName>
      <ability>L2_Punc_CN</ability>
      <abilityName>标点符号问题</abilityName>
      <candidateList>
        <item>〔2022〕</item>
      </candidateList>
      <explain/>
      <paraID>64C4809B</paraID>
      <start>24</start>
      <end>30</end>
      <status>unmodified</status>
      <modifiedWord/>
      <trackRevisions>false</trackRevisions>
    </reviewItem>
    <reviewItem>
      <errorID>4f3649ff-5fa9-43c2-ab13-f719a4fa6222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7A0AF4B8</paraID>
      <start>20</start>
      <end>21</end>
      <status>unmodified</status>
      <modifiedWord/>
      <trackRevisions>false</trackRevisions>
    </reviewItem>
    <reviewItem>
      <errorID>1445b303-0fb5-45a9-929a-d0d334ca8e95</errorID>
      <errorWord>[2025]</errorWord>
      <group>L1_Punc</group>
      <groupName>标点问题</groupName>
      <ability>L2_Punc_CN</ability>
      <abilityName>标点符号问题</abilityName>
      <candidateList>
        <item>〔2025〕</item>
      </candidateList>
      <explain/>
      <paraID>4A846287</paraID>
      <start>39</start>
      <end>45</end>
      <status>unmodified</status>
      <modifiedWord/>
      <trackRevisions>false</trackRevisions>
    </reviewItem>
    <reviewItem>
      <errorID>9f9e3b9c-ae5d-433a-a3c0-4cfbbe5f48af</errorID>
      <errorWord>[2016]</errorWord>
      <group>L1_Punc</group>
      <groupName>标点问题</groupName>
      <ability>L2_Punc_CN</ability>
      <abilityName>标点符号问题</abilityName>
      <candidateList>
        <item>〔2016〕</item>
      </candidateList>
      <explain/>
      <paraID>40319B54</paraID>
      <start>32</start>
      <end>38</end>
      <status>unmodified</status>
      <modifiedWord/>
      <trackRevisions>false</trackRevisions>
    </reviewItem>
    <reviewItem>
      <errorID>634f41d6-9da1-4520-8688-b99033d079dd</errorID>
      <errorWord>[2016]</errorWord>
      <group>L1_Punc</group>
      <groupName>标点问题</groupName>
      <ability>L2_Punc_CN</ability>
      <abilityName>标点符号问题</abilityName>
      <candidateList>
        <item>〔2016〕</item>
      </candidateList>
      <explain/>
      <paraID>4A20ACB2</paraID>
      <start>33</start>
      <end>39</end>
      <status>unmodified</status>
      <modifiedWord/>
      <trackRevisions>false</trackRevisions>
    </reviewItem>
    <reviewItem>
      <errorID>acc33707-39d5-49ad-b8fc-a6e72ce04c42</errorID>
      <errorWord>[2017]</errorWord>
      <group>L1_Punc</group>
      <groupName>标点问题</groupName>
      <ability>L2_Punc_CN</ability>
      <abilityName>标点符号问题</abilityName>
      <candidateList>
        <item>〔2017〕</item>
      </candidateList>
      <explain/>
      <paraID>1566D22A</paraID>
      <start>33</start>
      <end>39</end>
      <status>unmodified</status>
      <modifiedWord/>
      <trackRevisions>false</trackRevisions>
    </reviewItem>
    <reviewItem>
      <errorID>831d8ae7-2702-4a17-b65e-bf5674717e26</errorID>
      <errorWord>[2021]</errorWord>
      <group>L1_Punc</group>
      <groupName>标点问题</groupName>
      <ability>L2_Punc_CN</ability>
      <abilityName>标点符号问题</abilityName>
      <candidateList>
        <item>〔2021〕</item>
      </candidateList>
      <explain/>
      <paraID>5F67951C</paraID>
      <start>38</start>
      <end>44</end>
      <status>unmodified</status>
      <modifiedWord/>
      <trackRevisions>false</trackRevisions>
    </reviewItem>
    <reviewItem>
      <errorID>3ea7a959-743c-4fe7-bc0a-c6905efb8f27</errorID>
      <errorWord>[2023]</errorWord>
      <group>L1_Punc</group>
      <groupName>标点问题</groupName>
      <ability>L2_Punc_CN</ability>
      <abilityName>标点符号问题</abilityName>
      <candidateList>
        <item>〔2023〕</item>
      </candidateList>
      <explain/>
      <paraID>23D032EF</paraID>
      <start>23</start>
      <end>29</end>
      <status>unmodified</status>
      <modifiedWord/>
      <trackRevisions>false</trackRevisions>
    </reviewItem>
    <reviewItem>
      <errorID>c3abbbfd-5316-448d-b3f5-be2aa41032df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7FC9A6AB</paraID>
      <start>18</start>
      <end>19</end>
      <status>unmodified</status>
      <modifiedWord/>
      <trackRevisions>false</trackRevisions>
    </reviewItem>
    <reviewItem>
      <errorID>7a2828ff-a5c4-437b-980a-31b97f852aab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44C540D3</paraID>
      <start>23</start>
      <end>24</end>
      <status>unmodified</status>
      <modifiedWord/>
      <trackRevisions>false</trackRevisions>
    </reviewItem>
    <reviewItem>
      <errorID>cd803377-92be-4d3e-8821-aaa2e728047e</errorID>
      <errorWord>其它</errorWord>
      <group>L1_Word</group>
      <groupName>字词问题</groupName>
      <ability>L2_Alias</ability>
      <abilityName>也作/曾用词</abilityName>
      <candidateList>
        <item>其他</item>
      </candidateList>
      <explain>词汇[其它]为不规范表述或旧称，其规范书面表述为[其他]。</explain>
      <paraID>57F0DD4D</paraID>
      <start>17</start>
      <end>19</end>
      <status>modified</status>
      <modifiedWord>其他</modifiedWord>
      <trackRevisions>false</trackRevisions>
    </reviewItem>
    <reviewItem>
      <errorID>81b1a9dd-0519-4ab1-821e-43dabaeea3d8</errorID>
      <errorWord>程</errorWord>
      <group>L1_Word</group>
      <groupName>字词问题</groupName>
      <ability>L2_Typo</ability>
      <abilityName>字词错误</abilityName>
      <candidateList>
        <item>程中</item>
      </candidateList>
      <explain/>
      <paraID>1C64392C</paraID>
      <start>59</start>
      <end>60</end>
      <status>unmodified</status>
      <modifiedWord/>
      <trackRevisions>false</trackRevisions>
    </reviewItem>
    <reviewItem>
      <errorID>0b6013b0-f267-4abf-ae13-c47622230b0b</errorID>
      <errorWord>(</errorWord>
      <group>L1_Format</group>
      <groupName>格式问题</groupName>
      <ability>L2_HalfPunc_CN</ability>
      <abilityName>全半角问题</abilityName>
      <candidateList>
        <item>（</item>
      </candidateList>
      <explain>文本全半角错误。</explain>
      <paraID>6EE70EA9</paraID>
      <start>30</start>
      <end>31</end>
      <status>unmodified</status>
      <modifiedWord/>
      <trackRevisions>false</trackRevisions>
    </reviewItem>
    <reviewItem>
      <errorID>bab7273a-3e83-49bf-9ae3-cd469d084290</errorID>
      <errorWord>)</errorWord>
      <group>L1_Format</group>
      <groupName>格式问题</groupName>
      <ability>L2_HalfPunc_CN</ability>
      <abilityName>全半角问题</abilityName>
      <candidateList>
        <item>）</item>
      </candidateList>
      <explain>文本全半角错误。</explain>
      <paraID>6EE70EA9</paraID>
      <start>33</start>
      <end>34</end>
      <status>unmodified</status>
      <modifiedWord/>
      <trackRevisions>false</trackRevisions>
    </reviewItem>
    <reviewItem>
      <errorID>4d49dada-ec3b-4186-9a82-1203935df131</errorID>
      <errorWord>～</errorWord>
      <group>L1_Format</group>
      <groupName>格式问题</groupName>
      <ability>L2_HalfPunc_CN</ability>
      <abilityName>全半角问题</abilityName>
      <candidateList>
        <item>~</item>
      </candidateList>
      <explain>文本全半角错误。</explain>
      <paraID>7924C34B</paraID>
      <start>3</start>
      <end>4</end>
      <status>unmodified</status>
      <modifiedWord/>
      <trackRevisions>false</trackRevisions>
    </reviewItem>
    <reviewItem>
      <errorID>d37ccd5e-8203-49af-bf2e-4367610a4f86</errorID>
      <errorWord>)</errorWord>
      <group>L1_Format</group>
      <groupName>格式问题</groupName>
      <ability>L2_HalfPunc_CN</ability>
      <abilityName>全半角问题</abilityName>
      <candidateList>
        <item>）</item>
      </candidateList>
      <explain>文本全半角错误。</explain>
      <paraID>59B5863C</paraID>
      <start>42</start>
      <end>43</end>
      <status>unmodified</status>
      <modifiedWord/>
      <trackRevisions>false</trackRevisions>
    </reviewItem>
    <reviewItem>
      <errorID>32331fa9-c636-4849-b31b-9a239f4ac3ac</errorID>
      <errorWord>)</errorWord>
      <group>L1_Format</group>
      <groupName>格式问题</groupName>
      <ability>L2_HalfPunc_CN</ability>
      <abilityName>全半角问题</abilityName>
      <candidateList>
        <item>）</item>
      </candidateList>
      <explain>文本全半角错误。</explain>
      <paraID>59B5863C</paraID>
      <start>52</start>
      <end>53</end>
      <status>unmodified</status>
      <modifiedWord/>
      <trackRevisions>false</trackRevisions>
    </reviewItem>
    <reviewItem>
      <errorID>ce79fe83-cc55-4ade-b45d-8b100e37daea</errorID>
      <errorWord>)</errorWord>
      <group>L1_Format</group>
      <groupName>格式问题</groupName>
      <ability>L2_HalfPunc_CN</ability>
      <abilityName>全半角问题</abilityName>
      <candidateList>
        <item>）</item>
      </candidateList>
      <explain>文本全半角错误。</explain>
      <paraID>23EB936D</paraID>
      <start>52</start>
      <end>53</end>
      <status>unmodified</status>
      <modifiedWord/>
      <trackRevisions>false</trackRevisions>
    </reviewItem>
    <reviewItem>
      <errorID>5aa898bd-cd84-4f1a-bf11-166a2613d6f6</errorID>
      <errorWord>)</errorWord>
      <group>L1_Format</group>
      <groupName>格式问题</groupName>
      <ability>L2_HalfPunc_CN</ability>
      <abilityName>全半角问题</abilityName>
      <candidateList>
        <item>）</item>
      </candidateList>
      <explain>文本全半角错误。</explain>
      <paraID>23EB936D</paraID>
      <start>62</start>
      <end>63</end>
      <status>unmodified</status>
      <modifiedWord/>
      <trackRevisions>false</trackRevisions>
    </reviewItem>
    <reviewItem>
      <errorID>c114fd6c-08aa-4b0b-9019-0f8be5eb9823</errorID>
      <errorWord>（</errorWord>
      <group>L1_Format</group>
      <groupName>格式问题</groupName>
      <ability>L2_HalfPunc_CN</ability>
      <abilityName>全半角问题</abilityName>
      <candidateList>
        <item>(</item>
      </candidateList>
      <explain>文本全半角错误。</explain>
      <paraID>71271309</paraID>
      <start>0</start>
      <end>1</end>
      <status>unmodified</status>
      <modifiedWord/>
      <trackRevisions>false</trackRevisions>
    </reviewItem>
    <reviewItem>
      <errorID>e5fb8099-fa49-40aa-a6f6-83256ff62a8a</errorID>
      <errorWord>，</errorWord>
      <group>L1_Format</group>
      <groupName>格式问题</groupName>
      <ability>L2_HalfPunc_CN</ability>
      <abilityName>全半角问题</abilityName>
      <candidateList>
        <item>, </item>
      </candidateList>
      <explain>文本全半角错误。</explain>
      <paraID>71271309</paraID>
      <start>2</start>
      <end>3</end>
      <status>unmodified</status>
      <modifiedWord/>
      <trackRevisions>false</trackRevisions>
    </reviewItem>
    <reviewItem>
      <errorID>b7693dee-82d7-4aa4-b2cd-a4e8806e652c</errorID>
      <errorWord>）</errorWord>
      <group>L1_Format</group>
      <groupName>格式问题</groupName>
      <ability>L2_HalfPunc_CN</ability>
      <abilityName>全半角问题</abilityName>
      <candidateList>
        <item>)</item>
      </candidateList>
      <explain>文本全半角错误。</explain>
      <paraID>71271309</paraID>
      <start>4</start>
      <end>5</end>
      <status>unmodified</status>
      <modifiedWord/>
      <trackRevisions>false</trackRevisions>
    </reviewItem>
    <reviewItem>
      <errorID>f3856f5f-9cf7-4658-b060-50ed8300d995</errorID>
      <errorWord>(</errorWord>
      <group>L1_Format</group>
      <groupName>格式问题</groupName>
      <ability>L2_HalfPunc_CN</ability>
      <abilityName>全半角问题</abilityName>
      <candidateList>
        <item>（</item>
      </candidateList>
      <explain>文本全半角错误。</explain>
      <paraID>2130C603</paraID>
      <start>6</start>
      <end>7</end>
      <status>unmodified</status>
      <modifiedWord/>
      <trackRevisions>false</trackRevisions>
    </reviewItem>
    <reviewItem>
      <errorID>16a0db9f-a375-4954-acf7-23b0b8a3655e</errorID>
      <errorWord>)</errorWord>
      <group>L1_Format</group>
      <groupName>格式问题</groupName>
      <ability>L2_HalfPunc_CN</ability>
      <abilityName>全半角问题</abilityName>
      <candidateList>
        <item>）</item>
      </candidateList>
      <explain>文本全半角错误。</explain>
      <paraID>2130C603</paraID>
      <start>12</start>
      <end>13</end>
      <status>unmodified</status>
      <modifiedWord/>
      <trackRevisions>false</trackRevisions>
    </reviewItem>
    <reviewItem>
      <errorID>aa036eab-9b7b-44cd-8745-80d6601c8fa4</errorID>
      <errorWord>II类</errorWord>
      <group>L1_Word</group>
      <groupName>字词问题</groupName>
      <ability>L2_Typo</ability>
      <abilityName>字词错误</abilityName>
      <candidateList>
        <item>Ⅱ类</item>
      </candidateList>
      <explain/>
      <paraID>3B3BA6E6</paraID>
      <start>31</start>
      <end>34</end>
      <status>unmodified</status>
      <modifiedWord/>
      <trackRevisions>false</trackRevisions>
    </reviewItem>
    <reviewItem>
      <errorID>441e7c1a-b84e-4fd1-bc86-1ec9395f3576</errorID>
      <errorWord>III</errorWord>
      <group>L1_Word</group>
      <groupName>字词问题</groupName>
      <ability>L2_Typo</ability>
      <abilityName>字词错误</abilityName>
      <candidateList>
        <item>Ⅲ</item>
      </candidateList>
      <explain/>
      <paraID>7A7EA6A9</paraID>
      <start>31</start>
      <end>34</end>
      <status>unmodified</status>
      <modifiedWord/>
      <trackRevisions>false</trackRevisions>
    </reviewItem>
    <reviewItem>
      <errorID>af87d6b4-a640-4690-b1f8-31376bf7d5d1</errorID>
      <errorWord>II类</errorWord>
      <group>L1_Word</group>
      <groupName>字词问题</groupName>
      <ability>L2_Typo</ability>
      <abilityName>字词错误</abilityName>
      <candidateList>
        <item>Ⅱ类</item>
      </candidateList>
      <explain/>
      <paraID>63017F5B</paraID>
      <start>94</start>
      <end>97</end>
      <status>unmodified</status>
      <modifiedWord/>
      <trackRevisions>false</trackRevisions>
    </reviewItem>
    <reviewItem>
      <errorID>e0719861-d509-47f1-b362-9abdf7a02b71</errorID>
      <errorWord>-</errorWord>
      <group>L1_Format</group>
      <groupName>格式问题</groupName>
      <ability>L2_HalfPunc_CN</ability>
      <abilityName>全半角问题</abilityName>
      <candidateList>
        <item>－</item>
      </candidateList>
      <explain>文本全半角错误。</explain>
      <paraID>7B7F89EE</paraID>
      <start>13</start>
      <end>14</end>
      <status>unmodified</status>
      <modifiedWord/>
      <trackRevisions>false</trackRevisions>
    </reviewItem>
    <reviewItem>
      <errorID>e47961b8-27c0-43b4-9219-082207eca855</errorID>
      <errorWord>乱</errorWord>
      <group>L1_Word</group>
      <groupName>字词问题</groupName>
      <ability>L2_Typo</ability>
      <abilityName>字词错误</abilityName>
      <candidateList>
        <item>滥</item>
      </candidateList>
      <explain/>
      <paraID>37FB1EE7</paraID>
      <start>18</start>
      <end>19</end>
      <status>unmodified</status>
      <modifiedWord/>
      <trackRevisions>false</trackRevisions>
    </reviewItem>
    <reviewItem>
      <errorID>867af5e8-f5a7-4533-a02b-59a620416fd1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16899C77</paraID>
      <start>8</start>
      <end>11</end>
      <status>unmodified</status>
      <modifiedWord/>
      <trackRevisions>false</trackRevisions>
    </reviewItem>
    <reviewItem>
      <errorID>b9e1c1a8-db29-4514-b5a3-bfc4478d5704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16899C77</paraID>
      <start>14</start>
      <end>17</end>
      <status>unmodified</status>
      <modifiedWord/>
      <trackRevisions>false</trackRevisions>
    </reviewItem>
    <reviewItem>
      <errorID>8a2be56a-9006-473b-a6a5-9d071e132d2c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16899C77</paraID>
      <start>20</start>
      <end>23</end>
      <status>unmodified</status>
      <modifiedWord/>
      <trackRevisions>false</trackRevisions>
    </reviewItem>
    <reviewItem>
      <errorID>92c1d346-9485-4f74-b5ea-97934f5899a2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3DC5B623</paraID>
      <start>149</start>
      <end>150</end>
      <status>unmodified</status>
      <modifiedWord/>
      <trackRevisions>false</trackRevisions>
    </reviewItem>
    <reviewItem>
      <errorID>62733d9f-d9e7-40a7-8ab1-6abc73526a72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38444D95</paraID>
      <start>15</start>
      <end>18</end>
      <status>unmodified</status>
      <modifiedWord/>
      <trackRevisions>false</trackRevisions>
    </reviewItem>
    <reviewItem>
      <errorID>0af534f6-4ed6-4efb-9c6e-63a3e7140502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38444D95</paraID>
      <start>21</start>
      <end>24</end>
      <status>unmodified</status>
      <modifiedWord/>
      <trackRevisions>false</trackRevisions>
    </reviewItem>
    <reviewItem>
      <errorID>e2c9a95c-4ec7-4e13-bc37-ff411ccee4e7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38444D95</paraID>
      <start>27</start>
      <end>30</end>
      <status>unmodified</status>
      <modifiedWord/>
      <trackRevisions>false</trackRevisions>
    </reviewItem>
    <reviewItem>
      <errorID>3e528520-edfe-45d0-a944-de2052506d9d</errorID>
      <errorWord>(</errorWord>
      <group>L1_Format</group>
      <groupName>格式问题</groupName>
      <ability>L2_HalfPunc_CN</ability>
      <abilityName>全半角问题</abilityName>
      <candidateList>
        <item>（</item>
      </candidateList>
      <explain>文本全半角错误。</explain>
      <paraID> F1EB3CB</paraID>
      <start>0</start>
      <end>1</end>
      <status>unmodified</status>
      <modifiedWord/>
      <trackRevisions>false</trackRevisions>
    </reviewItem>
    <reviewItem>
      <errorID>de0b2406-3494-4e35-8669-7d24c6744311</errorID>
      <errorWord>)</errorWord>
      <group>L1_Format</group>
      <groupName>格式问题</groupName>
      <ability>L2_HalfPunc_CN</ability>
      <abilityName>全半角问题</abilityName>
      <candidateList>
        <item>）</item>
      </candidateList>
      <explain>文本全半角错误。</explain>
      <paraID> F1EB3CB</paraID>
      <start>3</start>
      <end>4</end>
      <status>unmodified</status>
      <modifiedWord/>
      <trackRevisions>false</trackRevisions>
    </reviewItem>
    <reviewItem>
      <errorID>a78702d4-346c-43f2-8768-80d863a606db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2CB83426</paraID>
      <start>20</start>
      <end>21</end>
      <status>unmodified</status>
      <modifiedWord/>
      <trackRevisions>false</trackRevisions>
    </reviewItem>
    <reviewItem>
      <errorID>e50a8f8b-cf17-4f5f-8b0f-87c05ee7a90b</errorID>
      <errorWord>(</errorWord>
      <group>L1_Format</group>
      <groupName>格式问题</groupName>
      <ability>L2_HalfPunc_CN</ability>
      <abilityName>全半角问题</abilityName>
      <candidateList>
        <item>（</item>
      </candidateList>
      <explain>文本全半角错误。</explain>
      <paraID>21F63986</paraID>
      <start>0</start>
      <end>1</end>
      <status>unmodified</status>
      <modifiedWord/>
      <trackRevisions>false</trackRevisions>
    </reviewItem>
    <reviewItem>
      <errorID>fbaf1ec3-f7fe-4eef-ae34-7487bee739a0</errorID>
      <errorWord>)</errorWord>
      <group>L1_Format</group>
      <groupName>格式问题</groupName>
      <ability>L2_HalfPunc_CN</ability>
      <abilityName>全半角问题</abilityName>
      <candidateList>
        <item>）</item>
      </candidateList>
      <explain>文本全半角错误。</explain>
      <paraID>21F63986</paraID>
      <start>2</start>
      <end>3</end>
      <status>unmodified</status>
      <modifiedWord/>
      <trackRevisions>false</trackRevisions>
    </reviewItem>
    <reviewItem>
      <errorID>2601e5c3-2605-4f1f-abb9-ab551510dce9</errorID>
      <errorWord>(</errorWord>
      <group>L1_Format</group>
      <groupName>格式问题</groupName>
      <ability>L2_HalfPunc_CN</ability>
      <abilityName>全半角问题</abilityName>
      <candidateList>
        <item>（</item>
      </candidateList>
      <explain>文本全半角错误。</explain>
      <paraID>31B56887</paraID>
      <start>0</start>
      <end>1</end>
      <status>unmodified</status>
      <modifiedWord/>
      <trackRevisions>false</trackRevisions>
    </reviewItem>
    <reviewItem>
      <errorID>3100f106-54d0-4392-860e-a6d57194bb06</errorID>
      <errorWord>)</errorWord>
      <group>L1_Format</group>
      <groupName>格式问题</groupName>
      <ability>L2_HalfPunc_CN</ability>
      <abilityName>全半角问题</abilityName>
      <candidateList>
        <item>）</item>
      </candidateList>
      <explain>文本全半角错误。</explain>
      <paraID>31B56887</paraID>
      <start>3</start>
      <end>4</end>
      <status>unmodified</status>
      <modifiedWord/>
      <trackRevisions>false</trackRevisions>
    </reviewItem>
    <reviewItem>
      <errorID>dae0de12-bd43-46ed-a8a1-55ee67f74ec0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2814D7B2</paraID>
      <start>19</start>
      <end>22</end>
      <status>unmodified</status>
      <modifiedWord/>
      <trackRevisions>false</trackRevisions>
    </reviewItem>
    <reviewItem>
      <errorID>4e8eed56-06be-4f18-a9ed-fb36239bb4b3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2814D7B2</paraID>
      <start>25</start>
      <end>28</end>
      <status>unmodified</status>
      <modifiedWord/>
      <trackRevisions>false</trackRevisions>
    </reviewItem>
    <reviewItem>
      <errorID>3d258aea-1628-4bbe-b4e6-d7294b5a52c3</errorID>
      <errorWord>[2022]</errorWord>
      <group>L1_Punc</group>
      <groupName>标点问题</groupName>
      <ability>L2_Punc_CN</ability>
      <abilityName>标点符号问题</abilityName>
      <candidateList>
        <item>〔2022〕</item>
      </candidateList>
      <explain/>
      <paraID>42A3967D</paraID>
      <start>28</start>
      <end>34</end>
      <status>unmodified</status>
      <modifiedWord/>
      <trackRevisions>false</trackRevisions>
    </reviewItem>
    <reviewItem>
      <errorID>e7c46f59-85df-4035-9185-8f595fcc6fd4</errorID>
      <errorWord>[2022]</errorWord>
      <group>L1_Punc</group>
      <groupName>标点问题</groupName>
      <ability>L2_Punc_CN</ability>
      <abilityName>标点符号问题</abilityName>
      <candidateList>
        <item>〔2022〕</item>
      </candidateList>
      <explain/>
      <paraID>18D1168C</paraID>
      <start>28</start>
      <end>34</end>
      <status>unmodified</status>
      <modifiedWord/>
      <trackRevisions>false</trackRevisions>
    </reviewItem>
    <reviewItem>
      <errorID>df2cb2b5-d533-4fb4-8c1a-9ccb3571b83b</errorID>
      <errorWord>资源节约高效利用</errorWord>
      <group>L1_Political</group>
      <groupName>政治性问题</groupName>
      <ability>L2_Keyword</ability>
      <abilityName>固定表述</abilityName>
      <candidateList>
        <item>资源节约集约利用</item>
      </candidateList>
      <explain>词汇“资源节约集约利用”在特定场景下为固定表述形式，请确认此处的“资源节约高效利用”是否存在不当。</explain>
      <paraID>1FB2F04B</paraID>
      <start>2</start>
      <end>10</end>
      <status>unmodified</status>
      <modifiedWord/>
      <trackRevisions>false</trackRevisions>
    </reviewItem>
    <reviewItem>
      <errorID>19c42505-77b2-43f4-bf1f-f265c9c33769</errorID>
      <errorWord>政办法</errorWord>
      <group>L1_Word</group>
      <groupName>字词问题</groupName>
      <ability>L2_Typo</ability>
      <abilityName>字词错误</abilityName>
      <candidateList>
        <item>政办发</item>
      </candidateList>
      <explain/>
      <paraID>3D647E7F</paraID>
      <start>24</start>
      <end>27</end>
      <status>modified</status>
      <modifiedWord>政办发</modifiedWord>
      <trackRevisions>false</trackRevisions>
    </reviewItem>
    <reviewItem>
      <errorID>089eed87-7cb6-4830-99b9-9a4ceca2484d</errorID>
      <errorWord>[2023]</errorWord>
      <group>L1_Punc</group>
      <groupName>标点问题</groupName>
      <ability>L2_Punc_CN</ability>
      <abilityName>标点符号问题</abilityName>
      <candidateList>
        <item>〔2023〕</item>
      </candidateList>
      <explain/>
      <paraID>3D647E7F</paraID>
      <start>27</start>
      <end>33</end>
      <status>unmodified</status>
      <modifiedWord/>
      <trackRevisions>false</trackRevisions>
    </reviewItem>
    <reviewItem>
      <errorID>257b0b1f-0be4-4bcf-8547-6ea1f33eb347</errorID>
      <errorWord>政办法</errorWord>
      <group>L1_Word</group>
      <groupName>字词问题</groupName>
      <ability>L2_Typo</ability>
      <abilityName>字词错误</abilityName>
      <candidateList>
        <item>政办发</item>
      </candidateList>
      <explain/>
      <paraID>69E6513E</paraID>
      <start>24</start>
      <end>27</end>
      <status>modified</status>
      <modifiedWord>政办发</modifiedWord>
      <trackRevisions>false</trackRevisions>
    </reviewItem>
    <reviewItem>
      <errorID>ddfcb316-79c2-4267-96da-e014be6b2bca</errorID>
      <errorWord>[2023]</errorWord>
      <group>L1_Punc</group>
      <groupName>标点问题</groupName>
      <ability>L2_Punc_CN</ability>
      <abilityName>标点符号问题</abilityName>
      <candidateList>
        <item>〔2023〕</item>
      </candidateList>
      <explain/>
      <paraID>69E6513E</paraID>
      <start>27</start>
      <end>33</end>
      <status>unmodified</status>
      <modifiedWord/>
      <trackRevisions>false</trackRevisions>
    </reviewItem>
    <reviewItem>
      <errorID>6b9af8f0-ed49-43b1-af33-ebb5f6886c01</errorID>
      <errorWord>生态环境空间管控</errorWord>
      <group>L1_Political</group>
      <groupName>政治性问题</groupName>
      <ability>L2_Keyword</ability>
      <abilityName>固定表述</abilityName>
      <candidateList>
        <item>生态环境分区管控</item>
      </candidateList>
      <explain>词汇“生态环境分区管控”在特定场景下为固定表述形式，请确认此处的“生态环境空间管控”是否存在不当。</explain>
      <paraID> CFEF647</paraID>
      <start>291</start>
      <end>299</end>
      <status>unmodified</status>
      <modifiedWord/>
      <trackRevisions>false</trackRevisions>
    </reviewItem>
    <reviewItem>
      <errorID>36711b18-33fe-4bb3-8ed7-75c17688c3ae</errorID>
      <errorWord>无废城市</errorWord>
      <group>L1_Political</group>
      <groupName>政治性问题</groupName>
      <ability>L2_Keyword</ability>
      <abilityName>固定表述</abilityName>
      <candidateList>
        <item>“无废城市”</item>
      </candidateList>
      <explain>注意检查当前固定表述标点是否使用规范。</explain>
      <paraID>314BF41C</paraID>
      <start>167</start>
      <end>173</end>
      <status>modified</status>
      <modifiedWord>“无废城市”</modifiedWord>
      <trackRevisions>false</trackRevisions>
    </reviewItem>
    <reviewItem>
      <errorID>1b3ddf4a-3a37-492b-be8c-e8d752a1932a</errorID>
      <errorWord>，</errorWord>
      <group>L1_Word</group>
      <groupName>字词问题</groupName>
      <ability>L2_Typo</ability>
      <abilityName>字词错误</abilityName>
      <candidateList>
        <item>，应</item>
      </candidateList>
      <explain/>
      <paraID>3DF04D6C</paraID>
      <start>38</start>
      <end>39</end>
      <status>unmodified</status>
      <modifiedWord/>
      <trackRevisions>false</trackRevisions>
    </reviewItem>
    <reviewItem>
      <errorID>678ebe54-db07-4eef-9305-088ce897fd82</errorID>
      <errorWord>(</errorWord>
      <group>L1_Format</group>
      <groupName>格式问题</groupName>
      <ability>L2_HalfPunc_CN</ability>
      <abilityName>全半角问题</abilityName>
      <candidateList>
        <item>（</item>
      </candidateList>
      <explain>文本全半角错误。</explain>
      <paraID>6824E3E2</paraID>
      <start>47</start>
      <end>48</end>
      <status>unmodified</status>
      <modifiedWord/>
      <trackRevisions>false</trackRevisions>
    </reviewItem>
    <reviewItem>
      <errorID>8aa5e9d5-849c-4ed5-a081-0c19df37277c</errorID>
      <errorWord>)</errorWord>
      <group>L1_Format</group>
      <groupName>格式问题</groupName>
      <ability>L2_HalfPunc_CN</ability>
      <abilityName>全半角问题</abilityName>
      <candidateList>
        <item>）</item>
      </candidateList>
      <explain>文本全半角错误。</explain>
      <paraID>6824E3E2</paraID>
      <start>49</start>
      <end>50</end>
      <status>unmodified</status>
      <modifiedWord/>
      <trackRevisions>false</trackRevisions>
    </reviewItem>
    <reviewItem>
      <errorID>faa75c07-9b92-4f64-845d-b5b4318f2d8e</errorID>
      <errorWord>(</errorWord>
      <group>L1_Format</group>
      <groupName>格式问题</groupName>
      <ability>L2_HalfPunc_CN</ability>
      <abilityName>全半角问题</abilityName>
      <candidateList>
        <item>（</item>
      </candidateList>
      <explain>文本全半角错误。</explain>
      <paraID>79E673EC</paraID>
      <start>28</start>
      <end>29</end>
      <status>unmodified</status>
      <modifiedWord/>
      <trackRevisions>false</trackRevisions>
    </reviewItem>
    <reviewItem>
      <errorID>cc735ed2-95fd-4d32-bfd7-452028e4ee9f</errorID>
      <errorWord>)</errorWord>
      <group>L1_Format</group>
      <groupName>格式问题</groupName>
      <ability>L2_HalfPunc_CN</ability>
      <abilityName>全半角问题</abilityName>
      <candidateList>
        <item>）</item>
      </candidateList>
      <explain>文本全半角错误。</explain>
      <paraID>79E673EC</paraID>
      <start>31</start>
      <end>32</end>
      <status>unmodified</status>
      <modifiedWord/>
      <trackRevisions>false</trackRevisions>
    </reviewItem>
    <reviewItem>
      <errorID>01c8645c-b13e-4167-b7d1-10b3483f2c5f</errorID>
      <errorWord>(</errorWord>
      <group>L1_Format</group>
      <groupName>格式问题</groupName>
      <ability>L2_HalfPunc_CN</ability>
      <abilityName>全半角问题</abilityName>
      <candidateList>
        <item>（</item>
      </candidateList>
      <explain>文本全半角错误。</explain>
      <paraID>64B0531D</paraID>
      <start>48</start>
      <end>49</end>
      <status>unmodified</status>
      <modifiedWord/>
      <trackRevisions>false</trackRevisions>
    </reviewItem>
    <reviewItem>
      <errorID>aed91bac-a511-4543-8071-070a7ceac837</errorID>
      <errorWord>)</errorWord>
      <group>L1_Format</group>
      <groupName>格式问题</groupName>
      <ability>L2_HalfPunc_CN</ability>
      <abilityName>全半角问题</abilityName>
      <candidateList>
        <item>）</item>
      </candidateList>
      <explain>文本全半角错误。</explain>
      <paraID>64B0531D</paraID>
      <start>51</start>
      <end>52</end>
      <status>unmodified</status>
      <modifiedWord/>
      <trackRevisions>false</trackRevisions>
    </reviewItem>
    <reviewItem>
      <errorID>4a3d6c3c-3482-4c1b-92a1-5d6dca7ed6f6</errorID>
      <errorWord>(</errorWord>
      <group>L1_Format</group>
      <groupName>格式问题</groupName>
      <ability>L2_HalfPunc_CN</ability>
      <abilityName>全半角问题</abilityName>
      <candidateList>
        <item>（</item>
      </candidateList>
      <explain>文本全半角错误。</explain>
      <paraID>12EC8B1F</paraID>
      <start>33</start>
      <end>34</end>
      <status>unmodified</status>
      <modifiedWord/>
      <trackRevisions>false</trackRevisions>
    </reviewItem>
    <reviewItem>
      <errorID>c22b1005-8c49-4a5e-9035-af697d6efced</errorID>
      <errorWord>)</errorWord>
      <group>L1_Format</group>
      <groupName>格式问题</groupName>
      <ability>L2_HalfPunc_CN</ability>
      <abilityName>全半角问题</abilityName>
      <candidateList>
        <item>）</item>
      </candidateList>
      <explain>文本全半角错误。</explain>
      <paraID>12EC8B1F</paraID>
      <start>36</start>
      <end>37</end>
      <status>unmodified</status>
      <modifiedWord/>
      <trackRevisions>false</trackRevisions>
    </reviewItem>
    <reviewItem>
      <errorID>e529551e-fd1d-41e6-940c-d5bcbef5fa91</errorID>
      <errorWord>[2020]</errorWord>
      <group>L1_Punc</group>
      <groupName>标点问题</groupName>
      <ability>L2_Punc_CN</ability>
      <abilityName>标点符号问题</abilityName>
      <candidateList>
        <item>〔2020〕</item>
      </candidateList>
      <explain/>
      <paraID>732A60B4</paraID>
      <start>53</start>
      <end>59</end>
      <status>unmodified</status>
      <modifiedWord/>
      <trackRevisions>false</trackRevisions>
    </reviewItem>
    <reviewItem>
      <errorID>033166e5-eeb1-470b-af97-043442488ee6</errorID>
      <errorWord>)</errorWord>
      <group>L1_Format</group>
      <groupName>格式问题</groupName>
      <ability>L2_HalfPunc_CN</ability>
      <abilityName>全半角问题</abilityName>
      <candidateList>
        <item>）</item>
      </candidateList>
      <explain>文本全半角错误。</explain>
      <paraID>79D268E0</paraID>
      <start>38</start>
      <end>39</end>
      <status>unmodified</status>
      <modifiedWord/>
      <trackRevisions>false</trackRevisions>
    </reviewItem>
    <reviewItem>
      <errorID>fbcd3496-5000-406c-b092-6bfd49776c29</errorID>
      <errorWord>)</errorWord>
      <group>L1_Format</group>
      <groupName>格式问题</groupName>
      <ability>L2_HalfPunc_CN</ability>
      <abilityName>全半角问题</abilityName>
      <candidateList>
        <item>）</item>
      </candidateList>
      <explain>文本全半角错误。</explain>
      <paraID>79D268E0</paraID>
      <start>75</start>
      <end>76</end>
      <status>unmodified</status>
      <modifiedWord/>
      <trackRevisions>false</trackRevisions>
    </reviewItem>
    <reviewItem>
      <errorID>85f92db8-f611-4b6e-bcda-27f2bc1cc9ac</errorID>
      <errorWord>)</errorWord>
      <group>L1_Format</group>
      <groupName>格式问题</groupName>
      <ability>L2_HalfPunc_CN</ability>
      <abilityName>全半角问题</abilityName>
      <candidateList>
        <item>）</item>
      </candidateList>
      <explain>文本全半角错误。</explain>
      <paraID>79D268E0</paraID>
      <start>81</start>
      <end>82</end>
      <status>unmodified</status>
      <modifiedWord/>
      <trackRevisions>false</trackRevisions>
    </reviewItem>
    <reviewItem>
      <errorID>6bcf5bab-30b3-4635-8f23-1529d0834161</errorID>
      <errorWord>)</errorWord>
      <group>L1_Format</group>
      <groupName>格式问题</groupName>
      <ability>L2_HalfPunc_CN</ability>
      <abilityName>全半角问题</abilityName>
      <candidateList>
        <item>）</item>
      </candidateList>
      <explain>文本全半角错误。</explain>
      <paraID>5429433A</paraID>
      <start>1</start>
      <end>2</end>
      <status>unmodified</status>
      <modifiedWord/>
      <trackRevisions>false</trackRevisions>
    </reviewItem>
    <reviewItem>
      <errorID>56b8bfa8-544e-45a2-8a7c-40b8ab0726f6</errorID>
      <errorWord>(</errorWord>
      <group>L1_Format</group>
      <groupName>格式问题</groupName>
      <ability>L2_HalfPunc_CN</ability>
      <abilityName>全半角问题</abilityName>
      <candidateList>
        <item>（</item>
      </candidateList>
      <explain>文本全半角错误。</explain>
      <paraID>5429433A</paraID>
      <start>6</start>
      <end>7</end>
      <status>unmodified</status>
      <modifiedWord/>
      <trackRevisions>false</trackRevisions>
    </reviewItem>
    <reviewItem>
      <errorID>8bf0d35b-929b-4dd6-bdc5-c8e439f82b8c</errorID>
      <errorWord>)</errorWord>
      <group>L1_Format</group>
      <groupName>格式问题</groupName>
      <ability>L2_HalfPunc_CN</ability>
      <abilityName>全半角问题</abilityName>
      <candidateList>
        <item>）</item>
      </candidateList>
      <explain>文本全半角错误。</explain>
      <paraID>5429433A</paraID>
      <start>18</start>
      <end>19</end>
      <status>unmodified</status>
      <modifiedWord/>
      <trackRevisions>false</trackRevisions>
    </reviewItem>
    <reviewItem>
      <errorID>16d0c6ea-f2e9-4d7d-95c7-6e14cd1d1a32</errorID>
      <errorWord>)</errorWord>
      <group>L1_Format</group>
      <groupName>格式问题</groupName>
      <ability>L2_HalfPunc_CN</ability>
      <abilityName>全半角问题</abilityName>
      <candidateList>
        <item>）</item>
      </candidateList>
      <explain>文本全半角错误。</explain>
      <paraID>4E04DDB6</paraID>
      <start>1</start>
      <end>2</end>
      <status>unmodified</status>
      <modifiedWord/>
      <trackRevisions>false</trackRevisions>
    </reviewItem>
    <reviewItem>
      <errorID>7f546132-ac4d-4e98-8cd1-8fb8f07e7f6b</errorID>
      <errorWord>)</errorWord>
      <group>L1_Format</group>
      <groupName>格式问题</groupName>
      <ability>L2_HalfPunc_CN</ability>
      <abilityName>全半角问题</abilityName>
      <candidateList>
        <item>）</item>
      </candidateList>
      <explain>文本全半角错误。</explain>
      <paraID>2BBA808F</paraID>
      <start>1</start>
      <end>2</end>
      <status>unmodified</status>
      <modifiedWord/>
      <trackRevisions>false</trackRevisions>
    </reviewItem>
    <reviewItem>
      <errorID>45553b4a-be2b-498c-974d-4a664233c27f</errorID>
      <errorWord>)</errorWord>
      <group>L1_Format</group>
      <groupName>格式问题</groupName>
      <ability>L2_HalfPunc_CN</ability>
      <abilityName>全半角问题</abilityName>
      <candidateList>
        <item>）</item>
      </candidateList>
      <explain>文本全半角错误。</explain>
      <paraID>2CE2C7F1</paraID>
      <start>1</start>
      <end>2</end>
      <status>unmodified</status>
      <modifiedWord/>
      <trackRevisions>false</trackRevisions>
    </reviewItem>
    <reviewItem>
      <errorID>fac3ff62-a23c-4209-ac99-2018df38a6b7</errorID>
      <errorWord>)</errorWord>
      <group>L1_Format</group>
      <groupName>格式问题</groupName>
      <ability>L2_HalfPunc_CN</ability>
      <abilityName>全半角问题</abilityName>
      <candidateList>
        <item>）</item>
      </candidateList>
      <explain>文本全半角错误。</explain>
      <paraID>2CE2C7F1</paraID>
      <start>61</start>
      <end>62</end>
      <status>unmodified</status>
      <modifiedWord/>
      <trackRevisions>false</trackRevisions>
    </reviewItem>
    <reviewItem>
      <errorID>f6d3cfd8-acac-474a-9632-9533b44688c0</errorID>
      <errorWord>)</errorWord>
      <group>L1_Format</group>
      <groupName>格式问题</groupName>
      <ability>L2_HalfPunc_CN</ability>
      <abilityName>全半角问题</abilityName>
      <candidateList>
        <item>）</item>
      </candidateList>
      <explain>文本全半角错误。</explain>
      <paraID>131D21CD</paraID>
      <start>1</start>
      <end>2</end>
      <status>unmodified</status>
      <modifiedWord/>
      <trackRevisions>false</trackRevisions>
    </reviewItem>
    <reviewItem>
      <errorID>d6e97dc1-7d28-4bd5-8858-f4c7fde73a10</errorID>
      <errorWord>)</errorWord>
      <group>L1_Format</group>
      <groupName>格式问题</groupName>
      <ability>L2_HalfPunc_CN</ability>
      <abilityName>全半角问题</abilityName>
      <candidateList>
        <item>）</item>
      </candidateList>
      <explain>文本全半角错误。</explain>
      <paraID>131D21CD</paraID>
      <start>18</start>
      <end>19</end>
      <status>unmodified</status>
      <modifiedWord/>
      <trackRevisions>false</trackRevisions>
    </reviewItem>
    <reviewItem>
      <errorID>38ab910e-39cb-43c0-a561-a527a1ea1e33</errorID>
      <errorWord>)</errorWord>
      <group>L1_Format</group>
      <groupName>格式问题</groupName>
      <ability>L2_HalfPunc_CN</ability>
      <abilityName>全半角问题</abilityName>
      <candidateList>
        <item>）</item>
      </candidateList>
      <explain>文本全半角错误。</explain>
      <paraID> CC792F4</paraID>
      <start>1</start>
      <end>2</end>
      <status>unmodified</status>
      <modifiedWord/>
      <trackRevisions>false</trackRevisions>
    </reviewItem>
    <reviewItem>
      <errorID>acd09658-4858-40dd-b43c-d59c911f2c53</errorID>
      <errorWord>)</errorWord>
      <group>L1_Format</group>
      <groupName>格式问题</groupName>
      <ability>L2_HalfPunc_CN</ability>
      <abilityName>全半角问题</abilityName>
      <candidateList>
        <item>）</item>
      </candidateList>
      <explain>文本全半角错误。</explain>
      <paraID> CC792F4</paraID>
      <start>35</start>
      <end>36</end>
      <status>unmodified</status>
      <modifiedWord/>
      <trackRevisions>false</trackRevisions>
    </reviewItem>
    <reviewItem>
      <errorID>113ce633-af21-4d8d-9d5f-a0d33b021ec8</errorID>
      <errorWord>)</errorWord>
      <group>L1_Format</group>
      <groupName>格式问题</groupName>
      <ability>L2_HalfPunc_CN</ability>
      <abilityName>全半角问题</abilityName>
      <candidateList>
        <item>）</item>
      </candidateList>
      <explain>文本全半角错误。</explain>
      <paraID> CC792F4</paraID>
      <start>43</start>
      <end>44</end>
      <status>unmodified</status>
      <modifiedWord/>
      <trackRevisions>false</trackRevisions>
    </reviewItem>
    <reviewItem>
      <errorID>fa89dfdd-9372-4fc9-92de-5d9e6543b6c5</errorID>
      <errorWord>程</errorWord>
      <group>L1_Word</group>
      <groupName>字词问题</groupName>
      <ability>L2_Typo</ability>
      <abilityName>字词错误</abilityName>
      <candidateList>
        <item>程中</item>
      </candidateList>
      <explain/>
      <paraID> CC792F4</paraID>
      <start>54</start>
      <end>55</end>
      <status>unmodified</status>
      <modifiedWord/>
      <trackRevisions>false</trackRevisions>
    </reviewItem>
    <reviewItem>
      <errorID>3801a848-e75d-43f1-9205-2a9039e08944</errorID>
      <errorWord>)</errorWord>
      <group>L1_Format</group>
      <groupName>格式问题</groupName>
      <ability>L2_HalfPunc_CN</ability>
      <abilityName>全半角问题</abilityName>
      <candidateList>
        <item>）</item>
      </candidateList>
      <explain>文本全半角错误。</explain>
      <paraID>5F5D5F59</paraID>
      <start>1</start>
      <end>2</end>
      <status>unmodified</status>
      <modifiedWord/>
      <trackRevisions>false</trackRevisions>
    </reviewItem>
    <reviewItem>
      <errorID>46da5000-d25b-4acb-84a7-46e69c239770</errorID>
      <errorWord>、等</errorWord>
      <group>L1_Punc</group>
      <groupName>标点问题</groupName>
      <ability>L2_Punc_CN</ability>
      <abilityName>标点符号问题</abilityName>
      <candidateList>
        <item>等</item>
      </candidateList>
      <explain>“及”“和”“等”连词前不宜使用顿号，建议删除（或使用逗号）。</explain>
      <paraID>18FA0B9D</paraID>
      <start>36</start>
      <end>38</end>
      <status>unmodified</status>
      <modifiedWord/>
      <trackRevisions>false</trackRevisions>
    </reviewItem>
    <reviewItem>
      <errorID>2ddbcf6a-fd48-4711-9b3e-5121c781d983</errorID>
      <errorWord>农用</errorWord>
      <group>L1_Word</group>
      <groupName>字词问题</groupName>
      <ability>L2_Typo</ability>
      <abilityName>字词错误</abilityName>
      <candidateList>
        <item>利用</item>
      </candidateList>
      <explain/>
      <paraID> E35D13B</paraID>
      <start>70</start>
      <end>72</end>
      <status>modified</status>
      <modifiedWord>利用</modifiedWord>
      <trackRevisions>false</trackRevisions>
    </reviewItem>
    <reviewItem>
      <errorID>afaefba3-07bb-4b53-b964-8b3da413a202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2381D590</paraID>
      <start>22</start>
      <end>23</end>
      <status>unmodified</status>
      <modifiedWord/>
      <trackRevisions>false</trackRevisions>
    </reviewItem>
    <reviewItem>
      <errorID>a60c7533-a45f-46be-a6a8-a8fd43a12113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2381D590</paraID>
      <start>53</start>
      <end>54</end>
      <status>unmodified</status>
      <modifiedWord/>
      <trackRevisions>false</trackRevisions>
    </reviewItem>
    <reviewItem>
      <errorID>7f2f8975-f432-47ab-bfb1-d5fbc7febd48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37645269</paraID>
      <start>18</start>
      <end>19</end>
      <status>unmodified</status>
      <modifiedWord/>
      <trackRevisions>false</trackRevisions>
    </reviewItem>
    <reviewItem>
      <errorID>e45c2949-0f51-4cf9-9ca6-5a49f6868f67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415EAA06</paraID>
      <start>23</start>
      <end>24</end>
      <status>unmodified</status>
      <modifiedWord/>
      <trackRevisions>false</trackRevisions>
    </reviewItem>
    <reviewItem>
      <errorID>9daf34b5-d587-46c3-8d09-2909a7dd0619</errorID>
      <errorWord>(</errorWord>
      <group>L1_Format</group>
      <groupName>格式问题</groupName>
      <ability>L2_HalfPunc_CN</ability>
      <abilityName>全半角问题</abilityName>
      <candidateList>
        <item>（</item>
      </candidateList>
      <explain>文本全半角错误。</explain>
      <paraID> 1106299</paraID>
      <start>2</start>
      <end>3</end>
      <status>unmodified</status>
      <modifiedWord/>
      <trackRevisions>false</trackRevisions>
    </reviewItem>
    <reviewItem>
      <errorID>b8c608c9-1029-4a1b-af7c-54b194c0524b</errorID>
      <errorWord>)</errorWord>
      <group>L1_Format</group>
      <groupName>格式问题</groupName>
      <ability>L2_HalfPunc_CN</ability>
      <abilityName>全半角问题</abilityName>
      <candidateList>
        <item>）</item>
      </candidateList>
      <explain>文本全半角错误。</explain>
      <paraID> 1106299</paraID>
      <start>4</start>
      <end>5</end>
      <status>unmodified</status>
      <modifiedWord/>
      <trackRevisions>false</trackRevisions>
    </reviewItem>
    <reviewItem>
      <errorID>6f0ec53d-7fae-4932-9c46-8126086e03ae</errorID>
      <errorWord>司</errorWord>
      <group>L1_Word</group>
      <groupName>字词问题</groupName>
      <ability>L2_Typo</ability>
      <abilityName>字词错误</abilityName>
      <candidateList>
        <item>司于</item>
      </candidateList>
      <explain/>
      <paraID>6C9ECA5D</paraID>
      <start>13</start>
      <end>15</end>
      <status>modified</status>
      <modifiedWord>司于</modifiedWord>
      <trackRevisions>false</trackRevisions>
    </reviewItem>
    <reviewItem>
      <errorID>78106266-c7eb-42e1-9903-810579a687ba</errorID>
      <errorWord>9-10天</errorWord>
      <group>L1_Word</group>
      <groupName>字词问题</groupName>
      <ability>L2_Typo</ability>
      <abilityName>字词错误</abilityName>
      <candidateList>
        <item>9～10天</item>
      </candidateList>
      <explain/>
      <paraID>3D1F68CA</paraID>
      <start>43</start>
      <end>48</end>
      <status>unmodified</status>
      <modifiedWord/>
      <trackRevisions>false</trackRevisions>
    </reviewItem>
    <reviewItem>
      <errorID>8779f314-e63a-4f5d-94f8-2573800ec19e</errorID>
      <errorWord>II类</errorWord>
      <group>L1_Word</group>
      <groupName>字词问题</groupName>
      <ability>L2_Typo</ability>
      <abilityName>字词错误</abilityName>
      <candidateList>
        <item>Ⅱ类</item>
      </candidateList>
      <explain/>
      <paraID>4501E758</paraID>
      <start>24</start>
      <end>27</end>
      <status>unmodified</status>
      <modifiedWord/>
      <trackRevisions>false</trackRevisions>
    </reviewItem>
    <reviewItem>
      <errorID>60bc6541-3221-463e-80ce-32d622305990</errorID>
      <errorWord>见</errorWord>
      <group>L1_Word</group>
      <groupName>字词问题</groupName>
      <ability>L2_Typo</ability>
      <abilityName>字词错误</abilityName>
      <candidateList>
        <item>见下</item>
      </candidateList>
      <explain/>
      <paraID> 5709310</paraID>
      <start>9</start>
      <end>10</end>
      <status>unmodified</status>
      <modifiedWord/>
      <trackRevisions>false</trackRevisions>
    </reviewItem>
    <reviewItem>
      <errorID>ac66f377-68c2-4b42-802a-7f95353df2a7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93D658A</paraID>
      <start>65</start>
      <end>66</end>
      <status>unmodified</status>
      <modifiedWord/>
      <trackRevisions>false</trackRevisions>
    </reviewItem>
    <reviewItem>
      <errorID>71d3f7fc-7c57-4c87-930e-27a31c413cca</errorID>
      <errorWord>，</errorWord>
      <group>L1_Format</group>
      <groupName>格式问题</groupName>
      <ability>L2_HalfPunc_CN</ability>
      <abilityName>全半角问题</abilityName>
      <candidateList>
        <item>,</item>
      </candidateList>
      <explain>文本全半角错误。</explain>
      <paraID>3280E9FB</paraID>
      <start>16</start>
      <end>17</end>
      <status>unmodified</status>
      <modifiedWord/>
      <trackRevisions>false</trackRevisions>
    </reviewItem>
    <reviewItem>
      <errorID>801b66b5-9182-463e-bf06-054623f75abc</errorID>
      <errorWord>，</errorWord>
      <group>L1_Format</group>
      <groupName>格式问题</groupName>
      <ability>L2_HalfPunc_CN</ability>
      <abilityName>全半角问题</abilityName>
      <candidateList>
        <item>,</item>
      </candidateList>
      <explain>文本全半角错误。</explain>
      <paraID>199257CE</paraID>
      <start>16</start>
      <end>17</end>
      <status>unmodified</status>
      <modifiedWord/>
      <trackRevisions>false</trackRevisions>
    </reviewItem>
    <reviewItem>
      <errorID>defdd5d6-ad43-4c20-aed5-c7337187202e</errorID>
      <errorWord>，</errorWord>
      <group>L1_Format</group>
      <groupName>格式问题</groupName>
      <ability>L2_HalfPunc_CN</ability>
      <abilityName>全半角问题</abilityName>
      <candidateList>
        <item>,</item>
      </candidateList>
      <explain>文本全半角错误。</explain>
      <paraID>3EEA415A</paraID>
      <start>16</start>
      <end>17</end>
      <status>unmodified</status>
      <modifiedWord/>
      <trackRevisions>false</trackRevisions>
    </reviewItem>
    <reviewItem>
      <errorID>bd4d506c-1280-48a1-935d-60d76ec60ea7</errorID>
      <errorWord>，</errorWord>
      <group>L1_Format</group>
      <groupName>格式问题</groupName>
      <ability>L2_HalfPunc_CN</ability>
      <abilityName>全半角问题</abilityName>
      <candidateList>
        <item>,</item>
      </candidateList>
      <explain>文本全半角错误。</explain>
      <paraID>772E9E56</paraID>
      <start>16</start>
      <end>17</end>
      <status>unmodified</status>
      <modifiedWord/>
      <trackRevisions>false</trackRevisions>
    </reviewItem>
    <reviewItem>
      <errorID>e215ea67-48bb-4514-b4a2-a0b536516b14</errorID>
      <errorWord>，</errorWord>
      <group>L1_Format</group>
      <groupName>格式问题</groupName>
      <ability>L2_HalfPunc_CN</ability>
      <abilityName>全半角问题</abilityName>
      <candidateList>
        <item>,</item>
      </candidateList>
      <explain>文本全半角错误。</explain>
      <paraID>77F0839C</paraID>
      <start>16</start>
      <end>17</end>
      <status>unmodified</status>
      <modifiedWord/>
      <trackRevisions>false</trackRevisions>
    </reviewItem>
    <reviewItem>
      <errorID>26686af5-7cd3-474b-bd13-f9e06c783a29</errorID>
      <errorWord>（</errorWord>
      <group>L1_Format</group>
      <groupName>格式问题</groupName>
      <ability>L2_HalfPunc_CN</ability>
      <abilityName>全半角问题</abilityName>
      <candidateList>
        <item>(</item>
      </candidateList>
      <explain>文本全半角错误。</explain>
      <paraID>324C19EC</paraID>
      <start>1</start>
      <end>2</end>
      <status>unmodified</status>
      <modifiedWord/>
      <trackRevisions>false</trackRevisions>
    </reviewItem>
    <reviewItem>
      <errorID>ed851087-7e3e-4b66-b6ce-fcc882b947ef</errorID>
      <errorWord>）</errorWord>
      <group>L1_Format</group>
      <groupName>格式问题</groupName>
      <ability>L2_HalfPunc_CN</ability>
      <abilityName>全半角问题</abilityName>
      <candidateList>
        <item>)</item>
      </candidateList>
      <explain>文本全半角错误。</explain>
      <paraID>324C19EC</paraID>
      <start>6</start>
      <end>7</end>
      <status>unmodified</status>
      <modifiedWord/>
      <trackRevisions>false</trackRevisions>
    </reviewItem>
    <reviewItem>
      <errorID>6cb876d4-57ce-4c52-8d06-6b789cadede5</errorID>
      <errorWord>（</errorWord>
      <group>L1_Format</group>
      <groupName>格式问题</groupName>
      <ability>L2_HalfPunc_CN</ability>
      <abilityName>全半角问题</abilityName>
      <candidateList>
        <item>(</item>
      </candidateList>
      <explain>文本全半角错误。</explain>
      <paraID>2C8B4D8D</paraID>
      <start>1</start>
      <end>2</end>
      <status>unmodified</status>
      <modifiedWord/>
      <trackRevisions>false</trackRevisions>
    </reviewItem>
    <reviewItem>
      <errorID>2a2acbbd-4957-4b5a-beb6-57252a5ff563</errorID>
      <errorWord>）</errorWord>
      <group>L1_Format</group>
      <groupName>格式问题</groupName>
      <ability>L2_HalfPunc_CN</ability>
      <abilityName>全半角问题</abilityName>
      <candidateList>
        <item>)</item>
      </candidateList>
      <explain>文本全半角错误。</explain>
      <paraID>2C8B4D8D</paraID>
      <start>7</start>
      <end>8</end>
      <status>unmodified</status>
      <modifiedWord/>
      <trackRevisions>false</trackRevisions>
    </reviewItem>
    <reviewItem>
      <errorID>7cc7648b-b8df-4b60-bd04-e0ffde9c0b9c</errorID>
      <errorWord>（</errorWord>
      <group>L1_Format</group>
      <groupName>格式问题</groupName>
      <ability>L2_HalfPunc_CN</ability>
      <abilityName>全半角问题</abilityName>
      <candidateList>
        <item>(</item>
      </candidateList>
      <explain>文本全半角错误。</explain>
      <paraID>772AD364</paraID>
      <start>1</start>
      <end>2</end>
      <status>unmodified</status>
      <modifiedWord/>
      <trackRevisions>false</trackRevisions>
    </reviewItem>
    <reviewItem>
      <errorID>4c1df96e-db5b-4144-81f1-04fbfe98e71c</errorID>
      <errorWord>）</errorWord>
      <group>L1_Format</group>
      <groupName>格式问题</groupName>
      <ability>L2_HalfPunc_CN</ability>
      <abilityName>全半角问题</abilityName>
      <candidateList>
        <item>)</item>
      </candidateList>
      <explain>文本全半角错误。</explain>
      <paraID>772AD364</paraID>
      <start>5</start>
      <end>6</end>
      <status>unmodified</status>
      <modifiedWord/>
      <trackRevisions>false</trackRevisions>
    </reviewItem>
    <reviewItem>
      <errorID>c86204e8-817e-46e7-8aab-8763feacaec1</errorID>
      <errorWord>（</errorWord>
      <group>L1_Format</group>
      <groupName>格式问题</groupName>
      <ability>L2_HalfPunc_CN</ability>
      <abilityName>全半角问题</abilityName>
      <candidateList>
        <item>(</item>
      </candidateList>
      <explain>文本全半角错误。</explain>
      <paraID>40FC93DF</paraID>
      <start>1</start>
      <end>2</end>
      <status>unmodified</status>
      <modifiedWord/>
      <trackRevisions>false</trackRevisions>
    </reviewItem>
    <reviewItem>
      <errorID>24f6488c-9599-4ed0-a0b1-727082f3cb44</errorID>
      <errorWord>（</errorWord>
      <group>L1_Format</group>
      <groupName>格式问题</groupName>
      <ability>L2_HalfPunc_CN</ability>
      <abilityName>全半角问题</abilityName>
      <candidateList>
        <item>(</item>
      </candidateList>
      <explain>文本全半角错误。</explain>
      <paraID>34C1A542</paraID>
      <start>1</start>
      <end>2</end>
      <status>unmodified</status>
      <modifiedWord/>
      <trackRevisions>false</trackRevisions>
    </reviewItem>
    <reviewItem>
      <errorID>77a022eb-d899-4fa9-b2b9-9ca6c1193867</errorID>
      <errorWord>）</errorWord>
      <group>L1_Format</group>
      <groupName>格式问题</groupName>
      <ability>L2_HalfPunc_CN</ability>
      <abilityName>全半角问题</abilityName>
      <candidateList>
        <item>)</item>
      </candidateList>
      <explain>文本全半角错误。</explain>
      <paraID>34C1A542</paraID>
      <start>5</start>
      <end>6</end>
      <status>unmodified</status>
      <modifiedWord/>
      <trackRevisions>false</trackRevisions>
    </reviewItem>
    <reviewItem>
      <errorID>dd6d909d-4948-4536-8b96-a02a3985f74b</errorID>
      <errorWord>（</errorWord>
      <group>L1_Format</group>
      <groupName>格式问题</groupName>
      <ability>L2_HalfPunc_CN</ability>
      <abilityName>全半角问题</abilityName>
      <candidateList>
        <item>(</item>
      </candidateList>
      <explain>文本全半角错误。</explain>
      <paraID> 3EDA740</paraID>
      <start>1</start>
      <end>2</end>
      <status>unmodified</status>
      <modifiedWord/>
      <trackRevisions>false</trackRevisions>
    </reviewItem>
    <reviewItem>
      <errorID>65bd965d-43f0-42df-822c-85ea2c057c19</errorID>
      <errorWord>）</errorWord>
      <group>L1_Format</group>
      <groupName>格式问题</groupName>
      <ability>L2_HalfPunc_CN</ability>
      <abilityName>全半角问题</abilityName>
      <candidateList>
        <item>)</item>
      </candidateList>
      <explain>文本全半角错误。</explain>
      <paraID> 3EDA740</paraID>
      <start>5</start>
      <end>6</end>
      <status>unmodified</status>
      <modifiedWord/>
      <trackRevisions>false</trackRevisions>
    </reviewItem>
    <reviewItem>
      <errorID>d00cf078-c30a-4a74-8dcb-c3a7ed5c8bac</errorID>
      <errorWord>（</errorWord>
      <group>L1_Format</group>
      <groupName>格式问题</groupName>
      <ability>L2_HalfPunc_CN</ability>
      <abilityName>全半角问题</abilityName>
      <candidateList>
        <item>(</item>
      </candidateList>
      <explain>文本全半角错误。</explain>
      <paraID>4F3606A9</paraID>
      <start>1</start>
      <end>2</end>
      <status>unmodified</status>
      <modifiedWord/>
      <trackRevisions>false</trackRevisions>
    </reviewItem>
    <reviewItem>
      <errorID>6adfd5e9-63d5-4f6c-a38c-a17e52a17a09</errorID>
      <errorWord>）</errorWord>
      <group>L1_Format</group>
      <groupName>格式问题</groupName>
      <ability>L2_HalfPunc_CN</ability>
      <abilityName>全半角问题</abilityName>
      <candidateList>
        <item>)</item>
      </candidateList>
      <explain>文本全半角错误。</explain>
      <paraID>4F3606A9</paraID>
      <start>5</start>
      <end>6</end>
      <status>unmodified</status>
      <modifiedWord/>
      <trackRevisions>false</trackRevisions>
    </reviewItem>
    <reviewItem>
      <errorID>8fbdf00f-0fdf-4839-aa87-1860f8b5336f</errorID>
      <errorWord>（</errorWord>
      <group>L1_Format</group>
      <groupName>格式问题</groupName>
      <ability>L2_HalfPunc_CN</ability>
      <abilityName>全半角问题</abilityName>
      <candidateList>
        <item>(</item>
      </candidateList>
      <explain>文本全半角错误。</explain>
      <paraID> D1B4576</paraID>
      <start>1</start>
      <end>2</end>
      <status>unmodified</status>
      <modifiedWord/>
      <trackRevisions>false</trackRevisions>
    </reviewItem>
    <reviewItem>
      <errorID>f7727ea2-b15b-4eb2-8371-4569eefe2580</errorID>
      <errorWord>）</errorWord>
      <group>L1_Format</group>
      <groupName>格式问题</groupName>
      <ability>L2_HalfPunc_CN</ability>
      <abilityName>全半角问题</abilityName>
      <candidateList>
        <item>)</item>
      </candidateList>
      <explain>文本全半角错误。</explain>
      <paraID> D1B4576</paraID>
      <start>5</start>
      <end>6</end>
      <status>unmodified</status>
      <modifiedWord/>
      <trackRevisions>false</trackRevisions>
    </reviewItem>
    <reviewItem>
      <errorID>6d897ab7-eb79-4934-8c15-a5dc92e17f99</errorID>
      <errorWord>（</errorWord>
      <group>L1_Format</group>
      <groupName>格式问题</groupName>
      <ability>L2_HalfPunc_CN</ability>
      <abilityName>全半角问题</abilityName>
      <candidateList>
        <item>(</item>
      </candidateList>
      <explain>文本全半角错误。</explain>
      <paraID>6A447A16</paraID>
      <start>1</start>
      <end>2</end>
      <status>unmodified</status>
      <modifiedWord/>
      <trackRevisions>false</trackRevisions>
    </reviewItem>
    <reviewItem>
      <errorID>83a81b03-4243-45cf-96b2-8e9126962769</errorID>
      <errorWord>）</errorWord>
      <group>L1_Format</group>
      <groupName>格式问题</groupName>
      <ability>L2_HalfPunc_CN</ability>
      <abilityName>全半角问题</abilityName>
      <candidateList>
        <item>)</item>
      </candidateList>
      <explain>文本全半角错误。</explain>
      <paraID>6A447A16</paraID>
      <start>6</start>
      <end>7</end>
      <status>unmodified</status>
      <modifiedWord/>
      <trackRevisions>false</trackRevisions>
    </reviewItem>
    <reviewItem>
      <errorID>18b91356-696c-4f9b-a2bb-23650606d24d</errorID>
      <errorWord>（</errorWord>
      <group>L1_Format</group>
      <groupName>格式问题</groupName>
      <ability>L2_HalfPunc_CN</ability>
      <abilityName>全半角问题</abilityName>
      <candidateList>
        <item>(</item>
      </candidateList>
      <explain>文本全半角错误。</explain>
      <paraID>600C7D00</paraID>
      <start>1</start>
      <end>2</end>
      <status>unmodified</status>
      <modifiedWord/>
      <trackRevisions>false</trackRevisions>
    </reviewItem>
    <reviewItem>
      <errorID>aa6d1a0b-abf2-49b6-a240-7b2d8f28a0e9</errorID>
      <errorWord>（</errorWord>
      <group>L1_Format</group>
      <groupName>格式问题</groupName>
      <ability>L2_HalfPunc_CN</ability>
      <abilityName>全半角问题</abilityName>
      <candidateList>
        <item>(</item>
      </candidateList>
      <explain>文本全半角错误。</explain>
      <paraID>5A244F20</paraID>
      <start>1</start>
      <end>2</end>
      <status>unmodified</status>
      <modifiedWord/>
      <trackRevisions>false</trackRevisions>
    </reviewItem>
    <reviewItem>
      <errorID>11945964-768d-4a02-9952-ae71312c7e4c</errorID>
      <errorWord>）</errorWord>
      <group>L1_Format</group>
      <groupName>格式问题</groupName>
      <ability>L2_HalfPunc_CN</ability>
      <abilityName>全半角问题</abilityName>
      <candidateList>
        <item>)</item>
      </candidateList>
      <explain>文本全半角错误。</explain>
      <paraID>5A244F20</paraID>
      <start>3</start>
      <end>4</end>
      <status>unmodified</status>
      <modifiedWord/>
      <trackRevisions>false</trackRevisions>
    </reviewItem>
    <reviewItem>
      <errorID>78e46281-1f4e-4334-9612-042962a2bc97</errorID>
      <errorWord>（</errorWord>
      <group>L1_Format</group>
      <groupName>格式问题</groupName>
      <ability>L2_HalfPunc_CN</ability>
      <abilityName>全半角问题</abilityName>
      <candidateList>
        <item>(</item>
      </candidateList>
      <explain>文本全半角错误。</explain>
      <paraID>3DFC6E91</paraID>
      <start>1</start>
      <end>2</end>
      <status>unmodified</status>
      <modifiedWord/>
      <trackRevisions>false</trackRevisions>
    </reviewItem>
    <reviewItem>
      <errorID>75365541-ea4a-4e4b-992e-fc70e3600b75</errorID>
      <errorWord>）</errorWord>
      <group>L1_Format</group>
      <groupName>格式问题</groupName>
      <ability>L2_HalfPunc_CN</ability>
      <abilityName>全半角问题</abilityName>
      <candidateList>
        <item>)</item>
      </candidateList>
      <explain>文本全半角错误。</explain>
      <paraID>3DFC6E91</paraID>
      <start>5</start>
      <end>6</end>
      <status>unmodified</status>
      <modifiedWord/>
      <trackRevisions>false</trackRevisions>
    </reviewItem>
    <reviewItem>
      <errorID>ea9c2197-420d-4c1d-bc40-d276bf4f1b1e</errorID>
      <errorWord>（</errorWord>
      <group>L1_Format</group>
      <groupName>格式问题</groupName>
      <ability>L2_HalfPunc_CN</ability>
      <abilityName>全半角问题</abilityName>
      <candidateList>
        <item>(</item>
      </candidateList>
      <explain>文本全半角错误。</explain>
      <paraID>182A98C1</paraID>
      <start>1</start>
      <end>2</end>
      <status>unmodified</status>
      <modifiedWord/>
      <trackRevisions>false</trackRevisions>
    </reviewItem>
    <reviewItem>
      <errorID>bc923d68-31a2-4a65-99c2-3b80e3edccbd</errorID>
      <errorWord>）</errorWord>
      <group>L1_Format</group>
      <groupName>格式问题</groupName>
      <ability>L2_HalfPunc_CN</ability>
      <abilityName>全半角问题</abilityName>
      <candidateList>
        <item>)</item>
      </candidateList>
      <explain>文本全半角错误。</explain>
      <paraID>182A98C1</paraID>
      <start>5</start>
      <end>6</end>
      <status>unmodified</status>
      <modifiedWord/>
      <trackRevisions>false</trackRevisions>
    </reviewItem>
    <reviewItem>
      <errorID>7f9896ad-46ea-4455-bb1e-1f37d4fe117a</errorID>
      <errorWord>（</errorWord>
      <group>L1_Format</group>
      <groupName>格式问题</groupName>
      <ability>L2_HalfPunc_CN</ability>
      <abilityName>全半角问题</abilityName>
      <candidateList>
        <item>(</item>
      </candidateList>
      <explain>文本全半角错误。</explain>
      <paraID> A7E6651</paraID>
      <start>1</start>
      <end>2</end>
      <status>unmodified</status>
      <modifiedWord/>
      <trackRevisions>false</trackRevisions>
    </reviewItem>
    <reviewItem>
      <errorID>414cd6b0-7361-4884-a604-547337d7c990</errorID>
      <errorWord>）</errorWord>
      <group>L1_Format</group>
      <groupName>格式问题</groupName>
      <ability>L2_HalfPunc_CN</ability>
      <abilityName>全半角问题</abilityName>
      <candidateList>
        <item>)</item>
      </candidateList>
      <explain>文本全半角错误。</explain>
      <paraID> A7E6651</paraID>
      <start>6</start>
      <end>7</end>
      <status>unmodified</status>
      <modifiedWord/>
      <trackRevisions>false</trackRevisions>
    </reviewItem>
    <reviewItem>
      <errorID>2e8b1d99-f947-45ef-98d2-0c28bf402c06</errorID>
      <errorWord>（</errorWord>
      <group>L1_Format</group>
      <groupName>格式问题</groupName>
      <ability>L2_HalfPunc_CN</ability>
      <abilityName>全半角问题</abilityName>
      <candidateList>
        <item>(</item>
      </candidateList>
      <explain>文本全半角错误。</explain>
      <paraID>2E27E607</paraID>
      <start>1</start>
      <end>2</end>
      <status>unmodified</status>
      <modifiedWord/>
      <trackRevisions>false</trackRevisions>
    </reviewItem>
    <reviewItem>
      <errorID>9869e31b-f276-4876-898c-0130f894884c</errorID>
      <errorWord>）</errorWord>
      <group>L1_Format</group>
      <groupName>格式问题</groupName>
      <ability>L2_HalfPunc_CN</ability>
      <abilityName>全半角问题</abilityName>
      <candidateList>
        <item>)</item>
      </candidateList>
      <explain>文本全半角错误。</explain>
      <paraID>2E27E607</paraID>
      <start>7</start>
      <end>8</end>
      <status>unmodified</status>
      <modifiedWord/>
      <trackRevisions>false</trackRevisions>
    </reviewItem>
    <reviewItem>
      <errorID>60c97da0-555f-4886-9b4c-955b6ef82dbf</errorID>
      <errorWord>（</errorWord>
      <group>L1_Format</group>
      <groupName>格式问题</groupName>
      <ability>L2_HalfPunc_CN</ability>
      <abilityName>全半角问题</abilityName>
      <candidateList>
        <item>(</item>
      </candidateList>
      <explain>文本全半角错误。</explain>
      <paraID>4BB061A6</paraID>
      <start>1</start>
      <end>2</end>
      <status>unmodified</status>
      <modifiedWord/>
      <trackRevisions>false</trackRevisions>
    </reviewItem>
    <reviewItem>
      <errorID>09be8b33-faec-4634-8732-312639d14907</errorID>
      <errorWord>）</errorWord>
      <group>L1_Format</group>
      <groupName>格式问题</groupName>
      <ability>L2_HalfPunc_CN</ability>
      <abilityName>全半角问题</abilityName>
      <candidateList>
        <item>)</item>
      </candidateList>
      <explain>文本全半角错误。</explain>
      <paraID>4BB061A6</paraID>
      <start>5</start>
      <end>6</end>
      <status>unmodified</status>
      <modifiedWord/>
      <trackRevisions>false</trackRevisions>
    </reviewItem>
    <reviewItem>
      <errorID>913eaf85-e154-42d3-a909-58bee15ca9e6</errorID>
      <errorWord>（</errorWord>
      <group>L1_Format</group>
      <groupName>格式问题</groupName>
      <ability>L2_HalfPunc_CN</ability>
      <abilityName>全半角问题</abilityName>
      <candidateList>
        <item>(</item>
      </candidateList>
      <explain>文本全半角错误。</explain>
      <paraID>489F059B</paraID>
      <start>1</start>
      <end>2</end>
      <status>unmodified</status>
      <modifiedWord/>
      <trackRevisions>false</trackRevisions>
    </reviewItem>
    <reviewItem>
      <errorID>c30f5d16-35ca-4173-962d-abcee47fa275</errorID>
      <errorWord>（</errorWord>
      <group>L1_Format</group>
      <groupName>格式问题</groupName>
      <ability>L2_HalfPunc_CN</ability>
      <abilityName>全半角问题</abilityName>
      <candidateList>
        <item>(</item>
      </candidateList>
      <explain>文本全半角错误。</explain>
      <paraID>17A6DF28</paraID>
      <start>1</start>
      <end>2</end>
      <status>unmodified</status>
      <modifiedWord/>
      <trackRevisions>false</trackRevisions>
    </reviewItem>
    <reviewItem>
      <errorID>840f0b60-095a-486a-9c43-52a34de9c073</errorID>
      <errorWord>）</errorWord>
      <group>L1_Format</group>
      <groupName>格式问题</groupName>
      <ability>L2_HalfPunc_CN</ability>
      <abilityName>全半角问题</abilityName>
      <candidateList>
        <item>)</item>
      </candidateList>
      <explain>文本全半角错误。</explain>
      <paraID>17A6DF28</paraID>
      <start>5</start>
      <end>6</end>
      <status>unmodified</status>
      <modifiedWord/>
      <trackRevisions>false</trackRevisions>
    </reviewItem>
    <reviewItem>
      <errorID>375c47bc-0867-461f-a241-8b6ee86f8a97</errorID>
      <errorWord>（</errorWord>
      <group>L1_Format</group>
      <groupName>格式问题</groupName>
      <ability>L2_HalfPunc_CN</ability>
      <abilityName>全半角问题</abilityName>
      <candidateList>
        <item>(</item>
      </candidateList>
      <explain>文本全半角错误。</explain>
      <paraID>77CBBED2</paraID>
      <start>1</start>
      <end>2</end>
      <status>unmodified</status>
      <modifiedWord/>
      <trackRevisions>false</trackRevisions>
    </reviewItem>
    <reviewItem>
      <errorID>55a0f68d-c296-4bc3-880d-b1e86f657f04</errorID>
      <errorWord>）</errorWord>
      <group>L1_Format</group>
      <groupName>格式问题</groupName>
      <ability>L2_HalfPunc_CN</ability>
      <abilityName>全半角问题</abilityName>
      <candidateList>
        <item>)</item>
      </candidateList>
      <explain>文本全半角错误。</explain>
      <paraID>77CBBED2</paraID>
      <start>5</start>
      <end>6</end>
      <status>unmodified</status>
      <modifiedWord/>
      <trackRevisions>false</trackRevisions>
    </reviewItem>
    <reviewItem>
      <errorID>8fe6c884-8c46-45b2-b2d0-2dda8804b0eb</errorID>
      <errorWord>（</errorWord>
      <group>L1_Format</group>
      <groupName>格式问题</groupName>
      <ability>L2_HalfPunc_CN</ability>
      <abilityName>全半角问题</abilityName>
      <candidateList>
        <item>(</item>
      </candidateList>
      <explain>文本全半角错误。</explain>
      <paraID>5E646E75</paraID>
      <start>1</start>
      <end>2</end>
      <status>unmodified</status>
      <modifiedWord/>
      <trackRevisions>false</trackRevisions>
    </reviewItem>
    <reviewItem>
      <errorID>6392d963-42c0-4598-9b6b-6213dbdc2890</errorID>
      <errorWord>）</errorWord>
      <group>L1_Format</group>
      <groupName>格式问题</groupName>
      <ability>L2_HalfPunc_CN</ability>
      <abilityName>全半角问题</abilityName>
      <candidateList>
        <item>)</item>
      </candidateList>
      <explain>文本全半角错误。</explain>
      <paraID>5E646E75</paraID>
      <start>5</start>
      <end>6</end>
      <status>unmodified</status>
      <modifiedWord/>
      <trackRevisions>false</trackRevisions>
    </reviewItem>
    <reviewItem>
      <errorID>6fd6ad01-61c7-45ea-b969-b8af9f046e48</errorID>
      <errorWord>（</errorWord>
      <group>L1_Format</group>
      <groupName>格式问题</groupName>
      <ability>L2_HalfPunc_CN</ability>
      <abilityName>全半角问题</abilityName>
      <candidateList>
        <item>(</item>
      </candidateList>
      <explain>文本全半角错误。</explain>
      <paraID> A4D030D</paraID>
      <start>1</start>
      <end>2</end>
      <status>unmodified</status>
      <modifiedWord/>
      <trackRevisions>false</trackRevisions>
    </reviewItem>
    <reviewItem>
      <errorID>5a2eb2cb-626f-4f57-8fcd-c496277f7056</errorID>
      <errorWord>）</errorWord>
      <group>L1_Format</group>
      <groupName>格式问题</groupName>
      <ability>L2_HalfPunc_CN</ability>
      <abilityName>全半角问题</abilityName>
      <candidateList>
        <item>)</item>
      </candidateList>
      <explain>文本全半角错误。</explain>
      <paraID> A4D030D</paraID>
      <start>5</start>
      <end>6</end>
      <status>unmodified</status>
      <modifiedWord/>
      <trackRevisions>false</trackRevisions>
    </reviewItem>
    <reviewItem>
      <errorID>a1e87ee7-02be-48c7-893e-6401b9e24423</errorID>
      <errorWord>（</errorWord>
      <group>L1_Format</group>
      <groupName>格式问题</groupName>
      <ability>L2_HalfPunc_CN</ability>
      <abilityName>全半角问题</abilityName>
      <candidateList>
        <item>(</item>
      </candidateList>
      <explain>文本全半角错误。</explain>
      <paraID>477AB7A7</paraID>
      <start>1</start>
      <end>2</end>
      <status>unmodified</status>
      <modifiedWord/>
      <trackRevisions>false</trackRevisions>
    </reviewItem>
    <reviewItem>
      <errorID>deff2187-647c-4b64-b27c-48540f812963</errorID>
      <errorWord>）</errorWord>
      <group>L1_Format</group>
      <groupName>格式问题</groupName>
      <ability>L2_HalfPunc_CN</ability>
      <abilityName>全半角问题</abilityName>
      <candidateList>
        <item>)</item>
      </candidateList>
      <explain>文本全半角错误。</explain>
      <paraID>477AB7A7</paraID>
      <start>5</start>
      <end>6</end>
      <status>unmodified</status>
      <modifiedWord/>
      <trackRevisions>false</trackRevisions>
    </reviewItem>
    <reviewItem>
      <errorID>a80ce5c3-4a95-4666-ae1f-fff4b44a4caa</errorID>
      <errorWord>（</errorWord>
      <group>L1_Format</group>
      <groupName>格式问题</groupName>
      <ability>L2_HalfPunc_CN</ability>
      <abilityName>全半角问题</abilityName>
      <candidateList>
        <item>(</item>
      </candidateList>
      <explain>文本全半角错误。</explain>
      <paraID>49E468C5</paraID>
      <start>1</start>
      <end>2</end>
      <status>unmodified</status>
      <modifiedWord/>
      <trackRevisions>false</trackRevisions>
    </reviewItem>
    <reviewItem>
      <errorID>b9f8b9a3-8709-4845-9316-0f7f37fdade4</errorID>
      <errorWord>）</errorWord>
      <group>L1_Format</group>
      <groupName>格式问题</groupName>
      <ability>L2_HalfPunc_CN</ability>
      <abilityName>全半角问题</abilityName>
      <candidateList>
        <item>)</item>
      </candidateList>
      <explain>文本全半角错误。</explain>
      <paraID>49E468C5</paraID>
      <start>6</start>
      <end>7</end>
      <status>unmodified</status>
      <modifiedWord/>
      <trackRevisions>false</trackRevisions>
    </reviewItem>
    <reviewItem>
      <errorID>c0c942fb-ce29-445e-992a-01a4dfc43e10</errorID>
      <errorWord>（</errorWord>
      <group>L1_Format</group>
      <groupName>格式问题</groupName>
      <ability>L2_HalfPunc_CN</ability>
      <abilityName>全半角问题</abilityName>
      <candidateList>
        <item>(</item>
      </candidateList>
      <explain>文本全半角错误。</explain>
      <paraID>5A942502</paraID>
      <start>1</start>
      <end>2</end>
      <status>unmodified</status>
      <modifiedWord/>
      <trackRevisions>false</trackRevisions>
    </reviewItem>
    <reviewItem>
      <errorID>5b882088-3619-407b-a33c-ea3ef56887ab</errorID>
      <errorWord>（</errorWord>
      <group>L1_Format</group>
      <groupName>格式问题</groupName>
      <ability>L2_HalfPunc_CN</ability>
      <abilityName>全半角问题</abilityName>
      <candidateList>
        <item>(</item>
      </candidateList>
      <explain>文本全半角错误。</explain>
      <paraID>  5C9699</paraID>
      <start>1</start>
      <end>2</end>
      <status>unmodified</status>
      <modifiedWord/>
      <trackRevisions>false</trackRevisions>
    </reviewItem>
    <reviewItem>
      <errorID>3a8b6d36-c1b1-437c-9406-b96f2683e257</errorID>
      <errorWord>）</errorWord>
      <group>L1_Format</group>
      <groupName>格式问题</groupName>
      <ability>L2_HalfPunc_CN</ability>
      <abilityName>全半角问题</abilityName>
      <candidateList>
        <item>)</item>
      </candidateList>
      <explain>文本全半角错误。</explain>
      <paraID>  5C9699</paraID>
      <start>3</start>
      <end>4</end>
      <status>unmodified</status>
      <modifiedWord/>
      <trackRevisions>false</trackRevisions>
    </reviewItem>
    <reviewItem>
      <errorID>67832b40-f577-47d2-82f8-55be7c514579</errorID>
      <errorWord>（</errorWord>
      <group>L1_Format</group>
      <groupName>格式问题</groupName>
      <ability>L2_HalfPunc_CN</ability>
      <abilityName>全半角问题</abilityName>
      <candidateList>
        <item>(</item>
      </candidateList>
      <explain>文本全半角错误。</explain>
      <paraID>7B0A0907</paraID>
      <start>1</start>
      <end>2</end>
      <status>unmodified</status>
      <modifiedWord/>
      <trackRevisions>false</trackRevisions>
    </reviewItem>
    <reviewItem>
      <errorID>3bc100cc-17d5-40e3-983d-e22ec2014720</errorID>
      <errorWord>）</errorWord>
      <group>L1_Format</group>
      <groupName>格式问题</groupName>
      <ability>L2_HalfPunc_CN</ability>
      <abilityName>全半角问题</abilityName>
      <candidateList>
        <item>)</item>
      </candidateList>
      <explain>文本全半角错误。</explain>
      <paraID>7B0A0907</paraID>
      <start>5</start>
      <end>6</end>
      <status>unmodified</status>
      <modifiedWord/>
      <trackRevisions>false</trackRevisions>
    </reviewItem>
    <reviewItem>
      <errorID>e592901c-840c-425b-96c1-b3e3550954db</errorID>
      <errorWord>（</errorWord>
      <group>L1_Format</group>
      <groupName>格式问题</groupName>
      <ability>L2_HalfPunc_CN</ability>
      <abilityName>全半角问题</abilityName>
      <candidateList>
        <item>(</item>
      </candidateList>
      <explain>文本全半角错误。</explain>
      <paraID>4B093A25</paraID>
      <start>1</start>
      <end>2</end>
      <status>unmodified</status>
      <modifiedWord/>
      <trackRevisions>false</trackRevisions>
    </reviewItem>
    <reviewItem>
      <errorID>5f5b7ac3-9880-4a1a-a165-9e6152df714d</errorID>
      <errorWord>）</errorWord>
      <group>L1_Format</group>
      <groupName>格式问题</groupName>
      <ability>L2_HalfPunc_CN</ability>
      <abilityName>全半角问题</abilityName>
      <candidateList>
        <item>)</item>
      </candidateList>
      <explain>文本全半角错误。</explain>
      <paraID>4B093A25</paraID>
      <start>5</start>
      <end>6</end>
      <status>unmodified</status>
      <modifiedWord/>
      <trackRevisions>false</trackRevisions>
    </reviewItem>
    <reviewItem>
      <errorID>6d4ae13f-22c6-4e38-8084-f5612007f495</errorID>
      <errorWord>（</errorWord>
      <group>L1_Format</group>
      <groupName>格式问题</groupName>
      <ability>L2_HalfPunc_CN</ability>
      <abilityName>全半角问题</abilityName>
      <candidateList>
        <item>(</item>
      </candidateList>
      <explain>文本全半角错误。</explain>
      <paraID>4EDE161A</paraID>
      <start>1</start>
      <end>2</end>
      <status>unmodified</status>
      <modifiedWord/>
      <trackRevisions>false</trackRevisions>
    </reviewItem>
    <reviewItem>
      <errorID>1adf93c9-3f40-47b0-b018-9a404c176c98</errorID>
      <errorWord>）</errorWord>
      <group>L1_Format</group>
      <groupName>格式问题</groupName>
      <ability>L2_HalfPunc_CN</ability>
      <abilityName>全半角问题</abilityName>
      <candidateList>
        <item>)</item>
      </candidateList>
      <explain>文本全半角错误。</explain>
      <paraID>4EDE161A</paraID>
      <start>5</start>
      <end>6</end>
      <status>unmodified</status>
      <modifiedWord/>
      <trackRevisions>false</trackRevisions>
    </reviewItem>
    <reviewItem>
      <errorID>8896c20c-d600-469f-aedb-ac39227c0352</errorID>
      <errorWord>（</errorWord>
      <group>L1_Format</group>
      <groupName>格式问题</groupName>
      <ability>L2_HalfPunc_CN</ability>
      <abilityName>全半角问题</abilityName>
      <candidateList>
        <item>(</item>
      </candidateList>
      <explain>文本全半角错误。</explain>
      <paraID>3902C407</paraID>
      <start>1</start>
      <end>2</end>
      <status>unmodified</status>
      <modifiedWord/>
      <trackRevisions>false</trackRevisions>
    </reviewItem>
    <reviewItem>
      <errorID>5cbed8f3-ad33-44ab-8a34-2fd7ca7fe96d</errorID>
      <errorWord>（</errorWord>
      <group>L1_Format</group>
      <groupName>格式问题</groupName>
      <ability>L2_HalfPunc_CN</ability>
      <abilityName>全半角问题</abilityName>
      <candidateList>
        <item>(</item>
      </candidateList>
      <explain>文本全半角错误。</explain>
      <paraID> 9F24A5B</paraID>
      <start>1</start>
      <end>2</end>
      <status>unmodified</status>
      <modifiedWord/>
      <trackRevisions>false</trackRevisions>
    </reviewItem>
    <reviewItem>
      <errorID>d14b7b75-988d-4411-b2ec-4b0d7a48c518</errorID>
      <errorWord>）</errorWord>
      <group>L1_Format</group>
      <groupName>格式问题</groupName>
      <ability>L2_HalfPunc_CN</ability>
      <abilityName>全半角问题</abilityName>
      <candidateList>
        <item>)</item>
      </candidateList>
      <explain>文本全半角错误。</explain>
      <paraID> 9F24A5B</paraID>
      <start>6</start>
      <end>7</end>
      <status>unmodified</status>
      <modifiedWord/>
      <trackRevisions>false</trackRevisions>
    </reviewItem>
    <reviewItem>
      <errorID>022a38b9-3de2-49e4-8de3-eb554554c44a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55309C4C</paraID>
      <start>109</start>
      <end>110</end>
      <status>unmodified</status>
      <modifiedWord/>
      <trackRevisions>false</trackRevisions>
    </reviewItem>
    <reviewItem>
      <errorID>ed96c107-4cc9-4d81-ba71-e65c2bc9cf96</errorID>
      <errorWord>(</errorWord>
      <group>L1_Format</group>
      <groupName>格式问题</groupName>
      <ability>L2_HalfPunc_CN</ability>
      <abilityName>全半角问题</abilityName>
      <candidateList>
        <item>（</item>
      </candidateList>
      <explain>文本全半角错误。</explain>
      <paraID>55309C4C</paraID>
      <start>156</start>
      <end>157</end>
      <status>unmodified</status>
      <modifiedWord/>
      <trackRevisions>false</trackRevisions>
    </reviewItem>
    <reviewItem>
      <errorID>1a9e5b9a-a7ba-4fe7-aae7-b39a893903eb</errorID>
      <errorWord>业</errorWord>
      <group>L1_Word</group>
      <groupName>字词问题</groupName>
      <ability>L2_Typo</ability>
      <abilityName>字词错误</abilityName>
      <candidateList>
        <item>业在</item>
      </candidateList>
      <explain/>
      <paraID>2CFE8774</paraID>
      <start>51</start>
      <end>52</end>
      <status>unmodified</status>
      <modifiedWord/>
      <trackRevisions>false</trackRevisions>
    </reviewItem>
    <reviewItem>
      <errorID>c51cd1fe-a0bf-45a0-96bb-3bed823c6386</errorID>
      <errorWord>III</errorWord>
      <group>L1_Word</group>
      <groupName>字词问题</groupName>
      <ability>L2_Typo</ability>
      <abilityName>字词错误</abilityName>
      <candidateList>
        <item>Ⅲ</item>
      </candidateList>
      <explain/>
      <paraID>4D856C4E</paraID>
      <start>124</start>
      <end>127</end>
      <status>unmodified</status>
      <modifiedWord/>
      <trackRevisions>false</trackRevisions>
    </reviewItem>
    <reviewItem>
      <errorID>2fe9f728-5feb-47ca-99bc-fc966d6ec8e8</errorID>
      <errorWord>III</errorWord>
      <group>L1_Word</group>
      <groupName>字词问题</groupName>
      <ability>L2_Typo</ability>
      <abilityName>字词错误</abilityName>
      <candidateList>
        <item>Ⅲ</item>
      </candidateList>
      <explain/>
      <paraID>4D856C4E</paraID>
      <start>165</start>
      <end>168</end>
      <status>unmodified</status>
      <modifiedWord/>
      <trackRevisions>false</trackRevisions>
    </reviewItem>
    <reviewItem>
      <errorID>be3d4ca5-401e-480d-b9d3-401b78bd67f2</errorID>
      <errorWord>(</errorWord>
      <group>L1_Format</group>
      <groupName>格式问题</groupName>
      <ability>L2_HalfPunc_CN</ability>
      <abilityName>全半角问题</abilityName>
      <candidateList>
        <item>（</item>
      </candidateList>
      <explain>文本全半角错误。</explain>
      <paraID>376567ED</paraID>
      <start>3</start>
      <end>4</end>
      <status>unmodified</status>
      <modifiedWord/>
      <trackRevisions>false</trackRevisions>
    </reviewItem>
    <reviewItem>
      <errorID>4b087c36-20cc-4dc2-b615-226bbb4c8e6c</errorID>
      <errorWord>)</errorWord>
      <group>L1_Format</group>
      <groupName>格式问题</groupName>
      <ability>L2_HalfPunc_CN</ability>
      <abilityName>全半角问题</abilityName>
      <candidateList>
        <item>）</item>
      </candidateList>
      <explain>文本全半角错误。</explain>
      <paraID>376567ED</paraID>
      <start>7</start>
      <end>8</end>
      <status>unmodified</status>
      <modifiedWord/>
      <trackRevisions>false</trackRevisions>
    </reviewItem>
    <reviewItem>
      <errorID>f4909f6f-961f-42f1-9660-e91c5c639364</errorID>
      <errorWord>(</errorWord>
      <group>L1_Format</group>
      <groupName>格式问题</groupName>
      <ability>L2_HalfPunc_CN</ability>
      <abilityName>全半角问题</abilityName>
      <candidateList>
        <item>（</item>
      </candidateList>
      <explain>文本全半角错误。</explain>
      <paraID>5CE9BB86</paraID>
      <start>3</start>
      <end>4</end>
      <status>unmodified</status>
      <modifiedWord/>
      <trackRevisions>false</trackRevisions>
    </reviewItem>
    <reviewItem>
      <errorID>4cb8c24f-08cc-4874-9e5b-7519bfad552d</errorID>
      <errorWord>)</errorWord>
      <group>L1_Format</group>
      <groupName>格式问题</groupName>
      <ability>L2_HalfPunc_CN</ability>
      <abilityName>全半角问题</abilityName>
      <candidateList>
        <item>）</item>
      </candidateList>
      <explain>文本全半角错误。</explain>
      <paraID>5CE9BB86</paraID>
      <start>7</start>
      <end>8</end>
      <status>unmodified</status>
      <modifiedWord/>
      <trackRevisions>false</trackRevisions>
    </reviewItem>
    <reviewItem>
      <errorID>04d9030d-d959-4c94-abab-c92fd818d7c9</errorID>
      <errorWord>(</errorWord>
      <group>L1_Format</group>
      <groupName>格式问题</groupName>
      <ability>L2_HalfPunc_CN</ability>
      <abilityName>全半角问题</abilityName>
      <candidateList>
        <item>（</item>
      </candidateList>
      <explain>文本全半角错误。</explain>
      <paraID>539D4DA7</paraID>
      <start>3</start>
      <end>4</end>
      <status>unmodified</status>
      <modifiedWord/>
      <trackRevisions>false</trackRevisions>
    </reviewItem>
    <reviewItem>
      <errorID>d31124db-e844-4e9b-aee9-6a8ca1e4b75c</errorID>
      <errorWord>)</errorWord>
      <group>L1_Format</group>
      <groupName>格式问题</groupName>
      <ability>L2_HalfPunc_CN</ability>
      <abilityName>全半角问题</abilityName>
      <candidateList>
        <item>）</item>
      </candidateList>
      <explain>文本全半角错误。</explain>
      <paraID>539D4DA7</paraID>
      <start>7</start>
      <end>8</end>
      <status>unmodified</status>
      <modifiedWord/>
      <trackRevisions>false</trackRevisions>
    </reviewItem>
    <reviewItem>
      <errorID>7f50b5a8-e792-4b37-a993-4780229d5f8b</errorID>
      <errorWord>(</errorWord>
      <group>L1_Format</group>
      <groupName>格式问题</groupName>
      <ability>L2_HalfPunc_CN</ability>
      <abilityName>全半角问题</abilityName>
      <candidateList>
        <item>（</item>
      </candidateList>
      <explain>文本全半角错误。</explain>
      <paraID>78375615</paraID>
      <start>3</start>
      <end>4</end>
      <status>unmodified</status>
      <modifiedWord/>
      <trackRevisions>false</trackRevisions>
    </reviewItem>
    <reviewItem>
      <errorID>1d511dc1-1f08-43f4-aee2-cf80fd88e4a7</errorID>
      <errorWord>)</errorWord>
      <group>L1_Format</group>
      <groupName>格式问题</groupName>
      <ability>L2_HalfPunc_CN</ability>
      <abilityName>全半角问题</abilityName>
      <candidateList>
        <item>）</item>
      </candidateList>
      <explain>文本全半角错误。</explain>
      <paraID>78375615</paraID>
      <start>7</start>
      <end>8</end>
      <status>unmodified</status>
      <modifiedWord/>
      <trackRevisions>false</trackRevisions>
    </reviewItem>
    <reviewItem>
      <errorID>020eff1c-32d8-4645-af50-dd9fc840a6c5</errorID>
      <errorWord>(</errorWord>
      <group>L1_Format</group>
      <groupName>格式问题</groupName>
      <ability>L2_HalfPunc_CN</ability>
      <abilityName>全半角问题</abilityName>
      <candidateList>
        <item>（</item>
      </candidateList>
      <explain>文本全半角错误。</explain>
      <paraID>73E4C080</paraID>
      <start>3</start>
      <end>4</end>
      <status>unmodified</status>
      <modifiedWord/>
      <trackRevisions>false</trackRevisions>
    </reviewItem>
    <reviewItem>
      <errorID>932742e9-be43-4709-af7b-a64c350a29c0</errorID>
      <errorWord>)</errorWord>
      <group>L1_Format</group>
      <groupName>格式问题</groupName>
      <ability>L2_HalfPunc_CN</ability>
      <abilityName>全半角问题</abilityName>
      <candidateList>
        <item>）</item>
      </candidateList>
      <explain>文本全半角错误。</explain>
      <paraID>73E4C080</paraID>
      <start>7</start>
      <end>8</end>
      <status>unmodified</status>
      <modifiedWord/>
      <trackRevisions>false</trackRevisions>
    </reviewItem>
    <reviewItem>
      <errorID>b430edb3-ee36-4720-87be-b09b4120b2a0</errorID>
      <errorWord>(</errorWord>
      <group>L1_Format</group>
      <groupName>格式问题</groupName>
      <ability>L2_HalfPunc_CN</ability>
      <abilityName>全半角问题</abilityName>
      <candidateList>
        <item>（</item>
      </candidateList>
      <explain>文本全半角错误。</explain>
      <paraID>2646242B</paraID>
      <start>3</start>
      <end>4</end>
      <status>unmodified</status>
      <modifiedWord/>
      <trackRevisions>false</trackRevisions>
    </reviewItem>
    <reviewItem>
      <errorID>4fc587a8-1e68-4234-9b5f-ac50b7fd9911</errorID>
      <errorWord>)</errorWord>
      <group>L1_Format</group>
      <groupName>格式问题</groupName>
      <ability>L2_HalfPunc_CN</ability>
      <abilityName>全半角问题</abilityName>
      <candidateList>
        <item>）</item>
      </candidateList>
      <explain>文本全半角错误。</explain>
      <paraID>2646242B</paraID>
      <start>7</start>
      <end>8</end>
      <status>unmodified</status>
      <modifiedWord/>
      <trackRevisions>false</trackRevisions>
    </reviewItem>
    <reviewItem>
      <errorID>2e9c266c-0dde-4550-9572-29012cb36d56</errorID>
      <errorWord>计</errorWord>
      <group>L1_Word</group>
      <groupName>字词问题</groupName>
      <ability>L2_Typo</ability>
      <abilityName>字词错误</abilityName>
      <candidateList>
        <item>计算</item>
      </candidateList>
      <explain/>
      <paraID> EFB3851</paraID>
      <start>17</start>
      <end>18</end>
      <status>unmodified</status>
      <modifiedWord/>
      <trackRevisions>false</trackRevisions>
    </reviewItem>
    <reviewItem>
      <errorID>979b18da-c19e-4939-9f7c-69f2a1dd92e8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9585665</paraID>
      <start>67</start>
      <end>68</end>
      <status>unmodified</status>
      <modifiedWord/>
      <trackRevisions>false</trackRevisions>
    </reviewItem>
    <reviewItem>
      <errorID>20e1642d-677e-4de3-b490-dcad2fc564c3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9585665</paraID>
      <start>115</start>
      <end>116</end>
      <status>unmodified</status>
      <modifiedWord/>
      <trackRevisions>false</trackRevisions>
    </reviewItem>
    <reviewItem>
      <errorID>c732f680-ef7a-46ff-94f9-85c5edb0b0b2</errorID>
      <errorWord>计</errorWord>
      <group>L1_Word</group>
      <groupName>字词问题</groupName>
      <ability>L2_Typo</ability>
      <abilityName>字词错误</abilityName>
      <candidateList>
        <item>计算</item>
      </candidateList>
      <explain/>
      <paraID>4BDF1D89</paraID>
      <start>14</start>
      <end>15</end>
      <status>unmodified</status>
      <modifiedWord/>
      <trackRevisions>false</trackRevisions>
    </reviewItem>
    <reviewItem>
      <errorID>e13c113d-e772-4205-b052-8b12eefafb2a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5DF85F56</paraID>
      <start>9</start>
      <end>10</end>
      <status>unmodified</status>
      <modifiedWord/>
      <trackRevisions>false</trackRevisions>
    </reviewItem>
    <reviewItem>
      <errorID>56c61b9b-bf65-4629-a7e8-8e979a7aae7b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1C6E40E8</paraID>
      <start>8</start>
      <end>9</end>
      <status>unmodified</status>
      <modifiedWord/>
      <trackRevisions>false</trackRevisions>
    </reviewItem>
    <reviewItem>
      <errorID>fc5b2042-a6f7-4ef6-99f9-44ea000c0fa8</errorID>
      <errorWord>国图</errorWord>
      <group>L1_Word</group>
      <groupName>字词问题</groupName>
      <ability>L2_Typo</ability>
      <abilityName>字词错误</abilityName>
      <candidateList>
        <item>国土</item>
      </candidateList>
      <explain/>
      <paraID>6621F2EE</paraID>
      <start>58</start>
      <end>60</end>
      <status>modified</status>
      <modifiedWord>国土</modifiedWord>
      <trackRevisions>false</trackRevisions>
    </reviewItem>
    <reviewItem>
      <errorID>9686ebfa-b335-4b10-ad06-2897e1af1378</errorID>
      <errorWord>约为</errorWord>
      <group>L1_Word</group>
      <groupName>字词问题</groupName>
      <ability>L2_Typo</ability>
      <abilityName>字词错误</abilityName>
      <candidateList>
        <item>约</item>
      </candidateList>
      <explain/>
      <paraID>3C758FD9</paraID>
      <start>43</start>
      <end>45</end>
      <status>unmodified</status>
      <modifiedWord/>
      <trackRevisions>false</trackRevisions>
    </reviewItem>
    <reviewItem>
      <errorID>9fb27fe7-0da5-4716-a7ee-f7d791ea0c7f</errorID>
      <errorWord>程</errorWord>
      <group>L1_Word</group>
      <groupName>字词问题</groupName>
      <ability>L2_Typo</ability>
      <abilityName>字词错误</abilityName>
      <candidateList>
        <item>程中</item>
      </candidateList>
      <explain/>
      <paraID>64A484B4</paraID>
      <start>71</start>
      <end>72</end>
      <status>unmodified</status>
      <modifiedWord/>
      <trackRevisions>false</trackRevisions>
    </reviewItem>
    <reviewItem>
      <errorID>8e29fabd-c427-4c7c-83c7-605e0fa4b222</errorID>
      <errorWord>程</errorWord>
      <group>L1_Word</group>
      <groupName>字词问题</groupName>
      <ability>L2_Typo</ability>
      <abilityName>字词错误</abilityName>
      <candidateList>
        <item>程中</item>
      </candidateList>
      <explain/>
      <paraID>721B74EE</paraID>
      <start>40</start>
      <end>41</end>
      <status>unmodified</status>
      <modifiedWord/>
      <trackRevisions>false</trackRevisions>
    </reviewItem>
    <reviewItem>
      <errorID>db80c3f5-5c12-4230-8f27-8e8e6f849d3a</errorID>
      <errorWord>~</errorWord>
      <group>L1_Format</group>
      <groupName>格式问题</groupName>
      <ability>L2_HalfPunc_CN</ability>
      <abilityName>全半角问题</abilityName>
      <candidateList>
        <item>～</item>
      </candidateList>
      <explain>文本全半角错误。</explain>
      <paraID>1C055159</paraID>
      <start>155</start>
      <end>156</end>
      <status>unmodified</status>
      <modifiedWord/>
      <trackRevisions>false</trackRevisions>
    </reviewItem>
    <reviewItem>
      <errorID>1856f41e-8e31-419a-b994-772d9e84dd4b</errorID>
      <errorWord>程</errorWord>
      <group>L1_Word</group>
      <groupName>字词问题</groupName>
      <ability>L2_Typo</ability>
      <abilityName>字词错误</abilityName>
      <candidateList>
        <item>程中</item>
      </candidateList>
      <explain/>
      <paraID>130E905D</paraID>
      <start>40</start>
      <end>41</end>
      <status>unmodified</status>
      <modifiedWord/>
      <trackRevisions>false</trackRevisions>
    </reviewItem>
    <reviewItem>
      <errorID>09c5e613-c5ff-4901-bfa2-381b3dfb52de</errorID>
      <errorWord>~</errorWord>
      <group>L1_Format</group>
      <groupName>格式问题</groupName>
      <ability>L2_HalfPunc_CN</ability>
      <abilityName>全半角问题</abilityName>
      <candidateList>
        <item>～</item>
      </candidateList>
      <explain>文本全半角错误。</explain>
      <paraID> D22B51F</paraID>
      <start>55</start>
      <end>56</end>
      <status>unmodified</status>
      <modifiedWord/>
      <trackRevisions>false</trackRevisions>
    </reviewItem>
    <reviewItem>
      <errorID>8b227610-6ad7-488b-bc57-877d530cbed7</errorID>
      <errorWord>来自于</errorWord>
      <group>L1_Word</group>
      <groupName>字词问题</groupName>
      <ability>L2_Typo</ability>
      <abilityName>字词错误</abilityName>
      <candidateList>
        <item>来自</item>
      </candidateList>
      <explain/>
      <paraID>30F66388</paraID>
      <start>7</start>
      <end>10</end>
      <status>unmodified</status>
      <modifiedWord/>
      <trackRevisions>false</trackRevisions>
    </reviewItem>
    <reviewItem>
      <errorID>5d7a16d8-af72-4f01-b066-59907b7f5397</errorID>
      <errorWord>泥砂</errorWord>
      <group>L1_Word</group>
      <groupName>字词问题</groupName>
      <ability>L2_Typo</ability>
      <abilityName>字词错误</abilityName>
      <candidateList>
        <item>泥沙</item>
      </candidateList>
      <explain>存在发音相同字词的误用。</explain>
      <paraID>1622BE5A</paraID>
      <start>31</start>
      <end>33</end>
      <status>unmodified</status>
      <modifiedWord/>
      <trackRevisions>false</trackRevisions>
    </reviewItem>
    <reviewItem>
      <errorID>0ccc2bb2-1445-408f-8591-9ec44ec95eda</errorID>
      <errorWord>（</errorWord>
      <group>L1_Punc</group>
      <groupName>标点问题</groupName>
      <ability>L2_Punc_CN</ability>
      <abilityName>标点符号问题</abilityName>
      <candidateList/>
      <explain>同一形式括号套用。</explain>
      <paraID>43734CA7</paraID>
      <start>3</start>
      <end>4</end>
      <status>unmodified</status>
      <modifiedWord/>
      <trackRevisions>false</trackRevisions>
    </reviewItem>
    <reviewItem>
      <errorID>d795b33c-6ce4-4be1-8e50-df5cfd8c58fc</errorID>
      <errorWord>(</errorWord>
      <group>L1_Punc</group>
      <groupName>标点问题</groupName>
      <ability>L2_Punc_CN</ability>
      <abilityName>标点符号问题</abilityName>
      <candidateList/>
      <explain>同一形式括号套用。</explain>
      <paraID>43734CA7</paraID>
      <start>6</start>
      <end>7</end>
      <status>unmodified</status>
      <modifiedWord/>
      <trackRevisions>false</trackRevisions>
    </reviewItem>
    <reviewItem>
      <errorID>ac2b9ff8-fdea-4ea8-96bc-f3a4ebeffb2f</errorID>
      <errorWord>)</errorWord>
      <group>L1_Punc</group>
      <groupName>标点问题</groupName>
      <ability>L2_Punc_CN</ability>
      <abilityName>标点符号问题</abilityName>
      <candidateList/>
      <explain>同一形式括号套用。</explain>
      <paraID>43734CA7</paraID>
      <start>8</start>
      <end>9</end>
      <status>unmodified</status>
      <modifiedWord/>
      <trackRevisions>false</trackRevisions>
    </reviewItem>
    <reviewItem>
      <errorID>e24daf3b-40fd-4579-a0b2-3756b9bb2975</errorID>
      <errorWord>）</errorWord>
      <group>L1_Punc</group>
      <groupName>标点问题</groupName>
      <ability>L2_Punc_CN</ability>
      <abilityName>标点符号问题</abilityName>
      <candidateList/>
      <explain>同一形式括号套用。</explain>
      <paraID>43734CA7</paraID>
      <start>9</start>
      <end>10</end>
      <status>unmodified</status>
      <modifiedWord/>
      <trackRevisions>false</trackRevisions>
    </reviewItem>
    <reviewItem>
      <errorID>d6a7f705-8419-4039-a09f-079f46ba5497</errorID>
      <errorWord>（</errorWord>
      <group>L1_Punc</group>
      <groupName>标点问题</groupName>
      <ability>L2_Punc_CN</ability>
      <abilityName>标点符号问题</abilityName>
      <candidateList/>
      <explain>同一形式括号套用。</explain>
      <paraID>759265FE</paraID>
      <start>3</start>
      <end>4</end>
      <status>unmodified</status>
      <modifiedWord/>
      <trackRevisions>false</trackRevisions>
    </reviewItem>
    <reviewItem>
      <errorID>e1f9baa1-c2a6-436f-bc86-fde24204e702</errorID>
      <errorWord>(</errorWord>
      <group>L1_Punc</group>
      <groupName>标点问题</groupName>
      <ability>L2_Punc_CN</ability>
      <abilityName>标点符号问题</abilityName>
      <candidateList/>
      <explain>同一形式括号套用。</explain>
      <paraID>759265FE</paraID>
      <start>6</start>
      <end>7</end>
      <status>unmodified</status>
      <modifiedWord/>
      <trackRevisions>false</trackRevisions>
    </reviewItem>
    <reviewItem>
      <errorID>023ad55c-f23a-42ab-9fa5-5fca2e799313</errorID>
      <errorWord>)</errorWord>
      <group>L1_Punc</group>
      <groupName>标点问题</groupName>
      <ability>L2_Punc_CN</ability>
      <abilityName>标点符号问题</abilityName>
      <candidateList/>
      <explain>同一形式括号套用。</explain>
      <paraID>759265FE</paraID>
      <start>8</start>
      <end>9</end>
      <status>unmodified</status>
      <modifiedWord/>
      <trackRevisions>false</trackRevisions>
    </reviewItem>
    <reviewItem>
      <errorID>f3ba9dd5-f377-4562-bce1-abdc015a2b08</errorID>
      <errorWord>）</errorWord>
      <group>L1_Punc</group>
      <groupName>标点问题</groupName>
      <ability>L2_Punc_CN</ability>
      <abilityName>标点符号问题</abilityName>
      <candidateList/>
      <explain>同一形式括号套用。</explain>
      <paraID>759265FE</paraID>
      <start>9</start>
      <end>10</end>
      <status>unmodified</status>
      <modifiedWord/>
      <trackRevisions>false</trackRevisions>
    </reviewItem>
    <reviewItem>
      <errorID>37d0779e-b2e4-4884-9da0-090b15191e5b</errorID>
      <errorWord>～</errorWord>
      <group>L1_Format</group>
      <groupName>格式问题</groupName>
      <ability>L2_HalfPunc_CN</ability>
      <abilityName>全半角问题</abilityName>
      <candidateList>
        <item>~</item>
      </candidateList>
      <explain>文本全半角错误。</explain>
      <paraID>66BA2ED9</paraID>
      <start>2</start>
      <end>3</end>
      <status>unmodified</status>
      <modifiedWord/>
      <trackRevisions>false</trackRevisions>
    </reviewItem>
    <reviewItem>
      <errorID>8d7fa7f3-0230-4739-88c1-d8c3e70aa8ae</errorID>
      <errorWord>～</errorWord>
      <group>L1_Format</group>
      <groupName>格式问题</groupName>
      <ability>L2_HalfPunc_CN</ability>
      <abilityName>全半角问题</abilityName>
      <candidateList>
        <item>~</item>
      </candidateList>
      <explain>文本全半角错误。</explain>
      <paraID>522F7937</paraID>
      <start>2</start>
      <end>3</end>
      <status>unmodified</status>
      <modifiedWord/>
      <trackRevisions>false</trackRevisions>
    </reviewItem>
    <reviewItem>
      <errorID>ac43db2e-f0dc-45f9-9454-e7e6cd912f21</errorID>
      <errorWord>(</errorWord>
      <group>L1_Format</group>
      <groupName>格式问题</groupName>
      <ability>L2_HalfPunc_CN</ability>
      <abilityName>全半角问题</abilityName>
      <candidateList>
        <item>（</item>
      </candidateList>
      <explain>文本全半角错误。</explain>
      <paraID>1DF35B49</paraID>
      <start>10</start>
      <end>11</end>
      <status>unmodified</status>
      <modifiedWord/>
      <trackRevisions>false</trackRevisions>
    </reviewItem>
    <reviewItem>
      <errorID>dd757bc8-bde1-427f-889d-825fb3e9293c</errorID>
      <errorWord>(</errorWord>
      <group>L1_Punc</group>
      <groupName>标点问题</groupName>
      <ability>L2_Punc_CN</ability>
      <abilityName>标点符号问题</abilityName>
      <candidateList/>
      <explain>同一形式括号套用。</explain>
      <paraID>1DF35B49</paraID>
      <start>13</start>
      <end>14</end>
      <status>unmodified</status>
      <modifiedWord/>
      <trackRevisions>false</trackRevisions>
    </reviewItem>
    <reviewItem>
      <errorID>13e3aaec-18e2-4601-9c59-cc1872784883</errorID>
      <errorWord>)</errorWord>
      <group>L1_Punc</group>
      <groupName>标点问题</groupName>
      <ability>L2_Punc_CN</ability>
      <abilityName>标点符号问题</abilityName>
      <candidateList/>
      <explain>同一形式括号套用。</explain>
      <paraID>1DF35B49</paraID>
      <start>15</start>
      <end>16</end>
      <status>unmodified</status>
      <modifiedWord/>
      <trackRevisions>false</trackRevisions>
    </reviewItem>
    <reviewItem>
      <errorID>8296e45f-d468-418a-aadc-260e91cab0e7</errorID>
      <errorWord>程</errorWord>
      <group>L1_Word</group>
      <groupName>字词问题</groupName>
      <ability>L2_Typo</ability>
      <abilityName>字词错误</abilityName>
      <candidateList>
        <item>程中</item>
      </candidateList>
      <explain/>
      <paraID>2C25585E</paraID>
      <start>20</start>
      <end>21</end>
      <status>unmodified</status>
      <modifiedWord/>
      <trackRevisions>false</trackRevisions>
    </reviewItem>
    <reviewItem>
      <errorID>08457ccc-d633-4442-a543-79ce596f212e</errorID>
      <errorWord>-</errorWord>
      <group>L1_Format</group>
      <groupName>格式问题</groupName>
      <ability>L2_HalfPunc_CN</ability>
      <abilityName>全半角问题</abilityName>
      <candidateList>
        <item>－</item>
      </candidateList>
      <explain>文本全半角错误。</explain>
      <paraID>2FBBD5EE</paraID>
      <start>97</start>
      <end>98</end>
      <status>unmodified</status>
      <modifiedWord/>
      <trackRevisions>false</trackRevisions>
    </reviewItem>
    <reviewItem>
      <errorID>0e11dde6-b88a-437f-8938-f377b098e030</errorID>
      <errorWord>-</errorWord>
      <group>L1_Format</group>
      <groupName>格式问题</groupName>
      <ability>L2_HalfPunc_CN</ability>
      <abilityName>全半角问题</abilityName>
      <candidateList>
        <item>－</item>
      </candidateList>
      <explain>文本全半角错误。</explain>
      <paraID>2FBBD5EE</paraID>
      <start>189</start>
      <end>190</end>
      <status>unmodified</status>
      <modifiedWord/>
      <trackRevisions>false</trackRevisions>
    </reviewItem>
    <reviewItem>
      <errorID>4b6ee417-1946-46d7-ad0b-664a88e2682a</errorID>
      <errorWord>、</errorWord>
      <group>L1_Punc</group>
      <groupName>标点问题</groupName>
      <ability>L2_Punc_CN</ability>
      <abilityName>标点符号问题</abilityName>
      <candidateList>
        <item>.</item>
      </candidateList>
      <explain/>
      <paraID>411CCBDE</paraID>
      <start>1</start>
      <end>2</end>
      <status>unmodified</status>
      <modifiedWord/>
      <trackRevisions>false</trackRevisions>
    </reviewItem>
    <reviewItem>
      <errorID>77935ad8-220b-4cf7-acc8-bb927e236918</errorID>
      <errorWord>、</errorWord>
      <group>L1_Punc</group>
      <groupName>标点问题</groupName>
      <ability>L2_Punc_CN</ability>
      <abilityName>标点符号问题</abilityName>
      <candidateList>
        <item>.</item>
      </candidateList>
      <explain/>
      <paraID>2BC8BF52</paraID>
      <start>1</start>
      <end>2</end>
      <status>unmodified</status>
      <modifiedWord/>
      <trackRevisions>false</trackRevisions>
    </reviewItem>
    <reviewItem>
      <errorID>2c52b189-b5cd-460e-a116-62816c8fa6ce</errorID>
      <errorWord>、</errorWord>
      <group>L1_Punc</group>
      <groupName>标点问题</groupName>
      <ability>L2_Punc_CN</ability>
      <abilityName>标点符号问题</abilityName>
      <candidateList>
        <item>.</item>
      </candidateList>
      <explain/>
      <paraID>1AAF7DB2</paraID>
      <start>1</start>
      <end>2</end>
      <status>unmodified</status>
      <modifiedWord/>
      <trackRevisions>false</trackRevisions>
    </reviewItem>
    <reviewItem>
      <errorID>79f05be1-0638-4cb7-82fc-3c68286731af</errorID>
      <errorWord>、</errorWord>
      <group>L1_Punc</group>
      <groupName>标点问题</groupName>
      <ability>L2_Punc_CN</ability>
      <abilityName>标点符号问题</abilityName>
      <candidateList>
        <item>.</item>
      </candidateList>
      <explain/>
      <paraID>175054A4</paraID>
      <start>1</start>
      <end>2</end>
      <status>unmodified</status>
      <modifiedWord/>
      <trackRevisions>false</trackRevisions>
    </reviewItem>
    <reviewItem>
      <errorID>4dd21b1b-d91d-4dd8-b226-ad797d74caeb</errorID>
      <errorWord>-</errorWord>
      <group>L1_Format</group>
      <groupName>格式问题</groupName>
      <ability>L2_HalfPunc_CN</ability>
      <abilityName>全半角问题</abilityName>
      <candidateList>
        <item>－</item>
      </candidateList>
      <explain>文本全半角错误。</explain>
      <paraID>2C36F74C</paraID>
      <start>165</start>
      <end>166</end>
      <status>unmodified</status>
      <modifiedWord/>
      <trackRevisions>false</trackRevisions>
    </reviewItem>
    <reviewItem>
      <errorID>664ba3ad-6039-49d2-a50b-21092b30a516</errorID>
      <errorWord>-</errorWord>
      <group>L1_Format</group>
      <groupName>格式问题</groupName>
      <ability>L2_HalfPunc_CN</ability>
      <abilityName>全半角问题</abilityName>
      <candidateList>
        <item>－</item>
      </candidateList>
      <explain>文本全半角错误。</explain>
      <paraID>16E92EB9</paraID>
      <start>140</start>
      <end>141</end>
      <status>unmodified</status>
      <modifiedWord/>
      <trackRevisions>false</trackRevisions>
    </reviewItem>
    <reviewItem>
      <errorID>05ec54a1-62f0-4c16-8e4d-40218872cc00</errorID>
      <errorWord>粉产</errorWord>
      <group>L1_Word</group>
      <groupName>字词问题</groupName>
      <ability>L2_Typo</ability>
      <abilityName>字词错误</abilityName>
      <candidateList>
        <item>粉尘</item>
      </candidateList>
      <explain/>
      <paraID>74A3E066</paraID>
      <start>73</start>
      <end>75</end>
      <status>unmodified</status>
      <modifiedWord/>
      <trackRevisions>false</trackRevisions>
    </reviewItem>
    <reviewItem>
      <errorID>02917411-2a3e-4c30-8e17-583d8186f004</errorID>
      <errorWord>-</errorWord>
      <group>L1_Format</group>
      <groupName>格式问题</groupName>
      <ability>L2_HalfPunc_CN</ability>
      <abilityName>全半角问题</abilityName>
      <candidateList>
        <item>－</item>
      </candidateList>
      <explain>文本全半角错误。</explain>
      <paraID>4DE49E2B</paraID>
      <start>157</start>
      <end>158</end>
      <status>unmodified</status>
      <modifiedWord/>
      <trackRevisions>false</trackRevisions>
    </reviewItem>
    <reviewItem>
      <errorID>0e18aa8a-bb19-49a5-ab19-e7874df8a887</errorID>
      <errorWord>(</errorWord>
      <group>L1_Format</group>
      <groupName>格式问题</groupName>
      <ability>L2_HalfPunc_CN</ability>
      <abilityName>全半角问题</abilityName>
      <candidateList>
        <item>（</item>
      </candidateList>
      <explain>文本全半角错误。</explain>
      <paraID>420C1070</paraID>
      <start>15</start>
      <end>16</end>
      <status>unmodified</status>
      <modifiedWord/>
      <trackRevisions>false</trackRevisions>
    </reviewItem>
    <reviewItem>
      <errorID>745d3c5b-d35a-455b-95ad-f622e31ce1a4</errorID>
      <errorWord>)</errorWord>
      <group>L1_Format</group>
      <groupName>格式问题</groupName>
      <ability>L2_HalfPunc_CN</ability>
      <abilityName>全半角问题</abilityName>
      <candidateList>
        <item>）</item>
      </candidateList>
      <explain>文本全半角错误。</explain>
      <paraID>420C1070</paraID>
      <start>22</start>
      <end>23</end>
      <status>unmodified</status>
      <modifiedWord/>
      <trackRevisions>false</trackRevisions>
    </reviewItem>
    <reviewItem>
      <errorID>0d38c415-4b6d-403e-a93e-5debe10c3b8f</errorID>
      <errorWord>(</errorWord>
      <group>L1_Format</group>
      <groupName>格式问题</groupName>
      <ability>L2_HalfPunc_CN</ability>
      <abilityName>全半角问题</abilityName>
      <candidateList>
        <item>（</item>
      </candidateList>
      <explain>文本全半角错误。</explain>
      <paraID> E84335B</paraID>
      <start>6</start>
      <end>7</end>
      <status>unmodified</status>
      <modifiedWord/>
      <trackRevisions>false</trackRevisions>
    </reviewItem>
    <reviewItem>
      <errorID>879125a9-12b8-482f-998d-c6742583c6aa</errorID>
      <errorWord>)</errorWord>
      <group>L1_Format</group>
      <groupName>格式问题</groupName>
      <ability>L2_HalfPunc_CN</ability>
      <abilityName>全半角问题</abilityName>
      <candidateList>
        <item>）</item>
      </candidateList>
      <explain>文本全半角错误。</explain>
      <paraID> E84335B</paraID>
      <start>11</start>
      <end>12</end>
      <status>unmodified</status>
      <modifiedWord/>
      <trackRevisions>false</trackRevisions>
    </reviewItem>
    <reviewItem>
      <errorID>36c47eb3-4004-4f3a-98fb-dfcdb8fda02e</errorID>
      <errorWord>(</errorWord>
      <group>L1_Format</group>
      <groupName>格式问题</groupName>
      <ability>L2_HalfPunc_CN</ability>
      <abilityName>全半角问题</abilityName>
      <candidateList>
        <item>（</item>
      </candidateList>
      <explain>文本全半角错误。</explain>
      <paraID>  B2E508</paraID>
      <start>6</start>
      <end>7</end>
      <status>unmodified</status>
      <modifiedWord/>
      <trackRevisions>false</trackRevisions>
    </reviewItem>
    <reviewItem>
      <errorID>dd98c0c5-eef7-454f-87f9-d4c8f57d9741</errorID>
      <errorWord>)</errorWord>
      <group>L1_Format</group>
      <groupName>格式问题</groupName>
      <ability>L2_HalfPunc_CN</ability>
      <abilityName>全半角问题</abilityName>
      <candidateList>
        <item>）</item>
      </candidateList>
      <explain>文本全半角错误。</explain>
      <paraID>  B2E508</paraID>
      <start>8</start>
      <end>9</end>
      <status>unmodified</status>
      <modifiedWord/>
      <trackRevisions>false</trackRevisions>
    </reviewItem>
    <reviewItem>
      <errorID>50fdc421-53ee-4949-86f4-062ed56e5875</errorID>
      <errorWord>(</errorWord>
      <group>L1_Format</group>
      <groupName>格式问题</groupName>
      <ability>L2_HalfPunc_CN</ability>
      <abilityName>全半角问题</abilityName>
      <candidateList>
        <item>（</item>
      </candidateList>
      <explain>文本全半角错误。</explain>
      <paraID>6A091582</paraID>
      <start>9</start>
      <end>10</end>
      <status>unmodified</status>
      <modifiedWord/>
      <trackRevisions>false</trackRevisions>
    </reviewItem>
    <reviewItem>
      <errorID>3c1a4749-c5d5-4c58-b657-a3bb7020e7f2</errorID>
      <errorWord>)</errorWord>
      <group>L1_Format</group>
      <groupName>格式问题</groupName>
      <ability>L2_HalfPunc_CN</ability>
      <abilityName>全半角问题</abilityName>
      <candidateList>
        <item>）</item>
      </candidateList>
      <explain>文本全半角错误。</explain>
      <paraID>6A091582</paraID>
      <start>15</start>
      <end>16</end>
      <status>unmodified</status>
      <modifiedWord/>
      <trackRevisions>false</trackRevisions>
    </reviewItem>
    <reviewItem>
      <errorID>b8b882be-c2ce-4f9f-a430-4b0ca606b270</errorID>
      <errorWord>)</errorWord>
      <group>L1_Format</group>
      <groupName>格式问题</groupName>
      <ability>L2_HalfPunc_CN</ability>
      <abilityName>全半角问题</abilityName>
      <candidateList>
        <item>）</item>
      </candidateList>
      <explain>文本全半角错误。</explain>
      <paraID>7A13FADA</paraID>
      <start>65</start>
      <end>66</end>
      <status>unmodified</status>
      <modifiedWord/>
      <trackRevisions>false</trackRevisions>
    </reviewItem>
    <reviewItem>
      <errorID>f50a2c1b-092e-4898-854a-47e5623684fd</errorID>
      <errorWord>II类</errorWord>
      <group>L1_Word</group>
      <groupName>字词问题</groupName>
      <ability>L2_Typo</ability>
      <abilityName>字词错误</abilityName>
      <candidateList>
        <item>Ⅱ类</item>
      </candidateList>
      <explain/>
      <paraID>302B20B6</paraID>
      <start>70</start>
      <end>73</end>
      <status>unmodified</status>
      <modifiedWord/>
      <trackRevisions>false</trackRevisions>
    </reviewItem>
    <reviewItem>
      <errorID>c9830ac6-04b0-47e7-963a-fa6482eaf78e</errorID>
      <errorWord>[2025]</errorWord>
      <group>L1_Punc</group>
      <groupName>标点问题</groupName>
      <ability>L2_Punc_CN</ability>
      <abilityName>标点符号问题</abilityName>
      <candidateList>
        <item>〔2025〕</item>
      </candidateList>
      <explain/>
      <paraID>302B20B6</paraID>
      <start>123</start>
      <end>129</end>
      <status>unmodified</status>
      <modifiedWord/>
      <trackRevisions>false</trackRevisions>
    </reviewItem>
    <reviewItem>
      <errorID>9026fe82-a15f-4ad4-9c92-be1dd7d828f5</errorID>
      <errorWord>交有</errorWord>
      <group>L1_Word</group>
      <groupName>字词问题</groupName>
      <ability>L2_Typo</ability>
      <abilityName>字词错误</abilityName>
      <candidateList>
        <item>交由</item>
      </candidateList>
      <explain>存在发音相同字词的误用。</explain>
      <paraID>141DFB4C</paraID>
      <start>88</start>
      <end>90</end>
      <status>unmodified</status>
      <modifiedWord/>
      <trackRevisions>false</trackRevisions>
    </reviewItem>
    <reviewItem>
      <errorID>4ea16433-540f-44af-9ff5-33d985c01a38</errorID>
      <errorWord>（</errorWord>
      <group>L1_Format</group>
      <groupName>格式问题</groupName>
      <ability>L2_HalfPunc_CN</ability>
      <abilityName>全半角问题</abilityName>
      <candidateList>
        <item>(</item>
      </candidateList>
      <explain>文本全半角错误。</explain>
      <paraID>6BD8D516</paraID>
      <start>8</start>
      <end>9</end>
      <status>unmodified</status>
      <modifiedWord/>
      <trackRevisions>false</trackRevisions>
    </reviewItem>
    <reviewItem>
      <errorID>e9a719bb-6b4a-4ece-96c1-f5e2e39f933f</errorID>
      <errorWord>）</errorWord>
      <group>L1_Format</group>
      <groupName>格式问题</groupName>
      <ability>L2_HalfPunc_CN</ability>
      <abilityName>全半角问题</abilityName>
      <candidateList>
        <item>)</item>
      </candidateList>
      <explain>文本全半角错误。</explain>
      <paraID>6BD8D516</paraID>
      <start>10</start>
      <end>11</end>
      <status>unmodified</status>
      <modifiedWord/>
      <trackRevisions>false</trackRevisions>
    </reviewItem>
    <reviewItem>
      <errorID>c53ef24b-8f57-420a-8c31-2675b5231e71</errorID>
      <errorWord>（</errorWord>
      <group>L1_Format</group>
      <groupName>格式问题</groupName>
      <ability>L2_HalfPunc_CN</ability>
      <abilityName>全半角问题</abilityName>
      <candidateList>
        <item>(</item>
      </candidateList>
      <explain>文本全半角错误。</explain>
      <paraID> 915C57F</paraID>
      <start>7</start>
      <end>8</end>
      <status>unmodified</status>
      <modifiedWord/>
      <trackRevisions>false</trackRevisions>
    </reviewItem>
    <reviewItem>
      <errorID>76a064fb-91b2-4b8c-a926-5793dea50132</errorID>
      <errorWord>）</errorWord>
      <group>L1_Format</group>
      <groupName>格式问题</groupName>
      <ability>L2_HalfPunc_CN</ability>
      <abilityName>全半角问题</abilityName>
      <candidateList>
        <item>)</item>
      </candidateList>
      <explain>文本全半角错误。</explain>
      <paraID> 915C57F</paraID>
      <start>9</start>
      <end>10</end>
      <status>unmodified</status>
      <modifiedWord/>
      <trackRevisions>false</trackRevisions>
    </reviewItem>
    <reviewItem>
      <errorID>c7e1cac3-2848-42b4-9df1-d769a859b1ae</errorID>
      <errorWord>'</errorWord>
      <group>L1_Format</group>
      <groupName>格式问题</groupName>
      <ability>L2_HalfPunc_CN</ability>
      <abilityName>全半角问题</abilityName>
      <candidateList/>
      <explain>文本全半角错误。</explain>
      <paraID>2FA735AF</paraID>
      <start>37</start>
      <end>38</end>
      <status>unmodified</status>
      <modifiedWord/>
      <trackRevisions>false</trackRevisions>
    </reviewItem>
    <reviewItem>
      <errorID>f08909e2-40cf-4f6b-a73d-e5d7fe997e44</errorID>
      <errorWord>'</errorWord>
      <group>L1_Format</group>
      <groupName>格式问题</groupName>
      <ability>L2_HalfPunc_CN</ability>
      <abilityName>全半角问题</abilityName>
      <candidateList/>
      <explain>文本全半角错误。</explain>
      <paraID>2FA735AF</paraID>
      <start>55</start>
      <end>56</end>
      <status>unmodified</status>
      <modifiedWord/>
      <trackRevisions>false</trackRevisions>
    </reviewItem>
    <reviewItem>
      <errorID>d5802b95-e3ec-40da-9b68-fd9038de2474</errorID>
      <errorWord>其它</errorWord>
      <group>L1_Word</group>
      <groupName>字词问题</groupName>
      <ability>L2_Alias</ability>
      <abilityName>也作/曾用词</abilityName>
      <candidateList>
        <item>其他</item>
      </candidateList>
      <explain>词汇[其它]为不规范表述或旧称，其规范书面表述为[其他]。</explain>
      <paraID>3CC3571C</paraID>
      <start>320</start>
      <end>322</end>
      <status>modified</status>
      <modifiedWord>其他</modifiedWord>
      <trackRevisions>false</trackRevisions>
    </reviewItem>
    <reviewItem>
      <errorID>ecce8d5d-2b60-4ed9-a1f3-a52f9453d9a1</errorID>
      <errorWord>樑</errorWord>
      <group>L1_Word</group>
      <groupName>字词问题</groupName>
      <ability>L2_Fanti</ability>
      <abilityName>繁转简</abilityName>
      <candidateList>
        <item>梁</item>
      </candidateList>
      <explain/>
      <paraID> 89C5BC6</paraID>
      <start>24</start>
      <end>25</end>
      <status>unmodified</status>
      <modifiedWord/>
      <trackRevisions>false</trackRevisions>
    </reviewItem>
    <reviewItem>
      <errorID>3547eeb0-5983-4390-beae-3748c2d54d97</errorID>
      <errorWord>~</errorWord>
      <group>L1_Format</group>
      <groupName>格式问题</groupName>
      <ability>L2_HalfPunc_CN</ability>
      <abilityName>全半角问题</abilityName>
      <candidateList>
        <item>～</item>
      </candidateList>
      <explain>文本全半角错误。</explain>
      <paraID> 89C5BC6</paraID>
      <start>33</start>
      <end>34</end>
      <status>unmodified</status>
      <modifiedWord/>
      <trackRevisions>false</trackRevisions>
    </reviewItem>
    <reviewItem>
      <errorID>bb02f658-6c05-4ee0-95ff-b73f725d93d2</errorID>
      <errorWord>际间</errorWord>
      <group>L1_Word</group>
      <groupName>字词问题</groupName>
      <ability>L2_Typo</ability>
      <abilityName>字词错误</abilityName>
      <candidateList>
        <item>际</item>
      </candidateList>
      <explain/>
      <paraID>19F7AE78</paraID>
      <start>165</start>
      <end>167</end>
      <status>unmodified</status>
      <modifiedWord/>
      <trackRevisions>false</trackRevisions>
    </reviewItem>
    <reviewItem>
      <errorID>4fc5910b-db31-4a89-b4da-fe5dd3c413d4</errorID>
      <errorWord>~</errorWord>
      <group>L1_Format</group>
      <groupName>格式问题</groupName>
      <ability>L2_HalfPunc_CN</ability>
      <abilityName>全半角问题</abilityName>
      <candidateList>
        <item>～</item>
      </candidateList>
      <explain>文本全半角错误。</explain>
      <paraID>19F7AE78</paraID>
      <start>402</start>
      <end>403</end>
      <status>unmodified</status>
      <modifiedWord/>
      <trackRevisions>false</trackRevisions>
    </reviewItem>
    <reviewItem>
      <errorID>36ffa93e-dd20-4aed-813b-96a8cac1c3fd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70253107</paraID>
      <start>105</start>
      <end>106</end>
      <status>unmodified</status>
      <modifiedWord/>
      <trackRevisions>false</trackRevisions>
    </reviewItem>
    <reviewItem>
      <errorID>a1baec6b-01e3-469c-82ad-d46d37c670c1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70253107</paraID>
      <start>120</start>
      <end>121</end>
      <status>unmodified</status>
      <modifiedWord/>
      <trackRevisions>false</trackRevisions>
    </reviewItem>
    <reviewItem>
      <errorID>b7050e1f-f898-4a1f-bf9f-0b7db02647b7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70253107</paraID>
      <start>169</start>
      <end>170</end>
      <status>unmodified</status>
      <modifiedWord/>
      <trackRevisions>false</trackRevisions>
    </reviewItem>
    <reviewItem>
      <errorID>9422650d-168a-4d2a-97af-456a780c936f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70253107</paraID>
      <start>183</start>
      <end>184</end>
      <status>unmodified</status>
      <modifiedWord/>
      <trackRevisions>false</trackRevisions>
    </reviewItem>
    <reviewItem>
      <errorID>3f08d5f6-fe65-4555-beb5-2b91fb725207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70253107</paraID>
      <start>230</start>
      <end>231</end>
      <status>unmodified</status>
      <modifiedWord/>
      <trackRevisions>false</trackRevisions>
    </reviewItem>
    <reviewItem>
      <errorID>4d833cdf-d06e-4f0b-b711-0874dae2e0ff</errorID>
      <errorWord>可者</errorWord>
      <group>L1_Word</group>
      <groupName>字词问题</groupName>
      <ability>L2_Typo</ability>
      <abilityName>字词错误</abilityName>
      <candidateList>
        <item>可</item>
      </candidateList>
      <explain/>
      <paraID>70253107</paraID>
      <start>265</start>
      <end>267</end>
      <status>unmodified</status>
      <modifiedWord/>
      <trackRevisions>false</trackRevisions>
    </reviewItem>
    <reviewItem>
      <errorID>eb30100e-6cb5-409c-868b-5b4f6a095b67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70253107</paraID>
      <start>286</start>
      <end>287</end>
      <status>unmodified</status>
      <modifiedWord/>
      <trackRevisions>false</trackRevisions>
    </reviewItem>
    <reviewItem>
      <errorID>44757a61-7c6a-4007-8356-7ab5d99854bb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70253107</paraID>
      <start>296</start>
      <end>297</end>
      <status>unmodified</status>
      <modifiedWord/>
      <trackRevisions>false</trackRevisions>
    </reviewItem>
    <reviewItem>
      <errorID>f57f2dc4-3b7b-4954-88ca-9cc9b740a934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70253107</paraID>
      <start>308</start>
      <end>309</end>
      <status>unmodified</status>
      <modifiedWord/>
      <trackRevisions>false</trackRevisions>
    </reviewItem>
    <reviewItem>
      <errorID>b0c0c441-613c-4650-bbee-e6a374f1e192</errorID>
      <errorWord>-</errorWord>
      <group>L1_Format</group>
      <groupName>格式问题</groupName>
      <ability>L2_HalfPunc_CN</ability>
      <abilityName>全半角问题</abilityName>
      <candidateList>
        <item>－</item>
      </candidateList>
      <explain>文本全半角错误。</explain>
      <paraID>276E45E2</paraID>
      <start>47</start>
      <end>48</end>
      <status>unmodified</status>
      <modifiedWord/>
      <trackRevisions>false</trackRevisions>
    </reviewItem>
    <reviewItem>
      <errorID>94f4fb04-fc9b-489b-bada-465e18048d71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276E45E2</paraID>
      <start>61</start>
      <end>62</end>
      <status>unmodified</status>
      <modifiedWord/>
      <trackRevisions>false</trackRevisions>
    </reviewItem>
    <reviewItem>
      <errorID>f0414747-d770-49c1-8a42-b5e59d4bc16c</errorID>
      <errorWord>减小</errorWord>
      <group>L1_Word</group>
      <groupName>字词问题</groupName>
      <ability>L2_Typo</ability>
      <abilityName>字词错误</abilityName>
      <candidateList>
        <item>减少</item>
      </candidateList>
      <explain/>
      <paraID>276E45E2</paraID>
      <start>224</start>
      <end>226</end>
      <status>unmodified</status>
      <modifiedWord/>
      <trackRevisions>false</trackRevisions>
    </reviewItem>
    <reviewItem>
      <errorID>100fe13a-bc92-4168-a59e-e123a77422af</errorID>
      <errorWord>-</errorWord>
      <group>L1_Format</group>
      <groupName>格式问题</groupName>
      <ability>L2_HalfPunc_CN</ability>
      <abilityName>全半角问题</abilityName>
      <candidateList>
        <item>－</item>
      </candidateList>
      <explain>文本全半角错误。</explain>
      <paraID>276E45E2</paraID>
      <start>236</start>
      <end>237</end>
      <status>unmodified</status>
      <modifiedWord/>
      <trackRevisions>false</trackRevisions>
    </reviewItem>
    <reviewItem>
      <errorID>9a5f9005-1677-43fd-a4f4-9ea9c667bd8a</errorID>
      <errorWord>-</errorWord>
      <group>L1_Format</group>
      <groupName>格式问题</groupName>
      <ability>L2_HalfPunc_CN</ability>
      <abilityName>全半角问题</abilityName>
      <candidateList>
        <item>－</item>
      </candidateList>
      <explain>文本全半角错误。</explain>
      <paraID>276E45E2</paraID>
      <start>250</start>
      <end>251</end>
      <status>unmodified</status>
      <modifiedWord/>
      <trackRevisions>false</trackRevisions>
    </reviewItem>
    <reviewItem>
      <errorID>a528f88c-8766-4498-ad58-79bb9fc31e16</errorID>
      <errorWord>-</errorWord>
      <group>L1_Format</group>
      <groupName>格式问题</groupName>
      <ability>L2_HalfPunc_CN</ability>
      <abilityName>全半角问题</abilityName>
      <candidateList>
        <item>－</item>
      </candidateList>
      <explain>文本全半角错误。</explain>
      <paraID>276E45E2</paraID>
      <start>257</start>
      <end>258</end>
      <status>unmodified</status>
      <modifiedWord/>
      <trackRevisions>false</trackRevisions>
    </reviewItem>
    <reviewItem>
      <errorID>cfb647c1-232f-425f-b234-4ea41e962399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760EC28</paraID>
      <start>28</start>
      <end>29</end>
      <status>unmodified</status>
      <modifiedWord/>
      <trackRevisions>false</trackRevisions>
    </reviewItem>
    <reviewItem>
      <errorID>4cd2825b-c9c3-4497-b69d-93e521a7a287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760EC28</paraID>
      <start>39</start>
      <end>40</end>
      <status>unmodified</status>
      <modifiedWord/>
      <trackRevisions>false</trackRevisions>
    </reviewItem>
    <reviewItem>
      <errorID>1e1fbd1d-944e-4807-9c5c-52b240f03308</errorID>
      <errorWord>以</errorWord>
      <group>L1_Word</group>
      <groupName>字词问题</groupName>
      <ability>L2_Typo</ability>
      <abilityName>字词错误</abilityName>
      <candidateList>
        <item>已</item>
      </candidateList>
      <explain>存在发音相同字词的误用。</explain>
      <paraID>45F2E0AA</paraID>
      <start>25</start>
      <end>26</end>
      <status>unmodified</status>
      <modifiedWord/>
      <trackRevisions>false</trackRevisions>
    </reviewItem>
    <reviewItem>
      <errorID>104c9c16-af3b-47a4-ae89-d8748f8d7ba0</errorID>
      <errorWord>主要以农业及生活用水为主</errorWord>
      <group>L1_Grammar</group>
      <groupName>语法问题</groupName>
      <ability>L2_Grammar</ability>
      <abilityName>语法错误</abilityName>
      <candidateList>
        <item>以农业及生活用水为主</item>
      </candidateList>
      <explain>该表达中的“主要以农业及生活用水为主”存在语义重复。</explain>
      <paraID>11A1A3CA</paraID>
      <start>5</start>
      <end>17</end>
      <status>unmodified</status>
      <modifiedWord/>
      <trackRevisions>false</trackRevisions>
    </reviewItem>
    <reviewItem>
      <errorID>5c7cfffe-9b14-4a26-9388-cffdc4125f82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4107708E</paraID>
      <start>41</start>
      <end>42</end>
      <status>unmodified</status>
      <modifiedWord/>
      <trackRevisions>false</trackRevisions>
    </reviewItem>
    <reviewItem>
      <errorID>eca1a6c5-c458-4eef-9c32-54d5b0ca0e3a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24858D8C</paraID>
      <start>108</start>
      <end>109</end>
      <status>unmodified</status>
      <modifiedWord/>
      <trackRevisions>false</trackRevisions>
    </reviewItem>
    <reviewItem>
      <errorID>a9f91f1b-4c8d-4b67-a5c2-e099457283d9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24858D8C</paraID>
      <start>120</start>
      <end>121</end>
      <status>unmodified</status>
      <modifiedWord/>
      <trackRevisions>false</trackRevisions>
    </reviewItem>
    <reviewItem>
      <errorID>371e17b5-5cfc-4647-b0d2-fad7e247ffa1</errorID>
      <errorWord>,</errorWord>
      <group>L1_Format</group>
      <groupName>格式问题</groupName>
      <ability>L2_HalfPunc_CN</ability>
      <abilityName>全半角问题</abilityName>
      <candidateList>
        <item>，</item>
      </candidateList>
      <explain>文本全半角错误。</explain>
      <paraID>24858D8C</paraID>
      <start>124</start>
      <end>125</end>
      <status>unmodified</status>
      <modifiedWord/>
      <trackRevisions>false</trackRevisions>
    </reviewItem>
    <reviewItem>
      <errorID>b8aaeff1-0162-4c20-968d-86e47a3bd313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629B3D6C</paraID>
      <start>6</start>
      <end>7</end>
      <status>unmodified</status>
      <modifiedWord/>
      <trackRevisions>false</trackRevisions>
    </reviewItem>
    <reviewItem>
      <errorID>21d11aba-adee-416a-bc9a-fb23d9f7cece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629B3D6C</paraID>
      <start>15</start>
      <end>16</end>
      <status>unmodified</status>
      <modifiedWord/>
      <trackRevisions>false</trackRevisions>
    </reviewItem>
    <reviewItem>
      <errorID>88c888bb-fbe3-49f5-9628-2f123d18dc02</errorID>
      <errorWord>-</errorWord>
      <group>L1_Format</group>
      <groupName>格式问题</groupName>
      <ability>L2_HalfPunc_CN</ability>
      <abilityName>全半角问题</abilityName>
      <candidateList>
        <item>－</item>
      </candidateList>
      <explain>文本全半角错误。</explain>
      <paraID>417B8741</paraID>
      <start>1</start>
      <end>2</end>
      <status>unmodified</status>
      <modifiedWord/>
      <trackRevisions>false</trackRevisions>
    </reviewItem>
    <reviewItem>
      <errorID>2afab6de-b8aa-4daf-8dfa-b50fbb5b12dc</errorID>
      <errorWord>,</errorWord>
      <group>L1_Format</group>
      <groupName>格式问题</groupName>
      <ability>L2_HalfPunc_CN</ability>
      <abilityName>全半角问题</abilityName>
      <candidateList>
        <item>，</item>
      </candidateList>
      <explain>文本全半角错误。</explain>
      <paraID>505D0A2F</paraID>
      <start>28</start>
      <end>29</end>
      <status>unmodified</status>
      <modifiedWord/>
      <trackRevisions>false</trackRevisions>
    </reviewItem>
    <reviewItem>
      <errorID>55e090e1-dec5-478a-a1be-ebd1ec8a36f9</errorID>
      <errorWord>粘土</errorWord>
      <group>L1_Word</group>
      <groupName>字词问题</groupName>
      <ability>L2_Typo</ability>
      <abilityName>字词错误</abilityName>
      <candidateList>
        <item>黏土</item>
      </candidateList>
      <explain>存在发音相同字词的误用。</explain>
      <paraID>72CFCDF8</paraID>
      <start>44</start>
      <end>46</end>
      <status>unmodified</status>
      <modifiedWord/>
      <trackRevisions>false</trackRevisions>
    </reviewItem>
    <reviewItem>
      <errorID>c4f314b6-b051-43e6-a2dc-3ef97e408c7e</errorID>
      <errorWord>粘土</errorWord>
      <group>L1_Word</group>
      <groupName>字词问题</groupName>
      <ability>L2_Typo</ability>
      <abilityName>字词错误</abilityName>
      <candidateList>
        <item>黏土</item>
      </candidateList>
      <explain>存在发音相同字词的误用。</explain>
      <paraID>72CFCDF8</paraID>
      <start>151</start>
      <end>153</end>
      <status>unmodified</status>
      <modifiedWord/>
      <trackRevisions>false</trackRevisions>
    </reviewItem>
    <reviewItem>
      <errorID>4d79df01-092e-4d76-a7fa-257f12d2a2f6</errorID>
      <errorWord>含粘土矿物较多</errorWord>
      <group>L1_Word</group>
      <groupName>字词问题</groupName>
      <ability>L2_Alias</ability>
      <abilityName>也作/曾用词</abilityName>
      <candidateList>
        <item>含黏土矿物较多</item>
      </candidateList>
      <explain>词汇[含粘土矿物较多]为不规范表述或旧称，其规范书面表述为[含黏土矿物较多]。</explain>
      <paraID>72CFCDF8</paraID>
      <start>292</start>
      <end>299</end>
      <status>unmodified</status>
      <modifiedWord/>
      <trackRevisions>false</trackRevisions>
    </reviewItem>
    <reviewItem>
      <errorID>723ea0f4-e8d9-4b8b-8736-2ae6d78320bf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2C7A32E2</paraID>
      <start>47</start>
      <end>48</end>
      <status>unmodified</status>
      <modifiedWord/>
      <trackRevisions>false</trackRevisions>
    </reviewItem>
    <reviewItem>
      <errorID>3288fe10-79ba-44bd-9f3d-98c5c7d8e244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6091EE38</paraID>
      <start>30</start>
      <end>31</end>
      <status>unmodified</status>
      <modifiedWord/>
      <trackRevisions>false</trackRevisions>
    </reviewItem>
    <reviewItem>
      <errorID>2a8f34e6-8dc4-4a5e-b5cb-dd5cec4a1c2d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71A6F878</paraID>
      <start>42</start>
      <end>43</end>
      <status>unmodified</status>
      <modifiedWord/>
      <trackRevisions>false</trackRevisions>
    </reviewItem>
    <reviewItem>
      <errorID>294f566d-ffbe-4f39-9d42-1d63ed00968e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155E47A0</paraID>
      <start>41</start>
      <end>44</end>
      <status>unmodified</status>
      <modifiedWord/>
      <trackRevisions>false</trackRevisions>
    </reviewItem>
    <reviewItem>
      <errorID>90b9fe72-5a87-444a-8eaf-ad85955209c7</errorID>
      <errorWord>总</errorWord>
      <group>L1_Word</group>
      <groupName>字词问题</groupName>
      <ability>L2_Typo</ability>
      <abilityName>字词错误</abilityName>
      <candidateList>
        <item>中</item>
      </candidateList>
      <explain/>
      <paraID>1027C9D9</paraID>
      <start>5</start>
      <end>6</end>
      <status>unmodified</status>
      <modifiedWord/>
      <trackRevisions>false</trackRevisions>
    </reviewItem>
    <reviewItem>
      <errorID>0b45c4aa-121a-439e-82c0-295638d47c65</errorID>
      <errorWord>（</errorWord>
      <group>L1_Format</group>
      <groupName>格式问题</groupName>
      <ability>L2_HalfPunc_CN</ability>
      <abilityName>全半角问题</abilityName>
      <candidateList>
        <item>(</item>
      </candidateList>
      <explain>文本全半角错误。</explain>
      <paraID>5CFF2BD7</paraID>
      <start>12</start>
      <end>13</end>
      <status>unmodified</status>
      <modifiedWord/>
      <trackRevisions>false</trackRevisions>
    </reviewItem>
    <reviewItem>
      <errorID>514788bc-1e22-452f-91b0-fe84f170200f</errorID>
      <errorWord>）</errorWord>
      <group>L1_Format</group>
      <groupName>格式问题</groupName>
      <ability>L2_HalfPunc_CN</ability>
      <abilityName>全半角问题</abilityName>
      <candidateList>
        <item>)</item>
      </candidateList>
      <explain>文本全半角错误。</explain>
      <paraID>5CFF2BD7</paraID>
      <start>18</start>
      <end>19</end>
      <status>unmodified</status>
      <modifiedWord/>
      <trackRevisions>false</trackRevisions>
    </reviewItem>
    <reviewItem>
      <errorID>275b47f6-4f32-4128-871c-8f5907f73460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22AC1E9</paraID>
      <start>23</start>
      <end>24</end>
      <status>unmodified</status>
      <modifiedWord/>
      <trackRevisions>false</trackRevisions>
    </reviewItem>
    <reviewItem>
      <errorID>b1c9c644-5dd4-4c7f-9dac-09c3051d73d7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28ED8BA0</paraID>
      <start>15</start>
      <end>16</end>
      <status>unmodified</status>
      <modifiedWord/>
      <trackRevisions>false</trackRevisions>
    </reviewItem>
    <reviewItem>
      <errorID>2f6d0259-3e9b-4064-8303-9133adb7aa2d</errorID>
      <errorWord>(</errorWord>
      <group>L1_Format</group>
      <groupName>格式问题</groupName>
      <ability>L2_HalfPunc_CN</ability>
      <abilityName>全半角问题</abilityName>
      <candidateList>
        <item>（</item>
      </candidateList>
      <explain>文本全半角错误。</explain>
      <paraID>245672CE</paraID>
      <start>12</start>
      <end>13</end>
      <status>unmodified</status>
      <modifiedWord/>
      <trackRevisions>false</trackRevisions>
    </reviewItem>
    <reviewItem>
      <errorID>8a8a4bf5-6cf3-49e8-b2c4-891803ec73d0</errorID>
      <errorWord>)</errorWord>
      <group>L1_Format</group>
      <groupName>格式问题</groupName>
      <ability>L2_HalfPunc_CN</ability>
      <abilityName>全半角问题</abilityName>
      <candidateList>
        <item>）</item>
      </candidateList>
      <explain>文本全半角错误。</explain>
      <paraID>245672CE</paraID>
      <start>24</start>
      <end>25</end>
      <status>unmodified</status>
      <modifiedWord/>
      <trackRevisions>false</trackRevisions>
    </reviewItem>
    <reviewItem>
      <errorID>e4346737-c21a-4bf9-bf2b-1ae0a2af1190</errorID>
      <errorWord>)</errorWord>
      <group>L1_Format</group>
      <groupName>格式问题</groupName>
      <ability>L2_HalfPunc_CN</ability>
      <abilityName>全半角问题</abilityName>
      <candidateList>
        <item>）</item>
      </candidateList>
      <explain>文本全半角错误。</explain>
      <paraID>7E5BE233</paraID>
      <start>10</start>
      <end>11</end>
      <status>unmodified</status>
      <modifiedWord/>
      <trackRevisions>false</trackRevisions>
    </reviewItem>
    <reviewItem>
      <errorID>a65d9926-58aa-4bb5-8bcf-4506c527ba69</errorID>
      <errorWord>)</errorWord>
      <group>L1_Format</group>
      <groupName>格式问题</groupName>
      <ability>L2_HalfPunc_CN</ability>
      <abilityName>全半角问题</abilityName>
      <candidateList>
        <item>）</item>
      </candidateList>
      <explain>文本全半角错误。</explain>
      <paraID>2601B417</paraID>
      <start>10</start>
      <end>11</end>
      <status>unmodified</status>
      <modifiedWord/>
      <trackRevisions>false</trackRevisions>
    </reviewItem>
    <reviewItem>
      <errorID>70cb9758-aea0-4c99-8610-120ab9552231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55449C06</paraID>
      <start>292</start>
      <end>293</end>
      <status>unmodified</status>
      <modifiedWord/>
      <trackRevisions>false</trackRevisions>
    </reviewItem>
    <reviewItem>
      <errorID>bcd893b7-a9b9-449f-8247-0f6f9011010c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4C210076</paraID>
      <start>16</start>
      <end>19</end>
      <status>unmodified</status>
      <modifiedWord/>
      <trackRevisions>false</trackRevisions>
    </reviewItem>
    <reviewItem>
      <errorID>aeea4076-905b-4abb-b3ff-2ff3010507a0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4C210076</paraID>
      <start>29</start>
      <end>32</end>
      <status>unmodified</status>
      <modifiedWord/>
      <trackRevisions>false</trackRevisions>
    </reviewItem>
    <reviewItem>
      <errorID>09e9678f-f2ed-49cf-901d-5c5ae68b1fd9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4C210076</paraID>
      <start>57</start>
      <end>60</end>
      <status>unmodified</status>
      <modifiedWord/>
      <trackRevisions>false</trackRevisions>
    </reviewItem>
    <reviewItem>
      <errorID>be71433f-eb1d-4b88-9057-bbba4b300073</errorID>
      <errorWord>,</errorWord>
      <group>L1_Format</group>
      <groupName>格式问题</groupName>
      <ability>L2_HalfPunc_CN</ability>
      <abilityName>全半角问题</abilityName>
      <candidateList>
        <item>，</item>
      </candidateList>
      <explain>文本全半角错误。</explain>
      <paraID>166E5F01</paraID>
      <start>1</start>
      <end>2</end>
      <status>unmodified</status>
      <modifiedWord/>
      <trackRevisions>false</trackRevisions>
    </reviewItem>
    <reviewItem>
      <errorID>23a7f543-a033-49f6-8cef-46493a2944dd</errorID>
      <errorWord>(</errorWord>
      <group>L1_Format</group>
      <groupName>格式问题</groupName>
      <ability>L2_HalfPunc_CN</ability>
      <abilityName>全半角问题</abilityName>
      <candidateList>
        <item>（</item>
      </candidateList>
      <explain>文本全半角错误。</explain>
      <paraID>74A8444F</paraID>
      <start>39</start>
      <end>40</end>
      <status>unmodified</status>
      <modifiedWord/>
      <trackRevisions>false</trackRevisions>
    </reviewItem>
    <reviewItem>
      <errorID>42640645-e27e-4856-b2cc-2622073b1e34</errorID>
      <errorWord>)</errorWord>
      <group>L1_Format</group>
      <groupName>格式问题</groupName>
      <ability>L2_HalfPunc_CN</ability>
      <abilityName>全半角问题</abilityName>
      <candidateList>
        <item>）</item>
      </candidateList>
      <explain>文本全半角错误。</explain>
      <paraID>74A8444F</paraID>
      <start>42</start>
      <end>43</end>
      <status>unmodified</status>
      <modifiedWord/>
      <trackRevisions>false</trackRevisions>
    </reviewItem>
    <reviewItem>
      <errorID>aec0ea24-1746-40b9-b109-964439612814</errorID>
      <errorWord>-</errorWord>
      <group>L1_Format</group>
      <groupName>格式问题</groupName>
      <ability>L2_HalfPunc_CN</ability>
      <abilityName>全半角问题</abilityName>
      <candidateList>
        <item>－</item>
      </candidateList>
      <explain>文本全半角错误。</explain>
      <paraID>611113A5</paraID>
      <start>1</start>
      <end>2</end>
      <status>unmodified</status>
      <modifiedWord/>
      <trackRevisions>false</trackRevisions>
    </reviewItem>
    <reviewItem>
      <errorID>4c5bcf69-5892-4efe-bf8d-0e27209e9339</errorID>
      <errorWord>重碳酸盐</errorWord>
      <group>L1_Knowledge</group>
      <groupName>知识性问题</groupName>
      <ability>L2_Term</ability>
      <abilityName>专业术语</abilityName>
      <candidateList>
        <item>碳酸氢盐</item>
      </candidateList>
      <explain>医学名词[重碳酸盐]为不规范表述或旧称，其规范书面表述为[碳酸氢盐]。</explain>
      <paraID>481553BD</paraID>
      <start>0</start>
      <end>4</end>
      <status>unmodified</status>
      <modifiedWord/>
      <trackRevisions>false</trackRevisions>
    </reviewItem>
    <reviewItem>
      <errorID>2cf2848f-4a38-460d-86ff-a3a0418c14ab</errorID>
      <errorWord>（</errorWord>
      <group>L1_Format</group>
      <groupName>格式问题</groupName>
      <ability>L2_HalfPunc_CN</ability>
      <abilityName>全半角问题</abilityName>
      <candidateList>
        <item>(</item>
      </candidateList>
      <explain>文本全半角错误。</explain>
      <paraID>478627DC</paraID>
      <start>5</start>
      <end>6</end>
      <status>unmodified</status>
      <modifiedWord/>
      <trackRevisions>false</trackRevisions>
    </reviewItem>
    <reviewItem>
      <errorID>cbe64a21-fec3-4a5d-a5bb-b0f83bb61580</errorID>
      <errorWord>）</errorWord>
      <group>L1_Format</group>
      <groupName>格式问题</groupName>
      <ability>L2_HalfPunc_CN</ability>
      <abilityName>全半角问题</abilityName>
      <candidateList>
        <item>)</item>
      </candidateList>
      <explain>文本全半角错误。</explain>
      <paraID>478627DC</paraID>
      <start>7</start>
      <end>8</end>
      <status>unmodified</status>
      <modifiedWord/>
      <trackRevisions>false</trackRevisions>
    </reviewItem>
    <reviewItem>
      <errorID>a3f51879-b0df-4d68-9759-fe5f0c8c4550</errorID>
      <errorWord>（</errorWord>
      <group>L1_Format</group>
      <groupName>格式问题</groupName>
      <ability>L2_HalfPunc_CN</ability>
      <abilityName>全半角问题</abilityName>
      <candidateList>
        <item>(</item>
      </candidateList>
      <explain>文本全半角错误。</explain>
      <paraID>  B40C80</paraID>
      <start>5</start>
      <end>6</end>
      <status>unmodified</status>
      <modifiedWord/>
      <trackRevisions>false</trackRevisions>
    </reviewItem>
    <reviewItem>
      <errorID>d61aab57-5112-4eb9-a516-cd9070cbac41</errorID>
      <errorWord>）</errorWord>
      <group>L1_Format</group>
      <groupName>格式问题</groupName>
      <ability>L2_HalfPunc_CN</ability>
      <abilityName>全半角问题</abilityName>
      <candidateList>
        <item>)</item>
      </candidateList>
      <explain>文本全半角错误。</explain>
      <paraID>  B40C80</paraID>
      <start>7</start>
      <end>8</end>
      <status>unmodified</status>
      <modifiedWord/>
      <trackRevisions>false</trackRevisions>
    </reviewItem>
    <reviewItem>
      <errorID>f1cf763c-7f14-44be-9486-763715bf8e2c</errorID>
      <errorWord>（</errorWord>
      <group>L1_Format</group>
      <groupName>格式问题</groupName>
      <ability>L2_HalfPunc_CN</ability>
      <abilityName>全半角问题</abilityName>
      <candidateList>
        <item>(</item>
      </candidateList>
      <explain>文本全半角错误。</explain>
      <paraID>1F01D606</paraID>
      <start>5</start>
      <end>6</end>
      <status>unmodified</status>
      <modifiedWord/>
      <trackRevisions>false</trackRevisions>
    </reviewItem>
    <reviewItem>
      <errorID>ddc8aa8f-218c-4a1b-babd-cfd5fabd1e1a</errorID>
      <errorWord>）</errorWord>
      <group>L1_Format</group>
      <groupName>格式问题</groupName>
      <ability>L2_HalfPunc_CN</ability>
      <abilityName>全半角问题</abilityName>
      <candidateList>
        <item>)</item>
      </candidateList>
      <explain>文本全半角错误。</explain>
      <paraID>1F01D606</paraID>
      <start>7</start>
      <end>8</end>
      <status>unmodified</status>
      <modifiedWord/>
      <trackRevisions>false</trackRevisions>
    </reviewItem>
    <reviewItem>
      <errorID>697eb60a-c6d9-424b-b529-88b644ec4407</errorID>
      <errorWord>（</errorWord>
      <group>L1_Format</group>
      <groupName>格式问题</groupName>
      <ability>L2_HalfPunc_CN</ability>
      <abilityName>全半角问题</abilityName>
      <candidateList>
        <item>(</item>
      </candidateList>
      <explain>文本全半角错误。</explain>
      <paraID>7EE47B9A</paraID>
      <start>6</start>
      <end>7</end>
      <status>unmodified</status>
      <modifiedWord/>
      <trackRevisions>false</trackRevisions>
    </reviewItem>
    <reviewItem>
      <errorID>f12ee4ca-c301-48f5-89f4-40f84a8ebb14</errorID>
      <errorWord>）</errorWord>
      <group>L1_Format</group>
      <groupName>格式问题</groupName>
      <ability>L2_HalfPunc_CN</ability>
      <abilityName>全半角问题</abilityName>
      <candidateList>
        <item>)</item>
      </candidateList>
      <explain>文本全半角错误。</explain>
      <paraID>7EE47B9A</paraID>
      <start>8</start>
      <end>9</end>
      <status>unmodified</status>
      <modifiedWord/>
      <trackRevisions>false</trackRevisions>
    </reviewItem>
    <reviewItem>
      <errorID>5260bd31-99fb-4bd0-bf8d-343ca57e33da</errorID>
      <errorWord>（</errorWord>
      <group>L1_Format</group>
      <groupName>格式问题</groupName>
      <ability>L2_HalfPunc_CN</ability>
      <abilityName>全半角问题</abilityName>
      <candidateList>
        <item>(</item>
      </candidateList>
      <explain>文本全半角错误。</explain>
      <paraID>1E66BF41</paraID>
      <start>6</start>
      <end>7</end>
      <status>unmodified</status>
      <modifiedWord/>
      <trackRevisions>false</trackRevisions>
    </reviewItem>
    <reviewItem>
      <errorID>cf500a7b-dacc-4d0f-a43c-bcaae2aa144a</errorID>
      <errorWord>）</errorWord>
      <group>L1_Format</group>
      <groupName>格式问题</groupName>
      <ability>L2_HalfPunc_CN</ability>
      <abilityName>全半角问题</abilityName>
      <candidateList>
        <item>)</item>
      </candidateList>
      <explain>文本全半角错误。</explain>
      <paraID>1E66BF41</paraID>
      <start>8</start>
      <end>9</end>
      <status>unmodified</status>
      <modifiedWord/>
      <trackRevisions>false</trackRevisions>
    </reviewItem>
    <reviewItem>
      <errorID>22fc5171-2f8c-4637-963d-bbf788726dc3</errorID>
      <errorWord>（</errorWord>
      <group>L1_Format</group>
      <groupName>格式问题</groupName>
      <ability>L2_HalfPunc_CN</ability>
      <abilityName>全半角问题</abilityName>
      <candidateList>
        <item>(</item>
      </candidateList>
      <explain>文本全半角错误。</explain>
      <paraID>66C3E146</paraID>
      <start>6</start>
      <end>7</end>
      <status>unmodified</status>
      <modifiedWord/>
      <trackRevisions>false</trackRevisions>
    </reviewItem>
    <reviewItem>
      <errorID>161f8184-74b9-485a-87a9-d9c8cb0f46bd</errorID>
      <errorWord>）</errorWord>
      <group>L1_Format</group>
      <groupName>格式问题</groupName>
      <ability>L2_HalfPunc_CN</ability>
      <abilityName>全半角问题</abilityName>
      <candidateList>
        <item>)</item>
      </candidateList>
      <explain>文本全半角错误。</explain>
      <paraID>66C3E146</paraID>
      <start>8</start>
      <end>9</end>
      <status>unmodified</status>
      <modifiedWord/>
      <trackRevisions>false</trackRevisions>
    </reviewItem>
    <reviewItem>
      <errorID>a2804f13-371c-4a46-970d-59d9dda9f148</errorID>
      <errorWord>（</errorWord>
      <group>L1_Format</group>
      <groupName>格式问题</groupName>
      <ability>L2_HalfPunc_CN</ability>
      <abilityName>全半角问题</abilityName>
      <candidateList>
        <item>(</item>
      </candidateList>
      <explain>文本全半角错误。</explain>
      <paraID> 3A63145</paraID>
      <start>6</start>
      <end>7</end>
      <status>unmodified</status>
      <modifiedWord/>
      <trackRevisions>false</trackRevisions>
    </reviewItem>
    <reviewItem>
      <errorID>34c2a12b-08f6-4ace-83a2-d8c1762bd7c0</errorID>
      <errorWord>）</errorWord>
      <group>L1_Format</group>
      <groupName>格式问题</groupName>
      <ability>L2_HalfPunc_CN</ability>
      <abilityName>全半角问题</abilityName>
      <candidateList>
        <item>)</item>
      </candidateList>
      <explain>文本全半角错误。</explain>
      <paraID> 3A63145</paraID>
      <start>8</start>
      <end>9</end>
      <status>unmodified</status>
      <modifiedWord/>
      <trackRevisions>false</trackRevisions>
    </reviewItem>
    <reviewItem>
      <errorID>22f2462d-6674-47d7-b945-af94214deb1c</errorID>
      <errorWord>（</errorWord>
      <group>L1_Format</group>
      <groupName>格式问题</groupName>
      <ability>L2_HalfPunc_CN</ability>
      <abilityName>全半角问题</abilityName>
      <candidateList>
        <item>(</item>
      </candidateList>
      <explain>文本全半角错误。</explain>
      <paraID>19BCDAB1</paraID>
      <start>6</start>
      <end>7</end>
      <status>unmodified</status>
      <modifiedWord/>
      <trackRevisions>false</trackRevisions>
    </reviewItem>
    <reviewItem>
      <errorID>a88c5319-0b60-46e4-bdc7-8b0b8144bd17</errorID>
      <errorWord>）</errorWord>
      <group>L1_Format</group>
      <groupName>格式问题</groupName>
      <ability>L2_HalfPunc_CN</ability>
      <abilityName>全半角问题</abilityName>
      <candidateList>
        <item>)</item>
      </candidateList>
      <explain>文本全半角错误。</explain>
      <paraID>19BCDAB1</paraID>
      <start>8</start>
      <end>9</end>
      <status>unmodified</status>
      <modifiedWord/>
      <trackRevisions>false</trackRevisions>
    </reviewItem>
    <reviewItem>
      <errorID>4075d178-3f16-4224-92d3-84c3ef406cc9</errorID>
      <errorWord>（</errorWord>
      <group>L1_Format</group>
      <groupName>格式问题</groupName>
      <ability>L2_HalfPunc_CN</ability>
      <abilityName>全半角问题</abilityName>
      <candidateList>
        <item>(</item>
      </candidateList>
      <explain>文本全半角错误。</explain>
      <paraID>7A00F8A5</paraID>
      <start>5</start>
      <end>6</end>
      <status>unmodified</status>
      <modifiedWord/>
      <trackRevisions>false</trackRevisions>
    </reviewItem>
    <reviewItem>
      <errorID>a1e6eb04-6052-46d8-88b4-93d90419274c</errorID>
      <errorWord>）</errorWord>
      <group>L1_Format</group>
      <groupName>格式问题</groupName>
      <ability>L2_HalfPunc_CN</ability>
      <abilityName>全半角问题</abilityName>
      <candidateList>
        <item>)</item>
      </candidateList>
      <explain>文本全半角错误。</explain>
      <paraID>7A00F8A5</paraID>
      <start>7</start>
      <end>8</end>
      <status>unmodified</status>
      <modifiedWord/>
      <trackRevisions>false</trackRevisions>
    </reviewItem>
    <reviewItem>
      <errorID>1a9fb5d7-a9cc-467d-ae93-bcc2d98d102c</errorID>
      <errorWord>（</errorWord>
      <group>L1_Format</group>
      <groupName>格式问题</groupName>
      <ability>L2_HalfPunc_CN</ability>
      <abilityName>全半角问题</abilityName>
      <candidateList>
        <item>(</item>
      </candidateList>
      <explain>文本全半角错误。</explain>
      <paraID>124FDB96</paraID>
      <start>5</start>
      <end>6</end>
      <status>unmodified</status>
      <modifiedWord/>
      <trackRevisions>false</trackRevisions>
    </reviewItem>
    <reviewItem>
      <errorID>193aadbd-4e56-411d-88b0-854eccb5b7a3</errorID>
      <errorWord>）</errorWord>
      <group>L1_Format</group>
      <groupName>格式问题</groupName>
      <ability>L2_HalfPunc_CN</ability>
      <abilityName>全半角问题</abilityName>
      <candidateList>
        <item>)</item>
      </candidateList>
      <explain>文本全半角错误。</explain>
      <paraID>124FDB96</paraID>
      <start>7</start>
      <end>8</end>
      <status>unmodified</status>
      <modifiedWord/>
      <trackRevisions>false</trackRevisions>
    </reviewItem>
    <reviewItem>
      <errorID>07d62bc6-f5c8-498e-9d52-5a3a775c22ea</errorID>
      <errorWord>（</errorWord>
      <group>L1_Format</group>
      <groupName>格式问题</groupName>
      <ability>L2_HalfPunc_CN</ability>
      <abilityName>全半角问题</abilityName>
      <candidateList>
        <item>(</item>
      </candidateList>
      <explain>文本全半角错误。</explain>
      <paraID>1CA7D6E5</paraID>
      <start>5</start>
      <end>6</end>
      <status>unmodified</status>
      <modifiedWord/>
      <trackRevisions>false</trackRevisions>
    </reviewItem>
    <reviewItem>
      <errorID>3d4fc10f-e54b-4930-860b-b3113241c406</errorID>
      <errorWord>）</errorWord>
      <group>L1_Format</group>
      <groupName>格式问题</groupName>
      <ability>L2_HalfPunc_CN</ability>
      <abilityName>全半角问题</abilityName>
      <candidateList>
        <item>)</item>
      </candidateList>
      <explain>文本全半角错误。</explain>
      <paraID>1CA7D6E5</paraID>
      <start>7</start>
      <end>8</end>
      <status>unmodified</status>
      <modifiedWord/>
      <trackRevisions>false</trackRevisions>
    </reviewItem>
    <reviewItem>
      <errorID>448d223d-3fa8-4ccf-b789-d80e8816b7f7</errorID>
      <errorWord>（</errorWord>
      <group>L1_Format</group>
      <groupName>格式问题</groupName>
      <ability>L2_HalfPunc_CN</ability>
      <abilityName>全半角问题</abilityName>
      <candidateList>
        <item>(</item>
      </candidateList>
      <explain>文本全半角错误。</explain>
      <paraID>6DEBDB04</paraID>
      <start>5</start>
      <end>6</end>
      <status>unmodified</status>
      <modifiedWord/>
      <trackRevisions>false</trackRevisions>
    </reviewItem>
    <reviewItem>
      <errorID>1da585b3-4aa8-49f6-ad37-9d0aef3c5a2c</errorID>
      <errorWord>）</errorWord>
      <group>L1_Format</group>
      <groupName>格式问题</groupName>
      <ability>L2_HalfPunc_CN</ability>
      <abilityName>全半角问题</abilityName>
      <candidateList>
        <item>)</item>
      </candidateList>
      <explain>文本全半角错误。</explain>
      <paraID>6DEBDB04</paraID>
      <start>7</start>
      <end>8</end>
      <status>unmodified</status>
      <modifiedWord/>
      <trackRevisions>false</trackRevisions>
    </reviewItem>
    <reviewItem>
      <errorID>2e09acbd-60f7-4605-829b-23aa9d2afefb</errorID>
      <errorWord>（</errorWord>
      <group>L1_Format</group>
      <groupName>格式问题</groupName>
      <ability>L2_HalfPunc_CN</ability>
      <abilityName>全半角问题</abilityName>
      <candidateList>
        <item>(</item>
      </candidateList>
      <explain>文本全半角错误。</explain>
      <paraID> C3E21C4</paraID>
      <start>5</start>
      <end>6</end>
      <status>unmodified</status>
      <modifiedWord/>
      <trackRevisions>false</trackRevisions>
    </reviewItem>
    <reviewItem>
      <errorID>474dc086-9e51-4743-8f8c-91e6945f6386</errorID>
      <errorWord>）</errorWord>
      <group>L1_Format</group>
      <groupName>格式问题</groupName>
      <ability>L2_HalfPunc_CN</ability>
      <abilityName>全半角问题</abilityName>
      <candidateList>
        <item>)</item>
      </candidateList>
      <explain>文本全半角错误。</explain>
      <paraID> C3E21C4</paraID>
      <start>7</start>
      <end>8</end>
      <status>unmodified</status>
      <modifiedWord/>
      <trackRevisions>false</trackRevisions>
    </reviewItem>
    <reviewItem>
      <errorID>7819083b-d24d-4a52-aed4-390387ebe90c</errorID>
      <errorWord>（</errorWord>
      <group>L1_Format</group>
      <groupName>格式问题</groupName>
      <ability>L2_HalfPunc_CN</ability>
      <abilityName>全半角问题</abilityName>
      <candidateList>
        <item>(</item>
      </candidateList>
      <explain>文本全半角错误。</explain>
      <paraID>24D3C484</paraID>
      <start>5</start>
      <end>6</end>
      <status>unmodified</status>
      <modifiedWord/>
      <trackRevisions>false</trackRevisions>
    </reviewItem>
    <reviewItem>
      <errorID>e8f353a6-4edb-419e-8f80-7888dcfa2b13</errorID>
      <errorWord>）</errorWord>
      <group>L1_Format</group>
      <groupName>格式问题</groupName>
      <ability>L2_HalfPunc_CN</ability>
      <abilityName>全半角问题</abilityName>
      <candidateList>
        <item>)</item>
      </candidateList>
      <explain>文本全半角错误。</explain>
      <paraID>24D3C484</paraID>
      <start>7</start>
      <end>8</end>
      <status>unmodified</status>
      <modifiedWord/>
      <trackRevisions>false</trackRevisions>
    </reviewItem>
    <reviewItem>
      <errorID>d2d1f665-04d7-44df-8d11-437d7cbbe224</errorID>
      <errorWord>（</errorWord>
      <group>L1_Format</group>
      <groupName>格式问题</groupName>
      <ability>L2_HalfPunc_CN</ability>
      <abilityName>全半角问题</abilityName>
      <candidateList>
        <item>(</item>
      </candidateList>
      <explain>文本全半角错误。</explain>
      <paraID>6B26B56C</paraID>
      <start>5</start>
      <end>6</end>
      <status>unmodified</status>
      <modifiedWord/>
      <trackRevisions>false</trackRevisions>
    </reviewItem>
    <reviewItem>
      <errorID>cd5b4629-4b00-490a-bd7a-800831be1d51</errorID>
      <errorWord>）</errorWord>
      <group>L1_Format</group>
      <groupName>格式问题</groupName>
      <ability>L2_HalfPunc_CN</ability>
      <abilityName>全半角问题</abilityName>
      <candidateList>
        <item>)</item>
      </candidateList>
      <explain>文本全半角错误。</explain>
      <paraID>6B26B56C</paraID>
      <start>7</start>
      <end>8</end>
      <status>unmodified</status>
      <modifiedWord/>
      <trackRevisions>false</trackRevisions>
    </reviewItem>
    <reviewItem>
      <errorID>3d797767-f223-4b2d-a01f-e0cbc351cdf4</errorID>
      <errorWord>（</errorWord>
      <group>L1_Format</group>
      <groupName>格式问题</groupName>
      <ability>L2_HalfPunc_CN</ability>
      <abilityName>全半角问题</abilityName>
      <candidateList>
        <item>(</item>
      </candidateList>
      <explain>文本全半角错误。</explain>
      <paraID>470AD649</paraID>
      <start>5</start>
      <end>6</end>
      <status>unmodified</status>
      <modifiedWord/>
      <trackRevisions>false</trackRevisions>
    </reviewItem>
    <reviewItem>
      <errorID>518b4b31-9150-4243-8dab-41cab8cca9ee</errorID>
      <errorWord>）</errorWord>
      <group>L1_Format</group>
      <groupName>格式问题</groupName>
      <ability>L2_HalfPunc_CN</ability>
      <abilityName>全半角问题</abilityName>
      <candidateList>
        <item>)</item>
      </candidateList>
      <explain>文本全半角错误。</explain>
      <paraID>470AD649</paraID>
      <start>7</start>
      <end>8</end>
      <status>unmodified</status>
      <modifiedWord/>
      <trackRevisions>false</trackRevisions>
    </reviewItem>
    <reviewItem>
      <errorID>aa5269d8-2b9d-4611-aa2f-153d432280bc</errorID>
      <errorWord>（</errorWord>
      <group>L1_Format</group>
      <groupName>格式问题</groupName>
      <ability>L2_HalfPunc_CN</ability>
      <abilityName>全半角问题</abilityName>
      <candidateList>
        <item>(</item>
      </candidateList>
      <explain>文本全半角错误。</explain>
      <paraID> 5CB97A6</paraID>
      <start>5</start>
      <end>6</end>
      <status>unmodified</status>
      <modifiedWord/>
      <trackRevisions>false</trackRevisions>
    </reviewItem>
    <reviewItem>
      <errorID>e8d60729-bb4c-4ffa-9d0b-888dda3e295e</errorID>
      <errorWord>）</errorWord>
      <group>L1_Format</group>
      <groupName>格式问题</groupName>
      <ability>L2_HalfPunc_CN</ability>
      <abilityName>全半角问题</abilityName>
      <candidateList>
        <item>)</item>
      </candidateList>
      <explain>文本全半角错误。</explain>
      <paraID> 5CB97A6</paraID>
      <start>7</start>
      <end>8</end>
      <status>unmodified</status>
      <modifiedWord/>
      <trackRevisions>false</trackRevisions>
    </reviewItem>
    <reviewItem>
      <errorID>1282c3e4-1ab0-4128-a009-32f87d041165</errorID>
      <errorWord>（</errorWord>
      <group>L1_Format</group>
      <groupName>格式问题</groupName>
      <ability>L2_HalfPunc_CN</ability>
      <abilityName>全半角问题</abilityName>
      <candidateList>
        <item>(</item>
      </candidateList>
      <explain>文本全半角错误。</explain>
      <paraID>6E8568B5</paraID>
      <start>5</start>
      <end>6</end>
      <status>unmodified</status>
      <modifiedWord/>
      <trackRevisions>false</trackRevisions>
    </reviewItem>
    <reviewItem>
      <errorID>f2f4d596-6668-4317-b473-37e71835915c</errorID>
      <errorWord>）</errorWord>
      <group>L1_Format</group>
      <groupName>格式问题</groupName>
      <ability>L2_HalfPunc_CN</ability>
      <abilityName>全半角问题</abilityName>
      <candidateList>
        <item>)</item>
      </candidateList>
      <explain>文本全半角错误。</explain>
      <paraID>6E8568B5</paraID>
      <start>7</start>
      <end>8</end>
      <status>unmodified</status>
      <modifiedWord/>
      <trackRevisions>false</trackRevisions>
    </reviewItem>
    <reviewItem>
      <errorID>89a42b9e-040f-44b7-93a2-45f9714e6818</errorID>
      <errorWord>（</errorWord>
      <group>L1_Format</group>
      <groupName>格式问题</groupName>
      <ability>L2_HalfPunc_CN</ability>
      <abilityName>全半角问题</abilityName>
      <candidateList>
        <item>(</item>
      </candidateList>
      <explain>文本全半角错误。</explain>
      <paraID>5B1F88F1</paraID>
      <start>6</start>
      <end>7</end>
      <status>unmodified</status>
      <modifiedWord/>
      <trackRevisions>false</trackRevisions>
    </reviewItem>
    <reviewItem>
      <errorID>23372462-3baf-417d-bf2f-cb3bf1ab6e9b</errorID>
      <errorWord>）</errorWord>
      <group>L1_Format</group>
      <groupName>格式问题</groupName>
      <ability>L2_HalfPunc_CN</ability>
      <abilityName>全半角问题</abilityName>
      <candidateList>
        <item>)</item>
      </candidateList>
      <explain>文本全半角错误。</explain>
      <paraID>5B1F88F1</paraID>
      <start>8</start>
      <end>9</end>
      <status>unmodified</status>
      <modifiedWord/>
      <trackRevisions>false</trackRevisions>
    </reviewItem>
    <reviewItem>
      <errorID>1ada8d05-a085-43e8-98c6-29715b7ecf16</errorID>
      <errorWord>（</errorWord>
      <group>L1_Format</group>
      <groupName>格式问题</groupName>
      <ability>L2_HalfPunc_CN</ability>
      <abilityName>全半角问题</abilityName>
      <candidateList>
        <item>(</item>
      </candidateList>
      <explain>文本全半角错误。</explain>
      <paraID>63D564A2</paraID>
      <start>6</start>
      <end>7</end>
      <status>unmodified</status>
      <modifiedWord/>
      <trackRevisions>false</trackRevisions>
    </reviewItem>
    <reviewItem>
      <errorID>2f70b4ca-3da1-4148-9bcb-3703402d4fe5</errorID>
      <errorWord>）</errorWord>
      <group>L1_Format</group>
      <groupName>格式问题</groupName>
      <ability>L2_HalfPunc_CN</ability>
      <abilityName>全半角问题</abilityName>
      <candidateList>
        <item>)</item>
      </candidateList>
      <explain>文本全半角错误。</explain>
      <paraID>63D564A2</paraID>
      <start>8</start>
      <end>9</end>
      <status>unmodified</status>
      <modifiedWord/>
      <trackRevisions>false</trackRevisions>
    </reviewItem>
    <reviewItem>
      <errorID>2b984899-9959-4275-a056-f4127289ab36</errorID>
      <errorWord>（</errorWord>
      <group>L1_Format</group>
      <groupName>格式问题</groupName>
      <ability>L2_HalfPunc_CN</ability>
      <abilityName>全半角问题</abilityName>
      <candidateList>
        <item>(</item>
      </candidateList>
      <explain>文本全半角错误。</explain>
      <paraID> C8287F3</paraID>
      <start>6</start>
      <end>7</end>
      <status>unmodified</status>
      <modifiedWord/>
      <trackRevisions>false</trackRevisions>
    </reviewItem>
    <reviewItem>
      <errorID>18dc5a81-bedb-4986-88ed-c10c9b60fd49</errorID>
      <errorWord>）</errorWord>
      <group>L1_Format</group>
      <groupName>格式问题</groupName>
      <ability>L2_HalfPunc_CN</ability>
      <abilityName>全半角问题</abilityName>
      <candidateList>
        <item>)</item>
      </candidateList>
      <explain>文本全半角错误。</explain>
      <paraID> C8287F3</paraID>
      <start>8</start>
      <end>9</end>
      <status>unmodified</status>
      <modifiedWord/>
      <trackRevisions>false</trackRevisions>
    </reviewItem>
    <reviewItem>
      <errorID>a1452a1c-685d-47e8-939e-ea7dc1aa51b3</errorID>
      <errorWord>（</errorWord>
      <group>L1_Format</group>
      <groupName>格式问题</groupName>
      <ability>L2_HalfPunc_CN</ability>
      <abilityName>全半角问题</abilityName>
      <candidateList>
        <item>(</item>
      </candidateList>
      <explain>文本全半角错误。</explain>
      <paraID> 6A63ABD</paraID>
      <start>6</start>
      <end>7</end>
      <status>unmodified</status>
      <modifiedWord/>
      <trackRevisions>false</trackRevisions>
    </reviewItem>
    <reviewItem>
      <errorID>7610525b-15df-402d-8af5-cc30cdff087c</errorID>
      <errorWord>）</errorWord>
      <group>L1_Format</group>
      <groupName>格式问题</groupName>
      <ability>L2_HalfPunc_CN</ability>
      <abilityName>全半角问题</abilityName>
      <candidateList>
        <item>)</item>
      </candidateList>
      <explain>文本全半角错误。</explain>
      <paraID> 6A63ABD</paraID>
      <start>8</start>
      <end>9</end>
      <status>unmodified</status>
      <modifiedWord/>
      <trackRevisions>false</trackRevisions>
    </reviewItem>
    <reviewItem>
      <errorID>227bc354-4444-4af6-afbf-4a7997fc1501</errorID>
      <errorWord>（</errorWord>
      <group>L1_Format</group>
      <groupName>格式问题</groupName>
      <ability>L2_HalfPunc_CN</ability>
      <abilityName>全半角问题</abilityName>
      <candidateList>
        <item>(</item>
      </candidateList>
      <explain>文本全半角错误。</explain>
      <paraID>322826C0</paraID>
      <start>6</start>
      <end>7</end>
      <status>unmodified</status>
      <modifiedWord/>
      <trackRevisions>false</trackRevisions>
    </reviewItem>
    <reviewItem>
      <errorID>c93906bd-cef5-47f9-9233-938449337c8f</errorID>
      <errorWord>）</errorWord>
      <group>L1_Format</group>
      <groupName>格式问题</groupName>
      <ability>L2_HalfPunc_CN</ability>
      <abilityName>全半角问题</abilityName>
      <candidateList>
        <item>)</item>
      </candidateList>
      <explain>文本全半角错误。</explain>
      <paraID>322826C0</paraID>
      <start>8</start>
      <end>9</end>
      <status>unmodified</status>
      <modifiedWord/>
      <trackRevisions>false</trackRevisions>
    </reviewItem>
    <reviewItem>
      <errorID>bf353654-7325-44a2-8053-cc44230cde20</errorID>
      <errorWord>（</errorWord>
      <group>L1_Format</group>
      <groupName>格式问题</groupName>
      <ability>L2_HalfPunc_CN</ability>
      <abilityName>全半角问题</abilityName>
      <candidateList>
        <item>(</item>
      </candidateList>
      <explain>文本全半角错误。</explain>
      <paraID>2EE30F2B</paraID>
      <start>6</start>
      <end>7</end>
      <status>unmodified</status>
      <modifiedWord/>
      <trackRevisions>false</trackRevisions>
    </reviewItem>
    <reviewItem>
      <errorID>134343da-e9a1-4b9e-a955-16b4ad2da5dc</errorID>
      <errorWord>）</errorWord>
      <group>L1_Format</group>
      <groupName>格式问题</groupName>
      <ability>L2_HalfPunc_CN</ability>
      <abilityName>全半角问题</abilityName>
      <candidateList>
        <item>)</item>
      </candidateList>
      <explain>文本全半角错误。</explain>
      <paraID>2EE30F2B</paraID>
      <start>8</start>
      <end>9</end>
      <status>unmodified</status>
      <modifiedWord/>
      <trackRevisions>false</trackRevisions>
    </reviewItem>
    <reviewItem>
      <errorID>ecb1c752-d14e-4b3b-b637-5619520b9652</errorID>
      <errorWord>（</errorWord>
      <group>L1_Format</group>
      <groupName>格式问题</groupName>
      <ability>L2_HalfPunc_CN</ability>
      <abilityName>全半角问题</abilityName>
      <candidateList>
        <item>(</item>
      </candidateList>
      <explain>文本全半角错误。</explain>
      <paraID>57C9AA14</paraID>
      <start>6</start>
      <end>7</end>
      <status>unmodified</status>
      <modifiedWord/>
      <trackRevisions>false</trackRevisions>
    </reviewItem>
    <reviewItem>
      <errorID>1247cb9d-1d47-4927-9167-95796d4d3eac</errorID>
      <errorWord>）</errorWord>
      <group>L1_Format</group>
      <groupName>格式问题</groupName>
      <ability>L2_HalfPunc_CN</ability>
      <abilityName>全半角问题</abilityName>
      <candidateList>
        <item>)</item>
      </candidateList>
      <explain>文本全半角错误。</explain>
      <paraID>57C9AA14</paraID>
      <start>8</start>
      <end>9</end>
      <status>unmodified</status>
      <modifiedWord/>
      <trackRevisions>false</trackRevisions>
    </reviewItem>
    <reviewItem>
      <errorID>0aaeb9da-e828-4823-837a-ab7d7347a9da</errorID>
      <errorWord>（</errorWord>
      <group>L1_Format</group>
      <groupName>格式问题</groupName>
      <ability>L2_HalfPunc_CN</ability>
      <abilityName>全半角问题</abilityName>
      <candidateList>
        <item>(</item>
      </candidateList>
      <explain>文本全半角错误。</explain>
      <paraID>6E8EA9B7</paraID>
      <start>6</start>
      <end>7</end>
      <status>unmodified</status>
      <modifiedWord/>
      <trackRevisions>false</trackRevisions>
    </reviewItem>
    <reviewItem>
      <errorID>138a1253-c5ad-425c-8b0e-921091e439d1</errorID>
      <errorWord>）</errorWord>
      <group>L1_Format</group>
      <groupName>格式问题</groupName>
      <ability>L2_HalfPunc_CN</ability>
      <abilityName>全半角问题</abilityName>
      <candidateList>
        <item>)</item>
      </candidateList>
      <explain>文本全半角错误。</explain>
      <paraID>6E8EA9B7</paraID>
      <start>8</start>
      <end>9</end>
      <status>unmodified</status>
      <modifiedWord/>
      <trackRevisions>false</trackRevisions>
    </reviewItem>
    <reviewItem>
      <errorID>22ba3a46-436b-4217-b94c-928d2be16bd3</errorID>
      <errorWord>（</errorWord>
      <group>L1_Format</group>
      <groupName>格式问题</groupName>
      <ability>L2_HalfPunc_CN</ability>
      <abilityName>全半角问题</abilityName>
      <candidateList>
        <item>(</item>
      </candidateList>
      <explain>文本全半角错误。</explain>
      <paraID>7211B342</paraID>
      <start>6</start>
      <end>7</end>
      <status>unmodified</status>
      <modifiedWord/>
      <trackRevisions>false</trackRevisions>
    </reviewItem>
    <reviewItem>
      <errorID>99f70821-7c3c-4476-b190-b27d82aa524e</errorID>
      <errorWord>）</errorWord>
      <group>L1_Format</group>
      <groupName>格式问题</groupName>
      <ability>L2_HalfPunc_CN</ability>
      <abilityName>全半角问题</abilityName>
      <candidateList>
        <item>)</item>
      </candidateList>
      <explain>文本全半角错误。</explain>
      <paraID>7211B342</paraID>
      <start>8</start>
      <end>9</end>
      <status>unmodified</status>
      <modifiedWord/>
      <trackRevisions>false</trackRevisions>
    </reviewItem>
    <reviewItem>
      <errorID>38620f04-6109-456b-a025-b152897fdc0a</errorID>
      <errorWord>（</errorWord>
      <group>L1_Format</group>
      <groupName>格式问题</groupName>
      <ability>L2_HalfPunc_CN</ability>
      <abilityName>全半角问题</abilityName>
      <candidateList>
        <item>(</item>
      </candidateList>
      <explain>文本全半角错误。</explain>
      <paraID>2C16ECD4</paraID>
      <start>6</start>
      <end>7</end>
      <status>unmodified</status>
      <modifiedWord/>
      <trackRevisions>false</trackRevisions>
    </reviewItem>
    <reviewItem>
      <errorID>aa34ccdf-c7e4-412f-a253-e360b194fa50</errorID>
      <errorWord>）</errorWord>
      <group>L1_Format</group>
      <groupName>格式问题</groupName>
      <ability>L2_HalfPunc_CN</ability>
      <abilityName>全半角问题</abilityName>
      <candidateList>
        <item>)</item>
      </candidateList>
      <explain>文本全半角错误。</explain>
      <paraID>2C16ECD4</paraID>
      <start>8</start>
      <end>9</end>
      <status>unmodified</status>
      <modifiedWord/>
      <trackRevisions>false</trackRevisions>
    </reviewItem>
    <reviewItem>
      <errorID>f9db2b47-7ab9-46e9-8db5-5bf015cd53f2</errorID>
      <errorWord>（</errorWord>
      <group>L1_Format</group>
      <groupName>格式问题</groupName>
      <ability>L2_HalfPunc_CN</ability>
      <abilityName>全半角问题</abilityName>
      <candidateList>
        <item>(</item>
      </candidateList>
      <explain>文本全半角错误。</explain>
      <paraID>5AD9259C</paraID>
      <start>5</start>
      <end>6</end>
      <status>unmodified</status>
      <modifiedWord/>
      <trackRevisions>false</trackRevisions>
    </reviewItem>
    <reviewItem>
      <errorID>d1be4559-99bc-49d9-9bc6-fade3bbaf742</errorID>
      <errorWord>）</errorWord>
      <group>L1_Format</group>
      <groupName>格式问题</groupName>
      <ability>L2_HalfPunc_CN</ability>
      <abilityName>全半角问题</abilityName>
      <candidateList>
        <item>)</item>
      </candidateList>
      <explain>文本全半角错误。</explain>
      <paraID>5AD9259C</paraID>
      <start>7</start>
      <end>8</end>
      <status>unmodified</status>
      <modifiedWord/>
      <trackRevisions>false</trackRevisions>
    </reviewItem>
    <reviewItem>
      <errorID>9f2562bd-6dff-45e7-87fb-6864bde2ec26</errorID>
      <errorWord>（</errorWord>
      <group>L1_Format</group>
      <groupName>格式问题</groupName>
      <ability>L2_HalfPunc_CN</ability>
      <abilityName>全半角问题</abilityName>
      <candidateList>
        <item>(</item>
      </candidateList>
      <explain>文本全半角错误。</explain>
      <paraID>5784A6DD</paraID>
      <start>5</start>
      <end>6</end>
      <status>unmodified</status>
      <modifiedWord/>
      <trackRevisions>false</trackRevisions>
    </reviewItem>
    <reviewItem>
      <errorID>08eaefab-e086-4474-8ebd-44fa8e4f4ed5</errorID>
      <errorWord>）</errorWord>
      <group>L1_Format</group>
      <groupName>格式问题</groupName>
      <ability>L2_HalfPunc_CN</ability>
      <abilityName>全半角问题</abilityName>
      <candidateList>
        <item>)</item>
      </candidateList>
      <explain>文本全半角错误。</explain>
      <paraID>5784A6DD</paraID>
      <start>7</start>
      <end>8</end>
      <status>unmodified</status>
      <modifiedWord/>
      <trackRevisions>false</trackRevisions>
    </reviewItem>
    <reviewItem>
      <errorID>49ca4e35-805e-4fea-872a-18c7b0b37fb3</errorID>
      <errorWord>（</errorWord>
      <group>L1_Format</group>
      <groupName>格式问题</groupName>
      <ability>L2_HalfPunc_CN</ability>
      <abilityName>全半角问题</abilityName>
      <candidateList>
        <item>(</item>
      </candidateList>
      <explain>文本全半角错误。</explain>
      <paraID>504E4882</paraID>
      <start>5</start>
      <end>6</end>
      <status>unmodified</status>
      <modifiedWord/>
      <trackRevisions>false</trackRevisions>
    </reviewItem>
    <reviewItem>
      <errorID>090dc999-bab6-4850-a013-24cb66f096da</errorID>
      <errorWord>）</errorWord>
      <group>L1_Format</group>
      <groupName>格式问题</groupName>
      <ability>L2_HalfPunc_CN</ability>
      <abilityName>全半角问题</abilityName>
      <candidateList>
        <item>)</item>
      </candidateList>
      <explain>文本全半角错误。</explain>
      <paraID>504E4882</paraID>
      <start>7</start>
      <end>8</end>
      <status>unmodified</status>
      <modifiedWord/>
      <trackRevisions>false</trackRevisions>
    </reviewItem>
    <reviewItem>
      <errorID>ef0213a3-fd88-49b5-90fd-56cf6dc6952a</errorID>
      <errorWord>（</errorWord>
      <group>L1_Format</group>
      <groupName>格式问题</groupName>
      <ability>L2_HalfPunc_CN</ability>
      <abilityName>全半角问题</abilityName>
      <candidateList>
        <item>(</item>
      </candidateList>
      <explain>文本全半角错误。</explain>
      <paraID>  3C825A</paraID>
      <start>5</start>
      <end>6</end>
      <status>unmodified</status>
      <modifiedWord/>
      <trackRevisions>false</trackRevisions>
    </reviewItem>
    <reviewItem>
      <errorID>c6460b85-69a0-44cc-98f5-53bea32e9778</errorID>
      <errorWord>）</errorWord>
      <group>L1_Format</group>
      <groupName>格式问题</groupName>
      <ability>L2_HalfPunc_CN</ability>
      <abilityName>全半角问题</abilityName>
      <candidateList>
        <item>)</item>
      </candidateList>
      <explain>文本全半角错误。</explain>
      <paraID>  3C825A</paraID>
      <start>7</start>
      <end>8</end>
      <status>unmodified</status>
      <modifiedWord/>
      <trackRevisions>false</trackRevisions>
    </reviewItem>
    <reviewItem>
      <errorID>5554b475-365f-4e16-8c2b-38a6655413e2</errorID>
      <errorWord>（</errorWord>
      <group>L1_Format</group>
      <groupName>格式问题</groupName>
      <ability>L2_HalfPunc_CN</ability>
      <abilityName>全半角问题</abilityName>
      <candidateList>
        <item>(</item>
      </candidateList>
      <explain>文本全半角错误。</explain>
      <paraID>2C61562B</paraID>
      <start>5</start>
      <end>6</end>
      <status>unmodified</status>
      <modifiedWord/>
      <trackRevisions>false</trackRevisions>
    </reviewItem>
    <reviewItem>
      <errorID>cbfd51ae-d855-460d-8fba-e09fd8a5ed5f</errorID>
      <errorWord>）</errorWord>
      <group>L1_Format</group>
      <groupName>格式问题</groupName>
      <ability>L2_HalfPunc_CN</ability>
      <abilityName>全半角问题</abilityName>
      <candidateList>
        <item>)</item>
      </candidateList>
      <explain>文本全半角错误。</explain>
      <paraID>2C61562B</paraID>
      <start>7</start>
      <end>8</end>
      <status>unmodified</status>
      <modifiedWord/>
      <trackRevisions>false</trackRevisions>
    </reviewItem>
    <reviewItem>
      <errorID>dae9c19a-0af4-4c9f-8521-eea2d6509738</errorID>
      <errorWord>（</errorWord>
      <group>L1_Format</group>
      <groupName>格式问题</groupName>
      <ability>L2_HalfPunc_CN</ability>
      <abilityName>全半角问题</abilityName>
      <candidateList>
        <item>(</item>
      </candidateList>
      <explain>文本全半角错误。</explain>
      <paraID>29170300</paraID>
      <start>5</start>
      <end>6</end>
      <status>unmodified</status>
      <modifiedWord/>
      <trackRevisions>false</trackRevisions>
    </reviewItem>
    <reviewItem>
      <errorID>cdd3e9c4-9e2c-4d0b-83f5-9db30c0c91f0</errorID>
      <errorWord>）</errorWord>
      <group>L1_Format</group>
      <groupName>格式问题</groupName>
      <ability>L2_HalfPunc_CN</ability>
      <abilityName>全半角问题</abilityName>
      <candidateList>
        <item>)</item>
      </candidateList>
      <explain>文本全半角错误。</explain>
      <paraID>29170300</paraID>
      <start>7</start>
      <end>8</end>
      <status>unmodified</status>
      <modifiedWord/>
      <trackRevisions>false</trackRevisions>
    </reviewItem>
    <reviewItem>
      <errorID>efff54f5-6966-490e-afeb-a0358698ee92</errorID>
      <errorWord>（</errorWord>
      <group>L1_Format</group>
      <groupName>格式问题</groupName>
      <ability>L2_HalfPunc_CN</ability>
      <abilityName>全半角问题</abilityName>
      <candidateList>
        <item>(</item>
      </candidateList>
      <explain>文本全半角错误。</explain>
      <paraID>  43CD3D</paraID>
      <start>4</start>
      <end>5</end>
      <status>unmodified</status>
      <modifiedWord/>
      <trackRevisions>false</trackRevisions>
    </reviewItem>
    <reviewItem>
      <errorID>06556536-2a7b-4e1c-af68-cc3a25b34522</errorID>
      <errorWord>）</errorWord>
      <group>L1_Format</group>
      <groupName>格式问题</groupName>
      <ability>L2_HalfPunc_CN</ability>
      <abilityName>全半角问题</abilityName>
      <candidateList>
        <item>)</item>
      </candidateList>
      <explain>文本全半角错误。</explain>
      <paraID>  43CD3D</paraID>
      <start>6</start>
      <end>7</end>
      <status>unmodified</status>
      <modifiedWord/>
      <trackRevisions>false</trackRevisions>
    </reviewItem>
    <reviewItem>
      <errorID>8e0a1d8d-472e-45f5-a53c-f5ef99751508</errorID>
      <errorWord>（</errorWord>
      <group>L1_Format</group>
      <groupName>格式问题</groupName>
      <ability>L2_HalfPunc_CN</ability>
      <abilityName>全半角问题</abilityName>
      <candidateList>
        <item>(</item>
      </candidateList>
      <explain>文本全半角错误。</explain>
      <paraID>44255163</paraID>
      <start>4</start>
      <end>5</end>
      <status>unmodified</status>
      <modifiedWord/>
      <trackRevisions>false</trackRevisions>
    </reviewItem>
    <reviewItem>
      <errorID>69b07a2e-d1e8-4a78-839e-7533fb06b716</errorID>
      <errorWord>）</errorWord>
      <group>L1_Format</group>
      <groupName>格式问题</groupName>
      <ability>L2_HalfPunc_CN</ability>
      <abilityName>全半角问题</abilityName>
      <candidateList>
        <item>)</item>
      </candidateList>
      <explain>文本全半角错误。</explain>
      <paraID>44255163</paraID>
      <start>6</start>
      <end>7</end>
      <status>unmodified</status>
      <modifiedWord/>
      <trackRevisions>false</trackRevisions>
    </reviewItem>
    <reviewItem>
      <errorID>43f4d38b-062a-4f5e-ad04-496c314f2958</errorID>
      <errorWord>（</errorWord>
      <group>L1_Format</group>
      <groupName>格式问题</groupName>
      <ability>L2_HalfPunc_CN</ability>
      <abilityName>全半角问题</abilityName>
      <candidateList>
        <item>(</item>
      </candidateList>
      <explain>文本全半角错误。</explain>
      <paraID> B066527</paraID>
      <start>4</start>
      <end>5</end>
      <status>unmodified</status>
      <modifiedWord/>
      <trackRevisions>false</trackRevisions>
    </reviewItem>
    <reviewItem>
      <errorID>2d2170b2-e9cc-45c0-8057-934f53d79e0b</errorID>
      <errorWord>）</errorWord>
      <group>L1_Format</group>
      <groupName>格式问题</groupName>
      <ability>L2_HalfPunc_CN</ability>
      <abilityName>全半角问题</abilityName>
      <candidateList>
        <item>)</item>
      </candidateList>
      <explain>文本全半角错误。</explain>
      <paraID> B066527</paraID>
      <start>6</start>
      <end>7</end>
      <status>unmodified</status>
      <modifiedWord/>
      <trackRevisions>false</trackRevisions>
    </reviewItem>
    <reviewItem>
      <errorID>08e67e11-86a1-4541-a642-5851eeb772b9</errorID>
      <errorWord>（</errorWord>
      <group>L1_Format</group>
      <groupName>格式问题</groupName>
      <ability>L2_HalfPunc_CN</ability>
      <abilityName>全半角问题</abilityName>
      <candidateList>
        <item>(</item>
      </candidateList>
      <explain>文本全半角错误。</explain>
      <paraID>4E681A92</paraID>
      <start>4</start>
      <end>5</end>
      <status>unmodified</status>
      <modifiedWord/>
      <trackRevisions>false</trackRevisions>
    </reviewItem>
    <reviewItem>
      <errorID>543e6aa1-2a0b-487e-a7c6-8c50fbbc99f7</errorID>
      <errorWord>）</errorWord>
      <group>L1_Format</group>
      <groupName>格式问题</groupName>
      <ability>L2_HalfPunc_CN</ability>
      <abilityName>全半角问题</abilityName>
      <candidateList>
        <item>)</item>
      </candidateList>
      <explain>文本全半角错误。</explain>
      <paraID>4E681A92</paraID>
      <start>6</start>
      <end>7</end>
      <status>unmodified</status>
      <modifiedWord/>
      <trackRevisions>false</trackRevisions>
    </reviewItem>
    <reviewItem>
      <errorID>f926c26a-9fab-432c-84a6-1831070f7f4a</errorID>
      <errorWord>（</errorWord>
      <group>L1_Format</group>
      <groupName>格式问题</groupName>
      <ability>L2_HalfPunc_CN</ability>
      <abilityName>全半角问题</abilityName>
      <candidateList>
        <item>(</item>
      </candidateList>
      <explain>文本全半角错误。</explain>
      <paraID> AD02A42</paraID>
      <start>4</start>
      <end>5</end>
      <status>unmodified</status>
      <modifiedWord/>
      <trackRevisions>false</trackRevisions>
    </reviewItem>
    <reviewItem>
      <errorID>8ca7b00e-4fd1-4d59-a3ca-54806ae22872</errorID>
      <errorWord>）</errorWord>
      <group>L1_Format</group>
      <groupName>格式问题</groupName>
      <ability>L2_HalfPunc_CN</ability>
      <abilityName>全半角问题</abilityName>
      <candidateList>
        <item>)</item>
      </candidateList>
      <explain>文本全半角错误。</explain>
      <paraID> AD02A42</paraID>
      <start>6</start>
      <end>7</end>
      <status>unmodified</status>
      <modifiedWord/>
      <trackRevisions>false</trackRevisions>
    </reviewItem>
    <reviewItem>
      <errorID>a528b4ba-6a38-4c4f-be0c-33973dfa58a3</errorID>
      <errorWord>（</errorWord>
      <group>L1_Format</group>
      <groupName>格式问题</groupName>
      <ability>L2_HalfPunc_CN</ability>
      <abilityName>全半角问题</abilityName>
      <candidateList>
        <item>(</item>
      </candidateList>
      <explain>文本全半角错误。</explain>
      <paraID>51A86C5C</paraID>
      <start>4</start>
      <end>5</end>
      <status>unmodified</status>
      <modifiedWord/>
      <trackRevisions>false</trackRevisions>
    </reviewItem>
    <reviewItem>
      <errorID>53f8ac3c-f174-4432-bc4b-859e4c176f3e</errorID>
      <errorWord>）</errorWord>
      <group>L1_Format</group>
      <groupName>格式问题</groupName>
      <ability>L2_HalfPunc_CN</ability>
      <abilityName>全半角问题</abilityName>
      <candidateList>
        <item>)</item>
      </candidateList>
      <explain>文本全半角错误。</explain>
      <paraID>51A86C5C</paraID>
      <start>6</start>
      <end>7</end>
      <status>unmodified</status>
      <modifiedWord/>
      <trackRevisions>false</trackRevisions>
    </reviewItem>
    <reviewItem>
      <errorID>342a99c2-e82e-4838-a09c-6be0edb8be08</errorID>
      <errorWord>，</errorWord>
      <group>L1_Format</group>
      <groupName>格式问题</groupName>
      <ability>L2_HalfPunc_CN</ability>
      <abilityName>全半角问题</abilityName>
      <candidateList>
        <item>,</item>
      </candidateList>
      <explain>文本全半角错误。</explain>
      <paraID>159CCB92</paraID>
      <start>9</start>
      <end>10</end>
      <status>unmodified</status>
      <modifiedWord/>
      <trackRevisions>false</trackRevisions>
    </reviewItem>
    <reviewItem>
      <errorID>abe8c3f9-bd04-4764-9982-7ca5b14edc2a</errorID>
      <errorWord>，</errorWord>
      <group>L1_Format</group>
      <groupName>格式问题</groupName>
      <ability>L2_HalfPunc_CN</ability>
      <abilityName>全半角问题</abilityName>
      <candidateList>
        <item>,</item>
      </candidateList>
      <explain>文本全半角错误。</explain>
      <paraID>1B279C09</paraID>
      <start>9</start>
      <end>10</end>
      <status>unmodified</status>
      <modifiedWord/>
      <trackRevisions>false</trackRevisions>
    </reviewItem>
    <reviewItem>
      <errorID>d438b8f4-beda-444c-8459-b26e2f6d4289</errorID>
      <errorWord>，</errorWord>
      <group>L1_Format</group>
      <groupName>格式问题</groupName>
      <ability>L2_HalfPunc_CN</ability>
      <abilityName>全半角问题</abilityName>
      <candidateList>
        <item>,</item>
      </candidateList>
      <explain>文本全半角错误。</explain>
      <paraID>4A16AD0D</paraID>
      <start>9</start>
      <end>10</end>
      <status>unmodified</status>
      <modifiedWord/>
      <trackRevisions>false</trackRevisions>
    </reviewItem>
    <reviewItem>
      <errorID>7dab6a6e-047d-4190-bbde-8e4a1887fa9f</errorID>
      <errorWord>，</errorWord>
      <group>L1_Format</group>
      <groupName>格式问题</groupName>
      <ability>L2_HalfPunc_CN</ability>
      <abilityName>全半角问题</abilityName>
      <candidateList>
        <item>,</item>
      </candidateList>
      <explain>文本全半角错误。</explain>
      <paraID>486E986F</paraID>
      <start>9</start>
      <end>10</end>
      <status>unmodified</status>
      <modifiedWord/>
      <trackRevisions>false</trackRevisions>
    </reviewItem>
    <reviewItem>
      <errorID>5ca356ad-e567-492d-bcdd-a72e7cdeb7af</errorID>
      <errorWord>，</errorWord>
      <group>L1_Format</group>
      <groupName>格式问题</groupName>
      <ability>L2_HalfPunc_CN</ability>
      <abilityName>全半角问题</abilityName>
      <candidateList>
        <item>,</item>
      </candidateList>
      <explain>文本全半角错误。</explain>
      <paraID> 7F4EA93</paraID>
      <start>9</start>
      <end>10</end>
      <status>unmodified</status>
      <modifiedWord/>
      <trackRevisions>false</trackRevisions>
    </reviewItem>
    <reviewItem>
      <errorID>0b418ff9-d00b-4c82-acd4-1dfc58d60949</errorID>
      <errorWord>，</errorWord>
      <group>L1_Format</group>
      <groupName>格式问题</groupName>
      <ability>L2_HalfPunc_CN</ability>
      <abilityName>全半角问题</abilityName>
      <candidateList>
        <item>,</item>
      </candidateList>
      <explain>文本全半角错误。</explain>
      <paraID>4EBE28DB</paraID>
      <start>9</start>
      <end>10</end>
      <status>unmodified</status>
      <modifiedWord/>
      <trackRevisions>false</trackRevisions>
    </reviewItem>
    <reviewItem>
      <errorID>f2d6463c-c792-46f7-8975-b9678b878831</errorID>
      <errorWord>，</errorWord>
      <group>L1_Format</group>
      <groupName>格式问题</groupName>
      <ability>L2_HalfPunc_CN</ability>
      <abilityName>全半角问题</abilityName>
      <candidateList>
        <item>,</item>
      </candidateList>
      <explain>文本全半角错误。</explain>
      <paraID>683084BA</paraID>
      <start>9</start>
      <end>10</end>
      <status>unmodified</status>
      <modifiedWord/>
      <trackRevisions>false</trackRevisions>
    </reviewItem>
    <reviewItem>
      <errorID>0d0ba73e-2cfc-4177-a464-9782f6efc443</errorID>
      <errorWord>，</errorWord>
      <group>L1_Format</group>
      <groupName>格式问题</groupName>
      <ability>L2_HalfPunc_CN</ability>
      <abilityName>全半角问题</abilityName>
      <candidateList>
        <item>,</item>
      </candidateList>
      <explain>文本全半角错误。</explain>
      <paraID>6A9ECBEC</paraID>
      <start>9</start>
      <end>10</end>
      <status>unmodified</status>
      <modifiedWord/>
      <trackRevisions>false</trackRevisions>
    </reviewItem>
    <reviewItem>
      <errorID>3e9bd581-32d4-4492-83eb-fc3e98e4ab4b</errorID>
      <errorWord>，</errorWord>
      <group>L1_Format</group>
      <groupName>格式问题</groupName>
      <ability>L2_HalfPunc_CN</ability>
      <abilityName>全半角问题</abilityName>
      <candidateList>
        <item>,</item>
      </candidateList>
      <explain>文本全半角错误。</explain>
      <paraID> 9C6B69E</paraID>
      <start>9</start>
      <end>10</end>
      <status>unmodified</status>
      <modifiedWord/>
      <trackRevisions>false</trackRevisions>
    </reviewItem>
    <reviewItem>
      <errorID>31d5085c-2a7a-43cb-9a05-474b600d20af</errorID>
      <errorWord>，</errorWord>
      <group>L1_Format</group>
      <groupName>格式问题</groupName>
      <ability>L2_HalfPunc_CN</ability>
      <abilityName>全半角问题</abilityName>
      <candidateList>
        <item>,</item>
      </candidateList>
      <explain>文本全半角错误。</explain>
      <paraID>16F17746</paraID>
      <start>9</start>
      <end>10</end>
      <status>unmodified</status>
      <modifiedWord/>
      <trackRevisions>false</trackRevisions>
    </reviewItem>
    <reviewItem>
      <errorID>ad9cc589-7d1f-4fd1-8e5c-e5aa99ffbc42</errorID>
      <errorWord>(</errorWord>
      <group>L1_Format</group>
      <groupName>格式问题</groupName>
      <ability>L2_HalfPunc_CN</ability>
      <abilityName>全半角问题</abilityName>
      <candidateList>
        <item>（</item>
      </candidateList>
      <explain>文本全半角错误。</explain>
      <paraID>7069323B</paraID>
      <start>31</start>
      <end>32</end>
      <status>unmodified</status>
      <modifiedWord/>
      <trackRevisions>false</trackRevisions>
    </reviewItem>
    <reviewItem>
      <errorID>9a86bfe8-892b-4e66-89cd-83a7baf9f01b</errorID>
      <errorWord>)</errorWord>
      <group>L1_Format</group>
      <groupName>格式问题</groupName>
      <ability>L2_HalfPunc_CN</ability>
      <abilityName>全半角问题</abilityName>
      <candidateList>
        <item>）</item>
      </candidateList>
      <explain>文本全半角错误。</explain>
      <paraID>7069323B</paraID>
      <start>46</start>
      <end>47</end>
      <status>unmodified</status>
      <modifiedWord/>
      <trackRevisions>false</trackRevisions>
    </reviewItem>
    <reviewItem>
      <errorID>619bdb9d-b3e1-4330-a194-b3d948ceab07</errorID>
      <errorWord>季风型</errorWord>
      <group>L1_Word</group>
      <groupName>字词问题</groupName>
      <ability>L2_Typo</ability>
      <abilityName>字词错误</abilityName>
      <candidateList>
        <item>季风性</item>
      </candidateList>
      <explain>存在发音相同字词的误用。</explain>
      <paraID>6535F6E5</paraID>
      <start>29</start>
      <end>32</end>
      <status>unmodified</status>
      <modifiedWord/>
      <trackRevisions>false</trackRevisions>
    </reviewItem>
    <reviewItem>
      <errorID>492c5e5a-63ac-4465-9705-c3b6a2e143e5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6535F6E5</paraID>
      <start>53</start>
      <end>54</end>
      <status>unmodified</status>
      <modifiedWord/>
      <trackRevisions>false</trackRevisions>
    </reviewItem>
    <reviewItem>
      <errorID>f9075fa5-d6c4-41b9-b914-6e888817288b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6535F6E5</paraID>
      <start>66</start>
      <end>67</end>
      <status>unmodified</status>
      <modifiedWord/>
      <trackRevisions>false</trackRevisions>
    </reviewItem>
    <reviewItem>
      <errorID>0a3e5b69-f274-4e92-a171-f9ce1d982e0c</errorID>
      <errorWord>蒙</errorWord>
      <group>L1_Word</group>
      <groupName>字词问题</groupName>
      <ability>L2_Typo</ability>
      <abilityName>字词错误</abilityName>
      <candidateList>
        <item>蒙古</item>
      </candidateList>
      <explain/>
      <paraID>560FCCBD</paraID>
      <start>15</start>
      <end>16</end>
      <status>unmodified</status>
      <modifiedWord/>
      <trackRevisions>false</trackRevisions>
    </reviewItem>
    <reviewItem>
      <errorID>c921580b-b4e7-476f-9e53-19c476e3aaa8</errorID>
      <errorWord>-</errorWord>
      <group>L1_Format</group>
      <groupName>格式问题</groupName>
      <ability>L2_HalfPunc_CN</ability>
      <abilityName>全半角问题</abilityName>
      <candidateList>
        <item>－</item>
      </candidateList>
      <explain>文本全半角错误。</explain>
      <paraID>1B81FCE8</paraID>
      <start>171</start>
      <end>172</end>
      <status>unmodified</status>
      <modifiedWord/>
      <trackRevisions>false</trackRevisions>
    </reviewItem>
    <reviewItem>
      <errorID>fd5d8f9d-e78e-42ab-bb2f-80a9c014baab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1B81FCE8</paraID>
      <start>181</start>
      <end>182</end>
      <status>unmodified</status>
      <modifiedWord/>
      <trackRevisions>false</trackRevisions>
    </reviewItem>
    <reviewItem>
      <errorID>f590f1ea-6d22-4f89-8154-f910a0fa3be5</errorID>
      <errorWord>-</errorWord>
      <group>L1_Format</group>
      <groupName>格式问题</groupName>
      <ability>L2_HalfPunc_CN</ability>
      <abilityName>全半角问题</abilityName>
      <candidateList>
        <item>－</item>
      </candidateList>
      <explain>文本全半角错误。</explain>
      <paraID>25FD0CE5</paraID>
      <start>140</start>
      <end>141</end>
      <status>unmodified</status>
      <modifiedWord/>
      <trackRevisions>false</trackRevisions>
    </reviewItem>
    <reviewItem>
      <errorID>72fa87a7-9c2b-4668-b899-bf49abcc19bd</errorID>
      <errorWord>~</errorWord>
      <group>L1_Format</group>
      <groupName>格式问题</groupName>
      <ability>L2_HalfPunc_CN</ability>
      <abilityName>全半角问题</abilityName>
      <candidateList>
        <item>～</item>
      </candidateList>
      <explain>文本全半角错误。</explain>
      <paraID>43B5A7C7</paraID>
      <start>73</start>
      <end>74</end>
      <status>unmodified</status>
      <modifiedWord/>
      <trackRevisions>false</trackRevisions>
    </reviewItem>
    <reviewItem>
      <errorID>6a30ac5b-7f13-4fca-b8ad-b0cd527a8ca8</errorID>
      <errorWord>程</errorWord>
      <group>L1_Word</group>
      <groupName>字词问题</groupName>
      <ability>L2_Typo</ability>
      <abilityName>字词错误</abilityName>
      <candidateList>
        <item>程中</item>
      </candidateList>
      <explain/>
      <paraID>43DE5B9F</paraID>
      <start>40</start>
      <end>41</end>
      <status>unmodified</status>
      <modifiedWord/>
      <trackRevisions>false</trackRevisions>
    </reviewItem>
    <reviewItem>
      <errorID>0b716b68-469f-44a8-8f47-23380937145a</errorID>
      <errorWord>~</errorWord>
      <group>L1_Format</group>
      <groupName>格式问题</groupName>
      <ability>L2_HalfPunc_CN</ability>
      <abilityName>全半角问题</abilityName>
      <candidateList>
        <item>～</item>
      </candidateList>
      <explain>文本全半角错误。</explain>
      <paraID>6F535143</paraID>
      <start>55</start>
      <end>56</end>
      <status>unmodified</status>
      <modifiedWord/>
      <trackRevisions>false</trackRevisions>
    </reviewItem>
    <reviewItem>
      <errorID>86b2df94-c583-47c6-936c-dacec75b74af</errorID>
      <errorWord>点点</errorWord>
      <group>L1_Word</group>
      <groupName>字词问题</groupName>
      <ability>L2_Typo</ability>
      <abilityName>字词错误</abilityName>
      <candidateList>
        <item>点</item>
      </candidateList>
      <explain/>
      <paraID> 9851C5B</paraID>
      <start>151</start>
      <end>152</end>
      <status>modified</status>
      <modifiedWord>点</modifiedWord>
      <trackRevisions>false</trackRevisions>
    </reviewItem>
    <reviewItem>
      <errorID>9f021f5c-d3b0-4a65-b154-9b0b121db8b6</errorID>
      <errorWord>(</errorWord>
      <group>L1_Format</group>
      <groupName>格式问题</groupName>
      <ability>L2_HalfPunc_CN</ability>
      <abilityName>全半角问题</abilityName>
      <candidateList>
        <item>（</item>
      </candidateList>
      <explain>文本全半角错误。</explain>
      <paraID>341DA123</paraID>
      <start>3</start>
      <end>4</end>
      <status>unmodified</status>
      <modifiedWord/>
      <trackRevisions>false</trackRevisions>
    </reviewItem>
    <reviewItem>
      <errorID>ab0eaf6d-0065-4088-b844-a1b82c40bcbd</errorID>
      <errorWord>)</errorWord>
      <group>L1_Format</group>
      <groupName>格式问题</groupName>
      <ability>L2_HalfPunc_CN</ability>
      <abilityName>全半角问题</abilityName>
      <candidateList>
        <item>）</item>
      </candidateList>
      <explain>文本全半角错误。</explain>
      <paraID>341DA123</paraID>
      <start>11</start>
      <end>12</end>
      <status>unmodified</status>
      <modifiedWord/>
      <trackRevisions>false</trackRevisions>
    </reviewItem>
    <reviewItem>
      <errorID>ee1b722b-8c13-44d8-b9d7-dd83b8735311</errorID>
      <errorWord>(</errorWord>
      <group>L1_Format</group>
      <groupName>格式问题</groupName>
      <ability>L2_HalfPunc_CN</ability>
      <abilityName>全半角问题</abilityName>
      <candidateList>
        <item>（</item>
      </candidateList>
      <explain>文本全半角错误。</explain>
      <paraID>6FBB9BD8</paraID>
      <start>4</start>
      <end>5</end>
      <status>unmodified</status>
      <modifiedWord/>
      <trackRevisions>false</trackRevisions>
    </reviewItem>
    <reviewItem>
      <errorID>4b92f5e8-11e0-4156-8350-6caf56559d38</errorID>
      <errorWord>)</errorWord>
      <group>L1_Format</group>
      <groupName>格式问题</groupName>
      <ability>L2_HalfPunc_CN</ability>
      <abilityName>全半角问题</abilityName>
      <candidateList>
        <item>）</item>
      </candidateList>
      <explain>文本全半角错误。</explain>
      <paraID>6FBB9BD8</paraID>
      <start>6</start>
      <end>7</end>
      <status>unmodified</status>
      <modifiedWord/>
      <trackRevisions>false</trackRevisions>
    </reviewItem>
    <reviewItem>
      <errorID>6e675cbb-b73d-4852-aa8b-57249f8e88a5</errorID>
      <errorWord>(</errorWord>
      <group>L1_Format</group>
      <groupName>格式问题</groupName>
      <ability>L2_HalfPunc_CN</ability>
      <abilityName>全半角问题</abilityName>
      <candidateList>
        <item>（</item>
      </candidateList>
      <explain>文本全半角错误。</explain>
      <paraID>17938E56</paraID>
      <start>5</start>
      <end>6</end>
      <status>unmodified</status>
      <modifiedWord/>
      <trackRevisions>false</trackRevisions>
    </reviewItem>
    <reviewItem>
      <errorID>69369507-01cf-4467-a60f-83b7bd0edaab</errorID>
      <errorWord>)</errorWord>
      <group>L1_Format</group>
      <groupName>格式问题</groupName>
      <ability>L2_HalfPunc_CN</ability>
      <abilityName>全半角问题</abilityName>
      <candidateList>
        <item>）</item>
      </candidateList>
      <explain>文本全半角错误。</explain>
      <paraID>17938E56</paraID>
      <start>12</start>
      <end>13</end>
      <status>unmodified</status>
      <modifiedWord/>
      <trackRevisions>false</trackRevisions>
    </reviewItem>
    <reviewItem>
      <errorID>2b15f520-2ee9-45a5-89b4-660766345844</errorID>
      <errorWord>(</errorWord>
      <group>L1_Format</group>
      <groupName>格式问题</groupName>
      <ability>L2_HalfPunc_CN</ability>
      <abilityName>全半角问题</abilityName>
      <candidateList>
        <item>（</item>
      </candidateList>
      <explain>文本全半角错误。</explain>
      <paraID>12C82826</paraID>
      <start>4</start>
      <end>5</end>
      <status>unmodified</status>
      <modifiedWord/>
      <trackRevisions>false</trackRevisions>
    </reviewItem>
    <reviewItem>
      <errorID>fd7a588f-9634-4390-80f0-608e45e10ee5</errorID>
      <errorWord>)</errorWord>
      <group>L1_Format</group>
      <groupName>格式问题</groupName>
      <ability>L2_HalfPunc_CN</ability>
      <abilityName>全半角问题</abilityName>
      <candidateList>
        <item>）</item>
      </candidateList>
      <explain>文本全半角错误。</explain>
      <paraID>12C82826</paraID>
      <start>13</start>
      <end>14</end>
      <status>unmodified</status>
      <modifiedWord/>
      <trackRevisions>false</trackRevisions>
    </reviewItem>
    <reviewItem>
      <errorID>a3d95ebf-7e71-4b27-9bce-6890c6a340f7</errorID>
      <errorWord>(</errorWord>
      <group>L1_Format</group>
      <groupName>格式问题</groupName>
      <ability>L2_HalfPunc_CN</ability>
      <abilityName>全半角问题</abilityName>
      <candidateList>
        <item>（</item>
      </candidateList>
      <explain>文本全半角错误。</explain>
      <paraID>23B90868</paraID>
      <start>4</start>
      <end>5</end>
      <status>unmodified</status>
      <modifiedWord/>
      <trackRevisions>false</trackRevisions>
    </reviewItem>
    <reviewItem>
      <errorID>2052578b-5c77-466a-96f5-4eee3386a0d0</errorID>
      <errorWord>)</errorWord>
      <group>L1_Format</group>
      <groupName>格式问题</groupName>
      <ability>L2_HalfPunc_CN</ability>
      <abilityName>全半角问题</abilityName>
      <candidateList>
        <item>）</item>
      </candidateList>
      <explain>文本全半角错误。</explain>
      <paraID>23B90868</paraID>
      <start>11</start>
      <end>12</end>
      <status>unmodified</status>
      <modifiedWord/>
      <trackRevisions>false</trackRevisions>
    </reviewItem>
    <reviewItem>
      <errorID>9ccb376f-a274-4c72-af3b-e25f2387950a</errorID>
      <errorWord>，</errorWord>
      <group>L1_Format</group>
      <groupName>格式问题</groupName>
      <ability>L2_HalfPunc_CN</ability>
      <abilityName>全半角问题</abilityName>
      <candidateList>
        <item>,</item>
      </candidateList>
      <explain>文本全半角错误。</explain>
      <paraID> 3A4B1E1</paraID>
      <start>5</start>
      <end>6</end>
      <status>unmodified</status>
      <modifiedWord/>
      <trackRevisions>false</trackRevisions>
    </reviewItem>
    <reviewItem>
      <errorID>61cd8f6d-0f9b-451b-bb3c-aeec622d6360</errorID>
      <errorWord>，</errorWord>
      <group>L1_Format</group>
      <groupName>格式问题</groupName>
      <ability>L2_HalfPunc_CN</ability>
      <abilityName>全半角问题</abilityName>
      <candidateList>
        <item>,</item>
      </candidateList>
      <explain>文本全半角错误。</explain>
      <paraID>6B89BFD1</paraID>
      <start>5</start>
      <end>6</end>
      <status>unmodified</status>
      <modifiedWord/>
      <trackRevisions>false</trackRevisions>
    </reviewItem>
    <reviewItem>
      <errorID>48a8f92f-a5b9-434c-97cc-f3de2897a635</errorID>
      <errorWord>，</errorWord>
      <group>L1_Format</group>
      <groupName>格式问题</groupName>
      <ability>L2_HalfPunc_CN</ability>
      <abilityName>全半角问题</abilityName>
      <candidateList>
        <item>,</item>
      </candidateList>
      <explain>文本全半角错误。</explain>
      <paraID>503EDDB3</paraID>
      <start>3</start>
      <end>4</end>
      <status>unmodified</status>
      <modifiedWord/>
      <trackRevisions>false</trackRevisions>
    </reviewItem>
    <reviewItem>
      <errorID>216f8d92-a655-401f-aba6-8fe5687de610</errorID>
      <errorWord>，</errorWord>
      <group>L1_Format</group>
      <groupName>格式问题</groupName>
      <ability>L2_HalfPunc_CN</ability>
      <abilityName>全半角问题</abilityName>
      <candidateList>
        <item>,</item>
      </candidateList>
      <explain>文本全半角错误。</explain>
      <paraID>18B1CF6E</paraID>
      <start>4</start>
      <end>5</end>
      <status>unmodified</status>
      <modifiedWord/>
      <trackRevisions>false</trackRevisions>
    </reviewItem>
    <reviewItem>
      <errorID>d1af2cee-87bc-4b98-b978-4167c03de374</errorID>
      <errorWord>，</errorWord>
      <group>L1_Format</group>
      <groupName>格式问题</groupName>
      <ability>L2_HalfPunc_CN</ability>
      <abilityName>全半角问题</abilityName>
      <candidateList>
        <item>,</item>
      </candidateList>
      <explain>文本全半角错误。</explain>
      <paraID>2A92BB2B</paraID>
      <start>4</start>
      <end>5</end>
      <status>unmodified</status>
      <modifiedWord/>
      <trackRevisions>false</trackRevisions>
    </reviewItem>
    <reviewItem>
      <errorID>6d60d3a4-8384-495d-b0ac-4d6fc9fa18ce</errorID>
      <errorWord>(</errorWord>
      <group>L1_Format</group>
      <groupName>格式问题</groupName>
      <ability>L2_HalfPunc_CN</ability>
      <abilityName>全半角问题</abilityName>
      <candidateList>
        <item>（</item>
      </candidateList>
      <explain>文本全半角错误。</explain>
      <paraID>3482DD1C</paraID>
      <start>3</start>
      <end>4</end>
      <status>unmodified</status>
      <modifiedWord/>
      <trackRevisions>false</trackRevisions>
    </reviewItem>
    <reviewItem>
      <errorID>515141d2-3cc3-484c-8456-297709370158</errorID>
      <errorWord>)</errorWord>
      <group>L1_Format</group>
      <groupName>格式问题</groupName>
      <ability>L2_HalfPunc_CN</ability>
      <abilityName>全半角问题</abilityName>
      <candidateList>
        <item>）</item>
      </candidateList>
      <explain>文本全半角错误。</explain>
      <paraID>3482DD1C</paraID>
      <start>11</start>
      <end>12</end>
      <status>unmodified</status>
      <modifiedWord/>
      <trackRevisions>false</trackRevisions>
    </reviewItem>
    <reviewItem>
      <errorID>2683a4bb-6410-435b-a7a5-c39d7690420d</errorID>
      <errorWord>(</errorWord>
      <group>L1_Format</group>
      <groupName>格式问题</groupName>
      <ability>L2_HalfPunc_CN</ability>
      <abilityName>全半角问题</abilityName>
      <candidateList>
        <item>（</item>
      </candidateList>
      <explain>文本全半角错误。</explain>
      <paraID>1B695BC2</paraID>
      <start>4</start>
      <end>5</end>
      <status>unmodified</status>
      <modifiedWord/>
      <trackRevisions>false</trackRevisions>
    </reviewItem>
    <reviewItem>
      <errorID>6a9bd7bd-e545-4d71-bfba-0329007de43b</errorID>
      <errorWord>)</errorWord>
      <group>L1_Format</group>
      <groupName>格式问题</groupName>
      <ability>L2_HalfPunc_CN</ability>
      <abilityName>全半角问题</abilityName>
      <candidateList>
        <item>）</item>
      </candidateList>
      <explain>文本全半角错误。</explain>
      <paraID>1B695BC2</paraID>
      <start>6</start>
      <end>7</end>
      <status>unmodified</status>
      <modifiedWord/>
      <trackRevisions>false</trackRevisions>
    </reviewItem>
    <reviewItem>
      <errorID>387f7767-31f6-4e0a-8edb-183583e7756e</errorID>
      <errorWord>(</errorWord>
      <group>L1_Format</group>
      <groupName>格式问题</groupName>
      <ability>L2_HalfPunc_CN</ability>
      <abilityName>全半角问题</abilityName>
      <candidateList>
        <item>（</item>
      </candidateList>
      <explain>文本全半角错误。</explain>
      <paraID>6049BD63</paraID>
      <start>5</start>
      <end>6</end>
      <status>unmodified</status>
      <modifiedWord/>
      <trackRevisions>false</trackRevisions>
    </reviewItem>
    <reviewItem>
      <errorID>3a38c21d-6a2f-455f-8aeb-f08f8f5ffd7c</errorID>
      <errorWord>)</errorWord>
      <group>L1_Format</group>
      <groupName>格式问题</groupName>
      <ability>L2_HalfPunc_CN</ability>
      <abilityName>全半角问题</abilityName>
      <candidateList>
        <item>）</item>
      </candidateList>
      <explain>文本全半角错误。</explain>
      <paraID>6049BD63</paraID>
      <start>12</start>
      <end>13</end>
      <status>unmodified</status>
      <modifiedWord/>
      <trackRevisions>false</trackRevisions>
    </reviewItem>
    <reviewItem>
      <errorID>f8f63634-2910-4936-b8c7-f84d0ff013b4</errorID>
      <errorWord>(</errorWord>
      <group>L1_Format</group>
      <groupName>格式问题</groupName>
      <ability>L2_HalfPunc_CN</ability>
      <abilityName>全半角问题</abilityName>
      <candidateList>
        <item>（</item>
      </candidateList>
      <explain>文本全半角错误。</explain>
      <paraID> 7F36EE9</paraID>
      <start>4</start>
      <end>5</end>
      <status>unmodified</status>
      <modifiedWord/>
      <trackRevisions>false</trackRevisions>
    </reviewItem>
    <reviewItem>
      <errorID>cf25c790-2965-491c-a929-b7d2061d26f4</errorID>
      <errorWord>)</errorWord>
      <group>L1_Format</group>
      <groupName>格式问题</groupName>
      <ability>L2_HalfPunc_CN</ability>
      <abilityName>全半角问题</abilityName>
      <candidateList>
        <item>）</item>
      </candidateList>
      <explain>文本全半角错误。</explain>
      <paraID> 7F36EE9</paraID>
      <start>13</start>
      <end>14</end>
      <status>unmodified</status>
      <modifiedWord/>
      <trackRevisions>false</trackRevisions>
    </reviewItem>
    <reviewItem>
      <errorID>0f201ab9-cecd-42ea-bd80-d112f19f0ef7</errorID>
      <errorWord>(</errorWord>
      <group>L1_Format</group>
      <groupName>格式问题</groupName>
      <ability>L2_HalfPunc_CN</ability>
      <abilityName>全半角问题</abilityName>
      <candidateList>
        <item>（</item>
      </candidateList>
      <explain>文本全半角错误。</explain>
      <paraID>20F2A25C</paraID>
      <start>4</start>
      <end>5</end>
      <status>unmodified</status>
      <modifiedWord/>
      <trackRevisions>false</trackRevisions>
    </reviewItem>
    <reviewItem>
      <errorID>e31f0971-1e46-4788-94e8-b520f03648dd</errorID>
      <errorWord>)</errorWord>
      <group>L1_Format</group>
      <groupName>格式问题</groupName>
      <ability>L2_HalfPunc_CN</ability>
      <abilityName>全半角问题</abilityName>
      <candidateList>
        <item>）</item>
      </candidateList>
      <explain>文本全半角错误。</explain>
      <paraID>20F2A25C</paraID>
      <start>11</start>
      <end>12</end>
      <status>unmodified</status>
      <modifiedWord/>
      <trackRevisions>false</trackRevisions>
    </reviewItem>
    <reviewItem>
      <errorID>ab6e5f8b-27ca-4e51-b2f1-743c7e449027</errorID>
      <errorWord>，</errorWord>
      <group>L1_Format</group>
      <groupName>格式问题</groupName>
      <ability>L2_HalfPunc_CN</ability>
      <abilityName>全半角问题</abilityName>
      <candidateList>
        <item>,</item>
      </candidateList>
      <explain>文本全半角错误。</explain>
      <paraID>6B20CD94</paraID>
      <start>5</start>
      <end>6</end>
      <status>unmodified</status>
      <modifiedWord/>
      <trackRevisions>false</trackRevisions>
    </reviewItem>
    <reviewItem>
      <errorID>d849fae9-03a6-433e-9f4a-3d66c81d0d61</errorID>
      <errorWord>，</errorWord>
      <group>L1_Format</group>
      <groupName>格式问题</groupName>
      <ability>L2_HalfPunc_CN</ability>
      <abilityName>全半角问题</abilityName>
      <candidateList>
        <item>,</item>
      </candidateList>
      <explain>文本全半角错误。</explain>
      <paraID>  1C5D54</paraID>
      <start>5</start>
      <end>6</end>
      <status>unmodified</status>
      <modifiedWord/>
      <trackRevisions>false</trackRevisions>
    </reviewItem>
    <reviewItem>
      <errorID>e6a99204-0323-4826-9ad2-97ebd127a6f3</errorID>
      <errorWord>，</errorWord>
      <group>L1_Format</group>
      <groupName>格式问题</groupName>
      <ability>L2_HalfPunc_CN</ability>
      <abilityName>全半角问题</abilityName>
      <candidateList>
        <item>,</item>
      </candidateList>
      <explain>文本全半角错误。</explain>
      <paraID>435BEA71</paraID>
      <start>3</start>
      <end>4</end>
      <status>unmodified</status>
      <modifiedWord/>
      <trackRevisions>false</trackRevisions>
    </reviewItem>
    <reviewItem>
      <errorID>f20a0e13-b547-4698-a1a7-d8f9bdd0c7ea</errorID>
      <errorWord>，</errorWord>
      <group>L1_Format</group>
      <groupName>格式问题</groupName>
      <ability>L2_HalfPunc_CN</ability>
      <abilityName>全半角问题</abilityName>
      <candidateList>
        <item>,</item>
      </candidateList>
      <explain>文本全半角错误。</explain>
      <paraID>13844942</paraID>
      <start>4</start>
      <end>5</end>
      <status>unmodified</status>
      <modifiedWord/>
      <trackRevisions>false</trackRevisions>
    </reviewItem>
    <reviewItem>
      <errorID>8dfbee15-15af-4532-af37-3ef8ee914d80</errorID>
      <errorWord>，</errorWord>
      <group>L1_Format</group>
      <groupName>格式问题</groupName>
      <ability>L2_HalfPunc_CN</ability>
      <abilityName>全半角问题</abilityName>
      <candidateList>
        <item>,</item>
      </candidateList>
      <explain>文本全半角错误。</explain>
      <paraID>64E20AEB</paraID>
      <start>4</start>
      <end>5</end>
      <status>unmodified</status>
      <modifiedWord/>
      <trackRevisions>false</trackRevisions>
    </reviewItem>
    <reviewItem>
      <errorID>3afc1942-5b65-42e6-80e2-8520c3eb8c20</errorID>
      <errorWord>(</errorWord>
      <group>L1_Format</group>
      <groupName>格式问题</groupName>
      <ability>L2_HalfPunc_CN</ability>
      <abilityName>全半角问题</abilityName>
      <candidateList>
        <item>（</item>
      </candidateList>
      <explain>文本全半角错误。</explain>
      <paraID>28D920BE</paraID>
      <start>3</start>
      <end>4</end>
      <status>unmodified</status>
      <modifiedWord/>
      <trackRevisions>false</trackRevisions>
    </reviewItem>
    <reviewItem>
      <errorID>70a6c98f-e2f6-4df2-b1d3-9519dee7bace</errorID>
      <errorWord>)</errorWord>
      <group>L1_Format</group>
      <groupName>格式问题</groupName>
      <ability>L2_HalfPunc_CN</ability>
      <abilityName>全半角问题</abilityName>
      <candidateList>
        <item>）</item>
      </candidateList>
      <explain>文本全半角错误。</explain>
      <paraID>28D920BE</paraID>
      <start>11</start>
      <end>12</end>
      <status>unmodified</status>
      <modifiedWord/>
      <trackRevisions>false</trackRevisions>
    </reviewItem>
    <reviewItem>
      <errorID>7dbf6de9-f3f4-43dc-969b-79a0d7a657b0</errorID>
      <errorWord>(</errorWord>
      <group>L1_Format</group>
      <groupName>格式问题</groupName>
      <ability>L2_HalfPunc_CN</ability>
      <abilityName>全半角问题</abilityName>
      <candidateList>
        <item>（</item>
      </candidateList>
      <explain>文本全半角错误。</explain>
      <paraID>2CC9E288</paraID>
      <start>4</start>
      <end>5</end>
      <status>unmodified</status>
      <modifiedWord/>
      <trackRevisions>false</trackRevisions>
    </reviewItem>
    <reviewItem>
      <errorID>1ee3f4c5-604a-4b27-b39b-f14cb29c177c</errorID>
      <errorWord>)</errorWord>
      <group>L1_Format</group>
      <groupName>格式问题</groupName>
      <ability>L2_HalfPunc_CN</ability>
      <abilityName>全半角问题</abilityName>
      <candidateList>
        <item>）</item>
      </candidateList>
      <explain>文本全半角错误。</explain>
      <paraID>2CC9E288</paraID>
      <start>6</start>
      <end>7</end>
      <status>unmodified</status>
      <modifiedWord/>
      <trackRevisions>false</trackRevisions>
    </reviewItem>
    <reviewItem>
      <errorID>c9523034-2c89-40ba-a669-30b0ca6d8153</errorID>
      <errorWord>(</errorWord>
      <group>L1_Format</group>
      <groupName>格式问题</groupName>
      <ability>L2_HalfPunc_CN</ability>
      <abilityName>全半角问题</abilityName>
      <candidateList>
        <item>（</item>
      </candidateList>
      <explain>文本全半角错误。</explain>
      <paraID>349E393B</paraID>
      <start>4</start>
      <end>5</end>
      <status>unmodified</status>
      <modifiedWord/>
      <trackRevisions>false</trackRevisions>
    </reviewItem>
    <reviewItem>
      <errorID>a8bd4202-3d66-4f4f-9e6a-ee446226573d</errorID>
      <errorWord>)</errorWord>
      <group>L1_Format</group>
      <groupName>格式问题</groupName>
      <ability>L2_HalfPunc_CN</ability>
      <abilityName>全半角问题</abilityName>
      <candidateList>
        <item>）</item>
      </candidateList>
      <explain>文本全半角错误。</explain>
      <paraID>349E393B</paraID>
      <start>11</start>
      <end>12</end>
      <status>unmodified</status>
      <modifiedWord/>
      <trackRevisions>false</trackRevisions>
    </reviewItem>
    <reviewItem>
      <errorID>2ebcef9c-03f6-4c93-b175-89a1a564f37c</errorID>
      <errorWord>(</errorWord>
      <group>L1_Format</group>
      <groupName>格式问题</groupName>
      <ability>L2_HalfPunc_CN</ability>
      <abilityName>全半角问题</abilityName>
      <candidateList>
        <item>（</item>
      </candidateList>
      <explain>文本全半角错误。</explain>
      <paraID>350655B7</paraID>
      <start>4</start>
      <end>5</end>
      <status>unmodified</status>
      <modifiedWord/>
      <trackRevisions>false</trackRevisions>
    </reviewItem>
    <reviewItem>
      <errorID>fd757a2f-3f70-45ca-b755-ed33aa5e2d02</errorID>
      <errorWord>)</errorWord>
      <group>L1_Format</group>
      <groupName>格式问题</groupName>
      <ability>L2_HalfPunc_CN</ability>
      <abilityName>全半角问题</abilityName>
      <candidateList>
        <item>）</item>
      </candidateList>
      <explain>文本全半角错误。</explain>
      <paraID>350655B7</paraID>
      <start>13</start>
      <end>14</end>
      <status>unmodified</status>
      <modifiedWord/>
      <trackRevisions>false</trackRevisions>
    </reviewItem>
    <reviewItem>
      <errorID>3332a269-3a0d-43e0-b8ce-bd9ef0ed8608</errorID>
      <errorWord>(</errorWord>
      <group>L1_Format</group>
      <groupName>格式问题</groupName>
      <ability>L2_HalfPunc_CN</ability>
      <abilityName>全半角问题</abilityName>
      <candidateList>
        <item>（</item>
      </candidateList>
      <explain>文本全半角错误。</explain>
      <paraID>4F1319AF</paraID>
      <start>4</start>
      <end>5</end>
      <status>unmodified</status>
      <modifiedWord/>
      <trackRevisions>false</trackRevisions>
    </reviewItem>
    <reviewItem>
      <errorID>298747c8-21ac-4ee1-b8c5-ca1e42e42a89</errorID>
      <errorWord>)</errorWord>
      <group>L1_Format</group>
      <groupName>格式问题</groupName>
      <ability>L2_HalfPunc_CN</ability>
      <abilityName>全半角问题</abilityName>
      <candidateList>
        <item>）</item>
      </candidateList>
      <explain>文本全半角错误。</explain>
      <paraID>4F1319AF</paraID>
      <start>11</start>
      <end>12</end>
      <status>unmodified</status>
      <modifiedWord/>
      <trackRevisions>false</trackRevisions>
    </reviewItem>
    <reviewItem>
      <errorID>6cab0fb7-1ca5-4416-9436-c4984a557f9c</errorID>
      <errorWord>，</errorWord>
      <group>L1_Format</group>
      <groupName>格式问题</groupName>
      <ability>L2_HalfPunc_CN</ability>
      <abilityName>全半角问题</abilityName>
      <candidateList>
        <item>,</item>
      </candidateList>
      <explain>文本全半角错误。</explain>
      <paraID>3C23ABC0</paraID>
      <start>5</start>
      <end>6</end>
      <status>unmodified</status>
      <modifiedWord/>
      <trackRevisions>false</trackRevisions>
    </reviewItem>
    <reviewItem>
      <errorID>94d1eab7-0c1a-4a38-8c6a-b1e549fb1374</errorID>
      <errorWord>，</errorWord>
      <group>L1_Format</group>
      <groupName>格式问题</groupName>
      <ability>L2_HalfPunc_CN</ability>
      <abilityName>全半角问题</abilityName>
      <candidateList>
        <item>,</item>
      </candidateList>
      <explain>文本全半角错误。</explain>
      <paraID>447BC744</paraID>
      <start>3</start>
      <end>4</end>
      <status>unmodified</status>
      <modifiedWord/>
      <trackRevisions>false</trackRevisions>
    </reviewItem>
    <reviewItem>
      <errorID>fc48c020-ff63-40bb-8f2e-f46a1db36ad8</errorID>
      <errorWord>，</errorWord>
      <group>L1_Format</group>
      <groupName>格式问题</groupName>
      <ability>L2_HalfPunc_CN</ability>
      <abilityName>全半角问题</abilityName>
      <candidateList>
        <item>,</item>
      </candidateList>
      <explain>文本全半角错误。</explain>
      <paraID>11DD7AAD</paraID>
      <start>4</start>
      <end>5</end>
      <status>unmodified</status>
      <modifiedWord/>
      <trackRevisions>false</trackRevisions>
    </reviewItem>
    <reviewItem>
      <errorID>8d68f735-cadf-453c-917d-948059495d11</errorID>
      <errorWord>，</errorWord>
      <group>L1_Format</group>
      <groupName>格式问题</groupName>
      <ability>L2_HalfPunc_CN</ability>
      <abilityName>全半角问题</abilityName>
      <candidateList>
        <item>,</item>
      </candidateList>
      <explain>文本全半角错误。</explain>
      <paraID>7CA3F3CD</paraID>
      <start>4</start>
      <end>5</end>
      <status>unmodified</status>
      <modifiedWord/>
      <trackRevisions>false</trackRevisions>
    </reviewItem>
    <reviewItem>
      <errorID>aa1fb8e3-5147-40fb-bd7b-36bd265a6910</errorID>
      <errorWord>(</errorWord>
      <group>L1_Format</group>
      <groupName>格式问题</groupName>
      <ability>L2_HalfPunc_CN</ability>
      <abilityName>全半角问题</abilityName>
      <candidateList>
        <item>（</item>
      </candidateList>
      <explain>文本全半角错误。</explain>
      <paraID>613BC525</paraID>
      <start>3</start>
      <end>4</end>
      <status>unmodified</status>
      <modifiedWord/>
      <trackRevisions>false</trackRevisions>
    </reviewItem>
    <reviewItem>
      <errorID>9f8874ce-471c-422e-a3ea-456b533b16cc</errorID>
      <errorWord>)</errorWord>
      <group>L1_Format</group>
      <groupName>格式问题</groupName>
      <ability>L2_HalfPunc_CN</ability>
      <abilityName>全半角问题</abilityName>
      <candidateList>
        <item>）</item>
      </candidateList>
      <explain>文本全半角错误。</explain>
      <paraID>613BC525</paraID>
      <start>11</start>
      <end>12</end>
      <status>unmodified</status>
      <modifiedWord/>
      <trackRevisions>false</trackRevisions>
    </reviewItem>
    <reviewItem>
      <errorID>5126e351-efc7-496e-9808-3d94c86395aa</errorID>
      <errorWord>(</errorWord>
      <group>L1_Format</group>
      <groupName>格式问题</groupName>
      <ability>L2_HalfPunc_CN</ability>
      <abilityName>全半角问题</abilityName>
      <candidateList>
        <item>（</item>
      </candidateList>
      <explain>文本全半角错误。</explain>
      <paraID>4D0704E4</paraID>
      <start>4</start>
      <end>5</end>
      <status>unmodified</status>
      <modifiedWord/>
      <trackRevisions>false</trackRevisions>
    </reviewItem>
    <reviewItem>
      <errorID>4dd76fc7-ae5d-4081-9b69-fe0c700cd5c2</errorID>
      <errorWord>)</errorWord>
      <group>L1_Format</group>
      <groupName>格式问题</groupName>
      <ability>L2_HalfPunc_CN</ability>
      <abilityName>全半角问题</abilityName>
      <candidateList>
        <item>）</item>
      </candidateList>
      <explain>文本全半角错误。</explain>
      <paraID>4D0704E4</paraID>
      <start>6</start>
      <end>7</end>
      <status>unmodified</status>
      <modifiedWord/>
      <trackRevisions>false</trackRevisions>
    </reviewItem>
    <reviewItem>
      <errorID>9b8e0149-0764-46be-925e-8d2b259cdb9d</errorID>
      <errorWord>(</errorWord>
      <group>L1_Format</group>
      <groupName>格式问题</groupName>
      <ability>L2_HalfPunc_CN</ability>
      <abilityName>全半角问题</abilityName>
      <candidateList>
        <item>（</item>
      </candidateList>
      <explain>文本全半角错误。</explain>
      <paraID>1B79BC16</paraID>
      <start>4</start>
      <end>5</end>
      <status>unmodified</status>
      <modifiedWord/>
      <trackRevisions>false</trackRevisions>
    </reviewItem>
    <reviewItem>
      <errorID>a75f90e8-4357-477c-a592-3ab350f896cf</errorID>
      <errorWord>)</errorWord>
      <group>L1_Format</group>
      <groupName>格式问题</groupName>
      <ability>L2_HalfPunc_CN</ability>
      <abilityName>全半角问题</abilityName>
      <candidateList>
        <item>）</item>
      </candidateList>
      <explain>文本全半角错误。</explain>
      <paraID>1B79BC16</paraID>
      <start>11</start>
      <end>12</end>
      <status>unmodified</status>
      <modifiedWord/>
      <trackRevisions>false</trackRevisions>
    </reviewItem>
    <reviewItem>
      <errorID>09fc3aab-ccb5-4a83-9397-68d4bb1a317a</errorID>
      <errorWord>(</errorWord>
      <group>L1_Format</group>
      <groupName>格式问题</groupName>
      <ability>L2_HalfPunc_CN</ability>
      <abilityName>全半角问题</abilityName>
      <candidateList>
        <item>（</item>
      </candidateList>
      <explain>文本全半角错误。</explain>
      <paraID>2831628C</paraID>
      <start>4</start>
      <end>5</end>
      <status>unmodified</status>
      <modifiedWord/>
      <trackRevisions>false</trackRevisions>
    </reviewItem>
    <reviewItem>
      <errorID>40e3bfff-1e98-466d-a14c-aa177ba2fdc4</errorID>
      <errorWord>)</errorWord>
      <group>L1_Format</group>
      <groupName>格式问题</groupName>
      <ability>L2_HalfPunc_CN</ability>
      <abilityName>全半角问题</abilityName>
      <candidateList>
        <item>）</item>
      </candidateList>
      <explain>文本全半角错误。</explain>
      <paraID>2831628C</paraID>
      <start>13</start>
      <end>14</end>
      <status>unmodified</status>
      <modifiedWord/>
      <trackRevisions>false</trackRevisions>
    </reviewItem>
    <reviewItem>
      <errorID>e2ac7394-385f-4f78-841e-52959dbf54b8</errorID>
      <errorWord>(</errorWord>
      <group>L1_Format</group>
      <groupName>格式问题</groupName>
      <ability>L2_HalfPunc_CN</ability>
      <abilityName>全半角问题</abilityName>
      <candidateList>
        <item>（</item>
      </candidateList>
      <explain>文本全半角错误。</explain>
      <paraID> 99E6470</paraID>
      <start>4</start>
      <end>5</end>
      <status>unmodified</status>
      <modifiedWord/>
      <trackRevisions>false</trackRevisions>
    </reviewItem>
    <reviewItem>
      <errorID>7c90c41c-0470-4e59-891e-f0e1b8b52d36</errorID>
      <errorWord>)</errorWord>
      <group>L1_Format</group>
      <groupName>格式问题</groupName>
      <ability>L2_HalfPunc_CN</ability>
      <abilityName>全半角问题</abilityName>
      <candidateList>
        <item>）</item>
      </candidateList>
      <explain>文本全半角错误。</explain>
      <paraID> 99E6470</paraID>
      <start>11</start>
      <end>12</end>
      <status>unmodified</status>
      <modifiedWord/>
      <trackRevisions>false</trackRevisions>
    </reviewItem>
    <reviewItem>
      <errorID>9dfc341b-a3ef-493a-bf73-cd3ec2a8f718</errorID>
      <errorWord>，</errorWord>
      <group>L1_Format</group>
      <groupName>格式问题</groupName>
      <ability>L2_HalfPunc_CN</ability>
      <abilityName>全半角问题</abilityName>
      <candidateList>
        <item>,</item>
      </candidateList>
      <explain>文本全半角错误。</explain>
      <paraID>54EBE085</paraID>
      <start>5</start>
      <end>6</end>
      <status>unmodified</status>
      <modifiedWord/>
      <trackRevisions>false</trackRevisions>
    </reviewItem>
    <reviewItem>
      <errorID>2c9f098c-a121-499d-9a69-dbc9d6ea0d7a</errorID>
      <errorWord>，</errorWord>
      <group>L1_Format</group>
      <groupName>格式问题</groupName>
      <ability>L2_HalfPunc_CN</ability>
      <abilityName>全半角问题</abilityName>
      <candidateList>
        <item>,</item>
      </candidateList>
      <explain>文本全半角错误。</explain>
      <paraID>3771900E</paraID>
      <start>3</start>
      <end>4</end>
      <status>unmodified</status>
      <modifiedWord/>
      <trackRevisions>false</trackRevisions>
    </reviewItem>
    <reviewItem>
      <errorID>17868aa9-e81f-4783-abda-a78dfe9885d6</errorID>
      <errorWord>，</errorWord>
      <group>L1_Format</group>
      <groupName>格式问题</groupName>
      <ability>L2_HalfPunc_CN</ability>
      <abilityName>全半角问题</abilityName>
      <candidateList>
        <item>,</item>
      </candidateList>
      <explain>文本全半角错误。</explain>
      <paraID>25104A5D</paraID>
      <start>4</start>
      <end>5</end>
      <status>unmodified</status>
      <modifiedWord/>
      <trackRevisions>false</trackRevisions>
    </reviewItem>
    <reviewItem>
      <errorID>94e4390a-3f1a-4dc1-a3b2-c2f0acdaba5b</errorID>
      <errorWord>，</errorWord>
      <group>L1_Format</group>
      <groupName>格式问题</groupName>
      <ability>L2_HalfPunc_CN</ability>
      <abilityName>全半角问题</abilityName>
      <candidateList>
        <item>,</item>
      </candidateList>
      <explain>文本全半角错误。</explain>
      <paraID>23134A2D</paraID>
      <start>4</start>
      <end>5</end>
      <status>unmodified</status>
      <modifiedWord/>
      <trackRevisions>false</trackRevisions>
    </reviewItem>
    <reviewItem>
      <errorID>049d9dd3-5241-42c4-ab8d-64e4034f042c</errorID>
      <errorWord>(</errorWord>
      <group>L1_Format</group>
      <groupName>格式问题</groupName>
      <ability>L2_HalfPunc_CN</ability>
      <abilityName>全半角问题</abilityName>
      <candidateList>
        <item>（</item>
      </candidateList>
      <explain>文本全半角错误。</explain>
      <paraID> 3D8BC2D</paraID>
      <start>3</start>
      <end>4</end>
      <status>unmodified</status>
      <modifiedWord/>
      <trackRevisions>false</trackRevisions>
    </reviewItem>
    <reviewItem>
      <errorID>63a9482c-e37d-47d9-b9b9-d1313ef15c0b</errorID>
      <errorWord>)</errorWord>
      <group>L1_Format</group>
      <groupName>格式问题</groupName>
      <ability>L2_HalfPunc_CN</ability>
      <abilityName>全半角问题</abilityName>
      <candidateList>
        <item>）</item>
      </candidateList>
      <explain>文本全半角错误。</explain>
      <paraID> 3D8BC2D</paraID>
      <start>11</start>
      <end>12</end>
      <status>unmodified</status>
      <modifiedWord/>
      <trackRevisions>false</trackRevisions>
    </reviewItem>
    <reviewItem>
      <errorID>cd73fafa-7c61-4c7b-99c1-6da9067eea48</errorID>
      <errorWord>(</errorWord>
      <group>L1_Format</group>
      <groupName>格式问题</groupName>
      <ability>L2_HalfPunc_CN</ability>
      <abilityName>全半角问题</abilityName>
      <candidateList>
        <item>（</item>
      </candidateList>
      <explain>文本全半角错误。</explain>
      <paraID>2CB7C146</paraID>
      <start>4</start>
      <end>5</end>
      <status>unmodified</status>
      <modifiedWord/>
      <trackRevisions>false</trackRevisions>
    </reviewItem>
    <reviewItem>
      <errorID>69ec5b87-a067-4760-bda2-35d300948e9f</errorID>
      <errorWord>)</errorWord>
      <group>L1_Format</group>
      <groupName>格式问题</groupName>
      <ability>L2_HalfPunc_CN</ability>
      <abilityName>全半角问题</abilityName>
      <candidateList>
        <item>）</item>
      </candidateList>
      <explain>文本全半角错误。</explain>
      <paraID>2CB7C146</paraID>
      <start>6</start>
      <end>7</end>
      <status>unmodified</status>
      <modifiedWord/>
      <trackRevisions>false</trackRevisions>
    </reviewItem>
    <reviewItem>
      <errorID>a2fa6f00-60c4-4e62-b916-234776cd568b</errorID>
      <errorWord>(</errorWord>
      <group>L1_Format</group>
      <groupName>格式问题</groupName>
      <ability>L2_HalfPunc_CN</ability>
      <abilityName>全半角问题</abilityName>
      <candidateList>
        <item>（</item>
      </candidateList>
      <explain>文本全半角错误。</explain>
      <paraID>29516584</paraID>
      <start>4</start>
      <end>5</end>
      <status>unmodified</status>
      <modifiedWord/>
      <trackRevisions>false</trackRevisions>
    </reviewItem>
    <reviewItem>
      <errorID>c189ce28-748d-4286-8db2-ddabf5b0004f</errorID>
      <errorWord>)</errorWord>
      <group>L1_Format</group>
      <groupName>格式问题</groupName>
      <ability>L2_HalfPunc_CN</ability>
      <abilityName>全半角问题</abilityName>
      <candidateList>
        <item>）</item>
      </candidateList>
      <explain>文本全半角错误。</explain>
      <paraID>29516584</paraID>
      <start>11</start>
      <end>12</end>
      <status>unmodified</status>
      <modifiedWord/>
      <trackRevisions>false</trackRevisions>
    </reviewItem>
    <reviewItem>
      <errorID>fedf8d0b-4376-475c-a011-6f6afb9772d2</errorID>
      <errorWord>(</errorWord>
      <group>L1_Format</group>
      <groupName>格式问题</groupName>
      <ability>L2_HalfPunc_CN</ability>
      <abilityName>全半角问题</abilityName>
      <candidateList>
        <item>（</item>
      </candidateList>
      <explain>文本全半角错误。</explain>
      <paraID>32B0320D</paraID>
      <start>4</start>
      <end>5</end>
      <status>unmodified</status>
      <modifiedWord/>
      <trackRevisions>false</trackRevisions>
    </reviewItem>
    <reviewItem>
      <errorID>3008164b-fda7-4088-8160-651894996261</errorID>
      <errorWord>)</errorWord>
      <group>L1_Format</group>
      <groupName>格式问题</groupName>
      <ability>L2_HalfPunc_CN</ability>
      <abilityName>全半角问题</abilityName>
      <candidateList>
        <item>）</item>
      </candidateList>
      <explain>文本全半角错误。</explain>
      <paraID>32B0320D</paraID>
      <start>13</start>
      <end>14</end>
      <status>unmodified</status>
      <modifiedWord/>
      <trackRevisions>false</trackRevisions>
    </reviewItem>
    <reviewItem>
      <errorID>692b0661-d8a8-4c01-8e74-e6574fd5b587</errorID>
      <errorWord>(</errorWord>
      <group>L1_Format</group>
      <groupName>格式问题</groupName>
      <ability>L2_HalfPunc_CN</ability>
      <abilityName>全半角问题</abilityName>
      <candidateList>
        <item>（</item>
      </candidateList>
      <explain>文本全半角错误。</explain>
      <paraID>2C7CDFEF</paraID>
      <start>4</start>
      <end>5</end>
      <status>unmodified</status>
      <modifiedWord/>
      <trackRevisions>false</trackRevisions>
    </reviewItem>
    <reviewItem>
      <errorID>344f106e-1b71-477a-9952-f05850867865</errorID>
      <errorWord>)</errorWord>
      <group>L1_Format</group>
      <groupName>格式问题</groupName>
      <ability>L2_HalfPunc_CN</ability>
      <abilityName>全半角问题</abilityName>
      <candidateList>
        <item>）</item>
      </candidateList>
      <explain>文本全半角错误。</explain>
      <paraID>2C7CDFEF</paraID>
      <start>11</start>
      <end>12</end>
      <status>unmodified</status>
      <modifiedWord/>
      <trackRevisions>false</trackRevisions>
    </reviewItem>
    <reviewItem>
      <errorID>a13426ba-3a98-417f-b87a-8338d3f049ae</errorID>
      <errorWord>，</errorWord>
      <group>L1_Format</group>
      <groupName>格式问题</groupName>
      <ability>L2_HalfPunc_CN</ability>
      <abilityName>全半角问题</abilityName>
      <candidateList>
        <item>,</item>
      </candidateList>
      <explain>文本全半角错误。</explain>
      <paraID>6F3CEF3B</paraID>
      <start>5</start>
      <end>6</end>
      <status>unmodified</status>
      <modifiedWord/>
      <trackRevisions>false</trackRevisions>
    </reviewItem>
    <reviewItem>
      <errorID>dac48a76-c7f4-4896-9bf5-725f6f074da5</errorID>
      <errorWord>，</errorWord>
      <group>L1_Format</group>
      <groupName>格式问题</groupName>
      <ability>L2_HalfPunc_CN</ability>
      <abilityName>全半角问题</abilityName>
      <candidateList>
        <item>,</item>
      </candidateList>
      <explain>文本全半角错误。</explain>
      <paraID>65FE07DF</paraID>
      <start>3</start>
      <end>4</end>
      <status>unmodified</status>
      <modifiedWord/>
      <trackRevisions>false</trackRevisions>
    </reviewItem>
    <reviewItem>
      <errorID>8d402296-b36d-4ec9-93cf-0e918f000070</errorID>
      <errorWord>，</errorWord>
      <group>L1_Format</group>
      <groupName>格式问题</groupName>
      <ability>L2_HalfPunc_CN</ability>
      <abilityName>全半角问题</abilityName>
      <candidateList>
        <item>,</item>
      </candidateList>
      <explain>文本全半角错误。</explain>
      <paraID>7FF6AE13</paraID>
      <start>4</start>
      <end>5</end>
      <status>unmodified</status>
      <modifiedWord/>
      <trackRevisions>false</trackRevisions>
    </reviewItem>
    <reviewItem>
      <errorID>69c34ff8-decf-439e-8716-a86f5de7239e</errorID>
      <errorWord>，</errorWord>
      <group>L1_Format</group>
      <groupName>格式问题</groupName>
      <ability>L2_HalfPunc_CN</ability>
      <abilityName>全半角问题</abilityName>
      <candidateList>
        <item>,</item>
      </candidateList>
      <explain>文本全半角错误。</explain>
      <paraID>5C52DDC4</paraID>
      <start>4</start>
      <end>5</end>
      <status>unmodified</status>
      <modifiedWord/>
      <trackRevisions>false</trackRevisions>
    </reviewItem>
    <reviewItem>
      <errorID>2adb272d-a17f-495f-b2be-a2411e003724</errorID>
      <errorWord>(</errorWord>
      <group>L1_Format</group>
      <groupName>格式问题</groupName>
      <ability>L2_HalfPunc_CN</ability>
      <abilityName>全半角问题</abilityName>
      <candidateList>
        <item>（</item>
      </candidateList>
      <explain>文本全半角错误。</explain>
      <paraID>518F867B</paraID>
      <start>3</start>
      <end>4</end>
      <status>unmodified</status>
      <modifiedWord/>
      <trackRevisions>false</trackRevisions>
    </reviewItem>
    <reviewItem>
      <errorID>9e7d06fc-d378-43fb-9249-b022631c8a34</errorID>
      <errorWord>)</errorWord>
      <group>L1_Format</group>
      <groupName>格式问题</groupName>
      <ability>L2_HalfPunc_CN</ability>
      <abilityName>全半角问题</abilityName>
      <candidateList>
        <item>）</item>
      </candidateList>
      <explain>文本全半角错误。</explain>
      <paraID>518F867B</paraID>
      <start>11</start>
      <end>12</end>
      <status>unmodified</status>
      <modifiedWord/>
      <trackRevisions>false</trackRevisions>
    </reviewItem>
    <reviewItem>
      <errorID>bbccf404-39c8-48c9-8b56-5e62464cdf34</errorID>
      <errorWord>(</errorWord>
      <group>L1_Format</group>
      <groupName>格式问题</groupName>
      <ability>L2_HalfPunc_CN</ability>
      <abilityName>全半角问题</abilityName>
      <candidateList>
        <item>（</item>
      </candidateList>
      <explain>文本全半角错误。</explain>
      <paraID> A26FD0C</paraID>
      <start>4</start>
      <end>5</end>
      <status>unmodified</status>
      <modifiedWord/>
      <trackRevisions>false</trackRevisions>
    </reviewItem>
    <reviewItem>
      <errorID>8e7bfdda-d4d4-46fe-8426-88b6dc8685c9</errorID>
      <errorWord>)</errorWord>
      <group>L1_Format</group>
      <groupName>格式问题</groupName>
      <ability>L2_HalfPunc_CN</ability>
      <abilityName>全半角问题</abilityName>
      <candidateList>
        <item>）</item>
      </candidateList>
      <explain>文本全半角错误。</explain>
      <paraID> A26FD0C</paraID>
      <start>6</start>
      <end>7</end>
      <status>unmodified</status>
      <modifiedWord/>
      <trackRevisions>false</trackRevisions>
    </reviewItem>
    <reviewItem>
      <errorID>ab208d00-e15e-4c9a-b90d-dc6cc058f735</errorID>
      <errorWord>(</errorWord>
      <group>L1_Format</group>
      <groupName>格式问题</groupName>
      <ability>L2_HalfPunc_CN</ability>
      <abilityName>全半角问题</abilityName>
      <candidateList>
        <item>（</item>
      </candidateList>
      <explain>文本全半角错误。</explain>
      <paraID>18550693</paraID>
      <start>4</start>
      <end>5</end>
      <status>unmodified</status>
      <modifiedWord/>
      <trackRevisions>false</trackRevisions>
    </reviewItem>
    <reviewItem>
      <errorID>ff325c2d-b8a6-4613-944f-783acb24bdc7</errorID>
      <errorWord>)</errorWord>
      <group>L1_Format</group>
      <groupName>格式问题</groupName>
      <ability>L2_HalfPunc_CN</ability>
      <abilityName>全半角问题</abilityName>
      <candidateList>
        <item>）</item>
      </candidateList>
      <explain>文本全半角错误。</explain>
      <paraID>18550693</paraID>
      <start>11</start>
      <end>12</end>
      <status>unmodified</status>
      <modifiedWord/>
      <trackRevisions>false</trackRevisions>
    </reviewItem>
    <reviewItem>
      <errorID>46645257-5866-4026-b7ba-03bacba3ac23</errorID>
      <errorWord>(</errorWord>
      <group>L1_Format</group>
      <groupName>格式问题</groupName>
      <ability>L2_HalfPunc_CN</ability>
      <abilityName>全半角问题</abilityName>
      <candidateList>
        <item>（</item>
      </candidateList>
      <explain>文本全半角错误。</explain>
      <paraID>10E9FDDC</paraID>
      <start>4</start>
      <end>5</end>
      <status>unmodified</status>
      <modifiedWord/>
      <trackRevisions>false</trackRevisions>
    </reviewItem>
    <reviewItem>
      <errorID>30d7e33d-e2a6-4846-aee5-af9679ace13c</errorID>
      <errorWord>)</errorWord>
      <group>L1_Format</group>
      <groupName>格式问题</groupName>
      <ability>L2_HalfPunc_CN</ability>
      <abilityName>全半角问题</abilityName>
      <candidateList>
        <item>）</item>
      </candidateList>
      <explain>文本全半角错误。</explain>
      <paraID>10E9FDDC</paraID>
      <start>13</start>
      <end>14</end>
      <status>unmodified</status>
      <modifiedWord/>
      <trackRevisions>false</trackRevisions>
    </reviewItem>
    <reviewItem>
      <errorID>43b27c46-4c29-4fc4-921c-0094991a6eb8</errorID>
      <errorWord>(</errorWord>
      <group>L1_Format</group>
      <groupName>格式问题</groupName>
      <ability>L2_HalfPunc_CN</ability>
      <abilityName>全半角问题</abilityName>
      <candidateList>
        <item>（</item>
      </candidateList>
      <explain>文本全半角错误。</explain>
      <paraID>7BBCAD32</paraID>
      <start>4</start>
      <end>5</end>
      <status>unmodified</status>
      <modifiedWord/>
      <trackRevisions>false</trackRevisions>
    </reviewItem>
    <reviewItem>
      <errorID>f20f78a2-ae5b-4ee2-be5a-c7fd4d05e97b</errorID>
      <errorWord>)</errorWord>
      <group>L1_Format</group>
      <groupName>格式问题</groupName>
      <ability>L2_HalfPunc_CN</ability>
      <abilityName>全半角问题</abilityName>
      <candidateList>
        <item>）</item>
      </candidateList>
      <explain>文本全半角错误。</explain>
      <paraID>7BBCAD32</paraID>
      <start>11</start>
      <end>12</end>
      <status>unmodified</status>
      <modifiedWord/>
      <trackRevisions>false</trackRevisions>
    </reviewItem>
    <reviewItem>
      <errorID>6c9737eb-1852-4674-a7a5-aabcd6ee7b65</errorID>
      <errorWord>，</errorWord>
      <group>L1_Format</group>
      <groupName>格式问题</groupName>
      <ability>L2_HalfPunc_CN</ability>
      <abilityName>全半角问题</abilityName>
      <candidateList>
        <item>,</item>
      </candidateList>
      <explain>文本全半角错误。</explain>
      <paraID> 97BE0CA</paraID>
      <start>5</start>
      <end>6</end>
      <status>unmodified</status>
      <modifiedWord/>
      <trackRevisions>false</trackRevisions>
    </reviewItem>
    <reviewItem>
      <errorID>e9305ec6-f384-403e-806d-1c1bc3652cc5</errorID>
      <errorWord>，</errorWord>
      <group>L1_Format</group>
      <groupName>格式问题</groupName>
      <ability>L2_HalfPunc_CN</ability>
      <abilityName>全半角问题</abilityName>
      <candidateList>
        <item>,</item>
      </candidateList>
      <explain>文本全半角错误。</explain>
      <paraID>2CE6BAB5</paraID>
      <start>3</start>
      <end>4</end>
      <status>unmodified</status>
      <modifiedWord/>
      <trackRevisions>false</trackRevisions>
    </reviewItem>
    <reviewItem>
      <errorID>78f27807-4976-49a9-9b56-a54be15ea838</errorID>
      <errorWord>，</errorWord>
      <group>L1_Format</group>
      <groupName>格式问题</groupName>
      <ability>L2_HalfPunc_CN</ability>
      <abilityName>全半角问题</abilityName>
      <candidateList>
        <item>,</item>
      </candidateList>
      <explain>文本全半角错误。</explain>
      <paraID>3300D502</paraID>
      <start>4</start>
      <end>5</end>
      <status>unmodified</status>
      <modifiedWord/>
      <trackRevisions>false</trackRevisions>
    </reviewItem>
    <reviewItem>
      <errorID>afa14514-9394-47ac-a274-edc65cc11913</errorID>
      <errorWord>，</errorWord>
      <group>L1_Format</group>
      <groupName>格式问题</groupName>
      <ability>L2_HalfPunc_CN</ability>
      <abilityName>全半角问题</abilityName>
      <candidateList>
        <item>,</item>
      </candidateList>
      <explain>文本全半角错误。</explain>
      <paraID>7F946EF9</paraID>
      <start>4</start>
      <end>5</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f368464-4059-4998-b8a5-589bc298d9e0}">
  <ds:schemaRefs/>
</ds:datastoreItem>
</file>

<file path=customXml/itemProps3.xml><?xml version="1.0" encoding="utf-8"?>
<ds:datastoreItem xmlns:ds="http://schemas.openxmlformats.org/officeDocument/2006/customXml" ds:itemID="{E2CF3E9E-E0C5-4005-BEDD-407B1DFE63D2}">
  <ds:schemaRefs/>
</ds:datastoreItem>
</file>

<file path=docProps/app.xml><?xml version="1.0" encoding="utf-8"?>
<Properties xmlns="http://schemas.openxmlformats.org/officeDocument/2006/extended-properties" xmlns:vt="http://schemas.openxmlformats.org/officeDocument/2006/docPropsVTypes">
  <Template>Normal.dotm</Template>
  <Pages>289</Pages>
  <Words>4436</Words>
  <Characters>4912</Characters>
  <Lines>10041</Lines>
  <Paragraphs>11578</Paragraphs>
  <TotalTime>6729</TotalTime>
  <ScaleCrop>false</ScaleCrop>
  <LinksUpToDate>false</LinksUpToDate>
  <CharactersWithSpaces>5010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2024-09-03T01:18:00Z</dcterms:created>
  <dc:creator>G</dc:creator>
  <cp:lastModifiedBy>✨大雪遮天 ˋ</cp:lastModifiedBy>
  <cp:lastPrinted>2026-08-25T04:43:00Z</cp:lastPrinted>
  <dcterms:modified xsi:type="dcterms:W3CDTF">2026-09-07T08:41:05Z</dcterms:modified>
  <dc:subject>1 前言</dc:subject>
  <dc:title>鸿泽废弃尾矿综合利用</dc:title>
  <cp:revision>247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4956179AB955486C8E65875C684C809A_13</vt:lpwstr>
  </property>
  <property fmtid="{D5CDD505-2E9C-101B-9397-08002B2CF9AE}" pid="4" name="KSOTemplateDocerSaveRecord">
    <vt:lpwstr>eyJoZGlkIjoiMmI1NzhlZWVhMTAyNmY1ZjIwYTgzYmZmNjZhNmM4NjYiLCJ1c2VySWQiOiIzNTM0MDMzMjcifQ==</vt:lpwstr>
  </property>
</Properties>
</file>